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1.xml" ContentType="application/vnd.openxmlformats-officedocument.themeOverride+xml"/>
  <Override PartName="/word/charts/chart27.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28.xml" ContentType="application/vnd.openxmlformats-officedocument.drawingml.chart+xml"/>
  <Override PartName="/word/theme/themeOverride23.xml" ContentType="application/vnd.openxmlformats-officedocument.themeOverride+xml"/>
  <Override PartName="/word/charts/chart29.xml" ContentType="application/vnd.openxmlformats-officedocument.drawingml.chart+xml"/>
  <Override PartName="/word/theme/themeOverride24.xml" ContentType="application/vnd.openxmlformats-officedocument.themeOverride+xml"/>
  <Override PartName="/word/charts/chart30.xml" ContentType="application/vnd.openxmlformats-officedocument.drawingml.chart+xml"/>
  <Override PartName="/word/theme/themeOverride25.xml" ContentType="application/vnd.openxmlformats-officedocument.themeOverride+xml"/>
  <Override PartName="/word/charts/chart31.xml" ContentType="application/vnd.openxmlformats-officedocument.drawingml.chart+xml"/>
  <Override PartName="/word/theme/themeOverride26.xml" ContentType="application/vnd.openxmlformats-officedocument.themeOverride+xml"/>
  <Override PartName="/word/charts/chart32.xml" ContentType="application/vnd.openxmlformats-officedocument.drawingml.chart+xml"/>
  <Override PartName="/word/theme/themeOverride27.xml" ContentType="application/vnd.openxmlformats-officedocument.themeOverride+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charts/chart33.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8.xml" ContentType="application/vnd.openxmlformats-officedocument.themeOverride+xml"/>
  <Override PartName="/word/charts/chart34.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9.xml" ContentType="application/vnd.openxmlformats-officedocument.themeOverride+xml"/>
  <Override PartName="/word/charts/chart35.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30.xml" ContentType="application/vnd.openxmlformats-officedocument.themeOverride+xml"/>
  <Override PartName="/word/charts/chart36.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31.xml" ContentType="application/vnd.openxmlformats-officedocument.themeOverride+xml"/>
  <Override PartName="/word/charts/chart37.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32.xml" ContentType="application/vnd.openxmlformats-officedocument.themeOverride+xml"/>
  <Override PartName="/word/charts/chart38.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33.xml" ContentType="application/vnd.openxmlformats-officedocument.themeOverride+xml"/>
  <Override PartName="/word/charts/chart39.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34.xml" ContentType="application/vnd.openxmlformats-officedocument.themeOverride+xml"/>
  <Override PartName="/word/charts/chart40.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35.xml" ContentType="application/vnd.openxmlformats-officedocument.themeOverride+xml"/>
  <Override PartName="/word/charts/chart41.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36.xml" ContentType="application/vnd.openxmlformats-officedocument.themeOverride+xml"/>
  <Override PartName="/word/charts/chart42.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7.xml" ContentType="application/vnd.openxmlformats-officedocument.themeOverride+xml"/>
  <Override PartName="/word/charts/chart43.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8.xml" ContentType="application/vnd.openxmlformats-officedocument.themeOverride+xml"/>
  <Override PartName="/word/charts/chart44.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39.xml" ContentType="application/vnd.openxmlformats-officedocument.themeOverride+xml"/>
  <Override PartName="/word/charts/chart45.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40.xml" ContentType="application/vnd.openxmlformats-officedocument.themeOverride+xml"/>
  <Override PartName="/word/charts/chart46.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41.xml" ContentType="application/vnd.openxmlformats-officedocument.themeOverride+xml"/>
  <Override PartName="/word/charts/chart47.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42.xml" ContentType="application/vnd.openxmlformats-officedocument.themeOverride+xml"/>
  <Override PartName="/word/charts/chart48.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43.xml" ContentType="application/vnd.openxmlformats-officedocument.themeOverride+xml"/>
  <Override PartName="/word/charts/chart49.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44.xml" ContentType="application/vnd.openxmlformats-officedocument.themeOverride+xml"/>
  <Override PartName="/word/charts/chart50.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45.xml" ContentType="application/vnd.openxmlformats-officedocument.themeOverride+xml"/>
  <Override PartName="/word/charts/chart51.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46.xml" ContentType="application/vnd.openxmlformats-officedocument.themeOverride+xml"/>
  <Override PartName="/word/charts/chart52.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47.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DD94EF" w14:textId="77777777" w:rsidR="00B761C5" w:rsidRPr="00C017DB" w:rsidRDefault="00C017DB" w:rsidP="00C017DB">
      <w:pPr>
        <w:spacing w:after="0" w:line="240" w:lineRule="auto"/>
        <w:jc w:val="center"/>
        <w:rPr>
          <w:b/>
          <w:bCs/>
          <w:sz w:val="18"/>
          <w:szCs w:val="18"/>
        </w:rPr>
      </w:pPr>
      <w:r w:rsidRPr="00C017DB">
        <w:rPr>
          <w:b/>
          <w:bCs/>
          <w:noProof/>
          <w:sz w:val="18"/>
          <w:szCs w:val="18"/>
        </w:rPr>
        <w:drawing>
          <wp:anchor distT="0" distB="0" distL="114300" distR="114300" simplePos="0" relativeHeight="251647488" behindDoc="1" locked="0" layoutInCell="1" allowOverlap="1" wp14:anchorId="36C4314D" wp14:editId="1FA43ADB">
            <wp:simplePos x="0" y="0"/>
            <wp:positionH relativeFrom="column">
              <wp:posOffset>5715000</wp:posOffset>
            </wp:positionH>
            <wp:positionV relativeFrom="paragraph">
              <wp:posOffset>93980</wp:posOffset>
            </wp:positionV>
            <wp:extent cx="782320" cy="93662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82320" cy="936625"/>
                    </a:xfrm>
                    <a:prstGeom prst="rect">
                      <a:avLst/>
                    </a:prstGeom>
                    <a:noFill/>
                    <a:ln>
                      <a:noFill/>
                    </a:ln>
                  </pic:spPr>
                </pic:pic>
              </a:graphicData>
            </a:graphic>
          </wp:anchor>
        </w:drawing>
      </w:r>
      <w:r w:rsidR="00B761C5" w:rsidRPr="00C017DB">
        <w:rPr>
          <w:b/>
          <w:bCs/>
          <w:noProof/>
          <w:sz w:val="18"/>
          <w:szCs w:val="18"/>
        </w:rPr>
        <w:drawing>
          <wp:anchor distT="0" distB="0" distL="114300" distR="114300" simplePos="0" relativeHeight="251646464" behindDoc="1" locked="0" layoutInCell="1" allowOverlap="1" wp14:anchorId="7A729BE7" wp14:editId="19D3DD8A">
            <wp:simplePos x="0" y="0"/>
            <wp:positionH relativeFrom="column">
              <wp:posOffset>-580390</wp:posOffset>
            </wp:positionH>
            <wp:positionV relativeFrom="paragraph">
              <wp:posOffset>-2540</wp:posOffset>
            </wp:positionV>
            <wp:extent cx="979170" cy="1158240"/>
            <wp:effectExtent l="0" t="0" r="0" b="381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9170" cy="1158240"/>
                    </a:xfrm>
                    <a:prstGeom prst="rect">
                      <a:avLst/>
                    </a:prstGeom>
                    <a:noFill/>
                    <a:ln>
                      <a:noFill/>
                    </a:ln>
                  </pic:spPr>
                </pic:pic>
              </a:graphicData>
            </a:graphic>
          </wp:anchor>
        </w:drawing>
      </w:r>
      <w:r w:rsidR="00B761C5" w:rsidRPr="00C017DB">
        <w:rPr>
          <w:b/>
          <w:bCs/>
          <w:sz w:val="18"/>
          <w:szCs w:val="18"/>
        </w:rPr>
        <w:t>INSTITUTUL DE CERCET</w:t>
      </w:r>
      <w:r w:rsidR="00AC752E">
        <w:rPr>
          <w:b/>
          <w:bCs/>
          <w:sz w:val="18"/>
          <w:szCs w:val="18"/>
        </w:rPr>
        <w:t>Ă</w:t>
      </w:r>
      <w:r w:rsidR="00B761C5" w:rsidRPr="00C017DB">
        <w:rPr>
          <w:b/>
          <w:bCs/>
          <w:sz w:val="18"/>
          <w:szCs w:val="18"/>
        </w:rPr>
        <w:t xml:space="preserve">RI </w:t>
      </w:r>
      <w:r w:rsidR="00AC752E">
        <w:rPr>
          <w:b/>
          <w:bCs/>
          <w:sz w:val="18"/>
          <w:szCs w:val="18"/>
        </w:rPr>
        <w:t>Î</w:t>
      </w:r>
      <w:r w:rsidR="00B761C5" w:rsidRPr="00C017DB">
        <w:rPr>
          <w:b/>
          <w:bCs/>
          <w:sz w:val="18"/>
          <w:szCs w:val="18"/>
        </w:rPr>
        <w:t>N TRANSPORTURI – INCERTRANS S.A.</w:t>
      </w:r>
    </w:p>
    <w:p w14:paraId="3EA75B08" w14:textId="77777777" w:rsidR="00B761C5" w:rsidRPr="00C017DB" w:rsidRDefault="00B761C5" w:rsidP="00C017DB">
      <w:pPr>
        <w:spacing w:after="0" w:line="240" w:lineRule="auto"/>
        <w:jc w:val="center"/>
        <w:rPr>
          <w:b/>
          <w:bCs/>
          <w:sz w:val="18"/>
          <w:szCs w:val="18"/>
        </w:rPr>
      </w:pPr>
      <w:r w:rsidRPr="00C017DB">
        <w:rPr>
          <w:b/>
          <w:bCs/>
          <w:sz w:val="18"/>
          <w:szCs w:val="18"/>
        </w:rPr>
        <w:t>Ministerul Cercet</w:t>
      </w:r>
      <w:r w:rsidR="00AC752E">
        <w:rPr>
          <w:b/>
          <w:bCs/>
          <w:sz w:val="18"/>
          <w:szCs w:val="18"/>
        </w:rPr>
        <w:t>ă</w:t>
      </w:r>
      <w:r w:rsidRPr="00C017DB">
        <w:rPr>
          <w:b/>
          <w:bCs/>
          <w:sz w:val="18"/>
          <w:szCs w:val="18"/>
        </w:rPr>
        <w:t>rii, Inov</w:t>
      </w:r>
      <w:r w:rsidR="00AC752E">
        <w:rPr>
          <w:b/>
          <w:bCs/>
          <w:sz w:val="18"/>
          <w:szCs w:val="18"/>
        </w:rPr>
        <w:t>ă</w:t>
      </w:r>
      <w:r w:rsidRPr="00C017DB">
        <w:rPr>
          <w:b/>
          <w:bCs/>
          <w:sz w:val="18"/>
          <w:szCs w:val="18"/>
        </w:rPr>
        <w:t xml:space="preserve">rii </w:t>
      </w:r>
      <w:r w:rsidR="00AC752E">
        <w:rPr>
          <w:b/>
          <w:bCs/>
          <w:sz w:val="18"/>
          <w:szCs w:val="18"/>
        </w:rPr>
        <w:t>ș</w:t>
      </w:r>
      <w:r w:rsidRPr="00C017DB">
        <w:rPr>
          <w:b/>
          <w:bCs/>
          <w:sz w:val="18"/>
          <w:szCs w:val="18"/>
        </w:rPr>
        <w:t>i Digitaliz</w:t>
      </w:r>
      <w:r w:rsidR="00AC752E">
        <w:rPr>
          <w:b/>
          <w:bCs/>
          <w:sz w:val="18"/>
          <w:szCs w:val="18"/>
        </w:rPr>
        <w:t>ă</w:t>
      </w:r>
      <w:r w:rsidRPr="00C017DB">
        <w:rPr>
          <w:b/>
          <w:bCs/>
          <w:sz w:val="18"/>
          <w:szCs w:val="18"/>
        </w:rPr>
        <w:t>rii</w:t>
      </w:r>
    </w:p>
    <w:p w14:paraId="355C2350" w14:textId="77777777" w:rsidR="00B761C5" w:rsidRPr="00C017DB" w:rsidRDefault="00B761C5" w:rsidP="00C017DB">
      <w:pPr>
        <w:spacing w:after="0" w:line="240" w:lineRule="auto"/>
        <w:jc w:val="center"/>
        <w:rPr>
          <w:b/>
          <w:bCs/>
          <w:sz w:val="18"/>
          <w:szCs w:val="18"/>
        </w:rPr>
      </w:pPr>
      <w:r w:rsidRPr="00C017DB">
        <w:rPr>
          <w:b/>
          <w:bCs/>
          <w:sz w:val="18"/>
          <w:szCs w:val="18"/>
        </w:rPr>
        <w:t>Sediu Social: Calea Grivi</w:t>
      </w:r>
      <w:r w:rsidR="00AC752E">
        <w:rPr>
          <w:b/>
          <w:bCs/>
          <w:sz w:val="18"/>
          <w:szCs w:val="18"/>
        </w:rPr>
        <w:t>ț</w:t>
      </w:r>
      <w:r w:rsidRPr="00C017DB">
        <w:rPr>
          <w:b/>
          <w:bCs/>
          <w:sz w:val="18"/>
          <w:szCs w:val="18"/>
        </w:rPr>
        <w:t>ei 391-393, Sector 1, Cod Po</w:t>
      </w:r>
      <w:r w:rsidR="00AC752E">
        <w:rPr>
          <w:b/>
          <w:bCs/>
          <w:sz w:val="18"/>
          <w:szCs w:val="18"/>
        </w:rPr>
        <w:t>ș</w:t>
      </w:r>
      <w:r w:rsidRPr="00C017DB">
        <w:rPr>
          <w:b/>
          <w:bCs/>
          <w:sz w:val="18"/>
          <w:szCs w:val="18"/>
        </w:rPr>
        <w:t xml:space="preserve">tal 010719, </w:t>
      </w:r>
      <w:r w:rsidR="00A67543">
        <w:rPr>
          <w:b/>
          <w:bCs/>
          <w:sz w:val="18"/>
          <w:szCs w:val="18"/>
        </w:rPr>
        <w:t>București</w:t>
      </w:r>
    </w:p>
    <w:p w14:paraId="2AC39300" w14:textId="77777777" w:rsidR="00B761C5" w:rsidRPr="00C017DB" w:rsidRDefault="00B761C5" w:rsidP="00C017DB">
      <w:pPr>
        <w:spacing w:after="0" w:line="240" w:lineRule="auto"/>
        <w:jc w:val="center"/>
        <w:rPr>
          <w:b/>
          <w:bCs/>
          <w:sz w:val="18"/>
          <w:szCs w:val="18"/>
        </w:rPr>
      </w:pPr>
      <w:r w:rsidRPr="00C017DB">
        <w:rPr>
          <w:b/>
          <w:bCs/>
          <w:sz w:val="18"/>
          <w:szCs w:val="18"/>
        </w:rPr>
        <w:t>Punct de Lucru: B</w:t>
      </w:r>
      <w:r w:rsidR="00AC752E">
        <w:rPr>
          <w:b/>
          <w:bCs/>
          <w:sz w:val="18"/>
          <w:szCs w:val="18"/>
        </w:rPr>
        <w:t>ă</w:t>
      </w:r>
      <w:r w:rsidRPr="00C017DB">
        <w:rPr>
          <w:b/>
          <w:bCs/>
          <w:sz w:val="18"/>
          <w:szCs w:val="18"/>
        </w:rPr>
        <w:t>neasa Business &amp; Technology Park</w:t>
      </w:r>
    </w:p>
    <w:p w14:paraId="2BEB1FCC" w14:textId="77777777" w:rsidR="00B761C5" w:rsidRPr="00C017DB" w:rsidRDefault="00AC752E" w:rsidP="00296B1B">
      <w:pPr>
        <w:spacing w:after="0" w:line="240" w:lineRule="auto"/>
        <w:ind w:firstLine="720"/>
        <w:rPr>
          <w:b/>
          <w:bCs/>
          <w:sz w:val="18"/>
          <w:szCs w:val="18"/>
        </w:rPr>
      </w:pPr>
      <w:r>
        <w:rPr>
          <w:b/>
          <w:bCs/>
          <w:sz w:val="18"/>
          <w:szCs w:val="18"/>
        </w:rPr>
        <w:t>Ș</w:t>
      </w:r>
      <w:r w:rsidR="00B761C5" w:rsidRPr="00C017DB">
        <w:rPr>
          <w:b/>
          <w:bCs/>
          <w:sz w:val="18"/>
          <w:szCs w:val="18"/>
        </w:rPr>
        <w:t xml:space="preserve">oseaua </w:t>
      </w:r>
      <w:r w:rsidR="00A67543">
        <w:rPr>
          <w:b/>
          <w:bCs/>
          <w:sz w:val="18"/>
          <w:szCs w:val="18"/>
        </w:rPr>
        <w:t>București</w:t>
      </w:r>
      <w:r w:rsidR="00B761C5" w:rsidRPr="00C017DB">
        <w:rPr>
          <w:b/>
          <w:bCs/>
          <w:sz w:val="18"/>
          <w:szCs w:val="18"/>
        </w:rPr>
        <w:t xml:space="preserve"> – Ploiesti 42-44, Cladirea B, Aripa B1, Etaj 1 si 2, Sector 1, Cod Po</w:t>
      </w:r>
      <w:r>
        <w:rPr>
          <w:b/>
          <w:bCs/>
          <w:sz w:val="18"/>
          <w:szCs w:val="18"/>
        </w:rPr>
        <w:t>ș</w:t>
      </w:r>
      <w:r w:rsidR="00B761C5" w:rsidRPr="00C017DB">
        <w:rPr>
          <w:b/>
          <w:bCs/>
          <w:sz w:val="18"/>
          <w:szCs w:val="18"/>
        </w:rPr>
        <w:t xml:space="preserve">tal 015011, </w:t>
      </w:r>
      <w:r w:rsidR="00A67543">
        <w:rPr>
          <w:b/>
          <w:bCs/>
          <w:sz w:val="18"/>
          <w:szCs w:val="18"/>
        </w:rPr>
        <w:t>București</w:t>
      </w:r>
    </w:p>
    <w:p w14:paraId="762FA2CF" w14:textId="41C39A27" w:rsidR="00B761C5" w:rsidRPr="00C017DB" w:rsidRDefault="00B761C5" w:rsidP="00C017DB">
      <w:pPr>
        <w:spacing w:after="0" w:line="240" w:lineRule="auto"/>
        <w:jc w:val="center"/>
        <w:rPr>
          <w:b/>
          <w:bCs/>
          <w:sz w:val="18"/>
          <w:szCs w:val="18"/>
        </w:rPr>
      </w:pPr>
      <w:r w:rsidRPr="00C017DB">
        <w:rPr>
          <w:b/>
          <w:bCs/>
          <w:sz w:val="18"/>
          <w:szCs w:val="18"/>
        </w:rPr>
        <w:t>Capital social: 2.970.195 RON Nr. Reg. Com: J40/17093/1993  C.U.I.: RO4282451</w:t>
      </w:r>
    </w:p>
    <w:p w14:paraId="1C85C6E7" w14:textId="77777777" w:rsidR="00B761C5" w:rsidRPr="00C017DB" w:rsidRDefault="00B761C5" w:rsidP="00C017DB">
      <w:pPr>
        <w:spacing w:after="0" w:line="240" w:lineRule="auto"/>
        <w:jc w:val="center"/>
        <w:rPr>
          <w:b/>
          <w:bCs/>
          <w:sz w:val="18"/>
          <w:szCs w:val="18"/>
        </w:rPr>
      </w:pPr>
      <w:r w:rsidRPr="00C017DB">
        <w:rPr>
          <w:b/>
          <w:bCs/>
          <w:sz w:val="18"/>
          <w:szCs w:val="18"/>
        </w:rPr>
        <w:t xml:space="preserve">Tel: + 40 (21) 316.23.37; E-mail: </w:t>
      </w:r>
      <w:hyperlink r:id="rId10" w:history="1">
        <w:r w:rsidRPr="00C017DB">
          <w:rPr>
            <w:rStyle w:val="Hyperlink"/>
            <w:b/>
            <w:bCs/>
            <w:sz w:val="18"/>
            <w:szCs w:val="18"/>
          </w:rPr>
          <w:t>incertrans@incertrans.ro</w:t>
        </w:r>
      </w:hyperlink>
      <w:r w:rsidRPr="00C017DB">
        <w:rPr>
          <w:b/>
          <w:bCs/>
          <w:sz w:val="18"/>
          <w:szCs w:val="18"/>
        </w:rPr>
        <w:t>; Web: http://www.incertrans.ro</w:t>
      </w:r>
    </w:p>
    <w:p w14:paraId="532C4E61" w14:textId="77777777" w:rsidR="00B761C5" w:rsidRDefault="00B761C5" w:rsidP="00B761C5">
      <w:pPr>
        <w:spacing w:after="0" w:line="240" w:lineRule="auto"/>
        <w:jc w:val="center"/>
        <w:rPr>
          <w:rFonts w:ascii="Calibri" w:eastAsia="Calibri" w:hAnsi="Calibri" w:cs="Times New Roman"/>
          <w:sz w:val="18"/>
          <w:szCs w:val="18"/>
        </w:rPr>
      </w:pPr>
      <w:r w:rsidRPr="00B761C5">
        <w:rPr>
          <w:rFonts w:ascii="Calibri" w:eastAsia="Calibri" w:hAnsi="Calibri" w:cs="Times New Roman"/>
          <w:noProof/>
          <w:sz w:val="18"/>
          <w:szCs w:val="18"/>
        </w:rPr>
        <mc:AlternateContent>
          <mc:Choice Requires="wps">
            <w:drawing>
              <wp:anchor distT="0" distB="0" distL="114300" distR="114300" simplePos="0" relativeHeight="251645440" behindDoc="0" locked="0" layoutInCell="1" allowOverlap="1" wp14:anchorId="6FE6AAE8" wp14:editId="7F3773D3">
                <wp:simplePos x="0" y="0"/>
                <wp:positionH relativeFrom="margin">
                  <wp:align>center</wp:align>
                </wp:positionH>
                <wp:positionV relativeFrom="paragraph">
                  <wp:posOffset>85090</wp:posOffset>
                </wp:positionV>
                <wp:extent cx="6512560" cy="6350"/>
                <wp:effectExtent l="0" t="0" r="21590" b="3175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2560" cy="6350"/>
                        </a:xfrm>
                        <a:prstGeom prst="straightConnector1">
                          <a:avLst/>
                        </a:prstGeom>
                        <a:noFill/>
                        <a:ln w="12700">
                          <a:solidFill>
                            <a:srgbClr val="943634"/>
                          </a:solidFill>
                          <a:round/>
                          <a:headEnd/>
                          <a:tailEnd/>
                        </a:ln>
                        <a:effectLst/>
                      </wps:spPr>
                      <wps:bodyPr/>
                    </wps:wsp>
                  </a:graphicData>
                </a:graphic>
                <wp14:sizeRelH relativeFrom="page">
                  <wp14:pctWidth>0</wp14:pctWidth>
                </wp14:sizeRelH>
                <wp14:sizeRelV relativeFrom="page">
                  <wp14:pctHeight>0</wp14:pctHeight>
                </wp14:sizeRelV>
              </wp:anchor>
            </w:drawing>
          </mc:Choice>
          <mc:Fallback>
            <w:pict>
              <v:shapetype w14:anchorId="04EF7BB0" id="_x0000_t32" coordsize="21600,21600" o:spt="32" o:oned="t" path="m,l21600,21600e" filled="f">
                <v:path arrowok="t" fillok="f" o:connecttype="none"/>
                <o:lock v:ext="edit" shapetype="t"/>
              </v:shapetype>
              <v:shape id="Straight Arrow Connector 2" o:spid="_x0000_s1026" type="#_x0000_t32" style="position:absolute;margin-left:0;margin-top:6.7pt;width:512.8pt;height:.5pt;z-index:2516454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" strokecolor="#943634" strokeweight="1pt">
                <w10:wrap anchorx="margin"/>
              </v:shape>
            </w:pict>
          </mc:Fallback>
        </mc:AlternateContent>
      </w:r>
      <w:r w:rsidRPr="00B761C5">
        <w:rPr>
          <w:rFonts w:ascii="Calibri" w:eastAsia="Calibri" w:hAnsi="Calibri" w:cs="Times New Roman"/>
          <w:sz w:val="18"/>
          <w:szCs w:val="18"/>
        </w:rPr>
        <w:t xml:space="preserve"> </w:t>
      </w:r>
    </w:p>
    <w:p w14:paraId="65C7BD7F" w14:textId="77777777" w:rsidR="00C017DB" w:rsidRPr="00B761C5" w:rsidRDefault="00C017DB" w:rsidP="00B761C5">
      <w:pPr>
        <w:spacing w:after="0" w:line="240" w:lineRule="auto"/>
        <w:jc w:val="center"/>
        <w:rPr>
          <w:rFonts w:ascii="Calibri" w:eastAsia="Calibri" w:hAnsi="Calibri" w:cs="Times New Roman"/>
          <w:sz w:val="18"/>
          <w:szCs w:val="18"/>
        </w:rPr>
      </w:pPr>
    </w:p>
    <w:p w14:paraId="3ABD9E4F" w14:textId="77777777" w:rsidR="008D3F8F" w:rsidRPr="002542E9" w:rsidRDefault="00347747" w:rsidP="006E2ED6">
      <w:pPr>
        <w:suppressAutoHyphens/>
        <w:spacing w:after="0" w:line="240" w:lineRule="auto"/>
        <w:jc w:val="center"/>
        <w:rPr>
          <w:rFonts w:ascii="Arial" w:eastAsia="Times New Roman" w:hAnsi="Arial" w:cs="Arial"/>
          <w:b/>
          <w:kern w:val="1"/>
          <w:sz w:val="28"/>
          <w:szCs w:val="28"/>
          <w:lang w:val="ro-RO" w:eastAsia="zh-CN"/>
        </w:rPr>
      </w:pPr>
      <w:r w:rsidRPr="002542E9">
        <w:rPr>
          <w:rFonts w:ascii="Arial" w:eastAsia="Times New Roman" w:hAnsi="Arial" w:cs="Arial"/>
          <w:b/>
          <w:kern w:val="1"/>
          <w:sz w:val="28"/>
          <w:szCs w:val="28"/>
          <w:lang w:eastAsia="zh-CN"/>
        </w:rPr>
        <w:t>PLANUL</w:t>
      </w:r>
      <w:r w:rsidR="002542E9" w:rsidRPr="002542E9">
        <w:rPr>
          <w:rFonts w:ascii="Arial" w:eastAsia="Times New Roman" w:hAnsi="Arial" w:cs="Arial"/>
          <w:b/>
          <w:kern w:val="1"/>
          <w:sz w:val="28"/>
          <w:szCs w:val="28"/>
          <w:lang w:eastAsia="zh-CN"/>
        </w:rPr>
        <w:t xml:space="preserve"> DE MOBILITATE URBANĂ DURABILĂ </w:t>
      </w:r>
      <w:r w:rsidRPr="002542E9">
        <w:rPr>
          <w:rFonts w:ascii="Arial" w:eastAsia="Times New Roman" w:hAnsi="Arial" w:cs="Arial"/>
          <w:b/>
          <w:kern w:val="1"/>
          <w:sz w:val="28"/>
          <w:szCs w:val="28"/>
          <w:lang w:eastAsia="zh-CN"/>
        </w:rPr>
        <w:t>A</w:t>
      </w:r>
      <w:r w:rsidR="00EE29BA">
        <w:rPr>
          <w:rFonts w:ascii="Arial" w:eastAsia="Times New Roman" w:hAnsi="Arial" w:cs="Arial"/>
          <w:b/>
          <w:kern w:val="1"/>
          <w:sz w:val="28"/>
          <w:szCs w:val="28"/>
          <w:lang w:eastAsia="zh-CN"/>
        </w:rPr>
        <w:t>L</w:t>
      </w:r>
      <w:r w:rsidRPr="002542E9">
        <w:rPr>
          <w:rFonts w:ascii="Arial" w:eastAsia="Times New Roman" w:hAnsi="Arial" w:cs="Arial"/>
          <w:b/>
          <w:kern w:val="1"/>
          <w:sz w:val="28"/>
          <w:szCs w:val="28"/>
          <w:lang w:eastAsia="zh-CN"/>
        </w:rPr>
        <w:t xml:space="preserve"> </w:t>
      </w:r>
      <w:r w:rsidR="002542E9" w:rsidRPr="002542E9">
        <w:rPr>
          <w:rFonts w:ascii="Arial" w:eastAsia="Times New Roman" w:hAnsi="Arial" w:cs="Arial"/>
          <w:b/>
          <w:kern w:val="1"/>
          <w:sz w:val="28"/>
          <w:szCs w:val="28"/>
          <w:lang w:eastAsia="zh-CN"/>
        </w:rPr>
        <w:t>ORA</w:t>
      </w:r>
      <w:r w:rsidR="002542E9" w:rsidRPr="002542E9">
        <w:rPr>
          <w:rFonts w:ascii="Arial" w:eastAsia="Times New Roman" w:hAnsi="Arial" w:cs="Arial"/>
          <w:b/>
          <w:kern w:val="1"/>
          <w:sz w:val="28"/>
          <w:szCs w:val="28"/>
          <w:lang w:val="ro-RO" w:eastAsia="zh-CN"/>
        </w:rPr>
        <w:t>ŞULUI HOREZU</w:t>
      </w:r>
    </w:p>
    <w:p w14:paraId="176F0921" w14:textId="05EDE8A7" w:rsidR="00B761C5" w:rsidRPr="002542E9" w:rsidRDefault="00347747" w:rsidP="006E2ED6">
      <w:pPr>
        <w:suppressAutoHyphens/>
        <w:spacing w:after="0" w:line="240" w:lineRule="auto"/>
        <w:jc w:val="center"/>
        <w:rPr>
          <w:rFonts w:ascii="Arial" w:eastAsia="Times New Roman" w:hAnsi="Arial" w:cs="Arial"/>
          <w:b/>
          <w:kern w:val="1"/>
          <w:sz w:val="28"/>
          <w:szCs w:val="28"/>
          <w:lang w:eastAsia="zh-CN"/>
        </w:rPr>
      </w:pPr>
      <w:r w:rsidRPr="002542E9">
        <w:rPr>
          <w:rFonts w:ascii="Arial" w:eastAsia="Times New Roman" w:hAnsi="Arial" w:cs="Arial"/>
          <w:b/>
          <w:kern w:val="1"/>
          <w:sz w:val="28"/>
          <w:szCs w:val="28"/>
          <w:lang w:eastAsia="zh-CN"/>
        </w:rPr>
        <w:t>PENTRU PERIOADA 202</w:t>
      </w:r>
      <w:r w:rsidR="001F7343">
        <w:rPr>
          <w:rFonts w:ascii="Arial" w:eastAsia="Times New Roman" w:hAnsi="Arial" w:cs="Arial"/>
          <w:b/>
          <w:kern w:val="1"/>
          <w:sz w:val="28"/>
          <w:szCs w:val="28"/>
          <w:lang w:eastAsia="zh-CN"/>
        </w:rPr>
        <w:t>3</w:t>
      </w:r>
      <w:r w:rsidRPr="002542E9">
        <w:rPr>
          <w:rFonts w:ascii="Arial" w:eastAsia="Times New Roman" w:hAnsi="Arial" w:cs="Arial"/>
          <w:b/>
          <w:kern w:val="1"/>
          <w:sz w:val="28"/>
          <w:szCs w:val="28"/>
          <w:lang w:eastAsia="zh-CN"/>
        </w:rPr>
        <w:t>-20</w:t>
      </w:r>
      <w:r w:rsidR="001F7343">
        <w:rPr>
          <w:rFonts w:ascii="Arial" w:eastAsia="Times New Roman" w:hAnsi="Arial" w:cs="Arial"/>
          <w:b/>
          <w:kern w:val="1"/>
          <w:sz w:val="28"/>
          <w:szCs w:val="28"/>
          <w:lang w:eastAsia="zh-CN"/>
        </w:rPr>
        <w:t>30</w:t>
      </w:r>
    </w:p>
    <w:p w14:paraId="19BDF4F5" w14:textId="77777777" w:rsidR="00B761C5" w:rsidRDefault="00C017DB" w:rsidP="006E2ED6">
      <w:pPr>
        <w:suppressAutoHyphens/>
        <w:spacing w:after="0" w:line="240" w:lineRule="auto"/>
        <w:jc w:val="center"/>
        <w:rPr>
          <w:rFonts w:ascii="Arial" w:eastAsia="Times New Roman" w:hAnsi="Arial" w:cs="Arial"/>
          <w:b/>
          <w:kern w:val="1"/>
          <w:sz w:val="44"/>
          <w:szCs w:val="44"/>
          <w:lang w:eastAsia="zh-CN"/>
        </w:rPr>
      </w:pPr>
      <w:r w:rsidRPr="00B727FE">
        <w:rPr>
          <w:rFonts w:ascii="Arial" w:eastAsia="Times New Roman" w:hAnsi="Arial" w:cs="Arial"/>
          <w:b/>
          <w:kern w:val="1"/>
          <w:sz w:val="28"/>
          <w:szCs w:val="28"/>
          <w:lang w:eastAsia="zh-CN"/>
        </w:rPr>
        <w:t xml:space="preserve">I. </w:t>
      </w:r>
      <w:bookmarkStart w:id="0" w:name="_Hlk65668335"/>
      <w:r w:rsidR="00D70AEA">
        <w:rPr>
          <w:rFonts w:ascii="Arial" w:eastAsia="Times New Roman" w:hAnsi="Arial" w:cs="Arial"/>
          <w:b/>
          <w:kern w:val="1"/>
          <w:sz w:val="28"/>
          <w:szCs w:val="28"/>
          <w:lang w:eastAsia="zh-CN"/>
        </w:rPr>
        <w:t>C</w:t>
      </w:r>
      <w:r w:rsidR="00D70AEA" w:rsidRPr="00D70AEA">
        <w:rPr>
          <w:rFonts w:ascii="Arial" w:eastAsia="Times New Roman" w:hAnsi="Arial" w:cs="Arial"/>
          <w:b/>
          <w:kern w:val="1"/>
          <w:sz w:val="28"/>
          <w:szCs w:val="28"/>
          <w:lang w:eastAsia="zh-CN"/>
        </w:rPr>
        <w:t xml:space="preserve">omponenta de nivel strategic </w:t>
      </w:r>
      <w:bookmarkEnd w:id="0"/>
    </w:p>
    <w:p w14:paraId="276B16CC" w14:textId="77777777" w:rsidR="00347747" w:rsidRDefault="00347747" w:rsidP="006E2ED6">
      <w:pPr>
        <w:suppressAutoHyphens/>
        <w:spacing w:after="0" w:line="240" w:lineRule="auto"/>
        <w:jc w:val="center"/>
        <w:rPr>
          <w:rFonts w:ascii="Arial" w:eastAsia="Times New Roman" w:hAnsi="Arial" w:cs="Arial"/>
          <w:b/>
          <w:kern w:val="1"/>
          <w:sz w:val="44"/>
          <w:szCs w:val="44"/>
          <w:lang w:eastAsia="zh-CN"/>
        </w:rPr>
      </w:pPr>
    </w:p>
    <w:p w14:paraId="52566800" w14:textId="77777777" w:rsidR="00347747" w:rsidRDefault="00F92A5C" w:rsidP="00B727FE">
      <w:pPr>
        <w:suppressAutoHyphens/>
        <w:spacing w:after="0" w:line="240" w:lineRule="auto"/>
        <w:jc w:val="center"/>
        <w:rPr>
          <w:rFonts w:ascii="Arial" w:eastAsia="Times New Roman" w:hAnsi="Arial" w:cs="Arial"/>
          <w:b/>
          <w:kern w:val="1"/>
          <w:sz w:val="44"/>
          <w:szCs w:val="44"/>
          <w:lang w:eastAsia="zh-CN"/>
        </w:rPr>
      </w:pPr>
      <w:r w:rsidRPr="00F92A5C">
        <w:rPr>
          <w:rFonts w:ascii="Arial" w:eastAsia="Times New Roman" w:hAnsi="Arial" w:cs="Arial"/>
          <w:b/>
          <w:noProof/>
          <w:kern w:val="1"/>
          <w:sz w:val="44"/>
          <w:szCs w:val="44"/>
        </w:rPr>
        <w:drawing>
          <wp:inline distT="0" distB="0" distL="0" distR="0" wp14:anchorId="0D635513" wp14:editId="36C37146">
            <wp:extent cx="3468715" cy="4905954"/>
            <wp:effectExtent l="0" t="0" r="0" b="9525"/>
            <wp:docPr id="98" name="Picture 98" descr="E:\Serviciu\Horezu_home\Lucrare\Horezu.Irina.Simpl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E:\Serviciu\Horezu_home\Lucrare\Horezu.Irina.Simplu.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74773" cy="4914522"/>
                    </a:xfrm>
                    <a:prstGeom prst="rect">
                      <a:avLst/>
                    </a:prstGeom>
                    <a:noFill/>
                    <a:ln>
                      <a:noFill/>
                    </a:ln>
                  </pic:spPr>
                </pic:pic>
              </a:graphicData>
            </a:graphic>
          </wp:inline>
        </w:drawing>
      </w:r>
    </w:p>
    <w:p w14:paraId="57E0A44F" w14:textId="77777777" w:rsidR="00B727FE" w:rsidRPr="00C017DB" w:rsidRDefault="00B727FE" w:rsidP="00C017DB">
      <w:pPr>
        <w:suppressAutoHyphens/>
        <w:spacing w:after="0" w:line="276" w:lineRule="auto"/>
        <w:ind w:left="2"/>
        <w:jc w:val="both"/>
        <w:rPr>
          <w:rFonts w:ascii="Arial Narrow" w:eastAsia="Times New Roman" w:hAnsi="Arial Narrow" w:cs="Arial"/>
          <w:b/>
          <w:color w:val="000000"/>
          <w:kern w:val="1"/>
          <w:sz w:val="24"/>
          <w:szCs w:val="24"/>
          <w:lang w:val="ro-RO" w:eastAsia="zh-CN"/>
        </w:rPr>
      </w:pPr>
      <w:r w:rsidRPr="00B727FE">
        <w:rPr>
          <w:rFonts w:ascii="Arial Narrow" w:eastAsia="Times New Roman" w:hAnsi="Arial Narrow" w:cs="Arial"/>
          <w:b/>
          <w:kern w:val="1"/>
          <w:sz w:val="24"/>
          <w:szCs w:val="24"/>
          <w:lang w:val="ro-RO" w:eastAsia="zh-CN"/>
        </w:rPr>
        <w:t xml:space="preserve">BENEFICIAR: </w:t>
      </w:r>
      <w:r w:rsidR="002542E9">
        <w:rPr>
          <w:rFonts w:ascii="Arial Narrow" w:eastAsia="Times New Roman" w:hAnsi="Arial Narrow" w:cs="Arial"/>
          <w:b/>
          <w:color w:val="000000"/>
          <w:kern w:val="1"/>
          <w:sz w:val="24"/>
          <w:szCs w:val="24"/>
          <w:lang w:val="ro-RO" w:eastAsia="zh-CN"/>
        </w:rPr>
        <w:t>UAT ORAŞUL HOREZU</w:t>
      </w:r>
    </w:p>
    <w:p w14:paraId="600C6282" w14:textId="77777777" w:rsidR="00B761C5" w:rsidRPr="00B727FE" w:rsidRDefault="00B761C5" w:rsidP="00C017DB">
      <w:pPr>
        <w:suppressAutoHyphens/>
        <w:spacing w:after="0" w:line="276" w:lineRule="auto"/>
        <w:ind w:left="2"/>
        <w:jc w:val="both"/>
        <w:rPr>
          <w:rFonts w:ascii="Arial Narrow" w:eastAsia="Times New Roman" w:hAnsi="Arial Narrow" w:cs="Arial"/>
          <w:b/>
          <w:kern w:val="1"/>
          <w:sz w:val="24"/>
          <w:szCs w:val="24"/>
          <w:lang w:val="ro-RO" w:eastAsia="zh-CN"/>
        </w:rPr>
      </w:pPr>
      <w:r w:rsidRPr="00C017DB">
        <w:rPr>
          <w:rFonts w:ascii="Arial Narrow" w:eastAsia="Times New Roman" w:hAnsi="Arial Narrow" w:cs="Arial"/>
          <w:b/>
          <w:kern w:val="1"/>
          <w:sz w:val="24"/>
          <w:szCs w:val="24"/>
          <w:lang w:val="ro-RO" w:eastAsia="zh-CN"/>
        </w:rPr>
        <w:t>ELABORATOR: Institutul de Cercetări în Transporturi - INCERTRANS SA</w:t>
      </w:r>
    </w:p>
    <w:p w14:paraId="562C0013" w14:textId="77777777" w:rsidR="00B727FE" w:rsidRPr="00B727FE" w:rsidRDefault="00B727FE" w:rsidP="00C017DB">
      <w:pPr>
        <w:suppressAutoHyphens/>
        <w:spacing w:after="0" w:line="276" w:lineRule="auto"/>
        <w:rPr>
          <w:rFonts w:ascii="Arial Narrow" w:eastAsia="Times New Roman" w:hAnsi="Arial Narrow" w:cs="Arial"/>
          <w:kern w:val="1"/>
          <w:sz w:val="24"/>
          <w:szCs w:val="24"/>
          <w:lang w:val="ro-RO" w:eastAsia="zh-CN"/>
        </w:rPr>
      </w:pPr>
      <w:r w:rsidRPr="00B727FE">
        <w:rPr>
          <w:rFonts w:ascii="Arial Narrow" w:eastAsia="Times New Roman" w:hAnsi="Arial Narrow" w:cs="Arial"/>
          <w:b/>
          <w:kern w:val="1"/>
          <w:sz w:val="24"/>
          <w:szCs w:val="24"/>
          <w:lang w:val="ro-RO" w:eastAsia="zh-CN"/>
        </w:rPr>
        <w:t xml:space="preserve">CONTRACT: </w:t>
      </w:r>
      <w:bookmarkStart w:id="1" w:name="_Hlk65572222"/>
      <w:r w:rsidRPr="00B727FE">
        <w:rPr>
          <w:rFonts w:ascii="Arial Narrow" w:eastAsia="Times New Roman" w:hAnsi="Arial Narrow" w:cs="Arial"/>
          <w:b/>
          <w:kern w:val="1"/>
          <w:sz w:val="24"/>
          <w:szCs w:val="24"/>
          <w:lang w:val="ro-RO" w:eastAsia="zh-CN"/>
        </w:rPr>
        <w:t xml:space="preserve">nr. </w:t>
      </w:r>
      <w:r w:rsidR="002542E9" w:rsidRPr="002542E9">
        <w:rPr>
          <w:rFonts w:ascii="Arial Narrow" w:eastAsia="Times New Roman" w:hAnsi="Arial Narrow" w:cs="Arial"/>
          <w:b/>
          <w:kern w:val="1"/>
          <w:sz w:val="24"/>
          <w:szCs w:val="24"/>
          <w:lang w:val="ro-RO" w:eastAsia="zh-CN"/>
        </w:rPr>
        <w:t>21141/07.10.2021</w:t>
      </w:r>
      <w:r w:rsidR="002542E9">
        <w:rPr>
          <w:rFonts w:ascii="Arial Narrow" w:eastAsia="Times New Roman" w:hAnsi="Arial Narrow" w:cs="Arial"/>
          <w:b/>
          <w:kern w:val="1"/>
          <w:sz w:val="24"/>
          <w:szCs w:val="24"/>
          <w:lang w:val="ro-RO" w:eastAsia="zh-CN"/>
        </w:rPr>
        <w:t xml:space="preserve"> / </w:t>
      </w:r>
      <w:r w:rsidRPr="00C017DB">
        <w:rPr>
          <w:rFonts w:ascii="Arial Narrow" w:eastAsia="Times New Roman" w:hAnsi="Arial Narrow" w:cs="Arial"/>
          <w:b/>
          <w:kern w:val="1"/>
          <w:sz w:val="24"/>
          <w:szCs w:val="24"/>
          <w:lang w:val="ro-RO" w:eastAsia="zh-CN"/>
        </w:rPr>
        <w:t xml:space="preserve"> </w:t>
      </w:r>
      <w:r w:rsidR="002542E9" w:rsidRPr="002542E9">
        <w:rPr>
          <w:rFonts w:ascii="Arial Narrow" w:eastAsia="Times New Roman" w:hAnsi="Arial Narrow" w:cs="Arial"/>
          <w:b/>
          <w:kern w:val="1"/>
          <w:sz w:val="24"/>
          <w:szCs w:val="24"/>
          <w:lang w:val="ro-RO" w:eastAsia="zh-CN"/>
        </w:rPr>
        <w:t>21017/07.10.2021</w:t>
      </w:r>
    </w:p>
    <w:bookmarkEnd w:id="1"/>
    <w:p w14:paraId="710BB37D" w14:textId="77777777" w:rsidR="00B727FE" w:rsidRPr="00B727FE" w:rsidRDefault="00A31042" w:rsidP="00A31042">
      <w:pPr>
        <w:tabs>
          <w:tab w:val="left" w:pos="8070"/>
        </w:tabs>
        <w:suppressAutoHyphens/>
        <w:spacing w:after="0" w:line="240" w:lineRule="auto"/>
        <w:rPr>
          <w:rFonts w:ascii="Arial" w:eastAsia="Times New Roman" w:hAnsi="Arial" w:cs="Arial"/>
          <w:kern w:val="1"/>
          <w:sz w:val="24"/>
          <w:szCs w:val="20"/>
          <w:lang w:val="ro-RO" w:eastAsia="zh-CN"/>
        </w:rPr>
      </w:pPr>
      <w:r>
        <w:rPr>
          <w:rFonts w:ascii="Arial" w:eastAsia="Times New Roman" w:hAnsi="Arial" w:cs="Arial"/>
          <w:kern w:val="1"/>
          <w:sz w:val="24"/>
          <w:szCs w:val="20"/>
          <w:lang w:val="ro-RO" w:eastAsia="zh-CN"/>
        </w:rPr>
        <w:tab/>
      </w:r>
    </w:p>
    <w:p w14:paraId="68F1B366" w14:textId="77777777" w:rsidR="00B727FE" w:rsidRPr="00B727FE" w:rsidRDefault="00A67543" w:rsidP="00B727FE">
      <w:pPr>
        <w:suppressAutoHyphens/>
        <w:spacing w:after="0" w:line="240" w:lineRule="auto"/>
        <w:jc w:val="center"/>
        <w:rPr>
          <w:rFonts w:ascii="Arial Narrow" w:eastAsia="Times New Roman" w:hAnsi="Arial Narrow" w:cs="Arial"/>
          <w:b/>
          <w:kern w:val="1"/>
          <w:lang w:eastAsia="zh-CN"/>
        </w:rPr>
      </w:pPr>
      <w:r>
        <w:rPr>
          <w:rFonts w:ascii="Arial Narrow" w:eastAsia="Times New Roman" w:hAnsi="Arial Narrow" w:cs="Arial"/>
          <w:b/>
          <w:kern w:val="1"/>
          <w:lang w:eastAsia="zh-CN"/>
        </w:rPr>
        <w:t>București</w:t>
      </w:r>
      <w:r w:rsidR="00B727FE" w:rsidRPr="00B727FE">
        <w:rPr>
          <w:rFonts w:ascii="Arial Narrow" w:eastAsia="Times New Roman" w:hAnsi="Arial Narrow" w:cs="Arial"/>
          <w:b/>
          <w:kern w:val="1"/>
          <w:lang w:eastAsia="zh-CN"/>
        </w:rPr>
        <w:t xml:space="preserve"> </w:t>
      </w:r>
    </w:p>
    <w:p w14:paraId="1B7C4CF6" w14:textId="77777777" w:rsidR="00B727FE" w:rsidRPr="00B727FE" w:rsidRDefault="002542E9" w:rsidP="00B727FE">
      <w:pPr>
        <w:suppressAutoHyphens/>
        <w:spacing w:after="0" w:line="240" w:lineRule="auto"/>
        <w:jc w:val="center"/>
        <w:rPr>
          <w:rFonts w:ascii="Arial Narrow" w:eastAsia="Times New Roman" w:hAnsi="Arial Narrow" w:cs="Arial"/>
          <w:b/>
          <w:kern w:val="1"/>
          <w:lang w:val="ro-RO" w:eastAsia="zh-CN"/>
        </w:rPr>
      </w:pPr>
      <w:r>
        <w:rPr>
          <w:rFonts w:ascii="Arial Narrow" w:eastAsia="Times New Roman" w:hAnsi="Arial Narrow" w:cs="Arial"/>
          <w:b/>
          <w:kern w:val="1"/>
          <w:lang w:eastAsia="zh-CN"/>
        </w:rPr>
        <w:t>2022</w:t>
      </w:r>
      <w:r w:rsidR="00787861" w:rsidRPr="00787861">
        <w:rPr>
          <w:rFonts w:ascii="Calibri" w:eastAsia="Calibri" w:hAnsi="Calibri" w:cs="Times New Roman"/>
          <w:noProof/>
          <w:kern w:val="1"/>
          <w:sz w:val="20"/>
          <w:szCs w:val="24"/>
          <w:lang w:eastAsia="zh-CN" w:bidi="hi-IN"/>
        </w:rPr>
        <w:t xml:space="preserve"> </w:t>
      </w:r>
    </w:p>
    <w:p w14:paraId="0AA14B58" w14:textId="77777777" w:rsidR="00C017DB" w:rsidRDefault="00C017DB">
      <w:pPr>
        <w:rPr>
          <w:rFonts w:ascii="Arial" w:eastAsia="Times New Roman" w:hAnsi="Arial" w:cs="Arial"/>
          <w:b/>
          <w:kern w:val="1"/>
          <w:sz w:val="32"/>
          <w:szCs w:val="20"/>
          <w:lang w:val="ro-RO" w:eastAsia="zh-CN"/>
        </w:rPr>
      </w:pPr>
    </w:p>
    <w:p w14:paraId="68D41781" w14:textId="77777777" w:rsidR="009E05DF" w:rsidRDefault="00A31042" w:rsidP="00B727FE">
      <w:pPr>
        <w:suppressAutoHyphens/>
        <w:spacing w:after="0" w:line="240" w:lineRule="auto"/>
        <w:ind w:left="3240" w:hanging="3240"/>
        <w:rPr>
          <w:rFonts w:ascii="Arial Narrow" w:eastAsia="Times New Roman" w:hAnsi="Arial Narrow" w:cs="Arial"/>
          <w:b/>
          <w:kern w:val="1"/>
          <w:sz w:val="24"/>
          <w:szCs w:val="20"/>
          <w:lang w:val="ro-RO" w:eastAsia="zh-CN"/>
        </w:rPr>
      </w:pPr>
      <w:r w:rsidRPr="00787861">
        <w:rPr>
          <w:rFonts w:ascii="Calibri" w:eastAsia="Calibri" w:hAnsi="Calibri" w:cs="Times New Roman"/>
          <w:noProof/>
          <w:kern w:val="1"/>
          <w:sz w:val="20"/>
          <w:szCs w:val="24"/>
        </w:rPr>
        <w:drawing>
          <wp:anchor distT="0" distB="0" distL="114300" distR="114300" simplePos="0" relativeHeight="251648512" behindDoc="0" locked="0" layoutInCell="1" allowOverlap="1" wp14:anchorId="02DD6D30" wp14:editId="03B28D5A">
            <wp:simplePos x="0" y="0"/>
            <wp:positionH relativeFrom="margin">
              <wp:align>right</wp:align>
            </wp:positionH>
            <wp:positionV relativeFrom="paragraph">
              <wp:posOffset>97790</wp:posOffset>
            </wp:positionV>
            <wp:extent cx="5943600" cy="66738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667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9693F8" w14:textId="77777777" w:rsidR="004F5666" w:rsidRDefault="004F5666" w:rsidP="00B727FE">
      <w:pPr>
        <w:suppressAutoHyphens/>
        <w:spacing w:after="0" w:line="240" w:lineRule="auto"/>
        <w:ind w:left="3240" w:hanging="3240"/>
        <w:rPr>
          <w:rFonts w:ascii="Arial Narrow" w:eastAsia="Times New Roman" w:hAnsi="Arial Narrow" w:cs="Arial"/>
          <w:b/>
          <w:kern w:val="1"/>
          <w:sz w:val="24"/>
          <w:szCs w:val="20"/>
          <w:lang w:val="ro-RO" w:eastAsia="zh-CN"/>
        </w:rPr>
      </w:pPr>
    </w:p>
    <w:p w14:paraId="4AB75E58" w14:textId="271EF151" w:rsidR="00FF0C68" w:rsidRPr="00B727FE" w:rsidRDefault="00FF0C68" w:rsidP="00FF0C68">
      <w:pPr>
        <w:suppressAutoHyphens/>
        <w:spacing w:after="0" w:line="240" w:lineRule="auto"/>
        <w:jc w:val="both"/>
        <w:rPr>
          <w:rFonts w:ascii="Arial Narrow" w:eastAsia="Times New Roman" w:hAnsi="Arial Narrow" w:cs="Arial"/>
          <w:b/>
          <w:i/>
          <w:iCs/>
          <w:kern w:val="1"/>
          <w:sz w:val="32"/>
          <w:szCs w:val="20"/>
          <w:lang w:val="ro-RO" w:eastAsia="zh-CN"/>
        </w:rPr>
      </w:pPr>
      <w:bookmarkStart w:id="2" w:name="_Hlk65665554"/>
      <w:r w:rsidRPr="00B727FE">
        <w:rPr>
          <w:rFonts w:ascii="Arial Narrow" w:eastAsia="Times New Roman" w:hAnsi="Arial Narrow" w:cs="Arial"/>
          <w:b/>
          <w:kern w:val="1"/>
          <w:sz w:val="24"/>
          <w:szCs w:val="20"/>
          <w:lang w:val="ro-RO" w:eastAsia="zh-CN"/>
        </w:rPr>
        <w:lastRenderedPageBreak/>
        <w:t>Contract</w:t>
      </w:r>
      <w:r>
        <w:rPr>
          <w:rFonts w:ascii="Arial Narrow" w:eastAsia="Times New Roman" w:hAnsi="Arial Narrow" w:cs="Arial"/>
          <w:b/>
          <w:kern w:val="1"/>
          <w:sz w:val="24"/>
          <w:szCs w:val="20"/>
          <w:lang w:val="ro-RO" w:eastAsia="zh-CN"/>
        </w:rPr>
        <w:t xml:space="preserve"> </w:t>
      </w:r>
      <w:r w:rsidRPr="00B727FE">
        <w:rPr>
          <w:rFonts w:ascii="Arial Narrow" w:eastAsia="Times New Roman" w:hAnsi="Arial Narrow" w:cs="Arial"/>
          <w:b/>
          <w:kern w:val="1"/>
          <w:sz w:val="24"/>
          <w:szCs w:val="20"/>
          <w:lang w:val="ro-RO" w:eastAsia="zh-CN"/>
        </w:rPr>
        <w:t>nr.</w:t>
      </w:r>
      <w:r w:rsidRPr="00B761C5">
        <w:rPr>
          <w:rFonts w:ascii="Arial Narrow" w:eastAsia="Times New Roman" w:hAnsi="Arial Narrow" w:cs="Arial"/>
          <w:b/>
          <w:kern w:val="1"/>
          <w:sz w:val="24"/>
          <w:szCs w:val="20"/>
          <w:lang w:val="ro-RO" w:eastAsia="zh-CN"/>
        </w:rPr>
        <w:t xml:space="preserve"> </w:t>
      </w:r>
      <w:r w:rsidRPr="002542E9">
        <w:rPr>
          <w:rFonts w:ascii="Arial Narrow" w:eastAsia="Times New Roman" w:hAnsi="Arial Narrow" w:cs="Arial"/>
          <w:b/>
          <w:kern w:val="1"/>
          <w:sz w:val="24"/>
          <w:szCs w:val="20"/>
          <w:lang w:val="ro-RO" w:eastAsia="zh-CN"/>
        </w:rPr>
        <w:t>21141/07.10.2021 / 21017/07.10.2021</w:t>
      </w:r>
      <w:r>
        <w:rPr>
          <w:rFonts w:ascii="Arial Narrow" w:eastAsia="Times New Roman" w:hAnsi="Arial Narrow" w:cs="Arial"/>
          <w:b/>
          <w:kern w:val="1"/>
          <w:sz w:val="24"/>
          <w:szCs w:val="20"/>
          <w:lang w:val="ro-RO" w:eastAsia="zh-CN"/>
        </w:rPr>
        <w:t xml:space="preserve">: Servicii pentru întocmirea </w:t>
      </w:r>
      <w:r w:rsidRPr="002542E9">
        <w:rPr>
          <w:rFonts w:ascii="Arial Narrow" w:eastAsia="Times New Roman" w:hAnsi="Arial Narrow" w:cs="Arial"/>
          <w:b/>
          <w:i/>
          <w:iCs/>
          <w:sz w:val="24"/>
          <w:szCs w:val="24"/>
          <w:lang w:eastAsia="zh-CN"/>
        </w:rPr>
        <w:t xml:space="preserve">Planul </w:t>
      </w:r>
      <w:r>
        <w:rPr>
          <w:rFonts w:ascii="Arial Narrow" w:eastAsia="Times New Roman" w:hAnsi="Arial Narrow" w:cs="Arial"/>
          <w:b/>
          <w:i/>
          <w:iCs/>
          <w:sz w:val="24"/>
          <w:szCs w:val="24"/>
          <w:lang w:eastAsia="zh-CN"/>
        </w:rPr>
        <w:t>d</w:t>
      </w:r>
      <w:r w:rsidRPr="002542E9">
        <w:rPr>
          <w:rFonts w:ascii="Arial Narrow" w:eastAsia="Times New Roman" w:hAnsi="Arial Narrow" w:cs="Arial"/>
          <w:b/>
          <w:i/>
          <w:iCs/>
          <w:sz w:val="24"/>
          <w:szCs w:val="24"/>
          <w:lang w:eastAsia="zh-CN"/>
        </w:rPr>
        <w:t xml:space="preserve">e Mobilitate Urbană Durabilă </w:t>
      </w:r>
      <w:r>
        <w:rPr>
          <w:rFonts w:ascii="Arial Narrow" w:eastAsia="Times New Roman" w:hAnsi="Arial Narrow" w:cs="Arial"/>
          <w:b/>
          <w:i/>
          <w:iCs/>
          <w:sz w:val="24"/>
          <w:szCs w:val="24"/>
          <w:lang w:eastAsia="zh-CN"/>
        </w:rPr>
        <w:t xml:space="preserve">al </w:t>
      </w:r>
      <w:r w:rsidRPr="002542E9">
        <w:rPr>
          <w:rFonts w:ascii="Arial Narrow" w:eastAsia="Times New Roman" w:hAnsi="Arial Narrow" w:cs="Arial"/>
          <w:b/>
          <w:i/>
          <w:iCs/>
          <w:sz w:val="24"/>
          <w:szCs w:val="24"/>
          <w:lang w:eastAsia="zh-CN"/>
        </w:rPr>
        <w:t>Oraşului Horezu</w:t>
      </w:r>
      <w:r>
        <w:rPr>
          <w:rFonts w:ascii="Arial Narrow" w:eastAsia="Times New Roman" w:hAnsi="Arial Narrow" w:cs="Arial"/>
          <w:b/>
          <w:i/>
          <w:iCs/>
          <w:sz w:val="24"/>
          <w:szCs w:val="24"/>
          <w:lang w:eastAsia="zh-CN"/>
        </w:rPr>
        <w:t xml:space="preserve"> p</w:t>
      </w:r>
      <w:r w:rsidRPr="002542E9">
        <w:rPr>
          <w:rFonts w:ascii="Arial Narrow" w:eastAsia="Times New Roman" w:hAnsi="Arial Narrow" w:cs="Arial"/>
          <w:b/>
          <w:i/>
          <w:iCs/>
          <w:sz w:val="24"/>
          <w:szCs w:val="24"/>
          <w:lang w:eastAsia="zh-CN"/>
        </w:rPr>
        <w:t xml:space="preserve">entru </w:t>
      </w:r>
      <w:r>
        <w:rPr>
          <w:rFonts w:ascii="Arial Narrow" w:eastAsia="Times New Roman" w:hAnsi="Arial Narrow" w:cs="Arial"/>
          <w:b/>
          <w:i/>
          <w:iCs/>
          <w:sz w:val="24"/>
          <w:szCs w:val="24"/>
          <w:lang w:eastAsia="zh-CN"/>
        </w:rPr>
        <w:t>p</w:t>
      </w:r>
      <w:r w:rsidRPr="002542E9">
        <w:rPr>
          <w:rFonts w:ascii="Arial Narrow" w:eastAsia="Times New Roman" w:hAnsi="Arial Narrow" w:cs="Arial"/>
          <w:b/>
          <w:i/>
          <w:iCs/>
          <w:sz w:val="24"/>
          <w:szCs w:val="24"/>
          <w:lang w:eastAsia="zh-CN"/>
        </w:rPr>
        <w:t>erioada 202</w:t>
      </w:r>
      <w:r w:rsidR="001F7343">
        <w:rPr>
          <w:rFonts w:ascii="Arial Narrow" w:eastAsia="Times New Roman" w:hAnsi="Arial Narrow" w:cs="Arial"/>
          <w:b/>
          <w:i/>
          <w:iCs/>
          <w:sz w:val="24"/>
          <w:szCs w:val="24"/>
          <w:lang w:eastAsia="zh-CN"/>
        </w:rPr>
        <w:t>3</w:t>
      </w:r>
      <w:r w:rsidRPr="002542E9">
        <w:rPr>
          <w:rFonts w:ascii="Arial Narrow" w:eastAsia="Times New Roman" w:hAnsi="Arial Narrow" w:cs="Arial"/>
          <w:b/>
          <w:i/>
          <w:iCs/>
          <w:sz w:val="24"/>
          <w:szCs w:val="24"/>
          <w:lang w:eastAsia="zh-CN"/>
        </w:rPr>
        <w:t>-20</w:t>
      </w:r>
      <w:r w:rsidR="001F7343">
        <w:rPr>
          <w:rFonts w:ascii="Arial Narrow" w:eastAsia="Times New Roman" w:hAnsi="Arial Narrow" w:cs="Arial"/>
          <w:b/>
          <w:i/>
          <w:iCs/>
          <w:sz w:val="24"/>
          <w:szCs w:val="24"/>
          <w:lang w:eastAsia="zh-CN"/>
        </w:rPr>
        <w:t>30</w:t>
      </w:r>
    </w:p>
    <w:p w14:paraId="77AB3A38" w14:textId="77777777" w:rsidR="00FF0C68" w:rsidRDefault="00FF0C68" w:rsidP="00FF0C68">
      <w:pPr>
        <w:suppressAutoHyphens/>
        <w:spacing w:after="0" w:line="240" w:lineRule="auto"/>
        <w:jc w:val="center"/>
        <w:rPr>
          <w:rFonts w:ascii="Arial" w:eastAsia="Times New Roman" w:hAnsi="Arial" w:cs="Arial"/>
          <w:b/>
          <w:kern w:val="1"/>
          <w:sz w:val="32"/>
          <w:szCs w:val="20"/>
          <w:lang w:val="ro-RO" w:eastAsia="zh-CN"/>
        </w:rPr>
      </w:pPr>
    </w:p>
    <w:p w14:paraId="7EE577E4" w14:textId="77777777" w:rsidR="00FF0C68" w:rsidRPr="00B727FE" w:rsidRDefault="00FF0C68" w:rsidP="00FF0C68">
      <w:pPr>
        <w:suppressAutoHyphens/>
        <w:spacing w:after="0" w:line="240" w:lineRule="auto"/>
        <w:jc w:val="center"/>
        <w:rPr>
          <w:rFonts w:ascii="Arial" w:eastAsia="Times New Roman" w:hAnsi="Arial" w:cs="Arial"/>
          <w:b/>
          <w:kern w:val="1"/>
          <w:sz w:val="32"/>
          <w:szCs w:val="20"/>
          <w:lang w:val="ro-RO" w:eastAsia="zh-CN"/>
        </w:rPr>
      </w:pPr>
    </w:p>
    <w:p w14:paraId="44356847" w14:textId="77777777" w:rsidR="00FF0C68" w:rsidRPr="00B727FE" w:rsidRDefault="00FF0C68" w:rsidP="00FF0C68">
      <w:pPr>
        <w:suppressAutoHyphens/>
        <w:spacing w:after="0" w:line="240" w:lineRule="auto"/>
        <w:jc w:val="center"/>
        <w:rPr>
          <w:rFonts w:ascii="Arial Narrow" w:eastAsia="Times New Roman" w:hAnsi="Arial Narrow" w:cs="Arial"/>
          <w:kern w:val="1"/>
          <w:sz w:val="28"/>
          <w:szCs w:val="28"/>
          <w:lang w:val="ro-RO" w:eastAsia="zh-CN"/>
        </w:rPr>
      </w:pPr>
      <w:r w:rsidRPr="00B727FE">
        <w:rPr>
          <w:rFonts w:ascii="Arial Narrow" w:eastAsia="Times New Roman" w:hAnsi="Arial Narrow" w:cs="Arial"/>
          <w:b/>
          <w:kern w:val="1"/>
          <w:sz w:val="28"/>
          <w:szCs w:val="28"/>
          <w:lang w:val="ro-RO" w:eastAsia="zh-CN"/>
        </w:rPr>
        <w:t>FOAIE  DE  SEMNĂTURI</w:t>
      </w:r>
    </w:p>
    <w:p w14:paraId="4FEE4EC6" w14:textId="77777777" w:rsidR="00FF0C68" w:rsidRPr="00B761C5" w:rsidRDefault="00FF0C68" w:rsidP="00FF0C68">
      <w:pPr>
        <w:suppressAutoHyphens/>
        <w:spacing w:after="0" w:line="360" w:lineRule="auto"/>
        <w:rPr>
          <w:rFonts w:ascii="Arial Narrow" w:eastAsia="Times New Roman" w:hAnsi="Arial Narrow" w:cs="Arial"/>
          <w:b/>
          <w:kern w:val="1"/>
          <w:sz w:val="26"/>
          <w:szCs w:val="26"/>
          <w:lang w:val="ro-RO" w:eastAsia="zh-CN"/>
        </w:rPr>
      </w:pPr>
    </w:p>
    <w:p w14:paraId="0450D9C0" w14:textId="77777777" w:rsidR="00FF0C68" w:rsidRPr="00B727FE" w:rsidRDefault="00FF0C68" w:rsidP="00FF0C68">
      <w:pPr>
        <w:shd w:val="clear" w:color="auto" w:fill="FBE4D5" w:themeFill="accent2" w:themeFillTint="33"/>
        <w:suppressAutoHyphens/>
        <w:spacing w:after="0" w:line="360" w:lineRule="auto"/>
        <w:rPr>
          <w:rFonts w:ascii="Arial Narrow" w:eastAsia="Times New Roman" w:hAnsi="Arial Narrow" w:cs="Arial"/>
          <w:kern w:val="1"/>
          <w:sz w:val="28"/>
          <w:szCs w:val="28"/>
          <w:lang w:val="ro-RO" w:eastAsia="zh-CN"/>
        </w:rPr>
      </w:pPr>
      <w:r w:rsidRPr="00B761C5">
        <w:rPr>
          <w:rFonts w:ascii="Arial Narrow" w:eastAsia="Times New Roman" w:hAnsi="Arial Narrow" w:cs="Arial"/>
          <w:b/>
          <w:kern w:val="1"/>
          <w:sz w:val="26"/>
          <w:szCs w:val="26"/>
          <w:lang w:val="ro-RO" w:eastAsia="zh-CN"/>
        </w:rPr>
        <w:t>COLECTIV DE LUCRU</w:t>
      </w:r>
    </w:p>
    <w:p w14:paraId="2CBE49BB" w14:textId="77777777" w:rsidR="00FF0C68" w:rsidRPr="00B761C5" w:rsidRDefault="00FF0C68" w:rsidP="00FF0C68">
      <w:pPr>
        <w:suppressAutoHyphens/>
        <w:spacing w:after="0" w:line="240" w:lineRule="auto"/>
        <w:rPr>
          <w:rFonts w:ascii="Arial Narrow" w:eastAsia="Times New Roman" w:hAnsi="Arial Narrow" w:cs="Times New Roman"/>
          <w:b/>
          <w:bCs/>
          <w:sz w:val="24"/>
          <w:szCs w:val="24"/>
          <w:lang w:val="ro-RO" w:eastAsia="zh-CN"/>
        </w:rPr>
      </w:pPr>
    </w:p>
    <w:p w14:paraId="1B1F6081" w14:textId="77777777" w:rsidR="00FF0C68" w:rsidRPr="00B727FE" w:rsidRDefault="00FF0C68" w:rsidP="00FF0C68">
      <w:pPr>
        <w:suppressAutoHyphens/>
        <w:spacing w:after="0" w:line="480" w:lineRule="auto"/>
        <w:rPr>
          <w:rFonts w:ascii="Arial Narrow" w:eastAsia="Times New Roman" w:hAnsi="Arial Narrow" w:cs="Arial"/>
          <w:sz w:val="26"/>
          <w:szCs w:val="26"/>
          <w:lang w:eastAsia="zh-CN"/>
        </w:rPr>
      </w:pPr>
      <w:r w:rsidRPr="00B727FE">
        <w:rPr>
          <w:rFonts w:ascii="Arial Narrow" w:eastAsia="Times New Roman" w:hAnsi="Arial Narrow" w:cs="Arial"/>
          <w:b/>
          <w:sz w:val="26"/>
          <w:szCs w:val="26"/>
          <w:lang w:eastAsia="zh-CN"/>
        </w:rPr>
        <w:t>DIRECTOR TEHNIC:</w:t>
      </w:r>
      <w:r w:rsidRPr="00B727FE">
        <w:rPr>
          <w:rFonts w:ascii="Arial Narrow" w:eastAsia="Times New Roman" w:hAnsi="Arial Narrow" w:cs="Arial"/>
          <w:sz w:val="26"/>
          <w:szCs w:val="26"/>
          <w:lang w:eastAsia="zh-CN"/>
        </w:rPr>
        <w:tab/>
      </w:r>
      <w:r w:rsidRPr="00B727FE">
        <w:rPr>
          <w:rFonts w:ascii="Arial Narrow" w:eastAsia="Times New Roman" w:hAnsi="Arial Narrow" w:cs="Arial"/>
          <w:sz w:val="26"/>
          <w:szCs w:val="26"/>
          <w:lang w:eastAsia="zh-CN"/>
        </w:rPr>
        <w:tab/>
      </w:r>
    </w:p>
    <w:p w14:paraId="1DC5F8FA" w14:textId="77777777" w:rsidR="00FF0C68" w:rsidRPr="00B727FE" w:rsidRDefault="00FF0C68" w:rsidP="00FF0C68">
      <w:pPr>
        <w:suppressAutoHyphens/>
        <w:spacing w:after="0" w:line="480" w:lineRule="auto"/>
        <w:rPr>
          <w:rFonts w:ascii="Arial Narrow" w:eastAsia="Times New Roman" w:hAnsi="Arial Narrow" w:cs="Arial"/>
          <w:sz w:val="26"/>
          <w:szCs w:val="26"/>
          <w:lang w:eastAsia="zh-CN"/>
        </w:rPr>
      </w:pPr>
      <w:r w:rsidRPr="00B727FE">
        <w:rPr>
          <w:rFonts w:ascii="Arial Narrow" w:eastAsia="Times New Roman" w:hAnsi="Arial Narrow" w:cs="Arial"/>
          <w:sz w:val="26"/>
          <w:szCs w:val="26"/>
          <w:lang w:eastAsia="zh-CN"/>
        </w:rPr>
        <w:t>ing. Anca BÂRLĂDEANU</w:t>
      </w:r>
    </w:p>
    <w:p w14:paraId="4EED4691" w14:textId="77777777" w:rsidR="00FF0C68" w:rsidRPr="00B727FE" w:rsidRDefault="00FF0C68" w:rsidP="00FF0C68">
      <w:pPr>
        <w:suppressAutoHyphens/>
        <w:spacing w:after="0" w:line="480" w:lineRule="auto"/>
        <w:rPr>
          <w:rFonts w:ascii="Arial Narrow" w:eastAsia="Times New Roman" w:hAnsi="Arial Narrow" w:cs="Arial"/>
          <w:sz w:val="26"/>
          <w:szCs w:val="26"/>
          <w:lang w:eastAsia="zh-CN"/>
        </w:rPr>
      </w:pPr>
    </w:p>
    <w:p w14:paraId="7FB907E8" w14:textId="07FDB385" w:rsidR="00FF0C68" w:rsidRPr="00475CC1" w:rsidRDefault="00FF0C68" w:rsidP="00FF0C68">
      <w:pPr>
        <w:widowControl w:val="0"/>
        <w:suppressAutoHyphens/>
        <w:spacing w:after="0" w:line="480" w:lineRule="auto"/>
        <w:rPr>
          <w:rFonts w:ascii="Arial Narrow" w:eastAsia="Times New Roman" w:hAnsi="Arial Narrow" w:cs="Arial"/>
          <w:b/>
          <w:kern w:val="1"/>
          <w:sz w:val="26"/>
          <w:szCs w:val="26"/>
          <w:lang w:eastAsia="ar-SA" w:bidi="hi-IN"/>
        </w:rPr>
      </w:pPr>
      <w:r w:rsidRPr="00475CC1">
        <w:rPr>
          <w:rFonts w:ascii="Arial Narrow" w:eastAsia="Times New Roman" w:hAnsi="Arial Narrow" w:cs="Arial"/>
          <w:b/>
          <w:kern w:val="1"/>
          <w:sz w:val="26"/>
          <w:szCs w:val="26"/>
          <w:lang w:eastAsia="ar-SA" w:bidi="hi-IN"/>
        </w:rPr>
        <w:t>Responsabil contract</w:t>
      </w:r>
      <w:r w:rsidRPr="00475CC1">
        <w:rPr>
          <w:rFonts w:ascii="Arial Narrow" w:eastAsia="Times New Roman" w:hAnsi="Arial Narrow" w:cs="Arial"/>
          <w:kern w:val="1"/>
          <w:sz w:val="26"/>
          <w:szCs w:val="26"/>
          <w:lang w:eastAsia="ar-SA" w:bidi="hi-IN"/>
        </w:rPr>
        <w:t xml:space="preserve"> ing. Luigino SZECSY  </w:t>
      </w:r>
    </w:p>
    <w:p w14:paraId="78714A4F" w14:textId="77777777" w:rsidR="00FF0C68" w:rsidRPr="00475CC1" w:rsidRDefault="00FF0C68" w:rsidP="00FF0C68">
      <w:pPr>
        <w:widowControl w:val="0"/>
        <w:suppressAutoHyphens/>
        <w:spacing w:after="0" w:line="480" w:lineRule="auto"/>
        <w:ind w:left="1440" w:firstLine="720"/>
        <w:rPr>
          <w:rFonts w:ascii="Arial Narrow" w:eastAsia="Times New Roman" w:hAnsi="Arial Narrow" w:cs="Arial"/>
          <w:kern w:val="1"/>
          <w:sz w:val="26"/>
          <w:szCs w:val="26"/>
          <w:lang w:eastAsia="ar-SA" w:bidi="hi-IN"/>
        </w:rPr>
      </w:pPr>
      <w:r w:rsidRPr="00475CC1">
        <w:rPr>
          <w:rFonts w:ascii="Arial Narrow" w:eastAsia="Times New Roman" w:hAnsi="Arial Narrow" w:cs="Arial"/>
          <w:kern w:val="1"/>
          <w:sz w:val="26"/>
          <w:szCs w:val="26"/>
          <w:lang w:eastAsia="ar-SA" w:bidi="hi-IN"/>
        </w:rPr>
        <w:t>ing. Florin DECA</w:t>
      </w:r>
    </w:p>
    <w:p w14:paraId="2D3CC2CB" w14:textId="77777777" w:rsidR="00FF0C68" w:rsidRPr="00475CC1" w:rsidRDefault="00FF0C68" w:rsidP="00FF0C68">
      <w:pPr>
        <w:widowControl w:val="0"/>
        <w:suppressAutoHyphens/>
        <w:spacing w:after="0" w:line="480" w:lineRule="auto"/>
        <w:ind w:left="1440" w:firstLine="720"/>
        <w:rPr>
          <w:rFonts w:ascii="Arial Narrow" w:eastAsia="Times New Roman" w:hAnsi="Arial Narrow" w:cs="Arial"/>
          <w:kern w:val="1"/>
          <w:sz w:val="26"/>
          <w:szCs w:val="26"/>
          <w:lang w:eastAsia="ar-SA" w:bidi="hi-IN"/>
        </w:rPr>
      </w:pPr>
      <w:r w:rsidRPr="00475CC1">
        <w:rPr>
          <w:rFonts w:ascii="Arial Narrow" w:eastAsia="Times New Roman" w:hAnsi="Arial Narrow" w:cs="Arial"/>
          <w:kern w:val="1"/>
          <w:sz w:val="26"/>
          <w:szCs w:val="26"/>
          <w:lang w:eastAsia="ar-SA" w:bidi="hi-IN"/>
        </w:rPr>
        <w:t>ing. Florin MANOLE</w:t>
      </w:r>
    </w:p>
    <w:p w14:paraId="0F09B699" w14:textId="77777777" w:rsidR="00FF0C68" w:rsidRPr="00475CC1" w:rsidRDefault="00FF0C68" w:rsidP="00FF0C68">
      <w:pPr>
        <w:widowControl w:val="0"/>
        <w:suppressAutoHyphens/>
        <w:spacing w:after="0" w:line="480" w:lineRule="auto"/>
        <w:ind w:left="1440" w:firstLine="720"/>
        <w:rPr>
          <w:rFonts w:ascii="Arial Narrow" w:eastAsia="Times New Roman" w:hAnsi="Arial Narrow" w:cs="Arial"/>
          <w:kern w:val="1"/>
          <w:sz w:val="26"/>
          <w:szCs w:val="26"/>
          <w:lang w:eastAsia="ar-SA" w:bidi="hi-IN"/>
        </w:rPr>
      </w:pPr>
      <w:r w:rsidRPr="00475CC1">
        <w:rPr>
          <w:rFonts w:ascii="Arial Narrow" w:eastAsia="Times New Roman" w:hAnsi="Arial Narrow" w:cs="Arial"/>
          <w:kern w:val="1"/>
          <w:sz w:val="26"/>
          <w:szCs w:val="26"/>
          <w:lang w:eastAsia="ar-SA" w:bidi="hi-IN"/>
        </w:rPr>
        <w:t>ing. Flavius GRIGORE</w:t>
      </w:r>
    </w:p>
    <w:p w14:paraId="02AEBEB0" w14:textId="77777777" w:rsidR="00FF0C68" w:rsidRDefault="00FF0C68" w:rsidP="00FF0C68">
      <w:pPr>
        <w:widowControl w:val="0"/>
        <w:suppressAutoHyphens/>
        <w:spacing w:after="0" w:line="480" w:lineRule="auto"/>
        <w:ind w:left="1440" w:firstLine="720"/>
        <w:rPr>
          <w:rFonts w:ascii="Arial Narrow" w:eastAsia="Times New Roman" w:hAnsi="Arial Narrow" w:cs="Arial"/>
          <w:kern w:val="1"/>
          <w:sz w:val="26"/>
          <w:szCs w:val="26"/>
          <w:lang w:eastAsia="ar-SA" w:bidi="hi-IN"/>
        </w:rPr>
      </w:pPr>
      <w:r w:rsidRPr="00475CC1">
        <w:rPr>
          <w:rFonts w:ascii="Arial Narrow" w:eastAsia="Times New Roman" w:hAnsi="Arial Narrow" w:cs="Arial"/>
          <w:kern w:val="1"/>
          <w:sz w:val="26"/>
          <w:szCs w:val="26"/>
          <w:lang w:eastAsia="ar-SA" w:bidi="hi-IN"/>
        </w:rPr>
        <w:t>ing. Petruț CLADOVEANU</w:t>
      </w:r>
    </w:p>
    <w:p w14:paraId="04D614C6" w14:textId="77777777" w:rsidR="00FF0C68" w:rsidRPr="00574E75" w:rsidRDefault="00FF0C68" w:rsidP="00FF0C68">
      <w:pPr>
        <w:widowControl w:val="0"/>
        <w:suppressAutoHyphens/>
        <w:spacing w:after="0" w:line="480" w:lineRule="auto"/>
        <w:ind w:left="1440" w:firstLine="720"/>
        <w:rPr>
          <w:rFonts w:ascii="Arial Narrow" w:eastAsia="Times New Roman" w:hAnsi="Arial Narrow" w:cs="Arial"/>
          <w:kern w:val="1"/>
          <w:sz w:val="26"/>
          <w:szCs w:val="26"/>
          <w:lang w:val="ro-RO" w:eastAsia="ar-SA" w:bidi="hi-IN"/>
        </w:rPr>
      </w:pPr>
      <w:r>
        <w:rPr>
          <w:rFonts w:ascii="Arial Narrow" w:eastAsia="Times New Roman" w:hAnsi="Arial Narrow" w:cs="Arial"/>
          <w:kern w:val="1"/>
          <w:sz w:val="26"/>
          <w:szCs w:val="26"/>
          <w:lang w:eastAsia="ar-SA" w:bidi="hi-IN"/>
        </w:rPr>
        <w:t xml:space="preserve">ing. Raul </w:t>
      </w:r>
      <w:r>
        <w:rPr>
          <w:rFonts w:ascii="Arial Narrow" w:eastAsia="Times New Roman" w:hAnsi="Arial Narrow" w:cs="Arial"/>
          <w:kern w:val="1"/>
          <w:sz w:val="26"/>
          <w:szCs w:val="26"/>
          <w:lang w:val="ro-RO" w:eastAsia="ar-SA" w:bidi="hi-IN"/>
        </w:rPr>
        <w:t>ȘAIN</w:t>
      </w:r>
    </w:p>
    <w:p w14:paraId="23E79134" w14:textId="77777777" w:rsidR="00FF0C68" w:rsidRPr="00475CC1" w:rsidRDefault="00FF0C68" w:rsidP="00FF0C68">
      <w:pPr>
        <w:widowControl w:val="0"/>
        <w:suppressAutoHyphens/>
        <w:spacing w:after="0" w:line="480" w:lineRule="auto"/>
        <w:ind w:left="1440" w:firstLine="720"/>
        <w:rPr>
          <w:rFonts w:ascii="Arial Narrow" w:eastAsia="Times New Roman" w:hAnsi="Arial Narrow" w:cs="Arial"/>
          <w:kern w:val="1"/>
          <w:sz w:val="26"/>
          <w:szCs w:val="26"/>
          <w:lang w:eastAsia="ar-SA" w:bidi="hi-IN"/>
        </w:rPr>
      </w:pPr>
      <w:r w:rsidRPr="00475CC1">
        <w:rPr>
          <w:rFonts w:ascii="Arial Narrow" w:eastAsia="Times New Roman" w:hAnsi="Arial Narrow" w:cs="Arial"/>
          <w:kern w:val="1"/>
          <w:sz w:val="26"/>
          <w:szCs w:val="26"/>
          <w:lang w:eastAsia="ar-SA" w:bidi="hi-IN"/>
        </w:rPr>
        <w:t>exp. accesare fonduri Irina VLAD</w:t>
      </w:r>
    </w:p>
    <w:p w14:paraId="05BA34E0" w14:textId="77777777" w:rsidR="00FF0C68" w:rsidRDefault="00FF0C68" w:rsidP="00FF0C68">
      <w:pPr>
        <w:widowControl w:val="0"/>
        <w:suppressAutoHyphens/>
        <w:spacing w:after="0" w:line="480" w:lineRule="auto"/>
        <w:ind w:left="1440" w:firstLine="720"/>
        <w:rPr>
          <w:rFonts w:ascii="Arial Narrow" w:eastAsia="Times New Roman" w:hAnsi="Arial Narrow" w:cs="Arial"/>
          <w:kern w:val="1"/>
          <w:sz w:val="26"/>
          <w:szCs w:val="26"/>
          <w:lang w:eastAsia="ar-SA" w:bidi="hi-IN"/>
        </w:rPr>
      </w:pPr>
      <w:r w:rsidRPr="00475CC1">
        <w:rPr>
          <w:rFonts w:ascii="Arial Narrow" w:eastAsia="Times New Roman" w:hAnsi="Arial Narrow" w:cs="Arial"/>
          <w:kern w:val="1"/>
          <w:sz w:val="26"/>
          <w:szCs w:val="26"/>
          <w:lang w:eastAsia="ar-SA" w:bidi="hi-IN"/>
        </w:rPr>
        <w:t xml:space="preserve">exp. accesare fonduri Gabriela </w:t>
      </w:r>
      <w:r>
        <w:rPr>
          <w:rFonts w:ascii="Arial Narrow" w:eastAsia="Times New Roman" w:hAnsi="Arial Narrow" w:cs="Arial"/>
          <w:kern w:val="1"/>
          <w:sz w:val="26"/>
          <w:szCs w:val="26"/>
          <w:lang w:eastAsia="ar-SA" w:bidi="hi-IN"/>
        </w:rPr>
        <w:t>CRISTESCU</w:t>
      </w:r>
    </w:p>
    <w:p w14:paraId="538B3A6C" w14:textId="77777777" w:rsidR="00FF0C68" w:rsidRDefault="00FF0C68" w:rsidP="00FF0C68">
      <w:pPr>
        <w:widowControl w:val="0"/>
        <w:suppressAutoHyphens/>
        <w:spacing w:after="0" w:line="480" w:lineRule="auto"/>
        <w:ind w:left="1440" w:firstLine="720"/>
        <w:rPr>
          <w:rFonts w:ascii="Arial Narrow" w:eastAsia="Times New Roman" w:hAnsi="Arial Narrow" w:cs="Arial"/>
          <w:kern w:val="1"/>
          <w:sz w:val="26"/>
          <w:szCs w:val="26"/>
          <w:lang w:eastAsia="ar-SA" w:bidi="hi-IN"/>
        </w:rPr>
      </w:pPr>
      <w:r>
        <w:rPr>
          <w:rFonts w:ascii="Arial Narrow" w:eastAsia="Times New Roman" w:hAnsi="Arial Narrow" w:cs="Arial"/>
          <w:kern w:val="1"/>
          <w:sz w:val="26"/>
          <w:szCs w:val="26"/>
          <w:lang w:eastAsia="ar-SA" w:bidi="hi-IN"/>
        </w:rPr>
        <w:t>ing. Ira MIHAIL</w:t>
      </w:r>
    </w:p>
    <w:p w14:paraId="1F4D168B" w14:textId="77777777" w:rsidR="00FF0C68" w:rsidRDefault="00FF0C68" w:rsidP="00FF0C68">
      <w:pPr>
        <w:widowControl w:val="0"/>
        <w:suppressAutoHyphens/>
        <w:spacing w:after="0" w:line="360" w:lineRule="auto"/>
        <w:rPr>
          <w:rFonts w:ascii="Arial Narrow" w:eastAsia="Times New Roman" w:hAnsi="Arial Narrow" w:cs="Arial"/>
          <w:kern w:val="1"/>
          <w:sz w:val="26"/>
          <w:szCs w:val="26"/>
          <w:lang w:eastAsia="ar-SA" w:bidi="hi-IN"/>
        </w:rPr>
      </w:pPr>
    </w:p>
    <w:p w14:paraId="6B66916F" w14:textId="77777777" w:rsidR="00FF0C68" w:rsidRDefault="00FF0C68" w:rsidP="00FF0C68">
      <w:pPr>
        <w:widowControl w:val="0"/>
        <w:suppressAutoHyphens/>
        <w:spacing w:after="0" w:line="360" w:lineRule="auto"/>
        <w:rPr>
          <w:rFonts w:ascii="Arial Narrow" w:eastAsia="Times New Roman" w:hAnsi="Arial Narrow" w:cs="Arial"/>
          <w:kern w:val="1"/>
          <w:sz w:val="26"/>
          <w:szCs w:val="26"/>
          <w:lang w:eastAsia="ar-SA" w:bidi="hi-IN"/>
        </w:rPr>
      </w:pPr>
    </w:p>
    <w:p w14:paraId="58E63F57" w14:textId="77777777" w:rsidR="006E2ED6" w:rsidRDefault="006E2ED6" w:rsidP="00550BDD">
      <w:pPr>
        <w:widowControl w:val="0"/>
        <w:suppressAutoHyphens/>
        <w:spacing w:after="0" w:line="360" w:lineRule="auto"/>
        <w:rPr>
          <w:rFonts w:ascii="Arial Narrow" w:eastAsia="Times New Roman" w:hAnsi="Arial Narrow" w:cs="Arial"/>
          <w:kern w:val="1"/>
          <w:sz w:val="26"/>
          <w:szCs w:val="26"/>
          <w:lang w:eastAsia="ar-SA" w:bidi="hi-IN"/>
        </w:rPr>
      </w:pPr>
    </w:p>
    <w:p w14:paraId="1418DBBA" w14:textId="77777777" w:rsidR="00C07F97" w:rsidRDefault="00C07F97" w:rsidP="00550BDD">
      <w:pPr>
        <w:widowControl w:val="0"/>
        <w:suppressAutoHyphens/>
        <w:spacing w:after="0" w:line="360" w:lineRule="auto"/>
        <w:rPr>
          <w:rFonts w:ascii="Arial Narrow" w:eastAsia="Times New Roman" w:hAnsi="Arial Narrow" w:cs="Arial"/>
          <w:kern w:val="1"/>
          <w:sz w:val="26"/>
          <w:szCs w:val="26"/>
          <w:lang w:eastAsia="ar-SA" w:bidi="hi-IN"/>
        </w:rPr>
      </w:pPr>
    </w:p>
    <w:p w14:paraId="18B2305C" w14:textId="77777777" w:rsidR="00C07F97" w:rsidRPr="00475CC1" w:rsidRDefault="00C07F97" w:rsidP="00550BDD">
      <w:pPr>
        <w:widowControl w:val="0"/>
        <w:suppressAutoHyphens/>
        <w:spacing w:after="0" w:line="360" w:lineRule="auto"/>
        <w:rPr>
          <w:rFonts w:ascii="Arial Narrow" w:eastAsia="Times New Roman" w:hAnsi="Arial Narrow" w:cs="Arial"/>
          <w:kern w:val="1"/>
          <w:sz w:val="26"/>
          <w:szCs w:val="26"/>
          <w:lang w:eastAsia="ar-SA" w:bidi="hi-IN"/>
        </w:rPr>
      </w:pPr>
    </w:p>
    <w:bookmarkEnd w:id="2"/>
    <w:p w14:paraId="06F5FF55" w14:textId="77777777" w:rsidR="00475CC1" w:rsidRDefault="00475CC1" w:rsidP="00475CC1">
      <w:pPr>
        <w:suppressAutoHyphens/>
        <w:spacing w:after="0" w:line="240" w:lineRule="auto"/>
        <w:rPr>
          <w:rFonts w:ascii="Times New Roman" w:eastAsia="Times New Roman" w:hAnsi="Times New Roman" w:cs="Times New Roman"/>
          <w:b/>
          <w:bCs/>
          <w:sz w:val="24"/>
          <w:szCs w:val="24"/>
          <w:lang w:val="ro-RO" w:eastAsia="zh-CN"/>
        </w:rPr>
      </w:pPr>
    </w:p>
    <w:p w14:paraId="2651256A" w14:textId="77777777" w:rsidR="002542E9" w:rsidRPr="00475CC1" w:rsidRDefault="002542E9" w:rsidP="00475CC1">
      <w:pPr>
        <w:suppressAutoHyphens/>
        <w:spacing w:after="0" w:line="240" w:lineRule="auto"/>
        <w:rPr>
          <w:rFonts w:ascii="Times New Roman" w:eastAsia="Times New Roman" w:hAnsi="Times New Roman" w:cs="Times New Roman"/>
          <w:b/>
          <w:bCs/>
          <w:sz w:val="24"/>
          <w:szCs w:val="24"/>
          <w:lang w:val="ro-RO" w:eastAsia="zh-CN"/>
        </w:rPr>
      </w:pPr>
    </w:p>
    <w:p w14:paraId="12151C91" w14:textId="77777777" w:rsidR="00475CC1" w:rsidRPr="00475CC1" w:rsidRDefault="00475CC1" w:rsidP="00475CC1">
      <w:pPr>
        <w:suppressAutoHyphens/>
        <w:spacing w:after="0" w:line="240" w:lineRule="auto"/>
        <w:rPr>
          <w:rFonts w:ascii="Times New Roman" w:eastAsia="Times New Roman" w:hAnsi="Times New Roman" w:cs="Times New Roman"/>
          <w:b/>
          <w:bCs/>
          <w:sz w:val="24"/>
          <w:szCs w:val="24"/>
          <w:lang w:val="ro-RO" w:eastAsia="zh-CN"/>
        </w:rPr>
      </w:pPr>
    </w:p>
    <w:p w14:paraId="4EF59DF9" w14:textId="77777777" w:rsidR="00B727FE" w:rsidRDefault="00B727FE" w:rsidP="00362A51">
      <w:pPr>
        <w:suppressAutoHyphens/>
        <w:spacing w:after="0" w:line="240" w:lineRule="auto"/>
        <w:rPr>
          <w:rFonts w:ascii="Times New Roman" w:eastAsia="Times New Roman" w:hAnsi="Times New Roman" w:cs="Times New Roman"/>
          <w:b/>
          <w:bCs/>
          <w:sz w:val="24"/>
          <w:szCs w:val="24"/>
          <w:lang w:val="ro-RO" w:eastAsia="zh-CN"/>
        </w:rPr>
      </w:pPr>
    </w:p>
    <w:sdt>
      <w:sdtPr>
        <w:rPr>
          <w:rFonts w:asciiTheme="minorHAnsi" w:eastAsia="SimSun" w:hAnsiTheme="minorHAnsi" w:cstheme="minorBidi"/>
          <w:color w:val="auto"/>
          <w:sz w:val="22"/>
          <w:szCs w:val="22"/>
        </w:rPr>
        <w:id w:val="-1337146278"/>
        <w:docPartObj>
          <w:docPartGallery w:val="Table of Contents"/>
          <w:docPartUnique/>
        </w:docPartObj>
      </w:sdtPr>
      <w:sdtEndPr>
        <w:rPr>
          <w:b/>
          <w:bCs/>
          <w:noProof/>
        </w:rPr>
      </w:sdtEndPr>
      <w:sdtContent>
        <w:p w14:paraId="3FBA353F" w14:textId="77777777" w:rsidR="00A31042" w:rsidRPr="00A31042" w:rsidRDefault="00A31042">
          <w:pPr>
            <w:pStyle w:val="Titlucuprins"/>
            <w:rPr>
              <w:b/>
              <w:bCs/>
              <w:color w:val="auto"/>
              <w:sz w:val="24"/>
              <w:szCs w:val="24"/>
            </w:rPr>
          </w:pPr>
          <w:r w:rsidRPr="00A31042">
            <w:rPr>
              <w:b/>
              <w:bCs/>
              <w:color w:val="auto"/>
              <w:sz w:val="24"/>
              <w:szCs w:val="24"/>
            </w:rPr>
            <w:t>Cuprins</w:t>
          </w:r>
        </w:p>
        <w:p w14:paraId="025ACD4A" w14:textId="74C0F1AD" w:rsidR="005B68FD" w:rsidRDefault="00A31042">
          <w:pPr>
            <w:pStyle w:val="Cuprins1"/>
            <w:tabs>
              <w:tab w:val="right" w:leader="dot" w:pos="9645"/>
            </w:tabs>
            <w:rPr>
              <w:rFonts w:eastAsiaTheme="minorEastAsia"/>
              <w:noProof/>
              <w:kern w:val="2"/>
              <w:lang w:val="ro-RO" w:eastAsia="ro-RO"/>
              <w14:ligatures w14:val="standardContextual"/>
            </w:rPr>
          </w:pPr>
          <w:r>
            <w:fldChar w:fldCharType="begin"/>
          </w:r>
          <w:r>
            <w:instrText xml:space="preserve"> TOC \o "1-3" \h \z \u </w:instrText>
          </w:r>
          <w:r>
            <w:fldChar w:fldCharType="separate"/>
          </w:r>
          <w:hyperlink w:anchor="_Toc142039040" w:history="1">
            <w:r w:rsidR="005B68FD" w:rsidRPr="002B37D0">
              <w:rPr>
                <w:rStyle w:val="Hyperlink"/>
                <w:rFonts w:ascii="Arial" w:eastAsia="Times New Roman" w:hAnsi="Arial" w:cs="Arial"/>
                <w:b/>
                <w:bCs/>
                <w:noProof/>
                <w:lang w:eastAsia="zh-CN" w:bidi="hi-IN"/>
              </w:rPr>
              <w:t>Abrevieri</w:t>
            </w:r>
            <w:r w:rsidR="005B68FD">
              <w:rPr>
                <w:noProof/>
                <w:webHidden/>
              </w:rPr>
              <w:tab/>
            </w:r>
            <w:r w:rsidR="005B68FD">
              <w:rPr>
                <w:noProof/>
                <w:webHidden/>
              </w:rPr>
              <w:fldChar w:fldCharType="begin"/>
            </w:r>
            <w:r w:rsidR="005B68FD">
              <w:rPr>
                <w:noProof/>
                <w:webHidden/>
              </w:rPr>
              <w:instrText xml:space="preserve"> PAGEREF _Toc142039040 \h </w:instrText>
            </w:r>
            <w:r w:rsidR="005B68FD">
              <w:rPr>
                <w:noProof/>
                <w:webHidden/>
              </w:rPr>
            </w:r>
            <w:r w:rsidR="005B68FD">
              <w:rPr>
                <w:noProof/>
                <w:webHidden/>
              </w:rPr>
              <w:fldChar w:fldCharType="separate"/>
            </w:r>
            <w:r w:rsidR="00BB181C">
              <w:rPr>
                <w:noProof/>
                <w:webHidden/>
              </w:rPr>
              <w:t>12</w:t>
            </w:r>
            <w:r w:rsidR="005B68FD">
              <w:rPr>
                <w:noProof/>
                <w:webHidden/>
              </w:rPr>
              <w:fldChar w:fldCharType="end"/>
            </w:r>
          </w:hyperlink>
        </w:p>
        <w:p w14:paraId="70822F93" w14:textId="4F3AC47E" w:rsidR="005B68FD" w:rsidRDefault="005B68FD">
          <w:pPr>
            <w:pStyle w:val="Cuprins1"/>
            <w:tabs>
              <w:tab w:val="right" w:leader="dot" w:pos="9645"/>
            </w:tabs>
            <w:rPr>
              <w:rFonts w:eastAsiaTheme="minorEastAsia"/>
              <w:noProof/>
              <w:kern w:val="2"/>
              <w:lang w:val="ro-RO" w:eastAsia="ro-RO"/>
              <w14:ligatures w14:val="standardContextual"/>
            </w:rPr>
          </w:pPr>
          <w:hyperlink w:anchor="_Toc142039041" w:history="1">
            <w:r w:rsidRPr="002B37D0">
              <w:rPr>
                <w:rStyle w:val="Hyperlink"/>
                <w:rFonts w:ascii="Calibri Light" w:eastAsia="Times New Roman" w:hAnsi="Calibri Light" w:cs="Times New Roman"/>
                <w:b/>
                <w:bCs/>
                <w:noProof/>
                <w:lang w:val="it-IT" w:eastAsia="ro-RO"/>
              </w:rPr>
              <w:t>Preambul</w:t>
            </w:r>
            <w:r>
              <w:rPr>
                <w:noProof/>
                <w:webHidden/>
              </w:rPr>
              <w:tab/>
            </w:r>
            <w:r>
              <w:rPr>
                <w:noProof/>
                <w:webHidden/>
              </w:rPr>
              <w:fldChar w:fldCharType="begin"/>
            </w:r>
            <w:r>
              <w:rPr>
                <w:noProof/>
                <w:webHidden/>
              </w:rPr>
              <w:instrText xml:space="preserve"> PAGEREF _Toc142039041 \h </w:instrText>
            </w:r>
            <w:r>
              <w:rPr>
                <w:noProof/>
                <w:webHidden/>
              </w:rPr>
            </w:r>
            <w:r>
              <w:rPr>
                <w:noProof/>
                <w:webHidden/>
              </w:rPr>
              <w:fldChar w:fldCharType="separate"/>
            </w:r>
            <w:r w:rsidR="00BB181C">
              <w:rPr>
                <w:noProof/>
                <w:webHidden/>
              </w:rPr>
              <w:t>13</w:t>
            </w:r>
            <w:r>
              <w:rPr>
                <w:noProof/>
                <w:webHidden/>
              </w:rPr>
              <w:fldChar w:fldCharType="end"/>
            </w:r>
          </w:hyperlink>
        </w:p>
        <w:p w14:paraId="4D68143D" w14:textId="7F030EAE" w:rsidR="005B68FD" w:rsidRDefault="005B68FD">
          <w:pPr>
            <w:pStyle w:val="Cuprins1"/>
            <w:tabs>
              <w:tab w:val="right" w:leader="dot" w:pos="9645"/>
            </w:tabs>
            <w:rPr>
              <w:rFonts w:eastAsiaTheme="minorEastAsia"/>
              <w:noProof/>
              <w:kern w:val="2"/>
              <w:lang w:val="ro-RO" w:eastAsia="ro-RO"/>
              <w14:ligatures w14:val="standardContextual"/>
            </w:rPr>
          </w:pPr>
          <w:hyperlink r:id="rId13" w:anchor="_Toc142039042" w:history="1">
            <w:r w:rsidRPr="002B37D0">
              <w:rPr>
                <w:rStyle w:val="Hyperlink"/>
                <w:b/>
                <w:noProof/>
                <w:lang w:val="ro-RO" w:eastAsia="ro-RO"/>
                <w14:textOutline w14:w="11112" w14:cap="flat" w14:cmpd="sng" w14:algn="ctr">
                  <w14:solidFill>
                    <w14:schemeClr w14:val="accent2"/>
                  </w14:solidFill>
                  <w14:prstDash w14:val="solid"/>
                  <w14:round/>
                </w14:textOutline>
              </w:rPr>
              <w:t>Preambul</w:t>
            </w:r>
            <w:r>
              <w:rPr>
                <w:noProof/>
                <w:webHidden/>
              </w:rPr>
              <w:tab/>
            </w:r>
            <w:r>
              <w:rPr>
                <w:noProof/>
                <w:webHidden/>
              </w:rPr>
              <w:fldChar w:fldCharType="begin"/>
            </w:r>
            <w:r>
              <w:rPr>
                <w:noProof/>
                <w:webHidden/>
              </w:rPr>
              <w:instrText xml:space="preserve"> PAGEREF _Toc142039042 \h </w:instrText>
            </w:r>
            <w:r>
              <w:rPr>
                <w:noProof/>
                <w:webHidden/>
              </w:rPr>
            </w:r>
            <w:r>
              <w:rPr>
                <w:noProof/>
                <w:webHidden/>
              </w:rPr>
              <w:fldChar w:fldCharType="separate"/>
            </w:r>
            <w:r w:rsidR="00BB181C">
              <w:rPr>
                <w:noProof/>
                <w:webHidden/>
              </w:rPr>
              <w:t>13</w:t>
            </w:r>
            <w:r>
              <w:rPr>
                <w:noProof/>
                <w:webHidden/>
              </w:rPr>
              <w:fldChar w:fldCharType="end"/>
            </w:r>
          </w:hyperlink>
        </w:p>
        <w:p w14:paraId="2CDD400D" w14:textId="2EC05D27" w:rsidR="005B68FD" w:rsidRDefault="005B68FD">
          <w:pPr>
            <w:pStyle w:val="Cuprins1"/>
            <w:tabs>
              <w:tab w:val="right" w:leader="dot" w:pos="9645"/>
            </w:tabs>
            <w:rPr>
              <w:rFonts w:eastAsiaTheme="minorEastAsia"/>
              <w:noProof/>
              <w:kern w:val="2"/>
              <w:lang w:val="ro-RO" w:eastAsia="ro-RO"/>
              <w14:ligatures w14:val="standardContextual"/>
            </w:rPr>
          </w:pPr>
          <w:hyperlink w:anchor="_Toc142039043" w:history="1">
            <w:r w:rsidRPr="002B37D0">
              <w:rPr>
                <w:rStyle w:val="Hyperlink"/>
                <w:rFonts w:ascii="Arial" w:eastAsia="Times New Roman" w:hAnsi="Arial" w:cs="Arial"/>
                <w:b/>
                <w:bCs/>
                <w:noProof/>
                <w:lang w:val="it-IT" w:eastAsia="ro-RO"/>
              </w:rPr>
              <w:t>I.1. Introducere</w:t>
            </w:r>
            <w:r>
              <w:rPr>
                <w:noProof/>
                <w:webHidden/>
              </w:rPr>
              <w:tab/>
            </w:r>
            <w:r>
              <w:rPr>
                <w:noProof/>
                <w:webHidden/>
              </w:rPr>
              <w:fldChar w:fldCharType="begin"/>
            </w:r>
            <w:r>
              <w:rPr>
                <w:noProof/>
                <w:webHidden/>
              </w:rPr>
              <w:instrText xml:space="preserve"> PAGEREF _Toc142039043 \h </w:instrText>
            </w:r>
            <w:r>
              <w:rPr>
                <w:noProof/>
                <w:webHidden/>
              </w:rPr>
            </w:r>
            <w:r>
              <w:rPr>
                <w:noProof/>
                <w:webHidden/>
              </w:rPr>
              <w:fldChar w:fldCharType="separate"/>
            </w:r>
            <w:r w:rsidR="00BB181C">
              <w:rPr>
                <w:noProof/>
                <w:webHidden/>
              </w:rPr>
              <w:t>15</w:t>
            </w:r>
            <w:r>
              <w:rPr>
                <w:noProof/>
                <w:webHidden/>
              </w:rPr>
              <w:fldChar w:fldCharType="end"/>
            </w:r>
          </w:hyperlink>
        </w:p>
        <w:p w14:paraId="3EEF0F09" w14:textId="5493E649" w:rsidR="005B68FD" w:rsidRDefault="005B68FD">
          <w:pPr>
            <w:pStyle w:val="Cuprins1"/>
            <w:tabs>
              <w:tab w:val="right" w:leader="dot" w:pos="9645"/>
            </w:tabs>
            <w:rPr>
              <w:rFonts w:eastAsiaTheme="minorEastAsia"/>
              <w:noProof/>
              <w:kern w:val="2"/>
              <w:lang w:val="ro-RO" w:eastAsia="ro-RO"/>
              <w14:ligatures w14:val="standardContextual"/>
            </w:rPr>
          </w:pPr>
          <w:hyperlink r:id="rId14" w:anchor="_Toc142039044" w:history="1">
            <w:r w:rsidRPr="002B37D0">
              <w:rPr>
                <w:rStyle w:val="Hyperlink"/>
                <w:rFonts w:ascii="Arial" w:eastAsia="Times New Roman" w:hAnsi="Arial" w:cs="Arial"/>
                <w:b/>
                <w:bCs/>
                <w:noProof/>
                <w:lang w:val="ro-RO" w:eastAsia="ro-RO"/>
                <w14:textOutline w14:w="11112" w14:cap="flat" w14:cmpd="sng" w14:algn="ctr">
                  <w14:solidFill>
                    <w14:schemeClr w14:val="accent2"/>
                  </w14:solidFill>
                  <w14:prstDash w14:val="solid"/>
                  <w14:round/>
                </w14:textOutline>
              </w:rPr>
              <w:t>I.1</w:t>
            </w:r>
            <w:r>
              <w:rPr>
                <w:noProof/>
                <w:webHidden/>
              </w:rPr>
              <w:tab/>
            </w:r>
            <w:r>
              <w:rPr>
                <w:noProof/>
                <w:webHidden/>
              </w:rPr>
              <w:fldChar w:fldCharType="begin"/>
            </w:r>
            <w:r>
              <w:rPr>
                <w:noProof/>
                <w:webHidden/>
              </w:rPr>
              <w:instrText xml:space="preserve"> PAGEREF _Toc142039044 \h </w:instrText>
            </w:r>
            <w:r>
              <w:rPr>
                <w:noProof/>
                <w:webHidden/>
              </w:rPr>
            </w:r>
            <w:r>
              <w:rPr>
                <w:noProof/>
                <w:webHidden/>
              </w:rPr>
              <w:fldChar w:fldCharType="separate"/>
            </w:r>
            <w:r w:rsidR="00BB181C">
              <w:rPr>
                <w:noProof/>
                <w:webHidden/>
              </w:rPr>
              <w:t>15</w:t>
            </w:r>
            <w:r>
              <w:rPr>
                <w:noProof/>
                <w:webHidden/>
              </w:rPr>
              <w:fldChar w:fldCharType="end"/>
            </w:r>
          </w:hyperlink>
        </w:p>
        <w:p w14:paraId="74209DB7" w14:textId="2E1E6DCB" w:rsidR="005B68FD" w:rsidRDefault="005B68FD">
          <w:pPr>
            <w:pStyle w:val="Cuprins2"/>
            <w:tabs>
              <w:tab w:val="right" w:leader="dot" w:pos="9645"/>
            </w:tabs>
            <w:rPr>
              <w:rFonts w:eastAsiaTheme="minorEastAsia"/>
              <w:noProof/>
              <w:kern w:val="2"/>
              <w:lang w:val="ro-RO" w:eastAsia="ro-RO"/>
              <w14:ligatures w14:val="standardContextual"/>
            </w:rPr>
          </w:pPr>
          <w:hyperlink w:anchor="_Toc142039045" w:history="1">
            <w:r w:rsidRPr="002B37D0">
              <w:rPr>
                <w:rStyle w:val="Hyperlink"/>
                <w:rFonts w:ascii="Arial" w:eastAsia="Times New Roman" w:hAnsi="Arial" w:cs="Arial"/>
                <w:b/>
                <w:bCs/>
                <w:noProof/>
                <w:lang w:val="it-IT" w:eastAsia="ro-RO"/>
              </w:rPr>
              <w:t>I.1.1 Scopul și rolul documentației</w:t>
            </w:r>
            <w:r>
              <w:rPr>
                <w:noProof/>
                <w:webHidden/>
              </w:rPr>
              <w:tab/>
            </w:r>
            <w:r>
              <w:rPr>
                <w:noProof/>
                <w:webHidden/>
              </w:rPr>
              <w:fldChar w:fldCharType="begin"/>
            </w:r>
            <w:r>
              <w:rPr>
                <w:noProof/>
                <w:webHidden/>
              </w:rPr>
              <w:instrText xml:space="preserve"> PAGEREF _Toc142039045 \h </w:instrText>
            </w:r>
            <w:r>
              <w:rPr>
                <w:noProof/>
                <w:webHidden/>
              </w:rPr>
            </w:r>
            <w:r>
              <w:rPr>
                <w:noProof/>
                <w:webHidden/>
              </w:rPr>
              <w:fldChar w:fldCharType="separate"/>
            </w:r>
            <w:r w:rsidR="00BB181C">
              <w:rPr>
                <w:noProof/>
                <w:webHidden/>
              </w:rPr>
              <w:t>15</w:t>
            </w:r>
            <w:r>
              <w:rPr>
                <w:noProof/>
                <w:webHidden/>
              </w:rPr>
              <w:fldChar w:fldCharType="end"/>
            </w:r>
          </w:hyperlink>
        </w:p>
        <w:p w14:paraId="224F6055" w14:textId="6311ADB5" w:rsidR="005B68FD" w:rsidRDefault="005B68FD">
          <w:pPr>
            <w:pStyle w:val="Cuprins2"/>
            <w:tabs>
              <w:tab w:val="right" w:leader="dot" w:pos="9645"/>
            </w:tabs>
            <w:rPr>
              <w:rFonts w:eastAsiaTheme="minorEastAsia"/>
              <w:noProof/>
              <w:kern w:val="2"/>
              <w:lang w:val="ro-RO" w:eastAsia="ro-RO"/>
              <w14:ligatures w14:val="standardContextual"/>
            </w:rPr>
          </w:pPr>
          <w:hyperlink w:anchor="_Toc142039046" w:history="1">
            <w:r w:rsidRPr="002B37D0">
              <w:rPr>
                <w:rStyle w:val="Hyperlink"/>
                <w:rFonts w:ascii="Arial" w:eastAsia="Times New Roman" w:hAnsi="Arial" w:cs="Arial"/>
                <w:b/>
                <w:bCs/>
                <w:noProof/>
                <w:lang w:val="it-IT" w:eastAsia="ro-RO"/>
              </w:rPr>
              <w:t>I.1.2 Încadrarea în prevederile documentelor de planificare spațială</w:t>
            </w:r>
            <w:r>
              <w:rPr>
                <w:noProof/>
                <w:webHidden/>
              </w:rPr>
              <w:tab/>
            </w:r>
            <w:r>
              <w:rPr>
                <w:noProof/>
                <w:webHidden/>
              </w:rPr>
              <w:fldChar w:fldCharType="begin"/>
            </w:r>
            <w:r>
              <w:rPr>
                <w:noProof/>
                <w:webHidden/>
              </w:rPr>
              <w:instrText xml:space="preserve"> PAGEREF _Toc142039046 \h </w:instrText>
            </w:r>
            <w:r>
              <w:rPr>
                <w:noProof/>
                <w:webHidden/>
              </w:rPr>
            </w:r>
            <w:r>
              <w:rPr>
                <w:noProof/>
                <w:webHidden/>
              </w:rPr>
              <w:fldChar w:fldCharType="separate"/>
            </w:r>
            <w:r w:rsidR="00BB181C">
              <w:rPr>
                <w:noProof/>
                <w:webHidden/>
              </w:rPr>
              <w:t>34</w:t>
            </w:r>
            <w:r>
              <w:rPr>
                <w:noProof/>
                <w:webHidden/>
              </w:rPr>
              <w:fldChar w:fldCharType="end"/>
            </w:r>
          </w:hyperlink>
        </w:p>
        <w:p w14:paraId="5A2F5141" w14:textId="55380957" w:rsidR="005B68FD" w:rsidRDefault="005B68FD">
          <w:pPr>
            <w:pStyle w:val="Cuprins2"/>
            <w:tabs>
              <w:tab w:val="right" w:leader="dot" w:pos="9645"/>
            </w:tabs>
            <w:rPr>
              <w:rFonts w:eastAsiaTheme="minorEastAsia"/>
              <w:noProof/>
              <w:kern w:val="2"/>
              <w:lang w:val="ro-RO" w:eastAsia="ro-RO"/>
              <w14:ligatures w14:val="standardContextual"/>
            </w:rPr>
          </w:pPr>
          <w:hyperlink w:anchor="_Toc142039047" w:history="1">
            <w:r w:rsidRPr="002B37D0">
              <w:rPr>
                <w:rStyle w:val="Hyperlink"/>
                <w:rFonts w:ascii="Arial" w:eastAsia="Times New Roman" w:hAnsi="Arial" w:cs="Arial"/>
                <w:b/>
                <w:bCs/>
                <w:noProof/>
                <w:lang w:val="it-IT" w:eastAsia="ro-RO"/>
              </w:rPr>
              <w:t>I.1.3 Incadrarea în prevederile documentelor strategice sectoriale</w:t>
            </w:r>
            <w:r>
              <w:rPr>
                <w:noProof/>
                <w:webHidden/>
              </w:rPr>
              <w:tab/>
            </w:r>
            <w:r>
              <w:rPr>
                <w:noProof/>
                <w:webHidden/>
              </w:rPr>
              <w:fldChar w:fldCharType="begin"/>
            </w:r>
            <w:r>
              <w:rPr>
                <w:noProof/>
                <w:webHidden/>
              </w:rPr>
              <w:instrText xml:space="preserve"> PAGEREF _Toc142039047 \h </w:instrText>
            </w:r>
            <w:r>
              <w:rPr>
                <w:noProof/>
                <w:webHidden/>
              </w:rPr>
            </w:r>
            <w:r>
              <w:rPr>
                <w:noProof/>
                <w:webHidden/>
              </w:rPr>
              <w:fldChar w:fldCharType="separate"/>
            </w:r>
            <w:r w:rsidR="00BB181C">
              <w:rPr>
                <w:noProof/>
                <w:webHidden/>
              </w:rPr>
              <w:t>44</w:t>
            </w:r>
            <w:r>
              <w:rPr>
                <w:noProof/>
                <w:webHidden/>
              </w:rPr>
              <w:fldChar w:fldCharType="end"/>
            </w:r>
          </w:hyperlink>
        </w:p>
        <w:p w14:paraId="644D032D" w14:textId="4AEC82CD" w:rsidR="005B68FD" w:rsidRDefault="005B68FD">
          <w:pPr>
            <w:pStyle w:val="Cuprins2"/>
            <w:tabs>
              <w:tab w:val="right" w:leader="dot" w:pos="9645"/>
            </w:tabs>
            <w:rPr>
              <w:rFonts w:eastAsiaTheme="minorEastAsia"/>
              <w:noProof/>
              <w:kern w:val="2"/>
              <w:lang w:val="ro-RO" w:eastAsia="ro-RO"/>
              <w14:ligatures w14:val="standardContextual"/>
            </w:rPr>
          </w:pPr>
          <w:hyperlink w:anchor="_Toc142039048" w:history="1">
            <w:r w:rsidRPr="002B37D0">
              <w:rPr>
                <w:rStyle w:val="Hyperlink"/>
                <w:rFonts w:ascii="Arial" w:eastAsia="Times New Roman" w:hAnsi="Arial" w:cs="Arial"/>
                <w:b/>
                <w:bCs/>
                <w:noProof/>
                <w:lang w:val="it-IT" w:eastAsia="ro-RO"/>
              </w:rPr>
              <w:t>I.1.4 Preluarea prevederilor privind dezvoltarea economica, sociala și de cadru natural din documentele de planificare ale UAT Horezu</w:t>
            </w:r>
            <w:r>
              <w:rPr>
                <w:noProof/>
                <w:webHidden/>
              </w:rPr>
              <w:tab/>
            </w:r>
            <w:r>
              <w:rPr>
                <w:noProof/>
                <w:webHidden/>
              </w:rPr>
              <w:fldChar w:fldCharType="begin"/>
            </w:r>
            <w:r>
              <w:rPr>
                <w:noProof/>
                <w:webHidden/>
              </w:rPr>
              <w:instrText xml:space="preserve"> PAGEREF _Toc142039048 \h </w:instrText>
            </w:r>
            <w:r>
              <w:rPr>
                <w:noProof/>
                <w:webHidden/>
              </w:rPr>
            </w:r>
            <w:r>
              <w:rPr>
                <w:noProof/>
                <w:webHidden/>
              </w:rPr>
              <w:fldChar w:fldCharType="separate"/>
            </w:r>
            <w:r w:rsidR="00BB181C">
              <w:rPr>
                <w:noProof/>
                <w:webHidden/>
              </w:rPr>
              <w:t>71</w:t>
            </w:r>
            <w:r>
              <w:rPr>
                <w:noProof/>
                <w:webHidden/>
              </w:rPr>
              <w:fldChar w:fldCharType="end"/>
            </w:r>
          </w:hyperlink>
        </w:p>
        <w:p w14:paraId="797FCA02" w14:textId="5E05D917" w:rsidR="005B68FD" w:rsidRDefault="005B68FD">
          <w:pPr>
            <w:pStyle w:val="Cuprins1"/>
            <w:tabs>
              <w:tab w:val="right" w:leader="dot" w:pos="9645"/>
            </w:tabs>
            <w:rPr>
              <w:rFonts w:eastAsiaTheme="minorEastAsia"/>
              <w:noProof/>
              <w:kern w:val="2"/>
              <w:lang w:val="ro-RO" w:eastAsia="ro-RO"/>
              <w14:ligatures w14:val="standardContextual"/>
            </w:rPr>
          </w:pPr>
          <w:hyperlink w:anchor="_Toc142039049" w:history="1">
            <w:r w:rsidRPr="002B37D0">
              <w:rPr>
                <w:rStyle w:val="Hyperlink"/>
                <w:rFonts w:ascii="Arial" w:hAnsi="Arial" w:cs="Arial"/>
                <w:b/>
                <w:bCs/>
                <w:noProof/>
              </w:rPr>
              <w:t>I.2 Analiza situației existente</w:t>
            </w:r>
            <w:r>
              <w:rPr>
                <w:noProof/>
                <w:webHidden/>
              </w:rPr>
              <w:tab/>
            </w:r>
            <w:r>
              <w:rPr>
                <w:noProof/>
                <w:webHidden/>
              </w:rPr>
              <w:fldChar w:fldCharType="begin"/>
            </w:r>
            <w:r>
              <w:rPr>
                <w:noProof/>
                <w:webHidden/>
              </w:rPr>
              <w:instrText xml:space="preserve"> PAGEREF _Toc142039049 \h </w:instrText>
            </w:r>
            <w:r>
              <w:rPr>
                <w:noProof/>
                <w:webHidden/>
              </w:rPr>
            </w:r>
            <w:r>
              <w:rPr>
                <w:noProof/>
                <w:webHidden/>
              </w:rPr>
              <w:fldChar w:fldCharType="separate"/>
            </w:r>
            <w:r w:rsidR="00BB181C">
              <w:rPr>
                <w:noProof/>
                <w:webHidden/>
              </w:rPr>
              <w:t>73</w:t>
            </w:r>
            <w:r>
              <w:rPr>
                <w:noProof/>
                <w:webHidden/>
              </w:rPr>
              <w:fldChar w:fldCharType="end"/>
            </w:r>
          </w:hyperlink>
        </w:p>
        <w:p w14:paraId="3675A7D0" w14:textId="6595D286" w:rsidR="005B68FD" w:rsidRDefault="005B68FD">
          <w:pPr>
            <w:pStyle w:val="Cuprins1"/>
            <w:tabs>
              <w:tab w:val="right" w:leader="dot" w:pos="9645"/>
            </w:tabs>
            <w:rPr>
              <w:rFonts w:eastAsiaTheme="minorEastAsia"/>
              <w:noProof/>
              <w:kern w:val="2"/>
              <w:lang w:val="ro-RO" w:eastAsia="ro-RO"/>
              <w14:ligatures w14:val="standardContextual"/>
            </w:rPr>
          </w:pPr>
          <w:hyperlink r:id="rId15" w:anchor="_Toc142039050" w:history="1">
            <w:r w:rsidRPr="002B37D0">
              <w:rPr>
                <w:rStyle w:val="Hyperlink"/>
                <w:rFonts w:ascii="Arial" w:eastAsia="Times New Roman" w:hAnsi="Arial" w:cs="Arial"/>
                <w:b/>
                <w:bCs/>
                <w:noProof/>
                <w:lang w:val="ro-RO" w:eastAsia="ro-RO"/>
                <w14:textOutline w14:w="11112" w14:cap="flat" w14:cmpd="sng" w14:algn="ctr">
                  <w14:solidFill>
                    <w14:schemeClr w14:val="accent2"/>
                  </w14:solidFill>
                  <w14:prstDash w14:val="solid"/>
                  <w14:round/>
                </w14:textOutline>
              </w:rPr>
              <w:t>I.2</w:t>
            </w:r>
            <w:r>
              <w:rPr>
                <w:noProof/>
                <w:webHidden/>
              </w:rPr>
              <w:tab/>
            </w:r>
            <w:r>
              <w:rPr>
                <w:noProof/>
                <w:webHidden/>
              </w:rPr>
              <w:fldChar w:fldCharType="begin"/>
            </w:r>
            <w:r>
              <w:rPr>
                <w:noProof/>
                <w:webHidden/>
              </w:rPr>
              <w:instrText xml:space="preserve"> PAGEREF _Toc142039050 \h </w:instrText>
            </w:r>
            <w:r>
              <w:rPr>
                <w:noProof/>
                <w:webHidden/>
              </w:rPr>
            </w:r>
            <w:r>
              <w:rPr>
                <w:noProof/>
                <w:webHidden/>
              </w:rPr>
              <w:fldChar w:fldCharType="separate"/>
            </w:r>
            <w:r w:rsidR="00BB181C">
              <w:rPr>
                <w:noProof/>
                <w:webHidden/>
              </w:rPr>
              <w:t>73</w:t>
            </w:r>
            <w:r>
              <w:rPr>
                <w:noProof/>
                <w:webHidden/>
              </w:rPr>
              <w:fldChar w:fldCharType="end"/>
            </w:r>
          </w:hyperlink>
        </w:p>
        <w:p w14:paraId="5AB39E6B" w14:textId="6A3328A7" w:rsidR="005B68FD" w:rsidRDefault="005B68FD">
          <w:pPr>
            <w:pStyle w:val="Cuprins2"/>
            <w:tabs>
              <w:tab w:val="right" w:leader="dot" w:pos="9645"/>
            </w:tabs>
            <w:rPr>
              <w:rFonts w:eastAsiaTheme="minorEastAsia"/>
              <w:noProof/>
              <w:kern w:val="2"/>
              <w:lang w:val="ro-RO" w:eastAsia="ro-RO"/>
              <w14:ligatures w14:val="standardContextual"/>
            </w:rPr>
          </w:pPr>
          <w:hyperlink w:anchor="_Toc142039051" w:history="1">
            <w:r w:rsidRPr="002B37D0">
              <w:rPr>
                <w:rStyle w:val="Hyperlink"/>
                <w:rFonts w:ascii="Arial" w:eastAsia="Times New Roman" w:hAnsi="Arial" w:cs="Arial"/>
                <w:b/>
                <w:bCs/>
                <w:noProof/>
                <w:lang w:val="it-IT"/>
              </w:rPr>
              <w:t>I.2.1 Contextul socio-economic cu identificarea densităților de popula</w:t>
            </w:r>
            <w:r w:rsidRPr="002B37D0">
              <w:rPr>
                <w:rStyle w:val="Hyperlink"/>
                <w:rFonts w:ascii="Arial" w:eastAsia="Times New Roman" w:hAnsi="Arial" w:cs="Arial"/>
                <w:b/>
                <w:bCs/>
                <w:noProof/>
                <w:lang w:val="ro-RO"/>
              </w:rPr>
              <w:t>ţ</w:t>
            </w:r>
            <w:r w:rsidRPr="002B37D0">
              <w:rPr>
                <w:rStyle w:val="Hyperlink"/>
                <w:rFonts w:ascii="Arial" w:eastAsia="Times New Roman" w:hAnsi="Arial" w:cs="Arial"/>
                <w:b/>
                <w:bCs/>
                <w:noProof/>
                <w:lang w:val="it-IT"/>
              </w:rPr>
              <w:t>ie și a activităţilor economice</w:t>
            </w:r>
            <w:r>
              <w:rPr>
                <w:noProof/>
                <w:webHidden/>
              </w:rPr>
              <w:tab/>
            </w:r>
            <w:r>
              <w:rPr>
                <w:noProof/>
                <w:webHidden/>
              </w:rPr>
              <w:fldChar w:fldCharType="begin"/>
            </w:r>
            <w:r>
              <w:rPr>
                <w:noProof/>
                <w:webHidden/>
              </w:rPr>
              <w:instrText xml:space="preserve"> PAGEREF _Toc142039051 \h </w:instrText>
            </w:r>
            <w:r>
              <w:rPr>
                <w:noProof/>
                <w:webHidden/>
              </w:rPr>
            </w:r>
            <w:r>
              <w:rPr>
                <w:noProof/>
                <w:webHidden/>
              </w:rPr>
              <w:fldChar w:fldCharType="separate"/>
            </w:r>
            <w:r w:rsidR="00BB181C">
              <w:rPr>
                <w:noProof/>
                <w:webHidden/>
              </w:rPr>
              <w:t>73</w:t>
            </w:r>
            <w:r>
              <w:rPr>
                <w:noProof/>
                <w:webHidden/>
              </w:rPr>
              <w:fldChar w:fldCharType="end"/>
            </w:r>
          </w:hyperlink>
        </w:p>
        <w:p w14:paraId="37D15021" w14:textId="19B1E86A" w:rsidR="005B68FD" w:rsidRDefault="005B68FD">
          <w:pPr>
            <w:pStyle w:val="Cuprins2"/>
            <w:tabs>
              <w:tab w:val="right" w:leader="dot" w:pos="9645"/>
            </w:tabs>
            <w:rPr>
              <w:rFonts w:eastAsiaTheme="minorEastAsia"/>
              <w:noProof/>
              <w:kern w:val="2"/>
              <w:lang w:val="ro-RO" w:eastAsia="ro-RO"/>
              <w14:ligatures w14:val="standardContextual"/>
            </w:rPr>
          </w:pPr>
          <w:hyperlink w:anchor="_Toc142039052" w:history="1">
            <w:r w:rsidRPr="002B37D0">
              <w:rPr>
                <w:rStyle w:val="Hyperlink"/>
                <w:rFonts w:ascii="Arial" w:eastAsia="Times New Roman" w:hAnsi="Arial" w:cs="Arial"/>
                <w:b/>
                <w:bCs/>
                <w:noProof/>
                <w:lang w:val="it-IT" w:eastAsia="ro-RO"/>
              </w:rPr>
              <w:t>I.2.2 Rețeaua majoră de circulații</w:t>
            </w:r>
            <w:r>
              <w:rPr>
                <w:noProof/>
                <w:webHidden/>
              </w:rPr>
              <w:tab/>
            </w:r>
            <w:r>
              <w:rPr>
                <w:noProof/>
                <w:webHidden/>
              </w:rPr>
              <w:fldChar w:fldCharType="begin"/>
            </w:r>
            <w:r>
              <w:rPr>
                <w:noProof/>
                <w:webHidden/>
              </w:rPr>
              <w:instrText xml:space="preserve"> PAGEREF _Toc142039052 \h </w:instrText>
            </w:r>
            <w:r>
              <w:rPr>
                <w:noProof/>
                <w:webHidden/>
              </w:rPr>
            </w:r>
            <w:r>
              <w:rPr>
                <w:noProof/>
                <w:webHidden/>
              </w:rPr>
              <w:fldChar w:fldCharType="separate"/>
            </w:r>
            <w:r w:rsidR="00BB181C">
              <w:rPr>
                <w:noProof/>
                <w:webHidden/>
              </w:rPr>
              <w:t>86</w:t>
            </w:r>
            <w:r>
              <w:rPr>
                <w:noProof/>
                <w:webHidden/>
              </w:rPr>
              <w:fldChar w:fldCharType="end"/>
            </w:r>
          </w:hyperlink>
        </w:p>
        <w:p w14:paraId="73FBD2FC" w14:textId="4FDD9BE4" w:rsidR="005B68FD" w:rsidRDefault="005B68FD">
          <w:pPr>
            <w:pStyle w:val="Cuprins2"/>
            <w:tabs>
              <w:tab w:val="right" w:leader="dot" w:pos="9645"/>
            </w:tabs>
            <w:rPr>
              <w:rFonts w:eastAsiaTheme="minorEastAsia"/>
              <w:noProof/>
              <w:kern w:val="2"/>
              <w:lang w:val="ro-RO" w:eastAsia="ro-RO"/>
              <w14:ligatures w14:val="standardContextual"/>
            </w:rPr>
          </w:pPr>
          <w:hyperlink w:anchor="_Toc142039053" w:history="1">
            <w:r w:rsidRPr="002B37D0">
              <w:rPr>
                <w:rStyle w:val="Hyperlink"/>
                <w:rFonts w:ascii="Arial" w:eastAsia="Times New Roman" w:hAnsi="Arial" w:cs="Arial"/>
                <w:b/>
                <w:bCs/>
                <w:noProof/>
                <w:lang w:val="it-IT" w:eastAsia="ro-RO"/>
              </w:rPr>
              <w:t>I.2.3 Transport public</w:t>
            </w:r>
            <w:r>
              <w:rPr>
                <w:noProof/>
                <w:webHidden/>
              </w:rPr>
              <w:tab/>
            </w:r>
            <w:r>
              <w:rPr>
                <w:noProof/>
                <w:webHidden/>
              </w:rPr>
              <w:fldChar w:fldCharType="begin"/>
            </w:r>
            <w:r>
              <w:rPr>
                <w:noProof/>
                <w:webHidden/>
              </w:rPr>
              <w:instrText xml:space="preserve"> PAGEREF _Toc142039053 \h </w:instrText>
            </w:r>
            <w:r>
              <w:rPr>
                <w:noProof/>
                <w:webHidden/>
              </w:rPr>
            </w:r>
            <w:r>
              <w:rPr>
                <w:noProof/>
                <w:webHidden/>
              </w:rPr>
              <w:fldChar w:fldCharType="separate"/>
            </w:r>
            <w:r w:rsidR="00BB181C">
              <w:rPr>
                <w:noProof/>
                <w:webHidden/>
              </w:rPr>
              <w:t>105</w:t>
            </w:r>
            <w:r>
              <w:rPr>
                <w:noProof/>
                <w:webHidden/>
              </w:rPr>
              <w:fldChar w:fldCharType="end"/>
            </w:r>
          </w:hyperlink>
        </w:p>
        <w:p w14:paraId="1ED9F4F3" w14:textId="6B91152B"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54" w:history="1">
            <w:r w:rsidRPr="002B37D0">
              <w:rPr>
                <w:rStyle w:val="Hyperlink"/>
                <w:rFonts w:eastAsia="Calibri" w:cs="Arial"/>
                <w:noProof/>
              </w:rPr>
              <w:t>I.2.3.1 Transport public local</w:t>
            </w:r>
            <w:r>
              <w:rPr>
                <w:noProof/>
                <w:webHidden/>
              </w:rPr>
              <w:tab/>
            </w:r>
            <w:r>
              <w:rPr>
                <w:noProof/>
                <w:webHidden/>
              </w:rPr>
              <w:fldChar w:fldCharType="begin"/>
            </w:r>
            <w:r>
              <w:rPr>
                <w:noProof/>
                <w:webHidden/>
              </w:rPr>
              <w:instrText xml:space="preserve"> PAGEREF _Toc142039054 \h </w:instrText>
            </w:r>
            <w:r>
              <w:rPr>
                <w:noProof/>
                <w:webHidden/>
              </w:rPr>
            </w:r>
            <w:r>
              <w:rPr>
                <w:noProof/>
                <w:webHidden/>
              </w:rPr>
              <w:fldChar w:fldCharType="separate"/>
            </w:r>
            <w:r w:rsidR="00BB181C">
              <w:rPr>
                <w:noProof/>
                <w:webHidden/>
              </w:rPr>
              <w:t>105</w:t>
            </w:r>
            <w:r>
              <w:rPr>
                <w:noProof/>
                <w:webHidden/>
              </w:rPr>
              <w:fldChar w:fldCharType="end"/>
            </w:r>
          </w:hyperlink>
        </w:p>
        <w:p w14:paraId="2A96DB3B" w14:textId="10503BB2"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55" w:history="1">
            <w:r w:rsidRPr="002B37D0">
              <w:rPr>
                <w:rStyle w:val="Hyperlink"/>
                <w:rFonts w:eastAsia="Calibri" w:cs="Arial"/>
                <w:noProof/>
              </w:rPr>
              <w:t>I.2.3.2 Transport public judetean</w:t>
            </w:r>
            <w:r>
              <w:rPr>
                <w:noProof/>
                <w:webHidden/>
              </w:rPr>
              <w:tab/>
            </w:r>
            <w:r>
              <w:rPr>
                <w:noProof/>
                <w:webHidden/>
              </w:rPr>
              <w:fldChar w:fldCharType="begin"/>
            </w:r>
            <w:r>
              <w:rPr>
                <w:noProof/>
                <w:webHidden/>
              </w:rPr>
              <w:instrText xml:space="preserve"> PAGEREF _Toc142039055 \h </w:instrText>
            </w:r>
            <w:r>
              <w:rPr>
                <w:noProof/>
                <w:webHidden/>
              </w:rPr>
            </w:r>
            <w:r>
              <w:rPr>
                <w:noProof/>
                <w:webHidden/>
              </w:rPr>
              <w:fldChar w:fldCharType="separate"/>
            </w:r>
            <w:r w:rsidR="00BB181C">
              <w:rPr>
                <w:noProof/>
                <w:webHidden/>
              </w:rPr>
              <w:t>106</w:t>
            </w:r>
            <w:r>
              <w:rPr>
                <w:noProof/>
                <w:webHidden/>
              </w:rPr>
              <w:fldChar w:fldCharType="end"/>
            </w:r>
          </w:hyperlink>
        </w:p>
        <w:p w14:paraId="78652ED0" w14:textId="6194B995"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56" w:history="1">
            <w:r w:rsidRPr="002B37D0">
              <w:rPr>
                <w:rStyle w:val="Hyperlink"/>
                <w:rFonts w:cs="Arial"/>
                <w:noProof/>
              </w:rPr>
              <w:t>I.2.3.3 Taxi</w:t>
            </w:r>
            <w:r>
              <w:rPr>
                <w:noProof/>
                <w:webHidden/>
              </w:rPr>
              <w:tab/>
            </w:r>
            <w:r>
              <w:rPr>
                <w:noProof/>
                <w:webHidden/>
              </w:rPr>
              <w:fldChar w:fldCharType="begin"/>
            </w:r>
            <w:r>
              <w:rPr>
                <w:noProof/>
                <w:webHidden/>
              </w:rPr>
              <w:instrText xml:space="preserve"> PAGEREF _Toc142039056 \h </w:instrText>
            </w:r>
            <w:r>
              <w:rPr>
                <w:noProof/>
                <w:webHidden/>
              </w:rPr>
            </w:r>
            <w:r>
              <w:rPr>
                <w:noProof/>
                <w:webHidden/>
              </w:rPr>
              <w:fldChar w:fldCharType="separate"/>
            </w:r>
            <w:r w:rsidR="00BB181C">
              <w:rPr>
                <w:noProof/>
                <w:webHidden/>
              </w:rPr>
              <w:t>110</w:t>
            </w:r>
            <w:r>
              <w:rPr>
                <w:noProof/>
                <w:webHidden/>
              </w:rPr>
              <w:fldChar w:fldCharType="end"/>
            </w:r>
          </w:hyperlink>
        </w:p>
        <w:p w14:paraId="5CC1CD3C" w14:textId="243D7086"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57" w:history="1">
            <w:r w:rsidRPr="002B37D0">
              <w:rPr>
                <w:rStyle w:val="Hyperlink"/>
                <w:rFonts w:cs="Arial"/>
                <w:noProof/>
              </w:rPr>
              <w:t>I.2.3.4 Curse regulate speciale</w:t>
            </w:r>
            <w:r>
              <w:rPr>
                <w:noProof/>
                <w:webHidden/>
              </w:rPr>
              <w:tab/>
            </w:r>
            <w:r>
              <w:rPr>
                <w:noProof/>
                <w:webHidden/>
              </w:rPr>
              <w:fldChar w:fldCharType="begin"/>
            </w:r>
            <w:r>
              <w:rPr>
                <w:noProof/>
                <w:webHidden/>
              </w:rPr>
              <w:instrText xml:space="preserve"> PAGEREF _Toc142039057 \h </w:instrText>
            </w:r>
            <w:r>
              <w:rPr>
                <w:noProof/>
                <w:webHidden/>
              </w:rPr>
            </w:r>
            <w:r>
              <w:rPr>
                <w:noProof/>
                <w:webHidden/>
              </w:rPr>
              <w:fldChar w:fldCharType="separate"/>
            </w:r>
            <w:r w:rsidR="00BB181C">
              <w:rPr>
                <w:noProof/>
                <w:webHidden/>
              </w:rPr>
              <w:t>111</w:t>
            </w:r>
            <w:r>
              <w:rPr>
                <w:noProof/>
                <w:webHidden/>
              </w:rPr>
              <w:fldChar w:fldCharType="end"/>
            </w:r>
          </w:hyperlink>
        </w:p>
        <w:p w14:paraId="11EB5163" w14:textId="33E324D7" w:rsidR="005B68FD" w:rsidRDefault="005B68FD">
          <w:pPr>
            <w:pStyle w:val="Cuprins2"/>
            <w:tabs>
              <w:tab w:val="right" w:leader="dot" w:pos="9645"/>
            </w:tabs>
            <w:rPr>
              <w:rFonts w:eastAsiaTheme="minorEastAsia"/>
              <w:noProof/>
              <w:kern w:val="2"/>
              <w:lang w:val="ro-RO" w:eastAsia="ro-RO"/>
              <w14:ligatures w14:val="standardContextual"/>
            </w:rPr>
          </w:pPr>
          <w:hyperlink w:anchor="_Toc142039058" w:history="1">
            <w:r w:rsidRPr="002B37D0">
              <w:rPr>
                <w:rStyle w:val="Hyperlink"/>
                <w:rFonts w:ascii="Arial" w:eastAsia="Times New Roman" w:hAnsi="Arial" w:cs="Arial"/>
                <w:b/>
                <w:bCs/>
                <w:noProof/>
                <w:lang w:val="it-IT"/>
              </w:rPr>
              <w:t>I.2.4 Transport de marfă</w:t>
            </w:r>
            <w:r>
              <w:rPr>
                <w:noProof/>
                <w:webHidden/>
              </w:rPr>
              <w:tab/>
            </w:r>
            <w:r>
              <w:rPr>
                <w:noProof/>
                <w:webHidden/>
              </w:rPr>
              <w:fldChar w:fldCharType="begin"/>
            </w:r>
            <w:r>
              <w:rPr>
                <w:noProof/>
                <w:webHidden/>
              </w:rPr>
              <w:instrText xml:space="preserve"> PAGEREF _Toc142039058 \h </w:instrText>
            </w:r>
            <w:r>
              <w:rPr>
                <w:noProof/>
                <w:webHidden/>
              </w:rPr>
            </w:r>
            <w:r>
              <w:rPr>
                <w:noProof/>
                <w:webHidden/>
              </w:rPr>
              <w:fldChar w:fldCharType="separate"/>
            </w:r>
            <w:r w:rsidR="00BB181C">
              <w:rPr>
                <w:noProof/>
                <w:webHidden/>
              </w:rPr>
              <w:t>112</w:t>
            </w:r>
            <w:r>
              <w:rPr>
                <w:noProof/>
                <w:webHidden/>
              </w:rPr>
              <w:fldChar w:fldCharType="end"/>
            </w:r>
          </w:hyperlink>
        </w:p>
        <w:p w14:paraId="0B9E0D99" w14:textId="7720F9A6" w:rsidR="005B68FD" w:rsidRDefault="005B68FD">
          <w:pPr>
            <w:pStyle w:val="Cuprins2"/>
            <w:tabs>
              <w:tab w:val="right" w:leader="dot" w:pos="9645"/>
            </w:tabs>
            <w:rPr>
              <w:rFonts w:eastAsiaTheme="minorEastAsia"/>
              <w:noProof/>
              <w:kern w:val="2"/>
              <w:lang w:val="ro-RO" w:eastAsia="ro-RO"/>
              <w14:ligatures w14:val="standardContextual"/>
            </w:rPr>
          </w:pPr>
          <w:hyperlink w:anchor="_Toc142039059" w:history="1">
            <w:r w:rsidRPr="002B37D0">
              <w:rPr>
                <w:rStyle w:val="Hyperlink"/>
                <w:rFonts w:ascii="Arial" w:eastAsia="Times New Roman" w:hAnsi="Arial" w:cs="Arial"/>
                <w:b/>
                <w:bCs/>
                <w:noProof/>
                <w:lang w:val="it-IT" w:eastAsia="ro-RO"/>
              </w:rPr>
              <w:t>I.2.5 Mijloace alternative de mobilitate (deplasări cu bicicleta, mersul pe jos și persoane cu mobilitate redusă)</w:t>
            </w:r>
            <w:r>
              <w:rPr>
                <w:noProof/>
                <w:webHidden/>
              </w:rPr>
              <w:tab/>
            </w:r>
            <w:r>
              <w:rPr>
                <w:noProof/>
                <w:webHidden/>
              </w:rPr>
              <w:fldChar w:fldCharType="begin"/>
            </w:r>
            <w:r>
              <w:rPr>
                <w:noProof/>
                <w:webHidden/>
              </w:rPr>
              <w:instrText xml:space="preserve"> PAGEREF _Toc142039059 \h </w:instrText>
            </w:r>
            <w:r>
              <w:rPr>
                <w:noProof/>
                <w:webHidden/>
              </w:rPr>
            </w:r>
            <w:r>
              <w:rPr>
                <w:noProof/>
                <w:webHidden/>
              </w:rPr>
              <w:fldChar w:fldCharType="separate"/>
            </w:r>
            <w:r w:rsidR="00BB181C">
              <w:rPr>
                <w:noProof/>
                <w:webHidden/>
              </w:rPr>
              <w:t>115</w:t>
            </w:r>
            <w:r>
              <w:rPr>
                <w:noProof/>
                <w:webHidden/>
              </w:rPr>
              <w:fldChar w:fldCharType="end"/>
            </w:r>
          </w:hyperlink>
        </w:p>
        <w:p w14:paraId="497C56C3" w14:textId="40455DAE"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60" w:history="1">
            <w:r w:rsidRPr="002B37D0">
              <w:rPr>
                <w:rStyle w:val="Hyperlink"/>
                <w:rFonts w:cs="Arial"/>
                <w:noProof/>
              </w:rPr>
              <w:t>I.2.5.1 Infrastructuri pentru biciclete</w:t>
            </w:r>
            <w:r>
              <w:rPr>
                <w:noProof/>
                <w:webHidden/>
              </w:rPr>
              <w:tab/>
            </w:r>
            <w:r>
              <w:rPr>
                <w:noProof/>
                <w:webHidden/>
              </w:rPr>
              <w:fldChar w:fldCharType="begin"/>
            </w:r>
            <w:r>
              <w:rPr>
                <w:noProof/>
                <w:webHidden/>
              </w:rPr>
              <w:instrText xml:space="preserve"> PAGEREF _Toc142039060 \h </w:instrText>
            </w:r>
            <w:r>
              <w:rPr>
                <w:noProof/>
                <w:webHidden/>
              </w:rPr>
            </w:r>
            <w:r>
              <w:rPr>
                <w:noProof/>
                <w:webHidden/>
              </w:rPr>
              <w:fldChar w:fldCharType="separate"/>
            </w:r>
            <w:r w:rsidR="00BB181C">
              <w:rPr>
                <w:noProof/>
                <w:webHidden/>
              </w:rPr>
              <w:t>115</w:t>
            </w:r>
            <w:r>
              <w:rPr>
                <w:noProof/>
                <w:webHidden/>
              </w:rPr>
              <w:fldChar w:fldCharType="end"/>
            </w:r>
          </w:hyperlink>
        </w:p>
        <w:p w14:paraId="421948D0" w14:textId="4C665A94"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61" w:history="1">
            <w:r w:rsidRPr="002B37D0">
              <w:rPr>
                <w:rStyle w:val="Hyperlink"/>
                <w:rFonts w:cs="Arial"/>
                <w:noProof/>
              </w:rPr>
              <w:t>I.2.5.2 Zone pietonale</w:t>
            </w:r>
            <w:r>
              <w:rPr>
                <w:noProof/>
                <w:webHidden/>
              </w:rPr>
              <w:tab/>
            </w:r>
            <w:r>
              <w:rPr>
                <w:noProof/>
                <w:webHidden/>
              </w:rPr>
              <w:fldChar w:fldCharType="begin"/>
            </w:r>
            <w:r>
              <w:rPr>
                <w:noProof/>
                <w:webHidden/>
              </w:rPr>
              <w:instrText xml:space="preserve"> PAGEREF _Toc142039061 \h </w:instrText>
            </w:r>
            <w:r>
              <w:rPr>
                <w:noProof/>
                <w:webHidden/>
              </w:rPr>
            </w:r>
            <w:r>
              <w:rPr>
                <w:noProof/>
                <w:webHidden/>
              </w:rPr>
              <w:fldChar w:fldCharType="separate"/>
            </w:r>
            <w:r w:rsidR="00BB181C">
              <w:rPr>
                <w:noProof/>
                <w:webHidden/>
              </w:rPr>
              <w:t>117</w:t>
            </w:r>
            <w:r>
              <w:rPr>
                <w:noProof/>
                <w:webHidden/>
              </w:rPr>
              <w:fldChar w:fldCharType="end"/>
            </w:r>
          </w:hyperlink>
        </w:p>
        <w:p w14:paraId="5F0B2276" w14:textId="5D265BEF"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62" w:history="1">
            <w:r w:rsidRPr="002B37D0">
              <w:rPr>
                <w:rStyle w:val="Hyperlink"/>
                <w:rFonts w:cs="Arial"/>
                <w:noProof/>
              </w:rPr>
              <w:t>I.2.5.3 Deplasarea persoanelor cu mobilitate redus</w:t>
            </w:r>
            <w:r w:rsidRPr="002B37D0">
              <w:rPr>
                <w:rStyle w:val="Hyperlink"/>
                <w:rFonts w:cs="Arial"/>
                <w:noProof/>
                <w:lang w:val="ro-RO"/>
              </w:rPr>
              <w:t>ă</w:t>
            </w:r>
            <w:r>
              <w:rPr>
                <w:noProof/>
                <w:webHidden/>
              </w:rPr>
              <w:tab/>
            </w:r>
            <w:r>
              <w:rPr>
                <w:noProof/>
                <w:webHidden/>
              </w:rPr>
              <w:fldChar w:fldCharType="begin"/>
            </w:r>
            <w:r>
              <w:rPr>
                <w:noProof/>
                <w:webHidden/>
              </w:rPr>
              <w:instrText xml:space="preserve"> PAGEREF _Toc142039062 \h </w:instrText>
            </w:r>
            <w:r>
              <w:rPr>
                <w:noProof/>
                <w:webHidden/>
              </w:rPr>
            </w:r>
            <w:r>
              <w:rPr>
                <w:noProof/>
                <w:webHidden/>
              </w:rPr>
              <w:fldChar w:fldCharType="separate"/>
            </w:r>
            <w:r w:rsidR="00BB181C">
              <w:rPr>
                <w:noProof/>
                <w:webHidden/>
              </w:rPr>
              <w:t>120</w:t>
            </w:r>
            <w:r>
              <w:rPr>
                <w:noProof/>
                <w:webHidden/>
              </w:rPr>
              <w:fldChar w:fldCharType="end"/>
            </w:r>
          </w:hyperlink>
        </w:p>
        <w:p w14:paraId="4935ECF9" w14:textId="12F42B8A"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63" w:history="1">
            <w:r w:rsidRPr="002B37D0">
              <w:rPr>
                <w:rStyle w:val="Hyperlink"/>
                <w:rFonts w:eastAsia="Calibri" w:cs="Arial"/>
                <w:noProof/>
              </w:rPr>
              <w:t>I.2.5.4 Electromobilitate</w:t>
            </w:r>
            <w:r>
              <w:rPr>
                <w:noProof/>
                <w:webHidden/>
              </w:rPr>
              <w:tab/>
            </w:r>
            <w:r>
              <w:rPr>
                <w:noProof/>
                <w:webHidden/>
              </w:rPr>
              <w:fldChar w:fldCharType="begin"/>
            </w:r>
            <w:r>
              <w:rPr>
                <w:noProof/>
                <w:webHidden/>
              </w:rPr>
              <w:instrText xml:space="preserve"> PAGEREF _Toc142039063 \h </w:instrText>
            </w:r>
            <w:r>
              <w:rPr>
                <w:noProof/>
                <w:webHidden/>
              </w:rPr>
            </w:r>
            <w:r>
              <w:rPr>
                <w:noProof/>
                <w:webHidden/>
              </w:rPr>
              <w:fldChar w:fldCharType="separate"/>
            </w:r>
            <w:r w:rsidR="00BB181C">
              <w:rPr>
                <w:noProof/>
                <w:webHidden/>
              </w:rPr>
              <w:t>121</w:t>
            </w:r>
            <w:r>
              <w:rPr>
                <w:noProof/>
                <w:webHidden/>
              </w:rPr>
              <w:fldChar w:fldCharType="end"/>
            </w:r>
          </w:hyperlink>
        </w:p>
        <w:p w14:paraId="34D0D9B6" w14:textId="256CCEDB" w:rsidR="005B68FD" w:rsidRDefault="005B68FD">
          <w:pPr>
            <w:pStyle w:val="Cuprins2"/>
            <w:tabs>
              <w:tab w:val="right" w:leader="dot" w:pos="9645"/>
            </w:tabs>
            <w:rPr>
              <w:rFonts w:eastAsiaTheme="minorEastAsia"/>
              <w:noProof/>
              <w:kern w:val="2"/>
              <w:lang w:val="ro-RO" w:eastAsia="ro-RO"/>
              <w14:ligatures w14:val="standardContextual"/>
            </w:rPr>
          </w:pPr>
          <w:hyperlink w:anchor="_Toc142039064" w:history="1">
            <w:r w:rsidRPr="002B37D0">
              <w:rPr>
                <w:rStyle w:val="Hyperlink"/>
                <w:rFonts w:ascii="Arial" w:eastAsia="Times New Roman" w:hAnsi="Arial" w:cs="Arial"/>
                <w:b/>
                <w:bCs/>
                <w:noProof/>
                <w:lang w:val="it-IT" w:eastAsia="ro-RO"/>
              </w:rPr>
              <w:t>I.2.6 Managementul traficului (staţionarea, siguranţa în trafic, sisteme inteligente de transport, signalistică, structuri de management existente la nivelul autorităţii planificatoare)</w:t>
            </w:r>
            <w:r>
              <w:rPr>
                <w:noProof/>
                <w:webHidden/>
              </w:rPr>
              <w:tab/>
            </w:r>
            <w:r>
              <w:rPr>
                <w:noProof/>
                <w:webHidden/>
              </w:rPr>
              <w:fldChar w:fldCharType="begin"/>
            </w:r>
            <w:r>
              <w:rPr>
                <w:noProof/>
                <w:webHidden/>
              </w:rPr>
              <w:instrText xml:space="preserve"> PAGEREF _Toc142039064 \h </w:instrText>
            </w:r>
            <w:r>
              <w:rPr>
                <w:noProof/>
                <w:webHidden/>
              </w:rPr>
            </w:r>
            <w:r>
              <w:rPr>
                <w:noProof/>
                <w:webHidden/>
              </w:rPr>
              <w:fldChar w:fldCharType="separate"/>
            </w:r>
            <w:r w:rsidR="00BB181C">
              <w:rPr>
                <w:noProof/>
                <w:webHidden/>
              </w:rPr>
              <w:t>121</w:t>
            </w:r>
            <w:r>
              <w:rPr>
                <w:noProof/>
                <w:webHidden/>
              </w:rPr>
              <w:fldChar w:fldCharType="end"/>
            </w:r>
          </w:hyperlink>
        </w:p>
        <w:p w14:paraId="4B3CD902" w14:textId="255A9420" w:rsidR="005B68FD" w:rsidRDefault="005B68FD">
          <w:pPr>
            <w:pStyle w:val="Cuprins2"/>
            <w:tabs>
              <w:tab w:val="right" w:leader="dot" w:pos="9645"/>
            </w:tabs>
            <w:rPr>
              <w:rFonts w:eastAsiaTheme="minorEastAsia"/>
              <w:noProof/>
              <w:kern w:val="2"/>
              <w:lang w:val="ro-RO" w:eastAsia="ro-RO"/>
              <w14:ligatures w14:val="standardContextual"/>
            </w:rPr>
          </w:pPr>
          <w:hyperlink w:anchor="_Toc142039065" w:history="1">
            <w:r w:rsidRPr="002B37D0">
              <w:rPr>
                <w:rStyle w:val="Hyperlink"/>
                <w:rFonts w:ascii="Arial" w:eastAsia="Times New Roman" w:hAnsi="Arial" w:cs="Arial"/>
                <w:b/>
                <w:bCs/>
                <w:noProof/>
                <w:lang w:val="it-IT" w:eastAsia="ro-RO"/>
              </w:rPr>
              <w:t>I.2.7 Identificarea zonelor cu nivel ridicat de compexitate (zone centrale protejate, zone logistice, poli ocazionali de atragere/generare trafic, zone intermodale-gări, autogări etc.)</w:t>
            </w:r>
            <w:r>
              <w:rPr>
                <w:noProof/>
                <w:webHidden/>
              </w:rPr>
              <w:tab/>
            </w:r>
            <w:r>
              <w:rPr>
                <w:noProof/>
                <w:webHidden/>
              </w:rPr>
              <w:fldChar w:fldCharType="begin"/>
            </w:r>
            <w:r>
              <w:rPr>
                <w:noProof/>
                <w:webHidden/>
              </w:rPr>
              <w:instrText xml:space="preserve"> PAGEREF _Toc142039065 \h </w:instrText>
            </w:r>
            <w:r>
              <w:rPr>
                <w:noProof/>
                <w:webHidden/>
              </w:rPr>
            </w:r>
            <w:r>
              <w:rPr>
                <w:noProof/>
                <w:webHidden/>
              </w:rPr>
              <w:fldChar w:fldCharType="separate"/>
            </w:r>
            <w:r w:rsidR="00BB181C">
              <w:rPr>
                <w:noProof/>
                <w:webHidden/>
              </w:rPr>
              <w:t>122</w:t>
            </w:r>
            <w:r>
              <w:rPr>
                <w:noProof/>
                <w:webHidden/>
              </w:rPr>
              <w:fldChar w:fldCharType="end"/>
            </w:r>
          </w:hyperlink>
        </w:p>
        <w:p w14:paraId="785DFCE9" w14:textId="298B23E7"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66" w:history="1">
            <w:r w:rsidRPr="002B37D0">
              <w:rPr>
                <w:rStyle w:val="Hyperlink"/>
                <w:rFonts w:cs="Arial"/>
                <w:noProof/>
              </w:rPr>
              <w:t>I.2.7.1 Zona centrală</w:t>
            </w:r>
            <w:r>
              <w:rPr>
                <w:noProof/>
                <w:webHidden/>
              </w:rPr>
              <w:tab/>
            </w:r>
            <w:r>
              <w:rPr>
                <w:noProof/>
                <w:webHidden/>
              </w:rPr>
              <w:fldChar w:fldCharType="begin"/>
            </w:r>
            <w:r>
              <w:rPr>
                <w:noProof/>
                <w:webHidden/>
              </w:rPr>
              <w:instrText xml:space="preserve"> PAGEREF _Toc142039066 \h </w:instrText>
            </w:r>
            <w:r>
              <w:rPr>
                <w:noProof/>
                <w:webHidden/>
              </w:rPr>
            </w:r>
            <w:r>
              <w:rPr>
                <w:noProof/>
                <w:webHidden/>
              </w:rPr>
              <w:fldChar w:fldCharType="separate"/>
            </w:r>
            <w:r w:rsidR="00BB181C">
              <w:rPr>
                <w:noProof/>
                <w:webHidden/>
              </w:rPr>
              <w:t>122</w:t>
            </w:r>
            <w:r>
              <w:rPr>
                <w:noProof/>
                <w:webHidden/>
              </w:rPr>
              <w:fldChar w:fldCharType="end"/>
            </w:r>
          </w:hyperlink>
        </w:p>
        <w:p w14:paraId="48BC7905" w14:textId="784A9B20" w:rsidR="005B68FD" w:rsidRDefault="005B68FD">
          <w:pPr>
            <w:pStyle w:val="Cuprins2"/>
            <w:tabs>
              <w:tab w:val="right" w:leader="dot" w:pos="9645"/>
            </w:tabs>
            <w:rPr>
              <w:rFonts w:eastAsiaTheme="minorEastAsia"/>
              <w:noProof/>
              <w:kern w:val="2"/>
              <w:lang w:val="ro-RO" w:eastAsia="ro-RO"/>
              <w14:ligatures w14:val="standardContextual"/>
            </w:rPr>
          </w:pPr>
          <w:hyperlink w:anchor="_Toc142039067" w:history="1">
            <w:r w:rsidRPr="002B37D0">
              <w:rPr>
                <w:rStyle w:val="Hyperlink"/>
                <w:rFonts w:ascii="Arial" w:hAnsi="Arial" w:cs="Arial"/>
                <w:b/>
                <w:noProof/>
                <w:lang w:val="ro-RO" w:eastAsia="hi-IN" w:bidi="hi-IN"/>
              </w:rPr>
              <w:t>I.2.8 Concluzii</w:t>
            </w:r>
            <w:r>
              <w:rPr>
                <w:noProof/>
                <w:webHidden/>
              </w:rPr>
              <w:tab/>
            </w:r>
            <w:r>
              <w:rPr>
                <w:noProof/>
                <w:webHidden/>
              </w:rPr>
              <w:fldChar w:fldCharType="begin"/>
            </w:r>
            <w:r>
              <w:rPr>
                <w:noProof/>
                <w:webHidden/>
              </w:rPr>
              <w:instrText xml:space="preserve"> PAGEREF _Toc142039067 \h </w:instrText>
            </w:r>
            <w:r>
              <w:rPr>
                <w:noProof/>
                <w:webHidden/>
              </w:rPr>
            </w:r>
            <w:r>
              <w:rPr>
                <w:noProof/>
                <w:webHidden/>
              </w:rPr>
              <w:fldChar w:fldCharType="separate"/>
            </w:r>
            <w:r w:rsidR="00BB181C">
              <w:rPr>
                <w:noProof/>
                <w:webHidden/>
              </w:rPr>
              <w:t>124</w:t>
            </w:r>
            <w:r>
              <w:rPr>
                <w:noProof/>
                <w:webHidden/>
              </w:rPr>
              <w:fldChar w:fldCharType="end"/>
            </w:r>
          </w:hyperlink>
        </w:p>
        <w:p w14:paraId="017B90C2" w14:textId="3D38D1D6" w:rsidR="005B68FD" w:rsidRDefault="005B68FD">
          <w:pPr>
            <w:pStyle w:val="Cuprins1"/>
            <w:tabs>
              <w:tab w:val="right" w:leader="dot" w:pos="9645"/>
            </w:tabs>
            <w:rPr>
              <w:rFonts w:eastAsiaTheme="minorEastAsia"/>
              <w:noProof/>
              <w:kern w:val="2"/>
              <w:lang w:val="ro-RO" w:eastAsia="ro-RO"/>
              <w14:ligatures w14:val="standardContextual"/>
            </w:rPr>
          </w:pPr>
          <w:hyperlink w:anchor="_Toc142039068" w:history="1">
            <w:r w:rsidRPr="002B37D0">
              <w:rPr>
                <w:rStyle w:val="Hyperlink"/>
                <w:rFonts w:ascii="Arial" w:eastAsia="Times New Roman" w:hAnsi="Arial" w:cs="Arial"/>
                <w:b/>
                <w:bCs/>
                <w:noProof/>
                <w:lang w:val="it-IT" w:eastAsia="ro-RO"/>
              </w:rPr>
              <w:t>I.3 Modelul de transport (obligatoriu pentru localitățile de rang 0 și 1)</w:t>
            </w:r>
            <w:r>
              <w:rPr>
                <w:noProof/>
                <w:webHidden/>
              </w:rPr>
              <w:tab/>
            </w:r>
            <w:r>
              <w:rPr>
                <w:noProof/>
                <w:webHidden/>
              </w:rPr>
              <w:fldChar w:fldCharType="begin"/>
            </w:r>
            <w:r>
              <w:rPr>
                <w:noProof/>
                <w:webHidden/>
              </w:rPr>
              <w:instrText xml:space="preserve"> PAGEREF _Toc142039068 \h </w:instrText>
            </w:r>
            <w:r>
              <w:rPr>
                <w:noProof/>
                <w:webHidden/>
              </w:rPr>
            </w:r>
            <w:r>
              <w:rPr>
                <w:noProof/>
                <w:webHidden/>
              </w:rPr>
              <w:fldChar w:fldCharType="separate"/>
            </w:r>
            <w:r w:rsidR="00BB181C">
              <w:rPr>
                <w:noProof/>
                <w:webHidden/>
              </w:rPr>
              <w:t>127</w:t>
            </w:r>
            <w:r>
              <w:rPr>
                <w:noProof/>
                <w:webHidden/>
              </w:rPr>
              <w:fldChar w:fldCharType="end"/>
            </w:r>
          </w:hyperlink>
        </w:p>
        <w:p w14:paraId="7C6D1114" w14:textId="14D2E540" w:rsidR="005B68FD" w:rsidRDefault="005B68FD">
          <w:pPr>
            <w:pStyle w:val="Cuprins1"/>
            <w:tabs>
              <w:tab w:val="right" w:leader="dot" w:pos="9645"/>
            </w:tabs>
            <w:rPr>
              <w:rFonts w:eastAsiaTheme="minorEastAsia"/>
              <w:noProof/>
              <w:kern w:val="2"/>
              <w:lang w:val="ro-RO" w:eastAsia="ro-RO"/>
              <w14:ligatures w14:val="standardContextual"/>
            </w:rPr>
          </w:pPr>
          <w:hyperlink r:id="rId16" w:anchor="_Toc142039069" w:history="1">
            <w:r w:rsidRPr="002B37D0">
              <w:rPr>
                <w:rStyle w:val="Hyperlink"/>
                <w:rFonts w:ascii="Arial" w:eastAsia="Times New Roman" w:hAnsi="Arial" w:cs="Arial"/>
                <w:b/>
                <w:bCs/>
                <w:noProof/>
                <w:lang w:val="ro-RO" w:eastAsia="ro-RO"/>
                <w14:textOutline w14:w="11112" w14:cap="flat" w14:cmpd="sng" w14:algn="ctr">
                  <w14:solidFill>
                    <w14:schemeClr w14:val="accent2"/>
                  </w14:solidFill>
                  <w14:prstDash w14:val="solid"/>
                  <w14:round/>
                </w14:textOutline>
              </w:rPr>
              <w:t>I.3</w:t>
            </w:r>
            <w:r>
              <w:rPr>
                <w:noProof/>
                <w:webHidden/>
              </w:rPr>
              <w:tab/>
            </w:r>
            <w:r>
              <w:rPr>
                <w:noProof/>
                <w:webHidden/>
              </w:rPr>
              <w:fldChar w:fldCharType="begin"/>
            </w:r>
            <w:r>
              <w:rPr>
                <w:noProof/>
                <w:webHidden/>
              </w:rPr>
              <w:instrText xml:space="preserve"> PAGEREF _Toc142039069 \h </w:instrText>
            </w:r>
            <w:r>
              <w:rPr>
                <w:noProof/>
                <w:webHidden/>
              </w:rPr>
            </w:r>
            <w:r>
              <w:rPr>
                <w:noProof/>
                <w:webHidden/>
              </w:rPr>
              <w:fldChar w:fldCharType="separate"/>
            </w:r>
            <w:r w:rsidR="00BB181C">
              <w:rPr>
                <w:noProof/>
                <w:webHidden/>
              </w:rPr>
              <w:t>127</w:t>
            </w:r>
            <w:r>
              <w:rPr>
                <w:noProof/>
                <w:webHidden/>
              </w:rPr>
              <w:fldChar w:fldCharType="end"/>
            </w:r>
          </w:hyperlink>
        </w:p>
        <w:p w14:paraId="7F352BB7" w14:textId="277750AB" w:rsidR="005B68FD" w:rsidRDefault="005B68FD">
          <w:pPr>
            <w:pStyle w:val="Cuprins2"/>
            <w:tabs>
              <w:tab w:val="right" w:leader="dot" w:pos="9645"/>
            </w:tabs>
            <w:rPr>
              <w:rFonts w:eastAsiaTheme="minorEastAsia"/>
              <w:noProof/>
              <w:kern w:val="2"/>
              <w:lang w:val="ro-RO" w:eastAsia="ro-RO"/>
              <w14:ligatures w14:val="standardContextual"/>
            </w:rPr>
          </w:pPr>
          <w:hyperlink w:anchor="_Toc142039070" w:history="1">
            <w:r w:rsidRPr="002B37D0">
              <w:rPr>
                <w:rStyle w:val="Hyperlink"/>
                <w:rFonts w:ascii="Arial" w:eastAsia="Times New Roman" w:hAnsi="Arial" w:cs="Arial"/>
                <w:b/>
                <w:bCs/>
                <w:noProof/>
                <w:lang w:val="it-IT" w:eastAsia="ro-RO"/>
              </w:rPr>
              <w:t>I.3.1 Prezentare generala și definirea domeniului</w:t>
            </w:r>
            <w:r>
              <w:rPr>
                <w:noProof/>
                <w:webHidden/>
              </w:rPr>
              <w:tab/>
            </w:r>
            <w:r>
              <w:rPr>
                <w:noProof/>
                <w:webHidden/>
              </w:rPr>
              <w:fldChar w:fldCharType="begin"/>
            </w:r>
            <w:r>
              <w:rPr>
                <w:noProof/>
                <w:webHidden/>
              </w:rPr>
              <w:instrText xml:space="preserve"> PAGEREF _Toc142039070 \h </w:instrText>
            </w:r>
            <w:r>
              <w:rPr>
                <w:noProof/>
                <w:webHidden/>
              </w:rPr>
            </w:r>
            <w:r>
              <w:rPr>
                <w:noProof/>
                <w:webHidden/>
              </w:rPr>
              <w:fldChar w:fldCharType="separate"/>
            </w:r>
            <w:r w:rsidR="00BB181C">
              <w:rPr>
                <w:noProof/>
                <w:webHidden/>
              </w:rPr>
              <w:t>127</w:t>
            </w:r>
            <w:r>
              <w:rPr>
                <w:noProof/>
                <w:webHidden/>
              </w:rPr>
              <w:fldChar w:fldCharType="end"/>
            </w:r>
          </w:hyperlink>
        </w:p>
        <w:p w14:paraId="35DB162C" w14:textId="6EC30C5A"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71" w:history="1">
            <w:r w:rsidRPr="002B37D0">
              <w:rPr>
                <w:rStyle w:val="Hyperlink"/>
                <w:rFonts w:cs="Arial"/>
                <w:noProof/>
                <w:lang w:val="es-ES"/>
              </w:rPr>
              <w:t>I.3.1.1 Definirea și rolul modelului de transport</w:t>
            </w:r>
            <w:r>
              <w:rPr>
                <w:noProof/>
                <w:webHidden/>
              </w:rPr>
              <w:tab/>
            </w:r>
            <w:r>
              <w:rPr>
                <w:noProof/>
                <w:webHidden/>
              </w:rPr>
              <w:fldChar w:fldCharType="begin"/>
            </w:r>
            <w:r>
              <w:rPr>
                <w:noProof/>
                <w:webHidden/>
              </w:rPr>
              <w:instrText xml:space="preserve"> PAGEREF _Toc142039071 \h </w:instrText>
            </w:r>
            <w:r>
              <w:rPr>
                <w:noProof/>
                <w:webHidden/>
              </w:rPr>
            </w:r>
            <w:r>
              <w:rPr>
                <w:noProof/>
                <w:webHidden/>
              </w:rPr>
              <w:fldChar w:fldCharType="separate"/>
            </w:r>
            <w:r w:rsidR="00BB181C">
              <w:rPr>
                <w:noProof/>
                <w:webHidden/>
              </w:rPr>
              <w:t>127</w:t>
            </w:r>
            <w:r>
              <w:rPr>
                <w:noProof/>
                <w:webHidden/>
              </w:rPr>
              <w:fldChar w:fldCharType="end"/>
            </w:r>
          </w:hyperlink>
        </w:p>
        <w:p w14:paraId="30EE7837" w14:textId="4885375C" w:rsidR="005B68FD" w:rsidRDefault="005B68FD">
          <w:pPr>
            <w:pStyle w:val="Cuprins3"/>
            <w:tabs>
              <w:tab w:val="left" w:pos="1320"/>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72" w:history="1">
            <w:r w:rsidRPr="002B37D0">
              <w:rPr>
                <w:rStyle w:val="Hyperlink"/>
                <w:rFonts w:cs="Arial"/>
                <w:noProof/>
              </w:rPr>
              <w:t>I.3.1.2</w:t>
            </w:r>
            <w:r>
              <w:rPr>
                <w:rFonts w:asciiTheme="minorHAnsi" w:eastAsiaTheme="minorEastAsia" w:hAnsiTheme="minorHAnsi" w:cstheme="minorBidi"/>
                <w:noProof/>
                <w:kern w:val="2"/>
                <w:sz w:val="22"/>
                <w:szCs w:val="22"/>
                <w:lang w:val="ro-RO" w:eastAsia="ro-RO" w:bidi="ar-SA"/>
                <w14:ligatures w14:val="standardContextual"/>
              </w:rPr>
              <w:tab/>
            </w:r>
            <w:r w:rsidRPr="002B37D0">
              <w:rPr>
                <w:rStyle w:val="Hyperlink"/>
                <w:rFonts w:cs="Arial"/>
                <w:noProof/>
              </w:rPr>
              <w:t>Caracteristicile modelului de transport pentru Orașul Horezu</w:t>
            </w:r>
            <w:r>
              <w:rPr>
                <w:noProof/>
                <w:webHidden/>
              </w:rPr>
              <w:tab/>
            </w:r>
            <w:r>
              <w:rPr>
                <w:noProof/>
                <w:webHidden/>
              </w:rPr>
              <w:fldChar w:fldCharType="begin"/>
            </w:r>
            <w:r>
              <w:rPr>
                <w:noProof/>
                <w:webHidden/>
              </w:rPr>
              <w:instrText xml:space="preserve"> PAGEREF _Toc142039072 \h </w:instrText>
            </w:r>
            <w:r>
              <w:rPr>
                <w:noProof/>
                <w:webHidden/>
              </w:rPr>
            </w:r>
            <w:r>
              <w:rPr>
                <w:noProof/>
                <w:webHidden/>
              </w:rPr>
              <w:fldChar w:fldCharType="separate"/>
            </w:r>
            <w:r w:rsidR="00BB181C">
              <w:rPr>
                <w:noProof/>
                <w:webHidden/>
              </w:rPr>
              <w:t>129</w:t>
            </w:r>
            <w:r>
              <w:rPr>
                <w:noProof/>
                <w:webHidden/>
              </w:rPr>
              <w:fldChar w:fldCharType="end"/>
            </w:r>
          </w:hyperlink>
        </w:p>
        <w:p w14:paraId="4786B4D7" w14:textId="3B939D3A" w:rsidR="005B68FD" w:rsidRDefault="005B68FD">
          <w:pPr>
            <w:pStyle w:val="Cuprins2"/>
            <w:tabs>
              <w:tab w:val="right" w:leader="dot" w:pos="9645"/>
            </w:tabs>
            <w:rPr>
              <w:rFonts w:eastAsiaTheme="minorEastAsia"/>
              <w:noProof/>
              <w:kern w:val="2"/>
              <w:lang w:val="ro-RO" w:eastAsia="ro-RO"/>
              <w14:ligatures w14:val="standardContextual"/>
            </w:rPr>
          </w:pPr>
          <w:hyperlink w:anchor="_Toc142039073" w:history="1">
            <w:r w:rsidRPr="002B37D0">
              <w:rPr>
                <w:rStyle w:val="Hyperlink"/>
                <w:rFonts w:ascii="Arial" w:eastAsia="Times New Roman" w:hAnsi="Arial" w:cs="Arial"/>
                <w:b/>
                <w:bCs/>
                <w:noProof/>
                <w:lang w:val="it-IT" w:eastAsia="ro-RO"/>
              </w:rPr>
              <w:t>I.3.2 Colectarea de date</w:t>
            </w:r>
            <w:r>
              <w:rPr>
                <w:noProof/>
                <w:webHidden/>
              </w:rPr>
              <w:tab/>
            </w:r>
            <w:r>
              <w:rPr>
                <w:noProof/>
                <w:webHidden/>
              </w:rPr>
              <w:fldChar w:fldCharType="begin"/>
            </w:r>
            <w:r>
              <w:rPr>
                <w:noProof/>
                <w:webHidden/>
              </w:rPr>
              <w:instrText xml:space="preserve"> PAGEREF _Toc142039073 \h </w:instrText>
            </w:r>
            <w:r>
              <w:rPr>
                <w:noProof/>
                <w:webHidden/>
              </w:rPr>
            </w:r>
            <w:r>
              <w:rPr>
                <w:noProof/>
                <w:webHidden/>
              </w:rPr>
              <w:fldChar w:fldCharType="separate"/>
            </w:r>
            <w:r w:rsidR="00BB181C">
              <w:rPr>
                <w:noProof/>
                <w:webHidden/>
              </w:rPr>
              <w:t>135</w:t>
            </w:r>
            <w:r>
              <w:rPr>
                <w:noProof/>
                <w:webHidden/>
              </w:rPr>
              <w:fldChar w:fldCharType="end"/>
            </w:r>
          </w:hyperlink>
        </w:p>
        <w:p w14:paraId="15D4744D" w14:textId="0962426A"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74" w:history="1">
            <w:r w:rsidRPr="002B37D0">
              <w:rPr>
                <w:rStyle w:val="Hyperlink"/>
                <w:rFonts w:cs="Arial"/>
                <w:noProof/>
              </w:rPr>
              <w:t>I.3.2.1 Culegerea datelor de trafic</w:t>
            </w:r>
            <w:r>
              <w:rPr>
                <w:noProof/>
                <w:webHidden/>
              </w:rPr>
              <w:tab/>
            </w:r>
            <w:r>
              <w:rPr>
                <w:noProof/>
                <w:webHidden/>
              </w:rPr>
              <w:fldChar w:fldCharType="begin"/>
            </w:r>
            <w:r>
              <w:rPr>
                <w:noProof/>
                <w:webHidden/>
              </w:rPr>
              <w:instrText xml:space="preserve"> PAGEREF _Toc142039074 \h </w:instrText>
            </w:r>
            <w:r>
              <w:rPr>
                <w:noProof/>
                <w:webHidden/>
              </w:rPr>
            </w:r>
            <w:r>
              <w:rPr>
                <w:noProof/>
                <w:webHidden/>
              </w:rPr>
              <w:fldChar w:fldCharType="separate"/>
            </w:r>
            <w:r w:rsidR="00BB181C">
              <w:rPr>
                <w:noProof/>
                <w:webHidden/>
              </w:rPr>
              <w:t>136</w:t>
            </w:r>
            <w:r>
              <w:rPr>
                <w:noProof/>
                <w:webHidden/>
              </w:rPr>
              <w:fldChar w:fldCharType="end"/>
            </w:r>
          </w:hyperlink>
        </w:p>
        <w:p w14:paraId="127E596F" w14:textId="5AEE5892"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75" w:history="1">
            <w:r w:rsidRPr="002B37D0">
              <w:rPr>
                <w:rStyle w:val="Hyperlink"/>
                <w:rFonts w:cs="Arial"/>
                <w:noProof/>
              </w:rPr>
              <w:t>I.3.2.2 Chestionare origine-destinaţie</w:t>
            </w:r>
            <w:r>
              <w:rPr>
                <w:noProof/>
                <w:webHidden/>
              </w:rPr>
              <w:tab/>
            </w:r>
            <w:r>
              <w:rPr>
                <w:noProof/>
                <w:webHidden/>
              </w:rPr>
              <w:fldChar w:fldCharType="begin"/>
            </w:r>
            <w:r>
              <w:rPr>
                <w:noProof/>
                <w:webHidden/>
              </w:rPr>
              <w:instrText xml:space="preserve"> PAGEREF _Toc142039075 \h </w:instrText>
            </w:r>
            <w:r>
              <w:rPr>
                <w:noProof/>
                <w:webHidden/>
              </w:rPr>
            </w:r>
            <w:r>
              <w:rPr>
                <w:noProof/>
                <w:webHidden/>
              </w:rPr>
              <w:fldChar w:fldCharType="separate"/>
            </w:r>
            <w:r w:rsidR="00BB181C">
              <w:rPr>
                <w:noProof/>
                <w:webHidden/>
              </w:rPr>
              <w:t>137</w:t>
            </w:r>
            <w:r>
              <w:rPr>
                <w:noProof/>
                <w:webHidden/>
              </w:rPr>
              <w:fldChar w:fldCharType="end"/>
            </w:r>
          </w:hyperlink>
        </w:p>
        <w:p w14:paraId="1439B84A" w14:textId="2274D40F" w:rsidR="005B68FD" w:rsidRDefault="005B68FD">
          <w:pPr>
            <w:pStyle w:val="Cuprins2"/>
            <w:tabs>
              <w:tab w:val="right" w:leader="dot" w:pos="9645"/>
            </w:tabs>
            <w:rPr>
              <w:rFonts w:eastAsiaTheme="minorEastAsia"/>
              <w:noProof/>
              <w:kern w:val="2"/>
              <w:lang w:val="ro-RO" w:eastAsia="ro-RO"/>
              <w14:ligatures w14:val="standardContextual"/>
            </w:rPr>
          </w:pPr>
          <w:hyperlink w:anchor="_Toc142039076" w:history="1">
            <w:r w:rsidRPr="002B37D0">
              <w:rPr>
                <w:rStyle w:val="Hyperlink"/>
                <w:rFonts w:ascii="Arial" w:eastAsia="Times New Roman" w:hAnsi="Arial" w:cs="Arial"/>
                <w:b/>
                <w:bCs/>
                <w:noProof/>
                <w:lang w:val="it-IT" w:eastAsia="ro-RO"/>
              </w:rPr>
              <w:t>I.3.3 Dezvoltarea retelei de transport</w:t>
            </w:r>
            <w:r>
              <w:rPr>
                <w:noProof/>
                <w:webHidden/>
              </w:rPr>
              <w:tab/>
            </w:r>
            <w:r>
              <w:rPr>
                <w:noProof/>
                <w:webHidden/>
              </w:rPr>
              <w:fldChar w:fldCharType="begin"/>
            </w:r>
            <w:r>
              <w:rPr>
                <w:noProof/>
                <w:webHidden/>
              </w:rPr>
              <w:instrText xml:space="preserve"> PAGEREF _Toc142039076 \h </w:instrText>
            </w:r>
            <w:r>
              <w:rPr>
                <w:noProof/>
                <w:webHidden/>
              </w:rPr>
            </w:r>
            <w:r>
              <w:rPr>
                <w:noProof/>
                <w:webHidden/>
              </w:rPr>
              <w:fldChar w:fldCharType="separate"/>
            </w:r>
            <w:r w:rsidR="00BB181C">
              <w:rPr>
                <w:noProof/>
                <w:webHidden/>
              </w:rPr>
              <w:t>151</w:t>
            </w:r>
            <w:r>
              <w:rPr>
                <w:noProof/>
                <w:webHidden/>
              </w:rPr>
              <w:fldChar w:fldCharType="end"/>
            </w:r>
          </w:hyperlink>
        </w:p>
        <w:p w14:paraId="055FB4DF" w14:textId="24CDF0FC" w:rsidR="005B68FD" w:rsidRDefault="005B68FD">
          <w:pPr>
            <w:pStyle w:val="Cuprins2"/>
            <w:tabs>
              <w:tab w:val="right" w:leader="dot" w:pos="9645"/>
            </w:tabs>
            <w:rPr>
              <w:rFonts w:eastAsiaTheme="minorEastAsia"/>
              <w:noProof/>
              <w:kern w:val="2"/>
              <w:lang w:val="ro-RO" w:eastAsia="ro-RO"/>
              <w14:ligatures w14:val="standardContextual"/>
            </w:rPr>
          </w:pPr>
          <w:hyperlink w:anchor="_Toc142039077" w:history="1">
            <w:r w:rsidRPr="002B37D0">
              <w:rPr>
                <w:rStyle w:val="Hyperlink"/>
                <w:rFonts w:ascii="Arial" w:eastAsia="Times New Roman" w:hAnsi="Arial" w:cs="Arial"/>
                <w:b/>
                <w:bCs/>
                <w:noProof/>
                <w:lang w:val="it-IT" w:eastAsia="ro-RO"/>
              </w:rPr>
              <w:t>I.3.4 Cererea de transport</w:t>
            </w:r>
            <w:r>
              <w:rPr>
                <w:noProof/>
                <w:webHidden/>
              </w:rPr>
              <w:tab/>
            </w:r>
            <w:r>
              <w:rPr>
                <w:noProof/>
                <w:webHidden/>
              </w:rPr>
              <w:fldChar w:fldCharType="begin"/>
            </w:r>
            <w:r>
              <w:rPr>
                <w:noProof/>
                <w:webHidden/>
              </w:rPr>
              <w:instrText xml:space="preserve"> PAGEREF _Toc142039077 \h </w:instrText>
            </w:r>
            <w:r>
              <w:rPr>
                <w:noProof/>
                <w:webHidden/>
              </w:rPr>
            </w:r>
            <w:r>
              <w:rPr>
                <w:noProof/>
                <w:webHidden/>
              </w:rPr>
              <w:fldChar w:fldCharType="separate"/>
            </w:r>
            <w:r w:rsidR="00BB181C">
              <w:rPr>
                <w:noProof/>
                <w:webHidden/>
              </w:rPr>
              <w:t>151</w:t>
            </w:r>
            <w:r>
              <w:rPr>
                <w:noProof/>
                <w:webHidden/>
              </w:rPr>
              <w:fldChar w:fldCharType="end"/>
            </w:r>
          </w:hyperlink>
        </w:p>
        <w:p w14:paraId="43AA7526" w14:textId="7A785CA4" w:rsidR="005B68FD" w:rsidRDefault="005B68FD">
          <w:pPr>
            <w:pStyle w:val="Cuprins2"/>
            <w:tabs>
              <w:tab w:val="right" w:leader="dot" w:pos="9645"/>
            </w:tabs>
            <w:rPr>
              <w:rFonts w:eastAsiaTheme="minorEastAsia"/>
              <w:noProof/>
              <w:kern w:val="2"/>
              <w:lang w:val="ro-RO" w:eastAsia="ro-RO"/>
              <w14:ligatures w14:val="standardContextual"/>
            </w:rPr>
          </w:pPr>
          <w:hyperlink w:anchor="_Toc142039078" w:history="1">
            <w:r w:rsidRPr="002B37D0">
              <w:rPr>
                <w:rStyle w:val="Hyperlink"/>
                <w:rFonts w:ascii="Arial" w:eastAsia="Times New Roman" w:hAnsi="Arial" w:cs="Arial"/>
                <w:b/>
                <w:bCs/>
                <w:noProof/>
                <w:lang w:val="it-IT" w:eastAsia="ro-RO"/>
              </w:rPr>
              <w:t>I.3.5 Calibrarea și validarea datelor</w:t>
            </w:r>
            <w:r>
              <w:rPr>
                <w:noProof/>
                <w:webHidden/>
              </w:rPr>
              <w:tab/>
            </w:r>
            <w:r>
              <w:rPr>
                <w:noProof/>
                <w:webHidden/>
              </w:rPr>
              <w:fldChar w:fldCharType="begin"/>
            </w:r>
            <w:r>
              <w:rPr>
                <w:noProof/>
                <w:webHidden/>
              </w:rPr>
              <w:instrText xml:space="preserve"> PAGEREF _Toc142039078 \h </w:instrText>
            </w:r>
            <w:r>
              <w:rPr>
                <w:noProof/>
                <w:webHidden/>
              </w:rPr>
            </w:r>
            <w:r>
              <w:rPr>
                <w:noProof/>
                <w:webHidden/>
              </w:rPr>
              <w:fldChar w:fldCharType="separate"/>
            </w:r>
            <w:r w:rsidR="00BB181C">
              <w:rPr>
                <w:noProof/>
                <w:webHidden/>
              </w:rPr>
              <w:t>156</w:t>
            </w:r>
            <w:r>
              <w:rPr>
                <w:noProof/>
                <w:webHidden/>
              </w:rPr>
              <w:fldChar w:fldCharType="end"/>
            </w:r>
          </w:hyperlink>
        </w:p>
        <w:p w14:paraId="7D5D1E19" w14:textId="33183887" w:rsidR="005B68FD" w:rsidRDefault="005B68FD">
          <w:pPr>
            <w:pStyle w:val="Cuprins2"/>
            <w:tabs>
              <w:tab w:val="right" w:leader="dot" w:pos="9645"/>
            </w:tabs>
            <w:rPr>
              <w:rFonts w:eastAsiaTheme="minorEastAsia"/>
              <w:noProof/>
              <w:kern w:val="2"/>
              <w:lang w:val="ro-RO" w:eastAsia="ro-RO"/>
              <w14:ligatures w14:val="standardContextual"/>
            </w:rPr>
          </w:pPr>
          <w:hyperlink w:anchor="_Toc142039079" w:history="1">
            <w:r w:rsidRPr="002B37D0">
              <w:rPr>
                <w:rStyle w:val="Hyperlink"/>
                <w:rFonts w:ascii="Arial" w:eastAsia="Times New Roman" w:hAnsi="Arial" w:cs="Arial"/>
                <w:b/>
                <w:bCs/>
                <w:noProof/>
                <w:lang w:val="it-IT" w:eastAsia="ro-RO"/>
              </w:rPr>
              <w:t>I.3.6 Prognoze</w:t>
            </w:r>
            <w:r>
              <w:rPr>
                <w:noProof/>
                <w:webHidden/>
              </w:rPr>
              <w:tab/>
            </w:r>
            <w:r>
              <w:rPr>
                <w:noProof/>
                <w:webHidden/>
              </w:rPr>
              <w:fldChar w:fldCharType="begin"/>
            </w:r>
            <w:r>
              <w:rPr>
                <w:noProof/>
                <w:webHidden/>
              </w:rPr>
              <w:instrText xml:space="preserve"> PAGEREF _Toc142039079 \h </w:instrText>
            </w:r>
            <w:r>
              <w:rPr>
                <w:noProof/>
                <w:webHidden/>
              </w:rPr>
            </w:r>
            <w:r>
              <w:rPr>
                <w:noProof/>
                <w:webHidden/>
              </w:rPr>
              <w:fldChar w:fldCharType="separate"/>
            </w:r>
            <w:r w:rsidR="00BB181C">
              <w:rPr>
                <w:noProof/>
                <w:webHidden/>
              </w:rPr>
              <w:t>164</w:t>
            </w:r>
            <w:r>
              <w:rPr>
                <w:noProof/>
                <w:webHidden/>
              </w:rPr>
              <w:fldChar w:fldCharType="end"/>
            </w:r>
          </w:hyperlink>
        </w:p>
        <w:p w14:paraId="7858A97A" w14:textId="2322D2D5"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80" w:history="1">
            <w:r w:rsidRPr="002B37D0">
              <w:rPr>
                <w:rStyle w:val="Hyperlink"/>
                <w:rFonts w:cs="Arial"/>
                <w:noProof/>
              </w:rPr>
              <w:t>I.3.6.1 Afectarea traficului pentru anul de bază 2021</w:t>
            </w:r>
            <w:r>
              <w:rPr>
                <w:noProof/>
                <w:webHidden/>
              </w:rPr>
              <w:tab/>
            </w:r>
            <w:r>
              <w:rPr>
                <w:noProof/>
                <w:webHidden/>
              </w:rPr>
              <w:fldChar w:fldCharType="begin"/>
            </w:r>
            <w:r>
              <w:rPr>
                <w:noProof/>
                <w:webHidden/>
              </w:rPr>
              <w:instrText xml:space="preserve"> PAGEREF _Toc142039080 \h </w:instrText>
            </w:r>
            <w:r>
              <w:rPr>
                <w:noProof/>
                <w:webHidden/>
              </w:rPr>
            </w:r>
            <w:r>
              <w:rPr>
                <w:noProof/>
                <w:webHidden/>
              </w:rPr>
              <w:fldChar w:fldCharType="separate"/>
            </w:r>
            <w:r w:rsidR="00BB181C">
              <w:rPr>
                <w:noProof/>
                <w:webHidden/>
              </w:rPr>
              <w:t>165</w:t>
            </w:r>
            <w:r>
              <w:rPr>
                <w:noProof/>
                <w:webHidden/>
              </w:rPr>
              <w:fldChar w:fldCharType="end"/>
            </w:r>
          </w:hyperlink>
        </w:p>
        <w:p w14:paraId="7C6AAC05" w14:textId="15B04EC8"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81" w:history="1">
            <w:r w:rsidRPr="002B37D0">
              <w:rPr>
                <w:rStyle w:val="Hyperlink"/>
                <w:rFonts w:cs="Arial"/>
                <w:noProof/>
              </w:rPr>
              <w:t>I.3.6.2 Prognoza pentru ora de vârf AM</w:t>
            </w:r>
            <w:r>
              <w:rPr>
                <w:noProof/>
                <w:webHidden/>
              </w:rPr>
              <w:tab/>
            </w:r>
            <w:r>
              <w:rPr>
                <w:noProof/>
                <w:webHidden/>
              </w:rPr>
              <w:fldChar w:fldCharType="begin"/>
            </w:r>
            <w:r>
              <w:rPr>
                <w:noProof/>
                <w:webHidden/>
              </w:rPr>
              <w:instrText xml:space="preserve"> PAGEREF _Toc142039081 \h </w:instrText>
            </w:r>
            <w:r>
              <w:rPr>
                <w:noProof/>
                <w:webHidden/>
              </w:rPr>
            </w:r>
            <w:r>
              <w:rPr>
                <w:noProof/>
                <w:webHidden/>
              </w:rPr>
              <w:fldChar w:fldCharType="separate"/>
            </w:r>
            <w:r w:rsidR="00BB181C">
              <w:rPr>
                <w:noProof/>
                <w:webHidden/>
              </w:rPr>
              <w:t>172</w:t>
            </w:r>
            <w:r>
              <w:rPr>
                <w:noProof/>
                <w:webHidden/>
              </w:rPr>
              <w:fldChar w:fldCharType="end"/>
            </w:r>
          </w:hyperlink>
        </w:p>
        <w:p w14:paraId="23564204" w14:textId="3428CC7D"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082" w:history="1">
            <w:r w:rsidRPr="002B37D0">
              <w:rPr>
                <w:rStyle w:val="Hyperlink"/>
                <w:rFonts w:cs="Arial"/>
                <w:noProof/>
              </w:rPr>
              <w:t>I.3.6.3 Prognoza pentru ora de vârf PM</w:t>
            </w:r>
            <w:r>
              <w:rPr>
                <w:noProof/>
                <w:webHidden/>
              </w:rPr>
              <w:tab/>
            </w:r>
            <w:r>
              <w:rPr>
                <w:noProof/>
                <w:webHidden/>
              </w:rPr>
              <w:fldChar w:fldCharType="begin"/>
            </w:r>
            <w:r>
              <w:rPr>
                <w:noProof/>
                <w:webHidden/>
              </w:rPr>
              <w:instrText xml:space="preserve"> PAGEREF _Toc142039082 \h </w:instrText>
            </w:r>
            <w:r>
              <w:rPr>
                <w:noProof/>
                <w:webHidden/>
              </w:rPr>
            </w:r>
            <w:r>
              <w:rPr>
                <w:noProof/>
                <w:webHidden/>
              </w:rPr>
              <w:fldChar w:fldCharType="separate"/>
            </w:r>
            <w:r w:rsidR="00BB181C">
              <w:rPr>
                <w:noProof/>
                <w:webHidden/>
              </w:rPr>
              <w:t>177</w:t>
            </w:r>
            <w:r>
              <w:rPr>
                <w:noProof/>
                <w:webHidden/>
              </w:rPr>
              <w:fldChar w:fldCharType="end"/>
            </w:r>
          </w:hyperlink>
        </w:p>
        <w:p w14:paraId="3F2F5338" w14:textId="6915DB2A" w:rsidR="005B68FD" w:rsidRDefault="005B68FD">
          <w:pPr>
            <w:pStyle w:val="Cuprins2"/>
            <w:tabs>
              <w:tab w:val="right" w:leader="dot" w:pos="9645"/>
            </w:tabs>
            <w:rPr>
              <w:rFonts w:eastAsiaTheme="minorEastAsia"/>
              <w:noProof/>
              <w:kern w:val="2"/>
              <w:lang w:val="ro-RO" w:eastAsia="ro-RO"/>
              <w14:ligatures w14:val="standardContextual"/>
            </w:rPr>
          </w:pPr>
          <w:hyperlink w:anchor="_Toc142039083" w:history="1">
            <w:r w:rsidRPr="002B37D0">
              <w:rPr>
                <w:rStyle w:val="Hyperlink"/>
                <w:rFonts w:ascii="Arial" w:eastAsia="Times New Roman" w:hAnsi="Arial" w:cs="Arial"/>
                <w:b/>
                <w:bCs/>
                <w:noProof/>
                <w:lang w:val="it-IT" w:eastAsia="ro-RO"/>
              </w:rPr>
              <w:t>I.3.7 Testarea modelului de transport în cadrul unui studiu de caz</w:t>
            </w:r>
            <w:r>
              <w:rPr>
                <w:noProof/>
                <w:webHidden/>
              </w:rPr>
              <w:tab/>
            </w:r>
            <w:r>
              <w:rPr>
                <w:noProof/>
                <w:webHidden/>
              </w:rPr>
              <w:fldChar w:fldCharType="begin"/>
            </w:r>
            <w:r>
              <w:rPr>
                <w:noProof/>
                <w:webHidden/>
              </w:rPr>
              <w:instrText xml:space="preserve"> PAGEREF _Toc142039083 \h </w:instrText>
            </w:r>
            <w:r>
              <w:rPr>
                <w:noProof/>
                <w:webHidden/>
              </w:rPr>
            </w:r>
            <w:r>
              <w:rPr>
                <w:noProof/>
                <w:webHidden/>
              </w:rPr>
              <w:fldChar w:fldCharType="separate"/>
            </w:r>
            <w:r w:rsidR="00BB181C">
              <w:rPr>
                <w:noProof/>
                <w:webHidden/>
              </w:rPr>
              <w:t>181</w:t>
            </w:r>
            <w:r>
              <w:rPr>
                <w:noProof/>
                <w:webHidden/>
              </w:rPr>
              <w:fldChar w:fldCharType="end"/>
            </w:r>
          </w:hyperlink>
        </w:p>
        <w:p w14:paraId="159854ED" w14:textId="57AD7774" w:rsidR="005B68FD" w:rsidRDefault="005B68FD">
          <w:pPr>
            <w:pStyle w:val="Cuprins1"/>
            <w:tabs>
              <w:tab w:val="right" w:leader="dot" w:pos="9645"/>
            </w:tabs>
            <w:rPr>
              <w:rFonts w:eastAsiaTheme="minorEastAsia"/>
              <w:noProof/>
              <w:kern w:val="2"/>
              <w:lang w:val="ro-RO" w:eastAsia="ro-RO"/>
              <w14:ligatures w14:val="standardContextual"/>
            </w:rPr>
          </w:pPr>
          <w:hyperlink w:anchor="_Toc142039084" w:history="1">
            <w:r w:rsidRPr="002B37D0">
              <w:rPr>
                <w:rStyle w:val="Hyperlink"/>
                <w:rFonts w:ascii="Arial" w:eastAsia="Times New Roman" w:hAnsi="Arial" w:cs="Arial"/>
                <w:b/>
                <w:bCs/>
                <w:noProof/>
                <w:lang w:val="it-IT" w:eastAsia="ro-RO"/>
              </w:rPr>
              <w:t>I.4 Evaluarea impactului actual al mobilităţii</w:t>
            </w:r>
            <w:r>
              <w:rPr>
                <w:noProof/>
                <w:webHidden/>
              </w:rPr>
              <w:tab/>
            </w:r>
            <w:r>
              <w:rPr>
                <w:noProof/>
                <w:webHidden/>
              </w:rPr>
              <w:fldChar w:fldCharType="begin"/>
            </w:r>
            <w:r>
              <w:rPr>
                <w:noProof/>
                <w:webHidden/>
              </w:rPr>
              <w:instrText xml:space="preserve"> PAGEREF _Toc142039084 \h </w:instrText>
            </w:r>
            <w:r>
              <w:rPr>
                <w:noProof/>
                <w:webHidden/>
              </w:rPr>
            </w:r>
            <w:r>
              <w:rPr>
                <w:noProof/>
                <w:webHidden/>
              </w:rPr>
              <w:fldChar w:fldCharType="separate"/>
            </w:r>
            <w:r w:rsidR="00BB181C">
              <w:rPr>
                <w:noProof/>
                <w:webHidden/>
              </w:rPr>
              <w:t>183</w:t>
            </w:r>
            <w:r>
              <w:rPr>
                <w:noProof/>
                <w:webHidden/>
              </w:rPr>
              <w:fldChar w:fldCharType="end"/>
            </w:r>
          </w:hyperlink>
        </w:p>
        <w:p w14:paraId="0FFEC9D0" w14:textId="2364C834" w:rsidR="005B68FD" w:rsidRDefault="005B68FD">
          <w:pPr>
            <w:pStyle w:val="Cuprins1"/>
            <w:tabs>
              <w:tab w:val="right" w:leader="dot" w:pos="9645"/>
            </w:tabs>
            <w:rPr>
              <w:rFonts w:eastAsiaTheme="minorEastAsia"/>
              <w:noProof/>
              <w:kern w:val="2"/>
              <w:lang w:val="ro-RO" w:eastAsia="ro-RO"/>
              <w14:ligatures w14:val="standardContextual"/>
            </w:rPr>
          </w:pPr>
          <w:hyperlink r:id="rId17" w:anchor="_Toc142039085" w:history="1">
            <w:r w:rsidRPr="002B37D0">
              <w:rPr>
                <w:rStyle w:val="Hyperlink"/>
                <w:rFonts w:ascii="Arial" w:eastAsia="Times New Roman" w:hAnsi="Arial" w:cs="Arial"/>
                <w:b/>
                <w:bCs/>
                <w:noProof/>
                <w:lang w:val="ro-RO" w:eastAsia="ro-RO"/>
                <w14:textOutline w14:w="11112" w14:cap="flat" w14:cmpd="sng" w14:algn="ctr">
                  <w14:solidFill>
                    <w14:schemeClr w14:val="accent2"/>
                  </w14:solidFill>
                  <w14:prstDash w14:val="solid"/>
                  <w14:round/>
                </w14:textOutline>
              </w:rPr>
              <w:t>I.4</w:t>
            </w:r>
            <w:r>
              <w:rPr>
                <w:noProof/>
                <w:webHidden/>
              </w:rPr>
              <w:tab/>
            </w:r>
            <w:r>
              <w:rPr>
                <w:noProof/>
                <w:webHidden/>
              </w:rPr>
              <w:fldChar w:fldCharType="begin"/>
            </w:r>
            <w:r>
              <w:rPr>
                <w:noProof/>
                <w:webHidden/>
              </w:rPr>
              <w:instrText xml:space="preserve"> PAGEREF _Toc142039085 \h </w:instrText>
            </w:r>
            <w:r>
              <w:rPr>
                <w:noProof/>
                <w:webHidden/>
              </w:rPr>
            </w:r>
            <w:r>
              <w:rPr>
                <w:noProof/>
                <w:webHidden/>
              </w:rPr>
              <w:fldChar w:fldCharType="separate"/>
            </w:r>
            <w:r w:rsidR="00BB181C">
              <w:rPr>
                <w:noProof/>
                <w:webHidden/>
              </w:rPr>
              <w:t>183</w:t>
            </w:r>
            <w:r>
              <w:rPr>
                <w:noProof/>
                <w:webHidden/>
              </w:rPr>
              <w:fldChar w:fldCharType="end"/>
            </w:r>
          </w:hyperlink>
        </w:p>
        <w:p w14:paraId="3C90EF81" w14:textId="66BBEDCD" w:rsidR="005B68FD" w:rsidRDefault="005B68FD">
          <w:pPr>
            <w:pStyle w:val="Cuprins2"/>
            <w:tabs>
              <w:tab w:val="right" w:leader="dot" w:pos="9645"/>
            </w:tabs>
            <w:rPr>
              <w:rFonts w:eastAsiaTheme="minorEastAsia"/>
              <w:noProof/>
              <w:kern w:val="2"/>
              <w:lang w:val="ro-RO" w:eastAsia="ro-RO"/>
              <w14:ligatures w14:val="standardContextual"/>
            </w:rPr>
          </w:pPr>
          <w:hyperlink w:anchor="_Toc142039086" w:history="1">
            <w:r w:rsidRPr="002B37D0">
              <w:rPr>
                <w:rStyle w:val="Hyperlink"/>
                <w:rFonts w:ascii="Arial" w:eastAsia="Times New Roman" w:hAnsi="Arial" w:cs="Arial"/>
                <w:b/>
                <w:bCs/>
                <w:noProof/>
                <w:lang w:val="it-IT" w:eastAsia="ro-RO"/>
              </w:rPr>
              <w:t>I.4.1 Eficiența economică</w:t>
            </w:r>
            <w:r>
              <w:rPr>
                <w:noProof/>
                <w:webHidden/>
              </w:rPr>
              <w:tab/>
            </w:r>
            <w:r>
              <w:rPr>
                <w:noProof/>
                <w:webHidden/>
              </w:rPr>
              <w:fldChar w:fldCharType="begin"/>
            </w:r>
            <w:r>
              <w:rPr>
                <w:noProof/>
                <w:webHidden/>
              </w:rPr>
              <w:instrText xml:space="preserve"> PAGEREF _Toc142039086 \h </w:instrText>
            </w:r>
            <w:r>
              <w:rPr>
                <w:noProof/>
                <w:webHidden/>
              </w:rPr>
            </w:r>
            <w:r>
              <w:rPr>
                <w:noProof/>
                <w:webHidden/>
              </w:rPr>
              <w:fldChar w:fldCharType="separate"/>
            </w:r>
            <w:r w:rsidR="00BB181C">
              <w:rPr>
                <w:noProof/>
                <w:webHidden/>
              </w:rPr>
              <w:t>183</w:t>
            </w:r>
            <w:r>
              <w:rPr>
                <w:noProof/>
                <w:webHidden/>
              </w:rPr>
              <w:fldChar w:fldCharType="end"/>
            </w:r>
          </w:hyperlink>
        </w:p>
        <w:p w14:paraId="1F40F185" w14:textId="2E01D802" w:rsidR="005B68FD" w:rsidRDefault="005B68FD">
          <w:pPr>
            <w:pStyle w:val="Cuprins2"/>
            <w:tabs>
              <w:tab w:val="right" w:leader="dot" w:pos="9645"/>
            </w:tabs>
            <w:rPr>
              <w:rFonts w:eastAsiaTheme="minorEastAsia"/>
              <w:noProof/>
              <w:kern w:val="2"/>
              <w:lang w:val="ro-RO" w:eastAsia="ro-RO"/>
              <w14:ligatures w14:val="standardContextual"/>
            </w:rPr>
          </w:pPr>
          <w:hyperlink w:anchor="_Toc142039087" w:history="1">
            <w:r w:rsidRPr="002B37D0">
              <w:rPr>
                <w:rStyle w:val="Hyperlink"/>
                <w:rFonts w:ascii="Arial" w:eastAsia="Times New Roman" w:hAnsi="Arial" w:cs="Arial"/>
                <w:b/>
                <w:bCs/>
                <w:noProof/>
                <w:lang w:val="it-IT" w:eastAsia="ro-RO"/>
              </w:rPr>
              <w:t>I.4.2 Impactul asupra mediului</w:t>
            </w:r>
            <w:r>
              <w:rPr>
                <w:noProof/>
                <w:webHidden/>
              </w:rPr>
              <w:tab/>
            </w:r>
            <w:r>
              <w:rPr>
                <w:noProof/>
                <w:webHidden/>
              </w:rPr>
              <w:fldChar w:fldCharType="begin"/>
            </w:r>
            <w:r>
              <w:rPr>
                <w:noProof/>
                <w:webHidden/>
              </w:rPr>
              <w:instrText xml:space="preserve"> PAGEREF _Toc142039087 \h </w:instrText>
            </w:r>
            <w:r>
              <w:rPr>
                <w:noProof/>
                <w:webHidden/>
              </w:rPr>
            </w:r>
            <w:r>
              <w:rPr>
                <w:noProof/>
                <w:webHidden/>
              </w:rPr>
              <w:fldChar w:fldCharType="separate"/>
            </w:r>
            <w:r w:rsidR="00BB181C">
              <w:rPr>
                <w:noProof/>
                <w:webHidden/>
              </w:rPr>
              <w:t>190</w:t>
            </w:r>
            <w:r>
              <w:rPr>
                <w:noProof/>
                <w:webHidden/>
              </w:rPr>
              <w:fldChar w:fldCharType="end"/>
            </w:r>
          </w:hyperlink>
        </w:p>
        <w:p w14:paraId="197E4400" w14:textId="0621B63B" w:rsidR="005B68FD" w:rsidRDefault="005B68FD">
          <w:pPr>
            <w:pStyle w:val="Cuprins2"/>
            <w:tabs>
              <w:tab w:val="right" w:leader="dot" w:pos="9645"/>
            </w:tabs>
            <w:rPr>
              <w:rFonts w:eastAsiaTheme="minorEastAsia"/>
              <w:noProof/>
              <w:kern w:val="2"/>
              <w:lang w:val="ro-RO" w:eastAsia="ro-RO"/>
              <w14:ligatures w14:val="standardContextual"/>
            </w:rPr>
          </w:pPr>
          <w:hyperlink w:anchor="_Toc142039088" w:history="1">
            <w:r w:rsidRPr="002B37D0">
              <w:rPr>
                <w:rStyle w:val="Hyperlink"/>
                <w:rFonts w:ascii="Arial" w:eastAsia="Times New Roman" w:hAnsi="Arial" w:cs="Arial"/>
                <w:b/>
                <w:bCs/>
                <w:noProof/>
                <w:lang w:val="it-IT" w:eastAsia="ro-RO"/>
              </w:rPr>
              <w:t>I.4.3 Accesibilitate</w:t>
            </w:r>
            <w:r>
              <w:rPr>
                <w:noProof/>
                <w:webHidden/>
              </w:rPr>
              <w:tab/>
            </w:r>
            <w:r>
              <w:rPr>
                <w:noProof/>
                <w:webHidden/>
              </w:rPr>
              <w:fldChar w:fldCharType="begin"/>
            </w:r>
            <w:r>
              <w:rPr>
                <w:noProof/>
                <w:webHidden/>
              </w:rPr>
              <w:instrText xml:space="preserve"> PAGEREF _Toc142039088 \h </w:instrText>
            </w:r>
            <w:r>
              <w:rPr>
                <w:noProof/>
                <w:webHidden/>
              </w:rPr>
            </w:r>
            <w:r>
              <w:rPr>
                <w:noProof/>
                <w:webHidden/>
              </w:rPr>
              <w:fldChar w:fldCharType="separate"/>
            </w:r>
            <w:r w:rsidR="00BB181C">
              <w:rPr>
                <w:noProof/>
                <w:webHidden/>
              </w:rPr>
              <w:t>203</w:t>
            </w:r>
            <w:r>
              <w:rPr>
                <w:noProof/>
                <w:webHidden/>
              </w:rPr>
              <w:fldChar w:fldCharType="end"/>
            </w:r>
          </w:hyperlink>
        </w:p>
        <w:p w14:paraId="1C036ED2" w14:textId="238B365A" w:rsidR="005B68FD" w:rsidRDefault="005B68FD">
          <w:pPr>
            <w:pStyle w:val="Cuprins2"/>
            <w:tabs>
              <w:tab w:val="right" w:leader="dot" w:pos="9645"/>
            </w:tabs>
            <w:rPr>
              <w:rFonts w:eastAsiaTheme="minorEastAsia"/>
              <w:noProof/>
              <w:kern w:val="2"/>
              <w:lang w:val="ro-RO" w:eastAsia="ro-RO"/>
              <w14:ligatures w14:val="standardContextual"/>
            </w:rPr>
          </w:pPr>
          <w:hyperlink w:anchor="_Toc142039089" w:history="1">
            <w:r w:rsidRPr="002B37D0">
              <w:rPr>
                <w:rStyle w:val="Hyperlink"/>
                <w:rFonts w:ascii="Arial" w:eastAsia="Times New Roman" w:hAnsi="Arial" w:cs="Arial"/>
                <w:b/>
                <w:bCs/>
                <w:noProof/>
                <w:lang w:val="it-IT" w:eastAsia="ro-RO"/>
              </w:rPr>
              <w:t>I.4.4 Siguranța</w:t>
            </w:r>
            <w:r>
              <w:rPr>
                <w:noProof/>
                <w:webHidden/>
              </w:rPr>
              <w:tab/>
            </w:r>
            <w:r>
              <w:rPr>
                <w:noProof/>
                <w:webHidden/>
              </w:rPr>
              <w:fldChar w:fldCharType="begin"/>
            </w:r>
            <w:r>
              <w:rPr>
                <w:noProof/>
                <w:webHidden/>
              </w:rPr>
              <w:instrText xml:space="preserve"> PAGEREF _Toc142039089 \h </w:instrText>
            </w:r>
            <w:r>
              <w:rPr>
                <w:noProof/>
                <w:webHidden/>
              </w:rPr>
            </w:r>
            <w:r>
              <w:rPr>
                <w:noProof/>
                <w:webHidden/>
              </w:rPr>
              <w:fldChar w:fldCharType="separate"/>
            </w:r>
            <w:r w:rsidR="00BB181C">
              <w:rPr>
                <w:noProof/>
                <w:webHidden/>
              </w:rPr>
              <w:t>214</w:t>
            </w:r>
            <w:r>
              <w:rPr>
                <w:noProof/>
                <w:webHidden/>
              </w:rPr>
              <w:fldChar w:fldCharType="end"/>
            </w:r>
          </w:hyperlink>
        </w:p>
        <w:p w14:paraId="4ABF3851" w14:textId="521B660D" w:rsidR="005B68FD" w:rsidRDefault="005B68FD">
          <w:pPr>
            <w:pStyle w:val="Cuprins2"/>
            <w:tabs>
              <w:tab w:val="right" w:leader="dot" w:pos="9645"/>
            </w:tabs>
            <w:rPr>
              <w:rFonts w:eastAsiaTheme="minorEastAsia"/>
              <w:noProof/>
              <w:kern w:val="2"/>
              <w:lang w:val="ro-RO" w:eastAsia="ro-RO"/>
              <w14:ligatures w14:val="standardContextual"/>
            </w:rPr>
          </w:pPr>
          <w:hyperlink w:anchor="_Toc142039090" w:history="1">
            <w:r w:rsidRPr="002B37D0">
              <w:rPr>
                <w:rStyle w:val="Hyperlink"/>
                <w:rFonts w:ascii="Arial" w:eastAsia="Times New Roman" w:hAnsi="Arial" w:cs="Arial"/>
                <w:b/>
                <w:bCs/>
                <w:noProof/>
                <w:lang w:val="it-IT" w:eastAsia="ro-RO"/>
              </w:rPr>
              <w:t>I.4.5 Calitatea vietii</w:t>
            </w:r>
            <w:r>
              <w:rPr>
                <w:noProof/>
                <w:webHidden/>
              </w:rPr>
              <w:tab/>
            </w:r>
            <w:r>
              <w:rPr>
                <w:noProof/>
                <w:webHidden/>
              </w:rPr>
              <w:fldChar w:fldCharType="begin"/>
            </w:r>
            <w:r>
              <w:rPr>
                <w:noProof/>
                <w:webHidden/>
              </w:rPr>
              <w:instrText xml:space="preserve"> PAGEREF _Toc142039090 \h </w:instrText>
            </w:r>
            <w:r>
              <w:rPr>
                <w:noProof/>
                <w:webHidden/>
              </w:rPr>
            </w:r>
            <w:r>
              <w:rPr>
                <w:noProof/>
                <w:webHidden/>
              </w:rPr>
              <w:fldChar w:fldCharType="separate"/>
            </w:r>
            <w:r w:rsidR="00BB181C">
              <w:rPr>
                <w:noProof/>
                <w:webHidden/>
              </w:rPr>
              <w:t>219</w:t>
            </w:r>
            <w:r>
              <w:rPr>
                <w:noProof/>
                <w:webHidden/>
              </w:rPr>
              <w:fldChar w:fldCharType="end"/>
            </w:r>
          </w:hyperlink>
        </w:p>
        <w:p w14:paraId="24E066F3" w14:textId="6BFDAA9B" w:rsidR="005B68FD" w:rsidRDefault="005B68FD">
          <w:pPr>
            <w:pStyle w:val="Cuprins2"/>
            <w:tabs>
              <w:tab w:val="right" w:leader="dot" w:pos="9645"/>
            </w:tabs>
            <w:rPr>
              <w:rFonts w:eastAsiaTheme="minorEastAsia"/>
              <w:noProof/>
              <w:kern w:val="2"/>
              <w:lang w:val="ro-RO" w:eastAsia="ro-RO"/>
              <w14:ligatures w14:val="standardContextual"/>
            </w:rPr>
          </w:pPr>
          <w:hyperlink w:anchor="_Toc142039091" w:history="1">
            <w:r w:rsidRPr="002B37D0">
              <w:rPr>
                <w:rStyle w:val="Hyperlink"/>
                <w:rFonts w:ascii="Arial" w:eastAsia="Times New Roman" w:hAnsi="Arial" w:cs="Arial"/>
                <w:b/>
                <w:noProof/>
                <w:lang w:val="x-none" w:eastAsia="hi-IN" w:bidi="hi-IN"/>
              </w:rPr>
              <w:t>I.4.</w:t>
            </w:r>
            <w:r w:rsidRPr="002B37D0">
              <w:rPr>
                <w:rStyle w:val="Hyperlink"/>
                <w:rFonts w:ascii="Arial" w:eastAsia="Times New Roman" w:hAnsi="Arial" w:cs="Arial"/>
                <w:b/>
                <w:noProof/>
                <w:lang w:eastAsia="hi-IN" w:bidi="hi-IN"/>
              </w:rPr>
              <w:t>6</w:t>
            </w:r>
            <w:r w:rsidRPr="002B37D0">
              <w:rPr>
                <w:rStyle w:val="Hyperlink"/>
                <w:rFonts w:ascii="Arial" w:eastAsia="Times New Roman" w:hAnsi="Arial" w:cs="Arial"/>
                <w:b/>
                <w:noProof/>
                <w:lang w:val="x-none" w:eastAsia="hi-IN" w:bidi="hi-IN"/>
              </w:rPr>
              <w:t xml:space="preserve"> </w:t>
            </w:r>
            <w:r w:rsidRPr="002B37D0">
              <w:rPr>
                <w:rStyle w:val="Hyperlink"/>
                <w:rFonts w:ascii="Arial" w:eastAsia="Times New Roman" w:hAnsi="Arial" w:cs="Arial"/>
                <w:b/>
                <w:noProof/>
                <w:lang w:eastAsia="hi-IN" w:bidi="hi-IN"/>
              </w:rPr>
              <w:t>Concluzii referitoare la situatia actuală</w:t>
            </w:r>
            <w:r>
              <w:rPr>
                <w:noProof/>
                <w:webHidden/>
              </w:rPr>
              <w:tab/>
            </w:r>
            <w:r>
              <w:rPr>
                <w:noProof/>
                <w:webHidden/>
              </w:rPr>
              <w:fldChar w:fldCharType="begin"/>
            </w:r>
            <w:r>
              <w:rPr>
                <w:noProof/>
                <w:webHidden/>
              </w:rPr>
              <w:instrText xml:space="preserve"> PAGEREF _Toc142039091 \h </w:instrText>
            </w:r>
            <w:r>
              <w:rPr>
                <w:noProof/>
                <w:webHidden/>
              </w:rPr>
            </w:r>
            <w:r>
              <w:rPr>
                <w:noProof/>
                <w:webHidden/>
              </w:rPr>
              <w:fldChar w:fldCharType="separate"/>
            </w:r>
            <w:r w:rsidR="00BB181C">
              <w:rPr>
                <w:noProof/>
                <w:webHidden/>
              </w:rPr>
              <w:t>220</w:t>
            </w:r>
            <w:r>
              <w:rPr>
                <w:noProof/>
                <w:webHidden/>
              </w:rPr>
              <w:fldChar w:fldCharType="end"/>
            </w:r>
          </w:hyperlink>
        </w:p>
        <w:p w14:paraId="4FDA44DA" w14:textId="3B72F1AD" w:rsidR="005B68FD" w:rsidRDefault="005B68FD">
          <w:pPr>
            <w:pStyle w:val="Cuprins1"/>
            <w:tabs>
              <w:tab w:val="right" w:leader="dot" w:pos="9645"/>
            </w:tabs>
            <w:rPr>
              <w:rFonts w:eastAsiaTheme="minorEastAsia"/>
              <w:noProof/>
              <w:kern w:val="2"/>
              <w:lang w:val="ro-RO" w:eastAsia="ro-RO"/>
              <w14:ligatures w14:val="standardContextual"/>
            </w:rPr>
          </w:pPr>
          <w:hyperlink w:anchor="_Toc142039092" w:history="1">
            <w:r w:rsidRPr="002B37D0">
              <w:rPr>
                <w:rStyle w:val="Hyperlink"/>
                <w:rFonts w:ascii="Arial" w:eastAsia="Times New Roman" w:hAnsi="Arial" w:cs="Arial"/>
                <w:b/>
                <w:bCs/>
                <w:noProof/>
                <w:lang w:val="it-IT" w:eastAsia="ro-RO"/>
              </w:rPr>
              <w:t>I.5 Viziunea de dezvoltare a mobilităţii urbane</w:t>
            </w:r>
            <w:r>
              <w:rPr>
                <w:noProof/>
                <w:webHidden/>
              </w:rPr>
              <w:tab/>
            </w:r>
            <w:r>
              <w:rPr>
                <w:noProof/>
                <w:webHidden/>
              </w:rPr>
              <w:fldChar w:fldCharType="begin"/>
            </w:r>
            <w:r>
              <w:rPr>
                <w:noProof/>
                <w:webHidden/>
              </w:rPr>
              <w:instrText xml:space="preserve"> PAGEREF _Toc142039092 \h </w:instrText>
            </w:r>
            <w:r>
              <w:rPr>
                <w:noProof/>
                <w:webHidden/>
              </w:rPr>
            </w:r>
            <w:r>
              <w:rPr>
                <w:noProof/>
                <w:webHidden/>
              </w:rPr>
              <w:fldChar w:fldCharType="separate"/>
            </w:r>
            <w:r w:rsidR="00BB181C">
              <w:rPr>
                <w:noProof/>
                <w:webHidden/>
              </w:rPr>
              <w:t>223</w:t>
            </w:r>
            <w:r>
              <w:rPr>
                <w:noProof/>
                <w:webHidden/>
              </w:rPr>
              <w:fldChar w:fldCharType="end"/>
            </w:r>
          </w:hyperlink>
        </w:p>
        <w:p w14:paraId="03905177" w14:textId="11491E90" w:rsidR="005B68FD" w:rsidRDefault="005B68FD">
          <w:pPr>
            <w:pStyle w:val="Cuprins1"/>
            <w:tabs>
              <w:tab w:val="right" w:leader="dot" w:pos="9645"/>
            </w:tabs>
            <w:rPr>
              <w:rFonts w:eastAsiaTheme="minorEastAsia"/>
              <w:noProof/>
              <w:kern w:val="2"/>
              <w:lang w:val="ro-RO" w:eastAsia="ro-RO"/>
              <w14:ligatures w14:val="standardContextual"/>
            </w:rPr>
          </w:pPr>
          <w:hyperlink r:id="rId18" w:anchor="_Toc142039093" w:history="1">
            <w:r w:rsidRPr="002B37D0">
              <w:rPr>
                <w:rStyle w:val="Hyperlink"/>
                <w:rFonts w:ascii="Arial" w:eastAsia="Times New Roman" w:hAnsi="Arial" w:cs="Arial"/>
                <w:b/>
                <w:bCs/>
                <w:noProof/>
                <w:lang w:val="ro-RO" w:eastAsia="ro-RO"/>
                <w14:textOutline w14:w="11112" w14:cap="flat" w14:cmpd="sng" w14:algn="ctr">
                  <w14:solidFill>
                    <w14:schemeClr w14:val="accent2"/>
                  </w14:solidFill>
                  <w14:prstDash w14:val="solid"/>
                  <w14:round/>
                </w14:textOutline>
              </w:rPr>
              <w:t>I.5</w:t>
            </w:r>
            <w:r>
              <w:rPr>
                <w:noProof/>
                <w:webHidden/>
              </w:rPr>
              <w:tab/>
            </w:r>
            <w:r>
              <w:rPr>
                <w:noProof/>
                <w:webHidden/>
              </w:rPr>
              <w:fldChar w:fldCharType="begin"/>
            </w:r>
            <w:r>
              <w:rPr>
                <w:noProof/>
                <w:webHidden/>
              </w:rPr>
              <w:instrText xml:space="preserve"> PAGEREF _Toc142039093 \h </w:instrText>
            </w:r>
            <w:r>
              <w:rPr>
                <w:noProof/>
                <w:webHidden/>
              </w:rPr>
            </w:r>
            <w:r>
              <w:rPr>
                <w:noProof/>
                <w:webHidden/>
              </w:rPr>
              <w:fldChar w:fldCharType="separate"/>
            </w:r>
            <w:r w:rsidR="00BB181C">
              <w:rPr>
                <w:noProof/>
                <w:webHidden/>
              </w:rPr>
              <w:t>223</w:t>
            </w:r>
            <w:r>
              <w:rPr>
                <w:noProof/>
                <w:webHidden/>
              </w:rPr>
              <w:fldChar w:fldCharType="end"/>
            </w:r>
          </w:hyperlink>
        </w:p>
        <w:p w14:paraId="5291F5C8" w14:textId="7C4FF4B5" w:rsidR="005B68FD" w:rsidRDefault="005B68FD">
          <w:pPr>
            <w:pStyle w:val="Cuprins2"/>
            <w:tabs>
              <w:tab w:val="right" w:leader="dot" w:pos="9645"/>
            </w:tabs>
            <w:rPr>
              <w:rFonts w:eastAsiaTheme="minorEastAsia"/>
              <w:noProof/>
              <w:kern w:val="2"/>
              <w:lang w:val="ro-RO" w:eastAsia="ro-RO"/>
              <w14:ligatures w14:val="standardContextual"/>
            </w:rPr>
          </w:pPr>
          <w:hyperlink w:anchor="_Toc142039094" w:history="1">
            <w:r w:rsidRPr="002B37D0">
              <w:rPr>
                <w:rStyle w:val="Hyperlink"/>
                <w:rFonts w:ascii="Arial" w:eastAsia="Times New Roman" w:hAnsi="Arial" w:cs="Arial"/>
                <w:b/>
                <w:noProof/>
                <w:lang w:val="it-IT" w:eastAsia="ro-RO"/>
              </w:rPr>
              <w:t>I.5.1 Viziunea prezentata pentru cele trei nivele teritoriale</w:t>
            </w:r>
            <w:r>
              <w:rPr>
                <w:noProof/>
                <w:webHidden/>
              </w:rPr>
              <w:tab/>
            </w:r>
            <w:r>
              <w:rPr>
                <w:noProof/>
                <w:webHidden/>
              </w:rPr>
              <w:fldChar w:fldCharType="begin"/>
            </w:r>
            <w:r>
              <w:rPr>
                <w:noProof/>
                <w:webHidden/>
              </w:rPr>
              <w:instrText xml:space="preserve"> PAGEREF _Toc142039094 \h </w:instrText>
            </w:r>
            <w:r>
              <w:rPr>
                <w:noProof/>
                <w:webHidden/>
              </w:rPr>
            </w:r>
            <w:r>
              <w:rPr>
                <w:noProof/>
                <w:webHidden/>
              </w:rPr>
              <w:fldChar w:fldCharType="separate"/>
            </w:r>
            <w:r w:rsidR="00BB181C">
              <w:rPr>
                <w:noProof/>
                <w:webHidden/>
              </w:rPr>
              <w:t>223</w:t>
            </w:r>
            <w:r>
              <w:rPr>
                <w:noProof/>
                <w:webHidden/>
              </w:rPr>
              <w:fldChar w:fldCharType="end"/>
            </w:r>
          </w:hyperlink>
        </w:p>
        <w:p w14:paraId="448ED24C" w14:textId="1A74A953" w:rsidR="005B68FD" w:rsidRDefault="005B68FD">
          <w:pPr>
            <w:pStyle w:val="Cuprins2"/>
            <w:tabs>
              <w:tab w:val="right" w:leader="dot" w:pos="9645"/>
            </w:tabs>
            <w:rPr>
              <w:rFonts w:eastAsiaTheme="minorEastAsia"/>
              <w:noProof/>
              <w:kern w:val="2"/>
              <w:lang w:val="ro-RO" w:eastAsia="ro-RO"/>
              <w14:ligatures w14:val="standardContextual"/>
            </w:rPr>
          </w:pPr>
          <w:hyperlink w:anchor="_Toc142039095" w:history="1">
            <w:r w:rsidRPr="002B37D0">
              <w:rPr>
                <w:rStyle w:val="Hyperlink"/>
                <w:rFonts w:ascii="Arial" w:eastAsia="Times New Roman" w:hAnsi="Arial" w:cs="Arial"/>
                <w:b/>
                <w:bCs/>
                <w:noProof/>
                <w:lang w:val="it-IT" w:eastAsia="ro-RO"/>
              </w:rPr>
              <w:t>I.5.2 Cadrul/metodologia de selectare a proiectelor</w:t>
            </w:r>
            <w:r>
              <w:rPr>
                <w:noProof/>
                <w:webHidden/>
              </w:rPr>
              <w:tab/>
            </w:r>
            <w:r>
              <w:rPr>
                <w:noProof/>
                <w:webHidden/>
              </w:rPr>
              <w:fldChar w:fldCharType="begin"/>
            </w:r>
            <w:r>
              <w:rPr>
                <w:noProof/>
                <w:webHidden/>
              </w:rPr>
              <w:instrText xml:space="preserve"> PAGEREF _Toc142039095 \h </w:instrText>
            </w:r>
            <w:r>
              <w:rPr>
                <w:noProof/>
                <w:webHidden/>
              </w:rPr>
            </w:r>
            <w:r>
              <w:rPr>
                <w:noProof/>
                <w:webHidden/>
              </w:rPr>
              <w:fldChar w:fldCharType="separate"/>
            </w:r>
            <w:r w:rsidR="00BB181C">
              <w:rPr>
                <w:noProof/>
                <w:webHidden/>
              </w:rPr>
              <w:t>231</w:t>
            </w:r>
            <w:r>
              <w:rPr>
                <w:noProof/>
                <w:webHidden/>
              </w:rPr>
              <w:fldChar w:fldCharType="end"/>
            </w:r>
          </w:hyperlink>
        </w:p>
        <w:p w14:paraId="362682E1" w14:textId="2C85B246" w:rsidR="005B68FD" w:rsidRDefault="005B68FD">
          <w:pPr>
            <w:pStyle w:val="Cuprins2"/>
            <w:tabs>
              <w:tab w:val="right" w:leader="dot" w:pos="9645"/>
            </w:tabs>
            <w:rPr>
              <w:rFonts w:eastAsiaTheme="minorEastAsia"/>
              <w:noProof/>
              <w:kern w:val="2"/>
              <w:lang w:val="ro-RO" w:eastAsia="ro-RO"/>
              <w14:ligatures w14:val="standardContextual"/>
            </w:rPr>
          </w:pPr>
          <w:hyperlink w:anchor="_Toc142039096" w:history="1">
            <w:r w:rsidRPr="002B37D0">
              <w:rPr>
                <w:rStyle w:val="Hyperlink"/>
                <w:rFonts w:ascii="Arial" w:eastAsia="Times New Roman" w:hAnsi="Arial" w:cs="Arial"/>
                <w:b/>
                <w:bCs/>
                <w:noProof/>
                <w:lang w:eastAsia="ro-RO" w:bidi="hi-IN"/>
              </w:rPr>
              <w:t>I.5.3 Analiza multicriterială și analiza cost beneficiu</w:t>
            </w:r>
            <w:r>
              <w:rPr>
                <w:noProof/>
                <w:webHidden/>
              </w:rPr>
              <w:tab/>
            </w:r>
            <w:r>
              <w:rPr>
                <w:noProof/>
                <w:webHidden/>
              </w:rPr>
              <w:fldChar w:fldCharType="begin"/>
            </w:r>
            <w:r>
              <w:rPr>
                <w:noProof/>
                <w:webHidden/>
              </w:rPr>
              <w:instrText xml:space="preserve"> PAGEREF _Toc142039096 \h </w:instrText>
            </w:r>
            <w:r>
              <w:rPr>
                <w:noProof/>
                <w:webHidden/>
              </w:rPr>
            </w:r>
            <w:r>
              <w:rPr>
                <w:noProof/>
                <w:webHidden/>
              </w:rPr>
              <w:fldChar w:fldCharType="separate"/>
            </w:r>
            <w:r w:rsidR="00BB181C">
              <w:rPr>
                <w:noProof/>
                <w:webHidden/>
              </w:rPr>
              <w:t>245</w:t>
            </w:r>
            <w:r>
              <w:rPr>
                <w:noProof/>
                <w:webHidden/>
              </w:rPr>
              <w:fldChar w:fldCharType="end"/>
            </w:r>
          </w:hyperlink>
        </w:p>
        <w:p w14:paraId="7E77C056" w14:textId="5D9FCB1D" w:rsidR="005B68FD" w:rsidRDefault="005B68FD">
          <w:pPr>
            <w:pStyle w:val="Cuprins1"/>
            <w:tabs>
              <w:tab w:val="right" w:leader="dot" w:pos="9645"/>
            </w:tabs>
            <w:rPr>
              <w:rFonts w:eastAsiaTheme="minorEastAsia"/>
              <w:noProof/>
              <w:kern w:val="2"/>
              <w:lang w:val="ro-RO" w:eastAsia="ro-RO"/>
              <w14:ligatures w14:val="standardContextual"/>
            </w:rPr>
          </w:pPr>
          <w:hyperlink w:anchor="_Toc142039097" w:history="1">
            <w:r w:rsidRPr="002B37D0">
              <w:rPr>
                <w:rStyle w:val="Hyperlink"/>
                <w:rFonts w:ascii="Arial" w:eastAsia="Times New Roman" w:hAnsi="Arial" w:cs="Arial"/>
                <w:b/>
                <w:bCs/>
                <w:noProof/>
                <w:lang w:val="it-IT" w:eastAsia="ro-RO"/>
              </w:rPr>
              <w:t>I.6 Direcții de acțiune și proiecte de dezvoltare a mobilitatii urbane</w:t>
            </w:r>
            <w:r>
              <w:rPr>
                <w:noProof/>
                <w:webHidden/>
              </w:rPr>
              <w:tab/>
            </w:r>
            <w:r>
              <w:rPr>
                <w:noProof/>
                <w:webHidden/>
              </w:rPr>
              <w:fldChar w:fldCharType="begin"/>
            </w:r>
            <w:r>
              <w:rPr>
                <w:noProof/>
                <w:webHidden/>
              </w:rPr>
              <w:instrText xml:space="preserve"> PAGEREF _Toc142039097 \h </w:instrText>
            </w:r>
            <w:r>
              <w:rPr>
                <w:noProof/>
                <w:webHidden/>
              </w:rPr>
            </w:r>
            <w:r>
              <w:rPr>
                <w:noProof/>
                <w:webHidden/>
              </w:rPr>
              <w:fldChar w:fldCharType="separate"/>
            </w:r>
            <w:r w:rsidR="00BB181C">
              <w:rPr>
                <w:noProof/>
                <w:webHidden/>
              </w:rPr>
              <w:t>247</w:t>
            </w:r>
            <w:r>
              <w:rPr>
                <w:noProof/>
                <w:webHidden/>
              </w:rPr>
              <w:fldChar w:fldCharType="end"/>
            </w:r>
          </w:hyperlink>
        </w:p>
        <w:p w14:paraId="531A91D6" w14:textId="6E4C9F59" w:rsidR="005B68FD" w:rsidRDefault="005B68FD">
          <w:pPr>
            <w:pStyle w:val="Cuprins1"/>
            <w:tabs>
              <w:tab w:val="right" w:leader="dot" w:pos="9645"/>
            </w:tabs>
            <w:rPr>
              <w:rFonts w:eastAsiaTheme="minorEastAsia"/>
              <w:noProof/>
              <w:kern w:val="2"/>
              <w:lang w:val="ro-RO" w:eastAsia="ro-RO"/>
              <w14:ligatures w14:val="standardContextual"/>
            </w:rPr>
          </w:pPr>
          <w:hyperlink r:id="rId19" w:anchor="_Toc142039098" w:history="1">
            <w:r w:rsidRPr="002B37D0">
              <w:rPr>
                <w:rStyle w:val="Hyperlink"/>
                <w:rFonts w:ascii="Arial" w:eastAsia="Times New Roman" w:hAnsi="Arial" w:cs="Arial"/>
                <w:b/>
                <w:bCs/>
                <w:noProof/>
                <w:lang w:val="ro-RO" w:eastAsia="ro-RO"/>
                <w14:textOutline w14:w="11112" w14:cap="flat" w14:cmpd="sng" w14:algn="ctr">
                  <w14:solidFill>
                    <w14:schemeClr w14:val="accent2"/>
                  </w14:solidFill>
                  <w14:prstDash w14:val="solid"/>
                  <w14:round/>
                </w14:textOutline>
              </w:rPr>
              <w:t>I.6</w:t>
            </w:r>
            <w:r>
              <w:rPr>
                <w:noProof/>
                <w:webHidden/>
              </w:rPr>
              <w:tab/>
            </w:r>
            <w:r>
              <w:rPr>
                <w:noProof/>
                <w:webHidden/>
              </w:rPr>
              <w:fldChar w:fldCharType="begin"/>
            </w:r>
            <w:r>
              <w:rPr>
                <w:noProof/>
                <w:webHidden/>
              </w:rPr>
              <w:instrText xml:space="preserve"> PAGEREF _Toc142039098 \h </w:instrText>
            </w:r>
            <w:r>
              <w:rPr>
                <w:noProof/>
                <w:webHidden/>
              </w:rPr>
            </w:r>
            <w:r>
              <w:rPr>
                <w:noProof/>
                <w:webHidden/>
              </w:rPr>
              <w:fldChar w:fldCharType="separate"/>
            </w:r>
            <w:r w:rsidR="00BB181C">
              <w:rPr>
                <w:noProof/>
                <w:webHidden/>
              </w:rPr>
              <w:t>247</w:t>
            </w:r>
            <w:r>
              <w:rPr>
                <w:noProof/>
                <w:webHidden/>
              </w:rPr>
              <w:fldChar w:fldCharType="end"/>
            </w:r>
          </w:hyperlink>
        </w:p>
        <w:p w14:paraId="3D599C7A" w14:textId="24314613" w:rsidR="005B68FD" w:rsidRDefault="005B68FD">
          <w:pPr>
            <w:pStyle w:val="Cuprins2"/>
            <w:tabs>
              <w:tab w:val="right" w:leader="dot" w:pos="9645"/>
            </w:tabs>
            <w:rPr>
              <w:rFonts w:eastAsiaTheme="minorEastAsia"/>
              <w:noProof/>
              <w:kern w:val="2"/>
              <w:lang w:val="ro-RO" w:eastAsia="ro-RO"/>
              <w14:ligatures w14:val="standardContextual"/>
            </w:rPr>
          </w:pPr>
          <w:hyperlink w:anchor="_Toc142039099" w:history="1">
            <w:r w:rsidRPr="002B37D0">
              <w:rPr>
                <w:rStyle w:val="Hyperlink"/>
                <w:rFonts w:ascii="Arial" w:eastAsia="Times New Roman" w:hAnsi="Arial" w:cs="Arial"/>
                <w:b/>
                <w:bCs/>
                <w:noProof/>
                <w:lang w:val="it-IT" w:eastAsia="ro-RO"/>
              </w:rPr>
              <w:t>I.6.1 Direcții de acțiune și proiecte pentru infrastructura de transport</w:t>
            </w:r>
            <w:r>
              <w:rPr>
                <w:noProof/>
                <w:webHidden/>
              </w:rPr>
              <w:tab/>
            </w:r>
            <w:r>
              <w:rPr>
                <w:noProof/>
                <w:webHidden/>
              </w:rPr>
              <w:fldChar w:fldCharType="begin"/>
            </w:r>
            <w:r>
              <w:rPr>
                <w:noProof/>
                <w:webHidden/>
              </w:rPr>
              <w:instrText xml:space="preserve"> PAGEREF _Toc142039099 \h </w:instrText>
            </w:r>
            <w:r>
              <w:rPr>
                <w:noProof/>
                <w:webHidden/>
              </w:rPr>
            </w:r>
            <w:r>
              <w:rPr>
                <w:noProof/>
                <w:webHidden/>
              </w:rPr>
              <w:fldChar w:fldCharType="separate"/>
            </w:r>
            <w:r w:rsidR="00BB181C">
              <w:rPr>
                <w:noProof/>
                <w:webHidden/>
              </w:rPr>
              <w:t>248</w:t>
            </w:r>
            <w:r>
              <w:rPr>
                <w:noProof/>
                <w:webHidden/>
              </w:rPr>
              <w:fldChar w:fldCharType="end"/>
            </w:r>
          </w:hyperlink>
        </w:p>
        <w:p w14:paraId="31D4D714" w14:textId="46683012" w:rsidR="005B68FD" w:rsidRDefault="005B68FD">
          <w:pPr>
            <w:pStyle w:val="Cuprins2"/>
            <w:tabs>
              <w:tab w:val="right" w:leader="dot" w:pos="9645"/>
            </w:tabs>
            <w:rPr>
              <w:rFonts w:eastAsiaTheme="minorEastAsia"/>
              <w:noProof/>
              <w:kern w:val="2"/>
              <w:lang w:val="ro-RO" w:eastAsia="ro-RO"/>
              <w14:ligatures w14:val="standardContextual"/>
            </w:rPr>
          </w:pPr>
          <w:hyperlink w:anchor="_Toc142039100" w:history="1">
            <w:r w:rsidRPr="002B37D0">
              <w:rPr>
                <w:rStyle w:val="Hyperlink"/>
                <w:rFonts w:ascii="Arial" w:eastAsia="Times New Roman" w:hAnsi="Arial" w:cs="Arial"/>
                <w:b/>
                <w:bCs/>
                <w:noProof/>
                <w:lang w:val="it-IT" w:eastAsia="ro-RO"/>
              </w:rPr>
              <w:t>I.6.2 Direcții de acțiune și proiecte operationale</w:t>
            </w:r>
            <w:r>
              <w:rPr>
                <w:noProof/>
                <w:webHidden/>
              </w:rPr>
              <w:tab/>
            </w:r>
            <w:r>
              <w:rPr>
                <w:noProof/>
                <w:webHidden/>
              </w:rPr>
              <w:fldChar w:fldCharType="begin"/>
            </w:r>
            <w:r>
              <w:rPr>
                <w:noProof/>
                <w:webHidden/>
              </w:rPr>
              <w:instrText xml:space="preserve"> PAGEREF _Toc142039100 \h </w:instrText>
            </w:r>
            <w:r>
              <w:rPr>
                <w:noProof/>
                <w:webHidden/>
              </w:rPr>
            </w:r>
            <w:r>
              <w:rPr>
                <w:noProof/>
                <w:webHidden/>
              </w:rPr>
              <w:fldChar w:fldCharType="separate"/>
            </w:r>
            <w:r w:rsidR="00BB181C">
              <w:rPr>
                <w:noProof/>
                <w:webHidden/>
              </w:rPr>
              <w:t>256</w:t>
            </w:r>
            <w:r>
              <w:rPr>
                <w:noProof/>
                <w:webHidden/>
              </w:rPr>
              <w:fldChar w:fldCharType="end"/>
            </w:r>
          </w:hyperlink>
        </w:p>
        <w:p w14:paraId="4D4BDD2D" w14:textId="41F7C4B6" w:rsidR="005B68FD" w:rsidRDefault="005B68FD">
          <w:pPr>
            <w:pStyle w:val="Cuprins2"/>
            <w:tabs>
              <w:tab w:val="right" w:leader="dot" w:pos="9645"/>
            </w:tabs>
            <w:rPr>
              <w:rFonts w:eastAsiaTheme="minorEastAsia"/>
              <w:noProof/>
              <w:kern w:val="2"/>
              <w:lang w:val="ro-RO" w:eastAsia="ro-RO"/>
              <w14:ligatures w14:val="standardContextual"/>
            </w:rPr>
          </w:pPr>
          <w:hyperlink w:anchor="_Toc142039101" w:history="1">
            <w:r w:rsidRPr="002B37D0">
              <w:rPr>
                <w:rStyle w:val="Hyperlink"/>
                <w:rFonts w:ascii="Arial" w:eastAsia="Times New Roman" w:hAnsi="Arial" w:cs="Arial"/>
                <w:b/>
                <w:bCs/>
                <w:noProof/>
                <w:lang w:val="it-IT" w:eastAsia="ro-RO"/>
              </w:rPr>
              <w:t>I.6.3 Direcții de acțiune și proiecte organizationale</w:t>
            </w:r>
            <w:r>
              <w:rPr>
                <w:noProof/>
                <w:webHidden/>
              </w:rPr>
              <w:tab/>
            </w:r>
            <w:r>
              <w:rPr>
                <w:noProof/>
                <w:webHidden/>
              </w:rPr>
              <w:fldChar w:fldCharType="begin"/>
            </w:r>
            <w:r>
              <w:rPr>
                <w:noProof/>
                <w:webHidden/>
              </w:rPr>
              <w:instrText xml:space="preserve"> PAGEREF _Toc142039101 \h </w:instrText>
            </w:r>
            <w:r>
              <w:rPr>
                <w:noProof/>
                <w:webHidden/>
              </w:rPr>
            </w:r>
            <w:r>
              <w:rPr>
                <w:noProof/>
                <w:webHidden/>
              </w:rPr>
              <w:fldChar w:fldCharType="separate"/>
            </w:r>
            <w:r w:rsidR="00BB181C">
              <w:rPr>
                <w:noProof/>
                <w:webHidden/>
              </w:rPr>
              <w:t>263</w:t>
            </w:r>
            <w:r>
              <w:rPr>
                <w:noProof/>
                <w:webHidden/>
              </w:rPr>
              <w:fldChar w:fldCharType="end"/>
            </w:r>
          </w:hyperlink>
        </w:p>
        <w:p w14:paraId="7270E90D" w14:textId="618A44F1" w:rsidR="005B68FD" w:rsidRDefault="005B68FD">
          <w:pPr>
            <w:pStyle w:val="Cuprins2"/>
            <w:tabs>
              <w:tab w:val="right" w:leader="dot" w:pos="9645"/>
            </w:tabs>
            <w:rPr>
              <w:rFonts w:eastAsiaTheme="minorEastAsia"/>
              <w:noProof/>
              <w:kern w:val="2"/>
              <w:lang w:val="ro-RO" w:eastAsia="ro-RO"/>
              <w14:ligatures w14:val="standardContextual"/>
            </w:rPr>
          </w:pPr>
          <w:hyperlink w:anchor="_Toc142039102" w:history="1">
            <w:r w:rsidRPr="002B37D0">
              <w:rPr>
                <w:rStyle w:val="Hyperlink"/>
                <w:rFonts w:ascii="Arial" w:eastAsia="Times New Roman" w:hAnsi="Arial" w:cs="Arial"/>
                <w:b/>
                <w:bCs/>
                <w:noProof/>
                <w:lang w:val="it-IT" w:eastAsia="ro-RO"/>
              </w:rPr>
              <w:t>I.6.4 Direcții de acțiune și proiecte partajate pe nivele teritoriale</w:t>
            </w:r>
            <w:r>
              <w:rPr>
                <w:noProof/>
                <w:webHidden/>
              </w:rPr>
              <w:tab/>
            </w:r>
            <w:r>
              <w:rPr>
                <w:noProof/>
                <w:webHidden/>
              </w:rPr>
              <w:fldChar w:fldCharType="begin"/>
            </w:r>
            <w:r>
              <w:rPr>
                <w:noProof/>
                <w:webHidden/>
              </w:rPr>
              <w:instrText xml:space="preserve"> PAGEREF _Toc142039102 \h </w:instrText>
            </w:r>
            <w:r>
              <w:rPr>
                <w:noProof/>
                <w:webHidden/>
              </w:rPr>
            </w:r>
            <w:r>
              <w:rPr>
                <w:noProof/>
                <w:webHidden/>
              </w:rPr>
              <w:fldChar w:fldCharType="separate"/>
            </w:r>
            <w:r w:rsidR="00BB181C">
              <w:rPr>
                <w:noProof/>
                <w:webHidden/>
              </w:rPr>
              <w:t>267</w:t>
            </w:r>
            <w:r>
              <w:rPr>
                <w:noProof/>
                <w:webHidden/>
              </w:rPr>
              <w:fldChar w:fldCharType="end"/>
            </w:r>
          </w:hyperlink>
        </w:p>
        <w:p w14:paraId="70A99287" w14:textId="26BD4837"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103" w:history="1">
            <w:r w:rsidRPr="002B37D0">
              <w:rPr>
                <w:rStyle w:val="Hyperlink"/>
                <w:rFonts w:cs="Arial"/>
                <w:noProof/>
              </w:rPr>
              <w:t>I.6.4.1. la scara periurbană/metropolitană</w:t>
            </w:r>
            <w:r>
              <w:rPr>
                <w:noProof/>
                <w:webHidden/>
              </w:rPr>
              <w:tab/>
            </w:r>
            <w:r>
              <w:rPr>
                <w:noProof/>
                <w:webHidden/>
              </w:rPr>
              <w:fldChar w:fldCharType="begin"/>
            </w:r>
            <w:r>
              <w:rPr>
                <w:noProof/>
                <w:webHidden/>
              </w:rPr>
              <w:instrText xml:space="preserve"> PAGEREF _Toc142039103 \h </w:instrText>
            </w:r>
            <w:r>
              <w:rPr>
                <w:noProof/>
                <w:webHidden/>
              </w:rPr>
            </w:r>
            <w:r>
              <w:rPr>
                <w:noProof/>
                <w:webHidden/>
              </w:rPr>
              <w:fldChar w:fldCharType="separate"/>
            </w:r>
            <w:r w:rsidR="00BB181C">
              <w:rPr>
                <w:noProof/>
                <w:webHidden/>
              </w:rPr>
              <w:t>267</w:t>
            </w:r>
            <w:r>
              <w:rPr>
                <w:noProof/>
                <w:webHidden/>
              </w:rPr>
              <w:fldChar w:fldCharType="end"/>
            </w:r>
          </w:hyperlink>
        </w:p>
        <w:p w14:paraId="34673A28" w14:textId="74194C0E"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104" w:history="1">
            <w:r w:rsidRPr="002B37D0">
              <w:rPr>
                <w:rStyle w:val="Hyperlink"/>
                <w:rFonts w:cs="Arial"/>
                <w:noProof/>
                <w:lang w:val="it-IT" w:eastAsia="ro-RO"/>
              </w:rPr>
              <w:t>I.6.4.2. la scara localităților de referință</w:t>
            </w:r>
            <w:r>
              <w:rPr>
                <w:noProof/>
                <w:webHidden/>
              </w:rPr>
              <w:tab/>
            </w:r>
            <w:r>
              <w:rPr>
                <w:noProof/>
                <w:webHidden/>
              </w:rPr>
              <w:fldChar w:fldCharType="begin"/>
            </w:r>
            <w:r>
              <w:rPr>
                <w:noProof/>
                <w:webHidden/>
              </w:rPr>
              <w:instrText xml:space="preserve"> PAGEREF _Toc142039104 \h </w:instrText>
            </w:r>
            <w:r>
              <w:rPr>
                <w:noProof/>
                <w:webHidden/>
              </w:rPr>
            </w:r>
            <w:r>
              <w:rPr>
                <w:noProof/>
                <w:webHidden/>
              </w:rPr>
              <w:fldChar w:fldCharType="separate"/>
            </w:r>
            <w:r w:rsidR="00BB181C">
              <w:rPr>
                <w:noProof/>
                <w:webHidden/>
              </w:rPr>
              <w:t>268</w:t>
            </w:r>
            <w:r>
              <w:rPr>
                <w:noProof/>
                <w:webHidden/>
              </w:rPr>
              <w:fldChar w:fldCharType="end"/>
            </w:r>
          </w:hyperlink>
        </w:p>
        <w:p w14:paraId="772EE6C5" w14:textId="31DEBC1F"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105" w:history="1">
            <w:r w:rsidRPr="002B37D0">
              <w:rPr>
                <w:rStyle w:val="Hyperlink"/>
                <w:rFonts w:cs="Arial"/>
                <w:noProof/>
                <w:lang w:val="it-IT" w:eastAsia="ro-RO"/>
              </w:rPr>
              <w:t>I.6.4.3. la nivelul cartierelor/zonelor cu nivel ridicat de complexitate</w:t>
            </w:r>
            <w:r>
              <w:rPr>
                <w:noProof/>
                <w:webHidden/>
              </w:rPr>
              <w:tab/>
            </w:r>
            <w:r>
              <w:rPr>
                <w:noProof/>
                <w:webHidden/>
              </w:rPr>
              <w:fldChar w:fldCharType="begin"/>
            </w:r>
            <w:r>
              <w:rPr>
                <w:noProof/>
                <w:webHidden/>
              </w:rPr>
              <w:instrText xml:space="preserve"> PAGEREF _Toc142039105 \h </w:instrText>
            </w:r>
            <w:r>
              <w:rPr>
                <w:noProof/>
                <w:webHidden/>
              </w:rPr>
            </w:r>
            <w:r>
              <w:rPr>
                <w:noProof/>
                <w:webHidden/>
              </w:rPr>
              <w:fldChar w:fldCharType="separate"/>
            </w:r>
            <w:r w:rsidR="00BB181C">
              <w:rPr>
                <w:noProof/>
                <w:webHidden/>
              </w:rPr>
              <w:t>272</w:t>
            </w:r>
            <w:r>
              <w:rPr>
                <w:noProof/>
                <w:webHidden/>
              </w:rPr>
              <w:fldChar w:fldCharType="end"/>
            </w:r>
          </w:hyperlink>
        </w:p>
        <w:p w14:paraId="5D581664" w14:textId="65E516C3"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106" w:history="1">
            <w:r w:rsidRPr="002B37D0">
              <w:rPr>
                <w:rStyle w:val="Hyperlink"/>
                <w:rFonts w:cs="Arial"/>
                <w:noProof/>
                <w:lang w:val="it-IT" w:eastAsia="ro-RO"/>
              </w:rPr>
              <w:t>I.6.4.3. la nivelul cartierelor/zonelor cu nivel ridicat de complexitate</w:t>
            </w:r>
            <w:r>
              <w:rPr>
                <w:noProof/>
                <w:webHidden/>
              </w:rPr>
              <w:tab/>
            </w:r>
            <w:r>
              <w:rPr>
                <w:noProof/>
                <w:webHidden/>
              </w:rPr>
              <w:fldChar w:fldCharType="begin"/>
            </w:r>
            <w:r>
              <w:rPr>
                <w:noProof/>
                <w:webHidden/>
              </w:rPr>
              <w:instrText xml:space="preserve"> PAGEREF _Toc142039106 \h </w:instrText>
            </w:r>
            <w:r>
              <w:rPr>
                <w:noProof/>
                <w:webHidden/>
              </w:rPr>
            </w:r>
            <w:r>
              <w:rPr>
                <w:noProof/>
                <w:webHidden/>
              </w:rPr>
              <w:fldChar w:fldCharType="separate"/>
            </w:r>
            <w:r w:rsidR="00BB181C">
              <w:rPr>
                <w:noProof/>
                <w:webHidden/>
              </w:rPr>
              <w:t>273</w:t>
            </w:r>
            <w:r>
              <w:rPr>
                <w:noProof/>
                <w:webHidden/>
              </w:rPr>
              <w:fldChar w:fldCharType="end"/>
            </w:r>
          </w:hyperlink>
        </w:p>
        <w:p w14:paraId="175FD9DD" w14:textId="473CF218" w:rsidR="005B68FD" w:rsidRDefault="005B68FD">
          <w:pPr>
            <w:pStyle w:val="Cuprins1"/>
            <w:tabs>
              <w:tab w:val="right" w:leader="dot" w:pos="9645"/>
            </w:tabs>
            <w:rPr>
              <w:rFonts w:eastAsiaTheme="minorEastAsia"/>
              <w:noProof/>
              <w:kern w:val="2"/>
              <w:lang w:val="ro-RO" w:eastAsia="ro-RO"/>
              <w14:ligatures w14:val="standardContextual"/>
            </w:rPr>
          </w:pPr>
          <w:hyperlink w:anchor="_Toc142039107" w:history="1">
            <w:r w:rsidRPr="002B37D0">
              <w:rPr>
                <w:rStyle w:val="Hyperlink"/>
                <w:rFonts w:ascii="Arial" w:eastAsia="Times New Roman" w:hAnsi="Arial" w:cs="Arial"/>
                <w:b/>
                <w:bCs/>
                <w:noProof/>
                <w:lang w:val="it-IT" w:eastAsia="ro-RO"/>
              </w:rPr>
              <w:t>I.7 Evaluarea impactului mobilitatii în cadrul celor 3 scenarii</w:t>
            </w:r>
            <w:r>
              <w:rPr>
                <w:noProof/>
                <w:webHidden/>
              </w:rPr>
              <w:tab/>
            </w:r>
            <w:r>
              <w:rPr>
                <w:noProof/>
                <w:webHidden/>
              </w:rPr>
              <w:fldChar w:fldCharType="begin"/>
            </w:r>
            <w:r>
              <w:rPr>
                <w:noProof/>
                <w:webHidden/>
              </w:rPr>
              <w:instrText xml:space="preserve"> PAGEREF _Toc142039107 \h </w:instrText>
            </w:r>
            <w:r>
              <w:rPr>
                <w:noProof/>
                <w:webHidden/>
              </w:rPr>
            </w:r>
            <w:r>
              <w:rPr>
                <w:noProof/>
                <w:webHidden/>
              </w:rPr>
              <w:fldChar w:fldCharType="separate"/>
            </w:r>
            <w:r w:rsidR="00BB181C">
              <w:rPr>
                <w:noProof/>
                <w:webHidden/>
              </w:rPr>
              <w:t>274</w:t>
            </w:r>
            <w:r>
              <w:rPr>
                <w:noProof/>
                <w:webHidden/>
              </w:rPr>
              <w:fldChar w:fldCharType="end"/>
            </w:r>
          </w:hyperlink>
        </w:p>
        <w:p w14:paraId="5335BD77" w14:textId="5D12C58B" w:rsidR="005B68FD" w:rsidRDefault="005B68FD">
          <w:pPr>
            <w:pStyle w:val="Cuprins1"/>
            <w:tabs>
              <w:tab w:val="right" w:leader="dot" w:pos="9645"/>
            </w:tabs>
            <w:rPr>
              <w:rFonts w:eastAsiaTheme="minorEastAsia"/>
              <w:noProof/>
              <w:kern w:val="2"/>
              <w:lang w:val="ro-RO" w:eastAsia="ro-RO"/>
              <w14:ligatures w14:val="standardContextual"/>
            </w:rPr>
          </w:pPr>
          <w:hyperlink r:id="rId20" w:anchor="_Toc142039108" w:history="1">
            <w:r w:rsidRPr="002B37D0">
              <w:rPr>
                <w:rStyle w:val="Hyperlink"/>
                <w:rFonts w:ascii="Arial" w:eastAsia="Times New Roman" w:hAnsi="Arial" w:cs="Arial"/>
                <w:b/>
                <w:bCs/>
                <w:noProof/>
                <w:lang w:val="ro-RO" w:eastAsia="ro-RO"/>
                <w14:textOutline w14:w="11112" w14:cap="flat" w14:cmpd="sng" w14:algn="ctr">
                  <w14:solidFill>
                    <w14:schemeClr w14:val="accent2"/>
                  </w14:solidFill>
                  <w14:prstDash w14:val="solid"/>
                  <w14:round/>
                </w14:textOutline>
              </w:rPr>
              <w:t>I.7</w:t>
            </w:r>
            <w:r>
              <w:rPr>
                <w:noProof/>
                <w:webHidden/>
              </w:rPr>
              <w:tab/>
            </w:r>
            <w:r>
              <w:rPr>
                <w:noProof/>
                <w:webHidden/>
              </w:rPr>
              <w:fldChar w:fldCharType="begin"/>
            </w:r>
            <w:r>
              <w:rPr>
                <w:noProof/>
                <w:webHidden/>
              </w:rPr>
              <w:instrText xml:space="preserve"> PAGEREF _Toc142039108 \h </w:instrText>
            </w:r>
            <w:r>
              <w:rPr>
                <w:noProof/>
                <w:webHidden/>
              </w:rPr>
            </w:r>
            <w:r>
              <w:rPr>
                <w:noProof/>
                <w:webHidden/>
              </w:rPr>
              <w:fldChar w:fldCharType="separate"/>
            </w:r>
            <w:r w:rsidR="00BB181C">
              <w:rPr>
                <w:noProof/>
                <w:webHidden/>
              </w:rPr>
              <w:t>274</w:t>
            </w:r>
            <w:r>
              <w:rPr>
                <w:noProof/>
                <w:webHidden/>
              </w:rPr>
              <w:fldChar w:fldCharType="end"/>
            </w:r>
          </w:hyperlink>
        </w:p>
        <w:p w14:paraId="4FB25153" w14:textId="5FFE7BEC" w:rsidR="005B68FD" w:rsidRDefault="005B68FD">
          <w:pPr>
            <w:pStyle w:val="Cuprins2"/>
            <w:tabs>
              <w:tab w:val="right" w:leader="dot" w:pos="9645"/>
            </w:tabs>
            <w:rPr>
              <w:rFonts w:eastAsiaTheme="minorEastAsia"/>
              <w:noProof/>
              <w:kern w:val="2"/>
              <w:lang w:val="ro-RO" w:eastAsia="ro-RO"/>
              <w14:ligatures w14:val="standardContextual"/>
            </w:rPr>
          </w:pPr>
          <w:hyperlink w:anchor="_Toc142039109" w:history="1">
            <w:r w:rsidRPr="002B37D0">
              <w:rPr>
                <w:rStyle w:val="Hyperlink"/>
                <w:rFonts w:ascii="Arial" w:eastAsia="Times New Roman" w:hAnsi="Arial" w:cs="Arial"/>
                <w:b/>
                <w:bCs/>
                <w:noProof/>
                <w:lang w:val="it-IT" w:eastAsia="ro-RO"/>
              </w:rPr>
              <w:t>I.7.1 Eficiența economică</w:t>
            </w:r>
            <w:r>
              <w:rPr>
                <w:noProof/>
                <w:webHidden/>
              </w:rPr>
              <w:tab/>
            </w:r>
            <w:r>
              <w:rPr>
                <w:noProof/>
                <w:webHidden/>
              </w:rPr>
              <w:fldChar w:fldCharType="begin"/>
            </w:r>
            <w:r>
              <w:rPr>
                <w:noProof/>
                <w:webHidden/>
              </w:rPr>
              <w:instrText xml:space="preserve"> PAGEREF _Toc142039109 \h </w:instrText>
            </w:r>
            <w:r>
              <w:rPr>
                <w:noProof/>
                <w:webHidden/>
              </w:rPr>
            </w:r>
            <w:r>
              <w:rPr>
                <w:noProof/>
                <w:webHidden/>
              </w:rPr>
              <w:fldChar w:fldCharType="separate"/>
            </w:r>
            <w:r w:rsidR="00BB181C">
              <w:rPr>
                <w:noProof/>
                <w:webHidden/>
              </w:rPr>
              <w:t>279</w:t>
            </w:r>
            <w:r>
              <w:rPr>
                <w:noProof/>
                <w:webHidden/>
              </w:rPr>
              <w:fldChar w:fldCharType="end"/>
            </w:r>
          </w:hyperlink>
        </w:p>
        <w:p w14:paraId="06E6C7DB" w14:textId="2A42F1FF"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110" w:history="1">
            <w:r w:rsidRPr="002B37D0">
              <w:rPr>
                <w:rStyle w:val="Hyperlink"/>
                <w:rFonts w:cs="Arial"/>
                <w:noProof/>
                <w:lang w:val="ro-RO"/>
              </w:rPr>
              <w:t>I.7.1.1 Orizont 2027</w:t>
            </w:r>
            <w:r>
              <w:rPr>
                <w:noProof/>
                <w:webHidden/>
              </w:rPr>
              <w:tab/>
            </w:r>
            <w:r>
              <w:rPr>
                <w:noProof/>
                <w:webHidden/>
              </w:rPr>
              <w:fldChar w:fldCharType="begin"/>
            </w:r>
            <w:r>
              <w:rPr>
                <w:noProof/>
                <w:webHidden/>
              </w:rPr>
              <w:instrText xml:space="preserve"> PAGEREF _Toc142039110 \h </w:instrText>
            </w:r>
            <w:r>
              <w:rPr>
                <w:noProof/>
                <w:webHidden/>
              </w:rPr>
            </w:r>
            <w:r>
              <w:rPr>
                <w:noProof/>
                <w:webHidden/>
              </w:rPr>
              <w:fldChar w:fldCharType="separate"/>
            </w:r>
            <w:r w:rsidR="00BB181C">
              <w:rPr>
                <w:noProof/>
                <w:webHidden/>
              </w:rPr>
              <w:t>280</w:t>
            </w:r>
            <w:r>
              <w:rPr>
                <w:noProof/>
                <w:webHidden/>
              </w:rPr>
              <w:fldChar w:fldCharType="end"/>
            </w:r>
          </w:hyperlink>
        </w:p>
        <w:p w14:paraId="5E8DC2D8" w14:textId="7788A585"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111" w:history="1">
            <w:r w:rsidRPr="002B37D0">
              <w:rPr>
                <w:rStyle w:val="Hyperlink"/>
                <w:rFonts w:cs="Arial"/>
                <w:noProof/>
                <w:lang w:val="ro-RO"/>
              </w:rPr>
              <w:t>I.7.1.2 Orizont 2035</w:t>
            </w:r>
            <w:r>
              <w:rPr>
                <w:noProof/>
                <w:webHidden/>
              </w:rPr>
              <w:tab/>
            </w:r>
            <w:r>
              <w:rPr>
                <w:noProof/>
                <w:webHidden/>
              </w:rPr>
              <w:fldChar w:fldCharType="begin"/>
            </w:r>
            <w:r>
              <w:rPr>
                <w:noProof/>
                <w:webHidden/>
              </w:rPr>
              <w:instrText xml:space="preserve"> PAGEREF _Toc142039111 \h </w:instrText>
            </w:r>
            <w:r>
              <w:rPr>
                <w:noProof/>
                <w:webHidden/>
              </w:rPr>
            </w:r>
            <w:r>
              <w:rPr>
                <w:noProof/>
                <w:webHidden/>
              </w:rPr>
              <w:fldChar w:fldCharType="separate"/>
            </w:r>
            <w:r w:rsidR="00BB181C">
              <w:rPr>
                <w:noProof/>
                <w:webHidden/>
              </w:rPr>
              <w:t>287</w:t>
            </w:r>
            <w:r>
              <w:rPr>
                <w:noProof/>
                <w:webHidden/>
              </w:rPr>
              <w:fldChar w:fldCharType="end"/>
            </w:r>
          </w:hyperlink>
        </w:p>
        <w:p w14:paraId="7F78D1B3" w14:textId="2E9FF8FF" w:rsidR="005B68FD" w:rsidRDefault="005B68FD">
          <w:pPr>
            <w:pStyle w:val="Cuprins2"/>
            <w:tabs>
              <w:tab w:val="right" w:leader="dot" w:pos="9645"/>
            </w:tabs>
            <w:rPr>
              <w:rFonts w:eastAsiaTheme="minorEastAsia"/>
              <w:noProof/>
              <w:kern w:val="2"/>
              <w:lang w:val="ro-RO" w:eastAsia="ro-RO"/>
              <w14:ligatures w14:val="standardContextual"/>
            </w:rPr>
          </w:pPr>
          <w:hyperlink w:anchor="_Toc142039112" w:history="1">
            <w:r w:rsidRPr="002B37D0">
              <w:rPr>
                <w:rStyle w:val="Hyperlink"/>
                <w:rFonts w:ascii="Arial" w:hAnsi="Arial" w:cs="Arial"/>
                <w:b/>
                <w:bCs/>
                <w:noProof/>
              </w:rPr>
              <w:t>I.7.2 Impactul asupra mediului</w:t>
            </w:r>
            <w:r>
              <w:rPr>
                <w:noProof/>
                <w:webHidden/>
              </w:rPr>
              <w:tab/>
            </w:r>
            <w:r>
              <w:rPr>
                <w:noProof/>
                <w:webHidden/>
              </w:rPr>
              <w:fldChar w:fldCharType="begin"/>
            </w:r>
            <w:r>
              <w:rPr>
                <w:noProof/>
                <w:webHidden/>
              </w:rPr>
              <w:instrText xml:space="preserve"> PAGEREF _Toc142039112 \h </w:instrText>
            </w:r>
            <w:r>
              <w:rPr>
                <w:noProof/>
                <w:webHidden/>
              </w:rPr>
            </w:r>
            <w:r>
              <w:rPr>
                <w:noProof/>
                <w:webHidden/>
              </w:rPr>
              <w:fldChar w:fldCharType="separate"/>
            </w:r>
            <w:r w:rsidR="00BB181C">
              <w:rPr>
                <w:noProof/>
                <w:webHidden/>
              </w:rPr>
              <w:t>295</w:t>
            </w:r>
            <w:r>
              <w:rPr>
                <w:noProof/>
                <w:webHidden/>
              </w:rPr>
              <w:fldChar w:fldCharType="end"/>
            </w:r>
          </w:hyperlink>
        </w:p>
        <w:p w14:paraId="5911BC2F" w14:textId="4BE662B6"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113" w:history="1">
            <w:r w:rsidRPr="002B37D0">
              <w:rPr>
                <w:rStyle w:val="Hyperlink"/>
                <w:rFonts w:eastAsia="Calibri" w:cs="Arial"/>
                <w:noProof/>
              </w:rPr>
              <w:t>I.7.2.1 Orizont 2027</w:t>
            </w:r>
            <w:r>
              <w:rPr>
                <w:noProof/>
                <w:webHidden/>
              </w:rPr>
              <w:tab/>
            </w:r>
            <w:r>
              <w:rPr>
                <w:noProof/>
                <w:webHidden/>
              </w:rPr>
              <w:fldChar w:fldCharType="begin"/>
            </w:r>
            <w:r>
              <w:rPr>
                <w:noProof/>
                <w:webHidden/>
              </w:rPr>
              <w:instrText xml:space="preserve"> PAGEREF _Toc142039113 \h </w:instrText>
            </w:r>
            <w:r>
              <w:rPr>
                <w:noProof/>
                <w:webHidden/>
              </w:rPr>
            </w:r>
            <w:r>
              <w:rPr>
                <w:noProof/>
                <w:webHidden/>
              </w:rPr>
              <w:fldChar w:fldCharType="separate"/>
            </w:r>
            <w:r w:rsidR="00BB181C">
              <w:rPr>
                <w:noProof/>
                <w:webHidden/>
              </w:rPr>
              <w:t>295</w:t>
            </w:r>
            <w:r>
              <w:rPr>
                <w:noProof/>
                <w:webHidden/>
              </w:rPr>
              <w:fldChar w:fldCharType="end"/>
            </w:r>
          </w:hyperlink>
        </w:p>
        <w:p w14:paraId="186D302B" w14:textId="3A9012AF"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114" w:history="1">
            <w:r w:rsidRPr="002B37D0">
              <w:rPr>
                <w:rStyle w:val="Hyperlink"/>
                <w:rFonts w:eastAsia="Calibri" w:cs="Arial"/>
                <w:noProof/>
                <w:lang w:val="it-IT"/>
              </w:rPr>
              <w:t>I.7.2.2 Orizont 2035</w:t>
            </w:r>
            <w:r>
              <w:rPr>
                <w:noProof/>
                <w:webHidden/>
              </w:rPr>
              <w:tab/>
            </w:r>
            <w:r>
              <w:rPr>
                <w:noProof/>
                <w:webHidden/>
              </w:rPr>
              <w:fldChar w:fldCharType="begin"/>
            </w:r>
            <w:r>
              <w:rPr>
                <w:noProof/>
                <w:webHidden/>
              </w:rPr>
              <w:instrText xml:space="preserve"> PAGEREF _Toc142039114 \h </w:instrText>
            </w:r>
            <w:r>
              <w:rPr>
                <w:noProof/>
                <w:webHidden/>
              </w:rPr>
            </w:r>
            <w:r>
              <w:rPr>
                <w:noProof/>
                <w:webHidden/>
              </w:rPr>
              <w:fldChar w:fldCharType="separate"/>
            </w:r>
            <w:r w:rsidR="00BB181C">
              <w:rPr>
                <w:noProof/>
                <w:webHidden/>
              </w:rPr>
              <w:t>298</w:t>
            </w:r>
            <w:r>
              <w:rPr>
                <w:noProof/>
                <w:webHidden/>
              </w:rPr>
              <w:fldChar w:fldCharType="end"/>
            </w:r>
          </w:hyperlink>
        </w:p>
        <w:p w14:paraId="2FDD93F9" w14:textId="0AB6E6A0" w:rsidR="005B68FD" w:rsidRDefault="005B68FD">
          <w:pPr>
            <w:pStyle w:val="Cuprins3"/>
            <w:tabs>
              <w:tab w:val="right" w:leader="dot" w:pos="9645"/>
            </w:tabs>
            <w:rPr>
              <w:rFonts w:asciiTheme="minorHAnsi" w:eastAsiaTheme="minorEastAsia" w:hAnsiTheme="minorHAnsi" w:cstheme="minorBidi"/>
              <w:noProof/>
              <w:kern w:val="2"/>
              <w:sz w:val="22"/>
              <w:szCs w:val="22"/>
              <w:lang w:val="ro-RO" w:eastAsia="ro-RO" w:bidi="ar-SA"/>
              <w14:ligatures w14:val="standardContextual"/>
            </w:rPr>
          </w:pPr>
          <w:hyperlink w:anchor="_Toc142039115" w:history="1">
            <w:r w:rsidRPr="002B37D0">
              <w:rPr>
                <w:rStyle w:val="Hyperlink"/>
                <w:rFonts w:eastAsia="Arial" w:cs="Arial"/>
                <w:noProof/>
                <w:lang w:val="ro-RO"/>
              </w:rPr>
              <w:t xml:space="preserve">I.7.2.3 </w:t>
            </w:r>
            <w:r w:rsidRPr="002B37D0">
              <w:rPr>
                <w:rStyle w:val="Hyperlink"/>
                <w:rFonts w:cs="Arial"/>
                <w:noProof/>
                <w:lang w:val="ro-RO"/>
              </w:rPr>
              <w:t>Evaluarea strategica de mediu</w:t>
            </w:r>
            <w:r>
              <w:rPr>
                <w:noProof/>
                <w:webHidden/>
              </w:rPr>
              <w:tab/>
            </w:r>
            <w:r>
              <w:rPr>
                <w:noProof/>
                <w:webHidden/>
              </w:rPr>
              <w:fldChar w:fldCharType="begin"/>
            </w:r>
            <w:r>
              <w:rPr>
                <w:noProof/>
                <w:webHidden/>
              </w:rPr>
              <w:instrText xml:space="preserve"> PAGEREF _Toc142039115 \h </w:instrText>
            </w:r>
            <w:r>
              <w:rPr>
                <w:noProof/>
                <w:webHidden/>
              </w:rPr>
            </w:r>
            <w:r>
              <w:rPr>
                <w:noProof/>
                <w:webHidden/>
              </w:rPr>
              <w:fldChar w:fldCharType="separate"/>
            </w:r>
            <w:r w:rsidR="00BB181C">
              <w:rPr>
                <w:noProof/>
                <w:webHidden/>
              </w:rPr>
              <w:t>302</w:t>
            </w:r>
            <w:r>
              <w:rPr>
                <w:noProof/>
                <w:webHidden/>
              </w:rPr>
              <w:fldChar w:fldCharType="end"/>
            </w:r>
          </w:hyperlink>
        </w:p>
        <w:p w14:paraId="628293B1" w14:textId="73933FDE" w:rsidR="005B68FD" w:rsidRDefault="005B68FD">
          <w:pPr>
            <w:pStyle w:val="Cuprins2"/>
            <w:tabs>
              <w:tab w:val="left" w:pos="880"/>
              <w:tab w:val="right" w:leader="dot" w:pos="9645"/>
            </w:tabs>
            <w:rPr>
              <w:rFonts w:eastAsiaTheme="minorEastAsia"/>
              <w:noProof/>
              <w:kern w:val="2"/>
              <w:lang w:val="ro-RO" w:eastAsia="ro-RO"/>
              <w14:ligatures w14:val="standardContextual"/>
            </w:rPr>
          </w:pPr>
          <w:hyperlink w:anchor="_Toc142039116" w:history="1">
            <w:r w:rsidRPr="002B37D0">
              <w:rPr>
                <w:rStyle w:val="Hyperlink"/>
                <w:rFonts w:ascii="Arial" w:eastAsia="Times New Roman" w:hAnsi="Arial" w:cs="Arial"/>
                <w:b/>
                <w:noProof/>
                <w:lang w:val="it-IT" w:eastAsia="ro-RO"/>
              </w:rPr>
              <w:t>I.7.3</w:t>
            </w:r>
            <w:r>
              <w:rPr>
                <w:rFonts w:eastAsiaTheme="minorEastAsia"/>
                <w:noProof/>
                <w:kern w:val="2"/>
                <w:lang w:val="ro-RO" w:eastAsia="ro-RO"/>
                <w14:ligatures w14:val="standardContextual"/>
              </w:rPr>
              <w:tab/>
            </w:r>
            <w:r w:rsidRPr="002B37D0">
              <w:rPr>
                <w:rStyle w:val="Hyperlink"/>
                <w:rFonts w:ascii="Arial" w:eastAsia="Times New Roman" w:hAnsi="Arial" w:cs="Arial"/>
                <w:b/>
                <w:noProof/>
                <w:lang w:val="it-IT" w:eastAsia="ro-RO"/>
              </w:rPr>
              <w:t>Accesibilitate</w:t>
            </w:r>
            <w:r>
              <w:rPr>
                <w:noProof/>
                <w:webHidden/>
              </w:rPr>
              <w:tab/>
            </w:r>
            <w:r>
              <w:rPr>
                <w:noProof/>
                <w:webHidden/>
              </w:rPr>
              <w:fldChar w:fldCharType="begin"/>
            </w:r>
            <w:r>
              <w:rPr>
                <w:noProof/>
                <w:webHidden/>
              </w:rPr>
              <w:instrText xml:space="preserve"> PAGEREF _Toc142039116 \h </w:instrText>
            </w:r>
            <w:r>
              <w:rPr>
                <w:noProof/>
                <w:webHidden/>
              </w:rPr>
            </w:r>
            <w:r>
              <w:rPr>
                <w:noProof/>
                <w:webHidden/>
              </w:rPr>
              <w:fldChar w:fldCharType="separate"/>
            </w:r>
            <w:r w:rsidR="00BB181C">
              <w:rPr>
                <w:noProof/>
                <w:webHidden/>
              </w:rPr>
              <w:t>303</w:t>
            </w:r>
            <w:r>
              <w:rPr>
                <w:noProof/>
                <w:webHidden/>
              </w:rPr>
              <w:fldChar w:fldCharType="end"/>
            </w:r>
          </w:hyperlink>
        </w:p>
        <w:p w14:paraId="4668DE25" w14:textId="4A5F741E" w:rsidR="005B68FD" w:rsidRDefault="005B68FD">
          <w:pPr>
            <w:pStyle w:val="Cuprins2"/>
            <w:tabs>
              <w:tab w:val="right" w:leader="dot" w:pos="9645"/>
            </w:tabs>
            <w:rPr>
              <w:rFonts w:eastAsiaTheme="minorEastAsia"/>
              <w:noProof/>
              <w:kern w:val="2"/>
              <w:lang w:val="ro-RO" w:eastAsia="ro-RO"/>
              <w14:ligatures w14:val="standardContextual"/>
            </w:rPr>
          </w:pPr>
          <w:hyperlink w:anchor="_Toc142039117" w:history="1">
            <w:r w:rsidRPr="002B37D0">
              <w:rPr>
                <w:rStyle w:val="Hyperlink"/>
                <w:rFonts w:ascii="Arial" w:hAnsi="Arial" w:cs="Arial"/>
                <w:b/>
                <w:bCs/>
                <w:noProof/>
              </w:rPr>
              <w:t>I.7.4 Siguranța</w:t>
            </w:r>
            <w:r>
              <w:rPr>
                <w:noProof/>
                <w:webHidden/>
              </w:rPr>
              <w:tab/>
            </w:r>
            <w:r>
              <w:rPr>
                <w:noProof/>
                <w:webHidden/>
              </w:rPr>
              <w:fldChar w:fldCharType="begin"/>
            </w:r>
            <w:r>
              <w:rPr>
                <w:noProof/>
                <w:webHidden/>
              </w:rPr>
              <w:instrText xml:space="preserve"> PAGEREF _Toc142039117 \h </w:instrText>
            </w:r>
            <w:r>
              <w:rPr>
                <w:noProof/>
                <w:webHidden/>
              </w:rPr>
            </w:r>
            <w:r>
              <w:rPr>
                <w:noProof/>
                <w:webHidden/>
              </w:rPr>
              <w:fldChar w:fldCharType="separate"/>
            </w:r>
            <w:r w:rsidR="00BB181C">
              <w:rPr>
                <w:noProof/>
                <w:webHidden/>
              </w:rPr>
              <w:t>309</w:t>
            </w:r>
            <w:r>
              <w:rPr>
                <w:noProof/>
                <w:webHidden/>
              </w:rPr>
              <w:fldChar w:fldCharType="end"/>
            </w:r>
          </w:hyperlink>
        </w:p>
        <w:p w14:paraId="401EFA0C" w14:textId="6D05315D" w:rsidR="005B68FD" w:rsidRDefault="005B68FD">
          <w:pPr>
            <w:pStyle w:val="Cuprins2"/>
            <w:tabs>
              <w:tab w:val="right" w:leader="dot" w:pos="9645"/>
            </w:tabs>
            <w:rPr>
              <w:rFonts w:eastAsiaTheme="minorEastAsia"/>
              <w:noProof/>
              <w:kern w:val="2"/>
              <w:lang w:val="ro-RO" w:eastAsia="ro-RO"/>
              <w14:ligatures w14:val="standardContextual"/>
            </w:rPr>
          </w:pPr>
          <w:hyperlink w:anchor="_Toc142039118" w:history="1">
            <w:r w:rsidRPr="002B37D0">
              <w:rPr>
                <w:rStyle w:val="Hyperlink"/>
                <w:rFonts w:ascii="Arial" w:hAnsi="Arial" w:cs="Arial"/>
                <w:b/>
                <w:bCs/>
                <w:noProof/>
              </w:rPr>
              <w:t>I.7.5 Calitatea vieții</w:t>
            </w:r>
            <w:r>
              <w:rPr>
                <w:noProof/>
                <w:webHidden/>
              </w:rPr>
              <w:tab/>
            </w:r>
            <w:r>
              <w:rPr>
                <w:noProof/>
                <w:webHidden/>
              </w:rPr>
              <w:fldChar w:fldCharType="begin"/>
            </w:r>
            <w:r>
              <w:rPr>
                <w:noProof/>
                <w:webHidden/>
              </w:rPr>
              <w:instrText xml:space="preserve"> PAGEREF _Toc142039118 \h </w:instrText>
            </w:r>
            <w:r>
              <w:rPr>
                <w:noProof/>
                <w:webHidden/>
              </w:rPr>
            </w:r>
            <w:r>
              <w:rPr>
                <w:noProof/>
                <w:webHidden/>
              </w:rPr>
              <w:fldChar w:fldCharType="separate"/>
            </w:r>
            <w:r w:rsidR="00BB181C">
              <w:rPr>
                <w:noProof/>
                <w:webHidden/>
              </w:rPr>
              <w:t>310</w:t>
            </w:r>
            <w:r>
              <w:rPr>
                <w:noProof/>
                <w:webHidden/>
              </w:rPr>
              <w:fldChar w:fldCharType="end"/>
            </w:r>
          </w:hyperlink>
        </w:p>
        <w:p w14:paraId="7F6B7892" w14:textId="6FD5D1BE" w:rsidR="005B68FD" w:rsidRDefault="005B68FD">
          <w:pPr>
            <w:pStyle w:val="Cuprins2"/>
            <w:tabs>
              <w:tab w:val="right" w:leader="dot" w:pos="9645"/>
            </w:tabs>
            <w:rPr>
              <w:rFonts w:eastAsiaTheme="minorEastAsia"/>
              <w:noProof/>
              <w:kern w:val="2"/>
              <w:lang w:val="ro-RO" w:eastAsia="ro-RO"/>
              <w14:ligatures w14:val="standardContextual"/>
            </w:rPr>
          </w:pPr>
          <w:hyperlink w:anchor="_Toc142039119" w:history="1">
            <w:r w:rsidRPr="002B37D0">
              <w:rPr>
                <w:rStyle w:val="Hyperlink"/>
                <w:rFonts w:ascii="Arial" w:eastAsia="Arial" w:hAnsi="Arial" w:cs="Arial"/>
                <w:b/>
                <w:bCs/>
                <w:noProof/>
                <w:lang w:eastAsia="ro-RO" w:bidi="hi-IN"/>
              </w:rPr>
              <w:t>I.7.6 Repartizarea costurilor de investitii pe scenarii</w:t>
            </w:r>
            <w:r>
              <w:rPr>
                <w:noProof/>
                <w:webHidden/>
              </w:rPr>
              <w:tab/>
            </w:r>
            <w:r>
              <w:rPr>
                <w:noProof/>
                <w:webHidden/>
              </w:rPr>
              <w:fldChar w:fldCharType="begin"/>
            </w:r>
            <w:r>
              <w:rPr>
                <w:noProof/>
                <w:webHidden/>
              </w:rPr>
              <w:instrText xml:space="preserve"> PAGEREF _Toc142039119 \h </w:instrText>
            </w:r>
            <w:r>
              <w:rPr>
                <w:noProof/>
                <w:webHidden/>
              </w:rPr>
            </w:r>
            <w:r>
              <w:rPr>
                <w:noProof/>
                <w:webHidden/>
              </w:rPr>
              <w:fldChar w:fldCharType="separate"/>
            </w:r>
            <w:r w:rsidR="00BB181C">
              <w:rPr>
                <w:noProof/>
                <w:webHidden/>
              </w:rPr>
              <w:t>313</w:t>
            </w:r>
            <w:r>
              <w:rPr>
                <w:noProof/>
                <w:webHidden/>
              </w:rPr>
              <w:fldChar w:fldCharType="end"/>
            </w:r>
          </w:hyperlink>
        </w:p>
        <w:p w14:paraId="58FD6D8D" w14:textId="37B56E90" w:rsidR="005B68FD" w:rsidRDefault="005B68FD">
          <w:pPr>
            <w:pStyle w:val="Cuprins1"/>
            <w:tabs>
              <w:tab w:val="right" w:leader="dot" w:pos="9645"/>
            </w:tabs>
            <w:rPr>
              <w:rFonts w:eastAsiaTheme="minorEastAsia"/>
              <w:noProof/>
              <w:kern w:val="2"/>
              <w:lang w:val="ro-RO" w:eastAsia="ro-RO"/>
              <w14:ligatures w14:val="standardContextual"/>
            </w:rPr>
          </w:pPr>
          <w:hyperlink w:anchor="_Toc142039120" w:history="1">
            <w:r w:rsidRPr="002B37D0">
              <w:rPr>
                <w:rStyle w:val="Hyperlink"/>
                <w:rFonts w:ascii="Arial" w:eastAsia="Times New Roman" w:hAnsi="Arial" w:cs="Arial"/>
                <w:b/>
                <w:bCs/>
                <w:noProof/>
                <w:kern w:val="32"/>
                <w:lang w:val="x-none" w:eastAsia="hi-IN" w:bidi="hi-IN"/>
              </w:rPr>
              <w:t>I.8 – Scenariul Preferat</w:t>
            </w:r>
            <w:r>
              <w:rPr>
                <w:noProof/>
                <w:webHidden/>
              </w:rPr>
              <w:tab/>
            </w:r>
            <w:r>
              <w:rPr>
                <w:noProof/>
                <w:webHidden/>
              </w:rPr>
              <w:fldChar w:fldCharType="begin"/>
            </w:r>
            <w:r>
              <w:rPr>
                <w:noProof/>
                <w:webHidden/>
              </w:rPr>
              <w:instrText xml:space="preserve"> PAGEREF _Toc142039120 \h </w:instrText>
            </w:r>
            <w:r>
              <w:rPr>
                <w:noProof/>
                <w:webHidden/>
              </w:rPr>
            </w:r>
            <w:r>
              <w:rPr>
                <w:noProof/>
                <w:webHidden/>
              </w:rPr>
              <w:fldChar w:fldCharType="separate"/>
            </w:r>
            <w:r w:rsidR="00BB181C">
              <w:rPr>
                <w:noProof/>
                <w:webHidden/>
              </w:rPr>
              <w:t>317</w:t>
            </w:r>
            <w:r>
              <w:rPr>
                <w:noProof/>
                <w:webHidden/>
              </w:rPr>
              <w:fldChar w:fldCharType="end"/>
            </w:r>
          </w:hyperlink>
        </w:p>
        <w:p w14:paraId="0D60A573" w14:textId="53DFC5DB" w:rsidR="005B68FD" w:rsidRDefault="005B68FD">
          <w:pPr>
            <w:pStyle w:val="Cuprins1"/>
            <w:tabs>
              <w:tab w:val="right" w:leader="dot" w:pos="9645"/>
            </w:tabs>
            <w:rPr>
              <w:rFonts w:eastAsiaTheme="minorEastAsia"/>
              <w:noProof/>
              <w:kern w:val="2"/>
              <w:lang w:val="ro-RO" w:eastAsia="ro-RO"/>
              <w14:ligatures w14:val="standardContextual"/>
            </w:rPr>
          </w:pPr>
          <w:hyperlink r:id="rId21" w:anchor="_Toc142039121" w:history="1">
            <w:r w:rsidRPr="002B37D0">
              <w:rPr>
                <w:rStyle w:val="Hyperlink"/>
                <w:rFonts w:ascii="Arial" w:eastAsia="Times New Roman" w:hAnsi="Arial" w:cs="Arial"/>
                <w:b/>
                <w:bCs/>
                <w:noProof/>
                <w:lang w:val="ro-RO" w:eastAsia="ro-RO"/>
                <w14:textOutline w14:w="11112" w14:cap="flat" w14:cmpd="sng" w14:algn="ctr">
                  <w14:solidFill>
                    <w14:schemeClr w14:val="accent2"/>
                  </w14:solidFill>
                  <w14:prstDash w14:val="solid"/>
                  <w14:round/>
                </w14:textOutline>
              </w:rPr>
              <w:t>I.8</w:t>
            </w:r>
            <w:r>
              <w:rPr>
                <w:noProof/>
                <w:webHidden/>
              </w:rPr>
              <w:tab/>
            </w:r>
            <w:r>
              <w:rPr>
                <w:noProof/>
                <w:webHidden/>
              </w:rPr>
              <w:fldChar w:fldCharType="begin"/>
            </w:r>
            <w:r>
              <w:rPr>
                <w:noProof/>
                <w:webHidden/>
              </w:rPr>
              <w:instrText xml:space="preserve"> PAGEREF _Toc142039121 \h </w:instrText>
            </w:r>
            <w:r>
              <w:rPr>
                <w:noProof/>
                <w:webHidden/>
              </w:rPr>
            </w:r>
            <w:r>
              <w:rPr>
                <w:noProof/>
                <w:webHidden/>
              </w:rPr>
              <w:fldChar w:fldCharType="separate"/>
            </w:r>
            <w:r w:rsidR="00BB181C">
              <w:rPr>
                <w:noProof/>
                <w:webHidden/>
              </w:rPr>
              <w:t>317</w:t>
            </w:r>
            <w:r>
              <w:rPr>
                <w:noProof/>
                <w:webHidden/>
              </w:rPr>
              <w:fldChar w:fldCharType="end"/>
            </w:r>
          </w:hyperlink>
        </w:p>
        <w:p w14:paraId="4FB7DD7B" w14:textId="4FF23BCA" w:rsidR="005B68FD" w:rsidRDefault="005B68FD">
          <w:pPr>
            <w:pStyle w:val="Cuprins2"/>
            <w:tabs>
              <w:tab w:val="right" w:leader="dot" w:pos="9645"/>
            </w:tabs>
            <w:rPr>
              <w:rFonts w:eastAsiaTheme="minorEastAsia"/>
              <w:noProof/>
              <w:kern w:val="2"/>
              <w:lang w:val="ro-RO" w:eastAsia="ro-RO"/>
              <w14:ligatures w14:val="standardContextual"/>
            </w:rPr>
          </w:pPr>
          <w:hyperlink w:anchor="_Toc142039122" w:history="1">
            <w:r w:rsidRPr="002B37D0">
              <w:rPr>
                <w:rStyle w:val="Hyperlink"/>
                <w:rFonts w:ascii="Arial" w:eastAsia="Times New Roman" w:hAnsi="Arial" w:cs="Arial"/>
                <w:b/>
                <w:bCs/>
                <w:noProof/>
                <w:lang w:eastAsia="hi-IN" w:bidi="hi-IN"/>
              </w:rPr>
              <w:t>I.8.1 Scenariul preferat</w:t>
            </w:r>
            <w:r>
              <w:rPr>
                <w:noProof/>
                <w:webHidden/>
              </w:rPr>
              <w:tab/>
            </w:r>
            <w:r>
              <w:rPr>
                <w:noProof/>
                <w:webHidden/>
              </w:rPr>
              <w:fldChar w:fldCharType="begin"/>
            </w:r>
            <w:r>
              <w:rPr>
                <w:noProof/>
                <w:webHidden/>
              </w:rPr>
              <w:instrText xml:space="preserve"> PAGEREF _Toc142039122 \h </w:instrText>
            </w:r>
            <w:r>
              <w:rPr>
                <w:noProof/>
                <w:webHidden/>
              </w:rPr>
            </w:r>
            <w:r>
              <w:rPr>
                <w:noProof/>
                <w:webHidden/>
              </w:rPr>
              <w:fldChar w:fldCharType="separate"/>
            </w:r>
            <w:r w:rsidR="00BB181C">
              <w:rPr>
                <w:noProof/>
                <w:webHidden/>
              </w:rPr>
              <w:t>317</w:t>
            </w:r>
            <w:r>
              <w:rPr>
                <w:noProof/>
                <w:webHidden/>
              </w:rPr>
              <w:fldChar w:fldCharType="end"/>
            </w:r>
          </w:hyperlink>
        </w:p>
        <w:p w14:paraId="5BB89412" w14:textId="01F61CEA" w:rsidR="005B68FD" w:rsidRDefault="005B68FD">
          <w:pPr>
            <w:pStyle w:val="Cuprins2"/>
            <w:tabs>
              <w:tab w:val="right" w:leader="dot" w:pos="9645"/>
            </w:tabs>
            <w:rPr>
              <w:rFonts w:eastAsiaTheme="minorEastAsia"/>
              <w:noProof/>
              <w:kern w:val="2"/>
              <w:lang w:val="ro-RO" w:eastAsia="ro-RO"/>
              <w14:ligatures w14:val="standardContextual"/>
            </w:rPr>
          </w:pPr>
          <w:hyperlink w:anchor="_Toc142039123" w:history="1">
            <w:r w:rsidRPr="002B37D0">
              <w:rPr>
                <w:rStyle w:val="Hyperlink"/>
                <w:rFonts w:ascii="Arial" w:eastAsia="Times New Roman" w:hAnsi="Arial" w:cs="Arial"/>
                <w:b/>
                <w:bCs/>
                <w:noProof/>
                <w:lang w:eastAsia="hi-IN" w:bidi="hi-IN"/>
              </w:rPr>
              <w:t>I.8.2 Analiza multicriterialǎ pentru scenariul preferat</w:t>
            </w:r>
            <w:r>
              <w:rPr>
                <w:noProof/>
                <w:webHidden/>
              </w:rPr>
              <w:tab/>
            </w:r>
            <w:r>
              <w:rPr>
                <w:noProof/>
                <w:webHidden/>
              </w:rPr>
              <w:fldChar w:fldCharType="begin"/>
            </w:r>
            <w:r>
              <w:rPr>
                <w:noProof/>
                <w:webHidden/>
              </w:rPr>
              <w:instrText xml:space="preserve"> PAGEREF _Toc142039123 \h </w:instrText>
            </w:r>
            <w:r>
              <w:rPr>
                <w:noProof/>
                <w:webHidden/>
              </w:rPr>
            </w:r>
            <w:r>
              <w:rPr>
                <w:noProof/>
                <w:webHidden/>
              </w:rPr>
              <w:fldChar w:fldCharType="separate"/>
            </w:r>
            <w:r w:rsidR="00BB181C">
              <w:rPr>
                <w:noProof/>
                <w:webHidden/>
              </w:rPr>
              <w:t>317</w:t>
            </w:r>
            <w:r>
              <w:rPr>
                <w:noProof/>
                <w:webHidden/>
              </w:rPr>
              <w:fldChar w:fldCharType="end"/>
            </w:r>
          </w:hyperlink>
        </w:p>
        <w:p w14:paraId="53154EF4" w14:textId="345F8C60" w:rsidR="005B68FD" w:rsidRDefault="005B68FD">
          <w:pPr>
            <w:pStyle w:val="Cuprins2"/>
            <w:tabs>
              <w:tab w:val="right" w:leader="dot" w:pos="9645"/>
            </w:tabs>
            <w:rPr>
              <w:rFonts w:eastAsiaTheme="minorEastAsia"/>
              <w:noProof/>
              <w:kern w:val="2"/>
              <w:lang w:val="ro-RO" w:eastAsia="ro-RO"/>
              <w14:ligatures w14:val="standardContextual"/>
            </w:rPr>
          </w:pPr>
          <w:hyperlink w:anchor="_Toc142039124" w:history="1">
            <w:r w:rsidRPr="002B37D0">
              <w:rPr>
                <w:rStyle w:val="Hyperlink"/>
                <w:rFonts w:ascii="Arial" w:eastAsia="Times New Roman" w:hAnsi="Arial" w:cs="Arial"/>
                <w:b/>
                <w:bCs/>
                <w:noProof/>
                <w:lang w:eastAsia="hi-IN" w:bidi="hi-IN"/>
              </w:rPr>
              <w:t>I.8.3 Evaluarea economicǎ a scenariului preferat</w:t>
            </w:r>
            <w:r>
              <w:rPr>
                <w:noProof/>
                <w:webHidden/>
              </w:rPr>
              <w:tab/>
            </w:r>
            <w:r>
              <w:rPr>
                <w:noProof/>
                <w:webHidden/>
              </w:rPr>
              <w:fldChar w:fldCharType="begin"/>
            </w:r>
            <w:r>
              <w:rPr>
                <w:noProof/>
                <w:webHidden/>
              </w:rPr>
              <w:instrText xml:space="preserve"> PAGEREF _Toc142039124 \h </w:instrText>
            </w:r>
            <w:r>
              <w:rPr>
                <w:noProof/>
                <w:webHidden/>
              </w:rPr>
            </w:r>
            <w:r>
              <w:rPr>
                <w:noProof/>
                <w:webHidden/>
              </w:rPr>
              <w:fldChar w:fldCharType="separate"/>
            </w:r>
            <w:r w:rsidR="00BB181C">
              <w:rPr>
                <w:noProof/>
                <w:webHidden/>
              </w:rPr>
              <w:t>328</w:t>
            </w:r>
            <w:r>
              <w:rPr>
                <w:noProof/>
                <w:webHidden/>
              </w:rPr>
              <w:fldChar w:fldCharType="end"/>
            </w:r>
          </w:hyperlink>
        </w:p>
        <w:p w14:paraId="7382CD5D" w14:textId="1C4D568B" w:rsidR="005B68FD" w:rsidRDefault="005B68FD">
          <w:pPr>
            <w:pStyle w:val="Cuprins2"/>
            <w:tabs>
              <w:tab w:val="right" w:leader="dot" w:pos="9645"/>
            </w:tabs>
            <w:rPr>
              <w:rFonts w:eastAsiaTheme="minorEastAsia"/>
              <w:noProof/>
              <w:kern w:val="2"/>
              <w:lang w:val="ro-RO" w:eastAsia="ro-RO"/>
              <w14:ligatures w14:val="standardContextual"/>
            </w:rPr>
          </w:pPr>
          <w:hyperlink w:anchor="_Toc142039125" w:history="1">
            <w:r w:rsidRPr="002B37D0">
              <w:rPr>
                <w:rStyle w:val="Hyperlink"/>
                <w:rFonts w:ascii="Arial" w:hAnsi="Arial" w:cs="Arial"/>
                <w:b/>
                <w:bCs/>
                <w:noProof/>
              </w:rPr>
              <w:t>I.8.4 Costuri asociate scenariului preferat</w:t>
            </w:r>
            <w:r>
              <w:rPr>
                <w:noProof/>
                <w:webHidden/>
              </w:rPr>
              <w:tab/>
            </w:r>
            <w:r>
              <w:rPr>
                <w:noProof/>
                <w:webHidden/>
              </w:rPr>
              <w:fldChar w:fldCharType="begin"/>
            </w:r>
            <w:r>
              <w:rPr>
                <w:noProof/>
                <w:webHidden/>
              </w:rPr>
              <w:instrText xml:space="preserve"> PAGEREF _Toc142039125 \h </w:instrText>
            </w:r>
            <w:r>
              <w:rPr>
                <w:noProof/>
                <w:webHidden/>
              </w:rPr>
            </w:r>
            <w:r>
              <w:rPr>
                <w:noProof/>
                <w:webHidden/>
              </w:rPr>
              <w:fldChar w:fldCharType="separate"/>
            </w:r>
            <w:r w:rsidR="00BB181C">
              <w:rPr>
                <w:noProof/>
                <w:webHidden/>
              </w:rPr>
              <w:t>329</w:t>
            </w:r>
            <w:r>
              <w:rPr>
                <w:noProof/>
                <w:webHidden/>
              </w:rPr>
              <w:fldChar w:fldCharType="end"/>
            </w:r>
          </w:hyperlink>
        </w:p>
        <w:p w14:paraId="7C0D6A1C" w14:textId="6D69BE90" w:rsidR="005B68FD" w:rsidRDefault="005B68FD">
          <w:pPr>
            <w:pStyle w:val="Cuprins2"/>
            <w:tabs>
              <w:tab w:val="right" w:leader="dot" w:pos="9645"/>
            </w:tabs>
            <w:rPr>
              <w:rFonts w:eastAsiaTheme="minorEastAsia"/>
              <w:noProof/>
              <w:kern w:val="2"/>
              <w:lang w:val="ro-RO" w:eastAsia="ro-RO"/>
              <w14:ligatures w14:val="standardContextual"/>
            </w:rPr>
          </w:pPr>
          <w:hyperlink w:anchor="_Toc142039126" w:history="1">
            <w:r w:rsidRPr="002B37D0">
              <w:rPr>
                <w:rStyle w:val="Hyperlink"/>
                <w:rFonts w:ascii="Arial" w:eastAsia="Times New Roman" w:hAnsi="Arial" w:cs="Arial"/>
                <w:b/>
                <w:bCs/>
                <w:noProof/>
                <w:lang w:eastAsia="hi-IN" w:bidi="hi-IN"/>
              </w:rPr>
              <w:t>I.8.5 Estimarea bugetului necesar</w:t>
            </w:r>
            <w:r>
              <w:rPr>
                <w:noProof/>
                <w:webHidden/>
              </w:rPr>
              <w:tab/>
            </w:r>
            <w:r>
              <w:rPr>
                <w:noProof/>
                <w:webHidden/>
              </w:rPr>
              <w:fldChar w:fldCharType="begin"/>
            </w:r>
            <w:r>
              <w:rPr>
                <w:noProof/>
                <w:webHidden/>
              </w:rPr>
              <w:instrText xml:space="preserve"> PAGEREF _Toc142039126 \h </w:instrText>
            </w:r>
            <w:r>
              <w:rPr>
                <w:noProof/>
                <w:webHidden/>
              </w:rPr>
            </w:r>
            <w:r>
              <w:rPr>
                <w:noProof/>
                <w:webHidden/>
              </w:rPr>
              <w:fldChar w:fldCharType="separate"/>
            </w:r>
            <w:r w:rsidR="00BB181C">
              <w:rPr>
                <w:noProof/>
                <w:webHidden/>
              </w:rPr>
              <w:t>331</w:t>
            </w:r>
            <w:r>
              <w:rPr>
                <w:noProof/>
                <w:webHidden/>
              </w:rPr>
              <w:fldChar w:fldCharType="end"/>
            </w:r>
          </w:hyperlink>
        </w:p>
        <w:p w14:paraId="29ACA1CB" w14:textId="536D71B4" w:rsidR="005B68FD" w:rsidRDefault="005B68FD">
          <w:pPr>
            <w:pStyle w:val="Cuprins2"/>
            <w:tabs>
              <w:tab w:val="right" w:leader="dot" w:pos="9645"/>
            </w:tabs>
            <w:rPr>
              <w:rFonts w:eastAsiaTheme="minorEastAsia"/>
              <w:noProof/>
              <w:kern w:val="2"/>
              <w:lang w:val="ro-RO" w:eastAsia="ro-RO"/>
              <w14:ligatures w14:val="standardContextual"/>
            </w:rPr>
          </w:pPr>
          <w:hyperlink w:anchor="_Toc142039127" w:history="1">
            <w:r w:rsidRPr="002B37D0">
              <w:rPr>
                <w:rStyle w:val="Hyperlink"/>
                <w:rFonts w:ascii="Arial" w:eastAsia="Times New Roman" w:hAnsi="Arial" w:cs="Arial"/>
                <w:b/>
                <w:bCs/>
                <w:noProof/>
                <w:lang w:eastAsia="hi-IN" w:bidi="hi-IN"/>
              </w:rPr>
              <w:t>I.8.6 Impactul scenariului preferat</w:t>
            </w:r>
            <w:r>
              <w:rPr>
                <w:noProof/>
                <w:webHidden/>
              </w:rPr>
              <w:tab/>
            </w:r>
            <w:r>
              <w:rPr>
                <w:noProof/>
                <w:webHidden/>
              </w:rPr>
              <w:fldChar w:fldCharType="begin"/>
            </w:r>
            <w:r>
              <w:rPr>
                <w:noProof/>
                <w:webHidden/>
              </w:rPr>
              <w:instrText xml:space="preserve"> PAGEREF _Toc142039127 \h </w:instrText>
            </w:r>
            <w:r>
              <w:rPr>
                <w:noProof/>
                <w:webHidden/>
              </w:rPr>
            </w:r>
            <w:r>
              <w:rPr>
                <w:noProof/>
                <w:webHidden/>
              </w:rPr>
              <w:fldChar w:fldCharType="separate"/>
            </w:r>
            <w:r w:rsidR="00BB181C">
              <w:rPr>
                <w:noProof/>
                <w:webHidden/>
              </w:rPr>
              <w:t>333</w:t>
            </w:r>
            <w:r>
              <w:rPr>
                <w:noProof/>
                <w:webHidden/>
              </w:rPr>
              <w:fldChar w:fldCharType="end"/>
            </w:r>
          </w:hyperlink>
        </w:p>
        <w:p w14:paraId="3F16066A" w14:textId="5EC7B8B1" w:rsidR="00A31042" w:rsidRDefault="00A31042">
          <w:r>
            <w:rPr>
              <w:b/>
              <w:bCs/>
              <w:noProof/>
            </w:rPr>
            <w:fldChar w:fldCharType="end"/>
          </w:r>
        </w:p>
      </w:sdtContent>
    </w:sdt>
    <w:p w14:paraId="4B00DB10" w14:textId="77777777" w:rsidR="00ED369F" w:rsidRPr="00ED369F" w:rsidRDefault="00ED369F" w:rsidP="00ED369F">
      <w:pPr>
        <w:spacing w:after="0"/>
        <w:rPr>
          <w:rFonts w:ascii="Arial" w:hAnsi="Arial" w:cs="Arial"/>
          <w:b/>
          <w:bCs/>
          <w:lang w:val="ro-RO" w:eastAsia="ro-RO"/>
        </w:rPr>
      </w:pPr>
      <w:r w:rsidRPr="00ED369F">
        <w:rPr>
          <w:rFonts w:ascii="Arial" w:hAnsi="Arial" w:cs="Arial"/>
          <w:b/>
          <w:bCs/>
          <w:lang w:val="ro-RO" w:eastAsia="ro-RO"/>
        </w:rPr>
        <w:t>Anexe</w:t>
      </w:r>
    </w:p>
    <w:p w14:paraId="7AE0C462" w14:textId="77777777" w:rsidR="00ED369F" w:rsidRPr="00267545" w:rsidRDefault="00ED369F" w:rsidP="00ED369F">
      <w:pPr>
        <w:spacing w:after="0" w:line="240" w:lineRule="auto"/>
        <w:rPr>
          <w:rFonts w:ascii="Arial" w:hAnsi="Arial" w:cs="Arial"/>
          <w:lang w:val="ro-RO" w:eastAsia="ro-RO"/>
        </w:rPr>
      </w:pPr>
      <w:r w:rsidRPr="00267545">
        <w:rPr>
          <w:rFonts w:ascii="Arial" w:hAnsi="Arial" w:cs="Arial"/>
          <w:lang w:val="ro-RO" w:eastAsia="ro-RO"/>
        </w:rPr>
        <w:t>Anexa 1 – Locuri parcare</w:t>
      </w:r>
    </w:p>
    <w:p w14:paraId="1BDAE00F" w14:textId="77777777" w:rsidR="00ED369F" w:rsidRPr="007246F5" w:rsidRDefault="00ED369F" w:rsidP="00ED369F">
      <w:pPr>
        <w:spacing w:after="0" w:line="240" w:lineRule="auto"/>
        <w:rPr>
          <w:rFonts w:ascii="Arial" w:hAnsi="Arial" w:cs="Arial"/>
          <w:lang w:val="ro-RO" w:eastAsia="ro-RO"/>
        </w:rPr>
      </w:pPr>
      <w:r w:rsidRPr="00267545">
        <w:rPr>
          <w:rFonts w:ascii="Arial" w:hAnsi="Arial" w:cs="Arial"/>
          <w:lang w:val="ro-RO" w:eastAsia="ro-RO"/>
        </w:rPr>
        <w:t xml:space="preserve">Anexa 2 – Instrument </w:t>
      </w:r>
      <w:r w:rsidRPr="007246F5">
        <w:rPr>
          <w:rFonts w:ascii="Arial" w:hAnsi="Arial" w:cs="Arial"/>
          <w:lang w:val="ro-RO" w:eastAsia="ro-RO"/>
        </w:rPr>
        <w:t>evaluare sistem de parcări</w:t>
      </w:r>
    </w:p>
    <w:p w14:paraId="36D26E0D" w14:textId="77777777" w:rsidR="00ED369F" w:rsidRPr="007246F5" w:rsidRDefault="00ED369F" w:rsidP="00ED369F">
      <w:pPr>
        <w:spacing w:after="0" w:line="240" w:lineRule="auto"/>
        <w:rPr>
          <w:rFonts w:ascii="Arial" w:hAnsi="Arial" w:cs="Arial"/>
          <w:lang w:val="ro-RO" w:eastAsia="ro-RO"/>
        </w:rPr>
      </w:pPr>
      <w:r w:rsidRPr="007246F5">
        <w:rPr>
          <w:rFonts w:ascii="Arial" w:hAnsi="Arial" w:cs="Arial"/>
          <w:lang w:val="ro-RO" w:eastAsia="ro-RO"/>
        </w:rPr>
        <w:t xml:space="preserve">Anexa </w:t>
      </w:r>
      <w:r w:rsidR="006504B4" w:rsidRPr="007246F5">
        <w:rPr>
          <w:rFonts w:ascii="Arial" w:hAnsi="Arial" w:cs="Arial"/>
          <w:lang w:val="ro-RO" w:eastAsia="ro-RO"/>
        </w:rPr>
        <w:t>3</w:t>
      </w:r>
      <w:r w:rsidRPr="007246F5">
        <w:rPr>
          <w:rFonts w:ascii="Arial" w:hAnsi="Arial" w:cs="Arial"/>
          <w:lang w:val="ro-RO" w:eastAsia="ro-RO"/>
        </w:rPr>
        <w:t xml:space="preserve"> – Coduri zone</w:t>
      </w:r>
    </w:p>
    <w:p w14:paraId="41D4B0F4" w14:textId="77777777" w:rsidR="00ED369F" w:rsidRPr="00267545" w:rsidRDefault="00ED369F" w:rsidP="00ED369F">
      <w:pPr>
        <w:spacing w:after="0" w:line="240" w:lineRule="auto"/>
        <w:rPr>
          <w:rFonts w:ascii="Arial" w:hAnsi="Arial" w:cs="Arial"/>
          <w:lang w:val="ro-RO" w:eastAsia="ro-RO"/>
        </w:rPr>
      </w:pPr>
      <w:r w:rsidRPr="00267545">
        <w:rPr>
          <w:rFonts w:ascii="Arial" w:hAnsi="Arial" w:cs="Arial"/>
          <w:lang w:val="ro-RO" w:eastAsia="ro-RO"/>
        </w:rPr>
        <w:t xml:space="preserve">Anexa </w:t>
      </w:r>
      <w:r w:rsidR="006504B4" w:rsidRPr="00267545">
        <w:rPr>
          <w:rFonts w:ascii="Arial" w:hAnsi="Arial" w:cs="Arial"/>
          <w:lang w:val="ro-RO" w:eastAsia="ro-RO"/>
        </w:rPr>
        <w:t>4</w:t>
      </w:r>
      <w:r w:rsidRPr="00267545">
        <w:rPr>
          <w:rFonts w:ascii="Arial" w:hAnsi="Arial" w:cs="Arial"/>
          <w:lang w:val="ro-RO" w:eastAsia="ro-RO"/>
        </w:rPr>
        <w:t xml:space="preserve"> – Chestionar Origine – Destinație</w:t>
      </w:r>
    </w:p>
    <w:p w14:paraId="17955E61" w14:textId="77777777" w:rsidR="00ED369F" w:rsidRPr="00CA4C82" w:rsidRDefault="00ED369F" w:rsidP="00ED369F">
      <w:pPr>
        <w:spacing w:after="0" w:line="240" w:lineRule="auto"/>
        <w:rPr>
          <w:rFonts w:ascii="Arial" w:hAnsi="Arial" w:cs="Arial"/>
          <w:lang w:val="ro-RO" w:eastAsia="ro-RO"/>
        </w:rPr>
      </w:pPr>
      <w:r w:rsidRPr="00CA4C82">
        <w:rPr>
          <w:rFonts w:ascii="Arial" w:hAnsi="Arial" w:cs="Arial"/>
          <w:lang w:val="ro-RO" w:eastAsia="ro-RO"/>
        </w:rPr>
        <w:t xml:space="preserve">Anexa </w:t>
      </w:r>
      <w:r w:rsidR="006504B4" w:rsidRPr="00CA4C82">
        <w:rPr>
          <w:rFonts w:ascii="Arial" w:hAnsi="Arial" w:cs="Arial"/>
          <w:lang w:val="ro-RO" w:eastAsia="ro-RO"/>
        </w:rPr>
        <w:t>5</w:t>
      </w:r>
      <w:r w:rsidRPr="00CA4C82">
        <w:rPr>
          <w:rFonts w:ascii="Arial" w:hAnsi="Arial" w:cs="Arial"/>
          <w:lang w:val="ro-RO" w:eastAsia="ro-RO"/>
        </w:rPr>
        <w:t xml:space="preserve"> – Matricile pe moduri de transport</w:t>
      </w:r>
    </w:p>
    <w:p w14:paraId="58526BA1" w14:textId="77777777" w:rsidR="00ED369F" w:rsidRPr="00846562" w:rsidRDefault="00ED369F" w:rsidP="00ED369F">
      <w:pPr>
        <w:spacing w:after="0" w:line="240" w:lineRule="auto"/>
        <w:rPr>
          <w:rFonts w:ascii="Arial" w:hAnsi="Arial" w:cs="Arial"/>
          <w:lang w:val="ro-RO" w:eastAsia="ro-RO"/>
        </w:rPr>
      </w:pPr>
      <w:r w:rsidRPr="00846562">
        <w:rPr>
          <w:rFonts w:ascii="Arial" w:hAnsi="Arial" w:cs="Arial"/>
          <w:lang w:val="ro-RO" w:eastAsia="ro-RO"/>
        </w:rPr>
        <w:t xml:space="preserve">Anexa </w:t>
      </w:r>
      <w:r w:rsidR="006504B4" w:rsidRPr="00846562">
        <w:rPr>
          <w:rFonts w:ascii="Arial" w:hAnsi="Arial" w:cs="Arial"/>
          <w:lang w:val="ro-RO" w:eastAsia="ro-RO"/>
        </w:rPr>
        <w:t>6</w:t>
      </w:r>
      <w:r w:rsidRPr="00846562">
        <w:rPr>
          <w:rFonts w:ascii="Arial" w:hAnsi="Arial" w:cs="Arial"/>
          <w:lang w:val="ro-RO" w:eastAsia="ro-RO"/>
        </w:rPr>
        <w:t xml:space="preserve"> – Volumele fluxurilor de trafic</w:t>
      </w:r>
    </w:p>
    <w:p w14:paraId="6CF7E8C3" w14:textId="77777777" w:rsidR="00ED369F" w:rsidRPr="00E426F3" w:rsidRDefault="00ED369F" w:rsidP="00ED369F">
      <w:pPr>
        <w:spacing w:after="0" w:line="240" w:lineRule="auto"/>
        <w:rPr>
          <w:rFonts w:ascii="Arial" w:hAnsi="Arial" w:cs="Arial"/>
          <w:lang w:val="ro-RO" w:eastAsia="ro-RO"/>
        </w:rPr>
      </w:pPr>
      <w:r w:rsidRPr="00E426F3">
        <w:rPr>
          <w:rFonts w:ascii="Arial" w:hAnsi="Arial" w:cs="Arial"/>
          <w:lang w:val="ro-RO" w:eastAsia="ro-RO"/>
        </w:rPr>
        <w:t xml:space="preserve">Anexa </w:t>
      </w:r>
      <w:r w:rsidR="006504B4" w:rsidRPr="00E426F3">
        <w:rPr>
          <w:rFonts w:ascii="Arial" w:hAnsi="Arial" w:cs="Arial"/>
          <w:lang w:val="ro-RO" w:eastAsia="ro-RO"/>
        </w:rPr>
        <w:t>7</w:t>
      </w:r>
      <w:r w:rsidRPr="00E426F3">
        <w:rPr>
          <w:rFonts w:ascii="Arial" w:hAnsi="Arial" w:cs="Arial"/>
          <w:lang w:val="ro-RO" w:eastAsia="ro-RO"/>
        </w:rPr>
        <w:t xml:space="preserve"> - Coeficienții de evoluție a traficului rutier</w:t>
      </w:r>
    </w:p>
    <w:p w14:paraId="7DA9628B" w14:textId="77777777" w:rsidR="00ED369F" w:rsidRPr="00F43111" w:rsidRDefault="00ED369F" w:rsidP="00ED369F">
      <w:pPr>
        <w:spacing w:after="0" w:line="240" w:lineRule="auto"/>
        <w:rPr>
          <w:rFonts w:ascii="Arial" w:hAnsi="Arial" w:cs="Arial"/>
          <w:lang w:val="ro-RO" w:eastAsia="ro-RO"/>
        </w:rPr>
      </w:pPr>
      <w:r w:rsidRPr="00F43111">
        <w:rPr>
          <w:rFonts w:ascii="Arial" w:hAnsi="Arial" w:cs="Arial"/>
          <w:lang w:val="ro-RO" w:eastAsia="ro-RO"/>
        </w:rPr>
        <w:t xml:space="preserve">Anexa </w:t>
      </w:r>
      <w:r w:rsidR="006504B4" w:rsidRPr="00F43111">
        <w:rPr>
          <w:rFonts w:ascii="Arial" w:hAnsi="Arial" w:cs="Arial"/>
          <w:lang w:val="ro-RO" w:eastAsia="ro-RO"/>
        </w:rPr>
        <w:t>8</w:t>
      </w:r>
      <w:r w:rsidRPr="00F43111">
        <w:rPr>
          <w:rFonts w:ascii="Arial" w:hAnsi="Arial" w:cs="Arial"/>
          <w:lang w:val="ro-RO" w:eastAsia="ro-RO"/>
        </w:rPr>
        <w:t xml:space="preserve"> - Valorile detaliate ale noxelor rezultate în urma modelării traficului rutier din </w:t>
      </w:r>
      <w:r w:rsidR="00267545" w:rsidRPr="00F43111">
        <w:rPr>
          <w:rFonts w:ascii="Arial" w:hAnsi="Arial" w:cs="Arial"/>
          <w:lang w:val="ro-RO" w:eastAsia="ro-RO"/>
        </w:rPr>
        <w:t>Orașul Horezu</w:t>
      </w:r>
    </w:p>
    <w:p w14:paraId="6636694D" w14:textId="77777777" w:rsidR="00ED369F" w:rsidRPr="00267545" w:rsidRDefault="00ED369F" w:rsidP="00ED369F">
      <w:pPr>
        <w:spacing w:after="0" w:line="240" w:lineRule="auto"/>
        <w:rPr>
          <w:rFonts w:ascii="Arial" w:hAnsi="Arial" w:cs="Arial"/>
          <w:lang w:val="ro-RO" w:eastAsia="ro-RO"/>
        </w:rPr>
      </w:pPr>
      <w:r w:rsidRPr="00267545">
        <w:rPr>
          <w:rFonts w:ascii="Arial" w:hAnsi="Arial" w:cs="Arial"/>
          <w:lang w:val="ro-RO" w:eastAsia="ro-RO"/>
        </w:rPr>
        <w:t xml:space="preserve">Anexa </w:t>
      </w:r>
      <w:r w:rsidR="006504B4" w:rsidRPr="00267545">
        <w:rPr>
          <w:rFonts w:ascii="Arial" w:hAnsi="Arial" w:cs="Arial"/>
          <w:lang w:val="ro-RO" w:eastAsia="ro-RO"/>
        </w:rPr>
        <w:t>9</w:t>
      </w:r>
      <w:r w:rsidRPr="00267545">
        <w:rPr>
          <w:rFonts w:ascii="Arial" w:hAnsi="Arial" w:cs="Arial"/>
          <w:lang w:val="ro-RO" w:eastAsia="ro-RO"/>
        </w:rPr>
        <w:t xml:space="preserve"> – </w:t>
      </w:r>
      <w:r w:rsidR="00267545" w:rsidRPr="00267545">
        <w:rPr>
          <w:rFonts w:ascii="Arial" w:hAnsi="Arial" w:cs="Arial"/>
          <w:lang w:val="ro-RO" w:eastAsia="ro-RO"/>
        </w:rPr>
        <w:t>Matrice m</w:t>
      </w:r>
      <w:r w:rsidRPr="00267545">
        <w:rPr>
          <w:rFonts w:ascii="Arial" w:hAnsi="Arial" w:cs="Arial"/>
          <w:lang w:val="ro-RO" w:eastAsia="ro-RO"/>
        </w:rPr>
        <w:t>ăsuri</w:t>
      </w:r>
      <w:r w:rsidR="00267545" w:rsidRPr="00267545">
        <w:rPr>
          <w:rFonts w:ascii="Arial" w:hAnsi="Arial" w:cs="Arial"/>
          <w:lang w:val="ro-RO" w:eastAsia="ro-RO"/>
        </w:rPr>
        <w:t xml:space="preserve"> extinsă</w:t>
      </w:r>
    </w:p>
    <w:p w14:paraId="5072A416" w14:textId="77777777" w:rsidR="00ED369F" w:rsidRPr="00267545" w:rsidRDefault="00ED369F" w:rsidP="00ED369F">
      <w:pPr>
        <w:spacing w:after="0" w:line="240" w:lineRule="auto"/>
        <w:rPr>
          <w:rFonts w:ascii="Arial" w:hAnsi="Arial" w:cs="Arial"/>
          <w:lang w:val="ro-RO" w:eastAsia="ro-RO"/>
        </w:rPr>
      </w:pPr>
      <w:r w:rsidRPr="00267545">
        <w:rPr>
          <w:rFonts w:ascii="Arial" w:hAnsi="Arial" w:cs="Arial"/>
          <w:lang w:val="ro-RO" w:eastAsia="ro-RO"/>
        </w:rPr>
        <w:t xml:space="preserve">Anexa </w:t>
      </w:r>
      <w:r w:rsidR="006504B4" w:rsidRPr="00267545">
        <w:rPr>
          <w:rFonts w:ascii="Arial" w:hAnsi="Arial" w:cs="Arial"/>
          <w:lang w:val="ro-RO" w:eastAsia="ro-RO"/>
        </w:rPr>
        <w:t>10</w:t>
      </w:r>
      <w:r w:rsidRPr="00267545">
        <w:rPr>
          <w:rFonts w:ascii="Arial" w:hAnsi="Arial" w:cs="Arial"/>
          <w:lang w:val="ro-RO" w:eastAsia="ro-RO"/>
        </w:rPr>
        <w:t xml:space="preserve"> - Rezultatele obţinute de fiecare proiect în urma analizei multicriteriale</w:t>
      </w:r>
    </w:p>
    <w:p w14:paraId="590DB629" w14:textId="77777777" w:rsidR="00ED369F" w:rsidRPr="00267545" w:rsidRDefault="00ED369F" w:rsidP="00ED369F">
      <w:pPr>
        <w:spacing w:after="0" w:line="240" w:lineRule="auto"/>
        <w:rPr>
          <w:rFonts w:ascii="Arial" w:hAnsi="Arial" w:cs="Arial"/>
          <w:lang w:val="ro-RO" w:eastAsia="ro-RO"/>
        </w:rPr>
      </w:pPr>
      <w:r w:rsidRPr="00267545">
        <w:rPr>
          <w:rFonts w:ascii="Arial" w:hAnsi="Arial" w:cs="Arial"/>
          <w:lang w:val="ro-RO" w:eastAsia="ro-RO"/>
        </w:rPr>
        <w:t>Anexa 1</w:t>
      </w:r>
      <w:r w:rsidR="006504B4" w:rsidRPr="00267545">
        <w:rPr>
          <w:rFonts w:ascii="Arial" w:hAnsi="Arial" w:cs="Arial"/>
          <w:lang w:val="ro-RO" w:eastAsia="ro-RO"/>
        </w:rPr>
        <w:t>1</w:t>
      </w:r>
      <w:r w:rsidRPr="00267545">
        <w:rPr>
          <w:rFonts w:ascii="Arial" w:hAnsi="Arial" w:cs="Arial"/>
          <w:lang w:val="ro-RO" w:eastAsia="ro-RO"/>
        </w:rPr>
        <w:t xml:space="preserve"> (1</w:t>
      </w:r>
      <w:r w:rsidR="006504B4" w:rsidRPr="00267545">
        <w:rPr>
          <w:rFonts w:ascii="Arial" w:hAnsi="Arial" w:cs="Arial"/>
          <w:lang w:val="ro-RO" w:eastAsia="ro-RO"/>
        </w:rPr>
        <w:t>1</w:t>
      </w:r>
      <w:r w:rsidRPr="00267545">
        <w:rPr>
          <w:rFonts w:ascii="Arial" w:hAnsi="Arial" w:cs="Arial"/>
          <w:lang w:val="ro-RO" w:eastAsia="ro-RO"/>
        </w:rPr>
        <w:t>.1, 1</w:t>
      </w:r>
      <w:r w:rsidR="006504B4" w:rsidRPr="00267545">
        <w:rPr>
          <w:rFonts w:ascii="Arial" w:hAnsi="Arial" w:cs="Arial"/>
          <w:lang w:val="ro-RO" w:eastAsia="ro-RO"/>
        </w:rPr>
        <w:t>1</w:t>
      </w:r>
      <w:r w:rsidRPr="00267545">
        <w:rPr>
          <w:rFonts w:ascii="Arial" w:hAnsi="Arial" w:cs="Arial"/>
          <w:lang w:val="ro-RO" w:eastAsia="ro-RO"/>
        </w:rPr>
        <w:t>.2, 1</w:t>
      </w:r>
      <w:r w:rsidR="006504B4" w:rsidRPr="00267545">
        <w:rPr>
          <w:rFonts w:ascii="Arial" w:hAnsi="Arial" w:cs="Arial"/>
          <w:lang w:val="ro-RO" w:eastAsia="ro-RO"/>
        </w:rPr>
        <w:t>1</w:t>
      </w:r>
      <w:r w:rsidRPr="00267545">
        <w:rPr>
          <w:rFonts w:ascii="Arial" w:hAnsi="Arial" w:cs="Arial"/>
          <w:lang w:val="ro-RO" w:eastAsia="ro-RO"/>
        </w:rPr>
        <w:t>.3 si 1</w:t>
      </w:r>
      <w:r w:rsidR="006504B4" w:rsidRPr="00267545">
        <w:rPr>
          <w:rFonts w:ascii="Arial" w:hAnsi="Arial" w:cs="Arial"/>
          <w:lang w:val="ro-RO" w:eastAsia="ro-RO"/>
        </w:rPr>
        <w:t>1</w:t>
      </w:r>
      <w:r w:rsidRPr="00267545">
        <w:rPr>
          <w:rFonts w:ascii="Arial" w:hAnsi="Arial" w:cs="Arial"/>
          <w:lang w:val="ro-RO" w:eastAsia="ro-RO"/>
        </w:rPr>
        <w:t>.4) – Instrument de evaluare a impactului</w:t>
      </w:r>
    </w:p>
    <w:p w14:paraId="7E121862" w14:textId="77777777" w:rsidR="00ED369F" w:rsidRPr="00F43111" w:rsidRDefault="00ED369F" w:rsidP="00ED369F">
      <w:pPr>
        <w:spacing w:after="0" w:line="240" w:lineRule="auto"/>
        <w:rPr>
          <w:rFonts w:ascii="Arial" w:hAnsi="Arial" w:cs="Arial"/>
          <w:lang w:val="ro-RO" w:eastAsia="ro-RO"/>
        </w:rPr>
      </w:pPr>
      <w:r w:rsidRPr="00F43111">
        <w:rPr>
          <w:rFonts w:ascii="Arial" w:hAnsi="Arial" w:cs="Arial"/>
          <w:lang w:val="ro-RO" w:eastAsia="ro-RO"/>
        </w:rPr>
        <w:t xml:space="preserve">Anexa </w:t>
      </w:r>
      <w:r w:rsidR="006504B4" w:rsidRPr="00F43111">
        <w:rPr>
          <w:rFonts w:ascii="Arial" w:hAnsi="Arial" w:cs="Arial"/>
          <w:lang w:val="ro-RO" w:eastAsia="ro-RO"/>
        </w:rPr>
        <w:t>12</w:t>
      </w:r>
      <w:r w:rsidRPr="00F43111">
        <w:rPr>
          <w:rFonts w:ascii="Arial" w:hAnsi="Arial" w:cs="Arial"/>
          <w:lang w:val="ro-RO" w:eastAsia="ro-RO"/>
        </w:rPr>
        <w:t xml:space="preserve"> - Hărțile cu localizarea măsurilor prevăzute în planul de acțiuni</w:t>
      </w:r>
    </w:p>
    <w:p w14:paraId="173E7179" w14:textId="77777777" w:rsidR="00ED369F" w:rsidRPr="00137150" w:rsidRDefault="00ED369F" w:rsidP="00ED369F">
      <w:pPr>
        <w:spacing w:after="0" w:line="240" w:lineRule="auto"/>
        <w:rPr>
          <w:rFonts w:ascii="Arial" w:hAnsi="Arial" w:cs="Arial"/>
          <w:lang w:val="ro-RO" w:eastAsia="ro-RO"/>
        </w:rPr>
      </w:pPr>
      <w:r w:rsidRPr="00137150">
        <w:rPr>
          <w:rFonts w:ascii="Arial" w:hAnsi="Arial" w:cs="Arial"/>
          <w:lang w:val="ro-RO" w:eastAsia="ro-RO"/>
        </w:rPr>
        <w:t xml:space="preserve">Anexa </w:t>
      </w:r>
      <w:r w:rsidR="006504B4" w:rsidRPr="00137150">
        <w:rPr>
          <w:rFonts w:ascii="Arial" w:hAnsi="Arial" w:cs="Arial"/>
          <w:lang w:val="ro-RO" w:eastAsia="ro-RO"/>
        </w:rPr>
        <w:t>13</w:t>
      </w:r>
      <w:r w:rsidRPr="00137150">
        <w:rPr>
          <w:rFonts w:ascii="Arial" w:hAnsi="Arial" w:cs="Arial"/>
          <w:lang w:val="ro-RO" w:eastAsia="ro-RO"/>
        </w:rPr>
        <w:t xml:space="preserve"> – Shape măsuri</w:t>
      </w:r>
    </w:p>
    <w:p w14:paraId="5193EAD3" w14:textId="77777777" w:rsidR="00ED369F" w:rsidRPr="00ED369F" w:rsidRDefault="00ED369F" w:rsidP="00ED369F">
      <w:pPr>
        <w:rPr>
          <w:rFonts w:ascii="Arial" w:hAnsi="Arial" w:cs="Arial"/>
          <w:b/>
          <w:bCs/>
          <w:lang w:val="ro-RO" w:eastAsia="ro-RO"/>
        </w:rPr>
      </w:pPr>
      <w:r w:rsidRPr="00F43111">
        <w:rPr>
          <w:rFonts w:ascii="Arial" w:hAnsi="Arial" w:cs="Arial"/>
          <w:lang w:val="ro-RO" w:eastAsia="ro-RO"/>
        </w:rPr>
        <w:t>Anexa 1</w:t>
      </w:r>
      <w:r w:rsidR="006504B4" w:rsidRPr="00F43111">
        <w:rPr>
          <w:rFonts w:ascii="Arial" w:hAnsi="Arial" w:cs="Arial"/>
          <w:lang w:val="ro-RO" w:eastAsia="ro-RO"/>
        </w:rPr>
        <w:t>4</w:t>
      </w:r>
      <w:r w:rsidRPr="00F43111">
        <w:rPr>
          <w:rFonts w:ascii="Arial" w:hAnsi="Arial" w:cs="Arial"/>
          <w:lang w:val="ro-RO" w:eastAsia="ro-RO"/>
        </w:rPr>
        <w:t xml:space="preserve"> – Fişe proiect</w:t>
      </w:r>
    </w:p>
    <w:p w14:paraId="32A47F83" w14:textId="77777777" w:rsidR="00ED369F" w:rsidRDefault="00ED369F" w:rsidP="00257FC5">
      <w:pPr>
        <w:rPr>
          <w:rFonts w:ascii="Arial" w:hAnsi="Arial" w:cs="Arial"/>
          <w:b/>
          <w:bCs/>
          <w:lang w:val="ro-RO" w:eastAsia="ro-RO"/>
        </w:rPr>
      </w:pPr>
    </w:p>
    <w:p w14:paraId="6BBC9CC7" w14:textId="77777777" w:rsidR="00981172" w:rsidRDefault="00981172" w:rsidP="00257FC5">
      <w:pPr>
        <w:rPr>
          <w:rFonts w:ascii="Arial" w:hAnsi="Arial" w:cs="Arial"/>
          <w:b/>
          <w:bCs/>
          <w:lang w:val="ro-RO" w:eastAsia="ro-RO"/>
        </w:rPr>
      </w:pPr>
      <w:r>
        <w:rPr>
          <w:rFonts w:ascii="Arial" w:hAnsi="Arial" w:cs="Arial"/>
          <w:b/>
          <w:bCs/>
          <w:lang w:val="ro-RO" w:eastAsia="ro-RO"/>
        </w:rPr>
        <w:t>Lista figurilor</w:t>
      </w:r>
    </w:p>
    <w:p w14:paraId="26E9855A" w14:textId="738AD6D8" w:rsidR="00BA35B3" w:rsidRDefault="00F92A5C">
      <w:pPr>
        <w:pStyle w:val="Tabeldefiguri"/>
        <w:tabs>
          <w:tab w:val="right" w:leader="dot" w:pos="9645"/>
        </w:tabs>
        <w:rPr>
          <w:rFonts w:eastAsiaTheme="minorEastAsia"/>
          <w:noProof/>
          <w:kern w:val="2"/>
          <w14:ligatures w14:val="standardContextual"/>
        </w:rPr>
      </w:pPr>
      <w:r>
        <w:rPr>
          <w:rFonts w:ascii="Arial" w:hAnsi="Arial" w:cs="Arial"/>
          <w:b/>
          <w:bCs/>
          <w:lang w:val="ro-RO" w:eastAsia="ro-RO"/>
        </w:rPr>
        <w:fldChar w:fldCharType="begin"/>
      </w:r>
      <w:r>
        <w:rPr>
          <w:rFonts w:ascii="Arial" w:hAnsi="Arial" w:cs="Arial"/>
          <w:b/>
          <w:bCs/>
          <w:lang w:val="ro-RO" w:eastAsia="ro-RO"/>
        </w:rPr>
        <w:instrText xml:space="preserve"> TOC \h \z \c "Figura I.1." </w:instrText>
      </w:r>
      <w:r>
        <w:rPr>
          <w:rFonts w:ascii="Arial" w:hAnsi="Arial" w:cs="Arial"/>
          <w:b/>
          <w:bCs/>
          <w:lang w:val="ro-RO" w:eastAsia="ro-RO"/>
        </w:rPr>
        <w:fldChar w:fldCharType="separate"/>
      </w:r>
      <w:hyperlink w:anchor="_Toc140744432" w:history="1">
        <w:r w:rsidR="00BA35B3" w:rsidRPr="00382E5C">
          <w:rPr>
            <w:rStyle w:val="Hyperlink"/>
            <w:rFonts w:ascii="Arial" w:hAnsi="Arial" w:cs="Arial"/>
            <w:noProof/>
          </w:rPr>
          <w:t xml:space="preserve">Figura I.1. 1 – </w:t>
        </w:r>
        <w:r w:rsidR="00BA35B3" w:rsidRPr="00382E5C">
          <w:rPr>
            <w:rStyle w:val="Hyperlink"/>
            <w:rFonts w:ascii="Arial" w:eastAsia="Calibri" w:hAnsi="Arial" w:cs="Arial"/>
            <w:noProof/>
          </w:rPr>
          <w:t>Aria teritorial-administrativă a oraşului Horezu</w:t>
        </w:r>
        <w:r w:rsidR="00BA35B3">
          <w:rPr>
            <w:noProof/>
            <w:webHidden/>
          </w:rPr>
          <w:tab/>
        </w:r>
        <w:r w:rsidR="00BA35B3">
          <w:rPr>
            <w:noProof/>
            <w:webHidden/>
          </w:rPr>
          <w:fldChar w:fldCharType="begin"/>
        </w:r>
        <w:r w:rsidR="00BA35B3">
          <w:rPr>
            <w:noProof/>
            <w:webHidden/>
          </w:rPr>
          <w:instrText xml:space="preserve"> PAGEREF _Toc140744432 \h </w:instrText>
        </w:r>
        <w:r w:rsidR="00BA35B3">
          <w:rPr>
            <w:noProof/>
            <w:webHidden/>
          </w:rPr>
        </w:r>
        <w:r w:rsidR="00BA35B3">
          <w:rPr>
            <w:noProof/>
            <w:webHidden/>
          </w:rPr>
          <w:fldChar w:fldCharType="separate"/>
        </w:r>
        <w:r w:rsidR="00BB181C">
          <w:rPr>
            <w:noProof/>
            <w:webHidden/>
          </w:rPr>
          <w:t>27</w:t>
        </w:r>
        <w:r w:rsidR="00BA35B3">
          <w:rPr>
            <w:noProof/>
            <w:webHidden/>
          </w:rPr>
          <w:fldChar w:fldCharType="end"/>
        </w:r>
      </w:hyperlink>
    </w:p>
    <w:p w14:paraId="67AD8537" w14:textId="19399CCA" w:rsidR="00BA35B3" w:rsidRDefault="00000000">
      <w:pPr>
        <w:pStyle w:val="Tabeldefiguri"/>
        <w:tabs>
          <w:tab w:val="right" w:leader="dot" w:pos="9645"/>
        </w:tabs>
        <w:rPr>
          <w:rFonts w:eastAsiaTheme="minorEastAsia"/>
          <w:noProof/>
          <w:kern w:val="2"/>
          <w14:ligatures w14:val="standardContextual"/>
        </w:rPr>
      </w:pPr>
      <w:hyperlink w:anchor="_Toc140744433" w:history="1">
        <w:r w:rsidR="00BA35B3" w:rsidRPr="00382E5C">
          <w:rPr>
            <w:rStyle w:val="Hyperlink"/>
            <w:rFonts w:ascii="Arial" w:hAnsi="Arial" w:cs="Arial"/>
            <w:noProof/>
          </w:rPr>
          <w:t xml:space="preserve">Figura I.1. 2 - </w:t>
        </w:r>
        <w:r w:rsidR="00BA35B3" w:rsidRPr="00382E5C">
          <w:rPr>
            <w:rStyle w:val="Hyperlink"/>
            <w:rFonts w:ascii="Arial" w:eastAsia="Calibri" w:hAnsi="Arial" w:cs="Arial"/>
            <w:noProof/>
          </w:rPr>
          <w:t>Aria geografică care trebuie avută în vedere la elaborarea PMUD</w:t>
        </w:r>
        <w:r w:rsidR="00BA35B3">
          <w:rPr>
            <w:noProof/>
            <w:webHidden/>
          </w:rPr>
          <w:tab/>
        </w:r>
        <w:r w:rsidR="00BA35B3">
          <w:rPr>
            <w:noProof/>
            <w:webHidden/>
          </w:rPr>
          <w:fldChar w:fldCharType="begin"/>
        </w:r>
        <w:r w:rsidR="00BA35B3">
          <w:rPr>
            <w:noProof/>
            <w:webHidden/>
          </w:rPr>
          <w:instrText xml:space="preserve"> PAGEREF _Toc140744433 \h </w:instrText>
        </w:r>
        <w:r w:rsidR="00BA35B3">
          <w:rPr>
            <w:noProof/>
            <w:webHidden/>
          </w:rPr>
        </w:r>
        <w:r w:rsidR="00BA35B3">
          <w:rPr>
            <w:noProof/>
            <w:webHidden/>
          </w:rPr>
          <w:fldChar w:fldCharType="separate"/>
        </w:r>
        <w:r w:rsidR="00BB181C">
          <w:rPr>
            <w:noProof/>
            <w:webHidden/>
          </w:rPr>
          <w:t>28</w:t>
        </w:r>
        <w:r w:rsidR="00BA35B3">
          <w:rPr>
            <w:noProof/>
            <w:webHidden/>
          </w:rPr>
          <w:fldChar w:fldCharType="end"/>
        </w:r>
      </w:hyperlink>
    </w:p>
    <w:p w14:paraId="06DC7FAD" w14:textId="143B0685" w:rsidR="00BA35B3" w:rsidRDefault="00000000">
      <w:pPr>
        <w:pStyle w:val="Tabeldefiguri"/>
        <w:tabs>
          <w:tab w:val="right" w:leader="dot" w:pos="9645"/>
        </w:tabs>
        <w:rPr>
          <w:rFonts w:eastAsiaTheme="minorEastAsia"/>
          <w:noProof/>
          <w:kern w:val="2"/>
          <w14:ligatures w14:val="standardContextual"/>
        </w:rPr>
      </w:pPr>
      <w:hyperlink w:anchor="_Toc140744434" w:history="1">
        <w:r w:rsidR="00BA35B3" w:rsidRPr="00382E5C">
          <w:rPr>
            <w:rStyle w:val="Hyperlink"/>
            <w:rFonts w:ascii="Arial" w:hAnsi="Arial" w:cs="Arial"/>
            <w:noProof/>
          </w:rPr>
          <w:t xml:space="preserve">Figura I.1. 3 - </w:t>
        </w:r>
        <w:r w:rsidR="00BA35B3" w:rsidRPr="00382E5C">
          <w:rPr>
            <w:rStyle w:val="Hyperlink"/>
            <w:rFonts w:ascii="Arial" w:hAnsi="Arial" w:cs="Arial"/>
            <w:noProof/>
            <w:kern w:val="1"/>
            <w:lang w:val="es-ES" w:eastAsia="hi-IN" w:bidi="hi-IN"/>
          </w:rPr>
          <w:t>Imaginea simplificatǎ a unui oraș (cu evidențierea „penuriei” de cǎi de deplasare ȋn centrul orașului)</w:t>
        </w:r>
        <w:r w:rsidR="00BA35B3">
          <w:rPr>
            <w:noProof/>
            <w:webHidden/>
          </w:rPr>
          <w:tab/>
        </w:r>
        <w:r w:rsidR="00BA35B3">
          <w:rPr>
            <w:noProof/>
            <w:webHidden/>
          </w:rPr>
          <w:fldChar w:fldCharType="begin"/>
        </w:r>
        <w:r w:rsidR="00BA35B3">
          <w:rPr>
            <w:noProof/>
            <w:webHidden/>
          </w:rPr>
          <w:instrText xml:space="preserve"> PAGEREF _Toc140744434 \h </w:instrText>
        </w:r>
        <w:r w:rsidR="00BA35B3">
          <w:rPr>
            <w:noProof/>
            <w:webHidden/>
          </w:rPr>
        </w:r>
        <w:r w:rsidR="00BA35B3">
          <w:rPr>
            <w:noProof/>
            <w:webHidden/>
          </w:rPr>
          <w:fldChar w:fldCharType="separate"/>
        </w:r>
        <w:r w:rsidR="00BB181C">
          <w:rPr>
            <w:noProof/>
            <w:webHidden/>
          </w:rPr>
          <w:t>29</w:t>
        </w:r>
        <w:r w:rsidR="00BA35B3">
          <w:rPr>
            <w:noProof/>
            <w:webHidden/>
          </w:rPr>
          <w:fldChar w:fldCharType="end"/>
        </w:r>
      </w:hyperlink>
    </w:p>
    <w:p w14:paraId="541ACA84" w14:textId="3FFEB5E8" w:rsidR="00BA35B3" w:rsidRDefault="00000000">
      <w:pPr>
        <w:pStyle w:val="Tabeldefiguri"/>
        <w:tabs>
          <w:tab w:val="right" w:leader="dot" w:pos="9645"/>
        </w:tabs>
        <w:rPr>
          <w:rFonts w:eastAsiaTheme="minorEastAsia"/>
          <w:noProof/>
          <w:kern w:val="2"/>
          <w14:ligatures w14:val="standardContextual"/>
        </w:rPr>
      </w:pPr>
      <w:hyperlink w:anchor="_Toc140744435" w:history="1">
        <w:r w:rsidR="00BA35B3" w:rsidRPr="00382E5C">
          <w:rPr>
            <w:rStyle w:val="Hyperlink"/>
            <w:rFonts w:ascii="Arial" w:hAnsi="Arial" w:cs="Arial"/>
            <w:noProof/>
          </w:rPr>
          <w:t xml:space="preserve">Figura I.1. 4 - </w:t>
        </w:r>
        <w:r w:rsidR="00BA35B3" w:rsidRPr="00382E5C">
          <w:rPr>
            <w:rStyle w:val="Hyperlink"/>
            <w:rFonts w:ascii="Arial" w:hAnsi="Arial" w:cs="Arial"/>
            <w:noProof/>
            <w:kern w:val="1"/>
            <w:lang w:val="es-ES" w:eastAsia="hi-IN" w:bidi="hi-IN"/>
          </w:rPr>
          <w:t>Repartizarea suprafețelor pentru un grad „constant” de congestie a circulației</w:t>
        </w:r>
        <w:r w:rsidR="00BA35B3">
          <w:rPr>
            <w:noProof/>
            <w:webHidden/>
          </w:rPr>
          <w:tab/>
        </w:r>
        <w:r w:rsidR="00BA35B3">
          <w:rPr>
            <w:noProof/>
            <w:webHidden/>
          </w:rPr>
          <w:fldChar w:fldCharType="begin"/>
        </w:r>
        <w:r w:rsidR="00BA35B3">
          <w:rPr>
            <w:noProof/>
            <w:webHidden/>
          </w:rPr>
          <w:instrText xml:space="preserve"> PAGEREF _Toc140744435 \h </w:instrText>
        </w:r>
        <w:r w:rsidR="00BA35B3">
          <w:rPr>
            <w:noProof/>
            <w:webHidden/>
          </w:rPr>
        </w:r>
        <w:r w:rsidR="00BA35B3">
          <w:rPr>
            <w:noProof/>
            <w:webHidden/>
          </w:rPr>
          <w:fldChar w:fldCharType="separate"/>
        </w:r>
        <w:r w:rsidR="00BB181C">
          <w:rPr>
            <w:noProof/>
            <w:webHidden/>
          </w:rPr>
          <w:t>30</w:t>
        </w:r>
        <w:r w:rsidR="00BA35B3">
          <w:rPr>
            <w:noProof/>
            <w:webHidden/>
          </w:rPr>
          <w:fldChar w:fldCharType="end"/>
        </w:r>
      </w:hyperlink>
    </w:p>
    <w:p w14:paraId="22D80C69" w14:textId="623E1C21" w:rsidR="00BA35B3" w:rsidRDefault="00000000">
      <w:pPr>
        <w:pStyle w:val="Tabeldefiguri"/>
        <w:tabs>
          <w:tab w:val="right" w:leader="dot" w:pos="9645"/>
        </w:tabs>
        <w:rPr>
          <w:rFonts w:eastAsiaTheme="minorEastAsia"/>
          <w:noProof/>
          <w:kern w:val="2"/>
          <w14:ligatures w14:val="standardContextual"/>
        </w:rPr>
      </w:pPr>
      <w:hyperlink w:anchor="_Toc140744436" w:history="1">
        <w:r w:rsidR="00BA35B3" w:rsidRPr="00382E5C">
          <w:rPr>
            <w:rStyle w:val="Hyperlink"/>
            <w:rFonts w:ascii="Arial" w:hAnsi="Arial" w:cs="Arial"/>
            <w:noProof/>
          </w:rPr>
          <w:t xml:space="preserve">Figura I.1. 5 - </w:t>
        </w:r>
        <w:r w:rsidR="00BA35B3" w:rsidRPr="00382E5C">
          <w:rPr>
            <w:rStyle w:val="Hyperlink"/>
            <w:rFonts w:ascii="Arial" w:eastAsia="Calibri" w:hAnsi="Arial" w:cs="Arial"/>
            <w:noProof/>
          </w:rPr>
          <w:t>Clasificarea unităților administrativ-teritoriale urbane</w:t>
        </w:r>
        <w:r w:rsidR="00BA35B3">
          <w:rPr>
            <w:noProof/>
            <w:webHidden/>
          </w:rPr>
          <w:tab/>
        </w:r>
        <w:r w:rsidR="00BA35B3">
          <w:rPr>
            <w:noProof/>
            <w:webHidden/>
          </w:rPr>
          <w:fldChar w:fldCharType="begin"/>
        </w:r>
        <w:r w:rsidR="00BA35B3">
          <w:rPr>
            <w:noProof/>
            <w:webHidden/>
          </w:rPr>
          <w:instrText xml:space="preserve"> PAGEREF _Toc140744436 \h </w:instrText>
        </w:r>
        <w:r w:rsidR="00BA35B3">
          <w:rPr>
            <w:noProof/>
            <w:webHidden/>
          </w:rPr>
        </w:r>
        <w:r w:rsidR="00BA35B3">
          <w:rPr>
            <w:noProof/>
            <w:webHidden/>
          </w:rPr>
          <w:fldChar w:fldCharType="separate"/>
        </w:r>
        <w:r w:rsidR="00BB181C">
          <w:rPr>
            <w:noProof/>
            <w:webHidden/>
          </w:rPr>
          <w:t>37</w:t>
        </w:r>
        <w:r w:rsidR="00BA35B3">
          <w:rPr>
            <w:noProof/>
            <w:webHidden/>
          </w:rPr>
          <w:fldChar w:fldCharType="end"/>
        </w:r>
      </w:hyperlink>
    </w:p>
    <w:p w14:paraId="5560E58B" w14:textId="7AE3FBC1" w:rsidR="00BA35B3" w:rsidRDefault="00000000">
      <w:pPr>
        <w:pStyle w:val="Tabeldefiguri"/>
        <w:tabs>
          <w:tab w:val="right" w:leader="dot" w:pos="9645"/>
        </w:tabs>
        <w:rPr>
          <w:rFonts w:eastAsiaTheme="minorEastAsia"/>
          <w:noProof/>
          <w:kern w:val="2"/>
          <w14:ligatures w14:val="standardContextual"/>
        </w:rPr>
      </w:pPr>
      <w:hyperlink w:anchor="_Toc140744437" w:history="1">
        <w:r w:rsidR="00BA35B3" w:rsidRPr="00382E5C">
          <w:rPr>
            <w:rStyle w:val="Hyperlink"/>
            <w:rFonts w:ascii="Arial" w:hAnsi="Arial" w:cs="Arial"/>
            <w:noProof/>
          </w:rPr>
          <w:t>Figura I.1. 6 - Ierarhizarea UAT după Legea nr. 351/2001, 2013</w:t>
        </w:r>
        <w:r w:rsidR="00BA35B3">
          <w:rPr>
            <w:noProof/>
            <w:webHidden/>
          </w:rPr>
          <w:tab/>
        </w:r>
        <w:r w:rsidR="00BA35B3">
          <w:rPr>
            <w:noProof/>
            <w:webHidden/>
          </w:rPr>
          <w:fldChar w:fldCharType="begin"/>
        </w:r>
        <w:r w:rsidR="00BA35B3">
          <w:rPr>
            <w:noProof/>
            <w:webHidden/>
          </w:rPr>
          <w:instrText xml:space="preserve"> PAGEREF _Toc140744437 \h </w:instrText>
        </w:r>
        <w:r w:rsidR="00BA35B3">
          <w:rPr>
            <w:noProof/>
            <w:webHidden/>
          </w:rPr>
        </w:r>
        <w:r w:rsidR="00BA35B3">
          <w:rPr>
            <w:noProof/>
            <w:webHidden/>
          </w:rPr>
          <w:fldChar w:fldCharType="separate"/>
        </w:r>
        <w:r w:rsidR="00BB181C">
          <w:rPr>
            <w:noProof/>
            <w:webHidden/>
          </w:rPr>
          <w:t>38</w:t>
        </w:r>
        <w:r w:rsidR="00BA35B3">
          <w:rPr>
            <w:noProof/>
            <w:webHidden/>
          </w:rPr>
          <w:fldChar w:fldCharType="end"/>
        </w:r>
      </w:hyperlink>
    </w:p>
    <w:p w14:paraId="0152F7B1" w14:textId="45C75772" w:rsidR="00BA35B3" w:rsidRDefault="00000000">
      <w:pPr>
        <w:pStyle w:val="Tabeldefiguri"/>
        <w:tabs>
          <w:tab w:val="right" w:leader="dot" w:pos="9645"/>
        </w:tabs>
        <w:rPr>
          <w:rFonts w:eastAsiaTheme="minorEastAsia"/>
          <w:noProof/>
          <w:kern w:val="2"/>
          <w14:ligatures w14:val="standardContextual"/>
        </w:rPr>
      </w:pPr>
      <w:hyperlink w:anchor="_Toc140744438" w:history="1">
        <w:r w:rsidR="00BA35B3" w:rsidRPr="00382E5C">
          <w:rPr>
            <w:rStyle w:val="Hyperlink"/>
            <w:rFonts w:ascii="Arial" w:hAnsi="Arial" w:cs="Arial"/>
            <w:noProof/>
          </w:rPr>
          <w:t xml:space="preserve">Figura I.1. 7 - </w:t>
        </w:r>
        <w:r w:rsidR="00BA35B3" w:rsidRPr="00382E5C">
          <w:rPr>
            <w:rStyle w:val="Hyperlink"/>
            <w:rFonts w:ascii="Arial" w:eastAsia="Calibri" w:hAnsi="Arial" w:cs="Arial"/>
            <w:noProof/>
            <w:lang w:val="ro-RO"/>
          </w:rPr>
          <w:t>Competitivitatea teritoriului naţional conform valorilor Indexului de Dezvoltare Teritorială</w:t>
        </w:r>
        <w:r w:rsidR="00BA35B3">
          <w:rPr>
            <w:noProof/>
            <w:webHidden/>
          </w:rPr>
          <w:tab/>
        </w:r>
        <w:r w:rsidR="00BA35B3">
          <w:rPr>
            <w:noProof/>
            <w:webHidden/>
          </w:rPr>
          <w:fldChar w:fldCharType="begin"/>
        </w:r>
        <w:r w:rsidR="00BA35B3">
          <w:rPr>
            <w:noProof/>
            <w:webHidden/>
          </w:rPr>
          <w:instrText xml:space="preserve"> PAGEREF _Toc140744438 \h </w:instrText>
        </w:r>
        <w:r w:rsidR="00BA35B3">
          <w:rPr>
            <w:noProof/>
            <w:webHidden/>
          </w:rPr>
        </w:r>
        <w:r w:rsidR="00BA35B3">
          <w:rPr>
            <w:noProof/>
            <w:webHidden/>
          </w:rPr>
          <w:fldChar w:fldCharType="separate"/>
        </w:r>
        <w:r w:rsidR="00BB181C">
          <w:rPr>
            <w:noProof/>
            <w:webHidden/>
          </w:rPr>
          <w:t>39</w:t>
        </w:r>
        <w:r w:rsidR="00BA35B3">
          <w:rPr>
            <w:noProof/>
            <w:webHidden/>
          </w:rPr>
          <w:fldChar w:fldCharType="end"/>
        </w:r>
      </w:hyperlink>
    </w:p>
    <w:p w14:paraId="66F4EDE2" w14:textId="428DE40A" w:rsidR="00BA35B3" w:rsidRDefault="00000000">
      <w:pPr>
        <w:pStyle w:val="Tabeldefiguri"/>
        <w:tabs>
          <w:tab w:val="right" w:leader="dot" w:pos="9645"/>
        </w:tabs>
        <w:rPr>
          <w:rFonts w:eastAsiaTheme="minorEastAsia"/>
          <w:noProof/>
          <w:kern w:val="2"/>
          <w14:ligatures w14:val="standardContextual"/>
        </w:rPr>
      </w:pPr>
      <w:hyperlink w:anchor="_Toc140744439" w:history="1">
        <w:r w:rsidR="00BA35B3" w:rsidRPr="00382E5C">
          <w:rPr>
            <w:rStyle w:val="Hyperlink"/>
            <w:rFonts w:ascii="Arial" w:hAnsi="Arial" w:cs="Arial"/>
            <w:noProof/>
          </w:rPr>
          <w:t>Figura I.1. 8  - Oraşul Horezu şi satele aparţinătoare</w:t>
        </w:r>
        <w:r w:rsidR="00BA35B3">
          <w:rPr>
            <w:noProof/>
            <w:webHidden/>
          </w:rPr>
          <w:tab/>
        </w:r>
        <w:r w:rsidR="00BA35B3">
          <w:rPr>
            <w:noProof/>
            <w:webHidden/>
          </w:rPr>
          <w:fldChar w:fldCharType="begin"/>
        </w:r>
        <w:r w:rsidR="00BA35B3">
          <w:rPr>
            <w:noProof/>
            <w:webHidden/>
          </w:rPr>
          <w:instrText xml:space="preserve"> PAGEREF _Toc140744439 \h </w:instrText>
        </w:r>
        <w:r w:rsidR="00BA35B3">
          <w:rPr>
            <w:noProof/>
            <w:webHidden/>
          </w:rPr>
        </w:r>
        <w:r w:rsidR="00BA35B3">
          <w:rPr>
            <w:noProof/>
            <w:webHidden/>
          </w:rPr>
          <w:fldChar w:fldCharType="separate"/>
        </w:r>
        <w:r w:rsidR="00BB181C">
          <w:rPr>
            <w:noProof/>
            <w:webHidden/>
          </w:rPr>
          <w:t>41</w:t>
        </w:r>
        <w:r w:rsidR="00BA35B3">
          <w:rPr>
            <w:noProof/>
            <w:webHidden/>
          </w:rPr>
          <w:fldChar w:fldCharType="end"/>
        </w:r>
      </w:hyperlink>
    </w:p>
    <w:p w14:paraId="5D56D3DD" w14:textId="2CC64978" w:rsidR="00BA35B3" w:rsidRDefault="00000000">
      <w:pPr>
        <w:pStyle w:val="Tabeldefiguri"/>
        <w:tabs>
          <w:tab w:val="right" w:leader="dot" w:pos="9645"/>
        </w:tabs>
        <w:rPr>
          <w:rFonts w:eastAsiaTheme="minorEastAsia"/>
          <w:noProof/>
          <w:kern w:val="2"/>
          <w14:ligatures w14:val="standardContextual"/>
        </w:rPr>
      </w:pPr>
      <w:hyperlink w:anchor="_Toc140744440" w:history="1">
        <w:r w:rsidR="00BA35B3" w:rsidRPr="00382E5C">
          <w:rPr>
            <w:rStyle w:val="Hyperlink"/>
            <w:rFonts w:ascii="Arial" w:hAnsi="Arial" w:cs="Arial"/>
            <w:noProof/>
          </w:rPr>
          <w:t xml:space="preserve">Figura I.1. 9 - </w:t>
        </w:r>
        <w:r w:rsidR="00BA35B3" w:rsidRPr="00382E5C">
          <w:rPr>
            <w:rStyle w:val="Hyperlink"/>
            <w:rFonts w:ascii="Arial" w:eastAsia="Calibri" w:hAnsi="Arial" w:cs="Arial"/>
            <w:noProof/>
          </w:rPr>
          <w:t>Diferențe între planificarea tradițională a transportului și Planificarea Mobilității Urbane Durabile</w:t>
        </w:r>
        <w:r w:rsidR="00BA35B3">
          <w:rPr>
            <w:noProof/>
            <w:webHidden/>
          </w:rPr>
          <w:tab/>
        </w:r>
        <w:r w:rsidR="00BA35B3">
          <w:rPr>
            <w:noProof/>
            <w:webHidden/>
          </w:rPr>
          <w:fldChar w:fldCharType="begin"/>
        </w:r>
        <w:r w:rsidR="00BA35B3">
          <w:rPr>
            <w:noProof/>
            <w:webHidden/>
          </w:rPr>
          <w:instrText xml:space="preserve"> PAGEREF _Toc140744440 \h </w:instrText>
        </w:r>
        <w:r w:rsidR="00BA35B3">
          <w:rPr>
            <w:noProof/>
            <w:webHidden/>
          </w:rPr>
        </w:r>
        <w:r w:rsidR="00BA35B3">
          <w:rPr>
            <w:noProof/>
            <w:webHidden/>
          </w:rPr>
          <w:fldChar w:fldCharType="separate"/>
        </w:r>
        <w:r w:rsidR="00BB181C">
          <w:rPr>
            <w:noProof/>
            <w:webHidden/>
          </w:rPr>
          <w:t>53</w:t>
        </w:r>
        <w:r w:rsidR="00BA35B3">
          <w:rPr>
            <w:noProof/>
            <w:webHidden/>
          </w:rPr>
          <w:fldChar w:fldCharType="end"/>
        </w:r>
      </w:hyperlink>
    </w:p>
    <w:p w14:paraId="670AA5A4" w14:textId="0B2FC9C0" w:rsidR="00BA35B3" w:rsidRDefault="00000000">
      <w:pPr>
        <w:pStyle w:val="Tabeldefiguri"/>
        <w:tabs>
          <w:tab w:val="right" w:leader="dot" w:pos="9645"/>
        </w:tabs>
        <w:rPr>
          <w:rFonts w:eastAsiaTheme="minorEastAsia"/>
          <w:noProof/>
          <w:kern w:val="2"/>
          <w14:ligatures w14:val="standardContextual"/>
        </w:rPr>
      </w:pPr>
      <w:hyperlink w:anchor="_Toc140744441" w:history="1">
        <w:r w:rsidR="00BA35B3" w:rsidRPr="00382E5C">
          <w:rPr>
            <w:rStyle w:val="Hyperlink"/>
            <w:rFonts w:ascii="Arial" w:hAnsi="Arial" w:cs="Arial"/>
            <w:noProof/>
          </w:rPr>
          <w:t xml:space="preserve">Figura I.1. 10 – </w:t>
        </w:r>
        <w:r w:rsidR="00BA35B3" w:rsidRPr="00382E5C">
          <w:rPr>
            <w:rStyle w:val="Hyperlink"/>
            <w:rFonts w:ascii="Arial" w:eastAsia="Calibri" w:hAnsi="Arial" w:cs="Arial"/>
            <w:noProof/>
          </w:rPr>
          <w:t>Pașii Planificării Mobilității Urbane Durabile (ediția a II-a) - Prezentare generală pentru factorii de decizie</w:t>
        </w:r>
        <w:r w:rsidR="00BA35B3">
          <w:rPr>
            <w:noProof/>
            <w:webHidden/>
          </w:rPr>
          <w:tab/>
        </w:r>
        <w:r w:rsidR="00BA35B3">
          <w:rPr>
            <w:noProof/>
            <w:webHidden/>
          </w:rPr>
          <w:fldChar w:fldCharType="begin"/>
        </w:r>
        <w:r w:rsidR="00BA35B3">
          <w:rPr>
            <w:noProof/>
            <w:webHidden/>
          </w:rPr>
          <w:instrText xml:space="preserve"> PAGEREF _Toc140744441 \h </w:instrText>
        </w:r>
        <w:r w:rsidR="00BA35B3">
          <w:rPr>
            <w:noProof/>
            <w:webHidden/>
          </w:rPr>
        </w:r>
        <w:r w:rsidR="00BA35B3">
          <w:rPr>
            <w:noProof/>
            <w:webHidden/>
          </w:rPr>
          <w:fldChar w:fldCharType="separate"/>
        </w:r>
        <w:r w:rsidR="00BB181C">
          <w:rPr>
            <w:noProof/>
            <w:webHidden/>
          </w:rPr>
          <w:t>54</w:t>
        </w:r>
        <w:r w:rsidR="00BA35B3">
          <w:rPr>
            <w:noProof/>
            <w:webHidden/>
          </w:rPr>
          <w:fldChar w:fldCharType="end"/>
        </w:r>
      </w:hyperlink>
    </w:p>
    <w:p w14:paraId="1E81750C" w14:textId="289EA1E4" w:rsidR="00BA35B3" w:rsidRDefault="00000000">
      <w:pPr>
        <w:pStyle w:val="Tabeldefiguri"/>
        <w:tabs>
          <w:tab w:val="right" w:leader="dot" w:pos="9645"/>
        </w:tabs>
        <w:rPr>
          <w:rFonts w:eastAsiaTheme="minorEastAsia"/>
          <w:noProof/>
          <w:kern w:val="2"/>
          <w14:ligatures w14:val="standardContextual"/>
        </w:rPr>
      </w:pPr>
      <w:hyperlink w:anchor="_Toc140744442" w:history="1">
        <w:r w:rsidR="00BA35B3" w:rsidRPr="00382E5C">
          <w:rPr>
            <w:rStyle w:val="Hyperlink"/>
            <w:rFonts w:ascii="Arial" w:hAnsi="Arial" w:cs="Arial"/>
            <w:noProof/>
          </w:rPr>
          <w:t xml:space="preserve">Figura I.1. 11 - </w:t>
        </w:r>
        <w:r w:rsidR="00BA35B3" w:rsidRPr="00382E5C">
          <w:rPr>
            <w:rStyle w:val="Hyperlink"/>
            <w:rFonts w:ascii="Arial" w:eastAsia="Calibri" w:hAnsi="Arial" w:cs="Arial"/>
            <w:noProof/>
          </w:rPr>
          <w:t>Identificarea nevoilor de adaptare a procesului de planificare (exemple)</w:t>
        </w:r>
        <w:r w:rsidR="00BA35B3">
          <w:rPr>
            <w:noProof/>
            <w:webHidden/>
          </w:rPr>
          <w:tab/>
        </w:r>
        <w:r w:rsidR="00BA35B3">
          <w:rPr>
            <w:noProof/>
            <w:webHidden/>
          </w:rPr>
          <w:fldChar w:fldCharType="begin"/>
        </w:r>
        <w:r w:rsidR="00BA35B3">
          <w:rPr>
            <w:noProof/>
            <w:webHidden/>
          </w:rPr>
          <w:instrText xml:space="preserve"> PAGEREF _Toc140744442 \h </w:instrText>
        </w:r>
        <w:r w:rsidR="00BA35B3">
          <w:rPr>
            <w:noProof/>
            <w:webHidden/>
          </w:rPr>
        </w:r>
        <w:r w:rsidR="00BA35B3">
          <w:rPr>
            <w:noProof/>
            <w:webHidden/>
          </w:rPr>
          <w:fldChar w:fldCharType="separate"/>
        </w:r>
        <w:r w:rsidR="00BB181C">
          <w:rPr>
            <w:noProof/>
            <w:webHidden/>
          </w:rPr>
          <w:t>55</w:t>
        </w:r>
        <w:r w:rsidR="00BA35B3">
          <w:rPr>
            <w:noProof/>
            <w:webHidden/>
          </w:rPr>
          <w:fldChar w:fldCharType="end"/>
        </w:r>
      </w:hyperlink>
    </w:p>
    <w:p w14:paraId="31A75A16" w14:textId="77777777" w:rsidR="00BA35B3" w:rsidRDefault="00F92A5C" w:rsidP="00846562">
      <w:pPr>
        <w:pStyle w:val="Tabeldefiguri"/>
        <w:tabs>
          <w:tab w:val="right" w:leader="dot" w:pos="9645"/>
        </w:tabs>
        <w:rPr>
          <w:noProof/>
        </w:rPr>
      </w:pPr>
      <w:r>
        <w:rPr>
          <w:rFonts w:ascii="Arial" w:hAnsi="Arial" w:cs="Arial"/>
          <w:b/>
          <w:bCs/>
          <w:lang w:val="ro-RO" w:eastAsia="ro-RO"/>
        </w:rPr>
        <w:fldChar w:fldCharType="end"/>
      </w:r>
      <w:r>
        <w:rPr>
          <w:rFonts w:ascii="Arial" w:hAnsi="Arial" w:cs="Arial"/>
          <w:b/>
          <w:bCs/>
          <w:lang w:val="ro-RO" w:eastAsia="ro-RO"/>
        </w:rPr>
        <w:fldChar w:fldCharType="begin"/>
      </w:r>
      <w:r>
        <w:rPr>
          <w:rFonts w:ascii="Arial" w:hAnsi="Arial" w:cs="Arial"/>
          <w:b/>
          <w:bCs/>
          <w:lang w:val="ro-RO" w:eastAsia="ro-RO"/>
        </w:rPr>
        <w:instrText xml:space="preserve"> TOC \h \z \c "Figura I.2." </w:instrText>
      </w:r>
      <w:r>
        <w:rPr>
          <w:rFonts w:ascii="Arial" w:hAnsi="Arial" w:cs="Arial"/>
          <w:b/>
          <w:bCs/>
          <w:lang w:val="ro-RO" w:eastAsia="ro-RO"/>
        </w:rPr>
        <w:fldChar w:fldCharType="separate"/>
      </w:r>
    </w:p>
    <w:p w14:paraId="0337F0E3" w14:textId="122E9D7C" w:rsidR="00BA35B3" w:rsidRDefault="00000000">
      <w:pPr>
        <w:pStyle w:val="Tabeldefiguri"/>
        <w:tabs>
          <w:tab w:val="right" w:leader="dot" w:pos="9645"/>
        </w:tabs>
        <w:rPr>
          <w:rFonts w:eastAsiaTheme="minorEastAsia"/>
          <w:noProof/>
          <w:kern w:val="2"/>
          <w14:ligatures w14:val="standardContextual"/>
        </w:rPr>
      </w:pPr>
      <w:hyperlink w:anchor="_Toc140744443" w:history="1">
        <w:r w:rsidR="00BA35B3" w:rsidRPr="00022D11">
          <w:rPr>
            <w:rStyle w:val="Hyperlink"/>
            <w:rFonts w:ascii="Arial" w:hAnsi="Arial" w:cs="Arial"/>
            <w:noProof/>
          </w:rPr>
          <w:t>Figura I.2. 1 – Amplasarea oraşului Horezu</w:t>
        </w:r>
        <w:r w:rsidR="00BA35B3">
          <w:rPr>
            <w:noProof/>
            <w:webHidden/>
          </w:rPr>
          <w:tab/>
        </w:r>
        <w:r w:rsidR="00BA35B3">
          <w:rPr>
            <w:noProof/>
            <w:webHidden/>
          </w:rPr>
          <w:fldChar w:fldCharType="begin"/>
        </w:r>
        <w:r w:rsidR="00BA35B3">
          <w:rPr>
            <w:noProof/>
            <w:webHidden/>
          </w:rPr>
          <w:instrText xml:space="preserve"> PAGEREF _Toc140744443 \h </w:instrText>
        </w:r>
        <w:r w:rsidR="00BA35B3">
          <w:rPr>
            <w:noProof/>
            <w:webHidden/>
          </w:rPr>
        </w:r>
        <w:r w:rsidR="00BA35B3">
          <w:rPr>
            <w:noProof/>
            <w:webHidden/>
          </w:rPr>
          <w:fldChar w:fldCharType="separate"/>
        </w:r>
        <w:r w:rsidR="00BB181C">
          <w:rPr>
            <w:noProof/>
            <w:webHidden/>
          </w:rPr>
          <w:t>73</w:t>
        </w:r>
        <w:r w:rsidR="00BA35B3">
          <w:rPr>
            <w:noProof/>
            <w:webHidden/>
          </w:rPr>
          <w:fldChar w:fldCharType="end"/>
        </w:r>
      </w:hyperlink>
    </w:p>
    <w:p w14:paraId="1420D942" w14:textId="6C5A42BD" w:rsidR="00BA35B3" w:rsidRDefault="00000000">
      <w:pPr>
        <w:pStyle w:val="Tabeldefiguri"/>
        <w:tabs>
          <w:tab w:val="right" w:leader="dot" w:pos="9645"/>
        </w:tabs>
        <w:rPr>
          <w:rFonts w:eastAsiaTheme="minorEastAsia"/>
          <w:noProof/>
          <w:kern w:val="2"/>
          <w14:ligatures w14:val="standardContextual"/>
        </w:rPr>
      </w:pPr>
      <w:hyperlink w:anchor="_Toc140744444" w:history="1">
        <w:r w:rsidR="00BA35B3" w:rsidRPr="00022D11">
          <w:rPr>
            <w:rStyle w:val="Hyperlink"/>
            <w:rFonts w:ascii="Arial" w:hAnsi="Arial" w:cs="Arial"/>
            <w:noProof/>
          </w:rPr>
          <w:t>Figura I.2. 2 – Aria teritorial administrativă a oraşul Horezu cu localităţile componente</w:t>
        </w:r>
        <w:r w:rsidR="00BA35B3">
          <w:rPr>
            <w:noProof/>
            <w:webHidden/>
          </w:rPr>
          <w:tab/>
        </w:r>
        <w:r w:rsidR="00BA35B3">
          <w:rPr>
            <w:noProof/>
            <w:webHidden/>
          </w:rPr>
          <w:fldChar w:fldCharType="begin"/>
        </w:r>
        <w:r w:rsidR="00BA35B3">
          <w:rPr>
            <w:noProof/>
            <w:webHidden/>
          </w:rPr>
          <w:instrText xml:space="preserve"> PAGEREF _Toc140744444 \h </w:instrText>
        </w:r>
        <w:r w:rsidR="00BA35B3">
          <w:rPr>
            <w:noProof/>
            <w:webHidden/>
          </w:rPr>
        </w:r>
        <w:r w:rsidR="00BA35B3">
          <w:rPr>
            <w:noProof/>
            <w:webHidden/>
          </w:rPr>
          <w:fldChar w:fldCharType="separate"/>
        </w:r>
        <w:r w:rsidR="00BB181C">
          <w:rPr>
            <w:noProof/>
            <w:webHidden/>
          </w:rPr>
          <w:t>74</w:t>
        </w:r>
        <w:r w:rsidR="00BA35B3">
          <w:rPr>
            <w:noProof/>
            <w:webHidden/>
          </w:rPr>
          <w:fldChar w:fldCharType="end"/>
        </w:r>
      </w:hyperlink>
    </w:p>
    <w:p w14:paraId="4B3B7393" w14:textId="0DA43B3E" w:rsidR="00BA35B3" w:rsidRDefault="00000000">
      <w:pPr>
        <w:pStyle w:val="Tabeldefiguri"/>
        <w:tabs>
          <w:tab w:val="right" w:leader="dot" w:pos="9645"/>
        </w:tabs>
        <w:rPr>
          <w:rFonts w:eastAsiaTheme="minorEastAsia"/>
          <w:noProof/>
          <w:kern w:val="2"/>
          <w14:ligatures w14:val="standardContextual"/>
        </w:rPr>
      </w:pPr>
      <w:hyperlink w:anchor="_Toc140744445" w:history="1">
        <w:r w:rsidR="00BA35B3" w:rsidRPr="00022D11">
          <w:rPr>
            <w:rStyle w:val="Hyperlink"/>
            <w:rFonts w:ascii="Arial" w:hAnsi="Arial" w:cs="Arial"/>
            <w:noProof/>
          </w:rPr>
          <w:t>Figura I.2. 3 – Populaţia oraşului Horezu şi a satelor aparţinătoare în 2021</w:t>
        </w:r>
        <w:r w:rsidR="00BA35B3">
          <w:rPr>
            <w:noProof/>
            <w:webHidden/>
          </w:rPr>
          <w:tab/>
        </w:r>
        <w:r w:rsidR="00BA35B3">
          <w:rPr>
            <w:noProof/>
            <w:webHidden/>
          </w:rPr>
          <w:fldChar w:fldCharType="begin"/>
        </w:r>
        <w:r w:rsidR="00BA35B3">
          <w:rPr>
            <w:noProof/>
            <w:webHidden/>
          </w:rPr>
          <w:instrText xml:space="preserve"> PAGEREF _Toc140744445 \h </w:instrText>
        </w:r>
        <w:r w:rsidR="00BA35B3">
          <w:rPr>
            <w:noProof/>
            <w:webHidden/>
          </w:rPr>
        </w:r>
        <w:r w:rsidR="00BA35B3">
          <w:rPr>
            <w:noProof/>
            <w:webHidden/>
          </w:rPr>
          <w:fldChar w:fldCharType="separate"/>
        </w:r>
        <w:r w:rsidR="00BB181C">
          <w:rPr>
            <w:noProof/>
            <w:webHidden/>
          </w:rPr>
          <w:t>75</w:t>
        </w:r>
        <w:r w:rsidR="00BA35B3">
          <w:rPr>
            <w:noProof/>
            <w:webHidden/>
          </w:rPr>
          <w:fldChar w:fldCharType="end"/>
        </w:r>
      </w:hyperlink>
    </w:p>
    <w:p w14:paraId="42CD9A88" w14:textId="2FC98FFA" w:rsidR="00BA35B3" w:rsidRDefault="00000000">
      <w:pPr>
        <w:pStyle w:val="Tabeldefiguri"/>
        <w:tabs>
          <w:tab w:val="right" w:leader="dot" w:pos="9645"/>
        </w:tabs>
        <w:rPr>
          <w:rFonts w:eastAsiaTheme="minorEastAsia"/>
          <w:noProof/>
          <w:kern w:val="2"/>
          <w14:ligatures w14:val="standardContextual"/>
        </w:rPr>
      </w:pPr>
      <w:hyperlink w:anchor="_Toc140744446" w:history="1">
        <w:r w:rsidR="00BA35B3" w:rsidRPr="00022D11">
          <w:rPr>
            <w:rStyle w:val="Hyperlink"/>
            <w:rFonts w:ascii="Arial" w:hAnsi="Arial" w:cs="Arial"/>
            <w:noProof/>
          </w:rPr>
          <w:t>Figura I.2. 4 – Distribuția populației oraşului Horezu pe grupe de vârstă la 1 ianuarie 2021</w:t>
        </w:r>
        <w:r w:rsidR="00BA35B3">
          <w:rPr>
            <w:noProof/>
            <w:webHidden/>
          </w:rPr>
          <w:tab/>
        </w:r>
        <w:r w:rsidR="00BA35B3">
          <w:rPr>
            <w:noProof/>
            <w:webHidden/>
          </w:rPr>
          <w:fldChar w:fldCharType="begin"/>
        </w:r>
        <w:r w:rsidR="00BA35B3">
          <w:rPr>
            <w:noProof/>
            <w:webHidden/>
          </w:rPr>
          <w:instrText xml:space="preserve"> PAGEREF _Toc140744446 \h </w:instrText>
        </w:r>
        <w:r w:rsidR="00BA35B3">
          <w:rPr>
            <w:noProof/>
            <w:webHidden/>
          </w:rPr>
        </w:r>
        <w:r w:rsidR="00BA35B3">
          <w:rPr>
            <w:noProof/>
            <w:webHidden/>
          </w:rPr>
          <w:fldChar w:fldCharType="separate"/>
        </w:r>
        <w:r w:rsidR="00BB181C">
          <w:rPr>
            <w:noProof/>
            <w:webHidden/>
          </w:rPr>
          <w:t>77</w:t>
        </w:r>
        <w:r w:rsidR="00BA35B3">
          <w:rPr>
            <w:noProof/>
            <w:webHidden/>
          </w:rPr>
          <w:fldChar w:fldCharType="end"/>
        </w:r>
      </w:hyperlink>
    </w:p>
    <w:p w14:paraId="64AE1BDC" w14:textId="75A66428" w:rsidR="00BA35B3" w:rsidRDefault="00000000">
      <w:pPr>
        <w:pStyle w:val="Tabeldefiguri"/>
        <w:tabs>
          <w:tab w:val="right" w:leader="dot" w:pos="9645"/>
        </w:tabs>
        <w:rPr>
          <w:rFonts w:eastAsiaTheme="minorEastAsia"/>
          <w:noProof/>
          <w:kern w:val="2"/>
          <w14:ligatures w14:val="standardContextual"/>
        </w:rPr>
      </w:pPr>
      <w:hyperlink w:anchor="_Toc140744447" w:history="1">
        <w:r w:rsidR="00BA35B3" w:rsidRPr="00022D11">
          <w:rPr>
            <w:rStyle w:val="Hyperlink"/>
            <w:rFonts w:ascii="Arial" w:hAnsi="Arial" w:cs="Arial"/>
            <w:noProof/>
          </w:rPr>
          <w:t>Figura I.2. 5 – Distribuția populației oraşului Horezu pe grupe de vârstă în perioada 2012-2021</w:t>
        </w:r>
        <w:r w:rsidR="00BA35B3">
          <w:rPr>
            <w:noProof/>
            <w:webHidden/>
          </w:rPr>
          <w:tab/>
        </w:r>
        <w:r w:rsidR="00BA35B3">
          <w:rPr>
            <w:noProof/>
            <w:webHidden/>
          </w:rPr>
          <w:fldChar w:fldCharType="begin"/>
        </w:r>
        <w:r w:rsidR="00BA35B3">
          <w:rPr>
            <w:noProof/>
            <w:webHidden/>
          </w:rPr>
          <w:instrText xml:space="preserve"> PAGEREF _Toc140744447 \h </w:instrText>
        </w:r>
        <w:r w:rsidR="00BA35B3">
          <w:rPr>
            <w:noProof/>
            <w:webHidden/>
          </w:rPr>
        </w:r>
        <w:r w:rsidR="00BA35B3">
          <w:rPr>
            <w:noProof/>
            <w:webHidden/>
          </w:rPr>
          <w:fldChar w:fldCharType="separate"/>
        </w:r>
        <w:r w:rsidR="00BB181C">
          <w:rPr>
            <w:noProof/>
            <w:webHidden/>
          </w:rPr>
          <w:t>77</w:t>
        </w:r>
        <w:r w:rsidR="00BA35B3">
          <w:rPr>
            <w:noProof/>
            <w:webHidden/>
          </w:rPr>
          <w:fldChar w:fldCharType="end"/>
        </w:r>
      </w:hyperlink>
    </w:p>
    <w:p w14:paraId="066FB991" w14:textId="1225771F" w:rsidR="00BA35B3" w:rsidRDefault="00000000">
      <w:pPr>
        <w:pStyle w:val="Tabeldefiguri"/>
        <w:tabs>
          <w:tab w:val="right" w:leader="dot" w:pos="9645"/>
        </w:tabs>
        <w:rPr>
          <w:rFonts w:eastAsiaTheme="minorEastAsia"/>
          <w:noProof/>
          <w:kern w:val="2"/>
          <w14:ligatures w14:val="standardContextual"/>
        </w:rPr>
      </w:pPr>
      <w:hyperlink w:anchor="_Toc140744448" w:history="1">
        <w:r w:rsidR="00BA35B3" w:rsidRPr="00022D11">
          <w:rPr>
            <w:rStyle w:val="Hyperlink"/>
            <w:rFonts w:ascii="Arial" w:hAnsi="Arial" w:cs="Arial"/>
            <w:noProof/>
          </w:rPr>
          <w:t>Figura I.2. 6 – Densitatea populației pe zone ale oraşului Horezu</w:t>
        </w:r>
        <w:r w:rsidR="00BA35B3">
          <w:rPr>
            <w:noProof/>
            <w:webHidden/>
          </w:rPr>
          <w:tab/>
        </w:r>
        <w:r w:rsidR="00BA35B3">
          <w:rPr>
            <w:noProof/>
            <w:webHidden/>
          </w:rPr>
          <w:fldChar w:fldCharType="begin"/>
        </w:r>
        <w:r w:rsidR="00BA35B3">
          <w:rPr>
            <w:noProof/>
            <w:webHidden/>
          </w:rPr>
          <w:instrText xml:space="preserve"> PAGEREF _Toc140744448 \h </w:instrText>
        </w:r>
        <w:r w:rsidR="00BA35B3">
          <w:rPr>
            <w:noProof/>
            <w:webHidden/>
          </w:rPr>
        </w:r>
        <w:r w:rsidR="00BA35B3">
          <w:rPr>
            <w:noProof/>
            <w:webHidden/>
          </w:rPr>
          <w:fldChar w:fldCharType="separate"/>
        </w:r>
        <w:r w:rsidR="00BB181C">
          <w:rPr>
            <w:noProof/>
            <w:webHidden/>
          </w:rPr>
          <w:t>80</w:t>
        </w:r>
        <w:r w:rsidR="00BA35B3">
          <w:rPr>
            <w:noProof/>
            <w:webHidden/>
          </w:rPr>
          <w:fldChar w:fldCharType="end"/>
        </w:r>
      </w:hyperlink>
    </w:p>
    <w:p w14:paraId="072E9FB5" w14:textId="365B195B" w:rsidR="00BA35B3" w:rsidRDefault="00000000">
      <w:pPr>
        <w:pStyle w:val="Tabeldefiguri"/>
        <w:tabs>
          <w:tab w:val="right" w:leader="dot" w:pos="9645"/>
        </w:tabs>
        <w:rPr>
          <w:rFonts w:eastAsiaTheme="minorEastAsia"/>
          <w:noProof/>
          <w:kern w:val="2"/>
          <w14:ligatures w14:val="standardContextual"/>
        </w:rPr>
      </w:pPr>
      <w:hyperlink w:anchor="_Toc140744449" w:history="1">
        <w:r w:rsidR="00BA35B3" w:rsidRPr="00022D11">
          <w:rPr>
            <w:rStyle w:val="Hyperlink"/>
            <w:rFonts w:ascii="Arial" w:hAnsi="Arial" w:cs="Arial"/>
            <w:noProof/>
          </w:rPr>
          <w:t>Figura I.2. 7 – Distribuția firmelor active – oraşul Horezu</w:t>
        </w:r>
        <w:r w:rsidR="00BA35B3">
          <w:rPr>
            <w:noProof/>
            <w:webHidden/>
          </w:rPr>
          <w:tab/>
        </w:r>
        <w:r w:rsidR="00BA35B3">
          <w:rPr>
            <w:noProof/>
            <w:webHidden/>
          </w:rPr>
          <w:fldChar w:fldCharType="begin"/>
        </w:r>
        <w:r w:rsidR="00BA35B3">
          <w:rPr>
            <w:noProof/>
            <w:webHidden/>
          </w:rPr>
          <w:instrText xml:space="preserve"> PAGEREF _Toc140744449 \h </w:instrText>
        </w:r>
        <w:r w:rsidR="00BA35B3">
          <w:rPr>
            <w:noProof/>
            <w:webHidden/>
          </w:rPr>
        </w:r>
        <w:r w:rsidR="00BA35B3">
          <w:rPr>
            <w:noProof/>
            <w:webHidden/>
          </w:rPr>
          <w:fldChar w:fldCharType="separate"/>
        </w:r>
        <w:r w:rsidR="00BB181C">
          <w:rPr>
            <w:noProof/>
            <w:webHidden/>
          </w:rPr>
          <w:t>83</w:t>
        </w:r>
        <w:r w:rsidR="00BA35B3">
          <w:rPr>
            <w:noProof/>
            <w:webHidden/>
          </w:rPr>
          <w:fldChar w:fldCharType="end"/>
        </w:r>
      </w:hyperlink>
    </w:p>
    <w:p w14:paraId="22B1A6CA" w14:textId="78855279" w:rsidR="00BA35B3" w:rsidRDefault="00000000">
      <w:pPr>
        <w:pStyle w:val="Tabeldefiguri"/>
        <w:tabs>
          <w:tab w:val="right" w:leader="dot" w:pos="9645"/>
        </w:tabs>
        <w:rPr>
          <w:rFonts w:eastAsiaTheme="minorEastAsia"/>
          <w:noProof/>
          <w:kern w:val="2"/>
          <w14:ligatures w14:val="standardContextual"/>
        </w:rPr>
      </w:pPr>
      <w:hyperlink w:anchor="_Toc140744450" w:history="1">
        <w:r w:rsidR="00BA35B3" w:rsidRPr="00022D11">
          <w:rPr>
            <w:rStyle w:val="Hyperlink"/>
            <w:rFonts w:ascii="Arial" w:hAnsi="Arial" w:cs="Arial"/>
            <w:noProof/>
          </w:rPr>
          <w:t>Figura I.2. 8 – Rețeaua rutieră semnificativă – Orașul Horezu</w:t>
        </w:r>
        <w:r w:rsidR="00BA35B3">
          <w:rPr>
            <w:noProof/>
            <w:webHidden/>
          </w:rPr>
          <w:tab/>
        </w:r>
        <w:r w:rsidR="00BA35B3">
          <w:rPr>
            <w:noProof/>
            <w:webHidden/>
          </w:rPr>
          <w:fldChar w:fldCharType="begin"/>
        </w:r>
        <w:r w:rsidR="00BA35B3">
          <w:rPr>
            <w:noProof/>
            <w:webHidden/>
          </w:rPr>
          <w:instrText xml:space="preserve"> PAGEREF _Toc140744450 \h </w:instrText>
        </w:r>
        <w:r w:rsidR="00BA35B3">
          <w:rPr>
            <w:noProof/>
            <w:webHidden/>
          </w:rPr>
        </w:r>
        <w:r w:rsidR="00BA35B3">
          <w:rPr>
            <w:noProof/>
            <w:webHidden/>
          </w:rPr>
          <w:fldChar w:fldCharType="separate"/>
        </w:r>
        <w:r w:rsidR="00BB181C">
          <w:rPr>
            <w:noProof/>
            <w:webHidden/>
          </w:rPr>
          <w:t>87</w:t>
        </w:r>
        <w:r w:rsidR="00BA35B3">
          <w:rPr>
            <w:noProof/>
            <w:webHidden/>
          </w:rPr>
          <w:fldChar w:fldCharType="end"/>
        </w:r>
      </w:hyperlink>
    </w:p>
    <w:p w14:paraId="14586A87" w14:textId="4FEADB1F" w:rsidR="00BA35B3" w:rsidRDefault="00000000">
      <w:pPr>
        <w:pStyle w:val="Tabeldefiguri"/>
        <w:tabs>
          <w:tab w:val="right" w:leader="dot" w:pos="9645"/>
        </w:tabs>
        <w:rPr>
          <w:rFonts w:eastAsiaTheme="minorEastAsia"/>
          <w:noProof/>
          <w:kern w:val="2"/>
          <w14:ligatures w14:val="standardContextual"/>
        </w:rPr>
      </w:pPr>
      <w:hyperlink w:anchor="_Toc140744451" w:history="1">
        <w:r w:rsidR="00BA35B3" w:rsidRPr="00022D11">
          <w:rPr>
            <w:rStyle w:val="Hyperlink"/>
            <w:rFonts w:ascii="Arial" w:hAnsi="Arial" w:cs="Arial"/>
            <w:noProof/>
          </w:rPr>
          <w:t>Figura I.2. 9 - Schiţa Oraşului Horezu – cu evidenţierea zonelor componente</w:t>
        </w:r>
        <w:r w:rsidR="00BA35B3">
          <w:rPr>
            <w:noProof/>
            <w:webHidden/>
          </w:rPr>
          <w:tab/>
        </w:r>
        <w:r w:rsidR="00BA35B3">
          <w:rPr>
            <w:noProof/>
            <w:webHidden/>
          </w:rPr>
          <w:fldChar w:fldCharType="begin"/>
        </w:r>
        <w:r w:rsidR="00BA35B3">
          <w:rPr>
            <w:noProof/>
            <w:webHidden/>
          </w:rPr>
          <w:instrText xml:space="preserve"> PAGEREF _Toc140744451 \h </w:instrText>
        </w:r>
        <w:r w:rsidR="00BA35B3">
          <w:rPr>
            <w:noProof/>
            <w:webHidden/>
          </w:rPr>
        </w:r>
        <w:r w:rsidR="00BA35B3">
          <w:rPr>
            <w:noProof/>
            <w:webHidden/>
          </w:rPr>
          <w:fldChar w:fldCharType="separate"/>
        </w:r>
        <w:r w:rsidR="00BB181C">
          <w:rPr>
            <w:noProof/>
            <w:webHidden/>
          </w:rPr>
          <w:t>90</w:t>
        </w:r>
        <w:r w:rsidR="00BA35B3">
          <w:rPr>
            <w:noProof/>
            <w:webHidden/>
          </w:rPr>
          <w:fldChar w:fldCharType="end"/>
        </w:r>
      </w:hyperlink>
    </w:p>
    <w:p w14:paraId="1EFB7A09" w14:textId="13465701" w:rsidR="00BA35B3" w:rsidRDefault="00000000">
      <w:pPr>
        <w:pStyle w:val="Tabeldefiguri"/>
        <w:tabs>
          <w:tab w:val="right" w:leader="dot" w:pos="9645"/>
        </w:tabs>
        <w:rPr>
          <w:rFonts w:eastAsiaTheme="minorEastAsia"/>
          <w:noProof/>
          <w:kern w:val="2"/>
          <w14:ligatures w14:val="standardContextual"/>
        </w:rPr>
      </w:pPr>
      <w:hyperlink w:anchor="_Toc140744452" w:history="1">
        <w:r w:rsidR="00BA35B3" w:rsidRPr="00022D11">
          <w:rPr>
            <w:rStyle w:val="Hyperlink"/>
            <w:rFonts w:ascii="Arial" w:hAnsi="Arial" w:cs="Arial"/>
            <w:noProof/>
          </w:rPr>
          <w:t>Figura I.2. 10 - Horezu – Penetrabilitatea relativă a zonelor (Număr intrări / ieşiri la 100 ha)</w:t>
        </w:r>
        <w:r w:rsidR="00BA35B3">
          <w:rPr>
            <w:noProof/>
            <w:webHidden/>
          </w:rPr>
          <w:tab/>
        </w:r>
        <w:r w:rsidR="00BA35B3">
          <w:rPr>
            <w:noProof/>
            <w:webHidden/>
          </w:rPr>
          <w:fldChar w:fldCharType="begin"/>
        </w:r>
        <w:r w:rsidR="00BA35B3">
          <w:rPr>
            <w:noProof/>
            <w:webHidden/>
          </w:rPr>
          <w:instrText xml:space="preserve"> PAGEREF _Toc140744452 \h </w:instrText>
        </w:r>
        <w:r w:rsidR="00BA35B3">
          <w:rPr>
            <w:noProof/>
            <w:webHidden/>
          </w:rPr>
        </w:r>
        <w:r w:rsidR="00BA35B3">
          <w:rPr>
            <w:noProof/>
            <w:webHidden/>
          </w:rPr>
          <w:fldChar w:fldCharType="separate"/>
        </w:r>
        <w:r w:rsidR="00BB181C">
          <w:rPr>
            <w:noProof/>
            <w:webHidden/>
          </w:rPr>
          <w:t>93</w:t>
        </w:r>
        <w:r w:rsidR="00BA35B3">
          <w:rPr>
            <w:noProof/>
            <w:webHidden/>
          </w:rPr>
          <w:fldChar w:fldCharType="end"/>
        </w:r>
      </w:hyperlink>
    </w:p>
    <w:p w14:paraId="30857F91" w14:textId="541544A7" w:rsidR="00BA35B3" w:rsidRDefault="00000000">
      <w:pPr>
        <w:pStyle w:val="Tabeldefiguri"/>
        <w:tabs>
          <w:tab w:val="right" w:leader="dot" w:pos="9645"/>
        </w:tabs>
        <w:rPr>
          <w:rFonts w:eastAsiaTheme="minorEastAsia"/>
          <w:noProof/>
          <w:kern w:val="2"/>
          <w14:ligatures w14:val="standardContextual"/>
        </w:rPr>
      </w:pPr>
      <w:hyperlink w:anchor="_Toc140744453" w:history="1">
        <w:r w:rsidR="00BA35B3" w:rsidRPr="00022D11">
          <w:rPr>
            <w:rStyle w:val="Hyperlink"/>
            <w:rFonts w:ascii="Arial" w:hAnsi="Arial" w:cs="Arial"/>
            <w:noProof/>
          </w:rPr>
          <w:t>Figura I.2. 11 - Penetrabilitatea relativă a zonelor detaliu orașul Horezu</w:t>
        </w:r>
        <w:r w:rsidR="00BA35B3">
          <w:rPr>
            <w:noProof/>
            <w:webHidden/>
          </w:rPr>
          <w:tab/>
        </w:r>
        <w:r w:rsidR="00BA35B3">
          <w:rPr>
            <w:noProof/>
            <w:webHidden/>
          </w:rPr>
          <w:fldChar w:fldCharType="begin"/>
        </w:r>
        <w:r w:rsidR="00BA35B3">
          <w:rPr>
            <w:noProof/>
            <w:webHidden/>
          </w:rPr>
          <w:instrText xml:space="preserve"> PAGEREF _Toc140744453 \h </w:instrText>
        </w:r>
        <w:r w:rsidR="00BA35B3">
          <w:rPr>
            <w:noProof/>
            <w:webHidden/>
          </w:rPr>
        </w:r>
        <w:r w:rsidR="00BA35B3">
          <w:rPr>
            <w:noProof/>
            <w:webHidden/>
          </w:rPr>
          <w:fldChar w:fldCharType="separate"/>
        </w:r>
        <w:r w:rsidR="00BB181C">
          <w:rPr>
            <w:noProof/>
            <w:webHidden/>
          </w:rPr>
          <w:t>94</w:t>
        </w:r>
        <w:r w:rsidR="00BA35B3">
          <w:rPr>
            <w:noProof/>
            <w:webHidden/>
          </w:rPr>
          <w:fldChar w:fldCharType="end"/>
        </w:r>
      </w:hyperlink>
    </w:p>
    <w:p w14:paraId="0C7B9E6B" w14:textId="0A0C1C48" w:rsidR="00BA35B3" w:rsidRDefault="00000000">
      <w:pPr>
        <w:pStyle w:val="Tabeldefiguri"/>
        <w:tabs>
          <w:tab w:val="right" w:leader="dot" w:pos="9645"/>
        </w:tabs>
        <w:rPr>
          <w:rFonts w:eastAsiaTheme="minorEastAsia"/>
          <w:noProof/>
          <w:kern w:val="2"/>
          <w14:ligatures w14:val="standardContextual"/>
        </w:rPr>
      </w:pPr>
      <w:hyperlink w:anchor="_Toc140744454" w:history="1">
        <w:r w:rsidR="00BA35B3" w:rsidRPr="00022D11">
          <w:rPr>
            <w:rStyle w:val="Hyperlink"/>
            <w:rFonts w:ascii="Arial" w:hAnsi="Arial" w:cs="Arial"/>
            <w:noProof/>
          </w:rPr>
          <w:t>Figura I.2. 12 - Horezu – Permisivitatea reţelei majore (km reţea majoră la 1000 locuitori)</w:t>
        </w:r>
        <w:r w:rsidR="00BA35B3">
          <w:rPr>
            <w:noProof/>
            <w:webHidden/>
          </w:rPr>
          <w:tab/>
        </w:r>
        <w:r w:rsidR="00BA35B3">
          <w:rPr>
            <w:noProof/>
            <w:webHidden/>
          </w:rPr>
          <w:fldChar w:fldCharType="begin"/>
        </w:r>
        <w:r w:rsidR="00BA35B3">
          <w:rPr>
            <w:noProof/>
            <w:webHidden/>
          </w:rPr>
          <w:instrText xml:space="preserve"> PAGEREF _Toc140744454 \h </w:instrText>
        </w:r>
        <w:r w:rsidR="00BA35B3">
          <w:rPr>
            <w:noProof/>
            <w:webHidden/>
          </w:rPr>
        </w:r>
        <w:r w:rsidR="00BA35B3">
          <w:rPr>
            <w:noProof/>
            <w:webHidden/>
          </w:rPr>
          <w:fldChar w:fldCharType="separate"/>
        </w:r>
        <w:r w:rsidR="00BB181C">
          <w:rPr>
            <w:noProof/>
            <w:webHidden/>
          </w:rPr>
          <w:t>95</w:t>
        </w:r>
        <w:r w:rsidR="00BA35B3">
          <w:rPr>
            <w:noProof/>
            <w:webHidden/>
          </w:rPr>
          <w:fldChar w:fldCharType="end"/>
        </w:r>
      </w:hyperlink>
    </w:p>
    <w:p w14:paraId="7D791FF2" w14:textId="29F3204C" w:rsidR="00BA35B3" w:rsidRDefault="00000000">
      <w:pPr>
        <w:pStyle w:val="Tabeldefiguri"/>
        <w:tabs>
          <w:tab w:val="right" w:leader="dot" w:pos="9645"/>
        </w:tabs>
        <w:rPr>
          <w:rFonts w:eastAsiaTheme="minorEastAsia"/>
          <w:noProof/>
          <w:kern w:val="2"/>
          <w14:ligatures w14:val="standardContextual"/>
        </w:rPr>
      </w:pPr>
      <w:hyperlink w:anchor="_Toc140744455" w:history="1">
        <w:r w:rsidR="00BA35B3" w:rsidRPr="00022D11">
          <w:rPr>
            <w:rStyle w:val="Hyperlink"/>
            <w:rFonts w:ascii="Arial" w:hAnsi="Arial" w:cs="Arial"/>
            <w:noProof/>
          </w:rPr>
          <w:t>Figura I.2. 13 - Permisivitatea reţelei majore – detaliu oraşul Horezu</w:t>
        </w:r>
        <w:r w:rsidR="00BA35B3">
          <w:rPr>
            <w:noProof/>
            <w:webHidden/>
          </w:rPr>
          <w:tab/>
        </w:r>
        <w:r w:rsidR="00BA35B3">
          <w:rPr>
            <w:noProof/>
            <w:webHidden/>
          </w:rPr>
          <w:fldChar w:fldCharType="begin"/>
        </w:r>
        <w:r w:rsidR="00BA35B3">
          <w:rPr>
            <w:noProof/>
            <w:webHidden/>
          </w:rPr>
          <w:instrText xml:space="preserve"> PAGEREF _Toc140744455 \h </w:instrText>
        </w:r>
        <w:r w:rsidR="00BA35B3">
          <w:rPr>
            <w:noProof/>
            <w:webHidden/>
          </w:rPr>
        </w:r>
        <w:r w:rsidR="00BA35B3">
          <w:rPr>
            <w:noProof/>
            <w:webHidden/>
          </w:rPr>
          <w:fldChar w:fldCharType="separate"/>
        </w:r>
        <w:r w:rsidR="00BB181C">
          <w:rPr>
            <w:noProof/>
            <w:webHidden/>
          </w:rPr>
          <w:t>96</w:t>
        </w:r>
        <w:r w:rsidR="00BA35B3">
          <w:rPr>
            <w:noProof/>
            <w:webHidden/>
          </w:rPr>
          <w:fldChar w:fldCharType="end"/>
        </w:r>
      </w:hyperlink>
    </w:p>
    <w:p w14:paraId="2ACB8625" w14:textId="58D4E997" w:rsidR="00BA35B3" w:rsidRDefault="00000000">
      <w:pPr>
        <w:pStyle w:val="Tabeldefiguri"/>
        <w:tabs>
          <w:tab w:val="right" w:leader="dot" w:pos="9645"/>
        </w:tabs>
        <w:rPr>
          <w:rFonts w:eastAsiaTheme="minorEastAsia"/>
          <w:noProof/>
          <w:kern w:val="2"/>
          <w14:ligatures w14:val="standardContextual"/>
        </w:rPr>
      </w:pPr>
      <w:hyperlink w:anchor="_Toc140744456" w:history="1">
        <w:r w:rsidR="00BA35B3" w:rsidRPr="00022D11">
          <w:rPr>
            <w:rStyle w:val="Hyperlink"/>
            <w:rFonts w:ascii="Arial" w:hAnsi="Arial" w:cs="Arial"/>
            <w:noProof/>
          </w:rPr>
          <w:t>Figura I.2. 14 - Exemple de suprafețe carosabile în stare necorespunzătoare</w:t>
        </w:r>
        <w:r w:rsidR="00BA35B3">
          <w:rPr>
            <w:noProof/>
            <w:webHidden/>
          </w:rPr>
          <w:tab/>
        </w:r>
        <w:r w:rsidR="00BA35B3">
          <w:rPr>
            <w:noProof/>
            <w:webHidden/>
          </w:rPr>
          <w:fldChar w:fldCharType="begin"/>
        </w:r>
        <w:r w:rsidR="00BA35B3">
          <w:rPr>
            <w:noProof/>
            <w:webHidden/>
          </w:rPr>
          <w:instrText xml:space="preserve"> PAGEREF _Toc140744456 \h </w:instrText>
        </w:r>
        <w:r w:rsidR="00BA35B3">
          <w:rPr>
            <w:noProof/>
            <w:webHidden/>
          </w:rPr>
        </w:r>
        <w:r w:rsidR="00BA35B3">
          <w:rPr>
            <w:noProof/>
            <w:webHidden/>
          </w:rPr>
          <w:fldChar w:fldCharType="separate"/>
        </w:r>
        <w:r w:rsidR="00BB181C">
          <w:rPr>
            <w:noProof/>
            <w:webHidden/>
          </w:rPr>
          <w:t>98</w:t>
        </w:r>
        <w:r w:rsidR="00BA35B3">
          <w:rPr>
            <w:noProof/>
            <w:webHidden/>
          </w:rPr>
          <w:fldChar w:fldCharType="end"/>
        </w:r>
      </w:hyperlink>
    </w:p>
    <w:p w14:paraId="5CE5FD66" w14:textId="00B5C895" w:rsidR="00BA35B3" w:rsidRDefault="00000000">
      <w:pPr>
        <w:pStyle w:val="Tabeldefiguri"/>
        <w:tabs>
          <w:tab w:val="right" w:leader="dot" w:pos="9645"/>
        </w:tabs>
        <w:rPr>
          <w:rFonts w:eastAsiaTheme="minorEastAsia"/>
          <w:noProof/>
          <w:kern w:val="2"/>
          <w14:ligatures w14:val="standardContextual"/>
        </w:rPr>
      </w:pPr>
      <w:hyperlink w:anchor="_Toc140744457" w:history="1">
        <w:r w:rsidR="00BA35B3" w:rsidRPr="00022D11">
          <w:rPr>
            <w:rStyle w:val="Hyperlink"/>
            <w:rFonts w:ascii="Arial" w:hAnsi="Arial" w:cs="Arial"/>
            <w:noProof/>
          </w:rPr>
          <w:t>Figura I.2. 15 - Exemple de suprafețe carosabile improrii circulației rutiere</w:t>
        </w:r>
        <w:r w:rsidR="00BA35B3">
          <w:rPr>
            <w:noProof/>
            <w:webHidden/>
          </w:rPr>
          <w:tab/>
        </w:r>
        <w:r w:rsidR="00BA35B3">
          <w:rPr>
            <w:noProof/>
            <w:webHidden/>
          </w:rPr>
          <w:fldChar w:fldCharType="begin"/>
        </w:r>
        <w:r w:rsidR="00BA35B3">
          <w:rPr>
            <w:noProof/>
            <w:webHidden/>
          </w:rPr>
          <w:instrText xml:space="preserve"> PAGEREF _Toc140744457 \h </w:instrText>
        </w:r>
        <w:r w:rsidR="00BA35B3">
          <w:rPr>
            <w:noProof/>
            <w:webHidden/>
          </w:rPr>
        </w:r>
        <w:r w:rsidR="00BA35B3">
          <w:rPr>
            <w:noProof/>
            <w:webHidden/>
          </w:rPr>
          <w:fldChar w:fldCharType="separate"/>
        </w:r>
        <w:r w:rsidR="00BB181C">
          <w:rPr>
            <w:noProof/>
            <w:webHidden/>
          </w:rPr>
          <w:t>98</w:t>
        </w:r>
        <w:r w:rsidR="00BA35B3">
          <w:rPr>
            <w:noProof/>
            <w:webHidden/>
          </w:rPr>
          <w:fldChar w:fldCharType="end"/>
        </w:r>
      </w:hyperlink>
    </w:p>
    <w:p w14:paraId="7E372896" w14:textId="25551E77" w:rsidR="00BA35B3" w:rsidRDefault="00000000">
      <w:pPr>
        <w:pStyle w:val="Tabeldefiguri"/>
        <w:tabs>
          <w:tab w:val="right" w:leader="dot" w:pos="9645"/>
        </w:tabs>
        <w:rPr>
          <w:rFonts w:eastAsiaTheme="minorEastAsia"/>
          <w:noProof/>
          <w:kern w:val="2"/>
          <w14:ligatures w14:val="standardContextual"/>
        </w:rPr>
      </w:pPr>
      <w:hyperlink w:anchor="_Toc140744458" w:history="1">
        <w:r w:rsidR="00BA35B3" w:rsidRPr="00022D11">
          <w:rPr>
            <w:rStyle w:val="Hyperlink"/>
            <w:rFonts w:ascii="Arial" w:hAnsi="Arial" w:cs="Arial"/>
            <w:noProof/>
          </w:rPr>
          <w:t>Figura I.2. 16 - Sensuri unice existente</w:t>
        </w:r>
        <w:r w:rsidR="00BA35B3">
          <w:rPr>
            <w:noProof/>
            <w:webHidden/>
          </w:rPr>
          <w:tab/>
        </w:r>
        <w:r w:rsidR="00BA35B3">
          <w:rPr>
            <w:noProof/>
            <w:webHidden/>
          </w:rPr>
          <w:fldChar w:fldCharType="begin"/>
        </w:r>
        <w:r w:rsidR="00BA35B3">
          <w:rPr>
            <w:noProof/>
            <w:webHidden/>
          </w:rPr>
          <w:instrText xml:space="preserve"> PAGEREF _Toc140744458 \h </w:instrText>
        </w:r>
        <w:r w:rsidR="00BA35B3">
          <w:rPr>
            <w:noProof/>
            <w:webHidden/>
          </w:rPr>
        </w:r>
        <w:r w:rsidR="00BA35B3">
          <w:rPr>
            <w:noProof/>
            <w:webHidden/>
          </w:rPr>
          <w:fldChar w:fldCharType="separate"/>
        </w:r>
        <w:r w:rsidR="00BB181C">
          <w:rPr>
            <w:noProof/>
            <w:webHidden/>
          </w:rPr>
          <w:t>99</w:t>
        </w:r>
        <w:r w:rsidR="00BA35B3">
          <w:rPr>
            <w:noProof/>
            <w:webHidden/>
          </w:rPr>
          <w:fldChar w:fldCharType="end"/>
        </w:r>
      </w:hyperlink>
    </w:p>
    <w:p w14:paraId="251D1055" w14:textId="0B57CEA8" w:rsidR="00BA35B3" w:rsidRDefault="00000000">
      <w:pPr>
        <w:pStyle w:val="Tabeldefiguri"/>
        <w:tabs>
          <w:tab w:val="right" w:leader="dot" w:pos="9645"/>
        </w:tabs>
        <w:rPr>
          <w:rFonts w:eastAsiaTheme="minorEastAsia"/>
          <w:noProof/>
          <w:kern w:val="2"/>
          <w14:ligatures w14:val="standardContextual"/>
        </w:rPr>
      </w:pPr>
      <w:hyperlink w:anchor="_Toc140744459" w:history="1">
        <w:r w:rsidR="00BA35B3" w:rsidRPr="00022D11">
          <w:rPr>
            <w:rStyle w:val="Hyperlink"/>
            <w:rFonts w:ascii="Arial" w:hAnsi="Arial" w:cs="Arial"/>
            <w:noProof/>
          </w:rPr>
          <w:t>Figura I.2. 17 - Exemple de parcare “amenajată” în zona centrală</w:t>
        </w:r>
        <w:r w:rsidR="00BA35B3">
          <w:rPr>
            <w:noProof/>
            <w:webHidden/>
          </w:rPr>
          <w:tab/>
        </w:r>
        <w:r w:rsidR="00BA35B3">
          <w:rPr>
            <w:noProof/>
            <w:webHidden/>
          </w:rPr>
          <w:fldChar w:fldCharType="begin"/>
        </w:r>
        <w:r w:rsidR="00BA35B3">
          <w:rPr>
            <w:noProof/>
            <w:webHidden/>
          </w:rPr>
          <w:instrText xml:space="preserve"> PAGEREF _Toc140744459 \h </w:instrText>
        </w:r>
        <w:r w:rsidR="00BA35B3">
          <w:rPr>
            <w:noProof/>
            <w:webHidden/>
          </w:rPr>
        </w:r>
        <w:r w:rsidR="00BA35B3">
          <w:rPr>
            <w:noProof/>
            <w:webHidden/>
          </w:rPr>
          <w:fldChar w:fldCharType="separate"/>
        </w:r>
        <w:r w:rsidR="00BB181C">
          <w:rPr>
            <w:noProof/>
            <w:webHidden/>
          </w:rPr>
          <w:t>100</w:t>
        </w:r>
        <w:r w:rsidR="00BA35B3">
          <w:rPr>
            <w:noProof/>
            <w:webHidden/>
          </w:rPr>
          <w:fldChar w:fldCharType="end"/>
        </w:r>
      </w:hyperlink>
    </w:p>
    <w:p w14:paraId="670860DF" w14:textId="032F5627" w:rsidR="00BA35B3" w:rsidRDefault="00000000">
      <w:pPr>
        <w:pStyle w:val="Tabeldefiguri"/>
        <w:tabs>
          <w:tab w:val="right" w:leader="dot" w:pos="9645"/>
        </w:tabs>
        <w:rPr>
          <w:rFonts w:eastAsiaTheme="minorEastAsia"/>
          <w:noProof/>
          <w:kern w:val="2"/>
          <w14:ligatures w14:val="standardContextual"/>
        </w:rPr>
      </w:pPr>
      <w:hyperlink w:anchor="_Toc140744460" w:history="1">
        <w:r w:rsidR="00BA35B3" w:rsidRPr="00022D11">
          <w:rPr>
            <w:rStyle w:val="Hyperlink"/>
            <w:rFonts w:ascii="Arial" w:hAnsi="Arial" w:cs="Arial"/>
            <w:noProof/>
          </w:rPr>
          <w:t>Figura I.2. 18 - Exemplu de parcare neregulamentară pe carosabil</w:t>
        </w:r>
        <w:r w:rsidR="00BA35B3">
          <w:rPr>
            <w:noProof/>
            <w:webHidden/>
          </w:rPr>
          <w:tab/>
        </w:r>
        <w:r w:rsidR="00BA35B3">
          <w:rPr>
            <w:noProof/>
            <w:webHidden/>
          </w:rPr>
          <w:fldChar w:fldCharType="begin"/>
        </w:r>
        <w:r w:rsidR="00BA35B3">
          <w:rPr>
            <w:noProof/>
            <w:webHidden/>
          </w:rPr>
          <w:instrText xml:space="preserve"> PAGEREF _Toc140744460 \h </w:instrText>
        </w:r>
        <w:r w:rsidR="00BA35B3">
          <w:rPr>
            <w:noProof/>
            <w:webHidden/>
          </w:rPr>
        </w:r>
        <w:r w:rsidR="00BA35B3">
          <w:rPr>
            <w:noProof/>
            <w:webHidden/>
          </w:rPr>
          <w:fldChar w:fldCharType="separate"/>
        </w:r>
        <w:r w:rsidR="00BB181C">
          <w:rPr>
            <w:noProof/>
            <w:webHidden/>
          </w:rPr>
          <w:t>101</w:t>
        </w:r>
        <w:r w:rsidR="00BA35B3">
          <w:rPr>
            <w:noProof/>
            <w:webHidden/>
          </w:rPr>
          <w:fldChar w:fldCharType="end"/>
        </w:r>
      </w:hyperlink>
    </w:p>
    <w:p w14:paraId="47793C9A" w14:textId="50181A80" w:rsidR="00BA35B3" w:rsidRDefault="00000000">
      <w:pPr>
        <w:pStyle w:val="Tabeldefiguri"/>
        <w:tabs>
          <w:tab w:val="right" w:leader="dot" w:pos="9645"/>
        </w:tabs>
        <w:rPr>
          <w:rFonts w:eastAsiaTheme="minorEastAsia"/>
          <w:noProof/>
          <w:kern w:val="2"/>
          <w14:ligatures w14:val="standardContextual"/>
        </w:rPr>
      </w:pPr>
      <w:hyperlink w:anchor="_Toc140744461" w:history="1">
        <w:r w:rsidR="00BA35B3" w:rsidRPr="00022D11">
          <w:rPr>
            <w:rStyle w:val="Hyperlink"/>
            <w:rFonts w:ascii="Arial" w:hAnsi="Arial" w:cs="Arial"/>
            <w:noProof/>
          </w:rPr>
          <w:t>Figura I.2. 19 - Exemplu de parcare neregulamentară care obstrucționează circulația pietonilor în zona centrală</w:t>
        </w:r>
        <w:r w:rsidR="00BA35B3">
          <w:rPr>
            <w:noProof/>
            <w:webHidden/>
          </w:rPr>
          <w:tab/>
        </w:r>
        <w:r w:rsidR="00BA35B3">
          <w:rPr>
            <w:noProof/>
            <w:webHidden/>
          </w:rPr>
          <w:fldChar w:fldCharType="begin"/>
        </w:r>
        <w:r w:rsidR="00BA35B3">
          <w:rPr>
            <w:noProof/>
            <w:webHidden/>
          </w:rPr>
          <w:instrText xml:space="preserve"> PAGEREF _Toc140744461 \h </w:instrText>
        </w:r>
        <w:r w:rsidR="00BA35B3">
          <w:rPr>
            <w:noProof/>
            <w:webHidden/>
          </w:rPr>
        </w:r>
        <w:r w:rsidR="00BA35B3">
          <w:rPr>
            <w:noProof/>
            <w:webHidden/>
          </w:rPr>
          <w:fldChar w:fldCharType="separate"/>
        </w:r>
        <w:r w:rsidR="00BB181C">
          <w:rPr>
            <w:noProof/>
            <w:webHidden/>
          </w:rPr>
          <w:t>101</w:t>
        </w:r>
        <w:r w:rsidR="00BA35B3">
          <w:rPr>
            <w:noProof/>
            <w:webHidden/>
          </w:rPr>
          <w:fldChar w:fldCharType="end"/>
        </w:r>
      </w:hyperlink>
    </w:p>
    <w:p w14:paraId="1116C7E0" w14:textId="4C4D1ECB" w:rsidR="00BA35B3" w:rsidRDefault="00000000">
      <w:pPr>
        <w:pStyle w:val="Tabeldefiguri"/>
        <w:tabs>
          <w:tab w:val="right" w:leader="dot" w:pos="9645"/>
        </w:tabs>
        <w:rPr>
          <w:rFonts w:eastAsiaTheme="minorEastAsia"/>
          <w:noProof/>
          <w:kern w:val="2"/>
          <w14:ligatures w14:val="standardContextual"/>
        </w:rPr>
      </w:pPr>
      <w:hyperlink w:anchor="_Toc140744462" w:history="1">
        <w:r w:rsidR="00BA35B3" w:rsidRPr="00022D11">
          <w:rPr>
            <w:rStyle w:val="Hyperlink"/>
            <w:rFonts w:ascii="Arial" w:hAnsi="Arial" w:cs="Arial"/>
            <w:noProof/>
          </w:rPr>
          <w:t>Figura I.2. 20 - Exemple de parcare neregulamentară care obstrucționează circulația pietonilor</w:t>
        </w:r>
        <w:r w:rsidR="00BA35B3">
          <w:rPr>
            <w:noProof/>
            <w:webHidden/>
          </w:rPr>
          <w:tab/>
        </w:r>
        <w:r w:rsidR="00BA35B3">
          <w:rPr>
            <w:noProof/>
            <w:webHidden/>
          </w:rPr>
          <w:fldChar w:fldCharType="begin"/>
        </w:r>
        <w:r w:rsidR="00BA35B3">
          <w:rPr>
            <w:noProof/>
            <w:webHidden/>
          </w:rPr>
          <w:instrText xml:space="preserve"> PAGEREF _Toc140744462 \h </w:instrText>
        </w:r>
        <w:r w:rsidR="00BA35B3">
          <w:rPr>
            <w:noProof/>
            <w:webHidden/>
          </w:rPr>
        </w:r>
        <w:r w:rsidR="00BA35B3">
          <w:rPr>
            <w:noProof/>
            <w:webHidden/>
          </w:rPr>
          <w:fldChar w:fldCharType="separate"/>
        </w:r>
        <w:r w:rsidR="00BB181C">
          <w:rPr>
            <w:noProof/>
            <w:webHidden/>
          </w:rPr>
          <w:t>102</w:t>
        </w:r>
        <w:r w:rsidR="00BA35B3">
          <w:rPr>
            <w:noProof/>
            <w:webHidden/>
          </w:rPr>
          <w:fldChar w:fldCharType="end"/>
        </w:r>
      </w:hyperlink>
    </w:p>
    <w:p w14:paraId="31FE8D61" w14:textId="1F8CAE03" w:rsidR="00BA35B3" w:rsidRDefault="00000000">
      <w:pPr>
        <w:pStyle w:val="Tabeldefiguri"/>
        <w:tabs>
          <w:tab w:val="right" w:leader="dot" w:pos="9645"/>
        </w:tabs>
        <w:rPr>
          <w:rFonts w:eastAsiaTheme="minorEastAsia"/>
          <w:noProof/>
          <w:kern w:val="2"/>
          <w14:ligatures w14:val="standardContextual"/>
        </w:rPr>
      </w:pPr>
      <w:hyperlink w:anchor="_Toc140744463" w:history="1">
        <w:r w:rsidR="00BA35B3" w:rsidRPr="00022D11">
          <w:rPr>
            <w:rStyle w:val="Hyperlink"/>
            <w:rFonts w:ascii="Arial" w:hAnsi="Arial" w:cs="Arial"/>
            <w:noProof/>
          </w:rPr>
          <w:t>Figura I.2. 21 - Amplasarea punctelor de recenzare a traficului</w:t>
        </w:r>
        <w:r w:rsidR="00BA35B3">
          <w:rPr>
            <w:noProof/>
            <w:webHidden/>
          </w:rPr>
          <w:tab/>
        </w:r>
        <w:r w:rsidR="00BA35B3">
          <w:rPr>
            <w:noProof/>
            <w:webHidden/>
          </w:rPr>
          <w:fldChar w:fldCharType="begin"/>
        </w:r>
        <w:r w:rsidR="00BA35B3">
          <w:rPr>
            <w:noProof/>
            <w:webHidden/>
          </w:rPr>
          <w:instrText xml:space="preserve"> PAGEREF _Toc140744463 \h </w:instrText>
        </w:r>
        <w:r w:rsidR="00BA35B3">
          <w:rPr>
            <w:noProof/>
            <w:webHidden/>
          </w:rPr>
        </w:r>
        <w:r w:rsidR="00BA35B3">
          <w:rPr>
            <w:noProof/>
            <w:webHidden/>
          </w:rPr>
          <w:fldChar w:fldCharType="separate"/>
        </w:r>
        <w:r w:rsidR="00BB181C">
          <w:rPr>
            <w:noProof/>
            <w:webHidden/>
          </w:rPr>
          <w:t>103</w:t>
        </w:r>
        <w:r w:rsidR="00BA35B3">
          <w:rPr>
            <w:noProof/>
            <w:webHidden/>
          </w:rPr>
          <w:fldChar w:fldCharType="end"/>
        </w:r>
      </w:hyperlink>
    </w:p>
    <w:p w14:paraId="0D829423" w14:textId="587D6111" w:rsidR="00BA35B3" w:rsidRDefault="00000000">
      <w:pPr>
        <w:pStyle w:val="Tabeldefiguri"/>
        <w:tabs>
          <w:tab w:val="right" w:leader="dot" w:pos="9645"/>
        </w:tabs>
        <w:rPr>
          <w:rFonts w:eastAsiaTheme="minorEastAsia"/>
          <w:noProof/>
          <w:kern w:val="2"/>
          <w14:ligatures w14:val="standardContextual"/>
        </w:rPr>
      </w:pPr>
      <w:hyperlink w:anchor="_Toc140744464" w:history="1">
        <w:r w:rsidR="00BA35B3" w:rsidRPr="00022D11">
          <w:rPr>
            <w:rStyle w:val="Hyperlink"/>
            <w:rFonts w:ascii="Arial" w:hAnsi="Arial" w:cs="Arial"/>
            <w:noProof/>
          </w:rPr>
          <w:t>Figura I.2. 22 - Autogara Siva Trans str. Tudor Vladimirescu</w:t>
        </w:r>
        <w:r w:rsidR="00BA35B3">
          <w:rPr>
            <w:noProof/>
            <w:webHidden/>
          </w:rPr>
          <w:tab/>
        </w:r>
        <w:r w:rsidR="00BA35B3">
          <w:rPr>
            <w:noProof/>
            <w:webHidden/>
          </w:rPr>
          <w:fldChar w:fldCharType="begin"/>
        </w:r>
        <w:r w:rsidR="00BA35B3">
          <w:rPr>
            <w:noProof/>
            <w:webHidden/>
          </w:rPr>
          <w:instrText xml:space="preserve"> PAGEREF _Toc140744464 \h </w:instrText>
        </w:r>
        <w:r w:rsidR="00BA35B3">
          <w:rPr>
            <w:noProof/>
            <w:webHidden/>
          </w:rPr>
        </w:r>
        <w:r w:rsidR="00BA35B3">
          <w:rPr>
            <w:noProof/>
            <w:webHidden/>
          </w:rPr>
          <w:fldChar w:fldCharType="separate"/>
        </w:r>
        <w:r w:rsidR="00BB181C">
          <w:rPr>
            <w:noProof/>
            <w:webHidden/>
          </w:rPr>
          <w:t>107</w:t>
        </w:r>
        <w:r w:rsidR="00BA35B3">
          <w:rPr>
            <w:noProof/>
            <w:webHidden/>
          </w:rPr>
          <w:fldChar w:fldCharType="end"/>
        </w:r>
      </w:hyperlink>
    </w:p>
    <w:p w14:paraId="6579CAA5" w14:textId="269D76AC" w:rsidR="00BA35B3" w:rsidRDefault="00000000">
      <w:pPr>
        <w:pStyle w:val="Tabeldefiguri"/>
        <w:tabs>
          <w:tab w:val="right" w:leader="dot" w:pos="9645"/>
        </w:tabs>
        <w:rPr>
          <w:rFonts w:eastAsiaTheme="minorEastAsia"/>
          <w:noProof/>
          <w:kern w:val="2"/>
          <w14:ligatures w14:val="standardContextual"/>
        </w:rPr>
      </w:pPr>
      <w:hyperlink w:anchor="_Toc140744465" w:history="1">
        <w:r w:rsidR="00BA35B3" w:rsidRPr="00022D11">
          <w:rPr>
            <w:rStyle w:val="Hyperlink"/>
            <w:rFonts w:ascii="Arial" w:hAnsi="Arial" w:cs="Arial"/>
            <w:noProof/>
          </w:rPr>
          <w:t>Figura I.2. 23 - Autogara Transmontana str. Gen. Magheru</w:t>
        </w:r>
        <w:r w:rsidR="00BA35B3">
          <w:rPr>
            <w:noProof/>
            <w:webHidden/>
          </w:rPr>
          <w:tab/>
        </w:r>
        <w:r w:rsidR="00BA35B3">
          <w:rPr>
            <w:noProof/>
            <w:webHidden/>
          </w:rPr>
          <w:fldChar w:fldCharType="begin"/>
        </w:r>
        <w:r w:rsidR="00BA35B3">
          <w:rPr>
            <w:noProof/>
            <w:webHidden/>
          </w:rPr>
          <w:instrText xml:space="preserve"> PAGEREF _Toc140744465 \h </w:instrText>
        </w:r>
        <w:r w:rsidR="00BA35B3">
          <w:rPr>
            <w:noProof/>
            <w:webHidden/>
          </w:rPr>
        </w:r>
        <w:r w:rsidR="00BA35B3">
          <w:rPr>
            <w:noProof/>
            <w:webHidden/>
          </w:rPr>
          <w:fldChar w:fldCharType="separate"/>
        </w:r>
        <w:r w:rsidR="00BB181C">
          <w:rPr>
            <w:noProof/>
            <w:webHidden/>
          </w:rPr>
          <w:t>108</w:t>
        </w:r>
        <w:r w:rsidR="00BA35B3">
          <w:rPr>
            <w:noProof/>
            <w:webHidden/>
          </w:rPr>
          <w:fldChar w:fldCharType="end"/>
        </w:r>
      </w:hyperlink>
    </w:p>
    <w:p w14:paraId="0C60042C" w14:textId="4F05CECF" w:rsidR="00BA35B3" w:rsidRDefault="00000000">
      <w:pPr>
        <w:pStyle w:val="Tabeldefiguri"/>
        <w:tabs>
          <w:tab w:val="right" w:leader="dot" w:pos="9645"/>
        </w:tabs>
        <w:rPr>
          <w:rFonts w:eastAsiaTheme="minorEastAsia"/>
          <w:noProof/>
          <w:kern w:val="2"/>
          <w14:ligatures w14:val="standardContextual"/>
        </w:rPr>
      </w:pPr>
      <w:hyperlink w:anchor="_Toc140744466" w:history="1">
        <w:r w:rsidR="00BA35B3" w:rsidRPr="00022D11">
          <w:rPr>
            <w:rStyle w:val="Hyperlink"/>
            <w:rFonts w:ascii="Arial" w:hAnsi="Arial" w:cs="Arial"/>
            <w:noProof/>
          </w:rPr>
          <w:t>Figura I.2. 24 - Staţie transport public județean – Râmeşti</w:t>
        </w:r>
        <w:r w:rsidR="00BA35B3">
          <w:rPr>
            <w:noProof/>
            <w:webHidden/>
          </w:rPr>
          <w:tab/>
        </w:r>
        <w:r w:rsidR="00BA35B3">
          <w:rPr>
            <w:noProof/>
            <w:webHidden/>
          </w:rPr>
          <w:fldChar w:fldCharType="begin"/>
        </w:r>
        <w:r w:rsidR="00BA35B3">
          <w:rPr>
            <w:noProof/>
            <w:webHidden/>
          </w:rPr>
          <w:instrText xml:space="preserve"> PAGEREF _Toc140744466 \h </w:instrText>
        </w:r>
        <w:r w:rsidR="00BA35B3">
          <w:rPr>
            <w:noProof/>
            <w:webHidden/>
          </w:rPr>
        </w:r>
        <w:r w:rsidR="00BA35B3">
          <w:rPr>
            <w:noProof/>
            <w:webHidden/>
          </w:rPr>
          <w:fldChar w:fldCharType="separate"/>
        </w:r>
        <w:r w:rsidR="00BB181C">
          <w:rPr>
            <w:noProof/>
            <w:webHidden/>
          </w:rPr>
          <w:t>108</w:t>
        </w:r>
        <w:r w:rsidR="00BA35B3">
          <w:rPr>
            <w:noProof/>
            <w:webHidden/>
          </w:rPr>
          <w:fldChar w:fldCharType="end"/>
        </w:r>
      </w:hyperlink>
    </w:p>
    <w:p w14:paraId="5A8CB27F" w14:textId="0286B747" w:rsidR="00BA35B3" w:rsidRDefault="00000000">
      <w:pPr>
        <w:pStyle w:val="Tabeldefiguri"/>
        <w:tabs>
          <w:tab w:val="right" w:leader="dot" w:pos="9645"/>
        </w:tabs>
        <w:rPr>
          <w:rFonts w:eastAsiaTheme="minorEastAsia"/>
          <w:noProof/>
          <w:kern w:val="2"/>
          <w14:ligatures w14:val="standardContextual"/>
        </w:rPr>
      </w:pPr>
      <w:hyperlink w:anchor="_Toc140744467" w:history="1">
        <w:r w:rsidR="00BA35B3" w:rsidRPr="00022D11">
          <w:rPr>
            <w:rStyle w:val="Hyperlink"/>
            <w:rFonts w:ascii="Arial" w:hAnsi="Arial" w:cs="Arial"/>
            <w:noProof/>
          </w:rPr>
          <w:t>Figura I.2. 25 - “Sistem de informare” a călătorilor Autogara SivaTrans</w:t>
        </w:r>
        <w:r w:rsidR="00BA35B3">
          <w:rPr>
            <w:noProof/>
            <w:webHidden/>
          </w:rPr>
          <w:tab/>
        </w:r>
        <w:r w:rsidR="00BA35B3">
          <w:rPr>
            <w:noProof/>
            <w:webHidden/>
          </w:rPr>
          <w:fldChar w:fldCharType="begin"/>
        </w:r>
        <w:r w:rsidR="00BA35B3">
          <w:rPr>
            <w:noProof/>
            <w:webHidden/>
          </w:rPr>
          <w:instrText xml:space="preserve"> PAGEREF _Toc140744467 \h </w:instrText>
        </w:r>
        <w:r w:rsidR="00BA35B3">
          <w:rPr>
            <w:noProof/>
            <w:webHidden/>
          </w:rPr>
        </w:r>
        <w:r w:rsidR="00BA35B3">
          <w:rPr>
            <w:noProof/>
            <w:webHidden/>
          </w:rPr>
          <w:fldChar w:fldCharType="separate"/>
        </w:r>
        <w:r w:rsidR="00BB181C">
          <w:rPr>
            <w:noProof/>
            <w:webHidden/>
          </w:rPr>
          <w:t>109</w:t>
        </w:r>
        <w:r w:rsidR="00BA35B3">
          <w:rPr>
            <w:noProof/>
            <w:webHidden/>
          </w:rPr>
          <w:fldChar w:fldCharType="end"/>
        </w:r>
      </w:hyperlink>
    </w:p>
    <w:p w14:paraId="62A899E9" w14:textId="6564BB55" w:rsidR="00BA35B3" w:rsidRDefault="00000000">
      <w:pPr>
        <w:pStyle w:val="Tabeldefiguri"/>
        <w:tabs>
          <w:tab w:val="right" w:leader="dot" w:pos="9645"/>
        </w:tabs>
        <w:rPr>
          <w:rFonts w:eastAsiaTheme="minorEastAsia"/>
          <w:noProof/>
          <w:kern w:val="2"/>
          <w14:ligatures w14:val="standardContextual"/>
        </w:rPr>
      </w:pPr>
      <w:hyperlink w:anchor="_Toc140744468" w:history="1">
        <w:r w:rsidR="00BA35B3" w:rsidRPr="00022D11">
          <w:rPr>
            <w:rStyle w:val="Hyperlink"/>
            <w:rFonts w:ascii="Arial" w:hAnsi="Arial" w:cs="Arial"/>
            <w:noProof/>
          </w:rPr>
          <w:t>Figura I.2. 26 – “Peron” îmbarcare-debarcare călători Autogara SivaTrans</w:t>
        </w:r>
        <w:r w:rsidR="00BA35B3">
          <w:rPr>
            <w:noProof/>
            <w:webHidden/>
          </w:rPr>
          <w:tab/>
        </w:r>
        <w:r w:rsidR="00BA35B3">
          <w:rPr>
            <w:noProof/>
            <w:webHidden/>
          </w:rPr>
          <w:fldChar w:fldCharType="begin"/>
        </w:r>
        <w:r w:rsidR="00BA35B3">
          <w:rPr>
            <w:noProof/>
            <w:webHidden/>
          </w:rPr>
          <w:instrText xml:space="preserve"> PAGEREF _Toc140744468 \h </w:instrText>
        </w:r>
        <w:r w:rsidR="00BA35B3">
          <w:rPr>
            <w:noProof/>
            <w:webHidden/>
          </w:rPr>
        </w:r>
        <w:r w:rsidR="00BA35B3">
          <w:rPr>
            <w:noProof/>
            <w:webHidden/>
          </w:rPr>
          <w:fldChar w:fldCharType="separate"/>
        </w:r>
        <w:r w:rsidR="00BB181C">
          <w:rPr>
            <w:noProof/>
            <w:webHidden/>
          </w:rPr>
          <w:t>109</w:t>
        </w:r>
        <w:r w:rsidR="00BA35B3">
          <w:rPr>
            <w:noProof/>
            <w:webHidden/>
          </w:rPr>
          <w:fldChar w:fldCharType="end"/>
        </w:r>
      </w:hyperlink>
    </w:p>
    <w:p w14:paraId="79256F6F" w14:textId="3FB20FEF" w:rsidR="00BA35B3" w:rsidRDefault="00000000">
      <w:pPr>
        <w:pStyle w:val="Tabeldefiguri"/>
        <w:tabs>
          <w:tab w:val="right" w:leader="dot" w:pos="9645"/>
        </w:tabs>
        <w:rPr>
          <w:rFonts w:eastAsiaTheme="minorEastAsia"/>
          <w:noProof/>
          <w:kern w:val="2"/>
          <w14:ligatures w14:val="standardContextual"/>
        </w:rPr>
      </w:pPr>
      <w:hyperlink w:anchor="_Toc140744469" w:history="1">
        <w:r w:rsidR="00BA35B3" w:rsidRPr="00022D11">
          <w:rPr>
            <w:rStyle w:val="Hyperlink"/>
            <w:rFonts w:ascii="Arial" w:hAnsi="Arial" w:cs="Arial"/>
            <w:noProof/>
          </w:rPr>
          <w:t>Figura I.2. 27 - Amplasament staţie taxi</w:t>
        </w:r>
        <w:r w:rsidR="00BA35B3">
          <w:rPr>
            <w:noProof/>
            <w:webHidden/>
          </w:rPr>
          <w:tab/>
        </w:r>
        <w:r w:rsidR="00BA35B3">
          <w:rPr>
            <w:noProof/>
            <w:webHidden/>
          </w:rPr>
          <w:fldChar w:fldCharType="begin"/>
        </w:r>
        <w:r w:rsidR="00BA35B3">
          <w:rPr>
            <w:noProof/>
            <w:webHidden/>
          </w:rPr>
          <w:instrText xml:space="preserve"> PAGEREF _Toc140744469 \h </w:instrText>
        </w:r>
        <w:r w:rsidR="00BA35B3">
          <w:rPr>
            <w:noProof/>
            <w:webHidden/>
          </w:rPr>
        </w:r>
        <w:r w:rsidR="00BA35B3">
          <w:rPr>
            <w:noProof/>
            <w:webHidden/>
          </w:rPr>
          <w:fldChar w:fldCharType="separate"/>
        </w:r>
        <w:r w:rsidR="00BB181C">
          <w:rPr>
            <w:noProof/>
            <w:webHidden/>
          </w:rPr>
          <w:t>111</w:t>
        </w:r>
        <w:r w:rsidR="00BA35B3">
          <w:rPr>
            <w:noProof/>
            <w:webHidden/>
          </w:rPr>
          <w:fldChar w:fldCharType="end"/>
        </w:r>
      </w:hyperlink>
    </w:p>
    <w:p w14:paraId="2C30F5D4" w14:textId="5DD9D576" w:rsidR="00BA35B3" w:rsidRDefault="00000000">
      <w:pPr>
        <w:pStyle w:val="Tabeldefiguri"/>
        <w:tabs>
          <w:tab w:val="right" w:leader="dot" w:pos="9645"/>
        </w:tabs>
        <w:rPr>
          <w:rFonts w:eastAsiaTheme="minorEastAsia"/>
          <w:noProof/>
          <w:kern w:val="2"/>
          <w14:ligatures w14:val="standardContextual"/>
        </w:rPr>
      </w:pPr>
      <w:hyperlink w:anchor="_Toc140744470" w:history="1">
        <w:r w:rsidR="00BA35B3" w:rsidRPr="00022D11">
          <w:rPr>
            <w:rStyle w:val="Hyperlink"/>
            <w:rFonts w:ascii="Arial" w:hAnsi="Arial" w:cs="Arial"/>
            <w:noProof/>
          </w:rPr>
          <w:t>Figura I.2. 28 – Distribuția mărfurilor transportate pe moduri de transport</w:t>
        </w:r>
        <w:r w:rsidR="00BA35B3">
          <w:rPr>
            <w:noProof/>
            <w:webHidden/>
          </w:rPr>
          <w:tab/>
        </w:r>
        <w:r w:rsidR="00BA35B3">
          <w:rPr>
            <w:noProof/>
            <w:webHidden/>
          </w:rPr>
          <w:fldChar w:fldCharType="begin"/>
        </w:r>
        <w:r w:rsidR="00BA35B3">
          <w:rPr>
            <w:noProof/>
            <w:webHidden/>
          </w:rPr>
          <w:instrText xml:space="preserve"> PAGEREF _Toc140744470 \h </w:instrText>
        </w:r>
        <w:r w:rsidR="00BA35B3">
          <w:rPr>
            <w:noProof/>
            <w:webHidden/>
          </w:rPr>
        </w:r>
        <w:r w:rsidR="00BA35B3">
          <w:rPr>
            <w:noProof/>
            <w:webHidden/>
          </w:rPr>
          <w:fldChar w:fldCharType="separate"/>
        </w:r>
        <w:r w:rsidR="00BB181C">
          <w:rPr>
            <w:noProof/>
            <w:webHidden/>
          </w:rPr>
          <w:t>114</w:t>
        </w:r>
        <w:r w:rsidR="00BA35B3">
          <w:rPr>
            <w:noProof/>
            <w:webHidden/>
          </w:rPr>
          <w:fldChar w:fldCharType="end"/>
        </w:r>
      </w:hyperlink>
    </w:p>
    <w:p w14:paraId="6D538D45" w14:textId="6F981E4C" w:rsidR="00BA35B3" w:rsidRDefault="00000000">
      <w:pPr>
        <w:pStyle w:val="Tabeldefiguri"/>
        <w:tabs>
          <w:tab w:val="right" w:leader="dot" w:pos="9645"/>
        </w:tabs>
        <w:rPr>
          <w:rFonts w:eastAsiaTheme="minorEastAsia"/>
          <w:noProof/>
          <w:kern w:val="2"/>
          <w14:ligatures w14:val="standardContextual"/>
        </w:rPr>
      </w:pPr>
      <w:hyperlink w:anchor="_Toc140744471" w:history="1">
        <w:r w:rsidR="00BA35B3" w:rsidRPr="00022D11">
          <w:rPr>
            <w:rStyle w:val="Hyperlink"/>
            <w:rFonts w:ascii="Arial" w:hAnsi="Arial" w:cs="Arial"/>
            <w:noProof/>
          </w:rPr>
          <w:t>Figura I.2. 29 - Zona pietonală Horezu</w:t>
        </w:r>
        <w:r w:rsidR="00BA35B3">
          <w:rPr>
            <w:noProof/>
            <w:webHidden/>
          </w:rPr>
          <w:tab/>
        </w:r>
        <w:r w:rsidR="00BA35B3">
          <w:rPr>
            <w:noProof/>
            <w:webHidden/>
          </w:rPr>
          <w:fldChar w:fldCharType="begin"/>
        </w:r>
        <w:r w:rsidR="00BA35B3">
          <w:rPr>
            <w:noProof/>
            <w:webHidden/>
          </w:rPr>
          <w:instrText xml:space="preserve"> PAGEREF _Toc140744471 \h </w:instrText>
        </w:r>
        <w:r w:rsidR="00BA35B3">
          <w:rPr>
            <w:noProof/>
            <w:webHidden/>
          </w:rPr>
        </w:r>
        <w:r w:rsidR="00BA35B3">
          <w:rPr>
            <w:noProof/>
            <w:webHidden/>
          </w:rPr>
          <w:fldChar w:fldCharType="separate"/>
        </w:r>
        <w:r w:rsidR="00BB181C">
          <w:rPr>
            <w:noProof/>
            <w:webHidden/>
          </w:rPr>
          <w:t>117</w:t>
        </w:r>
        <w:r w:rsidR="00BA35B3">
          <w:rPr>
            <w:noProof/>
            <w:webHidden/>
          </w:rPr>
          <w:fldChar w:fldCharType="end"/>
        </w:r>
      </w:hyperlink>
    </w:p>
    <w:p w14:paraId="395F864E" w14:textId="5CAC2C36" w:rsidR="00BA35B3" w:rsidRDefault="00000000">
      <w:pPr>
        <w:pStyle w:val="Tabeldefiguri"/>
        <w:tabs>
          <w:tab w:val="right" w:leader="dot" w:pos="9645"/>
        </w:tabs>
        <w:rPr>
          <w:rFonts w:eastAsiaTheme="minorEastAsia"/>
          <w:noProof/>
          <w:kern w:val="2"/>
          <w14:ligatures w14:val="standardContextual"/>
        </w:rPr>
      </w:pPr>
      <w:hyperlink w:anchor="_Toc140744472" w:history="1">
        <w:r w:rsidR="00BA35B3" w:rsidRPr="00022D11">
          <w:rPr>
            <w:rStyle w:val="Hyperlink"/>
            <w:rFonts w:ascii="Arial" w:hAnsi="Arial" w:cs="Arial"/>
            <w:noProof/>
          </w:rPr>
          <w:t>Figura I.2. 30 - Zona promenade Râul Urşani</w:t>
        </w:r>
        <w:r w:rsidR="00BA35B3">
          <w:rPr>
            <w:noProof/>
            <w:webHidden/>
          </w:rPr>
          <w:tab/>
        </w:r>
        <w:r w:rsidR="00BA35B3">
          <w:rPr>
            <w:noProof/>
            <w:webHidden/>
          </w:rPr>
          <w:fldChar w:fldCharType="begin"/>
        </w:r>
        <w:r w:rsidR="00BA35B3">
          <w:rPr>
            <w:noProof/>
            <w:webHidden/>
          </w:rPr>
          <w:instrText xml:space="preserve"> PAGEREF _Toc140744472 \h </w:instrText>
        </w:r>
        <w:r w:rsidR="00BA35B3">
          <w:rPr>
            <w:noProof/>
            <w:webHidden/>
          </w:rPr>
        </w:r>
        <w:r w:rsidR="00BA35B3">
          <w:rPr>
            <w:noProof/>
            <w:webHidden/>
          </w:rPr>
          <w:fldChar w:fldCharType="separate"/>
        </w:r>
        <w:r w:rsidR="00BB181C">
          <w:rPr>
            <w:noProof/>
            <w:webHidden/>
          </w:rPr>
          <w:t>118</w:t>
        </w:r>
        <w:r w:rsidR="00BA35B3">
          <w:rPr>
            <w:noProof/>
            <w:webHidden/>
          </w:rPr>
          <w:fldChar w:fldCharType="end"/>
        </w:r>
      </w:hyperlink>
    </w:p>
    <w:p w14:paraId="20B02A17" w14:textId="410514DB" w:rsidR="00BA35B3" w:rsidRDefault="00000000">
      <w:pPr>
        <w:pStyle w:val="Tabeldefiguri"/>
        <w:tabs>
          <w:tab w:val="right" w:leader="dot" w:pos="9645"/>
        </w:tabs>
        <w:rPr>
          <w:rFonts w:eastAsiaTheme="minorEastAsia"/>
          <w:noProof/>
          <w:kern w:val="2"/>
          <w14:ligatures w14:val="standardContextual"/>
        </w:rPr>
      </w:pPr>
      <w:hyperlink w:anchor="_Toc140744473" w:history="1">
        <w:r w:rsidR="00BA35B3" w:rsidRPr="00022D11">
          <w:rPr>
            <w:rStyle w:val="Hyperlink"/>
            <w:rFonts w:ascii="Arial" w:hAnsi="Arial" w:cs="Arial"/>
            <w:noProof/>
          </w:rPr>
          <w:t>Figura I.2. 31 – Exemple de străzi fără infrastructură pentru pietoni</w:t>
        </w:r>
        <w:r w:rsidR="00BA35B3">
          <w:rPr>
            <w:noProof/>
            <w:webHidden/>
          </w:rPr>
          <w:tab/>
        </w:r>
        <w:r w:rsidR="00BA35B3">
          <w:rPr>
            <w:noProof/>
            <w:webHidden/>
          </w:rPr>
          <w:fldChar w:fldCharType="begin"/>
        </w:r>
        <w:r w:rsidR="00BA35B3">
          <w:rPr>
            <w:noProof/>
            <w:webHidden/>
          </w:rPr>
          <w:instrText xml:space="preserve"> PAGEREF _Toc140744473 \h </w:instrText>
        </w:r>
        <w:r w:rsidR="00BA35B3">
          <w:rPr>
            <w:noProof/>
            <w:webHidden/>
          </w:rPr>
        </w:r>
        <w:r w:rsidR="00BA35B3">
          <w:rPr>
            <w:noProof/>
            <w:webHidden/>
          </w:rPr>
          <w:fldChar w:fldCharType="separate"/>
        </w:r>
        <w:r w:rsidR="00BB181C">
          <w:rPr>
            <w:noProof/>
            <w:webHidden/>
          </w:rPr>
          <w:t>119</w:t>
        </w:r>
        <w:r w:rsidR="00BA35B3">
          <w:rPr>
            <w:noProof/>
            <w:webHidden/>
          </w:rPr>
          <w:fldChar w:fldCharType="end"/>
        </w:r>
      </w:hyperlink>
    </w:p>
    <w:p w14:paraId="214B8056" w14:textId="7D0C343F" w:rsidR="00BA35B3" w:rsidRDefault="00000000">
      <w:pPr>
        <w:pStyle w:val="Tabeldefiguri"/>
        <w:tabs>
          <w:tab w:val="right" w:leader="dot" w:pos="9645"/>
        </w:tabs>
        <w:rPr>
          <w:rFonts w:eastAsiaTheme="minorEastAsia"/>
          <w:noProof/>
          <w:kern w:val="2"/>
          <w14:ligatures w14:val="standardContextual"/>
        </w:rPr>
      </w:pPr>
      <w:hyperlink w:anchor="_Toc140744474" w:history="1">
        <w:r w:rsidR="00BA35B3" w:rsidRPr="00022D11">
          <w:rPr>
            <w:rStyle w:val="Hyperlink"/>
            <w:rFonts w:ascii="Arial" w:hAnsi="Arial" w:cs="Arial"/>
            <w:noProof/>
          </w:rPr>
          <w:t>Figura I.2. 32 - Stare necorespunzătoare a infrastructurii dedicate pietonilor</w:t>
        </w:r>
        <w:r w:rsidR="00BA35B3">
          <w:rPr>
            <w:noProof/>
            <w:webHidden/>
          </w:rPr>
          <w:tab/>
        </w:r>
        <w:r w:rsidR="00BA35B3">
          <w:rPr>
            <w:noProof/>
            <w:webHidden/>
          </w:rPr>
          <w:fldChar w:fldCharType="begin"/>
        </w:r>
        <w:r w:rsidR="00BA35B3">
          <w:rPr>
            <w:noProof/>
            <w:webHidden/>
          </w:rPr>
          <w:instrText xml:space="preserve"> PAGEREF _Toc140744474 \h </w:instrText>
        </w:r>
        <w:r w:rsidR="00BA35B3">
          <w:rPr>
            <w:noProof/>
            <w:webHidden/>
          </w:rPr>
        </w:r>
        <w:r w:rsidR="00BA35B3">
          <w:rPr>
            <w:noProof/>
            <w:webHidden/>
          </w:rPr>
          <w:fldChar w:fldCharType="separate"/>
        </w:r>
        <w:r w:rsidR="00BB181C">
          <w:rPr>
            <w:noProof/>
            <w:webHidden/>
          </w:rPr>
          <w:t>120</w:t>
        </w:r>
        <w:r w:rsidR="00BA35B3">
          <w:rPr>
            <w:noProof/>
            <w:webHidden/>
          </w:rPr>
          <w:fldChar w:fldCharType="end"/>
        </w:r>
      </w:hyperlink>
    </w:p>
    <w:p w14:paraId="68871DC2" w14:textId="42F9307C" w:rsidR="00BA35B3" w:rsidRDefault="00000000">
      <w:pPr>
        <w:pStyle w:val="Tabeldefiguri"/>
        <w:tabs>
          <w:tab w:val="right" w:leader="dot" w:pos="9645"/>
        </w:tabs>
        <w:rPr>
          <w:rFonts w:eastAsiaTheme="minorEastAsia"/>
          <w:noProof/>
          <w:kern w:val="2"/>
          <w14:ligatures w14:val="standardContextual"/>
        </w:rPr>
      </w:pPr>
      <w:hyperlink w:anchor="_Toc140744475" w:history="1">
        <w:r w:rsidR="00BA35B3" w:rsidRPr="00022D11">
          <w:rPr>
            <w:rStyle w:val="Hyperlink"/>
            <w:rFonts w:ascii="Arial" w:hAnsi="Arial" w:cs="Arial"/>
            <w:noProof/>
          </w:rPr>
          <w:t>Figura I.2. 33 - Circulația pietonală îngreunată de mașini parcate</w:t>
        </w:r>
        <w:r w:rsidR="00BA35B3">
          <w:rPr>
            <w:noProof/>
            <w:webHidden/>
          </w:rPr>
          <w:tab/>
        </w:r>
        <w:r w:rsidR="00BA35B3">
          <w:rPr>
            <w:noProof/>
            <w:webHidden/>
          </w:rPr>
          <w:fldChar w:fldCharType="begin"/>
        </w:r>
        <w:r w:rsidR="00BA35B3">
          <w:rPr>
            <w:noProof/>
            <w:webHidden/>
          </w:rPr>
          <w:instrText xml:space="preserve"> PAGEREF _Toc140744475 \h </w:instrText>
        </w:r>
        <w:r w:rsidR="00BA35B3">
          <w:rPr>
            <w:noProof/>
            <w:webHidden/>
          </w:rPr>
        </w:r>
        <w:r w:rsidR="00BA35B3">
          <w:rPr>
            <w:noProof/>
            <w:webHidden/>
          </w:rPr>
          <w:fldChar w:fldCharType="separate"/>
        </w:r>
        <w:r w:rsidR="00BB181C">
          <w:rPr>
            <w:noProof/>
            <w:webHidden/>
          </w:rPr>
          <w:t>120</w:t>
        </w:r>
        <w:r w:rsidR="00BA35B3">
          <w:rPr>
            <w:noProof/>
            <w:webHidden/>
          </w:rPr>
          <w:fldChar w:fldCharType="end"/>
        </w:r>
      </w:hyperlink>
    </w:p>
    <w:p w14:paraId="228D965C" w14:textId="7BD9B518" w:rsidR="00BA35B3" w:rsidRDefault="00000000">
      <w:pPr>
        <w:pStyle w:val="Tabeldefiguri"/>
        <w:tabs>
          <w:tab w:val="right" w:leader="dot" w:pos="9645"/>
        </w:tabs>
        <w:rPr>
          <w:rFonts w:eastAsiaTheme="minorEastAsia"/>
          <w:noProof/>
          <w:kern w:val="2"/>
          <w14:ligatures w14:val="standardContextual"/>
        </w:rPr>
      </w:pPr>
      <w:hyperlink w:anchor="_Toc140744476" w:history="1">
        <w:r w:rsidR="00BA35B3" w:rsidRPr="00022D11">
          <w:rPr>
            <w:rStyle w:val="Hyperlink"/>
            <w:rFonts w:ascii="Arial" w:hAnsi="Arial" w:cs="Arial"/>
            <w:noProof/>
          </w:rPr>
          <w:t>Figura I.2. 34 -  Zona protejată Centrul istoric</w:t>
        </w:r>
        <w:r w:rsidR="00BA35B3">
          <w:rPr>
            <w:noProof/>
            <w:webHidden/>
          </w:rPr>
          <w:tab/>
        </w:r>
        <w:r w:rsidR="00BA35B3">
          <w:rPr>
            <w:noProof/>
            <w:webHidden/>
          </w:rPr>
          <w:fldChar w:fldCharType="begin"/>
        </w:r>
        <w:r w:rsidR="00BA35B3">
          <w:rPr>
            <w:noProof/>
            <w:webHidden/>
          </w:rPr>
          <w:instrText xml:space="preserve"> PAGEREF _Toc140744476 \h </w:instrText>
        </w:r>
        <w:r w:rsidR="00BA35B3">
          <w:rPr>
            <w:noProof/>
            <w:webHidden/>
          </w:rPr>
        </w:r>
        <w:r w:rsidR="00BA35B3">
          <w:rPr>
            <w:noProof/>
            <w:webHidden/>
          </w:rPr>
          <w:fldChar w:fldCharType="separate"/>
        </w:r>
        <w:r w:rsidR="00BB181C">
          <w:rPr>
            <w:noProof/>
            <w:webHidden/>
          </w:rPr>
          <w:t>122</w:t>
        </w:r>
        <w:r w:rsidR="00BA35B3">
          <w:rPr>
            <w:noProof/>
            <w:webHidden/>
          </w:rPr>
          <w:fldChar w:fldCharType="end"/>
        </w:r>
      </w:hyperlink>
    </w:p>
    <w:p w14:paraId="2CCE1D11" w14:textId="68BF56D8" w:rsidR="00BA35B3" w:rsidRDefault="00000000">
      <w:pPr>
        <w:pStyle w:val="Tabeldefiguri"/>
        <w:tabs>
          <w:tab w:val="right" w:leader="dot" w:pos="9645"/>
        </w:tabs>
        <w:rPr>
          <w:rFonts w:eastAsiaTheme="minorEastAsia"/>
          <w:noProof/>
          <w:kern w:val="2"/>
          <w14:ligatures w14:val="standardContextual"/>
        </w:rPr>
      </w:pPr>
      <w:hyperlink w:anchor="_Toc140744477" w:history="1">
        <w:r w:rsidR="00BA35B3" w:rsidRPr="00022D11">
          <w:rPr>
            <w:rStyle w:val="Hyperlink"/>
            <w:rFonts w:ascii="Arial" w:hAnsi="Arial" w:cs="Arial"/>
            <w:noProof/>
          </w:rPr>
          <w:t>Figura I.2. 35 - Puncte de conflict zona centrală</w:t>
        </w:r>
        <w:r w:rsidR="00BA35B3">
          <w:rPr>
            <w:noProof/>
            <w:webHidden/>
          </w:rPr>
          <w:tab/>
        </w:r>
        <w:r w:rsidR="00BA35B3">
          <w:rPr>
            <w:noProof/>
            <w:webHidden/>
          </w:rPr>
          <w:fldChar w:fldCharType="begin"/>
        </w:r>
        <w:r w:rsidR="00BA35B3">
          <w:rPr>
            <w:noProof/>
            <w:webHidden/>
          </w:rPr>
          <w:instrText xml:space="preserve"> PAGEREF _Toc140744477 \h </w:instrText>
        </w:r>
        <w:r w:rsidR="00BA35B3">
          <w:rPr>
            <w:noProof/>
            <w:webHidden/>
          </w:rPr>
        </w:r>
        <w:r w:rsidR="00BA35B3">
          <w:rPr>
            <w:noProof/>
            <w:webHidden/>
          </w:rPr>
          <w:fldChar w:fldCharType="separate"/>
        </w:r>
        <w:r w:rsidR="00BB181C">
          <w:rPr>
            <w:noProof/>
            <w:webHidden/>
          </w:rPr>
          <w:t>123</w:t>
        </w:r>
        <w:r w:rsidR="00BA35B3">
          <w:rPr>
            <w:noProof/>
            <w:webHidden/>
          </w:rPr>
          <w:fldChar w:fldCharType="end"/>
        </w:r>
      </w:hyperlink>
    </w:p>
    <w:p w14:paraId="1C3F122D" w14:textId="77777777" w:rsidR="00BA35B3" w:rsidRDefault="00F92A5C" w:rsidP="00374C37">
      <w:pPr>
        <w:pStyle w:val="Tabeldefiguri"/>
        <w:tabs>
          <w:tab w:val="right" w:leader="dot" w:pos="9645"/>
        </w:tabs>
        <w:rPr>
          <w:noProof/>
        </w:rPr>
      </w:pPr>
      <w:r>
        <w:rPr>
          <w:rFonts w:ascii="Arial" w:hAnsi="Arial" w:cs="Arial"/>
          <w:b/>
          <w:bCs/>
          <w:lang w:val="ro-RO" w:eastAsia="ro-RO"/>
        </w:rPr>
        <w:fldChar w:fldCharType="end"/>
      </w:r>
      <w:r w:rsidR="006A1446">
        <w:rPr>
          <w:rFonts w:ascii="Arial" w:hAnsi="Arial" w:cs="Arial"/>
          <w:b/>
          <w:bCs/>
          <w:lang w:val="ro-RO" w:eastAsia="ro-RO"/>
        </w:rPr>
        <w:fldChar w:fldCharType="begin"/>
      </w:r>
      <w:r w:rsidR="006A1446">
        <w:rPr>
          <w:rFonts w:ascii="Arial" w:hAnsi="Arial" w:cs="Arial"/>
          <w:b/>
          <w:bCs/>
          <w:lang w:val="ro-RO" w:eastAsia="ro-RO"/>
        </w:rPr>
        <w:instrText xml:space="preserve"> TOC \h \z \c "Figura I.3." </w:instrText>
      </w:r>
      <w:r w:rsidR="006A1446">
        <w:rPr>
          <w:rFonts w:ascii="Arial" w:hAnsi="Arial" w:cs="Arial"/>
          <w:b/>
          <w:bCs/>
          <w:lang w:val="ro-RO" w:eastAsia="ro-RO"/>
        </w:rPr>
        <w:fldChar w:fldCharType="separate"/>
      </w:r>
    </w:p>
    <w:p w14:paraId="01EE0704" w14:textId="5DFE4A4E" w:rsidR="00BA35B3" w:rsidRDefault="00000000">
      <w:pPr>
        <w:pStyle w:val="Tabeldefiguri"/>
        <w:tabs>
          <w:tab w:val="right" w:leader="dot" w:pos="9645"/>
        </w:tabs>
        <w:rPr>
          <w:rFonts w:eastAsiaTheme="minorEastAsia"/>
          <w:noProof/>
          <w:kern w:val="2"/>
          <w14:ligatures w14:val="standardContextual"/>
        </w:rPr>
      </w:pPr>
      <w:hyperlink w:anchor="_Toc140744478" w:history="1">
        <w:r w:rsidR="00BA35B3" w:rsidRPr="00BD3D55">
          <w:rPr>
            <w:rStyle w:val="Hyperlink"/>
            <w:rFonts w:ascii="Arial" w:hAnsi="Arial" w:cs="Arial"/>
            <w:noProof/>
          </w:rPr>
          <w:t xml:space="preserve">Figura I.3. 1 - Zonificarea </w:t>
        </w:r>
        <w:r w:rsidR="00BA35B3" w:rsidRPr="00BD3D55">
          <w:rPr>
            <w:rStyle w:val="Hyperlink"/>
            <w:rFonts w:ascii="Arial" w:hAnsi="Arial" w:cs="Arial"/>
            <w:noProof/>
            <w:lang w:val="ro-RO"/>
          </w:rPr>
          <w:t>UAT Horezu – vedere de ansamblu</w:t>
        </w:r>
        <w:r w:rsidR="00BA35B3">
          <w:rPr>
            <w:noProof/>
            <w:webHidden/>
          </w:rPr>
          <w:tab/>
        </w:r>
        <w:r w:rsidR="00BA35B3">
          <w:rPr>
            <w:noProof/>
            <w:webHidden/>
          </w:rPr>
          <w:fldChar w:fldCharType="begin"/>
        </w:r>
        <w:r w:rsidR="00BA35B3">
          <w:rPr>
            <w:noProof/>
            <w:webHidden/>
          </w:rPr>
          <w:instrText xml:space="preserve"> PAGEREF _Toc140744478 \h </w:instrText>
        </w:r>
        <w:r w:rsidR="00BA35B3">
          <w:rPr>
            <w:noProof/>
            <w:webHidden/>
          </w:rPr>
        </w:r>
        <w:r w:rsidR="00BA35B3">
          <w:rPr>
            <w:noProof/>
            <w:webHidden/>
          </w:rPr>
          <w:fldChar w:fldCharType="separate"/>
        </w:r>
        <w:r w:rsidR="00BB181C">
          <w:rPr>
            <w:noProof/>
            <w:webHidden/>
          </w:rPr>
          <w:t>130</w:t>
        </w:r>
        <w:r w:rsidR="00BA35B3">
          <w:rPr>
            <w:noProof/>
            <w:webHidden/>
          </w:rPr>
          <w:fldChar w:fldCharType="end"/>
        </w:r>
      </w:hyperlink>
    </w:p>
    <w:p w14:paraId="238FCFFD" w14:textId="5AA93F24" w:rsidR="00BA35B3" w:rsidRDefault="00000000">
      <w:pPr>
        <w:pStyle w:val="Tabeldefiguri"/>
        <w:tabs>
          <w:tab w:val="right" w:leader="dot" w:pos="9645"/>
        </w:tabs>
        <w:rPr>
          <w:rFonts w:eastAsiaTheme="minorEastAsia"/>
          <w:noProof/>
          <w:kern w:val="2"/>
          <w14:ligatures w14:val="standardContextual"/>
        </w:rPr>
      </w:pPr>
      <w:hyperlink w:anchor="_Toc140744479" w:history="1">
        <w:r w:rsidR="00BA35B3" w:rsidRPr="00BD3D55">
          <w:rPr>
            <w:rStyle w:val="Hyperlink"/>
            <w:rFonts w:ascii="Arial" w:hAnsi="Arial" w:cs="Arial"/>
            <w:noProof/>
          </w:rPr>
          <w:t xml:space="preserve">Figura I.3. 2 </w:t>
        </w:r>
        <w:r w:rsidR="00BA35B3" w:rsidRPr="00BD3D55">
          <w:rPr>
            <w:rStyle w:val="Hyperlink"/>
            <w:rFonts w:ascii="Arial" w:hAnsi="Arial" w:cs="Arial"/>
            <w:noProof/>
            <w:lang w:val="ro-RO"/>
          </w:rPr>
          <w:t>- Zonificarea UAT Horezu – detaliu</w:t>
        </w:r>
        <w:r w:rsidR="00BA35B3">
          <w:rPr>
            <w:noProof/>
            <w:webHidden/>
          </w:rPr>
          <w:tab/>
        </w:r>
        <w:r w:rsidR="00BA35B3">
          <w:rPr>
            <w:noProof/>
            <w:webHidden/>
          </w:rPr>
          <w:fldChar w:fldCharType="begin"/>
        </w:r>
        <w:r w:rsidR="00BA35B3">
          <w:rPr>
            <w:noProof/>
            <w:webHidden/>
          </w:rPr>
          <w:instrText xml:space="preserve"> PAGEREF _Toc140744479 \h </w:instrText>
        </w:r>
        <w:r w:rsidR="00BA35B3">
          <w:rPr>
            <w:noProof/>
            <w:webHidden/>
          </w:rPr>
        </w:r>
        <w:r w:rsidR="00BA35B3">
          <w:rPr>
            <w:noProof/>
            <w:webHidden/>
          </w:rPr>
          <w:fldChar w:fldCharType="separate"/>
        </w:r>
        <w:r w:rsidR="00BB181C">
          <w:rPr>
            <w:noProof/>
            <w:webHidden/>
          </w:rPr>
          <w:t>130</w:t>
        </w:r>
        <w:r w:rsidR="00BA35B3">
          <w:rPr>
            <w:noProof/>
            <w:webHidden/>
          </w:rPr>
          <w:fldChar w:fldCharType="end"/>
        </w:r>
      </w:hyperlink>
    </w:p>
    <w:p w14:paraId="5F2AE4D8" w14:textId="4D8616B6" w:rsidR="00BA35B3" w:rsidRDefault="00000000">
      <w:pPr>
        <w:pStyle w:val="Tabeldefiguri"/>
        <w:tabs>
          <w:tab w:val="right" w:leader="dot" w:pos="9645"/>
        </w:tabs>
        <w:rPr>
          <w:rFonts w:eastAsiaTheme="minorEastAsia"/>
          <w:noProof/>
          <w:kern w:val="2"/>
          <w14:ligatures w14:val="standardContextual"/>
        </w:rPr>
      </w:pPr>
      <w:hyperlink w:anchor="_Toc140744480" w:history="1">
        <w:r w:rsidR="00BA35B3" w:rsidRPr="00BD3D55">
          <w:rPr>
            <w:rStyle w:val="Hyperlink"/>
            <w:rFonts w:ascii="Arial" w:hAnsi="Arial" w:cs="Arial"/>
            <w:noProof/>
          </w:rPr>
          <w:t xml:space="preserve">Figura I.3. 3 - Populația </w:t>
        </w:r>
        <w:r w:rsidR="00BA35B3" w:rsidRPr="00BD3D55">
          <w:rPr>
            <w:rStyle w:val="Hyperlink"/>
            <w:rFonts w:ascii="Arial" w:hAnsi="Arial" w:cs="Arial"/>
            <w:noProof/>
            <w:lang w:val="ro-RO"/>
          </w:rPr>
          <w:t>UAT Horezu conform zonificării – vedere de ansamblu</w:t>
        </w:r>
        <w:r w:rsidR="00BA35B3">
          <w:rPr>
            <w:noProof/>
            <w:webHidden/>
          </w:rPr>
          <w:tab/>
        </w:r>
        <w:r w:rsidR="00BA35B3">
          <w:rPr>
            <w:noProof/>
            <w:webHidden/>
          </w:rPr>
          <w:fldChar w:fldCharType="begin"/>
        </w:r>
        <w:r w:rsidR="00BA35B3">
          <w:rPr>
            <w:noProof/>
            <w:webHidden/>
          </w:rPr>
          <w:instrText xml:space="preserve"> PAGEREF _Toc140744480 \h </w:instrText>
        </w:r>
        <w:r w:rsidR="00BA35B3">
          <w:rPr>
            <w:noProof/>
            <w:webHidden/>
          </w:rPr>
        </w:r>
        <w:r w:rsidR="00BA35B3">
          <w:rPr>
            <w:noProof/>
            <w:webHidden/>
          </w:rPr>
          <w:fldChar w:fldCharType="separate"/>
        </w:r>
        <w:r w:rsidR="00BB181C">
          <w:rPr>
            <w:noProof/>
            <w:webHidden/>
          </w:rPr>
          <w:t>131</w:t>
        </w:r>
        <w:r w:rsidR="00BA35B3">
          <w:rPr>
            <w:noProof/>
            <w:webHidden/>
          </w:rPr>
          <w:fldChar w:fldCharType="end"/>
        </w:r>
      </w:hyperlink>
    </w:p>
    <w:p w14:paraId="0B9A0B56" w14:textId="32012767" w:rsidR="00BA35B3" w:rsidRDefault="00000000">
      <w:pPr>
        <w:pStyle w:val="Tabeldefiguri"/>
        <w:tabs>
          <w:tab w:val="right" w:leader="dot" w:pos="9645"/>
        </w:tabs>
        <w:rPr>
          <w:rFonts w:eastAsiaTheme="minorEastAsia"/>
          <w:noProof/>
          <w:kern w:val="2"/>
          <w14:ligatures w14:val="standardContextual"/>
        </w:rPr>
      </w:pPr>
      <w:hyperlink w:anchor="_Toc140744481" w:history="1">
        <w:r w:rsidR="00BA35B3" w:rsidRPr="00BD3D55">
          <w:rPr>
            <w:rStyle w:val="Hyperlink"/>
            <w:rFonts w:ascii="Arial" w:hAnsi="Arial" w:cs="Arial"/>
            <w:noProof/>
          </w:rPr>
          <w:t xml:space="preserve">Figura I.3. 4 </w:t>
        </w:r>
        <w:r w:rsidR="00BA35B3" w:rsidRPr="00BD3D55">
          <w:rPr>
            <w:rStyle w:val="Hyperlink"/>
            <w:rFonts w:ascii="Arial" w:hAnsi="Arial" w:cs="Arial"/>
            <w:noProof/>
            <w:lang w:val="ro-RO"/>
          </w:rPr>
          <w:t>- Populația UAT Horezu conform zonificării – detaliu</w:t>
        </w:r>
        <w:r w:rsidR="00BA35B3">
          <w:rPr>
            <w:noProof/>
            <w:webHidden/>
          </w:rPr>
          <w:tab/>
        </w:r>
        <w:r w:rsidR="00BA35B3">
          <w:rPr>
            <w:noProof/>
            <w:webHidden/>
          </w:rPr>
          <w:fldChar w:fldCharType="begin"/>
        </w:r>
        <w:r w:rsidR="00BA35B3">
          <w:rPr>
            <w:noProof/>
            <w:webHidden/>
          </w:rPr>
          <w:instrText xml:space="preserve"> PAGEREF _Toc140744481 \h </w:instrText>
        </w:r>
        <w:r w:rsidR="00BA35B3">
          <w:rPr>
            <w:noProof/>
            <w:webHidden/>
          </w:rPr>
        </w:r>
        <w:r w:rsidR="00BA35B3">
          <w:rPr>
            <w:noProof/>
            <w:webHidden/>
          </w:rPr>
          <w:fldChar w:fldCharType="separate"/>
        </w:r>
        <w:r w:rsidR="00BB181C">
          <w:rPr>
            <w:noProof/>
            <w:webHidden/>
          </w:rPr>
          <w:t>131</w:t>
        </w:r>
        <w:r w:rsidR="00BA35B3">
          <w:rPr>
            <w:noProof/>
            <w:webHidden/>
          </w:rPr>
          <w:fldChar w:fldCharType="end"/>
        </w:r>
      </w:hyperlink>
    </w:p>
    <w:p w14:paraId="2FB1A60E" w14:textId="5D199752" w:rsidR="00BA35B3" w:rsidRDefault="00000000">
      <w:pPr>
        <w:pStyle w:val="Tabeldefiguri"/>
        <w:tabs>
          <w:tab w:val="right" w:leader="dot" w:pos="9645"/>
        </w:tabs>
        <w:rPr>
          <w:rFonts w:eastAsiaTheme="minorEastAsia"/>
          <w:noProof/>
          <w:kern w:val="2"/>
          <w14:ligatures w14:val="standardContextual"/>
        </w:rPr>
      </w:pPr>
      <w:hyperlink w:anchor="_Toc140744482" w:history="1">
        <w:r w:rsidR="00BA35B3" w:rsidRPr="00BD3D55">
          <w:rPr>
            <w:rStyle w:val="Hyperlink"/>
            <w:rFonts w:ascii="Arial" w:hAnsi="Arial" w:cs="Arial"/>
            <w:noProof/>
          </w:rPr>
          <w:t>Figura I.3. 5 -  Rețeaua de drumuri în funcție de Numărul de benzi</w:t>
        </w:r>
        <w:r w:rsidR="00BA35B3">
          <w:rPr>
            <w:noProof/>
            <w:webHidden/>
          </w:rPr>
          <w:tab/>
        </w:r>
        <w:r w:rsidR="00BA35B3">
          <w:rPr>
            <w:noProof/>
            <w:webHidden/>
          </w:rPr>
          <w:fldChar w:fldCharType="begin"/>
        </w:r>
        <w:r w:rsidR="00BA35B3">
          <w:rPr>
            <w:noProof/>
            <w:webHidden/>
          </w:rPr>
          <w:instrText xml:space="preserve"> PAGEREF _Toc140744482 \h </w:instrText>
        </w:r>
        <w:r w:rsidR="00BA35B3">
          <w:rPr>
            <w:noProof/>
            <w:webHidden/>
          </w:rPr>
        </w:r>
        <w:r w:rsidR="00BA35B3">
          <w:rPr>
            <w:noProof/>
            <w:webHidden/>
          </w:rPr>
          <w:fldChar w:fldCharType="separate"/>
        </w:r>
        <w:r w:rsidR="00BB181C">
          <w:rPr>
            <w:noProof/>
            <w:webHidden/>
          </w:rPr>
          <w:t>132</w:t>
        </w:r>
        <w:r w:rsidR="00BA35B3">
          <w:rPr>
            <w:noProof/>
            <w:webHidden/>
          </w:rPr>
          <w:fldChar w:fldCharType="end"/>
        </w:r>
      </w:hyperlink>
    </w:p>
    <w:p w14:paraId="4D3C2952" w14:textId="555BB48A" w:rsidR="00BA35B3" w:rsidRDefault="00000000">
      <w:pPr>
        <w:pStyle w:val="Tabeldefiguri"/>
        <w:tabs>
          <w:tab w:val="right" w:leader="dot" w:pos="9645"/>
        </w:tabs>
        <w:rPr>
          <w:rFonts w:eastAsiaTheme="minorEastAsia"/>
          <w:noProof/>
          <w:kern w:val="2"/>
          <w14:ligatures w14:val="standardContextual"/>
        </w:rPr>
      </w:pPr>
      <w:hyperlink w:anchor="_Toc140744483" w:history="1">
        <w:r w:rsidR="00BA35B3" w:rsidRPr="00BD3D55">
          <w:rPr>
            <w:rStyle w:val="Hyperlink"/>
            <w:rFonts w:ascii="Arial" w:hAnsi="Arial" w:cs="Arial"/>
            <w:noProof/>
          </w:rPr>
          <w:t xml:space="preserve">Figura I.3. 6 - Rețeaua de drumuri în funcție de tipul drumului </w:t>
        </w:r>
        <w:r w:rsidR="00BA35B3" w:rsidRPr="00BD3D55">
          <w:rPr>
            <w:rStyle w:val="Hyperlink"/>
            <w:rFonts w:ascii="Arial" w:hAnsi="Arial" w:cs="Arial"/>
            <w:noProof/>
            <w:lang w:val="ro-RO"/>
          </w:rPr>
          <w:t>– vedere de ansamblu</w:t>
        </w:r>
        <w:r w:rsidR="00BA35B3">
          <w:rPr>
            <w:noProof/>
            <w:webHidden/>
          </w:rPr>
          <w:tab/>
        </w:r>
        <w:r w:rsidR="00BA35B3">
          <w:rPr>
            <w:noProof/>
            <w:webHidden/>
          </w:rPr>
          <w:fldChar w:fldCharType="begin"/>
        </w:r>
        <w:r w:rsidR="00BA35B3">
          <w:rPr>
            <w:noProof/>
            <w:webHidden/>
          </w:rPr>
          <w:instrText xml:space="preserve"> PAGEREF _Toc140744483 \h </w:instrText>
        </w:r>
        <w:r w:rsidR="00BA35B3">
          <w:rPr>
            <w:noProof/>
            <w:webHidden/>
          </w:rPr>
        </w:r>
        <w:r w:rsidR="00BA35B3">
          <w:rPr>
            <w:noProof/>
            <w:webHidden/>
          </w:rPr>
          <w:fldChar w:fldCharType="separate"/>
        </w:r>
        <w:r w:rsidR="00BB181C">
          <w:rPr>
            <w:noProof/>
            <w:webHidden/>
          </w:rPr>
          <w:t>133</w:t>
        </w:r>
        <w:r w:rsidR="00BA35B3">
          <w:rPr>
            <w:noProof/>
            <w:webHidden/>
          </w:rPr>
          <w:fldChar w:fldCharType="end"/>
        </w:r>
      </w:hyperlink>
    </w:p>
    <w:p w14:paraId="180A1E83" w14:textId="7531C26B" w:rsidR="00BA35B3" w:rsidRDefault="00000000">
      <w:pPr>
        <w:pStyle w:val="Tabeldefiguri"/>
        <w:tabs>
          <w:tab w:val="right" w:leader="dot" w:pos="9645"/>
        </w:tabs>
        <w:rPr>
          <w:rFonts w:eastAsiaTheme="minorEastAsia"/>
          <w:noProof/>
          <w:kern w:val="2"/>
          <w14:ligatures w14:val="standardContextual"/>
        </w:rPr>
      </w:pPr>
      <w:hyperlink w:anchor="_Toc140744484" w:history="1">
        <w:r w:rsidR="00BA35B3" w:rsidRPr="00BD3D55">
          <w:rPr>
            <w:rStyle w:val="Hyperlink"/>
            <w:rFonts w:ascii="Arial" w:hAnsi="Arial" w:cs="Arial"/>
            <w:noProof/>
          </w:rPr>
          <w:t xml:space="preserve">Figura I.3. 7 - </w:t>
        </w:r>
        <w:r w:rsidR="00BA35B3" w:rsidRPr="00BD3D55">
          <w:rPr>
            <w:rStyle w:val="Hyperlink"/>
            <w:rFonts w:ascii="Arial" w:hAnsi="Arial" w:cs="Arial"/>
            <w:noProof/>
            <w:lang w:val="ro-RO"/>
          </w:rPr>
          <w:t>Rețeaua de drumuri în funcție de tipul drumului – detaliu</w:t>
        </w:r>
        <w:r w:rsidR="00BA35B3">
          <w:rPr>
            <w:noProof/>
            <w:webHidden/>
          </w:rPr>
          <w:tab/>
        </w:r>
        <w:r w:rsidR="00BA35B3">
          <w:rPr>
            <w:noProof/>
            <w:webHidden/>
          </w:rPr>
          <w:fldChar w:fldCharType="begin"/>
        </w:r>
        <w:r w:rsidR="00BA35B3">
          <w:rPr>
            <w:noProof/>
            <w:webHidden/>
          </w:rPr>
          <w:instrText xml:space="preserve"> PAGEREF _Toc140744484 \h </w:instrText>
        </w:r>
        <w:r w:rsidR="00BA35B3">
          <w:rPr>
            <w:noProof/>
            <w:webHidden/>
          </w:rPr>
        </w:r>
        <w:r w:rsidR="00BA35B3">
          <w:rPr>
            <w:noProof/>
            <w:webHidden/>
          </w:rPr>
          <w:fldChar w:fldCharType="separate"/>
        </w:r>
        <w:r w:rsidR="00BB181C">
          <w:rPr>
            <w:noProof/>
            <w:webHidden/>
          </w:rPr>
          <w:t>133</w:t>
        </w:r>
        <w:r w:rsidR="00BA35B3">
          <w:rPr>
            <w:noProof/>
            <w:webHidden/>
          </w:rPr>
          <w:fldChar w:fldCharType="end"/>
        </w:r>
      </w:hyperlink>
    </w:p>
    <w:p w14:paraId="57413465" w14:textId="42993D83" w:rsidR="00BA35B3" w:rsidRDefault="00000000">
      <w:pPr>
        <w:pStyle w:val="Tabeldefiguri"/>
        <w:tabs>
          <w:tab w:val="right" w:leader="dot" w:pos="9645"/>
        </w:tabs>
        <w:rPr>
          <w:rFonts w:eastAsiaTheme="minorEastAsia"/>
          <w:noProof/>
          <w:kern w:val="2"/>
          <w14:ligatures w14:val="standardContextual"/>
        </w:rPr>
      </w:pPr>
      <w:hyperlink w:anchor="_Toc140744485" w:history="1">
        <w:r w:rsidR="00BA35B3" w:rsidRPr="00BD3D55">
          <w:rPr>
            <w:rStyle w:val="Hyperlink"/>
            <w:rFonts w:ascii="Arial" w:hAnsi="Arial" w:cs="Arial"/>
            <w:noProof/>
          </w:rPr>
          <w:t>Figura I.3. 8 - Amplasarea punctelor de recenzare a traficului</w:t>
        </w:r>
        <w:r w:rsidR="00BA35B3">
          <w:rPr>
            <w:noProof/>
            <w:webHidden/>
          </w:rPr>
          <w:tab/>
        </w:r>
        <w:r w:rsidR="00BA35B3">
          <w:rPr>
            <w:noProof/>
            <w:webHidden/>
          </w:rPr>
          <w:fldChar w:fldCharType="begin"/>
        </w:r>
        <w:r w:rsidR="00BA35B3">
          <w:rPr>
            <w:noProof/>
            <w:webHidden/>
          </w:rPr>
          <w:instrText xml:space="preserve"> PAGEREF _Toc140744485 \h </w:instrText>
        </w:r>
        <w:r w:rsidR="00BA35B3">
          <w:rPr>
            <w:noProof/>
            <w:webHidden/>
          </w:rPr>
        </w:r>
        <w:r w:rsidR="00BA35B3">
          <w:rPr>
            <w:noProof/>
            <w:webHidden/>
          </w:rPr>
          <w:fldChar w:fldCharType="separate"/>
        </w:r>
        <w:r w:rsidR="00BB181C">
          <w:rPr>
            <w:noProof/>
            <w:webHidden/>
          </w:rPr>
          <w:t>136</w:t>
        </w:r>
        <w:r w:rsidR="00BA35B3">
          <w:rPr>
            <w:noProof/>
            <w:webHidden/>
          </w:rPr>
          <w:fldChar w:fldCharType="end"/>
        </w:r>
      </w:hyperlink>
    </w:p>
    <w:p w14:paraId="7B83F85B" w14:textId="35FC135A" w:rsidR="00BA35B3" w:rsidRDefault="00000000">
      <w:pPr>
        <w:pStyle w:val="Tabeldefiguri"/>
        <w:tabs>
          <w:tab w:val="right" w:leader="dot" w:pos="9645"/>
        </w:tabs>
        <w:rPr>
          <w:rFonts w:eastAsiaTheme="minorEastAsia"/>
          <w:noProof/>
          <w:kern w:val="2"/>
          <w14:ligatures w14:val="standardContextual"/>
        </w:rPr>
      </w:pPr>
      <w:hyperlink w:anchor="_Toc140744486" w:history="1">
        <w:r w:rsidR="00BA35B3" w:rsidRPr="00BD3D55">
          <w:rPr>
            <w:rStyle w:val="Hyperlink"/>
            <w:rFonts w:ascii="Arial" w:hAnsi="Arial" w:cs="Arial"/>
            <w:noProof/>
          </w:rPr>
          <w:t>Figura I.3. 9 - Amplasarea intersecţiilor monitorizate video considerate</w:t>
        </w:r>
        <w:r w:rsidR="00BA35B3">
          <w:rPr>
            <w:noProof/>
            <w:webHidden/>
          </w:rPr>
          <w:tab/>
        </w:r>
        <w:r w:rsidR="00BA35B3">
          <w:rPr>
            <w:noProof/>
            <w:webHidden/>
          </w:rPr>
          <w:fldChar w:fldCharType="begin"/>
        </w:r>
        <w:r w:rsidR="00BA35B3">
          <w:rPr>
            <w:noProof/>
            <w:webHidden/>
          </w:rPr>
          <w:instrText xml:space="preserve"> PAGEREF _Toc140744486 \h </w:instrText>
        </w:r>
        <w:r w:rsidR="00BA35B3">
          <w:rPr>
            <w:noProof/>
            <w:webHidden/>
          </w:rPr>
        </w:r>
        <w:r w:rsidR="00BA35B3">
          <w:rPr>
            <w:noProof/>
            <w:webHidden/>
          </w:rPr>
          <w:fldChar w:fldCharType="separate"/>
        </w:r>
        <w:r w:rsidR="00BB181C">
          <w:rPr>
            <w:noProof/>
            <w:webHidden/>
          </w:rPr>
          <w:t>137</w:t>
        </w:r>
        <w:r w:rsidR="00BA35B3">
          <w:rPr>
            <w:noProof/>
            <w:webHidden/>
          </w:rPr>
          <w:fldChar w:fldCharType="end"/>
        </w:r>
      </w:hyperlink>
    </w:p>
    <w:p w14:paraId="10DBA9F5" w14:textId="04B675F9" w:rsidR="00BA35B3" w:rsidRDefault="00000000">
      <w:pPr>
        <w:pStyle w:val="Tabeldefiguri"/>
        <w:tabs>
          <w:tab w:val="right" w:leader="dot" w:pos="9645"/>
        </w:tabs>
        <w:rPr>
          <w:rFonts w:eastAsiaTheme="minorEastAsia"/>
          <w:noProof/>
          <w:kern w:val="2"/>
          <w14:ligatures w14:val="standardContextual"/>
        </w:rPr>
      </w:pPr>
      <w:hyperlink w:anchor="_Toc140744487" w:history="1">
        <w:r w:rsidR="00BA35B3" w:rsidRPr="00BD3D55">
          <w:rPr>
            <w:rStyle w:val="Hyperlink"/>
            <w:rFonts w:ascii="Arial" w:hAnsi="Arial" w:cs="Arial"/>
            <w:noProof/>
          </w:rPr>
          <w:t>Figura I.3. 10- Distribuţia pe categorii de vârstă a respondenţilor</w:t>
        </w:r>
        <w:r w:rsidR="00BA35B3">
          <w:rPr>
            <w:noProof/>
            <w:webHidden/>
          </w:rPr>
          <w:tab/>
        </w:r>
        <w:r w:rsidR="00BA35B3">
          <w:rPr>
            <w:noProof/>
            <w:webHidden/>
          </w:rPr>
          <w:fldChar w:fldCharType="begin"/>
        </w:r>
        <w:r w:rsidR="00BA35B3">
          <w:rPr>
            <w:noProof/>
            <w:webHidden/>
          </w:rPr>
          <w:instrText xml:space="preserve"> PAGEREF _Toc140744487 \h </w:instrText>
        </w:r>
        <w:r w:rsidR="00BA35B3">
          <w:rPr>
            <w:noProof/>
            <w:webHidden/>
          </w:rPr>
        </w:r>
        <w:r w:rsidR="00BA35B3">
          <w:rPr>
            <w:noProof/>
            <w:webHidden/>
          </w:rPr>
          <w:fldChar w:fldCharType="separate"/>
        </w:r>
        <w:r w:rsidR="00BB181C">
          <w:rPr>
            <w:noProof/>
            <w:webHidden/>
          </w:rPr>
          <w:t>138</w:t>
        </w:r>
        <w:r w:rsidR="00BA35B3">
          <w:rPr>
            <w:noProof/>
            <w:webHidden/>
          </w:rPr>
          <w:fldChar w:fldCharType="end"/>
        </w:r>
      </w:hyperlink>
    </w:p>
    <w:p w14:paraId="5613C8E3" w14:textId="1CA428A9" w:rsidR="00BA35B3" w:rsidRDefault="00000000">
      <w:pPr>
        <w:pStyle w:val="Tabeldefiguri"/>
        <w:tabs>
          <w:tab w:val="right" w:leader="dot" w:pos="9645"/>
        </w:tabs>
        <w:rPr>
          <w:rFonts w:eastAsiaTheme="minorEastAsia"/>
          <w:noProof/>
          <w:kern w:val="2"/>
          <w14:ligatures w14:val="standardContextual"/>
        </w:rPr>
      </w:pPr>
      <w:hyperlink w:anchor="_Toc140744488" w:history="1">
        <w:r w:rsidR="00BA35B3" w:rsidRPr="00BD3D55">
          <w:rPr>
            <w:rStyle w:val="Hyperlink"/>
            <w:rFonts w:ascii="Arial" w:hAnsi="Arial" w:cs="Arial"/>
            <w:noProof/>
          </w:rPr>
          <w:t xml:space="preserve">Figura I.3. 11 - </w:t>
        </w:r>
        <w:r w:rsidR="00BA35B3" w:rsidRPr="00BD3D55">
          <w:rPr>
            <w:rStyle w:val="Hyperlink"/>
            <w:rFonts w:ascii="Arial" w:hAnsi="Arial" w:cs="Arial"/>
            <w:noProof/>
            <w:kern w:val="1"/>
            <w:lang w:val="ro-RO" w:eastAsia="hi-IN" w:bidi="hi-IN"/>
          </w:rPr>
          <w:t>Număr membri în gospodărie</w:t>
        </w:r>
        <w:r w:rsidR="00BA35B3">
          <w:rPr>
            <w:noProof/>
            <w:webHidden/>
          </w:rPr>
          <w:tab/>
        </w:r>
        <w:r w:rsidR="00BA35B3">
          <w:rPr>
            <w:noProof/>
            <w:webHidden/>
          </w:rPr>
          <w:fldChar w:fldCharType="begin"/>
        </w:r>
        <w:r w:rsidR="00BA35B3">
          <w:rPr>
            <w:noProof/>
            <w:webHidden/>
          </w:rPr>
          <w:instrText xml:space="preserve"> PAGEREF _Toc140744488 \h </w:instrText>
        </w:r>
        <w:r w:rsidR="00BA35B3">
          <w:rPr>
            <w:noProof/>
            <w:webHidden/>
          </w:rPr>
        </w:r>
        <w:r w:rsidR="00BA35B3">
          <w:rPr>
            <w:noProof/>
            <w:webHidden/>
          </w:rPr>
          <w:fldChar w:fldCharType="separate"/>
        </w:r>
        <w:r w:rsidR="00BB181C">
          <w:rPr>
            <w:noProof/>
            <w:webHidden/>
          </w:rPr>
          <w:t>138</w:t>
        </w:r>
        <w:r w:rsidR="00BA35B3">
          <w:rPr>
            <w:noProof/>
            <w:webHidden/>
          </w:rPr>
          <w:fldChar w:fldCharType="end"/>
        </w:r>
      </w:hyperlink>
    </w:p>
    <w:p w14:paraId="500E7EBC" w14:textId="262511F7" w:rsidR="00BA35B3" w:rsidRDefault="00000000">
      <w:pPr>
        <w:pStyle w:val="Tabeldefiguri"/>
        <w:tabs>
          <w:tab w:val="right" w:leader="dot" w:pos="9645"/>
        </w:tabs>
        <w:rPr>
          <w:rFonts w:eastAsiaTheme="minorEastAsia"/>
          <w:noProof/>
          <w:kern w:val="2"/>
          <w14:ligatures w14:val="standardContextual"/>
        </w:rPr>
      </w:pPr>
      <w:hyperlink w:anchor="_Toc140744489" w:history="1">
        <w:r w:rsidR="00BA35B3" w:rsidRPr="00BD3D55">
          <w:rPr>
            <w:rStyle w:val="Hyperlink"/>
            <w:rFonts w:ascii="Arial" w:hAnsi="Arial" w:cs="Arial"/>
            <w:noProof/>
          </w:rPr>
          <w:t xml:space="preserve">Figura I.3. 12 - </w:t>
        </w:r>
        <w:r w:rsidR="00BA35B3" w:rsidRPr="00BD3D55">
          <w:rPr>
            <w:rStyle w:val="Hyperlink"/>
            <w:rFonts w:ascii="Arial" w:hAnsi="Arial" w:cs="Arial"/>
            <w:noProof/>
            <w:kern w:val="1"/>
            <w:lang w:val="ro-RO" w:eastAsia="hi-IN" w:bidi="hi-IN"/>
          </w:rPr>
          <w:t>Număr autoturisme deţinute în gospodării</w:t>
        </w:r>
        <w:r w:rsidR="00BA35B3">
          <w:rPr>
            <w:noProof/>
            <w:webHidden/>
          </w:rPr>
          <w:tab/>
        </w:r>
        <w:r w:rsidR="00BA35B3">
          <w:rPr>
            <w:noProof/>
            <w:webHidden/>
          </w:rPr>
          <w:fldChar w:fldCharType="begin"/>
        </w:r>
        <w:r w:rsidR="00BA35B3">
          <w:rPr>
            <w:noProof/>
            <w:webHidden/>
          </w:rPr>
          <w:instrText xml:space="preserve"> PAGEREF _Toc140744489 \h </w:instrText>
        </w:r>
        <w:r w:rsidR="00BA35B3">
          <w:rPr>
            <w:noProof/>
            <w:webHidden/>
          </w:rPr>
        </w:r>
        <w:r w:rsidR="00BA35B3">
          <w:rPr>
            <w:noProof/>
            <w:webHidden/>
          </w:rPr>
          <w:fldChar w:fldCharType="separate"/>
        </w:r>
        <w:r w:rsidR="00BB181C">
          <w:rPr>
            <w:noProof/>
            <w:webHidden/>
          </w:rPr>
          <w:t>139</w:t>
        </w:r>
        <w:r w:rsidR="00BA35B3">
          <w:rPr>
            <w:noProof/>
            <w:webHidden/>
          </w:rPr>
          <w:fldChar w:fldCharType="end"/>
        </w:r>
      </w:hyperlink>
    </w:p>
    <w:p w14:paraId="5720DD12" w14:textId="619E8141" w:rsidR="00BA35B3" w:rsidRDefault="00000000">
      <w:pPr>
        <w:pStyle w:val="Tabeldefiguri"/>
        <w:tabs>
          <w:tab w:val="right" w:leader="dot" w:pos="9645"/>
        </w:tabs>
        <w:rPr>
          <w:rFonts w:eastAsiaTheme="minorEastAsia"/>
          <w:noProof/>
          <w:kern w:val="2"/>
          <w14:ligatures w14:val="standardContextual"/>
        </w:rPr>
      </w:pPr>
      <w:hyperlink w:anchor="_Toc140744490" w:history="1">
        <w:r w:rsidR="00BA35B3" w:rsidRPr="00BD3D55">
          <w:rPr>
            <w:rStyle w:val="Hyperlink"/>
            <w:rFonts w:ascii="Arial" w:hAnsi="Arial" w:cs="Arial"/>
            <w:noProof/>
          </w:rPr>
          <w:t>Figura I.3. 13 – Situaţie deţinere carnet de conducere</w:t>
        </w:r>
        <w:r w:rsidR="00BA35B3">
          <w:rPr>
            <w:noProof/>
            <w:webHidden/>
          </w:rPr>
          <w:tab/>
        </w:r>
        <w:r w:rsidR="00BA35B3">
          <w:rPr>
            <w:noProof/>
            <w:webHidden/>
          </w:rPr>
          <w:fldChar w:fldCharType="begin"/>
        </w:r>
        <w:r w:rsidR="00BA35B3">
          <w:rPr>
            <w:noProof/>
            <w:webHidden/>
          </w:rPr>
          <w:instrText xml:space="preserve"> PAGEREF _Toc140744490 \h </w:instrText>
        </w:r>
        <w:r w:rsidR="00BA35B3">
          <w:rPr>
            <w:noProof/>
            <w:webHidden/>
          </w:rPr>
        </w:r>
        <w:r w:rsidR="00BA35B3">
          <w:rPr>
            <w:noProof/>
            <w:webHidden/>
          </w:rPr>
          <w:fldChar w:fldCharType="separate"/>
        </w:r>
        <w:r w:rsidR="00BB181C">
          <w:rPr>
            <w:noProof/>
            <w:webHidden/>
          </w:rPr>
          <w:t>139</w:t>
        </w:r>
        <w:r w:rsidR="00BA35B3">
          <w:rPr>
            <w:noProof/>
            <w:webHidden/>
          </w:rPr>
          <w:fldChar w:fldCharType="end"/>
        </w:r>
      </w:hyperlink>
    </w:p>
    <w:p w14:paraId="22CDCF29" w14:textId="38C8FCA8" w:rsidR="00BA35B3" w:rsidRDefault="00000000">
      <w:pPr>
        <w:pStyle w:val="Tabeldefiguri"/>
        <w:tabs>
          <w:tab w:val="right" w:leader="dot" w:pos="9645"/>
        </w:tabs>
        <w:rPr>
          <w:rFonts w:eastAsiaTheme="minorEastAsia"/>
          <w:noProof/>
          <w:kern w:val="2"/>
          <w14:ligatures w14:val="standardContextual"/>
        </w:rPr>
      </w:pPr>
      <w:hyperlink w:anchor="_Toc140744491" w:history="1">
        <w:r w:rsidR="00BA35B3" w:rsidRPr="00BD3D55">
          <w:rPr>
            <w:rStyle w:val="Hyperlink"/>
            <w:rFonts w:ascii="Arial" w:hAnsi="Arial" w:cs="Arial"/>
            <w:noProof/>
          </w:rPr>
          <w:t>Figura I.3. 14 - Venit mediu lunar pe gospodărie</w:t>
        </w:r>
        <w:r w:rsidR="00BA35B3">
          <w:rPr>
            <w:noProof/>
            <w:webHidden/>
          </w:rPr>
          <w:tab/>
        </w:r>
        <w:r w:rsidR="00BA35B3">
          <w:rPr>
            <w:noProof/>
            <w:webHidden/>
          </w:rPr>
          <w:fldChar w:fldCharType="begin"/>
        </w:r>
        <w:r w:rsidR="00BA35B3">
          <w:rPr>
            <w:noProof/>
            <w:webHidden/>
          </w:rPr>
          <w:instrText xml:space="preserve"> PAGEREF _Toc140744491 \h </w:instrText>
        </w:r>
        <w:r w:rsidR="00BA35B3">
          <w:rPr>
            <w:noProof/>
            <w:webHidden/>
          </w:rPr>
        </w:r>
        <w:r w:rsidR="00BA35B3">
          <w:rPr>
            <w:noProof/>
            <w:webHidden/>
          </w:rPr>
          <w:fldChar w:fldCharType="separate"/>
        </w:r>
        <w:r w:rsidR="00BB181C">
          <w:rPr>
            <w:noProof/>
            <w:webHidden/>
          </w:rPr>
          <w:t>140</w:t>
        </w:r>
        <w:r w:rsidR="00BA35B3">
          <w:rPr>
            <w:noProof/>
            <w:webHidden/>
          </w:rPr>
          <w:fldChar w:fldCharType="end"/>
        </w:r>
      </w:hyperlink>
    </w:p>
    <w:p w14:paraId="4C9126A5" w14:textId="1574EC73" w:rsidR="00BA35B3" w:rsidRDefault="00000000">
      <w:pPr>
        <w:pStyle w:val="Tabeldefiguri"/>
        <w:tabs>
          <w:tab w:val="right" w:leader="dot" w:pos="9645"/>
        </w:tabs>
        <w:rPr>
          <w:rFonts w:eastAsiaTheme="minorEastAsia"/>
          <w:noProof/>
          <w:kern w:val="2"/>
          <w14:ligatures w14:val="standardContextual"/>
        </w:rPr>
      </w:pPr>
      <w:hyperlink w:anchor="_Toc140744492" w:history="1">
        <w:r w:rsidR="00BA35B3" w:rsidRPr="00BD3D55">
          <w:rPr>
            <w:rStyle w:val="Hyperlink"/>
            <w:rFonts w:ascii="Arial" w:hAnsi="Arial" w:cs="Arial"/>
            <w:noProof/>
          </w:rPr>
          <w:t xml:space="preserve">Figura I.3. 15 - </w:t>
        </w:r>
        <w:r w:rsidR="00BA35B3" w:rsidRPr="00BD3D55">
          <w:rPr>
            <w:rStyle w:val="Hyperlink"/>
            <w:rFonts w:ascii="Arial" w:hAnsi="Arial" w:cs="Arial"/>
            <w:noProof/>
            <w:kern w:val="1"/>
            <w:lang w:val="ro-RO" w:eastAsia="hi-IN" w:bidi="hi-IN"/>
          </w:rPr>
          <w:t>Număr angajaţi pe gospodărie</w:t>
        </w:r>
        <w:r w:rsidR="00BA35B3">
          <w:rPr>
            <w:noProof/>
            <w:webHidden/>
          </w:rPr>
          <w:tab/>
        </w:r>
        <w:r w:rsidR="00BA35B3">
          <w:rPr>
            <w:noProof/>
            <w:webHidden/>
          </w:rPr>
          <w:fldChar w:fldCharType="begin"/>
        </w:r>
        <w:r w:rsidR="00BA35B3">
          <w:rPr>
            <w:noProof/>
            <w:webHidden/>
          </w:rPr>
          <w:instrText xml:space="preserve"> PAGEREF _Toc140744492 \h </w:instrText>
        </w:r>
        <w:r w:rsidR="00BA35B3">
          <w:rPr>
            <w:noProof/>
            <w:webHidden/>
          </w:rPr>
        </w:r>
        <w:r w:rsidR="00BA35B3">
          <w:rPr>
            <w:noProof/>
            <w:webHidden/>
          </w:rPr>
          <w:fldChar w:fldCharType="separate"/>
        </w:r>
        <w:r w:rsidR="00BB181C">
          <w:rPr>
            <w:noProof/>
            <w:webHidden/>
          </w:rPr>
          <w:t>140</w:t>
        </w:r>
        <w:r w:rsidR="00BA35B3">
          <w:rPr>
            <w:noProof/>
            <w:webHidden/>
          </w:rPr>
          <w:fldChar w:fldCharType="end"/>
        </w:r>
      </w:hyperlink>
    </w:p>
    <w:p w14:paraId="77845E1B" w14:textId="2784D6C0" w:rsidR="00BA35B3" w:rsidRDefault="00000000">
      <w:pPr>
        <w:pStyle w:val="Tabeldefiguri"/>
        <w:tabs>
          <w:tab w:val="right" w:leader="dot" w:pos="9645"/>
        </w:tabs>
        <w:rPr>
          <w:rFonts w:eastAsiaTheme="minorEastAsia"/>
          <w:noProof/>
          <w:kern w:val="2"/>
          <w14:ligatures w14:val="standardContextual"/>
        </w:rPr>
      </w:pPr>
      <w:hyperlink w:anchor="_Toc140744493" w:history="1">
        <w:r w:rsidR="00BA35B3" w:rsidRPr="00BD3D55">
          <w:rPr>
            <w:rStyle w:val="Hyperlink"/>
            <w:rFonts w:ascii="Arial" w:hAnsi="Arial" w:cs="Arial"/>
            <w:noProof/>
          </w:rPr>
          <w:t xml:space="preserve">Figura I.3. 16 - </w:t>
        </w:r>
        <w:r w:rsidR="00BA35B3" w:rsidRPr="00BD3D55">
          <w:rPr>
            <w:rStyle w:val="Hyperlink"/>
            <w:rFonts w:ascii="Arial" w:hAnsi="Arial" w:cs="Arial"/>
            <w:noProof/>
            <w:kern w:val="1"/>
            <w:lang w:val="ro-RO" w:eastAsia="hi-IN" w:bidi="hi-IN"/>
          </w:rPr>
          <w:t>Număr şomeri pe gospodărie</w:t>
        </w:r>
        <w:r w:rsidR="00BA35B3">
          <w:rPr>
            <w:noProof/>
            <w:webHidden/>
          </w:rPr>
          <w:tab/>
        </w:r>
        <w:r w:rsidR="00BA35B3">
          <w:rPr>
            <w:noProof/>
            <w:webHidden/>
          </w:rPr>
          <w:fldChar w:fldCharType="begin"/>
        </w:r>
        <w:r w:rsidR="00BA35B3">
          <w:rPr>
            <w:noProof/>
            <w:webHidden/>
          </w:rPr>
          <w:instrText xml:space="preserve"> PAGEREF _Toc140744493 \h </w:instrText>
        </w:r>
        <w:r w:rsidR="00BA35B3">
          <w:rPr>
            <w:noProof/>
            <w:webHidden/>
          </w:rPr>
        </w:r>
        <w:r w:rsidR="00BA35B3">
          <w:rPr>
            <w:noProof/>
            <w:webHidden/>
          </w:rPr>
          <w:fldChar w:fldCharType="separate"/>
        </w:r>
        <w:r w:rsidR="00BB181C">
          <w:rPr>
            <w:noProof/>
            <w:webHidden/>
          </w:rPr>
          <w:t>141</w:t>
        </w:r>
        <w:r w:rsidR="00BA35B3">
          <w:rPr>
            <w:noProof/>
            <w:webHidden/>
          </w:rPr>
          <w:fldChar w:fldCharType="end"/>
        </w:r>
      </w:hyperlink>
    </w:p>
    <w:p w14:paraId="2C1B2DAB" w14:textId="66EA60C5" w:rsidR="00BA35B3" w:rsidRDefault="00000000">
      <w:pPr>
        <w:pStyle w:val="Tabeldefiguri"/>
        <w:tabs>
          <w:tab w:val="right" w:leader="dot" w:pos="9645"/>
        </w:tabs>
        <w:rPr>
          <w:rFonts w:eastAsiaTheme="minorEastAsia"/>
          <w:noProof/>
          <w:kern w:val="2"/>
          <w14:ligatures w14:val="standardContextual"/>
        </w:rPr>
      </w:pPr>
      <w:hyperlink w:anchor="_Toc140744494" w:history="1">
        <w:r w:rsidR="00BA35B3" w:rsidRPr="00BD3D55">
          <w:rPr>
            <w:rStyle w:val="Hyperlink"/>
            <w:rFonts w:ascii="Arial" w:hAnsi="Arial" w:cs="Arial"/>
            <w:noProof/>
          </w:rPr>
          <w:t xml:space="preserve">Figura I.3. 17 - </w:t>
        </w:r>
        <w:r w:rsidR="00BA35B3" w:rsidRPr="00BD3D55">
          <w:rPr>
            <w:rStyle w:val="Hyperlink"/>
            <w:rFonts w:ascii="Arial" w:hAnsi="Arial" w:cs="Arial"/>
            <w:noProof/>
            <w:kern w:val="1"/>
          </w:rPr>
          <w:t>Număr şcolari pe gospodărie</w:t>
        </w:r>
        <w:r w:rsidR="00BA35B3">
          <w:rPr>
            <w:noProof/>
            <w:webHidden/>
          </w:rPr>
          <w:tab/>
        </w:r>
        <w:r w:rsidR="00BA35B3">
          <w:rPr>
            <w:noProof/>
            <w:webHidden/>
          </w:rPr>
          <w:fldChar w:fldCharType="begin"/>
        </w:r>
        <w:r w:rsidR="00BA35B3">
          <w:rPr>
            <w:noProof/>
            <w:webHidden/>
          </w:rPr>
          <w:instrText xml:space="preserve"> PAGEREF _Toc140744494 \h </w:instrText>
        </w:r>
        <w:r w:rsidR="00BA35B3">
          <w:rPr>
            <w:noProof/>
            <w:webHidden/>
          </w:rPr>
        </w:r>
        <w:r w:rsidR="00BA35B3">
          <w:rPr>
            <w:noProof/>
            <w:webHidden/>
          </w:rPr>
          <w:fldChar w:fldCharType="separate"/>
        </w:r>
        <w:r w:rsidR="00BB181C">
          <w:rPr>
            <w:noProof/>
            <w:webHidden/>
          </w:rPr>
          <w:t>141</w:t>
        </w:r>
        <w:r w:rsidR="00BA35B3">
          <w:rPr>
            <w:noProof/>
            <w:webHidden/>
          </w:rPr>
          <w:fldChar w:fldCharType="end"/>
        </w:r>
      </w:hyperlink>
    </w:p>
    <w:p w14:paraId="29B3B657" w14:textId="3FD2CD27" w:rsidR="00BA35B3" w:rsidRDefault="00000000">
      <w:pPr>
        <w:pStyle w:val="Tabeldefiguri"/>
        <w:tabs>
          <w:tab w:val="right" w:leader="dot" w:pos="9645"/>
        </w:tabs>
        <w:rPr>
          <w:rFonts w:eastAsiaTheme="minorEastAsia"/>
          <w:noProof/>
          <w:kern w:val="2"/>
          <w14:ligatures w14:val="standardContextual"/>
        </w:rPr>
      </w:pPr>
      <w:hyperlink w:anchor="_Toc140744495" w:history="1">
        <w:r w:rsidR="00BA35B3" w:rsidRPr="00BD3D55">
          <w:rPr>
            <w:rStyle w:val="Hyperlink"/>
            <w:rFonts w:ascii="Arial" w:hAnsi="Arial" w:cs="Arial"/>
            <w:noProof/>
          </w:rPr>
          <w:t xml:space="preserve">Figura I.3. 18 - </w:t>
        </w:r>
        <w:r w:rsidR="00BA35B3" w:rsidRPr="00BD3D55">
          <w:rPr>
            <w:rStyle w:val="Hyperlink"/>
            <w:rFonts w:ascii="Arial" w:hAnsi="Arial" w:cs="Arial"/>
            <w:noProof/>
            <w:kern w:val="1"/>
          </w:rPr>
          <w:t>Număr pensionari pe gospodărie</w:t>
        </w:r>
        <w:r w:rsidR="00BA35B3">
          <w:rPr>
            <w:noProof/>
            <w:webHidden/>
          </w:rPr>
          <w:tab/>
        </w:r>
        <w:r w:rsidR="00BA35B3">
          <w:rPr>
            <w:noProof/>
            <w:webHidden/>
          </w:rPr>
          <w:fldChar w:fldCharType="begin"/>
        </w:r>
        <w:r w:rsidR="00BA35B3">
          <w:rPr>
            <w:noProof/>
            <w:webHidden/>
          </w:rPr>
          <w:instrText xml:space="preserve"> PAGEREF _Toc140744495 \h </w:instrText>
        </w:r>
        <w:r w:rsidR="00BA35B3">
          <w:rPr>
            <w:noProof/>
            <w:webHidden/>
          </w:rPr>
        </w:r>
        <w:r w:rsidR="00BA35B3">
          <w:rPr>
            <w:noProof/>
            <w:webHidden/>
          </w:rPr>
          <w:fldChar w:fldCharType="separate"/>
        </w:r>
        <w:r w:rsidR="00BB181C">
          <w:rPr>
            <w:noProof/>
            <w:webHidden/>
          </w:rPr>
          <w:t>142</w:t>
        </w:r>
        <w:r w:rsidR="00BA35B3">
          <w:rPr>
            <w:noProof/>
            <w:webHidden/>
          </w:rPr>
          <w:fldChar w:fldCharType="end"/>
        </w:r>
      </w:hyperlink>
    </w:p>
    <w:p w14:paraId="6E66EA70" w14:textId="688738BE" w:rsidR="00BA35B3" w:rsidRDefault="00000000">
      <w:pPr>
        <w:pStyle w:val="Tabeldefiguri"/>
        <w:tabs>
          <w:tab w:val="right" w:leader="dot" w:pos="9645"/>
        </w:tabs>
        <w:rPr>
          <w:rFonts w:eastAsiaTheme="minorEastAsia"/>
          <w:noProof/>
          <w:kern w:val="2"/>
          <w14:ligatures w14:val="standardContextual"/>
        </w:rPr>
      </w:pPr>
      <w:hyperlink w:anchor="_Toc140744496" w:history="1">
        <w:r w:rsidR="00BA35B3" w:rsidRPr="00BD3D55">
          <w:rPr>
            <w:rStyle w:val="Hyperlink"/>
            <w:rFonts w:ascii="Arial" w:hAnsi="Arial" w:cs="Arial"/>
            <w:noProof/>
          </w:rPr>
          <w:t xml:space="preserve">Figura I.3. 19 - </w:t>
        </w:r>
        <w:r w:rsidR="00BA35B3" w:rsidRPr="00BD3D55">
          <w:rPr>
            <w:rStyle w:val="Hyperlink"/>
            <w:rFonts w:ascii="Arial" w:hAnsi="Arial" w:cs="Arial"/>
            <w:noProof/>
            <w:kern w:val="1"/>
            <w:lang w:val="ro-RO" w:eastAsia="hi-IN" w:bidi="hi-IN"/>
          </w:rPr>
          <w:t>Frecvenţa deplasării la locul de muncă</w:t>
        </w:r>
        <w:r w:rsidR="00BA35B3">
          <w:rPr>
            <w:noProof/>
            <w:webHidden/>
          </w:rPr>
          <w:tab/>
        </w:r>
        <w:r w:rsidR="00BA35B3">
          <w:rPr>
            <w:noProof/>
            <w:webHidden/>
          </w:rPr>
          <w:fldChar w:fldCharType="begin"/>
        </w:r>
        <w:r w:rsidR="00BA35B3">
          <w:rPr>
            <w:noProof/>
            <w:webHidden/>
          </w:rPr>
          <w:instrText xml:space="preserve"> PAGEREF _Toc140744496 \h </w:instrText>
        </w:r>
        <w:r w:rsidR="00BA35B3">
          <w:rPr>
            <w:noProof/>
            <w:webHidden/>
          </w:rPr>
        </w:r>
        <w:r w:rsidR="00BA35B3">
          <w:rPr>
            <w:noProof/>
            <w:webHidden/>
          </w:rPr>
          <w:fldChar w:fldCharType="separate"/>
        </w:r>
        <w:r w:rsidR="00BB181C">
          <w:rPr>
            <w:noProof/>
            <w:webHidden/>
          </w:rPr>
          <w:t>143</w:t>
        </w:r>
        <w:r w:rsidR="00BA35B3">
          <w:rPr>
            <w:noProof/>
            <w:webHidden/>
          </w:rPr>
          <w:fldChar w:fldCharType="end"/>
        </w:r>
      </w:hyperlink>
    </w:p>
    <w:p w14:paraId="7D3CCBC9" w14:textId="4A91E9F0" w:rsidR="00BA35B3" w:rsidRDefault="00000000">
      <w:pPr>
        <w:pStyle w:val="Tabeldefiguri"/>
        <w:tabs>
          <w:tab w:val="right" w:leader="dot" w:pos="9645"/>
        </w:tabs>
        <w:rPr>
          <w:rFonts w:eastAsiaTheme="minorEastAsia"/>
          <w:noProof/>
          <w:kern w:val="2"/>
          <w14:ligatures w14:val="standardContextual"/>
        </w:rPr>
      </w:pPr>
      <w:hyperlink w:anchor="_Toc140744497" w:history="1">
        <w:r w:rsidR="00BA35B3" w:rsidRPr="00BD3D55">
          <w:rPr>
            <w:rStyle w:val="Hyperlink"/>
            <w:rFonts w:ascii="Arial" w:hAnsi="Arial" w:cs="Arial"/>
            <w:noProof/>
          </w:rPr>
          <w:t xml:space="preserve">Figura I.3. 20 - </w:t>
        </w:r>
        <w:r w:rsidR="00BA35B3" w:rsidRPr="00BD3D55">
          <w:rPr>
            <w:rStyle w:val="Hyperlink"/>
            <w:rFonts w:ascii="Arial" w:hAnsi="Arial" w:cs="Arial"/>
            <w:noProof/>
            <w:kern w:val="1"/>
            <w:lang w:val="ro-RO" w:eastAsia="hi-IN" w:bidi="hi-IN"/>
          </w:rPr>
          <w:t>Moduri de transport utilizate în deplasarea la locul de muncă</w:t>
        </w:r>
        <w:r w:rsidR="00BA35B3">
          <w:rPr>
            <w:noProof/>
            <w:webHidden/>
          </w:rPr>
          <w:tab/>
        </w:r>
        <w:r w:rsidR="00BA35B3">
          <w:rPr>
            <w:noProof/>
            <w:webHidden/>
          </w:rPr>
          <w:fldChar w:fldCharType="begin"/>
        </w:r>
        <w:r w:rsidR="00BA35B3">
          <w:rPr>
            <w:noProof/>
            <w:webHidden/>
          </w:rPr>
          <w:instrText xml:space="preserve"> PAGEREF _Toc140744497 \h </w:instrText>
        </w:r>
        <w:r w:rsidR="00BA35B3">
          <w:rPr>
            <w:noProof/>
            <w:webHidden/>
          </w:rPr>
        </w:r>
        <w:r w:rsidR="00BA35B3">
          <w:rPr>
            <w:noProof/>
            <w:webHidden/>
          </w:rPr>
          <w:fldChar w:fldCharType="separate"/>
        </w:r>
        <w:r w:rsidR="00BB181C">
          <w:rPr>
            <w:noProof/>
            <w:webHidden/>
          </w:rPr>
          <w:t>144</w:t>
        </w:r>
        <w:r w:rsidR="00BA35B3">
          <w:rPr>
            <w:noProof/>
            <w:webHidden/>
          </w:rPr>
          <w:fldChar w:fldCharType="end"/>
        </w:r>
      </w:hyperlink>
    </w:p>
    <w:p w14:paraId="2062DD06" w14:textId="5947A67D" w:rsidR="00BA35B3" w:rsidRDefault="00000000">
      <w:pPr>
        <w:pStyle w:val="Tabeldefiguri"/>
        <w:tabs>
          <w:tab w:val="right" w:leader="dot" w:pos="9645"/>
        </w:tabs>
        <w:rPr>
          <w:rFonts w:eastAsiaTheme="minorEastAsia"/>
          <w:noProof/>
          <w:kern w:val="2"/>
          <w14:ligatures w14:val="standardContextual"/>
        </w:rPr>
      </w:pPr>
      <w:hyperlink w:anchor="_Toc140744498" w:history="1">
        <w:r w:rsidR="00BA35B3" w:rsidRPr="00BD3D55">
          <w:rPr>
            <w:rStyle w:val="Hyperlink"/>
            <w:rFonts w:ascii="Arial" w:hAnsi="Arial" w:cs="Arial"/>
            <w:noProof/>
          </w:rPr>
          <w:t xml:space="preserve">Figura I.3. 21 - </w:t>
        </w:r>
        <w:r w:rsidR="00BA35B3" w:rsidRPr="00BD3D55">
          <w:rPr>
            <w:rStyle w:val="Hyperlink"/>
            <w:rFonts w:ascii="Arial" w:hAnsi="Arial" w:cs="Arial"/>
            <w:noProof/>
            <w:kern w:val="1"/>
            <w:lang w:val="ro-RO" w:eastAsia="hi-IN" w:bidi="hi-IN"/>
          </w:rPr>
          <w:t>Frecvenţa deplasărilor în interes personal</w:t>
        </w:r>
        <w:r w:rsidR="00BA35B3">
          <w:rPr>
            <w:noProof/>
            <w:webHidden/>
          </w:rPr>
          <w:tab/>
        </w:r>
        <w:r w:rsidR="00BA35B3">
          <w:rPr>
            <w:noProof/>
            <w:webHidden/>
          </w:rPr>
          <w:fldChar w:fldCharType="begin"/>
        </w:r>
        <w:r w:rsidR="00BA35B3">
          <w:rPr>
            <w:noProof/>
            <w:webHidden/>
          </w:rPr>
          <w:instrText xml:space="preserve"> PAGEREF _Toc140744498 \h </w:instrText>
        </w:r>
        <w:r w:rsidR="00BA35B3">
          <w:rPr>
            <w:noProof/>
            <w:webHidden/>
          </w:rPr>
        </w:r>
        <w:r w:rsidR="00BA35B3">
          <w:rPr>
            <w:noProof/>
            <w:webHidden/>
          </w:rPr>
          <w:fldChar w:fldCharType="separate"/>
        </w:r>
        <w:r w:rsidR="00BB181C">
          <w:rPr>
            <w:noProof/>
            <w:webHidden/>
          </w:rPr>
          <w:t>145</w:t>
        </w:r>
        <w:r w:rsidR="00BA35B3">
          <w:rPr>
            <w:noProof/>
            <w:webHidden/>
          </w:rPr>
          <w:fldChar w:fldCharType="end"/>
        </w:r>
      </w:hyperlink>
    </w:p>
    <w:p w14:paraId="0BC60487" w14:textId="7E26A3CC" w:rsidR="00BA35B3" w:rsidRDefault="00000000">
      <w:pPr>
        <w:pStyle w:val="Tabeldefiguri"/>
        <w:tabs>
          <w:tab w:val="right" w:leader="dot" w:pos="9645"/>
        </w:tabs>
        <w:rPr>
          <w:rFonts w:eastAsiaTheme="minorEastAsia"/>
          <w:noProof/>
          <w:kern w:val="2"/>
          <w14:ligatures w14:val="standardContextual"/>
        </w:rPr>
      </w:pPr>
      <w:hyperlink w:anchor="_Toc140744499" w:history="1">
        <w:r w:rsidR="00BA35B3" w:rsidRPr="00BD3D55">
          <w:rPr>
            <w:rStyle w:val="Hyperlink"/>
            <w:rFonts w:ascii="Arial" w:hAnsi="Arial" w:cs="Arial"/>
            <w:noProof/>
          </w:rPr>
          <w:t xml:space="preserve">Figura I.3. 22 - </w:t>
        </w:r>
        <w:r w:rsidR="00BA35B3" w:rsidRPr="00BD3D55">
          <w:rPr>
            <w:rStyle w:val="Hyperlink"/>
            <w:rFonts w:ascii="Arial" w:hAnsi="Arial" w:cs="Arial"/>
            <w:noProof/>
            <w:kern w:val="1"/>
            <w:lang w:val="ro-RO" w:eastAsia="hi-IN" w:bidi="hi-IN"/>
          </w:rPr>
          <w:t>Moduri de transport utilizate în deplasarea în interes personal</w:t>
        </w:r>
        <w:r w:rsidR="00BA35B3">
          <w:rPr>
            <w:noProof/>
            <w:webHidden/>
          </w:rPr>
          <w:tab/>
        </w:r>
        <w:r w:rsidR="00BA35B3">
          <w:rPr>
            <w:noProof/>
            <w:webHidden/>
          </w:rPr>
          <w:fldChar w:fldCharType="begin"/>
        </w:r>
        <w:r w:rsidR="00BA35B3">
          <w:rPr>
            <w:noProof/>
            <w:webHidden/>
          </w:rPr>
          <w:instrText xml:space="preserve"> PAGEREF _Toc140744499 \h </w:instrText>
        </w:r>
        <w:r w:rsidR="00BA35B3">
          <w:rPr>
            <w:noProof/>
            <w:webHidden/>
          </w:rPr>
        </w:r>
        <w:r w:rsidR="00BA35B3">
          <w:rPr>
            <w:noProof/>
            <w:webHidden/>
          </w:rPr>
          <w:fldChar w:fldCharType="separate"/>
        </w:r>
        <w:r w:rsidR="00BB181C">
          <w:rPr>
            <w:noProof/>
            <w:webHidden/>
          </w:rPr>
          <w:t>146</w:t>
        </w:r>
        <w:r w:rsidR="00BA35B3">
          <w:rPr>
            <w:noProof/>
            <w:webHidden/>
          </w:rPr>
          <w:fldChar w:fldCharType="end"/>
        </w:r>
      </w:hyperlink>
    </w:p>
    <w:p w14:paraId="46A85E3F" w14:textId="227C45D8" w:rsidR="00BA35B3" w:rsidRDefault="00000000">
      <w:pPr>
        <w:pStyle w:val="Tabeldefiguri"/>
        <w:tabs>
          <w:tab w:val="right" w:leader="dot" w:pos="9645"/>
        </w:tabs>
        <w:rPr>
          <w:rFonts w:eastAsiaTheme="minorEastAsia"/>
          <w:noProof/>
          <w:kern w:val="2"/>
          <w14:ligatures w14:val="standardContextual"/>
        </w:rPr>
      </w:pPr>
      <w:hyperlink w:anchor="_Toc140744500" w:history="1">
        <w:r w:rsidR="00BA35B3" w:rsidRPr="00BD3D55">
          <w:rPr>
            <w:rStyle w:val="Hyperlink"/>
            <w:rFonts w:ascii="Arial" w:hAnsi="Arial" w:cs="Arial"/>
            <w:noProof/>
          </w:rPr>
          <w:t xml:space="preserve">Figura I.3. 23 - </w:t>
        </w:r>
        <w:r w:rsidR="00BA35B3" w:rsidRPr="00BD3D55">
          <w:rPr>
            <w:rStyle w:val="Hyperlink"/>
            <w:rFonts w:ascii="Arial" w:hAnsi="Arial" w:cs="Arial"/>
            <w:noProof/>
            <w:kern w:val="1"/>
            <w:lang w:val="ro-RO" w:eastAsia="hi-IN" w:bidi="hi-IN"/>
          </w:rPr>
          <w:t>Frecvenţa deplasărilor pentru divertisment/petrecerea timpului liber</w:t>
        </w:r>
        <w:r w:rsidR="00BA35B3">
          <w:rPr>
            <w:noProof/>
            <w:webHidden/>
          </w:rPr>
          <w:tab/>
        </w:r>
        <w:r w:rsidR="00BA35B3">
          <w:rPr>
            <w:noProof/>
            <w:webHidden/>
          </w:rPr>
          <w:fldChar w:fldCharType="begin"/>
        </w:r>
        <w:r w:rsidR="00BA35B3">
          <w:rPr>
            <w:noProof/>
            <w:webHidden/>
          </w:rPr>
          <w:instrText xml:space="preserve"> PAGEREF _Toc140744500 \h </w:instrText>
        </w:r>
        <w:r w:rsidR="00BA35B3">
          <w:rPr>
            <w:noProof/>
            <w:webHidden/>
          </w:rPr>
        </w:r>
        <w:r w:rsidR="00BA35B3">
          <w:rPr>
            <w:noProof/>
            <w:webHidden/>
          </w:rPr>
          <w:fldChar w:fldCharType="separate"/>
        </w:r>
        <w:r w:rsidR="00BB181C">
          <w:rPr>
            <w:noProof/>
            <w:webHidden/>
          </w:rPr>
          <w:t>147</w:t>
        </w:r>
        <w:r w:rsidR="00BA35B3">
          <w:rPr>
            <w:noProof/>
            <w:webHidden/>
          </w:rPr>
          <w:fldChar w:fldCharType="end"/>
        </w:r>
      </w:hyperlink>
    </w:p>
    <w:p w14:paraId="4434815C" w14:textId="7BDDE9F3" w:rsidR="00BA35B3" w:rsidRDefault="00000000">
      <w:pPr>
        <w:pStyle w:val="Tabeldefiguri"/>
        <w:tabs>
          <w:tab w:val="right" w:leader="dot" w:pos="9645"/>
        </w:tabs>
        <w:rPr>
          <w:rFonts w:eastAsiaTheme="minorEastAsia"/>
          <w:noProof/>
          <w:kern w:val="2"/>
          <w14:ligatures w14:val="standardContextual"/>
        </w:rPr>
      </w:pPr>
      <w:hyperlink w:anchor="_Toc140744501" w:history="1">
        <w:r w:rsidR="00BA35B3" w:rsidRPr="00BD3D55">
          <w:rPr>
            <w:rStyle w:val="Hyperlink"/>
            <w:rFonts w:ascii="Arial" w:hAnsi="Arial" w:cs="Arial"/>
            <w:noProof/>
          </w:rPr>
          <w:t xml:space="preserve">Figura I.3. 24 - </w:t>
        </w:r>
        <w:r w:rsidR="00BA35B3" w:rsidRPr="00BD3D55">
          <w:rPr>
            <w:rStyle w:val="Hyperlink"/>
            <w:rFonts w:ascii="Arial" w:hAnsi="Arial" w:cs="Arial"/>
            <w:noProof/>
            <w:kern w:val="1"/>
            <w:lang w:val="ro-RO" w:eastAsia="hi-IN" w:bidi="hi-IN"/>
          </w:rPr>
          <w:t>Frecvenţa deplasărilor pentru divertisment / petrecerea timpului liber</w:t>
        </w:r>
        <w:r w:rsidR="00BA35B3">
          <w:rPr>
            <w:noProof/>
            <w:webHidden/>
          </w:rPr>
          <w:tab/>
        </w:r>
        <w:r w:rsidR="00BA35B3">
          <w:rPr>
            <w:noProof/>
            <w:webHidden/>
          </w:rPr>
          <w:fldChar w:fldCharType="begin"/>
        </w:r>
        <w:r w:rsidR="00BA35B3">
          <w:rPr>
            <w:noProof/>
            <w:webHidden/>
          </w:rPr>
          <w:instrText xml:space="preserve"> PAGEREF _Toc140744501 \h </w:instrText>
        </w:r>
        <w:r w:rsidR="00BA35B3">
          <w:rPr>
            <w:noProof/>
            <w:webHidden/>
          </w:rPr>
        </w:r>
        <w:r w:rsidR="00BA35B3">
          <w:rPr>
            <w:noProof/>
            <w:webHidden/>
          </w:rPr>
          <w:fldChar w:fldCharType="separate"/>
        </w:r>
        <w:r w:rsidR="00BB181C">
          <w:rPr>
            <w:noProof/>
            <w:webHidden/>
          </w:rPr>
          <w:t>147</w:t>
        </w:r>
        <w:r w:rsidR="00BA35B3">
          <w:rPr>
            <w:noProof/>
            <w:webHidden/>
          </w:rPr>
          <w:fldChar w:fldCharType="end"/>
        </w:r>
      </w:hyperlink>
    </w:p>
    <w:p w14:paraId="2D538489" w14:textId="3D802555" w:rsidR="00BA35B3" w:rsidRDefault="00000000">
      <w:pPr>
        <w:pStyle w:val="Tabeldefiguri"/>
        <w:tabs>
          <w:tab w:val="right" w:leader="dot" w:pos="9645"/>
        </w:tabs>
        <w:rPr>
          <w:rFonts w:eastAsiaTheme="minorEastAsia"/>
          <w:noProof/>
          <w:kern w:val="2"/>
          <w14:ligatures w14:val="standardContextual"/>
        </w:rPr>
      </w:pPr>
      <w:hyperlink w:anchor="_Toc140744502" w:history="1">
        <w:r w:rsidR="00BA35B3" w:rsidRPr="00BD3D55">
          <w:rPr>
            <w:rStyle w:val="Hyperlink"/>
            <w:rFonts w:ascii="Arial" w:hAnsi="Arial" w:cs="Arial"/>
            <w:noProof/>
          </w:rPr>
          <w:t>Figura I.3. 25 - Fluxurile de penetrație în municipiul pentru CAR si LGV în ora de vârf PM</w:t>
        </w:r>
        <w:r w:rsidR="00BA35B3">
          <w:rPr>
            <w:noProof/>
            <w:webHidden/>
          </w:rPr>
          <w:tab/>
        </w:r>
        <w:r w:rsidR="00BA35B3">
          <w:rPr>
            <w:noProof/>
            <w:webHidden/>
          </w:rPr>
          <w:fldChar w:fldCharType="begin"/>
        </w:r>
        <w:r w:rsidR="00BA35B3">
          <w:rPr>
            <w:noProof/>
            <w:webHidden/>
          </w:rPr>
          <w:instrText xml:space="preserve"> PAGEREF _Toc140744502 \h </w:instrText>
        </w:r>
        <w:r w:rsidR="00BA35B3">
          <w:rPr>
            <w:noProof/>
            <w:webHidden/>
          </w:rPr>
        </w:r>
        <w:r w:rsidR="00BA35B3">
          <w:rPr>
            <w:noProof/>
            <w:webHidden/>
          </w:rPr>
          <w:fldChar w:fldCharType="separate"/>
        </w:r>
        <w:r w:rsidR="00BB181C">
          <w:rPr>
            <w:noProof/>
            <w:webHidden/>
          </w:rPr>
          <w:t>149</w:t>
        </w:r>
        <w:r w:rsidR="00BA35B3">
          <w:rPr>
            <w:noProof/>
            <w:webHidden/>
          </w:rPr>
          <w:fldChar w:fldCharType="end"/>
        </w:r>
      </w:hyperlink>
    </w:p>
    <w:p w14:paraId="781034A3" w14:textId="3F3014D1" w:rsidR="00BA35B3" w:rsidRDefault="00000000">
      <w:pPr>
        <w:pStyle w:val="Tabeldefiguri"/>
        <w:tabs>
          <w:tab w:val="right" w:leader="dot" w:pos="9645"/>
        </w:tabs>
        <w:rPr>
          <w:rFonts w:eastAsiaTheme="minorEastAsia"/>
          <w:noProof/>
          <w:kern w:val="2"/>
          <w14:ligatures w14:val="standardContextual"/>
        </w:rPr>
      </w:pPr>
      <w:hyperlink w:anchor="_Toc140744503" w:history="1">
        <w:r w:rsidR="00BA35B3" w:rsidRPr="00BD3D55">
          <w:rPr>
            <w:rStyle w:val="Hyperlink"/>
            <w:rFonts w:ascii="Arial" w:hAnsi="Arial" w:cs="Arial"/>
            <w:noProof/>
          </w:rPr>
          <w:t xml:space="preserve">Figura I.3. 26 </w:t>
        </w:r>
        <w:r w:rsidR="00BA35B3" w:rsidRPr="00BD3D55">
          <w:rPr>
            <w:rStyle w:val="Hyperlink"/>
            <w:rFonts w:ascii="Arial" w:hAnsi="Arial" w:cs="Arial"/>
            <w:noProof/>
            <w:lang w:val="ro-RO"/>
          </w:rPr>
          <w:t>- Fluxurile de tranzit pentru CAR și LGV în ora de vârf PM</w:t>
        </w:r>
        <w:r w:rsidR="00BA35B3">
          <w:rPr>
            <w:noProof/>
            <w:webHidden/>
          </w:rPr>
          <w:tab/>
        </w:r>
        <w:r w:rsidR="00BA35B3">
          <w:rPr>
            <w:noProof/>
            <w:webHidden/>
          </w:rPr>
          <w:fldChar w:fldCharType="begin"/>
        </w:r>
        <w:r w:rsidR="00BA35B3">
          <w:rPr>
            <w:noProof/>
            <w:webHidden/>
          </w:rPr>
          <w:instrText xml:space="preserve"> PAGEREF _Toc140744503 \h </w:instrText>
        </w:r>
        <w:r w:rsidR="00BA35B3">
          <w:rPr>
            <w:noProof/>
            <w:webHidden/>
          </w:rPr>
        </w:r>
        <w:r w:rsidR="00BA35B3">
          <w:rPr>
            <w:noProof/>
            <w:webHidden/>
          </w:rPr>
          <w:fldChar w:fldCharType="separate"/>
        </w:r>
        <w:r w:rsidR="00BB181C">
          <w:rPr>
            <w:noProof/>
            <w:webHidden/>
          </w:rPr>
          <w:t>149</w:t>
        </w:r>
        <w:r w:rsidR="00BA35B3">
          <w:rPr>
            <w:noProof/>
            <w:webHidden/>
          </w:rPr>
          <w:fldChar w:fldCharType="end"/>
        </w:r>
      </w:hyperlink>
    </w:p>
    <w:p w14:paraId="20C04C40" w14:textId="126029C1" w:rsidR="00BA35B3" w:rsidRDefault="00000000">
      <w:pPr>
        <w:pStyle w:val="Tabeldefiguri"/>
        <w:tabs>
          <w:tab w:val="right" w:leader="dot" w:pos="9645"/>
        </w:tabs>
        <w:rPr>
          <w:rFonts w:eastAsiaTheme="minorEastAsia"/>
          <w:noProof/>
          <w:kern w:val="2"/>
          <w14:ligatures w14:val="standardContextual"/>
        </w:rPr>
      </w:pPr>
      <w:hyperlink w:anchor="_Toc140744504" w:history="1">
        <w:r w:rsidR="00BA35B3" w:rsidRPr="00BD3D55">
          <w:rPr>
            <w:rStyle w:val="Hyperlink"/>
            <w:rFonts w:ascii="Arial" w:hAnsi="Arial" w:cs="Arial"/>
            <w:noProof/>
          </w:rPr>
          <w:t>Figura I.3. 27 - Fluxurile de penetrație în municipiul pentru HGV în ora de vârf PM</w:t>
        </w:r>
        <w:r w:rsidR="00BA35B3">
          <w:rPr>
            <w:noProof/>
            <w:webHidden/>
          </w:rPr>
          <w:tab/>
        </w:r>
        <w:r w:rsidR="00BA35B3">
          <w:rPr>
            <w:noProof/>
            <w:webHidden/>
          </w:rPr>
          <w:fldChar w:fldCharType="begin"/>
        </w:r>
        <w:r w:rsidR="00BA35B3">
          <w:rPr>
            <w:noProof/>
            <w:webHidden/>
          </w:rPr>
          <w:instrText xml:space="preserve"> PAGEREF _Toc140744504 \h </w:instrText>
        </w:r>
        <w:r w:rsidR="00BA35B3">
          <w:rPr>
            <w:noProof/>
            <w:webHidden/>
          </w:rPr>
        </w:r>
        <w:r w:rsidR="00BA35B3">
          <w:rPr>
            <w:noProof/>
            <w:webHidden/>
          </w:rPr>
          <w:fldChar w:fldCharType="separate"/>
        </w:r>
        <w:r w:rsidR="00BB181C">
          <w:rPr>
            <w:noProof/>
            <w:webHidden/>
          </w:rPr>
          <w:t>150</w:t>
        </w:r>
        <w:r w:rsidR="00BA35B3">
          <w:rPr>
            <w:noProof/>
            <w:webHidden/>
          </w:rPr>
          <w:fldChar w:fldCharType="end"/>
        </w:r>
      </w:hyperlink>
    </w:p>
    <w:p w14:paraId="0C39F09F" w14:textId="2B4AD363" w:rsidR="00BA35B3" w:rsidRDefault="00000000">
      <w:pPr>
        <w:pStyle w:val="Tabeldefiguri"/>
        <w:tabs>
          <w:tab w:val="right" w:leader="dot" w:pos="9645"/>
        </w:tabs>
        <w:rPr>
          <w:rFonts w:eastAsiaTheme="minorEastAsia"/>
          <w:noProof/>
          <w:kern w:val="2"/>
          <w14:ligatures w14:val="standardContextual"/>
        </w:rPr>
      </w:pPr>
      <w:hyperlink w:anchor="_Toc140744505" w:history="1">
        <w:r w:rsidR="00BA35B3" w:rsidRPr="00BD3D55">
          <w:rPr>
            <w:rStyle w:val="Hyperlink"/>
            <w:rFonts w:ascii="Arial" w:hAnsi="Arial" w:cs="Arial"/>
            <w:noProof/>
          </w:rPr>
          <w:t>Figura I.3. 28 - Fluxurile de tranzit pentru HGV în ora de vârf PM</w:t>
        </w:r>
        <w:r w:rsidR="00BA35B3">
          <w:rPr>
            <w:noProof/>
            <w:webHidden/>
          </w:rPr>
          <w:tab/>
        </w:r>
        <w:r w:rsidR="00BA35B3">
          <w:rPr>
            <w:noProof/>
            <w:webHidden/>
          </w:rPr>
          <w:fldChar w:fldCharType="begin"/>
        </w:r>
        <w:r w:rsidR="00BA35B3">
          <w:rPr>
            <w:noProof/>
            <w:webHidden/>
          </w:rPr>
          <w:instrText xml:space="preserve"> PAGEREF _Toc140744505 \h </w:instrText>
        </w:r>
        <w:r w:rsidR="00BA35B3">
          <w:rPr>
            <w:noProof/>
            <w:webHidden/>
          </w:rPr>
        </w:r>
        <w:r w:rsidR="00BA35B3">
          <w:rPr>
            <w:noProof/>
            <w:webHidden/>
          </w:rPr>
          <w:fldChar w:fldCharType="separate"/>
        </w:r>
        <w:r w:rsidR="00BB181C">
          <w:rPr>
            <w:noProof/>
            <w:webHidden/>
          </w:rPr>
          <w:t>151</w:t>
        </w:r>
        <w:r w:rsidR="00BA35B3">
          <w:rPr>
            <w:noProof/>
            <w:webHidden/>
          </w:rPr>
          <w:fldChar w:fldCharType="end"/>
        </w:r>
      </w:hyperlink>
    </w:p>
    <w:p w14:paraId="25D0AE2C" w14:textId="393F288F" w:rsidR="00BA35B3" w:rsidRDefault="00000000">
      <w:pPr>
        <w:pStyle w:val="Tabeldefiguri"/>
        <w:tabs>
          <w:tab w:val="right" w:leader="dot" w:pos="9645"/>
        </w:tabs>
        <w:rPr>
          <w:rFonts w:eastAsiaTheme="minorEastAsia"/>
          <w:noProof/>
          <w:kern w:val="2"/>
          <w14:ligatures w14:val="standardContextual"/>
        </w:rPr>
      </w:pPr>
      <w:hyperlink w:anchor="_Toc140744506" w:history="1">
        <w:r w:rsidR="00BA35B3" w:rsidRPr="00BD3D55">
          <w:rPr>
            <w:rStyle w:val="Hyperlink"/>
            <w:rFonts w:ascii="Arial" w:hAnsi="Arial" w:cs="Arial"/>
            <w:noProof/>
          </w:rPr>
          <w:t>Figura I.3. 29 - Repartiția modală a deplasărilor</w:t>
        </w:r>
        <w:r w:rsidR="00BA35B3">
          <w:rPr>
            <w:noProof/>
            <w:webHidden/>
          </w:rPr>
          <w:tab/>
        </w:r>
        <w:r w:rsidR="00BA35B3">
          <w:rPr>
            <w:noProof/>
            <w:webHidden/>
          </w:rPr>
          <w:fldChar w:fldCharType="begin"/>
        </w:r>
        <w:r w:rsidR="00BA35B3">
          <w:rPr>
            <w:noProof/>
            <w:webHidden/>
          </w:rPr>
          <w:instrText xml:space="preserve"> PAGEREF _Toc140744506 \h </w:instrText>
        </w:r>
        <w:r w:rsidR="00BA35B3">
          <w:rPr>
            <w:noProof/>
            <w:webHidden/>
          </w:rPr>
        </w:r>
        <w:r w:rsidR="00BA35B3">
          <w:rPr>
            <w:noProof/>
            <w:webHidden/>
          </w:rPr>
          <w:fldChar w:fldCharType="separate"/>
        </w:r>
        <w:r w:rsidR="00BB181C">
          <w:rPr>
            <w:noProof/>
            <w:webHidden/>
          </w:rPr>
          <w:t>153</w:t>
        </w:r>
        <w:r w:rsidR="00BA35B3">
          <w:rPr>
            <w:noProof/>
            <w:webHidden/>
          </w:rPr>
          <w:fldChar w:fldCharType="end"/>
        </w:r>
      </w:hyperlink>
    </w:p>
    <w:p w14:paraId="51B6A07B" w14:textId="788C46F3" w:rsidR="00BA35B3" w:rsidRDefault="00000000">
      <w:pPr>
        <w:pStyle w:val="Tabeldefiguri"/>
        <w:tabs>
          <w:tab w:val="right" w:leader="dot" w:pos="9645"/>
        </w:tabs>
        <w:rPr>
          <w:rFonts w:eastAsiaTheme="minorEastAsia"/>
          <w:noProof/>
          <w:kern w:val="2"/>
          <w14:ligatures w14:val="standardContextual"/>
        </w:rPr>
      </w:pPr>
      <w:hyperlink w:anchor="_Toc140744507" w:history="1">
        <w:r w:rsidR="00BA35B3" w:rsidRPr="00BD3D55">
          <w:rPr>
            <w:rStyle w:val="Hyperlink"/>
            <w:rFonts w:ascii="Arial" w:hAnsi="Arial" w:cs="Arial"/>
            <w:noProof/>
          </w:rPr>
          <w:t>Figura I.3. 30 - Volumele de trafic totale pentru ora de vârf AM</w:t>
        </w:r>
        <w:r w:rsidR="00BA35B3">
          <w:rPr>
            <w:noProof/>
            <w:webHidden/>
          </w:rPr>
          <w:tab/>
        </w:r>
        <w:r w:rsidR="00BA35B3">
          <w:rPr>
            <w:noProof/>
            <w:webHidden/>
          </w:rPr>
          <w:fldChar w:fldCharType="begin"/>
        </w:r>
        <w:r w:rsidR="00BA35B3">
          <w:rPr>
            <w:noProof/>
            <w:webHidden/>
          </w:rPr>
          <w:instrText xml:space="preserve"> PAGEREF _Toc140744507 \h </w:instrText>
        </w:r>
        <w:r w:rsidR="00BA35B3">
          <w:rPr>
            <w:noProof/>
            <w:webHidden/>
          </w:rPr>
        </w:r>
        <w:r w:rsidR="00BA35B3">
          <w:rPr>
            <w:noProof/>
            <w:webHidden/>
          </w:rPr>
          <w:fldChar w:fldCharType="separate"/>
        </w:r>
        <w:r w:rsidR="00BB181C">
          <w:rPr>
            <w:noProof/>
            <w:webHidden/>
          </w:rPr>
          <w:t>154</w:t>
        </w:r>
        <w:r w:rsidR="00BA35B3">
          <w:rPr>
            <w:noProof/>
            <w:webHidden/>
          </w:rPr>
          <w:fldChar w:fldCharType="end"/>
        </w:r>
      </w:hyperlink>
    </w:p>
    <w:p w14:paraId="663767FF" w14:textId="3E3B9F7D" w:rsidR="00BA35B3" w:rsidRDefault="00000000">
      <w:pPr>
        <w:pStyle w:val="Tabeldefiguri"/>
        <w:tabs>
          <w:tab w:val="right" w:leader="dot" w:pos="9645"/>
        </w:tabs>
        <w:rPr>
          <w:rFonts w:eastAsiaTheme="minorEastAsia"/>
          <w:noProof/>
          <w:kern w:val="2"/>
          <w14:ligatures w14:val="standardContextual"/>
        </w:rPr>
      </w:pPr>
      <w:hyperlink w:anchor="_Toc140744508" w:history="1">
        <w:r w:rsidR="00BA35B3" w:rsidRPr="00BD3D55">
          <w:rPr>
            <w:rStyle w:val="Hyperlink"/>
            <w:rFonts w:ascii="Arial" w:hAnsi="Arial" w:cs="Arial"/>
            <w:noProof/>
          </w:rPr>
          <w:t>Figura I.3. 31 - Volumele de trafic totale pentru ora de vârf PM</w:t>
        </w:r>
        <w:r w:rsidR="00BA35B3">
          <w:rPr>
            <w:noProof/>
            <w:webHidden/>
          </w:rPr>
          <w:tab/>
        </w:r>
        <w:r w:rsidR="00BA35B3">
          <w:rPr>
            <w:noProof/>
            <w:webHidden/>
          </w:rPr>
          <w:fldChar w:fldCharType="begin"/>
        </w:r>
        <w:r w:rsidR="00BA35B3">
          <w:rPr>
            <w:noProof/>
            <w:webHidden/>
          </w:rPr>
          <w:instrText xml:space="preserve"> PAGEREF _Toc140744508 \h </w:instrText>
        </w:r>
        <w:r w:rsidR="00BA35B3">
          <w:rPr>
            <w:noProof/>
            <w:webHidden/>
          </w:rPr>
        </w:r>
        <w:r w:rsidR="00BA35B3">
          <w:rPr>
            <w:noProof/>
            <w:webHidden/>
          </w:rPr>
          <w:fldChar w:fldCharType="separate"/>
        </w:r>
        <w:r w:rsidR="00BB181C">
          <w:rPr>
            <w:noProof/>
            <w:webHidden/>
          </w:rPr>
          <w:t>155</w:t>
        </w:r>
        <w:r w:rsidR="00BA35B3">
          <w:rPr>
            <w:noProof/>
            <w:webHidden/>
          </w:rPr>
          <w:fldChar w:fldCharType="end"/>
        </w:r>
      </w:hyperlink>
    </w:p>
    <w:p w14:paraId="769D8F41" w14:textId="25A45AA9" w:rsidR="00BA35B3" w:rsidRDefault="00000000">
      <w:pPr>
        <w:pStyle w:val="Tabeldefiguri"/>
        <w:tabs>
          <w:tab w:val="right" w:leader="dot" w:pos="9645"/>
        </w:tabs>
        <w:rPr>
          <w:rFonts w:eastAsiaTheme="minorEastAsia"/>
          <w:noProof/>
          <w:kern w:val="2"/>
          <w14:ligatures w14:val="standardContextual"/>
        </w:rPr>
      </w:pPr>
      <w:hyperlink w:anchor="_Toc140744509" w:history="1">
        <w:r w:rsidR="00BA35B3" w:rsidRPr="00BD3D55">
          <w:rPr>
            <w:rStyle w:val="Hyperlink"/>
            <w:rFonts w:ascii="Arial" w:hAnsi="Arial" w:cs="Arial"/>
            <w:noProof/>
          </w:rPr>
          <w:t>Figura I.3. 32 - Schema logică a procesului de calibrare a matricelor</w:t>
        </w:r>
        <w:r w:rsidR="00BA35B3">
          <w:rPr>
            <w:noProof/>
            <w:webHidden/>
          </w:rPr>
          <w:tab/>
        </w:r>
        <w:r w:rsidR="00BA35B3">
          <w:rPr>
            <w:noProof/>
            <w:webHidden/>
          </w:rPr>
          <w:fldChar w:fldCharType="begin"/>
        </w:r>
        <w:r w:rsidR="00BA35B3">
          <w:rPr>
            <w:noProof/>
            <w:webHidden/>
          </w:rPr>
          <w:instrText xml:space="preserve"> PAGEREF _Toc140744509 \h </w:instrText>
        </w:r>
        <w:r w:rsidR="00BA35B3">
          <w:rPr>
            <w:noProof/>
            <w:webHidden/>
          </w:rPr>
        </w:r>
        <w:r w:rsidR="00BA35B3">
          <w:rPr>
            <w:noProof/>
            <w:webHidden/>
          </w:rPr>
          <w:fldChar w:fldCharType="separate"/>
        </w:r>
        <w:r w:rsidR="00BB181C">
          <w:rPr>
            <w:noProof/>
            <w:webHidden/>
          </w:rPr>
          <w:t>156</w:t>
        </w:r>
        <w:r w:rsidR="00BA35B3">
          <w:rPr>
            <w:noProof/>
            <w:webHidden/>
          </w:rPr>
          <w:fldChar w:fldCharType="end"/>
        </w:r>
      </w:hyperlink>
    </w:p>
    <w:p w14:paraId="158DA6DA" w14:textId="29789C80" w:rsidR="00BA35B3" w:rsidRDefault="00000000">
      <w:pPr>
        <w:pStyle w:val="Tabeldefiguri"/>
        <w:tabs>
          <w:tab w:val="right" w:leader="dot" w:pos="9645"/>
        </w:tabs>
        <w:rPr>
          <w:rFonts w:eastAsiaTheme="minorEastAsia"/>
          <w:noProof/>
          <w:kern w:val="2"/>
          <w14:ligatures w14:val="standardContextual"/>
        </w:rPr>
      </w:pPr>
      <w:hyperlink w:anchor="_Toc140744510" w:history="1">
        <w:r w:rsidR="00BA35B3" w:rsidRPr="00BD3D55">
          <w:rPr>
            <w:rStyle w:val="Hyperlink"/>
            <w:rFonts w:ascii="Arial" w:hAnsi="Arial" w:cs="Arial"/>
            <w:noProof/>
          </w:rPr>
          <w:t>Figura I.3. 33 - Amplasarea punctelor de recenzare a traficului</w:t>
        </w:r>
        <w:r w:rsidR="00BA35B3">
          <w:rPr>
            <w:noProof/>
            <w:webHidden/>
          </w:rPr>
          <w:tab/>
        </w:r>
        <w:r w:rsidR="00BA35B3">
          <w:rPr>
            <w:noProof/>
            <w:webHidden/>
          </w:rPr>
          <w:fldChar w:fldCharType="begin"/>
        </w:r>
        <w:r w:rsidR="00BA35B3">
          <w:rPr>
            <w:noProof/>
            <w:webHidden/>
          </w:rPr>
          <w:instrText xml:space="preserve"> PAGEREF _Toc140744510 \h </w:instrText>
        </w:r>
        <w:r w:rsidR="00BA35B3">
          <w:rPr>
            <w:noProof/>
            <w:webHidden/>
          </w:rPr>
        </w:r>
        <w:r w:rsidR="00BA35B3">
          <w:rPr>
            <w:noProof/>
            <w:webHidden/>
          </w:rPr>
          <w:fldChar w:fldCharType="separate"/>
        </w:r>
        <w:r w:rsidR="00BB181C">
          <w:rPr>
            <w:noProof/>
            <w:webHidden/>
          </w:rPr>
          <w:t>158</w:t>
        </w:r>
        <w:r w:rsidR="00BA35B3">
          <w:rPr>
            <w:noProof/>
            <w:webHidden/>
          </w:rPr>
          <w:fldChar w:fldCharType="end"/>
        </w:r>
      </w:hyperlink>
    </w:p>
    <w:p w14:paraId="7646C4F2" w14:textId="3538A5E0" w:rsidR="00BA35B3" w:rsidRDefault="00000000">
      <w:pPr>
        <w:pStyle w:val="Tabeldefiguri"/>
        <w:tabs>
          <w:tab w:val="right" w:leader="dot" w:pos="9645"/>
        </w:tabs>
        <w:rPr>
          <w:rFonts w:eastAsiaTheme="minorEastAsia"/>
          <w:noProof/>
          <w:kern w:val="2"/>
          <w14:ligatures w14:val="standardContextual"/>
        </w:rPr>
      </w:pPr>
      <w:hyperlink w:anchor="_Toc140744511" w:history="1">
        <w:r w:rsidR="00BA35B3" w:rsidRPr="00BD3D55">
          <w:rPr>
            <w:rStyle w:val="Hyperlink"/>
            <w:rFonts w:ascii="Arial" w:hAnsi="Arial" w:cs="Arial"/>
            <w:noProof/>
          </w:rPr>
          <w:t>Figura I.3. 34 - Rezultatul grafic al calibrării matricei CAR pentru AM peak</w:t>
        </w:r>
        <w:r w:rsidR="00BA35B3">
          <w:rPr>
            <w:noProof/>
            <w:webHidden/>
          </w:rPr>
          <w:tab/>
        </w:r>
        <w:r w:rsidR="00BA35B3">
          <w:rPr>
            <w:noProof/>
            <w:webHidden/>
          </w:rPr>
          <w:fldChar w:fldCharType="begin"/>
        </w:r>
        <w:r w:rsidR="00BA35B3">
          <w:rPr>
            <w:noProof/>
            <w:webHidden/>
          </w:rPr>
          <w:instrText xml:space="preserve"> PAGEREF _Toc140744511 \h </w:instrText>
        </w:r>
        <w:r w:rsidR="00BA35B3">
          <w:rPr>
            <w:noProof/>
            <w:webHidden/>
          </w:rPr>
        </w:r>
        <w:r w:rsidR="00BA35B3">
          <w:rPr>
            <w:noProof/>
            <w:webHidden/>
          </w:rPr>
          <w:fldChar w:fldCharType="separate"/>
        </w:r>
        <w:r w:rsidR="00BB181C">
          <w:rPr>
            <w:noProof/>
            <w:webHidden/>
          </w:rPr>
          <w:t>162</w:t>
        </w:r>
        <w:r w:rsidR="00BA35B3">
          <w:rPr>
            <w:noProof/>
            <w:webHidden/>
          </w:rPr>
          <w:fldChar w:fldCharType="end"/>
        </w:r>
      </w:hyperlink>
    </w:p>
    <w:p w14:paraId="13FE6A42" w14:textId="120DBEF6" w:rsidR="00BA35B3" w:rsidRDefault="00000000">
      <w:pPr>
        <w:pStyle w:val="Tabeldefiguri"/>
        <w:tabs>
          <w:tab w:val="right" w:leader="dot" w:pos="9645"/>
        </w:tabs>
        <w:rPr>
          <w:rFonts w:eastAsiaTheme="minorEastAsia"/>
          <w:noProof/>
          <w:kern w:val="2"/>
          <w14:ligatures w14:val="standardContextual"/>
        </w:rPr>
      </w:pPr>
      <w:hyperlink w:anchor="_Toc140744512" w:history="1">
        <w:r w:rsidR="00BA35B3" w:rsidRPr="00BD3D55">
          <w:rPr>
            <w:rStyle w:val="Hyperlink"/>
            <w:rFonts w:ascii="Arial" w:hAnsi="Arial" w:cs="Arial"/>
            <w:noProof/>
          </w:rPr>
          <w:t xml:space="preserve">Figura I.3. 35 </w:t>
        </w:r>
        <w:r w:rsidR="00BA35B3" w:rsidRPr="00BD3D55">
          <w:rPr>
            <w:rStyle w:val="Hyperlink"/>
            <w:rFonts w:ascii="Arial" w:hAnsi="Arial" w:cs="Arial"/>
            <w:noProof/>
            <w:lang w:val="ro-RO"/>
          </w:rPr>
          <w:t>- Rezultatul grafic al calibrării matricei HGV pentru PM peak</w:t>
        </w:r>
        <w:r w:rsidR="00BA35B3">
          <w:rPr>
            <w:noProof/>
            <w:webHidden/>
          </w:rPr>
          <w:tab/>
        </w:r>
        <w:r w:rsidR="00BA35B3">
          <w:rPr>
            <w:noProof/>
            <w:webHidden/>
          </w:rPr>
          <w:fldChar w:fldCharType="begin"/>
        </w:r>
        <w:r w:rsidR="00BA35B3">
          <w:rPr>
            <w:noProof/>
            <w:webHidden/>
          </w:rPr>
          <w:instrText xml:space="preserve"> PAGEREF _Toc140744512 \h </w:instrText>
        </w:r>
        <w:r w:rsidR="00BA35B3">
          <w:rPr>
            <w:noProof/>
            <w:webHidden/>
          </w:rPr>
        </w:r>
        <w:r w:rsidR="00BA35B3">
          <w:rPr>
            <w:noProof/>
            <w:webHidden/>
          </w:rPr>
          <w:fldChar w:fldCharType="separate"/>
        </w:r>
        <w:r w:rsidR="00BB181C">
          <w:rPr>
            <w:noProof/>
            <w:webHidden/>
          </w:rPr>
          <w:t>164</w:t>
        </w:r>
        <w:r w:rsidR="00BA35B3">
          <w:rPr>
            <w:noProof/>
            <w:webHidden/>
          </w:rPr>
          <w:fldChar w:fldCharType="end"/>
        </w:r>
      </w:hyperlink>
    </w:p>
    <w:p w14:paraId="223F20A6" w14:textId="6D6D7951" w:rsidR="00BA35B3" w:rsidRDefault="00000000">
      <w:pPr>
        <w:pStyle w:val="Tabeldefiguri"/>
        <w:tabs>
          <w:tab w:val="right" w:leader="dot" w:pos="9645"/>
        </w:tabs>
        <w:rPr>
          <w:rFonts w:eastAsiaTheme="minorEastAsia"/>
          <w:noProof/>
          <w:kern w:val="2"/>
          <w14:ligatures w14:val="standardContextual"/>
        </w:rPr>
      </w:pPr>
      <w:hyperlink w:anchor="_Toc140744513" w:history="1">
        <w:r w:rsidR="00BA35B3" w:rsidRPr="00BD3D55">
          <w:rPr>
            <w:rStyle w:val="Hyperlink"/>
            <w:rFonts w:ascii="Arial" w:hAnsi="Arial" w:cs="Arial"/>
            <w:noProof/>
          </w:rPr>
          <w:t>Figura I.3. 36 - CO2 și NOX pe segmente, AM peak - detaliu zona centrală</w:t>
        </w:r>
        <w:r w:rsidR="00BA35B3">
          <w:rPr>
            <w:noProof/>
            <w:webHidden/>
          </w:rPr>
          <w:tab/>
        </w:r>
        <w:r w:rsidR="00BA35B3">
          <w:rPr>
            <w:noProof/>
            <w:webHidden/>
          </w:rPr>
          <w:fldChar w:fldCharType="begin"/>
        </w:r>
        <w:r w:rsidR="00BA35B3">
          <w:rPr>
            <w:noProof/>
            <w:webHidden/>
          </w:rPr>
          <w:instrText xml:space="preserve"> PAGEREF _Toc140744513 \h </w:instrText>
        </w:r>
        <w:r w:rsidR="00BA35B3">
          <w:rPr>
            <w:noProof/>
            <w:webHidden/>
          </w:rPr>
        </w:r>
        <w:r w:rsidR="00BA35B3">
          <w:rPr>
            <w:noProof/>
            <w:webHidden/>
          </w:rPr>
          <w:fldChar w:fldCharType="separate"/>
        </w:r>
        <w:r w:rsidR="00BB181C">
          <w:rPr>
            <w:noProof/>
            <w:webHidden/>
          </w:rPr>
          <w:t>166</w:t>
        </w:r>
        <w:r w:rsidR="00BA35B3">
          <w:rPr>
            <w:noProof/>
            <w:webHidden/>
          </w:rPr>
          <w:fldChar w:fldCharType="end"/>
        </w:r>
      </w:hyperlink>
    </w:p>
    <w:p w14:paraId="6AD43C65" w14:textId="30FE5E9E" w:rsidR="00BA35B3" w:rsidRDefault="00000000">
      <w:pPr>
        <w:pStyle w:val="Tabeldefiguri"/>
        <w:tabs>
          <w:tab w:val="right" w:leader="dot" w:pos="9645"/>
        </w:tabs>
        <w:rPr>
          <w:rFonts w:eastAsiaTheme="minorEastAsia"/>
          <w:noProof/>
          <w:kern w:val="2"/>
          <w14:ligatures w14:val="standardContextual"/>
        </w:rPr>
      </w:pPr>
      <w:hyperlink w:anchor="_Toc140744514" w:history="1">
        <w:r w:rsidR="00BA35B3" w:rsidRPr="00BD3D55">
          <w:rPr>
            <w:rStyle w:val="Hyperlink"/>
            <w:rFonts w:ascii="Arial" w:hAnsi="Arial" w:cs="Arial"/>
            <w:noProof/>
          </w:rPr>
          <w:t>Figura I.3. 37 - Niveluri de serviciu intersecţii orașul Horezu – AM 2021</w:t>
        </w:r>
        <w:r w:rsidR="00BA35B3">
          <w:rPr>
            <w:noProof/>
            <w:webHidden/>
          </w:rPr>
          <w:tab/>
        </w:r>
        <w:r w:rsidR="00BA35B3">
          <w:rPr>
            <w:noProof/>
            <w:webHidden/>
          </w:rPr>
          <w:fldChar w:fldCharType="begin"/>
        </w:r>
        <w:r w:rsidR="00BA35B3">
          <w:rPr>
            <w:noProof/>
            <w:webHidden/>
          </w:rPr>
          <w:instrText xml:space="preserve"> PAGEREF _Toc140744514 \h </w:instrText>
        </w:r>
        <w:r w:rsidR="00BA35B3">
          <w:rPr>
            <w:noProof/>
            <w:webHidden/>
          </w:rPr>
        </w:r>
        <w:r w:rsidR="00BA35B3">
          <w:rPr>
            <w:noProof/>
            <w:webHidden/>
          </w:rPr>
          <w:fldChar w:fldCharType="separate"/>
        </w:r>
        <w:r w:rsidR="00BB181C">
          <w:rPr>
            <w:noProof/>
            <w:webHidden/>
          </w:rPr>
          <w:t>168</w:t>
        </w:r>
        <w:r w:rsidR="00BA35B3">
          <w:rPr>
            <w:noProof/>
            <w:webHidden/>
          </w:rPr>
          <w:fldChar w:fldCharType="end"/>
        </w:r>
      </w:hyperlink>
    </w:p>
    <w:p w14:paraId="6B1DE274" w14:textId="440222B1" w:rsidR="00BA35B3" w:rsidRDefault="00000000">
      <w:pPr>
        <w:pStyle w:val="Tabeldefiguri"/>
        <w:tabs>
          <w:tab w:val="right" w:leader="dot" w:pos="9645"/>
        </w:tabs>
        <w:rPr>
          <w:rFonts w:eastAsiaTheme="minorEastAsia"/>
          <w:noProof/>
          <w:kern w:val="2"/>
          <w14:ligatures w14:val="standardContextual"/>
        </w:rPr>
      </w:pPr>
      <w:hyperlink w:anchor="_Toc140744515" w:history="1">
        <w:r w:rsidR="00BA35B3" w:rsidRPr="00BD3D55">
          <w:rPr>
            <w:rStyle w:val="Hyperlink"/>
            <w:rFonts w:ascii="Arial" w:hAnsi="Arial" w:cs="Arial"/>
            <w:noProof/>
          </w:rPr>
          <w:t>Figura I.3. 38 - CO</w:t>
        </w:r>
        <w:r w:rsidR="00BA35B3" w:rsidRPr="00BD3D55">
          <w:rPr>
            <w:rStyle w:val="Hyperlink"/>
            <w:rFonts w:ascii="Arial" w:hAnsi="Arial" w:cs="Arial"/>
            <w:noProof/>
            <w:vertAlign w:val="subscript"/>
          </w:rPr>
          <w:t>2</w:t>
        </w:r>
        <w:r w:rsidR="00BA35B3" w:rsidRPr="00BD3D55">
          <w:rPr>
            <w:rStyle w:val="Hyperlink"/>
            <w:rFonts w:ascii="Arial" w:hAnsi="Arial" w:cs="Arial"/>
            <w:noProof/>
          </w:rPr>
          <w:t xml:space="preserve"> și NOX pe segmente, PM peak - detaliu zona centrală</w:t>
        </w:r>
        <w:r w:rsidR="00BA35B3">
          <w:rPr>
            <w:noProof/>
            <w:webHidden/>
          </w:rPr>
          <w:tab/>
        </w:r>
        <w:r w:rsidR="00BA35B3">
          <w:rPr>
            <w:noProof/>
            <w:webHidden/>
          </w:rPr>
          <w:fldChar w:fldCharType="begin"/>
        </w:r>
        <w:r w:rsidR="00BA35B3">
          <w:rPr>
            <w:noProof/>
            <w:webHidden/>
          </w:rPr>
          <w:instrText xml:space="preserve"> PAGEREF _Toc140744515 \h </w:instrText>
        </w:r>
        <w:r w:rsidR="00BA35B3">
          <w:rPr>
            <w:noProof/>
            <w:webHidden/>
          </w:rPr>
        </w:r>
        <w:r w:rsidR="00BA35B3">
          <w:rPr>
            <w:noProof/>
            <w:webHidden/>
          </w:rPr>
          <w:fldChar w:fldCharType="separate"/>
        </w:r>
        <w:r w:rsidR="00BB181C">
          <w:rPr>
            <w:noProof/>
            <w:webHidden/>
          </w:rPr>
          <w:t>169</w:t>
        </w:r>
        <w:r w:rsidR="00BA35B3">
          <w:rPr>
            <w:noProof/>
            <w:webHidden/>
          </w:rPr>
          <w:fldChar w:fldCharType="end"/>
        </w:r>
      </w:hyperlink>
    </w:p>
    <w:p w14:paraId="74856E67" w14:textId="27C5A47C" w:rsidR="00BA35B3" w:rsidRDefault="00000000">
      <w:pPr>
        <w:pStyle w:val="Tabeldefiguri"/>
        <w:tabs>
          <w:tab w:val="right" w:leader="dot" w:pos="9645"/>
        </w:tabs>
        <w:rPr>
          <w:rFonts w:eastAsiaTheme="minorEastAsia"/>
          <w:noProof/>
          <w:kern w:val="2"/>
          <w14:ligatures w14:val="standardContextual"/>
        </w:rPr>
      </w:pPr>
      <w:hyperlink w:anchor="_Toc140744516" w:history="1">
        <w:r w:rsidR="00BA35B3" w:rsidRPr="00BD3D55">
          <w:rPr>
            <w:rStyle w:val="Hyperlink"/>
            <w:rFonts w:ascii="Arial" w:hAnsi="Arial" w:cs="Arial"/>
            <w:noProof/>
          </w:rPr>
          <w:t>Figura I.3. 39 - Niveluri de serviciu intersecţii Orașul Horezu – PM 2021</w:t>
        </w:r>
        <w:r w:rsidR="00BA35B3">
          <w:rPr>
            <w:noProof/>
            <w:webHidden/>
          </w:rPr>
          <w:tab/>
        </w:r>
        <w:r w:rsidR="00BA35B3">
          <w:rPr>
            <w:noProof/>
            <w:webHidden/>
          </w:rPr>
          <w:fldChar w:fldCharType="begin"/>
        </w:r>
        <w:r w:rsidR="00BA35B3">
          <w:rPr>
            <w:noProof/>
            <w:webHidden/>
          </w:rPr>
          <w:instrText xml:space="preserve"> PAGEREF _Toc140744516 \h </w:instrText>
        </w:r>
        <w:r w:rsidR="00BA35B3">
          <w:rPr>
            <w:noProof/>
            <w:webHidden/>
          </w:rPr>
        </w:r>
        <w:r w:rsidR="00BA35B3">
          <w:rPr>
            <w:noProof/>
            <w:webHidden/>
          </w:rPr>
          <w:fldChar w:fldCharType="separate"/>
        </w:r>
        <w:r w:rsidR="00BB181C">
          <w:rPr>
            <w:noProof/>
            <w:webHidden/>
          </w:rPr>
          <w:t>171</w:t>
        </w:r>
        <w:r w:rsidR="00BA35B3">
          <w:rPr>
            <w:noProof/>
            <w:webHidden/>
          </w:rPr>
          <w:fldChar w:fldCharType="end"/>
        </w:r>
      </w:hyperlink>
    </w:p>
    <w:p w14:paraId="3DE965C5" w14:textId="1CFC54FF" w:rsidR="00BA35B3" w:rsidRDefault="00000000">
      <w:pPr>
        <w:pStyle w:val="Tabeldefiguri"/>
        <w:tabs>
          <w:tab w:val="right" w:leader="dot" w:pos="9645"/>
        </w:tabs>
        <w:rPr>
          <w:rFonts w:eastAsiaTheme="minorEastAsia"/>
          <w:noProof/>
          <w:kern w:val="2"/>
          <w14:ligatures w14:val="standardContextual"/>
        </w:rPr>
      </w:pPr>
      <w:hyperlink w:anchor="_Toc140744517" w:history="1">
        <w:r w:rsidR="00BA35B3" w:rsidRPr="00BD3D55">
          <w:rPr>
            <w:rStyle w:val="Hyperlink"/>
            <w:rFonts w:ascii="Arial" w:hAnsi="Arial" w:cs="Arial"/>
            <w:noProof/>
          </w:rPr>
          <w:t>Figura I.3. 40 - Analiza comparativă a parametrilor pentru anul de bază</w:t>
        </w:r>
        <w:r w:rsidR="00BA35B3">
          <w:rPr>
            <w:noProof/>
            <w:webHidden/>
          </w:rPr>
          <w:tab/>
        </w:r>
        <w:r w:rsidR="00BA35B3">
          <w:rPr>
            <w:noProof/>
            <w:webHidden/>
          </w:rPr>
          <w:fldChar w:fldCharType="begin"/>
        </w:r>
        <w:r w:rsidR="00BA35B3">
          <w:rPr>
            <w:noProof/>
            <w:webHidden/>
          </w:rPr>
          <w:instrText xml:space="preserve"> PAGEREF _Toc140744517 \h </w:instrText>
        </w:r>
        <w:r w:rsidR="00BA35B3">
          <w:rPr>
            <w:noProof/>
            <w:webHidden/>
          </w:rPr>
        </w:r>
        <w:r w:rsidR="00BA35B3">
          <w:rPr>
            <w:noProof/>
            <w:webHidden/>
          </w:rPr>
          <w:fldChar w:fldCharType="separate"/>
        </w:r>
        <w:r w:rsidR="00BB181C">
          <w:rPr>
            <w:noProof/>
            <w:webHidden/>
          </w:rPr>
          <w:t>171</w:t>
        </w:r>
        <w:r w:rsidR="00BA35B3">
          <w:rPr>
            <w:noProof/>
            <w:webHidden/>
          </w:rPr>
          <w:fldChar w:fldCharType="end"/>
        </w:r>
      </w:hyperlink>
    </w:p>
    <w:p w14:paraId="3DF21640" w14:textId="46E6583F" w:rsidR="00BA35B3" w:rsidRDefault="00000000">
      <w:pPr>
        <w:pStyle w:val="Tabeldefiguri"/>
        <w:tabs>
          <w:tab w:val="right" w:leader="dot" w:pos="9645"/>
        </w:tabs>
        <w:rPr>
          <w:rFonts w:eastAsiaTheme="minorEastAsia"/>
          <w:noProof/>
          <w:kern w:val="2"/>
          <w14:ligatures w14:val="standardContextual"/>
        </w:rPr>
      </w:pPr>
      <w:hyperlink w:anchor="_Toc140744518" w:history="1">
        <w:r w:rsidR="00BA35B3" w:rsidRPr="00BD3D55">
          <w:rPr>
            <w:rStyle w:val="Hyperlink"/>
            <w:rFonts w:ascii="Arial" w:hAnsi="Arial" w:cs="Arial"/>
            <w:noProof/>
          </w:rPr>
          <w:t>Figura I.3. 41 - Analiza comparativa a poluanților pentru anul de bază</w:t>
        </w:r>
        <w:r w:rsidR="00BA35B3">
          <w:rPr>
            <w:noProof/>
            <w:webHidden/>
          </w:rPr>
          <w:tab/>
        </w:r>
        <w:r w:rsidR="00BA35B3">
          <w:rPr>
            <w:noProof/>
            <w:webHidden/>
          </w:rPr>
          <w:fldChar w:fldCharType="begin"/>
        </w:r>
        <w:r w:rsidR="00BA35B3">
          <w:rPr>
            <w:noProof/>
            <w:webHidden/>
          </w:rPr>
          <w:instrText xml:space="preserve"> PAGEREF _Toc140744518 \h </w:instrText>
        </w:r>
        <w:r w:rsidR="00BA35B3">
          <w:rPr>
            <w:noProof/>
            <w:webHidden/>
          </w:rPr>
        </w:r>
        <w:r w:rsidR="00BA35B3">
          <w:rPr>
            <w:noProof/>
            <w:webHidden/>
          </w:rPr>
          <w:fldChar w:fldCharType="separate"/>
        </w:r>
        <w:r w:rsidR="00BB181C">
          <w:rPr>
            <w:noProof/>
            <w:webHidden/>
          </w:rPr>
          <w:t>172</w:t>
        </w:r>
        <w:r w:rsidR="00BA35B3">
          <w:rPr>
            <w:noProof/>
            <w:webHidden/>
          </w:rPr>
          <w:fldChar w:fldCharType="end"/>
        </w:r>
      </w:hyperlink>
    </w:p>
    <w:p w14:paraId="0B4C6D5F" w14:textId="21E2D8D3" w:rsidR="00BA35B3" w:rsidRDefault="00000000">
      <w:pPr>
        <w:pStyle w:val="Tabeldefiguri"/>
        <w:tabs>
          <w:tab w:val="right" w:leader="dot" w:pos="9645"/>
        </w:tabs>
        <w:rPr>
          <w:rFonts w:eastAsiaTheme="minorEastAsia"/>
          <w:noProof/>
          <w:kern w:val="2"/>
          <w14:ligatures w14:val="standardContextual"/>
        </w:rPr>
      </w:pPr>
      <w:hyperlink w:anchor="_Toc140744519" w:history="1">
        <w:r w:rsidR="00BA35B3" w:rsidRPr="00BD3D55">
          <w:rPr>
            <w:rStyle w:val="Hyperlink"/>
            <w:rFonts w:ascii="Arial" w:hAnsi="Arial" w:cs="Arial"/>
            <w:noProof/>
          </w:rPr>
          <w:t>Figura I.3. 42 - Niveluri de serviciu intersecţii Horezu – AM 2027</w:t>
        </w:r>
        <w:r w:rsidR="00BA35B3">
          <w:rPr>
            <w:noProof/>
            <w:webHidden/>
          </w:rPr>
          <w:tab/>
        </w:r>
        <w:r w:rsidR="00BA35B3">
          <w:rPr>
            <w:noProof/>
            <w:webHidden/>
          </w:rPr>
          <w:fldChar w:fldCharType="begin"/>
        </w:r>
        <w:r w:rsidR="00BA35B3">
          <w:rPr>
            <w:noProof/>
            <w:webHidden/>
          </w:rPr>
          <w:instrText xml:space="preserve"> PAGEREF _Toc140744519 \h </w:instrText>
        </w:r>
        <w:r w:rsidR="00BA35B3">
          <w:rPr>
            <w:noProof/>
            <w:webHidden/>
          </w:rPr>
        </w:r>
        <w:r w:rsidR="00BA35B3">
          <w:rPr>
            <w:noProof/>
            <w:webHidden/>
          </w:rPr>
          <w:fldChar w:fldCharType="separate"/>
        </w:r>
        <w:r w:rsidR="00BB181C">
          <w:rPr>
            <w:noProof/>
            <w:webHidden/>
          </w:rPr>
          <w:t>174</w:t>
        </w:r>
        <w:r w:rsidR="00BA35B3">
          <w:rPr>
            <w:noProof/>
            <w:webHidden/>
          </w:rPr>
          <w:fldChar w:fldCharType="end"/>
        </w:r>
      </w:hyperlink>
    </w:p>
    <w:p w14:paraId="0E0C7A01" w14:textId="4C74F3F1" w:rsidR="00BA35B3" w:rsidRDefault="00000000">
      <w:pPr>
        <w:pStyle w:val="Tabeldefiguri"/>
        <w:tabs>
          <w:tab w:val="right" w:leader="dot" w:pos="9645"/>
        </w:tabs>
        <w:rPr>
          <w:rFonts w:eastAsiaTheme="minorEastAsia"/>
          <w:noProof/>
          <w:kern w:val="2"/>
          <w14:ligatures w14:val="standardContextual"/>
        </w:rPr>
      </w:pPr>
      <w:hyperlink w:anchor="_Toc140744520" w:history="1">
        <w:r w:rsidR="00BA35B3" w:rsidRPr="00BD3D55">
          <w:rPr>
            <w:rStyle w:val="Hyperlink"/>
            <w:rFonts w:ascii="Arial" w:hAnsi="Arial" w:cs="Arial"/>
            <w:noProof/>
          </w:rPr>
          <w:t>Figura I.3. 43 - Niveluri de serviciu intersecţii Horezu – AM 2035</w:t>
        </w:r>
        <w:r w:rsidR="00BA35B3">
          <w:rPr>
            <w:noProof/>
            <w:webHidden/>
          </w:rPr>
          <w:tab/>
        </w:r>
        <w:r w:rsidR="00BA35B3">
          <w:rPr>
            <w:noProof/>
            <w:webHidden/>
          </w:rPr>
          <w:fldChar w:fldCharType="begin"/>
        </w:r>
        <w:r w:rsidR="00BA35B3">
          <w:rPr>
            <w:noProof/>
            <w:webHidden/>
          </w:rPr>
          <w:instrText xml:space="preserve"> PAGEREF _Toc140744520 \h </w:instrText>
        </w:r>
        <w:r w:rsidR="00BA35B3">
          <w:rPr>
            <w:noProof/>
            <w:webHidden/>
          </w:rPr>
        </w:r>
        <w:r w:rsidR="00BA35B3">
          <w:rPr>
            <w:noProof/>
            <w:webHidden/>
          </w:rPr>
          <w:fldChar w:fldCharType="separate"/>
        </w:r>
        <w:r w:rsidR="00BB181C">
          <w:rPr>
            <w:noProof/>
            <w:webHidden/>
          </w:rPr>
          <w:t>175</w:t>
        </w:r>
        <w:r w:rsidR="00BA35B3">
          <w:rPr>
            <w:noProof/>
            <w:webHidden/>
          </w:rPr>
          <w:fldChar w:fldCharType="end"/>
        </w:r>
      </w:hyperlink>
    </w:p>
    <w:p w14:paraId="0FB13D73" w14:textId="6E58E205" w:rsidR="00BA35B3" w:rsidRDefault="00000000">
      <w:pPr>
        <w:pStyle w:val="Tabeldefiguri"/>
        <w:tabs>
          <w:tab w:val="right" w:leader="dot" w:pos="9645"/>
        </w:tabs>
        <w:rPr>
          <w:rFonts w:eastAsiaTheme="minorEastAsia"/>
          <w:noProof/>
          <w:kern w:val="2"/>
          <w14:ligatures w14:val="standardContextual"/>
        </w:rPr>
      </w:pPr>
      <w:hyperlink w:anchor="_Toc140744521" w:history="1">
        <w:r w:rsidR="00BA35B3" w:rsidRPr="00BD3D55">
          <w:rPr>
            <w:rStyle w:val="Hyperlink"/>
            <w:rFonts w:ascii="Arial" w:hAnsi="Arial" w:cs="Arial"/>
            <w:noProof/>
          </w:rPr>
          <w:t>Figura I.3. 44 - Analiza comparativă a parametrilor de trafic (AM) pentru cele 3 orizonturi de timp</w:t>
        </w:r>
        <w:r w:rsidR="00BA35B3">
          <w:rPr>
            <w:noProof/>
            <w:webHidden/>
          </w:rPr>
          <w:tab/>
        </w:r>
        <w:r w:rsidR="00BA35B3">
          <w:rPr>
            <w:noProof/>
            <w:webHidden/>
          </w:rPr>
          <w:fldChar w:fldCharType="begin"/>
        </w:r>
        <w:r w:rsidR="00BA35B3">
          <w:rPr>
            <w:noProof/>
            <w:webHidden/>
          </w:rPr>
          <w:instrText xml:space="preserve"> PAGEREF _Toc140744521 \h </w:instrText>
        </w:r>
        <w:r w:rsidR="00BA35B3">
          <w:rPr>
            <w:noProof/>
            <w:webHidden/>
          </w:rPr>
        </w:r>
        <w:r w:rsidR="00BA35B3">
          <w:rPr>
            <w:noProof/>
            <w:webHidden/>
          </w:rPr>
          <w:fldChar w:fldCharType="separate"/>
        </w:r>
        <w:r w:rsidR="00BB181C">
          <w:rPr>
            <w:noProof/>
            <w:webHidden/>
          </w:rPr>
          <w:t>176</w:t>
        </w:r>
        <w:r w:rsidR="00BA35B3">
          <w:rPr>
            <w:noProof/>
            <w:webHidden/>
          </w:rPr>
          <w:fldChar w:fldCharType="end"/>
        </w:r>
      </w:hyperlink>
    </w:p>
    <w:p w14:paraId="1D8F2A63" w14:textId="5A831FBD" w:rsidR="00BA35B3" w:rsidRDefault="00000000">
      <w:pPr>
        <w:pStyle w:val="Tabeldefiguri"/>
        <w:tabs>
          <w:tab w:val="right" w:leader="dot" w:pos="9645"/>
        </w:tabs>
        <w:rPr>
          <w:rFonts w:eastAsiaTheme="minorEastAsia"/>
          <w:noProof/>
          <w:kern w:val="2"/>
          <w14:ligatures w14:val="standardContextual"/>
        </w:rPr>
      </w:pPr>
      <w:hyperlink w:anchor="_Toc140744522" w:history="1">
        <w:r w:rsidR="00BA35B3" w:rsidRPr="00BD3D55">
          <w:rPr>
            <w:rStyle w:val="Hyperlink"/>
            <w:rFonts w:ascii="Arial" w:hAnsi="Arial" w:cs="Arial"/>
            <w:noProof/>
          </w:rPr>
          <w:t>Figura I.3. 45 - Niveluri de serviciu intersecţii Horezu – PM 2027</w:t>
        </w:r>
        <w:r w:rsidR="00BA35B3">
          <w:rPr>
            <w:noProof/>
            <w:webHidden/>
          </w:rPr>
          <w:tab/>
        </w:r>
        <w:r w:rsidR="00BA35B3">
          <w:rPr>
            <w:noProof/>
            <w:webHidden/>
          </w:rPr>
          <w:fldChar w:fldCharType="begin"/>
        </w:r>
        <w:r w:rsidR="00BA35B3">
          <w:rPr>
            <w:noProof/>
            <w:webHidden/>
          </w:rPr>
          <w:instrText xml:space="preserve"> PAGEREF _Toc140744522 \h </w:instrText>
        </w:r>
        <w:r w:rsidR="00BA35B3">
          <w:rPr>
            <w:noProof/>
            <w:webHidden/>
          </w:rPr>
        </w:r>
        <w:r w:rsidR="00BA35B3">
          <w:rPr>
            <w:noProof/>
            <w:webHidden/>
          </w:rPr>
          <w:fldChar w:fldCharType="separate"/>
        </w:r>
        <w:r w:rsidR="00BB181C">
          <w:rPr>
            <w:noProof/>
            <w:webHidden/>
          </w:rPr>
          <w:t>178</w:t>
        </w:r>
        <w:r w:rsidR="00BA35B3">
          <w:rPr>
            <w:noProof/>
            <w:webHidden/>
          </w:rPr>
          <w:fldChar w:fldCharType="end"/>
        </w:r>
      </w:hyperlink>
    </w:p>
    <w:p w14:paraId="1859E7FE" w14:textId="14B87B95" w:rsidR="00BA35B3" w:rsidRDefault="00000000">
      <w:pPr>
        <w:pStyle w:val="Tabeldefiguri"/>
        <w:tabs>
          <w:tab w:val="right" w:leader="dot" w:pos="9645"/>
        </w:tabs>
        <w:rPr>
          <w:rFonts w:eastAsiaTheme="minorEastAsia"/>
          <w:noProof/>
          <w:kern w:val="2"/>
          <w14:ligatures w14:val="standardContextual"/>
        </w:rPr>
      </w:pPr>
      <w:hyperlink w:anchor="_Toc140744523" w:history="1">
        <w:r w:rsidR="00BA35B3" w:rsidRPr="00BD3D55">
          <w:rPr>
            <w:rStyle w:val="Hyperlink"/>
            <w:rFonts w:ascii="Arial" w:hAnsi="Arial" w:cs="Arial"/>
            <w:noProof/>
          </w:rPr>
          <w:t>Figura I.3. 46 - Niveluri de serviciu intersecţii Horezu – PM 2035</w:t>
        </w:r>
        <w:r w:rsidR="00BA35B3">
          <w:rPr>
            <w:noProof/>
            <w:webHidden/>
          </w:rPr>
          <w:tab/>
        </w:r>
        <w:r w:rsidR="00BA35B3">
          <w:rPr>
            <w:noProof/>
            <w:webHidden/>
          </w:rPr>
          <w:fldChar w:fldCharType="begin"/>
        </w:r>
        <w:r w:rsidR="00BA35B3">
          <w:rPr>
            <w:noProof/>
            <w:webHidden/>
          </w:rPr>
          <w:instrText xml:space="preserve"> PAGEREF _Toc140744523 \h </w:instrText>
        </w:r>
        <w:r w:rsidR="00BA35B3">
          <w:rPr>
            <w:noProof/>
            <w:webHidden/>
          </w:rPr>
        </w:r>
        <w:r w:rsidR="00BA35B3">
          <w:rPr>
            <w:noProof/>
            <w:webHidden/>
          </w:rPr>
          <w:fldChar w:fldCharType="separate"/>
        </w:r>
        <w:r w:rsidR="00BB181C">
          <w:rPr>
            <w:noProof/>
            <w:webHidden/>
          </w:rPr>
          <w:t>179</w:t>
        </w:r>
        <w:r w:rsidR="00BA35B3">
          <w:rPr>
            <w:noProof/>
            <w:webHidden/>
          </w:rPr>
          <w:fldChar w:fldCharType="end"/>
        </w:r>
      </w:hyperlink>
    </w:p>
    <w:p w14:paraId="4C25AE73" w14:textId="6666EBCA" w:rsidR="00BA35B3" w:rsidRDefault="00000000">
      <w:pPr>
        <w:pStyle w:val="Tabeldefiguri"/>
        <w:tabs>
          <w:tab w:val="right" w:leader="dot" w:pos="9645"/>
        </w:tabs>
        <w:rPr>
          <w:rFonts w:eastAsiaTheme="minorEastAsia"/>
          <w:noProof/>
          <w:kern w:val="2"/>
          <w14:ligatures w14:val="standardContextual"/>
        </w:rPr>
      </w:pPr>
      <w:hyperlink w:anchor="_Toc140744524" w:history="1">
        <w:r w:rsidR="00BA35B3" w:rsidRPr="00BD3D55">
          <w:rPr>
            <w:rStyle w:val="Hyperlink"/>
            <w:rFonts w:ascii="Arial" w:hAnsi="Arial" w:cs="Arial"/>
            <w:noProof/>
            <w:kern w:val="1"/>
            <w:lang w:val="ro-RO" w:eastAsia="hi-IN" w:bidi="hi-IN"/>
          </w:rPr>
          <w:t>Figura I.3.</w:t>
        </w:r>
        <w:r w:rsidR="00BA35B3" w:rsidRPr="00BD3D55">
          <w:rPr>
            <w:rStyle w:val="Hyperlink"/>
            <w:rFonts w:ascii="Arial" w:hAnsi="Arial" w:cs="Arial"/>
            <w:noProof/>
          </w:rPr>
          <w:t xml:space="preserve"> 47 - Analiza comparativă a parametrilor de trafic (PM) pentru cele 3 orizonturi de timp</w:t>
        </w:r>
        <w:r w:rsidR="00BA35B3">
          <w:rPr>
            <w:noProof/>
            <w:webHidden/>
          </w:rPr>
          <w:tab/>
        </w:r>
        <w:r w:rsidR="00BA35B3">
          <w:rPr>
            <w:noProof/>
            <w:webHidden/>
          </w:rPr>
          <w:fldChar w:fldCharType="begin"/>
        </w:r>
        <w:r w:rsidR="00BA35B3">
          <w:rPr>
            <w:noProof/>
            <w:webHidden/>
          </w:rPr>
          <w:instrText xml:space="preserve"> PAGEREF _Toc140744524 \h </w:instrText>
        </w:r>
        <w:r w:rsidR="00BA35B3">
          <w:rPr>
            <w:noProof/>
            <w:webHidden/>
          </w:rPr>
        </w:r>
        <w:r w:rsidR="00BA35B3">
          <w:rPr>
            <w:noProof/>
            <w:webHidden/>
          </w:rPr>
          <w:fldChar w:fldCharType="separate"/>
        </w:r>
        <w:r w:rsidR="00BB181C">
          <w:rPr>
            <w:noProof/>
            <w:webHidden/>
          </w:rPr>
          <w:t>180</w:t>
        </w:r>
        <w:r w:rsidR="00BA35B3">
          <w:rPr>
            <w:noProof/>
            <w:webHidden/>
          </w:rPr>
          <w:fldChar w:fldCharType="end"/>
        </w:r>
      </w:hyperlink>
    </w:p>
    <w:p w14:paraId="5CA24DF0" w14:textId="1A7B81CB" w:rsidR="00BA35B3" w:rsidRDefault="00000000">
      <w:pPr>
        <w:pStyle w:val="Tabeldefiguri"/>
        <w:tabs>
          <w:tab w:val="right" w:leader="dot" w:pos="9645"/>
        </w:tabs>
        <w:rPr>
          <w:rFonts w:eastAsiaTheme="minorEastAsia"/>
          <w:noProof/>
          <w:kern w:val="2"/>
          <w14:ligatures w14:val="standardContextual"/>
        </w:rPr>
      </w:pPr>
      <w:hyperlink w:anchor="_Toc140744525" w:history="1">
        <w:r w:rsidR="00BA35B3" w:rsidRPr="00BD3D55">
          <w:rPr>
            <w:rStyle w:val="Hyperlink"/>
            <w:rFonts w:ascii="Arial" w:hAnsi="Arial" w:cs="Arial"/>
            <w:noProof/>
          </w:rPr>
          <w:t xml:space="preserve">Figura I.3. 49 </w:t>
        </w:r>
        <w:r w:rsidR="00BA35B3" w:rsidRPr="00BD3D55">
          <w:rPr>
            <w:rStyle w:val="Hyperlink"/>
            <w:rFonts w:ascii="Arial" w:hAnsi="Arial" w:cs="Arial"/>
            <w:noProof/>
            <w:lang w:val="ro-RO"/>
          </w:rPr>
          <w:t xml:space="preserve">- </w:t>
        </w:r>
        <w:r w:rsidR="00BA35B3" w:rsidRPr="00BD3D55">
          <w:rPr>
            <w:rStyle w:val="Hyperlink"/>
            <w:rFonts w:ascii="Arial" w:hAnsi="Arial" w:cs="Arial"/>
            <w:noProof/>
            <w:kern w:val="1"/>
            <w:lang w:val="ro-RO" w:eastAsia="hi-IN" w:bidi="hi-IN"/>
          </w:rPr>
          <w:t>Delimitarea zonei centrale</w:t>
        </w:r>
        <w:r w:rsidR="00BA35B3">
          <w:rPr>
            <w:noProof/>
            <w:webHidden/>
          </w:rPr>
          <w:tab/>
        </w:r>
        <w:r w:rsidR="00BA35B3">
          <w:rPr>
            <w:noProof/>
            <w:webHidden/>
          </w:rPr>
          <w:fldChar w:fldCharType="begin"/>
        </w:r>
        <w:r w:rsidR="00BA35B3">
          <w:rPr>
            <w:noProof/>
            <w:webHidden/>
          </w:rPr>
          <w:instrText xml:space="preserve"> PAGEREF _Toc140744525 \h </w:instrText>
        </w:r>
        <w:r w:rsidR="00BA35B3">
          <w:rPr>
            <w:noProof/>
            <w:webHidden/>
          </w:rPr>
        </w:r>
        <w:r w:rsidR="00BA35B3">
          <w:rPr>
            <w:noProof/>
            <w:webHidden/>
          </w:rPr>
          <w:fldChar w:fldCharType="separate"/>
        </w:r>
        <w:r w:rsidR="00BB181C">
          <w:rPr>
            <w:noProof/>
            <w:webHidden/>
          </w:rPr>
          <w:t>182</w:t>
        </w:r>
        <w:r w:rsidR="00BA35B3">
          <w:rPr>
            <w:noProof/>
            <w:webHidden/>
          </w:rPr>
          <w:fldChar w:fldCharType="end"/>
        </w:r>
      </w:hyperlink>
    </w:p>
    <w:p w14:paraId="5CADD49E" w14:textId="3AA909E9" w:rsidR="006A1446" w:rsidRDefault="006A1446" w:rsidP="00F829E1">
      <w:pPr>
        <w:pStyle w:val="Tabeldefiguri"/>
        <w:tabs>
          <w:tab w:val="right" w:leader="dot" w:pos="9645"/>
        </w:tabs>
        <w:rPr>
          <w:rFonts w:ascii="Arial" w:hAnsi="Arial" w:cs="Arial"/>
          <w:b/>
          <w:bCs/>
          <w:lang w:val="ro-RO" w:eastAsia="ro-RO"/>
        </w:rPr>
      </w:pPr>
      <w:r>
        <w:rPr>
          <w:rFonts w:ascii="Arial" w:hAnsi="Arial" w:cs="Arial"/>
          <w:b/>
          <w:bCs/>
          <w:lang w:val="ro-RO" w:eastAsia="ro-RO"/>
        </w:rPr>
        <w:fldChar w:fldCharType="end"/>
      </w:r>
      <w:r>
        <w:rPr>
          <w:rFonts w:ascii="Arial" w:hAnsi="Arial" w:cs="Arial"/>
          <w:b/>
          <w:bCs/>
          <w:lang w:val="ro-RO" w:eastAsia="ro-RO"/>
        </w:rPr>
        <w:t xml:space="preserve"> </w:t>
      </w:r>
    </w:p>
    <w:p w14:paraId="54B9B8A5" w14:textId="18162DD0" w:rsidR="00374C37" w:rsidRDefault="006A1446">
      <w:pPr>
        <w:pStyle w:val="Tabeldefiguri"/>
        <w:tabs>
          <w:tab w:val="right" w:leader="dot" w:pos="9645"/>
        </w:tabs>
        <w:rPr>
          <w:rFonts w:eastAsiaTheme="minorEastAsia"/>
          <w:noProof/>
        </w:rPr>
      </w:pPr>
      <w:r>
        <w:rPr>
          <w:rFonts w:ascii="Arial" w:hAnsi="Arial" w:cs="Arial"/>
          <w:b/>
          <w:bCs/>
          <w:lang w:val="ro-RO" w:eastAsia="ro-RO"/>
        </w:rPr>
        <w:fldChar w:fldCharType="begin"/>
      </w:r>
      <w:r>
        <w:rPr>
          <w:rFonts w:ascii="Arial" w:hAnsi="Arial" w:cs="Arial"/>
          <w:b/>
          <w:bCs/>
          <w:lang w:val="ro-RO" w:eastAsia="ro-RO"/>
        </w:rPr>
        <w:instrText xml:space="preserve"> TOC \h \z \c "Figura I.4." </w:instrText>
      </w:r>
      <w:r>
        <w:rPr>
          <w:rFonts w:ascii="Arial" w:hAnsi="Arial" w:cs="Arial"/>
          <w:b/>
          <w:bCs/>
          <w:lang w:val="ro-RO" w:eastAsia="ro-RO"/>
        </w:rPr>
        <w:fldChar w:fldCharType="separate"/>
      </w:r>
      <w:hyperlink w:anchor="_Toc96447334" w:history="1">
        <w:r w:rsidR="00374C37" w:rsidRPr="000B23E8">
          <w:rPr>
            <w:rStyle w:val="Hyperlink"/>
            <w:rFonts w:ascii="Arial" w:hAnsi="Arial" w:cs="Arial"/>
            <w:noProof/>
          </w:rPr>
          <w:t>Figura I.4. 1 - Fluxuri de trafic la nivel de PM peak, în Total Veh/ora – An 2021</w:t>
        </w:r>
        <w:r w:rsidR="00374C37">
          <w:rPr>
            <w:noProof/>
            <w:webHidden/>
          </w:rPr>
          <w:tab/>
        </w:r>
        <w:r w:rsidR="00374C37">
          <w:rPr>
            <w:noProof/>
            <w:webHidden/>
          </w:rPr>
          <w:fldChar w:fldCharType="begin"/>
        </w:r>
        <w:r w:rsidR="00374C37">
          <w:rPr>
            <w:noProof/>
            <w:webHidden/>
          </w:rPr>
          <w:instrText xml:space="preserve"> PAGEREF _Toc96447334 \h </w:instrText>
        </w:r>
        <w:r w:rsidR="00374C37">
          <w:rPr>
            <w:noProof/>
            <w:webHidden/>
          </w:rPr>
        </w:r>
        <w:r w:rsidR="00374C37">
          <w:rPr>
            <w:noProof/>
            <w:webHidden/>
          </w:rPr>
          <w:fldChar w:fldCharType="separate"/>
        </w:r>
        <w:r w:rsidR="00BB181C">
          <w:rPr>
            <w:noProof/>
            <w:webHidden/>
          </w:rPr>
          <w:t>184</w:t>
        </w:r>
        <w:r w:rsidR="00374C37">
          <w:rPr>
            <w:noProof/>
            <w:webHidden/>
          </w:rPr>
          <w:fldChar w:fldCharType="end"/>
        </w:r>
      </w:hyperlink>
    </w:p>
    <w:p w14:paraId="73ED6BED" w14:textId="5B9A8832" w:rsidR="00374C37" w:rsidRDefault="00000000">
      <w:pPr>
        <w:pStyle w:val="Tabeldefiguri"/>
        <w:tabs>
          <w:tab w:val="right" w:leader="dot" w:pos="9645"/>
        </w:tabs>
        <w:rPr>
          <w:rFonts w:eastAsiaTheme="minorEastAsia"/>
          <w:noProof/>
        </w:rPr>
      </w:pPr>
      <w:hyperlink w:anchor="_Toc96447335" w:history="1">
        <w:r w:rsidR="00374C37" w:rsidRPr="000B23E8">
          <w:rPr>
            <w:rStyle w:val="Hyperlink"/>
            <w:rFonts w:ascii="Arial" w:hAnsi="Arial" w:cs="Arial"/>
            <w:noProof/>
          </w:rPr>
          <w:t>Figura I.4. 2 - Niveluri de serviciu</w:t>
        </w:r>
        <w:r w:rsidR="00374C37">
          <w:rPr>
            <w:noProof/>
            <w:webHidden/>
          </w:rPr>
          <w:tab/>
        </w:r>
        <w:r w:rsidR="00374C37">
          <w:rPr>
            <w:noProof/>
            <w:webHidden/>
          </w:rPr>
          <w:fldChar w:fldCharType="begin"/>
        </w:r>
        <w:r w:rsidR="00374C37">
          <w:rPr>
            <w:noProof/>
            <w:webHidden/>
          </w:rPr>
          <w:instrText xml:space="preserve"> PAGEREF _Toc96447335 \h </w:instrText>
        </w:r>
        <w:r w:rsidR="00374C37">
          <w:rPr>
            <w:noProof/>
            <w:webHidden/>
          </w:rPr>
        </w:r>
        <w:r w:rsidR="00374C37">
          <w:rPr>
            <w:noProof/>
            <w:webHidden/>
          </w:rPr>
          <w:fldChar w:fldCharType="separate"/>
        </w:r>
        <w:r w:rsidR="00BB181C">
          <w:rPr>
            <w:noProof/>
            <w:webHidden/>
          </w:rPr>
          <w:t>185</w:t>
        </w:r>
        <w:r w:rsidR="00374C37">
          <w:rPr>
            <w:noProof/>
            <w:webHidden/>
          </w:rPr>
          <w:fldChar w:fldCharType="end"/>
        </w:r>
      </w:hyperlink>
    </w:p>
    <w:p w14:paraId="76526911" w14:textId="740C57B3" w:rsidR="00374C37" w:rsidRDefault="00000000">
      <w:pPr>
        <w:pStyle w:val="Tabeldefiguri"/>
        <w:tabs>
          <w:tab w:val="right" w:leader="dot" w:pos="9645"/>
        </w:tabs>
        <w:rPr>
          <w:rFonts w:eastAsiaTheme="minorEastAsia"/>
          <w:noProof/>
        </w:rPr>
      </w:pPr>
      <w:hyperlink w:anchor="_Toc96447336" w:history="1">
        <w:r w:rsidR="00374C37" w:rsidRPr="000B23E8">
          <w:rPr>
            <w:rStyle w:val="Hyperlink"/>
            <w:rFonts w:ascii="Arial" w:hAnsi="Arial" w:cs="Arial"/>
            <w:noProof/>
          </w:rPr>
          <w:t>Figura I.4. 3 - Pactul ecologic european</w:t>
        </w:r>
        <w:r w:rsidR="00374C37">
          <w:rPr>
            <w:noProof/>
            <w:webHidden/>
          </w:rPr>
          <w:tab/>
        </w:r>
        <w:r w:rsidR="00374C37">
          <w:rPr>
            <w:noProof/>
            <w:webHidden/>
          </w:rPr>
          <w:fldChar w:fldCharType="begin"/>
        </w:r>
        <w:r w:rsidR="00374C37">
          <w:rPr>
            <w:noProof/>
            <w:webHidden/>
          </w:rPr>
          <w:instrText xml:space="preserve"> PAGEREF _Toc96447336 \h </w:instrText>
        </w:r>
        <w:r w:rsidR="00374C37">
          <w:rPr>
            <w:noProof/>
            <w:webHidden/>
          </w:rPr>
        </w:r>
        <w:r w:rsidR="00374C37">
          <w:rPr>
            <w:noProof/>
            <w:webHidden/>
          </w:rPr>
          <w:fldChar w:fldCharType="separate"/>
        </w:r>
        <w:r w:rsidR="00BB181C">
          <w:rPr>
            <w:noProof/>
            <w:webHidden/>
          </w:rPr>
          <w:t>191</w:t>
        </w:r>
        <w:r w:rsidR="00374C37">
          <w:rPr>
            <w:noProof/>
            <w:webHidden/>
          </w:rPr>
          <w:fldChar w:fldCharType="end"/>
        </w:r>
      </w:hyperlink>
    </w:p>
    <w:p w14:paraId="5295A8B0" w14:textId="058E1664" w:rsidR="00374C37" w:rsidRDefault="00000000">
      <w:pPr>
        <w:pStyle w:val="Tabeldefiguri"/>
        <w:tabs>
          <w:tab w:val="right" w:leader="dot" w:pos="9645"/>
        </w:tabs>
        <w:rPr>
          <w:rFonts w:eastAsiaTheme="minorEastAsia"/>
          <w:noProof/>
        </w:rPr>
      </w:pPr>
      <w:hyperlink w:anchor="_Toc96447337" w:history="1">
        <w:r w:rsidR="00374C37" w:rsidRPr="000B23E8">
          <w:rPr>
            <w:rStyle w:val="Hyperlink"/>
            <w:rFonts w:ascii="Arial" w:hAnsi="Arial" w:cs="Arial"/>
            <w:noProof/>
          </w:rPr>
          <w:t>Figura I.4. 4 - Imaginea simplificatǎ a unui oraș (cu evidențierea „penuriei” de cǎi de deplasare ȋn centrul orașului)</w:t>
        </w:r>
        <w:r w:rsidR="00374C37">
          <w:rPr>
            <w:noProof/>
            <w:webHidden/>
          </w:rPr>
          <w:tab/>
        </w:r>
        <w:r w:rsidR="00374C37">
          <w:rPr>
            <w:noProof/>
            <w:webHidden/>
          </w:rPr>
          <w:fldChar w:fldCharType="begin"/>
        </w:r>
        <w:r w:rsidR="00374C37">
          <w:rPr>
            <w:noProof/>
            <w:webHidden/>
          </w:rPr>
          <w:instrText xml:space="preserve"> PAGEREF _Toc96447337 \h </w:instrText>
        </w:r>
        <w:r w:rsidR="00374C37">
          <w:rPr>
            <w:noProof/>
            <w:webHidden/>
          </w:rPr>
        </w:r>
        <w:r w:rsidR="00374C37">
          <w:rPr>
            <w:noProof/>
            <w:webHidden/>
          </w:rPr>
          <w:fldChar w:fldCharType="separate"/>
        </w:r>
        <w:r w:rsidR="00BB181C">
          <w:rPr>
            <w:noProof/>
            <w:webHidden/>
          </w:rPr>
          <w:t>204</w:t>
        </w:r>
        <w:r w:rsidR="00374C37">
          <w:rPr>
            <w:noProof/>
            <w:webHidden/>
          </w:rPr>
          <w:fldChar w:fldCharType="end"/>
        </w:r>
      </w:hyperlink>
    </w:p>
    <w:p w14:paraId="527536FC" w14:textId="3C3B326F" w:rsidR="00374C37" w:rsidRDefault="00000000">
      <w:pPr>
        <w:pStyle w:val="Tabeldefiguri"/>
        <w:tabs>
          <w:tab w:val="right" w:leader="dot" w:pos="9645"/>
        </w:tabs>
        <w:rPr>
          <w:rFonts w:eastAsiaTheme="minorEastAsia"/>
          <w:noProof/>
        </w:rPr>
      </w:pPr>
      <w:hyperlink w:anchor="_Toc96447338" w:history="1">
        <w:r w:rsidR="00374C37" w:rsidRPr="000B23E8">
          <w:rPr>
            <w:rStyle w:val="Hyperlink"/>
            <w:rFonts w:ascii="Arial" w:hAnsi="Arial" w:cs="Arial"/>
            <w:noProof/>
          </w:rPr>
          <w:t>Figura I.4. 5 - Repartizarea suprafețelor pentru un grad „constant” de congestie a circulației</w:t>
        </w:r>
        <w:r w:rsidR="00374C37">
          <w:rPr>
            <w:noProof/>
            <w:webHidden/>
          </w:rPr>
          <w:tab/>
        </w:r>
        <w:r w:rsidR="00374C37">
          <w:rPr>
            <w:noProof/>
            <w:webHidden/>
          </w:rPr>
          <w:fldChar w:fldCharType="begin"/>
        </w:r>
        <w:r w:rsidR="00374C37">
          <w:rPr>
            <w:noProof/>
            <w:webHidden/>
          </w:rPr>
          <w:instrText xml:space="preserve"> PAGEREF _Toc96447338 \h </w:instrText>
        </w:r>
        <w:r w:rsidR="00374C37">
          <w:rPr>
            <w:noProof/>
            <w:webHidden/>
          </w:rPr>
        </w:r>
        <w:r w:rsidR="00374C37">
          <w:rPr>
            <w:noProof/>
            <w:webHidden/>
          </w:rPr>
          <w:fldChar w:fldCharType="separate"/>
        </w:r>
        <w:r w:rsidR="00BB181C">
          <w:rPr>
            <w:noProof/>
            <w:webHidden/>
          </w:rPr>
          <w:t>205</w:t>
        </w:r>
        <w:r w:rsidR="00374C37">
          <w:rPr>
            <w:noProof/>
            <w:webHidden/>
          </w:rPr>
          <w:fldChar w:fldCharType="end"/>
        </w:r>
      </w:hyperlink>
    </w:p>
    <w:p w14:paraId="75CB5396" w14:textId="1E22F2A3" w:rsidR="00374C37" w:rsidRDefault="00000000">
      <w:pPr>
        <w:pStyle w:val="Tabeldefiguri"/>
        <w:tabs>
          <w:tab w:val="right" w:leader="dot" w:pos="9645"/>
        </w:tabs>
        <w:rPr>
          <w:rFonts w:eastAsiaTheme="minorEastAsia"/>
          <w:noProof/>
        </w:rPr>
      </w:pPr>
      <w:hyperlink w:anchor="_Toc96447339" w:history="1">
        <w:r w:rsidR="00374C37" w:rsidRPr="000B23E8">
          <w:rPr>
            <w:rStyle w:val="Hyperlink"/>
            <w:rFonts w:ascii="Arial" w:hAnsi="Arial" w:cs="Arial"/>
            <w:noProof/>
          </w:rPr>
          <w:t>Figura I.4. 6 - Horezu – Penetrabilitatea relativă a zonelor (Număr intrări / ieşiri la 100 ha)</w:t>
        </w:r>
        <w:r w:rsidR="00374C37">
          <w:rPr>
            <w:noProof/>
            <w:webHidden/>
          </w:rPr>
          <w:tab/>
        </w:r>
        <w:r w:rsidR="00374C37">
          <w:rPr>
            <w:noProof/>
            <w:webHidden/>
          </w:rPr>
          <w:fldChar w:fldCharType="begin"/>
        </w:r>
        <w:r w:rsidR="00374C37">
          <w:rPr>
            <w:noProof/>
            <w:webHidden/>
          </w:rPr>
          <w:instrText xml:space="preserve"> PAGEREF _Toc96447339 \h </w:instrText>
        </w:r>
        <w:r w:rsidR="00374C37">
          <w:rPr>
            <w:noProof/>
            <w:webHidden/>
          </w:rPr>
        </w:r>
        <w:r w:rsidR="00374C37">
          <w:rPr>
            <w:noProof/>
            <w:webHidden/>
          </w:rPr>
          <w:fldChar w:fldCharType="separate"/>
        </w:r>
        <w:r w:rsidR="00BB181C">
          <w:rPr>
            <w:noProof/>
            <w:webHidden/>
          </w:rPr>
          <w:t>210</w:t>
        </w:r>
        <w:r w:rsidR="00374C37">
          <w:rPr>
            <w:noProof/>
            <w:webHidden/>
          </w:rPr>
          <w:fldChar w:fldCharType="end"/>
        </w:r>
      </w:hyperlink>
    </w:p>
    <w:p w14:paraId="14528CDE" w14:textId="7E4D1C2B" w:rsidR="00374C37" w:rsidRDefault="00000000">
      <w:pPr>
        <w:pStyle w:val="Tabeldefiguri"/>
        <w:tabs>
          <w:tab w:val="right" w:leader="dot" w:pos="9645"/>
        </w:tabs>
        <w:rPr>
          <w:rFonts w:eastAsiaTheme="minorEastAsia"/>
          <w:noProof/>
        </w:rPr>
      </w:pPr>
      <w:hyperlink w:anchor="_Toc96447340" w:history="1">
        <w:r w:rsidR="00374C37" w:rsidRPr="000B23E8">
          <w:rPr>
            <w:rStyle w:val="Hyperlink"/>
            <w:rFonts w:ascii="Arial" w:hAnsi="Arial" w:cs="Arial"/>
            <w:noProof/>
          </w:rPr>
          <w:t>Figura I.4. 7 - Horezu – Permisivitatea reţelei majore</w:t>
        </w:r>
        <w:r w:rsidR="00374C37">
          <w:rPr>
            <w:noProof/>
            <w:webHidden/>
          </w:rPr>
          <w:tab/>
        </w:r>
        <w:r w:rsidR="00374C37">
          <w:rPr>
            <w:noProof/>
            <w:webHidden/>
          </w:rPr>
          <w:fldChar w:fldCharType="begin"/>
        </w:r>
        <w:r w:rsidR="00374C37">
          <w:rPr>
            <w:noProof/>
            <w:webHidden/>
          </w:rPr>
          <w:instrText xml:space="preserve"> PAGEREF _Toc96447340 \h </w:instrText>
        </w:r>
        <w:r w:rsidR="00374C37">
          <w:rPr>
            <w:noProof/>
            <w:webHidden/>
          </w:rPr>
        </w:r>
        <w:r w:rsidR="00374C37">
          <w:rPr>
            <w:noProof/>
            <w:webHidden/>
          </w:rPr>
          <w:fldChar w:fldCharType="separate"/>
        </w:r>
        <w:r w:rsidR="00BB181C">
          <w:rPr>
            <w:noProof/>
            <w:webHidden/>
          </w:rPr>
          <w:t>211</w:t>
        </w:r>
        <w:r w:rsidR="00374C37">
          <w:rPr>
            <w:noProof/>
            <w:webHidden/>
          </w:rPr>
          <w:fldChar w:fldCharType="end"/>
        </w:r>
      </w:hyperlink>
    </w:p>
    <w:p w14:paraId="3DF2DF5D" w14:textId="4F28659C" w:rsidR="00374C37" w:rsidRDefault="00000000">
      <w:pPr>
        <w:pStyle w:val="Tabeldefiguri"/>
        <w:tabs>
          <w:tab w:val="right" w:leader="dot" w:pos="9645"/>
        </w:tabs>
        <w:rPr>
          <w:rFonts w:eastAsiaTheme="minorEastAsia"/>
          <w:noProof/>
        </w:rPr>
      </w:pPr>
      <w:hyperlink w:anchor="_Toc96447341" w:history="1">
        <w:r w:rsidR="00374C37" w:rsidRPr="000B23E8">
          <w:rPr>
            <w:rStyle w:val="Hyperlink"/>
            <w:rFonts w:ascii="Arial" w:hAnsi="Arial" w:cs="Arial"/>
            <w:noProof/>
          </w:rPr>
          <w:t xml:space="preserve">Figura I.4. 8 - </w:t>
        </w:r>
        <w:r w:rsidR="00374C37" w:rsidRPr="000B23E8">
          <w:rPr>
            <w:rStyle w:val="Hyperlink"/>
            <w:rFonts w:ascii="Arial" w:hAnsi="Arial" w:cs="Arial"/>
            <w:noProof/>
            <w:lang w:val="es-ES"/>
          </w:rPr>
          <w:t>Linkuri cu nivel ridicat de ocupare a capacităţii (volum/capacitate) AM peak</w:t>
        </w:r>
        <w:r w:rsidR="00374C37">
          <w:rPr>
            <w:noProof/>
            <w:webHidden/>
          </w:rPr>
          <w:tab/>
        </w:r>
        <w:r w:rsidR="00374C37">
          <w:rPr>
            <w:noProof/>
            <w:webHidden/>
          </w:rPr>
          <w:fldChar w:fldCharType="begin"/>
        </w:r>
        <w:r w:rsidR="00374C37">
          <w:rPr>
            <w:noProof/>
            <w:webHidden/>
          </w:rPr>
          <w:instrText xml:space="preserve"> PAGEREF _Toc96447341 \h </w:instrText>
        </w:r>
        <w:r w:rsidR="00374C37">
          <w:rPr>
            <w:noProof/>
            <w:webHidden/>
          </w:rPr>
        </w:r>
        <w:r w:rsidR="00374C37">
          <w:rPr>
            <w:noProof/>
            <w:webHidden/>
          </w:rPr>
          <w:fldChar w:fldCharType="separate"/>
        </w:r>
        <w:r w:rsidR="00BB181C">
          <w:rPr>
            <w:noProof/>
            <w:webHidden/>
          </w:rPr>
          <w:t>212</w:t>
        </w:r>
        <w:r w:rsidR="00374C37">
          <w:rPr>
            <w:noProof/>
            <w:webHidden/>
          </w:rPr>
          <w:fldChar w:fldCharType="end"/>
        </w:r>
      </w:hyperlink>
    </w:p>
    <w:p w14:paraId="296FCDE6" w14:textId="2D4D4555" w:rsidR="00374C37" w:rsidRDefault="00000000">
      <w:pPr>
        <w:pStyle w:val="Tabeldefiguri"/>
        <w:tabs>
          <w:tab w:val="right" w:leader="dot" w:pos="9645"/>
        </w:tabs>
        <w:rPr>
          <w:rFonts w:eastAsiaTheme="minorEastAsia"/>
          <w:noProof/>
        </w:rPr>
      </w:pPr>
      <w:hyperlink w:anchor="_Toc96447342" w:history="1">
        <w:r w:rsidR="00374C37" w:rsidRPr="000B23E8">
          <w:rPr>
            <w:rStyle w:val="Hyperlink"/>
            <w:rFonts w:ascii="Arial" w:hAnsi="Arial" w:cs="Arial"/>
            <w:noProof/>
          </w:rPr>
          <w:t xml:space="preserve">Figura I.4. 9 - </w:t>
        </w:r>
        <w:r w:rsidR="00374C37" w:rsidRPr="000B23E8">
          <w:rPr>
            <w:rStyle w:val="Hyperlink"/>
            <w:rFonts w:ascii="Arial" w:hAnsi="Arial" w:cs="Arial"/>
            <w:noProof/>
            <w:lang w:val="es-ES"/>
          </w:rPr>
          <w:t>Linkuri cu nivel ridicat de ocupare a capacităţii (volum/capacitate) PM peak</w:t>
        </w:r>
        <w:r w:rsidR="00374C37">
          <w:rPr>
            <w:noProof/>
            <w:webHidden/>
          </w:rPr>
          <w:tab/>
        </w:r>
        <w:r w:rsidR="00374C37">
          <w:rPr>
            <w:noProof/>
            <w:webHidden/>
          </w:rPr>
          <w:fldChar w:fldCharType="begin"/>
        </w:r>
        <w:r w:rsidR="00374C37">
          <w:rPr>
            <w:noProof/>
            <w:webHidden/>
          </w:rPr>
          <w:instrText xml:space="preserve"> PAGEREF _Toc96447342 \h </w:instrText>
        </w:r>
        <w:r w:rsidR="00374C37">
          <w:rPr>
            <w:noProof/>
            <w:webHidden/>
          </w:rPr>
        </w:r>
        <w:r w:rsidR="00374C37">
          <w:rPr>
            <w:noProof/>
            <w:webHidden/>
          </w:rPr>
          <w:fldChar w:fldCharType="separate"/>
        </w:r>
        <w:r w:rsidR="00BB181C">
          <w:rPr>
            <w:noProof/>
            <w:webHidden/>
          </w:rPr>
          <w:t>213</w:t>
        </w:r>
        <w:r w:rsidR="00374C37">
          <w:rPr>
            <w:noProof/>
            <w:webHidden/>
          </w:rPr>
          <w:fldChar w:fldCharType="end"/>
        </w:r>
      </w:hyperlink>
    </w:p>
    <w:p w14:paraId="413AC599" w14:textId="53FE816F" w:rsidR="00374C37" w:rsidRDefault="00000000">
      <w:pPr>
        <w:pStyle w:val="Tabeldefiguri"/>
        <w:tabs>
          <w:tab w:val="right" w:leader="dot" w:pos="9645"/>
        </w:tabs>
        <w:rPr>
          <w:rFonts w:eastAsiaTheme="minorEastAsia"/>
          <w:noProof/>
        </w:rPr>
      </w:pPr>
      <w:hyperlink w:anchor="_Toc96447343" w:history="1">
        <w:r w:rsidR="00374C37" w:rsidRPr="000B23E8">
          <w:rPr>
            <w:rStyle w:val="Hyperlink"/>
            <w:rFonts w:ascii="Arial" w:hAnsi="Arial" w:cs="Arial"/>
            <w:noProof/>
          </w:rPr>
          <w:t>Figura I.4. 10 - Evoluția numărului de accidente din zona urbană Horezu</w:t>
        </w:r>
        <w:r w:rsidR="00374C37">
          <w:rPr>
            <w:noProof/>
            <w:webHidden/>
          </w:rPr>
          <w:tab/>
        </w:r>
        <w:r w:rsidR="00374C37">
          <w:rPr>
            <w:noProof/>
            <w:webHidden/>
          </w:rPr>
          <w:fldChar w:fldCharType="begin"/>
        </w:r>
        <w:r w:rsidR="00374C37">
          <w:rPr>
            <w:noProof/>
            <w:webHidden/>
          </w:rPr>
          <w:instrText xml:space="preserve"> PAGEREF _Toc96447343 \h </w:instrText>
        </w:r>
        <w:r w:rsidR="00374C37">
          <w:rPr>
            <w:noProof/>
            <w:webHidden/>
          </w:rPr>
        </w:r>
        <w:r w:rsidR="00374C37">
          <w:rPr>
            <w:noProof/>
            <w:webHidden/>
          </w:rPr>
          <w:fldChar w:fldCharType="separate"/>
        </w:r>
        <w:r w:rsidR="00BB181C">
          <w:rPr>
            <w:noProof/>
            <w:webHidden/>
          </w:rPr>
          <w:t>216</w:t>
        </w:r>
        <w:r w:rsidR="00374C37">
          <w:rPr>
            <w:noProof/>
            <w:webHidden/>
          </w:rPr>
          <w:fldChar w:fldCharType="end"/>
        </w:r>
      </w:hyperlink>
    </w:p>
    <w:p w14:paraId="06BB5EA5" w14:textId="6EDC53EC" w:rsidR="00374C37" w:rsidRDefault="00000000">
      <w:pPr>
        <w:pStyle w:val="Tabeldefiguri"/>
        <w:tabs>
          <w:tab w:val="right" w:leader="dot" w:pos="9645"/>
        </w:tabs>
        <w:rPr>
          <w:rFonts w:eastAsiaTheme="minorEastAsia"/>
          <w:noProof/>
        </w:rPr>
      </w:pPr>
      <w:hyperlink w:anchor="_Toc96447344" w:history="1">
        <w:r w:rsidR="00374C37" w:rsidRPr="000B23E8">
          <w:rPr>
            <w:rStyle w:val="Hyperlink"/>
            <w:rFonts w:ascii="Arial" w:hAnsi="Arial" w:cs="Arial"/>
            <w:noProof/>
          </w:rPr>
          <w:t>Figura I.4. 11 – Cauze de producere a accidentelor</w:t>
        </w:r>
        <w:r w:rsidR="00374C37">
          <w:rPr>
            <w:noProof/>
            <w:webHidden/>
          </w:rPr>
          <w:tab/>
        </w:r>
        <w:r w:rsidR="00374C37">
          <w:rPr>
            <w:noProof/>
            <w:webHidden/>
          </w:rPr>
          <w:fldChar w:fldCharType="begin"/>
        </w:r>
        <w:r w:rsidR="00374C37">
          <w:rPr>
            <w:noProof/>
            <w:webHidden/>
          </w:rPr>
          <w:instrText xml:space="preserve"> PAGEREF _Toc96447344 \h </w:instrText>
        </w:r>
        <w:r w:rsidR="00374C37">
          <w:rPr>
            <w:noProof/>
            <w:webHidden/>
          </w:rPr>
        </w:r>
        <w:r w:rsidR="00374C37">
          <w:rPr>
            <w:noProof/>
            <w:webHidden/>
          </w:rPr>
          <w:fldChar w:fldCharType="separate"/>
        </w:r>
        <w:r w:rsidR="00BB181C">
          <w:rPr>
            <w:noProof/>
            <w:webHidden/>
          </w:rPr>
          <w:t>217</w:t>
        </w:r>
        <w:r w:rsidR="00374C37">
          <w:rPr>
            <w:noProof/>
            <w:webHidden/>
          </w:rPr>
          <w:fldChar w:fldCharType="end"/>
        </w:r>
      </w:hyperlink>
    </w:p>
    <w:p w14:paraId="5D2A8E2C" w14:textId="4B367889" w:rsidR="00374C37" w:rsidRDefault="00000000">
      <w:pPr>
        <w:pStyle w:val="Tabeldefiguri"/>
        <w:tabs>
          <w:tab w:val="right" w:leader="dot" w:pos="9645"/>
        </w:tabs>
        <w:rPr>
          <w:rFonts w:eastAsiaTheme="minorEastAsia"/>
          <w:noProof/>
        </w:rPr>
      </w:pPr>
      <w:hyperlink w:anchor="_Toc96447345" w:history="1">
        <w:r w:rsidR="00374C37" w:rsidRPr="000B23E8">
          <w:rPr>
            <w:rStyle w:val="Hyperlink"/>
            <w:rFonts w:ascii="Arial" w:hAnsi="Arial" w:cs="Arial"/>
            <w:noProof/>
          </w:rPr>
          <w:t>Figura I.4. 12 – Arterele de circulatie cu risc ridicat de producere a accidentelor din zona urbană Horezu</w:t>
        </w:r>
        <w:r w:rsidR="00374C37">
          <w:rPr>
            <w:noProof/>
            <w:webHidden/>
          </w:rPr>
          <w:tab/>
        </w:r>
        <w:r w:rsidR="00374C37">
          <w:rPr>
            <w:noProof/>
            <w:webHidden/>
          </w:rPr>
          <w:fldChar w:fldCharType="begin"/>
        </w:r>
        <w:r w:rsidR="00374C37">
          <w:rPr>
            <w:noProof/>
            <w:webHidden/>
          </w:rPr>
          <w:instrText xml:space="preserve"> PAGEREF _Toc96447345 \h </w:instrText>
        </w:r>
        <w:r w:rsidR="00374C37">
          <w:rPr>
            <w:noProof/>
            <w:webHidden/>
          </w:rPr>
        </w:r>
        <w:r w:rsidR="00374C37">
          <w:rPr>
            <w:noProof/>
            <w:webHidden/>
          </w:rPr>
          <w:fldChar w:fldCharType="separate"/>
        </w:r>
        <w:r w:rsidR="00BB181C">
          <w:rPr>
            <w:noProof/>
            <w:webHidden/>
          </w:rPr>
          <w:t>218</w:t>
        </w:r>
        <w:r w:rsidR="00374C37">
          <w:rPr>
            <w:noProof/>
            <w:webHidden/>
          </w:rPr>
          <w:fldChar w:fldCharType="end"/>
        </w:r>
      </w:hyperlink>
    </w:p>
    <w:p w14:paraId="01EE54C5" w14:textId="3A006513" w:rsidR="005B68FD" w:rsidRDefault="00000000" w:rsidP="00F829E1">
      <w:pPr>
        <w:pStyle w:val="Tabeldefiguri"/>
        <w:tabs>
          <w:tab w:val="right" w:leader="dot" w:pos="9645"/>
        </w:tabs>
        <w:rPr>
          <w:noProof/>
        </w:rPr>
      </w:pPr>
      <w:hyperlink w:anchor="_Toc96447346" w:history="1">
        <w:r w:rsidR="00374C37" w:rsidRPr="000B23E8">
          <w:rPr>
            <w:rStyle w:val="Hyperlink"/>
            <w:rFonts w:ascii="Arial" w:hAnsi="Arial" w:cs="Arial"/>
            <w:noProof/>
          </w:rPr>
          <w:t>Figura I.4. 13 – Amplasarea spatiala a accidentelor din zona urbană Horezu – puncte negre</w:t>
        </w:r>
        <w:r w:rsidR="00374C37">
          <w:rPr>
            <w:noProof/>
            <w:webHidden/>
          </w:rPr>
          <w:tab/>
        </w:r>
        <w:r w:rsidR="00374C37">
          <w:rPr>
            <w:noProof/>
            <w:webHidden/>
          </w:rPr>
          <w:fldChar w:fldCharType="begin"/>
        </w:r>
        <w:r w:rsidR="00374C37">
          <w:rPr>
            <w:noProof/>
            <w:webHidden/>
          </w:rPr>
          <w:instrText xml:space="preserve"> PAGEREF _Toc96447346 \h </w:instrText>
        </w:r>
        <w:r w:rsidR="00374C37">
          <w:rPr>
            <w:noProof/>
            <w:webHidden/>
          </w:rPr>
        </w:r>
        <w:r w:rsidR="00374C37">
          <w:rPr>
            <w:noProof/>
            <w:webHidden/>
          </w:rPr>
          <w:fldChar w:fldCharType="separate"/>
        </w:r>
        <w:r w:rsidR="00BB181C">
          <w:rPr>
            <w:noProof/>
            <w:webHidden/>
          </w:rPr>
          <w:t>218</w:t>
        </w:r>
        <w:r w:rsidR="00374C37">
          <w:rPr>
            <w:noProof/>
            <w:webHidden/>
          </w:rPr>
          <w:fldChar w:fldCharType="end"/>
        </w:r>
      </w:hyperlink>
      <w:r w:rsidR="006A1446">
        <w:rPr>
          <w:rFonts w:ascii="Arial" w:hAnsi="Arial" w:cs="Arial"/>
          <w:b/>
          <w:bCs/>
          <w:lang w:val="ro-RO" w:eastAsia="ro-RO"/>
        </w:rPr>
        <w:fldChar w:fldCharType="end"/>
      </w:r>
      <w:r w:rsidR="00F92A5C">
        <w:rPr>
          <w:rFonts w:ascii="Arial" w:hAnsi="Arial" w:cs="Arial"/>
          <w:b/>
          <w:bCs/>
          <w:lang w:val="ro-RO" w:eastAsia="ro-RO"/>
        </w:rPr>
        <w:fldChar w:fldCharType="begin"/>
      </w:r>
      <w:r w:rsidR="00F92A5C">
        <w:rPr>
          <w:rFonts w:ascii="Arial" w:hAnsi="Arial" w:cs="Arial"/>
          <w:b/>
          <w:bCs/>
          <w:lang w:val="ro-RO" w:eastAsia="ro-RO"/>
        </w:rPr>
        <w:instrText xml:space="preserve"> TOC \h \z \c "Figura I.5." </w:instrText>
      </w:r>
      <w:r w:rsidR="00F92A5C">
        <w:rPr>
          <w:rFonts w:ascii="Arial" w:hAnsi="Arial" w:cs="Arial"/>
          <w:b/>
          <w:bCs/>
          <w:lang w:val="ro-RO" w:eastAsia="ro-RO"/>
        </w:rPr>
        <w:fldChar w:fldCharType="separate"/>
      </w:r>
    </w:p>
    <w:p w14:paraId="613BA976" w14:textId="71690161"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28" w:history="1">
        <w:r w:rsidRPr="00796421">
          <w:rPr>
            <w:rStyle w:val="Hyperlink"/>
            <w:rFonts w:ascii="Arial" w:hAnsi="Arial" w:cs="Arial"/>
            <w:noProof/>
          </w:rPr>
          <w:t>Figura I.5. 1 - Organigrama elaborării PMUD</w:t>
        </w:r>
        <w:r>
          <w:rPr>
            <w:noProof/>
            <w:webHidden/>
          </w:rPr>
          <w:tab/>
        </w:r>
        <w:r>
          <w:rPr>
            <w:noProof/>
            <w:webHidden/>
          </w:rPr>
          <w:fldChar w:fldCharType="begin"/>
        </w:r>
        <w:r>
          <w:rPr>
            <w:noProof/>
            <w:webHidden/>
          </w:rPr>
          <w:instrText xml:space="preserve"> PAGEREF _Toc142039128 \h </w:instrText>
        </w:r>
        <w:r>
          <w:rPr>
            <w:noProof/>
            <w:webHidden/>
          </w:rPr>
        </w:r>
        <w:r>
          <w:rPr>
            <w:noProof/>
            <w:webHidden/>
          </w:rPr>
          <w:fldChar w:fldCharType="separate"/>
        </w:r>
        <w:r w:rsidR="00BB181C">
          <w:rPr>
            <w:noProof/>
            <w:webHidden/>
          </w:rPr>
          <w:t>224</w:t>
        </w:r>
        <w:r>
          <w:rPr>
            <w:noProof/>
            <w:webHidden/>
          </w:rPr>
          <w:fldChar w:fldCharType="end"/>
        </w:r>
      </w:hyperlink>
    </w:p>
    <w:p w14:paraId="48E10FF3" w14:textId="56A6DCA2"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29" w:history="1">
        <w:r w:rsidRPr="00796421">
          <w:rPr>
            <w:rStyle w:val="Hyperlink"/>
            <w:rFonts w:ascii="Arial" w:hAnsi="Arial" w:cs="Arial"/>
            <w:noProof/>
          </w:rPr>
          <w:t>Figura I.5. 2 - Rețea trasee pentru biciclete Horezu</w:t>
        </w:r>
        <w:r>
          <w:rPr>
            <w:noProof/>
            <w:webHidden/>
          </w:rPr>
          <w:tab/>
        </w:r>
        <w:r>
          <w:rPr>
            <w:noProof/>
            <w:webHidden/>
          </w:rPr>
          <w:fldChar w:fldCharType="begin"/>
        </w:r>
        <w:r>
          <w:rPr>
            <w:noProof/>
            <w:webHidden/>
          </w:rPr>
          <w:instrText xml:space="preserve"> PAGEREF _Toc142039129 \h </w:instrText>
        </w:r>
        <w:r>
          <w:rPr>
            <w:noProof/>
            <w:webHidden/>
          </w:rPr>
        </w:r>
        <w:r>
          <w:rPr>
            <w:noProof/>
            <w:webHidden/>
          </w:rPr>
          <w:fldChar w:fldCharType="separate"/>
        </w:r>
        <w:r w:rsidR="00BB181C">
          <w:rPr>
            <w:noProof/>
            <w:webHidden/>
          </w:rPr>
          <w:t>234</w:t>
        </w:r>
        <w:r>
          <w:rPr>
            <w:noProof/>
            <w:webHidden/>
          </w:rPr>
          <w:fldChar w:fldCharType="end"/>
        </w:r>
      </w:hyperlink>
    </w:p>
    <w:p w14:paraId="7D2DAF52" w14:textId="5887CBD3"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30" w:history="1">
        <w:r w:rsidRPr="00796421">
          <w:rPr>
            <w:rStyle w:val="Hyperlink"/>
            <w:rFonts w:ascii="Arial" w:hAnsi="Arial" w:cs="Arial"/>
            <w:noProof/>
          </w:rPr>
          <w:t>Figura I.5. 3 - Rețea trasee cross-country Horezu</w:t>
        </w:r>
        <w:r>
          <w:rPr>
            <w:noProof/>
            <w:webHidden/>
          </w:rPr>
          <w:tab/>
        </w:r>
        <w:r>
          <w:rPr>
            <w:noProof/>
            <w:webHidden/>
          </w:rPr>
          <w:fldChar w:fldCharType="begin"/>
        </w:r>
        <w:r>
          <w:rPr>
            <w:noProof/>
            <w:webHidden/>
          </w:rPr>
          <w:instrText xml:space="preserve"> PAGEREF _Toc142039130 \h </w:instrText>
        </w:r>
        <w:r>
          <w:rPr>
            <w:noProof/>
            <w:webHidden/>
          </w:rPr>
        </w:r>
        <w:r>
          <w:rPr>
            <w:noProof/>
            <w:webHidden/>
          </w:rPr>
          <w:fldChar w:fldCharType="separate"/>
        </w:r>
        <w:r w:rsidR="00BB181C">
          <w:rPr>
            <w:noProof/>
            <w:webHidden/>
          </w:rPr>
          <w:t>235</w:t>
        </w:r>
        <w:r>
          <w:rPr>
            <w:noProof/>
            <w:webHidden/>
          </w:rPr>
          <w:fldChar w:fldCharType="end"/>
        </w:r>
      </w:hyperlink>
    </w:p>
    <w:p w14:paraId="5CABD905" w14:textId="4DD97FD5"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31" w:history="1">
        <w:r w:rsidRPr="00796421">
          <w:rPr>
            <w:rStyle w:val="Hyperlink"/>
            <w:rFonts w:ascii="Arial" w:hAnsi="Arial" w:cs="Arial"/>
            <w:noProof/>
          </w:rPr>
          <w:t>Figura I.5. 4 – Traseu pentru biciclete down-hill Vârful lui Roman</w:t>
        </w:r>
        <w:r>
          <w:rPr>
            <w:noProof/>
            <w:webHidden/>
          </w:rPr>
          <w:tab/>
        </w:r>
        <w:r>
          <w:rPr>
            <w:noProof/>
            <w:webHidden/>
          </w:rPr>
          <w:fldChar w:fldCharType="begin"/>
        </w:r>
        <w:r>
          <w:rPr>
            <w:noProof/>
            <w:webHidden/>
          </w:rPr>
          <w:instrText xml:space="preserve"> PAGEREF _Toc142039131 \h </w:instrText>
        </w:r>
        <w:r>
          <w:rPr>
            <w:noProof/>
            <w:webHidden/>
          </w:rPr>
        </w:r>
        <w:r>
          <w:rPr>
            <w:noProof/>
            <w:webHidden/>
          </w:rPr>
          <w:fldChar w:fldCharType="separate"/>
        </w:r>
        <w:r w:rsidR="00BB181C">
          <w:rPr>
            <w:noProof/>
            <w:webHidden/>
          </w:rPr>
          <w:t>235</w:t>
        </w:r>
        <w:r>
          <w:rPr>
            <w:noProof/>
            <w:webHidden/>
          </w:rPr>
          <w:fldChar w:fldCharType="end"/>
        </w:r>
      </w:hyperlink>
    </w:p>
    <w:p w14:paraId="47B174F3" w14:textId="124407D9"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32" w:history="1">
        <w:r w:rsidRPr="00796421">
          <w:rPr>
            <w:rStyle w:val="Hyperlink"/>
            <w:rFonts w:ascii="Arial" w:hAnsi="Arial" w:cs="Arial"/>
            <w:noProof/>
          </w:rPr>
          <w:t>Figura I.5. 5 - Zone pietonale propuse</w:t>
        </w:r>
        <w:r>
          <w:rPr>
            <w:noProof/>
            <w:webHidden/>
          </w:rPr>
          <w:tab/>
        </w:r>
        <w:r>
          <w:rPr>
            <w:noProof/>
            <w:webHidden/>
          </w:rPr>
          <w:fldChar w:fldCharType="begin"/>
        </w:r>
        <w:r>
          <w:rPr>
            <w:noProof/>
            <w:webHidden/>
          </w:rPr>
          <w:instrText xml:space="preserve"> PAGEREF _Toc142039132 \h </w:instrText>
        </w:r>
        <w:r>
          <w:rPr>
            <w:noProof/>
            <w:webHidden/>
          </w:rPr>
        </w:r>
        <w:r>
          <w:rPr>
            <w:noProof/>
            <w:webHidden/>
          </w:rPr>
          <w:fldChar w:fldCharType="separate"/>
        </w:r>
        <w:r w:rsidR="00BB181C">
          <w:rPr>
            <w:noProof/>
            <w:webHidden/>
          </w:rPr>
          <w:t>236</w:t>
        </w:r>
        <w:r>
          <w:rPr>
            <w:noProof/>
            <w:webHidden/>
          </w:rPr>
          <w:fldChar w:fldCharType="end"/>
        </w:r>
      </w:hyperlink>
    </w:p>
    <w:p w14:paraId="7DE069D6" w14:textId="7B4AB548"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33" w:history="1">
        <w:r w:rsidRPr="00796421">
          <w:rPr>
            <w:rStyle w:val="Hyperlink"/>
            <w:rFonts w:ascii="Arial" w:hAnsi="Arial" w:cs="Arial"/>
            <w:noProof/>
          </w:rPr>
          <w:t>Figura I.5. 6 - Centura ocolitoare Horezu</w:t>
        </w:r>
        <w:r>
          <w:rPr>
            <w:noProof/>
            <w:webHidden/>
          </w:rPr>
          <w:tab/>
        </w:r>
        <w:r>
          <w:rPr>
            <w:noProof/>
            <w:webHidden/>
          </w:rPr>
          <w:fldChar w:fldCharType="begin"/>
        </w:r>
        <w:r>
          <w:rPr>
            <w:noProof/>
            <w:webHidden/>
          </w:rPr>
          <w:instrText xml:space="preserve"> PAGEREF _Toc142039133 \h </w:instrText>
        </w:r>
        <w:r>
          <w:rPr>
            <w:noProof/>
            <w:webHidden/>
          </w:rPr>
        </w:r>
        <w:r>
          <w:rPr>
            <w:noProof/>
            <w:webHidden/>
          </w:rPr>
          <w:fldChar w:fldCharType="separate"/>
        </w:r>
        <w:r w:rsidR="00BB181C">
          <w:rPr>
            <w:noProof/>
            <w:webHidden/>
          </w:rPr>
          <w:t>239</w:t>
        </w:r>
        <w:r>
          <w:rPr>
            <w:noProof/>
            <w:webHidden/>
          </w:rPr>
          <w:fldChar w:fldCharType="end"/>
        </w:r>
      </w:hyperlink>
    </w:p>
    <w:p w14:paraId="25493599" w14:textId="78C53408"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34" w:history="1">
        <w:r w:rsidRPr="00796421">
          <w:rPr>
            <w:rStyle w:val="Hyperlink"/>
            <w:rFonts w:ascii="Arial" w:hAnsi="Arial" w:cs="Arial"/>
            <w:noProof/>
          </w:rPr>
          <w:t>Figura I.5. 7 – Sensuri unice Horezu</w:t>
        </w:r>
        <w:r>
          <w:rPr>
            <w:noProof/>
            <w:webHidden/>
          </w:rPr>
          <w:tab/>
        </w:r>
        <w:r>
          <w:rPr>
            <w:noProof/>
            <w:webHidden/>
          </w:rPr>
          <w:fldChar w:fldCharType="begin"/>
        </w:r>
        <w:r>
          <w:rPr>
            <w:noProof/>
            <w:webHidden/>
          </w:rPr>
          <w:instrText xml:space="preserve"> PAGEREF _Toc142039134 \h </w:instrText>
        </w:r>
        <w:r>
          <w:rPr>
            <w:noProof/>
            <w:webHidden/>
          </w:rPr>
        </w:r>
        <w:r>
          <w:rPr>
            <w:noProof/>
            <w:webHidden/>
          </w:rPr>
          <w:fldChar w:fldCharType="separate"/>
        </w:r>
        <w:r w:rsidR="00BB181C">
          <w:rPr>
            <w:noProof/>
            <w:webHidden/>
          </w:rPr>
          <w:t>240</w:t>
        </w:r>
        <w:r>
          <w:rPr>
            <w:noProof/>
            <w:webHidden/>
          </w:rPr>
          <w:fldChar w:fldCharType="end"/>
        </w:r>
      </w:hyperlink>
    </w:p>
    <w:p w14:paraId="0499F5FE" w14:textId="3F0B75AE"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35" w:history="1">
        <w:r w:rsidRPr="00796421">
          <w:rPr>
            <w:rStyle w:val="Hyperlink"/>
            <w:rFonts w:ascii="Arial" w:hAnsi="Arial" w:cs="Arial"/>
            <w:noProof/>
          </w:rPr>
          <w:t>Figura I.5. 8 - Rețea de transport public propusă</w:t>
        </w:r>
        <w:r>
          <w:rPr>
            <w:noProof/>
            <w:webHidden/>
          </w:rPr>
          <w:tab/>
        </w:r>
        <w:r>
          <w:rPr>
            <w:noProof/>
            <w:webHidden/>
          </w:rPr>
          <w:fldChar w:fldCharType="begin"/>
        </w:r>
        <w:r>
          <w:rPr>
            <w:noProof/>
            <w:webHidden/>
          </w:rPr>
          <w:instrText xml:space="preserve"> PAGEREF _Toc142039135 \h </w:instrText>
        </w:r>
        <w:r>
          <w:rPr>
            <w:noProof/>
            <w:webHidden/>
          </w:rPr>
        </w:r>
        <w:r>
          <w:rPr>
            <w:noProof/>
            <w:webHidden/>
          </w:rPr>
          <w:fldChar w:fldCharType="separate"/>
        </w:r>
        <w:r w:rsidR="00BB181C">
          <w:rPr>
            <w:noProof/>
            <w:webHidden/>
          </w:rPr>
          <w:t>241</w:t>
        </w:r>
        <w:r>
          <w:rPr>
            <w:noProof/>
            <w:webHidden/>
          </w:rPr>
          <w:fldChar w:fldCharType="end"/>
        </w:r>
      </w:hyperlink>
    </w:p>
    <w:p w14:paraId="217EC8B9" w14:textId="0030D55B"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36" w:history="1">
        <w:r w:rsidRPr="00796421">
          <w:rPr>
            <w:rStyle w:val="Hyperlink"/>
            <w:rFonts w:ascii="Arial" w:hAnsi="Arial" w:cs="Arial"/>
            <w:noProof/>
          </w:rPr>
          <w:t>Figura I.5. 9 - Rețea de transport public propusă – detaliu oraş</w:t>
        </w:r>
        <w:r>
          <w:rPr>
            <w:noProof/>
            <w:webHidden/>
          </w:rPr>
          <w:tab/>
        </w:r>
        <w:r>
          <w:rPr>
            <w:noProof/>
            <w:webHidden/>
          </w:rPr>
          <w:fldChar w:fldCharType="begin"/>
        </w:r>
        <w:r>
          <w:rPr>
            <w:noProof/>
            <w:webHidden/>
          </w:rPr>
          <w:instrText xml:space="preserve"> PAGEREF _Toc142039136 \h </w:instrText>
        </w:r>
        <w:r>
          <w:rPr>
            <w:noProof/>
            <w:webHidden/>
          </w:rPr>
        </w:r>
        <w:r>
          <w:rPr>
            <w:noProof/>
            <w:webHidden/>
          </w:rPr>
          <w:fldChar w:fldCharType="separate"/>
        </w:r>
        <w:r w:rsidR="00BB181C">
          <w:rPr>
            <w:noProof/>
            <w:webHidden/>
          </w:rPr>
          <w:t>241</w:t>
        </w:r>
        <w:r>
          <w:rPr>
            <w:noProof/>
            <w:webHidden/>
          </w:rPr>
          <w:fldChar w:fldCharType="end"/>
        </w:r>
      </w:hyperlink>
    </w:p>
    <w:p w14:paraId="17E72492" w14:textId="79E6C1C3"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37" w:history="1">
        <w:r w:rsidRPr="00796421">
          <w:rPr>
            <w:rStyle w:val="Hyperlink"/>
            <w:rFonts w:ascii="Arial" w:hAnsi="Arial" w:cs="Arial"/>
            <w:noProof/>
          </w:rPr>
          <w:t>Figura I.5. 10 – Traseu turistic propus</w:t>
        </w:r>
        <w:r>
          <w:rPr>
            <w:noProof/>
            <w:webHidden/>
          </w:rPr>
          <w:tab/>
        </w:r>
        <w:r>
          <w:rPr>
            <w:noProof/>
            <w:webHidden/>
          </w:rPr>
          <w:fldChar w:fldCharType="begin"/>
        </w:r>
        <w:r>
          <w:rPr>
            <w:noProof/>
            <w:webHidden/>
          </w:rPr>
          <w:instrText xml:space="preserve"> PAGEREF _Toc142039137 \h </w:instrText>
        </w:r>
        <w:r>
          <w:rPr>
            <w:noProof/>
            <w:webHidden/>
          </w:rPr>
        </w:r>
        <w:r>
          <w:rPr>
            <w:noProof/>
            <w:webHidden/>
          </w:rPr>
          <w:fldChar w:fldCharType="separate"/>
        </w:r>
        <w:r w:rsidR="00BB181C">
          <w:rPr>
            <w:noProof/>
            <w:webHidden/>
          </w:rPr>
          <w:t>242</w:t>
        </w:r>
        <w:r>
          <w:rPr>
            <w:noProof/>
            <w:webHidden/>
          </w:rPr>
          <w:fldChar w:fldCharType="end"/>
        </w:r>
      </w:hyperlink>
    </w:p>
    <w:p w14:paraId="1972B3D5" w14:textId="4C3E5B81"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38" w:history="1">
        <w:r w:rsidRPr="00796421">
          <w:rPr>
            <w:rStyle w:val="Hyperlink"/>
            <w:rFonts w:ascii="Arial" w:hAnsi="Arial" w:cs="Arial"/>
            <w:noProof/>
          </w:rPr>
          <w:t>Figura I.5. 11 - Indicatori evaluare</w:t>
        </w:r>
        <w:r>
          <w:rPr>
            <w:noProof/>
            <w:webHidden/>
          </w:rPr>
          <w:tab/>
        </w:r>
        <w:r>
          <w:rPr>
            <w:noProof/>
            <w:webHidden/>
          </w:rPr>
          <w:fldChar w:fldCharType="begin"/>
        </w:r>
        <w:r>
          <w:rPr>
            <w:noProof/>
            <w:webHidden/>
          </w:rPr>
          <w:instrText xml:space="preserve"> PAGEREF _Toc142039138 \h </w:instrText>
        </w:r>
        <w:r>
          <w:rPr>
            <w:noProof/>
            <w:webHidden/>
          </w:rPr>
        </w:r>
        <w:r>
          <w:rPr>
            <w:noProof/>
            <w:webHidden/>
          </w:rPr>
          <w:fldChar w:fldCharType="separate"/>
        </w:r>
        <w:r w:rsidR="00BB181C">
          <w:rPr>
            <w:noProof/>
            <w:webHidden/>
          </w:rPr>
          <w:t>246</w:t>
        </w:r>
        <w:r>
          <w:rPr>
            <w:noProof/>
            <w:webHidden/>
          </w:rPr>
          <w:fldChar w:fldCharType="end"/>
        </w:r>
      </w:hyperlink>
    </w:p>
    <w:p w14:paraId="3E093D54" w14:textId="2F36B7F3" w:rsidR="006A1446" w:rsidRDefault="00F92A5C" w:rsidP="007246F5">
      <w:pPr>
        <w:pStyle w:val="Tabeldefiguri"/>
        <w:tabs>
          <w:tab w:val="right" w:leader="dot" w:pos="9645"/>
        </w:tabs>
        <w:rPr>
          <w:rFonts w:ascii="Arial" w:hAnsi="Arial" w:cs="Arial"/>
          <w:b/>
          <w:bCs/>
          <w:lang w:val="ro-RO" w:eastAsia="ro-RO"/>
        </w:rPr>
      </w:pPr>
      <w:r>
        <w:rPr>
          <w:rFonts w:ascii="Arial" w:hAnsi="Arial" w:cs="Arial"/>
          <w:b/>
          <w:bCs/>
          <w:lang w:val="ro-RO" w:eastAsia="ro-RO"/>
        </w:rPr>
        <w:fldChar w:fldCharType="end"/>
      </w:r>
    </w:p>
    <w:p w14:paraId="09174172" w14:textId="0AE77080" w:rsidR="00BA35B3" w:rsidRDefault="006A1446">
      <w:pPr>
        <w:pStyle w:val="Tabeldefiguri"/>
        <w:tabs>
          <w:tab w:val="right" w:leader="dot" w:pos="9645"/>
        </w:tabs>
        <w:rPr>
          <w:rFonts w:eastAsiaTheme="minorEastAsia"/>
          <w:noProof/>
          <w:kern w:val="2"/>
          <w14:ligatures w14:val="standardContextual"/>
        </w:rPr>
      </w:pPr>
      <w:r>
        <w:rPr>
          <w:rFonts w:ascii="Arial" w:hAnsi="Arial" w:cs="Arial"/>
          <w:b/>
          <w:bCs/>
          <w:lang w:val="ro-RO" w:eastAsia="ro-RO"/>
        </w:rPr>
        <w:fldChar w:fldCharType="begin"/>
      </w:r>
      <w:r>
        <w:rPr>
          <w:rFonts w:ascii="Arial" w:hAnsi="Arial" w:cs="Arial"/>
          <w:b/>
          <w:bCs/>
          <w:lang w:val="ro-RO" w:eastAsia="ro-RO"/>
        </w:rPr>
        <w:instrText xml:space="preserve"> TOC \h \z \c "Figura I.7." </w:instrText>
      </w:r>
      <w:r>
        <w:rPr>
          <w:rFonts w:ascii="Arial" w:hAnsi="Arial" w:cs="Arial"/>
          <w:b/>
          <w:bCs/>
          <w:lang w:val="ro-RO" w:eastAsia="ro-RO"/>
        </w:rPr>
        <w:fldChar w:fldCharType="separate"/>
      </w:r>
      <w:hyperlink w:anchor="_Toc140744526" w:history="1">
        <w:r w:rsidR="00BA35B3" w:rsidRPr="00FC7F49">
          <w:rPr>
            <w:rStyle w:val="Hyperlink"/>
            <w:rFonts w:ascii="Arial" w:hAnsi="Arial" w:cs="Arial"/>
            <w:noProof/>
          </w:rPr>
          <w:t xml:space="preserve">Figura I.7. 1 - </w:t>
        </w:r>
        <w:r w:rsidR="00BA35B3" w:rsidRPr="00FC7F49">
          <w:rPr>
            <w:rStyle w:val="Hyperlink"/>
            <w:rFonts w:ascii="Arial" w:eastAsia="Arial" w:hAnsi="Arial" w:cs="Arial"/>
            <w:noProof/>
          </w:rPr>
          <w:t>Niveluri de serviciu ora de vârf AM orizont 2027 Scenariul 1</w:t>
        </w:r>
        <w:r w:rsidR="00BA35B3">
          <w:rPr>
            <w:noProof/>
            <w:webHidden/>
          </w:rPr>
          <w:tab/>
        </w:r>
        <w:r w:rsidR="00BA35B3">
          <w:rPr>
            <w:noProof/>
            <w:webHidden/>
          </w:rPr>
          <w:fldChar w:fldCharType="begin"/>
        </w:r>
        <w:r w:rsidR="00BA35B3">
          <w:rPr>
            <w:noProof/>
            <w:webHidden/>
          </w:rPr>
          <w:instrText xml:space="preserve"> PAGEREF _Toc140744526 \h </w:instrText>
        </w:r>
        <w:r w:rsidR="00BA35B3">
          <w:rPr>
            <w:noProof/>
            <w:webHidden/>
          </w:rPr>
        </w:r>
        <w:r w:rsidR="00BA35B3">
          <w:rPr>
            <w:noProof/>
            <w:webHidden/>
          </w:rPr>
          <w:fldChar w:fldCharType="separate"/>
        </w:r>
        <w:r w:rsidR="00BB181C">
          <w:rPr>
            <w:noProof/>
            <w:webHidden/>
          </w:rPr>
          <w:t>281</w:t>
        </w:r>
        <w:r w:rsidR="00BA35B3">
          <w:rPr>
            <w:noProof/>
            <w:webHidden/>
          </w:rPr>
          <w:fldChar w:fldCharType="end"/>
        </w:r>
      </w:hyperlink>
    </w:p>
    <w:p w14:paraId="5C366A4F" w14:textId="312637E1" w:rsidR="00BA35B3" w:rsidRDefault="00000000">
      <w:pPr>
        <w:pStyle w:val="Tabeldefiguri"/>
        <w:tabs>
          <w:tab w:val="right" w:leader="dot" w:pos="9645"/>
        </w:tabs>
        <w:rPr>
          <w:rFonts w:eastAsiaTheme="minorEastAsia"/>
          <w:noProof/>
          <w:kern w:val="2"/>
          <w14:ligatures w14:val="standardContextual"/>
        </w:rPr>
      </w:pPr>
      <w:hyperlink w:anchor="_Toc140744527" w:history="1">
        <w:r w:rsidR="00BA35B3" w:rsidRPr="00FC7F49">
          <w:rPr>
            <w:rStyle w:val="Hyperlink"/>
            <w:rFonts w:ascii="Arial" w:hAnsi="Arial" w:cs="Arial"/>
            <w:noProof/>
          </w:rPr>
          <w:t xml:space="preserve">Figura I.7. 2 - </w:t>
        </w:r>
        <w:r w:rsidR="00BA35B3" w:rsidRPr="00FC7F49">
          <w:rPr>
            <w:rStyle w:val="Hyperlink"/>
            <w:rFonts w:ascii="Arial" w:eastAsia="Arial" w:hAnsi="Arial" w:cs="Arial"/>
            <w:noProof/>
          </w:rPr>
          <w:t>Niveluri de serviciu ora de vârf AM orizont 2027 Scenariul 2</w:t>
        </w:r>
        <w:r w:rsidR="00BA35B3">
          <w:rPr>
            <w:noProof/>
            <w:webHidden/>
          </w:rPr>
          <w:tab/>
        </w:r>
        <w:r w:rsidR="00BA35B3">
          <w:rPr>
            <w:noProof/>
            <w:webHidden/>
          </w:rPr>
          <w:fldChar w:fldCharType="begin"/>
        </w:r>
        <w:r w:rsidR="00BA35B3">
          <w:rPr>
            <w:noProof/>
            <w:webHidden/>
          </w:rPr>
          <w:instrText xml:space="preserve"> PAGEREF _Toc140744527 \h </w:instrText>
        </w:r>
        <w:r w:rsidR="00BA35B3">
          <w:rPr>
            <w:noProof/>
            <w:webHidden/>
          </w:rPr>
        </w:r>
        <w:r w:rsidR="00BA35B3">
          <w:rPr>
            <w:noProof/>
            <w:webHidden/>
          </w:rPr>
          <w:fldChar w:fldCharType="separate"/>
        </w:r>
        <w:r w:rsidR="00BB181C">
          <w:rPr>
            <w:noProof/>
            <w:webHidden/>
          </w:rPr>
          <w:t>282</w:t>
        </w:r>
        <w:r w:rsidR="00BA35B3">
          <w:rPr>
            <w:noProof/>
            <w:webHidden/>
          </w:rPr>
          <w:fldChar w:fldCharType="end"/>
        </w:r>
      </w:hyperlink>
    </w:p>
    <w:p w14:paraId="2E9945DF" w14:textId="37AF03CA" w:rsidR="00BA35B3" w:rsidRDefault="00000000">
      <w:pPr>
        <w:pStyle w:val="Tabeldefiguri"/>
        <w:tabs>
          <w:tab w:val="right" w:leader="dot" w:pos="9645"/>
        </w:tabs>
        <w:rPr>
          <w:rFonts w:eastAsiaTheme="minorEastAsia"/>
          <w:noProof/>
          <w:kern w:val="2"/>
          <w14:ligatures w14:val="standardContextual"/>
        </w:rPr>
      </w:pPr>
      <w:hyperlink w:anchor="_Toc140744528" w:history="1">
        <w:r w:rsidR="00BA35B3" w:rsidRPr="00FC7F49">
          <w:rPr>
            <w:rStyle w:val="Hyperlink"/>
            <w:rFonts w:ascii="Arial" w:hAnsi="Arial" w:cs="Arial"/>
            <w:noProof/>
          </w:rPr>
          <w:t>Figura I.7. 3 - Niveluri de serviciu ora de vârf PM orizont 2027 Scenariul 1</w:t>
        </w:r>
        <w:r w:rsidR="00BA35B3">
          <w:rPr>
            <w:noProof/>
            <w:webHidden/>
          </w:rPr>
          <w:tab/>
        </w:r>
        <w:r w:rsidR="00BA35B3">
          <w:rPr>
            <w:noProof/>
            <w:webHidden/>
          </w:rPr>
          <w:fldChar w:fldCharType="begin"/>
        </w:r>
        <w:r w:rsidR="00BA35B3">
          <w:rPr>
            <w:noProof/>
            <w:webHidden/>
          </w:rPr>
          <w:instrText xml:space="preserve"> PAGEREF _Toc140744528 \h </w:instrText>
        </w:r>
        <w:r w:rsidR="00BA35B3">
          <w:rPr>
            <w:noProof/>
            <w:webHidden/>
          </w:rPr>
        </w:r>
        <w:r w:rsidR="00BA35B3">
          <w:rPr>
            <w:noProof/>
            <w:webHidden/>
          </w:rPr>
          <w:fldChar w:fldCharType="separate"/>
        </w:r>
        <w:r w:rsidR="00BB181C">
          <w:rPr>
            <w:noProof/>
            <w:webHidden/>
          </w:rPr>
          <w:t>284</w:t>
        </w:r>
        <w:r w:rsidR="00BA35B3">
          <w:rPr>
            <w:noProof/>
            <w:webHidden/>
          </w:rPr>
          <w:fldChar w:fldCharType="end"/>
        </w:r>
      </w:hyperlink>
    </w:p>
    <w:p w14:paraId="491A4870" w14:textId="081FDB3B" w:rsidR="00BA35B3" w:rsidRDefault="00000000">
      <w:pPr>
        <w:pStyle w:val="Tabeldefiguri"/>
        <w:tabs>
          <w:tab w:val="right" w:leader="dot" w:pos="9645"/>
        </w:tabs>
        <w:rPr>
          <w:rFonts w:eastAsiaTheme="minorEastAsia"/>
          <w:noProof/>
          <w:kern w:val="2"/>
          <w14:ligatures w14:val="standardContextual"/>
        </w:rPr>
      </w:pPr>
      <w:hyperlink w:anchor="_Toc140744529" w:history="1">
        <w:r w:rsidR="00BA35B3" w:rsidRPr="00FC7F49">
          <w:rPr>
            <w:rStyle w:val="Hyperlink"/>
            <w:rFonts w:ascii="Arial" w:hAnsi="Arial" w:cs="Arial"/>
            <w:noProof/>
          </w:rPr>
          <w:t>Figura I.7. 4 - Niveluri de serviciu ora de vârf PM orizont 2027 Scenariul 1</w:t>
        </w:r>
        <w:r w:rsidR="00BA35B3">
          <w:rPr>
            <w:noProof/>
            <w:webHidden/>
          </w:rPr>
          <w:tab/>
        </w:r>
        <w:r w:rsidR="00BA35B3">
          <w:rPr>
            <w:noProof/>
            <w:webHidden/>
          </w:rPr>
          <w:fldChar w:fldCharType="begin"/>
        </w:r>
        <w:r w:rsidR="00BA35B3">
          <w:rPr>
            <w:noProof/>
            <w:webHidden/>
          </w:rPr>
          <w:instrText xml:space="preserve"> PAGEREF _Toc140744529 \h </w:instrText>
        </w:r>
        <w:r w:rsidR="00BA35B3">
          <w:rPr>
            <w:noProof/>
            <w:webHidden/>
          </w:rPr>
        </w:r>
        <w:r w:rsidR="00BA35B3">
          <w:rPr>
            <w:noProof/>
            <w:webHidden/>
          </w:rPr>
          <w:fldChar w:fldCharType="separate"/>
        </w:r>
        <w:r w:rsidR="00BB181C">
          <w:rPr>
            <w:noProof/>
            <w:webHidden/>
          </w:rPr>
          <w:t>285</w:t>
        </w:r>
        <w:r w:rsidR="00BA35B3">
          <w:rPr>
            <w:noProof/>
            <w:webHidden/>
          </w:rPr>
          <w:fldChar w:fldCharType="end"/>
        </w:r>
      </w:hyperlink>
    </w:p>
    <w:p w14:paraId="1059D505" w14:textId="70C33F35" w:rsidR="00BA35B3" w:rsidRDefault="00000000">
      <w:pPr>
        <w:pStyle w:val="Tabeldefiguri"/>
        <w:tabs>
          <w:tab w:val="right" w:leader="dot" w:pos="9645"/>
        </w:tabs>
        <w:rPr>
          <w:rFonts w:eastAsiaTheme="minorEastAsia"/>
          <w:noProof/>
          <w:kern w:val="2"/>
          <w14:ligatures w14:val="standardContextual"/>
        </w:rPr>
      </w:pPr>
      <w:hyperlink w:anchor="_Toc140744530" w:history="1">
        <w:r w:rsidR="00BA35B3" w:rsidRPr="00FC7F49">
          <w:rPr>
            <w:rStyle w:val="Hyperlink"/>
            <w:rFonts w:ascii="Arial" w:hAnsi="Arial" w:cs="Arial"/>
            <w:noProof/>
          </w:rPr>
          <w:t>Figura I.7. 5 – Viteza medie de circulație</w:t>
        </w:r>
        <w:r w:rsidR="00BA35B3">
          <w:rPr>
            <w:noProof/>
            <w:webHidden/>
          </w:rPr>
          <w:tab/>
        </w:r>
        <w:r w:rsidR="00BA35B3">
          <w:rPr>
            <w:noProof/>
            <w:webHidden/>
          </w:rPr>
          <w:fldChar w:fldCharType="begin"/>
        </w:r>
        <w:r w:rsidR="00BA35B3">
          <w:rPr>
            <w:noProof/>
            <w:webHidden/>
          </w:rPr>
          <w:instrText xml:space="preserve"> PAGEREF _Toc140744530 \h </w:instrText>
        </w:r>
        <w:r w:rsidR="00BA35B3">
          <w:rPr>
            <w:noProof/>
            <w:webHidden/>
          </w:rPr>
        </w:r>
        <w:r w:rsidR="00BA35B3">
          <w:rPr>
            <w:noProof/>
            <w:webHidden/>
          </w:rPr>
          <w:fldChar w:fldCharType="separate"/>
        </w:r>
        <w:r w:rsidR="00BB181C">
          <w:rPr>
            <w:noProof/>
            <w:webHidden/>
          </w:rPr>
          <w:t>286</w:t>
        </w:r>
        <w:r w:rsidR="00BA35B3">
          <w:rPr>
            <w:noProof/>
            <w:webHidden/>
          </w:rPr>
          <w:fldChar w:fldCharType="end"/>
        </w:r>
      </w:hyperlink>
    </w:p>
    <w:p w14:paraId="614DDC9C" w14:textId="3D04A19D" w:rsidR="00BA35B3" w:rsidRDefault="00000000">
      <w:pPr>
        <w:pStyle w:val="Tabeldefiguri"/>
        <w:tabs>
          <w:tab w:val="right" w:leader="dot" w:pos="9645"/>
        </w:tabs>
        <w:rPr>
          <w:rFonts w:eastAsiaTheme="minorEastAsia"/>
          <w:noProof/>
          <w:kern w:val="2"/>
          <w14:ligatures w14:val="standardContextual"/>
        </w:rPr>
      </w:pPr>
      <w:hyperlink w:anchor="_Toc140744531" w:history="1">
        <w:r w:rsidR="00BA35B3" w:rsidRPr="00FC7F49">
          <w:rPr>
            <w:rStyle w:val="Hyperlink"/>
            <w:rFonts w:ascii="Arial" w:hAnsi="Arial" w:cs="Arial"/>
            <w:noProof/>
          </w:rPr>
          <w:t>Figura I.7. 6 – Întârzierea medie [sec]</w:t>
        </w:r>
        <w:r w:rsidR="00BA35B3">
          <w:rPr>
            <w:noProof/>
            <w:webHidden/>
          </w:rPr>
          <w:tab/>
        </w:r>
        <w:r w:rsidR="00BA35B3">
          <w:rPr>
            <w:noProof/>
            <w:webHidden/>
          </w:rPr>
          <w:fldChar w:fldCharType="begin"/>
        </w:r>
        <w:r w:rsidR="00BA35B3">
          <w:rPr>
            <w:noProof/>
            <w:webHidden/>
          </w:rPr>
          <w:instrText xml:space="preserve"> PAGEREF _Toc140744531 \h </w:instrText>
        </w:r>
        <w:r w:rsidR="00BA35B3">
          <w:rPr>
            <w:noProof/>
            <w:webHidden/>
          </w:rPr>
        </w:r>
        <w:r w:rsidR="00BA35B3">
          <w:rPr>
            <w:noProof/>
            <w:webHidden/>
          </w:rPr>
          <w:fldChar w:fldCharType="separate"/>
        </w:r>
        <w:r w:rsidR="00BB181C">
          <w:rPr>
            <w:noProof/>
            <w:webHidden/>
          </w:rPr>
          <w:t>286</w:t>
        </w:r>
        <w:r w:rsidR="00BA35B3">
          <w:rPr>
            <w:noProof/>
            <w:webHidden/>
          </w:rPr>
          <w:fldChar w:fldCharType="end"/>
        </w:r>
      </w:hyperlink>
    </w:p>
    <w:p w14:paraId="03152491" w14:textId="4FEE0E81" w:rsidR="00BA35B3" w:rsidRDefault="00000000">
      <w:pPr>
        <w:pStyle w:val="Tabeldefiguri"/>
        <w:tabs>
          <w:tab w:val="right" w:leader="dot" w:pos="9645"/>
        </w:tabs>
        <w:rPr>
          <w:rFonts w:eastAsiaTheme="minorEastAsia"/>
          <w:noProof/>
          <w:kern w:val="2"/>
          <w14:ligatures w14:val="standardContextual"/>
        </w:rPr>
      </w:pPr>
      <w:hyperlink w:anchor="_Toc140744532" w:history="1">
        <w:r w:rsidR="00BA35B3" w:rsidRPr="00FC7F49">
          <w:rPr>
            <w:rStyle w:val="Hyperlink"/>
            <w:rFonts w:ascii="Arial" w:hAnsi="Arial" w:cs="Arial"/>
            <w:noProof/>
          </w:rPr>
          <w:t>Figura I.7. 7 – Consum combustibil [litri]</w:t>
        </w:r>
        <w:r w:rsidR="00BA35B3">
          <w:rPr>
            <w:noProof/>
            <w:webHidden/>
          </w:rPr>
          <w:tab/>
        </w:r>
        <w:r w:rsidR="00BA35B3">
          <w:rPr>
            <w:noProof/>
            <w:webHidden/>
          </w:rPr>
          <w:fldChar w:fldCharType="begin"/>
        </w:r>
        <w:r w:rsidR="00BA35B3">
          <w:rPr>
            <w:noProof/>
            <w:webHidden/>
          </w:rPr>
          <w:instrText xml:space="preserve"> PAGEREF _Toc140744532 \h </w:instrText>
        </w:r>
        <w:r w:rsidR="00BA35B3">
          <w:rPr>
            <w:noProof/>
            <w:webHidden/>
          </w:rPr>
        </w:r>
        <w:r w:rsidR="00BA35B3">
          <w:rPr>
            <w:noProof/>
            <w:webHidden/>
          </w:rPr>
          <w:fldChar w:fldCharType="separate"/>
        </w:r>
        <w:r w:rsidR="00BB181C">
          <w:rPr>
            <w:noProof/>
            <w:webHidden/>
          </w:rPr>
          <w:t>287</w:t>
        </w:r>
        <w:r w:rsidR="00BA35B3">
          <w:rPr>
            <w:noProof/>
            <w:webHidden/>
          </w:rPr>
          <w:fldChar w:fldCharType="end"/>
        </w:r>
      </w:hyperlink>
    </w:p>
    <w:p w14:paraId="5D28849F" w14:textId="31197CFF" w:rsidR="00BA35B3" w:rsidRDefault="00000000">
      <w:pPr>
        <w:pStyle w:val="Tabeldefiguri"/>
        <w:tabs>
          <w:tab w:val="right" w:leader="dot" w:pos="9645"/>
        </w:tabs>
        <w:rPr>
          <w:rFonts w:eastAsiaTheme="minorEastAsia"/>
          <w:noProof/>
          <w:kern w:val="2"/>
          <w14:ligatures w14:val="standardContextual"/>
        </w:rPr>
      </w:pPr>
      <w:hyperlink w:anchor="_Toc140744533" w:history="1">
        <w:r w:rsidR="00BA35B3" w:rsidRPr="00FC7F49">
          <w:rPr>
            <w:rStyle w:val="Hyperlink"/>
            <w:rFonts w:ascii="Arial" w:hAnsi="Arial" w:cs="Arial"/>
            <w:noProof/>
          </w:rPr>
          <w:t>Figura I.7. 8 - Niveluri de serviciu ora de vârf AM orizont 2035 Scenariul 1</w:t>
        </w:r>
        <w:r w:rsidR="00BA35B3">
          <w:rPr>
            <w:noProof/>
            <w:webHidden/>
          </w:rPr>
          <w:tab/>
        </w:r>
        <w:r w:rsidR="00BA35B3">
          <w:rPr>
            <w:noProof/>
            <w:webHidden/>
          </w:rPr>
          <w:fldChar w:fldCharType="begin"/>
        </w:r>
        <w:r w:rsidR="00BA35B3">
          <w:rPr>
            <w:noProof/>
            <w:webHidden/>
          </w:rPr>
          <w:instrText xml:space="preserve"> PAGEREF _Toc140744533 \h </w:instrText>
        </w:r>
        <w:r w:rsidR="00BA35B3">
          <w:rPr>
            <w:noProof/>
            <w:webHidden/>
          </w:rPr>
        </w:r>
        <w:r w:rsidR="00BA35B3">
          <w:rPr>
            <w:noProof/>
            <w:webHidden/>
          </w:rPr>
          <w:fldChar w:fldCharType="separate"/>
        </w:r>
        <w:r w:rsidR="00BB181C">
          <w:rPr>
            <w:noProof/>
            <w:webHidden/>
          </w:rPr>
          <w:t>289</w:t>
        </w:r>
        <w:r w:rsidR="00BA35B3">
          <w:rPr>
            <w:noProof/>
            <w:webHidden/>
          </w:rPr>
          <w:fldChar w:fldCharType="end"/>
        </w:r>
      </w:hyperlink>
    </w:p>
    <w:p w14:paraId="7674BF92" w14:textId="6E6CF619" w:rsidR="00BA35B3" w:rsidRDefault="00000000">
      <w:pPr>
        <w:pStyle w:val="Tabeldefiguri"/>
        <w:tabs>
          <w:tab w:val="right" w:leader="dot" w:pos="9645"/>
        </w:tabs>
        <w:rPr>
          <w:rFonts w:eastAsiaTheme="minorEastAsia"/>
          <w:noProof/>
          <w:kern w:val="2"/>
          <w14:ligatures w14:val="standardContextual"/>
        </w:rPr>
      </w:pPr>
      <w:hyperlink w:anchor="_Toc140744534" w:history="1">
        <w:r w:rsidR="00BA35B3" w:rsidRPr="00FC7F49">
          <w:rPr>
            <w:rStyle w:val="Hyperlink"/>
            <w:rFonts w:ascii="Arial" w:hAnsi="Arial" w:cs="Arial"/>
            <w:noProof/>
          </w:rPr>
          <w:t>Figura I.7. 9 - Niveluri de serviciu ora de vârf AM orizont 2035 Scenariul 2</w:t>
        </w:r>
        <w:r w:rsidR="00BA35B3">
          <w:rPr>
            <w:noProof/>
            <w:webHidden/>
          </w:rPr>
          <w:tab/>
        </w:r>
        <w:r w:rsidR="00BA35B3">
          <w:rPr>
            <w:noProof/>
            <w:webHidden/>
          </w:rPr>
          <w:fldChar w:fldCharType="begin"/>
        </w:r>
        <w:r w:rsidR="00BA35B3">
          <w:rPr>
            <w:noProof/>
            <w:webHidden/>
          </w:rPr>
          <w:instrText xml:space="preserve"> PAGEREF _Toc140744534 \h </w:instrText>
        </w:r>
        <w:r w:rsidR="00BA35B3">
          <w:rPr>
            <w:noProof/>
            <w:webHidden/>
          </w:rPr>
        </w:r>
        <w:r w:rsidR="00BA35B3">
          <w:rPr>
            <w:noProof/>
            <w:webHidden/>
          </w:rPr>
          <w:fldChar w:fldCharType="separate"/>
        </w:r>
        <w:r w:rsidR="00BB181C">
          <w:rPr>
            <w:noProof/>
            <w:webHidden/>
          </w:rPr>
          <w:t>290</w:t>
        </w:r>
        <w:r w:rsidR="00BA35B3">
          <w:rPr>
            <w:noProof/>
            <w:webHidden/>
          </w:rPr>
          <w:fldChar w:fldCharType="end"/>
        </w:r>
      </w:hyperlink>
    </w:p>
    <w:p w14:paraId="77E645E3" w14:textId="1B678EA2" w:rsidR="00BA35B3" w:rsidRDefault="00000000">
      <w:pPr>
        <w:pStyle w:val="Tabeldefiguri"/>
        <w:tabs>
          <w:tab w:val="right" w:leader="dot" w:pos="9645"/>
        </w:tabs>
        <w:rPr>
          <w:rFonts w:eastAsiaTheme="minorEastAsia"/>
          <w:noProof/>
          <w:kern w:val="2"/>
          <w14:ligatures w14:val="standardContextual"/>
        </w:rPr>
      </w:pPr>
      <w:hyperlink w:anchor="_Toc140744535" w:history="1">
        <w:r w:rsidR="00BA35B3" w:rsidRPr="00FC7F49">
          <w:rPr>
            <w:rStyle w:val="Hyperlink"/>
            <w:rFonts w:ascii="Arial" w:hAnsi="Arial" w:cs="Arial"/>
            <w:noProof/>
          </w:rPr>
          <w:t>Figura I.7. 10 -  Niveluri de serviciu ora de vârf AM orizont 2035 Scenariul 3</w:t>
        </w:r>
        <w:r w:rsidR="00BA35B3">
          <w:rPr>
            <w:noProof/>
            <w:webHidden/>
          </w:rPr>
          <w:tab/>
        </w:r>
        <w:r w:rsidR="00BA35B3">
          <w:rPr>
            <w:noProof/>
            <w:webHidden/>
          </w:rPr>
          <w:fldChar w:fldCharType="begin"/>
        </w:r>
        <w:r w:rsidR="00BA35B3">
          <w:rPr>
            <w:noProof/>
            <w:webHidden/>
          </w:rPr>
          <w:instrText xml:space="preserve"> PAGEREF _Toc140744535 \h </w:instrText>
        </w:r>
        <w:r w:rsidR="00BA35B3">
          <w:rPr>
            <w:noProof/>
            <w:webHidden/>
          </w:rPr>
        </w:r>
        <w:r w:rsidR="00BA35B3">
          <w:rPr>
            <w:noProof/>
            <w:webHidden/>
          </w:rPr>
          <w:fldChar w:fldCharType="separate"/>
        </w:r>
        <w:r w:rsidR="00BB181C">
          <w:rPr>
            <w:noProof/>
            <w:webHidden/>
          </w:rPr>
          <w:t>291</w:t>
        </w:r>
        <w:r w:rsidR="00BA35B3">
          <w:rPr>
            <w:noProof/>
            <w:webHidden/>
          </w:rPr>
          <w:fldChar w:fldCharType="end"/>
        </w:r>
      </w:hyperlink>
    </w:p>
    <w:p w14:paraId="58140D6D" w14:textId="5E921AA5" w:rsidR="00BA35B3" w:rsidRDefault="00000000">
      <w:pPr>
        <w:pStyle w:val="Tabeldefiguri"/>
        <w:tabs>
          <w:tab w:val="right" w:leader="dot" w:pos="9645"/>
        </w:tabs>
        <w:rPr>
          <w:rFonts w:eastAsiaTheme="minorEastAsia"/>
          <w:noProof/>
          <w:kern w:val="2"/>
          <w14:ligatures w14:val="standardContextual"/>
        </w:rPr>
      </w:pPr>
      <w:hyperlink w:anchor="_Toc140744536" w:history="1">
        <w:r w:rsidR="00BA35B3" w:rsidRPr="00FC7F49">
          <w:rPr>
            <w:rStyle w:val="Hyperlink"/>
            <w:rFonts w:ascii="Arial" w:hAnsi="Arial" w:cs="Arial"/>
            <w:noProof/>
          </w:rPr>
          <w:t>Figura I.7. 11 – Viteza medie de circula</w:t>
        </w:r>
        <w:r w:rsidR="00BA35B3" w:rsidRPr="00FC7F49">
          <w:rPr>
            <w:rStyle w:val="Hyperlink"/>
            <w:rFonts w:ascii="Arial" w:hAnsi="Arial" w:cs="Arial"/>
            <w:noProof/>
            <w:lang w:val="ro-RO"/>
          </w:rPr>
          <w:t>ț</w:t>
        </w:r>
        <w:r w:rsidR="00BA35B3" w:rsidRPr="00FC7F49">
          <w:rPr>
            <w:rStyle w:val="Hyperlink"/>
            <w:rFonts w:ascii="Arial" w:hAnsi="Arial" w:cs="Arial"/>
            <w:noProof/>
          </w:rPr>
          <w:t>ie [km/h]</w:t>
        </w:r>
        <w:r w:rsidR="00BA35B3">
          <w:rPr>
            <w:noProof/>
            <w:webHidden/>
          </w:rPr>
          <w:tab/>
        </w:r>
        <w:r w:rsidR="00BA35B3">
          <w:rPr>
            <w:noProof/>
            <w:webHidden/>
          </w:rPr>
          <w:fldChar w:fldCharType="begin"/>
        </w:r>
        <w:r w:rsidR="00BA35B3">
          <w:rPr>
            <w:noProof/>
            <w:webHidden/>
          </w:rPr>
          <w:instrText xml:space="preserve"> PAGEREF _Toc140744536 \h </w:instrText>
        </w:r>
        <w:r w:rsidR="00BA35B3">
          <w:rPr>
            <w:noProof/>
            <w:webHidden/>
          </w:rPr>
        </w:r>
        <w:r w:rsidR="00BA35B3">
          <w:rPr>
            <w:noProof/>
            <w:webHidden/>
          </w:rPr>
          <w:fldChar w:fldCharType="separate"/>
        </w:r>
        <w:r w:rsidR="00BB181C">
          <w:rPr>
            <w:noProof/>
            <w:webHidden/>
          </w:rPr>
          <w:t>293</w:t>
        </w:r>
        <w:r w:rsidR="00BA35B3">
          <w:rPr>
            <w:noProof/>
            <w:webHidden/>
          </w:rPr>
          <w:fldChar w:fldCharType="end"/>
        </w:r>
      </w:hyperlink>
    </w:p>
    <w:p w14:paraId="1453E119" w14:textId="0FB99943" w:rsidR="00BA35B3" w:rsidRDefault="00000000">
      <w:pPr>
        <w:pStyle w:val="Tabeldefiguri"/>
        <w:tabs>
          <w:tab w:val="right" w:leader="dot" w:pos="9645"/>
        </w:tabs>
        <w:rPr>
          <w:rFonts w:eastAsiaTheme="minorEastAsia"/>
          <w:noProof/>
          <w:kern w:val="2"/>
          <w14:ligatures w14:val="standardContextual"/>
        </w:rPr>
      </w:pPr>
      <w:hyperlink w:anchor="_Toc140744537" w:history="1">
        <w:r w:rsidR="00BA35B3" w:rsidRPr="00FC7F49">
          <w:rPr>
            <w:rStyle w:val="Hyperlink"/>
            <w:rFonts w:ascii="Arial" w:hAnsi="Arial" w:cs="Arial"/>
            <w:noProof/>
          </w:rPr>
          <w:t xml:space="preserve">Figura I.7. 12 – </w:t>
        </w:r>
        <w:r w:rsidR="00BA35B3" w:rsidRPr="00FC7F49">
          <w:rPr>
            <w:rStyle w:val="Hyperlink"/>
            <w:rFonts w:ascii="Arial" w:hAnsi="Arial" w:cs="Arial"/>
            <w:noProof/>
            <w:lang w:val="ro-RO"/>
          </w:rPr>
          <w:t xml:space="preserve">Întârzierea medie </w:t>
        </w:r>
        <w:r w:rsidR="00BA35B3" w:rsidRPr="00FC7F49">
          <w:rPr>
            <w:rStyle w:val="Hyperlink"/>
            <w:rFonts w:ascii="Arial" w:hAnsi="Arial" w:cs="Arial"/>
            <w:noProof/>
          </w:rPr>
          <w:t>[sec]</w:t>
        </w:r>
        <w:r w:rsidR="00BA35B3">
          <w:rPr>
            <w:noProof/>
            <w:webHidden/>
          </w:rPr>
          <w:tab/>
        </w:r>
        <w:r w:rsidR="00BA35B3">
          <w:rPr>
            <w:noProof/>
            <w:webHidden/>
          </w:rPr>
          <w:fldChar w:fldCharType="begin"/>
        </w:r>
        <w:r w:rsidR="00BA35B3">
          <w:rPr>
            <w:noProof/>
            <w:webHidden/>
          </w:rPr>
          <w:instrText xml:space="preserve"> PAGEREF _Toc140744537 \h </w:instrText>
        </w:r>
        <w:r w:rsidR="00BA35B3">
          <w:rPr>
            <w:noProof/>
            <w:webHidden/>
          </w:rPr>
        </w:r>
        <w:r w:rsidR="00BA35B3">
          <w:rPr>
            <w:noProof/>
            <w:webHidden/>
          </w:rPr>
          <w:fldChar w:fldCharType="separate"/>
        </w:r>
        <w:r w:rsidR="00BB181C">
          <w:rPr>
            <w:noProof/>
            <w:webHidden/>
          </w:rPr>
          <w:t>293</w:t>
        </w:r>
        <w:r w:rsidR="00BA35B3">
          <w:rPr>
            <w:noProof/>
            <w:webHidden/>
          </w:rPr>
          <w:fldChar w:fldCharType="end"/>
        </w:r>
      </w:hyperlink>
    </w:p>
    <w:p w14:paraId="70EF2F08" w14:textId="59B79BC0" w:rsidR="00BA35B3" w:rsidRDefault="00000000">
      <w:pPr>
        <w:pStyle w:val="Tabeldefiguri"/>
        <w:tabs>
          <w:tab w:val="right" w:leader="dot" w:pos="9645"/>
        </w:tabs>
        <w:rPr>
          <w:rFonts w:eastAsiaTheme="minorEastAsia"/>
          <w:noProof/>
          <w:kern w:val="2"/>
          <w14:ligatures w14:val="standardContextual"/>
        </w:rPr>
      </w:pPr>
      <w:hyperlink w:anchor="_Toc140744538" w:history="1">
        <w:r w:rsidR="00BA35B3" w:rsidRPr="00FC7F49">
          <w:rPr>
            <w:rStyle w:val="Hyperlink"/>
            <w:rFonts w:ascii="Arial" w:hAnsi="Arial" w:cs="Arial"/>
            <w:noProof/>
          </w:rPr>
          <w:t>Figura I.7. 13 – Consum de combustibili [litri]</w:t>
        </w:r>
        <w:r w:rsidR="00BA35B3">
          <w:rPr>
            <w:noProof/>
            <w:webHidden/>
          </w:rPr>
          <w:tab/>
        </w:r>
        <w:r w:rsidR="00BA35B3">
          <w:rPr>
            <w:noProof/>
            <w:webHidden/>
          </w:rPr>
          <w:fldChar w:fldCharType="begin"/>
        </w:r>
        <w:r w:rsidR="00BA35B3">
          <w:rPr>
            <w:noProof/>
            <w:webHidden/>
          </w:rPr>
          <w:instrText xml:space="preserve"> PAGEREF _Toc140744538 \h </w:instrText>
        </w:r>
        <w:r w:rsidR="00BA35B3">
          <w:rPr>
            <w:noProof/>
            <w:webHidden/>
          </w:rPr>
        </w:r>
        <w:r w:rsidR="00BA35B3">
          <w:rPr>
            <w:noProof/>
            <w:webHidden/>
          </w:rPr>
          <w:fldChar w:fldCharType="separate"/>
        </w:r>
        <w:r w:rsidR="00BB181C">
          <w:rPr>
            <w:noProof/>
            <w:webHidden/>
          </w:rPr>
          <w:t>294</w:t>
        </w:r>
        <w:r w:rsidR="00BA35B3">
          <w:rPr>
            <w:noProof/>
            <w:webHidden/>
          </w:rPr>
          <w:fldChar w:fldCharType="end"/>
        </w:r>
      </w:hyperlink>
    </w:p>
    <w:p w14:paraId="22EC3387" w14:textId="4B655DAA" w:rsidR="00BA35B3" w:rsidRDefault="00000000">
      <w:pPr>
        <w:pStyle w:val="Tabeldefiguri"/>
        <w:tabs>
          <w:tab w:val="right" w:leader="dot" w:pos="9645"/>
        </w:tabs>
        <w:rPr>
          <w:rFonts w:eastAsiaTheme="minorEastAsia"/>
          <w:noProof/>
          <w:kern w:val="2"/>
          <w14:ligatures w14:val="standardContextual"/>
        </w:rPr>
      </w:pPr>
      <w:hyperlink w:anchor="_Toc140744539" w:history="1">
        <w:r w:rsidR="00BA35B3" w:rsidRPr="00FC7F49">
          <w:rPr>
            <w:rStyle w:val="Hyperlink"/>
            <w:rFonts w:ascii="Arial" w:hAnsi="Arial" w:cs="Arial"/>
            <w:noProof/>
          </w:rPr>
          <w:t xml:space="preserve">Figura I.7. 14 </w:t>
        </w:r>
        <w:r w:rsidR="00BA35B3" w:rsidRPr="00FC7F49">
          <w:rPr>
            <w:rStyle w:val="Hyperlink"/>
            <w:rFonts w:ascii="Arial" w:hAnsi="Arial" w:cs="Arial"/>
            <w:noProof/>
            <w:lang w:val="ro-RO"/>
          </w:rPr>
          <w:t>– Emisii CO</w:t>
        </w:r>
        <w:r w:rsidR="00BA35B3" w:rsidRPr="00FC7F49">
          <w:rPr>
            <w:rStyle w:val="Hyperlink"/>
            <w:rFonts w:ascii="Arial" w:hAnsi="Arial" w:cs="Arial"/>
            <w:noProof/>
            <w:vertAlign w:val="subscript"/>
            <w:lang w:val="ro-RO"/>
          </w:rPr>
          <w:t>2</w:t>
        </w:r>
        <w:r w:rsidR="00BA35B3" w:rsidRPr="00FC7F49">
          <w:rPr>
            <w:rStyle w:val="Hyperlink"/>
            <w:rFonts w:ascii="Arial" w:hAnsi="Arial" w:cs="Arial"/>
            <w:noProof/>
            <w:lang w:val="ro-RO"/>
          </w:rPr>
          <w:t xml:space="preserve"> [kg]</w:t>
        </w:r>
        <w:r w:rsidR="00BA35B3">
          <w:rPr>
            <w:noProof/>
            <w:webHidden/>
          </w:rPr>
          <w:tab/>
        </w:r>
        <w:r w:rsidR="00BA35B3">
          <w:rPr>
            <w:noProof/>
            <w:webHidden/>
          </w:rPr>
          <w:fldChar w:fldCharType="begin"/>
        </w:r>
        <w:r w:rsidR="00BA35B3">
          <w:rPr>
            <w:noProof/>
            <w:webHidden/>
          </w:rPr>
          <w:instrText xml:space="preserve"> PAGEREF _Toc140744539 \h </w:instrText>
        </w:r>
        <w:r w:rsidR="00BA35B3">
          <w:rPr>
            <w:noProof/>
            <w:webHidden/>
          </w:rPr>
        </w:r>
        <w:r w:rsidR="00BA35B3">
          <w:rPr>
            <w:noProof/>
            <w:webHidden/>
          </w:rPr>
          <w:fldChar w:fldCharType="separate"/>
        </w:r>
        <w:r w:rsidR="00BB181C">
          <w:rPr>
            <w:noProof/>
            <w:webHidden/>
          </w:rPr>
          <w:t>296</w:t>
        </w:r>
        <w:r w:rsidR="00BA35B3">
          <w:rPr>
            <w:noProof/>
            <w:webHidden/>
          </w:rPr>
          <w:fldChar w:fldCharType="end"/>
        </w:r>
      </w:hyperlink>
    </w:p>
    <w:p w14:paraId="5A8191FD" w14:textId="1372ED53" w:rsidR="00BA35B3" w:rsidRDefault="00000000">
      <w:pPr>
        <w:pStyle w:val="Tabeldefiguri"/>
        <w:tabs>
          <w:tab w:val="right" w:leader="dot" w:pos="9645"/>
        </w:tabs>
        <w:rPr>
          <w:rFonts w:eastAsiaTheme="minorEastAsia"/>
          <w:noProof/>
          <w:kern w:val="2"/>
          <w14:ligatures w14:val="standardContextual"/>
        </w:rPr>
      </w:pPr>
      <w:hyperlink w:anchor="_Toc140744540" w:history="1">
        <w:r w:rsidR="00BA35B3" w:rsidRPr="00FC7F49">
          <w:rPr>
            <w:rStyle w:val="Hyperlink"/>
            <w:rFonts w:ascii="Arial" w:hAnsi="Arial" w:cs="Arial"/>
            <w:noProof/>
          </w:rPr>
          <w:t xml:space="preserve">Figura I.7. 15 </w:t>
        </w:r>
        <w:r w:rsidR="00BA35B3" w:rsidRPr="00FC7F49">
          <w:rPr>
            <w:rStyle w:val="Hyperlink"/>
            <w:rFonts w:ascii="Arial" w:hAnsi="Arial" w:cs="Arial"/>
            <w:noProof/>
            <w:lang w:val="ro-RO"/>
          </w:rPr>
          <w:t>– Emisii NO</w:t>
        </w:r>
        <w:r w:rsidR="00BA35B3" w:rsidRPr="00FC7F49">
          <w:rPr>
            <w:rStyle w:val="Hyperlink"/>
            <w:rFonts w:ascii="Arial" w:hAnsi="Arial" w:cs="Arial"/>
            <w:noProof/>
            <w:vertAlign w:val="subscript"/>
            <w:lang w:val="ro-RO"/>
          </w:rPr>
          <w:t>X</w:t>
        </w:r>
        <w:r w:rsidR="00BA35B3" w:rsidRPr="00FC7F49">
          <w:rPr>
            <w:rStyle w:val="Hyperlink"/>
            <w:rFonts w:ascii="Arial" w:hAnsi="Arial" w:cs="Arial"/>
            <w:noProof/>
            <w:lang w:val="ro-RO"/>
          </w:rPr>
          <w:t xml:space="preserve"> [kg]</w:t>
        </w:r>
        <w:r w:rsidR="00BA35B3">
          <w:rPr>
            <w:noProof/>
            <w:webHidden/>
          </w:rPr>
          <w:tab/>
        </w:r>
        <w:r w:rsidR="00BA35B3">
          <w:rPr>
            <w:noProof/>
            <w:webHidden/>
          </w:rPr>
          <w:fldChar w:fldCharType="begin"/>
        </w:r>
        <w:r w:rsidR="00BA35B3">
          <w:rPr>
            <w:noProof/>
            <w:webHidden/>
          </w:rPr>
          <w:instrText xml:space="preserve"> PAGEREF _Toc140744540 \h </w:instrText>
        </w:r>
        <w:r w:rsidR="00BA35B3">
          <w:rPr>
            <w:noProof/>
            <w:webHidden/>
          </w:rPr>
        </w:r>
        <w:r w:rsidR="00BA35B3">
          <w:rPr>
            <w:noProof/>
            <w:webHidden/>
          </w:rPr>
          <w:fldChar w:fldCharType="separate"/>
        </w:r>
        <w:r w:rsidR="00BB181C">
          <w:rPr>
            <w:noProof/>
            <w:webHidden/>
          </w:rPr>
          <w:t>297</w:t>
        </w:r>
        <w:r w:rsidR="00BA35B3">
          <w:rPr>
            <w:noProof/>
            <w:webHidden/>
          </w:rPr>
          <w:fldChar w:fldCharType="end"/>
        </w:r>
      </w:hyperlink>
    </w:p>
    <w:p w14:paraId="37CA8FD8" w14:textId="23BE4F59" w:rsidR="00BA35B3" w:rsidRDefault="00000000">
      <w:pPr>
        <w:pStyle w:val="Tabeldefiguri"/>
        <w:tabs>
          <w:tab w:val="right" w:leader="dot" w:pos="9645"/>
        </w:tabs>
        <w:rPr>
          <w:rFonts w:eastAsiaTheme="minorEastAsia"/>
          <w:noProof/>
          <w:kern w:val="2"/>
          <w14:ligatures w14:val="standardContextual"/>
        </w:rPr>
      </w:pPr>
      <w:hyperlink w:anchor="_Toc140744541" w:history="1">
        <w:r w:rsidR="00BA35B3" w:rsidRPr="00FC7F49">
          <w:rPr>
            <w:rStyle w:val="Hyperlink"/>
            <w:rFonts w:ascii="Arial" w:hAnsi="Arial" w:cs="Arial"/>
            <w:i/>
            <w:iCs/>
            <w:noProof/>
            <w:lang w:val="ro-RO"/>
          </w:rPr>
          <w:t xml:space="preserve">Figura I.7. 16 – </w:t>
        </w:r>
        <w:r w:rsidR="00BA35B3" w:rsidRPr="00FC7F49">
          <w:rPr>
            <w:rStyle w:val="Hyperlink"/>
            <w:rFonts w:ascii="Arial" w:hAnsi="Arial" w:cs="Arial"/>
            <w:noProof/>
            <w:lang w:val="ro-RO"/>
          </w:rPr>
          <w:t>Emisii SO</w:t>
        </w:r>
        <w:r w:rsidR="00BA35B3" w:rsidRPr="00FC7F49">
          <w:rPr>
            <w:rStyle w:val="Hyperlink"/>
            <w:rFonts w:ascii="Arial" w:hAnsi="Arial" w:cs="Arial"/>
            <w:noProof/>
            <w:vertAlign w:val="subscript"/>
            <w:lang w:val="ro-RO"/>
          </w:rPr>
          <w:t xml:space="preserve">2 </w:t>
        </w:r>
        <w:r w:rsidR="00BA35B3" w:rsidRPr="00FC7F49">
          <w:rPr>
            <w:rStyle w:val="Hyperlink"/>
            <w:rFonts w:ascii="Arial" w:hAnsi="Arial" w:cs="Arial"/>
            <w:noProof/>
            <w:lang w:val="ro-RO"/>
          </w:rPr>
          <w:t>[kg]</w:t>
        </w:r>
        <w:r w:rsidR="00BA35B3">
          <w:rPr>
            <w:noProof/>
            <w:webHidden/>
          </w:rPr>
          <w:tab/>
        </w:r>
        <w:r w:rsidR="00BA35B3">
          <w:rPr>
            <w:noProof/>
            <w:webHidden/>
          </w:rPr>
          <w:fldChar w:fldCharType="begin"/>
        </w:r>
        <w:r w:rsidR="00BA35B3">
          <w:rPr>
            <w:noProof/>
            <w:webHidden/>
          </w:rPr>
          <w:instrText xml:space="preserve"> PAGEREF _Toc140744541 \h </w:instrText>
        </w:r>
        <w:r w:rsidR="00BA35B3">
          <w:rPr>
            <w:noProof/>
            <w:webHidden/>
          </w:rPr>
        </w:r>
        <w:r w:rsidR="00BA35B3">
          <w:rPr>
            <w:noProof/>
            <w:webHidden/>
          </w:rPr>
          <w:fldChar w:fldCharType="separate"/>
        </w:r>
        <w:r w:rsidR="00BB181C">
          <w:rPr>
            <w:noProof/>
            <w:webHidden/>
          </w:rPr>
          <w:t>297</w:t>
        </w:r>
        <w:r w:rsidR="00BA35B3">
          <w:rPr>
            <w:noProof/>
            <w:webHidden/>
          </w:rPr>
          <w:fldChar w:fldCharType="end"/>
        </w:r>
      </w:hyperlink>
    </w:p>
    <w:p w14:paraId="70FD31C0" w14:textId="534B9C25" w:rsidR="00BA35B3" w:rsidRDefault="00000000">
      <w:pPr>
        <w:pStyle w:val="Tabeldefiguri"/>
        <w:tabs>
          <w:tab w:val="right" w:leader="dot" w:pos="9645"/>
        </w:tabs>
        <w:rPr>
          <w:rFonts w:eastAsiaTheme="minorEastAsia"/>
          <w:noProof/>
          <w:kern w:val="2"/>
          <w14:ligatures w14:val="standardContextual"/>
        </w:rPr>
      </w:pPr>
      <w:hyperlink w:anchor="_Toc140744542" w:history="1">
        <w:r w:rsidR="00BA35B3" w:rsidRPr="00FC7F49">
          <w:rPr>
            <w:rStyle w:val="Hyperlink"/>
            <w:rFonts w:ascii="Arial" w:hAnsi="Arial" w:cs="Arial"/>
            <w:i/>
            <w:iCs/>
            <w:noProof/>
            <w:lang w:val="ro-RO"/>
          </w:rPr>
          <w:t xml:space="preserve">Figura I.7. 17 – </w:t>
        </w:r>
        <w:r w:rsidR="00BA35B3" w:rsidRPr="00FC7F49">
          <w:rPr>
            <w:rStyle w:val="Hyperlink"/>
            <w:rFonts w:ascii="Arial" w:hAnsi="Arial" w:cs="Arial"/>
            <w:noProof/>
            <w:lang w:val="ro-RO"/>
          </w:rPr>
          <w:t>Emisii HC [kg]</w:t>
        </w:r>
        <w:r w:rsidR="00BA35B3">
          <w:rPr>
            <w:noProof/>
            <w:webHidden/>
          </w:rPr>
          <w:tab/>
        </w:r>
        <w:r w:rsidR="00BA35B3">
          <w:rPr>
            <w:noProof/>
            <w:webHidden/>
          </w:rPr>
          <w:fldChar w:fldCharType="begin"/>
        </w:r>
        <w:r w:rsidR="00BA35B3">
          <w:rPr>
            <w:noProof/>
            <w:webHidden/>
          </w:rPr>
          <w:instrText xml:space="preserve"> PAGEREF _Toc140744542 \h </w:instrText>
        </w:r>
        <w:r w:rsidR="00BA35B3">
          <w:rPr>
            <w:noProof/>
            <w:webHidden/>
          </w:rPr>
        </w:r>
        <w:r w:rsidR="00BA35B3">
          <w:rPr>
            <w:noProof/>
            <w:webHidden/>
          </w:rPr>
          <w:fldChar w:fldCharType="separate"/>
        </w:r>
        <w:r w:rsidR="00BB181C">
          <w:rPr>
            <w:noProof/>
            <w:webHidden/>
          </w:rPr>
          <w:t>298</w:t>
        </w:r>
        <w:r w:rsidR="00BA35B3">
          <w:rPr>
            <w:noProof/>
            <w:webHidden/>
          </w:rPr>
          <w:fldChar w:fldCharType="end"/>
        </w:r>
      </w:hyperlink>
    </w:p>
    <w:p w14:paraId="3C6A7C40" w14:textId="4A9DEE30" w:rsidR="00BA35B3" w:rsidRDefault="00000000">
      <w:pPr>
        <w:pStyle w:val="Tabeldefiguri"/>
        <w:tabs>
          <w:tab w:val="right" w:leader="dot" w:pos="9645"/>
        </w:tabs>
        <w:rPr>
          <w:rFonts w:eastAsiaTheme="minorEastAsia"/>
          <w:noProof/>
          <w:kern w:val="2"/>
          <w14:ligatures w14:val="standardContextual"/>
        </w:rPr>
      </w:pPr>
      <w:hyperlink w:anchor="_Toc140744543" w:history="1">
        <w:r w:rsidR="00BA35B3" w:rsidRPr="00FC7F49">
          <w:rPr>
            <w:rStyle w:val="Hyperlink"/>
            <w:rFonts w:ascii="Arial" w:hAnsi="Arial" w:cs="Arial"/>
            <w:noProof/>
          </w:rPr>
          <w:t xml:space="preserve">Figura I.7. 18 </w:t>
        </w:r>
        <w:r w:rsidR="00BA35B3" w:rsidRPr="00FC7F49">
          <w:rPr>
            <w:rStyle w:val="Hyperlink"/>
            <w:rFonts w:ascii="Arial" w:hAnsi="Arial" w:cs="Arial"/>
            <w:noProof/>
            <w:lang w:val="ro-RO"/>
          </w:rPr>
          <w:t>– Emisii CO</w:t>
        </w:r>
        <w:r w:rsidR="00BA35B3" w:rsidRPr="00FC7F49">
          <w:rPr>
            <w:rStyle w:val="Hyperlink"/>
            <w:rFonts w:ascii="Arial" w:hAnsi="Arial" w:cs="Arial"/>
            <w:noProof/>
            <w:vertAlign w:val="subscript"/>
            <w:lang w:val="ro-RO"/>
          </w:rPr>
          <w:t xml:space="preserve">2 </w:t>
        </w:r>
        <w:r w:rsidR="00BA35B3" w:rsidRPr="00FC7F49">
          <w:rPr>
            <w:rStyle w:val="Hyperlink"/>
            <w:rFonts w:ascii="Arial" w:hAnsi="Arial" w:cs="Arial"/>
            <w:noProof/>
            <w:lang w:val="ro-RO"/>
          </w:rPr>
          <w:t>[kg]</w:t>
        </w:r>
        <w:r w:rsidR="00BA35B3">
          <w:rPr>
            <w:noProof/>
            <w:webHidden/>
          </w:rPr>
          <w:tab/>
        </w:r>
        <w:r w:rsidR="00BA35B3">
          <w:rPr>
            <w:noProof/>
            <w:webHidden/>
          </w:rPr>
          <w:fldChar w:fldCharType="begin"/>
        </w:r>
        <w:r w:rsidR="00BA35B3">
          <w:rPr>
            <w:noProof/>
            <w:webHidden/>
          </w:rPr>
          <w:instrText xml:space="preserve"> PAGEREF _Toc140744543 \h </w:instrText>
        </w:r>
        <w:r w:rsidR="00BA35B3">
          <w:rPr>
            <w:noProof/>
            <w:webHidden/>
          </w:rPr>
        </w:r>
        <w:r w:rsidR="00BA35B3">
          <w:rPr>
            <w:noProof/>
            <w:webHidden/>
          </w:rPr>
          <w:fldChar w:fldCharType="separate"/>
        </w:r>
        <w:r w:rsidR="00BB181C">
          <w:rPr>
            <w:noProof/>
            <w:webHidden/>
          </w:rPr>
          <w:t>299</w:t>
        </w:r>
        <w:r w:rsidR="00BA35B3">
          <w:rPr>
            <w:noProof/>
            <w:webHidden/>
          </w:rPr>
          <w:fldChar w:fldCharType="end"/>
        </w:r>
      </w:hyperlink>
    </w:p>
    <w:p w14:paraId="5C2D737F" w14:textId="2AE85BC7" w:rsidR="00BA35B3" w:rsidRDefault="00000000">
      <w:pPr>
        <w:pStyle w:val="Tabeldefiguri"/>
        <w:tabs>
          <w:tab w:val="right" w:leader="dot" w:pos="9645"/>
        </w:tabs>
        <w:rPr>
          <w:rFonts w:eastAsiaTheme="minorEastAsia"/>
          <w:noProof/>
          <w:kern w:val="2"/>
          <w14:ligatures w14:val="standardContextual"/>
        </w:rPr>
      </w:pPr>
      <w:hyperlink w:anchor="_Toc140744544" w:history="1">
        <w:r w:rsidR="00BA35B3" w:rsidRPr="00FC7F49">
          <w:rPr>
            <w:rStyle w:val="Hyperlink"/>
            <w:rFonts w:ascii="Arial" w:hAnsi="Arial" w:cs="Arial"/>
            <w:i/>
            <w:iCs/>
            <w:noProof/>
            <w:lang w:val="ro-RO"/>
          </w:rPr>
          <w:t xml:space="preserve">Figura I.7. 19 – </w:t>
        </w:r>
        <w:r w:rsidR="00BA35B3" w:rsidRPr="00FC7F49">
          <w:rPr>
            <w:rStyle w:val="Hyperlink"/>
            <w:rFonts w:ascii="Arial" w:hAnsi="Arial" w:cs="Arial"/>
            <w:noProof/>
            <w:lang w:val="ro-RO"/>
          </w:rPr>
          <w:t>Emisii NOx [kg]</w:t>
        </w:r>
        <w:r w:rsidR="00BA35B3">
          <w:rPr>
            <w:noProof/>
            <w:webHidden/>
          </w:rPr>
          <w:tab/>
        </w:r>
        <w:r w:rsidR="00BA35B3">
          <w:rPr>
            <w:noProof/>
            <w:webHidden/>
          </w:rPr>
          <w:fldChar w:fldCharType="begin"/>
        </w:r>
        <w:r w:rsidR="00BA35B3">
          <w:rPr>
            <w:noProof/>
            <w:webHidden/>
          </w:rPr>
          <w:instrText xml:space="preserve"> PAGEREF _Toc140744544 \h </w:instrText>
        </w:r>
        <w:r w:rsidR="00BA35B3">
          <w:rPr>
            <w:noProof/>
            <w:webHidden/>
          </w:rPr>
        </w:r>
        <w:r w:rsidR="00BA35B3">
          <w:rPr>
            <w:noProof/>
            <w:webHidden/>
          </w:rPr>
          <w:fldChar w:fldCharType="separate"/>
        </w:r>
        <w:r w:rsidR="00BB181C">
          <w:rPr>
            <w:noProof/>
            <w:webHidden/>
          </w:rPr>
          <w:t>300</w:t>
        </w:r>
        <w:r w:rsidR="00BA35B3">
          <w:rPr>
            <w:noProof/>
            <w:webHidden/>
          </w:rPr>
          <w:fldChar w:fldCharType="end"/>
        </w:r>
      </w:hyperlink>
    </w:p>
    <w:p w14:paraId="56B4BD94" w14:textId="6E20AB63" w:rsidR="00BA35B3" w:rsidRDefault="00000000">
      <w:pPr>
        <w:pStyle w:val="Tabeldefiguri"/>
        <w:tabs>
          <w:tab w:val="right" w:leader="dot" w:pos="9645"/>
        </w:tabs>
        <w:rPr>
          <w:rFonts w:eastAsiaTheme="minorEastAsia"/>
          <w:noProof/>
          <w:kern w:val="2"/>
          <w14:ligatures w14:val="standardContextual"/>
        </w:rPr>
      </w:pPr>
      <w:hyperlink w:anchor="_Toc140744545" w:history="1">
        <w:r w:rsidR="00BA35B3" w:rsidRPr="00FC7F49">
          <w:rPr>
            <w:rStyle w:val="Hyperlink"/>
            <w:rFonts w:ascii="Arial" w:hAnsi="Arial" w:cs="Arial"/>
            <w:i/>
            <w:iCs/>
            <w:noProof/>
            <w:lang w:val="ro-RO"/>
          </w:rPr>
          <w:t xml:space="preserve">Figura I.7. 20 – </w:t>
        </w:r>
        <w:r w:rsidR="00BA35B3" w:rsidRPr="00FC7F49">
          <w:rPr>
            <w:rStyle w:val="Hyperlink"/>
            <w:rFonts w:ascii="Arial" w:hAnsi="Arial" w:cs="Arial"/>
            <w:noProof/>
            <w:lang w:val="ro-RO"/>
          </w:rPr>
          <w:t>Emisii PM [kg]</w:t>
        </w:r>
        <w:r w:rsidR="00BA35B3">
          <w:rPr>
            <w:noProof/>
            <w:webHidden/>
          </w:rPr>
          <w:tab/>
        </w:r>
        <w:r w:rsidR="00BA35B3">
          <w:rPr>
            <w:noProof/>
            <w:webHidden/>
          </w:rPr>
          <w:fldChar w:fldCharType="begin"/>
        </w:r>
        <w:r w:rsidR="00BA35B3">
          <w:rPr>
            <w:noProof/>
            <w:webHidden/>
          </w:rPr>
          <w:instrText xml:space="preserve"> PAGEREF _Toc140744545 \h </w:instrText>
        </w:r>
        <w:r w:rsidR="00BA35B3">
          <w:rPr>
            <w:noProof/>
            <w:webHidden/>
          </w:rPr>
        </w:r>
        <w:r w:rsidR="00BA35B3">
          <w:rPr>
            <w:noProof/>
            <w:webHidden/>
          </w:rPr>
          <w:fldChar w:fldCharType="separate"/>
        </w:r>
        <w:r w:rsidR="00BB181C">
          <w:rPr>
            <w:noProof/>
            <w:webHidden/>
          </w:rPr>
          <w:t>300</w:t>
        </w:r>
        <w:r w:rsidR="00BA35B3">
          <w:rPr>
            <w:noProof/>
            <w:webHidden/>
          </w:rPr>
          <w:fldChar w:fldCharType="end"/>
        </w:r>
      </w:hyperlink>
    </w:p>
    <w:p w14:paraId="6ED9CCED" w14:textId="3C7DF68C" w:rsidR="00BA35B3" w:rsidRDefault="00000000">
      <w:pPr>
        <w:pStyle w:val="Tabeldefiguri"/>
        <w:tabs>
          <w:tab w:val="right" w:leader="dot" w:pos="9645"/>
        </w:tabs>
        <w:rPr>
          <w:rFonts w:eastAsiaTheme="minorEastAsia"/>
          <w:noProof/>
          <w:kern w:val="2"/>
          <w14:ligatures w14:val="standardContextual"/>
        </w:rPr>
      </w:pPr>
      <w:hyperlink w:anchor="_Toc140744546" w:history="1">
        <w:r w:rsidR="00BA35B3" w:rsidRPr="00FC7F49">
          <w:rPr>
            <w:rStyle w:val="Hyperlink"/>
            <w:rFonts w:ascii="Arial" w:hAnsi="Arial" w:cs="Arial"/>
            <w:i/>
            <w:iCs/>
            <w:noProof/>
            <w:lang w:val="ro-RO"/>
          </w:rPr>
          <w:t xml:space="preserve">Figura I.7. 21 – </w:t>
        </w:r>
        <w:r w:rsidR="00BA35B3" w:rsidRPr="00FC7F49">
          <w:rPr>
            <w:rStyle w:val="Hyperlink"/>
            <w:rFonts w:ascii="Arial" w:hAnsi="Arial" w:cs="Arial"/>
            <w:noProof/>
            <w:lang w:val="ro-RO"/>
          </w:rPr>
          <w:t>Emisii HC [kg]</w:t>
        </w:r>
        <w:r w:rsidR="00BA35B3">
          <w:rPr>
            <w:noProof/>
            <w:webHidden/>
          </w:rPr>
          <w:tab/>
        </w:r>
        <w:r w:rsidR="00BA35B3">
          <w:rPr>
            <w:noProof/>
            <w:webHidden/>
          </w:rPr>
          <w:fldChar w:fldCharType="begin"/>
        </w:r>
        <w:r w:rsidR="00BA35B3">
          <w:rPr>
            <w:noProof/>
            <w:webHidden/>
          </w:rPr>
          <w:instrText xml:space="preserve"> PAGEREF _Toc140744546 \h </w:instrText>
        </w:r>
        <w:r w:rsidR="00BA35B3">
          <w:rPr>
            <w:noProof/>
            <w:webHidden/>
          </w:rPr>
        </w:r>
        <w:r w:rsidR="00BA35B3">
          <w:rPr>
            <w:noProof/>
            <w:webHidden/>
          </w:rPr>
          <w:fldChar w:fldCharType="separate"/>
        </w:r>
        <w:r w:rsidR="00BB181C">
          <w:rPr>
            <w:noProof/>
            <w:webHidden/>
          </w:rPr>
          <w:t>301</w:t>
        </w:r>
        <w:r w:rsidR="00BA35B3">
          <w:rPr>
            <w:noProof/>
            <w:webHidden/>
          </w:rPr>
          <w:fldChar w:fldCharType="end"/>
        </w:r>
      </w:hyperlink>
    </w:p>
    <w:p w14:paraId="34978B19" w14:textId="02935888" w:rsidR="00BA35B3" w:rsidRDefault="00000000">
      <w:pPr>
        <w:pStyle w:val="Tabeldefiguri"/>
        <w:tabs>
          <w:tab w:val="right" w:leader="dot" w:pos="9645"/>
        </w:tabs>
        <w:rPr>
          <w:rFonts w:eastAsiaTheme="minorEastAsia"/>
          <w:noProof/>
          <w:kern w:val="2"/>
          <w14:ligatures w14:val="standardContextual"/>
        </w:rPr>
      </w:pPr>
      <w:hyperlink w:anchor="_Toc140744547" w:history="1">
        <w:r w:rsidR="00BA35B3" w:rsidRPr="00FC7F49">
          <w:rPr>
            <w:rStyle w:val="Hyperlink"/>
            <w:rFonts w:ascii="Arial" w:hAnsi="Arial" w:cs="Arial"/>
            <w:noProof/>
          </w:rPr>
          <w:t>Figura I.7. 22 – Distribuția modală a deplasărilor 2027 S1</w:t>
        </w:r>
        <w:r w:rsidR="00BA35B3">
          <w:rPr>
            <w:noProof/>
            <w:webHidden/>
          </w:rPr>
          <w:tab/>
        </w:r>
        <w:r w:rsidR="00BA35B3">
          <w:rPr>
            <w:noProof/>
            <w:webHidden/>
          </w:rPr>
          <w:fldChar w:fldCharType="begin"/>
        </w:r>
        <w:r w:rsidR="00BA35B3">
          <w:rPr>
            <w:noProof/>
            <w:webHidden/>
          </w:rPr>
          <w:instrText xml:space="preserve"> PAGEREF _Toc140744547 \h </w:instrText>
        </w:r>
        <w:r w:rsidR="00BA35B3">
          <w:rPr>
            <w:noProof/>
            <w:webHidden/>
          </w:rPr>
        </w:r>
        <w:r w:rsidR="00BA35B3">
          <w:rPr>
            <w:noProof/>
            <w:webHidden/>
          </w:rPr>
          <w:fldChar w:fldCharType="separate"/>
        </w:r>
        <w:r w:rsidR="00BB181C">
          <w:rPr>
            <w:noProof/>
            <w:webHidden/>
          </w:rPr>
          <w:t>304</w:t>
        </w:r>
        <w:r w:rsidR="00BA35B3">
          <w:rPr>
            <w:noProof/>
            <w:webHidden/>
          </w:rPr>
          <w:fldChar w:fldCharType="end"/>
        </w:r>
      </w:hyperlink>
    </w:p>
    <w:p w14:paraId="34C0003F" w14:textId="55B341B0" w:rsidR="00BA35B3" w:rsidRDefault="00000000">
      <w:pPr>
        <w:pStyle w:val="Tabeldefiguri"/>
        <w:tabs>
          <w:tab w:val="right" w:leader="dot" w:pos="9645"/>
        </w:tabs>
        <w:rPr>
          <w:rFonts w:eastAsiaTheme="minorEastAsia"/>
          <w:noProof/>
          <w:kern w:val="2"/>
          <w14:ligatures w14:val="standardContextual"/>
        </w:rPr>
      </w:pPr>
      <w:hyperlink w:anchor="_Toc140744548" w:history="1">
        <w:r w:rsidR="00BA35B3" w:rsidRPr="00FC7F49">
          <w:rPr>
            <w:rStyle w:val="Hyperlink"/>
            <w:rFonts w:ascii="Arial" w:hAnsi="Arial" w:cs="Arial"/>
            <w:noProof/>
          </w:rPr>
          <w:t>Figura I.7. 23 – Distribuția modală a deplasărilor 2027 S2</w:t>
        </w:r>
        <w:r w:rsidR="00BA35B3">
          <w:rPr>
            <w:noProof/>
            <w:webHidden/>
          </w:rPr>
          <w:tab/>
        </w:r>
        <w:r w:rsidR="00BA35B3">
          <w:rPr>
            <w:noProof/>
            <w:webHidden/>
          </w:rPr>
          <w:fldChar w:fldCharType="begin"/>
        </w:r>
        <w:r w:rsidR="00BA35B3">
          <w:rPr>
            <w:noProof/>
            <w:webHidden/>
          </w:rPr>
          <w:instrText xml:space="preserve"> PAGEREF _Toc140744548 \h </w:instrText>
        </w:r>
        <w:r w:rsidR="00BA35B3">
          <w:rPr>
            <w:noProof/>
            <w:webHidden/>
          </w:rPr>
        </w:r>
        <w:r w:rsidR="00BA35B3">
          <w:rPr>
            <w:noProof/>
            <w:webHidden/>
          </w:rPr>
          <w:fldChar w:fldCharType="separate"/>
        </w:r>
        <w:r w:rsidR="00BB181C">
          <w:rPr>
            <w:noProof/>
            <w:webHidden/>
          </w:rPr>
          <w:t>304</w:t>
        </w:r>
        <w:r w:rsidR="00BA35B3">
          <w:rPr>
            <w:noProof/>
            <w:webHidden/>
          </w:rPr>
          <w:fldChar w:fldCharType="end"/>
        </w:r>
      </w:hyperlink>
    </w:p>
    <w:p w14:paraId="44D63346" w14:textId="6BCEF420" w:rsidR="00BA35B3" w:rsidRDefault="00000000">
      <w:pPr>
        <w:pStyle w:val="Tabeldefiguri"/>
        <w:tabs>
          <w:tab w:val="right" w:leader="dot" w:pos="9645"/>
        </w:tabs>
        <w:rPr>
          <w:rFonts w:eastAsiaTheme="minorEastAsia"/>
          <w:noProof/>
          <w:kern w:val="2"/>
          <w14:ligatures w14:val="standardContextual"/>
        </w:rPr>
      </w:pPr>
      <w:hyperlink w:anchor="_Toc140744549" w:history="1">
        <w:r w:rsidR="00BA35B3" w:rsidRPr="00FC7F49">
          <w:rPr>
            <w:rStyle w:val="Hyperlink"/>
            <w:rFonts w:ascii="Arial" w:hAnsi="Arial" w:cs="Arial"/>
            <w:noProof/>
          </w:rPr>
          <w:t>Figura I.7. 24 – Distribuția modală a deplasărilor 2035 S1</w:t>
        </w:r>
        <w:r w:rsidR="00BA35B3">
          <w:rPr>
            <w:noProof/>
            <w:webHidden/>
          </w:rPr>
          <w:tab/>
        </w:r>
        <w:r w:rsidR="00BA35B3">
          <w:rPr>
            <w:noProof/>
            <w:webHidden/>
          </w:rPr>
          <w:fldChar w:fldCharType="begin"/>
        </w:r>
        <w:r w:rsidR="00BA35B3">
          <w:rPr>
            <w:noProof/>
            <w:webHidden/>
          </w:rPr>
          <w:instrText xml:space="preserve"> PAGEREF _Toc140744549 \h </w:instrText>
        </w:r>
        <w:r w:rsidR="00BA35B3">
          <w:rPr>
            <w:noProof/>
            <w:webHidden/>
          </w:rPr>
        </w:r>
        <w:r w:rsidR="00BA35B3">
          <w:rPr>
            <w:noProof/>
            <w:webHidden/>
          </w:rPr>
          <w:fldChar w:fldCharType="separate"/>
        </w:r>
        <w:r w:rsidR="00BB181C">
          <w:rPr>
            <w:noProof/>
            <w:webHidden/>
          </w:rPr>
          <w:t>305</w:t>
        </w:r>
        <w:r w:rsidR="00BA35B3">
          <w:rPr>
            <w:noProof/>
            <w:webHidden/>
          </w:rPr>
          <w:fldChar w:fldCharType="end"/>
        </w:r>
      </w:hyperlink>
    </w:p>
    <w:p w14:paraId="6879DBB8" w14:textId="0D7E6B30" w:rsidR="00BA35B3" w:rsidRDefault="00000000">
      <w:pPr>
        <w:pStyle w:val="Tabeldefiguri"/>
        <w:tabs>
          <w:tab w:val="right" w:leader="dot" w:pos="9645"/>
        </w:tabs>
        <w:rPr>
          <w:rFonts w:eastAsiaTheme="minorEastAsia"/>
          <w:noProof/>
          <w:kern w:val="2"/>
          <w14:ligatures w14:val="standardContextual"/>
        </w:rPr>
      </w:pPr>
      <w:hyperlink w:anchor="_Toc140744550" w:history="1">
        <w:r w:rsidR="00BA35B3" w:rsidRPr="00FC7F49">
          <w:rPr>
            <w:rStyle w:val="Hyperlink"/>
            <w:rFonts w:ascii="Arial" w:hAnsi="Arial" w:cs="Arial"/>
            <w:noProof/>
          </w:rPr>
          <w:t>Figura I.7. 25 – Distribuția modală a deplasărilor 2035 S2</w:t>
        </w:r>
        <w:r w:rsidR="00BA35B3">
          <w:rPr>
            <w:noProof/>
            <w:webHidden/>
          </w:rPr>
          <w:tab/>
        </w:r>
        <w:r w:rsidR="00BA35B3">
          <w:rPr>
            <w:noProof/>
            <w:webHidden/>
          </w:rPr>
          <w:fldChar w:fldCharType="begin"/>
        </w:r>
        <w:r w:rsidR="00BA35B3">
          <w:rPr>
            <w:noProof/>
            <w:webHidden/>
          </w:rPr>
          <w:instrText xml:space="preserve"> PAGEREF _Toc140744550 \h </w:instrText>
        </w:r>
        <w:r w:rsidR="00BA35B3">
          <w:rPr>
            <w:noProof/>
            <w:webHidden/>
          </w:rPr>
        </w:r>
        <w:r w:rsidR="00BA35B3">
          <w:rPr>
            <w:noProof/>
            <w:webHidden/>
          </w:rPr>
          <w:fldChar w:fldCharType="separate"/>
        </w:r>
        <w:r w:rsidR="00BB181C">
          <w:rPr>
            <w:noProof/>
            <w:webHidden/>
          </w:rPr>
          <w:t>305</w:t>
        </w:r>
        <w:r w:rsidR="00BA35B3">
          <w:rPr>
            <w:noProof/>
            <w:webHidden/>
          </w:rPr>
          <w:fldChar w:fldCharType="end"/>
        </w:r>
      </w:hyperlink>
    </w:p>
    <w:p w14:paraId="25EF1323" w14:textId="266EC619" w:rsidR="00BA35B3" w:rsidRDefault="00000000">
      <w:pPr>
        <w:pStyle w:val="Tabeldefiguri"/>
        <w:tabs>
          <w:tab w:val="right" w:leader="dot" w:pos="9645"/>
        </w:tabs>
        <w:rPr>
          <w:rFonts w:eastAsiaTheme="minorEastAsia"/>
          <w:noProof/>
          <w:kern w:val="2"/>
          <w14:ligatures w14:val="standardContextual"/>
        </w:rPr>
      </w:pPr>
      <w:hyperlink w:anchor="_Toc140744551" w:history="1">
        <w:r w:rsidR="00BA35B3" w:rsidRPr="00FC7F49">
          <w:rPr>
            <w:rStyle w:val="Hyperlink"/>
            <w:rFonts w:ascii="Arial" w:hAnsi="Arial" w:cs="Arial"/>
            <w:noProof/>
          </w:rPr>
          <w:t>Figura I.7. 26 – Distribuția modală de deplasărilor 2035 S3</w:t>
        </w:r>
        <w:r w:rsidR="00BA35B3">
          <w:rPr>
            <w:noProof/>
            <w:webHidden/>
          </w:rPr>
          <w:tab/>
        </w:r>
        <w:r w:rsidR="00BA35B3">
          <w:rPr>
            <w:noProof/>
            <w:webHidden/>
          </w:rPr>
          <w:fldChar w:fldCharType="begin"/>
        </w:r>
        <w:r w:rsidR="00BA35B3">
          <w:rPr>
            <w:noProof/>
            <w:webHidden/>
          </w:rPr>
          <w:instrText xml:space="preserve"> PAGEREF _Toc140744551 \h </w:instrText>
        </w:r>
        <w:r w:rsidR="00BA35B3">
          <w:rPr>
            <w:noProof/>
            <w:webHidden/>
          </w:rPr>
        </w:r>
        <w:r w:rsidR="00BA35B3">
          <w:rPr>
            <w:noProof/>
            <w:webHidden/>
          </w:rPr>
          <w:fldChar w:fldCharType="separate"/>
        </w:r>
        <w:r w:rsidR="00BB181C">
          <w:rPr>
            <w:noProof/>
            <w:webHidden/>
          </w:rPr>
          <w:t>306</w:t>
        </w:r>
        <w:r w:rsidR="00BA35B3">
          <w:rPr>
            <w:noProof/>
            <w:webHidden/>
          </w:rPr>
          <w:fldChar w:fldCharType="end"/>
        </w:r>
      </w:hyperlink>
    </w:p>
    <w:p w14:paraId="5FBDF1C4" w14:textId="11E9CBB5" w:rsidR="00BA35B3" w:rsidRDefault="00000000">
      <w:pPr>
        <w:pStyle w:val="Tabeldefiguri"/>
        <w:tabs>
          <w:tab w:val="right" w:leader="dot" w:pos="9645"/>
        </w:tabs>
        <w:rPr>
          <w:rFonts w:eastAsiaTheme="minorEastAsia"/>
          <w:noProof/>
          <w:kern w:val="2"/>
          <w14:ligatures w14:val="standardContextual"/>
        </w:rPr>
      </w:pPr>
      <w:hyperlink w:anchor="_Toc140744552" w:history="1">
        <w:r w:rsidR="00BA35B3" w:rsidRPr="00FC7F49">
          <w:rPr>
            <w:rStyle w:val="Hyperlink"/>
            <w:rFonts w:ascii="Arial" w:hAnsi="Arial" w:cs="Arial"/>
            <w:noProof/>
          </w:rPr>
          <w:t>Figura I.7. 27 - Zonele de captare pentru Scenariul 2</w:t>
        </w:r>
        <w:r w:rsidR="00BA35B3">
          <w:rPr>
            <w:noProof/>
            <w:webHidden/>
          </w:rPr>
          <w:tab/>
        </w:r>
        <w:r w:rsidR="00BA35B3">
          <w:rPr>
            <w:noProof/>
            <w:webHidden/>
          </w:rPr>
          <w:fldChar w:fldCharType="begin"/>
        </w:r>
        <w:r w:rsidR="00BA35B3">
          <w:rPr>
            <w:noProof/>
            <w:webHidden/>
          </w:rPr>
          <w:instrText xml:space="preserve"> PAGEREF _Toc140744552 \h </w:instrText>
        </w:r>
        <w:r w:rsidR="00BA35B3">
          <w:rPr>
            <w:noProof/>
            <w:webHidden/>
          </w:rPr>
        </w:r>
        <w:r w:rsidR="00BA35B3">
          <w:rPr>
            <w:noProof/>
            <w:webHidden/>
          </w:rPr>
          <w:fldChar w:fldCharType="separate"/>
        </w:r>
        <w:r w:rsidR="00BB181C">
          <w:rPr>
            <w:noProof/>
            <w:webHidden/>
          </w:rPr>
          <w:t>307</w:t>
        </w:r>
        <w:r w:rsidR="00BA35B3">
          <w:rPr>
            <w:noProof/>
            <w:webHidden/>
          </w:rPr>
          <w:fldChar w:fldCharType="end"/>
        </w:r>
      </w:hyperlink>
    </w:p>
    <w:p w14:paraId="14F0D40F" w14:textId="04DE2CA0" w:rsidR="00BA35B3" w:rsidRDefault="00000000">
      <w:pPr>
        <w:pStyle w:val="Tabeldefiguri"/>
        <w:tabs>
          <w:tab w:val="right" w:leader="dot" w:pos="9645"/>
        </w:tabs>
        <w:rPr>
          <w:rFonts w:eastAsiaTheme="minorEastAsia"/>
          <w:noProof/>
          <w:kern w:val="2"/>
          <w14:ligatures w14:val="standardContextual"/>
        </w:rPr>
      </w:pPr>
      <w:hyperlink w:anchor="_Toc140744553" w:history="1">
        <w:r w:rsidR="00BA35B3" w:rsidRPr="00FC7F49">
          <w:rPr>
            <w:rStyle w:val="Hyperlink"/>
            <w:rFonts w:ascii="Arial" w:hAnsi="Arial" w:cs="Arial"/>
            <w:noProof/>
          </w:rPr>
          <w:t>Figura I.7. 28 - Rețeaua de transport public propusă</w:t>
        </w:r>
        <w:r w:rsidR="00BA35B3">
          <w:rPr>
            <w:noProof/>
            <w:webHidden/>
          </w:rPr>
          <w:tab/>
        </w:r>
        <w:r w:rsidR="00BA35B3">
          <w:rPr>
            <w:noProof/>
            <w:webHidden/>
          </w:rPr>
          <w:fldChar w:fldCharType="begin"/>
        </w:r>
        <w:r w:rsidR="00BA35B3">
          <w:rPr>
            <w:noProof/>
            <w:webHidden/>
          </w:rPr>
          <w:instrText xml:space="preserve"> PAGEREF _Toc140744553 \h </w:instrText>
        </w:r>
        <w:r w:rsidR="00BA35B3">
          <w:rPr>
            <w:noProof/>
            <w:webHidden/>
          </w:rPr>
        </w:r>
        <w:r w:rsidR="00BA35B3">
          <w:rPr>
            <w:noProof/>
            <w:webHidden/>
          </w:rPr>
          <w:fldChar w:fldCharType="separate"/>
        </w:r>
        <w:r w:rsidR="00BB181C">
          <w:rPr>
            <w:noProof/>
            <w:webHidden/>
          </w:rPr>
          <w:t>308</w:t>
        </w:r>
        <w:r w:rsidR="00BA35B3">
          <w:rPr>
            <w:noProof/>
            <w:webHidden/>
          </w:rPr>
          <w:fldChar w:fldCharType="end"/>
        </w:r>
      </w:hyperlink>
    </w:p>
    <w:p w14:paraId="7603ED7B" w14:textId="178F996B" w:rsidR="00BA35B3" w:rsidRDefault="00000000">
      <w:pPr>
        <w:pStyle w:val="Tabeldefiguri"/>
        <w:tabs>
          <w:tab w:val="right" w:leader="dot" w:pos="9645"/>
        </w:tabs>
        <w:rPr>
          <w:rFonts w:eastAsiaTheme="minorEastAsia"/>
          <w:noProof/>
          <w:kern w:val="2"/>
          <w14:ligatures w14:val="standardContextual"/>
        </w:rPr>
      </w:pPr>
      <w:hyperlink w:anchor="_Toc140744554" w:history="1">
        <w:r w:rsidR="00BA35B3" w:rsidRPr="00FC7F49">
          <w:rPr>
            <w:rStyle w:val="Hyperlink"/>
            <w:rFonts w:ascii="Arial" w:hAnsi="Arial" w:cs="Arial"/>
            <w:noProof/>
          </w:rPr>
          <w:t>Figura I.7. 29 - Rețeaua de transport public propusă - Zona centrală</w:t>
        </w:r>
        <w:r w:rsidR="00BA35B3">
          <w:rPr>
            <w:noProof/>
            <w:webHidden/>
          </w:rPr>
          <w:tab/>
        </w:r>
        <w:r w:rsidR="00BA35B3">
          <w:rPr>
            <w:noProof/>
            <w:webHidden/>
          </w:rPr>
          <w:fldChar w:fldCharType="begin"/>
        </w:r>
        <w:r w:rsidR="00BA35B3">
          <w:rPr>
            <w:noProof/>
            <w:webHidden/>
          </w:rPr>
          <w:instrText xml:space="preserve"> PAGEREF _Toc140744554 \h </w:instrText>
        </w:r>
        <w:r w:rsidR="00BA35B3">
          <w:rPr>
            <w:noProof/>
            <w:webHidden/>
          </w:rPr>
        </w:r>
        <w:r w:rsidR="00BA35B3">
          <w:rPr>
            <w:noProof/>
            <w:webHidden/>
          </w:rPr>
          <w:fldChar w:fldCharType="separate"/>
        </w:r>
        <w:r w:rsidR="00BB181C">
          <w:rPr>
            <w:noProof/>
            <w:webHidden/>
          </w:rPr>
          <w:t>308</w:t>
        </w:r>
        <w:r w:rsidR="00BA35B3">
          <w:rPr>
            <w:noProof/>
            <w:webHidden/>
          </w:rPr>
          <w:fldChar w:fldCharType="end"/>
        </w:r>
      </w:hyperlink>
    </w:p>
    <w:p w14:paraId="0FBA8411" w14:textId="672E8693" w:rsidR="00BA35B3" w:rsidRDefault="00000000">
      <w:pPr>
        <w:pStyle w:val="Tabeldefiguri"/>
        <w:tabs>
          <w:tab w:val="right" w:leader="dot" w:pos="9645"/>
        </w:tabs>
        <w:rPr>
          <w:rFonts w:eastAsiaTheme="minorEastAsia"/>
          <w:noProof/>
          <w:kern w:val="2"/>
          <w14:ligatures w14:val="standardContextual"/>
        </w:rPr>
      </w:pPr>
      <w:hyperlink w:anchor="_Toc140744555" w:history="1">
        <w:r w:rsidR="00BA35B3" w:rsidRPr="00FC7F49">
          <w:rPr>
            <w:rStyle w:val="Hyperlink"/>
            <w:rFonts w:ascii="Arial" w:hAnsi="Arial" w:cs="Arial"/>
            <w:noProof/>
          </w:rPr>
          <w:t>Figura I.7. 30 – Grad de acoperire transport public</w:t>
        </w:r>
        <w:r w:rsidR="00BA35B3">
          <w:rPr>
            <w:noProof/>
            <w:webHidden/>
          </w:rPr>
          <w:tab/>
        </w:r>
        <w:r w:rsidR="00BA35B3">
          <w:rPr>
            <w:noProof/>
            <w:webHidden/>
          </w:rPr>
          <w:fldChar w:fldCharType="begin"/>
        </w:r>
        <w:r w:rsidR="00BA35B3">
          <w:rPr>
            <w:noProof/>
            <w:webHidden/>
          </w:rPr>
          <w:instrText xml:space="preserve"> PAGEREF _Toc140744555 \h </w:instrText>
        </w:r>
        <w:r w:rsidR="00BA35B3">
          <w:rPr>
            <w:noProof/>
            <w:webHidden/>
          </w:rPr>
        </w:r>
        <w:r w:rsidR="00BA35B3">
          <w:rPr>
            <w:noProof/>
            <w:webHidden/>
          </w:rPr>
          <w:fldChar w:fldCharType="separate"/>
        </w:r>
        <w:r w:rsidR="00BB181C">
          <w:rPr>
            <w:noProof/>
            <w:webHidden/>
          </w:rPr>
          <w:t>309</w:t>
        </w:r>
        <w:r w:rsidR="00BA35B3">
          <w:rPr>
            <w:noProof/>
            <w:webHidden/>
          </w:rPr>
          <w:fldChar w:fldCharType="end"/>
        </w:r>
      </w:hyperlink>
    </w:p>
    <w:p w14:paraId="5546D279" w14:textId="016947BD" w:rsidR="006A1446" w:rsidRDefault="006A1446" w:rsidP="00F829E1">
      <w:pPr>
        <w:pStyle w:val="Tabeldefiguri"/>
        <w:tabs>
          <w:tab w:val="right" w:leader="dot" w:pos="9645"/>
        </w:tabs>
        <w:rPr>
          <w:rFonts w:ascii="Arial" w:hAnsi="Arial" w:cs="Arial"/>
          <w:b/>
          <w:bCs/>
          <w:lang w:val="ro-RO" w:eastAsia="ro-RO"/>
        </w:rPr>
      </w:pPr>
      <w:r>
        <w:rPr>
          <w:rFonts w:ascii="Arial" w:hAnsi="Arial" w:cs="Arial"/>
          <w:b/>
          <w:bCs/>
          <w:lang w:val="ro-RO" w:eastAsia="ro-RO"/>
        </w:rPr>
        <w:fldChar w:fldCharType="end"/>
      </w:r>
    </w:p>
    <w:p w14:paraId="23792054" w14:textId="7D0FB300" w:rsidR="005B68FD" w:rsidRDefault="006A1446">
      <w:pPr>
        <w:pStyle w:val="Tabeldefiguri"/>
        <w:tabs>
          <w:tab w:val="right" w:leader="dot" w:pos="9645"/>
        </w:tabs>
        <w:rPr>
          <w:rFonts w:eastAsiaTheme="minorEastAsia"/>
          <w:noProof/>
          <w:kern w:val="2"/>
          <w:lang w:val="ro-RO" w:eastAsia="ro-RO"/>
          <w14:ligatures w14:val="standardContextual"/>
        </w:rPr>
      </w:pPr>
      <w:r>
        <w:rPr>
          <w:rFonts w:ascii="Arial" w:hAnsi="Arial" w:cs="Arial"/>
          <w:b/>
          <w:bCs/>
          <w:lang w:val="ro-RO" w:eastAsia="ro-RO"/>
        </w:rPr>
        <w:fldChar w:fldCharType="begin"/>
      </w:r>
      <w:r>
        <w:rPr>
          <w:rFonts w:ascii="Arial" w:hAnsi="Arial" w:cs="Arial"/>
          <w:b/>
          <w:bCs/>
          <w:lang w:val="ro-RO" w:eastAsia="ro-RO"/>
        </w:rPr>
        <w:instrText xml:space="preserve"> TOC \h \z \c "Figura I.8." </w:instrText>
      </w:r>
      <w:r>
        <w:rPr>
          <w:rFonts w:ascii="Arial" w:hAnsi="Arial" w:cs="Arial"/>
          <w:b/>
          <w:bCs/>
          <w:lang w:val="ro-RO" w:eastAsia="ro-RO"/>
        </w:rPr>
        <w:fldChar w:fldCharType="separate"/>
      </w:r>
      <w:hyperlink w:anchor="_Toc142039139" w:history="1">
        <w:r w:rsidR="005B68FD" w:rsidRPr="00C21891">
          <w:rPr>
            <w:rStyle w:val="Hyperlink"/>
            <w:rFonts w:ascii="Arial" w:hAnsi="Arial" w:cs="Arial"/>
            <w:noProof/>
          </w:rPr>
          <w:t>Figura I.8. 1 - Zone pietonale propuse</w:t>
        </w:r>
        <w:r w:rsidR="005B68FD">
          <w:rPr>
            <w:noProof/>
            <w:webHidden/>
          </w:rPr>
          <w:tab/>
        </w:r>
        <w:r w:rsidR="005B68FD">
          <w:rPr>
            <w:noProof/>
            <w:webHidden/>
          </w:rPr>
          <w:fldChar w:fldCharType="begin"/>
        </w:r>
        <w:r w:rsidR="005B68FD">
          <w:rPr>
            <w:noProof/>
            <w:webHidden/>
          </w:rPr>
          <w:instrText xml:space="preserve"> PAGEREF _Toc142039139 \h </w:instrText>
        </w:r>
        <w:r w:rsidR="005B68FD">
          <w:rPr>
            <w:noProof/>
            <w:webHidden/>
          </w:rPr>
        </w:r>
        <w:r w:rsidR="005B68FD">
          <w:rPr>
            <w:noProof/>
            <w:webHidden/>
          </w:rPr>
          <w:fldChar w:fldCharType="separate"/>
        </w:r>
        <w:r w:rsidR="00BB181C">
          <w:rPr>
            <w:noProof/>
            <w:webHidden/>
          </w:rPr>
          <w:t>318</w:t>
        </w:r>
        <w:r w:rsidR="005B68FD">
          <w:rPr>
            <w:noProof/>
            <w:webHidden/>
          </w:rPr>
          <w:fldChar w:fldCharType="end"/>
        </w:r>
      </w:hyperlink>
    </w:p>
    <w:p w14:paraId="78DA0530" w14:textId="2FCFC417"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0" w:history="1">
        <w:r w:rsidRPr="00C21891">
          <w:rPr>
            <w:rStyle w:val="Hyperlink"/>
            <w:rFonts w:ascii="Arial" w:hAnsi="Arial" w:cs="Arial"/>
            <w:noProof/>
          </w:rPr>
          <w:t>Figura I.8. 2 - Rețea trasee pentru biciclete</w:t>
        </w:r>
        <w:r>
          <w:rPr>
            <w:noProof/>
            <w:webHidden/>
          </w:rPr>
          <w:tab/>
        </w:r>
        <w:r>
          <w:rPr>
            <w:noProof/>
            <w:webHidden/>
          </w:rPr>
          <w:fldChar w:fldCharType="begin"/>
        </w:r>
        <w:r>
          <w:rPr>
            <w:noProof/>
            <w:webHidden/>
          </w:rPr>
          <w:instrText xml:space="preserve"> PAGEREF _Toc142039140 \h </w:instrText>
        </w:r>
        <w:r>
          <w:rPr>
            <w:noProof/>
            <w:webHidden/>
          </w:rPr>
        </w:r>
        <w:r>
          <w:rPr>
            <w:noProof/>
            <w:webHidden/>
          </w:rPr>
          <w:fldChar w:fldCharType="separate"/>
        </w:r>
        <w:r w:rsidR="00BB181C">
          <w:rPr>
            <w:noProof/>
            <w:webHidden/>
          </w:rPr>
          <w:t>319</w:t>
        </w:r>
        <w:r>
          <w:rPr>
            <w:noProof/>
            <w:webHidden/>
          </w:rPr>
          <w:fldChar w:fldCharType="end"/>
        </w:r>
      </w:hyperlink>
    </w:p>
    <w:p w14:paraId="5F05F800" w14:textId="03FA7CE7"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1" w:history="1">
        <w:r w:rsidRPr="00C21891">
          <w:rPr>
            <w:rStyle w:val="Hyperlink"/>
            <w:rFonts w:ascii="Arial" w:hAnsi="Arial" w:cs="Arial"/>
            <w:noProof/>
          </w:rPr>
          <w:t>Figura I.8. 3 - Centura ocolitoare Horezu</w:t>
        </w:r>
        <w:r>
          <w:rPr>
            <w:noProof/>
            <w:webHidden/>
          </w:rPr>
          <w:tab/>
        </w:r>
        <w:r>
          <w:rPr>
            <w:noProof/>
            <w:webHidden/>
          </w:rPr>
          <w:fldChar w:fldCharType="begin"/>
        </w:r>
        <w:r>
          <w:rPr>
            <w:noProof/>
            <w:webHidden/>
          </w:rPr>
          <w:instrText xml:space="preserve"> PAGEREF _Toc142039141 \h </w:instrText>
        </w:r>
        <w:r>
          <w:rPr>
            <w:noProof/>
            <w:webHidden/>
          </w:rPr>
        </w:r>
        <w:r>
          <w:rPr>
            <w:noProof/>
            <w:webHidden/>
          </w:rPr>
          <w:fldChar w:fldCharType="separate"/>
        </w:r>
        <w:r w:rsidR="00BB181C">
          <w:rPr>
            <w:noProof/>
            <w:webHidden/>
          </w:rPr>
          <w:t>320</w:t>
        </w:r>
        <w:r>
          <w:rPr>
            <w:noProof/>
            <w:webHidden/>
          </w:rPr>
          <w:fldChar w:fldCharType="end"/>
        </w:r>
      </w:hyperlink>
    </w:p>
    <w:p w14:paraId="0307F1B1" w14:textId="119B281A"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2" w:history="1">
        <w:r w:rsidRPr="00C21891">
          <w:rPr>
            <w:rStyle w:val="Hyperlink"/>
            <w:rFonts w:ascii="Arial" w:hAnsi="Arial" w:cs="Arial"/>
            <w:noProof/>
          </w:rPr>
          <w:t>Figura I.8. 4 – Traseu turistic propus</w:t>
        </w:r>
        <w:r>
          <w:rPr>
            <w:noProof/>
            <w:webHidden/>
          </w:rPr>
          <w:tab/>
        </w:r>
        <w:r>
          <w:rPr>
            <w:noProof/>
            <w:webHidden/>
          </w:rPr>
          <w:fldChar w:fldCharType="begin"/>
        </w:r>
        <w:r>
          <w:rPr>
            <w:noProof/>
            <w:webHidden/>
          </w:rPr>
          <w:instrText xml:space="preserve"> PAGEREF _Toc142039142 \h </w:instrText>
        </w:r>
        <w:r>
          <w:rPr>
            <w:noProof/>
            <w:webHidden/>
          </w:rPr>
        </w:r>
        <w:r>
          <w:rPr>
            <w:noProof/>
            <w:webHidden/>
          </w:rPr>
          <w:fldChar w:fldCharType="separate"/>
        </w:r>
        <w:r w:rsidR="00BB181C">
          <w:rPr>
            <w:noProof/>
            <w:webHidden/>
          </w:rPr>
          <w:t>321</w:t>
        </w:r>
        <w:r>
          <w:rPr>
            <w:noProof/>
            <w:webHidden/>
          </w:rPr>
          <w:fldChar w:fldCharType="end"/>
        </w:r>
      </w:hyperlink>
    </w:p>
    <w:p w14:paraId="62CFD709" w14:textId="1D94F5BF"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3" w:history="1">
        <w:r w:rsidRPr="00C21891">
          <w:rPr>
            <w:rStyle w:val="Hyperlink"/>
            <w:rFonts w:ascii="Arial" w:hAnsi="Arial" w:cs="Arial"/>
            <w:noProof/>
          </w:rPr>
          <w:t>Figura I.8. 5 – Sensuri unice Horezu</w:t>
        </w:r>
        <w:r>
          <w:rPr>
            <w:noProof/>
            <w:webHidden/>
          </w:rPr>
          <w:tab/>
        </w:r>
        <w:r>
          <w:rPr>
            <w:noProof/>
            <w:webHidden/>
          </w:rPr>
          <w:fldChar w:fldCharType="begin"/>
        </w:r>
        <w:r>
          <w:rPr>
            <w:noProof/>
            <w:webHidden/>
          </w:rPr>
          <w:instrText xml:space="preserve"> PAGEREF _Toc142039143 \h </w:instrText>
        </w:r>
        <w:r>
          <w:rPr>
            <w:noProof/>
            <w:webHidden/>
          </w:rPr>
        </w:r>
        <w:r>
          <w:rPr>
            <w:noProof/>
            <w:webHidden/>
          </w:rPr>
          <w:fldChar w:fldCharType="separate"/>
        </w:r>
        <w:r w:rsidR="00BB181C">
          <w:rPr>
            <w:noProof/>
            <w:webHidden/>
          </w:rPr>
          <w:t>322</w:t>
        </w:r>
        <w:r>
          <w:rPr>
            <w:noProof/>
            <w:webHidden/>
          </w:rPr>
          <w:fldChar w:fldCharType="end"/>
        </w:r>
      </w:hyperlink>
    </w:p>
    <w:p w14:paraId="5A7955E7" w14:textId="1AA4E647"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4" w:history="1">
        <w:r w:rsidRPr="00C21891">
          <w:rPr>
            <w:rStyle w:val="Hyperlink"/>
            <w:rFonts w:ascii="Arial" w:hAnsi="Arial" w:cs="Arial"/>
            <w:noProof/>
          </w:rPr>
          <w:t>Figura I.8. 6 - Rețea de transport public propusă</w:t>
        </w:r>
        <w:r>
          <w:rPr>
            <w:noProof/>
            <w:webHidden/>
          </w:rPr>
          <w:tab/>
        </w:r>
        <w:r>
          <w:rPr>
            <w:noProof/>
            <w:webHidden/>
          </w:rPr>
          <w:fldChar w:fldCharType="begin"/>
        </w:r>
        <w:r>
          <w:rPr>
            <w:noProof/>
            <w:webHidden/>
          </w:rPr>
          <w:instrText xml:space="preserve"> PAGEREF _Toc142039144 \h </w:instrText>
        </w:r>
        <w:r>
          <w:rPr>
            <w:noProof/>
            <w:webHidden/>
          </w:rPr>
        </w:r>
        <w:r>
          <w:rPr>
            <w:noProof/>
            <w:webHidden/>
          </w:rPr>
          <w:fldChar w:fldCharType="separate"/>
        </w:r>
        <w:r w:rsidR="00BB181C">
          <w:rPr>
            <w:noProof/>
            <w:webHidden/>
          </w:rPr>
          <w:t>323</w:t>
        </w:r>
        <w:r>
          <w:rPr>
            <w:noProof/>
            <w:webHidden/>
          </w:rPr>
          <w:fldChar w:fldCharType="end"/>
        </w:r>
      </w:hyperlink>
    </w:p>
    <w:p w14:paraId="7BE16365" w14:textId="2D85D0F2"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5" w:history="1">
        <w:r w:rsidRPr="00C21891">
          <w:rPr>
            <w:rStyle w:val="Hyperlink"/>
            <w:rFonts w:ascii="Arial" w:hAnsi="Arial" w:cs="Arial"/>
            <w:noProof/>
          </w:rPr>
          <w:t>Figura I.8. 7 - Rețea de transport public propusă – detaliu oraș</w:t>
        </w:r>
        <w:r>
          <w:rPr>
            <w:noProof/>
            <w:webHidden/>
          </w:rPr>
          <w:tab/>
        </w:r>
        <w:r>
          <w:rPr>
            <w:noProof/>
            <w:webHidden/>
          </w:rPr>
          <w:fldChar w:fldCharType="begin"/>
        </w:r>
        <w:r>
          <w:rPr>
            <w:noProof/>
            <w:webHidden/>
          </w:rPr>
          <w:instrText xml:space="preserve"> PAGEREF _Toc142039145 \h </w:instrText>
        </w:r>
        <w:r>
          <w:rPr>
            <w:noProof/>
            <w:webHidden/>
          </w:rPr>
        </w:r>
        <w:r>
          <w:rPr>
            <w:noProof/>
            <w:webHidden/>
          </w:rPr>
          <w:fldChar w:fldCharType="separate"/>
        </w:r>
        <w:r w:rsidR="00BB181C">
          <w:rPr>
            <w:noProof/>
            <w:webHidden/>
          </w:rPr>
          <w:t>323</w:t>
        </w:r>
        <w:r>
          <w:rPr>
            <w:noProof/>
            <w:webHidden/>
          </w:rPr>
          <w:fldChar w:fldCharType="end"/>
        </w:r>
      </w:hyperlink>
    </w:p>
    <w:p w14:paraId="10AF09CA" w14:textId="7D1DEBBC"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6" w:history="1">
        <w:r w:rsidRPr="00C21891">
          <w:rPr>
            <w:rStyle w:val="Hyperlink"/>
            <w:rFonts w:ascii="Arial" w:hAnsi="Arial" w:cs="Arial"/>
            <w:noProof/>
          </w:rPr>
          <w:t>Figura I.8. 8 - Rețea traseu pentru biciclete cross-country Horezu</w:t>
        </w:r>
        <w:r>
          <w:rPr>
            <w:noProof/>
            <w:webHidden/>
          </w:rPr>
          <w:tab/>
        </w:r>
        <w:r>
          <w:rPr>
            <w:noProof/>
            <w:webHidden/>
          </w:rPr>
          <w:fldChar w:fldCharType="begin"/>
        </w:r>
        <w:r>
          <w:rPr>
            <w:noProof/>
            <w:webHidden/>
          </w:rPr>
          <w:instrText xml:space="preserve"> PAGEREF _Toc142039146 \h </w:instrText>
        </w:r>
        <w:r>
          <w:rPr>
            <w:noProof/>
            <w:webHidden/>
          </w:rPr>
        </w:r>
        <w:r>
          <w:rPr>
            <w:noProof/>
            <w:webHidden/>
          </w:rPr>
          <w:fldChar w:fldCharType="separate"/>
        </w:r>
        <w:r w:rsidR="00BB181C">
          <w:rPr>
            <w:noProof/>
            <w:webHidden/>
          </w:rPr>
          <w:t>326</w:t>
        </w:r>
        <w:r>
          <w:rPr>
            <w:noProof/>
            <w:webHidden/>
          </w:rPr>
          <w:fldChar w:fldCharType="end"/>
        </w:r>
      </w:hyperlink>
    </w:p>
    <w:p w14:paraId="261733AC" w14:textId="3A18BE86"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7" w:history="1">
        <w:r w:rsidRPr="00C21891">
          <w:rPr>
            <w:rStyle w:val="Hyperlink"/>
            <w:rFonts w:ascii="Arial" w:hAnsi="Arial" w:cs="Arial"/>
            <w:noProof/>
          </w:rPr>
          <w:t>Figura I.8. 9 – Traseu down-hill Stațiunea turistică Vârful lui Roman</w:t>
        </w:r>
        <w:r>
          <w:rPr>
            <w:noProof/>
            <w:webHidden/>
          </w:rPr>
          <w:tab/>
        </w:r>
        <w:r>
          <w:rPr>
            <w:noProof/>
            <w:webHidden/>
          </w:rPr>
          <w:fldChar w:fldCharType="begin"/>
        </w:r>
        <w:r>
          <w:rPr>
            <w:noProof/>
            <w:webHidden/>
          </w:rPr>
          <w:instrText xml:space="preserve"> PAGEREF _Toc142039147 \h </w:instrText>
        </w:r>
        <w:r>
          <w:rPr>
            <w:noProof/>
            <w:webHidden/>
          </w:rPr>
        </w:r>
        <w:r>
          <w:rPr>
            <w:noProof/>
            <w:webHidden/>
          </w:rPr>
          <w:fldChar w:fldCharType="separate"/>
        </w:r>
        <w:r w:rsidR="00BB181C">
          <w:rPr>
            <w:noProof/>
            <w:webHidden/>
          </w:rPr>
          <w:t>327</w:t>
        </w:r>
        <w:r>
          <w:rPr>
            <w:noProof/>
            <w:webHidden/>
          </w:rPr>
          <w:fldChar w:fldCharType="end"/>
        </w:r>
      </w:hyperlink>
    </w:p>
    <w:p w14:paraId="6326042E" w14:textId="7EAB1223"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8" w:history="1">
        <w:r w:rsidRPr="00C21891">
          <w:rPr>
            <w:rStyle w:val="Hyperlink"/>
            <w:rFonts w:ascii="Arial" w:hAnsi="Arial" w:cs="Arial"/>
            <w:noProof/>
          </w:rPr>
          <w:t xml:space="preserve">Figura I.8. 10 </w:t>
        </w:r>
        <w:r w:rsidRPr="00C21891">
          <w:rPr>
            <w:rStyle w:val="Hyperlink"/>
            <w:rFonts w:ascii="Arial" w:hAnsi="Arial" w:cs="Arial"/>
            <w:noProof/>
            <w:lang w:val="ro-RO"/>
          </w:rPr>
          <w:t>– Planșă diferență Scenariul 4 vs Scenariul 1 PM 2035  - Zona centrală</w:t>
        </w:r>
        <w:r>
          <w:rPr>
            <w:noProof/>
            <w:webHidden/>
          </w:rPr>
          <w:tab/>
        </w:r>
        <w:r>
          <w:rPr>
            <w:noProof/>
            <w:webHidden/>
          </w:rPr>
          <w:fldChar w:fldCharType="begin"/>
        </w:r>
        <w:r>
          <w:rPr>
            <w:noProof/>
            <w:webHidden/>
          </w:rPr>
          <w:instrText xml:space="preserve"> PAGEREF _Toc142039148 \h </w:instrText>
        </w:r>
        <w:r>
          <w:rPr>
            <w:noProof/>
            <w:webHidden/>
          </w:rPr>
        </w:r>
        <w:r>
          <w:rPr>
            <w:noProof/>
            <w:webHidden/>
          </w:rPr>
          <w:fldChar w:fldCharType="separate"/>
        </w:r>
        <w:r w:rsidR="00BB181C">
          <w:rPr>
            <w:noProof/>
            <w:webHidden/>
          </w:rPr>
          <w:t>334</w:t>
        </w:r>
        <w:r>
          <w:rPr>
            <w:noProof/>
            <w:webHidden/>
          </w:rPr>
          <w:fldChar w:fldCharType="end"/>
        </w:r>
      </w:hyperlink>
    </w:p>
    <w:p w14:paraId="447B497A" w14:textId="55912641" w:rsidR="005B68FD" w:rsidRDefault="005B68FD">
      <w:pPr>
        <w:pStyle w:val="Tabeldefiguri"/>
        <w:tabs>
          <w:tab w:val="right" w:leader="dot" w:pos="9645"/>
        </w:tabs>
        <w:rPr>
          <w:rFonts w:eastAsiaTheme="minorEastAsia"/>
          <w:noProof/>
          <w:kern w:val="2"/>
          <w:lang w:val="ro-RO" w:eastAsia="ro-RO"/>
          <w14:ligatures w14:val="standardContextual"/>
        </w:rPr>
      </w:pPr>
      <w:hyperlink w:anchor="_Toc142039149" w:history="1">
        <w:r w:rsidRPr="00C21891">
          <w:rPr>
            <w:rStyle w:val="Hyperlink"/>
            <w:rFonts w:ascii="Arial" w:hAnsi="Arial" w:cs="Arial"/>
            <w:noProof/>
          </w:rPr>
          <w:t xml:space="preserve">Figura I.8. 11 </w:t>
        </w:r>
        <w:r w:rsidRPr="00C21891">
          <w:rPr>
            <w:rStyle w:val="Hyperlink"/>
            <w:rFonts w:ascii="Arial" w:hAnsi="Arial" w:cs="Arial"/>
            <w:noProof/>
            <w:lang w:val="ro-RO"/>
          </w:rPr>
          <w:t>– Planșă diferență Scenariul 4 vs Scenariul 1 PM 2035 – vedere de ansamblu</w:t>
        </w:r>
        <w:r>
          <w:rPr>
            <w:noProof/>
            <w:webHidden/>
          </w:rPr>
          <w:tab/>
        </w:r>
        <w:r>
          <w:rPr>
            <w:noProof/>
            <w:webHidden/>
          </w:rPr>
          <w:fldChar w:fldCharType="begin"/>
        </w:r>
        <w:r>
          <w:rPr>
            <w:noProof/>
            <w:webHidden/>
          </w:rPr>
          <w:instrText xml:space="preserve"> PAGEREF _Toc142039149 \h </w:instrText>
        </w:r>
        <w:r>
          <w:rPr>
            <w:noProof/>
            <w:webHidden/>
          </w:rPr>
        </w:r>
        <w:r>
          <w:rPr>
            <w:noProof/>
            <w:webHidden/>
          </w:rPr>
          <w:fldChar w:fldCharType="separate"/>
        </w:r>
        <w:r w:rsidR="00BB181C">
          <w:rPr>
            <w:noProof/>
            <w:webHidden/>
          </w:rPr>
          <w:t>335</w:t>
        </w:r>
        <w:r>
          <w:rPr>
            <w:noProof/>
            <w:webHidden/>
          </w:rPr>
          <w:fldChar w:fldCharType="end"/>
        </w:r>
      </w:hyperlink>
    </w:p>
    <w:p w14:paraId="1773933A" w14:textId="48BEB552" w:rsidR="006A1446" w:rsidRDefault="006A1446" w:rsidP="00257FC5">
      <w:pPr>
        <w:rPr>
          <w:rFonts w:ascii="Arial" w:hAnsi="Arial" w:cs="Arial"/>
          <w:b/>
          <w:bCs/>
          <w:lang w:val="ro-RO" w:eastAsia="ro-RO"/>
        </w:rPr>
      </w:pPr>
      <w:r>
        <w:rPr>
          <w:rFonts w:ascii="Arial" w:hAnsi="Arial" w:cs="Arial"/>
          <w:b/>
          <w:bCs/>
          <w:lang w:val="ro-RO" w:eastAsia="ro-RO"/>
        </w:rPr>
        <w:fldChar w:fldCharType="end"/>
      </w:r>
    </w:p>
    <w:p w14:paraId="47E3E7CB" w14:textId="77777777" w:rsidR="006A1446" w:rsidRDefault="006A1446" w:rsidP="00257FC5">
      <w:pPr>
        <w:rPr>
          <w:rFonts w:ascii="Arial" w:hAnsi="Arial" w:cs="Arial"/>
          <w:b/>
          <w:bCs/>
          <w:lang w:val="ro-RO" w:eastAsia="ro-RO"/>
        </w:rPr>
      </w:pPr>
    </w:p>
    <w:p w14:paraId="0D403AC7" w14:textId="77777777" w:rsidR="00FC2D87" w:rsidRDefault="00A31042" w:rsidP="00257FC5">
      <w:pPr>
        <w:rPr>
          <w:rFonts w:ascii="Arial" w:hAnsi="Arial" w:cs="Arial"/>
          <w:b/>
          <w:bCs/>
          <w:lang w:val="ro-RO" w:eastAsia="ro-RO"/>
        </w:rPr>
      </w:pPr>
      <w:r w:rsidRPr="00A31042">
        <w:rPr>
          <w:rFonts w:ascii="Arial" w:hAnsi="Arial" w:cs="Arial"/>
          <w:b/>
          <w:bCs/>
          <w:lang w:val="ro-RO" w:eastAsia="ro-RO"/>
        </w:rPr>
        <w:t>Lista tabelelor</w:t>
      </w:r>
    </w:p>
    <w:p w14:paraId="6F3760E7" w14:textId="7F997B1C" w:rsidR="00BA35B3" w:rsidRDefault="00F92A5C">
      <w:pPr>
        <w:pStyle w:val="Tabeldefiguri"/>
        <w:tabs>
          <w:tab w:val="right" w:leader="dot" w:pos="9645"/>
        </w:tabs>
        <w:rPr>
          <w:rFonts w:eastAsiaTheme="minorEastAsia"/>
          <w:noProof/>
          <w:kern w:val="2"/>
          <w14:ligatures w14:val="standardContextual"/>
        </w:rPr>
      </w:pPr>
      <w:r>
        <w:rPr>
          <w:rFonts w:ascii="Arial" w:hAnsi="Arial" w:cs="Arial"/>
          <w:b/>
          <w:bCs/>
          <w:lang w:val="ro-RO" w:eastAsia="ro-RO"/>
        </w:rPr>
        <w:fldChar w:fldCharType="begin"/>
      </w:r>
      <w:r>
        <w:rPr>
          <w:rFonts w:ascii="Arial" w:hAnsi="Arial" w:cs="Arial"/>
          <w:b/>
          <w:bCs/>
          <w:lang w:val="ro-RO" w:eastAsia="ro-RO"/>
        </w:rPr>
        <w:instrText xml:space="preserve"> TOC \h \z \c "Tabel I.2." </w:instrText>
      </w:r>
      <w:r>
        <w:rPr>
          <w:rFonts w:ascii="Arial" w:hAnsi="Arial" w:cs="Arial"/>
          <w:b/>
          <w:bCs/>
          <w:lang w:val="ro-RO" w:eastAsia="ro-RO"/>
        </w:rPr>
        <w:fldChar w:fldCharType="separate"/>
      </w:r>
      <w:hyperlink w:anchor="_Toc140744567" w:history="1">
        <w:r w:rsidR="00BA35B3" w:rsidRPr="00D80310">
          <w:rPr>
            <w:rStyle w:val="Hyperlink"/>
            <w:rFonts w:ascii="Arial" w:hAnsi="Arial" w:cs="Arial"/>
            <w:noProof/>
          </w:rPr>
          <w:t>Tabel I.2. 1 – Evoluţia populaţiei oraşului Horezu 2012 – 2021</w:t>
        </w:r>
        <w:r w:rsidR="00BA35B3">
          <w:rPr>
            <w:noProof/>
            <w:webHidden/>
          </w:rPr>
          <w:tab/>
        </w:r>
        <w:r w:rsidR="00BA35B3">
          <w:rPr>
            <w:noProof/>
            <w:webHidden/>
          </w:rPr>
          <w:fldChar w:fldCharType="begin"/>
        </w:r>
        <w:r w:rsidR="00BA35B3">
          <w:rPr>
            <w:noProof/>
            <w:webHidden/>
          </w:rPr>
          <w:instrText xml:space="preserve"> PAGEREF _Toc140744567 \h </w:instrText>
        </w:r>
        <w:r w:rsidR="00BA35B3">
          <w:rPr>
            <w:noProof/>
            <w:webHidden/>
          </w:rPr>
        </w:r>
        <w:r w:rsidR="00BA35B3">
          <w:rPr>
            <w:noProof/>
            <w:webHidden/>
          </w:rPr>
          <w:fldChar w:fldCharType="separate"/>
        </w:r>
        <w:r w:rsidR="00BB181C">
          <w:rPr>
            <w:noProof/>
            <w:webHidden/>
          </w:rPr>
          <w:t>75</w:t>
        </w:r>
        <w:r w:rsidR="00BA35B3">
          <w:rPr>
            <w:noProof/>
            <w:webHidden/>
          </w:rPr>
          <w:fldChar w:fldCharType="end"/>
        </w:r>
      </w:hyperlink>
    </w:p>
    <w:p w14:paraId="3A8D641F" w14:textId="41B25613" w:rsidR="00BA35B3" w:rsidRDefault="00000000">
      <w:pPr>
        <w:pStyle w:val="Tabeldefiguri"/>
        <w:tabs>
          <w:tab w:val="right" w:leader="dot" w:pos="9645"/>
        </w:tabs>
        <w:rPr>
          <w:rFonts w:eastAsiaTheme="minorEastAsia"/>
          <w:noProof/>
          <w:kern w:val="2"/>
          <w14:ligatures w14:val="standardContextual"/>
        </w:rPr>
      </w:pPr>
      <w:hyperlink w:anchor="_Toc140744568" w:history="1">
        <w:r w:rsidR="00BA35B3" w:rsidRPr="00D80310">
          <w:rPr>
            <w:rStyle w:val="Hyperlink"/>
            <w:rFonts w:ascii="Arial" w:hAnsi="Arial" w:cs="Arial"/>
            <w:noProof/>
          </w:rPr>
          <w:t>Tabel I.2. 2 - Populaţia după domiciliu la 1 ianuarie pe grupe de vârstă 2012-2021</w:t>
        </w:r>
        <w:r w:rsidR="00BA35B3">
          <w:rPr>
            <w:noProof/>
            <w:webHidden/>
          </w:rPr>
          <w:tab/>
        </w:r>
        <w:r w:rsidR="00BA35B3">
          <w:rPr>
            <w:noProof/>
            <w:webHidden/>
          </w:rPr>
          <w:fldChar w:fldCharType="begin"/>
        </w:r>
        <w:r w:rsidR="00BA35B3">
          <w:rPr>
            <w:noProof/>
            <w:webHidden/>
          </w:rPr>
          <w:instrText xml:space="preserve"> PAGEREF _Toc140744568 \h </w:instrText>
        </w:r>
        <w:r w:rsidR="00BA35B3">
          <w:rPr>
            <w:noProof/>
            <w:webHidden/>
          </w:rPr>
        </w:r>
        <w:r w:rsidR="00BA35B3">
          <w:rPr>
            <w:noProof/>
            <w:webHidden/>
          </w:rPr>
          <w:fldChar w:fldCharType="separate"/>
        </w:r>
        <w:r w:rsidR="00BB181C">
          <w:rPr>
            <w:noProof/>
            <w:webHidden/>
          </w:rPr>
          <w:t>77</w:t>
        </w:r>
        <w:r w:rsidR="00BA35B3">
          <w:rPr>
            <w:noProof/>
            <w:webHidden/>
          </w:rPr>
          <w:fldChar w:fldCharType="end"/>
        </w:r>
      </w:hyperlink>
    </w:p>
    <w:p w14:paraId="5D46C9CF" w14:textId="2B59AB61" w:rsidR="00BA35B3" w:rsidRDefault="00000000">
      <w:pPr>
        <w:pStyle w:val="Tabeldefiguri"/>
        <w:tabs>
          <w:tab w:val="right" w:leader="dot" w:pos="9645"/>
        </w:tabs>
        <w:rPr>
          <w:rFonts w:eastAsiaTheme="minorEastAsia"/>
          <w:noProof/>
          <w:kern w:val="2"/>
          <w14:ligatures w14:val="standardContextual"/>
        </w:rPr>
      </w:pPr>
      <w:hyperlink w:anchor="_Toc140744569" w:history="1">
        <w:r w:rsidR="00BA35B3" w:rsidRPr="00D80310">
          <w:rPr>
            <w:rStyle w:val="Hyperlink"/>
            <w:rFonts w:ascii="Arial" w:hAnsi="Arial" w:cs="Arial"/>
            <w:noProof/>
          </w:rPr>
          <w:t>Tabel I.2. 3 - Mișcarea naturală a populației</w:t>
        </w:r>
        <w:r w:rsidR="00BA35B3">
          <w:rPr>
            <w:noProof/>
            <w:webHidden/>
          </w:rPr>
          <w:tab/>
        </w:r>
        <w:r w:rsidR="00BA35B3">
          <w:rPr>
            <w:noProof/>
            <w:webHidden/>
          </w:rPr>
          <w:fldChar w:fldCharType="begin"/>
        </w:r>
        <w:r w:rsidR="00BA35B3">
          <w:rPr>
            <w:noProof/>
            <w:webHidden/>
          </w:rPr>
          <w:instrText xml:space="preserve"> PAGEREF _Toc140744569 \h </w:instrText>
        </w:r>
        <w:r w:rsidR="00BA35B3">
          <w:rPr>
            <w:noProof/>
            <w:webHidden/>
          </w:rPr>
        </w:r>
        <w:r w:rsidR="00BA35B3">
          <w:rPr>
            <w:noProof/>
            <w:webHidden/>
          </w:rPr>
          <w:fldChar w:fldCharType="separate"/>
        </w:r>
        <w:r w:rsidR="00BB181C">
          <w:rPr>
            <w:noProof/>
            <w:webHidden/>
          </w:rPr>
          <w:t>81</w:t>
        </w:r>
        <w:r w:rsidR="00BA35B3">
          <w:rPr>
            <w:noProof/>
            <w:webHidden/>
          </w:rPr>
          <w:fldChar w:fldCharType="end"/>
        </w:r>
      </w:hyperlink>
    </w:p>
    <w:p w14:paraId="7FB8EE26" w14:textId="557AD506" w:rsidR="00BA35B3" w:rsidRDefault="00000000">
      <w:pPr>
        <w:pStyle w:val="Tabeldefiguri"/>
        <w:tabs>
          <w:tab w:val="right" w:leader="dot" w:pos="9645"/>
        </w:tabs>
        <w:rPr>
          <w:rFonts w:eastAsiaTheme="minorEastAsia"/>
          <w:noProof/>
          <w:kern w:val="2"/>
          <w14:ligatures w14:val="standardContextual"/>
        </w:rPr>
      </w:pPr>
      <w:hyperlink w:anchor="_Toc140744570" w:history="1">
        <w:r w:rsidR="00BA35B3" w:rsidRPr="00D80310">
          <w:rPr>
            <w:rStyle w:val="Hyperlink"/>
            <w:rFonts w:ascii="Arial" w:hAnsi="Arial" w:cs="Arial"/>
            <w:noProof/>
          </w:rPr>
          <w:t>Tabel I.2. 4 – Mișcarea migratorie a populației</w:t>
        </w:r>
        <w:r w:rsidR="00BA35B3">
          <w:rPr>
            <w:noProof/>
            <w:webHidden/>
          </w:rPr>
          <w:tab/>
        </w:r>
        <w:r w:rsidR="00BA35B3">
          <w:rPr>
            <w:noProof/>
            <w:webHidden/>
          </w:rPr>
          <w:fldChar w:fldCharType="begin"/>
        </w:r>
        <w:r w:rsidR="00BA35B3">
          <w:rPr>
            <w:noProof/>
            <w:webHidden/>
          </w:rPr>
          <w:instrText xml:space="preserve"> PAGEREF _Toc140744570 \h </w:instrText>
        </w:r>
        <w:r w:rsidR="00BA35B3">
          <w:rPr>
            <w:noProof/>
            <w:webHidden/>
          </w:rPr>
        </w:r>
        <w:r w:rsidR="00BA35B3">
          <w:rPr>
            <w:noProof/>
            <w:webHidden/>
          </w:rPr>
          <w:fldChar w:fldCharType="separate"/>
        </w:r>
        <w:r w:rsidR="00BB181C">
          <w:rPr>
            <w:noProof/>
            <w:webHidden/>
          </w:rPr>
          <w:t>81</w:t>
        </w:r>
        <w:r w:rsidR="00BA35B3">
          <w:rPr>
            <w:noProof/>
            <w:webHidden/>
          </w:rPr>
          <w:fldChar w:fldCharType="end"/>
        </w:r>
      </w:hyperlink>
    </w:p>
    <w:p w14:paraId="749533D8" w14:textId="335AF62D" w:rsidR="00BA35B3" w:rsidRDefault="00000000">
      <w:pPr>
        <w:pStyle w:val="Tabeldefiguri"/>
        <w:tabs>
          <w:tab w:val="right" w:leader="dot" w:pos="9645"/>
        </w:tabs>
        <w:rPr>
          <w:rFonts w:eastAsiaTheme="minorEastAsia"/>
          <w:noProof/>
          <w:kern w:val="2"/>
          <w14:ligatures w14:val="standardContextual"/>
        </w:rPr>
      </w:pPr>
      <w:hyperlink w:anchor="_Toc140744571" w:history="1">
        <w:r w:rsidR="00BA35B3" w:rsidRPr="00D80310">
          <w:rPr>
            <w:rStyle w:val="Hyperlink"/>
            <w:rFonts w:ascii="Arial" w:hAnsi="Arial" w:cs="Arial"/>
            <w:noProof/>
          </w:rPr>
          <w:t>Tabel I.2. 5 - Numărul mediu al salariaților – oraşul Horezu</w:t>
        </w:r>
        <w:r w:rsidR="00BA35B3">
          <w:rPr>
            <w:noProof/>
            <w:webHidden/>
          </w:rPr>
          <w:tab/>
        </w:r>
        <w:r w:rsidR="00BA35B3">
          <w:rPr>
            <w:noProof/>
            <w:webHidden/>
          </w:rPr>
          <w:fldChar w:fldCharType="begin"/>
        </w:r>
        <w:r w:rsidR="00BA35B3">
          <w:rPr>
            <w:noProof/>
            <w:webHidden/>
          </w:rPr>
          <w:instrText xml:space="preserve"> PAGEREF _Toc140744571 \h </w:instrText>
        </w:r>
        <w:r w:rsidR="00BA35B3">
          <w:rPr>
            <w:noProof/>
            <w:webHidden/>
          </w:rPr>
        </w:r>
        <w:r w:rsidR="00BA35B3">
          <w:rPr>
            <w:noProof/>
            <w:webHidden/>
          </w:rPr>
          <w:fldChar w:fldCharType="separate"/>
        </w:r>
        <w:r w:rsidR="00BB181C">
          <w:rPr>
            <w:noProof/>
            <w:webHidden/>
          </w:rPr>
          <w:t>84</w:t>
        </w:r>
        <w:r w:rsidR="00BA35B3">
          <w:rPr>
            <w:noProof/>
            <w:webHidden/>
          </w:rPr>
          <w:fldChar w:fldCharType="end"/>
        </w:r>
      </w:hyperlink>
    </w:p>
    <w:p w14:paraId="1AF2D20B" w14:textId="5C9AAED1" w:rsidR="00BA35B3" w:rsidRDefault="00000000">
      <w:pPr>
        <w:pStyle w:val="Tabeldefiguri"/>
        <w:tabs>
          <w:tab w:val="right" w:leader="dot" w:pos="9645"/>
        </w:tabs>
        <w:rPr>
          <w:rFonts w:eastAsiaTheme="minorEastAsia"/>
          <w:noProof/>
          <w:kern w:val="2"/>
          <w14:ligatures w14:val="standardContextual"/>
        </w:rPr>
      </w:pPr>
      <w:hyperlink w:anchor="_Toc140744572" w:history="1">
        <w:r w:rsidR="00BA35B3" w:rsidRPr="00D80310">
          <w:rPr>
            <w:rStyle w:val="Hyperlink"/>
            <w:rFonts w:ascii="Arial" w:hAnsi="Arial" w:cs="Arial"/>
            <w:noProof/>
          </w:rPr>
          <w:t>Tabel I.2. 6 – Şomeri înregistraţi 2011-2020 în oraşul Horezu</w:t>
        </w:r>
        <w:r w:rsidR="00BA35B3">
          <w:rPr>
            <w:noProof/>
            <w:webHidden/>
          </w:rPr>
          <w:tab/>
        </w:r>
        <w:r w:rsidR="00BA35B3">
          <w:rPr>
            <w:noProof/>
            <w:webHidden/>
          </w:rPr>
          <w:fldChar w:fldCharType="begin"/>
        </w:r>
        <w:r w:rsidR="00BA35B3">
          <w:rPr>
            <w:noProof/>
            <w:webHidden/>
          </w:rPr>
          <w:instrText xml:space="preserve"> PAGEREF _Toc140744572 \h </w:instrText>
        </w:r>
        <w:r w:rsidR="00BA35B3">
          <w:rPr>
            <w:noProof/>
            <w:webHidden/>
          </w:rPr>
        </w:r>
        <w:r w:rsidR="00BA35B3">
          <w:rPr>
            <w:noProof/>
            <w:webHidden/>
          </w:rPr>
          <w:fldChar w:fldCharType="separate"/>
        </w:r>
        <w:r w:rsidR="00BB181C">
          <w:rPr>
            <w:noProof/>
            <w:webHidden/>
          </w:rPr>
          <w:t>84</w:t>
        </w:r>
        <w:r w:rsidR="00BA35B3">
          <w:rPr>
            <w:noProof/>
            <w:webHidden/>
          </w:rPr>
          <w:fldChar w:fldCharType="end"/>
        </w:r>
      </w:hyperlink>
    </w:p>
    <w:p w14:paraId="7070AB1D" w14:textId="44A8550B" w:rsidR="00BA35B3" w:rsidRDefault="00000000">
      <w:pPr>
        <w:pStyle w:val="Tabeldefiguri"/>
        <w:tabs>
          <w:tab w:val="right" w:leader="dot" w:pos="9645"/>
        </w:tabs>
        <w:rPr>
          <w:rFonts w:eastAsiaTheme="minorEastAsia"/>
          <w:noProof/>
          <w:kern w:val="2"/>
          <w14:ligatures w14:val="standardContextual"/>
        </w:rPr>
      </w:pPr>
      <w:hyperlink w:anchor="_Toc140744573" w:history="1">
        <w:r w:rsidR="00BA35B3" w:rsidRPr="00D80310">
          <w:rPr>
            <w:rStyle w:val="Hyperlink"/>
            <w:rFonts w:ascii="Arial" w:hAnsi="Arial" w:cs="Arial"/>
            <w:noProof/>
          </w:rPr>
          <w:t>Tabel I.2. 7 - Şomeri înregistraţi la sfârşitul lunii – anul 2021</w:t>
        </w:r>
        <w:r w:rsidR="00BA35B3">
          <w:rPr>
            <w:noProof/>
            <w:webHidden/>
          </w:rPr>
          <w:tab/>
        </w:r>
        <w:r w:rsidR="00BA35B3">
          <w:rPr>
            <w:noProof/>
            <w:webHidden/>
          </w:rPr>
          <w:fldChar w:fldCharType="begin"/>
        </w:r>
        <w:r w:rsidR="00BA35B3">
          <w:rPr>
            <w:noProof/>
            <w:webHidden/>
          </w:rPr>
          <w:instrText xml:space="preserve"> PAGEREF _Toc140744573 \h </w:instrText>
        </w:r>
        <w:r w:rsidR="00BA35B3">
          <w:rPr>
            <w:noProof/>
            <w:webHidden/>
          </w:rPr>
        </w:r>
        <w:r w:rsidR="00BA35B3">
          <w:rPr>
            <w:noProof/>
            <w:webHidden/>
          </w:rPr>
          <w:fldChar w:fldCharType="separate"/>
        </w:r>
        <w:r w:rsidR="00BB181C">
          <w:rPr>
            <w:noProof/>
            <w:webHidden/>
          </w:rPr>
          <w:t>84</w:t>
        </w:r>
        <w:r w:rsidR="00BA35B3">
          <w:rPr>
            <w:noProof/>
            <w:webHidden/>
          </w:rPr>
          <w:fldChar w:fldCharType="end"/>
        </w:r>
      </w:hyperlink>
    </w:p>
    <w:p w14:paraId="2D615D70" w14:textId="324D6B5C" w:rsidR="00BA35B3" w:rsidRDefault="00000000">
      <w:pPr>
        <w:pStyle w:val="Tabeldefiguri"/>
        <w:tabs>
          <w:tab w:val="right" w:leader="dot" w:pos="9645"/>
        </w:tabs>
        <w:rPr>
          <w:rFonts w:eastAsiaTheme="minorEastAsia"/>
          <w:noProof/>
          <w:kern w:val="2"/>
          <w14:ligatures w14:val="standardContextual"/>
        </w:rPr>
      </w:pPr>
      <w:hyperlink w:anchor="_Toc140744574" w:history="1">
        <w:r w:rsidR="00BA35B3" w:rsidRPr="00D80310">
          <w:rPr>
            <w:rStyle w:val="Hyperlink"/>
            <w:rFonts w:ascii="Arial" w:hAnsi="Arial" w:cs="Arial"/>
            <w:noProof/>
          </w:rPr>
          <w:t>Tabel I.2. 8 – Ponderea şomerilor înregistraţi la sfârşitul lunii în totalul resurselor de muncă - 2021</w:t>
        </w:r>
        <w:r w:rsidR="00BA35B3">
          <w:rPr>
            <w:noProof/>
            <w:webHidden/>
          </w:rPr>
          <w:tab/>
        </w:r>
        <w:r w:rsidR="00BA35B3">
          <w:rPr>
            <w:noProof/>
            <w:webHidden/>
          </w:rPr>
          <w:fldChar w:fldCharType="begin"/>
        </w:r>
        <w:r w:rsidR="00BA35B3">
          <w:rPr>
            <w:noProof/>
            <w:webHidden/>
          </w:rPr>
          <w:instrText xml:space="preserve"> PAGEREF _Toc140744574 \h </w:instrText>
        </w:r>
        <w:r w:rsidR="00BA35B3">
          <w:rPr>
            <w:noProof/>
            <w:webHidden/>
          </w:rPr>
        </w:r>
        <w:r w:rsidR="00BA35B3">
          <w:rPr>
            <w:noProof/>
            <w:webHidden/>
          </w:rPr>
          <w:fldChar w:fldCharType="separate"/>
        </w:r>
        <w:r w:rsidR="00BB181C">
          <w:rPr>
            <w:noProof/>
            <w:webHidden/>
          </w:rPr>
          <w:t>85</w:t>
        </w:r>
        <w:r w:rsidR="00BA35B3">
          <w:rPr>
            <w:noProof/>
            <w:webHidden/>
          </w:rPr>
          <w:fldChar w:fldCharType="end"/>
        </w:r>
      </w:hyperlink>
    </w:p>
    <w:p w14:paraId="0B4A6CBB" w14:textId="63C9957E" w:rsidR="00BA35B3" w:rsidRDefault="00000000">
      <w:pPr>
        <w:pStyle w:val="Tabeldefiguri"/>
        <w:tabs>
          <w:tab w:val="right" w:leader="dot" w:pos="9645"/>
        </w:tabs>
        <w:rPr>
          <w:rFonts w:eastAsiaTheme="minorEastAsia"/>
          <w:noProof/>
          <w:kern w:val="2"/>
          <w14:ligatures w14:val="standardContextual"/>
        </w:rPr>
      </w:pPr>
      <w:hyperlink w:anchor="_Toc140744575" w:history="1">
        <w:r w:rsidR="00BA35B3" w:rsidRPr="00D80310">
          <w:rPr>
            <w:rStyle w:val="Hyperlink"/>
            <w:rFonts w:ascii="Arial" w:hAnsi="Arial" w:cs="Arial"/>
            <w:noProof/>
          </w:rPr>
          <w:t>Tabel I.2. 9 - Sosiri ale turiştilor în structuri de primire turistică</w:t>
        </w:r>
        <w:r w:rsidR="00BA35B3">
          <w:rPr>
            <w:noProof/>
            <w:webHidden/>
          </w:rPr>
          <w:tab/>
        </w:r>
        <w:r w:rsidR="00BA35B3">
          <w:rPr>
            <w:noProof/>
            <w:webHidden/>
          </w:rPr>
          <w:fldChar w:fldCharType="begin"/>
        </w:r>
        <w:r w:rsidR="00BA35B3">
          <w:rPr>
            <w:noProof/>
            <w:webHidden/>
          </w:rPr>
          <w:instrText xml:space="preserve"> PAGEREF _Toc140744575 \h </w:instrText>
        </w:r>
        <w:r w:rsidR="00BA35B3">
          <w:rPr>
            <w:noProof/>
            <w:webHidden/>
          </w:rPr>
        </w:r>
        <w:r w:rsidR="00BA35B3">
          <w:rPr>
            <w:noProof/>
            <w:webHidden/>
          </w:rPr>
          <w:fldChar w:fldCharType="separate"/>
        </w:r>
        <w:r w:rsidR="00BB181C">
          <w:rPr>
            <w:noProof/>
            <w:webHidden/>
          </w:rPr>
          <w:t>85</w:t>
        </w:r>
        <w:r w:rsidR="00BA35B3">
          <w:rPr>
            <w:noProof/>
            <w:webHidden/>
          </w:rPr>
          <w:fldChar w:fldCharType="end"/>
        </w:r>
      </w:hyperlink>
    </w:p>
    <w:p w14:paraId="4139E9A5" w14:textId="05EA5FB9" w:rsidR="00BA35B3" w:rsidRDefault="00000000">
      <w:pPr>
        <w:pStyle w:val="Tabeldefiguri"/>
        <w:tabs>
          <w:tab w:val="right" w:leader="dot" w:pos="9645"/>
        </w:tabs>
        <w:rPr>
          <w:rFonts w:eastAsiaTheme="minorEastAsia"/>
          <w:noProof/>
          <w:kern w:val="2"/>
          <w14:ligatures w14:val="standardContextual"/>
        </w:rPr>
      </w:pPr>
      <w:hyperlink w:anchor="_Toc140744576" w:history="1">
        <w:r w:rsidR="00BA35B3" w:rsidRPr="00D80310">
          <w:rPr>
            <w:rStyle w:val="Hyperlink"/>
            <w:rFonts w:ascii="Arial" w:hAnsi="Arial" w:cs="Arial"/>
            <w:noProof/>
          </w:rPr>
          <w:t>Tabel I.2. 10 - Structuri de primire turistică cu funcţiuni de cazare turistică</w:t>
        </w:r>
        <w:r w:rsidR="00BA35B3">
          <w:rPr>
            <w:noProof/>
            <w:webHidden/>
          </w:rPr>
          <w:tab/>
        </w:r>
        <w:r w:rsidR="00BA35B3">
          <w:rPr>
            <w:noProof/>
            <w:webHidden/>
          </w:rPr>
          <w:fldChar w:fldCharType="begin"/>
        </w:r>
        <w:r w:rsidR="00BA35B3">
          <w:rPr>
            <w:noProof/>
            <w:webHidden/>
          </w:rPr>
          <w:instrText xml:space="preserve"> PAGEREF _Toc140744576 \h </w:instrText>
        </w:r>
        <w:r w:rsidR="00BA35B3">
          <w:rPr>
            <w:noProof/>
            <w:webHidden/>
          </w:rPr>
        </w:r>
        <w:r w:rsidR="00BA35B3">
          <w:rPr>
            <w:noProof/>
            <w:webHidden/>
          </w:rPr>
          <w:fldChar w:fldCharType="separate"/>
        </w:r>
        <w:r w:rsidR="00BB181C">
          <w:rPr>
            <w:noProof/>
            <w:webHidden/>
          </w:rPr>
          <w:t>85</w:t>
        </w:r>
        <w:r w:rsidR="00BA35B3">
          <w:rPr>
            <w:noProof/>
            <w:webHidden/>
          </w:rPr>
          <w:fldChar w:fldCharType="end"/>
        </w:r>
      </w:hyperlink>
    </w:p>
    <w:p w14:paraId="65C5431E" w14:textId="088CCCA9" w:rsidR="00BA35B3" w:rsidRDefault="00000000">
      <w:pPr>
        <w:pStyle w:val="Tabeldefiguri"/>
        <w:tabs>
          <w:tab w:val="right" w:leader="dot" w:pos="9645"/>
        </w:tabs>
        <w:rPr>
          <w:rFonts w:eastAsiaTheme="minorEastAsia"/>
          <w:noProof/>
          <w:kern w:val="2"/>
          <w14:ligatures w14:val="standardContextual"/>
        </w:rPr>
      </w:pPr>
      <w:hyperlink w:anchor="_Toc140744577" w:history="1">
        <w:r w:rsidR="00BA35B3" w:rsidRPr="00D80310">
          <w:rPr>
            <w:rStyle w:val="Hyperlink"/>
            <w:rFonts w:ascii="Arial" w:hAnsi="Arial" w:cs="Arial"/>
            <w:noProof/>
          </w:rPr>
          <w:t>Tabel I.2. 11 – Structura străzilor UAT Horezu</w:t>
        </w:r>
        <w:r w:rsidR="00BA35B3">
          <w:rPr>
            <w:noProof/>
            <w:webHidden/>
          </w:rPr>
          <w:tab/>
        </w:r>
        <w:r w:rsidR="00BA35B3">
          <w:rPr>
            <w:noProof/>
            <w:webHidden/>
          </w:rPr>
          <w:fldChar w:fldCharType="begin"/>
        </w:r>
        <w:r w:rsidR="00BA35B3">
          <w:rPr>
            <w:noProof/>
            <w:webHidden/>
          </w:rPr>
          <w:instrText xml:space="preserve"> PAGEREF _Toc140744577 \h </w:instrText>
        </w:r>
        <w:r w:rsidR="00BA35B3">
          <w:rPr>
            <w:noProof/>
            <w:webHidden/>
          </w:rPr>
        </w:r>
        <w:r w:rsidR="00BA35B3">
          <w:rPr>
            <w:noProof/>
            <w:webHidden/>
          </w:rPr>
          <w:fldChar w:fldCharType="separate"/>
        </w:r>
        <w:r w:rsidR="00BB181C">
          <w:rPr>
            <w:noProof/>
            <w:webHidden/>
          </w:rPr>
          <w:t>86</w:t>
        </w:r>
        <w:r w:rsidR="00BA35B3">
          <w:rPr>
            <w:noProof/>
            <w:webHidden/>
          </w:rPr>
          <w:fldChar w:fldCharType="end"/>
        </w:r>
      </w:hyperlink>
    </w:p>
    <w:p w14:paraId="5BACD07B" w14:textId="7C383D97" w:rsidR="00BA35B3" w:rsidRDefault="00000000">
      <w:pPr>
        <w:pStyle w:val="Tabeldefiguri"/>
        <w:tabs>
          <w:tab w:val="right" w:leader="dot" w:pos="9645"/>
        </w:tabs>
        <w:rPr>
          <w:rFonts w:eastAsiaTheme="minorEastAsia"/>
          <w:noProof/>
          <w:kern w:val="2"/>
          <w14:ligatures w14:val="standardContextual"/>
        </w:rPr>
      </w:pPr>
      <w:hyperlink w:anchor="_Toc140744578" w:history="1">
        <w:r w:rsidR="00BA35B3" w:rsidRPr="00D80310">
          <w:rPr>
            <w:rStyle w:val="Hyperlink"/>
            <w:rFonts w:ascii="Arial" w:hAnsi="Arial" w:cs="Arial"/>
            <w:noProof/>
          </w:rPr>
          <w:t>Tabel I.2. 12 - Reţeaua rutieră semnificativă – UAT Horezu</w:t>
        </w:r>
        <w:r w:rsidR="00BA35B3">
          <w:rPr>
            <w:noProof/>
            <w:webHidden/>
          </w:rPr>
          <w:tab/>
        </w:r>
        <w:r w:rsidR="00BA35B3">
          <w:rPr>
            <w:noProof/>
            <w:webHidden/>
          </w:rPr>
          <w:fldChar w:fldCharType="begin"/>
        </w:r>
        <w:r w:rsidR="00BA35B3">
          <w:rPr>
            <w:noProof/>
            <w:webHidden/>
          </w:rPr>
          <w:instrText xml:space="preserve"> PAGEREF _Toc140744578 \h </w:instrText>
        </w:r>
        <w:r w:rsidR="00BA35B3">
          <w:rPr>
            <w:noProof/>
            <w:webHidden/>
          </w:rPr>
        </w:r>
        <w:r w:rsidR="00BA35B3">
          <w:rPr>
            <w:noProof/>
            <w:webHidden/>
          </w:rPr>
          <w:fldChar w:fldCharType="separate"/>
        </w:r>
        <w:r w:rsidR="00BB181C">
          <w:rPr>
            <w:noProof/>
            <w:webHidden/>
          </w:rPr>
          <w:t>87</w:t>
        </w:r>
        <w:r w:rsidR="00BA35B3">
          <w:rPr>
            <w:noProof/>
            <w:webHidden/>
          </w:rPr>
          <w:fldChar w:fldCharType="end"/>
        </w:r>
      </w:hyperlink>
    </w:p>
    <w:p w14:paraId="0FC6DED2" w14:textId="51F1E95E" w:rsidR="00BA35B3" w:rsidRDefault="00000000">
      <w:pPr>
        <w:pStyle w:val="Tabeldefiguri"/>
        <w:tabs>
          <w:tab w:val="right" w:leader="dot" w:pos="9645"/>
        </w:tabs>
        <w:rPr>
          <w:rFonts w:eastAsiaTheme="minorEastAsia"/>
          <w:noProof/>
          <w:kern w:val="2"/>
          <w14:ligatures w14:val="standardContextual"/>
        </w:rPr>
      </w:pPr>
      <w:hyperlink w:anchor="_Toc140744579" w:history="1">
        <w:r w:rsidR="00BA35B3" w:rsidRPr="00D80310">
          <w:rPr>
            <w:rStyle w:val="Hyperlink"/>
            <w:rFonts w:ascii="Arial" w:hAnsi="Arial" w:cs="Arial"/>
            <w:noProof/>
          </w:rPr>
          <w:t>Tabel I.2. 13 - Densitatea populaţiei pe zone</w:t>
        </w:r>
        <w:r w:rsidR="00BA35B3">
          <w:rPr>
            <w:noProof/>
            <w:webHidden/>
          </w:rPr>
          <w:tab/>
        </w:r>
        <w:r w:rsidR="00BA35B3">
          <w:rPr>
            <w:noProof/>
            <w:webHidden/>
          </w:rPr>
          <w:fldChar w:fldCharType="begin"/>
        </w:r>
        <w:r w:rsidR="00BA35B3">
          <w:rPr>
            <w:noProof/>
            <w:webHidden/>
          </w:rPr>
          <w:instrText xml:space="preserve"> PAGEREF _Toc140744579 \h </w:instrText>
        </w:r>
        <w:r w:rsidR="00BA35B3">
          <w:rPr>
            <w:noProof/>
            <w:webHidden/>
          </w:rPr>
        </w:r>
        <w:r w:rsidR="00BA35B3">
          <w:rPr>
            <w:noProof/>
            <w:webHidden/>
          </w:rPr>
          <w:fldChar w:fldCharType="separate"/>
        </w:r>
        <w:r w:rsidR="00BB181C">
          <w:rPr>
            <w:noProof/>
            <w:webHidden/>
          </w:rPr>
          <w:t>91</w:t>
        </w:r>
        <w:r w:rsidR="00BA35B3">
          <w:rPr>
            <w:noProof/>
            <w:webHidden/>
          </w:rPr>
          <w:fldChar w:fldCharType="end"/>
        </w:r>
      </w:hyperlink>
    </w:p>
    <w:p w14:paraId="5B5ED37D" w14:textId="3A731F32" w:rsidR="00BA35B3" w:rsidRDefault="00000000">
      <w:pPr>
        <w:pStyle w:val="Tabeldefiguri"/>
        <w:tabs>
          <w:tab w:val="right" w:leader="dot" w:pos="9645"/>
        </w:tabs>
        <w:rPr>
          <w:rFonts w:eastAsiaTheme="minorEastAsia"/>
          <w:noProof/>
          <w:kern w:val="2"/>
          <w14:ligatures w14:val="standardContextual"/>
        </w:rPr>
      </w:pPr>
      <w:hyperlink w:anchor="_Toc140744580" w:history="1">
        <w:r w:rsidR="00BA35B3" w:rsidRPr="00D80310">
          <w:rPr>
            <w:rStyle w:val="Hyperlink"/>
            <w:rFonts w:ascii="Arial" w:hAnsi="Arial" w:cs="Arial"/>
            <w:noProof/>
          </w:rPr>
          <w:t>Tabel I.2. 14 - Parc circulant pentru transport elevi proprietatea Primariei Horezu</w:t>
        </w:r>
        <w:r w:rsidR="00BA35B3">
          <w:rPr>
            <w:noProof/>
            <w:webHidden/>
          </w:rPr>
          <w:tab/>
        </w:r>
        <w:r w:rsidR="00BA35B3">
          <w:rPr>
            <w:noProof/>
            <w:webHidden/>
          </w:rPr>
          <w:fldChar w:fldCharType="begin"/>
        </w:r>
        <w:r w:rsidR="00BA35B3">
          <w:rPr>
            <w:noProof/>
            <w:webHidden/>
          </w:rPr>
          <w:instrText xml:space="preserve"> PAGEREF _Toc140744580 \h </w:instrText>
        </w:r>
        <w:r w:rsidR="00BA35B3">
          <w:rPr>
            <w:noProof/>
            <w:webHidden/>
          </w:rPr>
        </w:r>
        <w:r w:rsidR="00BA35B3">
          <w:rPr>
            <w:noProof/>
            <w:webHidden/>
          </w:rPr>
          <w:fldChar w:fldCharType="separate"/>
        </w:r>
        <w:r w:rsidR="00BB181C">
          <w:rPr>
            <w:noProof/>
            <w:webHidden/>
          </w:rPr>
          <w:t>105</w:t>
        </w:r>
        <w:r w:rsidR="00BA35B3">
          <w:rPr>
            <w:noProof/>
            <w:webHidden/>
          </w:rPr>
          <w:fldChar w:fldCharType="end"/>
        </w:r>
      </w:hyperlink>
    </w:p>
    <w:p w14:paraId="5FE43AE6" w14:textId="77DBBD26" w:rsidR="00BA35B3" w:rsidRDefault="00000000">
      <w:pPr>
        <w:pStyle w:val="Tabeldefiguri"/>
        <w:tabs>
          <w:tab w:val="right" w:leader="dot" w:pos="9645"/>
        </w:tabs>
        <w:rPr>
          <w:rFonts w:eastAsiaTheme="minorEastAsia"/>
          <w:noProof/>
          <w:kern w:val="2"/>
          <w14:ligatures w14:val="standardContextual"/>
        </w:rPr>
      </w:pPr>
      <w:hyperlink w:anchor="_Toc140744581" w:history="1">
        <w:r w:rsidR="00BA35B3" w:rsidRPr="00D80310">
          <w:rPr>
            <w:rStyle w:val="Hyperlink"/>
            <w:rFonts w:ascii="Arial" w:hAnsi="Arial" w:cs="Arial"/>
            <w:noProof/>
          </w:rPr>
          <w:t>Tabel I.2. 15 - Proiecte de mobilitate aflate în derulare</w:t>
        </w:r>
        <w:r w:rsidR="00BA35B3">
          <w:rPr>
            <w:noProof/>
            <w:webHidden/>
          </w:rPr>
          <w:tab/>
        </w:r>
        <w:r w:rsidR="00BA35B3">
          <w:rPr>
            <w:noProof/>
            <w:webHidden/>
          </w:rPr>
          <w:fldChar w:fldCharType="begin"/>
        </w:r>
        <w:r w:rsidR="00BA35B3">
          <w:rPr>
            <w:noProof/>
            <w:webHidden/>
          </w:rPr>
          <w:instrText xml:space="preserve"> PAGEREF _Toc140744581 \h </w:instrText>
        </w:r>
        <w:r w:rsidR="00BA35B3">
          <w:rPr>
            <w:noProof/>
            <w:webHidden/>
          </w:rPr>
        </w:r>
        <w:r w:rsidR="00BA35B3">
          <w:rPr>
            <w:noProof/>
            <w:webHidden/>
          </w:rPr>
          <w:fldChar w:fldCharType="separate"/>
        </w:r>
        <w:r w:rsidR="00BB181C">
          <w:rPr>
            <w:noProof/>
            <w:webHidden/>
          </w:rPr>
          <w:t>124</w:t>
        </w:r>
        <w:r w:rsidR="00BA35B3">
          <w:rPr>
            <w:noProof/>
            <w:webHidden/>
          </w:rPr>
          <w:fldChar w:fldCharType="end"/>
        </w:r>
      </w:hyperlink>
    </w:p>
    <w:p w14:paraId="51B47740" w14:textId="0CA557E5" w:rsidR="00BA35B3" w:rsidRDefault="00000000">
      <w:pPr>
        <w:pStyle w:val="Tabeldefiguri"/>
        <w:tabs>
          <w:tab w:val="right" w:leader="dot" w:pos="9645"/>
        </w:tabs>
        <w:rPr>
          <w:rFonts w:eastAsiaTheme="minorEastAsia"/>
          <w:noProof/>
          <w:kern w:val="2"/>
          <w14:ligatures w14:val="standardContextual"/>
        </w:rPr>
      </w:pPr>
      <w:hyperlink w:anchor="_Toc140744582" w:history="1">
        <w:r w:rsidR="00BA35B3" w:rsidRPr="00D80310">
          <w:rPr>
            <w:rStyle w:val="Hyperlink"/>
            <w:rFonts w:ascii="Arial" w:hAnsi="Arial" w:cs="Arial"/>
            <w:noProof/>
          </w:rPr>
          <w:t>Tabel I.2. 16 – Proiecte de mobilitate aflate în derulare care vor conduce la îmbunătățirea situației actuale</w:t>
        </w:r>
        <w:r w:rsidR="00BA35B3">
          <w:rPr>
            <w:noProof/>
            <w:webHidden/>
          </w:rPr>
          <w:tab/>
        </w:r>
        <w:r w:rsidR="00BA35B3">
          <w:rPr>
            <w:noProof/>
            <w:webHidden/>
          </w:rPr>
          <w:fldChar w:fldCharType="begin"/>
        </w:r>
        <w:r w:rsidR="00BA35B3">
          <w:rPr>
            <w:noProof/>
            <w:webHidden/>
          </w:rPr>
          <w:instrText xml:space="preserve"> PAGEREF _Toc140744582 \h </w:instrText>
        </w:r>
        <w:r w:rsidR="00BA35B3">
          <w:rPr>
            <w:noProof/>
            <w:webHidden/>
          </w:rPr>
        </w:r>
        <w:r w:rsidR="00BA35B3">
          <w:rPr>
            <w:noProof/>
            <w:webHidden/>
          </w:rPr>
          <w:fldChar w:fldCharType="separate"/>
        </w:r>
        <w:r w:rsidR="00BB181C">
          <w:rPr>
            <w:noProof/>
            <w:webHidden/>
          </w:rPr>
          <w:t>124</w:t>
        </w:r>
        <w:r w:rsidR="00BA35B3">
          <w:rPr>
            <w:noProof/>
            <w:webHidden/>
          </w:rPr>
          <w:fldChar w:fldCharType="end"/>
        </w:r>
      </w:hyperlink>
    </w:p>
    <w:p w14:paraId="134FA918" w14:textId="60323A05" w:rsidR="00BA35B3" w:rsidRDefault="00000000">
      <w:pPr>
        <w:pStyle w:val="Tabeldefiguri"/>
        <w:tabs>
          <w:tab w:val="right" w:leader="dot" w:pos="9645"/>
        </w:tabs>
        <w:rPr>
          <w:rFonts w:eastAsiaTheme="minorEastAsia"/>
          <w:noProof/>
          <w:kern w:val="2"/>
          <w14:ligatures w14:val="standardContextual"/>
        </w:rPr>
      </w:pPr>
      <w:hyperlink w:anchor="_Toc140744583" w:history="1">
        <w:r w:rsidR="00BA35B3" w:rsidRPr="00D80310">
          <w:rPr>
            <w:rStyle w:val="Hyperlink"/>
            <w:rFonts w:ascii="Arial" w:hAnsi="Arial" w:cs="Arial"/>
            <w:noProof/>
          </w:rPr>
          <w:t>Tabel I.2. 17 - Concluzii referitoare la situația actuală</w:t>
        </w:r>
        <w:r w:rsidR="00BA35B3">
          <w:rPr>
            <w:noProof/>
            <w:webHidden/>
          </w:rPr>
          <w:tab/>
        </w:r>
        <w:r w:rsidR="00BA35B3">
          <w:rPr>
            <w:noProof/>
            <w:webHidden/>
          </w:rPr>
          <w:fldChar w:fldCharType="begin"/>
        </w:r>
        <w:r w:rsidR="00BA35B3">
          <w:rPr>
            <w:noProof/>
            <w:webHidden/>
          </w:rPr>
          <w:instrText xml:space="preserve"> PAGEREF _Toc140744583 \h </w:instrText>
        </w:r>
        <w:r w:rsidR="00BA35B3">
          <w:rPr>
            <w:noProof/>
            <w:webHidden/>
          </w:rPr>
        </w:r>
        <w:r w:rsidR="00BA35B3">
          <w:rPr>
            <w:noProof/>
            <w:webHidden/>
          </w:rPr>
          <w:fldChar w:fldCharType="separate"/>
        </w:r>
        <w:r w:rsidR="00BB181C">
          <w:rPr>
            <w:noProof/>
            <w:webHidden/>
          </w:rPr>
          <w:t>125</w:t>
        </w:r>
        <w:r w:rsidR="00BA35B3">
          <w:rPr>
            <w:noProof/>
            <w:webHidden/>
          </w:rPr>
          <w:fldChar w:fldCharType="end"/>
        </w:r>
      </w:hyperlink>
    </w:p>
    <w:p w14:paraId="471ABC0A" w14:textId="7216C533" w:rsidR="00374C37" w:rsidRDefault="00F92A5C">
      <w:pPr>
        <w:pStyle w:val="Tabeldefiguri"/>
        <w:tabs>
          <w:tab w:val="right" w:leader="dot" w:pos="9645"/>
        </w:tabs>
        <w:rPr>
          <w:noProof/>
        </w:rPr>
      </w:pPr>
      <w:r>
        <w:rPr>
          <w:rFonts w:ascii="Arial" w:hAnsi="Arial" w:cs="Arial"/>
          <w:b/>
          <w:bCs/>
          <w:lang w:val="ro-RO" w:eastAsia="ro-RO"/>
        </w:rPr>
        <w:fldChar w:fldCharType="end"/>
      </w:r>
      <w:r w:rsidR="008F22F2">
        <w:rPr>
          <w:lang w:val="ro-RO" w:eastAsia="ro-RO"/>
        </w:rPr>
        <w:fldChar w:fldCharType="begin"/>
      </w:r>
      <w:r w:rsidR="008F22F2">
        <w:rPr>
          <w:lang w:val="ro-RO" w:eastAsia="ro-RO"/>
        </w:rPr>
        <w:instrText xml:space="preserve"> TOC \h \z \c "Tabel I.3." </w:instrText>
      </w:r>
      <w:r w:rsidR="008F22F2">
        <w:rPr>
          <w:lang w:val="ro-RO" w:eastAsia="ro-RO"/>
        </w:rPr>
        <w:fldChar w:fldCharType="separate"/>
      </w:r>
    </w:p>
    <w:p w14:paraId="67AC9D14" w14:textId="5A60CBE9" w:rsidR="00374C37" w:rsidRDefault="00000000">
      <w:pPr>
        <w:pStyle w:val="Tabeldefiguri"/>
        <w:tabs>
          <w:tab w:val="right" w:leader="dot" w:pos="9645"/>
        </w:tabs>
        <w:rPr>
          <w:rFonts w:eastAsiaTheme="minorEastAsia"/>
          <w:noProof/>
        </w:rPr>
      </w:pPr>
      <w:hyperlink w:anchor="_Toc96447397" w:history="1">
        <w:r w:rsidR="00374C37" w:rsidRPr="00816733">
          <w:rPr>
            <w:rStyle w:val="Hyperlink"/>
            <w:rFonts w:ascii="Arial" w:hAnsi="Arial" w:cs="Arial"/>
            <w:noProof/>
          </w:rPr>
          <w:t>Tabel I.3. 1 - Fluxurile de penetraţie și tranzit, vehicule pasageri si LGV pentru PM peak</w:t>
        </w:r>
        <w:r w:rsidR="00374C37">
          <w:rPr>
            <w:noProof/>
            <w:webHidden/>
          </w:rPr>
          <w:tab/>
        </w:r>
        <w:r w:rsidR="00374C37">
          <w:rPr>
            <w:noProof/>
            <w:webHidden/>
          </w:rPr>
          <w:fldChar w:fldCharType="begin"/>
        </w:r>
        <w:r w:rsidR="00374C37">
          <w:rPr>
            <w:noProof/>
            <w:webHidden/>
          </w:rPr>
          <w:instrText xml:space="preserve"> PAGEREF _Toc96447397 \h </w:instrText>
        </w:r>
        <w:r w:rsidR="00374C37">
          <w:rPr>
            <w:noProof/>
            <w:webHidden/>
          </w:rPr>
        </w:r>
        <w:r w:rsidR="00374C37">
          <w:rPr>
            <w:noProof/>
            <w:webHidden/>
          </w:rPr>
          <w:fldChar w:fldCharType="separate"/>
        </w:r>
        <w:r w:rsidR="00BB181C">
          <w:rPr>
            <w:noProof/>
            <w:webHidden/>
          </w:rPr>
          <w:t>148</w:t>
        </w:r>
        <w:r w:rsidR="00374C37">
          <w:rPr>
            <w:noProof/>
            <w:webHidden/>
          </w:rPr>
          <w:fldChar w:fldCharType="end"/>
        </w:r>
      </w:hyperlink>
    </w:p>
    <w:p w14:paraId="6412F31D" w14:textId="77108AF2" w:rsidR="00374C37" w:rsidRDefault="00000000">
      <w:pPr>
        <w:pStyle w:val="Tabeldefiguri"/>
        <w:tabs>
          <w:tab w:val="right" w:leader="dot" w:pos="9645"/>
        </w:tabs>
        <w:rPr>
          <w:rFonts w:eastAsiaTheme="minorEastAsia"/>
          <w:noProof/>
        </w:rPr>
      </w:pPr>
      <w:hyperlink w:anchor="_Toc96447398" w:history="1">
        <w:r w:rsidR="00374C37" w:rsidRPr="00816733">
          <w:rPr>
            <w:rStyle w:val="Hyperlink"/>
            <w:rFonts w:ascii="Arial" w:hAnsi="Arial" w:cs="Arial"/>
            <w:noProof/>
          </w:rPr>
          <w:t>Tabel I.3. 2 - Fluxurile de penetraţie și tranzit, HGV pentru PM peak</w:t>
        </w:r>
        <w:r w:rsidR="00374C37">
          <w:rPr>
            <w:noProof/>
            <w:webHidden/>
          </w:rPr>
          <w:tab/>
        </w:r>
        <w:r w:rsidR="00374C37">
          <w:rPr>
            <w:noProof/>
            <w:webHidden/>
          </w:rPr>
          <w:fldChar w:fldCharType="begin"/>
        </w:r>
        <w:r w:rsidR="00374C37">
          <w:rPr>
            <w:noProof/>
            <w:webHidden/>
          </w:rPr>
          <w:instrText xml:space="preserve"> PAGEREF _Toc96447398 \h </w:instrText>
        </w:r>
        <w:r w:rsidR="00374C37">
          <w:rPr>
            <w:noProof/>
            <w:webHidden/>
          </w:rPr>
        </w:r>
        <w:r w:rsidR="00374C37">
          <w:rPr>
            <w:noProof/>
            <w:webHidden/>
          </w:rPr>
          <w:fldChar w:fldCharType="separate"/>
        </w:r>
        <w:r w:rsidR="00BB181C">
          <w:rPr>
            <w:noProof/>
            <w:webHidden/>
          </w:rPr>
          <w:t>148</w:t>
        </w:r>
        <w:r w:rsidR="00374C37">
          <w:rPr>
            <w:noProof/>
            <w:webHidden/>
          </w:rPr>
          <w:fldChar w:fldCharType="end"/>
        </w:r>
      </w:hyperlink>
    </w:p>
    <w:p w14:paraId="46057A20" w14:textId="743DDB05" w:rsidR="00374C37" w:rsidRDefault="00000000">
      <w:pPr>
        <w:pStyle w:val="Tabeldefiguri"/>
        <w:tabs>
          <w:tab w:val="right" w:leader="dot" w:pos="9645"/>
        </w:tabs>
        <w:rPr>
          <w:rFonts w:eastAsiaTheme="minorEastAsia"/>
          <w:noProof/>
        </w:rPr>
      </w:pPr>
      <w:hyperlink w:anchor="_Toc96447399" w:history="1">
        <w:r w:rsidR="00374C37" w:rsidRPr="00816733">
          <w:rPr>
            <w:rStyle w:val="Hyperlink"/>
            <w:rFonts w:ascii="Arial" w:hAnsi="Arial" w:cs="Arial"/>
            <w:noProof/>
          </w:rPr>
          <w:t>Tabel I.3. 3 - Comparație între rezultatele obținute cu parametrul GEH și diferențele procentuale</w:t>
        </w:r>
        <w:r w:rsidR="00374C37">
          <w:rPr>
            <w:noProof/>
            <w:webHidden/>
          </w:rPr>
          <w:tab/>
        </w:r>
        <w:r w:rsidR="00374C37">
          <w:rPr>
            <w:noProof/>
            <w:webHidden/>
          </w:rPr>
          <w:fldChar w:fldCharType="begin"/>
        </w:r>
        <w:r w:rsidR="00374C37">
          <w:rPr>
            <w:noProof/>
            <w:webHidden/>
          </w:rPr>
          <w:instrText xml:space="preserve"> PAGEREF _Toc96447399 \h </w:instrText>
        </w:r>
        <w:r w:rsidR="00374C37">
          <w:rPr>
            <w:noProof/>
            <w:webHidden/>
          </w:rPr>
        </w:r>
        <w:r w:rsidR="00374C37">
          <w:rPr>
            <w:noProof/>
            <w:webHidden/>
          </w:rPr>
          <w:fldChar w:fldCharType="separate"/>
        </w:r>
        <w:r w:rsidR="00BB181C">
          <w:rPr>
            <w:noProof/>
            <w:webHidden/>
          </w:rPr>
          <w:t>157</w:t>
        </w:r>
        <w:r w:rsidR="00374C37">
          <w:rPr>
            <w:noProof/>
            <w:webHidden/>
          </w:rPr>
          <w:fldChar w:fldCharType="end"/>
        </w:r>
      </w:hyperlink>
    </w:p>
    <w:p w14:paraId="5B2AE841" w14:textId="4EBAD9E7" w:rsidR="00374C37" w:rsidRDefault="00000000">
      <w:pPr>
        <w:pStyle w:val="Tabeldefiguri"/>
        <w:tabs>
          <w:tab w:val="right" w:leader="dot" w:pos="9645"/>
        </w:tabs>
        <w:rPr>
          <w:rFonts w:eastAsiaTheme="minorEastAsia"/>
          <w:noProof/>
        </w:rPr>
      </w:pPr>
      <w:hyperlink w:anchor="_Toc96447400" w:history="1">
        <w:r w:rsidR="00374C37" w:rsidRPr="00816733">
          <w:rPr>
            <w:rStyle w:val="Hyperlink"/>
            <w:rFonts w:ascii="Arial" w:hAnsi="Arial" w:cs="Arial"/>
            <w:noProof/>
          </w:rPr>
          <w:t>Tabel I.3. 4 - Rezultatul calibrării matricei CAR pentru AM peak</w:t>
        </w:r>
        <w:r w:rsidR="00374C37">
          <w:rPr>
            <w:noProof/>
            <w:webHidden/>
          </w:rPr>
          <w:tab/>
        </w:r>
        <w:r w:rsidR="00374C37">
          <w:rPr>
            <w:noProof/>
            <w:webHidden/>
          </w:rPr>
          <w:fldChar w:fldCharType="begin"/>
        </w:r>
        <w:r w:rsidR="00374C37">
          <w:rPr>
            <w:noProof/>
            <w:webHidden/>
          </w:rPr>
          <w:instrText xml:space="preserve"> PAGEREF _Toc96447400 \h </w:instrText>
        </w:r>
        <w:r w:rsidR="00374C37">
          <w:rPr>
            <w:noProof/>
            <w:webHidden/>
          </w:rPr>
        </w:r>
        <w:r w:rsidR="00374C37">
          <w:rPr>
            <w:noProof/>
            <w:webHidden/>
          </w:rPr>
          <w:fldChar w:fldCharType="separate"/>
        </w:r>
        <w:r w:rsidR="00BB181C">
          <w:rPr>
            <w:noProof/>
            <w:webHidden/>
          </w:rPr>
          <w:t>159</w:t>
        </w:r>
        <w:r w:rsidR="00374C37">
          <w:rPr>
            <w:noProof/>
            <w:webHidden/>
          </w:rPr>
          <w:fldChar w:fldCharType="end"/>
        </w:r>
      </w:hyperlink>
    </w:p>
    <w:p w14:paraId="181CDC29" w14:textId="337C834F" w:rsidR="00374C37" w:rsidRDefault="00000000">
      <w:pPr>
        <w:pStyle w:val="Tabeldefiguri"/>
        <w:tabs>
          <w:tab w:val="right" w:leader="dot" w:pos="9645"/>
        </w:tabs>
        <w:rPr>
          <w:rFonts w:eastAsiaTheme="minorEastAsia"/>
          <w:noProof/>
        </w:rPr>
      </w:pPr>
      <w:hyperlink w:anchor="_Toc96447401" w:history="1">
        <w:r w:rsidR="00374C37" w:rsidRPr="00816733">
          <w:rPr>
            <w:rStyle w:val="Hyperlink"/>
            <w:rFonts w:ascii="Arial" w:hAnsi="Arial" w:cs="Arial"/>
            <w:noProof/>
          </w:rPr>
          <w:t xml:space="preserve">Tabel I.3. 5 </w:t>
        </w:r>
        <w:r w:rsidR="00374C37" w:rsidRPr="00816733">
          <w:rPr>
            <w:rStyle w:val="Hyperlink"/>
            <w:rFonts w:ascii="Arial" w:hAnsi="Arial" w:cs="Arial"/>
            <w:noProof/>
            <w:lang w:val="ro-RO"/>
          </w:rPr>
          <w:t>- Rezultatul calibrării matricei HGV pentru PM peak</w:t>
        </w:r>
        <w:r w:rsidR="00374C37">
          <w:rPr>
            <w:noProof/>
            <w:webHidden/>
          </w:rPr>
          <w:tab/>
        </w:r>
        <w:r w:rsidR="00374C37">
          <w:rPr>
            <w:noProof/>
            <w:webHidden/>
          </w:rPr>
          <w:fldChar w:fldCharType="begin"/>
        </w:r>
        <w:r w:rsidR="00374C37">
          <w:rPr>
            <w:noProof/>
            <w:webHidden/>
          </w:rPr>
          <w:instrText xml:space="preserve"> PAGEREF _Toc96447401 \h </w:instrText>
        </w:r>
        <w:r w:rsidR="00374C37">
          <w:rPr>
            <w:noProof/>
            <w:webHidden/>
          </w:rPr>
        </w:r>
        <w:r w:rsidR="00374C37">
          <w:rPr>
            <w:noProof/>
            <w:webHidden/>
          </w:rPr>
          <w:fldChar w:fldCharType="separate"/>
        </w:r>
        <w:r w:rsidR="00BB181C">
          <w:rPr>
            <w:noProof/>
            <w:webHidden/>
          </w:rPr>
          <w:t>162</w:t>
        </w:r>
        <w:r w:rsidR="00374C37">
          <w:rPr>
            <w:noProof/>
            <w:webHidden/>
          </w:rPr>
          <w:fldChar w:fldCharType="end"/>
        </w:r>
      </w:hyperlink>
    </w:p>
    <w:p w14:paraId="2636BC81" w14:textId="33E7087A" w:rsidR="00374C37" w:rsidRDefault="00000000">
      <w:pPr>
        <w:pStyle w:val="Tabeldefiguri"/>
        <w:tabs>
          <w:tab w:val="right" w:leader="dot" w:pos="9645"/>
        </w:tabs>
        <w:rPr>
          <w:rFonts w:eastAsiaTheme="minorEastAsia"/>
          <w:noProof/>
        </w:rPr>
      </w:pPr>
      <w:hyperlink w:anchor="_Toc96447402" w:history="1">
        <w:r w:rsidR="00374C37" w:rsidRPr="00816733">
          <w:rPr>
            <w:rStyle w:val="Hyperlink"/>
            <w:rFonts w:ascii="Arial" w:hAnsi="Arial" w:cs="Arial"/>
            <w:noProof/>
          </w:rPr>
          <w:t>Tabel I.3. 6 - Coeficienţii de evoluţie a traficului în perioada 2020-2035 - Coeficienţii medii (varianta probabilă) - Reţeaua de drumuri publice</w:t>
        </w:r>
        <w:r w:rsidR="00374C37">
          <w:rPr>
            <w:noProof/>
            <w:webHidden/>
          </w:rPr>
          <w:tab/>
        </w:r>
        <w:r w:rsidR="00374C37">
          <w:rPr>
            <w:noProof/>
            <w:webHidden/>
          </w:rPr>
          <w:fldChar w:fldCharType="begin"/>
        </w:r>
        <w:r w:rsidR="00374C37">
          <w:rPr>
            <w:noProof/>
            <w:webHidden/>
          </w:rPr>
          <w:instrText xml:space="preserve"> PAGEREF _Toc96447402 \h </w:instrText>
        </w:r>
        <w:r w:rsidR="00374C37">
          <w:rPr>
            <w:noProof/>
            <w:webHidden/>
          </w:rPr>
        </w:r>
        <w:r w:rsidR="00374C37">
          <w:rPr>
            <w:noProof/>
            <w:webHidden/>
          </w:rPr>
          <w:fldChar w:fldCharType="separate"/>
        </w:r>
        <w:r w:rsidR="00BB181C">
          <w:rPr>
            <w:noProof/>
            <w:webHidden/>
          </w:rPr>
          <w:t>165</w:t>
        </w:r>
        <w:r w:rsidR="00374C37">
          <w:rPr>
            <w:noProof/>
            <w:webHidden/>
          </w:rPr>
          <w:fldChar w:fldCharType="end"/>
        </w:r>
      </w:hyperlink>
    </w:p>
    <w:p w14:paraId="1CEA6FC4" w14:textId="5E0C14F2" w:rsidR="00374C37" w:rsidRDefault="00000000">
      <w:pPr>
        <w:pStyle w:val="Tabeldefiguri"/>
        <w:tabs>
          <w:tab w:val="right" w:leader="dot" w:pos="9645"/>
        </w:tabs>
        <w:rPr>
          <w:rFonts w:eastAsiaTheme="minorEastAsia"/>
          <w:noProof/>
        </w:rPr>
      </w:pPr>
      <w:hyperlink w:anchor="_Toc96447403" w:history="1">
        <w:r w:rsidR="00374C37" w:rsidRPr="00816733">
          <w:rPr>
            <w:rStyle w:val="Hyperlink"/>
            <w:rFonts w:ascii="Arial" w:hAnsi="Arial" w:cs="Arial"/>
            <w:noProof/>
          </w:rPr>
          <w:t>Tabel I.3. 7 - Niveluri de serviciu intersecţii Orașul Horezu – AM 2021</w:t>
        </w:r>
        <w:r w:rsidR="00374C37">
          <w:rPr>
            <w:noProof/>
            <w:webHidden/>
          </w:rPr>
          <w:tab/>
        </w:r>
        <w:r w:rsidR="00374C37">
          <w:rPr>
            <w:noProof/>
            <w:webHidden/>
          </w:rPr>
          <w:fldChar w:fldCharType="begin"/>
        </w:r>
        <w:r w:rsidR="00374C37">
          <w:rPr>
            <w:noProof/>
            <w:webHidden/>
          </w:rPr>
          <w:instrText xml:space="preserve"> PAGEREF _Toc96447403 \h </w:instrText>
        </w:r>
        <w:r w:rsidR="00374C37">
          <w:rPr>
            <w:noProof/>
            <w:webHidden/>
          </w:rPr>
        </w:r>
        <w:r w:rsidR="00374C37">
          <w:rPr>
            <w:noProof/>
            <w:webHidden/>
          </w:rPr>
          <w:fldChar w:fldCharType="separate"/>
        </w:r>
        <w:r w:rsidR="00BB181C">
          <w:rPr>
            <w:noProof/>
            <w:webHidden/>
          </w:rPr>
          <w:t>166</w:t>
        </w:r>
        <w:r w:rsidR="00374C37">
          <w:rPr>
            <w:noProof/>
            <w:webHidden/>
          </w:rPr>
          <w:fldChar w:fldCharType="end"/>
        </w:r>
      </w:hyperlink>
    </w:p>
    <w:p w14:paraId="68CE6FF1" w14:textId="74723C13" w:rsidR="00374C37" w:rsidRDefault="00000000">
      <w:pPr>
        <w:pStyle w:val="Tabeldefiguri"/>
        <w:tabs>
          <w:tab w:val="right" w:leader="dot" w:pos="9645"/>
        </w:tabs>
        <w:rPr>
          <w:rFonts w:eastAsiaTheme="minorEastAsia"/>
          <w:noProof/>
        </w:rPr>
      </w:pPr>
      <w:hyperlink w:anchor="_Toc96447404" w:history="1">
        <w:r w:rsidR="00374C37" w:rsidRPr="00816733">
          <w:rPr>
            <w:rStyle w:val="Hyperlink"/>
            <w:rFonts w:ascii="Arial" w:hAnsi="Arial" w:cs="Arial"/>
            <w:noProof/>
          </w:rPr>
          <w:t>Tabel I.3. 8 - Niveluri de serviciu intersecţii Orașul Horezu – PM 2021</w:t>
        </w:r>
        <w:r w:rsidR="00374C37">
          <w:rPr>
            <w:noProof/>
            <w:webHidden/>
          </w:rPr>
          <w:tab/>
        </w:r>
        <w:r w:rsidR="00374C37">
          <w:rPr>
            <w:noProof/>
            <w:webHidden/>
          </w:rPr>
          <w:fldChar w:fldCharType="begin"/>
        </w:r>
        <w:r w:rsidR="00374C37">
          <w:rPr>
            <w:noProof/>
            <w:webHidden/>
          </w:rPr>
          <w:instrText xml:space="preserve"> PAGEREF _Toc96447404 \h </w:instrText>
        </w:r>
        <w:r w:rsidR="00374C37">
          <w:rPr>
            <w:noProof/>
            <w:webHidden/>
          </w:rPr>
        </w:r>
        <w:r w:rsidR="00374C37">
          <w:rPr>
            <w:noProof/>
            <w:webHidden/>
          </w:rPr>
          <w:fldChar w:fldCharType="separate"/>
        </w:r>
        <w:r w:rsidR="00BB181C">
          <w:rPr>
            <w:noProof/>
            <w:webHidden/>
          </w:rPr>
          <w:t>169</w:t>
        </w:r>
        <w:r w:rsidR="00374C37">
          <w:rPr>
            <w:noProof/>
            <w:webHidden/>
          </w:rPr>
          <w:fldChar w:fldCharType="end"/>
        </w:r>
      </w:hyperlink>
    </w:p>
    <w:p w14:paraId="52A9642A" w14:textId="5261CA6B" w:rsidR="00374C37" w:rsidRDefault="00000000">
      <w:pPr>
        <w:pStyle w:val="Tabeldefiguri"/>
        <w:tabs>
          <w:tab w:val="right" w:leader="dot" w:pos="9645"/>
        </w:tabs>
        <w:rPr>
          <w:rFonts w:eastAsiaTheme="minorEastAsia"/>
          <w:noProof/>
        </w:rPr>
      </w:pPr>
      <w:hyperlink w:anchor="_Toc96447405" w:history="1">
        <w:r w:rsidR="00374C37" w:rsidRPr="00816733">
          <w:rPr>
            <w:rStyle w:val="Hyperlink"/>
            <w:rFonts w:ascii="Arial" w:hAnsi="Arial" w:cs="Arial"/>
            <w:noProof/>
          </w:rPr>
          <w:t>Tabel I.3. 9 - Evolutia parametrilor de trafic (AM) pentru cele 3 orizonturi de timp</w:t>
        </w:r>
        <w:r w:rsidR="00374C37">
          <w:rPr>
            <w:noProof/>
            <w:webHidden/>
          </w:rPr>
          <w:tab/>
        </w:r>
        <w:r w:rsidR="00374C37">
          <w:rPr>
            <w:noProof/>
            <w:webHidden/>
          </w:rPr>
          <w:fldChar w:fldCharType="begin"/>
        </w:r>
        <w:r w:rsidR="00374C37">
          <w:rPr>
            <w:noProof/>
            <w:webHidden/>
          </w:rPr>
          <w:instrText xml:space="preserve"> PAGEREF _Toc96447405 \h </w:instrText>
        </w:r>
        <w:r w:rsidR="00374C37">
          <w:rPr>
            <w:noProof/>
            <w:webHidden/>
          </w:rPr>
        </w:r>
        <w:r w:rsidR="00374C37">
          <w:rPr>
            <w:noProof/>
            <w:webHidden/>
          </w:rPr>
          <w:fldChar w:fldCharType="separate"/>
        </w:r>
        <w:r w:rsidR="00BB181C">
          <w:rPr>
            <w:noProof/>
            <w:webHidden/>
          </w:rPr>
          <w:t>172</w:t>
        </w:r>
        <w:r w:rsidR="00374C37">
          <w:rPr>
            <w:noProof/>
            <w:webHidden/>
          </w:rPr>
          <w:fldChar w:fldCharType="end"/>
        </w:r>
      </w:hyperlink>
    </w:p>
    <w:p w14:paraId="47748383" w14:textId="5391FD81" w:rsidR="00374C37" w:rsidRDefault="00000000">
      <w:pPr>
        <w:pStyle w:val="Tabeldefiguri"/>
        <w:tabs>
          <w:tab w:val="right" w:leader="dot" w:pos="9645"/>
        </w:tabs>
        <w:rPr>
          <w:rFonts w:eastAsiaTheme="minorEastAsia"/>
          <w:noProof/>
        </w:rPr>
      </w:pPr>
      <w:hyperlink w:anchor="_Toc96447406" w:history="1">
        <w:r w:rsidR="00374C37" w:rsidRPr="00816733">
          <w:rPr>
            <w:rStyle w:val="Hyperlink"/>
            <w:rFonts w:ascii="Arial" w:hAnsi="Arial" w:cs="Arial"/>
            <w:noProof/>
          </w:rPr>
          <w:t xml:space="preserve">Tabel I.3. 10 – Niveluri de serviciu </w:t>
        </w:r>
        <w:r w:rsidR="00374C37" w:rsidRPr="00816733">
          <w:rPr>
            <w:rStyle w:val="Hyperlink"/>
            <w:rFonts w:ascii="Arial" w:hAnsi="Arial" w:cs="Arial"/>
            <w:noProof/>
            <w:lang w:val="ro-RO"/>
          </w:rPr>
          <w:t>intersecţii Horezu - AM</w:t>
        </w:r>
        <w:r w:rsidR="00374C37">
          <w:rPr>
            <w:noProof/>
            <w:webHidden/>
          </w:rPr>
          <w:tab/>
        </w:r>
        <w:r w:rsidR="00374C37">
          <w:rPr>
            <w:noProof/>
            <w:webHidden/>
          </w:rPr>
          <w:fldChar w:fldCharType="begin"/>
        </w:r>
        <w:r w:rsidR="00374C37">
          <w:rPr>
            <w:noProof/>
            <w:webHidden/>
          </w:rPr>
          <w:instrText xml:space="preserve"> PAGEREF _Toc96447406 \h </w:instrText>
        </w:r>
        <w:r w:rsidR="00374C37">
          <w:rPr>
            <w:noProof/>
            <w:webHidden/>
          </w:rPr>
        </w:r>
        <w:r w:rsidR="00374C37">
          <w:rPr>
            <w:noProof/>
            <w:webHidden/>
          </w:rPr>
          <w:fldChar w:fldCharType="separate"/>
        </w:r>
        <w:r w:rsidR="00BB181C">
          <w:rPr>
            <w:noProof/>
            <w:webHidden/>
          </w:rPr>
          <w:t>173</w:t>
        </w:r>
        <w:r w:rsidR="00374C37">
          <w:rPr>
            <w:noProof/>
            <w:webHidden/>
          </w:rPr>
          <w:fldChar w:fldCharType="end"/>
        </w:r>
      </w:hyperlink>
    </w:p>
    <w:p w14:paraId="5BE613C7" w14:textId="6922D760" w:rsidR="00374C37" w:rsidRDefault="00000000">
      <w:pPr>
        <w:pStyle w:val="Tabeldefiguri"/>
        <w:tabs>
          <w:tab w:val="right" w:leader="dot" w:pos="9645"/>
        </w:tabs>
        <w:rPr>
          <w:rFonts w:eastAsiaTheme="minorEastAsia"/>
          <w:noProof/>
        </w:rPr>
      </w:pPr>
      <w:hyperlink w:anchor="_Toc96447407" w:history="1">
        <w:r w:rsidR="00374C37" w:rsidRPr="00816733">
          <w:rPr>
            <w:rStyle w:val="Hyperlink"/>
            <w:rFonts w:ascii="Arial" w:hAnsi="Arial" w:cs="Arial"/>
            <w:noProof/>
          </w:rPr>
          <w:t>Tabel I.3. 11 - Evoluția parametrilor de trafic (PM) pentru cele 3 orizonturi de timp</w:t>
        </w:r>
        <w:r w:rsidR="00374C37">
          <w:rPr>
            <w:noProof/>
            <w:webHidden/>
          </w:rPr>
          <w:tab/>
        </w:r>
        <w:r w:rsidR="00374C37">
          <w:rPr>
            <w:noProof/>
            <w:webHidden/>
          </w:rPr>
          <w:fldChar w:fldCharType="begin"/>
        </w:r>
        <w:r w:rsidR="00374C37">
          <w:rPr>
            <w:noProof/>
            <w:webHidden/>
          </w:rPr>
          <w:instrText xml:space="preserve"> PAGEREF _Toc96447407 \h </w:instrText>
        </w:r>
        <w:r w:rsidR="00374C37">
          <w:rPr>
            <w:noProof/>
            <w:webHidden/>
          </w:rPr>
        </w:r>
        <w:r w:rsidR="00374C37">
          <w:rPr>
            <w:noProof/>
            <w:webHidden/>
          </w:rPr>
          <w:fldChar w:fldCharType="separate"/>
        </w:r>
        <w:r w:rsidR="00BB181C">
          <w:rPr>
            <w:noProof/>
            <w:webHidden/>
          </w:rPr>
          <w:t>177</w:t>
        </w:r>
        <w:r w:rsidR="00374C37">
          <w:rPr>
            <w:noProof/>
            <w:webHidden/>
          </w:rPr>
          <w:fldChar w:fldCharType="end"/>
        </w:r>
      </w:hyperlink>
    </w:p>
    <w:p w14:paraId="2491954F" w14:textId="2E3E6B51" w:rsidR="00374C37" w:rsidRDefault="00000000">
      <w:pPr>
        <w:pStyle w:val="Tabeldefiguri"/>
        <w:tabs>
          <w:tab w:val="right" w:leader="dot" w:pos="9645"/>
        </w:tabs>
        <w:rPr>
          <w:rFonts w:eastAsiaTheme="minorEastAsia"/>
          <w:noProof/>
        </w:rPr>
      </w:pPr>
      <w:hyperlink w:anchor="_Toc96447408" w:history="1">
        <w:r w:rsidR="00374C37" w:rsidRPr="00816733">
          <w:rPr>
            <w:rStyle w:val="Hyperlink"/>
            <w:rFonts w:ascii="Arial" w:hAnsi="Arial" w:cs="Arial"/>
            <w:noProof/>
          </w:rPr>
          <w:t>Tabel I.3. 12 – Niveluri de serviciu intersecţii Horezu - PM</w:t>
        </w:r>
        <w:r w:rsidR="00374C37">
          <w:rPr>
            <w:noProof/>
            <w:webHidden/>
          </w:rPr>
          <w:tab/>
        </w:r>
        <w:r w:rsidR="00374C37">
          <w:rPr>
            <w:noProof/>
            <w:webHidden/>
          </w:rPr>
          <w:fldChar w:fldCharType="begin"/>
        </w:r>
        <w:r w:rsidR="00374C37">
          <w:rPr>
            <w:noProof/>
            <w:webHidden/>
          </w:rPr>
          <w:instrText xml:space="preserve"> PAGEREF _Toc96447408 \h </w:instrText>
        </w:r>
        <w:r w:rsidR="00374C37">
          <w:rPr>
            <w:noProof/>
            <w:webHidden/>
          </w:rPr>
        </w:r>
        <w:r w:rsidR="00374C37">
          <w:rPr>
            <w:noProof/>
            <w:webHidden/>
          </w:rPr>
          <w:fldChar w:fldCharType="separate"/>
        </w:r>
        <w:r w:rsidR="00BB181C">
          <w:rPr>
            <w:noProof/>
            <w:webHidden/>
          </w:rPr>
          <w:t>177</w:t>
        </w:r>
        <w:r w:rsidR="00374C37">
          <w:rPr>
            <w:noProof/>
            <w:webHidden/>
          </w:rPr>
          <w:fldChar w:fldCharType="end"/>
        </w:r>
      </w:hyperlink>
    </w:p>
    <w:p w14:paraId="0019AD47" w14:textId="5ED44FBD" w:rsidR="00374C37" w:rsidRDefault="00000000">
      <w:pPr>
        <w:pStyle w:val="Tabeldefiguri"/>
        <w:tabs>
          <w:tab w:val="right" w:leader="dot" w:pos="9645"/>
        </w:tabs>
        <w:rPr>
          <w:rFonts w:eastAsiaTheme="minorEastAsia"/>
          <w:noProof/>
        </w:rPr>
      </w:pPr>
      <w:hyperlink w:anchor="_Toc96447409" w:history="1">
        <w:r w:rsidR="00374C37" w:rsidRPr="00816733">
          <w:rPr>
            <w:rStyle w:val="Hyperlink"/>
            <w:rFonts w:ascii="Arial" w:hAnsi="Arial" w:cs="Arial"/>
            <w:noProof/>
          </w:rPr>
          <w:t>Tabel I.3. 13 - Viteza medie de deplasare şi durata medie a călătoriei pentru toată reţeaua inclusiv penetraţii</w:t>
        </w:r>
        <w:r w:rsidR="00374C37">
          <w:rPr>
            <w:noProof/>
            <w:webHidden/>
          </w:rPr>
          <w:tab/>
        </w:r>
        <w:r w:rsidR="00374C37">
          <w:rPr>
            <w:noProof/>
            <w:webHidden/>
          </w:rPr>
          <w:fldChar w:fldCharType="begin"/>
        </w:r>
        <w:r w:rsidR="00374C37">
          <w:rPr>
            <w:noProof/>
            <w:webHidden/>
          </w:rPr>
          <w:instrText xml:space="preserve"> PAGEREF _Toc96447409 \h </w:instrText>
        </w:r>
        <w:r w:rsidR="00374C37">
          <w:rPr>
            <w:noProof/>
            <w:webHidden/>
          </w:rPr>
        </w:r>
        <w:r w:rsidR="00374C37">
          <w:rPr>
            <w:noProof/>
            <w:webHidden/>
          </w:rPr>
          <w:fldChar w:fldCharType="separate"/>
        </w:r>
        <w:r w:rsidR="00BB181C">
          <w:rPr>
            <w:noProof/>
            <w:webHidden/>
          </w:rPr>
          <w:t>181</w:t>
        </w:r>
        <w:r w:rsidR="00374C37">
          <w:rPr>
            <w:noProof/>
            <w:webHidden/>
          </w:rPr>
          <w:fldChar w:fldCharType="end"/>
        </w:r>
      </w:hyperlink>
    </w:p>
    <w:p w14:paraId="53A37A58" w14:textId="3DACD49D" w:rsidR="008F22F2" w:rsidRDefault="00000000" w:rsidP="007246F5">
      <w:pPr>
        <w:pStyle w:val="Tabeldefiguri"/>
        <w:tabs>
          <w:tab w:val="right" w:leader="dot" w:pos="9645"/>
        </w:tabs>
        <w:rPr>
          <w:lang w:val="ro-RO" w:eastAsia="ro-RO"/>
        </w:rPr>
      </w:pPr>
      <w:hyperlink w:anchor="_Toc96447410" w:history="1">
        <w:r w:rsidR="00374C37" w:rsidRPr="00816733">
          <w:rPr>
            <w:rStyle w:val="Hyperlink"/>
            <w:rFonts w:ascii="Arial" w:hAnsi="Arial" w:cs="Arial"/>
            <w:noProof/>
          </w:rPr>
          <w:t>Tabel I.3. 14 - Viteza medie de deplasare si durata medie a călătoriei în interiorul Orașului Horezu</w:t>
        </w:r>
        <w:r w:rsidR="00374C37">
          <w:rPr>
            <w:noProof/>
            <w:webHidden/>
          </w:rPr>
          <w:tab/>
        </w:r>
        <w:r w:rsidR="00374C37">
          <w:rPr>
            <w:noProof/>
            <w:webHidden/>
          </w:rPr>
          <w:fldChar w:fldCharType="begin"/>
        </w:r>
        <w:r w:rsidR="00374C37">
          <w:rPr>
            <w:noProof/>
            <w:webHidden/>
          </w:rPr>
          <w:instrText xml:space="preserve"> PAGEREF _Toc96447410 \h </w:instrText>
        </w:r>
        <w:r w:rsidR="00374C37">
          <w:rPr>
            <w:noProof/>
            <w:webHidden/>
          </w:rPr>
        </w:r>
        <w:r w:rsidR="00374C37">
          <w:rPr>
            <w:noProof/>
            <w:webHidden/>
          </w:rPr>
          <w:fldChar w:fldCharType="separate"/>
        </w:r>
        <w:r w:rsidR="00BB181C">
          <w:rPr>
            <w:noProof/>
            <w:webHidden/>
          </w:rPr>
          <w:t>181</w:t>
        </w:r>
        <w:r w:rsidR="00374C37">
          <w:rPr>
            <w:noProof/>
            <w:webHidden/>
          </w:rPr>
          <w:fldChar w:fldCharType="end"/>
        </w:r>
      </w:hyperlink>
      <w:r w:rsidR="008F22F2">
        <w:rPr>
          <w:lang w:val="ro-RO" w:eastAsia="ro-RO"/>
        </w:rPr>
        <w:fldChar w:fldCharType="end"/>
      </w:r>
    </w:p>
    <w:p w14:paraId="45CB6B48" w14:textId="10AD6219" w:rsidR="00374C37" w:rsidRDefault="008F22F2">
      <w:pPr>
        <w:pStyle w:val="Tabeldefiguri"/>
        <w:tabs>
          <w:tab w:val="right" w:leader="dot" w:pos="9645"/>
        </w:tabs>
        <w:rPr>
          <w:rFonts w:eastAsiaTheme="minorEastAsia"/>
          <w:noProof/>
        </w:rPr>
      </w:pPr>
      <w:r>
        <w:rPr>
          <w:lang w:val="ro-RO" w:eastAsia="ro-RO"/>
        </w:rPr>
        <w:fldChar w:fldCharType="begin"/>
      </w:r>
      <w:r>
        <w:rPr>
          <w:lang w:val="ro-RO" w:eastAsia="ro-RO"/>
        </w:rPr>
        <w:instrText xml:space="preserve"> TOC \h \z \c "Tabel I.4." </w:instrText>
      </w:r>
      <w:r>
        <w:rPr>
          <w:lang w:val="ro-RO" w:eastAsia="ro-RO"/>
        </w:rPr>
        <w:fldChar w:fldCharType="separate"/>
      </w:r>
      <w:hyperlink w:anchor="_Toc96447411" w:history="1">
        <w:r w:rsidR="00374C37" w:rsidRPr="00EE25A2">
          <w:rPr>
            <w:rStyle w:val="Hyperlink"/>
            <w:rFonts w:ascii="Arial" w:hAnsi="Arial" w:cs="Arial"/>
            <w:noProof/>
          </w:rPr>
          <w:t>Tabel I.4. 1 - Nivelurile de serviciu pe rețeaua de drumuri</w:t>
        </w:r>
        <w:r w:rsidR="00374C37">
          <w:rPr>
            <w:noProof/>
            <w:webHidden/>
          </w:rPr>
          <w:tab/>
        </w:r>
        <w:r w:rsidR="00374C37">
          <w:rPr>
            <w:noProof/>
            <w:webHidden/>
          </w:rPr>
          <w:fldChar w:fldCharType="begin"/>
        </w:r>
        <w:r w:rsidR="00374C37">
          <w:rPr>
            <w:noProof/>
            <w:webHidden/>
          </w:rPr>
          <w:instrText xml:space="preserve"> PAGEREF _Toc96447411 \h </w:instrText>
        </w:r>
        <w:r w:rsidR="00374C37">
          <w:rPr>
            <w:noProof/>
            <w:webHidden/>
          </w:rPr>
        </w:r>
        <w:r w:rsidR="00374C37">
          <w:rPr>
            <w:noProof/>
            <w:webHidden/>
          </w:rPr>
          <w:fldChar w:fldCharType="separate"/>
        </w:r>
        <w:r w:rsidR="00BB181C">
          <w:rPr>
            <w:noProof/>
            <w:webHidden/>
          </w:rPr>
          <w:t>184</w:t>
        </w:r>
        <w:r w:rsidR="00374C37">
          <w:rPr>
            <w:noProof/>
            <w:webHidden/>
          </w:rPr>
          <w:fldChar w:fldCharType="end"/>
        </w:r>
      </w:hyperlink>
    </w:p>
    <w:p w14:paraId="27DF7463" w14:textId="1BE1F4D3" w:rsidR="00374C37" w:rsidRDefault="00000000">
      <w:pPr>
        <w:pStyle w:val="Tabeldefiguri"/>
        <w:tabs>
          <w:tab w:val="right" w:leader="dot" w:pos="9645"/>
        </w:tabs>
        <w:rPr>
          <w:rFonts w:eastAsiaTheme="minorEastAsia"/>
          <w:noProof/>
        </w:rPr>
      </w:pPr>
      <w:hyperlink w:anchor="_Toc96447412" w:history="1">
        <w:r w:rsidR="00374C37" w:rsidRPr="00EE25A2">
          <w:rPr>
            <w:rStyle w:val="Hyperlink"/>
            <w:rFonts w:ascii="Arial" w:hAnsi="Arial" w:cs="Arial"/>
            <w:noProof/>
          </w:rPr>
          <w:t>Tabel I.4. 2 - Legătura dintre întârzieri, gradul de saturare al unei intersecții și nivelul de serviciu</w:t>
        </w:r>
        <w:r w:rsidR="00374C37">
          <w:rPr>
            <w:noProof/>
            <w:webHidden/>
          </w:rPr>
          <w:tab/>
        </w:r>
        <w:r w:rsidR="00374C37">
          <w:rPr>
            <w:noProof/>
            <w:webHidden/>
          </w:rPr>
          <w:fldChar w:fldCharType="begin"/>
        </w:r>
        <w:r w:rsidR="00374C37">
          <w:rPr>
            <w:noProof/>
            <w:webHidden/>
          </w:rPr>
          <w:instrText xml:space="preserve"> PAGEREF _Toc96447412 \h </w:instrText>
        </w:r>
        <w:r w:rsidR="00374C37">
          <w:rPr>
            <w:noProof/>
            <w:webHidden/>
          </w:rPr>
        </w:r>
        <w:r w:rsidR="00374C37">
          <w:rPr>
            <w:noProof/>
            <w:webHidden/>
          </w:rPr>
          <w:fldChar w:fldCharType="separate"/>
        </w:r>
        <w:r w:rsidR="00BB181C">
          <w:rPr>
            <w:noProof/>
            <w:webHidden/>
          </w:rPr>
          <w:t>185</w:t>
        </w:r>
        <w:r w:rsidR="00374C37">
          <w:rPr>
            <w:noProof/>
            <w:webHidden/>
          </w:rPr>
          <w:fldChar w:fldCharType="end"/>
        </w:r>
      </w:hyperlink>
    </w:p>
    <w:p w14:paraId="4280BB87" w14:textId="54452F39" w:rsidR="00374C37" w:rsidRDefault="00000000">
      <w:pPr>
        <w:pStyle w:val="Tabeldefiguri"/>
        <w:tabs>
          <w:tab w:val="right" w:leader="dot" w:pos="9645"/>
        </w:tabs>
        <w:rPr>
          <w:rFonts w:eastAsiaTheme="minorEastAsia"/>
          <w:noProof/>
        </w:rPr>
      </w:pPr>
      <w:hyperlink w:anchor="_Toc96447413" w:history="1">
        <w:r w:rsidR="00374C37" w:rsidRPr="00EE25A2">
          <w:rPr>
            <w:rStyle w:val="Hyperlink"/>
            <w:rFonts w:ascii="Arial" w:hAnsi="Arial" w:cs="Arial"/>
            <w:noProof/>
          </w:rPr>
          <w:t>Tabel I.4. 3 - Întârzierile și nivelurile de serviciu înregistrate în intersecțiile studiate–2021 AM</w:t>
        </w:r>
        <w:r w:rsidR="00374C37">
          <w:rPr>
            <w:noProof/>
            <w:webHidden/>
          </w:rPr>
          <w:tab/>
        </w:r>
        <w:r w:rsidR="00374C37">
          <w:rPr>
            <w:noProof/>
            <w:webHidden/>
          </w:rPr>
          <w:fldChar w:fldCharType="begin"/>
        </w:r>
        <w:r w:rsidR="00374C37">
          <w:rPr>
            <w:noProof/>
            <w:webHidden/>
          </w:rPr>
          <w:instrText xml:space="preserve"> PAGEREF _Toc96447413 \h </w:instrText>
        </w:r>
        <w:r w:rsidR="00374C37">
          <w:rPr>
            <w:noProof/>
            <w:webHidden/>
          </w:rPr>
        </w:r>
        <w:r w:rsidR="00374C37">
          <w:rPr>
            <w:noProof/>
            <w:webHidden/>
          </w:rPr>
          <w:fldChar w:fldCharType="separate"/>
        </w:r>
        <w:r w:rsidR="00BB181C">
          <w:rPr>
            <w:noProof/>
            <w:webHidden/>
          </w:rPr>
          <w:t>186</w:t>
        </w:r>
        <w:r w:rsidR="00374C37">
          <w:rPr>
            <w:noProof/>
            <w:webHidden/>
          </w:rPr>
          <w:fldChar w:fldCharType="end"/>
        </w:r>
      </w:hyperlink>
    </w:p>
    <w:p w14:paraId="5FA70168" w14:textId="6E4E0152" w:rsidR="00374C37" w:rsidRDefault="00000000">
      <w:pPr>
        <w:pStyle w:val="Tabeldefiguri"/>
        <w:tabs>
          <w:tab w:val="right" w:leader="dot" w:pos="9645"/>
        </w:tabs>
        <w:rPr>
          <w:rFonts w:eastAsiaTheme="minorEastAsia"/>
          <w:noProof/>
        </w:rPr>
      </w:pPr>
      <w:hyperlink w:anchor="_Toc96447414" w:history="1">
        <w:r w:rsidR="00374C37" w:rsidRPr="00EE25A2">
          <w:rPr>
            <w:rStyle w:val="Hyperlink"/>
            <w:rFonts w:ascii="Arial" w:hAnsi="Arial" w:cs="Arial"/>
            <w:noProof/>
          </w:rPr>
          <w:t>Tabel I.4. 4 - Întarzierile și nivelurile de serviciu înregistrate în intersecțiile studiate–2021 PM</w:t>
        </w:r>
        <w:r w:rsidR="00374C37">
          <w:rPr>
            <w:noProof/>
            <w:webHidden/>
          </w:rPr>
          <w:tab/>
        </w:r>
        <w:r w:rsidR="00374C37">
          <w:rPr>
            <w:noProof/>
            <w:webHidden/>
          </w:rPr>
          <w:fldChar w:fldCharType="begin"/>
        </w:r>
        <w:r w:rsidR="00374C37">
          <w:rPr>
            <w:noProof/>
            <w:webHidden/>
          </w:rPr>
          <w:instrText xml:space="preserve"> PAGEREF _Toc96447414 \h </w:instrText>
        </w:r>
        <w:r w:rsidR="00374C37">
          <w:rPr>
            <w:noProof/>
            <w:webHidden/>
          </w:rPr>
        </w:r>
        <w:r w:rsidR="00374C37">
          <w:rPr>
            <w:noProof/>
            <w:webHidden/>
          </w:rPr>
          <w:fldChar w:fldCharType="separate"/>
        </w:r>
        <w:r w:rsidR="00BB181C">
          <w:rPr>
            <w:noProof/>
            <w:webHidden/>
          </w:rPr>
          <w:t>187</w:t>
        </w:r>
        <w:r w:rsidR="00374C37">
          <w:rPr>
            <w:noProof/>
            <w:webHidden/>
          </w:rPr>
          <w:fldChar w:fldCharType="end"/>
        </w:r>
      </w:hyperlink>
    </w:p>
    <w:p w14:paraId="24EDEB0B" w14:textId="2442BAE3" w:rsidR="00374C37" w:rsidRDefault="00000000">
      <w:pPr>
        <w:pStyle w:val="Tabeldefiguri"/>
        <w:tabs>
          <w:tab w:val="right" w:leader="dot" w:pos="9645"/>
        </w:tabs>
        <w:rPr>
          <w:rFonts w:eastAsiaTheme="minorEastAsia"/>
          <w:noProof/>
        </w:rPr>
      </w:pPr>
      <w:hyperlink w:anchor="_Toc96447415" w:history="1">
        <w:r w:rsidR="00374C37" w:rsidRPr="00EE25A2">
          <w:rPr>
            <w:rStyle w:val="Hyperlink"/>
            <w:rFonts w:ascii="Arial" w:hAnsi="Arial" w:cs="Arial"/>
            <w:noProof/>
          </w:rPr>
          <w:t>Tabel I.4. 5 - Parcursul vehiculelor - mii veh km / an</w:t>
        </w:r>
        <w:r w:rsidR="00374C37">
          <w:rPr>
            <w:noProof/>
            <w:webHidden/>
          </w:rPr>
          <w:tab/>
        </w:r>
        <w:r w:rsidR="00374C37">
          <w:rPr>
            <w:noProof/>
            <w:webHidden/>
          </w:rPr>
          <w:fldChar w:fldCharType="begin"/>
        </w:r>
        <w:r w:rsidR="00374C37">
          <w:rPr>
            <w:noProof/>
            <w:webHidden/>
          </w:rPr>
          <w:instrText xml:space="preserve"> PAGEREF _Toc96447415 \h </w:instrText>
        </w:r>
        <w:r w:rsidR="00374C37">
          <w:rPr>
            <w:noProof/>
            <w:webHidden/>
          </w:rPr>
        </w:r>
        <w:r w:rsidR="00374C37">
          <w:rPr>
            <w:noProof/>
            <w:webHidden/>
          </w:rPr>
          <w:fldChar w:fldCharType="separate"/>
        </w:r>
        <w:r w:rsidR="00BB181C">
          <w:rPr>
            <w:noProof/>
            <w:webHidden/>
          </w:rPr>
          <w:t>188</w:t>
        </w:r>
        <w:r w:rsidR="00374C37">
          <w:rPr>
            <w:noProof/>
            <w:webHidden/>
          </w:rPr>
          <w:fldChar w:fldCharType="end"/>
        </w:r>
      </w:hyperlink>
    </w:p>
    <w:p w14:paraId="565ECCED" w14:textId="6D26076B" w:rsidR="00374C37" w:rsidRDefault="00000000">
      <w:pPr>
        <w:pStyle w:val="Tabeldefiguri"/>
        <w:tabs>
          <w:tab w:val="right" w:leader="dot" w:pos="9645"/>
        </w:tabs>
        <w:rPr>
          <w:rFonts w:eastAsiaTheme="minorEastAsia"/>
          <w:noProof/>
        </w:rPr>
      </w:pPr>
      <w:hyperlink w:anchor="_Toc96447416" w:history="1">
        <w:r w:rsidR="00374C37" w:rsidRPr="00EE25A2">
          <w:rPr>
            <w:rStyle w:val="Hyperlink"/>
            <w:rFonts w:ascii="Arial" w:hAnsi="Arial" w:cs="Arial"/>
            <w:noProof/>
          </w:rPr>
          <w:t>Tabel I.4. 6 - Puncte de monitorizare a calității aerului – jud. Vâlcea</w:t>
        </w:r>
        <w:r w:rsidR="00374C37">
          <w:rPr>
            <w:noProof/>
            <w:webHidden/>
          </w:rPr>
          <w:tab/>
        </w:r>
        <w:r w:rsidR="00374C37">
          <w:rPr>
            <w:noProof/>
            <w:webHidden/>
          </w:rPr>
          <w:fldChar w:fldCharType="begin"/>
        </w:r>
        <w:r w:rsidR="00374C37">
          <w:rPr>
            <w:noProof/>
            <w:webHidden/>
          </w:rPr>
          <w:instrText xml:space="preserve"> PAGEREF _Toc96447416 \h </w:instrText>
        </w:r>
        <w:r w:rsidR="00374C37">
          <w:rPr>
            <w:noProof/>
            <w:webHidden/>
          </w:rPr>
        </w:r>
        <w:r w:rsidR="00374C37">
          <w:rPr>
            <w:noProof/>
            <w:webHidden/>
          </w:rPr>
          <w:fldChar w:fldCharType="separate"/>
        </w:r>
        <w:r w:rsidR="00BB181C">
          <w:rPr>
            <w:noProof/>
            <w:webHidden/>
          </w:rPr>
          <w:t>194</w:t>
        </w:r>
        <w:r w:rsidR="00374C37">
          <w:rPr>
            <w:noProof/>
            <w:webHidden/>
          </w:rPr>
          <w:fldChar w:fldCharType="end"/>
        </w:r>
      </w:hyperlink>
    </w:p>
    <w:p w14:paraId="0DE88854" w14:textId="3F40F962" w:rsidR="00374C37" w:rsidRDefault="00000000">
      <w:pPr>
        <w:pStyle w:val="Tabeldefiguri"/>
        <w:tabs>
          <w:tab w:val="right" w:leader="dot" w:pos="9645"/>
        </w:tabs>
        <w:rPr>
          <w:rFonts w:eastAsiaTheme="minorEastAsia"/>
          <w:noProof/>
        </w:rPr>
      </w:pPr>
      <w:hyperlink w:anchor="_Toc96447417" w:history="1">
        <w:r w:rsidR="00374C37" w:rsidRPr="00EE25A2">
          <w:rPr>
            <w:rStyle w:val="Hyperlink"/>
            <w:rFonts w:ascii="Arial" w:hAnsi="Arial" w:cs="Arial"/>
            <w:noProof/>
          </w:rPr>
          <w:t>Tabel I.4. 7 – Nivele maxim acceptabile ale unor noxe</w:t>
        </w:r>
        <w:r w:rsidR="00374C37">
          <w:rPr>
            <w:noProof/>
            <w:webHidden/>
          </w:rPr>
          <w:tab/>
        </w:r>
        <w:r w:rsidR="00374C37">
          <w:rPr>
            <w:noProof/>
            <w:webHidden/>
          </w:rPr>
          <w:fldChar w:fldCharType="begin"/>
        </w:r>
        <w:r w:rsidR="00374C37">
          <w:rPr>
            <w:noProof/>
            <w:webHidden/>
          </w:rPr>
          <w:instrText xml:space="preserve"> PAGEREF _Toc96447417 \h </w:instrText>
        </w:r>
        <w:r w:rsidR="00374C37">
          <w:rPr>
            <w:noProof/>
            <w:webHidden/>
          </w:rPr>
        </w:r>
        <w:r w:rsidR="00374C37">
          <w:rPr>
            <w:noProof/>
            <w:webHidden/>
          </w:rPr>
          <w:fldChar w:fldCharType="separate"/>
        </w:r>
        <w:r w:rsidR="00BB181C">
          <w:rPr>
            <w:noProof/>
            <w:webHidden/>
          </w:rPr>
          <w:t>196</w:t>
        </w:r>
        <w:r w:rsidR="00374C37">
          <w:rPr>
            <w:noProof/>
            <w:webHidden/>
          </w:rPr>
          <w:fldChar w:fldCharType="end"/>
        </w:r>
      </w:hyperlink>
    </w:p>
    <w:p w14:paraId="2CC2A508" w14:textId="70AF44DA" w:rsidR="00374C37" w:rsidRDefault="00000000">
      <w:pPr>
        <w:pStyle w:val="Tabeldefiguri"/>
        <w:tabs>
          <w:tab w:val="right" w:leader="dot" w:pos="9645"/>
        </w:tabs>
        <w:rPr>
          <w:rFonts w:eastAsiaTheme="minorEastAsia"/>
          <w:noProof/>
        </w:rPr>
      </w:pPr>
      <w:hyperlink w:anchor="_Toc96447418" w:history="1">
        <w:r w:rsidR="00374C37" w:rsidRPr="00EE25A2">
          <w:rPr>
            <w:rStyle w:val="Hyperlink"/>
            <w:rFonts w:ascii="Arial" w:hAnsi="Arial" w:cs="Arial"/>
            <w:noProof/>
          </w:rPr>
          <w:t xml:space="preserve">Tabel I.4. 8 </w:t>
        </w:r>
        <w:r w:rsidR="00374C37" w:rsidRPr="00EE25A2">
          <w:rPr>
            <w:rStyle w:val="Hyperlink"/>
            <w:rFonts w:ascii="Arial" w:hAnsi="Arial" w:cs="Arial"/>
            <w:noProof/>
            <w:lang w:val="fr-FR"/>
          </w:rPr>
          <w:t>– Arii de Protecție Specială Avifaunistică – Natura 2000 – județul Valcea</w:t>
        </w:r>
        <w:r w:rsidR="00374C37">
          <w:rPr>
            <w:noProof/>
            <w:webHidden/>
          </w:rPr>
          <w:tab/>
        </w:r>
        <w:r w:rsidR="00374C37">
          <w:rPr>
            <w:noProof/>
            <w:webHidden/>
          </w:rPr>
          <w:fldChar w:fldCharType="begin"/>
        </w:r>
        <w:r w:rsidR="00374C37">
          <w:rPr>
            <w:noProof/>
            <w:webHidden/>
          </w:rPr>
          <w:instrText xml:space="preserve"> PAGEREF _Toc96447418 \h </w:instrText>
        </w:r>
        <w:r w:rsidR="00374C37">
          <w:rPr>
            <w:noProof/>
            <w:webHidden/>
          </w:rPr>
        </w:r>
        <w:r w:rsidR="00374C37">
          <w:rPr>
            <w:noProof/>
            <w:webHidden/>
          </w:rPr>
          <w:fldChar w:fldCharType="separate"/>
        </w:r>
        <w:r w:rsidR="00BB181C">
          <w:rPr>
            <w:noProof/>
            <w:webHidden/>
          </w:rPr>
          <w:t>198</w:t>
        </w:r>
        <w:r w:rsidR="00374C37">
          <w:rPr>
            <w:noProof/>
            <w:webHidden/>
          </w:rPr>
          <w:fldChar w:fldCharType="end"/>
        </w:r>
      </w:hyperlink>
    </w:p>
    <w:p w14:paraId="4241E552" w14:textId="5CFF7C90" w:rsidR="00374C37" w:rsidRDefault="00000000">
      <w:pPr>
        <w:pStyle w:val="Tabeldefiguri"/>
        <w:tabs>
          <w:tab w:val="right" w:leader="dot" w:pos="9645"/>
        </w:tabs>
        <w:rPr>
          <w:rFonts w:eastAsiaTheme="minorEastAsia"/>
          <w:noProof/>
        </w:rPr>
      </w:pPr>
      <w:hyperlink w:anchor="_Toc96447419" w:history="1">
        <w:r w:rsidR="00374C37" w:rsidRPr="00EE25A2">
          <w:rPr>
            <w:rStyle w:val="Hyperlink"/>
            <w:rFonts w:ascii="Arial" w:hAnsi="Arial" w:cs="Arial"/>
            <w:noProof/>
          </w:rPr>
          <w:t xml:space="preserve">Tabel I.4. 9 </w:t>
        </w:r>
        <w:r w:rsidR="00374C37" w:rsidRPr="00EE25A2">
          <w:rPr>
            <w:rStyle w:val="Hyperlink"/>
            <w:rFonts w:ascii="Arial" w:hAnsi="Arial" w:cs="Arial"/>
            <w:noProof/>
            <w:lang w:val="fr-FR"/>
          </w:rPr>
          <w:t>– Situri de importanță comunitară – Natura 2000 – județul Vâlcea</w:t>
        </w:r>
        <w:r w:rsidR="00374C37">
          <w:rPr>
            <w:noProof/>
            <w:webHidden/>
          </w:rPr>
          <w:tab/>
        </w:r>
        <w:r w:rsidR="00374C37">
          <w:rPr>
            <w:noProof/>
            <w:webHidden/>
          </w:rPr>
          <w:fldChar w:fldCharType="begin"/>
        </w:r>
        <w:r w:rsidR="00374C37">
          <w:rPr>
            <w:noProof/>
            <w:webHidden/>
          </w:rPr>
          <w:instrText xml:space="preserve"> PAGEREF _Toc96447419 \h </w:instrText>
        </w:r>
        <w:r w:rsidR="00374C37">
          <w:rPr>
            <w:noProof/>
            <w:webHidden/>
          </w:rPr>
        </w:r>
        <w:r w:rsidR="00374C37">
          <w:rPr>
            <w:noProof/>
            <w:webHidden/>
          </w:rPr>
          <w:fldChar w:fldCharType="separate"/>
        </w:r>
        <w:r w:rsidR="00BB181C">
          <w:rPr>
            <w:noProof/>
            <w:webHidden/>
          </w:rPr>
          <w:t>198</w:t>
        </w:r>
        <w:r w:rsidR="00374C37">
          <w:rPr>
            <w:noProof/>
            <w:webHidden/>
          </w:rPr>
          <w:fldChar w:fldCharType="end"/>
        </w:r>
      </w:hyperlink>
    </w:p>
    <w:p w14:paraId="75074437" w14:textId="3A2C9A6B" w:rsidR="00374C37" w:rsidRDefault="00000000">
      <w:pPr>
        <w:pStyle w:val="Tabeldefiguri"/>
        <w:tabs>
          <w:tab w:val="right" w:leader="dot" w:pos="9645"/>
        </w:tabs>
        <w:rPr>
          <w:rFonts w:eastAsiaTheme="minorEastAsia"/>
          <w:noProof/>
        </w:rPr>
      </w:pPr>
      <w:hyperlink w:anchor="_Toc96447420" w:history="1">
        <w:r w:rsidR="00374C37" w:rsidRPr="00EE25A2">
          <w:rPr>
            <w:rStyle w:val="Hyperlink"/>
            <w:rFonts w:ascii="Arial" w:hAnsi="Arial" w:cs="Arial"/>
            <w:noProof/>
          </w:rPr>
          <w:t xml:space="preserve">Tabel I.4. 10 </w:t>
        </w:r>
        <w:r w:rsidR="00374C37" w:rsidRPr="00EE25A2">
          <w:rPr>
            <w:rStyle w:val="Hyperlink"/>
            <w:rFonts w:ascii="Arial" w:hAnsi="Arial" w:cs="Arial"/>
            <w:noProof/>
            <w:lang w:val="fr-FR"/>
          </w:rPr>
          <w:t>– Arii naturale protejate de interes national  - județul Vâlcea</w:t>
        </w:r>
        <w:r w:rsidR="00374C37">
          <w:rPr>
            <w:noProof/>
            <w:webHidden/>
          </w:rPr>
          <w:tab/>
        </w:r>
        <w:r w:rsidR="00374C37">
          <w:rPr>
            <w:noProof/>
            <w:webHidden/>
          </w:rPr>
          <w:fldChar w:fldCharType="begin"/>
        </w:r>
        <w:r w:rsidR="00374C37">
          <w:rPr>
            <w:noProof/>
            <w:webHidden/>
          </w:rPr>
          <w:instrText xml:space="preserve"> PAGEREF _Toc96447420 \h </w:instrText>
        </w:r>
        <w:r w:rsidR="00374C37">
          <w:rPr>
            <w:noProof/>
            <w:webHidden/>
          </w:rPr>
        </w:r>
        <w:r w:rsidR="00374C37">
          <w:rPr>
            <w:noProof/>
            <w:webHidden/>
          </w:rPr>
          <w:fldChar w:fldCharType="separate"/>
        </w:r>
        <w:r w:rsidR="00BB181C">
          <w:rPr>
            <w:noProof/>
            <w:webHidden/>
          </w:rPr>
          <w:t>199</w:t>
        </w:r>
        <w:r w:rsidR="00374C37">
          <w:rPr>
            <w:noProof/>
            <w:webHidden/>
          </w:rPr>
          <w:fldChar w:fldCharType="end"/>
        </w:r>
      </w:hyperlink>
    </w:p>
    <w:p w14:paraId="32D0F27C" w14:textId="3DCC8898" w:rsidR="00374C37" w:rsidRDefault="00000000">
      <w:pPr>
        <w:pStyle w:val="Tabeldefiguri"/>
        <w:tabs>
          <w:tab w:val="right" w:leader="dot" w:pos="9645"/>
        </w:tabs>
        <w:rPr>
          <w:rFonts w:eastAsiaTheme="minorEastAsia"/>
          <w:noProof/>
        </w:rPr>
      </w:pPr>
      <w:hyperlink w:anchor="_Toc96447421" w:history="1">
        <w:r w:rsidR="00374C37" w:rsidRPr="00EE25A2">
          <w:rPr>
            <w:rStyle w:val="Hyperlink"/>
            <w:rFonts w:ascii="Arial" w:hAnsi="Arial" w:cs="Arial"/>
            <w:noProof/>
          </w:rPr>
          <w:t>Tabel I.4. 13 - Situaţia accidentelor rutiere din zona urbana Horezu în perioada 2018-2021</w:t>
        </w:r>
        <w:r w:rsidR="00374C37">
          <w:rPr>
            <w:noProof/>
            <w:webHidden/>
          </w:rPr>
          <w:tab/>
        </w:r>
        <w:r w:rsidR="00374C37">
          <w:rPr>
            <w:noProof/>
            <w:webHidden/>
          </w:rPr>
          <w:fldChar w:fldCharType="begin"/>
        </w:r>
        <w:r w:rsidR="00374C37">
          <w:rPr>
            <w:noProof/>
            <w:webHidden/>
          </w:rPr>
          <w:instrText xml:space="preserve"> PAGEREF _Toc96447421 \h </w:instrText>
        </w:r>
        <w:r w:rsidR="00374C37">
          <w:rPr>
            <w:noProof/>
            <w:webHidden/>
          </w:rPr>
        </w:r>
        <w:r w:rsidR="00374C37">
          <w:rPr>
            <w:noProof/>
            <w:webHidden/>
          </w:rPr>
          <w:fldChar w:fldCharType="separate"/>
        </w:r>
        <w:r w:rsidR="00BB181C">
          <w:rPr>
            <w:noProof/>
            <w:webHidden/>
          </w:rPr>
          <w:t>214</w:t>
        </w:r>
        <w:r w:rsidR="00374C37">
          <w:rPr>
            <w:noProof/>
            <w:webHidden/>
          </w:rPr>
          <w:fldChar w:fldCharType="end"/>
        </w:r>
      </w:hyperlink>
    </w:p>
    <w:p w14:paraId="14F3464E" w14:textId="3CBA8F15" w:rsidR="00374C37" w:rsidRDefault="00000000">
      <w:pPr>
        <w:pStyle w:val="Tabeldefiguri"/>
        <w:tabs>
          <w:tab w:val="right" w:leader="dot" w:pos="9645"/>
        </w:tabs>
        <w:rPr>
          <w:rFonts w:eastAsiaTheme="minorEastAsia"/>
          <w:noProof/>
        </w:rPr>
      </w:pPr>
      <w:hyperlink w:anchor="_Toc96447422" w:history="1">
        <w:r w:rsidR="00374C37" w:rsidRPr="00EE25A2">
          <w:rPr>
            <w:rStyle w:val="Hyperlink"/>
            <w:rFonts w:ascii="Arial" w:hAnsi="Arial" w:cs="Arial"/>
            <w:noProof/>
          </w:rPr>
          <w:t>Tabel I.4. 14 - Lungimea cozilor de asteptare 2021 (veh)</w:t>
        </w:r>
        <w:r w:rsidR="00374C37">
          <w:rPr>
            <w:noProof/>
            <w:webHidden/>
          </w:rPr>
          <w:tab/>
        </w:r>
        <w:r w:rsidR="00374C37">
          <w:rPr>
            <w:noProof/>
            <w:webHidden/>
          </w:rPr>
          <w:fldChar w:fldCharType="begin"/>
        </w:r>
        <w:r w:rsidR="00374C37">
          <w:rPr>
            <w:noProof/>
            <w:webHidden/>
          </w:rPr>
          <w:instrText xml:space="preserve"> PAGEREF _Toc96447422 \h </w:instrText>
        </w:r>
        <w:r w:rsidR="00374C37">
          <w:rPr>
            <w:noProof/>
            <w:webHidden/>
          </w:rPr>
        </w:r>
        <w:r w:rsidR="00374C37">
          <w:rPr>
            <w:noProof/>
            <w:webHidden/>
          </w:rPr>
          <w:fldChar w:fldCharType="separate"/>
        </w:r>
        <w:r w:rsidR="00BB181C">
          <w:rPr>
            <w:noProof/>
            <w:webHidden/>
          </w:rPr>
          <w:t>220</w:t>
        </w:r>
        <w:r w:rsidR="00374C37">
          <w:rPr>
            <w:noProof/>
            <w:webHidden/>
          </w:rPr>
          <w:fldChar w:fldCharType="end"/>
        </w:r>
      </w:hyperlink>
    </w:p>
    <w:p w14:paraId="0E1EEC0E" w14:textId="693AA9C2" w:rsidR="00374C37" w:rsidRDefault="00000000" w:rsidP="007246F5">
      <w:pPr>
        <w:pStyle w:val="Tabeldefiguri"/>
        <w:tabs>
          <w:tab w:val="right" w:leader="dot" w:pos="9645"/>
        </w:tabs>
        <w:rPr>
          <w:noProof/>
        </w:rPr>
      </w:pPr>
      <w:hyperlink w:anchor="_Toc96447423" w:history="1">
        <w:r w:rsidR="00374C37" w:rsidRPr="00EE25A2">
          <w:rPr>
            <w:rStyle w:val="Hyperlink"/>
            <w:rFonts w:ascii="Arial" w:hAnsi="Arial" w:cs="Arial"/>
            <w:noProof/>
          </w:rPr>
          <w:t>Tabel I.4. 15 - Concluzii referitoare la situația actuală</w:t>
        </w:r>
        <w:r w:rsidR="00374C37">
          <w:rPr>
            <w:noProof/>
            <w:webHidden/>
          </w:rPr>
          <w:tab/>
        </w:r>
        <w:r w:rsidR="00374C37">
          <w:rPr>
            <w:noProof/>
            <w:webHidden/>
          </w:rPr>
          <w:fldChar w:fldCharType="begin"/>
        </w:r>
        <w:r w:rsidR="00374C37">
          <w:rPr>
            <w:noProof/>
            <w:webHidden/>
          </w:rPr>
          <w:instrText xml:space="preserve"> PAGEREF _Toc96447423 \h </w:instrText>
        </w:r>
        <w:r w:rsidR="00374C37">
          <w:rPr>
            <w:noProof/>
            <w:webHidden/>
          </w:rPr>
        </w:r>
        <w:r w:rsidR="00374C37">
          <w:rPr>
            <w:noProof/>
            <w:webHidden/>
          </w:rPr>
          <w:fldChar w:fldCharType="separate"/>
        </w:r>
        <w:r w:rsidR="00BB181C">
          <w:rPr>
            <w:noProof/>
            <w:webHidden/>
          </w:rPr>
          <w:t>221</w:t>
        </w:r>
        <w:r w:rsidR="00374C37">
          <w:rPr>
            <w:noProof/>
            <w:webHidden/>
          </w:rPr>
          <w:fldChar w:fldCharType="end"/>
        </w:r>
      </w:hyperlink>
      <w:r w:rsidR="008F22F2">
        <w:rPr>
          <w:lang w:val="ro-RO" w:eastAsia="ro-RO"/>
        </w:rPr>
        <w:fldChar w:fldCharType="end"/>
      </w:r>
      <w:r w:rsidR="00F92A5C">
        <w:rPr>
          <w:rFonts w:ascii="Arial" w:hAnsi="Arial" w:cs="Arial"/>
          <w:b/>
          <w:bCs/>
          <w:lang w:val="ro-RO" w:eastAsia="ro-RO"/>
        </w:rPr>
        <w:fldChar w:fldCharType="begin"/>
      </w:r>
      <w:r w:rsidR="00F92A5C">
        <w:rPr>
          <w:rFonts w:ascii="Arial" w:hAnsi="Arial" w:cs="Arial"/>
          <w:b/>
          <w:bCs/>
          <w:lang w:val="ro-RO" w:eastAsia="ro-RO"/>
        </w:rPr>
        <w:instrText xml:space="preserve"> TOC \h \z \c "Tabel I.5." </w:instrText>
      </w:r>
      <w:r w:rsidR="00F92A5C">
        <w:rPr>
          <w:rFonts w:ascii="Arial" w:hAnsi="Arial" w:cs="Arial"/>
          <w:b/>
          <w:bCs/>
          <w:lang w:val="ro-RO" w:eastAsia="ro-RO"/>
        </w:rPr>
        <w:fldChar w:fldCharType="separate"/>
      </w:r>
    </w:p>
    <w:p w14:paraId="53527E5F" w14:textId="3931EAF3" w:rsidR="00374C37" w:rsidRDefault="00000000">
      <w:pPr>
        <w:pStyle w:val="Tabeldefiguri"/>
        <w:tabs>
          <w:tab w:val="right" w:leader="dot" w:pos="9645"/>
        </w:tabs>
        <w:rPr>
          <w:rFonts w:eastAsiaTheme="minorEastAsia"/>
          <w:noProof/>
        </w:rPr>
      </w:pPr>
      <w:hyperlink w:anchor="_Toc96447424" w:history="1">
        <w:r w:rsidR="00374C37" w:rsidRPr="00DB29E2">
          <w:rPr>
            <w:rStyle w:val="Hyperlink"/>
            <w:rFonts w:ascii="Arial" w:hAnsi="Arial" w:cs="Arial"/>
            <w:noProof/>
          </w:rPr>
          <w:t>Tabel I.5. 1  - Dimensiunea economică</w:t>
        </w:r>
        <w:r w:rsidR="00374C37">
          <w:rPr>
            <w:noProof/>
            <w:webHidden/>
          </w:rPr>
          <w:tab/>
        </w:r>
        <w:r w:rsidR="00374C37">
          <w:rPr>
            <w:noProof/>
            <w:webHidden/>
          </w:rPr>
          <w:fldChar w:fldCharType="begin"/>
        </w:r>
        <w:r w:rsidR="00374C37">
          <w:rPr>
            <w:noProof/>
            <w:webHidden/>
          </w:rPr>
          <w:instrText xml:space="preserve"> PAGEREF _Toc96447424 \h </w:instrText>
        </w:r>
        <w:r w:rsidR="00374C37">
          <w:rPr>
            <w:noProof/>
            <w:webHidden/>
          </w:rPr>
        </w:r>
        <w:r w:rsidR="00374C37">
          <w:rPr>
            <w:noProof/>
            <w:webHidden/>
          </w:rPr>
          <w:fldChar w:fldCharType="separate"/>
        </w:r>
        <w:r w:rsidR="00BB181C">
          <w:rPr>
            <w:noProof/>
            <w:webHidden/>
          </w:rPr>
          <w:t>225</w:t>
        </w:r>
        <w:r w:rsidR="00374C37">
          <w:rPr>
            <w:noProof/>
            <w:webHidden/>
          </w:rPr>
          <w:fldChar w:fldCharType="end"/>
        </w:r>
      </w:hyperlink>
    </w:p>
    <w:p w14:paraId="1EC6DF93" w14:textId="22A02E7B" w:rsidR="00374C37" w:rsidRDefault="00000000">
      <w:pPr>
        <w:pStyle w:val="Tabeldefiguri"/>
        <w:tabs>
          <w:tab w:val="right" w:leader="dot" w:pos="9645"/>
        </w:tabs>
        <w:rPr>
          <w:rFonts w:eastAsiaTheme="minorEastAsia"/>
          <w:noProof/>
        </w:rPr>
      </w:pPr>
      <w:hyperlink w:anchor="_Toc96447425" w:history="1">
        <w:r w:rsidR="00374C37" w:rsidRPr="00DB29E2">
          <w:rPr>
            <w:rStyle w:val="Hyperlink"/>
            <w:rFonts w:ascii="Arial" w:hAnsi="Arial" w:cs="Arial"/>
            <w:noProof/>
          </w:rPr>
          <w:t>Tabel I.5. 2 – Dimensiunea socială</w:t>
        </w:r>
        <w:r w:rsidR="00374C37">
          <w:rPr>
            <w:noProof/>
            <w:webHidden/>
          </w:rPr>
          <w:tab/>
        </w:r>
        <w:r w:rsidR="00374C37">
          <w:rPr>
            <w:noProof/>
            <w:webHidden/>
          </w:rPr>
          <w:fldChar w:fldCharType="begin"/>
        </w:r>
        <w:r w:rsidR="00374C37">
          <w:rPr>
            <w:noProof/>
            <w:webHidden/>
          </w:rPr>
          <w:instrText xml:space="preserve"> PAGEREF _Toc96447425 \h </w:instrText>
        </w:r>
        <w:r w:rsidR="00374C37">
          <w:rPr>
            <w:noProof/>
            <w:webHidden/>
          </w:rPr>
        </w:r>
        <w:r w:rsidR="00374C37">
          <w:rPr>
            <w:noProof/>
            <w:webHidden/>
          </w:rPr>
          <w:fldChar w:fldCharType="separate"/>
        </w:r>
        <w:r w:rsidR="00BB181C">
          <w:rPr>
            <w:noProof/>
            <w:webHidden/>
          </w:rPr>
          <w:t>225</w:t>
        </w:r>
        <w:r w:rsidR="00374C37">
          <w:rPr>
            <w:noProof/>
            <w:webHidden/>
          </w:rPr>
          <w:fldChar w:fldCharType="end"/>
        </w:r>
      </w:hyperlink>
    </w:p>
    <w:p w14:paraId="4E7BD4CE" w14:textId="5950813F" w:rsidR="00374C37" w:rsidRDefault="00000000">
      <w:pPr>
        <w:pStyle w:val="Tabeldefiguri"/>
        <w:tabs>
          <w:tab w:val="right" w:leader="dot" w:pos="9645"/>
        </w:tabs>
        <w:rPr>
          <w:rFonts w:eastAsiaTheme="minorEastAsia"/>
          <w:noProof/>
        </w:rPr>
      </w:pPr>
      <w:hyperlink w:anchor="_Toc96447426" w:history="1">
        <w:r w:rsidR="00374C37" w:rsidRPr="00DB29E2">
          <w:rPr>
            <w:rStyle w:val="Hyperlink"/>
            <w:rFonts w:ascii="Arial" w:hAnsi="Arial" w:cs="Arial"/>
            <w:noProof/>
          </w:rPr>
          <w:t>Tabel I.5. 3 - Dimensiunea instituţională</w:t>
        </w:r>
        <w:r w:rsidR="00374C37">
          <w:rPr>
            <w:noProof/>
            <w:webHidden/>
          </w:rPr>
          <w:tab/>
        </w:r>
        <w:r w:rsidR="00374C37">
          <w:rPr>
            <w:noProof/>
            <w:webHidden/>
          </w:rPr>
          <w:fldChar w:fldCharType="begin"/>
        </w:r>
        <w:r w:rsidR="00374C37">
          <w:rPr>
            <w:noProof/>
            <w:webHidden/>
          </w:rPr>
          <w:instrText xml:space="preserve"> PAGEREF _Toc96447426 \h </w:instrText>
        </w:r>
        <w:r w:rsidR="00374C37">
          <w:rPr>
            <w:noProof/>
            <w:webHidden/>
          </w:rPr>
        </w:r>
        <w:r w:rsidR="00374C37">
          <w:rPr>
            <w:noProof/>
            <w:webHidden/>
          </w:rPr>
          <w:fldChar w:fldCharType="separate"/>
        </w:r>
        <w:r w:rsidR="00BB181C">
          <w:rPr>
            <w:noProof/>
            <w:webHidden/>
          </w:rPr>
          <w:t>225</w:t>
        </w:r>
        <w:r w:rsidR="00374C37">
          <w:rPr>
            <w:noProof/>
            <w:webHidden/>
          </w:rPr>
          <w:fldChar w:fldCharType="end"/>
        </w:r>
      </w:hyperlink>
    </w:p>
    <w:p w14:paraId="7F9FCAD5" w14:textId="0F42A129" w:rsidR="00374C37" w:rsidRDefault="00000000">
      <w:pPr>
        <w:pStyle w:val="Tabeldefiguri"/>
        <w:tabs>
          <w:tab w:val="right" w:leader="dot" w:pos="9645"/>
        </w:tabs>
        <w:rPr>
          <w:rFonts w:eastAsiaTheme="minorEastAsia"/>
          <w:noProof/>
        </w:rPr>
      </w:pPr>
      <w:hyperlink w:anchor="_Toc96447427" w:history="1">
        <w:r w:rsidR="00374C37" w:rsidRPr="00DB29E2">
          <w:rPr>
            <w:rStyle w:val="Hyperlink"/>
            <w:rFonts w:ascii="Arial" w:hAnsi="Arial" w:cs="Arial"/>
            <w:noProof/>
          </w:rPr>
          <w:t>Tabel I.5. 4  - Dimensiunea de mediu</w:t>
        </w:r>
        <w:r w:rsidR="00374C37">
          <w:rPr>
            <w:noProof/>
            <w:webHidden/>
          </w:rPr>
          <w:tab/>
        </w:r>
        <w:r w:rsidR="00374C37">
          <w:rPr>
            <w:noProof/>
            <w:webHidden/>
          </w:rPr>
          <w:fldChar w:fldCharType="begin"/>
        </w:r>
        <w:r w:rsidR="00374C37">
          <w:rPr>
            <w:noProof/>
            <w:webHidden/>
          </w:rPr>
          <w:instrText xml:space="preserve"> PAGEREF _Toc96447427 \h </w:instrText>
        </w:r>
        <w:r w:rsidR="00374C37">
          <w:rPr>
            <w:noProof/>
            <w:webHidden/>
          </w:rPr>
        </w:r>
        <w:r w:rsidR="00374C37">
          <w:rPr>
            <w:noProof/>
            <w:webHidden/>
          </w:rPr>
          <w:fldChar w:fldCharType="separate"/>
        </w:r>
        <w:r w:rsidR="00BB181C">
          <w:rPr>
            <w:noProof/>
            <w:webHidden/>
          </w:rPr>
          <w:t>226</w:t>
        </w:r>
        <w:r w:rsidR="00374C37">
          <w:rPr>
            <w:noProof/>
            <w:webHidden/>
          </w:rPr>
          <w:fldChar w:fldCharType="end"/>
        </w:r>
      </w:hyperlink>
    </w:p>
    <w:p w14:paraId="33C03FA2" w14:textId="08987608" w:rsidR="00374C37" w:rsidRDefault="00000000" w:rsidP="007246F5">
      <w:pPr>
        <w:pStyle w:val="Tabeldefiguri"/>
        <w:tabs>
          <w:tab w:val="right" w:leader="dot" w:pos="9645"/>
        </w:tabs>
        <w:rPr>
          <w:noProof/>
        </w:rPr>
      </w:pPr>
      <w:hyperlink w:anchor="_Toc96447428" w:history="1">
        <w:r w:rsidR="00374C37" w:rsidRPr="00DB29E2">
          <w:rPr>
            <w:rStyle w:val="Hyperlink"/>
            <w:rFonts w:ascii="Arial" w:hAnsi="Arial" w:cs="Arial"/>
            <w:noProof/>
          </w:rPr>
          <w:t>Tabel I.5. 5 - Probleme ridicate de grupurile angrenate în evoluția transportului urban</w:t>
        </w:r>
        <w:r w:rsidR="00374C37">
          <w:rPr>
            <w:noProof/>
            <w:webHidden/>
          </w:rPr>
          <w:tab/>
        </w:r>
        <w:r w:rsidR="00374C37">
          <w:rPr>
            <w:noProof/>
            <w:webHidden/>
          </w:rPr>
          <w:fldChar w:fldCharType="begin"/>
        </w:r>
        <w:r w:rsidR="00374C37">
          <w:rPr>
            <w:noProof/>
            <w:webHidden/>
          </w:rPr>
          <w:instrText xml:space="preserve"> PAGEREF _Toc96447428 \h </w:instrText>
        </w:r>
        <w:r w:rsidR="00374C37">
          <w:rPr>
            <w:noProof/>
            <w:webHidden/>
          </w:rPr>
        </w:r>
        <w:r w:rsidR="00374C37">
          <w:rPr>
            <w:noProof/>
            <w:webHidden/>
          </w:rPr>
          <w:fldChar w:fldCharType="separate"/>
        </w:r>
        <w:r w:rsidR="00BB181C">
          <w:rPr>
            <w:noProof/>
            <w:webHidden/>
          </w:rPr>
          <w:t>227</w:t>
        </w:r>
        <w:r w:rsidR="00374C37">
          <w:rPr>
            <w:noProof/>
            <w:webHidden/>
          </w:rPr>
          <w:fldChar w:fldCharType="end"/>
        </w:r>
      </w:hyperlink>
      <w:r w:rsidR="00F92A5C">
        <w:rPr>
          <w:rFonts w:ascii="Arial" w:hAnsi="Arial" w:cs="Arial"/>
          <w:b/>
          <w:bCs/>
          <w:lang w:val="ro-RO" w:eastAsia="ro-RO"/>
        </w:rPr>
        <w:fldChar w:fldCharType="end"/>
      </w:r>
      <w:r w:rsidR="00F92A5C">
        <w:rPr>
          <w:rFonts w:ascii="Arial" w:hAnsi="Arial" w:cs="Arial"/>
          <w:b/>
          <w:bCs/>
          <w:lang w:val="ro-RO" w:eastAsia="ro-RO"/>
        </w:rPr>
        <w:fldChar w:fldCharType="begin"/>
      </w:r>
      <w:r w:rsidR="00F92A5C">
        <w:rPr>
          <w:rFonts w:ascii="Arial" w:hAnsi="Arial" w:cs="Arial"/>
          <w:b/>
          <w:bCs/>
          <w:lang w:val="ro-RO" w:eastAsia="ro-RO"/>
        </w:rPr>
        <w:instrText xml:space="preserve"> TOC \h \z \c "Tabel I.6." </w:instrText>
      </w:r>
      <w:r w:rsidR="00F92A5C">
        <w:rPr>
          <w:rFonts w:ascii="Arial" w:hAnsi="Arial" w:cs="Arial"/>
          <w:b/>
          <w:bCs/>
          <w:lang w:val="ro-RO" w:eastAsia="ro-RO"/>
        </w:rPr>
        <w:fldChar w:fldCharType="separate"/>
      </w:r>
    </w:p>
    <w:p w14:paraId="7155FE25" w14:textId="5B02E3F8" w:rsidR="00374C37" w:rsidRDefault="00000000">
      <w:pPr>
        <w:pStyle w:val="Tabeldefiguri"/>
        <w:tabs>
          <w:tab w:val="right" w:leader="dot" w:pos="9645"/>
        </w:tabs>
        <w:rPr>
          <w:rFonts w:eastAsiaTheme="minorEastAsia"/>
          <w:noProof/>
        </w:rPr>
      </w:pPr>
      <w:hyperlink w:anchor="_Toc96447429" w:history="1">
        <w:r w:rsidR="00374C37" w:rsidRPr="008C5BBC">
          <w:rPr>
            <w:rStyle w:val="Hyperlink"/>
            <w:rFonts w:ascii="Arial" w:hAnsi="Arial" w:cs="Arial"/>
            <w:noProof/>
          </w:rPr>
          <w:t>Tabel I.6. 1 - Puncte de vedere care jaloneazǎ constituirea scenariilor</w:t>
        </w:r>
        <w:r w:rsidR="00374C37">
          <w:rPr>
            <w:noProof/>
            <w:webHidden/>
          </w:rPr>
          <w:tab/>
        </w:r>
        <w:r w:rsidR="00374C37">
          <w:rPr>
            <w:noProof/>
            <w:webHidden/>
          </w:rPr>
          <w:fldChar w:fldCharType="begin"/>
        </w:r>
        <w:r w:rsidR="00374C37">
          <w:rPr>
            <w:noProof/>
            <w:webHidden/>
          </w:rPr>
          <w:instrText xml:space="preserve"> PAGEREF _Toc96447429 \h </w:instrText>
        </w:r>
        <w:r w:rsidR="00374C37">
          <w:rPr>
            <w:noProof/>
            <w:webHidden/>
          </w:rPr>
        </w:r>
        <w:r w:rsidR="00374C37">
          <w:rPr>
            <w:noProof/>
            <w:webHidden/>
          </w:rPr>
          <w:fldChar w:fldCharType="separate"/>
        </w:r>
        <w:r w:rsidR="00BB181C">
          <w:rPr>
            <w:noProof/>
            <w:webHidden/>
          </w:rPr>
          <w:t>247</w:t>
        </w:r>
        <w:r w:rsidR="00374C37">
          <w:rPr>
            <w:noProof/>
            <w:webHidden/>
          </w:rPr>
          <w:fldChar w:fldCharType="end"/>
        </w:r>
      </w:hyperlink>
    </w:p>
    <w:p w14:paraId="0B03B88C" w14:textId="6168DDCA" w:rsidR="00374C37" w:rsidRDefault="00000000">
      <w:pPr>
        <w:pStyle w:val="Tabeldefiguri"/>
        <w:tabs>
          <w:tab w:val="right" w:leader="dot" w:pos="9645"/>
        </w:tabs>
        <w:rPr>
          <w:rFonts w:eastAsiaTheme="minorEastAsia"/>
          <w:noProof/>
        </w:rPr>
      </w:pPr>
      <w:hyperlink w:anchor="_Toc96447430" w:history="1">
        <w:r w:rsidR="00374C37" w:rsidRPr="008C5BBC">
          <w:rPr>
            <w:rStyle w:val="Hyperlink"/>
            <w:rFonts w:ascii="Arial" w:hAnsi="Arial" w:cs="Arial"/>
            <w:noProof/>
          </w:rPr>
          <w:t>Tabel I.6. 2- Proiecte/măsuri la scară periurbană/metropolitană</w:t>
        </w:r>
        <w:r w:rsidR="00374C37">
          <w:rPr>
            <w:noProof/>
            <w:webHidden/>
          </w:rPr>
          <w:tab/>
        </w:r>
        <w:r w:rsidR="00374C37">
          <w:rPr>
            <w:noProof/>
            <w:webHidden/>
          </w:rPr>
          <w:fldChar w:fldCharType="begin"/>
        </w:r>
        <w:r w:rsidR="00374C37">
          <w:rPr>
            <w:noProof/>
            <w:webHidden/>
          </w:rPr>
          <w:instrText xml:space="preserve"> PAGEREF _Toc96447430 \h </w:instrText>
        </w:r>
        <w:r w:rsidR="00374C37">
          <w:rPr>
            <w:noProof/>
            <w:webHidden/>
          </w:rPr>
        </w:r>
        <w:r w:rsidR="00374C37">
          <w:rPr>
            <w:noProof/>
            <w:webHidden/>
          </w:rPr>
          <w:fldChar w:fldCharType="separate"/>
        </w:r>
        <w:r w:rsidR="00BB181C">
          <w:rPr>
            <w:noProof/>
            <w:webHidden/>
          </w:rPr>
          <w:t>268</w:t>
        </w:r>
        <w:r w:rsidR="00374C37">
          <w:rPr>
            <w:noProof/>
            <w:webHidden/>
          </w:rPr>
          <w:fldChar w:fldCharType="end"/>
        </w:r>
      </w:hyperlink>
    </w:p>
    <w:p w14:paraId="0F678FA7" w14:textId="2CFFE00A" w:rsidR="008F5B8D" w:rsidRPr="00A31042" w:rsidRDefault="00000000" w:rsidP="007246F5">
      <w:pPr>
        <w:pStyle w:val="Tabeldefiguri"/>
        <w:tabs>
          <w:tab w:val="right" w:leader="dot" w:pos="9645"/>
        </w:tabs>
        <w:rPr>
          <w:rFonts w:ascii="Arial" w:hAnsi="Arial" w:cs="Arial"/>
          <w:b/>
          <w:bCs/>
          <w:lang w:val="ro-RO" w:eastAsia="ro-RO"/>
        </w:rPr>
      </w:pPr>
      <w:hyperlink w:anchor="_Toc96447431" w:history="1">
        <w:r w:rsidR="00374C37" w:rsidRPr="008C5BBC">
          <w:rPr>
            <w:rStyle w:val="Hyperlink"/>
            <w:rFonts w:ascii="Arial" w:hAnsi="Arial" w:cs="Arial"/>
            <w:noProof/>
          </w:rPr>
          <w:t>Tabel I.6. 3 - Proiecte/măsuri la scara localităţilor de referinţă</w:t>
        </w:r>
        <w:r w:rsidR="00374C37">
          <w:rPr>
            <w:noProof/>
            <w:webHidden/>
          </w:rPr>
          <w:tab/>
        </w:r>
        <w:r w:rsidR="00374C37">
          <w:rPr>
            <w:noProof/>
            <w:webHidden/>
          </w:rPr>
          <w:fldChar w:fldCharType="begin"/>
        </w:r>
        <w:r w:rsidR="00374C37">
          <w:rPr>
            <w:noProof/>
            <w:webHidden/>
          </w:rPr>
          <w:instrText xml:space="preserve"> PAGEREF _Toc96447431 \h </w:instrText>
        </w:r>
        <w:r w:rsidR="00374C37">
          <w:rPr>
            <w:noProof/>
            <w:webHidden/>
          </w:rPr>
        </w:r>
        <w:r w:rsidR="00374C37">
          <w:rPr>
            <w:noProof/>
            <w:webHidden/>
          </w:rPr>
          <w:fldChar w:fldCharType="separate"/>
        </w:r>
        <w:r w:rsidR="00BB181C">
          <w:rPr>
            <w:noProof/>
            <w:webHidden/>
          </w:rPr>
          <w:t>269</w:t>
        </w:r>
        <w:r w:rsidR="00374C37">
          <w:rPr>
            <w:noProof/>
            <w:webHidden/>
          </w:rPr>
          <w:fldChar w:fldCharType="end"/>
        </w:r>
      </w:hyperlink>
      <w:r w:rsidR="00F92A5C">
        <w:rPr>
          <w:rFonts w:ascii="Arial" w:hAnsi="Arial" w:cs="Arial"/>
          <w:b/>
          <w:bCs/>
          <w:lang w:val="ro-RO" w:eastAsia="ro-RO"/>
        </w:rPr>
        <w:fldChar w:fldCharType="end"/>
      </w:r>
    </w:p>
    <w:p w14:paraId="6E6CB03A" w14:textId="6CAFD5B0" w:rsidR="00846562" w:rsidRDefault="008F22F2">
      <w:pPr>
        <w:pStyle w:val="Tabeldefiguri"/>
        <w:tabs>
          <w:tab w:val="right" w:leader="dot" w:pos="9645"/>
        </w:tabs>
        <w:rPr>
          <w:rFonts w:eastAsiaTheme="minorEastAsia"/>
          <w:noProof/>
        </w:rPr>
      </w:pPr>
      <w:r>
        <w:rPr>
          <w:lang w:val="ro-RO" w:eastAsia="ro-RO"/>
        </w:rPr>
        <w:fldChar w:fldCharType="begin"/>
      </w:r>
      <w:r>
        <w:rPr>
          <w:lang w:val="ro-RO" w:eastAsia="ro-RO"/>
        </w:rPr>
        <w:instrText xml:space="preserve"> TOC \h \z \c "Tabel I.7." </w:instrText>
      </w:r>
      <w:r>
        <w:rPr>
          <w:lang w:val="ro-RO" w:eastAsia="ro-RO"/>
        </w:rPr>
        <w:fldChar w:fldCharType="separate"/>
      </w:r>
      <w:hyperlink w:anchor="_Toc96463897" w:history="1">
        <w:r w:rsidR="00846562" w:rsidRPr="00064DED">
          <w:rPr>
            <w:rStyle w:val="Hyperlink"/>
            <w:rFonts w:ascii="Arial" w:hAnsi="Arial" w:cs="Arial"/>
            <w:noProof/>
          </w:rPr>
          <w:t>Tabel I.7. 1 - Proiecte de mobilitate aflate în derulare și care vor fi incluse în Scenariul 1</w:t>
        </w:r>
        <w:r w:rsidR="00846562">
          <w:rPr>
            <w:noProof/>
            <w:webHidden/>
          </w:rPr>
          <w:tab/>
        </w:r>
        <w:r w:rsidR="00846562">
          <w:rPr>
            <w:noProof/>
            <w:webHidden/>
          </w:rPr>
          <w:fldChar w:fldCharType="begin"/>
        </w:r>
        <w:r w:rsidR="00846562">
          <w:rPr>
            <w:noProof/>
            <w:webHidden/>
          </w:rPr>
          <w:instrText xml:space="preserve"> PAGEREF _Toc96463897 \h </w:instrText>
        </w:r>
        <w:r w:rsidR="00846562">
          <w:rPr>
            <w:noProof/>
            <w:webHidden/>
          </w:rPr>
        </w:r>
        <w:r w:rsidR="00846562">
          <w:rPr>
            <w:noProof/>
            <w:webHidden/>
          </w:rPr>
          <w:fldChar w:fldCharType="separate"/>
        </w:r>
        <w:r w:rsidR="00BB181C">
          <w:rPr>
            <w:noProof/>
            <w:webHidden/>
          </w:rPr>
          <w:t>274</w:t>
        </w:r>
        <w:r w:rsidR="00846562">
          <w:rPr>
            <w:noProof/>
            <w:webHidden/>
          </w:rPr>
          <w:fldChar w:fldCharType="end"/>
        </w:r>
      </w:hyperlink>
    </w:p>
    <w:p w14:paraId="5AB1A34B" w14:textId="61039E6E" w:rsidR="00846562" w:rsidRDefault="00000000">
      <w:pPr>
        <w:pStyle w:val="Tabeldefiguri"/>
        <w:tabs>
          <w:tab w:val="right" w:leader="dot" w:pos="9645"/>
        </w:tabs>
        <w:rPr>
          <w:rFonts w:eastAsiaTheme="minorEastAsia"/>
          <w:noProof/>
        </w:rPr>
      </w:pPr>
      <w:hyperlink w:anchor="_Toc96463898" w:history="1">
        <w:r w:rsidR="00846562" w:rsidRPr="00064DED">
          <w:rPr>
            <w:rStyle w:val="Hyperlink"/>
            <w:rFonts w:ascii="Arial" w:hAnsi="Arial" w:cs="Arial"/>
            <w:noProof/>
          </w:rPr>
          <w:t>Tabel I.7. 2 - Parametri ora de vârf AM orizont 2027</w:t>
        </w:r>
        <w:r w:rsidR="00846562">
          <w:rPr>
            <w:noProof/>
            <w:webHidden/>
          </w:rPr>
          <w:tab/>
        </w:r>
        <w:r w:rsidR="00846562">
          <w:rPr>
            <w:noProof/>
            <w:webHidden/>
          </w:rPr>
          <w:fldChar w:fldCharType="begin"/>
        </w:r>
        <w:r w:rsidR="00846562">
          <w:rPr>
            <w:noProof/>
            <w:webHidden/>
          </w:rPr>
          <w:instrText xml:space="preserve"> PAGEREF _Toc96463898 \h </w:instrText>
        </w:r>
        <w:r w:rsidR="00846562">
          <w:rPr>
            <w:noProof/>
            <w:webHidden/>
          </w:rPr>
        </w:r>
        <w:r w:rsidR="00846562">
          <w:rPr>
            <w:noProof/>
            <w:webHidden/>
          </w:rPr>
          <w:fldChar w:fldCharType="separate"/>
        </w:r>
        <w:r w:rsidR="00BB181C">
          <w:rPr>
            <w:noProof/>
            <w:webHidden/>
          </w:rPr>
          <w:t>280</w:t>
        </w:r>
        <w:r w:rsidR="00846562">
          <w:rPr>
            <w:noProof/>
            <w:webHidden/>
          </w:rPr>
          <w:fldChar w:fldCharType="end"/>
        </w:r>
      </w:hyperlink>
    </w:p>
    <w:p w14:paraId="6BD268C2" w14:textId="08CEDA92" w:rsidR="00846562" w:rsidRDefault="00000000">
      <w:pPr>
        <w:pStyle w:val="Tabeldefiguri"/>
        <w:tabs>
          <w:tab w:val="right" w:leader="dot" w:pos="9645"/>
        </w:tabs>
        <w:rPr>
          <w:rFonts w:eastAsiaTheme="minorEastAsia"/>
          <w:noProof/>
        </w:rPr>
      </w:pPr>
      <w:hyperlink w:anchor="_Toc96463899" w:history="1">
        <w:r w:rsidR="00846562" w:rsidRPr="00064DED">
          <w:rPr>
            <w:rStyle w:val="Hyperlink"/>
            <w:rFonts w:ascii="Arial" w:hAnsi="Arial" w:cs="Arial"/>
            <w:i/>
            <w:iCs/>
            <w:noProof/>
          </w:rPr>
          <w:t xml:space="preserve">Tabel I.7. 3 </w:t>
        </w:r>
        <w:r w:rsidR="00846562" w:rsidRPr="00064DED">
          <w:rPr>
            <w:rStyle w:val="Hyperlink"/>
            <w:rFonts w:ascii="Arial" w:hAnsi="Arial" w:cs="Arial"/>
            <w:noProof/>
          </w:rPr>
          <w:t>- Niveluri de serviciu ora de vârf AM orizont 2027</w:t>
        </w:r>
        <w:r w:rsidR="00846562">
          <w:rPr>
            <w:noProof/>
            <w:webHidden/>
          </w:rPr>
          <w:tab/>
        </w:r>
        <w:r w:rsidR="00846562">
          <w:rPr>
            <w:noProof/>
            <w:webHidden/>
          </w:rPr>
          <w:fldChar w:fldCharType="begin"/>
        </w:r>
        <w:r w:rsidR="00846562">
          <w:rPr>
            <w:noProof/>
            <w:webHidden/>
          </w:rPr>
          <w:instrText xml:space="preserve"> PAGEREF _Toc96463899 \h </w:instrText>
        </w:r>
        <w:r w:rsidR="00846562">
          <w:rPr>
            <w:noProof/>
            <w:webHidden/>
          </w:rPr>
        </w:r>
        <w:r w:rsidR="00846562">
          <w:rPr>
            <w:noProof/>
            <w:webHidden/>
          </w:rPr>
          <w:fldChar w:fldCharType="separate"/>
        </w:r>
        <w:r w:rsidR="00BB181C">
          <w:rPr>
            <w:noProof/>
            <w:webHidden/>
          </w:rPr>
          <w:t>280</w:t>
        </w:r>
        <w:r w:rsidR="00846562">
          <w:rPr>
            <w:noProof/>
            <w:webHidden/>
          </w:rPr>
          <w:fldChar w:fldCharType="end"/>
        </w:r>
      </w:hyperlink>
    </w:p>
    <w:p w14:paraId="0209C5A1" w14:textId="60FD9C5F" w:rsidR="00846562" w:rsidRDefault="00000000">
      <w:pPr>
        <w:pStyle w:val="Tabeldefiguri"/>
        <w:tabs>
          <w:tab w:val="right" w:leader="dot" w:pos="9645"/>
        </w:tabs>
        <w:rPr>
          <w:rFonts w:eastAsiaTheme="minorEastAsia"/>
          <w:noProof/>
        </w:rPr>
      </w:pPr>
      <w:hyperlink w:anchor="_Toc96463900" w:history="1">
        <w:r w:rsidR="00846562" w:rsidRPr="00064DED">
          <w:rPr>
            <w:rStyle w:val="Hyperlink"/>
            <w:rFonts w:ascii="Arial" w:hAnsi="Arial" w:cs="Arial"/>
            <w:noProof/>
          </w:rPr>
          <w:t>Tabel I.7. 4 - Parametri ora de vârf PM orizont 2027</w:t>
        </w:r>
        <w:r w:rsidR="00846562">
          <w:rPr>
            <w:noProof/>
            <w:webHidden/>
          </w:rPr>
          <w:tab/>
        </w:r>
        <w:r w:rsidR="00846562">
          <w:rPr>
            <w:noProof/>
            <w:webHidden/>
          </w:rPr>
          <w:fldChar w:fldCharType="begin"/>
        </w:r>
        <w:r w:rsidR="00846562">
          <w:rPr>
            <w:noProof/>
            <w:webHidden/>
          </w:rPr>
          <w:instrText xml:space="preserve"> PAGEREF _Toc96463900 \h </w:instrText>
        </w:r>
        <w:r w:rsidR="00846562">
          <w:rPr>
            <w:noProof/>
            <w:webHidden/>
          </w:rPr>
        </w:r>
        <w:r w:rsidR="00846562">
          <w:rPr>
            <w:noProof/>
            <w:webHidden/>
          </w:rPr>
          <w:fldChar w:fldCharType="separate"/>
        </w:r>
        <w:r w:rsidR="00BB181C">
          <w:rPr>
            <w:noProof/>
            <w:webHidden/>
          </w:rPr>
          <w:t>282</w:t>
        </w:r>
        <w:r w:rsidR="00846562">
          <w:rPr>
            <w:noProof/>
            <w:webHidden/>
          </w:rPr>
          <w:fldChar w:fldCharType="end"/>
        </w:r>
      </w:hyperlink>
    </w:p>
    <w:p w14:paraId="4BEF5B5F" w14:textId="443294D2" w:rsidR="00846562" w:rsidRDefault="00000000">
      <w:pPr>
        <w:pStyle w:val="Tabeldefiguri"/>
        <w:tabs>
          <w:tab w:val="right" w:leader="dot" w:pos="9645"/>
        </w:tabs>
        <w:rPr>
          <w:rFonts w:eastAsiaTheme="minorEastAsia"/>
          <w:noProof/>
        </w:rPr>
      </w:pPr>
      <w:hyperlink w:anchor="_Toc96463901" w:history="1">
        <w:r w:rsidR="00846562" w:rsidRPr="00064DED">
          <w:rPr>
            <w:rStyle w:val="Hyperlink"/>
            <w:rFonts w:ascii="Arial" w:hAnsi="Arial" w:cs="Arial"/>
            <w:i/>
            <w:iCs/>
            <w:noProof/>
          </w:rPr>
          <w:t xml:space="preserve">Tabel I.7. 5 - </w:t>
        </w:r>
        <w:r w:rsidR="00846562" w:rsidRPr="00064DED">
          <w:rPr>
            <w:rStyle w:val="Hyperlink"/>
            <w:rFonts w:ascii="Arial" w:hAnsi="Arial" w:cs="Arial"/>
            <w:noProof/>
          </w:rPr>
          <w:t>Niveluri de serviciu ora de vârf PM orizont 2027</w:t>
        </w:r>
        <w:r w:rsidR="00846562">
          <w:rPr>
            <w:noProof/>
            <w:webHidden/>
          </w:rPr>
          <w:tab/>
        </w:r>
        <w:r w:rsidR="00846562">
          <w:rPr>
            <w:noProof/>
            <w:webHidden/>
          </w:rPr>
          <w:fldChar w:fldCharType="begin"/>
        </w:r>
        <w:r w:rsidR="00846562">
          <w:rPr>
            <w:noProof/>
            <w:webHidden/>
          </w:rPr>
          <w:instrText xml:space="preserve"> PAGEREF _Toc96463901 \h </w:instrText>
        </w:r>
        <w:r w:rsidR="00846562">
          <w:rPr>
            <w:noProof/>
            <w:webHidden/>
          </w:rPr>
        </w:r>
        <w:r w:rsidR="00846562">
          <w:rPr>
            <w:noProof/>
            <w:webHidden/>
          </w:rPr>
          <w:fldChar w:fldCharType="separate"/>
        </w:r>
        <w:r w:rsidR="00BB181C">
          <w:rPr>
            <w:noProof/>
            <w:webHidden/>
          </w:rPr>
          <w:t>283</w:t>
        </w:r>
        <w:r w:rsidR="00846562">
          <w:rPr>
            <w:noProof/>
            <w:webHidden/>
          </w:rPr>
          <w:fldChar w:fldCharType="end"/>
        </w:r>
      </w:hyperlink>
    </w:p>
    <w:p w14:paraId="389139F6" w14:textId="5FB3263E" w:rsidR="00846562" w:rsidRDefault="00000000">
      <w:pPr>
        <w:pStyle w:val="Tabeldefiguri"/>
        <w:tabs>
          <w:tab w:val="right" w:leader="dot" w:pos="9645"/>
        </w:tabs>
        <w:rPr>
          <w:rFonts w:eastAsiaTheme="minorEastAsia"/>
          <w:noProof/>
        </w:rPr>
      </w:pPr>
      <w:hyperlink w:anchor="_Toc96463902" w:history="1">
        <w:r w:rsidR="00846562" w:rsidRPr="00064DED">
          <w:rPr>
            <w:rStyle w:val="Hyperlink"/>
            <w:rFonts w:ascii="Arial" w:hAnsi="Arial" w:cs="Arial"/>
            <w:i/>
            <w:iCs/>
            <w:noProof/>
          </w:rPr>
          <w:t xml:space="preserve">Tabel I.7. 6 - </w:t>
        </w:r>
        <w:r w:rsidR="00846562" w:rsidRPr="00064DED">
          <w:rPr>
            <w:rStyle w:val="Hyperlink"/>
            <w:rFonts w:ascii="Arial" w:hAnsi="Arial" w:cs="Arial"/>
            <w:noProof/>
          </w:rPr>
          <w:t>Analiza comparativǎ a scenariilor pentru 2027 – 24 h</w:t>
        </w:r>
        <w:r w:rsidR="00846562">
          <w:rPr>
            <w:noProof/>
            <w:webHidden/>
          </w:rPr>
          <w:tab/>
        </w:r>
        <w:r w:rsidR="00846562">
          <w:rPr>
            <w:noProof/>
            <w:webHidden/>
          </w:rPr>
          <w:fldChar w:fldCharType="begin"/>
        </w:r>
        <w:r w:rsidR="00846562">
          <w:rPr>
            <w:noProof/>
            <w:webHidden/>
          </w:rPr>
          <w:instrText xml:space="preserve"> PAGEREF _Toc96463902 \h </w:instrText>
        </w:r>
        <w:r w:rsidR="00846562">
          <w:rPr>
            <w:noProof/>
            <w:webHidden/>
          </w:rPr>
        </w:r>
        <w:r w:rsidR="00846562">
          <w:rPr>
            <w:noProof/>
            <w:webHidden/>
          </w:rPr>
          <w:fldChar w:fldCharType="separate"/>
        </w:r>
        <w:r w:rsidR="00BB181C">
          <w:rPr>
            <w:noProof/>
            <w:webHidden/>
          </w:rPr>
          <w:t>285</w:t>
        </w:r>
        <w:r w:rsidR="00846562">
          <w:rPr>
            <w:noProof/>
            <w:webHidden/>
          </w:rPr>
          <w:fldChar w:fldCharType="end"/>
        </w:r>
      </w:hyperlink>
    </w:p>
    <w:p w14:paraId="366952CE" w14:textId="7D70DD3A" w:rsidR="00846562" w:rsidRDefault="00000000">
      <w:pPr>
        <w:pStyle w:val="Tabeldefiguri"/>
        <w:tabs>
          <w:tab w:val="right" w:leader="dot" w:pos="9645"/>
        </w:tabs>
        <w:rPr>
          <w:rFonts w:eastAsiaTheme="minorEastAsia"/>
          <w:noProof/>
        </w:rPr>
      </w:pPr>
      <w:hyperlink w:anchor="_Toc96463903" w:history="1">
        <w:r w:rsidR="00846562" w:rsidRPr="00064DED">
          <w:rPr>
            <w:rStyle w:val="Hyperlink"/>
            <w:rFonts w:ascii="Arial" w:hAnsi="Arial" w:cs="Arial"/>
            <w:i/>
            <w:iCs/>
            <w:noProof/>
          </w:rPr>
          <w:t xml:space="preserve">Tabel I.7. 7 </w:t>
        </w:r>
        <w:r w:rsidR="00846562" w:rsidRPr="00064DED">
          <w:rPr>
            <w:rStyle w:val="Hyperlink"/>
            <w:rFonts w:ascii="Arial" w:hAnsi="Arial" w:cs="Arial"/>
            <w:noProof/>
          </w:rPr>
          <w:t>- Analiza comparativǎ a scenariilor 1 și 2 pentru 2027</w:t>
        </w:r>
        <w:r w:rsidR="00846562">
          <w:rPr>
            <w:noProof/>
            <w:webHidden/>
          </w:rPr>
          <w:tab/>
        </w:r>
        <w:r w:rsidR="00846562">
          <w:rPr>
            <w:noProof/>
            <w:webHidden/>
          </w:rPr>
          <w:fldChar w:fldCharType="begin"/>
        </w:r>
        <w:r w:rsidR="00846562">
          <w:rPr>
            <w:noProof/>
            <w:webHidden/>
          </w:rPr>
          <w:instrText xml:space="preserve"> PAGEREF _Toc96463903 \h </w:instrText>
        </w:r>
        <w:r w:rsidR="00846562">
          <w:rPr>
            <w:noProof/>
            <w:webHidden/>
          </w:rPr>
        </w:r>
        <w:r w:rsidR="00846562">
          <w:rPr>
            <w:noProof/>
            <w:webHidden/>
          </w:rPr>
          <w:fldChar w:fldCharType="separate"/>
        </w:r>
        <w:r w:rsidR="00BB181C">
          <w:rPr>
            <w:noProof/>
            <w:webHidden/>
          </w:rPr>
          <w:t>286</w:t>
        </w:r>
        <w:r w:rsidR="00846562">
          <w:rPr>
            <w:noProof/>
            <w:webHidden/>
          </w:rPr>
          <w:fldChar w:fldCharType="end"/>
        </w:r>
      </w:hyperlink>
    </w:p>
    <w:p w14:paraId="019A8AC5" w14:textId="5F0215CB" w:rsidR="00846562" w:rsidRDefault="00000000">
      <w:pPr>
        <w:pStyle w:val="Tabeldefiguri"/>
        <w:tabs>
          <w:tab w:val="right" w:leader="dot" w:pos="9645"/>
        </w:tabs>
        <w:rPr>
          <w:rFonts w:eastAsiaTheme="minorEastAsia"/>
          <w:noProof/>
        </w:rPr>
      </w:pPr>
      <w:hyperlink w:anchor="_Toc96463904" w:history="1">
        <w:r w:rsidR="00846562" w:rsidRPr="00064DED">
          <w:rPr>
            <w:rStyle w:val="Hyperlink"/>
            <w:rFonts w:ascii="Arial" w:hAnsi="Arial" w:cs="Arial"/>
            <w:i/>
            <w:iCs/>
            <w:noProof/>
          </w:rPr>
          <w:t xml:space="preserve">Tabel I.7. 8 - </w:t>
        </w:r>
        <w:r w:rsidR="00846562" w:rsidRPr="00064DED">
          <w:rPr>
            <w:rStyle w:val="Hyperlink"/>
            <w:rFonts w:ascii="Arial" w:hAnsi="Arial" w:cs="Arial"/>
            <w:noProof/>
          </w:rPr>
          <w:t>Parametri ora de vârf AM orizont 2035</w:t>
        </w:r>
        <w:r w:rsidR="00846562">
          <w:rPr>
            <w:noProof/>
            <w:webHidden/>
          </w:rPr>
          <w:tab/>
        </w:r>
        <w:r w:rsidR="00846562">
          <w:rPr>
            <w:noProof/>
            <w:webHidden/>
          </w:rPr>
          <w:fldChar w:fldCharType="begin"/>
        </w:r>
        <w:r w:rsidR="00846562">
          <w:rPr>
            <w:noProof/>
            <w:webHidden/>
          </w:rPr>
          <w:instrText xml:space="preserve"> PAGEREF _Toc96463904 \h </w:instrText>
        </w:r>
        <w:r w:rsidR="00846562">
          <w:rPr>
            <w:noProof/>
            <w:webHidden/>
          </w:rPr>
        </w:r>
        <w:r w:rsidR="00846562">
          <w:rPr>
            <w:noProof/>
            <w:webHidden/>
          </w:rPr>
          <w:fldChar w:fldCharType="separate"/>
        </w:r>
        <w:r w:rsidR="00BB181C">
          <w:rPr>
            <w:noProof/>
            <w:webHidden/>
          </w:rPr>
          <w:t>287</w:t>
        </w:r>
        <w:r w:rsidR="00846562">
          <w:rPr>
            <w:noProof/>
            <w:webHidden/>
          </w:rPr>
          <w:fldChar w:fldCharType="end"/>
        </w:r>
      </w:hyperlink>
    </w:p>
    <w:p w14:paraId="20CA6A8E" w14:textId="375EAA93" w:rsidR="00846562" w:rsidRDefault="00000000">
      <w:pPr>
        <w:pStyle w:val="Tabeldefiguri"/>
        <w:tabs>
          <w:tab w:val="right" w:leader="dot" w:pos="9645"/>
        </w:tabs>
        <w:rPr>
          <w:rFonts w:eastAsiaTheme="minorEastAsia"/>
          <w:noProof/>
        </w:rPr>
      </w:pPr>
      <w:hyperlink w:anchor="_Toc96463905" w:history="1">
        <w:r w:rsidR="00846562" w:rsidRPr="00064DED">
          <w:rPr>
            <w:rStyle w:val="Hyperlink"/>
            <w:rFonts w:ascii="Arial" w:hAnsi="Arial" w:cs="Arial"/>
            <w:i/>
            <w:iCs/>
            <w:noProof/>
            <w:lang w:val="ro-RO"/>
          </w:rPr>
          <w:t xml:space="preserve">Tabel I.7. 9 - </w:t>
        </w:r>
        <w:r w:rsidR="00846562" w:rsidRPr="00064DED">
          <w:rPr>
            <w:rStyle w:val="Hyperlink"/>
            <w:rFonts w:ascii="Arial" w:hAnsi="Arial" w:cs="Arial"/>
            <w:noProof/>
            <w:lang w:val="ro-RO"/>
          </w:rPr>
          <w:t>Niveluri de serviciu ora de vârf AM orizont 2035</w:t>
        </w:r>
        <w:r w:rsidR="00846562">
          <w:rPr>
            <w:noProof/>
            <w:webHidden/>
          </w:rPr>
          <w:tab/>
        </w:r>
        <w:r w:rsidR="00846562">
          <w:rPr>
            <w:noProof/>
            <w:webHidden/>
          </w:rPr>
          <w:fldChar w:fldCharType="begin"/>
        </w:r>
        <w:r w:rsidR="00846562">
          <w:rPr>
            <w:noProof/>
            <w:webHidden/>
          </w:rPr>
          <w:instrText xml:space="preserve"> PAGEREF _Toc96463905 \h </w:instrText>
        </w:r>
        <w:r w:rsidR="00846562">
          <w:rPr>
            <w:noProof/>
            <w:webHidden/>
          </w:rPr>
        </w:r>
        <w:r w:rsidR="00846562">
          <w:rPr>
            <w:noProof/>
            <w:webHidden/>
          </w:rPr>
          <w:fldChar w:fldCharType="separate"/>
        </w:r>
        <w:r w:rsidR="00BB181C">
          <w:rPr>
            <w:noProof/>
            <w:webHidden/>
          </w:rPr>
          <w:t>287</w:t>
        </w:r>
        <w:r w:rsidR="00846562">
          <w:rPr>
            <w:noProof/>
            <w:webHidden/>
          </w:rPr>
          <w:fldChar w:fldCharType="end"/>
        </w:r>
      </w:hyperlink>
    </w:p>
    <w:p w14:paraId="10668BE7" w14:textId="53E3F6E3" w:rsidR="00846562" w:rsidRDefault="00000000">
      <w:pPr>
        <w:pStyle w:val="Tabeldefiguri"/>
        <w:tabs>
          <w:tab w:val="right" w:leader="dot" w:pos="9645"/>
        </w:tabs>
        <w:rPr>
          <w:rFonts w:eastAsiaTheme="minorEastAsia"/>
          <w:noProof/>
        </w:rPr>
      </w:pPr>
      <w:hyperlink w:anchor="_Toc96463906" w:history="1">
        <w:r w:rsidR="00846562" w:rsidRPr="00064DED">
          <w:rPr>
            <w:rStyle w:val="Hyperlink"/>
            <w:rFonts w:ascii="Arial" w:hAnsi="Arial" w:cs="Arial"/>
            <w:i/>
            <w:iCs/>
            <w:noProof/>
          </w:rPr>
          <w:t xml:space="preserve">Tabel I.7. 10 - </w:t>
        </w:r>
        <w:r w:rsidR="00846562" w:rsidRPr="00064DED">
          <w:rPr>
            <w:rStyle w:val="Hyperlink"/>
            <w:rFonts w:ascii="Arial" w:hAnsi="Arial" w:cs="Arial"/>
            <w:noProof/>
          </w:rPr>
          <w:t>Parametri ora de vârf PM orizont 2035</w:t>
        </w:r>
        <w:r w:rsidR="00846562">
          <w:rPr>
            <w:noProof/>
            <w:webHidden/>
          </w:rPr>
          <w:tab/>
        </w:r>
        <w:r w:rsidR="00846562">
          <w:rPr>
            <w:noProof/>
            <w:webHidden/>
          </w:rPr>
          <w:fldChar w:fldCharType="begin"/>
        </w:r>
        <w:r w:rsidR="00846562">
          <w:rPr>
            <w:noProof/>
            <w:webHidden/>
          </w:rPr>
          <w:instrText xml:space="preserve"> PAGEREF _Toc96463906 \h </w:instrText>
        </w:r>
        <w:r w:rsidR="00846562">
          <w:rPr>
            <w:noProof/>
            <w:webHidden/>
          </w:rPr>
        </w:r>
        <w:r w:rsidR="00846562">
          <w:rPr>
            <w:noProof/>
            <w:webHidden/>
          </w:rPr>
          <w:fldChar w:fldCharType="separate"/>
        </w:r>
        <w:r w:rsidR="00BB181C">
          <w:rPr>
            <w:noProof/>
            <w:webHidden/>
          </w:rPr>
          <w:t>291</w:t>
        </w:r>
        <w:r w:rsidR="00846562">
          <w:rPr>
            <w:noProof/>
            <w:webHidden/>
          </w:rPr>
          <w:fldChar w:fldCharType="end"/>
        </w:r>
      </w:hyperlink>
    </w:p>
    <w:p w14:paraId="4911D261" w14:textId="285663D9" w:rsidR="00846562" w:rsidRDefault="00000000">
      <w:pPr>
        <w:pStyle w:val="Tabeldefiguri"/>
        <w:tabs>
          <w:tab w:val="right" w:leader="dot" w:pos="9645"/>
        </w:tabs>
        <w:rPr>
          <w:rFonts w:eastAsiaTheme="minorEastAsia"/>
          <w:noProof/>
        </w:rPr>
      </w:pPr>
      <w:hyperlink w:anchor="_Toc96463907" w:history="1">
        <w:r w:rsidR="00846562" w:rsidRPr="00064DED">
          <w:rPr>
            <w:rStyle w:val="Hyperlink"/>
            <w:rFonts w:ascii="Arial" w:hAnsi="Arial" w:cs="Arial"/>
            <w:i/>
            <w:iCs/>
            <w:noProof/>
            <w:lang w:val="ro-RO"/>
          </w:rPr>
          <w:t xml:space="preserve">Tabel I.7. 11 - </w:t>
        </w:r>
        <w:r w:rsidR="00846562" w:rsidRPr="00064DED">
          <w:rPr>
            <w:rStyle w:val="Hyperlink"/>
            <w:rFonts w:ascii="Arial" w:hAnsi="Arial" w:cs="Arial"/>
            <w:i/>
            <w:iCs/>
            <w:noProof/>
            <w:kern w:val="1"/>
            <w:lang w:val="ro-RO" w:eastAsia="hi-IN" w:bidi="hi-IN"/>
          </w:rPr>
          <w:t xml:space="preserve"> </w:t>
        </w:r>
        <w:r w:rsidR="00846562" w:rsidRPr="00064DED">
          <w:rPr>
            <w:rStyle w:val="Hyperlink"/>
            <w:rFonts w:ascii="Arial" w:hAnsi="Arial" w:cs="Arial"/>
            <w:noProof/>
            <w:kern w:val="1"/>
            <w:lang w:val="ro-RO" w:eastAsia="hi-IN" w:bidi="hi-IN"/>
          </w:rPr>
          <w:t>Niveluri de serviciu ora de vârf PM orizont 2035</w:t>
        </w:r>
        <w:r w:rsidR="00846562">
          <w:rPr>
            <w:noProof/>
            <w:webHidden/>
          </w:rPr>
          <w:tab/>
        </w:r>
        <w:r w:rsidR="00846562">
          <w:rPr>
            <w:noProof/>
            <w:webHidden/>
          </w:rPr>
          <w:fldChar w:fldCharType="begin"/>
        </w:r>
        <w:r w:rsidR="00846562">
          <w:rPr>
            <w:noProof/>
            <w:webHidden/>
          </w:rPr>
          <w:instrText xml:space="preserve"> PAGEREF _Toc96463907 \h </w:instrText>
        </w:r>
        <w:r w:rsidR="00846562">
          <w:rPr>
            <w:noProof/>
            <w:webHidden/>
          </w:rPr>
        </w:r>
        <w:r w:rsidR="00846562">
          <w:rPr>
            <w:noProof/>
            <w:webHidden/>
          </w:rPr>
          <w:fldChar w:fldCharType="separate"/>
        </w:r>
        <w:r w:rsidR="00BB181C">
          <w:rPr>
            <w:noProof/>
            <w:webHidden/>
          </w:rPr>
          <w:t>292</w:t>
        </w:r>
        <w:r w:rsidR="00846562">
          <w:rPr>
            <w:noProof/>
            <w:webHidden/>
          </w:rPr>
          <w:fldChar w:fldCharType="end"/>
        </w:r>
      </w:hyperlink>
    </w:p>
    <w:p w14:paraId="4BC0B0F0" w14:textId="06527B3B" w:rsidR="00846562" w:rsidRDefault="00000000">
      <w:pPr>
        <w:pStyle w:val="Tabeldefiguri"/>
        <w:tabs>
          <w:tab w:val="right" w:leader="dot" w:pos="9645"/>
        </w:tabs>
        <w:rPr>
          <w:rFonts w:eastAsiaTheme="minorEastAsia"/>
          <w:noProof/>
        </w:rPr>
      </w:pPr>
      <w:hyperlink w:anchor="_Toc96463908" w:history="1">
        <w:r w:rsidR="00846562" w:rsidRPr="00064DED">
          <w:rPr>
            <w:rStyle w:val="Hyperlink"/>
            <w:rFonts w:ascii="Arial" w:hAnsi="Arial" w:cs="Arial"/>
            <w:i/>
            <w:iCs/>
            <w:noProof/>
          </w:rPr>
          <w:t xml:space="preserve">Tabel I.7. 12 - </w:t>
        </w:r>
        <w:r w:rsidR="00846562" w:rsidRPr="00064DED">
          <w:rPr>
            <w:rStyle w:val="Hyperlink"/>
            <w:rFonts w:ascii="Arial" w:hAnsi="Arial" w:cs="Arial"/>
            <w:noProof/>
          </w:rPr>
          <w:t>Analiza comparativǎ a scenariilor pentru 2035 – 24 h</w:t>
        </w:r>
        <w:r w:rsidR="00846562">
          <w:rPr>
            <w:noProof/>
            <w:webHidden/>
          </w:rPr>
          <w:tab/>
        </w:r>
        <w:r w:rsidR="00846562">
          <w:rPr>
            <w:noProof/>
            <w:webHidden/>
          </w:rPr>
          <w:fldChar w:fldCharType="begin"/>
        </w:r>
        <w:r w:rsidR="00846562">
          <w:rPr>
            <w:noProof/>
            <w:webHidden/>
          </w:rPr>
          <w:instrText xml:space="preserve"> PAGEREF _Toc96463908 \h </w:instrText>
        </w:r>
        <w:r w:rsidR="00846562">
          <w:rPr>
            <w:noProof/>
            <w:webHidden/>
          </w:rPr>
        </w:r>
        <w:r w:rsidR="00846562">
          <w:rPr>
            <w:noProof/>
            <w:webHidden/>
          </w:rPr>
          <w:fldChar w:fldCharType="separate"/>
        </w:r>
        <w:r w:rsidR="00BB181C">
          <w:rPr>
            <w:noProof/>
            <w:webHidden/>
          </w:rPr>
          <w:t>292</w:t>
        </w:r>
        <w:r w:rsidR="00846562">
          <w:rPr>
            <w:noProof/>
            <w:webHidden/>
          </w:rPr>
          <w:fldChar w:fldCharType="end"/>
        </w:r>
      </w:hyperlink>
    </w:p>
    <w:p w14:paraId="3A50B351" w14:textId="436144B7" w:rsidR="00846562" w:rsidRDefault="00000000">
      <w:pPr>
        <w:pStyle w:val="Tabeldefiguri"/>
        <w:tabs>
          <w:tab w:val="right" w:leader="dot" w:pos="9645"/>
        </w:tabs>
        <w:rPr>
          <w:rFonts w:eastAsiaTheme="minorEastAsia"/>
          <w:noProof/>
        </w:rPr>
      </w:pPr>
      <w:hyperlink w:anchor="_Toc96463909" w:history="1">
        <w:r w:rsidR="00846562" w:rsidRPr="00064DED">
          <w:rPr>
            <w:rStyle w:val="Hyperlink"/>
            <w:rFonts w:ascii="Arial" w:hAnsi="Arial" w:cs="Arial"/>
            <w:i/>
            <w:iCs/>
            <w:noProof/>
          </w:rPr>
          <w:t xml:space="preserve">Tabel I.7. 13 - </w:t>
        </w:r>
        <w:r w:rsidR="00846562" w:rsidRPr="00064DED">
          <w:rPr>
            <w:rStyle w:val="Hyperlink"/>
            <w:rFonts w:ascii="Arial" w:hAnsi="Arial" w:cs="Arial"/>
            <w:noProof/>
          </w:rPr>
          <w:t>Analiza comparativǎ a scenariilor 1, 2 si 3 pentru 2035</w:t>
        </w:r>
        <w:r w:rsidR="00846562">
          <w:rPr>
            <w:noProof/>
            <w:webHidden/>
          </w:rPr>
          <w:tab/>
        </w:r>
        <w:r w:rsidR="00846562">
          <w:rPr>
            <w:noProof/>
            <w:webHidden/>
          </w:rPr>
          <w:fldChar w:fldCharType="begin"/>
        </w:r>
        <w:r w:rsidR="00846562">
          <w:rPr>
            <w:noProof/>
            <w:webHidden/>
          </w:rPr>
          <w:instrText xml:space="preserve"> PAGEREF _Toc96463909 \h </w:instrText>
        </w:r>
        <w:r w:rsidR="00846562">
          <w:rPr>
            <w:noProof/>
            <w:webHidden/>
          </w:rPr>
        </w:r>
        <w:r w:rsidR="00846562">
          <w:rPr>
            <w:noProof/>
            <w:webHidden/>
          </w:rPr>
          <w:fldChar w:fldCharType="separate"/>
        </w:r>
        <w:r w:rsidR="00BB181C">
          <w:rPr>
            <w:noProof/>
            <w:webHidden/>
          </w:rPr>
          <w:t>293</w:t>
        </w:r>
        <w:r w:rsidR="00846562">
          <w:rPr>
            <w:noProof/>
            <w:webHidden/>
          </w:rPr>
          <w:fldChar w:fldCharType="end"/>
        </w:r>
      </w:hyperlink>
    </w:p>
    <w:p w14:paraId="44FBF2E2" w14:textId="664666BC" w:rsidR="00846562" w:rsidRDefault="00000000">
      <w:pPr>
        <w:pStyle w:val="Tabeldefiguri"/>
        <w:tabs>
          <w:tab w:val="right" w:leader="dot" w:pos="9645"/>
        </w:tabs>
        <w:rPr>
          <w:rFonts w:eastAsiaTheme="minorEastAsia"/>
          <w:noProof/>
        </w:rPr>
      </w:pPr>
      <w:hyperlink w:anchor="_Toc96463910" w:history="1">
        <w:r w:rsidR="00846562" w:rsidRPr="00064DED">
          <w:rPr>
            <w:rStyle w:val="Hyperlink"/>
            <w:rFonts w:ascii="Arial" w:hAnsi="Arial" w:cs="Arial"/>
            <w:i/>
            <w:iCs/>
            <w:noProof/>
          </w:rPr>
          <w:t xml:space="preserve">Tabel I.7. 14 - </w:t>
        </w:r>
        <w:r w:rsidR="00846562" w:rsidRPr="00064DED">
          <w:rPr>
            <w:rStyle w:val="Hyperlink"/>
            <w:rFonts w:ascii="Arial" w:hAnsi="Arial" w:cs="Arial"/>
            <w:iCs/>
            <w:noProof/>
          </w:rPr>
          <w:t>Indicatorii de eficienţă economică rezultaţi din scenariile 2 şi 3 pentru orizonturile de timp 2027, respectiv 2035</w:t>
        </w:r>
        <w:r w:rsidR="00846562">
          <w:rPr>
            <w:noProof/>
            <w:webHidden/>
          </w:rPr>
          <w:tab/>
        </w:r>
        <w:r w:rsidR="00846562">
          <w:rPr>
            <w:noProof/>
            <w:webHidden/>
          </w:rPr>
          <w:fldChar w:fldCharType="begin"/>
        </w:r>
        <w:r w:rsidR="00846562">
          <w:rPr>
            <w:noProof/>
            <w:webHidden/>
          </w:rPr>
          <w:instrText xml:space="preserve"> PAGEREF _Toc96463910 \h </w:instrText>
        </w:r>
        <w:r w:rsidR="00846562">
          <w:rPr>
            <w:noProof/>
            <w:webHidden/>
          </w:rPr>
        </w:r>
        <w:r w:rsidR="00846562">
          <w:rPr>
            <w:noProof/>
            <w:webHidden/>
          </w:rPr>
          <w:fldChar w:fldCharType="separate"/>
        </w:r>
        <w:r w:rsidR="00BB181C">
          <w:rPr>
            <w:noProof/>
            <w:webHidden/>
          </w:rPr>
          <w:t>294</w:t>
        </w:r>
        <w:r w:rsidR="00846562">
          <w:rPr>
            <w:noProof/>
            <w:webHidden/>
          </w:rPr>
          <w:fldChar w:fldCharType="end"/>
        </w:r>
      </w:hyperlink>
    </w:p>
    <w:p w14:paraId="10A19462" w14:textId="72C179BE" w:rsidR="00846562" w:rsidRDefault="00000000">
      <w:pPr>
        <w:pStyle w:val="Tabeldefiguri"/>
        <w:tabs>
          <w:tab w:val="right" w:leader="dot" w:pos="9645"/>
        </w:tabs>
        <w:rPr>
          <w:rFonts w:eastAsiaTheme="minorEastAsia"/>
          <w:noProof/>
        </w:rPr>
      </w:pPr>
      <w:hyperlink w:anchor="_Toc96463911" w:history="1">
        <w:r w:rsidR="00846562" w:rsidRPr="00064DED">
          <w:rPr>
            <w:rStyle w:val="Hyperlink"/>
            <w:rFonts w:ascii="Arial" w:hAnsi="Arial" w:cs="Arial"/>
            <w:i/>
            <w:iCs/>
            <w:noProof/>
          </w:rPr>
          <w:t xml:space="preserve">Tabel I.7. 15 - </w:t>
        </w:r>
        <w:r w:rsidR="00846562" w:rsidRPr="00064DED">
          <w:rPr>
            <w:rStyle w:val="Hyperlink"/>
            <w:rFonts w:ascii="Arial" w:hAnsi="Arial" w:cs="Arial"/>
            <w:iCs/>
            <w:noProof/>
          </w:rPr>
          <w:t>Parametri ora de vârf AM orizont 2027 – scenariile 1 şi 2</w:t>
        </w:r>
        <w:r w:rsidR="00846562">
          <w:rPr>
            <w:noProof/>
            <w:webHidden/>
          </w:rPr>
          <w:tab/>
        </w:r>
        <w:r w:rsidR="00846562">
          <w:rPr>
            <w:noProof/>
            <w:webHidden/>
          </w:rPr>
          <w:fldChar w:fldCharType="begin"/>
        </w:r>
        <w:r w:rsidR="00846562">
          <w:rPr>
            <w:noProof/>
            <w:webHidden/>
          </w:rPr>
          <w:instrText xml:space="preserve"> PAGEREF _Toc96463911 \h </w:instrText>
        </w:r>
        <w:r w:rsidR="00846562">
          <w:rPr>
            <w:noProof/>
            <w:webHidden/>
          </w:rPr>
        </w:r>
        <w:r w:rsidR="00846562">
          <w:rPr>
            <w:noProof/>
            <w:webHidden/>
          </w:rPr>
          <w:fldChar w:fldCharType="separate"/>
        </w:r>
        <w:r w:rsidR="00BB181C">
          <w:rPr>
            <w:noProof/>
            <w:webHidden/>
          </w:rPr>
          <w:t>295</w:t>
        </w:r>
        <w:r w:rsidR="00846562">
          <w:rPr>
            <w:noProof/>
            <w:webHidden/>
          </w:rPr>
          <w:fldChar w:fldCharType="end"/>
        </w:r>
      </w:hyperlink>
    </w:p>
    <w:p w14:paraId="21C623A2" w14:textId="578A8221" w:rsidR="00846562" w:rsidRDefault="00000000">
      <w:pPr>
        <w:pStyle w:val="Tabeldefiguri"/>
        <w:tabs>
          <w:tab w:val="right" w:leader="dot" w:pos="9645"/>
        </w:tabs>
        <w:rPr>
          <w:rFonts w:eastAsiaTheme="minorEastAsia"/>
          <w:noProof/>
        </w:rPr>
      </w:pPr>
      <w:hyperlink w:anchor="_Toc96463912" w:history="1">
        <w:r w:rsidR="00846562" w:rsidRPr="00064DED">
          <w:rPr>
            <w:rStyle w:val="Hyperlink"/>
            <w:rFonts w:ascii="Arial" w:hAnsi="Arial" w:cs="Arial"/>
            <w:i/>
            <w:iCs/>
            <w:noProof/>
          </w:rPr>
          <w:t xml:space="preserve">Tabel I.7. 16 - </w:t>
        </w:r>
        <w:r w:rsidR="00846562" w:rsidRPr="00064DED">
          <w:rPr>
            <w:rStyle w:val="Hyperlink"/>
            <w:rFonts w:ascii="Arial" w:hAnsi="Arial" w:cs="Arial"/>
            <w:noProof/>
          </w:rPr>
          <w:t>Parametri ora de vârf PM orizont 2027 – scenariile 1 şi 2</w:t>
        </w:r>
        <w:r w:rsidR="00846562">
          <w:rPr>
            <w:noProof/>
            <w:webHidden/>
          </w:rPr>
          <w:tab/>
        </w:r>
        <w:r w:rsidR="00846562">
          <w:rPr>
            <w:noProof/>
            <w:webHidden/>
          </w:rPr>
          <w:fldChar w:fldCharType="begin"/>
        </w:r>
        <w:r w:rsidR="00846562">
          <w:rPr>
            <w:noProof/>
            <w:webHidden/>
          </w:rPr>
          <w:instrText xml:space="preserve"> PAGEREF _Toc96463912 \h </w:instrText>
        </w:r>
        <w:r w:rsidR="00846562">
          <w:rPr>
            <w:noProof/>
            <w:webHidden/>
          </w:rPr>
        </w:r>
        <w:r w:rsidR="00846562">
          <w:rPr>
            <w:noProof/>
            <w:webHidden/>
          </w:rPr>
          <w:fldChar w:fldCharType="separate"/>
        </w:r>
        <w:r w:rsidR="00BB181C">
          <w:rPr>
            <w:noProof/>
            <w:webHidden/>
          </w:rPr>
          <w:t>295</w:t>
        </w:r>
        <w:r w:rsidR="00846562">
          <w:rPr>
            <w:noProof/>
            <w:webHidden/>
          </w:rPr>
          <w:fldChar w:fldCharType="end"/>
        </w:r>
      </w:hyperlink>
    </w:p>
    <w:p w14:paraId="4951C1E3" w14:textId="0FF28E07" w:rsidR="00846562" w:rsidRDefault="00000000">
      <w:pPr>
        <w:pStyle w:val="Tabeldefiguri"/>
        <w:tabs>
          <w:tab w:val="right" w:leader="dot" w:pos="9645"/>
        </w:tabs>
        <w:rPr>
          <w:rFonts w:eastAsiaTheme="minorEastAsia"/>
          <w:noProof/>
        </w:rPr>
      </w:pPr>
      <w:hyperlink w:anchor="_Toc96463913" w:history="1">
        <w:r w:rsidR="00846562" w:rsidRPr="00064DED">
          <w:rPr>
            <w:rStyle w:val="Hyperlink"/>
            <w:rFonts w:ascii="Arial" w:hAnsi="Arial" w:cs="Arial"/>
            <w:i/>
            <w:iCs/>
            <w:noProof/>
          </w:rPr>
          <w:t xml:space="preserve">Tabel I.7. 17 - </w:t>
        </w:r>
        <w:r w:rsidR="00846562" w:rsidRPr="00064DED">
          <w:rPr>
            <w:rStyle w:val="Hyperlink"/>
            <w:rFonts w:ascii="Arial" w:hAnsi="Arial" w:cs="Arial"/>
            <w:noProof/>
          </w:rPr>
          <w:t>Parametri pentru 24h orizont 2027 – scenariile 1 şi 2</w:t>
        </w:r>
        <w:r w:rsidR="00846562">
          <w:rPr>
            <w:noProof/>
            <w:webHidden/>
          </w:rPr>
          <w:tab/>
        </w:r>
        <w:r w:rsidR="00846562">
          <w:rPr>
            <w:noProof/>
            <w:webHidden/>
          </w:rPr>
          <w:fldChar w:fldCharType="begin"/>
        </w:r>
        <w:r w:rsidR="00846562">
          <w:rPr>
            <w:noProof/>
            <w:webHidden/>
          </w:rPr>
          <w:instrText xml:space="preserve"> PAGEREF _Toc96463913 \h </w:instrText>
        </w:r>
        <w:r w:rsidR="00846562">
          <w:rPr>
            <w:noProof/>
            <w:webHidden/>
          </w:rPr>
        </w:r>
        <w:r w:rsidR="00846562">
          <w:rPr>
            <w:noProof/>
            <w:webHidden/>
          </w:rPr>
          <w:fldChar w:fldCharType="separate"/>
        </w:r>
        <w:r w:rsidR="00BB181C">
          <w:rPr>
            <w:noProof/>
            <w:webHidden/>
          </w:rPr>
          <w:t>296</w:t>
        </w:r>
        <w:r w:rsidR="00846562">
          <w:rPr>
            <w:noProof/>
            <w:webHidden/>
          </w:rPr>
          <w:fldChar w:fldCharType="end"/>
        </w:r>
      </w:hyperlink>
    </w:p>
    <w:p w14:paraId="6087F89B" w14:textId="05497EAE" w:rsidR="00846562" w:rsidRDefault="00000000">
      <w:pPr>
        <w:pStyle w:val="Tabeldefiguri"/>
        <w:tabs>
          <w:tab w:val="right" w:leader="dot" w:pos="9645"/>
        </w:tabs>
        <w:rPr>
          <w:rFonts w:eastAsiaTheme="minorEastAsia"/>
          <w:noProof/>
        </w:rPr>
      </w:pPr>
      <w:hyperlink w:anchor="_Toc96463914" w:history="1">
        <w:r w:rsidR="00846562" w:rsidRPr="00064DED">
          <w:rPr>
            <w:rStyle w:val="Hyperlink"/>
            <w:rFonts w:ascii="Arial" w:hAnsi="Arial" w:cs="Arial"/>
            <w:i/>
            <w:iCs/>
            <w:noProof/>
          </w:rPr>
          <w:t xml:space="preserve">Tabel I.7. 18 - </w:t>
        </w:r>
        <w:r w:rsidR="00846562" w:rsidRPr="00064DED">
          <w:rPr>
            <w:rStyle w:val="Hyperlink"/>
            <w:rFonts w:ascii="Arial" w:hAnsi="Arial" w:cs="Arial"/>
            <w:noProof/>
          </w:rPr>
          <w:t>Parametri ora de vârf AM orizont 2035 – scenariile 1, 2 şi 3</w:t>
        </w:r>
        <w:r w:rsidR="00846562">
          <w:rPr>
            <w:noProof/>
            <w:webHidden/>
          </w:rPr>
          <w:tab/>
        </w:r>
        <w:r w:rsidR="00846562">
          <w:rPr>
            <w:noProof/>
            <w:webHidden/>
          </w:rPr>
          <w:fldChar w:fldCharType="begin"/>
        </w:r>
        <w:r w:rsidR="00846562">
          <w:rPr>
            <w:noProof/>
            <w:webHidden/>
          </w:rPr>
          <w:instrText xml:space="preserve"> PAGEREF _Toc96463914 \h </w:instrText>
        </w:r>
        <w:r w:rsidR="00846562">
          <w:rPr>
            <w:noProof/>
            <w:webHidden/>
          </w:rPr>
        </w:r>
        <w:r w:rsidR="00846562">
          <w:rPr>
            <w:noProof/>
            <w:webHidden/>
          </w:rPr>
          <w:fldChar w:fldCharType="separate"/>
        </w:r>
        <w:r w:rsidR="00BB181C">
          <w:rPr>
            <w:noProof/>
            <w:webHidden/>
          </w:rPr>
          <w:t>298</w:t>
        </w:r>
        <w:r w:rsidR="00846562">
          <w:rPr>
            <w:noProof/>
            <w:webHidden/>
          </w:rPr>
          <w:fldChar w:fldCharType="end"/>
        </w:r>
      </w:hyperlink>
    </w:p>
    <w:p w14:paraId="5B5935AA" w14:textId="247D8C0F" w:rsidR="00846562" w:rsidRDefault="00000000">
      <w:pPr>
        <w:pStyle w:val="Tabeldefiguri"/>
        <w:tabs>
          <w:tab w:val="right" w:leader="dot" w:pos="9645"/>
        </w:tabs>
        <w:rPr>
          <w:rFonts w:eastAsiaTheme="minorEastAsia"/>
          <w:noProof/>
        </w:rPr>
      </w:pPr>
      <w:hyperlink w:anchor="_Toc96463915" w:history="1">
        <w:r w:rsidR="00846562" w:rsidRPr="00064DED">
          <w:rPr>
            <w:rStyle w:val="Hyperlink"/>
            <w:rFonts w:ascii="Arial" w:hAnsi="Arial" w:cs="Arial"/>
            <w:i/>
            <w:iCs/>
            <w:noProof/>
          </w:rPr>
          <w:t xml:space="preserve">Tabel I.7. 19 - </w:t>
        </w:r>
        <w:r w:rsidR="00846562" w:rsidRPr="00064DED">
          <w:rPr>
            <w:rStyle w:val="Hyperlink"/>
            <w:rFonts w:ascii="Arial" w:hAnsi="Arial" w:cs="Arial"/>
            <w:noProof/>
          </w:rPr>
          <w:t>Parametri ora de vârf PM orizont 2035 – scenariile 1, 2 şi 3</w:t>
        </w:r>
        <w:r w:rsidR="00846562">
          <w:rPr>
            <w:noProof/>
            <w:webHidden/>
          </w:rPr>
          <w:tab/>
        </w:r>
        <w:r w:rsidR="00846562">
          <w:rPr>
            <w:noProof/>
            <w:webHidden/>
          </w:rPr>
          <w:fldChar w:fldCharType="begin"/>
        </w:r>
        <w:r w:rsidR="00846562">
          <w:rPr>
            <w:noProof/>
            <w:webHidden/>
          </w:rPr>
          <w:instrText xml:space="preserve"> PAGEREF _Toc96463915 \h </w:instrText>
        </w:r>
        <w:r w:rsidR="00846562">
          <w:rPr>
            <w:noProof/>
            <w:webHidden/>
          </w:rPr>
        </w:r>
        <w:r w:rsidR="00846562">
          <w:rPr>
            <w:noProof/>
            <w:webHidden/>
          </w:rPr>
          <w:fldChar w:fldCharType="separate"/>
        </w:r>
        <w:r w:rsidR="00BB181C">
          <w:rPr>
            <w:noProof/>
            <w:webHidden/>
          </w:rPr>
          <w:t>299</w:t>
        </w:r>
        <w:r w:rsidR="00846562">
          <w:rPr>
            <w:noProof/>
            <w:webHidden/>
          </w:rPr>
          <w:fldChar w:fldCharType="end"/>
        </w:r>
      </w:hyperlink>
    </w:p>
    <w:p w14:paraId="086C8F0E" w14:textId="7683FD36" w:rsidR="00846562" w:rsidRDefault="00000000">
      <w:pPr>
        <w:pStyle w:val="Tabeldefiguri"/>
        <w:tabs>
          <w:tab w:val="right" w:leader="dot" w:pos="9645"/>
        </w:tabs>
        <w:rPr>
          <w:rFonts w:eastAsiaTheme="minorEastAsia"/>
          <w:noProof/>
        </w:rPr>
      </w:pPr>
      <w:hyperlink w:anchor="_Toc96463916" w:history="1">
        <w:r w:rsidR="00846562" w:rsidRPr="00064DED">
          <w:rPr>
            <w:rStyle w:val="Hyperlink"/>
            <w:rFonts w:ascii="Arial" w:hAnsi="Arial" w:cs="Arial"/>
            <w:i/>
            <w:iCs/>
            <w:noProof/>
          </w:rPr>
          <w:t xml:space="preserve">Tabel I.7. 20 - </w:t>
        </w:r>
        <w:r w:rsidR="00846562" w:rsidRPr="00064DED">
          <w:rPr>
            <w:rStyle w:val="Hyperlink"/>
            <w:rFonts w:ascii="Arial" w:hAnsi="Arial" w:cs="Arial"/>
            <w:iCs/>
            <w:noProof/>
          </w:rPr>
          <w:t>Parametri pentru 24 h orizont 2035 – scenariile 1, 2 şi 3</w:t>
        </w:r>
        <w:r w:rsidR="00846562">
          <w:rPr>
            <w:noProof/>
            <w:webHidden/>
          </w:rPr>
          <w:tab/>
        </w:r>
        <w:r w:rsidR="00846562">
          <w:rPr>
            <w:noProof/>
            <w:webHidden/>
          </w:rPr>
          <w:fldChar w:fldCharType="begin"/>
        </w:r>
        <w:r w:rsidR="00846562">
          <w:rPr>
            <w:noProof/>
            <w:webHidden/>
          </w:rPr>
          <w:instrText xml:space="preserve"> PAGEREF _Toc96463916 \h </w:instrText>
        </w:r>
        <w:r w:rsidR="00846562">
          <w:rPr>
            <w:noProof/>
            <w:webHidden/>
          </w:rPr>
        </w:r>
        <w:r w:rsidR="00846562">
          <w:rPr>
            <w:noProof/>
            <w:webHidden/>
          </w:rPr>
          <w:fldChar w:fldCharType="separate"/>
        </w:r>
        <w:r w:rsidR="00BB181C">
          <w:rPr>
            <w:noProof/>
            <w:webHidden/>
          </w:rPr>
          <w:t>299</w:t>
        </w:r>
        <w:r w:rsidR="00846562">
          <w:rPr>
            <w:noProof/>
            <w:webHidden/>
          </w:rPr>
          <w:fldChar w:fldCharType="end"/>
        </w:r>
      </w:hyperlink>
    </w:p>
    <w:p w14:paraId="47B8CCD3" w14:textId="51C1F70A" w:rsidR="00846562" w:rsidRDefault="00000000">
      <w:pPr>
        <w:pStyle w:val="Tabeldefiguri"/>
        <w:tabs>
          <w:tab w:val="right" w:leader="dot" w:pos="9645"/>
        </w:tabs>
        <w:rPr>
          <w:rFonts w:eastAsiaTheme="minorEastAsia"/>
          <w:noProof/>
        </w:rPr>
      </w:pPr>
      <w:hyperlink w:anchor="_Toc96463917" w:history="1">
        <w:r w:rsidR="00846562" w:rsidRPr="00064DED">
          <w:rPr>
            <w:rStyle w:val="Hyperlink"/>
            <w:rFonts w:ascii="Arial" w:hAnsi="Arial" w:cs="Arial"/>
            <w:i/>
            <w:iCs/>
            <w:noProof/>
          </w:rPr>
          <w:t xml:space="preserve">Tabel I.7. 21 - </w:t>
        </w:r>
        <w:r w:rsidR="00846562" w:rsidRPr="00064DED">
          <w:rPr>
            <w:rStyle w:val="Hyperlink"/>
            <w:rFonts w:ascii="Arial" w:hAnsi="Arial" w:cs="Arial"/>
            <w:noProof/>
          </w:rPr>
          <w:t>Indicatorii de mediu rezultaţi din scenariile 2 şi 3 pentru orizonturile de timp 2027, respectiv 2035</w:t>
        </w:r>
        <w:r w:rsidR="00846562">
          <w:rPr>
            <w:noProof/>
            <w:webHidden/>
          </w:rPr>
          <w:tab/>
        </w:r>
        <w:r w:rsidR="00846562">
          <w:rPr>
            <w:noProof/>
            <w:webHidden/>
          </w:rPr>
          <w:fldChar w:fldCharType="begin"/>
        </w:r>
        <w:r w:rsidR="00846562">
          <w:rPr>
            <w:noProof/>
            <w:webHidden/>
          </w:rPr>
          <w:instrText xml:space="preserve"> PAGEREF _Toc96463917 \h </w:instrText>
        </w:r>
        <w:r w:rsidR="00846562">
          <w:rPr>
            <w:noProof/>
            <w:webHidden/>
          </w:rPr>
        </w:r>
        <w:r w:rsidR="00846562">
          <w:rPr>
            <w:noProof/>
            <w:webHidden/>
          </w:rPr>
          <w:fldChar w:fldCharType="separate"/>
        </w:r>
        <w:r w:rsidR="00BB181C">
          <w:rPr>
            <w:noProof/>
            <w:webHidden/>
          </w:rPr>
          <w:t>301</w:t>
        </w:r>
        <w:r w:rsidR="00846562">
          <w:rPr>
            <w:noProof/>
            <w:webHidden/>
          </w:rPr>
          <w:fldChar w:fldCharType="end"/>
        </w:r>
      </w:hyperlink>
    </w:p>
    <w:p w14:paraId="17969219" w14:textId="415EB308" w:rsidR="00846562" w:rsidRDefault="00000000">
      <w:pPr>
        <w:pStyle w:val="Tabeldefiguri"/>
        <w:tabs>
          <w:tab w:val="right" w:leader="dot" w:pos="9645"/>
        </w:tabs>
        <w:rPr>
          <w:rFonts w:eastAsiaTheme="minorEastAsia"/>
          <w:noProof/>
        </w:rPr>
      </w:pPr>
      <w:hyperlink w:anchor="_Toc96463918" w:history="1">
        <w:r w:rsidR="00846562" w:rsidRPr="00064DED">
          <w:rPr>
            <w:rStyle w:val="Hyperlink"/>
            <w:rFonts w:ascii="Arial" w:hAnsi="Arial" w:cs="Arial"/>
            <w:i/>
            <w:iCs/>
            <w:noProof/>
          </w:rPr>
          <w:t xml:space="preserve">Tabel I.7. 26 - </w:t>
        </w:r>
        <w:r w:rsidR="00846562" w:rsidRPr="00064DED">
          <w:rPr>
            <w:rStyle w:val="Hyperlink"/>
            <w:rFonts w:ascii="Arial" w:hAnsi="Arial" w:cs="Arial"/>
            <w:noProof/>
          </w:rPr>
          <w:t>Lungimea maximǎ a cozilor de așteptare (veh)</w:t>
        </w:r>
        <w:r w:rsidR="00846562">
          <w:rPr>
            <w:noProof/>
            <w:webHidden/>
          </w:rPr>
          <w:tab/>
        </w:r>
        <w:r w:rsidR="00846562">
          <w:rPr>
            <w:noProof/>
            <w:webHidden/>
          </w:rPr>
          <w:fldChar w:fldCharType="begin"/>
        </w:r>
        <w:r w:rsidR="00846562">
          <w:rPr>
            <w:noProof/>
            <w:webHidden/>
          </w:rPr>
          <w:instrText xml:space="preserve"> PAGEREF _Toc96463918 \h </w:instrText>
        </w:r>
        <w:r w:rsidR="00846562">
          <w:rPr>
            <w:noProof/>
            <w:webHidden/>
          </w:rPr>
        </w:r>
        <w:r w:rsidR="00846562">
          <w:rPr>
            <w:noProof/>
            <w:webHidden/>
          </w:rPr>
          <w:fldChar w:fldCharType="separate"/>
        </w:r>
        <w:r w:rsidR="00BB181C">
          <w:rPr>
            <w:noProof/>
            <w:webHidden/>
          </w:rPr>
          <w:t>310</w:t>
        </w:r>
        <w:r w:rsidR="00846562">
          <w:rPr>
            <w:noProof/>
            <w:webHidden/>
          </w:rPr>
          <w:fldChar w:fldCharType="end"/>
        </w:r>
      </w:hyperlink>
    </w:p>
    <w:p w14:paraId="066F7B96" w14:textId="4D2ED359" w:rsidR="00846562" w:rsidRDefault="00000000">
      <w:pPr>
        <w:pStyle w:val="Tabeldefiguri"/>
        <w:tabs>
          <w:tab w:val="right" w:leader="dot" w:pos="9645"/>
        </w:tabs>
        <w:rPr>
          <w:rFonts w:eastAsiaTheme="minorEastAsia"/>
          <w:noProof/>
        </w:rPr>
      </w:pPr>
      <w:hyperlink w:anchor="_Toc96463919" w:history="1">
        <w:r w:rsidR="00846562" w:rsidRPr="00064DED">
          <w:rPr>
            <w:rStyle w:val="Hyperlink"/>
            <w:rFonts w:ascii="Arial" w:hAnsi="Arial" w:cs="Arial"/>
            <w:i/>
            <w:iCs/>
            <w:noProof/>
          </w:rPr>
          <w:t xml:space="preserve">Tabel I.7. 27 - </w:t>
        </w:r>
        <w:r w:rsidR="00846562" w:rsidRPr="00064DED">
          <w:rPr>
            <w:rStyle w:val="Hyperlink"/>
            <w:rFonts w:ascii="Arial" w:hAnsi="Arial" w:cs="Arial"/>
            <w:noProof/>
          </w:rPr>
          <w:t>Lungimea medie a cozilor de așteptare (veh)</w:t>
        </w:r>
        <w:r w:rsidR="00846562">
          <w:rPr>
            <w:noProof/>
            <w:webHidden/>
          </w:rPr>
          <w:tab/>
        </w:r>
        <w:r w:rsidR="00846562">
          <w:rPr>
            <w:noProof/>
            <w:webHidden/>
          </w:rPr>
          <w:fldChar w:fldCharType="begin"/>
        </w:r>
        <w:r w:rsidR="00846562">
          <w:rPr>
            <w:noProof/>
            <w:webHidden/>
          </w:rPr>
          <w:instrText xml:space="preserve"> PAGEREF _Toc96463919 \h </w:instrText>
        </w:r>
        <w:r w:rsidR="00846562">
          <w:rPr>
            <w:noProof/>
            <w:webHidden/>
          </w:rPr>
        </w:r>
        <w:r w:rsidR="00846562">
          <w:rPr>
            <w:noProof/>
            <w:webHidden/>
          </w:rPr>
          <w:fldChar w:fldCharType="separate"/>
        </w:r>
        <w:r w:rsidR="00BB181C">
          <w:rPr>
            <w:noProof/>
            <w:webHidden/>
          </w:rPr>
          <w:t>311</w:t>
        </w:r>
        <w:r w:rsidR="00846562">
          <w:rPr>
            <w:noProof/>
            <w:webHidden/>
          </w:rPr>
          <w:fldChar w:fldCharType="end"/>
        </w:r>
      </w:hyperlink>
    </w:p>
    <w:p w14:paraId="7DE4ED4D" w14:textId="6D44BB8B" w:rsidR="00846562" w:rsidRDefault="00000000">
      <w:pPr>
        <w:pStyle w:val="Tabeldefiguri"/>
        <w:tabs>
          <w:tab w:val="right" w:leader="dot" w:pos="9645"/>
        </w:tabs>
        <w:rPr>
          <w:rFonts w:eastAsiaTheme="minorEastAsia"/>
          <w:noProof/>
        </w:rPr>
      </w:pPr>
      <w:hyperlink w:anchor="_Toc96463920" w:history="1">
        <w:r w:rsidR="00846562" w:rsidRPr="00064DED">
          <w:rPr>
            <w:rStyle w:val="Hyperlink"/>
            <w:rFonts w:ascii="Arial" w:hAnsi="Arial" w:cs="Arial"/>
            <w:i/>
            <w:iCs/>
            <w:noProof/>
          </w:rPr>
          <w:t xml:space="preserve">Tabel I.7. 28 - </w:t>
        </w:r>
        <w:r w:rsidR="00846562" w:rsidRPr="00064DED">
          <w:rPr>
            <w:rStyle w:val="Hyperlink"/>
            <w:rFonts w:ascii="Arial" w:hAnsi="Arial" w:cs="Arial"/>
            <w:noProof/>
          </w:rPr>
          <w:t>Lungimea maximǎ a cozilor de așteptare (veh) – orizont 2027</w:t>
        </w:r>
        <w:r w:rsidR="00846562">
          <w:rPr>
            <w:noProof/>
            <w:webHidden/>
          </w:rPr>
          <w:tab/>
        </w:r>
        <w:r w:rsidR="00846562">
          <w:rPr>
            <w:noProof/>
            <w:webHidden/>
          </w:rPr>
          <w:fldChar w:fldCharType="begin"/>
        </w:r>
        <w:r w:rsidR="00846562">
          <w:rPr>
            <w:noProof/>
            <w:webHidden/>
          </w:rPr>
          <w:instrText xml:space="preserve"> PAGEREF _Toc96463920 \h </w:instrText>
        </w:r>
        <w:r w:rsidR="00846562">
          <w:rPr>
            <w:noProof/>
            <w:webHidden/>
          </w:rPr>
        </w:r>
        <w:r w:rsidR="00846562">
          <w:rPr>
            <w:noProof/>
            <w:webHidden/>
          </w:rPr>
          <w:fldChar w:fldCharType="separate"/>
        </w:r>
        <w:r w:rsidR="00BB181C">
          <w:rPr>
            <w:noProof/>
            <w:webHidden/>
          </w:rPr>
          <w:t>311</w:t>
        </w:r>
        <w:r w:rsidR="00846562">
          <w:rPr>
            <w:noProof/>
            <w:webHidden/>
          </w:rPr>
          <w:fldChar w:fldCharType="end"/>
        </w:r>
      </w:hyperlink>
    </w:p>
    <w:p w14:paraId="52708B92" w14:textId="09F25B93" w:rsidR="00846562" w:rsidRDefault="00000000">
      <w:pPr>
        <w:pStyle w:val="Tabeldefiguri"/>
        <w:tabs>
          <w:tab w:val="right" w:leader="dot" w:pos="9645"/>
        </w:tabs>
        <w:rPr>
          <w:rFonts w:eastAsiaTheme="minorEastAsia"/>
          <w:noProof/>
        </w:rPr>
      </w:pPr>
      <w:hyperlink w:anchor="_Toc96463921" w:history="1">
        <w:r w:rsidR="00846562" w:rsidRPr="00064DED">
          <w:rPr>
            <w:rStyle w:val="Hyperlink"/>
            <w:rFonts w:ascii="Arial" w:hAnsi="Arial" w:cs="Arial"/>
            <w:i/>
            <w:iCs/>
            <w:noProof/>
          </w:rPr>
          <w:t xml:space="preserve">Tabel I.7. 29 - </w:t>
        </w:r>
        <w:r w:rsidR="00846562" w:rsidRPr="00064DED">
          <w:rPr>
            <w:rStyle w:val="Hyperlink"/>
            <w:rFonts w:ascii="Arial" w:eastAsia="Times New Roman" w:hAnsi="Arial" w:cs="Arial"/>
            <w:noProof/>
            <w:lang w:val="x-none" w:eastAsia="ro-RO"/>
          </w:rPr>
          <w:t>Lungimea medie a cozilor de așteptare (veh) – orizont 202</w:t>
        </w:r>
        <w:r w:rsidR="00846562" w:rsidRPr="00064DED">
          <w:rPr>
            <w:rStyle w:val="Hyperlink"/>
            <w:rFonts w:ascii="Arial" w:eastAsia="Times New Roman" w:hAnsi="Arial" w:cs="Arial"/>
            <w:noProof/>
            <w:lang w:eastAsia="ro-RO"/>
          </w:rPr>
          <w:t>7</w:t>
        </w:r>
        <w:r w:rsidR="00846562">
          <w:rPr>
            <w:noProof/>
            <w:webHidden/>
          </w:rPr>
          <w:tab/>
        </w:r>
        <w:r w:rsidR="00846562">
          <w:rPr>
            <w:noProof/>
            <w:webHidden/>
          </w:rPr>
          <w:fldChar w:fldCharType="begin"/>
        </w:r>
        <w:r w:rsidR="00846562">
          <w:rPr>
            <w:noProof/>
            <w:webHidden/>
          </w:rPr>
          <w:instrText xml:space="preserve"> PAGEREF _Toc96463921 \h </w:instrText>
        </w:r>
        <w:r w:rsidR="00846562">
          <w:rPr>
            <w:noProof/>
            <w:webHidden/>
          </w:rPr>
        </w:r>
        <w:r w:rsidR="00846562">
          <w:rPr>
            <w:noProof/>
            <w:webHidden/>
          </w:rPr>
          <w:fldChar w:fldCharType="separate"/>
        </w:r>
        <w:r w:rsidR="00BB181C">
          <w:rPr>
            <w:noProof/>
            <w:webHidden/>
          </w:rPr>
          <w:t>311</w:t>
        </w:r>
        <w:r w:rsidR="00846562">
          <w:rPr>
            <w:noProof/>
            <w:webHidden/>
          </w:rPr>
          <w:fldChar w:fldCharType="end"/>
        </w:r>
      </w:hyperlink>
    </w:p>
    <w:p w14:paraId="42A74FC2" w14:textId="3F3141CD" w:rsidR="00846562" w:rsidRDefault="00000000">
      <w:pPr>
        <w:pStyle w:val="Tabeldefiguri"/>
        <w:tabs>
          <w:tab w:val="right" w:leader="dot" w:pos="9645"/>
        </w:tabs>
        <w:rPr>
          <w:rFonts w:eastAsiaTheme="minorEastAsia"/>
          <w:noProof/>
        </w:rPr>
      </w:pPr>
      <w:hyperlink w:anchor="_Toc96463922" w:history="1">
        <w:r w:rsidR="00846562" w:rsidRPr="00064DED">
          <w:rPr>
            <w:rStyle w:val="Hyperlink"/>
            <w:rFonts w:ascii="Arial" w:hAnsi="Arial" w:cs="Arial"/>
            <w:i/>
            <w:iCs/>
            <w:noProof/>
          </w:rPr>
          <w:t xml:space="preserve">Tabel I.7. 30 - </w:t>
        </w:r>
        <w:r w:rsidR="00846562" w:rsidRPr="00064DED">
          <w:rPr>
            <w:rStyle w:val="Hyperlink"/>
            <w:rFonts w:ascii="Arial" w:hAnsi="Arial" w:cs="Arial"/>
            <w:noProof/>
          </w:rPr>
          <w:t>Lungimea maximǎ a cozilor de așteptare (veh) – orizont 2035</w:t>
        </w:r>
        <w:r w:rsidR="00846562">
          <w:rPr>
            <w:noProof/>
            <w:webHidden/>
          </w:rPr>
          <w:tab/>
        </w:r>
        <w:r w:rsidR="00846562">
          <w:rPr>
            <w:noProof/>
            <w:webHidden/>
          </w:rPr>
          <w:fldChar w:fldCharType="begin"/>
        </w:r>
        <w:r w:rsidR="00846562">
          <w:rPr>
            <w:noProof/>
            <w:webHidden/>
          </w:rPr>
          <w:instrText xml:space="preserve"> PAGEREF _Toc96463922 \h </w:instrText>
        </w:r>
        <w:r w:rsidR="00846562">
          <w:rPr>
            <w:noProof/>
            <w:webHidden/>
          </w:rPr>
        </w:r>
        <w:r w:rsidR="00846562">
          <w:rPr>
            <w:noProof/>
            <w:webHidden/>
          </w:rPr>
          <w:fldChar w:fldCharType="separate"/>
        </w:r>
        <w:r w:rsidR="00BB181C">
          <w:rPr>
            <w:noProof/>
            <w:webHidden/>
          </w:rPr>
          <w:t>311</w:t>
        </w:r>
        <w:r w:rsidR="00846562">
          <w:rPr>
            <w:noProof/>
            <w:webHidden/>
          </w:rPr>
          <w:fldChar w:fldCharType="end"/>
        </w:r>
      </w:hyperlink>
    </w:p>
    <w:p w14:paraId="27AB98A6" w14:textId="6AD056CE" w:rsidR="00846562" w:rsidRDefault="00000000">
      <w:pPr>
        <w:pStyle w:val="Tabeldefiguri"/>
        <w:tabs>
          <w:tab w:val="right" w:leader="dot" w:pos="9645"/>
        </w:tabs>
        <w:rPr>
          <w:rFonts w:eastAsiaTheme="minorEastAsia"/>
          <w:noProof/>
        </w:rPr>
      </w:pPr>
      <w:hyperlink w:anchor="_Toc96463923" w:history="1">
        <w:r w:rsidR="00846562" w:rsidRPr="00064DED">
          <w:rPr>
            <w:rStyle w:val="Hyperlink"/>
            <w:rFonts w:ascii="Arial" w:hAnsi="Arial" w:cs="Arial"/>
            <w:i/>
            <w:iCs/>
            <w:noProof/>
          </w:rPr>
          <w:t xml:space="preserve">Tabel I.7. 31 - </w:t>
        </w:r>
        <w:r w:rsidR="00846562" w:rsidRPr="00064DED">
          <w:rPr>
            <w:rStyle w:val="Hyperlink"/>
            <w:rFonts w:ascii="Arial" w:eastAsia="Times New Roman" w:hAnsi="Arial" w:cs="Arial"/>
            <w:noProof/>
            <w:lang w:val="x-none" w:eastAsia="ro-RO"/>
          </w:rPr>
          <w:t>Lungimea medie a cozilor de așteptare (veh) – orizont 203</w:t>
        </w:r>
        <w:r w:rsidR="00846562" w:rsidRPr="00064DED">
          <w:rPr>
            <w:rStyle w:val="Hyperlink"/>
            <w:rFonts w:ascii="Arial" w:eastAsia="Times New Roman" w:hAnsi="Arial" w:cs="Arial"/>
            <w:noProof/>
            <w:lang w:eastAsia="ro-RO"/>
          </w:rPr>
          <w:t>5</w:t>
        </w:r>
        <w:r w:rsidR="00846562">
          <w:rPr>
            <w:noProof/>
            <w:webHidden/>
          </w:rPr>
          <w:tab/>
        </w:r>
        <w:r w:rsidR="00846562">
          <w:rPr>
            <w:noProof/>
            <w:webHidden/>
          </w:rPr>
          <w:fldChar w:fldCharType="begin"/>
        </w:r>
        <w:r w:rsidR="00846562">
          <w:rPr>
            <w:noProof/>
            <w:webHidden/>
          </w:rPr>
          <w:instrText xml:space="preserve"> PAGEREF _Toc96463923 \h </w:instrText>
        </w:r>
        <w:r w:rsidR="00846562">
          <w:rPr>
            <w:noProof/>
            <w:webHidden/>
          </w:rPr>
        </w:r>
        <w:r w:rsidR="00846562">
          <w:rPr>
            <w:noProof/>
            <w:webHidden/>
          </w:rPr>
          <w:fldChar w:fldCharType="separate"/>
        </w:r>
        <w:r w:rsidR="00BB181C">
          <w:rPr>
            <w:noProof/>
            <w:webHidden/>
          </w:rPr>
          <w:t>312</w:t>
        </w:r>
        <w:r w:rsidR="00846562">
          <w:rPr>
            <w:noProof/>
            <w:webHidden/>
          </w:rPr>
          <w:fldChar w:fldCharType="end"/>
        </w:r>
      </w:hyperlink>
    </w:p>
    <w:p w14:paraId="7D0BE39B" w14:textId="4F391348" w:rsidR="00846562" w:rsidRDefault="00000000">
      <w:pPr>
        <w:pStyle w:val="Tabeldefiguri"/>
        <w:tabs>
          <w:tab w:val="right" w:leader="dot" w:pos="9645"/>
        </w:tabs>
        <w:rPr>
          <w:rFonts w:eastAsiaTheme="minorEastAsia"/>
          <w:noProof/>
        </w:rPr>
      </w:pPr>
      <w:hyperlink w:anchor="_Toc96463924" w:history="1">
        <w:r w:rsidR="00846562" w:rsidRPr="00064DED">
          <w:rPr>
            <w:rStyle w:val="Hyperlink"/>
            <w:rFonts w:ascii="Arial" w:hAnsi="Arial" w:cs="Arial"/>
            <w:i/>
            <w:iCs/>
            <w:noProof/>
          </w:rPr>
          <w:t xml:space="preserve">Tabel I.7. 32 - </w:t>
        </w:r>
        <w:r w:rsidR="00846562" w:rsidRPr="00064DED">
          <w:rPr>
            <w:rStyle w:val="Hyperlink"/>
            <w:rFonts w:ascii="Arial" w:hAnsi="Arial" w:cs="Arial"/>
            <w:noProof/>
            <w:kern w:val="1"/>
            <w:lang w:val="es-ES" w:eastAsia="hi-IN" w:bidi="hi-IN"/>
          </w:rPr>
          <w:t>Costuri de investi</w:t>
        </w:r>
        <w:r w:rsidR="00846562" w:rsidRPr="00064DED">
          <w:rPr>
            <w:rStyle w:val="Hyperlink"/>
            <w:rFonts w:ascii="Arial" w:hAnsi="Arial" w:cs="Arial"/>
            <w:noProof/>
            <w:kern w:val="1"/>
            <w:lang w:val="es-ES" w:eastAsia="ro-RO" w:bidi="hi-IN"/>
          </w:rPr>
          <w:t>ți</w:t>
        </w:r>
        <w:r w:rsidR="00846562" w:rsidRPr="00064DED">
          <w:rPr>
            <w:rStyle w:val="Hyperlink"/>
            <w:rFonts w:ascii="Arial" w:hAnsi="Arial" w:cs="Arial"/>
            <w:noProof/>
            <w:kern w:val="1"/>
            <w:lang w:val="es-ES" w:eastAsia="hi-IN" w:bidi="hi-IN"/>
          </w:rPr>
          <w:t>i în Scenariul 1 – “Ca p</w:t>
        </w:r>
        <w:r w:rsidR="00846562" w:rsidRPr="00064DED">
          <w:rPr>
            <w:rStyle w:val="Hyperlink"/>
            <w:rFonts w:ascii="Arial" w:hAnsi="Arial" w:cs="Arial"/>
            <w:noProof/>
            <w:kern w:val="1"/>
            <w:lang w:val="es-ES" w:eastAsia="ro-RO" w:bidi="hi-IN"/>
          </w:rPr>
          <w:t>ȃ</w:t>
        </w:r>
        <w:r w:rsidR="00846562" w:rsidRPr="00064DED">
          <w:rPr>
            <w:rStyle w:val="Hyperlink"/>
            <w:rFonts w:ascii="Arial" w:hAnsi="Arial" w:cs="Arial"/>
            <w:noProof/>
            <w:kern w:val="1"/>
            <w:lang w:val="es-ES" w:eastAsia="hi-IN" w:bidi="hi-IN"/>
          </w:rPr>
          <w:t>n</w:t>
        </w:r>
        <w:r w:rsidR="00846562" w:rsidRPr="00064DED">
          <w:rPr>
            <w:rStyle w:val="Hyperlink"/>
            <w:rFonts w:ascii="Arial" w:hAnsi="Arial" w:cs="Arial"/>
            <w:noProof/>
            <w:kern w:val="1"/>
            <w:lang w:val="es-ES" w:eastAsia="ro-RO" w:bidi="hi-IN"/>
          </w:rPr>
          <w:t>ǎ</w:t>
        </w:r>
        <w:r w:rsidR="00846562" w:rsidRPr="00064DED">
          <w:rPr>
            <w:rStyle w:val="Hyperlink"/>
            <w:rFonts w:ascii="Arial" w:hAnsi="Arial" w:cs="Arial"/>
            <w:noProof/>
            <w:kern w:val="1"/>
            <w:lang w:val="es-ES" w:eastAsia="hi-IN" w:bidi="hi-IN"/>
          </w:rPr>
          <w:t xml:space="preserve"> </w:t>
        </w:r>
        <w:r w:rsidR="00846562" w:rsidRPr="00064DED">
          <w:rPr>
            <w:rStyle w:val="Hyperlink"/>
            <w:rFonts w:ascii="Arial" w:hAnsi="Arial" w:cs="Arial"/>
            <w:noProof/>
            <w:kern w:val="1"/>
            <w:lang w:val="es-ES" w:eastAsia="ro-RO" w:bidi="hi-IN"/>
          </w:rPr>
          <w:t>ȋn</w:t>
        </w:r>
        <w:r w:rsidR="00846562" w:rsidRPr="00064DED">
          <w:rPr>
            <w:rStyle w:val="Hyperlink"/>
            <w:rFonts w:ascii="Arial" w:hAnsi="Arial" w:cs="Arial"/>
            <w:noProof/>
            <w:kern w:val="1"/>
            <w:lang w:val="es-ES" w:eastAsia="hi-IN" w:bidi="hi-IN"/>
          </w:rPr>
          <w:t xml:space="preserve"> prezent”</w:t>
        </w:r>
        <w:r w:rsidR="00846562">
          <w:rPr>
            <w:noProof/>
            <w:webHidden/>
          </w:rPr>
          <w:tab/>
        </w:r>
        <w:r w:rsidR="00846562">
          <w:rPr>
            <w:noProof/>
            <w:webHidden/>
          </w:rPr>
          <w:fldChar w:fldCharType="begin"/>
        </w:r>
        <w:r w:rsidR="00846562">
          <w:rPr>
            <w:noProof/>
            <w:webHidden/>
          </w:rPr>
          <w:instrText xml:space="preserve"> PAGEREF _Toc96463924 \h </w:instrText>
        </w:r>
        <w:r w:rsidR="00846562">
          <w:rPr>
            <w:noProof/>
            <w:webHidden/>
          </w:rPr>
        </w:r>
        <w:r w:rsidR="00846562">
          <w:rPr>
            <w:noProof/>
            <w:webHidden/>
          </w:rPr>
          <w:fldChar w:fldCharType="separate"/>
        </w:r>
        <w:r w:rsidR="00BB181C">
          <w:rPr>
            <w:noProof/>
            <w:webHidden/>
          </w:rPr>
          <w:t>313</w:t>
        </w:r>
        <w:r w:rsidR="00846562">
          <w:rPr>
            <w:noProof/>
            <w:webHidden/>
          </w:rPr>
          <w:fldChar w:fldCharType="end"/>
        </w:r>
      </w:hyperlink>
    </w:p>
    <w:p w14:paraId="4C27A034" w14:textId="7B532D77" w:rsidR="00846562" w:rsidRDefault="00000000">
      <w:pPr>
        <w:pStyle w:val="Tabeldefiguri"/>
        <w:tabs>
          <w:tab w:val="right" w:leader="dot" w:pos="9645"/>
        </w:tabs>
        <w:rPr>
          <w:rFonts w:eastAsiaTheme="minorEastAsia"/>
          <w:noProof/>
        </w:rPr>
      </w:pPr>
      <w:hyperlink w:anchor="_Toc96463925" w:history="1">
        <w:r w:rsidR="00846562" w:rsidRPr="00064DED">
          <w:rPr>
            <w:rStyle w:val="Hyperlink"/>
            <w:rFonts w:ascii="Arial" w:hAnsi="Arial" w:cs="Arial"/>
            <w:i/>
            <w:iCs/>
            <w:noProof/>
          </w:rPr>
          <w:t xml:space="preserve">Tabel I.7. 33 - </w:t>
        </w:r>
        <w:r w:rsidR="00846562" w:rsidRPr="00064DED">
          <w:rPr>
            <w:rStyle w:val="Hyperlink"/>
            <w:rFonts w:ascii="Arial" w:hAnsi="Arial" w:cs="Arial"/>
            <w:noProof/>
            <w:kern w:val="1"/>
            <w:lang w:val="es-ES" w:eastAsia="hi-IN" w:bidi="hi-IN"/>
          </w:rPr>
          <w:t>Costuri de investi</w:t>
        </w:r>
        <w:r w:rsidR="00846562" w:rsidRPr="00064DED">
          <w:rPr>
            <w:rStyle w:val="Hyperlink"/>
            <w:rFonts w:ascii="Arial" w:hAnsi="Arial" w:cs="Arial"/>
            <w:noProof/>
            <w:kern w:val="1"/>
            <w:lang w:val="es-ES" w:eastAsia="ro-RO" w:bidi="hi-IN"/>
          </w:rPr>
          <w:t>ți</w:t>
        </w:r>
        <w:r w:rsidR="00846562" w:rsidRPr="00064DED">
          <w:rPr>
            <w:rStyle w:val="Hyperlink"/>
            <w:rFonts w:ascii="Arial" w:hAnsi="Arial" w:cs="Arial"/>
            <w:noProof/>
            <w:kern w:val="1"/>
            <w:lang w:val="es-ES" w:eastAsia="hi-IN" w:bidi="hi-IN"/>
          </w:rPr>
          <w:t>i în Scenariul 2 – “Politica minimalistă”</w:t>
        </w:r>
        <w:r w:rsidR="00846562">
          <w:rPr>
            <w:noProof/>
            <w:webHidden/>
          </w:rPr>
          <w:tab/>
        </w:r>
        <w:r w:rsidR="00846562">
          <w:rPr>
            <w:noProof/>
            <w:webHidden/>
          </w:rPr>
          <w:fldChar w:fldCharType="begin"/>
        </w:r>
        <w:r w:rsidR="00846562">
          <w:rPr>
            <w:noProof/>
            <w:webHidden/>
          </w:rPr>
          <w:instrText xml:space="preserve"> PAGEREF _Toc96463925 \h </w:instrText>
        </w:r>
        <w:r w:rsidR="00846562">
          <w:rPr>
            <w:noProof/>
            <w:webHidden/>
          </w:rPr>
        </w:r>
        <w:r w:rsidR="00846562">
          <w:rPr>
            <w:noProof/>
            <w:webHidden/>
          </w:rPr>
          <w:fldChar w:fldCharType="separate"/>
        </w:r>
        <w:r w:rsidR="00BB181C">
          <w:rPr>
            <w:noProof/>
            <w:webHidden/>
          </w:rPr>
          <w:t>314</w:t>
        </w:r>
        <w:r w:rsidR="00846562">
          <w:rPr>
            <w:noProof/>
            <w:webHidden/>
          </w:rPr>
          <w:fldChar w:fldCharType="end"/>
        </w:r>
      </w:hyperlink>
    </w:p>
    <w:p w14:paraId="2739BE23" w14:textId="58A707CC" w:rsidR="00846562" w:rsidRDefault="00000000">
      <w:pPr>
        <w:pStyle w:val="Tabeldefiguri"/>
        <w:tabs>
          <w:tab w:val="right" w:leader="dot" w:pos="9645"/>
        </w:tabs>
        <w:rPr>
          <w:rFonts w:eastAsiaTheme="minorEastAsia"/>
          <w:noProof/>
        </w:rPr>
      </w:pPr>
      <w:hyperlink w:anchor="_Toc96463926" w:history="1">
        <w:r w:rsidR="00846562" w:rsidRPr="00064DED">
          <w:rPr>
            <w:rStyle w:val="Hyperlink"/>
            <w:rFonts w:ascii="Arial" w:hAnsi="Arial" w:cs="Arial"/>
            <w:i/>
            <w:iCs/>
            <w:noProof/>
          </w:rPr>
          <w:t xml:space="preserve">Tabel I.7. 34 - </w:t>
        </w:r>
        <w:r w:rsidR="00846562" w:rsidRPr="00064DED">
          <w:rPr>
            <w:rStyle w:val="Hyperlink"/>
            <w:rFonts w:ascii="Arial" w:hAnsi="Arial" w:cs="Arial"/>
            <w:noProof/>
            <w:kern w:val="1"/>
            <w:lang w:val="es-ES" w:eastAsia="hi-IN" w:bidi="hi-IN"/>
          </w:rPr>
          <w:t>Costuri de investi</w:t>
        </w:r>
        <w:r w:rsidR="00846562" w:rsidRPr="00064DED">
          <w:rPr>
            <w:rStyle w:val="Hyperlink"/>
            <w:rFonts w:ascii="Arial" w:hAnsi="Arial" w:cs="Arial"/>
            <w:noProof/>
            <w:kern w:val="1"/>
            <w:lang w:val="es-ES" w:eastAsia="ro-RO" w:bidi="hi-IN"/>
          </w:rPr>
          <w:t>ți</w:t>
        </w:r>
        <w:r w:rsidR="00846562" w:rsidRPr="00064DED">
          <w:rPr>
            <w:rStyle w:val="Hyperlink"/>
            <w:rFonts w:ascii="Arial" w:hAnsi="Arial" w:cs="Arial"/>
            <w:noProof/>
            <w:kern w:val="1"/>
            <w:lang w:val="es-ES" w:eastAsia="hi-IN" w:bidi="hi-IN"/>
          </w:rPr>
          <w:t>i în Scenariul 3 – “Politica angajant</w:t>
        </w:r>
        <w:r w:rsidR="00846562" w:rsidRPr="00064DED">
          <w:rPr>
            <w:rStyle w:val="Hyperlink"/>
            <w:rFonts w:ascii="Arial" w:hAnsi="Arial" w:cs="Arial"/>
            <w:noProof/>
            <w:kern w:val="1"/>
            <w:lang w:val="es-ES" w:eastAsia="ro-RO" w:bidi="hi-IN"/>
          </w:rPr>
          <w:t>ǎ</w:t>
        </w:r>
        <w:r w:rsidR="00846562" w:rsidRPr="00064DED">
          <w:rPr>
            <w:rStyle w:val="Hyperlink"/>
            <w:rFonts w:ascii="Arial" w:hAnsi="Arial" w:cs="Arial"/>
            <w:noProof/>
            <w:kern w:val="1"/>
            <w:lang w:val="es-ES" w:eastAsia="hi-IN" w:bidi="hi-IN"/>
          </w:rPr>
          <w:t>”</w:t>
        </w:r>
        <w:r w:rsidR="00846562">
          <w:rPr>
            <w:noProof/>
            <w:webHidden/>
          </w:rPr>
          <w:tab/>
        </w:r>
        <w:r w:rsidR="00846562">
          <w:rPr>
            <w:noProof/>
            <w:webHidden/>
          </w:rPr>
          <w:fldChar w:fldCharType="begin"/>
        </w:r>
        <w:r w:rsidR="00846562">
          <w:rPr>
            <w:noProof/>
            <w:webHidden/>
          </w:rPr>
          <w:instrText xml:space="preserve"> PAGEREF _Toc96463926 \h </w:instrText>
        </w:r>
        <w:r w:rsidR="00846562">
          <w:rPr>
            <w:noProof/>
            <w:webHidden/>
          </w:rPr>
        </w:r>
        <w:r w:rsidR="00846562">
          <w:rPr>
            <w:noProof/>
            <w:webHidden/>
          </w:rPr>
          <w:fldChar w:fldCharType="separate"/>
        </w:r>
        <w:r w:rsidR="00BB181C">
          <w:rPr>
            <w:noProof/>
            <w:webHidden/>
          </w:rPr>
          <w:t>315</w:t>
        </w:r>
        <w:r w:rsidR="00846562">
          <w:rPr>
            <w:noProof/>
            <w:webHidden/>
          </w:rPr>
          <w:fldChar w:fldCharType="end"/>
        </w:r>
      </w:hyperlink>
    </w:p>
    <w:p w14:paraId="035CD28A" w14:textId="11172F38" w:rsidR="001B45CE" w:rsidRDefault="00000000" w:rsidP="00FA21CA">
      <w:pPr>
        <w:pStyle w:val="Tabeldefiguri"/>
        <w:tabs>
          <w:tab w:val="right" w:leader="dot" w:pos="9645"/>
        </w:tabs>
        <w:rPr>
          <w:lang w:val="ro-RO" w:eastAsia="ro-RO"/>
        </w:rPr>
      </w:pPr>
      <w:hyperlink w:anchor="_Toc96463927" w:history="1">
        <w:r w:rsidR="00846562" w:rsidRPr="00064DED">
          <w:rPr>
            <w:rStyle w:val="Hyperlink"/>
            <w:rFonts w:ascii="Arial" w:hAnsi="Arial" w:cs="Arial"/>
            <w:i/>
            <w:iCs/>
            <w:noProof/>
          </w:rPr>
          <w:t xml:space="preserve">Tabel I.7. 35 - </w:t>
        </w:r>
        <w:r w:rsidR="00846562" w:rsidRPr="00064DED">
          <w:rPr>
            <w:rStyle w:val="Hyperlink"/>
            <w:rFonts w:ascii="Arial" w:hAnsi="Arial" w:cs="Arial"/>
            <w:noProof/>
            <w:kern w:val="1"/>
            <w:lang w:val="es-ES" w:eastAsia="hi-IN" w:bidi="hi-IN"/>
          </w:rPr>
          <w:t>Costuri de investi</w:t>
        </w:r>
        <w:r w:rsidR="00846562" w:rsidRPr="00064DED">
          <w:rPr>
            <w:rStyle w:val="Hyperlink"/>
            <w:rFonts w:ascii="Arial" w:hAnsi="Arial" w:cs="Arial"/>
            <w:noProof/>
            <w:kern w:val="1"/>
            <w:lang w:val="es-ES" w:eastAsia="ro-RO" w:bidi="hi-IN"/>
          </w:rPr>
          <w:t>ți</w:t>
        </w:r>
        <w:r w:rsidR="00846562" w:rsidRPr="00064DED">
          <w:rPr>
            <w:rStyle w:val="Hyperlink"/>
            <w:rFonts w:ascii="Arial" w:hAnsi="Arial" w:cs="Arial"/>
            <w:noProof/>
            <w:kern w:val="1"/>
            <w:lang w:val="es-ES" w:eastAsia="hi-IN" w:bidi="hi-IN"/>
          </w:rPr>
          <w:t>i în Centralizatorul investițiilor totale pe scenarii:</w:t>
        </w:r>
        <w:r w:rsidR="00846562">
          <w:rPr>
            <w:noProof/>
            <w:webHidden/>
          </w:rPr>
          <w:tab/>
        </w:r>
        <w:r w:rsidR="00846562">
          <w:rPr>
            <w:noProof/>
            <w:webHidden/>
          </w:rPr>
          <w:fldChar w:fldCharType="begin"/>
        </w:r>
        <w:r w:rsidR="00846562">
          <w:rPr>
            <w:noProof/>
            <w:webHidden/>
          </w:rPr>
          <w:instrText xml:space="preserve"> PAGEREF _Toc96463927 \h </w:instrText>
        </w:r>
        <w:r w:rsidR="00846562">
          <w:rPr>
            <w:noProof/>
            <w:webHidden/>
          </w:rPr>
        </w:r>
        <w:r w:rsidR="00846562">
          <w:rPr>
            <w:noProof/>
            <w:webHidden/>
          </w:rPr>
          <w:fldChar w:fldCharType="separate"/>
        </w:r>
        <w:r w:rsidR="00BB181C">
          <w:rPr>
            <w:noProof/>
            <w:webHidden/>
          </w:rPr>
          <w:t>316</w:t>
        </w:r>
        <w:r w:rsidR="00846562">
          <w:rPr>
            <w:noProof/>
            <w:webHidden/>
          </w:rPr>
          <w:fldChar w:fldCharType="end"/>
        </w:r>
      </w:hyperlink>
      <w:r w:rsidR="008F22F2">
        <w:rPr>
          <w:lang w:val="ro-RO" w:eastAsia="ro-RO"/>
        </w:rPr>
        <w:fldChar w:fldCharType="end"/>
      </w:r>
    </w:p>
    <w:p w14:paraId="50DCA49B" w14:textId="2D90E72D" w:rsidR="00846562" w:rsidRDefault="008F22F2">
      <w:pPr>
        <w:pStyle w:val="Tabeldefiguri"/>
        <w:tabs>
          <w:tab w:val="right" w:leader="dot" w:pos="9645"/>
        </w:tabs>
        <w:rPr>
          <w:rFonts w:eastAsiaTheme="minorEastAsia"/>
          <w:noProof/>
        </w:rPr>
      </w:pPr>
      <w:r>
        <w:rPr>
          <w:lang w:val="ro-RO" w:eastAsia="ro-RO"/>
        </w:rPr>
        <w:fldChar w:fldCharType="begin"/>
      </w:r>
      <w:r>
        <w:rPr>
          <w:lang w:val="ro-RO" w:eastAsia="ro-RO"/>
        </w:rPr>
        <w:instrText xml:space="preserve"> TOC \h \z \c "Tabel I.8." </w:instrText>
      </w:r>
      <w:r>
        <w:rPr>
          <w:lang w:val="ro-RO" w:eastAsia="ro-RO"/>
        </w:rPr>
        <w:fldChar w:fldCharType="separate"/>
      </w:r>
      <w:hyperlink w:anchor="_Toc96463928" w:history="1">
        <w:r w:rsidR="00846562" w:rsidRPr="003D5789">
          <w:rPr>
            <w:rStyle w:val="Hyperlink"/>
            <w:rFonts w:ascii="Arial" w:hAnsi="Arial" w:cs="Arial"/>
            <w:noProof/>
          </w:rPr>
          <w:t xml:space="preserve">Tabel I.8. 1 - </w:t>
        </w:r>
        <w:r w:rsidR="00846562" w:rsidRPr="003D5789">
          <w:rPr>
            <w:rStyle w:val="Hyperlink"/>
            <w:rFonts w:ascii="Arial" w:hAnsi="Arial" w:cs="Arial"/>
            <w:noProof/>
            <w:kern w:val="1"/>
            <w:lang w:val="es-ES" w:eastAsia="hi-IN" w:bidi="hi-IN"/>
          </w:rPr>
          <w:t>Costuri de investiții asociate scenariului preferat</w:t>
        </w:r>
        <w:r w:rsidR="00846562">
          <w:rPr>
            <w:noProof/>
            <w:webHidden/>
          </w:rPr>
          <w:tab/>
        </w:r>
        <w:r w:rsidR="00846562">
          <w:rPr>
            <w:noProof/>
            <w:webHidden/>
          </w:rPr>
          <w:fldChar w:fldCharType="begin"/>
        </w:r>
        <w:r w:rsidR="00846562">
          <w:rPr>
            <w:noProof/>
            <w:webHidden/>
          </w:rPr>
          <w:instrText xml:space="preserve"> PAGEREF _Toc96463928 \h </w:instrText>
        </w:r>
        <w:r w:rsidR="00846562">
          <w:rPr>
            <w:noProof/>
            <w:webHidden/>
          </w:rPr>
        </w:r>
        <w:r w:rsidR="00846562">
          <w:rPr>
            <w:noProof/>
            <w:webHidden/>
          </w:rPr>
          <w:fldChar w:fldCharType="separate"/>
        </w:r>
        <w:r w:rsidR="00BB181C">
          <w:rPr>
            <w:noProof/>
            <w:webHidden/>
          </w:rPr>
          <w:t>329</w:t>
        </w:r>
        <w:r w:rsidR="00846562">
          <w:rPr>
            <w:noProof/>
            <w:webHidden/>
          </w:rPr>
          <w:fldChar w:fldCharType="end"/>
        </w:r>
      </w:hyperlink>
    </w:p>
    <w:p w14:paraId="3BA39BEF" w14:textId="7426B934" w:rsidR="00846562" w:rsidRDefault="00000000">
      <w:pPr>
        <w:pStyle w:val="Tabeldefiguri"/>
        <w:tabs>
          <w:tab w:val="right" w:leader="dot" w:pos="9645"/>
        </w:tabs>
        <w:rPr>
          <w:rFonts w:eastAsiaTheme="minorEastAsia"/>
          <w:noProof/>
        </w:rPr>
      </w:pPr>
      <w:hyperlink w:anchor="_Toc96463929" w:history="1">
        <w:r w:rsidR="00846562" w:rsidRPr="003D5789">
          <w:rPr>
            <w:rStyle w:val="Hyperlink"/>
            <w:rFonts w:ascii="Arial" w:hAnsi="Arial" w:cs="Arial"/>
            <w:noProof/>
          </w:rPr>
          <w:t xml:space="preserve">Tabel I.8. 2 - </w:t>
        </w:r>
        <w:r w:rsidR="00846562" w:rsidRPr="003D5789">
          <w:rPr>
            <w:rStyle w:val="Hyperlink"/>
            <w:rFonts w:ascii="Arial" w:hAnsi="Arial" w:cs="Arial"/>
            <w:noProof/>
            <w:kern w:val="1"/>
            <w:lang w:val="ro-RO" w:eastAsia="hi-IN" w:bidi="hi-IN"/>
          </w:rPr>
          <w:t>Bugetarea măsurilor propuse</w:t>
        </w:r>
        <w:r w:rsidR="00846562">
          <w:rPr>
            <w:noProof/>
            <w:webHidden/>
          </w:rPr>
          <w:tab/>
        </w:r>
        <w:r w:rsidR="00846562">
          <w:rPr>
            <w:noProof/>
            <w:webHidden/>
          </w:rPr>
          <w:fldChar w:fldCharType="begin"/>
        </w:r>
        <w:r w:rsidR="00846562">
          <w:rPr>
            <w:noProof/>
            <w:webHidden/>
          </w:rPr>
          <w:instrText xml:space="preserve"> PAGEREF _Toc96463929 \h </w:instrText>
        </w:r>
        <w:r w:rsidR="00846562">
          <w:rPr>
            <w:noProof/>
            <w:webHidden/>
          </w:rPr>
        </w:r>
        <w:r w:rsidR="00846562">
          <w:rPr>
            <w:noProof/>
            <w:webHidden/>
          </w:rPr>
          <w:fldChar w:fldCharType="separate"/>
        </w:r>
        <w:r w:rsidR="00BB181C">
          <w:rPr>
            <w:noProof/>
            <w:webHidden/>
          </w:rPr>
          <w:t>331</w:t>
        </w:r>
        <w:r w:rsidR="00846562">
          <w:rPr>
            <w:noProof/>
            <w:webHidden/>
          </w:rPr>
          <w:fldChar w:fldCharType="end"/>
        </w:r>
      </w:hyperlink>
    </w:p>
    <w:p w14:paraId="0EA2008F" w14:textId="53587CF5" w:rsidR="00846562" w:rsidRDefault="00000000">
      <w:pPr>
        <w:pStyle w:val="Tabeldefiguri"/>
        <w:tabs>
          <w:tab w:val="right" w:leader="dot" w:pos="9645"/>
        </w:tabs>
        <w:rPr>
          <w:rFonts w:eastAsiaTheme="minorEastAsia"/>
          <w:noProof/>
        </w:rPr>
      </w:pPr>
      <w:hyperlink w:anchor="_Toc96463930" w:history="1">
        <w:r w:rsidR="00846562" w:rsidRPr="003D5789">
          <w:rPr>
            <w:rStyle w:val="Hyperlink"/>
            <w:rFonts w:ascii="Arial" w:hAnsi="Arial" w:cs="Arial"/>
            <w:noProof/>
          </w:rPr>
          <w:t>Tabel I.8. 3 - Estimarea bugetului pe surse de finanțare și ani</w:t>
        </w:r>
        <w:r w:rsidR="00846562">
          <w:rPr>
            <w:noProof/>
            <w:webHidden/>
          </w:rPr>
          <w:tab/>
        </w:r>
        <w:r w:rsidR="00846562">
          <w:rPr>
            <w:noProof/>
            <w:webHidden/>
          </w:rPr>
          <w:fldChar w:fldCharType="begin"/>
        </w:r>
        <w:r w:rsidR="00846562">
          <w:rPr>
            <w:noProof/>
            <w:webHidden/>
          </w:rPr>
          <w:instrText xml:space="preserve"> PAGEREF _Toc96463930 \h </w:instrText>
        </w:r>
        <w:r w:rsidR="00846562">
          <w:rPr>
            <w:noProof/>
            <w:webHidden/>
          </w:rPr>
        </w:r>
        <w:r w:rsidR="00846562">
          <w:rPr>
            <w:noProof/>
            <w:webHidden/>
          </w:rPr>
          <w:fldChar w:fldCharType="separate"/>
        </w:r>
        <w:r w:rsidR="00BB181C">
          <w:rPr>
            <w:noProof/>
            <w:webHidden/>
          </w:rPr>
          <w:t>333</w:t>
        </w:r>
        <w:r w:rsidR="00846562">
          <w:rPr>
            <w:noProof/>
            <w:webHidden/>
          </w:rPr>
          <w:fldChar w:fldCharType="end"/>
        </w:r>
      </w:hyperlink>
    </w:p>
    <w:p w14:paraId="77FC3487" w14:textId="1F857CCA" w:rsidR="00846562" w:rsidRDefault="00000000">
      <w:pPr>
        <w:pStyle w:val="Tabeldefiguri"/>
        <w:tabs>
          <w:tab w:val="right" w:leader="dot" w:pos="9645"/>
        </w:tabs>
        <w:rPr>
          <w:rFonts w:eastAsiaTheme="minorEastAsia"/>
          <w:noProof/>
        </w:rPr>
      </w:pPr>
      <w:hyperlink w:anchor="_Toc96463931" w:history="1">
        <w:r w:rsidR="00846562" w:rsidRPr="003D5789">
          <w:rPr>
            <w:rStyle w:val="Hyperlink"/>
            <w:rFonts w:ascii="Arial" w:hAnsi="Arial" w:cs="Arial"/>
            <w:noProof/>
          </w:rPr>
          <w:t>Tabel I.8. 4 - Impactul scenariului preferat – ora de vârf AM</w:t>
        </w:r>
        <w:r w:rsidR="00846562">
          <w:rPr>
            <w:noProof/>
            <w:webHidden/>
          </w:rPr>
          <w:tab/>
        </w:r>
        <w:r w:rsidR="00846562">
          <w:rPr>
            <w:noProof/>
            <w:webHidden/>
          </w:rPr>
          <w:fldChar w:fldCharType="begin"/>
        </w:r>
        <w:r w:rsidR="00846562">
          <w:rPr>
            <w:noProof/>
            <w:webHidden/>
          </w:rPr>
          <w:instrText xml:space="preserve"> PAGEREF _Toc96463931 \h </w:instrText>
        </w:r>
        <w:r w:rsidR="00846562">
          <w:rPr>
            <w:noProof/>
            <w:webHidden/>
          </w:rPr>
        </w:r>
        <w:r w:rsidR="00846562">
          <w:rPr>
            <w:noProof/>
            <w:webHidden/>
          </w:rPr>
          <w:fldChar w:fldCharType="separate"/>
        </w:r>
        <w:r w:rsidR="00BB181C">
          <w:rPr>
            <w:noProof/>
            <w:webHidden/>
          </w:rPr>
          <w:t>335</w:t>
        </w:r>
        <w:r w:rsidR="00846562">
          <w:rPr>
            <w:noProof/>
            <w:webHidden/>
          </w:rPr>
          <w:fldChar w:fldCharType="end"/>
        </w:r>
      </w:hyperlink>
    </w:p>
    <w:p w14:paraId="2178234B" w14:textId="2DF97ACE" w:rsidR="00846562" w:rsidRDefault="00000000">
      <w:pPr>
        <w:pStyle w:val="Tabeldefiguri"/>
        <w:tabs>
          <w:tab w:val="right" w:leader="dot" w:pos="9645"/>
        </w:tabs>
        <w:rPr>
          <w:rFonts w:eastAsiaTheme="minorEastAsia"/>
          <w:noProof/>
        </w:rPr>
      </w:pPr>
      <w:hyperlink w:anchor="_Toc96463932" w:history="1">
        <w:r w:rsidR="00846562" w:rsidRPr="003D5789">
          <w:rPr>
            <w:rStyle w:val="Hyperlink"/>
            <w:rFonts w:ascii="Arial" w:hAnsi="Arial" w:cs="Arial"/>
            <w:noProof/>
          </w:rPr>
          <w:t>Tabel I.8. 5 - Impactul scenariului preferat – ora de vârf PM</w:t>
        </w:r>
        <w:r w:rsidR="00846562">
          <w:rPr>
            <w:noProof/>
            <w:webHidden/>
          </w:rPr>
          <w:tab/>
        </w:r>
        <w:r w:rsidR="00846562">
          <w:rPr>
            <w:noProof/>
            <w:webHidden/>
          </w:rPr>
          <w:fldChar w:fldCharType="begin"/>
        </w:r>
        <w:r w:rsidR="00846562">
          <w:rPr>
            <w:noProof/>
            <w:webHidden/>
          </w:rPr>
          <w:instrText xml:space="preserve"> PAGEREF _Toc96463932 \h </w:instrText>
        </w:r>
        <w:r w:rsidR="00846562">
          <w:rPr>
            <w:noProof/>
            <w:webHidden/>
          </w:rPr>
        </w:r>
        <w:r w:rsidR="00846562">
          <w:rPr>
            <w:noProof/>
            <w:webHidden/>
          </w:rPr>
          <w:fldChar w:fldCharType="separate"/>
        </w:r>
        <w:r w:rsidR="00BB181C">
          <w:rPr>
            <w:noProof/>
            <w:webHidden/>
          </w:rPr>
          <w:t>336</w:t>
        </w:r>
        <w:r w:rsidR="00846562">
          <w:rPr>
            <w:noProof/>
            <w:webHidden/>
          </w:rPr>
          <w:fldChar w:fldCharType="end"/>
        </w:r>
      </w:hyperlink>
    </w:p>
    <w:p w14:paraId="18EEBEA7" w14:textId="45D27A71" w:rsidR="00846562" w:rsidRDefault="00000000">
      <w:pPr>
        <w:pStyle w:val="Tabeldefiguri"/>
        <w:tabs>
          <w:tab w:val="right" w:leader="dot" w:pos="9645"/>
        </w:tabs>
        <w:rPr>
          <w:rFonts w:eastAsiaTheme="minorEastAsia"/>
          <w:noProof/>
        </w:rPr>
      </w:pPr>
      <w:hyperlink w:anchor="_Toc96463933" w:history="1">
        <w:r w:rsidR="00846562" w:rsidRPr="003D5789">
          <w:rPr>
            <w:rStyle w:val="Hyperlink"/>
            <w:rFonts w:ascii="Arial" w:hAnsi="Arial" w:cs="Arial"/>
            <w:noProof/>
          </w:rPr>
          <w:t>Tabel I.8. 6 - Impactul scenariului preferat – 24h</w:t>
        </w:r>
        <w:r w:rsidR="00846562">
          <w:rPr>
            <w:noProof/>
            <w:webHidden/>
          </w:rPr>
          <w:tab/>
        </w:r>
        <w:r w:rsidR="00846562">
          <w:rPr>
            <w:noProof/>
            <w:webHidden/>
          </w:rPr>
          <w:fldChar w:fldCharType="begin"/>
        </w:r>
        <w:r w:rsidR="00846562">
          <w:rPr>
            <w:noProof/>
            <w:webHidden/>
          </w:rPr>
          <w:instrText xml:space="preserve"> PAGEREF _Toc96463933 \h </w:instrText>
        </w:r>
        <w:r w:rsidR="00846562">
          <w:rPr>
            <w:noProof/>
            <w:webHidden/>
          </w:rPr>
        </w:r>
        <w:r w:rsidR="00846562">
          <w:rPr>
            <w:noProof/>
            <w:webHidden/>
          </w:rPr>
          <w:fldChar w:fldCharType="separate"/>
        </w:r>
        <w:r w:rsidR="00BB181C">
          <w:rPr>
            <w:noProof/>
            <w:webHidden/>
          </w:rPr>
          <w:t>336</w:t>
        </w:r>
        <w:r w:rsidR="00846562">
          <w:rPr>
            <w:noProof/>
            <w:webHidden/>
          </w:rPr>
          <w:fldChar w:fldCharType="end"/>
        </w:r>
      </w:hyperlink>
    </w:p>
    <w:p w14:paraId="4B1F6B61" w14:textId="41A34057" w:rsidR="008F22F2" w:rsidRDefault="008F22F2">
      <w:pPr>
        <w:rPr>
          <w:lang w:val="ro-RO" w:eastAsia="ro-RO"/>
        </w:rPr>
      </w:pPr>
      <w:r>
        <w:rPr>
          <w:lang w:val="ro-RO" w:eastAsia="ro-RO"/>
        </w:rPr>
        <w:fldChar w:fldCharType="end"/>
      </w:r>
    </w:p>
    <w:p w14:paraId="0F6745D4" w14:textId="77777777" w:rsidR="00A31042" w:rsidRDefault="00A31042" w:rsidP="00ED369F">
      <w:pPr>
        <w:spacing w:after="0" w:line="240" w:lineRule="auto"/>
        <w:rPr>
          <w:lang w:val="ro-RO" w:eastAsia="ro-RO"/>
        </w:rPr>
      </w:pPr>
      <w:r>
        <w:rPr>
          <w:lang w:val="ro-RO" w:eastAsia="ro-RO"/>
        </w:rPr>
        <w:br w:type="page"/>
      </w:r>
    </w:p>
    <w:p w14:paraId="07EE847A" w14:textId="77777777" w:rsidR="00A31042" w:rsidRPr="00CC6E9C" w:rsidRDefault="00A31042" w:rsidP="00A31042">
      <w:pPr>
        <w:pStyle w:val="Titlu1"/>
        <w:rPr>
          <w:rFonts w:ascii="Arial" w:eastAsia="Times New Roman" w:hAnsi="Arial" w:cs="Arial"/>
          <w:b/>
          <w:bCs/>
          <w:color w:val="auto"/>
          <w:sz w:val="24"/>
          <w:szCs w:val="24"/>
          <w:lang w:eastAsia="zh-CN" w:bidi="hi-IN"/>
        </w:rPr>
      </w:pPr>
      <w:bookmarkStart w:id="3" w:name="_Toc491872937"/>
      <w:bookmarkStart w:id="4" w:name="_Toc142039040"/>
      <w:r w:rsidRPr="00CC6E9C">
        <w:rPr>
          <w:rFonts w:ascii="Arial" w:eastAsia="Times New Roman" w:hAnsi="Arial" w:cs="Arial"/>
          <w:b/>
          <w:bCs/>
          <w:color w:val="auto"/>
          <w:sz w:val="24"/>
          <w:szCs w:val="24"/>
          <w:lang w:eastAsia="zh-CN" w:bidi="hi-IN"/>
        </w:rPr>
        <w:lastRenderedPageBreak/>
        <w:t>Abrevieri</w:t>
      </w:r>
      <w:bookmarkEnd w:id="3"/>
      <w:bookmarkEnd w:id="4"/>
      <w:r w:rsidRPr="00CC6E9C">
        <w:rPr>
          <w:rFonts w:ascii="Arial" w:eastAsia="Times New Roman" w:hAnsi="Arial" w:cs="Arial"/>
          <w:b/>
          <w:bCs/>
          <w:color w:val="auto"/>
          <w:sz w:val="24"/>
          <w:szCs w:val="24"/>
          <w:lang w:eastAsia="zh-CN" w:bidi="hi-IN"/>
        </w:rPr>
        <w:tab/>
      </w:r>
    </w:p>
    <w:p w14:paraId="645CE11C"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ACB – Analiză cost beneficiu</w:t>
      </w:r>
    </w:p>
    <w:p w14:paraId="5A34D021"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ADI-T - Asociaţia de Dezvoltare Intercomunitară de Transport</w:t>
      </w:r>
    </w:p>
    <w:p w14:paraId="37215D7A"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AMC – Analiză multicriterială</w:t>
      </w:r>
    </w:p>
    <w:p w14:paraId="160BE2D8"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CE – Comisia Europeană</w:t>
      </w:r>
    </w:p>
    <w:p w14:paraId="610A43EB"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CNADNR – Compania Naţională de Autostrăzi şi Drumuri Naţionale din România (actualmente CNAIR – Compania Nationala de Administrare a Infrastructurii Rutiere)</w:t>
      </w:r>
    </w:p>
    <w:p w14:paraId="61DC8B33"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DJ – Drum Judeţean</w:t>
      </w:r>
    </w:p>
    <w:p w14:paraId="64D514E4"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DN – Drum naţional</w:t>
      </w:r>
    </w:p>
    <w:p w14:paraId="5D8F6836"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GIS – geographic information system (sistem informational geografic)</w:t>
      </w:r>
    </w:p>
    <w:p w14:paraId="619DC358"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GPS – Global Positioning System (sistem de poziţionare globală)</w:t>
      </w:r>
    </w:p>
    <w:p w14:paraId="7C5BFE1A"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 xml:space="preserve">HCL – Hotărârea Consiliului Local </w:t>
      </w:r>
    </w:p>
    <w:p w14:paraId="7030244D"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HGV - Heavy Goods Vehicle (vehicule cu tonaj greu pentru transport bunuri)</w:t>
      </w:r>
    </w:p>
    <w:p w14:paraId="01ED9DBB"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IMM – intreprinderi mici şi mijlocii</w:t>
      </w:r>
    </w:p>
    <w:p w14:paraId="13C8B6E0"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ITS – Intelligent Transport Systems (sisteme inteligente de transport)</w:t>
      </w:r>
    </w:p>
    <w:p w14:paraId="161C5BBD"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LGV - Large Goods Vehicle (vehicule mari pentru transport bunuri)</w:t>
      </w:r>
    </w:p>
    <w:p w14:paraId="58F81A28"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MM –managementul mobilităţii</w:t>
      </w:r>
    </w:p>
    <w:p w14:paraId="411048B9"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PMUD – Plan de mobilitate urbană durabilă</w:t>
      </w:r>
    </w:p>
    <w:p w14:paraId="28C2B308"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POR – Programul Operaţional Regional</w:t>
      </w:r>
    </w:p>
    <w:p w14:paraId="505AFADE"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SNTFC – CFR – Societatea Naţională de Transport Feroviar de Călători – CFR Călători</w:t>
      </w:r>
    </w:p>
    <w:p w14:paraId="4D5702FF"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TEN-T – Trans-European Transport Networks</w:t>
      </w:r>
    </w:p>
    <w:p w14:paraId="1E1ABD24"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TP – Transport Public</w:t>
      </w:r>
    </w:p>
    <w:p w14:paraId="02D6D304"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TPL – transport public local</w:t>
      </w:r>
    </w:p>
    <w:p w14:paraId="0669F821" w14:textId="77777777" w:rsidR="00A31042" w:rsidRPr="00FC2D87" w:rsidRDefault="00A31042" w:rsidP="00A31042">
      <w:pPr>
        <w:widowControl w:val="0"/>
        <w:numPr>
          <w:ilvl w:val="0"/>
          <w:numId w:val="1"/>
        </w:numPr>
        <w:suppressAutoHyphens/>
        <w:spacing w:after="0" w:line="240" w:lineRule="auto"/>
        <w:contextualSpacing/>
        <w:jc w:val="both"/>
        <w:rPr>
          <w:rFonts w:ascii="Arial" w:eastAsia="Times New Roman" w:hAnsi="Arial" w:cs="Arial"/>
          <w:lang w:eastAsia="zh-CN"/>
        </w:rPr>
      </w:pPr>
      <w:r w:rsidRPr="00FC2D87">
        <w:rPr>
          <w:rFonts w:ascii="Arial" w:eastAsia="Times New Roman" w:hAnsi="Arial" w:cs="Arial"/>
          <w:lang w:eastAsia="zh-CN"/>
        </w:rPr>
        <w:t>UITP - Uniunea Internaţională a Transportatorilor Publici</w:t>
      </w:r>
    </w:p>
    <w:p w14:paraId="2A60BBE5" w14:textId="77777777" w:rsidR="00A31042" w:rsidRPr="00FC2D87" w:rsidRDefault="00A31042" w:rsidP="00A31042">
      <w:pPr>
        <w:widowControl w:val="0"/>
        <w:numPr>
          <w:ilvl w:val="0"/>
          <w:numId w:val="1"/>
        </w:numPr>
        <w:suppressAutoHyphens/>
        <w:spacing w:after="0" w:line="240" w:lineRule="auto"/>
        <w:contextualSpacing/>
        <w:jc w:val="both"/>
        <w:rPr>
          <w:rFonts w:ascii="Arial" w:hAnsi="Arial" w:cs="Mangal"/>
          <w:kern w:val="1"/>
          <w:lang w:eastAsia="zh-CN" w:bidi="hi-IN"/>
        </w:rPr>
      </w:pPr>
      <w:r w:rsidRPr="00FC2D87">
        <w:rPr>
          <w:rFonts w:ascii="Arial" w:eastAsia="Times New Roman" w:hAnsi="Arial" w:cs="Arial"/>
          <w:lang w:eastAsia="zh-CN"/>
        </w:rPr>
        <w:t>veh – vehicul</w:t>
      </w:r>
    </w:p>
    <w:p w14:paraId="5C15099C" w14:textId="77777777" w:rsidR="00D70AEA" w:rsidRPr="00D70AEA" w:rsidRDefault="00A31042" w:rsidP="00D70AEA">
      <w:pPr>
        <w:pStyle w:val="Titlu1"/>
        <w:rPr>
          <w:rFonts w:ascii="Calibri Light" w:eastAsia="Times New Roman" w:hAnsi="Calibri Light" w:cs="Times New Roman"/>
          <w:b/>
          <w:bCs/>
          <w:color w:val="auto"/>
          <w:lang w:val="it-IT" w:eastAsia="ro-RO"/>
        </w:rPr>
      </w:pPr>
      <w:r>
        <w:rPr>
          <w:lang w:val="ro-RO" w:eastAsia="ro-RO"/>
        </w:rPr>
        <w:br w:type="page"/>
      </w:r>
      <w:bookmarkStart w:id="5" w:name="_Toc61264881"/>
      <w:bookmarkStart w:id="6" w:name="_Toc142039041"/>
      <w:r w:rsidR="00500972">
        <w:rPr>
          <w:noProof/>
        </w:rPr>
        <w:lastRenderedPageBreak/>
        <mc:AlternateContent>
          <mc:Choice Requires="wps">
            <w:drawing>
              <wp:anchor distT="0" distB="0" distL="114300" distR="114300" simplePos="0" relativeHeight="251605504" behindDoc="0" locked="0" layoutInCell="1" allowOverlap="1" wp14:anchorId="73E5710A" wp14:editId="442E7812">
                <wp:simplePos x="0" y="0"/>
                <wp:positionH relativeFrom="page">
                  <wp:align>right</wp:align>
                </wp:positionH>
                <wp:positionV relativeFrom="paragraph">
                  <wp:posOffset>-161925</wp:posOffset>
                </wp:positionV>
                <wp:extent cx="1828800" cy="1828800"/>
                <wp:effectExtent l="0" t="0" r="0" b="3175"/>
                <wp:wrapNone/>
                <wp:docPr id="47" name="Text Box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84EED88" w14:textId="77777777" w:rsidR="00C36A80" w:rsidRPr="008F22F2" w:rsidRDefault="00C36A80" w:rsidP="00500972">
                            <w:pPr>
                              <w:pStyle w:val="Titlu1"/>
                              <w:jc w:val="center"/>
                              <w:rPr>
                                <w:b/>
                                <w:color w:val="385623" w:themeColor="accent6" w:themeShade="80"/>
                                <w:sz w:val="24"/>
                                <w:szCs w:val="24"/>
                                <w:lang w:val="ro-RO" w:eastAsia="ro-RO"/>
                                <w14:textOutline w14:w="11112" w14:cap="flat" w14:cmpd="sng" w14:algn="ctr">
                                  <w14:solidFill>
                                    <w14:schemeClr w14:val="accent2"/>
                                  </w14:solidFill>
                                  <w14:prstDash w14:val="solid"/>
                                  <w14:round/>
                                </w14:textOutline>
                              </w:rPr>
                            </w:pPr>
                            <w:bookmarkStart w:id="7" w:name="_Toc142039042"/>
                            <w:r w:rsidRPr="008F22F2">
                              <w:rPr>
                                <w:b/>
                                <w:color w:val="385623" w:themeColor="accent6" w:themeShade="80"/>
                                <w:sz w:val="24"/>
                                <w:szCs w:val="24"/>
                                <w:lang w:val="ro-RO" w:eastAsia="ro-RO"/>
                                <w14:textOutline w14:w="11112" w14:cap="flat" w14:cmpd="sng" w14:algn="ctr">
                                  <w14:solidFill>
                                    <w14:schemeClr w14:val="accent2"/>
                                  </w14:solidFill>
                                  <w14:prstDash w14:val="solid"/>
                                  <w14:round/>
                                </w14:textOutline>
                              </w:rPr>
                              <w:t>Preambul</w:t>
                            </w:r>
                            <w:bookmarkEnd w:id="7"/>
                          </w:p>
                          <w:p w14:paraId="26FB4483" w14:textId="77777777" w:rsidR="00C36A80" w:rsidRDefault="00C36A80"/>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3E5710A" id="_x0000_t202" coordsize="21600,21600" o:spt="202" path="m,l,21600r21600,l21600,xe">
                <v:stroke joinstyle="miter"/>
                <v:path gradientshapeok="t" o:connecttype="rect"/>
              </v:shapetype>
              <v:shape id="Text Box 47" o:spid="_x0000_s1026" type="#_x0000_t202" style="position:absolute;margin-left:92.8pt;margin-top:-12.75pt;width:2in;height:2in;z-index:251605504;visibility:visible;mso-wrap-style:none;mso-wrap-distance-left:9pt;mso-wrap-distance-top:0;mso-wrap-distance-right:9pt;mso-wrap-distance-bottom:0;mso-position-horizontal:right;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" filled="f" stroked="f">
                <v:textbox style="mso-fit-shape-to-text:t">
                  <w:txbxContent>
                    <w:p w14:paraId="184EED88" w14:textId="77777777" w:rsidR="00C36A80" w:rsidRPr="008F22F2" w:rsidRDefault="00C36A80" w:rsidP="00500972">
                      <w:pPr>
                        <w:pStyle w:val="Titlu1"/>
                        <w:jc w:val="center"/>
                        <w:rPr>
                          <w:b/>
                          <w:color w:val="385623" w:themeColor="accent6" w:themeShade="80"/>
                          <w:sz w:val="24"/>
                          <w:szCs w:val="24"/>
                          <w:lang w:val="ro-RO" w:eastAsia="ro-RO"/>
                          <w14:textOutline w14:w="11112" w14:cap="flat" w14:cmpd="sng" w14:algn="ctr">
                            <w14:solidFill>
                              <w14:schemeClr w14:val="accent2"/>
                            </w14:solidFill>
                            <w14:prstDash w14:val="solid"/>
                            <w14:round/>
                          </w14:textOutline>
                        </w:rPr>
                      </w:pPr>
                      <w:bookmarkStart w:id="8" w:name="_Toc142039042"/>
                      <w:r w:rsidRPr="008F22F2">
                        <w:rPr>
                          <w:b/>
                          <w:color w:val="385623" w:themeColor="accent6" w:themeShade="80"/>
                          <w:sz w:val="24"/>
                          <w:szCs w:val="24"/>
                          <w:lang w:val="ro-RO" w:eastAsia="ro-RO"/>
                          <w14:textOutline w14:w="11112" w14:cap="flat" w14:cmpd="sng" w14:algn="ctr">
                            <w14:solidFill>
                              <w14:schemeClr w14:val="accent2"/>
                            </w14:solidFill>
                            <w14:prstDash w14:val="solid"/>
                            <w14:round/>
                          </w14:textOutline>
                        </w:rPr>
                        <w:t>Preambul</w:t>
                      </w:r>
                      <w:bookmarkEnd w:id="8"/>
                    </w:p>
                    <w:p w14:paraId="26FB4483" w14:textId="77777777" w:rsidR="00C36A80" w:rsidRDefault="00C36A80"/>
                  </w:txbxContent>
                </v:textbox>
                <w10:wrap anchorx="page"/>
              </v:shape>
            </w:pict>
          </mc:Fallback>
        </mc:AlternateContent>
      </w:r>
      <w:r w:rsidR="00D70AEA" w:rsidRPr="00D70AEA">
        <w:rPr>
          <w:rFonts w:ascii="Calibri Light" w:eastAsia="Times New Roman" w:hAnsi="Calibri Light" w:cs="Times New Roman"/>
          <w:b/>
          <w:bCs/>
          <w:color w:val="auto"/>
          <w:lang w:val="it-IT" w:eastAsia="ro-RO"/>
        </w:rPr>
        <w:t>Preambul</w:t>
      </w:r>
      <w:bookmarkEnd w:id="5"/>
      <w:bookmarkEnd w:id="6"/>
    </w:p>
    <w:p w14:paraId="2E1E96ED" w14:textId="77777777" w:rsidR="00D70AEA" w:rsidRPr="00D70AEA" w:rsidRDefault="00D70AEA" w:rsidP="00C07F97">
      <w:pPr>
        <w:shd w:val="clear" w:color="auto" w:fill="E2EFD9" w:themeFill="accent6" w:themeFillTint="33"/>
        <w:spacing w:after="0" w:line="276" w:lineRule="auto"/>
        <w:rPr>
          <w:rFonts w:ascii="Arial" w:eastAsia="Calibri" w:hAnsi="Arial" w:cs="Arial"/>
          <w:i/>
          <w:iCs/>
          <w:lang w:val="ro-RO" w:eastAsia="ro-RO"/>
        </w:rPr>
      </w:pPr>
      <w:r w:rsidRPr="00D70AEA">
        <w:rPr>
          <w:rFonts w:ascii="Arial" w:eastAsia="Calibri" w:hAnsi="Arial" w:cs="Arial"/>
          <w:i/>
          <w:iCs/>
          <w:lang w:val="it-IT" w:eastAsia="ro-RO"/>
        </w:rPr>
        <w:t>Raport ini</w:t>
      </w:r>
      <w:r w:rsidRPr="00D70AEA">
        <w:rPr>
          <w:rFonts w:ascii="Arial" w:eastAsia="Calibri" w:hAnsi="Arial" w:cs="Arial"/>
          <w:i/>
          <w:iCs/>
          <w:lang w:val="ro-RO" w:eastAsia="ro-RO"/>
        </w:rPr>
        <w:t>țial</w:t>
      </w:r>
    </w:p>
    <w:p w14:paraId="6690DDCF" w14:textId="77777777" w:rsidR="00D70AEA" w:rsidRPr="00D70AEA" w:rsidRDefault="004C7175" w:rsidP="00D70AEA">
      <w:pPr>
        <w:spacing w:after="0" w:line="276" w:lineRule="auto"/>
        <w:jc w:val="both"/>
        <w:rPr>
          <w:rFonts w:ascii="Arial" w:eastAsia="Calibri" w:hAnsi="Arial" w:cs="Arial"/>
          <w:lang w:val="ro-RO" w:eastAsia="ro-RO"/>
        </w:rPr>
      </w:pPr>
      <w:r>
        <w:rPr>
          <w:rFonts w:ascii="Arial" w:eastAsia="Calibri" w:hAnsi="Arial" w:cs="Arial"/>
          <w:lang w:val="ro-RO" w:eastAsia="ro-RO"/>
        </w:rPr>
        <w:t>La data de 07.10.2021</w:t>
      </w:r>
      <w:r w:rsidR="00D70AEA" w:rsidRPr="00D70AEA">
        <w:rPr>
          <w:rFonts w:ascii="Arial" w:eastAsia="Calibri" w:hAnsi="Arial" w:cs="Arial"/>
          <w:lang w:val="ro-RO" w:eastAsia="ro-RO"/>
        </w:rPr>
        <w:t xml:space="preserve"> a fost încheiat contractul de servicii având ca obiect </w:t>
      </w:r>
      <w:r w:rsidRPr="004C7175">
        <w:rPr>
          <w:rFonts w:ascii="Arial" w:eastAsia="Calibri" w:hAnsi="Arial" w:cs="Arial"/>
          <w:i/>
          <w:iCs/>
          <w:lang w:val="ro-RO" w:eastAsia="ro-RO"/>
        </w:rPr>
        <w:t>Servicii pentru Întocmirea Planului de Mobilitate Urbană Durabilă pentru perioada 2021-2027</w:t>
      </w:r>
      <w:r w:rsidR="00D70AEA" w:rsidRPr="00D70AEA">
        <w:rPr>
          <w:rFonts w:ascii="Arial" w:eastAsia="Calibri" w:hAnsi="Arial" w:cs="Arial"/>
          <w:i/>
          <w:iCs/>
          <w:lang w:val="ro-RO" w:eastAsia="ro-RO"/>
        </w:rPr>
        <w:t xml:space="preserve">, </w:t>
      </w:r>
      <w:r w:rsidR="00D70AEA" w:rsidRPr="00D70AEA">
        <w:rPr>
          <w:rFonts w:ascii="Arial" w:eastAsia="Calibri" w:hAnsi="Arial" w:cs="Arial"/>
          <w:lang w:val="ro-RO" w:eastAsia="ro-RO"/>
        </w:rPr>
        <w:t xml:space="preserve">între U.A.T. </w:t>
      </w:r>
      <w:r>
        <w:rPr>
          <w:rFonts w:ascii="Arial" w:eastAsia="Calibri" w:hAnsi="Arial" w:cs="Arial"/>
          <w:lang w:val="ro-RO" w:eastAsia="ro-RO"/>
        </w:rPr>
        <w:t xml:space="preserve">Oraşul </w:t>
      </w:r>
      <w:r w:rsidR="00EE29BA">
        <w:rPr>
          <w:rFonts w:ascii="Arial" w:eastAsia="Calibri" w:hAnsi="Arial" w:cs="Arial"/>
          <w:lang w:val="ro-RO" w:eastAsia="ro-RO"/>
        </w:rPr>
        <w:t>Horezu</w:t>
      </w:r>
      <w:r w:rsidR="00D70AEA" w:rsidRPr="00D70AEA">
        <w:rPr>
          <w:rFonts w:ascii="Arial" w:eastAsia="Calibri" w:hAnsi="Arial" w:cs="Arial"/>
          <w:lang w:val="ro-RO" w:eastAsia="ro-RO"/>
        </w:rPr>
        <w:t xml:space="preserve"> în calitate de achizitor și Institutul de Cercetări în Transporturi INCERTRANS S.A. în calitate de prestator. Prin </w:t>
      </w:r>
      <w:r>
        <w:rPr>
          <w:rFonts w:ascii="Arial" w:eastAsia="Calibri" w:hAnsi="Arial" w:cs="Arial"/>
          <w:lang w:val="ro-RO" w:eastAsia="ro-RO"/>
        </w:rPr>
        <w:t>întocmirea</w:t>
      </w:r>
      <w:r w:rsidR="00D70AEA" w:rsidRPr="00D70AEA">
        <w:rPr>
          <w:rFonts w:ascii="Arial" w:eastAsia="Calibri" w:hAnsi="Arial" w:cs="Arial"/>
          <w:lang w:val="ro-RO" w:eastAsia="ro-RO"/>
        </w:rPr>
        <w:t xml:space="preserve"> planului de mobilitate se vizează planificarea şi modelarea mobilităţii în raport cu nevoile și prioritățile de dezvoltare spaţială de la nivelul municipiului.</w:t>
      </w:r>
    </w:p>
    <w:p w14:paraId="5E9A34A0" w14:textId="77777777" w:rsidR="00D70AEA" w:rsidRPr="00D70AEA" w:rsidRDefault="00D70AEA" w:rsidP="00D70AEA">
      <w:pPr>
        <w:spacing w:line="276" w:lineRule="auto"/>
        <w:jc w:val="both"/>
        <w:rPr>
          <w:rFonts w:ascii="Arial" w:eastAsia="Calibri" w:hAnsi="Arial" w:cs="Arial"/>
          <w:lang w:val="ro-RO" w:eastAsia="ro-RO"/>
        </w:rPr>
      </w:pPr>
      <w:r w:rsidRPr="007547E0">
        <w:rPr>
          <w:rFonts w:ascii="Arial" w:eastAsia="Calibri" w:hAnsi="Arial" w:cs="Arial"/>
          <w:lang w:val="ro-RO" w:eastAsia="ro-RO"/>
        </w:rPr>
        <w:t xml:space="preserve">Activităţile au demarat cu întocmirea unui plan de consultări prezentat autorităţii locale în care este subliniată importanţa desfăşurării consultărilor la nivel public a părţilor interesate în cazul actualizării planului de mobilitate urbană durabilă. În cadrul planului de consultări publice a fost făcut cunoscut grupul de lucru desemnat pentru consultări în procesul de elaborare a </w:t>
      </w:r>
      <w:r w:rsidR="00EE29BA" w:rsidRPr="007547E0">
        <w:rPr>
          <w:rFonts w:ascii="Arial" w:eastAsia="Calibri" w:hAnsi="Arial" w:cs="Arial"/>
          <w:lang w:val="ro-RO" w:eastAsia="ro-RO"/>
        </w:rPr>
        <w:t>Planului de Mobilitate Urbană Durabilă</w:t>
      </w:r>
      <w:r w:rsidRPr="007547E0">
        <w:rPr>
          <w:rFonts w:ascii="Arial" w:eastAsia="Calibri" w:hAnsi="Arial" w:cs="Arial"/>
          <w:lang w:val="ro-RO" w:eastAsia="ro-RO"/>
        </w:rPr>
        <w:t xml:space="preserve">, precum şi componenţa acestuia, respectiv persoane cu răspundere din cadrul instituţiilor din </w:t>
      </w:r>
      <w:r w:rsidR="00EE29BA" w:rsidRPr="007547E0">
        <w:rPr>
          <w:rFonts w:ascii="Arial" w:eastAsia="Calibri" w:hAnsi="Arial" w:cs="Arial"/>
          <w:lang w:val="ro-RO" w:eastAsia="ro-RO"/>
        </w:rPr>
        <w:t>Horezu</w:t>
      </w:r>
      <w:r w:rsidRPr="007547E0">
        <w:rPr>
          <w:rFonts w:ascii="Arial" w:eastAsia="Calibri" w:hAnsi="Arial" w:cs="Arial"/>
          <w:lang w:val="ro-RO" w:eastAsia="ro-RO"/>
        </w:rPr>
        <w:t xml:space="preserve"> în domenii de interes pentru planificarea şi gestiunii mobilităţii, </w:t>
      </w:r>
      <w:r w:rsidR="007A73C2" w:rsidRPr="007547E0">
        <w:rPr>
          <w:rFonts w:ascii="Arial" w:eastAsia="Calibri" w:hAnsi="Arial" w:cs="Arial"/>
          <w:lang w:val="ro-RO" w:eastAsia="ro-RO"/>
        </w:rPr>
        <w:t>direcții</w:t>
      </w:r>
      <w:r w:rsidRPr="007547E0">
        <w:rPr>
          <w:rFonts w:ascii="Arial" w:eastAsia="Calibri" w:hAnsi="Arial" w:cs="Arial"/>
          <w:lang w:val="ro-RO" w:eastAsia="ro-RO"/>
        </w:rPr>
        <w:t xml:space="preserve">le sau compartimentele specializate din cadrul Primăriei </w:t>
      </w:r>
      <w:r w:rsidR="00EE29BA" w:rsidRPr="007547E0">
        <w:rPr>
          <w:rFonts w:ascii="Arial" w:eastAsia="Calibri" w:hAnsi="Arial" w:cs="Arial"/>
          <w:lang w:val="ro-RO" w:eastAsia="ro-RO"/>
        </w:rPr>
        <w:t>Horezu</w:t>
      </w:r>
      <w:r w:rsidRPr="007547E0">
        <w:rPr>
          <w:rFonts w:ascii="Arial" w:eastAsia="Calibri" w:hAnsi="Arial" w:cs="Arial"/>
          <w:lang w:val="ro-RO" w:eastAsia="ro-RO"/>
        </w:rPr>
        <w:t>.</w:t>
      </w:r>
    </w:p>
    <w:p w14:paraId="5CE1C394" w14:textId="77777777" w:rsidR="00D70AEA" w:rsidRPr="00D70AEA" w:rsidRDefault="00D70AEA" w:rsidP="00D70AEA">
      <w:pPr>
        <w:spacing w:line="276" w:lineRule="auto"/>
        <w:jc w:val="both"/>
        <w:rPr>
          <w:rFonts w:ascii="Arial" w:eastAsia="Calibri" w:hAnsi="Arial" w:cs="Arial"/>
          <w:i/>
          <w:iCs/>
          <w:lang w:val="ro-RO" w:eastAsia="ro-RO"/>
        </w:rPr>
      </w:pPr>
    </w:p>
    <w:p w14:paraId="5C18DC5B" w14:textId="77777777" w:rsidR="00D70AEA" w:rsidRPr="00D70AEA" w:rsidRDefault="00D70AEA" w:rsidP="007547E0">
      <w:pPr>
        <w:shd w:val="clear" w:color="auto" w:fill="E2EFD9" w:themeFill="accent6" w:themeFillTint="33"/>
        <w:spacing w:after="0" w:line="276" w:lineRule="auto"/>
        <w:jc w:val="both"/>
        <w:rPr>
          <w:rFonts w:ascii="Arial" w:eastAsia="Calibri" w:hAnsi="Arial" w:cs="Arial"/>
          <w:i/>
          <w:iCs/>
          <w:lang w:val="ro-RO" w:eastAsia="ro-RO"/>
        </w:rPr>
      </w:pPr>
      <w:r w:rsidRPr="00D70AEA">
        <w:rPr>
          <w:rFonts w:ascii="Arial" w:eastAsia="Calibri" w:hAnsi="Arial" w:cs="Arial"/>
          <w:i/>
          <w:iCs/>
          <w:lang w:val="ro-RO" w:eastAsia="ro-RO"/>
        </w:rPr>
        <w:t>Stabilirea echipei tehnice</w:t>
      </w:r>
    </w:p>
    <w:p w14:paraId="40CA75DC" w14:textId="77777777" w:rsidR="00D70AEA" w:rsidRPr="00D70AEA" w:rsidRDefault="00D70AEA" w:rsidP="00D70AEA">
      <w:pPr>
        <w:widowControl w:val="0"/>
        <w:suppressAutoHyphens/>
        <w:spacing w:after="0" w:line="276" w:lineRule="auto"/>
        <w:jc w:val="both"/>
        <w:rPr>
          <w:rFonts w:ascii="Arial" w:hAnsi="Arial" w:cs="Mangal"/>
          <w:kern w:val="1"/>
          <w:lang w:val="ro-RO" w:eastAsia="zh-CN" w:bidi="hi-IN"/>
        </w:rPr>
      </w:pPr>
      <w:r w:rsidRPr="00D70AEA">
        <w:rPr>
          <w:rFonts w:ascii="Arial" w:hAnsi="Arial" w:cs="Mangal"/>
          <w:kern w:val="1"/>
          <w:lang w:val="ro-RO" w:eastAsia="zh-CN" w:bidi="hi-IN"/>
        </w:rPr>
        <w:t xml:space="preserve">Echipa tehnică responsabilă de </w:t>
      </w:r>
      <w:r w:rsidR="004C7175">
        <w:rPr>
          <w:rFonts w:ascii="Arial" w:hAnsi="Arial" w:cs="Mangal"/>
          <w:kern w:val="1"/>
          <w:lang w:val="ro-RO" w:eastAsia="zh-CN" w:bidi="hi-IN"/>
        </w:rPr>
        <w:t>întormirea Planului de Mobilitate Urbană Durabilă (PMUD)</w:t>
      </w:r>
      <w:r w:rsidRPr="00D70AEA">
        <w:rPr>
          <w:rFonts w:ascii="Arial" w:hAnsi="Arial" w:cs="Mangal"/>
          <w:kern w:val="1"/>
          <w:lang w:val="ro-RO" w:eastAsia="zh-CN" w:bidi="hi-IN"/>
        </w:rPr>
        <w:t xml:space="preserve"> </w:t>
      </w:r>
      <w:r w:rsidR="00EE29BA">
        <w:rPr>
          <w:rFonts w:ascii="Arial" w:hAnsi="Arial" w:cs="Mangal"/>
          <w:kern w:val="1"/>
          <w:lang w:val="ro-RO" w:eastAsia="zh-CN" w:bidi="hi-IN"/>
        </w:rPr>
        <w:t xml:space="preserve">al </w:t>
      </w:r>
      <w:r w:rsidR="004C7175">
        <w:rPr>
          <w:rFonts w:ascii="Arial" w:hAnsi="Arial" w:cs="Mangal"/>
          <w:kern w:val="1"/>
          <w:lang w:val="ro-RO" w:eastAsia="zh-CN" w:bidi="hi-IN"/>
        </w:rPr>
        <w:t>Oraşul</w:t>
      </w:r>
      <w:r w:rsidR="00EE29BA">
        <w:rPr>
          <w:rFonts w:ascii="Arial" w:hAnsi="Arial" w:cs="Mangal"/>
          <w:kern w:val="1"/>
          <w:lang w:val="ro-RO" w:eastAsia="zh-CN" w:bidi="hi-IN"/>
        </w:rPr>
        <w:t>ui</w:t>
      </w:r>
      <w:r w:rsidR="004C7175">
        <w:rPr>
          <w:rFonts w:ascii="Arial" w:hAnsi="Arial" w:cs="Mangal"/>
          <w:kern w:val="1"/>
          <w:lang w:val="ro-RO" w:eastAsia="zh-CN" w:bidi="hi-IN"/>
        </w:rPr>
        <w:t xml:space="preserve"> Ho</w:t>
      </w:r>
      <w:r w:rsidR="00EE29BA">
        <w:rPr>
          <w:rFonts w:ascii="Arial" w:hAnsi="Arial" w:cs="Mangal"/>
          <w:kern w:val="1"/>
          <w:lang w:val="ro-RO" w:eastAsia="zh-CN" w:bidi="hi-IN"/>
        </w:rPr>
        <w:t>r</w:t>
      </w:r>
      <w:r w:rsidR="004C7175">
        <w:rPr>
          <w:rFonts w:ascii="Arial" w:hAnsi="Arial" w:cs="Mangal"/>
          <w:kern w:val="1"/>
          <w:lang w:val="ro-RO" w:eastAsia="zh-CN" w:bidi="hi-IN"/>
        </w:rPr>
        <w:t>ezu</w:t>
      </w:r>
      <w:r w:rsidRPr="00D70AEA">
        <w:rPr>
          <w:rFonts w:ascii="Arial" w:hAnsi="Arial" w:cs="Mangal"/>
          <w:kern w:val="1"/>
          <w:lang w:val="ro-RO" w:eastAsia="zh-CN" w:bidi="hi-IN"/>
        </w:rPr>
        <w:t xml:space="preserve"> este constituită dintr-o echipă de consultanţă - experţi ai Institutului de Cercetări în Transporturi INCERTRANS S.A. care dispun de experienţă în elaborarea planurilor de mobilitate urbană durabilă. Experţii desemnaţi în echipa tehnică deţin pregătire specializată în ingineria transporturilor și o experienţă specifică în pregătirea planurilor de mobilitate urbană, a studiilor de trafic şi circulaţie rutieră, în elaborarea de analize economico-sociale ale măsurilor pentru mobilitate urbană durabilă, în modelare matematică în transportul urban. </w:t>
      </w:r>
    </w:p>
    <w:p w14:paraId="32185ADB" w14:textId="77777777" w:rsidR="00D70AEA" w:rsidRPr="00D70AEA" w:rsidRDefault="00D70AEA" w:rsidP="00D70AEA">
      <w:pPr>
        <w:rPr>
          <w:rFonts w:ascii="Calibri" w:eastAsia="Calibri" w:hAnsi="Calibri" w:cs="Times New Roman"/>
        </w:rPr>
      </w:pPr>
    </w:p>
    <w:p w14:paraId="6B62468B" w14:textId="77777777" w:rsidR="00D70AEA" w:rsidRPr="00500972" w:rsidRDefault="00D70AEA" w:rsidP="003B21C2">
      <w:pPr>
        <w:shd w:val="clear" w:color="auto" w:fill="E2EFD9" w:themeFill="accent6" w:themeFillTint="33"/>
        <w:spacing w:after="0" w:line="276" w:lineRule="auto"/>
        <w:rPr>
          <w:rFonts w:ascii="Arial" w:eastAsia="Calibri" w:hAnsi="Arial" w:cs="Arial"/>
          <w:i/>
          <w:iCs/>
        </w:rPr>
      </w:pPr>
      <w:r w:rsidRPr="00500972">
        <w:rPr>
          <w:rFonts w:ascii="Arial" w:eastAsia="Calibri" w:hAnsi="Arial" w:cs="Arial"/>
          <w:i/>
          <w:iCs/>
        </w:rPr>
        <w:t>Identificarea managerului de proiect</w:t>
      </w:r>
    </w:p>
    <w:p w14:paraId="34392B2C" w14:textId="77777777" w:rsidR="00D70AEA" w:rsidRPr="00D70AEA" w:rsidRDefault="00D70AEA" w:rsidP="00500972">
      <w:pPr>
        <w:widowControl w:val="0"/>
        <w:suppressAutoHyphens/>
        <w:spacing w:after="0" w:line="276" w:lineRule="auto"/>
        <w:jc w:val="both"/>
        <w:rPr>
          <w:rFonts w:ascii="Arial" w:hAnsi="Arial" w:cs="Arial"/>
          <w:kern w:val="1"/>
          <w:lang w:val="es-ES" w:eastAsia="hi-IN" w:bidi="hi-IN"/>
        </w:rPr>
      </w:pPr>
      <w:r w:rsidRPr="00500972">
        <w:rPr>
          <w:rFonts w:ascii="Arial" w:hAnsi="Arial" w:cs="Arial"/>
          <w:kern w:val="1"/>
          <w:lang w:val="es-ES" w:eastAsia="hi-IN" w:bidi="hi-IN"/>
        </w:rPr>
        <w:t xml:space="preserve">Managerul de proiect este persoana desemnată responsabilă de gestionarea comunicării între Autoritatea Contractantă (achizitor), beneficiarul lucrării – </w:t>
      </w:r>
      <w:r w:rsidR="004C7175">
        <w:rPr>
          <w:rFonts w:ascii="Arial" w:hAnsi="Arial" w:cs="Arial"/>
          <w:kern w:val="1"/>
          <w:lang w:val="es-ES" w:eastAsia="hi-IN" w:bidi="hi-IN"/>
        </w:rPr>
        <w:t>UAT Oraşul Horezu</w:t>
      </w:r>
      <w:r w:rsidRPr="00500972">
        <w:rPr>
          <w:rFonts w:ascii="Arial" w:hAnsi="Arial" w:cs="Arial"/>
          <w:kern w:val="1"/>
          <w:lang w:val="es-ES" w:eastAsia="hi-IN" w:bidi="hi-IN"/>
        </w:rPr>
        <w:t xml:space="preserve"> şi echipa tehnică implicată în </w:t>
      </w:r>
      <w:r w:rsidR="004C7175">
        <w:rPr>
          <w:rFonts w:ascii="Arial" w:hAnsi="Arial" w:cs="Arial"/>
          <w:kern w:val="1"/>
          <w:lang w:val="es-ES" w:eastAsia="hi-IN" w:bidi="hi-IN"/>
        </w:rPr>
        <w:t>întocmirea</w:t>
      </w:r>
      <w:r w:rsidRPr="00500972">
        <w:rPr>
          <w:rFonts w:ascii="Arial" w:hAnsi="Arial" w:cs="Arial"/>
          <w:kern w:val="1"/>
          <w:lang w:val="es-ES" w:eastAsia="hi-IN" w:bidi="hi-IN"/>
        </w:rPr>
        <w:t xml:space="preserve"> PMUD pentru </w:t>
      </w:r>
      <w:r w:rsidR="004C7175">
        <w:rPr>
          <w:rFonts w:ascii="Arial" w:hAnsi="Arial" w:cs="Arial"/>
          <w:kern w:val="1"/>
          <w:lang w:val="es-ES" w:eastAsia="hi-IN" w:bidi="hi-IN"/>
        </w:rPr>
        <w:t>Oraşul Horezu</w:t>
      </w:r>
      <w:r w:rsidRPr="00500972">
        <w:rPr>
          <w:rFonts w:ascii="Arial" w:hAnsi="Arial" w:cs="Arial"/>
          <w:kern w:val="1"/>
          <w:lang w:val="es-ES" w:eastAsia="hi-IN" w:bidi="hi-IN"/>
        </w:rPr>
        <w:t xml:space="preserve">. </w:t>
      </w:r>
      <w:r w:rsidR="00500972" w:rsidRPr="003B21C2">
        <w:rPr>
          <w:rFonts w:ascii="Arial" w:hAnsi="Arial" w:cs="Arial"/>
          <w:kern w:val="1"/>
          <w:lang w:val="es-ES" w:eastAsia="hi-IN" w:bidi="hi-IN"/>
        </w:rPr>
        <w:t>Managerul de proiect desemnat</w:t>
      </w:r>
      <w:r w:rsidR="003B21C2" w:rsidRPr="003B21C2">
        <w:rPr>
          <w:rFonts w:ascii="Arial" w:hAnsi="Arial" w:cs="Arial"/>
          <w:kern w:val="1"/>
          <w:lang w:val="es-ES" w:eastAsia="hi-IN" w:bidi="hi-IN"/>
        </w:rPr>
        <w:t xml:space="preserve"> </w:t>
      </w:r>
      <w:r w:rsidR="00500972" w:rsidRPr="003B21C2">
        <w:rPr>
          <w:rFonts w:ascii="Arial" w:hAnsi="Arial" w:cs="Arial"/>
          <w:kern w:val="1"/>
          <w:lang w:val="es-ES" w:eastAsia="hi-IN" w:bidi="hi-IN"/>
        </w:rPr>
        <w:t xml:space="preserve"> </w:t>
      </w:r>
      <w:r w:rsidR="003B21C2" w:rsidRPr="003B21C2">
        <w:rPr>
          <w:rFonts w:ascii="Arial" w:hAnsi="Arial" w:cs="Arial"/>
          <w:kern w:val="1"/>
          <w:lang w:val="es-ES" w:eastAsia="hi-IN" w:bidi="hi-IN"/>
        </w:rPr>
        <w:t>este</w:t>
      </w:r>
      <w:r w:rsidR="003B21C2">
        <w:rPr>
          <w:rFonts w:ascii="Arial" w:hAnsi="Arial" w:cs="Arial"/>
          <w:kern w:val="1"/>
          <w:lang w:val="es-ES" w:eastAsia="hi-IN" w:bidi="hi-IN"/>
        </w:rPr>
        <w:t xml:space="preserve"> domnul inspector Ionuț Obadă.</w:t>
      </w:r>
    </w:p>
    <w:p w14:paraId="103A0763" w14:textId="77777777" w:rsidR="00D70AEA" w:rsidRPr="00D70AEA" w:rsidRDefault="00D70AEA" w:rsidP="00D70AEA">
      <w:pPr>
        <w:widowControl w:val="0"/>
        <w:suppressAutoHyphens/>
        <w:spacing w:after="0" w:line="360" w:lineRule="auto"/>
        <w:jc w:val="both"/>
        <w:rPr>
          <w:rFonts w:ascii="Arial" w:hAnsi="Arial" w:cs="Mangal"/>
          <w:kern w:val="1"/>
          <w:lang w:val="ro-RO" w:eastAsia="zh-CN" w:bidi="hi-IN"/>
        </w:rPr>
      </w:pPr>
    </w:p>
    <w:p w14:paraId="1D3A109F" w14:textId="77777777" w:rsidR="00D70AEA" w:rsidRPr="00D70AEA" w:rsidRDefault="00D70AEA" w:rsidP="00267545">
      <w:pPr>
        <w:shd w:val="clear" w:color="auto" w:fill="E2EFD9" w:themeFill="accent6" w:themeFillTint="33"/>
        <w:spacing w:after="0"/>
        <w:rPr>
          <w:rFonts w:ascii="Arial" w:eastAsia="Calibri" w:hAnsi="Arial" w:cs="Arial"/>
          <w:i/>
          <w:iCs/>
        </w:rPr>
      </w:pPr>
      <w:r w:rsidRPr="00D70AEA">
        <w:rPr>
          <w:rFonts w:ascii="Arial" w:eastAsia="Calibri" w:hAnsi="Arial" w:cs="Arial"/>
          <w:i/>
          <w:iCs/>
        </w:rPr>
        <w:t>Definirea grupului de coordonare</w:t>
      </w:r>
    </w:p>
    <w:p w14:paraId="579C6B51" w14:textId="77777777" w:rsidR="00D70AEA" w:rsidRPr="00D70AEA" w:rsidRDefault="00D70AEA" w:rsidP="00500972">
      <w:pPr>
        <w:widowControl w:val="0"/>
        <w:suppressAutoHyphens/>
        <w:spacing w:after="0" w:line="276" w:lineRule="auto"/>
        <w:jc w:val="both"/>
        <w:rPr>
          <w:rFonts w:ascii="Arial" w:hAnsi="Arial" w:cs="Mangal"/>
          <w:kern w:val="1"/>
          <w:lang w:val="ro-RO" w:eastAsia="zh-CN" w:bidi="hi-IN"/>
        </w:rPr>
      </w:pPr>
      <w:r w:rsidRPr="00D70AEA">
        <w:rPr>
          <w:rFonts w:ascii="Arial" w:hAnsi="Arial" w:cs="Mangal"/>
          <w:kern w:val="1"/>
          <w:lang w:val="ro-RO" w:eastAsia="zh-CN" w:bidi="hi-IN"/>
        </w:rPr>
        <w:t xml:space="preserve">În vederea </w:t>
      </w:r>
      <w:r w:rsidR="004C7175">
        <w:rPr>
          <w:rFonts w:ascii="Arial" w:hAnsi="Arial" w:cs="Mangal"/>
          <w:kern w:val="1"/>
          <w:lang w:val="ro-RO" w:eastAsia="zh-CN" w:bidi="hi-IN"/>
        </w:rPr>
        <w:t xml:space="preserve">întocmirii </w:t>
      </w:r>
      <w:r w:rsidRPr="00D70AEA">
        <w:rPr>
          <w:rFonts w:ascii="Arial" w:hAnsi="Arial" w:cs="Mangal"/>
          <w:kern w:val="1"/>
          <w:lang w:val="ro-RO" w:eastAsia="zh-CN" w:bidi="hi-IN"/>
        </w:rPr>
        <w:t xml:space="preserve">PMUD </w:t>
      </w:r>
      <w:r w:rsidR="00EE29BA">
        <w:rPr>
          <w:rFonts w:ascii="Arial" w:hAnsi="Arial" w:cs="Mangal"/>
          <w:kern w:val="1"/>
          <w:lang w:val="ro-RO" w:eastAsia="zh-CN" w:bidi="hi-IN"/>
        </w:rPr>
        <w:t>al</w:t>
      </w:r>
      <w:r w:rsidRPr="00D70AEA">
        <w:rPr>
          <w:rFonts w:ascii="Arial" w:hAnsi="Arial" w:cs="Mangal"/>
          <w:kern w:val="1"/>
          <w:lang w:val="ro-RO" w:eastAsia="zh-CN" w:bidi="hi-IN"/>
        </w:rPr>
        <w:t xml:space="preserve"> </w:t>
      </w:r>
      <w:r w:rsidR="004C7175">
        <w:rPr>
          <w:rFonts w:ascii="Arial" w:hAnsi="Arial" w:cs="Mangal"/>
          <w:kern w:val="1"/>
          <w:lang w:val="ro-RO" w:eastAsia="zh-CN" w:bidi="hi-IN"/>
        </w:rPr>
        <w:t>Oraşul</w:t>
      </w:r>
      <w:r w:rsidR="00EE29BA">
        <w:rPr>
          <w:rFonts w:ascii="Arial" w:hAnsi="Arial" w:cs="Mangal"/>
          <w:kern w:val="1"/>
          <w:lang w:val="ro-RO" w:eastAsia="zh-CN" w:bidi="hi-IN"/>
        </w:rPr>
        <w:t>ui</w:t>
      </w:r>
      <w:r w:rsidR="004C7175">
        <w:rPr>
          <w:rFonts w:ascii="Arial" w:hAnsi="Arial" w:cs="Mangal"/>
          <w:kern w:val="1"/>
          <w:lang w:val="ro-RO" w:eastAsia="zh-CN" w:bidi="hi-IN"/>
        </w:rPr>
        <w:t xml:space="preserve"> Horezu</w:t>
      </w:r>
      <w:r w:rsidRPr="00D70AEA">
        <w:rPr>
          <w:rFonts w:ascii="Arial" w:hAnsi="Arial" w:cs="Mangal"/>
          <w:kern w:val="1"/>
          <w:lang w:val="ro-RO" w:eastAsia="zh-CN" w:bidi="hi-IN"/>
        </w:rPr>
        <w:t xml:space="preserve"> părţile interesate în elaborarea acestuia vor fi coordonate de un grup de coordonare al activităţii comune. Acesta va oferi asistenţă echipei tehnice care va elabora PMUD </w:t>
      </w:r>
      <w:r w:rsidR="00EE29BA">
        <w:rPr>
          <w:rFonts w:ascii="Arial" w:hAnsi="Arial" w:cs="Mangal"/>
          <w:kern w:val="1"/>
          <w:lang w:val="ro-RO" w:eastAsia="zh-CN" w:bidi="hi-IN"/>
        </w:rPr>
        <w:t>al</w:t>
      </w:r>
      <w:r w:rsidRPr="00D70AEA">
        <w:rPr>
          <w:rFonts w:ascii="Arial" w:hAnsi="Arial" w:cs="Mangal"/>
          <w:kern w:val="1"/>
          <w:lang w:val="ro-RO" w:eastAsia="zh-CN" w:bidi="hi-IN"/>
        </w:rPr>
        <w:t xml:space="preserve"> </w:t>
      </w:r>
      <w:r w:rsidR="004C7175">
        <w:rPr>
          <w:rFonts w:ascii="Arial" w:hAnsi="Arial" w:cs="Mangal"/>
          <w:kern w:val="1"/>
          <w:lang w:val="ro-RO" w:eastAsia="zh-CN" w:bidi="hi-IN"/>
        </w:rPr>
        <w:t>Oraşul</w:t>
      </w:r>
      <w:r w:rsidR="00EE29BA">
        <w:rPr>
          <w:rFonts w:ascii="Arial" w:hAnsi="Arial" w:cs="Mangal"/>
          <w:kern w:val="1"/>
          <w:lang w:val="ro-RO" w:eastAsia="zh-CN" w:bidi="hi-IN"/>
        </w:rPr>
        <w:t>ui</w:t>
      </w:r>
      <w:r w:rsidR="004C7175">
        <w:rPr>
          <w:rFonts w:ascii="Arial" w:hAnsi="Arial" w:cs="Mangal"/>
          <w:kern w:val="1"/>
          <w:lang w:val="ro-RO" w:eastAsia="zh-CN" w:bidi="hi-IN"/>
        </w:rPr>
        <w:t xml:space="preserve"> </w:t>
      </w:r>
      <w:r w:rsidR="00EE29BA">
        <w:rPr>
          <w:rFonts w:ascii="Arial" w:hAnsi="Arial" w:cs="Mangal"/>
          <w:kern w:val="1"/>
          <w:lang w:val="ro-RO" w:eastAsia="zh-CN" w:bidi="hi-IN"/>
        </w:rPr>
        <w:t xml:space="preserve">Horezu </w:t>
      </w:r>
      <w:r w:rsidRPr="00D70AEA">
        <w:rPr>
          <w:rFonts w:ascii="Arial" w:hAnsi="Arial" w:cs="Mangal"/>
          <w:kern w:val="1"/>
          <w:lang w:val="ro-RO" w:eastAsia="zh-CN" w:bidi="hi-IN"/>
        </w:rPr>
        <w:t>şi va cuprinde reprezentanţi ai:</w:t>
      </w:r>
    </w:p>
    <w:p w14:paraId="26CDEE2D" w14:textId="77777777" w:rsidR="00D70AEA" w:rsidRPr="00C07F97" w:rsidRDefault="00D70AEA" w:rsidP="006B613A">
      <w:pPr>
        <w:widowControl w:val="0"/>
        <w:numPr>
          <w:ilvl w:val="0"/>
          <w:numId w:val="8"/>
        </w:numPr>
        <w:tabs>
          <w:tab w:val="left" w:pos="-1890"/>
        </w:tabs>
        <w:suppressAutoHyphens/>
        <w:spacing w:after="0" w:line="276" w:lineRule="auto"/>
        <w:contextualSpacing/>
        <w:jc w:val="both"/>
        <w:rPr>
          <w:rFonts w:ascii="Arial" w:hAnsi="Arial" w:cs="Mangal"/>
          <w:kern w:val="1"/>
          <w:lang w:val="ro-RO" w:eastAsia="zh-CN" w:bidi="hi-IN"/>
        </w:rPr>
      </w:pPr>
      <w:r w:rsidRPr="00500972">
        <w:rPr>
          <w:rFonts w:ascii="Arial" w:hAnsi="Arial" w:cs="Mangal"/>
          <w:kern w:val="1"/>
          <w:lang w:val="ro-RO" w:eastAsia="zh-CN" w:bidi="hi-IN"/>
        </w:rPr>
        <w:t xml:space="preserve">Primăriei </w:t>
      </w:r>
      <w:r w:rsidR="004C7175">
        <w:rPr>
          <w:rFonts w:ascii="Arial" w:hAnsi="Arial" w:cs="Mangal"/>
          <w:kern w:val="1"/>
          <w:lang w:val="ro-RO" w:eastAsia="zh-CN" w:bidi="hi-IN"/>
        </w:rPr>
        <w:t>Oraşului Horezu</w:t>
      </w:r>
      <w:r w:rsidRPr="00500972">
        <w:rPr>
          <w:rFonts w:ascii="Arial" w:hAnsi="Arial" w:cs="Mangal"/>
          <w:kern w:val="1"/>
          <w:lang w:val="ro-RO" w:eastAsia="zh-CN" w:bidi="hi-IN"/>
        </w:rPr>
        <w:t xml:space="preserve"> cu compartimentele: Arhitect Şef</w:t>
      </w:r>
      <w:r w:rsidR="004C7175">
        <w:rPr>
          <w:rFonts w:ascii="Arial" w:hAnsi="Arial" w:cs="Mangal"/>
          <w:kern w:val="1"/>
          <w:lang w:val="ro-RO" w:eastAsia="zh-CN" w:bidi="hi-IN"/>
        </w:rPr>
        <w:t xml:space="preserve"> – Compartiment urbanism şi amenajarea teritoriului</w:t>
      </w:r>
      <w:r w:rsidRPr="00500972">
        <w:rPr>
          <w:rFonts w:ascii="Arial" w:hAnsi="Arial" w:cs="Mangal"/>
          <w:kern w:val="1"/>
          <w:lang w:val="ro-RO" w:eastAsia="zh-CN" w:bidi="hi-IN"/>
        </w:rPr>
        <w:t xml:space="preserve">, </w:t>
      </w:r>
      <w:r w:rsidR="004C7175">
        <w:rPr>
          <w:rFonts w:ascii="Arial" w:hAnsi="Arial" w:cs="Mangal"/>
          <w:kern w:val="1"/>
          <w:lang w:val="ro-RO" w:eastAsia="zh-CN" w:bidi="hi-IN"/>
        </w:rPr>
        <w:t xml:space="preserve">Compartimentul Autorizare, monitorizare, transport public local şi transport local, Serviciul Public de Evidenţă a persoanei, Compartiment Relaţii cu Publicul, comunicare, </w:t>
      </w:r>
      <w:r w:rsidR="0087593E" w:rsidRPr="00C07F97">
        <w:rPr>
          <w:rFonts w:ascii="Arial" w:hAnsi="Arial" w:cs="Mangal"/>
          <w:kern w:val="1"/>
          <w:lang w:val="ro-RO" w:eastAsia="zh-CN" w:bidi="hi-IN"/>
        </w:rPr>
        <w:t>Compartiment întreţinere drumuri, piaţă, Compartiment Administrativ şi Gestionarea Patrimoniului</w:t>
      </w:r>
      <w:r w:rsidRPr="00C07F97">
        <w:rPr>
          <w:rFonts w:ascii="Arial" w:hAnsi="Arial" w:cs="Mangal"/>
          <w:kern w:val="1"/>
          <w:lang w:val="ro-RO" w:eastAsia="zh-CN" w:bidi="hi-IN"/>
        </w:rPr>
        <w:t xml:space="preserve">. </w:t>
      </w:r>
    </w:p>
    <w:p w14:paraId="4536EF77" w14:textId="77777777" w:rsidR="00D70AEA" w:rsidRPr="00C07F97" w:rsidRDefault="00D70AEA" w:rsidP="006B613A">
      <w:pPr>
        <w:widowControl w:val="0"/>
        <w:numPr>
          <w:ilvl w:val="0"/>
          <w:numId w:val="8"/>
        </w:numPr>
        <w:suppressAutoHyphens/>
        <w:spacing w:after="0" w:line="276" w:lineRule="auto"/>
        <w:contextualSpacing/>
        <w:jc w:val="both"/>
        <w:rPr>
          <w:rFonts w:ascii="Arial" w:hAnsi="Arial" w:cs="Mangal"/>
          <w:kern w:val="1"/>
          <w:lang w:val="ro-RO" w:eastAsia="zh-CN" w:bidi="hi-IN"/>
        </w:rPr>
      </w:pPr>
      <w:r w:rsidRPr="00C07F97">
        <w:rPr>
          <w:rFonts w:ascii="Arial" w:hAnsi="Arial" w:cs="Mangal"/>
          <w:kern w:val="1"/>
          <w:lang w:val="ro-RO" w:eastAsia="zh-CN" w:bidi="hi-IN"/>
        </w:rPr>
        <w:t xml:space="preserve">Poliţia </w:t>
      </w:r>
      <w:r w:rsidR="004C7175" w:rsidRPr="00C07F97">
        <w:rPr>
          <w:rFonts w:ascii="Arial" w:hAnsi="Arial" w:cs="Mangal"/>
          <w:kern w:val="1"/>
          <w:lang w:val="ro-RO" w:eastAsia="zh-CN" w:bidi="hi-IN"/>
        </w:rPr>
        <w:t>Horezu</w:t>
      </w:r>
    </w:p>
    <w:p w14:paraId="678D8E21" w14:textId="77777777" w:rsidR="00D70AEA" w:rsidRPr="0087593E" w:rsidRDefault="00D70AEA" w:rsidP="006B613A">
      <w:pPr>
        <w:widowControl w:val="0"/>
        <w:numPr>
          <w:ilvl w:val="0"/>
          <w:numId w:val="8"/>
        </w:numPr>
        <w:suppressAutoHyphens/>
        <w:spacing w:after="0" w:line="276" w:lineRule="auto"/>
        <w:contextualSpacing/>
        <w:jc w:val="both"/>
        <w:rPr>
          <w:rFonts w:ascii="Arial" w:hAnsi="Arial" w:cs="Mangal"/>
          <w:kern w:val="1"/>
          <w:lang w:val="es-ES" w:eastAsia="zh-CN" w:bidi="hi-IN"/>
        </w:rPr>
      </w:pPr>
      <w:r w:rsidRPr="00D70AEA">
        <w:rPr>
          <w:rFonts w:ascii="Arial" w:hAnsi="Arial" w:cs="Mangal"/>
          <w:kern w:val="1"/>
          <w:lang w:val="ro-RO" w:eastAsia="zh-CN" w:bidi="hi-IN"/>
        </w:rPr>
        <w:t xml:space="preserve">S.C Institutul de Cercetări în Transporturi INCERTRANS S.A. în calitate de elaborator al PMUD pentru </w:t>
      </w:r>
      <w:r w:rsidR="00E377DF">
        <w:rPr>
          <w:rFonts w:ascii="Arial" w:hAnsi="Arial" w:cs="Mangal"/>
          <w:kern w:val="1"/>
          <w:lang w:val="ro-RO" w:eastAsia="zh-CN" w:bidi="hi-IN"/>
        </w:rPr>
        <w:t>Oraşul Horezu</w:t>
      </w:r>
      <w:r w:rsidRPr="00D70AEA">
        <w:rPr>
          <w:rFonts w:ascii="Arial" w:hAnsi="Arial" w:cs="Mangal"/>
          <w:kern w:val="1"/>
          <w:lang w:val="ro-RO" w:eastAsia="zh-CN" w:bidi="hi-IN"/>
        </w:rPr>
        <w:t>, prin responsabilul de contract, totodată membru al echipei tehnice.</w:t>
      </w:r>
    </w:p>
    <w:p w14:paraId="3C928964" w14:textId="77777777" w:rsidR="0087593E" w:rsidRDefault="0087593E" w:rsidP="0087593E">
      <w:pPr>
        <w:widowControl w:val="0"/>
        <w:suppressAutoHyphens/>
        <w:spacing w:after="0" w:line="276" w:lineRule="auto"/>
        <w:contextualSpacing/>
        <w:jc w:val="both"/>
        <w:rPr>
          <w:rFonts w:ascii="Arial" w:hAnsi="Arial" w:cs="Mangal"/>
          <w:kern w:val="1"/>
          <w:lang w:val="ro-RO" w:eastAsia="zh-CN" w:bidi="hi-IN"/>
        </w:rPr>
      </w:pPr>
    </w:p>
    <w:p w14:paraId="5CAD8F67" w14:textId="77777777" w:rsidR="0087593E" w:rsidRPr="00D70AEA" w:rsidRDefault="0087593E" w:rsidP="0087593E">
      <w:pPr>
        <w:widowControl w:val="0"/>
        <w:suppressAutoHyphens/>
        <w:spacing w:after="0" w:line="276" w:lineRule="auto"/>
        <w:contextualSpacing/>
        <w:jc w:val="both"/>
        <w:rPr>
          <w:rFonts w:ascii="Arial" w:hAnsi="Arial" w:cs="Mangal"/>
          <w:kern w:val="1"/>
          <w:lang w:val="es-ES" w:eastAsia="zh-CN" w:bidi="hi-IN"/>
        </w:rPr>
      </w:pPr>
    </w:p>
    <w:p w14:paraId="0963469A" w14:textId="77777777" w:rsidR="00D70AEA" w:rsidRPr="00D70AEA" w:rsidRDefault="00D70AEA" w:rsidP="003B21C2">
      <w:pPr>
        <w:shd w:val="clear" w:color="auto" w:fill="E2EFD9" w:themeFill="accent6" w:themeFillTint="33"/>
        <w:spacing w:after="0" w:line="276" w:lineRule="auto"/>
        <w:jc w:val="both"/>
        <w:rPr>
          <w:rFonts w:ascii="Arial" w:eastAsia="Calibri" w:hAnsi="Arial" w:cs="Arial"/>
          <w:i/>
          <w:iCs/>
          <w:lang w:val="ro-RO" w:eastAsia="ro-RO"/>
        </w:rPr>
      </w:pPr>
      <w:r w:rsidRPr="00D70AEA">
        <w:rPr>
          <w:rFonts w:ascii="Arial" w:eastAsia="Calibri" w:hAnsi="Arial" w:cs="Arial"/>
          <w:i/>
          <w:iCs/>
          <w:lang w:val="ro-RO" w:eastAsia="ro-RO"/>
        </w:rPr>
        <w:t>Stabilirea listei actorilor relevanţi care ar trebui să fie consultaţi în timpul pregătirii planului</w:t>
      </w:r>
    </w:p>
    <w:p w14:paraId="40982FCD" w14:textId="77777777" w:rsidR="00D70AEA" w:rsidRPr="00D70AEA" w:rsidRDefault="00D70AEA" w:rsidP="00500972">
      <w:pPr>
        <w:spacing w:after="0" w:line="276" w:lineRule="auto"/>
        <w:jc w:val="both"/>
        <w:rPr>
          <w:rFonts w:ascii="Arial" w:eastAsia="Calibri" w:hAnsi="Arial" w:cs="Arial"/>
          <w:lang w:val="ro-RO" w:eastAsia="ro-RO"/>
        </w:rPr>
      </w:pPr>
      <w:r w:rsidRPr="003B21C2">
        <w:rPr>
          <w:rFonts w:ascii="Arial" w:eastAsia="Calibri" w:hAnsi="Arial" w:cs="Arial"/>
          <w:lang w:val="ro-RO" w:eastAsia="ro-RO"/>
        </w:rPr>
        <w:t xml:space="preserve">Compartimentele şi instituţiile mai sus menţionate sunt elemente cheie în administraţia locală a </w:t>
      </w:r>
      <w:r w:rsidR="0087593E" w:rsidRPr="003B21C2">
        <w:rPr>
          <w:rFonts w:ascii="Arial" w:eastAsia="Calibri" w:hAnsi="Arial" w:cs="Arial"/>
          <w:lang w:val="ro-RO" w:eastAsia="ro-RO"/>
        </w:rPr>
        <w:t>Oraşului Horezu</w:t>
      </w:r>
      <w:r w:rsidRPr="003B21C2">
        <w:rPr>
          <w:rFonts w:ascii="Arial" w:eastAsia="Calibri" w:hAnsi="Arial" w:cs="Arial"/>
          <w:lang w:val="ro-RO" w:eastAsia="ro-RO"/>
        </w:rPr>
        <w:t xml:space="preserve"> şi prin activitatea desfăşurată implică un număr mare de persoane, având astfel un puternic impact informational.</w:t>
      </w:r>
    </w:p>
    <w:p w14:paraId="296EAB9B" w14:textId="77777777" w:rsidR="00D70AEA" w:rsidRPr="00D70AEA" w:rsidRDefault="00D70AEA" w:rsidP="00D70AEA">
      <w:pPr>
        <w:spacing w:after="0" w:line="276" w:lineRule="auto"/>
        <w:jc w:val="both"/>
        <w:rPr>
          <w:rFonts w:ascii="Arial" w:eastAsia="Calibri" w:hAnsi="Arial" w:cs="Arial"/>
          <w:lang w:val="ro-RO" w:eastAsia="ro-RO"/>
        </w:rPr>
      </w:pPr>
    </w:p>
    <w:p w14:paraId="15BA34E0" w14:textId="77777777" w:rsidR="000365D6" w:rsidRDefault="000365D6" w:rsidP="00D70AEA">
      <w:pPr>
        <w:spacing w:after="0" w:line="276" w:lineRule="auto"/>
        <w:jc w:val="both"/>
        <w:rPr>
          <w:rFonts w:ascii="Arial" w:eastAsia="Calibri" w:hAnsi="Arial" w:cs="Arial"/>
          <w:lang w:val="ro-RO" w:eastAsia="ro-RO"/>
        </w:rPr>
      </w:pPr>
      <w:r>
        <w:rPr>
          <w:rFonts w:ascii="Arial" w:eastAsia="Calibri" w:hAnsi="Arial" w:cs="Arial"/>
          <w:lang w:val="ro-RO" w:eastAsia="ro-RO"/>
        </w:rPr>
        <w:t>Pregătirea planului pune un accent deosebit pe implicarea cetăţenilor şi a tuturor părţilor interesate</w:t>
      </w:r>
      <w:r w:rsidR="00430095">
        <w:rPr>
          <w:rFonts w:ascii="Arial" w:eastAsia="Calibri" w:hAnsi="Arial" w:cs="Arial"/>
          <w:lang w:val="ro-RO" w:eastAsia="ro-RO"/>
        </w:rPr>
        <w:t>, pe coordo</w:t>
      </w:r>
      <w:r w:rsidR="00482D76">
        <w:rPr>
          <w:rFonts w:ascii="Arial" w:eastAsia="Calibri" w:hAnsi="Arial" w:cs="Arial"/>
          <w:lang w:val="ro-RO" w:eastAsia="ro-RO"/>
        </w:rPr>
        <w:t>narea politicilor între sectoare (transport, utilizarea teritoriului, mediu înconjurător, dezvoltare economică, sănătate, siguranţă etc.)</w:t>
      </w:r>
      <w:r w:rsidR="006F6072">
        <w:rPr>
          <w:rFonts w:ascii="Arial" w:eastAsia="Calibri" w:hAnsi="Arial" w:cs="Arial"/>
          <w:lang w:val="ro-RO" w:eastAsia="ro-RO"/>
        </w:rPr>
        <w:t>, între diferitele niveluri de autoritate publică şi între autorităţile învecinate.</w:t>
      </w:r>
    </w:p>
    <w:p w14:paraId="238B2781" w14:textId="77777777" w:rsidR="006F6072" w:rsidRDefault="006F6072" w:rsidP="00D70AEA">
      <w:pPr>
        <w:spacing w:after="0" w:line="276" w:lineRule="auto"/>
        <w:jc w:val="both"/>
        <w:rPr>
          <w:rFonts w:ascii="Arial" w:eastAsia="Calibri" w:hAnsi="Arial" w:cs="Arial"/>
          <w:lang w:val="ro-RO" w:eastAsia="ro-RO"/>
        </w:rPr>
      </w:pPr>
    </w:p>
    <w:p w14:paraId="2C774732" w14:textId="77777777" w:rsidR="00D70AEA" w:rsidRPr="00D70AEA" w:rsidRDefault="00D70AEA" w:rsidP="00D70AEA">
      <w:pPr>
        <w:spacing w:after="0" w:line="276" w:lineRule="auto"/>
        <w:jc w:val="both"/>
        <w:rPr>
          <w:rFonts w:ascii="Arial" w:eastAsia="Calibri" w:hAnsi="Arial" w:cs="Arial"/>
          <w:lang w:val="ro-RO" w:eastAsia="ro-RO"/>
        </w:rPr>
      </w:pPr>
      <w:r w:rsidRPr="00D70AEA">
        <w:rPr>
          <w:rFonts w:ascii="Arial" w:eastAsia="Calibri" w:hAnsi="Arial" w:cs="Arial"/>
          <w:lang w:val="ro-RO" w:eastAsia="ro-RO"/>
        </w:rPr>
        <w:t>Beneficii</w:t>
      </w:r>
      <w:r w:rsidR="00E377DF">
        <w:rPr>
          <w:rFonts w:ascii="Arial" w:eastAsia="Calibri" w:hAnsi="Arial" w:cs="Arial"/>
          <w:lang w:val="ro-RO" w:eastAsia="ro-RO"/>
        </w:rPr>
        <w:t>le și valorile adăugate ale</w:t>
      </w:r>
      <w:r w:rsidRPr="00D70AEA">
        <w:rPr>
          <w:rFonts w:ascii="Arial" w:eastAsia="Calibri" w:hAnsi="Arial" w:cs="Arial"/>
          <w:lang w:val="ro-RO" w:eastAsia="ro-RO"/>
        </w:rPr>
        <w:t xml:space="preserve"> Plan</w:t>
      </w:r>
      <w:r w:rsidR="00E377DF">
        <w:rPr>
          <w:rFonts w:ascii="Arial" w:eastAsia="Calibri" w:hAnsi="Arial" w:cs="Arial"/>
          <w:lang w:val="ro-RO" w:eastAsia="ro-RO"/>
        </w:rPr>
        <w:t>ului</w:t>
      </w:r>
      <w:r w:rsidRPr="00D70AEA">
        <w:rPr>
          <w:rFonts w:ascii="Arial" w:eastAsia="Calibri" w:hAnsi="Arial" w:cs="Arial"/>
          <w:lang w:val="ro-RO" w:eastAsia="ro-RO"/>
        </w:rPr>
        <w:t xml:space="preserve"> de Dezvoltare Urbană Durabilă trebuie să fie comunicate factorilor de decizie, planificatorilor și altor părți interesate, în scopul de a-i convinge de avantajele de a utiliza această abordare, în contextul lor urban propriu.</w:t>
      </w:r>
    </w:p>
    <w:p w14:paraId="76F32001" w14:textId="77777777" w:rsidR="00D70AEA" w:rsidRPr="00D70AEA" w:rsidRDefault="00D70AEA" w:rsidP="00D70AEA">
      <w:pPr>
        <w:spacing w:after="0" w:line="276" w:lineRule="auto"/>
        <w:jc w:val="both"/>
        <w:rPr>
          <w:rFonts w:ascii="Arial" w:eastAsia="Calibri" w:hAnsi="Arial" w:cs="Arial"/>
          <w:lang w:val="ro-RO" w:eastAsia="ro-RO"/>
        </w:rPr>
      </w:pPr>
    </w:p>
    <w:p w14:paraId="681FB435" w14:textId="77777777" w:rsidR="00D70AEA" w:rsidRPr="00D70AEA" w:rsidRDefault="00D70AEA" w:rsidP="00D70AEA">
      <w:pPr>
        <w:spacing w:after="0" w:line="276" w:lineRule="auto"/>
        <w:jc w:val="both"/>
        <w:rPr>
          <w:rFonts w:ascii="Arial" w:eastAsia="Calibri" w:hAnsi="Arial" w:cs="Arial"/>
          <w:lang w:val="ro-RO" w:eastAsia="ro-RO"/>
        </w:rPr>
      </w:pPr>
      <w:r w:rsidRPr="00D70AEA">
        <w:rPr>
          <w:rFonts w:ascii="Arial" w:eastAsia="Calibri" w:hAnsi="Arial" w:cs="Arial"/>
          <w:lang w:val="ro-RO" w:eastAsia="ro-RO"/>
        </w:rPr>
        <w:t>Reunirea actorilor relevanţi reprezintă o acţiune complexă, fiind întocmit un studiu aprofundat al opţiunilor şi cu luarea în considerare a punctelor de vedere ale participanţilor, deoarece nivelul de participare trebuie să fie în acord cu măsurile preconizate a fi luate. Noile abordări ale planificării mobilităţii urbane se dezvoltă pe măsură ce autorităţile locale caută să depăşească abordările anterioare şi să dezvolte strategii care pot stimula o schimbare către moduri de transport mai sustenabile şi curate.</w:t>
      </w:r>
    </w:p>
    <w:p w14:paraId="23513A2F" w14:textId="77777777" w:rsidR="00D70AEA" w:rsidRPr="00D70AEA" w:rsidRDefault="00D70AEA" w:rsidP="00D70AEA">
      <w:pPr>
        <w:spacing w:after="0" w:line="276" w:lineRule="auto"/>
        <w:jc w:val="both"/>
        <w:rPr>
          <w:rFonts w:ascii="Arial" w:eastAsia="Calibri" w:hAnsi="Arial" w:cs="Arial"/>
          <w:lang w:val="ro-RO" w:eastAsia="ro-RO"/>
        </w:rPr>
      </w:pPr>
    </w:p>
    <w:p w14:paraId="7E31EA3F" w14:textId="77777777" w:rsidR="00D70AEA" w:rsidRPr="00D70AEA" w:rsidRDefault="005045B3" w:rsidP="00D70AEA">
      <w:pPr>
        <w:spacing w:after="0" w:line="276" w:lineRule="auto"/>
        <w:jc w:val="both"/>
        <w:rPr>
          <w:rFonts w:ascii="Arial" w:eastAsia="Calibri" w:hAnsi="Arial" w:cs="Arial"/>
          <w:lang w:val="ro-RO" w:eastAsia="ro-RO"/>
        </w:rPr>
      </w:pPr>
      <w:r w:rsidRPr="00D70AEA">
        <w:rPr>
          <w:rFonts w:ascii="Arial" w:eastAsia="Calibri" w:hAnsi="Arial" w:cs="Arial"/>
          <w:lang w:val="ro-RO" w:eastAsia="ro-RO"/>
        </w:rPr>
        <w:t>PMUD vizează nevoia de oraş funcţional şi aria sa circumscrisă de regiune administrativă urbană.</w:t>
      </w:r>
      <w:r>
        <w:rPr>
          <w:rFonts w:ascii="Arial" w:eastAsia="Calibri" w:hAnsi="Arial" w:cs="Arial"/>
          <w:lang w:val="ro-RO" w:eastAsia="ro-RO"/>
        </w:rPr>
        <w:t xml:space="preserve"> </w:t>
      </w:r>
      <w:r w:rsidR="00D70AEA" w:rsidRPr="00D70AEA">
        <w:rPr>
          <w:rFonts w:ascii="Arial" w:eastAsia="Calibri" w:hAnsi="Arial" w:cs="Arial"/>
          <w:lang w:val="ro-RO" w:eastAsia="ro-RO"/>
        </w:rPr>
        <w:t xml:space="preserve">Părţile interesate implicate în </w:t>
      </w:r>
      <w:r w:rsidR="0087593E">
        <w:rPr>
          <w:rFonts w:ascii="Arial" w:eastAsia="Calibri" w:hAnsi="Arial" w:cs="Arial"/>
          <w:lang w:val="ro-RO" w:eastAsia="ro-RO"/>
        </w:rPr>
        <w:t>întocmirea</w:t>
      </w:r>
      <w:r w:rsidR="00D70AEA" w:rsidRPr="00D70AEA">
        <w:rPr>
          <w:rFonts w:ascii="Arial" w:eastAsia="Calibri" w:hAnsi="Arial" w:cs="Arial"/>
          <w:lang w:val="ro-RO" w:eastAsia="ro-RO"/>
        </w:rPr>
        <w:t xml:space="preserve"> PMUD </w:t>
      </w:r>
      <w:r w:rsidR="00EE29BA">
        <w:rPr>
          <w:rFonts w:ascii="Arial" w:eastAsia="Calibri" w:hAnsi="Arial" w:cs="Arial"/>
          <w:lang w:val="ro-RO" w:eastAsia="ro-RO"/>
        </w:rPr>
        <w:t>al</w:t>
      </w:r>
      <w:r w:rsidR="00D70AEA" w:rsidRPr="00D70AEA">
        <w:rPr>
          <w:rFonts w:ascii="Arial" w:eastAsia="Calibri" w:hAnsi="Arial" w:cs="Arial"/>
          <w:lang w:val="ro-RO" w:eastAsia="ro-RO"/>
        </w:rPr>
        <w:t xml:space="preserve"> </w:t>
      </w:r>
      <w:r w:rsidR="0087593E">
        <w:rPr>
          <w:rFonts w:ascii="Arial" w:eastAsia="Calibri" w:hAnsi="Arial" w:cs="Arial"/>
          <w:lang w:val="ro-RO" w:eastAsia="ro-RO"/>
        </w:rPr>
        <w:t>Oraşul</w:t>
      </w:r>
      <w:r w:rsidR="00EE29BA">
        <w:rPr>
          <w:rFonts w:ascii="Arial" w:eastAsia="Calibri" w:hAnsi="Arial" w:cs="Arial"/>
          <w:lang w:val="ro-RO" w:eastAsia="ro-RO"/>
        </w:rPr>
        <w:t>ui</w:t>
      </w:r>
      <w:r w:rsidR="0087593E">
        <w:rPr>
          <w:rFonts w:ascii="Arial" w:eastAsia="Calibri" w:hAnsi="Arial" w:cs="Arial"/>
          <w:lang w:val="ro-RO" w:eastAsia="ro-RO"/>
        </w:rPr>
        <w:t xml:space="preserve"> Horezu</w:t>
      </w:r>
      <w:r w:rsidR="00D70AEA" w:rsidRPr="00D70AEA">
        <w:rPr>
          <w:rFonts w:ascii="Arial" w:eastAsia="Calibri" w:hAnsi="Arial" w:cs="Arial"/>
          <w:lang w:val="ro-RO" w:eastAsia="ro-RO"/>
        </w:rPr>
        <w:t xml:space="preserve"> vor urmări în cadrul acţiunilor intreprinse scopul central al PMUD – îmbunătăţirea accesibilităţii zonelor urbane, furnizarea unui transport şi mobilitate de înaltă clasă şi sustenabile prin şi în mediul urban. </w:t>
      </w:r>
    </w:p>
    <w:p w14:paraId="5BF47689" w14:textId="77777777" w:rsidR="00126B15" w:rsidRDefault="00126B15">
      <w:pPr>
        <w:rPr>
          <w:rFonts w:ascii="Arial" w:eastAsia="Calibri" w:hAnsi="Arial" w:cs="Arial"/>
          <w:lang w:val="ro-RO" w:eastAsia="ro-RO"/>
        </w:rPr>
      </w:pPr>
      <w:r>
        <w:rPr>
          <w:rFonts w:ascii="Arial" w:eastAsia="Calibri" w:hAnsi="Arial" w:cs="Arial"/>
          <w:lang w:val="ro-RO" w:eastAsia="ro-RO"/>
        </w:rPr>
        <w:br w:type="page"/>
      </w:r>
    </w:p>
    <w:p w14:paraId="4C744527" w14:textId="77777777" w:rsidR="00D70AEA" w:rsidRPr="00126B15" w:rsidRDefault="00EA79B2" w:rsidP="00126B15">
      <w:pPr>
        <w:pStyle w:val="Titlu1"/>
        <w:rPr>
          <w:rFonts w:ascii="Arial" w:eastAsia="Times New Roman" w:hAnsi="Arial" w:cs="Arial"/>
          <w:b/>
          <w:bCs/>
          <w:color w:val="auto"/>
          <w:sz w:val="28"/>
          <w:szCs w:val="28"/>
          <w:lang w:val="it-IT" w:eastAsia="ro-RO"/>
        </w:rPr>
      </w:pPr>
      <w:bookmarkStart w:id="9" w:name="_Toc61264882"/>
      <w:bookmarkStart w:id="10" w:name="_Toc142039043"/>
      <w:r>
        <w:rPr>
          <w:noProof/>
        </w:rPr>
        <w:lastRenderedPageBreak/>
        <mc:AlternateContent>
          <mc:Choice Requires="wps">
            <w:drawing>
              <wp:anchor distT="0" distB="0" distL="114300" distR="114300" simplePos="0" relativeHeight="251609600" behindDoc="0" locked="0" layoutInCell="1" allowOverlap="1" wp14:anchorId="45C12760" wp14:editId="1E1069BD">
                <wp:simplePos x="0" y="0"/>
                <wp:positionH relativeFrom="column">
                  <wp:posOffset>6086475</wp:posOffset>
                </wp:positionH>
                <wp:positionV relativeFrom="paragraph">
                  <wp:posOffset>9525</wp:posOffset>
                </wp:positionV>
                <wp:extent cx="1828800" cy="182880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E9A584D" w14:textId="77777777" w:rsidR="00C36A80" w:rsidRPr="003B21C2" w:rsidRDefault="00C36A80" w:rsidP="00EA79B2">
                            <w:pPr>
                              <w:pStyle w:val="Titlu1"/>
                              <w:jc w:val="center"/>
                              <w:rPr>
                                <w:rFonts w:ascii="Arial" w:eastAsia="Times New Roman" w:hAnsi="Arial" w:cs="Arial"/>
                                <w:b/>
                                <w:bCs/>
                                <w:color w:val="385623" w:themeColor="accent6" w:themeShade="80"/>
                                <w:lang w:val="ro-RO" w:eastAsia="ro-RO"/>
                                <w14:textOutline w14:w="11112" w14:cap="flat" w14:cmpd="sng" w14:algn="ctr">
                                  <w14:solidFill>
                                    <w14:schemeClr w14:val="accent2"/>
                                  </w14:solidFill>
                                  <w14:prstDash w14:val="solid"/>
                                  <w14:round/>
                                </w14:textOutline>
                              </w:rPr>
                            </w:pPr>
                            <w:bookmarkStart w:id="11" w:name="_Toc142039044"/>
                            <w:r w:rsidRPr="003B21C2">
                              <w:rPr>
                                <w:rFonts w:ascii="Arial" w:eastAsia="Times New Roman" w:hAnsi="Arial" w:cs="Arial"/>
                                <w:b/>
                                <w:bCs/>
                                <w:color w:val="385623" w:themeColor="accent6" w:themeShade="80"/>
                                <w:lang w:val="ro-RO" w:eastAsia="ro-RO"/>
                                <w14:textOutline w14:w="11112" w14:cap="flat" w14:cmpd="sng" w14:algn="ctr">
                                  <w14:solidFill>
                                    <w14:schemeClr w14:val="accent2"/>
                                  </w14:solidFill>
                                  <w14:prstDash w14:val="solid"/>
                                  <w14:round/>
                                </w14:textOutline>
                              </w:rPr>
                              <w:t>I.1</w:t>
                            </w:r>
                            <w:bookmarkEnd w:id="11"/>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5C12760" id="Text Box 48" o:spid="_x0000_s1027" type="#_x0000_t202" style="position:absolute;margin-left:479.25pt;margin-top:.75pt;width:2in;height:2in;z-index:251609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" filled="f" stroked="f">
                <v:textbox style="mso-fit-shape-to-text:t">
                  <w:txbxContent>
                    <w:p w14:paraId="1E9A584D" w14:textId="77777777" w:rsidR="00C36A80" w:rsidRPr="003B21C2" w:rsidRDefault="00C36A80" w:rsidP="00EA79B2">
                      <w:pPr>
                        <w:pStyle w:val="Titlu1"/>
                        <w:jc w:val="center"/>
                        <w:rPr>
                          <w:rFonts w:ascii="Arial" w:eastAsia="Times New Roman" w:hAnsi="Arial" w:cs="Arial"/>
                          <w:b/>
                          <w:bCs/>
                          <w:color w:val="385623" w:themeColor="accent6" w:themeShade="80"/>
                          <w:lang w:val="ro-RO" w:eastAsia="ro-RO"/>
                          <w14:textOutline w14:w="11112" w14:cap="flat" w14:cmpd="sng" w14:algn="ctr">
                            <w14:solidFill>
                              <w14:schemeClr w14:val="accent2"/>
                            </w14:solidFill>
                            <w14:prstDash w14:val="solid"/>
                            <w14:round/>
                          </w14:textOutline>
                        </w:rPr>
                      </w:pPr>
                      <w:bookmarkStart w:id="12" w:name="_Toc142039044"/>
                      <w:r w:rsidRPr="003B21C2">
                        <w:rPr>
                          <w:rFonts w:ascii="Arial" w:eastAsia="Times New Roman" w:hAnsi="Arial" w:cs="Arial"/>
                          <w:b/>
                          <w:bCs/>
                          <w:color w:val="385623" w:themeColor="accent6" w:themeShade="80"/>
                          <w:lang w:val="ro-RO" w:eastAsia="ro-RO"/>
                          <w14:textOutline w14:w="11112" w14:cap="flat" w14:cmpd="sng" w14:algn="ctr">
                            <w14:solidFill>
                              <w14:schemeClr w14:val="accent2"/>
                            </w14:solidFill>
                            <w14:prstDash w14:val="solid"/>
                            <w14:round/>
                          </w14:textOutline>
                        </w:rPr>
                        <w:t>I.1</w:t>
                      </w:r>
                      <w:bookmarkEnd w:id="12"/>
                    </w:p>
                  </w:txbxContent>
                </v:textbox>
              </v:shape>
            </w:pict>
          </mc:Fallback>
        </mc:AlternateContent>
      </w:r>
      <w:r w:rsidR="00D70AEA" w:rsidRPr="00126B15">
        <w:rPr>
          <w:rFonts w:ascii="Arial" w:eastAsia="Times New Roman" w:hAnsi="Arial" w:cs="Arial"/>
          <w:b/>
          <w:bCs/>
          <w:color w:val="auto"/>
          <w:sz w:val="28"/>
          <w:szCs w:val="28"/>
          <w:lang w:val="it-IT" w:eastAsia="ro-RO"/>
        </w:rPr>
        <w:t>I.1. Introducere</w:t>
      </w:r>
      <w:bookmarkEnd w:id="9"/>
      <w:bookmarkEnd w:id="10"/>
    </w:p>
    <w:p w14:paraId="238DCBC7" w14:textId="77777777" w:rsidR="00D70AEA" w:rsidRPr="003430C5" w:rsidRDefault="00D70AEA" w:rsidP="003430C5">
      <w:pPr>
        <w:pStyle w:val="Titlu2"/>
        <w:rPr>
          <w:rFonts w:ascii="Arial" w:eastAsia="Times New Roman" w:hAnsi="Arial" w:cs="Arial"/>
          <w:b/>
          <w:bCs/>
          <w:color w:val="auto"/>
          <w:sz w:val="24"/>
          <w:szCs w:val="24"/>
          <w:lang w:val="it-IT" w:eastAsia="ro-RO"/>
        </w:rPr>
      </w:pPr>
      <w:bookmarkStart w:id="13" w:name="_Toc61264883"/>
      <w:bookmarkStart w:id="14" w:name="_Toc142039045"/>
      <w:r w:rsidRPr="003430C5">
        <w:rPr>
          <w:rFonts w:ascii="Arial" w:eastAsia="Times New Roman" w:hAnsi="Arial" w:cs="Arial"/>
          <w:b/>
          <w:bCs/>
          <w:color w:val="auto"/>
          <w:sz w:val="24"/>
          <w:szCs w:val="24"/>
          <w:lang w:val="it-IT" w:eastAsia="ro-RO"/>
        </w:rPr>
        <w:t>I.1.1</w:t>
      </w:r>
      <w:r w:rsid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Scopul și rolul documentației</w:t>
      </w:r>
      <w:bookmarkEnd w:id="13"/>
      <w:bookmarkEnd w:id="14"/>
    </w:p>
    <w:p w14:paraId="11CF4645" w14:textId="77777777" w:rsidR="00D70AEA" w:rsidRPr="00D70AEA" w:rsidRDefault="00FE1373" w:rsidP="00D70AEA">
      <w:pPr>
        <w:spacing w:line="276" w:lineRule="auto"/>
        <w:jc w:val="both"/>
        <w:rPr>
          <w:rFonts w:ascii="Arial" w:eastAsia="Calibri" w:hAnsi="Arial" w:cs="Arial"/>
          <w:lang w:val="it-IT" w:eastAsia="ro-RO"/>
        </w:rPr>
      </w:pPr>
      <w:r w:rsidRPr="00D70AEA">
        <w:rPr>
          <w:rFonts w:ascii="Arial" w:eastAsia="Calibri" w:hAnsi="Arial" w:cs="Arial"/>
          <w:lang w:val="it-IT" w:eastAsia="ro-RO"/>
        </w:rPr>
        <w:t>Plan</w:t>
      </w:r>
      <w:r>
        <w:rPr>
          <w:rFonts w:ascii="Arial" w:eastAsia="Calibri" w:hAnsi="Arial" w:cs="Arial"/>
          <w:lang w:val="it-IT" w:eastAsia="ro-RO"/>
        </w:rPr>
        <w:t>ul</w:t>
      </w:r>
      <w:r w:rsidRPr="00D70AEA">
        <w:rPr>
          <w:rFonts w:ascii="Arial" w:eastAsia="Calibri" w:hAnsi="Arial" w:cs="Arial"/>
          <w:lang w:val="it-IT" w:eastAsia="ro-RO"/>
        </w:rPr>
        <w:t xml:space="preserve"> de Mobilitate Urbană Durabilă reprezintă un plan strategic conceput a satisface nevoile de mobilitate ale populaţiei  şi afacerilor din oraşe şi împrejurimi pentru o mai bună calitate a vieţii. Aceasta este definiţia larg acceptată în Europa şi </w:t>
      </w:r>
      <w:r w:rsidR="00EE29BA">
        <w:rPr>
          <w:rFonts w:ascii="Arial" w:eastAsia="Calibri" w:hAnsi="Arial" w:cs="Arial"/>
          <w:lang w:val="it-IT" w:eastAsia="ro-RO"/>
        </w:rPr>
        <w:t xml:space="preserve">la nivel </w:t>
      </w:r>
      <w:r w:rsidRPr="00D70AEA">
        <w:rPr>
          <w:rFonts w:ascii="Arial" w:eastAsia="Calibri" w:hAnsi="Arial" w:cs="Arial"/>
          <w:lang w:val="it-IT" w:eastAsia="ro-RO"/>
        </w:rPr>
        <w:t>internaţional a unui plan de mobilitate urbană durabilă. Planificarea mobilităţii urbane durabile este o strategie şi o abordare integrată pentru a face faţă eficient complexităţii transportului urban, scopul său fiind îmbunătăţirea accesibilităţii şi a calităţii vieţii prin obţinerea unei treceri la mobilitatea durabilă.</w:t>
      </w:r>
      <w:r>
        <w:rPr>
          <w:rFonts w:ascii="Arial" w:eastAsia="Calibri" w:hAnsi="Arial" w:cs="Arial"/>
          <w:lang w:val="it-IT" w:eastAsia="ro-RO"/>
        </w:rPr>
        <w:t xml:space="preserve"> Planul de Mobilitate Urbană Durabilă </w:t>
      </w:r>
      <w:r w:rsidR="003E6CBC">
        <w:rPr>
          <w:rFonts w:ascii="Arial" w:eastAsia="Calibri" w:hAnsi="Arial" w:cs="Arial"/>
          <w:lang w:val="it-IT" w:eastAsia="ro-RO"/>
        </w:rPr>
        <w:t>al</w:t>
      </w:r>
      <w:r>
        <w:rPr>
          <w:rFonts w:ascii="Arial" w:eastAsia="Calibri" w:hAnsi="Arial" w:cs="Arial"/>
          <w:lang w:val="it-IT" w:eastAsia="ro-RO"/>
        </w:rPr>
        <w:t xml:space="preserve"> oraşul</w:t>
      </w:r>
      <w:r w:rsidR="003E6CBC">
        <w:rPr>
          <w:rFonts w:ascii="Arial" w:eastAsia="Calibri" w:hAnsi="Arial" w:cs="Arial"/>
          <w:lang w:val="it-IT" w:eastAsia="ro-RO"/>
        </w:rPr>
        <w:t>ui</w:t>
      </w:r>
      <w:r>
        <w:rPr>
          <w:rFonts w:ascii="Arial" w:eastAsia="Calibri" w:hAnsi="Arial" w:cs="Arial"/>
          <w:lang w:val="it-IT" w:eastAsia="ro-RO"/>
        </w:rPr>
        <w:t xml:space="preserve"> Horezu stabileşte modul în care se vor pune în aplicare conceptele moderne de planificare şi management al mobilităţii urbane durabile</w:t>
      </w:r>
      <w:r w:rsidR="00CE2AC5">
        <w:rPr>
          <w:rFonts w:ascii="Arial" w:eastAsia="Calibri" w:hAnsi="Arial" w:cs="Arial"/>
          <w:lang w:val="it-IT" w:eastAsia="ro-RO"/>
        </w:rPr>
        <w:t>, astfel cum au fost definite şi implementate la nivel european</w:t>
      </w:r>
      <w:r>
        <w:rPr>
          <w:rFonts w:ascii="Arial" w:eastAsia="Calibri" w:hAnsi="Arial" w:cs="Arial"/>
          <w:lang w:val="it-IT" w:eastAsia="ro-RO"/>
        </w:rPr>
        <w:t>.</w:t>
      </w:r>
      <w:r w:rsidR="00CE2AC5">
        <w:rPr>
          <w:rFonts w:ascii="Arial" w:eastAsia="Calibri" w:hAnsi="Arial" w:cs="Arial"/>
          <w:lang w:val="it-IT" w:eastAsia="ro-RO"/>
        </w:rPr>
        <w:t xml:space="preserve"> Având un profund caracter strategic, Planul de Mobilitate Urbană Durabilă defineşte priorităţi, tipologii de acţiuni, prevede scenarii viitoare de evoluţie şi identifică măsuri necesare</w:t>
      </w:r>
      <w:r w:rsidR="006F6072">
        <w:rPr>
          <w:rFonts w:ascii="Arial" w:eastAsia="Calibri" w:hAnsi="Arial" w:cs="Arial"/>
          <w:lang w:val="it-IT" w:eastAsia="ro-RO"/>
        </w:rPr>
        <w:t xml:space="preserve"> </w:t>
      </w:r>
      <w:r w:rsidR="00CE2AC5">
        <w:rPr>
          <w:rFonts w:ascii="Arial" w:eastAsia="Calibri" w:hAnsi="Arial" w:cs="Arial"/>
          <w:lang w:val="it-IT" w:eastAsia="ro-RO"/>
        </w:rPr>
        <w:t>pentru atingerea obiectivelor în termenele specificate.</w:t>
      </w:r>
      <w:r>
        <w:rPr>
          <w:rFonts w:ascii="Arial" w:eastAsia="Calibri" w:hAnsi="Arial" w:cs="Arial"/>
          <w:lang w:val="it-IT" w:eastAsia="ro-RO"/>
        </w:rPr>
        <w:t xml:space="preserve"> </w:t>
      </w:r>
      <w:r w:rsidR="00D70AEA" w:rsidRPr="00D70AEA">
        <w:rPr>
          <w:rFonts w:ascii="Arial" w:eastAsia="Calibri" w:hAnsi="Arial" w:cs="Arial"/>
          <w:lang w:val="it-IT" w:eastAsia="ro-RO"/>
        </w:rPr>
        <w:t>Scopul principal al Planului de Mobilitate Urbană Durabilă îl reprezintă promovarea dezvoltării urbane având la bază dezvoltarea transportului sustenabil.</w:t>
      </w:r>
    </w:p>
    <w:p w14:paraId="57C788A7" w14:textId="77777777" w:rsidR="00D70AEA" w:rsidRPr="00D70AEA" w:rsidRDefault="00CE2AC5" w:rsidP="00D70AEA">
      <w:pPr>
        <w:widowControl w:val="0"/>
        <w:spacing w:after="0" w:line="276" w:lineRule="auto"/>
        <w:jc w:val="both"/>
        <w:rPr>
          <w:rFonts w:ascii="Arial" w:eastAsia="Arial Narrow" w:hAnsi="Arial" w:cs="Arial"/>
          <w:color w:val="000000"/>
          <w:shd w:val="clear" w:color="auto" w:fill="FFFFFF"/>
          <w:lang w:val="ro-RO"/>
        </w:rPr>
      </w:pPr>
      <w:r>
        <w:rPr>
          <w:rFonts w:ascii="Arial" w:eastAsia="Arial Narrow" w:hAnsi="Arial" w:cs="Arial"/>
          <w:color w:val="000000"/>
          <w:shd w:val="clear" w:color="auto" w:fill="FFFFFF"/>
          <w:lang w:val="ro-RO"/>
        </w:rPr>
        <w:t>Întocmirea Planului de Mobilitate Urbană Durabilă</w:t>
      </w:r>
      <w:r w:rsidR="00D70AEA" w:rsidRPr="00D70AEA">
        <w:rPr>
          <w:rFonts w:ascii="Arial" w:eastAsia="Arial Narrow" w:hAnsi="Arial" w:cs="Arial"/>
          <w:color w:val="000000"/>
          <w:shd w:val="clear" w:color="auto" w:fill="FFFFFF"/>
          <w:lang w:val="ro-RO"/>
        </w:rPr>
        <w:t xml:space="preserve"> a</w:t>
      </w:r>
      <w:r w:rsidR="00EE29BA">
        <w:rPr>
          <w:rFonts w:ascii="Arial" w:eastAsia="Arial Narrow" w:hAnsi="Arial" w:cs="Arial"/>
          <w:color w:val="000000"/>
          <w:shd w:val="clear" w:color="auto" w:fill="FFFFFF"/>
          <w:lang w:val="ro-RO"/>
        </w:rPr>
        <w:t>l</w:t>
      </w:r>
      <w:r w:rsidR="00D70AEA" w:rsidRPr="00D70AEA">
        <w:rPr>
          <w:rFonts w:ascii="Arial" w:eastAsia="Arial Narrow" w:hAnsi="Arial" w:cs="Arial"/>
          <w:color w:val="000000"/>
          <w:shd w:val="clear" w:color="auto" w:fill="FFFFFF"/>
          <w:lang w:val="ro-RO"/>
        </w:rPr>
        <w:t xml:space="preserve"> </w:t>
      </w:r>
      <w:r w:rsidR="003E6CBC">
        <w:rPr>
          <w:rFonts w:ascii="Arial" w:eastAsia="Arial Narrow" w:hAnsi="Arial" w:cs="Arial"/>
          <w:color w:val="000000"/>
          <w:shd w:val="clear" w:color="auto" w:fill="FFFFFF"/>
          <w:lang w:val="ro-RO"/>
        </w:rPr>
        <w:t>oraşului Horezu pentru p</w:t>
      </w:r>
      <w:r w:rsidR="00D70AEA" w:rsidRPr="00D70AEA">
        <w:rPr>
          <w:rFonts w:ascii="Arial" w:eastAsia="Arial Narrow" w:hAnsi="Arial" w:cs="Arial"/>
          <w:color w:val="000000"/>
          <w:shd w:val="clear" w:color="auto" w:fill="FFFFFF"/>
          <w:lang w:val="ro-RO"/>
        </w:rPr>
        <w:t>erioada 202</w:t>
      </w:r>
      <w:r w:rsidR="000365D6">
        <w:rPr>
          <w:rFonts w:ascii="Arial" w:eastAsia="Arial Narrow" w:hAnsi="Arial" w:cs="Arial"/>
          <w:color w:val="000000"/>
          <w:shd w:val="clear" w:color="auto" w:fill="FFFFFF"/>
          <w:lang w:val="ro-RO"/>
        </w:rPr>
        <w:t xml:space="preserve">2 </w:t>
      </w:r>
      <w:r w:rsidR="00D70AEA" w:rsidRPr="00D70AEA">
        <w:rPr>
          <w:rFonts w:ascii="Arial" w:eastAsia="Arial Narrow" w:hAnsi="Arial" w:cs="Arial"/>
          <w:color w:val="000000"/>
          <w:shd w:val="clear" w:color="auto" w:fill="FFFFFF"/>
          <w:lang w:val="ro-RO"/>
        </w:rPr>
        <w:t xml:space="preserve">-2027 </w:t>
      </w:r>
      <w:r w:rsidR="000365D6">
        <w:rPr>
          <w:rFonts w:ascii="Arial" w:eastAsia="Arial Narrow" w:hAnsi="Arial" w:cs="Arial"/>
          <w:color w:val="000000"/>
          <w:shd w:val="clear" w:color="auto" w:fill="FFFFFF"/>
          <w:lang w:val="ro-RO"/>
        </w:rPr>
        <w:t>va avea în vedere contextul strategic existent la nivel global şi european şi totodată preocupările ce vizează mobilitatea urbană şi transportul identificate pe plan internaţional</w:t>
      </w:r>
      <w:r w:rsidR="006F6072">
        <w:rPr>
          <w:rFonts w:ascii="Arial" w:eastAsia="Arial Narrow" w:hAnsi="Arial" w:cs="Arial"/>
          <w:color w:val="000000"/>
          <w:shd w:val="clear" w:color="auto" w:fill="FFFFFF"/>
          <w:lang w:val="ro-RO"/>
        </w:rPr>
        <w:t>.</w:t>
      </w:r>
    </w:p>
    <w:p w14:paraId="1CD2425E" w14:textId="77777777" w:rsidR="006F6072" w:rsidRDefault="006F6072" w:rsidP="006F6072">
      <w:pPr>
        <w:contextualSpacing/>
        <w:jc w:val="both"/>
        <w:rPr>
          <w:rFonts w:ascii="Arial" w:eastAsia="Arial Narrow" w:hAnsi="Arial" w:cs="Arial"/>
          <w:color w:val="000000"/>
          <w:lang w:val="ro-RO"/>
        </w:rPr>
      </w:pPr>
    </w:p>
    <w:p w14:paraId="4948BF81" w14:textId="77777777" w:rsidR="006F6072" w:rsidRPr="00D70AEA" w:rsidRDefault="006F6072" w:rsidP="006F6072">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Necesitatea realizării planurilor de mobilitate urbană este precizată în articolul 46^1 din Legea Nr. 350 din 6 iulie 2001 privind amenajarea teritoriului şi urbanismul,</w:t>
      </w:r>
      <w:r w:rsidR="001B56C2">
        <w:rPr>
          <w:rFonts w:ascii="Arial" w:eastAsia="Calibri" w:hAnsi="Arial" w:cs="Arial"/>
          <w:lang w:val="it-IT" w:eastAsia="ro-RO"/>
        </w:rPr>
        <w:t xml:space="preserve"> republicată, </w:t>
      </w:r>
      <w:r w:rsidR="001B56C2" w:rsidRPr="001B56C2">
        <w:rPr>
          <w:rFonts w:ascii="Arial" w:eastAsia="Calibri" w:hAnsi="Arial" w:cs="Arial"/>
          <w:lang w:val="it-IT" w:eastAsia="ro-RO"/>
        </w:rPr>
        <w:t>cu modifică</w:t>
      </w:r>
      <w:r w:rsidR="001B56C2">
        <w:rPr>
          <w:rFonts w:ascii="Arial" w:eastAsia="Calibri" w:hAnsi="Arial" w:cs="Arial"/>
          <w:lang w:val="it-IT" w:eastAsia="ro-RO"/>
        </w:rPr>
        <w:t>rile și completările ulterioare în 2013</w:t>
      </w:r>
      <w:r w:rsidR="00CD54DA">
        <w:rPr>
          <w:rFonts w:ascii="Arial" w:eastAsia="Calibri" w:hAnsi="Arial" w:cs="Arial"/>
          <w:lang w:val="it-IT" w:eastAsia="ro-RO"/>
        </w:rPr>
        <w:t>. Potrivit acestui document legislativ,</w:t>
      </w:r>
      <w:r w:rsidR="001B56C2" w:rsidRPr="001B56C2">
        <w:rPr>
          <w:rFonts w:ascii="Arial" w:eastAsia="Calibri" w:hAnsi="Arial" w:cs="Arial"/>
          <w:lang w:val="it-IT" w:eastAsia="ro-RO"/>
        </w:rPr>
        <w:t xml:space="preserve"> </w:t>
      </w:r>
      <w:r w:rsidRPr="00D70AEA">
        <w:rPr>
          <w:rFonts w:ascii="Arial" w:eastAsia="Calibri" w:hAnsi="Arial" w:cs="Arial"/>
          <w:lang w:val="it-IT" w:eastAsia="ro-RO"/>
        </w:rPr>
        <w:t>un Plan Urbanistic General (PUG) trebuie să includă:</w:t>
      </w:r>
    </w:p>
    <w:p w14:paraId="06E789EA" w14:textId="77777777" w:rsidR="006F6072" w:rsidRPr="00D70AEA" w:rsidRDefault="006F6072" w:rsidP="000B7841">
      <w:pPr>
        <w:spacing w:after="0" w:line="276" w:lineRule="auto"/>
        <w:ind w:left="450"/>
        <w:jc w:val="both"/>
        <w:rPr>
          <w:rFonts w:ascii="Arial" w:eastAsia="Calibri" w:hAnsi="Arial" w:cs="Arial"/>
          <w:lang w:val="it-IT" w:eastAsia="ro-RO"/>
        </w:rPr>
      </w:pPr>
      <w:r w:rsidRPr="00D70AEA">
        <w:rPr>
          <w:rFonts w:ascii="Arial" w:eastAsia="Calibri" w:hAnsi="Arial" w:cs="Arial"/>
          <w:lang w:val="it-IT" w:eastAsia="ro-RO"/>
        </w:rPr>
        <w:t>a) diagnoză prospectivă, pe baza analizei evoluţiei istorice și prognoze economice și demografice, precizând nevoile identificate în domeniile economic, social și cultural, dezvoltare spațială, de mediu, locuințe, transport, facilitățile publice și serviciile de echipamente;</w:t>
      </w:r>
    </w:p>
    <w:p w14:paraId="7BA28582" w14:textId="77777777" w:rsidR="006F6072" w:rsidRPr="00D70AEA" w:rsidRDefault="006F6072" w:rsidP="000B7841">
      <w:pPr>
        <w:spacing w:after="0" w:line="276" w:lineRule="auto"/>
        <w:ind w:left="450"/>
        <w:jc w:val="both"/>
        <w:rPr>
          <w:rFonts w:ascii="Arial" w:eastAsia="Calibri" w:hAnsi="Arial" w:cs="Arial"/>
          <w:lang w:val="it-IT" w:eastAsia="ro-RO"/>
        </w:rPr>
      </w:pPr>
      <w:r w:rsidRPr="00D70AEA">
        <w:rPr>
          <w:rFonts w:ascii="Arial" w:eastAsia="Calibri" w:hAnsi="Arial" w:cs="Arial"/>
          <w:lang w:val="it-IT" w:eastAsia="ro-RO"/>
        </w:rPr>
        <w:t>b) strategia de dezvoltare spațială a orașului;</w:t>
      </w:r>
    </w:p>
    <w:p w14:paraId="24E8D293" w14:textId="77777777" w:rsidR="006F6072" w:rsidRPr="00D70AEA" w:rsidRDefault="006F6072" w:rsidP="000B7841">
      <w:pPr>
        <w:spacing w:after="0" w:line="276" w:lineRule="auto"/>
        <w:ind w:left="450"/>
        <w:jc w:val="both"/>
        <w:rPr>
          <w:rFonts w:ascii="Arial" w:eastAsia="Calibri" w:hAnsi="Arial" w:cs="Arial"/>
          <w:lang w:val="it-IT" w:eastAsia="ro-RO"/>
        </w:rPr>
      </w:pPr>
      <w:r w:rsidRPr="00D70AEA">
        <w:rPr>
          <w:rFonts w:ascii="Arial" w:eastAsia="Calibri" w:hAnsi="Arial" w:cs="Arial"/>
          <w:lang w:val="it-IT" w:eastAsia="ro-RO"/>
        </w:rPr>
        <w:t>c) regulamentele de urbanism locale asociate cu acesta;</w:t>
      </w:r>
    </w:p>
    <w:p w14:paraId="12E31F1B" w14:textId="77777777" w:rsidR="006F6072" w:rsidRPr="00D70AEA" w:rsidRDefault="006F6072" w:rsidP="000B7841">
      <w:pPr>
        <w:spacing w:after="0" w:line="276" w:lineRule="auto"/>
        <w:ind w:left="450"/>
        <w:jc w:val="both"/>
        <w:rPr>
          <w:rFonts w:ascii="Arial" w:eastAsia="Calibri" w:hAnsi="Arial" w:cs="Arial"/>
          <w:lang w:val="it-IT" w:eastAsia="ro-RO"/>
        </w:rPr>
      </w:pPr>
      <w:r w:rsidRPr="00D70AEA">
        <w:rPr>
          <w:rFonts w:ascii="Arial" w:eastAsia="Calibri" w:hAnsi="Arial" w:cs="Arial"/>
          <w:lang w:val="it-IT" w:eastAsia="ro-RO"/>
        </w:rPr>
        <w:t>d) plan de acțiune pentru punerea în aplicare și programul de investiții publice; și</w:t>
      </w:r>
    </w:p>
    <w:p w14:paraId="2E2D1026" w14:textId="77777777" w:rsidR="006F6072" w:rsidRPr="00D70AEA" w:rsidRDefault="006F6072" w:rsidP="000B7841">
      <w:pPr>
        <w:spacing w:after="0" w:line="276" w:lineRule="auto"/>
        <w:ind w:left="450"/>
        <w:jc w:val="both"/>
        <w:rPr>
          <w:rFonts w:ascii="Arial" w:eastAsia="Calibri" w:hAnsi="Arial" w:cs="Arial"/>
          <w:lang w:val="it-IT" w:eastAsia="ro-RO"/>
        </w:rPr>
      </w:pPr>
      <w:r w:rsidRPr="00D70AEA">
        <w:rPr>
          <w:rFonts w:ascii="Arial" w:eastAsia="Calibri" w:hAnsi="Arial" w:cs="Arial"/>
          <w:lang w:val="it-IT" w:eastAsia="ro-RO"/>
        </w:rPr>
        <w:t xml:space="preserve">e) </w:t>
      </w:r>
      <w:r w:rsidRPr="00CD54DA">
        <w:rPr>
          <w:rFonts w:ascii="Arial" w:eastAsia="Calibri" w:hAnsi="Arial" w:cs="Arial"/>
          <w:b/>
          <w:lang w:val="it-IT" w:eastAsia="ro-RO"/>
        </w:rPr>
        <w:t>un plan de mobilitate urbană</w:t>
      </w:r>
      <w:r w:rsidRPr="00D70AEA">
        <w:rPr>
          <w:rFonts w:ascii="Arial" w:eastAsia="Calibri" w:hAnsi="Arial" w:cs="Arial"/>
          <w:lang w:val="it-IT" w:eastAsia="ro-RO"/>
        </w:rPr>
        <w:t>.</w:t>
      </w:r>
    </w:p>
    <w:p w14:paraId="11D14445" w14:textId="77777777" w:rsidR="006F6072" w:rsidRPr="00D70AEA" w:rsidRDefault="006F6072" w:rsidP="006F6072">
      <w:pPr>
        <w:spacing w:after="0" w:line="276" w:lineRule="auto"/>
        <w:jc w:val="both"/>
        <w:rPr>
          <w:rFonts w:ascii="Arial" w:eastAsia="Calibri" w:hAnsi="Arial" w:cs="Arial"/>
          <w:lang w:val="it-IT" w:eastAsia="ro-RO"/>
        </w:rPr>
      </w:pPr>
    </w:p>
    <w:p w14:paraId="2434C2F7" w14:textId="77777777" w:rsidR="006F6072" w:rsidRDefault="006F6072" w:rsidP="006F6072">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Anexa 2 la Legea 350/2001 privind amenajarea teritoriului şi urbanismul defineşte planul de mobilitate urbană ca fiind un instrument de planificare strategică teritorială care corelează dezvoltarea spațială a localităților din suburbii/zone metropolitane, mobilitatea și transportul persoanelor, bunurilor și mărfurilor. Aşadar, Planul de Mobilitate Urbană Durabilă</w:t>
      </w:r>
      <w:r w:rsidR="003E6CBC">
        <w:rPr>
          <w:rFonts w:ascii="Arial" w:eastAsia="Calibri" w:hAnsi="Arial" w:cs="Arial"/>
          <w:lang w:val="it-IT" w:eastAsia="ro-RO"/>
        </w:rPr>
        <w:t xml:space="preserve"> (PMUD)</w:t>
      </w:r>
      <w:r w:rsidRPr="00D70AEA">
        <w:rPr>
          <w:rFonts w:ascii="Arial" w:eastAsia="Calibri" w:hAnsi="Arial" w:cs="Arial"/>
          <w:lang w:val="it-IT" w:eastAsia="ro-RO"/>
        </w:rPr>
        <w:t xml:space="preserve"> reprezintă o documentaţie complementară strategiei de dezvoltare teritorială urbană şi a planului urbanistic general (P.U.G.), dar şi instrumentul de planificare strategică teritorială prin care este corelată dezvoltarea spațială a localităților cu nevoile de mobilitate şi transport ale persoanelor şi mărfurilor. </w:t>
      </w:r>
    </w:p>
    <w:p w14:paraId="1728448A" w14:textId="77777777" w:rsidR="00CD54DA" w:rsidRPr="00D70AEA" w:rsidRDefault="00CD54DA" w:rsidP="006F6072">
      <w:pPr>
        <w:spacing w:after="0" w:line="276" w:lineRule="auto"/>
        <w:jc w:val="both"/>
        <w:rPr>
          <w:rFonts w:ascii="Arial" w:eastAsia="Calibri" w:hAnsi="Arial" w:cs="Arial"/>
          <w:lang w:val="it-IT" w:eastAsia="ro-RO"/>
        </w:rPr>
      </w:pPr>
    </w:p>
    <w:p w14:paraId="7EDA2E8E" w14:textId="77777777" w:rsidR="006F6072" w:rsidRDefault="003E6CBC" w:rsidP="006F6072">
      <w:pPr>
        <w:contextualSpacing/>
        <w:jc w:val="both"/>
        <w:rPr>
          <w:rFonts w:ascii="Arial" w:eastAsia="Arial Narrow" w:hAnsi="Arial" w:cs="Arial"/>
          <w:color w:val="000000"/>
          <w:lang w:val="ro-RO"/>
        </w:rPr>
      </w:pPr>
      <w:r>
        <w:rPr>
          <w:rFonts w:ascii="Arial" w:eastAsia="Arial Narrow" w:hAnsi="Arial" w:cs="Arial"/>
          <w:color w:val="000000"/>
          <w:lang w:val="ro-RO"/>
        </w:rPr>
        <w:t xml:space="preserve">Scopul Planului de Mobilitate Urbană Durabilă este de a permite dezvoltarea sustenabilă a mobilităţii în aria de studiu, acesta urmând a funcţiona ca un suport pentru pregătirea şi implementarea proiectelor şi măsurilor finanţate prin Programul Operaţional Regional 2021-2027 </w:t>
      </w:r>
      <w:r w:rsidR="00915B45">
        <w:rPr>
          <w:rFonts w:ascii="Arial" w:eastAsia="Arial Narrow" w:hAnsi="Arial" w:cs="Arial"/>
          <w:color w:val="000000"/>
          <w:lang w:val="ro-RO"/>
        </w:rPr>
        <w:t xml:space="preserve">Regiunea Sud-Vest </w:t>
      </w:r>
      <w:r w:rsidR="00FA3868">
        <w:rPr>
          <w:rFonts w:ascii="Arial" w:eastAsia="Arial Narrow" w:hAnsi="Arial" w:cs="Arial"/>
          <w:color w:val="000000"/>
          <w:lang w:val="ro-RO"/>
        </w:rPr>
        <w:t xml:space="preserve">din care face parte oraşul Horezu </w:t>
      </w:r>
      <w:r w:rsidR="00915B45">
        <w:rPr>
          <w:rFonts w:ascii="Arial" w:eastAsia="Arial Narrow" w:hAnsi="Arial" w:cs="Arial"/>
          <w:color w:val="000000"/>
          <w:lang w:val="ro-RO"/>
        </w:rPr>
        <w:t>(precum şi alte programe operaţionale din viitoarele perioade de programare) şi alte surse asociate bugetelor locale, dar şi pentru susţinerea implementării unor proiecte de interes naţional care influenţează mobilitatea în aria de studiu.</w:t>
      </w:r>
      <w:r w:rsidR="00FA3868">
        <w:rPr>
          <w:rFonts w:ascii="Arial" w:eastAsia="Arial Narrow" w:hAnsi="Arial" w:cs="Arial"/>
          <w:color w:val="000000"/>
          <w:lang w:val="ro-RO"/>
        </w:rPr>
        <w:t xml:space="preserve"> </w:t>
      </w:r>
      <w:r w:rsidR="00FA3868" w:rsidRPr="00FA3868">
        <w:rPr>
          <w:rFonts w:ascii="Arial" w:eastAsia="Arial Narrow" w:hAnsi="Arial" w:cs="Arial"/>
          <w:color w:val="000000"/>
          <w:lang w:val="ro-RO"/>
        </w:rPr>
        <w:lastRenderedPageBreak/>
        <w:t>Exerciţiul financiar european 2021-2027 reprezintă o oportunitate pentru oraşul Horezu pentru realizarea proiectelor de investiţii necesare dezvoltării comunităţii; realizarea portofoliului de proiecte în cadrul PMUD va permite administraţiei locale să acceseze programele de finanţa</w:t>
      </w:r>
      <w:r w:rsidR="000B7841">
        <w:rPr>
          <w:rFonts w:ascii="Arial" w:eastAsia="Arial Narrow" w:hAnsi="Arial" w:cs="Arial"/>
          <w:color w:val="000000"/>
          <w:lang w:val="ro-RO"/>
        </w:rPr>
        <w:t>re disponibile în perioada 2021-</w:t>
      </w:r>
      <w:r w:rsidR="00FA3868" w:rsidRPr="00FA3868">
        <w:rPr>
          <w:rFonts w:ascii="Arial" w:eastAsia="Arial Narrow" w:hAnsi="Arial" w:cs="Arial"/>
          <w:color w:val="000000"/>
          <w:lang w:val="ro-RO"/>
        </w:rPr>
        <w:t>2027.</w:t>
      </w:r>
    </w:p>
    <w:p w14:paraId="13390848" w14:textId="77777777" w:rsidR="00FA3868" w:rsidRDefault="00FA3868" w:rsidP="006F6072">
      <w:pPr>
        <w:contextualSpacing/>
        <w:jc w:val="both"/>
        <w:rPr>
          <w:rFonts w:ascii="Arial" w:eastAsia="Arial Narrow" w:hAnsi="Arial" w:cs="Arial"/>
          <w:color w:val="000000"/>
          <w:lang w:val="ro-RO"/>
        </w:rPr>
      </w:pPr>
    </w:p>
    <w:p w14:paraId="0DFF6E07" w14:textId="77777777" w:rsidR="00A41EF5" w:rsidRDefault="00A41EF5" w:rsidP="00D70AEA">
      <w:pPr>
        <w:spacing w:line="276" w:lineRule="auto"/>
        <w:jc w:val="both"/>
        <w:rPr>
          <w:rFonts w:ascii="Arial" w:eastAsia="Calibri" w:hAnsi="Arial" w:cs="Arial"/>
          <w:lang w:val="it-IT" w:eastAsia="ro-RO"/>
        </w:rPr>
      </w:pPr>
      <w:r>
        <w:rPr>
          <w:rFonts w:ascii="Arial" w:eastAsia="Calibri" w:hAnsi="Arial" w:cs="Arial"/>
          <w:lang w:val="it-IT" w:eastAsia="ro-RO"/>
        </w:rPr>
        <w:t>PMUD al oraşului Horezu va avea un rol esenţial în accesarea finanţării din fonduri nerambursabile prin mecanisme de finanţare care vor fi disponibile în exerciţiul financiar  2021-2027. Prin implementarea măsurilor şi acţiunilor de intervenţie propuse se estimează soluţionarea problemelor identificate în etapa de analiză a situaţiei actuale sau care sunt considerate ca strategice în contextul asigurării unei mobilităţi urbane durabile în aria de studiu, acoperind perioada 2022-2027.</w:t>
      </w:r>
    </w:p>
    <w:p w14:paraId="1B2CBB0B" w14:textId="79586941" w:rsidR="001C5279" w:rsidRPr="001C5279" w:rsidRDefault="001C5279" w:rsidP="001C5279">
      <w:pPr>
        <w:spacing w:line="276" w:lineRule="auto"/>
        <w:jc w:val="both"/>
        <w:rPr>
          <w:rFonts w:ascii="Arial" w:eastAsia="Calibri" w:hAnsi="Arial" w:cs="Arial"/>
          <w:lang w:val="it-IT" w:eastAsia="ro-RO"/>
        </w:rPr>
      </w:pPr>
      <w:r w:rsidRPr="001C5279">
        <w:rPr>
          <w:rFonts w:ascii="Arial" w:eastAsia="Calibri" w:hAnsi="Arial" w:cs="Arial"/>
          <w:lang w:val="it-IT" w:eastAsia="ro-RO"/>
        </w:rPr>
        <w:t xml:space="preserve">Politicile de dezvoltare durabilă la nivel urban s-au concretizat într-un demers strategic mai larg demarat </w:t>
      </w:r>
      <w:r>
        <w:rPr>
          <w:rFonts w:ascii="Arial" w:eastAsia="Calibri" w:hAnsi="Arial" w:cs="Arial"/>
          <w:lang w:val="it-IT" w:eastAsia="ro-RO"/>
        </w:rPr>
        <w:t>de Națiunile Unite</w:t>
      </w:r>
      <w:r w:rsidRPr="001C5279">
        <w:rPr>
          <w:rFonts w:ascii="Arial" w:eastAsia="Calibri" w:hAnsi="Arial" w:cs="Arial"/>
          <w:lang w:val="it-IT" w:eastAsia="ro-RO"/>
        </w:rPr>
        <w:t xml:space="preserve"> intitulat Obiectivele de dezvoltare durabilă  ale Organizației Națiunilor Unite 2030 (UNSDG2030)</w:t>
      </w:r>
      <w:r w:rsidR="008974A3">
        <w:rPr>
          <w:rStyle w:val="Referinnotdesubsol"/>
          <w:rFonts w:ascii="Arial" w:eastAsia="Calibri" w:hAnsi="Arial" w:cs="Arial"/>
          <w:lang w:val="it-IT" w:eastAsia="ro-RO"/>
        </w:rPr>
        <w:footnoteReference w:id="1"/>
      </w:r>
      <w:r w:rsidRPr="001C5279">
        <w:rPr>
          <w:rFonts w:ascii="Arial" w:eastAsia="Calibri" w:hAnsi="Arial" w:cs="Arial"/>
          <w:lang w:val="it-IT" w:eastAsia="ro-RO"/>
        </w:rPr>
        <w:t>. Acestea au fost definite în cadrul Summit-ului privind dezvoltarea din septembrie 2015, în urma căruia a rezultat Agenda 2</w:t>
      </w:r>
      <w:r>
        <w:rPr>
          <w:rFonts w:ascii="Arial" w:eastAsia="Calibri" w:hAnsi="Arial" w:cs="Arial"/>
          <w:lang w:val="it-IT" w:eastAsia="ro-RO"/>
        </w:rPr>
        <w:t xml:space="preserve">030 pentru dezvoltare durabilă, </w:t>
      </w:r>
      <w:r w:rsidRPr="001C5279">
        <w:rPr>
          <w:rFonts w:ascii="Arial" w:eastAsia="Calibri" w:hAnsi="Arial" w:cs="Arial"/>
          <w:lang w:val="it-IT" w:eastAsia="ro-RO"/>
        </w:rPr>
        <w:t>un program de acţiune globală în domeniul dezvoltării cu un caracter universal şi care promovează echilibrul între cele trei dimensiuni ale dezvoltării durabile – economic, social şi de mediu. Pentru prima oară, acţiunile vizează în egală măsură statele dezvoltate şi cele aflate în curs de dezvoltare.</w:t>
      </w:r>
    </w:p>
    <w:p w14:paraId="1E1046D3" w14:textId="77777777" w:rsidR="001C5279" w:rsidRPr="001C5279" w:rsidRDefault="001C5279" w:rsidP="001C5279">
      <w:pPr>
        <w:spacing w:line="276" w:lineRule="auto"/>
        <w:jc w:val="both"/>
        <w:rPr>
          <w:rFonts w:ascii="Arial" w:eastAsia="Calibri" w:hAnsi="Arial" w:cs="Arial"/>
          <w:lang w:val="it-IT" w:eastAsia="ro-RO"/>
        </w:rPr>
      </w:pPr>
      <w:r w:rsidRPr="001C5279">
        <w:rPr>
          <w:rFonts w:ascii="Arial" w:eastAsia="Calibri" w:hAnsi="Arial" w:cs="Arial"/>
          <w:lang w:val="it-IT" w:eastAsia="ro-RO"/>
        </w:rPr>
        <w:t>Agenda 2030 cuprinde cele 17 Obiective de Dezvoltare Durabilă (ODD), reunite informal şi sub denumirea de Obiective Globale. Prin intermediul Obiectivelor Globale, se stabileşte o agendă de acţiune ambiţioasă pentru următorii 15 ani în vederea eradicării sărăciei extreme, combaterii inegalităţilor şi a injustiţiei şi protejării planetei până în 2030.</w:t>
      </w:r>
    </w:p>
    <w:p w14:paraId="7179DE79"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Fără sărăcie – Eradicarea sărăciei în toate formele sale şi în orice context.</w:t>
      </w:r>
    </w:p>
    <w:p w14:paraId="6B58AF48"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Foamete „zero” – Eradicarea foametei, asigurarea securităţii alimentare, îmbunătăţirea nutriţiei şi promovarea unei agriculturi durabile.</w:t>
      </w:r>
    </w:p>
    <w:p w14:paraId="44494994"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Sănătate şi bunăstare – Asigurarea unei vieţi sănătoase şi promovarea bunăstării tuturor la orice vârstă.</w:t>
      </w:r>
    </w:p>
    <w:p w14:paraId="4A98864F"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Educaţie de calitate – Garantarea unei educaţii de calitate şi promovarea oportunităţilor de învăţare de-a lungul vieţii pentru toţi.</w:t>
      </w:r>
    </w:p>
    <w:p w14:paraId="586572D8"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Egalitate de gen – Realizarea egalităţii de gen şi împuternicirea tuturor femeilor şi a fetelor.</w:t>
      </w:r>
    </w:p>
    <w:p w14:paraId="46F3A2C2"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Apă curată şi sanitaţie – Asigurarea disponibilităţii şi managementului durabil al apei şi sanitaţie pentru toţi.</w:t>
      </w:r>
    </w:p>
    <w:p w14:paraId="0BB7C199"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Energie curată şi la preţuri accesibile – Asigurarea accesului tuturor la energie la preţuri accesibile, într-un mod sigur, durabil şi modern.</w:t>
      </w:r>
    </w:p>
    <w:p w14:paraId="238ACB3F"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Muncă decentă şi creştere economică – Promovarea unei creşteri economice susţinute, deschise tuturor şi durabile, a ocupării depline şi productive a forţei de muncă şi a unei munci decente pentru toţi.</w:t>
      </w:r>
    </w:p>
    <w:p w14:paraId="1EA4005D"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Industrie, inovaţie şi infrastructură – Construirea unor infrastructuri rezistente, promovarea industrializării durabile şi încurajarea inovaţiei.</w:t>
      </w:r>
    </w:p>
    <w:p w14:paraId="14AEA669"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 xml:space="preserve">Inegalităţi reduse – Reducerea inegalităţilor în interiorul ţărilor şi de la o ţară la alta. </w:t>
      </w:r>
    </w:p>
    <w:p w14:paraId="0B32CD95"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 xml:space="preserve">Oraşe şi comunităţi durabile – Dezvoltarea oraşelor şi a aşezărilor umane pentru ca ele să fie deschise tuturor, sigure, reziliente şi durabile. </w:t>
      </w:r>
    </w:p>
    <w:p w14:paraId="370592E3"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lastRenderedPageBreak/>
        <w:t>Consum şi producţie responsabile – Asigurarea unor tipare de consum şi producţie durabile.</w:t>
      </w:r>
    </w:p>
    <w:p w14:paraId="6BE0EC6C"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Acţiune climatică – Luarea unor măsuri urgente de combatere a schimbărilor climatice şi a impactului lor.</w:t>
      </w:r>
    </w:p>
    <w:p w14:paraId="2EDAE2E5"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Viaţa acvatică – Conservarea şi utilizarea durabilă a oceanelor, mărilor şi a resurselor marine pentru o dezvoltare durabilă.</w:t>
      </w:r>
    </w:p>
    <w:p w14:paraId="1E3F482E"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 xml:space="preserve">Viaţa terestră – Protejarea, restaurarea şi promovarea utilizării durabile a ecosistemelor terestre, gestionarea durabilă a pădurilor, combaterea deșertificării, stoparea </w:t>
      </w:r>
      <w:r w:rsidR="00410593">
        <w:rPr>
          <w:rFonts w:ascii="Arial" w:eastAsia="Calibri" w:hAnsi="Arial" w:cs="Arial"/>
          <w:lang w:val="it-IT" w:eastAsia="ro-RO"/>
        </w:rPr>
        <w:t>şi repararea degradării solului</w:t>
      </w:r>
      <w:r w:rsidRPr="001C5279">
        <w:rPr>
          <w:rFonts w:ascii="Arial" w:eastAsia="Calibri" w:hAnsi="Arial" w:cs="Arial"/>
          <w:lang w:val="it-IT" w:eastAsia="ro-RO"/>
        </w:rPr>
        <w:t xml:space="preserve"> și stoparea pierderilor de biodiversitate.</w:t>
      </w:r>
    </w:p>
    <w:p w14:paraId="7CC0D025"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 xml:space="preserve">Pace, justiţie şi instituţii eficiente – Promovarea unor societăți pașnice și incluzive pentru o dezvoltare durabilă, a accesului la justiție pentru toţi şi crearea unor instituţii eficiente, responsabile şi incluzive la toate nivelurile. </w:t>
      </w:r>
    </w:p>
    <w:p w14:paraId="0BFE0791" w14:textId="77777777" w:rsidR="001C5279" w:rsidRPr="001C5279" w:rsidRDefault="001C5279" w:rsidP="000C6CB8">
      <w:pPr>
        <w:pStyle w:val="Listparagraf"/>
        <w:numPr>
          <w:ilvl w:val="0"/>
          <w:numId w:val="192"/>
        </w:numPr>
        <w:spacing w:after="0"/>
        <w:jc w:val="both"/>
        <w:rPr>
          <w:rFonts w:ascii="Arial" w:eastAsia="Calibri" w:hAnsi="Arial" w:cs="Arial"/>
          <w:lang w:val="it-IT" w:eastAsia="ro-RO"/>
        </w:rPr>
      </w:pPr>
      <w:r w:rsidRPr="001C5279">
        <w:rPr>
          <w:rFonts w:ascii="Arial" w:eastAsia="Calibri" w:hAnsi="Arial" w:cs="Arial"/>
          <w:lang w:val="it-IT" w:eastAsia="ro-RO"/>
        </w:rPr>
        <w:t>Parteneriate pentru realizarea obiectivelor - Consolidarea mijloacelor de implementare și revitalizarea parteneriatului global pentru dezvoltare durabilă.</w:t>
      </w:r>
    </w:p>
    <w:p w14:paraId="2B74FD59" w14:textId="77777777" w:rsidR="001C5279" w:rsidRDefault="001C5279" w:rsidP="00D70AEA">
      <w:pPr>
        <w:spacing w:line="276" w:lineRule="auto"/>
        <w:jc w:val="both"/>
        <w:rPr>
          <w:rFonts w:ascii="Arial" w:eastAsia="Calibri" w:hAnsi="Arial" w:cs="Arial"/>
          <w:lang w:val="it-IT" w:eastAsia="ro-RO"/>
        </w:rPr>
      </w:pPr>
    </w:p>
    <w:p w14:paraId="42281799" w14:textId="77777777" w:rsidR="001C5279" w:rsidRPr="001C5279" w:rsidRDefault="001C5279" w:rsidP="001C5279">
      <w:pPr>
        <w:spacing w:line="276" w:lineRule="auto"/>
        <w:jc w:val="both"/>
        <w:rPr>
          <w:rFonts w:ascii="Arial" w:eastAsia="Calibri" w:hAnsi="Arial" w:cs="Arial"/>
          <w:lang w:val="it-IT" w:eastAsia="ro-RO"/>
        </w:rPr>
      </w:pPr>
      <w:r w:rsidRPr="001C5279">
        <w:rPr>
          <w:rFonts w:ascii="Arial" w:eastAsia="Calibri" w:hAnsi="Arial" w:cs="Arial"/>
          <w:lang w:val="it-IT" w:eastAsia="ro-RO"/>
        </w:rPr>
        <w:t>Prin intermediul Obiectivelor Globale, se stabilește o agendă de acțiune ambițioasă pentru orizontul de timp 2030 în vederea eradicării sărăciei extreme, combaterii inegalităților  și a injustiției  și protejării planetei. Așa cum era de așteptat, subiectele de mediu  și cele privind reducerea disparităților prin</w:t>
      </w:r>
      <w:r w:rsidRPr="001C5279">
        <w:t xml:space="preserve"> </w:t>
      </w:r>
      <w:r w:rsidRPr="001C5279">
        <w:rPr>
          <w:rFonts w:ascii="Arial" w:eastAsia="Calibri" w:hAnsi="Arial" w:cs="Arial"/>
          <w:lang w:val="it-IT" w:eastAsia="ro-RO"/>
        </w:rPr>
        <w:t xml:space="preserve">îmbunătățirea infrastructurii și a accesului la servicii mai bune pentru toți cetățenii au primit un caracter strategic.  În acest sens, obiectivele de dezvoltare durabilă  fac referire la mobilitate prin intermediul următoarelor obiective: </w:t>
      </w:r>
    </w:p>
    <w:p w14:paraId="171E2160" w14:textId="77777777" w:rsidR="001C5279" w:rsidRPr="000C7CA7" w:rsidRDefault="001C5279" w:rsidP="000C6CB8">
      <w:pPr>
        <w:pStyle w:val="Listparagraf"/>
        <w:numPr>
          <w:ilvl w:val="0"/>
          <w:numId w:val="193"/>
        </w:numPr>
        <w:spacing w:after="0"/>
        <w:jc w:val="both"/>
        <w:rPr>
          <w:rFonts w:ascii="Arial" w:eastAsia="Calibri" w:hAnsi="Arial" w:cs="Arial"/>
          <w:lang w:val="it-IT" w:eastAsia="ro-RO"/>
        </w:rPr>
      </w:pPr>
      <w:r w:rsidRPr="000C7CA7">
        <w:rPr>
          <w:rFonts w:ascii="Arial" w:eastAsia="Calibri" w:hAnsi="Arial" w:cs="Arial"/>
          <w:lang w:val="it-IT" w:eastAsia="ro-RO"/>
        </w:rPr>
        <w:t xml:space="preserve">Obiectivul DD 9 – Industrie, inovație și infrastructură – Construirea unor infrastructuri rezistente, promovarea industrializării durabile și încurajarea inovației; </w:t>
      </w:r>
    </w:p>
    <w:p w14:paraId="79F31CB7" w14:textId="77777777" w:rsidR="001C5279" w:rsidRPr="000C7CA7" w:rsidRDefault="001C5279" w:rsidP="000C6CB8">
      <w:pPr>
        <w:pStyle w:val="Listparagraf"/>
        <w:numPr>
          <w:ilvl w:val="0"/>
          <w:numId w:val="193"/>
        </w:numPr>
        <w:spacing w:after="0"/>
        <w:jc w:val="both"/>
        <w:rPr>
          <w:rFonts w:ascii="Arial" w:eastAsia="Calibri" w:hAnsi="Arial" w:cs="Arial"/>
          <w:lang w:val="it-IT" w:eastAsia="ro-RO"/>
        </w:rPr>
      </w:pPr>
      <w:r w:rsidRPr="000C7CA7">
        <w:rPr>
          <w:rFonts w:ascii="Arial" w:eastAsia="Calibri" w:hAnsi="Arial" w:cs="Arial"/>
          <w:lang w:val="it-IT" w:eastAsia="ro-RO"/>
        </w:rPr>
        <w:t xml:space="preserve">Obiectivul DD 10 – Inegalități reduse – Reducerea inegalităților în interiorul țărilor și de la o țară la alta; </w:t>
      </w:r>
    </w:p>
    <w:p w14:paraId="7EA18533" w14:textId="77777777" w:rsidR="001C5279" w:rsidRPr="000C7CA7" w:rsidRDefault="001C5279" w:rsidP="000C6CB8">
      <w:pPr>
        <w:pStyle w:val="Listparagraf"/>
        <w:numPr>
          <w:ilvl w:val="0"/>
          <w:numId w:val="193"/>
        </w:numPr>
        <w:spacing w:after="0"/>
        <w:jc w:val="both"/>
        <w:rPr>
          <w:rFonts w:ascii="Arial" w:eastAsia="Calibri" w:hAnsi="Arial" w:cs="Arial"/>
          <w:lang w:val="it-IT" w:eastAsia="ro-RO"/>
        </w:rPr>
      </w:pPr>
      <w:r w:rsidRPr="000C7CA7">
        <w:rPr>
          <w:rFonts w:ascii="Arial" w:eastAsia="Calibri" w:hAnsi="Arial" w:cs="Arial"/>
          <w:lang w:val="it-IT" w:eastAsia="ro-RO"/>
        </w:rPr>
        <w:t xml:space="preserve">Obiectivul DD 11  – Orașe  și comunități </w:t>
      </w:r>
      <w:r w:rsidR="000B7841">
        <w:rPr>
          <w:rFonts w:ascii="Arial" w:eastAsia="Calibri" w:hAnsi="Arial" w:cs="Arial"/>
          <w:lang w:val="it-IT" w:eastAsia="ro-RO"/>
        </w:rPr>
        <w:t>durabile – Dezvoltarea orașelor</w:t>
      </w:r>
      <w:r w:rsidRPr="000C7CA7">
        <w:rPr>
          <w:rFonts w:ascii="Arial" w:eastAsia="Calibri" w:hAnsi="Arial" w:cs="Arial"/>
          <w:lang w:val="it-IT" w:eastAsia="ro-RO"/>
        </w:rPr>
        <w:t xml:space="preserve"> și a așezărilor umane pentru ca ele să fie deschise tuturor, sigure, reziliente și durabile; </w:t>
      </w:r>
    </w:p>
    <w:p w14:paraId="157FE4F3" w14:textId="77777777" w:rsidR="001C5279" w:rsidRPr="000C7CA7" w:rsidRDefault="001C5279" w:rsidP="000C6CB8">
      <w:pPr>
        <w:pStyle w:val="Listparagraf"/>
        <w:numPr>
          <w:ilvl w:val="0"/>
          <w:numId w:val="193"/>
        </w:numPr>
        <w:spacing w:after="0"/>
        <w:jc w:val="both"/>
        <w:rPr>
          <w:rFonts w:ascii="Arial" w:eastAsia="Calibri" w:hAnsi="Arial" w:cs="Arial"/>
          <w:lang w:val="it-IT" w:eastAsia="ro-RO"/>
        </w:rPr>
      </w:pPr>
      <w:r w:rsidRPr="000C7CA7">
        <w:rPr>
          <w:rFonts w:ascii="Arial" w:eastAsia="Calibri" w:hAnsi="Arial" w:cs="Arial"/>
          <w:lang w:val="it-IT" w:eastAsia="ro-RO"/>
        </w:rPr>
        <w:t>Obiectivul DD 13 – Acțiune climatică – Luarea unor măsuri urgente de combatere a schimbărilor climatice și a impactului lor.</w:t>
      </w:r>
    </w:p>
    <w:p w14:paraId="667EF5A6" w14:textId="77777777" w:rsidR="000C7CA7" w:rsidRDefault="000C7CA7" w:rsidP="000C7CA7">
      <w:pPr>
        <w:spacing w:after="0"/>
        <w:jc w:val="both"/>
        <w:rPr>
          <w:rFonts w:ascii="Arial" w:eastAsia="Calibri" w:hAnsi="Arial" w:cs="Arial"/>
          <w:lang w:val="it-IT" w:eastAsia="ro-RO"/>
        </w:rPr>
      </w:pPr>
    </w:p>
    <w:p w14:paraId="2FA2C410" w14:textId="77777777" w:rsidR="000C7CA7" w:rsidRPr="000C7CA7" w:rsidRDefault="000C7CA7" w:rsidP="000C7CA7">
      <w:pPr>
        <w:spacing w:after="0"/>
        <w:jc w:val="both"/>
        <w:rPr>
          <w:rFonts w:ascii="Arial" w:eastAsia="Calibri" w:hAnsi="Arial" w:cs="Arial"/>
          <w:lang w:val="it-IT" w:eastAsia="ro-RO"/>
        </w:rPr>
      </w:pPr>
      <w:r w:rsidRPr="000C7CA7">
        <w:rPr>
          <w:rFonts w:ascii="Arial" w:eastAsia="Calibri" w:hAnsi="Arial" w:cs="Arial"/>
          <w:lang w:val="it-IT" w:eastAsia="ro-RO"/>
        </w:rPr>
        <w:t xml:space="preserve">Dintre acestea, obiectivul de dezvoltare durabilă 11 integrează cel mai mult intervențiile care au ca obiectiv dezvoltarea politicilor de mobilitate urbană  și reducerea emisiilor poluante. Acesta include obiective specifice precum: </w:t>
      </w:r>
    </w:p>
    <w:p w14:paraId="12485CBA" w14:textId="77777777" w:rsidR="000C7CA7" w:rsidRPr="000B7841" w:rsidRDefault="000C7CA7" w:rsidP="000C6CB8">
      <w:pPr>
        <w:pStyle w:val="Listparagraf"/>
        <w:numPr>
          <w:ilvl w:val="0"/>
          <w:numId w:val="194"/>
        </w:numPr>
        <w:spacing w:after="0"/>
        <w:jc w:val="both"/>
        <w:rPr>
          <w:rFonts w:ascii="Arial" w:eastAsia="Calibri" w:hAnsi="Arial" w:cs="Arial"/>
          <w:lang w:val="it-IT" w:eastAsia="ro-RO"/>
        </w:rPr>
      </w:pPr>
      <w:r w:rsidRPr="000B7841">
        <w:rPr>
          <w:rFonts w:ascii="Arial" w:eastAsia="Calibri" w:hAnsi="Arial" w:cs="Arial"/>
          <w:lang w:val="it-IT" w:eastAsia="ro-RO"/>
        </w:rPr>
        <w:t xml:space="preserve">11.2 – Asigurarea accesului la sisteme de transport sigure, accesibile  și sustenabile pentru toți, îmbunătățind siguranța rutieră, în special prin extinderea transportului public, acordând o atenție deosebită nevoilor celor din situații vulnerabile, femeilor și copiilor, persoanelor cu dizabilități și persoanelor în etate, până în 2030; </w:t>
      </w:r>
    </w:p>
    <w:p w14:paraId="7D1A06E9" w14:textId="77777777" w:rsidR="000C7CA7" w:rsidRPr="000B7841" w:rsidRDefault="000C7CA7" w:rsidP="000C6CB8">
      <w:pPr>
        <w:pStyle w:val="Listparagraf"/>
        <w:numPr>
          <w:ilvl w:val="0"/>
          <w:numId w:val="194"/>
        </w:numPr>
        <w:spacing w:after="0"/>
        <w:jc w:val="both"/>
        <w:rPr>
          <w:rFonts w:ascii="Arial" w:eastAsia="Calibri" w:hAnsi="Arial" w:cs="Arial"/>
          <w:lang w:val="it-IT" w:eastAsia="ro-RO"/>
        </w:rPr>
      </w:pPr>
      <w:r w:rsidRPr="000B7841">
        <w:rPr>
          <w:rFonts w:ascii="Arial" w:eastAsia="Calibri" w:hAnsi="Arial" w:cs="Arial"/>
          <w:lang w:val="it-IT" w:eastAsia="ro-RO"/>
        </w:rPr>
        <w:t xml:space="preserve">11.3 – Consolidarea urbanizării incluzive și durabile și a capacității de planificare și gestionare a așezărilor umane pe baze participative, integrate și sustenabile în toate țările, până în 2030; </w:t>
      </w:r>
    </w:p>
    <w:p w14:paraId="6A881373" w14:textId="77777777" w:rsidR="000C7CA7" w:rsidRPr="000B7841" w:rsidRDefault="000C7CA7" w:rsidP="000C6CB8">
      <w:pPr>
        <w:pStyle w:val="Listparagraf"/>
        <w:numPr>
          <w:ilvl w:val="0"/>
          <w:numId w:val="194"/>
        </w:numPr>
        <w:spacing w:after="0"/>
        <w:jc w:val="both"/>
        <w:rPr>
          <w:rFonts w:ascii="Arial" w:eastAsia="Calibri" w:hAnsi="Arial" w:cs="Arial"/>
          <w:lang w:val="it-IT" w:eastAsia="ro-RO"/>
        </w:rPr>
      </w:pPr>
      <w:r w:rsidRPr="000B7841">
        <w:rPr>
          <w:rFonts w:ascii="Arial" w:eastAsia="Calibri" w:hAnsi="Arial" w:cs="Arial"/>
          <w:lang w:val="it-IT" w:eastAsia="ro-RO"/>
        </w:rPr>
        <w:t xml:space="preserve">11.6  –  Reducerea impactului negativ asupra locuitorilor orașelor, inclusiv acordând o atenție deosebită calității aerului și gestionării municipale a deșeurilor; </w:t>
      </w:r>
    </w:p>
    <w:p w14:paraId="015F17E5" w14:textId="77777777" w:rsidR="000C7CA7" w:rsidRPr="000B7841" w:rsidRDefault="000C7CA7" w:rsidP="000C6CB8">
      <w:pPr>
        <w:pStyle w:val="Listparagraf"/>
        <w:numPr>
          <w:ilvl w:val="0"/>
          <w:numId w:val="194"/>
        </w:numPr>
        <w:spacing w:after="0"/>
        <w:jc w:val="both"/>
        <w:rPr>
          <w:rFonts w:ascii="Arial" w:eastAsia="Calibri" w:hAnsi="Arial" w:cs="Arial"/>
          <w:lang w:val="it-IT" w:eastAsia="ro-RO"/>
        </w:rPr>
      </w:pPr>
      <w:r w:rsidRPr="000B7841">
        <w:rPr>
          <w:rFonts w:ascii="Arial" w:eastAsia="Calibri" w:hAnsi="Arial" w:cs="Arial"/>
          <w:lang w:val="it-IT" w:eastAsia="ro-RO"/>
        </w:rPr>
        <w:t xml:space="preserve">11.A – Susținerea legăturilor economice, sociale  și de mediu pozitive între zonele urbane, peri-urbane  și cele rurale prin consolidarea capacității de planificare a dezvoltării la nivel național  și regional; </w:t>
      </w:r>
    </w:p>
    <w:p w14:paraId="38245BFF" w14:textId="77777777" w:rsidR="000C7CA7" w:rsidRPr="000B7841" w:rsidRDefault="000C7CA7" w:rsidP="000C6CB8">
      <w:pPr>
        <w:pStyle w:val="Listparagraf"/>
        <w:numPr>
          <w:ilvl w:val="0"/>
          <w:numId w:val="194"/>
        </w:numPr>
        <w:spacing w:after="0"/>
        <w:jc w:val="both"/>
        <w:rPr>
          <w:rFonts w:ascii="Arial" w:eastAsia="Calibri" w:hAnsi="Arial" w:cs="Arial"/>
          <w:lang w:val="it-IT" w:eastAsia="ro-RO"/>
        </w:rPr>
      </w:pPr>
      <w:r w:rsidRPr="000B7841">
        <w:rPr>
          <w:rFonts w:ascii="Arial" w:eastAsia="Calibri" w:hAnsi="Arial" w:cs="Arial"/>
          <w:lang w:val="it-IT" w:eastAsia="ro-RO"/>
        </w:rPr>
        <w:lastRenderedPageBreak/>
        <w:t>11.B – Creșterea substanțială a numărului de orașe și așezări umane care adoptă și implementează politici  și planuri integrate în vederea incluziunii, eficienței resurselor, atenuării  și adaptării la schimbările climatice, reziliența la dezastre și dezvoltarea și punerea în aplicare, în conformitate cu Cadrul de la Sendai pentru Reducerea Riscului de Dezastre 2015-2030, a politicilor de gestionare holistică a riscului de dezastre la toate nivelurile.</w:t>
      </w:r>
    </w:p>
    <w:p w14:paraId="65EA1B21" w14:textId="77777777" w:rsidR="000C7CA7" w:rsidRDefault="000C7CA7" w:rsidP="000C7CA7">
      <w:pPr>
        <w:spacing w:after="0"/>
        <w:jc w:val="both"/>
        <w:rPr>
          <w:rFonts w:ascii="Arial" w:eastAsia="Calibri" w:hAnsi="Arial" w:cs="Arial"/>
          <w:lang w:val="it-IT" w:eastAsia="ro-RO"/>
        </w:rPr>
      </w:pPr>
    </w:p>
    <w:p w14:paraId="611FAFF5" w14:textId="7576512E" w:rsidR="000C7CA7" w:rsidRDefault="000C7CA7" w:rsidP="000C7CA7">
      <w:pPr>
        <w:spacing w:after="0"/>
        <w:jc w:val="both"/>
        <w:rPr>
          <w:rFonts w:ascii="Arial" w:eastAsia="Calibri" w:hAnsi="Arial" w:cs="Arial"/>
          <w:lang w:val="it-IT" w:eastAsia="ro-RO"/>
        </w:rPr>
      </w:pPr>
      <w:r w:rsidRPr="000C7CA7">
        <w:rPr>
          <w:rFonts w:ascii="Arial" w:eastAsia="Calibri" w:hAnsi="Arial" w:cs="Arial"/>
          <w:lang w:val="it-IT" w:eastAsia="ro-RO"/>
        </w:rPr>
        <w:t>Obiectivele de Dezvoltare Durabilă stabilite de ONU la nivel mondial, destinate politicilor de dezvoltare urbană durabilă au fost adoptate în cadrul Conferinței Habitat III a ONU sub denumirea de NOUA AGENDĂ URBANĂ</w:t>
      </w:r>
      <w:r w:rsidR="0093594A">
        <w:rPr>
          <w:rStyle w:val="Referinnotdesubsol"/>
          <w:rFonts w:ascii="Arial" w:eastAsia="Calibri" w:hAnsi="Arial" w:cs="Arial"/>
          <w:lang w:val="it-IT" w:eastAsia="ro-RO"/>
        </w:rPr>
        <w:footnoteReference w:id="2"/>
      </w:r>
      <w:r w:rsidRPr="000C7CA7">
        <w:rPr>
          <w:rFonts w:ascii="Arial" w:eastAsia="Calibri" w:hAnsi="Arial" w:cs="Arial"/>
          <w:lang w:val="it-IT" w:eastAsia="ro-RO"/>
        </w:rPr>
        <w:t xml:space="preserve">. Aceasta conține orientările necesare pentru ca orașele din toată  lumea să  fie mai favorabile incluziunii, mai ecologice, mai sigure și mai prospere.  </w:t>
      </w:r>
    </w:p>
    <w:p w14:paraId="17AE2438" w14:textId="77777777" w:rsidR="000C7CA7" w:rsidRDefault="000C7CA7" w:rsidP="000C7CA7">
      <w:pPr>
        <w:spacing w:after="0"/>
        <w:jc w:val="both"/>
        <w:rPr>
          <w:rFonts w:ascii="Arial" w:eastAsia="Calibri" w:hAnsi="Arial" w:cs="Arial"/>
          <w:lang w:val="it-IT" w:eastAsia="ro-RO"/>
        </w:rPr>
      </w:pPr>
    </w:p>
    <w:p w14:paraId="0EB0467F" w14:textId="2F72A5F9" w:rsidR="00D70AEA" w:rsidRDefault="00D70AEA" w:rsidP="000C7CA7">
      <w:pPr>
        <w:spacing w:after="0"/>
        <w:jc w:val="both"/>
        <w:rPr>
          <w:rFonts w:ascii="Arial" w:eastAsia="Calibri" w:hAnsi="Arial" w:cs="Arial"/>
          <w:lang w:val="it-IT" w:eastAsia="ro-RO"/>
        </w:rPr>
      </w:pPr>
      <w:r w:rsidRPr="000C7CA7">
        <w:rPr>
          <w:rFonts w:ascii="Arial" w:eastAsia="Calibri" w:hAnsi="Arial" w:cs="Arial"/>
          <w:lang w:val="it-IT" w:eastAsia="ro-RO"/>
        </w:rPr>
        <w:t>Planul de mobilitate urbană durabilă este un instrument absolut necesar în sensul politicii europene pentru mobilitate urbană stabilită prin Cartea Albă a Transporturilor și Cartea Verde „Către o nouă cultură a mobilităţii urbane”</w:t>
      </w:r>
      <w:r w:rsidR="0093594A">
        <w:rPr>
          <w:rStyle w:val="Referinnotdesubsol"/>
          <w:rFonts w:ascii="Arial" w:eastAsia="Calibri" w:hAnsi="Arial" w:cs="Arial"/>
          <w:lang w:val="it-IT" w:eastAsia="ro-RO"/>
        </w:rPr>
        <w:footnoteReference w:id="3"/>
      </w:r>
      <w:r w:rsidRPr="000C7CA7">
        <w:rPr>
          <w:rFonts w:ascii="Arial" w:eastAsia="Calibri" w:hAnsi="Arial" w:cs="Arial"/>
          <w:lang w:val="it-IT" w:eastAsia="ro-RO"/>
        </w:rPr>
        <w:t>.</w:t>
      </w:r>
    </w:p>
    <w:p w14:paraId="1B8D3AEC" w14:textId="77777777" w:rsidR="001715C5" w:rsidRPr="000C7CA7" w:rsidRDefault="001715C5" w:rsidP="000C7CA7">
      <w:pPr>
        <w:spacing w:after="0"/>
        <w:jc w:val="both"/>
        <w:rPr>
          <w:rFonts w:ascii="Arial" w:eastAsia="Calibri" w:hAnsi="Arial" w:cs="Arial"/>
          <w:lang w:val="it-IT" w:eastAsia="ro-RO"/>
        </w:rPr>
      </w:pPr>
    </w:p>
    <w:p w14:paraId="141A3FD6" w14:textId="77777777" w:rsidR="00D70AEA" w:rsidRPr="00D70AEA" w:rsidRDefault="00CD54DA" w:rsidP="00D70AEA">
      <w:pPr>
        <w:spacing w:line="276" w:lineRule="auto"/>
        <w:jc w:val="both"/>
        <w:rPr>
          <w:rFonts w:ascii="Arial" w:eastAsia="Calibri" w:hAnsi="Arial" w:cs="Arial"/>
          <w:lang w:val="it-IT" w:eastAsia="ro-RO"/>
        </w:rPr>
      </w:pPr>
      <w:r>
        <w:rPr>
          <w:rFonts w:ascii="Arial" w:eastAsia="Calibri" w:hAnsi="Arial" w:cs="Arial"/>
          <w:lang w:val="it-IT" w:eastAsia="ro-RO"/>
        </w:rPr>
        <w:t>Planul de Mobilitate Urbană Durabilă</w:t>
      </w:r>
      <w:r w:rsidR="00D70AEA" w:rsidRPr="00D70AEA">
        <w:rPr>
          <w:rFonts w:ascii="Arial" w:eastAsia="Calibri" w:hAnsi="Arial" w:cs="Arial"/>
          <w:lang w:val="it-IT" w:eastAsia="ro-RO"/>
        </w:rPr>
        <w:t xml:space="preserve"> </w:t>
      </w:r>
      <w:r>
        <w:rPr>
          <w:rFonts w:ascii="Arial" w:eastAsia="Calibri" w:hAnsi="Arial" w:cs="Arial"/>
          <w:lang w:val="it-IT" w:eastAsia="ro-RO"/>
        </w:rPr>
        <w:t>al Oraşului</w:t>
      </w:r>
      <w:r w:rsidR="00D70AEA" w:rsidRPr="00D70AEA">
        <w:rPr>
          <w:rFonts w:ascii="Arial" w:eastAsia="Calibri" w:hAnsi="Arial" w:cs="Arial"/>
          <w:lang w:val="it-IT" w:eastAsia="ro-RO"/>
        </w:rPr>
        <w:t xml:space="preserve"> </w:t>
      </w:r>
      <w:r>
        <w:rPr>
          <w:rFonts w:ascii="Arial" w:eastAsia="Calibri" w:hAnsi="Arial" w:cs="Arial"/>
          <w:lang w:val="it-IT" w:eastAsia="ro-RO"/>
        </w:rPr>
        <w:t xml:space="preserve">Horezu </w:t>
      </w:r>
      <w:r w:rsidR="00E66CFB">
        <w:rPr>
          <w:rFonts w:ascii="Arial" w:eastAsia="Calibri" w:hAnsi="Arial" w:cs="Arial"/>
          <w:lang w:val="it-IT" w:eastAsia="ro-RO"/>
        </w:rPr>
        <w:t>asigură</w:t>
      </w:r>
      <w:r w:rsidR="00D70AEA" w:rsidRPr="00D70AEA">
        <w:rPr>
          <w:rFonts w:ascii="Arial" w:eastAsia="Calibri" w:hAnsi="Arial" w:cs="Arial"/>
          <w:lang w:val="it-IT" w:eastAsia="ro-RO"/>
        </w:rPr>
        <w:t xml:space="preserve"> aplicarea conceptelor europene de planificare şi management pentru mobilitatea urbană durabilă, adaptate la particularităţile mediului urban din </w:t>
      </w:r>
      <w:r>
        <w:rPr>
          <w:rFonts w:ascii="Arial" w:eastAsia="Calibri" w:hAnsi="Arial" w:cs="Arial"/>
          <w:lang w:val="it-IT" w:eastAsia="ro-RO"/>
        </w:rPr>
        <w:t>Horezu</w:t>
      </w:r>
      <w:r w:rsidR="00D70AEA" w:rsidRPr="00D70AEA">
        <w:rPr>
          <w:rFonts w:ascii="Arial" w:eastAsia="Calibri" w:hAnsi="Arial" w:cs="Arial"/>
          <w:lang w:val="it-IT" w:eastAsia="ro-RO"/>
        </w:rPr>
        <w:t>, incluzând proiectele şi măsurile de îmbunătăţire a mobilităţii pe termen scurt, mediu şi lung, planul de acţiune şi posibilele surse de finanţare a proiectelor şi măsurilor propuse.</w:t>
      </w:r>
    </w:p>
    <w:p w14:paraId="4E0FAEE3" w14:textId="77777777" w:rsidR="00D70AEA" w:rsidRPr="00D70AEA" w:rsidRDefault="00537880" w:rsidP="00D70AEA">
      <w:pPr>
        <w:autoSpaceDE w:val="0"/>
        <w:spacing w:after="0" w:line="276" w:lineRule="auto"/>
        <w:jc w:val="both"/>
        <w:rPr>
          <w:rFonts w:ascii="Arial" w:eastAsia="Times New Roman" w:hAnsi="Arial" w:cs="Arial"/>
          <w:bCs/>
          <w:lang w:val="en-GB" w:eastAsia="ro-RO"/>
        </w:rPr>
      </w:pPr>
      <w:r>
        <w:rPr>
          <w:rFonts w:ascii="Arial" w:eastAsia="Times New Roman" w:hAnsi="Arial" w:cs="Arial"/>
          <w:bCs/>
          <w:iCs/>
          <w:lang w:val="en-GB" w:eastAsia="ro-RO"/>
        </w:rPr>
        <w:t>Întocmirea</w:t>
      </w:r>
      <w:r w:rsidR="00D70AEA" w:rsidRPr="00D70AEA">
        <w:rPr>
          <w:rFonts w:ascii="Arial" w:eastAsia="Times New Roman" w:hAnsi="Arial" w:cs="Arial"/>
          <w:bCs/>
          <w:iCs/>
          <w:lang w:val="en-GB" w:eastAsia="ro-RO"/>
        </w:rPr>
        <w:t xml:space="preserve"> Planului de Mobilitate Urbană Durabilă</w:t>
      </w:r>
      <w:r w:rsidR="00D70AEA" w:rsidRPr="00D70AEA">
        <w:rPr>
          <w:rFonts w:ascii="Arial" w:eastAsia="Times New Roman" w:hAnsi="Arial" w:cs="Arial"/>
          <w:b/>
          <w:bCs/>
          <w:iCs/>
          <w:lang w:val="en-GB" w:eastAsia="ro-RO"/>
        </w:rPr>
        <w:t xml:space="preserve"> </w:t>
      </w:r>
      <w:r w:rsidR="00D70AEA" w:rsidRPr="00D70AEA">
        <w:rPr>
          <w:rFonts w:ascii="Arial" w:eastAsia="Times New Roman" w:hAnsi="Arial" w:cs="Arial"/>
          <w:bCs/>
          <w:iCs/>
          <w:lang w:val="en-GB" w:eastAsia="ro-RO"/>
        </w:rPr>
        <w:t>v</w:t>
      </w:r>
      <w:r w:rsidR="00D70AEA" w:rsidRPr="00D70AEA">
        <w:rPr>
          <w:rFonts w:ascii="Arial" w:eastAsia="Times New Roman" w:hAnsi="Arial" w:cs="Arial"/>
          <w:bCs/>
          <w:lang w:val="en-GB" w:eastAsia="ro-RO"/>
        </w:rPr>
        <w:t xml:space="preserve">izează realizarea unui </w:t>
      </w:r>
      <w:r w:rsidR="00D70AEA" w:rsidRPr="00D70AEA">
        <w:rPr>
          <w:rFonts w:ascii="Arial" w:eastAsia="Times New Roman" w:hAnsi="Arial" w:cs="Arial"/>
          <w:i/>
          <w:lang w:val="en-GB" w:eastAsia="ro-RO"/>
        </w:rPr>
        <w:t>sistem de transport urban</w:t>
      </w:r>
      <w:r w:rsidR="00D70AEA" w:rsidRPr="00D70AEA">
        <w:rPr>
          <w:rFonts w:ascii="Arial" w:eastAsia="Times New Roman" w:hAnsi="Arial" w:cs="Arial"/>
          <w:lang w:val="en-GB" w:eastAsia="ro-RO"/>
        </w:rPr>
        <w:t xml:space="preserve"> </w:t>
      </w:r>
      <w:r w:rsidR="00D70AEA" w:rsidRPr="00D70AEA">
        <w:rPr>
          <w:rFonts w:ascii="Arial" w:eastAsia="Times New Roman" w:hAnsi="Arial" w:cs="Arial"/>
          <w:i/>
          <w:lang w:val="en-GB" w:eastAsia="ro-RO"/>
        </w:rPr>
        <w:t xml:space="preserve">sustenabil </w:t>
      </w:r>
      <w:r w:rsidR="00D70AEA" w:rsidRPr="00D70AEA">
        <w:rPr>
          <w:rFonts w:ascii="Arial" w:eastAsia="Times New Roman" w:hAnsi="Arial" w:cs="Arial"/>
          <w:lang w:val="en-GB" w:eastAsia="ro-RO"/>
        </w:rPr>
        <w:t>prin abordarea următoarelor obiective</w:t>
      </w:r>
      <w:r w:rsidR="00D70AEA" w:rsidRPr="00E66CFB">
        <w:rPr>
          <w:rFonts w:ascii="Arial" w:eastAsia="Times New Roman" w:hAnsi="Arial" w:cs="Arial"/>
          <w:bCs/>
          <w:lang w:val="en-GB" w:eastAsia="ro-RO"/>
        </w:rPr>
        <w:t>:</w:t>
      </w:r>
    </w:p>
    <w:p w14:paraId="4AB51281" w14:textId="77777777" w:rsidR="00D70AEA" w:rsidRPr="00D70AEA" w:rsidRDefault="00D70AEA" w:rsidP="006B613A">
      <w:pPr>
        <w:numPr>
          <w:ilvl w:val="0"/>
          <w:numId w:val="5"/>
        </w:numPr>
        <w:tabs>
          <w:tab w:val="left" w:pos="628"/>
        </w:tabs>
        <w:suppressAutoHyphens/>
        <w:autoSpaceDE w:val="0"/>
        <w:spacing w:after="0" w:line="276" w:lineRule="auto"/>
        <w:ind w:left="630" w:hanging="284"/>
        <w:jc w:val="both"/>
        <w:rPr>
          <w:rFonts w:ascii="Arial" w:eastAsia="Times New Roman" w:hAnsi="Arial" w:cs="Arial"/>
          <w:bCs/>
          <w:lang w:val="en-GB" w:eastAsia="ro-RO"/>
        </w:rPr>
      </w:pPr>
      <w:r w:rsidRPr="00D70AEA">
        <w:rPr>
          <w:rFonts w:ascii="Arial" w:eastAsia="Times New Roman" w:hAnsi="Arial" w:cs="Arial"/>
          <w:bCs/>
          <w:lang w:val="en-GB" w:eastAsia="ro-RO"/>
        </w:rPr>
        <w:t>Asigurarea accesibilității oferită de către sistemul de transport tuturor;</w:t>
      </w:r>
    </w:p>
    <w:p w14:paraId="1F93C91D" w14:textId="77777777" w:rsidR="00D70AEA" w:rsidRPr="00D70AEA" w:rsidRDefault="00D70AEA" w:rsidP="006B613A">
      <w:pPr>
        <w:numPr>
          <w:ilvl w:val="0"/>
          <w:numId w:val="5"/>
        </w:numPr>
        <w:tabs>
          <w:tab w:val="left" w:pos="628"/>
        </w:tabs>
        <w:suppressAutoHyphens/>
        <w:autoSpaceDE w:val="0"/>
        <w:spacing w:after="0" w:line="276" w:lineRule="auto"/>
        <w:ind w:left="630" w:hanging="284"/>
        <w:jc w:val="both"/>
        <w:rPr>
          <w:rFonts w:ascii="Arial" w:eastAsia="Times New Roman" w:hAnsi="Arial" w:cs="Arial"/>
          <w:bCs/>
          <w:lang w:val="en-GB" w:eastAsia="ro-RO"/>
        </w:rPr>
      </w:pPr>
      <w:r w:rsidRPr="00D70AEA">
        <w:rPr>
          <w:rFonts w:ascii="Arial" w:eastAsia="Times New Roman" w:hAnsi="Arial" w:cs="Arial"/>
          <w:bCs/>
          <w:lang w:val="en-GB" w:eastAsia="ro-RO"/>
        </w:rPr>
        <w:t>Reducerea impactului negativ al sistemului de transport asupra sănătății, siguranței și securității cetățenilor, în special a celor mai vulnerabili;</w:t>
      </w:r>
    </w:p>
    <w:p w14:paraId="039726BE" w14:textId="77777777" w:rsidR="00D70AEA" w:rsidRPr="00D70AEA" w:rsidRDefault="00D70AEA" w:rsidP="006B613A">
      <w:pPr>
        <w:numPr>
          <w:ilvl w:val="0"/>
          <w:numId w:val="5"/>
        </w:numPr>
        <w:tabs>
          <w:tab w:val="left" w:pos="628"/>
        </w:tabs>
        <w:suppressAutoHyphens/>
        <w:autoSpaceDE w:val="0"/>
        <w:spacing w:after="0" w:line="276" w:lineRule="auto"/>
        <w:ind w:left="630" w:hanging="284"/>
        <w:jc w:val="both"/>
        <w:rPr>
          <w:rFonts w:ascii="Arial" w:eastAsia="Times New Roman" w:hAnsi="Arial" w:cs="Arial"/>
          <w:bCs/>
          <w:lang w:val="en-GB" w:eastAsia="ro-RO"/>
        </w:rPr>
      </w:pPr>
      <w:r w:rsidRPr="00D70AEA">
        <w:rPr>
          <w:rFonts w:ascii="Arial" w:eastAsia="Times New Roman" w:hAnsi="Arial" w:cs="Arial"/>
          <w:bCs/>
          <w:lang w:val="en-GB" w:eastAsia="ro-RO"/>
        </w:rPr>
        <w:t>Reducerea poluării aerului și a poluării fonice, a emisiilor de gaze cu efect de seră și a consumului de energie;</w:t>
      </w:r>
    </w:p>
    <w:p w14:paraId="58B60C42" w14:textId="77777777" w:rsidR="00D70AEA" w:rsidRPr="00D70AEA" w:rsidRDefault="00D70AEA" w:rsidP="006B613A">
      <w:pPr>
        <w:numPr>
          <w:ilvl w:val="0"/>
          <w:numId w:val="5"/>
        </w:numPr>
        <w:tabs>
          <w:tab w:val="left" w:pos="628"/>
        </w:tabs>
        <w:suppressAutoHyphens/>
        <w:autoSpaceDE w:val="0"/>
        <w:spacing w:after="0" w:line="276" w:lineRule="auto"/>
        <w:ind w:left="630" w:hanging="284"/>
        <w:jc w:val="both"/>
        <w:rPr>
          <w:rFonts w:ascii="Arial" w:eastAsia="Times New Roman" w:hAnsi="Arial" w:cs="Arial"/>
          <w:bCs/>
          <w:lang w:val="en-GB" w:eastAsia="ro-RO"/>
        </w:rPr>
      </w:pPr>
      <w:r w:rsidRPr="00D70AEA">
        <w:rPr>
          <w:rFonts w:ascii="Arial" w:eastAsia="Times New Roman" w:hAnsi="Arial" w:cs="Arial"/>
          <w:bCs/>
          <w:lang w:val="en-GB" w:eastAsia="ro-RO"/>
        </w:rPr>
        <w:t>Îmbunătățirea eficienței și a raportului cost-eficiență ale transportului de persoane și bunuri, luând în considerare costurile externe;</w:t>
      </w:r>
    </w:p>
    <w:p w14:paraId="5B011385" w14:textId="77777777" w:rsidR="00D70AEA" w:rsidRPr="00D70AEA" w:rsidRDefault="00D70AEA" w:rsidP="006B613A">
      <w:pPr>
        <w:numPr>
          <w:ilvl w:val="0"/>
          <w:numId w:val="5"/>
        </w:numPr>
        <w:tabs>
          <w:tab w:val="left" w:pos="628"/>
        </w:tabs>
        <w:suppressAutoHyphens/>
        <w:autoSpaceDE w:val="0"/>
        <w:spacing w:after="0" w:line="276" w:lineRule="auto"/>
        <w:ind w:left="630" w:hanging="284"/>
        <w:jc w:val="both"/>
        <w:rPr>
          <w:rFonts w:ascii="Arial" w:eastAsia="Times New Roman" w:hAnsi="Arial" w:cs="Arial"/>
          <w:bCs/>
          <w:lang w:val="en-GB" w:eastAsia="ro-RO"/>
        </w:rPr>
      </w:pPr>
      <w:r w:rsidRPr="00D70AEA">
        <w:rPr>
          <w:rFonts w:ascii="Arial" w:eastAsia="Times New Roman" w:hAnsi="Arial" w:cs="Arial"/>
          <w:bCs/>
          <w:lang w:val="en-GB" w:eastAsia="ro-RO"/>
        </w:rPr>
        <w:t>Contribuți</w:t>
      </w:r>
      <w:r w:rsidR="008B7511">
        <w:rPr>
          <w:rFonts w:ascii="Arial" w:eastAsia="Times New Roman" w:hAnsi="Arial" w:cs="Arial"/>
          <w:bCs/>
          <w:lang w:val="en-GB" w:eastAsia="ro-RO"/>
        </w:rPr>
        <w:t>a</w:t>
      </w:r>
      <w:r w:rsidRPr="00D70AEA">
        <w:rPr>
          <w:rFonts w:ascii="Arial" w:eastAsia="Times New Roman" w:hAnsi="Arial" w:cs="Arial"/>
          <w:bCs/>
          <w:lang w:val="en-GB" w:eastAsia="ro-RO"/>
        </w:rPr>
        <w:t xml:space="preserve"> </w:t>
      </w:r>
      <w:r w:rsidR="008B7511">
        <w:rPr>
          <w:rFonts w:ascii="Arial" w:eastAsia="Times New Roman" w:hAnsi="Arial" w:cs="Arial"/>
          <w:bCs/>
          <w:lang w:val="en-GB" w:eastAsia="ro-RO"/>
        </w:rPr>
        <w:t>la</w:t>
      </w:r>
      <w:r w:rsidRPr="00D70AEA">
        <w:rPr>
          <w:rFonts w:ascii="Arial" w:eastAsia="Times New Roman" w:hAnsi="Arial" w:cs="Arial"/>
          <w:bCs/>
          <w:lang w:val="en-GB" w:eastAsia="ro-RO"/>
        </w:rPr>
        <w:t xml:space="preserve"> creșter</w:t>
      </w:r>
      <w:r w:rsidR="008B7511">
        <w:rPr>
          <w:rFonts w:ascii="Arial" w:eastAsia="Times New Roman" w:hAnsi="Arial" w:cs="Arial"/>
          <w:bCs/>
          <w:lang w:val="en-GB" w:eastAsia="ro-RO"/>
        </w:rPr>
        <w:t>ea</w:t>
      </w:r>
      <w:r w:rsidRPr="00D70AEA">
        <w:rPr>
          <w:rFonts w:ascii="Arial" w:eastAsia="Times New Roman" w:hAnsi="Arial" w:cs="Arial"/>
          <w:bCs/>
          <w:lang w:val="en-GB" w:eastAsia="ro-RO"/>
        </w:rPr>
        <w:t xml:space="preserve"> atractivității și calității mediului urban.</w:t>
      </w:r>
    </w:p>
    <w:p w14:paraId="5356C376" w14:textId="77777777" w:rsidR="00D70AEA" w:rsidRPr="00D70AEA" w:rsidRDefault="00D70AEA" w:rsidP="00D70AEA">
      <w:pPr>
        <w:widowControl w:val="0"/>
        <w:spacing w:after="0" w:line="276" w:lineRule="auto"/>
        <w:jc w:val="both"/>
        <w:rPr>
          <w:rFonts w:ascii="Arial" w:eastAsia="Arial Narrow" w:hAnsi="Arial" w:cs="Arial"/>
          <w:color w:val="000000"/>
          <w:lang w:val="ro-RO"/>
        </w:rPr>
      </w:pPr>
    </w:p>
    <w:p w14:paraId="42956028" w14:textId="34F1D9F9" w:rsidR="00D70AEA" w:rsidRPr="00D70AEA" w:rsidRDefault="00D70AEA" w:rsidP="00D70AEA">
      <w:pPr>
        <w:autoSpaceDE w:val="0"/>
        <w:spacing w:after="0" w:line="276" w:lineRule="auto"/>
        <w:jc w:val="both"/>
        <w:rPr>
          <w:rFonts w:ascii="Arial" w:eastAsia="Times New Roman" w:hAnsi="Arial" w:cs="Arial"/>
          <w:bCs/>
          <w:lang w:val="en-GB" w:eastAsia="ro-RO"/>
        </w:rPr>
      </w:pPr>
      <w:r w:rsidRPr="00D70AEA">
        <w:rPr>
          <w:rFonts w:ascii="Arial" w:eastAsia="Times New Roman" w:hAnsi="Arial" w:cs="Arial"/>
          <w:bCs/>
          <w:lang w:val="en-GB" w:eastAsia="ro-RO"/>
        </w:rPr>
        <w:t>Ghidul de elaborare si dezvoltare a Planurilor de Mobilitate Urbană Durabilă (ediția a 2-a)</w:t>
      </w:r>
      <w:r w:rsidR="001D0800">
        <w:rPr>
          <w:rStyle w:val="Referinnotdesubsol"/>
          <w:rFonts w:ascii="Arial" w:eastAsia="Times New Roman" w:hAnsi="Arial" w:cs="Arial"/>
          <w:bCs/>
          <w:lang w:val="en-GB" w:eastAsia="ro-RO"/>
        </w:rPr>
        <w:footnoteReference w:id="4"/>
      </w:r>
      <w:r w:rsidRPr="00D70AEA">
        <w:rPr>
          <w:rFonts w:ascii="Arial" w:eastAsia="Times New Roman" w:hAnsi="Arial" w:cs="Arial"/>
          <w:bCs/>
          <w:lang w:val="en-GB" w:eastAsia="ro-RO"/>
        </w:rPr>
        <w:t xml:space="preserve"> va sta la baza </w:t>
      </w:r>
      <w:r w:rsidR="00E66CFB">
        <w:rPr>
          <w:rFonts w:ascii="Arial" w:eastAsia="Times New Roman" w:hAnsi="Arial" w:cs="Arial"/>
          <w:bCs/>
          <w:lang w:val="en-GB" w:eastAsia="ro-RO"/>
        </w:rPr>
        <w:t>întocmirii</w:t>
      </w:r>
      <w:r w:rsidRPr="00D70AEA">
        <w:rPr>
          <w:rFonts w:ascii="Arial" w:eastAsia="Times New Roman" w:hAnsi="Arial" w:cs="Arial"/>
          <w:bCs/>
          <w:lang w:val="en-GB" w:eastAsia="ro-RO"/>
        </w:rPr>
        <w:t xml:space="preserve"> PMUD </w:t>
      </w:r>
      <w:r w:rsidR="00E66CFB">
        <w:rPr>
          <w:rFonts w:ascii="Arial" w:eastAsia="Times New Roman" w:hAnsi="Arial" w:cs="Arial"/>
          <w:bCs/>
          <w:lang w:val="en-GB" w:eastAsia="ro-RO"/>
        </w:rPr>
        <w:t>al oraşului Horezu</w:t>
      </w:r>
      <w:r w:rsidRPr="00D70AEA">
        <w:rPr>
          <w:rFonts w:ascii="Arial" w:eastAsia="Times New Roman" w:hAnsi="Arial" w:cs="Arial"/>
          <w:bCs/>
          <w:lang w:val="en-GB" w:eastAsia="ro-RO"/>
        </w:rPr>
        <w:t>. Pe scurt, demersurile care au condus la definitivarea acestui ghid de-a lungul timpului</w:t>
      </w:r>
      <w:r w:rsidR="00E66CFB">
        <w:rPr>
          <w:rFonts w:ascii="Arial" w:eastAsia="Times New Roman" w:hAnsi="Arial" w:cs="Arial"/>
          <w:bCs/>
          <w:lang w:val="en-GB" w:eastAsia="ro-RO"/>
        </w:rPr>
        <w:t xml:space="preserve"> au fost reprezentate de</w:t>
      </w:r>
      <w:r w:rsidRPr="00D70AEA">
        <w:rPr>
          <w:rFonts w:ascii="Arial" w:eastAsia="Times New Roman" w:hAnsi="Arial" w:cs="Arial"/>
          <w:bCs/>
          <w:lang w:val="en-GB" w:eastAsia="ro-RO"/>
        </w:rPr>
        <w:t>:</w:t>
      </w:r>
    </w:p>
    <w:p w14:paraId="7796B3A6" w14:textId="77777777" w:rsidR="00D70AEA" w:rsidRPr="00D70AEA" w:rsidRDefault="00D70AEA" w:rsidP="006B613A">
      <w:pPr>
        <w:numPr>
          <w:ilvl w:val="0"/>
          <w:numId w:val="6"/>
        </w:numPr>
        <w:autoSpaceDE w:val="0"/>
        <w:spacing w:after="0" w:line="276" w:lineRule="auto"/>
        <w:contextualSpacing/>
        <w:jc w:val="both"/>
        <w:rPr>
          <w:rFonts w:ascii="Arial" w:eastAsia="Times New Roman" w:hAnsi="Arial" w:cs="Arial"/>
          <w:bCs/>
          <w:lang w:val="en-GB" w:eastAsia="ro-RO"/>
        </w:rPr>
      </w:pPr>
      <w:r w:rsidRPr="00D70AEA">
        <w:rPr>
          <w:rFonts w:ascii="Arial" w:eastAsia="Times New Roman" w:hAnsi="Arial" w:cs="Arial"/>
          <w:bCs/>
          <w:lang w:val="en-GB" w:eastAsia="ro-RO"/>
        </w:rPr>
        <w:t>2006 - Adoptarea Strategiei tematice a Comisiei Europene cu privire la mediul urban cu recomandarea dezvoltării unor Planuri de Transport Sustenabile (SUTP) și oferirea de linii directoare precise în vederea facilitării elaborării de către autoritățile locale/regionale, a unor astfel de documente programatice;</w:t>
      </w:r>
    </w:p>
    <w:p w14:paraId="6B76CE54" w14:textId="77777777" w:rsidR="00D70AEA" w:rsidRPr="00D70AEA" w:rsidRDefault="00D70AEA" w:rsidP="006B613A">
      <w:pPr>
        <w:numPr>
          <w:ilvl w:val="0"/>
          <w:numId w:val="6"/>
        </w:numPr>
        <w:autoSpaceDE w:val="0"/>
        <w:spacing w:after="0" w:line="276" w:lineRule="auto"/>
        <w:contextualSpacing/>
        <w:jc w:val="both"/>
        <w:rPr>
          <w:rFonts w:ascii="Arial" w:eastAsia="Times New Roman" w:hAnsi="Arial" w:cs="Arial"/>
          <w:bCs/>
          <w:lang w:val="en-GB" w:eastAsia="ro-RO"/>
        </w:rPr>
      </w:pPr>
      <w:r w:rsidRPr="00D70AEA">
        <w:rPr>
          <w:rFonts w:ascii="Arial" w:eastAsia="Times New Roman" w:hAnsi="Arial" w:cs="Arial"/>
          <w:bCs/>
          <w:lang w:val="en-GB" w:eastAsia="ro-RO"/>
        </w:rPr>
        <w:t xml:space="preserve">2009 – în Planul de Acțiune pentru Mobilitatea Urbană, Comisia Europeană a propus accelerarea adoptării Planurilor de Mobilitate Urbană Durabilă în Europa, oferind material </w:t>
      </w:r>
      <w:r w:rsidRPr="00D70AEA">
        <w:rPr>
          <w:rFonts w:ascii="Arial" w:eastAsia="Times New Roman" w:hAnsi="Arial" w:cs="Arial"/>
          <w:bCs/>
          <w:lang w:val="en-GB" w:eastAsia="ro-RO"/>
        </w:rPr>
        <w:lastRenderedPageBreak/>
        <w:t>îndrumător, promovând schimbul de bune practici, identificând puncte de referință și susținând activități educaționale pentru profesioniștii din domeniul mobilității urbane;</w:t>
      </w:r>
    </w:p>
    <w:p w14:paraId="47D6636D" w14:textId="77777777" w:rsidR="00D70AEA" w:rsidRPr="00D70AEA" w:rsidRDefault="00D70AEA" w:rsidP="006B613A">
      <w:pPr>
        <w:numPr>
          <w:ilvl w:val="0"/>
          <w:numId w:val="6"/>
        </w:numPr>
        <w:autoSpaceDE w:val="0"/>
        <w:spacing w:after="0" w:line="276" w:lineRule="auto"/>
        <w:contextualSpacing/>
        <w:jc w:val="both"/>
        <w:rPr>
          <w:rFonts w:ascii="Arial" w:eastAsia="Times New Roman" w:hAnsi="Arial" w:cs="Arial"/>
          <w:bCs/>
          <w:lang w:val="en-GB" w:eastAsia="ro-RO"/>
        </w:rPr>
      </w:pPr>
      <w:r w:rsidRPr="00D70AEA">
        <w:rPr>
          <w:rFonts w:ascii="Arial" w:eastAsia="Times New Roman" w:hAnsi="Arial" w:cs="Arial"/>
          <w:bCs/>
          <w:lang w:val="en-GB" w:eastAsia="ro-RO"/>
        </w:rPr>
        <w:t>2011 - Comisia Europeană a emis Cartea Albă a Transporturilor ”Foaie de Parcurs pentru un Spațiu European Unic al Transporturilor – Către un sistem de transport competitiv și eficient din punct de vedere al resurselor” prin care se propune spre examinare posibilitatea transformării Planurilor de Mobilitate Urbană Durabilă într-un proces de elaborare obligatoriu pentru orașe de o anumită dimensiune, în conformitate cu standardele naţionale bazate pe liniile directoare ale UE și se conectează fondurile pentru dezvoltarea regională cu fondurile de coeziune pentru orașele și regiunile care au dezvoltat și implementat un PMUD (= Plan de Mobilitate Urbană Durabilă), precum și un Certificat de Audit al Performanței și Durabilității Mobilității Urbane și încurajează totodată abordarea strategică integrate;</w:t>
      </w:r>
    </w:p>
    <w:p w14:paraId="06B130A1" w14:textId="77777777" w:rsidR="00D70AEA" w:rsidRPr="00D70AEA" w:rsidRDefault="00D70AEA" w:rsidP="006B613A">
      <w:pPr>
        <w:numPr>
          <w:ilvl w:val="0"/>
          <w:numId w:val="6"/>
        </w:numPr>
        <w:autoSpaceDE w:val="0"/>
        <w:spacing w:after="0" w:line="276" w:lineRule="auto"/>
        <w:contextualSpacing/>
        <w:jc w:val="both"/>
        <w:rPr>
          <w:rFonts w:ascii="Arial" w:eastAsia="Times New Roman" w:hAnsi="Arial" w:cs="Arial"/>
          <w:bCs/>
          <w:lang w:val="en-GB" w:eastAsia="ro-RO"/>
        </w:rPr>
      </w:pPr>
      <w:r w:rsidRPr="00D70AEA">
        <w:rPr>
          <w:rFonts w:ascii="Arial" w:eastAsia="Times New Roman" w:hAnsi="Arial" w:cs="Arial"/>
          <w:bCs/>
          <w:lang w:val="en-GB" w:eastAsia="ro-RO"/>
        </w:rPr>
        <w:t>2013 – apariția Ghidului pentru dezvoltarea și implementarea Planurilor de Mobilitate Urbană Durabilă (ediția 1), revizuit în 2014 și tradus în română în 2015;</w:t>
      </w:r>
    </w:p>
    <w:p w14:paraId="56A356C5" w14:textId="77777777" w:rsidR="00D70AEA" w:rsidRPr="00D70AEA" w:rsidRDefault="00D70AEA" w:rsidP="006B613A">
      <w:pPr>
        <w:numPr>
          <w:ilvl w:val="0"/>
          <w:numId w:val="6"/>
        </w:numPr>
        <w:autoSpaceDE w:val="0"/>
        <w:spacing w:after="0" w:line="276" w:lineRule="auto"/>
        <w:contextualSpacing/>
        <w:jc w:val="both"/>
        <w:rPr>
          <w:rFonts w:ascii="Arial" w:eastAsia="Times New Roman" w:hAnsi="Arial" w:cs="Arial"/>
          <w:bCs/>
          <w:lang w:val="en-GB" w:eastAsia="ro-RO"/>
        </w:rPr>
      </w:pPr>
      <w:r w:rsidRPr="00D70AEA">
        <w:rPr>
          <w:rFonts w:ascii="Arial" w:eastAsia="Times New Roman" w:hAnsi="Arial" w:cs="Arial"/>
          <w:bCs/>
          <w:lang w:val="en-GB" w:eastAsia="ro-RO"/>
        </w:rPr>
        <w:t>2019 - apariția Ghidului pentru dezvoltarea și implementarea Planurilor de Mobilitate Urbană Durabilă (ediția 2)</w:t>
      </w:r>
    </w:p>
    <w:p w14:paraId="5344ABF1" w14:textId="77777777" w:rsidR="000B7841" w:rsidRDefault="000B7841" w:rsidP="00D70AEA">
      <w:pPr>
        <w:widowControl w:val="0"/>
        <w:spacing w:after="0" w:line="276" w:lineRule="auto"/>
        <w:jc w:val="both"/>
        <w:rPr>
          <w:rFonts w:ascii="Arial" w:eastAsia="Arial Narrow" w:hAnsi="Arial" w:cs="Arial"/>
          <w:color w:val="000000"/>
          <w:lang w:val="ro-RO"/>
        </w:rPr>
      </w:pPr>
    </w:p>
    <w:p w14:paraId="0C85175E" w14:textId="00CC50F6" w:rsidR="00D70AEA" w:rsidRPr="00D70AEA" w:rsidRDefault="00D70AEA" w:rsidP="00D70AEA">
      <w:pPr>
        <w:widowControl w:val="0"/>
        <w:spacing w:after="0" w:line="276" w:lineRule="auto"/>
        <w:jc w:val="both"/>
        <w:rPr>
          <w:rFonts w:ascii="Arial" w:eastAsia="Arial Narrow" w:hAnsi="Arial" w:cs="Arial"/>
          <w:color w:val="000000"/>
          <w:lang w:val="ro-RO"/>
        </w:rPr>
      </w:pPr>
      <w:r w:rsidRPr="00D70AEA">
        <w:rPr>
          <w:rFonts w:ascii="Arial" w:eastAsia="Arial Narrow" w:hAnsi="Arial" w:cs="Arial"/>
          <w:color w:val="000000"/>
          <w:lang w:val="ro-RO"/>
        </w:rPr>
        <w:t xml:space="preserve">A </w:t>
      </w:r>
      <w:r w:rsidR="007A73C2">
        <w:rPr>
          <w:rFonts w:ascii="Arial" w:eastAsia="Arial Narrow" w:hAnsi="Arial" w:cs="Arial"/>
          <w:color w:val="000000"/>
          <w:lang w:val="ro-RO"/>
        </w:rPr>
        <w:t>dou</w:t>
      </w:r>
      <w:r w:rsidR="001D0800">
        <w:rPr>
          <w:rFonts w:ascii="Arial" w:eastAsia="Arial Narrow" w:hAnsi="Arial" w:cs="Arial"/>
          <w:color w:val="000000"/>
          <w:lang w:val="ro-RO"/>
        </w:rPr>
        <w:t>a</w:t>
      </w:r>
      <w:r w:rsidRPr="00D70AEA">
        <w:rPr>
          <w:rFonts w:ascii="Arial" w:eastAsia="Arial Narrow" w:hAnsi="Arial" w:cs="Arial"/>
          <w:color w:val="000000"/>
          <w:lang w:val="ro-RO"/>
        </w:rPr>
        <w:t xml:space="preserve"> ediție a Ghidului PMUD a luat în considerare provocările generate de evoluția rapidă a mobilității urbane, fiind rezultatul unui amplu proces de consultare europeană. De la prima ediție a Ghidului din 2013, au avut loc schimbări semnificative în mobilitatea urbană, care au creat noi provocări: pro</w:t>
      </w:r>
      <w:r w:rsidR="005D4AAE">
        <w:rPr>
          <w:rFonts w:ascii="Arial" w:eastAsia="Arial Narrow" w:hAnsi="Arial" w:cs="Arial"/>
          <w:color w:val="000000"/>
          <w:lang w:val="ro-RO"/>
        </w:rPr>
        <w:t>ce</w:t>
      </w:r>
      <w:r w:rsidRPr="00D70AEA">
        <w:rPr>
          <w:rFonts w:ascii="Arial" w:eastAsia="Arial Narrow" w:hAnsi="Arial" w:cs="Arial"/>
          <w:color w:val="000000"/>
          <w:lang w:val="ro-RO"/>
        </w:rPr>
        <w:t>sele tehnologice și înclinația publicului larg de a adopta cu entuziasm noi moduri de transport – de exemplu, trecerea de la modelul tradițional de proprietate a mașinilor private la noi tipuri de mobilitate partajată.  Cele mai relevante schimbări în paradigmele mobilității urbane durabile față de perioada 2013-2016:</w:t>
      </w:r>
    </w:p>
    <w:p w14:paraId="68DE2A51" w14:textId="77777777" w:rsidR="00D70AEA" w:rsidRPr="00D70AEA" w:rsidRDefault="00D70AEA" w:rsidP="006B613A">
      <w:pPr>
        <w:widowControl w:val="0"/>
        <w:numPr>
          <w:ilvl w:val="0"/>
          <w:numId w:val="7"/>
        </w:numPr>
        <w:spacing w:after="0" w:line="276" w:lineRule="auto"/>
        <w:jc w:val="both"/>
        <w:rPr>
          <w:rFonts w:ascii="Arial" w:eastAsia="Arial Narrow" w:hAnsi="Arial" w:cs="Arial"/>
          <w:color w:val="000000"/>
          <w:lang w:val="ro-RO"/>
        </w:rPr>
      </w:pPr>
      <w:r w:rsidRPr="00D70AEA">
        <w:rPr>
          <w:rFonts w:ascii="Arial" w:eastAsia="Arial Narrow" w:hAnsi="Arial" w:cs="Arial"/>
          <w:b/>
          <w:bCs/>
          <w:color w:val="000000"/>
          <w:lang w:val="ro-RO"/>
        </w:rPr>
        <w:t>Electromobilitatea</w:t>
      </w:r>
      <w:r w:rsidRPr="00D70AEA">
        <w:rPr>
          <w:rFonts w:ascii="Arial" w:eastAsia="Arial Narrow" w:hAnsi="Arial" w:cs="Arial"/>
          <w:color w:val="000000"/>
          <w:lang w:val="ro-RO"/>
        </w:rPr>
        <w:t xml:space="preserve"> (care e evoluat de la ceva exotic la nivel de masă)</w:t>
      </w:r>
      <w:r w:rsidRPr="00D70AEA">
        <w:rPr>
          <w:rFonts w:ascii="Arial Narrow" w:eastAsia="Arial Narrow" w:hAnsi="Arial Narrow" w:cs="Arial Narrow"/>
          <w:color w:val="000000"/>
          <w:lang w:val="ro-RO"/>
        </w:rPr>
        <w:t xml:space="preserve"> </w:t>
      </w:r>
      <w:r w:rsidRPr="00D70AEA">
        <w:rPr>
          <w:rFonts w:ascii="Arial" w:eastAsia="Arial Narrow" w:hAnsi="Arial" w:cs="Arial"/>
          <w:color w:val="000000"/>
          <w:lang w:val="ro-RO"/>
        </w:rPr>
        <w:t>vizând diferite moduri: autoturisme, autobuze (inclusiv troleibuze cu autonomie), vehicule de marfă / livrare în spațiul urban, micromobilitate (biciclete și alte vehicule de micromobilitate asistate electric). În analiză intră și infrastructura de reîncărcare și alimentare, precum și aspecte instituționale și de politică, de exemplu posibila reglementare a unui procent minim de locuri de parcare (de ex. 10% până în 2025) echipate pentru reîncărcarea autoturismelor electrice, obligarea benzinăriilor de pe teritoriul orașului de a oferi reîncărcare pentru autoturismele electrice etc. – orașele ”smart” ar trebui să facă tot ce le este în putință pentru a întâmpina electrificarea mobilității;</w:t>
      </w:r>
    </w:p>
    <w:p w14:paraId="2E0A55F8" w14:textId="77777777" w:rsidR="00D70AEA" w:rsidRPr="00D70AEA" w:rsidRDefault="00D70AEA" w:rsidP="006B613A">
      <w:pPr>
        <w:widowControl w:val="0"/>
        <w:numPr>
          <w:ilvl w:val="0"/>
          <w:numId w:val="7"/>
        </w:numPr>
        <w:shd w:val="clear" w:color="auto" w:fill="FFFFFF"/>
        <w:spacing w:after="0" w:line="276" w:lineRule="auto"/>
        <w:jc w:val="both"/>
        <w:rPr>
          <w:rFonts w:ascii="Arial" w:eastAsia="Arial Narrow" w:hAnsi="Arial" w:cs="Arial"/>
          <w:color w:val="000000"/>
          <w:lang w:val="ro-RO"/>
        </w:rPr>
      </w:pPr>
      <w:r w:rsidRPr="00D70AEA">
        <w:rPr>
          <w:rFonts w:ascii="Arial" w:eastAsia="Arial Narrow" w:hAnsi="Arial" w:cs="Arial"/>
          <w:b/>
          <w:bCs/>
          <w:color w:val="000000"/>
          <w:lang w:val="ro-RO"/>
        </w:rPr>
        <w:t>Proliferarea vehiculelor și sistemelor de micromobilitate</w:t>
      </w:r>
      <w:r w:rsidRPr="00D70AEA">
        <w:rPr>
          <w:rFonts w:ascii="Arial" w:eastAsia="Arial Narrow" w:hAnsi="Arial" w:cs="Arial"/>
          <w:color w:val="000000"/>
          <w:lang w:val="ro-RO"/>
        </w:rPr>
        <w:t>, inclusiv a inițiativelor private privind flote partajate (ex. Lime), și chestiuni înrudite privind infrastructura și reglementarea.</w:t>
      </w:r>
    </w:p>
    <w:p w14:paraId="5D90DE30" w14:textId="77777777" w:rsidR="00D70AEA" w:rsidRPr="00D70AEA" w:rsidRDefault="00D70AEA" w:rsidP="006B613A">
      <w:pPr>
        <w:widowControl w:val="0"/>
        <w:numPr>
          <w:ilvl w:val="0"/>
          <w:numId w:val="7"/>
        </w:numPr>
        <w:spacing w:after="0" w:line="276" w:lineRule="auto"/>
        <w:jc w:val="both"/>
        <w:rPr>
          <w:rFonts w:ascii="Arial" w:eastAsia="Arial Narrow" w:hAnsi="Arial" w:cs="Arial"/>
          <w:color w:val="000000"/>
          <w:lang w:val="ro-RO"/>
        </w:rPr>
      </w:pPr>
      <w:r w:rsidRPr="00D70AEA">
        <w:rPr>
          <w:rFonts w:ascii="Arial" w:eastAsia="Arial Narrow" w:hAnsi="Arial" w:cs="Arial"/>
          <w:color w:val="000000"/>
          <w:lang w:val="ro-RO"/>
        </w:rPr>
        <w:t xml:space="preserve">Creșterea semnificativă a utilizării platformelor de </w:t>
      </w:r>
      <w:r w:rsidRPr="00D70AEA">
        <w:rPr>
          <w:rFonts w:ascii="Arial" w:eastAsia="Arial Narrow" w:hAnsi="Arial" w:cs="Arial"/>
          <w:b/>
          <w:bCs/>
          <w:color w:val="000000"/>
          <w:lang w:val="ro-RO"/>
        </w:rPr>
        <w:t>car sharing</w:t>
      </w:r>
      <w:r w:rsidRPr="00D70AEA">
        <w:rPr>
          <w:rFonts w:ascii="Arial" w:eastAsia="Arial Narrow" w:hAnsi="Arial" w:cs="Arial"/>
          <w:color w:val="000000"/>
          <w:lang w:val="ro-RO"/>
        </w:rPr>
        <w:t>.</w:t>
      </w:r>
    </w:p>
    <w:p w14:paraId="19A8C223" w14:textId="77777777" w:rsidR="00D70AEA" w:rsidRPr="00D70AEA" w:rsidRDefault="00D70AEA" w:rsidP="006B613A">
      <w:pPr>
        <w:widowControl w:val="0"/>
        <w:numPr>
          <w:ilvl w:val="0"/>
          <w:numId w:val="7"/>
        </w:numPr>
        <w:spacing w:after="0" w:line="276" w:lineRule="auto"/>
        <w:jc w:val="both"/>
        <w:rPr>
          <w:rFonts w:ascii="Arial" w:eastAsia="Arial Narrow" w:hAnsi="Arial" w:cs="Arial"/>
          <w:color w:val="000000"/>
          <w:lang w:val="ro-RO"/>
        </w:rPr>
      </w:pPr>
      <w:r w:rsidRPr="00D70AEA">
        <w:rPr>
          <w:rFonts w:ascii="Arial" w:eastAsia="Arial Narrow" w:hAnsi="Arial" w:cs="Arial"/>
          <w:color w:val="000000"/>
          <w:lang w:val="ro-RO"/>
        </w:rPr>
        <w:t xml:space="preserve">Evoluții tehnologice privind </w:t>
      </w:r>
      <w:r w:rsidRPr="00D70AEA">
        <w:rPr>
          <w:rFonts w:ascii="Arial" w:eastAsia="Arial Narrow" w:hAnsi="Arial" w:cs="Arial"/>
          <w:b/>
          <w:bCs/>
          <w:color w:val="000000"/>
          <w:lang w:val="ro-RO"/>
        </w:rPr>
        <w:t>Sistemele de Transport Inteligente</w:t>
      </w:r>
      <w:r w:rsidRPr="00D70AEA">
        <w:rPr>
          <w:rFonts w:ascii="Arial" w:eastAsia="Arial Narrow" w:hAnsi="Arial" w:cs="Arial"/>
          <w:color w:val="000000"/>
          <w:lang w:val="ro-RO"/>
        </w:rPr>
        <w:t>, de ex. 5G, perimarea smartcard-urilor și înlocuirea acestora cu carduri virtuale pe dispozitive mobile etc., precum și concepte noi (ex. MaaS - Mobility-as-a-Service).</w:t>
      </w:r>
    </w:p>
    <w:p w14:paraId="7A2C855D" w14:textId="77777777" w:rsidR="00D70AEA" w:rsidRPr="00D70AEA" w:rsidRDefault="00D70AEA" w:rsidP="00D70AEA">
      <w:pPr>
        <w:widowControl w:val="0"/>
        <w:spacing w:after="0" w:line="276" w:lineRule="auto"/>
        <w:jc w:val="both"/>
        <w:rPr>
          <w:rFonts w:ascii="Arial" w:eastAsia="Arial Narrow" w:hAnsi="Arial" w:cs="Arial"/>
          <w:color w:val="000000"/>
          <w:lang w:val="ro-RO"/>
        </w:rPr>
      </w:pPr>
      <w:r w:rsidRPr="00D70AEA">
        <w:rPr>
          <w:rFonts w:ascii="Arial" w:eastAsia="Arial Narrow" w:hAnsi="Arial" w:cs="Arial"/>
          <w:color w:val="000000"/>
          <w:lang w:val="ro-RO"/>
        </w:rPr>
        <w:t xml:space="preserve"> </w:t>
      </w:r>
    </w:p>
    <w:p w14:paraId="19053A06" w14:textId="77777777" w:rsidR="00D70AEA" w:rsidRPr="00D70AEA" w:rsidRDefault="00D70AEA" w:rsidP="00D70AEA">
      <w:pPr>
        <w:spacing w:after="0" w:line="276" w:lineRule="auto"/>
        <w:ind w:left="20" w:right="20"/>
        <w:jc w:val="both"/>
        <w:rPr>
          <w:rFonts w:ascii="Arial" w:eastAsia="Times New Roman" w:hAnsi="Arial" w:cs="Arial"/>
          <w:lang w:val="en-GB" w:eastAsia="ro-RO"/>
        </w:rPr>
      </w:pPr>
      <w:r w:rsidRPr="00D70AEA">
        <w:rPr>
          <w:rFonts w:ascii="Arial" w:eastAsia="Times New Roman" w:hAnsi="Arial" w:cs="Arial"/>
          <w:lang w:val="it-IT" w:eastAsia="ro-RO"/>
        </w:rPr>
        <w:t xml:space="preserve">Planul de Mobilitate Urbană Durabilă constituie </w:t>
      </w:r>
      <w:r w:rsidRPr="00D70AEA">
        <w:rPr>
          <w:rFonts w:ascii="Arial" w:eastAsia="Times New Roman" w:hAnsi="Arial" w:cs="Arial"/>
          <w:lang w:val="en-GB" w:eastAsia="ro-RO"/>
        </w:rPr>
        <w:t>instrumentul de planificare strategică teritorială prin care este corelată dezvoltarea spaţială a localităţilor şi a zonei periurbane a acestora cu nevoile de mobilitate şi transport ale persoanelor şi mărfurilor.</w:t>
      </w:r>
    </w:p>
    <w:p w14:paraId="788FA7C2" w14:textId="77777777" w:rsidR="00E66CFB" w:rsidRDefault="00E66CFB" w:rsidP="00D70AEA">
      <w:pPr>
        <w:widowControl w:val="0"/>
        <w:shd w:val="clear" w:color="auto" w:fill="FFFFFF"/>
        <w:spacing w:after="60" w:line="276" w:lineRule="auto"/>
        <w:jc w:val="both"/>
        <w:rPr>
          <w:rFonts w:ascii="Arial" w:eastAsia="Arial Narrow" w:hAnsi="Arial" w:cs="Arial"/>
          <w:color w:val="000000"/>
          <w:shd w:val="clear" w:color="auto" w:fill="FFFFFF"/>
          <w:lang w:val="ro-RO"/>
        </w:rPr>
      </w:pPr>
    </w:p>
    <w:p w14:paraId="3A23A46E" w14:textId="77777777" w:rsidR="00D70AEA" w:rsidRPr="00D70AEA" w:rsidRDefault="00D70AEA" w:rsidP="00D70AEA">
      <w:pPr>
        <w:widowControl w:val="0"/>
        <w:shd w:val="clear" w:color="auto" w:fill="FFFFFF"/>
        <w:spacing w:after="60" w:line="276" w:lineRule="auto"/>
        <w:jc w:val="both"/>
        <w:rPr>
          <w:rFonts w:ascii="Arial" w:eastAsia="Arial Narrow" w:hAnsi="Arial" w:cs="Arial"/>
          <w:color w:val="000000"/>
          <w:shd w:val="clear" w:color="auto" w:fill="FFFFFF"/>
          <w:lang w:val="ro-RO"/>
        </w:rPr>
      </w:pPr>
      <w:r w:rsidRPr="00D70AEA">
        <w:rPr>
          <w:rFonts w:ascii="Arial" w:eastAsia="Arial Narrow" w:hAnsi="Arial" w:cs="Arial"/>
          <w:color w:val="000000"/>
          <w:shd w:val="clear" w:color="auto" w:fill="FFFFFF"/>
          <w:lang w:val="ro-RO"/>
        </w:rPr>
        <w:t>PMUD are rolul de planificare şi modelare a mobilităţii în raport cu nevoile şi priorităţile de dezvoltare spaţială de la nivelul unităţii administrativ-teritoriale şi urmăreşte următoarele 5 obiective:</w:t>
      </w:r>
    </w:p>
    <w:p w14:paraId="0467D99F" w14:textId="77777777" w:rsidR="00D70AEA" w:rsidRPr="00D70AEA" w:rsidRDefault="00D70AEA" w:rsidP="00D70AEA">
      <w:pPr>
        <w:widowControl w:val="0"/>
        <w:shd w:val="clear" w:color="auto" w:fill="FFFFFF"/>
        <w:spacing w:after="60" w:line="276" w:lineRule="auto"/>
        <w:ind w:left="630"/>
        <w:jc w:val="both"/>
        <w:rPr>
          <w:rFonts w:ascii="Arial" w:eastAsia="Arial Narrow" w:hAnsi="Arial" w:cs="Arial"/>
          <w:color w:val="000000"/>
          <w:shd w:val="clear" w:color="auto" w:fill="FFFFFF"/>
          <w:lang w:val="ro-RO"/>
        </w:rPr>
      </w:pPr>
      <w:r w:rsidRPr="00D70AEA">
        <w:rPr>
          <w:rFonts w:ascii="Arial" w:eastAsia="Arial Narrow" w:hAnsi="Arial" w:cs="Arial"/>
          <w:color w:val="000000"/>
          <w:shd w:val="clear" w:color="auto" w:fill="FFFFFF"/>
          <w:lang w:val="ro-RO"/>
        </w:rPr>
        <w:lastRenderedPageBreak/>
        <w:t>a) îmbunătăţirea eficienţei serviciilor şi infrastructurii de transport;</w:t>
      </w:r>
    </w:p>
    <w:p w14:paraId="1F144B15" w14:textId="77777777" w:rsidR="00D70AEA" w:rsidRPr="00D70AEA" w:rsidRDefault="00D70AEA" w:rsidP="00D70AEA">
      <w:pPr>
        <w:widowControl w:val="0"/>
        <w:shd w:val="clear" w:color="auto" w:fill="FFFFFF"/>
        <w:spacing w:after="60" w:line="276" w:lineRule="auto"/>
        <w:ind w:left="630"/>
        <w:jc w:val="both"/>
        <w:rPr>
          <w:rFonts w:ascii="Arial" w:eastAsia="Arial Narrow" w:hAnsi="Arial" w:cs="Arial"/>
          <w:color w:val="000000"/>
          <w:shd w:val="clear" w:color="auto" w:fill="FFFFFF"/>
          <w:lang w:val="ro-RO"/>
        </w:rPr>
      </w:pPr>
      <w:r w:rsidRPr="00D70AEA">
        <w:rPr>
          <w:rFonts w:ascii="Arial" w:eastAsia="Arial Narrow" w:hAnsi="Arial" w:cs="Arial"/>
          <w:color w:val="000000"/>
          <w:shd w:val="clear" w:color="auto" w:fill="FFFFFF"/>
          <w:lang w:val="ro-RO"/>
        </w:rPr>
        <w:t>b) reducerea necesităţilor de transport motorizat, reducerea impactului asupra mediului şi reducerea consumului de energie pentru activitatile de transport;</w:t>
      </w:r>
    </w:p>
    <w:p w14:paraId="68911F72" w14:textId="77777777" w:rsidR="00D70AEA" w:rsidRPr="00D70AEA" w:rsidRDefault="00D70AEA" w:rsidP="00D70AEA">
      <w:pPr>
        <w:widowControl w:val="0"/>
        <w:shd w:val="clear" w:color="auto" w:fill="FFFFFF"/>
        <w:spacing w:after="60" w:line="276" w:lineRule="auto"/>
        <w:ind w:left="630"/>
        <w:jc w:val="both"/>
        <w:rPr>
          <w:rFonts w:ascii="Arial" w:eastAsia="Arial Narrow" w:hAnsi="Arial" w:cs="Arial"/>
          <w:color w:val="000000"/>
          <w:shd w:val="clear" w:color="auto" w:fill="FFFFFF"/>
          <w:lang w:val="ro-RO"/>
        </w:rPr>
      </w:pPr>
      <w:r w:rsidRPr="00D70AEA">
        <w:rPr>
          <w:rFonts w:ascii="Arial" w:eastAsia="Arial Narrow" w:hAnsi="Arial" w:cs="Arial"/>
          <w:color w:val="000000"/>
          <w:shd w:val="clear" w:color="auto" w:fill="FFFFFF"/>
          <w:lang w:val="ro-RO"/>
        </w:rPr>
        <w:t>c) asigurarea unui nivel optim de accesibilitate în cadrul localităţii şi în cadrul zonelor periurbane;</w:t>
      </w:r>
    </w:p>
    <w:p w14:paraId="227048CF" w14:textId="77777777" w:rsidR="00D70AEA" w:rsidRPr="00D70AEA" w:rsidRDefault="00D70AEA" w:rsidP="00D70AEA">
      <w:pPr>
        <w:widowControl w:val="0"/>
        <w:shd w:val="clear" w:color="auto" w:fill="FFFFFF"/>
        <w:spacing w:after="60" w:line="276" w:lineRule="auto"/>
        <w:ind w:left="630"/>
        <w:jc w:val="both"/>
        <w:rPr>
          <w:rFonts w:ascii="Arial" w:eastAsia="Arial Narrow" w:hAnsi="Arial" w:cs="Arial"/>
          <w:color w:val="000000"/>
          <w:shd w:val="clear" w:color="auto" w:fill="FFFFFF"/>
          <w:lang w:val="ro-RO"/>
        </w:rPr>
      </w:pPr>
      <w:r w:rsidRPr="00D70AEA">
        <w:rPr>
          <w:rFonts w:ascii="Arial" w:eastAsia="Arial Narrow" w:hAnsi="Arial" w:cs="Arial"/>
          <w:color w:val="000000"/>
          <w:shd w:val="clear" w:color="auto" w:fill="FFFFFF"/>
          <w:lang w:val="ro-RO"/>
        </w:rPr>
        <w:t>d) asigurarea unui mediu sigur pentru populaţie;</w:t>
      </w:r>
    </w:p>
    <w:p w14:paraId="48A5F25C" w14:textId="77777777" w:rsidR="00D70AEA" w:rsidRPr="00D70AEA" w:rsidRDefault="00D70AEA" w:rsidP="00D70AEA">
      <w:pPr>
        <w:widowControl w:val="0"/>
        <w:spacing w:after="60" w:line="276" w:lineRule="auto"/>
        <w:ind w:left="630"/>
        <w:jc w:val="both"/>
        <w:rPr>
          <w:rFonts w:ascii="Arial" w:eastAsia="Arial Narrow" w:hAnsi="Arial" w:cs="Arial"/>
          <w:color w:val="000000"/>
          <w:shd w:val="clear" w:color="auto" w:fill="FFFFFF"/>
          <w:lang w:val="ro-RO"/>
        </w:rPr>
      </w:pPr>
      <w:r w:rsidRPr="00D70AEA">
        <w:rPr>
          <w:rFonts w:ascii="Arial" w:eastAsia="Arial Narrow" w:hAnsi="Arial" w:cs="Arial"/>
          <w:color w:val="000000"/>
          <w:shd w:val="clear" w:color="auto" w:fill="FFFFFF"/>
          <w:lang w:val="ro-RO"/>
        </w:rPr>
        <w:t>e) asigurarea accesibilităţii tuturor categoriilor de persoane, inclusiv pentru persoanele cu dizabilităţi.</w:t>
      </w:r>
    </w:p>
    <w:p w14:paraId="214F8000" w14:textId="77777777" w:rsidR="000B7841" w:rsidRDefault="000B7841" w:rsidP="00D70AEA">
      <w:pPr>
        <w:spacing w:after="0" w:line="276" w:lineRule="auto"/>
        <w:ind w:left="20" w:right="20"/>
        <w:jc w:val="both"/>
        <w:rPr>
          <w:rFonts w:ascii="Arial" w:eastAsia="Times New Roman" w:hAnsi="Arial" w:cs="Arial"/>
          <w:lang w:val="en-GB" w:eastAsia="ro-RO"/>
        </w:rPr>
      </w:pPr>
    </w:p>
    <w:p w14:paraId="01EE4BE8" w14:textId="77777777" w:rsidR="00D70AEA" w:rsidRPr="00D70AEA" w:rsidRDefault="00D70AEA" w:rsidP="00D70AEA">
      <w:pPr>
        <w:spacing w:after="0" w:line="276" w:lineRule="auto"/>
        <w:ind w:left="20" w:right="20"/>
        <w:jc w:val="both"/>
        <w:rPr>
          <w:rFonts w:ascii="Arial" w:eastAsia="Times New Roman" w:hAnsi="Arial" w:cs="Arial"/>
          <w:lang w:val="en-GB" w:eastAsia="ro-RO"/>
        </w:rPr>
      </w:pPr>
      <w:r w:rsidRPr="00D70AEA">
        <w:rPr>
          <w:rFonts w:ascii="Arial" w:eastAsia="Times New Roman" w:hAnsi="Arial" w:cs="Arial"/>
          <w:lang w:val="en-GB" w:eastAsia="ro-RO"/>
        </w:rPr>
        <w:t>PMUD utilizează măsuri organizaţionale, operaţionale şi de infrastructură pentru atingerea celor 5 obiective, luând în considerate următoarele arii de intervenţie:</w:t>
      </w:r>
    </w:p>
    <w:p w14:paraId="2DE2B6D5"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corelarea modalităţilor de transport cu densitatea urbană;</w:t>
      </w:r>
    </w:p>
    <w:p w14:paraId="6D8CE205"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crearea unor artere ocolitoare localităţilor şi închiderea inelelor rutiere principale;</w:t>
      </w:r>
    </w:p>
    <w:p w14:paraId="50C7C616"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promovarea şi crearea reţelelor de infrastructuri şi servicii pentru biciclişti şi pentru trafic nemotorizat;</w:t>
      </w:r>
    </w:p>
    <w:p w14:paraId="1B0725F7"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reorganizarea arterelor de circulaţie în raport cu cerinţele de trafic, cu cerinţele transportului public, ale deplasărilor nemotorizate şi cu exigenţe de calitate a spaţiului urban;</w:t>
      </w:r>
    </w:p>
    <w:p w14:paraId="7C4844C0"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organizarea staţionării şi a infrastructurii lor de staţionare;</w:t>
      </w:r>
    </w:p>
    <w:p w14:paraId="7B8279A6"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organizarea intermodalităţii şi a polilor de schimb intermodal;</w:t>
      </w:r>
    </w:p>
    <w:p w14:paraId="5781D7E7"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stabilirea zonelor cu restricţii de circulaţie (limitări ale vitezei, limitări şi/sau taxări ale accesului, restricţionarea accesului vehiculelor poluante, prioritate acordată deplasărilor motorizate etc.);</w:t>
      </w:r>
    </w:p>
    <w:p w14:paraId="2B44A9D6"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restructurarea mobilităţii în zonele centrale istorice şi în zona gărilor, autogărilor şi aerogărilor;</w:t>
      </w:r>
    </w:p>
    <w:p w14:paraId="04344652"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dezvoltarea reţelelor de transport public;</w:t>
      </w:r>
    </w:p>
    <w:p w14:paraId="647A6784"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 xml:space="preserve">valorificarea, utilizarea infrastructurilor de transport abandonate (trasee feroviare dezafectate, zone logistice etc.) şi integrarea acestora în reţeaua majoră de transport public de la nivelul localităţilor şi al zonelor periurbane ale acestora pentru asigurarea serviciilor de transport metropolitan; </w:t>
      </w:r>
    </w:p>
    <w:p w14:paraId="46E227D7"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dezvoltarea de politici şi infrastructuri pentru a susţine siguranţa pietonilor;</w:t>
      </w:r>
    </w:p>
    <w:p w14:paraId="6D1F4ABB"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îmbunătăţirea condiţiilor pentru transport şi pentru livrarea mărfurilor, organi</w:t>
      </w:r>
      <w:r w:rsidR="00E66CFB">
        <w:rPr>
          <w:rFonts w:ascii="Arial" w:eastAsia="Calibri" w:hAnsi="Arial" w:cs="Arial"/>
        </w:rPr>
        <w:t>zarea transportului de mărfuri ş</w:t>
      </w:r>
      <w:r w:rsidRPr="00D70AEA">
        <w:rPr>
          <w:rFonts w:ascii="Arial" w:eastAsia="Calibri" w:hAnsi="Arial" w:cs="Arial"/>
        </w:rPr>
        <w:t>i a logisticii urbane;</w:t>
      </w:r>
    </w:p>
    <w:p w14:paraId="6482C9CA" w14:textId="77777777" w:rsidR="00D70AEA" w:rsidRPr="00D70AEA" w:rsidRDefault="00D70AEA" w:rsidP="006B613A">
      <w:pPr>
        <w:numPr>
          <w:ilvl w:val="0"/>
          <w:numId w:val="4"/>
        </w:numPr>
        <w:spacing w:line="276" w:lineRule="auto"/>
        <w:contextualSpacing/>
        <w:jc w:val="both"/>
        <w:rPr>
          <w:rFonts w:ascii="Arial" w:eastAsia="Calibri" w:hAnsi="Arial" w:cs="Arial"/>
        </w:rPr>
      </w:pPr>
      <w:r w:rsidRPr="00D70AEA">
        <w:rPr>
          <w:rFonts w:ascii="Arial" w:eastAsia="Calibri" w:hAnsi="Arial" w:cs="Arial"/>
        </w:rPr>
        <w:t>utilizarea sistemelor de transport inteligent pentru infrastructura de transport, de parcare şi pentru transport public.</w:t>
      </w:r>
    </w:p>
    <w:p w14:paraId="08842CEB" w14:textId="77777777" w:rsidR="00D70AEA" w:rsidRPr="00D70AEA" w:rsidRDefault="00D70AEA" w:rsidP="00D70AEA">
      <w:pPr>
        <w:widowControl w:val="0"/>
        <w:spacing w:after="60" w:line="276" w:lineRule="auto"/>
        <w:jc w:val="both"/>
        <w:rPr>
          <w:rFonts w:ascii="Arial" w:eastAsia="Arial Narrow" w:hAnsi="Arial" w:cs="Arial"/>
          <w:color w:val="000000"/>
          <w:shd w:val="clear" w:color="auto" w:fill="FFFFFF"/>
          <w:lang w:val="ro-RO"/>
        </w:rPr>
      </w:pPr>
    </w:p>
    <w:p w14:paraId="51BBE160" w14:textId="77777777" w:rsidR="00D70AEA" w:rsidRDefault="00E66CFB" w:rsidP="00D70AEA">
      <w:pPr>
        <w:widowControl w:val="0"/>
        <w:spacing w:after="60" w:line="276" w:lineRule="auto"/>
        <w:jc w:val="both"/>
        <w:rPr>
          <w:rFonts w:ascii="Arial" w:eastAsia="Arial Narrow" w:hAnsi="Arial" w:cs="Arial"/>
          <w:shd w:val="clear" w:color="auto" w:fill="FFFFFF"/>
          <w:lang w:val="ro-RO"/>
        </w:rPr>
      </w:pPr>
      <w:r>
        <w:rPr>
          <w:rFonts w:ascii="Arial" w:eastAsia="Arial Narrow" w:hAnsi="Arial" w:cs="Arial"/>
          <w:shd w:val="clear" w:color="auto" w:fill="FFFFFF"/>
          <w:lang w:val="ro-RO"/>
        </w:rPr>
        <w:t>Întocmirea</w:t>
      </w:r>
      <w:r w:rsidR="00D70AEA" w:rsidRPr="005D4AAE">
        <w:rPr>
          <w:rFonts w:ascii="Arial" w:eastAsia="Arial Narrow" w:hAnsi="Arial" w:cs="Arial"/>
          <w:shd w:val="clear" w:color="auto" w:fill="FFFFFF"/>
          <w:lang w:val="ro-RO"/>
        </w:rPr>
        <w:t xml:space="preserve"> şi implementarea planului</w:t>
      </w:r>
      <w:r w:rsidR="005D4AAE" w:rsidRPr="005D4AAE">
        <w:rPr>
          <w:rFonts w:ascii="Arial" w:eastAsia="Arial Narrow" w:hAnsi="Arial" w:cs="Arial"/>
          <w:shd w:val="clear" w:color="auto" w:fill="FFFFFF"/>
          <w:lang w:val="ro-RO"/>
        </w:rPr>
        <w:t xml:space="preserve"> </w:t>
      </w:r>
      <w:r w:rsidR="00D70AEA" w:rsidRPr="005D4AAE">
        <w:rPr>
          <w:rFonts w:ascii="Arial" w:eastAsia="Arial Narrow" w:hAnsi="Arial" w:cs="Arial"/>
          <w:shd w:val="clear" w:color="auto" w:fill="FFFFFF"/>
          <w:lang w:val="ro-RO"/>
        </w:rPr>
        <w:t>de mobilitate urbană</w:t>
      </w:r>
      <w:r w:rsidR="005D4AAE" w:rsidRPr="005D4AAE">
        <w:rPr>
          <w:rFonts w:ascii="Arial" w:eastAsia="Arial Narrow" w:hAnsi="Arial" w:cs="Arial"/>
          <w:shd w:val="clear" w:color="auto" w:fill="FFFFFF"/>
          <w:lang w:val="ro-RO"/>
        </w:rPr>
        <w:t xml:space="preserve"> durabilă va a</w:t>
      </w:r>
      <w:r w:rsidR="00D70AEA" w:rsidRPr="005D4AAE">
        <w:rPr>
          <w:rFonts w:ascii="Arial" w:eastAsia="Arial Narrow" w:hAnsi="Arial" w:cs="Arial"/>
          <w:shd w:val="clear" w:color="auto" w:fill="FFFFFF"/>
          <w:lang w:val="ro-RO"/>
        </w:rPr>
        <w:t>sigur</w:t>
      </w:r>
      <w:r w:rsidR="005D4AAE" w:rsidRPr="005D4AAE">
        <w:rPr>
          <w:rFonts w:ascii="Arial" w:eastAsia="Arial Narrow" w:hAnsi="Arial" w:cs="Arial"/>
          <w:shd w:val="clear" w:color="auto" w:fill="FFFFFF"/>
          <w:lang w:val="ro-RO"/>
        </w:rPr>
        <w:t>a</w:t>
      </w:r>
      <w:r w:rsidR="00D70AEA" w:rsidRPr="005D4AAE">
        <w:rPr>
          <w:rFonts w:ascii="Arial" w:eastAsia="Arial Narrow" w:hAnsi="Arial" w:cs="Arial"/>
          <w:shd w:val="clear" w:color="auto" w:fill="FFFFFF"/>
          <w:lang w:val="ro-RO"/>
        </w:rPr>
        <w:t xml:space="preserve"> satisfacerea unor cerinţe şi nevoi de utilitate publică ale comunităţii locale în domeniul mobilităţii şi transportului urban, </w:t>
      </w:r>
      <w:r w:rsidR="008F2735">
        <w:rPr>
          <w:rFonts w:ascii="Arial" w:eastAsia="Arial Narrow" w:hAnsi="Arial" w:cs="Arial"/>
          <w:shd w:val="clear" w:color="auto" w:fill="FFFFFF"/>
          <w:lang w:val="ro-RO"/>
        </w:rPr>
        <w:t xml:space="preserve">va asigura </w:t>
      </w:r>
      <w:r w:rsidR="00D70AEA" w:rsidRPr="005D4AAE">
        <w:rPr>
          <w:rFonts w:ascii="Arial" w:eastAsia="Arial Narrow" w:hAnsi="Arial" w:cs="Arial"/>
          <w:shd w:val="clear" w:color="auto" w:fill="FFFFFF"/>
          <w:lang w:val="ro-RO"/>
        </w:rPr>
        <w:t>deplasarea, fără a fi expuşi la riscuri personale majore, îmbunătăţirea continuă a mobilităţii şi calităţii vieţii cetăţenilor.</w:t>
      </w:r>
    </w:p>
    <w:p w14:paraId="2FC20DF2" w14:textId="77777777" w:rsidR="005D4AAE" w:rsidRPr="005D4AAE" w:rsidRDefault="005D4AAE" w:rsidP="00D70AEA">
      <w:pPr>
        <w:widowControl w:val="0"/>
        <w:spacing w:after="60" w:line="276" w:lineRule="auto"/>
        <w:jc w:val="both"/>
        <w:rPr>
          <w:rFonts w:ascii="Arial" w:eastAsia="Arial Narrow" w:hAnsi="Arial" w:cs="Arial"/>
          <w:shd w:val="clear" w:color="auto" w:fill="FFFFFF"/>
          <w:lang w:val="ro-RO"/>
        </w:rPr>
      </w:pPr>
    </w:p>
    <w:p w14:paraId="429DD03C" w14:textId="77777777" w:rsidR="00D70AEA" w:rsidRPr="003430C5" w:rsidRDefault="00D70AEA" w:rsidP="003430C5">
      <w:pPr>
        <w:widowControl w:val="0"/>
        <w:spacing w:after="60" w:line="276" w:lineRule="auto"/>
        <w:jc w:val="both"/>
        <w:rPr>
          <w:rFonts w:ascii="Arial" w:eastAsia="Arial Narrow" w:hAnsi="Arial" w:cs="Arial"/>
          <w:lang w:val="ro-RO"/>
        </w:rPr>
      </w:pPr>
      <w:r w:rsidRPr="003430C5">
        <w:rPr>
          <w:rFonts w:ascii="Arial" w:eastAsia="Arial Narrow" w:hAnsi="Arial" w:cs="Arial"/>
          <w:lang w:val="ro-RO"/>
        </w:rPr>
        <w:t xml:space="preserve">Scopul final al Planului de Mobilitate Urbană Durabilă la nivelul </w:t>
      </w:r>
      <w:r w:rsidR="00537880">
        <w:rPr>
          <w:rFonts w:ascii="Arial" w:eastAsia="Arial Narrow" w:hAnsi="Arial" w:cs="Arial"/>
          <w:lang w:val="ro-RO"/>
        </w:rPr>
        <w:t>oraşului Horezu</w:t>
      </w:r>
      <w:r w:rsidRPr="003430C5">
        <w:rPr>
          <w:rFonts w:ascii="Arial" w:eastAsia="Arial Narrow" w:hAnsi="Arial" w:cs="Arial"/>
          <w:lang w:val="ro-RO"/>
        </w:rPr>
        <w:t xml:space="preserve"> const</w:t>
      </w:r>
      <w:r w:rsidR="003430C5" w:rsidRPr="003430C5">
        <w:rPr>
          <w:rFonts w:ascii="Arial" w:eastAsia="Arial Narrow" w:hAnsi="Arial" w:cs="Arial"/>
          <w:lang w:val="ro-RO"/>
        </w:rPr>
        <w:t>ă</w:t>
      </w:r>
      <w:r w:rsidRPr="003430C5">
        <w:rPr>
          <w:rFonts w:ascii="Arial" w:eastAsia="Arial Narrow" w:hAnsi="Arial" w:cs="Arial"/>
          <w:lang w:val="ro-RO"/>
        </w:rPr>
        <w:t xml:space="preserve"> în propunerea unor măsuri care să contribuie la sustenabilitatea economică, de mediu şi socială a sistemului de transport, la creşterea siguranţei şi fluenţei sistemului de transport</w:t>
      </w:r>
      <w:r w:rsidR="000B7841">
        <w:rPr>
          <w:rFonts w:ascii="Arial" w:eastAsia="Arial Narrow" w:hAnsi="Arial" w:cs="Arial"/>
          <w:lang w:val="ro-RO"/>
        </w:rPr>
        <w:t>,</w:t>
      </w:r>
      <w:r w:rsidRPr="003430C5">
        <w:rPr>
          <w:rFonts w:ascii="Arial" w:eastAsia="Arial Narrow" w:hAnsi="Arial" w:cs="Arial"/>
          <w:lang w:val="ro-RO"/>
        </w:rPr>
        <w:t xml:space="preserve"> respectiv la implicarea factorilor interesaţi (utilizatori / neutilizatori ai sistemului de transport).</w:t>
      </w:r>
    </w:p>
    <w:p w14:paraId="3B4A6709" w14:textId="77777777" w:rsidR="00D70AEA" w:rsidRPr="009F44F4" w:rsidRDefault="00D70AEA" w:rsidP="00621AA9">
      <w:pPr>
        <w:widowControl w:val="0"/>
        <w:spacing w:before="60" w:after="60" w:line="276" w:lineRule="auto"/>
        <w:jc w:val="both"/>
        <w:rPr>
          <w:rFonts w:ascii="Arial" w:eastAsia="Arial Narrow" w:hAnsi="Arial" w:cs="Arial"/>
          <w:lang w:val="ro-RO"/>
        </w:rPr>
      </w:pPr>
      <w:r w:rsidRPr="00621AA9">
        <w:rPr>
          <w:rFonts w:ascii="Arial" w:eastAsia="Arial Narrow" w:hAnsi="Arial" w:cs="Arial"/>
          <w:shd w:val="clear" w:color="auto" w:fill="FFFFFF"/>
          <w:lang w:val="ro-RO"/>
        </w:rPr>
        <w:t xml:space="preserve">Abordând obiective sociale, de mediu şi economice, precum şi obiective în domeniul integrării şi al </w:t>
      </w:r>
      <w:r w:rsidRPr="00621AA9">
        <w:rPr>
          <w:rFonts w:ascii="Arial" w:eastAsia="Arial Narrow" w:hAnsi="Arial" w:cs="Arial"/>
          <w:shd w:val="clear" w:color="auto" w:fill="FFFFFF"/>
          <w:lang w:val="ro-RO"/>
        </w:rPr>
        <w:lastRenderedPageBreak/>
        <w:t>siguranţei, se va pune un accent sporit pe transportul durabil.</w:t>
      </w:r>
      <w:r w:rsidR="00621AA9">
        <w:rPr>
          <w:rFonts w:ascii="Arial" w:eastAsia="Arial Narrow" w:hAnsi="Arial" w:cs="Arial"/>
          <w:shd w:val="clear" w:color="auto" w:fill="FFFFFF"/>
          <w:lang w:val="ro-RO"/>
        </w:rPr>
        <w:t xml:space="preserve"> </w:t>
      </w:r>
      <w:r w:rsidR="00621AA9" w:rsidRPr="009F44F4">
        <w:rPr>
          <w:rFonts w:ascii="Arial" w:eastAsia="Arial Narrow" w:hAnsi="Arial" w:cs="Arial"/>
          <w:shd w:val="clear" w:color="auto" w:fill="FFFFFF"/>
          <w:lang w:val="ro-RO"/>
        </w:rPr>
        <w:t>Î</w:t>
      </w:r>
      <w:r w:rsidRPr="009F44F4">
        <w:rPr>
          <w:rFonts w:ascii="Arial" w:eastAsia="Arial Narrow" w:hAnsi="Arial" w:cs="Arial"/>
          <w:shd w:val="clear" w:color="auto" w:fill="FFFFFF"/>
          <w:lang w:val="ro-RO"/>
        </w:rPr>
        <w:t xml:space="preserve">n acest scop, planul </w:t>
      </w:r>
      <w:r w:rsidR="00621AA9" w:rsidRPr="009F44F4">
        <w:rPr>
          <w:rFonts w:ascii="Arial" w:eastAsia="Arial Narrow" w:hAnsi="Arial" w:cs="Arial"/>
          <w:shd w:val="clear" w:color="auto" w:fill="FFFFFF"/>
          <w:lang w:val="ro-RO"/>
        </w:rPr>
        <w:t xml:space="preserve">va oferi </w:t>
      </w:r>
      <w:r w:rsidRPr="009F44F4">
        <w:rPr>
          <w:rFonts w:ascii="Arial" w:eastAsia="Arial Narrow" w:hAnsi="Arial" w:cs="Arial"/>
          <w:shd w:val="clear" w:color="auto" w:fill="FFFFFF"/>
          <w:lang w:val="ro-RO"/>
        </w:rPr>
        <w:t xml:space="preserve">soluţii </w:t>
      </w:r>
      <w:r w:rsidR="00621AA9" w:rsidRPr="009F44F4">
        <w:rPr>
          <w:rFonts w:ascii="Arial" w:eastAsia="Arial Narrow" w:hAnsi="Arial" w:cs="Arial"/>
          <w:shd w:val="clear" w:color="auto" w:fill="FFFFFF"/>
          <w:lang w:val="ro-RO"/>
        </w:rPr>
        <w:t>care vor viza următoarele obiective</w:t>
      </w:r>
      <w:r w:rsidRPr="009F44F4">
        <w:rPr>
          <w:rFonts w:ascii="Arial" w:eastAsia="Arial Narrow" w:hAnsi="Arial" w:cs="Arial"/>
          <w:shd w:val="clear" w:color="auto" w:fill="FFFFFF"/>
          <w:lang w:val="ro-RO"/>
        </w:rPr>
        <w:t>:</w:t>
      </w:r>
    </w:p>
    <w:p w14:paraId="305FAAEC" w14:textId="77777777" w:rsidR="00D70AEA" w:rsidRPr="009F44F4" w:rsidRDefault="00D70AEA" w:rsidP="000C6CB8">
      <w:pPr>
        <w:pStyle w:val="Listparagraf"/>
        <w:numPr>
          <w:ilvl w:val="0"/>
          <w:numId w:val="125"/>
        </w:numPr>
        <w:spacing w:after="0"/>
        <w:jc w:val="both"/>
        <w:rPr>
          <w:rFonts w:ascii="Arial" w:eastAsia="Arial Narrow" w:hAnsi="Arial" w:cs="Arial"/>
        </w:rPr>
      </w:pPr>
      <w:r w:rsidRPr="009F44F4">
        <w:rPr>
          <w:rFonts w:ascii="Arial" w:eastAsia="Arial Narrow" w:hAnsi="Arial" w:cs="Arial"/>
        </w:rPr>
        <w:t xml:space="preserve">Armonizarea dezvoltării urbane şi teritoriale cu dezvoltarea infrastructurii de transport rutier, feroviar şi a transportului public în concordanţă cu nevoile de mobilitate şi transport a persoanelor, bunurilor şi mărfurilor prin asigurarea corelărilor necesare între strategiile si planurile de urbanism şi amenajarea teritoriului aferente </w:t>
      </w:r>
      <w:r w:rsidR="00537880">
        <w:rPr>
          <w:rFonts w:ascii="Arial" w:eastAsia="Arial Narrow" w:hAnsi="Arial" w:cs="Arial"/>
        </w:rPr>
        <w:t>oraşului Horezu</w:t>
      </w:r>
      <w:r w:rsidRPr="009F44F4">
        <w:rPr>
          <w:rFonts w:ascii="Arial" w:eastAsia="Arial Narrow" w:hAnsi="Arial" w:cs="Arial"/>
        </w:rPr>
        <w:t xml:space="preserve"> şi a teritoriului său de influenţă;</w:t>
      </w:r>
    </w:p>
    <w:p w14:paraId="612CF3BA" w14:textId="77777777" w:rsidR="00D70AEA" w:rsidRPr="009F44F4" w:rsidRDefault="00D70AEA" w:rsidP="000C6CB8">
      <w:pPr>
        <w:pStyle w:val="Listparagraf"/>
        <w:numPr>
          <w:ilvl w:val="0"/>
          <w:numId w:val="125"/>
        </w:numPr>
        <w:spacing w:after="0"/>
        <w:jc w:val="both"/>
        <w:rPr>
          <w:rFonts w:ascii="Arial" w:eastAsia="Arial Narrow" w:hAnsi="Arial" w:cs="Arial"/>
        </w:rPr>
      </w:pPr>
      <w:r w:rsidRPr="009F44F4">
        <w:rPr>
          <w:rFonts w:ascii="Arial" w:eastAsia="Arial Narrow" w:hAnsi="Arial" w:cs="Arial"/>
        </w:rPr>
        <w:t xml:space="preserve">Identificarea si prioritizarea investiţiilor necesare în </w:t>
      </w:r>
      <w:r w:rsidR="00537880">
        <w:rPr>
          <w:rFonts w:ascii="Arial" w:eastAsia="Arial Narrow" w:hAnsi="Arial" w:cs="Arial"/>
        </w:rPr>
        <w:t>oraşul Horezu</w:t>
      </w:r>
      <w:r w:rsidRPr="009F44F4">
        <w:rPr>
          <w:rFonts w:ascii="Arial" w:eastAsia="Arial Narrow" w:hAnsi="Arial" w:cs="Arial"/>
        </w:rPr>
        <w:t xml:space="preserve"> pentru dezvoltarea infrastructurii rutiere şi a transportului public;</w:t>
      </w:r>
    </w:p>
    <w:p w14:paraId="148F182A" w14:textId="77777777" w:rsidR="00D70AEA" w:rsidRPr="009F44F4" w:rsidRDefault="00D70AEA" w:rsidP="000C6CB8">
      <w:pPr>
        <w:pStyle w:val="Listparagraf"/>
        <w:numPr>
          <w:ilvl w:val="0"/>
          <w:numId w:val="125"/>
        </w:numPr>
        <w:spacing w:after="0"/>
        <w:jc w:val="both"/>
        <w:rPr>
          <w:rFonts w:ascii="Arial" w:eastAsia="Arial Narrow" w:hAnsi="Arial" w:cs="Arial"/>
        </w:rPr>
      </w:pPr>
      <w:r w:rsidRPr="009F44F4">
        <w:rPr>
          <w:rFonts w:ascii="Arial" w:eastAsia="Arial Narrow" w:hAnsi="Arial" w:cs="Arial"/>
        </w:rPr>
        <w:t>Management eficient al transportului şi al mobilităţii;</w:t>
      </w:r>
    </w:p>
    <w:p w14:paraId="509EC4D2" w14:textId="77777777" w:rsidR="00D70AEA" w:rsidRPr="009F44F4" w:rsidRDefault="00D70AEA" w:rsidP="000C6CB8">
      <w:pPr>
        <w:pStyle w:val="Listparagraf"/>
        <w:numPr>
          <w:ilvl w:val="0"/>
          <w:numId w:val="125"/>
        </w:numPr>
        <w:spacing w:after="0"/>
        <w:jc w:val="both"/>
        <w:rPr>
          <w:rFonts w:ascii="Arial" w:eastAsia="Arial Narrow" w:hAnsi="Arial" w:cs="Arial"/>
        </w:rPr>
      </w:pPr>
      <w:r w:rsidRPr="009F44F4">
        <w:rPr>
          <w:rFonts w:ascii="Arial" w:eastAsia="Arial Narrow" w:hAnsi="Arial" w:cs="Arial"/>
        </w:rPr>
        <w:t>Bună distribuţie a bunurilor şi servicii de logistică performante;</w:t>
      </w:r>
    </w:p>
    <w:p w14:paraId="75F183A7" w14:textId="77777777" w:rsidR="00D70AEA" w:rsidRPr="000B7841" w:rsidRDefault="00D70AEA" w:rsidP="000C6CB8">
      <w:pPr>
        <w:pStyle w:val="Listparagraf"/>
        <w:numPr>
          <w:ilvl w:val="0"/>
          <w:numId w:val="125"/>
        </w:numPr>
        <w:spacing w:after="0"/>
        <w:jc w:val="both"/>
        <w:rPr>
          <w:rFonts w:ascii="Arial" w:eastAsia="Arial Narrow" w:hAnsi="Arial" w:cs="Arial"/>
        </w:rPr>
      </w:pPr>
      <w:r w:rsidRPr="000B7841">
        <w:rPr>
          <w:rFonts w:ascii="Arial" w:eastAsia="Arial Narrow" w:hAnsi="Arial" w:cs="Arial"/>
        </w:rPr>
        <w:t xml:space="preserve">Restricţionarea accesului auto în anumite zone ale </w:t>
      </w:r>
      <w:r w:rsidR="00537880" w:rsidRPr="000B7841">
        <w:rPr>
          <w:rFonts w:ascii="Arial" w:eastAsia="Arial Narrow" w:hAnsi="Arial" w:cs="Arial"/>
        </w:rPr>
        <w:t>oraşului</w:t>
      </w:r>
      <w:r w:rsidRPr="000B7841">
        <w:rPr>
          <w:rFonts w:ascii="Arial" w:eastAsia="Arial Narrow" w:hAnsi="Arial" w:cs="Arial"/>
        </w:rPr>
        <w:t>;</w:t>
      </w:r>
    </w:p>
    <w:p w14:paraId="4D5495ED" w14:textId="77777777" w:rsidR="00D70AEA" w:rsidRPr="000B7841" w:rsidRDefault="00D70AEA" w:rsidP="000C6CB8">
      <w:pPr>
        <w:pStyle w:val="Listparagraf"/>
        <w:numPr>
          <w:ilvl w:val="0"/>
          <w:numId w:val="125"/>
        </w:numPr>
        <w:spacing w:after="0"/>
        <w:jc w:val="both"/>
        <w:rPr>
          <w:rFonts w:ascii="Arial" w:eastAsia="Arial Narrow" w:hAnsi="Arial" w:cs="Arial"/>
        </w:rPr>
      </w:pPr>
      <w:r w:rsidRPr="000B7841">
        <w:rPr>
          <w:rFonts w:ascii="Arial" w:eastAsia="Arial Narrow" w:hAnsi="Arial" w:cs="Arial"/>
        </w:rPr>
        <w:t>Promovarea transportului în comun;</w:t>
      </w:r>
    </w:p>
    <w:p w14:paraId="41089378" w14:textId="77777777" w:rsidR="00D70AEA" w:rsidRPr="009F44F4" w:rsidRDefault="00D70AEA" w:rsidP="000C6CB8">
      <w:pPr>
        <w:pStyle w:val="Listparagraf"/>
        <w:numPr>
          <w:ilvl w:val="0"/>
          <w:numId w:val="125"/>
        </w:numPr>
        <w:spacing w:after="0"/>
        <w:jc w:val="both"/>
        <w:rPr>
          <w:rFonts w:ascii="Arial" w:eastAsia="Arial Narrow" w:hAnsi="Arial" w:cs="Arial"/>
        </w:rPr>
      </w:pPr>
      <w:r w:rsidRPr="009F44F4">
        <w:rPr>
          <w:rFonts w:ascii="Arial" w:eastAsia="Arial Narrow" w:hAnsi="Arial" w:cs="Arial"/>
        </w:rPr>
        <w:t>Promovarea unor mijloace de transport alternative;</w:t>
      </w:r>
    </w:p>
    <w:p w14:paraId="010E2B6E" w14:textId="77777777" w:rsidR="00D70AEA" w:rsidRPr="009F44F4" w:rsidRDefault="00D70AEA" w:rsidP="000C6CB8">
      <w:pPr>
        <w:pStyle w:val="Listparagraf"/>
        <w:numPr>
          <w:ilvl w:val="0"/>
          <w:numId w:val="125"/>
        </w:numPr>
        <w:spacing w:after="0"/>
        <w:jc w:val="both"/>
        <w:rPr>
          <w:rFonts w:ascii="Arial" w:eastAsia="Arial Narrow" w:hAnsi="Arial" w:cs="Arial"/>
        </w:rPr>
      </w:pPr>
      <w:r w:rsidRPr="009F44F4">
        <w:rPr>
          <w:rFonts w:ascii="Arial" w:eastAsia="Arial Narrow" w:hAnsi="Arial" w:cs="Arial"/>
        </w:rPr>
        <w:t>Înlocuirea maşinii personale în favoarea transportului în comun, mersului pe jos, mersului cu bicicleta, cu motocicleta sau cu scuterul;</w:t>
      </w:r>
    </w:p>
    <w:p w14:paraId="17A4BD5B" w14:textId="77777777" w:rsidR="00D70AEA" w:rsidRPr="009F44F4" w:rsidRDefault="00D70AEA" w:rsidP="000C6CB8">
      <w:pPr>
        <w:pStyle w:val="Listparagraf"/>
        <w:numPr>
          <w:ilvl w:val="0"/>
          <w:numId w:val="125"/>
        </w:numPr>
        <w:spacing w:after="0"/>
        <w:jc w:val="both"/>
        <w:rPr>
          <w:rFonts w:ascii="Arial" w:eastAsia="Arial Narrow" w:hAnsi="Arial" w:cs="Arial"/>
        </w:rPr>
      </w:pPr>
      <w:r w:rsidRPr="009F44F4">
        <w:rPr>
          <w:rFonts w:ascii="Arial" w:eastAsia="Arial Narrow" w:hAnsi="Arial" w:cs="Arial"/>
        </w:rPr>
        <w:t>Asigurarea unor spaţii de parcare suficiente şi a unor piste de rolleri şi biciclişti;</w:t>
      </w:r>
    </w:p>
    <w:p w14:paraId="26010DD9" w14:textId="77777777" w:rsidR="00D70AEA" w:rsidRPr="009F44F4" w:rsidRDefault="00D70AEA" w:rsidP="000C6CB8">
      <w:pPr>
        <w:pStyle w:val="Listparagraf"/>
        <w:numPr>
          <w:ilvl w:val="0"/>
          <w:numId w:val="125"/>
        </w:numPr>
        <w:spacing w:after="0"/>
        <w:jc w:val="both"/>
        <w:rPr>
          <w:rFonts w:ascii="Arial" w:eastAsia="Calibri" w:hAnsi="Arial" w:cs="Arial"/>
        </w:rPr>
      </w:pPr>
      <w:r w:rsidRPr="009F44F4">
        <w:rPr>
          <w:rFonts w:ascii="Arial" w:eastAsia="Arial Narrow" w:hAnsi="Arial" w:cs="Arial"/>
        </w:rPr>
        <w:t>Creşterea atractivităţii şi a calităţii mediului urban.</w:t>
      </w:r>
    </w:p>
    <w:p w14:paraId="117D0F3F" w14:textId="77777777" w:rsidR="009F44F4" w:rsidRPr="009F44F4" w:rsidRDefault="009F44F4" w:rsidP="009F44F4">
      <w:pPr>
        <w:pStyle w:val="Listparagraf"/>
        <w:spacing w:after="0"/>
        <w:jc w:val="both"/>
        <w:rPr>
          <w:rFonts w:ascii="Arial" w:eastAsia="Calibri" w:hAnsi="Arial" w:cs="Arial"/>
        </w:rPr>
      </w:pPr>
    </w:p>
    <w:p w14:paraId="05BE91B6" w14:textId="56BFEB60" w:rsidR="00D70AEA" w:rsidRPr="00D70AEA" w:rsidRDefault="00D70AEA" w:rsidP="00D70AEA">
      <w:pPr>
        <w:widowControl w:val="0"/>
        <w:suppressAutoHyphens/>
        <w:autoSpaceDE w:val="0"/>
        <w:spacing w:after="0" w:line="276" w:lineRule="auto"/>
        <w:jc w:val="both"/>
        <w:rPr>
          <w:rFonts w:ascii="Arial" w:eastAsia="Times New Roman" w:hAnsi="Arial" w:cs="Arial"/>
          <w:b/>
          <w:bCs/>
          <w:kern w:val="1"/>
          <w:lang w:val="ro-RO" w:eastAsia="zh-CN"/>
        </w:rPr>
      </w:pPr>
      <w:r w:rsidRPr="00D70AEA">
        <w:rPr>
          <w:rFonts w:ascii="Arial" w:eastAsia="Times New Roman" w:hAnsi="Arial" w:cs="Arial"/>
          <w:b/>
          <w:bCs/>
          <w:kern w:val="1"/>
          <w:lang w:val="ro-RO" w:eastAsia="zh-CN"/>
        </w:rPr>
        <w:t xml:space="preserve">I. Strategic </w:t>
      </w:r>
      <w:r w:rsidRPr="00D70AEA">
        <w:rPr>
          <w:rFonts w:ascii="Arial" w:eastAsia="Times New Roman" w:hAnsi="Arial" w:cs="Arial"/>
          <w:kern w:val="1"/>
          <w:lang w:val="ro-RO" w:eastAsia="zh-CN"/>
        </w:rPr>
        <w:t>este necesară adaptarea recomandărilor principale ale dezvoltării durabile (aşa cum au fost enunţate în 1992, în Declaraţia de la Rio asupra mediului şi dezvoltării</w:t>
      </w:r>
      <w:r w:rsidR="00D6687B">
        <w:rPr>
          <w:rStyle w:val="Referinnotdesubsol"/>
          <w:rFonts w:ascii="Arial" w:eastAsia="Times New Roman" w:hAnsi="Arial" w:cs="Arial"/>
          <w:kern w:val="1"/>
          <w:lang w:val="ro-RO" w:eastAsia="zh-CN"/>
        </w:rPr>
        <w:footnoteReference w:id="5"/>
      </w:r>
      <w:r w:rsidRPr="00D70AEA">
        <w:rPr>
          <w:rFonts w:ascii="Arial" w:eastAsia="Times New Roman" w:hAnsi="Arial" w:cs="Arial"/>
          <w:kern w:val="1"/>
          <w:lang w:val="ro-RO" w:eastAsia="zh-CN"/>
        </w:rPr>
        <w:t>)</w:t>
      </w:r>
      <w:r w:rsidRPr="00D70AEA">
        <w:rPr>
          <w:rFonts w:ascii="Arial" w:eastAsia="Times New Roman" w:hAnsi="Arial" w:cs="Arial"/>
          <w:b/>
          <w:bCs/>
          <w:kern w:val="1"/>
          <w:lang w:val="ro-RO" w:eastAsia="zh-CN"/>
        </w:rPr>
        <w:t xml:space="preserve"> </w:t>
      </w:r>
      <w:r w:rsidRPr="00D70AEA">
        <w:rPr>
          <w:rFonts w:ascii="Arial" w:eastAsia="Times New Roman" w:hAnsi="Arial" w:cs="Arial"/>
          <w:kern w:val="1"/>
          <w:lang w:val="ro-RO" w:eastAsia="zh-CN"/>
        </w:rPr>
        <w:t xml:space="preserve">la realităţile urbane: </w:t>
      </w:r>
    </w:p>
    <w:p w14:paraId="7AE89638"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1</w:t>
      </w:r>
      <w:r w:rsidRPr="00800AAF">
        <w:rPr>
          <w:rFonts w:ascii="Arial" w:eastAsia="Times New Roman" w:hAnsi="Arial" w:cs="Arial"/>
          <w:bCs/>
          <w:kern w:val="1"/>
          <w:lang w:val="ro-RO" w:eastAsia="zh-CN"/>
        </w:rPr>
        <w:t>:</w:t>
      </w:r>
      <w:r w:rsidRPr="00800AAF">
        <w:rPr>
          <w:rFonts w:ascii="Arial" w:eastAsia="Times New Roman" w:hAnsi="Arial" w:cs="Arial"/>
          <w:kern w:val="1"/>
          <w:lang w:val="ro-RO" w:eastAsia="zh-CN"/>
        </w:rPr>
        <w:t xml:space="preserve"> </w:t>
      </w:r>
      <w:r w:rsidRPr="00D70AEA">
        <w:rPr>
          <w:rFonts w:ascii="Arial" w:eastAsia="Times New Roman" w:hAnsi="Arial" w:cs="Arial"/>
          <w:kern w:val="1"/>
          <w:lang w:val="ro-RO" w:eastAsia="zh-CN"/>
        </w:rPr>
        <w:t>Oamenii stau în centrul preocupărilor dezvoltării durabile. Cetăţenii au dreptul la o viaţă sănătoasă şi productivă, în armonie cu natura.</w:t>
      </w:r>
    </w:p>
    <w:p w14:paraId="47D7D326"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2</w:t>
      </w:r>
      <w:r w:rsidRPr="00800AAF">
        <w:rPr>
          <w:rFonts w:ascii="Arial" w:eastAsia="Times New Roman" w:hAnsi="Arial" w:cs="Arial"/>
          <w:bCs/>
          <w:kern w:val="1"/>
          <w:lang w:val="ro-RO" w:eastAsia="zh-CN"/>
        </w:rPr>
        <w:t>:</w:t>
      </w:r>
      <w:r w:rsidRPr="00D70AEA">
        <w:rPr>
          <w:rFonts w:ascii="Arial" w:eastAsia="Times New Roman" w:hAnsi="Arial" w:cs="Arial"/>
          <w:kern w:val="1"/>
          <w:lang w:val="ro-RO" w:eastAsia="zh-CN"/>
        </w:rPr>
        <w:t xml:space="preserve"> Oraşele au dreptul de a-şi exploata resursele materiale şi de a-şi organiza resursele umane în conformitate cu politicile lor de mediu şi de dezvoltare, doar dacă activităţile desfăşurate sub jurisdicţia sau controlul lor nu cauzează daune mediului local sau a zonelor aflate în imediata proximitate.</w:t>
      </w:r>
    </w:p>
    <w:p w14:paraId="3DCC3125"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bookmarkStart w:id="15" w:name="more"/>
      <w:bookmarkEnd w:id="15"/>
      <w:r w:rsidRPr="00D70AEA">
        <w:rPr>
          <w:rFonts w:ascii="Arial" w:eastAsia="Times New Roman" w:hAnsi="Arial" w:cs="Arial"/>
          <w:bCs/>
          <w:i/>
          <w:kern w:val="1"/>
          <w:u w:val="single"/>
          <w:lang w:val="ro-RO" w:eastAsia="zh-CN"/>
        </w:rPr>
        <w:t>Recomandarea 3</w:t>
      </w:r>
      <w:r w:rsidRPr="00D70AEA">
        <w:rPr>
          <w:rFonts w:ascii="Arial" w:eastAsia="Times New Roman" w:hAnsi="Arial" w:cs="Arial"/>
          <w:bCs/>
          <w:i/>
          <w:kern w:val="1"/>
          <w:lang w:val="ro-RO" w:eastAsia="zh-CN"/>
        </w:rPr>
        <w:t>:</w:t>
      </w:r>
      <w:r w:rsidRPr="00D70AEA">
        <w:rPr>
          <w:rFonts w:ascii="Arial" w:eastAsia="Times New Roman" w:hAnsi="Arial" w:cs="Arial"/>
          <w:kern w:val="1"/>
          <w:lang w:val="ro-RO" w:eastAsia="zh-CN"/>
        </w:rPr>
        <w:t xml:space="preserve"> Dreptul la dezvoltare trebuie îndeplinit astfel încât să întrunească nevoile de dezvoltare şi de mediu ale generaţiilor prezente şi viitoare.</w:t>
      </w:r>
    </w:p>
    <w:p w14:paraId="5D863833"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4</w:t>
      </w:r>
      <w:r w:rsidRPr="00800AAF">
        <w:rPr>
          <w:rFonts w:ascii="Arial" w:eastAsia="Times New Roman" w:hAnsi="Arial" w:cs="Arial"/>
          <w:bCs/>
          <w:kern w:val="1"/>
          <w:lang w:val="ro-RO" w:eastAsia="zh-CN"/>
        </w:rPr>
        <w:t>:</w:t>
      </w:r>
      <w:r w:rsidRPr="00800AAF">
        <w:rPr>
          <w:rFonts w:ascii="Arial" w:eastAsia="Times New Roman" w:hAnsi="Arial" w:cs="Arial"/>
          <w:kern w:val="1"/>
          <w:lang w:val="ro-RO" w:eastAsia="zh-CN"/>
        </w:rPr>
        <w:t xml:space="preserve"> </w:t>
      </w:r>
      <w:r w:rsidRPr="00D70AEA">
        <w:rPr>
          <w:rFonts w:ascii="Arial" w:eastAsia="Times New Roman" w:hAnsi="Arial" w:cs="Arial"/>
          <w:kern w:val="1"/>
          <w:lang w:val="ro-RO" w:eastAsia="zh-CN"/>
        </w:rPr>
        <w:t>Pentru atingerea dezvoltării durabile, protecţia mediului trebuie să constituie parte integrantă a procesului de dezvoltare şi nu poate fi considerată izolată de acesta.</w:t>
      </w:r>
    </w:p>
    <w:p w14:paraId="0126DB9E"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5</w:t>
      </w:r>
      <w:r w:rsidRPr="00D70AEA">
        <w:rPr>
          <w:rFonts w:ascii="Arial" w:eastAsia="Times New Roman" w:hAnsi="Arial" w:cs="Arial"/>
          <w:kern w:val="1"/>
          <w:lang w:val="ro-RO" w:eastAsia="zh-CN"/>
        </w:rPr>
        <w:t>: Toate instituţiile locale şi centrale trebuie să coopereze în scopul esenţial al eradicării sărăciei, ca cerinţa indispensabilă a dezvoltării durabile, pentru a diminua inegalităţile între standardele</w:t>
      </w:r>
      <w:r w:rsidR="00B9079A">
        <w:rPr>
          <w:rFonts w:ascii="Arial" w:eastAsia="Times New Roman" w:hAnsi="Arial" w:cs="Arial"/>
          <w:kern w:val="1"/>
          <w:lang w:val="ro-RO" w:eastAsia="zh-CN"/>
        </w:rPr>
        <w:t xml:space="preserve"> de viaţă</w:t>
      </w:r>
      <w:r w:rsidRPr="00D70AEA">
        <w:rPr>
          <w:rFonts w:ascii="Arial" w:eastAsia="Times New Roman" w:hAnsi="Arial" w:cs="Arial"/>
          <w:kern w:val="1"/>
          <w:lang w:val="ro-RO" w:eastAsia="zh-CN"/>
        </w:rPr>
        <w:t xml:space="preserve"> şi pentru a satisface mai bine nevoile majorităţii oamenilor.</w:t>
      </w:r>
    </w:p>
    <w:p w14:paraId="4AC3DCC4"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6</w:t>
      </w:r>
      <w:r w:rsidRPr="00800AAF">
        <w:rPr>
          <w:rFonts w:ascii="Arial" w:eastAsia="Times New Roman" w:hAnsi="Arial" w:cs="Arial"/>
          <w:bCs/>
          <w:kern w:val="1"/>
          <w:lang w:val="ro-RO" w:eastAsia="zh-CN"/>
        </w:rPr>
        <w:t>:</w:t>
      </w:r>
      <w:r w:rsidRPr="00D70AEA">
        <w:rPr>
          <w:rFonts w:ascii="Arial" w:eastAsia="Times New Roman" w:hAnsi="Arial" w:cs="Arial"/>
          <w:kern w:val="1"/>
          <w:lang w:val="ro-RO" w:eastAsia="zh-CN"/>
        </w:rPr>
        <w:t xml:space="preserve"> Situaţiei speciale şi nevoilor zonelor locale defavorizate din componenţa oraşelor, îndeosebi a celor mai puţin dezvoltate trebuie să li se acorde prioritate. Acţiunile în domeniul mediului şi dezvoltării trebuie, de asemenea, să se adreseze intereselor şi nevoilor tuturor cetăţenilor.</w:t>
      </w:r>
    </w:p>
    <w:p w14:paraId="56F93706"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7</w:t>
      </w:r>
      <w:r w:rsidRPr="00800AAF">
        <w:rPr>
          <w:rFonts w:ascii="Arial" w:eastAsia="Times New Roman" w:hAnsi="Arial" w:cs="Arial"/>
          <w:bCs/>
          <w:kern w:val="1"/>
          <w:lang w:val="ro-RO" w:eastAsia="zh-CN"/>
        </w:rPr>
        <w:t>:</w:t>
      </w:r>
      <w:r w:rsidRPr="00D70AEA">
        <w:rPr>
          <w:rFonts w:ascii="Arial" w:eastAsia="Times New Roman" w:hAnsi="Arial" w:cs="Arial"/>
          <w:kern w:val="1"/>
          <w:lang w:val="ro-RO" w:eastAsia="zh-CN"/>
        </w:rPr>
        <w:t xml:space="preserve"> Pentru a atinge dezvoltarea durabilă şi o calitate mai bună a vieţii pentru toţi cetăţenii, administraţiile oraşelor trebuie să reducă şi să elimine modelele nesustenabile de producţie şi consum şi să promoveze politici demografice potrivite.</w:t>
      </w:r>
    </w:p>
    <w:p w14:paraId="31C0D518"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lastRenderedPageBreak/>
        <w:t>Recomandarea 8</w:t>
      </w:r>
      <w:r w:rsidRPr="00800AAF">
        <w:rPr>
          <w:rFonts w:ascii="Arial" w:eastAsia="Times New Roman" w:hAnsi="Arial" w:cs="Arial"/>
          <w:bCs/>
          <w:kern w:val="1"/>
          <w:lang w:val="ro-RO" w:eastAsia="zh-CN"/>
        </w:rPr>
        <w:t>:</w:t>
      </w:r>
      <w:r w:rsidRPr="00D70AEA">
        <w:rPr>
          <w:rFonts w:ascii="Arial" w:eastAsia="Times New Roman" w:hAnsi="Arial" w:cs="Arial"/>
          <w:kern w:val="1"/>
          <w:lang w:val="ro-RO" w:eastAsia="zh-CN"/>
        </w:rPr>
        <w:t xml:space="preserve"> Problemele de mediu sunt cel mai bine tratate prin participarea tuturor cetăţenilor de la nivelul relevant. Pentru aceasta fiecare individ trebuie să aibă acces corespunzător la informaţiile deţinute de autorităţile publice, inclusiv la informaţii asupra activităţilor şi materialelor periculoase de la nivelul comunităţilor lor şi să aibă oportunitatea de a participa la procesul de luare a deciziilor. Factorii de conducere de pe toate treptele trebuie să faciliteze şi să încurajeze conştientizarea şi participarea publicului făcând informaţia disponibilă la nivel cât mai larg.</w:t>
      </w:r>
    </w:p>
    <w:p w14:paraId="4DBBD37B"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9</w:t>
      </w:r>
      <w:r w:rsidRPr="00800AAF">
        <w:rPr>
          <w:rFonts w:ascii="Arial" w:eastAsia="Times New Roman" w:hAnsi="Arial" w:cs="Arial"/>
          <w:bCs/>
          <w:kern w:val="1"/>
          <w:lang w:val="ro-RO" w:eastAsia="zh-CN"/>
        </w:rPr>
        <w:t>:</w:t>
      </w:r>
      <w:r w:rsidRPr="00D70AEA">
        <w:rPr>
          <w:rFonts w:ascii="Arial" w:eastAsia="Times New Roman" w:hAnsi="Arial" w:cs="Arial"/>
          <w:kern w:val="1"/>
          <w:lang w:val="ro-RO" w:eastAsia="zh-CN"/>
        </w:rPr>
        <w:t xml:space="preserve"> Autorităţile locale trebuie să promoveze internalizarea costurilor de mediu şi utilizarea instrumentelor economice, luând în considerare modul de abordare conform căruia poluatorul trebuie să suporte costul poluării.</w:t>
      </w:r>
    </w:p>
    <w:p w14:paraId="39AD06C0"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10</w:t>
      </w:r>
      <w:r w:rsidRPr="00D70AEA">
        <w:rPr>
          <w:rFonts w:ascii="Arial" w:eastAsia="Times New Roman" w:hAnsi="Arial" w:cs="Arial"/>
          <w:kern w:val="1"/>
          <w:lang w:val="ro-RO" w:eastAsia="zh-CN"/>
        </w:rPr>
        <w:t xml:space="preserve">: Participarea ambelor sexe la toate activităţile privind dezvoltarea oraşelor este esenţială pentru dezvoltarea durabilă armonioasă. </w:t>
      </w:r>
    </w:p>
    <w:p w14:paraId="3DE8D143"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11</w:t>
      </w:r>
      <w:r w:rsidRPr="00800AAF">
        <w:rPr>
          <w:rFonts w:ascii="Arial" w:eastAsia="Times New Roman" w:hAnsi="Arial" w:cs="Arial"/>
          <w:bCs/>
          <w:kern w:val="1"/>
          <w:lang w:val="ro-RO" w:eastAsia="zh-CN"/>
        </w:rPr>
        <w:t>:</w:t>
      </w:r>
      <w:r w:rsidRPr="00D70AEA">
        <w:rPr>
          <w:rFonts w:ascii="Arial" w:eastAsia="Times New Roman" w:hAnsi="Arial" w:cs="Arial"/>
          <w:kern w:val="1"/>
          <w:lang w:val="ro-RO" w:eastAsia="zh-CN"/>
        </w:rPr>
        <w:t xml:space="preserve"> Implicarea tinerilor trebuie să fie un obiectiv al administraţiilor locale, astfel încât să se creeze un parteneriat global pentru a atinge dezvoltarea durabilă şi pentru a asigura un viitor mai bun pentru toţi.</w:t>
      </w:r>
    </w:p>
    <w:p w14:paraId="27B0C531" w14:textId="77777777" w:rsidR="00D70AEA" w:rsidRPr="00D70AEA" w:rsidRDefault="00D70AEA" w:rsidP="00D70AEA">
      <w:pPr>
        <w:suppressAutoHyphens/>
        <w:autoSpaceDE w:val="0"/>
        <w:spacing w:line="276" w:lineRule="auto"/>
        <w:jc w:val="both"/>
        <w:rPr>
          <w:rFonts w:ascii="Arial" w:eastAsia="Times New Roman" w:hAnsi="Arial" w:cs="Arial"/>
          <w:bCs/>
          <w:i/>
          <w:kern w:val="1"/>
          <w:u w:val="single"/>
          <w:lang w:val="ro-RO" w:eastAsia="zh-CN"/>
        </w:rPr>
      </w:pPr>
      <w:r w:rsidRPr="00D70AEA">
        <w:rPr>
          <w:rFonts w:ascii="Arial" w:eastAsia="Times New Roman" w:hAnsi="Arial" w:cs="Arial"/>
          <w:bCs/>
          <w:i/>
          <w:kern w:val="1"/>
          <w:u w:val="single"/>
          <w:lang w:val="ro-RO" w:eastAsia="zh-CN"/>
        </w:rPr>
        <w:t>Recomandarea 12</w:t>
      </w:r>
      <w:r w:rsidRPr="00800AAF">
        <w:rPr>
          <w:rFonts w:ascii="Arial" w:eastAsia="Times New Roman" w:hAnsi="Arial" w:cs="Arial"/>
          <w:bCs/>
          <w:kern w:val="1"/>
          <w:lang w:val="ro-RO" w:eastAsia="zh-CN"/>
        </w:rPr>
        <w:t>:</w:t>
      </w:r>
      <w:r w:rsidRPr="00D70AEA">
        <w:rPr>
          <w:rFonts w:ascii="Arial" w:eastAsia="Times New Roman" w:hAnsi="Arial" w:cs="Arial"/>
          <w:kern w:val="1"/>
          <w:lang w:val="ro-RO" w:eastAsia="zh-CN"/>
        </w:rPr>
        <w:t xml:space="preserve"> Comunităţile locale deţin un rol vital în managementul mediului şi dezvoltarea la nivel global (datorită cunoştinţelor şi tradiţiilor): autorităţile centrale trebuie să le recunoască şi să le susţină în mod just identitatea, cultura şi interesele şi să le permită participarea eficientă la atingerea dezvoltării durabile.</w:t>
      </w:r>
    </w:p>
    <w:p w14:paraId="4389B813" w14:textId="77777777" w:rsidR="00D70AEA" w:rsidRPr="00D70AEA" w:rsidRDefault="00D70AEA" w:rsidP="00D70AEA">
      <w:pPr>
        <w:suppressAutoHyphens/>
        <w:autoSpaceDE w:val="0"/>
        <w:spacing w:line="276" w:lineRule="auto"/>
        <w:jc w:val="both"/>
        <w:rPr>
          <w:rFonts w:ascii="Arial" w:eastAsia="Times New Roman" w:hAnsi="Arial" w:cs="Arial"/>
          <w:kern w:val="1"/>
          <w:lang w:val="ro-RO" w:eastAsia="zh-CN"/>
        </w:rPr>
      </w:pPr>
      <w:r w:rsidRPr="00D70AEA">
        <w:rPr>
          <w:rFonts w:ascii="Arial" w:eastAsia="Times New Roman" w:hAnsi="Arial" w:cs="Arial"/>
          <w:bCs/>
          <w:i/>
          <w:kern w:val="1"/>
          <w:u w:val="single"/>
          <w:lang w:val="ro-RO" w:eastAsia="zh-CN"/>
        </w:rPr>
        <w:t>Recomandarea 13</w:t>
      </w:r>
      <w:r w:rsidRPr="00D70AEA">
        <w:rPr>
          <w:rFonts w:ascii="Arial" w:eastAsia="Times New Roman" w:hAnsi="Arial" w:cs="Arial"/>
          <w:kern w:val="1"/>
          <w:lang w:val="ro-RO" w:eastAsia="zh-CN"/>
        </w:rPr>
        <w:t>: Pacea socială, dezvoltarea localităţii şi protecţia mediului sunt interdependente şi inseparabile.</w:t>
      </w:r>
    </w:p>
    <w:p w14:paraId="1567917D" w14:textId="77777777" w:rsidR="00D70AEA" w:rsidRPr="00D70AEA" w:rsidRDefault="00D70AEA" w:rsidP="00D70AEA">
      <w:pPr>
        <w:suppressAutoHyphens/>
        <w:autoSpaceDE w:val="0"/>
        <w:spacing w:after="0" w:line="276" w:lineRule="auto"/>
        <w:jc w:val="both"/>
        <w:rPr>
          <w:rFonts w:ascii="Arial" w:eastAsia="Times New Roman" w:hAnsi="Arial" w:cs="Arial"/>
          <w:kern w:val="1"/>
          <w:lang w:val="ro-RO" w:eastAsia="zh-CN"/>
        </w:rPr>
      </w:pPr>
    </w:p>
    <w:p w14:paraId="4145210E" w14:textId="77777777" w:rsidR="00D70AEA" w:rsidRPr="00D70AEA" w:rsidRDefault="00D70AEA" w:rsidP="00D70AEA">
      <w:pPr>
        <w:widowControl w:val="0"/>
        <w:suppressAutoHyphens/>
        <w:autoSpaceDE w:val="0"/>
        <w:spacing w:after="0" w:line="276" w:lineRule="auto"/>
        <w:jc w:val="both"/>
        <w:rPr>
          <w:rFonts w:ascii="Arial" w:eastAsia="Times New Roman" w:hAnsi="Arial" w:cs="Arial"/>
          <w:color w:val="000000"/>
          <w:kern w:val="1"/>
          <w:lang w:val="ro-RO" w:eastAsia="zh-CN"/>
        </w:rPr>
      </w:pPr>
      <w:r w:rsidRPr="00D70AEA">
        <w:rPr>
          <w:rFonts w:ascii="Arial" w:eastAsia="Times New Roman" w:hAnsi="Arial" w:cs="Arial"/>
          <w:b/>
          <w:bCs/>
          <w:kern w:val="1"/>
          <w:lang w:val="ro-RO" w:eastAsia="zh-CN"/>
        </w:rPr>
        <w:t xml:space="preserve">II. Tactic </w:t>
      </w:r>
      <w:r w:rsidRPr="00D70AEA">
        <w:rPr>
          <w:rFonts w:ascii="Arial" w:eastAsia="Times New Roman" w:hAnsi="Arial" w:cs="Arial"/>
          <w:kern w:val="1"/>
          <w:lang w:val="ro-RO" w:eastAsia="zh-CN"/>
        </w:rPr>
        <w:t xml:space="preserve">este necesară identificarea contextului în care se încadrează domeniul analizat: </w:t>
      </w:r>
    </w:p>
    <w:p w14:paraId="1411FC37"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A. Transporturile urbane ocupă un loc important în ansamblul transporturilor; </w:t>
      </w:r>
    </w:p>
    <w:p w14:paraId="11059390" w14:textId="5298F11C" w:rsidR="00905329" w:rsidRDefault="00D70AEA" w:rsidP="00905329">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B. </w:t>
      </w:r>
      <w:r w:rsidR="00800AAF" w:rsidRPr="00800AAF">
        <w:rPr>
          <w:rFonts w:ascii="Arial" w:eastAsia="Times New Roman" w:hAnsi="Arial" w:cs="Arial"/>
          <w:b/>
          <w:color w:val="000000"/>
          <w:kern w:val="1"/>
          <w:lang w:val="ro-RO" w:eastAsia="zh-CN"/>
        </w:rPr>
        <w:t>Acordul de la Paris</w:t>
      </w:r>
      <w:r w:rsidR="00800AAF">
        <w:rPr>
          <w:rFonts w:ascii="Arial" w:eastAsia="Times New Roman" w:hAnsi="Arial" w:cs="Arial"/>
          <w:color w:val="000000"/>
          <w:kern w:val="1"/>
          <w:lang w:val="ro-RO" w:eastAsia="zh-CN"/>
        </w:rPr>
        <w:t xml:space="preserve"> privind schimbările climatice</w:t>
      </w:r>
      <w:r w:rsidR="00D6687B">
        <w:rPr>
          <w:rStyle w:val="Referinnotdesubsol"/>
          <w:rFonts w:ascii="Arial" w:eastAsia="Times New Roman" w:hAnsi="Arial" w:cs="Arial"/>
          <w:color w:val="000000"/>
          <w:kern w:val="1"/>
          <w:lang w:val="ro-RO" w:eastAsia="zh-CN"/>
        </w:rPr>
        <w:footnoteReference w:id="6"/>
      </w:r>
      <w:r w:rsidR="00800AAF">
        <w:rPr>
          <w:rFonts w:ascii="Arial" w:eastAsia="Times New Roman" w:hAnsi="Arial" w:cs="Arial"/>
          <w:color w:val="000000"/>
          <w:kern w:val="1"/>
          <w:lang w:val="ro-RO" w:eastAsia="zh-CN"/>
        </w:rPr>
        <w:t xml:space="preserve"> are ca scop limitarea încălzirii globale şi susţinerea ţărilor care au semnat acrodul în demersurile de adaptare şi diminuare a efectelor schimbărilor climatice. </w:t>
      </w:r>
      <w:r w:rsidR="00800AAF" w:rsidRPr="00800AAF">
        <w:rPr>
          <w:rFonts w:ascii="Arial" w:eastAsia="Times New Roman" w:hAnsi="Arial" w:cs="Arial"/>
          <w:color w:val="000000"/>
          <w:kern w:val="1"/>
          <w:lang w:val="ro-RO" w:eastAsia="zh-CN"/>
        </w:rPr>
        <w:t>Scopul principal al acordului este de a menține creșterea temperaturii</w:t>
      </w:r>
      <w:r w:rsidR="00800AAF">
        <w:rPr>
          <w:rFonts w:ascii="Arial" w:eastAsia="Times New Roman" w:hAnsi="Arial" w:cs="Arial"/>
          <w:color w:val="000000"/>
          <w:kern w:val="1"/>
          <w:lang w:val="ro-RO" w:eastAsia="zh-CN"/>
        </w:rPr>
        <w:t xml:space="preserve"> </w:t>
      </w:r>
      <w:r w:rsidR="00800AAF" w:rsidRPr="00800AAF">
        <w:rPr>
          <w:rFonts w:ascii="Arial" w:eastAsia="Times New Roman" w:hAnsi="Arial" w:cs="Arial"/>
          <w:color w:val="000000"/>
          <w:kern w:val="1"/>
          <w:lang w:val="ro-RO" w:eastAsia="zh-CN"/>
        </w:rPr>
        <w:t>medie globale „bine sub 2˚C“ și menținerea eforturilor de a limita creșterea temperaturii la 1.5 ˚C, raportat</w:t>
      </w:r>
      <w:r w:rsidR="00800AAF">
        <w:rPr>
          <w:rFonts w:ascii="Arial" w:eastAsia="Times New Roman" w:hAnsi="Arial" w:cs="Arial"/>
          <w:color w:val="000000"/>
          <w:kern w:val="1"/>
          <w:lang w:val="ro-RO" w:eastAsia="zh-CN"/>
        </w:rPr>
        <w:t xml:space="preserve"> </w:t>
      </w:r>
      <w:r w:rsidR="00800AAF" w:rsidRPr="00800AAF">
        <w:rPr>
          <w:rFonts w:ascii="Arial" w:eastAsia="Times New Roman" w:hAnsi="Arial" w:cs="Arial"/>
          <w:color w:val="000000"/>
          <w:kern w:val="1"/>
          <w:lang w:val="ro-RO" w:eastAsia="zh-CN"/>
        </w:rPr>
        <w:t xml:space="preserve">la valorile pre-industriale. Totodată, acordul prezintă  o serie de aspecte cheie ce trebuie  adresate în vederea combaterii schimbărilor climatice, acestea fiind susținute de Uniunea Europeană prin intermediul </w:t>
      </w:r>
      <w:r w:rsidR="00905329" w:rsidRPr="00905329">
        <w:rPr>
          <w:rFonts w:ascii="Arial" w:eastAsia="Times New Roman" w:hAnsi="Arial" w:cs="Arial"/>
          <w:b/>
          <w:color w:val="000000"/>
          <w:kern w:val="1"/>
          <w:lang w:val="ro-RO" w:eastAsia="zh-CN"/>
        </w:rPr>
        <w:t>Pactului Verde European</w:t>
      </w:r>
      <w:r w:rsidR="00D6687B">
        <w:rPr>
          <w:rStyle w:val="Referinnotdesubsol"/>
          <w:rFonts w:ascii="Arial" w:eastAsia="Times New Roman" w:hAnsi="Arial" w:cs="Arial"/>
          <w:b/>
          <w:color w:val="000000"/>
          <w:kern w:val="1"/>
          <w:lang w:val="ro-RO" w:eastAsia="zh-CN"/>
        </w:rPr>
        <w:footnoteReference w:id="7"/>
      </w:r>
      <w:r w:rsidR="00905329">
        <w:rPr>
          <w:rFonts w:ascii="Arial" w:eastAsia="Times New Roman" w:hAnsi="Arial" w:cs="Arial"/>
          <w:color w:val="000000"/>
          <w:kern w:val="1"/>
          <w:lang w:val="ro-RO" w:eastAsia="zh-CN"/>
        </w:rPr>
        <w:t xml:space="preserve">. Acesta reprezintă o nouă strategie a Uniunii Europene pentru asigurarea unei dezvoltări </w:t>
      </w:r>
      <w:r w:rsidR="00905329" w:rsidRPr="00905329">
        <w:rPr>
          <w:rFonts w:ascii="Arial" w:eastAsia="Times New Roman" w:hAnsi="Arial" w:cs="Arial"/>
          <w:color w:val="000000"/>
          <w:kern w:val="1"/>
          <w:lang w:val="ro-RO" w:eastAsia="zh-CN"/>
        </w:rPr>
        <w:t xml:space="preserve">bazate pe tehnologii verzi și soluții durabile, pentru îndeplinirea obiectivului privind neutralitatea climatică până în anul 2050. </w:t>
      </w:r>
      <w:r w:rsidR="00B9079A">
        <w:rPr>
          <w:rFonts w:ascii="Arial" w:eastAsia="Times New Roman" w:hAnsi="Arial" w:cs="Arial"/>
          <w:color w:val="000000"/>
          <w:kern w:val="1"/>
          <w:lang w:val="ro-RO" w:eastAsia="zh-CN"/>
        </w:rPr>
        <w:t>În acest sens</w:t>
      </w:r>
      <w:r w:rsidR="00905329" w:rsidRPr="00905329">
        <w:rPr>
          <w:rFonts w:ascii="Arial" w:eastAsia="Times New Roman" w:hAnsi="Arial" w:cs="Arial"/>
          <w:color w:val="000000"/>
          <w:kern w:val="1"/>
          <w:lang w:val="ro-RO" w:eastAsia="zh-CN"/>
        </w:rPr>
        <w:t xml:space="preserve">, blocul european își propune să susțină cetățenii și companiile deopotrivă pentru a dezvolta și utiliza soluții ce susțin tranziția către o economie verde. </w:t>
      </w:r>
    </w:p>
    <w:p w14:paraId="1DFABD07" w14:textId="77777777" w:rsidR="00B9079A" w:rsidRDefault="00B9079A" w:rsidP="00905329">
      <w:pPr>
        <w:suppressAutoHyphens/>
        <w:autoSpaceDE w:val="0"/>
        <w:spacing w:line="276" w:lineRule="auto"/>
        <w:jc w:val="both"/>
        <w:rPr>
          <w:rFonts w:ascii="Arial" w:eastAsia="Times New Roman" w:hAnsi="Arial" w:cs="Arial"/>
          <w:color w:val="000000"/>
          <w:kern w:val="1"/>
          <w:lang w:val="ro-RO" w:eastAsia="zh-CN"/>
        </w:rPr>
      </w:pPr>
      <w:r>
        <w:rPr>
          <w:rFonts w:ascii="Arial" w:eastAsia="Times New Roman" w:hAnsi="Arial" w:cs="Arial"/>
          <w:color w:val="000000"/>
          <w:kern w:val="1"/>
          <w:lang w:val="ro-RO" w:eastAsia="zh-CN"/>
        </w:rPr>
        <w:t>Între principalele provocări ale următorului deceniu, transpuse în seturi de măsuri de politică în cadrul Pactului Verde European, se regăsesc o serie de elemente direct relevante pentru întocmirea Planului de Mobilitate Urbană Durabilă al oraşului Horezu:</w:t>
      </w:r>
    </w:p>
    <w:p w14:paraId="780C08B9" w14:textId="77777777" w:rsidR="00B646E2" w:rsidRDefault="00B646E2" w:rsidP="00905329">
      <w:pPr>
        <w:suppressAutoHyphens/>
        <w:autoSpaceDE w:val="0"/>
        <w:spacing w:line="276" w:lineRule="auto"/>
        <w:jc w:val="both"/>
        <w:rPr>
          <w:rFonts w:ascii="Arial" w:eastAsia="Times New Roman" w:hAnsi="Arial" w:cs="Arial"/>
          <w:color w:val="000000"/>
          <w:kern w:val="1"/>
          <w:lang w:val="ro-RO" w:eastAsia="zh-CN"/>
        </w:rPr>
      </w:pPr>
    </w:p>
    <w:p w14:paraId="3732747C" w14:textId="77777777" w:rsidR="00B9079A" w:rsidRDefault="00B9079A" w:rsidP="000C6CB8">
      <w:pPr>
        <w:pStyle w:val="Listparagraf"/>
        <w:numPr>
          <w:ilvl w:val="0"/>
          <w:numId w:val="195"/>
        </w:numPr>
        <w:autoSpaceDE w:val="0"/>
        <w:spacing w:after="0"/>
        <w:jc w:val="both"/>
        <w:rPr>
          <w:rFonts w:ascii="Arial" w:hAnsi="Arial" w:cs="Arial"/>
          <w:b/>
          <w:i/>
          <w:color w:val="000000"/>
          <w:kern w:val="1"/>
          <w:lang w:val="ro-RO"/>
        </w:rPr>
      </w:pPr>
      <w:r w:rsidRPr="00B9079A">
        <w:rPr>
          <w:rFonts w:ascii="Arial" w:hAnsi="Arial" w:cs="Arial"/>
          <w:b/>
          <w:i/>
          <w:color w:val="000000"/>
          <w:kern w:val="1"/>
          <w:lang w:val="ro-RO"/>
        </w:rPr>
        <w:lastRenderedPageBreak/>
        <w:t>Mobilitatea durabilă</w:t>
      </w:r>
    </w:p>
    <w:p w14:paraId="25AB82B4" w14:textId="77777777" w:rsidR="00B9079A" w:rsidRDefault="00B9079A" w:rsidP="00B9079A">
      <w:pPr>
        <w:autoSpaceDE w:val="0"/>
        <w:spacing w:after="0"/>
        <w:jc w:val="both"/>
        <w:rPr>
          <w:rFonts w:ascii="Arial" w:hAnsi="Arial" w:cs="Arial"/>
          <w:color w:val="000000"/>
          <w:kern w:val="1"/>
          <w:lang w:val="ro-RO"/>
        </w:rPr>
      </w:pPr>
      <w:r w:rsidRPr="00B9079A">
        <w:rPr>
          <w:rFonts w:ascii="Arial" w:hAnsi="Arial" w:cs="Arial"/>
          <w:color w:val="000000"/>
          <w:kern w:val="1"/>
          <w:lang w:val="ro-RO"/>
        </w:rPr>
        <w:t>Reducerea emisiilor de carbon ca urmare a transportului trebuie să fie de cel puțin 90% pentru a contribui semnificativ la atingerea obiectivelor pr</w:t>
      </w:r>
      <w:r w:rsidR="009D1186">
        <w:rPr>
          <w:rFonts w:ascii="Arial" w:hAnsi="Arial" w:cs="Arial"/>
          <w:color w:val="000000"/>
          <w:kern w:val="1"/>
          <w:lang w:val="ro-RO"/>
        </w:rPr>
        <w:t xml:space="preserve">ivind neutralitatea climatică. </w:t>
      </w:r>
      <w:r w:rsidRPr="00B9079A">
        <w:rPr>
          <w:rFonts w:ascii="Arial" w:hAnsi="Arial" w:cs="Arial"/>
          <w:color w:val="000000"/>
          <w:kern w:val="1"/>
          <w:lang w:val="ro-RO"/>
        </w:rPr>
        <w:t xml:space="preserve">La </w:t>
      </w:r>
      <w:r w:rsidR="009D1186">
        <w:rPr>
          <w:rFonts w:ascii="Arial" w:hAnsi="Arial" w:cs="Arial"/>
          <w:color w:val="000000"/>
          <w:kern w:val="1"/>
          <w:lang w:val="ro-RO"/>
        </w:rPr>
        <w:t>finele</w:t>
      </w:r>
      <w:r w:rsidRPr="00B9079A">
        <w:rPr>
          <w:rFonts w:ascii="Arial" w:hAnsi="Arial" w:cs="Arial"/>
          <w:color w:val="000000"/>
          <w:kern w:val="1"/>
          <w:lang w:val="ro-RO"/>
        </w:rPr>
        <w:t xml:space="preserve"> anului 2020 Comisia Europeană a adoptat o strategie pentru susținerea mobilității inteligente și durabile, având în centru nevoile utilizatorilor  și încurajarea mijloacelor alternative de transport, nepoluante, mai sigure și accesibile.</w:t>
      </w:r>
    </w:p>
    <w:p w14:paraId="3FC1FC12" w14:textId="77777777" w:rsidR="009D1186" w:rsidRDefault="009D1186" w:rsidP="000C6CB8">
      <w:pPr>
        <w:pStyle w:val="Listparagraf"/>
        <w:numPr>
          <w:ilvl w:val="0"/>
          <w:numId w:val="195"/>
        </w:numPr>
        <w:autoSpaceDE w:val="0"/>
        <w:spacing w:after="0"/>
        <w:jc w:val="both"/>
        <w:rPr>
          <w:rFonts w:ascii="Arial" w:hAnsi="Arial" w:cs="Arial"/>
          <w:b/>
          <w:i/>
          <w:color w:val="000000"/>
          <w:kern w:val="1"/>
          <w:lang w:val="ro-RO"/>
        </w:rPr>
      </w:pPr>
      <w:r>
        <w:rPr>
          <w:rFonts w:ascii="Arial" w:hAnsi="Arial" w:cs="Arial"/>
          <w:b/>
          <w:i/>
          <w:color w:val="000000"/>
          <w:kern w:val="1"/>
          <w:lang w:val="ro-RO"/>
        </w:rPr>
        <w:t>Eliminarea poluării</w:t>
      </w:r>
    </w:p>
    <w:p w14:paraId="0FF01FB9" w14:textId="77777777" w:rsidR="009D1186" w:rsidRDefault="009D1186" w:rsidP="009D1186">
      <w:pPr>
        <w:autoSpaceDE w:val="0"/>
        <w:spacing w:after="0"/>
        <w:jc w:val="both"/>
        <w:rPr>
          <w:rFonts w:ascii="Arial" w:hAnsi="Arial" w:cs="Arial"/>
          <w:color w:val="000000"/>
          <w:kern w:val="1"/>
          <w:lang w:val="ro-RO"/>
        </w:rPr>
      </w:pPr>
      <w:r w:rsidRPr="009D1186">
        <w:rPr>
          <w:rFonts w:ascii="Arial" w:hAnsi="Arial" w:cs="Arial"/>
          <w:color w:val="000000"/>
          <w:kern w:val="1"/>
          <w:lang w:val="ro-RO"/>
        </w:rPr>
        <w:t>Pent</w:t>
      </w:r>
      <w:r>
        <w:rPr>
          <w:rFonts w:ascii="Arial" w:hAnsi="Arial" w:cs="Arial"/>
          <w:color w:val="000000"/>
          <w:kern w:val="1"/>
          <w:lang w:val="ro-RO"/>
        </w:rPr>
        <w:t xml:space="preserve">ru a proteja cetățenii </w:t>
      </w:r>
      <w:r w:rsidRPr="009D1186">
        <w:rPr>
          <w:rFonts w:ascii="Arial" w:hAnsi="Arial" w:cs="Arial"/>
          <w:color w:val="000000"/>
          <w:kern w:val="1"/>
          <w:lang w:val="ro-RO"/>
        </w:rPr>
        <w:t xml:space="preserve">și ecosistemele europene, se va adopta  planul de acțiune zero-poluare care vizează  acțiuni de protejare a aerului, apei  și solurilor împotriva poluării. Relevante pentru mobilitate și transport sunt măsurile orientate către calitatea aerului, Comisia Europeană urmărind susținerea autorităților locale în procesul de obținere a unui aer mai curat.  </w:t>
      </w:r>
    </w:p>
    <w:p w14:paraId="09FDC63D" w14:textId="77777777" w:rsidR="009D1186" w:rsidRDefault="009D1186" w:rsidP="000C6CB8">
      <w:pPr>
        <w:pStyle w:val="Listparagraf"/>
        <w:numPr>
          <w:ilvl w:val="0"/>
          <w:numId w:val="195"/>
        </w:numPr>
        <w:autoSpaceDE w:val="0"/>
        <w:spacing w:after="0"/>
        <w:jc w:val="both"/>
        <w:rPr>
          <w:rFonts w:ascii="Arial" w:hAnsi="Arial" w:cs="Arial"/>
          <w:b/>
          <w:i/>
          <w:color w:val="000000"/>
          <w:kern w:val="1"/>
          <w:lang w:val="ro-RO"/>
        </w:rPr>
      </w:pPr>
      <w:r>
        <w:rPr>
          <w:rFonts w:ascii="Arial" w:hAnsi="Arial" w:cs="Arial"/>
          <w:b/>
          <w:i/>
          <w:color w:val="000000"/>
          <w:kern w:val="1"/>
          <w:lang w:val="ro-RO"/>
        </w:rPr>
        <w:t>Acţiuni climatice</w:t>
      </w:r>
    </w:p>
    <w:p w14:paraId="67AAD751" w14:textId="77777777" w:rsidR="009D1186" w:rsidRPr="009D1186" w:rsidRDefault="009D1186" w:rsidP="009D1186">
      <w:pPr>
        <w:autoSpaceDE w:val="0"/>
        <w:spacing w:after="0"/>
        <w:jc w:val="both"/>
        <w:rPr>
          <w:rFonts w:ascii="Arial" w:hAnsi="Arial" w:cs="Arial"/>
          <w:color w:val="000000"/>
          <w:kern w:val="1"/>
          <w:lang w:val="ro-RO"/>
        </w:rPr>
      </w:pPr>
      <w:r w:rsidRPr="009D1186">
        <w:rPr>
          <w:rFonts w:ascii="Arial" w:hAnsi="Arial" w:cs="Arial"/>
          <w:color w:val="000000"/>
          <w:kern w:val="1"/>
          <w:lang w:val="ro-RO"/>
        </w:rPr>
        <w:t xml:space="preserve">Atingerea stării neutre din punct de vedere climatic a Uniunii Europene până în anul 2050.  </w:t>
      </w:r>
    </w:p>
    <w:p w14:paraId="2013315E" w14:textId="77777777" w:rsidR="009D1186" w:rsidRPr="009D1186" w:rsidRDefault="009D1186" w:rsidP="009D1186">
      <w:pPr>
        <w:autoSpaceDE w:val="0"/>
        <w:spacing w:after="0"/>
        <w:jc w:val="both"/>
        <w:rPr>
          <w:rFonts w:ascii="Arial" w:hAnsi="Arial" w:cs="Arial"/>
          <w:color w:val="000000"/>
          <w:kern w:val="1"/>
          <w:lang w:val="ro-RO"/>
        </w:rPr>
      </w:pPr>
    </w:p>
    <w:p w14:paraId="1B59AF0E" w14:textId="77777777" w:rsidR="00D70AEA" w:rsidRPr="00D70AEA" w:rsidRDefault="00D70AEA" w:rsidP="00905329">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În cadrul Pactului Verde European (European Green Deal), Comisia Europeană a propus, în septembrie 2020, să ridice obiectivul de reducere a emisiilor de gaze cu efect de seră pentru 2030, inclusiv emisiile și eliminările, </w:t>
      </w:r>
      <w:r w:rsidRPr="00D70AEA">
        <w:rPr>
          <w:rFonts w:ascii="Arial" w:eastAsia="Times New Roman" w:hAnsi="Arial" w:cs="Arial"/>
          <w:color w:val="000000"/>
          <w:kern w:val="1"/>
          <w:u w:val="single"/>
          <w:lang w:val="ro-RO" w:eastAsia="zh-CN"/>
        </w:rPr>
        <w:t>la cel puțin 55%</w:t>
      </w:r>
      <w:r w:rsidRPr="00D70AEA">
        <w:rPr>
          <w:rFonts w:ascii="Arial" w:eastAsia="Times New Roman" w:hAnsi="Arial" w:cs="Arial"/>
          <w:color w:val="000000"/>
          <w:kern w:val="1"/>
          <w:lang w:val="ro-RO" w:eastAsia="zh-CN"/>
        </w:rPr>
        <w:t xml:space="preserve"> față de 1990. Sunt vizate acțiunile necesare în toate sectoarele, inclusiv creșterea eficienței energetice și a energiei regenerabile Comisia inițiind procesul de a face propuneri legislative detaliate până în iunie 2021 pentru a pune în aplicare și a atinge obiectivul propus. Acest lucru va permite UE să meargă către o economie neutră din punct de vedere climatic și să își pună în aplicare angajamentele în temeiul Acordului de la Paris. Cadrul pentru climă și energie pentru 2030 include obiective și obiective politice la nivelul UE pentru perioada 2021-2030.</w:t>
      </w:r>
    </w:p>
    <w:p w14:paraId="5A9D5FA3" w14:textId="77777777" w:rsidR="00D70AEA" w:rsidRPr="00D70AEA" w:rsidRDefault="00D70AEA" w:rsidP="00D70AEA">
      <w:pPr>
        <w:suppressAutoHyphens/>
        <w:autoSpaceDE w:val="0"/>
        <w:spacing w:after="0"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Cadrul climatic și energetic pentru 2030 și-a propus inițial ca obiective cheie pentru 2030:</w:t>
      </w:r>
    </w:p>
    <w:p w14:paraId="626AC8DA" w14:textId="77777777" w:rsidR="00D70AEA" w:rsidRPr="00D70AEA" w:rsidRDefault="00D70AEA" w:rsidP="006B613A">
      <w:pPr>
        <w:numPr>
          <w:ilvl w:val="0"/>
          <w:numId w:val="18"/>
        </w:numPr>
        <w:suppressAutoHyphens/>
        <w:autoSpaceDE w:val="0"/>
        <w:spacing w:after="0" w:line="276" w:lineRule="auto"/>
        <w:contextualSpacing/>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Reduceri de cel puțin 40% a emisiilor de gaze cu efect de seră (de la nivelurile din 1990)</w:t>
      </w:r>
    </w:p>
    <w:p w14:paraId="35A84ED4" w14:textId="77777777" w:rsidR="00D70AEA" w:rsidRPr="00D70AEA" w:rsidRDefault="00D70AEA" w:rsidP="006B613A">
      <w:pPr>
        <w:numPr>
          <w:ilvl w:val="0"/>
          <w:numId w:val="18"/>
        </w:numPr>
        <w:suppressAutoHyphens/>
        <w:autoSpaceDE w:val="0"/>
        <w:spacing w:line="276" w:lineRule="auto"/>
        <w:contextualSpacing/>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Cota de cel puțin 32% pentru energia regenerabilă</w:t>
      </w:r>
    </w:p>
    <w:p w14:paraId="14E4E99E" w14:textId="77777777" w:rsidR="00D70AEA" w:rsidRPr="00D70AEA" w:rsidRDefault="00D70AEA" w:rsidP="006B613A">
      <w:pPr>
        <w:numPr>
          <w:ilvl w:val="0"/>
          <w:numId w:val="18"/>
        </w:numPr>
        <w:suppressAutoHyphens/>
        <w:autoSpaceDE w:val="0"/>
        <w:spacing w:line="276" w:lineRule="auto"/>
        <w:contextualSpacing/>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Îmbunătățirea cu cel puțin 32,5% a eficienței energetice</w:t>
      </w:r>
    </w:p>
    <w:p w14:paraId="2CE31AA1"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Ținta de 40% a gazelor cu efect de seră este pusă în aplicare </w:t>
      </w:r>
      <w:r w:rsidRPr="00A22811">
        <w:rPr>
          <w:rFonts w:ascii="Arial" w:eastAsia="Times New Roman" w:hAnsi="Arial" w:cs="Arial"/>
          <w:color w:val="000000"/>
          <w:kern w:val="1"/>
          <w:lang w:val="ro-RO" w:eastAsia="zh-CN"/>
        </w:rPr>
        <w:t xml:space="preserve">de Sistemul UE de comercializare a </w:t>
      </w:r>
      <w:r w:rsidR="00A22811">
        <w:rPr>
          <w:rFonts w:ascii="Arial" w:eastAsia="Times New Roman" w:hAnsi="Arial" w:cs="Arial"/>
          <w:color w:val="000000"/>
          <w:kern w:val="1"/>
          <w:lang w:val="ro-RO" w:eastAsia="zh-CN"/>
        </w:rPr>
        <w:t>certificatelor de emisii</w:t>
      </w:r>
      <w:r w:rsidRPr="00D70AEA">
        <w:rPr>
          <w:rFonts w:ascii="Arial" w:eastAsia="Times New Roman" w:hAnsi="Arial" w:cs="Arial"/>
          <w:color w:val="000000"/>
          <w:kern w:val="1"/>
          <w:lang w:val="ro-RO" w:eastAsia="zh-CN"/>
        </w:rPr>
        <w:t>, de Regulamentul privind partajarea eforturilor cu obiectivele statelor membre de reducere a emisiilor și de Regulamentul privind utilizarea terenurilor, schimbarea utilizării terenurilor și silvicultură. În acest fel, toate sectoarele vor contribui la realizarea obiectivului de 40%, atât prin reducerea emisiilor, cât și prin creșterea eliminării.</w:t>
      </w:r>
    </w:p>
    <w:p w14:paraId="1F81703A" w14:textId="77777777" w:rsid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Toate cele trei acte legislative ale climei </w:t>
      </w:r>
      <w:r w:rsidR="00905329">
        <w:rPr>
          <w:rFonts w:ascii="Arial" w:eastAsia="Times New Roman" w:hAnsi="Arial" w:cs="Arial"/>
          <w:color w:val="000000"/>
          <w:kern w:val="1"/>
          <w:lang w:val="ro-RO" w:eastAsia="zh-CN"/>
        </w:rPr>
        <w:t>au fost</w:t>
      </w:r>
      <w:r w:rsidRPr="00D70AEA">
        <w:rPr>
          <w:rFonts w:ascii="Arial" w:eastAsia="Times New Roman" w:hAnsi="Arial" w:cs="Arial"/>
          <w:color w:val="000000"/>
          <w:kern w:val="1"/>
          <w:lang w:val="ro-RO" w:eastAsia="zh-CN"/>
        </w:rPr>
        <w:t xml:space="preserve"> actualizate în vederea implementării obiectivului net de reducere a emisiilor de gaze cu efect de seră de cel puțin 55%. </w:t>
      </w:r>
    </w:p>
    <w:p w14:paraId="43BB1D76" w14:textId="5751F9F7" w:rsidR="00905329" w:rsidRPr="00905329" w:rsidRDefault="00905329" w:rsidP="00E80E80">
      <w:pPr>
        <w:spacing w:line="276" w:lineRule="auto"/>
        <w:jc w:val="both"/>
        <w:rPr>
          <w:rFonts w:ascii="Arial" w:eastAsiaTheme="minorHAnsi" w:hAnsi="Arial" w:cs="Arial"/>
        </w:rPr>
      </w:pPr>
      <w:r w:rsidRPr="00905329">
        <w:rPr>
          <w:rFonts w:ascii="Arial" w:eastAsiaTheme="minorHAnsi" w:hAnsi="Arial" w:cs="Arial"/>
        </w:rPr>
        <w:t xml:space="preserve">În vederea atingerii neutralităţii din punct de vedere climatic, Uniunea Europeană şi-a propus reducerea emisiilor cu cel puțin 55 % până în 2030, comparativ cu nivelurile din 1990, iar în acest sens au iniţiat un program de măsuri numit </w:t>
      </w:r>
      <w:r w:rsidRPr="00E16796">
        <w:rPr>
          <w:rFonts w:ascii="Arial" w:eastAsiaTheme="minorHAnsi" w:hAnsi="Arial" w:cs="Arial"/>
          <w:b/>
        </w:rPr>
        <w:t>Fit for 55</w:t>
      </w:r>
      <w:r w:rsidR="00D6687B">
        <w:rPr>
          <w:rStyle w:val="Referinnotdesubsol"/>
          <w:rFonts w:ascii="Arial" w:eastAsiaTheme="minorHAnsi" w:hAnsi="Arial" w:cs="Arial"/>
          <w:b/>
        </w:rPr>
        <w:footnoteReference w:id="8"/>
      </w:r>
      <w:r w:rsidRPr="00905329">
        <w:rPr>
          <w:rFonts w:ascii="Arial" w:eastAsiaTheme="minorHAnsi" w:hAnsi="Arial" w:cs="Arial"/>
        </w:rPr>
        <w:t xml:space="preserve">. Fit for 55 </w:t>
      </w:r>
      <w:r w:rsidR="00E16796">
        <w:rPr>
          <w:rFonts w:ascii="Arial" w:eastAsiaTheme="minorHAnsi" w:hAnsi="Arial" w:cs="Arial"/>
        </w:rPr>
        <w:t>(</w:t>
      </w:r>
      <w:r w:rsidR="00E16796" w:rsidRPr="00615EC1">
        <w:rPr>
          <w:rFonts w:ascii="Arial" w:eastAsiaTheme="minorHAnsi" w:hAnsi="Arial" w:cs="Arial"/>
          <w:b/>
        </w:rPr>
        <w:t>Pregătiţi pentru 55</w:t>
      </w:r>
      <w:r w:rsidR="00E16796">
        <w:rPr>
          <w:rFonts w:ascii="Arial" w:eastAsiaTheme="minorHAnsi" w:hAnsi="Arial" w:cs="Arial"/>
        </w:rPr>
        <w:t xml:space="preserve">) </w:t>
      </w:r>
      <w:r w:rsidRPr="00905329">
        <w:rPr>
          <w:rFonts w:ascii="Arial" w:eastAsiaTheme="minorHAnsi" w:hAnsi="Arial" w:cs="Arial"/>
        </w:rPr>
        <w:t>conține un pachet de măsuri care vor remodela energia din UE.</w:t>
      </w:r>
    </w:p>
    <w:p w14:paraId="7C662123" w14:textId="77777777" w:rsidR="00615EC1" w:rsidRDefault="00615EC1" w:rsidP="00615EC1">
      <w:pPr>
        <w:spacing w:line="276" w:lineRule="auto"/>
        <w:jc w:val="both"/>
        <w:rPr>
          <w:rFonts w:ascii="Arial" w:eastAsiaTheme="minorHAnsi" w:hAnsi="Arial" w:cs="Arial"/>
        </w:rPr>
      </w:pPr>
      <w:r w:rsidRPr="00615EC1">
        <w:rPr>
          <w:rFonts w:ascii="Arial" w:eastAsiaTheme="minorHAnsi" w:hAnsi="Arial" w:cs="Arial"/>
        </w:rPr>
        <w:t>Pachetul „Pregătiți pentru 55” constă într-un set de propuneri interconectate, toate urmărind același obiectiv de a asigura o tranziție echitabilă, competitivă și</w:t>
      </w:r>
      <w:r>
        <w:rPr>
          <w:rFonts w:ascii="Arial" w:eastAsiaTheme="minorHAnsi" w:hAnsi="Arial" w:cs="Arial"/>
        </w:rPr>
        <w:t xml:space="preserve"> verde până în 2030 și ulterior:</w:t>
      </w:r>
    </w:p>
    <w:p w14:paraId="751243C8" w14:textId="77777777" w:rsidR="00615EC1" w:rsidRPr="00615EC1" w:rsidRDefault="00615EC1" w:rsidP="000C6CB8">
      <w:pPr>
        <w:pStyle w:val="Listparagraf"/>
        <w:numPr>
          <w:ilvl w:val="0"/>
          <w:numId w:val="196"/>
        </w:numPr>
        <w:spacing w:after="0"/>
        <w:jc w:val="both"/>
        <w:rPr>
          <w:rFonts w:ascii="Arial" w:eastAsiaTheme="minorHAnsi" w:hAnsi="Arial" w:cs="Arial"/>
        </w:rPr>
      </w:pPr>
      <w:r>
        <w:rPr>
          <w:rFonts w:ascii="Arial" w:eastAsiaTheme="minorHAnsi" w:hAnsi="Arial" w:cs="Arial"/>
        </w:rPr>
        <w:t xml:space="preserve">O </w:t>
      </w:r>
      <w:r w:rsidRPr="00615EC1">
        <w:rPr>
          <w:rFonts w:ascii="Arial" w:eastAsiaTheme="minorHAnsi" w:hAnsi="Arial" w:cs="Arial"/>
        </w:rPr>
        <w:t xml:space="preserve">tranziție echitabilă din punct de vedere social: combaterea inegalității și a sărăciei energetice prin acțiuni climatice  </w:t>
      </w:r>
    </w:p>
    <w:p w14:paraId="58BF4A76" w14:textId="77777777" w:rsidR="00615EC1" w:rsidRPr="00615EC1" w:rsidRDefault="00615EC1" w:rsidP="000C6CB8">
      <w:pPr>
        <w:pStyle w:val="Listparagraf"/>
        <w:numPr>
          <w:ilvl w:val="0"/>
          <w:numId w:val="196"/>
        </w:numPr>
        <w:spacing w:after="0"/>
        <w:jc w:val="both"/>
        <w:rPr>
          <w:rFonts w:ascii="Arial" w:eastAsiaTheme="minorHAnsi" w:hAnsi="Arial" w:cs="Arial"/>
        </w:rPr>
      </w:pPr>
      <w:r>
        <w:rPr>
          <w:rFonts w:ascii="Arial" w:eastAsiaTheme="minorHAnsi" w:hAnsi="Arial" w:cs="Arial"/>
        </w:rPr>
        <w:t xml:space="preserve">O </w:t>
      </w:r>
      <w:r w:rsidRPr="00615EC1">
        <w:rPr>
          <w:rFonts w:ascii="Arial" w:eastAsiaTheme="minorHAnsi" w:hAnsi="Arial" w:cs="Arial"/>
        </w:rPr>
        <w:t>tranziție competitivă: noi oportunități prin schimbări la nivel industrial și sectorial</w:t>
      </w:r>
    </w:p>
    <w:p w14:paraId="3D9885FB" w14:textId="77777777" w:rsidR="00615EC1" w:rsidRPr="00615EC1" w:rsidRDefault="00615EC1" w:rsidP="000C6CB8">
      <w:pPr>
        <w:pStyle w:val="Listparagraf"/>
        <w:numPr>
          <w:ilvl w:val="0"/>
          <w:numId w:val="196"/>
        </w:numPr>
        <w:spacing w:after="0"/>
        <w:jc w:val="both"/>
        <w:rPr>
          <w:rFonts w:ascii="Arial" w:eastAsiaTheme="minorHAnsi" w:hAnsi="Arial" w:cs="Arial"/>
        </w:rPr>
      </w:pPr>
      <w:r>
        <w:rPr>
          <w:rFonts w:ascii="Arial" w:eastAsiaTheme="minorHAnsi" w:hAnsi="Arial" w:cs="Arial"/>
        </w:rPr>
        <w:lastRenderedPageBreak/>
        <w:t xml:space="preserve">O </w:t>
      </w:r>
      <w:r w:rsidRPr="00615EC1">
        <w:rPr>
          <w:rFonts w:ascii="Arial" w:eastAsiaTheme="minorHAnsi" w:hAnsi="Arial" w:cs="Arial"/>
        </w:rPr>
        <w:t>tranziție verde: protejarea naturii și sporirea absorbanților naturali de carbon ai UE</w:t>
      </w:r>
    </w:p>
    <w:p w14:paraId="1F58C45A" w14:textId="77777777" w:rsidR="00615EC1" w:rsidRDefault="00615EC1" w:rsidP="00615EC1">
      <w:pPr>
        <w:spacing w:line="276" w:lineRule="auto"/>
        <w:jc w:val="both"/>
        <w:rPr>
          <w:rFonts w:ascii="Arial" w:eastAsiaTheme="minorHAnsi" w:hAnsi="Arial" w:cs="Arial"/>
        </w:rPr>
      </w:pPr>
    </w:p>
    <w:p w14:paraId="2B718631" w14:textId="77777777" w:rsidR="00905329" w:rsidRDefault="00905329" w:rsidP="00615EC1">
      <w:pPr>
        <w:spacing w:line="276" w:lineRule="auto"/>
        <w:jc w:val="both"/>
        <w:rPr>
          <w:rFonts w:ascii="Arial" w:eastAsiaTheme="minorHAnsi" w:hAnsi="Arial" w:cs="Arial"/>
        </w:rPr>
      </w:pPr>
      <w:r w:rsidRPr="00A60D21">
        <w:rPr>
          <w:rFonts w:ascii="Arial" w:eastAsiaTheme="minorHAnsi" w:hAnsi="Arial" w:cs="Arial"/>
        </w:rPr>
        <w:t>Atingerea obiectivului pentru 2030 va necesita transformări sistemice în întreaga economie. Viitoarele revizuiri ale planurilor naționale privind energia și clima și ale Regulamentului privind guvernanța vor asigura o planificare, o punere în aplicare și o monitorizare integrate a tranziției verzi către 2030.</w:t>
      </w:r>
    </w:p>
    <w:p w14:paraId="3D35C2F1" w14:textId="77777777" w:rsidR="00615EC1" w:rsidRPr="00A60D21" w:rsidRDefault="00615EC1" w:rsidP="00615EC1">
      <w:pPr>
        <w:spacing w:line="276" w:lineRule="auto"/>
        <w:jc w:val="both"/>
        <w:rPr>
          <w:rFonts w:ascii="Arial" w:eastAsiaTheme="minorHAnsi" w:hAnsi="Arial" w:cs="Arial"/>
        </w:rPr>
      </w:pPr>
      <w:r w:rsidRPr="003B21C2">
        <w:rPr>
          <w:rFonts w:ascii="Arial" w:eastAsiaTheme="minorHAnsi" w:hAnsi="Arial" w:cs="Arial"/>
          <w:b/>
          <w:bCs/>
        </w:rPr>
        <w:t>Pachetul „Pregătiți pentru 55”</w:t>
      </w:r>
      <w:r w:rsidRPr="00615EC1">
        <w:rPr>
          <w:rFonts w:ascii="Arial" w:eastAsiaTheme="minorHAnsi" w:hAnsi="Arial" w:cs="Arial"/>
        </w:rPr>
        <w:t xml:space="preserve"> vizează realizarea obiectivului UE privind o reducere sporită a emisiilor în beneficiul tuturor europenilor și crearea de oportunități de a participa la tranziție, de a-i ajuta pe cei care au cea mai mare nevoie de sprijin și de a genera reduceri globale mai importante ale emisiilor. Acesta va sprijini, de asemenea, redresarea verde a UE în urma pandemiei, va contribui la răspândirea standardelor de mediu dincolo de frontierele UE și va stimula inovarea în ceea ce privește produsele și tehnologiile viitorului.  </w:t>
      </w:r>
    </w:p>
    <w:p w14:paraId="528479C8" w14:textId="77777777" w:rsidR="000D2C03" w:rsidRPr="000D2C03" w:rsidRDefault="00905329" w:rsidP="000D2C03">
      <w:pPr>
        <w:spacing w:line="276" w:lineRule="auto"/>
        <w:jc w:val="both"/>
        <w:rPr>
          <w:rFonts w:ascii="Arial" w:eastAsiaTheme="minorHAnsi" w:hAnsi="Arial" w:cs="Arial"/>
        </w:rPr>
      </w:pPr>
      <w:r w:rsidRPr="000D2C03">
        <w:rPr>
          <w:rFonts w:ascii="Arial" w:eastAsiaTheme="minorHAnsi" w:hAnsi="Arial" w:cs="Arial"/>
        </w:rPr>
        <w:t>Propunerile din cadrul pachetului „</w:t>
      </w:r>
      <w:r w:rsidRPr="003B21C2">
        <w:rPr>
          <w:rFonts w:ascii="Arial" w:eastAsiaTheme="minorHAnsi" w:hAnsi="Arial" w:cs="Arial"/>
          <w:b/>
          <w:bCs/>
        </w:rPr>
        <w:t>Pregătiți pentru 55</w:t>
      </w:r>
      <w:r w:rsidRPr="000D2C03">
        <w:rPr>
          <w:rFonts w:ascii="Arial" w:eastAsiaTheme="minorHAnsi" w:hAnsi="Arial" w:cs="Arial"/>
        </w:rPr>
        <w:t>” reflectă acest lucru, prin intermediul acțiunilor în domeniile industriei, transporturilor, construcțiilor și energiei. Politicile complementare și specifice la nivelul UE și la nivel național vor accelera schimbarea în ceea ce privește comportamentul, inovarea tehnologică și implementarea, precum și dezvoltarea de noi infrastructuri.</w:t>
      </w:r>
      <w:r w:rsidR="000D2C03" w:rsidRPr="000D2C03">
        <w:t xml:space="preserve"> </w:t>
      </w:r>
      <w:r w:rsidR="000D2C03" w:rsidRPr="000D2C03">
        <w:rPr>
          <w:rFonts w:ascii="Arial" w:eastAsiaTheme="minorHAnsi" w:hAnsi="Arial" w:cs="Arial"/>
        </w:rPr>
        <w:t xml:space="preserve">Una din pietrele de temelie ale pachetului este valorificarea realizărilor importante ale </w:t>
      </w:r>
      <w:r w:rsidR="000D2C03" w:rsidRPr="000D2C03">
        <w:rPr>
          <w:rFonts w:ascii="Arial" w:eastAsiaTheme="minorHAnsi" w:hAnsi="Arial" w:cs="Arial"/>
          <w:b/>
        </w:rPr>
        <w:t>sistemului UE de comercializare a certificatelor de emisii</w:t>
      </w:r>
      <w:r w:rsidR="000D2C03" w:rsidRPr="000D2C03">
        <w:rPr>
          <w:rFonts w:ascii="Arial" w:eastAsiaTheme="minorHAnsi" w:hAnsi="Arial" w:cs="Arial"/>
        </w:rPr>
        <w:t xml:space="preserve"> prin consolidarea și aplicarea sa în noi sectoare în care, până în prezent, nu s-au înregistrat reduceri ale emisiilor. Experiența ultimilor 16 ani a arătat că comercializarea certificatelor de emisii este un mecanism foarte eficace de reducere a emisiilor într-un mod eficient din punctul de vedere al costurilor, în timp ce veniturile pe care le generează pot fi utilizate pentru a sprijini tranziția către o producție mai nepoluantă și pentru a stimula inovarea. </w:t>
      </w:r>
    </w:p>
    <w:p w14:paraId="3F40CC84" w14:textId="77777777" w:rsidR="00905329" w:rsidRPr="00905329" w:rsidRDefault="000D2C03" w:rsidP="000D2C03">
      <w:pPr>
        <w:spacing w:line="276" w:lineRule="auto"/>
        <w:jc w:val="both"/>
        <w:rPr>
          <w:rFonts w:ascii="Arial" w:eastAsiaTheme="minorHAnsi" w:hAnsi="Arial" w:cs="Arial"/>
        </w:rPr>
      </w:pPr>
      <w:r w:rsidRPr="000D2C03">
        <w:rPr>
          <w:rFonts w:ascii="Arial" w:eastAsiaTheme="minorHAnsi" w:hAnsi="Arial" w:cs="Arial"/>
        </w:rPr>
        <w:t>Pe lângă semnalul referitor la prețul carbonului, sunt necesare obiective clare pentru a stimula schimbarea, cum ar fi revizuirea Regulamentului privind partajarea eforturilor (ESR), care va permite statelor membre să ia măsuri la nivel național pentru a combate emisiile în sectoarele construcțiilor, transporturilor, agriculturii, deșeurilor și micii industrii. Propunerea ar trebui să asigure</w:t>
      </w:r>
      <w:r w:rsidR="00BE2F5A">
        <w:rPr>
          <w:rFonts w:ascii="Arial" w:eastAsiaTheme="minorHAnsi" w:hAnsi="Arial" w:cs="Arial"/>
        </w:rPr>
        <w:t xml:space="preserve"> o reducere la nivelul UE cu 40</w:t>
      </w:r>
      <w:r w:rsidRPr="000D2C03">
        <w:rPr>
          <w:rFonts w:ascii="Arial" w:eastAsiaTheme="minorHAnsi" w:hAnsi="Arial" w:cs="Arial"/>
        </w:rPr>
        <w:t>% a emisiilor din aceste sectoare până în 2030, comparativ cu situația din 2005. Principiile de atribuire a efortului relativ fiecărui stat membru rămân neschimbate. Capacitățile lor diferite de a lua măsuri vor continua să fie recunoscute prin stabilirea unor obiective naționale bazate pe PIB-ul pe cap de locuitor, prevăzându-se introducerea unor ajustări pentru a ține seama de circumstanțele naționale și de eficiența din punctul de vedere al costurilor.</w:t>
      </w:r>
    </w:p>
    <w:p w14:paraId="33F2BC25" w14:textId="77777777" w:rsidR="00905329" w:rsidRDefault="00BE2F5A" w:rsidP="00D70AEA">
      <w:pPr>
        <w:suppressAutoHyphens/>
        <w:autoSpaceDE w:val="0"/>
        <w:spacing w:line="276" w:lineRule="auto"/>
        <w:jc w:val="both"/>
        <w:rPr>
          <w:rFonts w:ascii="Arial" w:eastAsia="Times New Roman" w:hAnsi="Arial" w:cs="Arial"/>
          <w:color w:val="000000"/>
          <w:kern w:val="1"/>
          <w:lang w:val="ro-RO" w:eastAsia="zh-CN"/>
        </w:rPr>
      </w:pPr>
      <w:r w:rsidRPr="00BE2F5A">
        <w:rPr>
          <w:rFonts w:ascii="Arial" w:eastAsia="Times New Roman" w:hAnsi="Arial" w:cs="Arial"/>
          <w:b/>
          <w:color w:val="000000"/>
          <w:kern w:val="1"/>
          <w:lang w:val="ro-RO" w:eastAsia="zh-CN"/>
        </w:rPr>
        <w:t>Combustibilii fosili utilizați de sectoarele transportului rutier și clădirilor reprezintă surse substanțiale de emisii și poluare</w:t>
      </w:r>
      <w:r w:rsidRPr="00BE2F5A">
        <w:rPr>
          <w:rFonts w:ascii="Arial" w:eastAsia="Times New Roman" w:hAnsi="Arial" w:cs="Arial"/>
          <w:color w:val="000000"/>
          <w:kern w:val="1"/>
          <w:lang w:val="ro-RO" w:eastAsia="zh-CN"/>
        </w:rPr>
        <w:t>. Întrucât au fost foarte dificil de decarbonizat până în prezent, acestea au, de asemenea, un potențial ridicat în materie de inovare și de creare de locuri de muncă. De exemplu, comercializarea certificatelor de emisii în sectorul transportului rutier va spori stimulentele pentru furnizarea de combustibili mai ecologici pentru vehiculele existente. Aceasta va conduce la o evoluție a combustibililor disponibili pe piață pentru parcul de autovehicule existent, determinând furnizorii să își decarbonizeze combustibilii. Cu toate acestea, prețul carbonului nu garantează în sine o tranziție rapidă către o mobilitate cu emisii zero, pentru care sunt necesare politici complementare, inclusiv pentru infrastructura de încărcare.</w:t>
      </w:r>
    </w:p>
    <w:p w14:paraId="0228A944" w14:textId="77777777" w:rsidR="00BE2F5A" w:rsidRDefault="00BE2F5A" w:rsidP="00D70AEA">
      <w:pPr>
        <w:suppressAutoHyphens/>
        <w:autoSpaceDE w:val="0"/>
        <w:spacing w:line="276" w:lineRule="auto"/>
        <w:jc w:val="both"/>
        <w:rPr>
          <w:rFonts w:ascii="Arial" w:eastAsia="Times New Roman" w:hAnsi="Arial" w:cs="Arial"/>
          <w:color w:val="000000"/>
          <w:kern w:val="1"/>
          <w:lang w:val="ro-RO" w:eastAsia="zh-CN"/>
        </w:rPr>
      </w:pPr>
      <w:r w:rsidRPr="00BE2F5A">
        <w:rPr>
          <w:rFonts w:ascii="Arial" w:eastAsia="Times New Roman" w:hAnsi="Arial" w:cs="Arial"/>
          <w:b/>
          <w:color w:val="000000"/>
          <w:kern w:val="1"/>
          <w:lang w:val="ro-RO" w:eastAsia="zh-CN"/>
        </w:rPr>
        <w:t xml:space="preserve">Acesta este motivul pentru care Comisia propune începerea aplicării sistemului de comercializare a certificatelor de emisii în 2026 pentru sectoarele transportului rutier și </w:t>
      </w:r>
      <w:r w:rsidRPr="00BE2F5A">
        <w:rPr>
          <w:rFonts w:ascii="Arial" w:eastAsia="Times New Roman" w:hAnsi="Arial" w:cs="Arial"/>
          <w:b/>
          <w:color w:val="000000"/>
          <w:kern w:val="1"/>
          <w:lang w:val="ro-RO" w:eastAsia="zh-CN"/>
        </w:rPr>
        <w:lastRenderedPageBreak/>
        <w:t>clădirilor</w:t>
      </w:r>
      <w:r w:rsidRPr="00BE2F5A">
        <w:rPr>
          <w:rFonts w:ascii="Arial" w:eastAsia="Times New Roman" w:hAnsi="Arial" w:cs="Arial"/>
          <w:color w:val="000000"/>
          <w:kern w:val="1"/>
          <w:lang w:val="ro-RO" w:eastAsia="zh-CN"/>
        </w:rPr>
        <w:t>. Acest lucru se va realiza într-un sistem separat, axat pe furnizorii de combustibili din amonte, care să impună producătorilor de combustibili responsabilitatea de a se conforma sistemului, mai degrabă decât să solicite gospodăriilor individuale sau utilizatorilor transportului rutier să participe în mod direct. Emisiile generate de sectoarele transportului rutier și clădirilor vor fi plafonate, plafonul fiind redus în timp, astfel încât emisiile totale să scadă.</w:t>
      </w:r>
    </w:p>
    <w:p w14:paraId="6CF256AA" w14:textId="77777777" w:rsidR="00A60D21" w:rsidRDefault="00A60D21" w:rsidP="00D70AEA">
      <w:pPr>
        <w:suppressAutoHyphens/>
        <w:autoSpaceDE w:val="0"/>
        <w:spacing w:line="276" w:lineRule="auto"/>
        <w:jc w:val="both"/>
        <w:rPr>
          <w:rFonts w:ascii="Arial" w:eastAsia="Times New Roman" w:hAnsi="Arial" w:cs="Arial"/>
          <w:color w:val="000000"/>
          <w:kern w:val="1"/>
          <w:lang w:val="ro-RO" w:eastAsia="zh-CN"/>
        </w:rPr>
      </w:pPr>
      <w:r w:rsidRPr="00A60D21">
        <w:rPr>
          <w:rFonts w:ascii="Arial" w:eastAsia="Times New Roman" w:hAnsi="Arial" w:cs="Arial"/>
          <w:color w:val="000000"/>
          <w:kern w:val="1"/>
          <w:lang w:val="ro-RO" w:eastAsia="zh-CN"/>
        </w:rPr>
        <w:t>Pe lângă tarifarea carbonului, sunt necesare și alte măsuri pentru a plasa sectorul transporturilor pe o traiectorie fermă către emisii zero și pentru a reduce poluarea aerului, deoarece emisiile generate de transporturi reprezintă aproape un sfert din emisiile de gaze cu efect de seră ale UE și constituie principala cauză a poluării aerului în orașe.</w:t>
      </w:r>
    </w:p>
    <w:p w14:paraId="27F3A41C" w14:textId="77777777" w:rsidR="00A60D21" w:rsidRPr="00A60D21" w:rsidRDefault="00A60D21" w:rsidP="00A60D21">
      <w:pPr>
        <w:jc w:val="both"/>
        <w:rPr>
          <w:rFonts w:ascii="Arial" w:eastAsiaTheme="minorHAnsi" w:hAnsi="Arial" w:cs="Arial"/>
          <w:lang w:val="it-IT"/>
        </w:rPr>
      </w:pPr>
      <w:r>
        <w:rPr>
          <w:rFonts w:ascii="Arial" w:eastAsiaTheme="minorHAnsi" w:hAnsi="Arial" w:cs="Arial"/>
          <w:lang w:val="it-IT"/>
        </w:rPr>
        <w:t>În ce priveşte mobilitatea şi combustibilii pentru transporturi mai ecologici</w:t>
      </w:r>
      <w:r w:rsidRPr="00A60D21">
        <w:rPr>
          <w:rFonts w:ascii="Arial" w:eastAsiaTheme="minorHAnsi" w:hAnsi="Arial" w:cs="Arial"/>
          <w:lang w:val="it-IT"/>
        </w:rPr>
        <w:t xml:space="preserve">, pachetul „Pregătiți pentru 55” include patru propuneri privind promovarea vehiculelor mai puțin poluante și a combustibililor mai ecologici într-un mod neutru din punct de vedere tehnologic. </w:t>
      </w:r>
      <w:r w:rsidRPr="00A60D21">
        <w:rPr>
          <w:rFonts w:ascii="Arial" w:eastAsiaTheme="minorHAnsi" w:hAnsi="Arial" w:cs="Arial"/>
          <w:bCs/>
          <w:lang w:val="it-IT"/>
        </w:rPr>
        <w:t xml:space="preserve">Revizuirea standardelor de emisii de CO2 </w:t>
      </w:r>
      <w:r w:rsidRPr="00A60D21">
        <w:rPr>
          <w:rFonts w:ascii="Arial" w:eastAsiaTheme="minorHAnsi" w:hAnsi="Arial" w:cs="Arial"/>
          <w:lang w:val="it-IT"/>
        </w:rPr>
        <w:t xml:space="preserve">pentru autoturismele și camionetele noi vizează reducerea în continuare a emisiilor de gaze cu efect de seră generate de aceste vehicule, oferind o direcție clară și realistă către mobilitatea cu emisii zero. Cererea consumatorilor pentru vehicule cu emisii zero cunoaște deja o creștere rapidă. </w:t>
      </w:r>
    </w:p>
    <w:p w14:paraId="48EB8363" w14:textId="77777777" w:rsidR="00A60D21" w:rsidRDefault="00A60D21" w:rsidP="00A60D21">
      <w:pPr>
        <w:suppressAutoHyphens/>
        <w:autoSpaceDE w:val="0"/>
        <w:spacing w:line="276" w:lineRule="auto"/>
        <w:jc w:val="both"/>
        <w:rPr>
          <w:rFonts w:ascii="Arial" w:eastAsiaTheme="minorHAnsi" w:hAnsi="Arial" w:cs="Arial"/>
          <w:lang w:val="it-IT"/>
        </w:rPr>
      </w:pPr>
      <w:r w:rsidRPr="00A60D21">
        <w:rPr>
          <w:rFonts w:ascii="Arial" w:eastAsiaTheme="minorHAnsi" w:hAnsi="Arial" w:cs="Arial"/>
          <w:bCs/>
          <w:lang w:val="it-IT"/>
        </w:rPr>
        <w:t xml:space="preserve">Regulamentul privind infrastructura pentru combustibili alternativi </w:t>
      </w:r>
      <w:r w:rsidRPr="00A60D21">
        <w:rPr>
          <w:rFonts w:ascii="Arial" w:eastAsiaTheme="minorHAnsi" w:hAnsi="Arial" w:cs="Arial"/>
          <w:lang w:val="it-IT"/>
        </w:rPr>
        <w:t>va asigura implementarea necesară a unei infrastructuri interoperabile și ușor de utilizat pentru reîncărcarea și realimentarea vehiculelor mai puțin poluante în întreaga UE, ținând pasul cu dezvoltarea pieței și garantând faptul că zonele rurale și cele îndepărtate vor fi, de asemenea, acoperite.</w:t>
      </w:r>
      <w:r>
        <w:rPr>
          <w:rFonts w:ascii="Arial" w:eastAsiaTheme="minorHAnsi" w:hAnsi="Arial" w:cs="Arial"/>
          <w:lang w:val="it-IT"/>
        </w:rPr>
        <w:t xml:space="preserve"> </w:t>
      </w:r>
      <w:r w:rsidRPr="00A60D21">
        <w:rPr>
          <w:rFonts w:ascii="Arial" w:eastAsiaTheme="minorHAnsi" w:hAnsi="Arial" w:cs="Arial"/>
          <w:lang w:val="it-IT"/>
        </w:rPr>
        <w:t>Obiectivele obligatorii propuse privind infrastructura pentru combustibili alternativi sunt esențiale pentru a sprijini pătrunderea pe piață a vehiculelor mai puțin poluante și creșterea continuă a acestei piețe, care oferă oportunități extraordinare pentru industria automobilelor din UE.</w:t>
      </w:r>
    </w:p>
    <w:p w14:paraId="0E1C562B" w14:textId="77777777" w:rsidR="00A60D21" w:rsidRPr="00A60D21" w:rsidRDefault="00A60D21" w:rsidP="00A60D21">
      <w:pPr>
        <w:suppressAutoHyphens/>
        <w:autoSpaceDE w:val="0"/>
        <w:spacing w:line="276" w:lineRule="auto"/>
        <w:jc w:val="both"/>
        <w:rPr>
          <w:rFonts w:ascii="Arial" w:eastAsia="Times New Roman" w:hAnsi="Arial" w:cs="Arial"/>
          <w:color w:val="000000"/>
          <w:kern w:val="1"/>
          <w:lang w:val="ro-RO" w:eastAsia="zh-CN"/>
        </w:rPr>
      </w:pPr>
      <w:r>
        <w:rPr>
          <w:rFonts w:ascii="Arial" w:eastAsiaTheme="minorHAnsi" w:hAnsi="Arial" w:cs="Arial"/>
          <w:lang w:val="it-IT"/>
        </w:rPr>
        <w:t xml:space="preserve">În </w:t>
      </w:r>
      <w:r w:rsidRPr="00A60D21">
        <w:rPr>
          <w:rFonts w:ascii="Arial" w:eastAsiaTheme="minorHAnsi" w:hAnsi="Arial" w:cs="Arial"/>
          <w:lang w:val="it-IT"/>
        </w:rPr>
        <w:t>pachetul „</w:t>
      </w:r>
      <w:r w:rsidRPr="003B21C2">
        <w:rPr>
          <w:rFonts w:ascii="Arial" w:eastAsiaTheme="minorHAnsi" w:hAnsi="Arial" w:cs="Arial"/>
          <w:b/>
          <w:bCs/>
          <w:lang w:val="it-IT"/>
        </w:rPr>
        <w:t>Pregătiți pentru 55</w:t>
      </w:r>
      <w:r w:rsidRPr="00A60D21">
        <w:rPr>
          <w:rFonts w:ascii="Arial" w:eastAsiaTheme="minorHAnsi" w:hAnsi="Arial" w:cs="Arial"/>
          <w:lang w:val="it-IT"/>
        </w:rPr>
        <w:t>”</w:t>
      </w:r>
      <w:r>
        <w:rPr>
          <w:rFonts w:ascii="Arial" w:eastAsiaTheme="minorHAnsi" w:hAnsi="Arial" w:cs="Arial"/>
          <w:lang w:val="it-IT"/>
        </w:rPr>
        <w:t xml:space="preserve"> se subliniază urgentarea stabilirii unui preţ pentru emisiile de dioxid de carbon generate de transportul rutier, </w:t>
      </w:r>
      <w:r w:rsidRPr="00A60D21">
        <w:rPr>
          <w:rFonts w:ascii="Arial" w:eastAsiaTheme="minorHAnsi" w:hAnsi="Arial" w:cs="Arial"/>
          <w:lang w:val="it-IT"/>
        </w:rPr>
        <w:t>pentru ca parcul de autovehicule actual să devină mai puțin poluant. În plus, standardele mai ambițioase privind emisiile de CO2 vor contribui la creșterea rapidă a numărului de vehicule cu emisii zero puse în circulație, în timp ce obligațiile în materie de infrastructură vor conduce la instalarea stațiilor de încărcare și de realimentare necesare pentru a deservi milioanele de vehicule noi preconizate până în 2030 în paralel cu continuarea dezvoltării unui lanț valoric durabil și competitiv la nivel mondial al bateriilor.</w:t>
      </w:r>
    </w:p>
    <w:p w14:paraId="702263FE" w14:textId="77777777" w:rsidR="00615EC1" w:rsidRDefault="00615EC1" w:rsidP="00D70AEA">
      <w:pPr>
        <w:suppressAutoHyphens/>
        <w:autoSpaceDE w:val="0"/>
        <w:spacing w:line="276" w:lineRule="auto"/>
        <w:jc w:val="both"/>
        <w:rPr>
          <w:rFonts w:ascii="Arial" w:eastAsia="Times New Roman" w:hAnsi="Arial" w:cs="Arial"/>
          <w:color w:val="000000"/>
          <w:kern w:val="1"/>
          <w:lang w:val="ro-RO" w:eastAsia="zh-CN"/>
        </w:rPr>
      </w:pPr>
    </w:p>
    <w:p w14:paraId="72630633"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C. numeroase directive și regulamente europene au un impact asupra transporturilor urbane și coerența lor trebuie asigurată printr-o abordare specifică a problematicii deplasărilor urbane; </w:t>
      </w:r>
    </w:p>
    <w:p w14:paraId="5BF1C757"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D. fondul de coeziune și fondurile structurale pentru perioada 2014-2020 au finanțat programe de mobilitate urbană, dar au avut două inconveniente: pe de o parte, nu s-au bazat pe o strategie și pe obiective europene de mobilitate urbană și, pe de altă parte, au fist distribuite inegal pe teritoriul Uniunii; </w:t>
      </w:r>
    </w:p>
    <w:p w14:paraId="65793556"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E. zonele urbane reprezintă poli privilegiați ai intermodalității și interconexiunii dintre rețelele transeuropene de transporturi, care trebuie să contribuie la realizarea obiectivelor generale în favoarea unei mobilități europene durabile şi nu mai puţin a intermodalitatii; </w:t>
      </w:r>
    </w:p>
    <w:p w14:paraId="7600112F"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F. problematica zonelor urbane nu poate fi abordată prin politici modale, ci prin intermediul unei abordări care se concentrează pe utilizatori și pe oferta sistemelor de deplasare integrate; </w:t>
      </w:r>
    </w:p>
    <w:p w14:paraId="7BA03C52"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lastRenderedPageBreak/>
        <w:t xml:space="preserve">G. necesitatea unor strategii solide în materie de deplasări urbane în vederea optimizării instrumentelor relevante, prin crearea unor platforme de comutare intermodale și prin integrarea diferitelor sisteme de deplasare; </w:t>
      </w:r>
    </w:p>
    <w:p w14:paraId="4D37068E"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H. o politică eficientă și sustenabilă în domeniul transportului urban în beneficiul cetățenilor europeni și al economiei europene nu poate fi realizată decât prin asigurarea unui tratament egal pentru transportul de mărfuri și transportul de pasageri, precum și pentru diferitele moduri de transport; </w:t>
      </w:r>
    </w:p>
    <w:p w14:paraId="53035DA9"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I. zonele urbane reprezintă centre economice importante în care transportul urban are, pe de o parte, o importanță vitală pentru aprovizionarea populației iar, pe de altă parte, întâmpină dificultăți din cauza capacității limitate de transport, depozitare și a intervalelor de timp reduse alocate pentru livrare; </w:t>
      </w:r>
    </w:p>
    <w:p w14:paraId="432D01B3"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J. cerinţa imperioasă ca traficul să fie redus substanțial printr-o planificare urbană care să țină cont de schimbările sociale, geografice şi demografice în societate; </w:t>
      </w:r>
    </w:p>
    <w:p w14:paraId="30A6F9AF"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 xml:space="preserve">K. necesitatea că informațiile statistice disponibile să fie mai fiabile și mai sistematizate, pentru a permite evaluarea politicilor publice locale și schimburile de bune practici în materie de deplasări urbane; </w:t>
      </w:r>
    </w:p>
    <w:p w14:paraId="10C57742" w14:textId="77777777" w:rsidR="00D70AEA" w:rsidRPr="00D70AEA" w:rsidRDefault="00D70AEA" w:rsidP="00D70AEA">
      <w:pPr>
        <w:suppressAutoHyphens/>
        <w:autoSpaceDE w:val="0"/>
        <w:spacing w:line="276" w:lineRule="auto"/>
        <w:jc w:val="both"/>
        <w:rPr>
          <w:rFonts w:ascii="Arial" w:eastAsia="Times New Roman" w:hAnsi="Arial" w:cs="Arial"/>
          <w:color w:val="000000"/>
          <w:kern w:val="1"/>
          <w:lang w:val="ro-RO" w:eastAsia="zh-CN"/>
        </w:rPr>
      </w:pPr>
      <w:r w:rsidRPr="00D70AEA">
        <w:rPr>
          <w:rFonts w:ascii="Arial" w:eastAsia="Times New Roman" w:hAnsi="Arial" w:cs="Arial"/>
          <w:color w:val="000000"/>
          <w:kern w:val="1"/>
          <w:lang w:val="ro-RO" w:eastAsia="zh-CN"/>
        </w:rPr>
        <w:t>L. diferitele tehnici utilizate în transporturile urbane prezintă o importanță economică și tehnologică pentru competitivitatea și comerțul Uniunii.</w:t>
      </w:r>
    </w:p>
    <w:p w14:paraId="027CD9CD" w14:textId="77777777" w:rsidR="00D70AEA" w:rsidRPr="00D70AEA" w:rsidRDefault="00D70AEA" w:rsidP="00D70AEA">
      <w:pPr>
        <w:suppressAutoHyphens/>
        <w:autoSpaceDE w:val="0"/>
        <w:spacing w:after="0" w:line="276" w:lineRule="auto"/>
        <w:jc w:val="both"/>
        <w:rPr>
          <w:rFonts w:ascii="Arial" w:eastAsia="Times New Roman" w:hAnsi="Arial" w:cs="Arial"/>
          <w:color w:val="000000"/>
          <w:kern w:val="1"/>
          <w:lang w:val="ro-RO" w:eastAsia="zh-CN"/>
        </w:rPr>
      </w:pPr>
    </w:p>
    <w:p w14:paraId="0ABC3124" w14:textId="77777777" w:rsidR="00D70AEA" w:rsidRPr="00D70AEA" w:rsidRDefault="00D70AEA" w:rsidP="00D70AEA">
      <w:pPr>
        <w:widowControl w:val="0"/>
        <w:suppressAutoHyphens/>
        <w:autoSpaceDE w:val="0"/>
        <w:spacing w:after="0" w:line="276" w:lineRule="auto"/>
        <w:jc w:val="both"/>
        <w:rPr>
          <w:rFonts w:ascii="Arial" w:eastAsia="Times New Roman" w:hAnsi="Arial" w:cs="Arial"/>
          <w:kern w:val="1"/>
          <w:lang w:val="ro-RO" w:eastAsia="zh-CN"/>
        </w:rPr>
      </w:pPr>
      <w:r w:rsidRPr="00D70AEA">
        <w:rPr>
          <w:rFonts w:ascii="Arial" w:eastAsia="Times New Roman" w:hAnsi="Arial" w:cs="Arial"/>
          <w:b/>
          <w:bCs/>
          <w:kern w:val="1"/>
          <w:lang w:val="ro-RO" w:eastAsia="zh-CN"/>
        </w:rPr>
        <w:t xml:space="preserve">III. Procedural </w:t>
      </w:r>
      <w:r w:rsidRPr="00D70AEA">
        <w:rPr>
          <w:rFonts w:ascii="Arial" w:eastAsia="Times New Roman" w:hAnsi="Arial" w:cs="Arial"/>
          <w:kern w:val="1"/>
          <w:lang w:val="ro-RO" w:eastAsia="zh-CN"/>
        </w:rPr>
        <w:t xml:space="preserve">este necesară acumularea de date referitoare la conduita factorilor de decizie şi a cetăţenilor relativ la problemele dezvoltării durabile a transporturilor şi în primul rând faţă de </w:t>
      </w:r>
      <w:r w:rsidRPr="00D70AEA">
        <w:rPr>
          <w:rFonts w:ascii="Arial" w:eastAsia="Times New Roman" w:hAnsi="Arial" w:cs="Arial"/>
          <w:bCs/>
          <w:i/>
          <w:kern w:val="1"/>
          <w:lang w:val="ro-RO" w:eastAsia="zh-CN"/>
        </w:rPr>
        <w:t>asigurarea mobilităţii – ca drept fundamental al fiecărui individ şi nu mai puţin al comunităţii umane</w:t>
      </w:r>
      <w:r w:rsidRPr="00D70AEA">
        <w:rPr>
          <w:rFonts w:ascii="Arial" w:eastAsia="Times New Roman" w:hAnsi="Arial" w:cs="Arial"/>
          <w:kern w:val="1"/>
          <w:lang w:val="ro-RO" w:eastAsia="zh-CN"/>
        </w:rPr>
        <w:t>.</w:t>
      </w:r>
    </w:p>
    <w:p w14:paraId="70B5F73D" w14:textId="77777777" w:rsidR="00D70AEA" w:rsidRPr="00D70AEA" w:rsidRDefault="00D70AEA" w:rsidP="00D70AEA">
      <w:pPr>
        <w:suppressAutoHyphens/>
        <w:autoSpaceDE w:val="0"/>
        <w:spacing w:after="0" w:line="276" w:lineRule="auto"/>
        <w:jc w:val="both"/>
        <w:rPr>
          <w:rFonts w:ascii="Arial" w:eastAsia="Times New Roman" w:hAnsi="Arial" w:cs="Arial"/>
          <w:kern w:val="1"/>
          <w:lang w:val="ro-RO" w:eastAsia="zh-CN"/>
        </w:rPr>
      </w:pPr>
    </w:p>
    <w:p w14:paraId="0FDAC2BC" w14:textId="77777777" w:rsidR="00D70AEA" w:rsidRPr="00D70AEA" w:rsidRDefault="00D70AEA" w:rsidP="00D70AEA">
      <w:pPr>
        <w:suppressAutoHyphens/>
        <w:autoSpaceDE w:val="0"/>
        <w:spacing w:after="0" w:line="276" w:lineRule="auto"/>
        <w:jc w:val="both"/>
        <w:rPr>
          <w:rFonts w:ascii="Arial" w:eastAsia="Times New Roman" w:hAnsi="Arial" w:cs="Arial"/>
          <w:kern w:val="1"/>
          <w:lang w:val="ro-RO" w:eastAsia="zh-CN"/>
        </w:rPr>
      </w:pPr>
      <w:r w:rsidRPr="00D70AEA">
        <w:rPr>
          <w:rFonts w:ascii="Arial" w:eastAsia="Times New Roman" w:hAnsi="Arial" w:cs="Arial"/>
          <w:kern w:val="1"/>
          <w:lang w:val="ro-RO" w:eastAsia="zh-CN"/>
        </w:rPr>
        <w:t xml:space="preserve">Planul de Mobilitate Urbană Durabilă </w:t>
      </w:r>
      <w:r w:rsidR="00273FB4">
        <w:rPr>
          <w:rFonts w:ascii="Arial" w:eastAsia="Times New Roman" w:hAnsi="Arial" w:cs="Arial"/>
          <w:kern w:val="1"/>
          <w:lang w:val="ro-RO" w:eastAsia="zh-CN"/>
        </w:rPr>
        <w:t>al oraşului Horezu</w:t>
      </w:r>
      <w:r w:rsidRPr="00D70AEA">
        <w:rPr>
          <w:rFonts w:ascii="Arial" w:eastAsia="Times New Roman" w:hAnsi="Arial" w:cs="Arial"/>
          <w:kern w:val="1"/>
          <w:lang w:val="ro-RO" w:eastAsia="zh-CN"/>
        </w:rPr>
        <w:t xml:space="preserve"> acoperă perioada 202</w:t>
      </w:r>
      <w:r w:rsidR="00273FB4">
        <w:rPr>
          <w:rFonts w:ascii="Arial" w:eastAsia="Times New Roman" w:hAnsi="Arial" w:cs="Arial"/>
          <w:kern w:val="1"/>
          <w:lang w:val="ro-RO" w:eastAsia="zh-CN"/>
        </w:rPr>
        <w:t>2</w:t>
      </w:r>
      <w:r w:rsidRPr="00D70AEA">
        <w:rPr>
          <w:rFonts w:ascii="Arial" w:eastAsia="Times New Roman" w:hAnsi="Arial" w:cs="Arial"/>
          <w:kern w:val="1"/>
          <w:lang w:val="ro-RO" w:eastAsia="zh-CN"/>
        </w:rPr>
        <w:t xml:space="preserve">-2027. Planul de mobilitate urbană durabilă va avea ca viziune de dezvoltare a mobilităţii realizarea unui sistem de transport eficient, integrat, durabil şi sigur, care să promoveze dezvoltarea economică, socială şi teritorială şi care să asigure o calitate crescută a vieţii în </w:t>
      </w:r>
      <w:r w:rsidR="00273FB4">
        <w:rPr>
          <w:rFonts w:ascii="Arial" w:eastAsia="Times New Roman" w:hAnsi="Arial" w:cs="Arial"/>
          <w:kern w:val="1"/>
          <w:lang w:val="ro-RO" w:eastAsia="zh-CN"/>
        </w:rPr>
        <w:t>oraşul Horezu</w:t>
      </w:r>
      <w:r w:rsidRPr="00D70AEA">
        <w:rPr>
          <w:rFonts w:ascii="Arial" w:eastAsia="Times New Roman" w:hAnsi="Arial" w:cs="Arial"/>
          <w:kern w:val="1"/>
          <w:lang w:val="ro-RO" w:eastAsia="zh-CN"/>
        </w:rPr>
        <w:t>.</w:t>
      </w:r>
    </w:p>
    <w:p w14:paraId="566D59EC" w14:textId="77777777" w:rsidR="00D70AEA" w:rsidRPr="00D70AEA" w:rsidRDefault="00D70AEA" w:rsidP="00D70AEA">
      <w:pPr>
        <w:tabs>
          <w:tab w:val="left" w:pos="993"/>
          <w:tab w:val="left" w:pos="9498"/>
        </w:tabs>
        <w:suppressAutoHyphens/>
        <w:autoSpaceDE w:val="0"/>
        <w:spacing w:after="0" w:line="276" w:lineRule="auto"/>
        <w:jc w:val="both"/>
        <w:rPr>
          <w:rFonts w:ascii="Arial" w:eastAsia="Times New Roman" w:hAnsi="Arial" w:cs="Arial"/>
          <w:kern w:val="1"/>
          <w:lang w:val="ro-RO" w:eastAsia="zh-CN"/>
        </w:rPr>
      </w:pPr>
    </w:p>
    <w:p w14:paraId="3C1F9258" w14:textId="77777777" w:rsidR="00D70AEA" w:rsidRPr="00D70AEA" w:rsidRDefault="00D70AEA" w:rsidP="00D70AEA">
      <w:pPr>
        <w:suppressAutoHyphens/>
        <w:spacing w:after="0" w:line="276" w:lineRule="auto"/>
        <w:jc w:val="both"/>
        <w:rPr>
          <w:rFonts w:ascii="Arial" w:eastAsia="Times New Roman" w:hAnsi="Arial" w:cs="Arial"/>
          <w:kern w:val="1"/>
          <w:lang w:val="ro-RO" w:eastAsia="zh-CN"/>
        </w:rPr>
      </w:pPr>
      <w:r w:rsidRPr="00D70AEA">
        <w:rPr>
          <w:rFonts w:ascii="Arial" w:eastAsia="Times New Roman" w:hAnsi="Arial" w:cs="Arial"/>
          <w:kern w:val="1"/>
          <w:lang w:val="ro-RO" w:eastAsia="zh-CN"/>
        </w:rPr>
        <w:t>O parte din măsurile care vor fi identificate vor fi propuse spre finanțare în noul Cadru Financiar Multianual (CFM) 2021-2027 și pachetul de relansare economică Next Generation EU (NGEU).</w:t>
      </w:r>
    </w:p>
    <w:p w14:paraId="223E0B1E" w14:textId="77777777" w:rsidR="00D70AEA" w:rsidRPr="00D70AEA" w:rsidRDefault="00D70AEA" w:rsidP="00D70AEA">
      <w:pPr>
        <w:widowControl w:val="0"/>
        <w:suppressAutoHyphens/>
        <w:spacing w:after="0" w:line="276" w:lineRule="auto"/>
        <w:jc w:val="both"/>
        <w:rPr>
          <w:rFonts w:ascii="Arial" w:hAnsi="Arial" w:cs="Arial"/>
          <w:kern w:val="1"/>
          <w:lang w:val="ro-RO" w:eastAsia="hi-IN" w:bidi="hi-IN"/>
        </w:rPr>
      </w:pPr>
    </w:p>
    <w:p w14:paraId="413D4CE0" w14:textId="77777777" w:rsidR="001715C5" w:rsidRDefault="001715C5" w:rsidP="00D70AEA">
      <w:pPr>
        <w:widowControl w:val="0"/>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 xml:space="preserve">Pentru perioada de programare 2021-2027, Comisia Europeană a propus ca Fondul european de dezvoltare regională (FEDR) să pună accent </w:t>
      </w:r>
      <w:r w:rsidR="0026602C">
        <w:rPr>
          <w:rFonts w:ascii="Arial" w:hAnsi="Arial" w:cs="Arial"/>
          <w:kern w:val="1"/>
          <w:lang w:val="es-ES" w:eastAsia="hi-IN" w:bidi="hi-IN"/>
        </w:rPr>
        <w:t>mai puternic pe activităţile de dezvoltare urbană durabilă (DUD), statele membre fiind încurajat</w:t>
      </w:r>
      <w:r w:rsidR="00C26F95">
        <w:rPr>
          <w:rFonts w:ascii="Arial" w:hAnsi="Arial" w:cs="Arial"/>
          <w:kern w:val="1"/>
          <w:lang w:val="es-ES" w:eastAsia="hi-IN" w:bidi="hi-IN"/>
        </w:rPr>
        <w:t>e să aloce cel puţin 6% din fon</w:t>
      </w:r>
      <w:r w:rsidR="0026602C">
        <w:rPr>
          <w:rFonts w:ascii="Arial" w:hAnsi="Arial" w:cs="Arial"/>
          <w:kern w:val="1"/>
          <w:lang w:val="es-ES" w:eastAsia="hi-IN" w:bidi="hi-IN"/>
        </w:rPr>
        <w:t>durile FEDR dezvoltării integrate în zonele urbane.</w:t>
      </w:r>
    </w:p>
    <w:p w14:paraId="67BAF215" w14:textId="77777777" w:rsidR="0026602C" w:rsidRDefault="0026602C" w:rsidP="00D70AEA">
      <w:pPr>
        <w:widowControl w:val="0"/>
        <w:suppressAutoHyphens/>
        <w:spacing w:after="0" w:line="276" w:lineRule="auto"/>
        <w:jc w:val="both"/>
        <w:rPr>
          <w:rFonts w:ascii="Arial" w:hAnsi="Arial" w:cs="Arial"/>
          <w:kern w:val="1"/>
          <w:lang w:val="es-ES" w:eastAsia="hi-IN" w:bidi="hi-IN"/>
        </w:rPr>
      </w:pPr>
    </w:p>
    <w:p w14:paraId="09E5FF20" w14:textId="77777777" w:rsidR="00D70AEA" w:rsidRDefault="00C26F95" w:rsidP="00D70AEA">
      <w:pPr>
        <w:widowControl w:val="0"/>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P</w:t>
      </w:r>
      <w:r w:rsidR="00D70AEA" w:rsidRPr="00D70AEA">
        <w:rPr>
          <w:rFonts w:ascii="Arial" w:hAnsi="Arial" w:cs="Arial"/>
          <w:kern w:val="1"/>
          <w:lang w:val="es-ES" w:eastAsia="hi-IN" w:bidi="hi-IN"/>
        </w:rPr>
        <w:t xml:space="preserve">MUD este și un mijloc de integrare a celorlalte documente realizate la scară teritorială și locală. Astfel, acesta preia elementele de mobilitate prezente în Planul de Amenajare a Teritoriului Național, Planul Urbanistic General. De asemenea, se ține cont de Master Planul General de Transport și de documentele de planificare națională, regională și județeană. Planul de mobilitate urbană durabilă preia, de asemenea elementele de mobilitate urbană incluse în documentul de planificare strategică de la nivelul </w:t>
      </w:r>
      <w:r w:rsidR="0030279D">
        <w:rPr>
          <w:rFonts w:ascii="Arial" w:hAnsi="Arial" w:cs="Arial"/>
          <w:kern w:val="1"/>
          <w:lang w:val="es-ES" w:eastAsia="hi-IN" w:bidi="hi-IN"/>
        </w:rPr>
        <w:t>oraşului</w:t>
      </w:r>
      <w:r w:rsidR="00D70AEA" w:rsidRPr="00D70AEA">
        <w:rPr>
          <w:rFonts w:ascii="Arial" w:hAnsi="Arial" w:cs="Arial"/>
          <w:kern w:val="1"/>
          <w:lang w:val="es-ES" w:eastAsia="hi-IN" w:bidi="hi-IN"/>
        </w:rPr>
        <w:t xml:space="preserve"> și anume </w:t>
      </w:r>
      <w:r w:rsidR="00D70AEA" w:rsidRPr="00267545">
        <w:rPr>
          <w:rFonts w:ascii="Arial" w:hAnsi="Arial" w:cs="Arial"/>
          <w:i/>
          <w:iCs/>
          <w:kern w:val="1"/>
          <w:lang w:val="es-ES" w:eastAsia="hi-IN" w:bidi="hi-IN"/>
        </w:rPr>
        <w:t xml:space="preserve">Strategia de dezvoltare </w:t>
      </w:r>
      <w:r w:rsidR="0030279D" w:rsidRPr="00267545">
        <w:rPr>
          <w:rFonts w:ascii="Arial" w:hAnsi="Arial" w:cs="Arial"/>
          <w:i/>
          <w:iCs/>
          <w:kern w:val="1"/>
          <w:lang w:val="es-ES" w:eastAsia="hi-IN" w:bidi="hi-IN"/>
        </w:rPr>
        <w:t>economică şi social</w:t>
      </w:r>
      <w:r w:rsidR="001E0EDD" w:rsidRPr="00267545">
        <w:rPr>
          <w:rFonts w:ascii="Arial" w:hAnsi="Arial" w:cs="Arial"/>
          <w:i/>
          <w:iCs/>
          <w:kern w:val="1"/>
          <w:lang w:val="es-ES" w:eastAsia="hi-IN" w:bidi="hi-IN"/>
        </w:rPr>
        <w:t>ă</w:t>
      </w:r>
      <w:r w:rsidR="0030279D" w:rsidRPr="00267545">
        <w:rPr>
          <w:rFonts w:ascii="Arial" w:hAnsi="Arial" w:cs="Arial"/>
          <w:i/>
          <w:iCs/>
          <w:kern w:val="1"/>
          <w:lang w:val="es-ES" w:eastAsia="hi-IN" w:bidi="hi-IN"/>
        </w:rPr>
        <w:t xml:space="preserve"> a oraşului Horezu</w:t>
      </w:r>
      <w:r w:rsidR="00D70AEA" w:rsidRPr="00267545">
        <w:rPr>
          <w:rFonts w:ascii="Arial" w:hAnsi="Arial" w:cs="Arial"/>
          <w:i/>
          <w:iCs/>
          <w:kern w:val="1"/>
          <w:lang w:val="es-ES" w:eastAsia="hi-IN" w:bidi="hi-IN"/>
        </w:rPr>
        <w:t xml:space="preserve"> 2014-202</w:t>
      </w:r>
      <w:r w:rsidR="0030279D" w:rsidRPr="00267545">
        <w:rPr>
          <w:rFonts w:ascii="Arial" w:hAnsi="Arial" w:cs="Arial"/>
          <w:i/>
          <w:iCs/>
          <w:kern w:val="1"/>
          <w:lang w:val="es-ES" w:eastAsia="hi-IN" w:bidi="hi-IN"/>
        </w:rPr>
        <w:t>0</w:t>
      </w:r>
      <w:r w:rsidR="001E0EDD" w:rsidRPr="00267545">
        <w:rPr>
          <w:rFonts w:ascii="Arial" w:hAnsi="Arial" w:cs="Arial"/>
          <w:kern w:val="1"/>
          <w:lang w:val="es-ES" w:eastAsia="hi-IN" w:bidi="hi-IN"/>
        </w:rPr>
        <w:t>.</w:t>
      </w:r>
      <w:r w:rsidR="00D70AEA" w:rsidRPr="00267545">
        <w:rPr>
          <w:rFonts w:ascii="Arial" w:hAnsi="Arial" w:cs="Arial"/>
          <w:kern w:val="1"/>
          <w:lang w:val="es-ES" w:eastAsia="hi-IN" w:bidi="hi-IN"/>
        </w:rPr>
        <w:t xml:space="preserve"> </w:t>
      </w:r>
      <w:bookmarkStart w:id="16" w:name="_Hlk65746886"/>
      <w:r w:rsidR="00D70AEA" w:rsidRPr="00267545">
        <w:rPr>
          <w:rFonts w:ascii="Arial" w:hAnsi="Arial" w:cs="Arial"/>
          <w:kern w:val="1"/>
          <w:lang w:val="es-ES" w:eastAsia="hi-IN" w:bidi="hi-IN"/>
        </w:rPr>
        <w:t>La</w:t>
      </w:r>
      <w:r w:rsidR="00D70AEA" w:rsidRPr="00D70AEA">
        <w:rPr>
          <w:rFonts w:ascii="Arial" w:hAnsi="Arial" w:cs="Arial"/>
          <w:kern w:val="1"/>
          <w:lang w:val="es-ES" w:eastAsia="hi-IN" w:bidi="hi-IN"/>
        </w:rPr>
        <w:t xml:space="preserve"> momentul </w:t>
      </w:r>
      <w:r w:rsidR="00537880">
        <w:rPr>
          <w:rFonts w:ascii="Arial" w:hAnsi="Arial" w:cs="Arial"/>
          <w:kern w:val="1"/>
          <w:lang w:val="es-ES" w:eastAsia="hi-IN" w:bidi="hi-IN"/>
        </w:rPr>
        <w:t>întocmirii</w:t>
      </w:r>
      <w:r w:rsidR="00D70AEA" w:rsidRPr="00D70AEA">
        <w:rPr>
          <w:rFonts w:ascii="Arial" w:hAnsi="Arial" w:cs="Arial"/>
          <w:kern w:val="1"/>
          <w:lang w:val="es-ES" w:eastAsia="hi-IN" w:bidi="hi-IN"/>
        </w:rPr>
        <w:t xml:space="preserve"> Planului de Mobilitate Urbană Durabilă </w:t>
      </w:r>
      <w:r w:rsidR="00537880">
        <w:rPr>
          <w:rFonts w:ascii="Arial" w:hAnsi="Arial" w:cs="Arial"/>
          <w:kern w:val="1"/>
          <w:lang w:val="es-ES" w:eastAsia="hi-IN" w:bidi="hi-IN"/>
        </w:rPr>
        <w:t>al Oraşului Horezu</w:t>
      </w:r>
      <w:r w:rsidR="00D70AEA" w:rsidRPr="00D70AEA">
        <w:rPr>
          <w:rFonts w:ascii="Arial" w:hAnsi="Arial" w:cs="Arial"/>
          <w:kern w:val="1"/>
          <w:lang w:val="es-ES" w:eastAsia="hi-IN" w:bidi="hi-IN"/>
        </w:rPr>
        <w:t xml:space="preserve">, </w:t>
      </w:r>
      <w:r w:rsidR="00D70AEA" w:rsidRPr="0030279D">
        <w:rPr>
          <w:rFonts w:ascii="Arial" w:hAnsi="Arial" w:cs="Arial"/>
          <w:kern w:val="1"/>
          <w:lang w:val="es-ES" w:eastAsia="hi-IN" w:bidi="hi-IN"/>
        </w:rPr>
        <w:t xml:space="preserve">se află în curs de elaborare </w:t>
      </w:r>
      <w:r w:rsidR="0030279D" w:rsidRPr="0030279D">
        <w:rPr>
          <w:rFonts w:ascii="Arial" w:hAnsi="Arial" w:cs="Arial"/>
          <w:kern w:val="1"/>
          <w:lang w:val="es-ES" w:eastAsia="hi-IN" w:bidi="hi-IN"/>
        </w:rPr>
        <w:t>Strategia Inte</w:t>
      </w:r>
      <w:r w:rsidR="0030279D">
        <w:rPr>
          <w:rFonts w:ascii="Arial" w:hAnsi="Arial" w:cs="Arial"/>
          <w:kern w:val="1"/>
          <w:lang w:val="es-ES" w:eastAsia="hi-IN" w:bidi="hi-IN"/>
        </w:rPr>
        <w:t>grată de Dezvoltare Urbană 2021-</w:t>
      </w:r>
      <w:r w:rsidR="0030279D" w:rsidRPr="0030279D">
        <w:rPr>
          <w:rFonts w:ascii="Arial" w:hAnsi="Arial" w:cs="Arial"/>
          <w:kern w:val="1"/>
          <w:lang w:val="es-ES" w:eastAsia="hi-IN" w:bidi="hi-IN"/>
        </w:rPr>
        <w:t>2030</w:t>
      </w:r>
      <w:r w:rsidR="001E0EDD">
        <w:rPr>
          <w:rFonts w:ascii="Arial" w:hAnsi="Arial" w:cs="Arial"/>
          <w:kern w:val="1"/>
          <w:lang w:val="es-ES" w:eastAsia="hi-IN" w:bidi="hi-IN"/>
        </w:rPr>
        <w:t>.</w:t>
      </w:r>
    </w:p>
    <w:p w14:paraId="57792CE4" w14:textId="77777777" w:rsidR="00537880" w:rsidRPr="00D70AEA" w:rsidRDefault="00537880" w:rsidP="00D70AEA">
      <w:pPr>
        <w:widowControl w:val="0"/>
        <w:suppressAutoHyphens/>
        <w:spacing w:after="0" w:line="276" w:lineRule="auto"/>
        <w:jc w:val="both"/>
        <w:rPr>
          <w:rFonts w:ascii="Arial" w:hAnsi="Arial" w:cs="Arial"/>
          <w:kern w:val="1"/>
          <w:lang w:val="es-ES" w:eastAsia="hi-IN" w:bidi="hi-IN"/>
        </w:rPr>
      </w:pPr>
    </w:p>
    <w:bookmarkEnd w:id="16"/>
    <w:p w14:paraId="5EBBFE7E" w14:textId="77777777" w:rsidR="00FC3A91" w:rsidRDefault="00FC3A91" w:rsidP="00FC3A91">
      <w:pPr>
        <w:widowControl w:val="0"/>
        <w:suppressAutoHyphens/>
        <w:spacing w:after="0" w:line="276" w:lineRule="auto"/>
        <w:jc w:val="both"/>
        <w:rPr>
          <w:rFonts w:ascii="Arial" w:hAnsi="Arial" w:cs="Arial"/>
          <w:kern w:val="1"/>
          <w:lang w:eastAsia="hi-IN" w:bidi="hi-IN"/>
        </w:rPr>
      </w:pPr>
      <w:r w:rsidRPr="00FC3A91">
        <w:rPr>
          <w:rFonts w:ascii="Arial" w:hAnsi="Arial" w:cs="Arial"/>
          <w:kern w:val="1"/>
          <w:lang w:val="es-ES" w:eastAsia="hi-IN" w:bidi="hi-IN"/>
        </w:rPr>
        <w:t xml:space="preserve">Procesul de planificare a mobilităţii urbane durabile trebuie să fie adaptat la situaţia locală. Aceasta include ca pas esențial, </w:t>
      </w:r>
      <w:r w:rsidRPr="00FC3A91">
        <w:rPr>
          <w:rFonts w:ascii="Arial" w:hAnsi="Arial" w:cs="Arial"/>
          <w:b/>
          <w:bCs/>
          <w:kern w:val="1"/>
          <w:lang w:val="es-ES" w:eastAsia="hi-IN" w:bidi="hi-IN"/>
        </w:rPr>
        <w:t>definirea scopului geografic al planului</w:t>
      </w:r>
      <w:r w:rsidRPr="00FC3A91">
        <w:rPr>
          <w:rFonts w:ascii="Arial" w:hAnsi="Arial" w:cs="Arial"/>
          <w:kern w:val="1"/>
          <w:lang w:val="es-ES" w:eastAsia="hi-IN" w:bidi="hi-IN"/>
        </w:rPr>
        <w:t xml:space="preserve">, scop care în mod ideal ar trebui să vizeze o aglomerare urbană funcţională. Ca regulă generală, PMUD trebuie să facă referire la teritoriul specific pe care se va implementa. Orice definiţie s-ar utiliza pentru „aglomerarea urbană” vor exista probabil obiecții mai mult sau mai puțin îndreptǎțite; mai mult: nu este postulat sau demonstrat undeva în literatura de specialitate cǎ teritoriul specific asupra căruia se vor exercita acțiunile cuprinse în planul de mobilitate este redus la „aglomerarea urbană”. </w:t>
      </w:r>
      <w:r w:rsidRPr="00FC3A91">
        <w:rPr>
          <w:rFonts w:ascii="Arial" w:hAnsi="Arial" w:cs="Arial"/>
          <w:kern w:val="1"/>
          <w:lang w:eastAsia="hi-IN" w:bidi="hi-IN"/>
        </w:rPr>
        <w:t>În orice caz însǎ aria</w:t>
      </w:r>
      <w:r w:rsidRPr="00FC3A91">
        <w:rPr>
          <w:rFonts w:ascii="Arial" w:hAnsi="Arial" w:cs="Arial"/>
          <w:strike/>
          <w:kern w:val="1"/>
          <w:lang w:eastAsia="hi-IN" w:bidi="hi-IN"/>
        </w:rPr>
        <w:t xml:space="preserve"> </w:t>
      </w:r>
      <w:r w:rsidR="001E0EDD">
        <w:rPr>
          <w:rFonts w:ascii="Arial" w:hAnsi="Arial" w:cs="Arial"/>
          <w:kern w:val="1"/>
          <w:lang w:eastAsia="hi-IN" w:bidi="hi-IN"/>
        </w:rPr>
        <w:t>geografică trebuie să cuprindă cel puţin localităţ</w:t>
      </w:r>
      <w:r w:rsidRPr="00FC3A91">
        <w:rPr>
          <w:rFonts w:ascii="Arial" w:hAnsi="Arial" w:cs="Arial"/>
          <w:kern w:val="1"/>
          <w:lang w:eastAsia="hi-IN" w:bidi="hi-IN"/>
        </w:rPr>
        <w:t>ile componen</w:t>
      </w:r>
      <w:r w:rsidR="001E0EDD">
        <w:rPr>
          <w:rFonts w:ascii="Arial" w:hAnsi="Arial" w:cs="Arial"/>
          <w:kern w:val="1"/>
          <w:lang w:eastAsia="hi-IN" w:bidi="hi-IN"/>
        </w:rPr>
        <w:t>te ale oraşului: Ifrimeşti, Râmeş</w:t>
      </w:r>
      <w:r w:rsidRPr="00FC3A91">
        <w:rPr>
          <w:rFonts w:ascii="Arial" w:hAnsi="Arial" w:cs="Arial"/>
          <w:kern w:val="1"/>
          <w:lang w:eastAsia="hi-IN" w:bidi="hi-IN"/>
        </w:rPr>
        <w:t>ti, Ro</w:t>
      </w:r>
      <w:r w:rsidR="001E0EDD">
        <w:rPr>
          <w:rFonts w:ascii="Arial" w:hAnsi="Arial" w:cs="Arial"/>
          <w:kern w:val="1"/>
          <w:lang w:eastAsia="hi-IN" w:bidi="hi-IN"/>
        </w:rPr>
        <w:t>manii de Jos, Romanii de Sus, Tănă</w:t>
      </w:r>
      <w:r w:rsidR="00A15D7C">
        <w:rPr>
          <w:rFonts w:ascii="Arial" w:hAnsi="Arial" w:cs="Arial"/>
          <w:kern w:val="1"/>
          <w:lang w:eastAsia="hi-IN" w:bidi="hi-IN"/>
        </w:rPr>
        <w:t>s</w:t>
      </w:r>
      <w:r w:rsidR="001E0EDD">
        <w:rPr>
          <w:rFonts w:ascii="Arial" w:hAnsi="Arial" w:cs="Arial"/>
          <w:kern w:val="1"/>
          <w:lang w:eastAsia="hi-IN" w:bidi="hi-IN"/>
        </w:rPr>
        <w:t>eşti şi Urş</w:t>
      </w:r>
      <w:r w:rsidRPr="00FC3A91">
        <w:rPr>
          <w:rFonts w:ascii="Arial" w:hAnsi="Arial" w:cs="Arial"/>
          <w:kern w:val="1"/>
          <w:lang w:eastAsia="hi-IN" w:bidi="hi-IN"/>
        </w:rPr>
        <w:t>ani.</w:t>
      </w:r>
    </w:p>
    <w:p w14:paraId="6D1F158A" w14:textId="77777777" w:rsidR="00D805CA" w:rsidRPr="00FC3A91" w:rsidRDefault="00D805CA" w:rsidP="00FC3A91">
      <w:pPr>
        <w:widowControl w:val="0"/>
        <w:suppressAutoHyphens/>
        <w:spacing w:after="0" w:line="276" w:lineRule="auto"/>
        <w:jc w:val="both"/>
        <w:rPr>
          <w:rFonts w:ascii="Arial" w:hAnsi="Arial" w:cs="Arial"/>
          <w:kern w:val="1"/>
          <w:lang w:val="es-ES" w:eastAsia="hi-IN" w:bidi="hi-IN"/>
        </w:rPr>
      </w:pPr>
    </w:p>
    <w:p w14:paraId="5C8A534E" w14:textId="77777777" w:rsidR="00FC3A91" w:rsidRPr="00FC3A91" w:rsidRDefault="00FC3A91" w:rsidP="00FC3A91">
      <w:pPr>
        <w:widowControl w:val="0"/>
        <w:tabs>
          <w:tab w:val="left" w:pos="1620"/>
        </w:tabs>
        <w:suppressAutoHyphens/>
        <w:spacing w:after="0" w:line="276" w:lineRule="auto"/>
        <w:rPr>
          <w:rFonts w:ascii="Arial" w:hAnsi="Arial" w:cs="Arial"/>
          <w:kern w:val="1"/>
          <w:lang w:val="es-ES" w:eastAsia="hi-IN" w:bidi="hi-IN"/>
        </w:rPr>
      </w:pPr>
    </w:p>
    <w:p w14:paraId="41AAC10F" w14:textId="77777777" w:rsidR="00FC3A91" w:rsidRPr="00FC3A91" w:rsidRDefault="00FC3A91" w:rsidP="00FC3A91">
      <w:pPr>
        <w:widowControl w:val="0"/>
        <w:tabs>
          <w:tab w:val="left" w:pos="1620"/>
        </w:tabs>
        <w:suppressAutoHyphens/>
        <w:spacing w:after="0" w:line="240" w:lineRule="auto"/>
        <w:jc w:val="center"/>
        <w:rPr>
          <w:rFonts w:ascii="Arial" w:hAnsi="Arial" w:cs="Arial"/>
          <w:kern w:val="1"/>
          <w:sz w:val="24"/>
          <w:szCs w:val="24"/>
          <w:lang w:val="es-ES" w:eastAsia="hi-IN" w:bidi="hi-IN"/>
        </w:rPr>
      </w:pPr>
      <w:r w:rsidRPr="00FC3A91">
        <w:rPr>
          <w:rFonts w:ascii="Calibri" w:hAnsi="Calibri" w:cs="Times New Roman"/>
          <w:noProof/>
        </w:rPr>
        <w:drawing>
          <wp:inline distT="0" distB="0" distL="0" distR="0" wp14:anchorId="76B545A8" wp14:editId="233E419B">
            <wp:extent cx="4187144" cy="3136605"/>
            <wp:effectExtent l="0" t="0" r="4445" b="698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41103" t="21522" r="9252" b="12329"/>
                    <a:stretch/>
                  </pic:blipFill>
                  <pic:spPr bwMode="auto">
                    <a:xfrm>
                      <a:off x="0" y="0"/>
                      <a:ext cx="4185261" cy="3135194"/>
                    </a:xfrm>
                    <a:prstGeom prst="rect">
                      <a:avLst/>
                    </a:prstGeom>
                    <a:ln>
                      <a:noFill/>
                    </a:ln>
                    <a:extLst>
                      <a:ext uri="{53640926-AAD7-44D8-BBD7-CCE9431645EC}">
                        <a14:shadowObscured xmlns:a14="http://schemas.microsoft.com/office/drawing/2010/main"/>
                      </a:ext>
                    </a:extLst>
                  </pic:spPr>
                </pic:pic>
              </a:graphicData>
            </a:graphic>
          </wp:inline>
        </w:drawing>
      </w:r>
    </w:p>
    <w:p w14:paraId="4EBD419A" w14:textId="77777777" w:rsidR="00D70AEA" w:rsidRPr="00D70AEA" w:rsidRDefault="00FC3A91" w:rsidP="001E0EDD">
      <w:pPr>
        <w:widowControl w:val="0"/>
        <w:suppressAutoHyphens/>
        <w:spacing w:after="0" w:line="276" w:lineRule="auto"/>
        <w:ind w:left="720" w:firstLine="720"/>
        <w:jc w:val="both"/>
        <w:rPr>
          <w:rFonts w:ascii="Arial" w:hAnsi="Arial" w:cs="Arial"/>
          <w:color w:val="FF0000"/>
          <w:kern w:val="1"/>
          <w:lang w:val="es-ES" w:eastAsia="hi-IN" w:bidi="hi-IN"/>
        </w:rPr>
      </w:pPr>
      <w:r w:rsidRPr="00FC3A91">
        <w:rPr>
          <w:rFonts w:ascii="Arial" w:hAnsi="Arial" w:cs="Arial"/>
          <w:kern w:val="1"/>
          <w:sz w:val="16"/>
          <w:szCs w:val="16"/>
          <w:lang w:eastAsia="hi-IN" w:bidi="hi-IN"/>
        </w:rPr>
        <w:t>Su</w:t>
      </w:r>
      <w:r w:rsidR="001E0EDD">
        <w:rPr>
          <w:rFonts w:ascii="Arial" w:hAnsi="Arial" w:cs="Arial"/>
          <w:kern w:val="1"/>
          <w:sz w:val="16"/>
          <w:szCs w:val="16"/>
          <w:lang w:eastAsia="hi-IN" w:bidi="hi-IN"/>
        </w:rPr>
        <w:t>rsa: Google maps</w:t>
      </w:r>
    </w:p>
    <w:p w14:paraId="4D8A9307" w14:textId="704E2BC4" w:rsidR="00D70AEA" w:rsidRPr="00BF3E42" w:rsidRDefault="007D5772" w:rsidP="007D5772">
      <w:pPr>
        <w:pStyle w:val="Legend"/>
        <w:jc w:val="center"/>
        <w:rPr>
          <w:rFonts w:ascii="Arial" w:hAnsi="Arial" w:cs="Arial"/>
          <w:i w:val="0"/>
          <w:iCs w:val="0"/>
          <w:color w:val="44546A"/>
          <w:kern w:val="1"/>
          <w:sz w:val="22"/>
          <w:szCs w:val="22"/>
          <w:lang w:eastAsia="hi-IN" w:bidi="hi-IN"/>
        </w:rPr>
      </w:pPr>
      <w:bookmarkStart w:id="17" w:name="_Toc66287166"/>
      <w:bookmarkStart w:id="18" w:name="_Toc140744432"/>
      <w:bookmarkStart w:id="19" w:name="_Hlk62132612"/>
      <w:r w:rsidRPr="00D805CA">
        <w:rPr>
          <w:rFonts w:ascii="Arial" w:hAnsi="Arial" w:cs="Arial"/>
          <w:iCs w:val="0"/>
          <w:sz w:val="22"/>
          <w:szCs w:val="22"/>
        </w:rPr>
        <w:t xml:space="preserve">Figura I.1. </w:t>
      </w:r>
      <w:r w:rsidRPr="00D805CA">
        <w:rPr>
          <w:rFonts w:ascii="Arial" w:hAnsi="Arial" w:cs="Arial"/>
          <w:iCs w:val="0"/>
          <w:sz w:val="22"/>
          <w:szCs w:val="22"/>
        </w:rPr>
        <w:fldChar w:fldCharType="begin"/>
      </w:r>
      <w:r w:rsidRPr="00D805CA">
        <w:rPr>
          <w:rFonts w:ascii="Arial" w:hAnsi="Arial" w:cs="Arial"/>
          <w:iCs w:val="0"/>
          <w:sz w:val="22"/>
          <w:szCs w:val="22"/>
        </w:rPr>
        <w:instrText xml:space="preserve"> SEQ Figura_I.1. \* ARABIC </w:instrText>
      </w:r>
      <w:r w:rsidRPr="00D805CA">
        <w:rPr>
          <w:rFonts w:ascii="Arial" w:hAnsi="Arial" w:cs="Arial"/>
          <w:iCs w:val="0"/>
          <w:sz w:val="22"/>
          <w:szCs w:val="22"/>
        </w:rPr>
        <w:fldChar w:fldCharType="separate"/>
      </w:r>
      <w:r w:rsidR="00BB181C">
        <w:rPr>
          <w:rFonts w:ascii="Arial" w:hAnsi="Arial" w:cs="Arial"/>
          <w:iCs w:val="0"/>
          <w:noProof/>
          <w:sz w:val="22"/>
          <w:szCs w:val="22"/>
        </w:rPr>
        <w:t>1</w:t>
      </w:r>
      <w:r w:rsidRPr="00D805CA">
        <w:rPr>
          <w:rFonts w:ascii="Arial" w:hAnsi="Arial" w:cs="Arial"/>
          <w:iCs w:val="0"/>
          <w:sz w:val="22"/>
          <w:szCs w:val="22"/>
        </w:rPr>
        <w:fldChar w:fldCharType="end"/>
      </w:r>
      <w:r w:rsidRPr="00D805CA">
        <w:rPr>
          <w:rFonts w:ascii="Arial" w:hAnsi="Arial" w:cs="Arial"/>
          <w:iCs w:val="0"/>
          <w:sz w:val="22"/>
          <w:szCs w:val="22"/>
        </w:rPr>
        <w:t xml:space="preserve"> </w:t>
      </w:r>
      <w:r w:rsidR="00FC3A91" w:rsidRPr="00BF3E42">
        <w:rPr>
          <w:rFonts w:ascii="Arial" w:hAnsi="Arial" w:cs="Arial"/>
          <w:i w:val="0"/>
          <w:sz w:val="22"/>
          <w:szCs w:val="22"/>
        </w:rPr>
        <w:t>–</w:t>
      </w:r>
      <w:r w:rsidR="003D1C59" w:rsidRPr="00BF3E42">
        <w:rPr>
          <w:rFonts w:ascii="Arial" w:hAnsi="Arial" w:cs="Arial"/>
          <w:i w:val="0"/>
          <w:sz w:val="22"/>
          <w:szCs w:val="22"/>
        </w:rPr>
        <w:t xml:space="preserve"> </w:t>
      </w:r>
      <w:bookmarkEnd w:id="17"/>
      <w:r w:rsidR="00FC3A91" w:rsidRPr="00BF3E42">
        <w:rPr>
          <w:rFonts w:ascii="Arial" w:eastAsia="Calibri" w:hAnsi="Arial" w:cs="Arial"/>
          <w:i w:val="0"/>
          <w:iCs w:val="0"/>
          <w:color w:val="44546A"/>
          <w:sz w:val="22"/>
          <w:szCs w:val="22"/>
        </w:rPr>
        <w:t>Aria teritorial-administrativă a oraşului Horezu</w:t>
      </w:r>
      <w:bookmarkEnd w:id="18"/>
    </w:p>
    <w:bookmarkEnd w:id="19"/>
    <w:p w14:paraId="58374477" w14:textId="77777777" w:rsidR="00D70AEA" w:rsidRPr="00D70AEA" w:rsidRDefault="00D70AEA" w:rsidP="00D70AEA">
      <w:pPr>
        <w:widowControl w:val="0"/>
        <w:tabs>
          <w:tab w:val="left" w:pos="1620"/>
        </w:tabs>
        <w:suppressAutoHyphens/>
        <w:spacing w:after="0" w:line="240" w:lineRule="auto"/>
        <w:jc w:val="center"/>
        <w:rPr>
          <w:rFonts w:ascii="Arial" w:hAnsi="Arial" w:cs="Arial"/>
          <w:kern w:val="1"/>
          <w:sz w:val="24"/>
          <w:szCs w:val="24"/>
          <w:lang w:eastAsia="hi-IN" w:bidi="hi-IN"/>
        </w:rPr>
      </w:pPr>
    </w:p>
    <w:p w14:paraId="5B4A69A9" w14:textId="77777777" w:rsidR="00D70AEA" w:rsidRPr="00D70AEA" w:rsidRDefault="00FC3A91" w:rsidP="00D70AEA">
      <w:pPr>
        <w:widowControl w:val="0"/>
        <w:suppressAutoHyphens/>
        <w:spacing w:after="0" w:line="360" w:lineRule="auto"/>
        <w:jc w:val="center"/>
        <w:rPr>
          <w:rFonts w:ascii="Arial" w:hAnsi="Arial" w:cs="Mangal"/>
          <w:noProof/>
          <w:kern w:val="1"/>
          <w:sz w:val="20"/>
          <w:szCs w:val="24"/>
          <w:lang w:val="ro-RO" w:eastAsia="ro-RO"/>
        </w:rPr>
      </w:pPr>
      <w:r w:rsidRPr="00FC3A91">
        <w:rPr>
          <w:rFonts w:ascii="Calibri" w:hAnsi="Calibri" w:cs="Times New Roman"/>
          <w:noProof/>
        </w:rPr>
        <w:lastRenderedPageBreak/>
        <w:drawing>
          <wp:inline distT="0" distB="0" distL="0" distR="0" wp14:anchorId="2667AFA7" wp14:editId="72CA530F">
            <wp:extent cx="3434316" cy="4472910"/>
            <wp:effectExtent l="0" t="0" r="0" b="444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41459" t="24687" r="40235" b="32901"/>
                    <a:stretch/>
                  </pic:blipFill>
                  <pic:spPr bwMode="auto">
                    <a:xfrm>
                      <a:off x="0" y="0"/>
                      <a:ext cx="3432774" cy="4470902"/>
                    </a:xfrm>
                    <a:prstGeom prst="rect">
                      <a:avLst/>
                    </a:prstGeom>
                    <a:ln>
                      <a:noFill/>
                    </a:ln>
                    <a:extLst>
                      <a:ext uri="{53640926-AAD7-44D8-BBD7-CCE9431645EC}">
                        <a14:shadowObscured xmlns:a14="http://schemas.microsoft.com/office/drawing/2010/main"/>
                      </a:ext>
                    </a:extLst>
                  </pic:spPr>
                </pic:pic>
              </a:graphicData>
            </a:graphic>
          </wp:inline>
        </w:drawing>
      </w:r>
    </w:p>
    <w:p w14:paraId="50C46FD4" w14:textId="77777777" w:rsidR="001E0EDD" w:rsidRPr="00D70AEA" w:rsidRDefault="001E0EDD" w:rsidP="001E0EDD">
      <w:pPr>
        <w:widowControl w:val="0"/>
        <w:suppressAutoHyphens/>
        <w:spacing w:after="0" w:line="276" w:lineRule="auto"/>
        <w:ind w:left="720" w:firstLine="720"/>
        <w:jc w:val="both"/>
        <w:rPr>
          <w:rFonts w:ascii="Arial" w:hAnsi="Arial" w:cs="Arial"/>
          <w:color w:val="FF0000"/>
          <w:kern w:val="1"/>
          <w:lang w:val="es-ES" w:eastAsia="hi-IN" w:bidi="hi-IN"/>
        </w:rPr>
      </w:pPr>
      <w:bookmarkStart w:id="20" w:name="_Toc66287167"/>
      <w:r w:rsidRPr="00FC3A91">
        <w:rPr>
          <w:rFonts w:ascii="Arial" w:hAnsi="Arial" w:cs="Arial"/>
          <w:kern w:val="1"/>
          <w:sz w:val="16"/>
          <w:szCs w:val="16"/>
          <w:lang w:eastAsia="hi-IN" w:bidi="hi-IN"/>
        </w:rPr>
        <w:t>Su</w:t>
      </w:r>
      <w:r>
        <w:rPr>
          <w:rFonts w:ascii="Arial" w:hAnsi="Arial" w:cs="Arial"/>
          <w:kern w:val="1"/>
          <w:sz w:val="16"/>
          <w:szCs w:val="16"/>
          <w:lang w:eastAsia="hi-IN" w:bidi="hi-IN"/>
        </w:rPr>
        <w:t>rsa: Google maps</w:t>
      </w:r>
    </w:p>
    <w:p w14:paraId="1B030663" w14:textId="3478137E" w:rsidR="00D70AEA" w:rsidRPr="00BF3E42" w:rsidRDefault="007D5772" w:rsidP="007D5772">
      <w:pPr>
        <w:pStyle w:val="Legend"/>
        <w:jc w:val="center"/>
        <w:rPr>
          <w:rFonts w:ascii="Arial" w:hAnsi="Arial" w:cs="Arial"/>
          <w:i w:val="0"/>
          <w:iCs w:val="0"/>
          <w:color w:val="44546A"/>
          <w:kern w:val="1"/>
          <w:sz w:val="22"/>
          <w:szCs w:val="22"/>
          <w:lang w:eastAsia="hi-IN" w:bidi="hi-IN"/>
        </w:rPr>
      </w:pPr>
      <w:bookmarkStart w:id="21" w:name="_Toc140744433"/>
      <w:r w:rsidRPr="00BF3E42">
        <w:rPr>
          <w:rFonts w:ascii="Arial" w:hAnsi="Arial" w:cs="Arial"/>
          <w:sz w:val="22"/>
          <w:szCs w:val="22"/>
        </w:rPr>
        <w:t xml:space="preserve">Figura I.1. </w:t>
      </w:r>
      <w:r w:rsidRPr="00BF3E42">
        <w:rPr>
          <w:rFonts w:ascii="Arial" w:hAnsi="Arial" w:cs="Arial"/>
          <w:sz w:val="22"/>
          <w:szCs w:val="22"/>
        </w:rPr>
        <w:fldChar w:fldCharType="begin"/>
      </w:r>
      <w:r w:rsidRPr="00BF3E42">
        <w:rPr>
          <w:rFonts w:ascii="Arial" w:hAnsi="Arial" w:cs="Arial"/>
          <w:sz w:val="22"/>
          <w:szCs w:val="22"/>
        </w:rPr>
        <w:instrText xml:space="preserve"> SEQ Figura_I.1. \* ARABIC </w:instrText>
      </w:r>
      <w:r w:rsidRPr="00BF3E42">
        <w:rPr>
          <w:rFonts w:ascii="Arial" w:hAnsi="Arial" w:cs="Arial"/>
          <w:sz w:val="22"/>
          <w:szCs w:val="22"/>
        </w:rPr>
        <w:fldChar w:fldCharType="separate"/>
      </w:r>
      <w:r w:rsidR="00BB181C">
        <w:rPr>
          <w:rFonts w:ascii="Arial" w:hAnsi="Arial" w:cs="Arial"/>
          <w:noProof/>
          <w:sz w:val="22"/>
          <w:szCs w:val="22"/>
        </w:rPr>
        <w:t>2</w:t>
      </w:r>
      <w:r w:rsidRPr="00BF3E42">
        <w:rPr>
          <w:rFonts w:ascii="Arial" w:hAnsi="Arial" w:cs="Arial"/>
          <w:sz w:val="22"/>
          <w:szCs w:val="22"/>
        </w:rPr>
        <w:fldChar w:fldCharType="end"/>
      </w:r>
      <w:r w:rsidRPr="00BF3E42">
        <w:rPr>
          <w:rFonts w:ascii="Arial" w:hAnsi="Arial" w:cs="Arial"/>
          <w:sz w:val="22"/>
          <w:szCs w:val="22"/>
        </w:rPr>
        <w:t xml:space="preserve"> </w:t>
      </w:r>
      <w:r w:rsidR="003D1C59" w:rsidRPr="00BF3E42">
        <w:rPr>
          <w:rFonts w:ascii="Arial" w:hAnsi="Arial" w:cs="Arial"/>
          <w:sz w:val="22"/>
          <w:szCs w:val="22"/>
        </w:rPr>
        <w:t xml:space="preserve">- </w:t>
      </w:r>
      <w:bookmarkEnd w:id="20"/>
      <w:r w:rsidR="00FC3A91" w:rsidRPr="00BF3E42">
        <w:rPr>
          <w:rFonts w:ascii="Arial" w:eastAsia="Calibri" w:hAnsi="Arial" w:cs="Arial"/>
          <w:i w:val="0"/>
          <w:iCs w:val="0"/>
          <w:color w:val="44546A"/>
          <w:sz w:val="22"/>
          <w:szCs w:val="22"/>
        </w:rPr>
        <w:t>Aria geografică care trebuie avută în vedere la elaborarea PMUD</w:t>
      </w:r>
      <w:bookmarkEnd w:id="21"/>
    </w:p>
    <w:p w14:paraId="5E18CCCB" w14:textId="77777777" w:rsidR="00D70AEA" w:rsidRPr="00D70AEA" w:rsidRDefault="00FC3A91" w:rsidP="0014066C">
      <w:pPr>
        <w:widowControl w:val="0"/>
        <w:suppressAutoHyphens/>
        <w:spacing w:after="0" w:line="276" w:lineRule="auto"/>
        <w:jc w:val="both"/>
        <w:rPr>
          <w:rFonts w:ascii="Arial" w:hAnsi="Arial" w:cs="Arial"/>
          <w:kern w:val="1"/>
          <w:lang w:val="es-ES" w:eastAsia="zh-CN" w:bidi="hi-IN"/>
        </w:rPr>
      </w:pPr>
      <w:r w:rsidRPr="00FC3A91">
        <w:rPr>
          <w:rFonts w:ascii="Arial" w:hAnsi="Arial" w:cs="Arial"/>
          <w:kern w:val="1"/>
          <w:lang w:eastAsia="zh-CN" w:bidi="hi-IN"/>
        </w:rPr>
        <w:t xml:space="preserve">Cele mai multe probleme pentru dezvoltarea unei mobilităţii urbane durabile la nivelul oricǎrei localitati (inclusiv Horezu) rezidă din faptul că raportul ariei străzilor faţă de aria activă a oraşului este de câteva ori mai mic decât al altor metropole europene, în condiţiile absenţei cvasitotale a parcărilor în afara străzii şi a unui grad de motorizare în continuă creştere. </w:t>
      </w:r>
      <w:r w:rsidRPr="00FC3A91">
        <w:rPr>
          <w:rFonts w:ascii="Arial" w:hAnsi="Arial" w:cs="Arial"/>
          <w:kern w:val="1"/>
          <w:lang w:val="es-ES" w:eastAsia="zh-CN" w:bidi="hi-IN"/>
        </w:rPr>
        <w:t>Cu insistenţă trebuie relevată soluţia de protejare a centrului oraşului şi a arterelor pe care se manifestă efectul de canion de pe axele principale care se încrucişează în punctul zero al oraşului</w:t>
      </w:r>
      <w:r w:rsidR="00D70AEA" w:rsidRPr="00D70AEA">
        <w:rPr>
          <w:rFonts w:ascii="Arial" w:hAnsi="Arial" w:cs="Arial"/>
          <w:kern w:val="1"/>
          <w:lang w:val="es-ES" w:eastAsia="zh-CN" w:bidi="hi-IN"/>
        </w:rPr>
        <w:t>.</w:t>
      </w:r>
    </w:p>
    <w:p w14:paraId="787576DD" w14:textId="77777777" w:rsidR="00D70AEA" w:rsidRPr="00D70AEA" w:rsidRDefault="00D70AEA" w:rsidP="0014066C">
      <w:pPr>
        <w:widowControl w:val="0"/>
        <w:suppressAutoHyphens/>
        <w:spacing w:after="0" w:line="276" w:lineRule="auto"/>
        <w:jc w:val="both"/>
        <w:rPr>
          <w:rFonts w:ascii="Arial" w:hAnsi="Arial" w:cs="Arial"/>
          <w:color w:val="FF0000"/>
          <w:kern w:val="1"/>
          <w:lang w:val="es-ES" w:eastAsia="zh-CN" w:bidi="hi-IN"/>
        </w:rPr>
      </w:pPr>
    </w:p>
    <w:p w14:paraId="4D5DE46F" w14:textId="77777777" w:rsidR="00D70AEA" w:rsidRPr="00D70AEA" w:rsidRDefault="00D70AEA" w:rsidP="0014066C">
      <w:pPr>
        <w:widowControl w:val="0"/>
        <w:suppressAutoHyphens/>
        <w:spacing w:after="0" w:line="276" w:lineRule="auto"/>
        <w:jc w:val="both"/>
        <w:rPr>
          <w:rFonts w:ascii="Arial" w:hAnsi="Arial" w:cs="Arial"/>
          <w:kern w:val="1"/>
          <w:lang w:val="es-ES" w:eastAsia="hi-IN" w:bidi="hi-IN"/>
        </w:rPr>
      </w:pPr>
      <w:r w:rsidRPr="00D70AEA">
        <w:rPr>
          <w:rFonts w:ascii="Arial" w:hAnsi="Arial" w:cs="Arial"/>
          <w:kern w:val="1"/>
          <w:lang w:val="es-ES" w:eastAsia="hi-IN" w:bidi="hi-IN"/>
        </w:rPr>
        <w:t>Următoarea demonstraţie simplificatoare poate îndepărta neîncrederea fațǎ de afirmația de mai sus</w:t>
      </w:r>
      <w:r w:rsidRPr="00D70AEA">
        <w:rPr>
          <w:rFonts w:ascii="Arial" w:eastAsia="MS Mincho" w:hAnsi="Arial" w:cs="Arial"/>
          <w:kern w:val="1"/>
          <w:vertAlign w:val="superscript"/>
          <w:lang w:eastAsia="hi-IN" w:bidi="hi-IN"/>
        </w:rPr>
        <w:footnoteReference w:id="9"/>
      </w:r>
      <w:r w:rsidRPr="00D70AEA">
        <w:rPr>
          <w:rFonts w:ascii="Arial" w:hAnsi="Arial" w:cs="Arial"/>
          <w:kern w:val="1"/>
          <w:lang w:val="es-ES" w:eastAsia="hi-IN" w:bidi="hi-IN"/>
        </w:rPr>
        <w:t>; fie trei zone concentrice pe care se încearcă păstrarea constantǎ a suprafeţelor alocate căilor (în fond, deplasării).</w:t>
      </w:r>
    </w:p>
    <w:p w14:paraId="261162BF" w14:textId="77777777" w:rsidR="00D70AEA" w:rsidRPr="00D70AEA" w:rsidRDefault="00D70AEA" w:rsidP="0014066C">
      <w:pPr>
        <w:widowControl w:val="0"/>
        <w:suppressAutoHyphens/>
        <w:spacing w:after="0" w:line="276" w:lineRule="auto"/>
        <w:jc w:val="both"/>
        <w:rPr>
          <w:rFonts w:ascii="Arial" w:hAnsi="Arial" w:cs="Arial"/>
          <w:kern w:val="1"/>
          <w:lang w:val="es-ES" w:eastAsia="hi-IN" w:bidi="hi-IN"/>
        </w:rPr>
      </w:pPr>
    </w:p>
    <w:p w14:paraId="04060CDC" w14:textId="77777777" w:rsidR="00D70AEA" w:rsidRPr="00D70AEA" w:rsidRDefault="00D70AEA" w:rsidP="0014066C">
      <w:pPr>
        <w:widowControl w:val="0"/>
        <w:suppressAutoHyphens/>
        <w:spacing w:after="0" w:line="276" w:lineRule="auto"/>
        <w:jc w:val="both"/>
        <w:rPr>
          <w:rFonts w:ascii="Arial" w:hAnsi="Arial" w:cs="Arial"/>
          <w:kern w:val="1"/>
          <w:lang w:val="es-ES" w:eastAsia="hi-IN" w:bidi="hi-IN"/>
        </w:rPr>
      </w:pPr>
      <w:r w:rsidRPr="00D70AEA">
        <w:rPr>
          <w:rFonts w:ascii="Arial" w:hAnsi="Arial" w:cs="Arial"/>
          <w:kern w:val="1"/>
          <w:lang w:val="es-ES" w:eastAsia="hi-IN" w:bidi="hi-IN"/>
        </w:rPr>
        <w:t>Dacǎ în zona exterioară este alocată, de pildǎ, o cotă de 10% pentru căile de comunicaţie, această suprafaţă reprezintă matematic:</w:t>
      </w:r>
    </w:p>
    <w:p w14:paraId="772814BB" w14:textId="77777777" w:rsidR="00FC3A91" w:rsidRPr="00FC3A91" w:rsidRDefault="00FC3A91" w:rsidP="00FC3A91">
      <w:pPr>
        <w:widowControl w:val="0"/>
        <w:suppressAutoHyphens/>
        <w:spacing w:after="0" w:line="360" w:lineRule="auto"/>
        <w:ind w:left="1440" w:firstLine="720"/>
        <w:jc w:val="both"/>
        <w:rPr>
          <w:rFonts w:ascii="Arial" w:hAnsi="Arial" w:cs="Arial"/>
          <w:kern w:val="1"/>
          <w:sz w:val="24"/>
          <w:szCs w:val="24"/>
          <w:lang w:eastAsia="hi-IN" w:bidi="hi-IN"/>
        </w:rPr>
      </w:pPr>
      <w:r w:rsidRPr="00FC3A91">
        <w:rPr>
          <w:rFonts w:ascii="Arial" w:hAnsi="Arial" w:cs="Mangal"/>
          <w:kern w:val="1"/>
          <w:position w:val="-10"/>
          <w:sz w:val="24"/>
          <w:szCs w:val="24"/>
          <w:lang w:eastAsia="hi-IN" w:bidi="hi-IN"/>
        </w:rPr>
        <w:object w:dxaOrig="2700" w:dyaOrig="360" w14:anchorId="56E16BE5">
          <v:shape id="_x0000_i1026" type="#_x0000_t75" style="width:135.8pt;height:19.5pt" o:ole="" filled="t">
            <v:fill color2="black"/>
            <v:imagedata r:id="rId24" o:title=""/>
          </v:shape>
          <o:OLEObject Type="Embed" ProgID="Equation.3" ShapeID="_x0000_i1026" DrawAspect="Content" ObjectID="_1752652131" r:id="rId25"/>
        </w:object>
      </w:r>
    </w:p>
    <w:p w14:paraId="57B04EB5" w14:textId="77777777" w:rsidR="00D70AEA" w:rsidRPr="00D70AEA" w:rsidRDefault="00D70AEA" w:rsidP="00D70AEA">
      <w:pPr>
        <w:widowControl w:val="0"/>
        <w:suppressAutoHyphens/>
        <w:spacing w:after="0" w:line="360" w:lineRule="auto"/>
        <w:ind w:left="1440" w:firstLine="720"/>
        <w:jc w:val="both"/>
        <w:rPr>
          <w:rFonts w:ascii="Arial" w:hAnsi="Arial" w:cs="Arial"/>
          <w:kern w:val="1"/>
          <w:sz w:val="24"/>
          <w:szCs w:val="24"/>
          <w:lang w:eastAsia="hi-IN" w:bidi="hi-IN"/>
        </w:rPr>
      </w:pPr>
    </w:p>
    <w:p w14:paraId="1BDED4B0" w14:textId="77777777" w:rsidR="00D70AEA" w:rsidRPr="00D70AEA" w:rsidRDefault="00D70AEA" w:rsidP="00D70AEA">
      <w:pPr>
        <w:widowControl w:val="0"/>
        <w:suppressAutoHyphens/>
        <w:spacing w:after="0" w:line="360" w:lineRule="auto"/>
        <w:jc w:val="both"/>
        <w:rPr>
          <w:rFonts w:ascii="Arial" w:hAnsi="Arial" w:cs="Arial"/>
          <w:kern w:val="1"/>
          <w:lang w:val="es-ES" w:eastAsia="hi-IN" w:bidi="hi-IN"/>
        </w:rPr>
      </w:pPr>
      <w:r w:rsidRPr="00D70AEA">
        <w:rPr>
          <w:rFonts w:ascii="Arial" w:hAnsi="Arial" w:cs="Arial"/>
          <w:kern w:val="1"/>
          <w:lang w:val="es-ES" w:eastAsia="hi-IN" w:bidi="hi-IN"/>
        </w:rPr>
        <w:t>La limitǎ, egalând valoarea de mai sus cu suprafaţa zonei centrale, se obţine:</w:t>
      </w:r>
    </w:p>
    <w:p w14:paraId="4E9222A7" w14:textId="77777777" w:rsidR="00FC3A91" w:rsidRPr="00FC3A91" w:rsidRDefault="00D70AEA" w:rsidP="00FC3A91">
      <w:pPr>
        <w:widowControl w:val="0"/>
        <w:suppressAutoHyphens/>
        <w:spacing w:after="0" w:line="360" w:lineRule="auto"/>
        <w:jc w:val="both"/>
        <w:rPr>
          <w:rFonts w:ascii="Arial" w:hAnsi="Arial" w:cs="Arial"/>
          <w:kern w:val="1"/>
          <w:lang w:val="es-ES" w:eastAsia="hi-IN" w:bidi="hi-IN"/>
        </w:rPr>
      </w:pPr>
      <w:r w:rsidRPr="00D70AEA">
        <w:rPr>
          <w:rFonts w:ascii="Arial" w:hAnsi="Arial" w:cs="Arial"/>
          <w:kern w:val="1"/>
          <w:sz w:val="24"/>
          <w:szCs w:val="24"/>
          <w:lang w:val="es-ES" w:eastAsia="hi-IN" w:bidi="hi-IN"/>
        </w:rPr>
        <w:lastRenderedPageBreak/>
        <w:tab/>
      </w:r>
    </w:p>
    <w:p w14:paraId="57483BC8" w14:textId="77777777" w:rsidR="00FC3A91" w:rsidRPr="00FC3A91" w:rsidRDefault="00FC3A91" w:rsidP="00FC3A91">
      <w:pPr>
        <w:widowControl w:val="0"/>
        <w:suppressAutoHyphens/>
        <w:spacing w:after="0" w:line="360" w:lineRule="auto"/>
        <w:jc w:val="both"/>
        <w:rPr>
          <w:rFonts w:ascii="Arial" w:hAnsi="Arial" w:cs="Mangal"/>
          <w:kern w:val="1"/>
          <w:sz w:val="24"/>
          <w:szCs w:val="24"/>
          <w:lang w:eastAsia="hi-IN" w:bidi="hi-IN"/>
        </w:rPr>
      </w:pPr>
      <w:r w:rsidRPr="00FC3A91">
        <w:rPr>
          <w:rFonts w:ascii="Arial" w:hAnsi="Arial" w:cs="Mangal"/>
          <w:noProof/>
          <w:kern w:val="1"/>
          <w:sz w:val="20"/>
          <w:szCs w:val="24"/>
        </w:rPr>
        <mc:AlternateContent>
          <mc:Choice Requires="wpg">
            <w:drawing>
              <wp:anchor distT="0" distB="0" distL="0" distR="0" simplePos="0" relativeHeight="251704832" behindDoc="0" locked="0" layoutInCell="1" allowOverlap="1" wp14:anchorId="20F51D5D" wp14:editId="76744536">
                <wp:simplePos x="0" y="0"/>
                <wp:positionH relativeFrom="column">
                  <wp:posOffset>641350</wp:posOffset>
                </wp:positionH>
                <wp:positionV relativeFrom="paragraph">
                  <wp:posOffset>396875</wp:posOffset>
                </wp:positionV>
                <wp:extent cx="4552950" cy="3053080"/>
                <wp:effectExtent l="0" t="0" r="0" b="0"/>
                <wp:wrapTopAndBottom/>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52950" cy="3053080"/>
                          <a:chOff x="908" y="-393"/>
                          <a:chExt cx="8783" cy="5520"/>
                        </a:xfrm>
                      </wpg:grpSpPr>
                      <wps:wsp>
                        <wps:cNvPr id="15" name="Oval 3"/>
                        <wps:cNvSpPr>
                          <a:spLocks noChangeArrowheads="1"/>
                        </wps:cNvSpPr>
                        <wps:spPr bwMode="auto">
                          <a:xfrm>
                            <a:off x="2492" y="-393"/>
                            <a:ext cx="5039" cy="4751"/>
                          </a:xfrm>
                          <a:prstGeom prst="ellipse">
                            <a:avLst/>
                          </a:prstGeom>
                          <a:solidFill>
                            <a:srgbClr val="FFFFFF"/>
                          </a:solidFill>
                          <a:ln w="1908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6" name="Oval 4"/>
                        <wps:cNvSpPr>
                          <a:spLocks noChangeArrowheads="1"/>
                        </wps:cNvSpPr>
                        <wps:spPr bwMode="auto">
                          <a:xfrm>
                            <a:off x="4220" y="1190"/>
                            <a:ext cx="1583" cy="1526"/>
                          </a:xfrm>
                          <a:prstGeom prst="ellipse">
                            <a:avLst/>
                          </a:prstGeom>
                          <a:solidFill>
                            <a:srgbClr val="C0C0C0"/>
                          </a:solidFill>
                          <a:ln w="1908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7" name="Freeform 5"/>
                        <wps:cNvSpPr>
                          <a:spLocks/>
                        </wps:cNvSpPr>
                        <wps:spPr bwMode="auto">
                          <a:xfrm>
                            <a:off x="5057" y="2037"/>
                            <a:ext cx="239" cy="584"/>
                          </a:xfrm>
                          <a:custGeom>
                            <a:avLst/>
                            <a:gdLst>
                              <a:gd name="T0" fmla="*/ 0 w 240"/>
                              <a:gd name="T1" fmla="*/ 0 h 585"/>
                              <a:gd name="T2" fmla="*/ 240 w 240"/>
                              <a:gd name="T3" fmla="*/ 585 h 585"/>
                            </a:gdLst>
                            <a:ahLst/>
                            <a:cxnLst>
                              <a:cxn ang="0">
                                <a:pos x="T0" y="T1"/>
                              </a:cxn>
                              <a:cxn ang="0">
                                <a:pos x="T2" y="T3"/>
                              </a:cxn>
                            </a:cxnLst>
                            <a:rect l="0" t="0" r="r" b="b"/>
                            <a:pathLst>
                              <a:path w="240" h="585">
                                <a:moveTo>
                                  <a:pt x="0" y="0"/>
                                </a:moveTo>
                                <a:lnTo>
                                  <a:pt x="240" y="585"/>
                                </a:lnTo>
                              </a:path>
                            </a:pathLst>
                          </a:custGeom>
                          <a:noFill/>
                          <a:ln w="19080" cap="sq">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8" name="Text Box 6"/>
                        <wps:cNvSpPr txBox="1">
                          <a:spLocks noChangeArrowheads="1"/>
                        </wps:cNvSpPr>
                        <wps:spPr bwMode="auto">
                          <a:xfrm>
                            <a:off x="7676" y="1622"/>
                            <a:ext cx="1580" cy="546"/>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D8C3A5" w14:textId="77777777" w:rsidR="00C36A80" w:rsidRDefault="00C36A80" w:rsidP="00FC3A91">
                              <w:pPr>
                                <w:rPr>
                                  <w:rFonts w:eastAsia="Times New Roman" w:cs="Arial"/>
                                  <w:szCs w:val="20"/>
                                </w:rPr>
                              </w:pPr>
                              <w:r>
                                <w:rPr>
                                  <w:rFonts w:eastAsia="Times New Roman" w:cs="Arial"/>
                                  <w:szCs w:val="20"/>
                                </w:rPr>
                                <w:t>R=1,6 km</w:t>
                              </w:r>
                            </w:p>
                          </w:txbxContent>
                        </wps:txbx>
                        <wps:bodyPr rot="0" vert="horz" wrap="square" lIns="91440" tIns="45720" rIns="91440" bIns="45720" anchor="t" anchorCtr="0">
                          <a:noAutofit/>
                        </wps:bodyPr>
                      </wps:wsp>
                      <wps:wsp>
                        <wps:cNvPr id="19" name="Text Box 7"/>
                        <wps:cNvSpPr txBox="1">
                          <a:spLocks noChangeArrowheads="1"/>
                        </wps:cNvSpPr>
                        <wps:spPr bwMode="auto">
                          <a:xfrm>
                            <a:off x="2780" y="902"/>
                            <a:ext cx="1352" cy="480"/>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86D1F7" w14:textId="77777777" w:rsidR="00C36A80" w:rsidRDefault="00C36A80" w:rsidP="00FC3A91">
                              <w:pPr>
                                <w:rPr>
                                  <w:rFonts w:eastAsia="Times New Roman" w:cs="Arial"/>
                                  <w:szCs w:val="20"/>
                                </w:rPr>
                              </w:pPr>
                              <w:r>
                                <w:rPr>
                                  <w:rFonts w:eastAsia="Times New Roman" w:cs="Arial"/>
                                  <w:szCs w:val="20"/>
                                </w:rPr>
                                <w:t>r=0,8 km</w:t>
                              </w:r>
                            </w:p>
                          </w:txbxContent>
                        </wps:txbx>
                        <wps:bodyPr rot="0" vert="horz" wrap="square" lIns="91440" tIns="45720" rIns="91440" bIns="45720" anchor="t" anchorCtr="0">
                          <a:noAutofit/>
                        </wps:bodyPr>
                      </wps:wsp>
                      <wps:wsp>
                        <wps:cNvPr id="20" name="Text Box 8"/>
                        <wps:cNvSpPr txBox="1">
                          <a:spLocks noChangeArrowheads="1"/>
                        </wps:cNvSpPr>
                        <wps:spPr bwMode="auto">
                          <a:xfrm>
                            <a:off x="4508" y="2077"/>
                            <a:ext cx="431" cy="409"/>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FE26680" w14:textId="77777777" w:rsidR="00C36A80" w:rsidRPr="0038047E" w:rsidRDefault="00C36A80" w:rsidP="00FC3A91">
                              <w:pPr>
                                <w:rPr>
                                  <w:rFonts w:ascii="Symbol" w:eastAsia="Times New Roman" w:hAnsi="Symbol" w:cs="Times New Roman"/>
                                  <w:sz w:val="16"/>
                                  <w:szCs w:val="16"/>
                                  <w:lang w:val="ro-RO"/>
                                </w:rPr>
                              </w:pPr>
                              <w:r w:rsidRPr="0038047E">
                                <w:rPr>
                                  <w:rFonts w:ascii="Symbol" w:eastAsia="Times New Roman" w:hAnsi="Symbol" w:cs="Times New Roman"/>
                                  <w:sz w:val="16"/>
                                  <w:szCs w:val="16"/>
                                  <w:lang w:val="ro-RO"/>
                                </w:rPr>
                                <w:t></w:t>
                              </w:r>
                            </w:p>
                          </w:txbxContent>
                        </wps:txbx>
                        <wps:bodyPr rot="0" vert="horz" wrap="square" lIns="91440" tIns="45720" rIns="91440" bIns="45720" anchor="t" anchorCtr="0">
                          <a:noAutofit/>
                        </wps:bodyPr>
                      </wps:wsp>
                      <wps:wsp>
                        <wps:cNvPr id="21" name="Text Box 9"/>
                        <wps:cNvSpPr txBox="1">
                          <a:spLocks noChangeArrowheads="1"/>
                        </wps:cNvSpPr>
                        <wps:spPr bwMode="auto">
                          <a:xfrm>
                            <a:off x="7820" y="544"/>
                            <a:ext cx="1871" cy="718"/>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F9A263" w14:textId="77777777" w:rsidR="00C36A80" w:rsidRDefault="00C36A80" w:rsidP="00FC3A91">
                              <w:pPr>
                                <w:spacing w:after="0" w:line="240" w:lineRule="auto"/>
                                <w:rPr>
                                  <w:rFonts w:eastAsia="Times New Roman" w:cs="Arial"/>
                                  <w:szCs w:val="20"/>
                                </w:rPr>
                              </w:pPr>
                              <w:r>
                                <w:rPr>
                                  <w:rFonts w:eastAsia="Times New Roman" w:cs="Arial"/>
                                  <w:szCs w:val="20"/>
                                </w:rPr>
                                <w:t xml:space="preserve">Zona </w:t>
                              </w:r>
                            </w:p>
                            <w:p w14:paraId="13D788D5" w14:textId="77777777" w:rsidR="00C36A80" w:rsidRDefault="00C36A80" w:rsidP="00FC3A91">
                              <w:pPr>
                                <w:spacing w:after="0"/>
                                <w:rPr>
                                  <w:rFonts w:eastAsia="Times New Roman" w:cs="Arial"/>
                                  <w:szCs w:val="20"/>
                                </w:rPr>
                              </w:pPr>
                              <w:r>
                                <w:rPr>
                                  <w:rFonts w:eastAsia="Times New Roman" w:cs="Arial"/>
                                  <w:szCs w:val="20"/>
                                </w:rPr>
                                <w:t>exterioarǎ</w:t>
                              </w:r>
                            </w:p>
                          </w:txbxContent>
                        </wps:txbx>
                        <wps:bodyPr rot="0" vert="horz" wrap="square" lIns="91440" tIns="45720" rIns="91440" bIns="45720" anchor="t" anchorCtr="0">
                          <a:noAutofit/>
                        </wps:bodyPr>
                      </wps:wsp>
                      <wps:wsp>
                        <wps:cNvPr id="22" name="AutoShape 10"/>
                        <wps:cNvSpPr>
                          <a:spLocks noChangeArrowheads="1"/>
                        </wps:cNvSpPr>
                        <wps:spPr bwMode="auto">
                          <a:xfrm flipH="1">
                            <a:off x="4076" y="902"/>
                            <a:ext cx="1871" cy="1439"/>
                          </a:xfrm>
                          <a:custGeom>
                            <a:avLst/>
                            <a:gdLst>
                              <a:gd name="G0" fmla="+- 7316 0 0"/>
                              <a:gd name="G1" fmla="+- -10135394 0 0"/>
                              <a:gd name="G2" fmla="+- 0 0 -10135394"/>
                              <a:gd name="T0" fmla="*/ 0 256 1"/>
                              <a:gd name="T1" fmla="*/ 180 256 1"/>
                              <a:gd name="G3" fmla="+- -10135394 T0 T1"/>
                              <a:gd name="T2" fmla="*/ 0 256 1"/>
                              <a:gd name="T3" fmla="*/ 90 256 1"/>
                              <a:gd name="G4" fmla="+- -10135394 T2 T3"/>
                              <a:gd name="G5" fmla="*/ G4 2 1"/>
                              <a:gd name="T4" fmla="*/ 90 256 1"/>
                              <a:gd name="T5" fmla="*/ 0 256 1"/>
                              <a:gd name="G6" fmla="+- -10135394 T4 T5"/>
                              <a:gd name="G7" fmla="*/ G6 2 1"/>
                              <a:gd name="G8" fmla="abs -10135394"/>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7316"/>
                              <a:gd name="G18" fmla="*/ 7316 1 2"/>
                              <a:gd name="G19" fmla="+- G18 5400 0"/>
                              <a:gd name="G20" fmla="cos G19 -10135394"/>
                              <a:gd name="G21" fmla="sin G19 -10135394"/>
                              <a:gd name="G22" fmla="+- G20 10800 0"/>
                              <a:gd name="G23" fmla="+- G21 10800 0"/>
                              <a:gd name="G24" fmla="+- 10800 0 G20"/>
                              <a:gd name="G25" fmla="+- 7316 10800 0"/>
                              <a:gd name="G26" fmla="?: G9 G17 G25"/>
                              <a:gd name="G27" fmla="?: G9 0 21600"/>
                              <a:gd name="G28" fmla="cos 10800 -10135394"/>
                              <a:gd name="G29" fmla="sin 10800 -10135394"/>
                              <a:gd name="G30" fmla="sin 7316 -10135394"/>
                              <a:gd name="G31" fmla="+- G28 10800 0"/>
                              <a:gd name="G32" fmla="+- G29 10800 0"/>
                              <a:gd name="G33" fmla="+- G30 10800 0"/>
                              <a:gd name="G34" fmla="?: G4 0 G31"/>
                              <a:gd name="G35" fmla="?: -10135394 G34 0"/>
                              <a:gd name="G36" fmla="?: G6 G35 G31"/>
                              <a:gd name="G37" fmla="+- 21600 0 G36"/>
                              <a:gd name="G38" fmla="?: G4 0 G33"/>
                              <a:gd name="G39" fmla="?: -10135394 G38 G32"/>
                              <a:gd name="G40" fmla="?: G6 G39 0"/>
                              <a:gd name="G41" fmla="?: G4 G32 21600"/>
                              <a:gd name="G42" fmla="?: G6 G41 G33"/>
                              <a:gd name="T12" fmla="*/ 10800 w 21600"/>
                              <a:gd name="T13" fmla="*/ 0 h 21600"/>
                              <a:gd name="T14" fmla="*/ 2613 w 21600"/>
                              <a:gd name="T15" fmla="*/ 6922 h 21600"/>
                              <a:gd name="T16" fmla="*/ 10800 w 21600"/>
                              <a:gd name="T17" fmla="*/ 3484 h 21600"/>
                              <a:gd name="T18" fmla="*/ 18987 w 21600"/>
                              <a:gd name="T19" fmla="*/ 6922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188" y="7668"/>
                                </a:moveTo>
                                <a:cubicBezTo>
                                  <a:pt x="5398" y="5113"/>
                                  <a:pt x="7972" y="3483"/>
                                  <a:pt x="10800" y="3484"/>
                                </a:cubicBezTo>
                                <a:cubicBezTo>
                                  <a:pt x="13627" y="3484"/>
                                  <a:pt x="16201" y="5113"/>
                                  <a:pt x="17411" y="7668"/>
                                </a:cubicBezTo>
                                <a:lnTo>
                                  <a:pt x="20560" y="6176"/>
                                </a:lnTo>
                                <a:cubicBezTo>
                                  <a:pt x="18773" y="2404"/>
                                  <a:pt x="14973" y="-1"/>
                                  <a:pt x="10799" y="0"/>
                                </a:cubicBezTo>
                                <a:cubicBezTo>
                                  <a:pt x="6626" y="0"/>
                                  <a:pt x="2826" y="2404"/>
                                  <a:pt x="1039" y="6176"/>
                                </a:cubicBezTo>
                                <a:close/>
                              </a:path>
                            </a:pathLst>
                          </a:cu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3" name="AutoShape 11"/>
                        <wps:cNvSpPr>
                          <a:spLocks noChangeArrowheads="1"/>
                        </wps:cNvSpPr>
                        <wps:spPr bwMode="auto">
                          <a:xfrm flipH="1" flipV="1">
                            <a:off x="4076" y="1623"/>
                            <a:ext cx="1871" cy="1439"/>
                          </a:xfrm>
                          <a:custGeom>
                            <a:avLst/>
                            <a:gdLst>
                              <a:gd name="G0" fmla="+- 7316 0 0"/>
                              <a:gd name="G1" fmla="+- -10135394 0 0"/>
                              <a:gd name="G2" fmla="+- 0 0 -10135394"/>
                              <a:gd name="T0" fmla="*/ 0 256 1"/>
                              <a:gd name="T1" fmla="*/ 180 256 1"/>
                              <a:gd name="G3" fmla="+- -10135394 T0 T1"/>
                              <a:gd name="T2" fmla="*/ 0 256 1"/>
                              <a:gd name="T3" fmla="*/ 90 256 1"/>
                              <a:gd name="G4" fmla="+- -10135394 T2 T3"/>
                              <a:gd name="G5" fmla="*/ G4 2 1"/>
                              <a:gd name="T4" fmla="*/ 90 256 1"/>
                              <a:gd name="T5" fmla="*/ 0 256 1"/>
                              <a:gd name="G6" fmla="+- -10135394 T4 T5"/>
                              <a:gd name="G7" fmla="*/ G6 2 1"/>
                              <a:gd name="G8" fmla="abs -10135394"/>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7316"/>
                              <a:gd name="G18" fmla="*/ 7316 1 2"/>
                              <a:gd name="G19" fmla="+- G18 5400 0"/>
                              <a:gd name="G20" fmla="cos G19 -10135394"/>
                              <a:gd name="G21" fmla="sin G19 -10135394"/>
                              <a:gd name="G22" fmla="+- G20 10800 0"/>
                              <a:gd name="G23" fmla="+- G21 10800 0"/>
                              <a:gd name="G24" fmla="+- 10800 0 G20"/>
                              <a:gd name="G25" fmla="+- 7316 10800 0"/>
                              <a:gd name="G26" fmla="?: G9 G17 G25"/>
                              <a:gd name="G27" fmla="?: G9 0 21600"/>
                              <a:gd name="G28" fmla="cos 10800 -10135394"/>
                              <a:gd name="G29" fmla="sin 10800 -10135394"/>
                              <a:gd name="G30" fmla="sin 7316 -10135394"/>
                              <a:gd name="G31" fmla="+- G28 10800 0"/>
                              <a:gd name="G32" fmla="+- G29 10800 0"/>
                              <a:gd name="G33" fmla="+- G30 10800 0"/>
                              <a:gd name="G34" fmla="?: G4 0 G31"/>
                              <a:gd name="G35" fmla="?: -10135394 G34 0"/>
                              <a:gd name="G36" fmla="?: G6 G35 G31"/>
                              <a:gd name="G37" fmla="+- 21600 0 G36"/>
                              <a:gd name="G38" fmla="?: G4 0 G33"/>
                              <a:gd name="G39" fmla="?: -10135394 G38 G32"/>
                              <a:gd name="G40" fmla="?: G6 G39 0"/>
                              <a:gd name="G41" fmla="?: G4 G32 21600"/>
                              <a:gd name="G42" fmla="?: G6 G41 G33"/>
                              <a:gd name="T12" fmla="*/ 10800 w 21600"/>
                              <a:gd name="T13" fmla="*/ 0 h 21600"/>
                              <a:gd name="T14" fmla="*/ 2613 w 21600"/>
                              <a:gd name="T15" fmla="*/ 6922 h 21600"/>
                              <a:gd name="T16" fmla="*/ 10800 w 21600"/>
                              <a:gd name="T17" fmla="*/ 3484 h 21600"/>
                              <a:gd name="T18" fmla="*/ 18987 w 21600"/>
                              <a:gd name="T19" fmla="*/ 6922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188" y="7668"/>
                                </a:moveTo>
                                <a:cubicBezTo>
                                  <a:pt x="5398" y="5113"/>
                                  <a:pt x="7972" y="3483"/>
                                  <a:pt x="10800" y="3484"/>
                                </a:cubicBezTo>
                                <a:cubicBezTo>
                                  <a:pt x="13627" y="3484"/>
                                  <a:pt x="16201" y="5113"/>
                                  <a:pt x="17411" y="7668"/>
                                </a:cubicBezTo>
                                <a:lnTo>
                                  <a:pt x="20560" y="6176"/>
                                </a:lnTo>
                                <a:cubicBezTo>
                                  <a:pt x="18773" y="2404"/>
                                  <a:pt x="14973" y="-1"/>
                                  <a:pt x="10799" y="0"/>
                                </a:cubicBezTo>
                                <a:cubicBezTo>
                                  <a:pt x="6626" y="0"/>
                                  <a:pt x="2826" y="2404"/>
                                  <a:pt x="1039" y="6176"/>
                                </a:cubicBezTo>
                                <a:close/>
                              </a:path>
                            </a:pathLst>
                          </a:cu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4" name="AutoShape 12"/>
                        <wps:cNvSpPr>
                          <a:spLocks noChangeArrowheads="1"/>
                        </wps:cNvSpPr>
                        <wps:spPr bwMode="auto">
                          <a:xfrm rot="5400000" flipH="1">
                            <a:off x="4652" y="1046"/>
                            <a:ext cx="1439" cy="1871"/>
                          </a:xfrm>
                          <a:custGeom>
                            <a:avLst/>
                            <a:gdLst>
                              <a:gd name="G0" fmla="+- 7316 0 0"/>
                              <a:gd name="G1" fmla="+- -10135394 0 0"/>
                              <a:gd name="G2" fmla="+- 0 0 -10135394"/>
                              <a:gd name="T0" fmla="*/ 0 256 1"/>
                              <a:gd name="T1" fmla="*/ 180 256 1"/>
                              <a:gd name="G3" fmla="+- -10135394 T0 T1"/>
                              <a:gd name="T2" fmla="*/ 0 256 1"/>
                              <a:gd name="T3" fmla="*/ 90 256 1"/>
                              <a:gd name="G4" fmla="+- -10135394 T2 T3"/>
                              <a:gd name="G5" fmla="*/ G4 2 1"/>
                              <a:gd name="T4" fmla="*/ 90 256 1"/>
                              <a:gd name="T5" fmla="*/ 0 256 1"/>
                              <a:gd name="G6" fmla="+- -10135394 T4 T5"/>
                              <a:gd name="G7" fmla="*/ G6 2 1"/>
                              <a:gd name="G8" fmla="abs -10135394"/>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7316"/>
                              <a:gd name="G18" fmla="*/ 7316 1 2"/>
                              <a:gd name="G19" fmla="+- G18 5400 0"/>
                              <a:gd name="G20" fmla="cos G19 -10135394"/>
                              <a:gd name="G21" fmla="sin G19 -10135394"/>
                              <a:gd name="G22" fmla="+- G20 10800 0"/>
                              <a:gd name="G23" fmla="+- G21 10800 0"/>
                              <a:gd name="G24" fmla="+- 10800 0 G20"/>
                              <a:gd name="G25" fmla="+- 7316 10800 0"/>
                              <a:gd name="G26" fmla="?: G9 G17 G25"/>
                              <a:gd name="G27" fmla="?: G9 0 21600"/>
                              <a:gd name="G28" fmla="cos 10800 -10135394"/>
                              <a:gd name="G29" fmla="sin 10800 -10135394"/>
                              <a:gd name="G30" fmla="sin 7316 -10135394"/>
                              <a:gd name="G31" fmla="+- G28 10800 0"/>
                              <a:gd name="G32" fmla="+- G29 10800 0"/>
                              <a:gd name="G33" fmla="+- G30 10800 0"/>
                              <a:gd name="G34" fmla="?: G4 0 G31"/>
                              <a:gd name="G35" fmla="?: -10135394 G34 0"/>
                              <a:gd name="G36" fmla="?: G6 G35 G31"/>
                              <a:gd name="G37" fmla="+- 21600 0 G36"/>
                              <a:gd name="G38" fmla="?: G4 0 G33"/>
                              <a:gd name="G39" fmla="?: -10135394 G38 G32"/>
                              <a:gd name="G40" fmla="?: G6 G39 0"/>
                              <a:gd name="G41" fmla="?: G4 G32 21600"/>
                              <a:gd name="G42" fmla="?: G6 G41 G33"/>
                              <a:gd name="T12" fmla="*/ 10800 w 21600"/>
                              <a:gd name="T13" fmla="*/ 0 h 21600"/>
                              <a:gd name="T14" fmla="*/ 2613 w 21600"/>
                              <a:gd name="T15" fmla="*/ 6922 h 21600"/>
                              <a:gd name="T16" fmla="*/ 10800 w 21600"/>
                              <a:gd name="T17" fmla="*/ 3484 h 21600"/>
                              <a:gd name="T18" fmla="*/ 18987 w 21600"/>
                              <a:gd name="T19" fmla="*/ 6922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188" y="7668"/>
                                </a:moveTo>
                                <a:cubicBezTo>
                                  <a:pt x="5398" y="5113"/>
                                  <a:pt x="7972" y="3483"/>
                                  <a:pt x="10800" y="3484"/>
                                </a:cubicBezTo>
                                <a:cubicBezTo>
                                  <a:pt x="13627" y="3484"/>
                                  <a:pt x="16201" y="5113"/>
                                  <a:pt x="17411" y="7668"/>
                                </a:cubicBezTo>
                                <a:lnTo>
                                  <a:pt x="20560" y="6176"/>
                                </a:lnTo>
                                <a:cubicBezTo>
                                  <a:pt x="18773" y="2404"/>
                                  <a:pt x="14973" y="-1"/>
                                  <a:pt x="10799" y="0"/>
                                </a:cubicBezTo>
                                <a:cubicBezTo>
                                  <a:pt x="6626" y="0"/>
                                  <a:pt x="2826" y="2404"/>
                                  <a:pt x="1039" y="6176"/>
                                </a:cubicBezTo>
                                <a:close/>
                              </a:path>
                            </a:pathLst>
                          </a:cu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5" name="AutoShape 13"/>
                        <wps:cNvSpPr>
                          <a:spLocks noChangeArrowheads="1"/>
                        </wps:cNvSpPr>
                        <wps:spPr bwMode="auto">
                          <a:xfrm rot="16200000" flipH="1">
                            <a:off x="3933" y="1046"/>
                            <a:ext cx="1439" cy="1871"/>
                          </a:xfrm>
                          <a:custGeom>
                            <a:avLst/>
                            <a:gdLst>
                              <a:gd name="G0" fmla="+- 7316 0 0"/>
                              <a:gd name="G1" fmla="+- -10135394 0 0"/>
                              <a:gd name="G2" fmla="+- 0 0 -10135394"/>
                              <a:gd name="T0" fmla="*/ 0 256 1"/>
                              <a:gd name="T1" fmla="*/ 180 256 1"/>
                              <a:gd name="G3" fmla="+- -10135394 T0 T1"/>
                              <a:gd name="T2" fmla="*/ 0 256 1"/>
                              <a:gd name="T3" fmla="*/ 90 256 1"/>
                              <a:gd name="G4" fmla="+- -10135394 T2 T3"/>
                              <a:gd name="G5" fmla="*/ G4 2 1"/>
                              <a:gd name="T4" fmla="*/ 90 256 1"/>
                              <a:gd name="T5" fmla="*/ 0 256 1"/>
                              <a:gd name="G6" fmla="+- -10135394 T4 T5"/>
                              <a:gd name="G7" fmla="*/ G6 2 1"/>
                              <a:gd name="G8" fmla="abs -10135394"/>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7316"/>
                              <a:gd name="G18" fmla="*/ 7316 1 2"/>
                              <a:gd name="G19" fmla="+- G18 5400 0"/>
                              <a:gd name="G20" fmla="cos G19 -10135394"/>
                              <a:gd name="G21" fmla="sin G19 -10135394"/>
                              <a:gd name="G22" fmla="+- G20 10800 0"/>
                              <a:gd name="G23" fmla="+- G21 10800 0"/>
                              <a:gd name="G24" fmla="+- 10800 0 G20"/>
                              <a:gd name="G25" fmla="+- 7316 10800 0"/>
                              <a:gd name="G26" fmla="?: G9 G17 G25"/>
                              <a:gd name="G27" fmla="?: G9 0 21600"/>
                              <a:gd name="G28" fmla="cos 10800 -10135394"/>
                              <a:gd name="G29" fmla="sin 10800 -10135394"/>
                              <a:gd name="G30" fmla="sin 7316 -10135394"/>
                              <a:gd name="G31" fmla="+- G28 10800 0"/>
                              <a:gd name="G32" fmla="+- G29 10800 0"/>
                              <a:gd name="G33" fmla="+- G30 10800 0"/>
                              <a:gd name="G34" fmla="?: G4 0 G31"/>
                              <a:gd name="G35" fmla="?: -10135394 G34 0"/>
                              <a:gd name="G36" fmla="?: G6 G35 G31"/>
                              <a:gd name="G37" fmla="+- 21600 0 G36"/>
                              <a:gd name="G38" fmla="?: G4 0 G33"/>
                              <a:gd name="G39" fmla="?: -10135394 G38 G32"/>
                              <a:gd name="G40" fmla="?: G6 G39 0"/>
                              <a:gd name="G41" fmla="?: G4 G32 21600"/>
                              <a:gd name="G42" fmla="?: G6 G41 G33"/>
                              <a:gd name="T12" fmla="*/ 10800 w 21600"/>
                              <a:gd name="T13" fmla="*/ 0 h 21600"/>
                              <a:gd name="T14" fmla="*/ 2613 w 21600"/>
                              <a:gd name="T15" fmla="*/ 6922 h 21600"/>
                              <a:gd name="T16" fmla="*/ 10800 w 21600"/>
                              <a:gd name="T17" fmla="*/ 3484 h 21600"/>
                              <a:gd name="T18" fmla="*/ 18987 w 21600"/>
                              <a:gd name="T19" fmla="*/ 6922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188" y="7668"/>
                                </a:moveTo>
                                <a:cubicBezTo>
                                  <a:pt x="5398" y="5113"/>
                                  <a:pt x="7972" y="3483"/>
                                  <a:pt x="10800" y="3484"/>
                                </a:cubicBezTo>
                                <a:cubicBezTo>
                                  <a:pt x="13627" y="3484"/>
                                  <a:pt x="16201" y="5113"/>
                                  <a:pt x="17411" y="7668"/>
                                </a:cubicBezTo>
                                <a:lnTo>
                                  <a:pt x="20560" y="6176"/>
                                </a:lnTo>
                                <a:cubicBezTo>
                                  <a:pt x="18773" y="2404"/>
                                  <a:pt x="14973" y="-1"/>
                                  <a:pt x="10799" y="0"/>
                                </a:cubicBezTo>
                                <a:cubicBezTo>
                                  <a:pt x="6626" y="0"/>
                                  <a:pt x="2826" y="2404"/>
                                  <a:pt x="1039" y="6176"/>
                                </a:cubicBezTo>
                                <a:close/>
                              </a:path>
                            </a:pathLst>
                          </a:cu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6" name="AutoShape 14"/>
                        <wps:cNvSpPr>
                          <a:spLocks noChangeArrowheads="1"/>
                        </wps:cNvSpPr>
                        <wps:spPr bwMode="auto">
                          <a:xfrm>
                            <a:off x="3500" y="470"/>
                            <a:ext cx="3023" cy="1583"/>
                          </a:xfrm>
                          <a:custGeom>
                            <a:avLst/>
                            <a:gdLst>
                              <a:gd name="G0" fmla="+- 5448 0 0"/>
                              <a:gd name="G1" fmla="+- -10041336 0 0"/>
                              <a:gd name="G2" fmla="+- 0 0 -10041336"/>
                              <a:gd name="T0" fmla="*/ 0 256 1"/>
                              <a:gd name="T1" fmla="*/ 180 256 1"/>
                              <a:gd name="G3" fmla="+- -10041336 T0 T1"/>
                              <a:gd name="T2" fmla="*/ 0 256 1"/>
                              <a:gd name="T3" fmla="*/ 90 256 1"/>
                              <a:gd name="G4" fmla="+- -10041336 T2 T3"/>
                              <a:gd name="G5" fmla="*/ G4 2 1"/>
                              <a:gd name="T4" fmla="*/ 90 256 1"/>
                              <a:gd name="T5" fmla="*/ 0 256 1"/>
                              <a:gd name="G6" fmla="+- -10041336 T4 T5"/>
                              <a:gd name="G7" fmla="*/ G6 2 1"/>
                              <a:gd name="G8" fmla="abs -10041336"/>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448"/>
                              <a:gd name="G18" fmla="*/ 5448 1 2"/>
                              <a:gd name="G19" fmla="+- G18 5400 0"/>
                              <a:gd name="G20" fmla="cos G19 -10041336"/>
                              <a:gd name="G21" fmla="sin G19 -10041336"/>
                              <a:gd name="G22" fmla="+- G20 10800 0"/>
                              <a:gd name="G23" fmla="+- G21 10800 0"/>
                              <a:gd name="G24" fmla="+- 10800 0 G20"/>
                              <a:gd name="G25" fmla="+- 5448 10800 0"/>
                              <a:gd name="G26" fmla="?: G9 G17 G25"/>
                              <a:gd name="G27" fmla="?: G9 0 21600"/>
                              <a:gd name="G28" fmla="cos 10800 -10041336"/>
                              <a:gd name="G29" fmla="sin 10800 -10041336"/>
                              <a:gd name="G30" fmla="sin 5448 -10041336"/>
                              <a:gd name="G31" fmla="+- G28 10800 0"/>
                              <a:gd name="G32" fmla="+- G29 10800 0"/>
                              <a:gd name="G33" fmla="+- G30 10800 0"/>
                              <a:gd name="G34" fmla="?: G4 0 G31"/>
                              <a:gd name="G35" fmla="?: -10041336 G34 0"/>
                              <a:gd name="G36" fmla="?: G6 G35 G31"/>
                              <a:gd name="G37" fmla="+- 21600 0 G36"/>
                              <a:gd name="G38" fmla="?: G4 0 G33"/>
                              <a:gd name="G39" fmla="?: -10041336 G38 G32"/>
                              <a:gd name="G40" fmla="?: G6 G39 0"/>
                              <a:gd name="G41" fmla="?: G4 G32 21600"/>
                              <a:gd name="G42" fmla="?: G6 G41 G33"/>
                              <a:gd name="T12" fmla="*/ 10800 w 21600"/>
                              <a:gd name="T13" fmla="*/ 0 h 21600"/>
                              <a:gd name="T14" fmla="*/ 3547 w 21600"/>
                              <a:gd name="T15" fmla="*/ 7139 h 21600"/>
                              <a:gd name="T16" fmla="*/ 10800 w 21600"/>
                              <a:gd name="T17" fmla="*/ 5352 h 21600"/>
                              <a:gd name="T18" fmla="*/ 18053 w 21600"/>
                              <a:gd name="T19" fmla="*/ 713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936" y="8345"/>
                                </a:moveTo>
                                <a:cubicBezTo>
                                  <a:pt x="6862" y="6509"/>
                                  <a:pt x="8743" y="5351"/>
                                  <a:pt x="10800" y="5352"/>
                                </a:cubicBezTo>
                                <a:cubicBezTo>
                                  <a:pt x="12856" y="5352"/>
                                  <a:pt x="14737" y="6509"/>
                                  <a:pt x="15663" y="8345"/>
                                </a:cubicBezTo>
                                <a:lnTo>
                                  <a:pt x="20441" y="5933"/>
                                </a:lnTo>
                                <a:cubicBezTo>
                                  <a:pt x="18604" y="2294"/>
                                  <a:pt x="14876" y="-1"/>
                                  <a:pt x="10799" y="0"/>
                                </a:cubicBezTo>
                                <a:cubicBezTo>
                                  <a:pt x="6723" y="0"/>
                                  <a:pt x="2995" y="2294"/>
                                  <a:pt x="1158" y="5933"/>
                                </a:cubicBezTo>
                                <a:close/>
                              </a:path>
                            </a:pathLst>
                          </a:cu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7" name="AutoShape 15"/>
                        <wps:cNvSpPr>
                          <a:spLocks noChangeArrowheads="1"/>
                        </wps:cNvSpPr>
                        <wps:spPr bwMode="auto">
                          <a:xfrm flipV="1">
                            <a:off x="3500" y="1911"/>
                            <a:ext cx="3023" cy="1583"/>
                          </a:xfrm>
                          <a:custGeom>
                            <a:avLst/>
                            <a:gdLst>
                              <a:gd name="G0" fmla="+- 5448 0 0"/>
                              <a:gd name="G1" fmla="+- -10041336 0 0"/>
                              <a:gd name="G2" fmla="+- 0 0 -10041336"/>
                              <a:gd name="T0" fmla="*/ 0 256 1"/>
                              <a:gd name="T1" fmla="*/ 180 256 1"/>
                              <a:gd name="G3" fmla="+- -10041336 T0 T1"/>
                              <a:gd name="T2" fmla="*/ 0 256 1"/>
                              <a:gd name="T3" fmla="*/ 90 256 1"/>
                              <a:gd name="G4" fmla="+- -10041336 T2 T3"/>
                              <a:gd name="G5" fmla="*/ G4 2 1"/>
                              <a:gd name="T4" fmla="*/ 90 256 1"/>
                              <a:gd name="T5" fmla="*/ 0 256 1"/>
                              <a:gd name="G6" fmla="+- -10041336 T4 T5"/>
                              <a:gd name="G7" fmla="*/ G6 2 1"/>
                              <a:gd name="G8" fmla="abs -10041336"/>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448"/>
                              <a:gd name="G18" fmla="*/ 5448 1 2"/>
                              <a:gd name="G19" fmla="+- G18 5400 0"/>
                              <a:gd name="G20" fmla="cos G19 -10041336"/>
                              <a:gd name="G21" fmla="sin G19 -10041336"/>
                              <a:gd name="G22" fmla="+- G20 10800 0"/>
                              <a:gd name="G23" fmla="+- G21 10800 0"/>
                              <a:gd name="G24" fmla="+- 10800 0 G20"/>
                              <a:gd name="G25" fmla="+- 5448 10800 0"/>
                              <a:gd name="G26" fmla="?: G9 G17 G25"/>
                              <a:gd name="G27" fmla="?: G9 0 21600"/>
                              <a:gd name="G28" fmla="cos 10800 -10041336"/>
                              <a:gd name="G29" fmla="sin 10800 -10041336"/>
                              <a:gd name="G30" fmla="sin 5448 -10041336"/>
                              <a:gd name="G31" fmla="+- G28 10800 0"/>
                              <a:gd name="G32" fmla="+- G29 10800 0"/>
                              <a:gd name="G33" fmla="+- G30 10800 0"/>
                              <a:gd name="G34" fmla="?: G4 0 G31"/>
                              <a:gd name="G35" fmla="?: -10041336 G34 0"/>
                              <a:gd name="G36" fmla="?: G6 G35 G31"/>
                              <a:gd name="G37" fmla="+- 21600 0 G36"/>
                              <a:gd name="G38" fmla="?: G4 0 G33"/>
                              <a:gd name="G39" fmla="?: -10041336 G38 G32"/>
                              <a:gd name="G40" fmla="?: G6 G39 0"/>
                              <a:gd name="G41" fmla="?: G4 G32 21600"/>
                              <a:gd name="G42" fmla="?: G6 G41 G33"/>
                              <a:gd name="T12" fmla="*/ 10800 w 21600"/>
                              <a:gd name="T13" fmla="*/ 0 h 21600"/>
                              <a:gd name="T14" fmla="*/ 3547 w 21600"/>
                              <a:gd name="T15" fmla="*/ 7139 h 21600"/>
                              <a:gd name="T16" fmla="*/ 10800 w 21600"/>
                              <a:gd name="T17" fmla="*/ 5352 h 21600"/>
                              <a:gd name="T18" fmla="*/ 18053 w 21600"/>
                              <a:gd name="T19" fmla="*/ 713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936" y="8345"/>
                                </a:moveTo>
                                <a:cubicBezTo>
                                  <a:pt x="6862" y="6509"/>
                                  <a:pt x="8743" y="5351"/>
                                  <a:pt x="10800" y="5352"/>
                                </a:cubicBezTo>
                                <a:cubicBezTo>
                                  <a:pt x="12856" y="5352"/>
                                  <a:pt x="14737" y="6509"/>
                                  <a:pt x="15663" y="8345"/>
                                </a:cubicBezTo>
                                <a:lnTo>
                                  <a:pt x="20441" y="5933"/>
                                </a:lnTo>
                                <a:cubicBezTo>
                                  <a:pt x="18604" y="2294"/>
                                  <a:pt x="14876" y="-1"/>
                                  <a:pt x="10799" y="0"/>
                                </a:cubicBezTo>
                                <a:cubicBezTo>
                                  <a:pt x="6723" y="0"/>
                                  <a:pt x="2995" y="2294"/>
                                  <a:pt x="1158" y="5933"/>
                                </a:cubicBezTo>
                                <a:close/>
                              </a:path>
                            </a:pathLst>
                          </a:cu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8" name="AutoShape 16"/>
                        <wps:cNvSpPr>
                          <a:spLocks noChangeArrowheads="1"/>
                        </wps:cNvSpPr>
                        <wps:spPr bwMode="auto">
                          <a:xfrm rot="5400000">
                            <a:off x="4941" y="326"/>
                            <a:ext cx="1583" cy="3023"/>
                          </a:xfrm>
                          <a:custGeom>
                            <a:avLst/>
                            <a:gdLst>
                              <a:gd name="G0" fmla="+- 5448 0 0"/>
                              <a:gd name="G1" fmla="+- -10041336 0 0"/>
                              <a:gd name="G2" fmla="+- 0 0 -10041336"/>
                              <a:gd name="T0" fmla="*/ 0 256 1"/>
                              <a:gd name="T1" fmla="*/ 180 256 1"/>
                              <a:gd name="G3" fmla="+- -10041336 T0 T1"/>
                              <a:gd name="T2" fmla="*/ 0 256 1"/>
                              <a:gd name="T3" fmla="*/ 90 256 1"/>
                              <a:gd name="G4" fmla="+- -10041336 T2 T3"/>
                              <a:gd name="G5" fmla="*/ G4 2 1"/>
                              <a:gd name="T4" fmla="*/ 90 256 1"/>
                              <a:gd name="T5" fmla="*/ 0 256 1"/>
                              <a:gd name="G6" fmla="+- -10041336 T4 T5"/>
                              <a:gd name="G7" fmla="*/ G6 2 1"/>
                              <a:gd name="G8" fmla="abs -10041336"/>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448"/>
                              <a:gd name="G18" fmla="*/ 5448 1 2"/>
                              <a:gd name="G19" fmla="+- G18 5400 0"/>
                              <a:gd name="G20" fmla="cos G19 -10041336"/>
                              <a:gd name="G21" fmla="sin G19 -10041336"/>
                              <a:gd name="G22" fmla="+- G20 10800 0"/>
                              <a:gd name="G23" fmla="+- G21 10800 0"/>
                              <a:gd name="G24" fmla="+- 10800 0 G20"/>
                              <a:gd name="G25" fmla="+- 5448 10800 0"/>
                              <a:gd name="G26" fmla="?: G9 G17 G25"/>
                              <a:gd name="G27" fmla="?: G9 0 21600"/>
                              <a:gd name="G28" fmla="cos 10800 -10041336"/>
                              <a:gd name="G29" fmla="sin 10800 -10041336"/>
                              <a:gd name="G30" fmla="sin 5448 -10041336"/>
                              <a:gd name="G31" fmla="+- G28 10800 0"/>
                              <a:gd name="G32" fmla="+- G29 10800 0"/>
                              <a:gd name="G33" fmla="+- G30 10800 0"/>
                              <a:gd name="G34" fmla="?: G4 0 G31"/>
                              <a:gd name="G35" fmla="?: -10041336 G34 0"/>
                              <a:gd name="G36" fmla="?: G6 G35 G31"/>
                              <a:gd name="G37" fmla="+- 21600 0 G36"/>
                              <a:gd name="G38" fmla="?: G4 0 G33"/>
                              <a:gd name="G39" fmla="?: -10041336 G38 G32"/>
                              <a:gd name="G40" fmla="?: G6 G39 0"/>
                              <a:gd name="G41" fmla="?: G4 G32 21600"/>
                              <a:gd name="G42" fmla="?: G6 G41 G33"/>
                              <a:gd name="T12" fmla="*/ 10800 w 21600"/>
                              <a:gd name="T13" fmla="*/ 0 h 21600"/>
                              <a:gd name="T14" fmla="*/ 3547 w 21600"/>
                              <a:gd name="T15" fmla="*/ 7139 h 21600"/>
                              <a:gd name="T16" fmla="*/ 10800 w 21600"/>
                              <a:gd name="T17" fmla="*/ 5352 h 21600"/>
                              <a:gd name="T18" fmla="*/ 18053 w 21600"/>
                              <a:gd name="T19" fmla="*/ 713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936" y="8345"/>
                                </a:moveTo>
                                <a:cubicBezTo>
                                  <a:pt x="6862" y="6509"/>
                                  <a:pt x="8743" y="5351"/>
                                  <a:pt x="10800" y="5352"/>
                                </a:cubicBezTo>
                                <a:cubicBezTo>
                                  <a:pt x="12856" y="5352"/>
                                  <a:pt x="14737" y="6509"/>
                                  <a:pt x="15663" y="8345"/>
                                </a:cubicBezTo>
                                <a:lnTo>
                                  <a:pt x="20441" y="5933"/>
                                </a:lnTo>
                                <a:cubicBezTo>
                                  <a:pt x="18604" y="2294"/>
                                  <a:pt x="14876" y="-1"/>
                                  <a:pt x="10799" y="0"/>
                                </a:cubicBezTo>
                                <a:cubicBezTo>
                                  <a:pt x="6723" y="0"/>
                                  <a:pt x="2995" y="2294"/>
                                  <a:pt x="1158" y="5933"/>
                                </a:cubicBezTo>
                                <a:close/>
                              </a:path>
                            </a:pathLst>
                          </a:cu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9" name="AutoShape 17"/>
                        <wps:cNvSpPr>
                          <a:spLocks noChangeArrowheads="1"/>
                        </wps:cNvSpPr>
                        <wps:spPr bwMode="auto">
                          <a:xfrm rot="16200000">
                            <a:off x="3500" y="470"/>
                            <a:ext cx="1583" cy="3023"/>
                          </a:xfrm>
                          <a:custGeom>
                            <a:avLst/>
                            <a:gdLst>
                              <a:gd name="G0" fmla="+- 5448 0 0"/>
                              <a:gd name="G1" fmla="+- -10041336 0 0"/>
                              <a:gd name="G2" fmla="+- 0 0 -10041336"/>
                              <a:gd name="T0" fmla="*/ 0 256 1"/>
                              <a:gd name="T1" fmla="*/ 180 256 1"/>
                              <a:gd name="G3" fmla="+- -10041336 T0 T1"/>
                              <a:gd name="T2" fmla="*/ 0 256 1"/>
                              <a:gd name="T3" fmla="*/ 90 256 1"/>
                              <a:gd name="G4" fmla="+- -10041336 T2 T3"/>
                              <a:gd name="G5" fmla="*/ G4 2 1"/>
                              <a:gd name="T4" fmla="*/ 90 256 1"/>
                              <a:gd name="T5" fmla="*/ 0 256 1"/>
                              <a:gd name="G6" fmla="+- -10041336 T4 T5"/>
                              <a:gd name="G7" fmla="*/ G6 2 1"/>
                              <a:gd name="G8" fmla="abs -10041336"/>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448"/>
                              <a:gd name="G18" fmla="*/ 5448 1 2"/>
                              <a:gd name="G19" fmla="+- G18 5400 0"/>
                              <a:gd name="G20" fmla="cos G19 -10041336"/>
                              <a:gd name="G21" fmla="sin G19 -10041336"/>
                              <a:gd name="G22" fmla="+- G20 10800 0"/>
                              <a:gd name="G23" fmla="+- G21 10800 0"/>
                              <a:gd name="G24" fmla="+- 10800 0 G20"/>
                              <a:gd name="G25" fmla="+- 5448 10800 0"/>
                              <a:gd name="G26" fmla="?: G9 G17 G25"/>
                              <a:gd name="G27" fmla="?: G9 0 21600"/>
                              <a:gd name="G28" fmla="cos 10800 -10041336"/>
                              <a:gd name="G29" fmla="sin 10800 -10041336"/>
                              <a:gd name="G30" fmla="sin 5448 -10041336"/>
                              <a:gd name="G31" fmla="+- G28 10800 0"/>
                              <a:gd name="G32" fmla="+- G29 10800 0"/>
                              <a:gd name="G33" fmla="+- G30 10800 0"/>
                              <a:gd name="G34" fmla="?: G4 0 G31"/>
                              <a:gd name="G35" fmla="?: -10041336 G34 0"/>
                              <a:gd name="G36" fmla="?: G6 G35 G31"/>
                              <a:gd name="G37" fmla="+- 21600 0 G36"/>
                              <a:gd name="G38" fmla="?: G4 0 G33"/>
                              <a:gd name="G39" fmla="?: -10041336 G38 G32"/>
                              <a:gd name="G40" fmla="?: G6 G39 0"/>
                              <a:gd name="G41" fmla="?: G4 G32 21600"/>
                              <a:gd name="G42" fmla="?: G6 G41 G33"/>
                              <a:gd name="T12" fmla="*/ 10800 w 21600"/>
                              <a:gd name="T13" fmla="*/ 0 h 21600"/>
                              <a:gd name="T14" fmla="*/ 3547 w 21600"/>
                              <a:gd name="T15" fmla="*/ 7139 h 21600"/>
                              <a:gd name="T16" fmla="*/ 10800 w 21600"/>
                              <a:gd name="T17" fmla="*/ 5352 h 21600"/>
                              <a:gd name="T18" fmla="*/ 18053 w 21600"/>
                              <a:gd name="T19" fmla="*/ 713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936" y="8345"/>
                                </a:moveTo>
                                <a:cubicBezTo>
                                  <a:pt x="6862" y="6509"/>
                                  <a:pt x="8743" y="5351"/>
                                  <a:pt x="10800" y="5352"/>
                                </a:cubicBezTo>
                                <a:cubicBezTo>
                                  <a:pt x="12856" y="5352"/>
                                  <a:pt x="14737" y="6509"/>
                                  <a:pt x="15663" y="8345"/>
                                </a:cubicBezTo>
                                <a:lnTo>
                                  <a:pt x="20441" y="5933"/>
                                </a:lnTo>
                                <a:cubicBezTo>
                                  <a:pt x="18604" y="2294"/>
                                  <a:pt x="14876" y="-1"/>
                                  <a:pt x="10799" y="0"/>
                                </a:cubicBezTo>
                                <a:cubicBezTo>
                                  <a:pt x="6723" y="0"/>
                                  <a:pt x="2995" y="2294"/>
                                  <a:pt x="1158" y="5933"/>
                                </a:cubicBezTo>
                                <a:close/>
                              </a:path>
                            </a:pathLst>
                          </a:cu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0" name="Rectangle 18"/>
                        <wps:cNvSpPr>
                          <a:spLocks noChangeArrowheads="1"/>
                        </wps:cNvSpPr>
                        <wps:spPr bwMode="auto">
                          <a:xfrm rot="19380000">
                            <a:off x="3384" y="123"/>
                            <a:ext cx="575" cy="719"/>
                          </a:xfrm>
                          <a:prstGeom prst="rect">
                            <a:avLst/>
                          </a:pr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1" name="Rectangle 19"/>
                        <wps:cNvSpPr>
                          <a:spLocks noChangeArrowheads="1"/>
                        </wps:cNvSpPr>
                        <wps:spPr bwMode="auto">
                          <a:xfrm rot="13980000">
                            <a:off x="3212" y="3135"/>
                            <a:ext cx="719" cy="575"/>
                          </a:xfrm>
                          <a:prstGeom prst="rect">
                            <a:avLst/>
                          </a:pr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2" name="Rectangle 20"/>
                        <wps:cNvSpPr>
                          <a:spLocks noChangeArrowheads="1"/>
                        </wps:cNvSpPr>
                        <wps:spPr bwMode="auto">
                          <a:xfrm rot="13980000" flipH="1" flipV="1">
                            <a:off x="6092" y="182"/>
                            <a:ext cx="719" cy="575"/>
                          </a:xfrm>
                          <a:prstGeom prst="rect">
                            <a:avLst/>
                          </a:pr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3" name="Rectangle 21"/>
                        <wps:cNvSpPr>
                          <a:spLocks noChangeArrowheads="1"/>
                        </wps:cNvSpPr>
                        <wps:spPr bwMode="auto">
                          <a:xfrm rot="8580000">
                            <a:off x="6092" y="3208"/>
                            <a:ext cx="575" cy="719"/>
                          </a:xfrm>
                          <a:prstGeom prst="rect">
                            <a:avLst/>
                          </a:pr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4" name="Freeform 22"/>
                        <wps:cNvSpPr>
                          <a:spLocks/>
                        </wps:cNvSpPr>
                        <wps:spPr bwMode="auto">
                          <a:xfrm>
                            <a:off x="3602" y="1451"/>
                            <a:ext cx="1481" cy="553"/>
                          </a:xfrm>
                          <a:custGeom>
                            <a:avLst/>
                            <a:gdLst>
                              <a:gd name="T0" fmla="*/ 1482 w 1482"/>
                              <a:gd name="T1" fmla="*/ 554 h 554"/>
                              <a:gd name="T2" fmla="*/ 0 w 1482"/>
                              <a:gd name="T3" fmla="*/ 0 h 554"/>
                            </a:gdLst>
                            <a:ahLst/>
                            <a:cxnLst>
                              <a:cxn ang="0">
                                <a:pos x="T0" y="T1"/>
                              </a:cxn>
                              <a:cxn ang="0">
                                <a:pos x="T2" y="T3"/>
                              </a:cxn>
                            </a:cxnLst>
                            <a:rect l="0" t="0" r="r" b="b"/>
                            <a:pathLst>
                              <a:path w="1482" h="554">
                                <a:moveTo>
                                  <a:pt x="1482" y="554"/>
                                </a:moveTo>
                                <a:lnTo>
                                  <a:pt x="0" y="0"/>
                                </a:lnTo>
                              </a:path>
                            </a:pathLst>
                          </a:custGeom>
                          <a:noFill/>
                          <a:ln w="19080" cap="sq">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5" name="Freeform 23"/>
                        <wps:cNvSpPr>
                          <a:spLocks/>
                        </wps:cNvSpPr>
                        <wps:spPr bwMode="auto">
                          <a:xfrm>
                            <a:off x="5084" y="1481"/>
                            <a:ext cx="2357" cy="542"/>
                          </a:xfrm>
                          <a:custGeom>
                            <a:avLst/>
                            <a:gdLst>
                              <a:gd name="T0" fmla="*/ 0 w 2358"/>
                              <a:gd name="T1" fmla="*/ 543 h 543"/>
                              <a:gd name="T2" fmla="*/ 2358 w 2358"/>
                              <a:gd name="T3" fmla="*/ 0 h 543"/>
                            </a:gdLst>
                            <a:ahLst/>
                            <a:cxnLst>
                              <a:cxn ang="0">
                                <a:pos x="T0" y="T1"/>
                              </a:cxn>
                              <a:cxn ang="0">
                                <a:pos x="T2" y="T3"/>
                              </a:cxn>
                            </a:cxnLst>
                            <a:rect l="0" t="0" r="r" b="b"/>
                            <a:pathLst>
                              <a:path w="2358" h="543">
                                <a:moveTo>
                                  <a:pt x="0" y="543"/>
                                </a:moveTo>
                                <a:lnTo>
                                  <a:pt x="2358" y="0"/>
                                </a:lnTo>
                              </a:path>
                            </a:pathLst>
                          </a:custGeom>
                          <a:noFill/>
                          <a:ln w="19080" cap="sq">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36" name="Text Box 24"/>
                        <wps:cNvSpPr txBox="1">
                          <a:spLocks noChangeArrowheads="1"/>
                        </wps:cNvSpPr>
                        <wps:spPr bwMode="auto">
                          <a:xfrm>
                            <a:off x="908" y="758"/>
                            <a:ext cx="1584" cy="683"/>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EB750A" w14:textId="77777777" w:rsidR="00C36A80" w:rsidRPr="00C540F4" w:rsidRDefault="00C36A80" w:rsidP="00FC3A91">
                              <w:pPr>
                                <w:spacing w:after="0" w:line="240" w:lineRule="auto"/>
                                <w:rPr>
                                  <w:rFonts w:eastAsia="Times New Roman" w:cs="Arial"/>
                                  <w:sz w:val="20"/>
                                  <w:szCs w:val="20"/>
                                </w:rPr>
                              </w:pPr>
                              <w:r w:rsidRPr="00C540F4">
                                <w:rPr>
                                  <w:rFonts w:eastAsia="Times New Roman" w:cs="Arial"/>
                                  <w:sz w:val="20"/>
                                  <w:szCs w:val="20"/>
                                </w:rPr>
                                <w:t>Zona intermediarǎ</w:t>
                              </w:r>
                            </w:p>
                          </w:txbxContent>
                        </wps:txbx>
                        <wps:bodyPr rot="0" vert="horz" wrap="square" lIns="18000" tIns="45720" rIns="18000" bIns="45720" anchor="t" anchorCtr="0">
                          <a:noAutofit/>
                        </wps:bodyPr>
                      </wps:wsp>
                      <wps:wsp>
                        <wps:cNvPr id="37" name="Text Box 25"/>
                        <wps:cNvSpPr txBox="1">
                          <a:spLocks noChangeArrowheads="1"/>
                        </wps:cNvSpPr>
                        <wps:spPr bwMode="auto">
                          <a:xfrm>
                            <a:off x="4940" y="4490"/>
                            <a:ext cx="1583" cy="637"/>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652C215" w14:textId="77777777" w:rsidR="00C36A80" w:rsidRDefault="00C36A80" w:rsidP="00FC3A91">
                              <w:pPr>
                                <w:spacing w:after="0" w:line="240" w:lineRule="auto"/>
                                <w:rPr>
                                  <w:rFonts w:eastAsia="Times New Roman" w:cs="Arial"/>
                                  <w:szCs w:val="20"/>
                                </w:rPr>
                              </w:pPr>
                              <w:r>
                                <w:rPr>
                                  <w:rFonts w:eastAsia="Times New Roman" w:cs="Arial"/>
                                  <w:szCs w:val="20"/>
                                </w:rPr>
                                <w:t xml:space="preserve">Zona </w:t>
                              </w:r>
                            </w:p>
                            <w:p w14:paraId="4FEC6AEE" w14:textId="77777777" w:rsidR="00C36A80" w:rsidRDefault="00C36A80" w:rsidP="00FC3A91">
                              <w:pPr>
                                <w:spacing w:after="0" w:line="240" w:lineRule="auto"/>
                                <w:rPr>
                                  <w:rFonts w:eastAsia="Times New Roman" w:cs="Arial"/>
                                  <w:szCs w:val="20"/>
                                </w:rPr>
                              </w:pPr>
                              <w:r>
                                <w:rPr>
                                  <w:rFonts w:eastAsia="Times New Roman" w:cs="Arial"/>
                                  <w:szCs w:val="20"/>
                                </w:rPr>
                                <w:t>interioarǎ</w:t>
                              </w:r>
                            </w:p>
                          </w:txbxContent>
                        </wps:txbx>
                        <wps:bodyPr rot="0" vert="horz" wrap="square" lIns="91440" tIns="10800" rIns="91440" bIns="1080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0F51D5D" id="Group 14" o:spid="_x0000_s1028" style="position:absolute;left:0;text-align:left;margin-left:50.5pt;margin-top:31.25pt;width:358.5pt;height:240.4pt;z-index:251704832;mso-wrap-distance-left:0;mso-wrap-distance-right:0" coordorigin="908,-393" coordsize="8783,5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">
                <v:oval id="Oval 3" o:spid="_x0000_s1029" style="position:absolute;left:2492;top:-393;width:5039;height:475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" strokeweight=".53mm">
                  <v:stroke joinstyle="miter" endcap="square"/>
                </v:oval>
                <v:oval id="Oval 4" o:spid="_x0000_s1030" style="position:absolute;left:4220;top:1190;width:1583;height:152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" fillcolor="silver" strokeweight=".53mm">
                  <v:stroke joinstyle="miter" endcap="square"/>
                </v:oval>
                <v:shape id="Freeform 5" o:spid="_x0000_s1031" style="position:absolute;left:5057;top:2037;width:239;height:584;visibility:visible;mso-wrap-style:none;v-text-anchor:middle" coordsize="240,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" path="m,l240,585e" filled="f" strokeweight=".53mm">
                  <v:stroke endarrow="block" endcap="square"/>
                  <v:path arrowok="t" o:connecttype="custom" o:connectlocs="0,0;239,584" o:connectangles="0,0"/>
                </v:shape>
                <v:shape id="_x0000_s1032" type="#_x0000_t202" style="position:absolute;left:7676;top:1622;width:1580;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" stroked="f" strokecolor="#3465af">
                  <v:stroke joinstyle="round"/>
                  <v:textbox>
                    <w:txbxContent>
                      <w:p w14:paraId="31D8C3A5" w14:textId="77777777" w:rsidR="00C36A80" w:rsidRDefault="00C36A80" w:rsidP="00FC3A91">
                        <w:pPr>
                          <w:rPr>
                            <w:rFonts w:eastAsia="Times New Roman" w:cs="Arial"/>
                            <w:szCs w:val="20"/>
                          </w:rPr>
                        </w:pPr>
                        <w:r>
                          <w:rPr>
                            <w:rFonts w:eastAsia="Times New Roman" w:cs="Arial"/>
                            <w:szCs w:val="20"/>
                          </w:rPr>
                          <w:t>R=1,6 km</w:t>
                        </w:r>
                      </w:p>
                    </w:txbxContent>
                  </v:textbox>
                </v:shape>
                <v:shape id="Text Box 7" o:spid="_x0000_s1033" type="#_x0000_t202" style="position:absolute;left:2780;top:902;width:1352;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" stroked="f" strokecolor="#3465af">
                  <v:stroke joinstyle="round"/>
                  <v:textbox>
                    <w:txbxContent>
                      <w:p w14:paraId="3086D1F7" w14:textId="77777777" w:rsidR="00C36A80" w:rsidRDefault="00C36A80" w:rsidP="00FC3A91">
                        <w:pPr>
                          <w:rPr>
                            <w:rFonts w:eastAsia="Times New Roman" w:cs="Arial"/>
                            <w:szCs w:val="20"/>
                          </w:rPr>
                        </w:pPr>
                        <w:r>
                          <w:rPr>
                            <w:rFonts w:eastAsia="Times New Roman" w:cs="Arial"/>
                            <w:szCs w:val="20"/>
                          </w:rPr>
                          <w:t>r=0,8 km</w:t>
                        </w:r>
                      </w:p>
                    </w:txbxContent>
                  </v:textbox>
                </v:shape>
                <v:shape id="Text Box 8" o:spid="_x0000_s1034" type="#_x0000_t202" style="position:absolute;left:4508;top:2077;width:431;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" stroked="f" strokecolor="#3465af">
                  <v:stroke joinstyle="round"/>
                  <v:textbox>
                    <w:txbxContent>
                      <w:p w14:paraId="6FE26680" w14:textId="77777777" w:rsidR="00C36A80" w:rsidRPr="0038047E" w:rsidRDefault="00C36A80" w:rsidP="00FC3A91">
                        <w:pPr>
                          <w:rPr>
                            <w:rFonts w:ascii="Symbol" w:eastAsia="Times New Roman" w:hAnsi="Symbol" w:cs="Times New Roman"/>
                            <w:sz w:val="16"/>
                            <w:szCs w:val="16"/>
                            <w:lang w:val="ro-RO"/>
                          </w:rPr>
                        </w:pPr>
                        <w:r w:rsidRPr="0038047E">
                          <w:rPr>
                            <w:rFonts w:ascii="Symbol" w:eastAsia="Times New Roman" w:hAnsi="Symbol" w:cs="Times New Roman"/>
                            <w:sz w:val="16"/>
                            <w:szCs w:val="16"/>
                            <w:lang w:val="ro-RO"/>
                          </w:rPr>
                          <w:t></w:t>
                        </w:r>
                      </w:p>
                    </w:txbxContent>
                  </v:textbox>
                </v:shape>
                <v:shape id="Text Box 9" o:spid="_x0000_s1035" type="#_x0000_t202" style="position:absolute;left:7820;top:544;width:1871;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" stroked="f" strokecolor="#3465af">
                  <v:stroke joinstyle="round"/>
                  <v:textbox>
                    <w:txbxContent>
                      <w:p w14:paraId="50F9A263" w14:textId="77777777" w:rsidR="00C36A80" w:rsidRDefault="00C36A80" w:rsidP="00FC3A91">
                        <w:pPr>
                          <w:spacing w:after="0" w:line="240" w:lineRule="auto"/>
                          <w:rPr>
                            <w:rFonts w:eastAsia="Times New Roman" w:cs="Arial"/>
                            <w:szCs w:val="20"/>
                          </w:rPr>
                        </w:pPr>
                        <w:r>
                          <w:rPr>
                            <w:rFonts w:eastAsia="Times New Roman" w:cs="Arial"/>
                            <w:szCs w:val="20"/>
                          </w:rPr>
                          <w:t xml:space="preserve">Zona </w:t>
                        </w:r>
                      </w:p>
                      <w:p w14:paraId="13D788D5" w14:textId="77777777" w:rsidR="00C36A80" w:rsidRDefault="00C36A80" w:rsidP="00FC3A91">
                        <w:pPr>
                          <w:spacing w:after="0"/>
                          <w:rPr>
                            <w:rFonts w:eastAsia="Times New Roman" w:cs="Arial"/>
                            <w:szCs w:val="20"/>
                          </w:rPr>
                        </w:pPr>
                        <w:r>
                          <w:rPr>
                            <w:rFonts w:eastAsia="Times New Roman" w:cs="Arial"/>
                            <w:szCs w:val="20"/>
                          </w:rPr>
                          <w:t>exterioarǎ</w:t>
                        </w:r>
                      </w:p>
                    </w:txbxContent>
                  </v:textbox>
                </v:shape>
                <v:shape id="AutoShape 10" o:spid="_x0000_s1036" style="position:absolute;left:4076;top:902;width:1871;height:1439;flip:x;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" path="m4188,7668c5398,5113,7972,3483,10800,3484v2827,,5401,1629,6611,4184l20560,6176c18773,2404,14973,-1,10799,,6626,,2826,2404,1039,6176l4188,7668xe" strokeweight=".26mm">
                  <v:stroke joinstyle="miter" endcap="square"/>
                  <v:path o:connecttype="custom" o:connectlocs="936,0;226,461;936,232;1645,461" o:connectangles="0,0,0,0" textboxrect="196,0,21404,9397"/>
                </v:shape>
                <v:shape id="AutoShape 11" o:spid="_x0000_s1037" style="position:absolute;left:4076;top:1623;width:1871;height:1439;flip:x 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" path="m4188,7668c5398,5113,7972,3483,10800,3484v2827,,5401,1629,6611,4184l20560,6176c18773,2404,14973,-1,10799,,6626,,2826,2404,1039,6176l4188,7668xe" strokeweight=".26mm">
                  <v:stroke joinstyle="miter" endcap="square"/>
                  <v:path o:connecttype="custom" o:connectlocs="936,0;226,461;936,232;1645,461" o:connectangles="0,0,0,0" textboxrect="196,0,21404,9397"/>
                </v:shape>
                <v:shape id="AutoShape 12" o:spid="_x0000_s1038" style="position:absolute;left:4652;top:1046;width:1439;height:1871;rotation:-90;flip:x;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" path="m4188,7668c5398,5113,7972,3483,10800,3484v2827,,5401,1629,6611,4184l20560,6176c18773,2404,14973,-1,10799,,6626,,2826,2404,1039,6176l4188,7668xe" fillcolor="silver" strokeweight=".26mm">
                  <v:stroke joinstyle="miter" endcap="square"/>
                  <v:path o:connecttype="custom" o:connectlocs="720,0;174,600;720,302;1265,600" o:connectangles="0,0,0,0" textboxrect="195,0,21405,9397"/>
                </v:shape>
                <v:shape id="AutoShape 13" o:spid="_x0000_s1039" style="position:absolute;left:3933;top:1046;width:1439;height:1871;rotation:90;flip:x;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" path="m4188,7668c5398,5113,7972,3483,10800,3484v2827,,5401,1629,6611,4184l20560,6176c18773,2404,14973,-1,10799,,6626,,2826,2404,1039,6176l4188,7668xe" fillcolor="silver" strokeweight=".26mm">
                  <v:stroke joinstyle="miter" endcap="square"/>
                  <v:path o:connecttype="custom" o:connectlocs="720,0;174,600;720,302;1265,600" o:connectangles="0,0,0,0" textboxrect="195,0,21405,9397"/>
                </v:shape>
                <v:shape id="AutoShape 14" o:spid="_x0000_s1040" style="position:absolute;left:3500;top:470;width:3023;height:1583;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" path="m5936,8345c6862,6509,8743,5351,10800,5352v2056,,3937,1157,4863,2993l20441,5933c18604,2294,14876,-1,10799,,6723,,2995,2294,1158,5933l5936,8345xe" fillcolor="silver" strokeweight=".26mm">
                  <v:stroke joinstyle="miter" endcap="square"/>
                  <v:path o:connecttype="custom" o:connectlocs="1511,0;496,523;1511,392;2527,523" o:connectangles="0,0,0,0" textboxrect="264,0,21336,9606"/>
                </v:shape>
                <v:shape id="AutoShape 15" o:spid="_x0000_s1041" style="position:absolute;left:3500;top:1911;width:3023;height:1583;flip: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" path="m5936,8345c6862,6509,8743,5351,10800,5352v2056,,3937,1157,4863,2993l20441,5933c18604,2294,14876,-1,10799,,6723,,2995,2294,1158,5933l5936,8345xe" fillcolor="silver" strokeweight=".26mm">
                  <v:stroke joinstyle="miter" endcap="square"/>
                  <v:path o:connecttype="custom" o:connectlocs="1511,0;496,523;1511,392;2527,523" o:connectangles="0,0,0,0" textboxrect="264,0,21336,9606"/>
                </v:shape>
                <v:shape id="AutoShape 16" o:spid="_x0000_s1042" style="position:absolute;left:4941;top:326;width:1583;height:3023;rotation:90;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" path="m5936,8345c6862,6509,8743,5351,10800,5352v2056,,3937,1157,4863,2993l20441,5933c18604,2294,14876,-1,10799,,6723,,2995,2294,1158,5933l5936,8345xe" strokeweight=".26mm">
                  <v:stroke joinstyle="miter" endcap="square"/>
                  <v:path o:connecttype="custom" o:connectlocs="792,0;260,999;792,749;1323,999" o:connectangles="0,0,0,0" textboxrect="259,0,21341,9610"/>
                </v:shape>
                <v:shape id="AutoShape 17" o:spid="_x0000_s1043" style="position:absolute;left:3500;top:470;width:1583;height:3023;rotation:-90;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" path="m5936,8345c6862,6509,8743,5351,10800,5352v2056,,3937,1157,4863,2993l20441,5933c18604,2294,14876,-1,10799,,6723,,2995,2294,1158,5933l5936,8345xe" strokeweight=".26mm">
                  <v:stroke joinstyle="miter" endcap="square"/>
                  <v:path o:connecttype="custom" o:connectlocs="792,0;260,999;792,749;1323,999" o:connectangles="0,0,0,0" textboxrect="259,0,21341,9610"/>
                </v:shape>
                <v:rect id="Rectangle 18" o:spid="_x0000_s1044" style="position:absolute;left:3384;top:123;width:575;height:719;rotation:-3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" fillcolor="silver" strokeweight=".26mm">
                  <v:stroke endcap="square"/>
                </v:rect>
                <v:rect id="Rectangle 19" o:spid="_x0000_s1045" style="position:absolute;left:3212;top:3135;width:719;height:575;rotation:-1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" fillcolor="silver" strokeweight=".26mm">
                  <v:stroke endcap="square"/>
                </v:rect>
                <v:rect id="Rectangle 20" o:spid="_x0000_s1046" style="position:absolute;left:6092;top:182;width:719;height:575;rotation:-127;flip:x 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" fillcolor="silver" strokeweight=".26mm">
                  <v:stroke endcap="square"/>
                </v:rect>
                <v:rect id="Rectangle 21" o:spid="_x0000_s1047" style="position:absolute;left:6092;top:3208;width:575;height:719;rotation:1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" fillcolor="silver" strokeweight=".26mm">
                  <v:stroke endcap="square"/>
                </v:rect>
                <v:shape id="Freeform 22" o:spid="_x0000_s1048" style="position:absolute;left:3602;top:1451;width:1481;height:553;visibility:visible;mso-wrap-style:none;v-text-anchor:middle" coordsize="1482,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" path="m1482,554l,e" filled="f" strokeweight=".53mm">
                  <v:stroke endarrow="block" endcap="square"/>
                  <v:path arrowok="t" o:connecttype="custom" o:connectlocs="1481,553;0,0" o:connectangles="0,0"/>
                </v:shape>
                <v:shape id="Freeform 23" o:spid="_x0000_s1049" style="position:absolute;left:5084;top:1481;width:2357;height:542;visibility:visible;mso-wrap-style:none;v-text-anchor:middle" coordsize="2358,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" path="m,543l2358,e" filled="f" strokeweight=".53mm">
                  <v:stroke endarrow="block" endcap="square"/>
                  <v:path arrowok="t" o:connecttype="custom" o:connectlocs="0,542;2357,0" o:connectangles="0,0"/>
                </v:shape>
                <v:shape id="Text Box 24" o:spid="_x0000_s1050" type="#_x0000_t202" style="position:absolute;left:908;top:758;width:1584;height: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" stroked="f" strokecolor="#3465af">
                  <v:stroke joinstyle="round"/>
                  <v:textbox inset=".5mm,,.5mm">
                    <w:txbxContent>
                      <w:p w14:paraId="47EB750A" w14:textId="77777777" w:rsidR="00C36A80" w:rsidRPr="00C540F4" w:rsidRDefault="00C36A80" w:rsidP="00FC3A91">
                        <w:pPr>
                          <w:spacing w:after="0" w:line="240" w:lineRule="auto"/>
                          <w:rPr>
                            <w:rFonts w:eastAsia="Times New Roman" w:cs="Arial"/>
                            <w:sz w:val="20"/>
                            <w:szCs w:val="20"/>
                          </w:rPr>
                        </w:pPr>
                        <w:r w:rsidRPr="00C540F4">
                          <w:rPr>
                            <w:rFonts w:eastAsia="Times New Roman" w:cs="Arial"/>
                            <w:sz w:val="20"/>
                            <w:szCs w:val="20"/>
                          </w:rPr>
                          <w:t>Zona intermediarǎ</w:t>
                        </w:r>
                      </w:p>
                    </w:txbxContent>
                  </v:textbox>
                </v:shape>
                <v:shape id="Text Box 25" o:spid="_x0000_s1051" type="#_x0000_t202" style="position:absolute;left:4940;top:4490;width:1583;height: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" stroked="f" strokecolor="#3465af">
                  <v:stroke joinstyle="round"/>
                  <v:textbox inset=",.3mm,,.3mm">
                    <w:txbxContent>
                      <w:p w14:paraId="2652C215" w14:textId="77777777" w:rsidR="00C36A80" w:rsidRDefault="00C36A80" w:rsidP="00FC3A91">
                        <w:pPr>
                          <w:spacing w:after="0" w:line="240" w:lineRule="auto"/>
                          <w:rPr>
                            <w:rFonts w:eastAsia="Times New Roman" w:cs="Arial"/>
                            <w:szCs w:val="20"/>
                          </w:rPr>
                        </w:pPr>
                        <w:r>
                          <w:rPr>
                            <w:rFonts w:eastAsia="Times New Roman" w:cs="Arial"/>
                            <w:szCs w:val="20"/>
                          </w:rPr>
                          <w:t xml:space="preserve">Zona </w:t>
                        </w:r>
                      </w:p>
                      <w:p w14:paraId="4FEC6AEE" w14:textId="77777777" w:rsidR="00C36A80" w:rsidRDefault="00C36A80" w:rsidP="00FC3A91">
                        <w:pPr>
                          <w:spacing w:after="0" w:line="240" w:lineRule="auto"/>
                          <w:rPr>
                            <w:rFonts w:eastAsia="Times New Roman" w:cs="Arial"/>
                            <w:szCs w:val="20"/>
                          </w:rPr>
                        </w:pPr>
                        <w:r>
                          <w:rPr>
                            <w:rFonts w:eastAsia="Times New Roman" w:cs="Arial"/>
                            <w:szCs w:val="20"/>
                          </w:rPr>
                          <w:t>interioarǎ</w:t>
                        </w:r>
                      </w:p>
                    </w:txbxContent>
                  </v:textbox>
                </v:shape>
                <w10:wrap type="topAndBottom"/>
              </v:group>
            </w:pict>
          </mc:Fallback>
        </mc:AlternateContent>
      </w:r>
      <w:r w:rsidRPr="00FC3A91">
        <w:rPr>
          <w:rFonts w:ascii="Arial" w:hAnsi="Arial" w:cs="Arial"/>
          <w:kern w:val="1"/>
          <w:sz w:val="24"/>
          <w:szCs w:val="24"/>
          <w:lang w:val="es-ES" w:eastAsia="hi-IN" w:bidi="hi-IN"/>
        </w:rPr>
        <w:tab/>
      </w:r>
      <w:r w:rsidRPr="00FC3A91">
        <w:rPr>
          <w:rFonts w:ascii="Arial" w:hAnsi="Arial" w:cs="Arial"/>
          <w:kern w:val="1"/>
          <w:sz w:val="24"/>
          <w:szCs w:val="24"/>
          <w:lang w:val="es-ES" w:eastAsia="hi-IN" w:bidi="hi-IN"/>
        </w:rPr>
        <w:tab/>
      </w:r>
      <w:r w:rsidRPr="00FC3A91">
        <w:rPr>
          <w:rFonts w:ascii="Arial" w:hAnsi="Arial" w:cs="Arial"/>
          <w:kern w:val="1"/>
          <w:sz w:val="24"/>
          <w:szCs w:val="24"/>
          <w:lang w:val="es-ES" w:eastAsia="hi-IN" w:bidi="hi-IN"/>
        </w:rPr>
        <w:tab/>
      </w:r>
      <w:r w:rsidRPr="00FC3A91">
        <w:rPr>
          <w:rFonts w:ascii="Arial" w:hAnsi="Arial" w:cs="Mangal"/>
          <w:kern w:val="1"/>
          <w:position w:val="-12"/>
          <w:sz w:val="24"/>
          <w:szCs w:val="24"/>
          <w:lang w:eastAsia="hi-IN" w:bidi="hi-IN"/>
        </w:rPr>
        <w:object w:dxaOrig="1880" w:dyaOrig="400" w14:anchorId="65900CF2">
          <v:shape id="_x0000_i1027" type="#_x0000_t75" style="width:93.7pt;height:20.25pt" o:ole="" filled="t">
            <v:fill color2="black"/>
            <v:imagedata r:id="rId26" o:title=""/>
          </v:shape>
          <o:OLEObject Type="Embed" ProgID="Equation.3" ShapeID="_x0000_i1027" DrawAspect="Content" ObjectID="_1752652132" r:id="rId27"/>
        </w:object>
      </w:r>
    </w:p>
    <w:p w14:paraId="092A3CB4" w14:textId="77777777" w:rsidR="00D70AEA" w:rsidRPr="00D70AEA" w:rsidRDefault="00D70AEA" w:rsidP="00D70AEA">
      <w:pPr>
        <w:widowControl w:val="0"/>
        <w:suppressAutoHyphens/>
        <w:spacing w:after="0" w:line="360" w:lineRule="auto"/>
        <w:jc w:val="both"/>
        <w:rPr>
          <w:rFonts w:ascii="Arial" w:hAnsi="Arial" w:cs="Mangal"/>
          <w:kern w:val="1"/>
          <w:sz w:val="24"/>
          <w:szCs w:val="24"/>
          <w:lang w:eastAsia="hi-IN" w:bidi="hi-IN"/>
        </w:rPr>
      </w:pPr>
    </w:p>
    <w:p w14:paraId="34677F16" w14:textId="256B40BC" w:rsidR="00D70AEA" w:rsidRPr="00BF3E42" w:rsidRDefault="007D5772" w:rsidP="007D5772">
      <w:pPr>
        <w:pStyle w:val="Legend"/>
        <w:jc w:val="center"/>
        <w:rPr>
          <w:rFonts w:ascii="Arial" w:hAnsi="Arial" w:cs="Arial"/>
          <w:i w:val="0"/>
          <w:iCs w:val="0"/>
          <w:kern w:val="1"/>
          <w:sz w:val="22"/>
          <w:szCs w:val="22"/>
          <w:lang w:val="es-ES" w:eastAsia="hi-IN" w:bidi="hi-IN"/>
        </w:rPr>
      </w:pPr>
      <w:bookmarkStart w:id="22" w:name="_Toc66287168"/>
      <w:bookmarkStart w:id="23" w:name="_Toc140744434"/>
      <w:r w:rsidRPr="00BF3E42">
        <w:rPr>
          <w:rFonts w:ascii="Arial" w:hAnsi="Arial" w:cs="Arial"/>
          <w:sz w:val="22"/>
          <w:szCs w:val="22"/>
        </w:rPr>
        <w:t xml:space="preserve">Figura I.1. </w:t>
      </w:r>
      <w:r w:rsidRPr="00BF3E42">
        <w:rPr>
          <w:rFonts w:ascii="Arial" w:hAnsi="Arial" w:cs="Arial"/>
          <w:sz w:val="22"/>
          <w:szCs w:val="22"/>
        </w:rPr>
        <w:fldChar w:fldCharType="begin"/>
      </w:r>
      <w:r w:rsidRPr="00BF3E42">
        <w:rPr>
          <w:rFonts w:ascii="Arial" w:hAnsi="Arial" w:cs="Arial"/>
          <w:sz w:val="22"/>
          <w:szCs w:val="22"/>
        </w:rPr>
        <w:instrText xml:space="preserve"> SEQ Figura_I.1. \* ARABIC </w:instrText>
      </w:r>
      <w:r w:rsidRPr="00BF3E42">
        <w:rPr>
          <w:rFonts w:ascii="Arial" w:hAnsi="Arial" w:cs="Arial"/>
          <w:sz w:val="22"/>
          <w:szCs w:val="22"/>
        </w:rPr>
        <w:fldChar w:fldCharType="separate"/>
      </w:r>
      <w:r w:rsidR="00BB181C">
        <w:rPr>
          <w:rFonts w:ascii="Arial" w:hAnsi="Arial" w:cs="Arial"/>
          <w:noProof/>
          <w:sz w:val="22"/>
          <w:szCs w:val="22"/>
        </w:rPr>
        <w:t>3</w:t>
      </w:r>
      <w:r w:rsidRPr="00BF3E42">
        <w:rPr>
          <w:rFonts w:ascii="Arial" w:hAnsi="Arial" w:cs="Arial"/>
          <w:sz w:val="22"/>
          <w:szCs w:val="22"/>
        </w:rPr>
        <w:fldChar w:fldCharType="end"/>
      </w:r>
      <w:r w:rsidRPr="00BF3E42">
        <w:rPr>
          <w:rFonts w:ascii="Arial" w:hAnsi="Arial" w:cs="Arial"/>
          <w:sz w:val="22"/>
          <w:szCs w:val="22"/>
        </w:rPr>
        <w:t xml:space="preserve"> </w:t>
      </w:r>
      <w:r w:rsidR="005512E5" w:rsidRPr="00BF3E42">
        <w:rPr>
          <w:rFonts w:ascii="Arial" w:hAnsi="Arial" w:cs="Arial"/>
          <w:sz w:val="22"/>
          <w:szCs w:val="22"/>
        </w:rPr>
        <w:t xml:space="preserve">- </w:t>
      </w:r>
      <w:r w:rsidR="00D70AEA" w:rsidRPr="00BF3E42">
        <w:rPr>
          <w:rFonts w:ascii="Arial" w:hAnsi="Arial" w:cs="Arial"/>
          <w:i w:val="0"/>
          <w:iCs w:val="0"/>
          <w:kern w:val="1"/>
          <w:sz w:val="22"/>
          <w:szCs w:val="22"/>
          <w:lang w:val="es-ES" w:eastAsia="hi-IN" w:bidi="hi-IN"/>
        </w:rPr>
        <w:t>Imaginea simplificatǎ a unui oraș (cu evidențierea „penuriei” de cǎi de deplasare ȋn centrul orașului)</w:t>
      </w:r>
      <w:bookmarkEnd w:id="22"/>
      <w:bookmarkEnd w:id="23"/>
    </w:p>
    <w:p w14:paraId="01834397" w14:textId="77777777" w:rsidR="00D70AEA" w:rsidRPr="00D70AEA" w:rsidRDefault="00D70AEA" w:rsidP="00D70AEA">
      <w:pPr>
        <w:widowControl w:val="0"/>
        <w:suppressAutoHyphens/>
        <w:autoSpaceDE w:val="0"/>
        <w:spacing w:after="0" w:line="360" w:lineRule="auto"/>
        <w:jc w:val="both"/>
        <w:rPr>
          <w:rFonts w:ascii="Arial" w:hAnsi="Arial" w:cs="Arial"/>
          <w:kern w:val="1"/>
          <w:sz w:val="20"/>
          <w:szCs w:val="24"/>
          <w:lang w:val="es-ES" w:eastAsia="hi-IN" w:bidi="hi-IN"/>
        </w:rPr>
      </w:pPr>
    </w:p>
    <w:p w14:paraId="23C4AE1B" w14:textId="77777777" w:rsidR="00D70AEA" w:rsidRPr="005512E5" w:rsidRDefault="00D70AEA" w:rsidP="00691917">
      <w:pPr>
        <w:widowControl w:val="0"/>
        <w:suppressAutoHyphens/>
        <w:spacing w:after="0" w:line="276" w:lineRule="auto"/>
        <w:jc w:val="both"/>
        <w:rPr>
          <w:rFonts w:ascii="Arial" w:hAnsi="Arial" w:cs="Arial"/>
          <w:kern w:val="1"/>
          <w:lang w:eastAsia="hi-IN" w:bidi="hi-IN"/>
        </w:rPr>
      </w:pPr>
      <w:r w:rsidRPr="005512E5">
        <w:rPr>
          <w:rFonts w:ascii="Arial" w:hAnsi="Arial" w:cs="Arial"/>
          <w:kern w:val="1"/>
          <w:lang w:eastAsia="hi-IN" w:bidi="hi-IN"/>
        </w:rPr>
        <w:t>adică:</w:t>
      </w:r>
    </w:p>
    <w:p w14:paraId="4B5808C4" w14:textId="77777777" w:rsidR="00D70AEA" w:rsidRPr="005512E5" w:rsidRDefault="00D70AEA" w:rsidP="006B613A">
      <w:pPr>
        <w:widowControl w:val="0"/>
        <w:numPr>
          <w:ilvl w:val="0"/>
          <w:numId w:val="9"/>
        </w:numPr>
        <w:suppressAutoHyphens/>
        <w:spacing w:after="0" w:line="276" w:lineRule="auto"/>
        <w:jc w:val="both"/>
        <w:rPr>
          <w:rFonts w:ascii="Arial" w:hAnsi="Arial" w:cs="Mangal"/>
          <w:kern w:val="1"/>
          <w:lang w:eastAsia="hi-IN" w:bidi="hi-IN"/>
        </w:rPr>
      </w:pPr>
      <w:r w:rsidRPr="005512E5">
        <w:rPr>
          <w:rFonts w:ascii="Arial" w:hAnsi="Arial" w:cs="Arial"/>
          <w:kern w:val="1"/>
          <w:lang w:eastAsia="hi-IN" w:bidi="hi-IN"/>
        </w:rPr>
        <w:t xml:space="preserve">dacă în zona exterioară 10%, respectiv 90% reprezintă o partajare acceptabilă a suprafeţelor oraşului între căi şi restul construcţiilor şi amenajărilor, atunci pe o rază de peste 1,5 km centrul oraşului ar trebui să fie gol: numai străzi şi locuri de parcare fără niciun alt fel de construcţie sau amenajare, dacă se doreşte eliminarea posibilităţii de apariţie a congestiei în trafic; concret: (ȋn termeni relativi) pe aproape toata suprafata sa, orașul ar trebui sǎ fie liber de orice construcție sau amenajare pentru ca deplasarea mijloacelor de transport sǎ nu fie ȋngrǎditǎ (sǎ se desfǎșoare cu aceeași vitezǎ ca pe arterele situate la marginea municipiului </w:t>
      </w:r>
      <w:r w:rsidRPr="005512E5">
        <w:rPr>
          <w:rFonts w:ascii="Arial" w:hAnsi="Arial" w:cs="Times New Roman"/>
          <w:kern w:val="1"/>
          <w:lang w:eastAsia="hi-IN" w:bidi="hi-IN"/>
        </w:rPr>
        <w:t>–</w:t>
      </w:r>
      <w:r w:rsidRPr="005512E5">
        <w:rPr>
          <w:rFonts w:ascii="Arial" w:hAnsi="Arial" w:cs="Arial"/>
          <w:kern w:val="1"/>
          <w:lang w:eastAsia="hi-IN" w:bidi="hi-IN"/>
        </w:rPr>
        <w:t xml:space="preserve"> fig. I.1.4);  </w:t>
      </w:r>
    </w:p>
    <w:p w14:paraId="0B552D12" w14:textId="77777777" w:rsidR="00D70AEA" w:rsidRPr="005512E5" w:rsidRDefault="00D70AEA" w:rsidP="006B613A">
      <w:pPr>
        <w:widowControl w:val="0"/>
        <w:numPr>
          <w:ilvl w:val="0"/>
          <w:numId w:val="13"/>
        </w:numPr>
        <w:suppressAutoHyphens/>
        <w:spacing w:after="0" w:line="276" w:lineRule="auto"/>
        <w:jc w:val="both"/>
        <w:rPr>
          <w:rFonts w:ascii="Arial" w:eastAsia="Times New Roman" w:hAnsi="Arial" w:cs="Arial"/>
          <w:lang w:val="ro-RO" w:eastAsia="zh-CN"/>
        </w:rPr>
      </w:pPr>
      <w:r w:rsidRPr="005512E5">
        <w:rPr>
          <w:rFonts w:ascii="Arial" w:eastAsia="Times New Roman" w:hAnsi="Arial" w:cs="Arial"/>
          <w:lang w:val="ro-RO" w:eastAsia="zh-CN"/>
        </w:rPr>
        <w:t>pe zona intermediară păstrarea constantă a suprafeţei alocate căilor partajează aproximativ egalitarist suprafeţele: 40% pentru artere, 60% pentru restul utilităţilor.</w:t>
      </w:r>
    </w:p>
    <w:p w14:paraId="5DAECFDF" w14:textId="77777777" w:rsidR="00D70AEA" w:rsidRPr="00D70AEA" w:rsidRDefault="00FC3A91" w:rsidP="00D70AEA">
      <w:pPr>
        <w:suppressAutoHyphens/>
        <w:spacing w:after="0" w:line="360" w:lineRule="auto"/>
        <w:jc w:val="both"/>
        <w:rPr>
          <w:rFonts w:ascii="Arial" w:eastAsia="Times New Roman" w:hAnsi="Arial" w:cs="Arial"/>
          <w:sz w:val="24"/>
          <w:szCs w:val="20"/>
          <w:lang w:val="ro-RO" w:eastAsia="zh-CN"/>
        </w:rPr>
      </w:pPr>
      <w:r w:rsidRPr="00FC3A91">
        <w:rPr>
          <w:rFonts w:ascii="Arial" w:eastAsia="Times New Roman" w:hAnsi="Arial" w:cs="Arial"/>
          <w:noProof/>
          <w:sz w:val="24"/>
          <w:szCs w:val="20"/>
        </w:rPr>
        <w:lastRenderedPageBreak/>
        <w:drawing>
          <wp:inline distT="0" distB="0" distL="0" distR="0" wp14:anchorId="624D8225" wp14:editId="5286A44D">
            <wp:extent cx="6129655" cy="3475355"/>
            <wp:effectExtent l="0" t="0" r="4445" b="0"/>
            <wp:docPr id="149" name="Picture 149" descr="E:\Horezu\Materiale lucru\Zone conges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Horezu\Materiale lucru\Zone congestie.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9655" cy="3475355"/>
                    </a:xfrm>
                    <a:prstGeom prst="rect">
                      <a:avLst/>
                    </a:prstGeom>
                    <a:noFill/>
                    <a:ln>
                      <a:noFill/>
                    </a:ln>
                  </pic:spPr>
                </pic:pic>
              </a:graphicData>
            </a:graphic>
          </wp:inline>
        </w:drawing>
      </w:r>
    </w:p>
    <w:p w14:paraId="16699108" w14:textId="4B19611E" w:rsidR="00D70AEA" w:rsidRPr="00BF3E42" w:rsidRDefault="00BF3E42" w:rsidP="00BF3E42">
      <w:pPr>
        <w:pStyle w:val="Legend"/>
        <w:tabs>
          <w:tab w:val="center" w:pos="4826"/>
          <w:tab w:val="right" w:pos="9653"/>
        </w:tabs>
        <w:rPr>
          <w:rFonts w:ascii="Arial" w:hAnsi="Arial" w:cs="Arial"/>
          <w:i w:val="0"/>
          <w:iCs w:val="0"/>
          <w:kern w:val="1"/>
          <w:sz w:val="22"/>
          <w:szCs w:val="22"/>
          <w:lang w:val="es-ES" w:eastAsia="hi-IN" w:bidi="hi-IN"/>
        </w:rPr>
      </w:pPr>
      <w:bookmarkStart w:id="24" w:name="_Toc66287169"/>
      <w:r w:rsidRPr="00BF3E42">
        <w:rPr>
          <w:rFonts w:ascii="Arial" w:hAnsi="Arial" w:cs="Arial"/>
          <w:sz w:val="22"/>
          <w:szCs w:val="22"/>
        </w:rPr>
        <w:tab/>
      </w:r>
      <w:bookmarkStart w:id="25" w:name="_Toc140744435"/>
      <w:r w:rsidR="007D5772" w:rsidRPr="00BF3E42">
        <w:rPr>
          <w:rFonts w:ascii="Arial" w:hAnsi="Arial" w:cs="Arial"/>
          <w:sz w:val="22"/>
          <w:szCs w:val="22"/>
        </w:rPr>
        <w:t xml:space="preserve">Figura I.1. </w:t>
      </w:r>
      <w:r w:rsidR="007D5772" w:rsidRPr="00BF3E42">
        <w:rPr>
          <w:rFonts w:ascii="Arial" w:hAnsi="Arial" w:cs="Arial"/>
          <w:sz w:val="22"/>
          <w:szCs w:val="22"/>
        </w:rPr>
        <w:fldChar w:fldCharType="begin"/>
      </w:r>
      <w:r w:rsidR="007D5772" w:rsidRPr="00BF3E42">
        <w:rPr>
          <w:rFonts w:ascii="Arial" w:hAnsi="Arial" w:cs="Arial"/>
          <w:sz w:val="22"/>
          <w:szCs w:val="22"/>
        </w:rPr>
        <w:instrText xml:space="preserve"> SEQ Figura_I.1. \* ARABIC </w:instrText>
      </w:r>
      <w:r w:rsidR="007D5772" w:rsidRPr="00BF3E42">
        <w:rPr>
          <w:rFonts w:ascii="Arial" w:hAnsi="Arial" w:cs="Arial"/>
          <w:sz w:val="22"/>
          <w:szCs w:val="22"/>
        </w:rPr>
        <w:fldChar w:fldCharType="separate"/>
      </w:r>
      <w:r w:rsidR="00BB181C">
        <w:rPr>
          <w:rFonts w:ascii="Arial" w:hAnsi="Arial" w:cs="Arial"/>
          <w:noProof/>
          <w:sz w:val="22"/>
          <w:szCs w:val="22"/>
        </w:rPr>
        <w:t>4</w:t>
      </w:r>
      <w:r w:rsidR="007D5772" w:rsidRPr="00BF3E42">
        <w:rPr>
          <w:rFonts w:ascii="Arial" w:hAnsi="Arial" w:cs="Arial"/>
          <w:sz w:val="22"/>
          <w:szCs w:val="22"/>
        </w:rPr>
        <w:fldChar w:fldCharType="end"/>
      </w:r>
      <w:r w:rsidR="007D5772" w:rsidRPr="00BF3E42">
        <w:rPr>
          <w:rFonts w:ascii="Arial" w:hAnsi="Arial" w:cs="Arial"/>
          <w:sz w:val="22"/>
          <w:szCs w:val="22"/>
        </w:rPr>
        <w:t xml:space="preserve"> </w:t>
      </w:r>
      <w:r w:rsidR="005512E5" w:rsidRPr="00BF3E42">
        <w:rPr>
          <w:rFonts w:ascii="Arial" w:hAnsi="Arial" w:cs="Arial"/>
          <w:sz w:val="22"/>
          <w:szCs w:val="22"/>
        </w:rPr>
        <w:t xml:space="preserve">- </w:t>
      </w:r>
      <w:r w:rsidR="00D70AEA" w:rsidRPr="00BF3E42">
        <w:rPr>
          <w:rFonts w:ascii="Arial" w:hAnsi="Arial" w:cs="Arial"/>
          <w:i w:val="0"/>
          <w:iCs w:val="0"/>
          <w:kern w:val="1"/>
          <w:sz w:val="22"/>
          <w:szCs w:val="22"/>
          <w:lang w:val="es-ES" w:eastAsia="hi-IN" w:bidi="hi-IN"/>
        </w:rPr>
        <w:t>Repartizarea suprafețelor pentru un grad „constant” de congestie a circulației</w:t>
      </w:r>
      <w:bookmarkEnd w:id="24"/>
      <w:bookmarkEnd w:id="25"/>
      <w:r w:rsidRPr="00BF3E42">
        <w:rPr>
          <w:rFonts w:ascii="Arial" w:hAnsi="Arial" w:cs="Arial"/>
          <w:i w:val="0"/>
          <w:iCs w:val="0"/>
          <w:kern w:val="1"/>
          <w:sz w:val="22"/>
          <w:szCs w:val="22"/>
          <w:lang w:val="es-ES" w:eastAsia="hi-IN" w:bidi="hi-IN"/>
        </w:rPr>
        <w:tab/>
      </w:r>
    </w:p>
    <w:p w14:paraId="6AED8C69" w14:textId="77777777" w:rsidR="00D70AEA" w:rsidRPr="00D70AEA" w:rsidRDefault="00D70AEA" w:rsidP="00D70AEA">
      <w:pPr>
        <w:widowControl w:val="0"/>
        <w:suppressAutoHyphens/>
        <w:autoSpaceDE w:val="0"/>
        <w:spacing w:after="0" w:line="360" w:lineRule="auto"/>
        <w:jc w:val="both"/>
        <w:rPr>
          <w:rFonts w:ascii="Arial" w:hAnsi="Arial" w:cs="Arial"/>
          <w:kern w:val="1"/>
          <w:sz w:val="20"/>
          <w:szCs w:val="24"/>
          <w:lang w:val="es-ES" w:eastAsia="hi-IN" w:bidi="hi-IN"/>
        </w:rPr>
      </w:pPr>
    </w:p>
    <w:p w14:paraId="3630944D" w14:textId="77777777" w:rsidR="00FC3A91" w:rsidRPr="00FC3A91" w:rsidRDefault="00FC3A91" w:rsidP="00FC3A91">
      <w:pPr>
        <w:suppressAutoHyphens/>
        <w:spacing w:after="0" w:line="276" w:lineRule="auto"/>
        <w:jc w:val="both"/>
        <w:rPr>
          <w:rFonts w:ascii="Arial" w:eastAsia="Times New Roman" w:hAnsi="Arial" w:cs="Arial"/>
          <w:lang w:val="fr-FR" w:eastAsia="zh-CN"/>
        </w:rPr>
      </w:pPr>
      <w:r w:rsidRPr="00FC3A91">
        <w:rPr>
          <w:rFonts w:ascii="Arial" w:eastAsia="Times New Roman" w:hAnsi="Arial" w:cs="Arial"/>
          <w:lang w:val="ro-RO" w:eastAsia="zh-CN"/>
        </w:rPr>
        <w:t xml:space="preserve">Evident o atare ȋmpǎrțire a suprafeței orașului nu este realizabilǎ: ca urmare, </w:t>
      </w:r>
      <w:r w:rsidRPr="00FC3A91">
        <w:rPr>
          <w:rFonts w:ascii="Arial" w:eastAsia="Times New Roman" w:hAnsi="Arial" w:cs="Arial"/>
          <w:b/>
          <w:lang w:val="ro-RO" w:eastAsia="zh-CN"/>
        </w:rPr>
        <w:t>numai prin mǎsuri organizatorice dure, hotǎrȃte, se poate reduce congestia</w:t>
      </w:r>
      <w:r w:rsidRPr="00FC3A91">
        <w:rPr>
          <w:rFonts w:ascii="Arial" w:eastAsia="Times New Roman" w:hAnsi="Arial" w:cs="Arial"/>
          <w:lang w:val="ro-RO" w:eastAsia="zh-CN"/>
        </w:rPr>
        <w:t xml:space="preserve"> de pe cǎile de circulație distribuite ȋn centrul orașului, ȋn caz contrar rezolvarea problemelor de mobilitate pentru toți locuitorii orasului Horezu devine o țintǎ imposibil de atins – dacǎ evoluția economicǎ, demograficǎ, socialǎ, etc. ȋși pǎstreazǎ trendul actual. Ȋn concluzie: din moment ce rezolvarea congestiei este imposibilǎ acționȃnd numai ȋn centrul orașului, este necesarǎ o acțiune concertatǎ cu localizarea de origine „mai ȋn afara centrului” pentru a diminua efectele lipsei de spațiu.</w:t>
      </w:r>
    </w:p>
    <w:p w14:paraId="00B62711" w14:textId="77777777" w:rsidR="00FC3A91" w:rsidRPr="00FC3A91" w:rsidRDefault="00FC3A91" w:rsidP="00FC3A91">
      <w:pPr>
        <w:widowControl w:val="0"/>
        <w:suppressAutoHyphens/>
        <w:spacing w:after="0" w:line="276" w:lineRule="auto"/>
        <w:jc w:val="both"/>
        <w:rPr>
          <w:rFonts w:ascii="Arial" w:hAnsi="Arial" w:cs="Arial"/>
          <w:kern w:val="1"/>
          <w:lang w:val="fr-FR" w:eastAsia="hi-IN" w:bidi="hi-IN"/>
        </w:rPr>
      </w:pPr>
    </w:p>
    <w:p w14:paraId="67056987" w14:textId="77777777" w:rsidR="00FC3A91" w:rsidRPr="00FC3A91" w:rsidRDefault="00FC3A91" w:rsidP="00FC3A91">
      <w:pPr>
        <w:widowControl w:val="0"/>
        <w:suppressAutoHyphens/>
        <w:spacing w:after="0" w:line="276" w:lineRule="auto"/>
        <w:jc w:val="both"/>
        <w:rPr>
          <w:rFonts w:ascii="Arial" w:hAnsi="Arial" w:cs="Arial"/>
          <w:kern w:val="1"/>
          <w:lang w:val="ro-RO" w:eastAsia="hi-IN" w:bidi="hi-IN"/>
        </w:rPr>
      </w:pPr>
      <w:r w:rsidRPr="00FC3A91">
        <w:rPr>
          <w:rFonts w:ascii="Arial" w:hAnsi="Arial" w:cs="Arial"/>
          <w:b/>
          <w:kern w:val="1"/>
          <w:lang w:val="fr-FR" w:eastAsia="hi-IN" w:bidi="hi-IN"/>
        </w:rPr>
        <w:t xml:space="preserve">Problema adiacentei aglomerǎrii urbane </w:t>
      </w:r>
    </w:p>
    <w:p w14:paraId="55AE3C48" w14:textId="77777777" w:rsidR="00FC3A91" w:rsidRPr="00FC3A91" w:rsidRDefault="00FC3A91" w:rsidP="00FC3A91">
      <w:pPr>
        <w:suppressAutoHyphens/>
        <w:spacing w:after="0" w:line="276" w:lineRule="auto"/>
        <w:jc w:val="both"/>
        <w:rPr>
          <w:rFonts w:ascii="Arial" w:eastAsia="Times New Roman" w:hAnsi="Arial" w:cs="Arial"/>
          <w:b/>
          <w:lang w:val="fr-FR" w:eastAsia="zh-CN"/>
        </w:rPr>
      </w:pPr>
      <w:r w:rsidRPr="00FC3A91">
        <w:rPr>
          <w:rFonts w:ascii="Arial" w:eastAsia="Times New Roman" w:hAnsi="Arial" w:cs="Arial"/>
          <w:lang w:val="ro-RO" w:eastAsia="zh-CN"/>
        </w:rPr>
        <w:t xml:space="preserve">Ȋntrebarea „cȃt de ȋn afara centrului” trebuie localizatǎ originea acțiunilor pentru delimitarea ariei geografice corespunzǎtoare PMUD poate primi rǎspuns analizȃnd </w:t>
      </w:r>
      <w:r w:rsidRPr="00FC3A91">
        <w:rPr>
          <w:rFonts w:ascii="Arial" w:eastAsia="Times New Roman" w:hAnsi="Arial" w:cs="Arial"/>
          <w:b/>
          <w:lang w:val="ro-RO" w:eastAsia="zh-CN"/>
        </w:rPr>
        <w:t>ȋntreaga suprafațǎ care genereazǎ deplasari</w:t>
      </w:r>
      <w:r w:rsidRPr="00FC3A91">
        <w:rPr>
          <w:rFonts w:ascii="Arial" w:eastAsia="Times New Roman" w:hAnsi="Arial" w:cs="Arial"/>
          <w:lang w:val="ro-RO" w:eastAsia="zh-CN"/>
        </w:rPr>
        <w:t>.</w:t>
      </w:r>
    </w:p>
    <w:p w14:paraId="184B6C1A" w14:textId="77777777" w:rsidR="00FC3A91" w:rsidRPr="00FC3A91" w:rsidRDefault="00FC3A91" w:rsidP="00FC3A91">
      <w:pPr>
        <w:widowControl w:val="0"/>
        <w:suppressAutoHyphens/>
        <w:autoSpaceDE w:val="0"/>
        <w:spacing w:after="0" w:line="276" w:lineRule="auto"/>
        <w:jc w:val="both"/>
        <w:rPr>
          <w:rFonts w:ascii="Arial" w:hAnsi="Arial" w:cs="Arial"/>
          <w:b/>
          <w:kern w:val="1"/>
          <w:lang w:val="fr-FR" w:eastAsia="hi-IN" w:bidi="hi-IN"/>
        </w:rPr>
      </w:pPr>
    </w:p>
    <w:p w14:paraId="207EE209" w14:textId="77777777" w:rsidR="00FC3A91" w:rsidRPr="00FC3A91" w:rsidRDefault="00FC3A91" w:rsidP="00FC3A91">
      <w:pPr>
        <w:widowControl w:val="0"/>
        <w:suppressAutoHyphens/>
        <w:autoSpaceDE w:val="0"/>
        <w:spacing w:after="0" w:line="276" w:lineRule="auto"/>
        <w:jc w:val="both"/>
        <w:rPr>
          <w:rFonts w:ascii="Arial" w:hAnsi="Arial" w:cs="Arial"/>
          <w:kern w:val="1"/>
          <w:lang w:val="es-ES" w:eastAsia="hi-IN" w:bidi="hi-IN"/>
        </w:rPr>
      </w:pPr>
      <w:r w:rsidRPr="00FC3A91">
        <w:rPr>
          <w:rFonts w:ascii="Arial" w:hAnsi="Arial" w:cs="Arial"/>
          <w:iCs/>
          <w:kern w:val="1"/>
          <w:lang w:val="fr-FR" w:eastAsia="hi-IN" w:bidi="hi-IN"/>
        </w:rPr>
        <w:t xml:space="preserve">Geografia urbană </w:t>
      </w:r>
      <w:r w:rsidRPr="00FC3A91">
        <w:rPr>
          <w:rFonts w:ascii="Arial" w:hAnsi="Arial" w:cs="Arial"/>
          <w:kern w:val="1"/>
          <w:lang w:val="fr-FR" w:eastAsia="hi-IN" w:bidi="hi-IN"/>
        </w:rPr>
        <w:t xml:space="preserve">studiază apariţia, structura internă şi dinamica oraşului, raportul său cu teritoriul adiacent, relaţiile cu alte aşezări, repartiţia geografică şi rolul oraşelor în structurarea spaţiului. </w:t>
      </w:r>
      <w:r w:rsidRPr="00FC3A91">
        <w:rPr>
          <w:rFonts w:ascii="Arial" w:hAnsi="Arial" w:cs="Arial"/>
          <w:iCs/>
          <w:kern w:val="1"/>
          <w:lang w:val="fr-FR" w:eastAsia="hi-IN" w:bidi="hi-IN"/>
        </w:rPr>
        <w:t xml:space="preserve">Oraşul </w:t>
      </w:r>
      <w:r w:rsidRPr="00FC3A91">
        <w:rPr>
          <w:rFonts w:ascii="Arial" w:hAnsi="Arial" w:cs="Arial"/>
          <w:kern w:val="1"/>
          <w:lang w:val="fr-FR" w:eastAsia="hi-IN" w:bidi="hi-IN"/>
        </w:rPr>
        <w:t xml:space="preserve">reprezintă principalul său obiect de studiu, la care se adaugă alte categorii de aşezări urbane (aşezări de tip proto-urban, comune suburbane, localităţi rurale asimilate urbanului, etc.), inclusiv aşezările rurale cu spaţiul lor de susţinere, aflate sub influenţa sa directă. </w:t>
      </w:r>
      <w:r w:rsidRPr="00FC3A91">
        <w:rPr>
          <w:rFonts w:ascii="Arial" w:hAnsi="Arial" w:cs="Arial"/>
          <w:kern w:val="1"/>
          <w:lang w:val="es-ES" w:eastAsia="hi-IN" w:bidi="hi-IN"/>
        </w:rPr>
        <w:t>În acest sens se poate afirma că g</w:t>
      </w:r>
      <w:r w:rsidRPr="00FC3A91">
        <w:rPr>
          <w:rFonts w:ascii="Arial" w:hAnsi="Arial" w:cs="Arial"/>
          <w:iCs/>
          <w:kern w:val="1"/>
          <w:lang w:val="es-ES" w:eastAsia="hi-IN" w:bidi="hi-IN"/>
        </w:rPr>
        <w:t xml:space="preserve">eografia urbană </w:t>
      </w:r>
      <w:r w:rsidRPr="00FC3A91">
        <w:rPr>
          <w:rFonts w:ascii="Arial" w:hAnsi="Arial" w:cs="Arial"/>
          <w:kern w:val="1"/>
          <w:lang w:val="es-ES" w:eastAsia="hi-IN" w:bidi="hi-IN"/>
        </w:rPr>
        <w:t xml:space="preserve">ca ştiinţă, se ocupă cu analiza dimensiunilor spaţiale ale fenomenului urban </w:t>
      </w:r>
      <w:r w:rsidRPr="00FC3A91">
        <w:rPr>
          <w:rFonts w:ascii="Arial" w:hAnsi="Arial" w:cs="Arial"/>
          <w:b/>
          <w:kern w:val="1"/>
          <w:lang w:val="es-ES" w:eastAsia="hi-IN" w:bidi="hi-IN"/>
        </w:rPr>
        <w:t>(distribuţie, structură şi proces).</w:t>
      </w:r>
    </w:p>
    <w:p w14:paraId="3EB23CC6" w14:textId="77777777" w:rsidR="00FC3A91" w:rsidRPr="00FC3A91" w:rsidRDefault="00FC3A91" w:rsidP="00FC3A91">
      <w:pPr>
        <w:widowControl w:val="0"/>
        <w:suppressAutoHyphens/>
        <w:autoSpaceDE w:val="0"/>
        <w:spacing w:after="0" w:line="276" w:lineRule="auto"/>
        <w:jc w:val="both"/>
        <w:rPr>
          <w:rFonts w:ascii="Arial" w:hAnsi="Arial" w:cs="Arial"/>
          <w:kern w:val="1"/>
          <w:lang w:val="es-ES" w:eastAsia="hi-IN" w:bidi="hi-IN"/>
        </w:rPr>
      </w:pPr>
    </w:p>
    <w:p w14:paraId="56D25909" w14:textId="77777777" w:rsidR="00FC3A91" w:rsidRPr="00FC3A91" w:rsidRDefault="00FC3A91" w:rsidP="00FC3A91">
      <w:pPr>
        <w:widowControl w:val="0"/>
        <w:suppressAutoHyphens/>
        <w:autoSpaceDE w:val="0"/>
        <w:spacing w:after="0" w:line="276" w:lineRule="auto"/>
        <w:jc w:val="both"/>
        <w:rPr>
          <w:rFonts w:ascii="Arial" w:hAnsi="Arial" w:cs="Arial"/>
          <w:kern w:val="1"/>
          <w:lang w:val="es-ES" w:eastAsia="hi-IN" w:bidi="hi-IN"/>
        </w:rPr>
      </w:pPr>
      <w:r w:rsidRPr="00FC3A91">
        <w:rPr>
          <w:rFonts w:ascii="Arial" w:hAnsi="Arial" w:cs="Arial"/>
          <w:kern w:val="1"/>
          <w:lang w:val="es-ES" w:eastAsia="hi-IN" w:bidi="hi-IN"/>
        </w:rPr>
        <w:t xml:space="preserve">Prin definiţie, </w:t>
      </w:r>
      <w:r w:rsidRPr="00FC3A91">
        <w:rPr>
          <w:rFonts w:ascii="Arial" w:hAnsi="Arial" w:cs="Arial"/>
          <w:iCs/>
          <w:kern w:val="1"/>
          <w:lang w:val="es-ES" w:eastAsia="hi-IN" w:bidi="hi-IN"/>
        </w:rPr>
        <w:t xml:space="preserve">spaţiul urban </w:t>
      </w:r>
      <w:r w:rsidRPr="00FC3A91">
        <w:rPr>
          <w:rFonts w:ascii="Arial" w:hAnsi="Arial" w:cs="Arial"/>
          <w:kern w:val="1"/>
          <w:lang w:val="es-ES" w:eastAsia="hi-IN" w:bidi="hi-IN"/>
        </w:rPr>
        <w:t xml:space="preserve">reprezintă un spaţiu cu un anumit conţinut, structură şi organizare specifică, fiind o manifestare concretă a efectului interacţiunii în timp a spaţiilor demografice, sociale şi economice, proiectate pe spaţiul fizic. </w:t>
      </w:r>
      <w:r w:rsidRPr="00FC3A91">
        <w:rPr>
          <w:rFonts w:ascii="Arial" w:hAnsi="Arial" w:cs="Arial"/>
          <w:iCs/>
          <w:kern w:val="1"/>
          <w:lang w:val="es-ES" w:eastAsia="hi-IN" w:bidi="hi-IN"/>
        </w:rPr>
        <w:t>Spaţiul geografic</w:t>
      </w:r>
      <w:r w:rsidRPr="00FC3A91">
        <w:rPr>
          <w:rFonts w:ascii="Arial" w:hAnsi="Arial" w:cs="Arial"/>
          <w:kern w:val="1"/>
          <w:lang w:val="es-ES" w:eastAsia="hi-IN" w:bidi="hi-IN"/>
        </w:rPr>
        <w:t xml:space="preserve">, ca entitate majoră de existenţă şi percepere a obiectelor şi structurilor geografice, aflate în cadrul învelişului geografic, este </w:t>
      </w:r>
      <w:r w:rsidRPr="00FC3A91">
        <w:rPr>
          <w:rFonts w:ascii="Arial" w:hAnsi="Arial" w:cs="Arial"/>
          <w:kern w:val="1"/>
          <w:lang w:val="es-ES" w:eastAsia="hi-IN" w:bidi="hi-IN"/>
        </w:rPr>
        <w:lastRenderedPageBreak/>
        <w:t>compus dintr-o multitudine de spaţii de rang inferior, de diferite dimensiuni, structuri, forme şi destinaţii.</w:t>
      </w:r>
    </w:p>
    <w:p w14:paraId="5EAE97B1" w14:textId="77777777" w:rsidR="00FC3A91" w:rsidRPr="00FC3A91" w:rsidRDefault="00FC3A91" w:rsidP="00FC3A91">
      <w:pPr>
        <w:widowControl w:val="0"/>
        <w:suppressAutoHyphens/>
        <w:autoSpaceDE w:val="0"/>
        <w:spacing w:after="0" w:line="276" w:lineRule="auto"/>
        <w:jc w:val="both"/>
        <w:rPr>
          <w:rFonts w:ascii="Arial" w:hAnsi="Arial" w:cs="Arial"/>
          <w:kern w:val="1"/>
          <w:lang w:val="es-ES" w:eastAsia="hi-IN" w:bidi="hi-IN"/>
        </w:rPr>
      </w:pPr>
      <w:r w:rsidRPr="00FC3A91">
        <w:rPr>
          <w:rFonts w:ascii="Arial" w:hAnsi="Arial" w:cs="Arial"/>
          <w:kern w:val="1"/>
          <w:lang w:val="es-ES" w:eastAsia="hi-IN" w:bidi="hi-IN"/>
        </w:rPr>
        <w:t xml:space="preserve">În stabilirea tipurilor de planificare teritorială trebuie să se ţină cont de criteriul metodei şi conţinutului folosit, dar şi a scopului de atins. </w:t>
      </w:r>
      <w:r w:rsidRPr="00FC3A91">
        <w:rPr>
          <w:rFonts w:ascii="Arial" w:hAnsi="Arial" w:cs="Arial"/>
          <w:b/>
          <w:kern w:val="1"/>
          <w:lang w:val="es-ES" w:eastAsia="hi-IN" w:bidi="hi-IN"/>
        </w:rPr>
        <w:t>Analiza geografică a sistemului de transport</w:t>
      </w:r>
      <w:r w:rsidRPr="00FC3A91">
        <w:rPr>
          <w:rFonts w:ascii="Arial" w:hAnsi="Arial" w:cs="Arial"/>
          <w:kern w:val="1"/>
          <w:lang w:val="es-ES" w:eastAsia="hi-IN" w:bidi="hi-IN"/>
        </w:rPr>
        <w:t xml:space="preserve"> trebuie să ia în considerare complexitatea clasificării acestuia, deoarece cuprinde o gamă largă de variable, precum: diferite căi de comunicaţie, obiective diverse, infrastructura completă sau incompletǎ de transport, multitudinea nivelurilor geografice, fără a se neglija şi alţi factori implicaţi. </w:t>
      </w:r>
      <w:r w:rsidRPr="00FC3A91">
        <w:rPr>
          <w:rFonts w:ascii="Arial" w:hAnsi="Arial" w:cs="Arial"/>
          <w:b/>
          <w:iCs/>
          <w:kern w:val="1"/>
          <w:lang w:val="es-ES" w:eastAsia="hi-IN" w:bidi="hi-IN"/>
        </w:rPr>
        <w:t xml:space="preserve">Transporturile </w:t>
      </w:r>
      <w:r w:rsidRPr="00FC3A91">
        <w:rPr>
          <w:rFonts w:ascii="Arial" w:hAnsi="Arial" w:cs="Arial"/>
          <w:b/>
          <w:kern w:val="1"/>
          <w:lang w:val="es-ES" w:eastAsia="hi-IN" w:bidi="hi-IN"/>
        </w:rPr>
        <w:t>constituie una dintre cele mai importante componente ale vieţii socio-economice</w:t>
      </w:r>
      <w:r w:rsidRPr="00FC3A91">
        <w:rPr>
          <w:rFonts w:ascii="Arial" w:hAnsi="Arial" w:cs="Arial"/>
          <w:kern w:val="1"/>
          <w:lang w:val="es-ES" w:eastAsia="hi-IN" w:bidi="hi-IN"/>
        </w:rPr>
        <w:t xml:space="preserve">, conexiunea zonelor funcţionale ale oraşelor realizându-se prin intermediul căilor şi mijloacelor de transport. Prin </w:t>
      </w:r>
      <w:r w:rsidRPr="00FC3A91">
        <w:rPr>
          <w:rFonts w:ascii="Arial" w:hAnsi="Arial" w:cs="Arial"/>
          <w:iCs/>
          <w:kern w:val="1"/>
          <w:lang w:val="es-ES" w:eastAsia="hi-IN" w:bidi="hi-IN"/>
        </w:rPr>
        <w:t xml:space="preserve">sistem de transport </w:t>
      </w:r>
      <w:r w:rsidRPr="00FC3A91">
        <w:rPr>
          <w:rFonts w:ascii="Arial" w:hAnsi="Arial" w:cs="Arial"/>
          <w:kern w:val="1"/>
          <w:lang w:val="es-ES" w:eastAsia="hi-IN" w:bidi="hi-IN"/>
        </w:rPr>
        <w:t xml:space="preserve">se înţelege totalitatea mijloacelor, instalaţiilor şi echipamentelor de transport, grupate după diverse criterii: tehnic, geografic, organizatoric, obiectului transportului, mǎsura integrării în procesul de producţie. Prin intermediul </w:t>
      </w:r>
      <w:r w:rsidRPr="00FC3A91">
        <w:rPr>
          <w:rFonts w:ascii="Arial" w:hAnsi="Arial" w:cs="Arial"/>
          <w:iCs/>
          <w:kern w:val="1"/>
          <w:lang w:val="es-ES" w:eastAsia="hi-IN" w:bidi="hi-IN"/>
        </w:rPr>
        <w:t>sistemelor de transport</w:t>
      </w:r>
      <w:r w:rsidRPr="00FC3A91">
        <w:rPr>
          <w:rFonts w:ascii="Arial" w:hAnsi="Arial" w:cs="Arial"/>
          <w:kern w:val="1"/>
          <w:lang w:val="es-ES" w:eastAsia="hi-IN" w:bidi="hi-IN"/>
        </w:rPr>
        <w:t xml:space="preserve">, operatorii prestează servicii de transport la cererea clienţilor. </w:t>
      </w:r>
      <w:r w:rsidRPr="00FC3A91">
        <w:rPr>
          <w:rFonts w:ascii="Arial" w:hAnsi="Arial" w:cs="Arial"/>
          <w:b/>
          <w:kern w:val="1"/>
          <w:lang w:val="es-ES" w:eastAsia="hi-IN" w:bidi="hi-IN"/>
        </w:rPr>
        <w:t xml:space="preserve">Definiţia </w:t>
      </w:r>
      <w:r w:rsidRPr="00FC3A91">
        <w:rPr>
          <w:rFonts w:ascii="Arial" w:hAnsi="Arial" w:cs="Arial"/>
          <w:b/>
          <w:iCs/>
          <w:kern w:val="1"/>
          <w:lang w:val="es-ES" w:eastAsia="hi-IN" w:bidi="hi-IN"/>
        </w:rPr>
        <w:t>sistemului de transport integrat</w:t>
      </w:r>
      <w:r w:rsidRPr="00FC3A91">
        <w:rPr>
          <w:rFonts w:ascii="Arial" w:hAnsi="Arial" w:cs="Arial"/>
          <w:iCs/>
          <w:kern w:val="1"/>
          <w:lang w:val="es-ES" w:eastAsia="hi-IN" w:bidi="hi-IN"/>
        </w:rPr>
        <w:t xml:space="preserve"> </w:t>
      </w:r>
      <w:r w:rsidRPr="00FC3A91">
        <w:rPr>
          <w:rFonts w:ascii="Arial" w:hAnsi="Arial" w:cs="Arial"/>
          <w:kern w:val="1"/>
          <w:lang w:val="es-ES" w:eastAsia="hi-IN" w:bidi="hi-IN"/>
        </w:rPr>
        <w:t xml:space="preserve">se referă la acel serviciu de transport accesibil, permiţând circulaţia liberă pe mai multe reţele, între care sunt posibile corespondenţe situate în interiorul unei amenajări urbane sau teritoriale, concepute într-o manieră globală. </w:t>
      </w:r>
    </w:p>
    <w:p w14:paraId="6AFE50F1" w14:textId="77777777" w:rsidR="00FC3A91" w:rsidRPr="00FC3A91" w:rsidRDefault="00FC3A91" w:rsidP="00FC3A91">
      <w:pPr>
        <w:widowControl w:val="0"/>
        <w:suppressAutoHyphens/>
        <w:autoSpaceDE w:val="0"/>
        <w:spacing w:after="0" w:line="276" w:lineRule="auto"/>
        <w:jc w:val="both"/>
        <w:rPr>
          <w:rFonts w:ascii="Arial" w:hAnsi="Arial" w:cs="Arial"/>
          <w:kern w:val="1"/>
          <w:lang w:val="es-ES" w:eastAsia="hi-IN" w:bidi="hi-IN"/>
        </w:rPr>
      </w:pPr>
    </w:p>
    <w:p w14:paraId="3974201E" w14:textId="77777777" w:rsidR="00FC3A91" w:rsidRPr="00FC3A91" w:rsidRDefault="00FC3A91" w:rsidP="00FC3A91">
      <w:pPr>
        <w:widowControl w:val="0"/>
        <w:suppressAutoHyphens/>
        <w:autoSpaceDE w:val="0"/>
        <w:spacing w:after="0" w:line="276" w:lineRule="auto"/>
        <w:jc w:val="both"/>
        <w:rPr>
          <w:rFonts w:ascii="Arial" w:hAnsi="Arial" w:cs="Arial"/>
          <w:b/>
          <w:kern w:val="1"/>
          <w:lang w:val="es-ES" w:eastAsia="hi-IN" w:bidi="hi-IN"/>
        </w:rPr>
      </w:pPr>
      <w:r w:rsidRPr="00FC3A91">
        <w:rPr>
          <w:rFonts w:ascii="Arial" w:hAnsi="Arial" w:cs="Arial"/>
          <w:kern w:val="1"/>
          <w:lang w:val="es-ES" w:eastAsia="hi-IN" w:bidi="hi-IN"/>
        </w:rPr>
        <w:t xml:space="preserve">În ceea ce priveşte </w:t>
      </w:r>
      <w:r w:rsidRPr="00FC3A91">
        <w:rPr>
          <w:rFonts w:ascii="Arial" w:hAnsi="Arial" w:cs="Arial"/>
          <w:iCs/>
          <w:kern w:val="1"/>
          <w:lang w:val="es-ES" w:eastAsia="hi-IN" w:bidi="hi-IN"/>
        </w:rPr>
        <w:t>serviciile de transport</w:t>
      </w:r>
      <w:r w:rsidRPr="00FC3A91">
        <w:rPr>
          <w:rFonts w:ascii="Arial" w:hAnsi="Arial" w:cs="Arial"/>
          <w:kern w:val="1"/>
          <w:lang w:val="es-ES" w:eastAsia="hi-IN" w:bidi="hi-IN"/>
        </w:rPr>
        <w:t xml:space="preserve">, există un concept ce defineşte bine legǎtura dintre aşteptările clienţilor şi prestaţia serviciului. Conceptul îl constituie </w:t>
      </w:r>
      <w:r w:rsidRPr="00FC3A91">
        <w:rPr>
          <w:rFonts w:ascii="Arial" w:hAnsi="Arial" w:cs="Arial"/>
          <w:iCs/>
          <w:kern w:val="1"/>
          <w:lang w:val="es-ES" w:eastAsia="hi-IN" w:bidi="hi-IN"/>
        </w:rPr>
        <w:t xml:space="preserve">nivelul serviciului </w:t>
      </w:r>
      <w:r w:rsidRPr="00FC3A91">
        <w:rPr>
          <w:rFonts w:ascii="Arial" w:hAnsi="Arial" w:cs="Arial"/>
          <w:kern w:val="1"/>
          <w:lang w:val="es-ES" w:eastAsia="hi-IN" w:bidi="hi-IN"/>
        </w:rPr>
        <w:t>(</w:t>
      </w:r>
      <w:r w:rsidRPr="00FC3A91">
        <w:rPr>
          <w:rFonts w:ascii="Arial" w:hAnsi="Arial" w:cs="Arial"/>
          <w:iCs/>
          <w:kern w:val="1"/>
          <w:lang w:val="es-ES" w:eastAsia="hi-IN" w:bidi="hi-IN"/>
        </w:rPr>
        <w:t>Level of Service</w:t>
      </w:r>
      <w:r w:rsidRPr="00FC3A91">
        <w:rPr>
          <w:rFonts w:ascii="Arial" w:hAnsi="Arial" w:cs="Arial"/>
          <w:kern w:val="1"/>
          <w:lang w:val="es-ES" w:eastAsia="hi-IN" w:bidi="hi-IN"/>
        </w:rPr>
        <w:t xml:space="preserve">). Variabilele LoS sunt pentru </w:t>
      </w:r>
      <w:r w:rsidRPr="00FC3A91">
        <w:rPr>
          <w:rFonts w:ascii="Arial" w:hAnsi="Arial" w:cs="Arial"/>
          <w:iCs/>
          <w:kern w:val="1"/>
          <w:lang w:val="es-ES" w:eastAsia="hi-IN" w:bidi="hi-IN"/>
        </w:rPr>
        <w:t xml:space="preserve">transportul de marfă </w:t>
      </w:r>
      <w:r w:rsidRPr="00FC3A91">
        <w:rPr>
          <w:rFonts w:ascii="Arial" w:hAnsi="Arial" w:cs="Arial"/>
          <w:kern w:val="1"/>
          <w:lang w:val="es-ES" w:eastAsia="hi-IN" w:bidi="hi-IN"/>
        </w:rPr>
        <w:t xml:space="preserve">(preţ, timp de transport, regularitatea serviciului, asigurarea unui efect minim al poluǎrii etc.), şi pentru </w:t>
      </w:r>
      <w:r w:rsidRPr="00FC3A91">
        <w:rPr>
          <w:rFonts w:ascii="Arial" w:hAnsi="Arial" w:cs="Arial"/>
          <w:iCs/>
          <w:kern w:val="1"/>
          <w:lang w:val="es-ES" w:eastAsia="hi-IN" w:bidi="hi-IN"/>
        </w:rPr>
        <w:t xml:space="preserve">transportul de călători </w:t>
      </w:r>
      <w:r w:rsidRPr="00FC3A91">
        <w:rPr>
          <w:rFonts w:ascii="Arial" w:hAnsi="Arial" w:cs="Arial"/>
          <w:kern w:val="1"/>
          <w:lang w:val="es-ES" w:eastAsia="hi-IN" w:bidi="hi-IN"/>
        </w:rPr>
        <w:t xml:space="preserve">(preţ, durata călătoriei, frecvenţa serviciului, regularitatea </w:t>
      </w:r>
      <w:r w:rsidRPr="00FC3A91">
        <w:rPr>
          <w:rFonts w:ascii="Arial" w:hAnsi="Arial" w:cs="Arial"/>
          <w:b/>
          <w:bCs/>
          <w:kern w:val="1"/>
          <w:lang w:val="es-ES" w:eastAsia="hi-IN" w:bidi="hi-IN"/>
        </w:rPr>
        <w:t>și nu ȋn ultimul rȃnd</w:t>
      </w:r>
      <w:r w:rsidRPr="00FC3A91">
        <w:rPr>
          <w:rFonts w:ascii="Arial" w:hAnsi="Arial" w:cs="Arial"/>
          <w:kern w:val="1"/>
          <w:lang w:val="es-ES" w:eastAsia="hi-IN" w:bidi="hi-IN"/>
        </w:rPr>
        <w:t xml:space="preserve"> protejarea mediului ȋnconjurǎtor ȋn limitele „umane” etc.)</w:t>
      </w:r>
    </w:p>
    <w:p w14:paraId="3700EE66" w14:textId="77777777" w:rsidR="00FC3A91" w:rsidRPr="00FC3A91" w:rsidRDefault="00FC3A91" w:rsidP="00FC3A91">
      <w:pPr>
        <w:widowControl w:val="0"/>
        <w:suppressAutoHyphens/>
        <w:autoSpaceDE w:val="0"/>
        <w:spacing w:after="0" w:line="360" w:lineRule="auto"/>
        <w:jc w:val="both"/>
        <w:rPr>
          <w:rFonts w:ascii="Arial" w:hAnsi="Arial" w:cs="Arial"/>
          <w:b/>
          <w:kern w:val="1"/>
          <w:sz w:val="24"/>
          <w:szCs w:val="24"/>
          <w:lang w:val="es-ES" w:eastAsia="hi-IN" w:bidi="hi-IN"/>
        </w:rPr>
      </w:pPr>
    </w:p>
    <w:p w14:paraId="39C68E2E" w14:textId="77777777" w:rsidR="00FC3A91" w:rsidRPr="00FC3A91" w:rsidRDefault="00FC3A91" w:rsidP="00FC3A91">
      <w:pPr>
        <w:widowControl w:val="0"/>
        <w:suppressAutoHyphens/>
        <w:spacing w:after="0" w:line="276" w:lineRule="auto"/>
        <w:jc w:val="both"/>
        <w:rPr>
          <w:rFonts w:ascii="Arial" w:hAnsi="Arial" w:cs="Arial"/>
          <w:kern w:val="1"/>
          <w:lang w:val="sv-SE" w:eastAsia="hi-IN" w:bidi="hi-IN"/>
        </w:rPr>
      </w:pPr>
      <w:r w:rsidRPr="00FC3A91">
        <w:rPr>
          <w:rFonts w:ascii="Arial" w:hAnsi="Arial" w:cs="Arial"/>
          <w:kern w:val="1"/>
          <w:lang w:val="sv-SE" w:eastAsia="hi-IN" w:bidi="hi-IN"/>
        </w:rPr>
        <w:t xml:space="preserve">Câteva din temele abordate de </w:t>
      </w:r>
      <w:r w:rsidRPr="00FC3A91">
        <w:rPr>
          <w:rFonts w:ascii="Arial" w:hAnsi="Arial" w:cs="Arial"/>
          <w:kern w:val="1"/>
          <w:lang w:val="fr-FR" w:eastAsia="hi-IN" w:bidi="hi-IN"/>
        </w:rPr>
        <w:t xml:space="preserve">ecologia care vizeazǎ </w:t>
      </w:r>
      <w:r w:rsidRPr="00FC3A91">
        <w:rPr>
          <w:rFonts w:ascii="Arial" w:hAnsi="Arial" w:cs="Arial"/>
          <w:kern w:val="1"/>
          <w:lang w:val="es-ES" w:eastAsia="hi-IN" w:bidi="hi-IN"/>
        </w:rPr>
        <w:t xml:space="preserve">protejarea mediului ȋnconjurǎtor ȋn limitele „umane” </w:t>
      </w:r>
      <w:r w:rsidRPr="00FC3A91">
        <w:rPr>
          <w:rFonts w:ascii="Arial" w:hAnsi="Arial" w:cs="Arial"/>
          <w:kern w:val="1"/>
          <w:lang w:val="sv-SE" w:eastAsia="hi-IN" w:bidi="hi-IN"/>
        </w:rPr>
        <w:t>sunt urmǎtoarele:</w:t>
      </w:r>
    </w:p>
    <w:p w14:paraId="11494D5C" w14:textId="77777777" w:rsidR="00FC3A91" w:rsidRPr="00FC3A91" w:rsidRDefault="00FC3A91" w:rsidP="006B613A">
      <w:pPr>
        <w:widowControl w:val="0"/>
        <w:numPr>
          <w:ilvl w:val="0"/>
          <w:numId w:val="47"/>
        </w:numPr>
        <w:suppressAutoHyphens/>
        <w:spacing w:after="0" w:line="276" w:lineRule="auto"/>
        <w:jc w:val="both"/>
        <w:rPr>
          <w:rFonts w:ascii="Arial" w:eastAsia="Times New Roman" w:hAnsi="Arial" w:cs="Arial"/>
          <w:kern w:val="1"/>
          <w:lang w:val="sv-SE" w:eastAsia="hi-IN" w:bidi="hi-IN"/>
        </w:rPr>
      </w:pPr>
      <w:r w:rsidRPr="00FC3A91">
        <w:rPr>
          <w:rFonts w:ascii="Arial" w:eastAsia="Times New Roman" w:hAnsi="Arial" w:cs="Arial"/>
          <w:kern w:val="1"/>
          <w:lang w:val="sv-SE" w:eastAsia="hi-IN" w:bidi="hi-IN"/>
        </w:rPr>
        <w:t>stoparea distrugerii naturii şi subordonarea dezvoltării economice, posibilităţilor pe care le oferă natura, ca receptacul de deşeuri şi poluanţi;</w:t>
      </w:r>
    </w:p>
    <w:p w14:paraId="4429834F" w14:textId="77777777" w:rsidR="00FC3A91" w:rsidRPr="00FC3A91" w:rsidRDefault="00FC3A91" w:rsidP="006B613A">
      <w:pPr>
        <w:widowControl w:val="0"/>
        <w:numPr>
          <w:ilvl w:val="0"/>
          <w:numId w:val="47"/>
        </w:numPr>
        <w:suppressAutoHyphens/>
        <w:spacing w:after="0" w:line="276" w:lineRule="auto"/>
        <w:jc w:val="both"/>
        <w:rPr>
          <w:rFonts w:ascii="Arial" w:eastAsia="Times New Roman" w:hAnsi="Arial" w:cs="Arial"/>
          <w:kern w:val="1"/>
          <w:lang w:val="sv-SE" w:eastAsia="hi-IN" w:bidi="hi-IN"/>
        </w:rPr>
      </w:pPr>
      <w:r w:rsidRPr="00FC3A91">
        <w:rPr>
          <w:rFonts w:ascii="Arial" w:eastAsia="Times New Roman" w:hAnsi="Arial" w:cs="Arial"/>
          <w:kern w:val="1"/>
          <w:lang w:val="sv-SE" w:eastAsia="hi-IN" w:bidi="hi-IN"/>
        </w:rPr>
        <w:t>temperarea creşterii tehnico-industriale doar pentru a domina concurenţa şi punerea accentului pe creşterea calităţii, nu a cantităţii;</w:t>
      </w:r>
    </w:p>
    <w:p w14:paraId="079F5315" w14:textId="77777777" w:rsidR="00FC3A91" w:rsidRPr="00FC3A91" w:rsidRDefault="00FC3A91" w:rsidP="006B613A">
      <w:pPr>
        <w:widowControl w:val="0"/>
        <w:numPr>
          <w:ilvl w:val="0"/>
          <w:numId w:val="47"/>
        </w:numPr>
        <w:suppressAutoHyphens/>
        <w:spacing w:after="0" w:line="276" w:lineRule="auto"/>
        <w:jc w:val="both"/>
        <w:rPr>
          <w:rFonts w:ascii="Arial" w:eastAsia="Times New Roman" w:hAnsi="Arial" w:cs="Arial"/>
          <w:kern w:val="1"/>
          <w:lang w:val="sv-SE" w:eastAsia="hi-IN" w:bidi="hi-IN"/>
        </w:rPr>
      </w:pPr>
      <w:r w:rsidRPr="00FC3A91">
        <w:rPr>
          <w:rFonts w:ascii="Arial" w:eastAsia="Times New Roman" w:hAnsi="Arial" w:cs="Arial"/>
          <w:kern w:val="1"/>
          <w:lang w:val="sv-SE" w:eastAsia="hi-IN" w:bidi="hi-IN"/>
        </w:rPr>
        <w:t>încurajarea producţiilor nepoluante şi fără riscuri majore pentru mediu;</w:t>
      </w:r>
    </w:p>
    <w:p w14:paraId="0642F6E4" w14:textId="77777777" w:rsidR="00FC3A91" w:rsidRPr="00FC3A91" w:rsidRDefault="00FC3A91" w:rsidP="006B613A">
      <w:pPr>
        <w:widowControl w:val="0"/>
        <w:numPr>
          <w:ilvl w:val="0"/>
          <w:numId w:val="47"/>
        </w:numPr>
        <w:suppressAutoHyphens/>
        <w:spacing w:after="0" w:line="276" w:lineRule="auto"/>
        <w:jc w:val="both"/>
        <w:rPr>
          <w:rFonts w:ascii="Arial" w:eastAsia="Times New Roman" w:hAnsi="Arial" w:cs="Arial"/>
          <w:kern w:val="1"/>
          <w:lang w:val="sv-SE" w:eastAsia="hi-IN" w:bidi="hi-IN"/>
        </w:rPr>
      </w:pPr>
      <w:r w:rsidRPr="00FC3A91">
        <w:rPr>
          <w:rFonts w:ascii="Arial" w:eastAsia="Times New Roman" w:hAnsi="Arial" w:cs="Arial"/>
          <w:kern w:val="1"/>
          <w:lang w:val="sv-SE" w:eastAsia="hi-IN" w:bidi="hi-IN"/>
        </w:rPr>
        <w:t>crearea unei societăţi bazate pe solidaritatea umană și convivialitate, în care să domine primatul valorilor spirituale, nu cele materiale şi care să facă posibilă dezvoltarea personalităţii umane.</w:t>
      </w:r>
    </w:p>
    <w:p w14:paraId="52064D63" w14:textId="77777777" w:rsidR="00FC3A91" w:rsidRPr="00FC3A91" w:rsidRDefault="00FC3A91" w:rsidP="00FC3A91">
      <w:pPr>
        <w:widowControl w:val="0"/>
        <w:suppressAutoHyphens/>
        <w:spacing w:after="0" w:line="360" w:lineRule="auto"/>
        <w:jc w:val="both"/>
        <w:rPr>
          <w:rFonts w:ascii="Arial" w:hAnsi="Arial" w:cs="Arial"/>
          <w:kern w:val="1"/>
          <w:sz w:val="24"/>
          <w:szCs w:val="24"/>
          <w:lang w:val="sv-SE" w:eastAsia="hi-IN" w:bidi="hi-IN"/>
        </w:rPr>
      </w:pPr>
    </w:p>
    <w:p w14:paraId="56D3B085" w14:textId="77777777" w:rsidR="00FC3A91" w:rsidRPr="00FC3A91" w:rsidRDefault="00FC3A91" w:rsidP="00FC3A91">
      <w:pPr>
        <w:widowControl w:val="0"/>
        <w:suppressAutoHyphens/>
        <w:spacing w:after="120" w:line="276" w:lineRule="auto"/>
        <w:jc w:val="both"/>
        <w:rPr>
          <w:rFonts w:ascii="Arial" w:hAnsi="Arial" w:cs="Arial"/>
          <w:kern w:val="1"/>
          <w:lang w:val="es-ES" w:eastAsia="hi-IN" w:bidi="hi-IN"/>
        </w:rPr>
      </w:pPr>
      <w:r w:rsidRPr="00FC3A91">
        <w:rPr>
          <w:rFonts w:ascii="Arial" w:hAnsi="Arial" w:cs="Arial"/>
          <w:kern w:val="1"/>
          <w:lang w:val="es-ES" w:eastAsia="hi-IN" w:bidi="hi-IN"/>
        </w:rPr>
        <w:t>La tratarea pragmaticǎ a temelor menționate mai sus ȋși poate aduce contribuția și particularizarea noțiunii de spațiu ecologic. Ȋn accepțiunea generalizatǎ datǎ noțiunii de spațiu ecologic, fiecare ţară are dreptul la o suprafațǎ care reprezintă o cotă parte din spaţiul Pǎmȃntului. Acest spaţiu se calculează prin înmulţirea spaţiului mondial unitar (suprafaţa uscatului împărţită la numărul locuitorilor săi) cu populaţia unei ţări; indicatorul obţinut astfel prilejuieşte următoarele observaţii:</w:t>
      </w:r>
    </w:p>
    <w:p w14:paraId="1227CB31" w14:textId="77777777" w:rsidR="00FC3A91" w:rsidRPr="00FC3A91" w:rsidRDefault="00FC3A91" w:rsidP="006B613A">
      <w:pPr>
        <w:widowControl w:val="0"/>
        <w:numPr>
          <w:ilvl w:val="0"/>
          <w:numId w:val="16"/>
        </w:numPr>
        <w:suppressAutoHyphens/>
        <w:spacing w:after="0" w:line="276" w:lineRule="auto"/>
        <w:jc w:val="both"/>
        <w:rPr>
          <w:rFonts w:ascii="Arial" w:hAnsi="Arial" w:cs="Arial"/>
          <w:kern w:val="1"/>
          <w:lang w:val="es-ES" w:eastAsia="hi-IN" w:bidi="hi-IN"/>
        </w:rPr>
      </w:pPr>
      <w:r w:rsidRPr="00FC3A91">
        <w:rPr>
          <w:rFonts w:ascii="Arial" w:hAnsi="Arial" w:cs="Arial"/>
          <w:kern w:val="1"/>
          <w:lang w:val="es-ES" w:eastAsia="hi-IN" w:bidi="hi-IN"/>
        </w:rPr>
        <w:t>spaţiul ecologic nu se suprapune peste spaţiul geografic naţional;</w:t>
      </w:r>
    </w:p>
    <w:p w14:paraId="1BAAC75B" w14:textId="77777777" w:rsidR="00FC3A91" w:rsidRPr="00FC3A91" w:rsidRDefault="00FC3A91" w:rsidP="006B613A">
      <w:pPr>
        <w:widowControl w:val="0"/>
        <w:numPr>
          <w:ilvl w:val="0"/>
          <w:numId w:val="15"/>
        </w:numPr>
        <w:suppressAutoHyphens/>
        <w:spacing w:after="0" w:line="276" w:lineRule="auto"/>
        <w:jc w:val="both"/>
        <w:rPr>
          <w:rFonts w:ascii="Arial" w:hAnsi="Arial" w:cs="Arial"/>
          <w:kern w:val="1"/>
          <w:lang w:val="es-ES" w:eastAsia="hi-IN" w:bidi="hi-IN"/>
        </w:rPr>
      </w:pPr>
      <w:r w:rsidRPr="00FC3A91">
        <w:rPr>
          <w:rFonts w:ascii="Arial" w:hAnsi="Arial" w:cs="Arial"/>
          <w:kern w:val="1"/>
          <w:lang w:val="es-ES" w:eastAsia="hi-IN" w:bidi="hi-IN"/>
        </w:rPr>
        <w:t>există o corelaţie directă între dezvoltarea unei ţări şi realizarea unei echităţi globale în distribuirea spaţiului ecologic;</w:t>
      </w:r>
    </w:p>
    <w:p w14:paraId="01AEBC83" w14:textId="77777777" w:rsidR="00FC3A91" w:rsidRPr="00FC3A91" w:rsidRDefault="00FC3A91" w:rsidP="006B613A">
      <w:pPr>
        <w:widowControl w:val="0"/>
        <w:numPr>
          <w:ilvl w:val="0"/>
          <w:numId w:val="14"/>
        </w:numPr>
        <w:suppressAutoHyphens/>
        <w:spacing w:after="0" w:line="276" w:lineRule="auto"/>
        <w:jc w:val="both"/>
        <w:rPr>
          <w:rFonts w:ascii="Arial" w:hAnsi="Arial" w:cs="Mangal"/>
          <w:kern w:val="1"/>
          <w:lang w:val="es-ES" w:eastAsia="hi-IN" w:bidi="hi-IN"/>
        </w:rPr>
      </w:pPr>
      <w:r w:rsidRPr="00FC3A91">
        <w:rPr>
          <w:rFonts w:ascii="Arial" w:hAnsi="Arial" w:cs="Arial"/>
          <w:kern w:val="1"/>
          <w:lang w:val="es-ES" w:eastAsia="hi-IN" w:bidi="hi-IN"/>
        </w:rPr>
        <w:t xml:space="preserve">modul de utilizare a spaţiului ecologic disponibil este diferit de la o ţară la alta; ţările dezvoltate pot valorifica mai bine, fără deteriorări ireversibile ale calităţii mediului, resursele, în favoarea propriului popor; ţările sărace folosesc mai puţin spaţiul propriu şi adesea îl deteriorează (prin </w:t>
      </w:r>
      <w:r w:rsidRPr="00FC3A91">
        <w:rPr>
          <w:rFonts w:ascii="Arial" w:hAnsi="Arial" w:cs="Arial"/>
          <w:kern w:val="1"/>
          <w:lang w:val="es-ES" w:eastAsia="hi-IN" w:bidi="hi-IN"/>
        </w:rPr>
        <w:lastRenderedPageBreak/>
        <w:t>eroziuni, defrișǎri, etc.).</w:t>
      </w:r>
    </w:p>
    <w:p w14:paraId="2782A7E3" w14:textId="77777777" w:rsidR="00FC3A91" w:rsidRPr="00FC3A91" w:rsidRDefault="00FC3A91" w:rsidP="00FC3A91">
      <w:pPr>
        <w:widowControl w:val="0"/>
        <w:suppressAutoHyphens/>
        <w:spacing w:after="120" w:line="276" w:lineRule="auto"/>
        <w:rPr>
          <w:rFonts w:ascii="Arial" w:hAnsi="Arial" w:cs="Mangal"/>
          <w:kern w:val="1"/>
          <w:lang w:val="es-ES" w:eastAsia="hi-IN" w:bidi="hi-IN"/>
        </w:rPr>
      </w:pPr>
    </w:p>
    <w:p w14:paraId="5A6F6F14" w14:textId="77777777" w:rsidR="00FC3A91" w:rsidRPr="00FC3A91" w:rsidRDefault="00FC3A91" w:rsidP="00FC3A91">
      <w:pPr>
        <w:widowControl w:val="0"/>
        <w:suppressAutoHyphens/>
        <w:spacing w:after="0" w:line="276" w:lineRule="auto"/>
        <w:jc w:val="both"/>
        <w:rPr>
          <w:rFonts w:ascii="Arial" w:hAnsi="Arial" w:cs="Arial"/>
          <w:kern w:val="1"/>
          <w:lang w:val="es-ES" w:eastAsia="hi-IN" w:bidi="hi-IN"/>
        </w:rPr>
      </w:pPr>
      <w:r w:rsidRPr="00FC3A91">
        <w:rPr>
          <w:rFonts w:ascii="Arial" w:hAnsi="Arial" w:cs="Arial"/>
          <w:kern w:val="1"/>
          <w:lang w:val="es-ES" w:eastAsia="hi-IN" w:bidi="hi-IN"/>
        </w:rPr>
        <w:t>Libertatea ce o are fiecare ţară de a-şi valorifica propriul spaţiu ecologic este limitată de numărul şi dinamica locuitorilor, de tipul tehnologiilor de prelucrare, de descoperirile ştiinţei şi tehnicii, de intensitatea proceselor de degradare a calităţii factorilor de mediu şi, nu în ultimul rând, de modelele de consum ale populaţiei. Fiecare din aceşti factori trebuie să fie supus unei reconsiderări în sensul schimbării, în favoarea mediului, prin politici corespunzătoare.</w:t>
      </w:r>
    </w:p>
    <w:p w14:paraId="00054B47" w14:textId="77777777" w:rsidR="00FC3A91" w:rsidRPr="00FC3A91" w:rsidRDefault="00FC3A91" w:rsidP="00FC3A91">
      <w:pPr>
        <w:widowControl w:val="0"/>
        <w:suppressAutoHyphens/>
        <w:spacing w:after="0" w:line="276" w:lineRule="auto"/>
        <w:jc w:val="both"/>
        <w:rPr>
          <w:rFonts w:ascii="Arial" w:hAnsi="Arial" w:cs="Arial"/>
          <w:kern w:val="1"/>
          <w:lang w:val="es-ES" w:eastAsia="hi-IN" w:bidi="hi-IN"/>
        </w:rPr>
      </w:pPr>
    </w:p>
    <w:p w14:paraId="6625A3AE" w14:textId="77777777" w:rsidR="00FC3A91" w:rsidRPr="00FC3A91" w:rsidRDefault="00FC3A91" w:rsidP="00FC3A91">
      <w:pPr>
        <w:widowControl w:val="0"/>
        <w:suppressAutoHyphens/>
        <w:spacing w:after="0" w:line="276" w:lineRule="auto"/>
        <w:jc w:val="both"/>
        <w:rPr>
          <w:rFonts w:ascii="Arial" w:hAnsi="Arial" w:cs="Arial"/>
          <w:kern w:val="1"/>
          <w:lang w:val="fr-FR" w:eastAsia="hi-IN" w:bidi="hi-IN"/>
        </w:rPr>
      </w:pPr>
      <w:r w:rsidRPr="00FC3A91">
        <w:rPr>
          <w:rFonts w:ascii="Arial" w:hAnsi="Arial" w:cs="Arial"/>
          <w:kern w:val="1"/>
          <w:lang w:val="es-ES" w:eastAsia="hi-IN" w:bidi="hi-IN"/>
        </w:rPr>
        <w:t xml:space="preserve">Noțiunea este pasibilǎ, ȋnsǎ, și de retroversiune: un derivat al indicatorului poate fi introdus ȋn legǎturǎ cu spațiul ecologic urban (acest tip de spaţiu s-ar putea calcula prin înmulţirea spaţiului național unitar – suprafaţa țǎrii împărţită la numărul locuitorilor săi – cu populaţia unei aglomerǎri urbane). </w:t>
      </w:r>
    </w:p>
    <w:p w14:paraId="4D052F97" w14:textId="77777777" w:rsidR="00FC3A91" w:rsidRPr="00FC3A91" w:rsidRDefault="00FC3A91" w:rsidP="00FC3A91">
      <w:pPr>
        <w:widowControl w:val="0"/>
        <w:suppressAutoHyphens/>
        <w:spacing w:after="120" w:line="276" w:lineRule="auto"/>
        <w:jc w:val="both"/>
        <w:rPr>
          <w:rFonts w:ascii="Arial" w:hAnsi="Arial" w:cs="Arial"/>
          <w:kern w:val="1"/>
          <w:lang w:val="fr-FR" w:eastAsia="hi-IN" w:bidi="hi-IN"/>
        </w:rPr>
      </w:pPr>
    </w:p>
    <w:p w14:paraId="5AFF9257" w14:textId="77777777" w:rsidR="00FC3A91" w:rsidRPr="00FC3A91" w:rsidRDefault="00FC3A91" w:rsidP="00FC3A91">
      <w:pPr>
        <w:widowControl w:val="0"/>
        <w:suppressAutoHyphens/>
        <w:spacing w:after="120" w:line="276" w:lineRule="auto"/>
        <w:jc w:val="both"/>
        <w:rPr>
          <w:rFonts w:ascii="Arial" w:hAnsi="Arial" w:cs="Arial"/>
          <w:kern w:val="1"/>
          <w:lang w:val="fr-FR" w:eastAsia="hi-IN" w:bidi="hi-IN"/>
        </w:rPr>
      </w:pPr>
      <w:r w:rsidRPr="00FC3A91">
        <w:rPr>
          <w:rFonts w:ascii="Arial" w:hAnsi="Arial" w:cs="Arial"/>
          <w:kern w:val="1"/>
          <w:lang w:val="fr-FR" w:eastAsia="hi-IN" w:bidi="hi-IN"/>
        </w:rPr>
        <w:t xml:space="preserve">Astfel un indicator ce ar putea fi numit spațiu ecologic urban poate conduce la reconsiderarea raportului ȋntre suprafețele afectate construcțiilor industriale, construcțiilor locative, inclusiv grǎdinilor, suprafețele aferente centrelor educaționale și comerciale etc. și suprafețele afectate cǎilor de deplasare liberǎ, incluzȃnd și cǎile de comunicație. </w:t>
      </w:r>
      <w:r w:rsidRPr="00FC3A91">
        <w:rPr>
          <w:rFonts w:ascii="Arial" w:hAnsi="Arial" w:cs="Arial"/>
          <w:kern w:val="1"/>
          <w:lang w:val="es-ES" w:eastAsia="hi-IN" w:bidi="hi-IN"/>
        </w:rPr>
        <w:t>Urmȃnd o metodologie relativ simplistǎ:</w:t>
      </w:r>
    </w:p>
    <w:p w14:paraId="199DEF52" w14:textId="77777777" w:rsidR="00FC3A91" w:rsidRPr="00FC3A91" w:rsidRDefault="00FC3A91" w:rsidP="006B613A">
      <w:pPr>
        <w:widowControl w:val="0"/>
        <w:numPr>
          <w:ilvl w:val="0"/>
          <w:numId w:val="11"/>
        </w:numPr>
        <w:suppressAutoHyphens/>
        <w:spacing w:after="0" w:line="276" w:lineRule="auto"/>
        <w:jc w:val="both"/>
        <w:rPr>
          <w:rFonts w:ascii="Arial" w:hAnsi="Arial" w:cs="Arial"/>
          <w:kern w:val="1"/>
          <w:lang w:val="fr-FR" w:eastAsia="hi-IN" w:bidi="hi-IN"/>
        </w:rPr>
      </w:pPr>
      <w:r w:rsidRPr="00FC3A91">
        <w:rPr>
          <w:rFonts w:ascii="Arial" w:hAnsi="Arial" w:cs="Arial"/>
          <w:kern w:val="1"/>
          <w:lang w:val="fr-FR" w:eastAsia="hi-IN" w:bidi="hi-IN"/>
        </w:rPr>
        <w:t>conform datelor INSSE, Romȃnia avea la 01.01.2021 o populație estimata de 22.089.211  locuitori  la  o  supr</w:t>
      </w:r>
      <w:r w:rsidR="001E0EDD">
        <w:rPr>
          <w:rFonts w:ascii="Arial" w:hAnsi="Arial" w:cs="Arial"/>
          <w:kern w:val="1"/>
          <w:lang w:val="fr-FR" w:eastAsia="hi-IN" w:bidi="hi-IN"/>
        </w:rPr>
        <w:t>afațǎ de 237.500 kmp, ceea</w:t>
      </w:r>
      <w:r w:rsidRPr="00FC3A91">
        <w:rPr>
          <w:rFonts w:ascii="Arial" w:hAnsi="Arial" w:cs="Arial"/>
          <w:kern w:val="1"/>
          <w:lang w:val="fr-FR" w:eastAsia="hi-IN" w:bidi="hi-IN"/>
        </w:rPr>
        <w:t xml:space="preserve"> ce revine la un spațiu ecologic disponibil (unitar) de 0,01075 kmp/loc;</w:t>
      </w:r>
    </w:p>
    <w:p w14:paraId="5AF2DCDA" w14:textId="77777777" w:rsidR="00FC3A91" w:rsidRPr="00FC3A91" w:rsidRDefault="00537880" w:rsidP="006B613A">
      <w:pPr>
        <w:widowControl w:val="0"/>
        <w:numPr>
          <w:ilvl w:val="0"/>
          <w:numId w:val="11"/>
        </w:numPr>
        <w:suppressAutoHyphens/>
        <w:spacing w:after="0" w:line="276" w:lineRule="auto"/>
        <w:jc w:val="both"/>
        <w:rPr>
          <w:rFonts w:ascii="Arial" w:hAnsi="Arial" w:cs="Arial"/>
          <w:kern w:val="1"/>
          <w:lang w:val="fr-FR" w:eastAsia="hi-IN" w:bidi="hi-IN"/>
        </w:rPr>
      </w:pPr>
      <w:r>
        <w:rPr>
          <w:rFonts w:ascii="Arial" w:hAnsi="Arial" w:cs="Arial"/>
          <w:kern w:val="1"/>
          <w:lang w:val="fr-FR" w:eastAsia="hi-IN" w:bidi="hi-IN"/>
        </w:rPr>
        <w:t>oraş</w:t>
      </w:r>
      <w:r w:rsidR="00FC3A91" w:rsidRPr="00FC3A91">
        <w:rPr>
          <w:rFonts w:ascii="Arial" w:hAnsi="Arial" w:cs="Arial"/>
          <w:kern w:val="1"/>
          <w:lang w:val="fr-FR" w:eastAsia="hi-IN" w:bidi="hi-IN"/>
        </w:rPr>
        <w:t>ul Horezu avea o populație estim</w:t>
      </w:r>
      <w:r>
        <w:rPr>
          <w:rFonts w:ascii="Arial" w:hAnsi="Arial" w:cs="Arial"/>
          <w:kern w:val="1"/>
          <w:lang w:val="fr-FR" w:eastAsia="hi-IN" w:bidi="hi-IN"/>
        </w:rPr>
        <w:t>ată</w:t>
      </w:r>
      <w:r w:rsidR="00FC3A91" w:rsidRPr="00FC3A91">
        <w:rPr>
          <w:rFonts w:ascii="Arial" w:hAnsi="Arial" w:cs="Arial"/>
          <w:kern w:val="1"/>
          <w:lang w:val="fr-FR" w:eastAsia="hi-IN" w:bidi="hi-IN"/>
        </w:rPr>
        <w:t xml:space="preserve"> de 6.806 locuitori la o suprafațǎ de 117 kmp, ceea ce revine la un spațiu ecologic unitar de 0,01719 kmp/loc, adicǎ </w:t>
      </w:r>
      <w:r w:rsidR="00A15D7C">
        <w:rPr>
          <w:rFonts w:ascii="Arial" w:hAnsi="Arial" w:cs="Arial"/>
          <w:kern w:val="1"/>
          <w:lang w:val="fr-FR" w:eastAsia="hi-IN" w:bidi="hi-IN"/>
        </w:rPr>
        <w:t>puțin mai mare decat cel naţ</w:t>
      </w:r>
      <w:r w:rsidR="00FC3A91" w:rsidRPr="00FC3A91">
        <w:rPr>
          <w:rFonts w:ascii="Arial" w:hAnsi="Arial" w:cs="Arial"/>
          <w:kern w:val="1"/>
          <w:lang w:val="fr-FR" w:eastAsia="hi-IN" w:bidi="hi-IN"/>
        </w:rPr>
        <w:t>ional.</w:t>
      </w:r>
    </w:p>
    <w:p w14:paraId="320F7CA6" w14:textId="77777777" w:rsidR="00FC3A91" w:rsidRPr="00FC3A91" w:rsidRDefault="00FC3A91" w:rsidP="00FC3A91">
      <w:pPr>
        <w:widowControl w:val="0"/>
        <w:suppressAutoHyphens/>
        <w:spacing w:after="0" w:line="276" w:lineRule="auto"/>
        <w:jc w:val="both"/>
        <w:rPr>
          <w:rFonts w:ascii="Arial" w:hAnsi="Arial" w:cs="Arial"/>
          <w:kern w:val="1"/>
          <w:lang w:val="fr-FR" w:eastAsia="hi-IN" w:bidi="hi-IN"/>
        </w:rPr>
      </w:pPr>
    </w:p>
    <w:p w14:paraId="172DC3E6" w14:textId="77777777" w:rsidR="00FC3A91" w:rsidRPr="00FC3A91" w:rsidRDefault="00A15D7C" w:rsidP="00FC3A91">
      <w:pPr>
        <w:widowControl w:val="0"/>
        <w:suppressAutoHyphens/>
        <w:spacing w:after="0" w:line="276" w:lineRule="auto"/>
        <w:jc w:val="both"/>
        <w:rPr>
          <w:rFonts w:ascii="Arial" w:hAnsi="Arial" w:cs="Arial"/>
          <w:kern w:val="1"/>
          <w:lang w:val="fr-FR" w:eastAsia="hi-IN" w:bidi="hi-IN"/>
        </w:rPr>
      </w:pPr>
      <w:r>
        <w:rPr>
          <w:rFonts w:ascii="Arial" w:hAnsi="Arial" w:cs="Arial"/>
          <w:kern w:val="1"/>
          <w:lang w:val="fr-FR" w:eastAsia="hi-IN" w:bidi="hi-IN"/>
        </w:rPr>
        <w:t>Prin urmare, zona urbanǎ ş</w:t>
      </w:r>
      <w:r w:rsidR="00FC3A91" w:rsidRPr="00FC3A91">
        <w:rPr>
          <w:rFonts w:ascii="Arial" w:hAnsi="Arial" w:cs="Arial"/>
          <w:kern w:val="1"/>
          <w:lang w:val="fr-FR" w:eastAsia="hi-IN" w:bidi="hi-IN"/>
        </w:rPr>
        <w:t>i per</w:t>
      </w:r>
      <w:r w:rsidR="001E0EDD">
        <w:rPr>
          <w:rFonts w:ascii="Arial" w:hAnsi="Arial" w:cs="Arial"/>
          <w:kern w:val="1"/>
          <w:lang w:val="fr-FR" w:eastAsia="hi-IN" w:bidi="hi-IN"/>
        </w:rPr>
        <w:t>iurbanǎ Horezu este bine proporţ</w:t>
      </w:r>
      <w:r>
        <w:rPr>
          <w:rFonts w:ascii="Arial" w:hAnsi="Arial" w:cs="Arial"/>
          <w:kern w:val="1"/>
          <w:lang w:val="fr-FR" w:eastAsia="hi-IN" w:bidi="hi-IN"/>
        </w:rPr>
        <w:t>ionată</w:t>
      </w:r>
      <w:r w:rsidR="00FC3A91" w:rsidRPr="00FC3A91">
        <w:rPr>
          <w:rFonts w:ascii="Arial" w:hAnsi="Arial" w:cs="Arial"/>
          <w:kern w:val="1"/>
          <w:lang w:val="fr-FR" w:eastAsia="hi-IN" w:bidi="hi-IN"/>
        </w:rPr>
        <w:t xml:space="preserve"> din punct de vedere al spațiului adecvat populației din acest punct de vedere.</w:t>
      </w:r>
    </w:p>
    <w:p w14:paraId="51C10EFE" w14:textId="77777777" w:rsidR="00FC3A91" w:rsidRPr="00FC3A91" w:rsidRDefault="00FC3A91" w:rsidP="00FC3A91">
      <w:pPr>
        <w:widowControl w:val="0"/>
        <w:suppressAutoHyphens/>
        <w:spacing w:after="0" w:line="276" w:lineRule="auto"/>
        <w:jc w:val="both"/>
        <w:rPr>
          <w:rFonts w:ascii="Arial" w:hAnsi="Arial" w:cs="Arial"/>
          <w:kern w:val="1"/>
          <w:lang w:val="fr-FR" w:eastAsia="hi-IN" w:bidi="hi-IN"/>
        </w:rPr>
      </w:pPr>
    </w:p>
    <w:p w14:paraId="76690834" w14:textId="77777777" w:rsidR="00FC3A91" w:rsidRPr="00FC3A91" w:rsidRDefault="00FC3A91" w:rsidP="00FC3A91">
      <w:pPr>
        <w:widowControl w:val="0"/>
        <w:suppressAutoHyphens/>
        <w:spacing w:after="0" w:line="276" w:lineRule="auto"/>
        <w:jc w:val="both"/>
        <w:rPr>
          <w:rFonts w:ascii="Arial" w:eastAsia="Calibri" w:hAnsi="Arial" w:cs="Arial"/>
          <w:iCs/>
          <w:kern w:val="1"/>
          <w:lang w:bidi="hi-IN"/>
        </w:rPr>
      </w:pPr>
      <w:r w:rsidRPr="00FC3A91">
        <w:rPr>
          <w:rFonts w:ascii="Arial" w:hAnsi="Arial" w:cs="Arial"/>
          <w:kern w:val="1"/>
          <w:lang w:val="fr-FR" w:eastAsia="hi-IN" w:bidi="hi-IN"/>
        </w:rPr>
        <w:t xml:space="preserve">Revenind ȋn sfera realului, deplasǎrile sunt legate de o singurǎ dimensiune a spațiului (ȋn timp ce suprafețele au nevoie de douǎ dimensiuni). Aceastǎ dimensiune este distanța pȃnǎ la care trebuie sǎ fie analizate problemele de transport pornind de la centrul zonei analizate </w:t>
      </w:r>
      <w:r w:rsidRPr="00FC3A91">
        <w:rPr>
          <w:rFonts w:ascii="Arial" w:hAnsi="Arial" w:cs="Times New Roman"/>
          <w:kern w:val="1"/>
          <w:lang w:val="fr-FR" w:eastAsia="hi-IN" w:bidi="hi-IN"/>
        </w:rPr>
        <w:t>–</w:t>
      </w:r>
      <w:r w:rsidR="00A15D7C">
        <w:rPr>
          <w:rFonts w:ascii="Arial" w:hAnsi="Arial" w:cs="Arial"/>
          <w:kern w:val="1"/>
          <w:lang w:val="fr-FR" w:eastAsia="hi-IN" w:bidi="hi-IN"/>
        </w:rPr>
        <w:t xml:space="preserve"> adicǎ centrul oraş</w:t>
      </w:r>
      <w:r w:rsidRPr="00FC3A91">
        <w:rPr>
          <w:rFonts w:ascii="Arial" w:hAnsi="Arial" w:cs="Arial"/>
          <w:kern w:val="1"/>
          <w:lang w:val="fr-FR" w:eastAsia="hi-IN" w:bidi="hi-IN"/>
        </w:rPr>
        <w:t xml:space="preserve">ului Horezu. </w:t>
      </w:r>
      <w:r w:rsidRPr="00FC3A91">
        <w:rPr>
          <w:rFonts w:ascii="Arial" w:eastAsia="Calibri" w:hAnsi="Arial" w:cs="Arial"/>
          <w:bCs/>
          <w:kern w:val="1"/>
          <w:lang w:val="es-ES" w:bidi="hi-IN"/>
        </w:rPr>
        <w:t xml:space="preserve">Interdependenţa dintre zonele urbane funcţionale şi spaţiul adiacent al localitatii este datǎ de </w:t>
      </w:r>
      <w:r w:rsidRPr="00FC3A91">
        <w:rPr>
          <w:rFonts w:ascii="Arial" w:eastAsia="Calibri" w:hAnsi="Arial" w:cs="Arial"/>
          <w:iCs/>
          <w:kern w:val="1"/>
          <w:lang w:val="es-ES" w:bidi="hi-IN"/>
        </w:rPr>
        <w:t xml:space="preserve">interdependenţele </w:t>
      </w:r>
      <w:r w:rsidRPr="00FC3A91">
        <w:rPr>
          <w:rFonts w:ascii="Arial" w:eastAsia="Calibri" w:hAnsi="Arial" w:cs="Arial"/>
          <w:kern w:val="1"/>
          <w:lang w:val="es-ES" w:bidi="hi-IN"/>
        </w:rPr>
        <w:t xml:space="preserve">economice și sociale. </w:t>
      </w:r>
      <w:r w:rsidRPr="00FC3A91">
        <w:rPr>
          <w:rFonts w:ascii="Arial" w:eastAsia="Calibri" w:hAnsi="Arial" w:cs="Arial"/>
          <w:kern w:val="1"/>
          <w:lang w:bidi="hi-IN"/>
        </w:rPr>
        <w:t>Acestea se materializează în cinci caracteristici:</w:t>
      </w:r>
    </w:p>
    <w:p w14:paraId="366C9C3E" w14:textId="77777777" w:rsidR="00FC3A91" w:rsidRPr="00FC3A91" w:rsidRDefault="00FC3A91" w:rsidP="006B613A">
      <w:pPr>
        <w:widowControl w:val="0"/>
        <w:numPr>
          <w:ilvl w:val="0"/>
          <w:numId w:val="10"/>
        </w:numPr>
        <w:suppressAutoHyphens/>
        <w:spacing w:after="0" w:line="276" w:lineRule="auto"/>
        <w:jc w:val="both"/>
        <w:rPr>
          <w:rFonts w:ascii="Arial" w:eastAsia="Calibri" w:hAnsi="Arial" w:cs="Arial"/>
          <w:iCs/>
          <w:kern w:val="1"/>
          <w:lang w:val="es-ES" w:bidi="hi-IN"/>
        </w:rPr>
      </w:pPr>
      <w:r w:rsidRPr="00FC3A91">
        <w:rPr>
          <w:rFonts w:ascii="Arial" w:eastAsia="Calibri" w:hAnsi="Arial" w:cs="Arial"/>
          <w:iCs/>
          <w:kern w:val="1"/>
          <w:lang w:val="es-ES" w:bidi="hi-IN"/>
        </w:rPr>
        <w:t xml:space="preserve">interdependenţe </w:t>
      </w:r>
      <w:r w:rsidRPr="00FC3A91">
        <w:rPr>
          <w:rFonts w:ascii="Arial" w:eastAsia="Calibri" w:hAnsi="Arial" w:cs="Arial"/>
          <w:kern w:val="1"/>
          <w:lang w:val="es-ES" w:bidi="hi-IN"/>
        </w:rPr>
        <w:t xml:space="preserve">între </w:t>
      </w:r>
      <w:r w:rsidRPr="00FC3A91">
        <w:rPr>
          <w:rFonts w:ascii="Arial" w:eastAsia="Calibri" w:hAnsi="Arial" w:cs="Arial"/>
          <w:b/>
          <w:kern w:val="1"/>
          <w:lang w:val="es-ES" w:bidi="hi-IN"/>
        </w:rPr>
        <w:t>amenajarea</w:t>
      </w:r>
      <w:r w:rsidRPr="00FC3A91">
        <w:rPr>
          <w:rFonts w:ascii="Arial" w:eastAsia="Calibri" w:hAnsi="Arial" w:cs="Arial"/>
          <w:kern w:val="1"/>
          <w:lang w:val="es-ES" w:bidi="hi-IN"/>
        </w:rPr>
        <w:t xml:space="preserve"> teritoriului urban (acţiuni de urbanism) şi serviciul de transporturi ȋn sfera cǎlǎtoriilor (cerere, flux de transport, flux de trafic);</w:t>
      </w:r>
    </w:p>
    <w:p w14:paraId="7FB2B8FB" w14:textId="77777777" w:rsidR="00FC3A91" w:rsidRPr="00FC3A91" w:rsidRDefault="00FC3A91" w:rsidP="006B613A">
      <w:pPr>
        <w:widowControl w:val="0"/>
        <w:numPr>
          <w:ilvl w:val="0"/>
          <w:numId w:val="17"/>
        </w:numPr>
        <w:suppressAutoHyphens/>
        <w:autoSpaceDE w:val="0"/>
        <w:spacing w:after="0" w:line="276" w:lineRule="auto"/>
        <w:jc w:val="both"/>
        <w:rPr>
          <w:rFonts w:ascii="Arial" w:eastAsia="Calibri" w:hAnsi="Arial" w:cs="Arial"/>
          <w:kern w:val="1"/>
          <w:lang w:bidi="hi-IN"/>
        </w:rPr>
      </w:pPr>
      <w:r w:rsidRPr="00FC3A91">
        <w:rPr>
          <w:rFonts w:ascii="Arial" w:eastAsia="Calibri" w:hAnsi="Arial" w:cs="Arial"/>
          <w:iCs/>
          <w:kern w:val="1"/>
          <w:lang w:bidi="hi-IN"/>
        </w:rPr>
        <w:t xml:space="preserve">interdependenţe pe termen scurt şi lung </w:t>
      </w:r>
      <w:r w:rsidRPr="00FC3A91">
        <w:rPr>
          <w:rFonts w:ascii="Arial" w:eastAsia="Calibri" w:hAnsi="Arial" w:cs="Arial"/>
          <w:kern w:val="1"/>
          <w:lang w:bidi="hi-IN"/>
        </w:rPr>
        <w:t xml:space="preserve">dintre </w:t>
      </w:r>
      <w:r w:rsidRPr="00FC3A91">
        <w:rPr>
          <w:rFonts w:ascii="Arial" w:eastAsia="Calibri" w:hAnsi="Arial" w:cs="Arial"/>
          <w:b/>
          <w:kern w:val="1"/>
          <w:lang w:bidi="hi-IN"/>
        </w:rPr>
        <w:t>amenajarea</w:t>
      </w:r>
      <w:r w:rsidRPr="00FC3A91">
        <w:rPr>
          <w:rFonts w:ascii="Arial" w:eastAsia="Calibri" w:hAnsi="Arial" w:cs="Arial"/>
          <w:kern w:val="1"/>
          <w:lang w:bidi="hi-IN"/>
        </w:rPr>
        <w:t xml:space="preserve"> teritoriului şi sistemele de transport pentru mărfuri;</w:t>
      </w:r>
    </w:p>
    <w:p w14:paraId="066F79CF" w14:textId="77777777" w:rsidR="00FC3A91" w:rsidRPr="00FC3A91" w:rsidRDefault="00FC3A91" w:rsidP="006B613A">
      <w:pPr>
        <w:widowControl w:val="0"/>
        <w:numPr>
          <w:ilvl w:val="0"/>
          <w:numId w:val="17"/>
        </w:numPr>
        <w:suppressAutoHyphens/>
        <w:autoSpaceDE w:val="0"/>
        <w:spacing w:after="0" w:line="276" w:lineRule="auto"/>
        <w:jc w:val="both"/>
        <w:rPr>
          <w:rFonts w:ascii="Arial" w:eastAsia="Calibri" w:hAnsi="Arial" w:cs="Arial"/>
          <w:kern w:val="1"/>
          <w:lang w:val="es-ES" w:bidi="hi-IN"/>
        </w:rPr>
      </w:pPr>
      <w:r w:rsidRPr="00FC3A91">
        <w:rPr>
          <w:rFonts w:ascii="Arial" w:eastAsia="Calibri" w:hAnsi="Arial" w:cs="Arial"/>
          <w:kern w:val="1"/>
          <w:lang w:val="es-ES" w:bidi="hi-IN"/>
        </w:rPr>
        <w:t xml:space="preserve">caracteristica de intercondiționalitate ȋntre domeniile de </w:t>
      </w:r>
      <w:r w:rsidRPr="00FC3A91">
        <w:rPr>
          <w:rFonts w:ascii="Arial" w:eastAsia="Calibri" w:hAnsi="Arial" w:cs="Arial"/>
          <w:b/>
          <w:iCs/>
          <w:kern w:val="1"/>
          <w:lang w:val="es-ES" w:bidi="hi-IN"/>
        </w:rPr>
        <w:t>planificare</w:t>
      </w:r>
      <w:r w:rsidRPr="00FC3A91">
        <w:rPr>
          <w:rFonts w:ascii="Arial" w:eastAsia="Calibri" w:hAnsi="Arial" w:cs="Arial"/>
          <w:iCs/>
          <w:kern w:val="1"/>
          <w:lang w:val="es-ES" w:bidi="hi-IN"/>
        </w:rPr>
        <w:t xml:space="preserve"> teritorială și domeniile de planificare a mobilitǎții umane și materiale (</w:t>
      </w:r>
      <w:r w:rsidRPr="00FC3A91">
        <w:rPr>
          <w:rFonts w:ascii="Arial" w:eastAsia="Calibri" w:hAnsi="Arial" w:cs="Arial"/>
          <w:kern w:val="1"/>
          <w:lang w:val="es-ES" w:bidi="hi-IN"/>
        </w:rPr>
        <w:t>o singurǎ viziune, de ansamblu pentru oraș, nu un amalgam de perspective independente);</w:t>
      </w:r>
    </w:p>
    <w:p w14:paraId="7DA0C127" w14:textId="77777777" w:rsidR="00FC3A91" w:rsidRPr="00FC3A91" w:rsidRDefault="00FC3A91" w:rsidP="006B613A">
      <w:pPr>
        <w:widowControl w:val="0"/>
        <w:numPr>
          <w:ilvl w:val="0"/>
          <w:numId w:val="17"/>
        </w:numPr>
        <w:suppressAutoHyphens/>
        <w:autoSpaceDE w:val="0"/>
        <w:spacing w:after="0" w:line="276" w:lineRule="auto"/>
        <w:jc w:val="both"/>
        <w:rPr>
          <w:rFonts w:ascii="Arial" w:eastAsia="Calibri" w:hAnsi="Arial" w:cs="Arial"/>
          <w:kern w:val="1"/>
          <w:lang w:val="es-ES" w:bidi="hi-IN"/>
        </w:rPr>
      </w:pPr>
      <w:r w:rsidRPr="00FC3A91">
        <w:rPr>
          <w:rFonts w:ascii="Arial" w:eastAsia="Calibri" w:hAnsi="Arial" w:cs="Arial"/>
          <w:kern w:val="1"/>
          <w:lang w:val="es-ES" w:bidi="hi-IN"/>
        </w:rPr>
        <w:t>caracteristica de putere: trebuie i</w:t>
      </w:r>
      <w:r w:rsidRPr="00FC3A91">
        <w:rPr>
          <w:rFonts w:ascii="Arial" w:eastAsia="Calibri" w:hAnsi="Arial" w:cs="Arial"/>
          <w:iCs/>
          <w:kern w:val="1"/>
          <w:lang w:val="es-ES" w:bidi="hi-IN"/>
        </w:rPr>
        <w:t xml:space="preserve">dentificați decidenţii publici </w:t>
      </w:r>
      <w:r w:rsidRPr="00FC3A91">
        <w:rPr>
          <w:rFonts w:ascii="Arial" w:eastAsia="Calibri" w:hAnsi="Arial" w:cs="Arial"/>
          <w:kern w:val="1"/>
          <w:lang w:val="es-ES" w:bidi="hi-IN"/>
        </w:rPr>
        <w:t>de la diferite niveluri de organizare teritorială;</w:t>
      </w:r>
    </w:p>
    <w:p w14:paraId="1B1EF5E6" w14:textId="77777777" w:rsidR="00FC3A91" w:rsidRPr="00FC3A91" w:rsidRDefault="00FC3A91" w:rsidP="006B613A">
      <w:pPr>
        <w:widowControl w:val="0"/>
        <w:numPr>
          <w:ilvl w:val="0"/>
          <w:numId w:val="17"/>
        </w:numPr>
        <w:suppressAutoHyphens/>
        <w:autoSpaceDE w:val="0"/>
        <w:spacing w:after="0" w:line="276" w:lineRule="auto"/>
        <w:jc w:val="both"/>
        <w:rPr>
          <w:rFonts w:ascii="Arial" w:eastAsia="Calibri" w:hAnsi="Arial" w:cs="Arial"/>
          <w:kern w:val="1"/>
          <w:lang w:val="es-ES" w:bidi="hi-IN"/>
        </w:rPr>
      </w:pPr>
      <w:r w:rsidRPr="00FC3A91">
        <w:rPr>
          <w:rFonts w:ascii="Arial" w:eastAsia="Calibri" w:hAnsi="Arial" w:cs="Arial"/>
          <w:kern w:val="1"/>
          <w:lang w:val="es-ES" w:bidi="hi-IN"/>
        </w:rPr>
        <w:t xml:space="preserve">caracteristica de coerențǎ: finalizarea planurilor sǎ se facǎ prin elaborarea unor </w:t>
      </w:r>
      <w:r w:rsidRPr="00FC3A91">
        <w:rPr>
          <w:rFonts w:ascii="Arial" w:eastAsia="Calibri" w:hAnsi="Arial" w:cs="Arial"/>
          <w:iCs/>
          <w:kern w:val="1"/>
          <w:lang w:val="es-ES" w:bidi="hi-IN"/>
        </w:rPr>
        <w:t xml:space="preserve">scheme de coerenţă teritorială </w:t>
      </w:r>
      <w:r w:rsidRPr="00FC3A91">
        <w:rPr>
          <w:rFonts w:ascii="Arial" w:eastAsia="Calibri" w:hAnsi="Arial" w:cs="Arial"/>
          <w:kern w:val="1"/>
          <w:lang w:val="es-ES" w:bidi="hi-IN"/>
        </w:rPr>
        <w:t xml:space="preserve">cuprinzând </w:t>
      </w:r>
      <w:r w:rsidRPr="00FC3A91">
        <w:rPr>
          <w:rFonts w:ascii="Arial" w:eastAsia="Calibri" w:hAnsi="Arial" w:cs="Arial"/>
          <w:iCs/>
          <w:kern w:val="1"/>
          <w:lang w:val="es-ES" w:bidi="hi-IN"/>
        </w:rPr>
        <w:t xml:space="preserve">planurile locale de urbanism </w:t>
      </w:r>
      <w:r w:rsidRPr="00FC3A91">
        <w:rPr>
          <w:rFonts w:ascii="Arial" w:eastAsia="Calibri" w:hAnsi="Arial" w:cs="Arial"/>
          <w:kern w:val="1"/>
          <w:lang w:val="es-ES" w:bidi="hi-IN"/>
        </w:rPr>
        <w:t xml:space="preserve">şi </w:t>
      </w:r>
      <w:r w:rsidRPr="00FC3A91">
        <w:rPr>
          <w:rFonts w:ascii="Arial" w:eastAsia="Calibri" w:hAnsi="Arial" w:cs="Arial"/>
          <w:iCs/>
          <w:kern w:val="1"/>
          <w:lang w:val="es-ES" w:bidi="hi-IN"/>
        </w:rPr>
        <w:t>planurile de deplasări urbane</w:t>
      </w:r>
      <w:r w:rsidRPr="00FC3A91">
        <w:rPr>
          <w:rFonts w:ascii="Arial" w:eastAsia="Calibri" w:hAnsi="Arial" w:cs="Arial"/>
          <w:kern w:val="1"/>
          <w:lang w:val="es-ES" w:bidi="hi-IN"/>
        </w:rPr>
        <w:t>.</w:t>
      </w:r>
    </w:p>
    <w:p w14:paraId="0DCC2E6E" w14:textId="77777777" w:rsidR="00FC3A91" w:rsidRPr="00FC3A91" w:rsidRDefault="00FC3A91" w:rsidP="00FC3A91">
      <w:pPr>
        <w:widowControl w:val="0"/>
        <w:suppressAutoHyphens/>
        <w:autoSpaceDE w:val="0"/>
        <w:spacing w:after="0" w:line="276" w:lineRule="auto"/>
        <w:ind w:left="360"/>
        <w:jc w:val="both"/>
        <w:rPr>
          <w:rFonts w:ascii="Arial" w:eastAsia="Calibri" w:hAnsi="Arial" w:cs="Arial"/>
          <w:kern w:val="1"/>
          <w:lang w:val="es-ES" w:bidi="hi-IN"/>
        </w:rPr>
      </w:pPr>
    </w:p>
    <w:p w14:paraId="6D1DFC70" w14:textId="77777777" w:rsidR="00FC3A91" w:rsidRPr="00FC3A91" w:rsidRDefault="00FC3A91" w:rsidP="00FC3A91">
      <w:pPr>
        <w:widowControl w:val="0"/>
        <w:suppressAutoHyphens/>
        <w:autoSpaceDE w:val="0"/>
        <w:spacing w:after="0" w:line="276" w:lineRule="auto"/>
        <w:jc w:val="both"/>
        <w:rPr>
          <w:rFonts w:ascii="Arial" w:hAnsi="Arial" w:cs="Arial"/>
          <w:kern w:val="1"/>
          <w:lang w:val="es-ES" w:eastAsia="hi-IN" w:bidi="hi-IN"/>
        </w:rPr>
      </w:pPr>
      <w:r w:rsidRPr="00FC3A91">
        <w:rPr>
          <w:rFonts w:ascii="Arial" w:eastAsia="Calibri" w:hAnsi="Arial" w:cs="Arial"/>
          <w:kern w:val="1"/>
          <w:lang w:val="es-ES" w:bidi="hi-IN"/>
        </w:rPr>
        <w:lastRenderedPageBreak/>
        <w:t xml:space="preserve">Practic, </w:t>
      </w:r>
      <w:r w:rsidRPr="00FC3A91">
        <w:rPr>
          <w:rFonts w:ascii="Arial" w:eastAsia="Calibri" w:hAnsi="Arial" w:cs="Arial"/>
          <w:b/>
          <w:kern w:val="1"/>
          <w:lang w:val="es-ES" w:bidi="hi-IN"/>
        </w:rPr>
        <w:t>legătura dintre spaţiul urban şi cel rural</w:t>
      </w:r>
      <w:r w:rsidRPr="00FC3A91">
        <w:rPr>
          <w:rFonts w:ascii="Arial" w:eastAsia="Calibri" w:hAnsi="Arial" w:cs="Arial"/>
          <w:kern w:val="1"/>
          <w:lang w:val="es-ES" w:bidi="hi-IN"/>
        </w:rPr>
        <w:t xml:space="preserve"> este asigurată de </w:t>
      </w:r>
      <w:r w:rsidRPr="00FC3A91">
        <w:rPr>
          <w:rFonts w:ascii="Arial" w:eastAsia="Calibri" w:hAnsi="Arial" w:cs="Arial"/>
          <w:iCs/>
          <w:kern w:val="1"/>
          <w:lang w:val="es-ES" w:bidi="hi-IN"/>
        </w:rPr>
        <w:t xml:space="preserve">căile de transport, </w:t>
      </w:r>
      <w:r w:rsidRPr="00FC3A91">
        <w:rPr>
          <w:rFonts w:ascii="Arial" w:eastAsia="Calibri" w:hAnsi="Arial" w:cs="Arial"/>
          <w:kern w:val="1"/>
          <w:lang w:val="es-ES" w:bidi="hi-IN"/>
        </w:rPr>
        <w:t xml:space="preserve">care facilitează în mod direct relaţiile dintre acestea. De aceea, este necesară analiza de detaliu a căilor de comunicaţie existente şi măsura în care acestea satisfac nevoile ariei urbane, periurbane şi interurbane ale oraşului, gradul de corelare a mijloacelor de transport din teritoriu către oraş şi invers. Potrivit unor teorii dezvoltate de curȃnd </w:t>
      </w:r>
      <w:r w:rsidRPr="00FC3A91">
        <w:rPr>
          <w:rFonts w:ascii="Arial" w:eastAsia="Calibri" w:hAnsi="Arial" w:cs="Arial"/>
          <w:iCs/>
          <w:kern w:val="1"/>
          <w:lang w:val="es-ES" w:bidi="hi-IN"/>
        </w:rPr>
        <w:t>”aria de influenţă a două localitǎți apropiate se va extinde până la limita la care cele două localitǎți înregistrează aceeaşi intensitate a relaţiilor cu exteriorul sau până la limita la care influenţa uneia asupra celeilalte se apropie de zero”</w:t>
      </w:r>
      <w:r w:rsidRPr="00FC3A91">
        <w:rPr>
          <w:rFonts w:ascii="Arial" w:eastAsia="Calibri" w:hAnsi="Arial" w:cs="Arial"/>
          <w:kern w:val="1"/>
          <w:lang w:val="es-ES" w:bidi="hi-IN"/>
        </w:rPr>
        <w:t xml:space="preserve">. Plecând de la această definiţie, metoda propusă pentru determinarea zonelor de influenţă urbană a orasului Horezu va face apel la principiul ca </w:t>
      </w:r>
      <w:r w:rsidRPr="00FC3A91">
        <w:rPr>
          <w:rFonts w:ascii="Arial" w:eastAsia="Calibri" w:hAnsi="Arial" w:cs="Arial"/>
          <w:iCs/>
          <w:kern w:val="1"/>
          <w:lang w:val="es-ES" w:bidi="hi-IN"/>
        </w:rPr>
        <w:t xml:space="preserve">două localitǎți atrag </w:t>
      </w:r>
      <w:r w:rsidRPr="00FC3A91">
        <w:rPr>
          <w:rFonts w:ascii="Arial" w:eastAsia="Calibri" w:hAnsi="Arial" w:cs="Arial"/>
          <w:b/>
          <w:iCs/>
          <w:kern w:val="1"/>
          <w:lang w:val="es-ES" w:bidi="hi-IN"/>
        </w:rPr>
        <w:t>cumpărătorii de pe piața transporturilor</w:t>
      </w:r>
      <w:r w:rsidRPr="00FC3A91">
        <w:rPr>
          <w:rFonts w:ascii="Arial" w:eastAsia="Calibri" w:hAnsi="Arial" w:cs="Arial"/>
          <w:iCs/>
          <w:kern w:val="1"/>
          <w:lang w:val="es-ES" w:bidi="hi-IN"/>
        </w:rPr>
        <w:t xml:space="preserve"> dintr-un spaţiu direct proporţional cu masele şi invers proporţional cu pătratul distanţei. </w:t>
      </w:r>
      <w:r w:rsidRPr="00FC3A91">
        <w:rPr>
          <w:rFonts w:ascii="Arial" w:eastAsia="Calibri" w:hAnsi="Arial" w:cs="Arial"/>
          <w:kern w:val="1"/>
          <w:lang w:val="es-ES" w:bidi="hi-IN"/>
        </w:rPr>
        <w:t xml:space="preserve">Deoarece la nivel local şi judeţean nu există date centralizate privind volumul total al vânzărilor, pentru calcularea zonei de influenţă a orasului Horezu s-a utilizat formula propusă de </w:t>
      </w:r>
      <w:r w:rsidRPr="00FC3A91">
        <w:rPr>
          <w:rFonts w:ascii="Arial" w:eastAsia="Calibri" w:hAnsi="Arial" w:cs="Arial"/>
          <w:iCs/>
          <w:kern w:val="1"/>
          <w:lang w:val="es-ES" w:bidi="hi-IN"/>
        </w:rPr>
        <w:t xml:space="preserve">Reilly-Converse (J. Beaujeau - Garnier, 1997), </w:t>
      </w:r>
      <w:r w:rsidRPr="00FC3A91">
        <w:rPr>
          <w:rFonts w:ascii="Arial" w:eastAsia="Calibri" w:hAnsi="Arial" w:cs="Arial"/>
          <w:kern w:val="1"/>
          <w:lang w:val="es-ES" w:bidi="hi-IN"/>
        </w:rPr>
        <w:t>care are la bază raportul dintre distanţa măsurată pe căile de comunicaţie şi populaţie, ceea ce poate fi exprimat prin formula:</w:t>
      </w:r>
    </w:p>
    <w:p w14:paraId="326A43A8" w14:textId="77777777" w:rsidR="00FC3A91" w:rsidRPr="00FC3A91" w:rsidRDefault="00FC3A91" w:rsidP="00FC3A91">
      <w:pPr>
        <w:widowControl w:val="0"/>
        <w:suppressAutoHyphens/>
        <w:autoSpaceDE w:val="0"/>
        <w:spacing w:after="0" w:line="360" w:lineRule="auto"/>
        <w:ind w:left="720" w:firstLine="720"/>
        <w:jc w:val="both"/>
        <w:rPr>
          <w:rFonts w:ascii="Arial" w:hAnsi="Arial" w:cs="Arial"/>
          <w:kern w:val="1"/>
          <w:sz w:val="20"/>
          <w:szCs w:val="24"/>
          <w:lang w:val="fr-FR" w:eastAsia="hi-IN" w:bidi="hi-IN"/>
        </w:rPr>
      </w:pPr>
      <w:r w:rsidRPr="00FC3A91">
        <w:rPr>
          <w:rFonts w:ascii="Arial" w:hAnsi="Arial" w:cs="Mangal"/>
          <w:kern w:val="1"/>
          <w:position w:val="-42"/>
          <w:sz w:val="20"/>
          <w:szCs w:val="24"/>
          <w:lang w:eastAsia="hi-IN" w:bidi="hi-IN"/>
        </w:rPr>
        <w:object w:dxaOrig="1425" w:dyaOrig="1083" w14:anchorId="1259F62B">
          <v:shape id="_x0000_i1028" type="#_x0000_t75" style="width:71.25pt;height:53.25pt" o:ole="" filled="t">
            <v:fill color2="black"/>
            <v:imagedata r:id="rId29" o:title=""/>
          </v:shape>
          <o:OLEObject Type="Embed" ProgID="Equation.3" ShapeID="_x0000_i1028" DrawAspect="Content" ObjectID="_1752652133" r:id="rId30"/>
        </w:object>
      </w:r>
    </w:p>
    <w:p w14:paraId="31B25E52" w14:textId="77777777" w:rsidR="00FC3A91" w:rsidRPr="00FC3A91" w:rsidRDefault="00FC3A91" w:rsidP="00FC3A91">
      <w:pPr>
        <w:widowControl w:val="0"/>
        <w:suppressAutoHyphens/>
        <w:spacing w:after="0" w:line="276" w:lineRule="auto"/>
        <w:jc w:val="both"/>
        <w:rPr>
          <w:rFonts w:ascii="Arial" w:eastAsia="Calibri" w:hAnsi="Arial" w:cs="Arial"/>
          <w:bCs/>
          <w:kern w:val="1"/>
          <w:lang w:val="es-ES" w:bidi="hi-IN"/>
        </w:rPr>
      </w:pPr>
      <w:r w:rsidRPr="00FC3A91">
        <w:rPr>
          <w:rFonts w:ascii="Arial" w:hAnsi="Arial" w:cs="Arial"/>
          <w:kern w:val="1"/>
          <w:lang w:val="fr-FR" w:eastAsia="hi-IN" w:bidi="hi-IN"/>
        </w:rPr>
        <w:t xml:space="preserve">unde: </w:t>
      </w:r>
    </w:p>
    <w:p w14:paraId="22D944E9" w14:textId="77777777" w:rsidR="00FC3A91" w:rsidRPr="00FC3A91" w:rsidRDefault="00FC3A91" w:rsidP="00FC3A91">
      <w:pPr>
        <w:widowControl w:val="0"/>
        <w:suppressAutoHyphens/>
        <w:spacing w:after="0" w:line="276" w:lineRule="auto"/>
        <w:jc w:val="both"/>
        <w:rPr>
          <w:rFonts w:ascii="Arial" w:eastAsia="Calibri" w:hAnsi="Arial" w:cs="Arial"/>
          <w:bCs/>
          <w:iCs/>
          <w:kern w:val="1"/>
          <w:lang w:val="es-ES" w:bidi="hi-IN"/>
        </w:rPr>
      </w:pPr>
      <w:r w:rsidRPr="00FC3A91">
        <w:rPr>
          <w:rFonts w:ascii="Arial" w:eastAsia="Calibri" w:hAnsi="Arial" w:cs="Arial"/>
          <w:bCs/>
          <w:kern w:val="1"/>
          <w:lang w:val="es-ES" w:bidi="hi-IN"/>
        </w:rPr>
        <w:t xml:space="preserve">d             </w:t>
      </w:r>
      <w:r w:rsidRPr="00FC3A91">
        <w:rPr>
          <w:rFonts w:ascii="Arial" w:eastAsia="Calibri" w:hAnsi="Arial" w:cs="Arial"/>
          <w:bCs/>
          <w:kern w:val="1"/>
          <w:lang w:val="es-ES" w:bidi="hi-IN"/>
        </w:rPr>
        <w:tab/>
      </w:r>
      <w:r w:rsidRPr="00FC3A91">
        <w:rPr>
          <w:rFonts w:ascii="Arial" w:eastAsia="Calibri" w:hAnsi="Arial" w:cs="Arial"/>
          <w:kern w:val="1"/>
          <w:lang w:val="es-ES" w:bidi="hi-IN"/>
        </w:rPr>
        <w:t xml:space="preserve">reprezintă distanţa măsurată pe căile de comunicaţie; </w:t>
      </w:r>
    </w:p>
    <w:p w14:paraId="04355F50" w14:textId="77777777" w:rsidR="00FC3A91" w:rsidRPr="00FC3A91" w:rsidRDefault="00FC3A91" w:rsidP="00FC3A91">
      <w:pPr>
        <w:widowControl w:val="0"/>
        <w:suppressAutoHyphens/>
        <w:spacing w:after="0" w:line="276" w:lineRule="auto"/>
        <w:jc w:val="both"/>
        <w:rPr>
          <w:rFonts w:ascii="Arial" w:eastAsia="Calibri" w:hAnsi="Arial" w:cs="Arial"/>
          <w:bCs/>
          <w:kern w:val="1"/>
          <w:lang w:val="es-ES" w:bidi="hi-IN"/>
        </w:rPr>
      </w:pPr>
      <w:r w:rsidRPr="00FC3A91">
        <w:rPr>
          <w:rFonts w:ascii="Arial" w:eastAsia="Calibri" w:hAnsi="Arial" w:cs="Arial"/>
          <w:bCs/>
          <w:iCs/>
          <w:kern w:val="1"/>
          <w:lang w:val="es-ES" w:bidi="hi-IN"/>
        </w:rPr>
        <w:t xml:space="preserve">A </w:t>
      </w:r>
      <w:r w:rsidRPr="00FC3A91">
        <w:rPr>
          <w:rFonts w:ascii="Arial" w:eastAsia="Calibri" w:hAnsi="Arial" w:cs="Arial"/>
          <w:kern w:val="1"/>
          <w:lang w:val="es-ES" w:bidi="hi-IN"/>
        </w:rPr>
        <w:t xml:space="preserve">şi </w:t>
      </w:r>
      <w:r w:rsidRPr="00FC3A91">
        <w:rPr>
          <w:rFonts w:ascii="Arial" w:eastAsia="Calibri" w:hAnsi="Arial" w:cs="Arial"/>
          <w:bCs/>
          <w:iCs/>
          <w:kern w:val="1"/>
          <w:lang w:val="es-ES" w:bidi="hi-IN"/>
        </w:rPr>
        <w:t xml:space="preserve">B </w:t>
      </w:r>
      <w:r w:rsidRPr="00FC3A91">
        <w:rPr>
          <w:rFonts w:ascii="Arial" w:eastAsia="Calibri" w:hAnsi="Arial" w:cs="Arial"/>
          <w:bCs/>
          <w:iCs/>
          <w:kern w:val="1"/>
          <w:lang w:val="es-ES" w:bidi="hi-IN"/>
        </w:rPr>
        <w:tab/>
      </w:r>
      <w:r w:rsidRPr="00FC3A91">
        <w:rPr>
          <w:rFonts w:ascii="Arial" w:eastAsia="Calibri" w:hAnsi="Arial" w:cs="Arial"/>
          <w:kern w:val="1"/>
          <w:lang w:val="es-ES" w:bidi="hi-IN"/>
        </w:rPr>
        <w:t xml:space="preserve"> </w:t>
      </w:r>
      <w:r w:rsidRPr="00FC3A91">
        <w:rPr>
          <w:rFonts w:ascii="Arial" w:eastAsia="Calibri" w:hAnsi="Arial" w:cs="Arial"/>
          <w:kern w:val="1"/>
          <w:lang w:val="es-ES" w:bidi="hi-IN"/>
        </w:rPr>
        <w:tab/>
        <w:t xml:space="preserve">localitatile; </w:t>
      </w:r>
    </w:p>
    <w:p w14:paraId="0E962A2D" w14:textId="77777777" w:rsidR="00FC3A91" w:rsidRPr="00FC3A91" w:rsidRDefault="00FC3A91" w:rsidP="00FC3A91">
      <w:pPr>
        <w:widowControl w:val="0"/>
        <w:suppressAutoHyphens/>
        <w:spacing w:after="0" w:line="276" w:lineRule="auto"/>
        <w:jc w:val="both"/>
        <w:rPr>
          <w:rFonts w:ascii="Arial" w:hAnsi="Arial" w:cs="Arial"/>
          <w:kern w:val="1"/>
          <w:lang w:val="fr-FR" w:eastAsia="hi-IN" w:bidi="hi-IN"/>
        </w:rPr>
      </w:pPr>
      <w:r w:rsidRPr="00FC3A91">
        <w:rPr>
          <w:rFonts w:ascii="Arial" w:eastAsia="Calibri" w:hAnsi="Arial" w:cs="Arial"/>
          <w:bCs/>
          <w:kern w:val="1"/>
          <w:lang w:val="es-ES" w:bidi="hi-IN"/>
        </w:rPr>
        <w:t xml:space="preserve">P </w:t>
      </w:r>
      <w:r w:rsidRPr="00FC3A91">
        <w:rPr>
          <w:rFonts w:ascii="Arial" w:eastAsia="Calibri" w:hAnsi="Arial" w:cs="Arial"/>
          <w:bCs/>
          <w:kern w:val="1"/>
          <w:lang w:val="es-ES" w:bidi="hi-IN"/>
        </w:rPr>
        <w:tab/>
      </w:r>
      <w:r w:rsidRPr="00FC3A91">
        <w:rPr>
          <w:rFonts w:ascii="Arial" w:eastAsia="Calibri" w:hAnsi="Arial" w:cs="Arial"/>
          <w:kern w:val="1"/>
          <w:lang w:val="es-ES" w:bidi="hi-IN"/>
        </w:rPr>
        <w:t xml:space="preserve"> </w:t>
      </w:r>
      <w:r w:rsidRPr="00FC3A91">
        <w:rPr>
          <w:rFonts w:ascii="Arial" w:eastAsia="Calibri" w:hAnsi="Arial" w:cs="Arial"/>
          <w:kern w:val="1"/>
          <w:lang w:val="es-ES" w:bidi="hi-IN"/>
        </w:rPr>
        <w:tab/>
        <w:t>populaţia.</w:t>
      </w:r>
    </w:p>
    <w:p w14:paraId="31DCB6F9" w14:textId="77777777" w:rsidR="00FC3A91" w:rsidRPr="00FC3A91" w:rsidRDefault="00FC3A91" w:rsidP="00FC3A91">
      <w:pPr>
        <w:widowControl w:val="0"/>
        <w:suppressAutoHyphens/>
        <w:spacing w:after="0" w:line="276" w:lineRule="auto"/>
        <w:jc w:val="both"/>
        <w:rPr>
          <w:rFonts w:ascii="Arial" w:hAnsi="Arial" w:cs="Arial"/>
          <w:kern w:val="1"/>
          <w:lang w:val="fr-FR" w:eastAsia="hi-IN" w:bidi="hi-IN"/>
        </w:rPr>
      </w:pPr>
    </w:p>
    <w:p w14:paraId="7B6431E4" w14:textId="77777777" w:rsidR="00FC3A91" w:rsidRPr="00FC3A91" w:rsidRDefault="00FC3A91" w:rsidP="00FC3A91">
      <w:pPr>
        <w:widowControl w:val="0"/>
        <w:suppressAutoHyphens/>
        <w:autoSpaceDE w:val="0"/>
        <w:spacing w:after="0" w:line="276" w:lineRule="auto"/>
        <w:jc w:val="both"/>
        <w:rPr>
          <w:rFonts w:ascii="Arial" w:hAnsi="Arial" w:cs="Arial"/>
          <w:color w:val="000000"/>
          <w:kern w:val="1"/>
          <w:lang w:val="es-ES" w:bidi="hi-IN"/>
        </w:rPr>
      </w:pPr>
      <w:r w:rsidRPr="00FC3A91">
        <w:rPr>
          <w:rFonts w:ascii="Arial" w:eastAsia="Calibri" w:hAnsi="Arial" w:cs="Arial"/>
          <w:kern w:val="1"/>
          <w:lang w:val="es-ES" w:bidi="hi-IN"/>
        </w:rPr>
        <w:t xml:space="preserve">Ca urmare, aria de influenţă a orasului Horezu (orașul </w:t>
      </w:r>
      <w:r w:rsidRPr="00FC3A91">
        <w:rPr>
          <w:rFonts w:ascii="Arial" w:eastAsia="Calibri" w:hAnsi="Arial" w:cs="Arial"/>
          <w:bCs/>
          <w:iCs/>
          <w:kern w:val="1"/>
          <w:lang w:val="es-ES" w:bidi="hi-IN"/>
        </w:rPr>
        <w:t>A) se manifestǎ ȋn mod diferit de la o comunǎ limitrofǎ la alta:</w:t>
      </w:r>
    </w:p>
    <w:tbl>
      <w:tblPr>
        <w:tblW w:w="6800" w:type="dxa"/>
        <w:jc w:val="center"/>
        <w:tblLook w:val="04A0" w:firstRow="1" w:lastRow="0" w:firstColumn="1" w:lastColumn="0" w:noHBand="0" w:noVBand="1"/>
      </w:tblPr>
      <w:tblGrid>
        <w:gridCol w:w="1180"/>
        <w:gridCol w:w="1050"/>
        <w:gridCol w:w="960"/>
        <w:gridCol w:w="1050"/>
        <w:gridCol w:w="1780"/>
        <w:gridCol w:w="1051"/>
      </w:tblGrid>
      <w:tr w:rsidR="00FC3A91" w:rsidRPr="00A15D7C" w14:paraId="5A90DA8A" w14:textId="77777777" w:rsidTr="00915B45">
        <w:trPr>
          <w:trHeight w:val="9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AE3F3" w14:textId="77777777" w:rsidR="00FC3A91" w:rsidRPr="00A15D7C" w:rsidRDefault="00FC3A91" w:rsidP="00FC3A91">
            <w:pPr>
              <w:spacing w:after="0" w:line="240" w:lineRule="auto"/>
              <w:jc w:val="center"/>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Localitate</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167BF50" w14:textId="77777777" w:rsidR="00FC3A91" w:rsidRPr="00A15D7C" w:rsidRDefault="00A15D7C" w:rsidP="00FC3A91">
            <w:pPr>
              <w:spacing w:after="0" w:line="240" w:lineRule="auto"/>
              <w:jc w:val="center"/>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Populaţie</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4233853" w14:textId="77777777" w:rsidR="00FC3A91" w:rsidRPr="00A15D7C" w:rsidRDefault="00A15D7C" w:rsidP="00FC3A91">
            <w:pPr>
              <w:spacing w:after="0" w:line="240" w:lineRule="auto"/>
              <w:jc w:val="center"/>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Distanţă</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634C74E" w14:textId="77777777" w:rsidR="00FC3A91" w:rsidRPr="00A15D7C" w:rsidRDefault="00A15D7C" w:rsidP="00FC3A91">
            <w:pPr>
              <w:spacing w:after="0" w:line="240" w:lineRule="auto"/>
              <w:jc w:val="center"/>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 xml:space="preserve">Populaţie </w:t>
            </w:r>
            <w:r w:rsidR="00FC3A91" w:rsidRPr="00A15D7C">
              <w:rPr>
                <w:rFonts w:ascii="Arial" w:eastAsia="Times New Roman" w:hAnsi="Arial" w:cs="Arial"/>
                <w:color w:val="000000"/>
                <w:sz w:val="20"/>
                <w:szCs w:val="20"/>
                <w:lang w:val="ro-RO" w:eastAsia="ro-RO"/>
              </w:rPr>
              <w:t xml:space="preserve"> Horezu</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21CEDE8B" w14:textId="77777777" w:rsidR="00FC3A91" w:rsidRPr="00A15D7C" w:rsidRDefault="00A15D7C" w:rsidP="00FC3A91">
            <w:pPr>
              <w:spacing w:after="0" w:line="240" w:lineRule="auto"/>
              <w:jc w:val="center"/>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Distanţa până la care se manifestă influenţa oraş</w:t>
            </w:r>
            <w:r w:rsidR="00FC3A91" w:rsidRPr="00A15D7C">
              <w:rPr>
                <w:rFonts w:ascii="Arial" w:eastAsia="Times New Roman" w:hAnsi="Arial" w:cs="Arial"/>
                <w:color w:val="000000"/>
                <w:sz w:val="20"/>
                <w:szCs w:val="20"/>
                <w:lang w:val="ro-RO" w:eastAsia="ro-RO"/>
              </w:rPr>
              <w:t>ului</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83C40DB" w14:textId="77777777" w:rsidR="00FC3A91" w:rsidRPr="00A15D7C" w:rsidRDefault="00FC3A91" w:rsidP="00FC3A91">
            <w:pPr>
              <w:spacing w:after="0" w:line="240" w:lineRule="auto"/>
              <w:jc w:val="center"/>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w:t>
            </w:r>
          </w:p>
        </w:tc>
      </w:tr>
      <w:tr w:rsidR="00FC3A91" w:rsidRPr="00A15D7C" w14:paraId="05352954" w14:textId="77777777" w:rsidTr="00915B45">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21CB6D4" w14:textId="77777777" w:rsidR="00FC3A91" w:rsidRPr="00A15D7C" w:rsidRDefault="00A15D7C" w:rsidP="00FC3A91">
            <w:pPr>
              <w:spacing w:after="0" w:line="240" w:lineRule="auto"/>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Măldăreş</w:t>
            </w:r>
            <w:r w:rsidR="00FC3A91" w:rsidRPr="00A15D7C">
              <w:rPr>
                <w:rFonts w:ascii="Arial" w:eastAsia="Times New Roman" w:hAnsi="Arial" w:cs="Arial"/>
                <w:color w:val="000000"/>
                <w:sz w:val="20"/>
                <w:szCs w:val="20"/>
                <w:lang w:val="ro-RO" w:eastAsia="ro-RO"/>
              </w:rPr>
              <w:t>ti</w:t>
            </w:r>
          </w:p>
        </w:tc>
        <w:tc>
          <w:tcPr>
            <w:tcW w:w="960" w:type="dxa"/>
            <w:tcBorders>
              <w:top w:val="nil"/>
              <w:left w:val="nil"/>
              <w:bottom w:val="single" w:sz="4" w:space="0" w:color="auto"/>
              <w:right w:val="single" w:sz="4" w:space="0" w:color="auto"/>
            </w:tcBorders>
            <w:shd w:val="clear" w:color="auto" w:fill="auto"/>
            <w:noWrap/>
            <w:vAlign w:val="bottom"/>
            <w:hideMark/>
          </w:tcPr>
          <w:p w14:paraId="229E9C90"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1946</w:t>
            </w:r>
          </w:p>
        </w:tc>
        <w:tc>
          <w:tcPr>
            <w:tcW w:w="960" w:type="dxa"/>
            <w:tcBorders>
              <w:top w:val="nil"/>
              <w:left w:val="nil"/>
              <w:bottom w:val="single" w:sz="4" w:space="0" w:color="auto"/>
              <w:right w:val="single" w:sz="4" w:space="0" w:color="auto"/>
            </w:tcBorders>
            <w:shd w:val="clear" w:color="auto" w:fill="auto"/>
            <w:noWrap/>
            <w:vAlign w:val="bottom"/>
            <w:hideMark/>
          </w:tcPr>
          <w:p w14:paraId="39E906F9"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5</w:t>
            </w:r>
          </w:p>
        </w:tc>
        <w:tc>
          <w:tcPr>
            <w:tcW w:w="960" w:type="dxa"/>
            <w:tcBorders>
              <w:top w:val="nil"/>
              <w:left w:val="nil"/>
              <w:bottom w:val="single" w:sz="4" w:space="0" w:color="auto"/>
              <w:right w:val="single" w:sz="4" w:space="0" w:color="auto"/>
            </w:tcBorders>
            <w:shd w:val="clear" w:color="auto" w:fill="auto"/>
            <w:noWrap/>
            <w:vAlign w:val="bottom"/>
            <w:hideMark/>
          </w:tcPr>
          <w:p w14:paraId="3BBD53F3"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6806</w:t>
            </w:r>
          </w:p>
        </w:tc>
        <w:tc>
          <w:tcPr>
            <w:tcW w:w="1780" w:type="dxa"/>
            <w:tcBorders>
              <w:top w:val="nil"/>
              <w:left w:val="nil"/>
              <w:bottom w:val="single" w:sz="4" w:space="0" w:color="auto"/>
              <w:right w:val="single" w:sz="4" w:space="0" w:color="auto"/>
            </w:tcBorders>
            <w:shd w:val="clear" w:color="auto" w:fill="auto"/>
            <w:noWrap/>
            <w:vAlign w:val="bottom"/>
            <w:hideMark/>
          </w:tcPr>
          <w:p w14:paraId="694A74C8"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3,257925838</w:t>
            </w:r>
          </w:p>
        </w:tc>
        <w:tc>
          <w:tcPr>
            <w:tcW w:w="960" w:type="dxa"/>
            <w:tcBorders>
              <w:top w:val="nil"/>
              <w:left w:val="nil"/>
              <w:bottom w:val="single" w:sz="4" w:space="0" w:color="auto"/>
              <w:right w:val="single" w:sz="4" w:space="0" w:color="auto"/>
            </w:tcBorders>
            <w:shd w:val="clear" w:color="auto" w:fill="auto"/>
            <w:noWrap/>
            <w:vAlign w:val="bottom"/>
            <w:hideMark/>
          </w:tcPr>
          <w:p w14:paraId="686EFEE3"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0,651585</w:t>
            </w:r>
          </w:p>
        </w:tc>
      </w:tr>
      <w:tr w:rsidR="00FC3A91" w:rsidRPr="00A15D7C" w14:paraId="779D5B85" w14:textId="77777777" w:rsidTr="00915B45">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37F2D57" w14:textId="77777777" w:rsidR="00FC3A91" w:rsidRPr="00A15D7C" w:rsidRDefault="00A15D7C" w:rsidP="00FC3A91">
            <w:pPr>
              <w:spacing w:after="0" w:line="240" w:lineRule="auto"/>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Slă</w:t>
            </w:r>
            <w:r w:rsidR="00FC3A91" w:rsidRPr="00A15D7C">
              <w:rPr>
                <w:rFonts w:ascii="Arial" w:eastAsia="Times New Roman" w:hAnsi="Arial" w:cs="Arial"/>
                <w:color w:val="000000"/>
                <w:sz w:val="20"/>
                <w:szCs w:val="20"/>
                <w:lang w:val="ro-RO" w:eastAsia="ro-RO"/>
              </w:rPr>
              <w:t>tioara</w:t>
            </w:r>
          </w:p>
        </w:tc>
        <w:tc>
          <w:tcPr>
            <w:tcW w:w="960" w:type="dxa"/>
            <w:tcBorders>
              <w:top w:val="nil"/>
              <w:left w:val="nil"/>
              <w:bottom w:val="single" w:sz="4" w:space="0" w:color="auto"/>
              <w:right w:val="single" w:sz="4" w:space="0" w:color="auto"/>
            </w:tcBorders>
            <w:shd w:val="clear" w:color="auto" w:fill="auto"/>
            <w:noWrap/>
            <w:vAlign w:val="bottom"/>
            <w:hideMark/>
          </w:tcPr>
          <w:p w14:paraId="20FB5ACB"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3197</w:t>
            </w:r>
          </w:p>
        </w:tc>
        <w:tc>
          <w:tcPr>
            <w:tcW w:w="960" w:type="dxa"/>
            <w:tcBorders>
              <w:top w:val="nil"/>
              <w:left w:val="nil"/>
              <w:bottom w:val="single" w:sz="4" w:space="0" w:color="auto"/>
              <w:right w:val="single" w:sz="4" w:space="0" w:color="auto"/>
            </w:tcBorders>
            <w:shd w:val="clear" w:color="auto" w:fill="auto"/>
            <w:noWrap/>
            <w:vAlign w:val="bottom"/>
            <w:hideMark/>
          </w:tcPr>
          <w:p w14:paraId="65D6DEB5"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9,5</w:t>
            </w:r>
          </w:p>
        </w:tc>
        <w:tc>
          <w:tcPr>
            <w:tcW w:w="960" w:type="dxa"/>
            <w:tcBorders>
              <w:top w:val="nil"/>
              <w:left w:val="nil"/>
              <w:bottom w:val="single" w:sz="4" w:space="0" w:color="auto"/>
              <w:right w:val="single" w:sz="4" w:space="0" w:color="auto"/>
            </w:tcBorders>
            <w:shd w:val="clear" w:color="auto" w:fill="auto"/>
            <w:noWrap/>
            <w:vAlign w:val="bottom"/>
            <w:hideMark/>
          </w:tcPr>
          <w:p w14:paraId="7F2AB219"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6806</w:t>
            </w:r>
          </w:p>
        </w:tc>
        <w:tc>
          <w:tcPr>
            <w:tcW w:w="1780" w:type="dxa"/>
            <w:tcBorders>
              <w:top w:val="nil"/>
              <w:left w:val="nil"/>
              <w:bottom w:val="single" w:sz="4" w:space="0" w:color="auto"/>
              <w:right w:val="single" w:sz="4" w:space="0" w:color="auto"/>
            </w:tcBorders>
            <w:shd w:val="clear" w:color="auto" w:fill="auto"/>
            <w:noWrap/>
            <w:vAlign w:val="bottom"/>
            <w:hideMark/>
          </w:tcPr>
          <w:p w14:paraId="23FF5BF3"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5,636743107</w:t>
            </w:r>
          </w:p>
        </w:tc>
        <w:tc>
          <w:tcPr>
            <w:tcW w:w="960" w:type="dxa"/>
            <w:tcBorders>
              <w:top w:val="nil"/>
              <w:left w:val="nil"/>
              <w:bottom w:val="single" w:sz="4" w:space="0" w:color="auto"/>
              <w:right w:val="single" w:sz="4" w:space="0" w:color="auto"/>
            </w:tcBorders>
            <w:shd w:val="clear" w:color="auto" w:fill="auto"/>
            <w:noWrap/>
            <w:vAlign w:val="bottom"/>
            <w:hideMark/>
          </w:tcPr>
          <w:p w14:paraId="16773E4A"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0,593341</w:t>
            </w:r>
          </w:p>
        </w:tc>
      </w:tr>
      <w:tr w:rsidR="00FC3A91" w:rsidRPr="00A15D7C" w14:paraId="1ECAE8C6" w14:textId="77777777" w:rsidTr="00915B45">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ACCF7D2" w14:textId="77777777" w:rsidR="00FC3A91" w:rsidRPr="00A15D7C" w:rsidRDefault="00FC3A91" w:rsidP="00FC3A91">
            <w:pPr>
              <w:spacing w:after="0" w:line="240" w:lineRule="auto"/>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Vaideeni</w:t>
            </w:r>
          </w:p>
        </w:tc>
        <w:tc>
          <w:tcPr>
            <w:tcW w:w="960" w:type="dxa"/>
            <w:tcBorders>
              <w:top w:val="nil"/>
              <w:left w:val="nil"/>
              <w:bottom w:val="single" w:sz="4" w:space="0" w:color="auto"/>
              <w:right w:val="single" w:sz="4" w:space="0" w:color="auto"/>
            </w:tcBorders>
            <w:shd w:val="clear" w:color="auto" w:fill="auto"/>
            <w:noWrap/>
            <w:vAlign w:val="bottom"/>
            <w:hideMark/>
          </w:tcPr>
          <w:p w14:paraId="544C32E4"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3840</w:t>
            </w:r>
          </w:p>
        </w:tc>
        <w:tc>
          <w:tcPr>
            <w:tcW w:w="960" w:type="dxa"/>
            <w:tcBorders>
              <w:top w:val="nil"/>
              <w:left w:val="nil"/>
              <w:bottom w:val="single" w:sz="4" w:space="0" w:color="auto"/>
              <w:right w:val="single" w:sz="4" w:space="0" w:color="auto"/>
            </w:tcBorders>
            <w:shd w:val="clear" w:color="auto" w:fill="auto"/>
            <w:noWrap/>
            <w:vAlign w:val="bottom"/>
            <w:hideMark/>
          </w:tcPr>
          <w:p w14:paraId="0A493B8F"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5</w:t>
            </w:r>
          </w:p>
        </w:tc>
        <w:tc>
          <w:tcPr>
            <w:tcW w:w="960" w:type="dxa"/>
            <w:tcBorders>
              <w:top w:val="nil"/>
              <w:left w:val="nil"/>
              <w:bottom w:val="single" w:sz="4" w:space="0" w:color="auto"/>
              <w:right w:val="single" w:sz="4" w:space="0" w:color="auto"/>
            </w:tcBorders>
            <w:shd w:val="clear" w:color="auto" w:fill="auto"/>
            <w:noWrap/>
            <w:vAlign w:val="bottom"/>
            <w:hideMark/>
          </w:tcPr>
          <w:p w14:paraId="367E918D"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6806</w:t>
            </w:r>
          </w:p>
        </w:tc>
        <w:tc>
          <w:tcPr>
            <w:tcW w:w="1780" w:type="dxa"/>
            <w:tcBorders>
              <w:top w:val="nil"/>
              <w:left w:val="nil"/>
              <w:bottom w:val="single" w:sz="4" w:space="0" w:color="auto"/>
              <w:right w:val="single" w:sz="4" w:space="0" w:color="auto"/>
            </w:tcBorders>
            <w:shd w:val="clear" w:color="auto" w:fill="auto"/>
            <w:noWrap/>
            <w:vAlign w:val="bottom"/>
            <w:hideMark/>
          </w:tcPr>
          <w:p w14:paraId="30A29555"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2,855286369</w:t>
            </w:r>
          </w:p>
        </w:tc>
        <w:tc>
          <w:tcPr>
            <w:tcW w:w="960" w:type="dxa"/>
            <w:tcBorders>
              <w:top w:val="nil"/>
              <w:left w:val="nil"/>
              <w:bottom w:val="single" w:sz="4" w:space="0" w:color="auto"/>
              <w:right w:val="single" w:sz="4" w:space="0" w:color="auto"/>
            </w:tcBorders>
            <w:shd w:val="clear" w:color="auto" w:fill="auto"/>
            <w:noWrap/>
            <w:vAlign w:val="bottom"/>
            <w:hideMark/>
          </w:tcPr>
          <w:p w14:paraId="68479FD0"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0,571057</w:t>
            </w:r>
          </w:p>
        </w:tc>
      </w:tr>
      <w:tr w:rsidR="00FC3A91" w:rsidRPr="00A15D7C" w14:paraId="3FA77F66" w14:textId="77777777" w:rsidTr="00915B45">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950B138" w14:textId="77777777" w:rsidR="00FC3A91" w:rsidRPr="00A15D7C" w:rsidRDefault="00A15D7C" w:rsidP="00FC3A91">
            <w:pPr>
              <w:spacing w:after="0" w:line="240" w:lineRule="auto"/>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Tomş</w:t>
            </w:r>
            <w:r w:rsidR="00FC3A91" w:rsidRPr="00A15D7C">
              <w:rPr>
                <w:rFonts w:ascii="Arial" w:eastAsia="Times New Roman" w:hAnsi="Arial" w:cs="Arial"/>
                <w:color w:val="000000"/>
                <w:sz w:val="20"/>
                <w:szCs w:val="20"/>
                <w:lang w:val="ro-RO" w:eastAsia="ro-RO"/>
              </w:rPr>
              <w:t>ani</w:t>
            </w:r>
          </w:p>
        </w:tc>
        <w:tc>
          <w:tcPr>
            <w:tcW w:w="960" w:type="dxa"/>
            <w:tcBorders>
              <w:top w:val="nil"/>
              <w:left w:val="nil"/>
              <w:bottom w:val="single" w:sz="4" w:space="0" w:color="auto"/>
              <w:right w:val="single" w:sz="4" w:space="0" w:color="auto"/>
            </w:tcBorders>
            <w:shd w:val="clear" w:color="auto" w:fill="auto"/>
            <w:noWrap/>
            <w:vAlign w:val="bottom"/>
            <w:hideMark/>
          </w:tcPr>
          <w:p w14:paraId="57ABA183"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3570</w:t>
            </w:r>
          </w:p>
        </w:tc>
        <w:tc>
          <w:tcPr>
            <w:tcW w:w="960" w:type="dxa"/>
            <w:tcBorders>
              <w:top w:val="nil"/>
              <w:left w:val="nil"/>
              <w:bottom w:val="single" w:sz="4" w:space="0" w:color="auto"/>
              <w:right w:val="single" w:sz="4" w:space="0" w:color="auto"/>
            </w:tcBorders>
            <w:shd w:val="clear" w:color="auto" w:fill="auto"/>
            <w:noWrap/>
            <w:vAlign w:val="bottom"/>
            <w:hideMark/>
          </w:tcPr>
          <w:p w14:paraId="6E5FF534"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6</w:t>
            </w:r>
          </w:p>
        </w:tc>
        <w:tc>
          <w:tcPr>
            <w:tcW w:w="960" w:type="dxa"/>
            <w:tcBorders>
              <w:top w:val="nil"/>
              <w:left w:val="nil"/>
              <w:bottom w:val="single" w:sz="4" w:space="0" w:color="auto"/>
              <w:right w:val="single" w:sz="4" w:space="0" w:color="auto"/>
            </w:tcBorders>
            <w:shd w:val="clear" w:color="auto" w:fill="auto"/>
            <w:noWrap/>
            <w:vAlign w:val="bottom"/>
            <w:hideMark/>
          </w:tcPr>
          <w:p w14:paraId="724ECB31"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6806</w:t>
            </w:r>
          </w:p>
        </w:tc>
        <w:tc>
          <w:tcPr>
            <w:tcW w:w="1780" w:type="dxa"/>
            <w:tcBorders>
              <w:top w:val="nil"/>
              <w:left w:val="nil"/>
              <w:bottom w:val="single" w:sz="4" w:space="0" w:color="auto"/>
              <w:right w:val="single" w:sz="4" w:space="0" w:color="auto"/>
            </w:tcBorders>
            <w:shd w:val="clear" w:color="auto" w:fill="auto"/>
            <w:noWrap/>
            <w:vAlign w:val="bottom"/>
            <w:hideMark/>
          </w:tcPr>
          <w:p w14:paraId="53D60804"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3,479775054</w:t>
            </w:r>
          </w:p>
        </w:tc>
        <w:tc>
          <w:tcPr>
            <w:tcW w:w="960" w:type="dxa"/>
            <w:tcBorders>
              <w:top w:val="nil"/>
              <w:left w:val="nil"/>
              <w:bottom w:val="single" w:sz="4" w:space="0" w:color="auto"/>
              <w:right w:val="single" w:sz="4" w:space="0" w:color="auto"/>
            </w:tcBorders>
            <w:shd w:val="clear" w:color="auto" w:fill="auto"/>
            <w:noWrap/>
            <w:vAlign w:val="bottom"/>
            <w:hideMark/>
          </w:tcPr>
          <w:p w14:paraId="54FE6CF9" w14:textId="77777777" w:rsidR="00FC3A91" w:rsidRPr="00A15D7C" w:rsidRDefault="00FC3A91" w:rsidP="00FC3A91">
            <w:pPr>
              <w:spacing w:after="0" w:line="240" w:lineRule="auto"/>
              <w:jc w:val="right"/>
              <w:rPr>
                <w:rFonts w:ascii="Arial" w:eastAsia="Times New Roman" w:hAnsi="Arial" w:cs="Arial"/>
                <w:color w:val="000000"/>
                <w:sz w:val="20"/>
                <w:szCs w:val="20"/>
                <w:lang w:val="ro-RO" w:eastAsia="ro-RO"/>
              </w:rPr>
            </w:pPr>
            <w:r w:rsidRPr="00A15D7C">
              <w:rPr>
                <w:rFonts w:ascii="Arial" w:eastAsia="Times New Roman" w:hAnsi="Arial" w:cs="Arial"/>
                <w:color w:val="000000"/>
                <w:sz w:val="20"/>
                <w:szCs w:val="20"/>
                <w:lang w:val="ro-RO" w:eastAsia="ro-RO"/>
              </w:rPr>
              <w:t>0,579963</w:t>
            </w:r>
          </w:p>
        </w:tc>
      </w:tr>
    </w:tbl>
    <w:p w14:paraId="17CF37F6" w14:textId="77777777" w:rsidR="00FC3A91" w:rsidRPr="00FC3A91" w:rsidRDefault="00FC3A91" w:rsidP="00FC3A91">
      <w:pPr>
        <w:widowControl w:val="0"/>
        <w:suppressAutoHyphens/>
        <w:autoSpaceDE w:val="0"/>
        <w:spacing w:after="0" w:line="276" w:lineRule="auto"/>
        <w:jc w:val="both"/>
        <w:rPr>
          <w:rFonts w:ascii="Arial" w:hAnsi="Arial" w:cs="Arial"/>
          <w:kern w:val="1"/>
          <w:lang w:eastAsia="hi-IN" w:bidi="hi-IN"/>
        </w:rPr>
      </w:pPr>
    </w:p>
    <w:p w14:paraId="03A28BEC" w14:textId="77777777" w:rsidR="00FC3A91" w:rsidRPr="00FC3A91" w:rsidRDefault="00FC3A91" w:rsidP="00FC3A91">
      <w:pPr>
        <w:widowControl w:val="0"/>
        <w:suppressAutoHyphens/>
        <w:autoSpaceDE w:val="0"/>
        <w:spacing w:after="0" w:line="276" w:lineRule="auto"/>
        <w:jc w:val="both"/>
        <w:rPr>
          <w:rFonts w:ascii="Arial" w:eastAsia="Calibri" w:hAnsi="Arial" w:cs="Arial"/>
          <w:kern w:val="1"/>
          <w:lang w:val="es-ES" w:bidi="hi-IN"/>
        </w:rPr>
      </w:pPr>
      <w:r w:rsidRPr="00FC3A91">
        <w:rPr>
          <w:rFonts w:ascii="Arial" w:eastAsia="Calibri" w:hAnsi="Arial" w:cs="Arial"/>
          <w:kern w:val="1"/>
          <w:lang w:val="es-ES" w:bidi="hi-IN"/>
        </w:rPr>
        <w:t>niciuna din comunele de mai</w:t>
      </w:r>
      <w:r>
        <w:rPr>
          <w:rFonts w:ascii="Arial" w:eastAsia="Calibri" w:hAnsi="Arial" w:cs="Arial"/>
          <w:kern w:val="1"/>
          <w:lang w:val="es-ES" w:bidi="hi-IN"/>
        </w:rPr>
        <w:t xml:space="preserve"> sus (localităţi limitrofe), neîncadrându-se î</w:t>
      </w:r>
      <w:r w:rsidRPr="00FC3A91">
        <w:rPr>
          <w:rFonts w:ascii="Arial" w:eastAsia="Calibri" w:hAnsi="Arial" w:cs="Arial"/>
          <w:kern w:val="1"/>
          <w:lang w:val="es-ES" w:bidi="hi-IN"/>
        </w:rPr>
        <w:t>ntr-un procent de minim 75%.</w:t>
      </w:r>
    </w:p>
    <w:p w14:paraId="0DDE8F04" w14:textId="77777777" w:rsidR="00FC3A91" w:rsidRPr="00FC3A91" w:rsidRDefault="00FC3A91" w:rsidP="00FC3A91">
      <w:pPr>
        <w:widowControl w:val="0"/>
        <w:suppressAutoHyphens/>
        <w:autoSpaceDE w:val="0"/>
        <w:spacing w:after="0" w:line="276" w:lineRule="auto"/>
        <w:jc w:val="both"/>
        <w:rPr>
          <w:rFonts w:ascii="Arial" w:eastAsia="Calibri" w:hAnsi="Arial" w:cs="Arial"/>
          <w:kern w:val="1"/>
          <w:lang w:val="es-ES" w:bidi="hi-IN"/>
        </w:rPr>
      </w:pPr>
    </w:p>
    <w:p w14:paraId="2E213B5C" w14:textId="77777777" w:rsidR="00FC3A91" w:rsidRPr="00FC3A91" w:rsidRDefault="00FC3A91" w:rsidP="00FC3A91">
      <w:pPr>
        <w:widowControl w:val="0"/>
        <w:suppressAutoHyphens/>
        <w:autoSpaceDE w:val="0"/>
        <w:spacing w:after="0" w:line="276" w:lineRule="auto"/>
        <w:jc w:val="both"/>
        <w:rPr>
          <w:rFonts w:ascii="Arial" w:hAnsi="Arial" w:cs="Arial"/>
          <w:kern w:val="1"/>
          <w:lang w:eastAsia="hi-IN" w:bidi="hi-IN"/>
        </w:rPr>
      </w:pPr>
      <w:r w:rsidRPr="00FC3A91">
        <w:rPr>
          <w:rFonts w:ascii="Arial" w:hAnsi="Arial" w:cs="Arial"/>
          <w:kern w:val="1"/>
          <w:lang w:eastAsia="hi-IN" w:bidi="hi-IN"/>
        </w:rPr>
        <w:t xml:space="preserve">Concluzii: </w:t>
      </w:r>
    </w:p>
    <w:p w14:paraId="4BEF0705" w14:textId="77777777" w:rsidR="00FC3A91" w:rsidRPr="00FC3A91" w:rsidRDefault="00FC3A91" w:rsidP="006B613A">
      <w:pPr>
        <w:widowControl w:val="0"/>
        <w:numPr>
          <w:ilvl w:val="0"/>
          <w:numId w:val="12"/>
        </w:numPr>
        <w:suppressAutoHyphens/>
        <w:autoSpaceDE w:val="0"/>
        <w:spacing w:after="0" w:line="276" w:lineRule="auto"/>
        <w:jc w:val="both"/>
        <w:rPr>
          <w:rFonts w:ascii="Arial" w:hAnsi="Arial" w:cs="Arial"/>
          <w:kern w:val="1"/>
          <w:lang w:val="es-ES" w:eastAsia="hi-IN" w:bidi="hi-IN"/>
        </w:rPr>
      </w:pPr>
      <w:r w:rsidRPr="00FC3A91">
        <w:rPr>
          <w:rFonts w:ascii="Arial" w:hAnsi="Arial" w:cs="Arial"/>
          <w:kern w:val="1"/>
          <w:lang w:val="es-ES" w:eastAsia="hi-IN" w:bidi="hi-IN"/>
        </w:rPr>
        <w:t>aria cea mai adecvatǎ pentru realizarea unui plan de mobilitate urbanǎ durabilǎ nu poate fi rezumatǎ la aria urbanǎ;</w:t>
      </w:r>
    </w:p>
    <w:p w14:paraId="2BED396A" w14:textId="77777777" w:rsidR="00FC3A91" w:rsidRPr="00FC3A91" w:rsidRDefault="00FC3A91" w:rsidP="006B613A">
      <w:pPr>
        <w:widowControl w:val="0"/>
        <w:numPr>
          <w:ilvl w:val="0"/>
          <w:numId w:val="12"/>
        </w:numPr>
        <w:suppressAutoHyphens/>
        <w:autoSpaceDE w:val="0"/>
        <w:spacing w:after="0" w:line="276" w:lineRule="auto"/>
        <w:jc w:val="both"/>
        <w:rPr>
          <w:rFonts w:ascii="Arial" w:hAnsi="Arial" w:cs="Arial"/>
          <w:kern w:val="1"/>
          <w:lang w:val="es-ES" w:eastAsia="hi-IN" w:bidi="hi-IN"/>
        </w:rPr>
      </w:pPr>
      <w:r w:rsidRPr="00FC3A91">
        <w:rPr>
          <w:rFonts w:ascii="Arial" w:hAnsi="Arial" w:cs="Arial"/>
          <w:kern w:val="1"/>
          <w:lang w:val="es-ES" w:eastAsia="hi-IN" w:bidi="hi-IN"/>
        </w:rPr>
        <w:t xml:space="preserve">extinderea pȃnǎ la 5 km de centrul </w:t>
      </w:r>
      <w:r w:rsidR="00A15D7C">
        <w:rPr>
          <w:rFonts w:ascii="Arial" w:hAnsi="Arial" w:cs="Arial"/>
          <w:kern w:val="1"/>
          <w:lang w:val="es-ES" w:eastAsia="hi-IN" w:bidi="hi-IN"/>
        </w:rPr>
        <w:t>oraşului</w:t>
      </w:r>
      <w:r w:rsidRPr="00FC3A91">
        <w:rPr>
          <w:rFonts w:ascii="Arial" w:hAnsi="Arial" w:cs="Arial"/>
          <w:kern w:val="1"/>
          <w:lang w:val="es-ES" w:eastAsia="hi-IN" w:bidi="hi-IN"/>
        </w:rPr>
        <w:t xml:space="preserve"> nu are suficientǎ consistențǎ din cauza inexistenței unor localitǎți care sǎ graviteze economic ȋn jurul </w:t>
      </w:r>
      <w:r w:rsidR="00A15D7C">
        <w:rPr>
          <w:rFonts w:ascii="Arial" w:hAnsi="Arial" w:cs="Arial"/>
          <w:kern w:val="1"/>
          <w:lang w:val="es-ES" w:eastAsia="hi-IN" w:bidi="hi-IN"/>
        </w:rPr>
        <w:t>oraşului</w:t>
      </w:r>
      <w:r w:rsidRPr="00FC3A91">
        <w:rPr>
          <w:rFonts w:ascii="Arial" w:hAnsi="Arial" w:cs="Arial"/>
          <w:kern w:val="1"/>
          <w:lang w:val="es-ES" w:eastAsia="hi-IN" w:bidi="hi-IN"/>
        </w:rPr>
        <w:t>.</w:t>
      </w:r>
    </w:p>
    <w:p w14:paraId="46C04EE1" w14:textId="77777777" w:rsidR="00FC3A91" w:rsidRPr="00FC3A91" w:rsidRDefault="00FC3A91" w:rsidP="00FC3A91">
      <w:pPr>
        <w:widowControl w:val="0"/>
        <w:suppressAutoHyphens/>
        <w:spacing w:after="0" w:line="276" w:lineRule="auto"/>
        <w:jc w:val="both"/>
        <w:rPr>
          <w:rFonts w:ascii="Arial" w:hAnsi="Arial" w:cs="Arial"/>
          <w:color w:val="FF0000"/>
          <w:kern w:val="1"/>
          <w:lang w:val="es-ES" w:eastAsia="zh-CN" w:bidi="hi-IN"/>
        </w:rPr>
      </w:pPr>
    </w:p>
    <w:p w14:paraId="5A9EF07E" w14:textId="77777777" w:rsidR="00FC3A91" w:rsidRPr="00FC3A91" w:rsidRDefault="00FC3A91" w:rsidP="00FC3A91">
      <w:pPr>
        <w:widowControl w:val="0"/>
        <w:suppressAutoHyphens/>
        <w:spacing w:after="0" w:line="276" w:lineRule="auto"/>
        <w:jc w:val="both"/>
        <w:rPr>
          <w:rFonts w:ascii="Arial" w:hAnsi="Arial" w:cs="Arial"/>
          <w:kern w:val="1"/>
          <w:lang w:val="es-ES" w:bidi="hi-IN"/>
        </w:rPr>
      </w:pPr>
      <w:r w:rsidRPr="00FC3A91">
        <w:rPr>
          <w:rFonts w:ascii="Arial" w:hAnsi="Arial" w:cs="Arial"/>
          <w:kern w:val="1"/>
          <w:lang w:val="es-ES" w:eastAsia="hi-IN" w:bidi="hi-IN"/>
        </w:rPr>
        <w:t>Prin urma</w:t>
      </w:r>
      <w:r w:rsidR="00A15D7C">
        <w:rPr>
          <w:rFonts w:ascii="Arial" w:hAnsi="Arial" w:cs="Arial"/>
          <w:kern w:val="1"/>
          <w:lang w:val="es-ES" w:eastAsia="hi-IN" w:bidi="hi-IN"/>
        </w:rPr>
        <w:t>re, aria de acoperire geografică</w:t>
      </w:r>
      <w:r w:rsidRPr="00FC3A91">
        <w:rPr>
          <w:rFonts w:ascii="Arial" w:hAnsi="Arial" w:cs="Arial"/>
          <w:kern w:val="1"/>
          <w:lang w:val="es-ES" w:eastAsia="hi-IN" w:bidi="hi-IN"/>
        </w:rPr>
        <w:t xml:space="preserve"> a Planului de Mobilitate Urbană Durabilă tr</w:t>
      </w:r>
      <w:r w:rsidR="00A15D7C">
        <w:rPr>
          <w:rFonts w:ascii="Arial" w:hAnsi="Arial" w:cs="Arial"/>
          <w:kern w:val="1"/>
          <w:lang w:val="es-ES" w:eastAsia="hi-IN" w:bidi="hi-IN"/>
        </w:rPr>
        <w:t>ebuie să cuprindă, pe lângă oraş</w:t>
      </w:r>
      <w:r w:rsidRPr="00FC3A91">
        <w:rPr>
          <w:rFonts w:ascii="Arial" w:hAnsi="Arial" w:cs="Arial"/>
          <w:kern w:val="1"/>
          <w:lang w:val="es-ES" w:eastAsia="hi-IN" w:bidi="hi-IN"/>
        </w:rPr>
        <w:t>u</w:t>
      </w:r>
      <w:r w:rsidR="00A15D7C">
        <w:rPr>
          <w:rFonts w:ascii="Arial" w:hAnsi="Arial" w:cs="Arial"/>
          <w:kern w:val="1"/>
          <w:lang w:val="es-ES" w:eastAsia="hi-IN" w:bidi="hi-IN"/>
        </w:rPr>
        <w:t>l Horezu doar localitățile aparţină</w:t>
      </w:r>
      <w:r w:rsidRPr="00FC3A91">
        <w:rPr>
          <w:rFonts w:ascii="Arial" w:hAnsi="Arial" w:cs="Arial"/>
          <w:kern w:val="1"/>
          <w:lang w:val="es-ES" w:eastAsia="hi-IN" w:bidi="hi-IN"/>
        </w:rPr>
        <w:t xml:space="preserve">toare </w:t>
      </w:r>
      <w:r w:rsidR="00A15D7C">
        <w:rPr>
          <w:rFonts w:ascii="Arial" w:hAnsi="Arial" w:cs="Arial"/>
          <w:kern w:val="1"/>
          <w:lang w:eastAsia="hi-IN" w:bidi="hi-IN"/>
        </w:rPr>
        <w:t>Ifrimeşti, Râmeş</w:t>
      </w:r>
      <w:r w:rsidRPr="00FC3A91">
        <w:rPr>
          <w:rFonts w:ascii="Arial" w:hAnsi="Arial" w:cs="Arial"/>
          <w:kern w:val="1"/>
          <w:lang w:eastAsia="hi-IN" w:bidi="hi-IN"/>
        </w:rPr>
        <w:t xml:space="preserve">ti, Romanii de Jos, </w:t>
      </w:r>
      <w:r w:rsidR="00A15D7C">
        <w:rPr>
          <w:rFonts w:ascii="Arial" w:hAnsi="Arial" w:cs="Arial"/>
          <w:kern w:val="1"/>
          <w:lang w:eastAsia="hi-IN" w:bidi="hi-IN"/>
        </w:rPr>
        <w:t>Romanii de Sus, Tănăseşti şi Urş</w:t>
      </w:r>
      <w:r w:rsidRPr="00FC3A91">
        <w:rPr>
          <w:rFonts w:ascii="Arial" w:hAnsi="Arial" w:cs="Arial"/>
          <w:kern w:val="1"/>
          <w:lang w:eastAsia="hi-IN" w:bidi="hi-IN"/>
        </w:rPr>
        <w:t>ani</w:t>
      </w:r>
      <w:r w:rsidRPr="00FC3A91">
        <w:rPr>
          <w:rFonts w:ascii="Arial" w:hAnsi="Arial" w:cs="Arial"/>
          <w:kern w:val="1"/>
          <w:lang w:val="es-ES" w:bidi="hi-IN"/>
        </w:rPr>
        <w:t>.</w:t>
      </w:r>
    </w:p>
    <w:p w14:paraId="1E7CFB0D" w14:textId="77777777" w:rsidR="00FC3A91" w:rsidRPr="00FC3A91" w:rsidRDefault="00FC3A91" w:rsidP="00FC3A91">
      <w:pPr>
        <w:rPr>
          <w:rFonts w:ascii="Calibri" w:hAnsi="Calibri" w:cs="Times New Roman"/>
        </w:rPr>
      </w:pPr>
    </w:p>
    <w:p w14:paraId="3BB7DD11" w14:textId="77777777" w:rsidR="00D70AEA" w:rsidRPr="003430C5" w:rsidRDefault="00D70AEA" w:rsidP="003430C5">
      <w:pPr>
        <w:pStyle w:val="Titlu2"/>
        <w:rPr>
          <w:rFonts w:ascii="Arial" w:eastAsia="Times New Roman" w:hAnsi="Arial" w:cs="Arial"/>
          <w:b/>
          <w:bCs/>
          <w:color w:val="auto"/>
          <w:sz w:val="24"/>
          <w:szCs w:val="24"/>
          <w:lang w:val="it-IT" w:eastAsia="ro-RO"/>
        </w:rPr>
      </w:pPr>
      <w:bookmarkStart w:id="26" w:name="_Toc61264884"/>
      <w:bookmarkStart w:id="27" w:name="_Toc142039046"/>
      <w:r w:rsidRPr="003430C5">
        <w:rPr>
          <w:rFonts w:ascii="Arial" w:eastAsia="Times New Roman" w:hAnsi="Arial" w:cs="Arial"/>
          <w:b/>
          <w:bCs/>
          <w:color w:val="auto"/>
          <w:sz w:val="24"/>
          <w:szCs w:val="24"/>
          <w:lang w:val="it-IT" w:eastAsia="ro-RO"/>
        </w:rPr>
        <w:lastRenderedPageBreak/>
        <w:t>I.1.2</w:t>
      </w:r>
      <w:r w:rsidR="003430C5">
        <w:rPr>
          <w:rFonts w:ascii="Arial" w:eastAsia="Times New Roman" w:hAnsi="Arial" w:cs="Arial"/>
          <w:b/>
          <w:bCs/>
          <w:color w:val="auto"/>
          <w:sz w:val="24"/>
          <w:szCs w:val="24"/>
          <w:lang w:val="it-IT" w:eastAsia="ro-RO"/>
        </w:rPr>
        <w:t xml:space="preserve"> </w:t>
      </w:r>
      <w:r w:rsidR="008A5157">
        <w:rPr>
          <w:rFonts w:ascii="Arial" w:eastAsia="Times New Roman" w:hAnsi="Arial" w:cs="Arial"/>
          <w:b/>
          <w:bCs/>
          <w:color w:val="auto"/>
          <w:sz w:val="24"/>
          <w:szCs w:val="24"/>
          <w:lang w:val="it-IT" w:eastAsia="ro-RO"/>
        </w:rPr>
        <w:t>Î</w:t>
      </w:r>
      <w:r w:rsidRPr="003430C5">
        <w:rPr>
          <w:rFonts w:ascii="Arial" w:eastAsia="Times New Roman" w:hAnsi="Arial" w:cs="Arial"/>
          <w:b/>
          <w:bCs/>
          <w:color w:val="auto"/>
          <w:sz w:val="24"/>
          <w:szCs w:val="24"/>
          <w:lang w:val="it-IT" w:eastAsia="ro-RO"/>
        </w:rPr>
        <w:t>ncadrarea în prevederile documentelor de planificare spațială</w:t>
      </w:r>
      <w:bookmarkEnd w:id="26"/>
      <w:bookmarkEnd w:id="27"/>
    </w:p>
    <w:p w14:paraId="17A8A99F" w14:textId="77777777" w:rsidR="00D70AEA" w:rsidRPr="00D70AEA" w:rsidRDefault="00D70AEA" w:rsidP="00D70AEA">
      <w:pPr>
        <w:spacing w:after="0" w:line="276" w:lineRule="auto"/>
        <w:ind w:left="20" w:right="20"/>
        <w:jc w:val="both"/>
        <w:rPr>
          <w:rFonts w:ascii="Arial" w:eastAsia="Times New Roman" w:hAnsi="Arial" w:cs="Arial"/>
          <w:lang w:val="en-GB" w:eastAsia="ro-RO"/>
        </w:rPr>
      </w:pPr>
      <w:r w:rsidRPr="00D70AEA">
        <w:rPr>
          <w:rFonts w:ascii="Arial" w:eastAsia="Times New Roman" w:hAnsi="Arial" w:cs="Arial"/>
          <w:lang w:val="en-GB" w:eastAsia="ro-RO"/>
        </w:rPr>
        <w:t xml:space="preserve">Planul de mobilitate urbană durabilă reprezintă o documentaţie complementară strategiei de dezvoltare teritorială periurbană/metropolitană şi Planului Urbanistic General (P.U.G.) şi </w:t>
      </w:r>
      <w:r w:rsidRPr="00D70AEA">
        <w:rPr>
          <w:rFonts w:ascii="Arial" w:eastAsia="Times New Roman" w:hAnsi="Arial" w:cs="Arial"/>
          <w:lang w:val="it-IT" w:eastAsia="ro-RO"/>
        </w:rPr>
        <w:t xml:space="preserve">constituie </w:t>
      </w:r>
      <w:r w:rsidRPr="00D70AEA">
        <w:rPr>
          <w:rFonts w:ascii="Arial" w:eastAsia="Times New Roman" w:hAnsi="Arial" w:cs="Arial"/>
          <w:lang w:val="en-GB" w:eastAsia="ro-RO"/>
        </w:rPr>
        <w:t xml:space="preserve">instrumentul de planificare strategică teritorială prin care este corelată dezvoltarea spaţială a localităţilor şi a zonei periurbane a acestora cu nevoile de mobilitate şi transport ale persoanelor şi mărfurilor. </w:t>
      </w:r>
    </w:p>
    <w:p w14:paraId="3C800770" w14:textId="77777777" w:rsidR="00D70AEA" w:rsidRPr="00D70AEA" w:rsidRDefault="00D70AEA" w:rsidP="00D70AEA">
      <w:pPr>
        <w:spacing w:after="0" w:line="276" w:lineRule="auto"/>
        <w:ind w:left="20" w:right="20"/>
        <w:jc w:val="both"/>
        <w:rPr>
          <w:rFonts w:ascii="Arial" w:eastAsia="Times New Roman" w:hAnsi="Arial" w:cs="Arial"/>
          <w:lang w:val="en-GB" w:eastAsia="ro-RO"/>
        </w:rPr>
      </w:pPr>
    </w:p>
    <w:p w14:paraId="16AA22E4" w14:textId="77777777" w:rsidR="00D70AEA" w:rsidRPr="00D70AEA" w:rsidRDefault="00D70AEA" w:rsidP="00D70AEA">
      <w:pPr>
        <w:spacing w:after="0" w:line="276" w:lineRule="auto"/>
        <w:ind w:left="20" w:right="20"/>
        <w:jc w:val="both"/>
        <w:rPr>
          <w:rFonts w:ascii="Arial" w:eastAsia="Times New Roman" w:hAnsi="Arial" w:cs="Arial"/>
          <w:lang w:val="en-GB" w:eastAsia="ro-RO"/>
        </w:rPr>
      </w:pPr>
      <w:r w:rsidRPr="00D70AEA">
        <w:rPr>
          <w:rFonts w:ascii="Arial" w:eastAsia="Times New Roman" w:hAnsi="Arial" w:cs="Arial"/>
          <w:lang w:val="en-GB" w:eastAsia="ro-RO"/>
        </w:rPr>
        <w:t>Documentele de planificare spațială reprezintă sursa oficială de informații pentru întocmirea studiilor de specialitate, după cum este menționat în legea 350/2001 privind amenajarea teritoriului și urbanismul. Conform articolului 7 al legii, scopul de bază al amenajării teritoriului îl constituie armonizarea la nivelul întregului teritoriu a politicilor economice, sociale, ecologice și culturale, stabilite la nivel național și local pentru asigurarea echilibrului în dezvoltarea diferitelor zone ale țării, urmărindu-se creșterea coeziunii și eficientei relațiilor economice și sociale dintre acestea.</w:t>
      </w:r>
    </w:p>
    <w:p w14:paraId="18093815" w14:textId="77777777" w:rsidR="00D70AEA" w:rsidRPr="00D70AEA" w:rsidRDefault="00D70AEA" w:rsidP="00D70AEA">
      <w:pPr>
        <w:spacing w:after="0" w:line="276" w:lineRule="auto"/>
        <w:rPr>
          <w:rFonts w:ascii="Arial" w:eastAsia="Calibri" w:hAnsi="Arial" w:cs="Arial"/>
        </w:rPr>
      </w:pPr>
      <w:r w:rsidRPr="00D70AEA">
        <w:rPr>
          <w:rFonts w:ascii="Arial" w:eastAsia="Calibri" w:hAnsi="Arial" w:cs="Arial"/>
        </w:rPr>
        <w:t>Lista documentelo</w:t>
      </w:r>
      <w:r w:rsidR="00A15D7C">
        <w:rPr>
          <w:rFonts w:ascii="Arial" w:eastAsia="Calibri" w:hAnsi="Arial" w:cs="Arial"/>
        </w:rPr>
        <w:t>r de planificare operațională</w:t>
      </w:r>
      <w:r w:rsidRPr="00D70AEA">
        <w:rPr>
          <w:rFonts w:ascii="Arial" w:eastAsia="Calibri" w:hAnsi="Arial" w:cs="Arial"/>
        </w:rPr>
        <w:t xml:space="preserve"> este prezentată mai jos: </w:t>
      </w:r>
    </w:p>
    <w:p w14:paraId="34B93A66" w14:textId="77777777" w:rsidR="00D70AEA" w:rsidRPr="00D70AEA" w:rsidRDefault="00D70AEA" w:rsidP="000C6CB8">
      <w:pPr>
        <w:numPr>
          <w:ilvl w:val="0"/>
          <w:numId w:val="197"/>
        </w:numPr>
        <w:spacing w:after="0" w:line="276" w:lineRule="auto"/>
        <w:contextualSpacing/>
        <w:rPr>
          <w:rFonts w:ascii="Arial" w:eastAsia="Calibri" w:hAnsi="Arial" w:cs="Arial"/>
        </w:rPr>
      </w:pPr>
      <w:r w:rsidRPr="00D70AEA">
        <w:rPr>
          <w:rFonts w:ascii="Arial" w:eastAsia="Calibri" w:hAnsi="Arial" w:cs="Arial"/>
        </w:rPr>
        <w:t xml:space="preserve">Planul de amenajare a teritoriului național - PATN </w:t>
      </w:r>
    </w:p>
    <w:p w14:paraId="41021A72" w14:textId="77777777" w:rsidR="00D70AEA" w:rsidRPr="00D70AEA" w:rsidRDefault="00D70AEA" w:rsidP="000C6CB8">
      <w:pPr>
        <w:numPr>
          <w:ilvl w:val="0"/>
          <w:numId w:val="197"/>
        </w:numPr>
        <w:spacing w:after="0" w:line="276" w:lineRule="auto"/>
        <w:contextualSpacing/>
        <w:rPr>
          <w:rFonts w:ascii="Arial" w:eastAsia="Calibri" w:hAnsi="Arial" w:cs="Arial"/>
        </w:rPr>
      </w:pPr>
      <w:r w:rsidRPr="00D70AEA">
        <w:rPr>
          <w:rFonts w:ascii="Arial" w:eastAsia="Calibri" w:hAnsi="Arial" w:cs="Arial"/>
        </w:rPr>
        <w:t xml:space="preserve">Planul de amenajare a teritoriului zonal - PATZ </w:t>
      </w:r>
    </w:p>
    <w:p w14:paraId="08BD5485" w14:textId="77777777" w:rsidR="00D70AEA" w:rsidRPr="00D70AEA" w:rsidRDefault="00D70AEA" w:rsidP="000C6CB8">
      <w:pPr>
        <w:numPr>
          <w:ilvl w:val="0"/>
          <w:numId w:val="197"/>
        </w:numPr>
        <w:spacing w:after="0" w:line="276" w:lineRule="auto"/>
        <w:contextualSpacing/>
        <w:rPr>
          <w:rFonts w:ascii="Arial" w:eastAsia="Calibri" w:hAnsi="Arial" w:cs="Arial"/>
        </w:rPr>
      </w:pPr>
      <w:r w:rsidRPr="00D70AEA">
        <w:rPr>
          <w:rFonts w:ascii="Arial" w:eastAsia="Calibri" w:hAnsi="Arial" w:cs="Arial"/>
        </w:rPr>
        <w:t xml:space="preserve">Planul de amenajare a teritoriului județean - PATJ </w:t>
      </w:r>
    </w:p>
    <w:p w14:paraId="62602245" w14:textId="77777777" w:rsidR="00D70AEA" w:rsidRPr="00D70AEA" w:rsidRDefault="00D70AEA" w:rsidP="000C6CB8">
      <w:pPr>
        <w:numPr>
          <w:ilvl w:val="0"/>
          <w:numId w:val="197"/>
        </w:numPr>
        <w:spacing w:after="0" w:line="276" w:lineRule="auto"/>
        <w:contextualSpacing/>
        <w:rPr>
          <w:rFonts w:ascii="Arial" w:eastAsia="Calibri" w:hAnsi="Arial" w:cs="Arial"/>
        </w:rPr>
      </w:pPr>
      <w:r w:rsidRPr="00D70AEA">
        <w:rPr>
          <w:rFonts w:ascii="Arial" w:eastAsia="Calibri" w:hAnsi="Arial" w:cs="Arial"/>
        </w:rPr>
        <w:t xml:space="preserve">Planul urbanistic general - PUG </w:t>
      </w:r>
    </w:p>
    <w:p w14:paraId="1D0F9480" w14:textId="77777777" w:rsidR="00D70AEA" w:rsidRPr="00D70AEA" w:rsidRDefault="00D70AEA" w:rsidP="000C6CB8">
      <w:pPr>
        <w:numPr>
          <w:ilvl w:val="0"/>
          <w:numId w:val="197"/>
        </w:numPr>
        <w:spacing w:after="0" w:line="276" w:lineRule="auto"/>
        <w:contextualSpacing/>
        <w:rPr>
          <w:rFonts w:ascii="Arial" w:eastAsia="Calibri" w:hAnsi="Arial" w:cs="Arial"/>
        </w:rPr>
      </w:pPr>
      <w:r w:rsidRPr="00D70AEA">
        <w:rPr>
          <w:rFonts w:ascii="Arial" w:eastAsia="Calibri" w:hAnsi="Arial" w:cs="Arial"/>
        </w:rPr>
        <w:t xml:space="preserve">Planul urbanistic zonal - PUZ </w:t>
      </w:r>
    </w:p>
    <w:p w14:paraId="79C0A765" w14:textId="77777777" w:rsidR="00D70AEA" w:rsidRPr="00D70AEA" w:rsidRDefault="00D70AEA" w:rsidP="000C6CB8">
      <w:pPr>
        <w:numPr>
          <w:ilvl w:val="0"/>
          <w:numId w:val="197"/>
        </w:numPr>
        <w:spacing w:after="0" w:line="276" w:lineRule="auto"/>
        <w:contextualSpacing/>
        <w:rPr>
          <w:rFonts w:ascii="Arial" w:eastAsia="Calibri" w:hAnsi="Arial" w:cs="Arial"/>
          <w:lang w:val="it-IT" w:eastAsia="ro-RO"/>
        </w:rPr>
      </w:pPr>
      <w:r w:rsidRPr="00D70AEA">
        <w:rPr>
          <w:rFonts w:ascii="Arial" w:eastAsia="Calibri" w:hAnsi="Arial" w:cs="Arial"/>
        </w:rPr>
        <w:t>Planul urbanistic de detaliu – PUD</w:t>
      </w:r>
    </w:p>
    <w:p w14:paraId="6EE2D708" w14:textId="77777777" w:rsidR="00D70AEA" w:rsidRPr="00D70AEA" w:rsidRDefault="00D70AEA" w:rsidP="00D70AEA">
      <w:pPr>
        <w:spacing w:after="0" w:line="276" w:lineRule="auto"/>
        <w:rPr>
          <w:rFonts w:ascii="Arial" w:eastAsia="Calibri" w:hAnsi="Arial" w:cs="Arial"/>
          <w:lang w:val="it-IT" w:eastAsia="ro-RO"/>
        </w:rPr>
      </w:pPr>
    </w:p>
    <w:p w14:paraId="0F604C2A" w14:textId="77777777" w:rsidR="00D70AEA" w:rsidRDefault="00A15D7C" w:rsidP="00D70AEA">
      <w:pPr>
        <w:spacing w:after="0" w:line="276" w:lineRule="auto"/>
        <w:jc w:val="both"/>
        <w:rPr>
          <w:rFonts w:ascii="Arial" w:eastAsia="Calibri" w:hAnsi="Arial" w:cs="Arial"/>
          <w:lang w:val="it-IT" w:eastAsia="ro-RO"/>
        </w:rPr>
      </w:pPr>
      <w:r>
        <w:rPr>
          <w:rFonts w:ascii="Arial" w:eastAsia="Calibri" w:hAnsi="Arial" w:cs="Arial"/>
          <w:lang w:val="it-IT" w:eastAsia="ro-RO"/>
        </w:rPr>
        <w:t>În întocmirea PMUD al oraşului Horezu</w:t>
      </w:r>
      <w:r w:rsidR="00D70AEA" w:rsidRPr="00D70AEA">
        <w:rPr>
          <w:rFonts w:ascii="Arial" w:eastAsia="Calibri" w:hAnsi="Arial" w:cs="Arial"/>
          <w:lang w:val="it-IT" w:eastAsia="ro-RO"/>
        </w:rPr>
        <w:t xml:space="preserve"> </w:t>
      </w:r>
      <w:r>
        <w:rPr>
          <w:rFonts w:ascii="Arial" w:eastAsia="Calibri" w:hAnsi="Arial" w:cs="Arial"/>
          <w:lang w:val="it-IT" w:eastAsia="ro-RO"/>
        </w:rPr>
        <w:t xml:space="preserve">se are în </w:t>
      </w:r>
      <w:r w:rsidR="00D70AEA" w:rsidRPr="00D70AEA">
        <w:rPr>
          <w:rFonts w:ascii="Arial" w:eastAsia="Calibri" w:hAnsi="Arial" w:cs="Arial"/>
          <w:lang w:val="it-IT" w:eastAsia="ro-RO"/>
        </w:rPr>
        <w:t xml:space="preserve">vedere corelarea cu prevederile documentelor de planificare spaţială la nivel </w:t>
      </w:r>
      <w:r w:rsidR="00D70AEA" w:rsidRPr="00D70AEA">
        <w:rPr>
          <w:rFonts w:ascii="Arial" w:eastAsia="Calibri" w:hAnsi="Arial" w:cs="Arial"/>
          <w:b/>
          <w:lang w:val="it-IT" w:eastAsia="ro-RO"/>
        </w:rPr>
        <w:t>european</w:t>
      </w:r>
      <w:r w:rsidR="00D70AEA" w:rsidRPr="00D70AEA">
        <w:rPr>
          <w:rFonts w:ascii="Arial" w:eastAsia="Calibri" w:hAnsi="Arial" w:cs="Arial"/>
          <w:lang w:val="it-IT" w:eastAsia="ro-RO"/>
        </w:rPr>
        <w:t xml:space="preserve">, </w:t>
      </w:r>
      <w:r w:rsidR="00D70AEA" w:rsidRPr="00D70AEA">
        <w:rPr>
          <w:rFonts w:ascii="Arial" w:eastAsia="Calibri" w:hAnsi="Arial" w:cs="Arial"/>
          <w:b/>
          <w:lang w:val="it-IT" w:eastAsia="ro-RO"/>
        </w:rPr>
        <w:t>naţional</w:t>
      </w:r>
      <w:r w:rsidR="00D70AEA" w:rsidRPr="00D70AEA">
        <w:rPr>
          <w:rFonts w:ascii="Arial" w:eastAsia="Calibri" w:hAnsi="Arial" w:cs="Arial"/>
          <w:lang w:val="it-IT" w:eastAsia="ro-RO"/>
        </w:rPr>
        <w:t xml:space="preserve">, </w:t>
      </w:r>
      <w:r w:rsidR="00D70AEA" w:rsidRPr="00D70AEA">
        <w:rPr>
          <w:rFonts w:ascii="Arial" w:eastAsia="Calibri" w:hAnsi="Arial" w:cs="Arial"/>
          <w:b/>
          <w:lang w:val="it-IT" w:eastAsia="ro-RO"/>
        </w:rPr>
        <w:t>judeţean</w:t>
      </w:r>
      <w:r w:rsidR="00D70AEA" w:rsidRPr="00D70AEA">
        <w:rPr>
          <w:rFonts w:ascii="Arial" w:eastAsia="Calibri" w:hAnsi="Arial" w:cs="Arial"/>
          <w:lang w:val="it-IT" w:eastAsia="ro-RO"/>
        </w:rPr>
        <w:t xml:space="preserve"> şi </w:t>
      </w:r>
      <w:r w:rsidR="00D70AEA" w:rsidRPr="00D70AEA">
        <w:rPr>
          <w:rFonts w:ascii="Arial" w:eastAsia="Calibri" w:hAnsi="Arial" w:cs="Arial"/>
          <w:b/>
          <w:lang w:val="it-IT" w:eastAsia="ro-RO"/>
        </w:rPr>
        <w:t>local</w:t>
      </w:r>
      <w:r w:rsidR="00D70AEA" w:rsidRPr="00D70AEA">
        <w:rPr>
          <w:rFonts w:ascii="Arial" w:eastAsia="Calibri" w:hAnsi="Arial" w:cs="Arial"/>
          <w:lang w:val="it-IT" w:eastAsia="ro-RO"/>
        </w:rPr>
        <w:t>.</w:t>
      </w:r>
    </w:p>
    <w:p w14:paraId="7C569D47" w14:textId="77777777" w:rsidR="00FA24B8" w:rsidRPr="00D70AEA" w:rsidRDefault="00FA24B8" w:rsidP="00D70AEA">
      <w:pPr>
        <w:spacing w:after="0" w:line="276" w:lineRule="auto"/>
        <w:jc w:val="both"/>
        <w:rPr>
          <w:rFonts w:ascii="Arial" w:eastAsia="Calibri" w:hAnsi="Arial" w:cs="Arial"/>
          <w:lang w:val="it-IT" w:eastAsia="ro-RO"/>
        </w:rPr>
      </w:pPr>
    </w:p>
    <w:p w14:paraId="21DCAB93" w14:textId="77777777" w:rsidR="00D70AEA" w:rsidRPr="00D70AEA" w:rsidRDefault="00D70AEA" w:rsidP="00D70AEA">
      <w:pPr>
        <w:spacing w:after="0" w:line="276" w:lineRule="auto"/>
        <w:jc w:val="both"/>
        <w:rPr>
          <w:rFonts w:ascii="Arial" w:eastAsia="Calibri" w:hAnsi="Arial" w:cs="Arial"/>
          <w:lang w:val="it-IT" w:eastAsia="ro-RO"/>
        </w:rPr>
      </w:pPr>
    </w:p>
    <w:p w14:paraId="29AEE6C4" w14:textId="77777777" w:rsidR="00D70AEA" w:rsidRPr="00D70AEA" w:rsidRDefault="00D70AEA" w:rsidP="00D70AEA">
      <w:pPr>
        <w:shd w:val="clear" w:color="auto" w:fill="E7E6E6"/>
        <w:spacing w:after="0" w:line="276" w:lineRule="auto"/>
        <w:jc w:val="both"/>
        <w:rPr>
          <w:rFonts w:ascii="Arial" w:eastAsia="Calibri" w:hAnsi="Arial" w:cs="Arial"/>
          <w:b/>
          <w:lang w:val="it-IT" w:eastAsia="ro-RO"/>
        </w:rPr>
      </w:pPr>
      <w:r w:rsidRPr="00D70AEA">
        <w:rPr>
          <w:rFonts w:ascii="Arial" w:eastAsia="Calibri" w:hAnsi="Arial" w:cs="Arial"/>
          <w:b/>
          <w:lang w:val="it-IT" w:eastAsia="ro-RO"/>
        </w:rPr>
        <w:t>Planificarea teritorială la nivel european</w:t>
      </w:r>
    </w:p>
    <w:p w14:paraId="35D7C82B" w14:textId="77777777" w:rsidR="00D70AEA" w:rsidRPr="00D70AEA" w:rsidRDefault="00D70AEA" w:rsidP="00D70AEA">
      <w:pPr>
        <w:spacing w:after="0" w:line="276" w:lineRule="auto"/>
        <w:jc w:val="both"/>
        <w:rPr>
          <w:rFonts w:ascii="Arial" w:eastAsia="Calibri" w:hAnsi="Arial" w:cs="Arial"/>
          <w:lang w:val="it-IT" w:eastAsia="ro-RO"/>
        </w:rPr>
      </w:pPr>
    </w:p>
    <w:p w14:paraId="3226E0BB" w14:textId="538E8235" w:rsidR="00D70AEA" w:rsidRPr="00D70AEA" w:rsidRDefault="00D70AEA" w:rsidP="00D70AEA">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 xml:space="preserve">Documentul strategic trece în revistă </w:t>
      </w:r>
      <w:r w:rsidR="007A73C2">
        <w:rPr>
          <w:rFonts w:ascii="Arial" w:eastAsia="Calibri" w:hAnsi="Arial" w:cs="Arial"/>
          <w:lang w:val="it-IT" w:eastAsia="ro-RO"/>
        </w:rPr>
        <w:t>direcții</w:t>
      </w:r>
      <w:r w:rsidRPr="00D70AEA">
        <w:rPr>
          <w:rFonts w:ascii="Arial" w:eastAsia="Calibri" w:hAnsi="Arial" w:cs="Arial"/>
          <w:lang w:val="it-IT" w:eastAsia="ro-RO"/>
        </w:rPr>
        <w:t xml:space="preserve">le de dezvoltare ale </w:t>
      </w:r>
      <w:r w:rsidRPr="00D70AEA">
        <w:rPr>
          <w:rFonts w:ascii="Arial" w:eastAsia="Calibri" w:hAnsi="Arial" w:cs="Arial"/>
          <w:b/>
          <w:i/>
          <w:lang w:val="it-IT" w:eastAsia="ro-RO"/>
        </w:rPr>
        <w:t>Schemei de dezvoltare a spaţiului comunitar al Uniunii Europene (SDSC)</w:t>
      </w:r>
      <w:r w:rsidR="00D6687B">
        <w:rPr>
          <w:rStyle w:val="Referinnotdesubsol"/>
          <w:rFonts w:ascii="Arial" w:eastAsia="Calibri" w:hAnsi="Arial" w:cs="Arial"/>
          <w:b/>
          <w:i/>
          <w:lang w:val="it-IT" w:eastAsia="ro-RO"/>
        </w:rPr>
        <w:footnoteReference w:id="10"/>
      </w:r>
      <w:r w:rsidRPr="00D70AEA">
        <w:rPr>
          <w:rFonts w:ascii="Arial" w:eastAsia="Calibri" w:hAnsi="Arial" w:cs="Arial"/>
          <w:lang w:val="it-IT" w:eastAsia="ro-RO"/>
        </w:rPr>
        <w:t xml:space="preserve"> - o politică-cadru care vizează o mai bună cooperare între politicile sectoriale cu impact major asupra teritoriului, între statele membre și între regiunile și oraș</w:t>
      </w:r>
      <w:r w:rsidR="00B02C73">
        <w:rPr>
          <w:rFonts w:ascii="Arial" w:eastAsia="Calibri" w:hAnsi="Arial" w:cs="Arial"/>
          <w:lang w:val="it-IT" w:eastAsia="ro-RO"/>
        </w:rPr>
        <w:t>ele din comunitatea europeană. Menţionăm</w:t>
      </w:r>
      <w:r w:rsidRPr="00D70AEA">
        <w:rPr>
          <w:rFonts w:ascii="Arial" w:eastAsia="Calibri" w:hAnsi="Arial" w:cs="Arial"/>
          <w:lang w:val="it-IT" w:eastAsia="ro-RO"/>
        </w:rPr>
        <w:t xml:space="preserve"> că propunerile din cadrul PMUD </w:t>
      </w:r>
      <w:r w:rsidR="00DD2A56">
        <w:rPr>
          <w:rFonts w:ascii="Arial" w:eastAsia="Calibri" w:hAnsi="Arial" w:cs="Arial"/>
          <w:lang w:val="it-IT" w:eastAsia="ro-RO"/>
        </w:rPr>
        <w:t>al ora</w:t>
      </w:r>
      <w:r w:rsidR="00DD2A56">
        <w:rPr>
          <w:rFonts w:ascii="Arial" w:eastAsia="Calibri" w:hAnsi="Arial" w:cs="Arial"/>
          <w:lang w:val="ro-RO" w:eastAsia="ro-RO"/>
        </w:rPr>
        <w:t>şului Horezu</w:t>
      </w:r>
      <w:r w:rsidRPr="00D70AEA">
        <w:rPr>
          <w:rFonts w:ascii="Arial" w:eastAsia="Calibri" w:hAnsi="Arial" w:cs="Arial"/>
          <w:lang w:val="it-IT" w:eastAsia="ro-RO"/>
        </w:rPr>
        <w:t xml:space="preserve"> vor aduce o contribuţie majoră la promovarea </w:t>
      </w:r>
      <w:r w:rsidR="00B02C73">
        <w:rPr>
          <w:rFonts w:ascii="Arial" w:eastAsia="Calibri" w:hAnsi="Arial" w:cs="Arial"/>
          <w:lang w:val="it-IT" w:eastAsia="ro-RO"/>
        </w:rPr>
        <w:t xml:space="preserve">oraşului </w:t>
      </w:r>
      <w:r w:rsidRPr="00D70AEA">
        <w:rPr>
          <w:rFonts w:ascii="Arial" w:eastAsia="Calibri" w:hAnsi="Arial" w:cs="Arial"/>
          <w:lang w:val="it-IT" w:eastAsia="ro-RO"/>
        </w:rPr>
        <w:t xml:space="preserve">în reţeaua de oraşe a României, urmărindu-se astfel </w:t>
      </w:r>
      <w:r w:rsidR="007A73C2">
        <w:rPr>
          <w:rFonts w:ascii="Arial" w:eastAsia="Calibri" w:hAnsi="Arial" w:cs="Arial"/>
          <w:lang w:val="it-IT" w:eastAsia="ro-RO"/>
        </w:rPr>
        <w:t>direcții</w:t>
      </w:r>
      <w:r w:rsidRPr="00D70AEA">
        <w:rPr>
          <w:rFonts w:ascii="Arial" w:eastAsia="Calibri" w:hAnsi="Arial" w:cs="Arial"/>
          <w:lang w:val="it-IT" w:eastAsia="ro-RO"/>
        </w:rPr>
        <w:t xml:space="preserve">le de dezvoltare prevăzute de SDSC: dezvoltarea unui sistem urban policentric şi echilibrat, promvarea unui sistem integrat de transport şi de comunicaţii, dezvoltarea şi conservarea patrimoniului natural şi cultural printr-o gestiune inteligentă. </w:t>
      </w:r>
    </w:p>
    <w:p w14:paraId="188827E0" w14:textId="77777777" w:rsidR="00D70AEA" w:rsidRPr="00D70AEA" w:rsidRDefault="00D70AEA" w:rsidP="00D70AEA">
      <w:pPr>
        <w:spacing w:after="0" w:line="276" w:lineRule="auto"/>
        <w:jc w:val="both"/>
        <w:rPr>
          <w:rFonts w:ascii="Arial" w:eastAsia="Calibri" w:hAnsi="Arial" w:cs="Arial"/>
          <w:lang w:val="it-IT" w:eastAsia="ro-RO"/>
        </w:rPr>
      </w:pPr>
    </w:p>
    <w:p w14:paraId="3A6E69DB" w14:textId="44F66DDA" w:rsidR="00D70AEA" w:rsidRPr="00D70AEA" w:rsidRDefault="00B02C73" w:rsidP="00B02C73">
      <w:pPr>
        <w:spacing w:after="0" w:line="276" w:lineRule="auto"/>
        <w:jc w:val="both"/>
        <w:rPr>
          <w:rFonts w:ascii="Arial" w:eastAsia="Calibri" w:hAnsi="Arial" w:cs="Arial"/>
          <w:lang w:val="it-IT" w:eastAsia="ro-RO"/>
        </w:rPr>
      </w:pPr>
      <w:r>
        <w:rPr>
          <w:rFonts w:ascii="Arial" w:eastAsia="Calibri" w:hAnsi="Arial" w:cs="Arial"/>
          <w:lang w:val="it-IT" w:eastAsia="ro-RO"/>
        </w:rPr>
        <w:t>În septembrie</w:t>
      </w:r>
      <w:r w:rsidR="00D70AEA" w:rsidRPr="00D70AEA">
        <w:rPr>
          <w:rFonts w:ascii="Arial" w:eastAsia="Calibri" w:hAnsi="Arial" w:cs="Arial"/>
          <w:lang w:val="it-IT" w:eastAsia="ro-RO"/>
        </w:rPr>
        <w:t xml:space="preserve"> 2020 a avut loc la Hanovra Conferinţa europeană a Miniştrilor responsabili cu Amenajarea Teritoriului (CEMAT)</w:t>
      </w:r>
      <w:r w:rsidR="00D6687B">
        <w:rPr>
          <w:rStyle w:val="Referinnotdesubsol"/>
          <w:rFonts w:ascii="Arial" w:eastAsia="Calibri" w:hAnsi="Arial" w:cs="Arial"/>
          <w:lang w:val="it-IT" w:eastAsia="ro-RO"/>
        </w:rPr>
        <w:footnoteReference w:id="11"/>
      </w:r>
      <w:r w:rsidR="00D70AEA" w:rsidRPr="00D70AEA">
        <w:rPr>
          <w:rFonts w:ascii="Arial" w:eastAsia="Calibri" w:hAnsi="Arial" w:cs="Arial"/>
          <w:lang w:val="it-IT" w:eastAsia="ro-RO"/>
        </w:rPr>
        <w:t xml:space="preserve"> în vederea discutării principiilor actuale directoare pentru Dezvoltarea teritorială durabilă a Continentului european. Considerarea dimensiunii continentale a Europei deschide noi perspective pentru politica amenajării teritoriului şi o plasează concomitent în faţa unor noi provocări, din care cea mai importantă este globalizarea. Investiţiile private fac parte din forţele motrice ale dezvoltării sociale şi în mod egal al dezvoltării teritoriale, una dintre sarcinile amenajării teritoriului fiind aceea de a furniza investitorilor privaţi o perspectivă de dezvoltare prospectivă şi o securitate în termen de amenajare. În acest sens, politica amenajării teritoriului va </w:t>
      </w:r>
      <w:r w:rsidR="00D70AEA" w:rsidRPr="00D70AEA">
        <w:rPr>
          <w:rFonts w:ascii="Arial" w:eastAsia="Calibri" w:hAnsi="Arial" w:cs="Arial"/>
          <w:lang w:val="it-IT" w:eastAsia="ro-RO"/>
        </w:rPr>
        <w:lastRenderedPageBreak/>
        <w:t>trebui să contribuie, împreună cu politicile sectoriale adecvate la creşterea atractivităţii municipalităţilor şi regiunilor pentru investiţii la nivel local şi regional. Principiile unei politici de amenajare durabilă pentru Europa vizează la ora actuală:</w:t>
      </w:r>
    </w:p>
    <w:p w14:paraId="38DFDA37"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Promovarea unei coeziuni teritoriale prin intermediul unei dezvoltări socio-economice echilibrate şi de îmbunătăţire a competitivităţii</w:t>
      </w:r>
    </w:p>
    <w:p w14:paraId="7EC339C8"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 xml:space="preserve">Promovarea încurajării dezvoltării generate de funcţiunile urbane şi </w:t>
      </w:r>
      <w:r w:rsidR="00BB753F">
        <w:rPr>
          <w:rFonts w:ascii="Arial" w:eastAsia="Calibri" w:hAnsi="Arial" w:cs="Arial"/>
          <w:lang w:val="it-IT" w:eastAsia="ro-RO"/>
        </w:rPr>
        <w:t>de îmbunătăţirea relaţiilor din</w:t>
      </w:r>
      <w:r w:rsidRPr="00D70AEA">
        <w:rPr>
          <w:rFonts w:ascii="Arial" w:eastAsia="Calibri" w:hAnsi="Arial" w:cs="Arial"/>
          <w:lang w:val="it-IT" w:eastAsia="ro-RO"/>
        </w:rPr>
        <w:t>tre oraşe şi sate</w:t>
      </w:r>
    </w:p>
    <w:p w14:paraId="228CAAA4"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Promovarea unor condiţii de accesibilitate mai echilibrate</w:t>
      </w:r>
    </w:p>
    <w:p w14:paraId="097B0829"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Facilitarea accesului la informaţie şi cunoaştere</w:t>
      </w:r>
    </w:p>
    <w:p w14:paraId="4FF4B14F"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Reducerea degradării mediului</w:t>
      </w:r>
    </w:p>
    <w:p w14:paraId="7943082D"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Valorificarea şi protecţia resurselor şi patrimoniului natural</w:t>
      </w:r>
    </w:p>
    <w:p w14:paraId="1B9D9671"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Valorificarea patrimoniului cultural ca factor de dezvoltare</w:t>
      </w:r>
    </w:p>
    <w:p w14:paraId="07A13CB4"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Dezvoltarea resurselor energetice în menţinerea securităţii</w:t>
      </w:r>
    </w:p>
    <w:p w14:paraId="4FA27C16"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Promovarea unui turism de calitate şi durabil</w:t>
      </w:r>
    </w:p>
    <w:p w14:paraId="277F48C3" w14:textId="77777777" w:rsidR="00D70AEA" w:rsidRPr="00D70AEA" w:rsidRDefault="00D70AEA" w:rsidP="006B613A">
      <w:pPr>
        <w:numPr>
          <w:ilvl w:val="0"/>
          <w:numId w:val="19"/>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Limitarea preventivă a efectelor catastrofelor naturale</w:t>
      </w:r>
    </w:p>
    <w:p w14:paraId="5917227A" w14:textId="77777777" w:rsidR="00D70AEA" w:rsidRPr="00D70AEA" w:rsidRDefault="00D70AEA" w:rsidP="00D70AEA">
      <w:pPr>
        <w:spacing w:after="0" w:line="276" w:lineRule="auto"/>
        <w:jc w:val="both"/>
        <w:rPr>
          <w:rFonts w:ascii="Arial" w:eastAsia="Calibri" w:hAnsi="Arial" w:cs="Arial"/>
          <w:lang w:val="it-IT" w:eastAsia="ro-RO"/>
        </w:rPr>
      </w:pPr>
    </w:p>
    <w:p w14:paraId="679280A7" w14:textId="77777777" w:rsidR="00D70AEA" w:rsidRPr="00D70AEA" w:rsidRDefault="00D70AEA" w:rsidP="00D70AEA">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În urm</w:t>
      </w:r>
      <w:r w:rsidRPr="00D70AEA">
        <w:rPr>
          <w:rFonts w:ascii="Arial" w:eastAsia="Calibri" w:hAnsi="Arial" w:cs="Arial"/>
          <w:lang w:val="ro-RO" w:eastAsia="ro-RO"/>
        </w:rPr>
        <w:t>ă</w:t>
      </w:r>
      <w:r w:rsidRPr="00D70AEA">
        <w:rPr>
          <w:rFonts w:ascii="Arial" w:eastAsia="Calibri" w:hAnsi="Arial" w:cs="Arial"/>
          <w:lang w:val="it-IT" w:eastAsia="ro-RO"/>
        </w:rPr>
        <w:t>rirea obiectivului unei dezvoltari policentrice a sistemelor urbane europene, sunt propuse măsuri complementare pentru dezvoltarea durabilă în oraşe şi în zonele urbane, în afara celor care vizeaza întărirea potenţialului economic:</w:t>
      </w:r>
    </w:p>
    <w:p w14:paraId="7A5E7ACE" w14:textId="77777777" w:rsidR="00D70AEA" w:rsidRPr="00D70AEA" w:rsidRDefault="00D70AEA" w:rsidP="006B613A">
      <w:pPr>
        <w:numPr>
          <w:ilvl w:val="0"/>
          <w:numId w:val="20"/>
        </w:numPr>
        <w:spacing w:after="0" w:line="276" w:lineRule="auto"/>
        <w:contextualSpacing/>
        <w:jc w:val="both"/>
        <w:rPr>
          <w:rFonts w:ascii="Segoe UI" w:eastAsia="Times New Roman" w:hAnsi="Segoe UI" w:cs="Segoe UI"/>
          <w:color w:val="000000"/>
        </w:rPr>
      </w:pPr>
      <w:r w:rsidRPr="00D70AEA">
        <w:rPr>
          <w:rFonts w:ascii="Arial" w:eastAsia="Times New Roman" w:hAnsi="Arial" w:cs="Arial"/>
          <w:color w:val="000000"/>
          <w:lang w:val="it-IT"/>
        </w:rPr>
        <w:t>dezvoltarea unor strategii adaptate la contextul local vizând controlul consecințelor restructurărilor economice;</w:t>
      </w:r>
    </w:p>
    <w:p w14:paraId="159A1F82" w14:textId="77777777" w:rsidR="00D70AEA" w:rsidRPr="00D70AEA" w:rsidRDefault="00D70AEA" w:rsidP="006B613A">
      <w:pPr>
        <w:numPr>
          <w:ilvl w:val="0"/>
          <w:numId w:val="20"/>
        </w:numPr>
        <w:spacing w:after="0" w:line="276" w:lineRule="auto"/>
        <w:contextualSpacing/>
        <w:jc w:val="both"/>
        <w:rPr>
          <w:rFonts w:ascii="Segoe UI" w:eastAsia="Times New Roman" w:hAnsi="Segoe UI" w:cs="Segoe UI"/>
          <w:color w:val="000000"/>
        </w:rPr>
      </w:pPr>
      <w:r w:rsidRPr="00D70AEA">
        <w:rPr>
          <w:rFonts w:ascii="Arial" w:eastAsia="Times New Roman" w:hAnsi="Arial" w:cs="Arial"/>
          <w:color w:val="000000"/>
          <w:lang w:val="it-IT"/>
        </w:rPr>
        <w:t>ghidarea expansiunii spațiale a orașelor: limitarea tendințelor de sub-urbanizare prin afectarea terenurilor pentru construcții în orașe, activarea parcelelor “interstițiale” tot în vederea construirii, dezvoltarea tehnicilor de co</w:t>
      </w:r>
      <w:r w:rsidR="00BE177D">
        <w:rPr>
          <w:rFonts w:ascii="Arial" w:eastAsia="Times New Roman" w:hAnsi="Arial" w:cs="Arial"/>
          <w:color w:val="000000"/>
          <w:lang w:val="it-IT"/>
        </w:rPr>
        <w:t>nstrucție care economisesc teren</w:t>
      </w:r>
      <w:r w:rsidRPr="00D70AEA">
        <w:rPr>
          <w:rFonts w:ascii="Arial" w:eastAsia="Times New Roman" w:hAnsi="Arial" w:cs="Arial"/>
          <w:color w:val="000000"/>
          <w:lang w:val="it-IT"/>
        </w:rPr>
        <w:t>, amenajarea de terenuri pentru construcție în apropierea cailor de acces la autostrăzi și noduri de autostrăzi, politică de dezvoltare a cartierelor centrale ale orașelor, ameliorarea calității vieții în zonele urbane, inclusiv prin conservare și prin crearea de noi spații verzi și ecosisteme existente;</w:t>
      </w:r>
    </w:p>
    <w:p w14:paraId="54B77CA4" w14:textId="77777777" w:rsidR="00D70AEA" w:rsidRPr="00D70AEA" w:rsidRDefault="00D70AEA" w:rsidP="006B613A">
      <w:pPr>
        <w:numPr>
          <w:ilvl w:val="0"/>
          <w:numId w:val="20"/>
        </w:numPr>
        <w:spacing w:after="0" w:line="276" w:lineRule="auto"/>
        <w:contextualSpacing/>
        <w:jc w:val="both"/>
        <w:rPr>
          <w:rFonts w:ascii="Segoe UI" w:eastAsia="Times New Roman" w:hAnsi="Segoe UI" w:cs="Segoe UI"/>
          <w:color w:val="000000"/>
        </w:rPr>
      </w:pPr>
      <w:r w:rsidRPr="00D70AEA">
        <w:rPr>
          <w:rFonts w:ascii="Arial" w:eastAsia="Times New Roman" w:hAnsi="Arial" w:cs="Arial"/>
          <w:color w:val="000000"/>
          <w:lang w:val="it-IT"/>
        </w:rPr>
        <w:t>regenerarea zonelor urbane degradate și amestecul funcțiunilor și al grupurilor sociale în interiorul structurii urbane, mai ales în marile orașe unde zonele de excludere socială sunt pe cale să apară;</w:t>
      </w:r>
    </w:p>
    <w:p w14:paraId="1E35852F" w14:textId="77777777" w:rsidR="00D70AEA" w:rsidRPr="00D70AEA" w:rsidRDefault="00D70AEA" w:rsidP="006B613A">
      <w:pPr>
        <w:numPr>
          <w:ilvl w:val="0"/>
          <w:numId w:val="20"/>
        </w:numPr>
        <w:spacing w:after="0" w:line="276" w:lineRule="auto"/>
        <w:contextualSpacing/>
        <w:jc w:val="both"/>
        <w:rPr>
          <w:rFonts w:ascii="Segoe UI" w:eastAsia="Times New Roman" w:hAnsi="Segoe UI" w:cs="Segoe UI"/>
          <w:color w:val="000000"/>
        </w:rPr>
      </w:pPr>
      <w:r w:rsidRPr="00D70AEA">
        <w:rPr>
          <w:rFonts w:ascii="Arial" w:eastAsia="Times New Roman" w:hAnsi="Arial" w:cs="Arial"/>
          <w:color w:val="000000"/>
          <w:lang w:val="it-IT"/>
        </w:rPr>
        <w:t>gestiune prudentă a ecosistemului urban, cu deosebire în ceea ce privește apă, energia și deșeurile;</w:t>
      </w:r>
    </w:p>
    <w:p w14:paraId="06431B3E" w14:textId="77777777" w:rsidR="00D70AEA" w:rsidRPr="00D70AEA" w:rsidRDefault="00D70AEA" w:rsidP="006B613A">
      <w:pPr>
        <w:numPr>
          <w:ilvl w:val="0"/>
          <w:numId w:val="20"/>
        </w:numPr>
        <w:spacing w:after="0" w:line="276" w:lineRule="auto"/>
        <w:contextualSpacing/>
        <w:jc w:val="both"/>
        <w:rPr>
          <w:rFonts w:ascii="Segoe UI" w:eastAsia="Times New Roman" w:hAnsi="Segoe UI" w:cs="Segoe UI"/>
          <w:color w:val="000000"/>
        </w:rPr>
      </w:pPr>
      <w:r w:rsidRPr="00D70AEA">
        <w:rPr>
          <w:rFonts w:ascii="Arial" w:eastAsia="Times New Roman" w:hAnsi="Arial" w:cs="Arial"/>
          <w:color w:val="000000"/>
          <w:lang w:val="it-IT"/>
        </w:rPr>
        <w:t>dezvoltarea mijloacelor de transport care sunt în același timp eficiente și nu afectează mediul; această va contribui la o mobilitate durabilă;</w:t>
      </w:r>
    </w:p>
    <w:p w14:paraId="5778D1B8" w14:textId="77777777" w:rsidR="00D70AEA" w:rsidRPr="00D70AEA" w:rsidRDefault="00D70AEA" w:rsidP="006B613A">
      <w:pPr>
        <w:numPr>
          <w:ilvl w:val="0"/>
          <w:numId w:val="20"/>
        </w:numPr>
        <w:spacing w:after="0" w:line="276" w:lineRule="auto"/>
        <w:contextualSpacing/>
        <w:jc w:val="both"/>
        <w:rPr>
          <w:rFonts w:ascii="Segoe UI" w:eastAsia="Times New Roman" w:hAnsi="Segoe UI" w:cs="Segoe UI"/>
          <w:color w:val="000000"/>
        </w:rPr>
      </w:pPr>
      <w:r w:rsidRPr="00D70AEA">
        <w:rPr>
          <w:rFonts w:ascii="Arial" w:eastAsia="Times New Roman" w:hAnsi="Arial" w:cs="Arial"/>
          <w:color w:val="000000"/>
          <w:lang w:val="it-IT"/>
        </w:rPr>
        <w:t>înfiinţarea unor organisme de planificare intercomunale pentru coordonarea amenajării între diferitele orașe și municipii;</w:t>
      </w:r>
    </w:p>
    <w:p w14:paraId="51126286" w14:textId="77777777" w:rsidR="00D70AEA" w:rsidRPr="00D70AEA" w:rsidRDefault="00D70AEA" w:rsidP="006B613A">
      <w:pPr>
        <w:numPr>
          <w:ilvl w:val="0"/>
          <w:numId w:val="20"/>
        </w:numPr>
        <w:spacing w:after="0" w:line="276" w:lineRule="auto"/>
        <w:contextualSpacing/>
        <w:jc w:val="both"/>
        <w:rPr>
          <w:rFonts w:ascii="Segoe UI" w:eastAsia="Times New Roman" w:hAnsi="Segoe UI" w:cs="Segoe UI"/>
          <w:color w:val="000000"/>
        </w:rPr>
      </w:pPr>
      <w:r w:rsidRPr="00D70AEA">
        <w:rPr>
          <w:rFonts w:ascii="Arial" w:eastAsia="Times New Roman" w:hAnsi="Arial" w:cs="Arial"/>
          <w:color w:val="000000"/>
          <w:lang w:val="it-IT"/>
        </w:rPr>
        <w:t>conservarea și valorificarea patrimoniului cultural;</w:t>
      </w:r>
    </w:p>
    <w:p w14:paraId="495A90FC" w14:textId="77777777" w:rsidR="00D70AEA" w:rsidRPr="00D70AEA" w:rsidRDefault="00D70AEA" w:rsidP="006B613A">
      <w:pPr>
        <w:numPr>
          <w:ilvl w:val="0"/>
          <w:numId w:val="20"/>
        </w:numPr>
        <w:spacing w:after="0" w:line="276" w:lineRule="auto"/>
        <w:contextualSpacing/>
        <w:jc w:val="both"/>
        <w:rPr>
          <w:rFonts w:ascii="Segoe UI" w:eastAsia="Times New Roman" w:hAnsi="Segoe UI" w:cs="Segoe UI"/>
          <w:color w:val="000000"/>
        </w:rPr>
      </w:pPr>
      <w:r w:rsidRPr="00D70AEA">
        <w:rPr>
          <w:rFonts w:ascii="Arial" w:eastAsia="Times New Roman" w:hAnsi="Arial" w:cs="Arial"/>
          <w:color w:val="000000"/>
          <w:lang w:val="it-IT"/>
        </w:rPr>
        <w:t>dezvoltarea rețelei de orașe.</w:t>
      </w:r>
    </w:p>
    <w:p w14:paraId="3278F960" w14:textId="77777777" w:rsidR="00D70AEA" w:rsidRPr="00D70AEA" w:rsidRDefault="00D70AEA" w:rsidP="00D70AEA">
      <w:pPr>
        <w:spacing w:after="0" w:line="276" w:lineRule="auto"/>
        <w:jc w:val="both"/>
        <w:rPr>
          <w:rFonts w:ascii="Arial" w:eastAsia="Calibri" w:hAnsi="Arial" w:cs="Arial"/>
          <w:lang w:val="it-IT" w:eastAsia="ro-RO"/>
        </w:rPr>
      </w:pPr>
    </w:p>
    <w:p w14:paraId="6603ABF1" w14:textId="77777777" w:rsidR="00D70AEA" w:rsidRPr="00D70AEA" w:rsidRDefault="00D70AEA" w:rsidP="00D70AEA">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În cadrul Conferinţei europene a Miniştrilor responsabili cu Amenajarea Teritoriului din 2020 s-a accentuat asupra importanţei participării efective a societăţii la procesul de amenajare a teritoriului. Consensul social este de o mare importanţă nu numai pentru succesul inițiativelor la nivel local și regional, el creează de asemenea un mediu dinamic pentru investitorii și actorii economici exteriori. Participarea tinerelor generații la procesul de planificare sporește posibilitățile populației de a se interesa de amenajarea regiunii sale și de a se implică într-un mod eficient și inovator. Această reprezintă o condiție esențială pentru ca “ideea europeană” să fie acceptată de populație.</w:t>
      </w:r>
    </w:p>
    <w:p w14:paraId="35E8351D" w14:textId="77777777" w:rsidR="00D70AEA" w:rsidRPr="00D70AEA" w:rsidRDefault="00296C9C" w:rsidP="00D70AEA">
      <w:pPr>
        <w:spacing w:after="0" w:line="276" w:lineRule="auto"/>
        <w:jc w:val="both"/>
        <w:rPr>
          <w:rFonts w:ascii="Arial" w:eastAsia="Calibri" w:hAnsi="Arial" w:cs="Arial"/>
          <w:lang w:val="it-IT" w:eastAsia="ro-RO"/>
        </w:rPr>
      </w:pPr>
      <w:r>
        <w:rPr>
          <w:rFonts w:ascii="Arial" w:eastAsia="Calibri" w:hAnsi="Arial" w:cs="Arial"/>
          <w:lang w:val="it-IT" w:eastAsia="ro-RO"/>
        </w:rPr>
        <w:lastRenderedPageBreak/>
        <w:t xml:space="preserve">Întocmirea </w:t>
      </w:r>
      <w:r w:rsidR="00D70AEA" w:rsidRPr="00D70AEA">
        <w:rPr>
          <w:rFonts w:ascii="Arial" w:eastAsia="Calibri" w:hAnsi="Arial" w:cs="Arial"/>
          <w:lang w:val="it-IT" w:eastAsia="ro-RO"/>
        </w:rPr>
        <w:t xml:space="preserve">PMUD </w:t>
      </w:r>
      <w:r>
        <w:rPr>
          <w:rFonts w:ascii="Arial" w:eastAsia="Calibri" w:hAnsi="Arial" w:cs="Arial"/>
          <w:lang w:val="it-IT" w:eastAsia="ro-RO"/>
        </w:rPr>
        <w:t>al oraşului Horezu</w:t>
      </w:r>
      <w:r w:rsidR="00D70AEA" w:rsidRPr="00D70AEA">
        <w:rPr>
          <w:rFonts w:ascii="Arial" w:eastAsia="Calibri" w:hAnsi="Arial" w:cs="Arial"/>
          <w:lang w:val="it-IT" w:eastAsia="ro-RO"/>
        </w:rPr>
        <w:t xml:space="preserve"> se va realiza în concordanţă cu principiile directoare enunţate anterior pentru dezvoltarea teritorială durabilă a continentului european şi cu asigurarea consensului social în sensul consultării consultării locuitorilor </w:t>
      </w:r>
      <w:r>
        <w:rPr>
          <w:rFonts w:ascii="Arial" w:eastAsia="Calibri" w:hAnsi="Arial" w:cs="Arial"/>
          <w:lang w:val="it-IT" w:eastAsia="ro-RO"/>
        </w:rPr>
        <w:t>oraşului</w:t>
      </w:r>
      <w:r w:rsidR="00D70AEA" w:rsidRPr="00D70AEA">
        <w:rPr>
          <w:rFonts w:ascii="Arial" w:eastAsia="Calibri" w:hAnsi="Arial" w:cs="Arial"/>
          <w:lang w:val="it-IT" w:eastAsia="ro-RO"/>
        </w:rPr>
        <w:t xml:space="preserve"> asupra măsurilor propuse.</w:t>
      </w:r>
    </w:p>
    <w:p w14:paraId="284A56FA" w14:textId="77777777" w:rsidR="00D70AEA" w:rsidRPr="00D70AEA" w:rsidRDefault="00D70AEA" w:rsidP="00D70AEA">
      <w:pPr>
        <w:spacing w:after="0" w:line="276" w:lineRule="auto"/>
        <w:jc w:val="both"/>
        <w:rPr>
          <w:rFonts w:ascii="Arial" w:eastAsia="Calibri" w:hAnsi="Arial" w:cs="Arial"/>
          <w:lang w:val="it-IT" w:eastAsia="ro-RO"/>
        </w:rPr>
      </w:pPr>
    </w:p>
    <w:p w14:paraId="46F78C90" w14:textId="77777777" w:rsidR="00D70AEA" w:rsidRPr="00D70AEA" w:rsidRDefault="00D70AEA" w:rsidP="00D70AEA">
      <w:pPr>
        <w:shd w:val="clear" w:color="auto" w:fill="E7E6E6"/>
        <w:spacing w:after="0" w:line="276" w:lineRule="auto"/>
        <w:jc w:val="both"/>
        <w:rPr>
          <w:rFonts w:ascii="Arial" w:eastAsia="Calibri" w:hAnsi="Arial" w:cs="Arial"/>
          <w:b/>
          <w:lang w:val="it-IT" w:eastAsia="ro-RO"/>
        </w:rPr>
      </w:pPr>
      <w:r w:rsidRPr="00D70AEA">
        <w:rPr>
          <w:rFonts w:ascii="Arial" w:eastAsia="Calibri" w:hAnsi="Arial" w:cs="Arial"/>
          <w:b/>
          <w:lang w:val="it-IT" w:eastAsia="ro-RO"/>
        </w:rPr>
        <w:t>Planificarea teritorială la nivel naţional</w:t>
      </w:r>
    </w:p>
    <w:p w14:paraId="21D83EB1" w14:textId="77777777" w:rsidR="00D70AEA" w:rsidRPr="00D70AEA" w:rsidRDefault="00D70AEA" w:rsidP="00D70AEA">
      <w:pPr>
        <w:spacing w:after="0" w:line="276" w:lineRule="auto"/>
        <w:jc w:val="both"/>
        <w:rPr>
          <w:rFonts w:ascii="Arial" w:eastAsia="Calibri" w:hAnsi="Arial" w:cs="Arial"/>
          <w:lang w:val="it-IT" w:eastAsia="ro-RO"/>
        </w:rPr>
      </w:pPr>
    </w:p>
    <w:p w14:paraId="7FE9BFA0" w14:textId="19682708" w:rsidR="00D70AEA" w:rsidRPr="00D70AEA" w:rsidRDefault="00D70AEA" w:rsidP="00D70AEA">
      <w:pPr>
        <w:spacing w:after="0" w:line="276" w:lineRule="auto"/>
        <w:jc w:val="both"/>
        <w:rPr>
          <w:rFonts w:ascii="Arial" w:eastAsia="Calibri" w:hAnsi="Arial" w:cs="Arial"/>
          <w:lang w:val="it-IT" w:eastAsia="ro-RO"/>
        </w:rPr>
      </w:pPr>
      <w:r w:rsidRPr="00D70AEA">
        <w:rPr>
          <w:rFonts w:ascii="Arial" w:eastAsia="Calibri" w:hAnsi="Arial" w:cs="Arial"/>
          <w:b/>
          <w:i/>
          <w:lang w:val="it-IT" w:eastAsia="ro-RO"/>
        </w:rPr>
        <w:t>Strategia de dezvoltare teritorială a României</w:t>
      </w:r>
      <w:r w:rsidRPr="00D70AEA">
        <w:rPr>
          <w:rFonts w:ascii="Arial" w:eastAsia="Calibri" w:hAnsi="Arial" w:cs="Arial"/>
          <w:lang w:val="it-IT" w:eastAsia="ro-RO"/>
        </w:rPr>
        <w:t xml:space="preserve"> </w:t>
      </w:r>
      <w:r w:rsidRPr="00D70AEA">
        <w:rPr>
          <w:rFonts w:ascii="Arial" w:eastAsia="Calibri" w:hAnsi="Arial" w:cs="Arial"/>
          <w:b/>
          <w:i/>
          <w:lang w:val="it-IT" w:eastAsia="ro-RO"/>
        </w:rPr>
        <w:t>(SDTR)</w:t>
      </w:r>
      <w:r w:rsidR="00D6687B">
        <w:rPr>
          <w:rStyle w:val="Referinnotdesubsol"/>
          <w:rFonts w:ascii="Arial" w:eastAsia="Calibri" w:hAnsi="Arial" w:cs="Arial"/>
          <w:b/>
          <w:i/>
          <w:lang w:val="it-IT" w:eastAsia="ro-RO"/>
        </w:rPr>
        <w:footnoteReference w:id="12"/>
      </w:r>
      <w:r w:rsidRPr="00D70AEA">
        <w:rPr>
          <w:rFonts w:ascii="Arial" w:eastAsia="Calibri" w:hAnsi="Arial" w:cs="Arial"/>
          <w:lang w:val="it-IT" w:eastAsia="ro-RO"/>
        </w:rPr>
        <w:t xml:space="preserve"> – adoptată de către Guvernul Romaniei în data de 05.10.2016</w:t>
      </w:r>
      <w:r w:rsidRPr="00D70AEA">
        <w:rPr>
          <w:rFonts w:ascii="Calibri" w:eastAsia="Calibri" w:hAnsi="Calibri" w:cs="Times New Roman"/>
        </w:rPr>
        <w:t xml:space="preserve"> </w:t>
      </w:r>
      <w:r w:rsidRPr="00D70AEA">
        <w:rPr>
          <w:rFonts w:ascii="Arial" w:eastAsia="Calibri" w:hAnsi="Arial" w:cs="Arial"/>
          <w:lang w:val="it-IT" w:eastAsia="ro-RO"/>
        </w:rPr>
        <w:t xml:space="preserve">este rezultatul unui demers amplu de planificare strategică care transpune în plan teritorial obiectivele și </w:t>
      </w:r>
      <w:r w:rsidR="007A73C2">
        <w:rPr>
          <w:rFonts w:ascii="Arial" w:eastAsia="Calibri" w:hAnsi="Arial" w:cs="Arial"/>
          <w:lang w:val="it-IT" w:eastAsia="ro-RO"/>
        </w:rPr>
        <w:t>direcții</w:t>
      </w:r>
      <w:r w:rsidRPr="00D70AEA">
        <w:rPr>
          <w:rFonts w:ascii="Arial" w:eastAsia="Calibri" w:hAnsi="Arial" w:cs="Arial"/>
          <w:lang w:val="it-IT" w:eastAsia="ro-RO"/>
        </w:rPr>
        <w:t>le de dezvoltare ale României pentru orizontul de timp 2035.</w:t>
      </w:r>
      <w:r w:rsidR="00296C9C">
        <w:rPr>
          <w:rFonts w:ascii="Arial" w:eastAsia="Calibri" w:hAnsi="Arial" w:cs="Arial"/>
          <w:lang w:val="it-IT" w:eastAsia="ro-RO"/>
        </w:rPr>
        <w:t xml:space="preserve"> </w:t>
      </w:r>
      <w:r w:rsidRPr="00D70AEA">
        <w:rPr>
          <w:rFonts w:ascii="Arial" w:eastAsia="Calibri" w:hAnsi="Arial" w:cs="Arial"/>
          <w:lang w:val="it-IT" w:eastAsia="ro-RO"/>
        </w:rPr>
        <w:t>Scopul documentului strategic este de a asigura un cadru integrat de planificare strategică care să orienteze procesele de dezvoltare a teritoriului național. Misiunea acestuia este de a asigura o dezvoltare policentrică și un echilibru între nevoia de dezvoltare și avantajele competitive ale teritoriului național în context european și global. Potrivit Legii 350/2001 privind Amenajarea teritor</w:t>
      </w:r>
      <w:r w:rsidR="00296C9C">
        <w:rPr>
          <w:rFonts w:ascii="Arial" w:eastAsia="Calibri" w:hAnsi="Arial" w:cs="Arial"/>
          <w:lang w:val="it-IT" w:eastAsia="ro-RO"/>
        </w:rPr>
        <w:t>iului si urbanismul, republicată</w:t>
      </w:r>
      <w:r w:rsidRPr="00D70AEA">
        <w:rPr>
          <w:rFonts w:ascii="Arial" w:eastAsia="Calibri" w:hAnsi="Arial" w:cs="Arial"/>
          <w:lang w:val="it-IT" w:eastAsia="ro-RO"/>
        </w:rPr>
        <w:t xml:space="preserve"> cu modificările şi completările ulterioare în martie 2016, strategiile, politicile si programele de dezvoltare durabila în profil teritorial ar trebui fundamentate pe Strategia de dezvoltare teritoriala a României. </w:t>
      </w:r>
    </w:p>
    <w:p w14:paraId="45694739" w14:textId="77777777" w:rsidR="00D70AEA" w:rsidRPr="00D70AEA" w:rsidRDefault="00D70AEA" w:rsidP="00D70AEA">
      <w:pPr>
        <w:spacing w:after="0" w:line="276" w:lineRule="auto"/>
        <w:jc w:val="both"/>
        <w:rPr>
          <w:rFonts w:ascii="Arial" w:eastAsia="Calibri" w:hAnsi="Arial" w:cs="Arial"/>
          <w:lang w:val="it-IT" w:eastAsia="ro-RO"/>
        </w:rPr>
      </w:pPr>
    </w:p>
    <w:p w14:paraId="72DE3756" w14:textId="77777777" w:rsidR="00D70AEA" w:rsidRPr="00D70AEA" w:rsidRDefault="00D70AEA" w:rsidP="00D70AEA">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 xml:space="preserve">SDTR este documentul programatic pe termen lung prin care sunt stabilite liniile directoare de dezvoltare teritorială a României, bazat pe un concept strategic, precum şi </w:t>
      </w:r>
      <w:r w:rsidR="007A73C2">
        <w:rPr>
          <w:rFonts w:ascii="Arial" w:eastAsia="Calibri" w:hAnsi="Arial" w:cs="Arial"/>
          <w:lang w:val="it-IT" w:eastAsia="ro-RO"/>
        </w:rPr>
        <w:t>direcții</w:t>
      </w:r>
      <w:r w:rsidRPr="00D70AEA">
        <w:rPr>
          <w:rFonts w:ascii="Arial" w:eastAsia="Calibri" w:hAnsi="Arial" w:cs="Arial"/>
          <w:lang w:val="it-IT" w:eastAsia="ro-RO"/>
        </w:rPr>
        <w:t>le de implementare pentru o perioadă de timp de peste 20 de ani, la scară regională, interregională, naţională, cu integrarea aspectelor relevante la nivel transfrontalier şi transnaţional.</w:t>
      </w:r>
    </w:p>
    <w:p w14:paraId="51FDD215" w14:textId="77777777" w:rsidR="00D70AEA" w:rsidRPr="00D70AEA" w:rsidRDefault="00D70AEA" w:rsidP="00D70AEA">
      <w:pPr>
        <w:spacing w:after="0" w:line="276" w:lineRule="auto"/>
        <w:jc w:val="both"/>
        <w:rPr>
          <w:rFonts w:ascii="Arial" w:eastAsia="Calibri" w:hAnsi="Arial" w:cs="Arial"/>
          <w:lang w:val="it-IT" w:eastAsia="ro-RO"/>
        </w:rPr>
      </w:pPr>
    </w:p>
    <w:p w14:paraId="11714294" w14:textId="77777777" w:rsidR="00D70AEA" w:rsidRPr="00D70AEA" w:rsidRDefault="00D70AEA" w:rsidP="00D70AEA">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 xml:space="preserve">În cadrul clasificării unităților administrativ-teritoriale urbane din SDTR, </w:t>
      </w:r>
      <w:r w:rsidR="00A15D7C">
        <w:rPr>
          <w:rFonts w:ascii="Arial" w:eastAsia="Calibri" w:hAnsi="Arial" w:cs="Arial"/>
          <w:lang w:val="it-IT" w:eastAsia="ro-RO"/>
        </w:rPr>
        <w:t>oraşul Horezu</w:t>
      </w:r>
      <w:r w:rsidRPr="00D70AEA">
        <w:rPr>
          <w:rFonts w:ascii="Arial" w:eastAsia="Calibri" w:hAnsi="Arial" w:cs="Arial"/>
          <w:lang w:val="it-IT" w:eastAsia="ro-RO"/>
        </w:rPr>
        <w:t xml:space="preserve"> este considerat </w:t>
      </w:r>
      <w:r w:rsidR="00340BCF">
        <w:rPr>
          <w:rFonts w:ascii="Arial" w:eastAsia="Calibri" w:hAnsi="Arial" w:cs="Arial"/>
          <w:lang w:val="it-IT" w:eastAsia="ro-RO"/>
        </w:rPr>
        <w:t>oraş centru urban cu rol zonal</w:t>
      </w:r>
      <w:r w:rsidR="00E378D8">
        <w:rPr>
          <w:rFonts w:ascii="Arial" w:eastAsia="Calibri" w:hAnsi="Arial" w:cs="Arial"/>
          <w:lang w:val="it-IT" w:eastAsia="ro-RO"/>
        </w:rPr>
        <w:t>.</w:t>
      </w:r>
    </w:p>
    <w:p w14:paraId="4113DE2A" w14:textId="77777777" w:rsidR="00D70AEA" w:rsidRPr="00D70AEA" w:rsidRDefault="00D70AEA" w:rsidP="00D70AEA">
      <w:pPr>
        <w:spacing w:after="0" w:line="276" w:lineRule="auto"/>
        <w:jc w:val="center"/>
        <w:rPr>
          <w:rFonts w:ascii="Arial" w:eastAsia="Calibri" w:hAnsi="Arial" w:cs="Arial"/>
          <w:lang w:val="it-IT" w:eastAsia="ro-RO"/>
        </w:rPr>
      </w:pPr>
      <w:r w:rsidRPr="00D70AEA">
        <w:rPr>
          <w:rFonts w:ascii="Times New Roman" w:eastAsia="Calibri" w:hAnsi="Times New Roman" w:cs="Times New Roman"/>
          <w:noProof/>
          <w:sz w:val="24"/>
          <w:szCs w:val="24"/>
        </w:rPr>
        <w:lastRenderedPageBreak/>
        <w:drawing>
          <wp:inline distT="0" distB="0" distL="0" distR="0" wp14:anchorId="20457B15" wp14:editId="248F9598">
            <wp:extent cx="6493726" cy="4593265"/>
            <wp:effectExtent l="0" t="0" r="2540" b="0"/>
            <wp:docPr id="40" name="Picture 40" descr="G:\proiecte GIS\JPG\patn_anex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proiecte GIS\JPG\patn_anexa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508103" cy="4603435"/>
                    </a:xfrm>
                    <a:prstGeom prst="rect">
                      <a:avLst/>
                    </a:prstGeom>
                    <a:noFill/>
                    <a:ln>
                      <a:noFill/>
                    </a:ln>
                  </pic:spPr>
                </pic:pic>
              </a:graphicData>
            </a:graphic>
          </wp:inline>
        </w:drawing>
      </w:r>
    </w:p>
    <w:p w14:paraId="323EC627" w14:textId="77777777" w:rsidR="00D70AEA" w:rsidRPr="000958DA" w:rsidRDefault="00D70AEA" w:rsidP="00D70AEA">
      <w:pPr>
        <w:spacing w:after="0" w:line="276" w:lineRule="auto"/>
        <w:jc w:val="both"/>
        <w:rPr>
          <w:rFonts w:ascii="Arial" w:eastAsia="Calibri" w:hAnsi="Arial" w:cs="Arial"/>
          <w:sz w:val="20"/>
          <w:szCs w:val="20"/>
          <w:lang w:val="it-IT" w:eastAsia="ro-RO"/>
        </w:rPr>
      </w:pPr>
      <w:r w:rsidRPr="000958DA">
        <w:rPr>
          <w:rFonts w:ascii="Arial" w:eastAsia="Calibri" w:hAnsi="Arial" w:cs="Arial"/>
          <w:sz w:val="20"/>
          <w:szCs w:val="20"/>
          <w:lang w:val="it-IT" w:eastAsia="ro-RO"/>
        </w:rPr>
        <w:t>Sursa: SDTR</w:t>
      </w:r>
    </w:p>
    <w:p w14:paraId="2D44984A" w14:textId="6C169933" w:rsidR="00D70AEA" w:rsidRPr="00BF3E42" w:rsidRDefault="007D5772" w:rsidP="007D5772">
      <w:pPr>
        <w:pStyle w:val="Legend"/>
        <w:jc w:val="center"/>
        <w:rPr>
          <w:rFonts w:ascii="Arial" w:eastAsia="Calibri" w:hAnsi="Arial" w:cs="Arial"/>
          <w:i w:val="0"/>
          <w:iCs w:val="0"/>
          <w:noProof/>
          <w:color w:val="44546A"/>
          <w:sz w:val="22"/>
          <w:szCs w:val="22"/>
        </w:rPr>
      </w:pPr>
      <w:bookmarkStart w:id="28" w:name="_Toc66287170"/>
      <w:bookmarkStart w:id="29" w:name="_Toc140744436"/>
      <w:r w:rsidRPr="00472F34">
        <w:rPr>
          <w:rFonts w:ascii="Arial" w:hAnsi="Arial" w:cs="Arial"/>
          <w:iCs w:val="0"/>
          <w:sz w:val="22"/>
          <w:szCs w:val="22"/>
        </w:rPr>
        <w:t xml:space="preserve">Figura I.1. </w:t>
      </w:r>
      <w:r w:rsidRPr="00472F34">
        <w:rPr>
          <w:rFonts w:ascii="Arial" w:hAnsi="Arial" w:cs="Arial"/>
          <w:iCs w:val="0"/>
          <w:sz w:val="22"/>
          <w:szCs w:val="22"/>
        </w:rPr>
        <w:fldChar w:fldCharType="begin"/>
      </w:r>
      <w:r w:rsidRPr="00472F34">
        <w:rPr>
          <w:rFonts w:ascii="Arial" w:hAnsi="Arial" w:cs="Arial"/>
          <w:iCs w:val="0"/>
          <w:sz w:val="22"/>
          <w:szCs w:val="22"/>
        </w:rPr>
        <w:instrText xml:space="preserve"> SEQ Figura_I.1. \* ARABIC </w:instrText>
      </w:r>
      <w:r w:rsidRPr="00472F34">
        <w:rPr>
          <w:rFonts w:ascii="Arial" w:hAnsi="Arial" w:cs="Arial"/>
          <w:iCs w:val="0"/>
          <w:sz w:val="22"/>
          <w:szCs w:val="22"/>
        </w:rPr>
        <w:fldChar w:fldCharType="separate"/>
      </w:r>
      <w:r w:rsidR="00BB181C">
        <w:rPr>
          <w:rFonts w:ascii="Arial" w:hAnsi="Arial" w:cs="Arial"/>
          <w:iCs w:val="0"/>
          <w:noProof/>
          <w:sz w:val="22"/>
          <w:szCs w:val="22"/>
        </w:rPr>
        <w:t>5</w:t>
      </w:r>
      <w:r w:rsidRPr="00472F34">
        <w:rPr>
          <w:rFonts w:ascii="Arial" w:hAnsi="Arial" w:cs="Arial"/>
          <w:iCs w:val="0"/>
          <w:sz w:val="22"/>
          <w:szCs w:val="22"/>
        </w:rPr>
        <w:fldChar w:fldCharType="end"/>
      </w:r>
      <w:r w:rsidRPr="00BF3E42">
        <w:rPr>
          <w:rFonts w:ascii="Arial" w:hAnsi="Arial" w:cs="Arial"/>
          <w:i w:val="0"/>
          <w:sz w:val="22"/>
          <w:szCs w:val="22"/>
        </w:rPr>
        <w:t xml:space="preserve"> </w:t>
      </w:r>
      <w:r w:rsidR="0049379B" w:rsidRPr="00BF3E42">
        <w:rPr>
          <w:rFonts w:ascii="Arial" w:hAnsi="Arial" w:cs="Arial"/>
          <w:i w:val="0"/>
          <w:sz w:val="22"/>
          <w:szCs w:val="22"/>
        </w:rPr>
        <w:t xml:space="preserve">- </w:t>
      </w:r>
      <w:r w:rsidR="00D70AEA" w:rsidRPr="00BF3E42">
        <w:rPr>
          <w:rFonts w:ascii="Arial" w:eastAsia="Calibri" w:hAnsi="Arial" w:cs="Arial"/>
          <w:i w:val="0"/>
          <w:iCs w:val="0"/>
          <w:noProof/>
          <w:color w:val="44546A"/>
          <w:sz w:val="22"/>
          <w:szCs w:val="22"/>
        </w:rPr>
        <w:t>Clasificarea unităților administrativ-teritoriale urbane</w:t>
      </w:r>
      <w:bookmarkEnd w:id="28"/>
      <w:bookmarkEnd w:id="29"/>
    </w:p>
    <w:p w14:paraId="3B932BB8" w14:textId="77777777" w:rsidR="00B61B61" w:rsidRPr="00D70AEA" w:rsidRDefault="00085FC6" w:rsidP="00B61B61">
      <w:pPr>
        <w:rPr>
          <w:rFonts w:ascii="Calibri" w:eastAsia="Calibri" w:hAnsi="Calibri" w:cs="Times New Roman"/>
          <w:lang w:val="it-IT" w:eastAsia="ro-RO"/>
        </w:rPr>
      </w:pPr>
      <w:r>
        <w:rPr>
          <w:rFonts w:ascii="Calibri" w:eastAsia="Calibri" w:hAnsi="Calibri" w:cs="Times New Roman"/>
          <w:noProof/>
        </w:rPr>
        <w:lastRenderedPageBreak/>
        <w:drawing>
          <wp:inline distT="0" distB="0" distL="0" distR="0" wp14:anchorId="336AAE34" wp14:editId="1EA9CD65">
            <wp:extent cx="6124575" cy="425767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4575" cy="4257675"/>
                    </a:xfrm>
                    <a:prstGeom prst="rect">
                      <a:avLst/>
                    </a:prstGeom>
                    <a:noFill/>
                    <a:ln>
                      <a:noFill/>
                    </a:ln>
                  </pic:spPr>
                </pic:pic>
              </a:graphicData>
            </a:graphic>
          </wp:inline>
        </w:drawing>
      </w:r>
    </w:p>
    <w:p w14:paraId="18010DB5" w14:textId="77777777" w:rsidR="00B61B61" w:rsidRPr="00A8565D" w:rsidRDefault="00B61B61" w:rsidP="00B61B61">
      <w:pPr>
        <w:rPr>
          <w:rFonts w:ascii="Arial" w:eastAsia="Calibri" w:hAnsi="Arial" w:cs="Arial"/>
          <w:sz w:val="20"/>
          <w:szCs w:val="20"/>
          <w:lang w:val="it-IT" w:eastAsia="ro-RO"/>
        </w:rPr>
      </w:pPr>
      <w:r w:rsidRPr="00A8565D">
        <w:rPr>
          <w:rFonts w:ascii="Arial" w:eastAsia="Calibri" w:hAnsi="Arial" w:cs="Arial"/>
          <w:sz w:val="20"/>
          <w:szCs w:val="20"/>
          <w:lang w:val="it-IT" w:eastAsia="ro-RO"/>
        </w:rPr>
        <w:t xml:space="preserve">Sursa: SDTR </w:t>
      </w:r>
    </w:p>
    <w:p w14:paraId="7B77A6C0" w14:textId="41B3EAF5" w:rsidR="00B61B61" w:rsidRPr="00BF3E42" w:rsidRDefault="007D5772" w:rsidP="007D5772">
      <w:pPr>
        <w:pStyle w:val="Legend"/>
        <w:jc w:val="center"/>
        <w:rPr>
          <w:rFonts w:ascii="Arial" w:eastAsia="Calibri" w:hAnsi="Arial" w:cs="Arial"/>
          <w:i w:val="0"/>
          <w:iCs w:val="0"/>
          <w:sz w:val="22"/>
          <w:szCs w:val="22"/>
          <w:lang w:val="it-IT" w:eastAsia="ro-RO"/>
        </w:rPr>
      </w:pPr>
      <w:bookmarkStart w:id="30" w:name="_Toc140744437"/>
      <w:r w:rsidRPr="00BF3E42">
        <w:rPr>
          <w:rFonts w:ascii="Arial" w:hAnsi="Arial" w:cs="Arial"/>
          <w:sz w:val="22"/>
          <w:szCs w:val="22"/>
        </w:rPr>
        <w:t xml:space="preserve">Figura I.1. </w:t>
      </w:r>
      <w:r w:rsidRPr="00BF3E42">
        <w:rPr>
          <w:rFonts w:ascii="Arial" w:hAnsi="Arial" w:cs="Arial"/>
          <w:sz w:val="22"/>
          <w:szCs w:val="22"/>
        </w:rPr>
        <w:fldChar w:fldCharType="begin"/>
      </w:r>
      <w:r w:rsidRPr="00BF3E42">
        <w:rPr>
          <w:rFonts w:ascii="Arial" w:hAnsi="Arial" w:cs="Arial"/>
          <w:sz w:val="22"/>
          <w:szCs w:val="22"/>
        </w:rPr>
        <w:instrText xml:space="preserve"> SEQ Figura_I.1. \* ARABIC </w:instrText>
      </w:r>
      <w:r w:rsidRPr="00BF3E42">
        <w:rPr>
          <w:rFonts w:ascii="Arial" w:hAnsi="Arial" w:cs="Arial"/>
          <w:sz w:val="22"/>
          <w:szCs w:val="22"/>
        </w:rPr>
        <w:fldChar w:fldCharType="separate"/>
      </w:r>
      <w:r w:rsidR="00BB181C">
        <w:rPr>
          <w:rFonts w:ascii="Arial" w:hAnsi="Arial" w:cs="Arial"/>
          <w:noProof/>
          <w:sz w:val="22"/>
          <w:szCs w:val="22"/>
        </w:rPr>
        <w:t>6</w:t>
      </w:r>
      <w:r w:rsidRPr="00BF3E42">
        <w:rPr>
          <w:rFonts w:ascii="Arial" w:hAnsi="Arial" w:cs="Arial"/>
          <w:sz w:val="22"/>
          <w:szCs w:val="22"/>
        </w:rPr>
        <w:fldChar w:fldCharType="end"/>
      </w:r>
      <w:r w:rsidRPr="00BF3E42">
        <w:rPr>
          <w:rFonts w:ascii="Arial" w:hAnsi="Arial" w:cs="Arial"/>
          <w:sz w:val="22"/>
          <w:szCs w:val="22"/>
        </w:rPr>
        <w:t xml:space="preserve"> </w:t>
      </w:r>
      <w:r w:rsidR="00085FC6" w:rsidRPr="00BF3E42">
        <w:rPr>
          <w:rFonts w:ascii="Arial" w:hAnsi="Arial" w:cs="Arial"/>
          <w:sz w:val="22"/>
          <w:szCs w:val="22"/>
        </w:rPr>
        <w:t xml:space="preserve">- </w:t>
      </w:r>
      <w:r w:rsidR="00B61B61" w:rsidRPr="00BF3E42">
        <w:rPr>
          <w:rFonts w:ascii="Arial" w:hAnsi="Arial" w:cs="Arial"/>
          <w:i w:val="0"/>
          <w:iCs w:val="0"/>
          <w:sz w:val="22"/>
          <w:szCs w:val="22"/>
        </w:rPr>
        <w:t>Ierarhizarea UAT după Legea nr. 351/2001, 2013</w:t>
      </w:r>
      <w:bookmarkEnd w:id="30"/>
    </w:p>
    <w:p w14:paraId="38451753" w14:textId="77777777" w:rsidR="00981172" w:rsidRDefault="000E3303" w:rsidP="00152F00">
      <w:pPr>
        <w:jc w:val="both"/>
        <w:rPr>
          <w:rFonts w:ascii="Arial" w:eastAsia="Calibri" w:hAnsi="Arial" w:cs="Arial"/>
          <w:lang w:val="it-IT" w:eastAsia="ro-RO"/>
        </w:rPr>
      </w:pPr>
      <w:r>
        <w:rPr>
          <w:rFonts w:ascii="Arial" w:eastAsia="Calibri" w:hAnsi="Arial" w:cs="Arial"/>
          <w:lang w:val="it-IT" w:eastAsia="ro-RO"/>
        </w:rPr>
        <w:t>Horezu</w:t>
      </w:r>
      <w:r w:rsidR="00085FC6" w:rsidRPr="00981172">
        <w:rPr>
          <w:rFonts w:ascii="Arial" w:eastAsia="Calibri" w:hAnsi="Arial" w:cs="Arial"/>
          <w:lang w:val="it-IT" w:eastAsia="ro-RO"/>
        </w:rPr>
        <w:t xml:space="preserve"> </w:t>
      </w:r>
      <w:r w:rsidR="00A8565D">
        <w:rPr>
          <w:rFonts w:ascii="Arial" w:eastAsia="Calibri" w:hAnsi="Arial" w:cs="Arial"/>
          <w:lang w:val="it-IT" w:eastAsia="ro-RO"/>
        </w:rPr>
        <w:t>figurează pe harta d</w:t>
      </w:r>
      <w:r w:rsidR="00981172">
        <w:rPr>
          <w:rFonts w:ascii="Arial" w:eastAsia="Calibri" w:hAnsi="Arial" w:cs="Arial"/>
          <w:lang w:val="it-IT" w:eastAsia="ro-RO"/>
        </w:rPr>
        <w:t>e</w:t>
      </w:r>
      <w:r w:rsidR="00A8565D">
        <w:rPr>
          <w:rFonts w:ascii="Arial" w:eastAsia="Calibri" w:hAnsi="Arial" w:cs="Arial"/>
          <w:lang w:val="it-IT" w:eastAsia="ro-RO"/>
        </w:rPr>
        <w:t xml:space="preserve"> </w:t>
      </w:r>
      <w:r w:rsidR="00981172">
        <w:rPr>
          <w:rFonts w:ascii="Arial" w:eastAsia="Calibri" w:hAnsi="Arial" w:cs="Arial"/>
          <w:lang w:val="it-IT" w:eastAsia="ro-RO"/>
        </w:rPr>
        <w:t xml:space="preserve">mai sus din cadrul SDTR ca și </w:t>
      </w:r>
      <w:r>
        <w:rPr>
          <w:rFonts w:ascii="Arial" w:eastAsia="Calibri" w:hAnsi="Arial" w:cs="Arial"/>
          <w:lang w:val="it-IT" w:eastAsia="ro-RO"/>
        </w:rPr>
        <w:t>oraş</w:t>
      </w:r>
      <w:r w:rsidR="00E378D8">
        <w:rPr>
          <w:rFonts w:ascii="Arial" w:eastAsia="Calibri" w:hAnsi="Arial" w:cs="Arial"/>
          <w:lang w:val="it-IT" w:eastAsia="ro-RO"/>
        </w:rPr>
        <w:t>.</w:t>
      </w:r>
      <w:r w:rsidR="00152F00">
        <w:rPr>
          <w:rFonts w:ascii="Arial" w:eastAsia="Calibri" w:hAnsi="Arial" w:cs="Arial"/>
          <w:lang w:val="it-IT" w:eastAsia="ro-RO"/>
        </w:rPr>
        <w:t xml:space="preserve"> </w:t>
      </w:r>
    </w:p>
    <w:p w14:paraId="4D9CA37E" w14:textId="77777777" w:rsidR="00E378D8" w:rsidRPr="00981172" w:rsidRDefault="00E378D8" w:rsidP="00152F00">
      <w:pPr>
        <w:jc w:val="both"/>
        <w:rPr>
          <w:rFonts w:ascii="Arial" w:eastAsia="Calibri" w:hAnsi="Arial" w:cs="Arial"/>
          <w:lang w:val="it-IT" w:eastAsia="ro-RO"/>
        </w:rPr>
      </w:pPr>
      <w:r>
        <w:rPr>
          <w:rFonts w:ascii="Arial" w:eastAsia="Calibri" w:hAnsi="Arial" w:cs="Arial"/>
          <w:lang w:val="it-IT" w:eastAsia="ro-RO"/>
        </w:rPr>
        <w:t xml:space="preserve">Oraşul are </w:t>
      </w:r>
      <w:r w:rsidRPr="00E378D8">
        <w:rPr>
          <w:rFonts w:ascii="Arial" w:eastAsia="Calibri" w:hAnsi="Arial" w:cs="Arial"/>
          <w:lang w:val="it-IT" w:eastAsia="ro-RO"/>
        </w:rPr>
        <w:t xml:space="preserve">un </w:t>
      </w:r>
      <w:r>
        <w:rPr>
          <w:rFonts w:ascii="Arial" w:eastAsia="Calibri" w:hAnsi="Arial" w:cs="Arial"/>
          <w:lang w:val="it-IT" w:eastAsia="ro-RO"/>
        </w:rPr>
        <w:t>profil economic multifuncţional şi un rol de echilibru în reţeaua de localităţi sau de deservire în cadrul zonei imediate.</w:t>
      </w:r>
    </w:p>
    <w:p w14:paraId="0D38F889" w14:textId="77777777" w:rsidR="00346102" w:rsidRDefault="00981172" w:rsidP="00981172">
      <w:pPr>
        <w:spacing w:line="276" w:lineRule="auto"/>
        <w:jc w:val="both"/>
        <w:rPr>
          <w:rFonts w:ascii="Arial" w:eastAsia="Calibri" w:hAnsi="Arial" w:cs="Arial"/>
          <w:lang w:val="ro-RO"/>
        </w:rPr>
      </w:pPr>
      <w:r w:rsidRPr="00687F6B">
        <w:rPr>
          <w:rFonts w:ascii="Arial" w:eastAsia="Calibri" w:hAnsi="Arial" w:cs="Arial"/>
          <w:lang w:val="ro-RO"/>
        </w:rPr>
        <w:t xml:space="preserve">Potrivit SDTR, </w:t>
      </w:r>
      <w:r w:rsidR="00687F6B">
        <w:rPr>
          <w:rFonts w:ascii="Arial" w:eastAsia="Calibri" w:hAnsi="Arial" w:cs="Arial"/>
          <w:lang w:val="ro-RO"/>
        </w:rPr>
        <w:t xml:space="preserve">judeţul Vâlcea în care este situat oraşul Horezu, figurează între judeţele cu nivel </w:t>
      </w:r>
      <w:r w:rsidR="00346102">
        <w:rPr>
          <w:rFonts w:ascii="Arial" w:eastAsia="Calibri" w:hAnsi="Arial" w:cs="Arial"/>
          <w:lang w:val="ro-RO"/>
        </w:rPr>
        <w:t xml:space="preserve">mediu - inferior de dezvoltare. </w:t>
      </w:r>
    </w:p>
    <w:p w14:paraId="5DA3587D" w14:textId="5C0A34A3" w:rsidR="00B61B61" w:rsidRDefault="00346102" w:rsidP="00981172">
      <w:pPr>
        <w:spacing w:line="276" w:lineRule="auto"/>
        <w:jc w:val="both"/>
        <w:rPr>
          <w:rFonts w:ascii="Arial" w:eastAsia="Calibri" w:hAnsi="Arial" w:cs="Arial"/>
          <w:lang w:val="ro-RO"/>
        </w:rPr>
      </w:pPr>
      <w:r w:rsidRPr="00346102">
        <w:rPr>
          <w:rFonts w:ascii="Arial" w:eastAsia="Calibri" w:hAnsi="Arial" w:cs="Arial"/>
          <w:lang w:val="ro-RO"/>
        </w:rPr>
        <w:t>În cadrul proiectului Poverty mapping in new EU member states</w:t>
      </w:r>
      <w:r w:rsidR="00D6687B">
        <w:rPr>
          <w:rStyle w:val="Referinnotdesubsol"/>
          <w:rFonts w:ascii="Arial" w:eastAsia="Calibri" w:hAnsi="Arial" w:cs="Arial"/>
          <w:lang w:val="ro-RO"/>
        </w:rPr>
        <w:footnoteReference w:id="13"/>
      </w:r>
      <w:r w:rsidRPr="00346102">
        <w:rPr>
          <w:rFonts w:ascii="Arial" w:eastAsia="Calibri" w:hAnsi="Arial" w:cs="Arial"/>
          <w:lang w:val="ro-RO"/>
        </w:rPr>
        <w:t xml:space="preserve"> (Comisia Europeană/Banca Mondială), demarat în 2012 au fost elaborate hărți ale sărăciei la nivel NUTS3 și pentru România. Primele rezultate încadrează în categoria săracă județe din nord-estul și </w:t>
      </w:r>
      <w:r>
        <w:rPr>
          <w:rFonts w:ascii="Arial" w:eastAsia="Calibri" w:hAnsi="Arial" w:cs="Arial"/>
          <w:lang w:val="ro-RO"/>
        </w:rPr>
        <w:t>estul țării</w:t>
      </w:r>
      <w:r w:rsidRPr="00346102">
        <w:rPr>
          <w:rFonts w:ascii="Arial" w:eastAsia="Calibri" w:hAnsi="Arial" w:cs="Arial"/>
          <w:lang w:val="ro-RO"/>
        </w:rPr>
        <w:t xml:space="preserve"> </w:t>
      </w:r>
      <w:r>
        <w:rPr>
          <w:rFonts w:ascii="Arial" w:eastAsia="Calibri" w:hAnsi="Arial" w:cs="Arial"/>
          <w:lang w:val="ro-RO"/>
        </w:rPr>
        <w:t xml:space="preserve">şi județe din sud între care </w:t>
      </w:r>
      <w:r w:rsidR="00C456B3">
        <w:rPr>
          <w:rFonts w:ascii="Arial" w:eastAsia="Calibri" w:hAnsi="Arial" w:cs="Arial"/>
          <w:lang w:val="ro-RO"/>
        </w:rPr>
        <w:t>figurează</w:t>
      </w:r>
      <w:r>
        <w:rPr>
          <w:rFonts w:ascii="Arial" w:eastAsia="Calibri" w:hAnsi="Arial" w:cs="Arial"/>
          <w:lang w:val="ro-RO"/>
        </w:rPr>
        <w:t xml:space="preserve"> şi judeţul</w:t>
      </w:r>
      <w:r w:rsidRPr="00346102">
        <w:rPr>
          <w:rFonts w:ascii="Arial" w:eastAsia="Calibri" w:hAnsi="Arial" w:cs="Arial"/>
          <w:lang w:val="ro-RO"/>
        </w:rPr>
        <w:t xml:space="preserve"> Vâlcea.</w:t>
      </w:r>
    </w:p>
    <w:p w14:paraId="5E86A081" w14:textId="77777777" w:rsidR="00346102" w:rsidRPr="00981172" w:rsidRDefault="00296294" w:rsidP="00981172">
      <w:pPr>
        <w:spacing w:line="276" w:lineRule="auto"/>
        <w:jc w:val="both"/>
        <w:rPr>
          <w:rFonts w:ascii="Arial" w:eastAsia="Calibri" w:hAnsi="Arial" w:cs="Arial"/>
          <w:lang w:val="it-IT" w:eastAsia="ro-RO"/>
        </w:rPr>
      </w:pPr>
      <w:r>
        <w:rPr>
          <w:rFonts w:ascii="Arial" w:eastAsia="Calibri" w:hAnsi="Arial" w:cs="Arial"/>
          <w:lang w:val="it-IT" w:eastAsia="ro-RO"/>
        </w:rPr>
        <w:t>SDTR arată în cuprinsul ei că</w:t>
      </w:r>
      <w:r w:rsidR="00346102">
        <w:rPr>
          <w:rFonts w:ascii="Arial" w:eastAsia="Calibri" w:hAnsi="Arial" w:cs="Arial"/>
          <w:lang w:val="it-IT" w:eastAsia="ro-RO"/>
        </w:rPr>
        <w:t xml:space="preserve"> </w:t>
      </w:r>
      <w:r>
        <w:rPr>
          <w:rFonts w:ascii="Arial" w:eastAsia="Calibri" w:hAnsi="Arial" w:cs="Arial"/>
          <w:lang w:val="it-IT" w:eastAsia="ro-RO"/>
        </w:rPr>
        <w:t>c</w:t>
      </w:r>
      <w:r w:rsidR="00346102" w:rsidRPr="00346102">
        <w:rPr>
          <w:rFonts w:ascii="Arial" w:eastAsia="Calibri" w:hAnsi="Arial" w:cs="Arial"/>
          <w:lang w:val="it-IT" w:eastAsia="ro-RO"/>
        </w:rPr>
        <w:t xml:space="preserve">ele mai problematice zone din perspectiva calității locuirii sunt cele din zonele rurale cu o populație îmbătrânită, cu un fond locativ învechit, realizat din materiale specifice (paiantă, chirpici, lemn, etc.), cu confort redus și lipsite de dotări tehnico-edilitare. În acestă categorie intră </w:t>
      </w:r>
      <w:r w:rsidR="00C456B3">
        <w:rPr>
          <w:rFonts w:ascii="Arial" w:eastAsia="Calibri" w:hAnsi="Arial" w:cs="Arial"/>
          <w:lang w:val="it-IT" w:eastAsia="ro-RO"/>
        </w:rPr>
        <w:t xml:space="preserve">şi unele judeţe din </w:t>
      </w:r>
      <w:r w:rsidR="00346102" w:rsidRPr="00346102">
        <w:rPr>
          <w:rFonts w:ascii="Arial" w:eastAsia="Calibri" w:hAnsi="Arial" w:cs="Arial"/>
          <w:lang w:val="it-IT" w:eastAsia="ro-RO"/>
        </w:rPr>
        <w:t xml:space="preserve">sudul țării </w:t>
      </w:r>
      <w:r w:rsidR="00C456B3">
        <w:rPr>
          <w:rFonts w:ascii="Arial" w:eastAsia="Calibri" w:hAnsi="Arial" w:cs="Arial"/>
          <w:lang w:val="it-IT" w:eastAsia="ro-RO"/>
        </w:rPr>
        <w:t>între care figurează şi judeţul Vâlcea</w:t>
      </w:r>
      <w:r w:rsidR="00346102" w:rsidRPr="00346102">
        <w:rPr>
          <w:rFonts w:ascii="Arial" w:eastAsia="Calibri" w:hAnsi="Arial" w:cs="Arial"/>
          <w:lang w:val="it-IT" w:eastAsia="ro-RO"/>
        </w:rPr>
        <w:t>.</w:t>
      </w:r>
      <w:r w:rsidR="00C456B3">
        <w:rPr>
          <w:rFonts w:ascii="Arial" w:eastAsia="Calibri" w:hAnsi="Arial" w:cs="Arial"/>
          <w:lang w:val="it-IT" w:eastAsia="ro-RO"/>
        </w:rPr>
        <w:t xml:space="preserve"> În cadrul aceluiaşi document se mai precizează </w:t>
      </w:r>
      <w:r w:rsidR="00195677">
        <w:rPr>
          <w:rFonts w:ascii="Arial" w:eastAsia="Calibri" w:hAnsi="Arial" w:cs="Arial"/>
          <w:lang w:val="it-IT" w:eastAsia="ro-RO"/>
        </w:rPr>
        <w:t xml:space="preserve">că </w:t>
      </w:r>
      <w:r w:rsidR="00195677" w:rsidRPr="00195677">
        <w:rPr>
          <w:rFonts w:ascii="Arial" w:eastAsia="Calibri" w:hAnsi="Arial" w:cs="Arial"/>
          <w:lang w:val="it-IT" w:eastAsia="ro-RO"/>
        </w:rPr>
        <w:t xml:space="preserve">în ceea ce privește calitatea solului, mai ales a celui agricol, </w:t>
      </w:r>
      <w:r w:rsidR="00195677">
        <w:rPr>
          <w:rFonts w:ascii="Arial" w:eastAsia="Calibri" w:hAnsi="Arial" w:cs="Arial"/>
          <w:lang w:val="it-IT" w:eastAsia="ro-RO"/>
        </w:rPr>
        <w:t xml:space="preserve">judeţul Vâlcea se numără printre </w:t>
      </w:r>
      <w:r w:rsidR="00195677" w:rsidRPr="00195677">
        <w:rPr>
          <w:rFonts w:ascii="Arial" w:eastAsia="Calibri" w:hAnsi="Arial" w:cs="Arial"/>
          <w:lang w:val="it-IT" w:eastAsia="ro-RO"/>
        </w:rPr>
        <w:t>cele mai vulnerabile județe la schimbările climatice.</w:t>
      </w:r>
    </w:p>
    <w:p w14:paraId="6DC860AF" w14:textId="77777777" w:rsidR="00B61B61" w:rsidRPr="00D70AEA" w:rsidRDefault="00B61B61" w:rsidP="00B61B61">
      <w:pPr>
        <w:tabs>
          <w:tab w:val="left" w:pos="10206"/>
        </w:tabs>
        <w:spacing w:before="120" w:after="0" w:line="240" w:lineRule="auto"/>
        <w:ind w:right="425"/>
        <w:jc w:val="center"/>
        <w:rPr>
          <w:rFonts w:ascii="Calibri" w:eastAsia="Calibri" w:hAnsi="Calibri" w:cs="Times New Roman"/>
          <w:lang w:val="ro-RO"/>
        </w:rPr>
      </w:pPr>
      <w:r w:rsidRPr="00D70AEA">
        <w:rPr>
          <w:rFonts w:ascii="Calibri" w:eastAsia="Calibri" w:hAnsi="Calibri" w:cs="Times New Roman"/>
          <w:noProof/>
        </w:rPr>
        <w:lastRenderedPageBreak/>
        <w:drawing>
          <wp:inline distT="0" distB="0" distL="0" distR="0" wp14:anchorId="7339609F" wp14:editId="7B3CB828">
            <wp:extent cx="5582285" cy="3944620"/>
            <wp:effectExtent l="0" t="0" r="0" b="0"/>
            <wp:docPr id="46" name="Picture 46" descr="K:\planse IT JPG\Index harti\5 ICOM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K:\planse IT JPG\Index harti\5 ICOMPT.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82285" cy="3944620"/>
                    </a:xfrm>
                    <a:prstGeom prst="rect">
                      <a:avLst/>
                    </a:prstGeom>
                    <a:noFill/>
                    <a:ln>
                      <a:noFill/>
                    </a:ln>
                  </pic:spPr>
                </pic:pic>
              </a:graphicData>
            </a:graphic>
          </wp:inline>
        </w:drawing>
      </w:r>
    </w:p>
    <w:p w14:paraId="3B320206" w14:textId="77777777" w:rsidR="00981172" w:rsidRPr="00A8565D" w:rsidRDefault="00981172" w:rsidP="00981172">
      <w:pPr>
        <w:pStyle w:val="Legend"/>
        <w:rPr>
          <w:rFonts w:ascii="Arial" w:hAnsi="Arial" w:cs="Arial"/>
          <w:i w:val="0"/>
          <w:iCs w:val="0"/>
          <w:color w:val="auto"/>
          <w:sz w:val="20"/>
          <w:szCs w:val="20"/>
        </w:rPr>
      </w:pPr>
      <w:r w:rsidRPr="00A8565D">
        <w:rPr>
          <w:rFonts w:ascii="Arial" w:hAnsi="Arial" w:cs="Arial"/>
          <w:i w:val="0"/>
          <w:color w:val="auto"/>
          <w:sz w:val="20"/>
          <w:szCs w:val="20"/>
        </w:rPr>
        <w:t xml:space="preserve">Sursa: </w:t>
      </w:r>
      <w:r w:rsidRPr="00A8565D">
        <w:rPr>
          <w:rFonts w:ascii="Arial" w:hAnsi="Arial" w:cs="Arial"/>
          <w:i w:val="0"/>
          <w:iCs w:val="0"/>
          <w:color w:val="auto"/>
          <w:sz w:val="20"/>
          <w:szCs w:val="20"/>
        </w:rPr>
        <w:t>SDTR</w:t>
      </w:r>
    </w:p>
    <w:p w14:paraId="0884821D" w14:textId="5D2F20EE" w:rsidR="00B61B61" w:rsidRPr="00BF3E42" w:rsidRDefault="007D5772" w:rsidP="007D5772">
      <w:pPr>
        <w:pStyle w:val="Legend"/>
        <w:jc w:val="center"/>
        <w:rPr>
          <w:rFonts w:ascii="Arial" w:eastAsia="Calibri" w:hAnsi="Arial" w:cs="Arial"/>
          <w:i w:val="0"/>
          <w:sz w:val="22"/>
          <w:szCs w:val="22"/>
          <w:lang w:val="ro-RO"/>
        </w:rPr>
      </w:pPr>
      <w:bookmarkStart w:id="31" w:name="_Toc140744438"/>
      <w:r w:rsidRPr="00BF3E42">
        <w:rPr>
          <w:rFonts w:ascii="Arial" w:hAnsi="Arial" w:cs="Arial"/>
          <w:i w:val="0"/>
          <w:sz w:val="22"/>
          <w:szCs w:val="22"/>
        </w:rPr>
        <w:t xml:space="preserve">Figura I.1. </w:t>
      </w:r>
      <w:r w:rsidRPr="00BF3E42">
        <w:rPr>
          <w:rFonts w:ascii="Arial" w:hAnsi="Arial" w:cs="Arial"/>
          <w:i w:val="0"/>
          <w:sz w:val="22"/>
          <w:szCs w:val="22"/>
        </w:rPr>
        <w:fldChar w:fldCharType="begin"/>
      </w:r>
      <w:r w:rsidRPr="00BF3E42">
        <w:rPr>
          <w:rFonts w:ascii="Arial" w:hAnsi="Arial" w:cs="Arial"/>
          <w:i w:val="0"/>
          <w:sz w:val="22"/>
          <w:szCs w:val="22"/>
        </w:rPr>
        <w:instrText xml:space="preserve"> SEQ Figura_I.1. \* ARABIC </w:instrText>
      </w:r>
      <w:r w:rsidRPr="00BF3E42">
        <w:rPr>
          <w:rFonts w:ascii="Arial" w:hAnsi="Arial" w:cs="Arial"/>
          <w:i w:val="0"/>
          <w:sz w:val="22"/>
          <w:szCs w:val="22"/>
        </w:rPr>
        <w:fldChar w:fldCharType="separate"/>
      </w:r>
      <w:r w:rsidR="00BB181C">
        <w:rPr>
          <w:rFonts w:ascii="Arial" w:hAnsi="Arial" w:cs="Arial"/>
          <w:i w:val="0"/>
          <w:noProof/>
          <w:sz w:val="22"/>
          <w:szCs w:val="22"/>
        </w:rPr>
        <w:t>7</w:t>
      </w:r>
      <w:r w:rsidRPr="00BF3E42">
        <w:rPr>
          <w:rFonts w:ascii="Arial" w:hAnsi="Arial" w:cs="Arial"/>
          <w:i w:val="0"/>
          <w:sz w:val="22"/>
          <w:szCs w:val="22"/>
        </w:rPr>
        <w:fldChar w:fldCharType="end"/>
      </w:r>
      <w:r w:rsidRPr="00BF3E42">
        <w:rPr>
          <w:rFonts w:ascii="Arial" w:hAnsi="Arial" w:cs="Arial"/>
          <w:i w:val="0"/>
          <w:sz w:val="22"/>
          <w:szCs w:val="22"/>
        </w:rPr>
        <w:t xml:space="preserve"> </w:t>
      </w:r>
      <w:r w:rsidR="00981172" w:rsidRPr="00BF3E42">
        <w:rPr>
          <w:rFonts w:ascii="Arial" w:hAnsi="Arial" w:cs="Arial"/>
          <w:i w:val="0"/>
          <w:sz w:val="22"/>
          <w:szCs w:val="22"/>
        </w:rPr>
        <w:t xml:space="preserve">- </w:t>
      </w:r>
      <w:r w:rsidR="00B61B61" w:rsidRPr="00BF3E42">
        <w:rPr>
          <w:rFonts w:ascii="Arial" w:eastAsia="Calibri" w:hAnsi="Arial" w:cs="Arial"/>
          <w:i w:val="0"/>
          <w:iCs w:val="0"/>
          <w:sz w:val="22"/>
          <w:szCs w:val="22"/>
          <w:lang w:val="ro-RO"/>
        </w:rPr>
        <w:t>Competitivitatea teritoriului naţional conform valorilor Indexului de Dezvoltare Teritorială</w:t>
      </w:r>
      <w:bookmarkEnd w:id="31"/>
    </w:p>
    <w:p w14:paraId="5E805585" w14:textId="77777777" w:rsidR="00B61B61" w:rsidRPr="00D70AEA" w:rsidRDefault="00B61B61" w:rsidP="00D70AEA">
      <w:pPr>
        <w:spacing w:after="0" w:line="276" w:lineRule="auto"/>
        <w:jc w:val="both"/>
        <w:rPr>
          <w:rFonts w:ascii="Arial" w:eastAsia="Calibri" w:hAnsi="Arial" w:cs="Arial"/>
          <w:lang w:val="it-IT" w:eastAsia="ro-RO"/>
        </w:rPr>
      </w:pPr>
    </w:p>
    <w:p w14:paraId="7C5DB7FD" w14:textId="77777777" w:rsidR="00D70AEA" w:rsidRPr="00D70AEA" w:rsidRDefault="00D70AEA" w:rsidP="00D70AEA">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Unul din obiectivele majore stabilite pentru dezvoltarea teritoriului naţional în orizontul de timp 2035 este focalizat pe dezvoltarea unei reţele de localități complet echipată cu infrastructură tehnico- edilitară și eficient interconectată, precum și promovarea unor investiții integrate în acord cu specializarea teritorială.prin:</w:t>
      </w:r>
    </w:p>
    <w:p w14:paraId="32685B99" w14:textId="77777777" w:rsidR="00D70AEA" w:rsidRPr="00D70AEA" w:rsidRDefault="00D70AEA" w:rsidP="006B613A">
      <w:pPr>
        <w:numPr>
          <w:ilvl w:val="0"/>
          <w:numId w:val="21"/>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 xml:space="preserve">consolidarea centrelor urbane cu vocație internațională în reţeaua de oraşe europene; </w:t>
      </w:r>
    </w:p>
    <w:p w14:paraId="688ECBA1" w14:textId="77777777" w:rsidR="00D70AEA" w:rsidRPr="00D70AEA" w:rsidRDefault="00D70AEA" w:rsidP="006B613A">
      <w:pPr>
        <w:numPr>
          <w:ilvl w:val="0"/>
          <w:numId w:val="21"/>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 xml:space="preserve">asigurarea unei accesibilități crescute la nivelul teritoriului și a unei conectivități eficiente între orașele mari și zona urbană funcţională, precum şi </w:t>
      </w:r>
    </w:p>
    <w:p w14:paraId="4926D187" w14:textId="77777777" w:rsidR="00D70AEA" w:rsidRPr="00D70AEA" w:rsidRDefault="00D70AEA" w:rsidP="006B613A">
      <w:pPr>
        <w:numPr>
          <w:ilvl w:val="0"/>
          <w:numId w:val="21"/>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 xml:space="preserve">asigurarea unei echipări complete cu infrastructură de utilități publice a zonelor urbane şi </w:t>
      </w:r>
    </w:p>
    <w:p w14:paraId="7141136A" w14:textId="77777777" w:rsidR="00D70AEA" w:rsidRPr="00D70AEA" w:rsidRDefault="00D70AEA" w:rsidP="006B613A">
      <w:pPr>
        <w:numPr>
          <w:ilvl w:val="0"/>
          <w:numId w:val="21"/>
        </w:numPr>
        <w:spacing w:after="0" w:line="276" w:lineRule="auto"/>
        <w:contextualSpacing/>
        <w:jc w:val="both"/>
        <w:rPr>
          <w:rFonts w:ascii="Arial" w:eastAsia="Calibri" w:hAnsi="Arial" w:cs="Arial"/>
          <w:lang w:val="it-IT" w:eastAsia="ro-RO"/>
        </w:rPr>
      </w:pPr>
      <w:r w:rsidRPr="00D70AEA">
        <w:rPr>
          <w:rFonts w:ascii="Arial" w:eastAsia="Calibri" w:hAnsi="Arial" w:cs="Arial"/>
          <w:lang w:val="it-IT" w:eastAsia="ro-RO"/>
        </w:rPr>
        <w:t>creşterea atractivităţii spaţiilor urbane și rurale prin îmbunătăţirea funcţiilor rezidenţiale, dezvoltarea unor spaţii publice de calitate și a unor servicii de transport adaptate nevoilor şi specificului local.</w:t>
      </w:r>
    </w:p>
    <w:p w14:paraId="6892AE82" w14:textId="77777777" w:rsidR="00D70AEA" w:rsidRPr="00D70AEA" w:rsidRDefault="00D70AEA" w:rsidP="00D70AEA">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În plan operaţional, implementarea acestor obiective strategice presupune adoptarea unui set de măsuri teritoriale şi a acţiunilor aferente pentru corectarea dezechilibrelor sau maximizarea avantajelor conferite de zonele urbane.</w:t>
      </w:r>
    </w:p>
    <w:p w14:paraId="5E3DABBC" w14:textId="77777777" w:rsidR="00D70AEA" w:rsidRPr="00D70AEA" w:rsidRDefault="00D70AEA" w:rsidP="00D70AEA">
      <w:pPr>
        <w:spacing w:after="0" w:line="276" w:lineRule="auto"/>
        <w:jc w:val="both"/>
        <w:rPr>
          <w:rFonts w:ascii="Arial" w:eastAsia="Calibri" w:hAnsi="Arial" w:cs="Arial"/>
          <w:lang w:val="it-IT" w:eastAsia="ro-RO"/>
        </w:rPr>
      </w:pPr>
    </w:p>
    <w:p w14:paraId="7EF22475" w14:textId="77777777" w:rsidR="00D70AEA" w:rsidRPr="00D70AEA" w:rsidRDefault="00D70AEA" w:rsidP="0085198B">
      <w:pPr>
        <w:spacing w:after="0" w:line="276" w:lineRule="auto"/>
        <w:jc w:val="both"/>
        <w:rPr>
          <w:rFonts w:ascii="Arial" w:eastAsia="Calibri" w:hAnsi="Arial" w:cs="Arial"/>
          <w:lang w:val="it-IT" w:eastAsia="ro-RO"/>
        </w:rPr>
      </w:pPr>
      <w:r w:rsidRPr="00D70AEA">
        <w:rPr>
          <w:rFonts w:ascii="Arial" w:eastAsia="Calibri" w:hAnsi="Arial" w:cs="Arial"/>
          <w:lang w:val="it-IT" w:eastAsia="ro-RO"/>
        </w:rPr>
        <w:t xml:space="preserve">În cadrul </w:t>
      </w:r>
      <w:r w:rsidR="0085198B">
        <w:rPr>
          <w:rFonts w:ascii="Arial" w:eastAsia="Calibri" w:hAnsi="Arial" w:cs="Arial"/>
          <w:lang w:val="it-IT" w:eastAsia="ro-RO"/>
        </w:rPr>
        <w:t>Strategia de Dezvoltare Teritorială a</w:t>
      </w:r>
      <w:r w:rsidR="0085198B" w:rsidRPr="0085198B">
        <w:rPr>
          <w:rFonts w:ascii="Arial" w:eastAsia="Calibri" w:hAnsi="Arial" w:cs="Arial"/>
          <w:lang w:val="it-IT" w:eastAsia="ro-RO"/>
        </w:rPr>
        <w:t xml:space="preserve"> României</w:t>
      </w:r>
      <w:r w:rsidR="0085198B">
        <w:rPr>
          <w:rFonts w:ascii="Arial" w:eastAsia="Calibri" w:hAnsi="Arial" w:cs="Arial"/>
          <w:lang w:val="it-IT" w:eastAsia="ro-RO"/>
        </w:rPr>
        <w:t xml:space="preserve"> - </w:t>
      </w:r>
      <w:r w:rsidR="0085198B" w:rsidRPr="0085198B">
        <w:rPr>
          <w:rFonts w:ascii="Arial" w:eastAsia="Calibri" w:hAnsi="Arial" w:cs="Arial"/>
          <w:lang w:val="it-IT" w:eastAsia="ro-RO"/>
        </w:rPr>
        <w:t>România policentrică 2035 Coeziune şi competitivitate teritorială, dezvoltare şi şanse egale pentru oameni</w:t>
      </w:r>
      <w:r w:rsidRPr="00D70AEA">
        <w:rPr>
          <w:rFonts w:ascii="Arial" w:eastAsia="Calibri" w:hAnsi="Arial" w:cs="Arial"/>
          <w:lang w:val="it-IT" w:eastAsia="ro-RO"/>
        </w:rPr>
        <w:t xml:space="preserve">, </w:t>
      </w:r>
      <w:r w:rsidR="00687F6B">
        <w:rPr>
          <w:rFonts w:ascii="Arial" w:eastAsia="Calibri" w:hAnsi="Arial" w:cs="Arial"/>
          <w:lang w:val="it-IT" w:eastAsia="ro-RO"/>
        </w:rPr>
        <w:t>oraşul Horezu</w:t>
      </w:r>
      <w:r w:rsidRPr="00D70AEA">
        <w:rPr>
          <w:rFonts w:ascii="Arial" w:eastAsia="Calibri" w:hAnsi="Arial" w:cs="Arial"/>
          <w:lang w:val="it-IT" w:eastAsia="ro-RO"/>
        </w:rPr>
        <w:t xml:space="preserve"> este menţionat în planul de acţiuni care vizează următoarele măsuri/acţiuni:</w:t>
      </w:r>
    </w:p>
    <w:tbl>
      <w:tblPr>
        <w:tblStyle w:val="TableGrid1"/>
        <w:tblW w:w="0" w:type="auto"/>
        <w:jc w:val="center"/>
        <w:tblBorders>
          <w:top w:val="none" w:sz="0" w:space="0" w:color="auto"/>
          <w:left w:val="none" w:sz="0" w:space="0" w:color="auto"/>
          <w:bottom w:val="none" w:sz="0" w:space="0" w:color="auto"/>
          <w:right w:val="none" w:sz="0" w:space="0" w:color="auto"/>
        </w:tblBorders>
        <w:shd w:val="clear" w:color="auto" w:fill="E2EFD9" w:themeFill="accent6" w:themeFillTint="33"/>
        <w:tblLook w:val="04A0" w:firstRow="1" w:lastRow="0" w:firstColumn="1" w:lastColumn="0" w:noHBand="0" w:noVBand="1"/>
      </w:tblPr>
      <w:tblGrid>
        <w:gridCol w:w="4675"/>
        <w:gridCol w:w="4675"/>
      </w:tblGrid>
      <w:tr w:rsidR="00D70AEA" w:rsidRPr="00D70AEA" w14:paraId="20185B55" w14:textId="77777777" w:rsidTr="00595B48">
        <w:trPr>
          <w:tblHeader/>
          <w:jc w:val="center"/>
        </w:trPr>
        <w:tc>
          <w:tcPr>
            <w:tcW w:w="4675" w:type="dxa"/>
            <w:shd w:val="clear" w:color="auto" w:fill="E2EFD9" w:themeFill="accent6" w:themeFillTint="33"/>
          </w:tcPr>
          <w:p w14:paraId="2A6DA28D" w14:textId="77777777" w:rsidR="00D70AEA" w:rsidRPr="00D70AEA" w:rsidRDefault="00D70AEA" w:rsidP="00D70AEA">
            <w:pPr>
              <w:spacing w:line="276" w:lineRule="auto"/>
              <w:jc w:val="center"/>
              <w:rPr>
                <w:rFonts w:ascii="Arial" w:hAnsi="Arial" w:cs="Arial"/>
                <w:b/>
                <w:i/>
                <w:lang w:val="it-IT" w:eastAsia="ro-RO"/>
              </w:rPr>
            </w:pPr>
            <w:r w:rsidRPr="00D70AEA">
              <w:rPr>
                <w:rFonts w:ascii="Arial" w:hAnsi="Arial" w:cs="Arial"/>
                <w:b/>
                <w:i/>
                <w:lang w:val="it-IT" w:eastAsia="ro-RO"/>
              </w:rPr>
              <w:t>Măsură</w:t>
            </w:r>
          </w:p>
        </w:tc>
        <w:tc>
          <w:tcPr>
            <w:tcW w:w="4675" w:type="dxa"/>
            <w:shd w:val="clear" w:color="auto" w:fill="E2EFD9" w:themeFill="accent6" w:themeFillTint="33"/>
          </w:tcPr>
          <w:p w14:paraId="4B01D36A" w14:textId="77777777" w:rsidR="00D70AEA" w:rsidRPr="00D70AEA" w:rsidRDefault="00D70AEA" w:rsidP="00D70AEA">
            <w:pPr>
              <w:spacing w:line="276" w:lineRule="auto"/>
              <w:jc w:val="center"/>
              <w:rPr>
                <w:rFonts w:ascii="Arial" w:hAnsi="Arial" w:cs="Arial"/>
                <w:b/>
                <w:i/>
                <w:lang w:val="it-IT" w:eastAsia="ro-RO"/>
              </w:rPr>
            </w:pPr>
            <w:r w:rsidRPr="00D70AEA">
              <w:rPr>
                <w:rFonts w:ascii="Arial" w:hAnsi="Arial" w:cs="Arial"/>
                <w:b/>
                <w:i/>
                <w:lang w:val="it-IT" w:eastAsia="ro-RO"/>
              </w:rPr>
              <w:t>Acţiune</w:t>
            </w:r>
          </w:p>
        </w:tc>
      </w:tr>
      <w:tr w:rsidR="00D70AEA" w:rsidRPr="00D70AEA" w14:paraId="31BA2EA5" w14:textId="77777777" w:rsidTr="0085198B">
        <w:trPr>
          <w:jc w:val="center"/>
        </w:trPr>
        <w:tc>
          <w:tcPr>
            <w:tcW w:w="4675" w:type="dxa"/>
            <w:shd w:val="clear" w:color="auto" w:fill="E2EFD9" w:themeFill="accent6" w:themeFillTint="33"/>
            <w:vAlign w:val="center"/>
          </w:tcPr>
          <w:p w14:paraId="61748CD7" w14:textId="77777777" w:rsidR="00D70AEA" w:rsidRPr="00D70AEA" w:rsidRDefault="00595B48" w:rsidP="00D70AEA">
            <w:pPr>
              <w:spacing w:line="276" w:lineRule="auto"/>
              <w:jc w:val="both"/>
              <w:rPr>
                <w:rFonts w:ascii="Arial" w:hAnsi="Arial" w:cs="Arial"/>
                <w:i/>
                <w:lang w:val="it-IT" w:eastAsia="ro-RO"/>
              </w:rPr>
            </w:pPr>
            <w:r w:rsidRPr="00595B48">
              <w:rPr>
                <w:rFonts w:ascii="Arial" w:hAnsi="Arial" w:cs="Arial"/>
                <w:lang w:val="it-IT" w:eastAsia="ro-RO"/>
              </w:rPr>
              <w:t>Reabilitarea patrimoniului urban construit ş̦i punerea în valoare a identității arhitecturale</w:t>
            </w:r>
          </w:p>
        </w:tc>
        <w:tc>
          <w:tcPr>
            <w:tcW w:w="4675" w:type="dxa"/>
            <w:shd w:val="clear" w:color="auto" w:fill="E2EFD9" w:themeFill="accent6" w:themeFillTint="33"/>
          </w:tcPr>
          <w:p w14:paraId="4F4C0073" w14:textId="77777777" w:rsidR="00D70AEA" w:rsidRPr="00D70AEA" w:rsidRDefault="00595B48" w:rsidP="00D70AEA">
            <w:pPr>
              <w:spacing w:line="276" w:lineRule="auto"/>
              <w:jc w:val="both"/>
              <w:rPr>
                <w:rFonts w:ascii="Arial" w:hAnsi="Arial" w:cs="Arial"/>
                <w:i/>
                <w:lang w:val="it-IT" w:eastAsia="ro-RO"/>
              </w:rPr>
            </w:pPr>
            <w:r w:rsidRPr="00595B48">
              <w:rPr>
                <w:rFonts w:ascii="Arial" w:hAnsi="Arial" w:cs="Arial"/>
                <w:lang w:val="it-IT" w:eastAsia="ro-RO"/>
              </w:rPr>
              <w:t xml:space="preserve">Realizarea operațiunilor de restaurare şi reabilitare a patrimoniului urban construit </w:t>
            </w:r>
            <w:r w:rsidRPr="00595B48">
              <w:rPr>
                <w:rFonts w:ascii="Arial" w:hAnsi="Arial" w:cs="Arial"/>
                <w:lang w:val="it-IT" w:eastAsia="ro-RO"/>
              </w:rPr>
              <w:lastRenderedPageBreak/>
              <w:t>(monumente și ansambluri de arhitectură, arheologice, etc.), cu precădere la nivelul orașelor care dețin obiective UNESCO și al celor cu o concentrare foarte mare a patrimoniului construit cu valoare culturală de interes național, conform Legii nr. 5/2000</w:t>
            </w:r>
          </w:p>
        </w:tc>
      </w:tr>
      <w:tr w:rsidR="00595B48" w:rsidRPr="00D70AEA" w14:paraId="367DBB69" w14:textId="77777777" w:rsidTr="00595B48">
        <w:trPr>
          <w:jc w:val="center"/>
        </w:trPr>
        <w:tc>
          <w:tcPr>
            <w:tcW w:w="4675" w:type="dxa"/>
            <w:vMerge w:val="restart"/>
            <w:shd w:val="clear" w:color="auto" w:fill="E2EFD9" w:themeFill="accent6" w:themeFillTint="33"/>
            <w:vAlign w:val="center"/>
          </w:tcPr>
          <w:p w14:paraId="4E9C34E0" w14:textId="77777777" w:rsidR="00595B48" w:rsidRPr="00595B48" w:rsidRDefault="00595B48" w:rsidP="00D70AEA">
            <w:pPr>
              <w:spacing w:line="276" w:lineRule="auto"/>
              <w:jc w:val="both"/>
              <w:rPr>
                <w:rFonts w:ascii="Arial" w:hAnsi="Arial" w:cs="Arial"/>
                <w:lang w:val="it-IT" w:eastAsia="ro-RO"/>
              </w:rPr>
            </w:pPr>
            <w:r w:rsidRPr="00595B48">
              <w:rPr>
                <w:rFonts w:ascii="Arial" w:hAnsi="Arial" w:cs="Arial"/>
                <w:lang w:val="it-IT" w:eastAsia="ro-RO"/>
              </w:rPr>
              <w:lastRenderedPageBreak/>
              <w:t>Asigurarea accesului populației urbane la servicii de interes general</w:t>
            </w:r>
          </w:p>
        </w:tc>
        <w:tc>
          <w:tcPr>
            <w:tcW w:w="4675" w:type="dxa"/>
            <w:shd w:val="clear" w:color="auto" w:fill="E2EFD9" w:themeFill="accent6" w:themeFillTint="33"/>
          </w:tcPr>
          <w:p w14:paraId="59A55369" w14:textId="77777777" w:rsidR="00595B48" w:rsidRPr="00595B48" w:rsidRDefault="00595B48" w:rsidP="00D70AEA">
            <w:pPr>
              <w:spacing w:line="276" w:lineRule="auto"/>
              <w:jc w:val="both"/>
              <w:rPr>
                <w:rFonts w:ascii="Arial" w:hAnsi="Arial" w:cs="Arial"/>
                <w:lang w:val="it-IT" w:eastAsia="ro-RO"/>
              </w:rPr>
            </w:pPr>
            <w:r w:rsidRPr="00595B48">
              <w:rPr>
                <w:rFonts w:ascii="Arial" w:hAnsi="Arial" w:cs="Arial"/>
                <w:lang w:val="it-IT" w:eastAsia="ro-RO"/>
              </w:rPr>
              <w:t>Reabilitarea, modernizarea și dotarea spitalelor publice din mediul urban, inclusiv a unităților de primire a urgențelor, cu precădere a celor din orașele cu mai puțin de 50.000 de locuitori</w:t>
            </w:r>
          </w:p>
        </w:tc>
      </w:tr>
      <w:tr w:rsidR="00595B48" w:rsidRPr="00D70AEA" w14:paraId="70B83843" w14:textId="77777777" w:rsidTr="00595B48">
        <w:trPr>
          <w:jc w:val="center"/>
        </w:trPr>
        <w:tc>
          <w:tcPr>
            <w:tcW w:w="4675" w:type="dxa"/>
            <w:vMerge/>
            <w:shd w:val="clear" w:color="auto" w:fill="E2EFD9" w:themeFill="accent6" w:themeFillTint="33"/>
          </w:tcPr>
          <w:p w14:paraId="108B83F0" w14:textId="77777777" w:rsidR="00595B48" w:rsidRPr="00D70AEA" w:rsidRDefault="00595B48" w:rsidP="00D70AEA">
            <w:pPr>
              <w:spacing w:line="276" w:lineRule="auto"/>
              <w:jc w:val="both"/>
              <w:rPr>
                <w:rFonts w:ascii="Arial" w:hAnsi="Arial" w:cs="Arial"/>
                <w:i/>
                <w:lang w:val="it-IT" w:eastAsia="ro-RO"/>
              </w:rPr>
            </w:pPr>
          </w:p>
        </w:tc>
        <w:tc>
          <w:tcPr>
            <w:tcW w:w="4675" w:type="dxa"/>
            <w:shd w:val="clear" w:color="auto" w:fill="E2EFD9" w:themeFill="accent6" w:themeFillTint="33"/>
          </w:tcPr>
          <w:p w14:paraId="53514B07" w14:textId="77777777" w:rsidR="00595B48" w:rsidRPr="00595B48" w:rsidRDefault="00595B48" w:rsidP="00D70AEA">
            <w:pPr>
              <w:spacing w:line="276" w:lineRule="auto"/>
              <w:jc w:val="both"/>
              <w:rPr>
                <w:rFonts w:ascii="Arial" w:hAnsi="Arial" w:cs="Arial"/>
                <w:lang w:val="it-IT" w:eastAsia="ro-RO"/>
              </w:rPr>
            </w:pPr>
            <w:r w:rsidRPr="00595B48">
              <w:rPr>
                <w:rFonts w:ascii="Arial" w:hAnsi="Arial" w:cs="Arial"/>
                <w:lang w:val="it-IT" w:eastAsia="ro-RO"/>
              </w:rPr>
              <w:t>Construcția, extinderea și reabilitarea campusurilor școlare din mediul urban, cu precădere la nivelul unităților de învățământ liceal cu peste 1.000 de elevi</w:t>
            </w:r>
          </w:p>
        </w:tc>
      </w:tr>
      <w:tr w:rsidR="00595B48" w:rsidRPr="00D70AEA" w14:paraId="0DE5395B" w14:textId="77777777" w:rsidTr="00595B48">
        <w:trPr>
          <w:jc w:val="center"/>
        </w:trPr>
        <w:tc>
          <w:tcPr>
            <w:tcW w:w="4675" w:type="dxa"/>
            <w:vMerge/>
            <w:shd w:val="clear" w:color="auto" w:fill="E2EFD9" w:themeFill="accent6" w:themeFillTint="33"/>
          </w:tcPr>
          <w:p w14:paraId="665351AE" w14:textId="77777777" w:rsidR="00595B48" w:rsidRPr="00D70AEA" w:rsidRDefault="00595B48" w:rsidP="00D70AEA">
            <w:pPr>
              <w:spacing w:line="276" w:lineRule="auto"/>
              <w:jc w:val="both"/>
              <w:rPr>
                <w:rFonts w:ascii="Arial" w:hAnsi="Arial" w:cs="Arial"/>
                <w:i/>
                <w:lang w:val="it-IT" w:eastAsia="ro-RO"/>
              </w:rPr>
            </w:pPr>
          </w:p>
        </w:tc>
        <w:tc>
          <w:tcPr>
            <w:tcW w:w="4675" w:type="dxa"/>
            <w:shd w:val="clear" w:color="auto" w:fill="E2EFD9" w:themeFill="accent6" w:themeFillTint="33"/>
          </w:tcPr>
          <w:p w14:paraId="25717D6B" w14:textId="77777777" w:rsidR="00595B48" w:rsidRPr="00595B48" w:rsidRDefault="00595B48" w:rsidP="00D70AEA">
            <w:pPr>
              <w:spacing w:line="276" w:lineRule="auto"/>
              <w:jc w:val="both"/>
              <w:rPr>
                <w:rFonts w:ascii="Arial" w:hAnsi="Arial" w:cs="Arial"/>
                <w:lang w:val="it-IT" w:eastAsia="ro-RO"/>
              </w:rPr>
            </w:pPr>
            <w:r w:rsidRPr="00595B48">
              <w:rPr>
                <w:rFonts w:ascii="Arial" w:hAnsi="Arial" w:cs="Arial"/>
                <w:lang w:val="it-IT" w:eastAsia="ro-RO"/>
              </w:rPr>
              <w:t>Construirea, reabilitarea, modernizarea și dotarea centrelor comunitare de intervenție integrată, cu precădere în orașele cu peste 10% din populația în zone urbane marginalizate (cf. Banca Mondială, “Atlasul Zonelor Urbane Marginalizate din România”)</w:t>
            </w:r>
          </w:p>
        </w:tc>
      </w:tr>
    </w:tbl>
    <w:p w14:paraId="2DD6167A" w14:textId="77777777" w:rsidR="00D70AEA" w:rsidRPr="00D70AEA" w:rsidRDefault="00D70AEA" w:rsidP="00D70AEA">
      <w:pPr>
        <w:spacing w:after="0" w:line="276" w:lineRule="auto"/>
        <w:jc w:val="both"/>
        <w:rPr>
          <w:rFonts w:ascii="Arial" w:eastAsia="Calibri" w:hAnsi="Arial" w:cs="Arial"/>
          <w:i/>
          <w:lang w:val="it-IT" w:eastAsia="ro-RO"/>
        </w:rPr>
      </w:pPr>
    </w:p>
    <w:p w14:paraId="09290590" w14:textId="77777777" w:rsidR="00B61B61" w:rsidRDefault="00B61B61" w:rsidP="00D70AEA">
      <w:pPr>
        <w:rPr>
          <w:rFonts w:ascii="Arial" w:eastAsia="Calibri" w:hAnsi="Arial" w:cs="Arial"/>
          <w:b/>
          <w:i/>
        </w:rPr>
      </w:pPr>
      <w:bookmarkStart w:id="32" w:name="_Toc61264885"/>
    </w:p>
    <w:p w14:paraId="05C7247B" w14:textId="77777777" w:rsidR="00D70AEA" w:rsidRPr="00D70AEA" w:rsidRDefault="00D70AEA" w:rsidP="00D70AEA">
      <w:pPr>
        <w:rPr>
          <w:rFonts w:ascii="Arial" w:eastAsia="Calibri" w:hAnsi="Arial" w:cs="Arial"/>
          <w:b/>
          <w:i/>
        </w:rPr>
      </w:pPr>
      <w:r w:rsidRPr="00D70AEA">
        <w:rPr>
          <w:rFonts w:ascii="Arial" w:eastAsia="Calibri" w:hAnsi="Arial" w:cs="Arial"/>
          <w:b/>
          <w:i/>
        </w:rPr>
        <w:t>Planul de Amenajare a Teritoriul Naţional - PATN</w:t>
      </w:r>
    </w:p>
    <w:p w14:paraId="43CF3AE1" w14:textId="57CBE322" w:rsidR="00D70AEA" w:rsidRPr="00D70AEA" w:rsidRDefault="00D70AEA" w:rsidP="00D70AEA">
      <w:pPr>
        <w:spacing w:after="0" w:line="276" w:lineRule="auto"/>
        <w:jc w:val="both"/>
        <w:rPr>
          <w:rFonts w:ascii="Arial" w:eastAsia="Calibri" w:hAnsi="Arial" w:cs="Arial"/>
        </w:rPr>
      </w:pPr>
      <w:r w:rsidRPr="00D70AEA">
        <w:rPr>
          <w:rFonts w:ascii="Arial" w:eastAsia="Calibri" w:hAnsi="Arial" w:cs="Arial"/>
        </w:rPr>
        <w:t>Planul de amenajare a teritoriului naţional – PATN</w:t>
      </w:r>
      <w:r w:rsidR="002E569B">
        <w:rPr>
          <w:rStyle w:val="Referinnotdesubsol"/>
          <w:rFonts w:ascii="Arial" w:eastAsia="Calibri" w:hAnsi="Arial" w:cs="Arial"/>
        </w:rPr>
        <w:footnoteReference w:id="14"/>
      </w:r>
      <w:r w:rsidRPr="00D70AEA">
        <w:rPr>
          <w:rFonts w:ascii="Arial" w:eastAsia="Calibri" w:hAnsi="Arial" w:cs="Arial"/>
        </w:rPr>
        <w:t xml:space="preserve"> - este suportul dezvoltării complexe si durabile inclusiv al dezvoltãrii regionale a teritoriului si reprezintă contribuţia specifică a ţării noastre la dezvoltarea spaţiului european si premisa înscrierii în dinamica dezvoltării economico-sociale europene.Planul de Amenajare a Teritoriului National are caracter director si fundamenteazã programele strategice sectoriale pe termen mediu si lung si determinã dimensiunile, sensul si prioritãţile dezvoltãrii în cadrul teritoriului României, în acord cu ansamblul cerinţelor europene.</w:t>
      </w:r>
    </w:p>
    <w:p w14:paraId="0012AC6C" w14:textId="77777777" w:rsidR="00D70AEA" w:rsidRPr="00D70AEA" w:rsidRDefault="00D70AEA" w:rsidP="00D70AEA">
      <w:pPr>
        <w:spacing w:after="0" w:line="276" w:lineRule="auto"/>
        <w:jc w:val="both"/>
        <w:rPr>
          <w:rFonts w:ascii="Arial" w:eastAsia="Calibri" w:hAnsi="Arial" w:cs="Arial"/>
        </w:rPr>
      </w:pPr>
    </w:p>
    <w:p w14:paraId="676D672D" w14:textId="77777777" w:rsidR="00D70AEA" w:rsidRPr="006219EE" w:rsidRDefault="00D70AEA" w:rsidP="00D70AEA">
      <w:pPr>
        <w:spacing w:after="0" w:line="276" w:lineRule="auto"/>
        <w:jc w:val="both"/>
        <w:rPr>
          <w:rFonts w:ascii="Arial" w:eastAsia="Calibri" w:hAnsi="Arial" w:cs="Arial"/>
        </w:rPr>
      </w:pPr>
      <w:r w:rsidRPr="00D70AEA">
        <w:rPr>
          <w:rFonts w:ascii="Arial" w:eastAsia="Calibri" w:hAnsi="Arial" w:cs="Arial"/>
        </w:rPr>
        <w:t xml:space="preserve">Planul de Amenajare a Teritoriului National – PATN – se elaborează pe secţiuni specializate, care sunt </w:t>
      </w:r>
      <w:r w:rsidRPr="006219EE">
        <w:rPr>
          <w:rFonts w:ascii="Arial" w:eastAsia="Calibri" w:hAnsi="Arial" w:cs="Arial"/>
        </w:rPr>
        <w:t>aprobate prin lege de cãtre Parlamentul României.</w:t>
      </w:r>
    </w:p>
    <w:p w14:paraId="6B1C0F2D" w14:textId="77777777" w:rsidR="00D70AEA" w:rsidRPr="00653961" w:rsidRDefault="00D70AEA" w:rsidP="006B613A">
      <w:pPr>
        <w:numPr>
          <w:ilvl w:val="0"/>
          <w:numId w:val="22"/>
        </w:numPr>
        <w:spacing w:after="0" w:line="276" w:lineRule="auto"/>
        <w:contextualSpacing/>
        <w:jc w:val="both"/>
        <w:rPr>
          <w:rFonts w:ascii="Arial" w:eastAsia="Calibri" w:hAnsi="Arial" w:cs="Arial"/>
        </w:rPr>
      </w:pPr>
      <w:r w:rsidRPr="00653961">
        <w:rPr>
          <w:rFonts w:ascii="Arial" w:eastAsia="Calibri" w:hAnsi="Arial" w:cs="Arial"/>
        </w:rPr>
        <w:t xml:space="preserve">Secţiunea I – Reţele de transport – aprobată în anul 2006 (Legea 363/21.09.2006 privind aprobarea planului de amenajare a teritoriului naţional actualizată) şi care cuprinde </w:t>
      </w:r>
      <w:r w:rsidR="007A73C2" w:rsidRPr="00653961">
        <w:rPr>
          <w:rFonts w:ascii="Arial" w:eastAsia="Calibri" w:hAnsi="Arial" w:cs="Arial"/>
        </w:rPr>
        <w:t>direcții</w:t>
      </w:r>
      <w:r w:rsidRPr="00653961">
        <w:rPr>
          <w:rFonts w:ascii="Arial" w:eastAsia="Calibri" w:hAnsi="Arial" w:cs="Arial"/>
        </w:rPr>
        <w:t>le de dezvoltare a</w:t>
      </w:r>
      <w:r w:rsidR="00653961">
        <w:rPr>
          <w:rFonts w:ascii="Arial" w:eastAsia="Calibri" w:hAnsi="Arial" w:cs="Arial"/>
        </w:rPr>
        <w:t xml:space="preserve">le infrastructurii de transport; </w:t>
      </w:r>
      <w:r w:rsidR="005E000E">
        <w:rPr>
          <w:rFonts w:ascii="Arial" w:eastAsia="Calibri" w:hAnsi="Arial" w:cs="Arial"/>
        </w:rPr>
        <w:t>în cadrul</w:t>
      </w:r>
      <w:r w:rsidR="00653961">
        <w:rPr>
          <w:rFonts w:ascii="Arial" w:eastAsia="Calibri" w:hAnsi="Arial" w:cs="Arial"/>
        </w:rPr>
        <w:t xml:space="preserve"> Direcţiilor de dezvoltare prevăzute în Planul de amenajare a teritoriului naţional – Secţiunea I – Reţele de transport (Anexa nr. 1) </w:t>
      </w:r>
      <w:r w:rsidR="005E000E">
        <w:rPr>
          <w:rFonts w:ascii="Arial" w:eastAsia="Calibri" w:hAnsi="Arial" w:cs="Arial"/>
        </w:rPr>
        <w:t>se propune realizarea drumului expres Drobeta Turnu Severin – Târgu Jiu – Râmnicu Vâlcea – Curtea de Argeş, trecând şi prin Horezu.</w:t>
      </w:r>
    </w:p>
    <w:p w14:paraId="2E7F130E" w14:textId="77777777" w:rsidR="00D70AEA" w:rsidRPr="006219EE" w:rsidRDefault="00D70AEA" w:rsidP="006B613A">
      <w:pPr>
        <w:numPr>
          <w:ilvl w:val="0"/>
          <w:numId w:val="22"/>
        </w:numPr>
        <w:spacing w:after="0" w:line="276" w:lineRule="auto"/>
        <w:contextualSpacing/>
        <w:jc w:val="both"/>
        <w:rPr>
          <w:rFonts w:ascii="Arial" w:eastAsia="Calibri" w:hAnsi="Arial" w:cs="Arial"/>
        </w:rPr>
      </w:pPr>
      <w:r w:rsidRPr="006219EE">
        <w:rPr>
          <w:rFonts w:ascii="Arial" w:eastAsia="Calibri" w:hAnsi="Arial" w:cs="Arial"/>
        </w:rPr>
        <w:t>Secţiunea III – Zone protejate – aprobată în anul 2000 şi care evidenţiază zonele natural protejate de interes naţional şi identifică valorile de patrimoniu cultural naţional, care necesită instituirea de zone protejate pentru a</w:t>
      </w:r>
      <w:r w:rsidRPr="00D70AEA">
        <w:rPr>
          <w:rFonts w:ascii="Arial" w:eastAsia="Calibri" w:hAnsi="Arial" w:cs="Arial"/>
        </w:rPr>
        <w:t xml:space="preserve">sigurarea protecţiei acestor valori;  </w:t>
      </w:r>
      <w:r w:rsidR="001A3AC1" w:rsidRPr="006219EE">
        <w:rPr>
          <w:rFonts w:ascii="Arial" w:eastAsia="Calibri" w:hAnsi="Arial" w:cs="Arial"/>
        </w:rPr>
        <w:t xml:space="preserve">în </w:t>
      </w:r>
      <w:r w:rsidRPr="006219EE">
        <w:rPr>
          <w:rFonts w:ascii="Arial" w:eastAsia="Calibri" w:hAnsi="Arial" w:cs="Arial"/>
        </w:rPr>
        <w:t xml:space="preserve">Anexa </w:t>
      </w:r>
      <w:r w:rsidR="001A3AC1" w:rsidRPr="006219EE">
        <w:rPr>
          <w:rFonts w:ascii="Arial" w:eastAsia="Calibri" w:hAnsi="Arial" w:cs="Arial"/>
        </w:rPr>
        <w:t>nr.</w:t>
      </w:r>
      <w:r w:rsidRPr="006219EE">
        <w:rPr>
          <w:rFonts w:ascii="Arial" w:eastAsia="Calibri" w:hAnsi="Arial" w:cs="Arial"/>
        </w:rPr>
        <w:t xml:space="preserve"> III  –  </w:t>
      </w:r>
      <w:r w:rsidR="001A3AC1" w:rsidRPr="006219EE">
        <w:rPr>
          <w:rFonts w:ascii="Arial" w:eastAsia="Calibri" w:hAnsi="Arial" w:cs="Arial"/>
        </w:rPr>
        <w:t xml:space="preserve">1. Monumente şi ansambluri de arhitectură, Biserici şi ansambluri mânăstireşti din </w:t>
      </w:r>
      <w:r w:rsidR="001A3AC1" w:rsidRPr="006219EE">
        <w:rPr>
          <w:rFonts w:ascii="Arial" w:eastAsia="Calibri" w:hAnsi="Arial" w:cs="Arial"/>
        </w:rPr>
        <w:lastRenderedPageBreak/>
        <w:t>a</w:t>
      </w:r>
      <w:r w:rsidR="006219EE" w:rsidRPr="006219EE">
        <w:rPr>
          <w:rFonts w:ascii="Arial" w:eastAsia="Calibri" w:hAnsi="Arial" w:cs="Arial"/>
        </w:rPr>
        <w:t>ceastă secţiune este menţionat Ansamblul Mânăstirii Horezu (din satul Romanii de Sus ce aparţine oraşului Horezu) şi Biserica Intrarea în Biserică şi Sfântul Ioan Botezătorul (din satul Hurşani ce aparţine oraşului Horezu); în cadrul aceleiaşi anexe, oraşul Horezu este menţionat în cadrul unităţilor administrative-teritoriale cu concentrare foarte mare a patrimoniului construit cu valoare culturală de interes naţional</w:t>
      </w:r>
      <w:r w:rsidRPr="006219EE">
        <w:rPr>
          <w:rFonts w:ascii="Arial" w:eastAsia="Calibri" w:hAnsi="Arial" w:cs="Arial"/>
        </w:rPr>
        <w:t>.</w:t>
      </w:r>
    </w:p>
    <w:p w14:paraId="5C0AD487" w14:textId="77777777" w:rsidR="00D70AEA" w:rsidRPr="00D70AEA" w:rsidRDefault="00D70AEA" w:rsidP="006B613A">
      <w:pPr>
        <w:numPr>
          <w:ilvl w:val="0"/>
          <w:numId w:val="22"/>
        </w:numPr>
        <w:spacing w:after="0" w:line="276" w:lineRule="auto"/>
        <w:contextualSpacing/>
        <w:jc w:val="both"/>
        <w:rPr>
          <w:rFonts w:ascii="Arial" w:eastAsia="Calibri" w:hAnsi="Arial" w:cs="Arial"/>
        </w:rPr>
      </w:pPr>
      <w:r w:rsidRPr="00D70AEA">
        <w:rPr>
          <w:rFonts w:ascii="Arial" w:eastAsia="Calibri" w:hAnsi="Arial" w:cs="Arial"/>
        </w:rPr>
        <w:t xml:space="preserve">Secţiunea IV – Reţeaua de localităţi – aprobată în anul 2001 (legea nr. 351/06.07.2001 privind aprobarea Planului de amenajare a teritoriului național. Potrivit acestei secţiuni </w:t>
      </w:r>
      <w:r w:rsidR="006219EE">
        <w:rPr>
          <w:rFonts w:ascii="Arial" w:eastAsia="Calibri" w:hAnsi="Arial" w:cs="Arial"/>
        </w:rPr>
        <w:t>Horezu</w:t>
      </w:r>
      <w:r w:rsidRPr="00D70AEA">
        <w:rPr>
          <w:rFonts w:ascii="Arial" w:eastAsia="Calibri" w:hAnsi="Arial" w:cs="Arial"/>
        </w:rPr>
        <w:t xml:space="preserve"> este o localitate urbană de rangul II</w:t>
      </w:r>
      <w:r w:rsidR="006219EE">
        <w:rPr>
          <w:rFonts w:ascii="Arial" w:eastAsia="Calibri" w:hAnsi="Arial" w:cs="Arial"/>
        </w:rPr>
        <w:t>I</w:t>
      </w:r>
      <w:r w:rsidRPr="00D70AEA">
        <w:rPr>
          <w:rFonts w:ascii="Arial" w:eastAsia="Calibri" w:hAnsi="Arial" w:cs="Arial"/>
        </w:rPr>
        <w:t xml:space="preserve">. </w:t>
      </w:r>
    </w:p>
    <w:p w14:paraId="26883415" w14:textId="77777777" w:rsidR="00D70AEA" w:rsidRPr="00B85B22" w:rsidRDefault="00D70AEA" w:rsidP="006B613A">
      <w:pPr>
        <w:numPr>
          <w:ilvl w:val="0"/>
          <w:numId w:val="22"/>
        </w:numPr>
        <w:spacing w:after="0" w:line="276" w:lineRule="auto"/>
        <w:contextualSpacing/>
        <w:jc w:val="both"/>
        <w:rPr>
          <w:rFonts w:ascii="Arial" w:eastAsia="Calibri" w:hAnsi="Arial" w:cs="Arial"/>
        </w:rPr>
      </w:pPr>
      <w:r w:rsidRPr="00B85B22">
        <w:rPr>
          <w:rFonts w:ascii="Arial" w:eastAsia="Calibri" w:hAnsi="Arial" w:cs="Arial"/>
        </w:rPr>
        <w:t>Secțiunea a V-a - Zone de risc natural - Legea nr.575/2001, cu modificări ulterioare; Conform anexei  3  -  Unit</w:t>
      </w:r>
      <w:r w:rsidR="00317CFE" w:rsidRPr="00B85B22">
        <w:rPr>
          <w:rFonts w:ascii="Arial" w:eastAsia="Calibri" w:hAnsi="Arial" w:cs="Arial"/>
        </w:rPr>
        <w:t>ă</w:t>
      </w:r>
      <w:r w:rsidRPr="00B85B22">
        <w:rPr>
          <w:rFonts w:ascii="Arial" w:eastAsia="Calibri" w:hAnsi="Arial" w:cs="Arial"/>
        </w:rPr>
        <w:t>ţi administrativ-teritoriale urbane amplasate în zone pentru care intensitatea seismicã, echivalată pe baza parametrilor de calcul privind zonarea seismicã a teritoriului României, este minimum VII (exprimatã în grade MSK) – poz.</w:t>
      </w:r>
      <w:r w:rsidR="0072012F" w:rsidRPr="00B85B22">
        <w:rPr>
          <w:rFonts w:ascii="Arial" w:eastAsia="Calibri" w:hAnsi="Arial" w:cs="Arial"/>
        </w:rPr>
        <w:t xml:space="preserve"> 200</w:t>
      </w:r>
      <w:r w:rsidRPr="00B85B22">
        <w:rPr>
          <w:rFonts w:ascii="Arial" w:eastAsia="Calibri" w:hAnsi="Arial" w:cs="Arial"/>
        </w:rPr>
        <w:t xml:space="preserve">. </w:t>
      </w:r>
      <w:r w:rsidR="0072012F" w:rsidRPr="00B85B22">
        <w:rPr>
          <w:rFonts w:ascii="Arial" w:eastAsia="Calibri" w:hAnsi="Arial" w:cs="Arial"/>
        </w:rPr>
        <w:t>Oraşul</w:t>
      </w:r>
      <w:r w:rsidRPr="00B85B22">
        <w:rPr>
          <w:rFonts w:ascii="Arial" w:eastAsia="Calibri" w:hAnsi="Arial" w:cs="Arial"/>
        </w:rPr>
        <w:t xml:space="preserve"> </w:t>
      </w:r>
      <w:r w:rsidR="0072012F" w:rsidRPr="00B85B22">
        <w:rPr>
          <w:rFonts w:ascii="Arial" w:eastAsia="Calibri" w:hAnsi="Arial" w:cs="Arial"/>
        </w:rPr>
        <w:t>Horezu</w:t>
      </w:r>
      <w:r w:rsidRPr="00B85B22">
        <w:rPr>
          <w:rFonts w:ascii="Arial" w:eastAsia="Calibri" w:hAnsi="Arial" w:cs="Arial"/>
        </w:rPr>
        <w:t xml:space="preserve"> – intensita</w:t>
      </w:r>
      <w:r w:rsidR="0072012F" w:rsidRPr="00B85B22">
        <w:rPr>
          <w:rFonts w:ascii="Arial" w:eastAsia="Calibri" w:hAnsi="Arial" w:cs="Arial"/>
        </w:rPr>
        <w:t>te seismică exprimatã în grade MSK VII</w:t>
      </w:r>
      <w:r w:rsidRPr="00B85B22">
        <w:rPr>
          <w:rFonts w:ascii="Arial" w:eastAsia="Calibri" w:hAnsi="Arial" w:cs="Arial"/>
        </w:rPr>
        <w:t>; Conform anexei 5 - Unit</w:t>
      </w:r>
      <w:r w:rsidR="00085FC6" w:rsidRPr="00B85B22">
        <w:rPr>
          <w:rFonts w:ascii="Arial" w:eastAsia="Calibri" w:hAnsi="Arial" w:cs="Arial"/>
        </w:rPr>
        <w:t>ă</w:t>
      </w:r>
      <w:r w:rsidRPr="00B85B22">
        <w:rPr>
          <w:rFonts w:ascii="Arial" w:eastAsia="Calibri" w:hAnsi="Arial" w:cs="Arial"/>
        </w:rPr>
        <w:t>ţi administrativ-teritoriale afectate de inundații  poz.1</w:t>
      </w:r>
      <w:r w:rsidR="0072012F" w:rsidRPr="00B85B22">
        <w:rPr>
          <w:rFonts w:ascii="Arial" w:eastAsia="Calibri" w:hAnsi="Arial" w:cs="Arial"/>
        </w:rPr>
        <w:t>298</w:t>
      </w:r>
      <w:r w:rsidRPr="00B85B22">
        <w:rPr>
          <w:rFonts w:ascii="Arial" w:eastAsia="Calibri" w:hAnsi="Arial" w:cs="Arial"/>
        </w:rPr>
        <w:t xml:space="preserve">. </w:t>
      </w:r>
      <w:r w:rsidR="0072012F" w:rsidRPr="00B85B22">
        <w:rPr>
          <w:rFonts w:ascii="Arial" w:eastAsia="Calibri" w:hAnsi="Arial" w:cs="Arial"/>
        </w:rPr>
        <w:t>Oraşul Horezu</w:t>
      </w:r>
      <w:r w:rsidR="00FB1E55" w:rsidRPr="00B85B22">
        <w:rPr>
          <w:rFonts w:ascii="Arial" w:eastAsia="Calibri" w:hAnsi="Arial" w:cs="Arial"/>
        </w:rPr>
        <w:t xml:space="preserve"> – inundații pe cursuri de apă</w:t>
      </w:r>
      <w:r w:rsidRPr="00B85B22">
        <w:rPr>
          <w:rFonts w:ascii="Arial" w:eastAsia="Calibri" w:hAnsi="Arial" w:cs="Arial"/>
        </w:rPr>
        <w:t>.</w:t>
      </w:r>
    </w:p>
    <w:p w14:paraId="5242D8D4" w14:textId="77777777" w:rsidR="00D70AEA" w:rsidRDefault="00D70AEA" w:rsidP="006B613A">
      <w:pPr>
        <w:numPr>
          <w:ilvl w:val="0"/>
          <w:numId w:val="22"/>
        </w:numPr>
        <w:spacing w:after="0" w:line="276" w:lineRule="auto"/>
        <w:contextualSpacing/>
        <w:jc w:val="both"/>
        <w:rPr>
          <w:rFonts w:ascii="Arial" w:eastAsia="Calibri" w:hAnsi="Arial" w:cs="Arial"/>
        </w:rPr>
      </w:pPr>
      <w:r w:rsidRPr="00D70AEA">
        <w:rPr>
          <w:rFonts w:ascii="Arial" w:eastAsia="Calibri" w:hAnsi="Arial" w:cs="Arial"/>
        </w:rPr>
        <w:t xml:space="preserve">Secțiunea a VIII-a - Zone turistice - Legea nr.190/2009; Conform anexei </w:t>
      </w:r>
      <w:r w:rsidR="00B85B22">
        <w:rPr>
          <w:rFonts w:ascii="Arial" w:eastAsia="Calibri" w:hAnsi="Arial" w:cs="Arial"/>
        </w:rPr>
        <w:t>1</w:t>
      </w:r>
      <w:r w:rsidRPr="00D70AEA">
        <w:rPr>
          <w:rFonts w:ascii="Arial" w:eastAsia="Calibri" w:hAnsi="Arial" w:cs="Arial"/>
        </w:rPr>
        <w:t xml:space="preserve"> </w:t>
      </w:r>
      <w:r w:rsidR="00B85B22">
        <w:rPr>
          <w:rFonts w:ascii="Arial" w:eastAsia="Calibri" w:hAnsi="Arial" w:cs="Arial"/>
        </w:rPr>
        <w:t>oraşul Horezu</w:t>
      </w:r>
      <w:r w:rsidRPr="00D70AEA">
        <w:rPr>
          <w:rFonts w:ascii="Arial" w:eastAsia="Calibri" w:hAnsi="Arial" w:cs="Arial"/>
        </w:rPr>
        <w:t xml:space="preserve"> </w:t>
      </w:r>
      <w:r w:rsidR="00094EE5">
        <w:rPr>
          <w:rFonts w:ascii="Arial" w:eastAsia="Calibri" w:hAnsi="Arial" w:cs="Arial"/>
        </w:rPr>
        <w:t>figurează în rândul localităţilor cu resurse turistice antropice foarte mari</w:t>
      </w:r>
      <w:r w:rsidRPr="00D70AEA">
        <w:rPr>
          <w:rFonts w:ascii="Arial" w:eastAsia="Calibri" w:hAnsi="Arial" w:cs="Arial"/>
        </w:rPr>
        <w:t xml:space="preserve">. </w:t>
      </w:r>
    </w:p>
    <w:p w14:paraId="698516A1" w14:textId="77777777" w:rsidR="002C16E6" w:rsidRDefault="002C16E6" w:rsidP="002C16E6">
      <w:pPr>
        <w:spacing w:after="0"/>
        <w:contextualSpacing/>
        <w:jc w:val="both"/>
        <w:rPr>
          <w:rFonts w:ascii="Arial" w:eastAsia="Calibri" w:hAnsi="Arial" w:cs="Arial"/>
        </w:rPr>
      </w:pPr>
    </w:p>
    <w:p w14:paraId="31C2019F" w14:textId="77777777" w:rsidR="002C16E6" w:rsidRPr="002C16E6" w:rsidRDefault="002C16E6" w:rsidP="002C16E6">
      <w:pPr>
        <w:spacing w:after="0"/>
        <w:contextualSpacing/>
        <w:jc w:val="both"/>
        <w:rPr>
          <w:rFonts w:ascii="Arial" w:eastAsia="Calibri" w:hAnsi="Arial" w:cs="Arial"/>
        </w:rPr>
      </w:pPr>
      <w:r w:rsidRPr="002C16E6">
        <w:rPr>
          <w:rFonts w:ascii="Arial" w:eastAsia="Calibri" w:hAnsi="Arial" w:cs="Arial"/>
        </w:rPr>
        <w:t>Satele aparţinătoare oraşului Horezu au continuitate spațială în raport cu localitatea centru, dar se desfășoară în lungul unor văi intra-montane.</w:t>
      </w:r>
    </w:p>
    <w:p w14:paraId="7AC4F026" w14:textId="77777777" w:rsidR="002C16E6" w:rsidRPr="002C16E6" w:rsidRDefault="002C16E6" w:rsidP="002C16E6">
      <w:pPr>
        <w:pStyle w:val="Listparagraf"/>
        <w:jc w:val="center"/>
        <w:rPr>
          <w:rFonts w:eastAsia="Calibri" w:cs="Times New Roman"/>
        </w:rPr>
      </w:pPr>
      <w:r>
        <w:rPr>
          <w:rFonts w:eastAsia="Calibri"/>
          <w:noProof/>
          <w:lang w:eastAsia="en-US"/>
        </w:rPr>
        <w:drawing>
          <wp:inline distT="0" distB="0" distL="0" distR="0" wp14:anchorId="6371D53C" wp14:editId="210E3EA2">
            <wp:extent cx="4371975" cy="38195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71975" cy="3819525"/>
                    </a:xfrm>
                    <a:prstGeom prst="rect">
                      <a:avLst/>
                    </a:prstGeom>
                    <a:noFill/>
                    <a:ln>
                      <a:noFill/>
                    </a:ln>
                  </pic:spPr>
                </pic:pic>
              </a:graphicData>
            </a:graphic>
          </wp:inline>
        </w:drawing>
      </w:r>
    </w:p>
    <w:p w14:paraId="703DD544" w14:textId="77777777" w:rsidR="002C16E6" w:rsidRPr="002C16E6" w:rsidRDefault="002C16E6" w:rsidP="002C16E6">
      <w:pPr>
        <w:pStyle w:val="Listparagraf"/>
        <w:rPr>
          <w:rFonts w:ascii="Arial" w:eastAsia="Calibri" w:hAnsi="Arial" w:cs="Arial"/>
          <w:sz w:val="20"/>
          <w:szCs w:val="20"/>
          <w:lang w:val="ro-RO"/>
        </w:rPr>
      </w:pPr>
      <w:r w:rsidRPr="002C16E6">
        <w:rPr>
          <w:rFonts w:ascii="Arial" w:eastAsia="Calibri" w:hAnsi="Arial" w:cs="Arial"/>
          <w:sz w:val="20"/>
          <w:szCs w:val="20"/>
        </w:rPr>
        <w:t>Sursa</w:t>
      </w:r>
      <w:r w:rsidRPr="002C16E6">
        <w:rPr>
          <w:rFonts w:ascii="Arial" w:eastAsia="Calibri" w:hAnsi="Arial" w:cs="Arial"/>
          <w:sz w:val="20"/>
          <w:szCs w:val="20"/>
          <w:lang w:val="ro-RO"/>
        </w:rPr>
        <w:t xml:space="preserve">: STUDIU DE FUNDAMENTARE ÎN VEDEREA ACTUALIZĂRII P.A.T.N. - Etapa a III-a Reţeaua de localităţi urbane; Reţeaua de localităţi rurale – propuneri </w:t>
      </w:r>
    </w:p>
    <w:p w14:paraId="0F2B8E76" w14:textId="2C0D5F37" w:rsidR="002C16E6" w:rsidRPr="00664266" w:rsidRDefault="002C16E6" w:rsidP="002C16E6">
      <w:pPr>
        <w:pStyle w:val="Legend"/>
        <w:ind w:left="720"/>
        <w:jc w:val="center"/>
        <w:rPr>
          <w:rFonts w:ascii="Arial" w:eastAsia="Calibri" w:hAnsi="Arial" w:cs="Arial"/>
          <w:i w:val="0"/>
          <w:sz w:val="22"/>
          <w:szCs w:val="22"/>
          <w:lang w:val="ro-RO"/>
        </w:rPr>
      </w:pPr>
      <w:bookmarkStart w:id="33" w:name="_Toc140744439"/>
      <w:r w:rsidRPr="00664266">
        <w:rPr>
          <w:rFonts w:ascii="Arial" w:hAnsi="Arial" w:cs="Arial"/>
          <w:sz w:val="22"/>
          <w:szCs w:val="22"/>
        </w:rPr>
        <w:t xml:space="preserve">Figura I.1. </w:t>
      </w:r>
      <w:r w:rsidRPr="00664266">
        <w:rPr>
          <w:rFonts w:ascii="Arial" w:hAnsi="Arial" w:cs="Arial"/>
          <w:sz w:val="22"/>
          <w:szCs w:val="22"/>
        </w:rPr>
        <w:fldChar w:fldCharType="begin"/>
      </w:r>
      <w:r w:rsidRPr="00664266">
        <w:rPr>
          <w:rFonts w:ascii="Arial" w:hAnsi="Arial" w:cs="Arial"/>
          <w:sz w:val="22"/>
          <w:szCs w:val="22"/>
        </w:rPr>
        <w:instrText xml:space="preserve"> SEQ Figura_I.1. \* ARABIC </w:instrText>
      </w:r>
      <w:r w:rsidRPr="00664266">
        <w:rPr>
          <w:rFonts w:ascii="Arial" w:hAnsi="Arial" w:cs="Arial"/>
          <w:sz w:val="22"/>
          <w:szCs w:val="22"/>
        </w:rPr>
        <w:fldChar w:fldCharType="separate"/>
      </w:r>
      <w:r w:rsidR="00BB181C">
        <w:rPr>
          <w:rFonts w:ascii="Arial" w:hAnsi="Arial" w:cs="Arial"/>
          <w:noProof/>
          <w:sz w:val="22"/>
          <w:szCs w:val="22"/>
        </w:rPr>
        <w:t>8</w:t>
      </w:r>
      <w:r w:rsidRPr="00664266">
        <w:rPr>
          <w:rFonts w:ascii="Arial" w:hAnsi="Arial" w:cs="Arial"/>
          <w:sz w:val="22"/>
          <w:szCs w:val="22"/>
        </w:rPr>
        <w:fldChar w:fldCharType="end"/>
      </w:r>
      <w:r w:rsidRPr="00664266">
        <w:rPr>
          <w:rFonts w:ascii="Arial" w:hAnsi="Arial" w:cs="Arial"/>
          <w:i w:val="0"/>
          <w:sz w:val="22"/>
          <w:szCs w:val="22"/>
        </w:rPr>
        <w:t xml:space="preserve">  </w:t>
      </w:r>
      <w:r w:rsidR="00664266">
        <w:rPr>
          <w:rFonts w:ascii="Arial" w:hAnsi="Arial" w:cs="Arial"/>
          <w:i w:val="0"/>
          <w:sz w:val="22"/>
          <w:szCs w:val="22"/>
        </w:rPr>
        <w:t xml:space="preserve">- </w:t>
      </w:r>
      <w:r w:rsidRPr="00664266">
        <w:rPr>
          <w:rFonts w:ascii="Arial" w:hAnsi="Arial" w:cs="Arial"/>
          <w:i w:val="0"/>
          <w:sz w:val="22"/>
          <w:szCs w:val="22"/>
        </w:rPr>
        <w:t>Oraşul Horezu şi satele aparţinătoare</w:t>
      </w:r>
      <w:bookmarkEnd w:id="33"/>
    </w:p>
    <w:p w14:paraId="150508FB" w14:textId="77777777" w:rsidR="00152F00" w:rsidRDefault="00152F00" w:rsidP="00152F00">
      <w:pPr>
        <w:spacing w:after="0" w:line="276" w:lineRule="auto"/>
        <w:contextualSpacing/>
        <w:jc w:val="both"/>
        <w:rPr>
          <w:rFonts w:ascii="Arial" w:eastAsia="Calibri" w:hAnsi="Arial" w:cs="Arial"/>
        </w:rPr>
      </w:pPr>
      <w:r>
        <w:rPr>
          <w:rFonts w:ascii="Arial" w:eastAsia="Calibri" w:hAnsi="Arial" w:cs="Arial"/>
        </w:rPr>
        <w:lastRenderedPageBreak/>
        <w:t xml:space="preserve">Oraşul Horezu este inclus în lista </w:t>
      </w:r>
      <w:r w:rsidRPr="00152F00">
        <w:rPr>
          <w:rFonts w:ascii="Arial" w:eastAsia="Calibri" w:hAnsi="Arial" w:cs="Arial"/>
        </w:rPr>
        <w:t>localităților atestate ca stațiuni turistice de interes național, respectiv local</w:t>
      </w:r>
      <w:r>
        <w:rPr>
          <w:rFonts w:ascii="Arial" w:eastAsia="Calibri" w:hAnsi="Arial" w:cs="Arial"/>
        </w:rPr>
        <w:t xml:space="preserve"> din (Anexa 5 a Hotărârii</w:t>
      </w:r>
      <w:r w:rsidRPr="00152F00">
        <w:rPr>
          <w:rFonts w:ascii="Arial" w:eastAsia="Calibri" w:hAnsi="Arial" w:cs="Arial"/>
        </w:rPr>
        <w:t xml:space="preserve"> nr. 852 din 13 august 2008</w:t>
      </w:r>
      <w:r>
        <w:rPr>
          <w:rFonts w:ascii="Arial" w:eastAsia="Calibri" w:hAnsi="Arial" w:cs="Arial"/>
        </w:rPr>
        <w:t xml:space="preserve"> </w:t>
      </w:r>
      <w:r w:rsidRPr="00152F00">
        <w:rPr>
          <w:rFonts w:ascii="Arial" w:eastAsia="Calibri" w:hAnsi="Arial" w:cs="Arial"/>
        </w:rPr>
        <w:t>pentru aprobarea normelor și criteriilor de atestare a stațiunilor turistice</w:t>
      </w:r>
      <w:r>
        <w:rPr>
          <w:rFonts w:ascii="Arial" w:eastAsia="Calibri" w:hAnsi="Arial" w:cs="Arial"/>
        </w:rPr>
        <w:t>).</w:t>
      </w:r>
    </w:p>
    <w:p w14:paraId="7D363CED" w14:textId="77777777" w:rsidR="00D70AEA" w:rsidRDefault="00D70AEA" w:rsidP="00D70AEA">
      <w:pPr>
        <w:rPr>
          <w:rFonts w:ascii="Calibri" w:eastAsia="Calibri" w:hAnsi="Calibri" w:cs="Times New Roman"/>
        </w:rPr>
      </w:pPr>
    </w:p>
    <w:p w14:paraId="24CC55B2" w14:textId="77777777" w:rsidR="00C3285C" w:rsidRDefault="00C3285C" w:rsidP="00D70AEA">
      <w:pPr>
        <w:rPr>
          <w:rFonts w:ascii="Calibri" w:eastAsia="Calibri" w:hAnsi="Calibri" w:cs="Times New Roman"/>
        </w:rPr>
      </w:pPr>
    </w:p>
    <w:p w14:paraId="4E006268" w14:textId="77777777" w:rsidR="00A8565D" w:rsidRPr="00D70AEA" w:rsidRDefault="00A8565D" w:rsidP="00A8565D">
      <w:pPr>
        <w:shd w:val="clear" w:color="auto" w:fill="E7E6E6"/>
        <w:spacing w:after="0" w:line="276" w:lineRule="auto"/>
        <w:jc w:val="both"/>
        <w:rPr>
          <w:rFonts w:ascii="Arial" w:eastAsia="Calibri" w:hAnsi="Arial" w:cs="Arial"/>
          <w:b/>
          <w:lang w:val="it-IT" w:eastAsia="ro-RO"/>
        </w:rPr>
      </w:pPr>
      <w:r w:rsidRPr="00D70AEA">
        <w:rPr>
          <w:rFonts w:ascii="Arial" w:eastAsia="Calibri" w:hAnsi="Arial" w:cs="Arial"/>
          <w:b/>
          <w:lang w:val="it-IT" w:eastAsia="ro-RO"/>
        </w:rPr>
        <w:t xml:space="preserve">Planificarea teritorială la nivel </w:t>
      </w:r>
      <w:r>
        <w:rPr>
          <w:rFonts w:ascii="Arial" w:eastAsia="Calibri" w:hAnsi="Arial" w:cs="Arial"/>
          <w:b/>
          <w:lang w:val="it-IT" w:eastAsia="ro-RO"/>
        </w:rPr>
        <w:t>local</w:t>
      </w:r>
    </w:p>
    <w:p w14:paraId="7FCC1A53" w14:textId="77777777" w:rsidR="00D70AEA" w:rsidRPr="003D1C59" w:rsidRDefault="00D70AEA" w:rsidP="00D70AEA">
      <w:pPr>
        <w:spacing w:line="276" w:lineRule="auto"/>
        <w:jc w:val="both"/>
        <w:rPr>
          <w:rFonts w:ascii="Arial" w:eastAsia="Calibri" w:hAnsi="Arial" w:cs="Arial"/>
          <w:iCs/>
        </w:rPr>
      </w:pPr>
      <w:r w:rsidRPr="003D1C59">
        <w:rPr>
          <w:rFonts w:ascii="Arial" w:eastAsia="Calibri" w:hAnsi="Arial" w:cs="Arial"/>
          <w:b/>
          <w:i/>
        </w:rPr>
        <w:t>Planul Urbanistic General</w:t>
      </w:r>
      <w:r w:rsidRPr="003D1C59">
        <w:rPr>
          <w:rFonts w:ascii="Arial" w:eastAsia="Calibri" w:hAnsi="Arial" w:cs="Arial"/>
          <w:iCs/>
        </w:rPr>
        <w:t xml:space="preserve"> </w:t>
      </w:r>
      <w:r w:rsidRPr="003D1C59">
        <w:rPr>
          <w:rFonts w:ascii="Arial" w:eastAsia="Calibri" w:hAnsi="Arial" w:cs="Arial"/>
          <w:b/>
          <w:i/>
        </w:rPr>
        <w:t xml:space="preserve">al </w:t>
      </w:r>
      <w:r w:rsidR="00F764A6">
        <w:rPr>
          <w:rFonts w:ascii="Arial" w:eastAsia="Calibri" w:hAnsi="Arial" w:cs="Arial"/>
          <w:b/>
          <w:i/>
        </w:rPr>
        <w:t>Oraşului Horezu</w:t>
      </w:r>
      <w:r w:rsidRPr="003D1C59">
        <w:rPr>
          <w:rFonts w:ascii="Arial" w:eastAsia="Calibri" w:hAnsi="Arial" w:cs="Arial"/>
          <w:iCs/>
        </w:rPr>
        <w:t xml:space="preserve"> </w:t>
      </w:r>
    </w:p>
    <w:p w14:paraId="541AED98" w14:textId="77777777" w:rsidR="00F764A6" w:rsidRDefault="00F764A6" w:rsidP="00D70AEA">
      <w:pPr>
        <w:spacing w:line="276" w:lineRule="auto"/>
        <w:jc w:val="both"/>
        <w:rPr>
          <w:rFonts w:ascii="Arial" w:eastAsia="Calibri" w:hAnsi="Arial" w:cs="Arial"/>
        </w:rPr>
      </w:pPr>
      <w:r>
        <w:rPr>
          <w:rFonts w:ascii="Arial" w:eastAsia="Calibri" w:hAnsi="Arial" w:cs="Arial"/>
        </w:rPr>
        <w:t>Planul Urbanistic General al Oraşului Horezu a fost elaborat la nivelul anului 2009</w:t>
      </w:r>
      <w:r w:rsidR="00165CF9">
        <w:rPr>
          <w:rFonts w:ascii="Arial" w:eastAsia="Calibri" w:hAnsi="Arial" w:cs="Arial"/>
        </w:rPr>
        <w:t xml:space="preserve"> şi aprobat prin Hotărârea Consiliului Local al Oraşului Horezu nr. 22/28.04.2010</w:t>
      </w:r>
      <w:r>
        <w:rPr>
          <w:rFonts w:ascii="Arial" w:eastAsia="Calibri" w:hAnsi="Arial" w:cs="Arial"/>
        </w:rPr>
        <w:t xml:space="preserve">, în cadrul Memoriului General fiind prezentate </w:t>
      </w:r>
      <w:r w:rsidR="00073D9C">
        <w:rPr>
          <w:rFonts w:ascii="Arial" w:eastAsia="Calibri" w:hAnsi="Arial" w:cs="Arial"/>
        </w:rPr>
        <w:t xml:space="preserve">concluzii ale stadiului actual al dezvoltării localităţii, cu evidenţierea disfuncţionalităţilor şi prezentarea justificată a propunerilor de organizare urbanistică. La nivelul anului 2020, prin Hotărârea Consiliului Local al Oraşului Horezu </w:t>
      </w:r>
      <w:r w:rsidR="00AC2297">
        <w:rPr>
          <w:rFonts w:ascii="Arial" w:eastAsia="Calibri" w:hAnsi="Arial" w:cs="Arial"/>
        </w:rPr>
        <w:t>nr. 38/30.04.2020, termenul de valabilitate al Planului Urbanistic General al oraşului Horezu şi a documentaţiei aferente acestuia a fost prelungit până la intrarea în vigoare a noului Plan Urbanistic General.</w:t>
      </w:r>
    </w:p>
    <w:p w14:paraId="2819BB69" w14:textId="77777777" w:rsidR="005E000E" w:rsidRDefault="005E000E" w:rsidP="00283A05">
      <w:pPr>
        <w:spacing w:after="0" w:line="276" w:lineRule="auto"/>
        <w:jc w:val="both"/>
        <w:rPr>
          <w:rFonts w:ascii="Arial" w:eastAsia="Calibri" w:hAnsi="Arial" w:cs="Arial"/>
        </w:rPr>
      </w:pPr>
      <w:r>
        <w:rPr>
          <w:rFonts w:ascii="Arial" w:eastAsia="Calibri" w:hAnsi="Arial" w:cs="Arial"/>
        </w:rPr>
        <w:t xml:space="preserve">În cadrul PUG elaborat în 2009, pentru organizarea circulaţiei </w:t>
      </w:r>
      <w:r w:rsidR="00283A05">
        <w:rPr>
          <w:rFonts w:ascii="Arial" w:eastAsia="Calibri" w:hAnsi="Arial" w:cs="Arial"/>
        </w:rPr>
        <w:t>şi a transportului în comun s-au considerat necesare următoarele:</w:t>
      </w:r>
    </w:p>
    <w:p w14:paraId="7E3760CA" w14:textId="77777777" w:rsidR="00283A05" w:rsidRDefault="003D554D" w:rsidP="006B613A">
      <w:pPr>
        <w:pStyle w:val="Listparagraf"/>
        <w:numPr>
          <w:ilvl w:val="0"/>
          <w:numId w:val="6"/>
        </w:numPr>
        <w:spacing w:after="0"/>
        <w:jc w:val="both"/>
        <w:rPr>
          <w:rFonts w:ascii="Arial" w:eastAsia="Calibri" w:hAnsi="Arial" w:cs="Arial"/>
          <w:lang w:val="ro-RO"/>
        </w:rPr>
      </w:pPr>
      <w:r>
        <w:rPr>
          <w:rFonts w:ascii="Arial" w:eastAsia="Calibri" w:hAnsi="Arial" w:cs="Arial"/>
          <w:lang w:val="ro-RO"/>
        </w:rPr>
        <w:t>m</w:t>
      </w:r>
      <w:r w:rsidR="00283A05">
        <w:rPr>
          <w:rFonts w:ascii="Arial" w:eastAsia="Calibri" w:hAnsi="Arial" w:cs="Arial"/>
          <w:lang w:val="ro-RO"/>
        </w:rPr>
        <w:t>odernizarea sau completarea arterelor de circulaţie, în raport cu necesităţile funcţionale ale localităţilor;</w:t>
      </w:r>
    </w:p>
    <w:p w14:paraId="2D8927AF" w14:textId="77777777" w:rsidR="00283A05" w:rsidRDefault="003D554D" w:rsidP="006B613A">
      <w:pPr>
        <w:pStyle w:val="Listparagraf"/>
        <w:numPr>
          <w:ilvl w:val="0"/>
          <w:numId w:val="6"/>
        </w:numPr>
        <w:spacing w:after="0"/>
        <w:jc w:val="both"/>
        <w:rPr>
          <w:rFonts w:ascii="Arial" w:eastAsia="Calibri" w:hAnsi="Arial" w:cs="Arial"/>
          <w:lang w:val="ro-RO"/>
        </w:rPr>
      </w:pPr>
      <w:r>
        <w:rPr>
          <w:rFonts w:ascii="Arial" w:eastAsia="Calibri" w:hAnsi="Arial" w:cs="Arial"/>
          <w:lang w:val="ro-RO"/>
        </w:rPr>
        <w:t>î</w:t>
      </w:r>
      <w:r w:rsidR="00283A05">
        <w:rPr>
          <w:rFonts w:ascii="Arial" w:eastAsia="Calibri" w:hAnsi="Arial" w:cs="Arial"/>
          <w:lang w:val="ro-RO"/>
        </w:rPr>
        <w:t>mbunătăţirea penetraţiilor în localităţi şi a relaţiilor de circulaţie cu localităţile din teritoriul înconjurător;</w:t>
      </w:r>
    </w:p>
    <w:p w14:paraId="01C4399F" w14:textId="77777777" w:rsidR="00283A05" w:rsidRDefault="003D554D" w:rsidP="006B613A">
      <w:pPr>
        <w:pStyle w:val="Listparagraf"/>
        <w:numPr>
          <w:ilvl w:val="0"/>
          <w:numId w:val="6"/>
        </w:numPr>
        <w:spacing w:after="0"/>
        <w:jc w:val="both"/>
        <w:rPr>
          <w:rFonts w:ascii="Arial" w:eastAsia="Calibri" w:hAnsi="Arial" w:cs="Arial"/>
          <w:lang w:val="ro-RO"/>
        </w:rPr>
      </w:pPr>
      <w:r>
        <w:rPr>
          <w:rFonts w:ascii="Arial" w:eastAsia="Calibri" w:hAnsi="Arial" w:cs="Arial"/>
          <w:lang w:val="ro-RO"/>
        </w:rPr>
        <w:t>a</w:t>
      </w:r>
      <w:r w:rsidR="00283A05">
        <w:rPr>
          <w:rFonts w:ascii="Arial" w:eastAsia="Calibri" w:hAnsi="Arial" w:cs="Arial"/>
          <w:lang w:val="ro-RO"/>
        </w:rPr>
        <w:t>sigurarea spaţiilor pentru parcaje;</w:t>
      </w:r>
    </w:p>
    <w:p w14:paraId="5FE34274" w14:textId="77777777" w:rsidR="00283A05" w:rsidRPr="00283A05" w:rsidRDefault="003D554D" w:rsidP="006B613A">
      <w:pPr>
        <w:pStyle w:val="Listparagraf"/>
        <w:numPr>
          <w:ilvl w:val="0"/>
          <w:numId w:val="6"/>
        </w:numPr>
        <w:spacing w:after="0"/>
        <w:jc w:val="both"/>
        <w:rPr>
          <w:rFonts w:ascii="Arial" w:eastAsia="Calibri" w:hAnsi="Arial" w:cs="Arial"/>
          <w:lang w:val="ro-RO"/>
        </w:rPr>
      </w:pPr>
      <w:r>
        <w:rPr>
          <w:rFonts w:ascii="Arial" w:eastAsia="Calibri" w:hAnsi="Arial" w:cs="Arial"/>
          <w:lang w:val="ro-RO"/>
        </w:rPr>
        <w:t>r</w:t>
      </w:r>
      <w:r w:rsidR="00283A05">
        <w:rPr>
          <w:rFonts w:ascii="Arial" w:eastAsia="Calibri" w:hAnsi="Arial" w:cs="Arial"/>
          <w:lang w:val="ro-RO"/>
        </w:rPr>
        <w:t>ezolvarea aspectelor conflictuale apărute din analiza situaţiei existente (amenajarea unor intersecţii, dimensionarea tramei stradale corespunzător valorii traficului, pasaje denivelate).</w:t>
      </w:r>
    </w:p>
    <w:p w14:paraId="2C79571A" w14:textId="77777777" w:rsidR="003D554D" w:rsidRDefault="003D554D" w:rsidP="0008423D">
      <w:pPr>
        <w:spacing w:after="0" w:line="276" w:lineRule="auto"/>
        <w:jc w:val="both"/>
        <w:rPr>
          <w:rFonts w:ascii="Arial" w:eastAsia="Calibri" w:hAnsi="Arial" w:cs="Arial"/>
        </w:rPr>
      </w:pPr>
      <w:r>
        <w:rPr>
          <w:rFonts w:ascii="Arial" w:eastAsia="Calibri" w:hAnsi="Arial" w:cs="Arial"/>
        </w:rPr>
        <w:t>În determinarea zonificării funcţionale din cadrul PUG întocmit în 2009, s-a menţinut în general, configuraţia existentă şi au fost făcute mai multe extinderi pentru:</w:t>
      </w:r>
    </w:p>
    <w:p w14:paraId="460F4DB2" w14:textId="77777777" w:rsidR="003D554D" w:rsidRDefault="003D554D" w:rsidP="006B613A">
      <w:pPr>
        <w:pStyle w:val="Listparagraf"/>
        <w:numPr>
          <w:ilvl w:val="0"/>
          <w:numId w:val="6"/>
        </w:numPr>
        <w:spacing w:after="0"/>
        <w:jc w:val="both"/>
        <w:rPr>
          <w:rFonts w:ascii="Arial" w:eastAsia="Calibri" w:hAnsi="Arial" w:cs="Arial"/>
        </w:rPr>
      </w:pPr>
      <w:r>
        <w:rPr>
          <w:rFonts w:ascii="Arial" w:eastAsia="Calibri" w:hAnsi="Arial" w:cs="Arial"/>
        </w:rPr>
        <w:t xml:space="preserve">o puternică bază turistică şi de locuinţe de vacanţă în nodrul localităţii, care cuprind şi mai multe stâne ce urmau a se introduce în circuitul </w:t>
      </w:r>
      <w:r w:rsidR="0008423D">
        <w:rPr>
          <w:rFonts w:ascii="Arial" w:eastAsia="Calibri" w:hAnsi="Arial" w:cs="Arial"/>
        </w:rPr>
        <w:t>t</w:t>
      </w:r>
      <w:r>
        <w:rPr>
          <w:rFonts w:ascii="Arial" w:eastAsia="Calibri" w:hAnsi="Arial" w:cs="Arial"/>
        </w:rPr>
        <w:t>uristic;</w:t>
      </w:r>
    </w:p>
    <w:p w14:paraId="542489EB" w14:textId="77777777" w:rsidR="003D554D" w:rsidRDefault="003D554D" w:rsidP="006B613A">
      <w:pPr>
        <w:pStyle w:val="Listparagraf"/>
        <w:numPr>
          <w:ilvl w:val="0"/>
          <w:numId w:val="6"/>
        </w:numPr>
        <w:spacing w:after="0"/>
        <w:jc w:val="both"/>
        <w:rPr>
          <w:rFonts w:ascii="Arial" w:eastAsia="Calibri" w:hAnsi="Arial" w:cs="Arial"/>
        </w:rPr>
      </w:pPr>
      <w:r>
        <w:rPr>
          <w:rFonts w:ascii="Arial" w:eastAsia="Calibri" w:hAnsi="Arial" w:cs="Arial"/>
        </w:rPr>
        <w:t>mai multe zone turistice izolate între nordul localităţii şi centrul ei;</w:t>
      </w:r>
    </w:p>
    <w:p w14:paraId="18CBD790" w14:textId="77777777" w:rsidR="003D554D" w:rsidRDefault="003D554D" w:rsidP="006B613A">
      <w:pPr>
        <w:pStyle w:val="Listparagraf"/>
        <w:numPr>
          <w:ilvl w:val="0"/>
          <w:numId w:val="6"/>
        </w:numPr>
        <w:spacing w:after="0"/>
        <w:jc w:val="both"/>
        <w:rPr>
          <w:rFonts w:ascii="Arial" w:eastAsia="Calibri" w:hAnsi="Arial" w:cs="Arial"/>
        </w:rPr>
      </w:pPr>
      <w:r>
        <w:rPr>
          <w:rFonts w:ascii="Arial" w:eastAsia="Calibri" w:hAnsi="Arial" w:cs="Arial"/>
        </w:rPr>
        <w:t>mai multe zone pentru turism în localitatea de reşedinţă;</w:t>
      </w:r>
    </w:p>
    <w:p w14:paraId="5F1964F6" w14:textId="77777777" w:rsidR="003D554D" w:rsidRDefault="003D554D" w:rsidP="006B613A">
      <w:pPr>
        <w:pStyle w:val="Listparagraf"/>
        <w:numPr>
          <w:ilvl w:val="0"/>
          <w:numId w:val="6"/>
        </w:numPr>
        <w:spacing w:after="0"/>
        <w:jc w:val="both"/>
        <w:rPr>
          <w:rFonts w:ascii="Arial" w:eastAsia="Calibri" w:hAnsi="Arial" w:cs="Arial"/>
        </w:rPr>
      </w:pPr>
      <w:r>
        <w:rPr>
          <w:rFonts w:ascii="Arial" w:eastAsia="Calibri" w:hAnsi="Arial" w:cs="Arial"/>
        </w:rPr>
        <w:t>parc industrial în sudul localităţii, la graniţă cu comuna Măldăreşti;</w:t>
      </w:r>
    </w:p>
    <w:p w14:paraId="6C430D4D" w14:textId="77777777" w:rsidR="003D554D" w:rsidRDefault="003D554D" w:rsidP="006B613A">
      <w:pPr>
        <w:pStyle w:val="Listparagraf"/>
        <w:numPr>
          <w:ilvl w:val="0"/>
          <w:numId w:val="6"/>
        </w:numPr>
        <w:spacing w:after="0"/>
        <w:jc w:val="both"/>
        <w:rPr>
          <w:rFonts w:ascii="Arial" w:eastAsia="Calibri" w:hAnsi="Arial" w:cs="Arial"/>
        </w:rPr>
      </w:pPr>
      <w:r>
        <w:rPr>
          <w:rFonts w:ascii="Arial" w:eastAsia="Calibri" w:hAnsi="Arial" w:cs="Arial"/>
        </w:rPr>
        <w:t xml:space="preserve">zone ce vor fi ocupate de construcţii </w:t>
      </w:r>
      <w:r w:rsidR="0008423D">
        <w:rPr>
          <w:rFonts w:ascii="Arial" w:eastAsia="Calibri" w:hAnsi="Arial" w:cs="Arial"/>
        </w:rPr>
        <w:t>pentru echiparea edilitară comp</w:t>
      </w:r>
      <w:r>
        <w:rPr>
          <w:rFonts w:ascii="Arial" w:eastAsia="Calibri" w:hAnsi="Arial" w:cs="Arial"/>
        </w:rPr>
        <w:t>l</w:t>
      </w:r>
      <w:r w:rsidR="0008423D">
        <w:rPr>
          <w:rFonts w:ascii="Arial" w:eastAsia="Calibri" w:hAnsi="Arial" w:cs="Arial"/>
        </w:rPr>
        <w:t>e</w:t>
      </w:r>
      <w:r>
        <w:rPr>
          <w:rFonts w:ascii="Arial" w:eastAsia="Calibri" w:hAnsi="Arial" w:cs="Arial"/>
        </w:rPr>
        <w:t>tă;</w:t>
      </w:r>
    </w:p>
    <w:p w14:paraId="63623E4E" w14:textId="77777777" w:rsidR="003D554D" w:rsidRDefault="003D554D" w:rsidP="006B613A">
      <w:pPr>
        <w:pStyle w:val="Listparagraf"/>
        <w:numPr>
          <w:ilvl w:val="0"/>
          <w:numId w:val="6"/>
        </w:numPr>
        <w:spacing w:after="0"/>
        <w:jc w:val="both"/>
        <w:rPr>
          <w:rFonts w:ascii="Arial" w:eastAsia="Calibri" w:hAnsi="Arial" w:cs="Arial"/>
        </w:rPr>
      </w:pPr>
      <w:r>
        <w:rPr>
          <w:rFonts w:ascii="Arial" w:eastAsia="Calibri" w:hAnsi="Arial" w:cs="Arial"/>
        </w:rPr>
        <w:t>extinderea spaţiilor comerciale</w:t>
      </w:r>
      <w:r w:rsidR="0008423D">
        <w:rPr>
          <w:rFonts w:ascii="Arial" w:eastAsia="Calibri" w:hAnsi="Arial" w:cs="Arial"/>
        </w:rPr>
        <w:t>, de prestări servicii şi locuinţe în partea de sud-vest, înzona târgului (unde se desfăşoară annual festivalul tradiţionalul “Cucoşul de Horezu”);</w:t>
      </w:r>
    </w:p>
    <w:p w14:paraId="4AFD0F93" w14:textId="77777777" w:rsidR="0008423D" w:rsidRDefault="0008423D" w:rsidP="006B613A">
      <w:pPr>
        <w:pStyle w:val="Listparagraf"/>
        <w:numPr>
          <w:ilvl w:val="0"/>
          <w:numId w:val="6"/>
        </w:numPr>
        <w:spacing w:after="0"/>
        <w:jc w:val="both"/>
        <w:rPr>
          <w:rFonts w:ascii="Arial" w:eastAsia="Calibri" w:hAnsi="Arial" w:cs="Arial"/>
        </w:rPr>
      </w:pPr>
      <w:r>
        <w:rPr>
          <w:rFonts w:ascii="Arial" w:eastAsia="Calibri" w:hAnsi="Arial" w:cs="Arial"/>
        </w:rPr>
        <w:t>extinderea pentr</w:t>
      </w:r>
      <w:r w:rsidR="00165CF9">
        <w:rPr>
          <w:rFonts w:ascii="Arial" w:eastAsia="Calibri" w:hAnsi="Arial" w:cs="Arial"/>
        </w:rPr>
        <w:t>u a se realiza o centură ocolito</w:t>
      </w:r>
      <w:r>
        <w:rPr>
          <w:rFonts w:ascii="Arial" w:eastAsia="Calibri" w:hAnsi="Arial" w:cs="Arial"/>
        </w:rPr>
        <w:t>are a centrului localităţii.</w:t>
      </w:r>
    </w:p>
    <w:p w14:paraId="694B610D" w14:textId="77777777" w:rsidR="0008423D" w:rsidRDefault="0008423D" w:rsidP="0008423D">
      <w:pPr>
        <w:spacing w:after="0"/>
        <w:jc w:val="both"/>
        <w:rPr>
          <w:rFonts w:ascii="Arial" w:eastAsia="Calibri" w:hAnsi="Arial" w:cs="Arial"/>
        </w:rPr>
      </w:pPr>
      <w:r>
        <w:rPr>
          <w:rFonts w:ascii="Arial" w:eastAsia="Calibri" w:hAnsi="Arial" w:cs="Arial"/>
        </w:rPr>
        <w:t>În privinţa bilanţului teritorial din intravilanul existent şi cel propus în PUG din 2009 se observă o creştere cu 911,6 ha (</w:t>
      </w:r>
      <w:r w:rsidR="00DF7B44">
        <w:rPr>
          <w:rFonts w:ascii="Arial" w:eastAsia="Calibri" w:hAnsi="Arial" w:cs="Arial"/>
        </w:rPr>
        <w:t>de la 789,1 ha la 1.700,7 ha).</w:t>
      </w:r>
    </w:p>
    <w:p w14:paraId="0BD72A16" w14:textId="77777777" w:rsidR="00165CF9" w:rsidRDefault="00165CF9" w:rsidP="0008423D">
      <w:pPr>
        <w:spacing w:after="0"/>
        <w:jc w:val="both"/>
        <w:rPr>
          <w:rFonts w:ascii="Arial" w:eastAsia="Calibri" w:hAnsi="Arial" w:cs="Arial"/>
        </w:rPr>
      </w:pPr>
    </w:p>
    <w:p w14:paraId="587632DB" w14:textId="77777777" w:rsidR="00165CF9" w:rsidRDefault="00165CF9" w:rsidP="0008423D">
      <w:pPr>
        <w:spacing w:after="0"/>
        <w:jc w:val="both"/>
        <w:rPr>
          <w:rFonts w:ascii="Arial" w:eastAsia="Calibri" w:hAnsi="Arial" w:cs="Arial"/>
        </w:rPr>
      </w:pPr>
      <w:r>
        <w:rPr>
          <w:rFonts w:ascii="Arial" w:eastAsia="Calibri" w:hAnsi="Arial" w:cs="Arial"/>
        </w:rPr>
        <w:t>În ce priveşte organizarea căilor de comunicaţie, în cadrul PUG, s-a menţinut structura căilor de circulaţie existente (atât cele clasate cât şi cele locale), care alcătuiesc o structură bine definită. Administraţia locală a delimitat terenurile necesare executării şoselei de ocolire a localităţii ca parte a drumului expres din zona submontană a Olteniei prevăzut în PATN, secţiunea transporturi. Nu au fost considerate necesare alte dezvoltări de noi reţele de circulaţie, menţionându-se că şi aşa sunt prea multe, iar în baza unor studii locale, în funcţie de necesităţi, se pot executa corecţii de trasee.</w:t>
      </w:r>
    </w:p>
    <w:p w14:paraId="4989E37C" w14:textId="77777777" w:rsidR="00165CF9" w:rsidRDefault="00165CF9" w:rsidP="0008423D">
      <w:pPr>
        <w:spacing w:after="0"/>
        <w:jc w:val="both"/>
        <w:rPr>
          <w:rFonts w:ascii="Arial" w:eastAsia="Calibri" w:hAnsi="Arial" w:cs="Arial"/>
        </w:rPr>
      </w:pPr>
    </w:p>
    <w:p w14:paraId="49E8E36A" w14:textId="77777777" w:rsidR="00EE0F28" w:rsidRDefault="00EE0F28" w:rsidP="0008423D">
      <w:pPr>
        <w:spacing w:after="0"/>
        <w:jc w:val="both"/>
        <w:rPr>
          <w:rFonts w:ascii="Arial" w:eastAsia="Calibri" w:hAnsi="Arial" w:cs="Arial"/>
        </w:rPr>
      </w:pPr>
      <w:r>
        <w:rPr>
          <w:rFonts w:ascii="Arial" w:eastAsia="Calibri" w:hAnsi="Arial" w:cs="Arial"/>
        </w:rPr>
        <w:t>Priorităţile de intervenţie, în funcţie de necesităţile şi opţiunile populaţiei din cadrul PUG elaborate în 2009 vizau:</w:t>
      </w:r>
    </w:p>
    <w:p w14:paraId="06692B69" w14:textId="77777777" w:rsidR="00EE0F28" w:rsidRDefault="00EE0F28" w:rsidP="006B613A">
      <w:pPr>
        <w:pStyle w:val="Listparagraf"/>
        <w:numPr>
          <w:ilvl w:val="0"/>
          <w:numId w:val="6"/>
        </w:numPr>
        <w:spacing w:after="0"/>
        <w:jc w:val="both"/>
        <w:rPr>
          <w:rFonts w:ascii="Arial" w:eastAsia="Calibri" w:hAnsi="Arial" w:cs="Arial"/>
        </w:rPr>
      </w:pPr>
      <w:r>
        <w:rPr>
          <w:rFonts w:ascii="Arial" w:eastAsia="Calibri" w:hAnsi="Arial" w:cs="Arial"/>
        </w:rPr>
        <w:lastRenderedPageBreak/>
        <w:t>alimentare cu gaze naturale;</w:t>
      </w:r>
    </w:p>
    <w:p w14:paraId="0BB2FCB7" w14:textId="77777777" w:rsidR="00EE0F28" w:rsidRDefault="00EE0F28" w:rsidP="006B613A">
      <w:pPr>
        <w:pStyle w:val="Listparagraf"/>
        <w:numPr>
          <w:ilvl w:val="0"/>
          <w:numId w:val="6"/>
        </w:numPr>
        <w:spacing w:after="0"/>
        <w:jc w:val="both"/>
        <w:rPr>
          <w:rFonts w:ascii="Arial" w:eastAsia="Calibri" w:hAnsi="Arial" w:cs="Arial"/>
        </w:rPr>
      </w:pPr>
      <w:r>
        <w:rPr>
          <w:rFonts w:ascii="Arial" w:eastAsia="Calibri" w:hAnsi="Arial" w:cs="Arial"/>
        </w:rPr>
        <w:t>reparaţii la toate categoriile de drumuri;</w:t>
      </w:r>
    </w:p>
    <w:p w14:paraId="6C95BA57" w14:textId="77777777" w:rsidR="00EE0F28" w:rsidRPr="00EE0F28" w:rsidRDefault="00EE0F28" w:rsidP="006B613A">
      <w:pPr>
        <w:pStyle w:val="Listparagraf"/>
        <w:numPr>
          <w:ilvl w:val="0"/>
          <w:numId w:val="6"/>
        </w:numPr>
        <w:spacing w:after="0"/>
        <w:jc w:val="both"/>
        <w:rPr>
          <w:rFonts w:ascii="Arial" w:eastAsia="Calibri" w:hAnsi="Arial" w:cs="Arial"/>
        </w:rPr>
      </w:pPr>
      <w:r>
        <w:rPr>
          <w:rFonts w:ascii="Arial" w:eastAsia="Calibri" w:hAnsi="Arial" w:cs="Arial"/>
        </w:rPr>
        <w:t>reţean de canalizare.</w:t>
      </w:r>
    </w:p>
    <w:p w14:paraId="471A8ED8" w14:textId="77777777" w:rsidR="00165CF9" w:rsidRDefault="00165CF9" w:rsidP="00D70AEA">
      <w:pPr>
        <w:jc w:val="both"/>
        <w:rPr>
          <w:rFonts w:ascii="Arial" w:eastAsia="Calibri" w:hAnsi="Arial" w:cs="Arial"/>
          <w:color w:val="FF0000"/>
        </w:rPr>
      </w:pPr>
    </w:p>
    <w:p w14:paraId="60E6DC65" w14:textId="05F9662E" w:rsidR="00D70AEA" w:rsidRDefault="007047BC" w:rsidP="00D70AEA">
      <w:pPr>
        <w:jc w:val="both"/>
        <w:rPr>
          <w:rFonts w:ascii="Arial" w:hAnsi="Arial" w:cs="Arial"/>
          <w:kern w:val="1"/>
          <w:lang w:val="ro-RO" w:eastAsia="zh-CN"/>
        </w:rPr>
      </w:pPr>
      <w:r>
        <w:rPr>
          <w:rFonts w:ascii="Arial" w:hAnsi="Arial" w:cs="Arial"/>
          <w:b/>
          <w:kern w:val="1"/>
          <w:lang w:val="ro-RO" w:eastAsia="zh-CN"/>
        </w:rPr>
        <w:t>Planul de Amenajare a Teritoriului J</w:t>
      </w:r>
      <w:r w:rsidRPr="007047BC">
        <w:rPr>
          <w:rFonts w:ascii="Arial" w:hAnsi="Arial" w:cs="Arial"/>
          <w:b/>
          <w:kern w:val="1"/>
          <w:lang w:val="ro-RO" w:eastAsia="zh-CN"/>
        </w:rPr>
        <w:t xml:space="preserve">udeţean Vâlcea </w:t>
      </w:r>
      <w:r w:rsidR="00CC48BB">
        <w:rPr>
          <w:rFonts w:ascii="Arial" w:hAnsi="Arial" w:cs="Arial"/>
          <w:kern w:val="1"/>
          <w:lang w:val="ro-RO" w:eastAsia="zh-CN"/>
        </w:rPr>
        <w:t xml:space="preserve">a fost aprobat în anul 2010. Necesitatea actualizării periodice a acestui tip de documentaţie în funcţie de politicile sectoriale şi programele de dezvoltare judeţene, regionale şi naţionale, în conformitate cu prevederile Legii nr. 350/2001 pricind amenajarea teritoriului şi urbanismul a condus la </w:t>
      </w:r>
      <w:r w:rsidR="00033AD1">
        <w:rPr>
          <w:rFonts w:ascii="Arial" w:hAnsi="Arial" w:cs="Arial"/>
          <w:kern w:val="1"/>
          <w:lang w:val="ro-RO" w:eastAsia="zh-CN"/>
        </w:rPr>
        <w:t xml:space="preserve">actualizarea acestei documentaţii. Astfel, în anul 2020 a fost elaborat </w:t>
      </w:r>
      <w:r>
        <w:rPr>
          <w:rFonts w:ascii="Arial" w:hAnsi="Arial" w:cs="Arial"/>
          <w:b/>
          <w:kern w:val="1"/>
          <w:lang w:val="ro-RO" w:eastAsia="zh-CN"/>
        </w:rPr>
        <w:t>Planul de a</w:t>
      </w:r>
      <w:r w:rsidR="00D70AEA" w:rsidRPr="00D70AEA">
        <w:rPr>
          <w:rFonts w:ascii="Arial" w:hAnsi="Arial" w:cs="Arial"/>
          <w:b/>
          <w:kern w:val="1"/>
          <w:lang w:val="ro-RO" w:eastAsia="zh-CN"/>
        </w:rPr>
        <w:t>menajare a teritoriului judeţean</w:t>
      </w:r>
      <w:r w:rsidR="00D70AEA" w:rsidRPr="00D70AEA">
        <w:rPr>
          <w:rFonts w:ascii="Arial" w:hAnsi="Arial" w:cs="Arial"/>
          <w:b/>
          <w:color w:val="FF0000"/>
          <w:kern w:val="1"/>
          <w:lang w:val="ro-RO" w:eastAsia="zh-CN"/>
        </w:rPr>
        <w:t xml:space="preserve"> </w:t>
      </w:r>
      <w:r w:rsidRPr="007047BC">
        <w:rPr>
          <w:rFonts w:ascii="Arial" w:hAnsi="Arial" w:cs="Arial"/>
          <w:b/>
          <w:kern w:val="1"/>
          <w:lang w:val="ro-RO" w:eastAsia="zh-CN"/>
        </w:rPr>
        <w:t>Vâlcea</w:t>
      </w:r>
      <w:r>
        <w:rPr>
          <w:rFonts w:ascii="Arial" w:hAnsi="Arial" w:cs="Arial"/>
          <w:b/>
          <w:color w:val="FF0000"/>
          <w:kern w:val="1"/>
          <w:lang w:val="ro-RO" w:eastAsia="zh-CN"/>
        </w:rPr>
        <w:t xml:space="preserve"> </w:t>
      </w:r>
      <w:r w:rsidR="00D70AEA" w:rsidRPr="00D70AEA">
        <w:rPr>
          <w:rFonts w:ascii="Arial" w:hAnsi="Arial" w:cs="Arial"/>
          <w:b/>
          <w:kern w:val="1"/>
          <w:lang w:val="ro-RO" w:eastAsia="zh-CN"/>
        </w:rPr>
        <w:t>– PATJ</w:t>
      </w:r>
      <w:r>
        <w:rPr>
          <w:rFonts w:ascii="Arial" w:hAnsi="Arial" w:cs="Arial"/>
          <w:kern w:val="1"/>
          <w:lang w:val="ro-RO" w:eastAsia="zh-CN"/>
        </w:rPr>
        <w:t xml:space="preserve"> Partea 1</w:t>
      </w:r>
      <w:r w:rsidR="00B646E2">
        <w:rPr>
          <w:rStyle w:val="Referinnotdesubsol"/>
          <w:rFonts w:ascii="Arial" w:hAnsi="Arial" w:cs="Arial"/>
          <w:kern w:val="1"/>
          <w:lang w:val="ro-RO" w:eastAsia="zh-CN"/>
        </w:rPr>
        <w:footnoteReference w:id="15"/>
      </w:r>
      <w:r>
        <w:rPr>
          <w:rFonts w:ascii="Arial" w:hAnsi="Arial" w:cs="Arial"/>
          <w:kern w:val="1"/>
          <w:lang w:val="ro-RO" w:eastAsia="zh-CN"/>
        </w:rPr>
        <w:t xml:space="preserve"> – Analiza situaţiei existente şi identificarea elementelor care condiţionează dezvoltarea</w:t>
      </w:r>
      <w:r w:rsidR="00033AD1">
        <w:rPr>
          <w:rFonts w:ascii="Arial" w:hAnsi="Arial" w:cs="Arial"/>
          <w:kern w:val="1"/>
          <w:lang w:val="ro-RO" w:eastAsia="zh-CN"/>
        </w:rPr>
        <w:t xml:space="preserve"> iar în anul 2021</w:t>
      </w:r>
      <w:r>
        <w:rPr>
          <w:rFonts w:ascii="Arial" w:hAnsi="Arial" w:cs="Arial"/>
          <w:kern w:val="1"/>
          <w:lang w:val="ro-RO" w:eastAsia="zh-CN"/>
        </w:rPr>
        <w:t xml:space="preserve"> </w:t>
      </w:r>
      <w:r w:rsidR="00033AD1">
        <w:rPr>
          <w:rFonts w:ascii="Arial" w:hAnsi="Arial" w:cs="Arial"/>
          <w:kern w:val="1"/>
          <w:lang w:val="ro-RO" w:eastAsia="zh-CN"/>
        </w:rPr>
        <w:t xml:space="preserve">PATJ Vâlcea </w:t>
      </w:r>
      <w:r>
        <w:rPr>
          <w:rFonts w:ascii="Arial" w:hAnsi="Arial" w:cs="Arial"/>
          <w:kern w:val="1"/>
          <w:lang w:val="ro-RO" w:eastAsia="zh-CN"/>
        </w:rPr>
        <w:t xml:space="preserve">Partea 2 a– Diagnostic </w:t>
      </w:r>
      <w:r w:rsidR="00033AD1">
        <w:rPr>
          <w:rFonts w:ascii="Arial" w:hAnsi="Arial" w:cs="Arial"/>
          <w:kern w:val="1"/>
          <w:lang w:val="ro-RO" w:eastAsia="zh-CN"/>
        </w:rPr>
        <w:t xml:space="preserve">prospectiv şi general. Obiectivul PATJ este orientat către obţinerea unei documentaţii de planificare strategică, pentru a crea şanse egale de dezvoltarea întregului teritoriu al judeţului pe termen mediu şi premisele unei dezvoltări durabile pe termen lung. Partea 2 a PATJ are ca obiectiv diagnotsticul prospectiv al dezvoltării teritoriale a judeţului, pe domeniile – şintă şi componentele acestora, elaborat în baza problemelor, disfuncţionalităţilor şi tendinţelor majore identificate în partea 1. </w:t>
      </w:r>
      <w:r w:rsidR="00AA2C1B">
        <w:rPr>
          <w:rFonts w:ascii="Arial" w:hAnsi="Arial" w:cs="Arial"/>
          <w:kern w:val="1"/>
          <w:lang w:val="ro-RO" w:eastAsia="zh-CN"/>
        </w:rPr>
        <w:t>Potrivit Normelor metodologice al Legii nr. 350/2001 privind amennajarea teritoriului şi urbanismul şi de elaborare şi actualizare a documentaţiilor de urbanism, aprobate prin Ordinul 233/2016 emis de Ministerul Dezvoltării Regionale şi Administraţiei Publice, PATJ conţine pe lângă cele 2 părţi deja menţionate (care au fost deja actualizate pentru judeţul Vâlcea) părţile a 3-a şi a 4-a destinate Startegiei de dezvoltare teritorială a judeţului, respectiv Planului de acţiune pentru implementarea prevederilor planului – politici publice teritoriale, programe şi proiecte.</w:t>
      </w:r>
    </w:p>
    <w:p w14:paraId="13A1E610" w14:textId="77777777" w:rsidR="00FC3883" w:rsidRDefault="00AA2C1B" w:rsidP="00FC3883">
      <w:pPr>
        <w:spacing w:after="0"/>
        <w:jc w:val="both"/>
        <w:rPr>
          <w:rFonts w:ascii="Arial" w:hAnsi="Arial" w:cs="Arial"/>
          <w:kern w:val="1"/>
          <w:lang w:val="ro-RO" w:eastAsia="zh-CN"/>
        </w:rPr>
      </w:pPr>
      <w:r>
        <w:rPr>
          <w:rFonts w:ascii="Arial" w:hAnsi="Arial" w:cs="Arial"/>
          <w:kern w:val="1"/>
          <w:lang w:val="ro-RO" w:eastAsia="zh-CN"/>
        </w:rPr>
        <w:t>În cadrul analizei SWOT din partea a 2-a a PATJ Vâlcea,</w:t>
      </w:r>
      <w:r w:rsidR="00FC3883">
        <w:rPr>
          <w:rFonts w:ascii="Arial" w:hAnsi="Arial" w:cs="Arial"/>
          <w:kern w:val="1"/>
          <w:lang w:val="ro-RO" w:eastAsia="zh-CN"/>
        </w:rPr>
        <w:t xml:space="preserve"> oraşul Horezu (cu satele aparţinătoare) apare menţionat în cadrul diferitelor secţiuni ale acesteia:</w:t>
      </w:r>
    </w:p>
    <w:p w14:paraId="45039F59" w14:textId="77777777" w:rsidR="00FC3883" w:rsidRPr="00FC3883" w:rsidRDefault="00FC3883" w:rsidP="006B613A">
      <w:pPr>
        <w:pStyle w:val="Listparagraf"/>
        <w:numPr>
          <w:ilvl w:val="0"/>
          <w:numId w:val="6"/>
        </w:numPr>
        <w:spacing w:after="0"/>
        <w:jc w:val="both"/>
        <w:rPr>
          <w:rFonts w:ascii="Arial" w:hAnsi="Arial" w:cs="Arial"/>
          <w:kern w:val="1"/>
          <w:lang w:val="ro-RO"/>
        </w:rPr>
      </w:pPr>
      <w:r w:rsidRPr="00FC3883">
        <w:rPr>
          <w:rFonts w:ascii="Arial" w:hAnsi="Arial" w:cs="Arial"/>
          <w:kern w:val="1"/>
          <w:lang w:val="ro-RO"/>
        </w:rPr>
        <w:t>P</w:t>
      </w:r>
      <w:r>
        <w:rPr>
          <w:rFonts w:ascii="Arial" w:hAnsi="Arial" w:cs="Arial"/>
          <w:kern w:val="1"/>
          <w:lang w:val="ro-RO"/>
        </w:rPr>
        <w:t>atrimoniul</w:t>
      </w:r>
      <w:r w:rsidRPr="00FC3883">
        <w:rPr>
          <w:rFonts w:ascii="Arial" w:hAnsi="Arial" w:cs="Arial"/>
          <w:kern w:val="1"/>
          <w:lang w:val="ro-RO"/>
        </w:rPr>
        <w:t xml:space="preserve"> construit </w:t>
      </w:r>
      <w:r>
        <w:rPr>
          <w:rFonts w:ascii="Arial" w:hAnsi="Arial" w:cs="Arial"/>
          <w:kern w:val="1"/>
          <w:lang w:val="ro-RO"/>
        </w:rPr>
        <w:t xml:space="preserve">- </w:t>
      </w:r>
      <w:r w:rsidRPr="00FC3883">
        <w:rPr>
          <w:rFonts w:ascii="Arial" w:hAnsi="Arial" w:cs="Arial"/>
          <w:kern w:val="1"/>
          <w:lang w:val="ro-RO"/>
        </w:rPr>
        <w:t xml:space="preserve">la puncte tari figurează şi </w:t>
      </w:r>
      <w:r w:rsidR="00AA2C1B" w:rsidRPr="00FC3883">
        <w:rPr>
          <w:rFonts w:ascii="Arial" w:hAnsi="Arial" w:cs="Arial"/>
          <w:kern w:val="1"/>
          <w:lang w:val="ro-RO"/>
        </w:rPr>
        <w:t xml:space="preserve">Mânăstirea Hurezi </w:t>
      </w:r>
      <w:r w:rsidRPr="00FC3883">
        <w:rPr>
          <w:rFonts w:ascii="Arial" w:hAnsi="Arial" w:cs="Arial"/>
          <w:kern w:val="1"/>
          <w:lang w:val="ro-RO"/>
        </w:rPr>
        <w:t>(sau Horezu)</w:t>
      </w:r>
    </w:p>
    <w:p w14:paraId="3704E144" w14:textId="77777777" w:rsidR="00FC3883" w:rsidRPr="00FC3883" w:rsidRDefault="00FC3883" w:rsidP="006B613A">
      <w:pPr>
        <w:pStyle w:val="Listparagraf"/>
        <w:numPr>
          <w:ilvl w:val="0"/>
          <w:numId w:val="6"/>
        </w:numPr>
        <w:spacing w:after="0"/>
        <w:jc w:val="both"/>
        <w:rPr>
          <w:rFonts w:ascii="Arial" w:hAnsi="Arial" w:cs="Arial"/>
          <w:kern w:val="1"/>
          <w:lang w:val="ro-RO"/>
        </w:rPr>
      </w:pPr>
      <w:r>
        <w:rPr>
          <w:rFonts w:ascii="Arial" w:hAnsi="Arial" w:cs="Arial"/>
          <w:kern w:val="1"/>
          <w:lang w:val="ro-RO"/>
        </w:rPr>
        <w:t>Patrimoniul</w:t>
      </w:r>
      <w:r w:rsidRPr="00FC3883">
        <w:rPr>
          <w:rFonts w:ascii="Arial" w:hAnsi="Arial" w:cs="Arial"/>
          <w:kern w:val="1"/>
          <w:lang w:val="ro-RO"/>
        </w:rPr>
        <w:t xml:space="preserve"> contruit </w:t>
      </w:r>
      <w:r>
        <w:rPr>
          <w:rFonts w:ascii="Arial" w:hAnsi="Arial" w:cs="Arial"/>
          <w:kern w:val="1"/>
          <w:lang w:val="ro-RO"/>
        </w:rPr>
        <w:t xml:space="preserve">- </w:t>
      </w:r>
      <w:r w:rsidRPr="00FC3883">
        <w:rPr>
          <w:rFonts w:ascii="Arial" w:hAnsi="Arial" w:cs="Arial"/>
          <w:kern w:val="1"/>
          <w:lang w:val="ro-RO"/>
        </w:rPr>
        <w:t xml:space="preserve">la </w:t>
      </w:r>
      <w:r>
        <w:rPr>
          <w:rFonts w:ascii="Arial" w:hAnsi="Arial" w:cs="Arial"/>
          <w:kern w:val="1"/>
          <w:lang w:val="ro-RO"/>
        </w:rPr>
        <w:t>ameninţări</w:t>
      </w:r>
      <w:r w:rsidRPr="00FC3883">
        <w:rPr>
          <w:rFonts w:ascii="Arial" w:hAnsi="Arial" w:cs="Arial"/>
          <w:kern w:val="1"/>
          <w:lang w:val="ro-RO"/>
        </w:rPr>
        <w:t>, oraşul Horezu apare menţionat în rândul zonelor afectate de poluare</w:t>
      </w:r>
    </w:p>
    <w:p w14:paraId="5142AF90" w14:textId="77777777" w:rsidR="00AA2C1B" w:rsidRPr="00FC3883" w:rsidRDefault="00FC3883" w:rsidP="006B613A">
      <w:pPr>
        <w:pStyle w:val="Listparagraf"/>
        <w:numPr>
          <w:ilvl w:val="0"/>
          <w:numId w:val="6"/>
        </w:numPr>
        <w:spacing w:after="0"/>
        <w:jc w:val="both"/>
        <w:rPr>
          <w:rFonts w:ascii="Arial" w:hAnsi="Arial" w:cs="Arial"/>
          <w:kern w:val="1"/>
          <w:lang w:val="ro-RO"/>
        </w:rPr>
      </w:pPr>
      <w:r w:rsidRPr="00FC3883">
        <w:rPr>
          <w:rFonts w:ascii="Arial" w:hAnsi="Arial" w:cs="Arial"/>
          <w:kern w:val="1"/>
          <w:lang w:val="ro-RO"/>
        </w:rPr>
        <w:t>R</w:t>
      </w:r>
      <w:r>
        <w:rPr>
          <w:rFonts w:ascii="Arial" w:hAnsi="Arial" w:cs="Arial"/>
          <w:kern w:val="1"/>
          <w:lang w:val="ro-RO"/>
        </w:rPr>
        <w:t>eţeaua de localităţi</w:t>
      </w:r>
      <w:r w:rsidRPr="00FC3883">
        <w:rPr>
          <w:rFonts w:ascii="Arial" w:hAnsi="Arial" w:cs="Arial"/>
          <w:kern w:val="1"/>
          <w:lang w:val="ro-RO"/>
        </w:rPr>
        <w:t xml:space="preserve"> </w:t>
      </w:r>
      <w:r>
        <w:rPr>
          <w:rFonts w:ascii="Arial" w:hAnsi="Arial" w:cs="Arial"/>
          <w:kern w:val="1"/>
          <w:lang w:val="ro-RO"/>
        </w:rPr>
        <w:t xml:space="preserve">- </w:t>
      </w:r>
      <w:r w:rsidRPr="00FC3883">
        <w:rPr>
          <w:rFonts w:ascii="Arial" w:hAnsi="Arial" w:cs="Arial"/>
          <w:kern w:val="1"/>
          <w:lang w:val="ro-RO"/>
        </w:rPr>
        <w:t>l</w:t>
      </w:r>
      <w:r>
        <w:rPr>
          <w:rFonts w:ascii="Arial" w:hAnsi="Arial" w:cs="Arial"/>
          <w:kern w:val="1"/>
          <w:lang w:val="ro-RO"/>
        </w:rPr>
        <w:t>a puncte</w:t>
      </w:r>
      <w:r w:rsidRPr="00FC3883">
        <w:rPr>
          <w:rFonts w:ascii="Arial" w:hAnsi="Arial" w:cs="Arial"/>
          <w:kern w:val="1"/>
          <w:lang w:val="ro-RO"/>
        </w:rPr>
        <w:t xml:space="preserve"> slabe, oraşul Horezu este menţionat în cadrul oraşelor noi cu caracteristici rurale</w:t>
      </w:r>
    </w:p>
    <w:p w14:paraId="06561A8E" w14:textId="77777777" w:rsidR="00FC3883" w:rsidRDefault="00FC3883" w:rsidP="006B613A">
      <w:pPr>
        <w:pStyle w:val="Listparagraf"/>
        <w:numPr>
          <w:ilvl w:val="0"/>
          <w:numId w:val="6"/>
        </w:numPr>
        <w:spacing w:after="0"/>
        <w:jc w:val="both"/>
        <w:rPr>
          <w:rFonts w:ascii="Arial" w:hAnsi="Arial" w:cs="Arial"/>
          <w:kern w:val="1"/>
          <w:lang w:val="ro-RO"/>
        </w:rPr>
      </w:pPr>
      <w:r>
        <w:rPr>
          <w:rFonts w:ascii="Arial" w:hAnsi="Arial" w:cs="Arial"/>
          <w:kern w:val="1"/>
          <w:lang w:val="ro-RO"/>
        </w:rPr>
        <w:t xml:space="preserve">Surse regenerabile de energie – la puncte tari </w:t>
      </w:r>
      <w:r w:rsidR="00DE6394">
        <w:rPr>
          <w:rFonts w:ascii="Arial" w:hAnsi="Arial" w:cs="Arial"/>
          <w:kern w:val="1"/>
          <w:lang w:val="ro-RO"/>
        </w:rPr>
        <w:t xml:space="preserve">figurează </w:t>
      </w:r>
      <w:r>
        <w:rPr>
          <w:rFonts w:ascii="Arial" w:hAnsi="Arial" w:cs="Arial"/>
          <w:kern w:val="1"/>
          <w:lang w:val="ro-RO"/>
        </w:rPr>
        <w:t>utilizarea biomasei ca alternativă la încă</w:t>
      </w:r>
      <w:r w:rsidRPr="00FC3883">
        <w:rPr>
          <w:rFonts w:ascii="Arial" w:hAnsi="Arial" w:cs="Arial"/>
          <w:kern w:val="1"/>
          <w:lang w:val="ro-RO"/>
        </w:rPr>
        <w:t>lzire</w:t>
      </w:r>
      <w:r>
        <w:rPr>
          <w:rFonts w:ascii="Arial" w:hAnsi="Arial" w:cs="Arial"/>
          <w:kern w:val="1"/>
          <w:lang w:val="ro-RO"/>
        </w:rPr>
        <w:t>a cu gaze naturale sau pentru î</w:t>
      </w:r>
      <w:r w:rsidRPr="00FC3883">
        <w:rPr>
          <w:rFonts w:ascii="Arial" w:hAnsi="Arial" w:cs="Arial"/>
          <w:kern w:val="1"/>
          <w:lang w:val="ro-RO"/>
        </w:rPr>
        <w:t>nlocuirea co</w:t>
      </w:r>
      <w:r>
        <w:rPr>
          <w:rFonts w:ascii="Arial" w:hAnsi="Arial" w:cs="Arial"/>
          <w:kern w:val="1"/>
          <w:lang w:val="ro-RO"/>
        </w:rPr>
        <w:t>mbustibililor fosili a că</w:t>
      </w:r>
      <w:r w:rsidRPr="00FC3883">
        <w:rPr>
          <w:rFonts w:ascii="Arial" w:hAnsi="Arial" w:cs="Arial"/>
          <w:kern w:val="1"/>
          <w:lang w:val="ro-RO"/>
        </w:rPr>
        <w:t>ror rezerve sunt epuizabile (Horezu)</w:t>
      </w:r>
    </w:p>
    <w:p w14:paraId="30457B00" w14:textId="77777777" w:rsidR="00DE6394" w:rsidRDefault="00DE6394" w:rsidP="006B613A">
      <w:pPr>
        <w:pStyle w:val="Listparagraf"/>
        <w:numPr>
          <w:ilvl w:val="0"/>
          <w:numId w:val="6"/>
        </w:numPr>
        <w:spacing w:after="0"/>
        <w:jc w:val="both"/>
        <w:rPr>
          <w:rFonts w:ascii="Arial" w:hAnsi="Arial" w:cs="Arial"/>
          <w:kern w:val="1"/>
          <w:lang w:val="ro-RO"/>
        </w:rPr>
      </w:pPr>
      <w:r w:rsidRPr="00DE6394">
        <w:rPr>
          <w:rFonts w:ascii="Arial" w:hAnsi="Arial" w:cs="Arial"/>
          <w:kern w:val="1"/>
          <w:lang w:val="ro-RO"/>
        </w:rPr>
        <w:t>Zonificarea teritoriului – la puncte tari</w:t>
      </w:r>
      <w:r>
        <w:rPr>
          <w:rFonts w:ascii="Arial" w:hAnsi="Arial" w:cs="Arial"/>
          <w:kern w:val="1"/>
          <w:lang w:val="ro-RO"/>
        </w:rPr>
        <w:t>,</w:t>
      </w:r>
      <w:r w:rsidRPr="00DE6394">
        <w:rPr>
          <w:rFonts w:ascii="Arial" w:hAnsi="Arial" w:cs="Arial"/>
          <w:kern w:val="1"/>
          <w:lang w:val="ro-RO"/>
        </w:rPr>
        <w:t xml:space="preserve"> figurează conturarea a trei zone cu profile variate asigurând un potenţial şi o dinamică a activităţilor economice la nivelul judeţului: zona cu profil economic complex, industrial, agrar şi turistic cu grad ridicat de urbanizare şi echipare tehnică definită pe două axe (culoarul Oltului pe direcţia nord-sud şi axa Râmnicu Vâlcea - Horezu pe direcţia </w:t>
      </w:r>
      <w:r>
        <w:rPr>
          <w:rFonts w:ascii="Arial" w:hAnsi="Arial" w:cs="Arial"/>
          <w:kern w:val="1"/>
          <w:lang w:val="ro-RO"/>
        </w:rPr>
        <w:t>est-ves), zonă</w:t>
      </w:r>
      <w:r w:rsidRPr="00DE6394">
        <w:rPr>
          <w:rFonts w:ascii="Arial" w:hAnsi="Arial" w:cs="Arial"/>
          <w:kern w:val="1"/>
          <w:lang w:val="ro-RO"/>
        </w:rPr>
        <w:t xml:space="preserve"> cu p</w:t>
      </w:r>
      <w:r>
        <w:rPr>
          <w:rFonts w:ascii="Arial" w:hAnsi="Arial" w:cs="Arial"/>
          <w:kern w:val="1"/>
          <w:lang w:val="ro-RO"/>
        </w:rPr>
        <w:t>rofil mixt predominant agricol şi zonă</w:t>
      </w:r>
      <w:r w:rsidRPr="00DE6394">
        <w:rPr>
          <w:rFonts w:ascii="Arial" w:hAnsi="Arial" w:cs="Arial"/>
          <w:kern w:val="1"/>
          <w:lang w:val="ro-RO"/>
        </w:rPr>
        <w:t xml:space="preserve"> cu profil</w:t>
      </w:r>
      <w:r>
        <w:rPr>
          <w:rFonts w:ascii="Arial" w:hAnsi="Arial" w:cs="Arial"/>
          <w:kern w:val="1"/>
          <w:lang w:val="ro-RO"/>
        </w:rPr>
        <w:t xml:space="preserve"> turistic şi silvic corespunză</w:t>
      </w:r>
      <w:r w:rsidRPr="00DE6394">
        <w:rPr>
          <w:rFonts w:ascii="Arial" w:hAnsi="Arial" w:cs="Arial"/>
          <w:kern w:val="1"/>
          <w:lang w:val="ro-RO"/>
        </w:rPr>
        <w:t>toare arealului montan</w:t>
      </w:r>
      <w:r>
        <w:rPr>
          <w:rFonts w:ascii="Arial" w:hAnsi="Arial" w:cs="Arial"/>
          <w:kern w:val="1"/>
          <w:lang w:val="ro-RO"/>
        </w:rPr>
        <w:t>;</w:t>
      </w:r>
    </w:p>
    <w:p w14:paraId="748C786D" w14:textId="77777777" w:rsidR="00DE6394" w:rsidRDefault="00DE6394" w:rsidP="006B613A">
      <w:pPr>
        <w:pStyle w:val="Listparagraf"/>
        <w:numPr>
          <w:ilvl w:val="0"/>
          <w:numId w:val="6"/>
        </w:numPr>
        <w:spacing w:after="0"/>
        <w:jc w:val="both"/>
        <w:rPr>
          <w:rFonts w:ascii="Arial" w:hAnsi="Arial" w:cs="Arial"/>
          <w:kern w:val="1"/>
          <w:lang w:val="ro-RO"/>
        </w:rPr>
      </w:pPr>
      <w:r>
        <w:rPr>
          <w:rFonts w:ascii="Arial" w:hAnsi="Arial" w:cs="Arial"/>
          <w:kern w:val="1"/>
          <w:lang w:val="ro-RO"/>
        </w:rPr>
        <w:t xml:space="preserve">Turism – la puncte tari, oraşul Horezu figurează în cadrul staţiunilor turistice de interes local; </w:t>
      </w:r>
    </w:p>
    <w:p w14:paraId="4BF4EE19" w14:textId="77777777" w:rsidR="00DE6394" w:rsidRDefault="00DE6394" w:rsidP="006B613A">
      <w:pPr>
        <w:pStyle w:val="Listparagraf"/>
        <w:numPr>
          <w:ilvl w:val="0"/>
          <w:numId w:val="6"/>
        </w:numPr>
        <w:spacing w:after="0"/>
        <w:jc w:val="both"/>
        <w:rPr>
          <w:rFonts w:ascii="Arial" w:hAnsi="Arial" w:cs="Arial"/>
          <w:kern w:val="1"/>
          <w:lang w:val="ro-RO"/>
        </w:rPr>
      </w:pPr>
      <w:r>
        <w:rPr>
          <w:rFonts w:ascii="Arial" w:hAnsi="Arial" w:cs="Arial"/>
          <w:kern w:val="1"/>
          <w:lang w:val="ro-RO"/>
        </w:rPr>
        <w:t>Servicii economice şi sociale – la puncte tari, este menţionată tendinţa de dezvoltare a serviciilor în mediul urban al oraşului Horezu;</w:t>
      </w:r>
    </w:p>
    <w:p w14:paraId="0E5F22B5" w14:textId="77777777" w:rsidR="00DE6394" w:rsidRDefault="00DE6394" w:rsidP="006B613A">
      <w:pPr>
        <w:pStyle w:val="Listparagraf"/>
        <w:numPr>
          <w:ilvl w:val="0"/>
          <w:numId w:val="6"/>
        </w:numPr>
        <w:spacing w:after="0"/>
        <w:jc w:val="both"/>
        <w:rPr>
          <w:rFonts w:ascii="Arial" w:hAnsi="Arial" w:cs="Arial"/>
          <w:kern w:val="1"/>
          <w:lang w:val="ro-RO"/>
        </w:rPr>
      </w:pPr>
      <w:r>
        <w:rPr>
          <w:rFonts w:ascii="Arial" w:hAnsi="Arial" w:cs="Arial"/>
          <w:kern w:val="1"/>
          <w:lang w:val="ro-RO"/>
        </w:rPr>
        <w:t>Contextul teritorial inter</w:t>
      </w:r>
      <w:r w:rsidR="001472E6">
        <w:rPr>
          <w:rFonts w:ascii="Arial" w:hAnsi="Arial" w:cs="Arial"/>
          <w:kern w:val="1"/>
          <w:lang w:val="ro-RO"/>
        </w:rPr>
        <w:t>judeţean, regional şi naţional – la puncte tari, GAL Microregiunea Horezu apare menţionată în rândul celor 10 Grupuri de Aciune Locală reprezentând teritorii cu grad ridicat de coezi</w:t>
      </w:r>
      <w:r w:rsidR="00E40230">
        <w:rPr>
          <w:rFonts w:ascii="Arial" w:hAnsi="Arial" w:cs="Arial"/>
          <w:kern w:val="1"/>
          <w:lang w:val="ro-RO"/>
        </w:rPr>
        <w:t>une, bazat pe tradiţia istorică.</w:t>
      </w:r>
    </w:p>
    <w:p w14:paraId="72C32343" w14:textId="77777777" w:rsidR="008428FD" w:rsidRDefault="008428FD" w:rsidP="00D70AEA">
      <w:pPr>
        <w:jc w:val="both"/>
        <w:rPr>
          <w:rFonts w:ascii="Arial" w:hAnsi="Arial" w:cs="Arial"/>
          <w:kern w:val="1"/>
          <w:lang w:val="ro-RO" w:eastAsia="zh-CN"/>
        </w:rPr>
      </w:pPr>
    </w:p>
    <w:p w14:paraId="432CB34E" w14:textId="77777777" w:rsidR="00DE29F4" w:rsidRDefault="007E605B" w:rsidP="00D70AEA">
      <w:pPr>
        <w:jc w:val="both"/>
        <w:rPr>
          <w:rFonts w:ascii="Arial" w:hAnsi="Arial" w:cs="Arial"/>
          <w:kern w:val="1"/>
          <w:lang w:val="ro-RO" w:eastAsia="zh-CN"/>
        </w:rPr>
      </w:pPr>
      <w:r>
        <w:rPr>
          <w:rFonts w:ascii="Arial" w:hAnsi="Arial" w:cs="Arial"/>
          <w:kern w:val="1"/>
          <w:lang w:val="ro-RO" w:eastAsia="zh-CN"/>
        </w:rPr>
        <w:t>PATJ Partea 1, Orașul Horezu figurează în cadrul u</w:t>
      </w:r>
      <w:r w:rsidRPr="007E605B">
        <w:rPr>
          <w:rFonts w:ascii="Arial" w:hAnsi="Arial" w:cs="Arial"/>
          <w:kern w:val="1"/>
          <w:lang w:val="ro-RO" w:eastAsia="zh-CN"/>
        </w:rPr>
        <w:t>nităţi</w:t>
      </w:r>
      <w:r>
        <w:rPr>
          <w:rFonts w:ascii="Arial" w:hAnsi="Arial" w:cs="Arial"/>
          <w:kern w:val="1"/>
          <w:lang w:val="ro-RO" w:eastAsia="zh-CN"/>
        </w:rPr>
        <w:t>lor</w:t>
      </w:r>
      <w:r w:rsidRPr="007E605B">
        <w:rPr>
          <w:rFonts w:ascii="Arial" w:hAnsi="Arial" w:cs="Arial"/>
          <w:kern w:val="1"/>
          <w:lang w:val="ro-RO" w:eastAsia="zh-CN"/>
        </w:rPr>
        <w:t xml:space="preserve"> administrativ-teritoriale</w:t>
      </w:r>
      <w:r>
        <w:rPr>
          <w:rFonts w:ascii="Arial" w:hAnsi="Arial" w:cs="Arial"/>
          <w:kern w:val="1"/>
          <w:lang w:val="ro-RO" w:eastAsia="zh-CN"/>
        </w:rPr>
        <w:t xml:space="preserve"> din </w:t>
      </w:r>
      <w:r w:rsidRPr="007E605B">
        <w:rPr>
          <w:rFonts w:ascii="Arial" w:hAnsi="Arial" w:cs="Arial"/>
          <w:kern w:val="1"/>
          <w:lang w:val="ro-RO" w:eastAsia="zh-CN"/>
        </w:rPr>
        <w:t xml:space="preserve">Judeţul Vâlcea afectate de inundaţii </w:t>
      </w:r>
      <w:r>
        <w:rPr>
          <w:rFonts w:ascii="Arial" w:hAnsi="Arial" w:cs="Arial"/>
          <w:kern w:val="1"/>
          <w:lang w:val="ro-RO" w:eastAsia="zh-CN"/>
        </w:rPr>
        <w:t>în anii 2016-2019</w:t>
      </w:r>
      <w:r w:rsidR="008428FD">
        <w:rPr>
          <w:rFonts w:ascii="Arial" w:hAnsi="Arial" w:cs="Arial"/>
          <w:kern w:val="1"/>
          <w:lang w:val="ro-RO" w:eastAsia="zh-CN"/>
        </w:rPr>
        <w:t>. Astfel cum este precizat în document, p</w:t>
      </w:r>
      <w:r w:rsidR="00DE29F4" w:rsidRPr="00DE29F4">
        <w:rPr>
          <w:rFonts w:ascii="Arial" w:hAnsi="Arial" w:cs="Arial"/>
          <w:kern w:val="1"/>
          <w:lang w:val="ro-RO" w:eastAsia="zh-CN"/>
        </w:rPr>
        <w:t>e baza rapoartelor anu</w:t>
      </w:r>
      <w:r w:rsidR="008428FD">
        <w:rPr>
          <w:rFonts w:ascii="Arial" w:hAnsi="Arial" w:cs="Arial"/>
          <w:kern w:val="1"/>
          <w:lang w:val="ro-RO" w:eastAsia="zh-CN"/>
        </w:rPr>
        <w:t>a</w:t>
      </w:r>
      <w:r w:rsidR="00DE29F4" w:rsidRPr="00DE29F4">
        <w:rPr>
          <w:rFonts w:ascii="Arial" w:hAnsi="Arial" w:cs="Arial"/>
          <w:kern w:val="1"/>
          <w:lang w:val="ro-RO" w:eastAsia="zh-CN"/>
        </w:rPr>
        <w:t xml:space="preserve">le întocmite de Comitetul Judeţean pentru Situaţii de Urgenţă Vâlcea în ultimii </w:t>
      </w:r>
      <w:r w:rsidR="008428FD">
        <w:rPr>
          <w:rFonts w:ascii="Arial" w:hAnsi="Arial" w:cs="Arial"/>
          <w:kern w:val="1"/>
          <w:lang w:val="ro-RO" w:eastAsia="zh-CN"/>
        </w:rPr>
        <w:t>ani</w:t>
      </w:r>
      <w:r w:rsidR="00DE29F4" w:rsidRPr="00DE29F4">
        <w:rPr>
          <w:rFonts w:ascii="Arial" w:hAnsi="Arial" w:cs="Arial"/>
          <w:kern w:val="1"/>
          <w:lang w:val="ro-RO" w:eastAsia="zh-CN"/>
        </w:rPr>
        <w:t xml:space="preserve">, </w:t>
      </w:r>
      <w:r w:rsidR="008428FD">
        <w:rPr>
          <w:rFonts w:ascii="Arial" w:hAnsi="Arial" w:cs="Arial"/>
          <w:kern w:val="1"/>
          <w:lang w:val="ro-RO" w:eastAsia="zh-CN"/>
        </w:rPr>
        <w:t>s-a observat</w:t>
      </w:r>
      <w:r w:rsidR="00DE29F4" w:rsidRPr="00DE29F4">
        <w:rPr>
          <w:rFonts w:ascii="Arial" w:hAnsi="Arial" w:cs="Arial"/>
          <w:kern w:val="1"/>
          <w:lang w:val="ro-RO" w:eastAsia="zh-CN"/>
        </w:rPr>
        <w:t xml:space="preserve"> că anul 2018 este cel în care alunecările de teren au afectat </w:t>
      </w:r>
      <w:r w:rsidR="00E95708">
        <w:rPr>
          <w:rFonts w:ascii="Arial" w:hAnsi="Arial" w:cs="Arial"/>
          <w:kern w:val="1"/>
          <w:lang w:val="ro-RO" w:eastAsia="zh-CN"/>
        </w:rPr>
        <w:t>cele mai multe dintre localități, inclusiv orașul</w:t>
      </w:r>
      <w:r w:rsidR="00DE29F4" w:rsidRPr="00DE29F4">
        <w:rPr>
          <w:rFonts w:ascii="Arial" w:hAnsi="Arial" w:cs="Arial"/>
          <w:kern w:val="1"/>
          <w:lang w:val="ro-RO" w:eastAsia="zh-CN"/>
        </w:rPr>
        <w:t xml:space="preserve"> Horezu.</w:t>
      </w:r>
    </w:p>
    <w:p w14:paraId="24E79BD1" w14:textId="77777777" w:rsidR="008E0A85" w:rsidRDefault="008E0A85" w:rsidP="00D70AEA">
      <w:pPr>
        <w:jc w:val="both"/>
        <w:rPr>
          <w:rFonts w:ascii="Arial" w:hAnsi="Arial" w:cs="Arial"/>
          <w:kern w:val="1"/>
          <w:lang w:val="ro-RO" w:eastAsia="zh-CN"/>
        </w:rPr>
      </w:pPr>
      <w:r>
        <w:rPr>
          <w:rFonts w:ascii="Arial" w:hAnsi="Arial" w:cs="Arial"/>
          <w:kern w:val="1"/>
          <w:lang w:val="ro-RO" w:eastAsia="zh-CN"/>
        </w:rPr>
        <w:t xml:space="preserve">În </w:t>
      </w:r>
      <w:r w:rsidRPr="002273CE">
        <w:rPr>
          <w:rFonts w:ascii="Arial" w:hAnsi="Arial" w:cs="Arial"/>
          <w:i/>
          <w:iCs/>
          <w:kern w:val="1"/>
          <w:lang w:val="ro-RO" w:eastAsia="zh-CN"/>
        </w:rPr>
        <w:t>Analiza concentrării în teritoriu a monumentelor istorice din judeţul Vâlcea</w:t>
      </w:r>
      <w:r>
        <w:rPr>
          <w:rFonts w:ascii="Arial" w:hAnsi="Arial" w:cs="Arial"/>
          <w:kern w:val="1"/>
          <w:lang w:val="ro-RO" w:eastAsia="zh-CN"/>
        </w:rPr>
        <w:t xml:space="preserve"> din cadrul PATJ Partea 1, Orașul Horezu apare menționat ca </w:t>
      </w:r>
      <w:r w:rsidR="00E95708">
        <w:rPr>
          <w:rFonts w:ascii="Arial" w:hAnsi="Arial" w:cs="Arial"/>
          <w:kern w:val="1"/>
          <w:lang w:val="ro-RO" w:eastAsia="zh-CN"/>
        </w:rPr>
        <w:t>z</w:t>
      </w:r>
      <w:r w:rsidRPr="008E0A85">
        <w:rPr>
          <w:rFonts w:ascii="Arial" w:hAnsi="Arial" w:cs="Arial"/>
          <w:kern w:val="1"/>
          <w:lang w:val="ro-RO" w:eastAsia="zh-CN"/>
        </w:rPr>
        <w:t>onă cu patrimoniu de importantă mondială</w:t>
      </w:r>
      <w:r>
        <w:rPr>
          <w:rFonts w:ascii="Arial" w:hAnsi="Arial" w:cs="Arial"/>
          <w:kern w:val="1"/>
          <w:lang w:val="ro-RO" w:eastAsia="zh-CN"/>
        </w:rPr>
        <w:t xml:space="preserve"> (</w:t>
      </w:r>
      <w:r w:rsidRPr="008E0A85">
        <w:rPr>
          <w:rFonts w:ascii="Arial" w:hAnsi="Arial" w:cs="Arial"/>
          <w:kern w:val="1"/>
          <w:lang w:val="ro-RO" w:eastAsia="zh-CN"/>
        </w:rPr>
        <w:t>Statutul de monument UNESCO al Mănăstirii Hurezi, conferă oraşului Horezu o importanţă deosebită prin înscrierea sa în rândul localităţilor pe teritoriul cărora se află valori de vârf ale artei şi culturii mondiale. în imediata vecinătate a oraşului Horezu, în comuna Măldăreşti, este situat Complexul Muzeal Măldăreşti,</w:t>
      </w:r>
      <w:r w:rsidR="00E95708">
        <w:rPr>
          <w:rFonts w:ascii="Arial" w:hAnsi="Arial" w:cs="Arial"/>
          <w:kern w:val="1"/>
          <w:lang w:val="ro-RO" w:eastAsia="zh-CN"/>
        </w:rPr>
        <w:t xml:space="preserve"> </w:t>
      </w:r>
      <w:r w:rsidRPr="008E0A85">
        <w:rPr>
          <w:rFonts w:ascii="Arial" w:hAnsi="Arial" w:cs="Arial"/>
          <w:kern w:val="1"/>
          <w:lang w:val="ro-RO" w:eastAsia="zh-CN"/>
        </w:rPr>
        <w:t>cuprinzând ansamblul Culei Greceanu şi ansamblul Culei Duca, monumente istorice de valoare naţională excepţională, care, împreună cu cele şase biserici monumente istorice din oraşul Horezu, adăugându-se ansamblului M</w:t>
      </w:r>
      <w:r w:rsidR="000B6B15">
        <w:rPr>
          <w:rFonts w:ascii="Arial" w:hAnsi="Arial" w:cs="Arial"/>
          <w:kern w:val="1"/>
          <w:lang w:val="ro-RO" w:eastAsia="zh-CN"/>
        </w:rPr>
        <w:t>â</w:t>
      </w:r>
      <w:r w:rsidRPr="008E0A85">
        <w:rPr>
          <w:rFonts w:ascii="Arial" w:hAnsi="Arial" w:cs="Arial"/>
          <w:kern w:val="1"/>
          <w:lang w:val="ro-RO" w:eastAsia="zh-CN"/>
        </w:rPr>
        <w:t>năstirii Hurezi, constituie o zonă cu potenţial cultural şi turistic de excepţie</w:t>
      </w:r>
      <w:r w:rsidR="00E95708">
        <w:rPr>
          <w:rStyle w:val="Referinnotdesubsol"/>
          <w:rFonts w:ascii="Arial" w:hAnsi="Arial" w:cs="Arial"/>
          <w:kern w:val="1"/>
          <w:lang w:val="ro-RO" w:eastAsia="zh-CN"/>
        </w:rPr>
        <w:footnoteReference w:id="16"/>
      </w:r>
      <w:r w:rsidR="00E95708">
        <w:rPr>
          <w:rFonts w:ascii="Arial" w:hAnsi="Arial" w:cs="Arial"/>
          <w:kern w:val="1"/>
          <w:lang w:val="ro-RO" w:eastAsia="zh-CN"/>
        </w:rPr>
        <w:t>)</w:t>
      </w:r>
      <w:r w:rsidRPr="008E0A85">
        <w:rPr>
          <w:rFonts w:ascii="Arial" w:hAnsi="Arial" w:cs="Arial"/>
          <w:kern w:val="1"/>
          <w:lang w:val="ro-RO" w:eastAsia="zh-CN"/>
        </w:rPr>
        <w:t>.</w:t>
      </w:r>
    </w:p>
    <w:p w14:paraId="64516AA7" w14:textId="77777777" w:rsidR="000B6B15" w:rsidRDefault="00AA12E9" w:rsidP="00D70AEA">
      <w:pPr>
        <w:jc w:val="both"/>
        <w:rPr>
          <w:rFonts w:ascii="Arial" w:hAnsi="Arial" w:cs="Arial"/>
          <w:kern w:val="1"/>
          <w:lang w:val="ro-RO" w:eastAsia="zh-CN"/>
        </w:rPr>
      </w:pPr>
      <w:r>
        <w:rPr>
          <w:rFonts w:ascii="Arial" w:hAnsi="Arial" w:cs="Arial"/>
          <w:kern w:val="1"/>
          <w:lang w:val="ro-RO" w:eastAsia="zh-CN"/>
        </w:rPr>
        <w:t>În PATJ se mai precizează că oraşul Horezu situat în zona montană este un centru industrial mic, dar cu dotări relativ corespunzătoare fiind necesare intervenţii în vederea evitării oricărei acţiuni dăunătoare asupra patrimoniului cultural construit, în special în zona Horezu, unde patrimoniul UNESCO impune măsuri de prevenire a degradărilor mediului din proximitate.</w:t>
      </w:r>
    </w:p>
    <w:p w14:paraId="22757EAF" w14:textId="77777777" w:rsidR="00517960" w:rsidRDefault="00517960" w:rsidP="00D70AEA">
      <w:pPr>
        <w:jc w:val="both"/>
        <w:rPr>
          <w:rFonts w:ascii="Arial" w:hAnsi="Arial" w:cs="Arial"/>
          <w:kern w:val="1"/>
          <w:lang w:val="ro-RO" w:eastAsia="zh-CN"/>
        </w:rPr>
      </w:pPr>
      <w:r>
        <w:rPr>
          <w:rFonts w:ascii="Arial" w:hAnsi="Arial" w:cs="Arial"/>
          <w:kern w:val="1"/>
          <w:lang w:val="ro-RO" w:eastAsia="zh-CN"/>
        </w:rPr>
        <w:t>Demersurile Consiliului Local Horezu din ultimii ani pentru înfiinţarea unui parc industrial (</w:t>
      </w:r>
      <w:r w:rsidR="00244DED">
        <w:rPr>
          <w:rFonts w:ascii="Arial" w:hAnsi="Arial" w:cs="Arial"/>
          <w:kern w:val="1"/>
          <w:lang w:val="ro-RO" w:eastAsia="zh-CN"/>
        </w:rPr>
        <w:t>fiind lansat şi un anunţ de participare la negociere directă pentru concesionarea de loturi de teren în vederea înfiinţării „Parc Industrial Treapt”) au fost menţionate şi în cadrul PATJ Vâlcea – Partea 1.</w:t>
      </w:r>
    </w:p>
    <w:p w14:paraId="1089B646" w14:textId="77777777" w:rsidR="00244DED" w:rsidRDefault="00244DED" w:rsidP="00D70AEA">
      <w:pPr>
        <w:jc w:val="both"/>
        <w:rPr>
          <w:rFonts w:ascii="Arial" w:hAnsi="Arial" w:cs="Arial"/>
          <w:kern w:val="1"/>
          <w:lang w:val="ro-RO" w:eastAsia="zh-CN"/>
        </w:rPr>
      </w:pPr>
    </w:p>
    <w:p w14:paraId="0E2265D6" w14:textId="77777777" w:rsidR="00D70AEA" w:rsidRPr="003430C5" w:rsidRDefault="00D70AEA" w:rsidP="003430C5">
      <w:pPr>
        <w:pStyle w:val="Titlu2"/>
        <w:rPr>
          <w:rFonts w:ascii="Arial" w:eastAsia="Times New Roman" w:hAnsi="Arial" w:cs="Arial"/>
          <w:b/>
          <w:bCs/>
          <w:color w:val="auto"/>
          <w:sz w:val="24"/>
          <w:szCs w:val="24"/>
          <w:lang w:val="it-IT" w:eastAsia="ro-RO"/>
        </w:rPr>
      </w:pPr>
      <w:bookmarkStart w:id="34" w:name="_Toc142039047"/>
      <w:r w:rsidRPr="003430C5">
        <w:rPr>
          <w:rFonts w:ascii="Arial" w:eastAsia="Times New Roman" w:hAnsi="Arial" w:cs="Arial"/>
          <w:b/>
          <w:bCs/>
          <w:color w:val="auto"/>
          <w:sz w:val="24"/>
          <w:szCs w:val="24"/>
          <w:lang w:val="it-IT" w:eastAsia="ro-RO"/>
        </w:rPr>
        <w:t>I.1.3</w:t>
      </w:r>
      <w:r w:rsid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Incadrarea în prevederile documentelor strategice sectoriale</w:t>
      </w:r>
      <w:bookmarkEnd w:id="32"/>
      <w:bookmarkEnd w:id="34"/>
    </w:p>
    <w:p w14:paraId="58A98461" w14:textId="77777777" w:rsidR="00D70AEA" w:rsidRPr="00D70AEA" w:rsidRDefault="00D70AEA" w:rsidP="00D70AEA">
      <w:pPr>
        <w:spacing w:after="0" w:line="276" w:lineRule="auto"/>
        <w:jc w:val="both"/>
        <w:rPr>
          <w:rFonts w:ascii="Arial" w:eastAsia="Times New Roman" w:hAnsi="Arial" w:cs="Arial"/>
          <w:lang w:val="en-GB" w:eastAsia="ro-RO"/>
        </w:rPr>
      </w:pPr>
      <w:r w:rsidRPr="00D70AEA">
        <w:rPr>
          <w:rFonts w:ascii="Arial" w:eastAsia="Times New Roman" w:hAnsi="Arial" w:cs="Arial"/>
          <w:lang w:val="en-GB" w:eastAsia="ro-RO"/>
        </w:rPr>
        <w:t xml:space="preserve">La nivel </w:t>
      </w:r>
      <w:r w:rsidRPr="00D70AEA">
        <w:rPr>
          <w:rFonts w:ascii="Arial" w:eastAsia="Times New Roman" w:hAnsi="Arial" w:cs="Arial"/>
          <w:b/>
          <w:lang w:val="en-GB" w:eastAsia="ro-RO"/>
        </w:rPr>
        <w:t>global</w:t>
      </w:r>
      <w:r w:rsidRPr="00D70AEA">
        <w:rPr>
          <w:rFonts w:ascii="Arial" w:eastAsia="Times New Roman" w:hAnsi="Arial" w:cs="Arial"/>
          <w:lang w:val="en-GB" w:eastAsia="ro-RO"/>
        </w:rPr>
        <w:t xml:space="preserve">, preocuparea pentru dezvoltarea durabilă rezidă din considerentul că generațiile actuale trebuie să-și poată acoperi nevoile fără să compromită capacitatea generațiilor viitoare de a-și acoperi propriile nevoi. Conceptul de dezvoltare durabilă înglobează considerente economice, sociale și de mediu care pot evolua în interdependență, susținându-se reciproc. </w:t>
      </w:r>
    </w:p>
    <w:p w14:paraId="7A485B92" w14:textId="77777777" w:rsidR="00E40230" w:rsidRDefault="00E40230" w:rsidP="00D70AEA">
      <w:pPr>
        <w:spacing w:after="0" w:line="276" w:lineRule="auto"/>
        <w:jc w:val="both"/>
        <w:rPr>
          <w:rFonts w:ascii="Arial" w:eastAsia="Times New Roman" w:hAnsi="Arial" w:cs="Arial"/>
          <w:lang w:val="en-GB" w:eastAsia="ro-RO"/>
        </w:rPr>
      </w:pPr>
    </w:p>
    <w:p w14:paraId="44EDE42E" w14:textId="7F2049F2" w:rsidR="00D70AEA" w:rsidRPr="00D70AEA" w:rsidRDefault="00D70AEA" w:rsidP="00D70AEA">
      <w:pPr>
        <w:spacing w:after="0" w:line="276" w:lineRule="auto"/>
        <w:jc w:val="both"/>
        <w:rPr>
          <w:rFonts w:ascii="Arial" w:eastAsia="Times New Roman" w:hAnsi="Arial" w:cs="Arial"/>
          <w:lang w:val="en-GB" w:eastAsia="ro-RO"/>
        </w:rPr>
      </w:pPr>
      <w:r w:rsidRPr="00D70AEA">
        <w:rPr>
          <w:rFonts w:ascii="Arial" w:eastAsia="Times New Roman" w:hAnsi="Arial" w:cs="Arial"/>
          <w:lang w:val="en-GB" w:eastAsia="ro-RO"/>
        </w:rPr>
        <w:t>Agenda 2030 a ONU</w:t>
      </w:r>
      <w:r w:rsidR="00B646E2">
        <w:rPr>
          <w:rStyle w:val="Referinnotdesubsol"/>
          <w:rFonts w:ascii="Arial" w:eastAsia="Times New Roman" w:hAnsi="Arial" w:cs="Arial"/>
          <w:lang w:val="en-GB" w:eastAsia="ro-RO"/>
        </w:rPr>
        <w:footnoteReference w:id="17"/>
      </w:r>
      <w:r w:rsidRPr="00D70AEA">
        <w:rPr>
          <w:rFonts w:ascii="Arial" w:eastAsia="Times New Roman" w:hAnsi="Arial" w:cs="Arial"/>
          <w:lang w:val="en-GB" w:eastAsia="ro-RO"/>
        </w:rPr>
        <w:t xml:space="preserve">, adoptată de liderii mondiali în 2015, reprezintă noul cadru global de dezvoltare durabilă și stabilește 17 obiective de dezvoltare durabilă (ODD). Ea constituie un angajament de a eradica sărăcia și de a asigura dezvoltarea durabilă peste tot în lume, până în 2030. Cele 17 obiective de dezvoltare durabilă îşi propun să echilibreze cele trei dimensiuni ale dezvoltării durabile – cea economică, cea socială și componenta de mediu – prin acțiuni concrete prevăzute pentru următorii 15 ani, axate, printre altele, pe: </w:t>
      </w:r>
    </w:p>
    <w:p w14:paraId="7557812A" w14:textId="77777777" w:rsidR="00D70AEA" w:rsidRPr="00D70AEA" w:rsidRDefault="00D70AEA" w:rsidP="006B613A">
      <w:pPr>
        <w:numPr>
          <w:ilvl w:val="0"/>
          <w:numId w:val="24"/>
        </w:numPr>
        <w:spacing w:after="0" w:line="276" w:lineRule="auto"/>
        <w:contextualSpacing/>
        <w:jc w:val="both"/>
        <w:rPr>
          <w:rFonts w:ascii="Arial" w:eastAsia="Times New Roman" w:hAnsi="Arial" w:cs="Arial"/>
          <w:lang w:val="en-GB" w:eastAsia="ro-RO"/>
        </w:rPr>
      </w:pPr>
      <w:r w:rsidRPr="00D70AEA">
        <w:rPr>
          <w:rFonts w:ascii="Arial" w:eastAsia="Times New Roman" w:hAnsi="Arial" w:cs="Arial"/>
          <w:lang w:val="en-GB" w:eastAsia="ro-RO"/>
        </w:rPr>
        <w:t>Demnitate umană</w:t>
      </w:r>
    </w:p>
    <w:p w14:paraId="39031AE6" w14:textId="77777777" w:rsidR="00D70AEA" w:rsidRPr="00D70AEA" w:rsidRDefault="00D70AEA" w:rsidP="006B613A">
      <w:pPr>
        <w:numPr>
          <w:ilvl w:val="0"/>
          <w:numId w:val="24"/>
        </w:numPr>
        <w:spacing w:line="276" w:lineRule="auto"/>
        <w:contextualSpacing/>
        <w:jc w:val="both"/>
        <w:rPr>
          <w:rFonts w:ascii="Arial" w:eastAsia="Times New Roman" w:hAnsi="Arial" w:cs="Arial"/>
          <w:lang w:val="en-GB" w:eastAsia="ro-RO"/>
        </w:rPr>
      </w:pPr>
      <w:r w:rsidRPr="00D70AEA">
        <w:rPr>
          <w:rFonts w:ascii="Arial" w:eastAsia="Times New Roman" w:hAnsi="Arial" w:cs="Arial"/>
          <w:lang w:val="en-GB" w:eastAsia="ro-RO"/>
        </w:rPr>
        <w:t>Stabilitate regională şi globală</w:t>
      </w:r>
    </w:p>
    <w:p w14:paraId="472BC019" w14:textId="77777777" w:rsidR="00D70AEA" w:rsidRPr="00D70AEA" w:rsidRDefault="00D70AEA" w:rsidP="006B613A">
      <w:pPr>
        <w:numPr>
          <w:ilvl w:val="0"/>
          <w:numId w:val="24"/>
        </w:numPr>
        <w:spacing w:line="276" w:lineRule="auto"/>
        <w:contextualSpacing/>
        <w:jc w:val="both"/>
        <w:rPr>
          <w:rFonts w:ascii="Arial" w:eastAsia="Times New Roman" w:hAnsi="Arial" w:cs="Arial"/>
          <w:lang w:val="en-GB" w:eastAsia="ro-RO"/>
        </w:rPr>
      </w:pPr>
      <w:r w:rsidRPr="00D70AEA">
        <w:rPr>
          <w:rFonts w:ascii="Arial" w:eastAsia="Times New Roman" w:hAnsi="Arial" w:cs="Arial"/>
          <w:lang w:val="en-GB" w:eastAsia="ro-RO"/>
        </w:rPr>
        <w:t>O planetă sănătoasă</w:t>
      </w:r>
    </w:p>
    <w:p w14:paraId="7475510D" w14:textId="77777777" w:rsidR="00D70AEA" w:rsidRPr="00D70AEA" w:rsidRDefault="00D70AEA" w:rsidP="006B613A">
      <w:pPr>
        <w:numPr>
          <w:ilvl w:val="0"/>
          <w:numId w:val="24"/>
        </w:numPr>
        <w:spacing w:line="276" w:lineRule="auto"/>
        <w:contextualSpacing/>
        <w:jc w:val="both"/>
        <w:rPr>
          <w:rFonts w:ascii="Arial" w:eastAsia="Times New Roman" w:hAnsi="Arial" w:cs="Arial"/>
          <w:lang w:val="en-GB" w:eastAsia="ro-RO"/>
        </w:rPr>
      </w:pPr>
      <w:r w:rsidRPr="00D70AEA">
        <w:rPr>
          <w:rFonts w:ascii="Arial" w:eastAsia="Times New Roman" w:hAnsi="Arial" w:cs="Arial"/>
          <w:lang w:val="en-GB" w:eastAsia="ro-RO"/>
        </w:rPr>
        <w:t>Societăţi reziliente şi echitabile</w:t>
      </w:r>
    </w:p>
    <w:p w14:paraId="53B354FC" w14:textId="77777777" w:rsidR="00D70AEA" w:rsidRPr="00D70AEA" w:rsidRDefault="00D70AEA" w:rsidP="006B613A">
      <w:pPr>
        <w:numPr>
          <w:ilvl w:val="0"/>
          <w:numId w:val="24"/>
        </w:numPr>
        <w:spacing w:line="276" w:lineRule="auto"/>
        <w:contextualSpacing/>
        <w:jc w:val="both"/>
        <w:rPr>
          <w:rFonts w:ascii="Arial" w:eastAsia="Times New Roman" w:hAnsi="Arial" w:cs="Arial"/>
          <w:lang w:val="en-GB" w:eastAsia="ro-RO"/>
        </w:rPr>
      </w:pPr>
      <w:r w:rsidRPr="00D70AEA">
        <w:rPr>
          <w:rFonts w:ascii="Arial" w:eastAsia="Times New Roman" w:hAnsi="Arial" w:cs="Arial"/>
          <w:lang w:val="en-GB" w:eastAsia="ro-RO"/>
        </w:rPr>
        <w:t>Economii prospere</w:t>
      </w:r>
    </w:p>
    <w:p w14:paraId="21D02BBA" w14:textId="77777777" w:rsidR="00D70AEA" w:rsidRPr="00D70AEA" w:rsidRDefault="00D70AEA" w:rsidP="00D70AEA">
      <w:pPr>
        <w:spacing w:after="0"/>
        <w:jc w:val="both"/>
        <w:rPr>
          <w:rFonts w:ascii="Arial" w:eastAsia="Calibri" w:hAnsi="Arial" w:cs="Arial"/>
        </w:rPr>
      </w:pPr>
    </w:p>
    <w:p w14:paraId="4A2A52CA" w14:textId="03551BDF" w:rsidR="00D70AEA" w:rsidRPr="00D70AEA" w:rsidRDefault="00D70AEA" w:rsidP="00D70AEA">
      <w:pPr>
        <w:spacing w:after="0"/>
        <w:jc w:val="both"/>
        <w:rPr>
          <w:rFonts w:ascii="Arial" w:eastAsia="Calibri" w:hAnsi="Arial" w:cs="Arial"/>
        </w:rPr>
      </w:pPr>
      <w:r w:rsidRPr="00D70AEA">
        <w:rPr>
          <w:rFonts w:ascii="Arial" w:eastAsia="Calibri" w:hAnsi="Arial" w:cs="Arial"/>
        </w:rPr>
        <w:lastRenderedPageBreak/>
        <w:t xml:space="preserve">La nivel </w:t>
      </w:r>
      <w:r w:rsidRPr="00D70AEA">
        <w:rPr>
          <w:rFonts w:ascii="Arial" w:eastAsia="Calibri" w:hAnsi="Arial" w:cs="Arial"/>
          <w:b/>
        </w:rPr>
        <w:t xml:space="preserve">European, </w:t>
      </w:r>
      <w:r w:rsidRPr="00D70AEA">
        <w:rPr>
          <w:rFonts w:ascii="Arial" w:eastAsia="Calibri" w:hAnsi="Arial" w:cs="Arial"/>
        </w:rPr>
        <w:t xml:space="preserve">Comisia Europeană a prezentat în 22 noiembrie 2016 </w:t>
      </w:r>
      <w:r w:rsidRPr="00D70AEA">
        <w:rPr>
          <w:rFonts w:ascii="Arial" w:eastAsia="Calibri" w:hAnsi="Arial" w:cs="Arial"/>
          <w:b/>
          <w:i/>
        </w:rPr>
        <w:t>Comunicarea „Pașii următori pentru un viitor european durabil”</w:t>
      </w:r>
      <w:r w:rsidR="00B646E2">
        <w:rPr>
          <w:rStyle w:val="Referinnotdesubsol"/>
          <w:rFonts w:ascii="Arial" w:eastAsia="Calibri" w:hAnsi="Arial" w:cs="Arial"/>
          <w:b/>
          <w:i/>
        </w:rPr>
        <w:footnoteReference w:id="18"/>
      </w:r>
      <w:r w:rsidRPr="00D70AEA">
        <w:rPr>
          <w:rFonts w:ascii="Arial" w:eastAsia="Calibri" w:hAnsi="Arial" w:cs="Arial"/>
        </w:rPr>
        <w:t xml:space="preserve"> ca răspuns la Agenda 2030 și confirmă integrarea obiectivelor de dezvoltare durabilă în cadrul politicii europene și în prioritățile actuale ale Comisiei Europene, evaluarea situației și identificarea celor mai relevante preocupări privind durabilitatea. Prin această comunicare, Uniunea Europeană s-a angajat în favoarea unei dezvoltări durabile prin care „să asigure o viață demnă pentru toți respectând limitele planetei, care să reunească prosperitatea și eficiența economică, societăți pașnice, incluziunea socială și responsabilitatea față de mediu”.</w:t>
      </w:r>
    </w:p>
    <w:p w14:paraId="54B6EF84" w14:textId="77777777" w:rsidR="00D70AEA" w:rsidRPr="00D70AEA" w:rsidRDefault="00D70AEA" w:rsidP="00D70AEA">
      <w:pPr>
        <w:spacing w:after="0"/>
        <w:jc w:val="both"/>
        <w:rPr>
          <w:rFonts w:ascii="Arial" w:eastAsia="Calibri" w:hAnsi="Arial" w:cs="Arial"/>
        </w:rPr>
      </w:pPr>
    </w:p>
    <w:p w14:paraId="090F7685" w14:textId="492B8E63" w:rsidR="00D70AEA" w:rsidRPr="00D70AEA" w:rsidRDefault="00D70AEA" w:rsidP="00D70AEA">
      <w:pPr>
        <w:spacing w:line="276" w:lineRule="auto"/>
        <w:jc w:val="both"/>
        <w:rPr>
          <w:rFonts w:ascii="Arial" w:eastAsia="Calibri" w:hAnsi="Arial" w:cs="Arial"/>
        </w:rPr>
      </w:pPr>
      <w:r w:rsidRPr="00D70AEA">
        <w:rPr>
          <w:rFonts w:ascii="Arial" w:eastAsia="Calibri" w:hAnsi="Arial" w:cs="Arial"/>
        </w:rPr>
        <w:t xml:space="preserve">Comisia integrează dezvoltarea durabilă în proiectele transversale majore, precum și în politicile și inițiativele sectoriale. </w:t>
      </w:r>
      <w:r w:rsidR="008210AB">
        <w:rPr>
          <w:rFonts w:ascii="Arial" w:eastAsia="Calibri" w:hAnsi="Arial" w:cs="Arial"/>
        </w:rPr>
        <w:t>D</w:t>
      </w:r>
      <w:r w:rsidRPr="00D70AEA">
        <w:rPr>
          <w:rFonts w:ascii="Arial" w:eastAsia="Calibri" w:hAnsi="Arial" w:cs="Arial"/>
        </w:rPr>
        <w:t>ezvoltarea durabilă a fost integrată în Strategia Europa 2020, confirmată de actuala Comisie și fondată pe educație și inovare („inteligentă”), pe emisii reduse de dioxid de carbon, pe rezistența la schimbările climatice și pe impactul asupra mediului („durabilă”), precum și pe crearea de locuri de muncă și pe reducerea sărăciei („favorabilă incluziunii”).</w:t>
      </w:r>
    </w:p>
    <w:p w14:paraId="31427E72" w14:textId="77777777" w:rsidR="00D70AEA" w:rsidRPr="00D70AEA" w:rsidRDefault="00D70AEA" w:rsidP="00D70AEA">
      <w:pPr>
        <w:spacing w:line="276" w:lineRule="auto"/>
        <w:jc w:val="both"/>
        <w:rPr>
          <w:rFonts w:ascii="Arial" w:eastAsia="Calibri" w:hAnsi="Arial" w:cs="Arial"/>
        </w:rPr>
      </w:pPr>
      <w:r w:rsidRPr="00D70AEA">
        <w:rPr>
          <w:rFonts w:ascii="Arial" w:eastAsia="Calibri" w:hAnsi="Arial" w:cs="Arial"/>
        </w:rPr>
        <w:t>În ce priveşte ODD 13 – Schimbările climatice, strategia privind mobilitatea cu emisii reduse de dioxid de carbon contribuie la realizarea unui sistem de transport competitiv și eficient din punct de vedere al resurselor. UE a stabilit la acea vreme un obiectiv ambițios la nivelul întregii economii de reducere cu cel puțin 40% a emisiilor de gaze cu efect de seră, până în 2030.</w:t>
      </w:r>
    </w:p>
    <w:p w14:paraId="5EF9A2BF" w14:textId="06FBE4D8" w:rsidR="00D70AEA" w:rsidRPr="00D70AEA" w:rsidRDefault="00D70AEA" w:rsidP="00D70AEA">
      <w:pPr>
        <w:jc w:val="both"/>
        <w:rPr>
          <w:rFonts w:ascii="Arial" w:eastAsia="Times New Roman" w:hAnsi="Arial" w:cs="Arial"/>
          <w:lang w:val="ro-RO" w:eastAsia="ro-RO"/>
        </w:rPr>
      </w:pPr>
      <w:r w:rsidRPr="00D70AEA">
        <w:rPr>
          <w:rFonts w:ascii="Arial" w:eastAsia="Times New Roman" w:hAnsi="Arial" w:cs="Arial"/>
          <w:lang w:val="ro-RO" w:eastAsia="ro-RO"/>
        </w:rPr>
        <w:t>În ianuarie 2019, Comisia a publicat, în cadrul dezbaterilor pe tema „viitorul Europei”, un document de reflecție intitulat „</w:t>
      </w:r>
      <w:r w:rsidRPr="00D70AEA">
        <w:rPr>
          <w:rFonts w:ascii="Arial" w:eastAsia="Times New Roman" w:hAnsi="Arial" w:cs="Arial"/>
          <w:b/>
          <w:i/>
          <w:lang w:val="ro-RO" w:eastAsia="ro-RO"/>
        </w:rPr>
        <w:t>Către o Europă durabilă până în 2030</w:t>
      </w:r>
      <w:r w:rsidRPr="00D70AEA">
        <w:rPr>
          <w:rFonts w:ascii="Arial" w:eastAsia="Times New Roman" w:hAnsi="Arial" w:cs="Arial"/>
          <w:lang w:val="ro-RO" w:eastAsia="ro-RO"/>
        </w:rPr>
        <w:t>”</w:t>
      </w:r>
      <w:r w:rsidR="008210AB">
        <w:rPr>
          <w:rStyle w:val="Referinnotdesubsol"/>
          <w:rFonts w:ascii="Arial" w:eastAsia="Times New Roman" w:hAnsi="Arial" w:cs="Arial"/>
          <w:lang w:val="ro-RO" w:eastAsia="ro-RO"/>
        </w:rPr>
        <w:footnoteReference w:id="19"/>
      </w:r>
      <w:r w:rsidRPr="00D70AEA">
        <w:rPr>
          <w:rFonts w:ascii="Arial" w:eastAsia="Times New Roman" w:hAnsi="Arial" w:cs="Arial"/>
          <w:lang w:val="ro-RO" w:eastAsia="ro-RO"/>
        </w:rPr>
        <w:t xml:space="preserve">. UE are toate atuurile pentru a-și îmbunătăți competitivitatea, pentru a investi în dezvoltarea durabilă, pentru a impulsiona guvernele, instituțiile și cetățenii și pentru a deveni un model pentru restul lumii. Având ca punct de reper obiectivele de dezvoltare durabilă (ODD) ale ONU, documentul de reflecție identifică elementele-cheie pentru tranziția către durabilitate. </w:t>
      </w:r>
    </w:p>
    <w:p w14:paraId="29E5503B"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În domeniul dezvoltării durabile, UE se află într-o poziție avansată fiind hotărâtă ca, alături de statele sale membre, să fie printre primii actori care pun în aplicare Agenda 2030 a ONU. Cele 6 priorităţi ale Comisiei pentru 2019-2024 vizează:</w:t>
      </w:r>
    </w:p>
    <w:p w14:paraId="5D43AEEA" w14:textId="48EE7B72" w:rsidR="00D70AEA" w:rsidRPr="00D70AEA" w:rsidRDefault="00D70AEA" w:rsidP="006B613A">
      <w:pPr>
        <w:numPr>
          <w:ilvl w:val="0"/>
          <w:numId w:val="2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 xml:space="preserve">Pactul </w:t>
      </w:r>
      <w:r w:rsidR="00D64CC5">
        <w:rPr>
          <w:rFonts w:ascii="Arial" w:eastAsia="Times New Roman" w:hAnsi="Arial" w:cs="Arial"/>
          <w:lang w:val="ro-RO" w:eastAsia="ro-RO"/>
        </w:rPr>
        <w:t>E</w:t>
      </w:r>
      <w:r w:rsidRPr="00D70AEA">
        <w:rPr>
          <w:rFonts w:ascii="Arial" w:eastAsia="Times New Roman" w:hAnsi="Arial" w:cs="Arial"/>
          <w:lang w:val="ro-RO" w:eastAsia="ro-RO"/>
        </w:rPr>
        <w:t xml:space="preserve">cologic </w:t>
      </w:r>
      <w:r w:rsidR="00D64CC5">
        <w:rPr>
          <w:rFonts w:ascii="Arial" w:eastAsia="Times New Roman" w:hAnsi="Arial" w:cs="Arial"/>
          <w:lang w:val="ro-RO" w:eastAsia="ro-RO"/>
        </w:rPr>
        <w:t>E</w:t>
      </w:r>
      <w:r w:rsidRPr="00D70AEA">
        <w:rPr>
          <w:rFonts w:ascii="Arial" w:eastAsia="Times New Roman" w:hAnsi="Arial" w:cs="Arial"/>
          <w:lang w:val="ro-RO" w:eastAsia="ro-RO"/>
        </w:rPr>
        <w:t>uropean</w:t>
      </w:r>
      <w:r w:rsidR="00361646">
        <w:rPr>
          <w:rFonts w:ascii="Arial" w:eastAsia="Times New Roman" w:hAnsi="Arial" w:cs="Arial"/>
          <w:lang w:val="ro-RO" w:eastAsia="ro-RO"/>
        </w:rPr>
        <w:t xml:space="preserve"> (EU Green Deal)</w:t>
      </w:r>
      <w:r w:rsidR="00332115">
        <w:rPr>
          <w:rStyle w:val="Referinnotdesubsol"/>
          <w:rFonts w:ascii="Arial" w:eastAsia="Times New Roman" w:hAnsi="Arial" w:cs="Arial"/>
          <w:lang w:val="ro-RO" w:eastAsia="ro-RO"/>
        </w:rPr>
        <w:footnoteReference w:id="20"/>
      </w:r>
      <w:r w:rsidRPr="00D70AEA">
        <w:rPr>
          <w:rFonts w:ascii="Arial" w:eastAsia="Times New Roman" w:hAnsi="Arial" w:cs="Arial"/>
          <w:lang w:val="ro-RO" w:eastAsia="ro-RO"/>
        </w:rPr>
        <w:t xml:space="preserve"> – se urmăreşte reducerea emisiilor cu cel puţin 50% până în 2030</w:t>
      </w:r>
    </w:p>
    <w:p w14:paraId="089A2BCA" w14:textId="77777777" w:rsidR="00D70AEA" w:rsidRPr="00D70AEA" w:rsidRDefault="008A445A" w:rsidP="006B613A">
      <w:pPr>
        <w:numPr>
          <w:ilvl w:val="0"/>
          <w:numId w:val="23"/>
        </w:numPr>
        <w:spacing w:after="0" w:line="276" w:lineRule="auto"/>
        <w:ind w:right="20"/>
        <w:contextualSpacing/>
        <w:jc w:val="both"/>
        <w:rPr>
          <w:rFonts w:ascii="Arial" w:eastAsia="Times New Roman" w:hAnsi="Arial" w:cs="Arial"/>
          <w:lang w:val="ro-RO" w:eastAsia="ro-RO"/>
        </w:rPr>
      </w:pPr>
      <w:r>
        <w:rPr>
          <w:rFonts w:ascii="Arial" w:eastAsia="Times New Roman" w:hAnsi="Arial" w:cs="Arial"/>
          <w:lang w:val="ro-RO" w:eastAsia="ro-RO"/>
        </w:rPr>
        <w:t xml:space="preserve">O </w:t>
      </w:r>
      <w:r w:rsidR="00D70AEA" w:rsidRPr="00D70AEA">
        <w:rPr>
          <w:rFonts w:ascii="Arial" w:eastAsia="Times New Roman" w:hAnsi="Arial" w:cs="Arial"/>
          <w:lang w:val="ro-RO" w:eastAsia="ro-RO"/>
        </w:rPr>
        <w:t>Europă pregătită pentru era digitală</w:t>
      </w:r>
    </w:p>
    <w:p w14:paraId="1D8EA3A0" w14:textId="77777777" w:rsidR="00D70AEA" w:rsidRPr="00D70AEA" w:rsidRDefault="00D70AEA" w:rsidP="006B613A">
      <w:pPr>
        <w:numPr>
          <w:ilvl w:val="0"/>
          <w:numId w:val="2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Economie în interesul cetăţenilor</w:t>
      </w:r>
    </w:p>
    <w:p w14:paraId="0427F04B" w14:textId="77777777" w:rsidR="00D70AEA" w:rsidRPr="00D70AEA" w:rsidRDefault="008A445A" w:rsidP="006B613A">
      <w:pPr>
        <w:numPr>
          <w:ilvl w:val="0"/>
          <w:numId w:val="23"/>
        </w:numPr>
        <w:spacing w:after="0" w:line="276" w:lineRule="auto"/>
        <w:ind w:right="20"/>
        <w:contextualSpacing/>
        <w:jc w:val="both"/>
        <w:rPr>
          <w:rFonts w:ascii="Arial" w:eastAsia="Times New Roman" w:hAnsi="Arial" w:cs="Arial"/>
          <w:lang w:val="ro-RO" w:eastAsia="ro-RO"/>
        </w:rPr>
      </w:pPr>
      <w:r>
        <w:rPr>
          <w:rFonts w:ascii="Arial" w:eastAsia="Times New Roman" w:hAnsi="Arial" w:cs="Arial"/>
          <w:lang w:val="ro-RO" w:eastAsia="ro-RO"/>
        </w:rPr>
        <w:t xml:space="preserve">O </w:t>
      </w:r>
      <w:r w:rsidR="00D70AEA" w:rsidRPr="00D70AEA">
        <w:rPr>
          <w:rFonts w:ascii="Arial" w:eastAsia="Times New Roman" w:hAnsi="Arial" w:cs="Arial"/>
          <w:lang w:val="ro-RO" w:eastAsia="ro-RO"/>
        </w:rPr>
        <w:t>Europă mai puternică pe scena internaţională</w:t>
      </w:r>
    </w:p>
    <w:p w14:paraId="0B3A2572" w14:textId="77777777" w:rsidR="00D70AEA" w:rsidRPr="00D70AEA" w:rsidRDefault="00D70AEA" w:rsidP="006B613A">
      <w:pPr>
        <w:numPr>
          <w:ilvl w:val="0"/>
          <w:numId w:val="2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Promovarea modului nostru de viaţă european</w:t>
      </w:r>
    </w:p>
    <w:p w14:paraId="50BB42BB" w14:textId="77777777" w:rsidR="00D70AEA" w:rsidRPr="00D70AEA" w:rsidRDefault="00D70AEA" w:rsidP="006B613A">
      <w:pPr>
        <w:numPr>
          <w:ilvl w:val="0"/>
          <w:numId w:val="2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Un nou elan pentru democraţia europeană</w:t>
      </w:r>
    </w:p>
    <w:p w14:paraId="3AFBE23D"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Măsurile propuse în cadrul </w:t>
      </w:r>
      <w:r w:rsidR="00E40230">
        <w:rPr>
          <w:rFonts w:ascii="Arial" w:eastAsia="Times New Roman" w:hAnsi="Arial" w:cs="Arial"/>
          <w:lang w:val="ro-RO" w:eastAsia="ro-RO"/>
        </w:rPr>
        <w:t>întocmirii PMUD al oraşului Horezu</w:t>
      </w:r>
      <w:r w:rsidRPr="00D70AEA">
        <w:rPr>
          <w:rFonts w:ascii="Arial" w:eastAsia="Times New Roman" w:hAnsi="Arial" w:cs="Arial"/>
          <w:lang w:val="ro-RO" w:eastAsia="ro-RO"/>
        </w:rPr>
        <w:t xml:space="preserve"> vor contribui la reducerea poluării (protecţia mediului), în concordanţă cu priorităţile CE.</w:t>
      </w:r>
    </w:p>
    <w:p w14:paraId="6C2323FC"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În documentul strategic </w:t>
      </w:r>
      <w:r w:rsidRPr="00D70AEA">
        <w:rPr>
          <w:rFonts w:ascii="Arial" w:eastAsia="Times New Roman" w:hAnsi="Arial" w:cs="Arial"/>
          <w:bCs/>
          <w:i/>
          <w:lang w:val="ro-RO" w:eastAsia="ro-RO"/>
        </w:rPr>
        <w:t>Cartea Albă - Foaie de parcurs pentru un spațiu european unic al transporturilor – Către un sistem de transport competitiv și eficient din punct de vedere al resurselor din 2011</w:t>
      </w:r>
      <w:r w:rsidRPr="00D70AEA">
        <w:rPr>
          <w:rFonts w:ascii="Arial" w:eastAsia="Times New Roman" w:hAnsi="Arial" w:cs="Arial"/>
          <w:b/>
          <w:i/>
          <w:lang w:val="ro-RO" w:eastAsia="ro-RO"/>
        </w:rPr>
        <w:t xml:space="preserve"> </w:t>
      </w:r>
      <w:r w:rsidRPr="00D70AEA">
        <w:rPr>
          <w:rFonts w:ascii="Arial" w:eastAsia="Times New Roman" w:hAnsi="Arial" w:cs="Arial"/>
          <w:lang w:val="ro-RO" w:eastAsia="ro-RO"/>
        </w:rPr>
        <w:t xml:space="preserve">este subliniată importanţa fundamentală a transportului şi mobilităţii în societatea actuală şi necesitatea ca transporturile să fie sustenabile pentru că permite creşterea economică şi crearea de locuri de muncă. PMUD </w:t>
      </w:r>
      <w:r w:rsidR="004B211F">
        <w:rPr>
          <w:rFonts w:ascii="Arial" w:eastAsia="Times New Roman" w:hAnsi="Arial" w:cs="Arial"/>
          <w:lang w:val="ro-RO" w:eastAsia="ro-RO"/>
        </w:rPr>
        <w:t>al oraşului Horezu</w:t>
      </w:r>
      <w:r w:rsidRPr="00D70AEA">
        <w:rPr>
          <w:rFonts w:ascii="Arial" w:eastAsia="Times New Roman" w:hAnsi="Arial" w:cs="Arial"/>
          <w:lang w:val="ro-RO" w:eastAsia="ro-RO"/>
        </w:rPr>
        <w:t xml:space="preserve">, prin lista de proiecte </w:t>
      </w:r>
      <w:r w:rsidR="004B211F">
        <w:rPr>
          <w:rFonts w:ascii="Arial" w:eastAsia="Times New Roman" w:hAnsi="Arial" w:cs="Arial"/>
          <w:lang w:val="ro-RO" w:eastAsia="ro-RO"/>
        </w:rPr>
        <w:t>urmăreşte</w:t>
      </w:r>
      <w:r w:rsidRPr="00D70AEA">
        <w:rPr>
          <w:rFonts w:ascii="Arial" w:eastAsia="Times New Roman" w:hAnsi="Arial" w:cs="Arial"/>
          <w:lang w:val="ro-RO" w:eastAsia="ro-RO"/>
        </w:rPr>
        <w:t xml:space="preserve"> realizarea unor faciltăţi intermodale şi la îmbunătăţirea mobilităţii şi reducerea poluării.</w:t>
      </w:r>
    </w:p>
    <w:p w14:paraId="1B2874FB" w14:textId="77777777" w:rsidR="00D70AEA" w:rsidRPr="00D70AEA" w:rsidRDefault="00D70AEA" w:rsidP="00D70AEA">
      <w:pPr>
        <w:spacing w:after="0" w:line="276" w:lineRule="auto"/>
        <w:ind w:right="20"/>
        <w:jc w:val="both"/>
        <w:rPr>
          <w:rFonts w:ascii="Arial" w:eastAsia="Times New Roman" w:hAnsi="Arial" w:cs="Arial"/>
          <w:lang w:val="ro-RO" w:eastAsia="ro-RO"/>
        </w:rPr>
      </w:pPr>
    </w:p>
    <w:p w14:paraId="7A1C9387"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b/>
          <w:lang w:val="ro-RO" w:eastAsia="ro-RO"/>
        </w:rPr>
        <w:lastRenderedPageBreak/>
        <w:t>În iulie 2020</w:t>
      </w:r>
      <w:r w:rsidRPr="00D70AEA">
        <w:rPr>
          <w:rFonts w:ascii="Arial" w:eastAsia="Times New Roman" w:hAnsi="Arial" w:cs="Arial"/>
          <w:lang w:val="ro-RO" w:eastAsia="ro-RO"/>
        </w:rPr>
        <w:t>, Comisia Europeană lansată o consultare publică privind viitorul transporturilor și modul în care UE poate ajuta acest sector să devină mai sustenabil și mai competitiv, oferind părților interesate și cetățenilor posibilitatea de a-și exprima opiniile și de a-și identifica prioritățile cu privire la transporturi şi mobilitate. În contextul în care transporturile și mobilitatea joacă un rol esențial în viața de zi cu zi a cetățenilor și a companiilor, politica europeană în domeniul transporturilor este concepută pentru a răspunde nevoilor acestora, pentru a combate schimbările climatice și a profita de avantajele digitalizării. Pentru a atinge aceste obiective multiple, Comisia Europeană a elaborat o strategie cuprinzătoare pentru o mobilitate inteligentă și durabilă. Strategia a fost anunțată în cadrul Pactului Verde European. Aceasta va înlocui Cartea albă privind transporturile din 2011, care stabilea obiectivele Comisiei Europene în domeniul transporturilor.</w:t>
      </w:r>
    </w:p>
    <w:p w14:paraId="355493C9" w14:textId="77777777" w:rsidR="00D70AEA" w:rsidRDefault="00D70AEA" w:rsidP="00D70AEA">
      <w:pPr>
        <w:spacing w:after="0" w:line="276" w:lineRule="auto"/>
        <w:ind w:right="20"/>
        <w:jc w:val="both"/>
        <w:rPr>
          <w:rFonts w:ascii="Arial" w:eastAsia="Times New Roman" w:hAnsi="Arial" w:cs="Arial"/>
          <w:lang w:val="ro-RO" w:eastAsia="ro-RO"/>
        </w:rPr>
      </w:pPr>
    </w:p>
    <w:p w14:paraId="08B655AC" w14:textId="3E818544" w:rsidR="00244DED" w:rsidRPr="00D70AEA" w:rsidRDefault="00244DED" w:rsidP="00244DED">
      <w:pPr>
        <w:spacing w:after="0" w:line="276" w:lineRule="auto"/>
        <w:ind w:right="20"/>
        <w:jc w:val="both"/>
        <w:rPr>
          <w:rFonts w:ascii="Arial" w:eastAsia="Times New Roman" w:hAnsi="Arial" w:cs="Arial"/>
          <w:lang w:val="ro-RO" w:eastAsia="ro-RO"/>
        </w:rPr>
      </w:pPr>
      <w:r>
        <w:rPr>
          <w:rFonts w:ascii="Arial" w:eastAsia="Times New Roman" w:hAnsi="Arial" w:cs="Arial"/>
          <w:lang w:val="ro-RO" w:eastAsia="ro-RO"/>
        </w:rPr>
        <w:t xml:space="preserve">Din decembrie 2020, statele membre ale Uniunii Europene au la dispoziţie un nou document strategic care ghidează modul în care mobilitatea trebuie să fie dezvoltată la nivel european, acesta luând în considerare contextul pandemiei Covid-19 şi noile necesităţi în materie de mobilitate conturate odată cu apariţia acesteia - </w:t>
      </w:r>
      <w:r w:rsidRPr="00D70AEA">
        <w:rPr>
          <w:rFonts w:ascii="Arial" w:eastAsia="Times New Roman" w:hAnsi="Arial" w:cs="Arial"/>
          <w:b/>
          <w:lang w:val="ro-RO" w:eastAsia="ro-RO"/>
        </w:rPr>
        <w:t xml:space="preserve">Strategia </w:t>
      </w:r>
      <w:r>
        <w:rPr>
          <w:rFonts w:ascii="Arial" w:eastAsia="Times New Roman" w:hAnsi="Arial" w:cs="Arial"/>
          <w:b/>
          <w:lang w:val="ro-RO" w:eastAsia="ro-RO"/>
        </w:rPr>
        <w:t>pentru o mobilitate i</w:t>
      </w:r>
      <w:r w:rsidRPr="00D70AEA">
        <w:rPr>
          <w:rFonts w:ascii="Arial" w:eastAsia="Times New Roman" w:hAnsi="Arial" w:cs="Arial"/>
          <w:b/>
          <w:lang w:val="ro-RO" w:eastAsia="ro-RO"/>
        </w:rPr>
        <w:t xml:space="preserve">nteligentă şi </w:t>
      </w:r>
      <w:r>
        <w:rPr>
          <w:rFonts w:ascii="Arial" w:eastAsia="Times New Roman" w:hAnsi="Arial" w:cs="Arial"/>
          <w:b/>
          <w:lang w:val="ro-RO" w:eastAsia="ro-RO"/>
        </w:rPr>
        <w:t>d</w:t>
      </w:r>
      <w:r w:rsidRPr="00D70AEA">
        <w:rPr>
          <w:rFonts w:ascii="Arial" w:eastAsia="Times New Roman" w:hAnsi="Arial" w:cs="Arial"/>
          <w:b/>
          <w:lang w:val="ro-RO" w:eastAsia="ro-RO"/>
        </w:rPr>
        <w:t>urabilă</w:t>
      </w:r>
      <w:r w:rsidR="00332115">
        <w:rPr>
          <w:rStyle w:val="Referinnotdesubsol"/>
          <w:rFonts w:ascii="Arial" w:eastAsia="Times New Roman" w:hAnsi="Arial" w:cs="Arial"/>
          <w:b/>
          <w:lang w:val="ro-RO" w:eastAsia="ro-RO"/>
        </w:rPr>
        <w:footnoteReference w:id="21"/>
      </w:r>
      <w:r>
        <w:rPr>
          <w:rFonts w:ascii="Arial" w:eastAsia="Times New Roman" w:hAnsi="Arial" w:cs="Arial"/>
          <w:b/>
          <w:lang w:val="ro-RO" w:eastAsia="ro-RO"/>
        </w:rPr>
        <w:t xml:space="preserve">. </w:t>
      </w:r>
      <w:r>
        <w:rPr>
          <w:rFonts w:ascii="Arial" w:eastAsia="Times New Roman" w:hAnsi="Arial" w:cs="Arial"/>
          <w:lang w:val="ro-RO" w:eastAsia="ro-RO"/>
        </w:rPr>
        <w:t>Strategia</w:t>
      </w:r>
      <w:r w:rsidRPr="00D70AEA">
        <w:rPr>
          <w:rFonts w:ascii="Arial" w:eastAsia="Times New Roman" w:hAnsi="Arial" w:cs="Arial"/>
          <w:b/>
          <w:lang w:val="ro-RO" w:eastAsia="ro-RO"/>
        </w:rPr>
        <w:t xml:space="preserve"> </w:t>
      </w:r>
      <w:r w:rsidRPr="00D70AEA">
        <w:rPr>
          <w:rFonts w:ascii="Arial" w:eastAsia="Times New Roman" w:hAnsi="Arial" w:cs="Arial"/>
          <w:lang w:val="ro-RO" w:eastAsia="ro-RO"/>
        </w:rPr>
        <w:t>stabileşte acţiunile nece</w:t>
      </w:r>
      <w:r>
        <w:rPr>
          <w:rFonts w:ascii="Arial" w:eastAsia="Times New Roman" w:hAnsi="Arial" w:cs="Arial"/>
          <w:lang w:val="ro-RO" w:eastAsia="ro-RO"/>
        </w:rPr>
        <w:t>sare pentru a se asigura că fie</w:t>
      </w:r>
      <w:r w:rsidRPr="00D70AEA">
        <w:rPr>
          <w:rFonts w:ascii="Arial" w:eastAsia="Times New Roman" w:hAnsi="Arial" w:cs="Arial"/>
          <w:lang w:val="ro-RO" w:eastAsia="ro-RO"/>
        </w:rPr>
        <w:t>care mod de transport joacă un rol în furnizarea Pactului Verde European, că mobilitatea inteligentă permite conectivitatea fără probleme, sigură şi eficientă şi că un Spaţiu Unic de Transport European mai rezistent, furnizează conectivitate pentru toţi locuitorii UE.</w:t>
      </w:r>
    </w:p>
    <w:p w14:paraId="56015E2E" w14:textId="77777777" w:rsidR="00244DED" w:rsidRPr="00D70AEA" w:rsidRDefault="00244DED" w:rsidP="00244DED">
      <w:pPr>
        <w:spacing w:after="0" w:line="276" w:lineRule="auto"/>
        <w:ind w:right="20"/>
        <w:jc w:val="both"/>
        <w:rPr>
          <w:rFonts w:ascii="Arial" w:eastAsia="Times New Roman" w:hAnsi="Arial" w:cs="Arial"/>
          <w:lang w:val="ro-RO" w:eastAsia="ro-RO"/>
        </w:rPr>
      </w:pPr>
    </w:p>
    <w:p w14:paraId="0D86FB7B" w14:textId="77777777" w:rsidR="00244DED" w:rsidRPr="00D70AEA" w:rsidRDefault="00244DED" w:rsidP="00244DED">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Strategia subliniază că serviciile și infrastructura de transport durabile, inteligente și rezistente sunt vitale pentru utilizarea pe deplin a punctelor tari ale tuturor regiunilor Uniunii Europene, pentru a susține piața unică, revenirea din criza actuală, pentru a stimula creşterea viitoare, pentru a permite coeziunea teritorială, economică şi socială în condiţiile protecţiei mediului şi sănătăţii locuitorilor. Sistemul de transport al UE oferă securitate şi mobilitate sigură pentru europeni. Sectorul transporturilor din UE-27 angajează mai mult peste 10 milioane de lucrători și cuprinde aproximativ 1,1 milioane de întreprinderi, furnizând servicii pentru oameni și întreprinderi din UE și la nivel global. Mobilitatea este un aspect critic al incluziunii sociale și un factor determinant important al bunăstarea umană, în special pentru grupurile defavorizate.</w:t>
      </w:r>
    </w:p>
    <w:p w14:paraId="0E6A5F53" w14:textId="77777777" w:rsidR="00244DED" w:rsidRPr="00D70AEA" w:rsidRDefault="00244DED" w:rsidP="00244DED">
      <w:pPr>
        <w:spacing w:after="0" w:line="276" w:lineRule="auto"/>
        <w:ind w:right="20"/>
        <w:jc w:val="both"/>
        <w:rPr>
          <w:rFonts w:ascii="Arial" w:eastAsia="Times New Roman" w:hAnsi="Arial" w:cs="Arial"/>
          <w:lang w:val="ro-RO" w:eastAsia="ro-RO"/>
        </w:rPr>
      </w:pPr>
    </w:p>
    <w:p w14:paraId="21D7AB20" w14:textId="77777777" w:rsidR="00244DED" w:rsidRPr="00D70AEA" w:rsidRDefault="00244DED" w:rsidP="00244DED">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Abordarea crizei climatice și de mediu ce reprezintă  o provocare actuală este o oportunitate de a relansa economiile europene într-un mod durabil. Aceasta necesită o acțiune urgentă și susținută a tuturor actorilor din societatea noastră pentru a păstra sănătatea, prosperitatea și bunăstarea oamenilor din Europa și din întreaga lume. Răspunzând acestei provocări, Pactul Verde European a stabilit un nivel ridicat al obiectivului de neutralitate climatică până în 2050. Este, de asemenea, strategia de creștere a Europei, care își propune să transforme UE într-o societate corectă și prosperă, cu resurse economie eficientă și competitivă. Răspunsul economic la pandemia Covid-19 a oferit o oportunitate unică de a accelera tranziția verde, astfel cum se precizează în Strategie.</w:t>
      </w:r>
    </w:p>
    <w:p w14:paraId="69CCB866" w14:textId="77777777" w:rsidR="000F449F" w:rsidRDefault="000F449F" w:rsidP="00244DED">
      <w:pPr>
        <w:spacing w:after="0" w:line="276" w:lineRule="auto"/>
        <w:ind w:right="20"/>
        <w:jc w:val="both"/>
        <w:rPr>
          <w:rFonts w:ascii="Arial" w:eastAsia="Times New Roman" w:hAnsi="Arial" w:cs="Arial"/>
          <w:lang w:val="ro-RO" w:eastAsia="ro-RO"/>
        </w:rPr>
      </w:pPr>
    </w:p>
    <w:p w14:paraId="6DCB0FB9" w14:textId="77777777" w:rsidR="00244DED" w:rsidRPr="00D70AEA" w:rsidRDefault="00244DED" w:rsidP="00244DED">
      <w:pPr>
        <w:spacing w:after="0" w:line="276" w:lineRule="auto"/>
        <w:ind w:right="20"/>
        <w:jc w:val="both"/>
        <w:rPr>
          <w:rFonts w:ascii="Arial" w:eastAsia="Times New Roman" w:hAnsi="Arial" w:cs="Arial"/>
          <w:lang w:val="ro-RO" w:eastAsia="ro-RO"/>
        </w:rPr>
      </w:pPr>
      <w:r>
        <w:rPr>
          <w:rFonts w:ascii="Arial" w:eastAsia="Times New Roman" w:hAnsi="Arial" w:cs="Arial"/>
          <w:lang w:val="ro-RO" w:eastAsia="ro-RO"/>
        </w:rPr>
        <w:t>Strategia se bazează pe 3 obiective cheie, respectiv sustenabilitate, inteligenţă şi rezilienţă, urmărind prevederile Pactului Verde European de a reduce cu 90% emisiile cu efect de seră rezultate din transport până în anul 2050.</w:t>
      </w:r>
    </w:p>
    <w:p w14:paraId="222710EA" w14:textId="77777777" w:rsidR="00244DED" w:rsidRPr="00D70AEA" w:rsidRDefault="00244DED" w:rsidP="00244DED">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Strategia include diferite secţiuni cu privire la:</w:t>
      </w:r>
    </w:p>
    <w:p w14:paraId="4FC09947" w14:textId="77777777" w:rsidR="00244DED" w:rsidRPr="00D70AEA" w:rsidRDefault="00244DED" w:rsidP="006B613A">
      <w:pPr>
        <w:numPr>
          <w:ilvl w:val="0"/>
          <w:numId w:val="26"/>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Caracteristicile actuale ale transportului şi mobilităţii europene</w:t>
      </w:r>
    </w:p>
    <w:p w14:paraId="2AC52272" w14:textId="77777777" w:rsidR="00244DED" w:rsidRPr="00D70AEA" w:rsidRDefault="00244DED" w:rsidP="006B613A">
      <w:pPr>
        <w:numPr>
          <w:ilvl w:val="0"/>
          <w:numId w:val="28"/>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Identificarea decalajului de emisii de gaze cu efect de seră pentru transport</w:t>
      </w:r>
    </w:p>
    <w:p w14:paraId="67C7273C" w14:textId="77777777" w:rsidR="00244DED" w:rsidRPr="00D70AEA" w:rsidRDefault="00244DED" w:rsidP="006B613A">
      <w:pPr>
        <w:numPr>
          <w:ilvl w:val="0"/>
          <w:numId w:val="28"/>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lastRenderedPageBreak/>
        <w:t>Dezvoltări sub politicile curente</w:t>
      </w:r>
    </w:p>
    <w:p w14:paraId="5E390EFF" w14:textId="77777777" w:rsidR="00244DED" w:rsidRPr="00D70AEA" w:rsidRDefault="00244DED" w:rsidP="006B613A">
      <w:pPr>
        <w:numPr>
          <w:ilvl w:val="0"/>
          <w:numId w:val="28"/>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Tendinţe globale economice, sociale şi tehnologice</w:t>
      </w:r>
    </w:p>
    <w:p w14:paraId="4E01438C" w14:textId="77777777" w:rsidR="00244DED" w:rsidRPr="00D70AEA" w:rsidRDefault="00244DED" w:rsidP="006B613A">
      <w:pPr>
        <w:numPr>
          <w:ilvl w:val="0"/>
          <w:numId w:val="28"/>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Impactul pandemiei Covid-19 asupra sectorului transporturilor</w:t>
      </w:r>
    </w:p>
    <w:p w14:paraId="218935D1" w14:textId="77777777" w:rsidR="00244DED" w:rsidRPr="00D70AEA" w:rsidRDefault="00244DED" w:rsidP="006B613A">
      <w:pPr>
        <w:numPr>
          <w:ilvl w:val="0"/>
          <w:numId w:val="26"/>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Politicile cheie de dezvoltare din ultima decadă</w:t>
      </w:r>
    </w:p>
    <w:p w14:paraId="27E2523E" w14:textId="77777777" w:rsidR="00244DED" w:rsidRPr="00D70AEA" w:rsidRDefault="00244DED" w:rsidP="006B613A">
      <w:pPr>
        <w:numPr>
          <w:ilvl w:val="0"/>
          <w:numId w:val="2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Sustenabilitatea</w:t>
      </w:r>
    </w:p>
    <w:p w14:paraId="3079DAA8" w14:textId="77777777" w:rsidR="00244DED" w:rsidRPr="00D70AEA" w:rsidRDefault="00244DED" w:rsidP="006B613A">
      <w:pPr>
        <w:numPr>
          <w:ilvl w:val="0"/>
          <w:numId w:val="2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Digitalizarea</w:t>
      </w:r>
    </w:p>
    <w:p w14:paraId="4DC63978" w14:textId="77777777" w:rsidR="00244DED" w:rsidRPr="00D70AEA" w:rsidRDefault="00244DED" w:rsidP="006B613A">
      <w:pPr>
        <w:numPr>
          <w:ilvl w:val="0"/>
          <w:numId w:val="2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Piaţa Unică</w:t>
      </w:r>
    </w:p>
    <w:p w14:paraId="489793A6" w14:textId="77777777" w:rsidR="00244DED" w:rsidRPr="00D70AEA" w:rsidRDefault="00244DED" w:rsidP="006B613A">
      <w:pPr>
        <w:numPr>
          <w:ilvl w:val="0"/>
          <w:numId w:val="2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Siguranţă şi securitate</w:t>
      </w:r>
    </w:p>
    <w:p w14:paraId="7A082616" w14:textId="77777777" w:rsidR="00244DED" w:rsidRPr="00D70AEA" w:rsidRDefault="00244DED" w:rsidP="006B613A">
      <w:pPr>
        <w:numPr>
          <w:ilvl w:val="0"/>
          <w:numId w:val="2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Probleme sociale</w:t>
      </w:r>
    </w:p>
    <w:p w14:paraId="25AA1194" w14:textId="77777777" w:rsidR="00244DED" w:rsidRPr="00D70AEA" w:rsidRDefault="00244DED" w:rsidP="006B613A">
      <w:pPr>
        <w:numPr>
          <w:ilvl w:val="0"/>
          <w:numId w:val="2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Întărirea aquis-ului transportului UE</w:t>
      </w:r>
    </w:p>
    <w:p w14:paraId="087130B6" w14:textId="77777777" w:rsidR="00244DED" w:rsidRPr="00D70AEA" w:rsidRDefault="00244DED" w:rsidP="006B613A">
      <w:pPr>
        <w:numPr>
          <w:ilvl w:val="0"/>
          <w:numId w:val="26"/>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Provocări ale mobilităţii durabile, inteligente şi reziliente</w:t>
      </w:r>
    </w:p>
    <w:p w14:paraId="796676B4" w14:textId="77777777" w:rsidR="00244DED" w:rsidRPr="00D70AEA" w:rsidRDefault="00244DED" w:rsidP="006B613A">
      <w:pPr>
        <w:numPr>
          <w:ilvl w:val="0"/>
          <w:numId w:val="27"/>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Provocarea sustenabilităţii: Vehicule cu emisii reduse sau zero şi combustibili regenerabili şi cu emisii reduse de carbon</w:t>
      </w:r>
    </w:p>
    <w:p w14:paraId="6AE4C742" w14:textId="77777777" w:rsidR="00244DED" w:rsidRPr="00D70AEA" w:rsidRDefault="00244DED" w:rsidP="006B613A">
      <w:pPr>
        <w:numPr>
          <w:ilvl w:val="0"/>
          <w:numId w:val="30"/>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Porturi şi aeroporturi curate</w:t>
      </w:r>
    </w:p>
    <w:p w14:paraId="65BD1028" w14:textId="77777777" w:rsidR="00244DED" w:rsidRPr="00D70AEA" w:rsidRDefault="00244DED" w:rsidP="006B613A">
      <w:pPr>
        <w:numPr>
          <w:ilvl w:val="0"/>
          <w:numId w:val="30"/>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Mobilitate urbană durabilă: Reglementări privind accesul vehiculelor urbane, Pietonal, velo şi microbilitate, Logistică urbană</w:t>
      </w:r>
    </w:p>
    <w:p w14:paraId="2121BF00" w14:textId="77777777" w:rsidR="00244DED" w:rsidRPr="00D70AEA" w:rsidRDefault="00244DED" w:rsidP="006B613A">
      <w:pPr>
        <w:numPr>
          <w:ilvl w:val="0"/>
          <w:numId w:val="30"/>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Multimodalitate şi schimb modal: Îmbunătăţirea operaţiunilor de transport marfă multimodal, Transportul de marfă pe calea ferată, Căi navigabile interioare, Transport maritim scurt</w:t>
      </w:r>
    </w:p>
    <w:p w14:paraId="26A92F21" w14:textId="77777777" w:rsidR="00244DED" w:rsidRPr="00D70AEA" w:rsidRDefault="00244DED" w:rsidP="006B613A">
      <w:pPr>
        <w:numPr>
          <w:ilvl w:val="0"/>
          <w:numId w:val="30"/>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Încurajări mai bune pentru utilizatori: Preț și internalizare a costurilor externe, Informare mai bună a utilizatorilor</w:t>
      </w:r>
    </w:p>
    <w:p w14:paraId="4381CD72" w14:textId="77777777" w:rsidR="00244DED" w:rsidRPr="00D70AEA" w:rsidRDefault="00244DED" w:rsidP="006B613A">
      <w:pPr>
        <w:numPr>
          <w:ilvl w:val="0"/>
          <w:numId w:val="27"/>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Provocări ale digitalizării şi modernizării</w:t>
      </w:r>
    </w:p>
    <w:p w14:paraId="65B35AB0" w14:textId="77777777" w:rsidR="00244DED" w:rsidRPr="00D70AEA" w:rsidRDefault="00244DED" w:rsidP="006B613A">
      <w:pPr>
        <w:numPr>
          <w:ilvl w:val="0"/>
          <w:numId w:val="31"/>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Transport inteligent multimodal - provocări pentru o experiență perfectă: Provocări multimodale transfrontaliere, Provocări ale economiei multimodale și colaborative în context urban</w:t>
      </w:r>
    </w:p>
    <w:p w14:paraId="2CAB0EB2" w14:textId="77777777" w:rsidR="00244DED" w:rsidRPr="00D70AEA" w:rsidRDefault="00244DED" w:rsidP="006B613A">
      <w:pPr>
        <w:numPr>
          <w:ilvl w:val="0"/>
          <w:numId w:val="31"/>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Sisteme de transport inteligente şi mobilitate automată: Provocări ITS în transportul rutier, Provocări ITS în alte moduri de transport</w:t>
      </w:r>
    </w:p>
    <w:p w14:paraId="395F86B3" w14:textId="77777777" w:rsidR="00244DED" w:rsidRPr="00D70AEA" w:rsidRDefault="00244DED" w:rsidP="006B613A">
      <w:pPr>
        <w:numPr>
          <w:ilvl w:val="0"/>
          <w:numId w:val="31"/>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Inovare şi mobilitatea viitorului</w:t>
      </w:r>
    </w:p>
    <w:p w14:paraId="20BF582C" w14:textId="77777777" w:rsidR="00244DED" w:rsidRPr="00D70AEA" w:rsidRDefault="00244DED" w:rsidP="006B613A">
      <w:pPr>
        <w:numPr>
          <w:ilvl w:val="0"/>
          <w:numId w:val="31"/>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Aspecte care permit digitalizarea: Date pentru transport inteligent şi mobilitate, Inteligenţă artificială, 5G şi alte tehnologii cheie</w:t>
      </w:r>
    </w:p>
    <w:p w14:paraId="67A64CF9" w14:textId="77777777" w:rsidR="00244DED" w:rsidRPr="00D70AEA" w:rsidRDefault="00244DED" w:rsidP="006B613A">
      <w:pPr>
        <w:numPr>
          <w:ilvl w:val="0"/>
          <w:numId w:val="27"/>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Provocări în a face sectorul transportului mai rezilient</w:t>
      </w:r>
    </w:p>
    <w:p w14:paraId="71E3E71D" w14:textId="77777777" w:rsidR="00244DED" w:rsidRPr="00D70AEA" w:rsidRDefault="00244DED" w:rsidP="006B613A">
      <w:pPr>
        <w:numPr>
          <w:ilvl w:val="0"/>
          <w:numId w:val="32"/>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Rezilienţa şi gestionarea crizelor: Guvernanţă</w:t>
      </w:r>
    </w:p>
    <w:p w14:paraId="4F262AA3" w14:textId="77777777" w:rsidR="00244DED" w:rsidRPr="00D70AEA" w:rsidRDefault="00244DED" w:rsidP="006B613A">
      <w:pPr>
        <w:numPr>
          <w:ilvl w:val="0"/>
          <w:numId w:val="32"/>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Infrastructură şi investiţii: Capacitate între moduri, Infrastructură rezistentă la viitor, Acces la finanţare</w:t>
      </w:r>
    </w:p>
    <w:p w14:paraId="063E86A9" w14:textId="77777777" w:rsidR="00244DED" w:rsidRPr="00D70AEA" w:rsidRDefault="00244DED" w:rsidP="006B613A">
      <w:pPr>
        <w:numPr>
          <w:ilvl w:val="0"/>
          <w:numId w:val="32"/>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Piaţa unică: Piaţa unică a transportului rutier, Spaţiul feroviar unic european, Piţa unică a aviaţiei, Piaţa unică pe apă</w:t>
      </w:r>
    </w:p>
    <w:p w14:paraId="27C0B3E6" w14:textId="77777777" w:rsidR="00244DED" w:rsidRPr="00D70AEA" w:rsidRDefault="00244DED" w:rsidP="006B613A">
      <w:pPr>
        <w:numPr>
          <w:ilvl w:val="0"/>
          <w:numId w:val="32"/>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Aspecte sociale: Drepturilor lucrătorilor şi tranziţia la automatizare şi durabilitate, Abilităţi şi atractivitate a locurilor de muncă în transport, Acces la transport: accesibilitate financiară, disponibilitate şi accesibilitate fizică, Protecţia pasagerilor şi consumatorilor europeni</w:t>
      </w:r>
    </w:p>
    <w:p w14:paraId="26C2425E" w14:textId="77777777" w:rsidR="00244DED" w:rsidRPr="00D70AEA" w:rsidRDefault="00244DED" w:rsidP="006B613A">
      <w:pPr>
        <w:numPr>
          <w:ilvl w:val="0"/>
          <w:numId w:val="32"/>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Siguranţă şi securitate: Provocări în continuă evoluţie, Infrastructură sigură şi securizată, Siguranţa vehiculului, Factorul uman, Asigurarea unui nivel ridicat şi egal de siguranţă şi securitate între moduri</w:t>
      </w:r>
    </w:p>
    <w:p w14:paraId="0578D264" w14:textId="77777777" w:rsidR="00244DED" w:rsidRPr="00D70AEA" w:rsidRDefault="00244DED" w:rsidP="006B613A">
      <w:pPr>
        <w:numPr>
          <w:ilvl w:val="0"/>
          <w:numId w:val="27"/>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Dimensiunea externă: Conducerea UE, Competitivitatea globală a UE, Conectivitate externă</w:t>
      </w:r>
    </w:p>
    <w:p w14:paraId="072BE953" w14:textId="77777777" w:rsidR="00244DED" w:rsidRPr="00D70AEA" w:rsidRDefault="00244DED" w:rsidP="006B613A">
      <w:pPr>
        <w:numPr>
          <w:ilvl w:val="0"/>
          <w:numId w:val="26"/>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Descrierea scenariilor/căilor</w:t>
      </w:r>
    </w:p>
    <w:p w14:paraId="3AA2C1F6" w14:textId="77777777" w:rsidR="00244DED" w:rsidRPr="00D70AEA" w:rsidRDefault="00244DED" w:rsidP="006B613A">
      <w:pPr>
        <w:numPr>
          <w:ilvl w:val="0"/>
          <w:numId w:val="27"/>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Analiza impactului scenariilor/căilor</w:t>
      </w:r>
    </w:p>
    <w:p w14:paraId="10F7C5AC" w14:textId="77777777" w:rsidR="00244DED" w:rsidRPr="00D70AEA" w:rsidRDefault="00244DED" w:rsidP="006B613A">
      <w:pPr>
        <w:numPr>
          <w:ilvl w:val="0"/>
          <w:numId w:val="3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lastRenderedPageBreak/>
        <w:t>Impactul asupra activităţii de transport</w:t>
      </w:r>
    </w:p>
    <w:p w14:paraId="0C672005" w14:textId="77777777" w:rsidR="00244DED" w:rsidRPr="00D70AEA" w:rsidRDefault="00244DED" w:rsidP="006B613A">
      <w:pPr>
        <w:numPr>
          <w:ilvl w:val="0"/>
          <w:numId w:val="3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Proiecţii de dezvoltare tehnologică după modul de transport: Transport rutier, Căi ferate, aviaţie, Căi navigabile interioare şi maritime naţionale, Transport maritim internaţional</w:t>
      </w:r>
    </w:p>
    <w:p w14:paraId="6B440CB2" w14:textId="77777777" w:rsidR="00244DED" w:rsidRPr="00D70AEA" w:rsidRDefault="00244DED" w:rsidP="006B613A">
      <w:pPr>
        <w:numPr>
          <w:ilvl w:val="0"/>
          <w:numId w:val="3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Cererile de energie şi proiecţiile mixului de combustibil</w:t>
      </w:r>
    </w:p>
    <w:p w14:paraId="2CA8014D" w14:textId="77777777" w:rsidR="00244DED" w:rsidRPr="00D70AEA" w:rsidRDefault="00244DED" w:rsidP="006B613A">
      <w:pPr>
        <w:numPr>
          <w:ilvl w:val="0"/>
          <w:numId w:val="3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Emisiile GES din transport</w:t>
      </w:r>
    </w:p>
    <w:p w14:paraId="4446AB88" w14:textId="77777777" w:rsidR="00244DED" w:rsidRPr="00D70AEA" w:rsidRDefault="00244DED" w:rsidP="006B613A">
      <w:pPr>
        <w:numPr>
          <w:ilvl w:val="0"/>
          <w:numId w:val="3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Impactul asupra zgomotului, NOx şi emisiile de particule</w:t>
      </w:r>
    </w:p>
    <w:p w14:paraId="662F61F6" w14:textId="77777777" w:rsidR="00244DED" w:rsidRPr="00D70AEA" w:rsidRDefault="00244DED" w:rsidP="006B613A">
      <w:pPr>
        <w:numPr>
          <w:ilvl w:val="0"/>
          <w:numId w:val="3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Impactul asupra costurilor externe ale transportului</w:t>
      </w:r>
    </w:p>
    <w:p w14:paraId="42CE073D" w14:textId="77777777" w:rsidR="00244DED" w:rsidRPr="00D70AEA" w:rsidRDefault="00244DED" w:rsidP="006B613A">
      <w:pPr>
        <w:numPr>
          <w:ilvl w:val="0"/>
          <w:numId w:val="3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Investiţii</w:t>
      </w:r>
    </w:p>
    <w:p w14:paraId="74F88613" w14:textId="77777777" w:rsidR="00244DED" w:rsidRPr="00D70AEA" w:rsidRDefault="00244DED" w:rsidP="006B613A">
      <w:pPr>
        <w:numPr>
          <w:ilvl w:val="0"/>
          <w:numId w:val="3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Impact social</w:t>
      </w:r>
    </w:p>
    <w:p w14:paraId="7D3C7BB6" w14:textId="77777777" w:rsidR="00244DED" w:rsidRPr="00D70AEA" w:rsidRDefault="00244DED" w:rsidP="006B613A">
      <w:pPr>
        <w:numPr>
          <w:ilvl w:val="0"/>
          <w:numId w:val="3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Analiza sensibilităţii la pandemia Covid-19</w:t>
      </w:r>
    </w:p>
    <w:p w14:paraId="1462FC37" w14:textId="77777777" w:rsidR="00244DED" w:rsidRPr="00D70AEA" w:rsidRDefault="00244DED" w:rsidP="00244DED">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În cadrul Strategiei se subliniază că un obiectiv cheie al politicii UE în domeniul transporturilor în viitor trebuie să fie asigurarea că sistemul de transport este cu adevărat rezistent la viitoarele crize iar spaţiul unic european de transport, astfel cum  este prevăzut în Cartea Albă din 2011 rămâne încă piatra de temelie a politicii europene de transport, încurajarea coeziunii, reducerea disparităţilor regionale, precum şi îmbunătăţirea conectivităţii şi accesului la piaţa internă rămând obiective de importanţă strategică pentru UE. </w:t>
      </w:r>
    </w:p>
    <w:p w14:paraId="347290A4" w14:textId="77777777" w:rsidR="00244DED" w:rsidRPr="00D70AEA" w:rsidRDefault="00244DED" w:rsidP="00244DED">
      <w:pPr>
        <w:spacing w:after="0" w:line="276" w:lineRule="auto"/>
        <w:ind w:right="20"/>
        <w:jc w:val="both"/>
        <w:rPr>
          <w:rFonts w:ascii="Arial" w:eastAsia="Times New Roman" w:hAnsi="Arial" w:cs="Arial"/>
          <w:lang w:val="ro-RO" w:eastAsia="ro-RO"/>
        </w:rPr>
      </w:pPr>
    </w:p>
    <w:p w14:paraId="2A23A212" w14:textId="77777777" w:rsidR="00244DED" w:rsidRPr="00D70AEA" w:rsidRDefault="00244DED" w:rsidP="00244DED">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Mobilitatea ecologică trebuie să fie noua licenţă pentru dezvoltarea sectorului transporturilor şi trebuie să se bazeze pe un sistem de transport multimodal eficient şi interconectat, atât pentru pasageri, cât şi pentru marfă, îmbunătăţit de o reţea feroviară de mare viteză la preţuri accesibile, de o infrastructură de reîncărcare şi realimentare pentru vehiculele cu emisii zero şi pentru furnizarea de combustibili regenerabili, printr-o mobilitate mai curată şi mai activă în oraşe „mai verzi” care să contribuie la sănătatea şi bunăstarea cetăţenilor lor.</w:t>
      </w:r>
    </w:p>
    <w:p w14:paraId="340D52BF" w14:textId="77777777" w:rsidR="00244DED" w:rsidRPr="00D70AEA" w:rsidRDefault="00244DED" w:rsidP="00244DED">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 </w:t>
      </w:r>
    </w:p>
    <w:p w14:paraId="7E2C4ACA" w14:textId="77777777" w:rsidR="00244DED" w:rsidRPr="00D70AEA" w:rsidRDefault="00244DED" w:rsidP="00244DED">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Din perspectiva strategiei, digitalizarea va deveni un motor indispensabil pentru modernizarea întregului sistem de mobilitate, făcându-l fără probleme şi mai eficient. Digitalizarea şi automatizarea vor fi utilizate pentru a creşte mai mult nivelurile de siguranţă, securitate, fiabilitate şi confort. </w:t>
      </w:r>
      <w:r w:rsidRPr="00134C10">
        <w:rPr>
          <w:rFonts w:ascii="Arial" w:eastAsia="Times New Roman" w:hAnsi="Arial" w:cs="Arial"/>
          <w:lang w:val="ro-RO" w:eastAsia="ro-RO"/>
        </w:rPr>
        <w:t>Astfel, se urmărește introducerea mobilității multimodale conectate și automatizate, concentrarea pe inovație  și utilizarea datelor  și inteligenței  artificiale pentru mobilitate. Din punct de vedere al mobilității reziliente, este vizată crearea unei zone unice europene de transport care să permită sistemelor actuale să își revină în urma impactului pandemiei într-un mod sustenabil și inteligent, precum și să se poată adapta viitoarelor situații de criză. Acest lucru va fi posibil prin asigurarea unei mobilități echitabile și egale pentru toți, prin încurajarea economiei locale, dar și prin sporirea siguranței și securității sistemului de transport.</w:t>
      </w:r>
    </w:p>
    <w:p w14:paraId="043E2CAF" w14:textId="77777777" w:rsidR="00244DED" w:rsidRPr="00D70AEA" w:rsidRDefault="00244DED" w:rsidP="00244DED">
      <w:pPr>
        <w:spacing w:after="0" w:line="276" w:lineRule="auto"/>
        <w:ind w:right="20"/>
        <w:jc w:val="both"/>
        <w:rPr>
          <w:rFonts w:ascii="Arial" w:eastAsia="Times New Roman" w:hAnsi="Arial" w:cs="Arial"/>
          <w:lang w:val="ro-RO" w:eastAsia="ro-RO"/>
        </w:rPr>
      </w:pPr>
    </w:p>
    <w:p w14:paraId="6044EE71" w14:textId="77777777" w:rsidR="00244DED" w:rsidRDefault="00244DED" w:rsidP="00244DED">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Potrivit strategiei, mobilitatea trebuie să fie disponibilă şi accesibilă pentru toţi, ca regiunile rurale şi îndepărtate să fie mai bine conectate, accesibile persoanelor cu mobilitate redusă şi persoanelor cu dizabilităţi, astfel încât sistemul să ofere condiţii sociale mai bune, oportunităţi de recalificare şi locuri de muncă atractive.</w:t>
      </w:r>
    </w:p>
    <w:p w14:paraId="4F7C6015" w14:textId="77777777" w:rsidR="00244DED" w:rsidRDefault="00244DED" w:rsidP="00244DED">
      <w:pPr>
        <w:spacing w:after="0" w:line="276" w:lineRule="auto"/>
        <w:ind w:right="20"/>
        <w:jc w:val="both"/>
        <w:rPr>
          <w:rFonts w:ascii="Arial" w:eastAsia="Times New Roman" w:hAnsi="Arial" w:cs="Arial"/>
          <w:lang w:val="ro-RO" w:eastAsia="ro-RO"/>
        </w:rPr>
      </w:pPr>
      <w:r>
        <w:rPr>
          <w:rFonts w:ascii="Arial" w:eastAsia="Times New Roman" w:hAnsi="Arial" w:cs="Arial"/>
          <w:lang w:val="ro-RO" w:eastAsia="ro-RO"/>
        </w:rPr>
        <w:t>În vederea transformării sistemului de transport şi mobilitate în unul sustenabil, strategia propune următorii 3 piloni pentru conturarea acţiunilor viitoare:</w:t>
      </w:r>
    </w:p>
    <w:p w14:paraId="717EE935" w14:textId="77777777" w:rsidR="00244DED" w:rsidRDefault="00244DED" w:rsidP="006B613A">
      <w:pPr>
        <w:pStyle w:val="Listparagraf"/>
        <w:numPr>
          <w:ilvl w:val="0"/>
          <w:numId w:val="27"/>
        </w:numPr>
        <w:spacing w:after="0"/>
        <w:ind w:right="20"/>
        <w:jc w:val="both"/>
        <w:rPr>
          <w:rFonts w:ascii="Arial" w:hAnsi="Arial" w:cs="Arial"/>
          <w:lang w:val="ro-RO" w:eastAsia="ro-RO"/>
        </w:rPr>
      </w:pPr>
      <w:r>
        <w:rPr>
          <w:rFonts w:ascii="Arial" w:hAnsi="Arial" w:cs="Arial"/>
          <w:lang w:val="ro-RO" w:eastAsia="ro-RO"/>
        </w:rPr>
        <w:t>Toate mijloacele de transport să fie mai sustenabile;</w:t>
      </w:r>
    </w:p>
    <w:p w14:paraId="2CC57F74" w14:textId="77777777" w:rsidR="00244DED" w:rsidRDefault="00244DED" w:rsidP="006B613A">
      <w:pPr>
        <w:pStyle w:val="Listparagraf"/>
        <w:numPr>
          <w:ilvl w:val="0"/>
          <w:numId w:val="27"/>
        </w:numPr>
        <w:spacing w:after="0"/>
        <w:ind w:right="20"/>
        <w:jc w:val="both"/>
        <w:rPr>
          <w:rFonts w:ascii="Arial" w:hAnsi="Arial" w:cs="Arial"/>
          <w:lang w:val="ro-RO" w:eastAsia="ro-RO"/>
        </w:rPr>
      </w:pPr>
      <w:r>
        <w:rPr>
          <w:rFonts w:ascii="Arial" w:hAnsi="Arial" w:cs="Arial"/>
          <w:lang w:val="ro-RO" w:eastAsia="ro-RO"/>
        </w:rPr>
        <w:t>Alternativele sustenabile să fie disponibile la scară largă într-un sistem de transport multimodal;</w:t>
      </w:r>
    </w:p>
    <w:p w14:paraId="2FB75FE1" w14:textId="77777777" w:rsidR="00244DED" w:rsidRDefault="00244DED" w:rsidP="006B613A">
      <w:pPr>
        <w:pStyle w:val="Listparagraf"/>
        <w:numPr>
          <w:ilvl w:val="0"/>
          <w:numId w:val="27"/>
        </w:numPr>
        <w:spacing w:after="0"/>
        <w:ind w:right="20"/>
        <w:jc w:val="both"/>
        <w:rPr>
          <w:rFonts w:ascii="Arial" w:hAnsi="Arial" w:cs="Arial"/>
          <w:lang w:val="ro-RO" w:eastAsia="ro-RO"/>
        </w:rPr>
      </w:pPr>
      <w:r>
        <w:rPr>
          <w:rFonts w:ascii="Arial" w:hAnsi="Arial" w:cs="Arial"/>
          <w:lang w:val="ro-RO" w:eastAsia="ro-RO"/>
        </w:rPr>
        <w:t>Să fie instaurate stimulentele potrivite care să conducă la tranziţia urmărită.</w:t>
      </w:r>
    </w:p>
    <w:p w14:paraId="28E6134E" w14:textId="77777777" w:rsidR="00244DED" w:rsidRPr="00134C10" w:rsidRDefault="00244DED" w:rsidP="00244DED">
      <w:pPr>
        <w:spacing w:after="0"/>
        <w:ind w:right="20"/>
        <w:jc w:val="both"/>
        <w:rPr>
          <w:rFonts w:ascii="Arial" w:hAnsi="Arial" w:cs="Arial"/>
          <w:lang w:val="ro-RO" w:eastAsia="ro-RO"/>
        </w:rPr>
      </w:pPr>
    </w:p>
    <w:p w14:paraId="1D7F65A3" w14:textId="77777777" w:rsidR="00244DED" w:rsidRPr="00D70AEA" w:rsidRDefault="00244DED" w:rsidP="00244DED">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lastRenderedPageBreak/>
        <w:t>Scenariile care stau la baza strategiei şi care sunt comune cu cele care stau la baza obiectivelor climatice pentru 2030 demonstrează că, cu un nivel adecvat de ambiţie, combinaţia dintre măsurile politice stabilite în această strategie pot aduce o reducere de 90% a emisiilor din sectorul transporturilor până în anul 2050:</w:t>
      </w:r>
    </w:p>
    <w:p w14:paraId="3B6AF0F0" w14:textId="77777777" w:rsidR="00244DED" w:rsidRDefault="00244DED" w:rsidP="00244DED">
      <w:pPr>
        <w:spacing w:after="0" w:line="276" w:lineRule="auto"/>
        <w:ind w:right="20"/>
        <w:jc w:val="both"/>
        <w:rPr>
          <w:rFonts w:ascii="Arial" w:eastAsia="Times New Roman" w:hAnsi="Arial" w:cs="Arial"/>
          <w:i/>
          <w:lang w:val="ro-RO" w:eastAsia="ro-RO"/>
        </w:rPr>
      </w:pPr>
    </w:p>
    <w:p w14:paraId="10A9EF0C" w14:textId="77777777" w:rsidR="00244DED" w:rsidRPr="00D70AEA" w:rsidRDefault="00244DED" w:rsidP="00244DED">
      <w:pPr>
        <w:spacing w:after="0" w:line="276" w:lineRule="auto"/>
        <w:ind w:right="20"/>
        <w:jc w:val="both"/>
        <w:rPr>
          <w:rFonts w:ascii="Arial" w:eastAsia="Times New Roman" w:hAnsi="Arial" w:cs="Arial"/>
          <w:i/>
          <w:lang w:val="ro-RO" w:eastAsia="ro-RO"/>
        </w:rPr>
      </w:pPr>
      <w:r w:rsidRPr="00D70AEA">
        <w:rPr>
          <w:rFonts w:ascii="Arial" w:eastAsia="Times New Roman" w:hAnsi="Arial" w:cs="Arial"/>
          <w:i/>
          <w:lang w:val="ro-RO" w:eastAsia="ro-RO"/>
        </w:rPr>
        <w:t>Ţinte până in 2030:</w:t>
      </w:r>
    </w:p>
    <w:p w14:paraId="62445A40" w14:textId="77777777" w:rsidR="00244DED" w:rsidRPr="00D70AEA" w:rsidRDefault="00244DED" w:rsidP="006B613A">
      <w:pPr>
        <w:numPr>
          <w:ilvl w:val="0"/>
          <w:numId w:val="3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Cel puţin 30 de milioane de vehicule cu emisii zero puse în funcţiune pe drumurile europene</w:t>
      </w:r>
    </w:p>
    <w:p w14:paraId="7347409C" w14:textId="77777777" w:rsidR="00244DED" w:rsidRPr="00D70AEA" w:rsidRDefault="00244DED" w:rsidP="006B613A">
      <w:pPr>
        <w:numPr>
          <w:ilvl w:val="0"/>
          <w:numId w:val="3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100 de oraşe europene neutre din punct de vedere climatic</w:t>
      </w:r>
    </w:p>
    <w:p w14:paraId="0F868814" w14:textId="77777777" w:rsidR="00244DED" w:rsidRPr="00D70AEA" w:rsidRDefault="00244DED" w:rsidP="006B613A">
      <w:pPr>
        <w:numPr>
          <w:ilvl w:val="0"/>
          <w:numId w:val="3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Traficul feroviar de mare viteză dublat</w:t>
      </w:r>
    </w:p>
    <w:p w14:paraId="371F0DDB" w14:textId="77777777" w:rsidR="00244DED" w:rsidRPr="00D70AEA" w:rsidRDefault="00244DED" w:rsidP="006B613A">
      <w:pPr>
        <w:numPr>
          <w:ilvl w:val="0"/>
          <w:numId w:val="3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Deplasările colective programate, de sub 500 km ar trebui să fie neutre din punct de vedere al emisiilor de carbon în UE</w:t>
      </w:r>
    </w:p>
    <w:p w14:paraId="3D6352F1" w14:textId="77777777" w:rsidR="00244DED" w:rsidRPr="00D70AEA" w:rsidRDefault="00244DED" w:rsidP="006B613A">
      <w:pPr>
        <w:numPr>
          <w:ilvl w:val="0"/>
          <w:numId w:val="3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Mobilitatea automată va fi implementată la scară largă</w:t>
      </w:r>
    </w:p>
    <w:p w14:paraId="2671ACDD" w14:textId="77777777" w:rsidR="00244DED" w:rsidRPr="00D70AEA" w:rsidRDefault="00244DED" w:rsidP="006B613A">
      <w:pPr>
        <w:numPr>
          <w:ilvl w:val="0"/>
          <w:numId w:val="3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Nave cu emisii zero vor fi gata de comercializare</w:t>
      </w:r>
    </w:p>
    <w:p w14:paraId="72014E6F" w14:textId="77777777" w:rsidR="00244DED" w:rsidRPr="00D70AEA" w:rsidRDefault="00244DED" w:rsidP="00244DED">
      <w:pPr>
        <w:spacing w:after="0" w:line="276" w:lineRule="auto"/>
        <w:ind w:right="20"/>
        <w:jc w:val="both"/>
        <w:rPr>
          <w:rFonts w:ascii="Arial" w:eastAsia="Times New Roman" w:hAnsi="Arial" w:cs="Arial"/>
          <w:lang w:val="ro-RO" w:eastAsia="ro-RO"/>
        </w:rPr>
      </w:pPr>
    </w:p>
    <w:p w14:paraId="372AE259" w14:textId="77777777" w:rsidR="00244DED" w:rsidRPr="00D70AEA" w:rsidRDefault="00244DED" w:rsidP="00244DED">
      <w:pPr>
        <w:spacing w:after="0" w:line="276" w:lineRule="auto"/>
        <w:ind w:right="20"/>
        <w:jc w:val="both"/>
        <w:rPr>
          <w:rFonts w:ascii="Arial" w:eastAsia="Times New Roman" w:hAnsi="Arial" w:cs="Arial"/>
          <w:i/>
          <w:lang w:val="ro-RO" w:eastAsia="ro-RO"/>
        </w:rPr>
      </w:pPr>
      <w:r w:rsidRPr="00D70AEA">
        <w:rPr>
          <w:rFonts w:ascii="Arial" w:eastAsia="Times New Roman" w:hAnsi="Arial" w:cs="Arial"/>
          <w:i/>
          <w:lang w:val="ro-RO" w:eastAsia="ro-RO"/>
        </w:rPr>
        <w:t>Ţinte până în 2035</w:t>
      </w:r>
    </w:p>
    <w:p w14:paraId="033A4B13" w14:textId="77777777" w:rsidR="00244DED" w:rsidRPr="00D70AEA" w:rsidRDefault="00244DED" w:rsidP="006B613A">
      <w:pPr>
        <w:numPr>
          <w:ilvl w:val="0"/>
          <w:numId w:val="35"/>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Avioanele mari cu emisii zero pregătite pentru piaţă</w:t>
      </w:r>
    </w:p>
    <w:p w14:paraId="6E5ECA1A" w14:textId="77777777" w:rsidR="00244DED" w:rsidRPr="00D70AEA" w:rsidRDefault="00244DED" w:rsidP="00244DED">
      <w:pPr>
        <w:spacing w:after="0" w:line="276" w:lineRule="auto"/>
        <w:ind w:right="20"/>
        <w:jc w:val="both"/>
        <w:rPr>
          <w:rFonts w:ascii="Arial" w:eastAsia="Times New Roman" w:hAnsi="Arial" w:cs="Arial"/>
          <w:lang w:val="ro-RO" w:eastAsia="ro-RO"/>
        </w:rPr>
      </w:pPr>
    </w:p>
    <w:p w14:paraId="457C3C1C" w14:textId="77777777" w:rsidR="000F449F" w:rsidRDefault="000F449F" w:rsidP="00244DED">
      <w:pPr>
        <w:spacing w:after="0" w:line="276" w:lineRule="auto"/>
        <w:ind w:right="20"/>
        <w:jc w:val="both"/>
        <w:rPr>
          <w:rFonts w:ascii="Arial" w:eastAsia="Times New Roman" w:hAnsi="Arial" w:cs="Arial"/>
          <w:i/>
          <w:lang w:val="ro-RO" w:eastAsia="ro-RO"/>
        </w:rPr>
      </w:pPr>
    </w:p>
    <w:p w14:paraId="4A1AE7E5" w14:textId="77777777" w:rsidR="00244DED" w:rsidRPr="00D70AEA" w:rsidRDefault="00244DED" w:rsidP="00244DED">
      <w:pPr>
        <w:spacing w:after="0" w:line="276" w:lineRule="auto"/>
        <w:ind w:right="20"/>
        <w:jc w:val="both"/>
        <w:rPr>
          <w:rFonts w:ascii="Arial" w:eastAsia="Times New Roman" w:hAnsi="Arial" w:cs="Arial"/>
          <w:i/>
          <w:lang w:val="ro-RO" w:eastAsia="ro-RO"/>
        </w:rPr>
      </w:pPr>
      <w:r w:rsidRPr="00D70AEA">
        <w:rPr>
          <w:rFonts w:ascii="Arial" w:eastAsia="Times New Roman" w:hAnsi="Arial" w:cs="Arial"/>
          <w:i/>
          <w:lang w:val="ro-RO" w:eastAsia="ro-RO"/>
        </w:rPr>
        <w:t>Ţinte până în 2050</w:t>
      </w:r>
    </w:p>
    <w:p w14:paraId="053F2159" w14:textId="77777777" w:rsidR="00244DED" w:rsidRPr="00D70AEA" w:rsidRDefault="00244DED" w:rsidP="006B613A">
      <w:pPr>
        <w:numPr>
          <w:ilvl w:val="0"/>
          <w:numId w:val="36"/>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Aproape toate autoturismele, camionetele, autobuzele, precum şi vehiculele grele noi vor fi cu emisii zero</w:t>
      </w:r>
    </w:p>
    <w:p w14:paraId="61EF0F0C" w14:textId="77777777" w:rsidR="00244DED" w:rsidRPr="00D70AEA" w:rsidRDefault="00244DED" w:rsidP="006B613A">
      <w:pPr>
        <w:numPr>
          <w:ilvl w:val="0"/>
          <w:numId w:val="36"/>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Traficul feroviar de marfă se va dubla</w:t>
      </w:r>
    </w:p>
    <w:p w14:paraId="2B2136A6" w14:textId="77777777" w:rsidR="00244DED" w:rsidRPr="00D70AEA" w:rsidRDefault="00244DED" w:rsidP="006B613A">
      <w:pPr>
        <w:numPr>
          <w:ilvl w:val="0"/>
          <w:numId w:val="36"/>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Traficul feroviar de mare viteză se va tripla</w:t>
      </w:r>
    </w:p>
    <w:p w14:paraId="343A3860" w14:textId="77777777" w:rsidR="00244DED" w:rsidRPr="00D70AEA" w:rsidRDefault="00244DED" w:rsidP="006B613A">
      <w:pPr>
        <w:numPr>
          <w:ilvl w:val="0"/>
          <w:numId w:val="36"/>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Reţeaua transeuropeană de transport multimodală (TEN-T) va fi echipată pentru transportul durabil şi inteligent cu conectivitate de mare viteză va fi operaţională pentru toată reţeaua</w:t>
      </w:r>
    </w:p>
    <w:p w14:paraId="38918BF3" w14:textId="77777777" w:rsidR="00244DED" w:rsidRPr="00D70AEA" w:rsidRDefault="00244DED" w:rsidP="00244DED">
      <w:pPr>
        <w:spacing w:after="0" w:line="276" w:lineRule="auto"/>
        <w:ind w:right="20"/>
        <w:jc w:val="both"/>
        <w:rPr>
          <w:rFonts w:ascii="Arial" w:eastAsia="Times New Roman" w:hAnsi="Arial" w:cs="Arial"/>
          <w:lang w:val="ro-RO" w:eastAsia="ro-RO"/>
        </w:rPr>
      </w:pPr>
      <w:r>
        <w:rPr>
          <w:rFonts w:ascii="Arial" w:eastAsia="Times New Roman" w:hAnsi="Arial" w:cs="Arial"/>
          <w:lang w:val="ro-RO" w:eastAsia="ro-RO"/>
        </w:rPr>
        <w:t xml:space="preserve">Prin prisma ţintelor propuse, cele trei obiective ale strategiei lucrează şi se susţin reciproc în vederea conturării unei mobilităţi verzi, </w:t>
      </w:r>
      <w:r w:rsidRPr="00CD695B">
        <w:rPr>
          <w:rFonts w:ascii="Arial" w:eastAsia="Times New Roman" w:hAnsi="Arial" w:cs="Arial"/>
          <w:lang w:val="ro-RO" w:eastAsia="ro-RO"/>
        </w:rPr>
        <w:t xml:space="preserve">conectate  și accesibile, utilizând totodată  criza creată  de pandemia de Covid-19 ca un mijloc de accelerare a proceselor de modernizare  și decarbonizare a întregului sistem de transport  și mobilitate, până în anul 2050.  </w:t>
      </w:r>
    </w:p>
    <w:p w14:paraId="42B2B149" w14:textId="77777777" w:rsidR="00244DED" w:rsidRDefault="00244DED" w:rsidP="00D70AEA">
      <w:pPr>
        <w:spacing w:after="0" w:line="276" w:lineRule="auto"/>
        <w:ind w:right="20"/>
        <w:jc w:val="both"/>
        <w:rPr>
          <w:rFonts w:ascii="Arial" w:eastAsia="Times New Roman" w:hAnsi="Arial" w:cs="Arial"/>
          <w:lang w:val="ro-RO" w:eastAsia="ro-RO"/>
        </w:rPr>
      </w:pPr>
    </w:p>
    <w:p w14:paraId="5C480659" w14:textId="77777777" w:rsidR="00244DED" w:rsidRPr="00D70AEA" w:rsidRDefault="00244DED" w:rsidP="00D70AEA">
      <w:pPr>
        <w:spacing w:after="0" w:line="276" w:lineRule="auto"/>
        <w:ind w:right="20"/>
        <w:jc w:val="both"/>
        <w:rPr>
          <w:rFonts w:ascii="Arial" w:eastAsia="Times New Roman" w:hAnsi="Arial" w:cs="Arial"/>
          <w:lang w:val="ro-RO" w:eastAsia="ro-RO"/>
        </w:rPr>
      </w:pPr>
    </w:p>
    <w:p w14:paraId="52287373" w14:textId="77777777" w:rsidR="00D70AEA" w:rsidRPr="00D70AEA" w:rsidRDefault="00244DED" w:rsidP="00D70AEA">
      <w:pPr>
        <w:spacing w:after="0" w:line="276" w:lineRule="auto"/>
        <w:ind w:right="20"/>
        <w:jc w:val="both"/>
        <w:rPr>
          <w:rFonts w:ascii="Arial" w:eastAsia="Times New Roman" w:hAnsi="Arial" w:cs="Arial"/>
          <w:lang w:val="ro-RO" w:eastAsia="ro-RO"/>
        </w:rPr>
      </w:pPr>
      <w:r>
        <w:rPr>
          <w:rFonts w:ascii="Arial" w:eastAsia="Times New Roman" w:hAnsi="Arial" w:cs="Arial"/>
          <w:lang w:val="ro-RO" w:eastAsia="ro-RO"/>
        </w:rPr>
        <w:t>Publicarea noii</w:t>
      </w:r>
      <w:r w:rsidR="00D70AEA" w:rsidRPr="00D70AEA">
        <w:rPr>
          <w:rFonts w:ascii="Arial" w:eastAsia="Times New Roman" w:hAnsi="Arial" w:cs="Arial"/>
          <w:lang w:val="ro-RO" w:eastAsia="ro-RO"/>
        </w:rPr>
        <w:t xml:space="preserve"> </w:t>
      </w:r>
      <w:r>
        <w:rPr>
          <w:rFonts w:ascii="Arial" w:eastAsia="Times New Roman" w:hAnsi="Arial" w:cs="Arial"/>
          <w:b/>
          <w:lang w:val="ro-RO" w:eastAsia="ro-RO"/>
        </w:rPr>
        <w:t>Strategii</w:t>
      </w:r>
      <w:r w:rsidR="00D70AEA" w:rsidRPr="00D70AEA">
        <w:rPr>
          <w:rFonts w:ascii="Arial" w:eastAsia="Times New Roman" w:hAnsi="Arial" w:cs="Arial"/>
          <w:b/>
          <w:lang w:val="ro-RO" w:eastAsia="ro-RO"/>
        </w:rPr>
        <w:t xml:space="preserve"> pentru Mobilitate Inteligentă și Durabilă</w:t>
      </w:r>
      <w:r w:rsidR="00D70AEA" w:rsidRPr="00D70AEA">
        <w:rPr>
          <w:rFonts w:ascii="Arial" w:eastAsia="Times New Roman" w:hAnsi="Arial" w:cs="Arial"/>
          <w:lang w:val="ro-RO" w:eastAsia="ro-RO"/>
        </w:rPr>
        <w:t xml:space="preserve"> </w:t>
      </w:r>
      <w:r>
        <w:rPr>
          <w:rFonts w:ascii="Arial" w:eastAsia="Times New Roman" w:hAnsi="Arial" w:cs="Arial"/>
          <w:lang w:val="ro-RO" w:eastAsia="ro-RO"/>
        </w:rPr>
        <w:t>vine să alinieze</w:t>
      </w:r>
      <w:r w:rsidR="00D70AEA" w:rsidRPr="00D70AEA">
        <w:rPr>
          <w:rFonts w:ascii="Arial" w:eastAsia="Times New Roman" w:hAnsi="Arial" w:cs="Arial"/>
          <w:lang w:val="ro-RO" w:eastAsia="ro-RO"/>
        </w:rPr>
        <w:t xml:space="preserve"> sectorul transporturilor la obiectivele Pactului </w:t>
      </w:r>
      <w:r w:rsidR="00361646">
        <w:rPr>
          <w:rFonts w:ascii="Arial" w:eastAsia="Times New Roman" w:hAnsi="Arial" w:cs="Arial"/>
          <w:lang w:val="ro-RO" w:eastAsia="ro-RO"/>
        </w:rPr>
        <w:t>E</w:t>
      </w:r>
      <w:r w:rsidR="00D70AEA" w:rsidRPr="00D70AEA">
        <w:rPr>
          <w:rFonts w:ascii="Arial" w:eastAsia="Times New Roman" w:hAnsi="Arial" w:cs="Arial"/>
          <w:lang w:val="ro-RO" w:eastAsia="ro-RO"/>
        </w:rPr>
        <w:t xml:space="preserve">cologic </w:t>
      </w:r>
      <w:r w:rsidR="00361646">
        <w:rPr>
          <w:rFonts w:ascii="Arial" w:eastAsia="Times New Roman" w:hAnsi="Arial" w:cs="Arial"/>
          <w:lang w:val="ro-RO" w:eastAsia="ro-RO"/>
        </w:rPr>
        <w:t>E</w:t>
      </w:r>
      <w:r w:rsidR="00D70AEA" w:rsidRPr="00D70AEA">
        <w:rPr>
          <w:rFonts w:ascii="Arial" w:eastAsia="Times New Roman" w:hAnsi="Arial" w:cs="Arial"/>
          <w:lang w:val="ro-RO" w:eastAsia="ro-RO"/>
        </w:rPr>
        <w:t>uropean.</w:t>
      </w:r>
      <w:r w:rsidR="000F449F">
        <w:rPr>
          <w:rFonts w:ascii="Arial" w:eastAsia="Times New Roman" w:hAnsi="Arial" w:cs="Arial"/>
          <w:lang w:val="ro-RO" w:eastAsia="ro-RO"/>
        </w:rPr>
        <w:t xml:space="preserve"> </w:t>
      </w:r>
      <w:r w:rsidR="00D70AEA" w:rsidRPr="00D70AEA">
        <w:rPr>
          <w:rFonts w:ascii="Arial" w:eastAsia="Times New Roman" w:hAnsi="Arial" w:cs="Arial"/>
          <w:lang w:val="ro-RO" w:eastAsia="ro-RO"/>
        </w:rPr>
        <w:t xml:space="preserve">Pactul </w:t>
      </w:r>
      <w:r w:rsidR="00361646">
        <w:rPr>
          <w:rFonts w:ascii="Arial" w:eastAsia="Times New Roman" w:hAnsi="Arial" w:cs="Arial"/>
          <w:lang w:val="ro-RO" w:eastAsia="ro-RO"/>
        </w:rPr>
        <w:t>Ecologic</w:t>
      </w:r>
      <w:r w:rsidR="00D70AEA" w:rsidRPr="00D70AEA">
        <w:rPr>
          <w:rFonts w:ascii="Arial" w:eastAsia="Times New Roman" w:hAnsi="Arial" w:cs="Arial"/>
          <w:lang w:val="ro-RO" w:eastAsia="ro-RO"/>
        </w:rPr>
        <w:t xml:space="preserve"> European include un obiectiv de reducere a emisiilor de gaze cu efect de seră legate de transport cu 90% până în 2050. Comisia a intenţionat astfel să adopte o strategie cuprinzătoare pentru a atinge acest obiectiv și pentru a se asigura că sectorul transporturilor din UE este potrivit pentru o economie curată, digitală și modernă. Obiectivele includ:</w:t>
      </w:r>
    </w:p>
    <w:p w14:paraId="74E1EAED" w14:textId="77777777" w:rsidR="00D70AEA" w:rsidRPr="00D70AEA" w:rsidRDefault="00D70AEA" w:rsidP="006B613A">
      <w:pPr>
        <w:numPr>
          <w:ilvl w:val="0"/>
          <w:numId w:val="25"/>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creșterea absorbției vehiculelor cu emisii zero</w:t>
      </w:r>
    </w:p>
    <w:p w14:paraId="19FE725F" w14:textId="77777777" w:rsidR="00D70AEA" w:rsidRPr="00D70AEA" w:rsidRDefault="00D70AEA" w:rsidP="006B613A">
      <w:pPr>
        <w:numPr>
          <w:ilvl w:val="0"/>
          <w:numId w:val="25"/>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punerea la dispoziția publicului și a întreprinderilor a unor soluții alternative durabile</w:t>
      </w:r>
    </w:p>
    <w:p w14:paraId="51766C1F" w14:textId="77777777" w:rsidR="00D70AEA" w:rsidRPr="00D70AEA" w:rsidRDefault="00D70AEA" w:rsidP="006B613A">
      <w:pPr>
        <w:numPr>
          <w:ilvl w:val="0"/>
          <w:numId w:val="25"/>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sprijinirea digitalizării și automatizării</w:t>
      </w:r>
    </w:p>
    <w:p w14:paraId="471EB149" w14:textId="77777777" w:rsidR="00D70AEA" w:rsidRPr="00D70AEA" w:rsidRDefault="00D70AEA" w:rsidP="006B613A">
      <w:pPr>
        <w:numPr>
          <w:ilvl w:val="0"/>
          <w:numId w:val="25"/>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îmbunătățirea conectivității și accesului</w:t>
      </w:r>
    </w:p>
    <w:p w14:paraId="7F84170E" w14:textId="77777777" w:rsidR="00D70AEA" w:rsidRPr="00D70AEA" w:rsidRDefault="00D70AEA" w:rsidP="00D70AEA">
      <w:pPr>
        <w:spacing w:after="0" w:line="276" w:lineRule="auto"/>
        <w:ind w:right="20"/>
        <w:jc w:val="both"/>
        <w:rPr>
          <w:rFonts w:ascii="Arial" w:eastAsia="Times New Roman" w:hAnsi="Arial" w:cs="Arial"/>
          <w:lang w:val="ro-RO" w:eastAsia="ro-RO"/>
        </w:rPr>
      </w:pPr>
    </w:p>
    <w:p w14:paraId="0975769D"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În </w:t>
      </w:r>
      <w:r w:rsidRPr="00D70AEA">
        <w:rPr>
          <w:rFonts w:ascii="Arial" w:eastAsia="Times New Roman" w:hAnsi="Arial" w:cs="Arial"/>
          <w:b/>
          <w:bCs/>
          <w:lang w:val="ro-RO" w:eastAsia="ro-RO"/>
        </w:rPr>
        <w:t xml:space="preserve">Foaia de parcurs a Pactului </w:t>
      </w:r>
      <w:r w:rsidRPr="00D70AEA">
        <w:rPr>
          <w:rFonts w:ascii="Arial" w:eastAsia="Times New Roman" w:hAnsi="Arial" w:cs="Arial"/>
          <w:lang w:val="ro-RO" w:eastAsia="ro-RO"/>
        </w:rPr>
        <w:t>sunt prezentate acțiunile și calendarul de implementare a acestuia. Acțiunile subscrise ambițiilor climatice și mobilității durabil eși inteligente urmăresc:</w:t>
      </w:r>
    </w:p>
    <w:p w14:paraId="7A5428B1" w14:textId="77777777" w:rsidR="00D70AEA" w:rsidRPr="00D70AEA" w:rsidRDefault="00D70AEA" w:rsidP="00D70AEA">
      <w:pPr>
        <w:spacing w:after="0" w:line="276" w:lineRule="auto"/>
        <w:ind w:right="20"/>
        <w:jc w:val="both"/>
        <w:rPr>
          <w:rFonts w:ascii="Arial" w:eastAsia="Times New Roman" w:hAnsi="Arial" w:cs="Arial"/>
          <w:b/>
          <w:bCs/>
          <w:i/>
          <w:iCs/>
          <w:lang w:val="ro-RO" w:eastAsia="ro-RO"/>
        </w:rPr>
      </w:pPr>
      <w:r w:rsidRPr="00D70AEA">
        <w:rPr>
          <w:rFonts w:ascii="Arial" w:eastAsia="Times New Roman" w:hAnsi="Arial" w:cs="Arial"/>
          <w:b/>
          <w:bCs/>
          <w:i/>
          <w:iCs/>
          <w:lang w:val="ro-RO" w:eastAsia="ro-RO"/>
        </w:rPr>
        <w:t>Ambiția climatică</w:t>
      </w:r>
    </w:p>
    <w:p w14:paraId="09AA0F55" w14:textId="77777777" w:rsidR="00D70AEA" w:rsidRPr="00D70AEA" w:rsidRDefault="00D70AEA" w:rsidP="006B613A">
      <w:pPr>
        <w:numPr>
          <w:ilvl w:val="0"/>
          <w:numId w:val="4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lastRenderedPageBreak/>
        <w:t>Propunere privind o „lege climatică” europeană care consacră clima din 2050 obiectiv de neutralitate - Martie 2020</w:t>
      </w:r>
    </w:p>
    <w:p w14:paraId="5C1ADB43" w14:textId="77777777" w:rsidR="00D70AEA" w:rsidRPr="00D70AEA" w:rsidRDefault="00D70AEA" w:rsidP="006B613A">
      <w:pPr>
        <w:numPr>
          <w:ilvl w:val="0"/>
          <w:numId w:val="4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Plan cuprinzător de creștere a obiectivului climatic UE 2030 la cel puțin 50% și spre 55% într-un mod responsabil - Vara 2020</w:t>
      </w:r>
    </w:p>
    <w:p w14:paraId="0D5A79B3" w14:textId="77777777" w:rsidR="00D70AEA" w:rsidRPr="00D70AEA" w:rsidRDefault="00D70AEA" w:rsidP="006B613A">
      <w:pPr>
        <w:numPr>
          <w:ilvl w:val="0"/>
          <w:numId w:val="4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Propuneri de revizuire a măsurilor legislative relevante pentru realizarea creșterea ambiției climatice, în urma revizuirii comerțului cu emisii; Directiva de sistem; Regulamentul privind partajarea efortului; Utilizarea terenului, schimbarea utilizării terenului și Regulamentul silvic; Directiva privind eficiența energetică; Directiva privind energia regenerabilă; Standarde de performanță privind emisiile de CO2 pentru autoturisme și camionete - Iunie 2021</w:t>
      </w:r>
    </w:p>
    <w:p w14:paraId="62FB9221" w14:textId="77777777" w:rsidR="00D70AEA" w:rsidRPr="00D70AEA" w:rsidRDefault="00D70AEA" w:rsidP="006B613A">
      <w:pPr>
        <w:numPr>
          <w:ilvl w:val="0"/>
          <w:numId w:val="4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Propunere de revizuire a Directivei privind impozitarea energiei - iunie 2021</w:t>
      </w:r>
    </w:p>
    <w:p w14:paraId="6821EE7A" w14:textId="77777777" w:rsidR="00D70AEA" w:rsidRPr="00D70AEA" w:rsidRDefault="00D70AEA" w:rsidP="006B613A">
      <w:pPr>
        <w:numPr>
          <w:ilvl w:val="0"/>
          <w:numId w:val="4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Propunere pentru un mecanism de ajustare a frontierei de carbon pentru persoanele selectate</w:t>
      </w:r>
    </w:p>
    <w:p w14:paraId="78C6AD23" w14:textId="77777777" w:rsidR="00D70AEA" w:rsidRPr="00D70AEA" w:rsidRDefault="00D70AEA" w:rsidP="006B613A">
      <w:pPr>
        <w:numPr>
          <w:ilvl w:val="0"/>
          <w:numId w:val="4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Sectoare - 2021</w:t>
      </w:r>
    </w:p>
    <w:p w14:paraId="78ED0A5A" w14:textId="77777777" w:rsidR="00D70AEA" w:rsidRPr="00D70AEA" w:rsidRDefault="00D70AEA" w:rsidP="006B613A">
      <w:pPr>
        <w:numPr>
          <w:ilvl w:val="0"/>
          <w:numId w:val="43"/>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Noua strategie a UE privind adaptarea la schimbările climatice - 2020/2021</w:t>
      </w:r>
    </w:p>
    <w:p w14:paraId="38B31B9A" w14:textId="77777777" w:rsidR="00D70AEA" w:rsidRPr="00D70AEA" w:rsidRDefault="00D70AEA" w:rsidP="00D70AEA">
      <w:pPr>
        <w:spacing w:after="0" w:line="276" w:lineRule="auto"/>
        <w:ind w:right="20"/>
        <w:jc w:val="both"/>
        <w:rPr>
          <w:rFonts w:ascii="Arial" w:eastAsia="Times New Roman" w:hAnsi="Arial" w:cs="Arial"/>
          <w:b/>
          <w:bCs/>
          <w:i/>
          <w:iCs/>
          <w:lang w:val="ro-RO" w:eastAsia="ro-RO"/>
        </w:rPr>
      </w:pPr>
      <w:r w:rsidRPr="00D70AEA">
        <w:rPr>
          <w:rFonts w:ascii="Arial" w:eastAsia="Times New Roman" w:hAnsi="Arial" w:cs="Arial"/>
          <w:b/>
          <w:bCs/>
          <w:i/>
          <w:iCs/>
          <w:lang w:val="ro-RO" w:eastAsia="ro-RO"/>
        </w:rPr>
        <w:t xml:space="preserve">Mobilitate durabilă și inteligentă </w:t>
      </w:r>
    </w:p>
    <w:p w14:paraId="4A36B4FE" w14:textId="77777777" w:rsidR="00D70AEA" w:rsidRPr="00D70AEA" w:rsidRDefault="00D70AEA" w:rsidP="006B613A">
      <w:pPr>
        <w:numPr>
          <w:ilvl w:val="0"/>
          <w:numId w:val="4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Strategia pentru o mobilitate durabilă și inteligentă - 2020</w:t>
      </w:r>
    </w:p>
    <w:p w14:paraId="2FCA4A24" w14:textId="77777777" w:rsidR="00D70AEA" w:rsidRPr="00D70AEA" w:rsidRDefault="00D70AEA" w:rsidP="006B613A">
      <w:pPr>
        <w:numPr>
          <w:ilvl w:val="0"/>
          <w:numId w:val="4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Apel de finanțare pentru a sprijini desfășurarea reîncărcării publice și puncte de realimentare ca parte a infrastructurii de combustibil alternativ - din 2020</w:t>
      </w:r>
    </w:p>
    <w:p w14:paraId="7E8B270F" w14:textId="77777777" w:rsidR="00D70AEA" w:rsidRPr="00D70AEA" w:rsidRDefault="00D70AEA" w:rsidP="006B613A">
      <w:pPr>
        <w:numPr>
          <w:ilvl w:val="0"/>
          <w:numId w:val="4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Evaluarea opțiunilor legislative pentru a stimula producția și furnizarea de combustibili alternativi durabili pentru diferitele moduri de transport - din 2020</w:t>
      </w:r>
    </w:p>
    <w:p w14:paraId="3B665E70" w14:textId="77777777" w:rsidR="00D70AEA" w:rsidRPr="00D70AEA" w:rsidRDefault="00D70AEA" w:rsidP="006B613A">
      <w:pPr>
        <w:numPr>
          <w:ilvl w:val="0"/>
          <w:numId w:val="4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Propunere revizuită de directivă privind transportul combinat - 2021</w:t>
      </w:r>
    </w:p>
    <w:p w14:paraId="6141CF6B" w14:textId="77777777" w:rsidR="00D70AEA" w:rsidRPr="00D70AEA" w:rsidRDefault="00D70AEA" w:rsidP="006B613A">
      <w:pPr>
        <w:numPr>
          <w:ilvl w:val="0"/>
          <w:numId w:val="4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Revizuirea Directivei privind infrastructura combustibililor alternativi și a Trans Rețeaua europeană - Regulamentul privind transporturile 2021</w:t>
      </w:r>
    </w:p>
    <w:p w14:paraId="34BF28D1" w14:textId="77777777" w:rsidR="00D70AEA" w:rsidRPr="00D70AEA" w:rsidRDefault="00D70AEA" w:rsidP="006B613A">
      <w:pPr>
        <w:numPr>
          <w:ilvl w:val="0"/>
          <w:numId w:val="4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Inițiative pentru creșterea și gestionarea mai bună a capacității căilor ferate și căi</w:t>
      </w:r>
      <w:r w:rsidR="00A8565D">
        <w:rPr>
          <w:rFonts w:ascii="Arial" w:eastAsia="Times New Roman" w:hAnsi="Arial" w:cs="Arial"/>
          <w:lang w:val="ro-RO" w:eastAsia="ro-RO"/>
        </w:rPr>
        <w:t>lor</w:t>
      </w:r>
      <w:r w:rsidRPr="00D70AEA">
        <w:rPr>
          <w:rFonts w:ascii="Arial" w:eastAsia="Times New Roman" w:hAnsi="Arial" w:cs="Arial"/>
          <w:lang w:val="ro-RO" w:eastAsia="ro-RO"/>
        </w:rPr>
        <w:t xml:space="preserve"> navigabile interioare  - Din 2021</w:t>
      </w:r>
    </w:p>
    <w:p w14:paraId="248DB7D0" w14:textId="77777777" w:rsidR="00D70AEA" w:rsidRPr="00D70AEA" w:rsidRDefault="00D70AEA" w:rsidP="006B613A">
      <w:pPr>
        <w:numPr>
          <w:ilvl w:val="0"/>
          <w:numId w:val="44"/>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Propunere de standarde mai stricte privind emisiile de poluanți atmosferici pentru vehicule cu motor cu combustie – 2021</w:t>
      </w:r>
    </w:p>
    <w:p w14:paraId="6BD170E4" w14:textId="77777777" w:rsidR="00D70AEA" w:rsidRPr="00D70AEA" w:rsidRDefault="00D70AEA" w:rsidP="00D70AEA">
      <w:pPr>
        <w:spacing w:after="0" w:line="276" w:lineRule="auto"/>
        <w:ind w:right="20"/>
        <w:jc w:val="both"/>
        <w:rPr>
          <w:rFonts w:ascii="Arial" w:eastAsia="Times New Roman" w:hAnsi="Arial" w:cs="Arial"/>
          <w:lang w:val="ro-RO" w:eastAsia="ro-RO"/>
        </w:rPr>
      </w:pPr>
    </w:p>
    <w:p w14:paraId="5CE4BBDC" w14:textId="41E675A5"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Prin </w:t>
      </w:r>
      <w:r w:rsidRPr="00D70AEA">
        <w:rPr>
          <w:rFonts w:ascii="Arial" w:eastAsia="Times New Roman" w:hAnsi="Arial" w:cs="Arial"/>
          <w:b/>
          <w:bCs/>
          <w:lang w:val="ro-RO" w:eastAsia="ro-RO"/>
        </w:rPr>
        <w:t>Legea europeană a climei</w:t>
      </w:r>
      <w:r w:rsidR="00332115">
        <w:rPr>
          <w:rStyle w:val="Referinnotdesubsol"/>
          <w:rFonts w:ascii="Arial" w:eastAsia="Times New Roman" w:hAnsi="Arial" w:cs="Arial"/>
          <w:b/>
          <w:bCs/>
          <w:lang w:val="ro-RO" w:eastAsia="ro-RO"/>
        </w:rPr>
        <w:footnoteReference w:id="22"/>
      </w:r>
      <w:r w:rsidRPr="00D70AEA">
        <w:rPr>
          <w:rFonts w:ascii="Arial" w:eastAsia="Times New Roman" w:hAnsi="Arial" w:cs="Arial"/>
          <w:lang w:val="ro-RO" w:eastAsia="ro-RO"/>
        </w:rPr>
        <w:t>, Comisia Europeană propune stabilirea în legislație a obiectivului UE de realizare a neutralității climatice până în 2050 și crearea cadrului necesar pentru îndeplinirea acestui obiectiv. Propunerea urmărește să asigure că toate sectoarele economiei și societății contribuie la neutralitatea emisiilor până în 2050 și conturează un cadru pentru evaluarea progreselor înregistrate în vederea realizării acestui obiectiv.</w:t>
      </w:r>
    </w:p>
    <w:p w14:paraId="4E07C974"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La 17 decembrie 2020, Consiliul a ajuns la un acord referitor la o abordare generală privind Legea europeană a climei, inclusiv la un nou obiectiv al UE de reducere a emisiilor de gaze cu efect de seră cu cel puțin 55% până în 2030 comparativ cu 1990, în conformitate cu orientările furnizate de Consiliul European la 10-11 decembrie 2020. </w:t>
      </w:r>
    </w:p>
    <w:p w14:paraId="1BC83B83" w14:textId="77777777" w:rsidR="00D70AEA" w:rsidRPr="00D70AEA" w:rsidRDefault="00D70AEA" w:rsidP="00D70AEA">
      <w:pPr>
        <w:spacing w:after="0" w:line="276" w:lineRule="auto"/>
        <w:ind w:right="20"/>
        <w:jc w:val="both"/>
        <w:rPr>
          <w:rFonts w:ascii="Arial" w:eastAsia="Times New Roman" w:hAnsi="Arial" w:cs="Arial"/>
          <w:lang w:val="ro-RO" w:eastAsia="ro-RO"/>
        </w:rPr>
      </w:pPr>
    </w:p>
    <w:p w14:paraId="6B9FD84B"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Proiectele propuse în cadrul PMUD </w:t>
      </w:r>
      <w:r w:rsidR="003164E3">
        <w:rPr>
          <w:rFonts w:ascii="Arial" w:eastAsia="Times New Roman" w:hAnsi="Arial" w:cs="Arial"/>
          <w:lang w:val="ro-RO" w:eastAsia="ro-RO"/>
        </w:rPr>
        <w:t>al oraşului Horezu</w:t>
      </w:r>
      <w:r w:rsidRPr="00D70AEA">
        <w:rPr>
          <w:rFonts w:ascii="Arial" w:eastAsia="Times New Roman" w:hAnsi="Arial" w:cs="Arial"/>
          <w:lang w:val="ro-RO" w:eastAsia="ro-RO"/>
        </w:rPr>
        <w:t xml:space="preserve"> vor fi în concordanţă cu obiectivele strategice europene ale mobilităţii durabile şi inteligente.</w:t>
      </w:r>
      <w:r w:rsidR="00CD695B">
        <w:rPr>
          <w:rFonts w:ascii="Arial" w:eastAsia="Times New Roman" w:hAnsi="Arial" w:cs="Arial"/>
          <w:lang w:val="ro-RO" w:eastAsia="ro-RO"/>
        </w:rPr>
        <w:t xml:space="preserve"> Oraşul Horezu trebuie să aibă în vedere reducerea emisiilor de carbon ca unul dintre obiectivele principale ale dezvoltării, fiind astfel necesare abordări care să încurajeze mijloacele de transport prietenoase cu mediul şi în special, a mobilităţii activ</w:t>
      </w:r>
      <w:r w:rsidR="00E16796">
        <w:rPr>
          <w:rFonts w:ascii="Arial" w:eastAsia="Times New Roman" w:hAnsi="Arial" w:cs="Arial"/>
          <w:lang w:val="ro-RO" w:eastAsia="ro-RO"/>
        </w:rPr>
        <w:t xml:space="preserve">e (mers pe jos, bicicletă), în acelaşi timp fiind necesară monitorizarea şi gestionarea efectelor provocate de schimbările climatice, astfel încât să se reducă impactul acestora asupra dezvoltării la nivelul oraşului. Serviciile de mobilitate urbană trebuie să fie echitabile şi accesibile </w:t>
      </w:r>
      <w:r w:rsidR="00E16796">
        <w:rPr>
          <w:rFonts w:ascii="Arial" w:eastAsia="Times New Roman" w:hAnsi="Arial" w:cs="Arial"/>
          <w:lang w:val="ro-RO" w:eastAsia="ro-RO"/>
        </w:rPr>
        <w:lastRenderedPageBreak/>
        <w:t>pentru toţi cetăţenii, urmărindu-se asigurarea unei mobilităţi sigure şi eficiente, inclusiv pentru categoriile defavorizate.</w:t>
      </w:r>
    </w:p>
    <w:p w14:paraId="6E39AEED" w14:textId="77777777" w:rsidR="00D70AEA" w:rsidRDefault="00D70AEA" w:rsidP="00D70AEA">
      <w:pPr>
        <w:spacing w:after="0" w:line="276" w:lineRule="auto"/>
        <w:ind w:right="20"/>
        <w:jc w:val="both"/>
        <w:rPr>
          <w:rFonts w:ascii="Arial" w:eastAsia="Times New Roman" w:hAnsi="Arial" w:cs="Arial"/>
          <w:lang w:val="ro-RO" w:eastAsia="ro-RO"/>
        </w:rPr>
      </w:pPr>
    </w:p>
    <w:p w14:paraId="35F8B9B4" w14:textId="77777777" w:rsidR="00244DED" w:rsidRPr="00D70AEA" w:rsidRDefault="00244DED" w:rsidP="00D70AEA">
      <w:pPr>
        <w:spacing w:after="0" w:line="276" w:lineRule="auto"/>
        <w:ind w:right="20"/>
        <w:jc w:val="both"/>
        <w:rPr>
          <w:rFonts w:ascii="Arial" w:eastAsia="Times New Roman" w:hAnsi="Arial" w:cs="Arial"/>
          <w:lang w:val="ro-RO" w:eastAsia="ro-RO"/>
        </w:rPr>
      </w:pPr>
    </w:p>
    <w:p w14:paraId="21F8EEC2" w14:textId="1416C4F1" w:rsidR="00D70AEA" w:rsidRPr="00D70AEA" w:rsidRDefault="00D70AEA" w:rsidP="00BF292E">
      <w:pPr>
        <w:spacing w:after="0" w:line="276" w:lineRule="auto"/>
        <w:ind w:right="20"/>
        <w:jc w:val="both"/>
        <w:rPr>
          <w:rFonts w:ascii="Arial" w:eastAsia="Times New Roman" w:hAnsi="Arial" w:cs="Arial"/>
          <w:lang w:val="ro-RO" w:eastAsia="ro-RO"/>
        </w:rPr>
      </w:pPr>
      <w:r w:rsidRPr="00D70AEA">
        <w:rPr>
          <w:rFonts w:ascii="Arial" w:eastAsia="Calibri" w:hAnsi="Arial" w:cs="Arial"/>
          <w:b/>
          <w:bCs/>
        </w:rPr>
        <w:t>Cadrul de politică al UE privind siguranța rutieră 2021-2030</w:t>
      </w:r>
      <w:r w:rsidRPr="00D70AEA">
        <w:rPr>
          <w:rFonts w:ascii="Arial" w:eastAsia="Calibri" w:hAnsi="Arial" w:cs="Arial"/>
        </w:rPr>
        <w:t xml:space="preserve"> – Următorii pași în direcția „Viziunii zero”</w:t>
      </w:r>
      <w:r w:rsidR="00451B2F">
        <w:rPr>
          <w:rStyle w:val="Referinnotdesubsol"/>
          <w:rFonts w:ascii="Arial" w:eastAsia="Calibri" w:hAnsi="Arial" w:cs="Arial"/>
        </w:rPr>
        <w:footnoteReference w:id="23"/>
      </w:r>
    </w:p>
    <w:p w14:paraId="65EC3D13" w14:textId="4BB574B6" w:rsidR="00D70AEA" w:rsidRPr="00D70AEA" w:rsidRDefault="00D70AEA" w:rsidP="00BF292E">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În cadrul pachetului „Europa în mișcare” din mai 2018, Comisia Europeană a prezentat o nouă abordare privind politica de siguranță rutieră a UE - </w:t>
      </w:r>
      <w:r w:rsidRPr="00D70AEA">
        <w:rPr>
          <w:rFonts w:ascii="Arial" w:eastAsia="Times New Roman" w:hAnsi="Arial" w:cs="Arial"/>
          <w:b/>
          <w:lang w:val="ro-RO" w:eastAsia="ro-RO"/>
        </w:rPr>
        <w:t>Comunicarea „Europa în mișcare – Mobilitate durabilă pentru Europa: sigură, conectată și curată”, COM(2018)</w:t>
      </w:r>
      <w:r w:rsidR="00451B2F">
        <w:rPr>
          <w:rStyle w:val="Referinnotdesubsol"/>
          <w:rFonts w:ascii="Arial" w:eastAsia="Times New Roman" w:hAnsi="Arial" w:cs="Arial"/>
          <w:b/>
          <w:lang w:val="ro-RO" w:eastAsia="ro-RO"/>
        </w:rPr>
        <w:footnoteReference w:id="24"/>
      </w:r>
      <w:r w:rsidRPr="00D70AEA">
        <w:rPr>
          <w:rFonts w:ascii="Arial" w:eastAsia="Times New Roman" w:hAnsi="Arial" w:cs="Arial"/>
          <w:lang w:val="ro-RO" w:eastAsia="ro-RO"/>
        </w:rPr>
        <w:t xml:space="preserve">, alături de un </w:t>
      </w:r>
      <w:r w:rsidRPr="00D70AEA">
        <w:rPr>
          <w:rFonts w:ascii="Arial" w:eastAsia="Times New Roman" w:hAnsi="Arial" w:cs="Arial"/>
          <w:b/>
          <w:lang w:val="ro-RO" w:eastAsia="ro-RO"/>
        </w:rPr>
        <w:t>Plan de acțiune strategic pe termen mediu</w:t>
      </w:r>
      <w:r w:rsidRPr="00D70AEA">
        <w:rPr>
          <w:rFonts w:ascii="Arial" w:eastAsia="Times New Roman" w:hAnsi="Arial" w:cs="Arial"/>
          <w:lang w:val="ro-RO" w:eastAsia="ro-RO"/>
        </w:rPr>
        <w:t>.</w:t>
      </w:r>
      <w:r w:rsidRPr="00D70AEA">
        <w:rPr>
          <w:rFonts w:ascii="Calibri" w:eastAsia="Calibri" w:hAnsi="Calibri" w:cs="Times New Roman"/>
        </w:rPr>
        <w:t xml:space="preserve"> </w:t>
      </w:r>
      <w:r w:rsidRPr="00D70AEA">
        <w:rPr>
          <w:rFonts w:ascii="Arial" w:eastAsia="Times New Roman" w:hAnsi="Arial" w:cs="Arial"/>
          <w:lang w:val="ro-RO" w:eastAsia="ro-RO"/>
        </w:rPr>
        <w:t>Acest al treilea și ultim pachet „Europa în mișcare” vizează să realizeze obiectivele noii strategii de politică industrială din septembrie 2017 și să finalizeze procesul menit să permită Europei să valorifice pe deplin beneficiile modernizării mobilității. Pentru a îndeplini aceste obiective, este esențial ca sistemul de mobilitate de mâine să fie sigur, curat și eficient pentru toți cetățenii UE.</w:t>
      </w:r>
    </w:p>
    <w:p w14:paraId="32EFEF60" w14:textId="77777777" w:rsidR="00D70AEA" w:rsidRPr="00D70AEA" w:rsidRDefault="00D70AEA" w:rsidP="006B613A">
      <w:pPr>
        <w:numPr>
          <w:ilvl w:val="0"/>
          <w:numId w:val="40"/>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Mobilitatea sigură: acordarea de prioritate siguranței</w:t>
      </w:r>
    </w:p>
    <w:p w14:paraId="39BEF7D0" w14:textId="77777777" w:rsidR="00D70AEA" w:rsidRPr="00D70AEA" w:rsidRDefault="00D70AEA" w:rsidP="006B613A">
      <w:pPr>
        <w:numPr>
          <w:ilvl w:val="0"/>
          <w:numId w:val="41"/>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Obiectivul pe termen lung al UE va rămâne acela de a se apropia cât mai mult de un nivel zero al deceselor cauzate de accidente rutiere până în 2050 („viziunea zero”). Același obiectiv ar trebui îndeplinit și în ceea ce privește vătămările grave. De asemenea, UE va urmări noi obiective intermediare de reducere cu 50% a numărului de decese cauzate de accidente rutiere în perioada 2020-2030 și de reducere cu 50% a numărului de vătămări grave în aceeași perioadă (utilizând noua definiție comună a vătămării grave convenită cu toate statele membre)</w:t>
      </w:r>
    </w:p>
    <w:p w14:paraId="6E35BA68" w14:textId="77777777" w:rsidR="00D70AEA" w:rsidRPr="00D70AEA" w:rsidRDefault="00D70AEA" w:rsidP="00D70AEA">
      <w:pPr>
        <w:spacing w:after="0" w:line="276" w:lineRule="auto"/>
        <w:ind w:right="20"/>
        <w:jc w:val="both"/>
        <w:rPr>
          <w:rFonts w:ascii="Arial" w:eastAsia="Times New Roman" w:hAnsi="Arial" w:cs="Arial"/>
          <w:lang w:val="ro-RO" w:eastAsia="ro-RO"/>
        </w:rPr>
      </w:pPr>
    </w:p>
    <w:p w14:paraId="1E3D0B70" w14:textId="77777777" w:rsidR="00D70AEA" w:rsidRPr="00D70AEA" w:rsidRDefault="00D70AEA" w:rsidP="006B613A">
      <w:pPr>
        <w:numPr>
          <w:ilvl w:val="0"/>
          <w:numId w:val="37"/>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Mobilitate conectată și automatizată: construirea drumului către următoarea frontieră</w:t>
      </w:r>
    </w:p>
    <w:p w14:paraId="26EC91A5" w14:textId="77777777" w:rsidR="00D70AEA" w:rsidRPr="00D70AEA" w:rsidRDefault="00D70AEA" w:rsidP="006B613A">
      <w:pPr>
        <w:numPr>
          <w:ilvl w:val="0"/>
          <w:numId w:val="38"/>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strategie pentru introducerea vehiculelor conectate și automatizate în Europa</w:t>
      </w:r>
    </w:p>
    <w:p w14:paraId="5C9C2521" w14:textId="77777777" w:rsidR="00D70AEA" w:rsidRPr="00D70AEA" w:rsidRDefault="00D70AEA" w:rsidP="006B613A">
      <w:pPr>
        <w:numPr>
          <w:ilvl w:val="0"/>
          <w:numId w:val="38"/>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Instituirea unui mediu digital pentru schimbul de informații în sectorul transporturilor</w:t>
      </w:r>
    </w:p>
    <w:p w14:paraId="6D495A0C" w14:textId="77777777" w:rsidR="00D70AEA" w:rsidRPr="00D70AEA" w:rsidRDefault="00D70AEA" w:rsidP="00D70AEA">
      <w:pPr>
        <w:spacing w:after="0" w:line="276" w:lineRule="auto"/>
        <w:ind w:right="20"/>
        <w:jc w:val="both"/>
        <w:rPr>
          <w:rFonts w:ascii="Arial" w:eastAsia="Times New Roman" w:hAnsi="Arial" w:cs="Arial"/>
          <w:lang w:val="ro-RO" w:eastAsia="ro-RO"/>
        </w:rPr>
      </w:pPr>
    </w:p>
    <w:p w14:paraId="32107040" w14:textId="77777777" w:rsidR="00D70AEA" w:rsidRPr="00D70AEA" w:rsidRDefault="00D70AEA" w:rsidP="006B613A">
      <w:pPr>
        <w:numPr>
          <w:ilvl w:val="0"/>
          <w:numId w:val="37"/>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Mobilitatea curată: combaterea schimbărilor climatice, menținând totodată competitivitatea industriei UE</w:t>
      </w:r>
    </w:p>
    <w:p w14:paraId="3BAF24B0" w14:textId="77777777" w:rsidR="00D70AEA" w:rsidRPr="00D70AEA" w:rsidRDefault="00D70AEA" w:rsidP="006B613A">
      <w:pPr>
        <w:numPr>
          <w:ilvl w:val="0"/>
          <w:numId w:val="3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Crearea unui „ecosistem” competitiv pentru baterii în Europa – Plan strategic de acțiune</w:t>
      </w:r>
    </w:p>
    <w:p w14:paraId="491F3AD2" w14:textId="77777777" w:rsidR="00D70AEA" w:rsidRPr="00D70AEA" w:rsidRDefault="00D70AEA" w:rsidP="006B613A">
      <w:pPr>
        <w:numPr>
          <w:ilvl w:val="0"/>
          <w:numId w:val="3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Finalizarea cadrului legislativ al UE privind emisiile de CO</w:t>
      </w:r>
      <w:r w:rsidRPr="00280787">
        <w:rPr>
          <w:rFonts w:ascii="Arial" w:eastAsia="Times New Roman" w:hAnsi="Arial" w:cs="Arial"/>
          <w:vertAlign w:val="subscript"/>
          <w:lang w:val="ro-RO" w:eastAsia="ro-RO"/>
        </w:rPr>
        <w:t>2</w:t>
      </w:r>
      <w:r w:rsidRPr="00D70AEA">
        <w:rPr>
          <w:rFonts w:ascii="Arial" w:eastAsia="Times New Roman" w:hAnsi="Arial" w:cs="Arial"/>
          <w:lang w:val="ro-RO" w:eastAsia="ro-RO"/>
        </w:rPr>
        <w:t xml:space="preserve"> generate de transportul rutier</w:t>
      </w:r>
    </w:p>
    <w:p w14:paraId="4E205DAF" w14:textId="77777777" w:rsidR="00D70AEA" w:rsidRPr="00D70AEA" w:rsidRDefault="00D70AEA" w:rsidP="006B613A">
      <w:pPr>
        <w:numPr>
          <w:ilvl w:val="0"/>
          <w:numId w:val="3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nouă metodologie de comparare a prețurilor combustibililor pentru consumatori</w:t>
      </w:r>
    </w:p>
    <w:p w14:paraId="4AB6E2C8" w14:textId="77777777" w:rsidR="00D70AEA" w:rsidRPr="00D70AEA" w:rsidRDefault="00D70AEA" w:rsidP="006B613A">
      <w:pPr>
        <w:numPr>
          <w:ilvl w:val="0"/>
          <w:numId w:val="3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Îmbunătățirea etichetării pneurilor</w:t>
      </w:r>
    </w:p>
    <w:p w14:paraId="6526F52F" w14:textId="77777777" w:rsidR="00D70AEA" w:rsidRPr="00D70AEA" w:rsidRDefault="00D70AEA" w:rsidP="006B613A">
      <w:pPr>
        <w:numPr>
          <w:ilvl w:val="0"/>
          <w:numId w:val="3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Cerințe de proiectare pentru camioane în vederea reducerii emisiilor de CO</w:t>
      </w:r>
      <w:r w:rsidRPr="00280787">
        <w:rPr>
          <w:rFonts w:ascii="Arial" w:eastAsia="Times New Roman" w:hAnsi="Arial" w:cs="Arial"/>
          <w:vertAlign w:val="subscript"/>
          <w:lang w:val="ro-RO" w:eastAsia="ro-RO"/>
        </w:rPr>
        <w:t>2</w:t>
      </w:r>
      <w:r w:rsidRPr="00D70AEA">
        <w:rPr>
          <w:rFonts w:ascii="Arial" w:eastAsia="Times New Roman" w:hAnsi="Arial" w:cs="Arial"/>
          <w:lang w:val="ro-RO" w:eastAsia="ro-RO"/>
        </w:rPr>
        <w:t xml:space="preserve"> și a îmbunătățirii siguranței</w:t>
      </w:r>
    </w:p>
    <w:p w14:paraId="229906CF" w14:textId="77777777" w:rsidR="00D70AEA" w:rsidRPr="00D70AEA" w:rsidRDefault="00D70AEA" w:rsidP="006B613A">
      <w:pPr>
        <w:numPr>
          <w:ilvl w:val="0"/>
          <w:numId w:val="3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Revizuirea cadrului pentru impozitarea energiei în vederea promovării electromobilității</w:t>
      </w:r>
    </w:p>
    <w:p w14:paraId="63A6FAE7" w14:textId="77777777" w:rsidR="00D70AEA" w:rsidRPr="00D70AEA" w:rsidRDefault="00D70AEA" w:rsidP="006B613A">
      <w:pPr>
        <w:numPr>
          <w:ilvl w:val="0"/>
          <w:numId w:val="39"/>
        </w:numPr>
        <w:spacing w:after="0" w:line="276" w:lineRule="auto"/>
        <w:ind w:right="20"/>
        <w:contextualSpacing/>
        <w:jc w:val="both"/>
        <w:rPr>
          <w:rFonts w:ascii="Arial" w:eastAsia="Times New Roman" w:hAnsi="Arial" w:cs="Arial"/>
          <w:lang w:val="ro-RO" w:eastAsia="ro-RO"/>
        </w:rPr>
      </w:pPr>
      <w:r w:rsidRPr="00D70AEA">
        <w:rPr>
          <w:rFonts w:ascii="Arial" w:eastAsia="Times New Roman" w:hAnsi="Arial" w:cs="Arial"/>
          <w:lang w:val="ro-RO" w:eastAsia="ro-RO"/>
        </w:rPr>
        <w:t>Raționalizarea punerii în aplicare a rețelei centrale transeuropene de transport în vederea realizării mobilității cu emisii scăzute de dioxid de carbon</w:t>
      </w:r>
    </w:p>
    <w:p w14:paraId="17F4699B"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Plan de acțiune strategic privind siguranța rutieră</w:t>
      </w:r>
    </w:p>
    <w:p w14:paraId="16841230" w14:textId="77777777" w:rsidR="00D70AEA" w:rsidRPr="00D70AEA" w:rsidRDefault="004B211F" w:rsidP="00D70AEA">
      <w:pPr>
        <w:spacing w:after="0" w:line="276" w:lineRule="auto"/>
        <w:ind w:right="20"/>
        <w:jc w:val="both"/>
        <w:rPr>
          <w:rFonts w:ascii="Arial" w:eastAsia="Times New Roman" w:hAnsi="Arial" w:cs="Arial"/>
          <w:lang w:val="ro-RO" w:eastAsia="ro-RO"/>
        </w:rPr>
      </w:pPr>
      <w:r>
        <w:rPr>
          <w:rFonts w:ascii="Arial" w:eastAsia="Times New Roman" w:hAnsi="Arial" w:cs="Arial"/>
          <w:lang w:val="ro-RO" w:eastAsia="ro-RO"/>
        </w:rPr>
        <w:t xml:space="preserve">1. </w:t>
      </w:r>
      <w:r w:rsidR="00D70AEA" w:rsidRPr="00D70AEA">
        <w:rPr>
          <w:rFonts w:ascii="Arial" w:eastAsia="Times New Roman" w:hAnsi="Arial" w:cs="Arial"/>
          <w:lang w:val="ro-RO" w:eastAsia="ro-RO"/>
        </w:rPr>
        <w:t>O guvernanță consolidată în domeniul siguranței rutiere</w:t>
      </w:r>
    </w:p>
    <w:p w14:paraId="63BA7BB9"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2. Sprijin financiar sporit pentru siguranța rutieră</w:t>
      </w:r>
    </w:p>
    <w:p w14:paraId="04296292"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3. Drumuri și acostamente sigure</w:t>
      </w:r>
    </w:p>
    <w:p w14:paraId="42B71FE7"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4. Vehicule sigure</w:t>
      </w:r>
    </w:p>
    <w:p w14:paraId="064FC8D9"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5. Utilizarea drumurilor în condiții de siguranță</w:t>
      </w:r>
    </w:p>
    <w:p w14:paraId="3DD8DDD6"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6. Intervenții rapide și eficace în situații de urgență</w:t>
      </w:r>
    </w:p>
    <w:p w14:paraId="43C32CA4"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lastRenderedPageBreak/>
        <w:t>7. O siguranță rutieră adaptată exigențelor viitorului</w:t>
      </w:r>
    </w:p>
    <w:p w14:paraId="31945783"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8. Rolul UE la nivel mondial: exportarea siguranței rutiere</w:t>
      </w:r>
    </w:p>
    <w:p w14:paraId="22EDFE74"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Lista de proiecte din PMUD </w:t>
      </w:r>
      <w:r w:rsidR="00BF292E">
        <w:rPr>
          <w:rFonts w:ascii="Arial" w:eastAsia="Times New Roman" w:hAnsi="Arial" w:cs="Arial"/>
          <w:lang w:val="ro-RO" w:eastAsia="ro-RO"/>
        </w:rPr>
        <w:t>al orașului Horezu</w:t>
      </w:r>
      <w:r w:rsidRPr="00D70AEA">
        <w:rPr>
          <w:rFonts w:ascii="Arial" w:eastAsia="Times New Roman" w:hAnsi="Arial" w:cs="Arial"/>
          <w:lang w:val="ro-RO" w:eastAsia="ro-RO"/>
        </w:rPr>
        <w:t xml:space="preserve"> vor îmbunătăți major gradul de siguranță al participanților la trafic din punct de vedere al îmbunătățirii infrastructurii și din punct de vedere a utilizării tehnologiei.</w:t>
      </w:r>
    </w:p>
    <w:p w14:paraId="1F477505" w14:textId="77777777" w:rsidR="00D70AEA" w:rsidRDefault="00D70AEA" w:rsidP="00D70AEA">
      <w:pPr>
        <w:spacing w:after="0" w:line="276" w:lineRule="auto"/>
        <w:ind w:right="20"/>
        <w:jc w:val="both"/>
        <w:rPr>
          <w:rFonts w:ascii="Arial" w:eastAsia="Times New Roman" w:hAnsi="Arial" w:cs="Arial"/>
          <w:lang w:val="ro-RO" w:eastAsia="ro-RO"/>
        </w:rPr>
      </w:pPr>
    </w:p>
    <w:p w14:paraId="1361023B" w14:textId="3BD2A2EC" w:rsidR="00A46299" w:rsidRDefault="00A46299" w:rsidP="00A46299">
      <w:pPr>
        <w:widowControl w:val="0"/>
        <w:tabs>
          <w:tab w:val="left" w:pos="662"/>
        </w:tabs>
        <w:spacing w:after="0" w:line="276" w:lineRule="auto"/>
        <w:jc w:val="both"/>
        <w:rPr>
          <w:rFonts w:ascii="Arial" w:eastAsia="Arial Narrow" w:hAnsi="Arial" w:cs="Arial"/>
          <w:color w:val="000000"/>
          <w:shd w:val="clear" w:color="auto" w:fill="FFFFFF"/>
          <w:lang w:val="ro-RO"/>
        </w:rPr>
      </w:pPr>
      <w:r w:rsidRPr="00A46299">
        <w:rPr>
          <w:rFonts w:ascii="Arial" w:eastAsia="Arial Narrow" w:hAnsi="Arial" w:cs="Arial"/>
          <w:b/>
          <w:bCs/>
          <w:color w:val="000000"/>
          <w:shd w:val="clear" w:color="auto" w:fill="FFFFFF"/>
          <w:lang w:val="ro-RO"/>
        </w:rPr>
        <w:t>Regulamentul (UE) nr. 1301/2013</w:t>
      </w:r>
      <w:r w:rsidR="00451B2F">
        <w:rPr>
          <w:rStyle w:val="Referinnotdesubsol"/>
          <w:rFonts w:ascii="Arial" w:eastAsia="Arial Narrow" w:hAnsi="Arial" w:cs="Arial"/>
          <w:b/>
          <w:bCs/>
          <w:color w:val="000000"/>
          <w:shd w:val="clear" w:color="auto" w:fill="FFFFFF"/>
          <w:lang w:val="ro-RO"/>
        </w:rPr>
        <w:footnoteReference w:id="25"/>
      </w:r>
      <w:r w:rsidRPr="00A46299">
        <w:rPr>
          <w:rFonts w:ascii="Arial" w:eastAsia="Arial Narrow" w:hAnsi="Arial" w:cs="Arial"/>
          <w:b/>
          <w:bCs/>
          <w:color w:val="000000"/>
          <w:shd w:val="clear" w:color="auto" w:fill="FFFFFF"/>
          <w:lang w:val="ro-RO"/>
        </w:rPr>
        <w:t xml:space="preserve"> </w:t>
      </w:r>
      <w:r w:rsidRPr="00A46299">
        <w:rPr>
          <w:rFonts w:ascii="Arial" w:eastAsia="Arial Narrow" w:hAnsi="Arial" w:cs="Arial"/>
          <w:color w:val="000000"/>
          <w:shd w:val="clear" w:color="auto" w:fill="FFFFFF"/>
          <w:lang w:val="ro-RO"/>
        </w:rPr>
        <w:t>al Parlamentului European şi al Consiliului din 17 decembrie 2013 privind Fondul european de dezvoltare regională şi dispoziţiile specifice aplicabile obiectivului referitor la investiţiile pentru creştere economică şi locuri de muncă şi de abrogare a Regulamentului (CE) nr. 1080/2006 care precizeaza cu privire la Dezvoltarea urbană durabilă „în cadrul programelor operaţionale, FEDR sprijină dezvoltarea urbană durabilă prin strategii care stabilesc acţiuni integrate pentru a aborda provocări economice, sociale, climatice, demografice şi de mediu care afectează zonele urbane, ţinând seama de nevoia de a promova legăturile dintre zonele urbane şi cele rurale.</w:t>
      </w:r>
    </w:p>
    <w:p w14:paraId="0B9F5ADE" w14:textId="77777777" w:rsidR="009A7217" w:rsidRDefault="009A7217" w:rsidP="00A46299">
      <w:pPr>
        <w:widowControl w:val="0"/>
        <w:tabs>
          <w:tab w:val="left" w:pos="662"/>
        </w:tabs>
        <w:spacing w:after="0" w:line="276" w:lineRule="auto"/>
        <w:jc w:val="both"/>
        <w:rPr>
          <w:rFonts w:ascii="Arial" w:eastAsia="Arial Narrow" w:hAnsi="Arial" w:cs="Arial"/>
          <w:color w:val="000000"/>
          <w:shd w:val="clear" w:color="auto" w:fill="FFFFFF"/>
          <w:lang w:val="ro-RO"/>
        </w:rPr>
      </w:pPr>
    </w:p>
    <w:p w14:paraId="7B6DAA6C" w14:textId="77777777" w:rsidR="009A7217" w:rsidRPr="00A46299" w:rsidRDefault="009A7217" w:rsidP="00BA2C29">
      <w:pPr>
        <w:widowControl w:val="0"/>
        <w:tabs>
          <w:tab w:val="left" w:pos="662"/>
        </w:tabs>
        <w:spacing w:after="0" w:line="276" w:lineRule="auto"/>
        <w:jc w:val="both"/>
        <w:rPr>
          <w:rFonts w:ascii="Arial" w:eastAsia="Arial Narrow" w:hAnsi="Arial" w:cs="Arial"/>
          <w:color w:val="000000"/>
          <w:lang w:val="ro-RO"/>
        </w:rPr>
      </w:pPr>
      <w:r>
        <w:rPr>
          <w:rFonts w:ascii="Arial" w:eastAsia="Arial Narrow" w:hAnsi="Arial" w:cs="Arial"/>
          <w:color w:val="000000"/>
          <w:shd w:val="clear" w:color="auto" w:fill="FFFFFF"/>
          <w:lang w:val="ro-RO"/>
        </w:rPr>
        <w:t xml:space="preserve">În 2013 a fost elaborat primul document metodologic </w:t>
      </w:r>
      <w:r w:rsidR="00831DE6">
        <w:rPr>
          <w:rFonts w:ascii="Arial" w:eastAsia="Arial Narrow" w:hAnsi="Arial" w:cs="Arial"/>
          <w:color w:val="000000"/>
          <w:shd w:val="clear" w:color="auto" w:fill="FFFFFF"/>
          <w:lang w:val="ro-RO"/>
        </w:rPr>
        <w:t xml:space="preserve">ce viza mobilitatea urbană, elaborat de ELTIS sub forma unui ghid de dezvoltare și implementare a unui plan de mobilitate urbană durabilă. </w:t>
      </w:r>
      <w:r w:rsidR="00BA2C29">
        <w:rPr>
          <w:rFonts w:ascii="Arial" w:eastAsia="Arial Narrow" w:hAnsi="Arial" w:cs="Arial"/>
          <w:color w:val="000000"/>
          <w:shd w:val="clear" w:color="auto" w:fill="FFFFFF"/>
          <w:lang w:val="ro-RO"/>
        </w:rPr>
        <w:t xml:space="preserve">În </w:t>
      </w:r>
      <w:r w:rsidR="00BA2C29" w:rsidRPr="00BA2C29">
        <w:rPr>
          <w:rFonts w:ascii="Arial" w:eastAsia="Arial Narrow" w:hAnsi="Arial" w:cs="Arial"/>
          <w:color w:val="000000"/>
          <w:shd w:val="clear" w:color="auto" w:fill="FFFFFF"/>
          <w:lang w:val="ro-RO"/>
        </w:rPr>
        <w:t xml:space="preserve">2019, </w:t>
      </w:r>
      <w:r w:rsidR="00BA2C29">
        <w:rPr>
          <w:rFonts w:ascii="Arial" w:eastAsia="Arial Narrow" w:hAnsi="Arial" w:cs="Arial"/>
          <w:color w:val="000000"/>
          <w:shd w:val="clear" w:color="auto" w:fill="FFFFFF"/>
          <w:lang w:val="ro-RO"/>
        </w:rPr>
        <w:t>documentul a fost</w:t>
      </w:r>
      <w:r w:rsidR="00BA2C29" w:rsidRPr="00BA2C29">
        <w:rPr>
          <w:rFonts w:ascii="Arial" w:eastAsia="Arial Narrow" w:hAnsi="Arial" w:cs="Arial"/>
          <w:color w:val="000000"/>
          <w:shd w:val="clear" w:color="auto" w:fill="FFFFFF"/>
          <w:lang w:val="ro-RO"/>
        </w:rPr>
        <w:t xml:space="preserve"> actualizat bazându-se pe experiența acumulată din realizarea planurilor</w:t>
      </w:r>
      <w:r w:rsidR="00BA2C29">
        <w:rPr>
          <w:rFonts w:ascii="Arial" w:eastAsia="Arial Narrow" w:hAnsi="Arial" w:cs="Arial"/>
          <w:color w:val="000000"/>
          <w:shd w:val="clear" w:color="auto" w:fill="FFFFFF"/>
          <w:lang w:val="ro-RO"/>
        </w:rPr>
        <w:t xml:space="preserve"> </w:t>
      </w:r>
      <w:r w:rsidR="00BA2C29" w:rsidRPr="00BA2C29">
        <w:rPr>
          <w:rFonts w:ascii="Arial" w:eastAsia="Arial Narrow" w:hAnsi="Arial" w:cs="Arial"/>
          <w:color w:val="000000"/>
          <w:shd w:val="clear" w:color="auto" w:fill="FFFFFF"/>
          <w:lang w:val="ro-RO"/>
        </w:rPr>
        <w:t>de mobilitate sustenabilă și pe expertiza specialiștilor consultați în cadrul evenimentelor</w:t>
      </w:r>
      <w:r w:rsidR="00BA2C29">
        <w:rPr>
          <w:rFonts w:ascii="Arial" w:eastAsia="Arial Narrow" w:hAnsi="Arial" w:cs="Arial"/>
          <w:color w:val="000000"/>
          <w:shd w:val="clear" w:color="auto" w:fill="FFFFFF"/>
          <w:lang w:val="ro-RO"/>
        </w:rPr>
        <w:t xml:space="preserve"> </w:t>
      </w:r>
      <w:r w:rsidR="00BA2C29" w:rsidRPr="00BA2C29">
        <w:rPr>
          <w:rFonts w:ascii="Arial" w:eastAsia="Arial Narrow" w:hAnsi="Arial" w:cs="Arial"/>
          <w:color w:val="000000"/>
          <w:shd w:val="clear" w:color="auto" w:fill="FFFFFF"/>
          <w:lang w:val="ro-RO"/>
        </w:rPr>
        <w:t>de implicare a părților interesate în procesul de elaborare a ghidului. Noul ghid de dezvoltare și</w:t>
      </w:r>
      <w:r w:rsidR="00637A40">
        <w:rPr>
          <w:rFonts w:ascii="Arial" w:eastAsia="Arial Narrow" w:hAnsi="Arial" w:cs="Arial"/>
          <w:color w:val="000000"/>
          <w:shd w:val="clear" w:color="auto" w:fill="FFFFFF"/>
          <w:lang w:val="ro-RO"/>
        </w:rPr>
        <w:t xml:space="preserve"> </w:t>
      </w:r>
      <w:r w:rsidR="00BA2C29" w:rsidRPr="00BA2C29">
        <w:rPr>
          <w:rFonts w:ascii="Arial" w:eastAsia="Arial Narrow" w:hAnsi="Arial" w:cs="Arial"/>
          <w:color w:val="000000"/>
          <w:shd w:val="clear" w:color="auto" w:fill="FFFFFF"/>
          <w:lang w:val="ro-RO"/>
        </w:rPr>
        <w:t>implementare a unui plan de mobilitate urbană sustenabilă se bazează pe un set actualizat de 8 principii</w:t>
      </w:r>
      <w:r w:rsidR="00637A40">
        <w:rPr>
          <w:rFonts w:ascii="Arial" w:eastAsia="Arial Narrow" w:hAnsi="Arial" w:cs="Arial"/>
          <w:color w:val="000000"/>
          <w:shd w:val="clear" w:color="auto" w:fill="FFFFFF"/>
          <w:lang w:val="ro-RO"/>
        </w:rPr>
        <w:t xml:space="preserve"> </w:t>
      </w:r>
      <w:r w:rsidR="00BA2C29" w:rsidRPr="00BA2C29">
        <w:rPr>
          <w:rFonts w:ascii="Arial" w:eastAsia="Arial Narrow" w:hAnsi="Arial" w:cs="Arial"/>
          <w:color w:val="000000"/>
          <w:shd w:val="clear" w:color="auto" w:fill="FFFFFF"/>
          <w:lang w:val="ro-RO"/>
        </w:rPr>
        <w:t>generale, respectiv:</w:t>
      </w:r>
    </w:p>
    <w:p w14:paraId="392FDEC8" w14:textId="77777777" w:rsidR="00A46299" w:rsidRPr="00A46299" w:rsidRDefault="00A46299" w:rsidP="00A46299">
      <w:pPr>
        <w:widowControl w:val="0"/>
        <w:tabs>
          <w:tab w:val="left" w:pos="662"/>
        </w:tabs>
        <w:spacing w:after="0" w:line="276" w:lineRule="auto"/>
        <w:jc w:val="both"/>
        <w:rPr>
          <w:rFonts w:ascii="Arial" w:eastAsia="Arial Narrow" w:hAnsi="Arial" w:cs="Arial"/>
          <w:color w:val="000000"/>
          <w:lang w:val="ro-RO"/>
        </w:rPr>
      </w:pPr>
    </w:p>
    <w:p w14:paraId="7C8267B5" w14:textId="77777777" w:rsidR="00D70AEA" w:rsidRPr="00D70AEA" w:rsidRDefault="00D70AEA" w:rsidP="00D70AEA">
      <w:pPr>
        <w:spacing w:after="0" w:line="276" w:lineRule="auto"/>
        <w:ind w:right="20"/>
        <w:jc w:val="both"/>
        <w:rPr>
          <w:rFonts w:ascii="Arial" w:eastAsia="Times New Roman" w:hAnsi="Arial" w:cs="Arial"/>
          <w:b/>
          <w:lang w:val="ro-RO" w:eastAsia="ro-RO"/>
        </w:rPr>
      </w:pPr>
      <w:r w:rsidRPr="00D70AEA">
        <w:rPr>
          <w:rFonts w:ascii="Arial" w:eastAsia="Times New Roman" w:hAnsi="Arial" w:cs="Arial"/>
          <w:b/>
          <w:lang w:val="ro-RO" w:eastAsia="ro-RO"/>
        </w:rPr>
        <w:t xml:space="preserve">Linii directoare pentru dezvoltarea și implementarea unui plan de mobilitate urbană durabilă – Ediţia a </w:t>
      </w:r>
      <w:r w:rsidR="007A73C2">
        <w:rPr>
          <w:rFonts w:ascii="Arial" w:eastAsia="Times New Roman" w:hAnsi="Arial" w:cs="Arial"/>
          <w:b/>
          <w:lang w:val="ro-RO" w:eastAsia="ro-RO"/>
        </w:rPr>
        <w:t>dou</w:t>
      </w:r>
      <w:r w:rsidR="004B211F">
        <w:rPr>
          <w:rFonts w:ascii="Arial" w:eastAsia="Times New Roman" w:hAnsi="Arial" w:cs="Arial"/>
          <w:b/>
          <w:lang w:val="ro-RO" w:eastAsia="ro-RO"/>
        </w:rPr>
        <w:t>a</w:t>
      </w:r>
    </w:p>
    <w:p w14:paraId="31D18EC7"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Această ediţie a </w:t>
      </w:r>
      <w:r w:rsidR="007A73C2">
        <w:rPr>
          <w:rFonts w:ascii="Arial" w:eastAsia="Times New Roman" w:hAnsi="Arial" w:cs="Arial"/>
          <w:lang w:val="ro-RO" w:eastAsia="ro-RO"/>
        </w:rPr>
        <w:t>dou</w:t>
      </w:r>
      <w:r w:rsidR="00C54F96">
        <w:rPr>
          <w:rFonts w:ascii="Arial" w:eastAsia="Times New Roman" w:hAnsi="Arial" w:cs="Arial"/>
          <w:lang w:val="ro-RO" w:eastAsia="ro-RO"/>
        </w:rPr>
        <w:t>a</w:t>
      </w:r>
      <w:r w:rsidRPr="00D70AEA">
        <w:rPr>
          <w:rFonts w:ascii="Arial" w:eastAsia="Times New Roman" w:hAnsi="Arial" w:cs="Arial"/>
          <w:lang w:val="ro-RO" w:eastAsia="ro-RO"/>
        </w:rPr>
        <w:t xml:space="preserve"> a ghidului pentru dezvoltarea şi implementarea unui plan de mobilitate urbană este cel mai important document relevant pentru elaborarea PMUD-urilor și va sta la baza </w:t>
      </w:r>
      <w:r w:rsidR="00637A40">
        <w:rPr>
          <w:rFonts w:ascii="Arial" w:eastAsia="Times New Roman" w:hAnsi="Arial" w:cs="Arial"/>
          <w:lang w:val="ro-RO" w:eastAsia="ro-RO"/>
        </w:rPr>
        <w:t>întocmirii</w:t>
      </w:r>
      <w:r w:rsidRPr="00D70AEA">
        <w:rPr>
          <w:rFonts w:ascii="Arial" w:eastAsia="Times New Roman" w:hAnsi="Arial" w:cs="Arial"/>
          <w:lang w:val="ro-RO" w:eastAsia="ro-RO"/>
        </w:rPr>
        <w:t xml:space="preserve"> PMUD </w:t>
      </w:r>
      <w:r w:rsidR="00637A40">
        <w:rPr>
          <w:rFonts w:ascii="Arial" w:eastAsia="Times New Roman" w:hAnsi="Arial" w:cs="Arial"/>
          <w:lang w:val="ro-RO" w:eastAsia="ro-RO"/>
        </w:rPr>
        <w:t>al orașului Horezu</w:t>
      </w:r>
      <w:r w:rsidRPr="00D70AEA">
        <w:rPr>
          <w:rFonts w:ascii="Arial" w:eastAsia="Times New Roman" w:hAnsi="Arial" w:cs="Arial"/>
          <w:lang w:val="ro-RO" w:eastAsia="ro-RO"/>
        </w:rPr>
        <w:t>. Documentul are ca scop integrarea dezvoltărilor dinamice în multe domenii ale mobilității urbane și a unei bogate experiențe a ultimilor ani în implementarea conceptului de Planificare a Mobilității Urbane Durabile. Actualizarea liniilor directoare a PMUD a derivat din necesitatea asigurării că acestea reflectă cel mai bine tendințele cele mai recente în materie de mobilitate tehnologie și societate, toate afectând peisajul schimbării mobilității și marchează o etapă importantă în adoptarea unei noi culturi de planificare în Europa. Această revizuire cuprinzătoare a primei ediții din 2013 utilizată la scară largă, are ca scop integrarea dezvoltărilor dinamice în multe domenii ale mobilității urbane și a unei bogate experiențe a ultimilor ani în implementarea conceptului de Planificare a Mobilității Urbane Durabile.</w:t>
      </w:r>
    </w:p>
    <w:p w14:paraId="4F5F443B" w14:textId="77777777" w:rsidR="00D70AEA" w:rsidRPr="00D70AEA" w:rsidRDefault="00D70AEA" w:rsidP="00D70AEA">
      <w:pPr>
        <w:spacing w:after="0" w:line="276" w:lineRule="auto"/>
        <w:ind w:right="20"/>
        <w:jc w:val="both"/>
        <w:rPr>
          <w:rFonts w:ascii="Arial" w:eastAsia="Times New Roman" w:hAnsi="Arial" w:cs="Arial"/>
          <w:lang w:val="ro-RO" w:eastAsia="ro-RO"/>
        </w:rPr>
      </w:pPr>
    </w:p>
    <w:p w14:paraId="14C96068"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Rezultatul unui proces intens de implicate a părților interesate desfășurate pe perioada unui an, reactualizarea Liniilor directoare a fost inspirată de o revizuire detaliată a literaturii existente, incluzând ghiduri de planificare națională din mai multe țări, cu tradiție puternică în planificarea strategică a mobilității. PMUD pune un accent deosebit pe implicarea cetățenilor și a părților interesate, pe coordonarea politicilor între sectoare (în special transporturi, utilizarea terenurilor, mediu, dezvoltare economică, politică socială, sănătate, siguranță și energie) și pe cooperarea vastă în diferite niveluri de guvernare și actori privați. Prin PMUD sunt acoperite toate aspectele mobilității (atât persoane, cât și bunuri), moduri și servicii într-o manieră integrată și de a planifica întreaga „zonă urbană funcțională”.</w:t>
      </w:r>
    </w:p>
    <w:p w14:paraId="0C842883" w14:textId="77777777" w:rsidR="00D70AEA" w:rsidRPr="00D70AEA" w:rsidRDefault="00D70AEA" w:rsidP="00D70AEA">
      <w:pPr>
        <w:spacing w:after="0" w:line="276" w:lineRule="auto"/>
        <w:ind w:right="20"/>
        <w:jc w:val="both"/>
        <w:rPr>
          <w:rFonts w:ascii="Arial" w:eastAsia="Times New Roman" w:hAnsi="Arial" w:cs="Arial"/>
          <w:lang w:val="ro-RO" w:eastAsia="ro-RO"/>
        </w:rPr>
      </w:pPr>
    </w:p>
    <w:p w14:paraId="4512DBF1" w14:textId="77777777" w:rsidR="00D70AEA" w:rsidRPr="00D70AEA" w:rsidRDefault="00D70AEA" w:rsidP="00D70AEA">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Abordarea planificării transporturilor s-a schimbat considerabil în mediul academic și în practicile</w:t>
      </w:r>
      <w:r w:rsidR="0003407C">
        <w:rPr>
          <w:rFonts w:ascii="Arial" w:eastAsia="Times New Roman" w:hAnsi="Arial" w:cs="Arial"/>
          <w:lang w:val="ro-RO" w:eastAsia="ro-RO"/>
        </w:rPr>
        <w:t xml:space="preserve"> </w:t>
      </w:r>
      <w:r w:rsidRPr="00D70AEA">
        <w:rPr>
          <w:rFonts w:ascii="Arial" w:eastAsia="Times New Roman" w:hAnsi="Arial" w:cs="Arial"/>
          <w:lang w:val="ro-RO" w:eastAsia="ro-RO"/>
        </w:rPr>
        <w:t>de planificare în ultimii ani. Principalele diferențe dintre abordările tradiționale și Planificarea Mobilității Urbane Durabile sunt rezumate în această imagine de ansamblu:</w:t>
      </w:r>
      <w:r w:rsidRPr="00D70AEA">
        <w:rPr>
          <w:rFonts w:ascii="Arial" w:eastAsia="Times New Roman" w:hAnsi="Arial" w:cs="Arial"/>
          <w:lang w:val="ro-RO" w:eastAsia="ro-RO"/>
        </w:rPr>
        <w:cr/>
      </w:r>
    </w:p>
    <w:p w14:paraId="7F8C88C9" w14:textId="77777777" w:rsidR="00D70AEA" w:rsidRPr="00D70AEA" w:rsidRDefault="00D70AEA" w:rsidP="00D70AEA">
      <w:pPr>
        <w:spacing w:after="0" w:line="276" w:lineRule="auto"/>
        <w:ind w:right="20"/>
        <w:jc w:val="center"/>
        <w:rPr>
          <w:rFonts w:ascii="Arial" w:eastAsia="Times New Roman" w:hAnsi="Arial" w:cs="Arial"/>
          <w:lang w:val="ro-RO" w:eastAsia="ro-RO"/>
        </w:rPr>
      </w:pPr>
      <w:r w:rsidRPr="00D70AEA">
        <w:rPr>
          <w:rFonts w:ascii="Arial" w:eastAsia="Times New Roman" w:hAnsi="Arial" w:cs="Arial"/>
          <w:noProof/>
        </w:rPr>
        <w:drawing>
          <wp:inline distT="0" distB="0" distL="0" distR="0" wp14:anchorId="3A858C8B" wp14:editId="306D731C">
            <wp:extent cx="5943600" cy="43434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4343400"/>
                    </a:xfrm>
                    <a:prstGeom prst="rect">
                      <a:avLst/>
                    </a:prstGeom>
                    <a:noFill/>
                    <a:ln>
                      <a:noFill/>
                    </a:ln>
                  </pic:spPr>
                </pic:pic>
              </a:graphicData>
            </a:graphic>
          </wp:inline>
        </w:drawing>
      </w:r>
    </w:p>
    <w:p w14:paraId="4D6877DC" w14:textId="77777777" w:rsidR="00C54F96" w:rsidRPr="00C54F96" w:rsidRDefault="00C54F96" w:rsidP="00C54F96">
      <w:pPr>
        <w:pStyle w:val="Legend"/>
        <w:jc w:val="center"/>
        <w:rPr>
          <w:rFonts w:ascii="Arial" w:hAnsi="Arial" w:cs="Arial"/>
          <w:i w:val="0"/>
          <w:iCs w:val="0"/>
          <w:color w:val="auto"/>
        </w:rPr>
      </w:pPr>
      <w:r w:rsidRPr="00C54F96">
        <w:rPr>
          <w:rFonts w:ascii="Arial" w:hAnsi="Arial" w:cs="Arial"/>
          <w:i w:val="0"/>
          <w:iCs w:val="0"/>
          <w:color w:val="auto"/>
        </w:rPr>
        <w:t>Sursă: Orientări pentru dezvoltarea și implementarea unui plan de mobilitate urbană sustenabilă, ediția a doua, 2019</w:t>
      </w:r>
    </w:p>
    <w:p w14:paraId="3BCB220B" w14:textId="442C905B" w:rsidR="00D70AEA" w:rsidRPr="00243ACD" w:rsidRDefault="00243ACD" w:rsidP="00243ACD">
      <w:pPr>
        <w:pStyle w:val="Legend"/>
        <w:jc w:val="center"/>
        <w:rPr>
          <w:rFonts w:ascii="Arial" w:eastAsia="Times New Roman" w:hAnsi="Arial" w:cs="Arial"/>
          <w:i w:val="0"/>
          <w:iCs w:val="0"/>
          <w:color w:val="44546A"/>
          <w:sz w:val="22"/>
          <w:szCs w:val="22"/>
          <w:lang w:val="ro-RO" w:eastAsia="ro-RO"/>
        </w:rPr>
      </w:pPr>
      <w:bookmarkStart w:id="35" w:name="_Toc66287172"/>
      <w:bookmarkStart w:id="36" w:name="_Toc94182193"/>
      <w:bookmarkStart w:id="37" w:name="_Toc140744440"/>
      <w:r w:rsidRPr="00243ACD">
        <w:rPr>
          <w:rFonts w:ascii="Arial" w:hAnsi="Arial" w:cs="Arial"/>
          <w:sz w:val="22"/>
          <w:szCs w:val="22"/>
        </w:rPr>
        <w:t xml:space="preserve">Figura I.1. </w:t>
      </w:r>
      <w:r w:rsidRPr="00243ACD">
        <w:rPr>
          <w:rFonts w:ascii="Arial" w:hAnsi="Arial" w:cs="Arial"/>
          <w:sz w:val="22"/>
          <w:szCs w:val="22"/>
        </w:rPr>
        <w:fldChar w:fldCharType="begin"/>
      </w:r>
      <w:r w:rsidRPr="00243ACD">
        <w:rPr>
          <w:rFonts w:ascii="Arial" w:hAnsi="Arial" w:cs="Arial"/>
          <w:sz w:val="22"/>
          <w:szCs w:val="22"/>
        </w:rPr>
        <w:instrText xml:space="preserve"> SEQ Figura_I.1. \* ARABIC </w:instrText>
      </w:r>
      <w:r w:rsidRPr="00243ACD">
        <w:rPr>
          <w:rFonts w:ascii="Arial" w:hAnsi="Arial" w:cs="Arial"/>
          <w:sz w:val="22"/>
          <w:szCs w:val="22"/>
        </w:rPr>
        <w:fldChar w:fldCharType="separate"/>
      </w:r>
      <w:r w:rsidR="00BB181C">
        <w:rPr>
          <w:rFonts w:ascii="Arial" w:hAnsi="Arial" w:cs="Arial"/>
          <w:noProof/>
          <w:sz w:val="22"/>
          <w:szCs w:val="22"/>
        </w:rPr>
        <w:t>9</w:t>
      </w:r>
      <w:r w:rsidRPr="00243ACD">
        <w:rPr>
          <w:rFonts w:ascii="Arial" w:hAnsi="Arial" w:cs="Arial"/>
          <w:sz w:val="22"/>
          <w:szCs w:val="22"/>
        </w:rPr>
        <w:fldChar w:fldCharType="end"/>
      </w:r>
      <w:r w:rsidRPr="00243ACD">
        <w:rPr>
          <w:rFonts w:ascii="Arial" w:hAnsi="Arial" w:cs="Arial"/>
          <w:sz w:val="22"/>
          <w:szCs w:val="22"/>
        </w:rPr>
        <w:t xml:space="preserve"> </w:t>
      </w:r>
      <w:r w:rsidR="00C37E83" w:rsidRPr="00243ACD">
        <w:rPr>
          <w:rFonts w:ascii="Arial" w:hAnsi="Arial" w:cs="Arial"/>
          <w:sz w:val="22"/>
          <w:szCs w:val="22"/>
        </w:rPr>
        <w:t xml:space="preserve">- </w:t>
      </w:r>
      <w:r w:rsidR="00D70AEA" w:rsidRPr="00243ACD">
        <w:rPr>
          <w:rFonts w:ascii="Arial" w:eastAsia="Calibri" w:hAnsi="Arial" w:cs="Arial"/>
          <w:i w:val="0"/>
          <w:iCs w:val="0"/>
          <w:color w:val="44546A"/>
          <w:sz w:val="22"/>
          <w:szCs w:val="22"/>
        </w:rPr>
        <w:t>Diferențe între planificarea tradițională a transportului și Planificarea Mobilității Urbane Durabile</w:t>
      </w:r>
      <w:bookmarkEnd w:id="35"/>
      <w:bookmarkEnd w:id="36"/>
      <w:bookmarkEnd w:id="37"/>
    </w:p>
    <w:p w14:paraId="7AE5C1C8" w14:textId="77777777" w:rsidR="00D70AEA" w:rsidRDefault="00D70AEA" w:rsidP="00243ACD">
      <w:pPr>
        <w:spacing w:after="0" w:line="276" w:lineRule="auto"/>
        <w:ind w:right="20"/>
        <w:rPr>
          <w:rFonts w:ascii="Arial" w:eastAsia="Times New Roman" w:hAnsi="Arial" w:cs="Arial"/>
          <w:lang w:val="ro-RO" w:eastAsia="ro-RO"/>
        </w:rPr>
      </w:pPr>
    </w:p>
    <w:p w14:paraId="5B4801ED" w14:textId="77777777" w:rsidR="00243ACD" w:rsidRDefault="00243ACD" w:rsidP="00243ACD">
      <w:pPr>
        <w:spacing w:after="0" w:line="276" w:lineRule="auto"/>
        <w:ind w:right="20"/>
        <w:rPr>
          <w:rFonts w:ascii="Arial" w:hAnsi="Arial" w:cs="Arial"/>
        </w:rPr>
      </w:pPr>
      <w:r>
        <w:rPr>
          <w:rFonts w:ascii="Arial" w:hAnsi="Arial" w:cs="Arial"/>
        </w:rPr>
        <w:t>Potrivit n</w:t>
      </w:r>
      <w:r w:rsidRPr="00243ACD">
        <w:rPr>
          <w:rFonts w:ascii="Arial" w:hAnsi="Arial" w:cs="Arial"/>
        </w:rPr>
        <w:t>oul ghid</w:t>
      </w:r>
      <w:r>
        <w:rPr>
          <w:rFonts w:ascii="Arial" w:hAnsi="Arial" w:cs="Arial"/>
        </w:rPr>
        <w:t>, un</w:t>
      </w:r>
      <w:r w:rsidR="00C54F96">
        <w:rPr>
          <w:rFonts w:ascii="Arial" w:hAnsi="Arial" w:cs="Arial"/>
        </w:rPr>
        <w:t xml:space="preserve"> </w:t>
      </w:r>
      <w:r w:rsidRPr="00243ACD">
        <w:rPr>
          <w:rFonts w:ascii="Arial" w:hAnsi="Arial" w:cs="Arial"/>
        </w:rPr>
        <w:t>Un Plan de Mobilitate Urbană Durabilă se bazează pe</w:t>
      </w:r>
      <w:r w:rsidR="005D4B85">
        <w:rPr>
          <w:rFonts w:ascii="Arial" w:hAnsi="Arial" w:cs="Arial"/>
        </w:rPr>
        <w:t xml:space="preserve"> </w:t>
      </w:r>
      <w:r w:rsidRPr="00243ACD">
        <w:rPr>
          <w:rFonts w:ascii="Arial" w:hAnsi="Arial" w:cs="Arial"/>
        </w:rPr>
        <w:t>următoarele</w:t>
      </w:r>
      <w:r w:rsidR="005D4B85">
        <w:rPr>
          <w:rFonts w:ascii="Arial" w:hAnsi="Arial" w:cs="Arial"/>
        </w:rPr>
        <w:t xml:space="preserve"> 8</w:t>
      </w:r>
      <w:r w:rsidRPr="00243ACD">
        <w:rPr>
          <w:rFonts w:ascii="Arial" w:hAnsi="Arial" w:cs="Arial"/>
        </w:rPr>
        <w:t xml:space="preserve"> principii</w:t>
      </w:r>
      <w:r w:rsidR="005D4B85">
        <w:rPr>
          <w:rFonts w:ascii="Arial" w:hAnsi="Arial" w:cs="Arial"/>
        </w:rPr>
        <w:t>:</w:t>
      </w:r>
    </w:p>
    <w:p w14:paraId="747ECD11" w14:textId="77777777" w:rsidR="005D4B85" w:rsidRPr="005D4B85" w:rsidRDefault="005D4B85" w:rsidP="005D4B85">
      <w:pPr>
        <w:spacing w:after="0" w:line="276" w:lineRule="auto"/>
        <w:ind w:left="540" w:right="20"/>
        <w:rPr>
          <w:rFonts w:ascii="Arial" w:hAnsi="Arial" w:cs="Arial"/>
        </w:rPr>
      </w:pPr>
      <w:r w:rsidRPr="005D4B85">
        <w:rPr>
          <w:rFonts w:ascii="Segoe UI Symbol" w:hAnsi="Segoe UI Symbol" w:cs="Segoe UI Symbol"/>
        </w:rPr>
        <w:t>➊</w:t>
      </w:r>
      <w:r>
        <w:rPr>
          <w:rFonts w:ascii="Segoe UI Symbol" w:hAnsi="Segoe UI Symbol" w:cs="Segoe UI Symbol"/>
        </w:rPr>
        <w:t xml:space="preserve"> </w:t>
      </w:r>
      <w:r w:rsidR="007C224E">
        <w:rPr>
          <w:rFonts w:ascii="Arial" w:hAnsi="Arial" w:cs="Arial"/>
        </w:rPr>
        <w:t>Planificare</w:t>
      </w:r>
      <w:r w:rsidRPr="005D4B85">
        <w:rPr>
          <w:rFonts w:ascii="Arial" w:hAnsi="Arial" w:cs="Arial"/>
        </w:rPr>
        <w:t xml:space="preserve"> pentru mobilitate durabilă în „zona urbană funcțională” </w:t>
      </w:r>
    </w:p>
    <w:p w14:paraId="3F8DFB90" w14:textId="77777777" w:rsidR="005D4B85" w:rsidRPr="005D4B85" w:rsidRDefault="005D4B85" w:rsidP="005D4B85">
      <w:pPr>
        <w:spacing w:after="0" w:line="276" w:lineRule="auto"/>
        <w:ind w:left="540" w:right="20"/>
        <w:rPr>
          <w:rFonts w:ascii="Arial" w:hAnsi="Arial" w:cs="Arial"/>
        </w:rPr>
      </w:pPr>
      <w:r w:rsidRPr="005D4B85">
        <w:rPr>
          <w:rFonts w:ascii="Segoe UI Symbol" w:hAnsi="Segoe UI Symbol" w:cs="Segoe UI Symbol"/>
        </w:rPr>
        <w:t>➋</w:t>
      </w:r>
      <w:r w:rsidRPr="005D4B85">
        <w:rPr>
          <w:rFonts w:ascii="Arial" w:hAnsi="Arial" w:cs="Arial"/>
        </w:rPr>
        <w:t xml:space="preserve"> Coopera</w:t>
      </w:r>
      <w:r w:rsidR="007C224E">
        <w:rPr>
          <w:rFonts w:ascii="Arial" w:hAnsi="Arial" w:cs="Arial"/>
        </w:rPr>
        <w:t xml:space="preserve">re </w:t>
      </w:r>
      <w:r w:rsidRPr="005D4B85">
        <w:rPr>
          <w:rFonts w:ascii="Arial" w:hAnsi="Arial" w:cs="Arial"/>
        </w:rPr>
        <w:t xml:space="preserve">dincolo de granițele instituționale </w:t>
      </w:r>
    </w:p>
    <w:p w14:paraId="44F89CDA" w14:textId="77777777" w:rsidR="005D4B85" w:rsidRPr="005D4B85" w:rsidRDefault="005D4B85" w:rsidP="005D4B85">
      <w:pPr>
        <w:spacing w:after="0" w:line="276" w:lineRule="auto"/>
        <w:ind w:left="540" w:right="20"/>
        <w:rPr>
          <w:rFonts w:ascii="Arial" w:hAnsi="Arial" w:cs="Arial"/>
        </w:rPr>
      </w:pPr>
      <w:r w:rsidRPr="005D4B85">
        <w:rPr>
          <w:rFonts w:ascii="Segoe UI Symbol" w:hAnsi="Segoe UI Symbol" w:cs="Segoe UI Symbol"/>
        </w:rPr>
        <w:t>➌</w:t>
      </w:r>
      <w:r w:rsidRPr="005D4B85">
        <w:rPr>
          <w:rFonts w:ascii="Arial" w:hAnsi="Arial" w:cs="Arial"/>
        </w:rPr>
        <w:t xml:space="preserve"> Implica</w:t>
      </w:r>
      <w:r w:rsidR="007C224E">
        <w:rPr>
          <w:rFonts w:ascii="Arial" w:hAnsi="Arial" w:cs="Arial"/>
        </w:rPr>
        <w:t>rea</w:t>
      </w:r>
      <w:r w:rsidRPr="005D4B85">
        <w:rPr>
          <w:rFonts w:ascii="Arial" w:hAnsi="Arial" w:cs="Arial"/>
        </w:rPr>
        <w:t xml:space="preserve"> cetățeni</w:t>
      </w:r>
      <w:r w:rsidR="007C224E">
        <w:rPr>
          <w:rFonts w:ascii="Arial" w:hAnsi="Arial" w:cs="Arial"/>
        </w:rPr>
        <w:t>lor</w:t>
      </w:r>
      <w:r w:rsidRPr="005D4B85">
        <w:rPr>
          <w:rFonts w:ascii="Arial" w:hAnsi="Arial" w:cs="Arial"/>
        </w:rPr>
        <w:t xml:space="preserve"> și părțil</w:t>
      </w:r>
      <w:r w:rsidR="006B2402">
        <w:rPr>
          <w:rFonts w:ascii="Arial" w:hAnsi="Arial" w:cs="Arial"/>
        </w:rPr>
        <w:t>or</w:t>
      </w:r>
      <w:r w:rsidRPr="005D4B85">
        <w:rPr>
          <w:rFonts w:ascii="Arial" w:hAnsi="Arial" w:cs="Arial"/>
        </w:rPr>
        <w:t xml:space="preserve"> interesate </w:t>
      </w:r>
    </w:p>
    <w:p w14:paraId="10A6335C" w14:textId="77777777" w:rsidR="005D4B85" w:rsidRPr="005D4B85" w:rsidRDefault="005D4B85" w:rsidP="005D4B85">
      <w:pPr>
        <w:spacing w:after="0" w:line="276" w:lineRule="auto"/>
        <w:ind w:left="540" w:right="20"/>
        <w:rPr>
          <w:rFonts w:ascii="Arial" w:hAnsi="Arial" w:cs="Arial"/>
        </w:rPr>
      </w:pPr>
      <w:r w:rsidRPr="005D4B85">
        <w:rPr>
          <w:rFonts w:ascii="Segoe UI Symbol" w:hAnsi="Segoe UI Symbol" w:cs="Segoe UI Symbol"/>
        </w:rPr>
        <w:t>➍</w:t>
      </w:r>
      <w:r w:rsidRPr="005D4B85">
        <w:rPr>
          <w:rFonts w:ascii="Arial" w:hAnsi="Arial" w:cs="Arial"/>
        </w:rPr>
        <w:t xml:space="preserve"> Evalua</w:t>
      </w:r>
      <w:r w:rsidR="007C224E">
        <w:rPr>
          <w:rFonts w:ascii="Arial" w:hAnsi="Arial" w:cs="Arial"/>
        </w:rPr>
        <w:t>rea</w:t>
      </w:r>
      <w:r w:rsidRPr="005D4B85">
        <w:rPr>
          <w:rFonts w:ascii="Arial" w:hAnsi="Arial" w:cs="Arial"/>
        </w:rPr>
        <w:t xml:space="preserve"> performanțel</w:t>
      </w:r>
      <w:r w:rsidR="006B2402">
        <w:rPr>
          <w:rFonts w:ascii="Arial" w:hAnsi="Arial" w:cs="Arial"/>
        </w:rPr>
        <w:t>or</w:t>
      </w:r>
      <w:r w:rsidRPr="005D4B85">
        <w:rPr>
          <w:rFonts w:ascii="Arial" w:hAnsi="Arial" w:cs="Arial"/>
        </w:rPr>
        <w:t xml:space="preserve"> actuale și viitoare </w:t>
      </w:r>
    </w:p>
    <w:p w14:paraId="530D13EE" w14:textId="77777777" w:rsidR="005D4B85" w:rsidRPr="005D4B85" w:rsidRDefault="005D4B85" w:rsidP="005D4B85">
      <w:pPr>
        <w:spacing w:after="0" w:line="276" w:lineRule="auto"/>
        <w:ind w:left="540" w:right="20"/>
        <w:rPr>
          <w:rFonts w:ascii="Arial" w:hAnsi="Arial" w:cs="Arial"/>
        </w:rPr>
      </w:pPr>
      <w:r w:rsidRPr="005D4B85">
        <w:rPr>
          <w:rFonts w:ascii="Segoe UI Symbol" w:hAnsi="Segoe UI Symbol" w:cs="Segoe UI Symbol"/>
        </w:rPr>
        <w:t>➎</w:t>
      </w:r>
      <w:r w:rsidRPr="005D4B85">
        <w:rPr>
          <w:rFonts w:ascii="Arial" w:hAnsi="Arial" w:cs="Arial"/>
        </w:rPr>
        <w:t xml:space="preserve"> Defini</w:t>
      </w:r>
      <w:r w:rsidR="007C224E">
        <w:rPr>
          <w:rFonts w:ascii="Arial" w:hAnsi="Arial" w:cs="Arial"/>
        </w:rPr>
        <w:t>rea</w:t>
      </w:r>
      <w:r w:rsidRPr="005D4B85">
        <w:rPr>
          <w:rFonts w:ascii="Arial" w:hAnsi="Arial" w:cs="Arial"/>
        </w:rPr>
        <w:t xml:space="preserve"> </w:t>
      </w:r>
      <w:r w:rsidR="006B2402">
        <w:rPr>
          <w:rFonts w:ascii="Arial" w:hAnsi="Arial" w:cs="Arial"/>
        </w:rPr>
        <w:t>unei</w:t>
      </w:r>
      <w:r w:rsidRPr="005D4B85">
        <w:rPr>
          <w:rFonts w:ascii="Arial" w:hAnsi="Arial" w:cs="Arial"/>
        </w:rPr>
        <w:t xml:space="preserve"> viziun</w:t>
      </w:r>
      <w:r w:rsidR="006B2402">
        <w:rPr>
          <w:rFonts w:ascii="Arial" w:hAnsi="Arial" w:cs="Arial"/>
        </w:rPr>
        <w:t>i</w:t>
      </w:r>
      <w:r w:rsidRPr="005D4B85">
        <w:rPr>
          <w:rFonts w:ascii="Arial" w:hAnsi="Arial" w:cs="Arial"/>
        </w:rPr>
        <w:t xml:space="preserve"> pe termen lung și </w:t>
      </w:r>
      <w:r w:rsidR="006B2402">
        <w:rPr>
          <w:rFonts w:ascii="Arial" w:hAnsi="Arial" w:cs="Arial"/>
        </w:rPr>
        <w:t xml:space="preserve">a </w:t>
      </w:r>
      <w:r w:rsidRPr="005D4B85">
        <w:rPr>
          <w:rFonts w:ascii="Arial" w:hAnsi="Arial" w:cs="Arial"/>
        </w:rPr>
        <w:t>un</w:t>
      </w:r>
      <w:r w:rsidR="006B2402">
        <w:rPr>
          <w:rFonts w:ascii="Arial" w:hAnsi="Arial" w:cs="Arial"/>
        </w:rPr>
        <w:t>ui</w:t>
      </w:r>
      <w:r w:rsidRPr="005D4B85">
        <w:rPr>
          <w:rFonts w:ascii="Arial" w:hAnsi="Arial" w:cs="Arial"/>
        </w:rPr>
        <w:t xml:space="preserve"> plan clar de implementare </w:t>
      </w:r>
    </w:p>
    <w:p w14:paraId="37C2848D" w14:textId="77777777" w:rsidR="005D4B85" w:rsidRPr="005D4B85" w:rsidRDefault="005D4B85" w:rsidP="005D4B85">
      <w:pPr>
        <w:spacing w:after="0" w:line="276" w:lineRule="auto"/>
        <w:ind w:left="540" w:right="20"/>
        <w:rPr>
          <w:rFonts w:ascii="Arial" w:hAnsi="Arial" w:cs="Arial"/>
        </w:rPr>
      </w:pPr>
      <w:r w:rsidRPr="005D4B85">
        <w:rPr>
          <w:rFonts w:ascii="Segoe UI Symbol" w:hAnsi="Segoe UI Symbol" w:cs="Segoe UI Symbol"/>
        </w:rPr>
        <w:t>➏</w:t>
      </w:r>
      <w:r w:rsidRPr="005D4B85">
        <w:rPr>
          <w:rFonts w:ascii="Arial" w:hAnsi="Arial" w:cs="Arial"/>
        </w:rPr>
        <w:t xml:space="preserve"> Dezvolta</w:t>
      </w:r>
      <w:r w:rsidR="006B2402">
        <w:rPr>
          <w:rFonts w:ascii="Arial" w:hAnsi="Arial" w:cs="Arial"/>
        </w:rPr>
        <w:t>rea</w:t>
      </w:r>
      <w:r w:rsidRPr="005D4B85">
        <w:rPr>
          <w:rFonts w:ascii="Arial" w:hAnsi="Arial" w:cs="Arial"/>
        </w:rPr>
        <w:t xml:space="preserve"> t</w:t>
      </w:r>
      <w:r w:rsidR="006B2402">
        <w:rPr>
          <w:rFonts w:ascii="Arial" w:hAnsi="Arial" w:cs="Arial"/>
        </w:rPr>
        <w:t>uturor</w:t>
      </w:r>
      <w:r w:rsidRPr="005D4B85">
        <w:rPr>
          <w:rFonts w:ascii="Arial" w:hAnsi="Arial" w:cs="Arial"/>
        </w:rPr>
        <w:t xml:space="preserve"> moduril</w:t>
      </w:r>
      <w:r w:rsidR="006B2402">
        <w:rPr>
          <w:rFonts w:ascii="Arial" w:hAnsi="Arial" w:cs="Arial"/>
        </w:rPr>
        <w:t>or</w:t>
      </w:r>
      <w:r w:rsidRPr="005D4B85">
        <w:rPr>
          <w:rFonts w:ascii="Arial" w:hAnsi="Arial" w:cs="Arial"/>
        </w:rPr>
        <w:t xml:space="preserve"> de transport într-o manieră integrată </w:t>
      </w:r>
    </w:p>
    <w:p w14:paraId="3C63EF10" w14:textId="77777777" w:rsidR="005D4B85" w:rsidRPr="005D4B85" w:rsidRDefault="005D4B85" w:rsidP="005D4B85">
      <w:pPr>
        <w:spacing w:after="0" w:line="276" w:lineRule="auto"/>
        <w:ind w:left="540" w:right="20"/>
        <w:rPr>
          <w:rFonts w:ascii="Arial" w:hAnsi="Arial" w:cs="Arial"/>
        </w:rPr>
      </w:pPr>
      <w:r w:rsidRPr="005D4B85">
        <w:rPr>
          <w:rFonts w:ascii="Segoe UI Symbol" w:hAnsi="Segoe UI Symbol" w:cs="Segoe UI Symbol"/>
        </w:rPr>
        <w:t>➐</w:t>
      </w:r>
      <w:r w:rsidRPr="005D4B85">
        <w:rPr>
          <w:rFonts w:ascii="Arial" w:hAnsi="Arial" w:cs="Arial"/>
        </w:rPr>
        <w:t xml:space="preserve"> Pregăti</w:t>
      </w:r>
      <w:r w:rsidR="006B2402">
        <w:rPr>
          <w:rFonts w:ascii="Arial" w:hAnsi="Arial" w:cs="Arial"/>
        </w:rPr>
        <w:t>rea</w:t>
      </w:r>
      <w:r w:rsidRPr="005D4B85">
        <w:rPr>
          <w:rFonts w:ascii="Arial" w:hAnsi="Arial" w:cs="Arial"/>
        </w:rPr>
        <w:t xml:space="preserve"> monitoriz</w:t>
      </w:r>
      <w:r w:rsidR="006B2402">
        <w:rPr>
          <w:rFonts w:ascii="Arial" w:hAnsi="Arial" w:cs="Arial"/>
        </w:rPr>
        <w:t xml:space="preserve">ării </w:t>
      </w:r>
      <w:r w:rsidRPr="005D4B85">
        <w:rPr>
          <w:rFonts w:ascii="Arial" w:hAnsi="Arial" w:cs="Arial"/>
        </w:rPr>
        <w:t>și evalu</w:t>
      </w:r>
      <w:r w:rsidR="006B2402">
        <w:rPr>
          <w:rFonts w:ascii="Arial" w:hAnsi="Arial" w:cs="Arial"/>
        </w:rPr>
        <w:t>ării</w:t>
      </w:r>
      <w:r w:rsidRPr="005D4B85">
        <w:rPr>
          <w:rFonts w:ascii="Arial" w:hAnsi="Arial" w:cs="Arial"/>
        </w:rPr>
        <w:t xml:space="preserve"> </w:t>
      </w:r>
    </w:p>
    <w:p w14:paraId="60D70A7C" w14:textId="77777777" w:rsidR="005D4B85" w:rsidRPr="005D4B85" w:rsidRDefault="005D4B85" w:rsidP="005D4B85">
      <w:pPr>
        <w:spacing w:after="0" w:line="276" w:lineRule="auto"/>
        <w:ind w:left="540" w:right="20"/>
        <w:rPr>
          <w:rFonts w:ascii="Arial" w:hAnsi="Arial" w:cs="Arial"/>
        </w:rPr>
      </w:pPr>
      <w:r w:rsidRPr="005D4B85">
        <w:rPr>
          <w:rFonts w:ascii="Segoe UI Symbol" w:hAnsi="Segoe UI Symbol" w:cs="Segoe UI Symbol"/>
        </w:rPr>
        <w:t>➑</w:t>
      </w:r>
      <w:r w:rsidRPr="005D4B85">
        <w:rPr>
          <w:rFonts w:ascii="Arial" w:hAnsi="Arial" w:cs="Arial"/>
        </w:rPr>
        <w:t xml:space="preserve"> Asigura</w:t>
      </w:r>
      <w:r w:rsidR="006B2402">
        <w:rPr>
          <w:rFonts w:ascii="Arial" w:hAnsi="Arial" w:cs="Arial"/>
        </w:rPr>
        <w:t>rea</w:t>
      </w:r>
      <w:r w:rsidRPr="005D4B85">
        <w:rPr>
          <w:rFonts w:ascii="Arial" w:hAnsi="Arial" w:cs="Arial"/>
        </w:rPr>
        <w:t xml:space="preserve"> calit</w:t>
      </w:r>
      <w:r w:rsidR="006B2402">
        <w:rPr>
          <w:rFonts w:ascii="Arial" w:hAnsi="Arial" w:cs="Arial"/>
        </w:rPr>
        <w:t>ății</w:t>
      </w:r>
      <w:r w:rsidRPr="005D4B85">
        <w:rPr>
          <w:rFonts w:ascii="Arial" w:hAnsi="Arial" w:cs="Arial"/>
        </w:rPr>
        <w:t xml:space="preserve"> planului</w:t>
      </w:r>
    </w:p>
    <w:p w14:paraId="34BA1070" w14:textId="77777777" w:rsidR="00243ACD" w:rsidRPr="00243ACD" w:rsidRDefault="00243ACD" w:rsidP="00243ACD">
      <w:pPr>
        <w:spacing w:after="0" w:line="276" w:lineRule="auto"/>
        <w:ind w:right="20"/>
        <w:rPr>
          <w:rFonts w:ascii="Arial" w:eastAsia="Times New Roman" w:hAnsi="Arial" w:cs="Arial"/>
          <w:lang w:val="ro-RO" w:eastAsia="ro-RO"/>
        </w:rPr>
      </w:pPr>
    </w:p>
    <w:p w14:paraId="611566E9" w14:textId="77777777" w:rsidR="00D70AEA" w:rsidRPr="00D70AEA" w:rsidRDefault="00D70AEA" w:rsidP="00D70AEA">
      <w:pPr>
        <w:spacing w:after="0" w:line="276" w:lineRule="auto"/>
        <w:ind w:right="20"/>
        <w:jc w:val="both"/>
        <w:rPr>
          <w:rFonts w:ascii="Arial" w:eastAsia="Times New Roman" w:hAnsi="Arial" w:cs="Arial"/>
          <w:b/>
          <w:lang w:val="ro-RO" w:eastAsia="ro-RO"/>
        </w:rPr>
      </w:pPr>
      <w:r w:rsidRPr="00D70AEA">
        <w:rPr>
          <w:rFonts w:ascii="Arial" w:eastAsia="Times New Roman" w:hAnsi="Arial" w:cs="Arial"/>
          <w:b/>
          <w:noProof/>
        </w:rPr>
        <w:lastRenderedPageBreak/>
        <w:drawing>
          <wp:inline distT="0" distB="0" distL="0" distR="0" wp14:anchorId="71E5BF01" wp14:editId="15DD6E4B">
            <wp:extent cx="6257925" cy="4643300"/>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66204" cy="4649443"/>
                    </a:xfrm>
                    <a:prstGeom prst="rect">
                      <a:avLst/>
                    </a:prstGeom>
                    <a:noFill/>
                    <a:ln>
                      <a:noFill/>
                    </a:ln>
                  </pic:spPr>
                </pic:pic>
              </a:graphicData>
            </a:graphic>
          </wp:inline>
        </w:drawing>
      </w:r>
    </w:p>
    <w:p w14:paraId="0D19EAC4" w14:textId="77777777" w:rsidR="00C54F96" w:rsidRPr="00C54F96" w:rsidRDefault="00C54F96" w:rsidP="005D4B85">
      <w:pPr>
        <w:pStyle w:val="Legend"/>
        <w:jc w:val="center"/>
        <w:rPr>
          <w:rFonts w:ascii="Arial" w:hAnsi="Arial" w:cs="Arial"/>
          <w:i w:val="0"/>
          <w:iCs w:val="0"/>
          <w:color w:val="auto"/>
        </w:rPr>
      </w:pPr>
      <w:bookmarkStart w:id="38" w:name="_Toc66287173"/>
      <w:bookmarkStart w:id="39" w:name="_Toc94182194"/>
      <w:r w:rsidRPr="00C54F96">
        <w:rPr>
          <w:rFonts w:ascii="Arial" w:hAnsi="Arial" w:cs="Arial"/>
          <w:i w:val="0"/>
          <w:iCs w:val="0"/>
          <w:color w:val="auto"/>
        </w:rPr>
        <w:t>Sursă: Orientări pentru dezvoltarea și implementarea unui plan de mobilitate urbană sustenabilă, ediția a doua, 2019</w:t>
      </w:r>
    </w:p>
    <w:p w14:paraId="365006D1" w14:textId="1C1BB486" w:rsidR="00D70AEA" w:rsidRPr="005D4B85" w:rsidRDefault="005D4B85" w:rsidP="005D4B85">
      <w:pPr>
        <w:pStyle w:val="Legend"/>
        <w:jc w:val="center"/>
        <w:rPr>
          <w:rFonts w:ascii="Arial" w:eastAsia="Times New Roman" w:hAnsi="Arial" w:cs="Arial"/>
          <w:b/>
          <w:i w:val="0"/>
          <w:iCs w:val="0"/>
          <w:color w:val="44546A"/>
          <w:sz w:val="22"/>
          <w:szCs w:val="22"/>
          <w:lang w:val="ro-RO" w:eastAsia="ro-RO"/>
        </w:rPr>
      </w:pPr>
      <w:bookmarkStart w:id="40" w:name="_Toc140744441"/>
      <w:r w:rsidRPr="005D4B85">
        <w:rPr>
          <w:rFonts w:ascii="Arial" w:hAnsi="Arial" w:cs="Arial"/>
          <w:sz w:val="22"/>
          <w:szCs w:val="22"/>
        </w:rPr>
        <w:t xml:space="preserve">Figura I.1. </w:t>
      </w:r>
      <w:r w:rsidRPr="005D4B85">
        <w:rPr>
          <w:rFonts w:ascii="Arial" w:hAnsi="Arial" w:cs="Arial"/>
          <w:sz w:val="22"/>
          <w:szCs w:val="22"/>
        </w:rPr>
        <w:fldChar w:fldCharType="begin"/>
      </w:r>
      <w:r w:rsidRPr="005D4B85">
        <w:rPr>
          <w:rFonts w:ascii="Arial" w:hAnsi="Arial" w:cs="Arial"/>
          <w:sz w:val="22"/>
          <w:szCs w:val="22"/>
        </w:rPr>
        <w:instrText xml:space="preserve"> SEQ Figura_I.1. \* ARABIC </w:instrText>
      </w:r>
      <w:r w:rsidRPr="005D4B85">
        <w:rPr>
          <w:rFonts w:ascii="Arial" w:hAnsi="Arial" w:cs="Arial"/>
          <w:sz w:val="22"/>
          <w:szCs w:val="22"/>
        </w:rPr>
        <w:fldChar w:fldCharType="separate"/>
      </w:r>
      <w:r w:rsidR="00BB181C">
        <w:rPr>
          <w:rFonts w:ascii="Arial" w:hAnsi="Arial" w:cs="Arial"/>
          <w:noProof/>
          <w:sz w:val="22"/>
          <w:szCs w:val="22"/>
        </w:rPr>
        <w:t>10</w:t>
      </w:r>
      <w:r w:rsidRPr="005D4B85">
        <w:rPr>
          <w:rFonts w:ascii="Arial" w:hAnsi="Arial" w:cs="Arial"/>
          <w:sz w:val="22"/>
          <w:szCs w:val="22"/>
        </w:rPr>
        <w:fldChar w:fldCharType="end"/>
      </w:r>
      <w:r w:rsidRPr="005D4B85">
        <w:rPr>
          <w:rFonts w:ascii="Arial" w:hAnsi="Arial" w:cs="Arial"/>
          <w:sz w:val="22"/>
          <w:szCs w:val="22"/>
        </w:rPr>
        <w:t xml:space="preserve"> </w:t>
      </w:r>
      <w:r w:rsidR="00C54F96">
        <w:rPr>
          <w:rFonts w:ascii="Arial" w:hAnsi="Arial" w:cs="Arial"/>
          <w:sz w:val="22"/>
          <w:szCs w:val="22"/>
        </w:rPr>
        <w:t>–</w:t>
      </w:r>
      <w:r w:rsidR="0049379B" w:rsidRPr="005D4B85">
        <w:rPr>
          <w:rFonts w:ascii="Arial" w:hAnsi="Arial" w:cs="Arial"/>
          <w:sz w:val="22"/>
          <w:szCs w:val="22"/>
        </w:rPr>
        <w:t xml:space="preserve"> </w:t>
      </w:r>
      <w:r w:rsidR="00C54F96">
        <w:rPr>
          <w:rFonts w:ascii="Arial" w:eastAsia="Calibri" w:hAnsi="Arial" w:cs="Arial"/>
          <w:i w:val="0"/>
          <w:iCs w:val="0"/>
          <w:color w:val="44546A"/>
          <w:sz w:val="22"/>
          <w:szCs w:val="22"/>
        </w:rPr>
        <w:t>Pașii</w:t>
      </w:r>
      <w:r w:rsidR="00D70AEA" w:rsidRPr="005D4B85">
        <w:rPr>
          <w:rFonts w:ascii="Arial" w:eastAsia="Calibri" w:hAnsi="Arial" w:cs="Arial"/>
          <w:i w:val="0"/>
          <w:iCs w:val="0"/>
          <w:color w:val="44546A"/>
          <w:sz w:val="22"/>
          <w:szCs w:val="22"/>
        </w:rPr>
        <w:t xml:space="preserve"> Planificării Mobilității Urbane Durabile (ediția a II-a) - Prezentare generală pentru factorii de decizie</w:t>
      </w:r>
      <w:bookmarkEnd w:id="38"/>
      <w:bookmarkEnd w:id="39"/>
      <w:bookmarkEnd w:id="40"/>
    </w:p>
    <w:p w14:paraId="372260CF" w14:textId="77777777" w:rsidR="00D70AEA" w:rsidRDefault="001C7C07" w:rsidP="005A21E0">
      <w:pPr>
        <w:spacing w:after="0" w:line="276" w:lineRule="auto"/>
        <w:ind w:right="20"/>
        <w:jc w:val="both"/>
        <w:rPr>
          <w:rFonts w:ascii="Arial" w:eastAsia="Times New Roman" w:hAnsi="Arial" w:cs="Arial"/>
          <w:bCs/>
          <w:lang w:val="ro-RO" w:eastAsia="ro-RO"/>
        </w:rPr>
      </w:pPr>
      <w:r>
        <w:rPr>
          <w:rFonts w:ascii="Arial" w:eastAsia="Times New Roman" w:hAnsi="Arial" w:cs="Arial"/>
          <w:bCs/>
          <w:lang w:val="ro-RO" w:eastAsia="ro-RO"/>
        </w:rPr>
        <w:t xml:space="preserve">Ghidul este relevant pentru </w:t>
      </w:r>
      <w:r w:rsidRPr="001C7C07">
        <w:rPr>
          <w:rFonts w:ascii="Arial" w:eastAsia="Times New Roman" w:hAnsi="Arial" w:cs="Arial"/>
          <w:bCs/>
          <w:lang w:val="ro-RO" w:eastAsia="ro-RO"/>
        </w:rPr>
        <w:t>dezvoltarea orașelor întrucât reprezintă cadrul metodologic, bazat pe</w:t>
      </w:r>
      <w:r>
        <w:rPr>
          <w:rFonts w:ascii="Arial" w:eastAsia="Times New Roman" w:hAnsi="Arial" w:cs="Arial"/>
          <w:bCs/>
          <w:lang w:val="ro-RO" w:eastAsia="ro-RO"/>
        </w:rPr>
        <w:t xml:space="preserve"> </w:t>
      </w:r>
      <w:r w:rsidRPr="001C7C07">
        <w:rPr>
          <w:rFonts w:ascii="Arial" w:eastAsia="Times New Roman" w:hAnsi="Arial" w:cs="Arial"/>
          <w:bCs/>
          <w:lang w:val="ro-RO" w:eastAsia="ro-RO"/>
        </w:rPr>
        <w:t>experiența acumulată din implementarea planurilor de mobilitate urbană sustenabilă în diferite contexte</w:t>
      </w:r>
      <w:r>
        <w:rPr>
          <w:rFonts w:ascii="Arial" w:eastAsia="Times New Roman" w:hAnsi="Arial" w:cs="Arial"/>
          <w:bCs/>
          <w:lang w:val="ro-RO" w:eastAsia="ro-RO"/>
        </w:rPr>
        <w:t xml:space="preserve"> </w:t>
      </w:r>
      <w:r w:rsidRPr="001C7C07">
        <w:rPr>
          <w:rFonts w:ascii="Arial" w:eastAsia="Times New Roman" w:hAnsi="Arial" w:cs="Arial"/>
          <w:bCs/>
          <w:lang w:val="ro-RO" w:eastAsia="ro-RO"/>
        </w:rPr>
        <w:t>la nivel european</w:t>
      </w:r>
      <w:r w:rsidR="00705AFD">
        <w:rPr>
          <w:rFonts w:ascii="Arial" w:eastAsia="Times New Roman" w:hAnsi="Arial" w:cs="Arial"/>
          <w:bCs/>
          <w:lang w:val="ro-RO" w:eastAsia="ro-RO"/>
        </w:rPr>
        <w:t xml:space="preserve">, asigurând pentru orașul Horezu, un cadru actual </w:t>
      </w:r>
      <w:r w:rsidR="00BD2468">
        <w:rPr>
          <w:rFonts w:ascii="Arial" w:eastAsia="Times New Roman" w:hAnsi="Arial" w:cs="Arial"/>
          <w:bCs/>
          <w:lang w:val="ro-RO" w:eastAsia="ro-RO"/>
        </w:rPr>
        <w:t>pe care să poată fi dezvoltat planul de mobilitate.</w:t>
      </w:r>
      <w:r w:rsidR="005A21E0">
        <w:rPr>
          <w:rFonts w:ascii="Arial" w:eastAsia="Times New Roman" w:hAnsi="Arial" w:cs="Arial"/>
          <w:bCs/>
          <w:lang w:val="ro-RO" w:eastAsia="ro-RO"/>
        </w:rPr>
        <w:t xml:space="preserve"> În ghidul revizuit, cele mai relevante completări </w:t>
      </w:r>
      <w:r w:rsidR="005A21E0" w:rsidRPr="005A21E0">
        <w:rPr>
          <w:rFonts w:ascii="Arial" w:eastAsia="Times New Roman" w:hAnsi="Arial" w:cs="Arial"/>
          <w:bCs/>
          <w:lang w:val="ro-RO" w:eastAsia="ro-RO"/>
        </w:rPr>
        <w:t>sunt cele care țin de micromobilitate, mobilitatea ca un serviciu, dar și posibilitatea de a adapta</w:t>
      </w:r>
      <w:r w:rsidR="005A21E0">
        <w:rPr>
          <w:rFonts w:ascii="Arial" w:eastAsia="Times New Roman" w:hAnsi="Arial" w:cs="Arial"/>
          <w:bCs/>
          <w:lang w:val="ro-RO" w:eastAsia="ro-RO"/>
        </w:rPr>
        <w:t xml:space="preserve"> </w:t>
      </w:r>
      <w:r w:rsidR="005A21E0" w:rsidRPr="005A21E0">
        <w:rPr>
          <w:rFonts w:ascii="Arial" w:eastAsia="Times New Roman" w:hAnsi="Arial" w:cs="Arial"/>
          <w:bCs/>
          <w:lang w:val="ro-RO" w:eastAsia="ro-RO"/>
        </w:rPr>
        <w:t>mai bine setul de măsuri și proiecte la nevoile locale (dimensiunea / complexitatea orașului sau specificul</w:t>
      </w:r>
      <w:r w:rsidR="005A21E0">
        <w:rPr>
          <w:rFonts w:ascii="Arial" w:eastAsia="Times New Roman" w:hAnsi="Arial" w:cs="Arial"/>
          <w:bCs/>
          <w:lang w:val="ro-RO" w:eastAsia="ro-RO"/>
        </w:rPr>
        <w:t xml:space="preserve"> </w:t>
      </w:r>
      <w:r w:rsidR="005A21E0" w:rsidRPr="005A21E0">
        <w:rPr>
          <w:rFonts w:ascii="Arial" w:eastAsia="Times New Roman" w:hAnsi="Arial" w:cs="Arial"/>
          <w:bCs/>
          <w:lang w:val="ro-RO" w:eastAsia="ro-RO"/>
        </w:rPr>
        <w:t>economic).</w:t>
      </w:r>
    </w:p>
    <w:p w14:paraId="3CE8B9B8" w14:textId="77777777" w:rsidR="00705AFD" w:rsidRPr="001C7C07" w:rsidRDefault="00705AFD" w:rsidP="001C7C07">
      <w:pPr>
        <w:spacing w:after="0" w:line="276" w:lineRule="auto"/>
        <w:ind w:right="20"/>
        <w:jc w:val="both"/>
        <w:rPr>
          <w:rFonts w:ascii="Arial" w:eastAsia="Times New Roman" w:hAnsi="Arial" w:cs="Arial"/>
          <w:bCs/>
          <w:lang w:val="ro-RO" w:eastAsia="ro-RO"/>
        </w:rPr>
      </w:pPr>
    </w:p>
    <w:p w14:paraId="47299D7D" w14:textId="77777777" w:rsidR="00D70AEA" w:rsidRPr="00D70AEA" w:rsidRDefault="00D70AEA" w:rsidP="00D70AEA">
      <w:pPr>
        <w:spacing w:after="0" w:line="276" w:lineRule="auto"/>
        <w:ind w:right="20"/>
        <w:jc w:val="both"/>
        <w:rPr>
          <w:rFonts w:ascii="Arial" w:eastAsia="Times New Roman" w:hAnsi="Arial" w:cs="Arial"/>
          <w:bCs/>
          <w:lang w:val="ro-RO" w:eastAsia="ro-RO"/>
        </w:rPr>
      </w:pPr>
      <w:r w:rsidRPr="00D70AEA">
        <w:rPr>
          <w:rFonts w:ascii="Arial" w:eastAsia="Times New Roman" w:hAnsi="Arial" w:cs="Arial"/>
          <w:bCs/>
          <w:lang w:val="ro-RO" w:eastAsia="ro-RO"/>
        </w:rPr>
        <w:t xml:space="preserve">În </w:t>
      </w:r>
      <w:r w:rsidRPr="00C37E83">
        <w:rPr>
          <w:rFonts w:ascii="Arial" w:eastAsia="Times New Roman" w:hAnsi="Arial" w:cs="Arial"/>
          <w:b/>
          <w:bCs/>
          <w:i/>
          <w:lang w:val="ro-RO" w:eastAsia="ro-RO"/>
        </w:rPr>
        <w:t>Linii directoare – Ediția 2</w:t>
      </w:r>
      <w:r w:rsidRPr="00D70AEA">
        <w:rPr>
          <w:rFonts w:ascii="Arial" w:eastAsia="Times New Roman" w:hAnsi="Arial" w:cs="Arial"/>
          <w:bCs/>
          <w:lang w:val="ro-RO" w:eastAsia="ro-RO"/>
        </w:rPr>
        <w:t xml:space="preserve"> beneficiarii planurilor de mobilitate sunt sfătuiți să ia în considerare revizuirea și actualizarea Planului complet de Mobilitate Urbană Durabilă la fiecare 5-10 ani. După 10 ani, întregul document ar putea fi depășit, în timp ce măsurile ar trebui monitorizate și actualizate mai frecvent pentru a crește probabilitatea ca cele mai adecvate măsuri să fie implementate.</w:t>
      </w:r>
    </w:p>
    <w:p w14:paraId="228B8F7E" w14:textId="77777777" w:rsidR="00D70AEA" w:rsidRPr="00D70AEA" w:rsidRDefault="00D70AEA" w:rsidP="00D70AEA">
      <w:pPr>
        <w:spacing w:after="0" w:line="276" w:lineRule="auto"/>
        <w:ind w:right="20"/>
        <w:jc w:val="both"/>
        <w:rPr>
          <w:rFonts w:ascii="Arial" w:eastAsia="Times New Roman" w:hAnsi="Arial" w:cs="Arial"/>
          <w:bCs/>
          <w:lang w:val="ro-RO" w:eastAsia="ro-RO"/>
        </w:rPr>
      </w:pPr>
    </w:p>
    <w:p w14:paraId="5F0C8866" w14:textId="77777777" w:rsidR="00D70AEA" w:rsidRPr="00D70AEA" w:rsidRDefault="00D70AEA" w:rsidP="00D70AEA">
      <w:pPr>
        <w:spacing w:after="0" w:line="276" w:lineRule="auto"/>
        <w:ind w:right="20"/>
        <w:jc w:val="both"/>
        <w:rPr>
          <w:rFonts w:ascii="Arial" w:eastAsia="Times New Roman" w:hAnsi="Arial" w:cs="Arial"/>
          <w:bCs/>
          <w:lang w:val="ro-RO" w:eastAsia="ro-RO"/>
        </w:rPr>
      </w:pPr>
      <w:r w:rsidRPr="00D70AEA">
        <w:rPr>
          <w:rFonts w:ascii="Arial" w:eastAsia="Times New Roman" w:hAnsi="Arial" w:cs="Arial"/>
          <w:bCs/>
          <w:lang w:val="ro-RO" w:eastAsia="ro-RO"/>
        </w:rPr>
        <w:t>Metoda PMUD trebuie adaptată contextului și cerințelor specifice fiecărei zone urbane în care este aplicată, păstrând un nivel înalt de ambiții. Cele opt principii PMUD disting un Plan de Mobilitate Urbană Durabilă de un plan de transport convențional. Cu toate acestea, „adaptarea” nu înseamnă omiterea niciunuia dintre principii.</w:t>
      </w:r>
    </w:p>
    <w:p w14:paraId="7ED990A9" w14:textId="77777777" w:rsidR="00D70AEA" w:rsidRPr="00D70AEA" w:rsidRDefault="00D70AEA" w:rsidP="00D70AEA">
      <w:pPr>
        <w:spacing w:after="0" w:line="276" w:lineRule="auto"/>
        <w:ind w:right="20"/>
        <w:jc w:val="both"/>
        <w:rPr>
          <w:rFonts w:ascii="Arial" w:eastAsia="Times New Roman" w:hAnsi="Arial" w:cs="Arial"/>
          <w:bCs/>
          <w:lang w:val="ro-RO" w:eastAsia="ro-RO"/>
        </w:rPr>
      </w:pPr>
      <w:r w:rsidRPr="00D70AEA">
        <w:rPr>
          <w:rFonts w:ascii="Arial" w:eastAsia="Times New Roman" w:hAnsi="Arial" w:cs="Arial"/>
          <w:bCs/>
          <w:lang w:val="ro-RO" w:eastAsia="ro-RO"/>
        </w:rPr>
        <w:lastRenderedPageBreak/>
        <w:t>În timp ce Liniile directoare PMUD oferă spațiu pentru flexibilitate și adaptare la contextul local, trebuie îndeplinite câteva cerințe minime:</w:t>
      </w:r>
    </w:p>
    <w:p w14:paraId="7B8F9AE7" w14:textId="77777777" w:rsidR="00D70AEA" w:rsidRPr="00D70AEA" w:rsidRDefault="00D70AEA" w:rsidP="006B613A">
      <w:pPr>
        <w:numPr>
          <w:ilvl w:val="0"/>
          <w:numId w:val="39"/>
        </w:numPr>
        <w:spacing w:after="0" w:line="276" w:lineRule="auto"/>
        <w:ind w:right="20"/>
        <w:contextualSpacing/>
        <w:jc w:val="both"/>
        <w:rPr>
          <w:rFonts w:ascii="Arial" w:eastAsia="Times New Roman" w:hAnsi="Arial" w:cs="Arial"/>
          <w:bCs/>
          <w:lang w:val="ro-RO" w:eastAsia="ro-RO"/>
        </w:rPr>
      </w:pPr>
      <w:r w:rsidRPr="00D70AEA">
        <w:rPr>
          <w:rFonts w:ascii="Arial" w:eastAsia="Times New Roman" w:hAnsi="Arial" w:cs="Arial"/>
          <w:bCs/>
          <w:lang w:val="ro-RO" w:eastAsia="ro-RO"/>
        </w:rPr>
        <w:t>Punctele de referință cheie trebuie să fie produse într-un mod faptic și participativ. Astfel, sunt necesare: o analiză concisă a problemelor și oportunităților zonei urbane funcționale, o viziune, obiective și ținte agreate cu părțile interesate și o descriere a acțiunilor, inclusiv evaluarea și finanțarea acestora.</w:t>
      </w:r>
    </w:p>
    <w:p w14:paraId="4F368554" w14:textId="77777777" w:rsidR="00D70AEA" w:rsidRPr="00D70AEA" w:rsidRDefault="00D70AEA" w:rsidP="006B613A">
      <w:pPr>
        <w:numPr>
          <w:ilvl w:val="0"/>
          <w:numId w:val="39"/>
        </w:numPr>
        <w:spacing w:after="0" w:line="276" w:lineRule="auto"/>
        <w:ind w:right="20"/>
        <w:contextualSpacing/>
        <w:jc w:val="both"/>
        <w:rPr>
          <w:rFonts w:ascii="Arial" w:eastAsia="Times New Roman" w:hAnsi="Arial" w:cs="Arial"/>
          <w:bCs/>
          <w:lang w:val="ro-RO" w:eastAsia="ro-RO"/>
        </w:rPr>
      </w:pPr>
      <w:r w:rsidRPr="00D70AEA">
        <w:rPr>
          <w:rFonts w:ascii="Arial" w:eastAsia="Times New Roman" w:hAnsi="Arial" w:cs="Arial"/>
          <w:bCs/>
          <w:lang w:val="ro-RO" w:eastAsia="ro-RO"/>
        </w:rPr>
        <w:t>Procesul de implementare trebuie monitorizat îndeaproape, iar implementarea trebuie adaptată după caz, cetățenii și părțile interesate fiind informați în mod activ cu privire la progresul procesului.</w:t>
      </w:r>
    </w:p>
    <w:p w14:paraId="79A5D9A1" w14:textId="77777777" w:rsidR="00D70AEA" w:rsidRPr="00D70AEA" w:rsidRDefault="00D70AEA" w:rsidP="00D70AEA">
      <w:pPr>
        <w:spacing w:after="0" w:line="276" w:lineRule="auto"/>
        <w:ind w:right="20"/>
        <w:jc w:val="both"/>
        <w:rPr>
          <w:rFonts w:ascii="Arial" w:eastAsia="Times New Roman" w:hAnsi="Arial" w:cs="Arial"/>
          <w:bCs/>
          <w:lang w:val="ro-RO" w:eastAsia="ro-RO"/>
        </w:rPr>
      </w:pPr>
    </w:p>
    <w:p w14:paraId="6A9AE7D4" w14:textId="77777777" w:rsidR="00D70AEA" w:rsidRPr="00D70AEA" w:rsidRDefault="00D70AEA" w:rsidP="00D70AEA">
      <w:pPr>
        <w:spacing w:after="0" w:line="276" w:lineRule="auto"/>
        <w:ind w:right="20"/>
        <w:jc w:val="both"/>
        <w:rPr>
          <w:rFonts w:ascii="Arial" w:eastAsia="Times New Roman" w:hAnsi="Arial" w:cs="Arial"/>
          <w:bCs/>
          <w:lang w:val="ro-RO" w:eastAsia="ro-RO"/>
        </w:rPr>
      </w:pPr>
      <w:r w:rsidRPr="00D70AEA">
        <w:rPr>
          <w:rFonts w:ascii="Arial" w:eastAsia="Times New Roman" w:hAnsi="Arial" w:cs="Arial"/>
          <w:bCs/>
          <w:noProof/>
        </w:rPr>
        <w:drawing>
          <wp:inline distT="0" distB="0" distL="0" distR="0" wp14:anchorId="6ADD007F" wp14:editId="3B68EC64">
            <wp:extent cx="5943600" cy="2876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876550"/>
                    </a:xfrm>
                    <a:prstGeom prst="rect">
                      <a:avLst/>
                    </a:prstGeom>
                    <a:noFill/>
                    <a:ln>
                      <a:noFill/>
                    </a:ln>
                  </pic:spPr>
                </pic:pic>
              </a:graphicData>
            </a:graphic>
          </wp:inline>
        </w:drawing>
      </w:r>
    </w:p>
    <w:p w14:paraId="53BC910C" w14:textId="2B7D7014" w:rsidR="00D70AEA" w:rsidRPr="00C54F96" w:rsidRDefault="00C54F96" w:rsidP="00C54F96">
      <w:pPr>
        <w:pStyle w:val="Legend"/>
        <w:jc w:val="center"/>
        <w:rPr>
          <w:rFonts w:ascii="Arial" w:eastAsia="Times New Roman" w:hAnsi="Arial" w:cs="Arial"/>
          <w:bCs/>
          <w:i w:val="0"/>
          <w:iCs w:val="0"/>
          <w:color w:val="44546A"/>
          <w:sz w:val="22"/>
          <w:szCs w:val="22"/>
          <w:lang w:val="ro-RO" w:eastAsia="ro-RO"/>
        </w:rPr>
      </w:pPr>
      <w:bookmarkStart w:id="41" w:name="_Toc66287174"/>
      <w:bookmarkStart w:id="42" w:name="_Toc94182195"/>
      <w:bookmarkStart w:id="43" w:name="_Toc140744442"/>
      <w:r w:rsidRPr="00C54F96">
        <w:rPr>
          <w:rFonts w:ascii="Arial" w:hAnsi="Arial" w:cs="Arial"/>
          <w:sz w:val="22"/>
          <w:szCs w:val="22"/>
        </w:rPr>
        <w:t xml:space="preserve">Figura I.1. </w:t>
      </w:r>
      <w:r w:rsidRPr="00C54F96">
        <w:rPr>
          <w:rFonts w:ascii="Arial" w:hAnsi="Arial" w:cs="Arial"/>
          <w:sz w:val="22"/>
          <w:szCs w:val="22"/>
        </w:rPr>
        <w:fldChar w:fldCharType="begin"/>
      </w:r>
      <w:r w:rsidRPr="00C54F96">
        <w:rPr>
          <w:rFonts w:ascii="Arial" w:hAnsi="Arial" w:cs="Arial"/>
          <w:sz w:val="22"/>
          <w:szCs w:val="22"/>
        </w:rPr>
        <w:instrText xml:space="preserve"> SEQ Figura_I.1. \* ARABIC </w:instrText>
      </w:r>
      <w:r w:rsidRPr="00C54F96">
        <w:rPr>
          <w:rFonts w:ascii="Arial" w:hAnsi="Arial" w:cs="Arial"/>
          <w:sz w:val="22"/>
          <w:szCs w:val="22"/>
        </w:rPr>
        <w:fldChar w:fldCharType="separate"/>
      </w:r>
      <w:r w:rsidR="00BB181C">
        <w:rPr>
          <w:rFonts w:ascii="Arial" w:hAnsi="Arial" w:cs="Arial"/>
          <w:noProof/>
          <w:sz w:val="22"/>
          <w:szCs w:val="22"/>
        </w:rPr>
        <w:t>11</w:t>
      </w:r>
      <w:r w:rsidRPr="00C54F96">
        <w:rPr>
          <w:rFonts w:ascii="Arial" w:hAnsi="Arial" w:cs="Arial"/>
          <w:sz w:val="22"/>
          <w:szCs w:val="22"/>
        </w:rPr>
        <w:fldChar w:fldCharType="end"/>
      </w:r>
      <w:r w:rsidRPr="00C54F96">
        <w:rPr>
          <w:rFonts w:ascii="Arial" w:hAnsi="Arial" w:cs="Arial"/>
          <w:sz w:val="22"/>
          <w:szCs w:val="22"/>
        </w:rPr>
        <w:t xml:space="preserve"> </w:t>
      </w:r>
      <w:r w:rsidR="0049379B" w:rsidRPr="00C54F96">
        <w:rPr>
          <w:rFonts w:ascii="Arial" w:hAnsi="Arial" w:cs="Arial"/>
          <w:sz w:val="22"/>
          <w:szCs w:val="22"/>
        </w:rPr>
        <w:t xml:space="preserve">- </w:t>
      </w:r>
      <w:r w:rsidR="00D70AEA" w:rsidRPr="00C54F96">
        <w:rPr>
          <w:rFonts w:ascii="Arial" w:eastAsia="Calibri" w:hAnsi="Arial" w:cs="Arial"/>
          <w:i w:val="0"/>
          <w:iCs w:val="0"/>
          <w:color w:val="44546A"/>
          <w:sz w:val="22"/>
          <w:szCs w:val="22"/>
        </w:rPr>
        <w:t>Identificarea nevoilor de adaptare a procesului de planificare (exemple)</w:t>
      </w:r>
      <w:bookmarkEnd w:id="41"/>
      <w:bookmarkEnd w:id="42"/>
      <w:bookmarkEnd w:id="43"/>
    </w:p>
    <w:p w14:paraId="04155BD2" w14:textId="77777777" w:rsidR="00D70AEA" w:rsidRDefault="00621F1C" w:rsidP="00621F1C">
      <w:pPr>
        <w:spacing w:after="0" w:line="276" w:lineRule="auto"/>
        <w:ind w:right="20"/>
        <w:jc w:val="both"/>
        <w:rPr>
          <w:rFonts w:ascii="Arial" w:hAnsi="Arial" w:cs="Arial"/>
        </w:rPr>
      </w:pPr>
      <w:r w:rsidRPr="001C7C07">
        <w:rPr>
          <w:rFonts w:ascii="Arial" w:hAnsi="Arial" w:cs="Arial"/>
        </w:rPr>
        <w:t xml:space="preserve">Ediția a doua a Liniilor directoare pentru dezvoltarea și implementarea unui plan de mobilitate urbană durabilă se orientează și către noile provocări identificate la nivel global, luând în considerare posibile noi soluții și abordări pentru mobilitatea urbană, precum și dezvoltarea tehnologică rapidă din ultima perioadă. Se promovează astfel, măsuri de dezvoltare precum utilizarea modurilor de transport electrice, automatizarea sistemelor de transport sau colectarea și utilizarea datelor pentru gestionarea și planificarea eficientă a intervențiilor în oraș. </w:t>
      </w:r>
      <w:r w:rsidR="001C7C07" w:rsidRPr="001C7C07">
        <w:rPr>
          <w:rFonts w:ascii="Arial" w:hAnsi="Arial" w:cs="Arial"/>
        </w:rPr>
        <w:t>Sunt vizate totodată</w:t>
      </w:r>
      <w:r w:rsidRPr="001C7C07">
        <w:rPr>
          <w:rFonts w:ascii="Arial" w:hAnsi="Arial" w:cs="Arial"/>
        </w:rPr>
        <w:t xml:space="preserve"> și schemele de partajare a transportului precum cele de car-sharing și bike-sharing, dar și promovarea mobilității active, respectiv deplasările pietonale, deplasările cu bicicleta și micromobilitatea. Pe lângă acestea, noi concepte pentru transportul de pasageri și de mărfuri, concentrate pe utilizarea unor platforme integrate de oferire a serviciilor de mobilitate (de exemplu Mobility as a Service – Mobilitate ca un Serviciu), orientarea către schimbarea gândirii și a tiparelor de mobilitate, în special în rândul tinerilor și utilizarea și gestionarea eficientă a spațiului prin diverse instrumente (regulamente de acces, utilizarea dronelor, co-crearea spațiilor publice etc.) sunt considerate esențiale pentru dezvoltarea sustenabilă a mobilității urbane.</w:t>
      </w:r>
    </w:p>
    <w:p w14:paraId="42702E54" w14:textId="77777777" w:rsidR="001C7C07" w:rsidRPr="001C7C07" w:rsidRDefault="001C7C07" w:rsidP="00621F1C">
      <w:pPr>
        <w:spacing w:after="0" w:line="276" w:lineRule="auto"/>
        <w:ind w:right="20"/>
        <w:jc w:val="both"/>
        <w:rPr>
          <w:rFonts w:ascii="Arial" w:eastAsia="Times New Roman" w:hAnsi="Arial" w:cs="Arial"/>
          <w:b/>
          <w:lang w:val="ro-RO" w:eastAsia="ro-RO"/>
        </w:rPr>
      </w:pPr>
    </w:p>
    <w:p w14:paraId="64AE1857" w14:textId="77777777" w:rsidR="00D70AEA" w:rsidRPr="00D70AEA" w:rsidRDefault="00D70AEA" w:rsidP="00D70AEA">
      <w:pPr>
        <w:spacing w:after="0" w:line="240" w:lineRule="auto"/>
        <w:ind w:right="20"/>
        <w:jc w:val="both"/>
        <w:rPr>
          <w:rFonts w:ascii="Arial" w:eastAsia="Times New Roman" w:hAnsi="Arial" w:cs="Arial"/>
          <w:lang w:val="en-GB" w:eastAsia="ro-RO"/>
        </w:rPr>
      </w:pPr>
    </w:p>
    <w:p w14:paraId="05E8BAEB" w14:textId="77777777" w:rsidR="00D70AEA" w:rsidRPr="00D70AEA" w:rsidRDefault="00D70AEA" w:rsidP="00D70AEA">
      <w:pPr>
        <w:rPr>
          <w:rFonts w:ascii="Arial" w:eastAsia="Calibri" w:hAnsi="Arial" w:cs="Arial"/>
          <w:b/>
        </w:rPr>
      </w:pPr>
      <w:r w:rsidRPr="00D70AEA">
        <w:rPr>
          <w:rFonts w:ascii="Arial" w:eastAsia="Calibri" w:hAnsi="Arial" w:cs="Arial"/>
          <w:b/>
        </w:rPr>
        <w:t>Mecanismul de redresare și reziliență</w:t>
      </w:r>
    </w:p>
    <w:p w14:paraId="4C577FC5" w14:textId="77777777" w:rsidR="00D70AEA" w:rsidRPr="00D70AEA" w:rsidRDefault="00D70AEA" w:rsidP="0049379B">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 xml:space="preserve">Pandemia de COVID-19 a avut un impact major asupra transporturilor și conectivității în UE, fapt care, la rândul său, a afectat întreaga economie a UE. În iulie 2020, liderii UE au convenit asupra unui pachet cuprinzător care să contribuie la reconstrucția economiei UE. Tranziția verde și </w:t>
      </w:r>
      <w:r w:rsidRPr="00D70AEA">
        <w:rPr>
          <w:rFonts w:ascii="Arial" w:eastAsia="Times New Roman" w:hAnsi="Arial" w:cs="Arial"/>
          <w:lang w:val="ro-RO" w:eastAsia="ro-RO"/>
        </w:rPr>
        <w:lastRenderedPageBreak/>
        <w:t>durabilitatea reprezintă pietrele de temelie ale planului de redresare și corespund angajamentului liderilor UE de a construi o economie și o societate cu un nivel net al emisiilor egal cu zero până în 2050.</w:t>
      </w:r>
    </w:p>
    <w:p w14:paraId="53CD7D76" w14:textId="77777777" w:rsidR="00D70AEA" w:rsidRPr="00D70AEA" w:rsidRDefault="00D70AEA" w:rsidP="0049379B">
      <w:pPr>
        <w:spacing w:after="0" w:line="276" w:lineRule="auto"/>
        <w:ind w:right="20"/>
        <w:jc w:val="both"/>
        <w:rPr>
          <w:rFonts w:ascii="Arial" w:eastAsia="Times New Roman" w:hAnsi="Arial" w:cs="Arial"/>
          <w:highlight w:val="yellow"/>
          <w:lang w:val="ro-RO" w:eastAsia="ro-RO"/>
        </w:rPr>
      </w:pPr>
    </w:p>
    <w:p w14:paraId="0D52E9FE" w14:textId="77777777" w:rsidR="00D70AEA" w:rsidRPr="00D70AEA" w:rsidRDefault="00D70AEA" w:rsidP="0049379B">
      <w:pPr>
        <w:spacing w:after="0" w:line="276" w:lineRule="auto"/>
        <w:ind w:right="20"/>
        <w:jc w:val="both"/>
        <w:rPr>
          <w:rFonts w:ascii="Arial" w:eastAsia="Times New Roman" w:hAnsi="Arial" w:cs="Arial"/>
          <w:lang w:val="ro-RO" w:eastAsia="ro-RO"/>
        </w:rPr>
      </w:pPr>
      <w:r w:rsidRPr="00D70AEA">
        <w:rPr>
          <w:rFonts w:ascii="Arial" w:eastAsia="Times New Roman" w:hAnsi="Arial" w:cs="Arial"/>
          <w:lang w:val="ro-RO" w:eastAsia="ro-RO"/>
        </w:rPr>
        <w:t>Pentru a se atinge obiectivul de neutralitate climatică pentru 2050, sectorul transporturilor trebuie să își aducă contribuția. Acesta trebuie să facă obiectul unei transformări care va necesita o reducere drastică a emisiilor de gaze cu efect de seră – 90% până în 2050 – asigurând în același timp soluții accesibile și sănătoase pentru cetățeni. Transportul durabil reprezintă o oportunitate, contribuind la redresarea și creșterea economiei UE.</w:t>
      </w:r>
    </w:p>
    <w:p w14:paraId="40E76BBF" w14:textId="77777777" w:rsidR="00D70AEA" w:rsidRPr="00D70AEA" w:rsidRDefault="00D70AEA" w:rsidP="00D70AEA">
      <w:pPr>
        <w:spacing w:after="0" w:line="276" w:lineRule="auto"/>
        <w:ind w:right="20"/>
        <w:jc w:val="both"/>
        <w:rPr>
          <w:rFonts w:ascii="Arial" w:eastAsia="Times New Roman" w:hAnsi="Arial" w:cs="Arial"/>
          <w:lang w:val="ro-RO" w:eastAsia="ro-RO"/>
        </w:rPr>
      </w:pPr>
    </w:p>
    <w:p w14:paraId="091D5A41" w14:textId="77777777" w:rsidR="00D70AEA" w:rsidRPr="00D70AEA" w:rsidRDefault="00D70AEA" w:rsidP="0049379B">
      <w:pPr>
        <w:spacing w:after="150" w:line="276" w:lineRule="auto"/>
        <w:jc w:val="both"/>
        <w:rPr>
          <w:rFonts w:ascii="Arial" w:eastAsia="Times New Roman" w:hAnsi="Arial" w:cs="Arial"/>
        </w:rPr>
      </w:pPr>
      <w:r w:rsidRPr="00D70AEA">
        <w:rPr>
          <w:rFonts w:ascii="Arial" w:eastAsia="Times New Roman" w:hAnsi="Arial" w:cs="Arial"/>
        </w:rPr>
        <w:t>Ca urmare a acordului Parlamentului European din 16 decembrie 2020, Consiliul UE a </w:t>
      </w:r>
      <w:hyperlink r:id="rId38" w:tgtFrame="_blank" w:history="1">
        <w:r w:rsidRPr="00D70AEA">
          <w:rPr>
            <w:rFonts w:ascii="Arial" w:eastAsia="Times New Roman" w:hAnsi="Arial" w:cs="Arial"/>
            <w:u w:val="single"/>
          </w:rPr>
          <w:t>adoptat</w:t>
        </w:r>
      </w:hyperlink>
      <w:r w:rsidRPr="00D70AEA">
        <w:rPr>
          <w:rFonts w:ascii="Arial" w:eastAsia="Times New Roman" w:hAnsi="Arial" w:cs="Arial"/>
        </w:rPr>
        <w:t> la 17 decembrie 2020 regulamentul privind noul Cadru Financiar Multianual (CFM) 2021-2027 și pachetul de relansare economică Next Generation EU (NGEU). Regulamentul prevede un buget pe termen lung de 1 074,3 miliarde EUR pentru UE27 (cele 27 de state membre rămăse ca urmare a Brexit-ului) în prețurile din 2018, inclusiv integrarea Fondului european de dezvoltare. Împreună cu NGEU, în valoare de 750 de miliarde EUR, va permite UE să furnizeze o finanțare fără precedent de 1,8 trilioane EUR în următorii ani pentru a sprijini recuperarea din pandemia COVID-19 și prioritățile UE pe termen lung în diferite politici/zone.</w:t>
      </w:r>
    </w:p>
    <w:p w14:paraId="461C1740" w14:textId="77777777" w:rsidR="00D70AEA" w:rsidRPr="00D70AEA" w:rsidRDefault="00B6406B" w:rsidP="0049379B">
      <w:pPr>
        <w:spacing w:after="300" w:line="276" w:lineRule="auto"/>
        <w:jc w:val="both"/>
        <w:rPr>
          <w:rFonts w:ascii="Arial" w:eastAsia="Times New Roman" w:hAnsi="Arial" w:cs="Arial"/>
        </w:rPr>
      </w:pPr>
      <w:r>
        <w:rPr>
          <w:rFonts w:ascii="Arial" w:eastAsia="Times New Roman" w:hAnsi="Arial" w:cs="Arial"/>
        </w:rPr>
        <w:t>În</w:t>
      </w:r>
      <w:r w:rsidR="00D70AEA" w:rsidRPr="00D70AEA">
        <w:rPr>
          <w:rFonts w:ascii="Arial" w:eastAsia="Times New Roman" w:hAnsi="Arial" w:cs="Arial"/>
        </w:rPr>
        <w:t xml:space="preserve"> februarie 2021, Consiliul a adoptat Regulamentul de instituire a Mecanismului de redresare și reziliență. Mecanismul, cifrat la 672,5 miliarde EUR, se află în centrul eforturilor extraordinare de redresare ale UE, reprezentate de Next Generation EU (NGEU) – planul în valoare de 750 de miliarde EUR convenit de liderii UE în iulie 2020.</w:t>
      </w:r>
    </w:p>
    <w:p w14:paraId="3EB4CF76" w14:textId="77777777" w:rsidR="00D70AEA" w:rsidRPr="00D70AEA" w:rsidRDefault="00D70AEA" w:rsidP="0049379B">
      <w:pPr>
        <w:spacing w:after="0" w:line="276" w:lineRule="auto"/>
        <w:jc w:val="both"/>
        <w:rPr>
          <w:rFonts w:ascii="Arial" w:eastAsia="Times New Roman" w:hAnsi="Arial" w:cs="Arial"/>
        </w:rPr>
      </w:pPr>
      <w:r w:rsidRPr="00D70AEA">
        <w:rPr>
          <w:rFonts w:ascii="Arial" w:eastAsia="Times New Roman" w:hAnsi="Arial" w:cs="Arial"/>
        </w:rPr>
        <w:t xml:space="preserve">Fondurile vor ajuta statele membre să facă față impactului economic și social al pandemiei de COVID-19, asigurând totodată faptul că economiile lor realizează tranziția verde și cea digitală, devenind mai sustenabile și mai reziliente. Pentru a primi sprijin din partea Mecanismului de redresare și reziliență, țărilor UE li se solicită să stabilească în planurile lor un pachet coerent de proiecte, reforme și investiții în șase domenii de politică: </w:t>
      </w:r>
    </w:p>
    <w:p w14:paraId="3987BA35" w14:textId="77777777" w:rsidR="00D70AEA" w:rsidRPr="00D70AEA" w:rsidRDefault="00D70AEA" w:rsidP="006B613A">
      <w:pPr>
        <w:numPr>
          <w:ilvl w:val="0"/>
          <w:numId w:val="42"/>
        </w:numPr>
        <w:spacing w:after="0" w:line="276" w:lineRule="auto"/>
        <w:contextualSpacing/>
        <w:jc w:val="both"/>
        <w:rPr>
          <w:rFonts w:ascii="Arial" w:eastAsia="Times New Roman" w:hAnsi="Arial" w:cs="Arial"/>
        </w:rPr>
      </w:pPr>
      <w:r w:rsidRPr="00D70AEA">
        <w:rPr>
          <w:rFonts w:ascii="Arial" w:eastAsia="Times New Roman" w:hAnsi="Arial" w:cs="Arial"/>
        </w:rPr>
        <w:t>tranziția verde</w:t>
      </w:r>
    </w:p>
    <w:p w14:paraId="26FF6304" w14:textId="77777777" w:rsidR="00D70AEA" w:rsidRPr="00D70AEA" w:rsidRDefault="00D70AEA" w:rsidP="006B613A">
      <w:pPr>
        <w:numPr>
          <w:ilvl w:val="0"/>
          <w:numId w:val="42"/>
        </w:numPr>
        <w:spacing w:after="0" w:line="276" w:lineRule="auto"/>
        <w:contextualSpacing/>
        <w:jc w:val="both"/>
        <w:rPr>
          <w:rFonts w:ascii="Arial" w:eastAsia="Times New Roman" w:hAnsi="Arial" w:cs="Arial"/>
        </w:rPr>
      </w:pPr>
      <w:r w:rsidRPr="00D70AEA">
        <w:rPr>
          <w:rFonts w:ascii="Arial" w:eastAsia="Times New Roman" w:hAnsi="Arial" w:cs="Arial"/>
        </w:rPr>
        <w:t>transformarea digitală</w:t>
      </w:r>
    </w:p>
    <w:p w14:paraId="2E86492D" w14:textId="77777777" w:rsidR="00D70AEA" w:rsidRPr="00D70AEA" w:rsidRDefault="00D70AEA" w:rsidP="006B613A">
      <w:pPr>
        <w:numPr>
          <w:ilvl w:val="0"/>
          <w:numId w:val="42"/>
        </w:numPr>
        <w:spacing w:after="0" w:line="276" w:lineRule="auto"/>
        <w:contextualSpacing/>
        <w:jc w:val="both"/>
        <w:rPr>
          <w:rFonts w:ascii="Arial" w:eastAsia="Times New Roman" w:hAnsi="Arial" w:cs="Arial"/>
        </w:rPr>
      </w:pPr>
      <w:r w:rsidRPr="00D70AEA">
        <w:rPr>
          <w:rFonts w:ascii="Arial" w:eastAsia="Times New Roman" w:hAnsi="Arial" w:cs="Arial"/>
        </w:rPr>
        <w:t>creșterea inteligentă, durabilă și favorabilă incluziunii și ocuparea forței de muncă</w:t>
      </w:r>
    </w:p>
    <w:p w14:paraId="70B20A14" w14:textId="77777777" w:rsidR="00D70AEA" w:rsidRPr="00D70AEA" w:rsidRDefault="00D70AEA" w:rsidP="006B613A">
      <w:pPr>
        <w:numPr>
          <w:ilvl w:val="0"/>
          <w:numId w:val="42"/>
        </w:numPr>
        <w:spacing w:after="0" w:line="276" w:lineRule="auto"/>
        <w:contextualSpacing/>
        <w:jc w:val="both"/>
        <w:rPr>
          <w:rFonts w:ascii="Arial" w:eastAsia="Times New Roman" w:hAnsi="Arial" w:cs="Arial"/>
        </w:rPr>
      </w:pPr>
      <w:r w:rsidRPr="00D70AEA">
        <w:rPr>
          <w:rFonts w:ascii="Arial" w:eastAsia="Times New Roman" w:hAnsi="Arial" w:cs="Arial"/>
        </w:rPr>
        <w:t>coeziunea socială și teritorială</w:t>
      </w:r>
    </w:p>
    <w:p w14:paraId="79398D16" w14:textId="77777777" w:rsidR="00D70AEA" w:rsidRPr="00D70AEA" w:rsidRDefault="00D70AEA" w:rsidP="006B613A">
      <w:pPr>
        <w:numPr>
          <w:ilvl w:val="0"/>
          <w:numId w:val="42"/>
        </w:numPr>
        <w:spacing w:after="0" w:line="276" w:lineRule="auto"/>
        <w:contextualSpacing/>
        <w:jc w:val="both"/>
        <w:rPr>
          <w:rFonts w:ascii="Arial" w:eastAsia="Times New Roman" w:hAnsi="Arial" w:cs="Arial"/>
        </w:rPr>
      </w:pPr>
      <w:r w:rsidRPr="00D70AEA">
        <w:rPr>
          <w:rFonts w:ascii="Arial" w:eastAsia="Times New Roman" w:hAnsi="Arial" w:cs="Arial"/>
        </w:rPr>
        <w:t>sănătatea și reziliența</w:t>
      </w:r>
    </w:p>
    <w:p w14:paraId="2FE66D85" w14:textId="77777777" w:rsidR="00D70AEA" w:rsidRPr="00D70AEA" w:rsidRDefault="00D70AEA" w:rsidP="006B613A">
      <w:pPr>
        <w:numPr>
          <w:ilvl w:val="0"/>
          <w:numId w:val="42"/>
        </w:numPr>
        <w:spacing w:after="0" w:line="276" w:lineRule="auto"/>
        <w:contextualSpacing/>
        <w:jc w:val="both"/>
        <w:rPr>
          <w:rFonts w:ascii="Arial" w:eastAsia="Times New Roman" w:hAnsi="Arial" w:cs="Arial"/>
        </w:rPr>
      </w:pPr>
      <w:r w:rsidRPr="00D70AEA">
        <w:rPr>
          <w:rFonts w:ascii="Arial" w:eastAsia="Times New Roman" w:hAnsi="Arial" w:cs="Arial"/>
        </w:rPr>
        <w:t>politicile pentru generația următoare, inclusiv educația și competențele</w:t>
      </w:r>
    </w:p>
    <w:p w14:paraId="360449C7" w14:textId="77777777" w:rsidR="00B7548F" w:rsidRDefault="00B7548F" w:rsidP="0049379B">
      <w:pPr>
        <w:spacing w:after="0" w:line="276" w:lineRule="auto"/>
        <w:jc w:val="both"/>
        <w:rPr>
          <w:rFonts w:ascii="Arial" w:eastAsia="Calibri" w:hAnsi="Arial" w:cs="Arial"/>
        </w:rPr>
      </w:pPr>
    </w:p>
    <w:p w14:paraId="5D8F358D" w14:textId="77777777" w:rsidR="006F4070" w:rsidRPr="00B7548F" w:rsidRDefault="006F4070" w:rsidP="006F4070">
      <w:pPr>
        <w:jc w:val="both"/>
        <w:rPr>
          <w:rFonts w:ascii="Arial" w:hAnsi="Arial" w:cs="Arial"/>
        </w:rPr>
      </w:pPr>
      <w:r w:rsidRPr="00941B57">
        <w:rPr>
          <w:rFonts w:ascii="Arial" w:hAnsi="Arial" w:cs="Arial"/>
          <w:b/>
          <w:bCs/>
        </w:rPr>
        <w:t>Planul Național de Redresare și Reziliență al României</w:t>
      </w:r>
      <w:r>
        <w:rPr>
          <w:rFonts w:ascii="Arial" w:hAnsi="Arial" w:cs="Arial"/>
        </w:rPr>
        <w:t xml:space="preserve"> (PNRR) </w:t>
      </w:r>
      <w:r w:rsidRPr="00B7548F">
        <w:rPr>
          <w:rFonts w:ascii="Arial" w:hAnsi="Arial" w:cs="Arial"/>
        </w:rPr>
        <w:t>aprobat de Consiliul UE</w:t>
      </w:r>
      <w:r>
        <w:rPr>
          <w:rFonts w:ascii="Arial" w:hAnsi="Arial" w:cs="Arial"/>
        </w:rPr>
        <w:t xml:space="preserve"> din </w:t>
      </w:r>
      <w:r w:rsidRPr="00B7548F">
        <w:rPr>
          <w:rFonts w:ascii="Arial" w:hAnsi="Arial" w:cs="Arial"/>
        </w:rPr>
        <w:t>28 octombrie 2021</w:t>
      </w:r>
      <w:r>
        <w:rPr>
          <w:rFonts w:ascii="Arial" w:hAnsi="Arial" w:cs="Arial"/>
        </w:rPr>
        <w:t xml:space="preserve">, </w:t>
      </w:r>
      <w:r w:rsidRPr="00573AAE">
        <w:rPr>
          <w:rFonts w:ascii="Arial" w:hAnsi="Arial" w:cs="Arial"/>
        </w:rPr>
        <w:t>este conceput așa încât să</w:t>
      </w:r>
      <w:r>
        <w:rPr>
          <w:rFonts w:ascii="Arial" w:hAnsi="Arial" w:cs="Arial"/>
        </w:rPr>
        <w:t xml:space="preserve"> </w:t>
      </w:r>
      <w:r w:rsidRPr="00573AAE">
        <w:rPr>
          <w:rFonts w:ascii="Arial" w:hAnsi="Arial" w:cs="Arial"/>
        </w:rPr>
        <w:t>asigure un echilibru optim între prioritățile Uniunii Europene și necesitățile de dezvoltare ale</w:t>
      </w:r>
      <w:r>
        <w:rPr>
          <w:rFonts w:ascii="Arial" w:hAnsi="Arial" w:cs="Arial"/>
        </w:rPr>
        <w:t xml:space="preserve"> </w:t>
      </w:r>
      <w:r w:rsidRPr="00573AAE">
        <w:rPr>
          <w:rFonts w:ascii="Arial" w:hAnsi="Arial" w:cs="Arial"/>
        </w:rPr>
        <w:t>României, în contextul recuperării după criza COVID-19 care a afectat semnificativ țara, așa</w:t>
      </w:r>
      <w:r>
        <w:rPr>
          <w:rFonts w:ascii="Arial" w:hAnsi="Arial" w:cs="Arial"/>
        </w:rPr>
        <w:t xml:space="preserve"> </w:t>
      </w:r>
      <w:r w:rsidRPr="00573AAE">
        <w:rPr>
          <w:rFonts w:ascii="Arial" w:hAnsi="Arial" w:cs="Arial"/>
        </w:rPr>
        <w:t>cum a afectat întreaga Uniune Europeană și întreaga lume.</w:t>
      </w:r>
    </w:p>
    <w:p w14:paraId="5A064F64" w14:textId="77777777" w:rsidR="006F4070" w:rsidRDefault="006F4070" w:rsidP="006F4070">
      <w:pPr>
        <w:spacing w:after="0" w:line="276" w:lineRule="auto"/>
        <w:jc w:val="both"/>
        <w:rPr>
          <w:rFonts w:ascii="Arial" w:eastAsia="Calibri" w:hAnsi="Arial" w:cs="Arial"/>
        </w:rPr>
      </w:pPr>
      <w:r w:rsidRPr="006F4070">
        <w:rPr>
          <w:rFonts w:ascii="Arial" w:eastAsia="Calibri" w:hAnsi="Arial" w:cs="Arial"/>
        </w:rPr>
        <w:t>Obiectivul general al PNRR al României este corelat în mod direct cu Obiectivul general al</w:t>
      </w:r>
      <w:r>
        <w:rPr>
          <w:rFonts w:ascii="Arial" w:eastAsia="Calibri" w:hAnsi="Arial" w:cs="Arial"/>
        </w:rPr>
        <w:t xml:space="preserve"> </w:t>
      </w:r>
      <w:r w:rsidRPr="006F4070">
        <w:rPr>
          <w:rFonts w:ascii="Arial" w:eastAsia="Calibri" w:hAnsi="Arial" w:cs="Arial"/>
        </w:rPr>
        <w:t>MRR</w:t>
      </w:r>
      <w:r w:rsidR="00B6406B">
        <w:rPr>
          <w:rStyle w:val="Referinnotdesubsol"/>
          <w:rFonts w:ascii="Arial" w:eastAsia="Calibri" w:hAnsi="Arial" w:cs="Arial"/>
        </w:rPr>
        <w:footnoteReference w:id="26"/>
      </w:r>
      <w:r w:rsidRPr="006F4070">
        <w:rPr>
          <w:rFonts w:ascii="Arial" w:eastAsia="Calibri" w:hAnsi="Arial" w:cs="Arial"/>
        </w:rPr>
        <w:t>, așa cum este inclus în Regulamentul 2021/241 al Parlamentului European și al</w:t>
      </w:r>
      <w:r>
        <w:rPr>
          <w:rFonts w:ascii="Arial" w:eastAsia="Calibri" w:hAnsi="Arial" w:cs="Arial"/>
        </w:rPr>
        <w:t xml:space="preserve"> </w:t>
      </w:r>
      <w:r w:rsidRPr="006F4070">
        <w:rPr>
          <w:rFonts w:ascii="Arial" w:eastAsia="Calibri" w:hAnsi="Arial" w:cs="Arial"/>
        </w:rPr>
        <w:t>Consiliului, din 12 februarie 2021, art.4.</w:t>
      </w:r>
      <w:r w:rsidR="000C65D0">
        <w:rPr>
          <w:rFonts w:ascii="Arial" w:eastAsia="Calibri" w:hAnsi="Arial" w:cs="Arial"/>
        </w:rPr>
        <w:t xml:space="preserve"> </w:t>
      </w:r>
    </w:p>
    <w:p w14:paraId="3F20A21E" w14:textId="77777777" w:rsidR="00B6406B" w:rsidRDefault="00B6406B" w:rsidP="006F4070">
      <w:pPr>
        <w:spacing w:after="0" w:line="276" w:lineRule="auto"/>
        <w:jc w:val="both"/>
        <w:rPr>
          <w:rFonts w:ascii="Arial" w:hAnsi="Arial" w:cs="Arial"/>
        </w:rPr>
      </w:pPr>
      <w:r w:rsidRPr="00B6406B">
        <w:rPr>
          <w:rFonts w:ascii="Arial" w:hAnsi="Arial" w:cs="Arial"/>
        </w:rPr>
        <w:lastRenderedPageBreak/>
        <w:t>PNRR al României este structurat pe 15 componente care acoperă toți cei 6 piloni prevăzuți prin Regulament.</w:t>
      </w:r>
    </w:p>
    <w:p w14:paraId="61F83D3A" w14:textId="77777777" w:rsidR="00B31FCC" w:rsidRPr="00274326" w:rsidRDefault="0097648D" w:rsidP="0097648D">
      <w:pPr>
        <w:spacing w:after="0"/>
        <w:ind w:left="360"/>
        <w:jc w:val="both"/>
        <w:rPr>
          <w:rFonts w:ascii="Arial" w:hAnsi="Arial" w:cs="Arial"/>
          <w:b/>
          <w:bCs/>
        </w:rPr>
      </w:pPr>
      <w:r w:rsidRPr="00941B57">
        <w:rPr>
          <w:rFonts w:ascii="Arial" w:hAnsi="Arial" w:cs="Arial"/>
        </w:rPr>
        <w:t xml:space="preserve">I. </w:t>
      </w:r>
      <w:r w:rsidR="00B31FCC" w:rsidRPr="00274326">
        <w:rPr>
          <w:rFonts w:ascii="Arial" w:hAnsi="Arial" w:cs="Arial"/>
          <w:b/>
          <w:bCs/>
        </w:rPr>
        <w:t>Tranziția verde</w:t>
      </w:r>
    </w:p>
    <w:p w14:paraId="0B51BC3B" w14:textId="77777777" w:rsidR="00B31FCC" w:rsidRPr="00941B57" w:rsidRDefault="00B31FCC" w:rsidP="00B31FCC">
      <w:pPr>
        <w:spacing w:after="0" w:line="276" w:lineRule="auto"/>
        <w:ind w:firstLine="720"/>
        <w:jc w:val="both"/>
        <w:rPr>
          <w:rFonts w:ascii="Arial" w:hAnsi="Arial" w:cs="Arial"/>
        </w:rPr>
      </w:pPr>
      <w:r w:rsidRPr="00941B57">
        <w:rPr>
          <w:rFonts w:ascii="Arial" w:hAnsi="Arial" w:cs="Arial"/>
        </w:rPr>
        <w:t xml:space="preserve">C1. Managementul apei </w:t>
      </w:r>
    </w:p>
    <w:p w14:paraId="59AED4F6" w14:textId="77777777" w:rsidR="00B31FCC" w:rsidRPr="00941B57" w:rsidRDefault="00B31FCC" w:rsidP="00B31FCC">
      <w:pPr>
        <w:spacing w:after="0" w:line="276" w:lineRule="auto"/>
        <w:ind w:firstLine="720"/>
        <w:jc w:val="both"/>
        <w:rPr>
          <w:rFonts w:ascii="Arial" w:hAnsi="Arial" w:cs="Arial"/>
        </w:rPr>
      </w:pPr>
      <w:r w:rsidRPr="00941B57">
        <w:rPr>
          <w:rFonts w:ascii="Arial" w:hAnsi="Arial" w:cs="Arial"/>
        </w:rPr>
        <w:t>C2. Păduri și protecția biodiversității</w:t>
      </w:r>
    </w:p>
    <w:p w14:paraId="232CBDAE" w14:textId="77777777" w:rsidR="00B31FCC" w:rsidRPr="00941B57" w:rsidRDefault="00B31FCC" w:rsidP="00B31FCC">
      <w:pPr>
        <w:spacing w:after="0" w:line="276" w:lineRule="auto"/>
        <w:ind w:firstLine="720"/>
        <w:jc w:val="both"/>
        <w:rPr>
          <w:rFonts w:ascii="Arial" w:hAnsi="Arial" w:cs="Arial"/>
        </w:rPr>
      </w:pPr>
      <w:r w:rsidRPr="00941B57">
        <w:rPr>
          <w:rFonts w:ascii="Arial" w:hAnsi="Arial" w:cs="Arial"/>
        </w:rPr>
        <w:t xml:space="preserve">C3. Managementul deșeurilor </w:t>
      </w:r>
    </w:p>
    <w:p w14:paraId="06758DA9" w14:textId="77777777" w:rsidR="00B31FCC" w:rsidRPr="00941B57" w:rsidRDefault="00B31FCC" w:rsidP="00B31FCC">
      <w:pPr>
        <w:spacing w:after="0" w:line="276" w:lineRule="auto"/>
        <w:ind w:firstLine="720"/>
        <w:jc w:val="both"/>
        <w:rPr>
          <w:rFonts w:ascii="Arial" w:hAnsi="Arial" w:cs="Arial"/>
        </w:rPr>
      </w:pPr>
      <w:r w:rsidRPr="00941B57">
        <w:rPr>
          <w:rFonts w:ascii="Arial" w:hAnsi="Arial" w:cs="Arial"/>
        </w:rPr>
        <w:t xml:space="preserve">C4. Transport sustenabil </w:t>
      </w:r>
    </w:p>
    <w:p w14:paraId="66C850E0" w14:textId="77777777" w:rsidR="00B31FCC" w:rsidRPr="00941B57" w:rsidRDefault="00B31FCC" w:rsidP="00B31FCC">
      <w:pPr>
        <w:spacing w:after="0" w:line="276" w:lineRule="auto"/>
        <w:ind w:firstLine="720"/>
        <w:jc w:val="both"/>
        <w:rPr>
          <w:rFonts w:ascii="Arial" w:hAnsi="Arial" w:cs="Arial"/>
        </w:rPr>
      </w:pPr>
      <w:r w:rsidRPr="00941B57">
        <w:rPr>
          <w:rFonts w:ascii="Arial" w:hAnsi="Arial" w:cs="Arial"/>
        </w:rPr>
        <w:t xml:space="preserve">C5. Valul Renovării </w:t>
      </w:r>
    </w:p>
    <w:p w14:paraId="2DD3A254" w14:textId="77777777" w:rsidR="00B31FCC" w:rsidRPr="00941B57" w:rsidRDefault="00B31FCC" w:rsidP="00B31FCC">
      <w:pPr>
        <w:spacing w:after="0" w:line="276" w:lineRule="auto"/>
        <w:ind w:firstLine="720"/>
        <w:jc w:val="both"/>
        <w:rPr>
          <w:rFonts w:ascii="Arial" w:hAnsi="Arial" w:cs="Arial"/>
        </w:rPr>
      </w:pPr>
      <w:r w:rsidRPr="00941B57">
        <w:rPr>
          <w:rFonts w:ascii="Arial" w:hAnsi="Arial" w:cs="Arial"/>
        </w:rPr>
        <w:t xml:space="preserve">C6. Energie </w:t>
      </w:r>
    </w:p>
    <w:p w14:paraId="2B073B25" w14:textId="77777777" w:rsidR="0097648D" w:rsidRPr="00941B57" w:rsidRDefault="00B31FCC" w:rsidP="0097648D">
      <w:pPr>
        <w:spacing w:after="0" w:line="276" w:lineRule="auto"/>
        <w:ind w:left="360"/>
        <w:jc w:val="both"/>
        <w:rPr>
          <w:rFonts w:ascii="Arial" w:hAnsi="Arial" w:cs="Arial"/>
        </w:rPr>
      </w:pPr>
      <w:r w:rsidRPr="00941B57">
        <w:rPr>
          <w:rFonts w:ascii="Arial" w:hAnsi="Arial" w:cs="Arial"/>
        </w:rPr>
        <w:t xml:space="preserve">II. </w:t>
      </w:r>
      <w:r w:rsidRPr="00274326">
        <w:rPr>
          <w:rFonts w:ascii="Arial" w:hAnsi="Arial" w:cs="Arial"/>
          <w:b/>
          <w:bCs/>
        </w:rPr>
        <w:t xml:space="preserve">Transformare </w:t>
      </w:r>
      <w:r w:rsidR="0097648D" w:rsidRPr="00274326">
        <w:rPr>
          <w:rFonts w:ascii="Arial" w:hAnsi="Arial" w:cs="Arial"/>
          <w:b/>
          <w:bCs/>
        </w:rPr>
        <w:t>digital</w:t>
      </w:r>
      <w:r w:rsidR="00274326" w:rsidRPr="00274326">
        <w:rPr>
          <w:rFonts w:ascii="Arial" w:hAnsi="Arial" w:cs="Arial"/>
          <w:b/>
          <w:bCs/>
        </w:rPr>
        <w:t>ă</w:t>
      </w:r>
    </w:p>
    <w:p w14:paraId="4F74D0FC" w14:textId="77777777" w:rsidR="0097648D" w:rsidRPr="00941B57" w:rsidRDefault="00B31FCC" w:rsidP="0097648D">
      <w:pPr>
        <w:spacing w:after="0" w:line="276" w:lineRule="auto"/>
        <w:ind w:firstLine="720"/>
        <w:jc w:val="both"/>
        <w:rPr>
          <w:rFonts w:ascii="Arial" w:hAnsi="Arial" w:cs="Arial"/>
        </w:rPr>
      </w:pPr>
      <w:r w:rsidRPr="00941B57">
        <w:rPr>
          <w:rFonts w:ascii="Arial" w:hAnsi="Arial" w:cs="Arial"/>
        </w:rPr>
        <w:t xml:space="preserve"> C7. Transformare digitală </w:t>
      </w:r>
    </w:p>
    <w:p w14:paraId="4F822585" w14:textId="77777777" w:rsidR="0097648D" w:rsidRPr="00941B57" w:rsidRDefault="00B31FCC" w:rsidP="00941B57">
      <w:pPr>
        <w:spacing w:after="0" w:line="276" w:lineRule="auto"/>
        <w:ind w:left="360"/>
        <w:jc w:val="both"/>
        <w:rPr>
          <w:rFonts w:ascii="Arial" w:hAnsi="Arial" w:cs="Arial"/>
        </w:rPr>
      </w:pPr>
      <w:r w:rsidRPr="00941B57">
        <w:rPr>
          <w:rFonts w:ascii="Arial" w:hAnsi="Arial" w:cs="Arial"/>
        </w:rPr>
        <w:t xml:space="preserve">III. </w:t>
      </w:r>
      <w:r w:rsidRPr="00274326">
        <w:rPr>
          <w:rFonts w:ascii="Arial" w:hAnsi="Arial" w:cs="Arial"/>
          <w:b/>
          <w:bCs/>
        </w:rPr>
        <w:t>Creștere inteligentă, sustenabilă și favorabilă incluziunii</w:t>
      </w:r>
      <w:r w:rsidRPr="00941B57">
        <w:rPr>
          <w:rFonts w:ascii="Arial" w:hAnsi="Arial" w:cs="Arial"/>
        </w:rPr>
        <w:t xml:space="preserve"> </w:t>
      </w:r>
    </w:p>
    <w:p w14:paraId="4EE62E37" w14:textId="77777777" w:rsidR="0097648D" w:rsidRPr="00941B57" w:rsidRDefault="00B31FCC" w:rsidP="00941B57">
      <w:pPr>
        <w:spacing w:after="0" w:line="276" w:lineRule="auto"/>
        <w:ind w:firstLine="720"/>
        <w:jc w:val="both"/>
        <w:rPr>
          <w:rFonts w:ascii="Arial" w:hAnsi="Arial" w:cs="Arial"/>
        </w:rPr>
      </w:pPr>
      <w:r w:rsidRPr="00941B57">
        <w:rPr>
          <w:rFonts w:ascii="Arial" w:hAnsi="Arial" w:cs="Arial"/>
        </w:rPr>
        <w:t xml:space="preserve">C8. Reforma fiscala și reforma sistemului de pensii </w:t>
      </w:r>
    </w:p>
    <w:p w14:paraId="6F87D815" w14:textId="77777777" w:rsidR="0097648D" w:rsidRPr="00941B57" w:rsidRDefault="00B31FCC" w:rsidP="00941B57">
      <w:pPr>
        <w:spacing w:after="0" w:line="276" w:lineRule="auto"/>
        <w:ind w:firstLine="720"/>
        <w:jc w:val="both"/>
        <w:rPr>
          <w:rFonts w:ascii="Arial" w:hAnsi="Arial" w:cs="Arial"/>
        </w:rPr>
      </w:pPr>
      <w:r w:rsidRPr="00941B57">
        <w:rPr>
          <w:rFonts w:ascii="Arial" w:hAnsi="Arial" w:cs="Arial"/>
        </w:rPr>
        <w:t xml:space="preserve">C9. Suport pentru sectorul privat, cercetare, dezvoltare și inovare </w:t>
      </w:r>
    </w:p>
    <w:p w14:paraId="4979913E" w14:textId="77777777" w:rsidR="0097648D" w:rsidRPr="00941B57" w:rsidRDefault="00B31FCC" w:rsidP="00941B57">
      <w:pPr>
        <w:spacing w:after="0" w:line="276" w:lineRule="auto"/>
        <w:ind w:firstLine="720"/>
        <w:jc w:val="both"/>
        <w:rPr>
          <w:rFonts w:ascii="Arial" w:hAnsi="Arial" w:cs="Arial"/>
        </w:rPr>
      </w:pPr>
      <w:r w:rsidRPr="00941B57">
        <w:rPr>
          <w:rFonts w:ascii="Arial" w:hAnsi="Arial" w:cs="Arial"/>
        </w:rPr>
        <w:t xml:space="preserve">C10. Fondul local 4 </w:t>
      </w:r>
    </w:p>
    <w:p w14:paraId="57C5DBDA" w14:textId="77777777" w:rsidR="0097648D" w:rsidRPr="00941B57" w:rsidRDefault="00B31FCC" w:rsidP="00941B57">
      <w:pPr>
        <w:spacing w:after="0" w:line="276" w:lineRule="auto"/>
        <w:ind w:left="360"/>
        <w:jc w:val="both"/>
        <w:rPr>
          <w:rFonts w:ascii="Arial" w:hAnsi="Arial" w:cs="Arial"/>
        </w:rPr>
      </w:pPr>
      <w:r w:rsidRPr="00941B57">
        <w:rPr>
          <w:rFonts w:ascii="Arial" w:hAnsi="Arial" w:cs="Arial"/>
        </w:rPr>
        <w:t xml:space="preserve">IV. </w:t>
      </w:r>
      <w:r w:rsidRPr="00274326">
        <w:rPr>
          <w:rFonts w:ascii="Arial" w:hAnsi="Arial" w:cs="Arial"/>
          <w:b/>
          <w:bCs/>
        </w:rPr>
        <w:t>Coeziune socială și teritorială</w:t>
      </w:r>
      <w:r w:rsidRPr="00941B57">
        <w:rPr>
          <w:rFonts w:ascii="Arial" w:hAnsi="Arial" w:cs="Arial"/>
        </w:rPr>
        <w:t xml:space="preserve"> </w:t>
      </w:r>
    </w:p>
    <w:p w14:paraId="5C901C5A" w14:textId="77777777" w:rsidR="0097648D" w:rsidRPr="00941B57" w:rsidRDefault="00B31FCC" w:rsidP="00941B57">
      <w:pPr>
        <w:spacing w:after="0" w:line="276" w:lineRule="auto"/>
        <w:ind w:firstLine="720"/>
        <w:jc w:val="both"/>
        <w:rPr>
          <w:rFonts w:ascii="Arial" w:hAnsi="Arial" w:cs="Arial"/>
        </w:rPr>
      </w:pPr>
      <w:r w:rsidRPr="00941B57">
        <w:rPr>
          <w:rFonts w:ascii="Arial" w:hAnsi="Arial" w:cs="Arial"/>
        </w:rPr>
        <w:t xml:space="preserve">C11. Turism și cultură </w:t>
      </w:r>
    </w:p>
    <w:p w14:paraId="1F9C8097" w14:textId="77777777" w:rsidR="0097648D" w:rsidRPr="00274326" w:rsidRDefault="00B31FCC" w:rsidP="00941B57">
      <w:pPr>
        <w:spacing w:after="0" w:line="276" w:lineRule="auto"/>
        <w:ind w:left="360"/>
        <w:jc w:val="both"/>
        <w:rPr>
          <w:rFonts w:ascii="Arial" w:hAnsi="Arial" w:cs="Arial"/>
          <w:b/>
          <w:bCs/>
        </w:rPr>
      </w:pPr>
      <w:r w:rsidRPr="00941B57">
        <w:rPr>
          <w:rFonts w:ascii="Arial" w:hAnsi="Arial" w:cs="Arial"/>
        </w:rPr>
        <w:t xml:space="preserve">V. </w:t>
      </w:r>
      <w:r w:rsidRPr="00274326">
        <w:rPr>
          <w:rFonts w:ascii="Arial" w:hAnsi="Arial" w:cs="Arial"/>
          <w:b/>
          <w:bCs/>
        </w:rPr>
        <w:t xml:space="preserve">Sănătate, precum și reziliență economică, socială și instituțională </w:t>
      </w:r>
    </w:p>
    <w:p w14:paraId="51FDD6CE" w14:textId="77777777" w:rsidR="0097648D" w:rsidRPr="00941B57" w:rsidRDefault="00B31FCC" w:rsidP="00941B57">
      <w:pPr>
        <w:spacing w:after="0" w:line="276" w:lineRule="auto"/>
        <w:ind w:firstLine="720"/>
        <w:jc w:val="both"/>
        <w:rPr>
          <w:rFonts w:ascii="Arial" w:hAnsi="Arial" w:cs="Arial"/>
        </w:rPr>
      </w:pPr>
      <w:r w:rsidRPr="00941B57">
        <w:rPr>
          <w:rFonts w:ascii="Arial" w:hAnsi="Arial" w:cs="Arial"/>
        </w:rPr>
        <w:t xml:space="preserve">C12. Sănătate </w:t>
      </w:r>
    </w:p>
    <w:p w14:paraId="12266E49" w14:textId="77777777" w:rsidR="0097648D" w:rsidRPr="00941B57" w:rsidRDefault="00B31FCC" w:rsidP="00941B57">
      <w:pPr>
        <w:spacing w:after="0" w:line="276" w:lineRule="auto"/>
        <w:ind w:firstLine="720"/>
        <w:jc w:val="both"/>
        <w:rPr>
          <w:rFonts w:ascii="Arial" w:hAnsi="Arial" w:cs="Arial"/>
        </w:rPr>
      </w:pPr>
      <w:r w:rsidRPr="00941B57">
        <w:rPr>
          <w:rFonts w:ascii="Arial" w:hAnsi="Arial" w:cs="Arial"/>
        </w:rPr>
        <w:t xml:space="preserve">C13. Reforme sociale </w:t>
      </w:r>
    </w:p>
    <w:p w14:paraId="6761AB00" w14:textId="77777777" w:rsidR="0097648D" w:rsidRPr="00941B57" w:rsidRDefault="00B31FCC" w:rsidP="00941B57">
      <w:pPr>
        <w:spacing w:after="0" w:line="276" w:lineRule="auto"/>
        <w:ind w:firstLine="720"/>
        <w:jc w:val="both"/>
        <w:rPr>
          <w:rFonts w:ascii="Arial" w:hAnsi="Arial" w:cs="Arial"/>
        </w:rPr>
      </w:pPr>
      <w:r w:rsidRPr="00941B57">
        <w:rPr>
          <w:rFonts w:ascii="Arial" w:hAnsi="Arial" w:cs="Arial"/>
        </w:rPr>
        <w:t xml:space="preserve">C14. Bună guvernanță </w:t>
      </w:r>
    </w:p>
    <w:p w14:paraId="28EA1FF4" w14:textId="77777777" w:rsidR="0097648D" w:rsidRPr="00274326" w:rsidRDefault="00B31FCC" w:rsidP="00941B57">
      <w:pPr>
        <w:spacing w:after="0" w:line="276" w:lineRule="auto"/>
        <w:ind w:left="360"/>
        <w:jc w:val="both"/>
        <w:rPr>
          <w:rFonts w:ascii="Arial" w:hAnsi="Arial" w:cs="Arial"/>
          <w:b/>
          <w:bCs/>
        </w:rPr>
      </w:pPr>
      <w:r w:rsidRPr="00941B57">
        <w:rPr>
          <w:rFonts w:ascii="Arial" w:hAnsi="Arial" w:cs="Arial"/>
        </w:rPr>
        <w:t xml:space="preserve">VI. </w:t>
      </w:r>
      <w:r w:rsidRPr="00274326">
        <w:rPr>
          <w:rFonts w:ascii="Arial" w:hAnsi="Arial" w:cs="Arial"/>
          <w:b/>
          <w:bCs/>
        </w:rPr>
        <w:t xml:space="preserve">Politici pentru noua generație </w:t>
      </w:r>
    </w:p>
    <w:p w14:paraId="38D89E45" w14:textId="77777777" w:rsidR="00644B82" w:rsidRPr="00941B57" w:rsidRDefault="00B31FCC" w:rsidP="00941B57">
      <w:pPr>
        <w:spacing w:after="0" w:line="276" w:lineRule="auto"/>
        <w:ind w:firstLine="720"/>
        <w:jc w:val="both"/>
        <w:rPr>
          <w:rFonts w:ascii="Arial" w:eastAsia="Calibri" w:hAnsi="Arial" w:cs="Arial"/>
        </w:rPr>
      </w:pPr>
      <w:r w:rsidRPr="00941B57">
        <w:rPr>
          <w:rFonts w:ascii="Arial" w:hAnsi="Arial" w:cs="Arial"/>
        </w:rPr>
        <w:t>C15. Educație</w:t>
      </w:r>
    </w:p>
    <w:p w14:paraId="693C939B" w14:textId="77777777" w:rsidR="00274326" w:rsidRDefault="00A24C48" w:rsidP="0049379B">
      <w:pPr>
        <w:spacing w:after="0" w:line="276" w:lineRule="auto"/>
        <w:jc w:val="both"/>
        <w:rPr>
          <w:rFonts w:ascii="Arial" w:eastAsia="Calibri" w:hAnsi="Arial" w:cs="Arial"/>
        </w:rPr>
      </w:pPr>
      <w:r w:rsidRPr="00A24C48">
        <w:rPr>
          <w:rFonts w:ascii="Arial" w:eastAsia="Calibri" w:hAnsi="Arial" w:cs="Arial"/>
        </w:rPr>
        <w:t xml:space="preserve">Obiectivul </w:t>
      </w:r>
      <w:r>
        <w:rPr>
          <w:rFonts w:ascii="Arial" w:eastAsia="Calibri" w:hAnsi="Arial" w:cs="Arial"/>
        </w:rPr>
        <w:t xml:space="preserve">componentei C4 – Transport </w:t>
      </w:r>
      <w:r w:rsidR="008530B7">
        <w:rPr>
          <w:rFonts w:ascii="Arial" w:eastAsia="Calibri" w:hAnsi="Arial" w:cs="Arial"/>
        </w:rPr>
        <w:t xml:space="preserve">sustenabil </w:t>
      </w:r>
      <w:r w:rsidRPr="00A24C48">
        <w:rPr>
          <w:rFonts w:ascii="Arial" w:eastAsia="Calibri" w:hAnsi="Arial" w:cs="Arial"/>
        </w:rPr>
        <w:t>este de a spori sustenabilitatea sectorului transporturilor din România prin sprijinirea tranziției verzi și digitale a sectorului, respectiv de a dezvolta o infrastructură de transport durabilă și ecologică, cu standarde de siguranță adecvate, care să contribuie la finalizarea rețelelor transeuropene de transport (TEN-T) și la descongestionarea nodurilor urbane, stimulând în același timp tranziția către un transport sustenabil la nivel național, fiind vizate acțiuni orientate către dezvoltarea de măsuri „environmental friendly” pe noile sectoare de transport de mare viteză, asigurarea elementelor de protecție a mediului, precum și a sistemelor inteligente de transport (ITS) și a măsurilor de siguranță rutieră.</w:t>
      </w:r>
    </w:p>
    <w:p w14:paraId="53F799A4" w14:textId="77777777" w:rsidR="00274326" w:rsidRDefault="009714F4" w:rsidP="0049379B">
      <w:pPr>
        <w:spacing w:after="0" w:line="276" w:lineRule="auto"/>
        <w:jc w:val="both"/>
        <w:rPr>
          <w:rFonts w:ascii="Arial" w:eastAsia="Calibri" w:hAnsi="Arial" w:cs="Arial"/>
        </w:rPr>
      </w:pPr>
      <w:r>
        <w:rPr>
          <w:rFonts w:ascii="Arial" w:eastAsia="Calibri" w:hAnsi="Arial" w:cs="Arial"/>
        </w:rPr>
        <w:t>Pentru atingerea obiectivului propus și pentru generarea impactului preconizat, sunt prevăzute o serie de reforme și investiții:</w:t>
      </w:r>
    </w:p>
    <w:p w14:paraId="5CCE1DD7" w14:textId="77777777" w:rsidR="00401035" w:rsidRPr="00401035" w:rsidRDefault="00401035" w:rsidP="0049379B">
      <w:pPr>
        <w:spacing w:after="0" w:line="276" w:lineRule="auto"/>
        <w:jc w:val="both"/>
        <w:rPr>
          <w:rFonts w:ascii="Arial" w:eastAsia="Calibri" w:hAnsi="Arial" w:cs="Arial"/>
          <w:b/>
          <w:bCs/>
        </w:rPr>
      </w:pPr>
      <w:r w:rsidRPr="00401035">
        <w:rPr>
          <w:rFonts w:ascii="Arial" w:eastAsia="Calibri" w:hAnsi="Arial" w:cs="Arial"/>
          <w:b/>
          <w:bCs/>
        </w:rPr>
        <w:t>Reforme</w:t>
      </w:r>
    </w:p>
    <w:p w14:paraId="6A5BA535" w14:textId="77777777" w:rsidR="009714F4" w:rsidRDefault="009714F4" w:rsidP="0049379B">
      <w:pPr>
        <w:spacing w:after="0" w:line="276" w:lineRule="auto"/>
        <w:jc w:val="both"/>
        <w:rPr>
          <w:rFonts w:ascii="Arial" w:eastAsia="Calibri" w:hAnsi="Arial" w:cs="Arial"/>
        </w:rPr>
      </w:pPr>
      <w:r>
        <w:rPr>
          <w:rFonts w:ascii="Arial" w:eastAsia="Calibri" w:hAnsi="Arial" w:cs="Arial"/>
        </w:rPr>
        <w:t>R1. Transport sustenabil, decarbonizare și siguranță rutieră</w:t>
      </w:r>
    </w:p>
    <w:p w14:paraId="58DDD5DE" w14:textId="77777777" w:rsidR="009714F4" w:rsidRDefault="00401035" w:rsidP="0049379B">
      <w:pPr>
        <w:spacing w:after="0" w:line="276" w:lineRule="auto"/>
        <w:jc w:val="both"/>
        <w:rPr>
          <w:rFonts w:ascii="Arial" w:eastAsia="Calibri" w:hAnsi="Arial" w:cs="Arial"/>
        </w:rPr>
      </w:pPr>
      <w:r>
        <w:rPr>
          <w:rFonts w:ascii="Arial" w:eastAsia="Calibri" w:hAnsi="Arial" w:cs="Arial"/>
        </w:rPr>
        <w:t xml:space="preserve">R2. </w:t>
      </w:r>
      <w:r w:rsidRPr="00401035">
        <w:rPr>
          <w:rFonts w:ascii="Arial" w:eastAsia="Calibri" w:hAnsi="Arial" w:cs="Arial"/>
        </w:rPr>
        <w:t>Management performant pentru transport de calitate - Îmbunătățirea capacității instituționale de management și guvernanță corporativă</w:t>
      </w:r>
    </w:p>
    <w:p w14:paraId="516289E7" w14:textId="77777777" w:rsidR="00401035" w:rsidRDefault="00401035" w:rsidP="0049379B">
      <w:pPr>
        <w:spacing w:after="0" w:line="276" w:lineRule="auto"/>
        <w:jc w:val="both"/>
        <w:rPr>
          <w:rFonts w:ascii="Arial" w:eastAsia="Calibri" w:hAnsi="Arial" w:cs="Arial"/>
          <w:b/>
          <w:bCs/>
        </w:rPr>
      </w:pPr>
      <w:r w:rsidRPr="00401035">
        <w:rPr>
          <w:rFonts w:ascii="Arial" w:eastAsia="Calibri" w:hAnsi="Arial" w:cs="Arial"/>
          <w:b/>
          <w:bCs/>
        </w:rPr>
        <w:t>Investiții</w:t>
      </w:r>
    </w:p>
    <w:p w14:paraId="4C513E1B" w14:textId="77777777" w:rsidR="00401035" w:rsidRPr="00401035" w:rsidRDefault="00401035" w:rsidP="00401035">
      <w:pPr>
        <w:spacing w:after="0" w:line="276" w:lineRule="auto"/>
        <w:jc w:val="both"/>
        <w:rPr>
          <w:rFonts w:ascii="Arial" w:eastAsia="Calibri" w:hAnsi="Arial" w:cs="Arial"/>
        </w:rPr>
      </w:pPr>
      <w:r w:rsidRPr="00401035">
        <w:rPr>
          <w:rFonts w:ascii="Arial" w:eastAsia="Calibri" w:hAnsi="Arial" w:cs="Arial"/>
        </w:rPr>
        <w:t>I1. Modernizarea și reînnoirea infrastructurii feroviare;</w:t>
      </w:r>
    </w:p>
    <w:p w14:paraId="63C86DD2" w14:textId="77777777" w:rsidR="00401035" w:rsidRPr="00401035" w:rsidRDefault="00401035" w:rsidP="00401035">
      <w:pPr>
        <w:spacing w:after="0" w:line="276" w:lineRule="auto"/>
        <w:jc w:val="both"/>
        <w:rPr>
          <w:rFonts w:ascii="Arial" w:eastAsia="Calibri" w:hAnsi="Arial" w:cs="Arial"/>
        </w:rPr>
      </w:pPr>
      <w:r w:rsidRPr="00401035">
        <w:rPr>
          <w:rFonts w:ascii="Arial" w:eastAsia="Calibri" w:hAnsi="Arial" w:cs="Arial"/>
        </w:rPr>
        <w:t>I2. Material rulant feroviar;</w:t>
      </w:r>
    </w:p>
    <w:p w14:paraId="1B29ED3B" w14:textId="77777777" w:rsidR="00401035" w:rsidRPr="00401035" w:rsidRDefault="00401035" w:rsidP="00401035">
      <w:pPr>
        <w:spacing w:after="0" w:line="276" w:lineRule="auto"/>
        <w:jc w:val="both"/>
        <w:rPr>
          <w:rFonts w:ascii="Arial" w:eastAsia="Calibri" w:hAnsi="Arial" w:cs="Arial"/>
        </w:rPr>
      </w:pPr>
      <w:r w:rsidRPr="00401035">
        <w:rPr>
          <w:rFonts w:ascii="Arial" w:eastAsia="Calibri" w:hAnsi="Arial" w:cs="Arial"/>
        </w:rPr>
        <w:t>I3. Dezvoltarea infrastructurii rutiere sustenabile pe rețeaua TEN-T, taxarea rutieră, managementul traficului și siguranța rutieră;</w:t>
      </w:r>
    </w:p>
    <w:p w14:paraId="327E9F0A" w14:textId="77777777" w:rsidR="00401035" w:rsidRDefault="00401035" w:rsidP="00401035">
      <w:pPr>
        <w:spacing w:after="0" w:line="276" w:lineRule="auto"/>
        <w:jc w:val="both"/>
        <w:rPr>
          <w:rFonts w:ascii="Arial" w:eastAsia="Calibri" w:hAnsi="Arial" w:cs="Arial"/>
        </w:rPr>
      </w:pPr>
      <w:r w:rsidRPr="00401035">
        <w:rPr>
          <w:rFonts w:ascii="Arial" w:eastAsia="Calibri" w:hAnsi="Arial" w:cs="Arial"/>
        </w:rPr>
        <w:lastRenderedPageBreak/>
        <w:t>I4. Dezvoltarea rețelei de transport cu metroul în Municipiile București și Cluj-Napoca</w:t>
      </w:r>
      <w:r>
        <w:rPr>
          <w:rFonts w:ascii="Arial" w:eastAsia="Calibri" w:hAnsi="Arial" w:cs="Arial"/>
        </w:rPr>
        <w:t>.</w:t>
      </w:r>
    </w:p>
    <w:p w14:paraId="3EA81BB9" w14:textId="77777777" w:rsidR="003C1975" w:rsidRDefault="003C1975" w:rsidP="00401035">
      <w:pPr>
        <w:spacing w:after="0" w:line="276" w:lineRule="auto"/>
        <w:jc w:val="both"/>
        <w:rPr>
          <w:rFonts w:ascii="Arial" w:eastAsia="Calibri" w:hAnsi="Arial" w:cs="Arial"/>
        </w:rPr>
      </w:pPr>
    </w:p>
    <w:tbl>
      <w:tblPr>
        <w:tblStyle w:val="GridTable1Light-Accent61"/>
        <w:tblW w:w="10082" w:type="dxa"/>
        <w:tblLook w:val="04A0" w:firstRow="1" w:lastRow="0" w:firstColumn="1" w:lastColumn="0" w:noHBand="0" w:noVBand="1"/>
      </w:tblPr>
      <w:tblGrid>
        <w:gridCol w:w="381"/>
        <w:gridCol w:w="3320"/>
        <w:gridCol w:w="979"/>
        <w:gridCol w:w="1429"/>
        <w:gridCol w:w="1429"/>
        <w:gridCol w:w="1527"/>
        <w:gridCol w:w="1004"/>
        <w:gridCol w:w="13"/>
      </w:tblGrid>
      <w:tr w:rsidR="00E5190D" w:rsidRPr="00E5190D" w14:paraId="547C7948" w14:textId="77777777" w:rsidTr="003C1975">
        <w:trPr>
          <w:gridAfter w:val="1"/>
          <w:cnfStyle w:val="100000000000" w:firstRow="1" w:lastRow="0" w:firstColumn="0" w:lastColumn="0" w:oddVBand="0" w:evenVBand="0" w:oddHBand="0" w:evenHBand="0" w:firstRowFirstColumn="0" w:firstRowLastColumn="0" w:lastRowFirstColumn="0" w:lastRowLastColumn="0"/>
          <w:wAfter w:w="13" w:type="dxa"/>
        </w:trPr>
        <w:tc>
          <w:tcPr>
            <w:cnfStyle w:val="001000000000" w:firstRow="0" w:lastRow="0" w:firstColumn="1" w:lastColumn="0" w:oddVBand="0" w:evenVBand="0" w:oddHBand="0" w:evenHBand="0" w:firstRowFirstColumn="0" w:firstRowLastColumn="0" w:lastRowFirstColumn="0" w:lastRowLastColumn="0"/>
            <w:tcW w:w="381" w:type="dxa"/>
          </w:tcPr>
          <w:p w14:paraId="523C60EC" w14:textId="77777777" w:rsidR="00E5190D" w:rsidRPr="00E5190D" w:rsidRDefault="00E5190D" w:rsidP="00401035">
            <w:pPr>
              <w:spacing w:line="276" w:lineRule="auto"/>
              <w:jc w:val="both"/>
              <w:rPr>
                <w:rFonts w:ascii="Arial Narrow" w:eastAsia="Calibri" w:hAnsi="Arial Narrow" w:cs="Arial"/>
                <w:sz w:val="18"/>
                <w:szCs w:val="18"/>
              </w:rPr>
            </w:pPr>
          </w:p>
        </w:tc>
        <w:tc>
          <w:tcPr>
            <w:tcW w:w="3320" w:type="dxa"/>
          </w:tcPr>
          <w:p w14:paraId="715F19F8" w14:textId="77777777" w:rsidR="00E5190D" w:rsidRPr="003C1975" w:rsidRDefault="00E5190D" w:rsidP="00401035">
            <w:pPr>
              <w:spacing w:line="276" w:lineRule="auto"/>
              <w:jc w:val="both"/>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sz w:val="18"/>
                <w:szCs w:val="18"/>
              </w:rPr>
            </w:pPr>
            <w:r w:rsidRPr="003C1975">
              <w:rPr>
                <w:rFonts w:ascii="Arial Narrow" w:eastAsia="Calibri" w:hAnsi="Arial Narrow" w:cs="Arial"/>
                <w:b w:val="0"/>
                <w:bCs w:val="0"/>
                <w:sz w:val="18"/>
                <w:szCs w:val="18"/>
              </w:rPr>
              <w:t>Denumire reforme/investiții</w:t>
            </w:r>
          </w:p>
        </w:tc>
        <w:tc>
          <w:tcPr>
            <w:tcW w:w="979" w:type="dxa"/>
          </w:tcPr>
          <w:p w14:paraId="68742FEF" w14:textId="77777777" w:rsidR="00E5190D" w:rsidRPr="003C1975" w:rsidRDefault="00E5190D" w:rsidP="00736F7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sz w:val="18"/>
                <w:szCs w:val="18"/>
              </w:rPr>
            </w:pPr>
            <w:r w:rsidRPr="003C1975">
              <w:rPr>
                <w:rFonts w:ascii="Arial Narrow" w:eastAsia="Calibri" w:hAnsi="Arial Narrow" w:cs="Arial"/>
                <w:b w:val="0"/>
                <w:bCs w:val="0"/>
                <w:sz w:val="18"/>
                <w:szCs w:val="18"/>
              </w:rPr>
              <w:t>Suma (milioane euro)</w:t>
            </w:r>
          </w:p>
        </w:tc>
        <w:tc>
          <w:tcPr>
            <w:tcW w:w="1429" w:type="dxa"/>
          </w:tcPr>
          <w:p w14:paraId="4C5FD2F1" w14:textId="77777777" w:rsidR="00E5190D" w:rsidRPr="003C1975" w:rsidRDefault="00E5190D" w:rsidP="00736F7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sz w:val="18"/>
                <w:szCs w:val="18"/>
              </w:rPr>
            </w:pPr>
            <w:r w:rsidRPr="003C1975">
              <w:rPr>
                <w:rFonts w:ascii="Arial Narrow" w:eastAsia="Calibri" w:hAnsi="Arial Narrow" w:cs="Arial"/>
                <w:b w:val="0"/>
                <w:bCs w:val="0"/>
                <w:sz w:val="18"/>
                <w:szCs w:val="18"/>
              </w:rPr>
              <w:t xml:space="preserve">Din care contribuție </w:t>
            </w:r>
            <w:r w:rsidR="003C1975" w:rsidRPr="003C1975">
              <w:rPr>
                <w:rFonts w:ascii="Arial Narrow" w:eastAsia="Calibri" w:hAnsi="Arial Narrow" w:cs="Arial"/>
                <w:b w:val="0"/>
                <w:bCs w:val="0"/>
                <w:sz w:val="18"/>
                <w:szCs w:val="18"/>
              </w:rPr>
              <w:t>l</w:t>
            </w:r>
            <w:r w:rsidRPr="003C1975">
              <w:rPr>
                <w:rFonts w:ascii="Arial Narrow" w:eastAsia="Calibri" w:hAnsi="Arial Narrow" w:cs="Arial"/>
                <w:b w:val="0"/>
                <w:bCs w:val="0"/>
                <w:sz w:val="18"/>
                <w:szCs w:val="18"/>
              </w:rPr>
              <w:t>a tranziția verde (milioane euro</w:t>
            </w:r>
            <w:r w:rsidR="00736F7D" w:rsidRPr="003C1975">
              <w:rPr>
                <w:rFonts w:ascii="Arial Narrow" w:eastAsia="Calibri" w:hAnsi="Arial Narrow" w:cs="Arial"/>
                <w:b w:val="0"/>
                <w:bCs w:val="0"/>
                <w:sz w:val="18"/>
                <w:szCs w:val="18"/>
              </w:rPr>
              <w:t>)</w:t>
            </w:r>
          </w:p>
        </w:tc>
        <w:tc>
          <w:tcPr>
            <w:tcW w:w="1429" w:type="dxa"/>
          </w:tcPr>
          <w:p w14:paraId="132C4FB4" w14:textId="77777777" w:rsidR="00E5190D" w:rsidRPr="003C1975" w:rsidRDefault="00E5190D" w:rsidP="00736F7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sz w:val="18"/>
                <w:szCs w:val="18"/>
              </w:rPr>
            </w:pPr>
            <w:r w:rsidRPr="003C1975">
              <w:rPr>
                <w:rFonts w:ascii="Arial Narrow" w:eastAsia="Calibri" w:hAnsi="Arial Narrow" w:cs="Arial"/>
                <w:b w:val="0"/>
                <w:bCs w:val="0"/>
                <w:sz w:val="18"/>
                <w:szCs w:val="18"/>
              </w:rPr>
              <w:t>Din care contribuție la tranziția digital (milioane euro)</w:t>
            </w:r>
          </w:p>
        </w:tc>
        <w:tc>
          <w:tcPr>
            <w:tcW w:w="1527" w:type="dxa"/>
          </w:tcPr>
          <w:p w14:paraId="25FA724D" w14:textId="77777777" w:rsidR="00E5190D" w:rsidRPr="003C1975" w:rsidRDefault="00E5190D" w:rsidP="00736F7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sz w:val="18"/>
                <w:szCs w:val="18"/>
              </w:rPr>
            </w:pPr>
            <w:r w:rsidRPr="003C1975">
              <w:rPr>
                <w:rFonts w:ascii="Arial Narrow" w:eastAsia="Calibri" w:hAnsi="Arial Narrow" w:cs="Arial"/>
                <w:b w:val="0"/>
                <w:bCs w:val="0"/>
                <w:sz w:val="18"/>
                <w:szCs w:val="18"/>
              </w:rPr>
              <w:t>Din care finanțări nerambursabile (milioane lei)</w:t>
            </w:r>
          </w:p>
        </w:tc>
        <w:tc>
          <w:tcPr>
            <w:tcW w:w="1004" w:type="dxa"/>
          </w:tcPr>
          <w:p w14:paraId="13FFB982" w14:textId="77777777" w:rsidR="00E5190D" w:rsidRPr="003C1975" w:rsidRDefault="00E5190D" w:rsidP="00736F7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eastAsia="Calibri" w:hAnsi="Arial Narrow" w:cs="Arial"/>
                <w:b w:val="0"/>
                <w:bCs w:val="0"/>
                <w:sz w:val="18"/>
                <w:szCs w:val="18"/>
              </w:rPr>
            </w:pPr>
            <w:r w:rsidRPr="003C1975">
              <w:rPr>
                <w:rFonts w:ascii="Arial Narrow" w:eastAsia="Calibri" w:hAnsi="Arial Narrow" w:cs="Arial"/>
                <w:b w:val="0"/>
                <w:bCs w:val="0"/>
                <w:sz w:val="18"/>
                <w:szCs w:val="18"/>
              </w:rPr>
              <w:t>Din care împrumuturi (milioane euro)</w:t>
            </w:r>
          </w:p>
        </w:tc>
      </w:tr>
      <w:tr w:rsidR="00E5190D" w:rsidRPr="00E5190D" w14:paraId="779DD9B6" w14:textId="77777777" w:rsidTr="003C1975">
        <w:tc>
          <w:tcPr>
            <w:cnfStyle w:val="001000000000" w:firstRow="0" w:lastRow="0" w:firstColumn="1" w:lastColumn="0" w:oddVBand="0" w:evenVBand="0" w:oddHBand="0" w:evenHBand="0" w:firstRowFirstColumn="0" w:firstRowLastColumn="0" w:lastRowFirstColumn="0" w:lastRowLastColumn="0"/>
            <w:tcW w:w="10082" w:type="dxa"/>
            <w:gridSpan w:val="8"/>
          </w:tcPr>
          <w:p w14:paraId="46459CD1" w14:textId="77777777" w:rsidR="00E5190D" w:rsidRPr="003C1975" w:rsidRDefault="00E5190D" w:rsidP="00401035">
            <w:pPr>
              <w:spacing w:line="276" w:lineRule="auto"/>
              <w:jc w:val="both"/>
              <w:rPr>
                <w:rFonts w:ascii="Arial Narrow" w:eastAsia="Calibri" w:hAnsi="Arial Narrow" w:cs="Arial"/>
                <w:b w:val="0"/>
                <w:bCs w:val="0"/>
                <w:sz w:val="18"/>
                <w:szCs w:val="18"/>
              </w:rPr>
            </w:pPr>
            <w:r w:rsidRPr="003C1975">
              <w:rPr>
                <w:rFonts w:ascii="Arial Narrow" w:eastAsia="Calibri" w:hAnsi="Arial Narrow" w:cs="Arial"/>
                <w:b w:val="0"/>
                <w:bCs w:val="0"/>
                <w:sz w:val="18"/>
                <w:szCs w:val="18"/>
              </w:rPr>
              <w:t>C4 – TRANSPORT SUSTENABIL</w:t>
            </w:r>
          </w:p>
        </w:tc>
      </w:tr>
      <w:tr w:rsidR="00E5190D" w:rsidRPr="00E5190D" w14:paraId="57567057" w14:textId="77777777" w:rsidTr="003C1975">
        <w:trPr>
          <w:gridAfter w:val="1"/>
          <w:wAfter w:w="13" w:type="dxa"/>
        </w:trPr>
        <w:tc>
          <w:tcPr>
            <w:cnfStyle w:val="001000000000" w:firstRow="0" w:lastRow="0" w:firstColumn="1" w:lastColumn="0" w:oddVBand="0" w:evenVBand="0" w:oddHBand="0" w:evenHBand="0" w:firstRowFirstColumn="0" w:firstRowLastColumn="0" w:lastRowFirstColumn="0" w:lastRowLastColumn="0"/>
            <w:tcW w:w="381" w:type="dxa"/>
          </w:tcPr>
          <w:p w14:paraId="7DB60882" w14:textId="77777777" w:rsidR="00E5190D" w:rsidRPr="00E5190D" w:rsidRDefault="00E5190D" w:rsidP="00401035">
            <w:pPr>
              <w:spacing w:line="276" w:lineRule="auto"/>
              <w:jc w:val="both"/>
              <w:rPr>
                <w:rFonts w:ascii="Arial Narrow" w:eastAsia="Calibri" w:hAnsi="Arial Narrow" w:cs="Arial"/>
                <w:sz w:val="18"/>
                <w:szCs w:val="18"/>
              </w:rPr>
            </w:pPr>
            <w:r>
              <w:rPr>
                <w:rFonts w:ascii="Arial Narrow" w:eastAsia="Calibri" w:hAnsi="Arial Narrow" w:cs="Arial"/>
                <w:sz w:val="18"/>
                <w:szCs w:val="18"/>
              </w:rPr>
              <w:t>18</w:t>
            </w:r>
          </w:p>
        </w:tc>
        <w:tc>
          <w:tcPr>
            <w:tcW w:w="3320" w:type="dxa"/>
          </w:tcPr>
          <w:p w14:paraId="4B716AEC" w14:textId="77777777" w:rsidR="00E5190D" w:rsidRPr="00E5190D" w:rsidRDefault="00736F7D" w:rsidP="00401035">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sidRPr="00736F7D">
              <w:rPr>
                <w:rFonts w:ascii="Arial Narrow" w:eastAsia="Calibri" w:hAnsi="Arial Narrow" w:cs="Arial"/>
                <w:sz w:val="18"/>
                <w:szCs w:val="18"/>
              </w:rPr>
              <w:t>R1. Transport sustenabil, decarbonizare și siguranță rutieră</w:t>
            </w:r>
          </w:p>
        </w:tc>
        <w:tc>
          <w:tcPr>
            <w:tcW w:w="979" w:type="dxa"/>
          </w:tcPr>
          <w:p w14:paraId="591FB7C6"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10.00</w:t>
            </w:r>
          </w:p>
        </w:tc>
        <w:tc>
          <w:tcPr>
            <w:tcW w:w="1429" w:type="dxa"/>
          </w:tcPr>
          <w:p w14:paraId="30DA112E"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c>
          <w:tcPr>
            <w:tcW w:w="1429" w:type="dxa"/>
          </w:tcPr>
          <w:p w14:paraId="38D1DAEB"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c>
          <w:tcPr>
            <w:tcW w:w="1527" w:type="dxa"/>
          </w:tcPr>
          <w:p w14:paraId="65C82E9A"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10.00</w:t>
            </w:r>
          </w:p>
        </w:tc>
        <w:tc>
          <w:tcPr>
            <w:tcW w:w="1004" w:type="dxa"/>
          </w:tcPr>
          <w:p w14:paraId="4BB0C3DA"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r>
      <w:tr w:rsidR="00E5190D" w:rsidRPr="00E5190D" w14:paraId="197A814C" w14:textId="77777777" w:rsidTr="003C1975">
        <w:trPr>
          <w:gridAfter w:val="1"/>
          <w:wAfter w:w="13" w:type="dxa"/>
        </w:trPr>
        <w:tc>
          <w:tcPr>
            <w:cnfStyle w:val="001000000000" w:firstRow="0" w:lastRow="0" w:firstColumn="1" w:lastColumn="0" w:oddVBand="0" w:evenVBand="0" w:oddHBand="0" w:evenHBand="0" w:firstRowFirstColumn="0" w:firstRowLastColumn="0" w:lastRowFirstColumn="0" w:lastRowLastColumn="0"/>
            <w:tcW w:w="381" w:type="dxa"/>
          </w:tcPr>
          <w:p w14:paraId="2A2093E5" w14:textId="77777777" w:rsidR="00E5190D" w:rsidRPr="00E5190D" w:rsidRDefault="00E5190D" w:rsidP="00401035">
            <w:pPr>
              <w:spacing w:line="276" w:lineRule="auto"/>
              <w:jc w:val="both"/>
              <w:rPr>
                <w:rFonts w:ascii="Arial Narrow" w:eastAsia="Calibri" w:hAnsi="Arial Narrow" w:cs="Arial"/>
                <w:sz w:val="18"/>
                <w:szCs w:val="18"/>
              </w:rPr>
            </w:pPr>
            <w:r>
              <w:rPr>
                <w:rFonts w:ascii="Arial Narrow" w:eastAsia="Calibri" w:hAnsi="Arial Narrow" w:cs="Arial"/>
                <w:sz w:val="18"/>
                <w:szCs w:val="18"/>
              </w:rPr>
              <w:t>19</w:t>
            </w:r>
          </w:p>
        </w:tc>
        <w:tc>
          <w:tcPr>
            <w:tcW w:w="3320" w:type="dxa"/>
          </w:tcPr>
          <w:p w14:paraId="3ED68D4F" w14:textId="77777777" w:rsidR="00E5190D" w:rsidRPr="00E5190D" w:rsidRDefault="00736F7D" w:rsidP="00401035">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sidRPr="00736F7D">
              <w:rPr>
                <w:rFonts w:ascii="Arial Narrow" w:eastAsia="Calibri" w:hAnsi="Arial Narrow" w:cs="Arial"/>
                <w:sz w:val="18"/>
                <w:szCs w:val="18"/>
              </w:rPr>
              <w:t>I1.</w:t>
            </w:r>
            <w:r>
              <w:rPr>
                <w:rFonts w:ascii="Arial Narrow" w:eastAsia="Calibri" w:hAnsi="Arial Narrow" w:cs="Arial"/>
                <w:sz w:val="18"/>
                <w:szCs w:val="18"/>
              </w:rPr>
              <w:t xml:space="preserve"> </w:t>
            </w:r>
            <w:r w:rsidRPr="00736F7D">
              <w:rPr>
                <w:rFonts w:ascii="Arial Narrow" w:eastAsia="Calibri" w:hAnsi="Arial Narrow" w:cs="Arial"/>
                <w:sz w:val="18"/>
                <w:szCs w:val="18"/>
              </w:rPr>
              <w:t>Modernizarea și reînnoirea infrastructurii feroviare</w:t>
            </w:r>
          </w:p>
        </w:tc>
        <w:tc>
          <w:tcPr>
            <w:tcW w:w="979" w:type="dxa"/>
          </w:tcPr>
          <w:p w14:paraId="47F7F6BA"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3,480.00</w:t>
            </w:r>
          </w:p>
        </w:tc>
        <w:tc>
          <w:tcPr>
            <w:tcW w:w="1429" w:type="dxa"/>
          </w:tcPr>
          <w:p w14:paraId="0EC10E0C"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3,091.20</w:t>
            </w:r>
          </w:p>
        </w:tc>
        <w:tc>
          <w:tcPr>
            <w:tcW w:w="1429" w:type="dxa"/>
          </w:tcPr>
          <w:p w14:paraId="1F4498FC"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595.00</w:t>
            </w:r>
          </w:p>
        </w:tc>
        <w:tc>
          <w:tcPr>
            <w:tcW w:w="1527" w:type="dxa"/>
          </w:tcPr>
          <w:p w14:paraId="25ADBEFC"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3,480.00</w:t>
            </w:r>
          </w:p>
        </w:tc>
        <w:tc>
          <w:tcPr>
            <w:tcW w:w="1004" w:type="dxa"/>
          </w:tcPr>
          <w:p w14:paraId="15848F4F"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r>
      <w:tr w:rsidR="00E5190D" w:rsidRPr="00E5190D" w14:paraId="014BD49C" w14:textId="77777777" w:rsidTr="003C1975">
        <w:trPr>
          <w:gridAfter w:val="1"/>
          <w:wAfter w:w="13" w:type="dxa"/>
        </w:trPr>
        <w:tc>
          <w:tcPr>
            <w:cnfStyle w:val="001000000000" w:firstRow="0" w:lastRow="0" w:firstColumn="1" w:lastColumn="0" w:oddVBand="0" w:evenVBand="0" w:oddHBand="0" w:evenHBand="0" w:firstRowFirstColumn="0" w:firstRowLastColumn="0" w:lastRowFirstColumn="0" w:lastRowLastColumn="0"/>
            <w:tcW w:w="381" w:type="dxa"/>
          </w:tcPr>
          <w:p w14:paraId="0BBF11E9" w14:textId="77777777" w:rsidR="00E5190D" w:rsidRPr="00E5190D" w:rsidRDefault="00E5190D" w:rsidP="00401035">
            <w:pPr>
              <w:spacing w:line="276" w:lineRule="auto"/>
              <w:jc w:val="both"/>
              <w:rPr>
                <w:rFonts w:ascii="Arial Narrow" w:eastAsia="Calibri" w:hAnsi="Arial Narrow" w:cs="Arial"/>
                <w:sz w:val="18"/>
                <w:szCs w:val="18"/>
              </w:rPr>
            </w:pPr>
            <w:r>
              <w:rPr>
                <w:rFonts w:ascii="Arial Narrow" w:eastAsia="Calibri" w:hAnsi="Arial Narrow" w:cs="Arial"/>
                <w:sz w:val="18"/>
                <w:szCs w:val="18"/>
              </w:rPr>
              <w:t>28</w:t>
            </w:r>
          </w:p>
        </w:tc>
        <w:tc>
          <w:tcPr>
            <w:tcW w:w="3320" w:type="dxa"/>
          </w:tcPr>
          <w:p w14:paraId="3C1ECE31" w14:textId="77777777" w:rsidR="00E5190D" w:rsidRPr="00E5190D" w:rsidRDefault="00736F7D" w:rsidP="00401035">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sidRPr="00736F7D">
              <w:rPr>
                <w:rFonts w:ascii="Arial Narrow" w:eastAsia="Calibri" w:hAnsi="Arial Narrow" w:cs="Arial"/>
                <w:sz w:val="18"/>
                <w:szCs w:val="18"/>
              </w:rPr>
              <w:t>I2. Material rulant feroviar</w:t>
            </w:r>
          </w:p>
        </w:tc>
        <w:tc>
          <w:tcPr>
            <w:tcW w:w="979" w:type="dxa"/>
          </w:tcPr>
          <w:p w14:paraId="04D910A3"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416.00</w:t>
            </w:r>
          </w:p>
        </w:tc>
        <w:tc>
          <w:tcPr>
            <w:tcW w:w="1429" w:type="dxa"/>
          </w:tcPr>
          <w:p w14:paraId="165FE0BC"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403.0</w:t>
            </w:r>
          </w:p>
        </w:tc>
        <w:tc>
          <w:tcPr>
            <w:tcW w:w="1429" w:type="dxa"/>
          </w:tcPr>
          <w:p w14:paraId="773D4384"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15.00</w:t>
            </w:r>
          </w:p>
        </w:tc>
        <w:tc>
          <w:tcPr>
            <w:tcW w:w="1527" w:type="dxa"/>
          </w:tcPr>
          <w:p w14:paraId="04541A24"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416.00</w:t>
            </w:r>
          </w:p>
        </w:tc>
        <w:tc>
          <w:tcPr>
            <w:tcW w:w="1004" w:type="dxa"/>
          </w:tcPr>
          <w:p w14:paraId="297B7BDF"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r>
      <w:tr w:rsidR="00E5190D" w:rsidRPr="00E5190D" w14:paraId="1724BB85" w14:textId="77777777" w:rsidTr="003C1975">
        <w:trPr>
          <w:gridAfter w:val="1"/>
          <w:wAfter w:w="13" w:type="dxa"/>
        </w:trPr>
        <w:tc>
          <w:tcPr>
            <w:cnfStyle w:val="001000000000" w:firstRow="0" w:lastRow="0" w:firstColumn="1" w:lastColumn="0" w:oddVBand="0" w:evenVBand="0" w:oddHBand="0" w:evenHBand="0" w:firstRowFirstColumn="0" w:firstRowLastColumn="0" w:lastRowFirstColumn="0" w:lastRowLastColumn="0"/>
            <w:tcW w:w="381" w:type="dxa"/>
          </w:tcPr>
          <w:p w14:paraId="552819CC" w14:textId="77777777" w:rsidR="00E5190D" w:rsidRPr="00E5190D" w:rsidRDefault="00E5190D" w:rsidP="00401035">
            <w:pPr>
              <w:spacing w:line="276" w:lineRule="auto"/>
              <w:jc w:val="both"/>
              <w:rPr>
                <w:rFonts w:ascii="Arial Narrow" w:eastAsia="Calibri" w:hAnsi="Arial Narrow" w:cs="Arial"/>
                <w:sz w:val="18"/>
                <w:szCs w:val="18"/>
              </w:rPr>
            </w:pPr>
            <w:r>
              <w:rPr>
                <w:rFonts w:ascii="Arial Narrow" w:eastAsia="Calibri" w:hAnsi="Arial Narrow" w:cs="Arial"/>
                <w:sz w:val="18"/>
                <w:szCs w:val="18"/>
              </w:rPr>
              <w:t>29</w:t>
            </w:r>
          </w:p>
        </w:tc>
        <w:tc>
          <w:tcPr>
            <w:tcW w:w="3320" w:type="dxa"/>
          </w:tcPr>
          <w:p w14:paraId="7E7278A1" w14:textId="77777777" w:rsidR="00E5190D" w:rsidRPr="00E5190D" w:rsidRDefault="00736F7D" w:rsidP="00401035">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sidRPr="00736F7D">
              <w:rPr>
                <w:rFonts w:ascii="Arial Narrow" w:eastAsia="Calibri" w:hAnsi="Arial Narrow" w:cs="Arial"/>
                <w:sz w:val="18"/>
                <w:szCs w:val="18"/>
              </w:rPr>
              <w:t>R2. Management performant pentru transport de calitate - Îmbunătățirea capacității instituționale de management și guvernanță corporativă</w:t>
            </w:r>
          </w:p>
        </w:tc>
        <w:tc>
          <w:tcPr>
            <w:tcW w:w="979" w:type="dxa"/>
          </w:tcPr>
          <w:p w14:paraId="088AB5C6"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19.00</w:t>
            </w:r>
          </w:p>
        </w:tc>
        <w:tc>
          <w:tcPr>
            <w:tcW w:w="1429" w:type="dxa"/>
          </w:tcPr>
          <w:p w14:paraId="4C6C1504"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c>
          <w:tcPr>
            <w:tcW w:w="1429" w:type="dxa"/>
          </w:tcPr>
          <w:p w14:paraId="696F1B1C"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c>
          <w:tcPr>
            <w:tcW w:w="1527" w:type="dxa"/>
          </w:tcPr>
          <w:p w14:paraId="666FE726"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c>
          <w:tcPr>
            <w:tcW w:w="1004" w:type="dxa"/>
          </w:tcPr>
          <w:p w14:paraId="6E037ECF"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19.00</w:t>
            </w:r>
          </w:p>
        </w:tc>
      </w:tr>
      <w:tr w:rsidR="00E5190D" w:rsidRPr="00E5190D" w14:paraId="668A7DDF" w14:textId="77777777" w:rsidTr="003C1975">
        <w:trPr>
          <w:gridAfter w:val="1"/>
          <w:wAfter w:w="13" w:type="dxa"/>
        </w:trPr>
        <w:tc>
          <w:tcPr>
            <w:cnfStyle w:val="001000000000" w:firstRow="0" w:lastRow="0" w:firstColumn="1" w:lastColumn="0" w:oddVBand="0" w:evenVBand="0" w:oddHBand="0" w:evenHBand="0" w:firstRowFirstColumn="0" w:firstRowLastColumn="0" w:lastRowFirstColumn="0" w:lastRowLastColumn="0"/>
            <w:tcW w:w="381" w:type="dxa"/>
          </w:tcPr>
          <w:p w14:paraId="773A9B94" w14:textId="77777777" w:rsidR="00E5190D" w:rsidRPr="00E5190D" w:rsidRDefault="00E5190D" w:rsidP="00401035">
            <w:pPr>
              <w:spacing w:line="276" w:lineRule="auto"/>
              <w:jc w:val="both"/>
              <w:rPr>
                <w:rFonts w:ascii="Arial Narrow" w:eastAsia="Calibri" w:hAnsi="Arial Narrow" w:cs="Arial"/>
                <w:sz w:val="18"/>
                <w:szCs w:val="18"/>
              </w:rPr>
            </w:pPr>
            <w:r>
              <w:rPr>
                <w:rFonts w:ascii="Arial Narrow" w:eastAsia="Calibri" w:hAnsi="Arial Narrow" w:cs="Arial"/>
                <w:sz w:val="18"/>
                <w:szCs w:val="18"/>
              </w:rPr>
              <w:t>30</w:t>
            </w:r>
          </w:p>
        </w:tc>
        <w:tc>
          <w:tcPr>
            <w:tcW w:w="3320" w:type="dxa"/>
          </w:tcPr>
          <w:p w14:paraId="1E6F7ACC" w14:textId="77777777" w:rsidR="00E5190D" w:rsidRPr="00E5190D" w:rsidRDefault="00736F7D" w:rsidP="00401035">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sidRPr="00736F7D">
              <w:rPr>
                <w:rFonts w:ascii="Arial Narrow" w:eastAsia="Calibri" w:hAnsi="Arial Narrow" w:cs="Arial"/>
                <w:sz w:val="18"/>
                <w:szCs w:val="18"/>
              </w:rPr>
              <w:t>I3. Dezvoltarea infrastructurii rutiere sustenabile pe rețeaua TEN-T, taxarea rutieră, managementul traficului și siguranța rutieră</w:t>
            </w:r>
          </w:p>
        </w:tc>
        <w:tc>
          <w:tcPr>
            <w:tcW w:w="979" w:type="dxa"/>
          </w:tcPr>
          <w:p w14:paraId="35C6ABAB"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3,095.00</w:t>
            </w:r>
          </w:p>
        </w:tc>
        <w:tc>
          <w:tcPr>
            <w:tcW w:w="1429" w:type="dxa"/>
          </w:tcPr>
          <w:p w14:paraId="21B48482"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40.40</w:t>
            </w:r>
          </w:p>
        </w:tc>
        <w:tc>
          <w:tcPr>
            <w:tcW w:w="1429" w:type="dxa"/>
          </w:tcPr>
          <w:p w14:paraId="254C2A59"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254.00</w:t>
            </w:r>
          </w:p>
        </w:tc>
        <w:tc>
          <w:tcPr>
            <w:tcW w:w="1527" w:type="dxa"/>
          </w:tcPr>
          <w:p w14:paraId="760157DE"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c>
          <w:tcPr>
            <w:tcW w:w="1004" w:type="dxa"/>
          </w:tcPr>
          <w:p w14:paraId="2C94E10D"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3,095.00</w:t>
            </w:r>
          </w:p>
        </w:tc>
      </w:tr>
      <w:tr w:rsidR="00E5190D" w:rsidRPr="00E5190D" w14:paraId="39B39F79" w14:textId="77777777" w:rsidTr="003C1975">
        <w:trPr>
          <w:gridAfter w:val="1"/>
          <w:wAfter w:w="13" w:type="dxa"/>
        </w:trPr>
        <w:tc>
          <w:tcPr>
            <w:cnfStyle w:val="001000000000" w:firstRow="0" w:lastRow="0" w:firstColumn="1" w:lastColumn="0" w:oddVBand="0" w:evenVBand="0" w:oddHBand="0" w:evenHBand="0" w:firstRowFirstColumn="0" w:firstRowLastColumn="0" w:lastRowFirstColumn="0" w:lastRowLastColumn="0"/>
            <w:tcW w:w="381" w:type="dxa"/>
          </w:tcPr>
          <w:p w14:paraId="6A0BBF28" w14:textId="77777777" w:rsidR="00E5190D" w:rsidRDefault="00E5190D" w:rsidP="00401035">
            <w:pPr>
              <w:spacing w:line="276" w:lineRule="auto"/>
              <w:jc w:val="both"/>
              <w:rPr>
                <w:rFonts w:ascii="Arial Narrow" w:eastAsia="Calibri" w:hAnsi="Arial Narrow" w:cs="Arial"/>
                <w:sz w:val="18"/>
                <w:szCs w:val="18"/>
              </w:rPr>
            </w:pPr>
            <w:r>
              <w:rPr>
                <w:rFonts w:ascii="Arial Narrow" w:eastAsia="Calibri" w:hAnsi="Arial Narrow" w:cs="Arial"/>
                <w:sz w:val="18"/>
                <w:szCs w:val="18"/>
              </w:rPr>
              <w:t>31</w:t>
            </w:r>
          </w:p>
        </w:tc>
        <w:tc>
          <w:tcPr>
            <w:tcW w:w="3320" w:type="dxa"/>
          </w:tcPr>
          <w:p w14:paraId="5FB157FE" w14:textId="77777777" w:rsidR="00E5190D" w:rsidRPr="00E5190D" w:rsidRDefault="00736F7D" w:rsidP="00401035">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sidRPr="00736F7D">
              <w:rPr>
                <w:rFonts w:ascii="Arial Narrow" w:eastAsia="Calibri" w:hAnsi="Arial Narrow" w:cs="Arial"/>
                <w:sz w:val="18"/>
                <w:szCs w:val="18"/>
              </w:rPr>
              <w:t>I4. Dezvoltarea rețelei de transport cu metroul în Municipiile București și Cluj-Napoca</w:t>
            </w:r>
          </w:p>
        </w:tc>
        <w:tc>
          <w:tcPr>
            <w:tcW w:w="979" w:type="dxa"/>
          </w:tcPr>
          <w:p w14:paraId="31898BC8"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600.00</w:t>
            </w:r>
          </w:p>
        </w:tc>
        <w:tc>
          <w:tcPr>
            <w:tcW w:w="1429" w:type="dxa"/>
          </w:tcPr>
          <w:p w14:paraId="04C44FB3" w14:textId="77777777" w:rsidR="00E5190D" w:rsidRPr="00E5190D" w:rsidRDefault="009722A4"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600.</w:t>
            </w:r>
            <w:r w:rsidR="003C1975">
              <w:rPr>
                <w:rFonts w:ascii="Arial Narrow" w:eastAsia="Calibri" w:hAnsi="Arial Narrow" w:cs="Arial"/>
                <w:sz w:val="18"/>
                <w:szCs w:val="18"/>
              </w:rPr>
              <w:t>00</w:t>
            </w:r>
          </w:p>
        </w:tc>
        <w:tc>
          <w:tcPr>
            <w:tcW w:w="1429" w:type="dxa"/>
          </w:tcPr>
          <w:p w14:paraId="7A3249E9" w14:textId="77777777" w:rsidR="00E5190D" w:rsidRPr="00E5190D" w:rsidRDefault="003C1975"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c>
          <w:tcPr>
            <w:tcW w:w="1527" w:type="dxa"/>
          </w:tcPr>
          <w:p w14:paraId="764A5F36" w14:textId="77777777" w:rsidR="00E5190D" w:rsidRPr="00E5190D" w:rsidRDefault="003C1975"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0.00</w:t>
            </w:r>
          </w:p>
        </w:tc>
        <w:tc>
          <w:tcPr>
            <w:tcW w:w="1004" w:type="dxa"/>
          </w:tcPr>
          <w:p w14:paraId="1E33864B" w14:textId="77777777" w:rsidR="00E5190D" w:rsidRPr="00E5190D" w:rsidRDefault="003C1975"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600.00</w:t>
            </w:r>
          </w:p>
        </w:tc>
      </w:tr>
      <w:tr w:rsidR="00E5190D" w:rsidRPr="00E5190D" w14:paraId="4EDFA8E6" w14:textId="77777777" w:rsidTr="003C1975">
        <w:trPr>
          <w:gridAfter w:val="1"/>
          <w:wAfter w:w="13" w:type="dxa"/>
        </w:trPr>
        <w:tc>
          <w:tcPr>
            <w:cnfStyle w:val="001000000000" w:firstRow="0" w:lastRow="0" w:firstColumn="1" w:lastColumn="0" w:oddVBand="0" w:evenVBand="0" w:oddHBand="0" w:evenHBand="0" w:firstRowFirstColumn="0" w:firstRowLastColumn="0" w:lastRowFirstColumn="0" w:lastRowLastColumn="0"/>
            <w:tcW w:w="381" w:type="dxa"/>
          </w:tcPr>
          <w:p w14:paraId="3AF9AF96" w14:textId="77777777" w:rsidR="00E5190D" w:rsidRDefault="00E5190D" w:rsidP="00401035">
            <w:pPr>
              <w:spacing w:line="276" w:lineRule="auto"/>
              <w:jc w:val="both"/>
              <w:rPr>
                <w:rFonts w:ascii="Arial Narrow" w:eastAsia="Calibri" w:hAnsi="Arial Narrow" w:cs="Arial"/>
                <w:sz w:val="18"/>
                <w:szCs w:val="18"/>
              </w:rPr>
            </w:pPr>
          </w:p>
        </w:tc>
        <w:tc>
          <w:tcPr>
            <w:tcW w:w="3320" w:type="dxa"/>
          </w:tcPr>
          <w:p w14:paraId="17D1E40A" w14:textId="77777777" w:rsidR="00E5190D" w:rsidRPr="00E5190D" w:rsidRDefault="00E5190D" w:rsidP="00401035">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p>
        </w:tc>
        <w:tc>
          <w:tcPr>
            <w:tcW w:w="979" w:type="dxa"/>
          </w:tcPr>
          <w:p w14:paraId="6A25FF3D" w14:textId="77777777" w:rsidR="00E5190D" w:rsidRPr="00E5190D" w:rsidRDefault="003C1975"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7,620.00</w:t>
            </w:r>
          </w:p>
        </w:tc>
        <w:tc>
          <w:tcPr>
            <w:tcW w:w="1429" w:type="dxa"/>
          </w:tcPr>
          <w:p w14:paraId="4EBDBC6C" w14:textId="77777777" w:rsidR="00E5190D" w:rsidRPr="00E5190D" w:rsidRDefault="003C1975"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4,134.60</w:t>
            </w:r>
          </w:p>
        </w:tc>
        <w:tc>
          <w:tcPr>
            <w:tcW w:w="1429" w:type="dxa"/>
          </w:tcPr>
          <w:p w14:paraId="5FF25F56" w14:textId="77777777" w:rsidR="00E5190D" w:rsidRPr="00E5190D" w:rsidRDefault="003C1975"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864.00</w:t>
            </w:r>
          </w:p>
        </w:tc>
        <w:tc>
          <w:tcPr>
            <w:tcW w:w="1527" w:type="dxa"/>
          </w:tcPr>
          <w:p w14:paraId="704059DB" w14:textId="77777777" w:rsidR="00E5190D" w:rsidRPr="00E5190D" w:rsidRDefault="003C1975"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3,906.00</w:t>
            </w:r>
          </w:p>
        </w:tc>
        <w:tc>
          <w:tcPr>
            <w:tcW w:w="1004" w:type="dxa"/>
          </w:tcPr>
          <w:p w14:paraId="6FC40ACF" w14:textId="77777777" w:rsidR="00E5190D" w:rsidRPr="00E5190D" w:rsidRDefault="003C1975" w:rsidP="003C1975">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w:sz w:val="18"/>
                <w:szCs w:val="18"/>
              </w:rPr>
            </w:pPr>
            <w:r>
              <w:rPr>
                <w:rFonts w:ascii="Arial Narrow" w:eastAsia="Calibri" w:hAnsi="Arial Narrow" w:cs="Arial"/>
                <w:sz w:val="18"/>
                <w:szCs w:val="18"/>
              </w:rPr>
              <w:t>3,714.00</w:t>
            </w:r>
          </w:p>
        </w:tc>
      </w:tr>
    </w:tbl>
    <w:p w14:paraId="755F6993" w14:textId="77777777" w:rsidR="00401035" w:rsidRPr="00401035" w:rsidRDefault="00401035" w:rsidP="00401035">
      <w:pPr>
        <w:spacing w:after="0" w:line="276" w:lineRule="auto"/>
        <w:jc w:val="both"/>
        <w:rPr>
          <w:rFonts w:ascii="Arial" w:eastAsia="Calibri" w:hAnsi="Arial" w:cs="Arial"/>
        </w:rPr>
      </w:pPr>
    </w:p>
    <w:p w14:paraId="68622D6D" w14:textId="77777777" w:rsidR="003C1975" w:rsidRPr="003C1975" w:rsidRDefault="003C1975" w:rsidP="003C1975">
      <w:pPr>
        <w:spacing w:after="0" w:line="276" w:lineRule="auto"/>
        <w:jc w:val="both"/>
        <w:rPr>
          <w:rFonts w:ascii="Arial" w:eastAsia="Calibri" w:hAnsi="Arial" w:cs="Arial"/>
        </w:rPr>
      </w:pPr>
      <w:r w:rsidRPr="003C1975">
        <w:rPr>
          <w:rFonts w:ascii="Arial" w:eastAsia="Calibri" w:hAnsi="Arial" w:cs="Arial"/>
        </w:rPr>
        <w:t>Investițiile și acțiunile sunt corelate cu:</w:t>
      </w:r>
    </w:p>
    <w:p w14:paraId="1975A6B6" w14:textId="77777777" w:rsidR="003C1975" w:rsidRPr="003C1975" w:rsidRDefault="003C1975" w:rsidP="003C1975">
      <w:pPr>
        <w:spacing w:after="0" w:line="276" w:lineRule="auto"/>
        <w:jc w:val="both"/>
        <w:rPr>
          <w:rFonts w:ascii="Arial" w:eastAsia="Calibri" w:hAnsi="Arial" w:cs="Arial"/>
        </w:rPr>
      </w:pPr>
      <w:r w:rsidRPr="003C1975">
        <w:rPr>
          <w:rFonts w:ascii="Arial" w:eastAsia="Calibri" w:hAnsi="Arial" w:cs="Arial"/>
        </w:rPr>
        <w:t>- Pactul Verde European;</w:t>
      </w:r>
    </w:p>
    <w:p w14:paraId="51894E1C" w14:textId="77777777" w:rsidR="003C1975" w:rsidRPr="003C1975" w:rsidRDefault="003C1975" w:rsidP="003C1975">
      <w:pPr>
        <w:spacing w:after="0" w:line="276" w:lineRule="auto"/>
        <w:jc w:val="both"/>
        <w:rPr>
          <w:rFonts w:ascii="Arial" w:eastAsia="Calibri" w:hAnsi="Arial" w:cs="Arial"/>
        </w:rPr>
      </w:pPr>
      <w:r w:rsidRPr="003C1975">
        <w:rPr>
          <w:rFonts w:ascii="Arial" w:eastAsia="Calibri" w:hAnsi="Arial" w:cs="Arial"/>
        </w:rPr>
        <w:t>- Politicile climatice ale Uniunii Europene;</w:t>
      </w:r>
    </w:p>
    <w:p w14:paraId="1B8678A4" w14:textId="77777777" w:rsidR="003C1975" w:rsidRPr="003C1975" w:rsidRDefault="003C1975" w:rsidP="003C1975">
      <w:pPr>
        <w:spacing w:after="0" w:line="276" w:lineRule="auto"/>
        <w:jc w:val="both"/>
        <w:rPr>
          <w:rFonts w:ascii="Arial" w:eastAsia="Calibri" w:hAnsi="Arial" w:cs="Arial"/>
        </w:rPr>
      </w:pPr>
      <w:r w:rsidRPr="003C1975">
        <w:rPr>
          <w:rFonts w:ascii="Arial" w:eastAsia="Calibri" w:hAnsi="Arial" w:cs="Arial"/>
        </w:rPr>
        <w:t>- Planul Uniunii Europene privind obiectivele climatice pentru 2030;</w:t>
      </w:r>
    </w:p>
    <w:p w14:paraId="10CEF7B5" w14:textId="77777777" w:rsidR="003C1975" w:rsidRDefault="003C1975" w:rsidP="003C1975">
      <w:pPr>
        <w:spacing w:after="0" w:line="276" w:lineRule="auto"/>
        <w:jc w:val="both"/>
        <w:rPr>
          <w:rFonts w:ascii="Arial" w:eastAsia="Calibri" w:hAnsi="Arial" w:cs="Arial"/>
        </w:rPr>
      </w:pPr>
      <w:r w:rsidRPr="003C1975">
        <w:rPr>
          <w:rFonts w:ascii="Arial" w:eastAsia="Calibri" w:hAnsi="Arial" w:cs="Arial"/>
        </w:rPr>
        <w:t>- Strategia Europeană de Mobilitate Durabilă și Inteligentă.</w:t>
      </w:r>
    </w:p>
    <w:p w14:paraId="6F01A335" w14:textId="77777777" w:rsidR="001F3024" w:rsidRDefault="001F3024" w:rsidP="003C1975">
      <w:pPr>
        <w:spacing w:after="0" w:line="276" w:lineRule="auto"/>
        <w:jc w:val="both"/>
        <w:rPr>
          <w:rFonts w:ascii="Arial" w:eastAsia="Calibri" w:hAnsi="Arial" w:cs="Arial"/>
        </w:rPr>
      </w:pPr>
    </w:p>
    <w:p w14:paraId="2CDF1AE5" w14:textId="77777777" w:rsidR="003C1975" w:rsidRDefault="001F3024" w:rsidP="003C1975">
      <w:pPr>
        <w:spacing w:after="0" w:line="276" w:lineRule="auto"/>
        <w:jc w:val="both"/>
        <w:rPr>
          <w:rFonts w:ascii="Arial" w:eastAsia="Calibri" w:hAnsi="Arial" w:cs="Arial"/>
        </w:rPr>
      </w:pPr>
      <w:r w:rsidRPr="001F3024">
        <w:rPr>
          <w:rFonts w:ascii="Arial" w:eastAsia="Calibri" w:hAnsi="Arial" w:cs="Arial"/>
        </w:rPr>
        <w:t xml:space="preserve">Componenta </w:t>
      </w:r>
      <w:r>
        <w:rPr>
          <w:rFonts w:ascii="Arial" w:eastAsia="Calibri" w:hAnsi="Arial" w:cs="Arial"/>
        </w:rPr>
        <w:t xml:space="preserve">de transport sustenabil </w:t>
      </w:r>
      <w:r w:rsidRPr="001F3024">
        <w:rPr>
          <w:rFonts w:ascii="Arial" w:eastAsia="Calibri" w:hAnsi="Arial" w:cs="Arial"/>
        </w:rPr>
        <w:t xml:space="preserve">se adresează și inițiativei emblematice europene </w:t>
      </w:r>
      <w:r w:rsidRPr="00C735D2">
        <w:rPr>
          <w:rFonts w:ascii="Arial" w:eastAsia="Calibri" w:hAnsi="Arial" w:cs="Arial"/>
          <w:i/>
          <w:iCs/>
        </w:rPr>
        <w:t>Reîncărcarea și alimentarea din Strategia anuală pentru 2021 privind creșterea durabilă</w:t>
      </w:r>
      <w:r w:rsidRPr="001F3024">
        <w:rPr>
          <w:rFonts w:ascii="Arial" w:eastAsia="Calibri" w:hAnsi="Arial" w:cs="Arial"/>
        </w:rPr>
        <w:t>, prin care se promovează utilizarea transporturilor durabile, curate, prin contribuția la dezvoltarea rețelei stațiilor de reîncărcare electrice. Prin reformele și investițiile propuse în cadrul componentei se va asigura completarea rețelei de stații electrice de reîncărcare cu 52 de stații de încărcare electrică care vor avea 264 de puncte de încărcare până în anul 2026 pe cele 4 autostrăzi propuse prin PNRR. Rețeaua completă de stații electrice va cuprinde minim 30.000 de puncte de reîncărcare defalcate pe mediul urban și rural ce vor fi în zone stabilite conform planurilor generale urbane și de mobilitate urbană și se vor raporta la zonele rezidențiale, comerciale și în nodurile de transport, contribuind astfel la obiectivele stabilite prin Pactul Verde European. Această măsură este în linie cu Strategia privind Cadrul Național de Politică pentru Dezvoltarea Pieței în ceea ce Privește Combustibilii Alternativi în Sectorul Transporturilor și pentru Instalarea Infrastructurii Relevante în România, document adoptat în anul 2018. De asemenea, măsurile sunt corelate cu inițiative aflate în curs de implementare, cu finanțare din fonduri europene, prin Mecanismul pentru Interconectarea Europei (CEF) care vizează implementarea primei rețele de stații de alimentare a vehiculelor cu gaz natural comprimat din România de-a lungul coridoarelor europene de transport.</w:t>
      </w:r>
    </w:p>
    <w:p w14:paraId="061799BD" w14:textId="77777777" w:rsidR="00AD1B50" w:rsidRDefault="00AD1B50" w:rsidP="003C1975">
      <w:pPr>
        <w:spacing w:after="0" w:line="276" w:lineRule="auto"/>
        <w:jc w:val="both"/>
        <w:rPr>
          <w:rFonts w:ascii="Arial" w:eastAsia="Calibri" w:hAnsi="Arial" w:cs="Arial"/>
        </w:rPr>
      </w:pPr>
    </w:p>
    <w:p w14:paraId="52719345" w14:textId="77777777" w:rsidR="00D70AEA" w:rsidRPr="00D70AEA" w:rsidRDefault="00D70AEA" w:rsidP="0049379B">
      <w:pPr>
        <w:spacing w:after="0" w:line="276" w:lineRule="auto"/>
        <w:jc w:val="both"/>
        <w:rPr>
          <w:rFonts w:ascii="Arial" w:eastAsia="Calibri" w:hAnsi="Arial" w:cs="Arial"/>
        </w:rPr>
      </w:pPr>
      <w:r w:rsidRPr="00D70AEA">
        <w:rPr>
          <w:rFonts w:ascii="Arial" w:eastAsia="Calibri" w:hAnsi="Arial" w:cs="Arial"/>
        </w:rPr>
        <w:t>În cadrul următorului buget pe termen lung al UE pentru 2021-2027, Comisia propune modernizarea politicii de coeziune, principala politică de investiții a UE. Există 5 priorități investiționale:</w:t>
      </w:r>
    </w:p>
    <w:p w14:paraId="6A2B8CF7" w14:textId="77777777" w:rsidR="00D70AEA" w:rsidRPr="00D70AEA" w:rsidRDefault="00D70AEA" w:rsidP="006B613A">
      <w:pPr>
        <w:numPr>
          <w:ilvl w:val="0"/>
          <w:numId w:val="37"/>
        </w:numPr>
        <w:spacing w:after="0" w:line="276" w:lineRule="auto"/>
        <w:contextualSpacing/>
        <w:jc w:val="both"/>
        <w:rPr>
          <w:rFonts w:ascii="Arial" w:eastAsia="Calibri" w:hAnsi="Arial" w:cs="Arial"/>
        </w:rPr>
      </w:pPr>
      <w:r w:rsidRPr="00D70AEA">
        <w:rPr>
          <w:rFonts w:ascii="Arial" w:eastAsia="Calibri" w:hAnsi="Arial" w:cs="Arial"/>
        </w:rPr>
        <w:t>O Europă mai inteligentă, prin inovare, digitalizare, transformare economică și sprijinirea întreprinderilor mici și mijlocii</w:t>
      </w:r>
    </w:p>
    <w:p w14:paraId="23CBC3D6" w14:textId="77777777" w:rsidR="00D70AEA" w:rsidRPr="00D70AEA" w:rsidRDefault="00D70AEA" w:rsidP="006B613A">
      <w:pPr>
        <w:numPr>
          <w:ilvl w:val="0"/>
          <w:numId w:val="45"/>
        </w:numPr>
        <w:spacing w:after="0" w:line="276" w:lineRule="auto"/>
        <w:contextualSpacing/>
        <w:jc w:val="both"/>
        <w:rPr>
          <w:rFonts w:ascii="Arial" w:eastAsia="Calibri" w:hAnsi="Arial" w:cs="Arial"/>
        </w:rPr>
      </w:pPr>
      <w:r w:rsidRPr="00D70AEA">
        <w:rPr>
          <w:rFonts w:ascii="Arial" w:eastAsia="Calibri" w:hAnsi="Arial" w:cs="Arial"/>
        </w:rPr>
        <w:lastRenderedPageBreak/>
        <w:t>O Europă mai verde, fără emisii de carbon, punerea în aplicare a Acordului de la Paris și investiții în tranziția energetică, energia din surse regenerabile și combaterea schimbărilor climatice</w:t>
      </w:r>
    </w:p>
    <w:p w14:paraId="5B24B5FE" w14:textId="77777777" w:rsidR="00D70AEA" w:rsidRPr="00D70AEA" w:rsidRDefault="00D70AEA" w:rsidP="006B613A">
      <w:pPr>
        <w:numPr>
          <w:ilvl w:val="0"/>
          <w:numId w:val="45"/>
        </w:numPr>
        <w:spacing w:after="0" w:line="276" w:lineRule="auto"/>
        <w:contextualSpacing/>
        <w:jc w:val="both"/>
        <w:rPr>
          <w:rFonts w:ascii="Arial" w:eastAsia="Calibri" w:hAnsi="Arial" w:cs="Arial"/>
        </w:rPr>
      </w:pPr>
      <w:r w:rsidRPr="00D70AEA">
        <w:rPr>
          <w:rFonts w:ascii="Arial" w:eastAsia="Calibri" w:hAnsi="Arial" w:cs="Arial"/>
        </w:rPr>
        <w:t>O Europă conectată, cu rețele strategice de transport și digitale</w:t>
      </w:r>
    </w:p>
    <w:p w14:paraId="2A66B587" w14:textId="77777777" w:rsidR="00D70AEA" w:rsidRPr="00D70AEA" w:rsidRDefault="00D70AEA" w:rsidP="006B613A">
      <w:pPr>
        <w:numPr>
          <w:ilvl w:val="0"/>
          <w:numId w:val="45"/>
        </w:numPr>
        <w:spacing w:after="0" w:line="276" w:lineRule="auto"/>
        <w:contextualSpacing/>
        <w:jc w:val="both"/>
        <w:rPr>
          <w:rFonts w:ascii="Arial" w:eastAsia="Calibri" w:hAnsi="Arial" w:cs="Arial"/>
        </w:rPr>
      </w:pPr>
      <w:r w:rsidRPr="00D70AEA">
        <w:rPr>
          <w:rFonts w:ascii="Arial" w:eastAsia="Calibri" w:hAnsi="Arial" w:cs="Arial"/>
        </w:rPr>
        <w:t>O Europă mai socială, pentru realizarea pilonului european al drepturilor sociale și sprijinirea calității locurilor de muncă, a învățământului, a competențelor, a incluziunii sociale și a accesului egal la sistemul de sănătate</w:t>
      </w:r>
    </w:p>
    <w:p w14:paraId="414ED73B" w14:textId="77777777" w:rsidR="00D70AEA" w:rsidRPr="00D70AEA" w:rsidRDefault="00D70AEA" w:rsidP="006B613A">
      <w:pPr>
        <w:numPr>
          <w:ilvl w:val="0"/>
          <w:numId w:val="45"/>
        </w:numPr>
        <w:spacing w:after="0" w:line="276" w:lineRule="auto"/>
        <w:contextualSpacing/>
        <w:jc w:val="both"/>
        <w:rPr>
          <w:rFonts w:ascii="Arial" w:eastAsia="Calibri" w:hAnsi="Arial" w:cs="Arial"/>
        </w:rPr>
      </w:pPr>
      <w:r w:rsidRPr="00D70AEA">
        <w:rPr>
          <w:rFonts w:ascii="Arial" w:eastAsia="Calibri" w:hAnsi="Arial" w:cs="Arial"/>
        </w:rPr>
        <w:t>O Europă mai apropiată de cetățenii săi, prin sprijinirea strategiilor de dezvoltare conduse la nivel local și a dezvoltării urbane durabile în UE.</w:t>
      </w:r>
    </w:p>
    <w:p w14:paraId="08A3CE73" w14:textId="77777777" w:rsidR="00D70AEA" w:rsidRPr="00D70AEA" w:rsidRDefault="00D70AEA" w:rsidP="0049379B">
      <w:pPr>
        <w:spacing w:after="0" w:line="276" w:lineRule="auto"/>
        <w:jc w:val="both"/>
        <w:rPr>
          <w:rFonts w:ascii="Arial" w:eastAsia="Calibri" w:hAnsi="Arial" w:cs="Arial"/>
        </w:rPr>
      </w:pPr>
      <w:r w:rsidRPr="00D70AEA">
        <w:rPr>
          <w:rFonts w:ascii="Arial" w:eastAsia="Calibri" w:hAnsi="Arial" w:cs="Arial"/>
        </w:rPr>
        <w:t>Alocările financiare pentru fiecare dintre priorități:</w:t>
      </w:r>
    </w:p>
    <w:p w14:paraId="0F33C75B" w14:textId="77777777" w:rsidR="00D70AEA" w:rsidRPr="00D70AEA" w:rsidRDefault="00D70AEA" w:rsidP="0049379B">
      <w:pPr>
        <w:spacing w:after="0" w:line="276" w:lineRule="auto"/>
        <w:jc w:val="both"/>
        <w:rPr>
          <w:rFonts w:ascii="Arial" w:eastAsia="Calibri" w:hAnsi="Arial" w:cs="Arial"/>
        </w:rPr>
      </w:pPr>
      <w:r w:rsidRPr="00D70AEA">
        <w:rPr>
          <w:rFonts w:ascii="Arial" w:eastAsia="Calibri" w:hAnsi="Arial" w:cs="Arial"/>
        </w:rPr>
        <w:t>OP 1 – O Europă mai inteligentă – 4,92 miliarde euro (FEDR)</w:t>
      </w:r>
    </w:p>
    <w:p w14:paraId="50739CAA" w14:textId="77777777" w:rsidR="00D70AEA" w:rsidRPr="00D70AEA" w:rsidRDefault="00D70AEA" w:rsidP="0049379B">
      <w:pPr>
        <w:spacing w:after="0" w:line="276" w:lineRule="auto"/>
        <w:jc w:val="both"/>
        <w:rPr>
          <w:rFonts w:ascii="Arial" w:eastAsia="Calibri" w:hAnsi="Arial" w:cs="Arial"/>
        </w:rPr>
      </w:pPr>
      <w:r w:rsidRPr="00D70AEA">
        <w:rPr>
          <w:rFonts w:ascii="Arial" w:eastAsia="Calibri" w:hAnsi="Arial" w:cs="Arial"/>
        </w:rPr>
        <w:t>OP 2 – O Europă mai ecologică – 7,135 miliarde euro (FEDR) + 1,087 miliarde euro (FC)</w:t>
      </w:r>
    </w:p>
    <w:p w14:paraId="7E4DFED8" w14:textId="77777777" w:rsidR="00D70AEA" w:rsidRPr="00D70AEA" w:rsidRDefault="00D70AEA" w:rsidP="0049379B">
      <w:pPr>
        <w:spacing w:after="0" w:line="276" w:lineRule="auto"/>
        <w:jc w:val="both"/>
        <w:rPr>
          <w:rFonts w:ascii="Arial" w:eastAsia="Calibri" w:hAnsi="Arial" w:cs="Arial"/>
        </w:rPr>
      </w:pPr>
      <w:r w:rsidRPr="00D70AEA">
        <w:rPr>
          <w:rFonts w:ascii="Arial" w:eastAsia="Calibri" w:hAnsi="Arial" w:cs="Arial"/>
        </w:rPr>
        <w:t>OP 3 – O Europă mai conectată – 2,978 miliarde euro (FEDR) + 2,24 miliarde euro (FC)</w:t>
      </w:r>
    </w:p>
    <w:p w14:paraId="1136A38D" w14:textId="77777777" w:rsidR="00D70AEA" w:rsidRPr="00D70AEA" w:rsidRDefault="00D70AEA" w:rsidP="0049379B">
      <w:pPr>
        <w:spacing w:after="0" w:line="276" w:lineRule="auto"/>
        <w:jc w:val="both"/>
        <w:rPr>
          <w:rFonts w:ascii="Arial" w:eastAsia="Calibri" w:hAnsi="Arial" w:cs="Arial"/>
        </w:rPr>
      </w:pPr>
      <w:r w:rsidRPr="00D70AEA">
        <w:rPr>
          <w:rFonts w:ascii="Arial" w:eastAsia="Calibri" w:hAnsi="Arial" w:cs="Arial"/>
        </w:rPr>
        <w:t>OP 4 – O Europă mai socială – 2,674 miliarde euro (FEDR) + 6,649 (FSE+)</w:t>
      </w:r>
    </w:p>
    <w:p w14:paraId="782D0E18" w14:textId="77777777" w:rsidR="00D70AEA" w:rsidRPr="00D70AEA" w:rsidRDefault="00D70AEA" w:rsidP="0049379B">
      <w:pPr>
        <w:spacing w:after="0" w:line="276" w:lineRule="auto"/>
        <w:jc w:val="both"/>
        <w:rPr>
          <w:rFonts w:ascii="Arial" w:eastAsia="Calibri" w:hAnsi="Arial" w:cs="Arial"/>
        </w:rPr>
      </w:pPr>
      <w:r w:rsidRPr="00D70AEA">
        <w:rPr>
          <w:rFonts w:ascii="Arial" w:eastAsia="Calibri" w:hAnsi="Arial" w:cs="Arial"/>
        </w:rPr>
        <w:t>OP 5 – O Europă mai apropiată de cetățenii săi – 0,63 miliarde euro (FEDR)</w:t>
      </w:r>
    </w:p>
    <w:p w14:paraId="73829F8F" w14:textId="77777777" w:rsidR="00D70AEA" w:rsidRPr="00D70AEA" w:rsidRDefault="00D70AEA" w:rsidP="0049379B">
      <w:pPr>
        <w:spacing w:after="0" w:line="276" w:lineRule="auto"/>
        <w:jc w:val="both"/>
        <w:rPr>
          <w:rFonts w:ascii="Arial" w:eastAsia="Calibri" w:hAnsi="Arial" w:cs="Arial"/>
        </w:rPr>
      </w:pPr>
      <w:r w:rsidRPr="00D70AEA">
        <w:rPr>
          <w:rFonts w:ascii="Arial" w:eastAsia="Calibri" w:hAnsi="Arial" w:cs="Arial"/>
        </w:rPr>
        <w:t>OS FTJ – 1,766 miliarde euro (FTJ)</w:t>
      </w:r>
    </w:p>
    <w:p w14:paraId="75302011" w14:textId="77777777" w:rsidR="00D70AEA" w:rsidRPr="00D70AEA" w:rsidRDefault="00D70AEA" w:rsidP="0049379B">
      <w:pPr>
        <w:spacing w:line="276" w:lineRule="auto"/>
        <w:jc w:val="both"/>
        <w:rPr>
          <w:rFonts w:ascii="Arial" w:eastAsia="Calibri" w:hAnsi="Arial" w:cs="Arial"/>
        </w:rPr>
      </w:pPr>
      <w:r w:rsidRPr="00D70AEA">
        <w:rPr>
          <w:rFonts w:ascii="Arial" w:eastAsia="Calibri" w:hAnsi="Arial" w:cs="Arial"/>
          <w:b/>
          <w:bCs/>
        </w:rPr>
        <w:t>Investițiile în dezvoltare regională se vor axa mai ales pe obiectivele 1 și 2</w:t>
      </w:r>
      <w:r w:rsidRPr="00D70AEA">
        <w:rPr>
          <w:rFonts w:ascii="Arial" w:eastAsia="Calibri" w:hAnsi="Arial" w:cs="Arial"/>
        </w:rPr>
        <w:t>. Acestor priorități li se vor aloca 65% - 85% din resursele FEDR și ale Fondului de coeziune, în funcție de prosperitatea relativă a statelor membre.</w:t>
      </w:r>
    </w:p>
    <w:p w14:paraId="524B1466" w14:textId="77777777" w:rsidR="00D70AEA" w:rsidRPr="00D70AEA" w:rsidRDefault="00D70AEA" w:rsidP="0049379B">
      <w:pPr>
        <w:spacing w:after="0" w:line="276" w:lineRule="auto"/>
        <w:ind w:right="20"/>
        <w:jc w:val="both"/>
        <w:rPr>
          <w:rFonts w:ascii="Arial" w:eastAsia="Times New Roman" w:hAnsi="Arial" w:cs="Arial"/>
          <w:lang w:val="en-GB" w:eastAsia="ro-RO"/>
        </w:rPr>
      </w:pPr>
    </w:p>
    <w:p w14:paraId="255A805F" w14:textId="77777777" w:rsidR="00D70AEA" w:rsidRPr="00D70AEA" w:rsidRDefault="00D70AEA" w:rsidP="0049379B">
      <w:pPr>
        <w:spacing w:after="0" w:line="276" w:lineRule="auto"/>
        <w:ind w:right="20"/>
        <w:jc w:val="both"/>
        <w:rPr>
          <w:rFonts w:ascii="Arial" w:eastAsia="Times New Roman" w:hAnsi="Arial" w:cs="Arial"/>
          <w:lang w:val="en-GB" w:eastAsia="ro-RO"/>
        </w:rPr>
      </w:pPr>
      <w:r w:rsidRPr="00D70AEA">
        <w:rPr>
          <w:rFonts w:ascii="Arial" w:eastAsia="Times New Roman" w:hAnsi="Arial" w:cs="Arial"/>
          <w:lang w:val="en-GB" w:eastAsia="ro-RO"/>
        </w:rPr>
        <w:t xml:space="preserve">La nivel </w:t>
      </w:r>
      <w:r w:rsidRPr="00D70AEA">
        <w:rPr>
          <w:rFonts w:ascii="Arial" w:eastAsia="Times New Roman" w:hAnsi="Arial" w:cs="Arial"/>
          <w:b/>
          <w:bCs/>
          <w:lang w:val="en-GB" w:eastAsia="ro-RO"/>
        </w:rPr>
        <w:t>national, Acordul de Parteneriat pentru perioada de programare 2021-2027</w:t>
      </w:r>
      <w:r w:rsidRPr="00D70AEA">
        <w:rPr>
          <w:rFonts w:ascii="Arial" w:eastAsia="Times New Roman" w:hAnsi="Arial" w:cs="Arial"/>
          <w:lang w:val="en-GB" w:eastAsia="ro-RO"/>
        </w:rPr>
        <w:t xml:space="preserve"> reprezintă documentul strategic național, negociat de România cu Comisia Europeană, care stabilește obiectivele tematice de dezvoltare şi alocarea indicativă a fondurilor europene în perioada de programare 2021 – 2027.</w:t>
      </w:r>
    </w:p>
    <w:p w14:paraId="1BFB84E5" w14:textId="77777777" w:rsidR="00D70AEA" w:rsidRPr="00D70AEA" w:rsidRDefault="00D70AEA" w:rsidP="00D70AEA">
      <w:pPr>
        <w:spacing w:after="0" w:line="240" w:lineRule="auto"/>
        <w:ind w:right="20"/>
        <w:jc w:val="both"/>
        <w:rPr>
          <w:rFonts w:ascii="Arial" w:eastAsia="Times New Roman" w:hAnsi="Arial" w:cs="Arial"/>
          <w:lang w:val="en-GB" w:eastAsia="ro-RO"/>
        </w:rPr>
      </w:pPr>
    </w:p>
    <w:p w14:paraId="1B260A81" w14:textId="77777777" w:rsidR="00D70AEA" w:rsidRPr="0049379B" w:rsidRDefault="00D70AEA" w:rsidP="0049379B">
      <w:pPr>
        <w:spacing w:after="0" w:line="276" w:lineRule="auto"/>
        <w:ind w:right="20"/>
        <w:jc w:val="both"/>
        <w:rPr>
          <w:rFonts w:ascii="Arial" w:eastAsia="Times New Roman" w:hAnsi="Arial" w:cs="Arial"/>
          <w:lang w:val="en-GB" w:eastAsia="ro-RO"/>
        </w:rPr>
      </w:pPr>
      <w:r w:rsidRPr="0049379B">
        <w:rPr>
          <w:rFonts w:ascii="Arial" w:eastAsia="Times New Roman" w:hAnsi="Arial" w:cs="Arial"/>
          <w:lang w:val="en-GB" w:eastAsia="ro-RO"/>
        </w:rPr>
        <w:t xml:space="preserve">Cu cinci Obiective de Politică (OP), un Obiectiv Specific aferent Fondului pentru Tranziție Justă și alte mecanisme de asigurare a complementarităților și sinergiilor între programe și fonduri cu alte instrumente ale UE, Acordul de parteneriat stabilește principalele </w:t>
      </w:r>
      <w:r w:rsidR="007A73C2">
        <w:rPr>
          <w:rFonts w:ascii="Arial" w:eastAsia="Times New Roman" w:hAnsi="Arial" w:cs="Arial"/>
          <w:lang w:val="en-GB" w:eastAsia="ro-RO"/>
        </w:rPr>
        <w:t>direcții</w:t>
      </w:r>
      <w:r w:rsidRPr="0049379B">
        <w:rPr>
          <w:rFonts w:ascii="Arial" w:eastAsia="Times New Roman" w:hAnsi="Arial" w:cs="Arial"/>
          <w:lang w:val="en-GB" w:eastAsia="ro-RO"/>
        </w:rPr>
        <w:t xml:space="preserve"> de dezvoltare.</w:t>
      </w:r>
    </w:p>
    <w:p w14:paraId="1D6DAB04" w14:textId="77777777" w:rsidR="00D70AEA" w:rsidRPr="0049379B" w:rsidRDefault="00D70AEA" w:rsidP="0049379B">
      <w:pPr>
        <w:spacing w:after="0" w:line="276" w:lineRule="auto"/>
        <w:ind w:right="20"/>
        <w:jc w:val="both"/>
        <w:rPr>
          <w:rFonts w:ascii="Arial" w:eastAsia="Times New Roman" w:hAnsi="Arial" w:cs="Arial"/>
          <w:lang w:val="en-GB" w:eastAsia="ro-RO"/>
        </w:rPr>
      </w:pPr>
    </w:p>
    <w:p w14:paraId="13467C1E" w14:textId="77777777" w:rsidR="00D70AEA" w:rsidRPr="0049379B" w:rsidRDefault="00D70AEA" w:rsidP="000C6CB8">
      <w:pPr>
        <w:numPr>
          <w:ilvl w:val="0"/>
          <w:numId w:val="142"/>
        </w:numPr>
        <w:spacing w:after="0" w:line="276" w:lineRule="auto"/>
        <w:ind w:right="20"/>
        <w:contextualSpacing/>
        <w:jc w:val="both"/>
        <w:rPr>
          <w:rFonts w:ascii="Arial" w:eastAsia="Times New Roman" w:hAnsi="Arial" w:cs="Arial"/>
          <w:lang w:val="en-GB" w:eastAsia="ro-RO"/>
        </w:rPr>
      </w:pPr>
      <w:r w:rsidRPr="0049379B">
        <w:rPr>
          <w:rFonts w:ascii="Arial" w:eastAsia="Times New Roman" w:hAnsi="Arial" w:cs="Arial"/>
          <w:lang w:val="en-GB" w:eastAsia="ro-RO"/>
        </w:rPr>
        <w:t>Obiectivul de Politică 1 - O Europă mai inteligentă, prin promovarea unei transformări economice inovatoare și inteligente</w:t>
      </w:r>
    </w:p>
    <w:p w14:paraId="12143F34" w14:textId="77777777" w:rsidR="00D70AEA" w:rsidRPr="0049379B" w:rsidRDefault="00D70AEA" w:rsidP="000C6CB8">
      <w:pPr>
        <w:numPr>
          <w:ilvl w:val="0"/>
          <w:numId w:val="142"/>
        </w:numPr>
        <w:spacing w:after="0" w:line="276" w:lineRule="auto"/>
        <w:ind w:right="20"/>
        <w:contextualSpacing/>
        <w:jc w:val="both"/>
        <w:rPr>
          <w:rFonts w:ascii="Arial" w:eastAsia="Times New Roman" w:hAnsi="Arial" w:cs="Arial"/>
          <w:lang w:val="en-GB" w:eastAsia="ro-RO"/>
        </w:rPr>
      </w:pPr>
      <w:r w:rsidRPr="0049379B">
        <w:rPr>
          <w:rFonts w:ascii="Arial" w:eastAsia="Times New Roman" w:hAnsi="Arial" w:cs="Arial"/>
          <w:lang w:val="en-GB" w:eastAsia="ro-RO"/>
        </w:rPr>
        <w:t xml:space="preserve">Obiectivul de Politică 2 - O Europă mai ecologică, cu emisii scăzute de carbon prin promovarea tranziției către o energie nepoluantă și Justă, a investițiilor verzi și albastre, a economiei circulare, a adaptării la schimbările climatice și a prevenirii și gestionării riscurilor </w:t>
      </w:r>
    </w:p>
    <w:p w14:paraId="2DC95920" w14:textId="77777777" w:rsidR="00D70AEA" w:rsidRPr="0049379B" w:rsidRDefault="00D70AEA" w:rsidP="000C6CB8">
      <w:pPr>
        <w:numPr>
          <w:ilvl w:val="0"/>
          <w:numId w:val="142"/>
        </w:numPr>
        <w:spacing w:line="276" w:lineRule="auto"/>
        <w:contextualSpacing/>
        <w:jc w:val="both"/>
        <w:rPr>
          <w:rFonts w:ascii="Arial" w:eastAsia="Times New Roman" w:hAnsi="Arial" w:cs="Arial"/>
          <w:lang w:val="en-GB" w:eastAsia="ro-RO"/>
        </w:rPr>
      </w:pPr>
      <w:r w:rsidRPr="0049379B">
        <w:rPr>
          <w:rFonts w:ascii="Arial" w:eastAsia="Times New Roman" w:hAnsi="Arial" w:cs="Arial"/>
          <w:lang w:val="en-GB" w:eastAsia="ro-RO"/>
        </w:rPr>
        <w:t>Obiectivul de Politică 3 - O Europă mai conectată prin dezvoltarea mobilității și a conectivității TIC regionale Obiectivul de Politica 4 – O Europă mai socială prin implementarea Pilonului european al drepturilor sociale</w:t>
      </w:r>
    </w:p>
    <w:p w14:paraId="206CF30C" w14:textId="77777777" w:rsidR="00D70AEA" w:rsidRPr="0049379B" w:rsidRDefault="00D70AEA" w:rsidP="000C6CB8">
      <w:pPr>
        <w:numPr>
          <w:ilvl w:val="0"/>
          <w:numId w:val="142"/>
        </w:numPr>
        <w:spacing w:line="276" w:lineRule="auto"/>
        <w:contextualSpacing/>
        <w:jc w:val="both"/>
        <w:rPr>
          <w:rFonts w:ascii="Arial" w:eastAsia="Times New Roman" w:hAnsi="Arial" w:cs="Arial"/>
          <w:lang w:val="en-GB" w:eastAsia="ro-RO"/>
        </w:rPr>
      </w:pPr>
      <w:r w:rsidRPr="0049379B">
        <w:rPr>
          <w:rFonts w:ascii="Arial" w:eastAsia="Times New Roman" w:hAnsi="Arial" w:cs="Arial"/>
          <w:lang w:val="en-GB" w:eastAsia="ro-RO"/>
        </w:rPr>
        <w:t xml:space="preserve">Obiectivul de Politica 5 – O Europă mai aproape de cetățeni prin promovarea dezvoltării durabile și integrate a zonelor urbane, rurale și de coastă și a inițiativelor locale </w:t>
      </w:r>
    </w:p>
    <w:p w14:paraId="0EB4E5B5" w14:textId="77777777" w:rsidR="00D70AEA" w:rsidRPr="0049379B" w:rsidRDefault="00C37E83" w:rsidP="000C6CB8">
      <w:pPr>
        <w:numPr>
          <w:ilvl w:val="0"/>
          <w:numId w:val="142"/>
        </w:numPr>
        <w:spacing w:line="276" w:lineRule="auto"/>
        <w:contextualSpacing/>
        <w:jc w:val="both"/>
        <w:rPr>
          <w:rFonts w:ascii="Arial" w:eastAsia="Times New Roman" w:hAnsi="Arial" w:cs="Arial"/>
          <w:lang w:val="en-GB" w:eastAsia="ro-RO"/>
        </w:rPr>
      </w:pPr>
      <w:r>
        <w:rPr>
          <w:rFonts w:ascii="Arial" w:eastAsia="Times New Roman" w:hAnsi="Arial" w:cs="Arial"/>
          <w:lang w:val="en-GB" w:eastAsia="ro-RO"/>
        </w:rPr>
        <w:t xml:space="preserve">Obiectivul aferent </w:t>
      </w:r>
      <w:r w:rsidR="00A46299">
        <w:rPr>
          <w:rFonts w:ascii="Arial" w:eastAsia="Times New Roman" w:hAnsi="Arial" w:cs="Arial"/>
          <w:lang w:val="en-GB" w:eastAsia="ro-RO"/>
        </w:rPr>
        <w:t>Tranziției Echitabile -</w:t>
      </w:r>
      <w:r w:rsidR="00D70AEA" w:rsidRPr="0049379B">
        <w:rPr>
          <w:rFonts w:ascii="Arial" w:eastAsia="Times New Roman" w:hAnsi="Arial" w:cs="Arial"/>
          <w:lang w:val="en-GB" w:eastAsia="ro-RO"/>
        </w:rPr>
        <w:t xml:space="preserve"> Pactul ecologic european propune o nouă politică de creștere pentru Europa. Ca stat membru al Uniunii Europene, România s-a angajat să contribuie semnificativ la atingerea obiectivului european privind neutralitatea climatică.</w:t>
      </w:r>
    </w:p>
    <w:p w14:paraId="4CDD1C22" w14:textId="77777777" w:rsidR="00D70AEA" w:rsidRPr="0049379B" w:rsidRDefault="00D70AEA" w:rsidP="0049379B">
      <w:pPr>
        <w:spacing w:line="276" w:lineRule="auto"/>
        <w:ind w:left="720"/>
        <w:contextualSpacing/>
        <w:rPr>
          <w:rFonts w:ascii="Arial" w:eastAsia="Times New Roman" w:hAnsi="Arial" w:cs="Arial"/>
          <w:lang w:val="en-GB" w:eastAsia="ro-RO"/>
        </w:rPr>
      </w:pPr>
    </w:p>
    <w:p w14:paraId="598D13D9" w14:textId="77777777" w:rsidR="00D70AEA" w:rsidRDefault="00D70AEA" w:rsidP="0049379B">
      <w:pPr>
        <w:spacing w:after="0" w:line="276" w:lineRule="auto"/>
        <w:ind w:right="20"/>
        <w:jc w:val="both"/>
        <w:rPr>
          <w:rFonts w:ascii="Arial" w:eastAsia="Times New Roman" w:hAnsi="Arial" w:cs="Arial"/>
          <w:lang w:val="en-GB" w:eastAsia="ro-RO"/>
        </w:rPr>
      </w:pPr>
      <w:r w:rsidRPr="0049379B">
        <w:rPr>
          <w:rFonts w:ascii="Arial" w:eastAsia="Times New Roman" w:hAnsi="Arial" w:cs="Arial"/>
          <w:lang w:val="en-GB" w:eastAsia="ro-RO"/>
        </w:rPr>
        <w:t xml:space="preserve">În cadrul Acordului se precizează că mobilitatea urbană este slab dezvoltată în toată România, fiind afectată de subfinanțarea cronică, de organizarea necorespunzătoare a sectorului și de slaba capacitate administrativă a furnizorilor locali. Raportul de țară, precizează necesitatea realizării de investiții care să permită tranziția de la traficul motorizat către transportul sustenabil, ecologic și </w:t>
      </w:r>
      <w:r w:rsidRPr="0049379B">
        <w:rPr>
          <w:rFonts w:ascii="Arial" w:eastAsia="Times New Roman" w:hAnsi="Arial" w:cs="Arial"/>
          <w:lang w:val="en-GB" w:eastAsia="ro-RO"/>
        </w:rPr>
        <w:lastRenderedPageBreak/>
        <w:t xml:space="preserve">nepoluant În acest sens, România trebuie să se alinieze ”Strategiei Europene pentru mobilitatea cu emisii scăzute de gaze de seră”(2016), prin care UE își propune să reducă cu 60% emisiile rezultate din transport, până în anul 2050, față de nivelul din anul 1990, iar una dintre măsurile propuse vizează dezvoltarea mobilității urbane durabile. Dezvoltarea infrastructurii urbane și a unor sisteme inteligente de management prin implementarea unor soluții ”verzi” pot contribui deopotrivă la creșterea mobilității și la reducerea poluării aerului și a celei fonice.Este necesară dezvoltarea infrastructurii de transport care să preia necesitatea de deplasare în interiorul localităților urbane cât și în periurban. Introducerea Planurilor de mobilitate urbană în legislație a impulsionat autoritățile locale să se orienteze spre o abordare bazată pe analiza multicriterială, planificare și corelarea investițiilor. Acestea au ca țintă principală îmbunătățirea accesibilității localităților și a relației între acestea, diversificarea și utilizarea sustenabilă a mijloacelor de transport (aerian, acvatic, feroviar, auto, velo, pietonal) din punct de vedere social, economic și de mediu, precum și buna integrare a diferitelor moduri de mobilitate și transport. Totuși, multe din planurile elaborate, se precizează în Raportul de țară, sunt caracterizate de o calitate slabă și de punerea în aplicare cu întârziere a proiectelor existente. </w:t>
      </w:r>
    </w:p>
    <w:p w14:paraId="143F6153" w14:textId="77777777" w:rsidR="00C37E83" w:rsidRDefault="00C37E83" w:rsidP="00C37E83">
      <w:pPr>
        <w:spacing w:after="0" w:line="276" w:lineRule="auto"/>
        <w:ind w:right="20"/>
        <w:jc w:val="both"/>
        <w:rPr>
          <w:rFonts w:ascii="Arial" w:eastAsia="Times New Roman" w:hAnsi="Arial" w:cs="Arial"/>
          <w:lang w:val="en-GB" w:eastAsia="ro-RO"/>
        </w:rPr>
      </w:pPr>
    </w:p>
    <w:p w14:paraId="5E85596F" w14:textId="77777777" w:rsidR="00C37E83" w:rsidRDefault="00C37E83" w:rsidP="00C37E83">
      <w:pPr>
        <w:spacing w:after="0" w:line="276" w:lineRule="auto"/>
        <w:ind w:right="20"/>
        <w:jc w:val="both"/>
        <w:rPr>
          <w:rFonts w:ascii="Arial" w:eastAsia="Times New Roman" w:hAnsi="Arial" w:cs="Arial"/>
          <w:lang w:val="en-GB" w:eastAsia="ro-RO"/>
        </w:rPr>
      </w:pPr>
      <w:r w:rsidRPr="00C37E83">
        <w:rPr>
          <w:rFonts w:ascii="Arial" w:eastAsia="Times New Roman" w:hAnsi="Arial" w:cs="Arial"/>
          <w:lang w:val="en-GB" w:eastAsia="ro-RO"/>
        </w:rPr>
        <w:t xml:space="preserve">Acordul de Parteneriat și Programele Operaționale pentru perioada 2021-2027 la nivel </w:t>
      </w:r>
      <w:r w:rsidR="00476D90">
        <w:rPr>
          <w:rFonts w:ascii="Arial" w:eastAsia="Times New Roman" w:hAnsi="Arial" w:cs="Arial"/>
          <w:lang w:val="en-GB" w:eastAsia="ro-RO"/>
        </w:rPr>
        <w:t>naţ</w:t>
      </w:r>
      <w:r>
        <w:rPr>
          <w:rFonts w:ascii="Arial" w:eastAsia="Times New Roman" w:hAnsi="Arial" w:cs="Arial"/>
          <w:lang w:val="en-GB" w:eastAsia="ro-RO"/>
        </w:rPr>
        <w:t xml:space="preserve">ional </w:t>
      </w:r>
      <w:r w:rsidRPr="00C37E83">
        <w:rPr>
          <w:rFonts w:ascii="Arial" w:eastAsia="Times New Roman" w:hAnsi="Arial" w:cs="Arial"/>
          <w:lang w:val="en-GB" w:eastAsia="ro-RO"/>
        </w:rPr>
        <w:t>au fost consolidate în urma unui proces intens de consultare inter-instituțională, negocieri informale cu Comisia Europeană, precum și pe baza unei valoroase contribuții din partea partene</w:t>
      </w:r>
      <w:r>
        <w:rPr>
          <w:rFonts w:ascii="Arial" w:eastAsia="Times New Roman" w:hAnsi="Arial" w:cs="Arial"/>
          <w:lang w:val="en-GB" w:eastAsia="ro-RO"/>
        </w:rPr>
        <w:t xml:space="preserve">rilor socio-economici relevanți: </w:t>
      </w:r>
    </w:p>
    <w:p w14:paraId="3CC4DE93" w14:textId="77777777" w:rsidR="004B211F" w:rsidRDefault="004B211F" w:rsidP="000C6CB8">
      <w:pPr>
        <w:pStyle w:val="Listparagraf"/>
        <w:numPr>
          <w:ilvl w:val="0"/>
          <w:numId w:val="143"/>
        </w:numPr>
        <w:spacing w:after="0"/>
        <w:ind w:right="20"/>
        <w:jc w:val="both"/>
        <w:rPr>
          <w:rFonts w:ascii="Arial" w:hAnsi="Arial" w:cs="Arial"/>
          <w:lang w:val="en-GB" w:eastAsia="ro-RO"/>
        </w:rPr>
      </w:pPr>
      <w:r w:rsidRPr="004B211F">
        <w:rPr>
          <w:rFonts w:ascii="Arial" w:hAnsi="Arial" w:cs="Arial"/>
          <w:lang w:val="en-GB" w:eastAsia="ro-RO"/>
        </w:rPr>
        <w:t>Acordul de Parteneriat pentru perioada de programare 2021-2027 – versiunea decembrie 2021*</w:t>
      </w:r>
    </w:p>
    <w:p w14:paraId="679B92C7" w14:textId="77777777" w:rsidR="004B211F" w:rsidRPr="004B211F" w:rsidRDefault="004B211F" w:rsidP="000C6CB8">
      <w:pPr>
        <w:pStyle w:val="Listparagraf"/>
        <w:numPr>
          <w:ilvl w:val="0"/>
          <w:numId w:val="143"/>
        </w:numPr>
        <w:spacing w:after="0"/>
        <w:ind w:right="20"/>
        <w:jc w:val="both"/>
        <w:rPr>
          <w:rFonts w:ascii="Arial" w:hAnsi="Arial" w:cs="Arial"/>
          <w:lang w:val="en-GB" w:eastAsia="ro-RO"/>
        </w:rPr>
      </w:pPr>
      <w:r w:rsidRPr="004B211F">
        <w:rPr>
          <w:rFonts w:ascii="Arial" w:hAnsi="Arial" w:cs="Arial"/>
          <w:lang w:val="en-GB" w:eastAsia="ro-RO"/>
        </w:rPr>
        <w:t>Programul Operațional Creștere Inteligentă, Digitalizare și Instrumente Financiare– versiune 9 noiembrie 2021</w:t>
      </w:r>
    </w:p>
    <w:p w14:paraId="565AD347" w14:textId="77777777" w:rsidR="004B211F" w:rsidRDefault="004B211F" w:rsidP="000C6CB8">
      <w:pPr>
        <w:pStyle w:val="Listparagraf"/>
        <w:numPr>
          <w:ilvl w:val="0"/>
          <w:numId w:val="143"/>
        </w:numPr>
        <w:spacing w:after="0"/>
        <w:ind w:right="20"/>
        <w:jc w:val="both"/>
        <w:rPr>
          <w:rFonts w:ascii="Arial" w:hAnsi="Arial" w:cs="Arial"/>
          <w:lang w:val="en-GB" w:eastAsia="ro-RO"/>
        </w:rPr>
      </w:pPr>
      <w:r w:rsidRPr="004B211F">
        <w:rPr>
          <w:rFonts w:ascii="Arial" w:hAnsi="Arial" w:cs="Arial"/>
          <w:lang w:val="en-GB" w:eastAsia="ro-RO"/>
        </w:rPr>
        <w:t>Programului Operațional Dezvoltare Durabilă – versiune 7 ianuarie 2022</w:t>
      </w:r>
    </w:p>
    <w:p w14:paraId="756835B6" w14:textId="77777777" w:rsidR="00476D90" w:rsidRDefault="00476D90" w:rsidP="000C6CB8">
      <w:pPr>
        <w:pStyle w:val="Listparagraf"/>
        <w:numPr>
          <w:ilvl w:val="0"/>
          <w:numId w:val="143"/>
        </w:numPr>
        <w:spacing w:after="0"/>
        <w:ind w:right="20"/>
        <w:jc w:val="both"/>
        <w:rPr>
          <w:rFonts w:ascii="Arial" w:hAnsi="Arial" w:cs="Arial"/>
          <w:lang w:val="en-GB" w:eastAsia="ro-RO"/>
        </w:rPr>
      </w:pPr>
      <w:r w:rsidRPr="00476D90">
        <w:rPr>
          <w:rFonts w:ascii="Arial" w:hAnsi="Arial" w:cs="Arial"/>
          <w:lang w:val="en-GB" w:eastAsia="ro-RO"/>
        </w:rPr>
        <w:t>Programul Operaţional Transport – 17 noiembrie 2021</w:t>
      </w:r>
    </w:p>
    <w:p w14:paraId="39E18F0A" w14:textId="77777777" w:rsidR="00476D90" w:rsidRDefault="00476D90" w:rsidP="000C6CB8">
      <w:pPr>
        <w:pStyle w:val="Listparagraf"/>
        <w:numPr>
          <w:ilvl w:val="0"/>
          <w:numId w:val="143"/>
        </w:numPr>
        <w:spacing w:after="0"/>
        <w:ind w:right="20"/>
        <w:jc w:val="both"/>
        <w:rPr>
          <w:rFonts w:ascii="Arial" w:hAnsi="Arial" w:cs="Arial"/>
          <w:lang w:val="en-GB" w:eastAsia="ro-RO"/>
        </w:rPr>
      </w:pPr>
      <w:r w:rsidRPr="00476D90">
        <w:rPr>
          <w:rFonts w:ascii="Arial" w:hAnsi="Arial" w:cs="Arial"/>
          <w:lang w:val="en-GB" w:eastAsia="ro-RO"/>
        </w:rPr>
        <w:t>Programul Operațional Educație și Ocupare– versiune 5 noiembrie 2021</w:t>
      </w:r>
    </w:p>
    <w:p w14:paraId="1D39394B" w14:textId="77777777" w:rsidR="00476D90" w:rsidRDefault="00476D90" w:rsidP="000C6CB8">
      <w:pPr>
        <w:pStyle w:val="Listparagraf"/>
        <w:numPr>
          <w:ilvl w:val="0"/>
          <w:numId w:val="143"/>
        </w:numPr>
        <w:spacing w:after="0"/>
        <w:ind w:right="20"/>
        <w:jc w:val="both"/>
        <w:rPr>
          <w:rFonts w:ascii="Arial" w:hAnsi="Arial" w:cs="Arial"/>
          <w:lang w:val="en-GB" w:eastAsia="ro-RO"/>
        </w:rPr>
      </w:pPr>
      <w:r w:rsidRPr="00476D90">
        <w:rPr>
          <w:rFonts w:ascii="Arial" w:hAnsi="Arial" w:cs="Arial"/>
          <w:lang w:val="en-GB" w:eastAsia="ro-RO"/>
        </w:rPr>
        <w:t>Programul Operaţional Incluziune și Demnitate Socială – versiunea 29 octombrie 2021</w:t>
      </w:r>
    </w:p>
    <w:p w14:paraId="3757B0BD" w14:textId="77777777" w:rsidR="00476D90" w:rsidRDefault="00476D90" w:rsidP="000C6CB8">
      <w:pPr>
        <w:pStyle w:val="Listparagraf"/>
        <w:numPr>
          <w:ilvl w:val="0"/>
          <w:numId w:val="143"/>
        </w:numPr>
        <w:spacing w:after="0"/>
        <w:ind w:right="20"/>
        <w:jc w:val="both"/>
        <w:rPr>
          <w:rFonts w:ascii="Arial" w:hAnsi="Arial" w:cs="Arial"/>
          <w:lang w:val="en-GB" w:eastAsia="ro-RO"/>
        </w:rPr>
      </w:pPr>
      <w:r w:rsidRPr="00476D90">
        <w:rPr>
          <w:rFonts w:ascii="Arial" w:hAnsi="Arial" w:cs="Arial"/>
          <w:lang w:val="en-GB" w:eastAsia="ro-RO"/>
        </w:rPr>
        <w:t>Programul Operațional Sănătate – versiune 11 noiembrie 2021</w:t>
      </w:r>
    </w:p>
    <w:p w14:paraId="3A2408DE" w14:textId="77777777" w:rsidR="00476D90" w:rsidRDefault="00476D90" w:rsidP="000C6CB8">
      <w:pPr>
        <w:pStyle w:val="Listparagraf"/>
        <w:numPr>
          <w:ilvl w:val="0"/>
          <w:numId w:val="143"/>
        </w:numPr>
        <w:spacing w:after="0"/>
        <w:ind w:right="20"/>
        <w:jc w:val="both"/>
        <w:rPr>
          <w:rFonts w:ascii="Arial" w:hAnsi="Arial" w:cs="Arial"/>
          <w:lang w:val="en-GB" w:eastAsia="ro-RO"/>
        </w:rPr>
      </w:pPr>
      <w:r w:rsidRPr="00476D90">
        <w:rPr>
          <w:rFonts w:ascii="Arial" w:hAnsi="Arial" w:cs="Arial"/>
          <w:lang w:val="en-GB" w:eastAsia="ro-RO"/>
        </w:rPr>
        <w:t>Programul Operațional Asistență Tehnică – versiune 15 noiembrie 2021</w:t>
      </w:r>
    </w:p>
    <w:p w14:paraId="13750E0F" w14:textId="77777777" w:rsidR="00C37E83" w:rsidRPr="00C37E83" w:rsidRDefault="00C37E83" w:rsidP="000C6CB8">
      <w:pPr>
        <w:pStyle w:val="Listparagraf"/>
        <w:numPr>
          <w:ilvl w:val="0"/>
          <w:numId w:val="143"/>
        </w:numPr>
        <w:spacing w:after="0"/>
        <w:ind w:right="20"/>
        <w:jc w:val="both"/>
        <w:rPr>
          <w:rFonts w:ascii="Arial" w:hAnsi="Arial" w:cs="Arial"/>
          <w:lang w:val="en-GB" w:eastAsia="ro-RO"/>
        </w:rPr>
      </w:pPr>
      <w:r w:rsidRPr="00C37E83">
        <w:rPr>
          <w:rFonts w:ascii="Arial" w:hAnsi="Arial" w:cs="Arial"/>
          <w:lang w:val="en-GB" w:eastAsia="ro-RO"/>
        </w:rPr>
        <w:t xml:space="preserve">Programul Operațional Tranziție Justă 2021-2027, </w:t>
      </w:r>
      <w:r w:rsidR="00476D90" w:rsidRPr="00476D90">
        <w:rPr>
          <w:rFonts w:ascii="Arial" w:hAnsi="Arial" w:cs="Arial"/>
          <w:lang w:val="en-GB" w:eastAsia="ro-RO"/>
        </w:rPr>
        <w:t>versiune 1 octombrie 2020</w:t>
      </w:r>
      <w:r w:rsidRPr="00C37E83">
        <w:rPr>
          <w:rFonts w:ascii="Arial" w:hAnsi="Arial" w:cs="Arial"/>
          <w:lang w:val="en-GB" w:eastAsia="ro-RO"/>
        </w:rPr>
        <w:t>.</w:t>
      </w:r>
    </w:p>
    <w:p w14:paraId="0CA90E06" w14:textId="77777777" w:rsidR="00C37E83" w:rsidRDefault="00E41005" w:rsidP="000C6CB8">
      <w:pPr>
        <w:pStyle w:val="Listparagraf"/>
        <w:numPr>
          <w:ilvl w:val="0"/>
          <w:numId w:val="143"/>
        </w:numPr>
        <w:spacing w:after="0"/>
        <w:ind w:right="20"/>
        <w:jc w:val="both"/>
        <w:rPr>
          <w:rFonts w:ascii="Arial" w:hAnsi="Arial" w:cs="Arial"/>
          <w:lang w:val="en-GB" w:eastAsia="ro-RO"/>
        </w:rPr>
      </w:pPr>
      <w:r w:rsidRPr="00E41005">
        <w:rPr>
          <w:rFonts w:ascii="Arial" w:hAnsi="Arial" w:cs="Arial"/>
          <w:lang w:val="en-GB" w:eastAsia="ro-RO"/>
        </w:rPr>
        <w:t>Programele Op</w:t>
      </w:r>
      <w:r>
        <w:rPr>
          <w:rFonts w:ascii="Arial" w:hAnsi="Arial" w:cs="Arial"/>
          <w:lang w:val="en-GB" w:eastAsia="ro-RO"/>
        </w:rPr>
        <w:t xml:space="preserve">eraționale Regionale 2021-2027 – </w:t>
      </w:r>
      <w:r w:rsidRPr="00E41005">
        <w:rPr>
          <w:rFonts w:ascii="Arial" w:hAnsi="Arial" w:cs="Arial"/>
          <w:lang w:val="en-GB" w:eastAsia="ro-RO"/>
        </w:rPr>
        <w:t>Versiunile actualizate ale Programelor Operaționale Regionale 2021-2027 sunt prezentate de Agențiile de Dezvoltare Regională pentru consultare publică</w:t>
      </w:r>
      <w:r>
        <w:rPr>
          <w:rFonts w:ascii="Arial" w:hAnsi="Arial" w:cs="Arial"/>
          <w:lang w:val="en-GB" w:eastAsia="ro-RO"/>
        </w:rPr>
        <w:t>.</w:t>
      </w:r>
    </w:p>
    <w:p w14:paraId="4C8BB4FA" w14:textId="77777777" w:rsidR="00E41005" w:rsidRPr="00E41005" w:rsidRDefault="00E41005" w:rsidP="00E41005">
      <w:pPr>
        <w:spacing w:after="0"/>
        <w:ind w:right="20"/>
        <w:jc w:val="both"/>
        <w:rPr>
          <w:rFonts w:ascii="Arial" w:hAnsi="Arial" w:cs="Arial"/>
          <w:lang w:val="en-GB" w:eastAsia="ro-RO"/>
        </w:rPr>
      </w:pPr>
    </w:p>
    <w:p w14:paraId="26AAA886" w14:textId="77777777" w:rsidR="00D70AEA" w:rsidRPr="0049379B" w:rsidRDefault="00D70AEA" w:rsidP="0049379B">
      <w:pPr>
        <w:spacing w:after="0" w:line="276" w:lineRule="auto"/>
        <w:ind w:right="20"/>
        <w:jc w:val="both"/>
        <w:rPr>
          <w:rFonts w:ascii="Arial" w:eastAsia="Times New Roman" w:hAnsi="Arial" w:cs="Arial"/>
          <w:lang w:val="en-GB" w:eastAsia="ro-RO"/>
        </w:rPr>
      </w:pPr>
      <w:r w:rsidRPr="0049379B">
        <w:rPr>
          <w:rFonts w:ascii="Arial" w:eastAsia="Times New Roman" w:hAnsi="Arial" w:cs="Arial"/>
          <w:lang w:val="en-GB" w:eastAsia="ro-RO"/>
        </w:rPr>
        <w:t>În ce privește mobilitatea urbană, în cadrul Acordului de parteneriat sunt prevăzute acțiuni precum:</w:t>
      </w:r>
    </w:p>
    <w:p w14:paraId="7C0FDE04" w14:textId="77777777" w:rsidR="00D70AEA" w:rsidRPr="0049379B" w:rsidRDefault="00D70AEA" w:rsidP="006B613A">
      <w:pPr>
        <w:numPr>
          <w:ilvl w:val="0"/>
          <w:numId w:val="46"/>
        </w:numPr>
        <w:spacing w:after="0" w:line="276" w:lineRule="auto"/>
        <w:ind w:right="20"/>
        <w:contextualSpacing/>
        <w:jc w:val="both"/>
        <w:rPr>
          <w:rFonts w:ascii="Arial" w:eastAsia="Times New Roman" w:hAnsi="Arial" w:cs="Arial"/>
          <w:lang w:val="en-GB" w:eastAsia="ro-RO"/>
        </w:rPr>
      </w:pPr>
      <w:r w:rsidRPr="0049379B">
        <w:rPr>
          <w:rFonts w:ascii="Arial" w:eastAsia="Times New Roman" w:hAnsi="Arial" w:cs="Arial"/>
          <w:lang w:val="en-GB" w:eastAsia="ro-RO"/>
        </w:rPr>
        <w:t>dezvoltarea infrastructurii urbane curate (infrastructuri de transport, ciclism, material rulant, combustibili alternativi)</w:t>
      </w:r>
    </w:p>
    <w:p w14:paraId="07C52848" w14:textId="77777777" w:rsidR="00D70AEA" w:rsidRPr="0049379B" w:rsidRDefault="00D70AEA" w:rsidP="006B613A">
      <w:pPr>
        <w:numPr>
          <w:ilvl w:val="0"/>
          <w:numId w:val="46"/>
        </w:numPr>
        <w:spacing w:after="0" w:line="276" w:lineRule="auto"/>
        <w:ind w:right="20"/>
        <w:contextualSpacing/>
        <w:jc w:val="both"/>
        <w:rPr>
          <w:rFonts w:ascii="Arial" w:eastAsia="Times New Roman" w:hAnsi="Arial" w:cs="Arial"/>
          <w:lang w:val="en-GB" w:eastAsia="ro-RO"/>
        </w:rPr>
      </w:pPr>
      <w:r w:rsidRPr="0049379B">
        <w:rPr>
          <w:rFonts w:ascii="Arial" w:eastAsia="Times New Roman" w:hAnsi="Arial" w:cs="Arial"/>
          <w:lang w:val="en-GB" w:eastAsia="ro-RO"/>
        </w:rPr>
        <w:t>dezvoltarea unor culoare de mobilitate</w:t>
      </w:r>
    </w:p>
    <w:p w14:paraId="31A70A21" w14:textId="77777777" w:rsidR="00D70AEA" w:rsidRPr="0049379B" w:rsidRDefault="00D70AEA" w:rsidP="006B613A">
      <w:pPr>
        <w:numPr>
          <w:ilvl w:val="0"/>
          <w:numId w:val="46"/>
        </w:numPr>
        <w:spacing w:after="0" w:line="276" w:lineRule="auto"/>
        <w:ind w:right="20"/>
        <w:contextualSpacing/>
        <w:jc w:val="both"/>
        <w:rPr>
          <w:rFonts w:ascii="Arial" w:eastAsia="Times New Roman" w:hAnsi="Arial" w:cs="Arial"/>
          <w:lang w:val="en-GB" w:eastAsia="ro-RO"/>
        </w:rPr>
      </w:pPr>
      <w:r w:rsidRPr="0049379B">
        <w:rPr>
          <w:rFonts w:ascii="Arial" w:eastAsia="Times New Roman" w:hAnsi="Arial" w:cs="Arial"/>
          <w:lang w:val="en-GB" w:eastAsia="ro-RO"/>
        </w:rPr>
        <w:t>realizarea de infrastructuri specifice pentru combustibili alternativi</w:t>
      </w:r>
    </w:p>
    <w:p w14:paraId="703C61C3" w14:textId="77777777" w:rsidR="00D70AEA" w:rsidRPr="0049379B" w:rsidRDefault="00D70AEA" w:rsidP="006B613A">
      <w:pPr>
        <w:numPr>
          <w:ilvl w:val="0"/>
          <w:numId w:val="46"/>
        </w:numPr>
        <w:spacing w:after="0" w:line="276" w:lineRule="auto"/>
        <w:ind w:right="20"/>
        <w:contextualSpacing/>
        <w:jc w:val="both"/>
        <w:rPr>
          <w:rFonts w:ascii="Arial" w:eastAsia="Times New Roman" w:hAnsi="Arial" w:cs="Arial"/>
          <w:lang w:val="en-GB" w:eastAsia="ro-RO"/>
        </w:rPr>
      </w:pPr>
      <w:r w:rsidRPr="0049379B">
        <w:rPr>
          <w:rFonts w:ascii="Arial" w:eastAsia="Times New Roman" w:hAnsi="Arial" w:cs="Arial"/>
          <w:lang w:val="en-GB" w:eastAsia="ro-RO"/>
        </w:rPr>
        <w:t>îmbunătățirea calității serviciilor pe calea ferata prin asigurarea unor mijloace de transport ecologice pentru transportul calatorilor si dezvoltarea sistemelor de cale ferată urbane pentru zonele metropolitane (trenuri metropolitane)</w:t>
      </w:r>
    </w:p>
    <w:p w14:paraId="577F6482" w14:textId="77777777" w:rsidR="00D70AEA" w:rsidRDefault="00D70AEA" w:rsidP="006B613A">
      <w:pPr>
        <w:numPr>
          <w:ilvl w:val="0"/>
          <w:numId w:val="46"/>
        </w:numPr>
        <w:spacing w:after="0" w:line="276" w:lineRule="auto"/>
        <w:ind w:right="20"/>
        <w:contextualSpacing/>
        <w:jc w:val="both"/>
        <w:rPr>
          <w:rFonts w:ascii="Arial" w:eastAsia="Times New Roman" w:hAnsi="Arial" w:cs="Arial"/>
          <w:lang w:val="en-GB" w:eastAsia="ro-RO"/>
        </w:rPr>
      </w:pPr>
      <w:r w:rsidRPr="0049379B">
        <w:rPr>
          <w:rFonts w:ascii="Arial" w:eastAsia="Times New Roman" w:hAnsi="Arial" w:cs="Arial"/>
          <w:lang w:val="en-GB" w:eastAsia="ro-RO"/>
        </w:rPr>
        <w:t xml:space="preserve">dezvoltarea transportului metropolitan, precum si infrastructură pentru transportul public, sisteme inteligente de transport pentru transport public, ciclism și infrastructură de transport pietonal, dezvoltarea și optimizarea sistemelor de transport public, inclusiv: </w:t>
      </w:r>
      <w:r w:rsidRPr="0049379B">
        <w:rPr>
          <w:rFonts w:ascii="Arial" w:eastAsia="Times New Roman" w:hAnsi="Arial" w:cs="Arial"/>
          <w:lang w:val="en-GB" w:eastAsia="ro-RO"/>
        </w:rPr>
        <w:lastRenderedPageBreak/>
        <w:t xml:space="preserve">modernizarea, extinderea liniilor de tramvai, achiziționare, modernizare material rulant (tramvaie), achiziționare troleibuze, autobuze, modernizare, echipare depou, e-ticketing </w:t>
      </w:r>
    </w:p>
    <w:p w14:paraId="4D3FB401" w14:textId="77777777" w:rsidR="009A6248" w:rsidRDefault="009A6248" w:rsidP="009A6248">
      <w:pPr>
        <w:spacing w:after="0" w:line="276" w:lineRule="auto"/>
        <w:ind w:right="20"/>
        <w:contextualSpacing/>
        <w:jc w:val="both"/>
        <w:rPr>
          <w:rFonts w:ascii="Arial" w:eastAsia="Times New Roman" w:hAnsi="Arial" w:cs="Arial"/>
          <w:lang w:val="en-GB" w:eastAsia="ro-RO"/>
        </w:rPr>
      </w:pPr>
    </w:p>
    <w:p w14:paraId="1FE96FF8" w14:textId="77777777" w:rsidR="009A6248" w:rsidRDefault="009A6248" w:rsidP="009A6248">
      <w:pPr>
        <w:contextualSpacing/>
        <w:jc w:val="both"/>
        <w:rPr>
          <w:rFonts w:ascii="Arial" w:eastAsia="Arial Narrow" w:hAnsi="Arial" w:cs="Arial"/>
          <w:color w:val="000000"/>
          <w:lang w:val="ro-RO"/>
        </w:rPr>
      </w:pPr>
      <w:r w:rsidRPr="000C4C6F">
        <w:rPr>
          <w:rFonts w:ascii="Arial" w:eastAsia="Arial Narrow" w:hAnsi="Arial" w:cs="Arial"/>
          <w:b/>
          <w:color w:val="000000"/>
          <w:lang w:val="ro-RO"/>
        </w:rPr>
        <w:t xml:space="preserve">Programul Operațional Regional (POR) Sud-Vest </w:t>
      </w:r>
      <w:r w:rsidR="000C4C6F">
        <w:rPr>
          <w:rFonts w:ascii="Arial" w:eastAsia="Arial Narrow" w:hAnsi="Arial" w:cs="Arial"/>
          <w:b/>
          <w:color w:val="000000"/>
          <w:lang w:val="ro-RO"/>
        </w:rPr>
        <w:t xml:space="preserve">Oltenia </w:t>
      </w:r>
      <w:r w:rsidRPr="000C4C6F">
        <w:rPr>
          <w:rFonts w:ascii="Arial" w:eastAsia="Arial Narrow" w:hAnsi="Arial" w:cs="Arial"/>
          <w:b/>
          <w:color w:val="000000"/>
          <w:lang w:val="ro-RO"/>
        </w:rPr>
        <w:t>2021-2027</w:t>
      </w:r>
      <w:r w:rsidRPr="00D11E38">
        <w:rPr>
          <w:rFonts w:ascii="Arial" w:eastAsia="Arial Narrow" w:hAnsi="Arial" w:cs="Arial"/>
          <w:color w:val="000000"/>
          <w:lang w:val="ro-RO"/>
        </w:rPr>
        <w:t xml:space="preserve"> este un document strategic de programare și principalul instrument de finanțare pentru proiectele de dezvoltare ale regiunii, adresându-se atât autorităților publice, cât și mediului privat, în vederea creșterii calității vieții în regiune.</w:t>
      </w:r>
    </w:p>
    <w:p w14:paraId="59793C42" w14:textId="77777777" w:rsidR="009A6248" w:rsidRDefault="009A6248" w:rsidP="009A6248">
      <w:pPr>
        <w:contextualSpacing/>
        <w:jc w:val="both"/>
        <w:rPr>
          <w:rFonts w:ascii="Arial" w:eastAsia="Arial Narrow" w:hAnsi="Arial" w:cs="Arial"/>
          <w:color w:val="000000"/>
          <w:lang w:val="ro-RO"/>
        </w:rPr>
      </w:pPr>
    </w:p>
    <w:p w14:paraId="1B098E8A" w14:textId="77777777" w:rsidR="009A6248" w:rsidRDefault="009A6248" w:rsidP="009A6248">
      <w:pPr>
        <w:contextualSpacing/>
        <w:jc w:val="both"/>
        <w:rPr>
          <w:rFonts w:ascii="Arial" w:eastAsia="Arial Narrow" w:hAnsi="Arial" w:cs="Arial"/>
          <w:color w:val="000000"/>
          <w:lang w:val="ro-RO"/>
        </w:rPr>
      </w:pPr>
      <w:r w:rsidRPr="00FA3868">
        <w:rPr>
          <w:rFonts w:ascii="Arial" w:eastAsia="Arial Narrow" w:hAnsi="Arial" w:cs="Arial"/>
          <w:color w:val="000000"/>
          <w:lang w:val="ro-RO"/>
        </w:rPr>
        <w:t>POR Sud-Vest Oltenia 2021-2027 acoperă domenii diverse precum inovarea/cercetarea, transferul tehnologic, creșterea competitivității IMM-urilor, digitalizarea în folosul cetățenilor, eficiența energetică, dezvoltarea urbană, mobilitatea și accesibilitatea, infrastructura verde și biodiversitatea,  infrastructura educațională,</w:t>
      </w:r>
      <w:r>
        <w:rPr>
          <w:rFonts w:ascii="Arial" w:eastAsia="Arial Narrow" w:hAnsi="Arial" w:cs="Arial"/>
          <w:color w:val="000000"/>
          <w:lang w:val="ro-RO"/>
        </w:rPr>
        <w:t xml:space="preserve"> turism și patrimoniu cultural şi dezvoltare teritorială integrată</w:t>
      </w:r>
      <w:r w:rsidRPr="00FA3868">
        <w:rPr>
          <w:rFonts w:ascii="Arial" w:eastAsia="Arial Narrow" w:hAnsi="Arial" w:cs="Arial"/>
          <w:color w:val="000000"/>
          <w:lang w:val="ro-RO"/>
        </w:rPr>
        <w:t>.</w:t>
      </w:r>
    </w:p>
    <w:p w14:paraId="58AE0073" w14:textId="77777777" w:rsidR="009A6248" w:rsidRDefault="009A6248" w:rsidP="009A6248">
      <w:pPr>
        <w:contextualSpacing/>
        <w:jc w:val="both"/>
        <w:rPr>
          <w:rFonts w:ascii="Arial" w:eastAsia="Arial Narrow" w:hAnsi="Arial" w:cs="Arial"/>
          <w:color w:val="000000"/>
          <w:lang w:val="ro-RO"/>
        </w:rPr>
      </w:pPr>
    </w:p>
    <w:p w14:paraId="26541E16" w14:textId="77777777" w:rsidR="009A6248" w:rsidRPr="00FA3868" w:rsidRDefault="009A6248" w:rsidP="009A6248">
      <w:pPr>
        <w:spacing w:after="0" w:line="276" w:lineRule="auto"/>
        <w:jc w:val="both"/>
        <w:rPr>
          <w:rFonts w:ascii="Arial" w:eastAsia="Calibri" w:hAnsi="Arial" w:cs="Arial"/>
          <w:lang w:val="it-IT" w:eastAsia="ro-RO"/>
        </w:rPr>
      </w:pPr>
      <w:r w:rsidRPr="00FA3868">
        <w:rPr>
          <w:rFonts w:ascii="Arial" w:eastAsia="Calibri" w:hAnsi="Arial" w:cs="Arial"/>
          <w:lang w:val="it-IT" w:eastAsia="ro-RO"/>
        </w:rPr>
        <w:t>Viziunea strategică a POR Sud-Vest Oltenia 2021-2027 are la bază nevoi de dezvoltare, identificate și prioritizate într-un cadru larg partenerial ca fiind cele mai relevante în contextul stadiului actual de dezvoltare socio-economică a regiunii. Peste 1,2 Mld de Euro din Fondul European pent</w:t>
      </w:r>
      <w:r>
        <w:rPr>
          <w:rFonts w:ascii="Arial" w:eastAsia="Calibri" w:hAnsi="Arial" w:cs="Arial"/>
          <w:lang w:val="it-IT" w:eastAsia="ro-RO"/>
        </w:rPr>
        <w:t>ru Dezvoltare Regională (FEDR) şi bugetul de stat vor fi alocaţi pentru investiţii î</w:t>
      </w:r>
      <w:r w:rsidRPr="00FA3868">
        <w:rPr>
          <w:rFonts w:ascii="Arial" w:eastAsia="Calibri" w:hAnsi="Arial" w:cs="Arial"/>
          <w:lang w:val="it-IT" w:eastAsia="ro-RO"/>
        </w:rPr>
        <w:t>n Regiunea Sud-Vest Oltenia p</w:t>
      </w:r>
      <w:r>
        <w:rPr>
          <w:rFonts w:ascii="Arial" w:eastAsia="Calibri" w:hAnsi="Arial" w:cs="Arial"/>
          <w:lang w:val="it-IT" w:eastAsia="ro-RO"/>
        </w:rPr>
        <w:t>rin intermediul celor 8 Priorităţ</w:t>
      </w:r>
      <w:r w:rsidRPr="00FA3868">
        <w:rPr>
          <w:rFonts w:ascii="Arial" w:eastAsia="Calibri" w:hAnsi="Arial" w:cs="Arial"/>
          <w:lang w:val="it-IT" w:eastAsia="ro-RO"/>
        </w:rPr>
        <w:t>i ale programului:</w:t>
      </w:r>
    </w:p>
    <w:p w14:paraId="0412F176" w14:textId="77777777" w:rsidR="009A6248" w:rsidRPr="00FA3868" w:rsidRDefault="009A6248" w:rsidP="009A6248">
      <w:pPr>
        <w:spacing w:after="0" w:line="276" w:lineRule="auto"/>
        <w:ind w:left="450"/>
        <w:jc w:val="both"/>
        <w:rPr>
          <w:rFonts w:ascii="Arial" w:eastAsia="Calibri" w:hAnsi="Arial" w:cs="Arial"/>
          <w:lang w:val="it-IT" w:eastAsia="ro-RO"/>
        </w:rPr>
      </w:pPr>
      <w:r w:rsidRPr="00FA3868">
        <w:rPr>
          <w:rFonts w:ascii="Arial" w:eastAsia="Calibri" w:hAnsi="Arial" w:cs="Arial"/>
          <w:lang w:val="it-IT" w:eastAsia="ro-RO"/>
        </w:rPr>
        <w:t>P1 – Competitivitate prin inovare și întreprinderi dinamice</w:t>
      </w:r>
    </w:p>
    <w:p w14:paraId="65C5E992" w14:textId="77777777" w:rsidR="009A6248" w:rsidRPr="00FA3868" w:rsidRDefault="009A6248" w:rsidP="009A6248">
      <w:pPr>
        <w:spacing w:after="0" w:line="276" w:lineRule="auto"/>
        <w:ind w:left="450"/>
        <w:jc w:val="both"/>
        <w:rPr>
          <w:rFonts w:ascii="Arial" w:eastAsia="Calibri" w:hAnsi="Arial" w:cs="Arial"/>
          <w:lang w:val="it-IT" w:eastAsia="ro-RO"/>
        </w:rPr>
      </w:pPr>
      <w:r w:rsidRPr="00FA3868">
        <w:rPr>
          <w:rFonts w:ascii="Arial" w:eastAsia="Calibri" w:hAnsi="Arial" w:cs="Arial"/>
          <w:lang w:val="it-IT" w:eastAsia="ro-RO"/>
        </w:rPr>
        <w:t xml:space="preserve">P2 – Digitalizare în beneficiul cetățenilor și al firmelor                                      </w:t>
      </w:r>
    </w:p>
    <w:p w14:paraId="749E7E99" w14:textId="77777777" w:rsidR="009A6248" w:rsidRPr="00FA3868" w:rsidRDefault="009A6248" w:rsidP="009A6248">
      <w:pPr>
        <w:spacing w:after="0" w:line="276" w:lineRule="auto"/>
        <w:ind w:left="450"/>
        <w:jc w:val="both"/>
        <w:rPr>
          <w:rFonts w:ascii="Arial" w:eastAsia="Calibri" w:hAnsi="Arial" w:cs="Arial"/>
          <w:lang w:val="it-IT" w:eastAsia="ro-RO"/>
        </w:rPr>
      </w:pPr>
      <w:r w:rsidRPr="00FA3868">
        <w:rPr>
          <w:rFonts w:ascii="Arial" w:eastAsia="Calibri" w:hAnsi="Arial" w:cs="Arial"/>
          <w:lang w:val="it-IT" w:eastAsia="ro-RO"/>
        </w:rPr>
        <w:t>P3 – Eficiență energetică și infrastructură verde</w:t>
      </w:r>
    </w:p>
    <w:p w14:paraId="7F6B9762" w14:textId="77777777" w:rsidR="009A6248" w:rsidRPr="00FA3868" w:rsidRDefault="009A6248" w:rsidP="009A6248">
      <w:pPr>
        <w:spacing w:after="0" w:line="276" w:lineRule="auto"/>
        <w:ind w:left="450"/>
        <w:jc w:val="both"/>
        <w:rPr>
          <w:rFonts w:ascii="Arial" w:eastAsia="Calibri" w:hAnsi="Arial" w:cs="Arial"/>
          <w:lang w:val="it-IT" w:eastAsia="ro-RO"/>
        </w:rPr>
      </w:pPr>
      <w:r w:rsidRPr="00FA3868">
        <w:rPr>
          <w:rFonts w:ascii="Arial" w:eastAsia="Calibri" w:hAnsi="Arial" w:cs="Arial"/>
          <w:lang w:val="it-IT" w:eastAsia="ro-RO"/>
        </w:rPr>
        <w:t>P4 – Mobilitate urbană durabilă</w:t>
      </w:r>
    </w:p>
    <w:p w14:paraId="5D9B88B4" w14:textId="77777777" w:rsidR="009A6248" w:rsidRPr="00FA3868" w:rsidRDefault="009A6248" w:rsidP="009A6248">
      <w:pPr>
        <w:spacing w:after="0" w:line="276" w:lineRule="auto"/>
        <w:ind w:left="450"/>
        <w:jc w:val="both"/>
        <w:rPr>
          <w:rFonts w:ascii="Arial" w:eastAsia="Calibri" w:hAnsi="Arial" w:cs="Arial"/>
          <w:lang w:val="it-IT" w:eastAsia="ro-RO"/>
        </w:rPr>
      </w:pPr>
      <w:r w:rsidRPr="00FA3868">
        <w:rPr>
          <w:rFonts w:ascii="Arial" w:eastAsia="Calibri" w:hAnsi="Arial" w:cs="Arial"/>
          <w:lang w:val="it-IT" w:eastAsia="ro-RO"/>
        </w:rPr>
        <w:t xml:space="preserve">P5 – Accesibilitate și conectivitate la nivel regional                                   </w:t>
      </w:r>
    </w:p>
    <w:p w14:paraId="32D85634" w14:textId="77777777" w:rsidR="009A6248" w:rsidRPr="00FA3868" w:rsidRDefault="009A6248" w:rsidP="009A6248">
      <w:pPr>
        <w:spacing w:after="0" w:line="276" w:lineRule="auto"/>
        <w:ind w:left="450"/>
        <w:jc w:val="both"/>
        <w:rPr>
          <w:rFonts w:ascii="Arial" w:eastAsia="Calibri" w:hAnsi="Arial" w:cs="Arial"/>
          <w:lang w:val="it-IT" w:eastAsia="ro-RO"/>
        </w:rPr>
      </w:pPr>
      <w:r w:rsidRPr="00FA3868">
        <w:rPr>
          <w:rFonts w:ascii="Arial" w:eastAsia="Calibri" w:hAnsi="Arial" w:cs="Arial"/>
          <w:lang w:val="it-IT" w:eastAsia="ro-RO"/>
        </w:rPr>
        <w:t xml:space="preserve">P6 – Educație modernă și incluzivă                                                   </w:t>
      </w:r>
    </w:p>
    <w:p w14:paraId="306FE98D" w14:textId="77777777" w:rsidR="009A6248" w:rsidRPr="00FA3868" w:rsidRDefault="009A6248" w:rsidP="009A6248">
      <w:pPr>
        <w:spacing w:after="0" w:line="276" w:lineRule="auto"/>
        <w:ind w:left="450"/>
        <w:jc w:val="both"/>
        <w:rPr>
          <w:rFonts w:ascii="Arial" w:eastAsia="Calibri" w:hAnsi="Arial" w:cs="Arial"/>
          <w:lang w:val="it-IT" w:eastAsia="ro-RO"/>
        </w:rPr>
      </w:pPr>
      <w:r w:rsidRPr="00FA3868">
        <w:rPr>
          <w:rFonts w:ascii="Arial" w:eastAsia="Calibri" w:hAnsi="Arial" w:cs="Arial"/>
          <w:lang w:val="it-IT" w:eastAsia="ro-RO"/>
        </w:rPr>
        <w:t>P7 – Dezvoltare teritorială sustenabilă</w:t>
      </w:r>
    </w:p>
    <w:p w14:paraId="505F85D6" w14:textId="77777777" w:rsidR="009A6248" w:rsidRPr="00D70AEA" w:rsidRDefault="009A6248" w:rsidP="009A6248">
      <w:pPr>
        <w:spacing w:after="0" w:line="276" w:lineRule="auto"/>
        <w:ind w:left="450"/>
        <w:jc w:val="both"/>
        <w:rPr>
          <w:rFonts w:ascii="Arial" w:eastAsia="Calibri" w:hAnsi="Arial" w:cs="Arial"/>
          <w:lang w:val="it-IT" w:eastAsia="ro-RO"/>
        </w:rPr>
      </w:pPr>
      <w:r w:rsidRPr="00FA3868">
        <w:rPr>
          <w:rFonts w:ascii="Arial" w:eastAsia="Calibri" w:hAnsi="Arial" w:cs="Arial"/>
          <w:lang w:val="it-IT" w:eastAsia="ro-RO"/>
        </w:rPr>
        <w:t>P8 – Asistență tehnică</w:t>
      </w:r>
    </w:p>
    <w:p w14:paraId="7B9E44BF" w14:textId="77777777" w:rsidR="00CD57B5" w:rsidRDefault="00CD57B5" w:rsidP="00CD57B5">
      <w:pPr>
        <w:spacing w:line="276" w:lineRule="auto"/>
        <w:jc w:val="both"/>
        <w:rPr>
          <w:rFonts w:ascii="Arial" w:eastAsia="Calibri" w:hAnsi="Arial" w:cs="Arial"/>
          <w:lang w:val="it-IT" w:eastAsia="ro-RO"/>
        </w:rPr>
      </w:pPr>
    </w:p>
    <w:p w14:paraId="01C043B5" w14:textId="77777777" w:rsidR="009A6248" w:rsidRDefault="00CD57B5" w:rsidP="00CD57B5">
      <w:pPr>
        <w:spacing w:line="276" w:lineRule="auto"/>
        <w:jc w:val="both"/>
        <w:rPr>
          <w:rFonts w:ascii="Arial" w:eastAsia="Calibri" w:hAnsi="Arial" w:cs="Arial"/>
          <w:lang w:val="it-IT" w:eastAsia="ro-RO"/>
        </w:rPr>
      </w:pPr>
      <w:r w:rsidRPr="00CD57B5">
        <w:rPr>
          <w:rFonts w:ascii="Arial" w:eastAsia="Calibri" w:hAnsi="Arial" w:cs="Arial"/>
          <w:lang w:val="it-IT" w:eastAsia="ro-RO"/>
        </w:rPr>
        <w:t>POR SV Oltenia refelectă orientările politicii de coeziune a UE pentru perioada 2021-2027, luând</w:t>
      </w:r>
      <w:r>
        <w:rPr>
          <w:rFonts w:ascii="Arial" w:eastAsia="Calibri" w:hAnsi="Arial" w:cs="Arial"/>
          <w:lang w:val="it-IT" w:eastAsia="ro-RO"/>
        </w:rPr>
        <w:t xml:space="preserve"> î</w:t>
      </w:r>
      <w:r w:rsidRPr="00CD57B5">
        <w:rPr>
          <w:rFonts w:ascii="Arial" w:eastAsia="Calibri" w:hAnsi="Arial" w:cs="Arial"/>
          <w:lang w:val="it-IT" w:eastAsia="ro-RO"/>
        </w:rPr>
        <w:t>n considerare nevoile și provocările existen</w:t>
      </w:r>
      <w:r>
        <w:rPr>
          <w:rFonts w:ascii="Arial" w:eastAsia="Calibri" w:hAnsi="Arial" w:cs="Arial"/>
          <w:lang w:val="it-IT" w:eastAsia="ro-RO"/>
        </w:rPr>
        <w:t>te la nivelul regiunii, precum ş</w:t>
      </w:r>
      <w:r w:rsidRPr="00CD57B5">
        <w:rPr>
          <w:rFonts w:ascii="Arial" w:eastAsia="Calibri" w:hAnsi="Arial" w:cs="Arial"/>
          <w:lang w:val="it-IT" w:eastAsia="ro-RO"/>
        </w:rPr>
        <w:t>i concluziile Raportului</w:t>
      </w:r>
      <w:r>
        <w:rPr>
          <w:rFonts w:ascii="Arial" w:eastAsia="Calibri" w:hAnsi="Arial" w:cs="Arial"/>
          <w:lang w:val="it-IT" w:eastAsia="ro-RO"/>
        </w:rPr>
        <w:t xml:space="preserve"> </w:t>
      </w:r>
      <w:r w:rsidRPr="00CD57B5">
        <w:rPr>
          <w:rFonts w:ascii="Arial" w:eastAsia="Calibri" w:hAnsi="Arial" w:cs="Arial"/>
          <w:lang w:val="it-IT" w:eastAsia="ro-RO"/>
        </w:rPr>
        <w:t>de țară din 2019/2020 pentru RO și sprijină obiectivele de politica asumate la nivel de UE prin</w:t>
      </w:r>
      <w:r>
        <w:rPr>
          <w:rFonts w:ascii="Arial" w:eastAsia="Calibri" w:hAnsi="Arial" w:cs="Arial"/>
          <w:lang w:val="it-IT" w:eastAsia="ro-RO"/>
        </w:rPr>
        <w:t xml:space="preserve"> </w:t>
      </w:r>
      <w:r w:rsidRPr="00CD57B5">
        <w:rPr>
          <w:rFonts w:ascii="Arial" w:eastAsia="Calibri" w:hAnsi="Arial" w:cs="Arial"/>
          <w:lang w:val="it-IT" w:eastAsia="ro-RO"/>
        </w:rPr>
        <w:t>intermediul unor tipuri de investitii care sa contribuie la comp</w:t>
      </w:r>
      <w:r w:rsidR="00056E48">
        <w:rPr>
          <w:rFonts w:ascii="Arial" w:eastAsia="Calibri" w:hAnsi="Arial" w:cs="Arial"/>
          <w:lang w:val="it-IT" w:eastAsia="ro-RO"/>
        </w:rPr>
        <w:t>e</w:t>
      </w:r>
      <w:r w:rsidRPr="00CD57B5">
        <w:rPr>
          <w:rFonts w:ascii="Arial" w:eastAsia="Calibri" w:hAnsi="Arial" w:cs="Arial"/>
          <w:lang w:val="it-IT" w:eastAsia="ro-RO"/>
        </w:rPr>
        <w:t>titivitatea regional</w:t>
      </w:r>
      <w:r w:rsidR="00056E48">
        <w:rPr>
          <w:rFonts w:ascii="Arial" w:eastAsia="Calibri" w:hAnsi="Arial" w:cs="Arial"/>
          <w:lang w:val="ro-RO" w:eastAsia="ro-RO"/>
        </w:rPr>
        <w:t>ă</w:t>
      </w:r>
      <w:r w:rsidRPr="00CD57B5">
        <w:rPr>
          <w:rFonts w:ascii="Arial" w:eastAsia="Calibri" w:hAnsi="Arial" w:cs="Arial"/>
          <w:lang w:val="it-IT" w:eastAsia="ro-RO"/>
        </w:rPr>
        <w:t xml:space="preserve">, inovare </w:t>
      </w:r>
      <w:r w:rsidR="00056E48">
        <w:rPr>
          <w:rFonts w:ascii="Arial" w:eastAsia="Calibri" w:hAnsi="Arial" w:cs="Arial"/>
          <w:lang w:val="it-IT" w:eastAsia="ro-RO"/>
        </w:rPr>
        <w:t>ș</w:t>
      </w:r>
      <w:r w:rsidRPr="00CD57B5">
        <w:rPr>
          <w:rFonts w:ascii="Arial" w:eastAsia="Calibri" w:hAnsi="Arial" w:cs="Arial"/>
          <w:lang w:val="it-IT" w:eastAsia="ro-RO"/>
        </w:rPr>
        <w:t>i</w:t>
      </w:r>
      <w:r>
        <w:rPr>
          <w:rFonts w:ascii="Arial" w:eastAsia="Calibri" w:hAnsi="Arial" w:cs="Arial"/>
          <w:lang w:val="it-IT" w:eastAsia="ro-RO"/>
        </w:rPr>
        <w:t xml:space="preserve"> </w:t>
      </w:r>
      <w:r w:rsidRPr="00CD57B5">
        <w:rPr>
          <w:rFonts w:ascii="Arial" w:eastAsia="Calibri" w:hAnsi="Arial" w:cs="Arial"/>
          <w:lang w:val="it-IT" w:eastAsia="ro-RO"/>
        </w:rPr>
        <w:t>digitalizare,</w:t>
      </w:r>
      <w:r w:rsidR="00056E48">
        <w:rPr>
          <w:rFonts w:ascii="Arial" w:eastAsia="Calibri" w:hAnsi="Arial" w:cs="Arial"/>
          <w:lang w:val="it-IT" w:eastAsia="ro-RO"/>
        </w:rPr>
        <w:t xml:space="preserve"> </w:t>
      </w:r>
      <w:r w:rsidRPr="00CD57B5">
        <w:rPr>
          <w:rFonts w:ascii="Arial" w:eastAsia="Calibri" w:hAnsi="Arial" w:cs="Arial"/>
          <w:lang w:val="it-IT" w:eastAsia="ro-RO"/>
        </w:rPr>
        <w:t>eficien</w:t>
      </w:r>
      <w:r w:rsidR="00056E48">
        <w:rPr>
          <w:rFonts w:ascii="Arial" w:eastAsia="Calibri" w:hAnsi="Arial" w:cs="Arial"/>
          <w:lang w:val="it-IT" w:eastAsia="ro-RO"/>
        </w:rPr>
        <w:t>ță</w:t>
      </w:r>
      <w:r w:rsidRPr="00CD57B5">
        <w:rPr>
          <w:rFonts w:ascii="Arial" w:eastAsia="Calibri" w:hAnsi="Arial" w:cs="Arial"/>
          <w:lang w:val="it-IT" w:eastAsia="ro-RO"/>
        </w:rPr>
        <w:t xml:space="preserve"> energetic</w:t>
      </w:r>
      <w:r w:rsidR="00056E48">
        <w:rPr>
          <w:rFonts w:ascii="Arial" w:eastAsia="Calibri" w:hAnsi="Arial" w:cs="Arial"/>
          <w:lang w:val="it-IT" w:eastAsia="ro-RO"/>
        </w:rPr>
        <w:t>ă</w:t>
      </w:r>
      <w:r w:rsidRPr="00CD57B5">
        <w:rPr>
          <w:rFonts w:ascii="Arial" w:eastAsia="Calibri" w:hAnsi="Arial" w:cs="Arial"/>
          <w:lang w:val="it-IT" w:eastAsia="ro-RO"/>
        </w:rPr>
        <w:t xml:space="preserve">, mobilitate </w:t>
      </w:r>
      <w:r w:rsidR="00056E48">
        <w:rPr>
          <w:rFonts w:ascii="Arial" w:eastAsia="Calibri" w:hAnsi="Arial" w:cs="Arial"/>
          <w:lang w:val="it-IT" w:eastAsia="ro-RO"/>
        </w:rPr>
        <w:t>ș</w:t>
      </w:r>
      <w:r w:rsidRPr="00CD57B5">
        <w:rPr>
          <w:rFonts w:ascii="Arial" w:eastAsia="Calibri" w:hAnsi="Arial" w:cs="Arial"/>
          <w:lang w:val="it-IT" w:eastAsia="ro-RO"/>
        </w:rPr>
        <w:t>i conectivitate.</w:t>
      </w:r>
    </w:p>
    <w:p w14:paraId="47F23505" w14:textId="77777777" w:rsidR="00CD57B5" w:rsidRDefault="00CD57B5" w:rsidP="00CD57B5">
      <w:pPr>
        <w:spacing w:line="276" w:lineRule="auto"/>
        <w:jc w:val="both"/>
        <w:rPr>
          <w:rFonts w:ascii="Arial" w:eastAsia="Calibri" w:hAnsi="Arial" w:cs="Arial"/>
          <w:lang w:val="it-IT" w:eastAsia="ro-RO"/>
        </w:rPr>
      </w:pPr>
      <w:r w:rsidRPr="00CD57B5">
        <w:rPr>
          <w:rFonts w:ascii="Arial" w:eastAsia="Calibri" w:hAnsi="Arial" w:cs="Arial"/>
          <w:lang w:val="it-IT" w:eastAsia="ro-RO"/>
        </w:rPr>
        <w:t>În context european, regiunea se află printre cele mai sărace regiuni din UE. PIB/locuitor în</w:t>
      </w:r>
      <w:r>
        <w:rPr>
          <w:rFonts w:ascii="Arial" w:eastAsia="Calibri" w:hAnsi="Arial" w:cs="Arial"/>
          <w:lang w:val="it-IT" w:eastAsia="ro-RO"/>
        </w:rPr>
        <w:t xml:space="preserve"> </w:t>
      </w:r>
      <w:r w:rsidRPr="00CD57B5">
        <w:rPr>
          <w:rFonts w:ascii="Arial" w:eastAsia="Calibri" w:hAnsi="Arial" w:cs="Arial"/>
          <w:lang w:val="it-IT" w:eastAsia="ro-RO"/>
        </w:rPr>
        <w:t>regiunea Sud-Vest Oltenia, era conform Eurostat, 7.100 euro în 2017 și 7.900 euro în 2018</w:t>
      </w:r>
      <w:r>
        <w:rPr>
          <w:rFonts w:ascii="Arial" w:eastAsia="Calibri" w:hAnsi="Arial" w:cs="Arial"/>
          <w:lang w:val="it-IT" w:eastAsia="ro-RO"/>
        </w:rPr>
        <w:t xml:space="preserve"> </w:t>
      </w:r>
      <w:r w:rsidRPr="00CD57B5">
        <w:rPr>
          <w:rFonts w:ascii="Arial" w:eastAsia="Calibri" w:hAnsi="Arial" w:cs="Arial"/>
          <w:lang w:val="it-IT" w:eastAsia="ro-RO"/>
        </w:rPr>
        <w:t>(penultimul loc între regiuni) și reprezenta 24%, respectiv 26% din media UE 27 a PIB/locuitor.</w:t>
      </w:r>
      <w:r>
        <w:rPr>
          <w:rFonts w:ascii="Arial" w:eastAsia="Calibri" w:hAnsi="Arial" w:cs="Arial"/>
          <w:lang w:val="it-IT" w:eastAsia="ro-RO"/>
        </w:rPr>
        <w:t xml:space="preserve"> Creşterea PIB este vizibilă atât pe ansamblul regiunii cât ş</w:t>
      </w:r>
      <w:r w:rsidRPr="00CD57B5">
        <w:rPr>
          <w:rFonts w:ascii="Arial" w:eastAsia="Calibri" w:hAnsi="Arial" w:cs="Arial"/>
          <w:lang w:val="it-IT" w:eastAsia="ro-RO"/>
        </w:rPr>
        <w:t>i la nivel</w:t>
      </w:r>
      <w:r>
        <w:rPr>
          <w:rFonts w:ascii="Arial" w:eastAsia="Calibri" w:hAnsi="Arial" w:cs="Arial"/>
          <w:lang w:val="it-IT" w:eastAsia="ro-RO"/>
        </w:rPr>
        <w:t>ul fiecărui judeţ</w:t>
      </w:r>
      <w:r w:rsidRPr="00CD57B5">
        <w:rPr>
          <w:rFonts w:ascii="Arial" w:eastAsia="Calibri" w:hAnsi="Arial" w:cs="Arial"/>
          <w:lang w:val="it-IT" w:eastAsia="ro-RO"/>
        </w:rPr>
        <w:t xml:space="preserve"> din regiune,</w:t>
      </w:r>
      <w:r>
        <w:rPr>
          <w:rFonts w:ascii="Arial" w:eastAsia="Calibri" w:hAnsi="Arial" w:cs="Arial"/>
          <w:lang w:val="it-IT" w:eastAsia="ro-RO"/>
        </w:rPr>
        <w:t xml:space="preserve"> însă cu diferenţe între cele cinci judeţe componente, evidenţiindu-se disparităţ</w:t>
      </w:r>
      <w:r w:rsidRPr="00CD57B5">
        <w:rPr>
          <w:rFonts w:ascii="Arial" w:eastAsia="Calibri" w:hAnsi="Arial" w:cs="Arial"/>
          <w:lang w:val="it-IT" w:eastAsia="ro-RO"/>
        </w:rPr>
        <w:t>ile de dezvoltare.</w:t>
      </w:r>
    </w:p>
    <w:p w14:paraId="31E8D87C" w14:textId="77777777" w:rsidR="00CD57B5" w:rsidRDefault="00CD57B5" w:rsidP="00CD57B5">
      <w:pPr>
        <w:spacing w:line="276" w:lineRule="auto"/>
        <w:jc w:val="both"/>
        <w:rPr>
          <w:rFonts w:ascii="Arial" w:eastAsia="Calibri" w:hAnsi="Arial" w:cs="Arial"/>
          <w:lang w:val="it-IT" w:eastAsia="ro-RO"/>
        </w:rPr>
      </w:pPr>
      <w:r>
        <w:rPr>
          <w:rFonts w:ascii="Arial" w:eastAsia="Calibri" w:hAnsi="Arial" w:cs="Arial"/>
          <w:lang w:val="it-IT" w:eastAsia="ro-RO"/>
        </w:rPr>
        <w:t>Exista o serie de disparităţi î</w:t>
      </w:r>
      <w:r w:rsidRPr="00CD57B5">
        <w:rPr>
          <w:rFonts w:ascii="Arial" w:eastAsia="Calibri" w:hAnsi="Arial" w:cs="Arial"/>
          <w:lang w:val="it-IT" w:eastAsia="ro-RO"/>
        </w:rPr>
        <w:t>n regiunea</w:t>
      </w:r>
      <w:r>
        <w:rPr>
          <w:rFonts w:ascii="Arial" w:eastAsia="Calibri" w:hAnsi="Arial" w:cs="Arial"/>
          <w:lang w:val="it-IT" w:eastAsia="ro-RO"/>
        </w:rPr>
        <w:t xml:space="preserve"> Oltenia. Toate cele cinci judeţe care formează</w:t>
      </w:r>
      <w:r w:rsidRPr="00CD57B5">
        <w:rPr>
          <w:rFonts w:ascii="Arial" w:eastAsia="Calibri" w:hAnsi="Arial" w:cs="Arial"/>
          <w:lang w:val="it-IT" w:eastAsia="ro-RO"/>
        </w:rPr>
        <w:t xml:space="preserve"> regiunea</w:t>
      </w:r>
      <w:r>
        <w:rPr>
          <w:rFonts w:ascii="Arial" w:eastAsia="Calibri" w:hAnsi="Arial" w:cs="Arial"/>
          <w:lang w:val="it-IT" w:eastAsia="ro-RO"/>
        </w:rPr>
        <w:t xml:space="preserve"> </w:t>
      </w:r>
      <w:r w:rsidRPr="00CD57B5">
        <w:rPr>
          <w:rFonts w:ascii="Arial" w:eastAsia="Calibri" w:hAnsi="Arial" w:cs="Arial"/>
          <w:lang w:val="it-IT" w:eastAsia="ro-RO"/>
        </w:rPr>
        <w:t>Oltenia trec printr-o perioa</w:t>
      </w:r>
      <w:r>
        <w:rPr>
          <w:rFonts w:ascii="Arial" w:eastAsia="Calibri" w:hAnsi="Arial" w:cs="Arial"/>
          <w:lang w:val="it-IT" w:eastAsia="ro-RO"/>
        </w:rPr>
        <w:t>dă dificilă</w:t>
      </w:r>
      <w:r w:rsidRPr="00CD57B5">
        <w:rPr>
          <w:rFonts w:ascii="Arial" w:eastAsia="Calibri" w:hAnsi="Arial" w:cs="Arial"/>
          <w:lang w:val="it-IT" w:eastAsia="ro-RO"/>
        </w:rPr>
        <w:t xml:space="preserve"> din punc</w:t>
      </w:r>
      <w:r>
        <w:rPr>
          <w:rFonts w:ascii="Arial" w:eastAsia="Calibri" w:hAnsi="Arial" w:cs="Arial"/>
          <w:lang w:val="it-IT" w:eastAsia="ro-RO"/>
        </w:rPr>
        <w:t>t de vedere socio-economic: dacă judeţ</w:t>
      </w:r>
      <w:r w:rsidRPr="00CD57B5">
        <w:rPr>
          <w:rFonts w:ascii="Arial" w:eastAsia="Calibri" w:hAnsi="Arial" w:cs="Arial"/>
          <w:lang w:val="it-IT" w:eastAsia="ro-RO"/>
        </w:rPr>
        <w:t>ele</w:t>
      </w:r>
      <w:r>
        <w:rPr>
          <w:rFonts w:ascii="Arial" w:eastAsia="Calibri" w:hAnsi="Arial" w:cs="Arial"/>
          <w:lang w:val="it-IT" w:eastAsia="ro-RO"/>
        </w:rPr>
        <w:t xml:space="preserve"> industrializate din nord (Gorj şi Vâ</w:t>
      </w:r>
      <w:r w:rsidRPr="00CD57B5">
        <w:rPr>
          <w:rFonts w:ascii="Arial" w:eastAsia="Calibri" w:hAnsi="Arial" w:cs="Arial"/>
          <w:lang w:val="it-IT" w:eastAsia="ro-RO"/>
        </w:rPr>
        <w:t>lcea) au fost puternic afecta</w:t>
      </w:r>
      <w:r>
        <w:rPr>
          <w:rFonts w:ascii="Arial" w:eastAsia="Calibri" w:hAnsi="Arial" w:cs="Arial"/>
          <w:lang w:val="it-IT" w:eastAsia="ro-RO"/>
        </w:rPr>
        <w:t>te de restructurarea industrială</w:t>
      </w:r>
      <w:r w:rsidRPr="00CD57B5">
        <w:rPr>
          <w:rFonts w:ascii="Arial" w:eastAsia="Calibri" w:hAnsi="Arial" w:cs="Arial"/>
          <w:lang w:val="it-IT" w:eastAsia="ro-RO"/>
        </w:rPr>
        <w:t>,</w:t>
      </w:r>
      <w:r>
        <w:rPr>
          <w:rFonts w:ascii="Arial" w:eastAsia="Calibri" w:hAnsi="Arial" w:cs="Arial"/>
          <w:lang w:val="it-IT" w:eastAsia="ro-RO"/>
        </w:rPr>
        <w:t xml:space="preserve"> ducând la o creştere corespunzătoare a ş</w:t>
      </w:r>
      <w:r w:rsidRPr="00CD57B5">
        <w:rPr>
          <w:rFonts w:ascii="Arial" w:eastAsia="Calibri" w:hAnsi="Arial" w:cs="Arial"/>
          <w:lang w:val="it-IT" w:eastAsia="ro-RO"/>
        </w:rPr>
        <w:t>omajului,</w:t>
      </w:r>
      <w:r>
        <w:rPr>
          <w:rFonts w:ascii="Arial" w:eastAsia="Calibri" w:hAnsi="Arial" w:cs="Arial"/>
          <w:lang w:val="it-IT" w:eastAsia="ro-RO"/>
        </w:rPr>
        <w:t xml:space="preserve"> zona agricolă din sud, cuprinzâ</w:t>
      </w:r>
      <w:r w:rsidR="00966376">
        <w:rPr>
          <w:rFonts w:ascii="Arial" w:eastAsia="Calibri" w:hAnsi="Arial" w:cs="Arial"/>
          <w:lang w:val="it-IT" w:eastAsia="ro-RO"/>
        </w:rPr>
        <w:t>nd judeţ</w:t>
      </w:r>
      <w:r w:rsidRPr="00CD57B5">
        <w:rPr>
          <w:rFonts w:ascii="Arial" w:eastAsia="Calibri" w:hAnsi="Arial" w:cs="Arial"/>
          <w:lang w:val="it-IT" w:eastAsia="ro-RO"/>
        </w:rPr>
        <w:t>ele Dolj,</w:t>
      </w:r>
      <w:r>
        <w:rPr>
          <w:rFonts w:ascii="Arial" w:eastAsia="Calibri" w:hAnsi="Arial" w:cs="Arial"/>
          <w:lang w:val="it-IT" w:eastAsia="ro-RO"/>
        </w:rPr>
        <w:t xml:space="preserve"> </w:t>
      </w:r>
      <w:r w:rsidR="00966376">
        <w:rPr>
          <w:rFonts w:ascii="Arial" w:eastAsia="Calibri" w:hAnsi="Arial" w:cs="Arial"/>
          <w:lang w:val="it-IT" w:eastAsia="ro-RO"/>
        </w:rPr>
        <w:t>Olt şi Mehedinţi este puternic afectată de nivelul scăzut al productivităţii, avâ</w:t>
      </w:r>
      <w:r w:rsidRPr="00CD57B5">
        <w:rPr>
          <w:rFonts w:ascii="Arial" w:eastAsia="Calibri" w:hAnsi="Arial" w:cs="Arial"/>
          <w:lang w:val="it-IT" w:eastAsia="ro-RO"/>
        </w:rPr>
        <w:t>nd ca rezultat</w:t>
      </w:r>
      <w:r>
        <w:rPr>
          <w:rFonts w:ascii="Arial" w:eastAsia="Calibri" w:hAnsi="Arial" w:cs="Arial"/>
          <w:lang w:val="it-IT" w:eastAsia="ro-RO"/>
        </w:rPr>
        <w:t xml:space="preserve"> adâncirea sără</w:t>
      </w:r>
      <w:r w:rsidRPr="00CD57B5">
        <w:rPr>
          <w:rFonts w:ascii="Arial" w:eastAsia="Calibri" w:hAnsi="Arial" w:cs="Arial"/>
          <w:lang w:val="it-IT" w:eastAsia="ro-RO"/>
        </w:rPr>
        <w:t>ciei</w:t>
      </w:r>
      <w:r>
        <w:rPr>
          <w:rFonts w:ascii="Arial" w:eastAsia="Calibri" w:hAnsi="Arial" w:cs="Arial"/>
          <w:lang w:val="it-IT" w:eastAsia="ro-RO"/>
        </w:rPr>
        <w:t xml:space="preserve"> de-a lungul acestor zone tradiţ</w:t>
      </w:r>
      <w:r w:rsidRPr="00CD57B5">
        <w:rPr>
          <w:rFonts w:ascii="Arial" w:eastAsia="Calibri" w:hAnsi="Arial" w:cs="Arial"/>
          <w:lang w:val="it-IT" w:eastAsia="ro-RO"/>
        </w:rPr>
        <w:t>ional subdezvoltate.</w:t>
      </w:r>
    </w:p>
    <w:p w14:paraId="4CC5EB75" w14:textId="77777777" w:rsidR="00966376" w:rsidRDefault="00966376" w:rsidP="00966376">
      <w:pPr>
        <w:spacing w:line="276" w:lineRule="auto"/>
        <w:jc w:val="both"/>
        <w:rPr>
          <w:rFonts w:ascii="Arial" w:eastAsia="Calibri" w:hAnsi="Arial" w:cs="Arial"/>
          <w:lang w:val="it-IT" w:eastAsia="ro-RO"/>
        </w:rPr>
      </w:pPr>
      <w:r w:rsidRPr="00966376">
        <w:rPr>
          <w:rFonts w:ascii="Arial" w:eastAsia="Calibri" w:hAnsi="Arial" w:cs="Arial"/>
          <w:lang w:val="it-IT" w:eastAsia="ro-RO"/>
        </w:rPr>
        <w:t>Obiectivul strategic al POR SV este de a îmbunătăți competitivitatea economică, coeziunea</w:t>
      </w:r>
      <w:r>
        <w:rPr>
          <w:rFonts w:ascii="Arial" w:eastAsia="Calibri" w:hAnsi="Arial" w:cs="Arial"/>
          <w:lang w:val="it-IT" w:eastAsia="ro-RO"/>
        </w:rPr>
        <w:t xml:space="preserve"> </w:t>
      </w:r>
      <w:r w:rsidRPr="00966376">
        <w:rPr>
          <w:rFonts w:ascii="Arial" w:eastAsia="Calibri" w:hAnsi="Arial" w:cs="Arial"/>
          <w:lang w:val="it-IT" w:eastAsia="ro-RO"/>
        </w:rPr>
        <w:t>socială și accesibilitatea regiunii cu utilizarea echilibrată a caracteristicilor specifice ale</w:t>
      </w:r>
      <w:r>
        <w:rPr>
          <w:rFonts w:ascii="Arial" w:eastAsia="Calibri" w:hAnsi="Arial" w:cs="Arial"/>
          <w:lang w:val="it-IT" w:eastAsia="ro-RO"/>
        </w:rPr>
        <w:t xml:space="preserve"> </w:t>
      </w:r>
      <w:r w:rsidRPr="00966376">
        <w:rPr>
          <w:rFonts w:ascii="Arial" w:eastAsia="Calibri" w:hAnsi="Arial" w:cs="Arial"/>
          <w:lang w:val="it-IT" w:eastAsia="ro-RO"/>
        </w:rPr>
        <w:t xml:space="preserve">potențialului </w:t>
      </w:r>
      <w:r w:rsidRPr="00966376">
        <w:rPr>
          <w:rFonts w:ascii="Arial" w:eastAsia="Calibri" w:hAnsi="Arial" w:cs="Arial"/>
          <w:lang w:val="it-IT" w:eastAsia="ro-RO"/>
        </w:rPr>
        <w:lastRenderedPageBreak/>
        <w:t>economic și cultural al regiunii. Strategia programului se concentrează pe</w:t>
      </w:r>
      <w:r>
        <w:rPr>
          <w:rFonts w:ascii="Arial" w:eastAsia="Calibri" w:hAnsi="Arial" w:cs="Arial"/>
          <w:lang w:val="it-IT" w:eastAsia="ro-RO"/>
        </w:rPr>
        <w:t xml:space="preserve"> </w:t>
      </w:r>
      <w:r w:rsidRPr="00966376">
        <w:rPr>
          <w:rFonts w:ascii="Arial" w:eastAsia="Calibri" w:hAnsi="Arial" w:cs="Arial"/>
          <w:lang w:val="it-IT" w:eastAsia="ro-RO"/>
        </w:rPr>
        <w:t>valorificarea avantajelor competitive ale regiunii și pe abordarea blocajelor cheie în sectoare</w:t>
      </w:r>
      <w:r>
        <w:rPr>
          <w:rFonts w:ascii="Arial" w:eastAsia="Calibri" w:hAnsi="Arial" w:cs="Arial"/>
          <w:lang w:val="it-IT" w:eastAsia="ro-RO"/>
        </w:rPr>
        <w:t xml:space="preserve"> </w:t>
      </w:r>
      <w:r w:rsidRPr="00966376">
        <w:rPr>
          <w:rFonts w:ascii="Arial" w:eastAsia="Calibri" w:hAnsi="Arial" w:cs="Arial"/>
          <w:lang w:val="it-IT" w:eastAsia="ro-RO"/>
        </w:rPr>
        <w:t>specifice (cum ar fi transportul, educația, mobilitatea, eficiența energetică, regenerarea urbană).</w:t>
      </w:r>
    </w:p>
    <w:p w14:paraId="5FE6BC3F" w14:textId="77777777" w:rsidR="00966376" w:rsidRPr="00966376" w:rsidRDefault="00966376" w:rsidP="00966376">
      <w:pPr>
        <w:spacing w:after="0" w:line="276" w:lineRule="auto"/>
        <w:ind w:right="20"/>
        <w:jc w:val="both"/>
        <w:rPr>
          <w:rFonts w:ascii="Arial" w:eastAsia="Times New Roman" w:hAnsi="Arial" w:cs="Arial"/>
          <w:lang w:val="en-GB" w:eastAsia="ro-RO"/>
        </w:rPr>
      </w:pPr>
      <w:r>
        <w:rPr>
          <w:rFonts w:ascii="Arial" w:eastAsia="Times New Roman" w:hAnsi="Arial" w:cs="Arial"/>
          <w:lang w:val="en-GB" w:eastAsia="ro-RO"/>
        </w:rPr>
        <w:t>Î</w:t>
      </w:r>
      <w:r w:rsidRPr="00966376">
        <w:rPr>
          <w:rFonts w:ascii="Arial" w:eastAsia="Times New Roman" w:hAnsi="Arial" w:cs="Arial"/>
          <w:lang w:val="en-GB" w:eastAsia="ro-RO"/>
        </w:rPr>
        <w:t>n acest sens, prin strategia programului sunt asumate o serie de obiective specifice regionale</w:t>
      </w:r>
      <w:r>
        <w:rPr>
          <w:rFonts w:ascii="Arial" w:eastAsia="Times New Roman" w:hAnsi="Arial" w:cs="Arial"/>
          <w:lang w:val="en-GB" w:eastAsia="ro-RO"/>
        </w:rPr>
        <w:t xml:space="preserve"> </w:t>
      </w:r>
      <w:r w:rsidRPr="00966376">
        <w:rPr>
          <w:rFonts w:ascii="Arial" w:eastAsia="Times New Roman" w:hAnsi="Arial" w:cs="Arial"/>
          <w:lang w:val="en-GB" w:eastAsia="ro-RO"/>
        </w:rPr>
        <w:t>(OSR) corespunzătoare celor 5 OP stabilite d</w:t>
      </w:r>
      <w:r>
        <w:rPr>
          <w:rFonts w:ascii="Arial" w:eastAsia="Times New Roman" w:hAnsi="Arial" w:cs="Arial"/>
          <w:lang w:val="en-GB" w:eastAsia="ro-RO"/>
        </w:rPr>
        <w:t>e CE pentru perioada 2021–2027</w:t>
      </w:r>
      <w:r w:rsidRPr="00966376">
        <w:rPr>
          <w:rFonts w:ascii="Arial" w:eastAsia="Times New Roman" w:hAnsi="Arial" w:cs="Arial"/>
          <w:lang w:val="en-GB" w:eastAsia="ro-RO"/>
        </w:rPr>
        <w:t>:</w:t>
      </w:r>
    </w:p>
    <w:p w14:paraId="31D0A770" w14:textId="77777777" w:rsidR="00966376" w:rsidRPr="00966376" w:rsidRDefault="00966376" w:rsidP="000C6CB8">
      <w:pPr>
        <w:pStyle w:val="Listparagraf"/>
        <w:numPr>
          <w:ilvl w:val="0"/>
          <w:numId w:val="198"/>
        </w:numPr>
        <w:spacing w:after="0"/>
        <w:ind w:right="20"/>
        <w:jc w:val="both"/>
        <w:rPr>
          <w:rFonts w:ascii="Arial" w:hAnsi="Arial" w:cs="Arial"/>
          <w:lang w:val="en-GB" w:eastAsia="ro-RO"/>
        </w:rPr>
      </w:pPr>
      <w:r w:rsidRPr="00966376">
        <w:rPr>
          <w:rFonts w:ascii="Arial" w:hAnsi="Arial" w:cs="Arial"/>
          <w:lang w:val="en-GB" w:eastAsia="ro-RO"/>
        </w:rPr>
        <w:t>Creşterea capacităţii de CDI si transfer tehnologic si dezvoltarea antreprenoriatului (OSR 1)</w:t>
      </w:r>
    </w:p>
    <w:p w14:paraId="2CB43267" w14:textId="77777777" w:rsidR="00966376" w:rsidRPr="00966376" w:rsidRDefault="00966376" w:rsidP="000C6CB8">
      <w:pPr>
        <w:pStyle w:val="Listparagraf"/>
        <w:numPr>
          <w:ilvl w:val="0"/>
          <w:numId w:val="198"/>
        </w:numPr>
        <w:spacing w:after="0"/>
        <w:ind w:right="20"/>
        <w:jc w:val="both"/>
        <w:rPr>
          <w:rFonts w:ascii="Arial" w:hAnsi="Arial" w:cs="Arial"/>
          <w:lang w:val="en-GB" w:eastAsia="ro-RO"/>
        </w:rPr>
      </w:pPr>
      <w:r w:rsidRPr="00966376">
        <w:rPr>
          <w:rFonts w:ascii="Arial" w:hAnsi="Arial" w:cs="Arial"/>
          <w:lang w:val="en-GB" w:eastAsia="ro-RO"/>
        </w:rPr>
        <w:t>Accelerarea transformării digitale a economiei regionale și a domeniilor de interes public (OSR 2);</w:t>
      </w:r>
    </w:p>
    <w:p w14:paraId="17FE7489" w14:textId="77777777" w:rsidR="00966376" w:rsidRPr="00966376" w:rsidRDefault="00966376" w:rsidP="000C6CB8">
      <w:pPr>
        <w:pStyle w:val="Listparagraf"/>
        <w:numPr>
          <w:ilvl w:val="0"/>
          <w:numId w:val="198"/>
        </w:numPr>
        <w:spacing w:after="0"/>
        <w:ind w:right="20"/>
        <w:jc w:val="both"/>
        <w:rPr>
          <w:rFonts w:ascii="Arial" w:hAnsi="Arial" w:cs="Arial"/>
          <w:lang w:val="en-GB" w:eastAsia="ro-RO"/>
        </w:rPr>
      </w:pPr>
      <w:r w:rsidRPr="00966376">
        <w:rPr>
          <w:rFonts w:ascii="Arial" w:hAnsi="Arial" w:cs="Arial"/>
          <w:lang w:val="en-GB" w:eastAsia="ro-RO"/>
        </w:rPr>
        <w:t>Reducerea emisiilor de</w:t>
      </w:r>
      <w:r w:rsidR="007978E6">
        <w:rPr>
          <w:rFonts w:ascii="Arial" w:hAnsi="Arial" w:cs="Arial"/>
          <w:lang w:val="en-GB" w:eastAsia="ro-RO"/>
        </w:rPr>
        <w:t xml:space="preserve"> carbon prin promovarea eficienţ</w:t>
      </w:r>
      <w:r w:rsidRPr="00966376">
        <w:rPr>
          <w:rFonts w:ascii="Arial" w:hAnsi="Arial" w:cs="Arial"/>
          <w:lang w:val="en-GB" w:eastAsia="ro-RO"/>
        </w:rPr>
        <w:t>ei energetice, dezvoltarea i</w:t>
      </w:r>
      <w:r w:rsidR="007978E6">
        <w:rPr>
          <w:rFonts w:ascii="Arial" w:hAnsi="Arial" w:cs="Arial"/>
          <w:lang w:val="en-GB" w:eastAsia="ro-RO"/>
        </w:rPr>
        <w:t>nfrastructurii verzi și îmbunătăţ</w:t>
      </w:r>
      <w:r w:rsidRPr="00966376">
        <w:rPr>
          <w:rFonts w:ascii="Arial" w:hAnsi="Arial" w:cs="Arial"/>
          <w:lang w:val="en-GB" w:eastAsia="ro-RO"/>
        </w:rPr>
        <w:t>irea transportului public urban; (OSR 3)</w:t>
      </w:r>
    </w:p>
    <w:p w14:paraId="17C95A74" w14:textId="77777777" w:rsidR="00966376" w:rsidRPr="00966376" w:rsidRDefault="007978E6" w:rsidP="000C6CB8">
      <w:pPr>
        <w:pStyle w:val="Listparagraf"/>
        <w:numPr>
          <w:ilvl w:val="0"/>
          <w:numId w:val="198"/>
        </w:numPr>
        <w:spacing w:after="0"/>
        <w:ind w:right="20"/>
        <w:jc w:val="both"/>
        <w:rPr>
          <w:rFonts w:ascii="Arial" w:hAnsi="Arial" w:cs="Arial"/>
          <w:lang w:val="en-GB" w:eastAsia="ro-RO"/>
        </w:rPr>
      </w:pPr>
      <w:r>
        <w:rPr>
          <w:rFonts w:ascii="Arial" w:hAnsi="Arial" w:cs="Arial"/>
          <w:lang w:val="en-GB" w:eastAsia="ro-RO"/>
        </w:rPr>
        <w:t>Creșterea mobilităţii şi conectivităţ</w:t>
      </w:r>
      <w:r w:rsidR="00966376" w:rsidRPr="00966376">
        <w:rPr>
          <w:rFonts w:ascii="Arial" w:hAnsi="Arial" w:cs="Arial"/>
          <w:lang w:val="en-GB" w:eastAsia="ro-RO"/>
        </w:rPr>
        <w:t>ii prin dezvoltarea unei infrastructuri de transport rutier modernă; (OSR 4)</w:t>
      </w:r>
    </w:p>
    <w:p w14:paraId="229FCDD6" w14:textId="77777777" w:rsidR="00966376" w:rsidRPr="00966376" w:rsidRDefault="00966376" w:rsidP="000C6CB8">
      <w:pPr>
        <w:pStyle w:val="Listparagraf"/>
        <w:numPr>
          <w:ilvl w:val="0"/>
          <w:numId w:val="198"/>
        </w:numPr>
        <w:spacing w:after="0"/>
        <w:ind w:right="20"/>
        <w:jc w:val="both"/>
        <w:rPr>
          <w:rFonts w:ascii="Arial" w:hAnsi="Arial" w:cs="Arial"/>
          <w:lang w:val="en-GB" w:eastAsia="ro-RO"/>
        </w:rPr>
      </w:pPr>
      <w:r w:rsidRPr="00966376">
        <w:rPr>
          <w:rFonts w:ascii="Arial" w:hAnsi="Arial" w:cs="Arial"/>
          <w:lang w:val="en-GB" w:eastAsia="ro-RO"/>
        </w:rPr>
        <w:t>Promovarea incluziunii prin asigurarea condiţiilor optime în educaţ</w:t>
      </w:r>
      <w:r w:rsidR="00920F4A">
        <w:rPr>
          <w:rFonts w:ascii="Arial" w:hAnsi="Arial" w:cs="Arial"/>
          <w:lang w:val="en-GB" w:eastAsia="ro-RO"/>
        </w:rPr>
        <w:t>ie ş</w:t>
      </w:r>
      <w:r w:rsidRPr="00966376">
        <w:rPr>
          <w:rFonts w:ascii="Arial" w:hAnsi="Arial" w:cs="Arial"/>
          <w:lang w:val="en-GB" w:eastAsia="ro-RO"/>
        </w:rPr>
        <w:t>i sprijinirea infrastructurilor dedicate copiilor si tinerilor; (OSR 5)</w:t>
      </w:r>
    </w:p>
    <w:p w14:paraId="67A85F56" w14:textId="77777777" w:rsidR="00966376" w:rsidRDefault="007978E6" w:rsidP="000C6CB8">
      <w:pPr>
        <w:pStyle w:val="Listparagraf"/>
        <w:numPr>
          <w:ilvl w:val="0"/>
          <w:numId w:val="198"/>
        </w:numPr>
        <w:spacing w:after="0"/>
        <w:ind w:right="20"/>
        <w:jc w:val="both"/>
        <w:rPr>
          <w:rFonts w:ascii="Arial" w:hAnsi="Arial" w:cs="Arial"/>
          <w:lang w:val="en-GB" w:eastAsia="ro-RO"/>
        </w:rPr>
      </w:pPr>
      <w:r>
        <w:rPr>
          <w:rFonts w:ascii="Arial" w:hAnsi="Arial" w:cs="Arial"/>
          <w:lang w:val="en-GB" w:eastAsia="ro-RO"/>
        </w:rPr>
        <w:t>Dezvoltare integrata prin î</w:t>
      </w:r>
      <w:r w:rsidR="00966376" w:rsidRPr="00966376">
        <w:rPr>
          <w:rFonts w:ascii="Arial" w:hAnsi="Arial" w:cs="Arial"/>
          <w:lang w:val="en-GB" w:eastAsia="ro-RO"/>
        </w:rPr>
        <w:t>mbun</w:t>
      </w:r>
      <w:r>
        <w:rPr>
          <w:rFonts w:ascii="Arial" w:hAnsi="Arial" w:cs="Arial"/>
          <w:lang w:val="en-GB" w:eastAsia="ro-RO"/>
        </w:rPr>
        <w:t>ătăţirea mediului urban ş</w:t>
      </w:r>
      <w:r w:rsidR="00966376" w:rsidRPr="00966376">
        <w:rPr>
          <w:rFonts w:ascii="Arial" w:hAnsi="Arial" w:cs="Arial"/>
          <w:lang w:val="en-GB" w:eastAsia="ro-RO"/>
        </w:rPr>
        <w:t>i valori</w:t>
      </w:r>
      <w:r>
        <w:rPr>
          <w:rFonts w:ascii="Arial" w:hAnsi="Arial" w:cs="Arial"/>
          <w:lang w:val="en-GB" w:eastAsia="ro-RO"/>
        </w:rPr>
        <w:t>ficarea partimoniului cultural ş</w:t>
      </w:r>
      <w:r w:rsidR="00966376" w:rsidRPr="00966376">
        <w:rPr>
          <w:rFonts w:ascii="Arial" w:hAnsi="Arial" w:cs="Arial"/>
          <w:lang w:val="en-GB" w:eastAsia="ro-RO"/>
        </w:rPr>
        <w:t>i turistic (OSR 6);</w:t>
      </w:r>
    </w:p>
    <w:p w14:paraId="415E42DB" w14:textId="77777777" w:rsidR="00946E0A" w:rsidRPr="00966376" w:rsidRDefault="00946E0A" w:rsidP="000C6CB8">
      <w:pPr>
        <w:pStyle w:val="Listparagraf"/>
        <w:numPr>
          <w:ilvl w:val="0"/>
          <w:numId w:val="198"/>
        </w:numPr>
        <w:spacing w:after="0"/>
        <w:ind w:right="20"/>
        <w:jc w:val="both"/>
        <w:rPr>
          <w:rFonts w:ascii="Arial" w:hAnsi="Arial" w:cs="Arial"/>
          <w:lang w:val="en-GB" w:eastAsia="ro-RO"/>
        </w:rPr>
      </w:pPr>
      <w:r>
        <w:rPr>
          <w:rFonts w:ascii="Arial" w:hAnsi="Arial" w:cs="Arial"/>
          <w:lang w:val="en-GB" w:eastAsia="ro-RO"/>
        </w:rPr>
        <w:t>Dezvoltarea capacităţii administrative pentru implem</w:t>
      </w:r>
      <w:r w:rsidR="00920F4A">
        <w:rPr>
          <w:rFonts w:ascii="Arial" w:hAnsi="Arial" w:cs="Arial"/>
          <w:lang w:val="en-GB" w:eastAsia="ro-RO"/>
        </w:rPr>
        <w:t>entarea POR la nivel regional; (</w:t>
      </w:r>
      <w:r>
        <w:rPr>
          <w:rFonts w:ascii="Arial" w:hAnsi="Arial" w:cs="Arial"/>
          <w:lang w:val="en-GB" w:eastAsia="ro-RO"/>
        </w:rPr>
        <w:t>OSR7).</w:t>
      </w:r>
    </w:p>
    <w:p w14:paraId="58379284" w14:textId="77777777" w:rsidR="00D70AEA" w:rsidRPr="00966376" w:rsidRDefault="00D70AEA" w:rsidP="00946E0A">
      <w:pPr>
        <w:pStyle w:val="Listparagraf"/>
        <w:spacing w:after="0"/>
        <w:ind w:right="20"/>
        <w:jc w:val="both"/>
        <w:rPr>
          <w:rFonts w:ascii="Arial" w:hAnsi="Arial" w:cs="Arial"/>
          <w:highlight w:val="yellow"/>
          <w:lang w:val="en-GB" w:eastAsia="ro-RO"/>
        </w:rPr>
      </w:pPr>
    </w:p>
    <w:p w14:paraId="66FCAC51" w14:textId="77777777" w:rsidR="00BA794B" w:rsidRDefault="00BA794B" w:rsidP="00920F4A">
      <w:pPr>
        <w:spacing w:after="0"/>
        <w:ind w:right="20"/>
        <w:jc w:val="both"/>
        <w:rPr>
          <w:rFonts w:ascii="Arial" w:hAnsi="Arial" w:cs="Arial"/>
          <w:lang w:val="en-GB" w:eastAsia="ro-RO"/>
        </w:rPr>
      </w:pPr>
      <w:r>
        <w:rPr>
          <w:rFonts w:ascii="Arial" w:hAnsi="Arial" w:cs="Arial"/>
          <w:lang w:val="en-GB" w:eastAsia="ro-RO"/>
        </w:rPr>
        <w:t xml:space="preserve">Pentru a veni în sprijinul nevoilor şi problemelor </w:t>
      </w:r>
      <w:r w:rsidR="00E17FE3">
        <w:rPr>
          <w:rFonts w:ascii="Arial" w:hAnsi="Arial" w:cs="Arial"/>
          <w:lang w:val="en-GB" w:eastAsia="ro-RO"/>
        </w:rPr>
        <w:t>a</w:t>
      </w:r>
      <w:r>
        <w:rPr>
          <w:rFonts w:ascii="Arial" w:hAnsi="Arial" w:cs="Arial"/>
          <w:lang w:val="en-GB" w:eastAsia="ro-RO"/>
        </w:rPr>
        <w:t xml:space="preserve">sociate </w:t>
      </w:r>
      <w:r w:rsidR="00920F4A" w:rsidRPr="00BA794B">
        <w:rPr>
          <w:rFonts w:ascii="Arial" w:hAnsi="Arial" w:cs="Arial"/>
          <w:b/>
          <w:lang w:val="en-GB" w:eastAsia="ro-RO"/>
        </w:rPr>
        <w:t>OSR 3 - Reducerea emisiilor de carbon prin promovarea eficientei energetice, dezvoltarea</w:t>
      </w:r>
      <w:r w:rsidRPr="00BA794B">
        <w:rPr>
          <w:rFonts w:ascii="Arial" w:hAnsi="Arial" w:cs="Arial"/>
          <w:b/>
          <w:lang w:val="en-GB" w:eastAsia="ro-RO"/>
        </w:rPr>
        <w:t xml:space="preserve"> </w:t>
      </w:r>
      <w:r w:rsidR="00920F4A" w:rsidRPr="00BA794B">
        <w:rPr>
          <w:rFonts w:ascii="Arial" w:hAnsi="Arial" w:cs="Arial"/>
          <w:b/>
          <w:lang w:val="en-GB" w:eastAsia="ro-RO"/>
        </w:rPr>
        <w:t>infrastructurii verzi și imbunatatirea transportului public urban</w:t>
      </w:r>
      <w:r>
        <w:rPr>
          <w:rFonts w:ascii="Arial" w:hAnsi="Arial" w:cs="Arial"/>
          <w:b/>
          <w:lang w:val="en-GB" w:eastAsia="ro-RO"/>
        </w:rPr>
        <w:t xml:space="preserve">, </w:t>
      </w:r>
      <w:r>
        <w:rPr>
          <w:rFonts w:ascii="Arial" w:hAnsi="Arial" w:cs="Arial"/>
          <w:lang w:val="en-GB" w:eastAsia="ro-RO"/>
        </w:rPr>
        <w:t>se vor finanţa intervenţii în:</w:t>
      </w:r>
    </w:p>
    <w:p w14:paraId="066B7B84" w14:textId="77777777" w:rsidR="00BA794B" w:rsidRPr="00BA794B" w:rsidRDefault="00BA794B" w:rsidP="006B613A">
      <w:pPr>
        <w:pStyle w:val="Listparagraf"/>
        <w:numPr>
          <w:ilvl w:val="0"/>
          <w:numId w:val="46"/>
        </w:numPr>
        <w:spacing w:after="0"/>
        <w:ind w:right="20"/>
        <w:jc w:val="both"/>
        <w:rPr>
          <w:rFonts w:ascii="Arial" w:hAnsi="Arial" w:cs="Arial"/>
          <w:b/>
          <w:lang w:val="en-GB" w:eastAsia="ro-RO"/>
        </w:rPr>
      </w:pPr>
      <w:r>
        <w:rPr>
          <w:rFonts w:ascii="Arial" w:hAnsi="Arial" w:cs="Arial"/>
          <w:lang w:val="en-GB" w:eastAsia="ro-RO"/>
        </w:rPr>
        <w:t>Promovarea eficienţei energetice în sectorul public şi rezidenţial;</w:t>
      </w:r>
    </w:p>
    <w:p w14:paraId="646E337E" w14:textId="77777777" w:rsidR="00BA794B" w:rsidRPr="00BA794B" w:rsidRDefault="00BA794B" w:rsidP="006B613A">
      <w:pPr>
        <w:pStyle w:val="Listparagraf"/>
        <w:numPr>
          <w:ilvl w:val="0"/>
          <w:numId w:val="46"/>
        </w:numPr>
        <w:spacing w:after="0"/>
        <w:ind w:right="20"/>
        <w:jc w:val="both"/>
        <w:rPr>
          <w:rFonts w:ascii="Arial" w:hAnsi="Arial" w:cs="Arial"/>
          <w:b/>
          <w:lang w:val="en-GB" w:eastAsia="ro-RO"/>
        </w:rPr>
      </w:pPr>
      <w:r>
        <w:rPr>
          <w:rFonts w:ascii="Arial" w:hAnsi="Arial" w:cs="Arial"/>
          <w:lang w:val="en-GB" w:eastAsia="ro-RO"/>
        </w:rPr>
        <w:t>Conservarea şi restaurarea spaţiilor verzi;</w:t>
      </w:r>
    </w:p>
    <w:p w14:paraId="72BA5FFB" w14:textId="77777777" w:rsidR="00BA794B" w:rsidRPr="00BA794B" w:rsidRDefault="00BA794B" w:rsidP="006B613A">
      <w:pPr>
        <w:pStyle w:val="Listparagraf"/>
        <w:numPr>
          <w:ilvl w:val="0"/>
          <w:numId w:val="46"/>
        </w:numPr>
        <w:spacing w:after="0"/>
        <w:ind w:right="20"/>
        <w:jc w:val="both"/>
        <w:rPr>
          <w:rFonts w:ascii="Arial" w:hAnsi="Arial" w:cs="Arial"/>
          <w:b/>
          <w:lang w:val="en-GB" w:eastAsia="ro-RO"/>
        </w:rPr>
      </w:pPr>
      <w:r>
        <w:rPr>
          <w:rFonts w:ascii="Arial" w:hAnsi="Arial" w:cs="Arial"/>
          <w:lang w:val="en-GB" w:eastAsia="ro-RO"/>
        </w:rPr>
        <w:t>Sprijinirea unui transport public urban sustenabil.</w:t>
      </w:r>
    </w:p>
    <w:p w14:paraId="73012002" w14:textId="77777777" w:rsidR="00BA794B" w:rsidRDefault="00BA794B" w:rsidP="00BA794B">
      <w:pPr>
        <w:spacing w:after="0"/>
        <w:ind w:right="20"/>
        <w:jc w:val="both"/>
        <w:rPr>
          <w:rFonts w:ascii="Arial" w:hAnsi="Arial" w:cs="Arial"/>
          <w:b/>
          <w:lang w:val="en-GB" w:eastAsia="ro-RO"/>
        </w:rPr>
      </w:pPr>
    </w:p>
    <w:p w14:paraId="0D35E870" w14:textId="77777777" w:rsidR="00966376" w:rsidRDefault="009326CF" w:rsidP="009326CF">
      <w:pPr>
        <w:spacing w:after="0"/>
        <w:ind w:right="20"/>
        <w:jc w:val="both"/>
        <w:rPr>
          <w:rFonts w:ascii="Arial" w:hAnsi="Arial" w:cs="Arial"/>
          <w:lang w:val="en-GB" w:eastAsia="ro-RO"/>
        </w:rPr>
      </w:pPr>
      <w:r w:rsidRPr="009326CF">
        <w:rPr>
          <w:rFonts w:ascii="Arial" w:hAnsi="Arial" w:cs="Arial"/>
          <w:lang w:val="en-GB" w:eastAsia="ro-RO"/>
        </w:rPr>
        <w:t>În asumarea</w:t>
      </w:r>
      <w:r>
        <w:rPr>
          <w:rFonts w:ascii="Arial" w:hAnsi="Arial" w:cs="Arial"/>
          <w:b/>
          <w:lang w:val="en-GB" w:eastAsia="ro-RO"/>
        </w:rPr>
        <w:t xml:space="preserve"> </w:t>
      </w:r>
      <w:r w:rsidR="00BA794B">
        <w:rPr>
          <w:rFonts w:ascii="Arial" w:hAnsi="Arial" w:cs="Arial"/>
          <w:b/>
          <w:lang w:val="en-GB" w:eastAsia="ro-RO"/>
        </w:rPr>
        <w:t>OSR 4 - Creșterea mobilităţii şi conectivităţ</w:t>
      </w:r>
      <w:r w:rsidR="00BA794B" w:rsidRPr="00BA794B">
        <w:rPr>
          <w:rFonts w:ascii="Arial" w:hAnsi="Arial" w:cs="Arial"/>
          <w:b/>
          <w:lang w:val="en-GB" w:eastAsia="ro-RO"/>
        </w:rPr>
        <w:t>ii prin dezvoltarea unei infrastructuri de transport</w:t>
      </w:r>
      <w:r w:rsidR="00BA794B">
        <w:rPr>
          <w:rFonts w:ascii="Arial" w:hAnsi="Arial" w:cs="Arial"/>
          <w:b/>
          <w:lang w:val="en-GB" w:eastAsia="ro-RO"/>
        </w:rPr>
        <w:t xml:space="preserve"> </w:t>
      </w:r>
      <w:r w:rsidR="00BA794B" w:rsidRPr="00BA794B">
        <w:rPr>
          <w:rFonts w:ascii="Arial" w:hAnsi="Arial" w:cs="Arial"/>
          <w:b/>
          <w:lang w:val="en-GB" w:eastAsia="ro-RO"/>
        </w:rPr>
        <w:t>ruti</w:t>
      </w:r>
      <w:r w:rsidR="00BA794B">
        <w:rPr>
          <w:rFonts w:ascii="Arial" w:hAnsi="Arial" w:cs="Arial"/>
          <w:b/>
          <w:lang w:val="en-GB" w:eastAsia="ro-RO"/>
        </w:rPr>
        <w:t xml:space="preserve">er </w:t>
      </w:r>
      <w:r>
        <w:rPr>
          <w:rFonts w:ascii="Arial" w:hAnsi="Arial" w:cs="Arial"/>
          <w:b/>
          <w:lang w:val="en-GB" w:eastAsia="ro-RO"/>
        </w:rPr>
        <w:t xml:space="preserve">modern, </w:t>
      </w:r>
      <w:r>
        <w:rPr>
          <w:rFonts w:ascii="Arial" w:hAnsi="Arial" w:cs="Arial"/>
          <w:lang w:val="en-GB" w:eastAsia="ro-RO"/>
        </w:rPr>
        <w:t xml:space="preserve">intervenţiile publice </w:t>
      </w:r>
      <w:r w:rsidRPr="009326CF">
        <w:rPr>
          <w:rFonts w:ascii="Arial" w:hAnsi="Arial" w:cs="Arial"/>
          <w:lang w:val="en-GB" w:eastAsia="ro-RO"/>
        </w:rPr>
        <w:t>sunt necesare pentru a atenua consecințele</w:t>
      </w:r>
      <w:r>
        <w:rPr>
          <w:rFonts w:ascii="Arial" w:hAnsi="Arial" w:cs="Arial"/>
          <w:lang w:val="en-GB" w:eastAsia="ro-RO"/>
        </w:rPr>
        <w:t xml:space="preserve"> </w:t>
      </w:r>
      <w:r w:rsidRPr="009326CF">
        <w:rPr>
          <w:rFonts w:ascii="Arial" w:hAnsi="Arial" w:cs="Arial"/>
          <w:lang w:val="en-GB" w:eastAsia="ro-RO"/>
        </w:rPr>
        <w:t>disparităților teritoriale în creștere, ce reduc accesul la diferitele piețe alături de siguranța rutieră</w:t>
      </w:r>
      <w:r>
        <w:rPr>
          <w:rFonts w:ascii="Arial" w:hAnsi="Arial" w:cs="Arial"/>
          <w:lang w:val="en-GB" w:eastAsia="ro-RO"/>
        </w:rPr>
        <w:t xml:space="preserve"> </w:t>
      </w:r>
      <w:r w:rsidRPr="009326CF">
        <w:rPr>
          <w:rFonts w:ascii="Arial" w:hAnsi="Arial" w:cs="Arial"/>
          <w:lang w:val="en-GB" w:eastAsia="ro-RO"/>
        </w:rPr>
        <w:t>scăzută. Astfel, se vor propune a</w:t>
      </w:r>
      <w:r w:rsidR="009E260D">
        <w:rPr>
          <w:rFonts w:ascii="Arial" w:hAnsi="Arial" w:cs="Arial"/>
          <w:lang w:val="en-GB" w:eastAsia="ro-RO"/>
        </w:rPr>
        <w:t>cţiuni care să</w:t>
      </w:r>
      <w:r w:rsidRPr="009326CF">
        <w:rPr>
          <w:rFonts w:ascii="Arial" w:hAnsi="Arial" w:cs="Arial"/>
          <w:lang w:val="en-GB" w:eastAsia="ro-RO"/>
        </w:rPr>
        <w:t xml:space="preserve"> sprijine modernizarea infrastructurii rutiere și</w:t>
      </w:r>
      <w:r>
        <w:rPr>
          <w:rFonts w:ascii="Arial" w:hAnsi="Arial" w:cs="Arial"/>
          <w:lang w:val="en-GB" w:eastAsia="ro-RO"/>
        </w:rPr>
        <w:t xml:space="preserve"> </w:t>
      </w:r>
      <w:r w:rsidRPr="009326CF">
        <w:rPr>
          <w:rFonts w:ascii="Arial" w:hAnsi="Arial" w:cs="Arial"/>
          <w:lang w:val="en-GB" w:eastAsia="ro-RO"/>
        </w:rPr>
        <w:t>creșterea siguranței traficului.</w:t>
      </w:r>
    </w:p>
    <w:p w14:paraId="6822BFF7" w14:textId="77777777" w:rsidR="009326CF" w:rsidRDefault="009326CF" w:rsidP="009326CF">
      <w:pPr>
        <w:spacing w:after="0"/>
        <w:ind w:right="20"/>
        <w:jc w:val="both"/>
        <w:rPr>
          <w:rFonts w:ascii="Arial" w:hAnsi="Arial" w:cs="Arial"/>
          <w:lang w:val="en-GB" w:eastAsia="ro-RO"/>
        </w:rPr>
      </w:pPr>
    </w:p>
    <w:p w14:paraId="182B582D" w14:textId="77777777" w:rsidR="009E260D" w:rsidRDefault="00E17FE3" w:rsidP="009E260D">
      <w:pPr>
        <w:spacing w:after="0"/>
        <w:ind w:right="20"/>
        <w:jc w:val="both"/>
        <w:rPr>
          <w:rFonts w:ascii="Arial" w:hAnsi="Arial" w:cs="Arial"/>
          <w:lang w:val="en-GB" w:eastAsia="ro-RO"/>
        </w:rPr>
      </w:pPr>
      <w:r w:rsidRPr="00102B77">
        <w:rPr>
          <w:rFonts w:ascii="Arial" w:hAnsi="Arial" w:cs="Arial"/>
          <w:lang w:val="en-GB" w:eastAsia="ro-RO"/>
        </w:rPr>
        <w:t>Strategia de Dezvoltare Teritorială (SDT/SIDU) va fi instrumentul utilizat pentru a selecta cele mai coerente proiecte la nivel local și a le colecta într-o viziune cuprinzătoare. Responsabilitatea elaboră</w:t>
      </w:r>
      <w:r w:rsidR="00102B77">
        <w:rPr>
          <w:rFonts w:ascii="Arial" w:hAnsi="Arial" w:cs="Arial"/>
          <w:lang w:val="en-GB" w:eastAsia="ro-RO"/>
        </w:rPr>
        <w:t>rii, implemetarii şi monitoriză</w:t>
      </w:r>
      <w:r w:rsidRPr="00102B77">
        <w:rPr>
          <w:rFonts w:ascii="Arial" w:hAnsi="Arial" w:cs="Arial"/>
          <w:lang w:val="en-GB" w:eastAsia="ro-RO"/>
        </w:rPr>
        <w:t>rii strategiei va fi</w:t>
      </w:r>
      <w:r w:rsidR="00102B77">
        <w:rPr>
          <w:rFonts w:ascii="Arial" w:hAnsi="Arial" w:cs="Arial"/>
          <w:lang w:val="en-GB" w:eastAsia="ro-RO"/>
        </w:rPr>
        <w:t xml:space="preserve"> în sarcina autorităţ</w:t>
      </w:r>
      <w:r w:rsidRPr="00102B77">
        <w:rPr>
          <w:rFonts w:ascii="Arial" w:hAnsi="Arial" w:cs="Arial"/>
          <w:lang w:val="en-GB" w:eastAsia="ro-RO"/>
        </w:rPr>
        <w:t>ilor publice.</w:t>
      </w:r>
    </w:p>
    <w:p w14:paraId="51E269F9" w14:textId="77777777" w:rsidR="009E260D" w:rsidRPr="009E260D" w:rsidRDefault="009E260D" w:rsidP="009E260D">
      <w:pPr>
        <w:spacing w:after="0"/>
        <w:ind w:right="20"/>
        <w:jc w:val="both"/>
        <w:rPr>
          <w:rFonts w:ascii="Arial" w:hAnsi="Arial" w:cs="Arial"/>
          <w:lang w:val="en-GB" w:eastAsia="ro-RO"/>
        </w:rPr>
      </w:pPr>
      <w:r w:rsidRPr="009E260D">
        <w:rPr>
          <w:rFonts w:ascii="Arial" w:hAnsi="Arial" w:cs="Arial"/>
          <w:lang w:val="en-GB" w:eastAsia="ro-RO"/>
        </w:rPr>
        <w:t>To</w:t>
      </w:r>
      <w:r>
        <w:rPr>
          <w:rFonts w:ascii="Arial" w:hAnsi="Arial" w:cs="Arial"/>
          <w:lang w:val="en-GB" w:eastAsia="ro-RO"/>
        </w:rPr>
        <w:t>ate zonele urbane care accesează fonduri trebuie să aibă la bază</w:t>
      </w:r>
      <w:r w:rsidRPr="009E260D">
        <w:rPr>
          <w:rFonts w:ascii="Arial" w:hAnsi="Arial" w:cs="Arial"/>
          <w:lang w:val="en-GB" w:eastAsia="ro-RO"/>
        </w:rPr>
        <w:t xml:space="preserve"> o Strategie de Dezvoltare</w:t>
      </w:r>
      <w:r>
        <w:rPr>
          <w:rFonts w:ascii="Arial" w:hAnsi="Arial" w:cs="Arial"/>
          <w:lang w:val="en-GB" w:eastAsia="ro-RO"/>
        </w:rPr>
        <w:t xml:space="preserve"> Teritoriala (SDT/SIDU) care să includă o listă de proiecte prioritare pentru î</w:t>
      </w:r>
      <w:r w:rsidRPr="009E260D">
        <w:rPr>
          <w:rFonts w:ascii="Arial" w:hAnsi="Arial" w:cs="Arial"/>
          <w:lang w:val="en-GB" w:eastAsia="ro-RO"/>
        </w:rPr>
        <w:t>ntregul buget de</w:t>
      </w:r>
      <w:r>
        <w:rPr>
          <w:rFonts w:ascii="Arial" w:hAnsi="Arial" w:cs="Arial"/>
          <w:lang w:val="en-GB" w:eastAsia="ro-RO"/>
        </w:rPr>
        <w:t xml:space="preserve"> </w:t>
      </w:r>
      <w:r w:rsidRPr="009E260D">
        <w:rPr>
          <w:rFonts w:ascii="Arial" w:hAnsi="Arial" w:cs="Arial"/>
          <w:lang w:val="en-GB" w:eastAsia="ro-RO"/>
        </w:rPr>
        <w:t>investitii de capital estimat pentru perioada de implementare 2021-2029. Aceste strategii se vor</w:t>
      </w:r>
      <w:r>
        <w:rPr>
          <w:rFonts w:ascii="Arial" w:hAnsi="Arial" w:cs="Arial"/>
          <w:lang w:val="en-GB" w:eastAsia="ro-RO"/>
        </w:rPr>
        <w:t xml:space="preserve"> concentra pe zona urbană şi se pot extinde şi în zona metropolitană/ZUF, în funcţie de necesităţ</w:t>
      </w:r>
      <w:r w:rsidRPr="009E260D">
        <w:rPr>
          <w:rFonts w:ascii="Arial" w:hAnsi="Arial" w:cs="Arial"/>
          <w:lang w:val="en-GB" w:eastAsia="ro-RO"/>
        </w:rPr>
        <w:t>ile</w:t>
      </w:r>
    </w:p>
    <w:p w14:paraId="76085510" w14:textId="77777777" w:rsidR="009326CF" w:rsidRDefault="009E260D" w:rsidP="009E260D">
      <w:pPr>
        <w:spacing w:after="0"/>
        <w:ind w:right="20"/>
        <w:jc w:val="both"/>
        <w:rPr>
          <w:rFonts w:ascii="Arial" w:hAnsi="Arial" w:cs="Arial"/>
          <w:lang w:val="en-GB" w:eastAsia="ro-RO"/>
        </w:rPr>
      </w:pPr>
      <w:r>
        <w:rPr>
          <w:rFonts w:ascii="Arial" w:hAnsi="Arial" w:cs="Arial"/>
          <w:lang w:val="en-GB" w:eastAsia="ro-RO"/>
        </w:rPr>
        <w:t>şi priorităţ</w:t>
      </w:r>
      <w:r w:rsidRPr="009E260D">
        <w:rPr>
          <w:rFonts w:ascii="Arial" w:hAnsi="Arial" w:cs="Arial"/>
          <w:lang w:val="en-GB" w:eastAsia="ro-RO"/>
        </w:rPr>
        <w:t>ile de dezvoltare stabilite de fiecare UAT urban.</w:t>
      </w:r>
      <w:r>
        <w:rPr>
          <w:rFonts w:ascii="Arial" w:hAnsi="Arial" w:cs="Arial"/>
          <w:lang w:val="en-GB" w:eastAsia="ro-RO"/>
        </w:rPr>
        <w:t xml:space="preserve"> </w:t>
      </w:r>
    </w:p>
    <w:p w14:paraId="38B43E53" w14:textId="77777777" w:rsidR="009E260D" w:rsidRDefault="009E260D" w:rsidP="009E260D">
      <w:pPr>
        <w:spacing w:after="0"/>
        <w:ind w:right="20"/>
        <w:jc w:val="both"/>
        <w:rPr>
          <w:rFonts w:ascii="Arial" w:hAnsi="Arial" w:cs="Arial"/>
          <w:lang w:val="en-GB" w:eastAsia="ro-RO"/>
        </w:rPr>
      </w:pPr>
    </w:p>
    <w:p w14:paraId="75C7C533" w14:textId="77777777" w:rsidR="009E260D" w:rsidRPr="00102B77" w:rsidRDefault="009E260D" w:rsidP="009E260D">
      <w:pPr>
        <w:spacing w:after="0"/>
        <w:ind w:right="20"/>
        <w:jc w:val="both"/>
        <w:rPr>
          <w:rFonts w:ascii="Arial" w:hAnsi="Arial" w:cs="Arial"/>
          <w:lang w:val="en-GB" w:eastAsia="ro-RO"/>
        </w:rPr>
      </w:pPr>
      <w:r w:rsidRPr="009E260D">
        <w:rPr>
          <w:rFonts w:ascii="Arial" w:hAnsi="Arial" w:cs="Arial"/>
          <w:lang w:val="en-GB" w:eastAsia="ro-RO"/>
        </w:rPr>
        <w:t>Mecanismul de finanțare propus pentru diferitele categorii de zone urbane ține cont de nevoile</w:t>
      </w:r>
      <w:r>
        <w:rPr>
          <w:rFonts w:ascii="Arial" w:hAnsi="Arial" w:cs="Arial"/>
          <w:lang w:val="en-GB" w:eastAsia="ro-RO"/>
        </w:rPr>
        <w:t xml:space="preserve"> </w:t>
      </w:r>
      <w:r w:rsidRPr="009E260D">
        <w:rPr>
          <w:rFonts w:ascii="Arial" w:hAnsi="Arial" w:cs="Arial"/>
          <w:lang w:val="en-GB" w:eastAsia="ro-RO"/>
        </w:rPr>
        <w:t>dar și de capacitatea acestora de a pregăti propuneri viabile și de a implementa proiecte</w:t>
      </w:r>
      <w:r>
        <w:rPr>
          <w:rFonts w:ascii="Arial" w:hAnsi="Arial" w:cs="Arial"/>
          <w:lang w:val="en-GB" w:eastAsia="ro-RO"/>
        </w:rPr>
        <w:t xml:space="preserve"> </w:t>
      </w:r>
      <w:r w:rsidRPr="009E260D">
        <w:rPr>
          <w:rFonts w:ascii="Arial" w:hAnsi="Arial" w:cs="Arial"/>
          <w:lang w:val="en-GB" w:eastAsia="ro-RO"/>
        </w:rPr>
        <w:t>complexe. Propunerea de alocare a fondurilor pentru dezvoltare urbană în perioada 2021 – 2027</w:t>
      </w:r>
      <w:r>
        <w:rPr>
          <w:rFonts w:ascii="Arial" w:hAnsi="Arial" w:cs="Arial"/>
          <w:lang w:val="en-GB" w:eastAsia="ro-RO"/>
        </w:rPr>
        <w:t xml:space="preserve"> </w:t>
      </w:r>
      <w:r w:rsidRPr="009E260D">
        <w:rPr>
          <w:rFonts w:ascii="Arial" w:hAnsi="Arial" w:cs="Arial"/>
          <w:lang w:val="en-GB" w:eastAsia="ro-RO"/>
        </w:rPr>
        <w:t>va fi detaliată pe 3 categorii de așezări urbane și anume, municipii</w:t>
      </w:r>
      <w:r>
        <w:rPr>
          <w:rFonts w:ascii="Arial" w:hAnsi="Arial" w:cs="Arial"/>
          <w:lang w:val="en-GB" w:eastAsia="ro-RO"/>
        </w:rPr>
        <w:t xml:space="preserve"> reședință de județ, municipii ş</w:t>
      </w:r>
      <w:r w:rsidRPr="009E260D">
        <w:rPr>
          <w:rFonts w:ascii="Arial" w:hAnsi="Arial" w:cs="Arial"/>
          <w:lang w:val="en-GB" w:eastAsia="ro-RO"/>
        </w:rPr>
        <w:t>i</w:t>
      </w:r>
      <w:r>
        <w:rPr>
          <w:rFonts w:ascii="Arial" w:hAnsi="Arial" w:cs="Arial"/>
          <w:lang w:val="en-GB" w:eastAsia="ro-RO"/>
        </w:rPr>
        <w:t xml:space="preserve"> oraşe. Algoritmul de calcul va ţine cont de ponderea populaţiei urbane în total populaţ</w:t>
      </w:r>
      <w:r w:rsidRPr="009E260D">
        <w:rPr>
          <w:rFonts w:ascii="Arial" w:hAnsi="Arial" w:cs="Arial"/>
          <w:lang w:val="en-GB" w:eastAsia="ro-RO"/>
        </w:rPr>
        <w:t>ie. Pentru</w:t>
      </w:r>
      <w:r>
        <w:rPr>
          <w:rFonts w:ascii="Arial" w:hAnsi="Arial" w:cs="Arial"/>
          <w:lang w:val="en-GB" w:eastAsia="ro-RO"/>
        </w:rPr>
        <w:t xml:space="preserve"> </w:t>
      </w:r>
      <w:r w:rsidRPr="009E260D">
        <w:rPr>
          <w:rFonts w:ascii="Arial" w:hAnsi="Arial" w:cs="Arial"/>
          <w:lang w:val="en-GB" w:eastAsia="ro-RO"/>
        </w:rPr>
        <w:t>municipiile reședință de județ, care vor beneficia de sume pre-alocate, se vor lansa apeluri</w:t>
      </w:r>
      <w:r w:rsidR="007978E6">
        <w:rPr>
          <w:rFonts w:ascii="Arial" w:hAnsi="Arial" w:cs="Arial"/>
          <w:lang w:val="en-GB" w:eastAsia="ro-RO"/>
        </w:rPr>
        <w:t xml:space="preserve"> </w:t>
      </w:r>
      <w:r w:rsidRPr="009E260D">
        <w:rPr>
          <w:rFonts w:ascii="Arial" w:hAnsi="Arial" w:cs="Arial"/>
          <w:lang w:val="en-GB" w:eastAsia="ro-RO"/>
        </w:rPr>
        <w:t xml:space="preserve">necompetitive, </w:t>
      </w:r>
      <w:r w:rsidR="007978E6">
        <w:rPr>
          <w:rFonts w:ascii="Arial" w:hAnsi="Arial" w:cs="Arial"/>
          <w:lang w:val="en-GB" w:eastAsia="ro-RO"/>
        </w:rPr>
        <w:t>iar pentru celelalte municipii ş</w:t>
      </w:r>
      <w:r w:rsidRPr="009E260D">
        <w:rPr>
          <w:rFonts w:ascii="Arial" w:hAnsi="Arial" w:cs="Arial"/>
          <w:lang w:val="en-GB" w:eastAsia="ro-RO"/>
        </w:rPr>
        <w:t>i orașe se vor lansa apeluri competitive.</w:t>
      </w:r>
    </w:p>
    <w:p w14:paraId="0BE52792" w14:textId="77777777" w:rsidR="00BA794B" w:rsidRDefault="00BA794B" w:rsidP="00920F4A">
      <w:pPr>
        <w:spacing w:after="0"/>
        <w:ind w:right="20"/>
        <w:jc w:val="both"/>
        <w:rPr>
          <w:rFonts w:ascii="Arial" w:hAnsi="Arial" w:cs="Arial"/>
          <w:highlight w:val="yellow"/>
          <w:lang w:val="en-GB" w:eastAsia="ro-RO"/>
        </w:rPr>
      </w:pPr>
    </w:p>
    <w:p w14:paraId="712BD132" w14:textId="77777777" w:rsidR="00096A56" w:rsidRDefault="00096A56" w:rsidP="00B30F6A">
      <w:pPr>
        <w:spacing w:after="0" w:line="276" w:lineRule="auto"/>
        <w:ind w:right="20"/>
        <w:jc w:val="both"/>
        <w:rPr>
          <w:rFonts w:ascii="Arial" w:eastAsia="Times New Roman" w:hAnsi="Arial" w:cs="Arial"/>
          <w:lang w:val="en-GB" w:eastAsia="ro-RO"/>
        </w:rPr>
      </w:pPr>
    </w:p>
    <w:p w14:paraId="39055E1B" w14:textId="77777777" w:rsidR="00096A56" w:rsidRDefault="00096A56" w:rsidP="00B30F6A">
      <w:pPr>
        <w:spacing w:after="0" w:line="276" w:lineRule="auto"/>
        <w:ind w:right="20"/>
        <w:jc w:val="both"/>
        <w:rPr>
          <w:rFonts w:ascii="Arial" w:eastAsia="Times New Roman" w:hAnsi="Arial" w:cs="Arial"/>
          <w:lang w:val="en-GB" w:eastAsia="ro-RO"/>
        </w:rPr>
      </w:pPr>
      <w:r>
        <w:rPr>
          <w:rFonts w:ascii="Arial" w:eastAsia="Times New Roman" w:hAnsi="Arial" w:cs="Arial"/>
          <w:lang w:val="en-GB" w:eastAsia="ro-RO"/>
        </w:rPr>
        <w:t>Prin POR Sud Vest Oltenia 2021-2027 se vor sprijini acțiuni în următoarele arii de intervenție:</w:t>
      </w:r>
    </w:p>
    <w:p w14:paraId="1DF7FDDD" w14:textId="77777777" w:rsidR="00096A56" w:rsidRPr="0035184F" w:rsidRDefault="00096A56" w:rsidP="00B30F6A">
      <w:pPr>
        <w:spacing w:after="0" w:line="276" w:lineRule="auto"/>
        <w:ind w:right="20"/>
        <w:jc w:val="both"/>
        <w:rPr>
          <w:rFonts w:ascii="Arial" w:eastAsia="Times New Roman" w:hAnsi="Arial" w:cs="Arial"/>
          <w:lang w:val="en-GB" w:eastAsia="ro-RO"/>
        </w:rPr>
      </w:pPr>
      <w:r w:rsidRPr="00096A56">
        <w:rPr>
          <w:rFonts w:ascii="Arial" w:eastAsia="Times New Roman" w:hAnsi="Arial" w:cs="Arial"/>
          <w:b/>
          <w:bCs/>
          <w:lang w:val="en-GB" w:eastAsia="ro-RO"/>
        </w:rPr>
        <w:t>1.</w:t>
      </w:r>
      <w:r>
        <w:rPr>
          <w:rFonts w:ascii="Arial" w:eastAsia="Times New Roman" w:hAnsi="Arial" w:cs="Arial"/>
          <w:lang w:val="en-GB" w:eastAsia="ro-RO"/>
        </w:rPr>
        <w:t xml:space="preserve"> P</w:t>
      </w:r>
      <w:r w:rsidRPr="00096A56">
        <w:rPr>
          <w:rFonts w:ascii="Arial" w:eastAsia="Times New Roman" w:hAnsi="Arial" w:cs="Arial"/>
          <w:lang w:val="en-GB" w:eastAsia="ro-RO"/>
        </w:rPr>
        <w:t>romovarea mobilității urbane multimodale durabile, ca parte a tranziției către o economie cu zero emisii de dioxid de carbon</w:t>
      </w:r>
    </w:p>
    <w:p w14:paraId="4DD2C8C6" w14:textId="77777777" w:rsidR="00AF2805" w:rsidRPr="00AF2805" w:rsidRDefault="00AF2805" w:rsidP="00AF2805">
      <w:pPr>
        <w:spacing w:after="0" w:line="276" w:lineRule="auto"/>
        <w:ind w:right="20"/>
        <w:jc w:val="both"/>
        <w:rPr>
          <w:rFonts w:ascii="Arial" w:eastAsia="Times New Roman" w:hAnsi="Arial" w:cs="Arial"/>
          <w:lang w:val="en-GB" w:eastAsia="ro-RO"/>
        </w:rPr>
      </w:pPr>
      <w:r w:rsidRPr="00AF2805">
        <w:rPr>
          <w:rFonts w:ascii="Arial" w:eastAsia="Times New Roman" w:hAnsi="Arial" w:cs="Arial"/>
          <w:lang w:val="en-GB" w:eastAsia="ro-RO"/>
        </w:rPr>
        <w:t>Sprijin pentru transport urban sustenabil și durabil, prin:</w:t>
      </w:r>
    </w:p>
    <w:p w14:paraId="2A6D2454" w14:textId="77777777" w:rsidR="00AF2805" w:rsidRPr="00AF2805" w:rsidRDefault="00AF2805" w:rsidP="000C6CB8">
      <w:pPr>
        <w:pStyle w:val="Listparagraf"/>
        <w:numPr>
          <w:ilvl w:val="0"/>
          <w:numId w:val="203"/>
        </w:numPr>
        <w:spacing w:after="0"/>
        <w:ind w:right="20"/>
        <w:jc w:val="both"/>
        <w:rPr>
          <w:rFonts w:ascii="Arial" w:hAnsi="Arial" w:cs="Arial"/>
          <w:lang w:val="en-GB" w:eastAsia="ro-RO"/>
        </w:rPr>
      </w:pPr>
      <w:r w:rsidRPr="00AF2805">
        <w:rPr>
          <w:rFonts w:ascii="Arial" w:hAnsi="Arial" w:cs="Arial"/>
          <w:lang w:val="en-GB" w:eastAsia="ro-RO"/>
        </w:rPr>
        <w:t>Inființarea, dezvoltarea și optimizarea sistemelor de transport public prin investiții în achiziția de material rulant de transport urban curat, susținerea infrastructurii de transport urbane curate, inclusiv modernizarea/reconfigurarea tramei stradale;</w:t>
      </w:r>
    </w:p>
    <w:p w14:paraId="38178089" w14:textId="77777777" w:rsidR="00AF2805" w:rsidRPr="00AF2805" w:rsidRDefault="00AF2805" w:rsidP="000C6CB8">
      <w:pPr>
        <w:pStyle w:val="Listparagraf"/>
        <w:numPr>
          <w:ilvl w:val="0"/>
          <w:numId w:val="203"/>
        </w:numPr>
        <w:spacing w:after="0"/>
        <w:ind w:right="20"/>
        <w:jc w:val="both"/>
        <w:rPr>
          <w:rFonts w:ascii="Arial" w:hAnsi="Arial" w:cs="Arial"/>
          <w:lang w:val="en-GB" w:eastAsia="ro-RO"/>
        </w:rPr>
      </w:pPr>
      <w:r w:rsidRPr="00AF2805">
        <w:rPr>
          <w:rFonts w:ascii="Arial" w:hAnsi="Arial" w:cs="Arial"/>
          <w:lang w:val="en-GB" w:eastAsia="ro-RO"/>
        </w:rPr>
        <w:t>Coridor de mobilitate, alcătuit din unul sau mai multe propuneri/proiecte din PMUD-urile aprobate, considerat strategic la nivelul autorității publice locale care să sprijine transportul public în comun de călători, circulația bicicliștilor și/sau circulația pietonilor;</w:t>
      </w:r>
    </w:p>
    <w:p w14:paraId="78AACF53" w14:textId="77777777" w:rsidR="00AF2805" w:rsidRPr="00AF2805" w:rsidRDefault="00AF2805" w:rsidP="000C6CB8">
      <w:pPr>
        <w:pStyle w:val="Listparagraf"/>
        <w:numPr>
          <w:ilvl w:val="0"/>
          <w:numId w:val="203"/>
        </w:numPr>
        <w:spacing w:after="0"/>
        <w:ind w:right="20"/>
        <w:jc w:val="both"/>
        <w:rPr>
          <w:rFonts w:ascii="Arial" w:hAnsi="Arial" w:cs="Arial"/>
          <w:lang w:val="en-GB" w:eastAsia="ro-RO"/>
        </w:rPr>
      </w:pPr>
      <w:r w:rsidRPr="00AF2805">
        <w:rPr>
          <w:rFonts w:ascii="Arial" w:hAnsi="Arial" w:cs="Arial"/>
          <w:lang w:val="en-GB" w:eastAsia="ro-RO"/>
        </w:rPr>
        <w:t>Dezvoltarea (extindere/modernizare) infrastructurii necesare pentru o utilizare eficientă a transportului public;</w:t>
      </w:r>
    </w:p>
    <w:p w14:paraId="4BE08EE6" w14:textId="77777777" w:rsidR="00AF2805" w:rsidRPr="00AF2805" w:rsidRDefault="00AF2805" w:rsidP="000C6CB8">
      <w:pPr>
        <w:pStyle w:val="Listparagraf"/>
        <w:numPr>
          <w:ilvl w:val="0"/>
          <w:numId w:val="203"/>
        </w:numPr>
        <w:spacing w:after="0"/>
        <w:ind w:right="20"/>
        <w:jc w:val="both"/>
        <w:rPr>
          <w:rFonts w:ascii="Arial" w:hAnsi="Arial" w:cs="Arial"/>
          <w:lang w:val="en-GB" w:eastAsia="ro-RO"/>
        </w:rPr>
      </w:pPr>
      <w:r w:rsidRPr="00AF2805">
        <w:rPr>
          <w:rFonts w:ascii="Arial" w:hAnsi="Arial" w:cs="Arial"/>
          <w:lang w:val="en-GB" w:eastAsia="ro-RO"/>
        </w:rPr>
        <w:t>Construirea/modernizarea/reabilitarea depourilor/autobazelor aferente transportului public local/zonal de călători, inclusiv infrastructură tehnică aferentă</w:t>
      </w:r>
      <w:r>
        <w:rPr>
          <w:rFonts w:ascii="Arial" w:hAnsi="Arial" w:cs="Arial"/>
          <w:lang w:val="en-GB" w:eastAsia="ro-RO"/>
        </w:rPr>
        <w:t>;</w:t>
      </w:r>
    </w:p>
    <w:p w14:paraId="00D6EF31" w14:textId="77777777" w:rsidR="00AF2805" w:rsidRPr="00AF2805" w:rsidRDefault="00AF2805" w:rsidP="000C6CB8">
      <w:pPr>
        <w:pStyle w:val="Listparagraf"/>
        <w:numPr>
          <w:ilvl w:val="0"/>
          <w:numId w:val="203"/>
        </w:numPr>
        <w:spacing w:after="0"/>
        <w:ind w:right="20"/>
        <w:jc w:val="both"/>
        <w:rPr>
          <w:rFonts w:ascii="Arial" w:hAnsi="Arial" w:cs="Arial"/>
          <w:lang w:val="en-GB" w:eastAsia="ro-RO"/>
        </w:rPr>
      </w:pPr>
      <w:r w:rsidRPr="00AF2805">
        <w:rPr>
          <w:rFonts w:ascii="Arial" w:hAnsi="Arial" w:cs="Arial"/>
          <w:lang w:val="en-GB" w:eastAsia="ro-RO"/>
        </w:rPr>
        <w:t>Îmbunătățirea stațiilor de transport public existente, inclusiv realizarea de noi stații și terminale intermodale pentru mijloacele de transport în comun;</w:t>
      </w:r>
    </w:p>
    <w:p w14:paraId="50A2D1EA" w14:textId="77777777" w:rsidR="00AF2805" w:rsidRPr="00AF2805" w:rsidRDefault="00AF2805" w:rsidP="000C6CB8">
      <w:pPr>
        <w:pStyle w:val="Listparagraf"/>
        <w:numPr>
          <w:ilvl w:val="0"/>
          <w:numId w:val="203"/>
        </w:numPr>
        <w:spacing w:after="0"/>
        <w:ind w:right="20"/>
        <w:jc w:val="both"/>
        <w:rPr>
          <w:rFonts w:ascii="Arial" w:hAnsi="Arial" w:cs="Arial"/>
          <w:lang w:val="en-GB" w:eastAsia="ro-RO"/>
        </w:rPr>
      </w:pPr>
      <w:r w:rsidRPr="00AF2805">
        <w:rPr>
          <w:rFonts w:ascii="Arial" w:hAnsi="Arial" w:cs="Arial"/>
          <w:lang w:val="en-GB" w:eastAsia="ro-RO"/>
        </w:rPr>
        <w:t>Infrastructuri pentru combustibili alternativistatii/puncte de încărcare;</w:t>
      </w:r>
    </w:p>
    <w:p w14:paraId="115BD0CF" w14:textId="77777777" w:rsidR="00AF2805" w:rsidRPr="00AF2805" w:rsidRDefault="00AF2805" w:rsidP="000C6CB8">
      <w:pPr>
        <w:pStyle w:val="Listparagraf"/>
        <w:numPr>
          <w:ilvl w:val="0"/>
          <w:numId w:val="203"/>
        </w:numPr>
        <w:spacing w:after="0"/>
        <w:ind w:right="20"/>
        <w:jc w:val="both"/>
        <w:rPr>
          <w:rFonts w:ascii="Arial" w:hAnsi="Arial" w:cs="Arial"/>
          <w:lang w:val="en-GB" w:eastAsia="ro-RO"/>
        </w:rPr>
      </w:pPr>
      <w:r w:rsidRPr="00AF2805">
        <w:rPr>
          <w:rFonts w:ascii="Arial" w:hAnsi="Arial" w:cs="Arial"/>
          <w:lang w:val="en-GB" w:eastAsia="ro-RO"/>
        </w:rPr>
        <w:t>Realizarea de sisteme de tip park and r</w:t>
      </w:r>
      <w:r>
        <w:rPr>
          <w:rFonts w:ascii="Arial" w:hAnsi="Arial" w:cs="Arial"/>
          <w:lang w:val="en-GB" w:eastAsia="ro-RO"/>
        </w:rPr>
        <w:t>i</w:t>
      </w:r>
      <w:r w:rsidRPr="00AF2805">
        <w:rPr>
          <w:rFonts w:ascii="Arial" w:hAnsi="Arial" w:cs="Arial"/>
          <w:lang w:val="en-GB" w:eastAsia="ro-RO"/>
        </w:rPr>
        <w:t>de în afar</w:t>
      </w:r>
      <w:r>
        <w:rPr>
          <w:rFonts w:ascii="Arial" w:hAnsi="Arial" w:cs="Arial"/>
          <w:lang w:val="en-GB" w:eastAsia="ro-RO"/>
        </w:rPr>
        <w:t>a</w:t>
      </w:r>
      <w:r w:rsidRPr="00AF2805">
        <w:rPr>
          <w:rFonts w:ascii="Arial" w:hAnsi="Arial" w:cs="Arial"/>
          <w:lang w:val="en-GB" w:eastAsia="ro-RO"/>
        </w:rPr>
        <w:t xml:space="preserve"> centrelor orașelor;</w:t>
      </w:r>
    </w:p>
    <w:p w14:paraId="0A664921" w14:textId="77777777" w:rsidR="00AF2805" w:rsidRPr="00AF2805" w:rsidRDefault="00AF2805" w:rsidP="000C6CB8">
      <w:pPr>
        <w:pStyle w:val="Listparagraf"/>
        <w:numPr>
          <w:ilvl w:val="0"/>
          <w:numId w:val="203"/>
        </w:numPr>
        <w:spacing w:after="0"/>
        <w:ind w:right="20"/>
        <w:jc w:val="both"/>
        <w:rPr>
          <w:rFonts w:ascii="Arial" w:hAnsi="Arial" w:cs="Arial"/>
          <w:lang w:val="en-GB" w:eastAsia="ro-RO"/>
        </w:rPr>
      </w:pPr>
      <w:r w:rsidRPr="00AF2805">
        <w:rPr>
          <w:rFonts w:ascii="Arial" w:hAnsi="Arial" w:cs="Arial"/>
          <w:lang w:val="en-GB" w:eastAsia="ro-RO"/>
        </w:rPr>
        <w:t>Sprijinirea realizării/modernizării de infrastructuri pentru deplasări nemotorizate: Crearea/modernizarea traseelor pentru pietoni investiții în infrastructură pentru ciclism, sisteme de închiriere biciclete etc</w:t>
      </w:r>
    </w:p>
    <w:p w14:paraId="111025BF" w14:textId="77777777" w:rsidR="00AF2805" w:rsidRPr="00AF2805" w:rsidRDefault="00AF2805" w:rsidP="000C6CB8">
      <w:pPr>
        <w:pStyle w:val="Listparagraf"/>
        <w:numPr>
          <w:ilvl w:val="0"/>
          <w:numId w:val="203"/>
        </w:numPr>
        <w:spacing w:after="0"/>
        <w:ind w:right="20"/>
        <w:jc w:val="both"/>
        <w:rPr>
          <w:rFonts w:ascii="Arial" w:hAnsi="Arial" w:cs="Arial"/>
          <w:lang w:val="en-GB" w:eastAsia="ro-RO"/>
        </w:rPr>
      </w:pPr>
      <w:r w:rsidRPr="00AF2805">
        <w:rPr>
          <w:rFonts w:ascii="Arial" w:hAnsi="Arial" w:cs="Arial"/>
          <w:lang w:val="en-GB" w:eastAsia="ro-RO"/>
        </w:rPr>
        <w:t>Măsuri de sprijin a autorităților și instituțiilor publice în elaborarea/actualizarea PMUD, în operaționalizarea contractelor de delegare a gestiunii serviciului de transport public de călători</w:t>
      </w:r>
    </w:p>
    <w:p w14:paraId="3384D10D" w14:textId="77777777" w:rsidR="00B30F6A" w:rsidRPr="00D54C6C" w:rsidRDefault="00B30F6A" w:rsidP="00AF2805">
      <w:pPr>
        <w:spacing w:after="0" w:line="276" w:lineRule="auto"/>
        <w:ind w:right="20"/>
        <w:jc w:val="both"/>
        <w:rPr>
          <w:rFonts w:ascii="Arial" w:eastAsia="Times New Roman" w:hAnsi="Arial" w:cs="Arial"/>
          <w:lang w:val="en-GB" w:eastAsia="ro-RO"/>
        </w:rPr>
      </w:pPr>
      <w:r w:rsidRPr="00096A56">
        <w:rPr>
          <w:rFonts w:ascii="Arial" w:eastAsia="Times New Roman" w:hAnsi="Arial" w:cs="Arial"/>
          <w:b/>
          <w:bCs/>
          <w:lang w:val="en-GB" w:eastAsia="ro-RO"/>
        </w:rPr>
        <w:t>2</w:t>
      </w:r>
      <w:r w:rsidRPr="00D54C6C">
        <w:rPr>
          <w:rFonts w:ascii="Arial" w:eastAsia="Times New Roman" w:hAnsi="Arial" w:cs="Arial"/>
          <w:lang w:val="en-GB" w:eastAsia="ro-RO"/>
        </w:rPr>
        <w:t>. Digitalizarea transportului urban, prin:</w:t>
      </w:r>
    </w:p>
    <w:p w14:paraId="0954B033" w14:textId="77777777" w:rsidR="00B30F6A" w:rsidRPr="001E6C4C" w:rsidRDefault="00AF2805" w:rsidP="000C6CB8">
      <w:pPr>
        <w:pStyle w:val="Listparagraf"/>
        <w:numPr>
          <w:ilvl w:val="0"/>
          <w:numId w:val="204"/>
        </w:numPr>
        <w:spacing w:after="0"/>
        <w:ind w:right="20"/>
        <w:jc w:val="both"/>
        <w:rPr>
          <w:rFonts w:ascii="Arial" w:hAnsi="Arial" w:cs="Arial"/>
          <w:lang w:val="en-GB" w:eastAsia="ro-RO"/>
        </w:rPr>
      </w:pPr>
      <w:r w:rsidRPr="001E6C4C">
        <w:rPr>
          <w:rFonts w:ascii="Arial" w:hAnsi="Arial" w:cs="Arial"/>
          <w:lang w:val="en-GB" w:eastAsia="ro-RO"/>
        </w:rPr>
        <w:t>M</w:t>
      </w:r>
      <w:r w:rsidR="00D54C6C" w:rsidRPr="001E6C4C">
        <w:rPr>
          <w:rFonts w:ascii="Arial" w:hAnsi="Arial" w:cs="Arial"/>
          <w:lang w:val="en-GB" w:eastAsia="ro-RO"/>
        </w:rPr>
        <w:t>ă</w:t>
      </w:r>
      <w:r w:rsidR="00B30F6A" w:rsidRPr="001E6C4C">
        <w:rPr>
          <w:rFonts w:ascii="Arial" w:hAnsi="Arial" w:cs="Arial"/>
          <w:lang w:val="en-GB" w:eastAsia="ro-RO"/>
        </w:rPr>
        <w:t>suri pentru digitalizarea transportului urban (ex.: sisteme de e-ticketing pentru</w:t>
      </w:r>
      <w:r w:rsidR="00D54C6C" w:rsidRPr="001E6C4C">
        <w:rPr>
          <w:rFonts w:ascii="Arial" w:hAnsi="Arial" w:cs="Arial"/>
          <w:lang w:val="en-GB" w:eastAsia="ro-RO"/>
        </w:rPr>
        <w:t xml:space="preserve"> </w:t>
      </w:r>
      <w:r w:rsidR="00B30F6A" w:rsidRPr="001E6C4C">
        <w:rPr>
          <w:rFonts w:ascii="Arial" w:hAnsi="Arial" w:cs="Arial"/>
          <w:lang w:val="en-GB" w:eastAsia="ro-RO"/>
        </w:rPr>
        <w:t>călători, sistematizarea intersec</w:t>
      </w:r>
      <w:r w:rsidR="00D54C6C" w:rsidRPr="001E6C4C">
        <w:rPr>
          <w:rFonts w:ascii="Arial" w:hAnsi="Arial" w:cs="Arial"/>
          <w:lang w:val="en-GB" w:eastAsia="ro-RO"/>
        </w:rPr>
        <w:t>ț</w:t>
      </w:r>
      <w:r w:rsidR="00B30F6A" w:rsidRPr="001E6C4C">
        <w:rPr>
          <w:rFonts w:ascii="Arial" w:hAnsi="Arial" w:cs="Arial"/>
          <w:lang w:val="en-GB" w:eastAsia="ro-RO"/>
        </w:rPr>
        <w:t>iilor etc.)</w:t>
      </w:r>
    </w:p>
    <w:p w14:paraId="10F84B27" w14:textId="77777777" w:rsidR="00B30F6A" w:rsidRPr="00096A56" w:rsidRDefault="00B30F6A" w:rsidP="000C6CB8">
      <w:pPr>
        <w:pStyle w:val="Listparagraf"/>
        <w:numPr>
          <w:ilvl w:val="0"/>
          <w:numId w:val="204"/>
        </w:numPr>
        <w:spacing w:after="0"/>
        <w:ind w:right="20"/>
        <w:jc w:val="both"/>
        <w:rPr>
          <w:rFonts w:ascii="Arial" w:hAnsi="Arial" w:cs="Arial"/>
          <w:lang w:val="en-GB" w:eastAsia="ro-RO"/>
        </w:rPr>
      </w:pPr>
      <w:r w:rsidRPr="00096A56">
        <w:rPr>
          <w:rFonts w:ascii="Arial" w:hAnsi="Arial" w:cs="Arial"/>
          <w:lang w:val="en-GB" w:eastAsia="ro-RO"/>
        </w:rPr>
        <w:t>Enumerarea tipurilor de ac</w:t>
      </w:r>
      <w:r w:rsidR="00AF2805" w:rsidRPr="00096A56">
        <w:rPr>
          <w:rFonts w:ascii="Arial" w:hAnsi="Arial" w:cs="Arial"/>
          <w:lang w:val="en-GB" w:eastAsia="ro-RO"/>
        </w:rPr>
        <w:t>ț</w:t>
      </w:r>
      <w:r w:rsidRPr="00096A56">
        <w:rPr>
          <w:rFonts w:ascii="Arial" w:hAnsi="Arial" w:cs="Arial"/>
          <w:lang w:val="en-GB" w:eastAsia="ro-RO"/>
        </w:rPr>
        <w:t>iuni vizate nu este exhaustiv</w:t>
      </w:r>
      <w:r w:rsidR="00AF2805" w:rsidRPr="00096A56">
        <w:rPr>
          <w:rFonts w:ascii="Arial" w:hAnsi="Arial" w:cs="Arial"/>
          <w:lang w:val="en-GB" w:eastAsia="ro-RO"/>
        </w:rPr>
        <w:t>ă</w:t>
      </w:r>
      <w:r w:rsidRPr="00096A56">
        <w:rPr>
          <w:rFonts w:ascii="Arial" w:hAnsi="Arial" w:cs="Arial"/>
          <w:lang w:val="en-GB" w:eastAsia="ro-RO"/>
        </w:rPr>
        <w:t xml:space="preserve"> av</w:t>
      </w:r>
      <w:r w:rsidR="00AF2805" w:rsidRPr="00096A56">
        <w:rPr>
          <w:rFonts w:ascii="Arial" w:hAnsi="Arial" w:cs="Arial"/>
          <w:lang w:val="en-GB" w:eastAsia="ro-RO"/>
        </w:rPr>
        <w:t>â</w:t>
      </w:r>
      <w:r w:rsidRPr="00096A56">
        <w:rPr>
          <w:rFonts w:ascii="Arial" w:hAnsi="Arial" w:cs="Arial"/>
          <w:lang w:val="en-GB" w:eastAsia="ro-RO"/>
        </w:rPr>
        <w:t xml:space="preserve">nd </w:t>
      </w:r>
      <w:r w:rsidR="00AF2805" w:rsidRPr="00096A56">
        <w:rPr>
          <w:rFonts w:ascii="Arial" w:hAnsi="Arial" w:cs="Arial"/>
          <w:lang w:val="en-GB" w:eastAsia="ro-RO"/>
        </w:rPr>
        <w:t>î</w:t>
      </w:r>
      <w:r w:rsidRPr="00096A56">
        <w:rPr>
          <w:rFonts w:ascii="Arial" w:hAnsi="Arial" w:cs="Arial"/>
          <w:lang w:val="en-GB" w:eastAsia="ro-RO"/>
        </w:rPr>
        <w:t>n vedere faptul c</w:t>
      </w:r>
      <w:r w:rsidR="00AF2805" w:rsidRPr="00096A56">
        <w:rPr>
          <w:rFonts w:ascii="Arial" w:hAnsi="Arial" w:cs="Arial"/>
          <w:lang w:val="en-GB" w:eastAsia="ro-RO"/>
        </w:rPr>
        <w:t>ă</w:t>
      </w:r>
      <w:r w:rsidRPr="00096A56">
        <w:rPr>
          <w:rFonts w:ascii="Arial" w:hAnsi="Arial" w:cs="Arial"/>
          <w:lang w:val="en-GB" w:eastAsia="ro-RO"/>
        </w:rPr>
        <w:t xml:space="preserve"> acestea vor fi</w:t>
      </w:r>
      <w:r w:rsidR="00096A56" w:rsidRPr="00096A56">
        <w:rPr>
          <w:rFonts w:ascii="Arial" w:hAnsi="Arial" w:cs="Arial"/>
          <w:lang w:val="en-GB" w:eastAsia="ro-RO"/>
        </w:rPr>
        <w:t xml:space="preserve"> </w:t>
      </w:r>
      <w:r w:rsidRPr="00096A56">
        <w:rPr>
          <w:rFonts w:ascii="Arial" w:hAnsi="Arial" w:cs="Arial"/>
          <w:lang w:val="en-GB" w:eastAsia="ro-RO"/>
        </w:rPr>
        <w:t>detaliate prin ghidurile solicitantului.</w:t>
      </w:r>
    </w:p>
    <w:p w14:paraId="2067DA9B" w14:textId="77777777" w:rsidR="001E6C4C" w:rsidRPr="001E6C4C" w:rsidRDefault="00E16FE1" w:rsidP="00730F8D">
      <w:pPr>
        <w:spacing w:after="0"/>
        <w:ind w:right="20"/>
        <w:jc w:val="both"/>
        <w:rPr>
          <w:rFonts w:ascii="Arial" w:hAnsi="Arial" w:cs="Arial"/>
          <w:lang w:val="en-GB" w:eastAsia="ro-RO"/>
        </w:rPr>
      </w:pPr>
      <w:r w:rsidRPr="00096A56">
        <w:rPr>
          <w:rFonts w:ascii="Arial" w:hAnsi="Arial" w:cs="Arial"/>
          <w:b/>
          <w:bCs/>
          <w:lang w:val="en-GB" w:eastAsia="ro-RO"/>
        </w:rPr>
        <w:t>3</w:t>
      </w:r>
      <w:r>
        <w:rPr>
          <w:rFonts w:ascii="Arial" w:hAnsi="Arial" w:cs="Arial"/>
          <w:lang w:val="en-GB" w:eastAsia="ro-RO"/>
        </w:rPr>
        <w:t xml:space="preserve">. </w:t>
      </w:r>
      <w:r w:rsidR="001E6C4C" w:rsidRPr="001E6C4C">
        <w:rPr>
          <w:rFonts w:ascii="Arial" w:hAnsi="Arial" w:cs="Arial"/>
          <w:lang w:val="en-GB" w:eastAsia="ro-RO"/>
        </w:rPr>
        <w:t>Tipuri de actiuni</w:t>
      </w:r>
      <w:r w:rsidR="00883ED6">
        <w:rPr>
          <w:rFonts w:ascii="Arial" w:hAnsi="Arial" w:cs="Arial"/>
          <w:lang w:val="en-GB" w:eastAsia="ro-RO"/>
        </w:rPr>
        <w:t xml:space="preserve"> pentru </w:t>
      </w:r>
      <w:r w:rsidR="00883ED6" w:rsidRPr="00883ED6">
        <w:rPr>
          <w:rFonts w:ascii="Arial" w:hAnsi="Arial" w:cs="Arial"/>
          <w:lang w:val="en-GB" w:eastAsia="ro-RO"/>
        </w:rPr>
        <w:t>dezvolt</w:t>
      </w:r>
      <w:r w:rsidR="00883ED6">
        <w:rPr>
          <w:rFonts w:ascii="Arial" w:hAnsi="Arial" w:cs="Arial"/>
          <w:lang w:val="en-GB" w:eastAsia="ro-RO"/>
        </w:rPr>
        <w:t>area</w:t>
      </w:r>
      <w:r w:rsidR="00883ED6" w:rsidRPr="00883ED6">
        <w:rPr>
          <w:rFonts w:ascii="Arial" w:hAnsi="Arial" w:cs="Arial"/>
          <w:lang w:val="en-GB" w:eastAsia="ro-RO"/>
        </w:rPr>
        <w:t xml:space="preserve"> și amelior</w:t>
      </w:r>
      <w:r w:rsidR="00883ED6">
        <w:rPr>
          <w:rFonts w:ascii="Arial" w:hAnsi="Arial" w:cs="Arial"/>
          <w:lang w:val="en-GB" w:eastAsia="ro-RO"/>
        </w:rPr>
        <w:t>area</w:t>
      </w:r>
      <w:r w:rsidR="00883ED6" w:rsidRPr="00883ED6">
        <w:rPr>
          <w:rFonts w:ascii="Arial" w:hAnsi="Arial" w:cs="Arial"/>
          <w:lang w:val="en-GB" w:eastAsia="ro-RO"/>
        </w:rPr>
        <w:t xml:space="preserve"> unei mobilități naționale, regionale și locale durabile, reziliente la schimbările climatice, inteligente și intermodale, inclusiv îmbunătățirea accesului la TEN-T și a mobilității transfrontaliere</w:t>
      </w:r>
      <w:r w:rsidR="00883ED6">
        <w:rPr>
          <w:rFonts w:ascii="Arial" w:hAnsi="Arial" w:cs="Arial"/>
          <w:lang w:val="en-GB" w:eastAsia="ro-RO"/>
        </w:rPr>
        <w:t>:</w:t>
      </w:r>
      <w:r w:rsidR="00730F8D">
        <w:rPr>
          <w:rFonts w:ascii="Arial" w:hAnsi="Arial" w:cs="Arial"/>
          <w:lang w:val="en-GB" w:eastAsia="ro-RO"/>
        </w:rPr>
        <w:t xml:space="preserve"> </w:t>
      </w:r>
      <w:r w:rsidR="001E6C4C" w:rsidRPr="001E6C4C">
        <w:rPr>
          <w:rFonts w:ascii="Arial" w:hAnsi="Arial" w:cs="Arial"/>
          <w:lang w:val="en-GB" w:eastAsia="ro-RO"/>
        </w:rPr>
        <w:t>Modernizarea si reabilitarea reţelei de drumuri judeţene care asigur</w:t>
      </w:r>
      <w:r w:rsidR="00096A56">
        <w:rPr>
          <w:rFonts w:ascii="Arial" w:hAnsi="Arial" w:cs="Arial"/>
          <w:lang w:val="en-GB" w:eastAsia="ro-RO"/>
        </w:rPr>
        <w:t>ă</w:t>
      </w:r>
      <w:r w:rsidR="001E6C4C" w:rsidRPr="001E6C4C">
        <w:rPr>
          <w:rFonts w:ascii="Arial" w:hAnsi="Arial" w:cs="Arial"/>
          <w:lang w:val="en-GB" w:eastAsia="ro-RO"/>
        </w:rPr>
        <w:t xml:space="preserve"> conectivitatea direct</w:t>
      </w:r>
      <w:r w:rsidR="00096A56">
        <w:rPr>
          <w:rFonts w:ascii="Arial" w:hAnsi="Arial" w:cs="Arial"/>
          <w:lang w:val="en-GB" w:eastAsia="ro-RO"/>
        </w:rPr>
        <w:t>ă</w:t>
      </w:r>
      <w:r w:rsidR="001E6C4C" w:rsidRPr="001E6C4C">
        <w:rPr>
          <w:rFonts w:ascii="Arial" w:hAnsi="Arial" w:cs="Arial"/>
          <w:lang w:val="en-GB" w:eastAsia="ro-RO"/>
        </w:rPr>
        <w:t xml:space="preserve"> sau cu re</w:t>
      </w:r>
      <w:r w:rsidR="00096A56">
        <w:rPr>
          <w:rFonts w:ascii="Arial" w:hAnsi="Arial" w:cs="Arial"/>
          <w:lang w:val="en-GB" w:eastAsia="ro-RO"/>
        </w:rPr>
        <w:t>ț</w:t>
      </w:r>
      <w:r w:rsidR="001E6C4C" w:rsidRPr="001E6C4C">
        <w:rPr>
          <w:rFonts w:ascii="Arial" w:hAnsi="Arial" w:cs="Arial"/>
          <w:lang w:val="en-GB" w:eastAsia="ro-RO"/>
        </w:rPr>
        <w:t>eaua TEN-T, construirea unor noi segmente de drum județean pentru conectarea la autostrăzi sau drumuri expres.</w:t>
      </w:r>
    </w:p>
    <w:p w14:paraId="4B3A3211" w14:textId="77777777" w:rsidR="00730F8D" w:rsidRDefault="001E6C4C" w:rsidP="005A7F3A">
      <w:pPr>
        <w:spacing w:after="0"/>
        <w:ind w:right="20"/>
        <w:jc w:val="both"/>
        <w:rPr>
          <w:rFonts w:ascii="Arial" w:hAnsi="Arial" w:cs="Arial"/>
          <w:lang w:val="en-GB" w:eastAsia="ro-RO"/>
        </w:rPr>
      </w:pPr>
      <w:r w:rsidRPr="001E6C4C">
        <w:rPr>
          <w:rFonts w:ascii="Arial" w:hAnsi="Arial" w:cs="Arial"/>
          <w:lang w:val="en-GB" w:eastAsia="ro-RO"/>
        </w:rPr>
        <w:t>Activitati orientative:</w:t>
      </w:r>
    </w:p>
    <w:p w14:paraId="129F9424" w14:textId="77777777" w:rsidR="001E6C4C" w:rsidRPr="007356A7" w:rsidRDefault="001E6C4C" w:rsidP="000C6CB8">
      <w:pPr>
        <w:pStyle w:val="Listparagraf"/>
        <w:numPr>
          <w:ilvl w:val="0"/>
          <w:numId w:val="205"/>
        </w:numPr>
        <w:spacing w:after="0"/>
        <w:ind w:right="20"/>
        <w:jc w:val="both"/>
        <w:rPr>
          <w:rFonts w:ascii="Arial" w:hAnsi="Arial" w:cs="Arial"/>
          <w:lang w:val="en-GB" w:eastAsia="ro-RO"/>
        </w:rPr>
      </w:pPr>
      <w:r w:rsidRPr="007356A7">
        <w:rPr>
          <w:rFonts w:ascii="Arial" w:hAnsi="Arial" w:cs="Arial"/>
          <w:lang w:val="en-GB" w:eastAsia="ro-RO"/>
        </w:rPr>
        <w:t>Investiții (construire, reabilitare, modernizare, extindere) în reţeaua de drumuri judeţene care asigura conectivitatea directă sau indirectă cu rețeaua TEN-T de bază și extinsă</w:t>
      </w:r>
      <w:r w:rsidR="00730F8D" w:rsidRPr="007356A7">
        <w:rPr>
          <w:rFonts w:ascii="Arial" w:hAnsi="Arial" w:cs="Arial"/>
          <w:lang w:val="en-GB" w:eastAsia="ro-RO"/>
        </w:rPr>
        <w:t>;</w:t>
      </w:r>
    </w:p>
    <w:p w14:paraId="0F02D404" w14:textId="14AC84E5" w:rsidR="001E6C4C" w:rsidRPr="007356A7" w:rsidRDefault="00730F8D" w:rsidP="000C6CB8">
      <w:pPr>
        <w:pStyle w:val="Listparagraf"/>
        <w:numPr>
          <w:ilvl w:val="0"/>
          <w:numId w:val="205"/>
        </w:numPr>
        <w:spacing w:after="0"/>
        <w:ind w:right="20"/>
        <w:jc w:val="both"/>
        <w:rPr>
          <w:rFonts w:ascii="Arial" w:hAnsi="Arial" w:cs="Arial"/>
          <w:lang w:val="en-GB" w:eastAsia="ro-RO"/>
        </w:rPr>
      </w:pPr>
      <w:r w:rsidRPr="007356A7">
        <w:rPr>
          <w:rFonts w:ascii="Arial" w:hAnsi="Arial" w:cs="Arial"/>
          <w:lang w:val="en-GB" w:eastAsia="ro-RO"/>
        </w:rPr>
        <w:t>R</w:t>
      </w:r>
      <w:r w:rsidR="001E6C4C" w:rsidRPr="007356A7">
        <w:rPr>
          <w:rFonts w:ascii="Arial" w:hAnsi="Arial" w:cs="Arial"/>
          <w:lang w:val="en-GB" w:eastAsia="ro-RO"/>
        </w:rPr>
        <w:t>ealizarea de investiții destinate siguranței rutiere pentru pietoni și bicicli</w:t>
      </w:r>
      <w:r w:rsidR="005A7F3A">
        <w:rPr>
          <w:rFonts w:ascii="Arial" w:hAnsi="Arial" w:cs="Arial"/>
          <w:lang w:val="en-GB" w:eastAsia="ro-RO"/>
        </w:rPr>
        <w:t>ș</w:t>
      </w:r>
      <w:r w:rsidR="001E6C4C" w:rsidRPr="007356A7">
        <w:rPr>
          <w:rFonts w:ascii="Arial" w:hAnsi="Arial" w:cs="Arial"/>
          <w:lang w:val="en-GB" w:eastAsia="ro-RO"/>
        </w:rPr>
        <w:t>ti (construire/modernizare trasee pietonale și pentru bicicl</w:t>
      </w:r>
      <w:r w:rsidR="00560508">
        <w:rPr>
          <w:rFonts w:ascii="Arial" w:hAnsi="Arial" w:cs="Arial"/>
          <w:lang w:val="en-GB" w:eastAsia="ro-RO"/>
        </w:rPr>
        <w:t>ete</w:t>
      </w:r>
      <w:r w:rsidR="001E6C4C" w:rsidRPr="007356A7">
        <w:rPr>
          <w:rFonts w:ascii="Arial" w:hAnsi="Arial" w:cs="Arial"/>
          <w:lang w:val="en-GB" w:eastAsia="ro-RO"/>
        </w:rPr>
        <w:t xml:space="preserve"> acolo unde geografia terenului permite acest lucru), inclusiv semnalistica luminoasă verticală pentru treceri de pietoni cu alimentare fotovoltaică, etc</w:t>
      </w:r>
    </w:p>
    <w:p w14:paraId="7A8C53FF" w14:textId="77777777" w:rsidR="001E6C4C" w:rsidRPr="007356A7" w:rsidRDefault="001E6C4C" w:rsidP="000C6CB8">
      <w:pPr>
        <w:pStyle w:val="Listparagraf"/>
        <w:numPr>
          <w:ilvl w:val="0"/>
          <w:numId w:val="205"/>
        </w:numPr>
        <w:spacing w:after="0"/>
        <w:ind w:right="20"/>
        <w:jc w:val="both"/>
        <w:rPr>
          <w:rFonts w:ascii="Arial" w:hAnsi="Arial" w:cs="Arial"/>
          <w:lang w:val="en-GB" w:eastAsia="ro-RO"/>
        </w:rPr>
      </w:pPr>
      <w:r w:rsidRPr="007356A7">
        <w:rPr>
          <w:rFonts w:ascii="Arial" w:hAnsi="Arial" w:cs="Arial"/>
          <w:lang w:val="en-GB" w:eastAsia="ro-RO"/>
        </w:rPr>
        <w:t>Construirea/modernizarea/amplasarea de elemente pentru îmbunătățirea siguranței rutiere, de ex. amplasare de semnalistică verticală și orizontală, limitatoare de viteză, modernizarea trecerilor de pietoni, creare facilități pentru persoane cu mobilitate redusă, pentru nevăzatori sau hipoacuzici, etc</w:t>
      </w:r>
    </w:p>
    <w:p w14:paraId="747F66D4" w14:textId="77777777" w:rsidR="001E6C4C" w:rsidRPr="007356A7" w:rsidRDefault="007356A7" w:rsidP="000C6CB8">
      <w:pPr>
        <w:pStyle w:val="Listparagraf"/>
        <w:numPr>
          <w:ilvl w:val="0"/>
          <w:numId w:val="205"/>
        </w:numPr>
        <w:spacing w:after="0"/>
        <w:ind w:right="20"/>
        <w:jc w:val="both"/>
        <w:rPr>
          <w:rFonts w:ascii="Arial" w:hAnsi="Arial" w:cs="Arial"/>
          <w:lang w:val="en-GB" w:eastAsia="ro-RO"/>
        </w:rPr>
      </w:pPr>
      <w:r w:rsidRPr="007356A7">
        <w:rPr>
          <w:rFonts w:ascii="Arial" w:hAnsi="Arial" w:cs="Arial"/>
          <w:lang w:val="en-GB" w:eastAsia="ro-RO"/>
        </w:rPr>
        <w:lastRenderedPageBreak/>
        <w:t>C</w:t>
      </w:r>
      <w:r w:rsidR="001E6C4C" w:rsidRPr="007356A7">
        <w:rPr>
          <w:rFonts w:ascii="Arial" w:hAnsi="Arial" w:cs="Arial"/>
          <w:lang w:val="en-GB" w:eastAsia="ro-RO"/>
        </w:rPr>
        <w:t>onstruirea/modernizarea de stații și alveole (în cazul în care proiectul vizează un drum județean/traseu deservit de transportul public de călători) pentru transport public pe traseul drumului județean;</w:t>
      </w:r>
    </w:p>
    <w:p w14:paraId="5698C355" w14:textId="77777777" w:rsidR="001E6C4C" w:rsidRDefault="001E6C4C" w:rsidP="001E6C4C">
      <w:pPr>
        <w:spacing w:after="0"/>
        <w:ind w:right="20"/>
        <w:jc w:val="both"/>
        <w:rPr>
          <w:rFonts w:ascii="Arial" w:hAnsi="Arial" w:cs="Arial"/>
          <w:lang w:val="en-GB" w:eastAsia="ro-RO"/>
        </w:rPr>
      </w:pPr>
    </w:p>
    <w:p w14:paraId="3D8A7882" w14:textId="77777777" w:rsidR="001E6C4C" w:rsidRPr="001E6C4C" w:rsidRDefault="001E6C4C" w:rsidP="001E6C4C">
      <w:pPr>
        <w:spacing w:after="0"/>
        <w:ind w:right="20"/>
        <w:jc w:val="both"/>
        <w:rPr>
          <w:rFonts w:ascii="Arial" w:hAnsi="Arial" w:cs="Arial"/>
          <w:lang w:val="en-GB" w:eastAsia="ro-RO"/>
        </w:rPr>
      </w:pPr>
      <w:r w:rsidRPr="001E6C4C">
        <w:rPr>
          <w:rFonts w:ascii="Arial" w:hAnsi="Arial" w:cs="Arial"/>
          <w:lang w:val="en-GB" w:eastAsia="ro-RO"/>
        </w:rPr>
        <w:t>În regiunea Sud-Vest Oltenia, re</w:t>
      </w:r>
      <w:r w:rsidR="005A7F3A">
        <w:rPr>
          <w:rFonts w:ascii="Arial" w:hAnsi="Arial" w:cs="Arial"/>
          <w:lang w:val="en-GB" w:eastAsia="ro-RO"/>
        </w:rPr>
        <w:t>ț</w:t>
      </w:r>
      <w:r w:rsidRPr="001E6C4C">
        <w:rPr>
          <w:rFonts w:ascii="Arial" w:hAnsi="Arial" w:cs="Arial"/>
          <w:lang w:val="en-GB" w:eastAsia="ro-RO"/>
        </w:rPr>
        <w:t>eaua de drumuri publice s-a dezvoltat ca urmare a necesit</w:t>
      </w:r>
      <w:r w:rsidR="005A7F3A">
        <w:rPr>
          <w:rFonts w:ascii="Arial" w:hAnsi="Arial" w:cs="Arial"/>
          <w:lang w:val="en-GB" w:eastAsia="ro-RO"/>
        </w:rPr>
        <w:t>ăț</w:t>
      </w:r>
      <w:r w:rsidRPr="001E6C4C">
        <w:rPr>
          <w:rFonts w:ascii="Arial" w:hAnsi="Arial" w:cs="Arial"/>
          <w:lang w:val="en-GB" w:eastAsia="ro-RO"/>
        </w:rPr>
        <w:t>ii de a oferi leg</w:t>
      </w:r>
      <w:r w:rsidR="005A7F3A">
        <w:rPr>
          <w:rFonts w:ascii="Arial" w:hAnsi="Arial" w:cs="Arial"/>
          <w:lang w:val="en-GB" w:eastAsia="ro-RO"/>
        </w:rPr>
        <w:t>ă</w:t>
      </w:r>
      <w:r w:rsidRPr="001E6C4C">
        <w:rPr>
          <w:rFonts w:ascii="Arial" w:hAnsi="Arial" w:cs="Arial"/>
          <w:lang w:val="en-GB" w:eastAsia="ro-RO"/>
        </w:rPr>
        <w:t xml:space="preserve">turi rutiere </w:t>
      </w:r>
      <w:r w:rsidR="005A7F3A">
        <w:rPr>
          <w:rFonts w:ascii="Arial" w:hAnsi="Arial" w:cs="Arial"/>
          <w:lang w:val="en-GB" w:eastAsia="ro-RO"/>
        </w:rPr>
        <w:t>î</w:t>
      </w:r>
      <w:r w:rsidRPr="001E6C4C">
        <w:rPr>
          <w:rFonts w:ascii="Arial" w:hAnsi="Arial" w:cs="Arial"/>
          <w:lang w:val="en-GB" w:eastAsia="ro-RO"/>
        </w:rPr>
        <w:t>ntre ora</w:t>
      </w:r>
      <w:r w:rsidR="005A7F3A">
        <w:rPr>
          <w:rFonts w:ascii="Arial" w:hAnsi="Arial" w:cs="Arial"/>
          <w:lang w:val="en-GB" w:eastAsia="ro-RO"/>
        </w:rPr>
        <w:t>ș</w:t>
      </w:r>
      <w:r w:rsidRPr="001E6C4C">
        <w:rPr>
          <w:rFonts w:ascii="Arial" w:hAnsi="Arial" w:cs="Arial"/>
          <w:lang w:val="en-GB" w:eastAsia="ro-RO"/>
        </w:rPr>
        <w:t xml:space="preserve">e </w:t>
      </w:r>
      <w:r w:rsidR="005A7F3A">
        <w:rPr>
          <w:rFonts w:ascii="Arial" w:hAnsi="Arial" w:cs="Arial"/>
          <w:lang w:val="en-GB" w:eastAsia="ro-RO"/>
        </w:rPr>
        <w:t>ș</w:t>
      </w:r>
      <w:r w:rsidRPr="001E6C4C">
        <w:rPr>
          <w:rFonts w:ascii="Arial" w:hAnsi="Arial" w:cs="Arial"/>
          <w:lang w:val="en-GB" w:eastAsia="ro-RO"/>
        </w:rPr>
        <w:t>i astfel, noile drumuri au urmat vechile aliniamente. Pentru fluidizarea traficului de tranzit se impune construirea unor variante ocolitoare. Centurile ocolitoare reprezintă o soluție care ajută la decongestionarea traficului greu și de tranzit și la realizarea mobilității urbane durabile la nivelul orașelor din regiune, existența acestora reprezentând un aspect important în creșterea accesibilității și mobilității.</w:t>
      </w:r>
      <w:r w:rsidR="00E44D1F">
        <w:rPr>
          <w:rFonts w:ascii="Arial" w:hAnsi="Arial" w:cs="Arial"/>
          <w:lang w:val="en-GB" w:eastAsia="ro-RO"/>
        </w:rPr>
        <w:t xml:space="preserve"> </w:t>
      </w:r>
      <w:r w:rsidRPr="001E6C4C">
        <w:rPr>
          <w:rFonts w:ascii="Arial" w:hAnsi="Arial" w:cs="Arial"/>
          <w:lang w:val="en-GB" w:eastAsia="ro-RO"/>
        </w:rPr>
        <w:t>La nivel regional doar municipiul Craiova are centură ocolitoare la nivel de drum expres, restul orașelor mari având străzi limitrofe care ajută la decongestionarea traficului de tranzit. În orasele mai mici ( ex. Filiași, Balș, Horezu) fără opțiuni de ocolire, traficul de tranzit în interiorul localităților generează frecvent gâtuiri și congestii, durate de deplasare crescute, fiind și un factor de poluare fonică și cu noxe.</w:t>
      </w:r>
    </w:p>
    <w:p w14:paraId="043DEAE6" w14:textId="77777777" w:rsidR="001E6C4C" w:rsidRDefault="00464393" w:rsidP="001E6C4C">
      <w:pPr>
        <w:spacing w:after="0"/>
        <w:ind w:right="20"/>
        <w:jc w:val="both"/>
        <w:rPr>
          <w:rFonts w:ascii="Arial" w:hAnsi="Arial" w:cs="Arial"/>
          <w:lang w:val="en-GB" w:eastAsia="ro-RO"/>
        </w:rPr>
      </w:pPr>
      <w:r>
        <w:rPr>
          <w:rFonts w:ascii="Arial" w:hAnsi="Arial" w:cs="Arial"/>
          <w:lang w:val="en-GB" w:eastAsia="ro-RO"/>
        </w:rPr>
        <w:t>Î</w:t>
      </w:r>
      <w:r w:rsidR="001E6C4C" w:rsidRPr="001E6C4C">
        <w:rPr>
          <w:rFonts w:ascii="Arial" w:hAnsi="Arial" w:cs="Arial"/>
          <w:lang w:val="en-GB" w:eastAsia="ro-RO"/>
        </w:rPr>
        <w:t>n regiunea Sud-Vest Oltenia nu exist</w:t>
      </w:r>
      <w:r>
        <w:rPr>
          <w:rFonts w:ascii="Arial" w:hAnsi="Arial" w:cs="Arial"/>
          <w:lang w:val="en-GB" w:eastAsia="ro-RO"/>
        </w:rPr>
        <w:t>ă</w:t>
      </w:r>
      <w:r w:rsidR="001E6C4C" w:rsidRPr="001E6C4C">
        <w:rPr>
          <w:rFonts w:ascii="Arial" w:hAnsi="Arial" w:cs="Arial"/>
          <w:lang w:val="en-GB" w:eastAsia="ro-RO"/>
        </w:rPr>
        <w:t xml:space="preserve"> nicio autostrad</w:t>
      </w:r>
      <w:r>
        <w:rPr>
          <w:rFonts w:ascii="Arial" w:hAnsi="Arial" w:cs="Arial"/>
          <w:lang w:val="en-GB" w:eastAsia="ro-RO"/>
        </w:rPr>
        <w:t>ă</w:t>
      </w:r>
      <w:r w:rsidR="001E6C4C" w:rsidRPr="001E6C4C">
        <w:rPr>
          <w:rFonts w:ascii="Arial" w:hAnsi="Arial" w:cs="Arial"/>
          <w:lang w:val="en-GB" w:eastAsia="ro-RO"/>
        </w:rPr>
        <w:t xml:space="preserve"> sau drumuri expres între orașele din regiune, c</w:t>
      </w:r>
      <w:r>
        <w:rPr>
          <w:rFonts w:ascii="Arial" w:hAnsi="Arial" w:cs="Arial"/>
          <w:lang w:val="en-GB" w:eastAsia="ro-RO"/>
        </w:rPr>
        <w:t>e</w:t>
      </w:r>
      <w:r w:rsidR="001E6C4C" w:rsidRPr="001E6C4C">
        <w:rPr>
          <w:rFonts w:ascii="Arial" w:hAnsi="Arial" w:cs="Arial"/>
          <w:lang w:val="en-GB" w:eastAsia="ro-RO"/>
        </w:rPr>
        <w:t>ea ce face ca traficul interurban s</w:t>
      </w:r>
      <w:r>
        <w:rPr>
          <w:rFonts w:ascii="Arial" w:hAnsi="Arial" w:cs="Arial"/>
          <w:lang w:val="en-GB" w:eastAsia="ro-RO"/>
        </w:rPr>
        <w:t>ă</w:t>
      </w:r>
      <w:r w:rsidR="001E6C4C" w:rsidRPr="001E6C4C">
        <w:rPr>
          <w:rFonts w:ascii="Arial" w:hAnsi="Arial" w:cs="Arial"/>
          <w:lang w:val="en-GB" w:eastAsia="ro-RO"/>
        </w:rPr>
        <w:t xml:space="preserve"> traverseze de multe ori interiorul localit</w:t>
      </w:r>
      <w:r>
        <w:rPr>
          <w:rFonts w:ascii="Arial" w:hAnsi="Arial" w:cs="Arial"/>
          <w:lang w:val="en-GB" w:eastAsia="ro-RO"/>
        </w:rPr>
        <w:t>ăț</w:t>
      </w:r>
      <w:r w:rsidR="001E6C4C" w:rsidRPr="001E6C4C">
        <w:rPr>
          <w:rFonts w:ascii="Arial" w:hAnsi="Arial" w:cs="Arial"/>
          <w:lang w:val="en-GB" w:eastAsia="ro-RO"/>
        </w:rPr>
        <w:t>ilor. Acest aspect suprasolicită infrastructura de transport local, creeaz</w:t>
      </w:r>
      <w:r>
        <w:rPr>
          <w:rFonts w:ascii="Arial" w:hAnsi="Arial" w:cs="Arial"/>
          <w:lang w:val="en-GB" w:eastAsia="ro-RO"/>
        </w:rPr>
        <w:t>ă</w:t>
      </w:r>
      <w:r w:rsidR="001E6C4C" w:rsidRPr="001E6C4C">
        <w:rPr>
          <w:rFonts w:ascii="Arial" w:hAnsi="Arial" w:cs="Arial"/>
          <w:lang w:val="en-GB" w:eastAsia="ro-RO"/>
        </w:rPr>
        <w:t xml:space="preserve"> blocaje și afectează într-un mod negativ calitatea aerului și siguranța rutieră. Tot din această cauză este îngreunată realizarea unor proiecte de mobilitate urbană destinate promovării traficului pietonal sau modurilor alternative de transport.</w:t>
      </w:r>
      <w:r w:rsidR="00CA22A1">
        <w:rPr>
          <w:rFonts w:ascii="Arial" w:hAnsi="Arial" w:cs="Arial"/>
          <w:lang w:val="en-GB" w:eastAsia="ro-RO"/>
        </w:rPr>
        <w:t xml:space="preserve"> </w:t>
      </w:r>
      <w:r w:rsidR="001E6C4C" w:rsidRPr="001E6C4C">
        <w:rPr>
          <w:rFonts w:ascii="Arial" w:hAnsi="Arial" w:cs="Arial"/>
          <w:lang w:val="en-GB" w:eastAsia="ro-RO"/>
        </w:rPr>
        <w:t>Acțiunile de descongestionare a traficului în zonele urbane aglomerate, vor avea în vedere investiții destinate eliminării blocajelor în trafic, modernizării/ reabilitării infrastructurii rutiere urbane prin extinderea coridoarelor urbane de transport, îmbunătățirea legăturilor cu zonele periurbane și periferice a orașelor și descongestionarea drumurilor publice, îmbunătățirea sistemelor și marcajelor de semnalizare și siguranță rutieră care pot furniza informaţii importante pentru îmbunătăţirea siguranţei rutiere și creșterea nivelului de siguranță.</w:t>
      </w:r>
    </w:p>
    <w:p w14:paraId="56691A99" w14:textId="77777777" w:rsidR="001E6C4C" w:rsidRPr="001E6C4C" w:rsidRDefault="001E6C4C" w:rsidP="00F434B2">
      <w:pPr>
        <w:spacing w:after="0"/>
        <w:ind w:right="20" w:firstLine="720"/>
        <w:jc w:val="both"/>
        <w:rPr>
          <w:rFonts w:ascii="Arial" w:hAnsi="Arial" w:cs="Arial"/>
          <w:lang w:val="en-GB" w:eastAsia="ro-RO"/>
        </w:rPr>
      </w:pPr>
      <w:r w:rsidRPr="001E6C4C">
        <w:rPr>
          <w:rFonts w:ascii="Arial" w:hAnsi="Arial" w:cs="Arial"/>
          <w:lang w:val="en-GB" w:eastAsia="ro-RO"/>
        </w:rPr>
        <w:t>Activitatile vizate sunt:</w:t>
      </w:r>
    </w:p>
    <w:p w14:paraId="192E3D65" w14:textId="77777777" w:rsidR="001E6C4C" w:rsidRPr="001E6C4C" w:rsidRDefault="001E6C4C" w:rsidP="001E6C4C">
      <w:pPr>
        <w:spacing w:after="0"/>
        <w:ind w:right="20"/>
        <w:jc w:val="both"/>
        <w:rPr>
          <w:rFonts w:ascii="Arial" w:hAnsi="Arial" w:cs="Arial"/>
          <w:lang w:val="en-GB" w:eastAsia="ro-RO"/>
        </w:rPr>
      </w:pPr>
      <w:r w:rsidRPr="001E6C4C">
        <w:rPr>
          <w:rFonts w:ascii="Arial" w:hAnsi="Arial" w:cs="Arial"/>
          <w:lang w:val="en-GB" w:eastAsia="ro-RO"/>
        </w:rPr>
        <w:t>- investitii pentru modernizarea/reabilitarea infrastructurii rutiere urbane;</w:t>
      </w:r>
    </w:p>
    <w:p w14:paraId="1DF60F0E" w14:textId="77777777" w:rsidR="001E6C4C" w:rsidRPr="001E6C4C" w:rsidRDefault="001E6C4C" w:rsidP="001E6C4C">
      <w:pPr>
        <w:spacing w:after="0"/>
        <w:ind w:right="20"/>
        <w:jc w:val="both"/>
        <w:rPr>
          <w:rFonts w:ascii="Arial" w:hAnsi="Arial" w:cs="Arial"/>
          <w:lang w:val="en-GB" w:eastAsia="ro-RO"/>
        </w:rPr>
      </w:pPr>
      <w:r w:rsidRPr="001E6C4C">
        <w:rPr>
          <w:rFonts w:ascii="Arial" w:hAnsi="Arial" w:cs="Arial"/>
          <w:lang w:val="en-GB" w:eastAsia="ro-RO"/>
        </w:rPr>
        <w:t>- crearea/modernizarea/reabilitarea arterelor de legatur</w:t>
      </w:r>
      <w:r w:rsidR="00CA22A1">
        <w:rPr>
          <w:rFonts w:ascii="Arial" w:hAnsi="Arial" w:cs="Arial"/>
          <w:lang w:val="en-GB" w:eastAsia="ro-RO"/>
        </w:rPr>
        <w:t>ă</w:t>
      </w:r>
      <w:r w:rsidRPr="001E6C4C">
        <w:rPr>
          <w:rFonts w:ascii="Arial" w:hAnsi="Arial" w:cs="Arial"/>
          <w:lang w:val="en-GB" w:eastAsia="ro-RO"/>
        </w:rPr>
        <w:t>;</w:t>
      </w:r>
    </w:p>
    <w:p w14:paraId="03AC4AE1" w14:textId="77777777" w:rsidR="001E6C4C" w:rsidRPr="001E6C4C" w:rsidRDefault="001E6C4C" w:rsidP="001E6C4C">
      <w:pPr>
        <w:spacing w:after="0"/>
        <w:ind w:right="20"/>
        <w:jc w:val="both"/>
        <w:rPr>
          <w:rFonts w:ascii="Arial" w:hAnsi="Arial" w:cs="Arial"/>
          <w:lang w:val="en-GB" w:eastAsia="ro-RO"/>
        </w:rPr>
      </w:pPr>
      <w:r w:rsidRPr="001E6C4C">
        <w:rPr>
          <w:rFonts w:ascii="Arial" w:hAnsi="Arial" w:cs="Arial"/>
          <w:lang w:val="en-GB" w:eastAsia="ro-RO"/>
        </w:rPr>
        <w:t>- îmbunătățirea sistemelor și marcajelor de semnalizare și siguranță rutieră pentru creșterea nivelului de siguranță și eficiență în circulaţie</w:t>
      </w:r>
    </w:p>
    <w:p w14:paraId="03C15576" w14:textId="77777777" w:rsidR="001E6C4C" w:rsidRPr="001E6C4C" w:rsidRDefault="001E6C4C" w:rsidP="001E6C4C">
      <w:pPr>
        <w:spacing w:after="0"/>
        <w:ind w:right="20"/>
        <w:jc w:val="both"/>
        <w:rPr>
          <w:rFonts w:ascii="Arial" w:hAnsi="Arial" w:cs="Arial"/>
          <w:lang w:val="en-GB" w:eastAsia="ro-RO"/>
        </w:rPr>
      </w:pPr>
      <w:r w:rsidRPr="001E6C4C">
        <w:rPr>
          <w:rFonts w:ascii="Arial" w:hAnsi="Arial" w:cs="Arial"/>
          <w:lang w:val="en-GB" w:eastAsia="ro-RO"/>
        </w:rPr>
        <w:t>- construirea/modernizarea/reabilitarea sensurilor giratorii, a podurilor, pasarelelor și pasajelor pietonale supra şi subterane și a stațiilor pentru transport public pe traseul infrastructurii urbane /arterelor de legatur</w:t>
      </w:r>
      <w:r w:rsidR="00CA22A1">
        <w:rPr>
          <w:rFonts w:ascii="Arial" w:hAnsi="Arial" w:cs="Arial"/>
          <w:lang w:val="en-GB" w:eastAsia="ro-RO"/>
        </w:rPr>
        <w:t>ă</w:t>
      </w:r>
    </w:p>
    <w:p w14:paraId="2AF83A6E" w14:textId="77777777" w:rsidR="001E6C4C" w:rsidRDefault="001E6C4C" w:rsidP="001E6C4C">
      <w:pPr>
        <w:spacing w:after="0"/>
        <w:ind w:right="20"/>
        <w:jc w:val="both"/>
        <w:rPr>
          <w:rFonts w:ascii="Arial" w:hAnsi="Arial" w:cs="Arial"/>
          <w:lang w:val="en-GB" w:eastAsia="ro-RO"/>
        </w:rPr>
      </w:pPr>
      <w:r w:rsidRPr="001E6C4C">
        <w:rPr>
          <w:rFonts w:ascii="Arial" w:hAnsi="Arial" w:cs="Arial"/>
          <w:lang w:val="en-GB" w:eastAsia="ro-RO"/>
        </w:rPr>
        <w:t>- crearea/modernizare/reabilitarea de by-pass-uri, bretele în arealele urbane</w:t>
      </w:r>
    </w:p>
    <w:p w14:paraId="0FE64809" w14:textId="77777777" w:rsidR="00270CB7" w:rsidRPr="00270CB7" w:rsidRDefault="00270CB7" w:rsidP="00270CB7">
      <w:pPr>
        <w:spacing w:after="0"/>
        <w:ind w:right="20"/>
        <w:jc w:val="both"/>
        <w:rPr>
          <w:rFonts w:ascii="Arial" w:hAnsi="Arial" w:cs="Arial"/>
          <w:lang w:val="en-GB" w:eastAsia="ro-RO"/>
        </w:rPr>
      </w:pPr>
      <w:r w:rsidRPr="00270CB7">
        <w:rPr>
          <w:rFonts w:ascii="Arial" w:hAnsi="Arial" w:cs="Arial"/>
          <w:lang w:val="en-GB" w:eastAsia="ro-RO"/>
        </w:rPr>
        <w:t>Investi</w:t>
      </w:r>
      <w:r w:rsidR="00CA22A1">
        <w:rPr>
          <w:rFonts w:ascii="Arial" w:hAnsi="Arial" w:cs="Arial"/>
          <w:lang w:val="en-GB" w:eastAsia="ro-RO"/>
        </w:rPr>
        <w:t>ț</w:t>
      </w:r>
      <w:r w:rsidRPr="00270CB7">
        <w:rPr>
          <w:rFonts w:ascii="Arial" w:hAnsi="Arial" w:cs="Arial"/>
          <w:lang w:val="en-GB" w:eastAsia="ro-RO"/>
        </w:rPr>
        <w:t>iile privind modernizarea drumurilor jude</w:t>
      </w:r>
      <w:r w:rsidR="00CA22A1">
        <w:rPr>
          <w:rFonts w:ascii="Arial" w:hAnsi="Arial" w:cs="Arial"/>
          <w:lang w:val="en-GB" w:eastAsia="ro-RO"/>
        </w:rPr>
        <w:t>ț</w:t>
      </w:r>
      <w:r w:rsidRPr="00270CB7">
        <w:rPr>
          <w:rFonts w:ascii="Arial" w:hAnsi="Arial" w:cs="Arial"/>
          <w:lang w:val="en-GB" w:eastAsia="ro-RO"/>
        </w:rPr>
        <w:t>ene se vor realiza cu prec</w:t>
      </w:r>
      <w:r w:rsidR="00CA22A1">
        <w:rPr>
          <w:rFonts w:ascii="Arial" w:hAnsi="Arial" w:cs="Arial"/>
          <w:lang w:val="en-GB" w:eastAsia="ro-RO"/>
        </w:rPr>
        <w:t>ă</w:t>
      </w:r>
      <w:r w:rsidRPr="00270CB7">
        <w:rPr>
          <w:rFonts w:ascii="Arial" w:hAnsi="Arial" w:cs="Arial"/>
          <w:lang w:val="en-GB" w:eastAsia="ro-RO"/>
        </w:rPr>
        <w:t xml:space="preserve">dere </w:t>
      </w:r>
      <w:r w:rsidR="00CA22A1">
        <w:rPr>
          <w:rFonts w:ascii="Arial" w:hAnsi="Arial" w:cs="Arial"/>
          <w:lang w:val="en-GB" w:eastAsia="ro-RO"/>
        </w:rPr>
        <w:t>î</w:t>
      </w:r>
      <w:r w:rsidRPr="00270CB7">
        <w:rPr>
          <w:rFonts w:ascii="Arial" w:hAnsi="Arial" w:cs="Arial"/>
          <w:lang w:val="en-GB" w:eastAsia="ro-RO"/>
        </w:rPr>
        <w:t xml:space="preserve">n mediul rural dar pot fi incluse </w:t>
      </w:r>
      <w:r w:rsidR="00CA22A1">
        <w:rPr>
          <w:rFonts w:ascii="Arial" w:hAnsi="Arial" w:cs="Arial"/>
          <w:lang w:val="en-GB" w:eastAsia="ro-RO"/>
        </w:rPr>
        <w:t>ș</w:t>
      </w:r>
      <w:r w:rsidRPr="00270CB7">
        <w:rPr>
          <w:rFonts w:ascii="Arial" w:hAnsi="Arial" w:cs="Arial"/>
          <w:lang w:val="en-GB" w:eastAsia="ro-RO"/>
        </w:rPr>
        <w:t xml:space="preserve">i zone urbane </w:t>
      </w:r>
      <w:r w:rsidR="00CA22A1">
        <w:rPr>
          <w:rFonts w:ascii="Arial" w:hAnsi="Arial" w:cs="Arial"/>
          <w:lang w:val="en-GB" w:eastAsia="ro-RO"/>
        </w:rPr>
        <w:t>î</w:t>
      </w:r>
      <w:r w:rsidRPr="00270CB7">
        <w:rPr>
          <w:rFonts w:ascii="Arial" w:hAnsi="Arial" w:cs="Arial"/>
          <w:lang w:val="en-GB" w:eastAsia="ro-RO"/>
        </w:rPr>
        <w:t>n func</w:t>
      </w:r>
      <w:r w:rsidR="00CA22A1">
        <w:rPr>
          <w:rFonts w:ascii="Arial" w:hAnsi="Arial" w:cs="Arial"/>
          <w:lang w:val="en-GB" w:eastAsia="ro-RO"/>
        </w:rPr>
        <w:t>ț</w:t>
      </w:r>
      <w:r w:rsidRPr="00270CB7">
        <w:rPr>
          <w:rFonts w:ascii="Arial" w:hAnsi="Arial" w:cs="Arial"/>
          <w:lang w:val="en-GB" w:eastAsia="ro-RO"/>
        </w:rPr>
        <w:t>ie de traseul tronsonului de drum asupra c</w:t>
      </w:r>
      <w:r w:rsidR="00CA22A1">
        <w:rPr>
          <w:rFonts w:ascii="Arial" w:hAnsi="Arial" w:cs="Arial"/>
          <w:lang w:val="en-GB" w:eastAsia="ro-RO"/>
        </w:rPr>
        <w:t>ă</w:t>
      </w:r>
      <w:r w:rsidRPr="00270CB7">
        <w:rPr>
          <w:rFonts w:ascii="Arial" w:hAnsi="Arial" w:cs="Arial"/>
          <w:lang w:val="en-GB" w:eastAsia="ro-RO"/>
        </w:rPr>
        <w:t>ruia se intervine.</w:t>
      </w:r>
    </w:p>
    <w:p w14:paraId="10662BFB" w14:textId="77777777" w:rsidR="00270CB7" w:rsidRPr="00270CB7" w:rsidRDefault="00270CB7" w:rsidP="00270CB7">
      <w:pPr>
        <w:spacing w:after="0"/>
        <w:ind w:right="20"/>
        <w:jc w:val="both"/>
        <w:rPr>
          <w:rFonts w:ascii="Arial" w:hAnsi="Arial" w:cs="Arial"/>
          <w:lang w:val="en-GB" w:eastAsia="ro-RO"/>
        </w:rPr>
      </w:pPr>
      <w:r w:rsidRPr="00270CB7">
        <w:rPr>
          <w:rFonts w:ascii="Arial" w:hAnsi="Arial" w:cs="Arial"/>
          <w:lang w:val="en-GB" w:eastAsia="ro-RO"/>
        </w:rPr>
        <w:t>Solu</w:t>
      </w:r>
      <w:r w:rsidR="00CA22A1">
        <w:rPr>
          <w:rFonts w:ascii="Arial" w:hAnsi="Arial" w:cs="Arial"/>
          <w:lang w:val="en-GB" w:eastAsia="ro-RO"/>
        </w:rPr>
        <w:t>ț</w:t>
      </w:r>
      <w:r w:rsidRPr="00270CB7">
        <w:rPr>
          <w:rFonts w:ascii="Arial" w:hAnsi="Arial" w:cs="Arial"/>
          <w:lang w:val="en-GB" w:eastAsia="ro-RO"/>
        </w:rPr>
        <w:t xml:space="preserve">iile de decongestionare a traficului vor fi implementate </w:t>
      </w:r>
      <w:r w:rsidR="00CA22A1">
        <w:rPr>
          <w:rFonts w:ascii="Arial" w:hAnsi="Arial" w:cs="Arial"/>
          <w:lang w:val="en-GB" w:eastAsia="ro-RO"/>
        </w:rPr>
        <w:t>î</w:t>
      </w:r>
      <w:r w:rsidRPr="00270CB7">
        <w:rPr>
          <w:rFonts w:ascii="Arial" w:hAnsi="Arial" w:cs="Arial"/>
          <w:lang w:val="en-GB" w:eastAsia="ro-RO"/>
        </w:rPr>
        <w:t>n mediul urban.</w:t>
      </w:r>
    </w:p>
    <w:p w14:paraId="3AB20431" w14:textId="77777777" w:rsidR="001E6C4C" w:rsidRDefault="00270CB7" w:rsidP="00270CB7">
      <w:pPr>
        <w:spacing w:after="0"/>
        <w:ind w:right="20"/>
        <w:jc w:val="both"/>
        <w:rPr>
          <w:rFonts w:ascii="Arial" w:hAnsi="Arial" w:cs="Arial"/>
          <w:highlight w:val="yellow"/>
          <w:lang w:val="en-GB" w:eastAsia="ro-RO"/>
        </w:rPr>
      </w:pPr>
      <w:r w:rsidRPr="00270CB7">
        <w:rPr>
          <w:rFonts w:ascii="Arial" w:hAnsi="Arial" w:cs="Arial"/>
          <w:lang w:val="en-GB" w:eastAsia="ro-RO"/>
        </w:rPr>
        <w:t>Investi</w:t>
      </w:r>
      <w:r w:rsidR="00CA22A1">
        <w:rPr>
          <w:rFonts w:ascii="Arial" w:hAnsi="Arial" w:cs="Arial"/>
          <w:lang w:val="en-GB" w:eastAsia="ro-RO"/>
        </w:rPr>
        <w:t>ț</w:t>
      </w:r>
      <w:r w:rsidRPr="00270CB7">
        <w:rPr>
          <w:rFonts w:ascii="Arial" w:hAnsi="Arial" w:cs="Arial"/>
          <w:lang w:val="en-GB" w:eastAsia="ro-RO"/>
        </w:rPr>
        <w:t>iile vor fi finan</w:t>
      </w:r>
      <w:r w:rsidR="00CA22A1">
        <w:rPr>
          <w:rFonts w:ascii="Arial" w:hAnsi="Arial" w:cs="Arial"/>
          <w:lang w:val="en-GB" w:eastAsia="ro-RO"/>
        </w:rPr>
        <w:t>ț</w:t>
      </w:r>
      <w:r w:rsidRPr="00270CB7">
        <w:rPr>
          <w:rFonts w:ascii="Arial" w:hAnsi="Arial" w:cs="Arial"/>
          <w:lang w:val="en-GB" w:eastAsia="ro-RO"/>
        </w:rPr>
        <w:t xml:space="preserve">ate </w:t>
      </w:r>
      <w:r w:rsidR="00CA22A1">
        <w:rPr>
          <w:rFonts w:ascii="Arial" w:hAnsi="Arial" w:cs="Arial"/>
          <w:lang w:val="en-GB" w:eastAsia="ro-RO"/>
        </w:rPr>
        <w:t>î</w:t>
      </w:r>
      <w:r w:rsidRPr="00270CB7">
        <w:rPr>
          <w:rFonts w:ascii="Arial" w:hAnsi="Arial" w:cs="Arial"/>
          <w:lang w:val="en-GB" w:eastAsia="ro-RO"/>
        </w:rPr>
        <w:t>n baza Strategiilor de Dezvoltare (pentru UAT Jude</w:t>
      </w:r>
      <w:r w:rsidR="00CA22A1">
        <w:rPr>
          <w:rFonts w:ascii="Arial" w:hAnsi="Arial" w:cs="Arial"/>
          <w:lang w:val="en-GB" w:eastAsia="ro-RO"/>
        </w:rPr>
        <w:t>ț</w:t>
      </w:r>
      <w:r w:rsidRPr="00270CB7">
        <w:rPr>
          <w:rFonts w:ascii="Arial" w:hAnsi="Arial" w:cs="Arial"/>
          <w:lang w:val="en-GB" w:eastAsia="ro-RO"/>
        </w:rPr>
        <w:t xml:space="preserve">) sau PDR </w:t>
      </w:r>
      <w:r w:rsidR="00CA22A1">
        <w:rPr>
          <w:rFonts w:ascii="Arial" w:hAnsi="Arial" w:cs="Arial"/>
          <w:lang w:val="en-GB" w:eastAsia="ro-RO"/>
        </w:rPr>
        <w:t>ș</w:t>
      </w:r>
      <w:r w:rsidRPr="00270CB7">
        <w:rPr>
          <w:rFonts w:ascii="Arial" w:hAnsi="Arial" w:cs="Arial"/>
          <w:lang w:val="en-GB" w:eastAsia="ro-RO"/>
        </w:rPr>
        <w:t xml:space="preserve">i </w:t>
      </w:r>
      <w:r w:rsidR="00CA22A1">
        <w:rPr>
          <w:rFonts w:ascii="Arial" w:hAnsi="Arial" w:cs="Arial"/>
          <w:lang w:val="en-GB" w:eastAsia="ro-RO"/>
        </w:rPr>
        <w:t>î</w:t>
      </w:r>
      <w:r w:rsidRPr="00270CB7">
        <w:rPr>
          <w:rFonts w:ascii="Arial" w:hAnsi="Arial" w:cs="Arial"/>
          <w:lang w:val="en-GB" w:eastAsia="ro-RO"/>
        </w:rPr>
        <w:t xml:space="preserve">n baza PMUD pentru UAT municipii </w:t>
      </w:r>
      <w:r w:rsidR="00CA22A1">
        <w:rPr>
          <w:rFonts w:ascii="Arial" w:hAnsi="Arial" w:cs="Arial"/>
          <w:lang w:val="en-GB" w:eastAsia="ro-RO"/>
        </w:rPr>
        <w:t>ș</w:t>
      </w:r>
      <w:r w:rsidRPr="00270CB7">
        <w:rPr>
          <w:rFonts w:ascii="Arial" w:hAnsi="Arial" w:cs="Arial"/>
          <w:lang w:val="en-GB" w:eastAsia="ro-RO"/>
        </w:rPr>
        <w:t>i ora</w:t>
      </w:r>
      <w:r w:rsidR="00CA22A1">
        <w:rPr>
          <w:rFonts w:ascii="Arial" w:hAnsi="Arial" w:cs="Arial"/>
          <w:lang w:val="en-GB" w:eastAsia="ro-RO"/>
        </w:rPr>
        <w:t>ș</w:t>
      </w:r>
      <w:r w:rsidRPr="00270CB7">
        <w:rPr>
          <w:rFonts w:ascii="Arial" w:hAnsi="Arial" w:cs="Arial"/>
          <w:lang w:val="en-GB" w:eastAsia="ro-RO"/>
        </w:rPr>
        <w:t>e.</w:t>
      </w:r>
    </w:p>
    <w:p w14:paraId="5A5794A1" w14:textId="77777777" w:rsidR="00270CB7" w:rsidRDefault="00270CB7" w:rsidP="001E6C4C">
      <w:pPr>
        <w:spacing w:after="0"/>
        <w:ind w:right="20"/>
        <w:jc w:val="both"/>
        <w:rPr>
          <w:rFonts w:ascii="Arial" w:hAnsi="Arial" w:cs="Arial"/>
          <w:highlight w:val="yellow"/>
          <w:lang w:val="en-GB" w:eastAsia="ro-RO"/>
        </w:rPr>
      </w:pPr>
    </w:p>
    <w:p w14:paraId="6CEDD39B" w14:textId="77777777" w:rsidR="00F434B2" w:rsidRDefault="00F434B2" w:rsidP="00F434B2">
      <w:pPr>
        <w:spacing w:after="0"/>
        <w:ind w:right="20"/>
        <w:jc w:val="both"/>
        <w:rPr>
          <w:rFonts w:ascii="Arial" w:hAnsi="Arial" w:cs="Arial"/>
          <w:lang w:val="en-GB" w:eastAsia="ro-RO"/>
        </w:rPr>
      </w:pPr>
      <w:r>
        <w:rPr>
          <w:rFonts w:ascii="Arial" w:hAnsi="Arial" w:cs="Arial"/>
          <w:b/>
          <w:bCs/>
          <w:lang w:val="en-GB" w:eastAsia="ro-RO"/>
        </w:rPr>
        <w:t xml:space="preserve">4. </w:t>
      </w:r>
      <w:r>
        <w:rPr>
          <w:rFonts w:ascii="Arial" w:hAnsi="Arial" w:cs="Arial"/>
          <w:lang w:val="en-GB" w:eastAsia="ro-RO"/>
        </w:rPr>
        <w:t>F</w:t>
      </w:r>
      <w:r w:rsidRPr="00F434B2">
        <w:rPr>
          <w:rFonts w:ascii="Arial" w:hAnsi="Arial" w:cs="Arial"/>
          <w:lang w:val="en-GB" w:eastAsia="ro-RO"/>
        </w:rPr>
        <w:t>avoriz</w:t>
      </w:r>
      <w:r>
        <w:rPr>
          <w:rFonts w:ascii="Arial" w:hAnsi="Arial" w:cs="Arial"/>
          <w:lang w:val="en-GB" w:eastAsia="ro-RO"/>
        </w:rPr>
        <w:t>area</w:t>
      </w:r>
      <w:r w:rsidRPr="00F434B2">
        <w:rPr>
          <w:rFonts w:ascii="Arial" w:hAnsi="Arial" w:cs="Arial"/>
          <w:lang w:val="en-GB" w:eastAsia="ro-RO"/>
        </w:rPr>
        <w:t xml:space="preserve"> dezvoltării integrate sociale, economice și de mediu la nivel local și a patrimoniului cultural, turismului și securității în zonele urbane, prin POR-Sud Vest Oltenia</w:t>
      </w:r>
      <w:r>
        <w:rPr>
          <w:rFonts w:ascii="Arial" w:hAnsi="Arial" w:cs="Arial"/>
          <w:lang w:val="en-GB" w:eastAsia="ro-RO"/>
        </w:rPr>
        <w:t xml:space="preserve">. </w:t>
      </w:r>
    </w:p>
    <w:p w14:paraId="7ADBC975" w14:textId="77777777" w:rsidR="00E16FE1" w:rsidRPr="00E16FE1" w:rsidRDefault="00E16FE1" w:rsidP="00F434B2">
      <w:pPr>
        <w:spacing w:after="0"/>
        <w:ind w:right="20" w:firstLine="720"/>
        <w:jc w:val="both"/>
        <w:rPr>
          <w:rFonts w:ascii="Arial" w:hAnsi="Arial" w:cs="Arial"/>
          <w:lang w:val="en-GB" w:eastAsia="ro-RO"/>
        </w:rPr>
      </w:pPr>
      <w:r w:rsidRPr="00E16FE1">
        <w:rPr>
          <w:rFonts w:ascii="Arial" w:hAnsi="Arial" w:cs="Arial"/>
          <w:lang w:val="en-GB" w:eastAsia="ro-RO"/>
        </w:rPr>
        <w:t>Tipuri de ac</w:t>
      </w:r>
      <w:r w:rsidR="00CA22A1">
        <w:rPr>
          <w:rFonts w:ascii="Arial" w:hAnsi="Arial" w:cs="Arial"/>
          <w:lang w:val="en-GB" w:eastAsia="ro-RO"/>
        </w:rPr>
        <w:t>ț</w:t>
      </w:r>
      <w:r w:rsidRPr="00E16FE1">
        <w:rPr>
          <w:rFonts w:ascii="Arial" w:hAnsi="Arial" w:cs="Arial"/>
          <w:lang w:val="en-GB" w:eastAsia="ro-RO"/>
        </w:rPr>
        <w:t>iuni:</w:t>
      </w:r>
    </w:p>
    <w:p w14:paraId="5CCC79EC" w14:textId="77777777" w:rsidR="00E16FE1" w:rsidRPr="00E16FE1" w:rsidRDefault="00E16FE1" w:rsidP="00E16FE1">
      <w:pPr>
        <w:spacing w:after="0"/>
        <w:ind w:right="20"/>
        <w:jc w:val="both"/>
        <w:rPr>
          <w:rFonts w:ascii="Arial" w:hAnsi="Arial" w:cs="Arial"/>
          <w:lang w:val="en-GB" w:eastAsia="ro-RO"/>
        </w:rPr>
      </w:pPr>
      <w:r w:rsidRPr="00E16FE1">
        <w:rPr>
          <w:rFonts w:ascii="Arial" w:hAnsi="Arial" w:cs="Arial"/>
          <w:lang w:val="en-GB" w:eastAsia="ro-RO"/>
        </w:rPr>
        <w:t xml:space="preserve">1. Conservarea, protecția și valorificarea durabilă a patrimoniului cultural </w:t>
      </w:r>
      <w:r w:rsidR="00CA22A1">
        <w:rPr>
          <w:rFonts w:ascii="Arial" w:hAnsi="Arial" w:cs="Arial"/>
          <w:lang w:val="en-GB" w:eastAsia="ro-RO"/>
        </w:rPr>
        <w:t>ș</w:t>
      </w:r>
      <w:r w:rsidRPr="00E16FE1">
        <w:rPr>
          <w:rFonts w:ascii="Arial" w:hAnsi="Arial" w:cs="Arial"/>
          <w:lang w:val="en-GB" w:eastAsia="ro-RO"/>
        </w:rPr>
        <w:t xml:space="preserve">i servicii culturale </w:t>
      </w:r>
      <w:r w:rsidR="00CA22A1">
        <w:rPr>
          <w:rFonts w:ascii="Arial" w:hAnsi="Arial" w:cs="Arial"/>
          <w:lang w:val="en-GB" w:eastAsia="ro-RO"/>
        </w:rPr>
        <w:t>î</w:t>
      </w:r>
      <w:r w:rsidRPr="00E16FE1">
        <w:rPr>
          <w:rFonts w:ascii="Arial" w:hAnsi="Arial" w:cs="Arial"/>
          <w:lang w:val="en-GB" w:eastAsia="ro-RO"/>
        </w:rPr>
        <w:t>n mediul urban;</w:t>
      </w:r>
    </w:p>
    <w:p w14:paraId="2B6E4CA5" w14:textId="77777777" w:rsidR="00E16FE1" w:rsidRPr="00F434B2" w:rsidRDefault="00E16FE1" w:rsidP="000C6CB8">
      <w:pPr>
        <w:pStyle w:val="Listparagraf"/>
        <w:numPr>
          <w:ilvl w:val="0"/>
          <w:numId w:val="206"/>
        </w:numPr>
        <w:spacing w:after="0"/>
        <w:ind w:right="20"/>
        <w:jc w:val="both"/>
        <w:rPr>
          <w:rFonts w:ascii="Arial" w:hAnsi="Arial" w:cs="Arial"/>
          <w:lang w:val="en-GB" w:eastAsia="ro-RO"/>
        </w:rPr>
      </w:pPr>
      <w:r w:rsidRPr="00F434B2">
        <w:rPr>
          <w:rFonts w:ascii="Arial" w:hAnsi="Arial" w:cs="Arial"/>
          <w:lang w:val="en-GB" w:eastAsia="ro-RO"/>
        </w:rPr>
        <w:t xml:space="preserve">Restaurarea, consolidarea, protecţia şi conservarea monumentelor istorice de categoria A </w:t>
      </w:r>
      <w:r w:rsidR="00CA22A1" w:rsidRPr="00F434B2">
        <w:rPr>
          <w:rFonts w:ascii="Arial" w:hAnsi="Arial" w:cs="Arial"/>
          <w:lang w:val="en-GB" w:eastAsia="ro-RO"/>
        </w:rPr>
        <w:t>ș</w:t>
      </w:r>
      <w:r w:rsidRPr="00F434B2">
        <w:rPr>
          <w:rFonts w:ascii="Arial" w:hAnsi="Arial" w:cs="Arial"/>
          <w:lang w:val="en-GB" w:eastAsia="ro-RO"/>
        </w:rPr>
        <w:t>i a celor de categoria B din mediul urban;</w:t>
      </w:r>
    </w:p>
    <w:p w14:paraId="417F1DB9" w14:textId="77777777" w:rsidR="00E16FE1" w:rsidRPr="00F434B2" w:rsidRDefault="00E16FE1" w:rsidP="000C6CB8">
      <w:pPr>
        <w:pStyle w:val="Listparagraf"/>
        <w:numPr>
          <w:ilvl w:val="0"/>
          <w:numId w:val="206"/>
        </w:numPr>
        <w:spacing w:after="0"/>
        <w:ind w:right="20"/>
        <w:jc w:val="both"/>
        <w:rPr>
          <w:rFonts w:ascii="Arial" w:hAnsi="Arial" w:cs="Arial"/>
          <w:lang w:val="en-GB" w:eastAsia="ro-RO"/>
        </w:rPr>
      </w:pPr>
      <w:r w:rsidRPr="00F434B2">
        <w:rPr>
          <w:rFonts w:ascii="Arial" w:hAnsi="Arial" w:cs="Arial"/>
          <w:lang w:val="en-GB" w:eastAsia="ro-RO"/>
        </w:rPr>
        <w:t>Zonele centrale istorice și zonele construite protejate aflate pe lista monumentelor de patrimoniu;</w:t>
      </w:r>
    </w:p>
    <w:p w14:paraId="44A41C7F" w14:textId="77777777" w:rsidR="00E16FE1" w:rsidRPr="00F434B2" w:rsidRDefault="00E16FE1" w:rsidP="000C6CB8">
      <w:pPr>
        <w:pStyle w:val="Listparagraf"/>
        <w:numPr>
          <w:ilvl w:val="0"/>
          <w:numId w:val="206"/>
        </w:numPr>
        <w:spacing w:after="0"/>
        <w:ind w:right="20"/>
        <w:jc w:val="both"/>
        <w:rPr>
          <w:rFonts w:ascii="Arial" w:hAnsi="Arial" w:cs="Arial"/>
          <w:lang w:val="en-GB" w:eastAsia="ro-RO"/>
        </w:rPr>
      </w:pPr>
      <w:r w:rsidRPr="00F434B2">
        <w:rPr>
          <w:rFonts w:ascii="Arial" w:hAnsi="Arial" w:cs="Arial"/>
          <w:lang w:val="en-GB" w:eastAsia="ro-RO"/>
        </w:rPr>
        <w:lastRenderedPageBreak/>
        <w:t>Dotări interioare (instalaţii, echipamente şi dotări pentru asigurarea condiţiilor de climatizare, siguranţă la foc, antiefracţie);</w:t>
      </w:r>
    </w:p>
    <w:p w14:paraId="66E60941" w14:textId="77777777" w:rsidR="00E16FE1" w:rsidRPr="00F434B2" w:rsidRDefault="00E16FE1" w:rsidP="000C6CB8">
      <w:pPr>
        <w:pStyle w:val="Listparagraf"/>
        <w:numPr>
          <w:ilvl w:val="0"/>
          <w:numId w:val="206"/>
        </w:numPr>
        <w:spacing w:after="0"/>
        <w:ind w:right="20"/>
        <w:jc w:val="both"/>
        <w:rPr>
          <w:rFonts w:ascii="Arial" w:hAnsi="Arial" w:cs="Arial"/>
          <w:lang w:val="en-GB" w:eastAsia="ro-RO"/>
        </w:rPr>
      </w:pPr>
      <w:r w:rsidRPr="00F434B2">
        <w:rPr>
          <w:rFonts w:ascii="Arial" w:hAnsi="Arial" w:cs="Arial"/>
          <w:lang w:val="en-GB" w:eastAsia="ro-RO"/>
        </w:rPr>
        <w:t>Dotări pentru expunerea şi protecţia patrimoniului cultural mobil şi imobil;</w:t>
      </w:r>
    </w:p>
    <w:p w14:paraId="21FDE9A4" w14:textId="77777777" w:rsidR="00E16FE1" w:rsidRPr="00F434B2" w:rsidRDefault="00E16FE1" w:rsidP="000C6CB8">
      <w:pPr>
        <w:pStyle w:val="Listparagraf"/>
        <w:numPr>
          <w:ilvl w:val="0"/>
          <w:numId w:val="206"/>
        </w:numPr>
        <w:spacing w:after="0"/>
        <w:ind w:right="20"/>
        <w:jc w:val="both"/>
        <w:rPr>
          <w:rFonts w:ascii="Arial" w:hAnsi="Arial" w:cs="Arial"/>
          <w:lang w:val="en-GB" w:eastAsia="ro-RO"/>
        </w:rPr>
      </w:pPr>
      <w:r w:rsidRPr="00F434B2">
        <w:rPr>
          <w:rFonts w:ascii="Arial" w:hAnsi="Arial" w:cs="Arial"/>
          <w:lang w:val="en-GB" w:eastAsia="ro-RO"/>
        </w:rPr>
        <w:t>Activități de marketing și promovare turistică a obiectivului restaurat, inclusiv digitizarea acestuia,</w:t>
      </w:r>
    </w:p>
    <w:p w14:paraId="24F9090E" w14:textId="77777777" w:rsidR="00E16FE1" w:rsidRPr="00F434B2" w:rsidRDefault="00E16FE1" w:rsidP="000C6CB8">
      <w:pPr>
        <w:pStyle w:val="Listparagraf"/>
        <w:numPr>
          <w:ilvl w:val="0"/>
          <w:numId w:val="206"/>
        </w:numPr>
        <w:spacing w:after="0"/>
        <w:ind w:right="20"/>
        <w:jc w:val="both"/>
        <w:rPr>
          <w:rFonts w:ascii="Arial" w:hAnsi="Arial" w:cs="Arial"/>
          <w:lang w:val="en-GB" w:eastAsia="ro-RO"/>
        </w:rPr>
      </w:pPr>
      <w:r w:rsidRPr="00F434B2">
        <w:rPr>
          <w:rFonts w:ascii="Arial" w:hAnsi="Arial" w:cs="Arial"/>
          <w:lang w:val="en-GB" w:eastAsia="ro-RO"/>
        </w:rPr>
        <w:t>Refacerea/amenajarea cailor de acces catre obiectivele rehabilitate;</w:t>
      </w:r>
    </w:p>
    <w:p w14:paraId="00DD14B6" w14:textId="77777777" w:rsidR="00E16FE1" w:rsidRPr="00E16FE1" w:rsidRDefault="00E16FE1" w:rsidP="00E16FE1">
      <w:pPr>
        <w:spacing w:after="0"/>
        <w:ind w:right="20"/>
        <w:jc w:val="both"/>
        <w:rPr>
          <w:rFonts w:ascii="Arial" w:hAnsi="Arial" w:cs="Arial"/>
          <w:lang w:val="en-GB" w:eastAsia="ro-RO"/>
        </w:rPr>
      </w:pPr>
      <w:r w:rsidRPr="00F434B2">
        <w:rPr>
          <w:rFonts w:ascii="Arial" w:hAnsi="Arial" w:cs="Arial"/>
          <w:b/>
          <w:bCs/>
          <w:lang w:val="en-GB" w:eastAsia="ro-RO"/>
        </w:rPr>
        <w:t>2.</w:t>
      </w:r>
      <w:r w:rsidRPr="00E16FE1">
        <w:rPr>
          <w:rFonts w:ascii="Arial" w:hAnsi="Arial" w:cs="Arial"/>
          <w:lang w:val="en-GB" w:eastAsia="ro-RO"/>
        </w:rPr>
        <w:t xml:space="preserve"> Dezvoltarea infrastructurii de turism si activelor turistice publice;</w:t>
      </w:r>
    </w:p>
    <w:p w14:paraId="3C704D8E" w14:textId="77777777" w:rsidR="00E16FE1" w:rsidRPr="00F434B2" w:rsidRDefault="00E16FE1" w:rsidP="000C6CB8">
      <w:pPr>
        <w:pStyle w:val="Listparagraf"/>
        <w:numPr>
          <w:ilvl w:val="0"/>
          <w:numId w:val="207"/>
        </w:numPr>
        <w:spacing w:after="0"/>
        <w:ind w:right="20"/>
        <w:jc w:val="both"/>
        <w:rPr>
          <w:rFonts w:ascii="Arial" w:hAnsi="Arial" w:cs="Arial"/>
          <w:lang w:val="en-GB" w:eastAsia="ro-RO"/>
        </w:rPr>
      </w:pPr>
      <w:r w:rsidRPr="00F434B2">
        <w:rPr>
          <w:rFonts w:ascii="Arial" w:hAnsi="Arial" w:cs="Arial"/>
          <w:lang w:val="en-GB" w:eastAsia="ro-RO"/>
        </w:rPr>
        <w:t>Crearea şi extinderea infrastructurii de agrement, inclusiv a utilităţilor aferente;</w:t>
      </w:r>
    </w:p>
    <w:p w14:paraId="3B5C0659" w14:textId="77777777" w:rsidR="00E16FE1" w:rsidRPr="00F434B2" w:rsidRDefault="00E16FE1" w:rsidP="000C6CB8">
      <w:pPr>
        <w:pStyle w:val="Listparagraf"/>
        <w:numPr>
          <w:ilvl w:val="0"/>
          <w:numId w:val="207"/>
        </w:numPr>
        <w:spacing w:after="0"/>
        <w:ind w:right="20"/>
        <w:jc w:val="both"/>
        <w:rPr>
          <w:rFonts w:ascii="Arial" w:hAnsi="Arial" w:cs="Arial"/>
          <w:lang w:val="en-GB" w:eastAsia="ro-RO"/>
        </w:rPr>
      </w:pPr>
      <w:r w:rsidRPr="00F434B2">
        <w:rPr>
          <w:rFonts w:ascii="Arial" w:hAnsi="Arial" w:cs="Arial"/>
          <w:lang w:val="en-GB" w:eastAsia="ro-RO"/>
        </w:rPr>
        <w:t>Infrastructuri integrate de exploatare turistică sustenabilă</w:t>
      </w:r>
    </w:p>
    <w:p w14:paraId="546C4764" w14:textId="77777777" w:rsidR="00E16FE1" w:rsidRPr="00F434B2" w:rsidRDefault="00F434B2" w:rsidP="000C6CB8">
      <w:pPr>
        <w:pStyle w:val="Listparagraf"/>
        <w:numPr>
          <w:ilvl w:val="0"/>
          <w:numId w:val="207"/>
        </w:numPr>
        <w:spacing w:after="0"/>
        <w:ind w:right="20"/>
        <w:jc w:val="both"/>
        <w:rPr>
          <w:rFonts w:ascii="Arial" w:hAnsi="Arial" w:cs="Arial"/>
          <w:lang w:val="en-GB" w:eastAsia="ro-RO"/>
        </w:rPr>
      </w:pPr>
      <w:r w:rsidRPr="00F434B2">
        <w:rPr>
          <w:rFonts w:ascii="Arial" w:hAnsi="Arial" w:cs="Arial"/>
          <w:lang w:val="en-GB" w:eastAsia="ro-RO"/>
        </w:rPr>
        <w:t>O</w:t>
      </w:r>
      <w:r w:rsidR="00E16FE1" w:rsidRPr="00F434B2">
        <w:rPr>
          <w:rFonts w:ascii="Arial" w:hAnsi="Arial" w:cs="Arial"/>
          <w:lang w:val="en-GB" w:eastAsia="ro-RO"/>
        </w:rPr>
        <w:t>biective turistice naturale amenajate în scop turistic precum şi crearea infrastructurilor conexe de utilitate publică</w:t>
      </w:r>
    </w:p>
    <w:p w14:paraId="58FBB6F8" w14:textId="62FFEAA2" w:rsidR="00E16FE1" w:rsidRPr="00F434B2" w:rsidRDefault="00F434B2" w:rsidP="000C6CB8">
      <w:pPr>
        <w:pStyle w:val="Listparagraf"/>
        <w:numPr>
          <w:ilvl w:val="0"/>
          <w:numId w:val="207"/>
        </w:numPr>
        <w:spacing w:after="0"/>
        <w:ind w:right="20"/>
        <w:jc w:val="both"/>
        <w:rPr>
          <w:rFonts w:ascii="Arial" w:hAnsi="Arial" w:cs="Arial"/>
          <w:lang w:val="en-GB" w:eastAsia="ro-RO"/>
        </w:rPr>
      </w:pPr>
      <w:r w:rsidRPr="00F434B2">
        <w:rPr>
          <w:rFonts w:ascii="Arial" w:hAnsi="Arial" w:cs="Arial"/>
          <w:lang w:val="en-GB" w:eastAsia="ro-RO"/>
        </w:rPr>
        <w:t>T</w:t>
      </w:r>
      <w:r w:rsidR="00E16FE1" w:rsidRPr="00F434B2">
        <w:rPr>
          <w:rFonts w:ascii="Arial" w:hAnsi="Arial" w:cs="Arial"/>
          <w:lang w:val="en-GB" w:eastAsia="ro-RO"/>
        </w:rPr>
        <w:t xml:space="preserve">rasee turistice/tematice, locuri de recreare şi popas amenajate, puncte (foişoare) de observare/ filmare/ fotografiere, </w:t>
      </w:r>
      <w:r w:rsidR="00560508">
        <w:rPr>
          <w:rFonts w:ascii="Arial" w:hAnsi="Arial" w:cs="Arial"/>
          <w:lang w:val="en-GB" w:eastAsia="ro-RO"/>
        </w:rPr>
        <w:t>trasee pentru</w:t>
      </w:r>
      <w:r w:rsidR="00E16FE1" w:rsidRPr="00F434B2">
        <w:rPr>
          <w:rFonts w:ascii="Arial" w:hAnsi="Arial" w:cs="Arial"/>
          <w:lang w:val="en-GB" w:eastAsia="ro-RO"/>
        </w:rPr>
        <w:t xml:space="preserve"> biciclete</w:t>
      </w:r>
    </w:p>
    <w:p w14:paraId="4BA73AA9" w14:textId="77777777" w:rsidR="00E16FE1" w:rsidRPr="00E16FE1" w:rsidRDefault="00E16FE1" w:rsidP="00E16FE1">
      <w:pPr>
        <w:spacing w:after="0"/>
        <w:ind w:right="20"/>
        <w:jc w:val="both"/>
        <w:rPr>
          <w:rFonts w:ascii="Arial" w:hAnsi="Arial" w:cs="Arial"/>
          <w:lang w:val="en-GB" w:eastAsia="ro-RO"/>
        </w:rPr>
      </w:pPr>
      <w:r w:rsidRPr="00F434B2">
        <w:rPr>
          <w:rFonts w:ascii="Arial" w:hAnsi="Arial" w:cs="Arial"/>
          <w:b/>
          <w:bCs/>
          <w:lang w:val="en-GB" w:eastAsia="ro-RO"/>
        </w:rPr>
        <w:t>3.</w:t>
      </w:r>
      <w:r w:rsidRPr="00E16FE1">
        <w:rPr>
          <w:rFonts w:ascii="Arial" w:hAnsi="Arial" w:cs="Arial"/>
          <w:lang w:val="en-GB" w:eastAsia="ro-RO"/>
        </w:rPr>
        <w:t xml:space="preserve"> Îmbunătățirea mediului urban prin regenerarea fizică a spațiilor publice urbane;</w:t>
      </w:r>
    </w:p>
    <w:p w14:paraId="698234D1" w14:textId="77777777" w:rsidR="00E16FE1" w:rsidRPr="00E16FE1" w:rsidRDefault="00E16FE1" w:rsidP="00E16FE1">
      <w:pPr>
        <w:spacing w:after="0"/>
        <w:ind w:right="20"/>
        <w:jc w:val="both"/>
        <w:rPr>
          <w:rFonts w:ascii="Arial" w:hAnsi="Arial" w:cs="Arial"/>
          <w:lang w:val="en-GB" w:eastAsia="ro-RO"/>
        </w:rPr>
      </w:pPr>
      <w:r w:rsidRPr="00E16FE1">
        <w:rPr>
          <w:rFonts w:ascii="Arial" w:hAnsi="Arial" w:cs="Arial"/>
          <w:lang w:val="en-GB" w:eastAsia="ro-RO"/>
        </w:rPr>
        <w:t>Revitalizarea zonelor centrale ale localităților urbane;</w:t>
      </w:r>
    </w:p>
    <w:p w14:paraId="43312472" w14:textId="77777777" w:rsidR="00E16FE1" w:rsidRPr="00F434B2" w:rsidRDefault="00E16FE1" w:rsidP="000C6CB8">
      <w:pPr>
        <w:pStyle w:val="Listparagraf"/>
        <w:numPr>
          <w:ilvl w:val="0"/>
          <w:numId w:val="208"/>
        </w:numPr>
        <w:spacing w:after="0"/>
        <w:ind w:right="20"/>
        <w:jc w:val="both"/>
        <w:rPr>
          <w:rFonts w:ascii="Arial" w:hAnsi="Arial" w:cs="Arial"/>
          <w:lang w:val="en-GB" w:eastAsia="ro-RO"/>
        </w:rPr>
      </w:pPr>
      <w:r w:rsidRPr="00F434B2">
        <w:rPr>
          <w:rFonts w:ascii="Arial" w:hAnsi="Arial" w:cs="Arial"/>
          <w:lang w:val="en-GB" w:eastAsia="ro-RO"/>
        </w:rPr>
        <w:t>Spa</w:t>
      </w:r>
      <w:r w:rsidR="00F434B2" w:rsidRPr="00F434B2">
        <w:rPr>
          <w:rFonts w:ascii="Arial" w:hAnsi="Arial" w:cs="Arial"/>
          <w:lang w:val="en-GB" w:eastAsia="ro-RO"/>
        </w:rPr>
        <w:t>ț</w:t>
      </w:r>
      <w:r w:rsidRPr="00F434B2">
        <w:rPr>
          <w:rFonts w:ascii="Arial" w:hAnsi="Arial" w:cs="Arial"/>
          <w:lang w:val="en-GB" w:eastAsia="ro-RO"/>
        </w:rPr>
        <w:t>ii/zone publice din interiorul localităților urbane, inclusive amenajări de locuri de joacă pentru copii precum și zone și echipamente pentru activități sportive de întreținere pentru tineri și adulți de tipul fitness în aer liber)</w:t>
      </w:r>
    </w:p>
    <w:p w14:paraId="4F50002E" w14:textId="77777777" w:rsidR="00E16FE1" w:rsidRPr="00F434B2" w:rsidRDefault="00E16FE1" w:rsidP="000C6CB8">
      <w:pPr>
        <w:pStyle w:val="Listparagraf"/>
        <w:numPr>
          <w:ilvl w:val="0"/>
          <w:numId w:val="208"/>
        </w:numPr>
        <w:spacing w:after="0"/>
        <w:ind w:right="20"/>
        <w:jc w:val="both"/>
        <w:rPr>
          <w:rFonts w:ascii="Arial" w:hAnsi="Arial" w:cs="Arial"/>
          <w:lang w:val="en-GB" w:eastAsia="ro-RO"/>
        </w:rPr>
      </w:pPr>
      <w:r w:rsidRPr="00F434B2">
        <w:rPr>
          <w:rFonts w:ascii="Arial" w:hAnsi="Arial" w:cs="Arial"/>
          <w:lang w:val="en-GB" w:eastAsia="ro-RO"/>
        </w:rPr>
        <w:t>Cl</w:t>
      </w:r>
      <w:r w:rsidR="00F434B2" w:rsidRPr="00F434B2">
        <w:rPr>
          <w:rFonts w:ascii="Arial" w:hAnsi="Arial" w:cs="Arial"/>
          <w:lang w:val="en-GB" w:eastAsia="ro-RO"/>
        </w:rPr>
        <w:t>ă</w:t>
      </w:r>
      <w:r w:rsidRPr="00F434B2">
        <w:rPr>
          <w:rFonts w:ascii="Arial" w:hAnsi="Arial" w:cs="Arial"/>
          <w:lang w:val="en-GB" w:eastAsia="ro-RO"/>
        </w:rPr>
        <w:t>diri cu func</w:t>
      </w:r>
      <w:r w:rsidR="00F434B2" w:rsidRPr="00F434B2">
        <w:rPr>
          <w:rFonts w:ascii="Arial" w:hAnsi="Arial" w:cs="Arial"/>
          <w:lang w:val="en-GB" w:eastAsia="ro-RO"/>
        </w:rPr>
        <w:t>ț</w:t>
      </w:r>
      <w:r w:rsidRPr="00F434B2">
        <w:rPr>
          <w:rFonts w:ascii="Arial" w:hAnsi="Arial" w:cs="Arial"/>
          <w:lang w:val="en-GB" w:eastAsia="ro-RO"/>
        </w:rPr>
        <w:t>iuni culturale;</w:t>
      </w:r>
    </w:p>
    <w:p w14:paraId="4B23CB96" w14:textId="77777777" w:rsidR="00E16FE1" w:rsidRPr="00F434B2" w:rsidRDefault="00E16FE1" w:rsidP="000C6CB8">
      <w:pPr>
        <w:pStyle w:val="Listparagraf"/>
        <w:numPr>
          <w:ilvl w:val="0"/>
          <w:numId w:val="208"/>
        </w:numPr>
        <w:spacing w:after="0"/>
        <w:ind w:right="20"/>
        <w:jc w:val="both"/>
        <w:rPr>
          <w:rFonts w:ascii="Arial" w:hAnsi="Arial" w:cs="Arial"/>
          <w:lang w:val="en-GB" w:eastAsia="ro-RO"/>
        </w:rPr>
      </w:pPr>
      <w:r w:rsidRPr="00F434B2">
        <w:rPr>
          <w:rFonts w:ascii="Arial" w:hAnsi="Arial" w:cs="Arial"/>
          <w:lang w:val="en-GB" w:eastAsia="ro-RO"/>
        </w:rPr>
        <w:t xml:space="preserve">Crearea </w:t>
      </w:r>
      <w:r w:rsidR="00F434B2" w:rsidRPr="00F434B2">
        <w:rPr>
          <w:rFonts w:ascii="Arial" w:hAnsi="Arial" w:cs="Arial"/>
          <w:lang w:val="en-GB" w:eastAsia="ro-RO"/>
        </w:rPr>
        <w:t>ș</w:t>
      </w:r>
      <w:r w:rsidRPr="00F434B2">
        <w:rPr>
          <w:rFonts w:ascii="Arial" w:hAnsi="Arial" w:cs="Arial"/>
          <w:lang w:val="en-GB" w:eastAsia="ro-RO"/>
        </w:rPr>
        <w:t>i modernizarea spa</w:t>
      </w:r>
      <w:r w:rsidR="00F434B2" w:rsidRPr="00F434B2">
        <w:rPr>
          <w:rFonts w:ascii="Arial" w:hAnsi="Arial" w:cs="Arial"/>
          <w:lang w:val="en-GB" w:eastAsia="ro-RO"/>
        </w:rPr>
        <w:t>ț</w:t>
      </w:r>
      <w:r w:rsidRPr="00F434B2">
        <w:rPr>
          <w:rFonts w:ascii="Arial" w:hAnsi="Arial" w:cs="Arial"/>
          <w:lang w:val="en-GB" w:eastAsia="ro-RO"/>
        </w:rPr>
        <w:t>iilor publice urbane:pasaje pietonale, scuaruri, trotuare, etc</w:t>
      </w:r>
    </w:p>
    <w:p w14:paraId="37462265" w14:textId="77777777" w:rsidR="00F434B2" w:rsidRDefault="00F434B2" w:rsidP="00946E0A">
      <w:pPr>
        <w:spacing w:after="0" w:line="276" w:lineRule="auto"/>
        <w:ind w:right="20"/>
        <w:jc w:val="both"/>
        <w:rPr>
          <w:rFonts w:ascii="Arial" w:eastAsia="Times New Roman" w:hAnsi="Arial" w:cs="Arial"/>
          <w:lang w:val="en-GB" w:eastAsia="ro-RO"/>
        </w:rPr>
      </w:pPr>
    </w:p>
    <w:p w14:paraId="18A23B8F" w14:textId="77777777" w:rsidR="00D70AEA" w:rsidRDefault="00D70AEA" w:rsidP="00946E0A">
      <w:pPr>
        <w:spacing w:after="0" w:line="276" w:lineRule="auto"/>
        <w:ind w:right="20"/>
        <w:jc w:val="both"/>
        <w:rPr>
          <w:rFonts w:ascii="Arial" w:eastAsia="Times New Roman" w:hAnsi="Arial" w:cs="Arial"/>
          <w:lang w:val="en-GB" w:eastAsia="ro-RO"/>
        </w:rPr>
      </w:pPr>
      <w:r w:rsidRPr="00F434B2">
        <w:rPr>
          <w:rFonts w:ascii="Arial" w:eastAsia="Times New Roman" w:hAnsi="Arial" w:cs="Arial"/>
          <w:lang w:val="en-GB" w:eastAsia="ro-RO"/>
        </w:rPr>
        <w:t>Î</w:t>
      </w:r>
      <w:r w:rsidR="00966376" w:rsidRPr="00F434B2">
        <w:rPr>
          <w:rFonts w:ascii="Arial" w:eastAsia="Times New Roman" w:hAnsi="Arial" w:cs="Arial"/>
          <w:lang w:val="en-GB" w:eastAsia="ro-RO"/>
        </w:rPr>
        <w:t>ntocm</w:t>
      </w:r>
      <w:r w:rsidR="00966376">
        <w:rPr>
          <w:rFonts w:ascii="Arial" w:eastAsia="Times New Roman" w:hAnsi="Arial" w:cs="Arial"/>
          <w:lang w:val="en-GB" w:eastAsia="ro-RO"/>
        </w:rPr>
        <w:t>irea</w:t>
      </w:r>
      <w:r w:rsidR="00094F25">
        <w:rPr>
          <w:rFonts w:ascii="Arial" w:eastAsia="Times New Roman" w:hAnsi="Arial" w:cs="Arial"/>
          <w:lang w:val="en-GB" w:eastAsia="ro-RO"/>
        </w:rPr>
        <w:t xml:space="preserve"> </w:t>
      </w:r>
      <w:r w:rsidRPr="008F28FC">
        <w:rPr>
          <w:rFonts w:ascii="Arial" w:eastAsia="Times New Roman" w:hAnsi="Arial" w:cs="Arial"/>
          <w:lang w:val="en-GB" w:eastAsia="ro-RO"/>
        </w:rPr>
        <w:t xml:space="preserve">Planului de Mobilitate Urbană </w:t>
      </w:r>
      <w:r w:rsidR="000C4C6F">
        <w:rPr>
          <w:rFonts w:ascii="Arial" w:eastAsia="Times New Roman" w:hAnsi="Arial" w:cs="Arial"/>
          <w:lang w:val="en-GB" w:eastAsia="ro-RO"/>
        </w:rPr>
        <w:t>al oraşului Horezu</w:t>
      </w:r>
      <w:r w:rsidR="00094F25">
        <w:rPr>
          <w:rFonts w:ascii="Arial" w:eastAsia="Times New Roman" w:hAnsi="Arial" w:cs="Arial"/>
          <w:lang w:val="en-GB" w:eastAsia="ro-RO"/>
        </w:rPr>
        <w:t xml:space="preserve"> </w:t>
      </w:r>
      <w:r w:rsidRPr="008F28FC">
        <w:rPr>
          <w:rFonts w:ascii="Arial" w:eastAsia="Times New Roman" w:hAnsi="Arial" w:cs="Arial"/>
          <w:lang w:val="en-GB" w:eastAsia="ro-RO"/>
        </w:rPr>
        <w:t xml:space="preserve">va asigura corelarea cu principalele documente programatice la nivel naţional cu impact asupra mobilităţii urbane </w:t>
      </w:r>
      <w:r w:rsidRPr="008F28FC">
        <w:rPr>
          <w:rFonts w:ascii="Arial" w:eastAsia="Times New Roman" w:hAnsi="Arial" w:cs="Arial"/>
          <w:lang w:val="it-IT" w:eastAsia="ro-RO"/>
        </w:rPr>
        <w:t xml:space="preserve">(Master </w:t>
      </w:r>
      <w:r w:rsidRPr="008F28FC">
        <w:rPr>
          <w:rFonts w:ascii="Arial" w:eastAsia="Times New Roman" w:hAnsi="Arial" w:cs="Arial"/>
          <w:lang w:val="en-GB" w:eastAsia="ro-RO"/>
        </w:rPr>
        <w:t>Planul de Transport al României, Programul Operaţional Regional (2021-2027)</w:t>
      </w:r>
      <w:r w:rsidR="00C37E83" w:rsidRPr="008F28FC">
        <w:rPr>
          <w:rFonts w:ascii="Arial" w:eastAsia="Times New Roman" w:hAnsi="Arial" w:cs="Arial"/>
          <w:lang w:val="en-GB" w:eastAsia="ro-RO"/>
        </w:rPr>
        <w:t xml:space="preserve">, </w:t>
      </w:r>
      <w:r w:rsidR="00946E0A" w:rsidRPr="00946E0A">
        <w:rPr>
          <w:rFonts w:ascii="Arial" w:eastAsia="Times New Roman" w:hAnsi="Arial" w:cs="Arial"/>
          <w:lang w:val="en-GB" w:eastAsia="ro-RO"/>
        </w:rPr>
        <w:t>Strategia Integrată de Dezvoltare Urbană 2021 - 2030</w:t>
      </w:r>
      <w:r w:rsidR="00094F25">
        <w:rPr>
          <w:rFonts w:ascii="Arial" w:eastAsia="Times New Roman" w:hAnsi="Arial" w:cs="Arial"/>
          <w:lang w:val="en-GB" w:eastAsia="ro-RO"/>
        </w:rPr>
        <w:t>, Planul U</w:t>
      </w:r>
      <w:r w:rsidRPr="008F28FC">
        <w:rPr>
          <w:rFonts w:ascii="Arial" w:eastAsia="Times New Roman" w:hAnsi="Arial" w:cs="Arial"/>
          <w:lang w:val="en-GB" w:eastAsia="ro-RO"/>
        </w:rPr>
        <w:t xml:space="preserve">rbanistic General al </w:t>
      </w:r>
      <w:r w:rsidR="00094F25">
        <w:rPr>
          <w:rFonts w:ascii="Arial" w:eastAsia="Times New Roman" w:hAnsi="Arial" w:cs="Arial"/>
          <w:lang w:val="en-GB" w:eastAsia="ro-RO"/>
        </w:rPr>
        <w:t>oraşului Horezu</w:t>
      </w:r>
      <w:r w:rsidRPr="008F28FC">
        <w:rPr>
          <w:rFonts w:ascii="Arial" w:eastAsia="Times New Roman" w:hAnsi="Arial" w:cs="Arial"/>
          <w:lang w:val="en-GB" w:eastAsia="ro-RO"/>
        </w:rPr>
        <w:t>, alte studii de fezabilitate/ proiecte tehnice/studii tehnice ce au impact asupra întregului sistem de transport local).</w:t>
      </w:r>
    </w:p>
    <w:p w14:paraId="22D39FA3" w14:textId="77777777" w:rsidR="007978E6" w:rsidRDefault="007978E6" w:rsidP="00946E0A">
      <w:pPr>
        <w:spacing w:after="0" w:line="276" w:lineRule="auto"/>
        <w:ind w:right="20"/>
        <w:jc w:val="both"/>
        <w:rPr>
          <w:rFonts w:ascii="Arial" w:eastAsia="Times New Roman" w:hAnsi="Arial" w:cs="Arial"/>
          <w:lang w:val="en-GB" w:eastAsia="ro-RO"/>
        </w:rPr>
      </w:pPr>
    </w:p>
    <w:p w14:paraId="2B9FFD05" w14:textId="77777777" w:rsidR="001E6C4C" w:rsidRDefault="001E6C4C" w:rsidP="00946E0A">
      <w:pPr>
        <w:spacing w:after="0" w:line="276" w:lineRule="auto"/>
        <w:ind w:right="20"/>
        <w:jc w:val="both"/>
        <w:rPr>
          <w:rFonts w:ascii="Arial" w:eastAsia="Times New Roman" w:hAnsi="Arial" w:cs="Arial"/>
          <w:lang w:val="en-GB" w:eastAsia="ro-RO"/>
        </w:rPr>
      </w:pPr>
    </w:p>
    <w:p w14:paraId="33BA6343" w14:textId="77777777" w:rsidR="008F28FC" w:rsidRPr="008F28FC" w:rsidRDefault="008F28FC" w:rsidP="008F28FC">
      <w:pPr>
        <w:spacing w:after="0" w:line="276" w:lineRule="auto"/>
        <w:ind w:right="20"/>
        <w:jc w:val="both"/>
        <w:rPr>
          <w:rFonts w:ascii="Arial" w:eastAsia="Times New Roman" w:hAnsi="Arial" w:cs="Arial"/>
          <w:b/>
          <w:lang w:val="en-GB" w:eastAsia="ro-RO"/>
        </w:rPr>
      </w:pPr>
      <w:r w:rsidRPr="008F28FC">
        <w:rPr>
          <w:rFonts w:ascii="Arial" w:eastAsia="Times New Roman" w:hAnsi="Arial" w:cs="Arial"/>
          <w:b/>
          <w:lang w:val="en-GB" w:eastAsia="ro-RO"/>
        </w:rPr>
        <w:t xml:space="preserve">Legea nr. 350 /2001 </w:t>
      </w:r>
    </w:p>
    <w:p w14:paraId="107ECEE5" w14:textId="77777777" w:rsidR="008F28FC" w:rsidRPr="008F28FC" w:rsidRDefault="008F28FC" w:rsidP="008F28FC">
      <w:pPr>
        <w:spacing w:after="0" w:line="276" w:lineRule="auto"/>
        <w:ind w:right="20"/>
        <w:jc w:val="both"/>
        <w:rPr>
          <w:rFonts w:ascii="Arial" w:eastAsia="Times New Roman" w:hAnsi="Arial" w:cs="Arial"/>
          <w:lang w:val="en-GB" w:eastAsia="ro-RO"/>
        </w:rPr>
      </w:pPr>
      <w:r w:rsidRPr="008F28FC">
        <w:rPr>
          <w:rFonts w:ascii="Arial" w:eastAsia="Times New Roman" w:hAnsi="Arial" w:cs="Arial"/>
          <w:lang w:val="en-GB" w:eastAsia="ro-RO"/>
        </w:rPr>
        <w:t>Necesitatea realizării planurilor de mobilitate urbană este stipulată în articolul 46 din Legea Nr. 350 din 6 iulie 2001 (cu modificările și completările ulterioare - Ordinul nr. 233 din 26 februarie 2016 pentru aprobarea Normelor Metodologice de aplicare a Legii nr. 350/2001 privind amenajarea teritoriului şi urbanismului şi de elaborare şi actualizare a documentaţiilor de urbanism), privind amenajarea teritoriului și urbanismul, unde se precizează că un Plan Urbanistic General (PUG) trebuie să includă:</w:t>
      </w:r>
    </w:p>
    <w:p w14:paraId="6BD3DA97" w14:textId="77777777" w:rsidR="008F28FC" w:rsidRPr="008F28FC" w:rsidRDefault="008F28FC" w:rsidP="000C6CB8">
      <w:pPr>
        <w:pStyle w:val="Listparagraf"/>
        <w:numPr>
          <w:ilvl w:val="0"/>
          <w:numId w:val="144"/>
        </w:numPr>
        <w:spacing w:after="0"/>
        <w:rPr>
          <w:rFonts w:ascii="Arial" w:hAnsi="Arial" w:cs="Arial"/>
        </w:rPr>
      </w:pPr>
      <w:r w:rsidRPr="008F28FC">
        <w:rPr>
          <w:rFonts w:ascii="Arial" w:hAnsi="Arial" w:cs="Arial"/>
        </w:rPr>
        <w:t xml:space="preserve">diagnoză prospectivă, pe baza analizei evoluției istorice și prognoze economice  și demografice, precizând nevoile identificate în domeniile economic, social și cultural, dezvoltare spațială, de mediu, locuințe, transport, facilitățile publice  și serviciile de echipamente; </w:t>
      </w:r>
    </w:p>
    <w:p w14:paraId="3975C3EC" w14:textId="77777777" w:rsidR="008F28FC" w:rsidRPr="008F28FC" w:rsidRDefault="008F28FC" w:rsidP="000C6CB8">
      <w:pPr>
        <w:pStyle w:val="Listparagraf"/>
        <w:numPr>
          <w:ilvl w:val="0"/>
          <w:numId w:val="144"/>
        </w:numPr>
        <w:spacing w:after="0"/>
        <w:rPr>
          <w:rFonts w:ascii="Arial" w:hAnsi="Arial" w:cs="Arial"/>
        </w:rPr>
      </w:pPr>
      <w:r w:rsidRPr="008F28FC">
        <w:rPr>
          <w:rFonts w:ascii="Arial" w:hAnsi="Arial" w:cs="Arial"/>
        </w:rPr>
        <w:t xml:space="preserve">strategia de dezvoltare spațială a orașului; </w:t>
      </w:r>
    </w:p>
    <w:p w14:paraId="75EA1251" w14:textId="77777777" w:rsidR="008F28FC" w:rsidRPr="008F28FC" w:rsidRDefault="008F28FC" w:rsidP="000C6CB8">
      <w:pPr>
        <w:pStyle w:val="Listparagraf"/>
        <w:numPr>
          <w:ilvl w:val="0"/>
          <w:numId w:val="144"/>
        </w:numPr>
        <w:spacing w:after="0"/>
        <w:rPr>
          <w:rFonts w:ascii="Arial" w:hAnsi="Arial" w:cs="Arial"/>
        </w:rPr>
      </w:pPr>
      <w:r w:rsidRPr="008F28FC">
        <w:rPr>
          <w:rFonts w:ascii="Arial" w:hAnsi="Arial" w:cs="Arial"/>
        </w:rPr>
        <w:t xml:space="preserve">regulamentele de urbanism locale asociate cu acesta; </w:t>
      </w:r>
    </w:p>
    <w:p w14:paraId="2FCDA89C" w14:textId="77777777" w:rsidR="008F28FC" w:rsidRPr="008F28FC" w:rsidRDefault="008F28FC" w:rsidP="000C6CB8">
      <w:pPr>
        <w:pStyle w:val="Listparagraf"/>
        <w:numPr>
          <w:ilvl w:val="0"/>
          <w:numId w:val="144"/>
        </w:numPr>
        <w:spacing w:after="0"/>
        <w:rPr>
          <w:rFonts w:ascii="Arial" w:hAnsi="Arial" w:cs="Arial"/>
        </w:rPr>
      </w:pPr>
      <w:r w:rsidRPr="008F28FC">
        <w:rPr>
          <w:rFonts w:ascii="Arial" w:hAnsi="Arial" w:cs="Arial"/>
        </w:rPr>
        <w:t xml:space="preserve">plan de acțiune pentru punerea în aplicare și programul de investiții publice; și </w:t>
      </w:r>
    </w:p>
    <w:p w14:paraId="7FCA33D2" w14:textId="77777777" w:rsidR="008F28FC" w:rsidRPr="008F28FC" w:rsidRDefault="008F28FC" w:rsidP="000C6CB8">
      <w:pPr>
        <w:pStyle w:val="Listparagraf"/>
        <w:numPr>
          <w:ilvl w:val="0"/>
          <w:numId w:val="144"/>
        </w:numPr>
        <w:spacing w:after="0"/>
        <w:rPr>
          <w:rFonts w:ascii="Arial" w:hAnsi="Arial" w:cs="Arial"/>
        </w:rPr>
      </w:pPr>
      <w:r w:rsidRPr="008F28FC">
        <w:rPr>
          <w:rFonts w:ascii="Arial" w:hAnsi="Arial" w:cs="Arial"/>
        </w:rPr>
        <w:t>un plan de mobilitate urbană.</w:t>
      </w:r>
    </w:p>
    <w:p w14:paraId="0B33069D" w14:textId="77777777" w:rsidR="008F28FC" w:rsidRDefault="008F28FC" w:rsidP="008F28FC">
      <w:pPr>
        <w:widowControl w:val="0"/>
        <w:spacing w:after="0" w:line="256" w:lineRule="exact"/>
        <w:jc w:val="both"/>
        <w:rPr>
          <w:rFonts w:ascii="Times New Roman" w:eastAsia="Arial Narrow" w:hAnsi="Times New Roman" w:cs="Times New Roman"/>
          <w:color w:val="000000"/>
          <w:sz w:val="24"/>
          <w:szCs w:val="24"/>
          <w:shd w:val="clear" w:color="auto" w:fill="FFFFFF"/>
          <w:lang w:val="ro-RO"/>
        </w:rPr>
      </w:pPr>
    </w:p>
    <w:p w14:paraId="3F916A4F" w14:textId="77777777" w:rsidR="00D70AEA" w:rsidRDefault="008F28FC" w:rsidP="008F28FC">
      <w:pPr>
        <w:spacing w:line="276" w:lineRule="auto"/>
        <w:jc w:val="both"/>
        <w:rPr>
          <w:rFonts w:ascii="Arial" w:hAnsi="Arial" w:cs="Arial"/>
        </w:rPr>
      </w:pPr>
      <w:r w:rsidRPr="008F28FC">
        <w:rPr>
          <w:rFonts w:ascii="Arial" w:hAnsi="Arial" w:cs="Arial"/>
        </w:rPr>
        <w:t xml:space="preserve">Anexa 2 la Legea 350 definește un plan de mobilitate urbană ca un instrument de planificare strategică teritorială care corelează dezvoltarea spațială a localităților din suburbii/zone </w:t>
      </w:r>
      <w:r w:rsidRPr="008F28FC">
        <w:rPr>
          <w:rFonts w:ascii="Arial" w:hAnsi="Arial" w:cs="Arial"/>
        </w:rPr>
        <w:lastRenderedPageBreak/>
        <w:t>metropolitane, mobilitatea și transportul persoanelor, bunurilor și mărfurilor. Aceasta reflectă definiția prezentată în documentul de orientare a UE.</w:t>
      </w:r>
    </w:p>
    <w:p w14:paraId="48A83828" w14:textId="77777777" w:rsidR="00AE194E" w:rsidRDefault="00AE194E" w:rsidP="00AE194E">
      <w:pPr>
        <w:spacing w:after="0" w:line="276" w:lineRule="auto"/>
        <w:jc w:val="both"/>
        <w:rPr>
          <w:rFonts w:ascii="Arial" w:hAnsi="Arial" w:cs="Arial"/>
        </w:rPr>
      </w:pPr>
      <w:r w:rsidRPr="00AE194E">
        <w:rPr>
          <w:rFonts w:ascii="Arial" w:hAnsi="Arial" w:cs="Arial"/>
        </w:rPr>
        <w:t>Norme</w:t>
      </w:r>
      <w:r>
        <w:rPr>
          <w:rFonts w:ascii="Arial" w:hAnsi="Arial" w:cs="Arial"/>
        </w:rPr>
        <w:t>le metodologice ale Legii 350 stipulează la art. 15 a</w:t>
      </w:r>
      <w:r w:rsidRPr="00AE194E">
        <w:rPr>
          <w:rFonts w:ascii="Arial" w:hAnsi="Arial" w:cs="Arial"/>
        </w:rPr>
        <w:t xml:space="preserve">lin. (13) </w:t>
      </w:r>
      <w:r>
        <w:rPr>
          <w:rFonts w:ascii="Arial" w:hAnsi="Arial" w:cs="Arial"/>
        </w:rPr>
        <w:t xml:space="preserve">că planul de mobilitate urbană are rolul </w:t>
      </w:r>
      <w:r w:rsidRPr="00AE194E">
        <w:rPr>
          <w:rFonts w:ascii="Arial" w:hAnsi="Arial" w:cs="Arial"/>
        </w:rPr>
        <w:t>de planificare și modelare a mobilității în raport cu nevoile și prioritățile de dezvoltare spațială de la nivelul unității administrativ-teritoriale și urmărește următoarele 5 obiective</w:t>
      </w:r>
      <w:r>
        <w:rPr>
          <w:rFonts w:ascii="Arial" w:hAnsi="Arial" w:cs="Arial"/>
        </w:rPr>
        <w:t>:</w:t>
      </w:r>
    </w:p>
    <w:p w14:paraId="787F401A" w14:textId="77777777" w:rsidR="00AE194E" w:rsidRPr="00AE194E" w:rsidRDefault="00AE194E" w:rsidP="000C6CB8">
      <w:pPr>
        <w:pStyle w:val="Listparagraf"/>
        <w:numPr>
          <w:ilvl w:val="0"/>
          <w:numId w:val="145"/>
        </w:numPr>
        <w:spacing w:after="0"/>
        <w:jc w:val="both"/>
        <w:rPr>
          <w:rFonts w:ascii="Arial" w:hAnsi="Arial" w:cs="Arial"/>
        </w:rPr>
      </w:pPr>
      <w:r w:rsidRPr="00AE194E">
        <w:rPr>
          <w:rFonts w:ascii="Arial" w:hAnsi="Arial" w:cs="Arial"/>
        </w:rPr>
        <w:t>îmbunătățirea eficienței serviciilor și infrastructurii de transport;</w:t>
      </w:r>
    </w:p>
    <w:p w14:paraId="44CB2306" w14:textId="77777777" w:rsidR="00AE194E" w:rsidRPr="00AE194E" w:rsidRDefault="00AE194E" w:rsidP="000C6CB8">
      <w:pPr>
        <w:pStyle w:val="Listparagraf"/>
        <w:numPr>
          <w:ilvl w:val="0"/>
          <w:numId w:val="145"/>
        </w:numPr>
        <w:spacing w:after="0"/>
        <w:jc w:val="both"/>
        <w:rPr>
          <w:rFonts w:ascii="Arial" w:hAnsi="Arial" w:cs="Arial"/>
        </w:rPr>
      </w:pPr>
      <w:r w:rsidRPr="00AE194E">
        <w:rPr>
          <w:rFonts w:ascii="Arial" w:hAnsi="Arial" w:cs="Arial"/>
        </w:rPr>
        <w:t>reducerea necesităților de transport motorizat, reducerea impactului asupra mediului și reducerea consumului de energie pentru activitățile de transport;</w:t>
      </w:r>
    </w:p>
    <w:p w14:paraId="400B8781" w14:textId="77777777" w:rsidR="00AE194E" w:rsidRPr="00AE194E" w:rsidRDefault="00AE194E" w:rsidP="000C6CB8">
      <w:pPr>
        <w:pStyle w:val="Listparagraf"/>
        <w:numPr>
          <w:ilvl w:val="0"/>
          <w:numId w:val="145"/>
        </w:numPr>
        <w:spacing w:after="0"/>
        <w:jc w:val="both"/>
        <w:rPr>
          <w:rFonts w:ascii="Arial" w:hAnsi="Arial" w:cs="Arial"/>
        </w:rPr>
      </w:pPr>
      <w:r w:rsidRPr="00AE194E">
        <w:rPr>
          <w:rFonts w:ascii="Arial" w:hAnsi="Arial" w:cs="Arial"/>
        </w:rPr>
        <w:t>asigurarea unui nivel optim de accesibilitate în cadrul localității și în cadrul zonelor metropolitane/periurbane;</w:t>
      </w:r>
    </w:p>
    <w:p w14:paraId="155A300A" w14:textId="77777777" w:rsidR="00AE194E" w:rsidRPr="00AE194E" w:rsidRDefault="00AE194E" w:rsidP="000C6CB8">
      <w:pPr>
        <w:pStyle w:val="Listparagraf"/>
        <w:numPr>
          <w:ilvl w:val="0"/>
          <w:numId w:val="145"/>
        </w:numPr>
        <w:spacing w:after="0"/>
        <w:jc w:val="both"/>
        <w:rPr>
          <w:rFonts w:ascii="Arial" w:hAnsi="Arial" w:cs="Arial"/>
        </w:rPr>
      </w:pPr>
      <w:r w:rsidRPr="00AE194E">
        <w:rPr>
          <w:rFonts w:ascii="Arial" w:hAnsi="Arial" w:cs="Arial"/>
        </w:rPr>
        <w:t>asigurarea unui mediu sigur pentru populație;</w:t>
      </w:r>
    </w:p>
    <w:p w14:paraId="3FF1B0BF" w14:textId="77777777" w:rsidR="008F28FC" w:rsidRPr="00AE194E" w:rsidRDefault="00AE194E" w:rsidP="000C6CB8">
      <w:pPr>
        <w:pStyle w:val="Listparagraf"/>
        <w:numPr>
          <w:ilvl w:val="0"/>
          <w:numId w:val="145"/>
        </w:numPr>
        <w:spacing w:after="0"/>
        <w:jc w:val="both"/>
        <w:rPr>
          <w:rFonts w:ascii="Arial" w:hAnsi="Arial" w:cs="Arial"/>
        </w:rPr>
      </w:pPr>
      <w:r w:rsidRPr="00AE194E">
        <w:rPr>
          <w:rFonts w:ascii="Arial" w:hAnsi="Arial" w:cs="Arial"/>
        </w:rPr>
        <w:t>asigurarea accesibilității tuturor categoriilor de persoane, inclusiv pentru persoanele cu dizabilități.</w:t>
      </w:r>
    </w:p>
    <w:p w14:paraId="3616634F" w14:textId="77777777" w:rsidR="00AE194E" w:rsidRPr="00AE194E" w:rsidRDefault="00AE194E" w:rsidP="00AE194E">
      <w:pPr>
        <w:spacing w:after="0" w:line="276" w:lineRule="auto"/>
        <w:jc w:val="both"/>
        <w:rPr>
          <w:rFonts w:ascii="Arial" w:hAnsi="Arial" w:cs="Arial"/>
        </w:rPr>
      </w:pPr>
      <w:r>
        <w:rPr>
          <w:rFonts w:ascii="Arial" w:hAnsi="Arial" w:cs="Arial"/>
        </w:rPr>
        <w:t>Potrivit aceloraşi norme menţionate, planul de mobilitate urbană durabilă</w:t>
      </w:r>
      <w:r w:rsidRPr="00AE194E">
        <w:rPr>
          <w:rFonts w:ascii="Arial" w:hAnsi="Arial" w:cs="Arial"/>
        </w:rPr>
        <w:t xml:space="preserve"> utilizează măsuri organizaționale, operaționale și de infrastructură pentru atingerea celor 5 obiective, luând în considerație următoarele arii de intervenție:</w:t>
      </w:r>
    </w:p>
    <w:p w14:paraId="13EC91F6"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corelarea modalităților de transport cu densitatea urbană;</w:t>
      </w:r>
    </w:p>
    <w:p w14:paraId="75A8500C"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crearea unor artere ocolitoare localităților și închiderea inelelor rutiere principale;</w:t>
      </w:r>
    </w:p>
    <w:p w14:paraId="5513D9B7"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promovarea și crearea rețelelor de infrastructuri și servicii pentru bicicliști și pentru trafic nemotorizat;</w:t>
      </w:r>
    </w:p>
    <w:p w14:paraId="759416F9"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reorganizarea arterelor de circulație în raport cu cerințele de trafic, cu cerințele transportului public, ale deplasărilor nemotorizate și cu exigențe de calitate a spațiului urban;</w:t>
      </w:r>
    </w:p>
    <w:p w14:paraId="4D4231F6"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organizarea staționării și a infrastructurilor de staționare;</w:t>
      </w:r>
    </w:p>
    <w:p w14:paraId="7F838C98"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organizarea intermodalității și a polilor de schimb intermodal;</w:t>
      </w:r>
    </w:p>
    <w:p w14:paraId="74B5A870"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stabilirea zonelor cu restricții de circulație (limitări ale vitezei, limitări și/sau taxări ale accesului, restricționarea accesului vehiculelor poluante, prioritate acordată deplasărilor motorizate etc.);</w:t>
      </w:r>
    </w:p>
    <w:p w14:paraId="780BCF63"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restructurarea mobilității în zonele centrale istorice și în zona gărilor, autogărilor și aerogărilor;</w:t>
      </w:r>
    </w:p>
    <w:p w14:paraId="78200F29"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dezvoltarea rețelelor de transport public;</w:t>
      </w:r>
    </w:p>
    <w:p w14:paraId="00F27E07"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valorificarea, utilizarea infrastructurilor de transport abandonate (trasee feroviare dezafectate, zone logistice etc.) și integrarea acestora în rețeaua majoră de transport public de la nivelul localităților și al zonelor periurbane ale acestora pentru asigurarea serviciilor de transport metropolitan;</w:t>
      </w:r>
    </w:p>
    <w:p w14:paraId="71D975D5"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dezvoltarea de politici și infrastructură pentru a susține siguranța pietonilor;</w:t>
      </w:r>
    </w:p>
    <w:p w14:paraId="3E8A5B6D" w14:textId="77777777" w:rsidR="00AE194E" w:rsidRPr="00AE194E" w:rsidRDefault="00AE194E" w:rsidP="000C6CB8">
      <w:pPr>
        <w:pStyle w:val="Listparagraf"/>
        <w:numPr>
          <w:ilvl w:val="0"/>
          <w:numId w:val="146"/>
        </w:numPr>
        <w:spacing w:after="0"/>
        <w:jc w:val="both"/>
        <w:rPr>
          <w:rFonts w:ascii="Arial" w:hAnsi="Arial" w:cs="Arial"/>
        </w:rPr>
      </w:pPr>
      <w:r w:rsidRPr="00AE194E">
        <w:rPr>
          <w:rFonts w:ascii="Arial" w:hAnsi="Arial" w:cs="Arial"/>
        </w:rPr>
        <w:t>îmbunătățirea condițiilor pentru transport și pentru livrarea mărfurilor, organizarea transportului de mărfuri și a logisticii urbane;</w:t>
      </w:r>
    </w:p>
    <w:p w14:paraId="5CE22AF4" w14:textId="77777777" w:rsidR="00AE194E" w:rsidRPr="00AE194E" w:rsidRDefault="00AE194E" w:rsidP="000C6CB8">
      <w:pPr>
        <w:pStyle w:val="Listparagraf"/>
        <w:numPr>
          <w:ilvl w:val="0"/>
          <w:numId w:val="146"/>
        </w:numPr>
        <w:spacing w:after="0"/>
        <w:jc w:val="both"/>
        <w:rPr>
          <w:rFonts w:ascii="Arial" w:eastAsia="Arial Narrow" w:hAnsi="Arial" w:cs="Arial"/>
        </w:rPr>
      </w:pPr>
      <w:r w:rsidRPr="00AE194E">
        <w:rPr>
          <w:rFonts w:ascii="Arial" w:hAnsi="Arial" w:cs="Arial"/>
        </w:rPr>
        <w:t>utilizarea sistemelor de transport inteligent pentru infrastructura de transport, de parcare și pentru transportul public.</w:t>
      </w:r>
    </w:p>
    <w:p w14:paraId="6B96C1FB" w14:textId="77777777" w:rsidR="00AE194E" w:rsidRDefault="00AE194E" w:rsidP="00AE194E">
      <w:pPr>
        <w:spacing w:after="0"/>
        <w:jc w:val="both"/>
        <w:rPr>
          <w:rFonts w:ascii="Arial" w:eastAsia="Arial Narrow" w:hAnsi="Arial" w:cs="Arial"/>
        </w:rPr>
      </w:pPr>
    </w:p>
    <w:p w14:paraId="119CB73E" w14:textId="1D656917" w:rsidR="006922D0" w:rsidRDefault="00A46299" w:rsidP="006922D0">
      <w:pPr>
        <w:spacing w:after="0"/>
        <w:jc w:val="both"/>
        <w:rPr>
          <w:rFonts w:ascii="Arial" w:hAnsi="Arial" w:cs="Arial"/>
        </w:rPr>
      </w:pPr>
      <w:r w:rsidRPr="00A46299">
        <w:rPr>
          <w:rFonts w:ascii="Arial" w:hAnsi="Arial" w:cs="Arial"/>
          <w:b/>
        </w:rPr>
        <w:t>Strategia Naţ</w:t>
      </w:r>
      <w:r w:rsidR="00AE194E" w:rsidRPr="00A46299">
        <w:rPr>
          <w:rFonts w:ascii="Arial" w:hAnsi="Arial" w:cs="Arial"/>
          <w:b/>
        </w:rPr>
        <w:t>iona</w:t>
      </w:r>
      <w:r w:rsidRPr="00A46299">
        <w:rPr>
          <w:rFonts w:ascii="Arial" w:hAnsi="Arial" w:cs="Arial"/>
          <w:b/>
        </w:rPr>
        <w:t>lă</w:t>
      </w:r>
      <w:r w:rsidR="00AE194E" w:rsidRPr="00A46299">
        <w:rPr>
          <w:rFonts w:ascii="Arial" w:hAnsi="Arial" w:cs="Arial"/>
          <w:b/>
        </w:rPr>
        <w:t xml:space="preserve"> pentru </w:t>
      </w:r>
      <w:r w:rsidRPr="00A46299">
        <w:rPr>
          <w:rFonts w:ascii="Arial" w:hAnsi="Arial" w:cs="Arial"/>
          <w:b/>
        </w:rPr>
        <w:t xml:space="preserve">dezvoltarea durabilă </w:t>
      </w:r>
      <w:r w:rsidR="00AE194E" w:rsidRPr="00A46299">
        <w:rPr>
          <w:rFonts w:ascii="Arial" w:hAnsi="Arial" w:cs="Arial"/>
          <w:b/>
        </w:rPr>
        <w:t>a României 2030</w:t>
      </w:r>
      <w:r w:rsidR="0045183F">
        <w:rPr>
          <w:rStyle w:val="Referinnotdesubsol"/>
          <w:rFonts w:ascii="Arial" w:hAnsi="Arial" w:cs="Arial"/>
          <w:b/>
        </w:rPr>
        <w:footnoteReference w:id="27"/>
      </w:r>
      <w:r w:rsidR="006922D0">
        <w:rPr>
          <w:rFonts w:ascii="Arial" w:hAnsi="Arial" w:cs="Arial"/>
          <w:b/>
        </w:rPr>
        <w:t xml:space="preserve"> </w:t>
      </w:r>
      <w:r w:rsidR="006922D0" w:rsidRPr="006922D0">
        <w:rPr>
          <w:rFonts w:ascii="Arial" w:hAnsi="Arial" w:cs="Arial"/>
        </w:rPr>
        <w:t xml:space="preserve">adoptată de Guvernul României în ședința din 9 noiembrie 2018, prin HG nr. 877/2018, a fost elaborată sub directa coordonare a Departamentului pentru dezvoltare durabilă, cu aportul Comitetului de redactare, Secretariatului general al guvernului, ministerelor și altor instituții publice centrale, autorităților locale, agențiilor de dezvoltare regională, forurilor academice şi universitare, institutelor naționale </w:t>
      </w:r>
      <w:r w:rsidR="006922D0" w:rsidRPr="006922D0">
        <w:rPr>
          <w:rFonts w:ascii="Arial" w:hAnsi="Arial" w:cs="Arial"/>
        </w:rPr>
        <w:lastRenderedPageBreak/>
        <w:t>de cercetare-dezvoltare, asociațiilor patronale şi sindicatelor, sectorului privat, organizațiilor neguvernamentale și altor formațiuni ale societății civile și a cetățenilor interesați.</w:t>
      </w:r>
    </w:p>
    <w:p w14:paraId="442E7F25" w14:textId="77777777" w:rsidR="006922D0" w:rsidRPr="006922D0" w:rsidRDefault="006922D0" w:rsidP="006922D0">
      <w:pPr>
        <w:spacing w:after="0"/>
        <w:jc w:val="both"/>
        <w:rPr>
          <w:rFonts w:ascii="Arial" w:hAnsi="Arial" w:cs="Arial"/>
        </w:rPr>
      </w:pPr>
    </w:p>
    <w:tbl>
      <w:tblPr>
        <w:tblStyle w:val="Tabelgril"/>
        <w:tblW w:w="0" w:type="auto"/>
        <w:tblLook w:val="04A0" w:firstRow="1" w:lastRow="0" w:firstColumn="1" w:lastColumn="0" w:noHBand="0" w:noVBand="1"/>
      </w:tblPr>
      <w:tblGrid>
        <w:gridCol w:w="3415"/>
        <w:gridCol w:w="3330"/>
        <w:gridCol w:w="2880"/>
      </w:tblGrid>
      <w:tr w:rsidR="00300320" w14:paraId="3C7913F5" w14:textId="77777777" w:rsidTr="008C3FB2">
        <w:trPr>
          <w:tblHeader/>
        </w:trPr>
        <w:tc>
          <w:tcPr>
            <w:tcW w:w="3415" w:type="dxa"/>
            <w:shd w:val="clear" w:color="auto" w:fill="D9D9D9" w:themeFill="background1" w:themeFillShade="D9"/>
          </w:tcPr>
          <w:p w14:paraId="46D07C11" w14:textId="77777777" w:rsidR="00300320" w:rsidRDefault="00300320" w:rsidP="006922D0">
            <w:pPr>
              <w:jc w:val="center"/>
              <w:rPr>
                <w:rFonts w:ascii="Arial" w:hAnsi="Arial" w:cs="Arial"/>
                <w:b/>
              </w:rPr>
            </w:pPr>
            <w:r>
              <w:rPr>
                <w:rFonts w:ascii="Arial" w:hAnsi="Arial" w:cs="Arial"/>
                <w:b/>
              </w:rPr>
              <w:t>Obiective</w:t>
            </w:r>
          </w:p>
        </w:tc>
        <w:tc>
          <w:tcPr>
            <w:tcW w:w="3330" w:type="dxa"/>
            <w:shd w:val="clear" w:color="auto" w:fill="D9D9D9" w:themeFill="background1" w:themeFillShade="D9"/>
          </w:tcPr>
          <w:p w14:paraId="473478E8" w14:textId="77777777" w:rsidR="00300320" w:rsidRDefault="007E2A8A" w:rsidP="006922D0">
            <w:pPr>
              <w:jc w:val="center"/>
              <w:rPr>
                <w:rFonts w:ascii="Arial" w:hAnsi="Arial" w:cs="Arial"/>
                <w:b/>
              </w:rPr>
            </w:pPr>
            <w:r>
              <w:rPr>
                <w:rFonts w:ascii="Arial" w:hAnsi="Arial" w:cs="Arial"/>
                <w:b/>
              </w:rPr>
              <w:t>Priorităţi</w:t>
            </w:r>
          </w:p>
        </w:tc>
        <w:tc>
          <w:tcPr>
            <w:tcW w:w="2880" w:type="dxa"/>
            <w:shd w:val="clear" w:color="auto" w:fill="D9D9D9" w:themeFill="background1" w:themeFillShade="D9"/>
          </w:tcPr>
          <w:p w14:paraId="430F493A" w14:textId="77777777" w:rsidR="00300320" w:rsidRDefault="007E2A8A" w:rsidP="006922D0">
            <w:pPr>
              <w:jc w:val="center"/>
              <w:rPr>
                <w:rFonts w:ascii="Arial" w:hAnsi="Arial" w:cs="Arial"/>
                <w:b/>
              </w:rPr>
            </w:pPr>
            <w:r>
              <w:rPr>
                <w:rFonts w:ascii="Arial" w:hAnsi="Arial" w:cs="Arial"/>
                <w:b/>
              </w:rPr>
              <w:t>Ţinte 2030</w:t>
            </w:r>
          </w:p>
        </w:tc>
      </w:tr>
      <w:tr w:rsidR="00300320" w14:paraId="4695DC5E" w14:textId="77777777" w:rsidTr="007E2A8A">
        <w:tc>
          <w:tcPr>
            <w:tcW w:w="3415" w:type="dxa"/>
          </w:tcPr>
          <w:p w14:paraId="0BFF6856" w14:textId="77777777" w:rsidR="00300320" w:rsidRDefault="00300320" w:rsidP="00A46299">
            <w:pPr>
              <w:jc w:val="both"/>
              <w:rPr>
                <w:rFonts w:ascii="Arial" w:hAnsi="Arial" w:cs="Arial"/>
                <w:b/>
              </w:rPr>
            </w:pPr>
            <w:r>
              <w:rPr>
                <w:rFonts w:ascii="Arial" w:hAnsi="Arial" w:cs="Arial"/>
                <w:b/>
              </w:rPr>
              <w:t xml:space="preserve">Obiectivul 11 – Oraşe şi comunităţi durabile - </w:t>
            </w:r>
            <w:r w:rsidR="007E2A8A">
              <w:rPr>
                <w:rFonts w:ascii="Arial" w:hAnsi="Arial" w:cs="Arial"/>
                <w:b/>
              </w:rPr>
              <w:t>Dezvoltarea oraşelor şi a aşeză</w:t>
            </w:r>
            <w:r w:rsidRPr="00300320">
              <w:rPr>
                <w:rFonts w:ascii="Arial" w:hAnsi="Arial" w:cs="Arial"/>
                <w:b/>
              </w:rPr>
              <w:t>rilor umane pentru ca ele să fie deschise tuturor, sigure, reziliente şi durabile</w:t>
            </w:r>
          </w:p>
        </w:tc>
        <w:tc>
          <w:tcPr>
            <w:tcW w:w="3330" w:type="dxa"/>
          </w:tcPr>
          <w:p w14:paraId="605265E9" w14:textId="77777777" w:rsidR="00300320" w:rsidRPr="007E2A8A" w:rsidRDefault="007E2A8A" w:rsidP="007E2A8A">
            <w:pPr>
              <w:jc w:val="both"/>
              <w:rPr>
                <w:rFonts w:ascii="Arial" w:hAnsi="Arial" w:cs="Arial"/>
              </w:rPr>
            </w:pPr>
            <w:r w:rsidRPr="007E2A8A">
              <w:rPr>
                <w:rFonts w:ascii="Arial" w:hAnsi="Arial" w:cs="Arial"/>
              </w:rPr>
              <w:t>Strategia vizează asigurarea condițiilor</w:t>
            </w:r>
            <w:r>
              <w:rPr>
                <w:rFonts w:ascii="Arial" w:hAnsi="Arial" w:cs="Arial"/>
              </w:rPr>
              <w:t xml:space="preserve"> </w:t>
            </w:r>
            <w:r w:rsidRPr="007E2A8A">
              <w:rPr>
                <w:rFonts w:ascii="Arial" w:hAnsi="Arial" w:cs="Arial"/>
              </w:rPr>
              <w:t>pentru o viață demnă a cetățenilor din comunitățile urbane și rurale prin accesul la</w:t>
            </w:r>
            <w:r>
              <w:rPr>
                <w:rFonts w:ascii="Arial" w:hAnsi="Arial" w:cs="Arial"/>
              </w:rPr>
              <w:t xml:space="preserve"> </w:t>
            </w:r>
            <w:r w:rsidRPr="007E2A8A">
              <w:rPr>
                <w:rFonts w:ascii="Arial" w:hAnsi="Arial" w:cs="Arial"/>
              </w:rPr>
              <w:t>locuințe și servicii de bază adecvate, sigure</w:t>
            </w:r>
            <w:r>
              <w:rPr>
                <w:rFonts w:ascii="Arial" w:hAnsi="Arial" w:cs="Arial"/>
              </w:rPr>
              <w:t xml:space="preserve"> </w:t>
            </w:r>
            <w:r w:rsidRPr="007E2A8A">
              <w:rPr>
                <w:rFonts w:ascii="Arial" w:hAnsi="Arial" w:cs="Arial"/>
              </w:rPr>
              <w:t xml:space="preserve">și la prețuri accesibile; </w:t>
            </w:r>
            <w:r w:rsidRPr="007E2A8A">
              <w:rPr>
                <w:rFonts w:ascii="Arial" w:hAnsi="Arial" w:cs="Arial"/>
                <w:b/>
              </w:rPr>
              <w:t>accesul la transport</w:t>
            </w:r>
            <w:r>
              <w:rPr>
                <w:rFonts w:ascii="Arial" w:hAnsi="Arial" w:cs="Arial"/>
                <w:b/>
              </w:rPr>
              <w:t xml:space="preserve"> </w:t>
            </w:r>
            <w:r w:rsidRPr="007E2A8A">
              <w:rPr>
                <w:rFonts w:ascii="Arial" w:hAnsi="Arial" w:cs="Arial"/>
                <w:b/>
              </w:rPr>
              <w:t>public eficient, la prețuri echitabile și accesibile pentru toți</w:t>
            </w:r>
            <w:r w:rsidRPr="007E2A8A">
              <w:rPr>
                <w:rFonts w:ascii="Arial" w:hAnsi="Arial" w:cs="Arial"/>
              </w:rPr>
              <w:t xml:space="preserve">; </w:t>
            </w:r>
            <w:r w:rsidRPr="007E2A8A">
              <w:rPr>
                <w:rFonts w:ascii="Arial" w:hAnsi="Arial" w:cs="Arial"/>
                <w:b/>
              </w:rPr>
              <w:t>promovarea conceptului de smart-city</w:t>
            </w:r>
            <w:r w:rsidRPr="007E2A8A">
              <w:rPr>
                <w:rFonts w:ascii="Arial" w:hAnsi="Arial" w:cs="Arial"/>
              </w:rPr>
              <w:t>; consolidarea eforturilor de</w:t>
            </w:r>
            <w:r>
              <w:rPr>
                <w:rFonts w:ascii="Arial" w:hAnsi="Arial" w:cs="Arial"/>
              </w:rPr>
              <w:t xml:space="preserve"> </w:t>
            </w:r>
            <w:r w:rsidRPr="007E2A8A">
              <w:rPr>
                <w:rFonts w:ascii="Arial" w:hAnsi="Arial" w:cs="Arial"/>
              </w:rPr>
              <w:t xml:space="preserve">protecție și salvgardare a patrimoniului cultural; </w:t>
            </w:r>
            <w:r w:rsidRPr="007E2A8A">
              <w:rPr>
                <w:rFonts w:ascii="Arial" w:hAnsi="Arial" w:cs="Arial"/>
                <w:b/>
              </w:rPr>
              <w:t>reducerea impactului negativ asupra mediului în orașe</w:t>
            </w:r>
            <w:r w:rsidRPr="007E2A8A">
              <w:rPr>
                <w:rFonts w:ascii="Arial" w:hAnsi="Arial" w:cs="Arial"/>
              </w:rPr>
              <w:t>, inclusiv prin acordarea</w:t>
            </w:r>
            <w:r>
              <w:rPr>
                <w:rFonts w:ascii="Arial" w:hAnsi="Arial" w:cs="Arial"/>
              </w:rPr>
              <w:t xml:space="preserve"> </w:t>
            </w:r>
            <w:r w:rsidRPr="007E2A8A">
              <w:rPr>
                <w:rFonts w:ascii="Arial" w:hAnsi="Arial" w:cs="Arial"/>
              </w:rPr>
              <w:t>unei atenții deosebite calității aerului și</w:t>
            </w:r>
            <w:r>
              <w:rPr>
                <w:rFonts w:ascii="Arial" w:hAnsi="Arial" w:cs="Arial"/>
              </w:rPr>
              <w:t xml:space="preserve"> </w:t>
            </w:r>
            <w:r w:rsidRPr="007E2A8A">
              <w:rPr>
                <w:rFonts w:ascii="Arial" w:hAnsi="Arial" w:cs="Arial"/>
              </w:rPr>
              <w:t>mediului în general.</w:t>
            </w:r>
          </w:p>
        </w:tc>
        <w:tc>
          <w:tcPr>
            <w:tcW w:w="2880" w:type="dxa"/>
          </w:tcPr>
          <w:p w14:paraId="541C7E19" w14:textId="77777777" w:rsidR="00300320" w:rsidRDefault="007E2A8A" w:rsidP="007E2A8A">
            <w:pPr>
              <w:jc w:val="both"/>
              <w:rPr>
                <w:rFonts w:ascii="Arial" w:hAnsi="Arial" w:cs="Arial"/>
              </w:rPr>
            </w:pPr>
            <w:r>
              <w:rPr>
                <w:rFonts w:ascii="Arial" w:hAnsi="Arial" w:cs="Arial"/>
              </w:rPr>
              <w:t xml:space="preserve">- </w:t>
            </w:r>
            <w:r w:rsidRPr="007E2A8A">
              <w:rPr>
                <w:rFonts w:ascii="Arial" w:hAnsi="Arial" w:cs="Arial"/>
              </w:rPr>
              <w:t>Asigurarea accesului la sisteme de</w:t>
            </w:r>
            <w:r>
              <w:rPr>
                <w:rFonts w:ascii="Arial" w:hAnsi="Arial" w:cs="Arial"/>
              </w:rPr>
              <w:t xml:space="preserve"> </w:t>
            </w:r>
            <w:r w:rsidRPr="007E2A8A">
              <w:rPr>
                <w:rFonts w:ascii="Arial" w:hAnsi="Arial" w:cs="Arial"/>
              </w:rPr>
              <w:t>transport sigure, la prețuri echitabile,</w:t>
            </w:r>
            <w:r>
              <w:rPr>
                <w:rFonts w:ascii="Arial" w:hAnsi="Arial" w:cs="Arial"/>
              </w:rPr>
              <w:t xml:space="preserve"> </w:t>
            </w:r>
            <w:r w:rsidRPr="007E2A8A">
              <w:rPr>
                <w:rFonts w:ascii="Arial" w:hAnsi="Arial" w:cs="Arial"/>
              </w:rPr>
              <w:t>accesibile și durabile pentru toți, în</w:t>
            </w:r>
            <w:r>
              <w:rPr>
                <w:rFonts w:ascii="Arial" w:hAnsi="Arial" w:cs="Arial"/>
              </w:rPr>
              <w:t xml:space="preserve"> </w:t>
            </w:r>
            <w:r w:rsidRPr="007E2A8A">
              <w:rPr>
                <w:rFonts w:ascii="Arial" w:hAnsi="Arial" w:cs="Arial"/>
              </w:rPr>
              <w:t>special prin extinderea rețelelor de</w:t>
            </w:r>
            <w:r>
              <w:rPr>
                <w:rFonts w:ascii="Arial" w:hAnsi="Arial" w:cs="Arial"/>
              </w:rPr>
              <w:t xml:space="preserve"> </w:t>
            </w:r>
            <w:r w:rsidRPr="007E2A8A">
              <w:rPr>
                <w:rFonts w:ascii="Arial" w:hAnsi="Arial" w:cs="Arial"/>
              </w:rPr>
              <w:t>transport public, acordând o atenție</w:t>
            </w:r>
            <w:r>
              <w:rPr>
                <w:rFonts w:ascii="Arial" w:hAnsi="Arial" w:cs="Arial"/>
              </w:rPr>
              <w:t xml:space="preserve"> </w:t>
            </w:r>
            <w:r w:rsidRPr="007E2A8A">
              <w:rPr>
                <w:rFonts w:ascii="Arial" w:hAnsi="Arial" w:cs="Arial"/>
              </w:rPr>
              <w:t>deosebită nevoilor celor aflați în</w:t>
            </w:r>
            <w:r>
              <w:rPr>
                <w:rFonts w:ascii="Arial" w:hAnsi="Arial" w:cs="Arial"/>
              </w:rPr>
              <w:t xml:space="preserve"> </w:t>
            </w:r>
            <w:r w:rsidRPr="007E2A8A">
              <w:rPr>
                <w:rFonts w:ascii="Arial" w:hAnsi="Arial" w:cs="Arial"/>
              </w:rPr>
              <w:t>situații vulnerabile, femei, copii,</w:t>
            </w:r>
            <w:r>
              <w:rPr>
                <w:rFonts w:ascii="Arial" w:hAnsi="Arial" w:cs="Arial"/>
              </w:rPr>
              <w:t xml:space="preserve"> </w:t>
            </w:r>
            <w:r w:rsidRPr="007E2A8A">
              <w:rPr>
                <w:rFonts w:ascii="Arial" w:hAnsi="Arial" w:cs="Arial"/>
              </w:rPr>
              <w:t>persoane cu dizabilități și în etate</w:t>
            </w:r>
          </w:p>
          <w:p w14:paraId="641E78D8" w14:textId="77777777" w:rsidR="007E2A8A" w:rsidRPr="007E2A8A" w:rsidRDefault="007E2A8A" w:rsidP="007E2A8A">
            <w:pPr>
              <w:jc w:val="both"/>
              <w:rPr>
                <w:rFonts w:ascii="Arial" w:hAnsi="Arial" w:cs="Arial"/>
              </w:rPr>
            </w:pPr>
            <w:r>
              <w:rPr>
                <w:rFonts w:ascii="Arial" w:hAnsi="Arial" w:cs="Arial"/>
              </w:rPr>
              <w:t xml:space="preserve">- </w:t>
            </w:r>
            <w:r w:rsidRPr="007E2A8A">
              <w:rPr>
                <w:rFonts w:ascii="Arial" w:hAnsi="Arial" w:cs="Arial"/>
              </w:rPr>
              <w:t>Elaborarea și punerea în aplicare a unui program general de planificare spațială și amenajare a teritoriului în corelare cu strategiile sectoriale la nivel</w:t>
            </w:r>
          </w:p>
          <w:p w14:paraId="000EE8AA" w14:textId="77777777" w:rsidR="007E2A8A" w:rsidRDefault="007E2A8A" w:rsidP="007E2A8A">
            <w:pPr>
              <w:jc w:val="both"/>
              <w:rPr>
                <w:rFonts w:ascii="Arial" w:hAnsi="Arial" w:cs="Arial"/>
              </w:rPr>
            </w:pPr>
            <w:r w:rsidRPr="007E2A8A">
              <w:rPr>
                <w:rFonts w:ascii="Arial" w:hAnsi="Arial" w:cs="Arial"/>
              </w:rPr>
              <w:t>național prin aplicarea conceptului de dezvoltare spațială policentrică și echilibrată, care să susțină coeziunea teritorială</w:t>
            </w:r>
          </w:p>
          <w:p w14:paraId="57006E57" w14:textId="77777777" w:rsidR="007E2A8A" w:rsidRPr="007E2A8A" w:rsidRDefault="007E2A8A" w:rsidP="007E2A8A">
            <w:pPr>
              <w:jc w:val="both"/>
              <w:rPr>
                <w:rFonts w:ascii="Arial" w:hAnsi="Arial" w:cs="Arial"/>
              </w:rPr>
            </w:pPr>
            <w:r>
              <w:rPr>
                <w:rFonts w:ascii="Arial" w:hAnsi="Arial" w:cs="Arial"/>
              </w:rPr>
              <w:t xml:space="preserve">- </w:t>
            </w:r>
            <w:r w:rsidRPr="007E2A8A">
              <w:rPr>
                <w:rFonts w:ascii="Arial" w:hAnsi="Arial" w:cs="Arial"/>
              </w:rPr>
              <w:t>Reducerea efectelor pe care poluarea atmosferică le are asupra sănătății umane și a mediului prin acordarea unei atenții deosebite calității aerului</w:t>
            </w:r>
          </w:p>
        </w:tc>
      </w:tr>
      <w:tr w:rsidR="00300320" w14:paraId="19BC1DD6" w14:textId="77777777" w:rsidTr="007E2A8A">
        <w:tc>
          <w:tcPr>
            <w:tcW w:w="3415" w:type="dxa"/>
          </w:tcPr>
          <w:p w14:paraId="7E33E4AD" w14:textId="77777777" w:rsidR="00300320" w:rsidRDefault="00300320" w:rsidP="00A46299">
            <w:pPr>
              <w:jc w:val="both"/>
              <w:rPr>
                <w:rFonts w:ascii="Arial" w:hAnsi="Arial" w:cs="Arial"/>
                <w:b/>
              </w:rPr>
            </w:pPr>
            <w:r>
              <w:rPr>
                <w:rFonts w:ascii="Arial" w:hAnsi="Arial" w:cs="Arial"/>
                <w:b/>
              </w:rPr>
              <w:t>Obiectivul 13 – Acţiune în domeniul schimbărilor climatice</w:t>
            </w:r>
          </w:p>
        </w:tc>
        <w:tc>
          <w:tcPr>
            <w:tcW w:w="3330" w:type="dxa"/>
          </w:tcPr>
          <w:p w14:paraId="27D8BB95" w14:textId="77777777" w:rsidR="00300320" w:rsidRPr="007E2A8A" w:rsidRDefault="007E2A8A" w:rsidP="007E2A8A">
            <w:pPr>
              <w:jc w:val="both"/>
              <w:rPr>
                <w:rFonts w:ascii="Arial" w:hAnsi="Arial" w:cs="Arial"/>
              </w:rPr>
            </w:pPr>
            <w:r w:rsidRPr="007E2A8A">
              <w:rPr>
                <w:rFonts w:ascii="Arial" w:hAnsi="Arial" w:cs="Arial"/>
              </w:rPr>
              <w:t>Strategia vizează consolidarea capacității de adaptare și reziliență a României pentru a combate pericolele legate de schimbările climatice și dezastrele naturale prin integrarea măsurilor de diminuare și de adaptare la schimbările climatice și dezastrele naturale atât în strategiile cât și în politicile naționale și în planifi carea și creșterea nivelului de educație și conștientizare privind schimbările climatice</w:t>
            </w:r>
          </w:p>
        </w:tc>
        <w:tc>
          <w:tcPr>
            <w:tcW w:w="2880" w:type="dxa"/>
          </w:tcPr>
          <w:p w14:paraId="40A10AFC" w14:textId="77777777" w:rsidR="007E2A8A" w:rsidRPr="007E2A8A" w:rsidRDefault="007E2A8A" w:rsidP="007E2A8A">
            <w:pPr>
              <w:jc w:val="both"/>
              <w:rPr>
                <w:rFonts w:ascii="Arial" w:hAnsi="Arial" w:cs="Arial"/>
                <w:b/>
              </w:rPr>
            </w:pPr>
            <w:r w:rsidRPr="007E2A8A">
              <w:rPr>
                <w:rFonts w:ascii="Arial" w:hAnsi="Arial" w:cs="Arial"/>
                <w:b/>
              </w:rPr>
              <w:t>Intensificarea eforturilor României</w:t>
            </w:r>
            <w:r>
              <w:rPr>
                <w:rFonts w:ascii="Arial" w:hAnsi="Arial" w:cs="Arial"/>
                <w:b/>
              </w:rPr>
              <w:t xml:space="preserve"> </w:t>
            </w:r>
            <w:r w:rsidRPr="007E2A8A">
              <w:rPr>
                <w:rFonts w:ascii="Arial" w:hAnsi="Arial" w:cs="Arial"/>
                <w:b/>
              </w:rPr>
              <w:t>pentru a realiza tranziția la o economie</w:t>
            </w:r>
            <w:r>
              <w:rPr>
                <w:rFonts w:ascii="Arial" w:hAnsi="Arial" w:cs="Arial"/>
                <w:b/>
              </w:rPr>
              <w:t xml:space="preserve"> </w:t>
            </w:r>
            <w:r w:rsidRPr="007E2A8A">
              <w:rPr>
                <w:rFonts w:ascii="Arial" w:hAnsi="Arial" w:cs="Arial"/>
                <w:b/>
              </w:rPr>
              <w:t>„verde”, cu emisii reduse de dioxid</w:t>
            </w:r>
            <w:r>
              <w:rPr>
                <w:rFonts w:ascii="Arial" w:hAnsi="Arial" w:cs="Arial"/>
                <w:b/>
              </w:rPr>
              <w:t xml:space="preserve"> </w:t>
            </w:r>
            <w:r w:rsidRPr="007E2A8A">
              <w:rPr>
                <w:rFonts w:ascii="Arial" w:hAnsi="Arial" w:cs="Arial"/>
                <w:b/>
              </w:rPr>
              <w:t>de carbon, rezilientă la schimbările</w:t>
            </w:r>
            <w:r>
              <w:rPr>
                <w:rFonts w:ascii="Arial" w:hAnsi="Arial" w:cs="Arial"/>
                <w:b/>
              </w:rPr>
              <w:t xml:space="preserve"> </w:t>
            </w:r>
            <w:r w:rsidRPr="007E2A8A">
              <w:rPr>
                <w:rFonts w:ascii="Arial" w:hAnsi="Arial" w:cs="Arial"/>
                <w:b/>
              </w:rPr>
              <w:t>climatice și pentru integrarea măsurilor</w:t>
            </w:r>
          </w:p>
          <w:p w14:paraId="7D2F46CD" w14:textId="77777777" w:rsidR="00300320" w:rsidRDefault="007E2A8A" w:rsidP="007E2A8A">
            <w:pPr>
              <w:jc w:val="both"/>
              <w:rPr>
                <w:rFonts w:ascii="Arial" w:hAnsi="Arial" w:cs="Arial"/>
                <w:b/>
              </w:rPr>
            </w:pPr>
            <w:r w:rsidRPr="007E2A8A">
              <w:rPr>
                <w:rFonts w:ascii="Arial" w:hAnsi="Arial" w:cs="Arial"/>
                <w:b/>
              </w:rPr>
              <w:t>de adaptare la schimbările climatice</w:t>
            </w:r>
            <w:r>
              <w:rPr>
                <w:rFonts w:ascii="Arial" w:hAnsi="Arial" w:cs="Arial"/>
                <w:b/>
              </w:rPr>
              <w:t xml:space="preserve"> </w:t>
            </w:r>
            <w:r w:rsidRPr="007E2A8A">
              <w:rPr>
                <w:rFonts w:ascii="Arial" w:hAnsi="Arial" w:cs="Arial"/>
                <w:b/>
              </w:rPr>
              <w:t>în sectoarele vulnerabile economice,</w:t>
            </w:r>
            <w:r>
              <w:rPr>
                <w:rFonts w:ascii="Arial" w:hAnsi="Arial" w:cs="Arial"/>
                <w:b/>
              </w:rPr>
              <w:t xml:space="preserve"> </w:t>
            </w:r>
            <w:r w:rsidRPr="007E2A8A">
              <w:rPr>
                <w:rFonts w:ascii="Arial" w:hAnsi="Arial" w:cs="Arial"/>
                <w:b/>
              </w:rPr>
              <w:t>sociale şi de mediu, în conformitate cu</w:t>
            </w:r>
            <w:r>
              <w:rPr>
                <w:rFonts w:ascii="Arial" w:hAnsi="Arial" w:cs="Arial"/>
                <w:b/>
              </w:rPr>
              <w:t xml:space="preserve"> </w:t>
            </w:r>
            <w:r w:rsidRPr="007E2A8A">
              <w:rPr>
                <w:rFonts w:ascii="Arial" w:hAnsi="Arial" w:cs="Arial"/>
                <w:b/>
              </w:rPr>
              <w:t>politicile UE</w:t>
            </w:r>
          </w:p>
        </w:tc>
      </w:tr>
    </w:tbl>
    <w:p w14:paraId="60D15BDA" w14:textId="77777777" w:rsidR="00A46299" w:rsidRDefault="00A46299" w:rsidP="00A46299">
      <w:pPr>
        <w:spacing w:after="0"/>
        <w:jc w:val="both"/>
        <w:rPr>
          <w:rFonts w:ascii="Arial" w:hAnsi="Arial" w:cs="Arial"/>
          <w:b/>
        </w:rPr>
      </w:pPr>
    </w:p>
    <w:p w14:paraId="5ABDB47A" w14:textId="77777777" w:rsidR="00A46299" w:rsidRPr="007E2A8A" w:rsidRDefault="00A46299" w:rsidP="007E2A8A">
      <w:pPr>
        <w:spacing w:line="276" w:lineRule="auto"/>
        <w:jc w:val="both"/>
        <w:rPr>
          <w:rFonts w:ascii="Arial" w:eastAsia="Calibri" w:hAnsi="Arial" w:cs="Arial"/>
          <w:lang w:val="it-IT" w:eastAsia="ro-RO"/>
        </w:rPr>
      </w:pPr>
      <w:r w:rsidRPr="007E2A8A">
        <w:rPr>
          <w:rFonts w:ascii="Arial" w:eastAsia="Calibri" w:hAnsi="Arial" w:cs="Arial"/>
          <w:lang w:val="it-IT" w:eastAsia="ro-RO"/>
        </w:rPr>
        <w:t>Domeniul transporturilor este considerat prioritar în contextul planurilor de dezvoltare ale</w:t>
      </w:r>
      <w:r w:rsidR="007E2A8A" w:rsidRPr="007E2A8A">
        <w:rPr>
          <w:rFonts w:ascii="Arial" w:eastAsia="Calibri" w:hAnsi="Arial" w:cs="Arial"/>
          <w:lang w:val="it-IT" w:eastAsia="ro-RO"/>
        </w:rPr>
        <w:t xml:space="preserve"> </w:t>
      </w:r>
      <w:r w:rsidRPr="007E2A8A">
        <w:rPr>
          <w:rFonts w:ascii="Arial" w:eastAsia="Calibri" w:hAnsi="Arial" w:cs="Arial"/>
          <w:lang w:val="it-IT" w:eastAsia="ro-RO"/>
        </w:rPr>
        <w:t xml:space="preserve">României, date fiind relațiile sale de interdependență cu celelalte ramuri ale economiei naționale, valoarea serviciilor </w:t>
      </w:r>
      <w:r w:rsidR="007E2A8A" w:rsidRPr="007E2A8A">
        <w:rPr>
          <w:rFonts w:ascii="Arial" w:eastAsia="Calibri" w:hAnsi="Arial" w:cs="Arial"/>
          <w:lang w:val="it-IT" w:eastAsia="ro-RO"/>
        </w:rPr>
        <w:t>o</w:t>
      </w:r>
      <w:r w:rsidRPr="007E2A8A">
        <w:rPr>
          <w:rFonts w:ascii="Arial" w:eastAsia="Calibri" w:hAnsi="Arial" w:cs="Arial"/>
          <w:lang w:val="it-IT" w:eastAsia="ro-RO"/>
        </w:rPr>
        <w:t>ferite pentru populație</w:t>
      </w:r>
      <w:r w:rsidR="007E2A8A" w:rsidRPr="007E2A8A">
        <w:rPr>
          <w:rFonts w:ascii="Arial" w:eastAsia="Calibri" w:hAnsi="Arial" w:cs="Arial"/>
          <w:lang w:val="it-IT" w:eastAsia="ro-RO"/>
        </w:rPr>
        <w:t xml:space="preserve"> </w:t>
      </w:r>
      <w:r w:rsidRPr="007E2A8A">
        <w:rPr>
          <w:rFonts w:ascii="Arial" w:eastAsia="Calibri" w:hAnsi="Arial" w:cs="Arial"/>
          <w:lang w:val="it-IT" w:eastAsia="ro-RO"/>
        </w:rPr>
        <w:t xml:space="preserve">și impactul considerabil asupra mediului. </w:t>
      </w:r>
    </w:p>
    <w:p w14:paraId="3AC196F2" w14:textId="77777777" w:rsidR="007E2A8A" w:rsidRDefault="007E2A8A" w:rsidP="006922D0">
      <w:pPr>
        <w:spacing w:line="276" w:lineRule="auto"/>
        <w:jc w:val="both"/>
        <w:rPr>
          <w:rFonts w:ascii="Arial" w:eastAsia="Calibri" w:hAnsi="Arial" w:cs="Arial"/>
          <w:lang w:val="it-IT" w:eastAsia="ro-RO"/>
        </w:rPr>
      </w:pPr>
      <w:r w:rsidRPr="00F434B2">
        <w:rPr>
          <w:rFonts w:ascii="Arial" w:eastAsia="Calibri" w:hAnsi="Arial" w:cs="Arial"/>
          <w:lang w:val="it-IT" w:eastAsia="ro-RO"/>
        </w:rPr>
        <w:t xml:space="preserve">Prin propunerile din PMUD </w:t>
      </w:r>
      <w:r w:rsidR="00E8015D" w:rsidRPr="00F434B2">
        <w:rPr>
          <w:rFonts w:ascii="Arial" w:eastAsia="Calibri" w:hAnsi="Arial" w:cs="Arial"/>
          <w:lang w:val="it-IT" w:eastAsia="ro-RO"/>
        </w:rPr>
        <w:t>al orașului Horezu</w:t>
      </w:r>
      <w:r w:rsidRPr="00F434B2">
        <w:rPr>
          <w:rFonts w:ascii="Arial" w:eastAsia="Calibri" w:hAnsi="Arial" w:cs="Arial"/>
          <w:lang w:val="it-IT" w:eastAsia="ro-RO"/>
        </w:rPr>
        <w:t xml:space="preserve">, </w:t>
      </w:r>
      <w:r w:rsidR="00E8015D" w:rsidRPr="00F434B2">
        <w:rPr>
          <w:rFonts w:ascii="Arial" w:eastAsia="Calibri" w:hAnsi="Arial" w:cs="Arial"/>
          <w:lang w:val="it-IT" w:eastAsia="ro-RO"/>
        </w:rPr>
        <w:t>localitatea</w:t>
      </w:r>
      <w:r w:rsidRPr="00F434B2">
        <w:rPr>
          <w:rFonts w:ascii="Arial" w:eastAsia="Calibri" w:hAnsi="Arial" w:cs="Arial"/>
          <w:lang w:val="it-IT" w:eastAsia="ro-RO"/>
        </w:rPr>
        <w:t xml:space="preserve"> va beneficia de investiții care să atingă prioritățile precum accesul la transport public eficient, la prețuri echitabile și accesibile pentru toți, reducerea impactului negativ asupra mediului în orașe, </w:t>
      </w:r>
      <w:r w:rsidR="006922D0" w:rsidRPr="00F434B2">
        <w:rPr>
          <w:rFonts w:ascii="Arial" w:eastAsia="Calibri" w:hAnsi="Arial" w:cs="Arial"/>
          <w:lang w:val="it-IT" w:eastAsia="ro-RO"/>
        </w:rPr>
        <w:t>tranziția la o economie „verde”, cu emisii reduse de dioxid de carbon, rezilientă la schimbările climatice.</w:t>
      </w:r>
    </w:p>
    <w:p w14:paraId="38B6328F" w14:textId="77777777" w:rsidR="0045183F" w:rsidRDefault="0045183F" w:rsidP="006922D0">
      <w:pPr>
        <w:spacing w:line="276" w:lineRule="auto"/>
        <w:jc w:val="both"/>
        <w:rPr>
          <w:rFonts w:ascii="Arial" w:eastAsia="Calibri" w:hAnsi="Arial" w:cs="Arial"/>
          <w:lang w:val="it-IT" w:eastAsia="ro-RO"/>
        </w:rPr>
      </w:pPr>
    </w:p>
    <w:p w14:paraId="2FC88799" w14:textId="63E3F247" w:rsidR="006922D0" w:rsidRDefault="006922D0" w:rsidP="006922D0">
      <w:pPr>
        <w:spacing w:after="0" w:line="276" w:lineRule="auto"/>
        <w:jc w:val="both"/>
        <w:rPr>
          <w:rFonts w:ascii="Arial" w:eastAsia="Calibri" w:hAnsi="Arial" w:cs="Arial"/>
          <w:b/>
          <w:lang w:val="it-IT" w:eastAsia="ro-RO"/>
        </w:rPr>
      </w:pPr>
      <w:r w:rsidRPr="006922D0">
        <w:rPr>
          <w:rFonts w:ascii="Arial" w:eastAsia="Calibri" w:hAnsi="Arial" w:cs="Arial"/>
          <w:b/>
          <w:lang w:val="it-IT" w:eastAsia="ro-RO"/>
        </w:rPr>
        <w:lastRenderedPageBreak/>
        <w:t>Strategia Națională pentru Dezvoltare Durabilă a României Orizonturi 2013-2020-2030</w:t>
      </w:r>
      <w:r w:rsidR="0045183F">
        <w:rPr>
          <w:rStyle w:val="Referinnotdesubsol"/>
          <w:rFonts w:ascii="Arial" w:eastAsia="Calibri" w:hAnsi="Arial" w:cs="Arial"/>
          <w:b/>
          <w:lang w:val="it-IT" w:eastAsia="ro-RO"/>
        </w:rPr>
        <w:footnoteReference w:id="28"/>
      </w:r>
      <w:r w:rsidRPr="006922D0">
        <w:rPr>
          <w:rFonts w:ascii="Arial" w:eastAsia="Calibri" w:hAnsi="Arial" w:cs="Arial"/>
          <w:b/>
          <w:lang w:val="it-IT" w:eastAsia="ro-RO"/>
        </w:rPr>
        <w:t xml:space="preserve">  </w:t>
      </w:r>
    </w:p>
    <w:p w14:paraId="3B06CF93" w14:textId="77777777" w:rsidR="006922D0" w:rsidRDefault="006922D0" w:rsidP="006922D0">
      <w:pPr>
        <w:spacing w:after="0" w:line="276" w:lineRule="auto"/>
        <w:jc w:val="both"/>
        <w:rPr>
          <w:rFonts w:ascii="Arial" w:eastAsia="Calibri" w:hAnsi="Arial" w:cs="Arial"/>
          <w:lang w:val="it-IT" w:eastAsia="ro-RO"/>
        </w:rPr>
      </w:pPr>
      <w:r w:rsidRPr="006922D0">
        <w:rPr>
          <w:rFonts w:ascii="Arial" w:eastAsia="Calibri" w:hAnsi="Arial" w:cs="Arial"/>
          <w:lang w:val="it-IT" w:eastAsia="ro-RO"/>
        </w:rPr>
        <w:t>Document</w:t>
      </w:r>
      <w:r>
        <w:rPr>
          <w:rFonts w:ascii="Arial" w:eastAsia="Calibri" w:hAnsi="Arial" w:cs="Arial"/>
          <w:lang w:val="it-IT" w:eastAsia="ro-RO"/>
        </w:rPr>
        <w:t>ul</w:t>
      </w:r>
      <w:r w:rsidRPr="006922D0">
        <w:rPr>
          <w:rFonts w:ascii="Arial" w:eastAsia="Calibri" w:hAnsi="Arial" w:cs="Arial"/>
          <w:lang w:val="it-IT" w:eastAsia="ro-RO"/>
        </w:rPr>
        <w:t xml:space="preserve"> strategic elaborat de Guvernul României prin Ministerul Mediului și Dezvoltării Durabile și cu sprijinul Programului Națiunilor unite pentru Dezvoltare – Centrul Național pentru Dezvoltare Durabilă în anul 2008 </w:t>
      </w:r>
      <w:r>
        <w:rPr>
          <w:rFonts w:ascii="Arial" w:eastAsia="Calibri" w:hAnsi="Arial" w:cs="Arial"/>
          <w:lang w:val="it-IT" w:eastAsia="ro-RO"/>
        </w:rPr>
        <w:t>conţine</w:t>
      </w:r>
      <w:r w:rsidRPr="006922D0">
        <w:rPr>
          <w:rFonts w:ascii="Arial" w:eastAsia="Calibri" w:hAnsi="Arial" w:cs="Arial"/>
          <w:lang w:val="it-IT" w:eastAsia="ro-RO"/>
        </w:rPr>
        <w:t xml:space="preserve"> trei obiective având că orizont anii 2013, 2020 și 2030.  Obiectivul stabilit de documentul strategic pentru anul 2030 propune alinierea la performanțele medii ale UE privind indicatorii energetici și de schimbări climatice; îndeplinirea angajamentelor în domeniul reducerii emisiilor de gaze cu efect de seră în concordanta cu acordurile internaționale și comunitare existente și implementarea unor măsuri de adaptare la efectele schimbărilor climatice. </w:t>
      </w:r>
    </w:p>
    <w:p w14:paraId="0F560FD3" w14:textId="77777777" w:rsidR="006922D0" w:rsidRPr="006922D0" w:rsidRDefault="006922D0" w:rsidP="006922D0">
      <w:pPr>
        <w:spacing w:after="0" w:line="276" w:lineRule="auto"/>
        <w:jc w:val="both"/>
        <w:rPr>
          <w:rFonts w:ascii="Arial" w:eastAsia="Calibri" w:hAnsi="Arial" w:cs="Arial"/>
          <w:lang w:val="it-IT" w:eastAsia="ro-RO"/>
        </w:rPr>
      </w:pPr>
    </w:p>
    <w:p w14:paraId="73A9C7D3" w14:textId="77777777" w:rsidR="006922D0" w:rsidRPr="006922D0" w:rsidRDefault="006922D0" w:rsidP="006922D0">
      <w:pPr>
        <w:spacing w:after="0" w:line="276" w:lineRule="auto"/>
        <w:jc w:val="both"/>
        <w:rPr>
          <w:rFonts w:ascii="Arial" w:eastAsia="Calibri" w:hAnsi="Arial" w:cs="Arial"/>
          <w:lang w:val="it-IT" w:eastAsia="ro-RO"/>
        </w:rPr>
      </w:pPr>
      <w:r w:rsidRPr="006922D0">
        <w:rPr>
          <w:rFonts w:ascii="Arial" w:eastAsia="Calibri" w:hAnsi="Arial" w:cs="Arial"/>
          <w:lang w:val="it-IT" w:eastAsia="ro-RO"/>
        </w:rPr>
        <w:t xml:space="preserve">În domeniul transporturilor obiectivele sunt următoarele: </w:t>
      </w:r>
    </w:p>
    <w:p w14:paraId="5363D001" w14:textId="77777777" w:rsidR="006922D0" w:rsidRPr="006922D0" w:rsidRDefault="006922D0" w:rsidP="000C6CB8">
      <w:pPr>
        <w:pStyle w:val="Listparagraf"/>
        <w:numPr>
          <w:ilvl w:val="0"/>
          <w:numId w:val="147"/>
        </w:numPr>
        <w:spacing w:after="0"/>
        <w:jc w:val="both"/>
        <w:rPr>
          <w:rFonts w:ascii="Arial" w:eastAsia="Calibri" w:hAnsi="Arial" w:cs="Arial"/>
          <w:lang w:val="it-IT" w:eastAsia="ro-RO"/>
        </w:rPr>
      </w:pPr>
      <w:r w:rsidRPr="006922D0">
        <w:rPr>
          <w:rFonts w:ascii="Arial" w:eastAsia="Calibri" w:hAnsi="Arial" w:cs="Arial"/>
          <w:lang w:val="it-IT" w:eastAsia="ro-RO"/>
        </w:rPr>
        <w:t xml:space="preserve">Obiectiv general SDD/UE: Asigurarea că sistemele de transport să satisfacă nevoile economice, sociale și de mediu ale societății, reducând, în același timp, la minimum impactul lor nedorit asupra economiei, societății și mediului.  </w:t>
      </w:r>
    </w:p>
    <w:p w14:paraId="372F9500" w14:textId="77777777" w:rsidR="006922D0" w:rsidRPr="006922D0" w:rsidRDefault="006922D0" w:rsidP="000C6CB8">
      <w:pPr>
        <w:pStyle w:val="Listparagraf"/>
        <w:numPr>
          <w:ilvl w:val="0"/>
          <w:numId w:val="147"/>
        </w:numPr>
        <w:spacing w:after="0"/>
        <w:jc w:val="both"/>
        <w:rPr>
          <w:rFonts w:ascii="Arial" w:eastAsia="Calibri" w:hAnsi="Arial" w:cs="Arial"/>
          <w:lang w:val="it-IT" w:eastAsia="ro-RO"/>
        </w:rPr>
      </w:pPr>
      <w:r w:rsidRPr="006922D0">
        <w:rPr>
          <w:rFonts w:ascii="Arial" w:eastAsia="Calibri" w:hAnsi="Arial" w:cs="Arial"/>
          <w:lang w:val="it-IT" w:eastAsia="ro-RO"/>
        </w:rPr>
        <w:t xml:space="preserve">Orizont 2013. Obiectiv național: Promovarea unui sistem de transporturi în România care să faciliteze mișcarea în siguranța, rapidă și eficientă a persoanelor și mărfurilor la nivel național și internațional, în conformitate cu standardele europene. </w:t>
      </w:r>
    </w:p>
    <w:p w14:paraId="3773E449" w14:textId="77777777" w:rsidR="006922D0" w:rsidRPr="006922D0" w:rsidRDefault="006922D0" w:rsidP="000C6CB8">
      <w:pPr>
        <w:pStyle w:val="Listparagraf"/>
        <w:numPr>
          <w:ilvl w:val="0"/>
          <w:numId w:val="147"/>
        </w:numPr>
        <w:spacing w:after="0"/>
        <w:jc w:val="both"/>
        <w:rPr>
          <w:rFonts w:ascii="Arial" w:eastAsia="Calibri" w:hAnsi="Arial" w:cs="Arial"/>
          <w:lang w:val="it-IT" w:eastAsia="ro-RO"/>
        </w:rPr>
      </w:pPr>
      <w:r w:rsidRPr="006922D0">
        <w:rPr>
          <w:rFonts w:ascii="Arial" w:eastAsia="Calibri" w:hAnsi="Arial" w:cs="Arial"/>
          <w:lang w:val="it-IT" w:eastAsia="ro-RO"/>
        </w:rPr>
        <w:t xml:space="preserve">Orizont 2020. Obiectiv național: Atingerea nivelului mediu actual al UE în privința eficienței economice, sociale și de mediu a transporturilor și realizarea unor progrese substanțiale în dezvoltarea infrastructurii de transport. </w:t>
      </w:r>
    </w:p>
    <w:p w14:paraId="7409A2B4" w14:textId="77777777" w:rsidR="006922D0" w:rsidRDefault="006922D0" w:rsidP="000C6CB8">
      <w:pPr>
        <w:pStyle w:val="Listparagraf"/>
        <w:numPr>
          <w:ilvl w:val="0"/>
          <w:numId w:val="147"/>
        </w:numPr>
        <w:spacing w:after="0"/>
        <w:jc w:val="both"/>
        <w:rPr>
          <w:rFonts w:ascii="Arial" w:eastAsia="Calibri" w:hAnsi="Arial" w:cs="Arial"/>
          <w:lang w:val="it-IT" w:eastAsia="ro-RO"/>
        </w:rPr>
      </w:pPr>
      <w:r w:rsidRPr="006922D0">
        <w:rPr>
          <w:rFonts w:ascii="Arial" w:eastAsia="Calibri" w:hAnsi="Arial" w:cs="Arial"/>
          <w:lang w:val="it-IT" w:eastAsia="ro-RO"/>
        </w:rPr>
        <w:t>Orizont 2030. Obiectiv național: Apropierea de nivelul mediu al UE din acel an la toți parametrii de bază ai sustenabilității în activitatea de transporturi.</w:t>
      </w:r>
    </w:p>
    <w:p w14:paraId="30B3B998" w14:textId="77777777" w:rsidR="00C54049" w:rsidRDefault="006922D0" w:rsidP="006922D0">
      <w:pPr>
        <w:spacing w:after="0"/>
        <w:jc w:val="both"/>
        <w:rPr>
          <w:rFonts w:ascii="Arial" w:eastAsia="Calibri" w:hAnsi="Arial" w:cs="Arial"/>
          <w:lang w:val="it-IT" w:eastAsia="ro-RO"/>
        </w:rPr>
      </w:pPr>
      <w:r w:rsidRPr="006922D0">
        <w:rPr>
          <w:rFonts w:ascii="Arial" w:eastAsia="Calibri" w:hAnsi="Arial" w:cs="Arial"/>
          <w:lang w:val="it-IT" w:eastAsia="ro-RO"/>
        </w:rPr>
        <w:t xml:space="preserve"> </w:t>
      </w:r>
    </w:p>
    <w:p w14:paraId="79E3CCC3" w14:textId="07955560" w:rsidR="00C54049" w:rsidRPr="00C54049" w:rsidRDefault="00C54049" w:rsidP="006922D0">
      <w:pPr>
        <w:spacing w:after="0"/>
        <w:jc w:val="both"/>
        <w:rPr>
          <w:rFonts w:ascii="Arial" w:eastAsia="Calibri" w:hAnsi="Arial" w:cs="Arial"/>
          <w:lang w:val="it-IT" w:eastAsia="ro-RO"/>
        </w:rPr>
      </w:pPr>
      <w:r w:rsidRPr="00C54049">
        <w:rPr>
          <w:rFonts w:ascii="Arial" w:eastAsia="Times New Roman" w:hAnsi="Arial" w:cs="Arial"/>
          <w:b/>
          <w:bCs/>
          <w:kern w:val="1"/>
          <w:lang w:val="ro-RO" w:eastAsia="zh-CN"/>
        </w:rPr>
        <w:t>Strategia pentru transport durabil pe perioada 2007-2013 şi 2020, 2030 (din 2007)</w:t>
      </w:r>
      <w:r w:rsidR="0045183F">
        <w:rPr>
          <w:rStyle w:val="Referinnotdesubsol"/>
          <w:rFonts w:ascii="Arial" w:eastAsia="Times New Roman" w:hAnsi="Arial" w:cs="Arial"/>
          <w:b/>
          <w:bCs/>
          <w:kern w:val="1"/>
          <w:lang w:val="ro-RO" w:eastAsia="zh-CN"/>
        </w:rPr>
        <w:footnoteReference w:id="29"/>
      </w:r>
    </w:p>
    <w:p w14:paraId="33335F29" w14:textId="77777777" w:rsidR="00C54049" w:rsidRPr="00C54049" w:rsidRDefault="00C54049" w:rsidP="00C54049">
      <w:pPr>
        <w:suppressAutoHyphens/>
        <w:autoSpaceDE w:val="0"/>
        <w:spacing w:after="0" w:line="276" w:lineRule="auto"/>
        <w:jc w:val="both"/>
        <w:rPr>
          <w:rFonts w:ascii="Arial" w:eastAsia="Times New Roman" w:hAnsi="Arial" w:cs="Arial"/>
          <w:bCs/>
          <w:kern w:val="1"/>
          <w:lang w:val="ro-RO" w:eastAsia="zh-CN"/>
        </w:rPr>
      </w:pPr>
      <w:r w:rsidRPr="00C54049">
        <w:rPr>
          <w:rFonts w:ascii="Arial" w:eastAsia="Times New Roman" w:hAnsi="Arial" w:cs="Arial"/>
          <w:bCs/>
          <w:kern w:val="1"/>
          <w:lang w:val="ro-RO" w:eastAsia="zh-CN"/>
        </w:rPr>
        <w:t>Domeniul transporturilor este considerat prioritar în contextul planurilor de dezvoltare ale României, date fiind relaţiile sale de interdependenţă cu celelalte ramuri ale economiei naţionale, valoarea serviciilor oferite pentru populaţie şi impactul considerabil asupra mediului. Dezvoltarea transporturilor are în vedere facilitarea includerii sistemelor urbane din România în mediul european prin îmbunătăţirea serviciilor rutiere, feroviare, maritime, fluviale şi aeriene având destinaţiile principale în Europa.</w:t>
      </w:r>
    </w:p>
    <w:p w14:paraId="54D6675C" w14:textId="77777777" w:rsidR="00C54049" w:rsidRDefault="00C54049" w:rsidP="00C54049">
      <w:pPr>
        <w:suppressAutoHyphens/>
        <w:autoSpaceDE w:val="0"/>
        <w:spacing w:after="0" w:line="276" w:lineRule="auto"/>
        <w:jc w:val="both"/>
        <w:rPr>
          <w:rFonts w:ascii="Arial" w:eastAsia="Times New Roman" w:hAnsi="Arial" w:cs="Arial"/>
          <w:bCs/>
          <w:kern w:val="1"/>
          <w:lang w:val="ro-RO" w:eastAsia="zh-CN"/>
        </w:rPr>
      </w:pPr>
    </w:p>
    <w:p w14:paraId="4048087E" w14:textId="77777777" w:rsidR="00C54049" w:rsidRPr="00C54049" w:rsidRDefault="00C54049" w:rsidP="00C54049">
      <w:pPr>
        <w:suppressAutoHyphens/>
        <w:autoSpaceDE w:val="0"/>
        <w:spacing w:after="0" w:line="276" w:lineRule="auto"/>
        <w:jc w:val="both"/>
        <w:rPr>
          <w:rFonts w:ascii="Arial" w:eastAsia="Times New Roman" w:hAnsi="Arial" w:cs="Arial"/>
          <w:bCs/>
          <w:kern w:val="1"/>
          <w:lang w:val="ro-RO" w:eastAsia="zh-CN"/>
        </w:rPr>
      </w:pPr>
      <w:r w:rsidRPr="00C54049">
        <w:rPr>
          <w:rFonts w:ascii="Arial" w:eastAsia="Times New Roman" w:hAnsi="Arial" w:cs="Arial"/>
          <w:bCs/>
          <w:kern w:val="1"/>
          <w:lang w:val="ro-RO" w:eastAsia="zh-CN"/>
        </w:rPr>
        <w:t>Se vor îmbunătăţi legăturile între oraşe prin stimularea serviciilor de transport public interurban şi de coordonare a gestiunii şi se va garanta o accesibilitate generală minimă a serviciilor publice pentru toţi cetăţenii, acordându-se o atenţie specială grupurilor vulnerabile (copii, bătrâni, persoane cu mobilitate redusă). Accesibilitatea transportului public la zonele cu densitate mică a populaţiei şi nuclee dispersate se va asigura la nivele minime stabilite.</w:t>
      </w:r>
    </w:p>
    <w:p w14:paraId="267A9BF9" w14:textId="77777777" w:rsidR="00C54049" w:rsidRDefault="00C54049" w:rsidP="00C54049">
      <w:pPr>
        <w:suppressAutoHyphens/>
        <w:autoSpaceDE w:val="0"/>
        <w:spacing w:after="0" w:line="276" w:lineRule="auto"/>
        <w:jc w:val="both"/>
        <w:rPr>
          <w:rFonts w:ascii="Arial" w:eastAsia="Times New Roman" w:hAnsi="Arial" w:cs="Arial"/>
          <w:bCs/>
          <w:kern w:val="1"/>
          <w:lang w:val="ro-RO" w:eastAsia="zh-CN"/>
        </w:rPr>
      </w:pPr>
    </w:p>
    <w:p w14:paraId="48BE5CE6" w14:textId="77777777" w:rsidR="00C54049" w:rsidRPr="00C54049" w:rsidRDefault="00C54049" w:rsidP="00C54049">
      <w:pPr>
        <w:suppressAutoHyphens/>
        <w:autoSpaceDE w:val="0"/>
        <w:spacing w:after="0" w:line="276" w:lineRule="auto"/>
        <w:jc w:val="both"/>
        <w:rPr>
          <w:rFonts w:ascii="Arial" w:eastAsia="Times New Roman" w:hAnsi="Arial" w:cs="Arial"/>
          <w:bCs/>
          <w:kern w:val="1"/>
          <w:lang w:val="ro-RO" w:eastAsia="zh-CN"/>
        </w:rPr>
      </w:pPr>
      <w:r w:rsidRPr="00C54049">
        <w:rPr>
          <w:rFonts w:ascii="Arial" w:eastAsia="Times New Roman" w:hAnsi="Arial" w:cs="Arial"/>
          <w:bCs/>
          <w:kern w:val="1"/>
          <w:lang w:val="ro-RO" w:eastAsia="zh-CN"/>
        </w:rPr>
        <w:t>Condiţiile de siguranţă vor creşte, estimându-se o reducere cu 50% a numărului de decese în urma accidentelor din transporturi în perspectiva anului 2030 faţă de anul 1998.</w:t>
      </w:r>
    </w:p>
    <w:p w14:paraId="49FEBB4C" w14:textId="77777777" w:rsidR="00C54049" w:rsidRPr="00C54049" w:rsidRDefault="00C54049" w:rsidP="00C54049">
      <w:pPr>
        <w:widowControl w:val="0"/>
        <w:suppressAutoHyphens/>
        <w:spacing w:after="0" w:line="276" w:lineRule="auto"/>
        <w:rPr>
          <w:rFonts w:ascii="Arial" w:eastAsia="Times New Roman" w:hAnsi="Arial" w:cs="Arial"/>
          <w:bCs/>
          <w:kern w:val="1"/>
          <w:lang w:val="ro-RO" w:eastAsia="zh-CN"/>
        </w:rPr>
      </w:pPr>
      <w:r w:rsidRPr="00C54049">
        <w:rPr>
          <w:rFonts w:ascii="Arial" w:eastAsia="Times New Roman" w:hAnsi="Arial" w:cs="Arial"/>
          <w:bCs/>
          <w:kern w:val="1"/>
          <w:lang w:val="ro-RO" w:eastAsia="zh-CN"/>
        </w:rPr>
        <w:t>În domeniul protecţiei infrastructurii de transport se va dezvolta o politică de „risc zero”, iar riscurile existente vor fi reevaluate continuu la toate modurile de transport.</w:t>
      </w:r>
    </w:p>
    <w:p w14:paraId="4C6420FC" w14:textId="77777777" w:rsidR="00C54049" w:rsidRPr="00C54049" w:rsidRDefault="00C54049" w:rsidP="003F6406">
      <w:pPr>
        <w:widowControl w:val="0"/>
        <w:suppressAutoHyphens/>
        <w:spacing w:after="0" w:line="276" w:lineRule="auto"/>
        <w:jc w:val="both"/>
        <w:rPr>
          <w:rFonts w:ascii="Arial" w:eastAsia="Times New Roman" w:hAnsi="Arial" w:cs="Arial"/>
          <w:bCs/>
          <w:kern w:val="1"/>
          <w:lang w:val="ro-RO" w:eastAsia="zh-CN"/>
        </w:rPr>
      </w:pPr>
      <w:r w:rsidRPr="00C54049">
        <w:rPr>
          <w:rFonts w:ascii="Arial" w:eastAsia="Times New Roman" w:hAnsi="Arial" w:cs="Arial"/>
          <w:bCs/>
          <w:kern w:val="1"/>
          <w:lang w:val="ro-RO" w:eastAsia="zh-CN"/>
        </w:rPr>
        <w:t>Accelerarea înnoirii parcului de vehicule prin scoaterea din exploatare a mijloacelor de transport cu uzură fizică şi morală avansată şi înlocuirea acestora cu mijloace moderne, corespunzătoare normelor tehnice şi de exploatare ale UE şi cu eficienţă economică, socială şi ecologică ridicată.</w:t>
      </w:r>
    </w:p>
    <w:p w14:paraId="38523D3D" w14:textId="77777777" w:rsidR="00C54049" w:rsidRDefault="00C54049" w:rsidP="00C54049">
      <w:pPr>
        <w:widowControl w:val="0"/>
        <w:suppressAutoHyphens/>
        <w:spacing w:after="0" w:line="276" w:lineRule="auto"/>
        <w:rPr>
          <w:rFonts w:ascii="Arial" w:eastAsia="Times New Roman" w:hAnsi="Arial" w:cs="Arial"/>
          <w:bCs/>
          <w:kern w:val="1"/>
          <w:lang w:val="ro-RO" w:eastAsia="zh-CN"/>
        </w:rPr>
      </w:pPr>
      <w:r w:rsidRPr="00C54049">
        <w:rPr>
          <w:rFonts w:ascii="Arial" w:eastAsia="Times New Roman" w:hAnsi="Arial" w:cs="Arial"/>
          <w:bCs/>
          <w:kern w:val="1"/>
          <w:lang w:val="ro-RO" w:eastAsia="zh-CN"/>
        </w:rPr>
        <w:lastRenderedPageBreak/>
        <w:t>Se va extinde sistemul coordonat de gestionare a traficului şi vor fi introduse sisteme noi de tarife pentru folosirea infrastructurii de către diferite grupuri de utilizatori.</w:t>
      </w:r>
    </w:p>
    <w:p w14:paraId="460410E5" w14:textId="77777777" w:rsidR="003F6406" w:rsidRDefault="003F6406" w:rsidP="00C54049">
      <w:pPr>
        <w:widowControl w:val="0"/>
        <w:suppressAutoHyphens/>
        <w:spacing w:after="0" w:line="276" w:lineRule="auto"/>
        <w:rPr>
          <w:rFonts w:ascii="Arial" w:eastAsia="Times New Roman" w:hAnsi="Arial" w:cs="Arial"/>
          <w:bCs/>
          <w:kern w:val="1"/>
          <w:lang w:val="ro-RO" w:eastAsia="zh-CN"/>
        </w:rPr>
      </w:pPr>
    </w:p>
    <w:p w14:paraId="250902D3" w14:textId="730EE1E0" w:rsidR="003F6406" w:rsidRDefault="003F6406" w:rsidP="00A81FA1">
      <w:pPr>
        <w:widowControl w:val="0"/>
        <w:suppressAutoHyphens/>
        <w:spacing w:after="0" w:line="276" w:lineRule="auto"/>
        <w:jc w:val="both"/>
        <w:rPr>
          <w:rFonts w:ascii="Arial" w:eastAsia="Times New Roman" w:hAnsi="Arial" w:cs="Arial"/>
          <w:bCs/>
          <w:kern w:val="1"/>
          <w:lang w:val="ro-RO" w:eastAsia="zh-CN"/>
        </w:rPr>
      </w:pPr>
      <w:r w:rsidRPr="003F6406">
        <w:rPr>
          <w:rFonts w:ascii="Arial" w:eastAsia="Times New Roman" w:hAnsi="Arial" w:cs="Arial"/>
          <w:b/>
          <w:kern w:val="1"/>
          <w:lang w:val="ro-RO" w:eastAsia="zh-CN"/>
        </w:rPr>
        <w:t>Strategia energetică a României 20</w:t>
      </w:r>
      <w:r w:rsidR="000359B4">
        <w:rPr>
          <w:rFonts w:ascii="Arial" w:eastAsia="Times New Roman" w:hAnsi="Arial" w:cs="Arial"/>
          <w:b/>
          <w:kern w:val="1"/>
          <w:lang w:val="ro-RO" w:eastAsia="zh-CN"/>
        </w:rPr>
        <w:t>20</w:t>
      </w:r>
      <w:r w:rsidRPr="003F6406">
        <w:rPr>
          <w:rFonts w:ascii="Arial" w:eastAsia="Times New Roman" w:hAnsi="Arial" w:cs="Arial"/>
          <w:b/>
          <w:kern w:val="1"/>
          <w:lang w:val="ro-RO" w:eastAsia="zh-CN"/>
        </w:rPr>
        <w:t>-2030, cu perspectiva anului 2050</w:t>
      </w:r>
      <w:r w:rsidR="0045183F">
        <w:rPr>
          <w:rStyle w:val="Referinnotdesubsol"/>
          <w:rFonts w:ascii="Arial" w:eastAsia="Times New Roman" w:hAnsi="Arial" w:cs="Arial"/>
          <w:b/>
          <w:kern w:val="1"/>
          <w:lang w:val="ro-RO" w:eastAsia="zh-CN"/>
        </w:rPr>
        <w:footnoteReference w:id="30"/>
      </w:r>
      <w:r>
        <w:rPr>
          <w:rFonts w:ascii="Arial" w:eastAsia="Times New Roman" w:hAnsi="Arial" w:cs="Arial"/>
          <w:bCs/>
          <w:kern w:val="1"/>
          <w:lang w:val="ro-RO" w:eastAsia="zh-CN"/>
        </w:rPr>
        <w:t xml:space="preserve">, aflată </w:t>
      </w:r>
      <w:r w:rsidR="00A81FA1">
        <w:rPr>
          <w:rFonts w:ascii="Arial" w:eastAsia="Times New Roman" w:hAnsi="Arial" w:cs="Arial"/>
          <w:bCs/>
          <w:kern w:val="1"/>
          <w:lang w:val="ro-RO" w:eastAsia="zh-CN"/>
        </w:rPr>
        <w:t>în proces de adoptare și pentru care s-a obținut avizul de mediu la nivelul lunii noiembrie 2020</w:t>
      </w:r>
      <w:r w:rsidR="00A81FA1" w:rsidRPr="00A81FA1">
        <w:t xml:space="preserve"> </w:t>
      </w:r>
      <w:r w:rsidR="00A81FA1">
        <w:rPr>
          <w:rFonts w:ascii="Arial" w:eastAsia="Times New Roman" w:hAnsi="Arial" w:cs="Arial"/>
          <w:bCs/>
          <w:kern w:val="1"/>
          <w:lang w:val="ro-RO" w:eastAsia="zh-CN"/>
        </w:rPr>
        <w:t>se dorește a fi un document programatic care definește viziunea și stabilește obiectivele fundamentale ale procesului de dezvoltare ale sectorului energetic. Documentele indică reperele naționale, europene și globale care influențează și determină politicile și deciziile din domeniul energetic. Viziunea este aceea de a crește sectorul energetic în condiții de sustenabilitate.</w:t>
      </w:r>
    </w:p>
    <w:p w14:paraId="65BE2620" w14:textId="77777777" w:rsidR="00A80A6A" w:rsidRDefault="00A80A6A" w:rsidP="00A81FA1">
      <w:pPr>
        <w:widowControl w:val="0"/>
        <w:suppressAutoHyphens/>
        <w:spacing w:after="0" w:line="276" w:lineRule="auto"/>
        <w:jc w:val="both"/>
        <w:rPr>
          <w:rFonts w:ascii="Arial" w:eastAsia="Times New Roman" w:hAnsi="Arial" w:cs="Arial"/>
          <w:bCs/>
          <w:kern w:val="1"/>
          <w:lang w:val="ro-RO" w:eastAsia="zh-CN"/>
        </w:rPr>
      </w:pPr>
    </w:p>
    <w:p w14:paraId="4AC992C9" w14:textId="77777777" w:rsidR="004D5580" w:rsidRPr="004D5580" w:rsidRDefault="00A80A6A" w:rsidP="001561DE">
      <w:pPr>
        <w:widowControl w:val="0"/>
        <w:suppressAutoHyphens/>
        <w:spacing w:after="0" w:line="276" w:lineRule="auto"/>
        <w:jc w:val="both"/>
        <w:rPr>
          <w:rFonts w:ascii="Arial" w:eastAsia="Times New Roman" w:hAnsi="Arial" w:cs="Arial"/>
          <w:bCs/>
          <w:kern w:val="1"/>
          <w:lang w:val="ro-RO" w:eastAsia="zh-CN"/>
        </w:rPr>
      </w:pPr>
      <w:r>
        <w:rPr>
          <w:rFonts w:ascii="Arial" w:eastAsia="Times New Roman" w:hAnsi="Arial" w:cs="Arial"/>
          <w:bCs/>
          <w:kern w:val="1"/>
          <w:lang w:val="ro-RO" w:eastAsia="zh-CN"/>
        </w:rPr>
        <w:t xml:space="preserve">De interes în ce privește mobilitatea sunt referirile la perspectivele sectorului energetic românesc între 2030 și 2050,  în particular ale rolului pe termen lung al autovehiculului electric în transporturi. </w:t>
      </w:r>
      <w:r w:rsidRPr="00A80A6A">
        <w:rPr>
          <w:rFonts w:ascii="Arial" w:eastAsia="Times New Roman" w:hAnsi="Arial" w:cs="Arial"/>
          <w:bCs/>
          <w:kern w:val="1"/>
          <w:lang w:val="ro-RO" w:eastAsia="zh-CN"/>
        </w:rPr>
        <w:t xml:space="preserve">Mobilitatea electrică reprezintă o alternativă solidă și credibilă, </w:t>
      </w:r>
      <w:r>
        <w:rPr>
          <w:rFonts w:ascii="Arial" w:eastAsia="Times New Roman" w:hAnsi="Arial" w:cs="Arial"/>
          <w:bCs/>
          <w:kern w:val="1"/>
          <w:lang w:val="ro-RO" w:eastAsia="zh-CN"/>
        </w:rPr>
        <w:t>pe</w:t>
      </w:r>
      <w:r w:rsidRPr="00A80A6A">
        <w:rPr>
          <w:rFonts w:ascii="Arial" w:eastAsia="Times New Roman" w:hAnsi="Arial" w:cs="Arial"/>
          <w:bCs/>
          <w:kern w:val="1"/>
          <w:lang w:val="ro-RO" w:eastAsia="zh-CN"/>
        </w:rPr>
        <w:t xml:space="preserve"> termen lung, la motorul cu ardere internă</w:t>
      </w:r>
      <w:r>
        <w:rPr>
          <w:rFonts w:ascii="Arial" w:eastAsia="Times New Roman" w:hAnsi="Arial" w:cs="Arial"/>
          <w:bCs/>
          <w:kern w:val="1"/>
          <w:lang w:val="ro-RO" w:eastAsia="zh-CN"/>
        </w:rPr>
        <w:t>, se precizează în cadrul strategiei</w:t>
      </w:r>
      <w:r w:rsidRPr="00A80A6A">
        <w:rPr>
          <w:rFonts w:ascii="Arial" w:eastAsia="Times New Roman" w:hAnsi="Arial" w:cs="Arial"/>
          <w:bCs/>
          <w:kern w:val="1"/>
          <w:lang w:val="ro-RO" w:eastAsia="zh-CN"/>
        </w:rPr>
        <w:t>. Gazele naturale, GPL-ul și hidrogenul sunt combustibili alternativi viabili pentru sectorul transporturilor, însă este puțin probabil să ofere o soluție de înlocuire pe scară largă a produselor petroliere în mixul energetic.</w:t>
      </w:r>
      <w:r w:rsidR="004D5580" w:rsidRPr="004D5580">
        <w:t xml:space="preserve"> </w:t>
      </w:r>
      <w:r w:rsidR="004D5580" w:rsidRPr="004D5580">
        <w:rPr>
          <w:rFonts w:ascii="Arial" w:eastAsia="Times New Roman" w:hAnsi="Arial" w:cs="Arial"/>
          <w:bCs/>
          <w:kern w:val="1"/>
          <w:lang w:val="ro-RO" w:eastAsia="zh-CN"/>
        </w:rPr>
        <w:t>Pe termen lung</w:t>
      </w:r>
      <w:r w:rsidR="004D5580">
        <w:rPr>
          <w:rFonts w:ascii="Arial" w:eastAsia="Times New Roman" w:hAnsi="Arial" w:cs="Arial"/>
          <w:bCs/>
          <w:kern w:val="1"/>
          <w:lang w:val="ro-RO" w:eastAsia="zh-CN"/>
        </w:rPr>
        <w:t xml:space="preserve">, </w:t>
      </w:r>
      <w:r w:rsidR="004D5580" w:rsidRPr="004D5580">
        <w:rPr>
          <w:rFonts w:ascii="Arial" w:eastAsia="Times New Roman" w:hAnsi="Arial" w:cs="Arial"/>
          <w:bCs/>
          <w:kern w:val="1"/>
          <w:lang w:val="ro-RO" w:eastAsia="zh-CN"/>
        </w:rPr>
        <w:t>autovehiculele electrice sunt de așteptat să dețină un rol central, pe măsură ce crește eficiența bateriilor, respectiv producția în cantități mari a energiei electrice curate.</w:t>
      </w:r>
      <w:r w:rsidR="004D5580">
        <w:rPr>
          <w:rFonts w:ascii="Arial" w:eastAsia="Times New Roman" w:hAnsi="Arial" w:cs="Arial"/>
          <w:bCs/>
          <w:kern w:val="1"/>
          <w:lang w:val="ro-RO" w:eastAsia="zh-CN"/>
        </w:rPr>
        <w:t xml:space="preserve"> </w:t>
      </w:r>
      <w:r w:rsidR="004D5580" w:rsidRPr="004D5580">
        <w:rPr>
          <w:rFonts w:ascii="Arial" w:eastAsia="Times New Roman" w:hAnsi="Arial" w:cs="Arial"/>
          <w:bCs/>
          <w:kern w:val="1"/>
          <w:lang w:val="ro-RO" w:eastAsia="zh-CN"/>
        </w:rPr>
        <w:t>Astfel, aproape 60% din parcul auto ar urma să aibă, în 2050, o formă de propulsie electrică. Dintre autovehiculele pe motorină și benzină, o bună parte ar putea folosi produse energetice pe bază de biomasă.</w:t>
      </w:r>
      <w:r w:rsidR="004D5580">
        <w:rPr>
          <w:rFonts w:ascii="Arial" w:eastAsia="Times New Roman" w:hAnsi="Arial" w:cs="Arial"/>
          <w:bCs/>
          <w:kern w:val="1"/>
          <w:lang w:val="ro-RO" w:eastAsia="zh-CN"/>
        </w:rPr>
        <w:t xml:space="preserve"> </w:t>
      </w:r>
      <w:r w:rsidR="004D5580" w:rsidRPr="004D5580">
        <w:rPr>
          <w:rFonts w:ascii="Arial" w:eastAsia="Times New Roman" w:hAnsi="Arial" w:cs="Arial"/>
          <w:bCs/>
          <w:kern w:val="1"/>
          <w:lang w:val="ro-RO" w:eastAsia="zh-CN"/>
        </w:rPr>
        <w:t>Tranziția de la motorul cu ardere internă către cel electric este probabil să aibă loc trecând prin etapa intermediară a autovehiculelor hibride (echipate cu ambele tipuri de motor), cu sau fără alimentare din rețeaua de energie electrică</w:t>
      </w:r>
      <w:r w:rsidR="004D5580">
        <w:rPr>
          <w:rFonts w:ascii="Arial" w:eastAsia="Times New Roman" w:hAnsi="Arial" w:cs="Arial"/>
          <w:bCs/>
          <w:kern w:val="1"/>
          <w:lang w:val="ro-RO" w:eastAsia="zh-CN"/>
        </w:rPr>
        <w:t>:</w:t>
      </w:r>
      <w:r w:rsidR="001561DE">
        <w:rPr>
          <w:rFonts w:ascii="Arial" w:eastAsia="Times New Roman" w:hAnsi="Arial" w:cs="Arial"/>
          <w:bCs/>
          <w:kern w:val="1"/>
          <w:lang w:val="ro-RO" w:eastAsia="zh-CN"/>
        </w:rPr>
        <w:t xml:space="preserve"> a</w:t>
      </w:r>
      <w:r w:rsidR="004D5580">
        <w:rPr>
          <w:rFonts w:ascii="Arial" w:hAnsi="Arial" w:cs="Arial"/>
          <w:bCs/>
          <w:kern w:val="1"/>
          <w:lang w:val="ro-RO"/>
        </w:rPr>
        <w:t>utovehicule hibride</w:t>
      </w:r>
      <w:r w:rsidR="001561DE">
        <w:rPr>
          <w:rFonts w:ascii="Arial" w:hAnsi="Arial" w:cs="Arial"/>
          <w:bCs/>
          <w:kern w:val="1"/>
          <w:lang w:val="ro-RO"/>
        </w:rPr>
        <w:t xml:space="preserve"> </w:t>
      </w:r>
      <w:r w:rsidR="001561DE" w:rsidRPr="001561DE">
        <w:rPr>
          <w:rFonts w:ascii="Arial" w:hAnsi="Arial" w:cs="Arial"/>
          <w:bCs/>
          <w:kern w:val="1"/>
          <w:lang w:val="ro-RO"/>
        </w:rPr>
        <w:t>pentru care motorul electric are doar un rol marginal, la viteze mici, în traficul urban</w:t>
      </w:r>
      <w:r w:rsidR="001561DE">
        <w:rPr>
          <w:rFonts w:ascii="Arial" w:hAnsi="Arial" w:cs="Arial"/>
          <w:bCs/>
          <w:kern w:val="1"/>
          <w:lang w:val="ro-RO"/>
        </w:rPr>
        <w:t xml:space="preserve">, apoi </w:t>
      </w:r>
      <w:r w:rsidR="001561DE" w:rsidRPr="001561DE">
        <w:rPr>
          <w:rFonts w:ascii="Arial" w:hAnsi="Arial" w:cs="Arial"/>
          <w:bCs/>
          <w:kern w:val="1"/>
          <w:lang w:val="ro-RO"/>
        </w:rPr>
        <w:t>creșterea numărului de autovehicule hibride de tip plug-in, a căror baterie de capacitate medie se poate încărca de la o sursă externă de energie electrică</w:t>
      </w:r>
      <w:r w:rsidR="001561DE">
        <w:rPr>
          <w:rFonts w:ascii="Arial" w:hAnsi="Arial" w:cs="Arial"/>
          <w:bCs/>
          <w:kern w:val="1"/>
          <w:lang w:val="ro-RO"/>
        </w:rPr>
        <w:t xml:space="preserve"> și ulterior </w:t>
      </w:r>
      <w:r w:rsidR="001561DE" w:rsidRPr="001561DE">
        <w:rPr>
          <w:rFonts w:ascii="Arial" w:hAnsi="Arial" w:cs="Arial"/>
          <w:bCs/>
          <w:kern w:val="1"/>
          <w:lang w:val="ro-RO"/>
        </w:rPr>
        <w:t>creșterea rapidă a ponderii autovehiculelor pur electrice, cu baterii de mare capacitate, pe măsură ce costul lor scade, iar energia electrică provine în cea mai mare parte din surse cu emisii scăzute de GES.</w:t>
      </w:r>
    </w:p>
    <w:p w14:paraId="3210F7D8" w14:textId="77777777" w:rsidR="001561DE" w:rsidRDefault="001561DE" w:rsidP="001561DE">
      <w:pPr>
        <w:widowControl w:val="0"/>
        <w:suppressAutoHyphens/>
        <w:spacing w:after="0" w:line="276" w:lineRule="auto"/>
        <w:jc w:val="both"/>
        <w:rPr>
          <w:rFonts w:ascii="Arial" w:eastAsia="Times New Roman" w:hAnsi="Arial" w:cs="Arial"/>
          <w:bCs/>
          <w:kern w:val="1"/>
          <w:lang w:val="ro-RO" w:eastAsia="zh-CN"/>
        </w:rPr>
      </w:pPr>
    </w:p>
    <w:p w14:paraId="5000F69B" w14:textId="77777777" w:rsidR="00A81FA1" w:rsidRDefault="001561DE" w:rsidP="001561DE">
      <w:pPr>
        <w:widowControl w:val="0"/>
        <w:suppressAutoHyphens/>
        <w:spacing w:after="0" w:line="276" w:lineRule="auto"/>
        <w:jc w:val="both"/>
        <w:rPr>
          <w:rFonts w:ascii="Arial" w:eastAsia="Times New Roman" w:hAnsi="Arial" w:cs="Arial"/>
          <w:bCs/>
          <w:kern w:val="1"/>
          <w:lang w:val="ro-RO" w:eastAsia="zh-CN"/>
        </w:rPr>
      </w:pPr>
      <w:r>
        <w:rPr>
          <w:rFonts w:ascii="Arial" w:eastAsia="Times New Roman" w:hAnsi="Arial" w:cs="Arial"/>
          <w:bCs/>
          <w:kern w:val="1"/>
          <w:lang w:val="ro-RO" w:eastAsia="zh-CN"/>
        </w:rPr>
        <w:t>Se mai precizează în cuprinsul documentului că r</w:t>
      </w:r>
      <w:r w:rsidRPr="001561DE">
        <w:rPr>
          <w:rFonts w:ascii="Arial" w:eastAsia="Times New Roman" w:hAnsi="Arial" w:cs="Arial"/>
          <w:bCs/>
          <w:kern w:val="1"/>
          <w:lang w:val="ro-RO" w:eastAsia="zh-CN"/>
        </w:rPr>
        <w:t>ezultatele pentru 2030 nu indică modificări de substanță în ceea privește utilizarea combustibililor alternativi, întrucât această tranziție este de durată. România, prin vechimea parcului său auto, se află cu aproape 10 ani în urma statelor dezvoltate și va recupera doar parțial acest decalaj în următorii ani.</w:t>
      </w:r>
      <w:r>
        <w:rPr>
          <w:rFonts w:ascii="Arial" w:eastAsia="Times New Roman" w:hAnsi="Arial" w:cs="Arial"/>
          <w:bCs/>
          <w:kern w:val="1"/>
          <w:lang w:val="ro-RO" w:eastAsia="zh-CN"/>
        </w:rPr>
        <w:t xml:space="preserve"> </w:t>
      </w:r>
    </w:p>
    <w:p w14:paraId="500169AE" w14:textId="77777777" w:rsidR="004C1D28" w:rsidRDefault="004C1D28" w:rsidP="001561DE">
      <w:pPr>
        <w:jc w:val="both"/>
        <w:rPr>
          <w:rFonts w:ascii="Arial" w:hAnsi="Arial" w:cs="Arial"/>
        </w:rPr>
      </w:pPr>
    </w:p>
    <w:p w14:paraId="61401C17" w14:textId="77777777" w:rsidR="001561DE" w:rsidRPr="001561DE" w:rsidRDefault="001561DE" w:rsidP="001561DE">
      <w:pPr>
        <w:jc w:val="both"/>
        <w:rPr>
          <w:rFonts w:ascii="Arial" w:hAnsi="Arial" w:cs="Arial"/>
        </w:rPr>
      </w:pPr>
      <w:r w:rsidRPr="001561DE">
        <w:rPr>
          <w:rFonts w:ascii="Arial" w:hAnsi="Arial" w:cs="Arial"/>
        </w:rPr>
        <w:t>Date fiind vechimea parcului auto din România, ponderea mare a mașinilor rulate între cele nou înmatriculate și prețul mediu relativ scăzut al celor achiziționate, Strategia nu întrevede o pătrundere puternică a mobilității electrice până în 2030. Modelul PRIMES estimează parcul autoturismelor electrice la 30.000 în 2025 și 126.000 în 2030. Totodată, numărul mașinilor pe bază de hidrogen ar putea depăși 10000.</w:t>
      </w:r>
    </w:p>
    <w:p w14:paraId="73827D10" w14:textId="77777777" w:rsidR="001561DE" w:rsidRPr="001561DE" w:rsidRDefault="001561DE" w:rsidP="001561DE">
      <w:pPr>
        <w:jc w:val="both"/>
        <w:rPr>
          <w:rFonts w:ascii="Arial" w:hAnsi="Arial" w:cs="Arial"/>
        </w:rPr>
      </w:pPr>
      <w:r w:rsidRPr="001561DE">
        <w:rPr>
          <w:rFonts w:ascii="Arial" w:hAnsi="Arial" w:cs="Arial"/>
        </w:rPr>
        <w:t xml:space="preserve">Poluarea aerului cauzată de autoturisme va scădea considerabil, ca urmare a standardelor tot mai stricte cărora li se conformează generațiile noi. Astfel, rezultatele detaliate ale modelării arată că emisiile totale de particule vor scădea cu 25%, cele de noxe cu 45%, iar cele de monoxid de carbon (CO) cu 70%. </w:t>
      </w:r>
    </w:p>
    <w:p w14:paraId="7004BF6D" w14:textId="77777777" w:rsidR="001561DE" w:rsidRDefault="001561DE" w:rsidP="004C1D28">
      <w:pPr>
        <w:spacing w:line="276" w:lineRule="auto"/>
        <w:jc w:val="both"/>
        <w:rPr>
          <w:rFonts w:ascii="Arial" w:eastAsia="Calibri" w:hAnsi="Arial" w:cs="Arial"/>
          <w:lang w:val="ro-RO"/>
        </w:rPr>
      </w:pPr>
      <w:r w:rsidRPr="004C1D28">
        <w:rPr>
          <w:rFonts w:ascii="Arial" w:eastAsia="Calibri" w:hAnsi="Arial" w:cs="Arial"/>
          <w:lang w:val="ro-RO"/>
        </w:rPr>
        <w:lastRenderedPageBreak/>
        <w:t>Pentru 2030, Strategia estimează creșterea ușoară a parcului de autobuze și a celui de microbuze la 24.000, respectiv 33.000 de unități. O mică parte a microbuzelor vor avea propulsie hibridă sau electrică.</w:t>
      </w:r>
      <w:r w:rsidR="004C1D28" w:rsidRPr="004C1D28">
        <w:rPr>
          <w:rFonts w:ascii="Arial" w:eastAsia="Calibri" w:hAnsi="Arial" w:cs="Arial"/>
          <w:lang w:val="ro-RO"/>
        </w:rPr>
        <w:t xml:space="preserve"> În preajma anului 2030, prin lucrări substanțiale de modernizare a infrastructurii feroviare, este de așteptat ca distanța parcursă (numărul de vagon-km) pe calea ferată să crească cu circa 50%</w:t>
      </w:r>
      <w:r w:rsidR="004C1D28">
        <w:rPr>
          <w:rFonts w:ascii="Arial" w:eastAsia="Calibri" w:hAnsi="Arial" w:cs="Arial"/>
          <w:lang w:val="ro-RO"/>
        </w:rPr>
        <w:t xml:space="preserve">. </w:t>
      </w:r>
      <w:r w:rsidR="004C1D28" w:rsidRPr="004C1D28">
        <w:rPr>
          <w:rFonts w:ascii="Arial" w:eastAsia="Calibri" w:hAnsi="Arial" w:cs="Arial"/>
          <w:lang w:val="ro-RO"/>
        </w:rPr>
        <w:t>Astfel, în timp ce mobilitatea călătorilor în transportul rutier este estimată să crească cu 35%, cea în transportul feroviar va crește cu 40%. Volumul de marfă transportat pe șosele va crește cu 60%, în timp ce transportul feroviar de marfă va înregistra o creștere de 65% (indicatorul tone-km). Rezultatul este o creștere ușoară a ponderii transportului feroviar în mobilitatea totală: de la 5 la 6% în mobilitatea călătorilor și de la 39 la 40% în volumul transportat de marfă.</w:t>
      </w:r>
    </w:p>
    <w:p w14:paraId="0130B91B" w14:textId="77777777" w:rsidR="004C1D28" w:rsidRPr="002F161D" w:rsidRDefault="004C1D28" w:rsidP="004C1D28">
      <w:pPr>
        <w:spacing w:line="276" w:lineRule="auto"/>
        <w:jc w:val="both"/>
        <w:rPr>
          <w:rFonts w:ascii="Arial" w:eastAsia="Calibri" w:hAnsi="Arial" w:cs="Arial"/>
          <w:lang w:val="ro-RO"/>
        </w:rPr>
      </w:pPr>
      <w:r w:rsidRPr="002F161D">
        <w:rPr>
          <w:rFonts w:ascii="Arial" w:eastAsia="Calibri" w:hAnsi="Arial" w:cs="Arial"/>
          <w:lang w:val="ro-RO"/>
        </w:rPr>
        <w:t xml:space="preserve">În corelație cu perspectivele strategiei energetice pe termen lung, PMUD </w:t>
      </w:r>
      <w:r w:rsidR="00E8015D" w:rsidRPr="002F161D">
        <w:rPr>
          <w:rFonts w:ascii="Arial" w:eastAsia="Calibri" w:hAnsi="Arial" w:cs="Arial"/>
          <w:lang w:val="ro-RO"/>
        </w:rPr>
        <w:t>al orașului Horezu</w:t>
      </w:r>
      <w:r w:rsidRPr="002F161D">
        <w:rPr>
          <w:rFonts w:ascii="Arial" w:hAnsi="Arial" w:cs="Arial"/>
        </w:rPr>
        <w:t xml:space="preserve"> va propune ca și măsură </w:t>
      </w:r>
      <w:r w:rsidR="002F161D" w:rsidRPr="002F161D">
        <w:rPr>
          <w:rFonts w:ascii="Arial" w:eastAsia="Calibri" w:hAnsi="Arial" w:cs="Arial"/>
          <w:lang w:val="ro-RO"/>
        </w:rPr>
        <w:t xml:space="preserve">introducerea sistemului de transport public local, inclusiv către localităţile componente ale oraşului și achiziția </w:t>
      </w:r>
      <w:r w:rsidR="002F161D" w:rsidRPr="002F161D">
        <w:rPr>
          <w:rFonts w:ascii="Arial" w:eastAsia="Calibri" w:hAnsi="Arial" w:cs="Arial"/>
          <w:color w:val="000000"/>
          <w:lang w:eastAsia="zh-CN"/>
        </w:rPr>
        <w:t>unui parc de mijloace de transport în comun cu combustibili alternativi sau electrice pentru serviciul de transport public</w:t>
      </w:r>
      <w:r w:rsidR="002F161D">
        <w:rPr>
          <w:rFonts w:ascii="Arial" w:eastAsia="Calibri" w:hAnsi="Arial" w:cs="Arial"/>
          <w:color w:val="000000"/>
          <w:lang w:eastAsia="zh-CN"/>
        </w:rPr>
        <w:t>.</w:t>
      </w:r>
    </w:p>
    <w:p w14:paraId="4539E1B4" w14:textId="49B5E0A8" w:rsidR="00C54049" w:rsidRDefault="00C54049" w:rsidP="006922D0">
      <w:pPr>
        <w:spacing w:after="0"/>
        <w:jc w:val="both"/>
        <w:rPr>
          <w:rFonts w:ascii="Arial" w:eastAsia="Times New Roman" w:hAnsi="Arial" w:cs="Arial"/>
          <w:bCs/>
          <w:kern w:val="1"/>
          <w:lang w:val="ro-RO" w:eastAsia="zh-CN"/>
        </w:rPr>
      </w:pPr>
      <w:r w:rsidRPr="004C15AA">
        <w:rPr>
          <w:rFonts w:ascii="Arial" w:eastAsia="Times New Roman" w:hAnsi="Arial" w:cs="Arial"/>
          <w:b/>
          <w:bCs/>
          <w:kern w:val="1"/>
          <w:lang w:val="ro-RO" w:eastAsia="zh-CN"/>
        </w:rPr>
        <w:t>Master Plan</w:t>
      </w:r>
      <w:r w:rsidR="004C15AA">
        <w:rPr>
          <w:rFonts w:ascii="Arial" w:eastAsia="Times New Roman" w:hAnsi="Arial" w:cs="Arial"/>
          <w:b/>
          <w:bCs/>
          <w:kern w:val="1"/>
          <w:lang w:val="ro-RO" w:eastAsia="zh-CN"/>
        </w:rPr>
        <w:t>-ul</w:t>
      </w:r>
      <w:r w:rsidRPr="004C15AA">
        <w:rPr>
          <w:rFonts w:ascii="Arial" w:eastAsia="Times New Roman" w:hAnsi="Arial" w:cs="Arial"/>
          <w:b/>
          <w:bCs/>
          <w:kern w:val="1"/>
          <w:lang w:val="ro-RO" w:eastAsia="zh-CN"/>
        </w:rPr>
        <w:t xml:space="preserve"> General de Transport al României</w:t>
      </w:r>
      <w:r w:rsidR="00E12BB2">
        <w:rPr>
          <w:rFonts w:ascii="Arial" w:eastAsia="Times New Roman" w:hAnsi="Arial" w:cs="Arial"/>
          <w:b/>
          <w:bCs/>
          <w:kern w:val="1"/>
          <w:lang w:val="ro-RO" w:eastAsia="zh-CN"/>
        </w:rPr>
        <w:t xml:space="preserve"> din</w:t>
      </w:r>
      <w:r w:rsidRPr="004C15AA">
        <w:rPr>
          <w:rFonts w:ascii="Arial" w:eastAsia="Times New Roman" w:hAnsi="Arial" w:cs="Arial"/>
          <w:b/>
          <w:bCs/>
          <w:kern w:val="1"/>
          <w:lang w:val="ro-RO" w:eastAsia="zh-CN"/>
        </w:rPr>
        <w:t xml:space="preserve"> 2015</w:t>
      </w:r>
      <w:r w:rsidR="0045183F">
        <w:rPr>
          <w:rStyle w:val="Referinnotdesubsol"/>
          <w:rFonts w:ascii="Arial" w:eastAsia="Times New Roman" w:hAnsi="Arial" w:cs="Arial"/>
          <w:b/>
          <w:bCs/>
          <w:kern w:val="1"/>
          <w:lang w:val="ro-RO" w:eastAsia="zh-CN"/>
        </w:rPr>
        <w:footnoteReference w:id="31"/>
      </w:r>
      <w:r w:rsidR="00E12BB2">
        <w:rPr>
          <w:rFonts w:ascii="Arial" w:eastAsia="Times New Roman" w:hAnsi="Arial" w:cs="Arial"/>
          <w:b/>
          <w:bCs/>
          <w:kern w:val="1"/>
          <w:lang w:val="ro-RO" w:eastAsia="zh-CN"/>
        </w:rPr>
        <w:t xml:space="preserve"> </w:t>
      </w:r>
      <w:r>
        <w:rPr>
          <w:rFonts w:ascii="Arial" w:eastAsia="Times New Roman" w:hAnsi="Arial" w:cs="Arial"/>
          <w:bCs/>
          <w:kern w:val="1"/>
          <w:lang w:val="ro-RO" w:eastAsia="zh-CN"/>
        </w:rPr>
        <w:t>include între obiective şi activităţi:</w:t>
      </w:r>
    </w:p>
    <w:p w14:paraId="58948644" w14:textId="77777777" w:rsidR="00C54049" w:rsidRPr="00C54049" w:rsidRDefault="00C54049" w:rsidP="000C6CB8">
      <w:pPr>
        <w:pStyle w:val="Listparagraf"/>
        <w:numPr>
          <w:ilvl w:val="0"/>
          <w:numId w:val="148"/>
        </w:numPr>
        <w:spacing w:after="0"/>
        <w:jc w:val="both"/>
        <w:rPr>
          <w:rFonts w:ascii="Arial" w:eastAsia="Calibri" w:hAnsi="Arial" w:cs="Arial"/>
          <w:lang w:val="it-IT" w:eastAsia="ro-RO"/>
        </w:rPr>
      </w:pPr>
      <w:r w:rsidRPr="00C54049">
        <w:rPr>
          <w:rFonts w:ascii="Arial" w:eastAsia="Calibri" w:hAnsi="Arial" w:cs="Arial"/>
          <w:lang w:val="it-IT" w:eastAsia="ro-RO"/>
        </w:rPr>
        <w:t>Îmbunătăţirea mobilităţii populaţiei şi a traficului aferent transportului de mărfuri în cadrul reţelei TEN-T de bază şi a reţelei extinse, prin construcţia unei reţele de autostrăzi şi drumuri expres;</w:t>
      </w:r>
    </w:p>
    <w:p w14:paraId="54EFB5C5" w14:textId="77777777" w:rsidR="00C54049" w:rsidRPr="00C54049" w:rsidRDefault="00C54049" w:rsidP="000C6CB8">
      <w:pPr>
        <w:pStyle w:val="Listparagraf"/>
        <w:numPr>
          <w:ilvl w:val="0"/>
          <w:numId w:val="148"/>
        </w:numPr>
        <w:spacing w:after="0"/>
        <w:jc w:val="both"/>
        <w:rPr>
          <w:rFonts w:ascii="Arial" w:eastAsia="Calibri" w:hAnsi="Arial" w:cs="Arial"/>
          <w:lang w:val="it-IT" w:eastAsia="ro-RO"/>
        </w:rPr>
      </w:pPr>
      <w:r w:rsidRPr="00C54049">
        <w:rPr>
          <w:rFonts w:ascii="Arial" w:eastAsia="Calibri" w:hAnsi="Arial" w:cs="Arial"/>
          <w:lang w:val="it-IT" w:eastAsia="ro-RO"/>
        </w:rPr>
        <w:t>Asigurarea accesului pentru populaţie şi pentru mediul de afaceri la reţeaua TEN-T de bază şi la reţeaua extinsă, prin construcţia coridoarelor de legatură naţionale;</w:t>
      </w:r>
    </w:p>
    <w:p w14:paraId="0B1D22F5" w14:textId="77777777" w:rsidR="00C54049" w:rsidRPr="00C54049" w:rsidRDefault="00C54049" w:rsidP="000C6CB8">
      <w:pPr>
        <w:pStyle w:val="Listparagraf"/>
        <w:numPr>
          <w:ilvl w:val="0"/>
          <w:numId w:val="148"/>
        </w:numPr>
        <w:spacing w:after="0"/>
        <w:jc w:val="both"/>
        <w:rPr>
          <w:rFonts w:ascii="Arial" w:eastAsia="Calibri" w:hAnsi="Arial" w:cs="Arial"/>
          <w:lang w:val="it-IT" w:eastAsia="ro-RO"/>
        </w:rPr>
      </w:pPr>
      <w:r w:rsidRPr="00C54049">
        <w:rPr>
          <w:rFonts w:ascii="Arial" w:eastAsia="Calibri" w:hAnsi="Arial" w:cs="Arial"/>
          <w:lang w:val="it-IT" w:eastAsia="ro-RO"/>
        </w:rPr>
        <w:t>Asigurarea unei reţele de transport rutier sigure şi operaţionale, care să contribuie la reducerea numărului de accidente rutiere, precum şi la reducerea timpilor de călătorie;</w:t>
      </w:r>
    </w:p>
    <w:p w14:paraId="77D2C30E" w14:textId="77777777" w:rsidR="00C54049" w:rsidRPr="00C54049" w:rsidRDefault="00C54049" w:rsidP="000C6CB8">
      <w:pPr>
        <w:pStyle w:val="Listparagraf"/>
        <w:numPr>
          <w:ilvl w:val="0"/>
          <w:numId w:val="148"/>
        </w:numPr>
        <w:spacing w:after="0"/>
        <w:jc w:val="both"/>
        <w:rPr>
          <w:rFonts w:ascii="Arial" w:eastAsia="Calibri" w:hAnsi="Arial" w:cs="Arial"/>
          <w:lang w:val="it-IT" w:eastAsia="ro-RO"/>
        </w:rPr>
      </w:pPr>
      <w:r w:rsidRPr="00C54049">
        <w:rPr>
          <w:rFonts w:ascii="Arial" w:eastAsia="Calibri" w:hAnsi="Arial" w:cs="Arial"/>
          <w:lang w:val="it-IT" w:eastAsia="ro-RO"/>
        </w:rPr>
        <w:t>Asigurarea accesului internaţional prin intermediul legăturilor cu ţările vecine; şi</w:t>
      </w:r>
    </w:p>
    <w:p w14:paraId="6B91D6CF" w14:textId="77777777" w:rsidR="00C54049" w:rsidRPr="00C54049" w:rsidRDefault="00C54049" w:rsidP="000C6CB8">
      <w:pPr>
        <w:pStyle w:val="Listparagraf"/>
        <w:numPr>
          <w:ilvl w:val="0"/>
          <w:numId w:val="148"/>
        </w:numPr>
        <w:spacing w:after="0"/>
        <w:jc w:val="both"/>
        <w:rPr>
          <w:rFonts w:ascii="Arial" w:eastAsia="Calibri" w:hAnsi="Arial" w:cs="Arial"/>
          <w:lang w:val="it-IT" w:eastAsia="ro-RO"/>
        </w:rPr>
      </w:pPr>
      <w:r w:rsidRPr="00C54049">
        <w:rPr>
          <w:rFonts w:ascii="Arial" w:eastAsia="Calibri" w:hAnsi="Arial" w:cs="Arial"/>
          <w:lang w:val="it-IT" w:eastAsia="ro-RO"/>
        </w:rPr>
        <w:t>Asigurarea unei reţele de transport propice mediului înconjurator, prin implementarea proiectelor de variantă de ocolire.</w:t>
      </w:r>
    </w:p>
    <w:p w14:paraId="54EAC499" w14:textId="77777777" w:rsidR="00C54049" w:rsidRPr="00C54049" w:rsidRDefault="00C54049" w:rsidP="000C6CB8">
      <w:pPr>
        <w:pStyle w:val="Listparagraf"/>
        <w:numPr>
          <w:ilvl w:val="0"/>
          <w:numId w:val="148"/>
        </w:numPr>
        <w:spacing w:after="0"/>
        <w:jc w:val="both"/>
        <w:rPr>
          <w:rFonts w:ascii="Arial" w:eastAsia="Calibri" w:hAnsi="Arial" w:cs="Arial"/>
          <w:lang w:val="it-IT" w:eastAsia="ro-RO"/>
        </w:rPr>
      </w:pPr>
      <w:r w:rsidRPr="00C54049">
        <w:rPr>
          <w:rFonts w:ascii="Arial" w:eastAsia="Calibri" w:hAnsi="Arial" w:cs="Arial"/>
          <w:lang w:val="it-IT" w:eastAsia="ro-RO"/>
        </w:rPr>
        <w:t>Includerea în cadrul elaborării PMUD a prognozelor şi datelor socio-economice, fluxurilor de trafic.</w:t>
      </w:r>
    </w:p>
    <w:p w14:paraId="4D851618" w14:textId="77777777" w:rsidR="00A44313" w:rsidRDefault="00A44313" w:rsidP="00C54049">
      <w:pPr>
        <w:spacing w:after="0"/>
        <w:jc w:val="both"/>
        <w:rPr>
          <w:rFonts w:ascii="Arial" w:eastAsia="Calibri" w:hAnsi="Arial" w:cs="Arial"/>
          <w:lang w:val="it-IT" w:eastAsia="ro-RO"/>
        </w:rPr>
      </w:pPr>
      <w:r w:rsidRPr="00727FDF">
        <w:rPr>
          <w:rFonts w:ascii="Arial" w:eastAsia="Calibri" w:hAnsi="Arial" w:cs="Arial"/>
          <w:lang w:val="it-IT" w:eastAsia="ro-RO"/>
        </w:rPr>
        <w:t>Consiliul Local Horezu a aprobat prin Hot</w:t>
      </w:r>
      <w:r w:rsidRPr="00727FDF">
        <w:rPr>
          <w:rFonts w:ascii="Arial" w:eastAsia="Calibri" w:hAnsi="Arial" w:cs="Arial"/>
          <w:lang w:val="ro-RO" w:eastAsia="ro-RO"/>
        </w:rPr>
        <w:t xml:space="preserve">ărîrea nr. 76 din 29 iulie 2021, un parteneriat între Compania Națională de Administrare a Infrastructurii Rutiere S.A. și U.A.T. Orașul Horezu concretizat în documentul </w:t>
      </w:r>
      <w:r w:rsidRPr="00727FDF">
        <w:rPr>
          <w:rFonts w:ascii="Arial" w:eastAsia="Calibri" w:hAnsi="Arial" w:cs="Arial"/>
          <w:b/>
          <w:bCs/>
          <w:lang w:val="ro-RO" w:eastAsia="ro-RO"/>
        </w:rPr>
        <w:t>PARTENERIAT DE IMPLEMENTARE încheiat pentru realizarea obiectivului de investiții ”Varianta de ocolire Horezu”</w:t>
      </w:r>
      <w:r w:rsidRPr="00727FDF">
        <w:rPr>
          <w:rFonts w:ascii="Arial" w:eastAsia="Calibri" w:hAnsi="Arial" w:cs="Arial"/>
          <w:lang w:val="ro-RO" w:eastAsia="ro-RO"/>
        </w:rPr>
        <w:t>, cu nr. 92/78</w:t>
      </w:r>
      <w:r w:rsidR="003E6BC2" w:rsidRPr="00727FDF">
        <w:rPr>
          <w:rFonts w:ascii="Arial" w:eastAsia="Calibri" w:hAnsi="Arial" w:cs="Arial"/>
          <w:lang w:val="ro-RO" w:eastAsia="ro-RO"/>
        </w:rPr>
        <w:t>514/24.09.2021, respectiv 20220/24.09.</w:t>
      </w:r>
      <w:r w:rsidR="00727FDF" w:rsidRPr="00727FDF">
        <w:rPr>
          <w:rFonts w:ascii="Arial" w:eastAsia="Calibri" w:hAnsi="Arial" w:cs="Arial"/>
          <w:lang w:val="ro-RO" w:eastAsia="ro-RO"/>
        </w:rPr>
        <w:t>2021 în baza prevederilor art. 5 alin. (1) din OUG nr. 101/2020 privind unele măsuri pentru implementarea proiectelor cu finanțare din fonduri europene în vederea evitării riscului de dezangajare pentru perioada de programare 2014-2020</w:t>
      </w:r>
      <w:r w:rsidR="00727FDF" w:rsidRPr="00727FDF">
        <w:rPr>
          <w:rFonts w:ascii="Arial" w:eastAsia="Calibri" w:hAnsi="Arial" w:cs="Arial"/>
          <w:b/>
          <w:bCs/>
          <w:lang w:val="ro-RO" w:eastAsia="ro-RO"/>
        </w:rPr>
        <w:t>.</w:t>
      </w:r>
      <w:r w:rsidR="00727FDF">
        <w:rPr>
          <w:rFonts w:ascii="Arial" w:eastAsia="Calibri" w:hAnsi="Arial" w:cs="Arial"/>
          <w:b/>
          <w:bCs/>
          <w:lang w:val="ro-RO" w:eastAsia="ro-RO"/>
        </w:rPr>
        <w:t xml:space="preserve"> </w:t>
      </w:r>
      <w:r w:rsidR="00727FDF" w:rsidRPr="00325E0B">
        <w:rPr>
          <w:rFonts w:ascii="Arial" w:eastAsia="Calibri" w:hAnsi="Arial" w:cs="Arial"/>
          <w:lang w:val="ro-RO" w:eastAsia="ro-RO"/>
        </w:rPr>
        <w:t>Realizarea</w:t>
      </w:r>
      <w:r w:rsidR="00727FDF" w:rsidRPr="00325E0B">
        <w:rPr>
          <w:rFonts w:ascii="Arial" w:eastAsia="Calibri" w:hAnsi="Arial" w:cs="Arial"/>
          <w:lang w:val="it-IT" w:eastAsia="ro-RO"/>
        </w:rPr>
        <w:t xml:space="preserve"> investiției ”Varianta de ocolire Horezu” va contribui la </w:t>
      </w:r>
      <w:r w:rsidR="003C33E4" w:rsidRPr="00325E0B">
        <w:rPr>
          <w:rFonts w:ascii="Arial" w:eastAsia="Calibri" w:hAnsi="Arial" w:cs="Arial"/>
          <w:lang w:val="it-IT" w:eastAsia="ro-RO"/>
        </w:rPr>
        <w:t>descongestionarea circulației rutiere în orașul Horezu prin distribuirea circulației – trafic greu și de tranzit pe varianta ocolitoare și la dezvoltarea sectorului de transport din județul Vâlcea – DN67 și DN</w:t>
      </w:r>
      <w:r w:rsidR="00C80FE9" w:rsidRPr="00325E0B">
        <w:rPr>
          <w:rFonts w:ascii="Arial" w:eastAsia="Calibri" w:hAnsi="Arial" w:cs="Arial"/>
          <w:lang w:val="it-IT" w:eastAsia="ro-RO"/>
        </w:rPr>
        <w:t xml:space="preserve">65C, în zona orașului Horezu, la îmbunătățirea vitezelor de circulație în vecinătatea orașului Horezu, prin eliminarea ambuteiajelor majorede pe ruta centrală ce străbate orașul. Astfel, </w:t>
      </w:r>
      <w:r w:rsidR="00C80FE9" w:rsidRPr="00325E0B">
        <w:rPr>
          <w:rFonts w:ascii="Arial" w:eastAsia="Calibri" w:hAnsi="Arial" w:cs="Arial"/>
          <w:i/>
          <w:iCs/>
          <w:lang w:val="it-IT" w:eastAsia="ro-RO"/>
        </w:rPr>
        <w:t xml:space="preserve">Varianta de ocolire Horezu </w:t>
      </w:r>
      <w:r w:rsidR="00C80FE9" w:rsidRPr="00325E0B">
        <w:rPr>
          <w:rFonts w:ascii="Arial" w:eastAsia="Calibri" w:hAnsi="Arial" w:cs="Arial"/>
          <w:lang w:val="it-IT" w:eastAsia="ro-RO"/>
        </w:rPr>
        <w:t xml:space="preserve">începe de la intersecția cu DN67, km. 149+785, continuă în zona de sud a Orașului Horezu – zona Treapt (pe hotarul cu UAT Comuna Măldărești), </w:t>
      </w:r>
      <w:r w:rsidR="00325E0B" w:rsidRPr="00325E0B">
        <w:rPr>
          <w:rFonts w:ascii="Arial" w:eastAsia="Calibri" w:hAnsi="Arial" w:cs="Arial"/>
          <w:lang w:val="it-IT" w:eastAsia="ro-RO"/>
        </w:rPr>
        <w:t>traversează DC139, se continuă peste Pârâul Luncavăț, intersectează DN65C în zona km 110+531, după care se continuă pe un traseu din zona Bela, traversând Str. Merilor și se racordează cu D67, în zona Dealul Ulmului.</w:t>
      </w:r>
    </w:p>
    <w:p w14:paraId="05AD81DF" w14:textId="77777777" w:rsidR="004216BA" w:rsidRPr="00325E0B" w:rsidRDefault="004216BA" w:rsidP="00C54049">
      <w:pPr>
        <w:spacing w:after="0"/>
        <w:jc w:val="both"/>
        <w:rPr>
          <w:rFonts w:ascii="Arial" w:eastAsia="Calibri" w:hAnsi="Arial" w:cs="Arial"/>
          <w:lang w:val="it-IT" w:eastAsia="ro-RO"/>
        </w:rPr>
      </w:pPr>
      <w:r>
        <w:rPr>
          <w:rFonts w:ascii="Arial" w:eastAsia="Calibri" w:hAnsi="Arial" w:cs="Arial"/>
          <w:lang w:val="it-IT" w:eastAsia="ro-RO"/>
        </w:rPr>
        <w:lastRenderedPageBreak/>
        <w:t xml:space="preserve">Prin realizarea investiției ”Varianta de ocolire Horezu” se va asigura </w:t>
      </w:r>
      <w:r w:rsidR="00054731">
        <w:rPr>
          <w:rFonts w:ascii="Arial" w:eastAsia="Calibri" w:hAnsi="Arial" w:cs="Arial"/>
          <w:lang w:val="it-IT" w:eastAsia="ro-RO"/>
        </w:rPr>
        <w:t xml:space="preserve">interconectivitatea cu rețeaua </w:t>
      </w:r>
      <w:r w:rsidR="00550B5E">
        <w:rPr>
          <w:rFonts w:ascii="Arial" w:eastAsia="Calibri" w:hAnsi="Arial" w:cs="Arial"/>
          <w:lang w:val="it-IT" w:eastAsia="ro-RO"/>
        </w:rPr>
        <w:t>de drumuri prevăzută în Master Planul General de Transport al României precum și în Planul de Investiții și Relansare Economică în perioada 2021-2027.</w:t>
      </w:r>
    </w:p>
    <w:p w14:paraId="6C5BF1BF" w14:textId="77777777" w:rsidR="00A44313" w:rsidRDefault="00A44313" w:rsidP="00C54049">
      <w:pPr>
        <w:spacing w:after="0"/>
        <w:jc w:val="both"/>
        <w:rPr>
          <w:rFonts w:ascii="Arial" w:eastAsia="Calibri" w:hAnsi="Arial" w:cs="Arial"/>
          <w:highlight w:val="yellow"/>
          <w:lang w:val="it-IT" w:eastAsia="ro-RO"/>
        </w:rPr>
      </w:pPr>
    </w:p>
    <w:p w14:paraId="1E560CE6" w14:textId="77777777" w:rsidR="00D54320" w:rsidRPr="000E5CCC" w:rsidRDefault="00D54320" w:rsidP="00D54320">
      <w:pPr>
        <w:spacing w:after="0"/>
        <w:jc w:val="both"/>
        <w:rPr>
          <w:rFonts w:ascii="Arial" w:eastAsia="Calibri" w:hAnsi="Arial" w:cs="Arial"/>
          <w:lang w:val="it-IT" w:eastAsia="ro-RO"/>
        </w:rPr>
      </w:pPr>
    </w:p>
    <w:p w14:paraId="6639853B" w14:textId="77777777" w:rsidR="00D70AEA" w:rsidRPr="003430C5" w:rsidRDefault="00D70AEA" w:rsidP="003430C5">
      <w:pPr>
        <w:pStyle w:val="Titlu2"/>
        <w:rPr>
          <w:rFonts w:ascii="Arial" w:eastAsia="Times New Roman" w:hAnsi="Arial" w:cs="Arial"/>
          <w:b/>
          <w:bCs/>
          <w:color w:val="auto"/>
          <w:sz w:val="24"/>
          <w:szCs w:val="24"/>
          <w:lang w:val="it-IT" w:eastAsia="ro-RO"/>
        </w:rPr>
      </w:pPr>
      <w:bookmarkStart w:id="44" w:name="_Toc61264886"/>
      <w:bookmarkStart w:id="45" w:name="_Toc142039048"/>
      <w:r w:rsidRPr="003430C5">
        <w:rPr>
          <w:rFonts w:ascii="Arial" w:eastAsia="Times New Roman" w:hAnsi="Arial" w:cs="Arial"/>
          <w:b/>
          <w:bCs/>
          <w:color w:val="auto"/>
          <w:sz w:val="24"/>
          <w:szCs w:val="24"/>
          <w:lang w:val="it-IT" w:eastAsia="ro-RO"/>
        </w:rPr>
        <w:t>I.1.4</w:t>
      </w:r>
      <w:r w:rsid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 xml:space="preserve">Preluarea prevederilor privind dezvoltarea economica, sociala și de cadru natural din documentele de planificare ale UAT </w:t>
      </w:r>
      <w:bookmarkEnd w:id="44"/>
      <w:r w:rsidR="00E8015D">
        <w:rPr>
          <w:rFonts w:ascii="Arial" w:eastAsia="Times New Roman" w:hAnsi="Arial" w:cs="Arial"/>
          <w:b/>
          <w:bCs/>
          <w:color w:val="auto"/>
          <w:sz w:val="24"/>
          <w:szCs w:val="24"/>
          <w:lang w:val="it-IT" w:eastAsia="ro-RO"/>
        </w:rPr>
        <w:t>Horezu</w:t>
      </w:r>
      <w:bookmarkEnd w:id="45"/>
    </w:p>
    <w:p w14:paraId="47B912AF" w14:textId="142EFBAD" w:rsidR="00845ECB" w:rsidRDefault="00DE2741" w:rsidP="00C566D2">
      <w:pPr>
        <w:widowControl w:val="0"/>
        <w:suppressAutoHyphens/>
        <w:spacing w:after="0" w:line="276" w:lineRule="auto"/>
        <w:jc w:val="both"/>
        <w:rPr>
          <w:rFonts w:ascii="Arial" w:hAnsi="Arial" w:cs="Arial"/>
          <w:kern w:val="1"/>
          <w:lang w:val="es-ES" w:eastAsia="hi-IN" w:bidi="hi-IN"/>
        </w:rPr>
      </w:pPr>
      <w:r w:rsidRPr="00D70AEA">
        <w:rPr>
          <w:rFonts w:ascii="Arial" w:hAnsi="Arial" w:cs="Arial"/>
          <w:kern w:val="1"/>
          <w:lang w:val="es-ES" w:eastAsia="hi-IN" w:bidi="hi-IN"/>
        </w:rPr>
        <w:t xml:space="preserve">La momentul </w:t>
      </w:r>
      <w:r w:rsidR="00677FF5">
        <w:rPr>
          <w:rFonts w:ascii="Arial" w:hAnsi="Arial" w:cs="Arial"/>
          <w:kern w:val="1"/>
          <w:lang w:val="es-ES" w:eastAsia="hi-IN" w:bidi="hi-IN"/>
        </w:rPr>
        <w:t>întocmirii</w:t>
      </w:r>
      <w:r w:rsidRPr="00D70AEA">
        <w:rPr>
          <w:rFonts w:ascii="Arial" w:hAnsi="Arial" w:cs="Arial"/>
          <w:kern w:val="1"/>
          <w:lang w:val="es-ES" w:eastAsia="hi-IN" w:bidi="hi-IN"/>
        </w:rPr>
        <w:t xml:space="preserve"> Planului de Mobilitate Urbană Durabilă al </w:t>
      </w:r>
      <w:r w:rsidR="00677FF5">
        <w:rPr>
          <w:rFonts w:ascii="Arial" w:hAnsi="Arial" w:cs="Arial"/>
          <w:kern w:val="1"/>
          <w:lang w:val="es-ES" w:eastAsia="hi-IN" w:bidi="hi-IN"/>
        </w:rPr>
        <w:t>Orașului Horezu</w:t>
      </w:r>
      <w:r w:rsidRPr="00D70AEA">
        <w:rPr>
          <w:rFonts w:ascii="Arial" w:hAnsi="Arial" w:cs="Arial"/>
          <w:kern w:val="1"/>
          <w:lang w:val="es-ES" w:eastAsia="hi-IN" w:bidi="hi-IN"/>
        </w:rPr>
        <w:t xml:space="preserve">, </w:t>
      </w:r>
      <w:r w:rsidR="00677FF5" w:rsidRPr="00677FF5">
        <w:rPr>
          <w:rFonts w:ascii="Arial" w:hAnsi="Arial" w:cs="Arial"/>
          <w:kern w:val="1"/>
          <w:lang w:val="es-ES" w:eastAsia="hi-IN" w:bidi="hi-IN"/>
        </w:rPr>
        <w:t xml:space="preserve">Strategia Integrată de Dezvoltare Urbană 2021 </w:t>
      </w:r>
      <w:r w:rsidR="000E5CCC">
        <w:rPr>
          <w:rFonts w:ascii="Arial" w:hAnsi="Arial" w:cs="Arial"/>
          <w:kern w:val="1"/>
          <w:lang w:val="es-ES" w:eastAsia="hi-IN" w:bidi="hi-IN"/>
        </w:rPr>
        <w:t>–</w:t>
      </w:r>
      <w:r w:rsidR="00677FF5" w:rsidRPr="00677FF5">
        <w:rPr>
          <w:rFonts w:ascii="Arial" w:hAnsi="Arial" w:cs="Arial"/>
          <w:kern w:val="1"/>
          <w:lang w:val="es-ES" w:eastAsia="hi-IN" w:bidi="hi-IN"/>
        </w:rPr>
        <w:t xml:space="preserve"> 2030</w:t>
      </w:r>
      <w:r w:rsidR="000E5CCC">
        <w:rPr>
          <w:rFonts w:ascii="Arial" w:hAnsi="Arial" w:cs="Arial"/>
          <w:kern w:val="1"/>
          <w:lang w:val="es-ES" w:eastAsia="hi-IN" w:bidi="hi-IN"/>
        </w:rPr>
        <w:t xml:space="preserve"> a Orașului Horezu</w:t>
      </w:r>
      <w:r w:rsidR="00AB5704">
        <w:rPr>
          <w:rFonts w:ascii="Arial" w:hAnsi="Arial" w:cs="Arial"/>
          <w:kern w:val="1"/>
          <w:lang w:val="es-ES" w:eastAsia="hi-IN" w:bidi="hi-IN"/>
        </w:rPr>
        <w:t xml:space="preserve"> </w:t>
      </w:r>
      <w:r w:rsidRPr="00D70AEA">
        <w:rPr>
          <w:rFonts w:ascii="Arial" w:hAnsi="Arial" w:cs="Arial"/>
          <w:kern w:val="1"/>
          <w:lang w:val="es-ES" w:eastAsia="hi-IN" w:bidi="hi-IN"/>
        </w:rPr>
        <w:t>se află în curs de elaborare.</w:t>
      </w:r>
      <w:r w:rsidR="00193E19">
        <w:rPr>
          <w:rFonts w:ascii="Arial" w:hAnsi="Arial" w:cs="Arial"/>
          <w:kern w:val="1"/>
          <w:lang w:val="es-ES" w:eastAsia="hi-IN" w:bidi="hi-IN"/>
        </w:rPr>
        <w:t xml:space="preserve"> </w:t>
      </w:r>
    </w:p>
    <w:p w14:paraId="220E8CC8" w14:textId="77777777" w:rsidR="00DA6279" w:rsidRDefault="00DA6279" w:rsidP="00C566D2">
      <w:pPr>
        <w:widowControl w:val="0"/>
        <w:suppressAutoHyphens/>
        <w:spacing w:after="0" w:line="276" w:lineRule="auto"/>
        <w:jc w:val="both"/>
        <w:rPr>
          <w:rFonts w:ascii="Arial" w:hAnsi="Arial" w:cs="Arial"/>
          <w:kern w:val="1"/>
          <w:lang w:val="es-ES" w:eastAsia="hi-IN" w:bidi="hi-IN"/>
        </w:rPr>
      </w:pPr>
    </w:p>
    <w:p w14:paraId="233B99E4" w14:textId="77777777" w:rsidR="00023A09" w:rsidRDefault="00DA6279" w:rsidP="00C566D2">
      <w:pPr>
        <w:widowControl w:val="0"/>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 xml:space="preserve">În cadrul Strategiei de </w:t>
      </w:r>
      <w:r w:rsidR="00B61E4F">
        <w:rPr>
          <w:rFonts w:ascii="Arial" w:hAnsi="Arial" w:cs="Arial"/>
          <w:kern w:val="1"/>
          <w:lang w:val="es-ES" w:eastAsia="hi-IN" w:bidi="hi-IN"/>
        </w:rPr>
        <w:t xml:space="preserve">Dezvoltare Economică și Socială a Orașului Horezu </w:t>
      </w:r>
      <w:r>
        <w:rPr>
          <w:rFonts w:ascii="Arial" w:hAnsi="Arial" w:cs="Arial"/>
          <w:kern w:val="1"/>
          <w:lang w:val="es-ES" w:eastAsia="hi-IN" w:bidi="hi-IN"/>
        </w:rPr>
        <w:t>2014-2020, în cadrul obiect</w:t>
      </w:r>
      <w:r w:rsidR="00B61E4F">
        <w:rPr>
          <w:rFonts w:ascii="Arial" w:hAnsi="Arial" w:cs="Arial"/>
          <w:kern w:val="1"/>
          <w:lang w:val="es-ES" w:eastAsia="hi-IN" w:bidi="hi-IN"/>
        </w:rPr>
        <w:t>i</w:t>
      </w:r>
      <w:r>
        <w:rPr>
          <w:rFonts w:ascii="Arial" w:hAnsi="Arial" w:cs="Arial"/>
          <w:kern w:val="1"/>
          <w:lang w:val="es-ES" w:eastAsia="hi-IN" w:bidi="hi-IN"/>
        </w:rPr>
        <w:t xml:space="preserve">velor strategice de dezvoltare figura susținerea </w:t>
      </w:r>
      <w:r w:rsidR="006F539D">
        <w:rPr>
          <w:rFonts w:ascii="Arial" w:hAnsi="Arial" w:cs="Arial"/>
          <w:kern w:val="1"/>
          <w:lang w:val="es-ES" w:eastAsia="hi-IN" w:bidi="hi-IN"/>
        </w:rPr>
        <w:t>transportatorilor din zona în vederea diversificării infrastructurii de transport specifică activității turistice</w:t>
      </w:r>
      <w:r w:rsidR="001F6AE2">
        <w:rPr>
          <w:rFonts w:ascii="Arial" w:hAnsi="Arial" w:cs="Arial"/>
          <w:kern w:val="1"/>
          <w:lang w:val="es-ES" w:eastAsia="hi-IN" w:bidi="hi-IN"/>
        </w:rPr>
        <w:t xml:space="preserve"> prin înființarea serviciului de transport spre obiectivele turistice.</w:t>
      </w:r>
      <w:r w:rsidR="001600AB">
        <w:rPr>
          <w:rFonts w:ascii="Arial" w:hAnsi="Arial" w:cs="Arial"/>
          <w:kern w:val="1"/>
          <w:lang w:val="es-ES" w:eastAsia="hi-IN" w:bidi="hi-IN"/>
        </w:rPr>
        <w:t xml:space="preserve"> </w:t>
      </w:r>
      <w:r w:rsidR="006F539D">
        <w:rPr>
          <w:rFonts w:ascii="Arial" w:hAnsi="Arial" w:cs="Arial"/>
          <w:kern w:val="1"/>
          <w:lang w:val="es-ES" w:eastAsia="hi-IN" w:bidi="hi-IN"/>
        </w:rPr>
        <w:t>Pentru dezvoltarea tuirsmului montan, tot în cadru</w:t>
      </w:r>
      <w:r w:rsidR="00023A09">
        <w:rPr>
          <w:rFonts w:ascii="Arial" w:hAnsi="Arial" w:cs="Arial"/>
          <w:kern w:val="1"/>
          <w:lang w:val="es-ES" w:eastAsia="hi-IN" w:bidi="hi-IN"/>
        </w:rPr>
        <w:t>l</w:t>
      </w:r>
      <w:r w:rsidR="006F539D">
        <w:rPr>
          <w:rFonts w:ascii="Arial" w:hAnsi="Arial" w:cs="Arial"/>
          <w:kern w:val="1"/>
          <w:lang w:val="es-ES" w:eastAsia="hi-IN" w:bidi="hi-IN"/>
        </w:rPr>
        <w:t xml:space="preserve"> strategiei</w:t>
      </w:r>
      <w:r w:rsidR="001F6AE2">
        <w:rPr>
          <w:rFonts w:ascii="Arial" w:hAnsi="Arial" w:cs="Arial"/>
          <w:kern w:val="1"/>
          <w:lang w:val="es-ES" w:eastAsia="hi-IN" w:bidi="hi-IN"/>
        </w:rPr>
        <w:t xml:space="preserve">, la programe și proiecte </w:t>
      </w:r>
      <w:r w:rsidR="00B61E4F">
        <w:rPr>
          <w:rFonts w:ascii="Arial" w:hAnsi="Arial" w:cs="Arial"/>
          <w:kern w:val="1"/>
          <w:lang w:val="es-ES" w:eastAsia="hi-IN" w:bidi="hi-IN"/>
        </w:rPr>
        <w:t>se menționa</w:t>
      </w:r>
      <w:r w:rsidR="001F6AE2">
        <w:rPr>
          <w:rFonts w:ascii="Arial" w:hAnsi="Arial" w:cs="Arial"/>
          <w:kern w:val="1"/>
          <w:lang w:val="es-ES" w:eastAsia="hi-IN" w:bidi="hi-IN"/>
        </w:rPr>
        <w:t xml:space="preserve"> dezvoltarea unor servicii conexe (transport trenuleț / biciclete / căruțe / sănii)</w:t>
      </w:r>
      <w:r w:rsidR="00023A09">
        <w:rPr>
          <w:rFonts w:ascii="Arial" w:hAnsi="Arial" w:cs="Arial"/>
          <w:kern w:val="1"/>
          <w:lang w:val="es-ES" w:eastAsia="hi-IN" w:bidi="hi-IN"/>
        </w:rPr>
        <w:t xml:space="preserve"> iar la indicatori era</w:t>
      </w:r>
      <w:r w:rsidR="00B61E4F">
        <w:rPr>
          <w:rFonts w:ascii="Arial" w:hAnsi="Arial" w:cs="Arial"/>
          <w:kern w:val="1"/>
          <w:lang w:val="es-ES" w:eastAsia="hi-IN" w:bidi="hi-IN"/>
        </w:rPr>
        <w:t>u</w:t>
      </w:r>
      <w:r w:rsidR="00023A09">
        <w:rPr>
          <w:rFonts w:ascii="Arial" w:hAnsi="Arial" w:cs="Arial"/>
          <w:kern w:val="1"/>
          <w:lang w:val="es-ES" w:eastAsia="hi-IN" w:bidi="hi-IN"/>
        </w:rPr>
        <w:t xml:space="preserve"> prevăzut</w:t>
      </w:r>
      <w:r w:rsidR="00B61E4F">
        <w:rPr>
          <w:rFonts w:ascii="Arial" w:hAnsi="Arial" w:cs="Arial"/>
          <w:kern w:val="1"/>
          <w:lang w:val="es-ES" w:eastAsia="hi-IN" w:bidi="hi-IN"/>
        </w:rPr>
        <w:t>e următoarele</w:t>
      </w:r>
      <w:r w:rsidR="00023A09">
        <w:rPr>
          <w:rFonts w:ascii="Arial" w:hAnsi="Arial" w:cs="Arial"/>
          <w:kern w:val="1"/>
          <w:lang w:val="es-ES" w:eastAsia="hi-IN" w:bidi="hi-IN"/>
        </w:rPr>
        <w:t>:</w:t>
      </w:r>
    </w:p>
    <w:p w14:paraId="408B9360" w14:textId="77777777" w:rsidR="006F539D" w:rsidRPr="00F559AF" w:rsidRDefault="007467C4" w:rsidP="007467C4">
      <w:pPr>
        <w:pStyle w:val="Listparagraf"/>
        <w:widowControl w:val="0"/>
        <w:numPr>
          <w:ilvl w:val="0"/>
          <w:numId w:val="216"/>
        </w:numPr>
        <w:spacing w:after="0"/>
        <w:jc w:val="both"/>
        <w:rPr>
          <w:rFonts w:ascii="Arial" w:hAnsi="Arial" w:cs="Arial"/>
          <w:kern w:val="1"/>
          <w:lang w:val="es-ES" w:eastAsia="hi-IN" w:bidi="hi-IN"/>
        </w:rPr>
      </w:pPr>
      <w:r w:rsidRPr="00F559AF">
        <w:rPr>
          <w:rFonts w:ascii="Arial" w:hAnsi="Arial" w:cs="Arial"/>
          <w:kern w:val="1"/>
          <w:lang w:val="es-ES" w:eastAsia="hi-IN" w:bidi="hi-IN"/>
        </w:rPr>
        <w:t>H</w:t>
      </w:r>
      <w:r w:rsidR="00023A09" w:rsidRPr="00F559AF">
        <w:rPr>
          <w:rFonts w:ascii="Arial" w:hAnsi="Arial" w:cs="Arial"/>
          <w:kern w:val="1"/>
          <w:lang w:val="es-ES" w:eastAsia="hi-IN" w:bidi="hi-IN"/>
        </w:rPr>
        <w:t xml:space="preserve">eliport construit, amenajat și funcțional </w:t>
      </w:r>
    </w:p>
    <w:p w14:paraId="45A191A8" w14:textId="77777777" w:rsidR="00023A09" w:rsidRPr="00F559AF" w:rsidRDefault="007467C4" w:rsidP="007467C4">
      <w:pPr>
        <w:pStyle w:val="Listparagraf"/>
        <w:widowControl w:val="0"/>
        <w:numPr>
          <w:ilvl w:val="0"/>
          <w:numId w:val="216"/>
        </w:numPr>
        <w:spacing w:after="0"/>
        <w:jc w:val="both"/>
        <w:rPr>
          <w:rFonts w:ascii="Arial" w:hAnsi="Arial" w:cs="Arial"/>
          <w:kern w:val="1"/>
          <w:lang w:val="es-ES" w:eastAsia="hi-IN" w:bidi="hi-IN"/>
        </w:rPr>
      </w:pPr>
      <w:r w:rsidRPr="00F559AF">
        <w:rPr>
          <w:rFonts w:ascii="Arial" w:hAnsi="Arial" w:cs="Arial"/>
          <w:kern w:val="1"/>
          <w:lang w:val="es-ES" w:eastAsia="hi-IN" w:bidi="hi-IN"/>
        </w:rPr>
        <w:t>D</w:t>
      </w:r>
      <w:r w:rsidR="00023A09" w:rsidRPr="00F559AF">
        <w:rPr>
          <w:rFonts w:ascii="Arial" w:hAnsi="Arial" w:cs="Arial"/>
          <w:kern w:val="1"/>
          <w:lang w:val="es-ES" w:eastAsia="hi-IN" w:bidi="hi-IN"/>
        </w:rPr>
        <w:t>ocumentație realizată, aprobată și aplicată pen</w:t>
      </w:r>
      <w:r w:rsidR="00160B6E" w:rsidRPr="00F559AF">
        <w:rPr>
          <w:rFonts w:ascii="Arial" w:hAnsi="Arial" w:cs="Arial"/>
          <w:kern w:val="1"/>
          <w:lang w:val="es-ES" w:eastAsia="hi-IN" w:bidi="hi-IN"/>
        </w:rPr>
        <w:t>t</w:t>
      </w:r>
      <w:r w:rsidR="00023A09" w:rsidRPr="00F559AF">
        <w:rPr>
          <w:rFonts w:ascii="Arial" w:hAnsi="Arial" w:cs="Arial"/>
          <w:kern w:val="1"/>
          <w:lang w:val="es-ES" w:eastAsia="hi-IN" w:bidi="hi-IN"/>
        </w:rPr>
        <w:t>ru transformare DC Horezu – Vârful lui Roman – Malaia în DJ</w:t>
      </w:r>
    </w:p>
    <w:p w14:paraId="625DB451" w14:textId="77777777" w:rsidR="00023A09" w:rsidRPr="00F559AF" w:rsidRDefault="00023A09" w:rsidP="007467C4">
      <w:pPr>
        <w:pStyle w:val="Listparagraf"/>
        <w:widowControl w:val="0"/>
        <w:numPr>
          <w:ilvl w:val="0"/>
          <w:numId w:val="216"/>
        </w:numPr>
        <w:spacing w:after="0"/>
        <w:jc w:val="both"/>
        <w:rPr>
          <w:rFonts w:ascii="Arial" w:hAnsi="Arial" w:cs="Arial"/>
          <w:kern w:val="1"/>
          <w:lang w:val="es-ES" w:eastAsia="hi-IN" w:bidi="hi-IN"/>
        </w:rPr>
      </w:pPr>
      <w:r w:rsidRPr="00F559AF">
        <w:rPr>
          <w:rFonts w:ascii="Arial" w:hAnsi="Arial" w:cs="Arial"/>
          <w:kern w:val="1"/>
          <w:lang w:val="es-ES" w:eastAsia="hi-IN" w:bidi="hi-IN"/>
        </w:rPr>
        <w:t>Documentaţie realizată, aprobată şi aplicată, inclusiv lucrări realizate şi recepţionate, pentru construirea / amenajarea unui drum de conexiune a Vârfului lui Roman cu şoseaua Transalpina (prin Balota)</w:t>
      </w:r>
    </w:p>
    <w:p w14:paraId="3FDB82E8" w14:textId="77777777" w:rsidR="003D036F" w:rsidRDefault="003D036F" w:rsidP="00C566D2">
      <w:pPr>
        <w:widowControl w:val="0"/>
        <w:suppressAutoHyphens/>
        <w:spacing w:after="0" w:line="276" w:lineRule="auto"/>
        <w:jc w:val="both"/>
        <w:rPr>
          <w:rFonts w:ascii="Arial" w:hAnsi="Arial" w:cs="Arial"/>
          <w:kern w:val="1"/>
          <w:lang w:val="es-ES" w:eastAsia="hi-IN" w:bidi="hi-IN"/>
        </w:rPr>
      </w:pPr>
    </w:p>
    <w:p w14:paraId="6339E54E" w14:textId="77777777" w:rsidR="003D036F" w:rsidRPr="000E5CCC" w:rsidRDefault="003D036F" w:rsidP="003D036F">
      <w:pPr>
        <w:spacing w:after="0"/>
        <w:jc w:val="both"/>
        <w:rPr>
          <w:rFonts w:ascii="Arial" w:eastAsia="Calibri" w:hAnsi="Arial" w:cs="Arial"/>
          <w:lang w:val="it-IT" w:eastAsia="ro-RO"/>
        </w:rPr>
      </w:pPr>
      <w:r w:rsidRPr="000E5CCC">
        <w:rPr>
          <w:rFonts w:ascii="Arial" w:eastAsia="Calibri" w:hAnsi="Arial" w:cs="Arial"/>
          <w:lang w:val="it-IT" w:eastAsia="ro-RO"/>
        </w:rPr>
        <w:t>Strategia Integrată de Dezvoltare Durabilă a Județului Vâlcea pentru perioada 2015-2022 prevede acțiuni pentru diferitele măsuri propuse în cadrul direcțiilor strategice, în care este implicat orașul Horezu:</w:t>
      </w:r>
    </w:p>
    <w:p w14:paraId="3F1ED82C" w14:textId="77777777" w:rsidR="003D036F" w:rsidRPr="000E5CCC" w:rsidRDefault="003D036F" w:rsidP="000C6CB8">
      <w:pPr>
        <w:pStyle w:val="Listparagraf"/>
        <w:numPr>
          <w:ilvl w:val="0"/>
          <w:numId w:val="210"/>
        </w:numPr>
        <w:spacing w:after="0"/>
        <w:jc w:val="both"/>
        <w:rPr>
          <w:rFonts w:ascii="Arial" w:eastAsia="Calibri" w:hAnsi="Arial" w:cs="Arial"/>
          <w:lang w:val="it-IT" w:eastAsia="ro-RO"/>
        </w:rPr>
      </w:pPr>
      <w:r w:rsidRPr="000E5CCC">
        <w:rPr>
          <w:rFonts w:ascii="Arial" w:eastAsia="Calibri" w:hAnsi="Arial" w:cs="Arial"/>
          <w:i/>
          <w:iCs/>
          <w:lang w:val="it-IT" w:eastAsia="ro-RO"/>
        </w:rPr>
        <w:t>Direcția Strategică 3.1. Dezvoltarea și promovarea unui sistem de transport durabil și inteligent la nivel județean</w:t>
      </w:r>
    </w:p>
    <w:p w14:paraId="1D57ECF9" w14:textId="77777777" w:rsidR="003D036F" w:rsidRPr="000E5CCC" w:rsidRDefault="003D036F" w:rsidP="000C6CB8">
      <w:pPr>
        <w:pStyle w:val="Listparagraf"/>
        <w:numPr>
          <w:ilvl w:val="0"/>
          <w:numId w:val="209"/>
        </w:numPr>
        <w:spacing w:after="0"/>
        <w:jc w:val="both"/>
        <w:rPr>
          <w:rFonts w:ascii="Arial" w:eastAsia="Calibri" w:hAnsi="Arial" w:cs="Arial"/>
          <w:lang w:val="it-IT" w:eastAsia="ro-RO"/>
        </w:rPr>
      </w:pPr>
      <w:r w:rsidRPr="000E5CCC">
        <w:rPr>
          <w:rFonts w:ascii="Arial" w:eastAsia="Calibri" w:hAnsi="Arial" w:cs="Arial"/>
          <w:lang w:val="it-IT" w:eastAsia="ro-RO"/>
        </w:rPr>
        <w:t>Măsura 3.1.1. Asigurarea conectării rețelei de drumuri județene la rețeaua TEN-T:</w:t>
      </w:r>
    </w:p>
    <w:p w14:paraId="512ACFE4" w14:textId="77777777" w:rsidR="003D036F" w:rsidRPr="000E5CCC" w:rsidRDefault="003D036F" w:rsidP="003D036F">
      <w:pPr>
        <w:pStyle w:val="Listparagraf"/>
        <w:spacing w:after="0"/>
        <w:jc w:val="both"/>
        <w:rPr>
          <w:rFonts w:ascii="Arial" w:eastAsia="Calibri" w:hAnsi="Arial" w:cs="Arial"/>
          <w:lang w:val="it-IT" w:eastAsia="ro-RO"/>
        </w:rPr>
      </w:pPr>
      <w:r w:rsidRPr="000E5CCC">
        <w:rPr>
          <w:rFonts w:ascii="Arial" w:eastAsia="Calibri" w:hAnsi="Arial" w:cs="Arial"/>
          <w:lang w:val="it-IT" w:eastAsia="ro-RO"/>
        </w:rPr>
        <w:t>- crearea/dezvoltarea infrastructurii de transport rutier  pe axa Nord-Sud pe ruta Horezu-Malaia în vederea conectării regiunilor, axa Ext-Vest pe sub munte în vederea conectării stațiunilor turistice.</w:t>
      </w:r>
    </w:p>
    <w:p w14:paraId="727649F2" w14:textId="77777777" w:rsidR="003D036F" w:rsidRPr="000E5CCC" w:rsidRDefault="003D036F" w:rsidP="000C6CB8">
      <w:pPr>
        <w:pStyle w:val="Listparagraf"/>
        <w:numPr>
          <w:ilvl w:val="0"/>
          <w:numId w:val="209"/>
        </w:numPr>
        <w:spacing w:after="0"/>
        <w:jc w:val="both"/>
        <w:rPr>
          <w:rFonts w:ascii="Arial" w:eastAsia="Calibri" w:hAnsi="Arial" w:cs="Arial"/>
          <w:lang w:val="it-IT" w:eastAsia="ro-RO"/>
        </w:rPr>
      </w:pPr>
      <w:r w:rsidRPr="000E5CCC">
        <w:rPr>
          <w:rFonts w:ascii="Arial" w:eastAsia="Calibri" w:hAnsi="Arial" w:cs="Arial"/>
          <w:lang w:val="it-IT" w:eastAsia="ro-RO"/>
        </w:rPr>
        <w:t>Măsura 3.1.3. Dezvoltarea și reabilitarea infrastructurii feroviare:</w:t>
      </w:r>
    </w:p>
    <w:p w14:paraId="3EFFCD3D" w14:textId="77777777" w:rsidR="003D036F" w:rsidRPr="000E5CCC" w:rsidRDefault="003D036F" w:rsidP="003D036F">
      <w:pPr>
        <w:pStyle w:val="Listparagraf"/>
        <w:spacing w:after="0"/>
        <w:jc w:val="both"/>
        <w:rPr>
          <w:rFonts w:ascii="Arial" w:eastAsia="Calibri" w:hAnsi="Arial" w:cs="Arial"/>
          <w:lang w:val="it-IT" w:eastAsia="ro-RO"/>
        </w:rPr>
      </w:pPr>
      <w:r w:rsidRPr="000E5CCC">
        <w:rPr>
          <w:rFonts w:ascii="Arial" w:eastAsia="Calibri" w:hAnsi="Arial" w:cs="Arial"/>
          <w:lang w:val="it-IT" w:eastAsia="ro-RO"/>
        </w:rPr>
        <w:t>- crearea unui centru de transfer (autogară multifuncțională) în orașul Horezu.</w:t>
      </w:r>
    </w:p>
    <w:p w14:paraId="76716E9B" w14:textId="77777777" w:rsidR="00C34866" w:rsidRDefault="00C34866" w:rsidP="00001A70">
      <w:pPr>
        <w:widowControl w:val="0"/>
        <w:suppressAutoHyphens/>
        <w:spacing w:after="0" w:line="276" w:lineRule="auto"/>
        <w:jc w:val="both"/>
        <w:rPr>
          <w:rFonts w:ascii="Arial" w:hAnsi="Arial" w:cs="Arial"/>
          <w:kern w:val="1"/>
          <w:lang w:val="es-ES" w:eastAsia="hi-IN" w:bidi="hi-IN"/>
        </w:rPr>
      </w:pPr>
    </w:p>
    <w:p w14:paraId="78AD1B27" w14:textId="77777777" w:rsidR="00C34866" w:rsidRDefault="00F559AF" w:rsidP="00001A70">
      <w:pPr>
        <w:widowControl w:val="0"/>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 xml:space="preserve">La data elaborării PMUD al orașului Horezu </w:t>
      </w:r>
      <w:r w:rsidR="00001A70">
        <w:rPr>
          <w:rFonts w:ascii="Arial" w:hAnsi="Arial" w:cs="Arial"/>
          <w:kern w:val="1"/>
          <w:lang w:val="es-ES" w:eastAsia="hi-IN" w:bidi="hi-IN"/>
        </w:rPr>
        <w:t xml:space="preserve">este activ apelul </w:t>
      </w:r>
      <w:r w:rsidR="00001A70" w:rsidRPr="00001A70">
        <w:rPr>
          <w:rFonts w:ascii="Arial" w:hAnsi="Arial" w:cs="Arial"/>
          <w:i/>
          <w:iCs/>
          <w:kern w:val="1"/>
          <w:lang w:val="es-ES" w:eastAsia="hi-IN" w:bidi="hi-IN"/>
        </w:rPr>
        <w:t>Programul privind reducerea emisiilor de gaze cu efect de seră în transporturi, prin promovarea infrastructurii pentru vehiculele de transport rutier nepoluant din punct de vedere energetic: stații de reîncărcare pentru vehicule electrice în localități</w:t>
      </w:r>
      <w:r w:rsidR="00001A70">
        <w:rPr>
          <w:rFonts w:ascii="Arial" w:hAnsi="Arial" w:cs="Arial"/>
          <w:kern w:val="1"/>
          <w:lang w:val="es-ES" w:eastAsia="hi-IN" w:bidi="hi-IN"/>
        </w:rPr>
        <w:t xml:space="preserve">, în cadrul </w:t>
      </w:r>
      <w:r w:rsidR="00001A70" w:rsidRPr="00001A70">
        <w:rPr>
          <w:rFonts w:ascii="Arial" w:hAnsi="Arial" w:cs="Arial"/>
          <w:i/>
          <w:iCs/>
          <w:kern w:val="1"/>
          <w:lang w:val="es-ES" w:eastAsia="hi-IN" w:bidi="hi-IN"/>
        </w:rPr>
        <w:t>Programului privind reducerea emisiilor de gaze cu efect de seră în transporturi</w:t>
      </w:r>
      <w:r w:rsidR="00001A70" w:rsidRPr="00001A70">
        <w:rPr>
          <w:rFonts w:ascii="Arial" w:hAnsi="Arial" w:cs="Arial"/>
          <w:kern w:val="1"/>
          <w:lang w:val="es-ES" w:eastAsia="hi-IN" w:bidi="hi-IN"/>
        </w:rPr>
        <w:t>.</w:t>
      </w:r>
      <w:r w:rsidR="00001A70">
        <w:rPr>
          <w:rFonts w:ascii="Arial" w:hAnsi="Arial" w:cs="Arial"/>
          <w:kern w:val="1"/>
          <w:lang w:val="es-ES" w:eastAsia="hi-IN" w:bidi="hi-IN"/>
        </w:rPr>
        <w:t xml:space="preserve"> </w:t>
      </w:r>
    </w:p>
    <w:p w14:paraId="23F7A845" w14:textId="77777777" w:rsidR="00C34866" w:rsidRDefault="00C34866" w:rsidP="00001A70">
      <w:pPr>
        <w:widowControl w:val="0"/>
        <w:suppressAutoHyphens/>
        <w:spacing w:after="0" w:line="276" w:lineRule="auto"/>
        <w:jc w:val="both"/>
        <w:rPr>
          <w:rFonts w:ascii="Arial" w:hAnsi="Arial" w:cs="Arial"/>
          <w:kern w:val="1"/>
          <w:lang w:val="es-ES" w:eastAsia="hi-IN" w:bidi="hi-IN"/>
        </w:rPr>
      </w:pPr>
    </w:p>
    <w:p w14:paraId="6EFF37B4" w14:textId="77777777" w:rsidR="003D036F" w:rsidRDefault="00001A70" w:rsidP="00001A70">
      <w:pPr>
        <w:widowControl w:val="0"/>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Între solicitanți eligibili sunt i</w:t>
      </w:r>
      <w:r w:rsidRPr="00001A70">
        <w:rPr>
          <w:rFonts w:ascii="Arial" w:hAnsi="Arial" w:cs="Arial"/>
          <w:kern w:val="1"/>
          <w:lang w:val="es-ES" w:eastAsia="hi-IN" w:bidi="hi-IN"/>
        </w:rPr>
        <w:t>nstituții publice și unități administrativ-teritoriale organizate la nivel de</w:t>
      </w:r>
      <w:r w:rsidR="00C34866">
        <w:rPr>
          <w:rFonts w:ascii="Arial" w:hAnsi="Arial" w:cs="Arial"/>
          <w:kern w:val="1"/>
          <w:lang w:val="es-ES" w:eastAsia="hi-IN" w:bidi="hi-IN"/>
        </w:rPr>
        <w:t xml:space="preserve"> </w:t>
      </w:r>
      <w:r w:rsidRPr="00001A70">
        <w:rPr>
          <w:rFonts w:ascii="Arial" w:hAnsi="Arial" w:cs="Arial"/>
          <w:kern w:val="1"/>
          <w:lang w:val="es-ES" w:eastAsia="hi-IN" w:bidi="hi-IN"/>
        </w:rPr>
        <w:t>municipiu, oraș, comună și jud</w:t>
      </w:r>
      <w:r>
        <w:rPr>
          <w:rFonts w:ascii="Arial" w:hAnsi="Arial" w:cs="Arial"/>
          <w:kern w:val="1"/>
          <w:lang w:val="es-ES" w:eastAsia="hi-IN" w:bidi="hi-IN"/>
        </w:rPr>
        <w:t>eț iar a</w:t>
      </w:r>
      <w:r w:rsidRPr="00001A70">
        <w:rPr>
          <w:rFonts w:ascii="Arial" w:hAnsi="Arial" w:cs="Arial"/>
          <w:kern w:val="1"/>
          <w:lang w:val="es-ES" w:eastAsia="hi-IN" w:bidi="hi-IN"/>
        </w:rPr>
        <w:t xml:space="preserve">ctivități eligibile </w:t>
      </w:r>
      <w:r w:rsidR="0069572B">
        <w:rPr>
          <w:rFonts w:ascii="Arial" w:hAnsi="Arial" w:cs="Arial"/>
          <w:kern w:val="1"/>
          <w:lang w:val="es-ES" w:eastAsia="hi-IN" w:bidi="hi-IN"/>
        </w:rPr>
        <w:t>vizează s</w:t>
      </w:r>
      <w:r w:rsidRPr="00001A70">
        <w:rPr>
          <w:rFonts w:ascii="Arial" w:hAnsi="Arial" w:cs="Arial"/>
          <w:kern w:val="1"/>
          <w:lang w:val="es-ES" w:eastAsia="hi-IN" w:bidi="hi-IN"/>
        </w:rPr>
        <w:t>tațiile de reîncărcare formate din minimum două puncte de reîncărcare,</w:t>
      </w:r>
      <w:r w:rsidR="0069572B">
        <w:rPr>
          <w:rFonts w:ascii="Arial" w:hAnsi="Arial" w:cs="Arial"/>
          <w:kern w:val="1"/>
          <w:lang w:val="es-ES" w:eastAsia="hi-IN" w:bidi="hi-IN"/>
        </w:rPr>
        <w:t xml:space="preserve"> </w:t>
      </w:r>
      <w:r w:rsidRPr="00001A70">
        <w:rPr>
          <w:rFonts w:ascii="Arial" w:hAnsi="Arial" w:cs="Arial"/>
          <w:kern w:val="1"/>
          <w:lang w:val="es-ES" w:eastAsia="hi-IN" w:bidi="hi-IN"/>
        </w:rPr>
        <w:t>alimentate de același punct de livrare din rețeaua publică de distribuție, din</w:t>
      </w:r>
      <w:r w:rsidR="0069572B">
        <w:rPr>
          <w:rFonts w:ascii="Arial" w:hAnsi="Arial" w:cs="Arial"/>
          <w:kern w:val="1"/>
          <w:lang w:val="es-ES" w:eastAsia="hi-IN" w:bidi="hi-IN"/>
        </w:rPr>
        <w:t xml:space="preserve"> </w:t>
      </w:r>
      <w:r w:rsidRPr="00001A70">
        <w:rPr>
          <w:rFonts w:ascii="Arial" w:hAnsi="Arial" w:cs="Arial"/>
          <w:kern w:val="1"/>
          <w:lang w:val="es-ES" w:eastAsia="hi-IN" w:bidi="hi-IN"/>
        </w:rPr>
        <w:t>care un punct de reîncărcare permite încărcarea multistandard în curent</w:t>
      </w:r>
      <w:r w:rsidR="0069572B">
        <w:rPr>
          <w:rFonts w:ascii="Arial" w:hAnsi="Arial" w:cs="Arial"/>
          <w:kern w:val="1"/>
          <w:lang w:val="es-ES" w:eastAsia="hi-IN" w:bidi="hi-IN"/>
        </w:rPr>
        <w:t xml:space="preserve"> </w:t>
      </w:r>
      <w:r w:rsidRPr="00001A70">
        <w:rPr>
          <w:rFonts w:ascii="Arial" w:hAnsi="Arial" w:cs="Arial"/>
          <w:kern w:val="1"/>
          <w:lang w:val="es-ES" w:eastAsia="hi-IN" w:bidi="hi-IN"/>
        </w:rPr>
        <w:t xml:space="preserve">continuu la o putere </w:t>
      </w:r>
      <w:r w:rsidR="00C34866">
        <w:rPr>
          <w:rFonts w:ascii="Arial" w:hAnsi="Arial" w:cs="Arial"/>
          <w:kern w:val="1"/>
          <w:lang w:val="es-ES" w:eastAsia="hi-IN" w:bidi="hi-IN"/>
        </w:rPr>
        <w:t>≥</w:t>
      </w:r>
      <w:r w:rsidRPr="00001A70">
        <w:rPr>
          <w:rFonts w:ascii="Arial" w:hAnsi="Arial" w:cs="Arial"/>
          <w:kern w:val="1"/>
          <w:lang w:val="es-ES" w:eastAsia="hi-IN" w:bidi="hi-IN"/>
        </w:rPr>
        <w:t xml:space="preserve"> 50 kW și un punct de reîncărcare permite încărcarea în</w:t>
      </w:r>
      <w:r w:rsidR="0069572B">
        <w:rPr>
          <w:rFonts w:ascii="Arial" w:hAnsi="Arial" w:cs="Arial"/>
          <w:kern w:val="1"/>
          <w:lang w:val="es-ES" w:eastAsia="hi-IN" w:bidi="hi-IN"/>
        </w:rPr>
        <w:t xml:space="preserve"> </w:t>
      </w:r>
      <w:r w:rsidRPr="00001A70">
        <w:rPr>
          <w:rFonts w:ascii="Arial" w:hAnsi="Arial" w:cs="Arial"/>
          <w:kern w:val="1"/>
          <w:lang w:val="es-ES" w:eastAsia="hi-IN" w:bidi="hi-IN"/>
        </w:rPr>
        <w:t xml:space="preserve">curent alternativ la o putere </w:t>
      </w:r>
      <w:r w:rsidR="00C34866">
        <w:rPr>
          <w:rFonts w:ascii="Arial" w:hAnsi="Arial" w:cs="Arial"/>
          <w:kern w:val="1"/>
          <w:lang w:val="es-ES" w:eastAsia="hi-IN" w:bidi="hi-IN"/>
        </w:rPr>
        <w:t>≥</w:t>
      </w:r>
      <w:r w:rsidRPr="00001A70">
        <w:rPr>
          <w:rFonts w:ascii="Arial" w:hAnsi="Arial" w:cs="Arial"/>
          <w:kern w:val="1"/>
          <w:lang w:val="es-ES" w:eastAsia="hi-IN" w:bidi="hi-IN"/>
        </w:rPr>
        <w:t xml:space="preserve"> 22 kW a vehiculelor electrice. Stația de</w:t>
      </w:r>
      <w:r w:rsidR="0069572B">
        <w:rPr>
          <w:rFonts w:ascii="Arial" w:hAnsi="Arial" w:cs="Arial"/>
          <w:kern w:val="1"/>
          <w:lang w:val="es-ES" w:eastAsia="hi-IN" w:bidi="hi-IN"/>
        </w:rPr>
        <w:t xml:space="preserve"> </w:t>
      </w:r>
      <w:r w:rsidRPr="00001A70">
        <w:rPr>
          <w:rFonts w:ascii="Arial" w:hAnsi="Arial" w:cs="Arial"/>
          <w:kern w:val="1"/>
          <w:lang w:val="es-ES" w:eastAsia="hi-IN" w:bidi="hi-IN"/>
        </w:rPr>
        <w:t xml:space="preserve">reîncărcare va permite încărcarea simultană la puterile </w:t>
      </w:r>
      <w:r w:rsidRPr="00001A70">
        <w:rPr>
          <w:rFonts w:ascii="Arial" w:hAnsi="Arial" w:cs="Arial"/>
          <w:kern w:val="1"/>
          <w:lang w:val="es-ES" w:eastAsia="hi-IN" w:bidi="hi-IN"/>
        </w:rPr>
        <w:lastRenderedPageBreak/>
        <w:t>declarate.</w:t>
      </w:r>
      <w:r w:rsidR="00C34866">
        <w:rPr>
          <w:rFonts w:ascii="Arial" w:hAnsi="Arial" w:cs="Arial"/>
          <w:kern w:val="1"/>
          <w:lang w:val="es-ES" w:eastAsia="hi-IN" w:bidi="hi-IN"/>
        </w:rPr>
        <w:t xml:space="preserve"> </w:t>
      </w:r>
      <w:r w:rsidR="0069572B">
        <w:rPr>
          <w:rFonts w:ascii="Arial" w:hAnsi="Arial" w:cs="Arial"/>
          <w:kern w:val="1"/>
          <w:lang w:val="es-ES" w:eastAsia="hi-IN" w:bidi="hi-IN"/>
        </w:rPr>
        <w:t>Suma maximă finanțată pentru instalarea unei stații de reîncărcare este de 190.000 lei.</w:t>
      </w:r>
    </w:p>
    <w:p w14:paraId="5008F006" w14:textId="77777777" w:rsidR="00C34866" w:rsidRDefault="00C34866" w:rsidP="00001A70">
      <w:pPr>
        <w:widowControl w:val="0"/>
        <w:suppressAutoHyphens/>
        <w:spacing w:after="0" w:line="276" w:lineRule="auto"/>
        <w:jc w:val="both"/>
        <w:rPr>
          <w:rFonts w:ascii="Arial" w:hAnsi="Arial" w:cs="Arial"/>
          <w:kern w:val="1"/>
          <w:lang w:val="es-ES" w:eastAsia="hi-IN" w:bidi="hi-IN"/>
        </w:rPr>
      </w:pPr>
    </w:p>
    <w:p w14:paraId="01ECE4EF" w14:textId="77777777" w:rsidR="0069572B" w:rsidRDefault="0069572B" w:rsidP="00001A70">
      <w:pPr>
        <w:widowControl w:val="0"/>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În contextul menționat, Consiliul Local al orașului Horezu a adoptat un proiect de hotărâre cu privire la aprobarea participării la ”</w:t>
      </w:r>
      <w:r w:rsidRPr="0069572B">
        <w:rPr>
          <w:rFonts w:ascii="Arial" w:hAnsi="Arial" w:cs="Arial"/>
          <w:kern w:val="1"/>
          <w:lang w:val="es-ES" w:eastAsia="hi-IN" w:bidi="hi-IN"/>
        </w:rPr>
        <w:t>Programul privind reducerea emisiilor de gaze cu efect de seră în transporturi, prin promovarea infrastructurii pentru vehiculele de transport rutier nepoluant din punct de vedere energetic: stații de reîncărcare pentru vehicule electrice în localități</w:t>
      </w:r>
      <w:r w:rsidR="00C34866">
        <w:rPr>
          <w:rFonts w:ascii="Arial" w:hAnsi="Arial" w:cs="Arial"/>
          <w:kern w:val="1"/>
          <w:lang w:val="es-ES" w:eastAsia="hi-IN" w:bidi="hi-IN"/>
        </w:rPr>
        <w:t xml:space="preserve">” precum și aprobarea indicatorilor tehnico-economici pentru obiectivul: ”Construire stații de încărcare pentru vehicule electrice în orașul Horezu, Jud. Vâlcea”. </w:t>
      </w:r>
    </w:p>
    <w:p w14:paraId="781754A0" w14:textId="77777777" w:rsidR="0069572B" w:rsidRDefault="0069572B" w:rsidP="00001A70">
      <w:pPr>
        <w:widowControl w:val="0"/>
        <w:suppressAutoHyphens/>
        <w:spacing w:after="0" w:line="276" w:lineRule="auto"/>
        <w:jc w:val="both"/>
        <w:rPr>
          <w:rFonts w:ascii="Arial" w:hAnsi="Arial" w:cs="Arial"/>
          <w:kern w:val="1"/>
          <w:lang w:val="es-ES" w:eastAsia="hi-IN" w:bidi="hi-IN"/>
        </w:rPr>
      </w:pPr>
    </w:p>
    <w:p w14:paraId="321679FC" w14:textId="77777777" w:rsidR="00C566D2" w:rsidRDefault="00C566D2" w:rsidP="00C566D2">
      <w:pPr>
        <w:widowControl w:val="0"/>
        <w:spacing w:after="0" w:line="276" w:lineRule="auto"/>
        <w:jc w:val="both"/>
        <w:rPr>
          <w:rFonts w:ascii="Arial" w:hAnsi="Arial" w:cs="Arial"/>
          <w:kern w:val="1"/>
          <w:lang w:val="es-ES" w:eastAsia="hi-IN" w:bidi="hi-IN"/>
        </w:rPr>
      </w:pPr>
    </w:p>
    <w:p w14:paraId="23528CB2" w14:textId="6D0A1606" w:rsidR="00AB5704" w:rsidRPr="00AB5704" w:rsidRDefault="00267545" w:rsidP="00AB5704">
      <w:pPr>
        <w:widowControl w:val="0"/>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 xml:space="preserve">Întocmirea </w:t>
      </w:r>
      <w:r w:rsidR="00865B66">
        <w:rPr>
          <w:rFonts w:ascii="Arial" w:hAnsi="Arial" w:cs="Arial"/>
          <w:kern w:val="1"/>
          <w:lang w:val="es-ES" w:eastAsia="hi-IN" w:bidi="hi-IN"/>
        </w:rPr>
        <w:t>PMUD se va realiza</w:t>
      </w:r>
      <w:r w:rsidR="00AB5704" w:rsidRPr="00AB5704">
        <w:rPr>
          <w:rFonts w:ascii="Arial" w:hAnsi="Arial" w:cs="Arial"/>
          <w:kern w:val="1"/>
          <w:lang w:val="es-ES" w:eastAsia="hi-IN" w:bidi="hi-IN"/>
        </w:rPr>
        <w:t xml:space="preserve"> în corelare cu Strategia </w:t>
      </w:r>
      <w:r w:rsidR="00536A6C">
        <w:rPr>
          <w:rFonts w:ascii="Arial" w:hAnsi="Arial" w:cs="Arial"/>
          <w:kern w:val="1"/>
          <w:lang w:val="es-ES" w:eastAsia="hi-IN" w:bidi="hi-IN"/>
        </w:rPr>
        <w:t xml:space="preserve">Integrată </w:t>
      </w:r>
      <w:r w:rsidR="00AB5704" w:rsidRPr="00AB5704">
        <w:rPr>
          <w:rFonts w:ascii="Arial" w:hAnsi="Arial" w:cs="Arial"/>
          <w:kern w:val="1"/>
          <w:lang w:val="es-ES" w:eastAsia="hi-IN" w:bidi="hi-IN"/>
        </w:rPr>
        <w:t xml:space="preserve">de Dezvoltare </w:t>
      </w:r>
      <w:r w:rsidR="00D70BAE">
        <w:rPr>
          <w:rFonts w:ascii="Arial" w:hAnsi="Arial" w:cs="Arial"/>
          <w:kern w:val="1"/>
          <w:lang w:val="es-ES" w:eastAsia="hi-IN" w:bidi="hi-IN"/>
        </w:rPr>
        <w:t>Urbană 2021-2030</w:t>
      </w:r>
      <w:r w:rsidR="0055750B">
        <w:rPr>
          <w:rFonts w:ascii="Arial" w:hAnsi="Arial" w:cs="Arial"/>
          <w:kern w:val="1"/>
          <w:lang w:val="es-ES" w:eastAsia="hi-IN" w:bidi="hi-IN"/>
        </w:rPr>
        <w:t xml:space="preserve"> a Orașului Horezu</w:t>
      </w:r>
      <w:r w:rsidR="001F7343">
        <w:rPr>
          <w:rStyle w:val="Referinnotdesubsol"/>
          <w:rFonts w:ascii="Arial" w:hAnsi="Arial" w:cs="Arial"/>
          <w:kern w:val="1"/>
          <w:lang w:val="es-ES" w:eastAsia="hi-IN" w:bidi="hi-IN"/>
        </w:rPr>
        <w:footnoteReference w:id="32"/>
      </w:r>
      <w:r w:rsidR="0055750B">
        <w:rPr>
          <w:rFonts w:ascii="Arial" w:hAnsi="Arial" w:cs="Arial"/>
          <w:kern w:val="1"/>
          <w:lang w:val="es-ES" w:eastAsia="hi-IN" w:bidi="hi-IN"/>
        </w:rPr>
        <w:t>, precum și cu Strategia Integrată de Dezvoltare Durabilă a jud. Vâlcea</w:t>
      </w:r>
      <w:r w:rsidR="0055750B">
        <w:rPr>
          <w:rStyle w:val="Referinnotdesubsol"/>
          <w:rFonts w:ascii="Arial" w:hAnsi="Arial" w:cs="Arial"/>
          <w:kern w:val="1"/>
          <w:lang w:val="es-ES" w:eastAsia="hi-IN" w:bidi="hi-IN"/>
        </w:rPr>
        <w:footnoteReference w:id="33"/>
      </w:r>
      <w:r w:rsidR="00D70BAE">
        <w:rPr>
          <w:rFonts w:ascii="Arial" w:hAnsi="Arial" w:cs="Arial"/>
          <w:kern w:val="1"/>
          <w:lang w:val="es-ES" w:eastAsia="hi-IN" w:bidi="hi-IN"/>
        </w:rPr>
        <w:t>.</w:t>
      </w:r>
      <w:r w:rsidR="00865B66">
        <w:rPr>
          <w:rFonts w:ascii="Arial" w:hAnsi="Arial" w:cs="Arial"/>
          <w:kern w:val="1"/>
          <w:lang w:val="es-ES" w:eastAsia="hi-IN" w:bidi="hi-IN"/>
        </w:rPr>
        <w:t xml:space="preserve"> </w:t>
      </w:r>
    </w:p>
    <w:p w14:paraId="30EC3B77" w14:textId="77777777" w:rsidR="00767876" w:rsidRDefault="00767876" w:rsidP="00C424BB">
      <w:pPr>
        <w:spacing w:after="0"/>
        <w:jc w:val="both"/>
        <w:rPr>
          <w:rFonts w:ascii="Arial" w:hAnsi="Arial" w:cs="Arial"/>
        </w:rPr>
      </w:pPr>
    </w:p>
    <w:p w14:paraId="71B223E9" w14:textId="77777777" w:rsidR="008A5157" w:rsidRDefault="008A5157" w:rsidP="009B553E">
      <w:pPr>
        <w:ind w:left="360"/>
        <w:rPr>
          <w:rFonts w:ascii="Arial" w:hAnsi="Arial" w:cs="Arial"/>
        </w:rPr>
      </w:pPr>
      <w:r>
        <w:rPr>
          <w:rFonts w:ascii="Arial" w:hAnsi="Arial" w:cs="Arial"/>
        </w:rPr>
        <w:br w:type="page"/>
      </w:r>
    </w:p>
    <w:p w14:paraId="5A18A01F" w14:textId="77777777" w:rsidR="00D70AEA" w:rsidRPr="003430C5" w:rsidRDefault="00EA79B2" w:rsidP="003430C5">
      <w:pPr>
        <w:pStyle w:val="Titlu1"/>
        <w:rPr>
          <w:rFonts w:ascii="Arial" w:hAnsi="Arial" w:cs="Arial"/>
          <w:b/>
          <w:bCs/>
          <w:color w:val="auto"/>
          <w:sz w:val="28"/>
          <w:szCs w:val="28"/>
        </w:rPr>
      </w:pPr>
      <w:bookmarkStart w:id="46" w:name="_Toc61264887"/>
      <w:bookmarkStart w:id="47" w:name="_Toc142039049"/>
      <w:r w:rsidRPr="00EA79B2">
        <w:rPr>
          <w:rFonts w:asciiTheme="minorHAnsi" w:eastAsia="SimSun" w:hAnsiTheme="minorHAnsi" w:cstheme="minorBidi"/>
          <w:noProof/>
          <w:color w:val="auto"/>
          <w:sz w:val="22"/>
          <w:szCs w:val="22"/>
        </w:rPr>
        <w:lastRenderedPageBreak/>
        <mc:AlternateContent>
          <mc:Choice Requires="wps">
            <w:drawing>
              <wp:anchor distT="0" distB="0" distL="114300" distR="114300" simplePos="0" relativeHeight="251613696" behindDoc="0" locked="0" layoutInCell="1" allowOverlap="1" wp14:anchorId="434193AA" wp14:editId="45CACAB5">
                <wp:simplePos x="0" y="0"/>
                <wp:positionH relativeFrom="page">
                  <wp:align>right</wp:align>
                </wp:positionH>
                <wp:positionV relativeFrom="paragraph">
                  <wp:posOffset>9525</wp:posOffset>
                </wp:positionV>
                <wp:extent cx="1828800" cy="1828800"/>
                <wp:effectExtent l="0" t="0" r="0" b="0"/>
                <wp:wrapNone/>
                <wp:docPr id="49" name="Text Box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359454F" w14:textId="77777777" w:rsidR="00C36A80" w:rsidRPr="00EA79B2" w:rsidRDefault="00C36A80" w:rsidP="00EA79B2">
                            <w:pPr>
                              <w:pStyle w:val="Titlu1"/>
                              <w:jc w:val="center"/>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pPr>
                            <w:bookmarkStart w:id="48" w:name="_Toc142039050"/>
                            <w:r w:rsidRPr="00EA79B2">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t>I.2</w:t>
                            </w:r>
                            <w:bookmarkEnd w:id="48"/>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34193AA" id="Text Box 49" o:spid="_x0000_s1052" type="#_x0000_t202" style="position:absolute;margin-left:92.8pt;margin-top:.75pt;width:2in;height:2in;z-index:251613696;visibility:visible;mso-wrap-style:none;mso-wrap-distance-left:9pt;mso-wrap-distance-top:0;mso-wrap-distance-right:9pt;mso-wrap-distance-bottom:0;mso-position-horizontal:right;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" filled="f" stroked="f">
                <v:textbox style="mso-fit-shape-to-text:t">
                  <w:txbxContent>
                    <w:p w14:paraId="1359454F" w14:textId="77777777" w:rsidR="00C36A80" w:rsidRPr="00EA79B2" w:rsidRDefault="00C36A80" w:rsidP="00EA79B2">
                      <w:pPr>
                        <w:pStyle w:val="Titlu1"/>
                        <w:jc w:val="center"/>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pPr>
                      <w:bookmarkStart w:id="49" w:name="_Toc142039050"/>
                      <w:r w:rsidRPr="00EA79B2">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t>I.2</w:t>
                      </w:r>
                      <w:bookmarkEnd w:id="49"/>
                    </w:p>
                  </w:txbxContent>
                </v:textbox>
                <w10:wrap anchorx="page"/>
              </v:shape>
            </w:pict>
          </mc:Fallback>
        </mc:AlternateContent>
      </w:r>
      <w:r w:rsidR="00D70AEA" w:rsidRPr="003430C5">
        <w:rPr>
          <w:rFonts w:ascii="Arial" w:hAnsi="Arial" w:cs="Arial"/>
          <w:b/>
          <w:bCs/>
          <w:color w:val="auto"/>
          <w:sz w:val="28"/>
          <w:szCs w:val="28"/>
        </w:rPr>
        <w:t>I.2 Analiza situației existente</w:t>
      </w:r>
      <w:bookmarkEnd w:id="46"/>
      <w:bookmarkEnd w:id="47"/>
    </w:p>
    <w:p w14:paraId="7DC3B67A" w14:textId="77777777" w:rsidR="00D70AEA" w:rsidRDefault="00D70AEA" w:rsidP="00A32027">
      <w:pPr>
        <w:pStyle w:val="Titlu2"/>
        <w:rPr>
          <w:rFonts w:ascii="Arial" w:eastAsia="Times New Roman" w:hAnsi="Arial" w:cs="Arial"/>
          <w:b/>
          <w:bCs/>
          <w:color w:val="auto"/>
          <w:lang w:val="it-IT"/>
        </w:rPr>
      </w:pPr>
      <w:bookmarkStart w:id="50" w:name="_Toc61264888"/>
      <w:bookmarkStart w:id="51" w:name="_Toc142039051"/>
      <w:r w:rsidRPr="00A32027">
        <w:rPr>
          <w:rFonts w:ascii="Arial" w:eastAsia="Times New Roman" w:hAnsi="Arial" w:cs="Arial"/>
          <w:b/>
          <w:bCs/>
          <w:color w:val="auto"/>
          <w:lang w:val="it-IT"/>
        </w:rPr>
        <w:t>I.2.1</w:t>
      </w:r>
      <w:r w:rsidR="003430C5" w:rsidRPr="00A32027">
        <w:rPr>
          <w:rFonts w:ascii="Arial" w:eastAsia="Times New Roman" w:hAnsi="Arial" w:cs="Arial"/>
          <w:b/>
          <w:bCs/>
          <w:color w:val="auto"/>
          <w:lang w:val="it-IT"/>
        </w:rPr>
        <w:t xml:space="preserve"> </w:t>
      </w:r>
      <w:r w:rsidRPr="00A32027">
        <w:rPr>
          <w:rFonts w:ascii="Arial" w:eastAsia="Times New Roman" w:hAnsi="Arial" w:cs="Arial"/>
          <w:b/>
          <w:bCs/>
          <w:color w:val="auto"/>
          <w:lang w:val="it-IT"/>
        </w:rPr>
        <w:t>Contextul socio-economic cu ident</w:t>
      </w:r>
      <w:r w:rsidR="00095B0D">
        <w:rPr>
          <w:rFonts w:ascii="Arial" w:eastAsia="Times New Roman" w:hAnsi="Arial" w:cs="Arial"/>
          <w:b/>
          <w:bCs/>
          <w:color w:val="auto"/>
          <w:lang w:val="it-IT"/>
        </w:rPr>
        <w:t>ificarea densităților de popula</w:t>
      </w:r>
      <w:r w:rsidR="00095B0D">
        <w:rPr>
          <w:rFonts w:ascii="Arial" w:eastAsia="Times New Roman" w:hAnsi="Arial" w:cs="Arial"/>
          <w:b/>
          <w:bCs/>
          <w:color w:val="auto"/>
          <w:lang w:val="ro-RO"/>
        </w:rPr>
        <w:t>ţ</w:t>
      </w:r>
      <w:r w:rsidR="00095B0D">
        <w:rPr>
          <w:rFonts w:ascii="Arial" w:eastAsia="Times New Roman" w:hAnsi="Arial" w:cs="Arial"/>
          <w:b/>
          <w:bCs/>
          <w:color w:val="auto"/>
          <w:lang w:val="it-IT"/>
        </w:rPr>
        <w:t>ie și a activităţ</w:t>
      </w:r>
      <w:r w:rsidRPr="00A32027">
        <w:rPr>
          <w:rFonts w:ascii="Arial" w:eastAsia="Times New Roman" w:hAnsi="Arial" w:cs="Arial"/>
          <w:b/>
          <w:bCs/>
          <w:color w:val="auto"/>
          <w:lang w:val="it-IT"/>
        </w:rPr>
        <w:t>ilor economice</w:t>
      </w:r>
      <w:bookmarkEnd w:id="50"/>
      <w:bookmarkEnd w:id="51"/>
    </w:p>
    <w:p w14:paraId="583C51C4" w14:textId="77777777" w:rsidR="005B608A" w:rsidRDefault="00095B0D" w:rsidP="00D460A6">
      <w:pPr>
        <w:shd w:val="clear" w:color="auto" w:fill="FFFFFF"/>
        <w:spacing w:after="0" w:line="240" w:lineRule="auto"/>
        <w:jc w:val="both"/>
        <w:rPr>
          <w:rFonts w:ascii="Arial" w:hAnsi="Arial" w:cs="Arial"/>
          <w:lang w:val="it-IT"/>
        </w:rPr>
      </w:pPr>
      <w:r w:rsidRPr="00E51E7C">
        <w:rPr>
          <w:rFonts w:ascii="Arial" w:eastAsia="Times New Roman" w:hAnsi="Arial" w:cs="Arial"/>
          <w:color w:val="050505"/>
        </w:rPr>
        <w:t xml:space="preserve">Orasul Horezu </w:t>
      </w:r>
      <w:r w:rsidR="00D460A6">
        <w:rPr>
          <w:rFonts w:ascii="Arial" w:eastAsia="Times New Roman" w:hAnsi="Arial" w:cs="Arial"/>
          <w:color w:val="050505"/>
        </w:rPr>
        <w:t>este</w:t>
      </w:r>
      <w:r w:rsidRPr="00E51E7C">
        <w:rPr>
          <w:rFonts w:ascii="Arial" w:eastAsia="Times New Roman" w:hAnsi="Arial" w:cs="Arial"/>
          <w:color w:val="050505"/>
        </w:rPr>
        <w:t xml:space="preserve"> în partea centrală a judeţului Vâlcea,</w:t>
      </w:r>
      <w:r w:rsidR="00E51E7C">
        <w:rPr>
          <w:rFonts w:ascii="Arial" w:eastAsia="Times New Roman" w:hAnsi="Arial" w:cs="Arial"/>
          <w:color w:val="050505"/>
        </w:rPr>
        <w:t xml:space="preserve"> </w:t>
      </w:r>
      <w:r w:rsidR="00ED1BAD">
        <w:rPr>
          <w:rFonts w:ascii="Arial" w:eastAsia="Times New Roman" w:hAnsi="Arial" w:cs="Arial"/>
          <w:color w:val="050505"/>
        </w:rPr>
        <w:t>la o altitudine medie</w:t>
      </w:r>
      <w:r w:rsidR="00ED1BAD" w:rsidRPr="00ED1BAD">
        <w:t xml:space="preserve"> </w:t>
      </w:r>
      <w:r w:rsidR="00ED1BAD">
        <w:t xml:space="preserve">de </w:t>
      </w:r>
      <w:r w:rsidR="00ED1BAD">
        <w:rPr>
          <w:rFonts w:ascii="Arial" w:eastAsia="Times New Roman" w:hAnsi="Arial" w:cs="Arial"/>
          <w:color w:val="050505"/>
        </w:rPr>
        <w:t xml:space="preserve">475-500 metri, </w:t>
      </w:r>
      <w:r w:rsidR="00D460A6">
        <w:rPr>
          <w:rFonts w:ascii="Arial" w:eastAsia="Times New Roman" w:hAnsi="Arial" w:cs="Arial"/>
          <w:color w:val="050505"/>
        </w:rPr>
        <w:t>în centrul depresiunii Horezu şi este marginită la nord de Munţii Căpăţâ</w:t>
      </w:r>
      <w:r w:rsidR="00E51E7C" w:rsidRPr="00E51E7C">
        <w:rPr>
          <w:rFonts w:ascii="Arial" w:eastAsia="Times New Roman" w:hAnsi="Arial" w:cs="Arial"/>
          <w:color w:val="050505"/>
        </w:rPr>
        <w:t xml:space="preserve">nii, cu vf. Ursu de 2124 m, la sud </w:t>
      </w:r>
      <w:r w:rsidR="00D460A6">
        <w:rPr>
          <w:rFonts w:ascii="Arial" w:eastAsia="Times New Roman" w:hAnsi="Arial" w:cs="Arial"/>
          <w:color w:val="050505"/>
        </w:rPr>
        <w:t>de Măgura Slătioarei cu 767 m şi dealurile Negruleştilor, Costeştilor şi Tomşanilor, pe râurile Luncavăţ, Râmeşti ş</w:t>
      </w:r>
      <w:r w:rsidR="00E51E7C" w:rsidRPr="00E51E7C">
        <w:rPr>
          <w:rFonts w:ascii="Arial" w:eastAsia="Times New Roman" w:hAnsi="Arial" w:cs="Arial"/>
          <w:color w:val="050505"/>
        </w:rPr>
        <w:t>i Romani</w:t>
      </w:r>
      <w:r w:rsidR="00736BAF">
        <w:rPr>
          <w:rFonts w:ascii="Arial" w:eastAsia="Times New Roman" w:hAnsi="Arial" w:cs="Arial"/>
          <w:color w:val="050505"/>
        </w:rPr>
        <w:t>.</w:t>
      </w:r>
      <w:r w:rsidRPr="00E51E7C">
        <w:rPr>
          <w:rFonts w:ascii="Arial" w:eastAsia="Times New Roman" w:hAnsi="Arial" w:cs="Arial"/>
          <w:color w:val="050505"/>
        </w:rPr>
        <w:t xml:space="preserve"> </w:t>
      </w:r>
    </w:p>
    <w:p w14:paraId="1D19B854" w14:textId="77777777" w:rsidR="005B608A" w:rsidRDefault="005B608A" w:rsidP="00D460A6">
      <w:pPr>
        <w:shd w:val="clear" w:color="auto" w:fill="FFFFFF"/>
        <w:spacing w:after="0" w:line="240" w:lineRule="auto"/>
        <w:jc w:val="both"/>
        <w:rPr>
          <w:rFonts w:ascii="Arial" w:hAnsi="Arial" w:cs="Arial"/>
          <w:lang w:val="it-IT"/>
        </w:rPr>
      </w:pPr>
    </w:p>
    <w:p w14:paraId="7EC1261C" w14:textId="77777777" w:rsidR="00095B0D" w:rsidRPr="00012B64" w:rsidRDefault="005B608A" w:rsidP="005B608A">
      <w:pPr>
        <w:shd w:val="clear" w:color="auto" w:fill="FFFFFF"/>
        <w:spacing w:after="0" w:line="240" w:lineRule="auto"/>
        <w:jc w:val="both"/>
        <w:rPr>
          <w:rFonts w:ascii="Arial" w:hAnsi="Arial" w:cs="Arial"/>
          <w:lang w:val="it-IT"/>
        </w:rPr>
      </w:pPr>
      <w:r w:rsidRPr="005B608A">
        <w:rPr>
          <w:rFonts w:ascii="Arial" w:hAnsi="Arial" w:cs="Arial"/>
          <w:lang w:val="it-IT"/>
        </w:rPr>
        <w:t>Cu</w:t>
      </w:r>
      <w:r w:rsidR="00D460A6" w:rsidRPr="005B608A">
        <w:rPr>
          <w:rFonts w:ascii="Arial" w:hAnsi="Arial" w:cs="Arial"/>
          <w:lang w:val="it-IT"/>
        </w:rPr>
        <w:t xml:space="preserve"> o suprafaţă totală de</w:t>
      </w:r>
      <w:r w:rsidR="00012B64">
        <w:rPr>
          <w:rFonts w:ascii="Arial" w:hAnsi="Arial" w:cs="Arial"/>
          <w:lang w:val="it-IT"/>
        </w:rPr>
        <w:t xml:space="preserve"> aproape</w:t>
      </w:r>
      <w:r w:rsidR="00D460A6" w:rsidRPr="005B608A">
        <w:rPr>
          <w:rFonts w:ascii="Arial" w:hAnsi="Arial" w:cs="Arial"/>
          <w:lang w:val="it-IT"/>
        </w:rPr>
        <w:t xml:space="preserve"> 117 km</w:t>
      </w:r>
      <w:r w:rsidR="00D460A6" w:rsidRPr="005B608A">
        <w:rPr>
          <w:rFonts w:ascii="Arial" w:hAnsi="Arial" w:cs="Arial"/>
          <w:vertAlign w:val="superscript"/>
          <w:lang w:val="it-IT"/>
        </w:rPr>
        <w:t>2</w:t>
      </w:r>
      <w:r w:rsidR="00012B64">
        <w:rPr>
          <w:rFonts w:ascii="Arial" w:hAnsi="Arial" w:cs="Arial"/>
          <w:lang w:val="it-IT"/>
        </w:rPr>
        <w:t>(116,7 km</w:t>
      </w:r>
      <w:r w:rsidR="00012B64">
        <w:rPr>
          <w:rFonts w:ascii="Arial" w:hAnsi="Arial" w:cs="Arial"/>
          <w:vertAlign w:val="superscript"/>
          <w:lang w:val="it-IT"/>
        </w:rPr>
        <w:t>2</w:t>
      </w:r>
      <w:r w:rsidR="00012B64">
        <w:rPr>
          <w:rFonts w:ascii="Arial" w:hAnsi="Arial" w:cs="Arial"/>
          <w:lang w:val="it-IT"/>
        </w:rPr>
        <w:t>, inclusiv satele aparţinătoare)</w:t>
      </w:r>
      <w:r w:rsidRPr="005B608A">
        <w:rPr>
          <w:rFonts w:ascii="Arial" w:hAnsi="Arial" w:cs="Arial"/>
          <w:lang w:val="it-IT"/>
        </w:rPr>
        <w:t xml:space="preserve">, </w:t>
      </w:r>
      <w:r w:rsidR="00012B64">
        <w:rPr>
          <w:rFonts w:ascii="Arial" w:hAnsi="Arial" w:cs="Arial"/>
          <w:lang w:val="it-IT"/>
        </w:rPr>
        <w:t xml:space="preserve">oraşul </w:t>
      </w:r>
      <w:r w:rsidRPr="005B608A">
        <w:rPr>
          <w:rFonts w:ascii="Arial" w:hAnsi="Arial" w:cs="Arial"/>
          <w:lang w:val="it-IT"/>
        </w:rPr>
        <w:t xml:space="preserve">Horezu este poziţionat la intersecţia coordonatelor </w:t>
      </w:r>
      <w:hyperlink r:id="rId39" w:anchor="/maplink/2" w:history="1">
        <w:r w:rsidRPr="005B608A">
          <w:rPr>
            <w:rFonts w:ascii="Arial" w:hAnsi="Arial" w:cs="Arial"/>
            <w:bCs/>
          </w:rPr>
          <w:t>45°8′36″N 23°59′30″E</w:t>
        </w:r>
      </w:hyperlink>
      <w:r w:rsidRPr="005B608A">
        <w:rPr>
          <w:rFonts w:ascii="Arial" w:hAnsi="Arial" w:cs="Arial"/>
        </w:rPr>
        <w:t xml:space="preserve"> şi se învecinează </w:t>
      </w:r>
      <w:r w:rsidR="00E07677">
        <w:rPr>
          <w:rFonts w:ascii="Arial" w:hAnsi="Arial" w:cs="Arial"/>
          <w:lang w:val="it-IT"/>
        </w:rPr>
        <w:t>la nord cu comuna Mălaia, la est cu comuna Costeş</w:t>
      </w:r>
      <w:r w:rsidR="00095B0D" w:rsidRPr="005B608A">
        <w:rPr>
          <w:rFonts w:ascii="Arial" w:hAnsi="Arial" w:cs="Arial"/>
          <w:lang w:val="it-IT"/>
        </w:rPr>
        <w:t xml:space="preserve">ti, la sud-est </w:t>
      </w:r>
      <w:r w:rsidR="00E07677">
        <w:rPr>
          <w:rFonts w:ascii="Arial" w:hAnsi="Arial" w:cs="Arial"/>
          <w:lang w:val="it-IT"/>
        </w:rPr>
        <w:t>comuna Tomş</w:t>
      </w:r>
      <w:r>
        <w:rPr>
          <w:rFonts w:ascii="Arial" w:hAnsi="Arial" w:cs="Arial"/>
          <w:lang w:val="it-IT"/>
        </w:rPr>
        <w:t>ani, la sud comuna Măldăreş</w:t>
      </w:r>
      <w:r w:rsidR="00095B0D" w:rsidRPr="005B608A">
        <w:rPr>
          <w:rFonts w:ascii="Arial" w:hAnsi="Arial" w:cs="Arial"/>
          <w:lang w:val="it-IT"/>
        </w:rPr>
        <w:t>ti, iar la vest comuna Vaideeni.</w:t>
      </w:r>
      <w:r w:rsidR="00012B64">
        <w:rPr>
          <w:rFonts w:ascii="Arial" w:hAnsi="Arial" w:cs="Arial"/>
          <w:lang w:val="it-IT"/>
        </w:rPr>
        <w:t xml:space="preserve"> Suprafaţa oraşului fără satele aparţinătoare este de 14,8 km</w:t>
      </w:r>
      <w:r w:rsidR="00012B64">
        <w:rPr>
          <w:rFonts w:ascii="Arial" w:hAnsi="Arial" w:cs="Arial"/>
          <w:vertAlign w:val="superscript"/>
          <w:lang w:val="it-IT"/>
        </w:rPr>
        <w:t>2</w:t>
      </w:r>
      <w:r w:rsidR="00012B64">
        <w:rPr>
          <w:rFonts w:ascii="Arial" w:hAnsi="Arial" w:cs="Arial"/>
          <w:lang w:val="it-IT"/>
        </w:rPr>
        <w:t>.</w:t>
      </w:r>
    </w:p>
    <w:p w14:paraId="52DFF7D5" w14:textId="77777777" w:rsidR="00E07677" w:rsidRDefault="00E07677" w:rsidP="005B608A">
      <w:pPr>
        <w:shd w:val="clear" w:color="auto" w:fill="FFFFFF"/>
        <w:spacing w:after="0" w:line="240" w:lineRule="auto"/>
        <w:jc w:val="both"/>
        <w:rPr>
          <w:rFonts w:ascii="Arial" w:hAnsi="Arial" w:cs="Arial"/>
          <w:lang w:val="it-IT"/>
        </w:rPr>
      </w:pPr>
    </w:p>
    <w:p w14:paraId="7533835D" w14:textId="77777777" w:rsidR="00E07677" w:rsidRDefault="00E07677" w:rsidP="005B608A">
      <w:pPr>
        <w:shd w:val="clear" w:color="auto" w:fill="FFFFFF"/>
        <w:spacing w:after="0" w:line="240" w:lineRule="auto"/>
        <w:jc w:val="both"/>
        <w:rPr>
          <w:rFonts w:ascii="Arial" w:hAnsi="Arial" w:cs="Arial"/>
          <w:lang w:val="ro-RO"/>
        </w:rPr>
      </w:pPr>
      <w:r>
        <w:rPr>
          <w:rFonts w:ascii="Arial" w:hAnsi="Arial" w:cs="Arial"/>
          <w:lang w:val="it-IT"/>
        </w:rPr>
        <w:t xml:space="preserve">Ca tipologie funcţională oraşul Horezu </w:t>
      </w:r>
      <w:r w:rsidR="00900832">
        <w:rPr>
          <w:rFonts w:ascii="Arial" w:hAnsi="Arial" w:cs="Arial"/>
          <w:lang w:val="it-IT"/>
        </w:rPr>
        <w:t>este un centru urban cu rol zonal, de echilibru în reţeaua de localităţi sau de des</w:t>
      </w:r>
      <w:r w:rsidR="00736BAF">
        <w:rPr>
          <w:rFonts w:ascii="Arial" w:hAnsi="Arial" w:cs="Arial"/>
          <w:lang w:val="it-IT"/>
        </w:rPr>
        <w:t>ervire în cadrul zonei imediate, o sta</w:t>
      </w:r>
      <w:r w:rsidR="00736BAF">
        <w:rPr>
          <w:rFonts w:ascii="Arial" w:hAnsi="Arial" w:cs="Arial"/>
          <w:lang w:val="ro-RO"/>
        </w:rPr>
        <w:t>ţiune turistică de interes local.</w:t>
      </w:r>
    </w:p>
    <w:p w14:paraId="54437095" w14:textId="77777777" w:rsidR="00736BAF" w:rsidRPr="00736BAF" w:rsidRDefault="00736BAF" w:rsidP="005B608A">
      <w:pPr>
        <w:shd w:val="clear" w:color="auto" w:fill="FFFFFF"/>
        <w:spacing w:after="0" w:line="240" w:lineRule="auto"/>
        <w:jc w:val="both"/>
        <w:rPr>
          <w:rFonts w:ascii="Arial" w:hAnsi="Arial" w:cs="Arial"/>
          <w:lang w:val="ro-RO"/>
        </w:rPr>
      </w:pPr>
      <w:r>
        <w:rPr>
          <w:rFonts w:ascii="Arial" w:hAnsi="Arial" w:cs="Arial"/>
          <w:lang w:val="ro-RO"/>
        </w:rPr>
        <w:t>Oraşul Horezu se desfăşoară de-a lungul drumului naţional DN 67, care îl străbate de la est la vest şi reprezintă principala cale de comunicaţie şi legătură cu municipiul Râmnicu Vâlcea (44 km), şi cu municipiul Târgu Jiu (68 km).</w:t>
      </w:r>
    </w:p>
    <w:p w14:paraId="3A42F040" w14:textId="77777777" w:rsidR="00D2512E" w:rsidRDefault="00D2512E" w:rsidP="005B608A">
      <w:pPr>
        <w:shd w:val="clear" w:color="auto" w:fill="FFFFFF"/>
        <w:spacing w:after="0" w:line="240" w:lineRule="auto"/>
        <w:jc w:val="both"/>
        <w:rPr>
          <w:rFonts w:ascii="Arial" w:hAnsi="Arial" w:cs="Arial"/>
          <w:lang w:val="it-IT"/>
        </w:rPr>
      </w:pPr>
    </w:p>
    <w:p w14:paraId="3507A536" w14:textId="77777777" w:rsidR="00D2512E" w:rsidRPr="005B608A" w:rsidRDefault="00D2512E" w:rsidP="005B608A">
      <w:pPr>
        <w:shd w:val="clear" w:color="auto" w:fill="FFFFFF"/>
        <w:spacing w:after="0" w:line="240" w:lineRule="auto"/>
        <w:jc w:val="both"/>
        <w:rPr>
          <w:rFonts w:ascii="Arial" w:hAnsi="Arial" w:cs="Arial"/>
          <w:lang w:val="it-IT"/>
        </w:rPr>
      </w:pPr>
      <w:r w:rsidRPr="00D2512E">
        <w:rPr>
          <w:rFonts w:ascii="Arial" w:hAnsi="Arial" w:cs="Arial"/>
          <w:lang w:val="it-IT"/>
        </w:rPr>
        <w:t>Teritoriul administra</w:t>
      </w:r>
      <w:r>
        <w:rPr>
          <w:rFonts w:ascii="Arial" w:hAnsi="Arial" w:cs="Arial"/>
          <w:lang w:val="it-IT"/>
        </w:rPr>
        <w:t>tiv al orasului cuprinde un număr de 7 localităţi, oraşul reşedinţă Horezu şi 6 sate aparţină</w:t>
      </w:r>
      <w:r w:rsidRPr="00D2512E">
        <w:rPr>
          <w:rFonts w:ascii="Arial" w:hAnsi="Arial" w:cs="Arial"/>
          <w:lang w:val="it-IT"/>
        </w:rPr>
        <w:t>toare: Ro</w:t>
      </w:r>
      <w:r>
        <w:rPr>
          <w:rFonts w:ascii="Arial" w:hAnsi="Arial" w:cs="Arial"/>
          <w:lang w:val="it-IT"/>
        </w:rPr>
        <w:t>manii de Jos, Romanii de Sus, Râmeşti, Ifrimeşti, Tănăseşti ş</w:t>
      </w:r>
      <w:r w:rsidRPr="00D2512E">
        <w:rPr>
          <w:rFonts w:ascii="Arial" w:hAnsi="Arial" w:cs="Arial"/>
          <w:lang w:val="it-IT"/>
        </w:rPr>
        <w:t>i Ursani.</w:t>
      </w:r>
    </w:p>
    <w:p w14:paraId="0159D9EB" w14:textId="77777777" w:rsidR="005B608A" w:rsidRDefault="005B608A" w:rsidP="005B608A">
      <w:pPr>
        <w:shd w:val="clear" w:color="auto" w:fill="FFFFFF"/>
        <w:spacing w:after="0" w:line="240" w:lineRule="auto"/>
        <w:jc w:val="both"/>
        <w:rPr>
          <w:rFonts w:ascii="Arial" w:hAnsi="Arial" w:cs="Arial"/>
          <w:lang w:val="it-IT"/>
        </w:rPr>
      </w:pPr>
    </w:p>
    <w:p w14:paraId="6F09C2EB" w14:textId="77777777" w:rsidR="00B41ED8" w:rsidRDefault="009E424B" w:rsidP="005B608A">
      <w:pPr>
        <w:shd w:val="clear" w:color="auto" w:fill="FFFFFF"/>
        <w:spacing w:after="0" w:line="240" w:lineRule="auto"/>
        <w:jc w:val="both"/>
        <w:rPr>
          <w:rFonts w:ascii="Arial" w:hAnsi="Arial" w:cs="Arial"/>
          <w:lang w:val="it-IT"/>
        </w:rPr>
      </w:pPr>
      <w:r w:rsidRPr="00B41ED8">
        <w:rPr>
          <w:rFonts w:ascii="Arial" w:hAnsi="Arial" w:cs="Arial"/>
          <w:noProof/>
        </w:rPr>
        <w:drawing>
          <wp:anchor distT="0" distB="0" distL="114300" distR="114300" simplePos="0" relativeHeight="251660800" behindDoc="0" locked="0" layoutInCell="1" allowOverlap="1" wp14:anchorId="0FCF5574" wp14:editId="200DF27F">
            <wp:simplePos x="0" y="0"/>
            <wp:positionH relativeFrom="column">
              <wp:posOffset>2919730</wp:posOffset>
            </wp:positionH>
            <wp:positionV relativeFrom="paragraph">
              <wp:posOffset>12065</wp:posOffset>
            </wp:positionV>
            <wp:extent cx="3257550" cy="4602453"/>
            <wp:effectExtent l="0" t="0" r="0" b="8255"/>
            <wp:wrapNone/>
            <wp:docPr id="55" name="Picture 55" descr="E:\Serviciu\Horezu_home\Lucrare\valcea-u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erviciu\Horezu_home\Lucrare\valcea-uat.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60502" cy="4606624"/>
                    </a:xfrm>
                    <a:prstGeom prst="rect">
                      <a:avLst/>
                    </a:prstGeom>
                    <a:noFill/>
                    <a:ln>
                      <a:noFill/>
                    </a:ln>
                  </pic:spPr>
                </pic:pic>
              </a:graphicData>
            </a:graphic>
            <wp14:sizeRelH relativeFrom="page">
              <wp14:pctWidth>0</wp14:pctWidth>
            </wp14:sizeRelH>
            <wp14:sizeRelV relativeFrom="page">
              <wp14:pctHeight>0</wp14:pctHeight>
            </wp14:sizeRelV>
          </wp:anchor>
        </w:drawing>
      </w:r>
      <w:r w:rsidR="00B41ED8">
        <w:rPr>
          <w:rFonts w:ascii="Arial" w:hAnsi="Arial" w:cs="Arial"/>
          <w:noProof/>
        </w:rPr>
        <mc:AlternateContent>
          <mc:Choice Requires="wps">
            <w:drawing>
              <wp:anchor distT="0" distB="0" distL="114300" distR="114300" simplePos="0" relativeHeight="251680256" behindDoc="0" locked="0" layoutInCell="1" allowOverlap="1" wp14:anchorId="521CC42F" wp14:editId="349F14F1">
                <wp:simplePos x="0" y="0"/>
                <wp:positionH relativeFrom="column">
                  <wp:posOffset>1271905</wp:posOffset>
                </wp:positionH>
                <wp:positionV relativeFrom="paragraph">
                  <wp:posOffset>945515</wp:posOffset>
                </wp:positionV>
                <wp:extent cx="2971800" cy="533400"/>
                <wp:effectExtent l="0" t="0" r="0" b="38100"/>
                <wp:wrapNone/>
                <wp:docPr id="57" name="Curved Down Arrow 57"/>
                <wp:cNvGraphicFramePr/>
                <a:graphic xmlns:a="http://schemas.openxmlformats.org/drawingml/2006/main">
                  <a:graphicData uri="http://schemas.microsoft.com/office/word/2010/wordprocessingShape">
                    <wps:wsp>
                      <wps:cNvSpPr/>
                      <wps:spPr>
                        <a:xfrm>
                          <a:off x="0" y="0"/>
                          <a:ext cx="2971800" cy="533400"/>
                        </a:xfrm>
                        <a:prstGeom prst="curved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4844627"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Curved Down Arrow 57" o:spid="_x0000_s1026" type="#_x0000_t105" style="position:absolute;margin-left:100.15pt;margin-top:74.45pt;width:234pt;height:42pt;z-index:2516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" adj="19662,21116,16200" fillcolor="#5b9bd5 [3204]" strokecolor="#1f4d78 [1604]" strokeweight="1pt"/>
            </w:pict>
          </mc:Fallback>
        </mc:AlternateContent>
      </w:r>
    </w:p>
    <w:p w14:paraId="64879433" w14:textId="77777777" w:rsidR="00B41ED8" w:rsidRPr="00B41ED8" w:rsidRDefault="009E424B" w:rsidP="00B41ED8">
      <w:pPr>
        <w:rPr>
          <w:rFonts w:ascii="Arial" w:hAnsi="Arial" w:cs="Arial"/>
          <w:lang w:val="it-IT"/>
        </w:rPr>
      </w:pPr>
      <w:r w:rsidRPr="00552E4D">
        <w:rPr>
          <w:rFonts w:ascii="Arial" w:hAnsi="Arial" w:cs="Arial"/>
          <w:noProof/>
        </w:rPr>
        <w:drawing>
          <wp:anchor distT="0" distB="0" distL="114300" distR="114300" simplePos="0" relativeHeight="251640320" behindDoc="0" locked="0" layoutInCell="1" allowOverlap="1" wp14:anchorId="55F34188" wp14:editId="7025F265">
            <wp:simplePos x="0" y="0"/>
            <wp:positionH relativeFrom="column">
              <wp:posOffset>-5715</wp:posOffset>
            </wp:positionH>
            <wp:positionV relativeFrom="paragraph">
              <wp:posOffset>70485</wp:posOffset>
            </wp:positionV>
            <wp:extent cx="2704323" cy="1948140"/>
            <wp:effectExtent l="0" t="0" r="1270" b="0"/>
            <wp:wrapNone/>
            <wp:docPr id="13" name="Picture 13" descr="E:\Serviciu\Horezu_home\Lucrare\800px-Judetul_Valcea_3D_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Serviciu\Horezu_home\Lucrare\800px-Judetul_Valcea_3D_map.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04323" cy="194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D6462" w14:textId="77777777" w:rsidR="00B41ED8" w:rsidRPr="00B41ED8" w:rsidRDefault="00B41ED8" w:rsidP="00B41ED8">
      <w:pPr>
        <w:rPr>
          <w:rFonts w:ascii="Arial" w:hAnsi="Arial" w:cs="Arial"/>
          <w:lang w:val="it-IT"/>
        </w:rPr>
      </w:pPr>
    </w:p>
    <w:p w14:paraId="7410E71A" w14:textId="77777777" w:rsidR="00B41ED8" w:rsidRPr="00B41ED8" w:rsidRDefault="00B41ED8" w:rsidP="00B41ED8">
      <w:pPr>
        <w:rPr>
          <w:rFonts w:ascii="Arial" w:hAnsi="Arial" w:cs="Arial"/>
          <w:lang w:val="it-IT"/>
        </w:rPr>
      </w:pPr>
    </w:p>
    <w:p w14:paraId="477ED90A" w14:textId="77777777" w:rsidR="00B41ED8" w:rsidRPr="00B41ED8" w:rsidRDefault="00B41ED8" w:rsidP="00B41ED8">
      <w:pPr>
        <w:rPr>
          <w:rFonts w:ascii="Arial" w:hAnsi="Arial" w:cs="Arial"/>
          <w:lang w:val="it-IT"/>
        </w:rPr>
      </w:pPr>
    </w:p>
    <w:p w14:paraId="68593391" w14:textId="77777777" w:rsidR="00B41ED8" w:rsidRPr="00B41ED8" w:rsidRDefault="00B41ED8" w:rsidP="00B41ED8">
      <w:pPr>
        <w:rPr>
          <w:rFonts w:ascii="Arial" w:hAnsi="Arial" w:cs="Arial"/>
          <w:lang w:val="it-IT"/>
        </w:rPr>
      </w:pPr>
    </w:p>
    <w:p w14:paraId="411C20D6" w14:textId="77777777" w:rsidR="00B41ED8" w:rsidRPr="00B41ED8" w:rsidRDefault="00B41ED8" w:rsidP="00B41ED8">
      <w:pPr>
        <w:rPr>
          <w:rFonts w:ascii="Arial" w:hAnsi="Arial" w:cs="Arial"/>
          <w:lang w:val="it-IT"/>
        </w:rPr>
      </w:pPr>
    </w:p>
    <w:p w14:paraId="6F247F71" w14:textId="77777777" w:rsidR="00B41ED8" w:rsidRPr="00B41ED8" w:rsidRDefault="00B41ED8" w:rsidP="00B41ED8">
      <w:pPr>
        <w:rPr>
          <w:rFonts w:ascii="Arial" w:hAnsi="Arial" w:cs="Arial"/>
          <w:lang w:val="it-IT"/>
        </w:rPr>
      </w:pPr>
    </w:p>
    <w:p w14:paraId="6639F9C0" w14:textId="77777777" w:rsidR="00B41ED8" w:rsidRPr="00B41ED8" w:rsidRDefault="00B41ED8" w:rsidP="00B41ED8">
      <w:pPr>
        <w:rPr>
          <w:rFonts w:ascii="Arial" w:hAnsi="Arial" w:cs="Arial"/>
          <w:lang w:val="it-IT"/>
        </w:rPr>
      </w:pPr>
    </w:p>
    <w:p w14:paraId="592F2393" w14:textId="77777777" w:rsidR="00B41ED8" w:rsidRPr="00B41ED8" w:rsidRDefault="00B41ED8" w:rsidP="00B41ED8">
      <w:pPr>
        <w:rPr>
          <w:rFonts w:ascii="Arial" w:hAnsi="Arial" w:cs="Arial"/>
          <w:lang w:val="it-IT"/>
        </w:rPr>
      </w:pPr>
    </w:p>
    <w:p w14:paraId="00749CAB" w14:textId="77777777" w:rsidR="00B41ED8" w:rsidRPr="00B41ED8" w:rsidRDefault="00B41ED8" w:rsidP="00B41ED8">
      <w:pPr>
        <w:rPr>
          <w:rFonts w:ascii="Arial" w:hAnsi="Arial" w:cs="Arial"/>
          <w:lang w:val="it-IT"/>
        </w:rPr>
      </w:pPr>
    </w:p>
    <w:p w14:paraId="14AAEC91" w14:textId="77777777" w:rsidR="00B41ED8" w:rsidRPr="00B41ED8" w:rsidRDefault="00B41ED8" w:rsidP="00B41ED8">
      <w:pPr>
        <w:rPr>
          <w:rFonts w:ascii="Arial" w:hAnsi="Arial" w:cs="Arial"/>
          <w:lang w:val="it-IT"/>
        </w:rPr>
      </w:pPr>
    </w:p>
    <w:p w14:paraId="7C42431A" w14:textId="77777777" w:rsidR="00B41ED8" w:rsidRPr="00B41ED8" w:rsidRDefault="00B41ED8" w:rsidP="00B41ED8">
      <w:pPr>
        <w:rPr>
          <w:rFonts w:ascii="Arial" w:hAnsi="Arial" w:cs="Arial"/>
          <w:lang w:val="it-IT"/>
        </w:rPr>
      </w:pPr>
    </w:p>
    <w:p w14:paraId="15152C47" w14:textId="77777777" w:rsidR="00B41ED8" w:rsidRPr="00B41ED8" w:rsidRDefault="00B41ED8" w:rsidP="00B41ED8">
      <w:pPr>
        <w:rPr>
          <w:rFonts w:ascii="Arial" w:hAnsi="Arial" w:cs="Arial"/>
          <w:lang w:val="it-IT"/>
        </w:rPr>
      </w:pPr>
    </w:p>
    <w:p w14:paraId="68506A58" w14:textId="77777777" w:rsidR="00B41ED8" w:rsidRPr="00B41ED8" w:rsidRDefault="00B41ED8" w:rsidP="00B41ED8">
      <w:pPr>
        <w:rPr>
          <w:rFonts w:ascii="Arial" w:hAnsi="Arial" w:cs="Arial"/>
          <w:lang w:val="it-IT"/>
        </w:rPr>
      </w:pPr>
    </w:p>
    <w:p w14:paraId="700CA7E7" w14:textId="77777777" w:rsidR="00B41ED8" w:rsidRPr="00B41ED8" w:rsidRDefault="00B41ED8" w:rsidP="00B41ED8">
      <w:pPr>
        <w:rPr>
          <w:rFonts w:ascii="Arial" w:hAnsi="Arial" w:cs="Arial"/>
          <w:lang w:val="it-IT"/>
        </w:rPr>
      </w:pPr>
    </w:p>
    <w:p w14:paraId="30924560" w14:textId="77777777" w:rsidR="00B41ED8" w:rsidRDefault="00B41ED8" w:rsidP="00B41ED8">
      <w:pPr>
        <w:rPr>
          <w:rFonts w:ascii="Arial" w:hAnsi="Arial" w:cs="Arial"/>
          <w:lang w:val="it-IT"/>
        </w:rPr>
      </w:pPr>
    </w:p>
    <w:p w14:paraId="767C4279" w14:textId="77777777" w:rsidR="009E424B" w:rsidRDefault="009E424B" w:rsidP="009E424B">
      <w:pPr>
        <w:widowControl w:val="0"/>
        <w:suppressAutoHyphens/>
        <w:spacing w:after="0" w:line="276" w:lineRule="auto"/>
        <w:ind w:left="720" w:firstLine="720"/>
        <w:jc w:val="both"/>
        <w:rPr>
          <w:rFonts w:ascii="Arial" w:hAnsi="Arial" w:cs="Arial"/>
          <w:kern w:val="1"/>
          <w:sz w:val="16"/>
          <w:szCs w:val="16"/>
          <w:lang w:eastAsia="hi-IN" w:bidi="hi-IN"/>
        </w:rPr>
      </w:pPr>
    </w:p>
    <w:p w14:paraId="180F0A8E" w14:textId="77777777" w:rsidR="009E424B" w:rsidRPr="00D70AEA" w:rsidRDefault="009E424B" w:rsidP="009E424B">
      <w:pPr>
        <w:widowControl w:val="0"/>
        <w:suppressAutoHyphens/>
        <w:spacing w:after="0" w:line="276" w:lineRule="auto"/>
        <w:ind w:left="720" w:firstLine="720"/>
        <w:jc w:val="both"/>
        <w:rPr>
          <w:rFonts w:ascii="Arial" w:hAnsi="Arial" w:cs="Arial"/>
          <w:color w:val="FF0000"/>
          <w:kern w:val="1"/>
          <w:lang w:val="es-ES" w:eastAsia="hi-IN" w:bidi="hi-IN"/>
        </w:rPr>
      </w:pPr>
      <w:r w:rsidRPr="00FC3A91">
        <w:rPr>
          <w:rFonts w:ascii="Arial" w:hAnsi="Arial" w:cs="Arial"/>
          <w:kern w:val="1"/>
          <w:sz w:val="16"/>
          <w:szCs w:val="16"/>
          <w:lang w:eastAsia="hi-IN" w:bidi="hi-IN"/>
        </w:rPr>
        <w:t>Su</w:t>
      </w:r>
      <w:r>
        <w:rPr>
          <w:rFonts w:ascii="Arial" w:hAnsi="Arial" w:cs="Arial"/>
          <w:kern w:val="1"/>
          <w:sz w:val="16"/>
          <w:szCs w:val="16"/>
          <w:lang w:eastAsia="hi-IN" w:bidi="hi-IN"/>
        </w:rPr>
        <w:t xml:space="preserve">rsa: Wikipedia şi </w:t>
      </w:r>
      <w:r w:rsidRPr="009E424B">
        <w:rPr>
          <w:rFonts w:ascii="Arial" w:hAnsi="Arial" w:cs="Arial"/>
          <w:kern w:val="1"/>
          <w:sz w:val="16"/>
          <w:szCs w:val="16"/>
          <w:lang w:eastAsia="hi-IN" w:bidi="hi-IN"/>
        </w:rPr>
        <w:t>https://hartamea.wordpress.com</w:t>
      </w:r>
    </w:p>
    <w:p w14:paraId="1414A0F6" w14:textId="60A7BDA4" w:rsidR="00E07456" w:rsidRPr="00483F37" w:rsidRDefault="00483F37" w:rsidP="00483F37">
      <w:pPr>
        <w:pStyle w:val="Legend"/>
        <w:jc w:val="center"/>
        <w:rPr>
          <w:rFonts w:ascii="Arial" w:hAnsi="Arial" w:cs="Arial"/>
          <w:i w:val="0"/>
          <w:sz w:val="22"/>
          <w:szCs w:val="22"/>
          <w:lang w:val="it-IT"/>
        </w:rPr>
      </w:pPr>
      <w:bookmarkStart w:id="52" w:name="_Toc140744443"/>
      <w:r w:rsidRPr="00483F37">
        <w:rPr>
          <w:rFonts w:ascii="Arial" w:hAnsi="Arial" w:cs="Arial"/>
          <w:sz w:val="22"/>
          <w:szCs w:val="22"/>
        </w:rPr>
        <w:t xml:space="preserve">Figura I.2. </w:t>
      </w:r>
      <w:r w:rsidRPr="00483F37">
        <w:rPr>
          <w:rFonts w:ascii="Arial" w:hAnsi="Arial" w:cs="Arial"/>
          <w:sz w:val="22"/>
          <w:szCs w:val="22"/>
        </w:rPr>
        <w:fldChar w:fldCharType="begin"/>
      </w:r>
      <w:r w:rsidRPr="00483F37">
        <w:rPr>
          <w:rFonts w:ascii="Arial" w:hAnsi="Arial" w:cs="Arial"/>
          <w:sz w:val="22"/>
          <w:szCs w:val="22"/>
        </w:rPr>
        <w:instrText xml:space="preserve"> SEQ Figura_I.2. \* ARABIC </w:instrText>
      </w:r>
      <w:r w:rsidRPr="00483F37">
        <w:rPr>
          <w:rFonts w:ascii="Arial" w:hAnsi="Arial" w:cs="Arial"/>
          <w:sz w:val="22"/>
          <w:szCs w:val="22"/>
        </w:rPr>
        <w:fldChar w:fldCharType="separate"/>
      </w:r>
      <w:r w:rsidR="00BB181C">
        <w:rPr>
          <w:rFonts w:ascii="Arial" w:hAnsi="Arial" w:cs="Arial"/>
          <w:noProof/>
          <w:sz w:val="22"/>
          <w:szCs w:val="22"/>
        </w:rPr>
        <w:t>1</w:t>
      </w:r>
      <w:r w:rsidRPr="00483F37">
        <w:rPr>
          <w:rFonts w:ascii="Arial" w:hAnsi="Arial" w:cs="Arial"/>
          <w:sz w:val="22"/>
          <w:szCs w:val="22"/>
        </w:rPr>
        <w:fldChar w:fldCharType="end"/>
      </w:r>
      <w:r w:rsidRPr="00483F37">
        <w:rPr>
          <w:rFonts w:ascii="Arial" w:hAnsi="Arial" w:cs="Arial"/>
          <w:sz w:val="22"/>
          <w:szCs w:val="22"/>
        </w:rPr>
        <w:t xml:space="preserve"> </w:t>
      </w:r>
      <w:r w:rsidR="00B41ED8" w:rsidRPr="00483F37">
        <w:rPr>
          <w:rFonts w:ascii="Arial" w:hAnsi="Arial" w:cs="Arial"/>
          <w:sz w:val="22"/>
          <w:szCs w:val="22"/>
        </w:rPr>
        <w:t xml:space="preserve">– </w:t>
      </w:r>
      <w:r w:rsidR="00B41ED8" w:rsidRPr="00483F37">
        <w:rPr>
          <w:rFonts w:ascii="Arial" w:hAnsi="Arial" w:cs="Arial"/>
          <w:i w:val="0"/>
          <w:sz w:val="22"/>
          <w:szCs w:val="22"/>
        </w:rPr>
        <w:t>Amplasarea oraşului Horezu</w:t>
      </w:r>
      <w:bookmarkEnd w:id="52"/>
    </w:p>
    <w:p w14:paraId="766FB9C2" w14:textId="77777777" w:rsidR="00550BDD" w:rsidRDefault="006F2DE6" w:rsidP="00472412">
      <w:pPr>
        <w:jc w:val="center"/>
        <w:rPr>
          <w:rFonts w:ascii="Calibri" w:eastAsia="Calibri" w:hAnsi="Calibri" w:cs="Times New Roman"/>
          <w:lang w:val="it-IT" w:eastAsia="ro-RO"/>
        </w:rPr>
      </w:pPr>
      <w:r w:rsidRPr="006F2DE6">
        <w:rPr>
          <w:rFonts w:ascii="Calibri" w:eastAsia="Calibri" w:hAnsi="Calibri" w:cs="Times New Roman"/>
          <w:noProof/>
        </w:rPr>
        <w:lastRenderedPageBreak/>
        <w:drawing>
          <wp:inline distT="0" distB="0" distL="0" distR="0" wp14:anchorId="7AD0ED6C" wp14:editId="3C313541">
            <wp:extent cx="5838825" cy="8258187"/>
            <wp:effectExtent l="0" t="0" r="0" b="9525"/>
            <wp:docPr id="10" name="Picture 10" descr="E:\Serviciu\Horezu_home\Lucrare\Horezu.Iri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erviciu\Horezu_home\Lucrare\Horezu.Irina.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42325" cy="8263137"/>
                    </a:xfrm>
                    <a:prstGeom prst="rect">
                      <a:avLst/>
                    </a:prstGeom>
                    <a:noFill/>
                    <a:ln>
                      <a:noFill/>
                    </a:ln>
                  </pic:spPr>
                </pic:pic>
              </a:graphicData>
            </a:graphic>
          </wp:inline>
        </w:drawing>
      </w:r>
    </w:p>
    <w:p w14:paraId="373630C0" w14:textId="3B285B38" w:rsidR="009B4A20" w:rsidRPr="00483F37" w:rsidRDefault="00483F37" w:rsidP="00483F37">
      <w:pPr>
        <w:pStyle w:val="Legend"/>
        <w:jc w:val="center"/>
        <w:rPr>
          <w:rFonts w:ascii="Arial" w:hAnsi="Arial" w:cs="Arial"/>
          <w:i w:val="0"/>
          <w:iCs w:val="0"/>
          <w:sz w:val="22"/>
          <w:szCs w:val="22"/>
          <w:lang w:val="ro-RO"/>
        </w:rPr>
      </w:pPr>
      <w:bookmarkStart w:id="53" w:name="_Toc140744444"/>
      <w:r w:rsidRPr="00483F37">
        <w:rPr>
          <w:rFonts w:ascii="Arial" w:hAnsi="Arial" w:cs="Arial"/>
          <w:sz w:val="22"/>
          <w:szCs w:val="22"/>
        </w:rPr>
        <w:t xml:space="preserve">Figura I.2. </w:t>
      </w:r>
      <w:r w:rsidRPr="00483F37">
        <w:rPr>
          <w:rFonts w:ascii="Arial" w:hAnsi="Arial" w:cs="Arial"/>
          <w:sz w:val="22"/>
          <w:szCs w:val="22"/>
        </w:rPr>
        <w:fldChar w:fldCharType="begin"/>
      </w:r>
      <w:r w:rsidRPr="00483F37">
        <w:rPr>
          <w:rFonts w:ascii="Arial" w:hAnsi="Arial" w:cs="Arial"/>
          <w:sz w:val="22"/>
          <w:szCs w:val="22"/>
        </w:rPr>
        <w:instrText xml:space="preserve"> SEQ Figura_I.2. \* ARABIC </w:instrText>
      </w:r>
      <w:r w:rsidRPr="00483F37">
        <w:rPr>
          <w:rFonts w:ascii="Arial" w:hAnsi="Arial" w:cs="Arial"/>
          <w:sz w:val="22"/>
          <w:szCs w:val="22"/>
        </w:rPr>
        <w:fldChar w:fldCharType="separate"/>
      </w:r>
      <w:r w:rsidR="00BB181C">
        <w:rPr>
          <w:rFonts w:ascii="Arial" w:hAnsi="Arial" w:cs="Arial"/>
          <w:noProof/>
          <w:sz w:val="22"/>
          <w:szCs w:val="22"/>
        </w:rPr>
        <w:t>2</w:t>
      </w:r>
      <w:r w:rsidRPr="00483F37">
        <w:rPr>
          <w:rFonts w:ascii="Arial" w:hAnsi="Arial" w:cs="Arial"/>
          <w:sz w:val="22"/>
          <w:szCs w:val="22"/>
        </w:rPr>
        <w:fldChar w:fldCharType="end"/>
      </w:r>
      <w:r w:rsidRPr="00483F37">
        <w:rPr>
          <w:rFonts w:ascii="Arial" w:hAnsi="Arial" w:cs="Arial"/>
          <w:sz w:val="22"/>
          <w:szCs w:val="22"/>
        </w:rPr>
        <w:t xml:space="preserve"> </w:t>
      </w:r>
      <w:r w:rsidR="009B4A20" w:rsidRPr="00483F37">
        <w:rPr>
          <w:rFonts w:ascii="Arial" w:hAnsi="Arial" w:cs="Arial"/>
          <w:sz w:val="22"/>
          <w:szCs w:val="22"/>
        </w:rPr>
        <w:t xml:space="preserve">– </w:t>
      </w:r>
      <w:r w:rsidR="00E07456" w:rsidRPr="00483F37">
        <w:rPr>
          <w:rFonts w:ascii="Arial" w:hAnsi="Arial" w:cs="Arial"/>
          <w:i w:val="0"/>
          <w:iCs w:val="0"/>
          <w:sz w:val="22"/>
          <w:szCs w:val="22"/>
        </w:rPr>
        <w:t>Aria teritorial administrativă a oraşul Horezu cu localităţile componente</w:t>
      </w:r>
      <w:bookmarkEnd w:id="53"/>
    </w:p>
    <w:p w14:paraId="34F91788" w14:textId="77777777" w:rsidR="00552E4D" w:rsidRDefault="009E424B" w:rsidP="00552E4D">
      <w:pPr>
        <w:shd w:val="clear" w:color="auto" w:fill="FFFFFF"/>
        <w:spacing w:after="0" w:line="240" w:lineRule="auto"/>
        <w:jc w:val="both"/>
        <w:rPr>
          <w:rFonts w:ascii="Arial" w:hAnsi="Arial" w:cs="Arial"/>
          <w:lang w:val="it-IT"/>
        </w:rPr>
      </w:pPr>
      <w:r>
        <w:rPr>
          <w:rFonts w:ascii="Arial" w:hAnsi="Arial" w:cs="Arial"/>
          <w:lang w:val="it-IT"/>
        </w:rPr>
        <w:lastRenderedPageBreak/>
        <w:t>Accesul în oraş se face pe DN</w:t>
      </w:r>
      <w:r w:rsidR="00552E4D" w:rsidRPr="00EA1F65">
        <w:rPr>
          <w:rFonts w:ascii="Arial" w:hAnsi="Arial" w:cs="Arial"/>
          <w:lang w:val="it-IT"/>
        </w:rPr>
        <w:t xml:space="preserve"> 67, care face legătura între municipiul Rm. </w:t>
      </w:r>
      <w:r w:rsidR="00483F37">
        <w:rPr>
          <w:rFonts w:ascii="Arial" w:hAnsi="Arial" w:cs="Arial"/>
          <w:lang w:val="it-IT"/>
        </w:rPr>
        <w:t xml:space="preserve">Vâlcea (45 km) şi municipiul Târgu </w:t>
      </w:r>
      <w:r w:rsidR="00552E4D" w:rsidRPr="00EA1F65">
        <w:rPr>
          <w:rFonts w:ascii="Arial" w:hAnsi="Arial" w:cs="Arial"/>
          <w:lang w:val="it-IT"/>
        </w:rPr>
        <w:t>Jiu (70 km). Către sud se face legătura cu municipiul Craiova (113 km) pe D.N. 65C.</w:t>
      </w:r>
    </w:p>
    <w:p w14:paraId="530897D1" w14:textId="77777777" w:rsidR="004C1DEC" w:rsidRDefault="004C1DEC" w:rsidP="00552E4D">
      <w:pPr>
        <w:spacing w:line="276" w:lineRule="auto"/>
        <w:rPr>
          <w:rFonts w:ascii="Arial" w:hAnsi="Arial" w:cs="Arial"/>
        </w:rPr>
      </w:pPr>
    </w:p>
    <w:p w14:paraId="0BB51DD9" w14:textId="77777777" w:rsidR="00483F37" w:rsidRPr="00483F37" w:rsidRDefault="00483F37" w:rsidP="003D42C5">
      <w:pPr>
        <w:spacing w:after="0" w:line="276" w:lineRule="auto"/>
        <w:rPr>
          <w:rFonts w:ascii="Arial" w:hAnsi="Arial" w:cs="Arial"/>
          <w:b/>
          <w:i/>
        </w:rPr>
      </w:pPr>
      <w:r>
        <w:rPr>
          <w:rFonts w:ascii="Arial" w:hAnsi="Arial" w:cs="Arial"/>
          <w:b/>
          <w:i/>
        </w:rPr>
        <w:t>Populaţia oraşului Horezu</w:t>
      </w:r>
    </w:p>
    <w:p w14:paraId="3E46B70B" w14:textId="77777777" w:rsidR="004C1DEC" w:rsidRDefault="004C1DEC" w:rsidP="003D42C5">
      <w:pPr>
        <w:spacing w:after="0" w:line="276" w:lineRule="auto"/>
        <w:jc w:val="both"/>
        <w:rPr>
          <w:rFonts w:ascii="Arial" w:hAnsi="Arial" w:cs="Arial"/>
        </w:rPr>
      </w:pPr>
      <w:r>
        <w:rPr>
          <w:rFonts w:ascii="Arial" w:hAnsi="Arial" w:cs="Arial"/>
        </w:rPr>
        <w:t>La ultimul recensământ general desfăşurat la nivelul ţării în 2011, populaţia totală a oraşului Horezu, inclusiv a satelor aparţinătoare era de 6.</w:t>
      </w:r>
      <w:r w:rsidR="002646B5">
        <w:rPr>
          <w:rFonts w:ascii="Arial" w:hAnsi="Arial" w:cs="Arial"/>
        </w:rPr>
        <w:t>074</w:t>
      </w:r>
      <w:r>
        <w:rPr>
          <w:rFonts w:ascii="Arial" w:hAnsi="Arial" w:cs="Arial"/>
        </w:rPr>
        <w:t xml:space="preserve"> locuitori, din care:</w:t>
      </w:r>
    </w:p>
    <w:p w14:paraId="39E8F717" w14:textId="77777777" w:rsidR="004C1DEC" w:rsidRDefault="004C1DEC" w:rsidP="000C6CB8">
      <w:pPr>
        <w:pStyle w:val="Listparagraf"/>
        <w:numPr>
          <w:ilvl w:val="0"/>
          <w:numId w:val="199"/>
        </w:numPr>
        <w:spacing w:after="0"/>
        <w:jc w:val="both"/>
        <w:rPr>
          <w:rFonts w:ascii="Arial" w:hAnsi="Arial" w:cs="Arial"/>
        </w:rPr>
      </w:pPr>
      <w:r>
        <w:rPr>
          <w:rFonts w:ascii="Arial" w:hAnsi="Arial" w:cs="Arial"/>
        </w:rPr>
        <w:t>Horezu: 3.</w:t>
      </w:r>
      <w:r w:rsidR="002646B5">
        <w:rPr>
          <w:rFonts w:ascii="Arial" w:hAnsi="Arial" w:cs="Arial"/>
        </w:rPr>
        <w:t>387</w:t>
      </w:r>
      <w:r>
        <w:rPr>
          <w:rFonts w:ascii="Arial" w:hAnsi="Arial" w:cs="Arial"/>
        </w:rPr>
        <w:t xml:space="preserve"> locuitori</w:t>
      </w:r>
    </w:p>
    <w:p w14:paraId="395BFBE2" w14:textId="77777777" w:rsidR="004C1DEC" w:rsidRDefault="004C1DEC" w:rsidP="000C6CB8">
      <w:pPr>
        <w:pStyle w:val="Listparagraf"/>
        <w:numPr>
          <w:ilvl w:val="0"/>
          <w:numId w:val="199"/>
        </w:numPr>
        <w:spacing w:after="0"/>
        <w:jc w:val="both"/>
        <w:rPr>
          <w:rFonts w:ascii="Arial" w:hAnsi="Arial" w:cs="Arial"/>
        </w:rPr>
      </w:pPr>
      <w:r>
        <w:rPr>
          <w:rFonts w:ascii="Arial" w:hAnsi="Arial" w:cs="Arial"/>
        </w:rPr>
        <w:t xml:space="preserve">Ifrimeşti: </w:t>
      </w:r>
      <w:r w:rsidR="002646B5">
        <w:rPr>
          <w:rFonts w:ascii="Arial" w:hAnsi="Arial" w:cs="Arial"/>
        </w:rPr>
        <w:t>178</w:t>
      </w:r>
      <w:r>
        <w:rPr>
          <w:rFonts w:ascii="Arial" w:hAnsi="Arial" w:cs="Arial"/>
        </w:rPr>
        <w:t xml:space="preserve"> locuitori</w:t>
      </w:r>
    </w:p>
    <w:p w14:paraId="18DACE5E" w14:textId="77777777" w:rsidR="004C1DEC" w:rsidRDefault="004C1DEC" w:rsidP="000C6CB8">
      <w:pPr>
        <w:pStyle w:val="Listparagraf"/>
        <w:numPr>
          <w:ilvl w:val="0"/>
          <w:numId w:val="199"/>
        </w:numPr>
        <w:spacing w:after="0"/>
        <w:jc w:val="both"/>
        <w:rPr>
          <w:rFonts w:ascii="Arial" w:hAnsi="Arial" w:cs="Arial"/>
        </w:rPr>
      </w:pPr>
      <w:r>
        <w:rPr>
          <w:rFonts w:ascii="Arial" w:hAnsi="Arial" w:cs="Arial"/>
        </w:rPr>
        <w:t xml:space="preserve">Râmeşti: </w:t>
      </w:r>
      <w:r w:rsidR="002646B5">
        <w:rPr>
          <w:rFonts w:ascii="Arial" w:hAnsi="Arial" w:cs="Arial"/>
        </w:rPr>
        <w:t>259</w:t>
      </w:r>
      <w:r>
        <w:rPr>
          <w:rFonts w:ascii="Arial" w:hAnsi="Arial" w:cs="Arial"/>
        </w:rPr>
        <w:t xml:space="preserve"> locuitori</w:t>
      </w:r>
    </w:p>
    <w:p w14:paraId="1D2BA7A5" w14:textId="77777777" w:rsidR="004C1DEC" w:rsidRDefault="004C1DEC" w:rsidP="000C6CB8">
      <w:pPr>
        <w:pStyle w:val="Listparagraf"/>
        <w:numPr>
          <w:ilvl w:val="0"/>
          <w:numId w:val="199"/>
        </w:numPr>
        <w:spacing w:after="0"/>
        <w:jc w:val="both"/>
        <w:rPr>
          <w:rFonts w:ascii="Arial" w:hAnsi="Arial" w:cs="Arial"/>
        </w:rPr>
      </w:pPr>
      <w:r>
        <w:rPr>
          <w:rFonts w:ascii="Arial" w:hAnsi="Arial" w:cs="Arial"/>
        </w:rPr>
        <w:t xml:space="preserve">Romanii de Jos: </w:t>
      </w:r>
      <w:r w:rsidR="002646B5">
        <w:rPr>
          <w:rFonts w:ascii="Arial" w:hAnsi="Arial" w:cs="Arial"/>
        </w:rPr>
        <w:t>708</w:t>
      </w:r>
      <w:r>
        <w:rPr>
          <w:rFonts w:ascii="Arial" w:hAnsi="Arial" w:cs="Arial"/>
        </w:rPr>
        <w:t xml:space="preserve"> locuitori</w:t>
      </w:r>
    </w:p>
    <w:p w14:paraId="2ECB20F6" w14:textId="77777777" w:rsidR="004C1DEC" w:rsidRDefault="004C1DEC" w:rsidP="000C6CB8">
      <w:pPr>
        <w:pStyle w:val="Listparagraf"/>
        <w:numPr>
          <w:ilvl w:val="0"/>
          <w:numId w:val="199"/>
        </w:numPr>
        <w:spacing w:after="0"/>
        <w:jc w:val="both"/>
        <w:rPr>
          <w:rFonts w:ascii="Arial" w:hAnsi="Arial" w:cs="Arial"/>
        </w:rPr>
      </w:pPr>
      <w:r>
        <w:rPr>
          <w:rFonts w:ascii="Arial" w:hAnsi="Arial" w:cs="Arial"/>
        </w:rPr>
        <w:t>Romanii de Sus: 9</w:t>
      </w:r>
      <w:r w:rsidR="002646B5">
        <w:rPr>
          <w:rFonts w:ascii="Arial" w:hAnsi="Arial" w:cs="Arial"/>
        </w:rPr>
        <w:t>27</w:t>
      </w:r>
      <w:r>
        <w:rPr>
          <w:rFonts w:ascii="Arial" w:hAnsi="Arial" w:cs="Arial"/>
        </w:rPr>
        <w:t xml:space="preserve"> locuitori</w:t>
      </w:r>
    </w:p>
    <w:p w14:paraId="41BC43CD" w14:textId="77777777" w:rsidR="004C1DEC" w:rsidRDefault="004C1DEC" w:rsidP="000C6CB8">
      <w:pPr>
        <w:pStyle w:val="Listparagraf"/>
        <w:numPr>
          <w:ilvl w:val="0"/>
          <w:numId w:val="199"/>
        </w:numPr>
        <w:spacing w:after="0"/>
        <w:jc w:val="both"/>
        <w:rPr>
          <w:rFonts w:ascii="Arial" w:hAnsi="Arial" w:cs="Arial"/>
        </w:rPr>
      </w:pPr>
      <w:r>
        <w:rPr>
          <w:rFonts w:ascii="Arial" w:hAnsi="Arial" w:cs="Arial"/>
        </w:rPr>
        <w:t xml:space="preserve">Tănăseşti: </w:t>
      </w:r>
      <w:r w:rsidR="002646B5">
        <w:rPr>
          <w:rFonts w:ascii="Arial" w:hAnsi="Arial" w:cs="Arial"/>
        </w:rPr>
        <w:t>177</w:t>
      </w:r>
      <w:r>
        <w:rPr>
          <w:rFonts w:ascii="Arial" w:hAnsi="Arial" w:cs="Arial"/>
        </w:rPr>
        <w:t xml:space="preserve"> locuitori</w:t>
      </w:r>
    </w:p>
    <w:p w14:paraId="6E81DF6B" w14:textId="77777777" w:rsidR="004C1DEC" w:rsidRPr="004C1DEC" w:rsidRDefault="004C1DEC" w:rsidP="000C6CB8">
      <w:pPr>
        <w:pStyle w:val="Listparagraf"/>
        <w:numPr>
          <w:ilvl w:val="0"/>
          <w:numId w:val="199"/>
        </w:numPr>
        <w:spacing w:after="0"/>
        <w:jc w:val="both"/>
        <w:rPr>
          <w:rFonts w:ascii="Arial" w:hAnsi="Arial" w:cs="Arial"/>
        </w:rPr>
      </w:pPr>
      <w:r>
        <w:rPr>
          <w:rFonts w:ascii="Arial" w:hAnsi="Arial" w:cs="Arial"/>
        </w:rPr>
        <w:t>Urşani: 4</w:t>
      </w:r>
      <w:r w:rsidR="002646B5">
        <w:rPr>
          <w:rFonts w:ascii="Arial" w:hAnsi="Arial" w:cs="Arial"/>
        </w:rPr>
        <w:t>38</w:t>
      </w:r>
      <w:r>
        <w:rPr>
          <w:rFonts w:ascii="Arial" w:hAnsi="Arial" w:cs="Arial"/>
        </w:rPr>
        <w:t xml:space="preserve"> locuitori</w:t>
      </w:r>
    </w:p>
    <w:p w14:paraId="076504CF" w14:textId="77777777" w:rsidR="002646B5" w:rsidRDefault="002646B5" w:rsidP="001D16EA">
      <w:pPr>
        <w:spacing w:line="276" w:lineRule="auto"/>
        <w:jc w:val="both"/>
        <w:rPr>
          <w:rFonts w:ascii="Arial" w:hAnsi="Arial" w:cs="Arial"/>
          <w:bCs/>
        </w:rPr>
      </w:pPr>
    </w:p>
    <w:p w14:paraId="49763345" w14:textId="77777777" w:rsidR="00DE199F" w:rsidRDefault="001D16EA" w:rsidP="001D16EA">
      <w:pPr>
        <w:spacing w:line="276" w:lineRule="auto"/>
        <w:jc w:val="both"/>
        <w:rPr>
          <w:rFonts w:ascii="Arial" w:hAnsi="Arial" w:cs="Arial"/>
        </w:rPr>
      </w:pPr>
      <w:r w:rsidRPr="00A8565D">
        <w:rPr>
          <w:rFonts w:ascii="Arial" w:hAnsi="Arial" w:cs="Arial"/>
          <w:bCs/>
        </w:rPr>
        <w:t>Din datele Institutului Na</w:t>
      </w:r>
      <w:r w:rsidRPr="00A8565D">
        <w:rPr>
          <w:rFonts w:ascii="Arial" w:hAnsi="Arial" w:cs="Arial"/>
          <w:bCs/>
          <w:lang w:val="ro-RO"/>
        </w:rPr>
        <w:t>ţional de Statistică,</w:t>
      </w:r>
      <w:r>
        <w:rPr>
          <w:rFonts w:ascii="Arial" w:hAnsi="Arial" w:cs="Arial"/>
          <w:b/>
          <w:bCs/>
          <w:lang w:val="ro-RO"/>
        </w:rPr>
        <w:t xml:space="preserve"> </w:t>
      </w:r>
      <w:r w:rsidR="00483F37">
        <w:rPr>
          <w:rFonts w:ascii="Arial" w:hAnsi="Arial" w:cs="Arial"/>
          <w:b/>
          <w:bCs/>
        </w:rPr>
        <w:t>la 1 ianuarie</w:t>
      </w:r>
      <w:r w:rsidRPr="00FF5336">
        <w:rPr>
          <w:rFonts w:ascii="Arial" w:hAnsi="Arial" w:cs="Arial"/>
          <w:b/>
          <w:bCs/>
        </w:rPr>
        <w:t xml:space="preserve"> 202</w:t>
      </w:r>
      <w:r>
        <w:rPr>
          <w:rFonts w:ascii="Arial" w:hAnsi="Arial" w:cs="Arial"/>
          <w:b/>
          <w:bCs/>
        </w:rPr>
        <w:t>1</w:t>
      </w:r>
      <w:r w:rsidRPr="00FF5336">
        <w:rPr>
          <w:rFonts w:ascii="Arial" w:hAnsi="Arial" w:cs="Arial"/>
          <w:b/>
          <w:bCs/>
        </w:rPr>
        <w:t>, populația cu domiciliul stabil</w:t>
      </w:r>
      <w:r w:rsidRPr="00FF5336">
        <w:rPr>
          <w:rStyle w:val="Referinnotdesubsol"/>
          <w:rFonts w:ascii="Arial" w:hAnsi="Arial" w:cs="Arial"/>
          <w:b/>
          <w:bCs/>
        </w:rPr>
        <w:footnoteReference w:id="34"/>
      </w:r>
      <w:r w:rsidRPr="00FF5336">
        <w:rPr>
          <w:rFonts w:ascii="Arial" w:hAnsi="Arial" w:cs="Arial"/>
          <w:b/>
          <w:bCs/>
        </w:rPr>
        <w:t xml:space="preserve"> în </w:t>
      </w:r>
      <w:r>
        <w:rPr>
          <w:rFonts w:ascii="Arial" w:hAnsi="Arial" w:cs="Arial"/>
          <w:b/>
          <w:bCs/>
        </w:rPr>
        <w:t>oraşul Horezu</w:t>
      </w:r>
      <w:r w:rsidRPr="00FF5336">
        <w:rPr>
          <w:rFonts w:ascii="Arial" w:hAnsi="Arial" w:cs="Arial"/>
          <w:b/>
          <w:bCs/>
        </w:rPr>
        <w:t xml:space="preserve"> era de </w:t>
      </w:r>
      <w:r>
        <w:rPr>
          <w:rFonts w:ascii="Arial" w:hAnsi="Arial" w:cs="Arial"/>
          <w:b/>
          <w:bCs/>
        </w:rPr>
        <w:t>6.806</w:t>
      </w:r>
      <w:r>
        <w:rPr>
          <w:rFonts w:ascii="Arial" w:hAnsi="Arial" w:cs="Arial"/>
        </w:rPr>
        <w:t xml:space="preserve"> persoane, din care </w:t>
      </w:r>
      <w:r w:rsidR="008B1C34">
        <w:rPr>
          <w:rFonts w:ascii="Arial" w:hAnsi="Arial" w:cs="Arial"/>
        </w:rPr>
        <w:t>3.</w:t>
      </w:r>
      <w:r w:rsidR="00EE70C1">
        <w:rPr>
          <w:rFonts w:ascii="Arial" w:hAnsi="Arial" w:cs="Arial"/>
        </w:rPr>
        <w:t>228</w:t>
      </w:r>
      <w:r>
        <w:rPr>
          <w:rFonts w:ascii="Arial" w:hAnsi="Arial" w:cs="Arial"/>
        </w:rPr>
        <w:t xml:space="preserve"> bărbați și </w:t>
      </w:r>
      <w:r w:rsidR="00EE70C1">
        <w:rPr>
          <w:rFonts w:ascii="Arial" w:hAnsi="Arial" w:cs="Arial"/>
        </w:rPr>
        <w:t>3</w:t>
      </w:r>
      <w:r>
        <w:rPr>
          <w:rFonts w:ascii="Arial" w:hAnsi="Arial" w:cs="Arial"/>
        </w:rPr>
        <w:t>.</w:t>
      </w:r>
      <w:r w:rsidR="00EE70C1">
        <w:rPr>
          <w:rFonts w:ascii="Arial" w:hAnsi="Arial" w:cs="Arial"/>
        </w:rPr>
        <w:t>578</w:t>
      </w:r>
      <w:r>
        <w:rPr>
          <w:rFonts w:ascii="Arial" w:hAnsi="Arial" w:cs="Arial"/>
        </w:rPr>
        <w:t xml:space="preserve"> femei</w:t>
      </w:r>
      <w:r w:rsidR="00EE70C1">
        <w:rPr>
          <w:rFonts w:ascii="Arial" w:hAnsi="Arial" w:cs="Arial"/>
        </w:rPr>
        <w:t>, rezultând astfel o pondere de 47,43% bărbaţi şi 52,57% femei în total populaţie</w:t>
      </w:r>
      <w:r>
        <w:rPr>
          <w:rFonts w:ascii="Arial" w:hAnsi="Arial" w:cs="Arial"/>
        </w:rPr>
        <w:t>.</w:t>
      </w:r>
      <w:r w:rsidRPr="0092504A">
        <w:t xml:space="preserve"> </w:t>
      </w:r>
      <w:r w:rsidRPr="004D7269">
        <w:rPr>
          <w:rFonts w:ascii="Arial" w:hAnsi="Arial" w:cs="Arial"/>
        </w:rPr>
        <w:t xml:space="preserve">Raportat la populația cu domiciliul în județul </w:t>
      </w:r>
      <w:r w:rsidR="00EE70C1">
        <w:rPr>
          <w:rFonts w:ascii="Arial" w:hAnsi="Arial" w:cs="Arial"/>
        </w:rPr>
        <w:t>Vâlcea</w:t>
      </w:r>
      <w:r w:rsidRPr="004D7269">
        <w:rPr>
          <w:rFonts w:ascii="Arial" w:hAnsi="Arial" w:cs="Arial"/>
        </w:rPr>
        <w:t xml:space="preserve"> la 1 iulie 202</w:t>
      </w:r>
      <w:r w:rsidR="00EE70C1">
        <w:rPr>
          <w:rFonts w:ascii="Arial" w:hAnsi="Arial" w:cs="Arial"/>
        </w:rPr>
        <w:t>1</w:t>
      </w:r>
      <w:r w:rsidRPr="004D7269">
        <w:rPr>
          <w:rFonts w:ascii="Arial" w:hAnsi="Arial" w:cs="Arial"/>
        </w:rPr>
        <w:t xml:space="preserve"> (</w:t>
      </w:r>
      <w:r w:rsidR="00EE70C1">
        <w:rPr>
          <w:rFonts w:ascii="Arial" w:hAnsi="Arial" w:cs="Arial"/>
        </w:rPr>
        <w:t>391.894</w:t>
      </w:r>
      <w:r w:rsidRPr="004D7269">
        <w:rPr>
          <w:rFonts w:ascii="Arial" w:hAnsi="Arial" w:cs="Arial"/>
        </w:rPr>
        <w:t xml:space="preserve"> persoane), populația </w:t>
      </w:r>
      <w:r w:rsidR="00EE70C1">
        <w:rPr>
          <w:rFonts w:ascii="Arial" w:hAnsi="Arial" w:cs="Arial"/>
        </w:rPr>
        <w:t>oraşului Horezu</w:t>
      </w:r>
      <w:r w:rsidRPr="004D7269">
        <w:rPr>
          <w:rFonts w:ascii="Arial" w:hAnsi="Arial" w:cs="Arial"/>
        </w:rPr>
        <w:t xml:space="preserve"> reprezintă </w:t>
      </w:r>
      <w:r w:rsidR="00EE70C1">
        <w:rPr>
          <w:rFonts w:ascii="Arial" w:hAnsi="Arial" w:cs="Arial"/>
        </w:rPr>
        <w:t>1,74</w:t>
      </w:r>
      <w:r w:rsidRPr="004D7269">
        <w:rPr>
          <w:rFonts w:ascii="Arial" w:hAnsi="Arial" w:cs="Arial"/>
        </w:rPr>
        <w:t>%.</w:t>
      </w:r>
      <w:r w:rsidR="00DE199F">
        <w:rPr>
          <w:rFonts w:ascii="Arial" w:hAnsi="Arial" w:cs="Arial"/>
        </w:rPr>
        <w:t xml:space="preserve"> Faţă de recensământul din 2011, populaţia oraşului Horezu a cunoscut o creştere cu 12,05%.</w:t>
      </w:r>
    </w:p>
    <w:p w14:paraId="5699AF23" w14:textId="77777777" w:rsidR="001D16EA" w:rsidRDefault="001D16EA" w:rsidP="001D16EA">
      <w:pPr>
        <w:spacing w:line="276" w:lineRule="auto"/>
        <w:jc w:val="both"/>
        <w:rPr>
          <w:rFonts w:ascii="Arial" w:hAnsi="Arial" w:cs="Arial"/>
        </w:rPr>
      </w:pPr>
      <w:r w:rsidRPr="004D7269">
        <w:rPr>
          <w:rFonts w:ascii="Arial" w:hAnsi="Arial" w:cs="Arial"/>
        </w:rPr>
        <w:t xml:space="preserve">  </w:t>
      </w:r>
    </w:p>
    <w:p w14:paraId="60E0C015" w14:textId="77777777" w:rsidR="00DE199F" w:rsidRDefault="00DE199F" w:rsidP="00DE199F">
      <w:pPr>
        <w:spacing w:line="276" w:lineRule="auto"/>
        <w:jc w:val="center"/>
        <w:rPr>
          <w:rFonts w:ascii="Arial" w:hAnsi="Arial" w:cs="Arial"/>
        </w:rPr>
      </w:pPr>
      <w:r>
        <w:rPr>
          <w:noProof/>
        </w:rPr>
        <w:drawing>
          <wp:inline distT="0" distB="0" distL="0" distR="0" wp14:anchorId="46D4E38B" wp14:editId="702A18AB">
            <wp:extent cx="4405313" cy="2833687"/>
            <wp:effectExtent l="0" t="0" r="14605" b="5080"/>
            <wp:docPr id="150" name="Chart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935D4D3" w14:textId="22E7CDDE" w:rsidR="00DE199F" w:rsidRPr="00F96A1C" w:rsidRDefault="00F96A1C" w:rsidP="00F96A1C">
      <w:pPr>
        <w:pStyle w:val="Legend"/>
        <w:jc w:val="center"/>
        <w:rPr>
          <w:rFonts w:ascii="Arial" w:hAnsi="Arial" w:cs="Arial"/>
          <w:i w:val="0"/>
          <w:sz w:val="22"/>
          <w:szCs w:val="22"/>
        </w:rPr>
      </w:pPr>
      <w:bookmarkStart w:id="54" w:name="_Toc140744445"/>
      <w:r w:rsidRPr="00F96A1C">
        <w:rPr>
          <w:rFonts w:ascii="Arial" w:hAnsi="Arial" w:cs="Arial"/>
          <w:sz w:val="22"/>
          <w:szCs w:val="22"/>
        </w:rPr>
        <w:t xml:space="preserve">Figura I.2. </w:t>
      </w:r>
      <w:r w:rsidRPr="00F96A1C">
        <w:rPr>
          <w:rFonts w:ascii="Arial" w:hAnsi="Arial" w:cs="Arial"/>
          <w:sz w:val="22"/>
          <w:szCs w:val="22"/>
        </w:rPr>
        <w:fldChar w:fldCharType="begin"/>
      </w:r>
      <w:r w:rsidRPr="00F96A1C">
        <w:rPr>
          <w:rFonts w:ascii="Arial" w:hAnsi="Arial" w:cs="Arial"/>
          <w:sz w:val="22"/>
          <w:szCs w:val="22"/>
        </w:rPr>
        <w:instrText xml:space="preserve"> SEQ Figura_I.2. \* ARABIC </w:instrText>
      </w:r>
      <w:r w:rsidRPr="00F96A1C">
        <w:rPr>
          <w:rFonts w:ascii="Arial" w:hAnsi="Arial" w:cs="Arial"/>
          <w:sz w:val="22"/>
          <w:szCs w:val="22"/>
        </w:rPr>
        <w:fldChar w:fldCharType="separate"/>
      </w:r>
      <w:r w:rsidR="00BB181C">
        <w:rPr>
          <w:rFonts w:ascii="Arial" w:hAnsi="Arial" w:cs="Arial"/>
          <w:noProof/>
          <w:sz w:val="22"/>
          <w:szCs w:val="22"/>
        </w:rPr>
        <w:t>3</w:t>
      </w:r>
      <w:r w:rsidRPr="00F96A1C">
        <w:rPr>
          <w:rFonts w:ascii="Arial" w:hAnsi="Arial" w:cs="Arial"/>
          <w:sz w:val="22"/>
          <w:szCs w:val="22"/>
        </w:rPr>
        <w:fldChar w:fldCharType="end"/>
      </w:r>
      <w:r w:rsidRPr="00F96A1C">
        <w:rPr>
          <w:rFonts w:ascii="Arial" w:hAnsi="Arial" w:cs="Arial"/>
          <w:sz w:val="22"/>
          <w:szCs w:val="22"/>
        </w:rPr>
        <w:t xml:space="preserve"> – </w:t>
      </w:r>
      <w:r w:rsidRPr="00F96A1C">
        <w:rPr>
          <w:rFonts w:ascii="Arial" w:hAnsi="Arial" w:cs="Arial"/>
          <w:i w:val="0"/>
          <w:sz w:val="22"/>
          <w:szCs w:val="22"/>
        </w:rPr>
        <w:t>Populaţia oraşului Horezu şi a satelor aparţinătoare în 2021</w:t>
      </w:r>
      <w:bookmarkEnd w:id="54"/>
    </w:p>
    <w:p w14:paraId="11326B69" w14:textId="77777777" w:rsidR="00DE199F" w:rsidRDefault="00DE199F" w:rsidP="00F96A1C">
      <w:pPr>
        <w:spacing w:line="276" w:lineRule="auto"/>
        <w:jc w:val="center"/>
        <w:rPr>
          <w:rFonts w:ascii="Arial" w:hAnsi="Arial" w:cs="Arial"/>
        </w:rPr>
      </w:pPr>
    </w:p>
    <w:p w14:paraId="564F5CEE" w14:textId="7B6A4E23" w:rsidR="00E36A36" w:rsidRDefault="00483F37" w:rsidP="00483F37">
      <w:pPr>
        <w:pStyle w:val="Legend"/>
        <w:jc w:val="center"/>
        <w:rPr>
          <w:rFonts w:ascii="Arial" w:hAnsi="Arial" w:cs="Arial"/>
          <w:i w:val="0"/>
          <w:iCs w:val="0"/>
          <w:sz w:val="22"/>
          <w:szCs w:val="22"/>
        </w:rPr>
      </w:pPr>
      <w:bookmarkStart w:id="55" w:name="_Toc68361211"/>
      <w:bookmarkStart w:id="56" w:name="_Toc140744567"/>
      <w:r w:rsidRPr="00483F37">
        <w:rPr>
          <w:rFonts w:ascii="Arial" w:hAnsi="Arial" w:cs="Arial"/>
          <w:sz w:val="22"/>
          <w:szCs w:val="22"/>
        </w:rPr>
        <w:t xml:space="preserve">Tabel I.2. </w:t>
      </w:r>
      <w:r w:rsidRPr="00483F37">
        <w:rPr>
          <w:rFonts w:ascii="Arial" w:hAnsi="Arial" w:cs="Arial"/>
          <w:sz w:val="22"/>
          <w:szCs w:val="22"/>
        </w:rPr>
        <w:fldChar w:fldCharType="begin"/>
      </w:r>
      <w:r w:rsidRPr="00483F37">
        <w:rPr>
          <w:rFonts w:ascii="Arial" w:hAnsi="Arial" w:cs="Arial"/>
          <w:sz w:val="22"/>
          <w:szCs w:val="22"/>
        </w:rPr>
        <w:instrText xml:space="preserve"> SEQ Tabel_I.2. \* ARABIC </w:instrText>
      </w:r>
      <w:r w:rsidRPr="00483F37">
        <w:rPr>
          <w:rFonts w:ascii="Arial" w:hAnsi="Arial" w:cs="Arial"/>
          <w:sz w:val="22"/>
          <w:szCs w:val="22"/>
        </w:rPr>
        <w:fldChar w:fldCharType="separate"/>
      </w:r>
      <w:r w:rsidR="00BB181C">
        <w:rPr>
          <w:rFonts w:ascii="Arial" w:hAnsi="Arial" w:cs="Arial"/>
          <w:noProof/>
          <w:sz w:val="22"/>
          <w:szCs w:val="22"/>
        </w:rPr>
        <w:t>1</w:t>
      </w:r>
      <w:r w:rsidRPr="00483F37">
        <w:rPr>
          <w:rFonts w:ascii="Arial" w:hAnsi="Arial" w:cs="Arial"/>
          <w:sz w:val="22"/>
          <w:szCs w:val="22"/>
        </w:rPr>
        <w:fldChar w:fldCharType="end"/>
      </w:r>
      <w:r w:rsidRPr="00483F37">
        <w:rPr>
          <w:rFonts w:ascii="Arial" w:hAnsi="Arial" w:cs="Arial"/>
          <w:sz w:val="22"/>
          <w:szCs w:val="22"/>
        </w:rPr>
        <w:t xml:space="preserve"> –</w:t>
      </w:r>
      <w:r w:rsidR="005A73BC" w:rsidRPr="00483F37">
        <w:rPr>
          <w:rFonts w:ascii="Arial" w:hAnsi="Arial" w:cs="Arial"/>
          <w:sz w:val="22"/>
          <w:szCs w:val="22"/>
        </w:rPr>
        <w:t xml:space="preserve"> </w:t>
      </w:r>
      <w:bookmarkEnd w:id="55"/>
      <w:r w:rsidRPr="00483F37">
        <w:rPr>
          <w:rFonts w:ascii="Arial" w:hAnsi="Arial" w:cs="Arial"/>
          <w:i w:val="0"/>
          <w:iCs w:val="0"/>
          <w:sz w:val="22"/>
          <w:szCs w:val="22"/>
        </w:rPr>
        <w:t xml:space="preserve">Evoluţia populaţiei oraşului Horezu 2012 </w:t>
      </w:r>
      <w:r>
        <w:rPr>
          <w:rFonts w:ascii="Arial" w:hAnsi="Arial" w:cs="Arial"/>
          <w:i w:val="0"/>
          <w:iCs w:val="0"/>
          <w:sz w:val="22"/>
          <w:szCs w:val="22"/>
        </w:rPr>
        <w:t>–</w:t>
      </w:r>
      <w:r w:rsidRPr="00483F37">
        <w:rPr>
          <w:rFonts w:ascii="Arial" w:hAnsi="Arial" w:cs="Arial"/>
          <w:i w:val="0"/>
          <w:iCs w:val="0"/>
          <w:sz w:val="22"/>
          <w:szCs w:val="22"/>
        </w:rPr>
        <w:t xml:space="preserve"> 2021</w:t>
      </w:r>
      <w:bookmarkEnd w:id="56"/>
    </w:p>
    <w:tbl>
      <w:tblPr>
        <w:tblStyle w:val="PlainTable21"/>
        <w:tblW w:w="9461" w:type="dxa"/>
        <w:tblLayout w:type="fixed"/>
        <w:tblLook w:val="04A0" w:firstRow="1" w:lastRow="0" w:firstColumn="1" w:lastColumn="0" w:noHBand="0" w:noVBand="1"/>
      </w:tblPr>
      <w:tblGrid>
        <w:gridCol w:w="2185"/>
        <w:gridCol w:w="796"/>
        <w:gridCol w:w="810"/>
        <w:gridCol w:w="810"/>
        <w:gridCol w:w="720"/>
        <w:gridCol w:w="661"/>
        <w:gridCol w:w="689"/>
        <w:gridCol w:w="720"/>
        <w:gridCol w:w="661"/>
        <w:gridCol w:w="689"/>
        <w:gridCol w:w="720"/>
      </w:tblGrid>
      <w:tr w:rsidR="00483F37" w:rsidRPr="00483F37" w14:paraId="7D1626FB" w14:textId="77777777" w:rsidTr="00DE199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85" w:type="dxa"/>
            <w:vMerge w:val="restart"/>
            <w:hideMark/>
          </w:tcPr>
          <w:p w14:paraId="3DAD02BC" w14:textId="77777777" w:rsidR="00DE199F" w:rsidRDefault="00DE199F" w:rsidP="00483F37">
            <w:pPr>
              <w:jc w:val="center"/>
              <w:rPr>
                <w:rFonts w:ascii="Arial" w:eastAsia="Times New Roman" w:hAnsi="Arial" w:cs="Arial"/>
                <w:bCs w:val="0"/>
                <w:color w:val="000000"/>
                <w:sz w:val="20"/>
                <w:szCs w:val="20"/>
              </w:rPr>
            </w:pPr>
          </w:p>
          <w:p w14:paraId="314EABD5" w14:textId="77777777" w:rsidR="00483F37" w:rsidRPr="00DE199F" w:rsidRDefault="003D42C5" w:rsidP="00483F37">
            <w:pPr>
              <w:jc w:val="center"/>
              <w:rPr>
                <w:rFonts w:ascii="Arial" w:eastAsia="Times New Roman" w:hAnsi="Arial" w:cs="Arial"/>
                <w:bCs w:val="0"/>
                <w:color w:val="000000"/>
                <w:sz w:val="20"/>
                <w:szCs w:val="20"/>
              </w:rPr>
            </w:pPr>
            <w:r w:rsidRPr="00DE199F">
              <w:rPr>
                <w:rFonts w:ascii="Arial" w:eastAsia="Times New Roman" w:hAnsi="Arial" w:cs="Arial"/>
                <w:bCs w:val="0"/>
                <w:color w:val="000000"/>
                <w:sz w:val="20"/>
                <w:szCs w:val="20"/>
              </w:rPr>
              <w:t>Localităţ</w:t>
            </w:r>
            <w:r w:rsidR="00483F37" w:rsidRPr="00DE199F">
              <w:rPr>
                <w:rFonts w:ascii="Arial" w:eastAsia="Times New Roman" w:hAnsi="Arial" w:cs="Arial"/>
                <w:bCs w:val="0"/>
                <w:color w:val="000000"/>
                <w:sz w:val="20"/>
                <w:szCs w:val="20"/>
              </w:rPr>
              <w:t>i</w:t>
            </w:r>
          </w:p>
        </w:tc>
        <w:tc>
          <w:tcPr>
            <w:tcW w:w="7276" w:type="dxa"/>
            <w:gridSpan w:val="10"/>
            <w:hideMark/>
          </w:tcPr>
          <w:p w14:paraId="3222D36F" w14:textId="77777777" w:rsidR="00483F37" w:rsidRPr="00DE199F" w:rsidRDefault="00483F37" w:rsidP="00483F37">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Cs w:val="0"/>
                <w:color w:val="000000"/>
                <w:sz w:val="20"/>
                <w:szCs w:val="20"/>
              </w:rPr>
            </w:pPr>
            <w:r w:rsidRPr="00DE199F">
              <w:rPr>
                <w:rFonts w:ascii="Arial" w:eastAsia="Times New Roman" w:hAnsi="Arial" w:cs="Arial"/>
                <w:bCs w:val="0"/>
                <w:color w:val="000000"/>
                <w:sz w:val="20"/>
                <w:szCs w:val="20"/>
              </w:rPr>
              <w:t>Ani</w:t>
            </w:r>
          </w:p>
        </w:tc>
      </w:tr>
      <w:tr w:rsidR="00483F37" w:rsidRPr="00483F37" w14:paraId="79AD553F" w14:textId="77777777" w:rsidTr="00DE199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85" w:type="dxa"/>
            <w:vMerge/>
            <w:hideMark/>
          </w:tcPr>
          <w:p w14:paraId="55E26D55" w14:textId="77777777" w:rsidR="00483F37" w:rsidRPr="00483F37" w:rsidRDefault="00483F37" w:rsidP="00483F37">
            <w:pPr>
              <w:rPr>
                <w:rFonts w:ascii="Arial" w:eastAsia="Times New Roman" w:hAnsi="Arial" w:cs="Arial"/>
                <w:b w:val="0"/>
                <w:bCs w:val="0"/>
                <w:color w:val="000000"/>
                <w:sz w:val="20"/>
                <w:szCs w:val="20"/>
              </w:rPr>
            </w:pPr>
          </w:p>
        </w:tc>
        <w:tc>
          <w:tcPr>
            <w:tcW w:w="796" w:type="dxa"/>
            <w:hideMark/>
          </w:tcPr>
          <w:p w14:paraId="6A894359"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2012</w:t>
            </w:r>
          </w:p>
        </w:tc>
        <w:tc>
          <w:tcPr>
            <w:tcW w:w="810" w:type="dxa"/>
            <w:hideMark/>
          </w:tcPr>
          <w:p w14:paraId="2EE995A2"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2013</w:t>
            </w:r>
          </w:p>
        </w:tc>
        <w:tc>
          <w:tcPr>
            <w:tcW w:w="810" w:type="dxa"/>
            <w:hideMark/>
          </w:tcPr>
          <w:p w14:paraId="521E3BB2"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2014</w:t>
            </w:r>
          </w:p>
        </w:tc>
        <w:tc>
          <w:tcPr>
            <w:tcW w:w="720" w:type="dxa"/>
            <w:hideMark/>
          </w:tcPr>
          <w:p w14:paraId="6CE4FF51"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2015</w:t>
            </w:r>
          </w:p>
        </w:tc>
        <w:tc>
          <w:tcPr>
            <w:tcW w:w="661" w:type="dxa"/>
            <w:hideMark/>
          </w:tcPr>
          <w:p w14:paraId="2823B698"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2016</w:t>
            </w:r>
          </w:p>
        </w:tc>
        <w:tc>
          <w:tcPr>
            <w:tcW w:w="689" w:type="dxa"/>
            <w:hideMark/>
          </w:tcPr>
          <w:p w14:paraId="7D20BBE8"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2017</w:t>
            </w:r>
          </w:p>
        </w:tc>
        <w:tc>
          <w:tcPr>
            <w:tcW w:w="720" w:type="dxa"/>
            <w:hideMark/>
          </w:tcPr>
          <w:p w14:paraId="6BD5B98D"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2018</w:t>
            </w:r>
          </w:p>
        </w:tc>
        <w:tc>
          <w:tcPr>
            <w:tcW w:w="661" w:type="dxa"/>
            <w:hideMark/>
          </w:tcPr>
          <w:p w14:paraId="013C433F"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2019</w:t>
            </w:r>
          </w:p>
        </w:tc>
        <w:tc>
          <w:tcPr>
            <w:tcW w:w="689" w:type="dxa"/>
            <w:hideMark/>
          </w:tcPr>
          <w:p w14:paraId="7FEC8673"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2020</w:t>
            </w:r>
          </w:p>
        </w:tc>
        <w:tc>
          <w:tcPr>
            <w:tcW w:w="720" w:type="dxa"/>
            <w:hideMark/>
          </w:tcPr>
          <w:p w14:paraId="2FEEDD52" w14:textId="77777777" w:rsidR="00483F37" w:rsidRPr="00DE199F" w:rsidRDefault="00483F37" w:rsidP="00483F37">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color w:val="000000"/>
                <w:sz w:val="20"/>
                <w:szCs w:val="20"/>
              </w:rPr>
            </w:pPr>
            <w:r w:rsidRPr="00DE199F">
              <w:rPr>
                <w:rFonts w:ascii="Arial" w:eastAsia="Times New Roman" w:hAnsi="Arial" w:cs="Arial"/>
                <w:bCs/>
                <w:color w:val="000000"/>
                <w:sz w:val="20"/>
                <w:szCs w:val="20"/>
              </w:rPr>
              <w:t>2021</w:t>
            </w:r>
          </w:p>
        </w:tc>
      </w:tr>
      <w:tr w:rsidR="00483F37" w:rsidRPr="00483F37" w14:paraId="43252339" w14:textId="77777777" w:rsidTr="00DE199F">
        <w:trPr>
          <w:trHeight w:val="300"/>
        </w:trPr>
        <w:tc>
          <w:tcPr>
            <w:cnfStyle w:val="001000000000" w:firstRow="0" w:lastRow="0" w:firstColumn="1" w:lastColumn="0" w:oddVBand="0" w:evenVBand="0" w:oddHBand="0" w:evenHBand="0" w:firstRowFirstColumn="0" w:firstRowLastColumn="0" w:lastRowFirstColumn="0" w:lastRowLastColumn="0"/>
            <w:tcW w:w="2185" w:type="dxa"/>
            <w:vMerge/>
            <w:hideMark/>
          </w:tcPr>
          <w:p w14:paraId="09AC5683" w14:textId="77777777" w:rsidR="00483F37" w:rsidRPr="00483F37" w:rsidRDefault="00483F37" w:rsidP="00483F37">
            <w:pPr>
              <w:rPr>
                <w:rFonts w:ascii="Arial" w:eastAsia="Times New Roman" w:hAnsi="Arial" w:cs="Arial"/>
                <w:b w:val="0"/>
                <w:bCs w:val="0"/>
                <w:color w:val="000000"/>
                <w:sz w:val="20"/>
                <w:szCs w:val="20"/>
              </w:rPr>
            </w:pPr>
          </w:p>
        </w:tc>
        <w:tc>
          <w:tcPr>
            <w:tcW w:w="7276" w:type="dxa"/>
            <w:gridSpan w:val="10"/>
            <w:hideMark/>
          </w:tcPr>
          <w:p w14:paraId="337FA68C" w14:textId="77777777" w:rsidR="00483F37" w:rsidRPr="00483F37" w:rsidRDefault="003D42C5" w:rsidP="00483F37">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rPr>
            </w:pPr>
            <w:r>
              <w:rPr>
                <w:rFonts w:ascii="Arial" w:eastAsia="Times New Roman" w:hAnsi="Arial" w:cs="Arial"/>
                <w:b/>
                <w:bCs/>
                <w:color w:val="000000"/>
                <w:sz w:val="20"/>
                <w:szCs w:val="20"/>
              </w:rPr>
              <w:t>UM: Numă</w:t>
            </w:r>
            <w:r w:rsidR="00483F37" w:rsidRPr="00483F37">
              <w:rPr>
                <w:rFonts w:ascii="Arial" w:eastAsia="Times New Roman" w:hAnsi="Arial" w:cs="Arial"/>
                <w:b/>
                <w:bCs/>
                <w:color w:val="000000"/>
                <w:sz w:val="20"/>
                <w:szCs w:val="20"/>
              </w:rPr>
              <w:t>r persoane</w:t>
            </w:r>
          </w:p>
        </w:tc>
      </w:tr>
      <w:tr w:rsidR="00483F37" w:rsidRPr="00483F37" w14:paraId="3E010E09" w14:textId="77777777" w:rsidTr="00DE199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85" w:type="dxa"/>
            <w:hideMark/>
          </w:tcPr>
          <w:p w14:paraId="02C51DCC" w14:textId="77777777" w:rsidR="00483F37" w:rsidRPr="00483F37" w:rsidRDefault="003D42C5" w:rsidP="00483F37">
            <w:pPr>
              <w:jc w:val="center"/>
              <w:rPr>
                <w:rFonts w:ascii="Arial" w:eastAsia="Times New Roman" w:hAnsi="Arial" w:cs="Arial"/>
                <w:b w:val="0"/>
                <w:bCs w:val="0"/>
                <w:color w:val="000000"/>
                <w:sz w:val="20"/>
                <w:szCs w:val="20"/>
              </w:rPr>
            </w:pPr>
            <w:r w:rsidRPr="00DE199F">
              <w:rPr>
                <w:rFonts w:ascii="Arial" w:eastAsia="Times New Roman" w:hAnsi="Arial" w:cs="Arial"/>
                <w:bCs w:val="0"/>
                <w:color w:val="000000"/>
                <w:sz w:val="20"/>
                <w:szCs w:val="20"/>
              </w:rPr>
              <w:t>Oraş Horezu</w:t>
            </w:r>
            <w:r>
              <w:rPr>
                <w:rStyle w:val="Referinnotdesubsol"/>
                <w:rFonts w:ascii="Arial" w:eastAsia="Times New Roman" w:hAnsi="Arial" w:cs="Arial"/>
                <w:b w:val="0"/>
                <w:bCs w:val="0"/>
                <w:color w:val="000000"/>
                <w:sz w:val="20"/>
                <w:szCs w:val="20"/>
              </w:rPr>
              <w:footnoteReference w:id="35"/>
            </w:r>
          </w:p>
        </w:tc>
        <w:tc>
          <w:tcPr>
            <w:tcW w:w="796" w:type="dxa"/>
            <w:hideMark/>
          </w:tcPr>
          <w:p w14:paraId="5F14D7A6"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483F37">
              <w:rPr>
                <w:rFonts w:ascii="Arial" w:eastAsia="Times New Roman" w:hAnsi="Arial" w:cs="Arial"/>
                <w:color w:val="000000"/>
                <w:sz w:val="20"/>
                <w:szCs w:val="20"/>
              </w:rPr>
              <w:t>7275</w:t>
            </w:r>
          </w:p>
        </w:tc>
        <w:tc>
          <w:tcPr>
            <w:tcW w:w="810" w:type="dxa"/>
            <w:hideMark/>
          </w:tcPr>
          <w:p w14:paraId="3DA1F285"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483F37">
              <w:rPr>
                <w:rFonts w:ascii="Arial" w:eastAsia="Times New Roman" w:hAnsi="Arial" w:cs="Arial"/>
                <w:color w:val="000000"/>
                <w:sz w:val="20"/>
                <w:szCs w:val="20"/>
              </w:rPr>
              <w:t>7184</w:t>
            </w:r>
          </w:p>
        </w:tc>
        <w:tc>
          <w:tcPr>
            <w:tcW w:w="810" w:type="dxa"/>
            <w:hideMark/>
          </w:tcPr>
          <w:p w14:paraId="08E1A26D"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483F37">
              <w:rPr>
                <w:rFonts w:ascii="Arial" w:eastAsia="Times New Roman" w:hAnsi="Arial" w:cs="Arial"/>
                <w:color w:val="000000"/>
                <w:sz w:val="20"/>
                <w:szCs w:val="20"/>
              </w:rPr>
              <w:t>7133</w:t>
            </w:r>
          </w:p>
        </w:tc>
        <w:tc>
          <w:tcPr>
            <w:tcW w:w="720" w:type="dxa"/>
            <w:hideMark/>
          </w:tcPr>
          <w:p w14:paraId="5320D55C"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483F37">
              <w:rPr>
                <w:rFonts w:ascii="Arial" w:eastAsia="Times New Roman" w:hAnsi="Arial" w:cs="Arial"/>
                <w:b/>
                <w:bCs/>
                <w:color w:val="000000"/>
                <w:sz w:val="20"/>
                <w:szCs w:val="20"/>
              </w:rPr>
              <w:t>7098</w:t>
            </w:r>
          </w:p>
        </w:tc>
        <w:tc>
          <w:tcPr>
            <w:tcW w:w="661" w:type="dxa"/>
            <w:hideMark/>
          </w:tcPr>
          <w:p w14:paraId="2DA6193E"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483F37">
              <w:rPr>
                <w:rFonts w:ascii="Arial" w:eastAsia="Times New Roman" w:hAnsi="Arial" w:cs="Arial"/>
                <w:b/>
                <w:bCs/>
                <w:color w:val="000000"/>
                <w:sz w:val="20"/>
                <w:szCs w:val="20"/>
              </w:rPr>
              <w:t>7024</w:t>
            </w:r>
          </w:p>
        </w:tc>
        <w:tc>
          <w:tcPr>
            <w:tcW w:w="689" w:type="dxa"/>
            <w:hideMark/>
          </w:tcPr>
          <w:p w14:paraId="58232BCD"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483F37">
              <w:rPr>
                <w:rFonts w:ascii="Arial" w:eastAsia="Times New Roman" w:hAnsi="Arial" w:cs="Arial"/>
                <w:b/>
                <w:bCs/>
                <w:color w:val="000000"/>
                <w:sz w:val="20"/>
                <w:szCs w:val="20"/>
              </w:rPr>
              <w:t>6980</w:t>
            </w:r>
          </w:p>
        </w:tc>
        <w:tc>
          <w:tcPr>
            <w:tcW w:w="720" w:type="dxa"/>
            <w:hideMark/>
          </w:tcPr>
          <w:p w14:paraId="58542DDD"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483F37">
              <w:rPr>
                <w:rFonts w:ascii="Arial" w:eastAsia="Times New Roman" w:hAnsi="Arial" w:cs="Arial"/>
                <w:b/>
                <w:bCs/>
                <w:color w:val="000000"/>
                <w:sz w:val="20"/>
                <w:szCs w:val="20"/>
              </w:rPr>
              <w:t>6953</w:t>
            </w:r>
          </w:p>
        </w:tc>
        <w:tc>
          <w:tcPr>
            <w:tcW w:w="661" w:type="dxa"/>
            <w:hideMark/>
          </w:tcPr>
          <w:p w14:paraId="307061AF"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483F37">
              <w:rPr>
                <w:rFonts w:ascii="Arial" w:eastAsia="Times New Roman" w:hAnsi="Arial" w:cs="Arial"/>
                <w:b/>
                <w:bCs/>
                <w:color w:val="000000"/>
                <w:sz w:val="20"/>
                <w:szCs w:val="20"/>
              </w:rPr>
              <w:t>6912</w:t>
            </w:r>
          </w:p>
        </w:tc>
        <w:tc>
          <w:tcPr>
            <w:tcW w:w="689" w:type="dxa"/>
            <w:hideMark/>
          </w:tcPr>
          <w:p w14:paraId="62604DB7"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483F37">
              <w:rPr>
                <w:rFonts w:ascii="Arial" w:eastAsia="Times New Roman" w:hAnsi="Arial" w:cs="Arial"/>
                <w:color w:val="000000"/>
                <w:sz w:val="20"/>
                <w:szCs w:val="20"/>
              </w:rPr>
              <w:t>6878</w:t>
            </w:r>
          </w:p>
        </w:tc>
        <w:tc>
          <w:tcPr>
            <w:tcW w:w="720" w:type="dxa"/>
            <w:hideMark/>
          </w:tcPr>
          <w:p w14:paraId="239248D6" w14:textId="77777777" w:rsidR="00483F37" w:rsidRPr="00483F37" w:rsidRDefault="00483F37" w:rsidP="00483F37">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u w:val="single"/>
              </w:rPr>
            </w:pPr>
            <w:r w:rsidRPr="00483F37">
              <w:rPr>
                <w:rFonts w:ascii="Arial" w:eastAsia="Times New Roman" w:hAnsi="Arial" w:cs="Arial"/>
                <w:color w:val="000000"/>
                <w:sz w:val="20"/>
                <w:szCs w:val="20"/>
                <w:u w:val="single"/>
              </w:rPr>
              <w:t>6806</w:t>
            </w:r>
          </w:p>
        </w:tc>
      </w:tr>
    </w:tbl>
    <w:p w14:paraId="4984565F" w14:textId="77777777" w:rsidR="00483F37" w:rsidRDefault="003D42C5" w:rsidP="00483F37">
      <w:pPr>
        <w:rPr>
          <w:rFonts w:ascii="Arial" w:hAnsi="Arial" w:cs="Arial"/>
          <w:sz w:val="16"/>
          <w:szCs w:val="16"/>
        </w:rPr>
      </w:pPr>
      <w:r>
        <w:rPr>
          <w:rFonts w:ascii="Arial" w:hAnsi="Arial" w:cs="Arial"/>
          <w:sz w:val="16"/>
          <w:szCs w:val="16"/>
        </w:rPr>
        <w:tab/>
        <w:t>Sursa:</w:t>
      </w:r>
      <w:r w:rsidRPr="003D42C5">
        <w:t xml:space="preserve"> </w:t>
      </w:r>
      <w:hyperlink r:id="rId44" w:history="1">
        <w:r w:rsidRPr="007A7ABD">
          <w:rPr>
            <w:rStyle w:val="Hyperlink"/>
            <w:rFonts w:ascii="Arial" w:hAnsi="Arial" w:cs="Arial"/>
            <w:sz w:val="16"/>
            <w:szCs w:val="16"/>
          </w:rPr>
          <w:t>http://statistici.insse.ro</w:t>
        </w:r>
      </w:hyperlink>
    </w:p>
    <w:p w14:paraId="74F251F3" w14:textId="77777777" w:rsidR="003D42C5" w:rsidRPr="003D42C5" w:rsidRDefault="003D42C5" w:rsidP="003D42C5">
      <w:pPr>
        <w:jc w:val="center"/>
        <w:rPr>
          <w:rFonts w:ascii="Arial" w:hAnsi="Arial" w:cs="Arial"/>
          <w:sz w:val="16"/>
          <w:szCs w:val="16"/>
        </w:rPr>
      </w:pPr>
      <w:r>
        <w:rPr>
          <w:noProof/>
        </w:rPr>
        <w:drawing>
          <wp:inline distT="0" distB="0" distL="0" distR="0" wp14:anchorId="1A015BC6" wp14:editId="412A73F3">
            <wp:extent cx="4572000" cy="2743200"/>
            <wp:effectExtent l="0" t="0" r="0" b="0"/>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F3ED682" w14:textId="77777777" w:rsidR="00E36A36" w:rsidRDefault="00E36A36" w:rsidP="00E36A36">
      <w:pPr>
        <w:spacing w:line="276" w:lineRule="auto"/>
        <w:jc w:val="center"/>
        <w:rPr>
          <w:rFonts w:ascii="Arial" w:hAnsi="Arial" w:cs="Arial"/>
        </w:rPr>
      </w:pPr>
    </w:p>
    <w:p w14:paraId="78B7FD2F" w14:textId="77777777" w:rsidR="0051470C" w:rsidRDefault="00E36A36" w:rsidP="000B1E7C">
      <w:pPr>
        <w:spacing w:line="276" w:lineRule="auto"/>
        <w:jc w:val="both"/>
        <w:rPr>
          <w:rFonts w:ascii="Arial" w:hAnsi="Arial" w:cs="Arial"/>
        </w:rPr>
      </w:pPr>
      <w:r>
        <w:rPr>
          <w:rFonts w:ascii="Arial" w:hAnsi="Arial" w:cs="Arial"/>
        </w:rPr>
        <w:t xml:space="preserve">În ultimii 10 ani, populația cu domiciliu stabil în </w:t>
      </w:r>
      <w:r w:rsidR="003D42C5">
        <w:rPr>
          <w:rFonts w:ascii="Arial" w:hAnsi="Arial" w:cs="Arial"/>
        </w:rPr>
        <w:t>oraşul Horezu</w:t>
      </w:r>
      <w:r>
        <w:rPr>
          <w:rFonts w:ascii="Arial" w:hAnsi="Arial" w:cs="Arial"/>
        </w:rPr>
        <w:t xml:space="preserve"> a cunoscut o scădere cu </w:t>
      </w:r>
      <w:r w:rsidR="006D095F">
        <w:rPr>
          <w:rFonts w:ascii="Arial" w:hAnsi="Arial" w:cs="Arial"/>
        </w:rPr>
        <w:t>6,45</w:t>
      </w:r>
      <w:r>
        <w:rPr>
          <w:rFonts w:ascii="Arial" w:hAnsi="Arial" w:cs="Arial"/>
        </w:rPr>
        <w:t>% (202</w:t>
      </w:r>
      <w:r w:rsidR="006D095F">
        <w:rPr>
          <w:rFonts w:ascii="Arial" w:hAnsi="Arial" w:cs="Arial"/>
        </w:rPr>
        <w:t>1</w:t>
      </w:r>
      <w:r>
        <w:rPr>
          <w:rFonts w:ascii="Arial" w:hAnsi="Arial" w:cs="Arial"/>
        </w:rPr>
        <w:t xml:space="preserve"> față de 201</w:t>
      </w:r>
      <w:r w:rsidR="006D095F">
        <w:rPr>
          <w:rFonts w:ascii="Arial" w:hAnsi="Arial" w:cs="Arial"/>
        </w:rPr>
        <w:t>2</w:t>
      </w:r>
      <w:r>
        <w:rPr>
          <w:rFonts w:ascii="Arial" w:hAnsi="Arial" w:cs="Arial"/>
        </w:rPr>
        <w:t xml:space="preserve">). </w:t>
      </w:r>
      <w:r w:rsidR="004B1A95">
        <w:rPr>
          <w:rFonts w:ascii="Arial" w:hAnsi="Arial" w:cs="Arial"/>
        </w:rPr>
        <w:t>Annual, la nivelul ultimilor 10 ani luaţi în analiză</w:t>
      </w:r>
      <w:r>
        <w:rPr>
          <w:rFonts w:ascii="Arial" w:hAnsi="Arial" w:cs="Arial"/>
        </w:rPr>
        <w:t xml:space="preserve">, </w:t>
      </w:r>
      <w:r w:rsidR="004B1A95">
        <w:rPr>
          <w:rFonts w:ascii="Arial" w:hAnsi="Arial" w:cs="Arial"/>
        </w:rPr>
        <w:t>rata de scădere a</w:t>
      </w:r>
      <w:r>
        <w:rPr>
          <w:rFonts w:ascii="Arial" w:hAnsi="Arial" w:cs="Arial"/>
        </w:rPr>
        <w:t xml:space="preserve"> populației a fost cuprinsă între 0,</w:t>
      </w:r>
      <w:r w:rsidR="0059181A">
        <w:rPr>
          <w:rFonts w:ascii="Arial" w:hAnsi="Arial" w:cs="Arial"/>
        </w:rPr>
        <w:t>3</w:t>
      </w:r>
      <w:r>
        <w:rPr>
          <w:rFonts w:ascii="Arial" w:hAnsi="Arial" w:cs="Arial"/>
        </w:rPr>
        <w:t>9 și 1,</w:t>
      </w:r>
      <w:r w:rsidR="0059181A">
        <w:rPr>
          <w:rFonts w:ascii="Arial" w:hAnsi="Arial" w:cs="Arial"/>
        </w:rPr>
        <w:t>2</w:t>
      </w:r>
      <w:r>
        <w:rPr>
          <w:rFonts w:ascii="Arial" w:hAnsi="Arial" w:cs="Arial"/>
        </w:rPr>
        <w:t>5%:</w:t>
      </w:r>
    </w:p>
    <w:tbl>
      <w:tblPr>
        <w:tblW w:w="3156" w:type="dxa"/>
        <w:jc w:val="center"/>
        <w:tblBorders>
          <w:insideH w:val="single" w:sz="4" w:space="0" w:color="auto"/>
          <w:insideV w:val="single" w:sz="4" w:space="0" w:color="auto"/>
        </w:tblBorders>
        <w:tblLook w:val="04A0" w:firstRow="1" w:lastRow="0" w:firstColumn="1" w:lastColumn="0" w:noHBand="0" w:noVBand="1"/>
      </w:tblPr>
      <w:tblGrid>
        <w:gridCol w:w="1248"/>
        <w:gridCol w:w="1908"/>
      </w:tblGrid>
      <w:tr w:rsidR="00C41C92" w:rsidRPr="00C41C92" w14:paraId="40A82777" w14:textId="77777777" w:rsidTr="004B1A95">
        <w:trPr>
          <w:trHeight w:val="300"/>
          <w:jc w:val="center"/>
        </w:trPr>
        <w:tc>
          <w:tcPr>
            <w:tcW w:w="1248" w:type="dxa"/>
            <w:shd w:val="clear" w:color="auto" w:fill="auto"/>
            <w:noWrap/>
            <w:vAlign w:val="bottom"/>
          </w:tcPr>
          <w:p w14:paraId="4578EA9C" w14:textId="77777777" w:rsidR="00C41C92" w:rsidRPr="004B1A95" w:rsidRDefault="004B1A95" w:rsidP="004B1A95">
            <w:pPr>
              <w:spacing w:after="0" w:line="240" w:lineRule="auto"/>
              <w:jc w:val="center"/>
              <w:rPr>
                <w:rFonts w:ascii="Arial" w:eastAsia="Times New Roman" w:hAnsi="Arial" w:cs="Arial"/>
                <w:b/>
                <w:color w:val="000000"/>
                <w:sz w:val="20"/>
                <w:szCs w:val="20"/>
              </w:rPr>
            </w:pPr>
            <w:r w:rsidRPr="004B1A95">
              <w:rPr>
                <w:rFonts w:ascii="Arial" w:eastAsia="Times New Roman" w:hAnsi="Arial" w:cs="Arial"/>
                <w:b/>
                <w:color w:val="000000"/>
                <w:sz w:val="20"/>
                <w:szCs w:val="20"/>
              </w:rPr>
              <w:t>An</w:t>
            </w:r>
          </w:p>
        </w:tc>
        <w:tc>
          <w:tcPr>
            <w:tcW w:w="1908" w:type="dxa"/>
            <w:shd w:val="clear" w:color="auto" w:fill="auto"/>
            <w:noWrap/>
            <w:vAlign w:val="bottom"/>
          </w:tcPr>
          <w:p w14:paraId="4ACD4A4C" w14:textId="77777777" w:rsidR="00C41C92" w:rsidRPr="004B1A95" w:rsidRDefault="004B1A95" w:rsidP="004B1A95">
            <w:pPr>
              <w:spacing w:after="0" w:line="240" w:lineRule="auto"/>
              <w:jc w:val="center"/>
              <w:rPr>
                <w:rFonts w:ascii="Arial" w:eastAsia="Times New Roman" w:hAnsi="Arial" w:cs="Arial"/>
                <w:b/>
                <w:color w:val="000000"/>
                <w:sz w:val="20"/>
                <w:szCs w:val="20"/>
              </w:rPr>
            </w:pPr>
            <w:r w:rsidRPr="004B1A95">
              <w:rPr>
                <w:rFonts w:ascii="Arial" w:eastAsia="Times New Roman" w:hAnsi="Arial" w:cs="Arial"/>
                <w:b/>
                <w:color w:val="000000"/>
                <w:sz w:val="20"/>
                <w:szCs w:val="20"/>
              </w:rPr>
              <w:t>Rată scădere populaţie</w:t>
            </w:r>
          </w:p>
        </w:tc>
      </w:tr>
      <w:tr w:rsidR="00E36A36" w:rsidRPr="00C41C92" w14:paraId="22B6368B" w14:textId="77777777" w:rsidTr="004B1A95">
        <w:trPr>
          <w:trHeight w:val="300"/>
          <w:jc w:val="center"/>
        </w:trPr>
        <w:tc>
          <w:tcPr>
            <w:tcW w:w="1248" w:type="dxa"/>
            <w:shd w:val="clear" w:color="auto" w:fill="auto"/>
            <w:noWrap/>
            <w:vAlign w:val="bottom"/>
            <w:hideMark/>
          </w:tcPr>
          <w:p w14:paraId="0DFEE29D" w14:textId="77777777" w:rsidR="00E36A36" w:rsidRPr="00C41C92" w:rsidRDefault="00E36A36" w:rsidP="004B1A95">
            <w:pPr>
              <w:spacing w:after="0" w:line="240" w:lineRule="auto"/>
              <w:jc w:val="center"/>
              <w:rPr>
                <w:rFonts w:ascii="Arial" w:eastAsia="Times New Roman" w:hAnsi="Arial" w:cs="Arial"/>
                <w:color w:val="000000"/>
                <w:sz w:val="20"/>
                <w:szCs w:val="20"/>
              </w:rPr>
            </w:pPr>
            <w:r w:rsidRPr="00C41C92">
              <w:rPr>
                <w:rFonts w:ascii="Arial" w:eastAsia="Times New Roman" w:hAnsi="Arial" w:cs="Arial"/>
                <w:color w:val="000000"/>
                <w:sz w:val="20"/>
                <w:szCs w:val="20"/>
              </w:rPr>
              <w:t>2012</w:t>
            </w:r>
          </w:p>
        </w:tc>
        <w:tc>
          <w:tcPr>
            <w:tcW w:w="1908" w:type="dxa"/>
            <w:shd w:val="clear" w:color="auto" w:fill="auto"/>
            <w:noWrap/>
            <w:vAlign w:val="bottom"/>
          </w:tcPr>
          <w:p w14:paraId="06486779" w14:textId="77777777" w:rsidR="00E36A36"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0,40</w:t>
            </w:r>
          </w:p>
        </w:tc>
      </w:tr>
      <w:tr w:rsidR="00E36A36" w:rsidRPr="00C41C92" w14:paraId="0236DB02" w14:textId="77777777" w:rsidTr="004B1A95">
        <w:trPr>
          <w:trHeight w:val="300"/>
          <w:jc w:val="center"/>
        </w:trPr>
        <w:tc>
          <w:tcPr>
            <w:tcW w:w="1248" w:type="dxa"/>
            <w:shd w:val="clear" w:color="auto" w:fill="auto"/>
            <w:noWrap/>
            <w:vAlign w:val="bottom"/>
            <w:hideMark/>
          </w:tcPr>
          <w:p w14:paraId="43574511" w14:textId="77777777" w:rsidR="00E36A36" w:rsidRPr="00C41C92" w:rsidRDefault="00E36A36" w:rsidP="004B1A95">
            <w:pPr>
              <w:spacing w:after="0" w:line="240" w:lineRule="auto"/>
              <w:jc w:val="center"/>
              <w:rPr>
                <w:rFonts w:ascii="Arial" w:eastAsia="Times New Roman" w:hAnsi="Arial" w:cs="Arial"/>
                <w:color w:val="000000"/>
                <w:sz w:val="20"/>
                <w:szCs w:val="20"/>
              </w:rPr>
            </w:pPr>
            <w:r w:rsidRPr="00C41C92">
              <w:rPr>
                <w:rFonts w:ascii="Arial" w:eastAsia="Times New Roman" w:hAnsi="Arial" w:cs="Arial"/>
                <w:color w:val="000000"/>
                <w:sz w:val="20"/>
                <w:szCs w:val="20"/>
              </w:rPr>
              <w:t>2013</w:t>
            </w:r>
          </w:p>
        </w:tc>
        <w:tc>
          <w:tcPr>
            <w:tcW w:w="1908" w:type="dxa"/>
            <w:shd w:val="clear" w:color="auto" w:fill="auto"/>
            <w:noWrap/>
            <w:vAlign w:val="bottom"/>
          </w:tcPr>
          <w:p w14:paraId="06017D76" w14:textId="77777777" w:rsidR="00E36A36"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1,25</w:t>
            </w:r>
          </w:p>
        </w:tc>
      </w:tr>
      <w:tr w:rsidR="00E36A36" w:rsidRPr="00C41C92" w14:paraId="1AF185B4" w14:textId="77777777" w:rsidTr="004B1A95">
        <w:trPr>
          <w:trHeight w:val="300"/>
          <w:jc w:val="center"/>
        </w:trPr>
        <w:tc>
          <w:tcPr>
            <w:tcW w:w="1248" w:type="dxa"/>
            <w:shd w:val="clear" w:color="auto" w:fill="auto"/>
            <w:noWrap/>
            <w:vAlign w:val="bottom"/>
            <w:hideMark/>
          </w:tcPr>
          <w:p w14:paraId="0D7C859D" w14:textId="77777777" w:rsidR="00E36A36" w:rsidRPr="00C41C92" w:rsidRDefault="00E36A36" w:rsidP="004B1A95">
            <w:pPr>
              <w:spacing w:after="0" w:line="240" w:lineRule="auto"/>
              <w:jc w:val="center"/>
              <w:rPr>
                <w:rFonts w:ascii="Arial" w:eastAsia="Times New Roman" w:hAnsi="Arial" w:cs="Arial"/>
                <w:color w:val="000000"/>
                <w:sz w:val="20"/>
                <w:szCs w:val="20"/>
              </w:rPr>
            </w:pPr>
            <w:r w:rsidRPr="00C41C92">
              <w:rPr>
                <w:rFonts w:ascii="Arial" w:eastAsia="Times New Roman" w:hAnsi="Arial" w:cs="Arial"/>
                <w:color w:val="000000"/>
                <w:sz w:val="20"/>
                <w:szCs w:val="20"/>
              </w:rPr>
              <w:t>2014</w:t>
            </w:r>
          </w:p>
        </w:tc>
        <w:tc>
          <w:tcPr>
            <w:tcW w:w="1908" w:type="dxa"/>
            <w:shd w:val="clear" w:color="auto" w:fill="auto"/>
            <w:noWrap/>
            <w:vAlign w:val="bottom"/>
          </w:tcPr>
          <w:p w14:paraId="7D1EA01D" w14:textId="77777777" w:rsidR="00E36A36"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0,71</w:t>
            </w:r>
          </w:p>
        </w:tc>
      </w:tr>
      <w:tr w:rsidR="00E36A36" w:rsidRPr="00C41C92" w14:paraId="1D91725F" w14:textId="77777777" w:rsidTr="004B1A95">
        <w:trPr>
          <w:trHeight w:val="300"/>
          <w:jc w:val="center"/>
        </w:trPr>
        <w:tc>
          <w:tcPr>
            <w:tcW w:w="1248" w:type="dxa"/>
            <w:shd w:val="clear" w:color="auto" w:fill="auto"/>
            <w:noWrap/>
            <w:vAlign w:val="bottom"/>
            <w:hideMark/>
          </w:tcPr>
          <w:p w14:paraId="3EA305F6" w14:textId="77777777" w:rsidR="00E36A36" w:rsidRPr="00C41C92" w:rsidRDefault="00E36A36" w:rsidP="004B1A95">
            <w:pPr>
              <w:spacing w:after="0" w:line="240" w:lineRule="auto"/>
              <w:jc w:val="center"/>
              <w:rPr>
                <w:rFonts w:ascii="Arial" w:eastAsia="Times New Roman" w:hAnsi="Arial" w:cs="Arial"/>
                <w:color w:val="000000"/>
                <w:sz w:val="20"/>
                <w:szCs w:val="20"/>
              </w:rPr>
            </w:pPr>
            <w:r w:rsidRPr="00C41C92">
              <w:rPr>
                <w:rFonts w:ascii="Arial" w:eastAsia="Times New Roman" w:hAnsi="Arial" w:cs="Arial"/>
                <w:color w:val="000000"/>
                <w:sz w:val="20"/>
                <w:szCs w:val="20"/>
              </w:rPr>
              <w:t>2015</w:t>
            </w:r>
          </w:p>
        </w:tc>
        <w:tc>
          <w:tcPr>
            <w:tcW w:w="1908" w:type="dxa"/>
            <w:shd w:val="clear" w:color="auto" w:fill="auto"/>
            <w:noWrap/>
            <w:vAlign w:val="bottom"/>
          </w:tcPr>
          <w:p w14:paraId="0F28715B" w14:textId="77777777" w:rsidR="00E36A36"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0,49</w:t>
            </w:r>
          </w:p>
        </w:tc>
      </w:tr>
      <w:tr w:rsidR="00E36A36" w:rsidRPr="00C41C92" w14:paraId="02B83D81" w14:textId="77777777" w:rsidTr="004B1A95">
        <w:trPr>
          <w:trHeight w:val="300"/>
          <w:jc w:val="center"/>
        </w:trPr>
        <w:tc>
          <w:tcPr>
            <w:tcW w:w="1248" w:type="dxa"/>
            <w:shd w:val="clear" w:color="auto" w:fill="auto"/>
            <w:noWrap/>
            <w:vAlign w:val="bottom"/>
            <w:hideMark/>
          </w:tcPr>
          <w:p w14:paraId="6FDD76D5" w14:textId="77777777" w:rsidR="00E36A36" w:rsidRPr="00C41C92" w:rsidRDefault="00E36A36" w:rsidP="004B1A95">
            <w:pPr>
              <w:spacing w:after="0" w:line="240" w:lineRule="auto"/>
              <w:jc w:val="center"/>
              <w:rPr>
                <w:rFonts w:ascii="Arial" w:eastAsia="Times New Roman" w:hAnsi="Arial" w:cs="Arial"/>
                <w:color w:val="000000"/>
                <w:sz w:val="20"/>
                <w:szCs w:val="20"/>
              </w:rPr>
            </w:pPr>
            <w:r w:rsidRPr="00C41C92">
              <w:rPr>
                <w:rFonts w:ascii="Arial" w:eastAsia="Times New Roman" w:hAnsi="Arial" w:cs="Arial"/>
                <w:color w:val="000000"/>
                <w:sz w:val="20"/>
                <w:szCs w:val="20"/>
              </w:rPr>
              <w:t>2016</w:t>
            </w:r>
          </w:p>
        </w:tc>
        <w:tc>
          <w:tcPr>
            <w:tcW w:w="1908" w:type="dxa"/>
            <w:shd w:val="clear" w:color="auto" w:fill="auto"/>
            <w:noWrap/>
            <w:vAlign w:val="bottom"/>
          </w:tcPr>
          <w:p w14:paraId="1E24BECB" w14:textId="77777777" w:rsidR="00E36A36"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1,04</w:t>
            </w:r>
          </w:p>
        </w:tc>
      </w:tr>
      <w:tr w:rsidR="00E36A36" w:rsidRPr="00C41C92" w14:paraId="476B166A" w14:textId="77777777" w:rsidTr="004B1A95">
        <w:trPr>
          <w:trHeight w:val="300"/>
          <w:jc w:val="center"/>
        </w:trPr>
        <w:tc>
          <w:tcPr>
            <w:tcW w:w="1248" w:type="dxa"/>
            <w:shd w:val="clear" w:color="auto" w:fill="auto"/>
            <w:noWrap/>
            <w:vAlign w:val="bottom"/>
            <w:hideMark/>
          </w:tcPr>
          <w:p w14:paraId="711C237A" w14:textId="77777777" w:rsidR="00E36A36" w:rsidRPr="00C41C92" w:rsidRDefault="00E36A36" w:rsidP="004B1A95">
            <w:pPr>
              <w:spacing w:after="0" w:line="240" w:lineRule="auto"/>
              <w:jc w:val="center"/>
              <w:rPr>
                <w:rFonts w:ascii="Arial" w:eastAsia="Times New Roman" w:hAnsi="Arial" w:cs="Arial"/>
                <w:color w:val="000000"/>
                <w:sz w:val="20"/>
                <w:szCs w:val="20"/>
              </w:rPr>
            </w:pPr>
            <w:r w:rsidRPr="00C41C92">
              <w:rPr>
                <w:rFonts w:ascii="Arial" w:eastAsia="Times New Roman" w:hAnsi="Arial" w:cs="Arial"/>
                <w:color w:val="000000"/>
                <w:sz w:val="20"/>
                <w:szCs w:val="20"/>
              </w:rPr>
              <w:t>2017</w:t>
            </w:r>
          </w:p>
        </w:tc>
        <w:tc>
          <w:tcPr>
            <w:tcW w:w="1908" w:type="dxa"/>
            <w:shd w:val="clear" w:color="auto" w:fill="auto"/>
            <w:noWrap/>
            <w:vAlign w:val="bottom"/>
          </w:tcPr>
          <w:p w14:paraId="5F89E034" w14:textId="77777777" w:rsidR="00E36A36"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0,63</w:t>
            </w:r>
          </w:p>
        </w:tc>
      </w:tr>
      <w:tr w:rsidR="00E36A36" w:rsidRPr="00C41C92" w14:paraId="0B715B2F" w14:textId="77777777" w:rsidTr="004B1A95">
        <w:trPr>
          <w:trHeight w:val="300"/>
          <w:jc w:val="center"/>
        </w:trPr>
        <w:tc>
          <w:tcPr>
            <w:tcW w:w="1248" w:type="dxa"/>
            <w:shd w:val="clear" w:color="auto" w:fill="auto"/>
            <w:noWrap/>
            <w:vAlign w:val="bottom"/>
            <w:hideMark/>
          </w:tcPr>
          <w:p w14:paraId="7247AD15" w14:textId="77777777" w:rsidR="00E36A36" w:rsidRPr="00C41C92" w:rsidRDefault="00E36A36" w:rsidP="004B1A95">
            <w:pPr>
              <w:spacing w:after="0" w:line="240" w:lineRule="auto"/>
              <w:jc w:val="center"/>
              <w:rPr>
                <w:rFonts w:ascii="Arial" w:eastAsia="Times New Roman" w:hAnsi="Arial" w:cs="Arial"/>
                <w:color w:val="000000"/>
                <w:sz w:val="20"/>
                <w:szCs w:val="20"/>
              </w:rPr>
            </w:pPr>
            <w:r w:rsidRPr="00C41C92">
              <w:rPr>
                <w:rFonts w:ascii="Arial" w:eastAsia="Times New Roman" w:hAnsi="Arial" w:cs="Arial"/>
                <w:color w:val="000000"/>
                <w:sz w:val="20"/>
                <w:szCs w:val="20"/>
              </w:rPr>
              <w:t>2018</w:t>
            </w:r>
          </w:p>
        </w:tc>
        <w:tc>
          <w:tcPr>
            <w:tcW w:w="1908" w:type="dxa"/>
            <w:shd w:val="clear" w:color="auto" w:fill="auto"/>
            <w:noWrap/>
            <w:vAlign w:val="bottom"/>
          </w:tcPr>
          <w:p w14:paraId="42C7F0E5" w14:textId="77777777" w:rsidR="00E36A36"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0,39</w:t>
            </w:r>
          </w:p>
        </w:tc>
      </w:tr>
      <w:tr w:rsidR="00E36A36" w:rsidRPr="00C41C92" w14:paraId="0CB2E32A" w14:textId="77777777" w:rsidTr="004B1A95">
        <w:trPr>
          <w:trHeight w:val="300"/>
          <w:jc w:val="center"/>
        </w:trPr>
        <w:tc>
          <w:tcPr>
            <w:tcW w:w="1248" w:type="dxa"/>
            <w:shd w:val="clear" w:color="auto" w:fill="auto"/>
            <w:noWrap/>
            <w:vAlign w:val="bottom"/>
            <w:hideMark/>
          </w:tcPr>
          <w:p w14:paraId="16C3D353" w14:textId="77777777" w:rsidR="00E36A36" w:rsidRPr="00C41C92" w:rsidRDefault="00E36A36" w:rsidP="004B1A95">
            <w:pPr>
              <w:spacing w:after="0" w:line="240" w:lineRule="auto"/>
              <w:jc w:val="center"/>
              <w:rPr>
                <w:rFonts w:ascii="Arial" w:eastAsia="Times New Roman" w:hAnsi="Arial" w:cs="Arial"/>
                <w:color w:val="000000"/>
                <w:sz w:val="20"/>
                <w:szCs w:val="20"/>
              </w:rPr>
            </w:pPr>
            <w:r w:rsidRPr="00C41C92">
              <w:rPr>
                <w:rFonts w:ascii="Arial" w:eastAsia="Times New Roman" w:hAnsi="Arial" w:cs="Arial"/>
                <w:color w:val="000000"/>
                <w:sz w:val="20"/>
                <w:szCs w:val="20"/>
              </w:rPr>
              <w:t>2019</w:t>
            </w:r>
          </w:p>
        </w:tc>
        <w:tc>
          <w:tcPr>
            <w:tcW w:w="1908" w:type="dxa"/>
            <w:shd w:val="clear" w:color="auto" w:fill="auto"/>
            <w:noWrap/>
            <w:vAlign w:val="bottom"/>
          </w:tcPr>
          <w:p w14:paraId="718EC1EF" w14:textId="77777777" w:rsidR="00E36A36"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0,59</w:t>
            </w:r>
          </w:p>
        </w:tc>
      </w:tr>
      <w:tr w:rsidR="00E36A36" w:rsidRPr="00C41C92" w14:paraId="61B9C01E" w14:textId="77777777" w:rsidTr="004B1A95">
        <w:trPr>
          <w:trHeight w:val="300"/>
          <w:jc w:val="center"/>
        </w:trPr>
        <w:tc>
          <w:tcPr>
            <w:tcW w:w="1248" w:type="dxa"/>
            <w:shd w:val="clear" w:color="auto" w:fill="auto"/>
            <w:noWrap/>
            <w:vAlign w:val="bottom"/>
            <w:hideMark/>
          </w:tcPr>
          <w:p w14:paraId="45C1871E" w14:textId="77777777" w:rsidR="00E36A36" w:rsidRPr="00C41C92" w:rsidRDefault="00E36A36" w:rsidP="004B1A95">
            <w:pPr>
              <w:spacing w:after="0" w:line="240" w:lineRule="auto"/>
              <w:jc w:val="center"/>
              <w:rPr>
                <w:rFonts w:ascii="Arial" w:eastAsia="Times New Roman" w:hAnsi="Arial" w:cs="Arial"/>
                <w:color w:val="000000"/>
                <w:sz w:val="20"/>
                <w:szCs w:val="20"/>
              </w:rPr>
            </w:pPr>
            <w:r w:rsidRPr="00C41C92">
              <w:rPr>
                <w:rFonts w:ascii="Arial" w:eastAsia="Times New Roman" w:hAnsi="Arial" w:cs="Arial"/>
                <w:color w:val="000000"/>
                <w:sz w:val="20"/>
                <w:szCs w:val="20"/>
              </w:rPr>
              <w:t>2020</w:t>
            </w:r>
          </w:p>
        </w:tc>
        <w:tc>
          <w:tcPr>
            <w:tcW w:w="1908" w:type="dxa"/>
            <w:shd w:val="clear" w:color="auto" w:fill="auto"/>
            <w:noWrap/>
            <w:vAlign w:val="bottom"/>
          </w:tcPr>
          <w:p w14:paraId="2C6960F7" w14:textId="77777777" w:rsidR="00E36A36"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0,49</w:t>
            </w:r>
          </w:p>
        </w:tc>
      </w:tr>
      <w:tr w:rsidR="00C41C92" w:rsidRPr="00C41C92" w14:paraId="6260A658" w14:textId="77777777" w:rsidTr="004B1A95">
        <w:trPr>
          <w:trHeight w:val="300"/>
          <w:jc w:val="center"/>
        </w:trPr>
        <w:tc>
          <w:tcPr>
            <w:tcW w:w="1248" w:type="dxa"/>
            <w:shd w:val="clear" w:color="auto" w:fill="auto"/>
            <w:noWrap/>
            <w:vAlign w:val="bottom"/>
          </w:tcPr>
          <w:p w14:paraId="2E0C1751" w14:textId="77777777" w:rsidR="00C41C92" w:rsidRPr="00C41C92" w:rsidRDefault="00C41C92"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2021</w:t>
            </w:r>
          </w:p>
        </w:tc>
        <w:tc>
          <w:tcPr>
            <w:tcW w:w="1908" w:type="dxa"/>
            <w:shd w:val="clear" w:color="auto" w:fill="auto"/>
            <w:noWrap/>
            <w:vAlign w:val="bottom"/>
          </w:tcPr>
          <w:p w14:paraId="20E73ECB" w14:textId="77777777" w:rsidR="00C41C92" w:rsidRPr="00C41C92" w:rsidRDefault="004B1A95" w:rsidP="004B1A95">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1,05</w:t>
            </w:r>
          </w:p>
        </w:tc>
      </w:tr>
    </w:tbl>
    <w:p w14:paraId="30DA6B71" w14:textId="77777777" w:rsidR="00E36A36" w:rsidRDefault="00E36A36" w:rsidP="0059181A">
      <w:pPr>
        <w:spacing w:line="276" w:lineRule="auto"/>
        <w:rPr>
          <w:noProof/>
        </w:rPr>
      </w:pPr>
    </w:p>
    <w:p w14:paraId="46588FFD" w14:textId="77777777" w:rsidR="0059181A" w:rsidRDefault="0059181A" w:rsidP="00BD3A3B">
      <w:pPr>
        <w:spacing w:line="276" w:lineRule="auto"/>
        <w:jc w:val="both"/>
        <w:rPr>
          <w:rFonts w:ascii="Arial" w:hAnsi="Arial" w:cs="Arial"/>
          <w:noProof/>
        </w:rPr>
      </w:pPr>
      <w:r w:rsidRPr="00BD3A3B">
        <w:rPr>
          <w:rFonts w:ascii="Arial" w:hAnsi="Arial" w:cs="Arial"/>
          <w:noProof/>
        </w:rPr>
        <w:t>În ce priveşte distribuţia populaţiei pe grupe de vârstă</w:t>
      </w:r>
      <w:r w:rsidR="00B56016" w:rsidRPr="00BD3A3B">
        <w:rPr>
          <w:rFonts w:ascii="Arial" w:hAnsi="Arial" w:cs="Arial"/>
          <w:noProof/>
        </w:rPr>
        <w:t xml:space="preserve"> la nivelul anului 2021</w:t>
      </w:r>
      <w:r w:rsidRPr="00BD3A3B">
        <w:rPr>
          <w:rFonts w:ascii="Arial" w:hAnsi="Arial" w:cs="Arial"/>
          <w:noProof/>
        </w:rPr>
        <w:t xml:space="preserve">, </w:t>
      </w:r>
      <w:r w:rsidR="00B56016" w:rsidRPr="00BD3A3B">
        <w:rPr>
          <w:rFonts w:ascii="Arial" w:hAnsi="Arial" w:cs="Arial"/>
          <w:noProof/>
        </w:rPr>
        <w:t>cea mai numeroasă grupă de vârstă este 50-54 ani, urmată de grupa 45-49 ani şi 30-34 ani</w:t>
      </w:r>
      <w:r w:rsidR="00BD3A3B">
        <w:rPr>
          <w:rFonts w:ascii="Arial" w:hAnsi="Arial" w:cs="Arial"/>
          <w:noProof/>
        </w:rPr>
        <w:t xml:space="preserve">. </w:t>
      </w:r>
      <w:r w:rsidR="00BD3A3B" w:rsidRPr="00BD3A3B">
        <w:rPr>
          <w:rFonts w:ascii="Arial" w:hAnsi="Arial" w:cs="Arial"/>
          <w:noProof/>
        </w:rPr>
        <w:t xml:space="preserve">Piramida populației oraşului Horezu cunoaște o îngutare la bază, ceea ce indică un număr relativ redus al populației tinere. În acest ritm de evoluție, populația va ajunge în următorii ani să fie preponderent îmbătrânită. Grupele de vârstă sub 40 de ani formează o pondere 43,21% din populația oraşului </w:t>
      </w:r>
      <w:r w:rsidR="00BD3A3B" w:rsidRPr="00BD3A3B">
        <w:rPr>
          <w:rFonts w:ascii="Arial" w:hAnsi="Arial" w:cs="Arial"/>
          <w:noProof/>
        </w:rPr>
        <w:lastRenderedPageBreak/>
        <w:t>spre deosebire de grupele de peste 40 de ani care se constituie într-o pondere de 56,78% din populație, ceea ce indică tendința de îmbătrânire a populației.</w:t>
      </w:r>
    </w:p>
    <w:p w14:paraId="4E98B0C1" w14:textId="77777777" w:rsidR="00BD3A3B" w:rsidRPr="00BD3A3B" w:rsidRDefault="00BD3A3B" w:rsidP="00BD3A3B">
      <w:pPr>
        <w:spacing w:line="276" w:lineRule="auto"/>
        <w:jc w:val="both"/>
        <w:rPr>
          <w:rFonts w:ascii="Arial" w:hAnsi="Arial" w:cs="Arial"/>
          <w:noProof/>
        </w:rPr>
      </w:pPr>
    </w:p>
    <w:p w14:paraId="52C1BFC4" w14:textId="77777777" w:rsidR="00D87E0F" w:rsidRDefault="00745869" w:rsidP="00D87E0F">
      <w:pPr>
        <w:spacing w:line="276" w:lineRule="auto"/>
        <w:jc w:val="center"/>
        <w:rPr>
          <w:noProof/>
        </w:rPr>
      </w:pPr>
      <w:r>
        <w:rPr>
          <w:noProof/>
        </w:rPr>
        <w:drawing>
          <wp:inline distT="0" distB="0" distL="0" distR="0" wp14:anchorId="14AF13E3" wp14:editId="1B9AA071">
            <wp:extent cx="4572000" cy="2743200"/>
            <wp:effectExtent l="0" t="0" r="0" b="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DE6B25E" w14:textId="77777777" w:rsidR="00BD3A3B" w:rsidRPr="00BD3A3B" w:rsidRDefault="00BD3A3B" w:rsidP="00BD3A3B">
      <w:pPr>
        <w:spacing w:line="276" w:lineRule="auto"/>
        <w:rPr>
          <w:rFonts w:ascii="Arial" w:hAnsi="Arial" w:cs="Arial"/>
          <w:noProof/>
          <w:sz w:val="16"/>
          <w:szCs w:val="16"/>
        </w:rPr>
      </w:pPr>
      <w:r>
        <w:rPr>
          <w:noProof/>
        </w:rPr>
        <w:tab/>
      </w:r>
      <w:r>
        <w:rPr>
          <w:rFonts w:ascii="Arial" w:hAnsi="Arial" w:cs="Arial"/>
          <w:noProof/>
          <w:sz w:val="16"/>
          <w:szCs w:val="16"/>
        </w:rPr>
        <w:t xml:space="preserve">Sursa: </w:t>
      </w:r>
      <w:r w:rsidRPr="00BD3A3B">
        <w:rPr>
          <w:rFonts w:ascii="Arial" w:hAnsi="Arial" w:cs="Arial"/>
          <w:noProof/>
          <w:sz w:val="16"/>
          <w:szCs w:val="16"/>
        </w:rPr>
        <w:t>http://statistici.insse.ro</w:t>
      </w:r>
    </w:p>
    <w:p w14:paraId="4655BD21" w14:textId="039B99E6" w:rsidR="00D87E0F" w:rsidRDefault="00BD3A3B" w:rsidP="00BD3A3B">
      <w:pPr>
        <w:pStyle w:val="Legend"/>
        <w:jc w:val="center"/>
        <w:rPr>
          <w:rFonts w:ascii="Arial" w:hAnsi="Arial" w:cs="Arial"/>
          <w:i w:val="0"/>
          <w:iCs w:val="0"/>
          <w:sz w:val="22"/>
          <w:szCs w:val="22"/>
        </w:rPr>
      </w:pPr>
      <w:bookmarkStart w:id="57" w:name="_Toc140744446"/>
      <w:r w:rsidRPr="00BD3A3B">
        <w:rPr>
          <w:rFonts w:ascii="Arial" w:hAnsi="Arial" w:cs="Arial"/>
          <w:sz w:val="22"/>
          <w:szCs w:val="22"/>
        </w:rPr>
        <w:t xml:space="preserve">Figura I.2. </w:t>
      </w:r>
      <w:r w:rsidRPr="00BD3A3B">
        <w:rPr>
          <w:rFonts w:ascii="Arial" w:hAnsi="Arial" w:cs="Arial"/>
          <w:sz w:val="22"/>
          <w:szCs w:val="22"/>
        </w:rPr>
        <w:fldChar w:fldCharType="begin"/>
      </w:r>
      <w:r w:rsidRPr="00BD3A3B">
        <w:rPr>
          <w:rFonts w:ascii="Arial" w:hAnsi="Arial" w:cs="Arial"/>
          <w:sz w:val="22"/>
          <w:szCs w:val="22"/>
        </w:rPr>
        <w:instrText xml:space="preserve"> SEQ Figura_I.2. \* ARABIC </w:instrText>
      </w:r>
      <w:r w:rsidRPr="00BD3A3B">
        <w:rPr>
          <w:rFonts w:ascii="Arial" w:hAnsi="Arial" w:cs="Arial"/>
          <w:sz w:val="22"/>
          <w:szCs w:val="22"/>
        </w:rPr>
        <w:fldChar w:fldCharType="separate"/>
      </w:r>
      <w:r w:rsidR="00BB181C">
        <w:rPr>
          <w:rFonts w:ascii="Arial" w:hAnsi="Arial" w:cs="Arial"/>
          <w:noProof/>
          <w:sz w:val="22"/>
          <w:szCs w:val="22"/>
        </w:rPr>
        <w:t>4</w:t>
      </w:r>
      <w:r w:rsidRPr="00BD3A3B">
        <w:rPr>
          <w:rFonts w:ascii="Arial" w:hAnsi="Arial" w:cs="Arial"/>
          <w:sz w:val="22"/>
          <w:szCs w:val="22"/>
        </w:rPr>
        <w:fldChar w:fldCharType="end"/>
      </w:r>
      <w:r w:rsidRPr="00BD3A3B">
        <w:rPr>
          <w:rFonts w:ascii="Arial" w:hAnsi="Arial" w:cs="Arial"/>
          <w:sz w:val="22"/>
          <w:szCs w:val="22"/>
        </w:rPr>
        <w:t xml:space="preserve"> </w:t>
      </w:r>
      <w:r w:rsidR="00236E01" w:rsidRPr="00BD3A3B">
        <w:rPr>
          <w:rFonts w:ascii="Arial" w:hAnsi="Arial" w:cs="Arial"/>
          <w:sz w:val="22"/>
          <w:szCs w:val="22"/>
        </w:rPr>
        <w:t>–</w:t>
      </w:r>
      <w:r w:rsidR="00D87E0F" w:rsidRPr="00BD3A3B">
        <w:rPr>
          <w:rFonts w:ascii="Arial" w:hAnsi="Arial" w:cs="Arial"/>
          <w:sz w:val="22"/>
          <w:szCs w:val="22"/>
        </w:rPr>
        <w:t xml:space="preserve"> </w:t>
      </w:r>
      <w:r w:rsidR="00236E01" w:rsidRPr="00BD3A3B">
        <w:rPr>
          <w:rFonts w:ascii="Arial" w:hAnsi="Arial" w:cs="Arial"/>
          <w:i w:val="0"/>
          <w:iCs w:val="0"/>
          <w:sz w:val="22"/>
          <w:szCs w:val="22"/>
        </w:rPr>
        <w:t xml:space="preserve">Distribuția populației </w:t>
      </w:r>
      <w:r w:rsidRPr="00BD3A3B">
        <w:rPr>
          <w:rFonts w:ascii="Arial" w:hAnsi="Arial" w:cs="Arial"/>
          <w:i w:val="0"/>
          <w:iCs w:val="0"/>
          <w:sz w:val="22"/>
          <w:szCs w:val="22"/>
        </w:rPr>
        <w:t>oraşului Horezu</w:t>
      </w:r>
      <w:r w:rsidR="00236E01" w:rsidRPr="00BD3A3B">
        <w:rPr>
          <w:rFonts w:ascii="Arial" w:hAnsi="Arial" w:cs="Arial"/>
          <w:i w:val="0"/>
          <w:iCs w:val="0"/>
          <w:sz w:val="22"/>
          <w:szCs w:val="22"/>
        </w:rPr>
        <w:t xml:space="preserve"> pe grupe de vârstă</w:t>
      </w:r>
      <w:r>
        <w:rPr>
          <w:rFonts w:ascii="Arial" w:hAnsi="Arial" w:cs="Arial"/>
          <w:i w:val="0"/>
          <w:iCs w:val="0"/>
          <w:sz w:val="22"/>
          <w:szCs w:val="22"/>
        </w:rPr>
        <w:t xml:space="preserve"> la 1 ianu</w:t>
      </w:r>
      <w:r w:rsidR="005911A2">
        <w:rPr>
          <w:rFonts w:ascii="Arial" w:hAnsi="Arial" w:cs="Arial"/>
          <w:i w:val="0"/>
          <w:iCs w:val="0"/>
          <w:sz w:val="22"/>
          <w:szCs w:val="22"/>
        </w:rPr>
        <w:t>a</w:t>
      </w:r>
      <w:r>
        <w:rPr>
          <w:rFonts w:ascii="Arial" w:hAnsi="Arial" w:cs="Arial"/>
          <w:i w:val="0"/>
          <w:iCs w:val="0"/>
          <w:sz w:val="22"/>
          <w:szCs w:val="22"/>
        </w:rPr>
        <w:t>rie 2021</w:t>
      </w:r>
      <w:bookmarkEnd w:id="57"/>
    </w:p>
    <w:p w14:paraId="624573ED" w14:textId="77777777" w:rsidR="00F96A1C" w:rsidRDefault="00F96A1C" w:rsidP="00F96A1C"/>
    <w:p w14:paraId="1D7D3C3E" w14:textId="77777777" w:rsidR="00F96A1C" w:rsidRPr="00F96A1C" w:rsidRDefault="00F96A1C" w:rsidP="00F96A1C"/>
    <w:p w14:paraId="687CD4A3" w14:textId="77777777" w:rsidR="0036208C" w:rsidRDefault="005911A2" w:rsidP="005911A2">
      <w:pPr>
        <w:spacing w:line="276" w:lineRule="auto"/>
        <w:jc w:val="center"/>
        <w:rPr>
          <w:rFonts w:ascii="Arial" w:hAnsi="Arial" w:cs="Arial"/>
        </w:rPr>
      </w:pPr>
      <w:r>
        <w:rPr>
          <w:noProof/>
        </w:rPr>
        <w:drawing>
          <wp:inline distT="0" distB="0" distL="0" distR="0" wp14:anchorId="1609D2A4" wp14:editId="11E28AEA">
            <wp:extent cx="5310188" cy="2976563"/>
            <wp:effectExtent l="0" t="0" r="5080" b="14605"/>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7F6614F" w14:textId="77777777" w:rsidR="00046939" w:rsidRDefault="00046939" w:rsidP="00046939">
      <w:pPr>
        <w:spacing w:line="276" w:lineRule="auto"/>
        <w:rPr>
          <w:rFonts w:ascii="Arial" w:hAnsi="Arial" w:cs="Arial"/>
        </w:rPr>
      </w:pPr>
      <w:r>
        <w:rPr>
          <w:rFonts w:ascii="Arial" w:hAnsi="Arial" w:cs="Arial"/>
          <w:noProof/>
          <w:sz w:val="16"/>
          <w:szCs w:val="16"/>
        </w:rPr>
        <w:t xml:space="preserve">              Sursa: </w:t>
      </w:r>
      <w:r w:rsidRPr="00BD3A3B">
        <w:rPr>
          <w:rFonts w:ascii="Arial" w:hAnsi="Arial" w:cs="Arial"/>
          <w:noProof/>
          <w:sz w:val="16"/>
          <w:szCs w:val="16"/>
        </w:rPr>
        <w:t>http://statistici.insse.ro</w:t>
      </w:r>
    </w:p>
    <w:p w14:paraId="61FFE359" w14:textId="31F25BDD" w:rsidR="00E87B81" w:rsidRDefault="005911A2" w:rsidP="005911A2">
      <w:pPr>
        <w:pStyle w:val="Legend"/>
        <w:jc w:val="center"/>
        <w:rPr>
          <w:rFonts w:ascii="Arial" w:hAnsi="Arial" w:cs="Arial"/>
          <w:i w:val="0"/>
          <w:iCs w:val="0"/>
          <w:sz w:val="22"/>
          <w:szCs w:val="22"/>
        </w:rPr>
      </w:pPr>
      <w:bookmarkStart w:id="58" w:name="_Toc140744447"/>
      <w:r w:rsidRPr="005911A2">
        <w:rPr>
          <w:rFonts w:ascii="Arial" w:hAnsi="Arial" w:cs="Arial"/>
          <w:sz w:val="22"/>
          <w:szCs w:val="22"/>
        </w:rPr>
        <w:t xml:space="preserve">Figura I.2. </w:t>
      </w:r>
      <w:r w:rsidRPr="005911A2">
        <w:rPr>
          <w:rFonts w:ascii="Arial" w:hAnsi="Arial" w:cs="Arial"/>
          <w:sz w:val="22"/>
          <w:szCs w:val="22"/>
        </w:rPr>
        <w:fldChar w:fldCharType="begin"/>
      </w:r>
      <w:r w:rsidRPr="005911A2">
        <w:rPr>
          <w:rFonts w:ascii="Arial" w:hAnsi="Arial" w:cs="Arial"/>
          <w:sz w:val="22"/>
          <w:szCs w:val="22"/>
        </w:rPr>
        <w:instrText xml:space="preserve"> SEQ Figura_I.2. \* ARABIC </w:instrText>
      </w:r>
      <w:r w:rsidRPr="005911A2">
        <w:rPr>
          <w:rFonts w:ascii="Arial" w:hAnsi="Arial" w:cs="Arial"/>
          <w:sz w:val="22"/>
          <w:szCs w:val="22"/>
        </w:rPr>
        <w:fldChar w:fldCharType="separate"/>
      </w:r>
      <w:r w:rsidR="00BB181C">
        <w:rPr>
          <w:rFonts w:ascii="Arial" w:hAnsi="Arial" w:cs="Arial"/>
          <w:noProof/>
          <w:sz w:val="22"/>
          <w:szCs w:val="22"/>
        </w:rPr>
        <w:t>5</w:t>
      </w:r>
      <w:r w:rsidRPr="005911A2">
        <w:rPr>
          <w:rFonts w:ascii="Arial" w:hAnsi="Arial" w:cs="Arial"/>
          <w:sz w:val="22"/>
          <w:szCs w:val="22"/>
        </w:rPr>
        <w:fldChar w:fldCharType="end"/>
      </w:r>
      <w:r w:rsidRPr="005911A2">
        <w:rPr>
          <w:rFonts w:ascii="Arial" w:hAnsi="Arial" w:cs="Arial"/>
          <w:sz w:val="22"/>
          <w:szCs w:val="22"/>
        </w:rPr>
        <w:t xml:space="preserve"> </w:t>
      </w:r>
      <w:r w:rsidR="00D87E0F" w:rsidRPr="005911A2">
        <w:rPr>
          <w:rFonts w:ascii="Arial" w:hAnsi="Arial" w:cs="Arial"/>
          <w:sz w:val="22"/>
          <w:szCs w:val="22"/>
        </w:rPr>
        <w:t xml:space="preserve">– </w:t>
      </w:r>
      <w:r w:rsidR="00D87E0F" w:rsidRPr="005911A2">
        <w:rPr>
          <w:rFonts w:ascii="Arial" w:hAnsi="Arial" w:cs="Arial"/>
          <w:i w:val="0"/>
          <w:iCs w:val="0"/>
          <w:sz w:val="22"/>
          <w:szCs w:val="22"/>
        </w:rPr>
        <w:t xml:space="preserve">Distribuția populației </w:t>
      </w:r>
      <w:r w:rsidRPr="005911A2">
        <w:rPr>
          <w:rFonts w:ascii="Arial" w:hAnsi="Arial" w:cs="Arial"/>
          <w:i w:val="0"/>
          <w:iCs w:val="0"/>
          <w:sz w:val="22"/>
          <w:szCs w:val="22"/>
        </w:rPr>
        <w:t>oraşului Horezu</w:t>
      </w:r>
      <w:r w:rsidR="00D87E0F" w:rsidRPr="005911A2">
        <w:rPr>
          <w:rFonts w:ascii="Arial" w:hAnsi="Arial" w:cs="Arial"/>
          <w:i w:val="0"/>
          <w:iCs w:val="0"/>
          <w:sz w:val="22"/>
          <w:szCs w:val="22"/>
        </w:rPr>
        <w:t xml:space="preserve"> pe grupe de vârstă</w:t>
      </w:r>
      <w:r w:rsidR="00236E01" w:rsidRPr="005911A2">
        <w:rPr>
          <w:rFonts w:ascii="Arial" w:hAnsi="Arial" w:cs="Arial"/>
          <w:i w:val="0"/>
          <w:iCs w:val="0"/>
          <w:sz w:val="22"/>
          <w:szCs w:val="22"/>
        </w:rPr>
        <w:t xml:space="preserve"> </w:t>
      </w:r>
      <w:r w:rsidRPr="005911A2">
        <w:rPr>
          <w:rFonts w:ascii="Arial" w:hAnsi="Arial" w:cs="Arial"/>
          <w:i w:val="0"/>
          <w:iCs w:val="0"/>
          <w:sz w:val="22"/>
          <w:szCs w:val="22"/>
        </w:rPr>
        <w:t>în perioada 2012-2021</w:t>
      </w:r>
      <w:bookmarkEnd w:id="58"/>
    </w:p>
    <w:p w14:paraId="30C1AA65" w14:textId="7DAE1D85" w:rsidR="008960F0" w:rsidRPr="008960F0" w:rsidRDefault="008960F0" w:rsidP="008960F0">
      <w:pPr>
        <w:pStyle w:val="Legend"/>
        <w:jc w:val="center"/>
        <w:rPr>
          <w:rFonts w:ascii="Arial" w:hAnsi="Arial" w:cs="Arial"/>
          <w:sz w:val="22"/>
          <w:szCs w:val="22"/>
        </w:rPr>
      </w:pPr>
      <w:bookmarkStart w:id="59" w:name="_Toc140744568"/>
      <w:r w:rsidRPr="008960F0">
        <w:rPr>
          <w:rFonts w:ascii="Arial" w:hAnsi="Arial" w:cs="Arial"/>
          <w:sz w:val="22"/>
          <w:szCs w:val="22"/>
        </w:rPr>
        <w:t xml:space="preserve">Tabel I.2. </w:t>
      </w:r>
      <w:r w:rsidRPr="008960F0">
        <w:rPr>
          <w:rFonts w:ascii="Arial" w:hAnsi="Arial" w:cs="Arial"/>
          <w:sz w:val="22"/>
          <w:szCs w:val="22"/>
        </w:rPr>
        <w:fldChar w:fldCharType="begin"/>
      </w:r>
      <w:r w:rsidRPr="008960F0">
        <w:rPr>
          <w:rFonts w:ascii="Arial" w:hAnsi="Arial" w:cs="Arial"/>
          <w:sz w:val="22"/>
          <w:szCs w:val="22"/>
        </w:rPr>
        <w:instrText xml:space="preserve"> SEQ Tabel_I.2. \* ARABIC </w:instrText>
      </w:r>
      <w:r w:rsidRPr="008960F0">
        <w:rPr>
          <w:rFonts w:ascii="Arial" w:hAnsi="Arial" w:cs="Arial"/>
          <w:sz w:val="22"/>
          <w:szCs w:val="22"/>
        </w:rPr>
        <w:fldChar w:fldCharType="separate"/>
      </w:r>
      <w:r w:rsidR="00BB181C">
        <w:rPr>
          <w:rFonts w:ascii="Arial" w:hAnsi="Arial" w:cs="Arial"/>
          <w:noProof/>
          <w:sz w:val="22"/>
          <w:szCs w:val="22"/>
        </w:rPr>
        <w:t>2</w:t>
      </w:r>
      <w:r w:rsidRPr="008960F0">
        <w:rPr>
          <w:rFonts w:ascii="Arial" w:hAnsi="Arial" w:cs="Arial"/>
          <w:sz w:val="22"/>
          <w:szCs w:val="22"/>
        </w:rPr>
        <w:fldChar w:fldCharType="end"/>
      </w:r>
      <w:r w:rsidRPr="008960F0">
        <w:rPr>
          <w:rFonts w:ascii="Arial" w:hAnsi="Arial" w:cs="Arial"/>
          <w:sz w:val="22"/>
          <w:szCs w:val="22"/>
        </w:rPr>
        <w:t xml:space="preserve"> - </w:t>
      </w:r>
      <w:r w:rsidRPr="008960F0">
        <w:rPr>
          <w:rFonts w:ascii="Arial" w:hAnsi="Arial" w:cs="Arial"/>
          <w:i w:val="0"/>
          <w:sz w:val="22"/>
          <w:szCs w:val="22"/>
        </w:rPr>
        <w:t>Populaţia după domiciliu la 1 ianuarie pe grupe de vârstă 2012-2021</w:t>
      </w:r>
      <w:bookmarkEnd w:id="59"/>
    </w:p>
    <w:tbl>
      <w:tblPr>
        <w:tblW w:w="4429" w:type="pct"/>
        <w:jc w:val="center"/>
        <w:tblLayout w:type="fixed"/>
        <w:tblCellMar>
          <w:top w:w="75" w:type="dxa"/>
          <w:left w:w="75" w:type="dxa"/>
          <w:bottom w:w="75" w:type="dxa"/>
          <w:right w:w="75" w:type="dxa"/>
        </w:tblCellMar>
        <w:tblLook w:val="04A0" w:firstRow="1" w:lastRow="0" w:firstColumn="1" w:lastColumn="0" w:noHBand="0" w:noVBand="1"/>
      </w:tblPr>
      <w:tblGrid>
        <w:gridCol w:w="932"/>
        <w:gridCol w:w="549"/>
        <w:gridCol w:w="312"/>
        <w:gridCol w:w="459"/>
        <w:gridCol w:w="90"/>
        <w:gridCol w:w="539"/>
        <w:gridCol w:w="232"/>
        <w:gridCol w:w="476"/>
        <w:gridCol w:w="68"/>
        <w:gridCol w:w="618"/>
        <w:gridCol w:w="54"/>
        <w:gridCol w:w="642"/>
        <w:gridCol w:w="700"/>
        <w:gridCol w:w="615"/>
        <w:gridCol w:w="660"/>
        <w:gridCol w:w="688"/>
        <w:gridCol w:w="1025"/>
      </w:tblGrid>
      <w:tr w:rsidR="00F17679" w:rsidRPr="008960F0" w14:paraId="2B8C6294" w14:textId="77777777" w:rsidTr="00046939">
        <w:trPr>
          <w:tblHeader/>
          <w:jc w:val="center"/>
        </w:trPr>
        <w:tc>
          <w:tcPr>
            <w:tcW w:w="539" w:type="pct"/>
            <w:vMerge w:val="restar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0B2AF19" w14:textId="77777777" w:rsidR="00102727" w:rsidRPr="008960F0" w:rsidRDefault="00102727" w:rsidP="008960F0">
            <w:pPr>
              <w:spacing w:before="150" w:after="150" w:line="240" w:lineRule="auto"/>
              <w:jc w:val="center"/>
              <w:rPr>
                <w:rFonts w:ascii="Arial" w:eastAsia="Times New Roman" w:hAnsi="Arial" w:cs="Arial"/>
                <w:b/>
                <w:bCs/>
                <w:color w:val="000000"/>
                <w:sz w:val="20"/>
                <w:szCs w:val="20"/>
              </w:rPr>
            </w:pPr>
            <w:r w:rsidRPr="008960F0">
              <w:rPr>
                <w:rFonts w:ascii="Arial" w:eastAsia="Times New Roman" w:hAnsi="Arial" w:cs="Arial"/>
                <w:b/>
                <w:bCs/>
                <w:color w:val="000000"/>
                <w:sz w:val="20"/>
                <w:szCs w:val="20"/>
              </w:rPr>
              <w:lastRenderedPageBreak/>
              <w:t>Vârste şi grupe de vârstă</w:t>
            </w:r>
          </w:p>
        </w:tc>
        <w:tc>
          <w:tcPr>
            <w:tcW w:w="317"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1F413B8"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2012</w:t>
            </w:r>
          </w:p>
        </w:tc>
        <w:tc>
          <w:tcPr>
            <w:tcW w:w="445" w:type="pct"/>
            <w:gridSpan w:val="2"/>
            <w:tcBorders>
              <w:top w:val="single" w:sz="6" w:space="0" w:color="FAFAFA"/>
              <w:left w:val="single" w:sz="6" w:space="0" w:color="FAFAFA"/>
              <w:bottom w:val="single" w:sz="6" w:space="0" w:color="CCCCCC"/>
              <w:right w:val="single" w:sz="6" w:space="0" w:color="CCCCCC"/>
            </w:tcBorders>
            <w:shd w:val="clear" w:color="auto" w:fill="auto"/>
            <w:vAlign w:val="center"/>
          </w:tcPr>
          <w:p w14:paraId="7BA5582D"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2013</w:t>
            </w:r>
          </w:p>
        </w:tc>
        <w:tc>
          <w:tcPr>
            <w:tcW w:w="363" w:type="pct"/>
            <w:gridSpan w:val="2"/>
            <w:tcBorders>
              <w:top w:val="single" w:sz="6" w:space="0" w:color="FAFAFA"/>
              <w:left w:val="single" w:sz="6" w:space="0" w:color="FAFAFA"/>
              <w:bottom w:val="single" w:sz="6" w:space="0" w:color="CCCCCC"/>
              <w:right w:val="single" w:sz="6" w:space="0" w:color="CCCCCC"/>
            </w:tcBorders>
            <w:shd w:val="clear" w:color="auto" w:fill="auto"/>
            <w:vAlign w:val="center"/>
          </w:tcPr>
          <w:p w14:paraId="1134AA7D"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2014</w:t>
            </w:r>
          </w:p>
        </w:tc>
        <w:tc>
          <w:tcPr>
            <w:tcW w:w="409" w:type="pct"/>
            <w:gridSpan w:val="2"/>
            <w:tcBorders>
              <w:top w:val="single" w:sz="6" w:space="0" w:color="FAFAFA"/>
              <w:left w:val="single" w:sz="6" w:space="0" w:color="FAFAFA"/>
              <w:bottom w:val="single" w:sz="6" w:space="0" w:color="CCCCCC"/>
              <w:right w:val="single" w:sz="6" w:space="0" w:color="CCCCCC"/>
            </w:tcBorders>
            <w:shd w:val="clear" w:color="auto" w:fill="auto"/>
            <w:vAlign w:val="center"/>
          </w:tcPr>
          <w:p w14:paraId="2C7D45DE"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2015</w:t>
            </w:r>
          </w:p>
        </w:tc>
        <w:tc>
          <w:tcPr>
            <w:tcW w:w="396" w:type="pct"/>
            <w:gridSpan w:val="2"/>
            <w:tcBorders>
              <w:top w:val="single" w:sz="6" w:space="0" w:color="FAFAFA"/>
              <w:left w:val="single" w:sz="6" w:space="0" w:color="FAFAFA"/>
              <w:bottom w:val="single" w:sz="6" w:space="0" w:color="CCCCCC"/>
              <w:right w:val="single" w:sz="6" w:space="0" w:color="CCCCCC"/>
            </w:tcBorders>
            <w:shd w:val="clear" w:color="auto" w:fill="auto"/>
            <w:vAlign w:val="center"/>
          </w:tcPr>
          <w:p w14:paraId="5CEE21ED"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2016</w:t>
            </w:r>
          </w:p>
        </w:tc>
        <w:tc>
          <w:tcPr>
            <w:tcW w:w="402" w:type="pct"/>
            <w:gridSpan w:val="2"/>
            <w:tcBorders>
              <w:top w:val="single" w:sz="6" w:space="0" w:color="FAFAFA"/>
              <w:left w:val="single" w:sz="6" w:space="0" w:color="FAFAFA"/>
              <w:bottom w:val="single" w:sz="6" w:space="0" w:color="CCCCCC"/>
              <w:right w:val="single" w:sz="6" w:space="0" w:color="CCCCCC"/>
            </w:tcBorders>
            <w:shd w:val="clear" w:color="auto" w:fill="auto"/>
            <w:vAlign w:val="center"/>
          </w:tcPr>
          <w:p w14:paraId="3698577E"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2017</w:t>
            </w:r>
          </w:p>
        </w:tc>
        <w:tc>
          <w:tcPr>
            <w:tcW w:w="404" w:type="pct"/>
            <w:tcBorders>
              <w:top w:val="single" w:sz="6" w:space="0" w:color="FAFAFA"/>
              <w:left w:val="single" w:sz="6" w:space="0" w:color="FAFAFA"/>
              <w:bottom w:val="single" w:sz="6" w:space="0" w:color="CCCCCC"/>
              <w:right w:val="single" w:sz="6" w:space="0" w:color="CCCCCC"/>
            </w:tcBorders>
            <w:shd w:val="clear" w:color="auto" w:fill="auto"/>
            <w:vAlign w:val="center"/>
          </w:tcPr>
          <w:p w14:paraId="0D6140D0"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2018</w:t>
            </w:r>
          </w:p>
        </w:tc>
        <w:tc>
          <w:tcPr>
            <w:tcW w:w="355" w:type="pct"/>
            <w:tcBorders>
              <w:top w:val="single" w:sz="6" w:space="0" w:color="FAFAFA"/>
              <w:left w:val="single" w:sz="6" w:space="0" w:color="FAFAFA"/>
              <w:bottom w:val="single" w:sz="6" w:space="0" w:color="CCCCCC"/>
              <w:right w:val="single" w:sz="6" w:space="0" w:color="CCCCCC"/>
            </w:tcBorders>
            <w:shd w:val="clear" w:color="auto" w:fill="auto"/>
            <w:vAlign w:val="center"/>
          </w:tcPr>
          <w:p w14:paraId="67001C57"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2019</w:t>
            </w:r>
          </w:p>
        </w:tc>
        <w:tc>
          <w:tcPr>
            <w:tcW w:w="381" w:type="pct"/>
            <w:tcBorders>
              <w:top w:val="single" w:sz="6" w:space="0" w:color="FAFAFA"/>
              <w:left w:val="single" w:sz="6" w:space="0" w:color="FAFAFA"/>
              <w:bottom w:val="single" w:sz="6" w:space="0" w:color="CCCCCC"/>
              <w:right w:val="single" w:sz="6" w:space="0" w:color="CCCCCC"/>
            </w:tcBorders>
            <w:shd w:val="clear" w:color="auto" w:fill="auto"/>
            <w:vAlign w:val="center"/>
          </w:tcPr>
          <w:p w14:paraId="0A4C18F7"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2020</w:t>
            </w:r>
          </w:p>
        </w:tc>
        <w:tc>
          <w:tcPr>
            <w:tcW w:w="397" w:type="pct"/>
            <w:tcBorders>
              <w:top w:val="single" w:sz="6" w:space="0" w:color="FAFAFA"/>
              <w:left w:val="single" w:sz="6" w:space="0" w:color="FAFAFA"/>
              <w:bottom w:val="single" w:sz="6" w:space="0" w:color="CCCCCC"/>
              <w:right w:val="single" w:sz="6" w:space="0" w:color="CCCCCC"/>
            </w:tcBorders>
            <w:shd w:val="clear" w:color="auto" w:fill="auto"/>
            <w:vAlign w:val="center"/>
          </w:tcPr>
          <w:p w14:paraId="246669AA" w14:textId="77777777" w:rsidR="00102727" w:rsidRPr="008960F0" w:rsidRDefault="00F17679" w:rsidP="008960F0">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An 2021</w:t>
            </w:r>
          </w:p>
        </w:tc>
        <w:tc>
          <w:tcPr>
            <w:tcW w:w="592" w:type="pct"/>
            <w:vMerge w:val="restart"/>
            <w:tcBorders>
              <w:top w:val="single" w:sz="6" w:space="0" w:color="FAFAFA"/>
              <w:left w:val="single" w:sz="6" w:space="0" w:color="FAFAFA"/>
              <w:right w:val="single" w:sz="6" w:space="0" w:color="CCCCCC"/>
            </w:tcBorders>
            <w:shd w:val="clear" w:color="auto" w:fill="auto"/>
            <w:vAlign w:val="center"/>
          </w:tcPr>
          <w:p w14:paraId="07F05F80" w14:textId="77777777" w:rsidR="00102727" w:rsidRPr="008960F0" w:rsidRDefault="00102727" w:rsidP="008960F0">
            <w:pPr>
              <w:spacing w:before="150" w:after="150" w:line="240" w:lineRule="auto"/>
              <w:jc w:val="center"/>
              <w:rPr>
                <w:rFonts w:ascii="Arial" w:eastAsia="Times New Roman" w:hAnsi="Arial" w:cs="Arial"/>
                <w:b/>
                <w:bCs/>
                <w:color w:val="000000"/>
                <w:sz w:val="20"/>
                <w:szCs w:val="20"/>
              </w:rPr>
            </w:pPr>
            <w:r w:rsidRPr="008960F0">
              <w:rPr>
                <w:rFonts w:ascii="Arial" w:eastAsia="Times New Roman" w:hAnsi="Arial" w:cs="Arial"/>
                <w:b/>
                <w:bCs/>
                <w:color w:val="000000"/>
                <w:sz w:val="20"/>
                <w:szCs w:val="20"/>
              </w:rPr>
              <w:t>Rata de creştere</w:t>
            </w:r>
          </w:p>
        </w:tc>
      </w:tr>
      <w:tr w:rsidR="00F17679" w:rsidRPr="008960F0" w14:paraId="62B868FD" w14:textId="77777777" w:rsidTr="00046939">
        <w:trPr>
          <w:trHeight w:val="287"/>
          <w:tblHeader/>
          <w:jc w:val="center"/>
        </w:trPr>
        <w:tc>
          <w:tcPr>
            <w:tcW w:w="539" w:type="pct"/>
            <w:vMerge/>
            <w:tcBorders>
              <w:top w:val="single" w:sz="6" w:space="0" w:color="FAFAFA"/>
              <w:left w:val="single" w:sz="6" w:space="0" w:color="FAFAFA"/>
              <w:bottom w:val="single" w:sz="6" w:space="0" w:color="CCCCCC"/>
              <w:right w:val="single" w:sz="6" w:space="0" w:color="CCCCCC"/>
            </w:tcBorders>
            <w:shd w:val="clear" w:color="auto" w:fill="auto"/>
            <w:vAlign w:val="center"/>
            <w:hideMark/>
          </w:tcPr>
          <w:p w14:paraId="43AEA0A1" w14:textId="77777777" w:rsidR="00F17679" w:rsidRPr="008960F0" w:rsidRDefault="00F17679" w:rsidP="008960F0">
            <w:pPr>
              <w:spacing w:before="150" w:after="150" w:line="240" w:lineRule="auto"/>
              <w:rPr>
                <w:rFonts w:ascii="Arial" w:eastAsia="Times New Roman" w:hAnsi="Arial" w:cs="Arial"/>
                <w:bCs/>
                <w:color w:val="000000"/>
                <w:sz w:val="20"/>
                <w:szCs w:val="20"/>
              </w:rPr>
            </w:pPr>
          </w:p>
        </w:tc>
        <w:tc>
          <w:tcPr>
            <w:tcW w:w="3869" w:type="pct"/>
            <w:gridSpan w:val="15"/>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tcPr>
          <w:p w14:paraId="1D552AAA" w14:textId="77777777" w:rsidR="00F17679" w:rsidRPr="00102727" w:rsidRDefault="00F17679" w:rsidP="00F17679">
            <w:pPr>
              <w:spacing w:before="150" w:after="150" w:line="240" w:lineRule="auto"/>
              <w:jc w:val="center"/>
              <w:rPr>
                <w:rFonts w:ascii="Arial" w:eastAsia="Times New Roman" w:hAnsi="Arial" w:cs="Arial"/>
                <w:b/>
                <w:bCs/>
                <w:color w:val="000000"/>
                <w:sz w:val="20"/>
                <w:szCs w:val="20"/>
              </w:rPr>
            </w:pPr>
            <w:r w:rsidRPr="008960F0">
              <w:rPr>
                <w:rFonts w:ascii="Arial" w:eastAsia="Times New Roman" w:hAnsi="Arial" w:cs="Arial"/>
                <w:b/>
                <w:bCs/>
                <w:color w:val="000000"/>
                <w:sz w:val="20"/>
                <w:szCs w:val="20"/>
              </w:rPr>
              <w:t>UM: Număr persoane</w:t>
            </w:r>
          </w:p>
        </w:tc>
        <w:tc>
          <w:tcPr>
            <w:tcW w:w="592" w:type="pct"/>
            <w:vMerge/>
            <w:tcBorders>
              <w:left w:val="single" w:sz="6" w:space="0" w:color="FAFAFA"/>
              <w:right w:val="single" w:sz="6" w:space="0" w:color="CCCCCC"/>
            </w:tcBorders>
            <w:shd w:val="clear" w:color="auto" w:fill="auto"/>
          </w:tcPr>
          <w:p w14:paraId="67527DFE" w14:textId="77777777" w:rsidR="00F17679" w:rsidRPr="008960F0" w:rsidRDefault="00F17679" w:rsidP="008960F0">
            <w:pPr>
              <w:spacing w:before="150" w:after="150" w:line="240" w:lineRule="auto"/>
              <w:rPr>
                <w:rFonts w:ascii="Arial" w:eastAsia="Times New Roman" w:hAnsi="Arial" w:cs="Arial"/>
                <w:bCs/>
                <w:color w:val="000000"/>
                <w:sz w:val="20"/>
                <w:szCs w:val="20"/>
              </w:rPr>
            </w:pPr>
          </w:p>
        </w:tc>
      </w:tr>
      <w:tr w:rsidR="00F17679" w:rsidRPr="008960F0" w14:paraId="36078632"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7A0AB71"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0- 4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9DDFFB7"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334</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4A7FE5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304</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BD67C1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301</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E648389"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293</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116E32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290</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6162F5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281</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C229EA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289</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72C5CA9"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281</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BEB6E87"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272</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1FBEE3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265</w:t>
            </w:r>
          </w:p>
        </w:tc>
        <w:tc>
          <w:tcPr>
            <w:tcW w:w="592" w:type="pct"/>
            <w:tcBorders>
              <w:top w:val="nil"/>
              <w:left w:val="nil"/>
              <w:bottom w:val="single" w:sz="6" w:space="0" w:color="CCCCCC"/>
              <w:right w:val="single" w:sz="6" w:space="0" w:color="CCCCCC"/>
            </w:tcBorders>
            <w:shd w:val="clear" w:color="auto" w:fill="auto"/>
            <w:vAlign w:val="center"/>
          </w:tcPr>
          <w:p w14:paraId="28ED634F" w14:textId="77777777" w:rsidR="008960F0" w:rsidRPr="008960F0" w:rsidRDefault="00102727" w:rsidP="008960F0">
            <w:pPr>
              <w:spacing w:before="150" w:after="150" w:line="240" w:lineRule="auto"/>
              <w:jc w:val="right"/>
              <w:rPr>
                <w:rFonts w:ascii="Arial" w:eastAsia="Times New Roman" w:hAnsi="Arial" w:cs="Arial"/>
                <w:color w:val="000000"/>
                <w:sz w:val="20"/>
                <w:szCs w:val="20"/>
                <w:u w:val="single"/>
              </w:rPr>
            </w:pPr>
            <w:r>
              <w:rPr>
                <w:rFonts w:ascii="Arial" w:eastAsia="Times New Roman" w:hAnsi="Arial" w:cs="Arial"/>
                <w:color w:val="000000"/>
                <w:sz w:val="20"/>
                <w:szCs w:val="20"/>
                <w:u w:val="single"/>
              </w:rPr>
              <w:t>-20,66</w:t>
            </w:r>
          </w:p>
        </w:tc>
      </w:tr>
      <w:tr w:rsidR="00F17679" w:rsidRPr="008960F0" w14:paraId="3B234692"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9B4045A"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5- 9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A17E8E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381</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24DE71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361</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1A63D2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341</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1851A6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350</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A52801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331</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A07CAD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321</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7FC881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304</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DFCF3B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301</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C1E201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293</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AC1510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286</w:t>
            </w:r>
          </w:p>
        </w:tc>
        <w:tc>
          <w:tcPr>
            <w:tcW w:w="592" w:type="pct"/>
            <w:tcBorders>
              <w:top w:val="nil"/>
              <w:left w:val="nil"/>
              <w:bottom w:val="single" w:sz="6" w:space="0" w:color="CCCCCC"/>
              <w:right w:val="single" w:sz="6" w:space="0" w:color="CCCCCC"/>
            </w:tcBorders>
            <w:shd w:val="clear" w:color="auto" w:fill="auto"/>
            <w:vAlign w:val="center"/>
          </w:tcPr>
          <w:p w14:paraId="254DF7AC" w14:textId="77777777" w:rsidR="008960F0" w:rsidRPr="008960F0" w:rsidRDefault="00102727" w:rsidP="008960F0">
            <w:pPr>
              <w:spacing w:before="150" w:after="150" w:line="240" w:lineRule="auto"/>
              <w:jc w:val="right"/>
              <w:rPr>
                <w:rFonts w:ascii="Arial" w:eastAsia="Times New Roman" w:hAnsi="Arial" w:cs="Arial"/>
                <w:color w:val="000000"/>
                <w:sz w:val="20"/>
                <w:szCs w:val="20"/>
                <w:u w:val="single"/>
              </w:rPr>
            </w:pPr>
            <w:r>
              <w:rPr>
                <w:rFonts w:ascii="Arial" w:eastAsia="Times New Roman" w:hAnsi="Arial" w:cs="Arial"/>
                <w:color w:val="000000"/>
                <w:sz w:val="20"/>
                <w:szCs w:val="20"/>
                <w:u w:val="single"/>
              </w:rPr>
              <w:t>-24,93</w:t>
            </w:r>
          </w:p>
        </w:tc>
      </w:tr>
      <w:tr w:rsidR="00F17679" w:rsidRPr="008960F0" w14:paraId="0F8DA124"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35714A6"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10-14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EBFF45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366</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50D140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375</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1C7393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388</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2EC0FC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387</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525789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372</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98F2C8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362</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4AB95A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352</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597F48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334</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18C3A2D"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342</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BA0C27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331</w:t>
            </w:r>
          </w:p>
        </w:tc>
        <w:tc>
          <w:tcPr>
            <w:tcW w:w="592" w:type="pct"/>
            <w:tcBorders>
              <w:top w:val="nil"/>
              <w:left w:val="nil"/>
              <w:bottom w:val="single" w:sz="6" w:space="0" w:color="CCCCCC"/>
              <w:right w:val="single" w:sz="6" w:space="0" w:color="CCCCCC"/>
            </w:tcBorders>
            <w:shd w:val="clear" w:color="auto" w:fill="auto"/>
            <w:vAlign w:val="center"/>
          </w:tcPr>
          <w:p w14:paraId="31511B35" w14:textId="77777777" w:rsidR="008960F0" w:rsidRPr="008960F0" w:rsidRDefault="00102727" w:rsidP="008960F0">
            <w:pPr>
              <w:spacing w:before="150" w:after="150" w:line="240" w:lineRule="auto"/>
              <w:jc w:val="right"/>
              <w:rPr>
                <w:rFonts w:ascii="Arial" w:eastAsia="Times New Roman" w:hAnsi="Arial" w:cs="Arial"/>
                <w:color w:val="000000"/>
                <w:sz w:val="20"/>
                <w:szCs w:val="20"/>
                <w:u w:val="single"/>
              </w:rPr>
            </w:pPr>
            <w:r>
              <w:rPr>
                <w:rFonts w:ascii="Arial" w:eastAsia="Times New Roman" w:hAnsi="Arial" w:cs="Arial"/>
                <w:color w:val="000000"/>
                <w:sz w:val="20"/>
                <w:szCs w:val="20"/>
                <w:u w:val="single"/>
              </w:rPr>
              <w:t>-9,56</w:t>
            </w:r>
          </w:p>
        </w:tc>
      </w:tr>
      <w:tr w:rsidR="00F17679" w:rsidRPr="008960F0" w14:paraId="73A2AD24"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76B903C"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15-19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489237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392</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C21712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368</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9FDD8F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343</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A79CE6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324</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DF1231C"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328</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6DCB82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338</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C914E8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354</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D7DE71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377</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216F54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383</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5CBBCA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387</w:t>
            </w:r>
          </w:p>
        </w:tc>
        <w:tc>
          <w:tcPr>
            <w:tcW w:w="592" w:type="pct"/>
            <w:tcBorders>
              <w:top w:val="nil"/>
              <w:left w:val="nil"/>
              <w:bottom w:val="single" w:sz="6" w:space="0" w:color="CCCCCC"/>
              <w:right w:val="single" w:sz="6" w:space="0" w:color="CCCCCC"/>
            </w:tcBorders>
            <w:shd w:val="clear" w:color="auto" w:fill="auto"/>
            <w:vAlign w:val="center"/>
          </w:tcPr>
          <w:p w14:paraId="6410CD59" w14:textId="77777777" w:rsidR="008960F0" w:rsidRPr="008960F0" w:rsidRDefault="00102727" w:rsidP="008960F0">
            <w:pPr>
              <w:spacing w:before="150" w:after="150" w:line="240" w:lineRule="auto"/>
              <w:jc w:val="right"/>
              <w:rPr>
                <w:rFonts w:ascii="Arial" w:eastAsia="Times New Roman" w:hAnsi="Arial" w:cs="Arial"/>
                <w:color w:val="000000"/>
                <w:sz w:val="20"/>
                <w:szCs w:val="20"/>
                <w:u w:val="single"/>
              </w:rPr>
            </w:pPr>
            <w:r>
              <w:rPr>
                <w:rFonts w:ascii="Arial" w:eastAsia="Times New Roman" w:hAnsi="Arial" w:cs="Arial"/>
                <w:color w:val="000000"/>
                <w:sz w:val="20"/>
                <w:szCs w:val="20"/>
                <w:u w:val="single"/>
              </w:rPr>
              <w:t>-1,28</w:t>
            </w:r>
          </w:p>
        </w:tc>
      </w:tr>
      <w:tr w:rsidR="00F17679" w:rsidRPr="008960F0" w14:paraId="4FD53F82"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2D927CD"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20-24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FD8C8B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624</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A98641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567</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344201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535</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78F0CFD"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486</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5F1ED1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428</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D21B1D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400</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0B09C8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360</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272115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346</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D10A4E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329</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29216E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327</w:t>
            </w:r>
          </w:p>
        </w:tc>
        <w:tc>
          <w:tcPr>
            <w:tcW w:w="592" w:type="pct"/>
            <w:tcBorders>
              <w:top w:val="nil"/>
              <w:left w:val="nil"/>
              <w:bottom w:val="single" w:sz="6" w:space="0" w:color="CCCCCC"/>
              <w:right w:val="single" w:sz="6" w:space="0" w:color="CCCCCC"/>
            </w:tcBorders>
            <w:shd w:val="clear" w:color="auto" w:fill="auto"/>
            <w:vAlign w:val="center"/>
          </w:tcPr>
          <w:p w14:paraId="098509CA" w14:textId="77777777" w:rsidR="008960F0" w:rsidRPr="008960F0" w:rsidRDefault="00102727" w:rsidP="008960F0">
            <w:pPr>
              <w:spacing w:before="150" w:after="150" w:line="240" w:lineRule="auto"/>
              <w:jc w:val="right"/>
              <w:rPr>
                <w:rFonts w:ascii="Arial" w:eastAsia="Times New Roman" w:hAnsi="Arial" w:cs="Arial"/>
                <w:color w:val="000000"/>
                <w:sz w:val="20"/>
                <w:szCs w:val="20"/>
                <w:u w:val="single"/>
              </w:rPr>
            </w:pPr>
            <w:r>
              <w:rPr>
                <w:rFonts w:ascii="Arial" w:eastAsia="Times New Roman" w:hAnsi="Arial" w:cs="Arial"/>
                <w:color w:val="000000"/>
                <w:sz w:val="20"/>
                <w:szCs w:val="20"/>
                <w:u w:val="single"/>
              </w:rPr>
              <w:t>-47,60</w:t>
            </w:r>
          </w:p>
        </w:tc>
      </w:tr>
      <w:tr w:rsidR="00F17679" w:rsidRPr="008960F0" w14:paraId="6BE82B69"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2F22FC0"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25-29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01EA43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540</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28E355C"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541</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4A1D56C"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541</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F85899D"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575</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0FD562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582</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1DE00D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554</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CD2EB3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525</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296257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495</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527746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442</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5A9AC7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394</w:t>
            </w:r>
          </w:p>
        </w:tc>
        <w:tc>
          <w:tcPr>
            <w:tcW w:w="592" w:type="pct"/>
            <w:tcBorders>
              <w:top w:val="nil"/>
              <w:left w:val="nil"/>
              <w:bottom w:val="single" w:sz="6" w:space="0" w:color="CCCCCC"/>
              <w:right w:val="single" w:sz="6" w:space="0" w:color="CCCCCC"/>
            </w:tcBorders>
            <w:shd w:val="clear" w:color="auto" w:fill="auto"/>
            <w:vAlign w:val="center"/>
          </w:tcPr>
          <w:p w14:paraId="494B617F" w14:textId="77777777" w:rsidR="008960F0" w:rsidRPr="008960F0" w:rsidRDefault="00102727" w:rsidP="008960F0">
            <w:pPr>
              <w:spacing w:before="150" w:after="150" w:line="240" w:lineRule="auto"/>
              <w:jc w:val="right"/>
              <w:rPr>
                <w:rFonts w:ascii="Arial" w:eastAsia="Times New Roman" w:hAnsi="Arial" w:cs="Arial"/>
                <w:color w:val="000000"/>
                <w:sz w:val="20"/>
                <w:szCs w:val="20"/>
                <w:u w:val="single"/>
              </w:rPr>
            </w:pPr>
            <w:r>
              <w:rPr>
                <w:rFonts w:ascii="Arial" w:eastAsia="Times New Roman" w:hAnsi="Arial" w:cs="Arial"/>
                <w:color w:val="000000"/>
                <w:sz w:val="20"/>
                <w:szCs w:val="20"/>
                <w:u w:val="single"/>
              </w:rPr>
              <w:t>-27,04</w:t>
            </w:r>
          </w:p>
        </w:tc>
      </w:tr>
      <w:tr w:rsidR="00F17679" w:rsidRPr="008960F0" w14:paraId="3915EE68"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4D65906"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30-34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E221B0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498</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D73282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506</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5D7D63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501</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4415CA9"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452</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A8C9C1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450</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F4C9F8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475</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991E0D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485</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C6B017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483</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02484B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529</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403CFF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525</w:t>
            </w:r>
          </w:p>
        </w:tc>
        <w:tc>
          <w:tcPr>
            <w:tcW w:w="592" w:type="pct"/>
            <w:tcBorders>
              <w:top w:val="nil"/>
              <w:left w:val="nil"/>
              <w:bottom w:val="single" w:sz="6" w:space="0" w:color="CCCCCC"/>
              <w:right w:val="single" w:sz="6" w:space="0" w:color="CCCCCC"/>
            </w:tcBorders>
            <w:shd w:val="clear" w:color="auto" w:fill="auto"/>
            <w:vAlign w:val="center"/>
          </w:tcPr>
          <w:p w14:paraId="614F44F9" w14:textId="77777777" w:rsidR="008960F0" w:rsidRPr="008960F0" w:rsidRDefault="00102727" w:rsidP="008960F0">
            <w:pPr>
              <w:spacing w:before="150" w:after="150" w:line="240" w:lineRule="auto"/>
              <w:jc w:val="right"/>
              <w:rPr>
                <w:rFonts w:ascii="Arial" w:eastAsia="Times New Roman" w:hAnsi="Arial" w:cs="Arial"/>
                <w:color w:val="000000"/>
                <w:sz w:val="20"/>
                <w:szCs w:val="20"/>
                <w:u w:val="single"/>
              </w:rPr>
            </w:pPr>
            <w:r>
              <w:rPr>
                <w:rFonts w:ascii="Arial" w:eastAsia="Times New Roman" w:hAnsi="Arial" w:cs="Arial"/>
                <w:color w:val="000000"/>
                <w:sz w:val="20"/>
                <w:szCs w:val="20"/>
                <w:u w:val="single"/>
              </w:rPr>
              <w:t>5,42</w:t>
            </w:r>
          </w:p>
        </w:tc>
      </w:tr>
      <w:tr w:rsidR="00F17679" w:rsidRPr="008960F0" w14:paraId="43A6B7BC"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967DF7B"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35-39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0F5210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528</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7014EA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524</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8343F1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526</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764C23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529</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F7CDEE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509</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47F181C"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483</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ACCB0D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491</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9A899D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467</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423C63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426</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B7833C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426</w:t>
            </w:r>
          </w:p>
        </w:tc>
        <w:tc>
          <w:tcPr>
            <w:tcW w:w="592" w:type="pct"/>
            <w:tcBorders>
              <w:top w:val="nil"/>
              <w:left w:val="nil"/>
              <w:bottom w:val="single" w:sz="6" w:space="0" w:color="CCCCCC"/>
              <w:right w:val="single" w:sz="6" w:space="0" w:color="CCCCCC"/>
            </w:tcBorders>
            <w:shd w:val="clear" w:color="auto" w:fill="auto"/>
            <w:vAlign w:val="center"/>
          </w:tcPr>
          <w:p w14:paraId="2D662BB0" w14:textId="77777777" w:rsidR="008960F0" w:rsidRPr="008960F0" w:rsidRDefault="00102727" w:rsidP="008960F0">
            <w:pPr>
              <w:spacing w:before="150" w:after="150" w:line="240" w:lineRule="auto"/>
              <w:jc w:val="right"/>
              <w:rPr>
                <w:rFonts w:ascii="Arial" w:eastAsia="Times New Roman" w:hAnsi="Arial" w:cs="Arial"/>
                <w:color w:val="000000"/>
                <w:sz w:val="20"/>
                <w:szCs w:val="20"/>
                <w:u w:val="single"/>
              </w:rPr>
            </w:pPr>
            <w:r>
              <w:rPr>
                <w:rFonts w:ascii="Arial" w:eastAsia="Times New Roman" w:hAnsi="Arial" w:cs="Arial"/>
                <w:color w:val="000000"/>
                <w:sz w:val="20"/>
                <w:szCs w:val="20"/>
                <w:u w:val="single"/>
              </w:rPr>
              <w:t>-19,32</w:t>
            </w:r>
          </w:p>
        </w:tc>
      </w:tr>
      <w:tr w:rsidR="00F17679" w:rsidRPr="008960F0" w14:paraId="0CD0BA8D"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DE374FF"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40-44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A0C425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673</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359C61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599</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610587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547</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C1D877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537</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3E3DF9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536</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8047BA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525</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F0824BC"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519</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676183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525</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B8AC5B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521</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5D1283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507</w:t>
            </w:r>
          </w:p>
        </w:tc>
        <w:tc>
          <w:tcPr>
            <w:tcW w:w="592" w:type="pct"/>
            <w:tcBorders>
              <w:top w:val="nil"/>
              <w:left w:val="nil"/>
              <w:bottom w:val="single" w:sz="6" w:space="0" w:color="CCCCCC"/>
              <w:right w:val="single" w:sz="6" w:space="0" w:color="CCCCCC"/>
            </w:tcBorders>
            <w:shd w:val="clear" w:color="auto" w:fill="auto"/>
            <w:vAlign w:val="center"/>
          </w:tcPr>
          <w:p w14:paraId="03FFF117" w14:textId="77777777" w:rsidR="008960F0" w:rsidRPr="008960F0" w:rsidRDefault="00102727" w:rsidP="008960F0">
            <w:pPr>
              <w:spacing w:before="150" w:after="150" w:line="240" w:lineRule="auto"/>
              <w:jc w:val="right"/>
              <w:rPr>
                <w:rFonts w:ascii="Arial" w:eastAsia="Times New Roman" w:hAnsi="Arial" w:cs="Arial"/>
                <w:color w:val="000000"/>
                <w:sz w:val="20"/>
                <w:szCs w:val="20"/>
                <w:u w:val="single"/>
              </w:rPr>
            </w:pPr>
            <w:r>
              <w:rPr>
                <w:rFonts w:ascii="Arial" w:eastAsia="Times New Roman" w:hAnsi="Arial" w:cs="Arial"/>
                <w:color w:val="000000"/>
                <w:sz w:val="20"/>
                <w:szCs w:val="20"/>
                <w:u w:val="single"/>
              </w:rPr>
              <w:t>-24,67</w:t>
            </w:r>
          </w:p>
        </w:tc>
      </w:tr>
      <w:tr w:rsidR="00F17679" w:rsidRPr="008960F0" w14:paraId="35B6A8A9"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E9179BB"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45-49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DF7D1D9"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482</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73A66A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562</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680A8AC"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593</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0D3BB6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612</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5CA490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620</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C5F36E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650</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BCA14B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579</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28946F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547</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77411B9"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530</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AD8D58D"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528</w:t>
            </w:r>
          </w:p>
        </w:tc>
        <w:tc>
          <w:tcPr>
            <w:tcW w:w="592" w:type="pct"/>
            <w:tcBorders>
              <w:top w:val="nil"/>
              <w:left w:val="nil"/>
              <w:bottom w:val="single" w:sz="6" w:space="0" w:color="CCCCCC"/>
              <w:right w:val="single" w:sz="6" w:space="0" w:color="CCCCCC"/>
            </w:tcBorders>
            <w:shd w:val="clear" w:color="auto" w:fill="auto"/>
            <w:vAlign w:val="center"/>
          </w:tcPr>
          <w:p w14:paraId="2B855911" w14:textId="77777777" w:rsidR="008960F0" w:rsidRPr="008960F0" w:rsidRDefault="00102727" w:rsidP="00102727">
            <w:pPr>
              <w:spacing w:before="150" w:after="150" w:line="240" w:lineRule="auto"/>
              <w:jc w:val="center"/>
              <w:rPr>
                <w:rFonts w:ascii="Arial" w:eastAsia="Times New Roman" w:hAnsi="Arial" w:cs="Arial"/>
                <w:color w:val="000000"/>
                <w:sz w:val="20"/>
                <w:szCs w:val="20"/>
                <w:u w:val="single"/>
              </w:rPr>
            </w:pPr>
            <w:r>
              <w:rPr>
                <w:rFonts w:ascii="Arial" w:eastAsia="Times New Roman" w:hAnsi="Arial" w:cs="Arial"/>
                <w:color w:val="000000"/>
                <w:sz w:val="20"/>
                <w:szCs w:val="20"/>
                <w:u w:val="single"/>
              </w:rPr>
              <w:t>9,54</w:t>
            </w:r>
          </w:p>
        </w:tc>
      </w:tr>
      <w:tr w:rsidR="00F17679" w:rsidRPr="008960F0" w14:paraId="407FF974"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B7119CF"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50-54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CF7FFCC"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523</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11D410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520</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A537BA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522</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FBADF8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518</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F1D0FA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509</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8EF92C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478</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9DEACD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550</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E99982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568</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56E3D0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598</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126EB0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601</w:t>
            </w:r>
          </w:p>
        </w:tc>
        <w:tc>
          <w:tcPr>
            <w:tcW w:w="592" w:type="pct"/>
            <w:tcBorders>
              <w:top w:val="nil"/>
              <w:left w:val="nil"/>
              <w:bottom w:val="single" w:sz="6" w:space="0" w:color="CCCCCC"/>
              <w:right w:val="single" w:sz="6" w:space="0" w:color="CCCCCC"/>
            </w:tcBorders>
            <w:shd w:val="clear" w:color="auto" w:fill="auto"/>
            <w:vAlign w:val="center"/>
          </w:tcPr>
          <w:p w14:paraId="2D12ACE8" w14:textId="77777777" w:rsidR="008960F0" w:rsidRPr="008960F0" w:rsidRDefault="00102727" w:rsidP="00102727">
            <w:pPr>
              <w:spacing w:before="150" w:after="150" w:line="240" w:lineRule="auto"/>
              <w:jc w:val="center"/>
              <w:rPr>
                <w:rFonts w:ascii="Arial" w:eastAsia="Times New Roman" w:hAnsi="Arial" w:cs="Arial"/>
                <w:color w:val="000000"/>
                <w:sz w:val="20"/>
                <w:szCs w:val="20"/>
                <w:u w:val="single"/>
              </w:rPr>
            </w:pPr>
            <w:r>
              <w:rPr>
                <w:rFonts w:ascii="Arial" w:eastAsia="Times New Roman" w:hAnsi="Arial" w:cs="Arial"/>
                <w:color w:val="000000"/>
                <w:sz w:val="20"/>
                <w:szCs w:val="20"/>
                <w:u w:val="single"/>
              </w:rPr>
              <w:t>14,91</w:t>
            </w:r>
          </w:p>
        </w:tc>
      </w:tr>
      <w:tr w:rsidR="00F17679" w:rsidRPr="008960F0" w14:paraId="4C1FE76C"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891A153"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55-59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5E699E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455</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AAA5DC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459</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4DD4E2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469</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90AF47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497</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45281E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487</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C4F608D"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501</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C37D9E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507</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5B0A86D"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504</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53A282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493</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3232FB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479</w:t>
            </w:r>
          </w:p>
        </w:tc>
        <w:tc>
          <w:tcPr>
            <w:tcW w:w="592" w:type="pct"/>
            <w:tcBorders>
              <w:top w:val="nil"/>
              <w:left w:val="nil"/>
              <w:bottom w:val="single" w:sz="6" w:space="0" w:color="CCCCCC"/>
              <w:right w:val="single" w:sz="6" w:space="0" w:color="CCCCCC"/>
            </w:tcBorders>
            <w:shd w:val="clear" w:color="auto" w:fill="auto"/>
            <w:vAlign w:val="center"/>
          </w:tcPr>
          <w:p w14:paraId="67EB621D" w14:textId="77777777" w:rsidR="008960F0" w:rsidRPr="008960F0" w:rsidRDefault="00102727" w:rsidP="00102727">
            <w:pPr>
              <w:spacing w:before="150" w:after="150" w:line="240" w:lineRule="auto"/>
              <w:jc w:val="center"/>
              <w:rPr>
                <w:rFonts w:ascii="Arial" w:eastAsia="Times New Roman" w:hAnsi="Arial" w:cs="Arial"/>
                <w:color w:val="000000"/>
                <w:sz w:val="20"/>
                <w:szCs w:val="20"/>
                <w:u w:val="single"/>
              </w:rPr>
            </w:pPr>
            <w:r>
              <w:rPr>
                <w:rFonts w:ascii="Arial" w:eastAsia="Times New Roman" w:hAnsi="Arial" w:cs="Arial"/>
                <w:color w:val="000000"/>
                <w:sz w:val="20"/>
                <w:szCs w:val="20"/>
                <w:u w:val="single"/>
              </w:rPr>
              <w:t>5,27</w:t>
            </w:r>
          </w:p>
        </w:tc>
      </w:tr>
      <w:tr w:rsidR="00F17679" w:rsidRPr="008960F0" w14:paraId="2CD8DA20"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EFE01DB"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60-64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19A36C7"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418</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43452D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432</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65A3D19"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446</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EE6B6C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421</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3FDFFA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425</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2466989"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423</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24B96D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431</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8E7A447"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444</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9962BA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454</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114B8A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461</w:t>
            </w:r>
          </w:p>
        </w:tc>
        <w:tc>
          <w:tcPr>
            <w:tcW w:w="592" w:type="pct"/>
            <w:tcBorders>
              <w:top w:val="nil"/>
              <w:left w:val="nil"/>
              <w:bottom w:val="single" w:sz="6" w:space="0" w:color="CCCCCC"/>
              <w:right w:val="single" w:sz="6" w:space="0" w:color="CCCCCC"/>
            </w:tcBorders>
            <w:shd w:val="clear" w:color="auto" w:fill="auto"/>
            <w:vAlign w:val="center"/>
          </w:tcPr>
          <w:p w14:paraId="02FC8722" w14:textId="77777777" w:rsidR="008960F0" w:rsidRPr="008960F0" w:rsidRDefault="00102727" w:rsidP="00102727">
            <w:pPr>
              <w:spacing w:before="150" w:after="150" w:line="240" w:lineRule="auto"/>
              <w:jc w:val="center"/>
              <w:rPr>
                <w:rFonts w:ascii="Arial" w:eastAsia="Times New Roman" w:hAnsi="Arial" w:cs="Arial"/>
                <w:color w:val="000000"/>
                <w:sz w:val="20"/>
                <w:szCs w:val="20"/>
                <w:u w:val="single"/>
              </w:rPr>
            </w:pPr>
            <w:r>
              <w:rPr>
                <w:rFonts w:ascii="Arial" w:eastAsia="Times New Roman" w:hAnsi="Arial" w:cs="Arial"/>
                <w:color w:val="000000"/>
                <w:sz w:val="20"/>
                <w:szCs w:val="20"/>
                <w:u w:val="single"/>
              </w:rPr>
              <w:t>10,29</w:t>
            </w:r>
          </w:p>
        </w:tc>
      </w:tr>
      <w:tr w:rsidR="00F17679" w:rsidRPr="008960F0" w14:paraId="7685E93F"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634CF01"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65-69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2F6078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279</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38B4EF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291</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260FE7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299</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E0E4C6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334</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596085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378</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7CA412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386</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53154D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400</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08FE13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410</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ABFEE8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395</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02E419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396</w:t>
            </w:r>
          </w:p>
        </w:tc>
        <w:tc>
          <w:tcPr>
            <w:tcW w:w="592" w:type="pct"/>
            <w:tcBorders>
              <w:top w:val="nil"/>
              <w:left w:val="nil"/>
              <w:bottom w:val="single" w:sz="6" w:space="0" w:color="CCCCCC"/>
              <w:right w:val="single" w:sz="6" w:space="0" w:color="CCCCCC"/>
            </w:tcBorders>
            <w:shd w:val="clear" w:color="auto" w:fill="auto"/>
            <w:vAlign w:val="center"/>
          </w:tcPr>
          <w:p w14:paraId="69979040" w14:textId="77777777" w:rsidR="008960F0" w:rsidRPr="008960F0" w:rsidRDefault="00102727" w:rsidP="00102727">
            <w:pPr>
              <w:spacing w:before="150" w:after="150" w:line="240" w:lineRule="auto"/>
              <w:jc w:val="center"/>
              <w:rPr>
                <w:rFonts w:ascii="Arial" w:eastAsia="Times New Roman" w:hAnsi="Arial" w:cs="Arial"/>
                <w:color w:val="000000"/>
                <w:sz w:val="20"/>
                <w:szCs w:val="20"/>
                <w:u w:val="single"/>
              </w:rPr>
            </w:pPr>
            <w:r>
              <w:rPr>
                <w:rFonts w:ascii="Arial" w:eastAsia="Times New Roman" w:hAnsi="Arial" w:cs="Arial"/>
                <w:color w:val="000000"/>
                <w:sz w:val="20"/>
                <w:szCs w:val="20"/>
                <w:u w:val="single"/>
              </w:rPr>
              <w:t>41,94</w:t>
            </w:r>
          </w:p>
        </w:tc>
      </w:tr>
      <w:tr w:rsidR="00F17679" w:rsidRPr="008960F0" w14:paraId="53512CDB"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A521BB6"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70-74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AFDD87B"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286</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766A579"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266</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7E6F50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257</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253518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250</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16C950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236</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D9DB1E4"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253</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5BE56D7"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261</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21635D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271</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91D759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298</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A3509E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328</w:t>
            </w:r>
          </w:p>
        </w:tc>
        <w:tc>
          <w:tcPr>
            <w:tcW w:w="592" w:type="pct"/>
            <w:tcBorders>
              <w:top w:val="nil"/>
              <w:left w:val="nil"/>
              <w:bottom w:val="single" w:sz="6" w:space="0" w:color="CCCCCC"/>
              <w:right w:val="single" w:sz="6" w:space="0" w:color="CCCCCC"/>
            </w:tcBorders>
            <w:shd w:val="clear" w:color="auto" w:fill="auto"/>
            <w:vAlign w:val="center"/>
          </w:tcPr>
          <w:p w14:paraId="6FCAD4C3" w14:textId="77777777" w:rsidR="008960F0" w:rsidRPr="008960F0" w:rsidRDefault="00102727" w:rsidP="00102727">
            <w:pPr>
              <w:spacing w:before="150" w:after="150" w:line="240" w:lineRule="auto"/>
              <w:jc w:val="center"/>
              <w:rPr>
                <w:rFonts w:ascii="Arial" w:eastAsia="Times New Roman" w:hAnsi="Arial" w:cs="Arial"/>
                <w:color w:val="000000"/>
                <w:sz w:val="20"/>
                <w:szCs w:val="20"/>
                <w:u w:val="single"/>
              </w:rPr>
            </w:pPr>
            <w:r>
              <w:rPr>
                <w:rFonts w:ascii="Arial" w:eastAsia="Times New Roman" w:hAnsi="Arial" w:cs="Arial"/>
                <w:color w:val="000000"/>
                <w:sz w:val="20"/>
                <w:szCs w:val="20"/>
                <w:u w:val="single"/>
              </w:rPr>
              <w:t>14,69</w:t>
            </w:r>
          </w:p>
        </w:tc>
      </w:tr>
      <w:tr w:rsidR="00F17679" w:rsidRPr="008960F0" w14:paraId="4DDD9A76"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C32BCAD"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75-79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17D20F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247</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867C30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238</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FB2E9F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239</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DC7A36B"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248</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ED51A5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246</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05F2BC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232</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E1E69E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225</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FD16DC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213</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06D413C"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218</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A6C81C0"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207</w:t>
            </w:r>
          </w:p>
        </w:tc>
        <w:tc>
          <w:tcPr>
            <w:tcW w:w="592" w:type="pct"/>
            <w:tcBorders>
              <w:top w:val="nil"/>
              <w:left w:val="nil"/>
              <w:bottom w:val="single" w:sz="6" w:space="0" w:color="CCCCCC"/>
              <w:right w:val="single" w:sz="6" w:space="0" w:color="CCCCCC"/>
            </w:tcBorders>
            <w:shd w:val="clear" w:color="auto" w:fill="auto"/>
            <w:vAlign w:val="center"/>
          </w:tcPr>
          <w:p w14:paraId="1FBA6C68" w14:textId="77777777" w:rsidR="008960F0" w:rsidRPr="008960F0" w:rsidRDefault="00102727" w:rsidP="00102727">
            <w:pPr>
              <w:spacing w:before="150" w:after="150" w:line="240" w:lineRule="auto"/>
              <w:jc w:val="center"/>
              <w:rPr>
                <w:rFonts w:ascii="Arial" w:eastAsia="Times New Roman" w:hAnsi="Arial" w:cs="Arial"/>
                <w:color w:val="000000"/>
                <w:sz w:val="20"/>
                <w:szCs w:val="20"/>
                <w:u w:val="single"/>
              </w:rPr>
            </w:pPr>
            <w:r>
              <w:rPr>
                <w:rFonts w:ascii="Arial" w:eastAsia="Times New Roman" w:hAnsi="Arial" w:cs="Arial"/>
                <w:color w:val="000000"/>
                <w:sz w:val="20"/>
                <w:szCs w:val="20"/>
                <w:u w:val="single"/>
              </w:rPr>
              <w:t>-16,19</w:t>
            </w:r>
          </w:p>
        </w:tc>
      </w:tr>
      <w:tr w:rsidR="00F17679" w:rsidRPr="008960F0" w14:paraId="2930FC47"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97B820D"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t>80-84 ani</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238F6C1"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158</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E5F0F4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168</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FD9BD0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168</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F34C1C6"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170</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5FAD725"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180</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31C76F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190</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160DABD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184</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58722F7"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186</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C5523DD"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190</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794DAFB8"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185</w:t>
            </w:r>
          </w:p>
        </w:tc>
        <w:tc>
          <w:tcPr>
            <w:tcW w:w="592" w:type="pct"/>
            <w:tcBorders>
              <w:top w:val="nil"/>
              <w:left w:val="nil"/>
              <w:bottom w:val="single" w:sz="6" w:space="0" w:color="CCCCCC"/>
              <w:right w:val="single" w:sz="6" w:space="0" w:color="CCCCCC"/>
            </w:tcBorders>
            <w:shd w:val="clear" w:color="auto" w:fill="auto"/>
            <w:vAlign w:val="center"/>
          </w:tcPr>
          <w:p w14:paraId="345B2F43" w14:textId="77777777" w:rsidR="008960F0" w:rsidRPr="008960F0" w:rsidRDefault="00102727" w:rsidP="00102727">
            <w:pPr>
              <w:spacing w:before="150" w:after="150" w:line="240" w:lineRule="auto"/>
              <w:jc w:val="center"/>
              <w:rPr>
                <w:rFonts w:ascii="Arial" w:eastAsia="Times New Roman" w:hAnsi="Arial" w:cs="Arial"/>
                <w:color w:val="000000"/>
                <w:sz w:val="20"/>
                <w:szCs w:val="20"/>
                <w:u w:val="single"/>
              </w:rPr>
            </w:pPr>
            <w:r>
              <w:rPr>
                <w:rFonts w:ascii="Arial" w:eastAsia="Times New Roman" w:hAnsi="Arial" w:cs="Arial"/>
                <w:color w:val="000000"/>
                <w:sz w:val="20"/>
                <w:szCs w:val="20"/>
                <w:u w:val="single"/>
              </w:rPr>
              <w:t>17,09</w:t>
            </w:r>
          </w:p>
        </w:tc>
      </w:tr>
      <w:tr w:rsidR="00F17679" w:rsidRPr="008960F0" w14:paraId="0C7A17AF" w14:textId="77777777" w:rsidTr="00046939">
        <w:trPr>
          <w:jc w:val="center"/>
        </w:trPr>
        <w:tc>
          <w:tcPr>
            <w:tcW w:w="539" w:type="pct"/>
            <w:tcBorders>
              <w:top w:val="single" w:sz="6" w:space="0" w:color="FAFAFA"/>
              <w:left w:val="single" w:sz="6" w:space="0" w:color="FAFAFA"/>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74AE896" w14:textId="77777777" w:rsidR="008960F0" w:rsidRPr="008960F0" w:rsidRDefault="008960F0" w:rsidP="008960F0">
            <w:pPr>
              <w:spacing w:before="150" w:after="150" w:line="240" w:lineRule="auto"/>
              <w:rPr>
                <w:rFonts w:ascii="Arial" w:eastAsia="Times New Roman" w:hAnsi="Arial" w:cs="Arial"/>
                <w:bCs/>
                <w:color w:val="000000"/>
                <w:sz w:val="20"/>
                <w:szCs w:val="20"/>
              </w:rPr>
            </w:pPr>
            <w:r w:rsidRPr="008960F0">
              <w:rPr>
                <w:rFonts w:ascii="Arial" w:eastAsia="Times New Roman" w:hAnsi="Arial" w:cs="Arial"/>
                <w:bCs/>
                <w:color w:val="000000"/>
                <w:sz w:val="20"/>
                <w:szCs w:val="20"/>
              </w:rPr>
              <w:lastRenderedPageBreak/>
              <w:t>85 ani si peste</w:t>
            </w:r>
          </w:p>
        </w:tc>
        <w:tc>
          <w:tcPr>
            <w:tcW w:w="49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FC9B68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91</w:t>
            </w:r>
          </w:p>
        </w:tc>
        <w:tc>
          <w:tcPr>
            <w:tcW w:w="317"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86D4D4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103</w:t>
            </w:r>
          </w:p>
        </w:tc>
        <w:tc>
          <w:tcPr>
            <w:tcW w:w="445"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043AD259"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117</w:t>
            </w:r>
          </w:p>
        </w:tc>
        <w:tc>
          <w:tcPr>
            <w:tcW w:w="314"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5FA4583A"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115</w:t>
            </w:r>
          </w:p>
        </w:tc>
        <w:tc>
          <w:tcPr>
            <w:tcW w:w="388" w:type="pct"/>
            <w:gridSpan w:val="2"/>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ED9963E"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117</w:t>
            </w:r>
          </w:p>
        </w:tc>
        <w:tc>
          <w:tcPr>
            <w:tcW w:w="37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3C6594F3"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128</w:t>
            </w:r>
          </w:p>
        </w:tc>
        <w:tc>
          <w:tcPr>
            <w:tcW w:w="404"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010129C"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137</w:t>
            </w:r>
          </w:p>
        </w:tc>
        <w:tc>
          <w:tcPr>
            <w:tcW w:w="355"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23A6A677"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bCs/>
                <w:color w:val="000000"/>
                <w:sz w:val="20"/>
                <w:szCs w:val="20"/>
              </w:rPr>
              <w:t>160</w:t>
            </w:r>
          </w:p>
        </w:tc>
        <w:tc>
          <w:tcPr>
            <w:tcW w:w="381"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4B4CFB1F"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rPr>
              <w:t>165</w:t>
            </w:r>
          </w:p>
        </w:tc>
        <w:tc>
          <w:tcPr>
            <w:tcW w:w="397" w:type="pct"/>
            <w:tcBorders>
              <w:top w:val="nil"/>
              <w:left w:val="nil"/>
              <w:bottom w:val="single" w:sz="6" w:space="0" w:color="CCCCCC"/>
              <w:right w:val="single" w:sz="6" w:space="0" w:color="CCCCCC"/>
            </w:tcBorders>
            <w:shd w:val="clear" w:color="auto" w:fill="auto"/>
            <w:tcMar>
              <w:top w:w="45" w:type="dxa"/>
              <w:left w:w="45" w:type="dxa"/>
              <w:bottom w:w="45" w:type="dxa"/>
              <w:right w:w="45" w:type="dxa"/>
            </w:tcMar>
            <w:vAlign w:val="center"/>
            <w:hideMark/>
          </w:tcPr>
          <w:p w14:paraId="634AB092" w14:textId="77777777" w:rsidR="008960F0" w:rsidRPr="008960F0" w:rsidRDefault="008960F0" w:rsidP="008960F0">
            <w:pPr>
              <w:spacing w:before="150" w:after="150" w:line="240" w:lineRule="auto"/>
              <w:jc w:val="right"/>
              <w:rPr>
                <w:rFonts w:ascii="Arial" w:eastAsia="Times New Roman" w:hAnsi="Arial" w:cs="Arial"/>
                <w:color w:val="000000"/>
                <w:sz w:val="20"/>
                <w:szCs w:val="20"/>
              </w:rPr>
            </w:pPr>
            <w:r w:rsidRPr="008960F0">
              <w:rPr>
                <w:rFonts w:ascii="Arial" w:eastAsia="Times New Roman" w:hAnsi="Arial" w:cs="Arial"/>
                <w:color w:val="000000"/>
                <w:sz w:val="20"/>
                <w:szCs w:val="20"/>
                <w:u w:val="single"/>
              </w:rPr>
              <w:t>173</w:t>
            </w:r>
          </w:p>
        </w:tc>
        <w:tc>
          <w:tcPr>
            <w:tcW w:w="592" w:type="pct"/>
            <w:tcBorders>
              <w:top w:val="nil"/>
              <w:left w:val="nil"/>
              <w:bottom w:val="single" w:sz="6" w:space="0" w:color="CCCCCC"/>
              <w:right w:val="single" w:sz="6" w:space="0" w:color="CCCCCC"/>
            </w:tcBorders>
            <w:shd w:val="clear" w:color="auto" w:fill="auto"/>
            <w:vAlign w:val="center"/>
          </w:tcPr>
          <w:p w14:paraId="4364C8D9" w14:textId="77777777" w:rsidR="008960F0" w:rsidRPr="008960F0" w:rsidRDefault="00102727" w:rsidP="00102727">
            <w:pPr>
              <w:spacing w:before="150" w:after="150" w:line="240" w:lineRule="auto"/>
              <w:jc w:val="center"/>
              <w:rPr>
                <w:rFonts w:ascii="Arial" w:eastAsia="Times New Roman" w:hAnsi="Arial" w:cs="Arial"/>
                <w:color w:val="000000"/>
                <w:sz w:val="20"/>
                <w:szCs w:val="20"/>
                <w:u w:val="single"/>
              </w:rPr>
            </w:pPr>
            <w:r>
              <w:rPr>
                <w:rFonts w:ascii="Arial" w:eastAsia="Times New Roman" w:hAnsi="Arial" w:cs="Arial"/>
                <w:color w:val="000000"/>
                <w:sz w:val="20"/>
                <w:szCs w:val="20"/>
                <w:u w:val="single"/>
              </w:rPr>
              <w:t>90,11</w:t>
            </w:r>
          </w:p>
        </w:tc>
      </w:tr>
    </w:tbl>
    <w:p w14:paraId="42EB48CD" w14:textId="77777777" w:rsidR="008960F0" w:rsidRDefault="00046939" w:rsidP="008960F0">
      <w:r>
        <w:rPr>
          <w:rFonts w:ascii="Arial" w:hAnsi="Arial" w:cs="Arial"/>
          <w:noProof/>
          <w:sz w:val="16"/>
          <w:szCs w:val="16"/>
        </w:rPr>
        <w:t xml:space="preserve">         Sursa: </w:t>
      </w:r>
      <w:r w:rsidRPr="00BD3A3B">
        <w:rPr>
          <w:rFonts w:ascii="Arial" w:hAnsi="Arial" w:cs="Arial"/>
          <w:noProof/>
          <w:sz w:val="16"/>
          <w:szCs w:val="16"/>
        </w:rPr>
        <w:t>http://statistici.insse.ro</w:t>
      </w:r>
    </w:p>
    <w:p w14:paraId="5754AB1A" w14:textId="77777777" w:rsidR="008960F0" w:rsidRPr="00046939" w:rsidRDefault="00046939" w:rsidP="00046939">
      <w:pPr>
        <w:jc w:val="both"/>
        <w:rPr>
          <w:rFonts w:ascii="Arial" w:hAnsi="Arial" w:cs="Arial"/>
        </w:rPr>
      </w:pPr>
      <w:r w:rsidRPr="00046939">
        <w:rPr>
          <w:rFonts w:ascii="Arial" w:hAnsi="Arial" w:cs="Arial"/>
        </w:rPr>
        <w:t>Cele mai mari scăderi ale numărului de persoane s-au înregistrat la grupele de vârstă 20-24 ani, 25-29 ani, 5-9 ani iar cele mai mari creşteri ale numărului de persoane s-au înregistrat la grupele de vârstă de pes</w:t>
      </w:r>
      <w:r>
        <w:rPr>
          <w:rFonts w:ascii="Arial" w:hAnsi="Arial" w:cs="Arial"/>
        </w:rPr>
        <w:t>te 85 ani, 65-69 ani, 80-84 ani, aspecte care vin să indice tendinţa de îmbătrânire a populaţiei.</w:t>
      </w:r>
    </w:p>
    <w:p w14:paraId="6634DAFC" w14:textId="77777777" w:rsidR="008960F0" w:rsidRPr="00046939" w:rsidRDefault="00F30DF7" w:rsidP="00046939">
      <w:pPr>
        <w:jc w:val="both"/>
        <w:rPr>
          <w:rFonts w:ascii="Arial" w:hAnsi="Arial" w:cs="Arial"/>
        </w:rPr>
      </w:pPr>
      <w:r>
        <w:rPr>
          <w:noProof/>
        </w:rPr>
        <w:lastRenderedPageBreak/>
        <w:drawing>
          <wp:inline distT="0" distB="0" distL="0" distR="0" wp14:anchorId="3AF7E25D" wp14:editId="52B3DBD5">
            <wp:extent cx="5818452" cy="822960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23605" cy="8236888"/>
                    </a:xfrm>
                    <a:prstGeom prst="rect">
                      <a:avLst/>
                    </a:prstGeom>
                    <a:noFill/>
                    <a:ln>
                      <a:noFill/>
                    </a:ln>
                  </pic:spPr>
                </pic:pic>
              </a:graphicData>
            </a:graphic>
          </wp:inline>
        </w:drawing>
      </w:r>
    </w:p>
    <w:p w14:paraId="14C1EDE2" w14:textId="3BBB01B8" w:rsidR="00FF5336" w:rsidRPr="005911A2" w:rsidRDefault="005911A2" w:rsidP="005911A2">
      <w:pPr>
        <w:pStyle w:val="Legend"/>
        <w:jc w:val="center"/>
        <w:rPr>
          <w:rFonts w:ascii="Arial" w:hAnsi="Arial" w:cs="Arial"/>
          <w:i w:val="0"/>
          <w:iCs w:val="0"/>
          <w:sz w:val="22"/>
          <w:szCs w:val="22"/>
        </w:rPr>
      </w:pPr>
      <w:bookmarkStart w:id="60" w:name="_Toc140744448"/>
      <w:r w:rsidRPr="005911A2">
        <w:rPr>
          <w:rFonts w:ascii="Arial" w:hAnsi="Arial" w:cs="Arial"/>
          <w:sz w:val="22"/>
          <w:szCs w:val="22"/>
        </w:rPr>
        <w:t xml:space="preserve">Figura I.2. </w:t>
      </w:r>
      <w:r w:rsidRPr="005911A2">
        <w:rPr>
          <w:rFonts w:ascii="Arial" w:hAnsi="Arial" w:cs="Arial"/>
          <w:sz w:val="22"/>
          <w:szCs w:val="22"/>
        </w:rPr>
        <w:fldChar w:fldCharType="begin"/>
      </w:r>
      <w:r w:rsidRPr="005911A2">
        <w:rPr>
          <w:rFonts w:ascii="Arial" w:hAnsi="Arial" w:cs="Arial"/>
          <w:sz w:val="22"/>
          <w:szCs w:val="22"/>
        </w:rPr>
        <w:instrText xml:space="preserve"> SEQ Figura_I.2. \* ARABIC </w:instrText>
      </w:r>
      <w:r w:rsidRPr="005911A2">
        <w:rPr>
          <w:rFonts w:ascii="Arial" w:hAnsi="Arial" w:cs="Arial"/>
          <w:sz w:val="22"/>
          <w:szCs w:val="22"/>
        </w:rPr>
        <w:fldChar w:fldCharType="separate"/>
      </w:r>
      <w:r w:rsidR="00BB181C">
        <w:rPr>
          <w:rFonts w:ascii="Arial" w:hAnsi="Arial" w:cs="Arial"/>
          <w:noProof/>
          <w:sz w:val="22"/>
          <w:szCs w:val="22"/>
        </w:rPr>
        <w:t>6</w:t>
      </w:r>
      <w:r w:rsidRPr="005911A2">
        <w:rPr>
          <w:rFonts w:ascii="Arial" w:hAnsi="Arial" w:cs="Arial"/>
          <w:sz w:val="22"/>
          <w:szCs w:val="22"/>
        </w:rPr>
        <w:fldChar w:fldCharType="end"/>
      </w:r>
      <w:r w:rsidRPr="005911A2">
        <w:rPr>
          <w:rFonts w:ascii="Arial" w:hAnsi="Arial" w:cs="Arial"/>
          <w:sz w:val="22"/>
          <w:szCs w:val="22"/>
        </w:rPr>
        <w:t xml:space="preserve"> </w:t>
      </w:r>
      <w:r w:rsidR="00FF5336" w:rsidRPr="00F30DF7">
        <w:rPr>
          <w:rFonts w:ascii="Arial" w:hAnsi="Arial" w:cs="Arial"/>
          <w:sz w:val="22"/>
          <w:szCs w:val="22"/>
        </w:rPr>
        <w:t xml:space="preserve">– </w:t>
      </w:r>
      <w:r w:rsidR="00FF5336" w:rsidRPr="00F30DF7">
        <w:rPr>
          <w:rFonts w:ascii="Arial" w:hAnsi="Arial" w:cs="Arial"/>
          <w:i w:val="0"/>
          <w:iCs w:val="0"/>
          <w:sz w:val="22"/>
          <w:szCs w:val="22"/>
        </w:rPr>
        <w:t xml:space="preserve">Densitatea populației pe zone ale </w:t>
      </w:r>
      <w:r w:rsidRPr="00F30DF7">
        <w:rPr>
          <w:rFonts w:ascii="Arial" w:hAnsi="Arial" w:cs="Arial"/>
          <w:i w:val="0"/>
          <w:iCs w:val="0"/>
          <w:sz w:val="22"/>
          <w:szCs w:val="22"/>
        </w:rPr>
        <w:t>oraşului Horezu</w:t>
      </w:r>
      <w:bookmarkEnd w:id="60"/>
    </w:p>
    <w:p w14:paraId="6ECFC600" w14:textId="77777777" w:rsidR="00D87E0F" w:rsidRDefault="006817E5" w:rsidP="006817E5">
      <w:pPr>
        <w:jc w:val="both"/>
        <w:rPr>
          <w:rFonts w:ascii="Arial" w:hAnsi="Arial" w:cs="Arial"/>
        </w:rPr>
      </w:pPr>
      <w:r>
        <w:rPr>
          <w:rFonts w:ascii="Arial" w:hAnsi="Arial" w:cs="Arial"/>
        </w:rPr>
        <w:lastRenderedPageBreak/>
        <w:t>Mișcarea naturală a populației exprimă procesul de reînnoire al unei populații de tip închis, nesupuse fluxurilor migratorii, iar indicatorul care o sintetizează este sporul natural (</w:t>
      </w:r>
      <w:r w:rsidRPr="006817E5">
        <w:rPr>
          <w:rFonts w:ascii="Arial" w:hAnsi="Arial" w:cs="Arial"/>
        </w:rPr>
        <w:t>Δn = N-M, unde N este numărul născuților vii, iar M numărul deceselor</w:t>
      </w:r>
      <w:r>
        <w:rPr>
          <w:rFonts w:ascii="Arial" w:hAnsi="Arial" w:cs="Arial"/>
        </w:rPr>
        <w:t xml:space="preserve">). </w:t>
      </w:r>
    </w:p>
    <w:p w14:paraId="33EBD21B" w14:textId="77777777" w:rsidR="00F96A1C" w:rsidRDefault="00F96A1C" w:rsidP="006817E5">
      <w:pPr>
        <w:jc w:val="both"/>
        <w:rPr>
          <w:rFonts w:ascii="Arial" w:hAnsi="Arial" w:cs="Arial"/>
        </w:rPr>
      </w:pPr>
    </w:p>
    <w:p w14:paraId="78E8230E" w14:textId="081B5BA3" w:rsidR="00F14C85" w:rsidRPr="005911A2" w:rsidRDefault="005911A2" w:rsidP="005911A2">
      <w:pPr>
        <w:pStyle w:val="Legend"/>
        <w:jc w:val="center"/>
        <w:rPr>
          <w:rFonts w:ascii="Arial" w:hAnsi="Arial" w:cs="Arial"/>
          <w:i w:val="0"/>
          <w:iCs w:val="0"/>
          <w:sz w:val="22"/>
          <w:szCs w:val="22"/>
        </w:rPr>
      </w:pPr>
      <w:bookmarkStart w:id="61" w:name="_Toc68361212"/>
      <w:bookmarkStart w:id="62" w:name="_Toc140744569"/>
      <w:r w:rsidRPr="005911A2">
        <w:rPr>
          <w:rFonts w:ascii="Arial" w:hAnsi="Arial" w:cs="Arial"/>
          <w:sz w:val="22"/>
          <w:szCs w:val="22"/>
        </w:rPr>
        <w:t xml:space="preserve">Tabel I.2. </w:t>
      </w:r>
      <w:r w:rsidRPr="005911A2">
        <w:rPr>
          <w:rFonts w:ascii="Arial" w:hAnsi="Arial" w:cs="Arial"/>
          <w:sz w:val="22"/>
          <w:szCs w:val="22"/>
        </w:rPr>
        <w:fldChar w:fldCharType="begin"/>
      </w:r>
      <w:r w:rsidRPr="005911A2">
        <w:rPr>
          <w:rFonts w:ascii="Arial" w:hAnsi="Arial" w:cs="Arial"/>
          <w:sz w:val="22"/>
          <w:szCs w:val="22"/>
        </w:rPr>
        <w:instrText xml:space="preserve"> SEQ Tabel_I.2. \* ARABIC </w:instrText>
      </w:r>
      <w:r w:rsidRPr="005911A2">
        <w:rPr>
          <w:rFonts w:ascii="Arial" w:hAnsi="Arial" w:cs="Arial"/>
          <w:sz w:val="22"/>
          <w:szCs w:val="22"/>
        </w:rPr>
        <w:fldChar w:fldCharType="separate"/>
      </w:r>
      <w:r w:rsidR="00BB181C">
        <w:rPr>
          <w:rFonts w:ascii="Arial" w:hAnsi="Arial" w:cs="Arial"/>
          <w:noProof/>
          <w:sz w:val="22"/>
          <w:szCs w:val="22"/>
        </w:rPr>
        <w:t>3</w:t>
      </w:r>
      <w:r w:rsidRPr="005911A2">
        <w:rPr>
          <w:rFonts w:ascii="Arial" w:hAnsi="Arial" w:cs="Arial"/>
          <w:sz w:val="22"/>
          <w:szCs w:val="22"/>
        </w:rPr>
        <w:fldChar w:fldCharType="end"/>
      </w:r>
      <w:r w:rsidRPr="005911A2">
        <w:rPr>
          <w:rFonts w:ascii="Arial" w:hAnsi="Arial" w:cs="Arial"/>
          <w:sz w:val="22"/>
          <w:szCs w:val="22"/>
        </w:rPr>
        <w:t xml:space="preserve"> </w:t>
      </w:r>
      <w:r w:rsidR="005A73BC" w:rsidRPr="005911A2">
        <w:rPr>
          <w:rFonts w:ascii="Arial" w:hAnsi="Arial" w:cs="Arial"/>
          <w:sz w:val="22"/>
          <w:szCs w:val="22"/>
        </w:rPr>
        <w:t xml:space="preserve">- </w:t>
      </w:r>
      <w:r w:rsidR="00F14C85" w:rsidRPr="005911A2">
        <w:rPr>
          <w:rFonts w:ascii="Arial" w:hAnsi="Arial" w:cs="Arial"/>
          <w:i w:val="0"/>
          <w:iCs w:val="0"/>
          <w:sz w:val="22"/>
          <w:szCs w:val="22"/>
        </w:rPr>
        <w:t>Mișcarea naturală a populației</w:t>
      </w:r>
      <w:bookmarkEnd w:id="61"/>
      <w:bookmarkEnd w:id="62"/>
    </w:p>
    <w:tbl>
      <w:tblPr>
        <w:tblStyle w:val="PlainTable21"/>
        <w:tblW w:w="0" w:type="auto"/>
        <w:tblLook w:val="04A0" w:firstRow="1" w:lastRow="0" w:firstColumn="1" w:lastColumn="0" w:noHBand="0" w:noVBand="1"/>
      </w:tblPr>
      <w:tblGrid>
        <w:gridCol w:w="2410"/>
        <w:gridCol w:w="2411"/>
        <w:gridCol w:w="2217"/>
        <w:gridCol w:w="2411"/>
      </w:tblGrid>
      <w:tr w:rsidR="006817E5" w14:paraId="756A3430" w14:textId="77777777" w:rsidTr="002646B5">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2410" w:type="dxa"/>
          </w:tcPr>
          <w:p w14:paraId="7C95DAB3" w14:textId="77777777" w:rsidR="006817E5" w:rsidRPr="002646B5" w:rsidRDefault="00CC0188" w:rsidP="00CC0188">
            <w:pPr>
              <w:jc w:val="center"/>
              <w:rPr>
                <w:rFonts w:ascii="Arial" w:hAnsi="Arial" w:cs="Arial"/>
                <w:bCs w:val="0"/>
              </w:rPr>
            </w:pPr>
            <w:r w:rsidRPr="002646B5">
              <w:rPr>
                <w:rFonts w:ascii="Arial" w:hAnsi="Arial" w:cs="Arial"/>
                <w:bCs w:val="0"/>
              </w:rPr>
              <w:t>Anul 2020</w:t>
            </w:r>
          </w:p>
        </w:tc>
        <w:tc>
          <w:tcPr>
            <w:tcW w:w="2411" w:type="dxa"/>
          </w:tcPr>
          <w:p w14:paraId="1BF406BB" w14:textId="77777777" w:rsidR="006817E5" w:rsidRPr="002646B5" w:rsidRDefault="006817E5" w:rsidP="00F14C85">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2646B5">
              <w:rPr>
                <w:rFonts w:ascii="Arial" w:hAnsi="Arial" w:cs="Arial"/>
                <w:bCs w:val="0"/>
              </w:rPr>
              <w:t>Născuți vii - N</w:t>
            </w:r>
          </w:p>
        </w:tc>
        <w:tc>
          <w:tcPr>
            <w:tcW w:w="2217" w:type="dxa"/>
          </w:tcPr>
          <w:p w14:paraId="7BB2F797" w14:textId="77777777" w:rsidR="006817E5" w:rsidRPr="002646B5" w:rsidRDefault="006817E5" w:rsidP="00F14C85">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2646B5">
              <w:rPr>
                <w:rFonts w:ascii="Arial" w:hAnsi="Arial" w:cs="Arial"/>
                <w:bCs w:val="0"/>
              </w:rPr>
              <w:t>Persoane decedate - M</w:t>
            </w:r>
          </w:p>
        </w:tc>
        <w:tc>
          <w:tcPr>
            <w:tcW w:w="2411" w:type="dxa"/>
          </w:tcPr>
          <w:p w14:paraId="1BD15CE2" w14:textId="77777777" w:rsidR="006817E5" w:rsidRPr="002646B5" w:rsidRDefault="006817E5" w:rsidP="00F14C85">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2646B5">
              <w:rPr>
                <w:rFonts w:ascii="Arial" w:hAnsi="Arial" w:cs="Arial"/>
                <w:bCs w:val="0"/>
              </w:rPr>
              <w:t>Sporul natural - Δn</w:t>
            </w:r>
          </w:p>
          <w:p w14:paraId="49E51BD9" w14:textId="77777777" w:rsidR="006817E5" w:rsidRPr="002646B5" w:rsidRDefault="006817E5" w:rsidP="00F14C85">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p>
        </w:tc>
      </w:tr>
      <w:tr w:rsidR="006817E5" w14:paraId="5F279A4D" w14:textId="77777777" w:rsidTr="002646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066105E9" w14:textId="77777777" w:rsidR="006817E5" w:rsidRDefault="006817E5" w:rsidP="00046939">
            <w:pPr>
              <w:jc w:val="both"/>
              <w:rPr>
                <w:rFonts w:ascii="Arial" w:hAnsi="Arial" w:cs="Arial"/>
              </w:rPr>
            </w:pPr>
            <w:r>
              <w:rPr>
                <w:rFonts w:ascii="Arial" w:hAnsi="Arial" w:cs="Arial"/>
              </w:rPr>
              <w:t xml:space="preserve">Județul </w:t>
            </w:r>
            <w:r w:rsidR="00046939">
              <w:rPr>
                <w:rFonts w:ascii="Arial" w:hAnsi="Arial" w:cs="Arial"/>
              </w:rPr>
              <w:t>Vâlcea</w:t>
            </w:r>
          </w:p>
        </w:tc>
        <w:tc>
          <w:tcPr>
            <w:tcW w:w="2411" w:type="dxa"/>
          </w:tcPr>
          <w:p w14:paraId="532C617C" w14:textId="77777777" w:rsidR="006817E5" w:rsidRDefault="00CC0188" w:rsidP="00F14C85">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2492</w:t>
            </w:r>
          </w:p>
        </w:tc>
        <w:tc>
          <w:tcPr>
            <w:tcW w:w="2217" w:type="dxa"/>
          </w:tcPr>
          <w:p w14:paraId="68A4A178" w14:textId="77777777" w:rsidR="006817E5" w:rsidRDefault="00CC0188" w:rsidP="00F14C85">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4210</w:t>
            </w:r>
          </w:p>
        </w:tc>
        <w:tc>
          <w:tcPr>
            <w:tcW w:w="2411" w:type="dxa"/>
          </w:tcPr>
          <w:p w14:paraId="0ED3671E" w14:textId="77777777" w:rsidR="006817E5" w:rsidRPr="00F14C85" w:rsidRDefault="00F14C85" w:rsidP="00CC0188">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t>
            </w:r>
            <w:r w:rsidR="00CC0188">
              <w:rPr>
                <w:rFonts w:ascii="Arial" w:hAnsi="Arial" w:cs="Arial"/>
              </w:rPr>
              <w:t>1718</w:t>
            </w:r>
          </w:p>
        </w:tc>
      </w:tr>
      <w:tr w:rsidR="006817E5" w14:paraId="4B7D4F96" w14:textId="77777777" w:rsidTr="002646B5">
        <w:tc>
          <w:tcPr>
            <w:cnfStyle w:val="001000000000" w:firstRow="0" w:lastRow="0" w:firstColumn="1" w:lastColumn="0" w:oddVBand="0" w:evenVBand="0" w:oddHBand="0" w:evenHBand="0" w:firstRowFirstColumn="0" w:firstRowLastColumn="0" w:lastRowFirstColumn="0" w:lastRowLastColumn="0"/>
            <w:tcW w:w="2410" w:type="dxa"/>
          </w:tcPr>
          <w:p w14:paraId="0D5762DA" w14:textId="77777777" w:rsidR="006817E5" w:rsidRDefault="00046939" w:rsidP="006817E5">
            <w:pPr>
              <w:jc w:val="both"/>
              <w:rPr>
                <w:rFonts w:ascii="Arial" w:hAnsi="Arial" w:cs="Arial"/>
              </w:rPr>
            </w:pPr>
            <w:r>
              <w:rPr>
                <w:rFonts w:ascii="Arial" w:hAnsi="Arial" w:cs="Arial"/>
              </w:rPr>
              <w:t>Oraşul Horezu</w:t>
            </w:r>
          </w:p>
        </w:tc>
        <w:tc>
          <w:tcPr>
            <w:tcW w:w="2411" w:type="dxa"/>
          </w:tcPr>
          <w:p w14:paraId="6C7807BB" w14:textId="77777777" w:rsidR="006817E5" w:rsidRDefault="00046939" w:rsidP="00F14C85">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50</w:t>
            </w:r>
          </w:p>
        </w:tc>
        <w:tc>
          <w:tcPr>
            <w:tcW w:w="2217" w:type="dxa"/>
          </w:tcPr>
          <w:p w14:paraId="53CD7629" w14:textId="77777777" w:rsidR="006817E5" w:rsidRDefault="00CC0188" w:rsidP="00F14C85">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86</w:t>
            </w:r>
          </w:p>
        </w:tc>
        <w:tc>
          <w:tcPr>
            <w:tcW w:w="2411" w:type="dxa"/>
          </w:tcPr>
          <w:p w14:paraId="0C3AEC06" w14:textId="77777777" w:rsidR="006817E5" w:rsidRDefault="00F14C85" w:rsidP="00CC0188">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t>
            </w:r>
            <w:r w:rsidR="00CC0188">
              <w:rPr>
                <w:rFonts w:ascii="Arial" w:hAnsi="Arial" w:cs="Arial"/>
              </w:rPr>
              <w:t>36</w:t>
            </w:r>
          </w:p>
        </w:tc>
      </w:tr>
    </w:tbl>
    <w:p w14:paraId="21630A2E" w14:textId="77777777" w:rsidR="006817E5" w:rsidRDefault="00F14C85" w:rsidP="006817E5">
      <w:pPr>
        <w:jc w:val="both"/>
        <w:rPr>
          <w:rFonts w:ascii="Arial" w:hAnsi="Arial" w:cs="Arial"/>
          <w:sz w:val="20"/>
          <w:szCs w:val="20"/>
        </w:rPr>
      </w:pPr>
      <w:r w:rsidRPr="00F14C85">
        <w:rPr>
          <w:rFonts w:ascii="Arial" w:hAnsi="Arial" w:cs="Arial"/>
          <w:sz w:val="20"/>
          <w:szCs w:val="20"/>
        </w:rPr>
        <w:t>Sursa: date Tempo Online INSSE</w:t>
      </w:r>
    </w:p>
    <w:p w14:paraId="6F8A54A2" w14:textId="77777777" w:rsidR="00F14C85" w:rsidRDefault="00F14C85" w:rsidP="006817E5">
      <w:pPr>
        <w:jc w:val="both"/>
        <w:rPr>
          <w:rFonts w:ascii="Arial" w:hAnsi="Arial" w:cs="Arial"/>
          <w:sz w:val="20"/>
          <w:szCs w:val="20"/>
        </w:rPr>
      </w:pPr>
    </w:p>
    <w:p w14:paraId="28DDC776" w14:textId="77777777" w:rsidR="00F14C85" w:rsidRDefault="00F14C85" w:rsidP="003E323F">
      <w:pPr>
        <w:spacing w:line="276" w:lineRule="auto"/>
        <w:jc w:val="both"/>
        <w:rPr>
          <w:rFonts w:ascii="Arial" w:hAnsi="Arial" w:cs="Arial"/>
        </w:rPr>
      </w:pPr>
      <w:r w:rsidRPr="003E42F2">
        <w:rPr>
          <w:rFonts w:ascii="Arial" w:hAnsi="Arial" w:cs="Arial"/>
        </w:rPr>
        <w:t xml:space="preserve">Mișcarea migratorie </w:t>
      </w:r>
      <w:r w:rsidR="00CC08A0">
        <w:rPr>
          <w:rFonts w:ascii="Arial" w:hAnsi="Arial" w:cs="Arial"/>
        </w:rPr>
        <w:t xml:space="preserve">a populației </w:t>
      </w:r>
      <w:r w:rsidRPr="003E42F2">
        <w:rPr>
          <w:rFonts w:ascii="Arial" w:hAnsi="Arial" w:cs="Arial"/>
        </w:rPr>
        <w:t>reprezintă totalitatea deplasărilor însoțite de schimbarea definitiv</w:t>
      </w:r>
      <w:r w:rsidR="003E42F2">
        <w:rPr>
          <w:rFonts w:ascii="Arial" w:hAnsi="Arial" w:cs="Arial"/>
        </w:rPr>
        <w:t>ă</w:t>
      </w:r>
      <w:r w:rsidRPr="003E42F2">
        <w:rPr>
          <w:rFonts w:ascii="Arial" w:hAnsi="Arial" w:cs="Arial"/>
        </w:rPr>
        <w:t xml:space="preserve"> a domiciliului între unități teritorial – administrative ale </w:t>
      </w:r>
      <w:r w:rsidR="003E42F2">
        <w:rPr>
          <w:rFonts w:ascii="Arial" w:hAnsi="Arial" w:cs="Arial"/>
        </w:rPr>
        <w:t>ță</w:t>
      </w:r>
      <w:r w:rsidRPr="003E42F2">
        <w:rPr>
          <w:rFonts w:ascii="Arial" w:hAnsi="Arial" w:cs="Arial"/>
        </w:rPr>
        <w:t>rii</w:t>
      </w:r>
      <w:r w:rsidR="003E323F">
        <w:rPr>
          <w:rFonts w:ascii="Arial" w:hAnsi="Arial" w:cs="Arial"/>
        </w:rPr>
        <w:t xml:space="preserve">, </w:t>
      </w:r>
      <w:r w:rsidR="003E323F" w:rsidRPr="003E323F">
        <w:rPr>
          <w:rFonts w:ascii="Arial" w:hAnsi="Arial" w:cs="Arial"/>
        </w:rPr>
        <w:t>inclusiv migra</w:t>
      </w:r>
      <w:r w:rsidR="003E323F">
        <w:rPr>
          <w:rFonts w:ascii="Arial" w:hAnsi="Arial" w:cs="Arial"/>
        </w:rPr>
        <w:t>ț</w:t>
      </w:r>
      <w:r w:rsidR="003E323F" w:rsidRPr="003E323F">
        <w:rPr>
          <w:rFonts w:ascii="Arial" w:hAnsi="Arial" w:cs="Arial"/>
        </w:rPr>
        <w:t>ia interna</w:t>
      </w:r>
      <w:r w:rsidR="003E323F">
        <w:rPr>
          <w:rFonts w:ascii="Arial" w:hAnsi="Arial" w:cs="Arial"/>
        </w:rPr>
        <w:t>ț</w:t>
      </w:r>
      <w:r w:rsidR="003E323F" w:rsidRPr="003E323F">
        <w:rPr>
          <w:rFonts w:ascii="Arial" w:hAnsi="Arial" w:cs="Arial"/>
        </w:rPr>
        <w:t>ional</w:t>
      </w:r>
      <w:r w:rsidR="003E323F">
        <w:rPr>
          <w:rFonts w:ascii="Arial" w:hAnsi="Arial" w:cs="Arial"/>
        </w:rPr>
        <w:t>ă</w:t>
      </w:r>
      <w:r w:rsidRPr="003E42F2">
        <w:rPr>
          <w:rFonts w:ascii="Arial" w:hAnsi="Arial" w:cs="Arial"/>
        </w:rPr>
        <w:t>.</w:t>
      </w:r>
      <w:r w:rsidR="003E323F">
        <w:rPr>
          <w:rFonts w:ascii="Arial" w:hAnsi="Arial" w:cs="Arial"/>
        </w:rPr>
        <w:t xml:space="preserve"> </w:t>
      </w:r>
      <w:r w:rsidRPr="003E42F2">
        <w:rPr>
          <w:rFonts w:ascii="Arial" w:hAnsi="Arial" w:cs="Arial"/>
        </w:rPr>
        <w:t xml:space="preserve"> Aceasta mișcare este corelat</w:t>
      </w:r>
      <w:r w:rsidR="003E323F">
        <w:rPr>
          <w:rFonts w:ascii="Arial" w:hAnsi="Arial" w:cs="Arial"/>
        </w:rPr>
        <w:t>ă</w:t>
      </w:r>
      <w:r w:rsidRPr="003E42F2">
        <w:rPr>
          <w:rFonts w:ascii="Arial" w:hAnsi="Arial" w:cs="Arial"/>
        </w:rPr>
        <w:t xml:space="preserve"> cu procesele</w:t>
      </w:r>
      <w:r w:rsidR="003E42F2" w:rsidRPr="003E42F2">
        <w:rPr>
          <w:rFonts w:ascii="Arial" w:hAnsi="Arial" w:cs="Arial"/>
        </w:rPr>
        <w:t xml:space="preserve"> </w:t>
      </w:r>
      <w:r w:rsidRPr="003E42F2">
        <w:rPr>
          <w:rFonts w:ascii="Arial" w:hAnsi="Arial" w:cs="Arial"/>
        </w:rPr>
        <w:t>de dezvoltare și schimbările economice, de structura social</w:t>
      </w:r>
      <w:r w:rsidR="003E323F">
        <w:rPr>
          <w:rFonts w:ascii="Arial" w:hAnsi="Arial" w:cs="Arial"/>
        </w:rPr>
        <w:t>ă</w:t>
      </w:r>
      <w:r w:rsidRPr="003E42F2">
        <w:rPr>
          <w:rFonts w:ascii="Arial" w:hAnsi="Arial" w:cs="Arial"/>
        </w:rPr>
        <w:t xml:space="preserve"> sau de calitatea a vieții. Alături de mișcarea</w:t>
      </w:r>
      <w:r w:rsidR="003E42F2" w:rsidRPr="003E42F2">
        <w:rPr>
          <w:rFonts w:ascii="Arial" w:hAnsi="Arial" w:cs="Arial"/>
        </w:rPr>
        <w:t xml:space="preserve"> </w:t>
      </w:r>
      <w:r w:rsidR="006D4CD6">
        <w:rPr>
          <w:rFonts w:ascii="Arial" w:hAnsi="Arial" w:cs="Arial"/>
        </w:rPr>
        <w:t>naturală</w:t>
      </w:r>
      <w:r w:rsidRPr="003E42F2">
        <w:rPr>
          <w:rFonts w:ascii="Arial" w:hAnsi="Arial" w:cs="Arial"/>
        </w:rPr>
        <w:t xml:space="preserve"> a populației contribuie la creșterea sau scăderea populației, data de soldul migrator.</w:t>
      </w:r>
    </w:p>
    <w:p w14:paraId="5F39B00A" w14:textId="2E52EBD4" w:rsidR="003E323F" w:rsidRPr="00F65676" w:rsidRDefault="00F65676" w:rsidP="00F65676">
      <w:pPr>
        <w:pStyle w:val="Legend"/>
        <w:jc w:val="center"/>
        <w:rPr>
          <w:rFonts w:ascii="Arial" w:hAnsi="Arial" w:cs="Arial"/>
          <w:i w:val="0"/>
          <w:iCs w:val="0"/>
          <w:sz w:val="22"/>
          <w:szCs w:val="22"/>
        </w:rPr>
      </w:pPr>
      <w:bookmarkStart w:id="63" w:name="_Toc68361213"/>
      <w:bookmarkStart w:id="64" w:name="_Toc140744570"/>
      <w:r w:rsidRPr="00F65676">
        <w:rPr>
          <w:rFonts w:ascii="Arial" w:hAnsi="Arial" w:cs="Arial"/>
          <w:sz w:val="22"/>
          <w:szCs w:val="22"/>
        </w:rPr>
        <w:t xml:space="preserve">Tabel I.2. </w:t>
      </w:r>
      <w:r w:rsidRPr="00F65676">
        <w:rPr>
          <w:rFonts w:ascii="Arial" w:hAnsi="Arial" w:cs="Arial"/>
          <w:sz w:val="22"/>
          <w:szCs w:val="22"/>
        </w:rPr>
        <w:fldChar w:fldCharType="begin"/>
      </w:r>
      <w:r w:rsidRPr="00F65676">
        <w:rPr>
          <w:rFonts w:ascii="Arial" w:hAnsi="Arial" w:cs="Arial"/>
          <w:sz w:val="22"/>
          <w:szCs w:val="22"/>
        </w:rPr>
        <w:instrText xml:space="preserve"> SEQ Tabel_I.2. \* ARABIC </w:instrText>
      </w:r>
      <w:r w:rsidRPr="00F65676">
        <w:rPr>
          <w:rFonts w:ascii="Arial" w:hAnsi="Arial" w:cs="Arial"/>
          <w:sz w:val="22"/>
          <w:szCs w:val="22"/>
        </w:rPr>
        <w:fldChar w:fldCharType="separate"/>
      </w:r>
      <w:r w:rsidR="00BB181C">
        <w:rPr>
          <w:rFonts w:ascii="Arial" w:hAnsi="Arial" w:cs="Arial"/>
          <w:noProof/>
          <w:sz w:val="22"/>
          <w:szCs w:val="22"/>
        </w:rPr>
        <w:t>4</w:t>
      </w:r>
      <w:r w:rsidRPr="00F65676">
        <w:rPr>
          <w:rFonts w:ascii="Arial" w:hAnsi="Arial" w:cs="Arial"/>
          <w:sz w:val="22"/>
          <w:szCs w:val="22"/>
        </w:rPr>
        <w:fldChar w:fldCharType="end"/>
      </w:r>
      <w:r>
        <w:rPr>
          <w:rFonts w:ascii="Arial" w:hAnsi="Arial" w:cs="Arial"/>
          <w:sz w:val="22"/>
          <w:szCs w:val="22"/>
        </w:rPr>
        <w:t xml:space="preserve"> </w:t>
      </w:r>
      <w:r w:rsidR="005A73BC" w:rsidRPr="00F65676">
        <w:rPr>
          <w:rFonts w:ascii="Arial" w:hAnsi="Arial" w:cs="Arial"/>
          <w:sz w:val="22"/>
          <w:szCs w:val="22"/>
        </w:rPr>
        <w:t>–</w:t>
      </w:r>
      <w:r w:rsidR="00CC08A0" w:rsidRPr="00F65676">
        <w:rPr>
          <w:rFonts w:ascii="Arial" w:hAnsi="Arial" w:cs="Arial"/>
          <w:sz w:val="22"/>
          <w:szCs w:val="22"/>
        </w:rPr>
        <w:t xml:space="preserve"> </w:t>
      </w:r>
      <w:r w:rsidR="005A73BC" w:rsidRPr="00F65676">
        <w:rPr>
          <w:rFonts w:ascii="Arial" w:hAnsi="Arial" w:cs="Arial"/>
          <w:i w:val="0"/>
          <w:iCs w:val="0"/>
          <w:sz w:val="22"/>
          <w:szCs w:val="22"/>
        </w:rPr>
        <w:t>Mișcarea migratorie a populației</w:t>
      </w:r>
      <w:bookmarkEnd w:id="63"/>
      <w:bookmarkEnd w:id="64"/>
    </w:p>
    <w:tbl>
      <w:tblPr>
        <w:tblStyle w:val="PlainTable21"/>
        <w:tblW w:w="0" w:type="auto"/>
        <w:tblLook w:val="04A0" w:firstRow="1" w:lastRow="0" w:firstColumn="1" w:lastColumn="0" w:noHBand="0" w:noVBand="1"/>
      </w:tblPr>
      <w:tblGrid>
        <w:gridCol w:w="2410"/>
        <w:gridCol w:w="2411"/>
        <w:gridCol w:w="2411"/>
        <w:gridCol w:w="2411"/>
      </w:tblGrid>
      <w:tr w:rsidR="003E323F" w14:paraId="52EF7B66" w14:textId="77777777" w:rsidTr="002646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432355FC" w14:textId="77777777" w:rsidR="003E323F" w:rsidRPr="002646B5" w:rsidRDefault="003E323F" w:rsidP="00F65676">
            <w:pPr>
              <w:jc w:val="center"/>
              <w:rPr>
                <w:rFonts w:ascii="Arial" w:hAnsi="Arial" w:cs="Arial"/>
                <w:bCs w:val="0"/>
              </w:rPr>
            </w:pPr>
            <w:r w:rsidRPr="002646B5">
              <w:rPr>
                <w:rFonts w:ascii="Arial" w:hAnsi="Arial" w:cs="Arial"/>
                <w:bCs w:val="0"/>
              </w:rPr>
              <w:t>Anul 20</w:t>
            </w:r>
            <w:r w:rsidR="00F65676" w:rsidRPr="002646B5">
              <w:rPr>
                <w:rFonts w:ascii="Arial" w:hAnsi="Arial" w:cs="Arial"/>
                <w:bCs w:val="0"/>
              </w:rPr>
              <w:t>20</w:t>
            </w:r>
          </w:p>
        </w:tc>
        <w:tc>
          <w:tcPr>
            <w:tcW w:w="2411" w:type="dxa"/>
          </w:tcPr>
          <w:p w14:paraId="3DA68308" w14:textId="77777777" w:rsidR="003E323F" w:rsidRPr="002646B5" w:rsidRDefault="00163704" w:rsidP="00CC08A0">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2646B5">
              <w:rPr>
                <w:rFonts w:ascii="Arial" w:hAnsi="Arial" w:cs="Arial"/>
                <w:bCs w:val="0"/>
              </w:rPr>
              <w:t>Stabiliri cu domiciliul</w:t>
            </w:r>
          </w:p>
        </w:tc>
        <w:tc>
          <w:tcPr>
            <w:tcW w:w="2411" w:type="dxa"/>
          </w:tcPr>
          <w:p w14:paraId="37FDA59F" w14:textId="77777777" w:rsidR="003E323F" w:rsidRPr="002646B5" w:rsidRDefault="003E323F" w:rsidP="00CC08A0">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2646B5">
              <w:rPr>
                <w:rFonts w:ascii="Arial" w:hAnsi="Arial" w:cs="Arial"/>
                <w:bCs w:val="0"/>
              </w:rPr>
              <w:t>Plecări</w:t>
            </w:r>
          </w:p>
        </w:tc>
        <w:tc>
          <w:tcPr>
            <w:tcW w:w="2411" w:type="dxa"/>
          </w:tcPr>
          <w:p w14:paraId="18C784D4" w14:textId="77777777" w:rsidR="003E323F" w:rsidRPr="002646B5" w:rsidRDefault="003E323F" w:rsidP="00CC08A0">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2646B5">
              <w:rPr>
                <w:rFonts w:ascii="Arial" w:hAnsi="Arial" w:cs="Arial"/>
                <w:bCs w:val="0"/>
              </w:rPr>
              <w:t>Sold</w:t>
            </w:r>
          </w:p>
          <w:p w14:paraId="393F781B" w14:textId="77777777" w:rsidR="003E323F" w:rsidRPr="002646B5" w:rsidRDefault="003E323F" w:rsidP="00CC08A0">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p>
        </w:tc>
      </w:tr>
      <w:tr w:rsidR="003E323F" w14:paraId="1631587E" w14:textId="77777777" w:rsidTr="002646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485DDEDB" w14:textId="77777777" w:rsidR="003E323F" w:rsidRDefault="003E323F" w:rsidP="00F65676">
            <w:pPr>
              <w:jc w:val="both"/>
              <w:rPr>
                <w:rFonts w:ascii="Arial" w:hAnsi="Arial" w:cs="Arial"/>
              </w:rPr>
            </w:pPr>
            <w:r>
              <w:rPr>
                <w:rFonts w:ascii="Arial" w:hAnsi="Arial" w:cs="Arial"/>
              </w:rPr>
              <w:t xml:space="preserve">Județul </w:t>
            </w:r>
            <w:r w:rsidR="00F65676">
              <w:rPr>
                <w:rFonts w:ascii="Arial" w:hAnsi="Arial" w:cs="Arial"/>
              </w:rPr>
              <w:t>Vâlcea</w:t>
            </w:r>
          </w:p>
        </w:tc>
        <w:tc>
          <w:tcPr>
            <w:tcW w:w="2411" w:type="dxa"/>
          </w:tcPr>
          <w:p w14:paraId="543B597D" w14:textId="77777777" w:rsidR="003E323F" w:rsidRDefault="00163704" w:rsidP="00CC08A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6323</w:t>
            </w:r>
          </w:p>
        </w:tc>
        <w:tc>
          <w:tcPr>
            <w:tcW w:w="2411" w:type="dxa"/>
          </w:tcPr>
          <w:p w14:paraId="03E4F9C3" w14:textId="77777777" w:rsidR="003E323F" w:rsidRDefault="00163704" w:rsidP="00CC08A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6168</w:t>
            </w:r>
          </w:p>
        </w:tc>
        <w:tc>
          <w:tcPr>
            <w:tcW w:w="2411" w:type="dxa"/>
          </w:tcPr>
          <w:p w14:paraId="024E7028" w14:textId="77777777" w:rsidR="003E323F" w:rsidRPr="00F14C85" w:rsidRDefault="00163704" w:rsidP="00CC08A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155</w:t>
            </w:r>
          </w:p>
        </w:tc>
      </w:tr>
      <w:tr w:rsidR="003E323F" w14:paraId="44788FE1" w14:textId="77777777" w:rsidTr="002646B5">
        <w:tc>
          <w:tcPr>
            <w:cnfStyle w:val="001000000000" w:firstRow="0" w:lastRow="0" w:firstColumn="1" w:lastColumn="0" w:oddVBand="0" w:evenVBand="0" w:oddHBand="0" w:evenHBand="0" w:firstRowFirstColumn="0" w:firstRowLastColumn="0" w:lastRowFirstColumn="0" w:lastRowLastColumn="0"/>
            <w:tcW w:w="2410" w:type="dxa"/>
          </w:tcPr>
          <w:p w14:paraId="7E1CA8D2" w14:textId="77777777" w:rsidR="003E323F" w:rsidRDefault="00F65676" w:rsidP="00CC08A0">
            <w:pPr>
              <w:jc w:val="both"/>
              <w:rPr>
                <w:rFonts w:ascii="Arial" w:hAnsi="Arial" w:cs="Arial"/>
              </w:rPr>
            </w:pPr>
            <w:r>
              <w:rPr>
                <w:rFonts w:ascii="Arial" w:hAnsi="Arial" w:cs="Arial"/>
              </w:rPr>
              <w:t>Oraşul Horezu</w:t>
            </w:r>
          </w:p>
        </w:tc>
        <w:tc>
          <w:tcPr>
            <w:tcW w:w="2411" w:type="dxa"/>
          </w:tcPr>
          <w:p w14:paraId="2C858956" w14:textId="77777777" w:rsidR="003E323F" w:rsidRDefault="00163704" w:rsidP="00CC08A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83</w:t>
            </w:r>
          </w:p>
        </w:tc>
        <w:tc>
          <w:tcPr>
            <w:tcW w:w="2411" w:type="dxa"/>
          </w:tcPr>
          <w:p w14:paraId="19F26443" w14:textId="77777777" w:rsidR="003E323F" w:rsidRDefault="00163704" w:rsidP="00CC08A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80</w:t>
            </w:r>
          </w:p>
        </w:tc>
        <w:tc>
          <w:tcPr>
            <w:tcW w:w="2411" w:type="dxa"/>
          </w:tcPr>
          <w:p w14:paraId="02FD24C7" w14:textId="77777777" w:rsidR="003E323F" w:rsidRDefault="00163704" w:rsidP="00CC08A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3</w:t>
            </w:r>
          </w:p>
        </w:tc>
      </w:tr>
    </w:tbl>
    <w:p w14:paraId="60347D4F" w14:textId="77777777" w:rsidR="00F65676" w:rsidRDefault="00F65676" w:rsidP="00F65676">
      <w:r>
        <w:rPr>
          <w:rFonts w:ascii="Arial" w:hAnsi="Arial" w:cs="Arial"/>
          <w:noProof/>
          <w:sz w:val="16"/>
          <w:szCs w:val="16"/>
        </w:rPr>
        <w:t xml:space="preserve">Sursa: </w:t>
      </w:r>
      <w:r w:rsidRPr="00BD3A3B">
        <w:rPr>
          <w:rFonts w:ascii="Arial" w:hAnsi="Arial" w:cs="Arial"/>
          <w:noProof/>
          <w:sz w:val="16"/>
          <w:szCs w:val="16"/>
        </w:rPr>
        <w:t>http://statistici.insse.ro</w:t>
      </w:r>
    </w:p>
    <w:p w14:paraId="58B836FC" w14:textId="77777777" w:rsidR="00F65676" w:rsidRDefault="00F65676" w:rsidP="006817E5">
      <w:pPr>
        <w:jc w:val="both"/>
        <w:rPr>
          <w:rFonts w:ascii="Arial" w:hAnsi="Arial" w:cs="Arial"/>
          <w:b/>
          <w:bCs/>
        </w:rPr>
      </w:pPr>
    </w:p>
    <w:p w14:paraId="2E2241FB" w14:textId="77777777" w:rsidR="00472412" w:rsidRDefault="00472412" w:rsidP="006817E5">
      <w:pPr>
        <w:jc w:val="both"/>
        <w:rPr>
          <w:rFonts w:ascii="Arial" w:hAnsi="Arial" w:cs="Arial"/>
          <w:b/>
          <w:bCs/>
        </w:rPr>
      </w:pPr>
    </w:p>
    <w:p w14:paraId="734A0B41" w14:textId="77777777" w:rsidR="00F14C85" w:rsidRDefault="005A73BC" w:rsidP="006817E5">
      <w:pPr>
        <w:jc w:val="both"/>
        <w:rPr>
          <w:rFonts w:ascii="Arial" w:hAnsi="Arial" w:cs="Arial"/>
          <w:b/>
          <w:bCs/>
        </w:rPr>
      </w:pPr>
      <w:r>
        <w:rPr>
          <w:rFonts w:ascii="Arial" w:hAnsi="Arial" w:cs="Arial"/>
          <w:b/>
          <w:bCs/>
        </w:rPr>
        <w:t>Contextul economic</w:t>
      </w:r>
    </w:p>
    <w:p w14:paraId="7A9EAAFB" w14:textId="77777777" w:rsidR="009C6E78" w:rsidRDefault="00736BAF" w:rsidP="006817E5">
      <w:pPr>
        <w:jc w:val="both"/>
        <w:rPr>
          <w:rFonts w:ascii="Arial" w:hAnsi="Arial" w:cs="Arial"/>
          <w:bCs/>
        </w:rPr>
      </w:pPr>
      <w:r>
        <w:rPr>
          <w:rFonts w:ascii="Arial" w:hAnsi="Arial" w:cs="Arial"/>
          <w:bCs/>
        </w:rPr>
        <w:t xml:space="preserve">Oraşul Horezu se situează ca un centru de interes comercial şi touristic, loc de târg şi nod rutier, </w:t>
      </w:r>
      <w:r w:rsidR="00D750F5">
        <w:rPr>
          <w:rFonts w:ascii="Arial" w:hAnsi="Arial" w:cs="Arial"/>
          <w:bCs/>
        </w:rPr>
        <w:t>cee</w:t>
      </w:r>
      <w:r>
        <w:rPr>
          <w:rFonts w:ascii="Arial" w:hAnsi="Arial" w:cs="Arial"/>
          <w:bCs/>
        </w:rPr>
        <w:t>a</w:t>
      </w:r>
      <w:r w:rsidR="00D750F5">
        <w:rPr>
          <w:rFonts w:ascii="Arial" w:hAnsi="Arial" w:cs="Arial"/>
          <w:bCs/>
        </w:rPr>
        <w:t xml:space="preserve"> </w:t>
      </w:r>
      <w:r>
        <w:rPr>
          <w:rFonts w:ascii="Arial" w:hAnsi="Arial" w:cs="Arial"/>
          <w:bCs/>
        </w:rPr>
        <w:t>ce explică în bună parte dezvoltarea semnificativă a activităţilor de transport de persoane şi mărfuri în ultima perioadă.</w:t>
      </w:r>
      <w:r w:rsidR="0019422B">
        <w:rPr>
          <w:rFonts w:ascii="Arial" w:hAnsi="Arial" w:cs="Arial"/>
          <w:bCs/>
        </w:rPr>
        <w:t xml:space="preserve"> Cea mai mare parte a activităţii economice este în zona comerţului şi a serviciilor.</w:t>
      </w:r>
      <w:r w:rsidR="00472412" w:rsidRPr="00472412">
        <w:t xml:space="preserve"> </w:t>
      </w:r>
      <w:r w:rsidR="00472412" w:rsidRPr="00472412">
        <w:rPr>
          <w:rFonts w:ascii="Arial" w:hAnsi="Arial" w:cs="Arial"/>
          <w:bCs/>
        </w:rPr>
        <w:t>Poziţia oraşului, în raport cu importante căi rutiere de acces a permis şi favorizat dezvoltarea infrastructurii gener</w:t>
      </w:r>
    </w:p>
    <w:p w14:paraId="34124E74" w14:textId="77777777" w:rsidR="00736BAF" w:rsidRDefault="00472412" w:rsidP="006817E5">
      <w:pPr>
        <w:jc w:val="both"/>
        <w:rPr>
          <w:rFonts w:ascii="Arial" w:hAnsi="Arial" w:cs="Arial"/>
          <w:bCs/>
        </w:rPr>
      </w:pPr>
      <w:r w:rsidRPr="00472412">
        <w:rPr>
          <w:rFonts w:ascii="Arial" w:hAnsi="Arial" w:cs="Arial"/>
          <w:bCs/>
        </w:rPr>
        <w:t>ale, a infrastructurii specifice turismului şi a utilităţilor de bază</w:t>
      </w:r>
      <w:r>
        <w:rPr>
          <w:rFonts w:ascii="Arial" w:hAnsi="Arial" w:cs="Arial"/>
          <w:bCs/>
        </w:rPr>
        <w:t>.</w:t>
      </w:r>
    </w:p>
    <w:p w14:paraId="3D5887F1" w14:textId="77777777" w:rsidR="00432B5D" w:rsidRDefault="00432B5D" w:rsidP="006817E5">
      <w:pPr>
        <w:jc w:val="both"/>
        <w:rPr>
          <w:rFonts w:ascii="Arial" w:hAnsi="Arial" w:cs="Arial"/>
          <w:bCs/>
        </w:rPr>
      </w:pPr>
    </w:p>
    <w:p w14:paraId="0863ED30" w14:textId="77777777" w:rsidR="003C0724" w:rsidRDefault="003C0724" w:rsidP="006817E5">
      <w:pPr>
        <w:jc w:val="both"/>
        <w:rPr>
          <w:rFonts w:ascii="Arial" w:hAnsi="Arial" w:cs="Arial"/>
          <w:bCs/>
        </w:rPr>
      </w:pPr>
      <w:r>
        <w:rPr>
          <w:rFonts w:ascii="Arial" w:hAnsi="Arial" w:cs="Arial"/>
          <w:bCs/>
        </w:rPr>
        <w:t>Horezu e</w:t>
      </w:r>
      <w:r w:rsidRPr="003C0724">
        <w:rPr>
          <w:rFonts w:ascii="Arial" w:hAnsi="Arial" w:cs="Arial"/>
          <w:bCs/>
        </w:rPr>
        <w:t>ste unul dintre centrele de artă populară tradiţională cele mai însemnate din România.</w:t>
      </w:r>
      <w:r w:rsidR="0019422B">
        <w:rPr>
          <w:rFonts w:ascii="Arial" w:hAnsi="Arial" w:cs="Arial"/>
          <w:bCs/>
        </w:rPr>
        <w:t xml:space="preserve"> Artizanatul ca şi industrie culturală locală a fost dezvoltată cu succes ca mjloc de dezvoltare economică a localităţii. Olăritul este o industrie locală recunoscută la nivelul oraşului Horezu şi a regiunii din care face parte.</w:t>
      </w:r>
    </w:p>
    <w:p w14:paraId="7C8F0C99" w14:textId="77777777" w:rsidR="0019422B" w:rsidRDefault="0019422B" w:rsidP="006817E5">
      <w:pPr>
        <w:jc w:val="both"/>
        <w:rPr>
          <w:rFonts w:ascii="Arial" w:hAnsi="Arial" w:cs="Arial"/>
          <w:bCs/>
        </w:rPr>
      </w:pPr>
      <w:r>
        <w:rPr>
          <w:rFonts w:ascii="Arial" w:hAnsi="Arial" w:cs="Arial"/>
          <w:bCs/>
        </w:rPr>
        <w:t xml:space="preserve">Turismul a constituit o activitate economică cu un capital de încredere din ce în ce mai mare în rândul investitorilor şi operatorilor economici locali, datp fiind amplasarea localităţii într-un cadru montan şi sub-montan, completat de o poziţie favorabilă în teritoriu şi cu un areal </w:t>
      </w:r>
      <w:r w:rsidR="009161F0">
        <w:rPr>
          <w:rFonts w:ascii="Arial" w:hAnsi="Arial" w:cs="Arial"/>
          <w:bCs/>
        </w:rPr>
        <w:t>t</w:t>
      </w:r>
      <w:r>
        <w:rPr>
          <w:rFonts w:ascii="Arial" w:hAnsi="Arial" w:cs="Arial"/>
          <w:bCs/>
        </w:rPr>
        <w:t xml:space="preserve">uristic renumit. </w:t>
      </w:r>
      <w:r w:rsidR="009161F0">
        <w:rPr>
          <w:rFonts w:ascii="Arial" w:hAnsi="Arial" w:cs="Arial"/>
          <w:bCs/>
        </w:rPr>
        <w:t xml:space="preserve">Pe teritoriul localităţii  există două monumente UNESCO: ansamblul </w:t>
      </w:r>
      <w:r w:rsidR="00CA6878">
        <w:rPr>
          <w:rFonts w:ascii="Arial" w:hAnsi="Arial" w:cs="Arial"/>
          <w:bCs/>
        </w:rPr>
        <w:t xml:space="preserve">Mânăstirii Hurez situate în satul aparţinător Romanii de Jos şi ceramic smălţuită de Horez – un brand al oraşului, pentru care mulţi turişti aleg Horezu ca destinaţie turistică. Patrimoniul cultural construit al oraşului Horezu </w:t>
      </w:r>
      <w:r w:rsidR="00CA6878">
        <w:rPr>
          <w:rFonts w:ascii="Arial" w:hAnsi="Arial" w:cs="Arial"/>
          <w:bCs/>
        </w:rPr>
        <w:lastRenderedPageBreak/>
        <w:t>include 27 monumente istorice clasificate – biserici, case şi ansambluri de locuinţe şi 9 de categorie B – şantiere arheologice.</w:t>
      </w:r>
    </w:p>
    <w:p w14:paraId="16E33256" w14:textId="77777777" w:rsidR="003C0724" w:rsidRDefault="00D750F5" w:rsidP="00917194">
      <w:pPr>
        <w:spacing w:after="0" w:line="276" w:lineRule="auto"/>
        <w:jc w:val="both"/>
        <w:rPr>
          <w:rFonts w:ascii="Arial" w:hAnsi="Arial" w:cs="Arial"/>
        </w:rPr>
      </w:pPr>
      <w:r w:rsidRPr="00D750F5">
        <w:rPr>
          <w:rFonts w:ascii="Arial" w:hAnsi="Arial" w:cs="Arial"/>
        </w:rPr>
        <w:t xml:space="preserve">Într-o situaţie furnizată de Primăria Oraşului Horezu, între principalele instituţii şi agenţi economici de pe raza oraşului Horezu figurează: primăria, poliţia, jandermeria, instituţii judecătoreşti, unităţi de învăţământ, spital, societăţi bancare, birouri notariale, farmacii, societăţi având ca obiect de actiivtate transportul rutier de persoane şi mărfuri, unităţi de deservire alimentară, hoteluri, unităţi cu activitate în domeniul comerţului cu amănuntul, unităţi panificaţie, unitate producător ambalaje plastic etc. </w:t>
      </w:r>
    </w:p>
    <w:p w14:paraId="250EBE52" w14:textId="77777777" w:rsidR="00D750F5" w:rsidRDefault="002F73F2" w:rsidP="00917194">
      <w:pPr>
        <w:spacing w:after="0" w:line="276" w:lineRule="auto"/>
        <w:jc w:val="both"/>
        <w:rPr>
          <w:rFonts w:ascii="Arial" w:hAnsi="Arial" w:cs="Arial"/>
        </w:rPr>
      </w:pPr>
      <w:r>
        <w:rPr>
          <w:rFonts w:ascii="Arial" w:hAnsi="Arial" w:cs="Arial"/>
        </w:rPr>
        <w:t>Domeniile cu cea mai mare competitivitate (în raport cu media naţională)</w:t>
      </w:r>
      <w:r w:rsidR="00D750F5">
        <w:rPr>
          <w:rFonts w:ascii="Arial" w:hAnsi="Arial" w:cs="Arial"/>
        </w:rPr>
        <w:t xml:space="preserve"> în care îşi desfăşoară activitatea societăţile comerciale de pe raza oraşului Horezu sunt:</w:t>
      </w:r>
    </w:p>
    <w:p w14:paraId="41A828A7" w14:textId="77777777" w:rsidR="00D750F5" w:rsidRDefault="002F73F2" w:rsidP="006B613A">
      <w:pPr>
        <w:pStyle w:val="Listparagraf"/>
        <w:numPr>
          <w:ilvl w:val="0"/>
          <w:numId w:val="51"/>
        </w:numPr>
        <w:spacing w:after="0"/>
        <w:jc w:val="both"/>
        <w:rPr>
          <w:rFonts w:ascii="Arial" w:hAnsi="Arial" w:cs="Arial"/>
        </w:rPr>
      </w:pPr>
      <w:r w:rsidRPr="002F73F2">
        <w:rPr>
          <w:rFonts w:ascii="Arial" w:hAnsi="Arial" w:cs="Arial"/>
        </w:rPr>
        <w:t>Fabricarea articolelor ceramic</w:t>
      </w:r>
      <w:r>
        <w:rPr>
          <w:rFonts w:ascii="Arial" w:hAnsi="Arial" w:cs="Arial"/>
        </w:rPr>
        <w:t>e pentru uz gospodăresc ş</w:t>
      </w:r>
      <w:r w:rsidRPr="002F73F2">
        <w:rPr>
          <w:rFonts w:ascii="Arial" w:hAnsi="Arial" w:cs="Arial"/>
        </w:rPr>
        <w:t>i ornamental</w:t>
      </w:r>
      <w:r>
        <w:rPr>
          <w:rFonts w:ascii="Arial" w:hAnsi="Arial" w:cs="Arial"/>
        </w:rPr>
        <w:t>;</w:t>
      </w:r>
    </w:p>
    <w:p w14:paraId="6B2C78D7" w14:textId="77777777" w:rsidR="002F73F2" w:rsidRDefault="002F73F2" w:rsidP="006B613A">
      <w:pPr>
        <w:pStyle w:val="Listparagraf"/>
        <w:numPr>
          <w:ilvl w:val="0"/>
          <w:numId w:val="51"/>
        </w:numPr>
        <w:spacing w:after="0"/>
        <w:jc w:val="both"/>
        <w:rPr>
          <w:rFonts w:ascii="Arial" w:hAnsi="Arial" w:cs="Arial"/>
        </w:rPr>
      </w:pPr>
      <w:r>
        <w:rPr>
          <w:rFonts w:ascii="Arial" w:hAnsi="Arial" w:cs="Arial"/>
        </w:rPr>
        <w:t>Comerţ cu amănuntul al textilelor, î</w:t>
      </w:r>
      <w:r w:rsidRPr="002F73F2">
        <w:rPr>
          <w:rFonts w:ascii="Arial" w:hAnsi="Arial" w:cs="Arial"/>
        </w:rPr>
        <w:t>n magazine specializate</w:t>
      </w:r>
      <w:r>
        <w:rPr>
          <w:rFonts w:ascii="Arial" w:hAnsi="Arial" w:cs="Arial"/>
        </w:rPr>
        <w:t>;</w:t>
      </w:r>
    </w:p>
    <w:p w14:paraId="2424B8B5" w14:textId="77777777" w:rsidR="002F73F2" w:rsidRDefault="002F73F2" w:rsidP="006B613A">
      <w:pPr>
        <w:pStyle w:val="Listparagraf"/>
        <w:numPr>
          <w:ilvl w:val="0"/>
          <w:numId w:val="51"/>
        </w:numPr>
        <w:spacing w:after="0"/>
        <w:jc w:val="both"/>
        <w:rPr>
          <w:rFonts w:ascii="Arial" w:hAnsi="Arial" w:cs="Arial"/>
        </w:rPr>
      </w:pPr>
      <w:r w:rsidRPr="002F73F2">
        <w:rPr>
          <w:rFonts w:ascii="Arial" w:hAnsi="Arial" w:cs="Arial"/>
        </w:rPr>
        <w:t>Alte servicii de cazare</w:t>
      </w:r>
      <w:r>
        <w:rPr>
          <w:rFonts w:ascii="Arial" w:hAnsi="Arial" w:cs="Arial"/>
        </w:rPr>
        <w:t>;</w:t>
      </w:r>
    </w:p>
    <w:p w14:paraId="2FCEC11C" w14:textId="77777777" w:rsidR="002F73F2" w:rsidRDefault="002F73F2" w:rsidP="006B613A">
      <w:pPr>
        <w:pStyle w:val="Listparagraf"/>
        <w:numPr>
          <w:ilvl w:val="0"/>
          <w:numId w:val="51"/>
        </w:numPr>
        <w:spacing w:after="0"/>
        <w:jc w:val="both"/>
        <w:rPr>
          <w:rFonts w:ascii="Arial" w:hAnsi="Arial" w:cs="Arial"/>
        </w:rPr>
      </w:pPr>
      <w:r>
        <w:rPr>
          <w:rFonts w:ascii="Arial" w:hAnsi="Arial" w:cs="Arial"/>
        </w:rPr>
        <w:t>Exploatarea forestieră;</w:t>
      </w:r>
    </w:p>
    <w:p w14:paraId="29D32258" w14:textId="77777777" w:rsidR="002F73F2" w:rsidRDefault="002F73F2" w:rsidP="006B613A">
      <w:pPr>
        <w:pStyle w:val="Listparagraf"/>
        <w:numPr>
          <w:ilvl w:val="0"/>
          <w:numId w:val="51"/>
        </w:numPr>
        <w:spacing w:after="0"/>
        <w:jc w:val="both"/>
        <w:rPr>
          <w:rFonts w:ascii="Arial" w:hAnsi="Arial" w:cs="Arial"/>
        </w:rPr>
      </w:pPr>
      <w:r>
        <w:rPr>
          <w:rFonts w:ascii="Arial" w:hAnsi="Arial" w:cs="Arial"/>
        </w:rPr>
        <w:t>Comerţ cu amă</w:t>
      </w:r>
      <w:r w:rsidRPr="002F73F2">
        <w:rPr>
          <w:rFonts w:ascii="Arial" w:hAnsi="Arial" w:cs="Arial"/>
        </w:rPr>
        <w:t>nuntul al mobil</w:t>
      </w:r>
      <w:r>
        <w:rPr>
          <w:rFonts w:ascii="Arial" w:hAnsi="Arial" w:cs="Arial"/>
        </w:rPr>
        <w:t>ei, al articolelor de iluminat ş</w:t>
      </w:r>
      <w:r w:rsidRPr="002F73F2">
        <w:rPr>
          <w:rFonts w:ascii="Arial" w:hAnsi="Arial" w:cs="Arial"/>
        </w:rPr>
        <w:t>i al</w:t>
      </w:r>
      <w:r>
        <w:rPr>
          <w:rFonts w:ascii="Arial" w:hAnsi="Arial" w:cs="Arial"/>
        </w:rPr>
        <w:t xml:space="preserve"> articole</w:t>
      </w:r>
      <w:r w:rsidR="003B5241">
        <w:rPr>
          <w:rFonts w:ascii="Arial" w:hAnsi="Arial" w:cs="Arial"/>
        </w:rPr>
        <w:t>lor</w:t>
      </w:r>
      <w:r>
        <w:rPr>
          <w:rFonts w:ascii="Arial" w:hAnsi="Arial" w:cs="Arial"/>
        </w:rPr>
        <w:t xml:space="preserve"> de uz casnic n.c.a., î</w:t>
      </w:r>
      <w:r w:rsidRPr="002F73F2">
        <w:rPr>
          <w:rFonts w:ascii="Arial" w:hAnsi="Arial" w:cs="Arial"/>
        </w:rPr>
        <w:t>n magazine specializate</w:t>
      </w:r>
      <w:r>
        <w:rPr>
          <w:rFonts w:ascii="Arial" w:hAnsi="Arial" w:cs="Arial"/>
        </w:rPr>
        <w:t>;</w:t>
      </w:r>
    </w:p>
    <w:p w14:paraId="23D95546" w14:textId="77777777" w:rsidR="002F73F2" w:rsidRDefault="002F73F2" w:rsidP="006B613A">
      <w:pPr>
        <w:pStyle w:val="Listparagraf"/>
        <w:numPr>
          <w:ilvl w:val="0"/>
          <w:numId w:val="51"/>
        </w:numPr>
        <w:spacing w:after="0"/>
        <w:jc w:val="both"/>
        <w:rPr>
          <w:rFonts w:ascii="Arial" w:hAnsi="Arial" w:cs="Arial"/>
        </w:rPr>
      </w:pPr>
      <w:r>
        <w:rPr>
          <w:rFonts w:ascii="Arial" w:hAnsi="Arial" w:cs="Arial"/>
        </w:rPr>
        <w:t>Alte transporturi terestre de călă</w:t>
      </w:r>
      <w:r w:rsidRPr="002F73F2">
        <w:rPr>
          <w:rFonts w:ascii="Arial" w:hAnsi="Arial" w:cs="Arial"/>
        </w:rPr>
        <w:t>tori n.c.a.</w:t>
      </w:r>
      <w:r>
        <w:rPr>
          <w:rFonts w:ascii="Arial" w:hAnsi="Arial" w:cs="Arial"/>
        </w:rPr>
        <w:t>;</w:t>
      </w:r>
    </w:p>
    <w:p w14:paraId="63A926F5" w14:textId="77777777" w:rsidR="002F73F2" w:rsidRDefault="002F73F2" w:rsidP="006B613A">
      <w:pPr>
        <w:pStyle w:val="Listparagraf"/>
        <w:numPr>
          <w:ilvl w:val="0"/>
          <w:numId w:val="51"/>
        </w:numPr>
        <w:spacing w:after="0"/>
        <w:jc w:val="both"/>
        <w:rPr>
          <w:rFonts w:ascii="Arial" w:hAnsi="Arial" w:cs="Arial"/>
        </w:rPr>
      </w:pPr>
      <w:r>
        <w:rPr>
          <w:rFonts w:ascii="Arial" w:hAnsi="Arial" w:cs="Arial"/>
        </w:rPr>
        <w:t>Comerţ cu amănuntul al articolelor de fierărie, al articolelor din sticlă şi a celor pentru vopsit, î</w:t>
      </w:r>
      <w:r w:rsidRPr="002F73F2">
        <w:rPr>
          <w:rFonts w:ascii="Arial" w:hAnsi="Arial" w:cs="Arial"/>
        </w:rPr>
        <w:t>n magazine specializate</w:t>
      </w:r>
      <w:r>
        <w:rPr>
          <w:rFonts w:ascii="Arial" w:hAnsi="Arial" w:cs="Arial"/>
        </w:rPr>
        <w:t>;</w:t>
      </w:r>
    </w:p>
    <w:p w14:paraId="6B487E9C" w14:textId="77777777" w:rsidR="002F73F2" w:rsidRDefault="002F73F2" w:rsidP="006B613A">
      <w:pPr>
        <w:pStyle w:val="Listparagraf"/>
        <w:numPr>
          <w:ilvl w:val="0"/>
          <w:numId w:val="51"/>
        </w:numPr>
        <w:spacing w:after="0"/>
        <w:jc w:val="both"/>
        <w:rPr>
          <w:rFonts w:ascii="Arial" w:hAnsi="Arial" w:cs="Arial"/>
        </w:rPr>
      </w:pPr>
      <w:r>
        <w:rPr>
          <w:rFonts w:ascii="Arial" w:hAnsi="Arial" w:cs="Arial"/>
        </w:rPr>
        <w:t>Hoteluri şi alte facilităţ</w:t>
      </w:r>
      <w:r w:rsidRPr="002F73F2">
        <w:rPr>
          <w:rFonts w:ascii="Arial" w:hAnsi="Arial" w:cs="Arial"/>
        </w:rPr>
        <w:t xml:space="preserve">i de cazare </w:t>
      </w:r>
      <w:r>
        <w:rPr>
          <w:rFonts w:ascii="Arial" w:hAnsi="Arial" w:cs="Arial"/>
        </w:rPr>
        <w:t>similar;</w:t>
      </w:r>
    </w:p>
    <w:p w14:paraId="572E1F4E" w14:textId="77777777" w:rsidR="002F73F2" w:rsidRDefault="002F73F2" w:rsidP="006B613A">
      <w:pPr>
        <w:pStyle w:val="Listparagraf"/>
        <w:numPr>
          <w:ilvl w:val="0"/>
          <w:numId w:val="51"/>
        </w:numPr>
        <w:spacing w:after="0"/>
        <w:jc w:val="both"/>
        <w:rPr>
          <w:rFonts w:ascii="Arial" w:hAnsi="Arial" w:cs="Arial"/>
        </w:rPr>
      </w:pPr>
      <w:r w:rsidRPr="002F73F2">
        <w:rPr>
          <w:rFonts w:ascii="Arial" w:hAnsi="Arial" w:cs="Arial"/>
        </w:rPr>
        <w:t xml:space="preserve">Fabricarea painii; fabricarea prajiturilor si a produselor proaspete de </w:t>
      </w:r>
      <w:r>
        <w:rPr>
          <w:rFonts w:ascii="Arial" w:hAnsi="Arial" w:cs="Arial"/>
        </w:rPr>
        <w:t>patisserie;</w:t>
      </w:r>
    </w:p>
    <w:p w14:paraId="1F73DE43" w14:textId="77777777" w:rsidR="002F73F2" w:rsidRDefault="002F73F2" w:rsidP="006B613A">
      <w:pPr>
        <w:pStyle w:val="Listparagraf"/>
        <w:numPr>
          <w:ilvl w:val="0"/>
          <w:numId w:val="51"/>
        </w:numPr>
        <w:spacing w:after="0"/>
        <w:jc w:val="both"/>
        <w:rPr>
          <w:rFonts w:ascii="Arial" w:hAnsi="Arial" w:cs="Arial"/>
        </w:rPr>
      </w:pPr>
      <w:r>
        <w:rPr>
          <w:rFonts w:ascii="Arial" w:hAnsi="Arial" w:cs="Arial"/>
        </w:rPr>
        <w:t>Comerţ cu amănuntul în magazine nespecializate, cu vânzare predominantă</w:t>
      </w:r>
      <w:r w:rsidRPr="002F73F2">
        <w:rPr>
          <w:rFonts w:ascii="Arial" w:hAnsi="Arial" w:cs="Arial"/>
        </w:rPr>
        <w:t xml:space="preserve"> de produse nealimentare</w:t>
      </w:r>
      <w:r>
        <w:rPr>
          <w:rFonts w:ascii="Arial" w:hAnsi="Arial" w:cs="Arial"/>
        </w:rPr>
        <w:t>.</w:t>
      </w:r>
    </w:p>
    <w:p w14:paraId="3B226B89" w14:textId="77777777" w:rsidR="0080417A" w:rsidRDefault="0080417A" w:rsidP="0080417A">
      <w:pPr>
        <w:spacing w:after="0"/>
        <w:jc w:val="both"/>
        <w:rPr>
          <w:rFonts w:ascii="Arial" w:hAnsi="Arial" w:cs="Arial"/>
        </w:rPr>
      </w:pPr>
    </w:p>
    <w:p w14:paraId="32842D47" w14:textId="77777777" w:rsidR="0080417A" w:rsidRDefault="0080417A" w:rsidP="0080417A">
      <w:pPr>
        <w:spacing w:after="0"/>
        <w:jc w:val="both"/>
        <w:rPr>
          <w:rFonts w:ascii="Arial" w:hAnsi="Arial" w:cs="Arial"/>
        </w:rPr>
      </w:pPr>
      <w:r>
        <w:rPr>
          <w:rFonts w:ascii="Arial" w:hAnsi="Arial" w:cs="Arial"/>
        </w:rPr>
        <w:t xml:space="preserve">Domeniile în care activează societăţile comerciale cu cele mai mari cifre de afaceri din </w:t>
      </w:r>
      <w:r w:rsidR="005E5B32">
        <w:rPr>
          <w:rFonts w:ascii="Arial" w:hAnsi="Arial" w:cs="Arial"/>
        </w:rPr>
        <w:t>oraşul Horezu sunt:</w:t>
      </w:r>
    </w:p>
    <w:p w14:paraId="13C9D3B6" w14:textId="77777777" w:rsidR="005E5B32" w:rsidRDefault="005E5B32" w:rsidP="006B613A">
      <w:pPr>
        <w:pStyle w:val="Listparagraf"/>
        <w:numPr>
          <w:ilvl w:val="0"/>
          <w:numId w:val="51"/>
        </w:numPr>
        <w:spacing w:after="0"/>
        <w:jc w:val="both"/>
        <w:rPr>
          <w:rFonts w:ascii="Arial" w:hAnsi="Arial" w:cs="Arial"/>
        </w:rPr>
      </w:pPr>
      <w:r>
        <w:rPr>
          <w:rFonts w:ascii="Arial" w:hAnsi="Arial" w:cs="Arial"/>
        </w:rPr>
        <w:t>Comerţ</w:t>
      </w:r>
      <w:r w:rsidRPr="0080417A">
        <w:rPr>
          <w:rFonts w:ascii="Arial" w:hAnsi="Arial" w:cs="Arial"/>
        </w:rPr>
        <w:t xml:space="preserve"> cu a</w:t>
      </w:r>
      <w:r>
        <w:rPr>
          <w:rFonts w:ascii="Arial" w:hAnsi="Arial" w:cs="Arial"/>
        </w:rPr>
        <w:t>manuntul al articolelor de fierărie, al articolelor din sticlă şi a celor pentru vopsit, î</w:t>
      </w:r>
      <w:r w:rsidRPr="0080417A">
        <w:rPr>
          <w:rFonts w:ascii="Arial" w:hAnsi="Arial" w:cs="Arial"/>
        </w:rPr>
        <w:t>n magazine specializate</w:t>
      </w:r>
      <w:r w:rsidR="000B3868">
        <w:rPr>
          <w:rFonts w:ascii="Arial" w:hAnsi="Arial" w:cs="Arial"/>
        </w:rPr>
        <w:t>;</w:t>
      </w:r>
    </w:p>
    <w:p w14:paraId="40CBBB91" w14:textId="77777777" w:rsidR="000B3868" w:rsidRDefault="000B3868" w:rsidP="006B613A">
      <w:pPr>
        <w:pStyle w:val="Listparagraf"/>
        <w:numPr>
          <w:ilvl w:val="0"/>
          <w:numId w:val="51"/>
        </w:numPr>
        <w:spacing w:after="0"/>
        <w:jc w:val="both"/>
        <w:rPr>
          <w:rFonts w:ascii="Arial" w:hAnsi="Arial" w:cs="Arial"/>
        </w:rPr>
      </w:pPr>
      <w:r>
        <w:rPr>
          <w:rFonts w:ascii="Arial" w:hAnsi="Arial" w:cs="Arial"/>
        </w:rPr>
        <w:t>Comerţ</w:t>
      </w:r>
      <w:r w:rsidRPr="000B3868">
        <w:rPr>
          <w:rFonts w:ascii="Arial" w:hAnsi="Arial" w:cs="Arial"/>
        </w:rPr>
        <w:t xml:space="preserve"> cu amanunt</w:t>
      </w:r>
      <w:r>
        <w:rPr>
          <w:rFonts w:ascii="Arial" w:hAnsi="Arial" w:cs="Arial"/>
        </w:rPr>
        <w:t>ul al produselor farmaceutice, î</w:t>
      </w:r>
      <w:r w:rsidRPr="000B3868">
        <w:rPr>
          <w:rFonts w:ascii="Arial" w:hAnsi="Arial" w:cs="Arial"/>
        </w:rPr>
        <w:t>n magazine specializate</w:t>
      </w:r>
      <w:r>
        <w:rPr>
          <w:rFonts w:ascii="Arial" w:hAnsi="Arial" w:cs="Arial"/>
        </w:rPr>
        <w:t>;</w:t>
      </w:r>
    </w:p>
    <w:p w14:paraId="62E78A55" w14:textId="77777777" w:rsidR="000B3868" w:rsidRDefault="000B3868" w:rsidP="006B613A">
      <w:pPr>
        <w:pStyle w:val="Listparagraf"/>
        <w:numPr>
          <w:ilvl w:val="0"/>
          <w:numId w:val="51"/>
        </w:numPr>
        <w:spacing w:after="0"/>
        <w:jc w:val="both"/>
        <w:rPr>
          <w:rFonts w:ascii="Arial" w:hAnsi="Arial" w:cs="Arial"/>
        </w:rPr>
      </w:pPr>
      <w:r>
        <w:rPr>
          <w:rFonts w:ascii="Arial" w:hAnsi="Arial" w:cs="Arial"/>
        </w:rPr>
        <w:t>Lucrări de construcţii a clădirilor rezidenţiale şi nerezidenţ</w:t>
      </w:r>
      <w:r w:rsidRPr="0080417A">
        <w:rPr>
          <w:rFonts w:ascii="Arial" w:hAnsi="Arial" w:cs="Arial"/>
        </w:rPr>
        <w:t>iale</w:t>
      </w:r>
      <w:r>
        <w:rPr>
          <w:rFonts w:ascii="Arial" w:hAnsi="Arial" w:cs="Arial"/>
        </w:rPr>
        <w:t>;</w:t>
      </w:r>
    </w:p>
    <w:p w14:paraId="67B2C4DB" w14:textId="77777777" w:rsidR="000B3868" w:rsidRDefault="000B3868" w:rsidP="006B613A">
      <w:pPr>
        <w:pStyle w:val="Listparagraf"/>
        <w:numPr>
          <w:ilvl w:val="0"/>
          <w:numId w:val="51"/>
        </w:numPr>
        <w:spacing w:after="0"/>
        <w:jc w:val="both"/>
        <w:rPr>
          <w:rFonts w:ascii="Arial" w:hAnsi="Arial" w:cs="Arial"/>
        </w:rPr>
      </w:pPr>
      <w:r w:rsidRPr="000B3868">
        <w:rPr>
          <w:rFonts w:ascii="Arial" w:hAnsi="Arial" w:cs="Arial"/>
        </w:rPr>
        <w:t>Alte transporturi te</w:t>
      </w:r>
      <w:r>
        <w:rPr>
          <w:rFonts w:ascii="Arial" w:hAnsi="Arial" w:cs="Arial"/>
        </w:rPr>
        <w:t>restre de călă</w:t>
      </w:r>
      <w:r w:rsidRPr="000B3868">
        <w:rPr>
          <w:rFonts w:ascii="Arial" w:hAnsi="Arial" w:cs="Arial"/>
        </w:rPr>
        <w:t>tori n.c.a</w:t>
      </w:r>
      <w:r>
        <w:rPr>
          <w:rFonts w:ascii="Arial" w:hAnsi="Arial" w:cs="Arial"/>
        </w:rPr>
        <w:t>;</w:t>
      </w:r>
    </w:p>
    <w:p w14:paraId="5036E790" w14:textId="77777777" w:rsidR="00341903" w:rsidRDefault="00341903" w:rsidP="006B613A">
      <w:pPr>
        <w:pStyle w:val="Listparagraf"/>
        <w:numPr>
          <w:ilvl w:val="0"/>
          <w:numId w:val="51"/>
        </w:numPr>
        <w:spacing w:after="0"/>
        <w:jc w:val="both"/>
        <w:rPr>
          <w:rFonts w:ascii="Arial" w:hAnsi="Arial" w:cs="Arial"/>
        </w:rPr>
      </w:pPr>
      <w:r>
        <w:rPr>
          <w:rFonts w:ascii="Arial" w:hAnsi="Arial" w:cs="Arial"/>
        </w:rPr>
        <w:t>Transporturi rutiere de mărfuri;</w:t>
      </w:r>
    </w:p>
    <w:p w14:paraId="655E6FA1" w14:textId="77777777" w:rsidR="00341903" w:rsidRDefault="00341903" w:rsidP="006B613A">
      <w:pPr>
        <w:pStyle w:val="Listparagraf"/>
        <w:numPr>
          <w:ilvl w:val="0"/>
          <w:numId w:val="51"/>
        </w:numPr>
        <w:spacing w:after="0"/>
        <w:jc w:val="both"/>
        <w:rPr>
          <w:rFonts w:ascii="Arial" w:hAnsi="Arial" w:cs="Arial"/>
        </w:rPr>
      </w:pPr>
      <w:r>
        <w:rPr>
          <w:rFonts w:ascii="Arial" w:hAnsi="Arial" w:cs="Arial"/>
        </w:rPr>
        <w:t>Comerţ cu amănuntul de piese şi accesorii pentru autovehicule;</w:t>
      </w:r>
    </w:p>
    <w:p w14:paraId="72ED580A" w14:textId="77777777" w:rsidR="00341903" w:rsidRDefault="00341903" w:rsidP="006B613A">
      <w:pPr>
        <w:pStyle w:val="Listparagraf"/>
        <w:numPr>
          <w:ilvl w:val="0"/>
          <w:numId w:val="51"/>
        </w:numPr>
        <w:spacing w:after="0"/>
        <w:jc w:val="both"/>
        <w:rPr>
          <w:rFonts w:ascii="Arial" w:hAnsi="Arial" w:cs="Arial"/>
        </w:rPr>
      </w:pPr>
      <w:r>
        <w:rPr>
          <w:rFonts w:ascii="Arial" w:hAnsi="Arial" w:cs="Arial"/>
        </w:rPr>
        <w:t>Restaurante;</w:t>
      </w:r>
    </w:p>
    <w:p w14:paraId="16576EB2" w14:textId="77777777" w:rsidR="00341903" w:rsidRDefault="00341903" w:rsidP="006B613A">
      <w:pPr>
        <w:pStyle w:val="Listparagraf"/>
        <w:numPr>
          <w:ilvl w:val="0"/>
          <w:numId w:val="51"/>
        </w:numPr>
        <w:spacing w:after="0"/>
        <w:jc w:val="both"/>
        <w:rPr>
          <w:rFonts w:ascii="Arial" w:hAnsi="Arial" w:cs="Arial"/>
        </w:rPr>
      </w:pPr>
      <w:r>
        <w:rPr>
          <w:rFonts w:ascii="Arial" w:hAnsi="Arial" w:cs="Arial"/>
        </w:rPr>
        <w:t>Frabircarea produselor lactate şi a brânzeturilor;</w:t>
      </w:r>
    </w:p>
    <w:p w14:paraId="333E6E45" w14:textId="77777777" w:rsidR="000B3868" w:rsidRDefault="000B3868" w:rsidP="006B613A">
      <w:pPr>
        <w:pStyle w:val="Listparagraf"/>
        <w:numPr>
          <w:ilvl w:val="0"/>
          <w:numId w:val="51"/>
        </w:numPr>
        <w:spacing w:after="0"/>
        <w:jc w:val="both"/>
        <w:rPr>
          <w:rFonts w:ascii="Arial" w:hAnsi="Arial" w:cs="Arial"/>
        </w:rPr>
      </w:pPr>
      <w:r>
        <w:rPr>
          <w:rFonts w:ascii="Arial" w:hAnsi="Arial" w:cs="Arial"/>
        </w:rPr>
        <w:t>Productia de băuturi răcoritoare nealcoolice, producţia de ape minerale şi alte ape î</w:t>
      </w:r>
      <w:r w:rsidRPr="000B3868">
        <w:rPr>
          <w:rFonts w:ascii="Arial" w:hAnsi="Arial" w:cs="Arial"/>
        </w:rPr>
        <w:t>mbuteliate</w:t>
      </w:r>
      <w:r w:rsidR="00341903">
        <w:rPr>
          <w:rFonts w:ascii="Arial" w:hAnsi="Arial" w:cs="Arial"/>
        </w:rPr>
        <w:t>;</w:t>
      </w:r>
    </w:p>
    <w:p w14:paraId="7D190B1B" w14:textId="77777777" w:rsidR="00341903" w:rsidRDefault="00341903" w:rsidP="006B613A">
      <w:pPr>
        <w:pStyle w:val="Listparagraf"/>
        <w:numPr>
          <w:ilvl w:val="0"/>
          <w:numId w:val="51"/>
        </w:numPr>
        <w:spacing w:after="0"/>
        <w:jc w:val="both"/>
        <w:rPr>
          <w:rFonts w:ascii="Arial" w:hAnsi="Arial" w:cs="Arial"/>
        </w:rPr>
      </w:pPr>
      <w:r>
        <w:rPr>
          <w:rFonts w:ascii="Arial" w:hAnsi="Arial" w:cs="Arial"/>
        </w:rPr>
        <w:t>Comerţ cu ridicata al materialului lemnos şi a materialelor de construcţie şi echipamentelor sanitare.</w:t>
      </w:r>
    </w:p>
    <w:p w14:paraId="44CBF3EF" w14:textId="77777777" w:rsidR="00341903" w:rsidRPr="005E5B32" w:rsidRDefault="00341903" w:rsidP="00341903">
      <w:pPr>
        <w:pStyle w:val="Listparagraf"/>
        <w:spacing w:after="0"/>
        <w:jc w:val="both"/>
        <w:rPr>
          <w:rFonts w:ascii="Arial" w:hAnsi="Arial" w:cs="Arial"/>
        </w:rPr>
      </w:pPr>
    </w:p>
    <w:p w14:paraId="5F59EBAB" w14:textId="77777777" w:rsidR="0080417A" w:rsidRDefault="000B3868" w:rsidP="0080417A">
      <w:pPr>
        <w:spacing w:after="0"/>
        <w:jc w:val="both"/>
        <w:rPr>
          <w:rFonts w:ascii="Arial" w:hAnsi="Arial" w:cs="Arial"/>
        </w:rPr>
      </w:pPr>
      <w:r>
        <w:rPr>
          <w:rFonts w:ascii="Arial" w:hAnsi="Arial" w:cs="Arial"/>
        </w:rPr>
        <w:t>Potrivit informaţiilor extrase din situaţiile financiare prezentate pe Ministerul Finanţelor, la nivelul anului 2020, societăţile comerciale cu cea mai mare cifră de afaceri (peste 1 milion euro) din Horezu sunt: VELGALA S.R.L., FRUCT ALCOOL S.R.L., METADIB S.R.L., COVAMAR S.R.L., NORMANDIA SERVICE S.R.L., FARMACIA DOVERMED S.R.L., PANOTAJ CONSTRUCT S.R.L., NIALGAZ S.R.L., FIVE CONTINENT S.R.L., ISCRU MIGPLAST S.R.L., OBADA TRANS S.R.L.</w:t>
      </w:r>
    </w:p>
    <w:p w14:paraId="17B2E2C7" w14:textId="77777777" w:rsidR="000B3868" w:rsidRDefault="000B3868" w:rsidP="0080417A">
      <w:pPr>
        <w:spacing w:after="0"/>
        <w:jc w:val="both"/>
        <w:rPr>
          <w:rFonts w:ascii="Arial" w:hAnsi="Arial" w:cs="Arial"/>
        </w:rPr>
      </w:pPr>
    </w:p>
    <w:p w14:paraId="44B2B619" w14:textId="77777777" w:rsidR="00341903" w:rsidRPr="00341903" w:rsidRDefault="00341903" w:rsidP="00341903">
      <w:pPr>
        <w:spacing w:after="0" w:line="276" w:lineRule="auto"/>
        <w:jc w:val="both"/>
        <w:rPr>
          <w:rFonts w:ascii="Arial" w:hAnsi="Arial" w:cs="Arial"/>
        </w:rPr>
      </w:pPr>
      <w:r w:rsidRPr="00341903">
        <w:rPr>
          <w:rFonts w:ascii="Arial" w:hAnsi="Arial" w:cs="Arial"/>
        </w:rPr>
        <w:t xml:space="preserve">Domeniile cu cei mai mulţi angajaţi din oraşul Horezu: </w:t>
      </w:r>
    </w:p>
    <w:p w14:paraId="1700B3B4" w14:textId="77777777" w:rsidR="00341903" w:rsidRPr="00341903" w:rsidRDefault="00341903" w:rsidP="006B613A">
      <w:pPr>
        <w:pStyle w:val="Listparagraf"/>
        <w:numPr>
          <w:ilvl w:val="0"/>
          <w:numId w:val="51"/>
        </w:numPr>
        <w:spacing w:after="0"/>
        <w:jc w:val="both"/>
        <w:rPr>
          <w:rFonts w:ascii="Arial" w:hAnsi="Arial" w:cs="Arial"/>
          <w:color w:val="0563C1" w:themeColor="hyperlink"/>
        </w:rPr>
      </w:pPr>
      <w:r w:rsidRPr="00341903">
        <w:rPr>
          <w:rFonts w:ascii="Arial" w:hAnsi="Arial" w:cs="Arial"/>
        </w:rPr>
        <w:lastRenderedPageBreak/>
        <w:t>Alte transporturi terestre de călători;</w:t>
      </w:r>
    </w:p>
    <w:p w14:paraId="10FAB2F8" w14:textId="77777777" w:rsidR="00341903" w:rsidRPr="00341903" w:rsidRDefault="00341903" w:rsidP="006B613A">
      <w:pPr>
        <w:pStyle w:val="Listparagraf"/>
        <w:numPr>
          <w:ilvl w:val="0"/>
          <w:numId w:val="51"/>
        </w:numPr>
        <w:spacing w:after="0"/>
        <w:jc w:val="both"/>
        <w:rPr>
          <w:rFonts w:ascii="Arial" w:hAnsi="Arial" w:cs="Arial"/>
          <w:color w:val="0563C1" w:themeColor="hyperlink"/>
        </w:rPr>
      </w:pPr>
      <w:r w:rsidRPr="00341903">
        <w:rPr>
          <w:rFonts w:ascii="Arial" w:hAnsi="Arial" w:cs="Arial"/>
        </w:rPr>
        <w:t>Lucrări de construcţii a clădirilor rezidenţiale şi nerezidenţiale;</w:t>
      </w:r>
    </w:p>
    <w:p w14:paraId="7CB09EDE" w14:textId="77777777" w:rsidR="00341903" w:rsidRPr="00341903" w:rsidRDefault="00341903" w:rsidP="006B613A">
      <w:pPr>
        <w:pStyle w:val="Listparagraf"/>
        <w:numPr>
          <w:ilvl w:val="0"/>
          <w:numId w:val="51"/>
        </w:numPr>
        <w:spacing w:after="0"/>
        <w:jc w:val="both"/>
        <w:rPr>
          <w:rFonts w:ascii="Arial" w:hAnsi="Arial" w:cs="Arial"/>
          <w:color w:val="0563C1" w:themeColor="hyperlink"/>
        </w:rPr>
      </w:pPr>
      <w:r w:rsidRPr="00341903">
        <w:rPr>
          <w:rFonts w:ascii="Arial" w:hAnsi="Arial" w:cs="Arial"/>
        </w:rPr>
        <w:t>Restaurante;</w:t>
      </w:r>
    </w:p>
    <w:p w14:paraId="1ECBB57E" w14:textId="77777777" w:rsidR="00341903" w:rsidRPr="00341903" w:rsidRDefault="00341903" w:rsidP="006B613A">
      <w:pPr>
        <w:pStyle w:val="Listparagraf"/>
        <w:numPr>
          <w:ilvl w:val="0"/>
          <w:numId w:val="51"/>
        </w:numPr>
        <w:spacing w:after="0"/>
        <w:jc w:val="both"/>
        <w:rPr>
          <w:rFonts w:ascii="Arial" w:hAnsi="Arial" w:cs="Arial"/>
          <w:color w:val="0563C1" w:themeColor="hyperlink"/>
        </w:rPr>
      </w:pPr>
      <w:r w:rsidRPr="00341903">
        <w:rPr>
          <w:rFonts w:ascii="Arial" w:hAnsi="Arial" w:cs="Arial"/>
        </w:rPr>
        <w:t>Transporturi rutiere de mărfuri;</w:t>
      </w:r>
    </w:p>
    <w:p w14:paraId="07FE6C95" w14:textId="77777777" w:rsidR="00341903" w:rsidRPr="00341903" w:rsidRDefault="00341903" w:rsidP="006B613A">
      <w:pPr>
        <w:pStyle w:val="Listparagraf"/>
        <w:numPr>
          <w:ilvl w:val="0"/>
          <w:numId w:val="51"/>
        </w:numPr>
        <w:spacing w:after="0"/>
        <w:jc w:val="both"/>
        <w:rPr>
          <w:rFonts w:ascii="Arial" w:hAnsi="Arial" w:cs="Arial"/>
        </w:rPr>
      </w:pPr>
      <w:r w:rsidRPr="00341903">
        <w:rPr>
          <w:rFonts w:ascii="Arial" w:hAnsi="Arial" w:cs="Arial"/>
        </w:rPr>
        <w:t xml:space="preserve">Comerţ cu amănuntul al articolelor de fierărie, al articolelor din sticlă şi a celor pentru vopsit, în magazine specializate. </w:t>
      </w:r>
    </w:p>
    <w:p w14:paraId="46984062" w14:textId="77777777" w:rsidR="00341903" w:rsidRDefault="00341903" w:rsidP="00341903">
      <w:pPr>
        <w:spacing w:after="0"/>
        <w:jc w:val="both"/>
        <w:rPr>
          <w:rFonts w:ascii="Arial" w:hAnsi="Arial" w:cs="Arial"/>
        </w:rPr>
      </w:pPr>
    </w:p>
    <w:p w14:paraId="59EAC88A" w14:textId="77777777" w:rsidR="000B3868" w:rsidRDefault="000B3868" w:rsidP="0080417A">
      <w:pPr>
        <w:spacing w:after="0"/>
        <w:jc w:val="both"/>
        <w:rPr>
          <w:rFonts w:ascii="Arial" w:hAnsi="Arial" w:cs="Arial"/>
        </w:rPr>
      </w:pPr>
      <w:r>
        <w:rPr>
          <w:rFonts w:ascii="Arial" w:hAnsi="Arial" w:cs="Arial"/>
        </w:rPr>
        <w:t xml:space="preserve">În ce priveşte numărul de angajaţi, pe baza informaţiilor prezentate în bilanţurile contabile pe anul 2020, </w:t>
      </w:r>
      <w:r w:rsidR="00B91D01">
        <w:rPr>
          <w:rFonts w:ascii="Arial" w:hAnsi="Arial" w:cs="Arial"/>
        </w:rPr>
        <w:t>reiese că societăţile comerciale înregistrare în oraşul Horezu, cu numărul cel mai mare număr mediu anual de angajaţi sunt reprezentate de: NORMANDIA SERVICE S.R.L. (104 angajaţi), COVAMAR S.R.L. (73 angajaţi), VELGALA S.R.L. (50 angajaţi), ISCRU MIGPLAST S.R.L. (45 angajaţi), FRUCT ALCOOL S.R.L. (44 angajaţi), OBADA TRANS S.R.L. (25 angajaţi), GERIM 2011 S.R.L. (23 angajaţi), METADIB S.R.L. (22 angajaţi), TRANSMONTANA S.A. (21 angajaţi).</w:t>
      </w:r>
    </w:p>
    <w:p w14:paraId="1F1C4747" w14:textId="77777777" w:rsidR="00B91D01" w:rsidRPr="0080417A" w:rsidRDefault="00B91D01" w:rsidP="0080417A">
      <w:pPr>
        <w:spacing w:after="0"/>
        <w:jc w:val="both"/>
        <w:rPr>
          <w:rFonts w:ascii="Arial" w:hAnsi="Arial" w:cs="Arial"/>
        </w:rPr>
      </w:pPr>
    </w:p>
    <w:p w14:paraId="1AE72CE9" w14:textId="77777777" w:rsidR="008A05D6" w:rsidRPr="008A05D6" w:rsidRDefault="008A05D6" w:rsidP="00917194">
      <w:pPr>
        <w:spacing w:line="276" w:lineRule="auto"/>
        <w:jc w:val="both"/>
        <w:rPr>
          <w:rFonts w:ascii="Arial" w:hAnsi="Arial" w:cs="Arial"/>
        </w:rPr>
      </w:pPr>
      <w:r>
        <w:rPr>
          <w:rFonts w:ascii="Arial" w:hAnsi="Arial" w:cs="Arial"/>
          <w:color w:val="333333"/>
          <w:shd w:val="clear" w:color="auto" w:fill="FFFFFF"/>
        </w:rPr>
        <w:t>În figura următoare</w:t>
      </w:r>
      <w:r w:rsidRPr="008A05D6">
        <w:rPr>
          <w:rFonts w:ascii="Arial" w:hAnsi="Arial" w:cs="Arial"/>
          <w:color w:val="333333"/>
          <w:shd w:val="clear" w:color="auto" w:fill="FFFFFF"/>
        </w:rPr>
        <w:t xml:space="preserve"> este reprezentată termografic distribuția ca mărime a firmelor active din </w:t>
      </w:r>
      <w:r w:rsidR="00D273E9">
        <w:rPr>
          <w:rFonts w:ascii="Arial" w:hAnsi="Arial" w:cs="Arial"/>
          <w:color w:val="333333"/>
          <w:shd w:val="clear" w:color="auto" w:fill="FFFFFF"/>
        </w:rPr>
        <w:t>oraşul Horezu</w:t>
      </w:r>
      <w:r w:rsidRPr="008A05D6">
        <w:rPr>
          <w:rFonts w:ascii="Arial" w:hAnsi="Arial" w:cs="Arial"/>
          <w:color w:val="333333"/>
          <w:shd w:val="clear" w:color="auto" w:fill="FFFFFF"/>
        </w:rPr>
        <w:t>.</w:t>
      </w:r>
    </w:p>
    <w:p w14:paraId="31B2B060" w14:textId="77777777" w:rsidR="008A05D6" w:rsidRDefault="006D095F" w:rsidP="00425B6C">
      <w:pPr>
        <w:spacing w:line="276" w:lineRule="auto"/>
        <w:jc w:val="both"/>
        <w:rPr>
          <w:rFonts w:ascii="Arial" w:hAnsi="Arial" w:cs="Arial"/>
        </w:rPr>
      </w:pPr>
      <w:r>
        <w:rPr>
          <w:rFonts w:ascii="Arial" w:hAnsi="Arial" w:cs="Arial"/>
          <w:noProof/>
        </w:rPr>
        <w:drawing>
          <wp:inline distT="0" distB="0" distL="0" distR="0" wp14:anchorId="5905503F" wp14:editId="3BE460DF">
            <wp:extent cx="6124575" cy="243840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4575" cy="2438400"/>
                    </a:xfrm>
                    <a:prstGeom prst="rect">
                      <a:avLst/>
                    </a:prstGeom>
                    <a:noFill/>
                    <a:ln>
                      <a:noFill/>
                    </a:ln>
                  </pic:spPr>
                </pic:pic>
              </a:graphicData>
            </a:graphic>
          </wp:inline>
        </w:drawing>
      </w:r>
    </w:p>
    <w:p w14:paraId="2F252286" w14:textId="77777777" w:rsidR="008A05D6" w:rsidRDefault="008A05D6" w:rsidP="00425B6C">
      <w:pPr>
        <w:spacing w:line="276" w:lineRule="auto"/>
        <w:jc w:val="both"/>
        <w:rPr>
          <w:rFonts w:ascii="Arial" w:hAnsi="Arial" w:cs="Arial"/>
          <w:sz w:val="20"/>
          <w:szCs w:val="20"/>
        </w:rPr>
      </w:pPr>
      <w:r w:rsidRPr="008A05D6">
        <w:rPr>
          <w:rFonts w:ascii="Arial" w:hAnsi="Arial" w:cs="Arial"/>
          <w:sz w:val="20"/>
          <w:szCs w:val="20"/>
        </w:rPr>
        <w:t>Sursa: listafirme.ro</w:t>
      </w:r>
    </w:p>
    <w:p w14:paraId="3EAA4BBE" w14:textId="60E95DD4" w:rsidR="008A05D6" w:rsidRDefault="00AF5678" w:rsidP="00AF5678">
      <w:pPr>
        <w:pStyle w:val="Legend"/>
        <w:jc w:val="center"/>
        <w:rPr>
          <w:rFonts w:ascii="Arial" w:hAnsi="Arial" w:cs="Arial"/>
          <w:i w:val="0"/>
          <w:iCs w:val="0"/>
          <w:sz w:val="22"/>
          <w:szCs w:val="22"/>
        </w:rPr>
      </w:pPr>
      <w:bookmarkStart w:id="65" w:name="_Toc140744449"/>
      <w:r w:rsidRPr="00AF5678">
        <w:rPr>
          <w:rFonts w:ascii="Arial" w:hAnsi="Arial" w:cs="Arial"/>
          <w:sz w:val="22"/>
          <w:szCs w:val="22"/>
        </w:rPr>
        <w:t xml:space="preserve">Figura I.2. </w:t>
      </w:r>
      <w:r w:rsidRPr="00AF5678">
        <w:rPr>
          <w:rFonts w:ascii="Arial" w:hAnsi="Arial" w:cs="Arial"/>
          <w:sz w:val="22"/>
          <w:szCs w:val="22"/>
        </w:rPr>
        <w:fldChar w:fldCharType="begin"/>
      </w:r>
      <w:r w:rsidRPr="00AF5678">
        <w:rPr>
          <w:rFonts w:ascii="Arial" w:hAnsi="Arial" w:cs="Arial"/>
          <w:sz w:val="22"/>
          <w:szCs w:val="22"/>
        </w:rPr>
        <w:instrText xml:space="preserve"> SEQ Figura_I.2. \* ARABIC </w:instrText>
      </w:r>
      <w:r w:rsidRPr="00AF5678">
        <w:rPr>
          <w:rFonts w:ascii="Arial" w:hAnsi="Arial" w:cs="Arial"/>
          <w:sz w:val="22"/>
          <w:szCs w:val="22"/>
        </w:rPr>
        <w:fldChar w:fldCharType="separate"/>
      </w:r>
      <w:r w:rsidR="00BB181C">
        <w:rPr>
          <w:rFonts w:ascii="Arial" w:hAnsi="Arial" w:cs="Arial"/>
          <w:noProof/>
          <w:sz w:val="22"/>
          <w:szCs w:val="22"/>
        </w:rPr>
        <w:t>7</w:t>
      </w:r>
      <w:r w:rsidRPr="00AF5678">
        <w:rPr>
          <w:rFonts w:ascii="Arial" w:hAnsi="Arial" w:cs="Arial"/>
          <w:sz w:val="22"/>
          <w:szCs w:val="22"/>
        </w:rPr>
        <w:fldChar w:fldCharType="end"/>
      </w:r>
      <w:r w:rsidRPr="00AF5678">
        <w:rPr>
          <w:rFonts w:ascii="Arial" w:hAnsi="Arial" w:cs="Arial"/>
          <w:sz w:val="22"/>
          <w:szCs w:val="22"/>
        </w:rPr>
        <w:t xml:space="preserve"> </w:t>
      </w:r>
      <w:r w:rsidR="008A05D6" w:rsidRPr="00AF5678">
        <w:rPr>
          <w:rFonts w:ascii="Arial" w:hAnsi="Arial" w:cs="Arial"/>
          <w:sz w:val="22"/>
          <w:szCs w:val="22"/>
        </w:rPr>
        <w:t xml:space="preserve">– </w:t>
      </w:r>
      <w:r w:rsidR="0011563C" w:rsidRPr="00AF5678">
        <w:rPr>
          <w:rFonts w:ascii="Arial" w:hAnsi="Arial" w:cs="Arial"/>
          <w:i w:val="0"/>
          <w:iCs w:val="0"/>
          <w:sz w:val="22"/>
          <w:szCs w:val="22"/>
        </w:rPr>
        <w:t xml:space="preserve">Distribuția firmelor active – </w:t>
      </w:r>
      <w:r>
        <w:rPr>
          <w:rFonts w:ascii="Arial" w:hAnsi="Arial" w:cs="Arial"/>
          <w:i w:val="0"/>
          <w:iCs w:val="0"/>
          <w:sz w:val="22"/>
          <w:szCs w:val="22"/>
        </w:rPr>
        <w:t>oraşul Horezu</w:t>
      </w:r>
      <w:bookmarkEnd w:id="65"/>
    </w:p>
    <w:p w14:paraId="2628826E" w14:textId="499B47CD" w:rsidR="001B0C7D" w:rsidRDefault="001B0C7D" w:rsidP="007B526F">
      <w:pPr>
        <w:jc w:val="both"/>
        <w:rPr>
          <w:rFonts w:ascii="Arial" w:hAnsi="Arial" w:cs="Arial"/>
        </w:rPr>
      </w:pPr>
      <w:r>
        <w:rPr>
          <w:rFonts w:ascii="Arial" w:hAnsi="Arial" w:cs="Arial"/>
        </w:rPr>
        <w:t xml:space="preserve">În privinţa agriculturii şi silviculturii este de menţionat că localitatea Horezu înregistrează suprafeţe mari de păşune şi fâneţe. Zootehnia este sectorul cel mai bine conturat. Structura fondului funcoar al localităţii, cu resursele natural </w:t>
      </w:r>
      <w:r w:rsidR="007B526F">
        <w:rPr>
          <w:rFonts w:ascii="Arial" w:hAnsi="Arial" w:cs="Arial"/>
        </w:rPr>
        <w:t>aferente (plante medicinale, fructe de</w:t>
      </w:r>
      <w:r w:rsidR="00F657B5">
        <w:rPr>
          <w:rFonts w:ascii="Arial" w:hAnsi="Arial" w:cs="Arial"/>
        </w:rPr>
        <w:t xml:space="preserve"> </w:t>
      </w:r>
      <w:r w:rsidR="007B526F">
        <w:rPr>
          <w:rFonts w:ascii="Arial" w:hAnsi="Arial" w:cs="Arial"/>
        </w:rPr>
        <w:t>pădure, material lemnos etc.), care pot fi explotate, determină şi activităţile economice cele mai la îndemână pentru locuitori. Cea mai mare parte a terioriului este acoperită de păduri şi se întinde căte nord, pe culmile munţilor Căpăţânii, din Carpaţii Meridionali.</w:t>
      </w:r>
    </w:p>
    <w:p w14:paraId="7B207798" w14:textId="77777777" w:rsidR="00A705B4" w:rsidRDefault="00A705B4" w:rsidP="007B526F">
      <w:pPr>
        <w:jc w:val="both"/>
        <w:rPr>
          <w:rFonts w:ascii="Arial" w:hAnsi="Arial" w:cs="Arial"/>
        </w:rPr>
      </w:pPr>
      <w:r>
        <w:rPr>
          <w:rFonts w:ascii="Arial" w:hAnsi="Arial" w:cs="Arial"/>
        </w:rPr>
        <w:t>La nivelul anului 2020, numărul mediu al salariaţilor din oraşul Horezu a fost de 1.966, cu 3,15% mai redus decât în anul 2019. În ultimii 10 ani pentru care există date statistice disp</w:t>
      </w:r>
      <w:r w:rsidR="002646B5">
        <w:rPr>
          <w:rFonts w:ascii="Arial" w:hAnsi="Arial" w:cs="Arial"/>
        </w:rPr>
        <w:t>o</w:t>
      </w:r>
      <w:r>
        <w:rPr>
          <w:rFonts w:ascii="Arial" w:hAnsi="Arial" w:cs="Arial"/>
        </w:rPr>
        <w:t xml:space="preserve">nibile, numărul de angajaţi la nivelul localităţii a cunoscut o evoluţie fluctuantă, marcată de scăderi sau de creşteri. Scăderea numărului de angajaţi de la nivelul anului 2020 poate fi </w:t>
      </w:r>
      <w:r w:rsidR="002646B5">
        <w:rPr>
          <w:rFonts w:ascii="Arial" w:hAnsi="Arial" w:cs="Arial"/>
        </w:rPr>
        <w:t>explicată</w:t>
      </w:r>
      <w:r>
        <w:rPr>
          <w:rFonts w:ascii="Arial" w:hAnsi="Arial" w:cs="Arial"/>
        </w:rPr>
        <w:t xml:space="preserve"> şi prin </w:t>
      </w:r>
      <w:r w:rsidR="002646B5">
        <w:rPr>
          <w:rFonts w:ascii="Arial" w:hAnsi="Arial" w:cs="Arial"/>
        </w:rPr>
        <w:t>perioada</w:t>
      </w:r>
      <w:r>
        <w:rPr>
          <w:rFonts w:ascii="Arial" w:hAnsi="Arial" w:cs="Arial"/>
        </w:rPr>
        <w:t xml:space="preserve"> </w:t>
      </w:r>
      <w:r w:rsidR="002646B5">
        <w:rPr>
          <w:rFonts w:ascii="Arial" w:hAnsi="Arial" w:cs="Arial"/>
        </w:rPr>
        <w:t>îndelungată</w:t>
      </w:r>
      <w:r>
        <w:rPr>
          <w:rFonts w:ascii="Arial" w:hAnsi="Arial" w:cs="Arial"/>
        </w:rPr>
        <w:t xml:space="preserve"> de pandemie Covid-19 care a afectuat </w:t>
      </w:r>
      <w:r w:rsidR="002646B5">
        <w:rPr>
          <w:rFonts w:ascii="Arial" w:hAnsi="Arial" w:cs="Arial"/>
        </w:rPr>
        <w:t>multe</w:t>
      </w:r>
      <w:r>
        <w:rPr>
          <w:rFonts w:ascii="Arial" w:hAnsi="Arial" w:cs="Arial"/>
        </w:rPr>
        <w:t xml:space="preserve"> din</w:t>
      </w:r>
      <w:r w:rsidR="002646B5">
        <w:rPr>
          <w:rFonts w:ascii="Arial" w:hAnsi="Arial" w:cs="Arial"/>
        </w:rPr>
        <w:t>tre</w:t>
      </w:r>
      <w:r>
        <w:rPr>
          <w:rFonts w:ascii="Arial" w:hAnsi="Arial" w:cs="Arial"/>
        </w:rPr>
        <w:t xml:space="preserve"> activităţile economice.</w:t>
      </w:r>
    </w:p>
    <w:p w14:paraId="279906EB" w14:textId="77777777" w:rsidR="00A705B4" w:rsidRDefault="00A705B4" w:rsidP="007B526F">
      <w:pPr>
        <w:jc w:val="both"/>
        <w:rPr>
          <w:rFonts w:ascii="Arial" w:hAnsi="Arial" w:cs="Arial"/>
        </w:rPr>
      </w:pPr>
    </w:p>
    <w:p w14:paraId="34AB3339" w14:textId="77777777" w:rsidR="009C6E78" w:rsidRDefault="009C6E78" w:rsidP="007B526F">
      <w:pPr>
        <w:jc w:val="both"/>
        <w:rPr>
          <w:rFonts w:ascii="Arial" w:hAnsi="Arial" w:cs="Arial"/>
        </w:rPr>
      </w:pPr>
    </w:p>
    <w:p w14:paraId="26D8E0FC" w14:textId="77777777" w:rsidR="009C6E78" w:rsidRPr="001B0C7D" w:rsidRDefault="009C6E78" w:rsidP="007B526F">
      <w:pPr>
        <w:jc w:val="both"/>
        <w:rPr>
          <w:rFonts w:ascii="Arial" w:hAnsi="Arial" w:cs="Arial"/>
        </w:rPr>
      </w:pPr>
    </w:p>
    <w:p w14:paraId="693BDDC4" w14:textId="4D760856" w:rsidR="00481168" w:rsidRPr="00D273E9" w:rsidRDefault="00D273E9" w:rsidP="00D273E9">
      <w:pPr>
        <w:pStyle w:val="Legend"/>
        <w:jc w:val="center"/>
        <w:rPr>
          <w:rFonts w:ascii="Arial" w:hAnsi="Arial" w:cs="Arial"/>
          <w:i w:val="0"/>
          <w:iCs w:val="0"/>
          <w:sz w:val="22"/>
          <w:szCs w:val="22"/>
        </w:rPr>
      </w:pPr>
      <w:bookmarkStart w:id="66" w:name="_Toc68361215"/>
      <w:bookmarkStart w:id="67" w:name="_Toc140744571"/>
      <w:r w:rsidRPr="00D273E9">
        <w:rPr>
          <w:rFonts w:ascii="Arial" w:hAnsi="Arial" w:cs="Arial"/>
          <w:sz w:val="22"/>
          <w:szCs w:val="22"/>
        </w:rPr>
        <w:t xml:space="preserve">Tabel I.2. </w:t>
      </w:r>
      <w:r w:rsidRPr="00D273E9">
        <w:rPr>
          <w:rFonts w:ascii="Arial" w:hAnsi="Arial" w:cs="Arial"/>
          <w:sz w:val="22"/>
          <w:szCs w:val="22"/>
        </w:rPr>
        <w:fldChar w:fldCharType="begin"/>
      </w:r>
      <w:r w:rsidRPr="00D273E9">
        <w:rPr>
          <w:rFonts w:ascii="Arial" w:hAnsi="Arial" w:cs="Arial"/>
          <w:sz w:val="22"/>
          <w:szCs w:val="22"/>
        </w:rPr>
        <w:instrText xml:space="preserve"> SEQ Tabel_I.2. \* ARABIC </w:instrText>
      </w:r>
      <w:r w:rsidRPr="00D273E9">
        <w:rPr>
          <w:rFonts w:ascii="Arial" w:hAnsi="Arial" w:cs="Arial"/>
          <w:sz w:val="22"/>
          <w:szCs w:val="22"/>
        </w:rPr>
        <w:fldChar w:fldCharType="separate"/>
      </w:r>
      <w:r w:rsidR="00BB181C">
        <w:rPr>
          <w:rFonts w:ascii="Arial" w:hAnsi="Arial" w:cs="Arial"/>
          <w:noProof/>
          <w:sz w:val="22"/>
          <w:szCs w:val="22"/>
        </w:rPr>
        <w:t>5</w:t>
      </w:r>
      <w:r w:rsidRPr="00D273E9">
        <w:rPr>
          <w:rFonts w:ascii="Arial" w:hAnsi="Arial" w:cs="Arial"/>
          <w:sz w:val="22"/>
          <w:szCs w:val="22"/>
        </w:rPr>
        <w:fldChar w:fldCharType="end"/>
      </w:r>
      <w:r w:rsidRPr="00D273E9">
        <w:rPr>
          <w:rFonts w:ascii="Arial" w:hAnsi="Arial" w:cs="Arial"/>
          <w:sz w:val="22"/>
          <w:szCs w:val="22"/>
        </w:rPr>
        <w:t xml:space="preserve"> </w:t>
      </w:r>
      <w:r w:rsidR="00481168" w:rsidRPr="00D273E9">
        <w:rPr>
          <w:rFonts w:ascii="Arial" w:hAnsi="Arial" w:cs="Arial"/>
          <w:sz w:val="22"/>
          <w:szCs w:val="22"/>
        </w:rPr>
        <w:t xml:space="preserve">- </w:t>
      </w:r>
      <w:r w:rsidR="00481168" w:rsidRPr="00D273E9">
        <w:rPr>
          <w:rFonts w:ascii="Arial" w:hAnsi="Arial" w:cs="Arial"/>
          <w:i w:val="0"/>
          <w:iCs w:val="0"/>
          <w:sz w:val="22"/>
          <w:szCs w:val="22"/>
        </w:rPr>
        <w:t xml:space="preserve">Numărul mediu al salariaților – </w:t>
      </w:r>
      <w:bookmarkEnd w:id="66"/>
      <w:r w:rsidRPr="00D273E9">
        <w:rPr>
          <w:rFonts w:ascii="Arial" w:hAnsi="Arial" w:cs="Arial"/>
          <w:i w:val="0"/>
          <w:iCs w:val="0"/>
          <w:sz w:val="22"/>
          <w:szCs w:val="22"/>
        </w:rPr>
        <w:t>oraşul Horezu</w:t>
      </w:r>
      <w:bookmarkEnd w:id="67"/>
    </w:p>
    <w:tbl>
      <w:tblPr>
        <w:tblStyle w:val="PlainTable21"/>
        <w:tblW w:w="4628" w:type="pct"/>
        <w:tblLook w:val="04A0" w:firstRow="1" w:lastRow="0" w:firstColumn="1" w:lastColumn="0" w:noHBand="0" w:noVBand="1"/>
      </w:tblPr>
      <w:tblGrid>
        <w:gridCol w:w="1593"/>
        <w:gridCol w:w="812"/>
        <w:gridCol w:w="748"/>
        <w:gridCol w:w="748"/>
        <w:gridCol w:w="748"/>
        <w:gridCol w:w="748"/>
        <w:gridCol w:w="748"/>
        <w:gridCol w:w="748"/>
        <w:gridCol w:w="748"/>
        <w:gridCol w:w="748"/>
        <w:gridCol w:w="748"/>
      </w:tblGrid>
      <w:tr w:rsidR="00D273E9" w:rsidRPr="00D273E9" w14:paraId="4F1B50F7" w14:textId="77777777" w:rsidTr="002646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38B78737" w14:textId="77777777" w:rsidR="00D273E9" w:rsidRPr="002646B5" w:rsidRDefault="002646B5" w:rsidP="00D273E9">
            <w:pPr>
              <w:spacing w:before="150" w:after="150"/>
              <w:rPr>
                <w:rFonts w:ascii="Arial" w:eastAsia="Times New Roman" w:hAnsi="Arial" w:cs="Arial"/>
                <w:bCs w:val="0"/>
                <w:color w:val="000000"/>
                <w:sz w:val="20"/>
                <w:szCs w:val="20"/>
              </w:rPr>
            </w:pPr>
            <w:r w:rsidRPr="002646B5">
              <w:rPr>
                <w:rFonts w:ascii="Arial" w:eastAsia="Times New Roman" w:hAnsi="Arial" w:cs="Arial"/>
                <w:bCs w:val="0"/>
                <w:color w:val="000000"/>
                <w:sz w:val="20"/>
                <w:szCs w:val="20"/>
              </w:rPr>
              <w:t>Localităţ</w:t>
            </w:r>
            <w:r w:rsidR="00D273E9" w:rsidRPr="002646B5">
              <w:rPr>
                <w:rFonts w:ascii="Arial" w:eastAsia="Times New Roman" w:hAnsi="Arial" w:cs="Arial"/>
                <w:bCs w:val="0"/>
                <w:color w:val="000000"/>
                <w:sz w:val="20"/>
                <w:szCs w:val="20"/>
              </w:rPr>
              <w:t>i</w:t>
            </w:r>
          </w:p>
        </w:tc>
        <w:tc>
          <w:tcPr>
            <w:tcW w:w="0" w:type="auto"/>
            <w:gridSpan w:val="10"/>
            <w:hideMark/>
          </w:tcPr>
          <w:p w14:paraId="73CB08BE" w14:textId="77777777" w:rsidR="00D273E9" w:rsidRPr="002646B5" w:rsidRDefault="00D273E9" w:rsidP="00D273E9">
            <w:pPr>
              <w:spacing w:before="150" w:after="150"/>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Cs w:val="0"/>
                <w:color w:val="000000"/>
                <w:sz w:val="20"/>
                <w:szCs w:val="20"/>
              </w:rPr>
            </w:pPr>
            <w:r w:rsidRPr="002646B5">
              <w:rPr>
                <w:rFonts w:ascii="Arial" w:eastAsia="Times New Roman" w:hAnsi="Arial" w:cs="Arial"/>
                <w:bCs w:val="0"/>
                <w:color w:val="000000"/>
                <w:sz w:val="20"/>
                <w:szCs w:val="20"/>
              </w:rPr>
              <w:t>Ani</w:t>
            </w:r>
          </w:p>
        </w:tc>
      </w:tr>
      <w:tr w:rsidR="00D273E9" w:rsidRPr="002646B5" w14:paraId="38A7DC5E" w14:textId="77777777" w:rsidTr="002646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65FDFBF4" w14:textId="77777777" w:rsidR="00D273E9" w:rsidRPr="00D273E9" w:rsidRDefault="00D273E9" w:rsidP="00D273E9">
            <w:pPr>
              <w:spacing w:before="150" w:after="150"/>
              <w:rPr>
                <w:rFonts w:ascii="Arial" w:eastAsia="Times New Roman" w:hAnsi="Arial" w:cs="Arial"/>
                <w:b w:val="0"/>
                <w:bCs w:val="0"/>
                <w:color w:val="000000"/>
                <w:sz w:val="20"/>
                <w:szCs w:val="20"/>
              </w:rPr>
            </w:pPr>
          </w:p>
        </w:tc>
        <w:tc>
          <w:tcPr>
            <w:tcW w:w="0" w:type="auto"/>
            <w:hideMark/>
          </w:tcPr>
          <w:p w14:paraId="5BB7B2E1"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 xml:space="preserve"> 2011</w:t>
            </w:r>
          </w:p>
        </w:tc>
        <w:tc>
          <w:tcPr>
            <w:tcW w:w="0" w:type="auto"/>
            <w:hideMark/>
          </w:tcPr>
          <w:p w14:paraId="31564984"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2012</w:t>
            </w:r>
          </w:p>
        </w:tc>
        <w:tc>
          <w:tcPr>
            <w:tcW w:w="0" w:type="auto"/>
            <w:hideMark/>
          </w:tcPr>
          <w:p w14:paraId="564F1662"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2013</w:t>
            </w:r>
          </w:p>
        </w:tc>
        <w:tc>
          <w:tcPr>
            <w:tcW w:w="0" w:type="auto"/>
            <w:hideMark/>
          </w:tcPr>
          <w:p w14:paraId="331A87BE"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2014</w:t>
            </w:r>
          </w:p>
        </w:tc>
        <w:tc>
          <w:tcPr>
            <w:tcW w:w="0" w:type="auto"/>
            <w:hideMark/>
          </w:tcPr>
          <w:p w14:paraId="1BD64B35"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2015</w:t>
            </w:r>
          </w:p>
        </w:tc>
        <w:tc>
          <w:tcPr>
            <w:tcW w:w="0" w:type="auto"/>
            <w:hideMark/>
          </w:tcPr>
          <w:p w14:paraId="070FF92A"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2016</w:t>
            </w:r>
          </w:p>
        </w:tc>
        <w:tc>
          <w:tcPr>
            <w:tcW w:w="0" w:type="auto"/>
            <w:hideMark/>
          </w:tcPr>
          <w:p w14:paraId="0AD6699F"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2017</w:t>
            </w:r>
          </w:p>
        </w:tc>
        <w:tc>
          <w:tcPr>
            <w:tcW w:w="0" w:type="auto"/>
            <w:hideMark/>
          </w:tcPr>
          <w:p w14:paraId="5E9EB66D"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2018</w:t>
            </w:r>
          </w:p>
        </w:tc>
        <w:tc>
          <w:tcPr>
            <w:tcW w:w="0" w:type="auto"/>
            <w:hideMark/>
          </w:tcPr>
          <w:p w14:paraId="09C9603F"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2019</w:t>
            </w:r>
          </w:p>
        </w:tc>
        <w:tc>
          <w:tcPr>
            <w:tcW w:w="0" w:type="auto"/>
            <w:hideMark/>
          </w:tcPr>
          <w:p w14:paraId="0D7E12E7" w14:textId="77777777" w:rsidR="00D273E9" w:rsidRPr="002646B5" w:rsidRDefault="00D273E9" w:rsidP="00D273E9">
            <w:pPr>
              <w:spacing w:before="150"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20"/>
                <w:szCs w:val="20"/>
              </w:rPr>
            </w:pPr>
            <w:r w:rsidRPr="002646B5">
              <w:rPr>
                <w:rFonts w:ascii="Arial" w:eastAsia="Times New Roman" w:hAnsi="Arial" w:cs="Arial"/>
                <w:b/>
                <w:bCs/>
                <w:color w:val="000000"/>
                <w:sz w:val="20"/>
                <w:szCs w:val="20"/>
              </w:rPr>
              <w:t>2020</w:t>
            </w:r>
          </w:p>
        </w:tc>
      </w:tr>
      <w:tr w:rsidR="00D273E9" w:rsidRPr="00D273E9" w14:paraId="4FFA7F35" w14:textId="77777777" w:rsidTr="002646B5">
        <w:tc>
          <w:tcPr>
            <w:cnfStyle w:val="001000000000" w:firstRow="0" w:lastRow="0" w:firstColumn="1" w:lastColumn="0" w:oddVBand="0" w:evenVBand="0" w:oddHBand="0" w:evenHBand="0" w:firstRowFirstColumn="0" w:firstRowLastColumn="0" w:lastRowFirstColumn="0" w:lastRowLastColumn="0"/>
            <w:tcW w:w="0" w:type="auto"/>
            <w:vMerge/>
            <w:hideMark/>
          </w:tcPr>
          <w:p w14:paraId="1ABDE1AF" w14:textId="77777777" w:rsidR="00D273E9" w:rsidRPr="00D273E9" w:rsidRDefault="00D273E9" w:rsidP="00D273E9">
            <w:pPr>
              <w:spacing w:before="150" w:after="150"/>
              <w:rPr>
                <w:rFonts w:ascii="Arial" w:eastAsia="Times New Roman" w:hAnsi="Arial" w:cs="Arial"/>
                <w:b w:val="0"/>
                <w:bCs w:val="0"/>
                <w:color w:val="000000"/>
                <w:sz w:val="20"/>
                <w:szCs w:val="20"/>
              </w:rPr>
            </w:pPr>
          </w:p>
        </w:tc>
        <w:tc>
          <w:tcPr>
            <w:tcW w:w="0" w:type="auto"/>
            <w:gridSpan w:val="10"/>
            <w:hideMark/>
          </w:tcPr>
          <w:p w14:paraId="0187C0C2" w14:textId="77777777" w:rsidR="00D273E9" w:rsidRPr="00D273E9" w:rsidRDefault="00D273E9" w:rsidP="002646B5">
            <w:pPr>
              <w:spacing w:before="150" w:after="150"/>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color w:val="000000"/>
                <w:sz w:val="20"/>
                <w:szCs w:val="20"/>
              </w:rPr>
            </w:pPr>
            <w:r w:rsidRPr="00D273E9">
              <w:rPr>
                <w:rFonts w:ascii="Arial" w:eastAsia="Times New Roman" w:hAnsi="Arial" w:cs="Arial"/>
                <w:b/>
                <w:bCs/>
                <w:color w:val="000000"/>
                <w:sz w:val="20"/>
                <w:szCs w:val="20"/>
              </w:rPr>
              <w:t>UM: Număr persoane</w:t>
            </w:r>
          </w:p>
        </w:tc>
      </w:tr>
      <w:tr w:rsidR="00D273E9" w:rsidRPr="00D273E9" w14:paraId="2AEA6F25" w14:textId="77777777" w:rsidTr="002646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7EEFEF4" w14:textId="77777777" w:rsidR="00D273E9" w:rsidRPr="002646B5" w:rsidRDefault="002646B5" w:rsidP="00D273E9">
            <w:pPr>
              <w:spacing w:before="150" w:after="150"/>
              <w:rPr>
                <w:rFonts w:ascii="Arial" w:eastAsia="Times New Roman" w:hAnsi="Arial" w:cs="Arial"/>
                <w:bCs w:val="0"/>
                <w:color w:val="000000"/>
                <w:sz w:val="20"/>
                <w:szCs w:val="20"/>
              </w:rPr>
            </w:pPr>
            <w:r w:rsidRPr="002646B5">
              <w:rPr>
                <w:rFonts w:ascii="Arial" w:eastAsia="Times New Roman" w:hAnsi="Arial" w:cs="Arial"/>
                <w:bCs w:val="0"/>
                <w:color w:val="000000"/>
                <w:sz w:val="20"/>
                <w:szCs w:val="20"/>
              </w:rPr>
              <w:t>Oraş Horezu</w:t>
            </w:r>
          </w:p>
        </w:tc>
        <w:tc>
          <w:tcPr>
            <w:tcW w:w="0" w:type="auto"/>
            <w:hideMark/>
          </w:tcPr>
          <w:p w14:paraId="06B7AEC3"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1554</w:t>
            </w:r>
          </w:p>
        </w:tc>
        <w:tc>
          <w:tcPr>
            <w:tcW w:w="0" w:type="auto"/>
            <w:hideMark/>
          </w:tcPr>
          <w:p w14:paraId="4FB81354"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1544</w:t>
            </w:r>
          </w:p>
        </w:tc>
        <w:tc>
          <w:tcPr>
            <w:tcW w:w="0" w:type="auto"/>
            <w:hideMark/>
          </w:tcPr>
          <w:p w14:paraId="63CA68F6"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1581</w:t>
            </w:r>
          </w:p>
        </w:tc>
        <w:tc>
          <w:tcPr>
            <w:tcW w:w="0" w:type="auto"/>
            <w:hideMark/>
          </w:tcPr>
          <w:p w14:paraId="67299156"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1699</w:t>
            </w:r>
          </w:p>
        </w:tc>
        <w:tc>
          <w:tcPr>
            <w:tcW w:w="0" w:type="auto"/>
            <w:hideMark/>
          </w:tcPr>
          <w:p w14:paraId="40B986A1"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1789</w:t>
            </w:r>
          </w:p>
        </w:tc>
        <w:tc>
          <w:tcPr>
            <w:tcW w:w="0" w:type="auto"/>
            <w:hideMark/>
          </w:tcPr>
          <w:p w14:paraId="286EA808"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1974</w:t>
            </w:r>
          </w:p>
        </w:tc>
        <w:tc>
          <w:tcPr>
            <w:tcW w:w="0" w:type="auto"/>
            <w:hideMark/>
          </w:tcPr>
          <w:p w14:paraId="3830F0B5"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1960</w:t>
            </w:r>
          </w:p>
        </w:tc>
        <w:tc>
          <w:tcPr>
            <w:tcW w:w="0" w:type="auto"/>
            <w:hideMark/>
          </w:tcPr>
          <w:p w14:paraId="488F1344"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2010</w:t>
            </w:r>
          </w:p>
        </w:tc>
        <w:tc>
          <w:tcPr>
            <w:tcW w:w="0" w:type="auto"/>
            <w:hideMark/>
          </w:tcPr>
          <w:p w14:paraId="33E2E46E"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2030</w:t>
            </w:r>
          </w:p>
        </w:tc>
        <w:tc>
          <w:tcPr>
            <w:tcW w:w="0" w:type="auto"/>
            <w:hideMark/>
          </w:tcPr>
          <w:p w14:paraId="226229CD" w14:textId="77777777" w:rsidR="00D273E9" w:rsidRPr="00D273E9" w:rsidRDefault="00D273E9" w:rsidP="00D273E9">
            <w:pPr>
              <w:spacing w:before="150" w:after="150"/>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Pr>
            </w:pPr>
            <w:r w:rsidRPr="00D273E9">
              <w:rPr>
                <w:rFonts w:ascii="Arial" w:eastAsia="Times New Roman" w:hAnsi="Arial" w:cs="Arial"/>
                <w:color w:val="000000"/>
                <w:sz w:val="20"/>
                <w:szCs w:val="20"/>
              </w:rPr>
              <w:t>1966</w:t>
            </w:r>
          </w:p>
        </w:tc>
      </w:tr>
    </w:tbl>
    <w:p w14:paraId="7EB6B7D4" w14:textId="77777777" w:rsidR="00481168" w:rsidRPr="00D273E9" w:rsidRDefault="00A423CC" w:rsidP="005A73BC">
      <w:pPr>
        <w:spacing w:line="276" w:lineRule="auto"/>
        <w:jc w:val="both"/>
        <w:rPr>
          <w:rFonts w:ascii="Arial" w:hAnsi="Arial" w:cs="Arial"/>
          <w:sz w:val="16"/>
          <w:szCs w:val="16"/>
        </w:rPr>
      </w:pPr>
      <w:r w:rsidRPr="00D273E9">
        <w:rPr>
          <w:rFonts w:ascii="Arial" w:hAnsi="Arial" w:cs="Arial"/>
          <w:sz w:val="16"/>
          <w:szCs w:val="16"/>
        </w:rPr>
        <w:t xml:space="preserve">Sursa: </w:t>
      </w:r>
      <w:hyperlink r:id="rId50" w:history="1">
        <w:r w:rsidR="00D273E9" w:rsidRPr="007A7ABD">
          <w:rPr>
            <w:rStyle w:val="Hyperlink"/>
            <w:rFonts w:ascii="Arial" w:hAnsi="Arial" w:cs="Arial"/>
            <w:sz w:val="16"/>
            <w:szCs w:val="16"/>
          </w:rPr>
          <w:t>http://statistici.insse.ro/</w:t>
        </w:r>
      </w:hyperlink>
      <w:r w:rsidR="00D273E9">
        <w:rPr>
          <w:rFonts w:ascii="Arial" w:hAnsi="Arial" w:cs="Arial"/>
          <w:sz w:val="16"/>
          <w:szCs w:val="16"/>
        </w:rPr>
        <w:t xml:space="preserve"> </w:t>
      </w:r>
    </w:p>
    <w:p w14:paraId="42B7349B" w14:textId="77777777" w:rsidR="00481168" w:rsidRDefault="00F96A1C" w:rsidP="005A73BC">
      <w:pPr>
        <w:spacing w:line="276" w:lineRule="auto"/>
        <w:jc w:val="both"/>
        <w:rPr>
          <w:rFonts w:ascii="Arial" w:hAnsi="Arial" w:cs="Arial"/>
        </w:rPr>
      </w:pPr>
      <w:r>
        <w:rPr>
          <w:rFonts w:ascii="Arial" w:hAnsi="Arial" w:cs="Arial"/>
        </w:rPr>
        <w:t xml:space="preserve">Anii marcaţi de cele mai mari creşteri ale numărului de angajaţi la nivelul oraşului Horezu sunt </w:t>
      </w:r>
      <w:r w:rsidR="0095542F">
        <w:rPr>
          <w:rFonts w:ascii="Arial" w:hAnsi="Arial" w:cs="Arial"/>
        </w:rPr>
        <w:t>2016, 2014, 2015, 2018 iar anii în care s-au înregistrat scăderi: 2012, 2017 şi cea mai accentuată scădere în 2020.</w:t>
      </w:r>
    </w:p>
    <w:p w14:paraId="0969EA11" w14:textId="77777777" w:rsidR="00D949F4" w:rsidRDefault="00977904" w:rsidP="005A73BC">
      <w:pPr>
        <w:spacing w:line="276" w:lineRule="auto"/>
        <w:jc w:val="both"/>
        <w:rPr>
          <w:rFonts w:ascii="Arial" w:hAnsi="Arial" w:cs="Arial"/>
        </w:rPr>
      </w:pPr>
      <w:r>
        <w:rPr>
          <w:rFonts w:ascii="Arial" w:hAnsi="Arial" w:cs="Arial"/>
        </w:rPr>
        <w:t xml:space="preserve">Evoluţia numărul de şomeri la nivelul localităţii este în corelaţie cu cea a numărului de angajaţi, în raport invers proporţional, pe perioada de referinţă. </w:t>
      </w:r>
    </w:p>
    <w:p w14:paraId="3F4533CA" w14:textId="58A0774C" w:rsidR="00977904" w:rsidRPr="00977904" w:rsidRDefault="00977904" w:rsidP="00977904">
      <w:pPr>
        <w:pStyle w:val="Legend"/>
        <w:jc w:val="center"/>
        <w:rPr>
          <w:rFonts w:ascii="Arial" w:hAnsi="Arial" w:cs="Arial"/>
          <w:i w:val="0"/>
          <w:sz w:val="22"/>
          <w:szCs w:val="22"/>
        </w:rPr>
      </w:pPr>
      <w:bookmarkStart w:id="68" w:name="_Toc140744572"/>
      <w:r w:rsidRPr="00977904">
        <w:rPr>
          <w:rFonts w:ascii="Arial" w:hAnsi="Arial" w:cs="Arial"/>
          <w:sz w:val="22"/>
          <w:szCs w:val="22"/>
        </w:rPr>
        <w:t xml:space="preserve">Tabel I.2. </w:t>
      </w:r>
      <w:r w:rsidRPr="00977904">
        <w:rPr>
          <w:rFonts w:ascii="Arial" w:hAnsi="Arial" w:cs="Arial"/>
          <w:sz w:val="22"/>
          <w:szCs w:val="22"/>
        </w:rPr>
        <w:fldChar w:fldCharType="begin"/>
      </w:r>
      <w:r w:rsidRPr="00977904">
        <w:rPr>
          <w:rFonts w:ascii="Arial" w:hAnsi="Arial" w:cs="Arial"/>
          <w:sz w:val="22"/>
          <w:szCs w:val="22"/>
        </w:rPr>
        <w:instrText xml:space="preserve"> SEQ Tabel_I.2. \* ARABIC </w:instrText>
      </w:r>
      <w:r w:rsidRPr="00977904">
        <w:rPr>
          <w:rFonts w:ascii="Arial" w:hAnsi="Arial" w:cs="Arial"/>
          <w:sz w:val="22"/>
          <w:szCs w:val="22"/>
        </w:rPr>
        <w:fldChar w:fldCharType="separate"/>
      </w:r>
      <w:r w:rsidR="00BB181C">
        <w:rPr>
          <w:rFonts w:ascii="Arial" w:hAnsi="Arial" w:cs="Arial"/>
          <w:noProof/>
          <w:sz w:val="22"/>
          <w:szCs w:val="22"/>
        </w:rPr>
        <w:t>6</w:t>
      </w:r>
      <w:r w:rsidRPr="00977904">
        <w:rPr>
          <w:rFonts w:ascii="Arial" w:hAnsi="Arial" w:cs="Arial"/>
          <w:sz w:val="22"/>
          <w:szCs w:val="22"/>
        </w:rPr>
        <w:fldChar w:fldCharType="end"/>
      </w:r>
      <w:r w:rsidRPr="00977904">
        <w:rPr>
          <w:rFonts w:ascii="Arial" w:hAnsi="Arial" w:cs="Arial"/>
          <w:sz w:val="22"/>
          <w:szCs w:val="22"/>
        </w:rPr>
        <w:t xml:space="preserve"> – </w:t>
      </w:r>
      <w:r w:rsidRPr="00977904">
        <w:rPr>
          <w:rFonts w:ascii="Arial" w:hAnsi="Arial" w:cs="Arial"/>
          <w:i w:val="0"/>
          <w:sz w:val="22"/>
          <w:szCs w:val="22"/>
        </w:rPr>
        <w:t>Şomeri î</w:t>
      </w:r>
      <w:r>
        <w:rPr>
          <w:rFonts w:ascii="Arial" w:hAnsi="Arial" w:cs="Arial"/>
          <w:i w:val="0"/>
          <w:sz w:val="22"/>
          <w:szCs w:val="22"/>
        </w:rPr>
        <w:t>nregistraţ</w:t>
      </w:r>
      <w:r w:rsidRPr="00977904">
        <w:rPr>
          <w:rFonts w:ascii="Arial" w:hAnsi="Arial" w:cs="Arial"/>
          <w:i w:val="0"/>
          <w:sz w:val="22"/>
          <w:szCs w:val="22"/>
        </w:rPr>
        <w:t>i</w:t>
      </w:r>
      <w:r>
        <w:rPr>
          <w:rFonts w:ascii="Arial" w:hAnsi="Arial" w:cs="Arial"/>
          <w:i w:val="0"/>
          <w:sz w:val="22"/>
          <w:szCs w:val="22"/>
        </w:rPr>
        <w:t xml:space="preserve"> 2011-2020 în oraşul Horezu</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1186"/>
        <w:gridCol w:w="855"/>
        <w:gridCol w:w="856"/>
        <w:gridCol w:w="856"/>
        <w:gridCol w:w="856"/>
        <w:gridCol w:w="856"/>
        <w:gridCol w:w="856"/>
        <w:gridCol w:w="856"/>
        <w:gridCol w:w="856"/>
        <w:gridCol w:w="856"/>
        <w:gridCol w:w="856"/>
      </w:tblGrid>
      <w:tr w:rsidR="00D949F4" w:rsidRPr="00D949F4" w14:paraId="3C51065A" w14:textId="77777777" w:rsidTr="00ED134A">
        <w:tc>
          <w:tcPr>
            <w:tcW w:w="0" w:type="auto"/>
            <w:vMerge w:val="restart"/>
            <w:shd w:val="clear" w:color="auto" w:fill="auto"/>
            <w:tcMar>
              <w:top w:w="45" w:type="dxa"/>
              <w:left w:w="45" w:type="dxa"/>
              <w:bottom w:w="45" w:type="dxa"/>
              <w:right w:w="45" w:type="dxa"/>
            </w:tcMar>
            <w:vAlign w:val="center"/>
            <w:hideMark/>
          </w:tcPr>
          <w:p w14:paraId="5CE0AD43" w14:textId="77777777" w:rsidR="00D949F4" w:rsidRPr="00D949F4" w:rsidRDefault="00ED134A" w:rsidP="00ED134A">
            <w:pPr>
              <w:spacing w:after="0" w:line="240" w:lineRule="auto"/>
              <w:rPr>
                <w:rFonts w:ascii="Arial" w:eastAsia="Times New Roman" w:hAnsi="Arial" w:cs="Arial"/>
                <w:b/>
                <w:bCs/>
                <w:color w:val="000000"/>
                <w:sz w:val="20"/>
                <w:szCs w:val="20"/>
              </w:rPr>
            </w:pPr>
            <w:r>
              <w:rPr>
                <w:rFonts w:ascii="Arial" w:eastAsia="Times New Roman" w:hAnsi="Arial" w:cs="Arial"/>
                <w:b/>
                <w:bCs/>
                <w:color w:val="000000"/>
                <w:sz w:val="20"/>
                <w:szCs w:val="20"/>
              </w:rPr>
              <w:t>Localităţ</w:t>
            </w:r>
            <w:r w:rsidR="00D949F4" w:rsidRPr="00D949F4">
              <w:rPr>
                <w:rFonts w:ascii="Arial" w:eastAsia="Times New Roman" w:hAnsi="Arial" w:cs="Arial"/>
                <w:b/>
                <w:bCs/>
                <w:color w:val="000000"/>
                <w:sz w:val="20"/>
                <w:szCs w:val="20"/>
              </w:rPr>
              <w:t>i</w:t>
            </w:r>
          </w:p>
        </w:tc>
        <w:tc>
          <w:tcPr>
            <w:tcW w:w="0" w:type="auto"/>
            <w:gridSpan w:val="10"/>
            <w:shd w:val="clear" w:color="auto" w:fill="auto"/>
            <w:tcMar>
              <w:top w:w="45" w:type="dxa"/>
              <w:left w:w="45" w:type="dxa"/>
              <w:bottom w:w="45" w:type="dxa"/>
              <w:right w:w="45" w:type="dxa"/>
            </w:tcMar>
            <w:vAlign w:val="center"/>
            <w:hideMark/>
          </w:tcPr>
          <w:p w14:paraId="3263DE39" w14:textId="77777777" w:rsidR="00D949F4" w:rsidRPr="00D949F4" w:rsidRDefault="00D949F4" w:rsidP="00ED134A">
            <w:pPr>
              <w:spacing w:after="0" w:line="240" w:lineRule="auto"/>
              <w:jc w:val="center"/>
              <w:rPr>
                <w:rFonts w:ascii="Arial" w:eastAsia="Times New Roman" w:hAnsi="Arial" w:cs="Arial"/>
                <w:b/>
                <w:bCs/>
                <w:color w:val="000000"/>
                <w:sz w:val="20"/>
                <w:szCs w:val="20"/>
              </w:rPr>
            </w:pPr>
            <w:r w:rsidRPr="00D949F4">
              <w:rPr>
                <w:rFonts w:ascii="Arial" w:eastAsia="Times New Roman" w:hAnsi="Arial" w:cs="Arial"/>
                <w:b/>
                <w:bCs/>
                <w:color w:val="000000"/>
                <w:sz w:val="20"/>
                <w:szCs w:val="20"/>
              </w:rPr>
              <w:t>Perioade</w:t>
            </w:r>
          </w:p>
        </w:tc>
      </w:tr>
      <w:tr w:rsidR="00977904" w:rsidRPr="00D949F4" w14:paraId="13B3E81A" w14:textId="77777777" w:rsidTr="00ED134A">
        <w:tc>
          <w:tcPr>
            <w:tcW w:w="0" w:type="auto"/>
            <w:vMerge/>
            <w:shd w:val="clear" w:color="auto" w:fill="auto"/>
            <w:vAlign w:val="center"/>
            <w:hideMark/>
          </w:tcPr>
          <w:p w14:paraId="0B6D75C7" w14:textId="77777777" w:rsidR="00D949F4" w:rsidRPr="00D949F4" w:rsidRDefault="00D949F4" w:rsidP="00ED134A">
            <w:pPr>
              <w:spacing w:after="0" w:line="240" w:lineRule="auto"/>
              <w:rPr>
                <w:rFonts w:ascii="Arial" w:eastAsia="Times New Roman" w:hAnsi="Arial" w:cs="Arial"/>
                <w:b/>
                <w:bCs/>
                <w:color w:val="000000"/>
                <w:sz w:val="20"/>
                <w:szCs w:val="20"/>
              </w:rPr>
            </w:pPr>
          </w:p>
        </w:tc>
        <w:tc>
          <w:tcPr>
            <w:tcW w:w="0" w:type="auto"/>
            <w:shd w:val="clear" w:color="auto" w:fill="auto"/>
            <w:tcMar>
              <w:top w:w="45" w:type="dxa"/>
              <w:left w:w="45" w:type="dxa"/>
              <w:bottom w:w="45" w:type="dxa"/>
              <w:right w:w="45" w:type="dxa"/>
            </w:tcMar>
            <w:vAlign w:val="center"/>
            <w:hideMark/>
          </w:tcPr>
          <w:p w14:paraId="014C06EC"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2011</w:t>
            </w:r>
          </w:p>
        </w:tc>
        <w:tc>
          <w:tcPr>
            <w:tcW w:w="0" w:type="auto"/>
            <w:shd w:val="clear" w:color="auto" w:fill="auto"/>
            <w:tcMar>
              <w:top w:w="45" w:type="dxa"/>
              <w:left w:w="45" w:type="dxa"/>
              <w:bottom w:w="45" w:type="dxa"/>
              <w:right w:w="45" w:type="dxa"/>
            </w:tcMar>
            <w:vAlign w:val="center"/>
            <w:hideMark/>
          </w:tcPr>
          <w:p w14:paraId="5CB244FA"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2012</w:t>
            </w:r>
          </w:p>
        </w:tc>
        <w:tc>
          <w:tcPr>
            <w:tcW w:w="0" w:type="auto"/>
            <w:shd w:val="clear" w:color="auto" w:fill="auto"/>
            <w:tcMar>
              <w:top w:w="45" w:type="dxa"/>
              <w:left w:w="45" w:type="dxa"/>
              <w:bottom w:w="45" w:type="dxa"/>
              <w:right w:w="45" w:type="dxa"/>
            </w:tcMar>
            <w:vAlign w:val="center"/>
            <w:hideMark/>
          </w:tcPr>
          <w:p w14:paraId="3E0D2255"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2013</w:t>
            </w:r>
          </w:p>
        </w:tc>
        <w:tc>
          <w:tcPr>
            <w:tcW w:w="0" w:type="auto"/>
            <w:shd w:val="clear" w:color="auto" w:fill="auto"/>
            <w:tcMar>
              <w:top w:w="45" w:type="dxa"/>
              <w:left w:w="45" w:type="dxa"/>
              <w:bottom w:w="45" w:type="dxa"/>
              <w:right w:w="45" w:type="dxa"/>
            </w:tcMar>
            <w:vAlign w:val="center"/>
            <w:hideMark/>
          </w:tcPr>
          <w:p w14:paraId="18EAF152"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2014</w:t>
            </w:r>
          </w:p>
        </w:tc>
        <w:tc>
          <w:tcPr>
            <w:tcW w:w="0" w:type="auto"/>
            <w:shd w:val="clear" w:color="auto" w:fill="auto"/>
            <w:tcMar>
              <w:top w:w="45" w:type="dxa"/>
              <w:left w:w="45" w:type="dxa"/>
              <w:bottom w:w="45" w:type="dxa"/>
              <w:right w:w="45" w:type="dxa"/>
            </w:tcMar>
            <w:vAlign w:val="center"/>
            <w:hideMark/>
          </w:tcPr>
          <w:p w14:paraId="0838937C"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2015</w:t>
            </w:r>
          </w:p>
        </w:tc>
        <w:tc>
          <w:tcPr>
            <w:tcW w:w="0" w:type="auto"/>
            <w:shd w:val="clear" w:color="auto" w:fill="auto"/>
            <w:tcMar>
              <w:top w:w="45" w:type="dxa"/>
              <w:left w:w="45" w:type="dxa"/>
              <w:bottom w:w="45" w:type="dxa"/>
              <w:right w:w="45" w:type="dxa"/>
            </w:tcMar>
            <w:vAlign w:val="center"/>
            <w:hideMark/>
          </w:tcPr>
          <w:p w14:paraId="7D7EB477"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2016</w:t>
            </w:r>
          </w:p>
        </w:tc>
        <w:tc>
          <w:tcPr>
            <w:tcW w:w="0" w:type="auto"/>
            <w:shd w:val="clear" w:color="auto" w:fill="auto"/>
            <w:tcMar>
              <w:top w:w="45" w:type="dxa"/>
              <w:left w:w="45" w:type="dxa"/>
              <w:bottom w:w="45" w:type="dxa"/>
              <w:right w:w="45" w:type="dxa"/>
            </w:tcMar>
            <w:vAlign w:val="center"/>
            <w:hideMark/>
          </w:tcPr>
          <w:p w14:paraId="00DE30D2"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2017</w:t>
            </w:r>
          </w:p>
        </w:tc>
        <w:tc>
          <w:tcPr>
            <w:tcW w:w="0" w:type="auto"/>
            <w:shd w:val="clear" w:color="auto" w:fill="auto"/>
            <w:tcMar>
              <w:top w:w="45" w:type="dxa"/>
              <w:left w:w="45" w:type="dxa"/>
              <w:bottom w:w="45" w:type="dxa"/>
              <w:right w:w="45" w:type="dxa"/>
            </w:tcMar>
            <w:vAlign w:val="center"/>
            <w:hideMark/>
          </w:tcPr>
          <w:p w14:paraId="670397DE"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2018</w:t>
            </w:r>
          </w:p>
        </w:tc>
        <w:tc>
          <w:tcPr>
            <w:tcW w:w="0" w:type="auto"/>
            <w:shd w:val="clear" w:color="auto" w:fill="auto"/>
            <w:tcMar>
              <w:top w:w="45" w:type="dxa"/>
              <w:left w:w="45" w:type="dxa"/>
              <w:bottom w:w="45" w:type="dxa"/>
              <w:right w:w="45" w:type="dxa"/>
            </w:tcMar>
            <w:vAlign w:val="center"/>
            <w:hideMark/>
          </w:tcPr>
          <w:p w14:paraId="0FE6069B"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2019</w:t>
            </w:r>
          </w:p>
        </w:tc>
        <w:tc>
          <w:tcPr>
            <w:tcW w:w="0" w:type="auto"/>
            <w:shd w:val="clear" w:color="auto" w:fill="auto"/>
            <w:tcMar>
              <w:top w:w="45" w:type="dxa"/>
              <w:left w:w="45" w:type="dxa"/>
              <w:bottom w:w="45" w:type="dxa"/>
              <w:right w:w="45" w:type="dxa"/>
            </w:tcMar>
            <w:vAlign w:val="center"/>
            <w:hideMark/>
          </w:tcPr>
          <w:p w14:paraId="069816EB" w14:textId="77777777" w:rsidR="00D949F4" w:rsidRPr="00D949F4" w:rsidRDefault="00D949F4" w:rsidP="00ED134A">
            <w:pPr>
              <w:spacing w:after="0" w:line="240" w:lineRule="auto"/>
              <w:rPr>
                <w:rFonts w:ascii="Arial" w:eastAsia="Times New Roman" w:hAnsi="Arial" w:cs="Arial"/>
                <w:bCs/>
                <w:color w:val="000000"/>
                <w:sz w:val="20"/>
                <w:szCs w:val="20"/>
              </w:rPr>
            </w:pPr>
            <w:r w:rsidRPr="00D949F4">
              <w:rPr>
                <w:rFonts w:ascii="Arial" w:eastAsia="Times New Roman" w:hAnsi="Arial" w:cs="Arial"/>
                <w:bCs/>
                <w:color w:val="000000"/>
                <w:sz w:val="20"/>
                <w:szCs w:val="20"/>
              </w:rPr>
              <w:t>Anul 2020</w:t>
            </w:r>
          </w:p>
        </w:tc>
      </w:tr>
      <w:tr w:rsidR="00D949F4" w:rsidRPr="00D949F4" w14:paraId="3C7A2DE3" w14:textId="77777777" w:rsidTr="00ED134A">
        <w:tc>
          <w:tcPr>
            <w:tcW w:w="0" w:type="auto"/>
            <w:vMerge/>
            <w:shd w:val="clear" w:color="auto" w:fill="auto"/>
            <w:vAlign w:val="center"/>
            <w:hideMark/>
          </w:tcPr>
          <w:p w14:paraId="77DBDFCB" w14:textId="77777777" w:rsidR="00D949F4" w:rsidRPr="00D949F4" w:rsidRDefault="00D949F4" w:rsidP="00ED134A">
            <w:pPr>
              <w:spacing w:after="0" w:line="240" w:lineRule="auto"/>
              <w:rPr>
                <w:rFonts w:ascii="Arial" w:eastAsia="Times New Roman" w:hAnsi="Arial" w:cs="Arial"/>
                <w:b/>
                <w:bCs/>
                <w:color w:val="000000"/>
                <w:sz w:val="20"/>
                <w:szCs w:val="20"/>
              </w:rPr>
            </w:pPr>
          </w:p>
        </w:tc>
        <w:tc>
          <w:tcPr>
            <w:tcW w:w="0" w:type="auto"/>
            <w:gridSpan w:val="10"/>
            <w:shd w:val="clear" w:color="auto" w:fill="auto"/>
            <w:tcMar>
              <w:top w:w="45" w:type="dxa"/>
              <w:left w:w="45" w:type="dxa"/>
              <w:bottom w:w="45" w:type="dxa"/>
              <w:right w:w="45" w:type="dxa"/>
            </w:tcMar>
            <w:vAlign w:val="center"/>
            <w:hideMark/>
          </w:tcPr>
          <w:p w14:paraId="49257159" w14:textId="77777777" w:rsidR="00D949F4" w:rsidRPr="00D949F4" w:rsidRDefault="00ED134A" w:rsidP="00ED134A">
            <w:pPr>
              <w:spacing w:after="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UM: Numă</w:t>
            </w:r>
            <w:r w:rsidR="00D949F4" w:rsidRPr="00D949F4">
              <w:rPr>
                <w:rFonts w:ascii="Arial" w:eastAsia="Times New Roman" w:hAnsi="Arial" w:cs="Arial"/>
                <w:b/>
                <w:bCs/>
                <w:color w:val="000000"/>
                <w:sz w:val="20"/>
                <w:szCs w:val="20"/>
              </w:rPr>
              <w:t>r persoane</w:t>
            </w:r>
          </w:p>
        </w:tc>
      </w:tr>
      <w:tr w:rsidR="00977904" w:rsidRPr="00D949F4" w14:paraId="69ECF728" w14:textId="77777777" w:rsidTr="00ED134A">
        <w:tc>
          <w:tcPr>
            <w:tcW w:w="0" w:type="auto"/>
            <w:shd w:val="clear" w:color="auto" w:fill="auto"/>
            <w:tcMar>
              <w:top w:w="45" w:type="dxa"/>
              <w:left w:w="45" w:type="dxa"/>
              <w:bottom w:w="45" w:type="dxa"/>
              <w:right w:w="45" w:type="dxa"/>
            </w:tcMar>
            <w:vAlign w:val="center"/>
            <w:hideMark/>
          </w:tcPr>
          <w:p w14:paraId="363F2D0A" w14:textId="77777777" w:rsidR="00D949F4" w:rsidRPr="00D949F4" w:rsidRDefault="00ED134A" w:rsidP="00ED134A">
            <w:pPr>
              <w:spacing w:after="0" w:line="240" w:lineRule="auto"/>
              <w:rPr>
                <w:rFonts w:ascii="Arial" w:eastAsia="Times New Roman" w:hAnsi="Arial" w:cs="Arial"/>
                <w:b/>
                <w:bCs/>
                <w:color w:val="000000"/>
                <w:sz w:val="20"/>
                <w:szCs w:val="20"/>
              </w:rPr>
            </w:pPr>
            <w:r>
              <w:rPr>
                <w:rFonts w:ascii="Arial" w:eastAsia="Times New Roman" w:hAnsi="Arial" w:cs="Arial"/>
                <w:b/>
                <w:bCs/>
                <w:color w:val="000000"/>
                <w:sz w:val="20"/>
                <w:szCs w:val="20"/>
              </w:rPr>
              <w:t>Oraş</w:t>
            </w:r>
            <w:r w:rsidRPr="00D949F4">
              <w:rPr>
                <w:rFonts w:ascii="Arial" w:eastAsia="Times New Roman" w:hAnsi="Arial" w:cs="Arial"/>
                <w:b/>
                <w:bCs/>
                <w:color w:val="000000"/>
                <w:sz w:val="20"/>
                <w:szCs w:val="20"/>
              </w:rPr>
              <w:t xml:space="preserve"> Horezu</w:t>
            </w:r>
          </w:p>
        </w:tc>
        <w:tc>
          <w:tcPr>
            <w:tcW w:w="0" w:type="auto"/>
            <w:shd w:val="clear" w:color="auto" w:fill="auto"/>
            <w:tcMar>
              <w:top w:w="45" w:type="dxa"/>
              <w:left w:w="45" w:type="dxa"/>
              <w:bottom w:w="45" w:type="dxa"/>
              <w:right w:w="45" w:type="dxa"/>
            </w:tcMar>
            <w:vAlign w:val="center"/>
            <w:hideMark/>
          </w:tcPr>
          <w:p w14:paraId="30AFAEBA"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rPr>
              <w:t>173</w:t>
            </w:r>
          </w:p>
        </w:tc>
        <w:tc>
          <w:tcPr>
            <w:tcW w:w="0" w:type="auto"/>
            <w:shd w:val="clear" w:color="auto" w:fill="auto"/>
            <w:tcMar>
              <w:top w:w="45" w:type="dxa"/>
              <w:left w:w="45" w:type="dxa"/>
              <w:bottom w:w="45" w:type="dxa"/>
              <w:right w:w="45" w:type="dxa"/>
            </w:tcMar>
            <w:vAlign w:val="center"/>
            <w:hideMark/>
          </w:tcPr>
          <w:p w14:paraId="5ECEE418"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rPr>
              <w:t>223</w:t>
            </w:r>
          </w:p>
        </w:tc>
        <w:tc>
          <w:tcPr>
            <w:tcW w:w="0" w:type="auto"/>
            <w:shd w:val="clear" w:color="auto" w:fill="auto"/>
            <w:tcMar>
              <w:top w:w="45" w:type="dxa"/>
              <w:left w:w="45" w:type="dxa"/>
              <w:bottom w:w="45" w:type="dxa"/>
              <w:right w:w="45" w:type="dxa"/>
            </w:tcMar>
            <w:vAlign w:val="center"/>
            <w:hideMark/>
          </w:tcPr>
          <w:p w14:paraId="42115458"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rPr>
              <w:t>277</w:t>
            </w:r>
          </w:p>
        </w:tc>
        <w:tc>
          <w:tcPr>
            <w:tcW w:w="0" w:type="auto"/>
            <w:shd w:val="clear" w:color="auto" w:fill="auto"/>
            <w:tcMar>
              <w:top w:w="45" w:type="dxa"/>
              <w:left w:w="45" w:type="dxa"/>
              <w:bottom w:w="45" w:type="dxa"/>
              <w:right w:w="45" w:type="dxa"/>
            </w:tcMar>
            <w:vAlign w:val="center"/>
            <w:hideMark/>
          </w:tcPr>
          <w:p w14:paraId="2DDD95D4"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rPr>
              <w:t>181</w:t>
            </w:r>
          </w:p>
        </w:tc>
        <w:tc>
          <w:tcPr>
            <w:tcW w:w="0" w:type="auto"/>
            <w:shd w:val="clear" w:color="auto" w:fill="auto"/>
            <w:tcMar>
              <w:top w:w="45" w:type="dxa"/>
              <w:left w:w="45" w:type="dxa"/>
              <w:bottom w:w="45" w:type="dxa"/>
              <w:right w:w="45" w:type="dxa"/>
            </w:tcMar>
            <w:vAlign w:val="center"/>
            <w:hideMark/>
          </w:tcPr>
          <w:p w14:paraId="28C9A209"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rPr>
              <w:t>133</w:t>
            </w:r>
          </w:p>
        </w:tc>
        <w:tc>
          <w:tcPr>
            <w:tcW w:w="0" w:type="auto"/>
            <w:shd w:val="clear" w:color="auto" w:fill="auto"/>
            <w:tcMar>
              <w:top w:w="45" w:type="dxa"/>
              <w:left w:w="45" w:type="dxa"/>
              <w:bottom w:w="45" w:type="dxa"/>
              <w:right w:w="45" w:type="dxa"/>
            </w:tcMar>
            <w:vAlign w:val="center"/>
            <w:hideMark/>
          </w:tcPr>
          <w:p w14:paraId="5A59F9B3"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rPr>
              <w:t>126</w:t>
            </w:r>
          </w:p>
        </w:tc>
        <w:tc>
          <w:tcPr>
            <w:tcW w:w="0" w:type="auto"/>
            <w:shd w:val="clear" w:color="auto" w:fill="auto"/>
            <w:tcMar>
              <w:top w:w="45" w:type="dxa"/>
              <w:left w:w="45" w:type="dxa"/>
              <w:bottom w:w="45" w:type="dxa"/>
              <w:right w:w="45" w:type="dxa"/>
            </w:tcMar>
            <w:vAlign w:val="center"/>
            <w:hideMark/>
          </w:tcPr>
          <w:p w14:paraId="48CD3E57"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rPr>
              <w:t>127</w:t>
            </w:r>
          </w:p>
        </w:tc>
        <w:tc>
          <w:tcPr>
            <w:tcW w:w="0" w:type="auto"/>
            <w:shd w:val="clear" w:color="auto" w:fill="auto"/>
            <w:tcMar>
              <w:top w:w="45" w:type="dxa"/>
              <w:left w:w="45" w:type="dxa"/>
              <w:bottom w:w="45" w:type="dxa"/>
              <w:right w:w="45" w:type="dxa"/>
            </w:tcMar>
            <w:vAlign w:val="center"/>
            <w:hideMark/>
          </w:tcPr>
          <w:p w14:paraId="04DD622E"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rPr>
              <w:t>103</w:t>
            </w:r>
          </w:p>
        </w:tc>
        <w:tc>
          <w:tcPr>
            <w:tcW w:w="0" w:type="auto"/>
            <w:shd w:val="clear" w:color="auto" w:fill="auto"/>
            <w:tcMar>
              <w:top w:w="45" w:type="dxa"/>
              <w:left w:w="45" w:type="dxa"/>
              <w:bottom w:w="45" w:type="dxa"/>
              <w:right w:w="45" w:type="dxa"/>
            </w:tcMar>
            <w:vAlign w:val="center"/>
            <w:hideMark/>
          </w:tcPr>
          <w:p w14:paraId="3C0C38A2"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u w:val="single"/>
              </w:rPr>
              <w:t>87</w:t>
            </w:r>
          </w:p>
        </w:tc>
        <w:tc>
          <w:tcPr>
            <w:tcW w:w="0" w:type="auto"/>
            <w:shd w:val="clear" w:color="auto" w:fill="auto"/>
            <w:tcMar>
              <w:top w:w="45" w:type="dxa"/>
              <w:left w:w="45" w:type="dxa"/>
              <w:bottom w:w="45" w:type="dxa"/>
              <w:right w:w="45" w:type="dxa"/>
            </w:tcMar>
            <w:vAlign w:val="center"/>
            <w:hideMark/>
          </w:tcPr>
          <w:p w14:paraId="3BE561FD" w14:textId="77777777" w:rsidR="00D949F4" w:rsidRPr="00D949F4" w:rsidRDefault="00D949F4" w:rsidP="00ED134A">
            <w:pPr>
              <w:spacing w:after="0" w:line="240" w:lineRule="auto"/>
              <w:jc w:val="center"/>
              <w:rPr>
                <w:rFonts w:ascii="Arial" w:eastAsia="Times New Roman" w:hAnsi="Arial" w:cs="Arial"/>
                <w:color w:val="000000"/>
                <w:sz w:val="20"/>
                <w:szCs w:val="20"/>
              </w:rPr>
            </w:pPr>
            <w:r w:rsidRPr="00D949F4">
              <w:rPr>
                <w:rFonts w:ascii="Arial" w:eastAsia="Times New Roman" w:hAnsi="Arial" w:cs="Arial"/>
                <w:color w:val="000000"/>
                <w:sz w:val="20"/>
                <w:szCs w:val="20"/>
                <w:u w:val="single"/>
              </w:rPr>
              <w:t>103</w:t>
            </w:r>
          </w:p>
        </w:tc>
      </w:tr>
    </w:tbl>
    <w:p w14:paraId="42D2A7FA" w14:textId="77777777" w:rsidR="00D949F4" w:rsidRDefault="00D949F4" w:rsidP="005A73BC">
      <w:pPr>
        <w:spacing w:line="276" w:lineRule="auto"/>
        <w:jc w:val="both"/>
        <w:rPr>
          <w:rFonts w:ascii="Arial" w:hAnsi="Arial" w:cs="Arial"/>
        </w:rPr>
      </w:pPr>
    </w:p>
    <w:p w14:paraId="2682F19F" w14:textId="77777777" w:rsidR="00D17A1E" w:rsidRDefault="00977904" w:rsidP="005A73BC">
      <w:pPr>
        <w:spacing w:line="276" w:lineRule="auto"/>
        <w:jc w:val="both"/>
        <w:rPr>
          <w:rFonts w:ascii="Arial" w:hAnsi="Arial" w:cs="Arial"/>
        </w:rPr>
      </w:pPr>
      <w:r>
        <w:rPr>
          <w:rFonts w:ascii="Arial" w:hAnsi="Arial" w:cs="Arial"/>
        </w:rPr>
        <w:t xml:space="preserve">Lunile estivale sunt cele cu cel mai redus număr de şomeri, activitatea turistică mai accentuată din această perioadă conducând la antrenarea persoanelor pe mai multe locuri de muncă disponibile. </w:t>
      </w:r>
    </w:p>
    <w:p w14:paraId="087C2566" w14:textId="695D7DDE" w:rsidR="00D949F4" w:rsidRPr="00D949F4" w:rsidRDefault="00D949F4" w:rsidP="00D949F4">
      <w:pPr>
        <w:pStyle w:val="Legend"/>
        <w:jc w:val="center"/>
        <w:rPr>
          <w:rFonts w:ascii="Arial" w:hAnsi="Arial" w:cs="Arial"/>
          <w:i w:val="0"/>
          <w:sz w:val="22"/>
          <w:szCs w:val="22"/>
        </w:rPr>
      </w:pPr>
      <w:bookmarkStart w:id="69" w:name="_Toc140744573"/>
      <w:r w:rsidRPr="00D949F4">
        <w:rPr>
          <w:rFonts w:ascii="Arial" w:hAnsi="Arial" w:cs="Arial"/>
          <w:sz w:val="22"/>
          <w:szCs w:val="22"/>
        </w:rPr>
        <w:t xml:space="preserve">Tabel I.2. </w:t>
      </w:r>
      <w:r w:rsidRPr="00D949F4">
        <w:rPr>
          <w:rFonts w:ascii="Arial" w:hAnsi="Arial" w:cs="Arial"/>
          <w:sz w:val="22"/>
          <w:szCs w:val="22"/>
        </w:rPr>
        <w:fldChar w:fldCharType="begin"/>
      </w:r>
      <w:r w:rsidRPr="00D949F4">
        <w:rPr>
          <w:rFonts w:ascii="Arial" w:hAnsi="Arial" w:cs="Arial"/>
          <w:sz w:val="22"/>
          <w:szCs w:val="22"/>
        </w:rPr>
        <w:instrText xml:space="preserve"> SEQ Tabel_I.2. \* ARABIC </w:instrText>
      </w:r>
      <w:r w:rsidRPr="00D949F4">
        <w:rPr>
          <w:rFonts w:ascii="Arial" w:hAnsi="Arial" w:cs="Arial"/>
          <w:sz w:val="22"/>
          <w:szCs w:val="22"/>
        </w:rPr>
        <w:fldChar w:fldCharType="separate"/>
      </w:r>
      <w:r w:rsidR="00BB181C">
        <w:rPr>
          <w:rFonts w:ascii="Arial" w:hAnsi="Arial" w:cs="Arial"/>
          <w:noProof/>
          <w:sz w:val="22"/>
          <w:szCs w:val="22"/>
        </w:rPr>
        <w:t>7</w:t>
      </w:r>
      <w:r w:rsidRPr="00D949F4">
        <w:rPr>
          <w:rFonts w:ascii="Arial" w:hAnsi="Arial" w:cs="Arial"/>
          <w:sz w:val="22"/>
          <w:szCs w:val="22"/>
        </w:rPr>
        <w:fldChar w:fldCharType="end"/>
      </w:r>
      <w:r w:rsidRPr="00D949F4">
        <w:rPr>
          <w:rFonts w:ascii="Arial" w:hAnsi="Arial" w:cs="Arial"/>
          <w:sz w:val="22"/>
          <w:szCs w:val="22"/>
        </w:rPr>
        <w:t xml:space="preserve"> - </w:t>
      </w:r>
      <w:r w:rsidRPr="00D949F4">
        <w:rPr>
          <w:rFonts w:ascii="Arial" w:hAnsi="Arial" w:cs="Arial"/>
          <w:i w:val="0"/>
          <w:sz w:val="22"/>
          <w:szCs w:val="22"/>
        </w:rPr>
        <w:t>Şomeri înregistraţi la sfârşitul lunii – anul 2021</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1008"/>
        <w:gridCol w:w="842"/>
        <w:gridCol w:w="912"/>
        <w:gridCol w:w="702"/>
        <w:gridCol w:w="682"/>
        <w:gridCol w:w="589"/>
        <w:gridCol w:w="600"/>
        <w:gridCol w:w="592"/>
        <w:gridCol w:w="742"/>
        <w:gridCol w:w="1092"/>
        <w:gridCol w:w="992"/>
        <w:gridCol w:w="992"/>
      </w:tblGrid>
      <w:tr w:rsidR="00D17A1E" w:rsidRPr="00D17A1E" w14:paraId="6DF40739" w14:textId="77777777" w:rsidTr="00D17A1E">
        <w:tc>
          <w:tcPr>
            <w:tcW w:w="0" w:type="auto"/>
            <w:vMerge w:val="restart"/>
            <w:shd w:val="clear" w:color="auto" w:fill="auto"/>
            <w:tcMar>
              <w:top w:w="45" w:type="dxa"/>
              <w:left w:w="45" w:type="dxa"/>
              <w:bottom w:w="45" w:type="dxa"/>
              <w:right w:w="45" w:type="dxa"/>
            </w:tcMar>
            <w:vAlign w:val="center"/>
            <w:hideMark/>
          </w:tcPr>
          <w:p w14:paraId="1DB37C38" w14:textId="77777777" w:rsidR="00D17A1E" w:rsidRPr="00D17A1E" w:rsidRDefault="00D17A1E" w:rsidP="00ED134A">
            <w:pPr>
              <w:spacing w:after="0" w:line="240" w:lineRule="auto"/>
              <w:rPr>
                <w:rFonts w:ascii="Arial" w:eastAsia="Times New Roman" w:hAnsi="Arial" w:cs="Arial"/>
                <w:b/>
                <w:bCs/>
                <w:color w:val="000000"/>
                <w:sz w:val="20"/>
                <w:szCs w:val="20"/>
              </w:rPr>
            </w:pPr>
            <w:r>
              <w:rPr>
                <w:rFonts w:ascii="Arial" w:eastAsia="Times New Roman" w:hAnsi="Arial" w:cs="Arial"/>
                <w:b/>
                <w:bCs/>
                <w:color w:val="000000"/>
                <w:sz w:val="20"/>
                <w:szCs w:val="20"/>
              </w:rPr>
              <w:t>Localităţ</w:t>
            </w:r>
            <w:r w:rsidRPr="00D17A1E">
              <w:rPr>
                <w:rFonts w:ascii="Arial" w:eastAsia="Times New Roman" w:hAnsi="Arial" w:cs="Arial"/>
                <w:b/>
                <w:bCs/>
                <w:color w:val="000000"/>
                <w:sz w:val="20"/>
                <w:szCs w:val="20"/>
              </w:rPr>
              <w:t>i</w:t>
            </w:r>
          </w:p>
        </w:tc>
        <w:tc>
          <w:tcPr>
            <w:tcW w:w="0" w:type="auto"/>
            <w:gridSpan w:val="11"/>
            <w:shd w:val="clear" w:color="auto" w:fill="auto"/>
            <w:tcMar>
              <w:top w:w="45" w:type="dxa"/>
              <w:left w:w="45" w:type="dxa"/>
              <w:bottom w:w="45" w:type="dxa"/>
              <w:right w:w="45" w:type="dxa"/>
            </w:tcMar>
            <w:vAlign w:val="center"/>
            <w:hideMark/>
          </w:tcPr>
          <w:p w14:paraId="09B132BC" w14:textId="77777777" w:rsidR="00D17A1E" w:rsidRPr="00D17A1E" w:rsidRDefault="00D17A1E" w:rsidP="00ED134A">
            <w:pPr>
              <w:spacing w:after="0" w:line="240" w:lineRule="auto"/>
              <w:jc w:val="center"/>
              <w:rPr>
                <w:rFonts w:ascii="Arial" w:eastAsia="Times New Roman" w:hAnsi="Arial" w:cs="Arial"/>
                <w:b/>
                <w:bCs/>
                <w:color w:val="000000"/>
                <w:sz w:val="20"/>
                <w:szCs w:val="20"/>
              </w:rPr>
            </w:pPr>
            <w:r w:rsidRPr="00D17A1E">
              <w:rPr>
                <w:rFonts w:ascii="Arial" w:eastAsia="Times New Roman" w:hAnsi="Arial" w:cs="Arial"/>
                <w:b/>
                <w:bCs/>
                <w:color w:val="000000"/>
                <w:sz w:val="20"/>
                <w:szCs w:val="20"/>
              </w:rPr>
              <w:t>Perioade</w:t>
            </w:r>
          </w:p>
        </w:tc>
      </w:tr>
      <w:tr w:rsidR="00D17A1E" w:rsidRPr="00D17A1E" w14:paraId="7BF8790B" w14:textId="77777777" w:rsidTr="00D17A1E">
        <w:tc>
          <w:tcPr>
            <w:tcW w:w="0" w:type="auto"/>
            <w:vMerge/>
            <w:shd w:val="clear" w:color="auto" w:fill="auto"/>
            <w:vAlign w:val="center"/>
            <w:hideMark/>
          </w:tcPr>
          <w:p w14:paraId="45C60700" w14:textId="77777777" w:rsidR="00D17A1E" w:rsidRPr="00D17A1E" w:rsidRDefault="00D17A1E" w:rsidP="00ED134A">
            <w:pPr>
              <w:spacing w:after="0" w:line="240" w:lineRule="auto"/>
              <w:rPr>
                <w:rFonts w:ascii="Arial" w:eastAsia="Times New Roman" w:hAnsi="Arial" w:cs="Arial"/>
                <w:b/>
                <w:bCs/>
                <w:color w:val="000000"/>
                <w:sz w:val="20"/>
                <w:szCs w:val="20"/>
              </w:rPr>
            </w:pPr>
          </w:p>
        </w:tc>
        <w:tc>
          <w:tcPr>
            <w:tcW w:w="0" w:type="auto"/>
            <w:shd w:val="clear" w:color="auto" w:fill="auto"/>
            <w:tcMar>
              <w:top w:w="45" w:type="dxa"/>
              <w:left w:w="45" w:type="dxa"/>
              <w:bottom w:w="45" w:type="dxa"/>
              <w:right w:w="45" w:type="dxa"/>
            </w:tcMar>
            <w:vAlign w:val="center"/>
            <w:hideMark/>
          </w:tcPr>
          <w:p w14:paraId="5907570D"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ianuarie 2021</w:t>
            </w:r>
          </w:p>
        </w:tc>
        <w:tc>
          <w:tcPr>
            <w:tcW w:w="0" w:type="auto"/>
            <w:shd w:val="clear" w:color="auto" w:fill="auto"/>
            <w:tcMar>
              <w:top w:w="45" w:type="dxa"/>
              <w:left w:w="45" w:type="dxa"/>
              <w:bottom w:w="45" w:type="dxa"/>
              <w:right w:w="45" w:type="dxa"/>
            </w:tcMar>
            <w:vAlign w:val="center"/>
            <w:hideMark/>
          </w:tcPr>
          <w:p w14:paraId="09A37594"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februarie 2021</w:t>
            </w:r>
          </w:p>
        </w:tc>
        <w:tc>
          <w:tcPr>
            <w:tcW w:w="0" w:type="auto"/>
            <w:shd w:val="clear" w:color="auto" w:fill="auto"/>
            <w:tcMar>
              <w:top w:w="45" w:type="dxa"/>
              <w:left w:w="45" w:type="dxa"/>
              <w:bottom w:w="45" w:type="dxa"/>
              <w:right w:w="45" w:type="dxa"/>
            </w:tcMar>
            <w:vAlign w:val="center"/>
            <w:hideMark/>
          </w:tcPr>
          <w:p w14:paraId="5EE258CD"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martie 2021</w:t>
            </w:r>
          </w:p>
        </w:tc>
        <w:tc>
          <w:tcPr>
            <w:tcW w:w="0" w:type="auto"/>
            <w:shd w:val="clear" w:color="auto" w:fill="auto"/>
            <w:tcMar>
              <w:top w:w="45" w:type="dxa"/>
              <w:left w:w="45" w:type="dxa"/>
              <w:bottom w:w="45" w:type="dxa"/>
              <w:right w:w="45" w:type="dxa"/>
            </w:tcMar>
            <w:vAlign w:val="center"/>
            <w:hideMark/>
          </w:tcPr>
          <w:p w14:paraId="2C75867E"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aprilie 2021</w:t>
            </w:r>
          </w:p>
        </w:tc>
        <w:tc>
          <w:tcPr>
            <w:tcW w:w="0" w:type="auto"/>
            <w:shd w:val="clear" w:color="auto" w:fill="auto"/>
            <w:tcMar>
              <w:top w:w="45" w:type="dxa"/>
              <w:left w:w="45" w:type="dxa"/>
              <w:bottom w:w="45" w:type="dxa"/>
              <w:right w:w="45" w:type="dxa"/>
            </w:tcMar>
            <w:vAlign w:val="center"/>
            <w:hideMark/>
          </w:tcPr>
          <w:p w14:paraId="33B55755"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mai 2021</w:t>
            </w:r>
          </w:p>
        </w:tc>
        <w:tc>
          <w:tcPr>
            <w:tcW w:w="0" w:type="auto"/>
            <w:shd w:val="clear" w:color="auto" w:fill="auto"/>
            <w:tcMar>
              <w:top w:w="45" w:type="dxa"/>
              <w:left w:w="45" w:type="dxa"/>
              <w:bottom w:w="45" w:type="dxa"/>
              <w:right w:w="45" w:type="dxa"/>
            </w:tcMar>
            <w:vAlign w:val="center"/>
            <w:hideMark/>
          </w:tcPr>
          <w:p w14:paraId="4EE41D43"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iunie 2021</w:t>
            </w:r>
          </w:p>
        </w:tc>
        <w:tc>
          <w:tcPr>
            <w:tcW w:w="0" w:type="auto"/>
            <w:shd w:val="clear" w:color="auto" w:fill="auto"/>
            <w:tcMar>
              <w:top w:w="45" w:type="dxa"/>
              <w:left w:w="45" w:type="dxa"/>
              <w:bottom w:w="45" w:type="dxa"/>
              <w:right w:w="45" w:type="dxa"/>
            </w:tcMar>
            <w:vAlign w:val="center"/>
            <w:hideMark/>
          </w:tcPr>
          <w:p w14:paraId="204374D3"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iulie 2021</w:t>
            </w:r>
          </w:p>
        </w:tc>
        <w:tc>
          <w:tcPr>
            <w:tcW w:w="0" w:type="auto"/>
            <w:shd w:val="clear" w:color="auto" w:fill="auto"/>
            <w:tcMar>
              <w:top w:w="45" w:type="dxa"/>
              <w:left w:w="45" w:type="dxa"/>
              <w:bottom w:w="45" w:type="dxa"/>
              <w:right w:w="45" w:type="dxa"/>
            </w:tcMar>
            <w:vAlign w:val="center"/>
            <w:hideMark/>
          </w:tcPr>
          <w:p w14:paraId="56E58231"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august 2021</w:t>
            </w:r>
          </w:p>
        </w:tc>
        <w:tc>
          <w:tcPr>
            <w:tcW w:w="0" w:type="auto"/>
            <w:shd w:val="clear" w:color="auto" w:fill="auto"/>
            <w:tcMar>
              <w:top w:w="45" w:type="dxa"/>
              <w:left w:w="45" w:type="dxa"/>
              <w:bottom w:w="45" w:type="dxa"/>
              <w:right w:w="45" w:type="dxa"/>
            </w:tcMar>
            <w:vAlign w:val="center"/>
            <w:hideMark/>
          </w:tcPr>
          <w:p w14:paraId="3DC06CD7"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septembrie 2021</w:t>
            </w:r>
          </w:p>
        </w:tc>
        <w:tc>
          <w:tcPr>
            <w:tcW w:w="0" w:type="auto"/>
            <w:shd w:val="clear" w:color="auto" w:fill="auto"/>
            <w:tcMar>
              <w:top w:w="45" w:type="dxa"/>
              <w:left w:w="45" w:type="dxa"/>
              <w:bottom w:w="45" w:type="dxa"/>
              <w:right w:w="45" w:type="dxa"/>
            </w:tcMar>
            <w:vAlign w:val="center"/>
            <w:hideMark/>
          </w:tcPr>
          <w:p w14:paraId="1A1C422F"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octombrie 2021</w:t>
            </w:r>
          </w:p>
        </w:tc>
        <w:tc>
          <w:tcPr>
            <w:tcW w:w="0" w:type="auto"/>
            <w:shd w:val="clear" w:color="auto" w:fill="auto"/>
            <w:tcMar>
              <w:top w:w="45" w:type="dxa"/>
              <w:left w:w="45" w:type="dxa"/>
              <w:bottom w:w="45" w:type="dxa"/>
              <w:right w:w="45" w:type="dxa"/>
            </w:tcMar>
            <w:vAlign w:val="center"/>
            <w:hideMark/>
          </w:tcPr>
          <w:p w14:paraId="4923C2E4" w14:textId="77777777" w:rsidR="00D17A1E" w:rsidRPr="00D17A1E" w:rsidRDefault="00D17A1E" w:rsidP="00ED134A">
            <w:pPr>
              <w:spacing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noiembrie 2021</w:t>
            </w:r>
          </w:p>
        </w:tc>
      </w:tr>
      <w:tr w:rsidR="00D17A1E" w:rsidRPr="00D17A1E" w14:paraId="5895AD9A" w14:textId="77777777" w:rsidTr="00D17A1E">
        <w:tc>
          <w:tcPr>
            <w:tcW w:w="0" w:type="auto"/>
            <w:vMerge/>
            <w:shd w:val="clear" w:color="auto" w:fill="auto"/>
            <w:vAlign w:val="center"/>
            <w:hideMark/>
          </w:tcPr>
          <w:p w14:paraId="0648A17F" w14:textId="77777777" w:rsidR="00D17A1E" w:rsidRPr="00D17A1E" w:rsidRDefault="00D17A1E" w:rsidP="00ED134A">
            <w:pPr>
              <w:spacing w:after="0" w:line="240" w:lineRule="auto"/>
              <w:rPr>
                <w:rFonts w:ascii="Arial" w:eastAsia="Times New Roman" w:hAnsi="Arial" w:cs="Arial"/>
                <w:b/>
                <w:bCs/>
                <w:color w:val="000000"/>
                <w:sz w:val="20"/>
                <w:szCs w:val="20"/>
              </w:rPr>
            </w:pPr>
          </w:p>
        </w:tc>
        <w:tc>
          <w:tcPr>
            <w:tcW w:w="0" w:type="auto"/>
            <w:gridSpan w:val="11"/>
            <w:shd w:val="clear" w:color="auto" w:fill="auto"/>
            <w:tcMar>
              <w:top w:w="45" w:type="dxa"/>
              <w:left w:w="45" w:type="dxa"/>
              <w:bottom w:w="45" w:type="dxa"/>
              <w:right w:w="45" w:type="dxa"/>
            </w:tcMar>
            <w:vAlign w:val="center"/>
            <w:hideMark/>
          </w:tcPr>
          <w:p w14:paraId="2B683A6A" w14:textId="77777777" w:rsidR="00D17A1E" w:rsidRPr="00D17A1E" w:rsidRDefault="00D17A1E" w:rsidP="00ED134A">
            <w:pPr>
              <w:spacing w:after="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UM: Numă</w:t>
            </w:r>
            <w:r w:rsidRPr="00D17A1E">
              <w:rPr>
                <w:rFonts w:ascii="Arial" w:eastAsia="Times New Roman" w:hAnsi="Arial" w:cs="Arial"/>
                <w:b/>
                <w:bCs/>
                <w:color w:val="000000"/>
                <w:sz w:val="20"/>
                <w:szCs w:val="20"/>
              </w:rPr>
              <w:t>r persoane</w:t>
            </w:r>
          </w:p>
        </w:tc>
      </w:tr>
      <w:tr w:rsidR="00D17A1E" w:rsidRPr="00D17A1E" w14:paraId="57DC089B" w14:textId="77777777" w:rsidTr="00D17A1E">
        <w:tc>
          <w:tcPr>
            <w:tcW w:w="0" w:type="auto"/>
            <w:shd w:val="clear" w:color="auto" w:fill="auto"/>
            <w:tcMar>
              <w:top w:w="45" w:type="dxa"/>
              <w:left w:w="45" w:type="dxa"/>
              <w:bottom w:w="45" w:type="dxa"/>
              <w:right w:w="45" w:type="dxa"/>
            </w:tcMar>
            <w:vAlign w:val="center"/>
            <w:hideMark/>
          </w:tcPr>
          <w:p w14:paraId="0131D686" w14:textId="77777777" w:rsidR="00D17A1E" w:rsidRPr="00D17A1E" w:rsidRDefault="00D17A1E" w:rsidP="00ED134A">
            <w:pPr>
              <w:spacing w:after="0" w:line="240" w:lineRule="auto"/>
              <w:rPr>
                <w:rFonts w:ascii="Arial" w:eastAsia="Times New Roman" w:hAnsi="Arial" w:cs="Arial"/>
                <w:b/>
                <w:bCs/>
                <w:color w:val="000000"/>
                <w:sz w:val="20"/>
                <w:szCs w:val="20"/>
              </w:rPr>
            </w:pPr>
            <w:r>
              <w:rPr>
                <w:rFonts w:ascii="Arial" w:eastAsia="Times New Roman" w:hAnsi="Arial" w:cs="Arial"/>
                <w:b/>
                <w:bCs/>
                <w:color w:val="000000"/>
                <w:sz w:val="20"/>
                <w:szCs w:val="20"/>
              </w:rPr>
              <w:t>Oraş</w:t>
            </w:r>
            <w:r w:rsidRPr="00D17A1E">
              <w:rPr>
                <w:rFonts w:ascii="Arial" w:eastAsia="Times New Roman" w:hAnsi="Arial" w:cs="Arial"/>
                <w:b/>
                <w:bCs/>
                <w:color w:val="000000"/>
                <w:sz w:val="20"/>
                <w:szCs w:val="20"/>
              </w:rPr>
              <w:t xml:space="preserve"> Horezu</w:t>
            </w:r>
          </w:p>
        </w:tc>
        <w:tc>
          <w:tcPr>
            <w:tcW w:w="0" w:type="auto"/>
            <w:shd w:val="clear" w:color="auto" w:fill="auto"/>
            <w:tcMar>
              <w:top w:w="45" w:type="dxa"/>
              <w:left w:w="45" w:type="dxa"/>
              <w:bottom w:w="45" w:type="dxa"/>
              <w:right w:w="45" w:type="dxa"/>
            </w:tcMar>
            <w:vAlign w:val="center"/>
            <w:hideMark/>
          </w:tcPr>
          <w:p w14:paraId="6FFF8388"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105</w:t>
            </w:r>
          </w:p>
        </w:tc>
        <w:tc>
          <w:tcPr>
            <w:tcW w:w="0" w:type="auto"/>
            <w:shd w:val="clear" w:color="auto" w:fill="auto"/>
            <w:tcMar>
              <w:top w:w="45" w:type="dxa"/>
              <w:left w:w="45" w:type="dxa"/>
              <w:bottom w:w="45" w:type="dxa"/>
              <w:right w:w="45" w:type="dxa"/>
            </w:tcMar>
            <w:vAlign w:val="center"/>
            <w:hideMark/>
          </w:tcPr>
          <w:p w14:paraId="3865E2BB"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106</w:t>
            </w:r>
          </w:p>
        </w:tc>
        <w:tc>
          <w:tcPr>
            <w:tcW w:w="0" w:type="auto"/>
            <w:shd w:val="clear" w:color="auto" w:fill="auto"/>
            <w:tcMar>
              <w:top w:w="45" w:type="dxa"/>
              <w:left w:w="45" w:type="dxa"/>
              <w:bottom w:w="45" w:type="dxa"/>
              <w:right w:w="45" w:type="dxa"/>
            </w:tcMar>
            <w:vAlign w:val="center"/>
            <w:hideMark/>
          </w:tcPr>
          <w:p w14:paraId="37B7FBB9"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109</w:t>
            </w:r>
          </w:p>
        </w:tc>
        <w:tc>
          <w:tcPr>
            <w:tcW w:w="0" w:type="auto"/>
            <w:shd w:val="clear" w:color="auto" w:fill="auto"/>
            <w:tcMar>
              <w:top w:w="45" w:type="dxa"/>
              <w:left w:w="45" w:type="dxa"/>
              <w:bottom w:w="45" w:type="dxa"/>
              <w:right w:w="45" w:type="dxa"/>
            </w:tcMar>
            <w:vAlign w:val="center"/>
            <w:hideMark/>
          </w:tcPr>
          <w:p w14:paraId="2840AF3E"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105</w:t>
            </w:r>
          </w:p>
        </w:tc>
        <w:tc>
          <w:tcPr>
            <w:tcW w:w="0" w:type="auto"/>
            <w:shd w:val="clear" w:color="auto" w:fill="auto"/>
            <w:tcMar>
              <w:top w:w="45" w:type="dxa"/>
              <w:left w:w="45" w:type="dxa"/>
              <w:bottom w:w="45" w:type="dxa"/>
              <w:right w:w="45" w:type="dxa"/>
            </w:tcMar>
            <w:vAlign w:val="center"/>
            <w:hideMark/>
          </w:tcPr>
          <w:p w14:paraId="548F987E"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98</w:t>
            </w:r>
          </w:p>
        </w:tc>
        <w:tc>
          <w:tcPr>
            <w:tcW w:w="0" w:type="auto"/>
            <w:shd w:val="clear" w:color="auto" w:fill="auto"/>
            <w:tcMar>
              <w:top w:w="45" w:type="dxa"/>
              <w:left w:w="45" w:type="dxa"/>
              <w:bottom w:w="45" w:type="dxa"/>
              <w:right w:w="45" w:type="dxa"/>
            </w:tcMar>
            <w:vAlign w:val="center"/>
            <w:hideMark/>
          </w:tcPr>
          <w:p w14:paraId="23D9F1BE"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96</w:t>
            </w:r>
          </w:p>
        </w:tc>
        <w:tc>
          <w:tcPr>
            <w:tcW w:w="0" w:type="auto"/>
            <w:shd w:val="clear" w:color="auto" w:fill="auto"/>
            <w:tcMar>
              <w:top w:w="45" w:type="dxa"/>
              <w:left w:w="45" w:type="dxa"/>
              <w:bottom w:w="45" w:type="dxa"/>
              <w:right w:w="45" w:type="dxa"/>
            </w:tcMar>
            <w:vAlign w:val="center"/>
            <w:hideMark/>
          </w:tcPr>
          <w:p w14:paraId="7B1BC2F0"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105</w:t>
            </w:r>
          </w:p>
        </w:tc>
        <w:tc>
          <w:tcPr>
            <w:tcW w:w="0" w:type="auto"/>
            <w:shd w:val="clear" w:color="auto" w:fill="auto"/>
            <w:tcMar>
              <w:top w:w="45" w:type="dxa"/>
              <w:left w:w="45" w:type="dxa"/>
              <w:bottom w:w="45" w:type="dxa"/>
              <w:right w:w="45" w:type="dxa"/>
            </w:tcMar>
            <w:vAlign w:val="center"/>
            <w:hideMark/>
          </w:tcPr>
          <w:p w14:paraId="731264E0"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103</w:t>
            </w:r>
          </w:p>
        </w:tc>
        <w:tc>
          <w:tcPr>
            <w:tcW w:w="0" w:type="auto"/>
            <w:shd w:val="clear" w:color="auto" w:fill="auto"/>
            <w:tcMar>
              <w:top w:w="45" w:type="dxa"/>
              <w:left w:w="45" w:type="dxa"/>
              <w:bottom w:w="45" w:type="dxa"/>
              <w:right w:w="45" w:type="dxa"/>
            </w:tcMar>
            <w:vAlign w:val="center"/>
            <w:hideMark/>
          </w:tcPr>
          <w:p w14:paraId="23B4D099"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123</w:t>
            </w:r>
          </w:p>
        </w:tc>
        <w:tc>
          <w:tcPr>
            <w:tcW w:w="0" w:type="auto"/>
            <w:shd w:val="clear" w:color="auto" w:fill="auto"/>
            <w:tcMar>
              <w:top w:w="45" w:type="dxa"/>
              <w:left w:w="45" w:type="dxa"/>
              <w:bottom w:w="45" w:type="dxa"/>
              <w:right w:w="45" w:type="dxa"/>
            </w:tcMar>
            <w:vAlign w:val="center"/>
            <w:hideMark/>
          </w:tcPr>
          <w:p w14:paraId="6AB354B9"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118</w:t>
            </w:r>
          </w:p>
        </w:tc>
        <w:tc>
          <w:tcPr>
            <w:tcW w:w="0" w:type="auto"/>
            <w:shd w:val="clear" w:color="auto" w:fill="auto"/>
            <w:tcMar>
              <w:top w:w="45" w:type="dxa"/>
              <w:left w:w="45" w:type="dxa"/>
              <w:bottom w:w="45" w:type="dxa"/>
              <w:right w:w="45" w:type="dxa"/>
            </w:tcMar>
            <w:vAlign w:val="center"/>
            <w:hideMark/>
          </w:tcPr>
          <w:p w14:paraId="7CC6208F" w14:textId="77777777" w:rsidR="00D17A1E" w:rsidRPr="00D17A1E" w:rsidRDefault="00D17A1E" w:rsidP="00ED134A">
            <w:pPr>
              <w:spacing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114</w:t>
            </w:r>
          </w:p>
        </w:tc>
      </w:tr>
    </w:tbl>
    <w:p w14:paraId="2F43097C" w14:textId="77777777" w:rsidR="00D17A1E" w:rsidRDefault="00D949F4" w:rsidP="00D949F4">
      <w:pPr>
        <w:spacing w:after="0" w:line="276" w:lineRule="auto"/>
        <w:jc w:val="both"/>
      </w:pPr>
      <w:r w:rsidRPr="00D17A1E">
        <w:t xml:space="preserve">Legenda: ':' - </w:t>
      </w:r>
      <w:r>
        <w:t>date lipsă; 'c' - date confidenţ</w:t>
      </w:r>
      <w:r w:rsidRPr="00D17A1E">
        <w:t xml:space="preserve">iale; 9999,00 - normal - date definitive; </w:t>
      </w:r>
      <w:r w:rsidRPr="00D17A1E">
        <w:rPr>
          <w:b/>
          <w:u w:val="single"/>
        </w:rPr>
        <w:t>9999,00</w:t>
      </w:r>
      <w:r>
        <w:t xml:space="preserve"> - îngroş</w:t>
      </w:r>
      <w:r w:rsidRPr="00D17A1E">
        <w:t xml:space="preserve">at subliniat - date semidefinitive; </w:t>
      </w:r>
      <w:r w:rsidRPr="00D17A1E">
        <w:rPr>
          <w:b/>
        </w:rPr>
        <w:t>9999,00</w:t>
      </w:r>
      <w:r w:rsidRPr="00D17A1E">
        <w:t xml:space="preserve"> - ingrosat - date revizuite; </w:t>
      </w:r>
      <w:r w:rsidRPr="00D17A1E">
        <w:rPr>
          <w:u w:val="single"/>
        </w:rPr>
        <w:t>9999,00</w:t>
      </w:r>
      <w:r w:rsidRPr="00D17A1E">
        <w:t xml:space="preserve"> - subliniat - date provizorii</w:t>
      </w:r>
    </w:p>
    <w:p w14:paraId="39CFB875" w14:textId="77777777" w:rsidR="00D949F4" w:rsidRDefault="00D949F4" w:rsidP="00D949F4">
      <w:pPr>
        <w:spacing w:after="0" w:line="276" w:lineRule="auto"/>
        <w:jc w:val="both"/>
        <w:rPr>
          <w:rFonts w:ascii="Arial" w:hAnsi="Arial" w:cs="Arial"/>
        </w:rPr>
      </w:pPr>
      <w:r w:rsidRPr="00D273E9">
        <w:rPr>
          <w:rFonts w:ascii="Arial" w:hAnsi="Arial" w:cs="Arial"/>
          <w:sz w:val="16"/>
          <w:szCs w:val="16"/>
        </w:rPr>
        <w:t xml:space="preserve">Sursa: </w:t>
      </w:r>
      <w:hyperlink r:id="rId51" w:history="1">
        <w:r w:rsidRPr="007A7ABD">
          <w:rPr>
            <w:rStyle w:val="Hyperlink"/>
            <w:rFonts w:ascii="Arial" w:hAnsi="Arial" w:cs="Arial"/>
            <w:sz w:val="16"/>
            <w:szCs w:val="16"/>
          </w:rPr>
          <w:t>http://statistici.insse.ro/</w:t>
        </w:r>
      </w:hyperlink>
    </w:p>
    <w:p w14:paraId="70E4353F" w14:textId="77777777" w:rsidR="00D949F4" w:rsidRDefault="00D949F4" w:rsidP="00D17A1E">
      <w:pPr>
        <w:pStyle w:val="Legend"/>
        <w:jc w:val="center"/>
        <w:rPr>
          <w:rFonts w:ascii="Arial" w:hAnsi="Arial" w:cs="Arial"/>
          <w:sz w:val="22"/>
          <w:szCs w:val="22"/>
        </w:rPr>
      </w:pPr>
    </w:p>
    <w:p w14:paraId="7DDB9C6E" w14:textId="77777777" w:rsidR="003C4128" w:rsidRDefault="003C4128" w:rsidP="003C4128"/>
    <w:p w14:paraId="6D0D338D" w14:textId="77777777" w:rsidR="003C4128" w:rsidRDefault="003C4128" w:rsidP="003C4128"/>
    <w:p w14:paraId="2E7F9159" w14:textId="77777777" w:rsidR="003C4128" w:rsidRDefault="003C4128" w:rsidP="003C4128"/>
    <w:p w14:paraId="3506BD01" w14:textId="0C5EB0F9" w:rsidR="0033293A" w:rsidRPr="00D17A1E" w:rsidRDefault="00D17A1E" w:rsidP="00D17A1E">
      <w:pPr>
        <w:pStyle w:val="Legend"/>
        <w:jc w:val="center"/>
        <w:rPr>
          <w:rFonts w:ascii="Arial" w:hAnsi="Arial" w:cs="Arial"/>
          <w:i w:val="0"/>
          <w:iCs w:val="0"/>
          <w:sz w:val="22"/>
          <w:szCs w:val="22"/>
        </w:rPr>
      </w:pPr>
      <w:bookmarkStart w:id="70" w:name="_Toc140744574"/>
      <w:r w:rsidRPr="00D17A1E">
        <w:rPr>
          <w:rFonts w:ascii="Arial" w:hAnsi="Arial" w:cs="Arial"/>
          <w:sz w:val="22"/>
          <w:szCs w:val="22"/>
        </w:rPr>
        <w:lastRenderedPageBreak/>
        <w:t xml:space="preserve">Tabel I.2. </w:t>
      </w:r>
      <w:r w:rsidRPr="00D17A1E">
        <w:rPr>
          <w:rFonts w:ascii="Arial" w:hAnsi="Arial" w:cs="Arial"/>
          <w:sz w:val="22"/>
          <w:szCs w:val="22"/>
        </w:rPr>
        <w:fldChar w:fldCharType="begin"/>
      </w:r>
      <w:r w:rsidRPr="00D17A1E">
        <w:rPr>
          <w:rFonts w:ascii="Arial" w:hAnsi="Arial" w:cs="Arial"/>
          <w:sz w:val="22"/>
          <w:szCs w:val="22"/>
        </w:rPr>
        <w:instrText xml:space="preserve"> SEQ Tabel_I.2. \* ARABIC </w:instrText>
      </w:r>
      <w:r w:rsidRPr="00D17A1E">
        <w:rPr>
          <w:rFonts w:ascii="Arial" w:hAnsi="Arial" w:cs="Arial"/>
          <w:sz w:val="22"/>
          <w:szCs w:val="22"/>
        </w:rPr>
        <w:fldChar w:fldCharType="separate"/>
      </w:r>
      <w:r w:rsidR="00BB181C">
        <w:rPr>
          <w:rFonts w:ascii="Arial" w:hAnsi="Arial" w:cs="Arial"/>
          <w:noProof/>
          <w:sz w:val="22"/>
          <w:szCs w:val="22"/>
        </w:rPr>
        <w:t>8</w:t>
      </w:r>
      <w:r w:rsidRPr="00D17A1E">
        <w:rPr>
          <w:rFonts w:ascii="Arial" w:hAnsi="Arial" w:cs="Arial"/>
          <w:sz w:val="22"/>
          <w:szCs w:val="22"/>
        </w:rPr>
        <w:fldChar w:fldCharType="end"/>
      </w:r>
      <w:r w:rsidRPr="00D17A1E">
        <w:rPr>
          <w:rFonts w:ascii="Arial" w:hAnsi="Arial" w:cs="Arial"/>
          <w:sz w:val="22"/>
          <w:szCs w:val="22"/>
        </w:rPr>
        <w:t xml:space="preserve"> </w:t>
      </w:r>
      <w:r w:rsidR="0033293A" w:rsidRPr="00D17A1E">
        <w:rPr>
          <w:rFonts w:ascii="Arial" w:hAnsi="Arial" w:cs="Arial"/>
          <w:sz w:val="22"/>
          <w:szCs w:val="22"/>
        </w:rPr>
        <w:t xml:space="preserve">– </w:t>
      </w:r>
      <w:r w:rsidRPr="00D17A1E">
        <w:rPr>
          <w:rFonts w:ascii="Arial" w:hAnsi="Arial" w:cs="Arial"/>
          <w:i w:val="0"/>
          <w:iCs w:val="0"/>
          <w:sz w:val="22"/>
          <w:szCs w:val="22"/>
        </w:rPr>
        <w:t>Ponderea şomerilor înregistraţi la sfârşitul lunii în totalul resurselor de muncă - 2021</w:t>
      </w:r>
      <w:bookmarkEnd w:id="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968"/>
        <w:gridCol w:w="802"/>
        <w:gridCol w:w="836"/>
        <w:gridCol w:w="731"/>
        <w:gridCol w:w="731"/>
        <w:gridCol w:w="731"/>
        <w:gridCol w:w="731"/>
        <w:gridCol w:w="731"/>
        <w:gridCol w:w="741"/>
        <w:gridCol w:w="981"/>
        <w:gridCol w:w="881"/>
        <w:gridCol w:w="881"/>
      </w:tblGrid>
      <w:tr w:rsidR="00D17A1E" w:rsidRPr="00D17A1E" w14:paraId="187619E2" w14:textId="77777777" w:rsidTr="00ED134A">
        <w:tc>
          <w:tcPr>
            <w:tcW w:w="0" w:type="auto"/>
            <w:vMerge w:val="restart"/>
            <w:shd w:val="clear" w:color="auto" w:fill="auto"/>
            <w:tcMar>
              <w:top w:w="45" w:type="dxa"/>
              <w:left w:w="45" w:type="dxa"/>
              <w:bottom w:w="45" w:type="dxa"/>
              <w:right w:w="45" w:type="dxa"/>
            </w:tcMar>
            <w:vAlign w:val="center"/>
            <w:hideMark/>
          </w:tcPr>
          <w:p w14:paraId="5E8D9951" w14:textId="77777777" w:rsidR="00D17A1E" w:rsidRPr="00D17A1E" w:rsidRDefault="00D17A1E" w:rsidP="00ED134A">
            <w:pPr>
              <w:spacing w:before="150" w:after="0" w:line="240" w:lineRule="auto"/>
              <w:rPr>
                <w:rFonts w:ascii="Arial" w:eastAsia="Times New Roman" w:hAnsi="Arial" w:cs="Arial"/>
                <w:b/>
                <w:bCs/>
                <w:color w:val="000000"/>
                <w:sz w:val="20"/>
                <w:szCs w:val="20"/>
              </w:rPr>
            </w:pPr>
            <w:r>
              <w:rPr>
                <w:rFonts w:ascii="Arial" w:eastAsia="Times New Roman" w:hAnsi="Arial" w:cs="Arial"/>
                <w:b/>
                <w:bCs/>
                <w:color w:val="000000"/>
                <w:sz w:val="20"/>
                <w:szCs w:val="20"/>
              </w:rPr>
              <w:t>Localităţ</w:t>
            </w:r>
            <w:r w:rsidRPr="00D17A1E">
              <w:rPr>
                <w:rFonts w:ascii="Arial" w:eastAsia="Times New Roman" w:hAnsi="Arial" w:cs="Arial"/>
                <w:b/>
                <w:bCs/>
                <w:color w:val="000000"/>
                <w:sz w:val="20"/>
                <w:szCs w:val="20"/>
              </w:rPr>
              <w:t>i</w:t>
            </w:r>
          </w:p>
        </w:tc>
        <w:tc>
          <w:tcPr>
            <w:tcW w:w="4503" w:type="pct"/>
            <w:gridSpan w:val="11"/>
            <w:shd w:val="clear" w:color="auto" w:fill="auto"/>
            <w:tcMar>
              <w:top w:w="45" w:type="dxa"/>
              <w:left w:w="45" w:type="dxa"/>
              <w:bottom w:w="45" w:type="dxa"/>
              <w:right w:w="45" w:type="dxa"/>
            </w:tcMar>
            <w:vAlign w:val="center"/>
            <w:hideMark/>
          </w:tcPr>
          <w:p w14:paraId="793F9CFA" w14:textId="77777777" w:rsidR="00D17A1E" w:rsidRPr="00D17A1E" w:rsidRDefault="00D17A1E" w:rsidP="00ED134A">
            <w:pPr>
              <w:spacing w:before="150" w:after="0" w:line="240" w:lineRule="auto"/>
              <w:jc w:val="center"/>
              <w:rPr>
                <w:rFonts w:ascii="Arial" w:eastAsia="Times New Roman" w:hAnsi="Arial" w:cs="Arial"/>
                <w:b/>
                <w:bCs/>
                <w:color w:val="000000"/>
                <w:sz w:val="20"/>
                <w:szCs w:val="20"/>
              </w:rPr>
            </w:pPr>
            <w:r w:rsidRPr="00D17A1E">
              <w:rPr>
                <w:rFonts w:ascii="Arial" w:eastAsia="Times New Roman" w:hAnsi="Arial" w:cs="Arial"/>
                <w:b/>
                <w:bCs/>
                <w:color w:val="000000"/>
                <w:sz w:val="20"/>
                <w:szCs w:val="20"/>
              </w:rPr>
              <w:t>Perioade</w:t>
            </w:r>
          </w:p>
        </w:tc>
      </w:tr>
      <w:tr w:rsidR="00D17A1E" w:rsidRPr="00D17A1E" w14:paraId="55BB9876" w14:textId="77777777" w:rsidTr="00ED134A">
        <w:tc>
          <w:tcPr>
            <w:tcW w:w="0" w:type="auto"/>
            <w:vMerge/>
            <w:shd w:val="clear" w:color="auto" w:fill="auto"/>
            <w:vAlign w:val="center"/>
            <w:hideMark/>
          </w:tcPr>
          <w:p w14:paraId="05CBBEB5" w14:textId="77777777" w:rsidR="00D17A1E" w:rsidRPr="00D17A1E" w:rsidRDefault="00D17A1E" w:rsidP="00ED134A">
            <w:pPr>
              <w:spacing w:before="150" w:after="0" w:line="240" w:lineRule="auto"/>
              <w:rPr>
                <w:rFonts w:ascii="Arial" w:eastAsia="Times New Roman" w:hAnsi="Arial" w:cs="Arial"/>
                <w:b/>
                <w:bCs/>
                <w:color w:val="000000"/>
                <w:sz w:val="20"/>
                <w:szCs w:val="20"/>
              </w:rPr>
            </w:pPr>
          </w:p>
        </w:tc>
        <w:tc>
          <w:tcPr>
            <w:tcW w:w="433" w:type="pct"/>
            <w:shd w:val="clear" w:color="auto" w:fill="auto"/>
            <w:tcMar>
              <w:top w:w="45" w:type="dxa"/>
              <w:left w:w="45" w:type="dxa"/>
              <w:bottom w:w="45" w:type="dxa"/>
              <w:right w:w="45" w:type="dxa"/>
            </w:tcMar>
            <w:vAlign w:val="center"/>
            <w:hideMark/>
          </w:tcPr>
          <w:p w14:paraId="745FE3CB"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ianuarie 2021</w:t>
            </w:r>
          </w:p>
        </w:tc>
        <w:tc>
          <w:tcPr>
            <w:tcW w:w="0" w:type="auto"/>
            <w:shd w:val="clear" w:color="auto" w:fill="auto"/>
            <w:tcMar>
              <w:top w:w="45" w:type="dxa"/>
              <w:left w:w="45" w:type="dxa"/>
              <w:bottom w:w="45" w:type="dxa"/>
              <w:right w:w="45" w:type="dxa"/>
            </w:tcMar>
            <w:vAlign w:val="center"/>
            <w:hideMark/>
          </w:tcPr>
          <w:p w14:paraId="1DB2CBDF"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februarie 2021</w:t>
            </w:r>
          </w:p>
        </w:tc>
        <w:tc>
          <w:tcPr>
            <w:tcW w:w="0" w:type="auto"/>
            <w:shd w:val="clear" w:color="auto" w:fill="auto"/>
            <w:tcMar>
              <w:top w:w="45" w:type="dxa"/>
              <w:left w:w="45" w:type="dxa"/>
              <w:bottom w:w="45" w:type="dxa"/>
              <w:right w:w="45" w:type="dxa"/>
            </w:tcMar>
            <w:vAlign w:val="center"/>
            <w:hideMark/>
          </w:tcPr>
          <w:p w14:paraId="6F43FDDB"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martie 2021</w:t>
            </w:r>
          </w:p>
        </w:tc>
        <w:tc>
          <w:tcPr>
            <w:tcW w:w="0" w:type="auto"/>
            <w:shd w:val="clear" w:color="auto" w:fill="auto"/>
            <w:tcMar>
              <w:top w:w="45" w:type="dxa"/>
              <w:left w:w="45" w:type="dxa"/>
              <w:bottom w:w="45" w:type="dxa"/>
              <w:right w:w="45" w:type="dxa"/>
            </w:tcMar>
            <w:vAlign w:val="center"/>
            <w:hideMark/>
          </w:tcPr>
          <w:p w14:paraId="1E6E9E37"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aprilie 2021</w:t>
            </w:r>
          </w:p>
        </w:tc>
        <w:tc>
          <w:tcPr>
            <w:tcW w:w="0" w:type="auto"/>
            <w:shd w:val="clear" w:color="auto" w:fill="auto"/>
            <w:tcMar>
              <w:top w:w="45" w:type="dxa"/>
              <w:left w:w="45" w:type="dxa"/>
              <w:bottom w:w="45" w:type="dxa"/>
              <w:right w:w="45" w:type="dxa"/>
            </w:tcMar>
            <w:vAlign w:val="center"/>
            <w:hideMark/>
          </w:tcPr>
          <w:p w14:paraId="14B86DF0"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mai 2021</w:t>
            </w:r>
          </w:p>
        </w:tc>
        <w:tc>
          <w:tcPr>
            <w:tcW w:w="0" w:type="auto"/>
            <w:shd w:val="clear" w:color="auto" w:fill="auto"/>
            <w:tcMar>
              <w:top w:w="45" w:type="dxa"/>
              <w:left w:w="45" w:type="dxa"/>
              <w:bottom w:w="45" w:type="dxa"/>
              <w:right w:w="45" w:type="dxa"/>
            </w:tcMar>
            <w:vAlign w:val="center"/>
            <w:hideMark/>
          </w:tcPr>
          <w:p w14:paraId="025E4E62"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iunie 2021</w:t>
            </w:r>
          </w:p>
        </w:tc>
        <w:tc>
          <w:tcPr>
            <w:tcW w:w="0" w:type="auto"/>
            <w:shd w:val="clear" w:color="auto" w:fill="auto"/>
            <w:tcMar>
              <w:top w:w="45" w:type="dxa"/>
              <w:left w:w="45" w:type="dxa"/>
              <w:bottom w:w="45" w:type="dxa"/>
              <w:right w:w="45" w:type="dxa"/>
            </w:tcMar>
            <w:vAlign w:val="center"/>
            <w:hideMark/>
          </w:tcPr>
          <w:p w14:paraId="76F1AFEF"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iulie 2021</w:t>
            </w:r>
          </w:p>
        </w:tc>
        <w:tc>
          <w:tcPr>
            <w:tcW w:w="0" w:type="auto"/>
            <w:shd w:val="clear" w:color="auto" w:fill="auto"/>
            <w:tcMar>
              <w:top w:w="45" w:type="dxa"/>
              <w:left w:w="45" w:type="dxa"/>
              <w:bottom w:w="45" w:type="dxa"/>
              <w:right w:w="45" w:type="dxa"/>
            </w:tcMar>
            <w:vAlign w:val="center"/>
            <w:hideMark/>
          </w:tcPr>
          <w:p w14:paraId="30F755B8"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august 2021</w:t>
            </w:r>
          </w:p>
        </w:tc>
        <w:tc>
          <w:tcPr>
            <w:tcW w:w="0" w:type="auto"/>
            <w:shd w:val="clear" w:color="auto" w:fill="auto"/>
            <w:tcMar>
              <w:top w:w="45" w:type="dxa"/>
              <w:left w:w="45" w:type="dxa"/>
              <w:bottom w:w="45" w:type="dxa"/>
              <w:right w:w="45" w:type="dxa"/>
            </w:tcMar>
            <w:vAlign w:val="center"/>
            <w:hideMark/>
          </w:tcPr>
          <w:p w14:paraId="1BA041FF"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septembrie 2021</w:t>
            </w:r>
          </w:p>
        </w:tc>
        <w:tc>
          <w:tcPr>
            <w:tcW w:w="0" w:type="auto"/>
            <w:shd w:val="clear" w:color="auto" w:fill="auto"/>
            <w:tcMar>
              <w:top w:w="45" w:type="dxa"/>
              <w:left w:w="45" w:type="dxa"/>
              <w:bottom w:w="45" w:type="dxa"/>
              <w:right w:w="45" w:type="dxa"/>
            </w:tcMar>
            <w:vAlign w:val="center"/>
            <w:hideMark/>
          </w:tcPr>
          <w:p w14:paraId="6E10986B"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octombrie 2021</w:t>
            </w:r>
          </w:p>
        </w:tc>
        <w:tc>
          <w:tcPr>
            <w:tcW w:w="0" w:type="auto"/>
            <w:shd w:val="clear" w:color="auto" w:fill="auto"/>
            <w:tcMar>
              <w:top w:w="45" w:type="dxa"/>
              <w:left w:w="45" w:type="dxa"/>
              <w:bottom w:w="45" w:type="dxa"/>
              <w:right w:w="45" w:type="dxa"/>
            </w:tcMar>
            <w:vAlign w:val="center"/>
            <w:hideMark/>
          </w:tcPr>
          <w:p w14:paraId="0DB43756" w14:textId="77777777" w:rsidR="00D17A1E" w:rsidRPr="00D17A1E" w:rsidRDefault="00D17A1E" w:rsidP="00ED134A">
            <w:pPr>
              <w:spacing w:before="150" w:after="0" w:line="240" w:lineRule="auto"/>
              <w:jc w:val="center"/>
              <w:rPr>
                <w:rFonts w:ascii="Arial" w:eastAsia="Times New Roman" w:hAnsi="Arial" w:cs="Arial"/>
                <w:bCs/>
                <w:color w:val="000000"/>
                <w:sz w:val="18"/>
                <w:szCs w:val="18"/>
              </w:rPr>
            </w:pPr>
            <w:r w:rsidRPr="00D17A1E">
              <w:rPr>
                <w:rFonts w:ascii="Arial" w:eastAsia="Times New Roman" w:hAnsi="Arial" w:cs="Arial"/>
                <w:bCs/>
                <w:color w:val="000000"/>
                <w:sz w:val="18"/>
                <w:szCs w:val="18"/>
              </w:rPr>
              <w:t>Luna noiembrie 2021</w:t>
            </w:r>
          </w:p>
        </w:tc>
      </w:tr>
      <w:tr w:rsidR="00D17A1E" w:rsidRPr="00D17A1E" w14:paraId="702B0671" w14:textId="77777777" w:rsidTr="00ED134A">
        <w:tc>
          <w:tcPr>
            <w:tcW w:w="0" w:type="auto"/>
            <w:vMerge/>
            <w:shd w:val="clear" w:color="auto" w:fill="auto"/>
            <w:vAlign w:val="center"/>
            <w:hideMark/>
          </w:tcPr>
          <w:p w14:paraId="18D4C5E1" w14:textId="77777777" w:rsidR="00D17A1E" w:rsidRPr="00D17A1E" w:rsidRDefault="00D17A1E" w:rsidP="00ED134A">
            <w:pPr>
              <w:spacing w:before="150" w:after="0" w:line="240" w:lineRule="auto"/>
              <w:rPr>
                <w:rFonts w:ascii="Arial" w:eastAsia="Times New Roman" w:hAnsi="Arial" w:cs="Arial"/>
                <w:b/>
                <w:bCs/>
                <w:color w:val="000000"/>
                <w:sz w:val="20"/>
                <w:szCs w:val="20"/>
              </w:rPr>
            </w:pPr>
          </w:p>
        </w:tc>
        <w:tc>
          <w:tcPr>
            <w:tcW w:w="4503" w:type="pct"/>
            <w:gridSpan w:val="11"/>
            <w:shd w:val="clear" w:color="auto" w:fill="auto"/>
            <w:tcMar>
              <w:top w:w="45" w:type="dxa"/>
              <w:left w:w="45" w:type="dxa"/>
              <w:bottom w:w="45" w:type="dxa"/>
              <w:right w:w="45" w:type="dxa"/>
            </w:tcMar>
            <w:vAlign w:val="center"/>
            <w:hideMark/>
          </w:tcPr>
          <w:p w14:paraId="35B80881" w14:textId="77777777" w:rsidR="00D17A1E" w:rsidRPr="00D17A1E" w:rsidRDefault="00D17A1E" w:rsidP="00ED134A">
            <w:pPr>
              <w:spacing w:before="150" w:after="0" w:line="240" w:lineRule="auto"/>
              <w:jc w:val="center"/>
              <w:rPr>
                <w:rFonts w:ascii="Arial" w:eastAsia="Times New Roman" w:hAnsi="Arial" w:cs="Arial"/>
                <w:b/>
                <w:bCs/>
                <w:color w:val="000000"/>
                <w:sz w:val="20"/>
                <w:szCs w:val="20"/>
              </w:rPr>
            </w:pPr>
            <w:r w:rsidRPr="00D17A1E">
              <w:rPr>
                <w:rFonts w:ascii="Arial" w:eastAsia="Times New Roman" w:hAnsi="Arial" w:cs="Arial"/>
                <w:b/>
                <w:bCs/>
                <w:color w:val="000000"/>
                <w:sz w:val="20"/>
                <w:szCs w:val="20"/>
              </w:rPr>
              <w:t>UM: Procente</w:t>
            </w:r>
          </w:p>
        </w:tc>
      </w:tr>
      <w:tr w:rsidR="00D17A1E" w:rsidRPr="00D17A1E" w14:paraId="7D913AB4" w14:textId="77777777" w:rsidTr="00ED134A">
        <w:tc>
          <w:tcPr>
            <w:tcW w:w="0" w:type="auto"/>
            <w:vMerge/>
            <w:shd w:val="clear" w:color="auto" w:fill="auto"/>
            <w:vAlign w:val="center"/>
            <w:hideMark/>
          </w:tcPr>
          <w:p w14:paraId="3DA30520" w14:textId="77777777" w:rsidR="00D17A1E" w:rsidRPr="00D17A1E" w:rsidRDefault="00D17A1E" w:rsidP="00ED134A">
            <w:pPr>
              <w:spacing w:before="150" w:after="0" w:line="240" w:lineRule="auto"/>
              <w:rPr>
                <w:rFonts w:ascii="Arial" w:eastAsia="Times New Roman" w:hAnsi="Arial" w:cs="Arial"/>
                <w:b/>
                <w:bCs/>
                <w:color w:val="000000"/>
                <w:sz w:val="20"/>
                <w:szCs w:val="20"/>
              </w:rPr>
            </w:pPr>
          </w:p>
        </w:tc>
        <w:tc>
          <w:tcPr>
            <w:tcW w:w="433" w:type="pct"/>
            <w:shd w:val="clear" w:color="auto" w:fill="auto"/>
            <w:tcMar>
              <w:top w:w="45" w:type="dxa"/>
              <w:left w:w="45" w:type="dxa"/>
              <w:bottom w:w="45" w:type="dxa"/>
              <w:right w:w="45" w:type="dxa"/>
            </w:tcMar>
            <w:vAlign w:val="center"/>
            <w:hideMark/>
          </w:tcPr>
          <w:p w14:paraId="32088201"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0B7030FD"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6A141E78"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20E1C327"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100875AE"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2F9744C4"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5935E1A7"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031EA454"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4992EA21"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242CD600"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c>
          <w:tcPr>
            <w:tcW w:w="0" w:type="auto"/>
            <w:shd w:val="clear" w:color="auto" w:fill="auto"/>
            <w:tcMar>
              <w:top w:w="45" w:type="dxa"/>
              <w:left w:w="45" w:type="dxa"/>
              <w:bottom w:w="45" w:type="dxa"/>
              <w:right w:w="45" w:type="dxa"/>
            </w:tcMar>
            <w:vAlign w:val="center"/>
            <w:hideMark/>
          </w:tcPr>
          <w:p w14:paraId="671A7898" w14:textId="77777777" w:rsidR="00D17A1E" w:rsidRPr="00D17A1E" w:rsidRDefault="00D17A1E" w:rsidP="00ED134A">
            <w:pPr>
              <w:spacing w:before="150" w:after="0" w:line="240" w:lineRule="auto"/>
              <w:rPr>
                <w:rFonts w:ascii="Arial" w:eastAsia="Times New Roman" w:hAnsi="Arial" w:cs="Arial"/>
                <w:bCs/>
                <w:color w:val="000000"/>
                <w:sz w:val="16"/>
                <w:szCs w:val="16"/>
              </w:rPr>
            </w:pPr>
            <w:r w:rsidRPr="00D17A1E">
              <w:rPr>
                <w:rFonts w:ascii="Arial" w:eastAsia="Times New Roman" w:hAnsi="Arial" w:cs="Arial"/>
                <w:bCs/>
                <w:color w:val="000000"/>
                <w:sz w:val="16"/>
                <w:szCs w:val="16"/>
              </w:rPr>
              <w:t>Procente</w:t>
            </w:r>
          </w:p>
        </w:tc>
      </w:tr>
      <w:tr w:rsidR="00D17A1E" w:rsidRPr="00D17A1E" w14:paraId="6CDB3AB0" w14:textId="77777777" w:rsidTr="00ED134A">
        <w:tc>
          <w:tcPr>
            <w:tcW w:w="0" w:type="auto"/>
            <w:shd w:val="clear" w:color="auto" w:fill="auto"/>
            <w:tcMar>
              <w:top w:w="45" w:type="dxa"/>
              <w:left w:w="45" w:type="dxa"/>
              <w:bottom w:w="45" w:type="dxa"/>
              <w:right w:w="45" w:type="dxa"/>
            </w:tcMar>
            <w:vAlign w:val="center"/>
            <w:hideMark/>
          </w:tcPr>
          <w:p w14:paraId="47860347" w14:textId="77777777" w:rsidR="00D17A1E" w:rsidRPr="00D17A1E" w:rsidRDefault="00D17A1E" w:rsidP="00ED134A">
            <w:pPr>
              <w:spacing w:before="150" w:after="0" w:line="240" w:lineRule="auto"/>
              <w:rPr>
                <w:rFonts w:ascii="Arial" w:eastAsia="Times New Roman" w:hAnsi="Arial" w:cs="Arial"/>
                <w:b/>
                <w:bCs/>
                <w:color w:val="000000"/>
                <w:sz w:val="20"/>
                <w:szCs w:val="20"/>
              </w:rPr>
            </w:pPr>
            <w:r>
              <w:rPr>
                <w:rFonts w:ascii="Arial" w:eastAsia="Times New Roman" w:hAnsi="Arial" w:cs="Arial"/>
                <w:b/>
                <w:bCs/>
                <w:color w:val="000000"/>
                <w:sz w:val="20"/>
                <w:szCs w:val="20"/>
              </w:rPr>
              <w:t>Oraş</w:t>
            </w:r>
            <w:r w:rsidRPr="00D17A1E">
              <w:rPr>
                <w:rFonts w:ascii="Arial" w:eastAsia="Times New Roman" w:hAnsi="Arial" w:cs="Arial"/>
                <w:b/>
                <w:bCs/>
                <w:color w:val="000000"/>
                <w:sz w:val="20"/>
                <w:szCs w:val="20"/>
              </w:rPr>
              <w:t xml:space="preserve"> Horezu</w:t>
            </w:r>
          </w:p>
        </w:tc>
        <w:tc>
          <w:tcPr>
            <w:tcW w:w="433" w:type="pct"/>
            <w:shd w:val="clear" w:color="auto" w:fill="auto"/>
            <w:tcMar>
              <w:top w:w="45" w:type="dxa"/>
              <w:left w:w="45" w:type="dxa"/>
              <w:bottom w:w="45" w:type="dxa"/>
              <w:right w:w="45" w:type="dxa"/>
            </w:tcMar>
            <w:vAlign w:val="center"/>
            <w:hideMark/>
          </w:tcPr>
          <w:p w14:paraId="7B38863E"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2,5</w:t>
            </w:r>
          </w:p>
        </w:tc>
        <w:tc>
          <w:tcPr>
            <w:tcW w:w="0" w:type="auto"/>
            <w:shd w:val="clear" w:color="auto" w:fill="auto"/>
            <w:tcMar>
              <w:top w:w="45" w:type="dxa"/>
              <w:left w:w="45" w:type="dxa"/>
              <w:bottom w:w="45" w:type="dxa"/>
              <w:right w:w="45" w:type="dxa"/>
            </w:tcMar>
            <w:vAlign w:val="center"/>
            <w:hideMark/>
          </w:tcPr>
          <w:p w14:paraId="4282F55B"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2,5</w:t>
            </w:r>
          </w:p>
        </w:tc>
        <w:tc>
          <w:tcPr>
            <w:tcW w:w="0" w:type="auto"/>
            <w:shd w:val="clear" w:color="auto" w:fill="auto"/>
            <w:tcMar>
              <w:top w:w="45" w:type="dxa"/>
              <w:left w:w="45" w:type="dxa"/>
              <w:bottom w:w="45" w:type="dxa"/>
              <w:right w:w="45" w:type="dxa"/>
            </w:tcMar>
            <w:vAlign w:val="center"/>
            <w:hideMark/>
          </w:tcPr>
          <w:p w14:paraId="350B6F36"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2,5</w:t>
            </w:r>
          </w:p>
        </w:tc>
        <w:tc>
          <w:tcPr>
            <w:tcW w:w="0" w:type="auto"/>
            <w:shd w:val="clear" w:color="auto" w:fill="auto"/>
            <w:tcMar>
              <w:top w:w="45" w:type="dxa"/>
              <w:left w:w="45" w:type="dxa"/>
              <w:bottom w:w="45" w:type="dxa"/>
              <w:right w:w="45" w:type="dxa"/>
            </w:tcMar>
            <w:vAlign w:val="center"/>
            <w:hideMark/>
          </w:tcPr>
          <w:p w14:paraId="12B64B94"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2,5</w:t>
            </w:r>
          </w:p>
        </w:tc>
        <w:tc>
          <w:tcPr>
            <w:tcW w:w="0" w:type="auto"/>
            <w:shd w:val="clear" w:color="auto" w:fill="auto"/>
            <w:tcMar>
              <w:top w:w="45" w:type="dxa"/>
              <w:left w:w="45" w:type="dxa"/>
              <w:bottom w:w="45" w:type="dxa"/>
              <w:right w:w="45" w:type="dxa"/>
            </w:tcMar>
            <w:vAlign w:val="center"/>
            <w:hideMark/>
          </w:tcPr>
          <w:p w14:paraId="767E21E3"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2,3</w:t>
            </w:r>
          </w:p>
        </w:tc>
        <w:tc>
          <w:tcPr>
            <w:tcW w:w="0" w:type="auto"/>
            <w:shd w:val="clear" w:color="auto" w:fill="auto"/>
            <w:tcMar>
              <w:top w:w="45" w:type="dxa"/>
              <w:left w:w="45" w:type="dxa"/>
              <w:bottom w:w="45" w:type="dxa"/>
              <w:right w:w="45" w:type="dxa"/>
            </w:tcMar>
            <w:vAlign w:val="center"/>
            <w:hideMark/>
          </w:tcPr>
          <w:p w14:paraId="5FE6F959"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2,2</w:t>
            </w:r>
          </w:p>
        </w:tc>
        <w:tc>
          <w:tcPr>
            <w:tcW w:w="0" w:type="auto"/>
            <w:shd w:val="clear" w:color="auto" w:fill="auto"/>
            <w:tcMar>
              <w:top w:w="45" w:type="dxa"/>
              <w:left w:w="45" w:type="dxa"/>
              <w:bottom w:w="45" w:type="dxa"/>
              <w:right w:w="45" w:type="dxa"/>
            </w:tcMar>
            <w:vAlign w:val="center"/>
            <w:hideMark/>
          </w:tcPr>
          <w:p w14:paraId="3AF8BD26"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2,5</w:t>
            </w:r>
          </w:p>
        </w:tc>
        <w:tc>
          <w:tcPr>
            <w:tcW w:w="0" w:type="auto"/>
            <w:shd w:val="clear" w:color="auto" w:fill="auto"/>
            <w:tcMar>
              <w:top w:w="45" w:type="dxa"/>
              <w:left w:w="45" w:type="dxa"/>
              <w:bottom w:w="45" w:type="dxa"/>
              <w:right w:w="45" w:type="dxa"/>
            </w:tcMar>
            <w:vAlign w:val="center"/>
            <w:hideMark/>
          </w:tcPr>
          <w:p w14:paraId="737D3145"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2,4</w:t>
            </w:r>
          </w:p>
        </w:tc>
        <w:tc>
          <w:tcPr>
            <w:tcW w:w="0" w:type="auto"/>
            <w:shd w:val="clear" w:color="auto" w:fill="auto"/>
            <w:tcMar>
              <w:top w:w="45" w:type="dxa"/>
              <w:left w:w="45" w:type="dxa"/>
              <w:bottom w:w="45" w:type="dxa"/>
              <w:right w:w="45" w:type="dxa"/>
            </w:tcMar>
            <w:vAlign w:val="center"/>
            <w:hideMark/>
          </w:tcPr>
          <w:p w14:paraId="24D8156F"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2,9</w:t>
            </w:r>
          </w:p>
        </w:tc>
        <w:tc>
          <w:tcPr>
            <w:tcW w:w="0" w:type="auto"/>
            <w:shd w:val="clear" w:color="auto" w:fill="auto"/>
            <w:tcMar>
              <w:top w:w="45" w:type="dxa"/>
              <w:left w:w="45" w:type="dxa"/>
              <w:bottom w:w="45" w:type="dxa"/>
              <w:right w:w="45" w:type="dxa"/>
            </w:tcMar>
            <w:vAlign w:val="center"/>
            <w:hideMark/>
          </w:tcPr>
          <w:p w14:paraId="10BB166C"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2,8</w:t>
            </w:r>
          </w:p>
        </w:tc>
        <w:tc>
          <w:tcPr>
            <w:tcW w:w="0" w:type="auto"/>
            <w:shd w:val="clear" w:color="auto" w:fill="auto"/>
            <w:tcMar>
              <w:top w:w="45" w:type="dxa"/>
              <w:left w:w="45" w:type="dxa"/>
              <w:bottom w:w="45" w:type="dxa"/>
              <w:right w:w="45" w:type="dxa"/>
            </w:tcMar>
            <w:vAlign w:val="center"/>
            <w:hideMark/>
          </w:tcPr>
          <w:p w14:paraId="7457F191" w14:textId="77777777" w:rsidR="00D17A1E" w:rsidRPr="00D17A1E" w:rsidRDefault="00D17A1E" w:rsidP="00ED134A">
            <w:pPr>
              <w:spacing w:before="150" w:after="0" w:line="240" w:lineRule="auto"/>
              <w:jc w:val="center"/>
              <w:rPr>
                <w:rFonts w:ascii="Arial" w:eastAsia="Times New Roman" w:hAnsi="Arial" w:cs="Arial"/>
                <w:color w:val="000000"/>
                <w:sz w:val="20"/>
                <w:szCs w:val="20"/>
              </w:rPr>
            </w:pPr>
            <w:r w:rsidRPr="00D17A1E">
              <w:rPr>
                <w:rFonts w:ascii="Arial" w:eastAsia="Times New Roman" w:hAnsi="Arial" w:cs="Arial"/>
                <w:color w:val="000000"/>
                <w:sz w:val="20"/>
                <w:szCs w:val="20"/>
                <w:u w:val="single"/>
              </w:rPr>
              <w:t>2,7</w:t>
            </w:r>
          </w:p>
        </w:tc>
      </w:tr>
    </w:tbl>
    <w:p w14:paraId="31676B3F" w14:textId="77777777" w:rsidR="00D17A1E" w:rsidRDefault="00D949F4" w:rsidP="00D949F4">
      <w:pPr>
        <w:spacing w:after="0" w:line="276" w:lineRule="auto"/>
        <w:jc w:val="both"/>
        <w:rPr>
          <w:rFonts w:ascii="Arial" w:hAnsi="Arial" w:cs="Arial"/>
        </w:rPr>
      </w:pPr>
      <w:r>
        <w:t>Legenda: ':' - date lipsă; 'c' - date confidenţ</w:t>
      </w:r>
      <w:r w:rsidRPr="00D17A1E">
        <w:t xml:space="preserve">iale; 9999,00 - normal - date definitive; </w:t>
      </w:r>
      <w:r w:rsidRPr="00D17A1E">
        <w:rPr>
          <w:b/>
          <w:u w:val="single"/>
        </w:rPr>
        <w:t>9999,00</w:t>
      </w:r>
      <w:r>
        <w:t xml:space="preserve"> - îngroş</w:t>
      </w:r>
      <w:r w:rsidRPr="00D17A1E">
        <w:t xml:space="preserve">at subliniat - date semidefinitive; </w:t>
      </w:r>
      <w:r w:rsidRPr="00D17A1E">
        <w:rPr>
          <w:b/>
        </w:rPr>
        <w:t>9999,00</w:t>
      </w:r>
      <w:r w:rsidRPr="00D17A1E">
        <w:t xml:space="preserve"> - ingrosat - date revizuite; </w:t>
      </w:r>
      <w:r w:rsidRPr="00D17A1E">
        <w:rPr>
          <w:u w:val="single"/>
        </w:rPr>
        <w:t>9999,00</w:t>
      </w:r>
      <w:r w:rsidRPr="00D17A1E">
        <w:t xml:space="preserve"> - subliniat - date provizorii</w:t>
      </w:r>
    </w:p>
    <w:p w14:paraId="678A2CB9" w14:textId="77777777" w:rsidR="00D17A1E" w:rsidRDefault="00D949F4" w:rsidP="00D949F4">
      <w:pPr>
        <w:spacing w:after="0" w:line="276" w:lineRule="auto"/>
        <w:jc w:val="both"/>
        <w:rPr>
          <w:rFonts w:ascii="Arial" w:hAnsi="Arial" w:cs="Arial"/>
        </w:rPr>
      </w:pPr>
      <w:r w:rsidRPr="00D273E9">
        <w:rPr>
          <w:rFonts w:ascii="Arial" w:hAnsi="Arial" w:cs="Arial"/>
          <w:sz w:val="16"/>
          <w:szCs w:val="16"/>
        </w:rPr>
        <w:t xml:space="preserve">Sursa: </w:t>
      </w:r>
      <w:hyperlink r:id="rId52" w:history="1">
        <w:r w:rsidRPr="007A7ABD">
          <w:rPr>
            <w:rStyle w:val="Hyperlink"/>
            <w:rFonts w:ascii="Arial" w:hAnsi="Arial" w:cs="Arial"/>
            <w:sz w:val="16"/>
            <w:szCs w:val="16"/>
          </w:rPr>
          <w:t>http://statistici.insse.ro/</w:t>
        </w:r>
      </w:hyperlink>
    </w:p>
    <w:p w14:paraId="3AE29112" w14:textId="77777777" w:rsidR="00977904" w:rsidRDefault="00977904" w:rsidP="005A73BC">
      <w:pPr>
        <w:spacing w:line="276" w:lineRule="auto"/>
        <w:jc w:val="both"/>
        <w:rPr>
          <w:rFonts w:ascii="Arial" w:hAnsi="Arial" w:cs="Arial"/>
          <w:b/>
          <w:i/>
        </w:rPr>
      </w:pPr>
    </w:p>
    <w:p w14:paraId="20E42D8B" w14:textId="77777777" w:rsidR="0033293A" w:rsidRDefault="00AA2A05" w:rsidP="005A73BC">
      <w:pPr>
        <w:spacing w:line="276" w:lineRule="auto"/>
        <w:jc w:val="both"/>
        <w:rPr>
          <w:rFonts w:ascii="Arial" w:hAnsi="Arial" w:cs="Arial"/>
        </w:rPr>
      </w:pPr>
      <w:r>
        <w:rPr>
          <w:rFonts w:ascii="Arial" w:hAnsi="Arial" w:cs="Arial"/>
        </w:rPr>
        <w:t>În perioada 2011-2017, activitatea turistică la nivelul localităţii a cunoscut o creştere accentuată, reliefată de numărul de sosiri ale turiştilor în structuri de primire turistică; în2018 şi 2019 se remarcă o uşoară scădere, iar în 2020, an profund marcat de pandemie, numărul turiştilor a cunoscut o înjumătăţire faţă de anul 2017.</w:t>
      </w:r>
    </w:p>
    <w:p w14:paraId="6CB3E457" w14:textId="65638BFA" w:rsidR="00AA2A05" w:rsidRPr="00AA2A05" w:rsidRDefault="00AA2A05" w:rsidP="00AA2A05">
      <w:pPr>
        <w:pStyle w:val="Legend"/>
        <w:jc w:val="center"/>
        <w:rPr>
          <w:rFonts w:ascii="Arial" w:hAnsi="Arial" w:cs="Arial"/>
          <w:sz w:val="22"/>
          <w:szCs w:val="22"/>
        </w:rPr>
      </w:pPr>
      <w:bookmarkStart w:id="71" w:name="_Toc140744575"/>
      <w:r w:rsidRPr="00AA2A05">
        <w:rPr>
          <w:rFonts w:ascii="Arial" w:hAnsi="Arial" w:cs="Arial"/>
          <w:sz w:val="22"/>
          <w:szCs w:val="22"/>
        </w:rPr>
        <w:t xml:space="preserve">Tabel I.2. </w:t>
      </w:r>
      <w:r w:rsidRPr="00AA2A05">
        <w:rPr>
          <w:rFonts w:ascii="Arial" w:hAnsi="Arial" w:cs="Arial"/>
          <w:sz w:val="22"/>
          <w:szCs w:val="22"/>
        </w:rPr>
        <w:fldChar w:fldCharType="begin"/>
      </w:r>
      <w:r w:rsidRPr="00AA2A05">
        <w:rPr>
          <w:rFonts w:ascii="Arial" w:hAnsi="Arial" w:cs="Arial"/>
          <w:sz w:val="22"/>
          <w:szCs w:val="22"/>
        </w:rPr>
        <w:instrText xml:space="preserve"> SEQ Tabel_I.2. \* ARABIC </w:instrText>
      </w:r>
      <w:r w:rsidRPr="00AA2A05">
        <w:rPr>
          <w:rFonts w:ascii="Arial" w:hAnsi="Arial" w:cs="Arial"/>
          <w:sz w:val="22"/>
          <w:szCs w:val="22"/>
        </w:rPr>
        <w:fldChar w:fldCharType="separate"/>
      </w:r>
      <w:r w:rsidR="00BB181C">
        <w:rPr>
          <w:rFonts w:ascii="Arial" w:hAnsi="Arial" w:cs="Arial"/>
          <w:noProof/>
          <w:sz w:val="22"/>
          <w:szCs w:val="22"/>
        </w:rPr>
        <w:t>9</w:t>
      </w:r>
      <w:r w:rsidRPr="00AA2A05">
        <w:rPr>
          <w:rFonts w:ascii="Arial" w:hAnsi="Arial" w:cs="Arial"/>
          <w:sz w:val="22"/>
          <w:szCs w:val="22"/>
        </w:rPr>
        <w:fldChar w:fldCharType="end"/>
      </w:r>
      <w:r w:rsidRPr="00AA2A05">
        <w:rPr>
          <w:rFonts w:ascii="Arial" w:hAnsi="Arial" w:cs="Arial"/>
          <w:sz w:val="22"/>
          <w:szCs w:val="22"/>
        </w:rPr>
        <w:t xml:space="preserve"> - </w:t>
      </w:r>
      <w:r>
        <w:rPr>
          <w:rFonts w:ascii="Arial" w:hAnsi="Arial" w:cs="Arial"/>
          <w:i w:val="0"/>
          <w:sz w:val="22"/>
          <w:szCs w:val="22"/>
        </w:rPr>
        <w:t>Sosiri ale turiştilor în structuri de primire turistică</w:t>
      </w:r>
      <w:bookmarkEnd w:id="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1177"/>
        <w:gridCol w:w="842"/>
        <w:gridCol w:w="842"/>
        <w:gridCol w:w="842"/>
        <w:gridCol w:w="842"/>
        <w:gridCol w:w="842"/>
        <w:gridCol w:w="879"/>
        <w:gridCol w:w="879"/>
        <w:gridCol w:w="879"/>
        <w:gridCol w:w="879"/>
        <w:gridCol w:w="842"/>
      </w:tblGrid>
      <w:tr w:rsidR="00977904" w:rsidRPr="00977904" w14:paraId="2B1B2176" w14:textId="77777777" w:rsidTr="00AA2A05">
        <w:tc>
          <w:tcPr>
            <w:tcW w:w="0" w:type="auto"/>
            <w:vMerge w:val="restart"/>
            <w:shd w:val="clear" w:color="auto" w:fill="auto"/>
            <w:tcMar>
              <w:top w:w="45" w:type="dxa"/>
              <w:left w:w="45" w:type="dxa"/>
              <w:bottom w:w="45" w:type="dxa"/>
              <w:right w:w="45" w:type="dxa"/>
            </w:tcMar>
            <w:vAlign w:val="center"/>
            <w:hideMark/>
          </w:tcPr>
          <w:p w14:paraId="4C4BDC4F" w14:textId="77777777" w:rsidR="00977904" w:rsidRPr="00977904" w:rsidRDefault="00AA2A05" w:rsidP="00AA2A05">
            <w:pPr>
              <w:spacing w:after="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Localităţ</w:t>
            </w:r>
            <w:r w:rsidR="00977904" w:rsidRPr="00977904">
              <w:rPr>
                <w:rFonts w:ascii="Arial" w:eastAsia="Times New Roman" w:hAnsi="Arial" w:cs="Arial"/>
                <w:b/>
                <w:bCs/>
                <w:color w:val="000000"/>
                <w:sz w:val="20"/>
                <w:szCs w:val="20"/>
              </w:rPr>
              <w:t>i</w:t>
            </w:r>
          </w:p>
        </w:tc>
        <w:tc>
          <w:tcPr>
            <w:tcW w:w="0" w:type="auto"/>
            <w:gridSpan w:val="10"/>
            <w:shd w:val="clear" w:color="auto" w:fill="auto"/>
            <w:tcMar>
              <w:top w:w="45" w:type="dxa"/>
              <w:left w:w="45" w:type="dxa"/>
              <w:bottom w:w="45" w:type="dxa"/>
              <w:right w:w="45" w:type="dxa"/>
            </w:tcMar>
            <w:vAlign w:val="center"/>
            <w:hideMark/>
          </w:tcPr>
          <w:p w14:paraId="154FA289" w14:textId="77777777" w:rsidR="00977904" w:rsidRPr="00977904" w:rsidRDefault="00977904" w:rsidP="00AA2A05">
            <w:pPr>
              <w:spacing w:after="0" w:line="240" w:lineRule="auto"/>
              <w:jc w:val="center"/>
              <w:rPr>
                <w:rFonts w:ascii="Arial" w:eastAsia="Times New Roman" w:hAnsi="Arial" w:cs="Arial"/>
                <w:b/>
                <w:bCs/>
                <w:color w:val="000000"/>
                <w:sz w:val="20"/>
                <w:szCs w:val="20"/>
              </w:rPr>
            </w:pPr>
            <w:r w:rsidRPr="00977904">
              <w:rPr>
                <w:rFonts w:ascii="Arial" w:eastAsia="Times New Roman" w:hAnsi="Arial" w:cs="Arial"/>
                <w:b/>
                <w:bCs/>
                <w:color w:val="000000"/>
                <w:sz w:val="20"/>
                <w:szCs w:val="20"/>
              </w:rPr>
              <w:t>Ani</w:t>
            </w:r>
          </w:p>
        </w:tc>
      </w:tr>
      <w:tr w:rsidR="00AA2A05" w:rsidRPr="00977904" w14:paraId="06D006BE" w14:textId="77777777" w:rsidTr="00AA2A05">
        <w:tc>
          <w:tcPr>
            <w:tcW w:w="0" w:type="auto"/>
            <w:vMerge/>
            <w:shd w:val="clear" w:color="auto" w:fill="auto"/>
            <w:vAlign w:val="center"/>
            <w:hideMark/>
          </w:tcPr>
          <w:p w14:paraId="4ADF6E7A" w14:textId="77777777" w:rsidR="00977904" w:rsidRPr="00977904" w:rsidRDefault="00977904" w:rsidP="00AA2A05">
            <w:pPr>
              <w:spacing w:after="0" w:line="240" w:lineRule="auto"/>
              <w:jc w:val="center"/>
              <w:rPr>
                <w:rFonts w:ascii="Arial" w:eastAsia="Times New Roman" w:hAnsi="Arial" w:cs="Arial"/>
                <w:b/>
                <w:bCs/>
                <w:color w:val="000000"/>
                <w:sz w:val="20"/>
                <w:szCs w:val="20"/>
              </w:rPr>
            </w:pPr>
          </w:p>
        </w:tc>
        <w:tc>
          <w:tcPr>
            <w:tcW w:w="0" w:type="auto"/>
            <w:shd w:val="clear" w:color="auto" w:fill="auto"/>
            <w:tcMar>
              <w:top w:w="45" w:type="dxa"/>
              <w:left w:w="45" w:type="dxa"/>
              <w:bottom w:w="45" w:type="dxa"/>
              <w:right w:w="45" w:type="dxa"/>
            </w:tcMar>
            <w:vAlign w:val="center"/>
            <w:hideMark/>
          </w:tcPr>
          <w:p w14:paraId="789E2A83" w14:textId="77777777" w:rsidR="00977904" w:rsidRPr="00977904" w:rsidRDefault="00977904" w:rsidP="00AA2A05">
            <w:pPr>
              <w:spacing w:after="0" w:line="240" w:lineRule="auto"/>
              <w:jc w:val="center"/>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2011</w:t>
            </w:r>
          </w:p>
        </w:tc>
        <w:tc>
          <w:tcPr>
            <w:tcW w:w="0" w:type="auto"/>
            <w:shd w:val="clear" w:color="auto" w:fill="auto"/>
            <w:tcMar>
              <w:top w:w="45" w:type="dxa"/>
              <w:left w:w="45" w:type="dxa"/>
              <w:bottom w:w="45" w:type="dxa"/>
              <w:right w:w="45" w:type="dxa"/>
            </w:tcMar>
            <w:vAlign w:val="center"/>
            <w:hideMark/>
          </w:tcPr>
          <w:p w14:paraId="66D1EEE1" w14:textId="77777777" w:rsidR="00977904" w:rsidRPr="00977904" w:rsidRDefault="00977904" w:rsidP="00AA2A05">
            <w:pPr>
              <w:spacing w:after="0" w:line="240" w:lineRule="auto"/>
              <w:jc w:val="center"/>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2012</w:t>
            </w:r>
          </w:p>
        </w:tc>
        <w:tc>
          <w:tcPr>
            <w:tcW w:w="0" w:type="auto"/>
            <w:shd w:val="clear" w:color="auto" w:fill="auto"/>
            <w:tcMar>
              <w:top w:w="45" w:type="dxa"/>
              <w:left w:w="45" w:type="dxa"/>
              <w:bottom w:w="45" w:type="dxa"/>
              <w:right w:w="45" w:type="dxa"/>
            </w:tcMar>
            <w:vAlign w:val="center"/>
            <w:hideMark/>
          </w:tcPr>
          <w:p w14:paraId="1EC6215B" w14:textId="77777777" w:rsidR="00977904" w:rsidRPr="00977904" w:rsidRDefault="00977904" w:rsidP="00AA2A05">
            <w:pPr>
              <w:spacing w:after="0" w:line="240" w:lineRule="auto"/>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2013</w:t>
            </w:r>
          </w:p>
        </w:tc>
        <w:tc>
          <w:tcPr>
            <w:tcW w:w="0" w:type="auto"/>
            <w:shd w:val="clear" w:color="auto" w:fill="auto"/>
            <w:tcMar>
              <w:top w:w="45" w:type="dxa"/>
              <w:left w:w="45" w:type="dxa"/>
              <w:bottom w:w="45" w:type="dxa"/>
              <w:right w:w="45" w:type="dxa"/>
            </w:tcMar>
            <w:vAlign w:val="center"/>
            <w:hideMark/>
          </w:tcPr>
          <w:p w14:paraId="31FA5DF3" w14:textId="77777777" w:rsidR="00977904" w:rsidRPr="00977904" w:rsidRDefault="00977904" w:rsidP="00AA2A05">
            <w:pPr>
              <w:spacing w:after="0" w:line="240" w:lineRule="auto"/>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2014</w:t>
            </w:r>
          </w:p>
        </w:tc>
        <w:tc>
          <w:tcPr>
            <w:tcW w:w="0" w:type="auto"/>
            <w:shd w:val="clear" w:color="auto" w:fill="auto"/>
            <w:tcMar>
              <w:top w:w="45" w:type="dxa"/>
              <w:left w:w="45" w:type="dxa"/>
              <w:bottom w:w="45" w:type="dxa"/>
              <w:right w:w="45" w:type="dxa"/>
            </w:tcMar>
            <w:vAlign w:val="center"/>
            <w:hideMark/>
          </w:tcPr>
          <w:p w14:paraId="6CF30E76" w14:textId="77777777" w:rsidR="00977904" w:rsidRPr="00977904" w:rsidRDefault="00977904" w:rsidP="00AA2A05">
            <w:pPr>
              <w:spacing w:after="0" w:line="240" w:lineRule="auto"/>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2015</w:t>
            </w:r>
          </w:p>
        </w:tc>
        <w:tc>
          <w:tcPr>
            <w:tcW w:w="0" w:type="auto"/>
            <w:shd w:val="clear" w:color="auto" w:fill="auto"/>
            <w:tcMar>
              <w:top w:w="45" w:type="dxa"/>
              <w:left w:w="45" w:type="dxa"/>
              <w:bottom w:w="45" w:type="dxa"/>
              <w:right w:w="45" w:type="dxa"/>
            </w:tcMar>
            <w:vAlign w:val="center"/>
            <w:hideMark/>
          </w:tcPr>
          <w:p w14:paraId="437EC73E" w14:textId="77777777" w:rsidR="00977904" w:rsidRPr="00977904" w:rsidRDefault="00977904" w:rsidP="00AA2A05">
            <w:pPr>
              <w:spacing w:after="0" w:line="240" w:lineRule="auto"/>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2016</w:t>
            </w:r>
          </w:p>
        </w:tc>
        <w:tc>
          <w:tcPr>
            <w:tcW w:w="0" w:type="auto"/>
            <w:shd w:val="clear" w:color="auto" w:fill="auto"/>
            <w:tcMar>
              <w:top w:w="45" w:type="dxa"/>
              <w:left w:w="45" w:type="dxa"/>
              <w:bottom w:w="45" w:type="dxa"/>
              <w:right w:w="45" w:type="dxa"/>
            </w:tcMar>
            <w:vAlign w:val="center"/>
            <w:hideMark/>
          </w:tcPr>
          <w:p w14:paraId="71AE7175" w14:textId="77777777" w:rsidR="00977904" w:rsidRPr="00977904" w:rsidRDefault="00977904" w:rsidP="00AA2A05">
            <w:pPr>
              <w:spacing w:after="0" w:line="240" w:lineRule="auto"/>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2017</w:t>
            </w:r>
          </w:p>
        </w:tc>
        <w:tc>
          <w:tcPr>
            <w:tcW w:w="0" w:type="auto"/>
            <w:shd w:val="clear" w:color="auto" w:fill="auto"/>
            <w:tcMar>
              <w:top w:w="45" w:type="dxa"/>
              <w:left w:w="45" w:type="dxa"/>
              <w:bottom w:w="45" w:type="dxa"/>
              <w:right w:w="45" w:type="dxa"/>
            </w:tcMar>
            <w:vAlign w:val="center"/>
            <w:hideMark/>
          </w:tcPr>
          <w:p w14:paraId="4C4390D6" w14:textId="77777777" w:rsidR="00977904" w:rsidRPr="00977904" w:rsidRDefault="00977904" w:rsidP="00AA2A05">
            <w:pPr>
              <w:spacing w:after="0" w:line="240" w:lineRule="auto"/>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2018</w:t>
            </w:r>
          </w:p>
        </w:tc>
        <w:tc>
          <w:tcPr>
            <w:tcW w:w="0" w:type="auto"/>
            <w:shd w:val="clear" w:color="auto" w:fill="auto"/>
            <w:tcMar>
              <w:top w:w="45" w:type="dxa"/>
              <w:left w:w="45" w:type="dxa"/>
              <w:bottom w:w="45" w:type="dxa"/>
              <w:right w:w="45" w:type="dxa"/>
            </w:tcMar>
            <w:vAlign w:val="center"/>
            <w:hideMark/>
          </w:tcPr>
          <w:p w14:paraId="57183AFB" w14:textId="77777777" w:rsidR="00977904" w:rsidRPr="00977904" w:rsidRDefault="00977904" w:rsidP="00AA2A05">
            <w:pPr>
              <w:spacing w:after="0" w:line="240" w:lineRule="auto"/>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2019</w:t>
            </w:r>
          </w:p>
        </w:tc>
        <w:tc>
          <w:tcPr>
            <w:tcW w:w="0" w:type="auto"/>
            <w:shd w:val="clear" w:color="auto" w:fill="auto"/>
            <w:tcMar>
              <w:top w:w="45" w:type="dxa"/>
              <w:left w:w="45" w:type="dxa"/>
              <w:bottom w:w="45" w:type="dxa"/>
              <w:right w:w="45" w:type="dxa"/>
            </w:tcMar>
            <w:vAlign w:val="center"/>
            <w:hideMark/>
          </w:tcPr>
          <w:p w14:paraId="579B95D6" w14:textId="77777777" w:rsidR="00977904" w:rsidRPr="00977904" w:rsidRDefault="00977904" w:rsidP="00AA2A05">
            <w:pPr>
              <w:spacing w:after="0" w:line="240" w:lineRule="auto"/>
              <w:rPr>
                <w:rFonts w:ascii="Arial" w:eastAsia="Times New Roman" w:hAnsi="Arial" w:cs="Arial"/>
                <w:bCs/>
                <w:color w:val="000000"/>
                <w:sz w:val="20"/>
                <w:szCs w:val="20"/>
              </w:rPr>
            </w:pPr>
            <w:r w:rsidRPr="00977904">
              <w:rPr>
                <w:rFonts w:ascii="Arial" w:eastAsia="Times New Roman" w:hAnsi="Arial" w:cs="Arial"/>
                <w:bCs/>
                <w:color w:val="000000"/>
                <w:sz w:val="20"/>
                <w:szCs w:val="20"/>
              </w:rPr>
              <w:t>Anul 2020</w:t>
            </w:r>
          </w:p>
        </w:tc>
      </w:tr>
      <w:tr w:rsidR="00977904" w:rsidRPr="00977904" w14:paraId="5BA072C5" w14:textId="77777777" w:rsidTr="00AA2A05">
        <w:tc>
          <w:tcPr>
            <w:tcW w:w="0" w:type="auto"/>
            <w:vMerge/>
            <w:shd w:val="clear" w:color="auto" w:fill="auto"/>
            <w:vAlign w:val="center"/>
            <w:hideMark/>
          </w:tcPr>
          <w:p w14:paraId="759F4BE3" w14:textId="77777777" w:rsidR="00977904" w:rsidRPr="00977904" w:rsidRDefault="00977904" w:rsidP="00AA2A05">
            <w:pPr>
              <w:spacing w:after="0" w:line="240" w:lineRule="auto"/>
              <w:jc w:val="center"/>
              <w:rPr>
                <w:rFonts w:ascii="Arial" w:eastAsia="Times New Roman" w:hAnsi="Arial" w:cs="Arial"/>
                <w:b/>
                <w:bCs/>
                <w:color w:val="000000"/>
                <w:sz w:val="20"/>
                <w:szCs w:val="20"/>
              </w:rPr>
            </w:pPr>
          </w:p>
        </w:tc>
        <w:tc>
          <w:tcPr>
            <w:tcW w:w="0" w:type="auto"/>
            <w:gridSpan w:val="10"/>
            <w:shd w:val="clear" w:color="auto" w:fill="auto"/>
            <w:tcMar>
              <w:top w:w="45" w:type="dxa"/>
              <w:left w:w="45" w:type="dxa"/>
              <w:bottom w:w="45" w:type="dxa"/>
              <w:right w:w="45" w:type="dxa"/>
            </w:tcMar>
            <w:vAlign w:val="center"/>
            <w:hideMark/>
          </w:tcPr>
          <w:p w14:paraId="7B2F2B63" w14:textId="77777777" w:rsidR="00977904" w:rsidRPr="00977904" w:rsidRDefault="00EE56F4" w:rsidP="00AA2A05">
            <w:pPr>
              <w:spacing w:after="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UM: Numă</w:t>
            </w:r>
            <w:r w:rsidR="00977904" w:rsidRPr="00977904">
              <w:rPr>
                <w:rFonts w:ascii="Arial" w:eastAsia="Times New Roman" w:hAnsi="Arial" w:cs="Arial"/>
                <w:b/>
                <w:bCs/>
                <w:color w:val="000000"/>
                <w:sz w:val="20"/>
                <w:szCs w:val="20"/>
              </w:rPr>
              <w:t>r persoane</w:t>
            </w:r>
          </w:p>
        </w:tc>
      </w:tr>
      <w:tr w:rsidR="00AA2A05" w:rsidRPr="00977904" w14:paraId="73FD67EE" w14:textId="77777777" w:rsidTr="00AA2A05">
        <w:tc>
          <w:tcPr>
            <w:tcW w:w="0" w:type="auto"/>
            <w:shd w:val="clear" w:color="auto" w:fill="auto"/>
            <w:tcMar>
              <w:top w:w="45" w:type="dxa"/>
              <w:left w:w="45" w:type="dxa"/>
              <w:bottom w:w="45" w:type="dxa"/>
              <w:right w:w="45" w:type="dxa"/>
            </w:tcMar>
            <w:vAlign w:val="center"/>
            <w:hideMark/>
          </w:tcPr>
          <w:p w14:paraId="355FC882" w14:textId="77777777" w:rsidR="00977904" w:rsidRPr="00977904" w:rsidRDefault="00AA2A05" w:rsidP="00AA2A05">
            <w:pPr>
              <w:spacing w:after="0" w:line="240" w:lineRule="auto"/>
              <w:rPr>
                <w:rFonts w:ascii="Arial" w:eastAsia="Times New Roman" w:hAnsi="Arial" w:cs="Arial"/>
                <w:b/>
                <w:bCs/>
                <w:color w:val="000000"/>
                <w:sz w:val="20"/>
                <w:szCs w:val="20"/>
              </w:rPr>
            </w:pPr>
            <w:r>
              <w:rPr>
                <w:rFonts w:ascii="Arial" w:eastAsia="Times New Roman" w:hAnsi="Arial" w:cs="Arial"/>
                <w:b/>
                <w:bCs/>
                <w:color w:val="000000"/>
                <w:sz w:val="20"/>
                <w:szCs w:val="20"/>
              </w:rPr>
              <w:t>Oraş</w:t>
            </w:r>
            <w:r w:rsidRPr="00977904">
              <w:rPr>
                <w:rFonts w:ascii="Arial" w:eastAsia="Times New Roman" w:hAnsi="Arial" w:cs="Arial"/>
                <w:b/>
                <w:bCs/>
                <w:color w:val="000000"/>
                <w:sz w:val="20"/>
                <w:szCs w:val="20"/>
              </w:rPr>
              <w:t xml:space="preserve"> Horezu</w:t>
            </w:r>
          </w:p>
        </w:tc>
        <w:tc>
          <w:tcPr>
            <w:tcW w:w="0" w:type="auto"/>
            <w:shd w:val="clear" w:color="auto" w:fill="auto"/>
            <w:tcMar>
              <w:top w:w="45" w:type="dxa"/>
              <w:left w:w="45" w:type="dxa"/>
              <w:bottom w:w="45" w:type="dxa"/>
              <w:right w:w="45" w:type="dxa"/>
            </w:tcMar>
            <w:vAlign w:val="center"/>
            <w:hideMark/>
          </w:tcPr>
          <w:p w14:paraId="369BEE02"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color w:val="000000"/>
                <w:sz w:val="20"/>
                <w:szCs w:val="20"/>
              </w:rPr>
              <w:t>2426</w:t>
            </w:r>
          </w:p>
        </w:tc>
        <w:tc>
          <w:tcPr>
            <w:tcW w:w="0" w:type="auto"/>
            <w:shd w:val="clear" w:color="auto" w:fill="auto"/>
            <w:tcMar>
              <w:top w:w="45" w:type="dxa"/>
              <w:left w:w="45" w:type="dxa"/>
              <w:bottom w:w="45" w:type="dxa"/>
              <w:right w:w="45" w:type="dxa"/>
            </w:tcMar>
            <w:vAlign w:val="center"/>
            <w:hideMark/>
          </w:tcPr>
          <w:p w14:paraId="170680D8"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color w:val="000000"/>
                <w:sz w:val="20"/>
                <w:szCs w:val="20"/>
              </w:rPr>
              <w:t>3708</w:t>
            </w:r>
          </w:p>
        </w:tc>
        <w:tc>
          <w:tcPr>
            <w:tcW w:w="0" w:type="auto"/>
            <w:shd w:val="clear" w:color="auto" w:fill="auto"/>
            <w:tcMar>
              <w:top w:w="45" w:type="dxa"/>
              <w:left w:w="45" w:type="dxa"/>
              <w:bottom w:w="45" w:type="dxa"/>
              <w:right w:w="45" w:type="dxa"/>
            </w:tcMar>
            <w:vAlign w:val="center"/>
            <w:hideMark/>
          </w:tcPr>
          <w:p w14:paraId="6F89A832"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color w:val="000000"/>
                <w:sz w:val="20"/>
                <w:szCs w:val="20"/>
              </w:rPr>
              <w:t>3758</w:t>
            </w:r>
          </w:p>
        </w:tc>
        <w:tc>
          <w:tcPr>
            <w:tcW w:w="0" w:type="auto"/>
            <w:shd w:val="clear" w:color="auto" w:fill="auto"/>
            <w:tcMar>
              <w:top w:w="45" w:type="dxa"/>
              <w:left w:w="45" w:type="dxa"/>
              <w:bottom w:w="45" w:type="dxa"/>
              <w:right w:w="45" w:type="dxa"/>
            </w:tcMar>
            <w:vAlign w:val="center"/>
            <w:hideMark/>
          </w:tcPr>
          <w:p w14:paraId="0F067C2E"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color w:val="000000"/>
                <w:sz w:val="20"/>
                <w:szCs w:val="20"/>
              </w:rPr>
              <w:t>5622</w:t>
            </w:r>
          </w:p>
        </w:tc>
        <w:tc>
          <w:tcPr>
            <w:tcW w:w="0" w:type="auto"/>
            <w:shd w:val="clear" w:color="auto" w:fill="auto"/>
            <w:tcMar>
              <w:top w:w="45" w:type="dxa"/>
              <w:left w:w="45" w:type="dxa"/>
              <w:bottom w:w="45" w:type="dxa"/>
              <w:right w:w="45" w:type="dxa"/>
            </w:tcMar>
            <w:vAlign w:val="center"/>
            <w:hideMark/>
          </w:tcPr>
          <w:p w14:paraId="06D6A77D"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b/>
                <w:bCs/>
                <w:color w:val="000000"/>
                <w:sz w:val="20"/>
                <w:szCs w:val="20"/>
              </w:rPr>
              <w:t>8309</w:t>
            </w:r>
          </w:p>
        </w:tc>
        <w:tc>
          <w:tcPr>
            <w:tcW w:w="0" w:type="auto"/>
            <w:shd w:val="clear" w:color="auto" w:fill="auto"/>
            <w:tcMar>
              <w:top w:w="45" w:type="dxa"/>
              <w:left w:w="45" w:type="dxa"/>
              <w:bottom w:w="45" w:type="dxa"/>
              <w:right w:w="45" w:type="dxa"/>
            </w:tcMar>
            <w:vAlign w:val="center"/>
            <w:hideMark/>
          </w:tcPr>
          <w:p w14:paraId="73E4116B"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b/>
                <w:bCs/>
                <w:color w:val="000000"/>
                <w:sz w:val="20"/>
                <w:szCs w:val="20"/>
              </w:rPr>
              <w:t>10148</w:t>
            </w:r>
          </w:p>
        </w:tc>
        <w:tc>
          <w:tcPr>
            <w:tcW w:w="0" w:type="auto"/>
            <w:shd w:val="clear" w:color="auto" w:fill="auto"/>
            <w:tcMar>
              <w:top w:w="45" w:type="dxa"/>
              <w:left w:w="45" w:type="dxa"/>
              <w:bottom w:w="45" w:type="dxa"/>
              <w:right w:w="45" w:type="dxa"/>
            </w:tcMar>
            <w:vAlign w:val="center"/>
            <w:hideMark/>
          </w:tcPr>
          <w:p w14:paraId="0F7D19C1"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b/>
                <w:bCs/>
                <w:color w:val="000000"/>
                <w:sz w:val="20"/>
                <w:szCs w:val="20"/>
              </w:rPr>
              <w:t>15450</w:t>
            </w:r>
          </w:p>
        </w:tc>
        <w:tc>
          <w:tcPr>
            <w:tcW w:w="0" w:type="auto"/>
            <w:shd w:val="clear" w:color="auto" w:fill="auto"/>
            <w:tcMar>
              <w:top w:w="45" w:type="dxa"/>
              <w:left w:w="45" w:type="dxa"/>
              <w:bottom w:w="45" w:type="dxa"/>
              <w:right w:w="45" w:type="dxa"/>
            </w:tcMar>
            <w:vAlign w:val="center"/>
            <w:hideMark/>
          </w:tcPr>
          <w:p w14:paraId="4D51B989"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color w:val="000000"/>
                <w:sz w:val="20"/>
                <w:szCs w:val="20"/>
              </w:rPr>
              <w:t>14424</w:t>
            </w:r>
          </w:p>
        </w:tc>
        <w:tc>
          <w:tcPr>
            <w:tcW w:w="0" w:type="auto"/>
            <w:shd w:val="clear" w:color="auto" w:fill="auto"/>
            <w:tcMar>
              <w:top w:w="45" w:type="dxa"/>
              <w:left w:w="45" w:type="dxa"/>
              <w:bottom w:w="45" w:type="dxa"/>
              <w:right w:w="45" w:type="dxa"/>
            </w:tcMar>
            <w:vAlign w:val="center"/>
            <w:hideMark/>
          </w:tcPr>
          <w:p w14:paraId="53478DFE"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color w:val="000000"/>
                <w:sz w:val="20"/>
                <w:szCs w:val="20"/>
              </w:rPr>
              <w:t>13055</w:t>
            </w:r>
          </w:p>
        </w:tc>
        <w:tc>
          <w:tcPr>
            <w:tcW w:w="0" w:type="auto"/>
            <w:shd w:val="clear" w:color="auto" w:fill="auto"/>
            <w:tcMar>
              <w:top w:w="45" w:type="dxa"/>
              <w:left w:w="45" w:type="dxa"/>
              <w:bottom w:w="45" w:type="dxa"/>
              <w:right w:w="45" w:type="dxa"/>
            </w:tcMar>
            <w:vAlign w:val="center"/>
            <w:hideMark/>
          </w:tcPr>
          <w:p w14:paraId="7B1F1F37" w14:textId="77777777" w:rsidR="00977904" w:rsidRPr="00977904" w:rsidRDefault="00977904" w:rsidP="00AA2A05">
            <w:pPr>
              <w:spacing w:after="0" w:line="240" w:lineRule="auto"/>
              <w:jc w:val="right"/>
              <w:rPr>
                <w:rFonts w:ascii="Arial" w:eastAsia="Times New Roman" w:hAnsi="Arial" w:cs="Arial"/>
                <w:color w:val="000000"/>
                <w:sz w:val="20"/>
                <w:szCs w:val="20"/>
              </w:rPr>
            </w:pPr>
            <w:r w:rsidRPr="00977904">
              <w:rPr>
                <w:rFonts w:ascii="Arial" w:eastAsia="Times New Roman" w:hAnsi="Arial" w:cs="Arial"/>
                <w:color w:val="000000"/>
                <w:sz w:val="20"/>
                <w:szCs w:val="20"/>
              </w:rPr>
              <w:t>7455</w:t>
            </w:r>
          </w:p>
        </w:tc>
      </w:tr>
    </w:tbl>
    <w:p w14:paraId="5B89057A" w14:textId="77777777" w:rsidR="00BD64B9" w:rsidRDefault="00BD64B9" w:rsidP="00F657B5">
      <w:pPr>
        <w:spacing w:after="0" w:line="240" w:lineRule="auto"/>
        <w:jc w:val="both"/>
        <w:rPr>
          <w:rFonts w:ascii="Arial" w:hAnsi="Arial" w:cs="Arial"/>
        </w:rPr>
      </w:pPr>
      <w:r>
        <w:t>Legenda: ':' - date lipsă; 'c' - date confidenţ</w:t>
      </w:r>
      <w:r w:rsidRPr="00D17A1E">
        <w:t xml:space="preserve">iale; 9999,00 - normal - date definitive; </w:t>
      </w:r>
      <w:r w:rsidRPr="00D17A1E">
        <w:rPr>
          <w:b/>
          <w:u w:val="single"/>
        </w:rPr>
        <w:t>9999,00</w:t>
      </w:r>
      <w:r>
        <w:t xml:space="preserve"> - îngroş</w:t>
      </w:r>
      <w:r w:rsidRPr="00D17A1E">
        <w:t xml:space="preserve">at subliniat - date semidefinitive; </w:t>
      </w:r>
      <w:r w:rsidRPr="00D17A1E">
        <w:rPr>
          <w:b/>
        </w:rPr>
        <w:t>9999,00</w:t>
      </w:r>
      <w:r w:rsidRPr="00D17A1E">
        <w:t xml:space="preserve"> - ingrosat - date revizuite; </w:t>
      </w:r>
      <w:r w:rsidRPr="00D17A1E">
        <w:rPr>
          <w:u w:val="single"/>
        </w:rPr>
        <w:t>9999,00</w:t>
      </w:r>
      <w:r w:rsidRPr="00D17A1E">
        <w:t xml:space="preserve"> - subliniat - date provizorii</w:t>
      </w:r>
    </w:p>
    <w:p w14:paraId="32A40871" w14:textId="77777777" w:rsidR="00BD64B9" w:rsidRDefault="00BD64B9" w:rsidP="00F657B5">
      <w:pPr>
        <w:spacing w:after="0" w:line="240" w:lineRule="auto"/>
        <w:jc w:val="both"/>
        <w:rPr>
          <w:rFonts w:ascii="Arial" w:hAnsi="Arial" w:cs="Arial"/>
        </w:rPr>
      </w:pPr>
      <w:r w:rsidRPr="00D273E9">
        <w:rPr>
          <w:rFonts w:ascii="Arial" w:hAnsi="Arial" w:cs="Arial"/>
          <w:sz w:val="16"/>
          <w:szCs w:val="16"/>
        </w:rPr>
        <w:t xml:space="preserve">Sursa: </w:t>
      </w:r>
      <w:hyperlink r:id="rId53" w:history="1">
        <w:r w:rsidRPr="007A7ABD">
          <w:rPr>
            <w:rStyle w:val="Hyperlink"/>
            <w:rFonts w:ascii="Arial" w:hAnsi="Arial" w:cs="Arial"/>
            <w:sz w:val="16"/>
            <w:szCs w:val="16"/>
          </w:rPr>
          <w:t>http://statistici.insse.ro/</w:t>
        </w:r>
      </w:hyperlink>
    </w:p>
    <w:p w14:paraId="31C83604" w14:textId="77777777" w:rsidR="00BD64B9" w:rsidRDefault="00BD64B9" w:rsidP="005A73BC">
      <w:pPr>
        <w:spacing w:line="276" w:lineRule="auto"/>
        <w:jc w:val="both"/>
        <w:rPr>
          <w:rFonts w:ascii="Arial" w:hAnsi="Arial" w:cs="Arial"/>
        </w:rPr>
      </w:pPr>
      <w:r>
        <w:rPr>
          <w:rFonts w:ascii="Arial" w:hAnsi="Arial" w:cs="Arial"/>
        </w:rPr>
        <w:t>Dinamizarea activităţii turistice de la nivelul oraşului Horezu din perioada 2012-2018 s-a remarcat şi prin creşterea numărului de structuri de primire turistică în perioada respectivă.</w:t>
      </w:r>
    </w:p>
    <w:p w14:paraId="68CCFCFC" w14:textId="4F13E89B" w:rsidR="00BD64B9" w:rsidRPr="00BD64B9" w:rsidRDefault="00BD64B9" w:rsidP="00BD64B9">
      <w:pPr>
        <w:pStyle w:val="Legend"/>
        <w:jc w:val="center"/>
        <w:rPr>
          <w:rFonts w:ascii="Arial" w:hAnsi="Arial" w:cs="Arial"/>
          <w:i w:val="0"/>
          <w:sz w:val="22"/>
          <w:szCs w:val="22"/>
        </w:rPr>
      </w:pPr>
      <w:bookmarkStart w:id="72" w:name="_Toc140744576"/>
      <w:r w:rsidRPr="00BD64B9">
        <w:rPr>
          <w:rFonts w:ascii="Arial" w:hAnsi="Arial" w:cs="Arial"/>
          <w:sz w:val="22"/>
          <w:szCs w:val="22"/>
        </w:rPr>
        <w:t xml:space="preserve">Tabel I.2. </w:t>
      </w:r>
      <w:r w:rsidRPr="00BD64B9">
        <w:rPr>
          <w:rFonts w:ascii="Arial" w:hAnsi="Arial" w:cs="Arial"/>
          <w:sz w:val="22"/>
          <w:szCs w:val="22"/>
        </w:rPr>
        <w:fldChar w:fldCharType="begin"/>
      </w:r>
      <w:r w:rsidRPr="00BD64B9">
        <w:rPr>
          <w:rFonts w:ascii="Arial" w:hAnsi="Arial" w:cs="Arial"/>
          <w:sz w:val="22"/>
          <w:szCs w:val="22"/>
        </w:rPr>
        <w:instrText xml:space="preserve"> SEQ Tabel_I.2. \* ARABIC </w:instrText>
      </w:r>
      <w:r w:rsidRPr="00BD64B9">
        <w:rPr>
          <w:rFonts w:ascii="Arial" w:hAnsi="Arial" w:cs="Arial"/>
          <w:sz w:val="22"/>
          <w:szCs w:val="22"/>
        </w:rPr>
        <w:fldChar w:fldCharType="separate"/>
      </w:r>
      <w:r w:rsidR="00BB181C">
        <w:rPr>
          <w:rFonts w:ascii="Arial" w:hAnsi="Arial" w:cs="Arial"/>
          <w:noProof/>
          <w:sz w:val="22"/>
          <w:szCs w:val="22"/>
        </w:rPr>
        <w:t>10</w:t>
      </w:r>
      <w:r w:rsidRPr="00BD64B9">
        <w:rPr>
          <w:rFonts w:ascii="Arial" w:hAnsi="Arial" w:cs="Arial"/>
          <w:sz w:val="22"/>
          <w:szCs w:val="22"/>
        </w:rPr>
        <w:fldChar w:fldCharType="end"/>
      </w:r>
      <w:r w:rsidRPr="00BD64B9">
        <w:rPr>
          <w:rFonts w:ascii="Arial" w:hAnsi="Arial" w:cs="Arial"/>
          <w:sz w:val="22"/>
          <w:szCs w:val="22"/>
        </w:rPr>
        <w:t xml:space="preserve"> - </w:t>
      </w:r>
      <w:r>
        <w:rPr>
          <w:rFonts w:ascii="Arial" w:hAnsi="Arial" w:cs="Arial"/>
          <w:i w:val="0"/>
          <w:sz w:val="22"/>
          <w:szCs w:val="22"/>
        </w:rPr>
        <w:t>Structuri de primire turistică cu funcţiuni de cazare turistică</w:t>
      </w:r>
      <w:bookmarkEnd w:id="72"/>
    </w:p>
    <w:tbl>
      <w:tblPr>
        <w:tblW w:w="42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1132"/>
        <w:gridCol w:w="707"/>
        <w:gridCol w:w="707"/>
        <w:gridCol w:w="707"/>
        <w:gridCol w:w="708"/>
        <w:gridCol w:w="708"/>
        <w:gridCol w:w="708"/>
        <w:gridCol w:w="708"/>
        <w:gridCol w:w="708"/>
        <w:gridCol w:w="708"/>
        <w:gridCol w:w="708"/>
      </w:tblGrid>
      <w:tr w:rsidR="00BD64B9" w:rsidRPr="00BD64B9" w14:paraId="5EB9431D" w14:textId="77777777" w:rsidTr="00BD64B9">
        <w:trPr>
          <w:jc w:val="center"/>
        </w:trPr>
        <w:tc>
          <w:tcPr>
            <w:tcW w:w="0" w:type="auto"/>
            <w:vMerge w:val="restart"/>
            <w:shd w:val="clear" w:color="auto" w:fill="auto"/>
            <w:tcMar>
              <w:top w:w="45" w:type="dxa"/>
              <w:left w:w="45" w:type="dxa"/>
              <w:bottom w:w="45" w:type="dxa"/>
              <w:right w:w="45" w:type="dxa"/>
            </w:tcMar>
            <w:vAlign w:val="center"/>
            <w:hideMark/>
          </w:tcPr>
          <w:p w14:paraId="1B123EF8" w14:textId="77777777" w:rsidR="00BD64B9" w:rsidRPr="00AA2A05" w:rsidRDefault="00BD64B9" w:rsidP="00AA2A05">
            <w:pPr>
              <w:spacing w:before="150" w:after="150" w:line="240" w:lineRule="auto"/>
              <w:rPr>
                <w:rFonts w:ascii="Arial" w:eastAsia="Times New Roman" w:hAnsi="Arial" w:cs="Arial"/>
                <w:b/>
                <w:bCs/>
                <w:color w:val="000000"/>
                <w:sz w:val="20"/>
                <w:szCs w:val="20"/>
              </w:rPr>
            </w:pPr>
            <w:r>
              <w:rPr>
                <w:rFonts w:ascii="Arial" w:eastAsia="Times New Roman" w:hAnsi="Arial" w:cs="Arial"/>
                <w:b/>
                <w:bCs/>
                <w:color w:val="000000"/>
                <w:sz w:val="20"/>
                <w:szCs w:val="20"/>
              </w:rPr>
              <w:t>Localităţ</w:t>
            </w:r>
            <w:r w:rsidRPr="00AA2A05">
              <w:rPr>
                <w:rFonts w:ascii="Arial" w:eastAsia="Times New Roman" w:hAnsi="Arial" w:cs="Arial"/>
                <w:b/>
                <w:bCs/>
                <w:color w:val="000000"/>
                <w:sz w:val="20"/>
                <w:szCs w:val="20"/>
              </w:rPr>
              <w:t>i</w:t>
            </w:r>
          </w:p>
        </w:tc>
        <w:tc>
          <w:tcPr>
            <w:tcW w:w="0" w:type="auto"/>
            <w:gridSpan w:val="10"/>
            <w:shd w:val="clear" w:color="auto" w:fill="auto"/>
            <w:tcMar>
              <w:top w:w="45" w:type="dxa"/>
              <w:left w:w="45" w:type="dxa"/>
              <w:bottom w:w="45" w:type="dxa"/>
              <w:right w:w="45" w:type="dxa"/>
            </w:tcMar>
            <w:vAlign w:val="center"/>
            <w:hideMark/>
          </w:tcPr>
          <w:p w14:paraId="26066765" w14:textId="77777777" w:rsidR="00BD64B9" w:rsidRPr="00AA2A05" w:rsidRDefault="00BD64B9" w:rsidP="00BD64B9">
            <w:pPr>
              <w:spacing w:before="150" w:after="150" w:line="240" w:lineRule="auto"/>
              <w:jc w:val="center"/>
              <w:rPr>
                <w:rFonts w:ascii="Arial" w:eastAsia="Times New Roman" w:hAnsi="Arial" w:cs="Arial"/>
                <w:b/>
                <w:bCs/>
                <w:color w:val="000000"/>
                <w:sz w:val="20"/>
                <w:szCs w:val="20"/>
              </w:rPr>
            </w:pPr>
            <w:r w:rsidRPr="00AA2A05">
              <w:rPr>
                <w:rFonts w:ascii="Arial" w:eastAsia="Times New Roman" w:hAnsi="Arial" w:cs="Arial"/>
                <w:b/>
                <w:bCs/>
                <w:color w:val="000000"/>
                <w:sz w:val="20"/>
                <w:szCs w:val="20"/>
              </w:rPr>
              <w:t>Ani</w:t>
            </w:r>
          </w:p>
        </w:tc>
      </w:tr>
      <w:tr w:rsidR="00BD64B9" w:rsidRPr="00BD64B9" w14:paraId="4984631C" w14:textId="77777777" w:rsidTr="00BD64B9">
        <w:trPr>
          <w:jc w:val="center"/>
        </w:trPr>
        <w:tc>
          <w:tcPr>
            <w:tcW w:w="0" w:type="auto"/>
            <w:vMerge/>
            <w:shd w:val="clear" w:color="auto" w:fill="auto"/>
            <w:vAlign w:val="center"/>
            <w:hideMark/>
          </w:tcPr>
          <w:p w14:paraId="04509CEF" w14:textId="77777777" w:rsidR="00BD64B9" w:rsidRPr="00AA2A05" w:rsidRDefault="00BD64B9" w:rsidP="00AA2A05">
            <w:pPr>
              <w:spacing w:before="150" w:after="150" w:line="240" w:lineRule="auto"/>
              <w:rPr>
                <w:rFonts w:ascii="Arial" w:eastAsia="Times New Roman" w:hAnsi="Arial" w:cs="Arial"/>
                <w:b/>
                <w:bCs/>
                <w:color w:val="000000"/>
                <w:sz w:val="20"/>
                <w:szCs w:val="20"/>
              </w:rPr>
            </w:pPr>
          </w:p>
        </w:tc>
        <w:tc>
          <w:tcPr>
            <w:tcW w:w="0" w:type="auto"/>
            <w:shd w:val="clear" w:color="auto" w:fill="auto"/>
            <w:tcMar>
              <w:top w:w="45" w:type="dxa"/>
              <w:left w:w="45" w:type="dxa"/>
              <w:bottom w:w="45" w:type="dxa"/>
              <w:right w:w="45" w:type="dxa"/>
            </w:tcMar>
            <w:vAlign w:val="center"/>
            <w:hideMark/>
          </w:tcPr>
          <w:p w14:paraId="23A137CB"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2012</w:t>
            </w:r>
          </w:p>
        </w:tc>
        <w:tc>
          <w:tcPr>
            <w:tcW w:w="0" w:type="auto"/>
            <w:shd w:val="clear" w:color="auto" w:fill="auto"/>
            <w:tcMar>
              <w:top w:w="45" w:type="dxa"/>
              <w:left w:w="45" w:type="dxa"/>
              <w:bottom w:w="45" w:type="dxa"/>
              <w:right w:w="45" w:type="dxa"/>
            </w:tcMar>
            <w:vAlign w:val="center"/>
            <w:hideMark/>
          </w:tcPr>
          <w:p w14:paraId="7AE63EB5"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2013</w:t>
            </w:r>
          </w:p>
        </w:tc>
        <w:tc>
          <w:tcPr>
            <w:tcW w:w="0" w:type="auto"/>
            <w:shd w:val="clear" w:color="auto" w:fill="auto"/>
            <w:tcMar>
              <w:top w:w="45" w:type="dxa"/>
              <w:left w:w="45" w:type="dxa"/>
              <w:bottom w:w="45" w:type="dxa"/>
              <w:right w:w="45" w:type="dxa"/>
            </w:tcMar>
            <w:vAlign w:val="center"/>
            <w:hideMark/>
          </w:tcPr>
          <w:p w14:paraId="6E00AF65"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2014</w:t>
            </w:r>
          </w:p>
        </w:tc>
        <w:tc>
          <w:tcPr>
            <w:tcW w:w="0" w:type="auto"/>
            <w:shd w:val="clear" w:color="auto" w:fill="auto"/>
            <w:tcMar>
              <w:top w:w="45" w:type="dxa"/>
              <w:left w:w="45" w:type="dxa"/>
              <w:bottom w:w="45" w:type="dxa"/>
              <w:right w:w="45" w:type="dxa"/>
            </w:tcMar>
            <w:vAlign w:val="center"/>
            <w:hideMark/>
          </w:tcPr>
          <w:p w14:paraId="2B55A975"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2015</w:t>
            </w:r>
          </w:p>
        </w:tc>
        <w:tc>
          <w:tcPr>
            <w:tcW w:w="0" w:type="auto"/>
            <w:shd w:val="clear" w:color="auto" w:fill="auto"/>
            <w:tcMar>
              <w:top w:w="45" w:type="dxa"/>
              <w:left w:w="45" w:type="dxa"/>
              <w:bottom w:w="45" w:type="dxa"/>
              <w:right w:w="45" w:type="dxa"/>
            </w:tcMar>
            <w:vAlign w:val="center"/>
            <w:hideMark/>
          </w:tcPr>
          <w:p w14:paraId="1052B969"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2016</w:t>
            </w:r>
          </w:p>
        </w:tc>
        <w:tc>
          <w:tcPr>
            <w:tcW w:w="0" w:type="auto"/>
            <w:shd w:val="clear" w:color="auto" w:fill="auto"/>
            <w:tcMar>
              <w:top w:w="45" w:type="dxa"/>
              <w:left w:w="45" w:type="dxa"/>
              <w:bottom w:w="45" w:type="dxa"/>
              <w:right w:w="45" w:type="dxa"/>
            </w:tcMar>
            <w:vAlign w:val="center"/>
            <w:hideMark/>
          </w:tcPr>
          <w:p w14:paraId="509FA4B2"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2017</w:t>
            </w:r>
          </w:p>
        </w:tc>
        <w:tc>
          <w:tcPr>
            <w:tcW w:w="0" w:type="auto"/>
            <w:shd w:val="clear" w:color="auto" w:fill="auto"/>
            <w:tcMar>
              <w:top w:w="45" w:type="dxa"/>
              <w:left w:w="45" w:type="dxa"/>
              <w:bottom w:w="45" w:type="dxa"/>
              <w:right w:w="45" w:type="dxa"/>
            </w:tcMar>
            <w:vAlign w:val="center"/>
            <w:hideMark/>
          </w:tcPr>
          <w:p w14:paraId="177E194F"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2018</w:t>
            </w:r>
          </w:p>
        </w:tc>
        <w:tc>
          <w:tcPr>
            <w:tcW w:w="0" w:type="auto"/>
            <w:shd w:val="clear" w:color="auto" w:fill="auto"/>
            <w:tcMar>
              <w:top w:w="45" w:type="dxa"/>
              <w:left w:w="45" w:type="dxa"/>
              <w:bottom w:w="45" w:type="dxa"/>
              <w:right w:w="45" w:type="dxa"/>
            </w:tcMar>
            <w:vAlign w:val="center"/>
            <w:hideMark/>
          </w:tcPr>
          <w:p w14:paraId="5B9D9A9A"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2019</w:t>
            </w:r>
          </w:p>
        </w:tc>
        <w:tc>
          <w:tcPr>
            <w:tcW w:w="0" w:type="auto"/>
            <w:shd w:val="clear" w:color="auto" w:fill="auto"/>
            <w:tcMar>
              <w:top w:w="45" w:type="dxa"/>
              <w:left w:w="45" w:type="dxa"/>
              <w:bottom w:w="45" w:type="dxa"/>
              <w:right w:w="45" w:type="dxa"/>
            </w:tcMar>
            <w:vAlign w:val="center"/>
            <w:hideMark/>
          </w:tcPr>
          <w:p w14:paraId="4840FAE8"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2020</w:t>
            </w:r>
          </w:p>
        </w:tc>
        <w:tc>
          <w:tcPr>
            <w:tcW w:w="0" w:type="auto"/>
            <w:shd w:val="clear" w:color="auto" w:fill="auto"/>
            <w:tcMar>
              <w:top w:w="45" w:type="dxa"/>
              <w:left w:w="45" w:type="dxa"/>
              <w:bottom w:w="45" w:type="dxa"/>
              <w:right w:w="45" w:type="dxa"/>
            </w:tcMar>
            <w:vAlign w:val="center"/>
            <w:hideMark/>
          </w:tcPr>
          <w:p w14:paraId="7FE684DF" w14:textId="77777777" w:rsidR="00BD64B9" w:rsidRPr="00F657B5" w:rsidRDefault="00BD64B9" w:rsidP="00BD64B9">
            <w:pPr>
              <w:spacing w:before="150" w:after="150" w:line="240" w:lineRule="auto"/>
              <w:jc w:val="center"/>
              <w:rPr>
                <w:rFonts w:ascii="Arial" w:eastAsia="Times New Roman" w:hAnsi="Arial" w:cs="Arial"/>
                <w:bCs/>
                <w:color w:val="000000"/>
                <w:sz w:val="18"/>
                <w:szCs w:val="18"/>
              </w:rPr>
            </w:pPr>
            <w:r w:rsidRPr="00F657B5">
              <w:rPr>
                <w:rFonts w:ascii="Arial" w:eastAsia="Times New Roman" w:hAnsi="Arial" w:cs="Arial"/>
                <w:bCs/>
                <w:color w:val="000000"/>
                <w:sz w:val="18"/>
                <w:szCs w:val="18"/>
              </w:rPr>
              <w:t>Anul 2021</w:t>
            </w:r>
          </w:p>
        </w:tc>
      </w:tr>
      <w:tr w:rsidR="00BD64B9" w:rsidRPr="00BD64B9" w14:paraId="5841C442" w14:textId="77777777" w:rsidTr="00BD64B9">
        <w:trPr>
          <w:jc w:val="center"/>
        </w:trPr>
        <w:tc>
          <w:tcPr>
            <w:tcW w:w="0" w:type="auto"/>
            <w:vMerge/>
            <w:shd w:val="clear" w:color="auto" w:fill="auto"/>
            <w:vAlign w:val="center"/>
            <w:hideMark/>
          </w:tcPr>
          <w:p w14:paraId="76DB0C00" w14:textId="77777777" w:rsidR="00BD64B9" w:rsidRPr="00AA2A05" w:rsidRDefault="00BD64B9" w:rsidP="00AA2A05">
            <w:pPr>
              <w:spacing w:before="150" w:after="150" w:line="240" w:lineRule="auto"/>
              <w:rPr>
                <w:rFonts w:ascii="Arial" w:eastAsia="Times New Roman" w:hAnsi="Arial" w:cs="Arial"/>
                <w:b/>
                <w:bCs/>
                <w:color w:val="000000"/>
                <w:sz w:val="20"/>
                <w:szCs w:val="20"/>
              </w:rPr>
            </w:pPr>
          </w:p>
        </w:tc>
        <w:tc>
          <w:tcPr>
            <w:tcW w:w="0" w:type="auto"/>
            <w:gridSpan w:val="10"/>
            <w:shd w:val="clear" w:color="auto" w:fill="auto"/>
            <w:tcMar>
              <w:top w:w="45" w:type="dxa"/>
              <w:left w:w="45" w:type="dxa"/>
              <w:bottom w:w="45" w:type="dxa"/>
              <w:right w:w="45" w:type="dxa"/>
            </w:tcMar>
            <w:vAlign w:val="center"/>
            <w:hideMark/>
          </w:tcPr>
          <w:p w14:paraId="4C684C3E" w14:textId="77777777" w:rsidR="00BD64B9" w:rsidRPr="00AA2A05" w:rsidRDefault="00BD64B9" w:rsidP="00BD64B9">
            <w:pPr>
              <w:spacing w:before="150" w:after="150" w:line="240" w:lineRule="auto"/>
              <w:jc w:val="center"/>
              <w:rPr>
                <w:rFonts w:ascii="Arial" w:eastAsia="Times New Roman" w:hAnsi="Arial" w:cs="Arial"/>
                <w:b/>
                <w:bCs/>
                <w:color w:val="000000"/>
                <w:sz w:val="20"/>
                <w:szCs w:val="20"/>
              </w:rPr>
            </w:pPr>
            <w:r>
              <w:rPr>
                <w:rFonts w:ascii="Arial" w:eastAsia="Times New Roman" w:hAnsi="Arial" w:cs="Arial"/>
                <w:b/>
                <w:bCs/>
                <w:color w:val="000000"/>
                <w:sz w:val="20"/>
                <w:szCs w:val="20"/>
              </w:rPr>
              <w:t>UM: Numă</w:t>
            </w:r>
            <w:r w:rsidRPr="00AA2A05">
              <w:rPr>
                <w:rFonts w:ascii="Arial" w:eastAsia="Times New Roman" w:hAnsi="Arial" w:cs="Arial"/>
                <w:b/>
                <w:bCs/>
                <w:color w:val="000000"/>
                <w:sz w:val="20"/>
                <w:szCs w:val="20"/>
              </w:rPr>
              <w:t>r</w:t>
            </w:r>
          </w:p>
        </w:tc>
      </w:tr>
      <w:tr w:rsidR="00BD64B9" w:rsidRPr="00BD64B9" w14:paraId="731C0234" w14:textId="77777777" w:rsidTr="00BD64B9">
        <w:trPr>
          <w:jc w:val="center"/>
        </w:trPr>
        <w:tc>
          <w:tcPr>
            <w:tcW w:w="0" w:type="auto"/>
            <w:shd w:val="clear" w:color="auto" w:fill="auto"/>
            <w:tcMar>
              <w:top w:w="45" w:type="dxa"/>
              <w:left w:w="45" w:type="dxa"/>
              <w:bottom w:w="45" w:type="dxa"/>
              <w:right w:w="45" w:type="dxa"/>
            </w:tcMar>
            <w:vAlign w:val="center"/>
            <w:hideMark/>
          </w:tcPr>
          <w:p w14:paraId="6E12FABB" w14:textId="77777777" w:rsidR="00BD64B9" w:rsidRPr="00AA2A05" w:rsidRDefault="00BD64B9" w:rsidP="00AA2A05">
            <w:pPr>
              <w:spacing w:before="150" w:after="150" w:line="240" w:lineRule="auto"/>
              <w:rPr>
                <w:rFonts w:ascii="Arial" w:eastAsia="Times New Roman" w:hAnsi="Arial" w:cs="Arial"/>
                <w:b/>
                <w:bCs/>
                <w:color w:val="000000"/>
                <w:sz w:val="20"/>
                <w:szCs w:val="20"/>
              </w:rPr>
            </w:pPr>
            <w:r>
              <w:rPr>
                <w:rFonts w:ascii="Arial" w:eastAsia="Times New Roman" w:hAnsi="Arial" w:cs="Arial"/>
                <w:b/>
                <w:bCs/>
                <w:color w:val="000000"/>
                <w:sz w:val="20"/>
                <w:szCs w:val="20"/>
              </w:rPr>
              <w:t>Oraş</w:t>
            </w:r>
            <w:r w:rsidRPr="00AA2A05">
              <w:rPr>
                <w:rFonts w:ascii="Arial" w:eastAsia="Times New Roman" w:hAnsi="Arial" w:cs="Arial"/>
                <w:b/>
                <w:bCs/>
                <w:color w:val="000000"/>
                <w:sz w:val="20"/>
                <w:szCs w:val="20"/>
              </w:rPr>
              <w:t xml:space="preserve"> Horezu</w:t>
            </w:r>
          </w:p>
        </w:tc>
        <w:tc>
          <w:tcPr>
            <w:tcW w:w="0" w:type="auto"/>
            <w:shd w:val="clear" w:color="auto" w:fill="auto"/>
            <w:tcMar>
              <w:top w:w="45" w:type="dxa"/>
              <w:left w:w="45" w:type="dxa"/>
              <w:bottom w:w="45" w:type="dxa"/>
              <w:right w:w="45" w:type="dxa"/>
            </w:tcMar>
            <w:vAlign w:val="center"/>
            <w:hideMark/>
          </w:tcPr>
          <w:p w14:paraId="6929C135"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color w:val="000000"/>
                <w:sz w:val="20"/>
                <w:szCs w:val="20"/>
              </w:rPr>
              <w:t>14</w:t>
            </w:r>
          </w:p>
        </w:tc>
        <w:tc>
          <w:tcPr>
            <w:tcW w:w="0" w:type="auto"/>
            <w:shd w:val="clear" w:color="auto" w:fill="auto"/>
            <w:tcMar>
              <w:top w:w="45" w:type="dxa"/>
              <w:left w:w="45" w:type="dxa"/>
              <w:bottom w:w="45" w:type="dxa"/>
              <w:right w:w="45" w:type="dxa"/>
            </w:tcMar>
            <w:vAlign w:val="center"/>
            <w:hideMark/>
          </w:tcPr>
          <w:p w14:paraId="01E5F00A"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color w:val="000000"/>
                <w:sz w:val="20"/>
                <w:szCs w:val="20"/>
              </w:rPr>
              <w:t>14</w:t>
            </w:r>
          </w:p>
        </w:tc>
        <w:tc>
          <w:tcPr>
            <w:tcW w:w="0" w:type="auto"/>
            <w:shd w:val="clear" w:color="auto" w:fill="auto"/>
            <w:tcMar>
              <w:top w:w="45" w:type="dxa"/>
              <w:left w:w="45" w:type="dxa"/>
              <w:bottom w:w="45" w:type="dxa"/>
              <w:right w:w="45" w:type="dxa"/>
            </w:tcMar>
            <w:vAlign w:val="center"/>
            <w:hideMark/>
          </w:tcPr>
          <w:p w14:paraId="6D3664AE"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color w:val="000000"/>
                <w:sz w:val="20"/>
                <w:szCs w:val="20"/>
              </w:rPr>
              <w:t>15</w:t>
            </w:r>
          </w:p>
        </w:tc>
        <w:tc>
          <w:tcPr>
            <w:tcW w:w="0" w:type="auto"/>
            <w:shd w:val="clear" w:color="auto" w:fill="auto"/>
            <w:tcMar>
              <w:top w:w="45" w:type="dxa"/>
              <w:left w:w="45" w:type="dxa"/>
              <w:bottom w:w="45" w:type="dxa"/>
              <w:right w:w="45" w:type="dxa"/>
            </w:tcMar>
            <w:vAlign w:val="center"/>
            <w:hideMark/>
          </w:tcPr>
          <w:p w14:paraId="5AC15821"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b/>
                <w:bCs/>
                <w:color w:val="000000"/>
                <w:sz w:val="20"/>
                <w:szCs w:val="20"/>
              </w:rPr>
              <w:t>14</w:t>
            </w:r>
          </w:p>
        </w:tc>
        <w:tc>
          <w:tcPr>
            <w:tcW w:w="0" w:type="auto"/>
            <w:shd w:val="clear" w:color="auto" w:fill="auto"/>
            <w:tcMar>
              <w:top w:w="45" w:type="dxa"/>
              <w:left w:w="45" w:type="dxa"/>
              <w:bottom w:w="45" w:type="dxa"/>
              <w:right w:w="45" w:type="dxa"/>
            </w:tcMar>
            <w:vAlign w:val="center"/>
            <w:hideMark/>
          </w:tcPr>
          <w:p w14:paraId="465ED091"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color w:val="000000"/>
                <w:sz w:val="20"/>
                <w:szCs w:val="20"/>
              </w:rPr>
              <w:t>15</w:t>
            </w:r>
          </w:p>
        </w:tc>
        <w:tc>
          <w:tcPr>
            <w:tcW w:w="0" w:type="auto"/>
            <w:shd w:val="clear" w:color="auto" w:fill="auto"/>
            <w:tcMar>
              <w:top w:w="45" w:type="dxa"/>
              <w:left w:w="45" w:type="dxa"/>
              <w:bottom w:w="45" w:type="dxa"/>
              <w:right w:w="45" w:type="dxa"/>
            </w:tcMar>
            <w:vAlign w:val="center"/>
            <w:hideMark/>
          </w:tcPr>
          <w:p w14:paraId="3E7417B4"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b/>
                <w:bCs/>
                <w:color w:val="000000"/>
                <w:sz w:val="20"/>
                <w:szCs w:val="20"/>
              </w:rPr>
              <w:t>21</w:t>
            </w:r>
          </w:p>
        </w:tc>
        <w:tc>
          <w:tcPr>
            <w:tcW w:w="0" w:type="auto"/>
            <w:shd w:val="clear" w:color="auto" w:fill="auto"/>
            <w:tcMar>
              <w:top w:w="45" w:type="dxa"/>
              <w:left w:w="45" w:type="dxa"/>
              <w:bottom w:w="45" w:type="dxa"/>
              <w:right w:w="45" w:type="dxa"/>
            </w:tcMar>
            <w:vAlign w:val="center"/>
            <w:hideMark/>
          </w:tcPr>
          <w:p w14:paraId="06BE23BE"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b/>
                <w:bCs/>
                <w:color w:val="000000"/>
                <w:sz w:val="20"/>
                <w:szCs w:val="20"/>
              </w:rPr>
              <w:t>25</w:t>
            </w:r>
          </w:p>
        </w:tc>
        <w:tc>
          <w:tcPr>
            <w:tcW w:w="0" w:type="auto"/>
            <w:shd w:val="clear" w:color="auto" w:fill="auto"/>
            <w:tcMar>
              <w:top w:w="45" w:type="dxa"/>
              <w:left w:w="45" w:type="dxa"/>
              <w:bottom w:w="45" w:type="dxa"/>
              <w:right w:w="45" w:type="dxa"/>
            </w:tcMar>
            <w:vAlign w:val="center"/>
            <w:hideMark/>
          </w:tcPr>
          <w:p w14:paraId="476DF136"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color w:val="000000"/>
                <w:sz w:val="20"/>
                <w:szCs w:val="20"/>
              </w:rPr>
              <w:t>24</w:t>
            </w:r>
          </w:p>
        </w:tc>
        <w:tc>
          <w:tcPr>
            <w:tcW w:w="0" w:type="auto"/>
            <w:shd w:val="clear" w:color="auto" w:fill="auto"/>
            <w:tcMar>
              <w:top w:w="45" w:type="dxa"/>
              <w:left w:w="45" w:type="dxa"/>
              <w:bottom w:w="45" w:type="dxa"/>
              <w:right w:w="45" w:type="dxa"/>
            </w:tcMar>
            <w:vAlign w:val="center"/>
            <w:hideMark/>
          </w:tcPr>
          <w:p w14:paraId="5FCB7F81"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color w:val="000000"/>
                <w:sz w:val="20"/>
                <w:szCs w:val="20"/>
              </w:rPr>
              <w:t>23</w:t>
            </w:r>
          </w:p>
        </w:tc>
        <w:tc>
          <w:tcPr>
            <w:tcW w:w="0" w:type="auto"/>
            <w:shd w:val="clear" w:color="auto" w:fill="auto"/>
            <w:tcMar>
              <w:top w:w="45" w:type="dxa"/>
              <w:left w:w="45" w:type="dxa"/>
              <w:bottom w:w="45" w:type="dxa"/>
              <w:right w:w="45" w:type="dxa"/>
            </w:tcMar>
            <w:vAlign w:val="center"/>
            <w:hideMark/>
          </w:tcPr>
          <w:p w14:paraId="1CE75E5E" w14:textId="77777777" w:rsidR="00BD64B9" w:rsidRPr="00AA2A05" w:rsidRDefault="00BD64B9" w:rsidP="00AA2A05">
            <w:pPr>
              <w:spacing w:before="150" w:after="150" w:line="240" w:lineRule="auto"/>
              <w:jc w:val="right"/>
              <w:rPr>
                <w:rFonts w:ascii="Arial" w:eastAsia="Times New Roman" w:hAnsi="Arial" w:cs="Arial"/>
                <w:color w:val="000000"/>
                <w:sz w:val="20"/>
                <w:szCs w:val="20"/>
              </w:rPr>
            </w:pPr>
            <w:r w:rsidRPr="00AA2A05">
              <w:rPr>
                <w:rFonts w:ascii="Arial" w:eastAsia="Times New Roman" w:hAnsi="Arial" w:cs="Arial"/>
                <w:color w:val="000000"/>
                <w:sz w:val="20"/>
                <w:szCs w:val="20"/>
              </w:rPr>
              <w:t>23</w:t>
            </w:r>
          </w:p>
        </w:tc>
      </w:tr>
    </w:tbl>
    <w:p w14:paraId="148D7EBA" w14:textId="77777777" w:rsidR="00BD64B9" w:rsidRDefault="00BD64B9" w:rsidP="00BD64B9">
      <w:pPr>
        <w:spacing w:after="0" w:line="276" w:lineRule="auto"/>
        <w:jc w:val="both"/>
        <w:rPr>
          <w:rFonts w:ascii="Arial" w:hAnsi="Arial" w:cs="Arial"/>
        </w:rPr>
      </w:pPr>
      <w:r>
        <w:lastRenderedPageBreak/>
        <w:t>Legenda: ':' - date lipsă; 'c' - date confidenţ</w:t>
      </w:r>
      <w:r w:rsidRPr="00D17A1E">
        <w:t xml:space="preserve">iale; 9999,00 - normal - date definitive; </w:t>
      </w:r>
      <w:r w:rsidRPr="00D17A1E">
        <w:rPr>
          <w:b/>
          <w:u w:val="single"/>
        </w:rPr>
        <w:t>9999,00</w:t>
      </w:r>
      <w:r>
        <w:t xml:space="preserve"> - îngroş</w:t>
      </w:r>
      <w:r w:rsidRPr="00D17A1E">
        <w:t xml:space="preserve">at subliniat - date semidefinitive; </w:t>
      </w:r>
      <w:r w:rsidRPr="00D17A1E">
        <w:rPr>
          <w:b/>
        </w:rPr>
        <w:t>9999,00</w:t>
      </w:r>
      <w:r w:rsidRPr="00D17A1E">
        <w:t xml:space="preserve"> - ingrosat - date revizuite; </w:t>
      </w:r>
      <w:r w:rsidRPr="00D17A1E">
        <w:rPr>
          <w:u w:val="single"/>
        </w:rPr>
        <w:t>9999,00</w:t>
      </w:r>
      <w:r w:rsidRPr="00D17A1E">
        <w:t xml:space="preserve"> - subliniat - date provizorii</w:t>
      </w:r>
    </w:p>
    <w:p w14:paraId="13436689" w14:textId="77777777" w:rsidR="00BD64B9" w:rsidRDefault="00BD64B9" w:rsidP="00BD64B9">
      <w:pPr>
        <w:spacing w:after="0" w:line="276" w:lineRule="auto"/>
        <w:jc w:val="both"/>
        <w:rPr>
          <w:rFonts w:ascii="Arial" w:hAnsi="Arial" w:cs="Arial"/>
        </w:rPr>
      </w:pPr>
      <w:r w:rsidRPr="00D273E9">
        <w:rPr>
          <w:rFonts w:ascii="Arial" w:hAnsi="Arial" w:cs="Arial"/>
          <w:sz w:val="16"/>
          <w:szCs w:val="16"/>
        </w:rPr>
        <w:t xml:space="preserve">Sursa: </w:t>
      </w:r>
      <w:hyperlink r:id="rId54" w:history="1">
        <w:r w:rsidRPr="007A7ABD">
          <w:rPr>
            <w:rStyle w:val="Hyperlink"/>
            <w:rFonts w:ascii="Arial" w:hAnsi="Arial" w:cs="Arial"/>
            <w:sz w:val="16"/>
            <w:szCs w:val="16"/>
          </w:rPr>
          <w:t>http://statistici.insse.ro/</w:t>
        </w:r>
      </w:hyperlink>
    </w:p>
    <w:p w14:paraId="1BC15BC1" w14:textId="77777777" w:rsidR="00AA2A05" w:rsidRDefault="00AA2A05" w:rsidP="005A73BC">
      <w:pPr>
        <w:spacing w:line="276" w:lineRule="auto"/>
        <w:jc w:val="both"/>
        <w:rPr>
          <w:rFonts w:ascii="Arial" w:hAnsi="Arial" w:cs="Arial"/>
        </w:rPr>
      </w:pPr>
    </w:p>
    <w:p w14:paraId="1A9BBD56" w14:textId="77777777" w:rsidR="00D70AEA" w:rsidRPr="00A32027" w:rsidRDefault="00D70AEA" w:rsidP="00A32027">
      <w:pPr>
        <w:pStyle w:val="Titlu2"/>
        <w:rPr>
          <w:rFonts w:ascii="Arial" w:eastAsia="Times New Roman" w:hAnsi="Arial" w:cs="Arial"/>
          <w:b/>
          <w:bCs/>
          <w:color w:val="auto"/>
          <w:lang w:val="it-IT" w:eastAsia="ro-RO"/>
        </w:rPr>
      </w:pPr>
      <w:bookmarkStart w:id="73" w:name="_Toc61264889"/>
      <w:bookmarkStart w:id="74" w:name="_Toc142039052"/>
      <w:r w:rsidRPr="00A32027">
        <w:rPr>
          <w:rFonts w:ascii="Arial" w:eastAsia="Times New Roman" w:hAnsi="Arial" w:cs="Arial"/>
          <w:b/>
          <w:bCs/>
          <w:color w:val="auto"/>
          <w:lang w:val="it-IT" w:eastAsia="ro-RO"/>
        </w:rPr>
        <w:t>I.2.2</w:t>
      </w:r>
      <w:r w:rsidR="003430C5" w:rsidRPr="00A32027">
        <w:rPr>
          <w:rFonts w:ascii="Arial" w:eastAsia="Times New Roman" w:hAnsi="Arial" w:cs="Arial"/>
          <w:b/>
          <w:bCs/>
          <w:color w:val="auto"/>
          <w:lang w:val="it-IT" w:eastAsia="ro-RO"/>
        </w:rPr>
        <w:t xml:space="preserve"> </w:t>
      </w:r>
      <w:r w:rsidRPr="00A32027">
        <w:rPr>
          <w:rFonts w:ascii="Arial" w:eastAsia="Times New Roman" w:hAnsi="Arial" w:cs="Arial"/>
          <w:b/>
          <w:bCs/>
          <w:color w:val="auto"/>
          <w:lang w:val="it-IT" w:eastAsia="ro-RO"/>
        </w:rPr>
        <w:t>Re</w:t>
      </w:r>
      <w:r w:rsidR="00512059">
        <w:rPr>
          <w:rFonts w:ascii="Arial" w:eastAsia="Times New Roman" w:hAnsi="Arial" w:cs="Arial"/>
          <w:b/>
          <w:bCs/>
          <w:color w:val="auto"/>
          <w:lang w:val="it-IT" w:eastAsia="ro-RO"/>
        </w:rPr>
        <w:t>ț</w:t>
      </w:r>
      <w:r w:rsidRPr="00A32027">
        <w:rPr>
          <w:rFonts w:ascii="Arial" w:eastAsia="Times New Roman" w:hAnsi="Arial" w:cs="Arial"/>
          <w:b/>
          <w:bCs/>
          <w:color w:val="auto"/>
          <w:lang w:val="it-IT" w:eastAsia="ro-RO"/>
        </w:rPr>
        <w:t>eaua major</w:t>
      </w:r>
      <w:r w:rsidR="00487B4B" w:rsidRPr="00A32027">
        <w:rPr>
          <w:rFonts w:ascii="Arial" w:eastAsia="Times New Roman" w:hAnsi="Arial" w:cs="Arial"/>
          <w:b/>
          <w:bCs/>
          <w:color w:val="auto"/>
          <w:lang w:val="it-IT" w:eastAsia="ro-RO"/>
        </w:rPr>
        <w:t>ă</w:t>
      </w:r>
      <w:r w:rsidRPr="00A32027">
        <w:rPr>
          <w:rFonts w:ascii="Arial" w:eastAsia="Times New Roman" w:hAnsi="Arial" w:cs="Arial"/>
          <w:b/>
          <w:bCs/>
          <w:color w:val="auto"/>
          <w:lang w:val="it-IT" w:eastAsia="ro-RO"/>
        </w:rPr>
        <w:t xml:space="preserve"> de circula</w:t>
      </w:r>
      <w:r w:rsidR="00487B4B" w:rsidRPr="00A32027">
        <w:rPr>
          <w:rFonts w:ascii="Arial" w:eastAsia="Times New Roman" w:hAnsi="Arial" w:cs="Arial"/>
          <w:b/>
          <w:bCs/>
          <w:color w:val="auto"/>
          <w:lang w:val="it-IT" w:eastAsia="ro-RO"/>
        </w:rPr>
        <w:t>ț</w:t>
      </w:r>
      <w:r w:rsidRPr="00A32027">
        <w:rPr>
          <w:rFonts w:ascii="Arial" w:eastAsia="Times New Roman" w:hAnsi="Arial" w:cs="Arial"/>
          <w:b/>
          <w:bCs/>
          <w:color w:val="auto"/>
          <w:lang w:val="it-IT" w:eastAsia="ro-RO"/>
        </w:rPr>
        <w:t>ii</w:t>
      </w:r>
      <w:bookmarkEnd w:id="73"/>
      <w:bookmarkEnd w:id="74"/>
    </w:p>
    <w:p w14:paraId="63BB43E9" w14:textId="77777777" w:rsidR="00EF402B" w:rsidRPr="00EF402B" w:rsidRDefault="00EF402B" w:rsidP="00EF402B">
      <w:pPr>
        <w:suppressAutoHyphens/>
        <w:autoSpaceDE w:val="0"/>
        <w:spacing w:after="0" w:line="276" w:lineRule="auto"/>
        <w:jc w:val="both"/>
        <w:rPr>
          <w:rFonts w:ascii="Arial" w:eastAsia="Calibri" w:hAnsi="Arial" w:cs="Arial"/>
          <w:color w:val="000000"/>
          <w:lang w:val="es-ES" w:eastAsia="zh-CN"/>
        </w:rPr>
      </w:pPr>
      <w:r w:rsidRPr="00EF402B">
        <w:rPr>
          <w:rFonts w:ascii="Arial" w:eastAsia="Calibri" w:hAnsi="Arial" w:cs="Arial"/>
          <w:color w:val="000000"/>
          <w:lang w:val="es-ES" w:eastAsia="zh-CN"/>
        </w:rPr>
        <w:t>Schema după care este organizată reţeaua principală de trafic din Orasul Horezu este una de tip radial, cu 5 direcții principale (DN 67 - spre R</w:t>
      </w:r>
      <w:r>
        <w:rPr>
          <w:rFonts w:ascii="Arial" w:eastAsia="Calibri" w:hAnsi="Arial" w:cs="Arial"/>
          <w:color w:val="000000"/>
          <w:lang w:val="es-ES" w:eastAsia="zh-CN"/>
        </w:rPr>
        <w:t>â</w:t>
      </w:r>
      <w:r w:rsidRPr="00EF402B">
        <w:rPr>
          <w:rFonts w:ascii="Arial" w:eastAsia="Calibri" w:hAnsi="Arial" w:cs="Arial"/>
          <w:color w:val="000000"/>
          <w:lang w:val="es-ES" w:eastAsia="zh-CN"/>
        </w:rPr>
        <w:t>mnicu V</w:t>
      </w:r>
      <w:r>
        <w:rPr>
          <w:rFonts w:ascii="Arial" w:eastAsia="Calibri" w:hAnsi="Arial" w:cs="Arial"/>
          <w:color w:val="000000"/>
          <w:lang w:val="es-ES" w:eastAsia="zh-CN"/>
        </w:rPr>
        <w:t>â</w:t>
      </w:r>
      <w:r w:rsidRPr="00EF402B">
        <w:rPr>
          <w:rFonts w:ascii="Arial" w:eastAsia="Calibri" w:hAnsi="Arial" w:cs="Arial"/>
          <w:color w:val="000000"/>
          <w:lang w:val="es-ES" w:eastAsia="zh-CN"/>
        </w:rPr>
        <w:t>lcea, respectiv T</w:t>
      </w:r>
      <w:r w:rsidR="006F66E1">
        <w:rPr>
          <w:rFonts w:ascii="Arial" w:eastAsia="Calibri" w:hAnsi="Arial" w:cs="Arial"/>
          <w:color w:val="000000"/>
          <w:lang w:val="es-ES" w:eastAsia="zh-CN"/>
        </w:rPr>
        <w:t>â</w:t>
      </w:r>
      <w:r w:rsidRPr="00EF402B">
        <w:rPr>
          <w:rFonts w:ascii="Arial" w:eastAsia="Calibri" w:hAnsi="Arial" w:cs="Arial"/>
          <w:color w:val="000000"/>
          <w:lang w:val="es-ES" w:eastAsia="zh-CN"/>
        </w:rPr>
        <w:t>rgu Jiu; DN 65C – spre Craiova; DJ 665 – spre Vaideeni; DC 142 – spre Ursani; DC 143 spre T</w:t>
      </w:r>
      <w:r w:rsidR="006F66E1">
        <w:rPr>
          <w:rFonts w:ascii="Arial" w:eastAsia="Calibri" w:hAnsi="Arial" w:cs="Arial"/>
          <w:color w:val="000000"/>
          <w:lang w:val="es-ES" w:eastAsia="zh-CN"/>
        </w:rPr>
        <w:t>ă</w:t>
      </w:r>
      <w:r w:rsidRPr="00EF402B">
        <w:rPr>
          <w:rFonts w:ascii="Arial" w:eastAsia="Calibri" w:hAnsi="Arial" w:cs="Arial"/>
          <w:color w:val="000000"/>
          <w:lang w:val="es-ES" w:eastAsia="zh-CN"/>
        </w:rPr>
        <w:t>nasesti; DC 144 spre Ifrimesti; DC 146 + DJ 669 spre Romanii de Sus), iar circulaţia are tendinţa de a se concentra pe principala arter</w:t>
      </w:r>
      <w:r>
        <w:rPr>
          <w:rFonts w:ascii="Arial" w:eastAsia="Calibri" w:hAnsi="Arial" w:cs="Arial"/>
          <w:color w:val="000000"/>
          <w:lang w:val="es-ES" w:eastAsia="zh-CN"/>
        </w:rPr>
        <w:t>ă</w:t>
      </w:r>
      <w:r w:rsidRPr="00EF402B">
        <w:rPr>
          <w:rFonts w:ascii="Arial" w:eastAsia="Calibri" w:hAnsi="Arial" w:cs="Arial"/>
          <w:color w:val="000000"/>
          <w:lang w:val="es-ES" w:eastAsia="zh-CN"/>
        </w:rPr>
        <w:t xml:space="preserve"> (DN 67) care traversează zona centrală a ora</w:t>
      </w:r>
      <w:r>
        <w:rPr>
          <w:rFonts w:ascii="Arial" w:eastAsia="Calibri" w:hAnsi="Arial" w:cs="Arial"/>
          <w:color w:val="000000"/>
          <w:lang w:val="es-ES" w:eastAsia="zh-CN"/>
        </w:rPr>
        <w:t>ș</w:t>
      </w:r>
      <w:r w:rsidRPr="00EF402B">
        <w:rPr>
          <w:rFonts w:ascii="Arial" w:eastAsia="Calibri" w:hAnsi="Arial" w:cs="Arial"/>
          <w:color w:val="000000"/>
          <w:lang w:val="es-ES" w:eastAsia="zh-CN"/>
        </w:rPr>
        <w:t xml:space="preserve">ului. </w:t>
      </w:r>
    </w:p>
    <w:p w14:paraId="22294047" w14:textId="77777777" w:rsidR="00EF402B" w:rsidRPr="00EF402B" w:rsidRDefault="00EF402B" w:rsidP="00EF402B">
      <w:pPr>
        <w:widowControl w:val="0"/>
        <w:suppressAutoHyphens/>
        <w:autoSpaceDE w:val="0"/>
        <w:spacing w:after="0" w:line="276" w:lineRule="auto"/>
        <w:jc w:val="both"/>
        <w:rPr>
          <w:rFonts w:ascii="Arial" w:eastAsia="Calibri" w:hAnsi="Arial" w:cs="Arial"/>
          <w:color w:val="000000"/>
          <w:kern w:val="1"/>
          <w:lang w:val="es-ES" w:eastAsia="hi-IN" w:bidi="hi-IN"/>
        </w:rPr>
      </w:pPr>
    </w:p>
    <w:p w14:paraId="23939639" w14:textId="77777777" w:rsidR="00EF402B" w:rsidRPr="00EF402B" w:rsidRDefault="00EF402B" w:rsidP="00EF402B">
      <w:pPr>
        <w:suppressAutoHyphens/>
        <w:autoSpaceDE w:val="0"/>
        <w:spacing w:after="0" w:line="276" w:lineRule="auto"/>
        <w:jc w:val="both"/>
        <w:rPr>
          <w:rFonts w:ascii="Arial" w:eastAsia="Calibri" w:hAnsi="Arial" w:cs="Arial"/>
          <w:color w:val="000000"/>
          <w:lang w:val="es-ES" w:eastAsia="zh-CN"/>
        </w:rPr>
      </w:pPr>
      <w:r w:rsidRPr="00EF402B">
        <w:rPr>
          <w:rFonts w:ascii="Arial" w:eastAsia="Calibri" w:hAnsi="Arial" w:cs="Arial"/>
          <w:color w:val="000000"/>
          <w:lang w:val="es-ES" w:eastAsia="zh-CN"/>
        </w:rPr>
        <w:t>Din analizele efectuate asupra configuraţiei reţelei de străzi şi a traseelor utilizate de autovehicule s-a constatat că cea mai mare parte a traficului se concentreaz</w:t>
      </w:r>
      <w:r>
        <w:rPr>
          <w:rFonts w:ascii="Arial" w:eastAsia="Calibri" w:hAnsi="Arial" w:cs="Arial"/>
          <w:color w:val="000000"/>
          <w:lang w:val="es-ES" w:eastAsia="zh-CN"/>
        </w:rPr>
        <w:t>ă</w:t>
      </w:r>
      <w:r w:rsidRPr="00EF402B">
        <w:rPr>
          <w:rFonts w:ascii="Arial" w:eastAsia="Calibri" w:hAnsi="Arial" w:cs="Arial"/>
          <w:color w:val="000000"/>
          <w:lang w:val="es-ES" w:eastAsia="zh-CN"/>
        </w:rPr>
        <w:t xml:space="preserve"> pe c</w:t>
      </w:r>
      <w:r>
        <w:rPr>
          <w:rFonts w:ascii="Arial" w:eastAsia="Calibri" w:hAnsi="Arial" w:cs="Arial"/>
          <w:color w:val="000000"/>
          <w:lang w:val="es-ES" w:eastAsia="zh-CN"/>
        </w:rPr>
        <w:t>â</w:t>
      </w:r>
      <w:r w:rsidRPr="00EF402B">
        <w:rPr>
          <w:rFonts w:ascii="Arial" w:eastAsia="Calibri" w:hAnsi="Arial" w:cs="Arial"/>
          <w:color w:val="000000"/>
          <w:lang w:val="es-ES" w:eastAsia="zh-CN"/>
        </w:rPr>
        <w:t xml:space="preserve">teva artere principale, trecând prin zona centrală. </w:t>
      </w:r>
    </w:p>
    <w:p w14:paraId="6FF6C58C" w14:textId="77777777" w:rsidR="00D17A1E" w:rsidRDefault="00D17A1E" w:rsidP="00EF402B">
      <w:pPr>
        <w:widowControl w:val="0"/>
        <w:suppressAutoHyphens/>
        <w:autoSpaceDE w:val="0"/>
        <w:spacing w:after="0" w:line="276" w:lineRule="auto"/>
        <w:jc w:val="both"/>
        <w:rPr>
          <w:rFonts w:ascii="Arial" w:eastAsia="Calibri" w:hAnsi="Arial" w:cs="Arial"/>
          <w:color w:val="000000"/>
          <w:kern w:val="1"/>
          <w:lang w:val="es-ES" w:eastAsia="hi-IN" w:bidi="hi-IN"/>
        </w:rPr>
      </w:pPr>
    </w:p>
    <w:p w14:paraId="69057894" w14:textId="77777777" w:rsidR="00EF402B" w:rsidRDefault="00EF402B" w:rsidP="00EF402B">
      <w:pPr>
        <w:widowControl w:val="0"/>
        <w:suppressAutoHyphens/>
        <w:autoSpaceDE w:val="0"/>
        <w:spacing w:after="0"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 xml:space="preserve">Din datele furnizate de Primăria </w:t>
      </w:r>
      <w:r w:rsidRPr="00EF402B">
        <w:rPr>
          <w:rFonts w:ascii="Arial" w:hAnsi="Arial" w:cs="Arial"/>
          <w:kern w:val="1"/>
          <w:lang w:val="es-ES" w:eastAsia="hi-IN" w:bidi="hi-IN"/>
        </w:rPr>
        <w:t xml:space="preserve">Horezu </w:t>
      </w:r>
      <w:r w:rsidRPr="00EF402B">
        <w:rPr>
          <w:rFonts w:ascii="Arial" w:eastAsia="Calibri" w:hAnsi="Arial" w:cs="Arial"/>
          <w:color w:val="000000"/>
          <w:kern w:val="1"/>
          <w:lang w:val="es-ES" w:eastAsia="hi-IN" w:bidi="hi-IN"/>
        </w:rPr>
        <w:t>reiese că există un total de 89,5 km de străzi, din care 31,3 au acoperire asfaltică (sau pavate), iar restul pietruite. Infrastructura rutiera defalcat</w:t>
      </w:r>
      <w:r>
        <w:rPr>
          <w:rFonts w:ascii="Arial" w:eastAsia="Calibri" w:hAnsi="Arial" w:cs="Arial"/>
          <w:color w:val="000000"/>
          <w:kern w:val="1"/>
          <w:lang w:val="es-ES" w:eastAsia="hi-IN" w:bidi="hi-IN"/>
        </w:rPr>
        <w:t>ă</w:t>
      </w:r>
      <w:r w:rsidRPr="00EF402B">
        <w:rPr>
          <w:rFonts w:ascii="Arial" w:eastAsia="Calibri" w:hAnsi="Arial" w:cs="Arial"/>
          <w:color w:val="000000"/>
          <w:kern w:val="1"/>
          <w:lang w:val="es-ES" w:eastAsia="hi-IN" w:bidi="hi-IN"/>
        </w:rPr>
        <w:t xml:space="preserve"> pe localit</w:t>
      </w:r>
      <w:r>
        <w:rPr>
          <w:rFonts w:ascii="Arial" w:eastAsia="Calibri" w:hAnsi="Arial" w:cs="Arial"/>
          <w:color w:val="000000"/>
          <w:kern w:val="1"/>
          <w:lang w:val="es-ES" w:eastAsia="hi-IN" w:bidi="hi-IN"/>
        </w:rPr>
        <w:t>ăț</w:t>
      </w:r>
      <w:r w:rsidRPr="00EF402B">
        <w:rPr>
          <w:rFonts w:ascii="Arial" w:eastAsia="Calibri" w:hAnsi="Arial" w:cs="Arial"/>
          <w:color w:val="000000"/>
          <w:kern w:val="1"/>
          <w:lang w:val="es-ES" w:eastAsia="hi-IN" w:bidi="hi-IN"/>
        </w:rPr>
        <w:t>i componente se prezinta astfel:</w:t>
      </w:r>
    </w:p>
    <w:p w14:paraId="11EFB530" w14:textId="77777777" w:rsidR="00EF402B" w:rsidRPr="00EF402B" w:rsidRDefault="00EF402B" w:rsidP="00EF402B">
      <w:pPr>
        <w:widowControl w:val="0"/>
        <w:suppressAutoHyphens/>
        <w:autoSpaceDE w:val="0"/>
        <w:spacing w:after="0" w:line="276" w:lineRule="auto"/>
        <w:jc w:val="both"/>
        <w:rPr>
          <w:rFonts w:ascii="Arial" w:eastAsia="Calibri" w:hAnsi="Arial" w:cs="Arial"/>
          <w:color w:val="000000"/>
          <w:kern w:val="1"/>
          <w:lang w:val="es-ES" w:eastAsia="hi-IN" w:bidi="hi-IN"/>
        </w:rPr>
      </w:pPr>
    </w:p>
    <w:p w14:paraId="3406A9BC" w14:textId="56CD2A2D" w:rsidR="00EF402B" w:rsidRPr="002473AB" w:rsidRDefault="002473AB" w:rsidP="002473AB">
      <w:pPr>
        <w:pStyle w:val="Legend"/>
        <w:jc w:val="center"/>
        <w:rPr>
          <w:rFonts w:ascii="Arial" w:eastAsia="Calibri" w:hAnsi="Arial" w:cs="Arial"/>
          <w:color w:val="000000"/>
          <w:kern w:val="1"/>
          <w:sz w:val="22"/>
          <w:szCs w:val="22"/>
          <w:lang w:val="es-ES" w:eastAsia="hi-IN" w:bidi="hi-IN"/>
        </w:rPr>
      </w:pPr>
      <w:bookmarkStart w:id="75" w:name="_Toc140744577"/>
      <w:r w:rsidRPr="002473AB">
        <w:rPr>
          <w:rFonts w:ascii="Arial" w:hAnsi="Arial" w:cs="Arial"/>
          <w:sz w:val="22"/>
          <w:szCs w:val="22"/>
        </w:rPr>
        <w:t xml:space="preserve">Tabel I.2. </w:t>
      </w:r>
      <w:r w:rsidRPr="002473AB">
        <w:rPr>
          <w:rFonts w:ascii="Arial" w:hAnsi="Arial" w:cs="Arial"/>
          <w:sz w:val="22"/>
          <w:szCs w:val="22"/>
        </w:rPr>
        <w:fldChar w:fldCharType="begin"/>
      </w:r>
      <w:r w:rsidRPr="002473AB">
        <w:rPr>
          <w:rFonts w:ascii="Arial" w:hAnsi="Arial" w:cs="Arial"/>
          <w:sz w:val="22"/>
          <w:szCs w:val="22"/>
        </w:rPr>
        <w:instrText xml:space="preserve"> SEQ Tabel_I.2. \* ARABIC </w:instrText>
      </w:r>
      <w:r w:rsidRPr="002473AB">
        <w:rPr>
          <w:rFonts w:ascii="Arial" w:hAnsi="Arial" w:cs="Arial"/>
          <w:sz w:val="22"/>
          <w:szCs w:val="22"/>
        </w:rPr>
        <w:fldChar w:fldCharType="separate"/>
      </w:r>
      <w:r w:rsidR="00BB181C">
        <w:rPr>
          <w:rFonts w:ascii="Arial" w:hAnsi="Arial" w:cs="Arial"/>
          <w:noProof/>
          <w:sz w:val="22"/>
          <w:szCs w:val="22"/>
        </w:rPr>
        <w:t>11</w:t>
      </w:r>
      <w:r w:rsidRPr="002473AB">
        <w:rPr>
          <w:rFonts w:ascii="Arial" w:hAnsi="Arial" w:cs="Arial"/>
          <w:sz w:val="22"/>
          <w:szCs w:val="22"/>
        </w:rPr>
        <w:fldChar w:fldCharType="end"/>
      </w:r>
      <w:r w:rsidRPr="002473AB">
        <w:rPr>
          <w:rFonts w:ascii="Arial" w:hAnsi="Arial" w:cs="Arial"/>
          <w:sz w:val="22"/>
          <w:szCs w:val="22"/>
        </w:rPr>
        <w:t xml:space="preserve"> </w:t>
      </w:r>
      <w:r w:rsidR="002808A1" w:rsidRPr="002473AB">
        <w:rPr>
          <w:rFonts w:ascii="Arial" w:hAnsi="Arial" w:cs="Arial"/>
          <w:sz w:val="22"/>
          <w:szCs w:val="22"/>
        </w:rPr>
        <w:t xml:space="preserve">– </w:t>
      </w:r>
      <w:r w:rsidR="002808A1" w:rsidRPr="002473AB">
        <w:rPr>
          <w:rFonts w:ascii="Arial" w:hAnsi="Arial" w:cs="Arial"/>
          <w:i w:val="0"/>
          <w:iCs w:val="0"/>
          <w:sz w:val="22"/>
          <w:szCs w:val="22"/>
        </w:rPr>
        <w:t>Structura străzilor UAT Horezu</w:t>
      </w:r>
      <w:bookmarkEnd w:id="75"/>
    </w:p>
    <w:tbl>
      <w:tblPr>
        <w:tblStyle w:val="TableGrid5"/>
        <w:tblW w:w="0" w:type="auto"/>
        <w:tblLook w:val="04A0" w:firstRow="1" w:lastRow="0" w:firstColumn="1" w:lastColumn="0" w:noHBand="0" w:noVBand="1"/>
      </w:tblPr>
      <w:tblGrid>
        <w:gridCol w:w="2303"/>
        <w:gridCol w:w="2303"/>
        <w:gridCol w:w="2303"/>
        <w:gridCol w:w="2303"/>
      </w:tblGrid>
      <w:tr w:rsidR="00EF402B" w:rsidRPr="00EF402B" w14:paraId="04C99AD1" w14:textId="77777777" w:rsidTr="006F2DE6">
        <w:tc>
          <w:tcPr>
            <w:tcW w:w="2303" w:type="dxa"/>
          </w:tcPr>
          <w:p w14:paraId="7EAA6D15" w14:textId="77777777" w:rsidR="00EF402B" w:rsidRPr="00EF402B" w:rsidRDefault="00EF402B" w:rsidP="00EF402B">
            <w:pPr>
              <w:widowControl w:val="0"/>
              <w:suppressAutoHyphens/>
              <w:autoSpaceDE w:val="0"/>
              <w:spacing w:line="276" w:lineRule="auto"/>
              <w:jc w:val="both"/>
              <w:rPr>
                <w:rFonts w:ascii="Arial" w:eastAsia="Calibri" w:hAnsi="Arial" w:cs="Arial"/>
                <w:b/>
                <w:color w:val="000000"/>
                <w:kern w:val="1"/>
                <w:lang w:val="es-ES" w:eastAsia="hi-IN" w:bidi="hi-IN"/>
              </w:rPr>
            </w:pPr>
            <w:r w:rsidRPr="00EF402B">
              <w:rPr>
                <w:rFonts w:ascii="Arial" w:eastAsia="Calibri" w:hAnsi="Arial" w:cs="Arial"/>
                <w:b/>
                <w:color w:val="000000"/>
                <w:kern w:val="1"/>
                <w:lang w:val="es-ES" w:eastAsia="hi-IN" w:bidi="hi-IN"/>
              </w:rPr>
              <w:t>Localitate</w:t>
            </w:r>
          </w:p>
        </w:tc>
        <w:tc>
          <w:tcPr>
            <w:tcW w:w="2303" w:type="dxa"/>
          </w:tcPr>
          <w:p w14:paraId="6B27AC06" w14:textId="77777777" w:rsidR="00EF402B" w:rsidRPr="00EF402B" w:rsidRDefault="00EF402B" w:rsidP="00EF402B">
            <w:pPr>
              <w:widowControl w:val="0"/>
              <w:suppressAutoHyphens/>
              <w:autoSpaceDE w:val="0"/>
              <w:spacing w:line="276" w:lineRule="auto"/>
              <w:jc w:val="center"/>
              <w:rPr>
                <w:rFonts w:ascii="Arial" w:eastAsia="Calibri" w:hAnsi="Arial" w:cs="Arial"/>
                <w:b/>
                <w:color w:val="000000"/>
                <w:kern w:val="1"/>
                <w:lang w:val="es-ES" w:eastAsia="hi-IN" w:bidi="hi-IN"/>
              </w:rPr>
            </w:pPr>
            <w:r w:rsidRPr="00EF402B">
              <w:rPr>
                <w:rFonts w:ascii="Arial" w:eastAsia="Calibri" w:hAnsi="Arial" w:cs="Arial"/>
                <w:b/>
                <w:color w:val="000000"/>
                <w:kern w:val="1"/>
                <w:lang w:val="es-ES" w:eastAsia="hi-IN" w:bidi="hi-IN"/>
              </w:rPr>
              <w:t>Km asfalt</w:t>
            </w:r>
          </w:p>
        </w:tc>
        <w:tc>
          <w:tcPr>
            <w:tcW w:w="2303" w:type="dxa"/>
          </w:tcPr>
          <w:p w14:paraId="6BFF4382" w14:textId="77777777" w:rsidR="00EF402B" w:rsidRPr="00EF402B" w:rsidRDefault="00EF402B" w:rsidP="00EF402B">
            <w:pPr>
              <w:widowControl w:val="0"/>
              <w:suppressAutoHyphens/>
              <w:autoSpaceDE w:val="0"/>
              <w:spacing w:line="276" w:lineRule="auto"/>
              <w:jc w:val="center"/>
              <w:rPr>
                <w:rFonts w:ascii="Arial" w:eastAsia="Calibri" w:hAnsi="Arial" w:cs="Arial"/>
                <w:b/>
                <w:color w:val="000000"/>
                <w:kern w:val="1"/>
                <w:lang w:val="es-ES" w:eastAsia="hi-IN" w:bidi="hi-IN"/>
              </w:rPr>
            </w:pPr>
            <w:r w:rsidRPr="00EF402B">
              <w:rPr>
                <w:rFonts w:ascii="Arial" w:eastAsia="Calibri" w:hAnsi="Arial" w:cs="Arial"/>
                <w:b/>
                <w:color w:val="000000"/>
                <w:kern w:val="1"/>
                <w:lang w:val="es-ES" w:eastAsia="hi-IN" w:bidi="hi-IN"/>
              </w:rPr>
              <w:t>Km pavat*</w:t>
            </w:r>
          </w:p>
        </w:tc>
        <w:tc>
          <w:tcPr>
            <w:tcW w:w="2303" w:type="dxa"/>
          </w:tcPr>
          <w:p w14:paraId="3ACDD0A2" w14:textId="77777777" w:rsidR="00EF402B" w:rsidRPr="00EF402B" w:rsidRDefault="00EF402B" w:rsidP="00EF402B">
            <w:pPr>
              <w:widowControl w:val="0"/>
              <w:suppressAutoHyphens/>
              <w:autoSpaceDE w:val="0"/>
              <w:spacing w:line="276" w:lineRule="auto"/>
              <w:jc w:val="center"/>
              <w:rPr>
                <w:rFonts w:ascii="Arial" w:eastAsia="Calibri" w:hAnsi="Arial" w:cs="Arial"/>
                <w:b/>
                <w:color w:val="000000"/>
                <w:kern w:val="1"/>
                <w:lang w:val="es-ES" w:eastAsia="hi-IN" w:bidi="hi-IN"/>
              </w:rPr>
            </w:pPr>
            <w:r w:rsidRPr="00EF402B">
              <w:rPr>
                <w:rFonts w:ascii="Arial" w:eastAsia="Calibri" w:hAnsi="Arial" w:cs="Arial"/>
                <w:b/>
                <w:color w:val="000000"/>
                <w:kern w:val="1"/>
                <w:lang w:val="es-ES" w:eastAsia="hi-IN" w:bidi="hi-IN"/>
              </w:rPr>
              <w:t>Km pietruit</w:t>
            </w:r>
          </w:p>
        </w:tc>
      </w:tr>
      <w:tr w:rsidR="00EF402B" w:rsidRPr="00EF402B" w14:paraId="5E804292" w14:textId="77777777" w:rsidTr="006F2DE6">
        <w:tc>
          <w:tcPr>
            <w:tcW w:w="2303" w:type="dxa"/>
          </w:tcPr>
          <w:p w14:paraId="4544EDBC" w14:textId="77777777" w:rsidR="00EF402B" w:rsidRPr="00EF402B" w:rsidRDefault="00EF402B" w:rsidP="00EF402B">
            <w:pPr>
              <w:widowControl w:val="0"/>
              <w:suppressAutoHyphens/>
              <w:autoSpaceDE w:val="0"/>
              <w:spacing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Oras Horezu</w:t>
            </w:r>
          </w:p>
        </w:tc>
        <w:tc>
          <w:tcPr>
            <w:tcW w:w="2303" w:type="dxa"/>
          </w:tcPr>
          <w:p w14:paraId="00612CC7"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30,998</w:t>
            </w:r>
          </w:p>
        </w:tc>
        <w:tc>
          <w:tcPr>
            <w:tcW w:w="2303" w:type="dxa"/>
          </w:tcPr>
          <w:p w14:paraId="2AFF7BDA"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0,378</w:t>
            </w:r>
          </w:p>
        </w:tc>
        <w:tc>
          <w:tcPr>
            <w:tcW w:w="2303" w:type="dxa"/>
          </w:tcPr>
          <w:p w14:paraId="263F1E75"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6,945</w:t>
            </w:r>
          </w:p>
        </w:tc>
      </w:tr>
      <w:tr w:rsidR="00EF402B" w:rsidRPr="00EF402B" w14:paraId="4C4D6EAD" w14:textId="77777777" w:rsidTr="006F2DE6">
        <w:tc>
          <w:tcPr>
            <w:tcW w:w="2303" w:type="dxa"/>
          </w:tcPr>
          <w:p w14:paraId="7986D398" w14:textId="77777777" w:rsidR="00EF402B" w:rsidRPr="00EF402B" w:rsidRDefault="00EF402B" w:rsidP="00EF402B">
            <w:pPr>
              <w:widowControl w:val="0"/>
              <w:suppressAutoHyphens/>
              <w:autoSpaceDE w:val="0"/>
              <w:spacing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Sat Ifrime</w:t>
            </w:r>
            <w:r w:rsidR="002808A1">
              <w:rPr>
                <w:rFonts w:ascii="Arial" w:eastAsia="Calibri" w:hAnsi="Arial" w:cs="Arial"/>
                <w:color w:val="000000"/>
                <w:kern w:val="1"/>
                <w:lang w:val="es-ES" w:eastAsia="hi-IN" w:bidi="hi-IN"/>
              </w:rPr>
              <w:t>ș</w:t>
            </w:r>
            <w:r w:rsidRPr="00EF402B">
              <w:rPr>
                <w:rFonts w:ascii="Arial" w:eastAsia="Calibri" w:hAnsi="Arial" w:cs="Arial"/>
                <w:color w:val="000000"/>
                <w:kern w:val="1"/>
                <w:lang w:val="es-ES" w:eastAsia="hi-IN" w:bidi="hi-IN"/>
              </w:rPr>
              <w:t>ti</w:t>
            </w:r>
          </w:p>
        </w:tc>
        <w:tc>
          <w:tcPr>
            <w:tcW w:w="2303" w:type="dxa"/>
          </w:tcPr>
          <w:p w14:paraId="44707863"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2,086</w:t>
            </w:r>
          </w:p>
        </w:tc>
        <w:tc>
          <w:tcPr>
            <w:tcW w:w="2303" w:type="dxa"/>
          </w:tcPr>
          <w:p w14:paraId="29C745B5"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w:t>
            </w:r>
          </w:p>
        </w:tc>
        <w:tc>
          <w:tcPr>
            <w:tcW w:w="2303" w:type="dxa"/>
          </w:tcPr>
          <w:p w14:paraId="5CC9FF21"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0,910</w:t>
            </w:r>
          </w:p>
        </w:tc>
      </w:tr>
      <w:tr w:rsidR="00EF402B" w:rsidRPr="00EF402B" w14:paraId="75BAB974" w14:textId="77777777" w:rsidTr="006F2DE6">
        <w:tc>
          <w:tcPr>
            <w:tcW w:w="2303" w:type="dxa"/>
          </w:tcPr>
          <w:p w14:paraId="519BCCF2" w14:textId="77777777" w:rsidR="00EF402B" w:rsidRPr="00EF402B" w:rsidRDefault="00EF402B" w:rsidP="00EF402B">
            <w:pPr>
              <w:widowControl w:val="0"/>
              <w:suppressAutoHyphens/>
              <w:autoSpaceDE w:val="0"/>
              <w:spacing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Sat R</w:t>
            </w:r>
            <w:r w:rsidR="002808A1">
              <w:rPr>
                <w:rFonts w:ascii="Arial" w:eastAsia="Calibri" w:hAnsi="Arial" w:cs="Arial"/>
                <w:color w:val="000000"/>
                <w:kern w:val="1"/>
                <w:lang w:val="es-ES" w:eastAsia="hi-IN" w:bidi="hi-IN"/>
              </w:rPr>
              <w:t>â</w:t>
            </w:r>
            <w:r w:rsidRPr="00EF402B">
              <w:rPr>
                <w:rFonts w:ascii="Arial" w:eastAsia="Calibri" w:hAnsi="Arial" w:cs="Arial"/>
                <w:color w:val="000000"/>
                <w:kern w:val="1"/>
                <w:lang w:val="es-ES" w:eastAsia="hi-IN" w:bidi="hi-IN"/>
              </w:rPr>
              <w:t>me</w:t>
            </w:r>
            <w:r w:rsidR="002808A1">
              <w:rPr>
                <w:rFonts w:ascii="Arial" w:eastAsia="Calibri" w:hAnsi="Arial" w:cs="Arial"/>
                <w:color w:val="000000"/>
                <w:kern w:val="1"/>
                <w:lang w:val="es-ES" w:eastAsia="hi-IN" w:bidi="hi-IN"/>
              </w:rPr>
              <w:t>ș</w:t>
            </w:r>
            <w:r w:rsidRPr="00EF402B">
              <w:rPr>
                <w:rFonts w:ascii="Arial" w:eastAsia="Calibri" w:hAnsi="Arial" w:cs="Arial"/>
                <w:color w:val="000000"/>
                <w:kern w:val="1"/>
                <w:lang w:val="es-ES" w:eastAsia="hi-IN" w:bidi="hi-IN"/>
              </w:rPr>
              <w:t>ti</w:t>
            </w:r>
          </w:p>
        </w:tc>
        <w:tc>
          <w:tcPr>
            <w:tcW w:w="2303" w:type="dxa"/>
          </w:tcPr>
          <w:p w14:paraId="6112418B"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4,149</w:t>
            </w:r>
          </w:p>
        </w:tc>
        <w:tc>
          <w:tcPr>
            <w:tcW w:w="2303" w:type="dxa"/>
          </w:tcPr>
          <w:p w14:paraId="14696557"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w:t>
            </w:r>
          </w:p>
        </w:tc>
        <w:tc>
          <w:tcPr>
            <w:tcW w:w="2303" w:type="dxa"/>
          </w:tcPr>
          <w:p w14:paraId="2A61670A"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1,279</w:t>
            </w:r>
          </w:p>
        </w:tc>
      </w:tr>
      <w:tr w:rsidR="00EF402B" w:rsidRPr="00EF402B" w14:paraId="375E99FB" w14:textId="77777777" w:rsidTr="006F2DE6">
        <w:tc>
          <w:tcPr>
            <w:tcW w:w="2303" w:type="dxa"/>
          </w:tcPr>
          <w:p w14:paraId="17699AA5" w14:textId="77777777" w:rsidR="00EF402B" w:rsidRPr="00EF402B" w:rsidRDefault="00EF402B" w:rsidP="00EF402B">
            <w:pPr>
              <w:widowControl w:val="0"/>
              <w:suppressAutoHyphens/>
              <w:autoSpaceDE w:val="0"/>
              <w:spacing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Sat Romanii de Jos</w:t>
            </w:r>
          </w:p>
        </w:tc>
        <w:tc>
          <w:tcPr>
            <w:tcW w:w="2303" w:type="dxa"/>
          </w:tcPr>
          <w:p w14:paraId="495E5706"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7,831</w:t>
            </w:r>
          </w:p>
        </w:tc>
        <w:tc>
          <w:tcPr>
            <w:tcW w:w="2303" w:type="dxa"/>
          </w:tcPr>
          <w:p w14:paraId="433D6C07"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w:t>
            </w:r>
          </w:p>
        </w:tc>
        <w:tc>
          <w:tcPr>
            <w:tcW w:w="2303" w:type="dxa"/>
          </w:tcPr>
          <w:p w14:paraId="26662322"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2,359</w:t>
            </w:r>
          </w:p>
        </w:tc>
      </w:tr>
      <w:tr w:rsidR="00EF402B" w:rsidRPr="00EF402B" w14:paraId="2B78653C" w14:textId="77777777" w:rsidTr="006F2DE6">
        <w:tc>
          <w:tcPr>
            <w:tcW w:w="2303" w:type="dxa"/>
          </w:tcPr>
          <w:p w14:paraId="434608BA" w14:textId="77777777" w:rsidR="00EF402B" w:rsidRPr="00EF402B" w:rsidRDefault="00EF402B" w:rsidP="00EF402B">
            <w:pPr>
              <w:widowControl w:val="0"/>
              <w:suppressAutoHyphens/>
              <w:autoSpaceDE w:val="0"/>
              <w:spacing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Sat Romanii de Sus</w:t>
            </w:r>
          </w:p>
        </w:tc>
        <w:tc>
          <w:tcPr>
            <w:tcW w:w="2303" w:type="dxa"/>
          </w:tcPr>
          <w:p w14:paraId="70C9998A"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5,059</w:t>
            </w:r>
          </w:p>
        </w:tc>
        <w:tc>
          <w:tcPr>
            <w:tcW w:w="2303" w:type="dxa"/>
          </w:tcPr>
          <w:p w14:paraId="01143866"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w:t>
            </w:r>
          </w:p>
        </w:tc>
        <w:tc>
          <w:tcPr>
            <w:tcW w:w="2303" w:type="dxa"/>
          </w:tcPr>
          <w:p w14:paraId="7FC45EDE"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12,053</w:t>
            </w:r>
          </w:p>
        </w:tc>
      </w:tr>
      <w:tr w:rsidR="00EF402B" w:rsidRPr="00EF402B" w14:paraId="4B46EDD1" w14:textId="77777777" w:rsidTr="006F2DE6">
        <w:tc>
          <w:tcPr>
            <w:tcW w:w="2303" w:type="dxa"/>
          </w:tcPr>
          <w:p w14:paraId="44D0741B" w14:textId="77777777" w:rsidR="00EF402B" w:rsidRPr="00EF402B" w:rsidRDefault="00EF402B" w:rsidP="00EF402B">
            <w:pPr>
              <w:widowControl w:val="0"/>
              <w:suppressAutoHyphens/>
              <w:autoSpaceDE w:val="0"/>
              <w:spacing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Sat T</w:t>
            </w:r>
            <w:r w:rsidR="002808A1">
              <w:rPr>
                <w:rFonts w:ascii="Arial" w:eastAsia="Calibri" w:hAnsi="Arial" w:cs="Arial"/>
                <w:color w:val="000000"/>
                <w:kern w:val="1"/>
                <w:lang w:val="es-ES" w:eastAsia="hi-IN" w:bidi="hi-IN"/>
              </w:rPr>
              <w:t>ă</w:t>
            </w:r>
            <w:r w:rsidRPr="00EF402B">
              <w:rPr>
                <w:rFonts w:ascii="Arial" w:eastAsia="Calibri" w:hAnsi="Arial" w:cs="Arial"/>
                <w:color w:val="000000"/>
                <w:kern w:val="1"/>
                <w:lang w:val="es-ES" w:eastAsia="hi-IN" w:bidi="hi-IN"/>
              </w:rPr>
              <w:t>n</w:t>
            </w:r>
            <w:r w:rsidR="002808A1">
              <w:rPr>
                <w:rFonts w:ascii="Arial" w:eastAsia="Calibri" w:hAnsi="Arial" w:cs="Arial"/>
                <w:color w:val="000000"/>
                <w:kern w:val="1"/>
                <w:lang w:val="es-ES" w:eastAsia="hi-IN" w:bidi="hi-IN"/>
              </w:rPr>
              <w:t>ă</w:t>
            </w:r>
            <w:r w:rsidRPr="00EF402B">
              <w:rPr>
                <w:rFonts w:ascii="Arial" w:eastAsia="Calibri" w:hAnsi="Arial" w:cs="Arial"/>
                <w:color w:val="000000"/>
                <w:kern w:val="1"/>
                <w:lang w:val="es-ES" w:eastAsia="hi-IN" w:bidi="hi-IN"/>
              </w:rPr>
              <w:t>se</w:t>
            </w:r>
            <w:r w:rsidR="002808A1">
              <w:rPr>
                <w:rFonts w:ascii="Arial" w:eastAsia="Calibri" w:hAnsi="Arial" w:cs="Arial"/>
                <w:color w:val="000000"/>
                <w:kern w:val="1"/>
                <w:lang w:val="es-ES" w:eastAsia="hi-IN" w:bidi="hi-IN"/>
              </w:rPr>
              <w:t>ș</w:t>
            </w:r>
            <w:r w:rsidRPr="00EF402B">
              <w:rPr>
                <w:rFonts w:ascii="Arial" w:eastAsia="Calibri" w:hAnsi="Arial" w:cs="Arial"/>
                <w:color w:val="000000"/>
                <w:kern w:val="1"/>
                <w:lang w:val="es-ES" w:eastAsia="hi-IN" w:bidi="hi-IN"/>
              </w:rPr>
              <w:t>ti</w:t>
            </w:r>
          </w:p>
        </w:tc>
        <w:tc>
          <w:tcPr>
            <w:tcW w:w="2303" w:type="dxa"/>
          </w:tcPr>
          <w:p w14:paraId="0C030A53"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2,842</w:t>
            </w:r>
          </w:p>
        </w:tc>
        <w:tc>
          <w:tcPr>
            <w:tcW w:w="2303" w:type="dxa"/>
          </w:tcPr>
          <w:p w14:paraId="6BAFD5CF"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w:t>
            </w:r>
          </w:p>
        </w:tc>
        <w:tc>
          <w:tcPr>
            <w:tcW w:w="2303" w:type="dxa"/>
          </w:tcPr>
          <w:p w14:paraId="53AA673A"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6,694</w:t>
            </w:r>
          </w:p>
        </w:tc>
      </w:tr>
      <w:tr w:rsidR="00EF402B" w:rsidRPr="00EF402B" w14:paraId="5B24E9B5" w14:textId="77777777" w:rsidTr="006F2DE6">
        <w:tc>
          <w:tcPr>
            <w:tcW w:w="2303" w:type="dxa"/>
          </w:tcPr>
          <w:p w14:paraId="7B1E4B48" w14:textId="77777777" w:rsidR="00EF402B" w:rsidRPr="00EF402B" w:rsidRDefault="00EF402B" w:rsidP="00EF402B">
            <w:pPr>
              <w:widowControl w:val="0"/>
              <w:suppressAutoHyphens/>
              <w:autoSpaceDE w:val="0"/>
              <w:spacing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Sat Ursani</w:t>
            </w:r>
          </w:p>
        </w:tc>
        <w:tc>
          <w:tcPr>
            <w:tcW w:w="2303" w:type="dxa"/>
          </w:tcPr>
          <w:p w14:paraId="543AF99F"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3,247</w:t>
            </w:r>
          </w:p>
        </w:tc>
        <w:tc>
          <w:tcPr>
            <w:tcW w:w="2303" w:type="dxa"/>
          </w:tcPr>
          <w:p w14:paraId="75873B53"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w:t>
            </w:r>
          </w:p>
        </w:tc>
        <w:tc>
          <w:tcPr>
            <w:tcW w:w="2303" w:type="dxa"/>
          </w:tcPr>
          <w:p w14:paraId="5FFBD4F0" w14:textId="77777777" w:rsidR="00EF402B" w:rsidRPr="00EF402B" w:rsidRDefault="00EF402B" w:rsidP="00EF402B">
            <w:pPr>
              <w:widowControl w:val="0"/>
              <w:suppressAutoHyphens/>
              <w:autoSpaceDE w:val="0"/>
              <w:spacing w:line="276" w:lineRule="auto"/>
              <w:jc w:val="center"/>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2,704</w:t>
            </w:r>
          </w:p>
        </w:tc>
      </w:tr>
    </w:tbl>
    <w:p w14:paraId="32269B86" w14:textId="77777777" w:rsidR="00EF402B" w:rsidRPr="00EF402B" w:rsidRDefault="00EF402B" w:rsidP="00EF402B">
      <w:pPr>
        <w:widowControl w:val="0"/>
        <w:suppressAutoHyphens/>
        <w:autoSpaceDE w:val="0"/>
        <w:spacing w:after="0" w:line="276" w:lineRule="auto"/>
        <w:jc w:val="both"/>
        <w:rPr>
          <w:rFonts w:ascii="Arial" w:eastAsia="Calibri" w:hAnsi="Arial" w:cs="Arial"/>
          <w:color w:val="000000"/>
          <w:kern w:val="1"/>
          <w:sz w:val="20"/>
          <w:szCs w:val="20"/>
          <w:lang w:val="es-ES" w:eastAsia="hi-IN" w:bidi="hi-IN"/>
        </w:rPr>
      </w:pPr>
      <w:r w:rsidRPr="00EF402B">
        <w:rPr>
          <w:rFonts w:ascii="Arial" w:eastAsia="Calibri" w:hAnsi="Arial" w:cs="Arial"/>
          <w:color w:val="000000"/>
          <w:kern w:val="1"/>
          <w:sz w:val="20"/>
          <w:szCs w:val="20"/>
          <w:lang w:val="es-ES" w:eastAsia="hi-IN" w:bidi="hi-IN"/>
        </w:rPr>
        <w:t>* str</w:t>
      </w:r>
      <w:r w:rsidR="002808A1">
        <w:rPr>
          <w:rFonts w:ascii="Arial" w:eastAsia="Calibri" w:hAnsi="Arial" w:cs="Arial"/>
          <w:color w:val="000000"/>
          <w:kern w:val="1"/>
          <w:sz w:val="20"/>
          <w:szCs w:val="20"/>
          <w:lang w:val="es-ES" w:eastAsia="hi-IN" w:bidi="hi-IN"/>
        </w:rPr>
        <w:t>ă</w:t>
      </w:r>
      <w:r w:rsidRPr="00EF402B">
        <w:rPr>
          <w:rFonts w:ascii="Arial" w:eastAsia="Calibri" w:hAnsi="Arial" w:cs="Arial"/>
          <w:color w:val="000000"/>
          <w:kern w:val="1"/>
          <w:sz w:val="20"/>
          <w:szCs w:val="20"/>
          <w:lang w:val="es-ES" w:eastAsia="hi-IN" w:bidi="hi-IN"/>
        </w:rPr>
        <w:t>zi cu circula</w:t>
      </w:r>
      <w:r w:rsidR="002808A1">
        <w:rPr>
          <w:rFonts w:ascii="Arial" w:eastAsia="Calibri" w:hAnsi="Arial" w:cs="Arial"/>
          <w:color w:val="000000"/>
          <w:kern w:val="1"/>
          <w:sz w:val="20"/>
          <w:szCs w:val="20"/>
          <w:lang w:val="es-ES" w:eastAsia="hi-IN" w:bidi="hi-IN"/>
        </w:rPr>
        <w:t>ț</w:t>
      </w:r>
      <w:r w:rsidR="002473AB">
        <w:rPr>
          <w:rFonts w:ascii="Arial" w:eastAsia="Calibri" w:hAnsi="Arial" w:cs="Arial"/>
          <w:color w:val="000000"/>
          <w:kern w:val="1"/>
          <w:sz w:val="20"/>
          <w:szCs w:val="20"/>
          <w:lang w:val="es-ES" w:eastAsia="hi-IN" w:bidi="hi-IN"/>
        </w:rPr>
        <w:t>ie strict pietonală</w:t>
      </w:r>
    </w:p>
    <w:p w14:paraId="0E292432" w14:textId="77777777" w:rsidR="00EF402B" w:rsidRPr="00EF402B" w:rsidRDefault="00EF402B" w:rsidP="00EF402B">
      <w:pPr>
        <w:widowControl w:val="0"/>
        <w:suppressAutoHyphens/>
        <w:autoSpaceDE w:val="0"/>
        <w:spacing w:after="0" w:line="276" w:lineRule="auto"/>
        <w:jc w:val="both"/>
        <w:rPr>
          <w:rFonts w:ascii="Arial" w:eastAsia="Calibri" w:hAnsi="Arial" w:cs="Arial"/>
          <w:color w:val="000000"/>
          <w:kern w:val="1"/>
          <w:lang w:val="es-ES" w:eastAsia="hi-IN" w:bidi="hi-IN"/>
        </w:rPr>
      </w:pPr>
    </w:p>
    <w:p w14:paraId="5B5E54B3" w14:textId="77777777" w:rsidR="00EF402B" w:rsidRPr="00EF402B" w:rsidRDefault="00EF402B" w:rsidP="00EF402B">
      <w:pPr>
        <w:widowControl w:val="0"/>
        <w:suppressAutoHyphens/>
        <w:autoSpaceDE w:val="0"/>
        <w:spacing w:after="0"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Din totalul str</w:t>
      </w:r>
      <w:r w:rsidR="002808A1">
        <w:rPr>
          <w:rFonts w:ascii="Arial" w:eastAsia="Calibri" w:hAnsi="Arial" w:cs="Arial"/>
          <w:color w:val="000000"/>
          <w:kern w:val="1"/>
          <w:lang w:val="es-ES" w:eastAsia="hi-IN" w:bidi="hi-IN"/>
        </w:rPr>
        <w:t>ă</w:t>
      </w:r>
      <w:r w:rsidRPr="00EF402B">
        <w:rPr>
          <w:rFonts w:ascii="Arial" w:eastAsia="Calibri" w:hAnsi="Arial" w:cs="Arial"/>
          <w:color w:val="000000"/>
          <w:kern w:val="1"/>
          <w:lang w:val="es-ES" w:eastAsia="hi-IN" w:bidi="hi-IN"/>
        </w:rPr>
        <w:t>zilor acoperite cu asfalt, 14,33 km sunt prev</w:t>
      </w:r>
      <w:r w:rsidR="00DF45AA">
        <w:rPr>
          <w:rFonts w:ascii="Arial" w:eastAsia="Calibri" w:hAnsi="Arial" w:cs="Arial"/>
          <w:color w:val="000000"/>
          <w:kern w:val="1"/>
          <w:lang w:val="es-ES" w:eastAsia="hi-IN" w:bidi="hi-IN"/>
        </w:rPr>
        <w:t>ă</w:t>
      </w:r>
      <w:r w:rsidRPr="00EF402B">
        <w:rPr>
          <w:rFonts w:ascii="Arial" w:eastAsia="Calibri" w:hAnsi="Arial" w:cs="Arial"/>
          <w:color w:val="000000"/>
          <w:kern w:val="1"/>
          <w:lang w:val="es-ES" w:eastAsia="hi-IN" w:bidi="hi-IN"/>
        </w:rPr>
        <w:t xml:space="preserve">zute cu trotuare (numai </w:t>
      </w:r>
      <w:r w:rsidR="00DF45AA">
        <w:rPr>
          <w:rFonts w:ascii="Arial" w:eastAsia="Calibri" w:hAnsi="Arial" w:cs="Arial"/>
          <w:color w:val="000000"/>
          <w:kern w:val="1"/>
          <w:lang w:val="es-ES" w:eastAsia="hi-IN" w:bidi="hi-IN"/>
        </w:rPr>
        <w:t>î</w:t>
      </w:r>
      <w:r w:rsidRPr="00EF402B">
        <w:rPr>
          <w:rFonts w:ascii="Arial" w:eastAsia="Calibri" w:hAnsi="Arial" w:cs="Arial"/>
          <w:color w:val="000000"/>
          <w:kern w:val="1"/>
          <w:lang w:val="es-ES" w:eastAsia="hi-IN" w:bidi="hi-IN"/>
        </w:rPr>
        <w:t>n ora</w:t>
      </w:r>
      <w:r w:rsidR="00DF45AA">
        <w:rPr>
          <w:rFonts w:ascii="Arial" w:eastAsia="Calibri" w:hAnsi="Arial" w:cs="Arial"/>
          <w:color w:val="000000"/>
          <w:kern w:val="1"/>
          <w:lang w:val="es-ES" w:eastAsia="hi-IN" w:bidi="hi-IN"/>
        </w:rPr>
        <w:t>ș</w:t>
      </w:r>
      <w:r w:rsidRPr="00EF402B">
        <w:rPr>
          <w:rFonts w:ascii="Arial" w:eastAsia="Calibri" w:hAnsi="Arial" w:cs="Arial"/>
          <w:color w:val="000000"/>
          <w:kern w:val="1"/>
          <w:lang w:val="es-ES" w:eastAsia="hi-IN" w:bidi="hi-IN"/>
        </w:rPr>
        <w:t>ul Horezu).</w:t>
      </w:r>
    </w:p>
    <w:p w14:paraId="4CE43C41" w14:textId="77777777" w:rsidR="00EF402B" w:rsidRPr="00EF402B" w:rsidRDefault="00EF402B" w:rsidP="00EF402B">
      <w:pPr>
        <w:widowControl w:val="0"/>
        <w:suppressAutoHyphens/>
        <w:autoSpaceDE w:val="0"/>
        <w:spacing w:after="0" w:line="276" w:lineRule="auto"/>
        <w:jc w:val="both"/>
        <w:rPr>
          <w:rFonts w:ascii="Arial" w:eastAsia="Calibri" w:hAnsi="Arial" w:cs="Arial"/>
          <w:color w:val="000000"/>
          <w:kern w:val="1"/>
          <w:lang w:val="es-ES" w:eastAsia="hi-IN" w:bidi="hi-IN"/>
        </w:rPr>
      </w:pPr>
    </w:p>
    <w:p w14:paraId="6AE872A9" w14:textId="77777777" w:rsidR="00EF402B" w:rsidRPr="00EF402B" w:rsidRDefault="00EF402B" w:rsidP="00EF402B">
      <w:pPr>
        <w:widowControl w:val="0"/>
        <w:suppressAutoHyphens/>
        <w:autoSpaceDE w:val="0"/>
        <w:spacing w:after="0" w:line="276" w:lineRule="auto"/>
        <w:jc w:val="both"/>
        <w:rPr>
          <w:rFonts w:ascii="Arial" w:eastAsia="Calibri" w:hAnsi="Arial" w:cs="Arial"/>
          <w:color w:val="000000"/>
          <w:kern w:val="1"/>
          <w:lang w:val="ro-RO" w:eastAsia="hi-IN" w:bidi="hi-IN"/>
        </w:rPr>
      </w:pPr>
      <w:r w:rsidRPr="00EF402B">
        <w:rPr>
          <w:rFonts w:ascii="Arial" w:eastAsia="Calibri" w:hAnsi="Arial" w:cs="Arial"/>
          <w:color w:val="000000"/>
          <w:kern w:val="1"/>
          <w:lang w:val="es-ES" w:eastAsia="hi-IN" w:bidi="hi-IN"/>
        </w:rPr>
        <w:t>În ceea ce privește intersecţiile, pe teritoriul municipiului nu se g</w:t>
      </w:r>
      <w:r w:rsidR="002808A1">
        <w:rPr>
          <w:rFonts w:ascii="Arial" w:eastAsia="Calibri" w:hAnsi="Arial" w:cs="Arial"/>
          <w:color w:val="000000"/>
          <w:kern w:val="1"/>
          <w:lang w:val="es-ES" w:eastAsia="hi-IN" w:bidi="hi-IN"/>
        </w:rPr>
        <w:t>ă</w:t>
      </w:r>
      <w:r w:rsidRPr="00EF402B">
        <w:rPr>
          <w:rFonts w:ascii="Arial" w:eastAsia="Calibri" w:hAnsi="Arial" w:cs="Arial"/>
          <w:color w:val="000000"/>
          <w:kern w:val="1"/>
          <w:lang w:val="es-ES" w:eastAsia="hi-IN" w:bidi="hi-IN"/>
        </w:rPr>
        <w:t>sesc intersec</w:t>
      </w:r>
      <w:r w:rsidR="002808A1">
        <w:rPr>
          <w:rFonts w:ascii="Arial" w:eastAsia="Calibri" w:hAnsi="Arial" w:cs="Arial"/>
          <w:color w:val="000000"/>
          <w:kern w:val="1"/>
          <w:lang w:val="es-ES" w:eastAsia="hi-IN" w:bidi="hi-IN"/>
        </w:rPr>
        <w:t>ț</w:t>
      </w:r>
      <w:r w:rsidRPr="00EF402B">
        <w:rPr>
          <w:rFonts w:ascii="Arial" w:eastAsia="Calibri" w:hAnsi="Arial" w:cs="Arial"/>
          <w:color w:val="000000"/>
          <w:kern w:val="1"/>
          <w:lang w:val="es-ES" w:eastAsia="hi-IN" w:bidi="hi-IN"/>
        </w:rPr>
        <w:t>ii semaforizate.</w:t>
      </w:r>
    </w:p>
    <w:p w14:paraId="7283B08E" w14:textId="77777777" w:rsidR="00EF402B" w:rsidRPr="00EF402B" w:rsidRDefault="00EF402B" w:rsidP="00EF402B">
      <w:pPr>
        <w:widowControl w:val="0"/>
        <w:suppressAutoHyphens/>
        <w:autoSpaceDE w:val="0"/>
        <w:spacing w:after="0" w:line="360" w:lineRule="auto"/>
        <w:jc w:val="both"/>
        <w:rPr>
          <w:rFonts w:ascii="Arial" w:eastAsia="Calibri" w:hAnsi="Arial" w:cs="Arial"/>
          <w:color w:val="000000"/>
          <w:kern w:val="1"/>
          <w:sz w:val="24"/>
          <w:szCs w:val="24"/>
          <w:lang w:val="ro-RO" w:eastAsia="hi-IN" w:bidi="hi-IN"/>
        </w:rPr>
      </w:pPr>
    </w:p>
    <w:p w14:paraId="41193ED5" w14:textId="77777777" w:rsidR="00EF402B" w:rsidRPr="00EF402B" w:rsidRDefault="00EF402B" w:rsidP="00EF402B">
      <w:pPr>
        <w:widowControl w:val="0"/>
        <w:suppressAutoHyphens/>
        <w:autoSpaceDE w:val="0"/>
        <w:spacing w:after="0" w:line="276" w:lineRule="auto"/>
        <w:jc w:val="both"/>
        <w:rPr>
          <w:rFonts w:ascii="Arial" w:eastAsia="Calibri" w:hAnsi="Arial" w:cs="Arial"/>
          <w:color w:val="000000"/>
          <w:kern w:val="1"/>
          <w:lang w:val="es-ES" w:eastAsia="hi-IN" w:bidi="hi-IN"/>
        </w:rPr>
      </w:pPr>
      <w:r w:rsidRPr="00EF402B">
        <w:rPr>
          <w:rFonts w:ascii="Arial" w:eastAsia="Calibri" w:hAnsi="Arial" w:cs="Arial"/>
          <w:color w:val="000000"/>
          <w:kern w:val="1"/>
          <w:lang w:val="es-ES" w:eastAsia="hi-IN" w:bidi="hi-IN"/>
        </w:rPr>
        <w:t>Reţeaua semnificativă de drumuri este prezentată în figura următoare.</w:t>
      </w:r>
    </w:p>
    <w:p w14:paraId="008C45FA" w14:textId="77777777" w:rsidR="00EF402B" w:rsidRDefault="00EF402B" w:rsidP="00EF402B">
      <w:pPr>
        <w:widowControl w:val="0"/>
        <w:suppressAutoHyphens/>
        <w:autoSpaceDE w:val="0"/>
        <w:spacing w:after="0" w:line="360" w:lineRule="auto"/>
        <w:rPr>
          <w:rFonts w:ascii="Arial" w:eastAsia="Calibri" w:hAnsi="Arial" w:cs="Arial"/>
          <w:color w:val="000000"/>
          <w:kern w:val="1"/>
          <w:sz w:val="24"/>
          <w:szCs w:val="24"/>
          <w:lang w:val="es-ES" w:eastAsia="hi-IN" w:bidi="hi-IN"/>
        </w:rPr>
      </w:pPr>
    </w:p>
    <w:p w14:paraId="20653E12" w14:textId="77777777" w:rsidR="00DE4288" w:rsidRPr="00DE4288" w:rsidRDefault="002808A1" w:rsidP="00DE4288">
      <w:pPr>
        <w:widowControl w:val="0"/>
        <w:suppressAutoHyphens/>
        <w:autoSpaceDE w:val="0"/>
        <w:spacing w:after="0" w:line="360" w:lineRule="auto"/>
        <w:jc w:val="center"/>
        <w:rPr>
          <w:rFonts w:ascii="Arial" w:eastAsia="Calibri" w:hAnsi="Arial" w:cs="Arial"/>
          <w:color w:val="000000"/>
          <w:kern w:val="1"/>
          <w:sz w:val="24"/>
          <w:szCs w:val="24"/>
          <w:lang w:val="es-ES" w:eastAsia="hi-IN" w:bidi="hi-IN"/>
        </w:rPr>
      </w:pPr>
      <w:r w:rsidRPr="002808A1">
        <w:rPr>
          <w:rFonts w:ascii="Arial" w:eastAsia="Calibri" w:hAnsi="Arial" w:cs="Arial"/>
          <w:noProof/>
          <w:color w:val="000000"/>
          <w:kern w:val="1"/>
          <w:sz w:val="24"/>
          <w:szCs w:val="24"/>
        </w:rPr>
        <w:lastRenderedPageBreak/>
        <w:drawing>
          <wp:inline distT="0" distB="0" distL="0" distR="0" wp14:anchorId="436518A3" wp14:editId="186F05F3">
            <wp:extent cx="4901565" cy="3263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01565" cy="3263900"/>
                    </a:xfrm>
                    <a:prstGeom prst="rect">
                      <a:avLst/>
                    </a:prstGeom>
                    <a:noFill/>
                    <a:ln>
                      <a:noFill/>
                    </a:ln>
                  </pic:spPr>
                </pic:pic>
              </a:graphicData>
            </a:graphic>
          </wp:inline>
        </w:drawing>
      </w:r>
    </w:p>
    <w:p w14:paraId="670AFF7F" w14:textId="2DFA21CD" w:rsidR="00DE4288" w:rsidRPr="002473AB" w:rsidRDefault="002473AB" w:rsidP="002473AB">
      <w:pPr>
        <w:pStyle w:val="Legend"/>
        <w:jc w:val="center"/>
        <w:rPr>
          <w:rFonts w:ascii="Arial" w:eastAsia="Times New Roman" w:hAnsi="Arial" w:cs="Arial"/>
          <w:kern w:val="1"/>
          <w:sz w:val="22"/>
          <w:szCs w:val="22"/>
          <w:lang w:val="ro-RO" w:eastAsia="hi-IN"/>
        </w:rPr>
      </w:pPr>
      <w:bookmarkStart w:id="76" w:name="_Toc140744450"/>
      <w:r w:rsidRPr="002473AB">
        <w:rPr>
          <w:rFonts w:ascii="Arial" w:hAnsi="Arial" w:cs="Arial"/>
          <w:sz w:val="22"/>
          <w:szCs w:val="22"/>
        </w:rPr>
        <w:t xml:space="preserve">Figura I.2. </w:t>
      </w:r>
      <w:r w:rsidRPr="002473AB">
        <w:rPr>
          <w:rFonts w:ascii="Arial" w:hAnsi="Arial" w:cs="Arial"/>
          <w:sz w:val="22"/>
          <w:szCs w:val="22"/>
        </w:rPr>
        <w:fldChar w:fldCharType="begin"/>
      </w:r>
      <w:r w:rsidRPr="002473AB">
        <w:rPr>
          <w:rFonts w:ascii="Arial" w:hAnsi="Arial" w:cs="Arial"/>
          <w:sz w:val="22"/>
          <w:szCs w:val="22"/>
        </w:rPr>
        <w:instrText xml:space="preserve"> SEQ Figura_I.2. \* ARABIC </w:instrText>
      </w:r>
      <w:r w:rsidRPr="002473AB">
        <w:rPr>
          <w:rFonts w:ascii="Arial" w:hAnsi="Arial" w:cs="Arial"/>
          <w:sz w:val="22"/>
          <w:szCs w:val="22"/>
        </w:rPr>
        <w:fldChar w:fldCharType="separate"/>
      </w:r>
      <w:r w:rsidR="00BB181C">
        <w:rPr>
          <w:rFonts w:ascii="Arial" w:hAnsi="Arial" w:cs="Arial"/>
          <w:noProof/>
          <w:sz w:val="22"/>
          <w:szCs w:val="22"/>
        </w:rPr>
        <w:t>8</w:t>
      </w:r>
      <w:r w:rsidRPr="002473AB">
        <w:rPr>
          <w:rFonts w:ascii="Arial" w:hAnsi="Arial" w:cs="Arial"/>
          <w:sz w:val="22"/>
          <w:szCs w:val="22"/>
        </w:rPr>
        <w:fldChar w:fldCharType="end"/>
      </w:r>
      <w:r w:rsidRPr="002473AB">
        <w:rPr>
          <w:rFonts w:ascii="Arial" w:hAnsi="Arial" w:cs="Arial"/>
          <w:sz w:val="22"/>
          <w:szCs w:val="22"/>
        </w:rPr>
        <w:t xml:space="preserve"> </w:t>
      </w:r>
      <w:r w:rsidR="002808A1" w:rsidRPr="002473AB">
        <w:rPr>
          <w:rFonts w:ascii="Arial" w:hAnsi="Arial" w:cs="Arial"/>
          <w:sz w:val="22"/>
          <w:szCs w:val="22"/>
        </w:rPr>
        <w:t>–</w:t>
      </w:r>
      <w:r w:rsidR="00487B4B" w:rsidRPr="002473AB">
        <w:rPr>
          <w:rFonts w:ascii="Arial" w:hAnsi="Arial" w:cs="Arial"/>
          <w:sz w:val="22"/>
          <w:szCs w:val="22"/>
        </w:rPr>
        <w:t xml:space="preserve"> </w:t>
      </w:r>
      <w:r w:rsidR="002808A1" w:rsidRPr="002473AB">
        <w:rPr>
          <w:rFonts w:ascii="Arial" w:hAnsi="Arial" w:cs="Arial"/>
          <w:i w:val="0"/>
          <w:iCs w:val="0"/>
          <w:sz w:val="22"/>
          <w:szCs w:val="22"/>
        </w:rPr>
        <w:t>Rețeaua rutieră semnificativă – Orașul Horezu</w:t>
      </w:r>
      <w:bookmarkEnd w:id="76"/>
    </w:p>
    <w:p w14:paraId="2BF89101" w14:textId="77777777" w:rsidR="006F66E1" w:rsidRPr="006F66E1" w:rsidRDefault="006F66E1" w:rsidP="006F66E1">
      <w:pPr>
        <w:widowControl w:val="0"/>
        <w:suppressAutoHyphens/>
        <w:spacing w:after="0" w:line="276" w:lineRule="auto"/>
        <w:jc w:val="both"/>
        <w:rPr>
          <w:rFonts w:ascii="Arial" w:eastAsia="Times New Roman" w:hAnsi="Arial" w:cs="Arial"/>
          <w:kern w:val="1"/>
          <w:lang w:val="ro-RO" w:eastAsia="hi-IN"/>
        </w:rPr>
      </w:pPr>
      <w:r w:rsidRPr="006F66E1">
        <w:rPr>
          <w:rFonts w:ascii="Arial" w:eastAsia="Calibri" w:hAnsi="Arial" w:cs="Arial"/>
          <w:color w:val="000000"/>
          <w:kern w:val="1"/>
          <w:lang w:val="es-ES" w:eastAsia="hi-IN" w:bidi="hi-IN"/>
        </w:rPr>
        <w:t>Reţeaua rutieră semnificativă a localit</w:t>
      </w:r>
      <w:r w:rsidR="00DF45AA">
        <w:rPr>
          <w:rFonts w:ascii="Arial" w:eastAsia="Calibri" w:hAnsi="Arial" w:cs="Arial"/>
          <w:color w:val="000000"/>
          <w:kern w:val="1"/>
          <w:lang w:val="es-ES" w:eastAsia="hi-IN" w:bidi="hi-IN"/>
        </w:rPr>
        <w:t>ăț</w:t>
      </w:r>
      <w:r w:rsidRPr="006F66E1">
        <w:rPr>
          <w:rFonts w:ascii="Arial" w:eastAsia="Calibri" w:hAnsi="Arial" w:cs="Arial"/>
          <w:color w:val="000000"/>
          <w:kern w:val="1"/>
          <w:lang w:val="es-ES" w:eastAsia="hi-IN" w:bidi="hi-IN"/>
        </w:rPr>
        <w:t>ii Horezu</w:t>
      </w:r>
      <w:r w:rsidRPr="006F66E1">
        <w:rPr>
          <w:rFonts w:ascii="Arial" w:eastAsia="Times New Roman" w:hAnsi="Arial" w:cs="Arial"/>
          <w:kern w:val="1"/>
          <w:lang w:val="ro-RO" w:eastAsia="hi-IN"/>
        </w:rPr>
        <w:t xml:space="preserve"> este compus</w:t>
      </w:r>
      <w:r w:rsidRPr="006F66E1">
        <w:rPr>
          <w:rFonts w:ascii="Arial" w:eastAsia="Calibri" w:hAnsi="Arial" w:cs="Arial"/>
          <w:color w:val="000000"/>
          <w:kern w:val="1"/>
          <w:lang w:val="es-ES" w:eastAsia="hi-IN" w:bidi="hi-IN"/>
        </w:rPr>
        <w:t>ă</w:t>
      </w:r>
      <w:r w:rsidRPr="006F66E1">
        <w:rPr>
          <w:rFonts w:ascii="Arial" w:eastAsia="Times New Roman" w:hAnsi="Arial" w:cs="Arial"/>
          <w:kern w:val="1"/>
          <w:lang w:val="ro-RO" w:eastAsia="hi-IN"/>
        </w:rPr>
        <w:t xml:space="preserve"> din urm</w:t>
      </w:r>
      <w:r w:rsidRPr="006F66E1">
        <w:rPr>
          <w:rFonts w:ascii="Arial" w:eastAsia="Calibri" w:hAnsi="Arial" w:cs="Arial"/>
          <w:color w:val="000000"/>
          <w:kern w:val="1"/>
          <w:lang w:val="es-ES" w:eastAsia="hi-IN" w:bidi="hi-IN"/>
        </w:rPr>
        <w:t>ă</w:t>
      </w:r>
      <w:r w:rsidRPr="006F66E1">
        <w:rPr>
          <w:rFonts w:ascii="Arial" w:eastAsia="Times New Roman" w:hAnsi="Arial" w:cs="Arial"/>
          <w:kern w:val="1"/>
          <w:lang w:val="ro-RO" w:eastAsia="hi-IN"/>
        </w:rPr>
        <w:t>toarele artere de circula</w:t>
      </w:r>
      <w:r w:rsidRPr="006F66E1">
        <w:rPr>
          <w:rFonts w:ascii="Arial" w:eastAsia="Calibri" w:hAnsi="Arial" w:cs="Arial"/>
          <w:color w:val="000000"/>
          <w:kern w:val="1"/>
          <w:lang w:val="es-ES" w:eastAsia="hi-IN" w:bidi="hi-IN"/>
        </w:rPr>
        <w:t>ţ</w:t>
      </w:r>
      <w:r w:rsidRPr="006F66E1">
        <w:rPr>
          <w:rFonts w:ascii="Arial" w:eastAsia="Times New Roman" w:hAnsi="Arial" w:cs="Arial"/>
          <w:kern w:val="1"/>
          <w:lang w:val="ro-RO" w:eastAsia="hi-IN"/>
        </w:rPr>
        <w:t>ie:</w:t>
      </w:r>
    </w:p>
    <w:p w14:paraId="79DF97B2" w14:textId="77777777" w:rsidR="006F66E1" w:rsidRPr="006F66E1" w:rsidRDefault="006F66E1" w:rsidP="006F66E1">
      <w:pPr>
        <w:widowControl w:val="0"/>
        <w:suppressAutoHyphens/>
        <w:spacing w:after="0" w:line="360" w:lineRule="auto"/>
        <w:jc w:val="both"/>
        <w:rPr>
          <w:rFonts w:ascii="Arial" w:eastAsia="Times New Roman" w:hAnsi="Arial" w:cs="Arial"/>
          <w:kern w:val="1"/>
          <w:sz w:val="24"/>
          <w:szCs w:val="24"/>
          <w:lang w:val="ro-RO" w:eastAsia="hi-IN"/>
        </w:rPr>
      </w:pPr>
    </w:p>
    <w:p w14:paraId="11CB7AAF" w14:textId="51928E71" w:rsidR="006F66E1" w:rsidRPr="002473AB" w:rsidRDefault="002473AB" w:rsidP="002473AB">
      <w:pPr>
        <w:pStyle w:val="Legend"/>
        <w:jc w:val="center"/>
        <w:rPr>
          <w:rFonts w:ascii="Arial" w:hAnsi="Arial" w:cs="Arial"/>
          <w:i w:val="0"/>
          <w:iCs w:val="0"/>
          <w:color w:val="1F497D"/>
          <w:sz w:val="22"/>
          <w:szCs w:val="22"/>
        </w:rPr>
      </w:pPr>
      <w:bookmarkStart w:id="77" w:name="_Toc68361216"/>
      <w:bookmarkStart w:id="78" w:name="_Toc140744578"/>
      <w:r w:rsidRPr="002473AB">
        <w:rPr>
          <w:rFonts w:ascii="Arial" w:hAnsi="Arial" w:cs="Arial"/>
          <w:sz w:val="22"/>
          <w:szCs w:val="22"/>
        </w:rPr>
        <w:t xml:space="preserve">Tabel I.2. </w:t>
      </w:r>
      <w:r w:rsidRPr="002473AB">
        <w:rPr>
          <w:rFonts w:ascii="Arial" w:hAnsi="Arial" w:cs="Arial"/>
          <w:sz w:val="22"/>
          <w:szCs w:val="22"/>
        </w:rPr>
        <w:fldChar w:fldCharType="begin"/>
      </w:r>
      <w:r w:rsidRPr="002473AB">
        <w:rPr>
          <w:rFonts w:ascii="Arial" w:hAnsi="Arial" w:cs="Arial"/>
          <w:sz w:val="22"/>
          <w:szCs w:val="22"/>
        </w:rPr>
        <w:instrText xml:space="preserve"> SEQ Tabel_I.2. \* ARABIC </w:instrText>
      </w:r>
      <w:r w:rsidRPr="002473AB">
        <w:rPr>
          <w:rFonts w:ascii="Arial" w:hAnsi="Arial" w:cs="Arial"/>
          <w:sz w:val="22"/>
          <w:szCs w:val="22"/>
        </w:rPr>
        <w:fldChar w:fldCharType="separate"/>
      </w:r>
      <w:r w:rsidR="00BB181C">
        <w:rPr>
          <w:rFonts w:ascii="Arial" w:hAnsi="Arial" w:cs="Arial"/>
          <w:noProof/>
          <w:sz w:val="22"/>
          <w:szCs w:val="22"/>
        </w:rPr>
        <w:t>12</w:t>
      </w:r>
      <w:r w:rsidRPr="002473AB">
        <w:rPr>
          <w:rFonts w:ascii="Arial" w:hAnsi="Arial" w:cs="Arial"/>
          <w:sz w:val="22"/>
          <w:szCs w:val="22"/>
        </w:rPr>
        <w:fldChar w:fldCharType="end"/>
      </w:r>
      <w:r w:rsidRPr="002473AB">
        <w:rPr>
          <w:rFonts w:ascii="Arial" w:hAnsi="Arial" w:cs="Arial"/>
          <w:sz w:val="22"/>
          <w:szCs w:val="22"/>
        </w:rPr>
        <w:t xml:space="preserve"> </w:t>
      </w:r>
      <w:r w:rsidR="006F66E1" w:rsidRPr="002473AB">
        <w:rPr>
          <w:rFonts w:ascii="Arial" w:hAnsi="Arial" w:cs="Arial"/>
          <w:color w:val="1F497D"/>
          <w:sz w:val="22"/>
          <w:szCs w:val="22"/>
        </w:rPr>
        <w:t xml:space="preserve">- </w:t>
      </w:r>
      <w:r w:rsidR="006F66E1" w:rsidRPr="002473AB">
        <w:rPr>
          <w:rFonts w:ascii="Arial" w:hAnsi="Arial" w:cs="Arial"/>
          <w:i w:val="0"/>
          <w:iCs w:val="0"/>
          <w:color w:val="1F497D"/>
          <w:sz w:val="22"/>
          <w:szCs w:val="22"/>
        </w:rPr>
        <w:t xml:space="preserve">Reţeaua rutieră semnificativă – </w:t>
      </w:r>
      <w:bookmarkEnd w:id="77"/>
      <w:r w:rsidR="006F66E1" w:rsidRPr="002473AB">
        <w:rPr>
          <w:rFonts w:ascii="Arial" w:hAnsi="Arial" w:cs="Arial"/>
          <w:i w:val="0"/>
          <w:iCs w:val="0"/>
          <w:color w:val="1F497D"/>
          <w:sz w:val="22"/>
          <w:szCs w:val="22"/>
        </w:rPr>
        <w:t>UAT Horezu</w:t>
      </w:r>
      <w:bookmarkEnd w:id="78"/>
    </w:p>
    <w:tbl>
      <w:tblPr>
        <w:tblW w:w="10761"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80"/>
        <w:gridCol w:w="1843"/>
        <w:gridCol w:w="850"/>
        <w:gridCol w:w="709"/>
        <w:gridCol w:w="709"/>
        <w:gridCol w:w="567"/>
        <w:gridCol w:w="1134"/>
        <w:gridCol w:w="851"/>
        <w:gridCol w:w="992"/>
        <w:gridCol w:w="2126"/>
      </w:tblGrid>
      <w:tr w:rsidR="006F66E1" w:rsidRPr="006F66E1" w14:paraId="690E986A" w14:textId="77777777" w:rsidTr="0013721C">
        <w:trPr>
          <w:trHeight w:val="255"/>
          <w:tblHeader/>
        </w:trPr>
        <w:tc>
          <w:tcPr>
            <w:tcW w:w="980" w:type="dxa"/>
            <w:tcMar>
              <w:left w:w="0" w:type="dxa"/>
              <w:right w:w="0" w:type="dxa"/>
            </w:tcMar>
          </w:tcPr>
          <w:p w14:paraId="462E3828" w14:textId="77777777" w:rsidR="006F66E1" w:rsidRP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Loca</w:t>
            </w:r>
            <w:r w:rsidR="00DF45AA">
              <w:rPr>
                <w:rFonts w:ascii="Arial" w:eastAsia="Times New Roman" w:hAnsi="Arial" w:cs="Arial"/>
                <w:b/>
                <w:color w:val="000000"/>
                <w:sz w:val="16"/>
                <w:szCs w:val="16"/>
                <w:lang w:val="fr-FR" w:eastAsia="fr-FR"/>
              </w:rPr>
              <w:t>ț</w:t>
            </w:r>
            <w:r w:rsidRPr="006F66E1">
              <w:rPr>
                <w:rFonts w:ascii="Arial" w:eastAsia="Times New Roman" w:hAnsi="Arial" w:cs="Arial"/>
                <w:b/>
                <w:color w:val="000000"/>
                <w:sz w:val="16"/>
                <w:szCs w:val="16"/>
                <w:lang w:val="fr-FR" w:eastAsia="fr-FR"/>
              </w:rPr>
              <w:t>ie</w:t>
            </w:r>
          </w:p>
        </w:tc>
        <w:tc>
          <w:tcPr>
            <w:tcW w:w="1843" w:type="dxa"/>
            <w:shd w:val="clear" w:color="auto" w:fill="auto"/>
            <w:noWrap/>
            <w:tcMar>
              <w:left w:w="0" w:type="dxa"/>
              <w:right w:w="0" w:type="dxa"/>
            </w:tcMar>
            <w:hideMark/>
          </w:tcPr>
          <w:p w14:paraId="762D334A" w14:textId="77777777" w:rsidR="006F66E1" w:rsidRP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Denumire</w:t>
            </w:r>
          </w:p>
        </w:tc>
        <w:tc>
          <w:tcPr>
            <w:tcW w:w="850" w:type="dxa"/>
            <w:shd w:val="clear" w:color="auto" w:fill="auto"/>
            <w:noWrap/>
            <w:tcMar>
              <w:left w:w="0" w:type="dxa"/>
              <w:right w:w="0" w:type="dxa"/>
            </w:tcMar>
            <w:hideMark/>
          </w:tcPr>
          <w:p w14:paraId="3F159924" w14:textId="77777777" w:rsidR="006F66E1" w:rsidRP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Tip</w:t>
            </w:r>
          </w:p>
        </w:tc>
        <w:tc>
          <w:tcPr>
            <w:tcW w:w="709" w:type="dxa"/>
            <w:shd w:val="clear" w:color="auto" w:fill="auto"/>
            <w:noWrap/>
            <w:tcMar>
              <w:left w:w="0" w:type="dxa"/>
              <w:right w:w="0" w:type="dxa"/>
            </w:tcMar>
            <w:hideMark/>
          </w:tcPr>
          <w:p w14:paraId="6C77E988" w14:textId="77777777" w:rsid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Lungime</w:t>
            </w:r>
          </w:p>
          <w:p w14:paraId="3AA0CC46" w14:textId="0CAD7A1B" w:rsidR="00B061F7" w:rsidRPr="006F66E1" w:rsidRDefault="00B061F7" w:rsidP="006F66E1">
            <w:pPr>
              <w:spacing w:after="0" w:line="240" w:lineRule="auto"/>
              <w:jc w:val="center"/>
              <w:rPr>
                <w:rFonts w:ascii="Arial" w:eastAsia="Times New Roman" w:hAnsi="Arial" w:cs="Arial"/>
                <w:b/>
                <w:color w:val="000000"/>
                <w:sz w:val="16"/>
                <w:szCs w:val="16"/>
                <w:lang w:val="fr-FR" w:eastAsia="fr-FR"/>
              </w:rPr>
            </w:pPr>
            <w:r>
              <w:rPr>
                <w:rFonts w:ascii="Arial" w:eastAsia="Times New Roman" w:hAnsi="Arial" w:cs="Arial"/>
                <w:b/>
                <w:color w:val="000000"/>
                <w:sz w:val="16"/>
                <w:szCs w:val="16"/>
                <w:lang w:val="fr-FR" w:eastAsia="fr-FR"/>
              </w:rPr>
              <w:t>[m]</w:t>
            </w:r>
          </w:p>
        </w:tc>
        <w:tc>
          <w:tcPr>
            <w:tcW w:w="709" w:type="dxa"/>
            <w:shd w:val="clear" w:color="auto" w:fill="auto"/>
            <w:noWrap/>
            <w:tcMar>
              <w:left w:w="0" w:type="dxa"/>
              <w:right w:w="0" w:type="dxa"/>
            </w:tcMar>
            <w:hideMark/>
          </w:tcPr>
          <w:p w14:paraId="45C97D3C" w14:textId="548C0F5F" w:rsidR="006F66E1" w:rsidRP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L</w:t>
            </w:r>
            <w:r w:rsidR="0013721C">
              <w:rPr>
                <w:rFonts w:ascii="Arial" w:eastAsia="Times New Roman" w:hAnsi="Arial" w:cs="Arial"/>
                <w:b/>
                <w:color w:val="000000"/>
                <w:sz w:val="16"/>
                <w:szCs w:val="16"/>
                <w:lang w:val="fr-FR" w:eastAsia="fr-FR"/>
              </w:rPr>
              <w:t>ăț</w:t>
            </w:r>
            <w:r w:rsidRPr="006F66E1">
              <w:rPr>
                <w:rFonts w:ascii="Arial" w:eastAsia="Times New Roman" w:hAnsi="Arial" w:cs="Arial"/>
                <w:b/>
                <w:color w:val="000000"/>
                <w:sz w:val="16"/>
                <w:szCs w:val="16"/>
                <w:lang w:val="fr-FR" w:eastAsia="fr-FR"/>
              </w:rPr>
              <w:t>ime medie</w:t>
            </w:r>
            <w:r w:rsidR="00B061F7">
              <w:rPr>
                <w:rFonts w:ascii="Arial" w:eastAsia="Times New Roman" w:hAnsi="Arial" w:cs="Arial"/>
                <w:b/>
                <w:color w:val="000000"/>
                <w:sz w:val="16"/>
                <w:szCs w:val="16"/>
                <w:lang w:val="fr-FR" w:eastAsia="fr-FR"/>
              </w:rPr>
              <w:t xml:space="preserve"> [m]</w:t>
            </w:r>
          </w:p>
        </w:tc>
        <w:tc>
          <w:tcPr>
            <w:tcW w:w="567" w:type="dxa"/>
            <w:shd w:val="clear" w:color="auto" w:fill="auto"/>
            <w:noWrap/>
            <w:tcMar>
              <w:left w:w="0" w:type="dxa"/>
              <w:right w:w="0" w:type="dxa"/>
            </w:tcMar>
            <w:vAlign w:val="center"/>
            <w:hideMark/>
          </w:tcPr>
          <w:p w14:paraId="5DD63E89" w14:textId="77777777" w:rsidR="006F66E1" w:rsidRP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Nr. benzi</w:t>
            </w:r>
          </w:p>
        </w:tc>
        <w:tc>
          <w:tcPr>
            <w:tcW w:w="1134" w:type="dxa"/>
            <w:shd w:val="clear" w:color="auto" w:fill="auto"/>
            <w:noWrap/>
            <w:tcMar>
              <w:left w:w="0" w:type="dxa"/>
              <w:right w:w="0" w:type="dxa"/>
            </w:tcMar>
            <w:vAlign w:val="center"/>
            <w:hideMark/>
          </w:tcPr>
          <w:p w14:paraId="7F2A0281" w14:textId="77777777" w:rsidR="006F66E1" w:rsidRP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Sistem constructiv</w:t>
            </w:r>
          </w:p>
        </w:tc>
        <w:tc>
          <w:tcPr>
            <w:tcW w:w="851" w:type="dxa"/>
            <w:shd w:val="clear" w:color="auto" w:fill="auto"/>
            <w:noWrap/>
            <w:tcMar>
              <w:left w:w="0" w:type="dxa"/>
              <w:right w:w="0" w:type="dxa"/>
            </w:tcMar>
            <w:vAlign w:val="center"/>
            <w:hideMark/>
          </w:tcPr>
          <w:p w14:paraId="09AF0EEB" w14:textId="77777777" w:rsidR="006F66E1" w:rsidRP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Trotuare</w:t>
            </w:r>
          </w:p>
        </w:tc>
        <w:tc>
          <w:tcPr>
            <w:tcW w:w="992" w:type="dxa"/>
            <w:tcMar>
              <w:left w:w="0" w:type="dxa"/>
              <w:right w:w="0" w:type="dxa"/>
            </w:tcMar>
          </w:tcPr>
          <w:p w14:paraId="1BDC112F" w14:textId="77777777" w:rsidR="006F66E1" w:rsidRP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Categorie</w:t>
            </w:r>
          </w:p>
        </w:tc>
        <w:tc>
          <w:tcPr>
            <w:tcW w:w="2126" w:type="dxa"/>
            <w:shd w:val="clear" w:color="auto" w:fill="auto"/>
            <w:noWrap/>
            <w:tcMar>
              <w:left w:w="0" w:type="dxa"/>
              <w:right w:w="0" w:type="dxa"/>
            </w:tcMar>
            <w:hideMark/>
          </w:tcPr>
          <w:p w14:paraId="648BFA4F" w14:textId="77777777" w:rsidR="006F66E1" w:rsidRPr="006F66E1" w:rsidRDefault="006F66E1" w:rsidP="006F66E1">
            <w:pPr>
              <w:spacing w:after="0" w:line="240" w:lineRule="auto"/>
              <w:jc w:val="center"/>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Observa</w:t>
            </w:r>
            <w:r w:rsidR="0013721C">
              <w:rPr>
                <w:rFonts w:ascii="Arial" w:eastAsia="Times New Roman" w:hAnsi="Arial" w:cs="Arial"/>
                <w:b/>
                <w:color w:val="000000"/>
                <w:sz w:val="16"/>
                <w:szCs w:val="16"/>
                <w:lang w:val="fr-FR" w:eastAsia="fr-FR"/>
              </w:rPr>
              <w:t>ț</w:t>
            </w:r>
            <w:r w:rsidRPr="006F66E1">
              <w:rPr>
                <w:rFonts w:ascii="Arial" w:eastAsia="Times New Roman" w:hAnsi="Arial" w:cs="Arial"/>
                <w:b/>
                <w:color w:val="000000"/>
                <w:sz w:val="16"/>
                <w:szCs w:val="16"/>
                <w:lang w:val="fr-FR" w:eastAsia="fr-FR"/>
              </w:rPr>
              <w:t>ii</w:t>
            </w:r>
          </w:p>
        </w:tc>
      </w:tr>
      <w:tr w:rsidR="006F66E1" w:rsidRPr="006F66E1" w14:paraId="1F25F5BD" w14:textId="77777777" w:rsidTr="006F2DE6">
        <w:trPr>
          <w:trHeight w:val="255"/>
        </w:trPr>
        <w:tc>
          <w:tcPr>
            <w:tcW w:w="980" w:type="dxa"/>
            <w:vMerge w:val="restart"/>
            <w:tcMar>
              <w:left w:w="57" w:type="dxa"/>
              <w:right w:w="57" w:type="dxa"/>
            </w:tcMar>
          </w:tcPr>
          <w:p w14:paraId="6FFA140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Ora</w:t>
            </w:r>
            <w:r w:rsidR="0013721C">
              <w:rPr>
                <w:rFonts w:ascii="Arial" w:eastAsia="Times New Roman" w:hAnsi="Arial" w:cs="Arial"/>
                <w:b/>
                <w:color w:val="000000"/>
                <w:sz w:val="16"/>
                <w:szCs w:val="16"/>
                <w:lang w:val="fr-FR" w:eastAsia="fr-FR"/>
              </w:rPr>
              <w:t>ș</w:t>
            </w:r>
            <w:r w:rsidRPr="006F66E1">
              <w:rPr>
                <w:rFonts w:ascii="Arial" w:eastAsia="Times New Roman" w:hAnsi="Arial" w:cs="Arial"/>
                <w:b/>
                <w:color w:val="000000"/>
                <w:sz w:val="16"/>
                <w:szCs w:val="16"/>
                <w:lang w:val="fr-FR" w:eastAsia="fr-FR"/>
              </w:rPr>
              <w:t xml:space="preserve"> Horezu</w:t>
            </w:r>
          </w:p>
        </w:tc>
        <w:tc>
          <w:tcPr>
            <w:tcW w:w="1843" w:type="dxa"/>
            <w:shd w:val="clear" w:color="auto" w:fill="auto"/>
            <w:noWrap/>
            <w:tcMar>
              <w:left w:w="57" w:type="dxa"/>
              <w:right w:w="57" w:type="dxa"/>
            </w:tcMar>
            <w:vAlign w:val="center"/>
            <w:hideMark/>
          </w:tcPr>
          <w:p w14:paraId="67DFB54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AL. I. CUZA</w:t>
            </w:r>
          </w:p>
        </w:tc>
        <w:tc>
          <w:tcPr>
            <w:tcW w:w="850" w:type="dxa"/>
            <w:shd w:val="clear" w:color="auto" w:fill="auto"/>
            <w:noWrap/>
            <w:tcMar>
              <w:left w:w="57" w:type="dxa"/>
              <w:right w:w="57" w:type="dxa"/>
            </w:tcMar>
            <w:vAlign w:val="center"/>
            <w:hideMark/>
          </w:tcPr>
          <w:p w14:paraId="0C3B1395"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DC139</w:t>
            </w:r>
          </w:p>
        </w:tc>
        <w:tc>
          <w:tcPr>
            <w:tcW w:w="709" w:type="dxa"/>
            <w:shd w:val="clear" w:color="auto" w:fill="auto"/>
            <w:noWrap/>
            <w:tcMar>
              <w:left w:w="57" w:type="dxa"/>
              <w:right w:w="57" w:type="dxa"/>
            </w:tcMar>
            <w:vAlign w:val="center"/>
            <w:hideMark/>
          </w:tcPr>
          <w:p w14:paraId="516AEEF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1470</w:t>
            </w:r>
          </w:p>
        </w:tc>
        <w:tc>
          <w:tcPr>
            <w:tcW w:w="709" w:type="dxa"/>
            <w:shd w:val="clear" w:color="auto" w:fill="auto"/>
            <w:noWrap/>
            <w:tcMar>
              <w:left w:w="57" w:type="dxa"/>
              <w:right w:w="57" w:type="dxa"/>
            </w:tcMar>
            <w:vAlign w:val="center"/>
            <w:hideMark/>
          </w:tcPr>
          <w:p w14:paraId="0E5EE15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w:t>
            </w:r>
          </w:p>
        </w:tc>
        <w:tc>
          <w:tcPr>
            <w:tcW w:w="567" w:type="dxa"/>
            <w:shd w:val="clear" w:color="auto" w:fill="auto"/>
            <w:noWrap/>
            <w:tcMar>
              <w:left w:w="57" w:type="dxa"/>
              <w:right w:w="57" w:type="dxa"/>
            </w:tcMar>
            <w:vAlign w:val="center"/>
            <w:hideMark/>
          </w:tcPr>
          <w:p w14:paraId="68F7650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5EB8DA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8A5AD1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36EDFD0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311062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571DAB5" w14:textId="77777777" w:rsidTr="006F2DE6">
        <w:trPr>
          <w:trHeight w:val="255"/>
        </w:trPr>
        <w:tc>
          <w:tcPr>
            <w:tcW w:w="980" w:type="dxa"/>
            <w:vMerge/>
            <w:tcMar>
              <w:left w:w="57" w:type="dxa"/>
              <w:right w:w="57" w:type="dxa"/>
            </w:tcMar>
          </w:tcPr>
          <w:p w14:paraId="0E5118E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834DCB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ANTON PANN</w:t>
            </w:r>
          </w:p>
        </w:tc>
        <w:tc>
          <w:tcPr>
            <w:tcW w:w="850" w:type="dxa"/>
            <w:shd w:val="clear" w:color="auto" w:fill="auto"/>
            <w:noWrap/>
            <w:tcMar>
              <w:left w:w="57" w:type="dxa"/>
              <w:right w:w="57" w:type="dxa"/>
            </w:tcMar>
            <w:vAlign w:val="center"/>
            <w:hideMark/>
          </w:tcPr>
          <w:p w14:paraId="7F05067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7ED4F75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61</w:t>
            </w:r>
          </w:p>
        </w:tc>
        <w:tc>
          <w:tcPr>
            <w:tcW w:w="709" w:type="dxa"/>
            <w:shd w:val="clear" w:color="auto" w:fill="auto"/>
            <w:noWrap/>
            <w:tcMar>
              <w:left w:w="57" w:type="dxa"/>
              <w:right w:w="57" w:type="dxa"/>
            </w:tcMar>
            <w:vAlign w:val="center"/>
            <w:hideMark/>
          </w:tcPr>
          <w:p w14:paraId="4B2199C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11</w:t>
            </w:r>
          </w:p>
        </w:tc>
        <w:tc>
          <w:tcPr>
            <w:tcW w:w="567" w:type="dxa"/>
            <w:shd w:val="clear" w:color="auto" w:fill="auto"/>
            <w:noWrap/>
            <w:tcMar>
              <w:left w:w="57" w:type="dxa"/>
              <w:right w:w="57" w:type="dxa"/>
            </w:tcMar>
            <w:vAlign w:val="center"/>
            <w:hideMark/>
          </w:tcPr>
          <w:p w14:paraId="6316152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6137590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235F612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1D1EAF1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3D2FFFB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CC79DD0" w14:textId="77777777" w:rsidTr="006F2DE6">
        <w:trPr>
          <w:trHeight w:val="255"/>
        </w:trPr>
        <w:tc>
          <w:tcPr>
            <w:tcW w:w="980" w:type="dxa"/>
            <w:vMerge/>
            <w:tcMar>
              <w:left w:w="57" w:type="dxa"/>
              <w:right w:w="57" w:type="dxa"/>
            </w:tcMar>
          </w:tcPr>
          <w:p w14:paraId="2BE039A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4119FA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BĂLANEŞTI</w:t>
            </w:r>
          </w:p>
        </w:tc>
        <w:tc>
          <w:tcPr>
            <w:tcW w:w="850" w:type="dxa"/>
            <w:shd w:val="clear" w:color="auto" w:fill="auto"/>
            <w:noWrap/>
            <w:tcMar>
              <w:left w:w="57" w:type="dxa"/>
              <w:right w:w="57" w:type="dxa"/>
            </w:tcMar>
            <w:vAlign w:val="center"/>
            <w:hideMark/>
          </w:tcPr>
          <w:p w14:paraId="4326A28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C36259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755</w:t>
            </w:r>
          </w:p>
        </w:tc>
        <w:tc>
          <w:tcPr>
            <w:tcW w:w="709" w:type="dxa"/>
            <w:shd w:val="clear" w:color="auto" w:fill="auto"/>
            <w:noWrap/>
            <w:tcMar>
              <w:left w:w="57" w:type="dxa"/>
              <w:right w:w="57" w:type="dxa"/>
            </w:tcMar>
            <w:vAlign w:val="center"/>
            <w:hideMark/>
          </w:tcPr>
          <w:p w14:paraId="044C875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06F1EA8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09BE2A0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5F5F669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9EEDDE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0BC4ED1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57708A2" w14:textId="77777777" w:rsidTr="006F2DE6">
        <w:trPr>
          <w:trHeight w:val="255"/>
        </w:trPr>
        <w:tc>
          <w:tcPr>
            <w:tcW w:w="980" w:type="dxa"/>
            <w:vMerge/>
            <w:tcMar>
              <w:left w:w="57" w:type="dxa"/>
              <w:right w:w="57" w:type="dxa"/>
            </w:tcMar>
          </w:tcPr>
          <w:p w14:paraId="30FDF8F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tcPr>
          <w:p w14:paraId="1A453C1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BUZEŞTI</w:t>
            </w:r>
          </w:p>
        </w:tc>
        <w:tc>
          <w:tcPr>
            <w:tcW w:w="850" w:type="dxa"/>
            <w:shd w:val="clear" w:color="auto" w:fill="auto"/>
            <w:noWrap/>
            <w:tcMar>
              <w:left w:w="57" w:type="dxa"/>
              <w:right w:w="57" w:type="dxa"/>
            </w:tcMar>
            <w:vAlign w:val="center"/>
          </w:tcPr>
          <w:p w14:paraId="6D1E9A0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tcPr>
          <w:p w14:paraId="4A07619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520</w:t>
            </w:r>
          </w:p>
        </w:tc>
        <w:tc>
          <w:tcPr>
            <w:tcW w:w="709" w:type="dxa"/>
            <w:shd w:val="clear" w:color="auto" w:fill="auto"/>
            <w:noWrap/>
            <w:tcMar>
              <w:left w:w="57" w:type="dxa"/>
              <w:right w:w="57" w:type="dxa"/>
            </w:tcMar>
            <w:vAlign w:val="center"/>
          </w:tcPr>
          <w:p w14:paraId="1838E66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tcPr>
          <w:p w14:paraId="59EBEED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tcPr>
          <w:p w14:paraId="4B3747E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tcPr>
          <w:p w14:paraId="22CE954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A40AFC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tcPr>
          <w:p w14:paraId="4EA39AD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40F3B84" w14:textId="77777777" w:rsidTr="006F2DE6">
        <w:trPr>
          <w:trHeight w:val="255"/>
        </w:trPr>
        <w:tc>
          <w:tcPr>
            <w:tcW w:w="980" w:type="dxa"/>
            <w:vMerge/>
            <w:tcMar>
              <w:left w:w="57" w:type="dxa"/>
              <w:right w:w="57" w:type="dxa"/>
            </w:tcMar>
          </w:tcPr>
          <w:p w14:paraId="72931E5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0FFFA9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CAPITAN MALDĂR</w:t>
            </w:r>
          </w:p>
        </w:tc>
        <w:tc>
          <w:tcPr>
            <w:tcW w:w="850" w:type="dxa"/>
            <w:shd w:val="clear" w:color="auto" w:fill="auto"/>
            <w:noWrap/>
            <w:tcMar>
              <w:left w:w="57" w:type="dxa"/>
              <w:right w:w="57" w:type="dxa"/>
            </w:tcMar>
            <w:vAlign w:val="center"/>
            <w:hideMark/>
          </w:tcPr>
          <w:p w14:paraId="473D975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0E3198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615</w:t>
            </w:r>
          </w:p>
        </w:tc>
        <w:tc>
          <w:tcPr>
            <w:tcW w:w="709" w:type="dxa"/>
            <w:shd w:val="clear" w:color="auto" w:fill="auto"/>
            <w:noWrap/>
            <w:tcMar>
              <w:left w:w="57" w:type="dxa"/>
              <w:right w:w="57" w:type="dxa"/>
            </w:tcMar>
            <w:vAlign w:val="center"/>
            <w:hideMark/>
          </w:tcPr>
          <w:p w14:paraId="435729B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01E8D50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C41758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5646FC9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7C55D67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0411A5B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E3CEF27" w14:textId="77777777" w:rsidTr="006F2DE6">
        <w:trPr>
          <w:trHeight w:val="255"/>
        </w:trPr>
        <w:tc>
          <w:tcPr>
            <w:tcW w:w="980" w:type="dxa"/>
            <w:vMerge/>
            <w:tcMar>
              <w:left w:w="57" w:type="dxa"/>
              <w:right w:w="57" w:type="dxa"/>
            </w:tcMar>
          </w:tcPr>
          <w:p w14:paraId="476B0F3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133B022"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CENTRALĂ</w:t>
            </w:r>
          </w:p>
        </w:tc>
        <w:tc>
          <w:tcPr>
            <w:tcW w:w="850" w:type="dxa"/>
            <w:shd w:val="clear" w:color="auto" w:fill="auto"/>
            <w:noWrap/>
            <w:tcMar>
              <w:left w:w="57" w:type="dxa"/>
              <w:right w:w="57" w:type="dxa"/>
            </w:tcMar>
            <w:vAlign w:val="center"/>
            <w:hideMark/>
          </w:tcPr>
          <w:p w14:paraId="66F8EB8E"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7671934E"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215</w:t>
            </w:r>
          </w:p>
        </w:tc>
        <w:tc>
          <w:tcPr>
            <w:tcW w:w="709" w:type="dxa"/>
            <w:shd w:val="clear" w:color="auto" w:fill="auto"/>
            <w:noWrap/>
            <w:tcMar>
              <w:left w:w="57" w:type="dxa"/>
              <w:right w:w="57" w:type="dxa"/>
            </w:tcMar>
            <w:vAlign w:val="center"/>
            <w:hideMark/>
          </w:tcPr>
          <w:p w14:paraId="7E2D06A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4.5</w:t>
            </w:r>
          </w:p>
        </w:tc>
        <w:tc>
          <w:tcPr>
            <w:tcW w:w="567" w:type="dxa"/>
            <w:shd w:val="clear" w:color="auto" w:fill="auto"/>
            <w:noWrap/>
            <w:tcMar>
              <w:left w:w="57" w:type="dxa"/>
              <w:right w:w="57" w:type="dxa"/>
            </w:tcMar>
            <w:vAlign w:val="center"/>
            <w:hideMark/>
          </w:tcPr>
          <w:p w14:paraId="2066180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07B598A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5CADB75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F5ECCA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42DD48C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5676973" w14:textId="77777777" w:rsidTr="006F2DE6">
        <w:trPr>
          <w:trHeight w:val="255"/>
        </w:trPr>
        <w:tc>
          <w:tcPr>
            <w:tcW w:w="980" w:type="dxa"/>
            <w:vMerge/>
            <w:tcMar>
              <w:left w:w="57" w:type="dxa"/>
              <w:right w:w="57" w:type="dxa"/>
            </w:tcMar>
          </w:tcPr>
          <w:p w14:paraId="42AF793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60CB23B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 xml:space="preserve">CONSTANTIN BRÂNCOVEANU </w:t>
            </w:r>
          </w:p>
        </w:tc>
        <w:tc>
          <w:tcPr>
            <w:tcW w:w="850" w:type="dxa"/>
            <w:shd w:val="clear" w:color="auto" w:fill="auto"/>
            <w:noWrap/>
            <w:tcMar>
              <w:left w:w="57" w:type="dxa"/>
              <w:right w:w="57" w:type="dxa"/>
            </w:tcMar>
            <w:vAlign w:val="center"/>
            <w:hideMark/>
          </w:tcPr>
          <w:p w14:paraId="6C25849C"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DC146</w:t>
            </w:r>
          </w:p>
        </w:tc>
        <w:tc>
          <w:tcPr>
            <w:tcW w:w="709" w:type="dxa"/>
            <w:shd w:val="clear" w:color="auto" w:fill="auto"/>
            <w:noWrap/>
            <w:tcMar>
              <w:left w:w="57" w:type="dxa"/>
              <w:right w:w="57" w:type="dxa"/>
            </w:tcMar>
            <w:vAlign w:val="center"/>
            <w:hideMark/>
          </w:tcPr>
          <w:p w14:paraId="765D34C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556</w:t>
            </w:r>
          </w:p>
        </w:tc>
        <w:tc>
          <w:tcPr>
            <w:tcW w:w="709" w:type="dxa"/>
            <w:shd w:val="clear" w:color="auto" w:fill="auto"/>
            <w:noWrap/>
            <w:tcMar>
              <w:left w:w="57" w:type="dxa"/>
              <w:right w:w="57" w:type="dxa"/>
            </w:tcMar>
            <w:vAlign w:val="center"/>
            <w:hideMark/>
          </w:tcPr>
          <w:p w14:paraId="70BF9E7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15</w:t>
            </w:r>
          </w:p>
        </w:tc>
        <w:tc>
          <w:tcPr>
            <w:tcW w:w="567" w:type="dxa"/>
            <w:shd w:val="clear" w:color="auto" w:fill="auto"/>
            <w:noWrap/>
            <w:tcMar>
              <w:left w:w="57" w:type="dxa"/>
              <w:right w:w="57" w:type="dxa"/>
            </w:tcMar>
            <w:vAlign w:val="center"/>
            <w:hideMark/>
          </w:tcPr>
          <w:p w14:paraId="022F677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6FA2170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385A419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7993D4F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375DD2A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E521064" w14:textId="77777777" w:rsidTr="006F2DE6">
        <w:trPr>
          <w:trHeight w:val="255"/>
        </w:trPr>
        <w:tc>
          <w:tcPr>
            <w:tcW w:w="980" w:type="dxa"/>
            <w:vMerge/>
            <w:tcMar>
              <w:left w:w="57" w:type="dxa"/>
              <w:right w:w="57" w:type="dxa"/>
            </w:tcMar>
          </w:tcPr>
          <w:p w14:paraId="0B45224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6405B1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 xml:space="preserve">CONSTANTIN BRÂNCOVEANU </w:t>
            </w:r>
          </w:p>
        </w:tc>
        <w:tc>
          <w:tcPr>
            <w:tcW w:w="850" w:type="dxa"/>
            <w:shd w:val="clear" w:color="auto" w:fill="auto"/>
            <w:noWrap/>
            <w:tcMar>
              <w:left w:w="57" w:type="dxa"/>
              <w:right w:w="57" w:type="dxa"/>
            </w:tcMar>
            <w:vAlign w:val="center"/>
            <w:hideMark/>
          </w:tcPr>
          <w:p w14:paraId="1DF3CA7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DC146</w:t>
            </w:r>
          </w:p>
        </w:tc>
        <w:tc>
          <w:tcPr>
            <w:tcW w:w="709" w:type="dxa"/>
            <w:shd w:val="clear" w:color="auto" w:fill="auto"/>
            <w:noWrap/>
            <w:tcMar>
              <w:left w:w="57" w:type="dxa"/>
              <w:right w:w="57" w:type="dxa"/>
            </w:tcMar>
            <w:vAlign w:val="center"/>
            <w:hideMark/>
          </w:tcPr>
          <w:p w14:paraId="2CAAFECA"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90</w:t>
            </w:r>
          </w:p>
        </w:tc>
        <w:tc>
          <w:tcPr>
            <w:tcW w:w="709" w:type="dxa"/>
            <w:shd w:val="clear" w:color="auto" w:fill="auto"/>
            <w:noWrap/>
            <w:tcMar>
              <w:left w:w="57" w:type="dxa"/>
              <w:right w:w="57" w:type="dxa"/>
            </w:tcMar>
            <w:vAlign w:val="center"/>
            <w:hideMark/>
          </w:tcPr>
          <w:p w14:paraId="36FD50C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2F1050B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1FF42F7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75CE365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308358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CF92D77" w14:textId="77777777" w:rsidR="006F66E1" w:rsidRPr="006F66E1" w:rsidRDefault="002473AB" w:rsidP="006F66E1">
            <w:pPr>
              <w:spacing w:after="0" w:line="240" w:lineRule="auto"/>
              <w:rPr>
                <w:rFonts w:ascii="Arial" w:eastAsia="Times New Roman" w:hAnsi="Arial" w:cs="Arial"/>
                <w:color w:val="000000"/>
                <w:sz w:val="16"/>
                <w:szCs w:val="16"/>
                <w:lang w:val="fr-FR" w:eastAsia="fr-FR"/>
              </w:rPr>
            </w:pPr>
            <w:r>
              <w:rPr>
                <w:rFonts w:ascii="Arial" w:eastAsia="Times New Roman" w:hAnsi="Arial" w:cs="Arial"/>
                <w:color w:val="000000"/>
                <w:sz w:val="16"/>
                <w:szCs w:val="16"/>
                <w:lang w:val="fr-FR" w:eastAsia="fr-FR"/>
              </w:rPr>
              <w:t>Sens unic din intersecţia cu George Coşbuc până la intersecţia cu Independenţ</w:t>
            </w:r>
            <w:r w:rsidR="006F66E1" w:rsidRPr="006F66E1">
              <w:rPr>
                <w:rFonts w:ascii="Arial" w:eastAsia="Times New Roman" w:hAnsi="Arial" w:cs="Arial"/>
                <w:color w:val="000000"/>
                <w:sz w:val="16"/>
                <w:szCs w:val="16"/>
                <w:lang w:val="fr-FR" w:eastAsia="fr-FR"/>
              </w:rPr>
              <w:t>ei</w:t>
            </w:r>
          </w:p>
        </w:tc>
      </w:tr>
      <w:tr w:rsidR="006F66E1" w:rsidRPr="006F66E1" w14:paraId="23EFB924" w14:textId="77777777" w:rsidTr="006F2DE6">
        <w:trPr>
          <w:trHeight w:val="255"/>
        </w:trPr>
        <w:tc>
          <w:tcPr>
            <w:tcW w:w="980" w:type="dxa"/>
            <w:vMerge/>
            <w:tcMar>
              <w:left w:w="57" w:type="dxa"/>
              <w:right w:w="57" w:type="dxa"/>
            </w:tcMar>
          </w:tcPr>
          <w:p w14:paraId="1D4B94F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79D6F0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DEALUL ULMULUI</w:t>
            </w:r>
          </w:p>
        </w:tc>
        <w:tc>
          <w:tcPr>
            <w:tcW w:w="850" w:type="dxa"/>
            <w:shd w:val="clear" w:color="auto" w:fill="auto"/>
            <w:noWrap/>
            <w:tcMar>
              <w:left w:w="57" w:type="dxa"/>
              <w:right w:w="57" w:type="dxa"/>
            </w:tcMar>
            <w:vAlign w:val="center"/>
            <w:hideMark/>
          </w:tcPr>
          <w:p w14:paraId="6DB9A0C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055A03E2"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560</w:t>
            </w:r>
          </w:p>
        </w:tc>
        <w:tc>
          <w:tcPr>
            <w:tcW w:w="709" w:type="dxa"/>
            <w:shd w:val="clear" w:color="auto" w:fill="auto"/>
            <w:noWrap/>
            <w:tcMar>
              <w:left w:w="57" w:type="dxa"/>
              <w:right w:w="57" w:type="dxa"/>
            </w:tcMar>
            <w:vAlign w:val="center"/>
            <w:hideMark/>
          </w:tcPr>
          <w:p w14:paraId="6953A5E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22</w:t>
            </w:r>
          </w:p>
        </w:tc>
        <w:tc>
          <w:tcPr>
            <w:tcW w:w="567" w:type="dxa"/>
            <w:shd w:val="clear" w:color="auto" w:fill="auto"/>
            <w:noWrap/>
            <w:tcMar>
              <w:left w:w="57" w:type="dxa"/>
              <w:right w:w="57" w:type="dxa"/>
            </w:tcMar>
            <w:vAlign w:val="center"/>
            <w:hideMark/>
          </w:tcPr>
          <w:p w14:paraId="490F8C1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47E490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2BC3DF3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1456323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49D24D6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0802624B" w14:textId="77777777" w:rsidTr="006F2DE6">
        <w:trPr>
          <w:trHeight w:val="255"/>
        </w:trPr>
        <w:tc>
          <w:tcPr>
            <w:tcW w:w="980" w:type="dxa"/>
            <w:vMerge/>
            <w:tcMar>
              <w:left w:w="57" w:type="dxa"/>
              <w:right w:w="57" w:type="dxa"/>
            </w:tcMar>
          </w:tcPr>
          <w:p w14:paraId="3E9E5C5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C4858C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 xml:space="preserve">DIMITRIE CANTEMIR </w:t>
            </w:r>
          </w:p>
        </w:tc>
        <w:tc>
          <w:tcPr>
            <w:tcW w:w="850" w:type="dxa"/>
            <w:shd w:val="clear" w:color="auto" w:fill="auto"/>
            <w:noWrap/>
            <w:tcMar>
              <w:left w:w="57" w:type="dxa"/>
              <w:right w:w="57" w:type="dxa"/>
            </w:tcMar>
            <w:vAlign w:val="center"/>
            <w:hideMark/>
          </w:tcPr>
          <w:p w14:paraId="5E82C3D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599F675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229</w:t>
            </w:r>
          </w:p>
        </w:tc>
        <w:tc>
          <w:tcPr>
            <w:tcW w:w="709" w:type="dxa"/>
            <w:shd w:val="clear" w:color="auto" w:fill="auto"/>
            <w:noWrap/>
            <w:tcMar>
              <w:left w:w="57" w:type="dxa"/>
              <w:right w:w="57" w:type="dxa"/>
            </w:tcMar>
            <w:vAlign w:val="center"/>
            <w:hideMark/>
          </w:tcPr>
          <w:p w14:paraId="534B7D52"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1213860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1209D98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1EEB6DE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48E430E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534DCA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D51021C" w14:textId="77777777" w:rsidTr="006F2DE6">
        <w:trPr>
          <w:trHeight w:val="255"/>
        </w:trPr>
        <w:tc>
          <w:tcPr>
            <w:tcW w:w="980" w:type="dxa"/>
            <w:vMerge/>
            <w:tcMar>
              <w:left w:w="57" w:type="dxa"/>
              <w:right w:w="57" w:type="dxa"/>
            </w:tcMar>
          </w:tcPr>
          <w:p w14:paraId="5E81868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2A12B41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EROILOR</w:t>
            </w:r>
          </w:p>
        </w:tc>
        <w:tc>
          <w:tcPr>
            <w:tcW w:w="850" w:type="dxa"/>
            <w:shd w:val="clear" w:color="auto" w:fill="auto"/>
            <w:noWrap/>
            <w:tcMar>
              <w:left w:w="57" w:type="dxa"/>
              <w:right w:w="57" w:type="dxa"/>
            </w:tcMar>
            <w:vAlign w:val="center"/>
            <w:hideMark/>
          </w:tcPr>
          <w:p w14:paraId="2A94E34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CDEEDD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166</w:t>
            </w:r>
          </w:p>
        </w:tc>
        <w:tc>
          <w:tcPr>
            <w:tcW w:w="709" w:type="dxa"/>
            <w:shd w:val="clear" w:color="auto" w:fill="auto"/>
            <w:noWrap/>
            <w:tcMar>
              <w:left w:w="57" w:type="dxa"/>
              <w:right w:w="57" w:type="dxa"/>
            </w:tcMar>
            <w:vAlign w:val="center"/>
            <w:hideMark/>
          </w:tcPr>
          <w:p w14:paraId="7F57E21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14</w:t>
            </w:r>
          </w:p>
        </w:tc>
        <w:tc>
          <w:tcPr>
            <w:tcW w:w="567" w:type="dxa"/>
            <w:shd w:val="clear" w:color="auto" w:fill="auto"/>
            <w:noWrap/>
            <w:tcMar>
              <w:left w:w="57" w:type="dxa"/>
              <w:right w:w="57" w:type="dxa"/>
            </w:tcMar>
            <w:vAlign w:val="center"/>
            <w:hideMark/>
          </w:tcPr>
          <w:p w14:paraId="69889B8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38C2DBD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267791A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541AA9E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1DF3CEC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Sens unic din inter</w:t>
            </w:r>
            <w:r w:rsidR="002473AB">
              <w:rPr>
                <w:rFonts w:ascii="Arial" w:eastAsia="Times New Roman" w:hAnsi="Arial" w:cs="Arial"/>
                <w:color w:val="000000"/>
                <w:sz w:val="16"/>
                <w:szCs w:val="16"/>
                <w:lang w:val="fr-FR" w:eastAsia="fr-FR"/>
              </w:rPr>
              <w:t>secţia cu 1 Decembrie pânî la intersecţ</w:t>
            </w:r>
            <w:r w:rsidRPr="006F66E1">
              <w:rPr>
                <w:rFonts w:ascii="Arial" w:eastAsia="Times New Roman" w:hAnsi="Arial" w:cs="Arial"/>
                <w:color w:val="000000"/>
                <w:sz w:val="16"/>
                <w:szCs w:val="16"/>
                <w:lang w:val="fr-FR" w:eastAsia="fr-FR"/>
              </w:rPr>
              <w:t>ia cu Tudor Vladimirescu</w:t>
            </w:r>
          </w:p>
        </w:tc>
      </w:tr>
      <w:tr w:rsidR="006F66E1" w:rsidRPr="006F66E1" w14:paraId="16A25251" w14:textId="77777777" w:rsidTr="006F2DE6">
        <w:trPr>
          <w:trHeight w:val="255"/>
        </w:trPr>
        <w:tc>
          <w:tcPr>
            <w:tcW w:w="980" w:type="dxa"/>
            <w:vMerge/>
            <w:tcMar>
              <w:left w:w="57" w:type="dxa"/>
              <w:right w:w="57" w:type="dxa"/>
            </w:tcMar>
          </w:tcPr>
          <w:p w14:paraId="17CAC72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94650D2"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FLORILOR</w:t>
            </w:r>
          </w:p>
        </w:tc>
        <w:tc>
          <w:tcPr>
            <w:tcW w:w="850" w:type="dxa"/>
            <w:shd w:val="clear" w:color="auto" w:fill="auto"/>
            <w:noWrap/>
            <w:tcMar>
              <w:left w:w="57" w:type="dxa"/>
              <w:right w:w="57" w:type="dxa"/>
            </w:tcMar>
            <w:vAlign w:val="center"/>
            <w:hideMark/>
          </w:tcPr>
          <w:p w14:paraId="7997709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41C724B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172</w:t>
            </w:r>
          </w:p>
        </w:tc>
        <w:tc>
          <w:tcPr>
            <w:tcW w:w="709" w:type="dxa"/>
            <w:shd w:val="clear" w:color="auto" w:fill="auto"/>
            <w:noWrap/>
            <w:tcMar>
              <w:left w:w="57" w:type="dxa"/>
              <w:right w:w="57" w:type="dxa"/>
            </w:tcMar>
            <w:vAlign w:val="center"/>
            <w:hideMark/>
          </w:tcPr>
          <w:p w14:paraId="0FD7CAC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648A453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278F7AB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664CAB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23C122A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435B0A2E" w14:textId="77777777" w:rsidR="006F66E1" w:rsidRPr="006F66E1" w:rsidRDefault="002473AB" w:rsidP="006F66E1">
            <w:pPr>
              <w:spacing w:after="0" w:line="240" w:lineRule="auto"/>
              <w:rPr>
                <w:rFonts w:ascii="Arial" w:eastAsia="Times New Roman" w:hAnsi="Arial" w:cs="Arial"/>
                <w:color w:val="000000"/>
                <w:sz w:val="16"/>
                <w:szCs w:val="16"/>
                <w:lang w:val="fr-FR" w:eastAsia="fr-FR"/>
              </w:rPr>
            </w:pPr>
            <w:r>
              <w:rPr>
                <w:rFonts w:ascii="Arial" w:eastAsia="Times New Roman" w:hAnsi="Arial" w:cs="Arial"/>
                <w:color w:val="000000"/>
                <w:sz w:val="16"/>
                <w:szCs w:val="16"/>
                <w:lang w:val="fr-FR" w:eastAsia="fr-FR"/>
              </w:rPr>
              <w:t>Sens unic din intersecţia cu Al.I. Cuza  până la intersecţia cu Ză</w:t>
            </w:r>
            <w:r w:rsidR="006F66E1" w:rsidRPr="006F66E1">
              <w:rPr>
                <w:rFonts w:ascii="Arial" w:eastAsia="Times New Roman" w:hAnsi="Arial" w:cs="Arial"/>
                <w:color w:val="000000"/>
                <w:sz w:val="16"/>
                <w:szCs w:val="16"/>
                <w:lang w:val="fr-FR" w:eastAsia="fr-FR"/>
              </w:rPr>
              <w:t>voiului</w:t>
            </w:r>
          </w:p>
        </w:tc>
      </w:tr>
      <w:tr w:rsidR="006F66E1" w:rsidRPr="006F66E1" w14:paraId="74D2635A" w14:textId="77777777" w:rsidTr="006F2DE6">
        <w:trPr>
          <w:trHeight w:val="255"/>
        </w:trPr>
        <w:tc>
          <w:tcPr>
            <w:tcW w:w="980" w:type="dxa"/>
            <w:vMerge/>
            <w:tcMar>
              <w:left w:w="57" w:type="dxa"/>
              <w:right w:w="57" w:type="dxa"/>
            </w:tcMar>
          </w:tcPr>
          <w:p w14:paraId="6C3CAB7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6E8ADD5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GEORGE COŞBUC</w:t>
            </w:r>
          </w:p>
        </w:tc>
        <w:tc>
          <w:tcPr>
            <w:tcW w:w="850" w:type="dxa"/>
            <w:shd w:val="clear" w:color="auto" w:fill="auto"/>
            <w:noWrap/>
            <w:tcMar>
              <w:left w:w="57" w:type="dxa"/>
              <w:right w:w="57" w:type="dxa"/>
            </w:tcMar>
            <w:vAlign w:val="center"/>
            <w:hideMark/>
          </w:tcPr>
          <w:p w14:paraId="605ABFE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1480E4A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69</w:t>
            </w:r>
          </w:p>
        </w:tc>
        <w:tc>
          <w:tcPr>
            <w:tcW w:w="709" w:type="dxa"/>
            <w:shd w:val="clear" w:color="auto" w:fill="auto"/>
            <w:noWrap/>
            <w:tcMar>
              <w:left w:w="57" w:type="dxa"/>
              <w:right w:w="57" w:type="dxa"/>
            </w:tcMar>
            <w:vAlign w:val="center"/>
            <w:hideMark/>
          </w:tcPr>
          <w:p w14:paraId="2FD0851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13</w:t>
            </w:r>
          </w:p>
        </w:tc>
        <w:tc>
          <w:tcPr>
            <w:tcW w:w="567" w:type="dxa"/>
            <w:shd w:val="clear" w:color="auto" w:fill="auto"/>
            <w:noWrap/>
            <w:tcMar>
              <w:left w:w="57" w:type="dxa"/>
              <w:right w:w="57" w:type="dxa"/>
            </w:tcMar>
            <w:vAlign w:val="center"/>
            <w:hideMark/>
          </w:tcPr>
          <w:p w14:paraId="6D8E22C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00D86C2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09BA01C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3FE3724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13A32515"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3C21349" w14:textId="77777777" w:rsidTr="006F2DE6">
        <w:trPr>
          <w:trHeight w:val="255"/>
        </w:trPr>
        <w:tc>
          <w:tcPr>
            <w:tcW w:w="980" w:type="dxa"/>
            <w:vMerge/>
            <w:tcMar>
              <w:left w:w="57" w:type="dxa"/>
              <w:right w:w="57" w:type="dxa"/>
            </w:tcMar>
          </w:tcPr>
          <w:p w14:paraId="463A73E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B7D104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G-ral MAGHERU</w:t>
            </w:r>
          </w:p>
        </w:tc>
        <w:tc>
          <w:tcPr>
            <w:tcW w:w="850" w:type="dxa"/>
            <w:shd w:val="clear" w:color="auto" w:fill="auto"/>
            <w:noWrap/>
            <w:tcMar>
              <w:left w:w="57" w:type="dxa"/>
              <w:right w:w="57" w:type="dxa"/>
            </w:tcMar>
            <w:vAlign w:val="center"/>
            <w:hideMark/>
          </w:tcPr>
          <w:p w14:paraId="17E73A55"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DN65C</w:t>
            </w:r>
          </w:p>
        </w:tc>
        <w:tc>
          <w:tcPr>
            <w:tcW w:w="709" w:type="dxa"/>
            <w:shd w:val="clear" w:color="auto" w:fill="auto"/>
            <w:noWrap/>
            <w:tcMar>
              <w:left w:w="57" w:type="dxa"/>
              <w:right w:w="57" w:type="dxa"/>
            </w:tcMar>
            <w:vAlign w:val="center"/>
            <w:hideMark/>
          </w:tcPr>
          <w:p w14:paraId="1CB598F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1526</w:t>
            </w:r>
          </w:p>
        </w:tc>
        <w:tc>
          <w:tcPr>
            <w:tcW w:w="709" w:type="dxa"/>
            <w:shd w:val="clear" w:color="auto" w:fill="auto"/>
            <w:noWrap/>
            <w:tcMar>
              <w:left w:w="57" w:type="dxa"/>
              <w:right w:w="57" w:type="dxa"/>
            </w:tcMar>
            <w:vAlign w:val="center"/>
            <w:hideMark/>
          </w:tcPr>
          <w:p w14:paraId="7DBAC7A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22</w:t>
            </w:r>
          </w:p>
        </w:tc>
        <w:tc>
          <w:tcPr>
            <w:tcW w:w="567" w:type="dxa"/>
            <w:shd w:val="clear" w:color="auto" w:fill="auto"/>
            <w:noWrap/>
            <w:tcMar>
              <w:left w:w="57" w:type="dxa"/>
              <w:right w:w="57" w:type="dxa"/>
            </w:tcMar>
            <w:vAlign w:val="center"/>
            <w:hideMark/>
          </w:tcPr>
          <w:p w14:paraId="018B004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4C977CB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A97494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48E3DA5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83C7E3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009B267" w14:textId="77777777" w:rsidTr="006F2DE6">
        <w:trPr>
          <w:trHeight w:val="255"/>
        </w:trPr>
        <w:tc>
          <w:tcPr>
            <w:tcW w:w="980" w:type="dxa"/>
            <w:vMerge/>
            <w:tcMar>
              <w:left w:w="57" w:type="dxa"/>
              <w:right w:w="57" w:type="dxa"/>
            </w:tcMar>
          </w:tcPr>
          <w:p w14:paraId="776AD08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7CEB25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I. GH. DUCA</w:t>
            </w:r>
          </w:p>
        </w:tc>
        <w:tc>
          <w:tcPr>
            <w:tcW w:w="850" w:type="dxa"/>
            <w:shd w:val="clear" w:color="auto" w:fill="auto"/>
            <w:noWrap/>
            <w:tcMar>
              <w:left w:w="57" w:type="dxa"/>
              <w:right w:w="57" w:type="dxa"/>
            </w:tcMar>
            <w:vAlign w:val="center"/>
            <w:hideMark/>
          </w:tcPr>
          <w:p w14:paraId="2F9DAC92"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DC142</w:t>
            </w:r>
          </w:p>
        </w:tc>
        <w:tc>
          <w:tcPr>
            <w:tcW w:w="709" w:type="dxa"/>
            <w:shd w:val="clear" w:color="auto" w:fill="auto"/>
            <w:noWrap/>
            <w:tcMar>
              <w:left w:w="57" w:type="dxa"/>
              <w:right w:w="57" w:type="dxa"/>
            </w:tcMar>
            <w:vAlign w:val="center"/>
            <w:hideMark/>
          </w:tcPr>
          <w:p w14:paraId="4EF23082"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2647</w:t>
            </w:r>
          </w:p>
        </w:tc>
        <w:tc>
          <w:tcPr>
            <w:tcW w:w="709" w:type="dxa"/>
            <w:shd w:val="clear" w:color="auto" w:fill="auto"/>
            <w:noWrap/>
            <w:tcMar>
              <w:left w:w="57" w:type="dxa"/>
              <w:right w:w="57" w:type="dxa"/>
            </w:tcMar>
            <w:vAlign w:val="center"/>
            <w:hideMark/>
          </w:tcPr>
          <w:p w14:paraId="3C3BD26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12</w:t>
            </w:r>
          </w:p>
        </w:tc>
        <w:tc>
          <w:tcPr>
            <w:tcW w:w="567" w:type="dxa"/>
            <w:shd w:val="clear" w:color="auto" w:fill="auto"/>
            <w:noWrap/>
            <w:tcMar>
              <w:left w:w="57" w:type="dxa"/>
              <w:right w:w="57" w:type="dxa"/>
            </w:tcMar>
            <w:vAlign w:val="center"/>
            <w:hideMark/>
          </w:tcPr>
          <w:p w14:paraId="5E0397D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4AE474C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3960210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7DFC84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1F12671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536D4F03" w14:textId="77777777" w:rsidTr="006F2DE6">
        <w:trPr>
          <w:trHeight w:val="255"/>
        </w:trPr>
        <w:tc>
          <w:tcPr>
            <w:tcW w:w="980" w:type="dxa"/>
            <w:vMerge/>
            <w:tcMar>
              <w:left w:w="57" w:type="dxa"/>
              <w:right w:w="57" w:type="dxa"/>
            </w:tcMar>
          </w:tcPr>
          <w:p w14:paraId="2F0DD31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068D42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IANCU JIANU</w:t>
            </w:r>
          </w:p>
        </w:tc>
        <w:tc>
          <w:tcPr>
            <w:tcW w:w="850" w:type="dxa"/>
            <w:shd w:val="clear" w:color="auto" w:fill="auto"/>
            <w:noWrap/>
            <w:tcMar>
              <w:left w:w="57" w:type="dxa"/>
              <w:right w:w="57" w:type="dxa"/>
            </w:tcMar>
            <w:vAlign w:val="center"/>
            <w:hideMark/>
          </w:tcPr>
          <w:p w14:paraId="109ED29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80224E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154</w:t>
            </w:r>
          </w:p>
        </w:tc>
        <w:tc>
          <w:tcPr>
            <w:tcW w:w="709" w:type="dxa"/>
            <w:shd w:val="clear" w:color="auto" w:fill="auto"/>
            <w:noWrap/>
            <w:tcMar>
              <w:left w:w="57" w:type="dxa"/>
              <w:right w:w="57" w:type="dxa"/>
            </w:tcMar>
            <w:vAlign w:val="center"/>
            <w:hideMark/>
          </w:tcPr>
          <w:p w14:paraId="454E8C4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11</w:t>
            </w:r>
          </w:p>
        </w:tc>
        <w:tc>
          <w:tcPr>
            <w:tcW w:w="567" w:type="dxa"/>
            <w:shd w:val="clear" w:color="auto" w:fill="auto"/>
            <w:noWrap/>
            <w:tcMar>
              <w:left w:w="57" w:type="dxa"/>
              <w:right w:w="57" w:type="dxa"/>
            </w:tcMar>
            <w:vAlign w:val="center"/>
            <w:hideMark/>
          </w:tcPr>
          <w:p w14:paraId="7168823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159676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DE1B7C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075559A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05DA41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0356BD92" w14:textId="77777777" w:rsidTr="006F2DE6">
        <w:trPr>
          <w:trHeight w:val="255"/>
        </w:trPr>
        <w:tc>
          <w:tcPr>
            <w:tcW w:w="980" w:type="dxa"/>
            <w:vMerge/>
            <w:tcMar>
              <w:left w:w="57" w:type="dxa"/>
              <w:right w:w="57" w:type="dxa"/>
            </w:tcMar>
          </w:tcPr>
          <w:p w14:paraId="237D10B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0FF7022B"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INDEPENDENŢEI</w:t>
            </w:r>
          </w:p>
        </w:tc>
        <w:tc>
          <w:tcPr>
            <w:tcW w:w="850" w:type="dxa"/>
            <w:shd w:val="clear" w:color="auto" w:fill="auto"/>
            <w:noWrap/>
            <w:tcMar>
              <w:left w:w="57" w:type="dxa"/>
              <w:right w:w="57" w:type="dxa"/>
            </w:tcMar>
            <w:vAlign w:val="center"/>
            <w:hideMark/>
          </w:tcPr>
          <w:p w14:paraId="121ADC4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B8058A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170</w:t>
            </w:r>
          </w:p>
        </w:tc>
        <w:tc>
          <w:tcPr>
            <w:tcW w:w="709" w:type="dxa"/>
            <w:shd w:val="clear" w:color="auto" w:fill="auto"/>
            <w:noWrap/>
            <w:tcMar>
              <w:left w:w="57" w:type="dxa"/>
              <w:right w:w="57" w:type="dxa"/>
            </w:tcMar>
            <w:vAlign w:val="center"/>
            <w:hideMark/>
          </w:tcPr>
          <w:p w14:paraId="75D674A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3F46376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03C7893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18E8AC7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312C6F9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10C226C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Se</w:t>
            </w:r>
            <w:r w:rsidR="002473AB">
              <w:rPr>
                <w:rFonts w:ascii="Arial" w:eastAsia="Times New Roman" w:hAnsi="Arial" w:cs="Arial"/>
                <w:color w:val="000000"/>
                <w:sz w:val="16"/>
                <w:szCs w:val="16"/>
                <w:lang w:val="fr-FR" w:eastAsia="fr-FR"/>
              </w:rPr>
              <w:t>ns unic din intersecţia cu Tudor Vladimirescu până la intersecţ</w:t>
            </w:r>
            <w:r w:rsidRPr="006F66E1">
              <w:rPr>
                <w:rFonts w:ascii="Arial" w:eastAsia="Times New Roman" w:hAnsi="Arial" w:cs="Arial"/>
                <w:color w:val="000000"/>
                <w:sz w:val="16"/>
                <w:szCs w:val="16"/>
                <w:lang w:val="fr-FR" w:eastAsia="fr-FR"/>
              </w:rPr>
              <w:t>ia cu Nicolae Iorga</w:t>
            </w:r>
          </w:p>
        </w:tc>
      </w:tr>
      <w:tr w:rsidR="006F66E1" w:rsidRPr="006F66E1" w14:paraId="403D440E" w14:textId="77777777" w:rsidTr="006F2DE6">
        <w:trPr>
          <w:trHeight w:val="255"/>
        </w:trPr>
        <w:tc>
          <w:tcPr>
            <w:tcW w:w="980" w:type="dxa"/>
            <w:vMerge/>
            <w:tcMar>
              <w:left w:w="57" w:type="dxa"/>
              <w:right w:w="57" w:type="dxa"/>
            </w:tcMar>
          </w:tcPr>
          <w:p w14:paraId="31B347A2"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5CFD12A" w14:textId="77777777" w:rsidR="006F66E1" w:rsidRPr="006F66E1" w:rsidRDefault="002473AB" w:rsidP="006F66E1">
            <w:pPr>
              <w:spacing w:after="0" w:line="240" w:lineRule="auto"/>
              <w:rPr>
                <w:rFonts w:ascii="Arial" w:eastAsia="Times New Roman" w:hAnsi="Arial" w:cs="Arial"/>
                <w:b/>
                <w:color w:val="000000"/>
                <w:sz w:val="16"/>
                <w:szCs w:val="16"/>
                <w:lang w:val="fr-FR" w:eastAsia="fr-FR"/>
              </w:rPr>
            </w:pPr>
            <w:r>
              <w:rPr>
                <w:rFonts w:ascii="Arial" w:eastAsia="Times New Roman" w:hAnsi="Arial" w:cs="Arial"/>
                <w:b/>
                <w:color w:val="000000"/>
                <w:sz w:val="16"/>
                <w:szCs w:val="16"/>
                <w:lang w:val="fr-FR" w:eastAsia="fr-FR"/>
              </w:rPr>
              <w:t>ION CREANGĂ</w:t>
            </w:r>
          </w:p>
        </w:tc>
        <w:tc>
          <w:tcPr>
            <w:tcW w:w="850" w:type="dxa"/>
            <w:shd w:val="clear" w:color="auto" w:fill="auto"/>
            <w:noWrap/>
            <w:tcMar>
              <w:left w:w="57" w:type="dxa"/>
              <w:right w:w="57" w:type="dxa"/>
            </w:tcMar>
            <w:vAlign w:val="center"/>
            <w:hideMark/>
          </w:tcPr>
          <w:p w14:paraId="509824C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77C6DA8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216</w:t>
            </w:r>
          </w:p>
        </w:tc>
        <w:tc>
          <w:tcPr>
            <w:tcW w:w="709" w:type="dxa"/>
            <w:shd w:val="clear" w:color="auto" w:fill="auto"/>
            <w:noWrap/>
            <w:tcMar>
              <w:left w:w="57" w:type="dxa"/>
              <w:right w:w="57" w:type="dxa"/>
            </w:tcMar>
            <w:vAlign w:val="center"/>
            <w:hideMark/>
          </w:tcPr>
          <w:p w14:paraId="22BB364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031E20B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35DA5EB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1570F9A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A25BA8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0472B95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12DB0E3" w14:textId="77777777" w:rsidTr="006F2DE6">
        <w:trPr>
          <w:trHeight w:val="255"/>
        </w:trPr>
        <w:tc>
          <w:tcPr>
            <w:tcW w:w="980" w:type="dxa"/>
            <w:vMerge/>
            <w:tcMar>
              <w:left w:w="57" w:type="dxa"/>
              <w:right w:w="57" w:type="dxa"/>
            </w:tcMar>
          </w:tcPr>
          <w:p w14:paraId="096893D2"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0BFBA4C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MATEI BASARAB</w:t>
            </w:r>
          </w:p>
        </w:tc>
        <w:tc>
          <w:tcPr>
            <w:tcW w:w="850" w:type="dxa"/>
            <w:shd w:val="clear" w:color="auto" w:fill="auto"/>
            <w:noWrap/>
            <w:tcMar>
              <w:left w:w="57" w:type="dxa"/>
              <w:right w:w="57" w:type="dxa"/>
            </w:tcMar>
            <w:vAlign w:val="center"/>
            <w:hideMark/>
          </w:tcPr>
          <w:p w14:paraId="4FEC1BD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FF4C28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984</w:t>
            </w:r>
          </w:p>
        </w:tc>
        <w:tc>
          <w:tcPr>
            <w:tcW w:w="709" w:type="dxa"/>
            <w:shd w:val="clear" w:color="auto" w:fill="auto"/>
            <w:noWrap/>
            <w:tcMar>
              <w:left w:w="57" w:type="dxa"/>
              <w:right w:w="57" w:type="dxa"/>
            </w:tcMar>
            <w:vAlign w:val="center"/>
            <w:hideMark/>
          </w:tcPr>
          <w:p w14:paraId="5BD76A1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w:t>
            </w:r>
          </w:p>
        </w:tc>
        <w:tc>
          <w:tcPr>
            <w:tcW w:w="567" w:type="dxa"/>
            <w:shd w:val="clear" w:color="auto" w:fill="auto"/>
            <w:noWrap/>
            <w:tcMar>
              <w:left w:w="57" w:type="dxa"/>
              <w:right w:w="57" w:type="dxa"/>
            </w:tcMar>
            <w:vAlign w:val="center"/>
            <w:hideMark/>
          </w:tcPr>
          <w:p w14:paraId="720DE54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1A217E0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11EBC29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1C9590C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30DFB4F4"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93B90BC" w14:textId="77777777" w:rsidTr="006F2DE6">
        <w:trPr>
          <w:trHeight w:val="255"/>
        </w:trPr>
        <w:tc>
          <w:tcPr>
            <w:tcW w:w="980" w:type="dxa"/>
            <w:vMerge/>
            <w:tcMar>
              <w:left w:w="57" w:type="dxa"/>
              <w:right w:w="57" w:type="dxa"/>
            </w:tcMar>
          </w:tcPr>
          <w:p w14:paraId="20E7A97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25C17A2"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MIHAI EMINESCU</w:t>
            </w:r>
          </w:p>
        </w:tc>
        <w:tc>
          <w:tcPr>
            <w:tcW w:w="850" w:type="dxa"/>
            <w:shd w:val="clear" w:color="auto" w:fill="auto"/>
            <w:noWrap/>
            <w:tcMar>
              <w:left w:w="57" w:type="dxa"/>
              <w:right w:w="57" w:type="dxa"/>
            </w:tcMar>
            <w:vAlign w:val="center"/>
            <w:hideMark/>
          </w:tcPr>
          <w:p w14:paraId="52039BE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6F810F6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656</w:t>
            </w:r>
          </w:p>
        </w:tc>
        <w:tc>
          <w:tcPr>
            <w:tcW w:w="709" w:type="dxa"/>
            <w:shd w:val="clear" w:color="auto" w:fill="auto"/>
            <w:noWrap/>
            <w:tcMar>
              <w:left w:w="57" w:type="dxa"/>
              <w:right w:w="57" w:type="dxa"/>
            </w:tcMar>
            <w:vAlign w:val="center"/>
            <w:hideMark/>
          </w:tcPr>
          <w:p w14:paraId="453A14B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60390F2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0806921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7F1EAD0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56DFF1D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84E270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07BD0E9" w14:textId="77777777" w:rsidTr="006F2DE6">
        <w:trPr>
          <w:trHeight w:val="255"/>
        </w:trPr>
        <w:tc>
          <w:tcPr>
            <w:tcW w:w="980" w:type="dxa"/>
            <w:vMerge/>
            <w:tcMar>
              <w:left w:w="57" w:type="dxa"/>
              <w:right w:w="57" w:type="dxa"/>
            </w:tcMar>
          </w:tcPr>
          <w:p w14:paraId="1D2C2C5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2AD568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MIHAI VITEAZU</w:t>
            </w:r>
          </w:p>
        </w:tc>
        <w:tc>
          <w:tcPr>
            <w:tcW w:w="850" w:type="dxa"/>
            <w:shd w:val="clear" w:color="auto" w:fill="auto"/>
            <w:noWrap/>
            <w:tcMar>
              <w:left w:w="57" w:type="dxa"/>
              <w:right w:w="57" w:type="dxa"/>
            </w:tcMar>
            <w:vAlign w:val="center"/>
            <w:hideMark/>
          </w:tcPr>
          <w:p w14:paraId="0EDE365E"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7DD8712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249</w:t>
            </w:r>
          </w:p>
        </w:tc>
        <w:tc>
          <w:tcPr>
            <w:tcW w:w="709" w:type="dxa"/>
            <w:shd w:val="clear" w:color="auto" w:fill="auto"/>
            <w:noWrap/>
            <w:tcMar>
              <w:left w:w="57" w:type="dxa"/>
              <w:right w:w="57" w:type="dxa"/>
            </w:tcMar>
            <w:vAlign w:val="center"/>
            <w:hideMark/>
          </w:tcPr>
          <w:p w14:paraId="7379465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0E8D91B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681AEB6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BC669F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5DB4F5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397FA222"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9D9506A" w14:textId="77777777" w:rsidTr="006F2DE6">
        <w:trPr>
          <w:trHeight w:val="255"/>
        </w:trPr>
        <w:tc>
          <w:tcPr>
            <w:tcW w:w="980" w:type="dxa"/>
            <w:vMerge/>
            <w:tcMar>
              <w:left w:w="57" w:type="dxa"/>
              <w:right w:w="57" w:type="dxa"/>
            </w:tcMar>
          </w:tcPr>
          <w:p w14:paraId="590A5D5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DAB1B8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MIRCEA CEL BATRAN</w:t>
            </w:r>
          </w:p>
        </w:tc>
        <w:tc>
          <w:tcPr>
            <w:tcW w:w="850" w:type="dxa"/>
            <w:shd w:val="clear" w:color="auto" w:fill="auto"/>
            <w:noWrap/>
            <w:tcMar>
              <w:left w:w="57" w:type="dxa"/>
              <w:right w:w="57" w:type="dxa"/>
            </w:tcMar>
            <w:vAlign w:val="center"/>
            <w:hideMark/>
          </w:tcPr>
          <w:p w14:paraId="284C1D34"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0B0923D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412</w:t>
            </w:r>
          </w:p>
        </w:tc>
        <w:tc>
          <w:tcPr>
            <w:tcW w:w="709" w:type="dxa"/>
            <w:shd w:val="clear" w:color="auto" w:fill="auto"/>
            <w:noWrap/>
            <w:tcMar>
              <w:left w:w="57" w:type="dxa"/>
              <w:right w:w="57" w:type="dxa"/>
            </w:tcMar>
            <w:vAlign w:val="center"/>
            <w:hideMark/>
          </w:tcPr>
          <w:p w14:paraId="78B0C1A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18</w:t>
            </w:r>
          </w:p>
        </w:tc>
        <w:tc>
          <w:tcPr>
            <w:tcW w:w="567" w:type="dxa"/>
            <w:shd w:val="clear" w:color="auto" w:fill="auto"/>
            <w:noWrap/>
            <w:tcMar>
              <w:left w:w="57" w:type="dxa"/>
              <w:right w:w="57" w:type="dxa"/>
            </w:tcMar>
            <w:vAlign w:val="center"/>
            <w:hideMark/>
          </w:tcPr>
          <w:p w14:paraId="3002EA2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ADCDD8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062CB48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7C16895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07A0AB5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0DBCA00" w14:textId="77777777" w:rsidTr="006F2DE6">
        <w:trPr>
          <w:trHeight w:val="255"/>
        </w:trPr>
        <w:tc>
          <w:tcPr>
            <w:tcW w:w="980" w:type="dxa"/>
            <w:vMerge/>
            <w:tcMar>
              <w:left w:w="57" w:type="dxa"/>
              <w:right w:w="57" w:type="dxa"/>
            </w:tcMar>
          </w:tcPr>
          <w:p w14:paraId="60EED45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555D62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MOCANIŢEI</w:t>
            </w:r>
          </w:p>
        </w:tc>
        <w:tc>
          <w:tcPr>
            <w:tcW w:w="850" w:type="dxa"/>
            <w:shd w:val="clear" w:color="auto" w:fill="auto"/>
            <w:noWrap/>
            <w:tcMar>
              <w:left w:w="57" w:type="dxa"/>
              <w:right w:w="57" w:type="dxa"/>
            </w:tcMar>
            <w:vAlign w:val="center"/>
            <w:hideMark/>
          </w:tcPr>
          <w:p w14:paraId="0905F60F"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44BD470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685</w:t>
            </w:r>
          </w:p>
        </w:tc>
        <w:tc>
          <w:tcPr>
            <w:tcW w:w="709" w:type="dxa"/>
            <w:shd w:val="clear" w:color="auto" w:fill="auto"/>
            <w:noWrap/>
            <w:tcMar>
              <w:left w:w="57" w:type="dxa"/>
              <w:right w:w="57" w:type="dxa"/>
            </w:tcMar>
            <w:vAlign w:val="center"/>
            <w:hideMark/>
          </w:tcPr>
          <w:p w14:paraId="2C5AF6D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38BC766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31169D7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BA3AE7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1696CC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247E6B0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5C7E5B73" w14:textId="77777777" w:rsidTr="006F2DE6">
        <w:trPr>
          <w:trHeight w:val="255"/>
        </w:trPr>
        <w:tc>
          <w:tcPr>
            <w:tcW w:w="980" w:type="dxa"/>
            <w:vMerge/>
            <w:tcMar>
              <w:left w:w="57" w:type="dxa"/>
              <w:right w:w="57" w:type="dxa"/>
            </w:tcMar>
          </w:tcPr>
          <w:p w14:paraId="2AE1242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A3521A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NICOLAE BĂLCESCU</w:t>
            </w:r>
          </w:p>
        </w:tc>
        <w:tc>
          <w:tcPr>
            <w:tcW w:w="850" w:type="dxa"/>
            <w:shd w:val="clear" w:color="auto" w:fill="auto"/>
            <w:noWrap/>
            <w:tcMar>
              <w:left w:w="57" w:type="dxa"/>
              <w:right w:w="57" w:type="dxa"/>
            </w:tcMar>
            <w:vAlign w:val="center"/>
            <w:hideMark/>
          </w:tcPr>
          <w:p w14:paraId="03588E3D"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DC144</w:t>
            </w:r>
          </w:p>
        </w:tc>
        <w:tc>
          <w:tcPr>
            <w:tcW w:w="709" w:type="dxa"/>
            <w:shd w:val="clear" w:color="auto" w:fill="auto"/>
            <w:noWrap/>
            <w:tcMar>
              <w:left w:w="57" w:type="dxa"/>
              <w:right w:w="57" w:type="dxa"/>
            </w:tcMar>
            <w:vAlign w:val="center"/>
            <w:hideMark/>
          </w:tcPr>
          <w:p w14:paraId="77555EB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1677</w:t>
            </w:r>
          </w:p>
        </w:tc>
        <w:tc>
          <w:tcPr>
            <w:tcW w:w="709" w:type="dxa"/>
            <w:shd w:val="clear" w:color="auto" w:fill="auto"/>
            <w:noWrap/>
            <w:tcMar>
              <w:left w:w="57" w:type="dxa"/>
              <w:right w:w="57" w:type="dxa"/>
            </w:tcMar>
            <w:vAlign w:val="center"/>
            <w:hideMark/>
          </w:tcPr>
          <w:p w14:paraId="211FD1A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13</w:t>
            </w:r>
          </w:p>
        </w:tc>
        <w:tc>
          <w:tcPr>
            <w:tcW w:w="567" w:type="dxa"/>
            <w:shd w:val="clear" w:color="auto" w:fill="auto"/>
            <w:noWrap/>
            <w:tcMar>
              <w:left w:w="57" w:type="dxa"/>
              <w:right w:w="57" w:type="dxa"/>
            </w:tcMar>
            <w:vAlign w:val="center"/>
            <w:hideMark/>
          </w:tcPr>
          <w:p w14:paraId="5CB9A8B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9893F4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014E653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378E76B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F6DA5C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53FB9FF8" w14:textId="77777777" w:rsidTr="006F2DE6">
        <w:trPr>
          <w:trHeight w:val="255"/>
        </w:trPr>
        <w:tc>
          <w:tcPr>
            <w:tcW w:w="980" w:type="dxa"/>
            <w:vMerge/>
            <w:tcMar>
              <w:left w:w="57" w:type="dxa"/>
              <w:right w:w="57" w:type="dxa"/>
            </w:tcMar>
          </w:tcPr>
          <w:p w14:paraId="76872A9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A7A88B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NICOLAE IORGA</w:t>
            </w:r>
          </w:p>
        </w:tc>
        <w:tc>
          <w:tcPr>
            <w:tcW w:w="850" w:type="dxa"/>
            <w:shd w:val="clear" w:color="auto" w:fill="auto"/>
            <w:noWrap/>
            <w:tcMar>
              <w:left w:w="57" w:type="dxa"/>
              <w:right w:w="57" w:type="dxa"/>
            </w:tcMar>
            <w:vAlign w:val="center"/>
            <w:hideMark/>
          </w:tcPr>
          <w:p w14:paraId="09DC0A5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598532A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70</w:t>
            </w:r>
          </w:p>
        </w:tc>
        <w:tc>
          <w:tcPr>
            <w:tcW w:w="709" w:type="dxa"/>
            <w:shd w:val="clear" w:color="auto" w:fill="auto"/>
            <w:noWrap/>
            <w:tcMar>
              <w:left w:w="57" w:type="dxa"/>
              <w:right w:w="57" w:type="dxa"/>
            </w:tcMar>
            <w:vAlign w:val="center"/>
            <w:hideMark/>
          </w:tcPr>
          <w:p w14:paraId="65F4E6F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14</w:t>
            </w:r>
          </w:p>
        </w:tc>
        <w:tc>
          <w:tcPr>
            <w:tcW w:w="567" w:type="dxa"/>
            <w:shd w:val="clear" w:color="auto" w:fill="auto"/>
            <w:noWrap/>
            <w:tcMar>
              <w:left w:w="57" w:type="dxa"/>
              <w:right w:w="57" w:type="dxa"/>
            </w:tcMar>
            <w:vAlign w:val="center"/>
            <w:hideMark/>
          </w:tcPr>
          <w:p w14:paraId="7F4E6C3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E99B6C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A05801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70104BD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3C3B8F7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5B0C711" w14:textId="77777777" w:rsidTr="006F2DE6">
        <w:trPr>
          <w:trHeight w:val="255"/>
        </w:trPr>
        <w:tc>
          <w:tcPr>
            <w:tcW w:w="980" w:type="dxa"/>
            <w:vMerge/>
            <w:tcMar>
              <w:left w:w="57" w:type="dxa"/>
              <w:right w:w="57" w:type="dxa"/>
            </w:tcMar>
          </w:tcPr>
          <w:p w14:paraId="7734E1D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2C8821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NICOLAE TITULESCU</w:t>
            </w:r>
          </w:p>
        </w:tc>
        <w:tc>
          <w:tcPr>
            <w:tcW w:w="850" w:type="dxa"/>
            <w:shd w:val="clear" w:color="auto" w:fill="auto"/>
            <w:noWrap/>
            <w:tcMar>
              <w:left w:w="57" w:type="dxa"/>
              <w:right w:w="57" w:type="dxa"/>
            </w:tcMar>
            <w:vAlign w:val="center"/>
            <w:hideMark/>
          </w:tcPr>
          <w:p w14:paraId="2132B05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0A42EE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256</w:t>
            </w:r>
          </w:p>
        </w:tc>
        <w:tc>
          <w:tcPr>
            <w:tcW w:w="709" w:type="dxa"/>
            <w:shd w:val="clear" w:color="auto" w:fill="auto"/>
            <w:noWrap/>
            <w:tcMar>
              <w:left w:w="57" w:type="dxa"/>
              <w:right w:w="57" w:type="dxa"/>
            </w:tcMar>
            <w:vAlign w:val="center"/>
            <w:hideMark/>
          </w:tcPr>
          <w:p w14:paraId="25A9502E"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w:t>
            </w:r>
          </w:p>
        </w:tc>
        <w:tc>
          <w:tcPr>
            <w:tcW w:w="567" w:type="dxa"/>
            <w:shd w:val="clear" w:color="auto" w:fill="auto"/>
            <w:noWrap/>
            <w:tcMar>
              <w:left w:w="57" w:type="dxa"/>
              <w:right w:w="57" w:type="dxa"/>
            </w:tcMar>
            <w:vAlign w:val="center"/>
            <w:hideMark/>
          </w:tcPr>
          <w:p w14:paraId="6B75C7E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2081F46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348A026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D8A6A2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321834DD"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3AA81D3" w14:textId="77777777" w:rsidTr="006F2DE6">
        <w:trPr>
          <w:trHeight w:val="255"/>
        </w:trPr>
        <w:tc>
          <w:tcPr>
            <w:tcW w:w="980" w:type="dxa"/>
            <w:vMerge/>
            <w:tcMar>
              <w:left w:w="57" w:type="dxa"/>
              <w:right w:w="57" w:type="dxa"/>
            </w:tcMar>
          </w:tcPr>
          <w:p w14:paraId="49D1CDA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0CAC6B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NUCULUI</w:t>
            </w:r>
          </w:p>
        </w:tc>
        <w:tc>
          <w:tcPr>
            <w:tcW w:w="850" w:type="dxa"/>
            <w:shd w:val="clear" w:color="auto" w:fill="auto"/>
            <w:noWrap/>
            <w:tcMar>
              <w:left w:w="57" w:type="dxa"/>
              <w:right w:w="57" w:type="dxa"/>
            </w:tcMar>
            <w:vAlign w:val="center"/>
            <w:hideMark/>
          </w:tcPr>
          <w:p w14:paraId="4E367F3F"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1BBC7E2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109</w:t>
            </w:r>
          </w:p>
        </w:tc>
        <w:tc>
          <w:tcPr>
            <w:tcW w:w="709" w:type="dxa"/>
            <w:shd w:val="clear" w:color="auto" w:fill="auto"/>
            <w:noWrap/>
            <w:tcMar>
              <w:left w:w="57" w:type="dxa"/>
              <w:right w:w="57" w:type="dxa"/>
            </w:tcMar>
            <w:vAlign w:val="center"/>
            <w:hideMark/>
          </w:tcPr>
          <w:p w14:paraId="293FCDE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0FCB9BF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112B4CA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527F75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9495EB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EC3413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158EFC2" w14:textId="77777777" w:rsidTr="006F2DE6">
        <w:trPr>
          <w:trHeight w:val="255"/>
        </w:trPr>
        <w:tc>
          <w:tcPr>
            <w:tcW w:w="980" w:type="dxa"/>
            <w:vMerge/>
            <w:tcMar>
              <w:left w:w="57" w:type="dxa"/>
              <w:right w:w="57" w:type="dxa"/>
            </w:tcMar>
          </w:tcPr>
          <w:p w14:paraId="5F434C3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3CF247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OLARI</w:t>
            </w:r>
          </w:p>
        </w:tc>
        <w:tc>
          <w:tcPr>
            <w:tcW w:w="850" w:type="dxa"/>
            <w:shd w:val="clear" w:color="auto" w:fill="auto"/>
            <w:noWrap/>
            <w:tcMar>
              <w:left w:w="57" w:type="dxa"/>
              <w:right w:w="57" w:type="dxa"/>
            </w:tcMar>
            <w:vAlign w:val="center"/>
            <w:hideMark/>
          </w:tcPr>
          <w:p w14:paraId="2CB7685D"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DC143</w:t>
            </w:r>
          </w:p>
        </w:tc>
        <w:tc>
          <w:tcPr>
            <w:tcW w:w="709" w:type="dxa"/>
            <w:shd w:val="clear" w:color="auto" w:fill="auto"/>
            <w:noWrap/>
            <w:tcMar>
              <w:left w:w="57" w:type="dxa"/>
              <w:right w:w="57" w:type="dxa"/>
            </w:tcMar>
            <w:vAlign w:val="center"/>
            <w:hideMark/>
          </w:tcPr>
          <w:p w14:paraId="132B7DE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4218</w:t>
            </w:r>
          </w:p>
        </w:tc>
        <w:tc>
          <w:tcPr>
            <w:tcW w:w="709" w:type="dxa"/>
            <w:shd w:val="clear" w:color="auto" w:fill="auto"/>
            <w:noWrap/>
            <w:tcMar>
              <w:left w:w="57" w:type="dxa"/>
              <w:right w:w="57" w:type="dxa"/>
            </w:tcMar>
            <w:vAlign w:val="center"/>
            <w:hideMark/>
          </w:tcPr>
          <w:p w14:paraId="068A7AD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09963A4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6345AE6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0340504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555489B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2734D84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4619E31" w14:textId="77777777" w:rsidTr="006F2DE6">
        <w:trPr>
          <w:trHeight w:val="255"/>
        </w:trPr>
        <w:tc>
          <w:tcPr>
            <w:tcW w:w="980" w:type="dxa"/>
            <w:vMerge/>
            <w:tcMar>
              <w:left w:w="57" w:type="dxa"/>
              <w:right w:w="57" w:type="dxa"/>
            </w:tcMar>
          </w:tcPr>
          <w:p w14:paraId="3BF2BD8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6A5D5B3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PIEŢII</w:t>
            </w:r>
          </w:p>
        </w:tc>
        <w:tc>
          <w:tcPr>
            <w:tcW w:w="850" w:type="dxa"/>
            <w:shd w:val="clear" w:color="auto" w:fill="auto"/>
            <w:noWrap/>
            <w:tcMar>
              <w:left w:w="57" w:type="dxa"/>
              <w:right w:w="57" w:type="dxa"/>
            </w:tcMar>
            <w:vAlign w:val="center"/>
            <w:hideMark/>
          </w:tcPr>
          <w:p w14:paraId="1A80A31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53FDBB5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726</w:t>
            </w:r>
          </w:p>
        </w:tc>
        <w:tc>
          <w:tcPr>
            <w:tcW w:w="709" w:type="dxa"/>
            <w:shd w:val="clear" w:color="auto" w:fill="auto"/>
            <w:noWrap/>
            <w:tcMar>
              <w:left w:w="57" w:type="dxa"/>
              <w:right w:w="57" w:type="dxa"/>
            </w:tcMar>
            <w:vAlign w:val="center"/>
            <w:hideMark/>
          </w:tcPr>
          <w:p w14:paraId="4807E5F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w:t>
            </w:r>
          </w:p>
        </w:tc>
        <w:tc>
          <w:tcPr>
            <w:tcW w:w="567" w:type="dxa"/>
            <w:shd w:val="clear" w:color="auto" w:fill="auto"/>
            <w:noWrap/>
            <w:tcMar>
              <w:left w:w="57" w:type="dxa"/>
              <w:right w:w="57" w:type="dxa"/>
            </w:tcMar>
            <w:vAlign w:val="center"/>
            <w:hideMark/>
          </w:tcPr>
          <w:p w14:paraId="720E493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291C837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5EBA7F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7C97C31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52415B5"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783A1F7" w14:textId="77777777" w:rsidTr="006F2DE6">
        <w:trPr>
          <w:trHeight w:val="255"/>
        </w:trPr>
        <w:tc>
          <w:tcPr>
            <w:tcW w:w="980" w:type="dxa"/>
            <w:vMerge/>
            <w:tcMar>
              <w:left w:w="57" w:type="dxa"/>
              <w:right w:w="57" w:type="dxa"/>
            </w:tcMar>
          </w:tcPr>
          <w:p w14:paraId="1FFE84A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023500F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ROMANI</w:t>
            </w:r>
          </w:p>
        </w:tc>
        <w:tc>
          <w:tcPr>
            <w:tcW w:w="850" w:type="dxa"/>
            <w:shd w:val="clear" w:color="auto" w:fill="auto"/>
            <w:noWrap/>
            <w:tcMar>
              <w:left w:w="57" w:type="dxa"/>
              <w:right w:w="57" w:type="dxa"/>
            </w:tcMar>
            <w:vAlign w:val="center"/>
            <w:hideMark/>
          </w:tcPr>
          <w:p w14:paraId="46730A4D"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DC146</w:t>
            </w:r>
          </w:p>
        </w:tc>
        <w:tc>
          <w:tcPr>
            <w:tcW w:w="709" w:type="dxa"/>
            <w:shd w:val="clear" w:color="auto" w:fill="auto"/>
            <w:noWrap/>
            <w:tcMar>
              <w:left w:w="57" w:type="dxa"/>
              <w:right w:w="57" w:type="dxa"/>
            </w:tcMar>
            <w:vAlign w:val="center"/>
            <w:hideMark/>
          </w:tcPr>
          <w:p w14:paraId="465F0E8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860</w:t>
            </w:r>
          </w:p>
        </w:tc>
        <w:tc>
          <w:tcPr>
            <w:tcW w:w="709" w:type="dxa"/>
            <w:shd w:val="clear" w:color="auto" w:fill="auto"/>
            <w:noWrap/>
            <w:tcMar>
              <w:left w:w="57" w:type="dxa"/>
              <w:right w:w="57" w:type="dxa"/>
            </w:tcMar>
            <w:vAlign w:val="center"/>
            <w:hideMark/>
          </w:tcPr>
          <w:p w14:paraId="47BC563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1F4520C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3A082C9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6A4829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5031ADF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1CECE7C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BC59289" w14:textId="77777777" w:rsidTr="006F2DE6">
        <w:trPr>
          <w:trHeight w:val="255"/>
        </w:trPr>
        <w:tc>
          <w:tcPr>
            <w:tcW w:w="980" w:type="dxa"/>
            <w:vMerge/>
            <w:tcMar>
              <w:left w:w="57" w:type="dxa"/>
              <w:right w:w="57" w:type="dxa"/>
            </w:tcMar>
          </w:tcPr>
          <w:p w14:paraId="1FE96C2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8E7E65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SCĂRIŞOARA</w:t>
            </w:r>
          </w:p>
        </w:tc>
        <w:tc>
          <w:tcPr>
            <w:tcW w:w="850" w:type="dxa"/>
            <w:shd w:val="clear" w:color="auto" w:fill="auto"/>
            <w:noWrap/>
            <w:tcMar>
              <w:left w:w="57" w:type="dxa"/>
              <w:right w:w="57" w:type="dxa"/>
            </w:tcMar>
            <w:vAlign w:val="center"/>
            <w:hideMark/>
          </w:tcPr>
          <w:p w14:paraId="537BA7D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49E1B01A"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682</w:t>
            </w:r>
          </w:p>
        </w:tc>
        <w:tc>
          <w:tcPr>
            <w:tcW w:w="709" w:type="dxa"/>
            <w:shd w:val="clear" w:color="auto" w:fill="auto"/>
            <w:noWrap/>
            <w:tcMar>
              <w:left w:w="57" w:type="dxa"/>
              <w:right w:w="57" w:type="dxa"/>
            </w:tcMar>
            <w:vAlign w:val="center"/>
            <w:hideMark/>
          </w:tcPr>
          <w:p w14:paraId="722DB19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w:t>
            </w:r>
          </w:p>
        </w:tc>
        <w:tc>
          <w:tcPr>
            <w:tcW w:w="567" w:type="dxa"/>
            <w:shd w:val="clear" w:color="auto" w:fill="auto"/>
            <w:noWrap/>
            <w:tcMar>
              <w:left w:w="57" w:type="dxa"/>
              <w:right w:w="57" w:type="dxa"/>
            </w:tcMar>
            <w:vAlign w:val="center"/>
            <w:hideMark/>
          </w:tcPr>
          <w:p w14:paraId="5E03712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4519E4E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0D6E463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5A8746A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12AD41E4"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C81F22F" w14:textId="77777777" w:rsidTr="006F2DE6">
        <w:trPr>
          <w:trHeight w:val="255"/>
        </w:trPr>
        <w:tc>
          <w:tcPr>
            <w:tcW w:w="980" w:type="dxa"/>
            <w:vMerge/>
            <w:tcMar>
              <w:left w:w="57" w:type="dxa"/>
              <w:right w:w="57" w:type="dxa"/>
            </w:tcMar>
          </w:tcPr>
          <w:p w14:paraId="059348E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E612D3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STADIONULUI</w:t>
            </w:r>
          </w:p>
        </w:tc>
        <w:tc>
          <w:tcPr>
            <w:tcW w:w="850" w:type="dxa"/>
            <w:shd w:val="clear" w:color="auto" w:fill="auto"/>
            <w:noWrap/>
            <w:tcMar>
              <w:left w:w="57" w:type="dxa"/>
              <w:right w:w="57" w:type="dxa"/>
            </w:tcMar>
            <w:vAlign w:val="center"/>
            <w:hideMark/>
          </w:tcPr>
          <w:p w14:paraId="7110B2F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8AF27E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1216</w:t>
            </w:r>
          </w:p>
        </w:tc>
        <w:tc>
          <w:tcPr>
            <w:tcW w:w="709" w:type="dxa"/>
            <w:shd w:val="clear" w:color="auto" w:fill="auto"/>
            <w:noWrap/>
            <w:tcMar>
              <w:left w:w="57" w:type="dxa"/>
              <w:right w:w="57" w:type="dxa"/>
            </w:tcMar>
            <w:vAlign w:val="center"/>
            <w:hideMark/>
          </w:tcPr>
          <w:p w14:paraId="629B290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7581D66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110ACD4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67164D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735B23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5201DCD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01EC8EB9" w14:textId="77777777" w:rsidTr="006F2DE6">
        <w:trPr>
          <w:trHeight w:val="255"/>
        </w:trPr>
        <w:tc>
          <w:tcPr>
            <w:tcW w:w="980" w:type="dxa"/>
            <w:vMerge/>
            <w:tcMar>
              <w:left w:w="57" w:type="dxa"/>
              <w:right w:w="57" w:type="dxa"/>
            </w:tcMar>
          </w:tcPr>
          <w:p w14:paraId="1034B2E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0BFA90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ŞTIRBEI VODĂ</w:t>
            </w:r>
          </w:p>
        </w:tc>
        <w:tc>
          <w:tcPr>
            <w:tcW w:w="850" w:type="dxa"/>
            <w:shd w:val="clear" w:color="auto" w:fill="auto"/>
            <w:noWrap/>
            <w:tcMar>
              <w:left w:w="57" w:type="dxa"/>
              <w:right w:w="57" w:type="dxa"/>
            </w:tcMar>
            <w:vAlign w:val="center"/>
            <w:hideMark/>
          </w:tcPr>
          <w:p w14:paraId="63C5117E"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1A3CEA5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793</w:t>
            </w:r>
          </w:p>
        </w:tc>
        <w:tc>
          <w:tcPr>
            <w:tcW w:w="709" w:type="dxa"/>
            <w:shd w:val="clear" w:color="auto" w:fill="auto"/>
            <w:noWrap/>
            <w:tcMar>
              <w:left w:w="57" w:type="dxa"/>
              <w:right w:w="57" w:type="dxa"/>
            </w:tcMar>
            <w:vAlign w:val="center"/>
            <w:hideMark/>
          </w:tcPr>
          <w:p w14:paraId="2DF6BDB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6DD99CA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05AA35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038BB7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5B7B7D1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2B79FD0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5EA1A6B" w14:textId="77777777" w:rsidTr="006F2DE6">
        <w:trPr>
          <w:trHeight w:val="255"/>
        </w:trPr>
        <w:tc>
          <w:tcPr>
            <w:tcW w:w="980" w:type="dxa"/>
            <w:vMerge/>
            <w:tcMar>
              <w:left w:w="57" w:type="dxa"/>
              <w:right w:w="57" w:type="dxa"/>
            </w:tcMar>
          </w:tcPr>
          <w:p w14:paraId="6B2C03E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29DC32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T. VLADIMIRESCU</w:t>
            </w:r>
          </w:p>
        </w:tc>
        <w:tc>
          <w:tcPr>
            <w:tcW w:w="850" w:type="dxa"/>
            <w:shd w:val="clear" w:color="auto" w:fill="auto"/>
            <w:noWrap/>
            <w:tcMar>
              <w:left w:w="57" w:type="dxa"/>
              <w:right w:w="57" w:type="dxa"/>
            </w:tcMar>
            <w:vAlign w:val="center"/>
            <w:hideMark/>
          </w:tcPr>
          <w:p w14:paraId="4955909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DN67</w:t>
            </w:r>
          </w:p>
        </w:tc>
        <w:tc>
          <w:tcPr>
            <w:tcW w:w="709" w:type="dxa"/>
            <w:shd w:val="clear" w:color="auto" w:fill="auto"/>
            <w:noWrap/>
            <w:tcMar>
              <w:left w:w="57" w:type="dxa"/>
              <w:right w:w="57" w:type="dxa"/>
            </w:tcMar>
            <w:vAlign w:val="center"/>
            <w:hideMark/>
          </w:tcPr>
          <w:p w14:paraId="72995C6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3860</w:t>
            </w:r>
          </w:p>
        </w:tc>
        <w:tc>
          <w:tcPr>
            <w:tcW w:w="709" w:type="dxa"/>
            <w:shd w:val="clear" w:color="auto" w:fill="auto"/>
            <w:noWrap/>
            <w:tcMar>
              <w:left w:w="57" w:type="dxa"/>
              <w:right w:w="57" w:type="dxa"/>
            </w:tcMar>
            <w:vAlign w:val="center"/>
            <w:hideMark/>
          </w:tcPr>
          <w:p w14:paraId="007BC4C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22</w:t>
            </w:r>
          </w:p>
        </w:tc>
        <w:tc>
          <w:tcPr>
            <w:tcW w:w="567" w:type="dxa"/>
            <w:shd w:val="clear" w:color="auto" w:fill="auto"/>
            <w:noWrap/>
            <w:tcMar>
              <w:left w:w="57" w:type="dxa"/>
              <w:right w:w="57" w:type="dxa"/>
            </w:tcMar>
            <w:vAlign w:val="center"/>
            <w:hideMark/>
          </w:tcPr>
          <w:p w14:paraId="2739A20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690A7B5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522A2A1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369E353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E6C259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00B2E9C3" w14:textId="77777777" w:rsidTr="006F2DE6">
        <w:trPr>
          <w:trHeight w:val="255"/>
        </w:trPr>
        <w:tc>
          <w:tcPr>
            <w:tcW w:w="980" w:type="dxa"/>
            <w:vMerge/>
            <w:tcMar>
              <w:left w:w="57" w:type="dxa"/>
              <w:right w:w="57" w:type="dxa"/>
            </w:tcMar>
          </w:tcPr>
          <w:p w14:paraId="410466B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60E47CC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UNIRII</w:t>
            </w:r>
          </w:p>
        </w:tc>
        <w:tc>
          <w:tcPr>
            <w:tcW w:w="850" w:type="dxa"/>
            <w:shd w:val="clear" w:color="auto" w:fill="auto"/>
            <w:noWrap/>
            <w:tcMar>
              <w:left w:w="57" w:type="dxa"/>
              <w:right w:w="57" w:type="dxa"/>
            </w:tcMar>
            <w:vAlign w:val="center"/>
            <w:hideMark/>
          </w:tcPr>
          <w:p w14:paraId="3892B38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DC143</w:t>
            </w:r>
          </w:p>
        </w:tc>
        <w:tc>
          <w:tcPr>
            <w:tcW w:w="709" w:type="dxa"/>
            <w:shd w:val="clear" w:color="auto" w:fill="auto"/>
            <w:noWrap/>
            <w:tcMar>
              <w:left w:w="57" w:type="dxa"/>
              <w:right w:w="57" w:type="dxa"/>
            </w:tcMar>
            <w:vAlign w:val="center"/>
            <w:hideMark/>
          </w:tcPr>
          <w:p w14:paraId="6EFE43D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320</w:t>
            </w:r>
          </w:p>
        </w:tc>
        <w:tc>
          <w:tcPr>
            <w:tcW w:w="709" w:type="dxa"/>
            <w:shd w:val="clear" w:color="auto" w:fill="auto"/>
            <w:noWrap/>
            <w:tcMar>
              <w:left w:w="57" w:type="dxa"/>
              <w:right w:w="57" w:type="dxa"/>
            </w:tcMar>
            <w:vAlign w:val="center"/>
            <w:hideMark/>
          </w:tcPr>
          <w:p w14:paraId="2B7C99D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13</w:t>
            </w:r>
          </w:p>
        </w:tc>
        <w:tc>
          <w:tcPr>
            <w:tcW w:w="567" w:type="dxa"/>
            <w:shd w:val="clear" w:color="auto" w:fill="auto"/>
            <w:noWrap/>
            <w:tcMar>
              <w:left w:w="57" w:type="dxa"/>
              <w:right w:w="57" w:type="dxa"/>
            </w:tcMar>
            <w:vAlign w:val="center"/>
            <w:hideMark/>
          </w:tcPr>
          <w:p w14:paraId="6626C31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81832F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5367D1C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50E75AA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568D2AE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ED1C3B3" w14:textId="77777777" w:rsidTr="006F2DE6">
        <w:trPr>
          <w:trHeight w:val="255"/>
        </w:trPr>
        <w:tc>
          <w:tcPr>
            <w:tcW w:w="980" w:type="dxa"/>
            <w:vMerge/>
            <w:tcMar>
              <w:left w:w="57" w:type="dxa"/>
              <w:right w:w="57" w:type="dxa"/>
            </w:tcMar>
          </w:tcPr>
          <w:p w14:paraId="6ABE802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29475FB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ZĂVOIULUI</w:t>
            </w:r>
          </w:p>
        </w:tc>
        <w:tc>
          <w:tcPr>
            <w:tcW w:w="850" w:type="dxa"/>
            <w:shd w:val="clear" w:color="auto" w:fill="auto"/>
            <w:noWrap/>
            <w:tcMar>
              <w:left w:w="57" w:type="dxa"/>
              <w:right w:w="57" w:type="dxa"/>
            </w:tcMar>
            <w:vAlign w:val="center"/>
            <w:hideMark/>
          </w:tcPr>
          <w:p w14:paraId="322FC4F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6DA467F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223</w:t>
            </w:r>
          </w:p>
        </w:tc>
        <w:tc>
          <w:tcPr>
            <w:tcW w:w="709" w:type="dxa"/>
            <w:shd w:val="clear" w:color="auto" w:fill="auto"/>
            <w:noWrap/>
            <w:tcMar>
              <w:left w:w="57" w:type="dxa"/>
              <w:right w:w="57" w:type="dxa"/>
            </w:tcMar>
            <w:vAlign w:val="center"/>
            <w:hideMark/>
          </w:tcPr>
          <w:p w14:paraId="57352A9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13</w:t>
            </w:r>
          </w:p>
        </w:tc>
        <w:tc>
          <w:tcPr>
            <w:tcW w:w="567" w:type="dxa"/>
            <w:shd w:val="clear" w:color="auto" w:fill="auto"/>
            <w:noWrap/>
            <w:tcMar>
              <w:left w:w="57" w:type="dxa"/>
              <w:right w:w="57" w:type="dxa"/>
            </w:tcMar>
            <w:vAlign w:val="center"/>
            <w:hideMark/>
          </w:tcPr>
          <w:p w14:paraId="2DB00E8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629BD1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1A48CF3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7643187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070FA8F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C215D67" w14:textId="77777777" w:rsidTr="006F2DE6">
        <w:trPr>
          <w:trHeight w:val="255"/>
        </w:trPr>
        <w:tc>
          <w:tcPr>
            <w:tcW w:w="980" w:type="dxa"/>
            <w:vMerge/>
            <w:tcMar>
              <w:left w:w="57" w:type="dxa"/>
              <w:right w:w="57" w:type="dxa"/>
            </w:tcMar>
          </w:tcPr>
          <w:p w14:paraId="504D9E2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CB9A01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1 DECEMBRIE</w:t>
            </w:r>
          </w:p>
        </w:tc>
        <w:tc>
          <w:tcPr>
            <w:tcW w:w="850" w:type="dxa"/>
            <w:shd w:val="clear" w:color="auto" w:fill="auto"/>
            <w:noWrap/>
            <w:tcMar>
              <w:left w:w="57" w:type="dxa"/>
              <w:right w:w="57" w:type="dxa"/>
            </w:tcMar>
            <w:vAlign w:val="center"/>
            <w:hideMark/>
          </w:tcPr>
          <w:p w14:paraId="083EEB8C"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DJ665</w:t>
            </w:r>
          </w:p>
        </w:tc>
        <w:tc>
          <w:tcPr>
            <w:tcW w:w="709" w:type="dxa"/>
            <w:shd w:val="clear" w:color="auto" w:fill="auto"/>
            <w:noWrap/>
            <w:tcMar>
              <w:left w:w="57" w:type="dxa"/>
              <w:right w:w="57" w:type="dxa"/>
            </w:tcMar>
            <w:vAlign w:val="center"/>
            <w:hideMark/>
          </w:tcPr>
          <w:p w14:paraId="70DF09E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2811</w:t>
            </w:r>
          </w:p>
        </w:tc>
        <w:tc>
          <w:tcPr>
            <w:tcW w:w="709" w:type="dxa"/>
            <w:shd w:val="clear" w:color="auto" w:fill="auto"/>
            <w:noWrap/>
            <w:tcMar>
              <w:left w:w="57" w:type="dxa"/>
              <w:right w:w="57" w:type="dxa"/>
            </w:tcMar>
            <w:vAlign w:val="center"/>
            <w:hideMark/>
          </w:tcPr>
          <w:p w14:paraId="378B33D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16</w:t>
            </w:r>
          </w:p>
        </w:tc>
        <w:tc>
          <w:tcPr>
            <w:tcW w:w="567" w:type="dxa"/>
            <w:shd w:val="clear" w:color="auto" w:fill="auto"/>
            <w:noWrap/>
            <w:tcMar>
              <w:left w:w="57" w:type="dxa"/>
              <w:right w:w="57" w:type="dxa"/>
            </w:tcMar>
            <w:vAlign w:val="center"/>
            <w:hideMark/>
          </w:tcPr>
          <w:p w14:paraId="72517C6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3B1F44F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39A5191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Da</w:t>
            </w:r>
          </w:p>
        </w:tc>
        <w:tc>
          <w:tcPr>
            <w:tcW w:w="992" w:type="dxa"/>
            <w:tcMar>
              <w:left w:w="57" w:type="dxa"/>
              <w:right w:w="57" w:type="dxa"/>
            </w:tcMar>
            <w:vAlign w:val="center"/>
          </w:tcPr>
          <w:p w14:paraId="0DC02FA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20F1825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519B5725" w14:textId="77777777" w:rsidTr="006F2DE6">
        <w:trPr>
          <w:trHeight w:val="255"/>
        </w:trPr>
        <w:tc>
          <w:tcPr>
            <w:tcW w:w="980" w:type="dxa"/>
            <w:vMerge/>
            <w:tcMar>
              <w:left w:w="57" w:type="dxa"/>
              <w:right w:w="57" w:type="dxa"/>
            </w:tcMar>
          </w:tcPr>
          <w:p w14:paraId="57091B8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372AFB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NICOLAE IORGA</w:t>
            </w:r>
          </w:p>
        </w:tc>
        <w:tc>
          <w:tcPr>
            <w:tcW w:w="850" w:type="dxa"/>
            <w:shd w:val="clear" w:color="auto" w:fill="auto"/>
            <w:noWrap/>
            <w:tcMar>
              <w:left w:w="57" w:type="dxa"/>
              <w:right w:w="57" w:type="dxa"/>
            </w:tcMar>
            <w:vAlign w:val="center"/>
            <w:hideMark/>
          </w:tcPr>
          <w:p w14:paraId="31CAC702"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4B4169E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41</w:t>
            </w:r>
          </w:p>
        </w:tc>
        <w:tc>
          <w:tcPr>
            <w:tcW w:w="709" w:type="dxa"/>
            <w:shd w:val="clear" w:color="auto" w:fill="auto"/>
            <w:noWrap/>
            <w:tcMar>
              <w:left w:w="57" w:type="dxa"/>
              <w:right w:w="57" w:type="dxa"/>
            </w:tcMar>
            <w:vAlign w:val="center"/>
            <w:hideMark/>
          </w:tcPr>
          <w:p w14:paraId="2789668A"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14</w:t>
            </w:r>
          </w:p>
        </w:tc>
        <w:tc>
          <w:tcPr>
            <w:tcW w:w="567" w:type="dxa"/>
            <w:shd w:val="clear" w:color="auto" w:fill="auto"/>
            <w:noWrap/>
            <w:tcMar>
              <w:left w:w="57" w:type="dxa"/>
              <w:right w:w="57" w:type="dxa"/>
            </w:tcMar>
            <w:vAlign w:val="center"/>
            <w:hideMark/>
          </w:tcPr>
          <w:p w14:paraId="5D2F93D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1134" w:type="dxa"/>
            <w:shd w:val="clear" w:color="auto" w:fill="auto"/>
            <w:noWrap/>
            <w:tcMar>
              <w:left w:w="57" w:type="dxa"/>
              <w:right w:w="57" w:type="dxa"/>
            </w:tcMar>
            <w:vAlign w:val="center"/>
            <w:hideMark/>
          </w:tcPr>
          <w:p w14:paraId="0548C6C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Pavata</w:t>
            </w:r>
          </w:p>
        </w:tc>
        <w:tc>
          <w:tcPr>
            <w:tcW w:w="851" w:type="dxa"/>
            <w:shd w:val="clear" w:color="auto" w:fill="auto"/>
            <w:noWrap/>
            <w:tcMar>
              <w:left w:w="57" w:type="dxa"/>
              <w:right w:w="57" w:type="dxa"/>
            </w:tcMar>
            <w:vAlign w:val="center"/>
            <w:hideMark/>
          </w:tcPr>
          <w:p w14:paraId="53FD8D7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4127EBC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2126" w:type="dxa"/>
            <w:shd w:val="clear" w:color="auto" w:fill="auto"/>
            <w:noWrap/>
            <w:tcMar>
              <w:left w:w="57" w:type="dxa"/>
              <w:right w:w="57" w:type="dxa"/>
            </w:tcMar>
            <w:vAlign w:val="center"/>
            <w:hideMark/>
          </w:tcPr>
          <w:p w14:paraId="338D5FA7" w14:textId="77777777" w:rsidR="006F66E1" w:rsidRPr="006F66E1" w:rsidRDefault="002473AB" w:rsidP="006F66E1">
            <w:pPr>
              <w:spacing w:after="0" w:line="240" w:lineRule="auto"/>
              <w:rPr>
                <w:rFonts w:ascii="Arial" w:eastAsia="Times New Roman" w:hAnsi="Arial" w:cs="Arial"/>
                <w:color w:val="000000"/>
                <w:sz w:val="16"/>
                <w:szCs w:val="16"/>
                <w:lang w:val="fr-FR" w:eastAsia="fr-FR"/>
              </w:rPr>
            </w:pPr>
            <w:r>
              <w:rPr>
                <w:rFonts w:ascii="Arial" w:eastAsia="Times New Roman" w:hAnsi="Arial" w:cs="Arial"/>
                <w:color w:val="000000"/>
                <w:sz w:val="16"/>
                <w:szCs w:val="16"/>
                <w:lang w:val="fr-FR" w:eastAsia="fr-FR"/>
              </w:rPr>
              <w:t>Pietonal din intersecţia cu Unirii până la intersecţia cu Mircea cel Bă</w:t>
            </w:r>
            <w:r w:rsidR="006F66E1" w:rsidRPr="006F66E1">
              <w:rPr>
                <w:rFonts w:ascii="Arial" w:eastAsia="Times New Roman" w:hAnsi="Arial" w:cs="Arial"/>
                <w:color w:val="000000"/>
                <w:sz w:val="16"/>
                <w:szCs w:val="16"/>
                <w:lang w:val="fr-FR" w:eastAsia="fr-FR"/>
              </w:rPr>
              <w:t>tran</w:t>
            </w:r>
          </w:p>
        </w:tc>
      </w:tr>
      <w:tr w:rsidR="006F66E1" w:rsidRPr="006F66E1" w14:paraId="3334400A" w14:textId="77777777" w:rsidTr="006F2DE6">
        <w:trPr>
          <w:trHeight w:val="255"/>
        </w:trPr>
        <w:tc>
          <w:tcPr>
            <w:tcW w:w="980" w:type="dxa"/>
            <w:vMerge/>
            <w:tcMar>
              <w:left w:w="57" w:type="dxa"/>
              <w:right w:w="57" w:type="dxa"/>
            </w:tcMar>
          </w:tcPr>
          <w:p w14:paraId="4F6AF93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5E867F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UNIRII</w:t>
            </w:r>
          </w:p>
        </w:tc>
        <w:tc>
          <w:tcPr>
            <w:tcW w:w="850" w:type="dxa"/>
            <w:shd w:val="clear" w:color="auto" w:fill="auto"/>
            <w:noWrap/>
            <w:tcMar>
              <w:left w:w="57" w:type="dxa"/>
              <w:right w:w="57" w:type="dxa"/>
            </w:tcMar>
            <w:vAlign w:val="center"/>
            <w:hideMark/>
          </w:tcPr>
          <w:p w14:paraId="4FEA0BAF"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DC143</w:t>
            </w:r>
          </w:p>
        </w:tc>
        <w:tc>
          <w:tcPr>
            <w:tcW w:w="709" w:type="dxa"/>
            <w:shd w:val="clear" w:color="auto" w:fill="auto"/>
            <w:noWrap/>
            <w:tcMar>
              <w:left w:w="57" w:type="dxa"/>
              <w:right w:w="57" w:type="dxa"/>
            </w:tcMar>
            <w:vAlign w:val="center"/>
            <w:hideMark/>
          </w:tcPr>
          <w:p w14:paraId="60CF09F2"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220</w:t>
            </w:r>
          </w:p>
        </w:tc>
        <w:tc>
          <w:tcPr>
            <w:tcW w:w="709" w:type="dxa"/>
            <w:shd w:val="clear" w:color="auto" w:fill="auto"/>
            <w:noWrap/>
            <w:tcMar>
              <w:left w:w="57" w:type="dxa"/>
              <w:right w:w="57" w:type="dxa"/>
            </w:tcMar>
            <w:vAlign w:val="center"/>
            <w:hideMark/>
          </w:tcPr>
          <w:p w14:paraId="01BD6CC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13</w:t>
            </w:r>
          </w:p>
        </w:tc>
        <w:tc>
          <w:tcPr>
            <w:tcW w:w="567" w:type="dxa"/>
            <w:shd w:val="clear" w:color="auto" w:fill="auto"/>
            <w:noWrap/>
            <w:tcMar>
              <w:left w:w="57" w:type="dxa"/>
              <w:right w:w="57" w:type="dxa"/>
            </w:tcMar>
            <w:vAlign w:val="center"/>
            <w:hideMark/>
          </w:tcPr>
          <w:p w14:paraId="5B03867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1134" w:type="dxa"/>
            <w:shd w:val="clear" w:color="auto" w:fill="auto"/>
            <w:noWrap/>
            <w:tcMar>
              <w:left w:w="57" w:type="dxa"/>
              <w:right w:w="57" w:type="dxa"/>
            </w:tcMar>
            <w:vAlign w:val="center"/>
            <w:hideMark/>
          </w:tcPr>
          <w:p w14:paraId="314A00C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Pavata</w:t>
            </w:r>
          </w:p>
        </w:tc>
        <w:tc>
          <w:tcPr>
            <w:tcW w:w="851" w:type="dxa"/>
            <w:shd w:val="clear" w:color="auto" w:fill="auto"/>
            <w:noWrap/>
            <w:tcMar>
              <w:left w:w="57" w:type="dxa"/>
              <w:right w:w="57" w:type="dxa"/>
            </w:tcMar>
            <w:vAlign w:val="center"/>
            <w:hideMark/>
          </w:tcPr>
          <w:p w14:paraId="7F0C038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AF0C90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2126" w:type="dxa"/>
            <w:shd w:val="clear" w:color="auto" w:fill="auto"/>
            <w:noWrap/>
            <w:tcMar>
              <w:left w:w="57" w:type="dxa"/>
              <w:right w:w="57" w:type="dxa"/>
            </w:tcMar>
            <w:vAlign w:val="center"/>
            <w:hideMark/>
          </w:tcPr>
          <w:p w14:paraId="525C1F94" w14:textId="77777777" w:rsidR="006F66E1" w:rsidRPr="006F66E1" w:rsidRDefault="002473AB" w:rsidP="006F66E1">
            <w:pPr>
              <w:spacing w:after="0" w:line="240" w:lineRule="auto"/>
              <w:rPr>
                <w:rFonts w:ascii="Arial" w:eastAsia="Times New Roman" w:hAnsi="Arial" w:cs="Arial"/>
                <w:color w:val="000000"/>
                <w:sz w:val="16"/>
                <w:szCs w:val="16"/>
                <w:lang w:val="fr-FR" w:eastAsia="fr-FR"/>
              </w:rPr>
            </w:pPr>
            <w:r>
              <w:rPr>
                <w:rFonts w:ascii="Arial" w:eastAsia="Times New Roman" w:hAnsi="Arial" w:cs="Arial"/>
                <w:color w:val="000000"/>
                <w:sz w:val="16"/>
                <w:szCs w:val="16"/>
                <w:lang w:val="fr-FR" w:eastAsia="fr-FR"/>
              </w:rPr>
              <w:t>Pietonal din intersecţia cu Tudor Vladimirescu până la intersecţ</w:t>
            </w:r>
            <w:r w:rsidR="006F66E1" w:rsidRPr="006F66E1">
              <w:rPr>
                <w:rFonts w:ascii="Arial" w:eastAsia="Times New Roman" w:hAnsi="Arial" w:cs="Arial"/>
                <w:color w:val="000000"/>
                <w:sz w:val="16"/>
                <w:szCs w:val="16"/>
                <w:lang w:val="fr-FR" w:eastAsia="fr-FR"/>
              </w:rPr>
              <w:t>ia cu Anton Pann</w:t>
            </w:r>
          </w:p>
        </w:tc>
      </w:tr>
      <w:tr w:rsidR="006F66E1" w:rsidRPr="006F66E1" w14:paraId="3555EFB0" w14:textId="77777777" w:rsidTr="006F2DE6">
        <w:trPr>
          <w:trHeight w:val="255"/>
        </w:trPr>
        <w:tc>
          <w:tcPr>
            <w:tcW w:w="980" w:type="dxa"/>
            <w:vMerge/>
            <w:tcMar>
              <w:left w:w="57" w:type="dxa"/>
              <w:right w:w="57" w:type="dxa"/>
            </w:tcMar>
          </w:tcPr>
          <w:p w14:paraId="7689A03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8D43CF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VASILE  ALECSANDRI</w:t>
            </w:r>
          </w:p>
        </w:tc>
        <w:tc>
          <w:tcPr>
            <w:tcW w:w="850" w:type="dxa"/>
            <w:shd w:val="clear" w:color="auto" w:fill="auto"/>
            <w:noWrap/>
            <w:tcMar>
              <w:left w:w="57" w:type="dxa"/>
              <w:right w:w="57" w:type="dxa"/>
            </w:tcMar>
            <w:vAlign w:val="center"/>
            <w:hideMark/>
          </w:tcPr>
          <w:p w14:paraId="21349C0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7A52F53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48</w:t>
            </w:r>
          </w:p>
        </w:tc>
        <w:tc>
          <w:tcPr>
            <w:tcW w:w="709" w:type="dxa"/>
            <w:shd w:val="clear" w:color="auto" w:fill="auto"/>
            <w:noWrap/>
            <w:tcMar>
              <w:left w:w="57" w:type="dxa"/>
              <w:right w:w="57" w:type="dxa"/>
            </w:tcMar>
            <w:vAlign w:val="center"/>
            <w:hideMark/>
          </w:tcPr>
          <w:p w14:paraId="5B9600B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w:t>
            </w:r>
          </w:p>
        </w:tc>
        <w:tc>
          <w:tcPr>
            <w:tcW w:w="567" w:type="dxa"/>
            <w:shd w:val="clear" w:color="auto" w:fill="auto"/>
            <w:noWrap/>
            <w:tcMar>
              <w:left w:w="57" w:type="dxa"/>
              <w:right w:w="57" w:type="dxa"/>
            </w:tcMar>
            <w:vAlign w:val="center"/>
            <w:hideMark/>
          </w:tcPr>
          <w:p w14:paraId="24A56BA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1134" w:type="dxa"/>
            <w:shd w:val="clear" w:color="auto" w:fill="auto"/>
            <w:noWrap/>
            <w:tcMar>
              <w:left w:w="57" w:type="dxa"/>
              <w:right w:w="57" w:type="dxa"/>
            </w:tcMar>
            <w:vAlign w:val="center"/>
            <w:hideMark/>
          </w:tcPr>
          <w:p w14:paraId="7920C2D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Pavata</w:t>
            </w:r>
          </w:p>
        </w:tc>
        <w:tc>
          <w:tcPr>
            <w:tcW w:w="851" w:type="dxa"/>
            <w:shd w:val="clear" w:color="auto" w:fill="auto"/>
            <w:noWrap/>
            <w:tcMar>
              <w:left w:w="57" w:type="dxa"/>
              <w:right w:w="57" w:type="dxa"/>
            </w:tcMar>
            <w:vAlign w:val="center"/>
            <w:hideMark/>
          </w:tcPr>
          <w:p w14:paraId="78DF504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A187B9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2126" w:type="dxa"/>
            <w:shd w:val="clear" w:color="auto" w:fill="auto"/>
            <w:noWrap/>
            <w:tcMar>
              <w:left w:w="57" w:type="dxa"/>
              <w:right w:w="57" w:type="dxa"/>
            </w:tcMar>
            <w:vAlign w:val="center"/>
            <w:hideMark/>
          </w:tcPr>
          <w:p w14:paraId="084AB6DD" w14:textId="77777777" w:rsidR="006F66E1" w:rsidRPr="006F66E1" w:rsidRDefault="002473AB" w:rsidP="006F66E1">
            <w:pPr>
              <w:spacing w:after="0" w:line="240" w:lineRule="auto"/>
              <w:rPr>
                <w:rFonts w:ascii="Arial" w:eastAsia="Times New Roman" w:hAnsi="Arial" w:cs="Arial"/>
                <w:color w:val="000000"/>
                <w:sz w:val="16"/>
                <w:szCs w:val="16"/>
                <w:lang w:val="fr-FR" w:eastAsia="fr-FR"/>
              </w:rPr>
            </w:pPr>
            <w:r>
              <w:rPr>
                <w:rFonts w:ascii="Arial" w:eastAsia="Times New Roman" w:hAnsi="Arial" w:cs="Arial"/>
                <w:color w:val="000000"/>
                <w:sz w:val="16"/>
                <w:szCs w:val="16"/>
                <w:lang w:val="fr-FR" w:eastAsia="fr-FR"/>
              </w:rPr>
              <w:t>Pietonal toată din intersecţia cu Unirii până la intersecţ</w:t>
            </w:r>
            <w:r w:rsidR="006F66E1" w:rsidRPr="006F66E1">
              <w:rPr>
                <w:rFonts w:ascii="Arial" w:eastAsia="Times New Roman" w:hAnsi="Arial" w:cs="Arial"/>
                <w:color w:val="000000"/>
                <w:sz w:val="16"/>
                <w:szCs w:val="16"/>
                <w:lang w:val="fr-FR" w:eastAsia="fr-FR"/>
              </w:rPr>
              <w:t>ia cu 1 Decembrie</w:t>
            </w:r>
          </w:p>
        </w:tc>
      </w:tr>
      <w:tr w:rsidR="006F66E1" w:rsidRPr="006F66E1" w14:paraId="0C7DDF38" w14:textId="77777777" w:rsidTr="006F2DE6">
        <w:trPr>
          <w:trHeight w:val="255"/>
        </w:trPr>
        <w:tc>
          <w:tcPr>
            <w:tcW w:w="980" w:type="dxa"/>
            <w:vMerge/>
            <w:tcMar>
              <w:left w:w="57" w:type="dxa"/>
              <w:right w:w="57" w:type="dxa"/>
            </w:tcMar>
          </w:tcPr>
          <w:p w14:paraId="3CD8FDA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6B875A1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ALEXANDRU  ODOBESCU</w:t>
            </w:r>
          </w:p>
        </w:tc>
        <w:tc>
          <w:tcPr>
            <w:tcW w:w="850" w:type="dxa"/>
            <w:shd w:val="clear" w:color="auto" w:fill="auto"/>
            <w:noWrap/>
            <w:tcMar>
              <w:left w:w="57" w:type="dxa"/>
              <w:right w:w="57" w:type="dxa"/>
            </w:tcMar>
            <w:vAlign w:val="center"/>
            <w:hideMark/>
          </w:tcPr>
          <w:p w14:paraId="4297F235"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5A33AA9A"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69</w:t>
            </w:r>
          </w:p>
        </w:tc>
        <w:tc>
          <w:tcPr>
            <w:tcW w:w="709" w:type="dxa"/>
            <w:shd w:val="clear" w:color="auto" w:fill="auto"/>
            <w:noWrap/>
            <w:tcMar>
              <w:left w:w="57" w:type="dxa"/>
              <w:right w:w="57" w:type="dxa"/>
            </w:tcMar>
            <w:vAlign w:val="center"/>
            <w:hideMark/>
          </w:tcPr>
          <w:p w14:paraId="0B24BD8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w:t>
            </w:r>
          </w:p>
        </w:tc>
        <w:tc>
          <w:tcPr>
            <w:tcW w:w="567" w:type="dxa"/>
            <w:shd w:val="clear" w:color="auto" w:fill="auto"/>
            <w:noWrap/>
            <w:tcMar>
              <w:left w:w="57" w:type="dxa"/>
              <w:right w:w="57" w:type="dxa"/>
            </w:tcMar>
            <w:vAlign w:val="center"/>
            <w:hideMark/>
          </w:tcPr>
          <w:p w14:paraId="1B868C0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1134" w:type="dxa"/>
            <w:shd w:val="clear" w:color="auto" w:fill="auto"/>
            <w:noWrap/>
            <w:tcMar>
              <w:left w:w="57" w:type="dxa"/>
              <w:right w:w="57" w:type="dxa"/>
            </w:tcMar>
            <w:vAlign w:val="center"/>
            <w:hideMark/>
          </w:tcPr>
          <w:p w14:paraId="13B6A8A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Pavata</w:t>
            </w:r>
          </w:p>
        </w:tc>
        <w:tc>
          <w:tcPr>
            <w:tcW w:w="851" w:type="dxa"/>
            <w:shd w:val="clear" w:color="auto" w:fill="auto"/>
            <w:noWrap/>
            <w:tcMar>
              <w:left w:w="57" w:type="dxa"/>
              <w:right w:w="57" w:type="dxa"/>
            </w:tcMar>
            <w:vAlign w:val="center"/>
            <w:hideMark/>
          </w:tcPr>
          <w:p w14:paraId="617207A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E9BA55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2126" w:type="dxa"/>
            <w:shd w:val="clear" w:color="auto" w:fill="auto"/>
            <w:noWrap/>
            <w:tcMar>
              <w:left w:w="57" w:type="dxa"/>
              <w:right w:w="57" w:type="dxa"/>
            </w:tcMar>
            <w:vAlign w:val="center"/>
            <w:hideMark/>
          </w:tcPr>
          <w:p w14:paraId="642221F7" w14:textId="77777777" w:rsidR="006F66E1" w:rsidRPr="006F66E1" w:rsidRDefault="002473AB" w:rsidP="006F66E1">
            <w:pPr>
              <w:spacing w:after="0" w:line="240" w:lineRule="auto"/>
              <w:rPr>
                <w:rFonts w:ascii="Arial" w:eastAsia="Times New Roman" w:hAnsi="Arial" w:cs="Arial"/>
                <w:color w:val="000000"/>
                <w:sz w:val="16"/>
                <w:szCs w:val="16"/>
                <w:lang w:val="fr-FR" w:eastAsia="fr-FR"/>
              </w:rPr>
            </w:pPr>
            <w:r>
              <w:rPr>
                <w:rFonts w:ascii="Arial" w:eastAsia="Times New Roman" w:hAnsi="Arial" w:cs="Arial"/>
                <w:color w:val="000000"/>
                <w:sz w:val="16"/>
                <w:szCs w:val="16"/>
                <w:lang w:val="fr-FR" w:eastAsia="fr-FR"/>
              </w:rPr>
              <w:t>Pietonal toată din intersecţia cu Unirii pana la intersecţ</w:t>
            </w:r>
            <w:r w:rsidR="006F66E1" w:rsidRPr="006F66E1">
              <w:rPr>
                <w:rFonts w:ascii="Arial" w:eastAsia="Times New Roman" w:hAnsi="Arial" w:cs="Arial"/>
                <w:color w:val="000000"/>
                <w:sz w:val="16"/>
                <w:szCs w:val="16"/>
                <w:lang w:val="fr-FR" w:eastAsia="fr-FR"/>
              </w:rPr>
              <w:t>ia cu 1 Decembrie</w:t>
            </w:r>
          </w:p>
        </w:tc>
      </w:tr>
      <w:tr w:rsidR="006F66E1" w:rsidRPr="006F66E1" w14:paraId="6A68521F" w14:textId="77777777" w:rsidTr="006F2DE6">
        <w:trPr>
          <w:trHeight w:val="255"/>
        </w:trPr>
        <w:tc>
          <w:tcPr>
            <w:tcW w:w="980" w:type="dxa"/>
            <w:vMerge/>
            <w:tcMar>
              <w:left w:w="57" w:type="dxa"/>
              <w:right w:w="57" w:type="dxa"/>
            </w:tcMar>
          </w:tcPr>
          <w:p w14:paraId="53E91CB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0FE98BB"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ALEXANDRU VLAHUŢĂ</w:t>
            </w:r>
          </w:p>
        </w:tc>
        <w:tc>
          <w:tcPr>
            <w:tcW w:w="850" w:type="dxa"/>
            <w:shd w:val="clear" w:color="auto" w:fill="auto"/>
            <w:noWrap/>
            <w:tcMar>
              <w:left w:w="57" w:type="dxa"/>
              <w:right w:w="57" w:type="dxa"/>
            </w:tcMar>
            <w:vAlign w:val="center"/>
            <w:hideMark/>
          </w:tcPr>
          <w:p w14:paraId="3235FD0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5C38A6C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772</w:t>
            </w:r>
          </w:p>
        </w:tc>
        <w:tc>
          <w:tcPr>
            <w:tcW w:w="709" w:type="dxa"/>
            <w:shd w:val="clear" w:color="auto" w:fill="auto"/>
            <w:noWrap/>
            <w:tcMar>
              <w:left w:w="57" w:type="dxa"/>
              <w:right w:w="57" w:type="dxa"/>
            </w:tcMar>
            <w:vAlign w:val="center"/>
            <w:hideMark/>
          </w:tcPr>
          <w:p w14:paraId="0462BA5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5A948A1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0F820A9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0ADE11B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45A437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15DA151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2DF4FF1" w14:textId="77777777" w:rsidTr="006F2DE6">
        <w:trPr>
          <w:trHeight w:val="255"/>
        </w:trPr>
        <w:tc>
          <w:tcPr>
            <w:tcW w:w="980" w:type="dxa"/>
            <w:vMerge/>
            <w:tcMar>
              <w:left w:w="57" w:type="dxa"/>
              <w:right w:w="57" w:type="dxa"/>
            </w:tcMar>
          </w:tcPr>
          <w:p w14:paraId="3F235AA2"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A58DDDB"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BĂLANEŞTI</w:t>
            </w:r>
          </w:p>
        </w:tc>
        <w:tc>
          <w:tcPr>
            <w:tcW w:w="850" w:type="dxa"/>
            <w:shd w:val="clear" w:color="auto" w:fill="auto"/>
            <w:noWrap/>
            <w:tcMar>
              <w:left w:w="57" w:type="dxa"/>
              <w:right w:w="57" w:type="dxa"/>
            </w:tcMar>
            <w:vAlign w:val="center"/>
            <w:hideMark/>
          </w:tcPr>
          <w:p w14:paraId="4E43EEB4"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1F29488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700</w:t>
            </w:r>
          </w:p>
        </w:tc>
        <w:tc>
          <w:tcPr>
            <w:tcW w:w="709" w:type="dxa"/>
            <w:shd w:val="clear" w:color="auto" w:fill="auto"/>
            <w:noWrap/>
            <w:tcMar>
              <w:left w:w="57" w:type="dxa"/>
              <w:right w:w="57" w:type="dxa"/>
            </w:tcMar>
            <w:vAlign w:val="center"/>
            <w:hideMark/>
          </w:tcPr>
          <w:p w14:paraId="0DD14F4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31DAE22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3523EFE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3EB8428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DDDBA7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7E475D9D"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74BAF34" w14:textId="77777777" w:rsidTr="006F2DE6">
        <w:trPr>
          <w:trHeight w:val="255"/>
        </w:trPr>
        <w:tc>
          <w:tcPr>
            <w:tcW w:w="980" w:type="dxa"/>
            <w:vMerge/>
            <w:tcMar>
              <w:left w:w="57" w:type="dxa"/>
              <w:right w:w="57" w:type="dxa"/>
            </w:tcMar>
          </w:tcPr>
          <w:p w14:paraId="1C0A866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AD3CE1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CIOCARLIEI</w:t>
            </w:r>
          </w:p>
        </w:tc>
        <w:tc>
          <w:tcPr>
            <w:tcW w:w="850" w:type="dxa"/>
            <w:shd w:val="clear" w:color="auto" w:fill="auto"/>
            <w:noWrap/>
            <w:tcMar>
              <w:left w:w="57" w:type="dxa"/>
              <w:right w:w="57" w:type="dxa"/>
            </w:tcMar>
            <w:vAlign w:val="center"/>
            <w:hideMark/>
          </w:tcPr>
          <w:p w14:paraId="0A959DE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8D64E3A"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159</w:t>
            </w:r>
          </w:p>
        </w:tc>
        <w:tc>
          <w:tcPr>
            <w:tcW w:w="709" w:type="dxa"/>
            <w:shd w:val="clear" w:color="auto" w:fill="auto"/>
            <w:noWrap/>
            <w:tcMar>
              <w:left w:w="57" w:type="dxa"/>
              <w:right w:w="57" w:type="dxa"/>
            </w:tcMar>
            <w:vAlign w:val="center"/>
            <w:hideMark/>
          </w:tcPr>
          <w:p w14:paraId="4083D53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w:t>
            </w:r>
          </w:p>
        </w:tc>
        <w:tc>
          <w:tcPr>
            <w:tcW w:w="567" w:type="dxa"/>
            <w:shd w:val="clear" w:color="auto" w:fill="auto"/>
            <w:noWrap/>
            <w:tcMar>
              <w:left w:w="57" w:type="dxa"/>
              <w:right w:w="57" w:type="dxa"/>
            </w:tcMar>
            <w:vAlign w:val="center"/>
            <w:hideMark/>
          </w:tcPr>
          <w:p w14:paraId="1C97B07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025AA1E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6A00C88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B196E5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59AB9A4F"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5E89DDEA" w14:textId="77777777" w:rsidTr="006F2DE6">
        <w:trPr>
          <w:trHeight w:val="255"/>
        </w:trPr>
        <w:tc>
          <w:tcPr>
            <w:tcW w:w="980" w:type="dxa"/>
            <w:vMerge/>
            <w:tcMar>
              <w:left w:w="57" w:type="dxa"/>
              <w:right w:w="57" w:type="dxa"/>
            </w:tcMar>
          </w:tcPr>
          <w:p w14:paraId="1D8D23F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AA8F4B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LUCIAN BLAGA</w:t>
            </w:r>
          </w:p>
        </w:tc>
        <w:tc>
          <w:tcPr>
            <w:tcW w:w="850" w:type="dxa"/>
            <w:shd w:val="clear" w:color="auto" w:fill="auto"/>
            <w:noWrap/>
            <w:tcMar>
              <w:left w:w="57" w:type="dxa"/>
              <w:right w:w="57" w:type="dxa"/>
            </w:tcMar>
            <w:vAlign w:val="center"/>
            <w:hideMark/>
          </w:tcPr>
          <w:p w14:paraId="4EC22A9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09E7B4BA"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35</w:t>
            </w:r>
          </w:p>
        </w:tc>
        <w:tc>
          <w:tcPr>
            <w:tcW w:w="709" w:type="dxa"/>
            <w:shd w:val="clear" w:color="auto" w:fill="auto"/>
            <w:noWrap/>
            <w:tcMar>
              <w:left w:w="57" w:type="dxa"/>
              <w:right w:w="57" w:type="dxa"/>
            </w:tcMar>
            <w:vAlign w:val="center"/>
            <w:hideMark/>
          </w:tcPr>
          <w:p w14:paraId="190CF1F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w:t>
            </w:r>
          </w:p>
        </w:tc>
        <w:tc>
          <w:tcPr>
            <w:tcW w:w="567" w:type="dxa"/>
            <w:shd w:val="clear" w:color="auto" w:fill="auto"/>
            <w:noWrap/>
            <w:tcMar>
              <w:left w:w="57" w:type="dxa"/>
              <w:right w:w="57" w:type="dxa"/>
            </w:tcMar>
            <w:vAlign w:val="center"/>
            <w:hideMark/>
          </w:tcPr>
          <w:p w14:paraId="20AAE1D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56A640B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430E210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10169E6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4EC7B57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11DC0EA" w14:textId="77777777" w:rsidTr="006F2DE6">
        <w:trPr>
          <w:trHeight w:val="255"/>
        </w:trPr>
        <w:tc>
          <w:tcPr>
            <w:tcW w:w="980" w:type="dxa"/>
            <w:vMerge/>
            <w:tcMar>
              <w:left w:w="57" w:type="dxa"/>
              <w:right w:w="57" w:type="dxa"/>
            </w:tcMar>
          </w:tcPr>
          <w:p w14:paraId="6A13369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E2338B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LUNCAVĂŢULUI</w:t>
            </w:r>
          </w:p>
        </w:tc>
        <w:tc>
          <w:tcPr>
            <w:tcW w:w="850" w:type="dxa"/>
            <w:shd w:val="clear" w:color="auto" w:fill="auto"/>
            <w:noWrap/>
            <w:tcMar>
              <w:left w:w="57" w:type="dxa"/>
              <w:right w:w="57" w:type="dxa"/>
            </w:tcMar>
            <w:vAlign w:val="center"/>
            <w:hideMark/>
          </w:tcPr>
          <w:p w14:paraId="2843C53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4AF15E7E"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266</w:t>
            </w:r>
          </w:p>
        </w:tc>
        <w:tc>
          <w:tcPr>
            <w:tcW w:w="709" w:type="dxa"/>
            <w:shd w:val="clear" w:color="auto" w:fill="auto"/>
            <w:noWrap/>
            <w:tcMar>
              <w:left w:w="57" w:type="dxa"/>
              <w:right w:w="57" w:type="dxa"/>
            </w:tcMar>
            <w:vAlign w:val="center"/>
            <w:hideMark/>
          </w:tcPr>
          <w:p w14:paraId="28C2D24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w:t>
            </w:r>
          </w:p>
        </w:tc>
        <w:tc>
          <w:tcPr>
            <w:tcW w:w="567" w:type="dxa"/>
            <w:shd w:val="clear" w:color="auto" w:fill="auto"/>
            <w:noWrap/>
            <w:tcMar>
              <w:left w:w="57" w:type="dxa"/>
              <w:right w:w="57" w:type="dxa"/>
            </w:tcMar>
            <w:vAlign w:val="center"/>
            <w:hideMark/>
          </w:tcPr>
          <w:p w14:paraId="5508D03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4E28CE8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0E89121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B88343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73488B8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AEF6DC5" w14:textId="77777777" w:rsidTr="006F2DE6">
        <w:trPr>
          <w:trHeight w:val="255"/>
        </w:trPr>
        <w:tc>
          <w:tcPr>
            <w:tcW w:w="980" w:type="dxa"/>
            <w:vMerge/>
            <w:tcMar>
              <w:left w:w="57" w:type="dxa"/>
              <w:right w:w="57" w:type="dxa"/>
            </w:tcMar>
          </w:tcPr>
          <w:p w14:paraId="2D7EA90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6F281B9B"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MERILOR</w:t>
            </w:r>
          </w:p>
        </w:tc>
        <w:tc>
          <w:tcPr>
            <w:tcW w:w="850" w:type="dxa"/>
            <w:shd w:val="clear" w:color="auto" w:fill="auto"/>
            <w:noWrap/>
            <w:tcMar>
              <w:left w:w="57" w:type="dxa"/>
              <w:right w:w="57" w:type="dxa"/>
            </w:tcMar>
            <w:vAlign w:val="center"/>
            <w:hideMark/>
          </w:tcPr>
          <w:p w14:paraId="70B7F8E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5CD3950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1306</w:t>
            </w:r>
          </w:p>
        </w:tc>
        <w:tc>
          <w:tcPr>
            <w:tcW w:w="709" w:type="dxa"/>
            <w:shd w:val="clear" w:color="auto" w:fill="auto"/>
            <w:noWrap/>
            <w:tcMar>
              <w:left w:w="57" w:type="dxa"/>
              <w:right w:w="57" w:type="dxa"/>
            </w:tcMar>
            <w:vAlign w:val="center"/>
            <w:hideMark/>
          </w:tcPr>
          <w:p w14:paraId="3C09C7F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5E487FE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1E5FBDD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5A02199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1D9DDE0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4C5B704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D2BB818" w14:textId="77777777" w:rsidTr="006F2DE6">
        <w:trPr>
          <w:trHeight w:val="255"/>
        </w:trPr>
        <w:tc>
          <w:tcPr>
            <w:tcW w:w="980" w:type="dxa"/>
            <w:vMerge/>
            <w:tcMar>
              <w:left w:w="57" w:type="dxa"/>
              <w:right w:w="57" w:type="dxa"/>
            </w:tcMar>
          </w:tcPr>
          <w:p w14:paraId="7E5302D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1A00DA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MURULUI</w:t>
            </w:r>
          </w:p>
        </w:tc>
        <w:tc>
          <w:tcPr>
            <w:tcW w:w="850" w:type="dxa"/>
            <w:shd w:val="clear" w:color="auto" w:fill="auto"/>
            <w:noWrap/>
            <w:tcMar>
              <w:left w:w="57" w:type="dxa"/>
              <w:right w:w="57" w:type="dxa"/>
            </w:tcMar>
            <w:vAlign w:val="center"/>
            <w:hideMark/>
          </w:tcPr>
          <w:p w14:paraId="04379D2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6494957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671</w:t>
            </w:r>
          </w:p>
        </w:tc>
        <w:tc>
          <w:tcPr>
            <w:tcW w:w="709" w:type="dxa"/>
            <w:shd w:val="clear" w:color="auto" w:fill="auto"/>
            <w:noWrap/>
            <w:tcMar>
              <w:left w:w="57" w:type="dxa"/>
              <w:right w:w="57" w:type="dxa"/>
            </w:tcMar>
            <w:vAlign w:val="center"/>
            <w:hideMark/>
          </w:tcPr>
          <w:p w14:paraId="3336EE3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w:t>
            </w:r>
          </w:p>
        </w:tc>
        <w:tc>
          <w:tcPr>
            <w:tcW w:w="567" w:type="dxa"/>
            <w:shd w:val="clear" w:color="auto" w:fill="auto"/>
            <w:noWrap/>
            <w:tcMar>
              <w:left w:w="57" w:type="dxa"/>
              <w:right w:w="57" w:type="dxa"/>
            </w:tcMar>
            <w:vAlign w:val="center"/>
            <w:hideMark/>
          </w:tcPr>
          <w:p w14:paraId="5D5CA03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457B7D0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2D794D7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19D9DB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36B8DE0F"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C20718A" w14:textId="77777777" w:rsidTr="006F2DE6">
        <w:trPr>
          <w:trHeight w:val="255"/>
        </w:trPr>
        <w:tc>
          <w:tcPr>
            <w:tcW w:w="980" w:type="dxa"/>
            <w:vMerge/>
            <w:tcMar>
              <w:left w:w="57" w:type="dxa"/>
              <w:right w:w="57" w:type="dxa"/>
            </w:tcMar>
          </w:tcPr>
          <w:p w14:paraId="414257F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2935AAA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 xml:space="preserve">PARCULUI </w:t>
            </w:r>
          </w:p>
        </w:tc>
        <w:tc>
          <w:tcPr>
            <w:tcW w:w="850" w:type="dxa"/>
            <w:shd w:val="clear" w:color="auto" w:fill="auto"/>
            <w:noWrap/>
            <w:tcMar>
              <w:left w:w="57" w:type="dxa"/>
              <w:right w:w="57" w:type="dxa"/>
            </w:tcMar>
            <w:vAlign w:val="center"/>
            <w:hideMark/>
          </w:tcPr>
          <w:p w14:paraId="0ADF745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97E507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206</w:t>
            </w:r>
          </w:p>
        </w:tc>
        <w:tc>
          <w:tcPr>
            <w:tcW w:w="709" w:type="dxa"/>
            <w:shd w:val="clear" w:color="auto" w:fill="auto"/>
            <w:noWrap/>
            <w:tcMar>
              <w:left w:w="57" w:type="dxa"/>
              <w:right w:w="57" w:type="dxa"/>
            </w:tcMar>
            <w:vAlign w:val="center"/>
            <w:hideMark/>
          </w:tcPr>
          <w:p w14:paraId="3DE1EDE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1F70766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387A61A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4A01D5A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436F580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21906932"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58138E43" w14:textId="77777777" w:rsidTr="006F2DE6">
        <w:trPr>
          <w:trHeight w:val="255"/>
        </w:trPr>
        <w:tc>
          <w:tcPr>
            <w:tcW w:w="980" w:type="dxa"/>
            <w:vMerge/>
            <w:tcMar>
              <w:left w:w="57" w:type="dxa"/>
              <w:right w:w="57" w:type="dxa"/>
            </w:tcMar>
          </w:tcPr>
          <w:p w14:paraId="43B094D2"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684A266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ULMULUI</w:t>
            </w:r>
          </w:p>
        </w:tc>
        <w:tc>
          <w:tcPr>
            <w:tcW w:w="850" w:type="dxa"/>
            <w:shd w:val="clear" w:color="auto" w:fill="auto"/>
            <w:noWrap/>
            <w:tcMar>
              <w:left w:w="57" w:type="dxa"/>
              <w:right w:w="57" w:type="dxa"/>
            </w:tcMar>
            <w:vAlign w:val="center"/>
            <w:hideMark/>
          </w:tcPr>
          <w:p w14:paraId="7FAF859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0BA50C1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1685</w:t>
            </w:r>
          </w:p>
        </w:tc>
        <w:tc>
          <w:tcPr>
            <w:tcW w:w="709" w:type="dxa"/>
            <w:shd w:val="clear" w:color="auto" w:fill="auto"/>
            <w:noWrap/>
            <w:tcMar>
              <w:left w:w="57" w:type="dxa"/>
              <w:right w:w="57" w:type="dxa"/>
            </w:tcMar>
            <w:vAlign w:val="center"/>
            <w:hideMark/>
          </w:tcPr>
          <w:p w14:paraId="55CC6E6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1EB3F57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8DC380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335E836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4BE3702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6F52D71E"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25AD81D" w14:textId="77777777" w:rsidTr="006F2DE6">
        <w:trPr>
          <w:trHeight w:val="255"/>
        </w:trPr>
        <w:tc>
          <w:tcPr>
            <w:tcW w:w="980" w:type="dxa"/>
            <w:vMerge/>
            <w:tcMar>
              <w:left w:w="57" w:type="dxa"/>
              <w:right w:w="57" w:type="dxa"/>
            </w:tcMar>
          </w:tcPr>
          <w:p w14:paraId="01457DA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61F1426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1907</w:t>
            </w:r>
          </w:p>
        </w:tc>
        <w:tc>
          <w:tcPr>
            <w:tcW w:w="850" w:type="dxa"/>
            <w:shd w:val="clear" w:color="auto" w:fill="auto"/>
            <w:noWrap/>
            <w:tcMar>
              <w:left w:w="57" w:type="dxa"/>
              <w:right w:w="57" w:type="dxa"/>
            </w:tcMar>
            <w:vAlign w:val="center"/>
            <w:hideMark/>
          </w:tcPr>
          <w:p w14:paraId="7F8E77F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179D034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266</w:t>
            </w:r>
          </w:p>
        </w:tc>
        <w:tc>
          <w:tcPr>
            <w:tcW w:w="709" w:type="dxa"/>
            <w:shd w:val="clear" w:color="auto" w:fill="auto"/>
            <w:noWrap/>
            <w:tcMar>
              <w:left w:w="57" w:type="dxa"/>
              <w:right w:w="57" w:type="dxa"/>
            </w:tcMar>
            <w:vAlign w:val="center"/>
            <w:hideMark/>
          </w:tcPr>
          <w:p w14:paraId="7D940F8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3424086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656436E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509B3F0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ECE5DE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7DF4C5F2"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10AB71F" w14:textId="77777777" w:rsidTr="006F2DE6">
        <w:trPr>
          <w:trHeight w:val="255"/>
        </w:trPr>
        <w:tc>
          <w:tcPr>
            <w:tcW w:w="980" w:type="dxa"/>
            <w:vMerge/>
            <w:tcMar>
              <w:left w:w="57" w:type="dxa"/>
              <w:right w:w="57" w:type="dxa"/>
            </w:tcMar>
          </w:tcPr>
          <w:p w14:paraId="6221AC7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0E272E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9 MAI 1877</w:t>
            </w:r>
          </w:p>
        </w:tc>
        <w:tc>
          <w:tcPr>
            <w:tcW w:w="850" w:type="dxa"/>
            <w:shd w:val="clear" w:color="auto" w:fill="auto"/>
            <w:noWrap/>
            <w:tcMar>
              <w:left w:w="57" w:type="dxa"/>
              <w:right w:w="57" w:type="dxa"/>
            </w:tcMar>
            <w:vAlign w:val="center"/>
            <w:hideMark/>
          </w:tcPr>
          <w:p w14:paraId="4A5FC73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5769552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879</w:t>
            </w:r>
          </w:p>
        </w:tc>
        <w:tc>
          <w:tcPr>
            <w:tcW w:w="709" w:type="dxa"/>
            <w:shd w:val="clear" w:color="auto" w:fill="auto"/>
            <w:noWrap/>
            <w:tcMar>
              <w:left w:w="57" w:type="dxa"/>
              <w:right w:w="57" w:type="dxa"/>
            </w:tcMar>
            <w:vAlign w:val="center"/>
            <w:hideMark/>
          </w:tcPr>
          <w:p w14:paraId="7EF4956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0814814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15AFB01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100370D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F0DE0E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027A834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695EE83" w14:textId="77777777" w:rsidTr="006F2DE6">
        <w:trPr>
          <w:trHeight w:val="255"/>
        </w:trPr>
        <w:tc>
          <w:tcPr>
            <w:tcW w:w="980" w:type="dxa"/>
            <w:vMerge w:val="restart"/>
            <w:tcMar>
              <w:left w:w="57" w:type="dxa"/>
              <w:right w:w="57" w:type="dxa"/>
            </w:tcMar>
          </w:tcPr>
          <w:p w14:paraId="031FFDE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Sat Ifrime</w:t>
            </w:r>
            <w:r w:rsidR="0013721C">
              <w:rPr>
                <w:rFonts w:ascii="Arial" w:eastAsia="Times New Roman" w:hAnsi="Arial" w:cs="Arial"/>
                <w:b/>
                <w:color w:val="000000"/>
                <w:sz w:val="16"/>
                <w:szCs w:val="16"/>
                <w:lang w:val="fr-FR" w:eastAsia="fr-FR"/>
              </w:rPr>
              <w:t>ș</w:t>
            </w:r>
            <w:r w:rsidRPr="006F66E1">
              <w:rPr>
                <w:rFonts w:ascii="Arial" w:eastAsia="Times New Roman" w:hAnsi="Arial" w:cs="Arial"/>
                <w:b/>
                <w:color w:val="000000"/>
                <w:sz w:val="16"/>
                <w:szCs w:val="16"/>
                <w:lang w:val="fr-FR" w:eastAsia="fr-FR"/>
              </w:rPr>
              <w:t>ti</w:t>
            </w:r>
          </w:p>
        </w:tc>
        <w:tc>
          <w:tcPr>
            <w:tcW w:w="1843" w:type="dxa"/>
            <w:shd w:val="clear" w:color="auto" w:fill="auto"/>
            <w:noWrap/>
            <w:tcMar>
              <w:left w:w="57" w:type="dxa"/>
              <w:right w:w="57" w:type="dxa"/>
            </w:tcMar>
            <w:vAlign w:val="center"/>
            <w:hideMark/>
          </w:tcPr>
          <w:p w14:paraId="7D5D398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IFRIMEŞTI</w:t>
            </w:r>
          </w:p>
        </w:tc>
        <w:tc>
          <w:tcPr>
            <w:tcW w:w="850" w:type="dxa"/>
            <w:shd w:val="clear" w:color="auto" w:fill="auto"/>
            <w:noWrap/>
            <w:tcMar>
              <w:left w:w="57" w:type="dxa"/>
              <w:right w:w="57" w:type="dxa"/>
            </w:tcMar>
            <w:vAlign w:val="center"/>
            <w:hideMark/>
          </w:tcPr>
          <w:p w14:paraId="7C74AE02"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3447BE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2086</w:t>
            </w:r>
          </w:p>
        </w:tc>
        <w:tc>
          <w:tcPr>
            <w:tcW w:w="709" w:type="dxa"/>
            <w:shd w:val="clear" w:color="auto" w:fill="auto"/>
            <w:noWrap/>
            <w:tcMar>
              <w:left w:w="57" w:type="dxa"/>
              <w:right w:w="57" w:type="dxa"/>
            </w:tcMar>
            <w:vAlign w:val="center"/>
            <w:hideMark/>
          </w:tcPr>
          <w:p w14:paraId="1551825E"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w:t>
            </w:r>
          </w:p>
        </w:tc>
        <w:tc>
          <w:tcPr>
            <w:tcW w:w="567" w:type="dxa"/>
            <w:shd w:val="clear" w:color="auto" w:fill="auto"/>
            <w:noWrap/>
            <w:tcMar>
              <w:left w:w="57" w:type="dxa"/>
              <w:right w:w="57" w:type="dxa"/>
            </w:tcMar>
            <w:vAlign w:val="center"/>
            <w:hideMark/>
          </w:tcPr>
          <w:p w14:paraId="73030DE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738B11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34EE309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0CB196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A994FC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8F12FCC" w14:textId="77777777" w:rsidTr="006F2DE6">
        <w:trPr>
          <w:trHeight w:val="255"/>
        </w:trPr>
        <w:tc>
          <w:tcPr>
            <w:tcW w:w="980" w:type="dxa"/>
            <w:vMerge/>
            <w:tcMar>
              <w:left w:w="57" w:type="dxa"/>
              <w:right w:w="57" w:type="dxa"/>
            </w:tcMar>
          </w:tcPr>
          <w:p w14:paraId="20EC0F6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B17A6E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MĂCEŞULUI</w:t>
            </w:r>
          </w:p>
        </w:tc>
        <w:tc>
          <w:tcPr>
            <w:tcW w:w="850" w:type="dxa"/>
            <w:shd w:val="clear" w:color="auto" w:fill="auto"/>
            <w:noWrap/>
            <w:tcMar>
              <w:left w:w="57" w:type="dxa"/>
              <w:right w:w="57" w:type="dxa"/>
            </w:tcMar>
            <w:vAlign w:val="center"/>
            <w:hideMark/>
          </w:tcPr>
          <w:p w14:paraId="756AC68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1C4E33D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200</w:t>
            </w:r>
          </w:p>
        </w:tc>
        <w:tc>
          <w:tcPr>
            <w:tcW w:w="709" w:type="dxa"/>
            <w:shd w:val="clear" w:color="auto" w:fill="auto"/>
            <w:noWrap/>
            <w:tcMar>
              <w:left w:w="57" w:type="dxa"/>
              <w:right w:w="57" w:type="dxa"/>
            </w:tcMar>
            <w:vAlign w:val="center"/>
            <w:hideMark/>
          </w:tcPr>
          <w:p w14:paraId="7F282F1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43A3CA6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7D9939E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7A4FDE6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5144DA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56F465C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EF4E650" w14:textId="77777777" w:rsidTr="006F2DE6">
        <w:trPr>
          <w:trHeight w:val="255"/>
        </w:trPr>
        <w:tc>
          <w:tcPr>
            <w:tcW w:w="980" w:type="dxa"/>
            <w:vMerge/>
            <w:tcMar>
              <w:left w:w="57" w:type="dxa"/>
              <w:right w:w="57" w:type="dxa"/>
            </w:tcMar>
          </w:tcPr>
          <w:p w14:paraId="57C3A14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070E86C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PISCULUI</w:t>
            </w:r>
          </w:p>
        </w:tc>
        <w:tc>
          <w:tcPr>
            <w:tcW w:w="850" w:type="dxa"/>
            <w:shd w:val="clear" w:color="auto" w:fill="auto"/>
            <w:noWrap/>
            <w:tcMar>
              <w:left w:w="57" w:type="dxa"/>
              <w:right w:w="57" w:type="dxa"/>
            </w:tcMar>
            <w:vAlign w:val="center"/>
            <w:hideMark/>
          </w:tcPr>
          <w:p w14:paraId="5355F27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343751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710</w:t>
            </w:r>
          </w:p>
        </w:tc>
        <w:tc>
          <w:tcPr>
            <w:tcW w:w="709" w:type="dxa"/>
            <w:shd w:val="clear" w:color="auto" w:fill="auto"/>
            <w:noWrap/>
            <w:tcMar>
              <w:left w:w="57" w:type="dxa"/>
              <w:right w:w="57" w:type="dxa"/>
            </w:tcMar>
            <w:vAlign w:val="center"/>
            <w:hideMark/>
          </w:tcPr>
          <w:p w14:paraId="6DF0574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38517A7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28D4E7B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0AC9932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721ED97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2489A112"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CAC12C8" w14:textId="77777777" w:rsidTr="006F2DE6">
        <w:trPr>
          <w:trHeight w:val="255"/>
        </w:trPr>
        <w:tc>
          <w:tcPr>
            <w:tcW w:w="980" w:type="dxa"/>
            <w:vMerge w:val="restart"/>
            <w:tcMar>
              <w:left w:w="57" w:type="dxa"/>
              <w:right w:w="57" w:type="dxa"/>
            </w:tcMar>
          </w:tcPr>
          <w:p w14:paraId="24345C7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Sat R</w:t>
            </w:r>
            <w:r w:rsidR="0013721C">
              <w:rPr>
                <w:rFonts w:ascii="Arial" w:eastAsia="Times New Roman" w:hAnsi="Arial" w:cs="Arial"/>
                <w:b/>
                <w:color w:val="000000"/>
                <w:sz w:val="16"/>
                <w:szCs w:val="16"/>
                <w:lang w:val="fr-FR" w:eastAsia="fr-FR"/>
              </w:rPr>
              <w:t>â</w:t>
            </w:r>
            <w:r w:rsidRPr="006F66E1">
              <w:rPr>
                <w:rFonts w:ascii="Arial" w:eastAsia="Times New Roman" w:hAnsi="Arial" w:cs="Arial"/>
                <w:b/>
                <w:color w:val="000000"/>
                <w:sz w:val="16"/>
                <w:szCs w:val="16"/>
                <w:lang w:val="fr-FR" w:eastAsia="fr-FR"/>
              </w:rPr>
              <w:t>me</w:t>
            </w:r>
            <w:r w:rsidR="0013721C">
              <w:rPr>
                <w:rFonts w:ascii="Arial" w:eastAsia="Times New Roman" w:hAnsi="Arial" w:cs="Arial"/>
                <w:b/>
                <w:color w:val="000000"/>
                <w:sz w:val="16"/>
                <w:szCs w:val="16"/>
                <w:lang w:val="fr-FR" w:eastAsia="fr-FR"/>
              </w:rPr>
              <w:t>ș</w:t>
            </w:r>
            <w:r w:rsidRPr="006F66E1">
              <w:rPr>
                <w:rFonts w:ascii="Arial" w:eastAsia="Times New Roman" w:hAnsi="Arial" w:cs="Arial"/>
                <w:b/>
                <w:color w:val="000000"/>
                <w:sz w:val="16"/>
                <w:szCs w:val="16"/>
                <w:lang w:val="fr-FR" w:eastAsia="fr-FR"/>
              </w:rPr>
              <w:t>ti</w:t>
            </w:r>
          </w:p>
        </w:tc>
        <w:tc>
          <w:tcPr>
            <w:tcW w:w="1843" w:type="dxa"/>
            <w:shd w:val="clear" w:color="auto" w:fill="auto"/>
            <w:noWrap/>
            <w:tcMar>
              <w:left w:w="57" w:type="dxa"/>
              <w:right w:w="57" w:type="dxa"/>
            </w:tcMar>
            <w:vAlign w:val="center"/>
            <w:hideMark/>
          </w:tcPr>
          <w:p w14:paraId="07CAF23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GULIMANI</w:t>
            </w:r>
          </w:p>
        </w:tc>
        <w:tc>
          <w:tcPr>
            <w:tcW w:w="850" w:type="dxa"/>
            <w:shd w:val="clear" w:color="auto" w:fill="auto"/>
            <w:noWrap/>
            <w:tcMar>
              <w:left w:w="57" w:type="dxa"/>
              <w:right w:w="57" w:type="dxa"/>
            </w:tcMar>
            <w:vAlign w:val="center"/>
            <w:hideMark/>
          </w:tcPr>
          <w:p w14:paraId="0FBA939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03BD453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1500</w:t>
            </w:r>
          </w:p>
        </w:tc>
        <w:tc>
          <w:tcPr>
            <w:tcW w:w="709" w:type="dxa"/>
            <w:shd w:val="clear" w:color="auto" w:fill="auto"/>
            <w:noWrap/>
            <w:tcMar>
              <w:left w:w="57" w:type="dxa"/>
              <w:right w:w="57" w:type="dxa"/>
            </w:tcMar>
            <w:vAlign w:val="center"/>
            <w:hideMark/>
          </w:tcPr>
          <w:p w14:paraId="0F148F9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22D57A6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2C6C15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DF4690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46EB29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15C75F9F"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978E2FB" w14:textId="77777777" w:rsidTr="006F2DE6">
        <w:trPr>
          <w:trHeight w:val="255"/>
        </w:trPr>
        <w:tc>
          <w:tcPr>
            <w:tcW w:w="980" w:type="dxa"/>
            <w:vMerge/>
            <w:tcMar>
              <w:left w:w="57" w:type="dxa"/>
              <w:right w:w="57" w:type="dxa"/>
            </w:tcMar>
          </w:tcPr>
          <w:p w14:paraId="1059491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C55C74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RÂMEŞTI</w:t>
            </w:r>
          </w:p>
        </w:tc>
        <w:tc>
          <w:tcPr>
            <w:tcW w:w="850" w:type="dxa"/>
            <w:shd w:val="clear" w:color="auto" w:fill="auto"/>
            <w:noWrap/>
            <w:tcMar>
              <w:left w:w="57" w:type="dxa"/>
              <w:right w:w="57" w:type="dxa"/>
            </w:tcMar>
            <w:vAlign w:val="center"/>
            <w:hideMark/>
          </w:tcPr>
          <w:p w14:paraId="11CBCDE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DC144</w:t>
            </w:r>
          </w:p>
        </w:tc>
        <w:tc>
          <w:tcPr>
            <w:tcW w:w="709" w:type="dxa"/>
            <w:shd w:val="clear" w:color="auto" w:fill="auto"/>
            <w:noWrap/>
            <w:tcMar>
              <w:left w:w="57" w:type="dxa"/>
              <w:right w:w="57" w:type="dxa"/>
            </w:tcMar>
            <w:vAlign w:val="center"/>
            <w:hideMark/>
          </w:tcPr>
          <w:p w14:paraId="52A71D9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2649</w:t>
            </w:r>
          </w:p>
        </w:tc>
        <w:tc>
          <w:tcPr>
            <w:tcW w:w="709" w:type="dxa"/>
            <w:shd w:val="clear" w:color="auto" w:fill="auto"/>
            <w:noWrap/>
            <w:tcMar>
              <w:left w:w="57" w:type="dxa"/>
              <w:right w:w="57" w:type="dxa"/>
            </w:tcMar>
            <w:vAlign w:val="center"/>
            <w:hideMark/>
          </w:tcPr>
          <w:p w14:paraId="702606C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7DE029C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1BB0D8B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A76E1A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DBCE46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0293C1A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3630D41" w14:textId="77777777" w:rsidTr="006F2DE6">
        <w:trPr>
          <w:trHeight w:val="255"/>
        </w:trPr>
        <w:tc>
          <w:tcPr>
            <w:tcW w:w="980" w:type="dxa"/>
            <w:vMerge/>
            <w:tcMar>
              <w:left w:w="57" w:type="dxa"/>
              <w:right w:w="57" w:type="dxa"/>
            </w:tcMar>
          </w:tcPr>
          <w:p w14:paraId="2DA8A3A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99C3BB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BISERICII</w:t>
            </w:r>
          </w:p>
        </w:tc>
        <w:tc>
          <w:tcPr>
            <w:tcW w:w="850" w:type="dxa"/>
            <w:shd w:val="clear" w:color="auto" w:fill="auto"/>
            <w:noWrap/>
            <w:tcMar>
              <w:left w:w="57" w:type="dxa"/>
              <w:right w:w="57" w:type="dxa"/>
            </w:tcMar>
            <w:vAlign w:val="center"/>
            <w:hideMark/>
          </w:tcPr>
          <w:p w14:paraId="39AC2F8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1DA8298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78</w:t>
            </w:r>
          </w:p>
        </w:tc>
        <w:tc>
          <w:tcPr>
            <w:tcW w:w="709" w:type="dxa"/>
            <w:shd w:val="clear" w:color="auto" w:fill="auto"/>
            <w:noWrap/>
            <w:tcMar>
              <w:left w:w="57" w:type="dxa"/>
              <w:right w:w="57" w:type="dxa"/>
            </w:tcMar>
            <w:vAlign w:val="center"/>
            <w:hideMark/>
          </w:tcPr>
          <w:p w14:paraId="574E17E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69F8D0E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0973777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2DBB4E5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5B8992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15D910B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25A53D0" w14:textId="77777777" w:rsidTr="006F2DE6">
        <w:trPr>
          <w:trHeight w:val="255"/>
        </w:trPr>
        <w:tc>
          <w:tcPr>
            <w:tcW w:w="980" w:type="dxa"/>
            <w:vMerge/>
            <w:tcMar>
              <w:left w:w="57" w:type="dxa"/>
              <w:right w:w="57" w:type="dxa"/>
            </w:tcMar>
          </w:tcPr>
          <w:p w14:paraId="4A00491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0801907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GRECILOR</w:t>
            </w:r>
          </w:p>
        </w:tc>
        <w:tc>
          <w:tcPr>
            <w:tcW w:w="850" w:type="dxa"/>
            <w:shd w:val="clear" w:color="auto" w:fill="auto"/>
            <w:noWrap/>
            <w:tcMar>
              <w:left w:w="57" w:type="dxa"/>
              <w:right w:w="57" w:type="dxa"/>
            </w:tcMar>
            <w:vAlign w:val="center"/>
            <w:hideMark/>
          </w:tcPr>
          <w:p w14:paraId="3F10D2A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036EBA0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140</w:t>
            </w:r>
          </w:p>
        </w:tc>
        <w:tc>
          <w:tcPr>
            <w:tcW w:w="709" w:type="dxa"/>
            <w:shd w:val="clear" w:color="auto" w:fill="auto"/>
            <w:noWrap/>
            <w:tcMar>
              <w:left w:w="57" w:type="dxa"/>
              <w:right w:w="57" w:type="dxa"/>
            </w:tcMar>
            <w:vAlign w:val="center"/>
            <w:hideMark/>
          </w:tcPr>
          <w:p w14:paraId="49E2373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066E039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458B947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16CA607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CE3453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65E236B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0906714D" w14:textId="77777777" w:rsidTr="006F2DE6">
        <w:trPr>
          <w:trHeight w:val="255"/>
        </w:trPr>
        <w:tc>
          <w:tcPr>
            <w:tcW w:w="980" w:type="dxa"/>
            <w:vMerge/>
            <w:tcMar>
              <w:left w:w="57" w:type="dxa"/>
              <w:right w:w="57" w:type="dxa"/>
            </w:tcMar>
          </w:tcPr>
          <w:p w14:paraId="4E4E2F0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286ED89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GULIMANI</w:t>
            </w:r>
          </w:p>
        </w:tc>
        <w:tc>
          <w:tcPr>
            <w:tcW w:w="850" w:type="dxa"/>
            <w:shd w:val="clear" w:color="auto" w:fill="auto"/>
            <w:noWrap/>
            <w:tcMar>
              <w:left w:w="57" w:type="dxa"/>
              <w:right w:w="57" w:type="dxa"/>
            </w:tcMar>
            <w:vAlign w:val="center"/>
            <w:hideMark/>
          </w:tcPr>
          <w:p w14:paraId="3F76EEE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50B888B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313</w:t>
            </w:r>
          </w:p>
        </w:tc>
        <w:tc>
          <w:tcPr>
            <w:tcW w:w="709" w:type="dxa"/>
            <w:shd w:val="clear" w:color="auto" w:fill="auto"/>
            <w:noWrap/>
            <w:tcMar>
              <w:left w:w="57" w:type="dxa"/>
              <w:right w:w="57" w:type="dxa"/>
            </w:tcMar>
            <w:vAlign w:val="center"/>
            <w:hideMark/>
          </w:tcPr>
          <w:p w14:paraId="526171B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7F53DA1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4EE253B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5BB23F2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02E042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60611F9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427A84F" w14:textId="77777777" w:rsidTr="006F2DE6">
        <w:trPr>
          <w:trHeight w:val="255"/>
        </w:trPr>
        <w:tc>
          <w:tcPr>
            <w:tcW w:w="980" w:type="dxa"/>
            <w:vMerge/>
            <w:tcMar>
              <w:left w:w="57" w:type="dxa"/>
              <w:right w:w="57" w:type="dxa"/>
            </w:tcMar>
          </w:tcPr>
          <w:p w14:paraId="5735515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37E638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MĂGURII</w:t>
            </w:r>
          </w:p>
        </w:tc>
        <w:tc>
          <w:tcPr>
            <w:tcW w:w="850" w:type="dxa"/>
            <w:shd w:val="clear" w:color="auto" w:fill="auto"/>
            <w:noWrap/>
            <w:tcMar>
              <w:left w:w="57" w:type="dxa"/>
              <w:right w:w="57" w:type="dxa"/>
            </w:tcMar>
            <w:vAlign w:val="center"/>
            <w:hideMark/>
          </w:tcPr>
          <w:p w14:paraId="12BDF61C"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1C975A8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657</w:t>
            </w:r>
          </w:p>
        </w:tc>
        <w:tc>
          <w:tcPr>
            <w:tcW w:w="709" w:type="dxa"/>
            <w:shd w:val="clear" w:color="auto" w:fill="auto"/>
            <w:noWrap/>
            <w:tcMar>
              <w:left w:w="57" w:type="dxa"/>
              <w:right w:w="57" w:type="dxa"/>
            </w:tcMar>
            <w:vAlign w:val="center"/>
            <w:hideMark/>
          </w:tcPr>
          <w:p w14:paraId="7577C18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 xml:space="preserve"> 6</w:t>
            </w:r>
          </w:p>
        </w:tc>
        <w:tc>
          <w:tcPr>
            <w:tcW w:w="567" w:type="dxa"/>
            <w:shd w:val="clear" w:color="auto" w:fill="auto"/>
            <w:noWrap/>
            <w:tcMar>
              <w:left w:w="57" w:type="dxa"/>
              <w:right w:w="57" w:type="dxa"/>
            </w:tcMar>
            <w:vAlign w:val="center"/>
            <w:hideMark/>
          </w:tcPr>
          <w:p w14:paraId="0E4860D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09B8CBD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1170AA8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A4A07E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751F12F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5A4B8F7C" w14:textId="77777777" w:rsidTr="006F2DE6">
        <w:trPr>
          <w:trHeight w:val="255"/>
        </w:trPr>
        <w:tc>
          <w:tcPr>
            <w:tcW w:w="980" w:type="dxa"/>
            <w:vMerge/>
            <w:tcMar>
              <w:left w:w="57" w:type="dxa"/>
              <w:right w:w="57" w:type="dxa"/>
            </w:tcMar>
          </w:tcPr>
          <w:p w14:paraId="4070AE0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DD1E9E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SCURTĂ</w:t>
            </w:r>
          </w:p>
        </w:tc>
        <w:tc>
          <w:tcPr>
            <w:tcW w:w="850" w:type="dxa"/>
            <w:shd w:val="clear" w:color="auto" w:fill="auto"/>
            <w:noWrap/>
            <w:tcMar>
              <w:left w:w="57" w:type="dxa"/>
              <w:right w:w="57" w:type="dxa"/>
            </w:tcMar>
            <w:vAlign w:val="center"/>
            <w:hideMark/>
          </w:tcPr>
          <w:p w14:paraId="39076A8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6C8EC9E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91</w:t>
            </w:r>
          </w:p>
        </w:tc>
        <w:tc>
          <w:tcPr>
            <w:tcW w:w="709" w:type="dxa"/>
            <w:shd w:val="clear" w:color="auto" w:fill="auto"/>
            <w:noWrap/>
            <w:tcMar>
              <w:left w:w="57" w:type="dxa"/>
              <w:right w:w="57" w:type="dxa"/>
            </w:tcMar>
            <w:vAlign w:val="center"/>
            <w:hideMark/>
          </w:tcPr>
          <w:p w14:paraId="3CE4B5B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2D1B8DF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1520F7F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2CD5BF6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1F1BE7B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0C9564E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672B6F0" w14:textId="77777777" w:rsidTr="006F2DE6">
        <w:trPr>
          <w:trHeight w:val="255"/>
        </w:trPr>
        <w:tc>
          <w:tcPr>
            <w:tcW w:w="980" w:type="dxa"/>
            <w:vMerge w:val="restart"/>
            <w:tcMar>
              <w:left w:w="57" w:type="dxa"/>
              <w:right w:w="57" w:type="dxa"/>
            </w:tcMar>
          </w:tcPr>
          <w:p w14:paraId="1FCC650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lastRenderedPageBreak/>
              <w:t>Sat Romanii de Jos</w:t>
            </w:r>
          </w:p>
        </w:tc>
        <w:tc>
          <w:tcPr>
            <w:tcW w:w="1843" w:type="dxa"/>
            <w:shd w:val="clear" w:color="auto" w:fill="auto"/>
            <w:noWrap/>
            <w:tcMar>
              <w:left w:w="57" w:type="dxa"/>
              <w:right w:w="57" w:type="dxa"/>
            </w:tcMar>
            <w:vAlign w:val="center"/>
            <w:hideMark/>
          </w:tcPr>
          <w:p w14:paraId="7F4CCDB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ARINILOR</w:t>
            </w:r>
          </w:p>
        </w:tc>
        <w:tc>
          <w:tcPr>
            <w:tcW w:w="850" w:type="dxa"/>
            <w:shd w:val="clear" w:color="auto" w:fill="auto"/>
            <w:noWrap/>
            <w:tcMar>
              <w:left w:w="57" w:type="dxa"/>
              <w:right w:w="57" w:type="dxa"/>
            </w:tcMar>
            <w:vAlign w:val="center"/>
            <w:hideMark/>
          </w:tcPr>
          <w:p w14:paraId="407C5E8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DC147</w:t>
            </w:r>
          </w:p>
        </w:tc>
        <w:tc>
          <w:tcPr>
            <w:tcW w:w="709" w:type="dxa"/>
            <w:shd w:val="clear" w:color="auto" w:fill="auto"/>
            <w:noWrap/>
            <w:tcMar>
              <w:left w:w="57" w:type="dxa"/>
              <w:right w:w="57" w:type="dxa"/>
            </w:tcMar>
            <w:vAlign w:val="center"/>
            <w:hideMark/>
          </w:tcPr>
          <w:p w14:paraId="7E42A59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493</w:t>
            </w:r>
          </w:p>
        </w:tc>
        <w:tc>
          <w:tcPr>
            <w:tcW w:w="709" w:type="dxa"/>
            <w:shd w:val="clear" w:color="auto" w:fill="auto"/>
            <w:noWrap/>
            <w:tcMar>
              <w:left w:w="57" w:type="dxa"/>
              <w:right w:w="57" w:type="dxa"/>
            </w:tcMar>
            <w:vAlign w:val="center"/>
            <w:hideMark/>
          </w:tcPr>
          <w:p w14:paraId="5DD8C36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5FCCAC4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49F99DD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08294BF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353730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236FE36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1EBAAA6" w14:textId="77777777" w:rsidTr="006F2DE6">
        <w:trPr>
          <w:trHeight w:val="255"/>
        </w:trPr>
        <w:tc>
          <w:tcPr>
            <w:tcW w:w="980" w:type="dxa"/>
            <w:vMerge/>
            <w:tcMar>
              <w:left w:w="57" w:type="dxa"/>
              <w:right w:w="57" w:type="dxa"/>
            </w:tcMar>
          </w:tcPr>
          <w:p w14:paraId="49E0DF9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2EE8BDB"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BIVOLĂRIEI</w:t>
            </w:r>
          </w:p>
        </w:tc>
        <w:tc>
          <w:tcPr>
            <w:tcW w:w="850" w:type="dxa"/>
            <w:shd w:val="clear" w:color="auto" w:fill="auto"/>
            <w:noWrap/>
            <w:tcMar>
              <w:left w:w="57" w:type="dxa"/>
              <w:right w:w="57" w:type="dxa"/>
            </w:tcMar>
            <w:vAlign w:val="center"/>
            <w:hideMark/>
          </w:tcPr>
          <w:p w14:paraId="24782EE5"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DC147 (Partial)</w:t>
            </w:r>
          </w:p>
        </w:tc>
        <w:tc>
          <w:tcPr>
            <w:tcW w:w="709" w:type="dxa"/>
            <w:shd w:val="clear" w:color="auto" w:fill="auto"/>
            <w:noWrap/>
            <w:tcMar>
              <w:left w:w="57" w:type="dxa"/>
              <w:right w:w="57" w:type="dxa"/>
            </w:tcMar>
            <w:vAlign w:val="center"/>
            <w:hideMark/>
          </w:tcPr>
          <w:p w14:paraId="31ABD4F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1400</w:t>
            </w:r>
          </w:p>
        </w:tc>
        <w:tc>
          <w:tcPr>
            <w:tcW w:w="709" w:type="dxa"/>
            <w:shd w:val="clear" w:color="auto" w:fill="auto"/>
            <w:noWrap/>
            <w:tcMar>
              <w:left w:w="57" w:type="dxa"/>
              <w:right w:w="57" w:type="dxa"/>
            </w:tcMar>
            <w:vAlign w:val="center"/>
            <w:hideMark/>
          </w:tcPr>
          <w:p w14:paraId="2815F66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6D9A8BC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CF0701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0F09CBE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5DFF55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BD4130C"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E19AE91" w14:textId="77777777" w:rsidTr="006F2DE6">
        <w:trPr>
          <w:trHeight w:val="255"/>
        </w:trPr>
        <w:tc>
          <w:tcPr>
            <w:tcW w:w="980" w:type="dxa"/>
            <w:vMerge/>
            <w:tcMar>
              <w:left w:w="57" w:type="dxa"/>
              <w:right w:w="57" w:type="dxa"/>
            </w:tcMar>
          </w:tcPr>
          <w:p w14:paraId="18FE5C6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12A9FF2"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MÂNĂSTIRII</w:t>
            </w:r>
          </w:p>
        </w:tc>
        <w:tc>
          <w:tcPr>
            <w:tcW w:w="850" w:type="dxa"/>
            <w:shd w:val="clear" w:color="auto" w:fill="auto"/>
            <w:noWrap/>
            <w:tcMar>
              <w:left w:w="57" w:type="dxa"/>
              <w:right w:w="57" w:type="dxa"/>
            </w:tcMar>
            <w:vAlign w:val="center"/>
            <w:hideMark/>
          </w:tcPr>
          <w:p w14:paraId="0B46F54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DJ669</w:t>
            </w:r>
          </w:p>
        </w:tc>
        <w:tc>
          <w:tcPr>
            <w:tcW w:w="709" w:type="dxa"/>
            <w:shd w:val="clear" w:color="auto" w:fill="auto"/>
            <w:noWrap/>
            <w:tcMar>
              <w:left w:w="57" w:type="dxa"/>
              <w:right w:w="57" w:type="dxa"/>
            </w:tcMar>
            <w:vAlign w:val="center"/>
            <w:hideMark/>
          </w:tcPr>
          <w:p w14:paraId="3C3CBA6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2422</w:t>
            </w:r>
          </w:p>
        </w:tc>
        <w:tc>
          <w:tcPr>
            <w:tcW w:w="709" w:type="dxa"/>
            <w:shd w:val="clear" w:color="auto" w:fill="auto"/>
            <w:noWrap/>
            <w:tcMar>
              <w:left w:w="57" w:type="dxa"/>
              <w:right w:w="57" w:type="dxa"/>
            </w:tcMar>
            <w:vAlign w:val="center"/>
            <w:hideMark/>
          </w:tcPr>
          <w:p w14:paraId="00C8B75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15</w:t>
            </w:r>
          </w:p>
        </w:tc>
        <w:tc>
          <w:tcPr>
            <w:tcW w:w="567" w:type="dxa"/>
            <w:shd w:val="clear" w:color="auto" w:fill="auto"/>
            <w:noWrap/>
            <w:tcMar>
              <w:left w:w="57" w:type="dxa"/>
              <w:right w:w="57" w:type="dxa"/>
            </w:tcMar>
            <w:vAlign w:val="center"/>
            <w:hideMark/>
          </w:tcPr>
          <w:p w14:paraId="2F2DA8D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05B2469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234A42E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72F5F47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0B07F8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E964C84" w14:textId="77777777" w:rsidTr="006F2DE6">
        <w:trPr>
          <w:trHeight w:val="255"/>
        </w:trPr>
        <w:tc>
          <w:tcPr>
            <w:tcW w:w="980" w:type="dxa"/>
            <w:vMerge/>
            <w:tcMar>
              <w:left w:w="57" w:type="dxa"/>
              <w:right w:w="57" w:type="dxa"/>
            </w:tcMar>
          </w:tcPr>
          <w:p w14:paraId="6A4ADDEB"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5307A4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NEAGOTA</w:t>
            </w:r>
          </w:p>
        </w:tc>
        <w:tc>
          <w:tcPr>
            <w:tcW w:w="850" w:type="dxa"/>
            <w:shd w:val="clear" w:color="auto" w:fill="auto"/>
            <w:noWrap/>
            <w:tcMar>
              <w:left w:w="57" w:type="dxa"/>
              <w:right w:w="57" w:type="dxa"/>
            </w:tcMar>
            <w:vAlign w:val="center"/>
            <w:hideMark/>
          </w:tcPr>
          <w:p w14:paraId="3FCFE3F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DC147</w:t>
            </w:r>
          </w:p>
        </w:tc>
        <w:tc>
          <w:tcPr>
            <w:tcW w:w="709" w:type="dxa"/>
            <w:shd w:val="clear" w:color="auto" w:fill="auto"/>
            <w:noWrap/>
            <w:tcMar>
              <w:left w:w="57" w:type="dxa"/>
              <w:right w:w="57" w:type="dxa"/>
            </w:tcMar>
            <w:vAlign w:val="center"/>
            <w:hideMark/>
          </w:tcPr>
          <w:p w14:paraId="2568487A"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650</w:t>
            </w:r>
          </w:p>
        </w:tc>
        <w:tc>
          <w:tcPr>
            <w:tcW w:w="709" w:type="dxa"/>
            <w:shd w:val="clear" w:color="auto" w:fill="auto"/>
            <w:noWrap/>
            <w:tcMar>
              <w:left w:w="57" w:type="dxa"/>
              <w:right w:w="57" w:type="dxa"/>
            </w:tcMar>
            <w:vAlign w:val="center"/>
            <w:hideMark/>
          </w:tcPr>
          <w:p w14:paraId="2CB1457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27C1C0B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4F0AFCF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7396F9A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1F358E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FA741D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A3596E9" w14:textId="77777777" w:rsidTr="006F2DE6">
        <w:trPr>
          <w:trHeight w:val="255"/>
        </w:trPr>
        <w:tc>
          <w:tcPr>
            <w:tcW w:w="980" w:type="dxa"/>
            <w:vMerge/>
            <w:tcMar>
              <w:left w:w="57" w:type="dxa"/>
              <w:right w:w="57" w:type="dxa"/>
            </w:tcMar>
          </w:tcPr>
          <w:p w14:paraId="670272B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63F6CB3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SCHITULUI</w:t>
            </w:r>
          </w:p>
        </w:tc>
        <w:tc>
          <w:tcPr>
            <w:tcW w:w="850" w:type="dxa"/>
            <w:shd w:val="clear" w:color="auto" w:fill="auto"/>
            <w:noWrap/>
            <w:tcMar>
              <w:left w:w="57" w:type="dxa"/>
              <w:right w:w="57" w:type="dxa"/>
            </w:tcMar>
            <w:vAlign w:val="center"/>
            <w:hideMark/>
          </w:tcPr>
          <w:p w14:paraId="0DDDD6F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DC14A</w:t>
            </w:r>
          </w:p>
        </w:tc>
        <w:tc>
          <w:tcPr>
            <w:tcW w:w="709" w:type="dxa"/>
            <w:shd w:val="clear" w:color="auto" w:fill="auto"/>
            <w:noWrap/>
            <w:tcMar>
              <w:left w:w="57" w:type="dxa"/>
              <w:right w:w="57" w:type="dxa"/>
            </w:tcMar>
            <w:vAlign w:val="center"/>
            <w:hideMark/>
          </w:tcPr>
          <w:p w14:paraId="128BA19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2866</w:t>
            </w:r>
          </w:p>
        </w:tc>
        <w:tc>
          <w:tcPr>
            <w:tcW w:w="709" w:type="dxa"/>
            <w:shd w:val="clear" w:color="auto" w:fill="auto"/>
            <w:noWrap/>
            <w:tcMar>
              <w:left w:w="57" w:type="dxa"/>
              <w:right w:w="57" w:type="dxa"/>
            </w:tcMar>
            <w:vAlign w:val="center"/>
            <w:hideMark/>
          </w:tcPr>
          <w:p w14:paraId="11C3B12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1B6F994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2357310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30087E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66B534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E66D63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0207034F" w14:textId="77777777" w:rsidTr="006F2DE6">
        <w:trPr>
          <w:trHeight w:val="255"/>
        </w:trPr>
        <w:tc>
          <w:tcPr>
            <w:tcW w:w="980" w:type="dxa"/>
            <w:vMerge/>
            <w:tcMar>
              <w:left w:w="57" w:type="dxa"/>
              <w:right w:w="57" w:type="dxa"/>
            </w:tcMar>
          </w:tcPr>
          <w:p w14:paraId="04EB3DB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FAA68F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BIVOLĂRIEI</w:t>
            </w:r>
          </w:p>
        </w:tc>
        <w:tc>
          <w:tcPr>
            <w:tcW w:w="850" w:type="dxa"/>
            <w:shd w:val="clear" w:color="auto" w:fill="auto"/>
            <w:noWrap/>
            <w:tcMar>
              <w:left w:w="57" w:type="dxa"/>
              <w:right w:w="57" w:type="dxa"/>
            </w:tcMar>
            <w:vAlign w:val="center"/>
            <w:hideMark/>
          </w:tcPr>
          <w:p w14:paraId="578AD33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DC147 (Partial)</w:t>
            </w:r>
          </w:p>
        </w:tc>
        <w:tc>
          <w:tcPr>
            <w:tcW w:w="709" w:type="dxa"/>
            <w:shd w:val="clear" w:color="auto" w:fill="auto"/>
            <w:noWrap/>
            <w:tcMar>
              <w:left w:w="57" w:type="dxa"/>
              <w:right w:w="57" w:type="dxa"/>
            </w:tcMar>
            <w:vAlign w:val="center"/>
            <w:hideMark/>
          </w:tcPr>
          <w:p w14:paraId="03D65B0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298</w:t>
            </w:r>
          </w:p>
        </w:tc>
        <w:tc>
          <w:tcPr>
            <w:tcW w:w="709" w:type="dxa"/>
            <w:shd w:val="clear" w:color="auto" w:fill="auto"/>
            <w:noWrap/>
            <w:tcMar>
              <w:left w:w="57" w:type="dxa"/>
              <w:right w:w="57" w:type="dxa"/>
            </w:tcMar>
            <w:vAlign w:val="center"/>
            <w:hideMark/>
          </w:tcPr>
          <w:p w14:paraId="516FA25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42B2D7C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620D3C7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30D5AA8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FFAC15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21D84CCC"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4F330C1" w14:textId="77777777" w:rsidTr="006F2DE6">
        <w:trPr>
          <w:trHeight w:val="255"/>
        </w:trPr>
        <w:tc>
          <w:tcPr>
            <w:tcW w:w="980" w:type="dxa"/>
            <w:vMerge/>
            <w:tcMar>
              <w:left w:w="57" w:type="dxa"/>
              <w:right w:w="57" w:type="dxa"/>
            </w:tcMar>
          </w:tcPr>
          <w:p w14:paraId="62168EF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6778C7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COASTA MÂNĂSTIRII</w:t>
            </w:r>
          </w:p>
        </w:tc>
        <w:tc>
          <w:tcPr>
            <w:tcW w:w="850" w:type="dxa"/>
            <w:shd w:val="clear" w:color="auto" w:fill="auto"/>
            <w:noWrap/>
            <w:tcMar>
              <w:left w:w="57" w:type="dxa"/>
              <w:right w:w="57" w:type="dxa"/>
            </w:tcMar>
            <w:vAlign w:val="center"/>
            <w:hideMark/>
          </w:tcPr>
          <w:p w14:paraId="0353E5C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44A2E08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143</w:t>
            </w:r>
          </w:p>
        </w:tc>
        <w:tc>
          <w:tcPr>
            <w:tcW w:w="709" w:type="dxa"/>
            <w:shd w:val="clear" w:color="auto" w:fill="auto"/>
            <w:noWrap/>
            <w:tcMar>
              <w:left w:w="57" w:type="dxa"/>
              <w:right w:w="57" w:type="dxa"/>
            </w:tcMar>
            <w:vAlign w:val="center"/>
            <w:hideMark/>
          </w:tcPr>
          <w:p w14:paraId="378B8D3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7FB4FAA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5D00AEA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7E3A5D7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021968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43984DF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8675956" w14:textId="77777777" w:rsidTr="006F2DE6">
        <w:trPr>
          <w:trHeight w:val="255"/>
        </w:trPr>
        <w:tc>
          <w:tcPr>
            <w:tcW w:w="980" w:type="dxa"/>
            <w:vMerge/>
            <w:tcMar>
              <w:left w:w="57" w:type="dxa"/>
              <w:right w:w="57" w:type="dxa"/>
            </w:tcMar>
          </w:tcPr>
          <w:p w14:paraId="40A22EE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28EE6F7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NEAGOTA</w:t>
            </w:r>
          </w:p>
        </w:tc>
        <w:tc>
          <w:tcPr>
            <w:tcW w:w="850" w:type="dxa"/>
            <w:shd w:val="clear" w:color="auto" w:fill="auto"/>
            <w:noWrap/>
            <w:tcMar>
              <w:left w:w="57" w:type="dxa"/>
              <w:right w:w="57" w:type="dxa"/>
            </w:tcMar>
            <w:vAlign w:val="center"/>
            <w:hideMark/>
          </w:tcPr>
          <w:p w14:paraId="5E372BB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DC147</w:t>
            </w:r>
          </w:p>
        </w:tc>
        <w:tc>
          <w:tcPr>
            <w:tcW w:w="709" w:type="dxa"/>
            <w:shd w:val="clear" w:color="auto" w:fill="auto"/>
            <w:noWrap/>
            <w:tcMar>
              <w:left w:w="57" w:type="dxa"/>
              <w:right w:w="57" w:type="dxa"/>
            </w:tcMar>
            <w:vAlign w:val="center"/>
            <w:hideMark/>
          </w:tcPr>
          <w:p w14:paraId="0595764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1386</w:t>
            </w:r>
          </w:p>
        </w:tc>
        <w:tc>
          <w:tcPr>
            <w:tcW w:w="709" w:type="dxa"/>
            <w:shd w:val="clear" w:color="auto" w:fill="auto"/>
            <w:noWrap/>
            <w:tcMar>
              <w:left w:w="57" w:type="dxa"/>
              <w:right w:w="57" w:type="dxa"/>
            </w:tcMar>
            <w:vAlign w:val="center"/>
            <w:hideMark/>
          </w:tcPr>
          <w:p w14:paraId="51E8723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5D7286B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0DA5FE8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342367A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4D4C31E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7F22782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522C0AA8" w14:textId="77777777" w:rsidTr="006F2DE6">
        <w:trPr>
          <w:trHeight w:val="255"/>
        </w:trPr>
        <w:tc>
          <w:tcPr>
            <w:tcW w:w="980" w:type="dxa"/>
            <w:vMerge/>
            <w:tcMar>
              <w:left w:w="57" w:type="dxa"/>
              <w:right w:w="57" w:type="dxa"/>
            </w:tcMar>
          </w:tcPr>
          <w:p w14:paraId="5FDB1FD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462698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OCOLUL SILVIC</w:t>
            </w:r>
          </w:p>
        </w:tc>
        <w:tc>
          <w:tcPr>
            <w:tcW w:w="850" w:type="dxa"/>
            <w:shd w:val="clear" w:color="auto" w:fill="auto"/>
            <w:noWrap/>
            <w:tcMar>
              <w:left w:w="57" w:type="dxa"/>
              <w:right w:w="57" w:type="dxa"/>
            </w:tcMar>
            <w:vAlign w:val="center"/>
            <w:hideMark/>
          </w:tcPr>
          <w:p w14:paraId="7E765C3E"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1DBDA36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493</w:t>
            </w:r>
          </w:p>
        </w:tc>
        <w:tc>
          <w:tcPr>
            <w:tcW w:w="709" w:type="dxa"/>
            <w:shd w:val="clear" w:color="auto" w:fill="auto"/>
            <w:noWrap/>
            <w:tcMar>
              <w:left w:w="57" w:type="dxa"/>
              <w:right w:w="57" w:type="dxa"/>
            </w:tcMar>
            <w:vAlign w:val="center"/>
            <w:hideMark/>
          </w:tcPr>
          <w:p w14:paraId="0F3230B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13827EF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104EB2D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362E958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42C20B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1BEF9B7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F5ACACB" w14:textId="77777777" w:rsidTr="006F2DE6">
        <w:trPr>
          <w:trHeight w:val="255"/>
        </w:trPr>
        <w:tc>
          <w:tcPr>
            <w:tcW w:w="980" w:type="dxa"/>
            <w:vMerge/>
            <w:tcMar>
              <w:left w:w="57" w:type="dxa"/>
              <w:right w:w="57" w:type="dxa"/>
            </w:tcMar>
          </w:tcPr>
          <w:p w14:paraId="7EA1B47B"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C95D0A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TEIULUI</w:t>
            </w:r>
          </w:p>
        </w:tc>
        <w:tc>
          <w:tcPr>
            <w:tcW w:w="850" w:type="dxa"/>
            <w:shd w:val="clear" w:color="auto" w:fill="auto"/>
            <w:noWrap/>
            <w:tcMar>
              <w:left w:w="57" w:type="dxa"/>
              <w:right w:w="57" w:type="dxa"/>
            </w:tcMar>
            <w:vAlign w:val="center"/>
            <w:hideMark/>
          </w:tcPr>
          <w:p w14:paraId="3A71E41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E482F4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39</w:t>
            </w:r>
          </w:p>
        </w:tc>
        <w:tc>
          <w:tcPr>
            <w:tcW w:w="709" w:type="dxa"/>
            <w:shd w:val="clear" w:color="auto" w:fill="auto"/>
            <w:noWrap/>
            <w:tcMar>
              <w:left w:w="57" w:type="dxa"/>
              <w:right w:w="57" w:type="dxa"/>
            </w:tcMar>
            <w:vAlign w:val="center"/>
            <w:hideMark/>
          </w:tcPr>
          <w:p w14:paraId="7249B5D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10D1E22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EDDE57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01B98E6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4699D74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16E44C9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0EFCD79C" w14:textId="77777777" w:rsidTr="006F2DE6">
        <w:trPr>
          <w:trHeight w:val="255"/>
        </w:trPr>
        <w:tc>
          <w:tcPr>
            <w:tcW w:w="980" w:type="dxa"/>
            <w:vMerge w:val="restart"/>
            <w:tcMar>
              <w:left w:w="57" w:type="dxa"/>
              <w:right w:w="57" w:type="dxa"/>
            </w:tcMar>
          </w:tcPr>
          <w:p w14:paraId="69229F5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Sat Romanii de Sus</w:t>
            </w:r>
          </w:p>
        </w:tc>
        <w:tc>
          <w:tcPr>
            <w:tcW w:w="1843" w:type="dxa"/>
            <w:shd w:val="clear" w:color="auto" w:fill="auto"/>
            <w:noWrap/>
            <w:tcMar>
              <w:left w:w="57" w:type="dxa"/>
              <w:right w:w="57" w:type="dxa"/>
            </w:tcMar>
            <w:vAlign w:val="center"/>
            <w:hideMark/>
          </w:tcPr>
          <w:p w14:paraId="7047C56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BRADULUI</w:t>
            </w:r>
          </w:p>
        </w:tc>
        <w:tc>
          <w:tcPr>
            <w:tcW w:w="850" w:type="dxa"/>
            <w:shd w:val="clear" w:color="auto" w:fill="auto"/>
            <w:noWrap/>
            <w:tcMar>
              <w:left w:w="57" w:type="dxa"/>
              <w:right w:w="57" w:type="dxa"/>
            </w:tcMar>
            <w:vAlign w:val="center"/>
            <w:hideMark/>
          </w:tcPr>
          <w:p w14:paraId="0C6C5FAE"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49F3B4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166</w:t>
            </w:r>
          </w:p>
        </w:tc>
        <w:tc>
          <w:tcPr>
            <w:tcW w:w="709" w:type="dxa"/>
            <w:shd w:val="clear" w:color="auto" w:fill="auto"/>
            <w:noWrap/>
            <w:tcMar>
              <w:left w:w="57" w:type="dxa"/>
              <w:right w:w="57" w:type="dxa"/>
            </w:tcMar>
            <w:vAlign w:val="center"/>
            <w:hideMark/>
          </w:tcPr>
          <w:p w14:paraId="5BB2CF7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75CCED0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51AF051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263C08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7DE3EE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4201CC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7652BC7" w14:textId="77777777" w:rsidTr="006F2DE6">
        <w:trPr>
          <w:trHeight w:val="255"/>
        </w:trPr>
        <w:tc>
          <w:tcPr>
            <w:tcW w:w="980" w:type="dxa"/>
            <w:vMerge/>
            <w:tcMar>
              <w:left w:w="57" w:type="dxa"/>
              <w:right w:w="57" w:type="dxa"/>
            </w:tcMar>
          </w:tcPr>
          <w:p w14:paraId="14E842E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2D5C745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CÂRJEULUI</w:t>
            </w:r>
          </w:p>
        </w:tc>
        <w:tc>
          <w:tcPr>
            <w:tcW w:w="850" w:type="dxa"/>
            <w:shd w:val="clear" w:color="auto" w:fill="auto"/>
            <w:noWrap/>
            <w:tcMar>
              <w:left w:w="57" w:type="dxa"/>
              <w:right w:w="57" w:type="dxa"/>
            </w:tcMar>
            <w:vAlign w:val="center"/>
            <w:hideMark/>
          </w:tcPr>
          <w:p w14:paraId="4EE7D2D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E908CE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968</w:t>
            </w:r>
          </w:p>
        </w:tc>
        <w:tc>
          <w:tcPr>
            <w:tcW w:w="709" w:type="dxa"/>
            <w:shd w:val="clear" w:color="auto" w:fill="auto"/>
            <w:noWrap/>
            <w:tcMar>
              <w:left w:w="57" w:type="dxa"/>
              <w:right w:w="57" w:type="dxa"/>
            </w:tcMar>
            <w:vAlign w:val="center"/>
            <w:hideMark/>
          </w:tcPr>
          <w:p w14:paraId="7A793022"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1638827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10F2ABE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8B8D8F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766849B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19E1682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B775B29" w14:textId="77777777" w:rsidTr="006F2DE6">
        <w:trPr>
          <w:trHeight w:val="255"/>
        </w:trPr>
        <w:tc>
          <w:tcPr>
            <w:tcW w:w="980" w:type="dxa"/>
            <w:vMerge/>
            <w:tcMar>
              <w:left w:w="57" w:type="dxa"/>
              <w:right w:w="57" w:type="dxa"/>
            </w:tcMar>
          </w:tcPr>
          <w:p w14:paraId="7F4D776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9EAFCB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CĂTUNULUI</w:t>
            </w:r>
          </w:p>
        </w:tc>
        <w:tc>
          <w:tcPr>
            <w:tcW w:w="850" w:type="dxa"/>
            <w:shd w:val="clear" w:color="auto" w:fill="auto"/>
            <w:noWrap/>
            <w:tcMar>
              <w:left w:w="57" w:type="dxa"/>
              <w:right w:w="57" w:type="dxa"/>
            </w:tcMar>
            <w:vAlign w:val="center"/>
            <w:hideMark/>
          </w:tcPr>
          <w:p w14:paraId="26EED9C5"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4251EC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276</w:t>
            </w:r>
          </w:p>
        </w:tc>
        <w:tc>
          <w:tcPr>
            <w:tcW w:w="709" w:type="dxa"/>
            <w:shd w:val="clear" w:color="auto" w:fill="auto"/>
            <w:noWrap/>
            <w:tcMar>
              <w:left w:w="57" w:type="dxa"/>
              <w:right w:w="57" w:type="dxa"/>
            </w:tcMar>
            <w:vAlign w:val="center"/>
            <w:hideMark/>
          </w:tcPr>
          <w:p w14:paraId="0F1990D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62D5F02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4469F70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3036CDF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4188515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25A4B9C4"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FE1A8FE" w14:textId="77777777" w:rsidTr="006F2DE6">
        <w:trPr>
          <w:trHeight w:val="255"/>
        </w:trPr>
        <w:tc>
          <w:tcPr>
            <w:tcW w:w="980" w:type="dxa"/>
            <w:vMerge/>
            <w:tcMar>
              <w:left w:w="57" w:type="dxa"/>
              <w:right w:w="57" w:type="dxa"/>
            </w:tcMar>
          </w:tcPr>
          <w:p w14:paraId="6CF10E4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6BCD60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FAGULUI</w:t>
            </w:r>
          </w:p>
        </w:tc>
        <w:tc>
          <w:tcPr>
            <w:tcW w:w="850" w:type="dxa"/>
            <w:shd w:val="clear" w:color="auto" w:fill="auto"/>
            <w:noWrap/>
            <w:tcMar>
              <w:left w:w="57" w:type="dxa"/>
              <w:right w:w="57" w:type="dxa"/>
            </w:tcMar>
            <w:vAlign w:val="center"/>
            <w:hideMark/>
          </w:tcPr>
          <w:p w14:paraId="456D06C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02AA71A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360</w:t>
            </w:r>
          </w:p>
        </w:tc>
        <w:tc>
          <w:tcPr>
            <w:tcW w:w="709" w:type="dxa"/>
            <w:shd w:val="clear" w:color="auto" w:fill="auto"/>
            <w:noWrap/>
            <w:tcMar>
              <w:left w:w="57" w:type="dxa"/>
              <w:right w:w="57" w:type="dxa"/>
            </w:tcMar>
            <w:vAlign w:val="center"/>
            <w:hideMark/>
          </w:tcPr>
          <w:p w14:paraId="5FD6568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w:t>
            </w:r>
          </w:p>
        </w:tc>
        <w:tc>
          <w:tcPr>
            <w:tcW w:w="567" w:type="dxa"/>
            <w:shd w:val="clear" w:color="auto" w:fill="auto"/>
            <w:noWrap/>
            <w:tcMar>
              <w:left w:w="57" w:type="dxa"/>
              <w:right w:w="57" w:type="dxa"/>
            </w:tcMar>
            <w:vAlign w:val="center"/>
            <w:hideMark/>
          </w:tcPr>
          <w:p w14:paraId="3CC24A7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04B09F4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06DA9ED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C0D4FB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5B8DC2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D7ED52E" w14:textId="77777777" w:rsidTr="006F2DE6">
        <w:trPr>
          <w:trHeight w:val="255"/>
        </w:trPr>
        <w:tc>
          <w:tcPr>
            <w:tcW w:w="980" w:type="dxa"/>
            <w:vMerge/>
            <w:tcMar>
              <w:left w:w="57" w:type="dxa"/>
              <w:right w:w="57" w:type="dxa"/>
            </w:tcMar>
          </w:tcPr>
          <w:p w14:paraId="1F1CEB5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37E5FD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LUNGĂ</w:t>
            </w:r>
          </w:p>
        </w:tc>
        <w:tc>
          <w:tcPr>
            <w:tcW w:w="850" w:type="dxa"/>
            <w:shd w:val="clear" w:color="auto" w:fill="auto"/>
            <w:noWrap/>
            <w:tcMar>
              <w:left w:w="57" w:type="dxa"/>
              <w:right w:w="57" w:type="dxa"/>
            </w:tcMar>
            <w:vAlign w:val="center"/>
            <w:hideMark/>
          </w:tcPr>
          <w:p w14:paraId="122FD47D"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4FF76BE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654</w:t>
            </w:r>
          </w:p>
        </w:tc>
        <w:tc>
          <w:tcPr>
            <w:tcW w:w="709" w:type="dxa"/>
            <w:shd w:val="clear" w:color="auto" w:fill="auto"/>
            <w:noWrap/>
            <w:tcMar>
              <w:left w:w="57" w:type="dxa"/>
              <w:right w:w="57" w:type="dxa"/>
            </w:tcMar>
            <w:vAlign w:val="center"/>
            <w:hideMark/>
          </w:tcPr>
          <w:p w14:paraId="61F3EC2A"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65B7E04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A23AF2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260431B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9F3B6D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5BAE20C"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3D7AFBED" w14:textId="77777777" w:rsidTr="006F2DE6">
        <w:trPr>
          <w:trHeight w:val="255"/>
        </w:trPr>
        <w:tc>
          <w:tcPr>
            <w:tcW w:w="980" w:type="dxa"/>
            <w:vMerge/>
            <w:tcMar>
              <w:left w:w="57" w:type="dxa"/>
              <w:right w:w="57" w:type="dxa"/>
            </w:tcMar>
          </w:tcPr>
          <w:p w14:paraId="15C511F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44FED4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ROMANII  DE SUS</w:t>
            </w:r>
          </w:p>
        </w:tc>
        <w:tc>
          <w:tcPr>
            <w:tcW w:w="850" w:type="dxa"/>
            <w:shd w:val="clear" w:color="auto" w:fill="auto"/>
            <w:noWrap/>
            <w:tcMar>
              <w:left w:w="57" w:type="dxa"/>
              <w:right w:w="57" w:type="dxa"/>
            </w:tcMar>
            <w:vAlign w:val="center"/>
            <w:hideMark/>
          </w:tcPr>
          <w:p w14:paraId="494F8D5F"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DC147A</w:t>
            </w:r>
          </w:p>
        </w:tc>
        <w:tc>
          <w:tcPr>
            <w:tcW w:w="709" w:type="dxa"/>
            <w:shd w:val="clear" w:color="auto" w:fill="auto"/>
            <w:noWrap/>
            <w:tcMar>
              <w:left w:w="57" w:type="dxa"/>
              <w:right w:w="57" w:type="dxa"/>
            </w:tcMar>
            <w:vAlign w:val="center"/>
            <w:hideMark/>
          </w:tcPr>
          <w:p w14:paraId="0BEF4CA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968</w:t>
            </w:r>
          </w:p>
        </w:tc>
        <w:tc>
          <w:tcPr>
            <w:tcW w:w="709" w:type="dxa"/>
            <w:shd w:val="clear" w:color="auto" w:fill="auto"/>
            <w:noWrap/>
            <w:tcMar>
              <w:left w:w="57" w:type="dxa"/>
              <w:right w:w="57" w:type="dxa"/>
            </w:tcMar>
            <w:vAlign w:val="center"/>
            <w:hideMark/>
          </w:tcPr>
          <w:p w14:paraId="765C860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568E687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304AD12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145E3C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13F849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6CCE32AD"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987D84F" w14:textId="77777777" w:rsidTr="006F2DE6">
        <w:trPr>
          <w:trHeight w:val="255"/>
        </w:trPr>
        <w:tc>
          <w:tcPr>
            <w:tcW w:w="980" w:type="dxa"/>
            <w:vMerge/>
            <w:tcMar>
              <w:left w:w="57" w:type="dxa"/>
              <w:right w:w="57" w:type="dxa"/>
            </w:tcMar>
          </w:tcPr>
          <w:p w14:paraId="321F8E4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FA26287"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SĂLIŞTE</w:t>
            </w:r>
          </w:p>
        </w:tc>
        <w:tc>
          <w:tcPr>
            <w:tcW w:w="850" w:type="dxa"/>
            <w:shd w:val="clear" w:color="auto" w:fill="auto"/>
            <w:noWrap/>
            <w:tcMar>
              <w:left w:w="57" w:type="dxa"/>
              <w:right w:w="57" w:type="dxa"/>
            </w:tcMar>
            <w:vAlign w:val="center"/>
            <w:hideMark/>
          </w:tcPr>
          <w:p w14:paraId="13AAD75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DC147A</w:t>
            </w:r>
          </w:p>
        </w:tc>
        <w:tc>
          <w:tcPr>
            <w:tcW w:w="709" w:type="dxa"/>
            <w:shd w:val="clear" w:color="auto" w:fill="auto"/>
            <w:noWrap/>
            <w:tcMar>
              <w:left w:w="57" w:type="dxa"/>
              <w:right w:w="57" w:type="dxa"/>
            </w:tcMar>
            <w:vAlign w:val="center"/>
            <w:hideMark/>
          </w:tcPr>
          <w:p w14:paraId="1C14200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1156</w:t>
            </w:r>
          </w:p>
        </w:tc>
        <w:tc>
          <w:tcPr>
            <w:tcW w:w="709" w:type="dxa"/>
            <w:shd w:val="clear" w:color="auto" w:fill="auto"/>
            <w:noWrap/>
            <w:tcMar>
              <w:left w:w="57" w:type="dxa"/>
              <w:right w:w="57" w:type="dxa"/>
            </w:tcMar>
            <w:vAlign w:val="center"/>
            <w:hideMark/>
          </w:tcPr>
          <w:p w14:paraId="4B1CF32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w:t>
            </w:r>
          </w:p>
        </w:tc>
        <w:tc>
          <w:tcPr>
            <w:tcW w:w="567" w:type="dxa"/>
            <w:shd w:val="clear" w:color="auto" w:fill="auto"/>
            <w:noWrap/>
            <w:tcMar>
              <w:left w:w="57" w:type="dxa"/>
              <w:right w:w="57" w:type="dxa"/>
            </w:tcMar>
            <w:vAlign w:val="center"/>
            <w:hideMark/>
          </w:tcPr>
          <w:p w14:paraId="30A8CD6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56DC9EA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8BFCD1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12B52A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160DC694"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95F30B3" w14:textId="77777777" w:rsidTr="006F2DE6">
        <w:trPr>
          <w:trHeight w:val="255"/>
        </w:trPr>
        <w:tc>
          <w:tcPr>
            <w:tcW w:w="980" w:type="dxa"/>
            <w:vMerge/>
            <w:tcMar>
              <w:left w:w="57" w:type="dxa"/>
              <w:right w:w="57" w:type="dxa"/>
            </w:tcMar>
          </w:tcPr>
          <w:p w14:paraId="5B821F8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2A01175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STEJARULUI</w:t>
            </w:r>
          </w:p>
        </w:tc>
        <w:tc>
          <w:tcPr>
            <w:tcW w:w="850" w:type="dxa"/>
            <w:shd w:val="clear" w:color="auto" w:fill="auto"/>
            <w:noWrap/>
            <w:tcMar>
              <w:left w:w="57" w:type="dxa"/>
              <w:right w:w="57" w:type="dxa"/>
            </w:tcMar>
            <w:vAlign w:val="center"/>
            <w:hideMark/>
          </w:tcPr>
          <w:p w14:paraId="06E8A05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55C3DF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511</w:t>
            </w:r>
          </w:p>
        </w:tc>
        <w:tc>
          <w:tcPr>
            <w:tcW w:w="709" w:type="dxa"/>
            <w:shd w:val="clear" w:color="auto" w:fill="auto"/>
            <w:noWrap/>
            <w:tcMar>
              <w:left w:w="57" w:type="dxa"/>
              <w:right w:w="57" w:type="dxa"/>
            </w:tcMar>
            <w:vAlign w:val="center"/>
            <w:hideMark/>
          </w:tcPr>
          <w:p w14:paraId="5EC1F91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527D77F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32710B3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35C707F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F88FB7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3524370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098C744A" w14:textId="77777777" w:rsidTr="006F2DE6">
        <w:trPr>
          <w:trHeight w:val="255"/>
        </w:trPr>
        <w:tc>
          <w:tcPr>
            <w:tcW w:w="980" w:type="dxa"/>
            <w:vMerge/>
            <w:tcMar>
              <w:left w:w="57" w:type="dxa"/>
              <w:right w:w="57" w:type="dxa"/>
            </w:tcMar>
          </w:tcPr>
          <w:p w14:paraId="63DC2F3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110C82A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DC 147 A Lunga Bolca</w:t>
            </w:r>
          </w:p>
        </w:tc>
        <w:tc>
          <w:tcPr>
            <w:tcW w:w="850" w:type="dxa"/>
            <w:shd w:val="clear" w:color="auto" w:fill="auto"/>
            <w:noWrap/>
            <w:tcMar>
              <w:left w:w="57" w:type="dxa"/>
              <w:right w:w="57" w:type="dxa"/>
            </w:tcMar>
            <w:vAlign w:val="center"/>
            <w:hideMark/>
          </w:tcPr>
          <w:p w14:paraId="27FC7465"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Drum</w:t>
            </w:r>
          </w:p>
        </w:tc>
        <w:tc>
          <w:tcPr>
            <w:tcW w:w="709" w:type="dxa"/>
            <w:shd w:val="clear" w:color="auto" w:fill="auto"/>
            <w:noWrap/>
            <w:tcMar>
              <w:left w:w="57" w:type="dxa"/>
              <w:right w:w="57" w:type="dxa"/>
            </w:tcMar>
            <w:vAlign w:val="center"/>
            <w:hideMark/>
          </w:tcPr>
          <w:p w14:paraId="1B09FD9E"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10000</w:t>
            </w:r>
          </w:p>
        </w:tc>
        <w:tc>
          <w:tcPr>
            <w:tcW w:w="709" w:type="dxa"/>
            <w:shd w:val="clear" w:color="auto" w:fill="auto"/>
            <w:noWrap/>
            <w:tcMar>
              <w:left w:w="57" w:type="dxa"/>
              <w:right w:w="57" w:type="dxa"/>
            </w:tcMar>
            <w:vAlign w:val="center"/>
            <w:hideMark/>
          </w:tcPr>
          <w:p w14:paraId="69534F57"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3C17BE9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5F81FC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4AE78BC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FEA289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4523CD6C"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2A24C84" w14:textId="77777777" w:rsidTr="006F2DE6">
        <w:trPr>
          <w:trHeight w:val="255"/>
        </w:trPr>
        <w:tc>
          <w:tcPr>
            <w:tcW w:w="980" w:type="dxa"/>
            <w:vMerge/>
            <w:tcMar>
              <w:left w:w="57" w:type="dxa"/>
              <w:right w:w="57" w:type="dxa"/>
            </w:tcMar>
          </w:tcPr>
          <w:p w14:paraId="6C55FC5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9BF98E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FAGULUI</w:t>
            </w:r>
          </w:p>
        </w:tc>
        <w:tc>
          <w:tcPr>
            <w:tcW w:w="850" w:type="dxa"/>
            <w:shd w:val="clear" w:color="auto" w:fill="auto"/>
            <w:noWrap/>
            <w:tcMar>
              <w:left w:w="57" w:type="dxa"/>
              <w:right w:w="57" w:type="dxa"/>
            </w:tcMar>
            <w:vAlign w:val="center"/>
            <w:hideMark/>
          </w:tcPr>
          <w:p w14:paraId="0659F8BE"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44A8392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1797</w:t>
            </w:r>
          </w:p>
        </w:tc>
        <w:tc>
          <w:tcPr>
            <w:tcW w:w="709" w:type="dxa"/>
            <w:shd w:val="clear" w:color="auto" w:fill="auto"/>
            <w:noWrap/>
            <w:tcMar>
              <w:left w:w="57" w:type="dxa"/>
              <w:right w:w="57" w:type="dxa"/>
            </w:tcMar>
            <w:vAlign w:val="center"/>
            <w:hideMark/>
          </w:tcPr>
          <w:p w14:paraId="04A6A7B4"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w:t>
            </w:r>
          </w:p>
        </w:tc>
        <w:tc>
          <w:tcPr>
            <w:tcW w:w="567" w:type="dxa"/>
            <w:shd w:val="clear" w:color="auto" w:fill="auto"/>
            <w:noWrap/>
            <w:tcMar>
              <w:left w:w="57" w:type="dxa"/>
              <w:right w:w="57" w:type="dxa"/>
            </w:tcMar>
            <w:vAlign w:val="center"/>
            <w:hideMark/>
          </w:tcPr>
          <w:p w14:paraId="087C5FE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2677437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4864B27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5A1FE8A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152C616D"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565FE62" w14:textId="77777777" w:rsidTr="006F2DE6">
        <w:trPr>
          <w:trHeight w:val="255"/>
        </w:trPr>
        <w:tc>
          <w:tcPr>
            <w:tcW w:w="980" w:type="dxa"/>
            <w:vMerge/>
            <w:tcMar>
              <w:left w:w="57" w:type="dxa"/>
              <w:right w:w="57" w:type="dxa"/>
            </w:tcMar>
          </w:tcPr>
          <w:p w14:paraId="075E4D7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47CE2B6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LINIŞTITĂ</w:t>
            </w:r>
          </w:p>
        </w:tc>
        <w:tc>
          <w:tcPr>
            <w:tcW w:w="850" w:type="dxa"/>
            <w:shd w:val="clear" w:color="auto" w:fill="auto"/>
            <w:noWrap/>
            <w:tcMar>
              <w:left w:w="57" w:type="dxa"/>
              <w:right w:w="57" w:type="dxa"/>
            </w:tcMar>
            <w:vAlign w:val="center"/>
            <w:hideMark/>
          </w:tcPr>
          <w:p w14:paraId="4B63636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EE982F2"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56</w:t>
            </w:r>
          </w:p>
        </w:tc>
        <w:tc>
          <w:tcPr>
            <w:tcW w:w="709" w:type="dxa"/>
            <w:shd w:val="clear" w:color="auto" w:fill="auto"/>
            <w:noWrap/>
            <w:tcMar>
              <w:left w:w="57" w:type="dxa"/>
              <w:right w:w="57" w:type="dxa"/>
            </w:tcMar>
            <w:vAlign w:val="center"/>
            <w:hideMark/>
          </w:tcPr>
          <w:p w14:paraId="1F51428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3</w:t>
            </w:r>
          </w:p>
        </w:tc>
        <w:tc>
          <w:tcPr>
            <w:tcW w:w="567" w:type="dxa"/>
            <w:shd w:val="clear" w:color="auto" w:fill="auto"/>
            <w:noWrap/>
            <w:tcMar>
              <w:left w:w="57" w:type="dxa"/>
              <w:right w:w="57" w:type="dxa"/>
            </w:tcMar>
            <w:vAlign w:val="center"/>
            <w:hideMark/>
          </w:tcPr>
          <w:p w14:paraId="0B72DD6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50A3E15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3A0910F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08DD84D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353DF82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AEED468" w14:textId="77777777" w:rsidTr="006F2DE6">
        <w:trPr>
          <w:trHeight w:val="255"/>
        </w:trPr>
        <w:tc>
          <w:tcPr>
            <w:tcW w:w="980" w:type="dxa"/>
            <w:vMerge/>
            <w:tcMar>
              <w:left w:w="57" w:type="dxa"/>
              <w:right w:w="57" w:type="dxa"/>
            </w:tcMar>
          </w:tcPr>
          <w:p w14:paraId="54DCC60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4A4C40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RÂULUI</w:t>
            </w:r>
          </w:p>
        </w:tc>
        <w:tc>
          <w:tcPr>
            <w:tcW w:w="850" w:type="dxa"/>
            <w:shd w:val="clear" w:color="auto" w:fill="auto"/>
            <w:noWrap/>
            <w:tcMar>
              <w:left w:w="57" w:type="dxa"/>
              <w:right w:w="57" w:type="dxa"/>
            </w:tcMar>
            <w:vAlign w:val="center"/>
            <w:hideMark/>
          </w:tcPr>
          <w:p w14:paraId="3000BB6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721174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200</w:t>
            </w:r>
          </w:p>
        </w:tc>
        <w:tc>
          <w:tcPr>
            <w:tcW w:w="709" w:type="dxa"/>
            <w:shd w:val="clear" w:color="auto" w:fill="auto"/>
            <w:noWrap/>
            <w:tcMar>
              <w:left w:w="57" w:type="dxa"/>
              <w:right w:w="57" w:type="dxa"/>
            </w:tcMar>
            <w:vAlign w:val="center"/>
            <w:hideMark/>
          </w:tcPr>
          <w:p w14:paraId="3B86207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w:t>
            </w:r>
          </w:p>
        </w:tc>
        <w:tc>
          <w:tcPr>
            <w:tcW w:w="567" w:type="dxa"/>
            <w:shd w:val="clear" w:color="auto" w:fill="auto"/>
            <w:noWrap/>
            <w:tcMar>
              <w:left w:w="57" w:type="dxa"/>
              <w:right w:w="57" w:type="dxa"/>
            </w:tcMar>
            <w:vAlign w:val="center"/>
            <w:hideMark/>
          </w:tcPr>
          <w:p w14:paraId="23980E6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1B6D86D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53D9F45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B8077F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3A8712F3"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5B03F4A" w14:textId="77777777" w:rsidTr="006F2DE6">
        <w:trPr>
          <w:trHeight w:val="255"/>
        </w:trPr>
        <w:tc>
          <w:tcPr>
            <w:tcW w:w="980" w:type="dxa"/>
            <w:vMerge w:val="restart"/>
            <w:tcMar>
              <w:left w:w="57" w:type="dxa"/>
              <w:right w:w="57" w:type="dxa"/>
            </w:tcMar>
          </w:tcPr>
          <w:p w14:paraId="67579BB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Sat T</w:t>
            </w:r>
            <w:r w:rsidR="0013721C">
              <w:rPr>
                <w:rFonts w:ascii="Arial" w:eastAsia="Times New Roman" w:hAnsi="Arial" w:cs="Arial"/>
                <w:b/>
                <w:color w:val="000000"/>
                <w:sz w:val="16"/>
                <w:szCs w:val="16"/>
                <w:lang w:val="fr-FR" w:eastAsia="fr-FR"/>
              </w:rPr>
              <w:t>ă</w:t>
            </w:r>
            <w:r w:rsidRPr="006F66E1">
              <w:rPr>
                <w:rFonts w:ascii="Arial" w:eastAsia="Times New Roman" w:hAnsi="Arial" w:cs="Arial"/>
                <w:b/>
                <w:color w:val="000000"/>
                <w:sz w:val="16"/>
                <w:szCs w:val="16"/>
                <w:lang w:val="fr-FR" w:eastAsia="fr-FR"/>
              </w:rPr>
              <w:t>n</w:t>
            </w:r>
            <w:r w:rsidR="0013721C">
              <w:rPr>
                <w:rFonts w:ascii="Arial" w:eastAsia="Times New Roman" w:hAnsi="Arial" w:cs="Arial"/>
                <w:b/>
                <w:color w:val="000000"/>
                <w:sz w:val="16"/>
                <w:szCs w:val="16"/>
                <w:lang w:val="fr-FR" w:eastAsia="fr-FR"/>
              </w:rPr>
              <w:t>ă</w:t>
            </w:r>
            <w:r w:rsidRPr="006F66E1">
              <w:rPr>
                <w:rFonts w:ascii="Arial" w:eastAsia="Times New Roman" w:hAnsi="Arial" w:cs="Arial"/>
                <w:b/>
                <w:color w:val="000000"/>
                <w:sz w:val="16"/>
                <w:szCs w:val="16"/>
                <w:lang w:val="fr-FR" w:eastAsia="fr-FR"/>
              </w:rPr>
              <w:t>se</w:t>
            </w:r>
            <w:r w:rsidR="0013721C">
              <w:rPr>
                <w:rFonts w:ascii="Arial" w:eastAsia="Times New Roman" w:hAnsi="Arial" w:cs="Arial"/>
                <w:b/>
                <w:color w:val="000000"/>
                <w:sz w:val="16"/>
                <w:szCs w:val="16"/>
                <w:lang w:val="fr-FR" w:eastAsia="fr-FR"/>
              </w:rPr>
              <w:t>ș</w:t>
            </w:r>
            <w:r w:rsidRPr="006F66E1">
              <w:rPr>
                <w:rFonts w:ascii="Arial" w:eastAsia="Times New Roman" w:hAnsi="Arial" w:cs="Arial"/>
                <w:b/>
                <w:color w:val="000000"/>
                <w:sz w:val="16"/>
                <w:szCs w:val="16"/>
                <w:lang w:val="fr-FR" w:eastAsia="fr-FR"/>
              </w:rPr>
              <w:t>ti</w:t>
            </w:r>
          </w:p>
        </w:tc>
        <w:tc>
          <w:tcPr>
            <w:tcW w:w="1843" w:type="dxa"/>
            <w:shd w:val="clear" w:color="auto" w:fill="auto"/>
            <w:noWrap/>
            <w:tcMar>
              <w:left w:w="57" w:type="dxa"/>
              <w:right w:w="57" w:type="dxa"/>
            </w:tcMar>
            <w:vAlign w:val="center"/>
            <w:hideMark/>
          </w:tcPr>
          <w:p w14:paraId="26FD476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BISERICII</w:t>
            </w:r>
          </w:p>
        </w:tc>
        <w:tc>
          <w:tcPr>
            <w:tcW w:w="850" w:type="dxa"/>
            <w:shd w:val="clear" w:color="auto" w:fill="auto"/>
            <w:noWrap/>
            <w:tcMar>
              <w:left w:w="57" w:type="dxa"/>
              <w:right w:w="57" w:type="dxa"/>
            </w:tcMar>
            <w:vAlign w:val="center"/>
            <w:hideMark/>
          </w:tcPr>
          <w:p w14:paraId="5DA8C2F5"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2E4C25F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335</w:t>
            </w:r>
          </w:p>
        </w:tc>
        <w:tc>
          <w:tcPr>
            <w:tcW w:w="709" w:type="dxa"/>
            <w:shd w:val="clear" w:color="auto" w:fill="auto"/>
            <w:noWrap/>
            <w:tcMar>
              <w:left w:w="57" w:type="dxa"/>
              <w:right w:w="57" w:type="dxa"/>
            </w:tcMar>
            <w:vAlign w:val="center"/>
            <w:hideMark/>
          </w:tcPr>
          <w:p w14:paraId="3A59635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6</w:t>
            </w:r>
          </w:p>
        </w:tc>
        <w:tc>
          <w:tcPr>
            <w:tcW w:w="567" w:type="dxa"/>
            <w:shd w:val="clear" w:color="auto" w:fill="auto"/>
            <w:noWrap/>
            <w:tcMar>
              <w:left w:w="57" w:type="dxa"/>
              <w:right w:w="57" w:type="dxa"/>
            </w:tcMar>
            <w:vAlign w:val="center"/>
            <w:hideMark/>
          </w:tcPr>
          <w:p w14:paraId="124444E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60139B3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B369C9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9233B1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479F4F4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8E07B00" w14:textId="77777777" w:rsidTr="006F2DE6">
        <w:trPr>
          <w:trHeight w:val="255"/>
        </w:trPr>
        <w:tc>
          <w:tcPr>
            <w:tcW w:w="980" w:type="dxa"/>
            <w:vMerge/>
            <w:tcMar>
              <w:left w:w="57" w:type="dxa"/>
              <w:right w:w="57" w:type="dxa"/>
            </w:tcMar>
          </w:tcPr>
          <w:p w14:paraId="1578C91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5C7043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DUŢULESCU</w:t>
            </w:r>
          </w:p>
        </w:tc>
        <w:tc>
          <w:tcPr>
            <w:tcW w:w="850" w:type="dxa"/>
            <w:shd w:val="clear" w:color="auto" w:fill="auto"/>
            <w:noWrap/>
            <w:tcMar>
              <w:left w:w="57" w:type="dxa"/>
              <w:right w:w="57" w:type="dxa"/>
            </w:tcMar>
            <w:vAlign w:val="center"/>
            <w:hideMark/>
          </w:tcPr>
          <w:p w14:paraId="4EFAA1A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0018696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193</w:t>
            </w:r>
          </w:p>
        </w:tc>
        <w:tc>
          <w:tcPr>
            <w:tcW w:w="709" w:type="dxa"/>
            <w:shd w:val="clear" w:color="auto" w:fill="auto"/>
            <w:noWrap/>
            <w:tcMar>
              <w:left w:w="57" w:type="dxa"/>
              <w:right w:w="57" w:type="dxa"/>
            </w:tcMar>
            <w:vAlign w:val="center"/>
            <w:hideMark/>
          </w:tcPr>
          <w:p w14:paraId="4391215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31B8B69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16407D0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308DFF7"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4684D49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0DC276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844D674" w14:textId="77777777" w:rsidTr="006F2DE6">
        <w:trPr>
          <w:trHeight w:val="255"/>
        </w:trPr>
        <w:tc>
          <w:tcPr>
            <w:tcW w:w="980" w:type="dxa"/>
            <w:vMerge/>
            <w:tcMar>
              <w:left w:w="57" w:type="dxa"/>
              <w:right w:w="57" w:type="dxa"/>
            </w:tcMar>
          </w:tcPr>
          <w:p w14:paraId="66DB8E1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0FE6A8B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TĂNĂSEŞTI</w:t>
            </w:r>
          </w:p>
        </w:tc>
        <w:tc>
          <w:tcPr>
            <w:tcW w:w="850" w:type="dxa"/>
            <w:shd w:val="clear" w:color="auto" w:fill="auto"/>
            <w:noWrap/>
            <w:tcMar>
              <w:left w:w="57" w:type="dxa"/>
              <w:right w:w="57" w:type="dxa"/>
            </w:tcMar>
            <w:vAlign w:val="center"/>
            <w:hideMark/>
          </w:tcPr>
          <w:p w14:paraId="1EE3AD0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DC143</w:t>
            </w:r>
          </w:p>
        </w:tc>
        <w:tc>
          <w:tcPr>
            <w:tcW w:w="709" w:type="dxa"/>
            <w:shd w:val="clear" w:color="auto" w:fill="auto"/>
            <w:noWrap/>
            <w:tcMar>
              <w:left w:w="57" w:type="dxa"/>
              <w:right w:w="57" w:type="dxa"/>
            </w:tcMar>
            <w:vAlign w:val="center"/>
            <w:hideMark/>
          </w:tcPr>
          <w:p w14:paraId="1F71CDFF"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2314</w:t>
            </w:r>
          </w:p>
        </w:tc>
        <w:tc>
          <w:tcPr>
            <w:tcW w:w="709" w:type="dxa"/>
            <w:shd w:val="clear" w:color="auto" w:fill="auto"/>
            <w:noWrap/>
            <w:tcMar>
              <w:left w:w="57" w:type="dxa"/>
              <w:right w:w="57" w:type="dxa"/>
            </w:tcMar>
            <w:vAlign w:val="center"/>
            <w:hideMark/>
          </w:tcPr>
          <w:p w14:paraId="6BF86B0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w:t>
            </w:r>
          </w:p>
        </w:tc>
        <w:tc>
          <w:tcPr>
            <w:tcW w:w="567" w:type="dxa"/>
            <w:shd w:val="clear" w:color="auto" w:fill="auto"/>
            <w:noWrap/>
            <w:tcMar>
              <w:left w:w="57" w:type="dxa"/>
              <w:right w:w="57" w:type="dxa"/>
            </w:tcMar>
            <w:vAlign w:val="center"/>
            <w:hideMark/>
          </w:tcPr>
          <w:p w14:paraId="342FD38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29D1A00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69F608A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1EB7117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7026B6EF"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4A1E2199" w14:textId="77777777" w:rsidTr="006F2DE6">
        <w:trPr>
          <w:trHeight w:val="255"/>
        </w:trPr>
        <w:tc>
          <w:tcPr>
            <w:tcW w:w="980" w:type="dxa"/>
            <w:vMerge/>
            <w:tcMar>
              <w:left w:w="57" w:type="dxa"/>
              <w:right w:w="57" w:type="dxa"/>
            </w:tcMar>
          </w:tcPr>
          <w:p w14:paraId="23E3DBB6"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770981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CĂPŞUNULUI</w:t>
            </w:r>
          </w:p>
        </w:tc>
        <w:tc>
          <w:tcPr>
            <w:tcW w:w="850" w:type="dxa"/>
            <w:shd w:val="clear" w:color="auto" w:fill="auto"/>
            <w:noWrap/>
            <w:tcMar>
              <w:left w:w="57" w:type="dxa"/>
              <w:right w:w="57" w:type="dxa"/>
            </w:tcMar>
            <w:vAlign w:val="center"/>
            <w:hideMark/>
          </w:tcPr>
          <w:p w14:paraId="3588061F"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E5FA3A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100</w:t>
            </w:r>
          </w:p>
        </w:tc>
        <w:tc>
          <w:tcPr>
            <w:tcW w:w="709" w:type="dxa"/>
            <w:shd w:val="clear" w:color="auto" w:fill="auto"/>
            <w:noWrap/>
            <w:tcMar>
              <w:left w:w="57" w:type="dxa"/>
              <w:right w:w="57" w:type="dxa"/>
            </w:tcMar>
            <w:vAlign w:val="center"/>
            <w:hideMark/>
          </w:tcPr>
          <w:p w14:paraId="7616606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537D8A1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122673A3"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682EF64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CABC9C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1567CC8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55FF665" w14:textId="77777777" w:rsidTr="006F2DE6">
        <w:trPr>
          <w:trHeight w:val="255"/>
        </w:trPr>
        <w:tc>
          <w:tcPr>
            <w:tcW w:w="980" w:type="dxa"/>
            <w:vMerge/>
            <w:tcMar>
              <w:left w:w="57" w:type="dxa"/>
              <w:right w:w="57" w:type="dxa"/>
            </w:tcMar>
          </w:tcPr>
          <w:p w14:paraId="00FBBA2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421669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CULMEA DEALULUI</w:t>
            </w:r>
          </w:p>
        </w:tc>
        <w:tc>
          <w:tcPr>
            <w:tcW w:w="850" w:type="dxa"/>
            <w:shd w:val="clear" w:color="auto" w:fill="auto"/>
            <w:noWrap/>
            <w:tcMar>
              <w:left w:w="57" w:type="dxa"/>
              <w:right w:w="57" w:type="dxa"/>
            </w:tcMar>
            <w:vAlign w:val="center"/>
            <w:hideMark/>
          </w:tcPr>
          <w:p w14:paraId="206AD6A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DB99165"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800</w:t>
            </w:r>
          </w:p>
        </w:tc>
        <w:tc>
          <w:tcPr>
            <w:tcW w:w="709" w:type="dxa"/>
            <w:shd w:val="clear" w:color="auto" w:fill="auto"/>
            <w:noWrap/>
            <w:tcMar>
              <w:left w:w="57" w:type="dxa"/>
              <w:right w:w="57" w:type="dxa"/>
            </w:tcMar>
            <w:vAlign w:val="center"/>
            <w:hideMark/>
          </w:tcPr>
          <w:p w14:paraId="130BA98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4173981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0A9E10A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6CF1CB4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130F6EB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5217C7FC"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2EF88244" w14:textId="77777777" w:rsidTr="006F2DE6">
        <w:trPr>
          <w:trHeight w:val="255"/>
        </w:trPr>
        <w:tc>
          <w:tcPr>
            <w:tcW w:w="980" w:type="dxa"/>
            <w:vMerge/>
            <w:tcMar>
              <w:left w:w="57" w:type="dxa"/>
              <w:right w:w="57" w:type="dxa"/>
            </w:tcMar>
          </w:tcPr>
          <w:p w14:paraId="7D7C7773"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2AFF733C"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JOAGĂRULUI</w:t>
            </w:r>
          </w:p>
        </w:tc>
        <w:tc>
          <w:tcPr>
            <w:tcW w:w="850" w:type="dxa"/>
            <w:shd w:val="clear" w:color="auto" w:fill="auto"/>
            <w:noWrap/>
            <w:tcMar>
              <w:left w:w="57" w:type="dxa"/>
              <w:right w:w="57" w:type="dxa"/>
            </w:tcMar>
            <w:vAlign w:val="center"/>
            <w:hideMark/>
          </w:tcPr>
          <w:p w14:paraId="24F4936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55C77849"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206</w:t>
            </w:r>
          </w:p>
        </w:tc>
        <w:tc>
          <w:tcPr>
            <w:tcW w:w="709" w:type="dxa"/>
            <w:shd w:val="clear" w:color="auto" w:fill="auto"/>
            <w:noWrap/>
            <w:tcMar>
              <w:left w:w="57" w:type="dxa"/>
              <w:right w:w="57" w:type="dxa"/>
            </w:tcMar>
            <w:vAlign w:val="center"/>
            <w:hideMark/>
          </w:tcPr>
          <w:p w14:paraId="605E6641"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2085AE5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437F356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023151F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9215EF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50462B5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2323C17" w14:textId="77777777" w:rsidTr="006F2DE6">
        <w:trPr>
          <w:trHeight w:val="255"/>
        </w:trPr>
        <w:tc>
          <w:tcPr>
            <w:tcW w:w="980" w:type="dxa"/>
            <w:vMerge/>
            <w:tcMar>
              <w:left w:w="57" w:type="dxa"/>
              <w:right w:w="57" w:type="dxa"/>
            </w:tcMar>
          </w:tcPr>
          <w:p w14:paraId="0EAA3B4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33AFEA3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PLAIULUI</w:t>
            </w:r>
          </w:p>
        </w:tc>
        <w:tc>
          <w:tcPr>
            <w:tcW w:w="850" w:type="dxa"/>
            <w:shd w:val="clear" w:color="auto" w:fill="auto"/>
            <w:noWrap/>
            <w:tcMar>
              <w:left w:w="57" w:type="dxa"/>
              <w:right w:w="57" w:type="dxa"/>
            </w:tcMar>
            <w:vAlign w:val="center"/>
            <w:hideMark/>
          </w:tcPr>
          <w:p w14:paraId="7EB8B29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0EA7512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2000</w:t>
            </w:r>
          </w:p>
        </w:tc>
        <w:tc>
          <w:tcPr>
            <w:tcW w:w="709" w:type="dxa"/>
            <w:shd w:val="clear" w:color="auto" w:fill="auto"/>
            <w:noWrap/>
            <w:tcMar>
              <w:left w:w="57" w:type="dxa"/>
              <w:right w:w="57" w:type="dxa"/>
            </w:tcMar>
            <w:vAlign w:val="center"/>
            <w:hideMark/>
          </w:tcPr>
          <w:p w14:paraId="43E1DF6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4B45154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344E96A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45F6EF5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D48D8E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5EB64998"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341AD58" w14:textId="77777777" w:rsidTr="006F2DE6">
        <w:trPr>
          <w:trHeight w:val="255"/>
        </w:trPr>
        <w:tc>
          <w:tcPr>
            <w:tcW w:w="980" w:type="dxa"/>
            <w:vMerge/>
            <w:tcMar>
              <w:left w:w="57" w:type="dxa"/>
              <w:right w:w="57" w:type="dxa"/>
            </w:tcMar>
          </w:tcPr>
          <w:p w14:paraId="2C37F91A"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7A5C1D81"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STAŢIA DE APĂ</w:t>
            </w:r>
          </w:p>
        </w:tc>
        <w:tc>
          <w:tcPr>
            <w:tcW w:w="850" w:type="dxa"/>
            <w:shd w:val="clear" w:color="auto" w:fill="auto"/>
            <w:noWrap/>
            <w:tcMar>
              <w:left w:w="57" w:type="dxa"/>
              <w:right w:w="57" w:type="dxa"/>
            </w:tcMar>
            <w:vAlign w:val="center"/>
            <w:hideMark/>
          </w:tcPr>
          <w:p w14:paraId="3AE4CD82"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76ACC093"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900</w:t>
            </w:r>
          </w:p>
        </w:tc>
        <w:tc>
          <w:tcPr>
            <w:tcW w:w="709" w:type="dxa"/>
            <w:shd w:val="clear" w:color="auto" w:fill="auto"/>
            <w:noWrap/>
            <w:tcMar>
              <w:left w:w="57" w:type="dxa"/>
              <w:right w:w="57" w:type="dxa"/>
            </w:tcMar>
            <w:vAlign w:val="center"/>
            <w:hideMark/>
          </w:tcPr>
          <w:p w14:paraId="5C64CB20"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21D1710E"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7AEAE52C"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2066C6F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21EACC11"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47A36AB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75DA2323" w14:textId="77777777" w:rsidTr="006F2DE6">
        <w:trPr>
          <w:trHeight w:val="255"/>
        </w:trPr>
        <w:tc>
          <w:tcPr>
            <w:tcW w:w="980" w:type="dxa"/>
            <w:vMerge/>
            <w:tcMar>
              <w:left w:w="57" w:type="dxa"/>
              <w:right w:w="57" w:type="dxa"/>
            </w:tcMar>
          </w:tcPr>
          <w:p w14:paraId="69A3F20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188769E"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VALEA URSULUI</w:t>
            </w:r>
          </w:p>
        </w:tc>
        <w:tc>
          <w:tcPr>
            <w:tcW w:w="850" w:type="dxa"/>
            <w:shd w:val="clear" w:color="auto" w:fill="auto"/>
            <w:noWrap/>
            <w:tcMar>
              <w:left w:w="57" w:type="dxa"/>
              <w:right w:w="57" w:type="dxa"/>
            </w:tcMar>
            <w:vAlign w:val="center"/>
            <w:hideMark/>
          </w:tcPr>
          <w:p w14:paraId="7B3B6C34"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31B2FACE"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1688</w:t>
            </w:r>
          </w:p>
        </w:tc>
        <w:tc>
          <w:tcPr>
            <w:tcW w:w="709" w:type="dxa"/>
            <w:shd w:val="clear" w:color="auto" w:fill="auto"/>
            <w:noWrap/>
            <w:tcMar>
              <w:left w:w="57" w:type="dxa"/>
              <w:right w:w="57" w:type="dxa"/>
            </w:tcMar>
            <w:vAlign w:val="center"/>
            <w:hideMark/>
          </w:tcPr>
          <w:p w14:paraId="3A4C8AAD"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w:t>
            </w:r>
          </w:p>
        </w:tc>
        <w:tc>
          <w:tcPr>
            <w:tcW w:w="567" w:type="dxa"/>
            <w:shd w:val="clear" w:color="auto" w:fill="auto"/>
            <w:noWrap/>
            <w:tcMar>
              <w:left w:w="57" w:type="dxa"/>
              <w:right w:w="57" w:type="dxa"/>
            </w:tcMar>
            <w:vAlign w:val="center"/>
            <w:hideMark/>
          </w:tcPr>
          <w:p w14:paraId="2570E08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66227B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2E9A18F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68BD20E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3AA5632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1D58F3AE" w14:textId="77777777" w:rsidTr="006F2DE6">
        <w:trPr>
          <w:trHeight w:val="255"/>
        </w:trPr>
        <w:tc>
          <w:tcPr>
            <w:tcW w:w="980" w:type="dxa"/>
            <w:vMerge/>
            <w:tcMar>
              <w:left w:w="57" w:type="dxa"/>
              <w:right w:w="57" w:type="dxa"/>
            </w:tcMar>
          </w:tcPr>
          <w:p w14:paraId="4C82F09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654F339"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VECHE</w:t>
            </w:r>
          </w:p>
        </w:tc>
        <w:tc>
          <w:tcPr>
            <w:tcW w:w="850" w:type="dxa"/>
            <w:shd w:val="clear" w:color="auto" w:fill="auto"/>
            <w:noWrap/>
            <w:tcMar>
              <w:left w:w="57" w:type="dxa"/>
              <w:right w:w="57" w:type="dxa"/>
            </w:tcMar>
            <w:vAlign w:val="center"/>
            <w:hideMark/>
          </w:tcPr>
          <w:p w14:paraId="1403C327"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6F6262CA"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1000</w:t>
            </w:r>
          </w:p>
        </w:tc>
        <w:tc>
          <w:tcPr>
            <w:tcW w:w="709" w:type="dxa"/>
            <w:shd w:val="clear" w:color="auto" w:fill="auto"/>
            <w:noWrap/>
            <w:tcMar>
              <w:left w:w="57" w:type="dxa"/>
              <w:right w:w="57" w:type="dxa"/>
            </w:tcMar>
            <w:vAlign w:val="center"/>
            <w:hideMark/>
          </w:tcPr>
          <w:p w14:paraId="2C74E55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4</w:t>
            </w:r>
          </w:p>
        </w:tc>
        <w:tc>
          <w:tcPr>
            <w:tcW w:w="567" w:type="dxa"/>
            <w:shd w:val="clear" w:color="auto" w:fill="auto"/>
            <w:noWrap/>
            <w:tcMar>
              <w:left w:w="57" w:type="dxa"/>
              <w:right w:w="57" w:type="dxa"/>
            </w:tcMar>
            <w:vAlign w:val="center"/>
            <w:hideMark/>
          </w:tcPr>
          <w:p w14:paraId="1B8FA53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w:t>
            </w:r>
          </w:p>
        </w:tc>
        <w:tc>
          <w:tcPr>
            <w:tcW w:w="1134" w:type="dxa"/>
            <w:shd w:val="clear" w:color="auto" w:fill="auto"/>
            <w:noWrap/>
            <w:tcMar>
              <w:left w:w="57" w:type="dxa"/>
              <w:right w:w="57" w:type="dxa"/>
            </w:tcMar>
            <w:vAlign w:val="center"/>
            <w:hideMark/>
          </w:tcPr>
          <w:p w14:paraId="70C1B13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51B8E92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DD4F9A6"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2E7A1A8A"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6D10167C" w14:textId="77777777" w:rsidTr="006F2DE6">
        <w:trPr>
          <w:trHeight w:val="255"/>
        </w:trPr>
        <w:tc>
          <w:tcPr>
            <w:tcW w:w="980" w:type="dxa"/>
            <w:vMerge w:val="restart"/>
            <w:tcMar>
              <w:left w:w="57" w:type="dxa"/>
              <w:right w:w="57" w:type="dxa"/>
            </w:tcMar>
          </w:tcPr>
          <w:p w14:paraId="788921FD"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Sat Ur</w:t>
            </w:r>
            <w:r w:rsidR="004E437F">
              <w:rPr>
                <w:rFonts w:ascii="Arial" w:eastAsia="Times New Roman" w:hAnsi="Arial" w:cs="Arial"/>
                <w:b/>
                <w:color w:val="000000"/>
                <w:sz w:val="16"/>
                <w:szCs w:val="16"/>
                <w:lang w:val="fr-FR" w:eastAsia="fr-FR"/>
              </w:rPr>
              <w:t>ș</w:t>
            </w:r>
            <w:r w:rsidRPr="006F66E1">
              <w:rPr>
                <w:rFonts w:ascii="Arial" w:eastAsia="Times New Roman" w:hAnsi="Arial" w:cs="Arial"/>
                <w:b/>
                <w:color w:val="000000"/>
                <w:sz w:val="16"/>
                <w:szCs w:val="16"/>
                <w:lang w:val="fr-FR" w:eastAsia="fr-FR"/>
              </w:rPr>
              <w:t>ani</w:t>
            </w:r>
          </w:p>
        </w:tc>
        <w:tc>
          <w:tcPr>
            <w:tcW w:w="1843" w:type="dxa"/>
            <w:shd w:val="clear" w:color="auto" w:fill="auto"/>
            <w:noWrap/>
            <w:tcMar>
              <w:left w:w="57" w:type="dxa"/>
              <w:right w:w="57" w:type="dxa"/>
            </w:tcMar>
            <w:vAlign w:val="center"/>
            <w:hideMark/>
          </w:tcPr>
          <w:p w14:paraId="3FE9E790"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URŞANI</w:t>
            </w:r>
          </w:p>
        </w:tc>
        <w:tc>
          <w:tcPr>
            <w:tcW w:w="850" w:type="dxa"/>
            <w:shd w:val="clear" w:color="auto" w:fill="auto"/>
            <w:noWrap/>
            <w:tcMar>
              <w:left w:w="57" w:type="dxa"/>
              <w:right w:w="57" w:type="dxa"/>
            </w:tcMar>
            <w:vAlign w:val="center"/>
            <w:hideMark/>
          </w:tcPr>
          <w:p w14:paraId="0B655482"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DC142</w:t>
            </w:r>
          </w:p>
        </w:tc>
        <w:tc>
          <w:tcPr>
            <w:tcW w:w="709" w:type="dxa"/>
            <w:shd w:val="clear" w:color="auto" w:fill="auto"/>
            <w:noWrap/>
            <w:tcMar>
              <w:left w:w="57" w:type="dxa"/>
              <w:right w:w="57" w:type="dxa"/>
            </w:tcMar>
            <w:vAlign w:val="center"/>
            <w:hideMark/>
          </w:tcPr>
          <w:p w14:paraId="4967C6DC"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3247</w:t>
            </w:r>
          </w:p>
        </w:tc>
        <w:tc>
          <w:tcPr>
            <w:tcW w:w="709" w:type="dxa"/>
            <w:shd w:val="clear" w:color="auto" w:fill="auto"/>
            <w:noWrap/>
            <w:tcMar>
              <w:left w:w="57" w:type="dxa"/>
              <w:right w:w="57" w:type="dxa"/>
            </w:tcMar>
            <w:vAlign w:val="center"/>
            <w:hideMark/>
          </w:tcPr>
          <w:p w14:paraId="2D44B24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9</w:t>
            </w:r>
          </w:p>
        </w:tc>
        <w:tc>
          <w:tcPr>
            <w:tcW w:w="567" w:type="dxa"/>
            <w:shd w:val="clear" w:color="auto" w:fill="auto"/>
            <w:noWrap/>
            <w:tcMar>
              <w:left w:w="57" w:type="dxa"/>
              <w:right w:w="57" w:type="dxa"/>
            </w:tcMar>
            <w:vAlign w:val="center"/>
            <w:hideMark/>
          </w:tcPr>
          <w:p w14:paraId="3F7804CA"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7A5C9FA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Asfalt</w:t>
            </w:r>
          </w:p>
        </w:tc>
        <w:tc>
          <w:tcPr>
            <w:tcW w:w="851" w:type="dxa"/>
            <w:shd w:val="clear" w:color="auto" w:fill="auto"/>
            <w:noWrap/>
            <w:tcMar>
              <w:left w:w="57" w:type="dxa"/>
              <w:right w:w="57" w:type="dxa"/>
            </w:tcMar>
            <w:vAlign w:val="center"/>
            <w:hideMark/>
          </w:tcPr>
          <w:p w14:paraId="4E65EDE9"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3764E37B"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III – a</w:t>
            </w:r>
          </w:p>
        </w:tc>
        <w:tc>
          <w:tcPr>
            <w:tcW w:w="2126" w:type="dxa"/>
            <w:shd w:val="clear" w:color="auto" w:fill="auto"/>
            <w:noWrap/>
            <w:tcMar>
              <w:left w:w="57" w:type="dxa"/>
              <w:right w:w="57" w:type="dxa"/>
            </w:tcMar>
            <w:vAlign w:val="center"/>
            <w:hideMark/>
          </w:tcPr>
          <w:p w14:paraId="3477A560"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5181A9BA" w14:textId="77777777" w:rsidTr="006F2DE6">
        <w:trPr>
          <w:trHeight w:val="255"/>
        </w:trPr>
        <w:tc>
          <w:tcPr>
            <w:tcW w:w="980" w:type="dxa"/>
            <w:vMerge/>
            <w:tcMar>
              <w:left w:w="57" w:type="dxa"/>
              <w:right w:w="57" w:type="dxa"/>
            </w:tcMar>
          </w:tcPr>
          <w:p w14:paraId="1D3B7F3F"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0E8D5275"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ARICEŞTI</w:t>
            </w:r>
          </w:p>
        </w:tc>
        <w:tc>
          <w:tcPr>
            <w:tcW w:w="850" w:type="dxa"/>
            <w:shd w:val="clear" w:color="auto" w:fill="auto"/>
            <w:noWrap/>
            <w:tcMar>
              <w:left w:w="57" w:type="dxa"/>
              <w:right w:w="57" w:type="dxa"/>
            </w:tcMar>
            <w:vAlign w:val="center"/>
            <w:hideMark/>
          </w:tcPr>
          <w:p w14:paraId="5EA0F951"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608975B6"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1971</w:t>
            </w:r>
          </w:p>
        </w:tc>
        <w:tc>
          <w:tcPr>
            <w:tcW w:w="709" w:type="dxa"/>
            <w:shd w:val="clear" w:color="auto" w:fill="auto"/>
            <w:noWrap/>
            <w:tcMar>
              <w:left w:w="57" w:type="dxa"/>
              <w:right w:w="57" w:type="dxa"/>
            </w:tcMar>
            <w:vAlign w:val="center"/>
            <w:hideMark/>
          </w:tcPr>
          <w:p w14:paraId="1475A66E"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5</w:t>
            </w:r>
          </w:p>
        </w:tc>
        <w:tc>
          <w:tcPr>
            <w:tcW w:w="567" w:type="dxa"/>
            <w:shd w:val="clear" w:color="auto" w:fill="auto"/>
            <w:noWrap/>
            <w:tcMar>
              <w:left w:w="57" w:type="dxa"/>
              <w:right w:w="57" w:type="dxa"/>
            </w:tcMar>
            <w:vAlign w:val="center"/>
            <w:hideMark/>
          </w:tcPr>
          <w:p w14:paraId="007E7F3D"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0FE40042"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38EAA730"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1D1CBF28"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72DE3419"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r w:rsidR="006F66E1" w:rsidRPr="006F66E1" w14:paraId="0CEBB51A" w14:textId="77777777" w:rsidTr="006F2DE6">
        <w:trPr>
          <w:trHeight w:val="255"/>
        </w:trPr>
        <w:tc>
          <w:tcPr>
            <w:tcW w:w="980" w:type="dxa"/>
            <w:vMerge/>
            <w:tcMar>
              <w:left w:w="57" w:type="dxa"/>
              <w:right w:w="57" w:type="dxa"/>
            </w:tcMar>
          </w:tcPr>
          <w:p w14:paraId="76592E24"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p>
        </w:tc>
        <w:tc>
          <w:tcPr>
            <w:tcW w:w="1843" w:type="dxa"/>
            <w:shd w:val="clear" w:color="auto" w:fill="auto"/>
            <w:noWrap/>
            <w:tcMar>
              <w:left w:w="57" w:type="dxa"/>
              <w:right w:w="57" w:type="dxa"/>
            </w:tcMar>
            <w:vAlign w:val="center"/>
            <w:hideMark/>
          </w:tcPr>
          <w:p w14:paraId="564C18A8" w14:textId="77777777" w:rsidR="006F66E1" w:rsidRPr="006F66E1" w:rsidRDefault="006F66E1" w:rsidP="006F66E1">
            <w:pPr>
              <w:spacing w:after="0" w:line="240" w:lineRule="auto"/>
              <w:rPr>
                <w:rFonts w:ascii="Arial" w:eastAsia="Times New Roman" w:hAnsi="Arial" w:cs="Arial"/>
                <w:b/>
                <w:color w:val="000000"/>
                <w:sz w:val="16"/>
                <w:szCs w:val="16"/>
                <w:lang w:val="fr-FR" w:eastAsia="fr-FR"/>
              </w:rPr>
            </w:pPr>
            <w:r w:rsidRPr="006F66E1">
              <w:rPr>
                <w:rFonts w:ascii="Arial" w:eastAsia="Times New Roman" w:hAnsi="Arial" w:cs="Arial"/>
                <w:b/>
                <w:color w:val="000000"/>
                <w:sz w:val="16"/>
                <w:szCs w:val="16"/>
                <w:lang w:val="fr-FR" w:eastAsia="fr-FR"/>
              </w:rPr>
              <w:t xml:space="preserve">VALEA URSULUI </w:t>
            </w:r>
          </w:p>
        </w:tc>
        <w:tc>
          <w:tcPr>
            <w:tcW w:w="850" w:type="dxa"/>
            <w:shd w:val="clear" w:color="auto" w:fill="auto"/>
            <w:noWrap/>
            <w:tcMar>
              <w:left w:w="57" w:type="dxa"/>
              <w:right w:w="57" w:type="dxa"/>
            </w:tcMar>
            <w:vAlign w:val="center"/>
            <w:hideMark/>
          </w:tcPr>
          <w:p w14:paraId="405ACF5B"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Strada</w:t>
            </w:r>
          </w:p>
        </w:tc>
        <w:tc>
          <w:tcPr>
            <w:tcW w:w="709" w:type="dxa"/>
            <w:shd w:val="clear" w:color="auto" w:fill="auto"/>
            <w:noWrap/>
            <w:tcMar>
              <w:left w:w="57" w:type="dxa"/>
              <w:right w:w="57" w:type="dxa"/>
            </w:tcMar>
            <w:vAlign w:val="center"/>
            <w:hideMark/>
          </w:tcPr>
          <w:p w14:paraId="76D1A63B"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733</w:t>
            </w:r>
          </w:p>
        </w:tc>
        <w:tc>
          <w:tcPr>
            <w:tcW w:w="709" w:type="dxa"/>
            <w:shd w:val="clear" w:color="auto" w:fill="auto"/>
            <w:noWrap/>
            <w:tcMar>
              <w:left w:w="57" w:type="dxa"/>
              <w:right w:w="57" w:type="dxa"/>
            </w:tcMar>
            <w:vAlign w:val="center"/>
            <w:hideMark/>
          </w:tcPr>
          <w:p w14:paraId="63E30CE8" w14:textId="77777777" w:rsidR="006F66E1" w:rsidRPr="006F66E1" w:rsidRDefault="006F66E1" w:rsidP="006F66E1">
            <w:pPr>
              <w:spacing w:after="0" w:line="240" w:lineRule="auto"/>
              <w:jc w:val="right"/>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7</w:t>
            </w:r>
          </w:p>
        </w:tc>
        <w:tc>
          <w:tcPr>
            <w:tcW w:w="567" w:type="dxa"/>
            <w:shd w:val="clear" w:color="auto" w:fill="auto"/>
            <w:noWrap/>
            <w:tcMar>
              <w:left w:w="57" w:type="dxa"/>
              <w:right w:w="57" w:type="dxa"/>
            </w:tcMar>
            <w:vAlign w:val="center"/>
            <w:hideMark/>
          </w:tcPr>
          <w:p w14:paraId="18731AA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2</w:t>
            </w:r>
          </w:p>
        </w:tc>
        <w:tc>
          <w:tcPr>
            <w:tcW w:w="1134" w:type="dxa"/>
            <w:shd w:val="clear" w:color="auto" w:fill="auto"/>
            <w:noWrap/>
            <w:tcMar>
              <w:left w:w="57" w:type="dxa"/>
              <w:right w:w="57" w:type="dxa"/>
            </w:tcMar>
            <w:vAlign w:val="center"/>
            <w:hideMark/>
          </w:tcPr>
          <w:p w14:paraId="12D1D0CF"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eastAsia="Times New Roman" w:hAnsi="Arial" w:cs="Arial"/>
                <w:color w:val="000000"/>
                <w:sz w:val="16"/>
                <w:szCs w:val="16"/>
                <w:lang w:val="fr-FR" w:eastAsia="fr-FR"/>
              </w:rPr>
              <w:t>Pietruita</w:t>
            </w:r>
          </w:p>
        </w:tc>
        <w:tc>
          <w:tcPr>
            <w:tcW w:w="851" w:type="dxa"/>
            <w:shd w:val="clear" w:color="auto" w:fill="auto"/>
            <w:noWrap/>
            <w:tcMar>
              <w:left w:w="57" w:type="dxa"/>
              <w:right w:w="57" w:type="dxa"/>
            </w:tcMar>
            <w:vAlign w:val="center"/>
            <w:hideMark/>
          </w:tcPr>
          <w:p w14:paraId="164456C4"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p>
        </w:tc>
        <w:tc>
          <w:tcPr>
            <w:tcW w:w="992" w:type="dxa"/>
            <w:tcMar>
              <w:left w:w="57" w:type="dxa"/>
              <w:right w:w="57" w:type="dxa"/>
            </w:tcMar>
            <w:vAlign w:val="center"/>
          </w:tcPr>
          <w:p w14:paraId="56C14E35" w14:textId="77777777" w:rsidR="006F66E1" w:rsidRPr="006F66E1" w:rsidRDefault="006F66E1" w:rsidP="006F66E1">
            <w:pPr>
              <w:spacing w:after="0" w:line="240" w:lineRule="auto"/>
              <w:jc w:val="center"/>
              <w:rPr>
                <w:rFonts w:ascii="Arial" w:eastAsia="Times New Roman" w:hAnsi="Arial" w:cs="Arial"/>
                <w:color w:val="000000"/>
                <w:sz w:val="16"/>
                <w:szCs w:val="16"/>
                <w:lang w:val="fr-FR" w:eastAsia="fr-FR"/>
              </w:rPr>
            </w:pPr>
            <w:r w:rsidRPr="006F66E1">
              <w:rPr>
                <w:rFonts w:ascii="Arial" w:hAnsi="Arial" w:cs="Arial"/>
                <w:noProof/>
                <w:kern w:val="1"/>
                <w:sz w:val="16"/>
                <w:szCs w:val="16"/>
                <w:lang w:val="ro-RO" w:eastAsia="hi-IN" w:bidi="hi-IN"/>
              </w:rPr>
              <w:t>a IV - a</w:t>
            </w:r>
          </w:p>
        </w:tc>
        <w:tc>
          <w:tcPr>
            <w:tcW w:w="2126" w:type="dxa"/>
            <w:shd w:val="clear" w:color="auto" w:fill="auto"/>
            <w:noWrap/>
            <w:tcMar>
              <w:left w:w="57" w:type="dxa"/>
              <w:right w:w="57" w:type="dxa"/>
            </w:tcMar>
            <w:vAlign w:val="center"/>
            <w:hideMark/>
          </w:tcPr>
          <w:p w14:paraId="50E21926" w14:textId="77777777" w:rsidR="006F66E1" w:rsidRPr="006F66E1" w:rsidRDefault="006F66E1" w:rsidP="006F66E1">
            <w:pPr>
              <w:spacing w:after="0" w:line="240" w:lineRule="auto"/>
              <w:rPr>
                <w:rFonts w:ascii="Arial" w:eastAsia="Times New Roman" w:hAnsi="Arial" w:cs="Arial"/>
                <w:color w:val="000000"/>
                <w:sz w:val="16"/>
                <w:szCs w:val="16"/>
                <w:lang w:val="fr-FR" w:eastAsia="fr-FR"/>
              </w:rPr>
            </w:pPr>
          </w:p>
        </w:tc>
      </w:tr>
    </w:tbl>
    <w:p w14:paraId="498F684F" w14:textId="77777777" w:rsidR="006F66E1" w:rsidRPr="006F66E1" w:rsidRDefault="006F66E1" w:rsidP="006F66E1">
      <w:pPr>
        <w:widowControl w:val="0"/>
        <w:suppressAutoHyphens/>
        <w:spacing w:after="0" w:line="360" w:lineRule="auto"/>
        <w:jc w:val="both"/>
        <w:rPr>
          <w:rFonts w:ascii="Arial" w:hAnsi="Arial" w:cs="Mangal"/>
          <w:kern w:val="1"/>
          <w:sz w:val="24"/>
          <w:szCs w:val="24"/>
          <w:lang w:val="ro-RO" w:eastAsia="hi-IN" w:bidi="hi-IN"/>
        </w:rPr>
      </w:pPr>
      <w:r w:rsidRPr="006F66E1">
        <w:rPr>
          <w:rFonts w:ascii="Arial" w:hAnsi="Arial" w:cs="Mangal"/>
          <w:kern w:val="1"/>
          <w:sz w:val="16"/>
          <w:szCs w:val="16"/>
          <w:lang w:val="ro-RO" w:eastAsia="hi-IN" w:bidi="hi-IN"/>
        </w:rPr>
        <w:t>Sursa: Prim</w:t>
      </w:r>
      <w:r w:rsidR="004E437F">
        <w:rPr>
          <w:rFonts w:ascii="Arial" w:hAnsi="Arial" w:cs="Mangal"/>
          <w:kern w:val="1"/>
          <w:sz w:val="16"/>
          <w:szCs w:val="16"/>
          <w:lang w:val="ro-RO" w:eastAsia="hi-IN" w:bidi="hi-IN"/>
        </w:rPr>
        <w:t>ă</w:t>
      </w:r>
      <w:r w:rsidRPr="006F66E1">
        <w:rPr>
          <w:rFonts w:ascii="Arial" w:hAnsi="Arial" w:cs="Mangal"/>
          <w:kern w:val="1"/>
          <w:sz w:val="16"/>
          <w:szCs w:val="16"/>
          <w:lang w:val="ro-RO" w:eastAsia="hi-IN" w:bidi="hi-IN"/>
        </w:rPr>
        <w:t>ria Horezu</w:t>
      </w:r>
    </w:p>
    <w:p w14:paraId="1DA16B94" w14:textId="77777777" w:rsidR="006F66E1" w:rsidRPr="006F66E1" w:rsidRDefault="006F66E1" w:rsidP="006F66E1">
      <w:pPr>
        <w:widowControl w:val="0"/>
        <w:suppressAutoHyphens/>
        <w:autoSpaceDE w:val="0"/>
        <w:spacing w:after="0" w:line="360" w:lineRule="auto"/>
        <w:jc w:val="both"/>
        <w:rPr>
          <w:rFonts w:ascii="Arial" w:eastAsia="Calibri" w:hAnsi="Arial" w:cs="Arial"/>
          <w:color w:val="000000"/>
          <w:kern w:val="1"/>
          <w:sz w:val="24"/>
          <w:szCs w:val="24"/>
          <w:lang w:val="ro-RO" w:eastAsia="hi-IN" w:bidi="hi-IN"/>
        </w:rPr>
      </w:pPr>
    </w:p>
    <w:p w14:paraId="54A8CE2D" w14:textId="77777777" w:rsidR="006F66E1" w:rsidRPr="006F66E1" w:rsidRDefault="006F66E1" w:rsidP="006F66E1">
      <w:pPr>
        <w:widowControl w:val="0"/>
        <w:suppressAutoHyphens/>
        <w:autoSpaceDE w:val="0"/>
        <w:spacing w:after="0" w:line="360" w:lineRule="auto"/>
        <w:jc w:val="both"/>
        <w:rPr>
          <w:rFonts w:ascii="Arial" w:eastAsia="Calibri" w:hAnsi="Arial" w:cs="Arial"/>
          <w:color w:val="000000"/>
          <w:kern w:val="1"/>
          <w:sz w:val="24"/>
          <w:szCs w:val="24"/>
          <w:lang w:val="ro-RO" w:eastAsia="hi-IN" w:bidi="hi-IN"/>
        </w:rPr>
      </w:pPr>
    </w:p>
    <w:p w14:paraId="6AFA8423" w14:textId="77777777" w:rsidR="006F66E1" w:rsidRPr="006F66E1" w:rsidRDefault="006F66E1" w:rsidP="006F66E1">
      <w:pPr>
        <w:widowControl w:val="0"/>
        <w:suppressAutoHyphens/>
        <w:autoSpaceDE w:val="0"/>
        <w:spacing w:after="0" w:line="360" w:lineRule="auto"/>
        <w:jc w:val="center"/>
        <w:rPr>
          <w:rFonts w:ascii="Arial" w:eastAsia="Calibri" w:hAnsi="Arial" w:cs="Arial"/>
          <w:color w:val="000000"/>
          <w:kern w:val="1"/>
          <w:sz w:val="24"/>
          <w:szCs w:val="24"/>
          <w:lang w:val="ro-RO" w:eastAsia="hi-IN" w:bidi="hi-IN"/>
        </w:rPr>
      </w:pPr>
      <w:r w:rsidRPr="006F66E1">
        <w:rPr>
          <w:rFonts w:ascii="Arial" w:eastAsia="Calibri" w:hAnsi="Arial" w:cs="Arial"/>
          <w:noProof/>
          <w:color w:val="000000"/>
          <w:kern w:val="1"/>
          <w:sz w:val="24"/>
          <w:szCs w:val="24"/>
        </w:rPr>
        <w:lastRenderedPageBreak/>
        <mc:AlternateContent>
          <mc:Choice Requires="wpc">
            <w:drawing>
              <wp:inline distT="0" distB="0" distL="0" distR="0" wp14:anchorId="764401DB" wp14:editId="2A0832CF">
                <wp:extent cx="3423920" cy="4805680"/>
                <wp:effectExtent l="0" t="0" r="5080" b="1397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61"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33445" cy="4815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72910958" id="Canvas 107" o:spid="_x0000_s1026" editas="canvas" style="width:269.6pt;height:378.4pt;mso-position-horizontal-relative:char;mso-position-vertical-relative:line" coordsize="34239,48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">
                <v:shape id="_x0000_s1027" type="#_x0000_t75" style="position:absolute;width:34239;height:48056;visibility:visible;mso-wrap-style:square">
                  <v:fill o:detectmouseclick="t"/>
                  <v:path o:connecttype="none"/>
                </v:shape>
                <v:shape id="Picture 13" o:spid="_x0000_s1028" type="#_x0000_t75" style="position:absolute;width:34334;height:48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">
                  <v:imagedata r:id="rId57" o:title=""/>
                </v:shape>
                <w10:anchorlock/>
              </v:group>
            </w:pict>
          </mc:Fallback>
        </mc:AlternateContent>
      </w:r>
    </w:p>
    <w:p w14:paraId="27AC3338" w14:textId="77777777" w:rsidR="006F66E1" w:rsidRPr="006F66E1" w:rsidRDefault="006F66E1" w:rsidP="006F66E1">
      <w:pPr>
        <w:widowControl w:val="0"/>
        <w:suppressAutoHyphens/>
        <w:autoSpaceDE w:val="0"/>
        <w:spacing w:after="0" w:line="360" w:lineRule="auto"/>
        <w:ind w:firstLine="567"/>
        <w:rPr>
          <w:rFonts w:ascii="Arial" w:eastAsia="Calibri" w:hAnsi="Arial" w:cs="Arial"/>
          <w:kern w:val="1"/>
          <w:sz w:val="24"/>
          <w:szCs w:val="24"/>
          <w:lang w:val="ro-RO" w:eastAsia="hi-IN" w:bidi="hi-IN"/>
        </w:rPr>
      </w:pPr>
      <w:r w:rsidRPr="006F66E1">
        <w:rPr>
          <w:rFonts w:ascii="Arial" w:hAnsi="Arial" w:cs="Mangal"/>
          <w:kern w:val="1"/>
          <w:sz w:val="16"/>
          <w:szCs w:val="16"/>
          <w:lang w:val="ro-RO" w:eastAsia="hi-IN" w:bidi="hi-IN"/>
        </w:rPr>
        <w:t>Sursa: Elaborator: INCERTRANS SA</w:t>
      </w:r>
    </w:p>
    <w:p w14:paraId="1435B29B" w14:textId="33C7C8A8" w:rsidR="006F66E1" w:rsidRPr="002473AB" w:rsidRDefault="002473AB" w:rsidP="002473AB">
      <w:pPr>
        <w:pStyle w:val="Legend"/>
        <w:jc w:val="center"/>
        <w:rPr>
          <w:rFonts w:ascii="Arial" w:eastAsia="Calibri" w:hAnsi="Arial" w:cs="Arial"/>
          <w:i w:val="0"/>
          <w:iCs w:val="0"/>
          <w:color w:val="000000"/>
          <w:kern w:val="1"/>
          <w:sz w:val="22"/>
          <w:szCs w:val="22"/>
          <w:lang w:val="es-ES" w:eastAsia="hi-IN" w:bidi="hi-IN"/>
        </w:rPr>
      </w:pPr>
      <w:bookmarkStart w:id="79" w:name="_Toc140744451"/>
      <w:r w:rsidRPr="002473AB">
        <w:rPr>
          <w:rFonts w:ascii="Arial" w:hAnsi="Arial" w:cs="Arial"/>
          <w:sz w:val="22"/>
          <w:szCs w:val="22"/>
        </w:rPr>
        <w:t xml:space="preserve">Figura I.2. </w:t>
      </w:r>
      <w:r w:rsidRPr="002473AB">
        <w:rPr>
          <w:rFonts w:ascii="Arial" w:hAnsi="Arial" w:cs="Arial"/>
          <w:sz w:val="22"/>
          <w:szCs w:val="22"/>
        </w:rPr>
        <w:fldChar w:fldCharType="begin"/>
      </w:r>
      <w:r w:rsidRPr="002473AB">
        <w:rPr>
          <w:rFonts w:ascii="Arial" w:hAnsi="Arial" w:cs="Arial"/>
          <w:sz w:val="22"/>
          <w:szCs w:val="22"/>
        </w:rPr>
        <w:instrText xml:space="preserve"> SEQ Figura_I.2. \* ARABIC </w:instrText>
      </w:r>
      <w:r w:rsidRPr="002473AB">
        <w:rPr>
          <w:rFonts w:ascii="Arial" w:hAnsi="Arial" w:cs="Arial"/>
          <w:sz w:val="22"/>
          <w:szCs w:val="22"/>
        </w:rPr>
        <w:fldChar w:fldCharType="separate"/>
      </w:r>
      <w:r w:rsidR="00BB181C">
        <w:rPr>
          <w:rFonts w:ascii="Arial" w:hAnsi="Arial" w:cs="Arial"/>
          <w:noProof/>
          <w:sz w:val="22"/>
          <w:szCs w:val="22"/>
        </w:rPr>
        <w:t>9</w:t>
      </w:r>
      <w:r w:rsidRPr="002473AB">
        <w:rPr>
          <w:rFonts w:ascii="Arial" w:hAnsi="Arial" w:cs="Arial"/>
          <w:sz w:val="22"/>
          <w:szCs w:val="22"/>
        </w:rPr>
        <w:fldChar w:fldCharType="end"/>
      </w:r>
      <w:r w:rsidRPr="002473AB">
        <w:rPr>
          <w:rFonts w:ascii="Arial" w:hAnsi="Arial" w:cs="Arial"/>
          <w:sz w:val="22"/>
          <w:szCs w:val="22"/>
        </w:rPr>
        <w:t xml:space="preserve"> </w:t>
      </w:r>
      <w:r w:rsidR="006F66E1" w:rsidRPr="002473AB">
        <w:rPr>
          <w:rFonts w:ascii="Arial" w:hAnsi="Arial" w:cs="Arial"/>
          <w:color w:val="1F497D"/>
          <w:sz w:val="22"/>
          <w:szCs w:val="22"/>
        </w:rPr>
        <w:t xml:space="preserve">- </w:t>
      </w:r>
      <w:r>
        <w:rPr>
          <w:rFonts w:ascii="Arial" w:hAnsi="Arial" w:cs="Arial"/>
          <w:i w:val="0"/>
          <w:iCs w:val="0"/>
          <w:color w:val="1F497D"/>
          <w:sz w:val="22"/>
          <w:szCs w:val="22"/>
        </w:rPr>
        <w:t>Schiţa Oraş</w:t>
      </w:r>
      <w:r w:rsidR="006F66E1" w:rsidRPr="002473AB">
        <w:rPr>
          <w:rFonts w:ascii="Arial" w:hAnsi="Arial" w:cs="Arial"/>
          <w:i w:val="0"/>
          <w:iCs w:val="0"/>
          <w:color w:val="1F497D"/>
          <w:sz w:val="22"/>
          <w:szCs w:val="22"/>
        </w:rPr>
        <w:t>ului Horezu – cu evidenţierea zonelor componente</w:t>
      </w:r>
      <w:bookmarkEnd w:id="79"/>
    </w:p>
    <w:p w14:paraId="6B118DD1" w14:textId="77777777" w:rsidR="006F66E1" w:rsidRPr="006F66E1" w:rsidRDefault="006F66E1" w:rsidP="006F66E1">
      <w:pPr>
        <w:widowControl w:val="0"/>
        <w:suppressAutoHyphens/>
        <w:autoSpaceDE w:val="0"/>
        <w:spacing w:after="0" w:line="360" w:lineRule="auto"/>
        <w:jc w:val="both"/>
        <w:rPr>
          <w:rFonts w:ascii="Arial" w:eastAsia="Calibri" w:hAnsi="Arial" w:cs="Arial"/>
          <w:color w:val="FF0000"/>
          <w:kern w:val="1"/>
          <w:sz w:val="24"/>
          <w:szCs w:val="24"/>
          <w:lang w:val="es-ES" w:eastAsia="hi-IN" w:bidi="hi-IN"/>
        </w:rPr>
      </w:pPr>
    </w:p>
    <w:p w14:paraId="1B7A7CE5" w14:textId="77777777" w:rsidR="006F66E1" w:rsidRPr="006F66E1" w:rsidRDefault="006F66E1" w:rsidP="006F66E1">
      <w:pPr>
        <w:widowControl w:val="0"/>
        <w:suppressAutoHyphens/>
        <w:autoSpaceDE w:val="0"/>
        <w:spacing w:after="0" w:line="360" w:lineRule="auto"/>
        <w:jc w:val="both"/>
        <w:rPr>
          <w:rFonts w:ascii="Arial" w:eastAsia="Calibri" w:hAnsi="Arial" w:cs="Arial"/>
          <w:kern w:val="1"/>
          <w:lang w:val="es-ES" w:eastAsia="hi-IN" w:bidi="hi-IN"/>
        </w:rPr>
      </w:pPr>
      <w:r w:rsidRPr="006F66E1">
        <w:rPr>
          <w:rFonts w:ascii="Arial" w:eastAsia="Calibri" w:hAnsi="Arial" w:cs="Arial"/>
          <w:kern w:val="1"/>
          <w:lang w:val="es-ES" w:eastAsia="hi-IN" w:bidi="hi-IN"/>
        </w:rPr>
        <w:t>Densitatea populaţiei pe zone este prezentat</w:t>
      </w:r>
      <w:r w:rsidRPr="006F66E1">
        <w:rPr>
          <w:rFonts w:ascii="Arial" w:eastAsia="Calibri" w:hAnsi="Arial" w:cs="Arial"/>
          <w:color w:val="000000"/>
          <w:kern w:val="1"/>
          <w:lang w:val="es-ES" w:eastAsia="hi-IN" w:bidi="hi-IN"/>
        </w:rPr>
        <w:t>ă</w:t>
      </w:r>
      <w:r w:rsidRPr="006F66E1">
        <w:rPr>
          <w:rFonts w:ascii="Arial" w:eastAsia="Calibri" w:hAnsi="Arial" w:cs="Arial"/>
          <w:kern w:val="1"/>
          <w:lang w:val="es-ES" w:eastAsia="hi-IN" w:bidi="hi-IN"/>
        </w:rPr>
        <w:t xml:space="preserve"> </w:t>
      </w:r>
      <w:r w:rsidRPr="006F66E1">
        <w:rPr>
          <w:rFonts w:ascii="Arial" w:eastAsia="Calibri" w:hAnsi="Arial" w:cs="Arial"/>
          <w:color w:val="000000"/>
          <w:kern w:val="1"/>
          <w:lang w:val="es-ES" w:eastAsia="hi-IN" w:bidi="hi-IN"/>
        </w:rPr>
        <w:t>î</w:t>
      </w:r>
      <w:r w:rsidRPr="006F66E1">
        <w:rPr>
          <w:rFonts w:ascii="Arial" w:eastAsia="Calibri" w:hAnsi="Arial" w:cs="Arial"/>
          <w:kern w:val="1"/>
          <w:lang w:val="es-ES" w:eastAsia="hi-IN" w:bidi="hi-IN"/>
        </w:rPr>
        <w:t>n tabelul urm</w:t>
      </w:r>
      <w:r w:rsidRPr="006F66E1">
        <w:rPr>
          <w:rFonts w:ascii="Arial" w:eastAsia="Calibri" w:hAnsi="Arial" w:cs="Arial"/>
          <w:color w:val="000000"/>
          <w:kern w:val="1"/>
          <w:lang w:val="es-ES" w:eastAsia="hi-IN" w:bidi="hi-IN"/>
        </w:rPr>
        <w:t>ă</w:t>
      </w:r>
      <w:r w:rsidRPr="006F66E1">
        <w:rPr>
          <w:rFonts w:ascii="Arial" w:eastAsia="Calibri" w:hAnsi="Arial" w:cs="Arial"/>
          <w:kern w:val="1"/>
          <w:lang w:val="es-ES" w:eastAsia="hi-IN" w:bidi="hi-IN"/>
        </w:rPr>
        <w:t>tor.</w:t>
      </w:r>
    </w:p>
    <w:p w14:paraId="45161B4F" w14:textId="77777777" w:rsidR="006F66E1" w:rsidRPr="006F66E1" w:rsidRDefault="006F66E1" w:rsidP="006F66E1">
      <w:pPr>
        <w:widowControl w:val="0"/>
        <w:suppressAutoHyphens/>
        <w:autoSpaceDE w:val="0"/>
        <w:spacing w:after="0" w:line="360" w:lineRule="auto"/>
        <w:jc w:val="both"/>
        <w:rPr>
          <w:rFonts w:ascii="Arial" w:hAnsi="Arial" w:cs="Mangal"/>
          <w:color w:val="FF0000"/>
          <w:kern w:val="1"/>
          <w:sz w:val="24"/>
          <w:szCs w:val="24"/>
          <w:lang w:val="es-ES" w:eastAsia="hi-IN" w:bidi="hi-IN"/>
        </w:rPr>
      </w:pPr>
    </w:p>
    <w:p w14:paraId="7C226F6D" w14:textId="77777777" w:rsidR="006F66E1" w:rsidRPr="006F66E1" w:rsidRDefault="006F66E1" w:rsidP="006F66E1">
      <w:pPr>
        <w:spacing w:after="0" w:line="240" w:lineRule="auto"/>
        <w:rPr>
          <w:rFonts w:ascii="Arial" w:eastAsia="Calibri" w:hAnsi="Arial" w:cs="Arial"/>
          <w:kern w:val="1"/>
          <w:sz w:val="24"/>
          <w:szCs w:val="24"/>
          <w:lang w:val="es-ES" w:eastAsia="hi-IN" w:bidi="hi-IN"/>
        </w:rPr>
      </w:pPr>
      <w:r w:rsidRPr="006F66E1">
        <w:rPr>
          <w:rFonts w:ascii="Arial" w:eastAsia="Calibri" w:hAnsi="Arial" w:cs="Arial"/>
          <w:kern w:val="1"/>
          <w:sz w:val="24"/>
          <w:szCs w:val="24"/>
          <w:lang w:val="es-ES" w:eastAsia="hi-IN" w:bidi="hi-IN"/>
        </w:rPr>
        <w:br w:type="page"/>
      </w:r>
    </w:p>
    <w:p w14:paraId="50199E9C" w14:textId="35643D82" w:rsidR="006F66E1" w:rsidRPr="002473AB" w:rsidRDefault="002473AB" w:rsidP="002473AB">
      <w:pPr>
        <w:pStyle w:val="Legend"/>
        <w:jc w:val="center"/>
        <w:rPr>
          <w:rFonts w:ascii="Arial" w:hAnsi="Arial" w:cs="Arial"/>
          <w:color w:val="1F497D"/>
          <w:sz w:val="22"/>
          <w:szCs w:val="22"/>
        </w:rPr>
      </w:pPr>
      <w:bookmarkStart w:id="80" w:name="_Toc68361217"/>
      <w:bookmarkStart w:id="81" w:name="_Toc140744579"/>
      <w:r w:rsidRPr="002473AB">
        <w:rPr>
          <w:rFonts w:ascii="Arial" w:hAnsi="Arial" w:cs="Arial"/>
          <w:sz w:val="22"/>
          <w:szCs w:val="22"/>
        </w:rPr>
        <w:lastRenderedPageBreak/>
        <w:t xml:space="preserve">Tabel I.2. </w:t>
      </w:r>
      <w:r w:rsidRPr="002473AB">
        <w:rPr>
          <w:rFonts w:ascii="Arial" w:hAnsi="Arial" w:cs="Arial"/>
          <w:sz w:val="22"/>
          <w:szCs w:val="22"/>
        </w:rPr>
        <w:fldChar w:fldCharType="begin"/>
      </w:r>
      <w:r w:rsidRPr="002473AB">
        <w:rPr>
          <w:rFonts w:ascii="Arial" w:hAnsi="Arial" w:cs="Arial"/>
          <w:sz w:val="22"/>
          <w:szCs w:val="22"/>
        </w:rPr>
        <w:instrText xml:space="preserve"> SEQ Tabel_I.2. \* ARABIC </w:instrText>
      </w:r>
      <w:r w:rsidRPr="002473AB">
        <w:rPr>
          <w:rFonts w:ascii="Arial" w:hAnsi="Arial" w:cs="Arial"/>
          <w:sz w:val="22"/>
          <w:szCs w:val="22"/>
        </w:rPr>
        <w:fldChar w:fldCharType="separate"/>
      </w:r>
      <w:r w:rsidR="00BB181C">
        <w:rPr>
          <w:rFonts w:ascii="Arial" w:hAnsi="Arial" w:cs="Arial"/>
          <w:noProof/>
          <w:sz w:val="22"/>
          <w:szCs w:val="22"/>
        </w:rPr>
        <w:t>13</w:t>
      </w:r>
      <w:r w:rsidRPr="002473AB">
        <w:rPr>
          <w:rFonts w:ascii="Arial" w:hAnsi="Arial" w:cs="Arial"/>
          <w:sz w:val="22"/>
          <w:szCs w:val="22"/>
        </w:rPr>
        <w:fldChar w:fldCharType="end"/>
      </w:r>
      <w:r w:rsidRPr="002473AB">
        <w:rPr>
          <w:rFonts w:ascii="Arial" w:hAnsi="Arial" w:cs="Arial"/>
          <w:sz w:val="22"/>
          <w:szCs w:val="22"/>
        </w:rPr>
        <w:t xml:space="preserve"> </w:t>
      </w:r>
      <w:r w:rsidR="006F66E1" w:rsidRPr="002473AB">
        <w:rPr>
          <w:rFonts w:ascii="Arial" w:hAnsi="Arial" w:cs="Arial"/>
          <w:i w:val="0"/>
          <w:iCs w:val="0"/>
          <w:color w:val="1F497D"/>
          <w:sz w:val="22"/>
          <w:szCs w:val="22"/>
        </w:rPr>
        <w:t xml:space="preserve">- </w:t>
      </w:r>
      <w:r w:rsidR="006F66E1" w:rsidRPr="002473AB">
        <w:rPr>
          <w:rFonts w:ascii="Arial" w:hAnsi="Arial" w:cs="Arial"/>
          <w:i w:val="0"/>
          <w:color w:val="1F497D"/>
          <w:sz w:val="22"/>
          <w:szCs w:val="22"/>
        </w:rPr>
        <w:t xml:space="preserve">Densitatea populaţiei pe </w:t>
      </w:r>
      <w:bookmarkEnd w:id="80"/>
      <w:r w:rsidR="006F66E1" w:rsidRPr="002473AB">
        <w:rPr>
          <w:rFonts w:ascii="Arial" w:hAnsi="Arial" w:cs="Arial"/>
          <w:i w:val="0"/>
          <w:color w:val="1F497D"/>
          <w:sz w:val="22"/>
          <w:szCs w:val="22"/>
        </w:rPr>
        <w:t>zone</w:t>
      </w:r>
      <w:bookmarkEnd w:id="81"/>
    </w:p>
    <w:tbl>
      <w:tblPr>
        <w:tblW w:w="9160" w:type="dxa"/>
        <w:tblInd w:w="93" w:type="dxa"/>
        <w:tblLook w:val="04A0" w:firstRow="1" w:lastRow="0" w:firstColumn="1" w:lastColumn="0" w:noHBand="0" w:noVBand="1"/>
      </w:tblPr>
      <w:tblGrid>
        <w:gridCol w:w="2560"/>
        <w:gridCol w:w="580"/>
        <w:gridCol w:w="933"/>
        <w:gridCol w:w="991"/>
        <w:gridCol w:w="991"/>
        <w:gridCol w:w="803"/>
        <w:gridCol w:w="680"/>
        <w:gridCol w:w="720"/>
        <w:gridCol w:w="1097"/>
      </w:tblGrid>
      <w:tr w:rsidR="006F66E1" w:rsidRPr="006F66E1" w14:paraId="191FE112" w14:textId="77777777" w:rsidTr="00C410A5">
        <w:trPr>
          <w:trHeight w:val="300"/>
          <w:tblHeader/>
        </w:trPr>
        <w:tc>
          <w:tcPr>
            <w:tcW w:w="2560" w:type="dxa"/>
            <w:vMerge w:val="restart"/>
            <w:tcBorders>
              <w:top w:val="single" w:sz="8" w:space="0" w:color="auto"/>
              <w:left w:val="single" w:sz="8" w:space="0" w:color="auto"/>
              <w:bottom w:val="single" w:sz="8" w:space="0" w:color="000000"/>
              <w:right w:val="single" w:sz="4" w:space="0" w:color="auto"/>
            </w:tcBorders>
            <w:shd w:val="clear" w:color="000000" w:fill="BFBFBF"/>
            <w:noWrap/>
            <w:vAlign w:val="center"/>
            <w:hideMark/>
          </w:tcPr>
          <w:p w14:paraId="01E6A3D0" w14:textId="77777777" w:rsidR="006F66E1" w:rsidRPr="006F66E1" w:rsidRDefault="006F66E1" w:rsidP="006F66E1">
            <w:pPr>
              <w:spacing w:after="0" w:line="240" w:lineRule="auto"/>
              <w:jc w:val="center"/>
              <w:rPr>
                <w:rFonts w:ascii="Calibri" w:eastAsia="Times New Roman" w:hAnsi="Calibri" w:cs="Times New Roman"/>
                <w:b/>
                <w:bCs/>
                <w:sz w:val="18"/>
                <w:szCs w:val="18"/>
                <w:lang w:val="ro-RO" w:eastAsia="ro-RO"/>
              </w:rPr>
            </w:pPr>
            <w:r w:rsidRPr="006F66E1">
              <w:rPr>
                <w:rFonts w:ascii="Calibri" w:eastAsia="Times New Roman" w:hAnsi="Calibri" w:cs="Times New Roman"/>
                <w:b/>
                <w:bCs/>
                <w:sz w:val="18"/>
                <w:szCs w:val="18"/>
                <w:lang w:val="ro-RO" w:eastAsia="ro-RO"/>
              </w:rPr>
              <w:t>Zona</w:t>
            </w:r>
          </w:p>
        </w:tc>
        <w:tc>
          <w:tcPr>
            <w:tcW w:w="580" w:type="dxa"/>
            <w:vMerge w:val="restart"/>
            <w:tcBorders>
              <w:top w:val="single" w:sz="8" w:space="0" w:color="auto"/>
              <w:left w:val="single" w:sz="4" w:space="0" w:color="auto"/>
              <w:bottom w:val="single" w:sz="8" w:space="0" w:color="000000"/>
              <w:right w:val="single" w:sz="4" w:space="0" w:color="auto"/>
            </w:tcBorders>
            <w:shd w:val="clear" w:color="000000" w:fill="BFBFBF"/>
            <w:noWrap/>
            <w:vAlign w:val="center"/>
            <w:hideMark/>
          </w:tcPr>
          <w:p w14:paraId="08270D93" w14:textId="77777777" w:rsidR="006F66E1" w:rsidRPr="006F66E1" w:rsidRDefault="006F66E1" w:rsidP="006F66E1">
            <w:pPr>
              <w:spacing w:after="0" w:line="240" w:lineRule="auto"/>
              <w:jc w:val="center"/>
              <w:rPr>
                <w:rFonts w:ascii="Calibri" w:eastAsia="Times New Roman" w:hAnsi="Calibri" w:cs="Times New Roman"/>
                <w:b/>
                <w:bCs/>
                <w:color w:val="000000"/>
                <w:sz w:val="18"/>
                <w:szCs w:val="18"/>
                <w:lang w:val="ro-RO" w:eastAsia="ro-RO"/>
              </w:rPr>
            </w:pPr>
            <w:r w:rsidRPr="006F66E1">
              <w:rPr>
                <w:rFonts w:ascii="Calibri" w:eastAsia="Times New Roman" w:hAnsi="Calibri" w:cs="Times New Roman"/>
                <w:b/>
                <w:bCs/>
                <w:color w:val="000000"/>
                <w:sz w:val="18"/>
                <w:szCs w:val="18"/>
                <w:lang w:val="ro-RO" w:eastAsia="ro-RO"/>
              </w:rPr>
              <w:t>Cod</w:t>
            </w:r>
          </w:p>
        </w:tc>
        <w:tc>
          <w:tcPr>
            <w:tcW w:w="880" w:type="dxa"/>
            <w:vMerge w:val="restart"/>
            <w:tcBorders>
              <w:top w:val="single" w:sz="8" w:space="0" w:color="auto"/>
              <w:left w:val="single" w:sz="4" w:space="0" w:color="auto"/>
              <w:bottom w:val="single" w:sz="8" w:space="0" w:color="000000"/>
              <w:right w:val="single" w:sz="4" w:space="0" w:color="auto"/>
            </w:tcBorders>
            <w:shd w:val="clear" w:color="000000" w:fill="BFBFBF"/>
            <w:noWrap/>
            <w:vAlign w:val="center"/>
            <w:hideMark/>
          </w:tcPr>
          <w:p w14:paraId="5D407DEB" w14:textId="77777777" w:rsidR="006F66E1" w:rsidRPr="006F66E1" w:rsidRDefault="006F66E1" w:rsidP="006F66E1">
            <w:pPr>
              <w:spacing w:after="0" w:line="240" w:lineRule="auto"/>
              <w:jc w:val="center"/>
              <w:rPr>
                <w:rFonts w:ascii="Calibri" w:eastAsia="Times New Roman" w:hAnsi="Calibri" w:cs="Times New Roman"/>
                <w:b/>
                <w:bCs/>
                <w:color w:val="000000"/>
                <w:sz w:val="18"/>
                <w:szCs w:val="18"/>
                <w:lang w:val="ro-RO" w:eastAsia="ro-RO"/>
              </w:rPr>
            </w:pPr>
            <w:r w:rsidRPr="006F66E1">
              <w:rPr>
                <w:rFonts w:ascii="Calibri" w:eastAsia="Times New Roman" w:hAnsi="Calibri" w:cs="Times New Roman"/>
                <w:b/>
                <w:bCs/>
                <w:color w:val="000000"/>
                <w:sz w:val="18"/>
                <w:szCs w:val="18"/>
                <w:lang w:val="ro-RO" w:eastAsia="ro-RO"/>
              </w:rPr>
              <w:t>Popula</w:t>
            </w:r>
            <w:r w:rsidR="00C410A5">
              <w:rPr>
                <w:rFonts w:ascii="Calibri" w:eastAsia="Times New Roman" w:hAnsi="Calibri" w:cs="Times New Roman"/>
                <w:b/>
                <w:bCs/>
                <w:color w:val="000000"/>
                <w:sz w:val="18"/>
                <w:szCs w:val="18"/>
                <w:lang w:val="ro-RO" w:eastAsia="ro-RO"/>
              </w:rPr>
              <w:t>ț</w:t>
            </w:r>
            <w:r w:rsidRPr="006F66E1">
              <w:rPr>
                <w:rFonts w:ascii="Calibri" w:eastAsia="Times New Roman" w:hAnsi="Calibri" w:cs="Times New Roman"/>
                <w:b/>
                <w:bCs/>
                <w:color w:val="000000"/>
                <w:sz w:val="18"/>
                <w:szCs w:val="18"/>
                <w:lang w:val="ro-RO" w:eastAsia="ro-RO"/>
              </w:rPr>
              <w:t>ie</w:t>
            </w:r>
          </w:p>
        </w:tc>
        <w:tc>
          <w:tcPr>
            <w:tcW w:w="960" w:type="dxa"/>
            <w:vMerge w:val="restart"/>
            <w:tcBorders>
              <w:top w:val="single" w:sz="8" w:space="0" w:color="auto"/>
              <w:left w:val="single" w:sz="4" w:space="0" w:color="auto"/>
              <w:bottom w:val="single" w:sz="8" w:space="0" w:color="000000"/>
              <w:right w:val="single" w:sz="4" w:space="0" w:color="auto"/>
            </w:tcBorders>
            <w:shd w:val="clear" w:color="000000" w:fill="BFBFBF"/>
            <w:vAlign w:val="center"/>
            <w:hideMark/>
          </w:tcPr>
          <w:p w14:paraId="0E2B9614" w14:textId="77777777" w:rsidR="006F66E1" w:rsidRPr="006F66E1" w:rsidRDefault="006F66E1" w:rsidP="006F66E1">
            <w:pPr>
              <w:spacing w:after="0" w:line="240" w:lineRule="auto"/>
              <w:jc w:val="center"/>
              <w:rPr>
                <w:rFonts w:ascii="Calibri" w:eastAsia="Times New Roman" w:hAnsi="Calibri" w:cs="Times New Roman"/>
                <w:b/>
                <w:bCs/>
                <w:color w:val="000000"/>
                <w:sz w:val="18"/>
                <w:szCs w:val="18"/>
                <w:lang w:val="ro-RO" w:eastAsia="ro-RO"/>
              </w:rPr>
            </w:pPr>
            <w:r w:rsidRPr="006F66E1">
              <w:rPr>
                <w:rFonts w:ascii="Calibri" w:eastAsia="Times New Roman" w:hAnsi="Calibri" w:cs="Times New Roman"/>
                <w:b/>
                <w:bCs/>
                <w:color w:val="000000"/>
                <w:sz w:val="18"/>
                <w:szCs w:val="18"/>
                <w:lang w:val="ro-RO" w:eastAsia="ro-RO"/>
              </w:rPr>
              <w:t>Arie          [ha]</w:t>
            </w:r>
          </w:p>
        </w:tc>
        <w:tc>
          <w:tcPr>
            <w:tcW w:w="960" w:type="dxa"/>
            <w:vMerge w:val="restart"/>
            <w:tcBorders>
              <w:top w:val="single" w:sz="8" w:space="0" w:color="auto"/>
              <w:left w:val="single" w:sz="4" w:space="0" w:color="auto"/>
              <w:bottom w:val="single" w:sz="8" w:space="0" w:color="000000"/>
              <w:right w:val="single" w:sz="4" w:space="0" w:color="auto"/>
            </w:tcBorders>
            <w:shd w:val="clear" w:color="000000" w:fill="BFBFBF"/>
            <w:noWrap/>
            <w:vAlign w:val="center"/>
            <w:hideMark/>
          </w:tcPr>
          <w:p w14:paraId="39292F2B" w14:textId="77777777" w:rsidR="006F66E1" w:rsidRPr="006F66E1" w:rsidRDefault="006F66E1" w:rsidP="006F66E1">
            <w:pPr>
              <w:spacing w:after="0" w:line="240" w:lineRule="auto"/>
              <w:jc w:val="center"/>
              <w:rPr>
                <w:rFonts w:ascii="Calibri" w:eastAsia="Times New Roman" w:hAnsi="Calibri" w:cs="Times New Roman"/>
                <w:b/>
                <w:bCs/>
                <w:color w:val="000000"/>
                <w:sz w:val="18"/>
                <w:szCs w:val="18"/>
                <w:lang w:val="ro-RO" w:eastAsia="ro-RO"/>
              </w:rPr>
            </w:pPr>
            <w:r w:rsidRPr="006F66E1">
              <w:rPr>
                <w:rFonts w:ascii="Calibri" w:eastAsia="Times New Roman" w:hAnsi="Calibri" w:cs="Times New Roman"/>
                <w:b/>
                <w:bCs/>
                <w:color w:val="000000"/>
                <w:sz w:val="18"/>
                <w:szCs w:val="18"/>
                <w:lang w:val="ro-RO" w:eastAsia="ro-RO"/>
              </w:rPr>
              <w:t>loc / ha</w:t>
            </w:r>
          </w:p>
        </w:tc>
        <w:tc>
          <w:tcPr>
            <w:tcW w:w="760" w:type="dxa"/>
            <w:vMerge w:val="restart"/>
            <w:tcBorders>
              <w:top w:val="single" w:sz="8" w:space="0" w:color="auto"/>
              <w:left w:val="single" w:sz="4" w:space="0" w:color="auto"/>
              <w:bottom w:val="single" w:sz="8" w:space="0" w:color="000000"/>
              <w:right w:val="single" w:sz="4" w:space="0" w:color="auto"/>
            </w:tcBorders>
            <w:shd w:val="clear" w:color="000000" w:fill="BFBFBF"/>
            <w:noWrap/>
            <w:vAlign w:val="center"/>
            <w:hideMark/>
          </w:tcPr>
          <w:p w14:paraId="7C035D68" w14:textId="77777777" w:rsidR="006F66E1" w:rsidRPr="006F66E1" w:rsidRDefault="006F66E1" w:rsidP="006F66E1">
            <w:pPr>
              <w:spacing w:after="0" w:line="240" w:lineRule="auto"/>
              <w:jc w:val="center"/>
              <w:rPr>
                <w:rFonts w:ascii="Calibri" w:eastAsia="Times New Roman" w:hAnsi="Calibri" w:cs="Times New Roman"/>
                <w:b/>
                <w:bCs/>
                <w:color w:val="000000"/>
                <w:sz w:val="18"/>
                <w:szCs w:val="18"/>
                <w:lang w:val="ro-RO" w:eastAsia="ro-RO"/>
              </w:rPr>
            </w:pPr>
            <w:r w:rsidRPr="006F66E1">
              <w:rPr>
                <w:rFonts w:ascii="Calibri" w:eastAsia="Times New Roman" w:hAnsi="Calibri" w:cs="Times New Roman"/>
                <w:b/>
                <w:bCs/>
                <w:color w:val="000000"/>
                <w:sz w:val="18"/>
                <w:szCs w:val="18"/>
                <w:lang w:val="ro-RO" w:eastAsia="ro-RO"/>
              </w:rPr>
              <w:t>Ierarhie</w:t>
            </w:r>
          </w:p>
        </w:tc>
        <w:tc>
          <w:tcPr>
            <w:tcW w:w="1400" w:type="dxa"/>
            <w:gridSpan w:val="2"/>
            <w:tcBorders>
              <w:top w:val="single" w:sz="8" w:space="0" w:color="auto"/>
              <w:left w:val="nil"/>
              <w:bottom w:val="single" w:sz="4" w:space="0" w:color="auto"/>
              <w:right w:val="single" w:sz="4" w:space="0" w:color="auto"/>
            </w:tcBorders>
            <w:shd w:val="clear" w:color="000000" w:fill="BFBFBF"/>
            <w:noWrap/>
            <w:vAlign w:val="center"/>
            <w:hideMark/>
          </w:tcPr>
          <w:p w14:paraId="2823685A" w14:textId="77777777" w:rsidR="006F66E1" w:rsidRPr="006F66E1" w:rsidRDefault="006F66E1" w:rsidP="006F66E1">
            <w:pPr>
              <w:spacing w:after="0" w:line="240" w:lineRule="auto"/>
              <w:jc w:val="center"/>
              <w:rPr>
                <w:rFonts w:ascii="Calibri" w:eastAsia="Times New Roman" w:hAnsi="Calibri" w:cs="Times New Roman"/>
                <w:b/>
                <w:bCs/>
                <w:color w:val="000000"/>
                <w:sz w:val="18"/>
                <w:szCs w:val="18"/>
                <w:lang w:val="ro-RO" w:eastAsia="ro-RO"/>
              </w:rPr>
            </w:pPr>
            <w:r w:rsidRPr="006F66E1">
              <w:rPr>
                <w:rFonts w:ascii="Calibri" w:eastAsia="Times New Roman" w:hAnsi="Calibri" w:cs="Times New Roman"/>
                <w:b/>
                <w:bCs/>
                <w:color w:val="000000"/>
                <w:sz w:val="18"/>
                <w:szCs w:val="18"/>
                <w:lang w:val="ro-RO" w:eastAsia="ro-RO"/>
              </w:rPr>
              <w:t>Cartiere dense</w:t>
            </w:r>
          </w:p>
        </w:tc>
        <w:tc>
          <w:tcPr>
            <w:tcW w:w="1060" w:type="dxa"/>
            <w:vMerge w:val="restart"/>
            <w:tcBorders>
              <w:top w:val="single" w:sz="8" w:space="0" w:color="auto"/>
              <w:left w:val="single" w:sz="4" w:space="0" w:color="auto"/>
              <w:bottom w:val="single" w:sz="8" w:space="0" w:color="000000"/>
              <w:right w:val="single" w:sz="8" w:space="0" w:color="auto"/>
            </w:tcBorders>
            <w:shd w:val="clear" w:color="000000" w:fill="BFBFBF"/>
            <w:vAlign w:val="bottom"/>
            <w:hideMark/>
          </w:tcPr>
          <w:p w14:paraId="71670B0D" w14:textId="77777777" w:rsidR="006F66E1" w:rsidRPr="006F66E1" w:rsidRDefault="006F66E1" w:rsidP="006F66E1">
            <w:pPr>
              <w:spacing w:after="0" w:line="240" w:lineRule="auto"/>
              <w:jc w:val="center"/>
              <w:rPr>
                <w:rFonts w:ascii="Calibri" w:eastAsia="Times New Roman" w:hAnsi="Calibri" w:cs="Times New Roman"/>
                <w:b/>
                <w:bCs/>
                <w:color w:val="000000"/>
                <w:sz w:val="18"/>
                <w:szCs w:val="18"/>
                <w:lang w:val="ro-RO" w:eastAsia="ro-RO"/>
              </w:rPr>
            </w:pPr>
            <w:r w:rsidRPr="006F66E1">
              <w:rPr>
                <w:rFonts w:ascii="Calibri" w:eastAsia="Times New Roman" w:hAnsi="Calibri" w:cs="Times New Roman"/>
                <w:b/>
                <w:bCs/>
                <w:color w:val="000000"/>
                <w:sz w:val="18"/>
                <w:szCs w:val="18"/>
                <w:lang w:val="ro-RO" w:eastAsia="ro-RO"/>
              </w:rPr>
              <w:t>Cartiere lipsite de densitate</w:t>
            </w:r>
          </w:p>
        </w:tc>
      </w:tr>
      <w:tr w:rsidR="006F66E1" w:rsidRPr="006F66E1" w14:paraId="76CF3475" w14:textId="77777777" w:rsidTr="006F2DE6">
        <w:trPr>
          <w:trHeight w:val="495"/>
        </w:trPr>
        <w:tc>
          <w:tcPr>
            <w:tcW w:w="2560" w:type="dxa"/>
            <w:vMerge/>
            <w:tcBorders>
              <w:top w:val="single" w:sz="8" w:space="0" w:color="auto"/>
              <w:left w:val="single" w:sz="8" w:space="0" w:color="auto"/>
              <w:bottom w:val="single" w:sz="8" w:space="0" w:color="000000"/>
              <w:right w:val="single" w:sz="4" w:space="0" w:color="auto"/>
            </w:tcBorders>
            <w:vAlign w:val="center"/>
            <w:hideMark/>
          </w:tcPr>
          <w:p w14:paraId="770A2004" w14:textId="77777777" w:rsidR="006F66E1" w:rsidRPr="006F66E1" w:rsidRDefault="006F66E1" w:rsidP="006F66E1">
            <w:pPr>
              <w:spacing w:after="0" w:line="240" w:lineRule="auto"/>
              <w:rPr>
                <w:rFonts w:ascii="Calibri" w:eastAsia="Times New Roman" w:hAnsi="Calibri" w:cs="Times New Roman"/>
                <w:b/>
                <w:bCs/>
                <w:sz w:val="18"/>
                <w:szCs w:val="18"/>
                <w:lang w:val="ro-RO" w:eastAsia="ro-RO"/>
              </w:rPr>
            </w:pPr>
          </w:p>
        </w:tc>
        <w:tc>
          <w:tcPr>
            <w:tcW w:w="580" w:type="dxa"/>
            <w:vMerge/>
            <w:tcBorders>
              <w:top w:val="single" w:sz="8" w:space="0" w:color="auto"/>
              <w:left w:val="single" w:sz="4" w:space="0" w:color="auto"/>
              <w:bottom w:val="single" w:sz="8" w:space="0" w:color="000000"/>
              <w:right w:val="single" w:sz="4" w:space="0" w:color="auto"/>
            </w:tcBorders>
            <w:vAlign w:val="center"/>
            <w:hideMark/>
          </w:tcPr>
          <w:p w14:paraId="5A7B274C" w14:textId="77777777" w:rsidR="006F66E1" w:rsidRPr="006F66E1" w:rsidRDefault="006F66E1" w:rsidP="006F66E1">
            <w:pPr>
              <w:spacing w:after="0" w:line="240" w:lineRule="auto"/>
              <w:rPr>
                <w:rFonts w:ascii="Calibri" w:eastAsia="Times New Roman" w:hAnsi="Calibri" w:cs="Times New Roman"/>
                <w:b/>
                <w:bCs/>
                <w:color w:val="000000"/>
                <w:sz w:val="18"/>
                <w:szCs w:val="18"/>
                <w:lang w:val="ro-RO" w:eastAsia="ro-RO"/>
              </w:rPr>
            </w:pPr>
          </w:p>
        </w:tc>
        <w:tc>
          <w:tcPr>
            <w:tcW w:w="880" w:type="dxa"/>
            <w:vMerge/>
            <w:tcBorders>
              <w:top w:val="single" w:sz="8" w:space="0" w:color="auto"/>
              <w:left w:val="single" w:sz="4" w:space="0" w:color="auto"/>
              <w:bottom w:val="single" w:sz="8" w:space="0" w:color="000000"/>
              <w:right w:val="single" w:sz="4" w:space="0" w:color="auto"/>
            </w:tcBorders>
            <w:vAlign w:val="center"/>
            <w:hideMark/>
          </w:tcPr>
          <w:p w14:paraId="419F738A" w14:textId="77777777" w:rsidR="006F66E1" w:rsidRPr="006F66E1" w:rsidRDefault="006F66E1" w:rsidP="006F66E1">
            <w:pPr>
              <w:spacing w:after="0" w:line="240" w:lineRule="auto"/>
              <w:rPr>
                <w:rFonts w:ascii="Calibri" w:eastAsia="Times New Roman" w:hAnsi="Calibri" w:cs="Times New Roman"/>
                <w:b/>
                <w:bCs/>
                <w:color w:val="000000"/>
                <w:sz w:val="18"/>
                <w:szCs w:val="18"/>
                <w:lang w:val="ro-RO" w:eastAsia="ro-RO"/>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1D204250" w14:textId="77777777" w:rsidR="006F66E1" w:rsidRPr="006F66E1" w:rsidRDefault="006F66E1" w:rsidP="006F66E1">
            <w:pPr>
              <w:spacing w:after="0" w:line="240" w:lineRule="auto"/>
              <w:rPr>
                <w:rFonts w:ascii="Calibri" w:eastAsia="Times New Roman" w:hAnsi="Calibri" w:cs="Times New Roman"/>
                <w:b/>
                <w:bCs/>
                <w:color w:val="000000"/>
                <w:sz w:val="18"/>
                <w:szCs w:val="18"/>
                <w:lang w:val="ro-RO" w:eastAsia="ro-RO"/>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799CADFB" w14:textId="77777777" w:rsidR="006F66E1" w:rsidRPr="006F66E1" w:rsidRDefault="006F66E1" w:rsidP="006F66E1">
            <w:pPr>
              <w:spacing w:after="0" w:line="240" w:lineRule="auto"/>
              <w:rPr>
                <w:rFonts w:ascii="Calibri" w:eastAsia="Times New Roman" w:hAnsi="Calibri" w:cs="Times New Roman"/>
                <w:b/>
                <w:bCs/>
                <w:color w:val="000000"/>
                <w:sz w:val="18"/>
                <w:szCs w:val="18"/>
                <w:lang w:val="ro-RO" w:eastAsia="ro-RO"/>
              </w:rPr>
            </w:pPr>
          </w:p>
        </w:tc>
        <w:tc>
          <w:tcPr>
            <w:tcW w:w="760" w:type="dxa"/>
            <w:vMerge/>
            <w:tcBorders>
              <w:top w:val="single" w:sz="8" w:space="0" w:color="auto"/>
              <w:left w:val="single" w:sz="4" w:space="0" w:color="auto"/>
              <w:bottom w:val="single" w:sz="8" w:space="0" w:color="000000"/>
              <w:right w:val="single" w:sz="4" w:space="0" w:color="auto"/>
            </w:tcBorders>
            <w:vAlign w:val="center"/>
            <w:hideMark/>
          </w:tcPr>
          <w:p w14:paraId="0ACB7BDC" w14:textId="77777777" w:rsidR="006F66E1" w:rsidRPr="006F66E1" w:rsidRDefault="006F66E1" w:rsidP="006F66E1">
            <w:pPr>
              <w:spacing w:after="0" w:line="240" w:lineRule="auto"/>
              <w:rPr>
                <w:rFonts w:ascii="Calibri" w:eastAsia="Times New Roman" w:hAnsi="Calibri" w:cs="Times New Roman"/>
                <w:b/>
                <w:bCs/>
                <w:color w:val="000000"/>
                <w:sz w:val="18"/>
                <w:szCs w:val="18"/>
                <w:lang w:val="ro-RO" w:eastAsia="ro-RO"/>
              </w:rPr>
            </w:pPr>
          </w:p>
        </w:tc>
        <w:tc>
          <w:tcPr>
            <w:tcW w:w="680" w:type="dxa"/>
            <w:tcBorders>
              <w:top w:val="nil"/>
              <w:left w:val="nil"/>
              <w:bottom w:val="single" w:sz="8" w:space="0" w:color="auto"/>
              <w:right w:val="single" w:sz="4" w:space="0" w:color="auto"/>
            </w:tcBorders>
            <w:shd w:val="clear" w:color="000000" w:fill="BFBFBF"/>
            <w:vAlign w:val="center"/>
            <w:hideMark/>
          </w:tcPr>
          <w:p w14:paraId="3B5B5C32" w14:textId="77777777" w:rsidR="006F66E1" w:rsidRPr="006F66E1" w:rsidRDefault="006F66E1" w:rsidP="006F66E1">
            <w:pPr>
              <w:spacing w:after="0" w:line="240" w:lineRule="auto"/>
              <w:jc w:val="center"/>
              <w:rPr>
                <w:rFonts w:ascii="Calibri" w:eastAsia="Times New Roman" w:hAnsi="Calibri" w:cs="Times New Roman"/>
                <w:b/>
                <w:bCs/>
                <w:color w:val="000000"/>
                <w:sz w:val="18"/>
                <w:szCs w:val="18"/>
                <w:lang w:val="ro-RO" w:eastAsia="ro-RO"/>
              </w:rPr>
            </w:pPr>
            <w:r w:rsidRPr="006F66E1">
              <w:rPr>
                <w:rFonts w:ascii="Calibri" w:eastAsia="Times New Roman" w:hAnsi="Calibri" w:cs="Times New Roman"/>
                <w:b/>
                <w:bCs/>
                <w:color w:val="000000"/>
                <w:sz w:val="18"/>
                <w:szCs w:val="18"/>
                <w:lang w:val="ro-RO" w:eastAsia="ro-RO"/>
              </w:rPr>
              <w:t>prima serie</w:t>
            </w:r>
          </w:p>
        </w:tc>
        <w:tc>
          <w:tcPr>
            <w:tcW w:w="720" w:type="dxa"/>
            <w:tcBorders>
              <w:top w:val="nil"/>
              <w:left w:val="nil"/>
              <w:bottom w:val="single" w:sz="8" w:space="0" w:color="auto"/>
              <w:right w:val="single" w:sz="4" w:space="0" w:color="auto"/>
            </w:tcBorders>
            <w:shd w:val="clear" w:color="000000" w:fill="BFBFBF"/>
            <w:vAlign w:val="center"/>
            <w:hideMark/>
          </w:tcPr>
          <w:p w14:paraId="3AECC9A0" w14:textId="77777777" w:rsidR="006F66E1" w:rsidRPr="006F66E1" w:rsidRDefault="006F66E1" w:rsidP="006F66E1">
            <w:pPr>
              <w:spacing w:after="0" w:line="240" w:lineRule="auto"/>
              <w:jc w:val="center"/>
              <w:rPr>
                <w:rFonts w:ascii="Calibri" w:eastAsia="Times New Roman" w:hAnsi="Calibri" w:cs="Times New Roman"/>
                <w:b/>
                <w:bCs/>
                <w:color w:val="000000"/>
                <w:sz w:val="18"/>
                <w:szCs w:val="18"/>
                <w:lang w:val="ro-RO" w:eastAsia="ro-RO"/>
              </w:rPr>
            </w:pPr>
            <w:r w:rsidRPr="006F66E1">
              <w:rPr>
                <w:rFonts w:ascii="Calibri" w:eastAsia="Times New Roman" w:hAnsi="Calibri" w:cs="Times New Roman"/>
                <w:b/>
                <w:bCs/>
                <w:color w:val="000000"/>
                <w:sz w:val="18"/>
                <w:szCs w:val="18"/>
                <w:lang w:val="ro-RO" w:eastAsia="ro-RO"/>
              </w:rPr>
              <w:t>a doua serie</w:t>
            </w:r>
          </w:p>
        </w:tc>
        <w:tc>
          <w:tcPr>
            <w:tcW w:w="1060" w:type="dxa"/>
            <w:vMerge/>
            <w:tcBorders>
              <w:top w:val="single" w:sz="8" w:space="0" w:color="auto"/>
              <w:left w:val="single" w:sz="4" w:space="0" w:color="auto"/>
              <w:bottom w:val="single" w:sz="8" w:space="0" w:color="000000"/>
              <w:right w:val="single" w:sz="8" w:space="0" w:color="auto"/>
            </w:tcBorders>
            <w:vAlign w:val="center"/>
            <w:hideMark/>
          </w:tcPr>
          <w:p w14:paraId="28FFC256" w14:textId="77777777" w:rsidR="006F66E1" w:rsidRPr="006F66E1" w:rsidRDefault="006F66E1" w:rsidP="006F66E1">
            <w:pPr>
              <w:spacing w:after="0" w:line="240" w:lineRule="auto"/>
              <w:rPr>
                <w:rFonts w:ascii="Calibri" w:eastAsia="Times New Roman" w:hAnsi="Calibri" w:cs="Times New Roman"/>
                <w:b/>
                <w:bCs/>
                <w:color w:val="000000"/>
                <w:sz w:val="18"/>
                <w:szCs w:val="18"/>
                <w:lang w:val="ro-RO" w:eastAsia="ro-RO"/>
              </w:rPr>
            </w:pPr>
          </w:p>
        </w:tc>
      </w:tr>
      <w:tr w:rsidR="006F66E1" w:rsidRPr="006F66E1" w14:paraId="051FCEF1"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061C56D5"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Centru - DN</w:t>
            </w:r>
          </w:p>
        </w:tc>
        <w:tc>
          <w:tcPr>
            <w:tcW w:w="580" w:type="dxa"/>
            <w:tcBorders>
              <w:top w:val="nil"/>
              <w:left w:val="nil"/>
              <w:bottom w:val="single" w:sz="4" w:space="0" w:color="auto"/>
              <w:right w:val="single" w:sz="4" w:space="0" w:color="auto"/>
            </w:tcBorders>
            <w:shd w:val="clear" w:color="auto" w:fill="auto"/>
            <w:noWrap/>
            <w:vAlign w:val="center"/>
            <w:hideMark/>
          </w:tcPr>
          <w:p w14:paraId="083BD344"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w:t>
            </w:r>
          </w:p>
        </w:tc>
        <w:tc>
          <w:tcPr>
            <w:tcW w:w="880" w:type="dxa"/>
            <w:tcBorders>
              <w:top w:val="nil"/>
              <w:left w:val="nil"/>
              <w:bottom w:val="single" w:sz="4" w:space="0" w:color="auto"/>
              <w:right w:val="single" w:sz="4" w:space="0" w:color="auto"/>
            </w:tcBorders>
            <w:shd w:val="clear" w:color="auto" w:fill="auto"/>
            <w:noWrap/>
            <w:vAlign w:val="center"/>
            <w:hideMark/>
          </w:tcPr>
          <w:p w14:paraId="7A249FC8"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1389</w:t>
            </w:r>
          </w:p>
        </w:tc>
        <w:tc>
          <w:tcPr>
            <w:tcW w:w="960" w:type="dxa"/>
            <w:tcBorders>
              <w:top w:val="nil"/>
              <w:left w:val="nil"/>
              <w:bottom w:val="single" w:sz="4" w:space="0" w:color="auto"/>
              <w:right w:val="single" w:sz="4" w:space="0" w:color="auto"/>
            </w:tcBorders>
            <w:shd w:val="clear" w:color="auto" w:fill="auto"/>
            <w:noWrap/>
            <w:vAlign w:val="center"/>
            <w:hideMark/>
          </w:tcPr>
          <w:p w14:paraId="6A12B1D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17,181387</w:t>
            </w:r>
          </w:p>
        </w:tc>
        <w:tc>
          <w:tcPr>
            <w:tcW w:w="960" w:type="dxa"/>
            <w:tcBorders>
              <w:top w:val="nil"/>
              <w:left w:val="nil"/>
              <w:bottom w:val="single" w:sz="4" w:space="0" w:color="auto"/>
              <w:right w:val="single" w:sz="4" w:space="0" w:color="auto"/>
            </w:tcBorders>
            <w:shd w:val="clear" w:color="auto" w:fill="auto"/>
            <w:noWrap/>
            <w:vAlign w:val="center"/>
            <w:hideMark/>
          </w:tcPr>
          <w:p w14:paraId="6A3C89FF"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80,843298</w:t>
            </w:r>
          </w:p>
        </w:tc>
        <w:tc>
          <w:tcPr>
            <w:tcW w:w="760" w:type="dxa"/>
            <w:tcBorders>
              <w:top w:val="nil"/>
              <w:left w:val="nil"/>
              <w:bottom w:val="single" w:sz="4" w:space="0" w:color="auto"/>
              <w:right w:val="single" w:sz="4" w:space="0" w:color="auto"/>
            </w:tcBorders>
            <w:shd w:val="clear" w:color="auto" w:fill="auto"/>
            <w:noWrap/>
            <w:vAlign w:val="center"/>
            <w:hideMark/>
          </w:tcPr>
          <w:p w14:paraId="2F86EB22"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w:t>
            </w:r>
          </w:p>
        </w:tc>
        <w:tc>
          <w:tcPr>
            <w:tcW w:w="680" w:type="dxa"/>
            <w:tcBorders>
              <w:top w:val="nil"/>
              <w:left w:val="nil"/>
              <w:bottom w:val="single" w:sz="4" w:space="0" w:color="auto"/>
              <w:right w:val="single" w:sz="4" w:space="0" w:color="auto"/>
            </w:tcBorders>
            <w:shd w:val="clear" w:color="000000" w:fill="92D050"/>
            <w:noWrap/>
            <w:vAlign w:val="center"/>
            <w:hideMark/>
          </w:tcPr>
          <w:p w14:paraId="65F7359D"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57D0C61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7F4B4194"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64D9F3D1"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3052B6EA"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Tănăsești</w:t>
            </w:r>
          </w:p>
        </w:tc>
        <w:tc>
          <w:tcPr>
            <w:tcW w:w="580" w:type="dxa"/>
            <w:tcBorders>
              <w:top w:val="nil"/>
              <w:left w:val="nil"/>
              <w:bottom w:val="single" w:sz="4" w:space="0" w:color="auto"/>
              <w:right w:val="single" w:sz="4" w:space="0" w:color="auto"/>
            </w:tcBorders>
            <w:shd w:val="clear" w:color="auto" w:fill="auto"/>
            <w:noWrap/>
            <w:vAlign w:val="center"/>
            <w:hideMark/>
          </w:tcPr>
          <w:p w14:paraId="703FEDCC"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w:t>
            </w:r>
          </w:p>
        </w:tc>
        <w:tc>
          <w:tcPr>
            <w:tcW w:w="880" w:type="dxa"/>
            <w:tcBorders>
              <w:top w:val="nil"/>
              <w:left w:val="nil"/>
              <w:bottom w:val="single" w:sz="4" w:space="0" w:color="auto"/>
              <w:right w:val="single" w:sz="4" w:space="0" w:color="auto"/>
            </w:tcBorders>
            <w:shd w:val="clear" w:color="auto" w:fill="auto"/>
            <w:noWrap/>
            <w:vAlign w:val="center"/>
            <w:hideMark/>
          </w:tcPr>
          <w:p w14:paraId="5F928D3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188</w:t>
            </w:r>
          </w:p>
        </w:tc>
        <w:tc>
          <w:tcPr>
            <w:tcW w:w="960" w:type="dxa"/>
            <w:tcBorders>
              <w:top w:val="nil"/>
              <w:left w:val="nil"/>
              <w:bottom w:val="single" w:sz="4" w:space="0" w:color="auto"/>
              <w:right w:val="single" w:sz="4" w:space="0" w:color="auto"/>
            </w:tcBorders>
            <w:shd w:val="clear" w:color="auto" w:fill="auto"/>
            <w:noWrap/>
            <w:vAlign w:val="center"/>
            <w:hideMark/>
          </w:tcPr>
          <w:p w14:paraId="143F61CD"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984,43481</w:t>
            </w:r>
          </w:p>
        </w:tc>
        <w:tc>
          <w:tcPr>
            <w:tcW w:w="960" w:type="dxa"/>
            <w:tcBorders>
              <w:top w:val="nil"/>
              <w:left w:val="nil"/>
              <w:bottom w:val="single" w:sz="4" w:space="0" w:color="auto"/>
              <w:right w:val="single" w:sz="4" w:space="0" w:color="auto"/>
            </w:tcBorders>
            <w:shd w:val="clear" w:color="auto" w:fill="auto"/>
            <w:noWrap/>
            <w:vAlign w:val="center"/>
            <w:hideMark/>
          </w:tcPr>
          <w:p w14:paraId="5E97B682"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0,1909725</w:t>
            </w:r>
          </w:p>
        </w:tc>
        <w:tc>
          <w:tcPr>
            <w:tcW w:w="760" w:type="dxa"/>
            <w:tcBorders>
              <w:top w:val="nil"/>
              <w:left w:val="nil"/>
              <w:bottom w:val="single" w:sz="4" w:space="0" w:color="auto"/>
              <w:right w:val="single" w:sz="4" w:space="0" w:color="auto"/>
            </w:tcBorders>
            <w:shd w:val="clear" w:color="auto" w:fill="auto"/>
            <w:noWrap/>
            <w:vAlign w:val="center"/>
            <w:hideMark/>
          </w:tcPr>
          <w:p w14:paraId="7D418C8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15</w:t>
            </w:r>
          </w:p>
        </w:tc>
        <w:tc>
          <w:tcPr>
            <w:tcW w:w="680" w:type="dxa"/>
            <w:tcBorders>
              <w:top w:val="nil"/>
              <w:left w:val="nil"/>
              <w:bottom w:val="single" w:sz="4" w:space="0" w:color="auto"/>
              <w:right w:val="single" w:sz="4" w:space="0" w:color="auto"/>
            </w:tcBorders>
            <w:shd w:val="clear" w:color="auto" w:fill="auto"/>
            <w:noWrap/>
            <w:vAlign w:val="center"/>
            <w:hideMark/>
          </w:tcPr>
          <w:p w14:paraId="56B978E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245F153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000000" w:fill="FF0000"/>
            <w:noWrap/>
            <w:vAlign w:val="center"/>
            <w:hideMark/>
          </w:tcPr>
          <w:p w14:paraId="6EBD079D" w14:textId="77777777" w:rsidR="006F66E1" w:rsidRPr="006F66E1" w:rsidRDefault="006F66E1" w:rsidP="006F66E1">
            <w:pPr>
              <w:spacing w:after="0" w:line="240" w:lineRule="auto"/>
              <w:jc w:val="center"/>
              <w:rPr>
                <w:rFonts w:ascii="Calibri" w:eastAsia="Times New Roman" w:hAnsi="Calibri" w:cs="Times New Roman"/>
                <w:color w:val="000000"/>
                <w:sz w:val="16"/>
                <w:szCs w:val="16"/>
                <w:lang w:val="ro-RO" w:eastAsia="ro-RO"/>
              </w:rPr>
            </w:pPr>
            <w:r w:rsidRPr="006F66E1">
              <w:rPr>
                <w:rFonts w:ascii="Calibri" w:eastAsia="Times New Roman" w:hAnsi="Calibri" w:cs="Times New Roman"/>
                <w:color w:val="000000"/>
                <w:sz w:val="16"/>
                <w:szCs w:val="16"/>
                <w:lang w:val="ro-RO" w:eastAsia="ro-RO"/>
              </w:rPr>
              <w:t>antepenultim</w:t>
            </w:r>
          </w:p>
        </w:tc>
      </w:tr>
      <w:tr w:rsidR="006F66E1" w:rsidRPr="006F66E1" w14:paraId="1F6A6133"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186B746A"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Urșani</w:t>
            </w:r>
          </w:p>
        </w:tc>
        <w:tc>
          <w:tcPr>
            <w:tcW w:w="580" w:type="dxa"/>
            <w:tcBorders>
              <w:top w:val="nil"/>
              <w:left w:val="nil"/>
              <w:bottom w:val="single" w:sz="4" w:space="0" w:color="auto"/>
              <w:right w:val="single" w:sz="4" w:space="0" w:color="auto"/>
            </w:tcBorders>
            <w:shd w:val="clear" w:color="auto" w:fill="auto"/>
            <w:noWrap/>
            <w:vAlign w:val="center"/>
            <w:hideMark/>
          </w:tcPr>
          <w:p w14:paraId="6D5DD807"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3</w:t>
            </w:r>
          </w:p>
        </w:tc>
        <w:tc>
          <w:tcPr>
            <w:tcW w:w="880" w:type="dxa"/>
            <w:tcBorders>
              <w:top w:val="nil"/>
              <w:left w:val="nil"/>
              <w:bottom w:val="single" w:sz="4" w:space="0" w:color="auto"/>
              <w:right w:val="single" w:sz="4" w:space="0" w:color="auto"/>
            </w:tcBorders>
            <w:shd w:val="clear" w:color="auto" w:fill="auto"/>
            <w:noWrap/>
            <w:vAlign w:val="center"/>
            <w:hideMark/>
          </w:tcPr>
          <w:p w14:paraId="4435765C"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466</w:t>
            </w:r>
          </w:p>
        </w:tc>
        <w:tc>
          <w:tcPr>
            <w:tcW w:w="960" w:type="dxa"/>
            <w:tcBorders>
              <w:top w:val="nil"/>
              <w:left w:val="nil"/>
              <w:bottom w:val="single" w:sz="4" w:space="0" w:color="auto"/>
              <w:right w:val="single" w:sz="4" w:space="0" w:color="auto"/>
            </w:tcBorders>
            <w:shd w:val="clear" w:color="auto" w:fill="auto"/>
            <w:noWrap/>
            <w:vAlign w:val="center"/>
            <w:hideMark/>
          </w:tcPr>
          <w:p w14:paraId="520A7DF7"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1045,3246</w:t>
            </w:r>
          </w:p>
        </w:tc>
        <w:tc>
          <w:tcPr>
            <w:tcW w:w="960" w:type="dxa"/>
            <w:tcBorders>
              <w:top w:val="nil"/>
              <w:left w:val="nil"/>
              <w:bottom w:val="single" w:sz="4" w:space="0" w:color="auto"/>
              <w:right w:val="single" w:sz="4" w:space="0" w:color="auto"/>
            </w:tcBorders>
            <w:shd w:val="clear" w:color="auto" w:fill="auto"/>
            <w:noWrap/>
            <w:vAlign w:val="center"/>
            <w:hideMark/>
          </w:tcPr>
          <w:p w14:paraId="778F3EB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0,4457945</w:t>
            </w:r>
          </w:p>
        </w:tc>
        <w:tc>
          <w:tcPr>
            <w:tcW w:w="760" w:type="dxa"/>
            <w:tcBorders>
              <w:top w:val="nil"/>
              <w:left w:val="nil"/>
              <w:bottom w:val="single" w:sz="4" w:space="0" w:color="auto"/>
              <w:right w:val="single" w:sz="4" w:space="0" w:color="auto"/>
            </w:tcBorders>
            <w:shd w:val="clear" w:color="auto" w:fill="auto"/>
            <w:noWrap/>
            <w:vAlign w:val="center"/>
            <w:hideMark/>
          </w:tcPr>
          <w:p w14:paraId="4D654E4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14</w:t>
            </w:r>
          </w:p>
        </w:tc>
        <w:tc>
          <w:tcPr>
            <w:tcW w:w="680" w:type="dxa"/>
            <w:tcBorders>
              <w:top w:val="nil"/>
              <w:left w:val="nil"/>
              <w:bottom w:val="single" w:sz="4" w:space="0" w:color="auto"/>
              <w:right w:val="single" w:sz="4" w:space="0" w:color="auto"/>
            </w:tcBorders>
            <w:shd w:val="clear" w:color="auto" w:fill="auto"/>
            <w:noWrap/>
            <w:vAlign w:val="center"/>
            <w:hideMark/>
          </w:tcPr>
          <w:p w14:paraId="4279511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4327A708"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633FBE0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6C594DAE"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4F1F93A7"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Ifrimești</w:t>
            </w:r>
          </w:p>
        </w:tc>
        <w:tc>
          <w:tcPr>
            <w:tcW w:w="580" w:type="dxa"/>
            <w:tcBorders>
              <w:top w:val="nil"/>
              <w:left w:val="nil"/>
              <w:bottom w:val="single" w:sz="4" w:space="0" w:color="auto"/>
              <w:right w:val="single" w:sz="4" w:space="0" w:color="auto"/>
            </w:tcBorders>
            <w:shd w:val="clear" w:color="auto" w:fill="auto"/>
            <w:noWrap/>
            <w:vAlign w:val="center"/>
            <w:hideMark/>
          </w:tcPr>
          <w:p w14:paraId="09705B5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4</w:t>
            </w:r>
          </w:p>
        </w:tc>
        <w:tc>
          <w:tcPr>
            <w:tcW w:w="880" w:type="dxa"/>
            <w:tcBorders>
              <w:top w:val="nil"/>
              <w:left w:val="nil"/>
              <w:bottom w:val="single" w:sz="4" w:space="0" w:color="auto"/>
              <w:right w:val="single" w:sz="4" w:space="0" w:color="auto"/>
            </w:tcBorders>
            <w:shd w:val="clear" w:color="auto" w:fill="auto"/>
            <w:noWrap/>
            <w:vAlign w:val="center"/>
            <w:hideMark/>
          </w:tcPr>
          <w:p w14:paraId="366DD5A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189</w:t>
            </w:r>
          </w:p>
        </w:tc>
        <w:tc>
          <w:tcPr>
            <w:tcW w:w="960" w:type="dxa"/>
            <w:tcBorders>
              <w:top w:val="nil"/>
              <w:left w:val="nil"/>
              <w:bottom w:val="single" w:sz="4" w:space="0" w:color="auto"/>
              <w:right w:val="single" w:sz="4" w:space="0" w:color="auto"/>
            </w:tcBorders>
            <w:shd w:val="clear" w:color="auto" w:fill="auto"/>
            <w:noWrap/>
            <w:vAlign w:val="center"/>
            <w:hideMark/>
          </w:tcPr>
          <w:p w14:paraId="2EA948F9"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1502,7045</w:t>
            </w:r>
          </w:p>
        </w:tc>
        <w:tc>
          <w:tcPr>
            <w:tcW w:w="960" w:type="dxa"/>
            <w:tcBorders>
              <w:top w:val="nil"/>
              <w:left w:val="nil"/>
              <w:bottom w:val="single" w:sz="4" w:space="0" w:color="auto"/>
              <w:right w:val="single" w:sz="4" w:space="0" w:color="auto"/>
            </w:tcBorders>
            <w:shd w:val="clear" w:color="auto" w:fill="auto"/>
            <w:noWrap/>
            <w:vAlign w:val="center"/>
            <w:hideMark/>
          </w:tcPr>
          <w:p w14:paraId="2F6136E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0,1257732</w:t>
            </w:r>
          </w:p>
        </w:tc>
        <w:tc>
          <w:tcPr>
            <w:tcW w:w="760" w:type="dxa"/>
            <w:tcBorders>
              <w:top w:val="nil"/>
              <w:left w:val="nil"/>
              <w:bottom w:val="single" w:sz="4" w:space="0" w:color="auto"/>
              <w:right w:val="single" w:sz="4" w:space="0" w:color="auto"/>
            </w:tcBorders>
            <w:shd w:val="clear" w:color="auto" w:fill="auto"/>
            <w:noWrap/>
            <w:vAlign w:val="center"/>
            <w:hideMark/>
          </w:tcPr>
          <w:p w14:paraId="3F82EE9D"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17</w:t>
            </w:r>
          </w:p>
        </w:tc>
        <w:tc>
          <w:tcPr>
            <w:tcW w:w="680" w:type="dxa"/>
            <w:tcBorders>
              <w:top w:val="nil"/>
              <w:left w:val="nil"/>
              <w:bottom w:val="single" w:sz="4" w:space="0" w:color="auto"/>
              <w:right w:val="single" w:sz="4" w:space="0" w:color="auto"/>
            </w:tcBorders>
            <w:shd w:val="clear" w:color="auto" w:fill="auto"/>
            <w:noWrap/>
            <w:vAlign w:val="center"/>
            <w:hideMark/>
          </w:tcPr>
          <w:p w14:paraId="1D08E29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78E88CD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000000" w:fill="FF0000"/>
            <w:noWrap/>
            <w:vAlign w:val="center"/>
            <w:hideMark/>
          </w:tcPr>
          <w:p w14:paraId="0C7129B2"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ultim</w:t>
            </w:r>
          </w:p>
        </w:tc>
      </w:tr>
      <w:tr w:rsidR="006F66E1" w:rsidRPr="006F66E1" w14:paraId="481F754D"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3905F902"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Râmești</w:t>
            </w:r>
          </w:p>
        </w:tc>
        <w:tc>
          <w:tcPr>
            <w:tcW w:w="580" w:type="dxa"/>
            <w:tcBorders>
              <w:top w:val="nil"/>
              <w:left w:val="nil"/>
              <w:bottom w:val="single" w:sz="4" w:space="0" w:color="auto"/>
              <w:right w:val="single" w:sz="4" w:space="0" w:color="auto"/>
            </w:tcBorders>
            <w:shd w:val="clear" w:color="auto" w:fill="auto"/>
            <w:noWrap/>
            <w:vAlign w:val="center"/>
            <w:hideMark/>
          </w:tcPr>
          <w:p w14:paraId="352E91AD"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5</w:t>
            </w:r>
          </w:p>
        </w:tc>
        <w:tc>
          <w:tcPr>
            <w:tcW w:w="880" w:type="dxa"/>
            <w:tcBorders>
              <w:top w:val="nil"/>
              <w:left w:val="nil"/>
              <w:bottom w:val="single" w:sz="4" w:space="0" w:color="auto"/>
              <w:right w:val="single" w:sz="4" w:space="0" w:color="auto"/>
            </w:tcBorders>
            <w:shd w:val="clear" w:color="auto" w:fill="auto"/>
            <w:noWrap/>
            <w:vAlign w:val="center"/>
            <w:hideMark/>
          </w:tcPr>
          <w:p w14:paraId="56976C6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276</w:t>
            </w:r>
          </w:p>
        </w:tc>
        <w:tc>
          <w:tcPr>
            <w:tcW w:w="960" w:type="dxa"/>
            <w:tcBorders>
              <w:top w:val="nil"/>
              <w:left w:val="nil"/>
              <w:bottom w:val="single" w:sz="4" w:space="0" w:color="auto"/>
              <w:right w:val="single" w:sz="4" w:space="0" w:color="auto"/>
            </w:tcBorders>
            <w:shd w:val="clear" w:color="auto" w:fill="auto"/>
            <w:noWrap/>
            <w:vAlign w:val="center"/>
            <w:hideMark/>
          </w:tcPr>
          <w:p w14:paraId="0A272528"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307,53174</w:t>
            </w:r>
          </w:p>
        </w:tc>
        <w:tc>
          <w:tcPr>
            <w:tcW w:w="960" w:type="dxa"/>
            <w:tcBorders>
              <w:top w:val="nil"/>
              <w:left w:val="nil"/>
              <w:bottom w:val="single" w:sz="4" w:space="0" w:color="auto"/>
              <w:right w:val="single" w:sz="4" w:space="0" w:color="auto"/>
            </w:tcBorders>
            <w:shd w:val="clear" w:color="auto" w:fill="auto"/>
            <w:noWrap/>
            <w:vAlign w:val="center"/>
            <w:hideMark/>
          </w:tcPr>
          <w:p w14:paraId="1AC932A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0,8974683</w:t>
            </w:r>
          </w:p>
        </w:tc>
        <w:tc>
          <w:tcPr>
            <w:tcW w:w="760" w:type="dxa"/>
            <w:tcBorders>
              <w:top w:val="nil"/>
              <w:left w:val="nil"/>
              <w:bottom w:val="single" w:sz="4" w:space="0" w:color="auto"/>
              <w:right w:val="single" w:sz="4" w:space="0" w:color="auto"/>
            </w:tcBorders>
            <w:shd w:val="clear" w:color="auto" w:fill="auto"/>
            <w:noWrap/>
            <w:vAlign w:val="center"/>
            <w:hideMark/>
          </w:tcPr>
          <w:p w14:paraId="33A99A5F"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10</w:t>
            </w:r>
          </w:p>
        </w:tc>
        <w:tc>
          <w:tcPr>
            <w:tcW w:w="680" w:type="dxa"/>
            <w:tcBorders>
              <w:top w:val="nil"/>
              <w:left w:val="nil"/>
              <w:bottom w:val="single" w:sz="4" w:space="0" w:color="auto"/>
              <w:right w:val="single" w:sz="4" w:space="0" w:color="auto"/>
            </w:tcBorders>
            <w:shd w:val="clear" w:color="auto" w:fill="auto"/>
            <w:noWrap/>
            <w:vAlign w:val="center"/>
            <w:hideMark/>
          </w:tcPr>
          <w:p w14:paraId="0C93F699"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2367F505"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662F857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74B4CE2C"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79E3F3B8"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Romanii de Sus</w:t>
            </w:r>
          </w:p>
        </w:tc>
        <w:tc>
          <w:tcPr>
            <w:tcW w:w="580" w:type="dxa"/>
            <w:tcBorders>
              <w:top w:val="nil"/>
              <w:left w:val="nil"/>
              <w:bottom w:val="single" w:sz="4" w:space="0" w:color="auto"/>
              <w:right w:val="single" w:sz="4" w:space="0" w:color="auto"/>
            </w:tcBorders>
            <w:shd w:val="clear" w:color="auto" w:fill="auto"/>
            <w:noWrap/>
            <w:vAlign w:val="center"/>
            <w:hideMark/>
          </w:tcPr>
          <w:p w14:paraId="3909D78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6</w:t>
            </w:r>
          </w:p>
        </w:tc>
        <w:tc>
          <w:tcPr>
            <w:tcW w:w="880" w:type="dxa"/>
            <w:tcBorders>
              <w:top w:val="nil"/>
              <w:left w:val="nil"/>
              <w:bottom w:val="single" w:sz="4" w:space="0" w:color="auto"/>
              <w:right w:val="single" w:sz="4" w:space="0" w:color="auto"/>
            </w:tcBorders>
            <w:shd w:val="clear" w:color="auto" w:fill="auto"/>
            <w:noWrap/>
            <w:vAlign w:val="center"/>
            <w:hideMark/>
          </w:tcPr>
          <w:p w14:paraId="499D148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985</w:t>
            </w:r>
          </w:p>
        </w:tc>
        <w:tc>
          <w:tcPr>
            <w:tcW w:w="960" w:type="dxa"/>
            <w:tcBorders>
              <w:top w:val="nil"/>
              <w:left w:val="nil"/>
              <w:bottom w:val="single" w:sz="4" w:space="0" w:color="auto"/>
              <w:right w:val="single" w:sz="4" w:space="0" w:color="auto"/>
            </w:tcBorders>
            <w:shd w:val="clear" w:color="auto" w:fill="auto"/>
            <w:noWrap/>
            <w:vAlign w:val="center"/>
            <w:hideMark/>
          </w:tcPr>
          <w:p w14:paraId="2A286BE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5726,7955</w:t>
            </w:r>
          </w:p>
        </w:tc>
        <w:tc>
          <w:tcPr>
            <w:tcW w:w="960" w:type="dxa"/>
            <w:tcBorders>
              <w:top w:val="nil"/>
              <w:left w:val="nil"/>
              <w:bottom w:val="single" w:sz="4" w:space="0" w:color="auto"/>
              <w:right w:val="single" w:sz="4" w:space="0" w:color="auto"/>
            </w:tcBorders>
            <w:shd w:val="clear" w:color="auto" w:fill="auto"/>
            <w:noWrap/>
            <w:vAlign w:val="center"/>
            <w:hideMark/>
          </w:tcPr>
          <w:p w14:paraId="6BBFA0D4"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0,1719985</w:t>
            </w:r>
          </w:p>
        </w:tc>
        <w:tc>
          <w:tcPr>
            <w:tcW w:w="760" w:type="dxa"/>
            <w:tcBorders>
              <w:top w:val="nil"/>
              <w:left w:val="nil"/>
              <w:bottom w:val="single" w:sz="4" w:space="0" w:color="auto"/>
              <w:right w:val="single" w:sz="4" w:space="0" w:color="auto"/>
            </w:tcBorders>
            <w:shd w:val="clear" w:color="auto" w:fill="auto"/>
            <w:noWrap/>
            <w:vAlign w:val="center"/>
            <w:hideMark/>
          </w:tcPr>
          <w:p w14:paraId="3189DC27"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16</w:t>
            </w:r>
          </w:p>
        </w:tc>
        <w:tc>
          <w:tcPr>
            <w:tcW w:w="680" w:type="dxa"/>
            <w:tcBorders>
              <w:top w:val="nil"/>
              <w:left w:val="nil"/>
              <w:bottom w:val="single" w:sz="4" w:space="0" w:color="auto"/>
              <w:right w:val="single" w:sz="4" w:space="0" w:color="auto"/>
            </w:tcBorders>
            <w:shd w:val="clear" w:color="auto" w:fill="auto"/>
            <w:noWrap/>
            <w:vAlign w:val="center"/>
            <w:hideMark/>
          </w:tcPr>
          <w:p w14:paraId="10CF96D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06D990D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000000" w:fill="FF0000"/>
            <w:noWrap/>
            <w:vAlign w:val="center"/>
            <w:hideMark/>
          </w:tcPr>
          <w:p w14:paraId="639560F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penultim</w:t>
            </w:r>
          </w:p>
        </w:tc>
      </w:tr>
      <w:tr w:rsidR="006F66E1" w:rsidRPr="006F66E1" w14:paraId="61E184AD"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575658E8"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Romanii de Jos</w:t>
            </w:r>
          </w:p>
        </w:tc>
        <w:tc>
          <w:tcPr>
            <w:tcW w:w="580" w:type="dxa"/>
            <w:tcBorders>
              <w:top w:val="nil"/>
              <w:left w:val="nil"/>
              <w:bottom w:val="single" w:sz="4" w:space="0" w:color="auto"/>
              <w:right w:val="single" w:sz="4" w:space="0" w:color="auto"/>
            </w:tcBorders>
            <w:shd w:val="clear" w:color="auto" w:fill="auto"/>
            <w:noWrap/>
            <w:vAlign w:val="center"/>
            <w:hideMark/>
          </w:tcPr>
          <w:p w14:paraId="269D9DE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7</w:t>
            </w:r>
          </w:p>
        </w:tc>
        <w:tc>
          <w:tcPr>
            <w:tcW w:w="880" w:type="dxa"/>
            <w:tcBorders>
              <w:top w:val="nil"/>
              <w:left w:val="nil"/>
              <w:bottom w:val="single" w:sz="4" w:space="0" w:color="auto"/>
              <w:right w:val="single" w:sz="4" w:space="0" w:color="auto"/>
            </w:tcBorders>
            <w:shd w:val="clear" w:color="auto" w:fill="auto"/>
            <w:noWrap/>
            <w:vAlign w:val="center"/>
            <w:hideMark/>
          </w:tcPr>
          <w:p w14:paraId="07BFE77D"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752</w:t>
            </w:r>
          </w:p>
        </w:tc>
        <w:tc>
          <w:tcPr>
            <w:tcW w:w="960" w:type="dxa"/>
            <w:tcBorders>
              <w:top w:val="nil"/>
              <w:left w:val="nil"/>
              <w:bottom w:val="single" w:sz="4" w:space="0" w:color="auto"/>
              <w:right w:val="single" w:sz="4" w:space="0" w:color="auto"/>
            </w:tcBorders>
            <w:shd w:val="clear" w:color="auto" w:fill="auto"/>
            <w:noWrap/>
            <w:vAlign w:val="center"/>
            <w:hideMark/>
          </w:tcPr>
          <w:p w14:paraId="682052D7"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626,95088</w:t>
            </w:r>
          </w:p>
        </w:tc>
        <w:tc>
          <w:tcPr>
            <w:tcW w:w="960" w:type="dxa"/>
            <w:tcBorders>
              <w:top w:val="nil"/>
              <w:left w:val="nil"/>
              <w:bottom w:val="single" w:sz="4" w:space="0" w:color="auto"/>
              <w:right w:val="single" w:sz="4" w:space="0" w:color="auto"/>
            </w:tcBorders>
            <w:shd w:val="clear" w:color="auto" w:fill="auto"/>
            <w:noWrap/>
            <w:vAlign w:val="center"/>
            <w:hideMark/>
          </w:tcPr>
          <w:p w14:paraId="3B16F74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1,199456</w:t>
            </w:r>
          </w:p>
        </w:tc>
        <w:tc>
          <w:tcPr>
            <w:tcW w:w="760" w:type="dxa"/>
            <w:tcBorders>
              <w:top w:val="nil"/>
              <w:left w:val="nil"/>
              <w:bottom w:val="single" w:sz="4" w:space="0" w:color="auto"/>
              <w:right w:val="single" w:sz="4" w:space="0" w:color="auto"/>
            </w:tcBorders>
            <w:shd w:val="clear" w:color="auto" w:fill="auto"/>
            <w:noWrap/>
            <w:vAlign w:val="center"/>
            <w:hideMark/>
          </w:tcPr>
          <w:p w14:paraId="7B19D56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9</w:t>
            </w:r>
          </w:p>
        </w:tc>
        <w:tc>
          <w:tcPr>
            <w:tcW w:w="680" w:type="dxa"/>
            <w:tcBorders>
              <w:top w:val="nil"/>
              <w:left w:val="nil"/>
              <w:bottom w:val="single" w:sz="4" w:space="0" w:color="auto"/>
              <w:right w:val="single" w:sz="4" w:space="0" w:color="auto"/>
            </w:tcBorders>
            <w:shd w:val="clear" w:color="auto" w:fill="auto"/>
            <w:noWrap/>
            <w:vAlign w:val="center"/>
            <w:hideMark/>
          </w:tcPr>
          <w:p w14:paraId="291BE1F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2DB8F17D"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2B150EB2"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6A917911"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23ABBBAA"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Piață</w:t>
            </w:r>
          </w:p>
        </w:tc>
        <w:tc>
          <w:tcPr>
            <w:tcW w:w="580" w:type="dxa"/>
            <w:tcBorders>
              <w:top w:val="nil"/>
              <w:left w:val="nil"/>
              <w:bottom w:val="single" w:sz="4" w:space="0" w:color="auto"/>
              <w:right w:val="single" w:sz="4" w:space="0" w:color="auto"/>
            </w:tcBorders>
            <w:shd w:val="clear" w:color="auto" w:fill="auto"/>
            <w:noWrap/>
            <w:vAlign w:val="center"/>
            <w:hideMark/>
          </w:tcPr>
          <w:p w14:paraId="0E4B21E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8</w:t>
            </w:r>
          </w:p>
        </w:tc>
        <w:tc>
          <w:tcPr>
            <w:tcW w:w="880" w:type="dxa"/>
            <w:tcBorders>
              <w:top w:val="nil"/>
              <w:left w:val="nil"/>
              <w:bottom w:val="single" w:sz="4" w:space="0" w:color="auto"/>
              <w:right w:val="single" w:sz="4" w:space="0" w:color="auto"/>
            </w:tcBorders>
            <w:shd w:val="clear" w:color="auto" w:fill="auto"/>
            <w:noWrap/>
            <w:vAlign w:val="center"/>
            <w:hideMark/>
          </w:tcPr>
          <w:p w14:paraId="736171A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250</w:t>
            </w:r>
          </w:p>
        </w:tc>
        <w:tc>
          <w:tcPr>
            <w:tcW w:w="960" w:type="dxa"/>
            <w:tcBorders>
              <w:top w:val="nil"/>
              <w:left w:val="nil"/>
              <w:bottom w:val="single" w:sz="4" w:space="0" w:color="auto"/>
              <w:right w:val="single" w:sz="4" w:space="0" w:color="auto"/>
            </w:tcBorders>
            <w:shd w:val="clear" w:color="auto" w:fill="auto"/>
            <w:noWrap/>
            <w:vAlign w:val="center"/>
            <w:hideMark/>
          </w:tcPr>
          <w:p w14:paraId="7C5173AC"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178,24507</w:t>
            </w:r>
          </w:p>
        </w:tc>
        <w:tc>
          <w:tcPr>
            <w:tcW w:w="960" w:type="dxa"/>
            <w:tcBorders>
              <w:top w:val="nil"/>
              <w:left w:val="nil"/>
              <w:bottom w:val="single" w:sz="4" w:space="0" w:color="auto"/>
              <w:right w:val="single" w:sz="4" w:space="0" w:color="auto"/>
            </w:tcBorders>
            <w:shd w:val="clear" w:color="auto" w:fill="auto"/>
            <w:noWrap/>
            <w:vAlign w:val="center"/>
            <w:hideMark/>
          </w:tcPr>
          <w:p w14:paraId="5BCF784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1,4025634</w:t>
            </w:r>
          </w:p>
        </w:tc>
        <w:tc>
          <w:tcPr>
            <w:tcW w:w="760" w:type="dxa"/>
            <w:tcBorders>
              <w:top w:val="nil"/>
              <w:left w:val="nil"/>
              <w:bottom w:val="single" w:sz="4" w:space="0" w:color="auto"/>
              <w:right w:val="single" w:sz="4" w:space="0" w:color="auto"/>
            </w:tcBorders>
            <w:shd w:val="clear" w:color="auto" w:fill="auto"/>
            <w:noWrap/>
            <w:vAlign w:val="center"/>
            <w:hideMark/>
          </w:tcPr>
          <w:p w14:paraId="41454FAC"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8</w:t>
            </w:r>
          </w:p>
        </w:tc>
        <w:tc>
          <w:tcPr>
            <w:tcW w:w="680" w:type="dxa"/>
            <w:tcBorders>
              <w:top w:val="nil"/>
              <w:left w:val="nil"/>
              <w:bottom w:val="single" w:sz="4" w:space="0" w:color="auto"/>
              <w:right w:val="single" w:sz="4" w:space="0" w:color="auto"/>
            </w:tcBorders>
            <w:shd w:val="clear" w:color="auto" w:fill="auto"/>
            <w:noWrap/>
            <w:vAlign w:val="center"/>
            <w:hideMark/>
          </w:tcPr>
          <w:p w14:paraId="1B0E4F34"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0F014FF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4064800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20F32A75"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69DE752A"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Alexandru Ioan Cuza</w:t>
            </w:r>
          </w:p>
        </w:tc>
        <w:tc>
          <w:tcPr>
            <w:tcW w:w="580" w:type="dxa"/>
            <w:tcBorders>
              <w:top w:val="nil"/>
              <w:left w:val="nil"/>
              <w:bottom w:val="single" w:sz="4" w:space="0" w:color="auto"/>
              <w:right w:val="single" w:sz="4" w:space="0" w:color="auto"/>
            </w:tcBorders>
            <w:shd w:val="clear" w:color="auto" w:fill="auto"/>
            <w:noWrap/>
            <w:vAlign w:val="center"/>
            <w:hideMark/>
          </w:tcPr>
          <w:p w14:paraId="1641ACF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9</w:t>
            </w:r>
          </w:p>
        </w:tc>
        <w:tc>
          <w:tcPr>
            <w:tcW w:w="880" w:type="dxa"/>
            <w:tcBorders>
              <w:top w:val="nil"/>
              <w:left w:val="nil"/>
              <w:bottom w:val="single" w:sz="4" w:space="0" w:color="auto"/>
              <w:right w:val="single" w:sz="4" w:space="0" w:color="auto"/>
            </w:tcBorders>
            <w:shd w:val="clear" w:color="auto" w:fill="auto"/>
            <w:noWrap/>
            <w:vAlign w:val="center"/>
            <w:hideMark/>
          </w:tcPr>
          <w:p w14:paraId="709652D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217</w:t>
            </w:r>
          </w:p>
        </w:tc>
        <w:tc>
          <w:tcPr>
            <w:tcW w:w="960" w:type="dxa"/>
            <w:tcBorders>
              <w:top w:val="nil"/>
              <w:left w:val="nil"/>
              <w:bottom w:val="single" w:sz="4" w:space="0" w:color="auto"/>
              <w:right w:val="single" w:sz="4" w:space="0" w:color="auto"/>
            </w:tcBorders>
            <w:shd w:val="clear" w:color="auto" w:fill="auto"/>
            <w:noWrap/>
            <w:vAlign w:val="center"/>
            <w:hideMark/>
          </w:tcPr>
          <w:p w14:paraId="51F5797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114,80899</w:t>
            </w:r>
          </w:p>
        </w:tc>
        <w:tc>
          <w:tcPr>
            <w:tcW w:w="960" w:type="dxa"/>
            <w:tcBorders>
              <w:top w:val="nil"/>
              <w:left w:val="nil"/>
              <w:bottom w:val="single" w:sz="4" w:space="0" w:color="auto"/>
              <w:right w:val="single" w:sz="4" w:space="0" w:color="auto"/>
            </w:tcBorders>
            <w:shd w:val="clear" w:color="auto" w:fill="auto"/>
            <w:noWrap/>
            <w:vAlign w:val="center"/>
            <w:hideMark/>
          </w:tcPr>
          <w:p w14:paraId="5140D4D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1,8900959</w:t>
            </w:r>
          </w:p>
        </w:tc>
        <w:tc>
          <w:tcPr>
            <w:tcW w:w="760" w:type="dxa"/>
            <w:tcBorders>
              <w:top w:val="nil"/>
              <w:left w:val="nil"/>
              <w:bottom w:val="single" w:sz="4" w:space="0" w:color="auto"/>
              <w:right w:val="single" w:sz="4" w:space="0" w:color="auto"/>
            </w:tcBorders>
            <w:shd w:val="clear" w:color="auto" w:fill="auto"/>
            <w:noWrap/>
            <w:vAlign w:val="center"/>
            <w:hideMark/>
          </w:tcPr>
          <w:p w14:paraId="3F313DED"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7</w:t>
            </w:r>
          </w:p>
        </w:tc>
        <w:tc>
          <w:tcPr>
            <w:tcW w:w="680" w:type="dxa"/>
            <w:tcBorders>
              <w:top w:val="nil"/>
              <w:left w:val="nil"/>
              <w:bottom w:val="single" w:sz="4" w:space="0" w:color="auto"/>
              <w:right w:val="single" w:sz="4" w:space="0" w:color="auto"/>
            </w:tcBorders>
            <w:shd w:val="clear" w:color="auto" w:fill="auto"/>
            <w:noWrap/>
            <w:vAlign w:val="center"/>
            <w:hideMark/>
          </w:tcPr>
          <w:p w14:paraId="5F218B6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24EEEF1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7D5780BF"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6CEEA3F8"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2BB082C7"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Centru - 1 Decembrie</w:t>
            </w:r>
          </w:p>
        </w:tc>
        <w:tc>
          <w:tcPr>
            <w:tcW w:w="580" w:type="dxa"/>
            <w:tcBorders>
              <w:top w:val="nil"/>
              <w:left w:val="nil"/>
              <w:bottom w:val="single" w:sz="4" w:space="0" w:color="auto"/>
              <w:right w:val="single" w:sz="4" w:space="0" w:color="auto"/>
            </w:tcBorders>
            <w:shd w:val="clear" w:color="auto" w:fill="auto"/>
            <w:noWrap/>
            <w:vAlign w:val="center"/>
            <w:hideMark/>
          </w:tcPr>
          <w:p w14:paraId="2D95CF94"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10</w:t>
            </w:r>
          </w:p>
        </w:tc>
        <w:tc>
          <w:tcPr>
            <w:tcW w:w="880" w:type="dxa"/>
            <w:tcBorders>
              <w:top w:val="nil"/>
              <w:left w:val="nil"/>
              <w:bottom w:val="single" w:sz="4" w:space="0" w:color="auto"/>
              <w:right w:val="single" w:sz="4" w:space="0" w:color="auto"/>
            </w:tcBorders>
            <w:shd w:val="clear" w:color="auto" w:fill="auto"/>
            <w:noWrap/>
            <w:vAlign w:val="center"/>
            <w:hideMark/>
          </w:tcPr>
          <w:p w14:paraId="67493EF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200</w:t>
            </w:r>
          </w:p>
        </w:tc>
        <w:tc>
          <w:tcPr>
            <w:tcW w:w="960" w:type="dxa"/>
            <w:tcBorders>
              <w:top w:val="nil"/>
              <w:left w:val="nil"/>
              <w:bottom w:val="single" w:sz="4" w:space="0" w:color="auto"/>
              <w:right w:val="single" w:sz="4" w:space="0" w:color="auto"/>
            </w:tcBorders>
            <w:shd w:val="clear" w:color="auto" w:fill="auto"/>
            <w:noWrap/>
            <w:vAlign w:val="center"/>
            <w:hideMark/>
          </w:tcPr>
          <w:p w14:paraId="0000D67C"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25,717741</w:t>
            </w:r>
          </w:p>
        </w:tc>
        <w:tc>
          <w:tcPr>
            <w:tcW w:w="960" w:type="dxa"/>
            <w:tcBorders>
              <w:top w:val="nil"/>
              <w:left w:val="nil"/>
              <w:bottom w:val="single" w:sz="4" w:space="0" w:color="auto"/>
              <w:right w:val="single" w:sz="4" w:space="0" w:color="auto"/>
            </w:tcBorders>
            <w:shd w:val="clear" w:color="auto" w:fill="auto"/>
            <w:noWrap/>
            <w:vAlign w:val="center"/>
            <w:hideMark/>
          </w:tcPr>
          <w:p w14:paraId="3B30FD3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7,7767328</w:t>
            </w:r>
          </w:p>
        </w:tc>
        <w:tc>
          <w:tcPr>
            <w:tcW w:w="760" w:type="dxa"/>
            <w:tcBorders>
              <w:top w:val="nil"/>
              <w:left w:val="nil"/>
              <w:bottom w:val="single" w:sz="4" w:space="0" w:color="auto"/>
              <w:right w:val="single" w:sz="4" w:space="0" w:color="auto"/>
            </w:tcBorders>
            <w:shd w:val="clear" w:color="auto" w:fill="auto"/>
            <w:noWrap/>
            <w:vAlign w:val="center"/>
            <w:hideMark/>
          </w:tcPr>
          <w:p w14:paraId="616FA46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w:t>
            </w:r>
          </w:p>
        </w:tc>
        <w:tc>
          <w:tcPr>
            <w:tcW w:w="680" w:type="dxa"/>
            <w:tcBorders>
              <w:top w:val="nil"/>
              <w:left w:val="nil"/>
              <w:bottom w:val="single" w:sz="4" w:space="0" w:color="auto"/>
              <w:right w:val="single" w:sz="4" w:space="0" w:color="auto"/>
            </w:tcBorders>
            <w:shd w:val="clear" w:color="auto" w:fill="auto"/>
            <w:noWrap/>
            <w:vAlign w:val="center"/>
            <w:hideMark/>
          </w:tcPr>
          <w:p w14:paraId="13025D6F"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000000" w:fill="FFC000"/>
            <w:noWrap/>
            <w:vAlign w:val="center"/>
            <w:hideMark/>
          </w:tcPr>
          <w:p w14:paraId="5CC71B47"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5D6E5639"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271E3B0C"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1A154414"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Vest</w:t>
            </w:r>
          </w:p>
        </w:tc>
        <w:tc>
          <w:tcPr>
            <w:tcW w:w="580" w:type="dxa"/>
            <w:tcBorders>
              <w:top w:val="nil"/>
              <w:left w:val="nil"/>
              <w:bottom w:val="single" w:sz="4" w:space="0" w:color="auto"/>
              <w:right w:val="single" w:sz="4" w:space="0" w:color="auto"/>
            </w:tcBorders>
            <w:shd w:val="clear" w:color="auto" w:fill="auto"/>
            <w:noWrap/>
            <w:vAlign w:val="center"/>
            <w:hideMark/>
          </w:tcPr>
          <w:p w14:paraId="3CE164C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11</w:t>
            </w:r>
          </w:p>
        </w:tc>
        <w:tc>
          <w:tcPr>
            <w:tcW w:w="880" w:type="dxa"/>
            <w:tcBorders>
              <w:top w:val="nil"/>
              <w:left w:val="nil"/>
              <w:bottom w:val="single" w:sz="4" w:space="0" w:color="auto"/>
              <w:right w:val="single" w:sz="4" w:space="0" w:color="auto"/>
            </w:tcBorders>
            <w:shd w:val="clear" w:color="auto" w:fill="auto"/>
            <w:noWrap/>
            <w:vAlign w:val="center"/>
            <w:hideMark/>
          </w:tcPr>
          <w:p w14:paraId="2DE49C0F"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219</w:t>
            </w:r>
          </w:p>
        </w:tc>
        <w:tc>
          <w:tcPr>
            <w:tcW w:w="960" w:type="dxa"/>
            <w:tcBorders>
              <w:top w:val="nil"/>
              <w:left w:val="nil"/>
              <w:bottom w:val="single" w:sz="4" w:space="0" w:color="auto"/>
              <w:right w:val="single" w:sz="4" w:space="0" w:color="auto"/>
            </w:tcBorders>
            <w:shd w:val="clear" w:color="auto" w:fill="auto"/>
            <w:noWrap/>
            <w:vAlign w:val="center"/>
            <w:hideMark/>
          </w:tcPr>
          <w:p w14:paraId="3643BCE6"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269,1797</w:t>
            </w:r>
          </w:p>
        </w:tc>
        <w:tc>
          <w:tcPr>
            <w:tcW w:w="960" w:type="dxa"/>
            <w:tcBorders>
              <w:top w:val="nil"/>
              <w:left w:val="nil"/>
              <w:bottom w:val="single" w:sz="4" w:space="0" w:color="auto"/>
              <w:right w:val="single" w:sz="4" w:space="0" w:color="auto"/>
            </w:tcBorders>
            <w:shd w:val="clear" w:color="auto" w:fill="auto"/>
            <w:noWrap/>
            <w:vAlign w:val="center"/>
            <w:hideMark/>
          </w:tcPr>
          <w:p w14:paraId="5FB2880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0,8135829</w:t>
            </w:r>
          </w:p>
        </w:tc>
        <w:tc>
          <w:tcPr>
            <w:tcW w:w="760" w:type="dxa"/>
            <w:tcBorders>
              <w:top w:val="nil"/>
              <w:left w:val="nil"/>
              <w:bottom w:val="single" w:sz="4" w:space="0" w:color="auto"/>
              <w:right w:val="single" w:sz="4" w:space="0" w:color="auto"/>
            </w:tcBorders>
            <w:shd w:val="clear" w:color="auto" w:fill="auto"/>
            <w:noWrap/>
            <w:vAlign w:val="center"/>
            <w:hideMark/>
          </w:tcPr>
          <w:p w14:paraId="5F19C238"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11</w:t>
            </w:r>
          </w:p>
        </w:tc>
        <w:tc>
          <w:tcPr>
            <w:tcW w:w="680" w:type="dxa"/>
            <w:tcBorders>
              <w:top w:val="nil"/>
              <w:left w:val="nil"/>
              <w:bottom w:val="single" w:sz="4" w:space="0" w:color="auto"/>
              <w:right w:val="single" w:sz="4" w:space="0" w:color="auto"/>
            </w:tcBorders>
            <w:shd w:val="clear" w:color="auto" w:fill="auto"/>
            <w:noWrap/>
            <w:vAlign w:val="center"/>
            <w:hideMark/>
          </w:tcPr>
          <w:p w14:paraId="7A3CCF55"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09EAECC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148AAD12"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4A0CC0FA"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4DCBF4FB"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Est</w:t>
            </w:r>
          </w:p>
        </w:tc>
        <w:tc>
          <w:tcPr>
            <w:tcW w:w="580" w:type="dxa"/>
            <w:tcBorders>
              <w:top w:val="nil"/>
              <w:left w:val="nil"/>
              <w:bottom w:val="single" w:sz="4" w:space="0" w:color="auto"/>
              <w:right w:val="single" w:sz="4" w:space="0" w:color="auto"/>
            </w:tcBorders>
            <w:shd w:val="clear" w:color="auto" w:fill="auto"/>
            <w:noWrap/>
            <w:vAlign w:val="center"/>
            <w:hideMark/>
          </w:tcPr>
          <w:p w14:paraId="24820ED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12</w:t>
            </w:r>
          </w:p>
        </w:tc>
        <w:tc>
          <w:tcPr>
            <w:tcW w:w="880" w:type="dxa"/>
            <w:tcBorders>
              <w:top w:val="nil"/>
              <w:left w:val="nil"/>
              <w:bottom w:val="single" w:sz="4" w:space="0" w:color="auto"/>
              <w:right w:val="single" w:sz="4" w:space="0" w:color="auto"/>
            </w:tcBorders>
            <w:shd w:val="clear" w:color="auto" w:fill="auto"/>
            <w:noWrap/>
            <w:vAlign w:val="center"/>
            <w:hideMark/>
          </w:tcPr>
          <w:p w14:paraId="2C7EFBEF"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207</w:t>
            </w:r>
          </w:p>
        </w:tc>
        <w:tc>
          <w:tcPr>
            <w:tcW w:w="960" w:type="dxa"/>
            <w:tcBorders>
              <w:top w:val="nil"/>
              <w:left w:val="nil"/>
              <w:bottom w:val="single" w:sz="4" w:space="0" w:color="auto"/>
              <w:right w:val="single" w:sz="4" w:space="0" w:color="auto"/>
            </w:tcBorders>
            <w:shd w:val="clear" w:color="auto" w:fill="auto"/>
            <w:noWrap/>
            <w:vAlign w:val="center"/>
            <w:hideMark/>
          </w:tcPr>
          <w:p w14:paraId="1E93C669"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83,586717</w:t>
            </w:r>
          </w:p>
        </w:tc>
        <w:tc>
          <w:tcPr>
            <w:tcW w:w="960" w:type="dxa"/>
            <w:tcBorders>
              <w:top w:val="nil"/>
              <w:left w:val="nil"/>
              <w:bottom w:val="single" w:sz="4" w:space="0" w:color="auto"/>
              <w:right w:val="single" w:sz="4" w:space="0" w:color="auto"/>
            </w:tcBorders>
            <w:shd w:val="clear" w:color="auto" w:fill="auto"/>
            <w:noWrap/>
            <w:vAlign w:val="center"/>
            <w:hideMark/>
          </w:tcPr>
          <w:p w14:paraId="262F61A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2,47647</w:t>
            </w:r>
          </w:p>
        </w:tc>
        <w:tc>
          <w:tcPr>
            <w:tcW w:w="760" w:type="dxa"/>
            <w:tcBorders>
              <w:top w:val="nil"/>
              <w:left w:val="nil"/>
              <w:bottom w:val="single" w:sz="4" w:space="0" w:color="auto"/>
              <w:right w:val="single" w:sz="4" w:space="0" w:color="auto"/>
            </w:tcBorders>
            <w:shd w:val="clear" w:color="auto" w:fill="auto"/>
            <w:noWrap/>
            <w:vAlign w:val="center"/>
            <w:hideMark/>
          </w:tcPr>
          <w:p w14:paraId="02C2A774"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4</w:t>
            </w:r>
          </w:p>
        </w:tc>
        <w:tc>
          <w:tcPr>
            <w:tcW w:w="680" w:type="dxa"/>
            <w:tcBorders>
              <w:top w:val="nil"/>
              <w:left w:val="nil"/>
              <w:bottom w:val="single" w:sz="4" w:space="0" w:color="auto"/>
              <w:right w:val="single" w:sz="4" w:space="0" w:color="auto"/>
            </w:tcBorders>
            <w:shd w:val="clear" w:color="auto" w:fill="auto"/>
            <w:noWrap/>
            <w:vAlign w:val="center"/>
            <w:hideMark/>
          </w:tcPr>
          <w:p w14:paraId="009EC7D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666432A8"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2CF83B6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702BDE9A"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665424BD"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Merilor</w:t>
            </w:r>
          </w:p>
        </w:tc>
        <w:tc>
          <w:tcPr>
            <w:tcW w:w="580" w:type="dxa"/>
            <w:tcBorders>
              <w:top w:val="nil"/>
              <w:left w:val="nil"/>
              <w:bottom w:val="single" w:sz="4" w:space="0" w:color="auto"/>
              <w:right w:val="single" w:sz="4" w:space="0" w:color="auto"/>
            </w:tcBorders>
            <w:shd w:val="clear" w:color="auto" w:fill="auto"/>
            <w:noWrap/>
            <w:vAlign w:val="center"/>
            <w:hideMark/>
          </w:tcPr>
          <w:p w14:paraId="45125268"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13</w:t>
            </w:r>
          </w:p>
        </w:tc>
        <w:tc>
          <w:tcPr>
            <w:tcW w:w="880" w:type="dxa"/>
            <w:tcBorders>
              <w:top w:val="nil"/>
              <w:left w:val="nil"/>
              <w:bottom w:val="single" w:sz="4" w:space="0" w:color="auto"/>
              <w:right w:val="single" w:sz="4" w:space="0" w:color="auto"/>
            </w:tcBorders>
            <w:shd w:val="clear" w:color="auto" w:fill="auto"/>
            <w:noWrap/>
            <w:vAlign w:val="center"/>
            <w:hideMark/>
          </w:tcPr>
          <w:p w14:paraId="6AF0414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119</w:t>
            </w:r>
          </w:p>
        </w:tc>
        <w:tc>
          <w:tcPr>
            <w:tcW w:w="960" w:type="dxa"/>
            <w:tcBorders>
              <w:top w:val="nil"/>
              <w:left w:val="nil"/>
              <w:bottom w:val="single" w:sz="4" w:space="0" w:color="auto"/>
              <w:right w:val="single" w:sz="4" w:space="0" w:color="auto"/>
            </w:tcBorders>
            <w:shd w:val="clear" w:color="auto" w:fill="auto"/>
            <w:noWrap/>
            <w:vAlign w:val="center"/>
            <w:hideMark/>
          </w:tcPr>
          <w:p w14:paraId="1E048D3F"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151,81923</w:t>
            </w:r>
          </w:p>
        </w:tc>
        <w:tc>
          <w:tcPr>
            <w:tcW w:w="960" w:type="dxa"/>
            <w:tcBorders>
              <w:top w:val="nil"/>
              <w:left w:val="nil"/>
              <w:bottom w:val="single" w:sz="4" w:space="0" w:color="auto"/>
              <w:right w:val="single" w:sz="4" w:space="0" w:color="auto"/>
            </w:tcBorders>
            <w:shd w:val="clear" w:color="auto" w:fill="auto"/>
            <w:noWrap/>
            <w:vAlign w:val="center"/>
            <w:hideMark/>
          </w:tcPr>
          <w:p w14:paraId="2FAB5E9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0,7838269</w:t>
            </w:r>
          </w:p>
        </w:tc>
        <w:tc>
          <w:tcPr>
            <w:tcW w:w="760" w:type="dxa"/>
            <w:tcBorders>
              <w:top w:val="nil"/>
              <w:left w:val="nil"/>
              <w:bottom w:val="single" w:sz="4" w:space="0" w:color="auto"/>
              <w:right w:val="single" w:sz="4" w:space="0" w:color="auto"/>
            </w:tcBorders>
            <w:shd w:val="clear" w:color="auto" w:fill="auto"/>
            <w:noWrap/>
            <w:vAlign w:val="center"/>
            <w:hideMark/>
          </w:tcPr>
          <w:p w14:paraId="5C57886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12</w:t>
            </w:r>
          </w:p>
        </w:tc>
        <w:tc>
          <w:tcPr>
            <w:tcW w:w="680" w:type="dxa"/>
            <w:tcBorders>
              <w:top w:val="nil"/>
              <w:left w:val="nil"/>
              <w:bottom w:val="single" w:sz="4" w:space="0" w:color="auto"/>
              <w:right w:val="single" w:sz="4" w:space="0" w:color="auto"/>
            </w:tcBorders>
            <w:shd w:val="clear" w:color="auto" w:fill="auto"/>
            <w:noWrap/>
            <w:vAlign w:val="center"/>
            <w:hideMark/>
          </w:tcPr>
          <w:p w14:paraId="25182225"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29E2B9AA"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79F96886"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034230B2"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5E07B8F2"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Penny</w:t>
            </w:r>
          </w:p>
        </w:tc>
        <w:tc>
          <w:tcPr>
            <w:tcW w:w="580" w:type="dxa"/>
            <w:tcBorders>
              <w:top w:val="nil"/>
              <w:left w:val="nil"/>
              <w:bottom w:val="single" w:sz="4" w:space="0" w:color="auto"/>
              <w:right w:val="single" w:sz="4" w:space="0" w:color="auto"/>
            </w:tcBorders>
            <w:shd w:val="clear" w:color="auto" w:fill="auto"/>
            <w:noWrap/>
            <w:vAlign w:val="center"/>
            <w:hideMark/>
          </w:tcPr>
          <w:p w14:paraId="694F179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14</w:t>
            </w:r>
          </w:p>
        </w:tc>
        <w:tc>
          <w:tcPr>
            <w:tcW w:w="880" w:type="dxa"/>
            <w:tcBorders>
              <w:top w:val="nil"/>
              <w:left w:val="nil"/>
              <w:bottom w:val="single" w:sz="4" w:space="0" w:color="auto"/>
              <w:right w:val="single" w:sz="4" w:space="0" w:color="auto"/>
            </w:tcBorders>
            <w:shd w:val="clear" w:color="auto" w:fill="auto"/>
            <w:noWrap/>
            <w:vAlign w:val="center"/>
            <w:hideMark/>
          </w:tcPr>
          <w:p w14:paraId="1A4A0455"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185</w:t>
            </w:r>
          </w:p>
        </w:tc>
        <w:tc>
          <w:tcPr>
            <w:tcW w:w="960" w:type="dxa"/>
            <w:tcBorders>
              <w:top w:val="nil"/>
              <w:left w:val="nil"/>
              <w:bottom w:val="single" w:sz="4" w:space="0" w:color="auto"/>
              <w:right w:val="single" w:sz="4" w:space="0" w:color="auto"/>
            </w:tcBorders>
            <w:shd w:val="clear" w:color="auto" w:fill="auto"/>
            <w:noWrap/>
            <w:vAlign w:val="center"/>
            <w:hideMark/>
          </w:tcPr>
          <w:p w14:paraId="2494F4F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33,695126</w:t>
            </w:r>
          </w:p>
        </w:tc>
        <w:tc>
          <w:tcPr>
            <w:tcW w:w="960" w:type="dxa"/>
            <w:tcBorders>
              <w:top w:val="nil"/>
              <w:left w:val="nil"/>
              <w:bottom w:val="single" w:sz="4" w:space="0" w:color="auto"/>
              <w:right w:val="single" w:sz="4" w:space="0" w:color="auto"/>
            </w:tcBorders>
            <w:shd w:val="clear" w:color="auto" w:fill="auto"/>
            <w:noWrap/>
            <w:vAlign w:val="center"/>
            <w:hideMark/>
          </w:tcPr>
          <w:p w14:paraId="01876C06"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5,4904083</w:t>
            </w:r>
          </w:p>
        </w:tc>
        <w:tc>
          <w:tcPr>
            <w:tcW w:w="760" w:type="dxa"/>
            <w:tcBorders>
              <w:top w:val="nil"/>
              <w:left w:val="nil"/>
              <w:bottom w:val="single" w:sz="4" w:space="0" w:color="auto"/>
              <w:right w:val="single" w:sz="4" w:space="0" w:color="auto"/>
            </w:tcBorders>
            <w:shd w:val="clear" w:color="auto" w:fill="auto"/>
            <w:noWrap/>
            <w:vAlign w:val="center"/>
            <w:hideMark/>
          </w:tcPr>
          <w:p w14:paraId="4347DB0D"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3</w:t>
            </w:r>
          </w:p>
        </w:tc>
        <w:tc>
          <w:tcPr>
            <w:tcW w:w="680" w:type="dxa"/>
            <w:tcBorders>
              <w:top w:val="nil"/>
              <w:left w:val="nil"/>
              <w:bottom w:val="single" w:sz="4" w:space="0" w:color="auto"/>
              <w:right w:val="single" w:sz="4" w:space="0" w:color="auto"/>
            </w:tcBorders>
            <w:shd w:val="clear" w:color="auto" w:fill="auto"/>
            <w:noWrap/>
            <w:vAlign w:val="center"/>
            <w:hideMark/>
          </w:tcPr>
          <w:p w14:paraId="36AB5665"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000000" w:fill="FFC000"/>
            <w:noWrap/>
            <w:vAlign w:val="center"/>
            <w:hideMark/>
          </w:tcPr>
          <w:p w14:paraId="661E295F"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2E2602B2"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4E1C35D8"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1D52E1D3"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Târgu Jiu</w:t>
            </w:r>
          </w:p>
        </w:tc>
        <w:tc>
          <w:tcPr>
            <w:tcW w:w="580" w:type="dxa"/>
            <w:tcBorders>
              <w:top w:val="nil"/>
              <w:left w:val="nil"/>
              <w:bottom w:val="single" w:sz="4" w:space="0" w:color="auto"/>
              <w:right w:val="single" w:sz="4" w:space="0" w:color="auto"/>
            </w:tcBorders>
            <w:shd w:val="clear" w:color="auto" w:fill="auto"/>
            <w:noWrap/>
            <w:vAlign w:val="center"/>
            <w:hideMark/>
          </w:tcPr>
          <w:p w14:paraId="0FAE283C"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15</w:t>
            </w:r>
          </w:p>
        </w:tc>
        <w:tc>
          <w:tcPr>
            <w:tcW w:w="880" w:type="dxa"/>
            <w:tcBorders>
              <w:top w:val="nil"/>
              <w:left w:val="nil"/>
              <w:bottom w:val="single" w:sz="4" w:space="0" w:color="auto"/>
              <w:right w:val="single" w:sz="4" w:space="0" w:color="auto"/>
            </w:tcBorders>
            <w:shd w:val="clear" w:color="auto" w:fill="auto"/>
            <w:noWrap/>
            <w:vAlign w:val="center"/>
            <w:hideMark/>
          </w:tcPr>
          <w:p w14:paraId="274A4257"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74</w:t>
            </w:r>
          </w:p>
        </w:tc>
        <w:tc>
          <w:tcPr>
            <w:tcW w:w="960" w:type="dxa"/>
            <w:tcBorders>
              <w:top w:val="nil"/>
              <w:left w:val="nil"/>
              <w:bottom w:val="single" w:sz="4" w:space="0" w:color="auto"/>
              <w:right w:val="single" w:sz="4" w:space="0" w:color="auto"/>
            </w:tcBorders>
            <w:shd w:val="clear" w:color="auto" w:fill="auto"/>
            <w:noWrap/>
            <w:vAlign w:val="center"/>
            <w:hideMark/>
          </w:tcPr>
          <w:p w14:paraId="66DFD473"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126,73203</w:t>
            </w:r>
          </w:p>
        </w:tc>
        <w:tc>
          <w:tcPr>
            <w:tcW w:w="960" w:type="dxa"/>
            <w:tcBorders>
              <w:top w:val="nil"/>
              <w:left w:val="nil"/>
              <w:bottom w:val="single" w:sz="4" w:space="0" w:color="auto"/>
              <w:right w:val="single" w:sz="4" w:space="0" w:color="auto"/>
            </w:tcBorders>
            <w:shd w:val="clear" w:color="auto" w:fill="auto"/>
            <w:noWrap/>
            <w:vAlign w:val="center"/>
            <w:hideMark/>
          </w:tcPr>
          <w:p w14:paraId="33E63F9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0,5839092</w:t>
            </w:r>
          </w:p>
        </w:tc>
        <w:tc>
          <w:tcPr>
            <w:tcW w:w="760" w:type="dxa"/>
            <w:tcBorders>
              <w:top w:val="nil"/>
              <w:left w:val="nil"/>
              <w:bottom w:val="single" w:sz="4" w:space="0" w:color="auto"/>
              <w:right w:val="single" w:sz="4" w:space="0" w:color="auto"/>
            </w:tcBorders>
            <w:shd w:val="clear" w:color="auto" w:fill="auto"/>
            <w:noWrap/>
            <w:vAlign w:val="center"/>
            <w:hideMark/>
          </w:tcPr>
          <w:p w14:paraId="2322F28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13</w:t>
            </w:r>
          </w:p>
        </w:tc>
        <w:tc>
          <w:tcPr>
            <w:tcW w:w="680" w:type="dxa"/>
            <w:tcBorders>
              <w:top w:val="nil"/>
              <w:left w:val="nil"/>
              <w:bottom w:val="single" w:sz="4" w:space="0" w:color="auto"/>
              <w:right w:val="single" w:sz="4" w:space="0" w:color="auto"/>
            </w:tcBorders>
            <w:shd w:val="clear" w:color="auto" w:fill="auto"/>
            <w:noWrap/>
            <w:vAlign w:val="center"/>
            <w:hideMark/>
          </w:tcPr>
          <w:p w14:paraId="0EBE068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2B0C027E"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06C852C6"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35A3E0A0" w14:textId="77777777" w:rsidTr="006F2DE6">
        <w:trPr>
          <w:trHeight w:val="300"/>
        </w:trPr>
        <w:tc>
          <w:tcPr>
            <w:tcW w:w="2560" w:type="dxa"/>
            <w:tcBorders>
              <w:top w:val="nil"/>
              <w:left w:val="single" w:sz="8" w:space="0" w:color="auto"/>
              <w:bottom w:val="single" w:sz="4" w:space="0" w:color="auto"/>
              <w:right w:val="single" w:sz="8" w:space="0" w:color="auto"/>
            </w:tcBorders>
            <w:shd w:val="clear" w:color="000000" w:fill="BFBFBF"/>
            <w:noWrap/>
            <w:vAlign w:val="bottom"/>
            <w:hideMark/>
          </w:tcPr>
          <w:p w14:paraId="2B4A76FD"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Urșani</w:t>
            </w:r>
          </w:p>
        </w:tc>
        <w:tc>
          <w:tcPr>
            <w:tcW w:w="580" w:type="dxa"/>
            <w:tcBorders>
              <w:top w:val="nil"/>
              <w:left w:val="nil"/>
              <w:bottom w:val="single" w:sz="4" w:space="0" w:color="auto"/>
              <w:right w:val="single" w:sz="4" w:space="0" w:color="auto"/>
            </w:tcBorders>
            <w:shd w:val="clear" w:color="auto" w:fill="auto"/>
            <w:noWrap/>
            <w:vAlign w:val="center"/>
            <w:hideMark/>
          </w:tcPr>
          <w:p w14:paraId="62C3816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16</w:t>
            </w:r>
          </w:p>
        </w:tc>
        <w:tc>
          <w:tcPr>
            <w:tcW w:w="880" w:type="dxa"/>
            <w:tcBorders>
              <w:top w:val="nil"/>
              <w:left w:val="nil"/>
              <w:bottom w:val="single" w:sz="4" w:space="0" w:color="auto"/>
              <w:right w:val="single" w:sz="4" w:space="0" w:color="auto"/>
            </w:tcBorders>
            <w:shd w:val="clear" w:color="auto" w:fill="auto"/>
            <w:noWrap/>
            <w:vAlign w:val="center"/>
            <w:hideMark/>
          </w:tcPr>
          <w:p w14:paraId="01474C4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470</w:t>
            </w:r>
          </w:p>
        </w:tc>
        <w:tc>
          <w:tcPr>
            <w:tcW w:w="960" w:type="dxa"/>
            <w:tcBorders>
              <w:top w:val="nil"/>
              <w:left w:val="nil"/>
              <w:bottom w:val="single" w:sz="4" w:space="0" w:color="auto"/>
              <w:right w:val="single" w:sz="4" w:space="0" w:color="auto"/>
            </w:tcBorders>
            <w:shd w:val="clear" w:color="auto" w:fill="auto"/>
            <w:noWrap/>
            <w:vAlign w:val="center"/>
            <w:hideMark/>
          </w:tcPr>
          <w:p w14:paraId="27469BDC"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225,82418</w:t>
            </w:r>
          </w:p>
        </w:tc>
        <w:tc>
          <w:tcPr>
            <w:tcW w:w="960" w:type="dxa"/>
            <w:tcBorders>
              <w:top w:val="nil"/>
              <w:left w:val="nil"/>
              <w:bottom w:val="single" w:sz="4" w:space="0" w:color="auto"/>
              <w:right w:val="single" w:sz="4" w:space="0" w:color="auto"/>
            </w:tcBorders>
            <w:shd w:val="clear" w:color="auto" w:fill="auto"/>
            <w:noWrap/>
            <w:vAlign w:val="center"/>
            <w:hideMark/>
          </w:tcPr>
          <w:p w14:paraId="5AD60CC1"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2,0812652</w:t>
            </w:r>
          </w:p>
        </w:tc>
        <w:tc>
          <w:tcPr>
            <w:tcW w:w="760" w:type="dxa"/>
            <w:tcBorders>
              <w:top w:val="nil"/>
              <w:left w:val="nil"/>
              <w:bottom w:val="single" w:sz="4" w:space="0" w:color="auto"/>
              <w:right w:val="single" w:sz="4" w:space="0" w:color="auto"/>
            </w:tcBorders>
            <w:shd w:val="clear" w:color="auto" w:fill="auto"/>
            <w:noWrap/>
            <w:vAlign w:val="center"/>
            <w:hideMark/>
          </w:tcPr>
          <w:p w14:paraId="60B4388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6</w:t>
            </w:r>
          </w:p>
        </w:tc>
        <w:tc>
          <w:tcPr>
            <w:tcW w:w="680" w:type="dxa"/>
            <w:tcBorders>
              <w:top w:val="nil"/>
              <w:left w:val="nil"/>
              <w:bottom w:val="single" w:sz="4" w:space="0" w:color="auto"/>
              <w:right w:val="single" w:sz="4" w:space="0" w:color="auto"/>
            </w:tcBorders>
            <w:shd w:val="clear" w:color="auto" w:fill="auto"/>
            <w:noWrap/>
            <w:vAlign w:val="center"/>
            <w:hideMark/>
          </w:tcPr>
          <w:p w14:paraId="7CEA085B"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4" w:space="0" w:color="auto"/>
              <w:right w:val="single" w:sz="4" w:space="0" w:color="auto"/>
            </w:tcBorders>
            <w:shd w:val="clear" w:color="auto" w:fill="auto"/>
            <w:noWrap/>
            <w:vAlign w:val="center"/>
            <w:hideMark/>
          </w:tcPr>
          <w:p w14:paraId="394F7F6C"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4" w:space="0" w:color="auto"/>
              <w:right w:val="single" w:sz="8" w:space="0" w:color="auto"/>
            </w:tcBorders>
            <w:shd w:val="clear" w:color="auto" w:fill="auto"/>
            <w:noWrap/>
            <w:vAlign w:val="center"/>
            <w:hideMark/>
          </w:tcPr>
          <w:p w14:paraId="39D82F85"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r w:rsidR="006F66E1" w:rsidRPr="006F66E1" w14:paraId="6B50091B" w14:textId="77777777" w:rsidTr="006F2DE6">
        <w:trPr>
          <w:trHeight w:val="315"/>
        </w:trPr>
        <w:tc>
          <w:tcPr>
            <w:tcW w:w="2560" w:type="dxa"/>
            <w:tcBorders>
              <w:top w:val="nil"/>
              <w:left w:val="single" w:sz="8" w:space="0" w:color="auto"/>
              <w:bottom w:val="single" w:sz="8" w:space="0" w:color="auto"/>
              <w:right w:val="single" w:sz="8" w:space="0" w:color="auto"/>
            </w:tcBorders>
            <w:shd w:val="clear" w:color="000000" w:fill="BFBFBF"/>
            <w:noWrap/>
            <w:vAlign w:val="bottom"/>
            <w:hideMark/>
          </w:tcPr>
          <w:p w14:paraId="6AED35C3" w14:textId="77777777" w:rsidR="006F66E1" w:rsidRPr="006F66E1" w:rsidRDefault="006F66E1" w:rsidP="006F66E1">
            <w:pPr>
              <w:spacing w:after="0" w:line="240" w:lineRule="auto"/>
              <w:rPr>
                <w:rFonts w:ascii="Calibri" w:eastAsia="Times New Roman" w:hAnsi="Calibri" w:cs="Times New Roman"/>
                <w:sz w:val="18"/>
                <w:szCs w:val="18"/>
                <w:lang w:val="ro-RO" w:eastAsia="ro-RO"/>
              </w:rPr>
            </w:pPr>
            <w:r w:rsidRPr="006F66E1">
              <w:rPr>
                <w:rFonts w:ascii="Calibri" w:eastAsia="Times New Roman" w:hAnsi="Calibri" w:cs="Times New Roman"/>
                <w:sz w:val="18"/>
                <w:szCs w:val="18"/>
                <w:lang w:val="ro-RO" w:eastAsia="ro-RO"/>
              </w:rPr>
              <w:t>Horezu - Olari</w:t>
            </w:r>
          </w:p>
        </w:tc>
        <w:tc>
          <w:tcPr>
            <w:tcW w:w="580" w:type="dxa"/>
            <w:tcBorders>
              <w:top w:val="nil"/>
              <w:left w:val="nil"/>
              <w:bottom w:val="single" w:sz="8" w:space="0" w:color="auto"/>
              <w:right w:val="single" w:sz="4" w:space="0" w:color="auto"/>
            </w:tcBorders>
            <w:shd w:val="clear" w:color="auto" w:fill="auto"/>
            <w:noWrap/>
            <w:vAlign w:val="center"/>
            <w:hideMark/>
          </w:tcPr>
          <w:p w14:paraId="2934594D"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17</w:t>
            </w:r>
          </w:p>
        </w:tc>
        <w:tc>
          <w:tcPr>
            <w:tcW w:w="880" w:type="dxa"/>
            <w:tcBorders>
              <w:top w:val="nil"/>
              <w:left w:val="nil"/>
              <w:bottom w:val="single" w:sz="8" w:space="0" w:color="auto"/>
              <w:right w:val="single" w:sz="4" w:space="0" w:color="auto"/>
            </w:tcBorders>
            <w:shd w:val="clear" w:color="auto" w:fill="auto"/>
            <w:noWrap/>
            <w:vAlign w:val="center"/>
            <w:hideMark/>
          </w:tcPr>
          <w:p w14:paraId="5852A255"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618</w:t>
            </w:r>
          </w:p>
        </w:tc>
        <w:tc>
          <w:tcPr>
            <w:tcW w:w="960" w:type="dxa"/>
            <w:tcBorders>
              <w:top w:val="nil"/>
              <w:left w:val="nil"/>
              <w:bottom w:val="single" w:sz="8" w:space="0" w:color="auto"/>
              <w:right w:val="single" w:sz="4" w:space="0" w:color="auto"/>
            </w:tcBorders>
            <w:shd w:val="clear" w:color="auto" w:fill="auto"/>
            <w:noWrap/>
            <w:vAlign w:val="center"/>
            <w:hideMark/>
          </w:tcPr>
          <w:p w14:paraId="752A7C07"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249,83136</w:t>
            </w:r>
          </w:p>
        </w:tc>
        <w:tc>
          <w:tcPr>
            <w:tcW w:w="960" w:type="dxa"/>
            <w:tcBorders>
              <w:top w:val="nil"/>
              <w:left w:val="nil"/>
              <w:bottom w:val="single" w:sz="8" w:space="0" w:color="auto"/>
              <w:right w:val="single" w:sz="4" w:space="0" w:color="auto"/>
            </w:tcBorders>
            <w:shd w:val="clear" w:color="auto" w:fill="auto"/>
            <w:noWrap/>
            <w:vAlign w:val="center"/>
            <w:hideMark/>
          </w:tcPr>
          <w:p w14:paraId="79E520FC"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2,4736686</w:t>
            </w:r>
          </w:p>
        </w:tc>
        <w:tc>
          <w:tcPr>
            <w:tcW w:w="760" w:type="dxa"/>
            <w:tcBorders>
              <w:top w:val="nil"/>
              <w:left w:val="nil"/>
              <w:bottom w:val="single" w:sz="8" w:space="0" w:color="auto"/>
              <w:right w:val="single" w:sz="4" w:space="0" w:color="auto"/>
            </w:tcBorders>
            <w:shd w:val="clear" w:color="auto" w:fill="auto"/>
            <w:noWrap/>
            <w:vAlign w:val="center"/>
            <w:hideMark/>
          </w:tcPr>
          <w:p w14:paraId="662F5AE8"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5</w:t>
            </w:r>
          </w:p>
        </w:tc>
        <w:tc>
          <w:tcPr>
            <w:tcW w:w="680" w:type="dxa"/>
            <w:tcBorders>
              <w:top w:val="nil"/>
              <w:left w:val="nil"/>
              <w:bottom w:val="single" w:sz="8" w:space="0" w:color="auto"/>
              <w:right w:val="single" w:sz="4" w:space="0" w:color="auto"/>
            </w:tcBorders>
            <w:shd w:val="clear" w:color="auto" w:fill="auto"/>
            <w:noWrap/>
            <w:vAlign w:val="center"/>
            <w:hideMark/>
          </w:tcPr>
          <w:p w14:paraId="41BF5DC2"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720" w:type="dxa"/>
            <w:tcBorders>
              <w:top w:val="nil"/>
              <w:left w:val="nil"/>
              <w:bottom w:val="single" w:sz="8" w:space="0" w:color="auto"/>
              <w:right w:val="single" w:sz="4" w:space="0" w:color="auto"/>
            </w:tcBorders>
            <w:shd w:val="clear" w:color="auto" w:fill="auto"/>
            <w:noWrap/>
            <w:vAlign w:val="center"/>
            <w:hideMark/>
          </w:tcPr>
          <w:p w14:paraId="657CAF65"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c>
          <w:tcPr>
            <w:tcW w:w="1060" w:type="dxa"/>
            <w:tcBorders>
              <w:top w:val="nil"/>
              <w:left w:val="nil"/>
              <w:bottom w:val="single" w:sz="8" w:space="0" w:color="auto"/>
              <w:right w:val="single" w:sz="8" w:space="0" w:color="auto"/>
            </w:tcBorders>
            <w:shd w:val="clear" w:color="auto" w:fill="auto"/>
            <w:noWrap/>
            <w:vAlign w:val="center"/>
            <w:hideMark/>
          </w:tcPr>
          <w:p w14:paraId="7B61A050" w14:textId="77777777" w:rsidR="006F66E1" w:rsidRPr="006F66E1" w:rsidRDefault="006F66E1" w:rsidP="006F66E1">
            <w:pPr>
              <w:spacing w:after="0" w:line="240" w:lineRule="auto"/>
              <w:jc w:val="center"/>
              <w:rPr>
                <w:rFonts w:ascii="Calibri" w:eastAsia="Times New Roman" w:hAnsi="Calibri" w:cs="Times New Roman"/>
                <w:color w:val="000000"/>
                <w:sz w:val="18"/>
                <w:szCs w:val="18"/>
                <w:lang w:val="ro-RO" w:eastAsia="ro-RO"/>
              </w:rPr>
            </w:pPr>
            <w:r w:rsidRPr="006F66E1">
              <w:rPr>
                <w:rFonts w:ascii="Calibri" w:eastAsia="Times New Roman" w:hAnsi="Calibri" w:cs="Times New Roman"/>
                <w:color w:val="000000"/>
                <w:sz w:val="18"/>
                <w:szCs w:val="18"/>
                <w:lang w:val="ro-RO" w:eastAsia="ro-RO"/>
              </w:rPr>
              <w:t> </w:t>
            </w:r>
          </w:p>
        </w:tc>
      </w:tr>
    </w:tbl>
    <w:p w14:paraId="787A4E4F" w14:textId="77777777" w:rsidR="006F66E1" w:rsidRPr="006F66E1" w:rsidRDefault="006F66E1" w:rsidP="006F66E1">
      <w:pPr>
        <w:suppressAutoHyphens/>
        <w:spacing w:after="0" w:line="360" w:lineRule="auto"/>
        <w:ind w:left="720"/>
        <w:jc w:val="both"/>
        <w:rPr>
          <w:rFonts w:ascii="Arial" w:hAnsi="Arial" w:cs="Arial"/>
          <w:color w:val="FF0000"/>
          <w:kern w:val="1"/>
          <w:sz w:val="24"/>
          <w:szCs w:val="24"/>
          <w:lang w:val="ro-RO" w:eastAsia="hi-IN" w:bidi="hi-IN"/>
        </w:rPr>
      </w:pPr>
      <w:r w:rsidRPr="006F66E1">
        <w:rPr>
          <w:rFonts w:ascii="Arial" w:hAnsi="Arial" w:cs="Mangal"/>
          <w:kern w:val="1"/>
          <w:sz w:val="16"/>
          <w:szCs w:val="16"/>
          <w:lang w:val="ro-RO" w:eastAsia="hi-IN" w:bidi="hi-IN"/>
        </w:rPr>
        <w:t>Sursa: Elaborator INCERTRANS SA</w:t>
      </w:r>
    </w:p>
    <w:p w14:paraId="071B367F" w14:textId="77777777" w:rsidR="006F66E1" w:rsidRPr="006F66E1" w:rsidRDefault="006F66E1" w:rsidP="006B613A">
      <w:pPr>
        <w:widowControl w:val="0"/>
        <w:numPr>
          <w:ilvl w:val="0"/>
          <w:numId w:val="57"/>
        </w:numPr>
        <w:suppressAutoHyphens/>
        <w:spacing w:after="0" w:line="276" w:lineRule="auto"/>
        <w:jc w:val="both"/>
        <w:rPr>
          <w:rFonts w:ascii="Arial" w:hAnsi="Arial" w:cs="Arial"/>
          <w:kern w:val="1"/>
          <w:lang w:val="es-ES" w:eastAsia="hi-IN" w:bidi="hi-IN"/>
        </w:rPr>
      </w:pPr>
      <w:r w:rsidRPr="006F66E1">
        <w:rPr>
          <w:rFonts w:ascii="Arial" w:hAnsi="Arial" w:cs="Arial"/>
          <w:kern w:val="1"/>
          <w:lang w:val="es-ES" w:eastAsia="hi-IN" w:bidi="hi-IN"/>
        </w:rPr>
        <w:t xml:space="preserve">zona cu cea mai mare densitate este </w:t>
      </w:r>
      <w:r w:rsidRPr="006F66E1">
        <w:rPr>
          <w:rFonts w:ascii="Arial" w:hAnsi="Arial" w:cs="Arial"/>
          <w:b/>
          <w:kern w:val="1"/>
          <w:lang w:val="es-ES" w:eastAsia="hi-IN" w:bidi="hi-IN"/>
        </w:rPr>
        <w:t>Centru</w:t>
      </w:r>
      <w:r w:rsidRPr="006F66E1">
        <w:rPr>
          <w:rFonts w:ascii="Arial" w:hAnsi="Arial" w:cs="Arial"/>
          <w:kern w:val="1"/>
          <w:lang w:val="es-ES" w:eastAsia="hi-IN" w:bidi="hi-IN"/>
        </w:rPr>
        <w:t xml:space="preserve"> </w:t>
      </w:r>
    </w:p>
    <w:p w14:paraId="3A065B1D" w14:textId="77777777" w:rsidR="006F66E1" w:rsidRPr="006F66E1" w:rsidRDefault="006F66E1" w:rsidP="006B613A">
      <w:pPr>
        <w:widowControl w:val="0"/>
        <w:numPr>
          <w:ilvl w:val="0"/>
          <w:numId w:val="57"/>
        </w:numPr>
        <w:suppressAutoHyphens/>
        <w:spacing w:after="0" w:line="276" w:lineRule="auto"/>
        <w:jc w:val="both"/>
        <w:rPr>
          <w:rFonts w:ascii="Arial" w:hAnsi="Arial" w:cs="Arial"/>
          <w:kern w:val="1"/>
          <w:lang w:val="es-ES" w:eastAsia="hi-IN" w:bidi="hi-IN"/>
        </w:rPr>
      </w:pPr>
      <w:r w:rsidRPr="006F66E1">
        <w:rPr>
          <w:rFonts w:ascii="Arial" w:hAnsi="Arial" w:cs="Arial"/>
          <w:kern w:val="1"/>
          <w:lang w:val="es-ES" w:eastAsia="hi-IN" w:bidi="hi-IN"/>
        </w:rPr>
        <w:t xml:space="preserve">urmează zonele: </w:t>
      </w:r>
      <w:r w:rsidRPr="006F66E1">
        <w:rPr>
          <w:rFonts w:ascii="Arial" w:hAnsi="Arial" w:cs="Arial"/>
          <w:b/>
          <w:kern w:val="1"/>
          <w:lang w:val="es-ES" w:eastAsia="hi-IN" w:bidi="hi-IN"/>
        </w:rPr>
        <w:t xml:space="preserve">1 Decembrie </w:t>
      </w:r>
      <w:r w:rsidRPr="006F66E1">
        <w:rPr>
          <w:rFonts w:ascii="Arial" w:hAnsi="Arial" w:cs="Arial"/>
          <w:kern w:val="1"/>
          <w:lang w:val="es-ES" w:eastAsia="hi-IN" w:bidi="hi-IN"/>
        </w:rPr>
        <w:t>şi</w:t>
      </w:r>
      <w:r w:rsidRPr="006F66E1">
        <w:rPr>
          <w:rFonts w:ascii="Arial" w:hAnsi="Arial" w:cs="Arial"/>
          <w:b/>
          <w:kern w:val="1"/>
          <w:lang w:val="es-ES" w:eastAsia="hi-IN" w:bidi="hi-IN"/>
        </w:rPr>
        <w:t xml:space="preserve"> Penny</w:t>
      </w:r>
      <w:r w:rsidRPr="006F66E1">
        <w:rPr>
          <w:rFonts w:ascii="Arial" w:hAnsi="Arial" w:cs="Arial"/>
          <w:kern w:val="1"/>
          <w:lang w:val="es-ES" w:eastAsia="hi-IN" w:bidi="hi-IN"/>
        </w:rPr>
        <w:t xml:space="preserve"> </w:t>
      </w:r>
    </w:p>
    <w:p w14:paraId="20E22B1F" w14:textId="77777777" w:rsidR="006F66E1" w:rsidRPr="006F66E1" w:rsidRDefault="006F66E1" w:rsidP="006B613A">
      <w:pPr>
        <w:widowControl w:val="0"/>
        <w:numPr>
          <w:ilvl w:val="0"/>
          <w:numId w:val="57"/>
        </w:numPr>
        <w:suppressAutoHyphens/>
        <w:spacing w:after="0" w:line="276" w:lineRule="auto"/>
        <w:jc w:val="both"/>
        <w:rPr>
          <w:rFonts w:ascii="Arial" w:hAnsi="Arial" w:cs="Arial"/>
          <w:kern w:val="1"/>
          <w:lang w:val="es-ES" w:eastAsia="hi-IN" w:bidi="hi-IN"/>
        </w:rPr>
      </w:pPr>
      <w:r w:rsidRPr="006F66E1">
        <w:rPr>
          <w:rFonts w:ascii="Arial" w:hAnsi="Arial" w:cs="Arial"/>
          <w:kern w:val="1"/>
          <w:lang w:val="es-ES" w:eastAsia="hi-IN" w:bidi="hi-IN"/>
        </w:rPr>
        <w:t>la capătul opus al densităţii populaţiei se afl</w:t>
      </w:r>
      <w:r w:rsidR="00C410A5">
        <w:rPr>
          <w:rFonts w:ascii="Arial" w:hAnsi="Arial" w:cs="Arial"/>
          <w:kern w:val="1"/>
          <w:lang w:val="es-ES" w:eastAsia="hi-IN" w:bidi="hi-IN"/>
        </w:rPr>
        <w:t>ă</w:t>
      </w:r>
      <w:r w:rsidRPr="006F66E1">
        <w:rPr>
          <w:rFonts w:ascii="Arial" w:hAnsi="Arial" w:cs="Arial"/>
          <w:kern w:val="1"/>
          <w:lang w:val="es-ES" w:eastAsia="hi-IN" w:bidi="hi-IN"/>
        </w:rPr>
        <w:t xml:space="preserve"> satele apar</w:t>
      </w:r>
      <w:r w:rsidR="00C410A5">
        <w:rPr>
          <w:rFonts w:ascii="Arial" w:hAnsi="Arial" w:cs="Arial"/>
          <w:kern w:val="1"/>
          <w:lang w:val="es-ES" w:eastAsia="hi-IN" w:bidi="hi-IN"/>
        </w:rPr>
        <w:t>ț</w:t>
      </w:r>
      <w:r w:rsidRPr="006F66E1">
        <w:rPr>
          <w:rFonts w:ascii="Arial" w:hAnsi="Arial" w:cs="Arial"/>
          <w:kern w:val="1"/>
          <w:lang w:val="es-ES" w:eastAsia="hi-IN" w:bidi="hi-IN"/>
        </w:rPr>
        <w:t>in</w:t>
      </w:r>
      <w:r w:rsidR="00C410A5">
        <w:rPr>
          <w:rFonts w:ascii="Arial" w:hAnsi="Arial" w:cs="Arial"/>
          <w:kern w:val="1"/>
          <w:lang w:val="es-ES" w:eastAsia="hi-IN" w:bidi="hi-IN"/>
        </w:rPr>
        <w:t>ă</w:t>
      </w:r>
      <w:r w:rsidRPr="006F66E1">
        <w:rPr>
          <w:rFonts w:ascii="Arial" w:hAnsi="Arial" w:cs="Arial"/>
          <w:kern w:val="1"/>
          <w:lang w:val="es-ES" w:eastAsia="hi-IN" w:bidi="hi-IN"/>
        </w:rPr>
        <w:t>toare:</w:t>
      </w:r>
    </w:p>
    <w:p w14:paraId="1F9D17F5" w14:textId="77777777" w:rsidR="006F66E1" w:rsidRPr="006F66E1" w:rsidRDefault="006F66E1" w:rsidP="006F66E1">
      <w:pPr>
        <w:widowControl w:val="0"/>
        <w:suppressAutoHyphens/>
        <w:spacing w:after="0" w:line="276" w:lineRule="auto"/>
        <w:ind w:left="2160"/>
        <w:jc w:val="both"/>
        <w:rPr>
          <w:rFonts w:ascii="Arial" w:hAnsi="Arial" w:cs="Arial"/>
          <w:kern w:val="1"/>
          <w:lang w:val="es-ES" w:eastAsia="hi-IN" w:bidi="hi-IN"/>
        </w:rPr>
      </w:pPr>
      <w:r w:rsidRPr="006F66E1">
        <w:rPr>
          <w:rFonts w:ascii="Arial" w:hAnsi="Arial" w:cs="Arial"/>
          <w:kern w:val="1"/>
          <w:lang w:val="es-ES" w:eastAsia="hi-IN" w:bidi="hi-IN"/>
        </w:rPr>
        <w:t>Ifrime</w:t>
      </w:r>
      <w:r w:rsidR="00C410A5">
        <w:rPr>
          <w:rFonts w:ascii="Arial" w:hAnsi="Arial" w:cs="Arial"/>
          <w:kern w:val="1"/>
          <w:lang w:val="es-ES" w:eastAsia="hi-IN" w:bidi="hi-IN"/>
        </w:rPr>
        <w:t>ș</w:t>
      </w:r>
      <w:r w:rsidRPr="006F66E1">
        <w:rPr>
          <w:rFonts w:ascii="Arial" w:hAnsi="Arial" w:cs="Arial"/>
          <w:kern w:val="1"/>
          <w:lang w:val="es-ES" w:eastAsia="hi-IN" w:bidi="hi-IN"/>
        </w:rPr>
        <w:t>ti – ultimul</w:t>
      </w:r>
    </w:p>
    <w:p w14:paraId="68ACE7B8" w14:textId="77777777" w:rsidR="006F66E1" w:rsidRPr="006F66E1" w:rsidRDefault="006F66E1" w:rsidP="006F66E1">
      <w:pPr>
        <w:widowControl w:val="0"/>
        <w:suppressAutoHyphens/>
        <w:spacing w:after="0" w:line="276" w:lineRule="auto"/>
        <w:ind w:left="2160"/>
        <w:jc w:val="both"/>
        <w:rPr>
          <w:rFonts w:ascii="Arial" w:hAnsi="Arial" w:cs="Arial"/>
          <w:kern w:val="1"/>
          <w:lang w:val="es-ES" w:eastAsia="hi-IN" w:bidi="hi-IN"/>
        </w:rPr>
      </w:pPr>
      <w:r w:rsidRPr="006F66E1">
        <w:rPr>
          <w:rFonts w:ascii="Arial" w:hAnsi="Arial" w:cs="Arial"/>
          <w:kern w:val="1"/>
          <w:lang w:val="es-ES" w:eastAsia="hi-IN" w:bidi="hi-IN"/>
        </w:rPr>
        <w:t>Romanii de Sus – penultimul</w:t>
      </w:r>
    </w:p>
    <w:p w14:paraId="4C427641" w14:textId="77777777" w:rsidR="006F66E1" w:rsidRPr="006F66E1" w:rsidRDefault="006F66E1" w:rsidP="006F66E1">
      <w:pPr>
        <w:widowControl w:val="0"/>
        <w:suppressAutoHyphens/>
        <w:spacing w:after="0" w:line="276" w:lineRule="auto"/>
        <w:ind w:left="2160"/>
        <w:jc w:val="both"/>
        <w:rPr>
          <w:rFonts w:ascii="Arial" w:hAnsi="Arial" w:cs="Arial"/>
          <w:kern w:val="1"/>
          <w:lang w:val="es-ES" w:eastAsia="hi-IN" w:bidi="hi-IN"/>
        </w:rPr>
      </w:pPr>
      <w:r w:rsidRPr="006F66E1">
        <w:rPr>
          <w:rFonts w:ascii="Arial" w:hAnsi="Arial" w:cs="Arial"/>
          <w:kern w:val="1"/>
          <w:lang w:val="es-ES" w:eastAsia="hi-IN" w:bidi="hi-IN"/>
        </w:rPr>
        <w:t>T</w:t>
      </w:r>
      <w:r w:rsidR="00C410A5">
        <w:rPr>
          <w:rFonts w:ascii="Arial" w:hAnsi="Arial" w:cs="Arial"/>
          <w:kern w:val="1"/>
          <w:lang w:val="es-ES" w:eastAsia="hi-IN" w:bidi="hi-IN"/>
        </w:rPr>
        <w:t>ă</w:t>
      </w:r>
      <w:r w:rsidRPr="006F66E1">
        <w:rPr>
          <w:rFonts w:ascii="Arial" w:hAnsi="Arial" w:cs="Arial"/>
          <w:kern w:val="1"/>
          <w:lang w:val="es-ES" w:eastAsia="hi-IN" w:bidi="hi-IN"/>
        </w:rPr>
        <w:t>n</w:t>
      </w:r>
      <w:r w:rsidR="00C410A5">
        <w:rPr>
          <w:rFonts w:ascii="Arial" w:hAnsi="Arial" w:cs="Arial"/>
          <w:kern w:val="1"/>
          <w:lang w:val="es-ES" w:eastAsia="hi-IN" w:bidi="hi-IN"/>
        </w:rPr>
        <w:t>ă</w:t>
      </w:r>
      <w:r w:rsidRPr="006F66E1">
        <w:rPr>
          <w:rFonts w:ascii="Arial" w:hAnsi="Arial" w:cs="Arial"/>
          <w:kern w:val="1"/>
          <w:lang w:val="es-ES" w:eastAsia="hi-IN" w:bidi="hi-IN"/>
        </w:rPr>
        <w:t>se</w:t>
      </w:r>
      <w:r w:rsidR="00C410A5">
        <w:rPr>
          <w:rFonts w:ascii="Arial" w:hAnsi="Arial" w:cs="Arial"/>
          <w:kern w:val="1"/>
          <w:lang w:val="es-ES" w:eastAsia="hi-IN" w:bidi="hi-IN"/>
        </w:rPr>
        <w:t>ș</w:t>
      </w:r>
      <w:r w:rsidRPr="006F66E1">
        <w:rPr>
          <w:rFonts w:ascii="Arial" w:hAnsi="Arial" w:cs="Arial"/>
          <w:kern w:val="1"/>
          <w:lang w:val="es-ES" w:eastAsia="hi-IN" w:bidi="hi-IN"/>
        </w:rPr>
        <w:t>ti – antepenultimul</w:t>
      </w:r>
    </w:p>
    <w:p w14:paraId="2CBF717C" w14:textId="77777777" w:rsidR="006F66E1" w:rsidRPr="006F66E1" w:rsidRDefault="006F66E1" w:rsidP="006F66E1">
      <w:pPr>
        <w:widowControl w:val="0"/>
        <w:suppressAutoHyphens/>
        <w:spacing w:after="0" w:line="360" w:lineRule="auto"/>
        <w:ind w:left="1440"/>
        <w:jc w:val="both"/>
        <w:rPr>
          <w:rFonts w:ascii="Arial" w:hAnsi="Arial" w:cs="Arial"/>
          <w:color w:val="FF0000"/>
          <w:kern w:val="1"/>
          <w:sz w:val="24"/>
          <w:szCs w:val="24"/>
          <w:lang w:val="es-ES" w:eastAsia="hi-IN" w:bidi="hi-IN"/>
        </w:rPr>
      </w:pPr>
    </w:p>
    <w:p w14:paraId="47715BAB" w14:textId="77777777" w:rsidR="006F66E1" w:rsidRPr="006F66E1" w:rsidRDefault="006F66E1" w:rsidP="006F66E1">
      <w:pPr>
        <w:widowControl w:val="0"/>
        <w:suppressAutoHyphens/>
        <w:spacing w:after="0" w:line="276" w:lineRule="auto"/>
        <w:jc w:val="both"/>
        <w:rPr>
          <w:rFonts w:ascii="Arial" w:hAnsi="Arial" w:cs="Arial"/>
          <w:kern w:val="1"/>
          <w:lang w:val="es-ES" w:eastAsia="hi-IN" w:bidi="hi-IN"/>
        </w:rPr>
      </w:pPr>
      <w:r w:rsidRPr="006F66E1">
        <w:rPr>
          <w:rFonts w:ascii="Arial" w:hAnsi="Arial" w:cs="Arial"/>
          <w:kern w:val="1"/>
          <w:lang w:val="es-ES" w:eastAsia="hi-IN" w:bidi="hi-IN"/>
        </w:rPr>
        <w:t xml:space="preserve">Uniunea Internaţională a Transportatorilor Publici - UITP se află între cei mai informaţi şi credibili avocaţi ai mobilităţii urbane durabile, bazată pe o politică urbană globală şi dinamică, pe controlul traficului şi al parcării şi pe dezvoltarea transportului public. Avantajele unei dezvoltări urbane suficient de dense, bine irigată de o reţea performantă de transport public, au fost clar demonstrate de „Baza de date ale oraşelor Mileniului pentru un Transport Durabil”. Prin acest document, care dă o lumină obiectivă asupra evoluţiei economiei mobilităţii urbane din ultimii ani, UITP a prezentat o diagnoză  profundă şi a formulat noi propuneri cu privire la </w:t>
      </w:r>
      <w:r w:rsidRPr="006F66E1">
        <w:rPr>
          <w:rFonts w:ascii="Arial" w:hAnsi="Arial" w:cs="Arial"/>
          <w:b/>
          <w:kern w:val="1"/>
          <w:lang w:val="es-ES" w:eastAsia="hi-IN" w:bidi="hi-IN"/>
        </w:rPr>
        <w:t xml:space="preserve">cei trei piloni ai mobilităţii durabile: planificarea urbană, traficul şi parcarea şi transportul public. </w:t>
      </w:r>
      <w:r w:rsidRPr="006F66E1">
        <w:rPr>
          <w:rFonts w:ascii="Arial" w:hAnsi="Arial" w:cs="Arial"/>
          <w:b/>
          <w:bCs/>
          <w:kern w:val="1"/>
          <w:u w:val="single"/>
          <w:lang w:val="es-ES" w:eastAsia="hi-IN" w:bidi="hi-IN"/>
        </w:rPr>
        <w:t>Analizele statistice realizate de UITP arată că atunci când densitatea populaţiei se reduce la jumătate (de la 100 la 50 locuitori + locuri de muncă per hectar), costul pentru comunitate (exprimat ca procent din PIB) şi consumul de energie pentru deplasările urbane cresc cu peste 50%</w:t>
      </w:r>
      <w:r w:rsidRPr="006F66E1">
        <w:rPr>
          <w:rFonts w:ascii="Arial" w:hAnsi="Arial" w:cs="Arial"/>
          <w:kern w:val="1"/>
          <w:u w:val="single"/>
          <w:lang w:val="es-ES" w:eastAsia="hi-IN" w:bidi="hi-IN"/>
        </w:rPr>
        <w:t>.</w:t>
      </w:r>
    </w:p>
    <w:p w14:paraId="62D67CBF" w14:textId="77777777" w:rsidR="006F66E1" w:rsidRPr="006F66E1" w:rsidRDefault="006F66E1" w:rsidP="006B613A">
      <w:pPr>
        <w:widowControl w:val="0"/>
        <w:numPr>
          <w:ilvl w:val="0"/>
          <w:numId w:val="58"/>
        </w:numPr>
        <w:suppressAutoHyphens/>
        <w:spacing w:after="0" w:line="276" w:lineRule="auto"/>
        <w:ind w:left="630" w:hanging="270"/>
        <w:jc w:val="both"/>
        <w:rPr>
          <w:rFonts w:ascii="Arial" w:hAnsi="Arial" w:cs="Arial"/>
          <w:kern w:val="1"/>
          <w:lang w:val="es-ES" w:eastAsia="hi-IN" w:bidi="hi-IN"/>
        </w:rPr>
      </w:pPr>
      <w:r w:rsidRPr="006F66E1">
        <w:rPr>
          <w:rFonts w:ascii="Arial" w:hAnsi="Arial" w:cs="Arial"/>
          <w:kern w:val="1"/>
          <w:lang w:val="es-ES" w:eastAsia="hi-IN" w:bidi="hi-IN"/>
        </w:rPr>
        <w:t>Pentru a frâna expansiunea urbană – factorul determinant al creşterii costurilor în transport şi a consumului de energie ne-regenerabilă – pentru a conserva moştenirea istorică şi culturală a oraşelor, a stimula dinamismul economic şi a combate segregarea şi excluderea socială, UITP recomandă:</w:t>
      </w:r>
    </w:p>
    <w:p w14:paraId="597C8C1E" w14:textId="77777777" w:rsidR="006F66E1" w:rsidRPr="006F66E1" w:rsidRDefault="006F66E1" w:rsidP="006B613A">
      <w:pPr>
        <w:widowControl w:val="0"/>
        <w:numPr>
          <w:ilvl w:val="0"/>
          <w:numId w:val="59"/>
        </w:numPr>
        <w:suppressAutoHyphens/>
        <w:spacing w:after="0" w:line="276" w:lineRule="auto"/>
        <w:jc w:val="both"/>
        <w:rPr>
          <w:rFonts w:ascii="Arial" w:hAnsi="Arial" w:cs="Arial"/>
          <w:kern w:val="1"/>
          <w:lang w:val="es-ES" w:eastAsia="hi-IN" w:bidi="hi-IN"/>
        </w:rPr>
      </w:pPr>
      <w:r w:rsidRPr="006F66E1">
        <w:rPr>
          <w:rFonts w:ascii="Arial" w:hAnsi="Arial" w:cs="Arial"/>
          <w:kern w:val="1"/>
          <w:lang w:val="es-ES" w:eastAsia="hi-IN" w:bidi="hi-IN"/>
        </w:rPr>
        <w:lastRenderedPageBreak/>
        <w:t xml:space="preserve">elaborarea unor planuri de dezvoltare urbană care să încetinească construirea unor zone noi la periferia oraşelor, </w:t>
      </w:r>
    </w:p>
    <w:p w14:paraId="1A1847D9" w14:textId="77777777" w:rsidR="006F66E1" w:rsidRPr="006F66E1" w:rsidRDefault="006F66E1" w:rsidP="006B613A">
      <w:pPr>
        <w:widowControl w:val="0"/>
        <w:numPr>
          <w:ilvl w:val="0"/>
          <w:numId w:val="59"/>
        </w:numPr>
        <w:suppressAutoHyphens/>
        <w:spacing w:after="0" w:line="276" w:lineRule="auto"/>
        <w:jc w:val="both"/>
        <w:rPr>
          <w:rFonts w:ascii="Arial" w:eastAsia="Calibri" w:hAnsi="Arial" w:cs="Arial"/>
          <w:kern w:val="1"/>
          <w:lang w:val="es-ES" w:eastAsia="hi-IN" w:bidi="hi-IN"/>
        </w:rPr>
      </w:pPr>
      <w:r w:rsidRPr="006F66E1">
        <w:rPr>
          <w:rFonts w:ascii="Arial" w:hAnsi="Arial" w:cs="Arial"/>
          <w:kern w:val="1"/>
          <w:lang w:val="es-ES" w:eastAsia="hi-IN" w:bidi="hi-IN"/>
        </w:rPr>
        <w:t>includerea ofertei de transport public în toate proiectele de dezvoltare urbană, pentru a promova densificarea în preajma staţiilor – planificarea urbană integrată,</w:t>
      </w:r>
    </w:p>
    <w:p w14:paraId="3089075B" w14:textId="77777777" w:rsidR="006F66E1" w:rsidRPr="006F66E1" w:rsidRDefault="006F66E1" w:rsidP="006B613A">
      <w:pPr>
        <w:widowControl w:val="0"/>
        <w:numPr>
          <w:ilvl w:val="0"/>
          <w:numId w:val="59"/>
        </w:numPr>
        <w:suppressAutoHyphens/>
        <w:spacing w:after="0" w:line="276" w:lineRule="auto"/>
        <w:jc w:val="both"/>
        <w:rPr>
          <w:rFonts w:ascii="Arial" w:eastAsia="Calibri" w:hAnsi="Arial" w:cs="Arial"/>
          <w:kern w:val="1"/>
          <w:lang w:val="es-ES" w:eastAsia="hi-IN" w:bidi="hi-IN"/>
        </w:rPr>
      </w:pPr>
      <w:r w:rsidRPr="006F66E1">
        <w:rPr>
          <w:rFonts w:ascii="Arial" w:eastAsia="Calibri" w:hAnsi="Arial" w:cs="Arial"/>
          <w:kern w:val="1"/>
          <w:lang w:val="es-ES" w:eastAsia="hi-IN" w:bidi="hi-IN"/>
        </w:rPr>
        <w:t>aplicarea unei politici de locuinţe care să încurajeze construirea zonelor rezidenţiale suficient de dense şi corecta întreţinere a clădirilor mai vechi din centrele urbane şi din zonele dens populate.</w:t>
      </w:r>
    </w:p>
    <w:p w14:paraId="13EBF864" w14:textId="77777777" w:rsidR="006F66E1" w:rsidRPr="006F66E1" w:rsidRDefault="006F66E1" w:rsidP="006F66E1">
      <w:pPr>
        <w:widowControl w:val="0"/>
        <w:suppressAutoHyphens/>
        <w:autoSpaceDE w:val="0"/>
        <w:spacing w:after="0" w:line="360" w:lineRule="auto"/>
        <w:jc w:val="both"/>
        <w:rPr>
          <w:rFonts w:ascii="Arial" w:eastAsia="Calibri" w:hAnsi="Arial" w:cs="Arial"/>
          <w:kern w:val="1"/>
          <w:sz w:val="24"/>
          <w:szCs w:val="24"/>
          <w:lang w:val="es-ES" w:eastAsia="hi-IN" w:bidi="hi-IN"/>
        </w:rPr>
      </w:pPr>
    </w:p>
    <w:p w14:paraId="5EA4CEFF" w14:textId="77777777" w:rsidR="006F66E1" w:rsidRPr="006F66E1" w:rsidRDefault="006F66E1" w:rsidP="006F66E1">
      <w:pPr>
        <w:suppressAutoHyphens/>
        <w:autoSpaceDE w:val="0"/>
        <w:spacing w:after="0" w:line="276" w:lineRule="auto"/>
        <w:jc w:val="both"/>
        <w:rPr>
          <w:rFonts w:ascii="Arial" w:eastAsia="Arial" w:hAnsi="Arial" w:cs="Arial"/>
          <w:lang w:val="es-ES" w:eastAsia="zh-CN"/>
        </w:rPr>
      </w:pPr>
      <w:r w:rsidRPr="006F66E1">
        <w:rPr>
          <w:rFonts w:ascii="Arial" w:eastAsia="Calibri" w:hAnsi="Arial" w:cs="Arial"/>
          <w:b/>
          <w:bCs/>
          <w:lang w:val="es-ES" w:eastAsia="zh-CN"/>
        </w:rPr>
        <w:t>Indicii de penetrabilitate şi permisivitate (ai cartierelor):</w:t>
      </w:r>
      <w:r w:rsidRPr="006F66E1">
        <w:rPr>
          <w:rFonts w:ascii="Arial" w:eastAsia="Calibri" w:hAnsi="Arial" w:cs="Arial"/>
          <w:lang w:val="es-ES" w:eastAsia="zh-CN"/>
        </w:rPr>
        <w:t xml:space="preserve"> </w:t>
      </w:r>
    </w:p>
    <w:p w14:paraId="73A5EF17" w14:textId="77777777" w:rsidR="006F66E1" w:rsidRPr="006F66E1" w:rsidRDefault="006F66E1" w:rsidP="000C6CB8">
      <w:pPr>
        <w:numPr>
          <w:ilvl w:val="0"/>
          <w:numId w:val="126"/>
        </w:numPr>
        <w:suppressAutoHyphens/>
        <w:autoSpaceDE w:val="0"/>
        <w:spacing w:after="0" w:line="276" w:lineRule="auto"/>
        <w:ind w:left="180" w:hanging="180"/>
        <w:jc w:val="both"/>
        <w:rPr>
          <w:rFonts w:ascii="Arial" w:eastAsia="Arial" w:hAnsi="Arial" w:cs="Arial"/>
          <w:lang w:val="es-ES" w:eastAsia="zh-CN"/>
        </w:rPr>
      </w:pPr>
      <w:r w:rsidRPr="006F66E1">
        <w:rPr>
          <w:rFonts w:ascii="Arial" w:eastAsia="Calibri" w:hAnsi="Arial" w:cs="Arial"/>
          <w:lang w:val="es-ES" w:eastAsia="zh-CN"/>
        </w:rPr>
        <w:t xml:space="preserve">indicele de penetrabilitate se calculează ca raport între numărul de accese într-un cartier şi suprafaţa cartierului </w:t>
      </w:r>
    </w:p>
    <w:p w14:paraId="3FD2391F" w14:textId="77777777" w:rsidR="006F66E1" w:rsidRPr="006F66E1" w:rsidRDefault="006F66E1" w:rsidP="000C6CB8">
      <w:pPr>
        <w:numPr>
          <w:ilvl w:val="0"/>
          <w:numId w:val="126"/>
        </w:numPr>
        <w:suppressAutoHyphens/>
        <w:autoSpaceDE w:val="0"/>
        <w:spacing w:after="0" w:line="276" w:lineRule="auto"/>
        <w:ind w:left="180" w:hanging="180"/>
        <w:jc w:val="both"/>
        <w:rPr>
          <w:rFonts w:ascii="Arial" w:eastAsia="Calibri" w:hAnsi="Arial" w:cs="Arial"/>
          <w:lang w:val="es-ES" w:eastAsia="zh-CN"/>
        </w:rPr>
      </w:pPr>
      <w:r w:rsidRPr="006F66E1">
        <w:rPr>
          <w:rFonts w:ascii="Arial" w:eastAsia="Calibri" w:hAnsi="Arial" w:cs="Arial"/>
          <w:lang w:val="es-ES" w:eastAsia="zh-CN"/>
        </w:rPr>
        <w:t xml:space="preserve">indicele de permisivitate se calculează ca raport între numărul de km reţea majoră de pe teritoriul cartierului şi numărul de locuitori ai cartierului. </w:t>
      </w:r>
    </w:p>
    <w:p w14:paraId="7EE62629" w14:textId="77777777" w:rsidR="006F66E1" w:rsidRPr="006F66E1" w:rsidRDefault="006F66E1" w:rsidP="006F66E1">
      <w:pPr>
        <w:suppressAutoHyphens/>
        <w:autoSpaceDE w:val="0"/>
        <w:spacing w:after="0" w:line="276" w:lineRule="auto"/>
        <w:jc w:val="both"/>
        <w:rPr>
          <w:rFonts w:ascii="Arial" w:eastAsia="Calibri" w:hAnsi="Arial" w:cs="Arial"/>
          <w:color w:val="FF0000"/>
          <w:lang w:val="es-ES" w:eastAsia="zh-CN"/>
        </w:rPr>
      </w:pPr>
    </w:p>
    <w:p w14:paraId="5E52F32C" w14:textId="77777777" w:rsidR="006F66E1" w:rsidRPr="006F66E1" w:rsidRDefault="006F66E1" w:rsidP="006F66E1">
      <w:pPr>
        <w:suppressAutoHyphens/>
        <w:autoSpaceDE w:val="0"/>
        <w:spacing w:after="0" w:line="276" w:lineRule="auto"/>
        <w:jc w:val="both"/>
        <w:rPr>
          <w:rFonts w:ascii="Arial" w:eastAsia="Arial" w:hAnsi="Arial" w:cs="Arial"/>
          <w:lang w:val="es-ES" w:eastAsia="zh-CN"/>
        </w:rPr>
      </w:pPr>
      <w:r w:rsidRPr="006F66E1">
        <w:rPr>
          <w:rFonts w:ascii="Arial" w:eastAsia="Calibri" w:hAnsi="Arial" w:cs="Arial"/>
          <w:lang w:val="es-ES" w:eastAsia="zh-CN"/>
        </w:rPr>
        <w:t xml:space="preserve">Pentru ambii indici sunt agreate valorile mari: </w:t>
      </w:r>
    </w:p>
    <w:p w14:paraId="2F47B7A0" w14:textId="77777777" w:rsidR="006F66E1" w:rsidRPr="006F66E1" w:rsidRDefault="006F66E1" w:rsidP="000C6CB8">
      <w:pPr>
        <w:numPr>
          <w:ilvl w:val="0"/>
          <w:numId w:val="127"/>
        </w:numPr>
        <w:suppressAutoHyphens/>
        <w:autoSpaceDE w:val="0"/>
        <w:spacing w:after="0" w:line="276" w:lineRule="auto"/>
        <w:ind w:left="180" w:hanging="180"/>
        <w:jc w:val="both"/>
        <w:rPr>
          <w:rFonts w:ascii="Arial" w:eastAsia="Arial" w:hAnsi="Arial" w:cs="Arial"/>
          <w:lang w:val="es-ES" w:eastAsia="zh-CN"/>
        </w:rPr>
      </w:pPr>
      <w:r w:rsidRPr="006F66E1">
        <w:rPr>
          <w:rFonts w:ascii="Arial" w:eastAsia="Calibri" w:hAnsi="Arial" w:cs="Arial"/>
          <w:lang w:val="es-ES" w:eastAsia="zh-CN"/>
        </w:rPr>
        <w:t xml:space="preserve">penetrabilitatea mare arată că traficul se distribuie pe mai multe direcții, disiparea fluxului de vehicule contribuind la reducerea congestiei din trafic; </w:t>
      </w:r>
    </w:p>
    <w:p w14:paraId="6D5C4A64" w14:textId="77777777" w:rsidR="006F66E1" w:rsidRPr="006F66E1" w:rsidRDefault="006F66E1" w:rsidP="000C6CB8">
      <w:pPr>
        <w:numPr>
          <w:ilvl w:val="0"/>
          <w:numId w:val="127"/>
        </w:numPr>
        <w:suppressAutoHyphens/>
        <w:autoSpaceDE w:val="0"/>
        <w:spacing w:after="0" w:line="276" w:lineRule="auto"/>
        <w:ind w:left="180" w:hanging="180"/>
        <w:jc w:val="both"/>
        <w:rPr>
          <w:rFonts w:ascii="Arial" w:eastAsia="Calibri" w:hAnsi="Arial" w:cs="Arial"/>
          <w:lang w:val="es-ES" w:eastAsia="zh-CN"/>
        </w:rPr>
      </w:pPr>
      <w:r w:rsidRPr="006F66E1">
        <w:rPr>
          <w:rFonts w:ascii="Arial" w:eastAsia="Calibri" w:hAnsi="Arial" w:cs="Arial"/>
          <w:lang w:val="es-ES" w:eastAsia="zh-CN"/>
        </w:rPr>
        <w:t xml:space="preserve">permisivitatea mare arată că un cartier asigură locuitorilor posibilităţi multiple de deplasare, iar posesorilor de autoturisme le oferă o densitate mai redusă de vehicule în mişcare, pe căile de defluire ale cartierului. </w:t>
      </w:r>
    </w:p>
    <w:p w14:paraId="089ED34B" w14:textId="77777777" w:rsidR="006F66E1" w:rsidRPr="006F66E1" w:rsidRDefault="006F66E1" w:rsidP="006F66E1">
      <w:pPr>
        <w:suppressAutoHyphens/>
        <w:autoSpaceDE w:val="0"/>
        <w:spacing w:after="0" w:line="276" w:lineRule="auto"/>
        <w:jc w:val="both"/>
        <w:rPr>
          <w:rFonts w:ascii="Arial" w:eastAsia="Calibri" w:hAnsi="Arial" w:cs="Arial"/>
          <w:lang w:val="es-ES" w:eastAsia="zh-CN"/>
        </w:rPr>
      </w:pPr>
    </w:p>
    <w:p w14:paraId="501CAC8D" w14:textId="77777777" w:rsidR="006F66E1" w:rsidRPr="006F66E1" w:rsidRDefault="006F66E1" w:rsidP="006F66E1">
      <w:pPr>
        <w:suppressAutoHyphens/>
        <w:autoSpaceDE w:val="0"/>
        <w:spacing w:after="0" w:line="276" w:lineRule="auto"/>
        <w:jc w:val="both"/>
        <w:rPr>
          <w:rFonts w:ascii="Arial" w:eastAsia="Calibri" w:hAnsi="Arial" w:cs="Arial"/>
          <w:lang w:val="es-ES" w:eastAsia="zh-CN"/>
        </w:rPr>
      </w:pPr>
      <w:r w:rsidRPr="006F66E1">
        <w:rPr>
          <w:rFonts w:ascii="Arial" w:eastAsia="Calibri" w:hAnsi="Arial" w:cs="Arial"/>
          <w:lang w:val="es-ES" w:eastAsia="zh-CN"/>
        </w:rPr>
        <w:t xml:space="preserve">În figurile următoare sunt prezentate penetrabilitatea şi, respectiv permisivitatea zonelor delimitate de elaborator </w:t>
      </w:r>
      <w:r w:rsidR="00F461B3">
        <w:rPr>
          <w:rFonts w:ascii="Arial" w:eastAsia="Calibri" w:hAnsi="Arial" w:cs="Arial"/>
          <w:lang w:val="es-ES" w:eastAsia="zh-CN"/>
        </w:rPr>
        <w:t>î</w:t>
      </w:r>
      <w:r w:rsidRPr="006F66E1">
        <w:rPr>
          <w:rFonts w:ascii="Arial" w:eastAsia="Calibri" w:hAnsi="Arial" w:cs="Arial"/>
          <w:lang w:val="es-ES" w:eastAsia="zh-CN"/>
        </w:rPr>
        <w:t>n ora</w:t>
      </w:r>
      <w:r w:rsidR="00F461B3">
        <w:rPr>
          <w:rFonts w:ascii="Arial" w:eastAsia="Calibri" w:hAnsi="Arial" w:cs="Arial"/>
          <w:lang w:val="es-ES" w:eastAsia="zh-CN"/>
        </w:rPr>
        <w:t>ș</w:t>
      </w:r>
      <w:r w:rsidRPr="006F66E1">
        <w:rPr>
          <w:rFonts w:ascii="Arial" w:eastAsia="Calibri" w:hAnsi="Arial" w:cs="Arial"/>
          <w:lang w:val="es-ES" w:eastAsia="zh-CN"/>
        </w:rPr>
        <w:t xml:space="preserve">ul Horezu: </w:t>
      </w:r>
    </w:p>
    <w:p w14:paraId="771481EC" w14:textId="77777777" w:rsidR="006F66E1" w:rsidRPr="006F66E1" w:rsidRDefault="006F66E1" w:rsidP="006F66E1">
      <w:pPr>
        <w:suppressAutoHyphens/>
        <w:autoSpaceDE w:val="0"/>
        <w:spacing w:after="0" w:line="276" w:lineRule="auto"/>
        <w:jc w:val="center"/>
        <w:rPr>
          <w:rFonts w:ascii="Arial" w:eastAsia="Calibri" w:hAnsi="Arial" w:cs="Arial"/>
          <w:sz w:val="24"/>
          <w:szCs w:val="24"/>
          <w:lang w:eastAsia="zh-CN"/>
        </w:rPr>
      </w:pPr>
      <w:r w:rsidRPr="006F66E1">
        <w:rPr>
          <w:rFonts w:ascii="Arial" w:eastAsia="Calibri" w:hAnsi="Arial" w:cs="Arial"/>
          <w:noProof/>
        </w:rPr>
        <w:lastRenderedPageBreak/>
        <w:drawing>
          <wp:inline distT="0" distB="0" distL="0" distR="0" wp14:anchorId="1791F99B" wp14:editId="562170F2">
            <wp:extent cx="4824266" cy="6826103"/>
            <wp:effectExtent l="0" t="0" r="0" b="0"/>
            <wp:docPr id="56" name="Picture 56" descr="E:\Horezu\Materiale lucru\Florin_M\HorezuPenetrabili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Horezu\Materiale lucru\Florin_M\HorezuPenetrabilitate.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22597" cy="6823741"/>
                    </a:xfrm>
                    <a:prstGeom prst="rect">
                      <a:avLst/>
                    </a:prstGeom>
                    <a:noFill/>
                    <a:ln>
                      <a:noFill/>
                    </a:ln>
                  </pic:spPr>
                </pic:pic>
              </a:graphicData>
            </a:graphic>
          </wp:inline>
        </w:drawing>
      </w:r>
    </w:p>
    <w:p w14:paraId="68C93FBB" w14:textId="77777777" w:rsidR="006F66E1" w:rsidRPr="006F66E1" w:rsidRDefault="006F66E1" w:rsidP="006F66E1">
      <w:pPr>
        <w:suppressAutoHyphens/>
        <w:autoSpaceDE w:val="0"/>
        <w:spacing w:after="0" w:line="360" w:lineRule="auto"/>
        <w:ind w:firstLine="567"/>
        <w:rPr>
          <w:rFonts w:ascii="Arial" w:eastAsia="Calibri" w:hAnsi="Arial" w:cs="Arial"/>
          <w:sz w:val="24"/>
          <w:szCs w:val="24"/>
          <w:lang w:val="es-ES" w:eastAsia="zh-CN"/>
        </w:rPr>
      </w:pPr>
      <w:r w:rsidRPr="006F66E1">
        <w:rPr>
          <w:rFonts w:ascii="Arial" w:eastAsia="Calibri" w:hAnsi="Arial" w:cs="Arial"/>
          <w:color w:val="000000"/>
          <w:sz w:val="16"/>
          <w:szCs w:val="16"/>
          <w:lang w:val="es-ES" w:eastAsia="zh-CN"/>
        </w:rPr>
        <w:t>Sursa: Elaborator INCERTRANS SA</w:t>
      </w:r>
    </w:p>
    <w:p w14:paraId="0B9ED2A9" w14:textId="79FBED7B" w:rsidR="006F66E1" w:rsidRPr="002473AB" w:rsidRDefault="002473AB" w:rsidP="002473AB">
      <w:pPr>
        <w:pStyle w:val="Legend"/>
        <w:rPr>
          <w:rFonts w:ascii="Arial" w:eastAsia="Calibri" w:hAnsi="Arial" w:cs="Arial"/>
          <w:i w:val="0"/>
          <w:iCs w:val="0"/>
          <w:color w:val="1F497D"/>
          <w:sz w:val="22"/>
          <w:szCs w:val="22"/>
          <w:lang w:val="es-ES" w:eastAsia="zh-CN"/>
        </w:rPr>
      </w:pPr>
      <w:bookmarkStart w:id="82" w:name="_Toc140744452"/>
      <w:r w:rsidRPr="002473AB">
        <w:rPr>
          <w:rFonts w:ascii="Arial" w:hAnsi="Arial" w:cs="Arial"/>
          <w:sz w:val="22"/>
          <w:szCs w:val="22"/>
        </w:rPr>
        <w:t xml:space="preserve">Figura I.2. </w:t>
      </w:r>
      <w:r w:rsidRPr="002473AB">
        <w:rPr>
          <w:rFonts w:ascii="Arial" w:hAnsi="Arial" w:cs="Arial"/>
          <w:sz w:val="22"/>
          <w:szCs w:val="22"/>
        </w:rPr>
        <w:fldChar w:fldCharType="begin"/>
      </w:r>
      <w:r w:rsidRPr="002473AB">
        <w:rPr>
          <w:rFonts w:ascii="Arial" w:hAnsi="Arial" w:cs="Arial"/>
          <w:sz w:val="22"/>
          <w:szCs w:val="22"/>
        </w:rPr>
        <w:instrText xml:space="preserve"> SEQ Figura_I.2. \* ARABIC </w:instrText>
      </w:r>
      <w:r w:rsidRPr="002473AB">
        <w:rPr>
          <w:rFonts w:ascii="Arial" w:hAnsi="Arial" w:cs="Arial"/>
          <w:sz w:val="22"/>
          <w:szCs w:val="22"/>
        </w:rPr>
        <w:fldChar w:fldCharType="separate"/>
      </w:r>
      <w:r w:rsidR="00BB181C">
        <w:rPr>
          <w:rFonts w:ascii="Arial" w:hAnsi="Arial" w:cs="Arial"/>
          <w:noProof/>
          <w:sz w:val="22"/>
          <w:szCs w:val="22"/>
        </w:rPr>
        <w:t>10</w:t>
      </w:r>
      <w:r w:rsidRPr="002473AB">
        <w:rPr>
          <w:rFonts w:ascii="Arial" w:hAnsi="Arial" w:cs="Arial"/>
          <w:sz w:val="22"/>
          <w:szCs w:val="22"/>
        </w:rPr>
        <w:fldChar w:fldCharType="end"/>
      </w:r>
      <w:r w:rsidRPr="002473AB">
        <w:rPr>
          <w:rFonts w:ascii="Arial" w:hAnsi="Arial" w:cs="Arial"/>
          <w:sz w:val="22"/>
          <w:szCs w:val="22"/>
        </w:rPr>
        <w:t xml:space="preserve"> </w:t>
      </w:r>
      <w:r w:rsidR="005C13C5" w:rsidRPr="002473AB">
        <w:rPr>
          <w:rFonts w:ascii="Arial" w:hAnsi="Arial" w:cs="Arial"/>
          <w:i w:val="0"/>
          <w:iCs w:val="0"/>
          <w:sz w:val="22"/>
          <w:szCs w:val="22"/>
        </w:rPr>
        <w:t>- Horezu – Penetrabilitatea relativă a zonelor (Număr intrări / ieşiri la 100 ha)</w:t>
      </w:r>
      <w:bookmarkEnd w:id="82"/>
    </w:p>
    <w:p w14:paraId="67045C2F" w14:textId="77777777" w:rsidR="006F66E1" w:rsidRPr="006F66E1" w:rsidRDefault="006F66E1" w:rsidP="006F66E1">
      <w:pPr>
        <w:widowControl w:val="0"/>
        <w:suppressAutoHyphens/>
        <w:spacing w:after="0" w:line="360" w:lineRule="auto"/>
        <w:jc w:val="both"/>
        <w:rPr>
          <w:rFonts w:ascii="Arial" w:hAnsi="Arial" w:cs="Arial"/>
          <w:kern w:val="1"/>
          <w:sz w:val="20"/>
          <w:szCs w:val="24"/>
          <w:lang w:val="es-ES" w:eastAsia="hi-IN" w:bidi="hi-IN"/>
        </w:rPr>
      </w:pPr>
    </w:p>
    <w:p w14:paraId="2D515928" w14:textId="77777777" w:rsidR="006F66E1" w:rsidRPr="006F66E1" w:rsidRDefault="006F66E1" w:rsidP="006F66E1">
      <w:pPr>
        <w:widowControl w:val="0"/>
        <w:suppressAutoHyphens/>
        <w:spacing w:after="0" w:line="360" w:lineRule="auto"/>
        <w:jc w:val="center"/>
        <w:rPr>
          <w:rFonts w:ascii="Arial" w:hAnsi="Arial" w:cs="Arial"/>
          <w:kern w:val="1"/>
          <w:sz w:val="20"/>
          <w:szCs w:val="24"/>
          <w:lang w:val="es-ES" w:eastAsia="hi-IN" w:bidi="hi-IN"/>
        </w:rPr>
      </w:pPr>
      <w:r w:rsidRPr="006F66E1">
        <w:rPr>
          <w:rFonts w:ascii="Arial" w:hAnsi="Arial" w:cs="Arial"/>
          <w:noProof/>
          <w:kern w:val="1"/>
          <w:sz w:val="20"/>
          <w:szCs w:val="24"/>
        </w:rPr>
        <w:lastRenderedPageBreak/>
        <w:drawing>
          <wp:inline distT="0" distB="0" distL="0" distR="0" wp14:anchorId="5BF6D23F" wp14:editId="26ECAF07">
            <wp:extent cx="4846808" cy="6858000"/>
            <wp:effectExtent l="0" t="0" r="0" b="0"/>
            <wp:docPr id="237" name="Picture 237" descr="E:\Horezu\Materiale lucru\Florin_M\HorezuPe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Horezu\Materiale lucru\Florin_M\HorezuPene.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45131" cy="6855627"/>
                    </a:xfrm>
                    <a:prstGeom prst="rect">
                      <a:avLst/>
                    </a:prstGeom>
                    <a:noFill/>
                    <a:ln>
                      <a:noFill/>
                    </a:ln>
                  </pic:spPr>
                </pic:pic>
              </a:graphicData>
            </a:graphic>
          </wp:inline>
        </w:drawing>
      </w:r>
    </w:p>
    <w:p w14:paraId="24D62475" w14:textId="7684946B" w:rsidR="006F66E1" w:rsidRPr="002473AB" w:rsidRDefault="002473AB" w:rsidP="002473AB">
      <w:pPr>
        <w:pStyle w:val="Legend"/>
        <w:jc w:val="center"/>
        <w:rPr>
          <w:rFonts w:ascii="Arial" w:eastAsia="Calibri" w:hAnsi="Arial" w:cs="Arial"/>
          <w:i w:val="0"/>
          <w:iCs w:val="0"/>
          <w:color w:val="1F497D"/>
          <w:sz w:val="22"/>
          <w:szCs w:val="22"/>
          <w:lang w:val="es-ES" w:eastAsia="zh-CN"/>
        </w:rPr>
      </w:pPr>
      <w:bookmarkStart w:id="83" w:name="_Toc140744453"/>
      <w:r w:rsidRPr="002473AB">
        <w:rPr>
          <w:rFonts w:ascii="Arial" w:hAnsi="Arial" w:cs="Arial"/>
          <w:sz w:val="22"/>
          <w:szCs w:val="22"/>
        </w:rPr>
        <w:t xml:space="preserve">Figura I.2. </w:t>
      </w:r>
      <w:r w:rsidRPr="002473AB">
        <w:rPr>
          <w:rFonts w:ascii="Arial" w:hAnsi="Arial" w:cs="Arial"/>
          <w:sz w:val="22"/>
          <w:szCs w:val="22"/>
        </w:rPr>
        <w:fldChar w:fldCharType="begin"/>
      </w:r>
      <w:r w:rsidRPr="002473AB">
        <w:rPr>
          <w:rFonts w:ascii="Arial" w:hAnsi="Arial" w:cs="Arial"/>
          <w:sz w:val="22"/>
          <w:szCs w:val="22"/>
        </w:rPr>
        <w:instrText xml:space="preserve"> SEQ Figura_I.2. \* ARABIC </w:instrText>
      </w:r>
      <w:r w:rsidRPr="002473AB">
        <w:rPr>
          <w:rFonts w:ascii="Arial" w:hAnsi="Arial" w:cs="Arial"/>
          <w:sz w:val="22"/>
          <w:szCs w:val="22"/>
        </w:rPr>
        <w:fldChar w:fldCharType="separate"/>
      </w:r>
      <w:r w:rsidR="00BB181C">
        <w:rPr>
          <w:rFonts w:ascii="Arial" w:hAnsi="Arial" w:cs="Arial"/>
          <w:noProof/>
          <w:sz w:val="22"/>
          <w:szCs w:val="22"/>
        </w:rPr>
        <w:t>11</w:t>
      </w:r>
      <w:r w:rsidRPr="002473AB">
        <w:rPr>
          <w:rFonts w:ascii="Arial" w:hAnsi="Arial" w:cs="Arial"/>
          <w:sz w:val="22"/>
          <w:szCs w:val="22"/>
        </w:rPr>
        <w:fldChar w:fldCharType="end"/>
      </w:r>
      <w:r w:rsidRPr="002473AB">
        <w:rPr>
          <w:rFonts w:ascii="Arial" w:hAnsi="Arial" w:cs="Arial"/>
          <w:sz w:val="22"/>
          <w:szCs w:val="22"/>
        </w:rPr>
        <w:t xml:space="preserve"> </w:t>
      </w:r>
      <w:r w:rsidR="005C13C5" w:rsidRPr="002473AB">
        <w:rPr>
          <w:rFonts w:ascii="Arial" w:hAnsi="Arial" w:cs="Arial"/>
          <w:sz w:val="22"/>
          <w:szCs w:val="22"/>
        </w:rPr>
        <w:t xml:space="preserve">- </w:t>
      </w:r>
      <w:r w:rsidR="005C13C5" w:rsidRPr="002473AB">
        <w:rPr>
          <w:rFonts w:ascii="Arial" w:hAnsi="Arial" w:cs="Arial"/>
          <w:i w:val="0"/>
          <w:iCs w:val="0"/>
          <w:sz w:val="22"/>
          <w:szCs w:val="22"/>
        </w:rPr>
        <w:t>Penetrabilitatea relativă a zonelor detaliu orașul Horezu</w:t>
      </w:r>
      <w:bookmarkEnd w:id="83"/>
    </w:p>
    <w:p w14:paraId="46415693" w14:textId="77777777" w:rsidR="006F66E1" w:rsidRPr="006F66E1" w:rsidRDefault="006F66E1" w:rsidP="006F66E1">
      <w:pPr>
        <w:widowControl w:val="0"/>
        <w:suppressAutoHyphens/>
        <w:spacing w:after="0" w:line="360" w:lineRule="auto"/>
        <w:jc w:val="center"/>
        <w:rPr>
          <w:rFonts w:ascii="Arial" w:hAnsi="Arial" w:cs="Arial"/>
          <w:kern w:val="1"/>
          <w:sz w:val="20"/>
          <w:szCs w:val="24"/>
          <w:lang w:val="es-ES" w:eastAsia="hi-IN" w:bidi="hi-IN"/>
        </w:rPr>
      </w:pPr>
      <w:r w:rsidRPr="006F66E1">
        <w:rPr>
          <w:rFonts w:ascii="Arial" w:hAnsi="Arial" w:cs="Arial"/>
          <w:kern w:val="1"/>
          <w:sz w:val="20"/>
          <w:szCs w:val="24"/>
          <w:lang w:val="es-ES" w:eastAsia="hi-IN" w:bidi="hi-IN"/>
        </w:rPr>
        <w:br w:type="page"/>
      </w:r>
    </w:p>
    <w:p w14:paraId="53A31679" w14:textId="77777777" w:rsidR="006F66E1" w:rsidRPr="006F66E1" w:rsidRDefault="006F66E1" w:rsidP="006F66E1">
      <w:pPr>
        <w:widowControl w:val="0"/>
        <w:suppressAutoHyphens/>
        <w:spacing w:after="0" w:line="360" w:lineRule="auto"/>
        <w:jc w:val="center"/>
        <w:rPr>
          <w:rFonts w:ascii="Arial" w:hAnsi="Arial" w:cs="Arial"/>
          <w:kern w:val="1"/>
          <w:sz w:val="20"/>
          <w:szCs w:val="24"/>
          <w:lang w:val="ro-RO" w:eastAsia="hi-IN" w:bidi="hi-IN"/>
        </w:rPr>
      </w:pPr>
      <w:r w:rsidRPr="006F66E1">
        <w:rPr>
          <w:rFonts w:ascii="Arial" w:hAnsi="Arial" w:cs="Arial"/>
          <w:noProof/>
          <w:kern w:val="1"/>
          <w:sz w:val="20"/>
          <w:szCs w:val="24"/>
        </w:rPr>
        <w:lastRenderedPageBreak/>
        <w:drawing>
          <wp:inline distT="0" distB="0" distL="0" distR="0" wp14:anchorId="610367D9" wp14:editId="5AB3D489">
            <wp:extent cx="4749121" cy="6719777"/>
            <wp:effectExtent l="0" t="0" r="0" b="5080"/>
            <wp:docPr id="238" name="Picture 238" descr="E:\Horezu\Materiale lucru\Florin_M\HorezuPermisivi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orezu\Materiale lucru\Florin_M\HorezuPermisivitate.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758878" cy="6733583"/>
                    </a:xfrm>
                    <a:prstGeom prst="rect">
                      <a:avLst/>
                    </a:prstGeom>
                    <a:noFill/>
                    <a:ln>
                      <a:noFill/>
                    </a:ln>
                  </pic:spPr>
                </pic:pic>
              </a:graphicData>
            </a:graphic>
          </wp:inline>
        </w:drawing>
      </w:r>
    </w:p>
    <w:p w14:paraId="32A20E54" w14:textId="77777777" w:rsidR="006F66E1" w:rsidRPr="006F66E1" w:rsidRDefault="006F66E1" w:rsidP="006F66E1">
      <w:pPr>
        <w:ind w:left="720" w:firstLine="720"/>
        <w:rPr>
          <w:rFonts w:ascii="Arial" w:hAnsi="Arial" w:cs="Mangal"/>
          <w:kern w:val="1"/>
          <w:sz w:val="16"/>
          <w:szCs w:val="16"/>
          <w:lang w:val="es-ES" w:eastAsia="hi-IN" w:bidi="hi-IN"/>
        </w:rPr>
      </w:pPr>
      <w:r w:rsidRPr="006F66E1">
        <w:rPr>
          <w:rFonts w:ascii="Arial" w:hAnsi="Arial" w:cs="Mangal"/>
          <w:kern w:val="1"/>
          <w:sz w:val="16"/>
          <w:szCs w:val="16"/>
          <w:lang w:val="es-ES" w:eastAsia="hi-IN" w:bidi="hi-IN"/>
        </w:rPr>
        <w:t>Sursa: Elaborator: INCERTRANS SA</w:t>
      </w:r>
    </w:p>
    <w:p w14:paraId="0E0C7559" w14:textId="4D140093" w:rsidR="006F66E1" w:rsidRPr="002473AB" w:rsidRDefault="002473AB" w:rsidP="002473AB">
      <w:pPr>
        <w:pStyle w:val="Legend"/>
        <w:rPr>
          <w:rFonts w:ascii="Arial" w:hAnsi="Arial" w:cs="Arial"/>
          <w:i w:val="0"/>
          <w:iCs w:val="0"/>
          <w:color w:val="1F497D"/>
          <w:kern w:val="1"/>
          <w:sz w:val="22"/>
          <w:szCs w:val="22"/>
          <w:lang w:val="es-ES" w:eastAsia="hi-IN" w:bidi="hi-IN"/>
        </w:rPr>
      </w:pPr>
      <w:bookmarkStart w:id="84" w:name="_Toc140744454"/>
      <w:r w:rsidRPr="002473AB">
        <w:rPr>
          <w:rFonts w:ascii="Arial" w:hAnsi="Arial" w:cs="Arial"/>
          <w:sz w:val="22"/>
          <w:szCs w:val="22"/>
        </w:rPr>
        <w:t xml:space="preserve">Figura I.2. </w:t>
      </w:r>
      <w:r w:rsidRPr="002473AB">
        <w:rPr>
          <w:rFonts w:ascii="Arial" w:hAnsi="Arial" w:cs="Arial"/>
          <w:sz w:val="22"/>
          <w:szCs w:val="22"/>
        </w:rPr>
        <w:fldChar w:fldCharType="begin"/>
      </w:r>
      <w:r w:rsidRPr="002473AB">
        <w:rPr>
          <w:rFonts w:ascii="Arial" w:hAnsi="Arial" w:cs="Arial"/>
          <w:sz w:val="22"/>
          <w:szCs w:val="22"/>
        </w:rPr>
        <w:instrText xml:space="preserve"> SEQ Figura_I.2. \* ARABIC </w:instrText>
      </w:r>
      <w:r w:rsidRPr="002473AB">
        <w:rPr>
          <w:rFonts w:ascii="Arial" w:hAnsi="Arial" w:cs="Arial"/>
          <w:sz w:val="22"/>
          <w:szCs w:val="22"/>
        </w:rPr>
        <w:fldChar w:fldCharType="separate"/>
      </w:r>
      <w:r w:rsidR="00BB181C">
        <w:rPr>
          <w:rFonts w:ascii="Arial" w:hAnsi="Arial" w:cs="Arial"/>
          <w:noProof/>
          <w:sz w:val="22"/>
          <w:szCs w:val="22"/>
        </w:rPr>
        <w:t>12</w:t>
      </w:r>
      <w:r w:rsidRPr="002473AB">
        <w:rPr>
          <w:rFonts w:ascii="Arial" w:hAnsi="Arial" w:cs="Arial"/>
          <w:sz w:val="22"/>
          <w:szCs w:val="22"/>
        </w:rPr>
        <w:fldChar w:fldCharType="end"/>
      </w:r>
      <w:r w:rsidRPr="002473AB">
        <w:rPr>
          <w:rFonts w:ascii="Arial" w:hAnsi="Arial" w:cs="Arial"/>
          <w:sz w:val="22"/>
          <w:szCs w:val="22"/>
        </w:rPr>
        <w:t xml:space="preserve"> </w:t>
      </w:r>
      <w:r w:rsidR="005C13C5" w:rsidRPr="002473AB">
        <w:rPr>
          <w:rFonts w:ascii="Arial" w:hAnsi="Arial" w:cs="Arial"/>
          <w:sz w:val="22"/>
          <w:szCs w:val="22"/>
        </w:rPr>
        <w:t xml:space="preserve">- </w:t>
      </w:r>
      <w:r w:rsidR="005C13C5" w:rsidRPr="002473AB">
        <w:rPr>
          <w:rFonts w:ascii="Arial" w:hAnsi="Arial" w:cs="Arial"/>
          <w:i w:val="0"/>
          <w:iCs w:val="0"/>
          <w:sz w:val="22"/>
          <w:szCs w:val="22"/>
        </w:rPr>
        <w:t>Horezu – Permisivitatea reţelei majore (km reţea majoră la 1000 locuitori)</w:t>
      </w:r>
      <w:bookmarkEnd w:id="84"/>
    </w:p>
    <w:p w14:paraId="0EFEA017" w14:textId="77777777" w:rsidR="006F66E1" w:rsidRPr="006F66E1" w:rsidRDefault="006F66E1" w:rsidP="006F66E1">
      <w:pPr>
        <w:suppressAutoHyphens/>
        <w:autoSpaceDE w:val="0"/>
        <w:spacing w:after="0" w:line="276" w:lineRule="auto"/>
        <w:jc w:val="both"/>
        <w:rPr>
          <w:rFonts w:ascii="Arial" w:eastAsia="Calibri" w:hAnsi="Arial" w:cs="Arial"/>
          <w:lang w:val="es-ES" w:eastAsia="zh-CN"/>
        </w:rPr>
      </w:pPr>
    </w:p>
    <w:p w14:paraId="59505424" w14:textId="77777777" w:rsidR="006F66E1" w:rsidRPr="006F66E1" w:rsidRDefault="006F66E1" w:rsidP="006F66E1">
      <w:pPr>
        <w:suppressAutoHyphens/>
        <w:autoSpaceDE w:val="0"/>
        <w:spacing w:after="0" w:line="276" w:lineRule="auto"/>
        <w:jc w:val="center"/>
        <w:rPr>
          <w:rFonts w:ascii="Arial" w:eastAsia="Calibri" w:hAnsi="Arial" w:cs="Arial"/>
          <w:lang w:val="es-ES" w:eastAsia="zh-CN"/>
        </w:rPr>
      </w:pPr>
      <w:r w:rsidRPr="006F66E1">
        <w:rPr>
          <w:rFonts w:ascii="Arial" w:eastAsia="Calibri" w:hAnsi="Arial" w:cs="Arial"/>
          <w:noProof/>
        </w:rPr>
        <w:lastRenderedPageBreak/>
        <w:drawing>
          <wp:inline distT="0" distB="0" distL="0" distR="0" wp14:anchorId="3FED6A67" wp14:editId="1217DB12">
            <wp:extent cx="4852637" cy="6866247"/>
            <wp:effectExtent l="0" t="0" r="5715" b="0"/>
            <wp:docPr id="239" name="Picture 239" descr="E:\Horezu\Materiale lucru\Florin_M\HorezuPe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Horezu\Materiale lucru\Florin_M\HorezuPerm.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54086" cy="6868298"/>
                    </a:xfrm>
                    <a:prstGeom prst="rect">
                      <a:avLst/>
                    </a:prstGeom>
                    <a:noFill/>
                    <a:ln>
                      <a:noFill/>
                    </a:ln>
                  </pic:spPr>
                </pic:pic>
              </a:graphicData>
            </a:graphic>
          </wp:inline>
        </w:drawing>
      </w:r>
    </w:p>
    <w:p w14:paraId="79B8D559" w14:textId="7066A12A" w:rsidR="006F66E1" w:rsidRPr="002473AB" w:rsidRDefault="002473AB" w:rsidP="002473AB">
      <w:pPr>
        <w:pStyle w:val="Legend"/>
        <w:jc w:val="center"/>
        <w:rPr>
          <w:rFonts w:ascii="Arial" w:hAnsi="Arial" w:cs="Arial"/>
          <w:i w:val="0"/>
          <w:iCs w:val="0"/>
          <w:color w:val="1F497D"/>
          <w:kern w:val="1"/>
          <w:sz w:val="22"/>
          <w:szCs w:val="22"/>
          <w:lang w:val="es-ES" w:eastAsia="hi-IN" w:bidi="hi-IN"/>
        </w:rPr>
      </w:pPr>
      <w:bookmarkStart w:id="85" w:name="_Toc140744455"/>
      <w:r w:rsidRPr="002473AB">
        <w:rPr>
          <w:rFonts w:ascii="Arial" w:hAnsi="Arial" w:cs="Arial"/>
          <w:sz w:val="22"/>
          <w:szCs w:val="22"/>
        </w:rPr>
        <w:t xml:space="preserve">Figura I.2. </w:t>
      </w:r>
      <w:r w:rsidRPr="002473AB">
        <w:rPr>
          <w:rFonts w:ascii="Arial" w:hAnsi="Arial" w:cs="Arial"/>
          <w:sz w:val="22"/>
          <w:szCs w:val="22"/>
        </w:rPr>
        <w:fldChar w:fldCharType="begin"/>
      </w:r>
      <w:r w:rsidRPr="002473AB">
        <w:rPr>
          <w:rFonts w:ascii="Arial" w:hAnsi="Arial" w:cs="Arial"/>
          <w:sz w:val="22"/>
          <w:szCs w:val="22"/>
        </w:rPr>
        <w:instrText xml:space="preserve"> SEQ Figura_I.2. \* ARABIC </w:instrText>
      </w:r>
      <w:r w:rsidRPr="002473AB">
        <w:rPr>
          <w:rFonts w:ascii="Arial" w:hAnsi="Arial" w:cs="Arial"/>
          <w:sz w:val="22"/>
          <w:szCs w:val="22"/>
        </w:rPr>
        <w:fldChar w:fldCharType="separate"/>
      </w:r>
      <w:r w:rsidR="00BB181C">
        <w:rPr>
          <w:rFonts w:ascii="Arial" w:hAnsi="Arial" w:cs="Arial"/>
          <w:noProof/>
          <w:sz w:val="22"/>
          <w:szCs w:val="22"/>
        </w:rPr>
        <w:t>13</w:t>
      </w:r>
      <w:r w:rsidRPr="002473AB">
        <w:rPr>
          <w:rFonts w:ascii="Arial" w:hAnsi="Arial" w:cs="Arial"/>
          <w:sz w:val="22"/>
          <w:szCs w:val="22"/>
        </w:rPr>
        <w:fldChar w:fldCharType="end"/>
      </w:r>
      <w:r w:rsidRPr="002473AB">
        <w:rPr>
          <w:rFonts w:ascii="Arial" w:hAnsi="Arial" w:cs="Arial"/>
          <w:sz w:val="22"/>
          <w:szCs w:val="22"/>
        </w:rPr>
        <w:t xml:space="preserve"> </w:t>
      </w:r>
      <w:r w:rsidR="005C13C5" w:rsidRPr="002473AB">
        <w:rPr>
          <w:rFonts w:ascii="Arial" w:hAnsi="Arial" w:cs="Arial"/>
          <w:sz w:val="22"/>
          <w:szCs w:val="22"/>
        </w:rPr>
        <w:t xml:space="preserve">- </w:t>
      </w:r>
      <w:r w:rsidR="005C13C5" w:rsidRPr="002473AB">
        <w:rPr>
          <w:rFonts w:ascii="Arial" w:hAnsi="Arial" w:cs="Arial"/>
          <w:i w:val="0"/>
          <w:iCs w:val="0"/>
          <w:sz w:val="22"/>
          <w:szCs w:val="22"/>
        </w:rPr>
        <w:t>Permisivitatea reţele</w:t>
      </w:r>
      <w:r>
        <w:rPr>
          <w:rFonts w:ascii="Arial" w:hAnsi="Arial" w:cs="Arial"/>
          <w:i w:val="0"/>
          <w:iCs w:val="0"/>
          <w:sz w:val="22"/>
          <w:szCs w:val="22"/>
        </w:rPr>
        <w:t>i majore – detaliu oraş</w:t>
      </w:r>
      <w:r w:rsidR="005C13C5" w:rsidRPr="002473AB">
        <w:rPr>
          <w:rFonts w:ascii="Arial" w:hAnsi="Arial" w:cs="Arial"/>
          <w:i w:val="0"/>
          <w:iCs w:val="0"/>
          <w:sz w:val="22"/>
          <w:szCs w:val="22"/>
        </w:rPr>
        <w:t>ul Horezu</w:t>
      </w:r>
      <w:bookmarkEnd w:id="85"/>
    </w:p>
    <w:p w14:paraId="42DDA33B" w14:textId="77777777" w:rsidR="006F66E1" w:rsidRPr="006F66E1" w:rsidRDefault="006F66E1" w:rsidP="006F66E1">
      <w:pPr>
        <w:suppressAutoHyphens/>
        <w:autoSpaceDE w:val="0"/>
        <w:spacing w:after="0" w:line="276" w:lineRule="auto"/>
        <w:jc w:val="both"/>
        <w:rPr>
          <w:rFonts w:ascii="Arial" w:eastAsia="Arial" w:hAnsi="Arial" w:cs="Arial"/>
          <w:lang w:val="es-ES" w:eastAsia="zh-CN"/>
        </w:rPr>
      </w:pPr>
      <w:r w:rsidRPr="006F66E1">
        <w:rPr>
          <w:rFonts w:ascii="Arial" w:eastAsia="Calibri" w:hAnsi="Arial" w:cs="Arial"/>
          <w:lang w:val="es-ES" w:eastAsia="zh-CN"/>
        </w:rPr>
        <w:t xml:space="preserve">Observaţii: </w:t>
      </w:r>
    </w:p>
    <w:p w14:paraId="4BCBD77D" w14:textId="77777777" w:rsidR="006F66E1" w:rsidRPr="006F66E1" w:rsidRDefault="006F66E1" w:rsidP="000C6CB8">
      <w:pPr>
        <w:numPr>
          <w:ilvl w:val="0"/>
          <w:numId w:val="128"/>
        </w:numPr>
        <w:suppressAutoHyphens/>
        <w:autoSpaceDE w:val="0"/>
        <w:spacing w:after="0" w:line="276" w:lineRule="auto"/>
        <w:ind w:left="180" w:hanging="180"/>
        <w:jc w:val="both"/>
        <w:rPr>
          <w:rFonts w:ascii="Arial" w:eastAsia="Arial" w:hAnsi="Arial" w:cs="Arial"/>
          <w:lang w:val="es-ES" w:eastAsia="zh-CN"/>
        </w:rPr>
      </w:pPr>
      <w:r w:rsidRPr="006F66E1">
        <w:rPr>
          <w:rFonts w:ascii="Arial" w:eastAsia="Calibri" w:hAnsi="Arial" w:cs="Arial"/>
          <w:lang w:val="es-ES" w:eastAsia="zh-CN"/>
        </w:rPr>
        <w:t xml:space="preserve">Penetrabilitatea este o caracteristică a unei zone (cartier) prin care se comensurează mulţimea de puncte de intrare-ieşire de care beneficiază “membrana” care înconjoară zona (se pot lua în discuţie două feluri de penetrabilitate: absolută = un număr de intrări-ieşiri şi relativă = numărul de intrări-ieşiri raportat la aria zonei); </w:t>
      </w:r>
    </w:p>
    <w:p w14:paraId="6616B412" w14:textId="77777777" w:rsidR="006F66E1" w:rsidRPr="006F66E1" w:rsidRDefault="006F66E1" w:rsidP="000C6CB8">
      <w:pPr>
        <w:numPr>
          <w:ilvl w:val="0"/>
          <w:numId w:val="128"/>
        </w:numPr>
        <w:suppressAutoHyphens/>
        <w:autoSpaceDE w:val="0"/>
        <w:spacing w:after="0" w:line="276" w:lineRule="auto"/>
        <w:ind w:hanging="270"/>
        <w:jc w:val="both"/>
        <w:rPr>
          <w:rFonts w:ascii="Arial" w:eastAsia="Calibri" w:hAnsi="Arial" w:cs="Arial"/>
          <w:lang w:val="es-ES" w:eastAsia="zh-CN"/>
        </w:rPr>
      </w:pPr>
      <w:r w:rsidRPr="006F66E1">
        <w:rPr>
          <w:rFonts w:ascii="Arial" w:eastAsia="Calibri" w:hAnsi="Arial" w:cs="Arial"/>
          <w:lang w:val="es-ES" w:eastAsia="zh-CN"/>
        </w:rPr>
        <w:t>Permisivitatea tratează interiorul “membranei” menţionate mai sus: numărul de km de reţea rutieră la 1000 de locuitori: cu cât valoarea permisivităţii este mai mare</w:t>
      </w:r>
      <w:r w:rsidR="00412281">
        <w:rPr>
          <w:rFonts w:ascii="Arial" w:eastAsia="Calibri" w:hAnsi="Arial" w:cs="Arial"/>
          <w:lang w:val="es-ES" w:eastAsia="zh-CN"/>
        </w:rPr>
        <w:t>,</w:t>
      </w:r>
      <w:r w:rsidRPr="006F66E1">
        <w:rPr>
          <w:rFonts w:ascii="Arial" w:eastAsia="Calibri" w:hAnsi="Arial" w:cs="Arial"/>
          <w:lang w:val="es-ES" w:eastAsia="zh-CN"/>
        </w:rPr>
        <w:t xml:space="preserve"> cu atât zona (cartierul) respectiva oferă mai multe şi mai variate condiţii pentru deplasările motorizate. </w:t>
      </w:r>
    </w:p>
    <w:p w14:paraId="1006F254" w14:textId="77777777" w:rsidR="006F66E1" w:rsidRPr="006F66E1" w:rsidRDefault="006F66E1" w:rsidP="006F66E1">
      <w:pPr>
        <w:suppressAutoHyphens/>
        <w:autoSpaceDE w:val="0"/>
        <w:spacing w:after="0" w:line="276" w:lineRule="auto"/>
        <w:jc w:val="both"/>
        <w:rPr>
          <w:rFonts w:ascii="Arial" w:eastAsia="Calibri" w:hAnsi="Arial" w:cs="Arial"/>
          <w:color w:val="FF0000"/>
          <w:lang w:val="es-ES" w:eastAsia="zh-CN"/>
        </w:rPr>
      </w:pPr>
    </w:p>
    <w:p w14:paraId="758B478B" w14:textId="77777777" w:rsidR="006F66E1" w:rsidRPr="006F66E1" w:rsidRDefault="006F66E1" w:rsidP="006F66E1">
      <w:pPr>
        <w:suppressAutoHyphens/>
        <w:autoSpaceDE w:val="0"/>
        <w:spacing w:after="0" w:line="276" w:lineRule="auto"/>
        <w:jc w:val="both"/>
        <w:rPr>
          <w:rFonts w:ascii="Arial" w:eastAsia="Calibri" w:hAnsi="Arial" w:cs="Arial"/>
          <w:lang w:val="es-ES" w:eastAsia="zh-CN"/>
        </w:rPr>
      </w:pPr>
      <w:r w:rsidRPr="006F66E1">
        <w:rPr>
          <w:rFonts w:ascii="Arial" w:eastAsia="Calibri" w:hAnsi="Arial" w:cs="Arial"/>
          <w:lang w:val="es-ES" w:eastAsia="zh-CN"/>
        </w:rPr>
        <w:t>Problema care se pune în faţa factorilor de decizie ai ora</w:t>
      </w:r>
      <w:r w:rsidR="00412281">
        <w:rPr>
          <w:rFonts w:ascii="Arial" w:eastAsia="Calibri" w:hAnsi="Arial" w:cs="Arial"/>
          <w:lang w:val="es-ES" w:eastAsia="zh-CN"/>
        </w:rPr>
        <w:t>ș</w:t>
      </w:r>
      <w:r w:rsidRPr="006F66E1">
        <w:rPr>
          <w:rFonts w:ascii="Arial" w:eastAsia="Calibri" w:hAnsi="Arial" w:cs="Arial"/>
          <w:lang w:val="es-ES" w:eastAsia="zh-CN"/>
        </w:rPr>
        <w:t xml:space="preserve">ului este aceea de a corela construcţia şi reparaţiile străzilor cu necesităţile concrete ale cartierelor (zonelor); reprezentările grafo-analitice din figurile anterioare scot în evidenţă: </w:t>
      </w:r>
    </w:p>
    <w:p w14:paraId="7B44A730" w14:textId="77777777" w:rsidR="006F66E1" w:rsidRPr="006F66E1" w:rsidRDefault="006F66E1" w:rsidP="006F66E1">
      <w:pPr>
        <w:suppressAutoHyphens/>
        <w:autoSpaceDE w:val="0"/>
        <w:spacing w:after="0" w:line="276" w:lineRule="auto"/>
        <w:jc w:val="both"/>
        <w:rPr>
          <w:rFonts w:ascii="Arial" w:eastAsia="Arial" w:hAnsi="Arial" w:cs="Arial"/>
          <w:lang w:val="es-ES" w:eastAsia="zh-CN"/>
        </w:rPr>
      </w:pPr>
      <w:r w:rsidRPr="006F66E1">
        <w:rPr>
          <w:rFonts w:ascii="Arial" w:eastAsia="Calibri" w:hAnsi="Arial" w:cs="Arial"/>
          <w:lang w:val="es-ES" w:eastAsia="zh-CN"/>
        </w:rPr>
        <w:t xml:space="preserve">Din perspectiva penetrabilităţii: </w:t>
      </w:r>
    </w:p>
    <w:p w14:paraId="13CEDAD8" w14:textId="77777777" w:rsidR="006F66E1" w:rsidRPr="006F66E1" w:rsidRDefault="006F66E1" w:rsidP="006F66E1">
      <w:pPr>
        <w:suppressAutoHyphens/>
        <w:autoSpaceDE w:val="0"/>
        <w:spacing w:after="0" w:line="276" w:lineRule="auto"/>
        <w:jc w:val="both"/>
        <w:rPr>
          <w:rFonts w:ascii="Arial" w:eastAsia="Arial" w:hAnsi="Arial" w:cs="Arial"/>
          <w:lang w:val="es-ES" w:eastAsia="zh-CN"/>
        </w:rPr>
      </w:pPr>
      <w:r w:rsidRPr="006F66E1">
        <w:rPr>
          <w:rFonts w:ascii="Arial" w:eastAsia="Arial" w:hAnsi="Arial" w:cs="Arial"/>
          <w:lang w:val="es-ES" w:eastAsia="zh-CN"/>
        </w:rPr>
        <w:t xml:space="preserve">• </w:t>
      </w:r>
      <w:r w:rsidRPr="006F66E1">
        <w:rPr>
          <w:rFonts w:ascii="Arial" w:eastAsia="Calibri" w:hAnsi="Arial" w:cs="Arial"/>
          <w:lang w:val="es-ES" w:eastAsia="zh-CN"/>
        </w:rPr>
        <w:t xml:space="preserve">zonele Merilor, Olari, Tg. Jiu, Vest, dar </w:t>
      </w:r>
      <w:r w:rsidR="00412281">
        <w:rPr>
          <w:rFonts w:ascii="Arial" w:eastAsia="Calibri" w:hAnsi="Arial" w:cs="Arial"/>
          <w:lang w:val="es-ES" w:eastAsia="zh-CN"/>
        </w:rPr>
        <w:t>ș</w:t>
      </w:r>
      <w:r w:rsidRPr="006F66E1">
        <w:rPr>
          <w:rFonts w:ascii="Arial" w:eastAsia="Calibri" w:hAnsi="Arial" w:cs="Arial"/>
          <w:lang w:val="es-ES" w:eastAsia="zh-CN"/>
        </w:rPr>
        <w:t>i toate localit</w:t>
      </w:r>
      <w:r w:rsidR="00412281">
        <w:rPr>
          <w:rFonts w:ascii="Arial" w:eastAsia="Calibri" w:hAnsi="Arial" w:cs="Arial"/>
          <w:lang w:val="es-ES" w:eastAsia="zh-CN"/>
        </w:rPr>
        <w:t>ăț</w:t>
      </w:r>
      <w:r w:rsidRPr="006F66E1">
        <w:rPr>
          <w:rFonts w:ascii="Arial" w:eastAsia="Calibri" w:hAnsi="Arial" w:cs="Arial"/>
          <w:lang w:val="es-ES" w:eastAsia="zh-CN"/>
        </w:rPr>
        <w:t>ile componente fac notă discordantă cu întreg ansamblul central al ora</w:t>
      </w:r>
      <w:r w:rsidR="00412281">
        <w:rPr>
          <w:rFonts w:ascii="Arial" w:eastAsia="Calibri" w:hAnsi="Arial" w:cs="Arial"/>
          <w:lang w:val="es-ES" w:eastAsia="zh-CN"/>
        </w:rPr>
        <w:t>ș</w:t>
      </w:r>
      <w:r w:rsidRPr="006F66E1">
        <w:rPr>
          <w:rFonts w:ascii="Arial" w:eastAsia="Calibri" w:hAnsi="Arial" w:cs="Arial"/>
          <w:lang w:val="es-ES" w:eastAsia="zh-CN"/>
        </w:rPr>
        <w:t xml:space="preserve">ului; </w:t>
      </w:r>
      <w:r w:rsidRPr="006F66E1">
        <w:rPr>
          <w:rFonts w:ascii="Arial" w:eastAsia="Calibri" w:hAnsi="Arial" w:cs="Arial"/>
          <w:b/>
          <w:lang w:val="es-ES" w:eastAsia="zh-CN"/>
        </w:rPr>
        <w:t xml:space="preserve">concluzia: </w:t>
      </w:r>
      <w:r w:rsidRPr="006F66E1">
        <w:rPr>
          <w:rFonts w:ascii="Arial" w:eastAsia="Calibri" w:hAnsi="Arial" w:cs="Arial"/>
          <w:lang w:val="es-ES" w:eastAsia="zh-CN"/>
        </w:rPr>
        <w:t>cel puţin în primii doi ani de supraveghere PMUD eforturile de îmbunătăţire a penetrabilităţii trebuie concentrate în aceste cartiere (prin sporirea capacit</w:t>
      </w:r>
      <w:r w:rsidR="00412281">
        <w:rPr>
          <w:rFonts w:ascii="Arial" w:eastAsia="Calibri" w:hAnsi="Arial" w:cs="Arial"/>
          <w:lang w:val="es-ES" w:eastAsia="zh-CN"/>
        </w:rPr>
        <w:t>ăț</w:t>
      </w:r>
      <w:r w:rsidRPr="006F66E1">
        <w:rPr>
          <w:rFonts w:ascii="Arial" w:eastAsia="Calibri" w:hAnsi="Arial" w:cs="Arial"/>
          <w:lang w:val="es-ES" w:eastAsia="zh-CN"/>
        </w:rPr>
        <w:t>ii unor artere de circula</w:t>
      </w:r>
      <w:r w:rsidR="00412281">
        <w:rPr>
          <w:rFonts w:ascii="Arial" w:eastAsia="Calibri" w:hAnsi="Arial" w:cs="Arial"/>
          <w:lang w:val="es-ES" w:eastAsia="zh-CN"/>
        </w:rPr>
        <w:t>ț</w:t>
      </w:r>
      <w:r w:rsidRPr="006F66E1">
        <w:rPr>
          <w:rFonts w:ascii="Arial" w:eastAsia="Calibri" w:hAnsi="Arial" w:cs="Arial"/>
          <w:lang w:val="es-ES" w:eastAsia="zh-CN"/>
        </w:rPr>
        <w:t xml:space="preserve">ie </w:t>
      </w:r>
      <w:r w:rsidR="00412281">
        <w:rPr>
          <w:rFonts w:ascii="Arial" w:eastAsia="Calibri" w:hAnsi="Arial" w:cs="Arial"/>
          <w:lang w:val="es-ES" w:eastAsia="zh-CN"/>
        </w:rPr>
        <w:t>ș</w:t>
      </w:r>
      <w:r w:rsidRPr="006F66E1">
        <w:rPr>
          <w:rFonts w:ascii="Arial" w:eastAsia="Calibri" w:hAnsi="Arial" w:cs="Arial"/>
          <w:lang w:val="es-ES" w:eastAsia="zh-CN"/>
        </w:rPr>
        <w:t xml:space="preserve">i eventual crearea unor noi accese pentru multiplicarea intrărilor-ieşirilor din cartier). </w:t>
      </w:r>
    </w:p>
    <w:p w14:paraId="01AE546F" w14:textId="77777777" w:rsidR="006F66E1" w:rsidRPr="006F66E1" w:rsidRDefault="006F66E1" w:rsidP="006F66E1">
      <w:pPr>
        <w:widowControl w:val="0"/>
        <w:suppressAutoHyphens/>
        <w:autoSpaceDE w:val="0"/>
        <w:spacing w:after="0" w:line="276" w:lineRule="auto"/>
        <w:jc w:val="both"/>
        <w:rPr>
          <w:rFonts w:ascii="Arial" w:eastAsia="Calibri" w:hAnsi="Arial" w:cs="Arial"/>
          <w:color w:val="FF0000"/>
          <w:kern w:val="1"/>
          <w:lang w:val="es-ES" w:eastAsia="hi-IN" w:bidi="hi-IN"/>
        </w:rPr>
      </w:pPr>
    </w:p>
    <w:p w14:paraId="17E9D023" w14:textId="77777777" w:rsidR="006F66E1" w:rsidRPr="006F66E1" w:rsidRDefault="006F66E1" w:rsidP="006F66E1">
      <w:pPr>
        <w:suppressAutoHyphens/>
        <w:autoSpaceDE w:val="0"/>
        <w:spacing w:after="0" w:line="276" w:lineRule="auto"/>
        <w:jc w:val="both"/>
        <w:rPr>
          <w:rFonts w:ascii="Arial" w:eastAsia="Arial" w:hAnsi="Arial" w:cs="Arial"/>
          <w:lang w:val="es-ES" w:eastAsia="zh-CN"/>
        </w:rPr>
      </w:pPr>
      <w:r w:rsidRPr="006F66E1">
        <w:rPr>
          <w:rFonts w:ascii="Arial" w:eastAsia="Calibri" w:hAnsi="Arial" w:cs="Arial"/>
          <w:lang w:val="es-ES" w:eastAsia="zh-CN"/>
        </w:rPr>
        <w:t xml:space="preserve">Din perspectiva permisivităţii: </w:t>
      </w:r>
    </w:p>
    <w:p w14:paraId="7FE28FD4" w14:textId="77777777" w:rsidR="006F66E1" w:rsidRPr="006F66E1" w:rsidRDefault="006F66E1" w:rsidP="006F66E1">
      <w:pPr>
        <w:suppressAutoHyphens/>
        <w:autoSpaceDE w:val="0"/>
        <w:spacing w:after="0" w:line="276" w:lineRule="auto"/>
        <w:jc w:val="both"/>
        <w:rPr>
          <w:rFonts w:ascii="Arial" w:eastAsia="Arial" w:hAnsi="Arial" w:cs="Arial"/>
          <w:lang w:val="es-ES" w:eastAsia="zh-CN"/>
        </w:rPr>
      </w:pPr>
      <w:r w:rsidRPr="006F66E1">
        <w:rPr>
          <w:rFonts w:ascii="Arial" w:eastAsia="Arial" w:hAnsi="Arial" w:cs="Arial"/>
          <w:lang w:val="es-ES" w:eastAsia="zh-CN"/>
        </w:rPr>
        <w:t xml:space="preserve">• </w:t>
      </w:r>
      <w:r w:rsidRPr="006F66E1">
        <w:rPr>
          <w:rFonts w:ascii="Arial" w:eastAsia="Calibri" w:hAnsi="Arial" w:cs="Arial"/>
          <w:lang w:val="es-ES" w:eastAsia="zh-CN"/>
        </w:rPr>
        <w:t>se poate constata că cea mai slab</w:t>
      </w:r>
      <w:r w:rsidR="00412281">
        <w:rPr>
          <w:rFonts w:ascii="Arial" w:eastAsia="Calibri" w:hAnsi="Arial" w:cs="Arial"/>
          <w:lang w:val="es-ES" w:eastAsia="zh-CN"/>
        </w:rPr>
        <w:t>ă</w:t>
      </w:r>
      <w:r w:rsidRPr="006F66E1">
        <w:rPr>
          <w:rFonts w:ascii="Arial" w:eastAsia="Calibri" w:hAnsi="Arial" w:cs="Arial"/>
          <w:lang w:val="es-ES" w:eastAsia="zh-CN"/>
        </w:rPr>
        <w:t xml:space="preserve"> permisivitate o are cartierul Centru, care este un pol major de conce</w:t>
      </w:r>
      <w:r w:rsidR="00412281">
        <w:rPr>
          <w:rFonts w:ascii="Arial" w:eastAsia="Calibri" w:hAnsi="Arial" w:cs="Arial"/>
          <w:lang w:val="es-ES" w:eastAsia="zh-CN"/>
        </w:rPr>
        <w:t>n</w:t>
      </w:r>
      <w:r w:rsidRPr="006F66E1">
        <w:rPr>
          <w:rFonts w:ascii="Arial" w:eastAsia="Calibri" w:hAnsi="Arial" w:cs="Arial"/>
          <w:lang w:val="es-ES" w:eastAsia="zh-CN"/>
        </w:rPr>
        <w:t xml:space="preserve">trare a populaţiei: deci, în acest cartier trebuie intensificate eforturile pentru reparaţii şi chiar pentru noi drumuri – în ideea asigurării posibilităţilor de circulaţie lesnicioasă în perimetrul lor (noi drumuri înseamnă şi trecerea constructivă = lărgire şi asfaltare, a unor străzi în categoria superioară), dar </w:t>
      </w:r>
      <w:r w:rsidR="00412281">
        <w:rPr>
          <w:rFonts w:ascii="Arial" w:eastAsia="Calibri" w:hAnsi="Arial" w:cs="Arial"/>
          <w:lang w:val="es-ES" w:eastAsia="zh-CN"/>
        </w:rPr>
        <w:t>ș</w:t>
      </w:r>
      <w:r w:rsidRPr="006F66E1">
        <w:rPr>
          <w:rFonts w:ascii="Arial" w:eastAsia="Calibri" w:hAnsi="Arial" w:cs="Arial"/>
          <w:lang w:val="es-ES" w:eastAsia="zh-CN"/>
        </w:rPr>
        <w:t>i crearea de facilit</w:t>
      </w:r>
      <w:r w:rsidR="00412281">
        <w:rPr>
          <w:rFonts w:ascii="Arial" w:eastAsia="Calibri" w:hAnsi="Arial" w:cs="Arial"/>
          <w:lang w:val="es-ES" w:eastAsia="zh-CN"/>
        </w:rPr>
        <w:t>ăț</w:t>
      </w:r>
      <w:r w:rsidRPr="006F66E1">
        <w:rPr>
          <w:rFonts w:ascii="Arial" w:eastAsia="Calibri" w:hAnsi="Arial" w:cs="Arial"/>
          <w:lang w:val="es-ES" w:eastAsia="zh-CN"/>
        </w:rPr>
        <w:t>i pentru micromobilitate, care s</w:t>
      </w:r>
      <w:r w:rsidR="00412281">
        <w:rPr>
          <w:rFonts w:ascii="Arial" w:eastAsia="Calibri" w:hAnsi="Arial" w:cs="Arial"/>
          <w:lang w:val="es-ES" w:eastAsia="zh-CN"/>
        </w:rPr>
        <w:t>ă</w:t>
      </w:r>
      <w:r w:rsidRPr="006F66E1">
        <w:rPr>
          <w:rFonts w:ascii="Arial" w:eastAsia="Calibri" w:hAnsi="Arial" w:cs="Arial"/>
          <w:lang w:val="es-ES" w:eastAsia="zh-CN"/>
        </w:rPr>
        <w:t xml:space="preserve"> creeze condi</w:t>
      </w:r>
      <w:r w:rsidR="00024020">
        <w:rPr>
          <w:rFonts w:ascii="Arial" w:eastAsia="Calibri" w:hAnsi="Arial" w:cs="Arial"/>
          <w:lang w:val="es-ES" w:eastAsia="zh-CN"/>
        </w:rPr>
        <w:t>ț</w:t>
      </w:r>
      <w:r w:rsidRPr="006F66E1">
        <w:rPr>
          <w:rFonts w:ascii="Arial" w:eastAsia="Calibri" w:hAnsi="Arial" w:cs="Arial"/>
          <w:lang w:val="es-ES" w:eastAsia="zh-CN"/>
        </w:rPr>
        <w:t>ii propice pentru moduri alternative de deplasare.</w:t>
      </w:r>
    </w:p>
    <w:p w14:paraId="31B4A2F1" w14:textId="77777777" w:rsidR="006F66E1" w:rsidRPr="006F66E1" w:rsidRDefault="006F66E1" w:rsidP="006F66E1">
      <w:pPr>
        <w:suppressAutoHyphens/>
        <w:autoSpaceDE w:val="0"/>
        <w:spacing w:after="0" w:line="276" w:lineRule="auto"/>
        <w:jc w:val="both"/>
        <w:rPr>
          <w:rFonts w:ascii="Arial" w:eastAsia="Calibri" w:hAnsi="Arial" w:cs="Arial"/>
          <w:color w:val="FF0000"/>
          <w:lang w:val="es-ES" w:eastAsia="zh-CN"/>
        </w:rPr>
      </w:pPr>
    </w:p>
    <w:p w14:paraId="79DBB2D1" w14:textId="77777777" w:rsidR="006F66E1" w:rsidRPr="006F66E1" w:rsidRDefault="006F66E1" w:rsidP="006F66E1">
      <w:pPr>
        <w:widowControl w:val="0"/>
        <w:suppressAutoHyphens/>
        <w:autoSpaceDE w:val="0"/>
        <w:spacing w:after="0" w:line="276" w:lineRule="auto"/>
        <w:jc w:val="both"/>
        <w:rPr>
          <w:rFonts w:ascii="Arial" w:eastAsia="Calibri" w:hAnsi="Arial" w:cs="Arial"/>
          <w:kern w:val="1"/>
          <w:lang w:val="es-ES" w:eastAsia="hi-IN" w:bidi="hi-IN"/>
        </w:rPr>
      </w:pPr>
      <w:r w:rsidRPr="006F66E1">
        <w:rPr>
          <w:rFonts w:ascii="Arial" w:eastAsia="Calibri" w:hAnsi="Arial" w:cs="Arial"/>
          <w:b/>
          <w:bCs/>
          <w:kern w:val="1"/>
          <w:lang w:val="es-ES" w:eastAsia="hi-IN" w:bidi="hi-IN"/>
        </w:rPr>
        <w:t>Starea drumurilor</w:t>
      </w:r>
    </w:p>
    <w:p w14:paraId="7C67EFC3" w14:textId="77777777" w:rsidR="006F66E1" w:rsidRPr="006F66E1" w:rsidRDefault="006F66E1" w:rsidP="006F66E1">
      <w:pPr>
        <w:widowControl w:val="0"/>
        <w:suppressAutoHyphens/>
        <w:autoSpaceDE w:val="0"/>
        <w:spacing w:after="0" w:line="276" w:lineRule="auto"/>
        <w:jc w:val="both"/>
        <w:rPr>
          <w:rFonts w:ascii="Arial" w:eastAsia="Calibri" w:hAnsi="Arial" w:cs="Arial"/>
          <w:kern w:val="1"/>
          <w:lang w:val="es-ES" w:eastAsia="hi-IN" w:bidi="hi-IN"/>
        </w:rPr>
      </w:pPr>
      <w:r w:rsidRPr="006F66E1">
        <w:rPr>
          <w:rFonts w:ascii="Arial" w:eastAsia="Calibri" w:hAnsi="Arial" w:cs="Arial"/>
          <w:kern w:val="1"/>
          <w:lang w:val="es-ES" w:eastAsia="hi-IN" w:bidi="hi-IN"/>
        </w:rPr>
        <w:t xml:space="preserve">În urma efectuării unei evaluări vizuale a stării străzilor din Horezu s-a constatat că starea acestora este mediocră, influenţând atât desfăşurarea traficului rutier, cât și costurile generate de creșterea timpului de deplasare, a consumului de combustibil și a costurilor de întreţinere. </w:t>
      </w:r>
    </w:p>
    <w:p w14:paraId="3A660526" w14:textId="77777777" w:rsidR="006F66E1" w:rsidRPr="006F66E1" w:rsidRDefault="006F66E1" w:rsidP="006F66E1">
      <w:pPr>
        <w:widowControl w:val="0"/>
        <w:suppressAutoHyphens/>
        <w:autoSpaceDE w:val="0"/>
        <w:spacing w:after="0" w:line="276" w:lineRule="auto"/>
        <w:jc w:val="both"/>
        <w:rPr>
          <w:rFonts w:ascii="Arial" w:eastAsia="Calibri" w:hAnsi="Arial" w:cs="Arial"/>
          <w:color w:val="000000"/>
          <w:kern w:val="1"/>
          <w:lang w:val="es-ES" w:eastAsia="hi-IN" w:bidi="hi-IN"/>
        </w:rPr>
      </w:pPr>
    </w:p>
    <w:p w14:paraId="76E05FA3" w14:textId="77777777" w:rsidR="006F66E1" w:rsidRPr="006F66E1" w:rsidRDefault="006F66E1" w:rsidP="006F66E1">
      <w:pPr>
        <w:widowControl w:val="0"/>
        <w:suppressAutoHyphens/>
        <w:autoSpaceDE w:val="0"/>
        <w:spacing w:after="0" w:line="360" w:lineRule="auto"/>
        <w:jc w:val="center"/>
        <w:rPr>
          <w:rFonts w:ascii="Arial" w:eastAsia="Calibri" w:hAnsi="Arial" w:cs="Arial"/>
          <w:color w:val="000000"/>
          <w:kern w:val="1"/>
          <w:sz w:val="28"/>
          <w:szCs w:val="28"/>
          <w:lang w:val="es-ES" w:eastAsia="hi-IN" w:bidi="hi-IN"/>
        </w:rPr>
      </w:pPr>
      <w:r w:rsidRPr="006F66E1">
        <w:rPr>
          <w:rFonts w:ascii="Arial" w:eastAsia="Calibri" w:hAnsi="Arial" w:cs="Arial"/>
          <w:noProof/>
          <w:color w:val="000000"/>
          <w:kern w:val="1"/>
          <w:sz w:val="28"/>
          <w:szCs w:val="28"/>
        </w:rPr>
        <w:drawing>
          <wp:inline distT="0" distB="0" distL="0" distR="0" wp14:anchorId="383BF95D" wp14:editId="6FDA249F">
            <wp:extent cx="4008475" cy="1974495"/>
            <wp:effectExtent l="0" t="0" r="0" b="6985"/>
            <wp:docPr id="63" name="Picture 63" descr="E:\Horezu\Materiale lucru\Florin_M\Drumuri Diverse\10.5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Horezu\Materiale lucru\Florin_M\Drumuri Diverse\10.53.55.pn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b="20679"/>
                    <a:stretch/>
                  </pic:blipFill>
                  <pic:spPr bwMode="auto">
                    <a:xfrm>
                      <a:off x="0" y="0"/>
                      <a:ext cx="4029313" cy="1984760"/>
                    </a:xfrm>
                    <a:prstGeom prst="rect">
                      <a:avLst/>
                    </a:prstGeom>
                    <a:noFill/>
                    <a:ln>
                      <a:noFill/>
                    </a:ln>
                    <a:extLst>
                      <a:ext uri="{53640926-AAD7-44D8-BBD7-CCE9431645EC}">
                        <a14:shadowObscured xmlns:a14="http://schemas.microsoft.com/office/drawing/2010/main"/>
                      </a:ext>
                    </a:extLst>
                  </pic:spPr>
                </pic:pic>
              </a:graphicData>
            </a:graphic>
          </wp:inline>
        </w:drawing>
      </w:r>
    </w:p>
    <w:p w14:paraId="18C1F271" w14:textId="77777777" w:rsidR="006F66E1" w:rsidRPr="006F66E1" w:rsidRDefault="006F66E1" w:rsidP="006F66E1">
      <w:pPr>
        <w:widowControl w:val="0"/>
        <w:suppressAutoHyphens/>
        <w:autoSpaceDE w:val="0"/>
        <w:spacing w:after="0" w:line="360" w:lineRule="auto"/>
        <w:jc w:val="center"/>
        <w:rPr>
          <w:rFonts w:ascii="Arial" w:eastAsia="Calibri" w:hAnsi="Arial" w:cs="Arial"/>
          <w:color w:val="000000"/>
          <w:kern w:val="1"/>
          <w:sz w:val="28"/>
          <w:szCs w:val="28"/>
          <w:lang w:val="es-ES" w:eastAsia="hi-IN" w:bidi="hi-IN"/>
        </w:rPr>
      </w:pPr>
      <w:r w:rsidRPr="006F66E1">
        <w:rPr>
          <w:rFonts w:ascii="Arial" w:eastAsia="Calibri" w:hAnsi="Arial" w:cs="Arial"/>
          <w:noProof/>
          <w:color w:val="000000"/>
          <w:kern w:val="1"/>
          <w:sz w:val="28"/>
          <w:szCs w:val="28"/>
        </w:rPr>
        <w:drawing>
          <wp:inline distT="0" distB="0" distL="0" distR="0" wp14:anchorId="1EBBDEAD" wp14:editId="285A5084">
            <wp:extent cx="3962511" cy="2271959"/>
            <wp:effectExtent l="0" t="0" r="0" b="0"/>
            <wp:docPr id="64" name="Picture 64" descr="E:\Horezu\Materiale lucru\Florin_M\Drumuri Diverse\11.36.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Horezu\Materiale lucru\Florin_M\Drumuri Diverse\11.36.34.pn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1290" r="11763" b="21605"/>
                    <a:stretch/>
                  </pic:blipFill>
                  <pic:spPr bwMode="auto">
                    <a:xfrm>
                      <a:off x="0" y="0"/>
                      <a:ext cx="3971179" cy="2276929"/>
                    </a:xfrm>
                    <a:prstGeom prst="rect">
                      <a:avLst/>
                    </a:prstGeom>
                    <a:noFill/>
                    <a:ln>
                      <a:noFill/>
                    </a:ln>
                    <a:extLst>
                      <a:ext uri="{53640926-AAD7-44D8-BBD7-CCE9431645EC}">
                        <a14:shadowObscured xmlns:a14="http://schemas.microsoft.com/office/drawing/2010/main"/>
                      </a:ext>
                    </a:extLst>
                  </pic:spPr>
                </pic:pic>
              </a:graphicData>
            </a:graphic>
          </wp:inline>
        </w:drawing>
      </w:r>
    </w:p>
    <w:p w14:paraId="637EA733" w14:textId="7873CA9E" w:rsidR="006F66E1" w:rsidRPr="00726442" w:rsidRDefault="00726442" w:rsidP="00726442">
      <w:pPr>
        <w:pStyle w:val="Legend"/>
        <w:jc w:val="center"/>
        <w:rPr>
          <w:rFonts w:ascii="Arial" w:eastAsia="Calibri" w:hAnsi="Arial" w:cs="Arial"/>
          <w:i w:val="0"/>
          <w:iCs w:val="0"/>
          <w:color w:val="000000"/>
          <w:kern w:val="1"/>
          <w:sz w:val="22"/>
          <w:szCs w:val="22"/>
          <w:lang w:val="es-ES" w:eastAsia="hi-IN" w:bidi="hi-IN"/>
        </w:rPr>
      </w:pPr>
      <w:bookmarkStart w:id="86" w:name="_Toc140744456"/>
      <w:r w:rsidRPr="00726442">
        <w:rPr>
          <w:rFonts w:ascii="Arial" w:hAnsi="Arial" w:cs="Arial"/>
          <w:sz w:val="22"/>
          <w:szCs w:val="22"/>
        </w:rPr>
        <w:lastRenderedPageBreak/>
        <w:t xml:space="preserve">Figura I.2. </w:t>
      </w:r>
      <w:r w:rsidRPr="00726442">
        <w:rPr>
          <w:rFonts w:ascii="Arial" w:hAnsi="Arial" w:cs="Arial"/>
          <w:sz w:val="22"/>
          <w:szCs w:val="22"/>
        </w:rPr>
        <w:fldChar w:fldCharType="begin"/>
      </w:r>
      <w:r w:rsidRPr="00726442">
        <w:rPr>
          <w:rFonts w:ascii="Arial" w:hAnsi="Arial" w:cs="Arial"/>
          <w:sz w:val="22"/>
          <w:szCs w:val="22"/>
        </w:rPr>
        <w:instrText xml:space="preserve"> SEQ Figura_I.2. \* ARABIC </w:instrText>
      </w:r>
      <w:r w:rsidRPr="00726442">
        <w:rPr>
          <w:rFonts w:ascii="Arial" w:hAnsi="Arial" w:cs="Arial"/>
          <w:sz w:val="22"/>
          <w:szCs w:val="22"/>
        </w:rPr>
        <w:fldChar w:fldCharType="separate"/>
      </w:r>
      <w:r w:rsidR="00BB181C">
        <w:rPr>
          <w:rFonts w:ascii="Arial" w:hAnsi="Arial" w:cs="Arial"/>
          <w:noProof/>
          <w:sz w:val="22"/>
          <w:szCs w:val="22"/>
        </w:rPr>
        <w:t>14</w:t>
      </w:r>
      <w:r w:rsidRPr="00726442">
        <w:rPr>
          <w:rFonts w:ascii="Arial" w:hAnsi="Arial" w:cs="Arial"/>
          <w:sz w:val="22"/>
          <w:szCs w:val="22"/>
        </w:rPr>
        <w:fldChar w:fldCharType="end"/>
      </w:r>
      <w:r w:rsidRPr="00726442">
        <w:rPr>
          <w:rFonts w:ascii="Arial" w:hAnsi="Arial" w:cs="Arial"/>
          <w:sz w:val="22"/>
          <w:szCs w:val="22"/>
        </w:rPr>
        <w:t xml:space="preserve"> </w:t>
      </w:r>
      <w:r w:rsidR="00024020" w:rsidRPr="00726442">
        <w:rPr>
          <w:rFonts w:ascii="Arial" w:hAnsi="Arial" w:cs="Arial"/>
          <w:i w:val="0"/>
          <w:iCs w:val="0"/>
          <w:sz w:val="22"/>
          <w:szCs w:val="22"/>
        </w:rPr>
        <w:t>- Exemple de suprafețe carosabile în stare necorespunzătoare</w:t>
      </w:r>
      <w:bookmarkEnd w:id="86"/>
    </w:p>
    <w:p w14:paraId="0CE13AAE" w14:textId="77777777" w:rsidR="006F66E1" w:rsidRPr="006F66E1" w:rsidRDefault="006F66E1" w:rsidP="006F66E1">
      <w:pPr>
        <w:widowControl w:val="0"/>
        <w:suppressAutoHyphens/>
        <w:autoSpaceDE w:val="0"/>
        <w:spacing w:after="0" w:line="360" w:lineRule="auto"/>
        <w:jc w:val="center"/>
        <w:rPr>
          <w:rFonts w:ascii="Arial" w:eastAsia="Calibri" w:hAnsi="Arial" w:cs="Arial"/>
          <w:color w:val="000000"/>
          <w:kern w:val="1"/>
          <w:sz w:val="28"/>
          <w:szCs w:val="28"/>
          <w:lang w:val="es-ES" w:eastAsia="hi-IN" w:bidi="hi-IN"/>
        </w:rPr>
      </w:pPr>
      <w:r w:rsidRPr="006F66E1">
        <w:rPr>
          <w:rFonts w:ascii="Arial" w:eastAsia="Calibri" w:hAnsi="Arial" w:cs="Arial"/>
          <w:noProof/>
          <w:color w:val="000000"/>
          <w:kern w:val="1"/>
          <w:sz w:val="28"/>
          <w:szCs w:val="28"/>
        </w:rPr>
        <w:drawing>
          <wp:inline distT="0" distB="0" distL="0" distR="0" wp14:anchorId="2BCF9E3D" wp14:editId="56F64C2C">
            <wp:extent cx="3253563" cy="1382233"/>
            <wp:effectExtent l="0" t="0" r="4445" b="8890"/>
            <wp:docPr id="240" name="Picture 240" descr="E:\Horezu\Materiale lucru\Florin_M\Drumuri Diverse\foto 16 din 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orezu\Materiale lucru\Florin_M\Drumuri Diverse\foto 16 din 548.pn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 r="46968" b="60339"/>
                    <a:stretch/>
                  </pic:blipFill>
                  <pic:spPr bwMode="auto">
                    <a:xfrm>
                      <a:off x="0" y="0"/>
                      <a:ext cx="3250736" cy="1381032"/>
                    </a:xfrm>
                    <a:prstGeom prst="rect">
                      <a:avLst/>
                    </a:prstGeom>
                    <a:noFill/>
                    <a:ln>
                      <a:noFill/>
                    </a:ln>
                    <a:extLst>
                      <a:ext uri="{53640926-AAD7-44D8-BBD7-CCE9431645EC}">
                        <a14:shadowObscured xmlns:a14="http://schemas.microsoft.com/office/drawing/2010/main"/>
                      </a:ext>
                    </a:extLst>
                  </pic:spPr>
                </pic:pic>
              </a:graphicData>
            </a:graphic>
          </wp:inline>
        </w:drawing>
      </w:r>
    </w:p>
    <w:p w14:paraId="3794CEF2" w14:textId="77777777" w:rsidR="006F66E1" w:rsidRPr="006F66E1" w:rsidRDefault="006F66E1" w:rsidP="006F66E1">
      <w:pPr>
        <w:widowControl w:val="0"/>
        <w:suppressAutoHyphens/>
        <w:autoSpaceDE w:val="0"/>
        <w:spacing w:after="0" w:line="360" w:lineRule="auto"/>
        <w:jc w:val="center"/>
        <w:rPr>
          <w:rFonts w:ascii="Arial" w:eastAsia="Calibri" w:hAnsi="Arial" w:cs="Arial"/>
          <w:noProof/>
          <w:color w:val="000000"/>
          <w:kern w:val="1"/>
          <w:sz w:val="28"/>
          <w:szCs w:val="28"/>
          <w:lang w:val="ro-RO" w:eastAsia="ro-RO"/>
        </w:rPr>
      </w:pPr>
    </w:p>
    <w:p w14:paraId="62D3FA6B" w14:textId="77777777" w:rsidR="006F66E1" w:rsidRPr="006F66E1" w:rsidRDefault="006F66E1" w:rsidP="006F66E1">
      <w:pPr>
        <w:widowControl w:val="0"/>
        <w:suppressAutoHyphens/>
        <w:autoSpaceDE w:val="0"/>
        <w:spacing w:after="0" w:line="360" w:lineRule="auto"/>
        <w:jc w:val="center"/>
        <w:rPr>
          <w:rFonts w:ascii="Arial" w:eastAsia="Calibri" w:hAnsi="Arial" w:cs="Arial"/>
          <w:color w:val="000000"/>
          <w:kern w:val="1"/>
          <w:sz w:val="28"/>
          <w:szCs w:val="28"/>
          <w:lang w:val="es-ES" w:eastAsia="hi-IN" w:bidi="hi-IN"/>
        </w:rPr>
      </w:pPr>
      <w:r w:rsidRPr="006F66E1">
        <w:rPr>
          <w:rFonts w:ascii="Arial" w:eastAsia="Calibri" w:hAnsi="Arial" w:cs="Arial"/>
          <w:noProof/>
          <w:color w:val="000000"/>
          <w:kern w:val="1"/>
          <w:sz w:val="28"/>
          <w:szCs w:val="28"/>
        </w:rPr>
        <w:drawing>
          <wp:inline distT="0" distB="0" distL="0" distR="0" wp14:anchorId="41D50ECC" wp14:editId="25A587A5">
            <wp:extent cx="3242931" cy="2023557"/>
            <wp:effectExtent l="0" t="0" r="0" b="0"/>
            <wp:docPr id="249" name="Picture 249" descr="E:\Horezu\Materiale lucru\Florin_M\Drumuri Diverse\10.58.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Horezu\Materiale lucru\Florin_M\Drumuri Diverse\10.58.47.p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3194" r="18403" b="23365"/>
                    <a:stretch/>
                  </pic:blipFill>
                  <pic:spPr bwMode="auto">
                    <a:xfrm>
                      <a:off x="0" y="0"/>
                      <a:ext cx="3245738" cy="2025309"/>
                    </a:xfrm>
                    <a:prstGeom prst="rect">
                      <a:avLst/>
                    </a:prstGeom>
                    <a:noFill/>
                    <a:ln>
                      <a:noFill/>
                    </a:ln>
                    <a:extLst>
                      <a:ext uri="{53640926-AAD7-44D8-BBD7-CCE9431645EC}">
                        <a14:shadowObscured xmlns:a14="http://schemas.microsoft.com/office/drawing/2010/main"/>
                      </a:ext>
                    </a:extLst>
                  </pic:spPr>
                </pic:pic>
              </a:graphicData>
            </a:graphic>
          </wp:inline>
        </w:drawing>
      </w:r>
    </w:p>
    <w:p w14:paraId="793AD946" w14:textId="6DE60753" w:rsidR="006F66E1" w:rsidRPr="00726442" w:rsidRDefault="00726442" w:rsidP="00726442">
      <w:pPr>
        <w:pStyle w:val="Legend"/>
        <w:jc w:val="center"/>
        <w:rPr>
          <w:rFonts w:ascii="Arial" w:eastAsia="Calibri" w:hAnsi="Arial" w:cs="Arial"/>
          <w:i w:val="0"/>
          <w:iCs w:val="0"/>
          <w:color w:val="000000"/>
          <w:kern w:val="1"/>
          <w:sz w:val="22"/>
          <w:szCs w:val="22"/>
          <w:lang w:val="es-ES" w:eastAsia="hi-IN" w:bidi="hi-IN"/>
        </w:rPr>
      </w:pPr>
      <w:bookmarkStart w:id="87" w:name="_Toc140744457"/>
      <w:r w:rsidRPr="00726442">
        <w:rPr>
          <w:rFonts w:ascii="Arial" w:hAnsi="Arial" w:cs="Arial"/>
          <w:sz w:val="22"/>
          <w:szCs w:val="22"/>
        </w:rPr>
        <w:t xml:space="preserve">Figura I.2. </w:t>
      </w:r>
      <w:r w:rsidRPr="00726442">
        <w:rPr>
          <w:rFonts w:ascii="Arial" w:hAnsi="Arial" w:cs="Arial"/>
          <w:sz w:val="22"/>
          <w:szCs w:val="22"/>
        </w:rPr>
        <w:fldChar w:fldCharType="begin"/>
      </w:r>
      <w:r w:rsidRPr="00726442">
        <w:rPr>
          <w:rFonts w:ascii="Arial" w:hAnsi="Arial" w:cs="Arial"/>
          <w:sz w:val="22"/>
          <w:szCs w:val="22"/>
        </w:rPr>
        <w:instrText xml:space="preserve"> SEQ Figura_I.2. \* ARABIC </w:instrText>
      </w:r>
      <w:r w:rsidRPr="00726442">
        <w:rPr>
          <w:rFonts w:ascii="Arial" w:hAnsi="Arial" w:cs="Arial"/>
          <w:sz w:val="22"/>
          <w:szCs w:val="22"/>
        </w:rPr>
        <w:fldChar w:fldCharType="separate"/>
      </w:r>
      <w:r w:rsidR="00BB181C">
        <w:rPr>
          <w:rFonts w:ascii="Arial" w:hAnsi="Arial" w:cs="Arial"/>
          <w:noProof/>
          <w:sz w:val="22"/>
          <w:szCs w:val="22"/>
        </w:rPr>
        <w:t>15</w:t>
      </w:r>
      <w:r w:rsidRPr="00726442">
        <w:rPr>
          <w:rFonts w:ascii="Arial" w:hAnsi="Arial" w:cs="Arial"/>
          <w:sz w:val="22"/>
          <w:szCs w:val="22"/>
        </w:rPr>
        <w:fldChar w:fldCharType="end"/>
      </w:r>
      <w:r w:rsidRPr="00726442">
        <w:rPr>
          <w:rFonts w:ascii="Arial" w:hAnsi="Arial" w:cs="Arial"/>
          <w:sz w:val="22"/>
          <w:szCs w:val="22"/>
        </w:rPr>
        <w:t xml:space="preserve"> </w:t>
      </w:r>
      <w:r w:rsidR="00024020" w:rsidRPr="00726442">
        <w:rPr>
          <w:rFonts w:ascii="Arial" w:hAnsi="Arial" w:cs="Arial"/>
          <w:i w:val="0"/>
          <w:iCs w:val="0"/>
          <w:sz w:val="22"/>
          <w:szCs w:val="22"/>
        </w:rPr>
        <w:t>- Exemple de suprafețe carosabile improrii circulației rutiere</w:t>
      </w:r>
      <w:bookmarkEnd w:id="87"/>
    </w:p>
    <w:p w14:paraId="61AE3CAD" w14:textId="77777777" w:rsidR="006F66E1" w:rsidRPr="006F66E1" w:rsidRDefault="006F66E1" w:rsidP="006F66E1">
      <w:pPr>
        <w:widowControl w:val="0"/>
        <w:suppressAutoHyphens/>
        <w:autoSpaceDE w:val="0"/>
        <w:spacing w:after="0" w:line="360" w:lineRule="auto"/>
        <w:jc w:val="both"/>
        <w:rPr>
          <w:rFonts w:ascii="Arial" w:eastAsia="Calibri" w:hAnsi="Arial" w:cs="Arial"/>
          <w:color w:val="000000"/>
          <w:kern w:val="1"/>
          <w:sz w:val="28"/>
          <w:szCs w:val="28"/>
          <w:lang w:val="es-ES" w:eastAsia="hi-IN" w:bidi="hi-IN"/>
        </w:rPr>
      </w:pPr>
    </w:p>
    <w:p w14:paraId="745AA890" w14:textId="77777777" w:rsidR="006F66E1" w:rsidRPr="006F66E1" w:rsidRDefault="006F66E1" w:rsidP="006F66E1">
      <w:pPr>
        <w:widowControl w:val="0"/>
        <w:suppressAutoHyphens/>
        <w:autoSpaceDE w:val="0"/>
        <w:spacing w:after="0" w:line="276" w:lineRule="auto"/>
        <w:jc w:val="both"/>
        <w:rPr>
          <w:rFonts w:ascii="Arial" w:eastAsia="Calibri" w:hAnsi="Arial" w:cs="Arial"/>
          <w:kern w:val="1"/>
          <w:lang w:val="es-ES" w:eastAsia="hi-IN" w:bidi="hi-IN"/>
        </w:rPr>
      </w:pPr>
      <w:r w:rsidRPr="006F66E1">
        <w:rPr>
          <w:rFonts w:ascii="Arial" w:eastAsia="Calibri" w:hAnsi="Arial" w:cs="Arial"/>
          <w:b/>
          <w:bCs/>
          <w:kern w:val="1"/>
          <w:lang w:val="es-ES" w:eastAsia="hi-IN" w:bidi="hi-IN"/>
        </w:rPr>
        <w:t>Sensuri unice</w:t>
      </w:r>
    </w:p>
    <w:p w14:paraId="550195D8" w14:textId="77777777" w:rsidR="006F66E1" w:rsidRPr="006F66E1" w:rsidRDefault="00DA33DD" w:rsidP="006F66E1">
      <w:pPr>
        <w:widowControl w:val="0"/>
        <w:suppressAutoHyphens/>
        <w:autoSpaceDE w:val="0"/>
        <w:spacing w:after="0" w:line="276" w:lineRule="auto"/>
        <w:jc w:val="both"/>
        <w:rPr>
          <w:rFonts w:ascii="Arial" w:eastAsia="Calibri" w:hAnsi="Arial" w:cs="Arial"/>
          <w:color w:val="000000"/>
          <w:kern w:val="1"/>
          <w:lang w:val="es-ES" w:eastAsia="hi-IN" w:bidi="hi-IN"/>
        </w:rPr>
      </w:pPr>
      <w:r>
        <w:rPr>
          <w:rFonts w:ascii="Arial" w:eastAsia="Calibri" w:hAnsi="Arial" w:cs="Arial"/>
          <w:color w:val="000000"/>
          <w:kern w:val="1"/>
          <w:lang w:val="es-ES" w:eastAsia="hi-IN" w:bidi="hi-IN"/>
        </w:rPr>
        <w:t>Î</w:t>
      </w:r>
      <w:r w:rsidR="006F66E1" w:rsidRPr="006F66E1">
        <w:rPr>
          <w:rFonts w:ascii="Arial" w:eastAsia="Calibri" w:hAnsi="Arial" w:cs="Arial"/>
          <w:color w:val="000000"/>
          <w:kern w:val="1"/>
          <w:lang w:val="es-ES" w:eastAsia="hi-IN" w:bidi="hi-IN"/>
        </w:rPr>
        <w:t>n ora</w:t>
      </w:r>
      <w:r>
        <w:rPr>
          <w:rFonts w:ascii="Arial" w:eastAsia="Calibri" w:hAnsi="Arial" w:cs="Arial"/>
          <w:color w:val="000000"/>
          <w:kern w:val="1"/>
          <w:lang w:val="es-ES" w:eastAsia="hi-IN" w:bidi="hi-IN"/>
        </w:rPr>
        <w:t>ș</w:t>
      </w:r>
      <w:r w:rsidR="006F66E1" w:rsidRPr="006F66E1">
        <w:rPr>
          <w:rFonts w:ascii="Arial" w:eastAsia="Calibri" w:hAnsi="Arial" w:cs="Arial"/>
          <w:color w:val="000000"/>
          <w:kern w:val="1"/>
          <w:lang w:val="es-ES" w:eastAsia="hi-IN" w:bidi="hi-IN"/>
        </w:rPr>
        <w:t>ul Horezu sunt un total de 582 m str</w:t>
      </w:r>
      <w:r>
        <w:rPr>
          <w:rFonts w:ascii="Arial" w:eastAsia="Calibri" w:hAnsi="Arial" w:cs="Arial"/>
          <w:color w:val="000000"/>
          <w:kern w:val="1"/>
          <w:lang w:val="es-ES" w:eastAsia="hi-IN" w:bidi="hi-IN"/>
        </w:rPr>
        <w:t>ă</w:t>
      </w:r>
      <w:r w:rsidR="006F66E1" w:rsidRPr="006F66E1">
        <w:rPr>
          <w:rFonts w:ascii="Arial" w:eastAsia="Calibri" w:hAnsi="Arial" w:cs="Arial"/>
          <w:color w:val="000000"/>
          <w:kern w:val="1"/>
          <w:lang w:val="es-ES" w:eastAsia="hi-IN" w:bidi="hi-IN"/>
        </w:rPr>
        <w:t>zi cu circula</w:t>
      </w:r>
      <w:r>
        <w:rPr>
          <w:rFonts w:ascii="Arial" w:eastAsia="Calibri" w:hAnsi="Arial" w:cs="Arial"/>
          <w:color w:val="000000"/>
          <w:kern w:val="1"/>
          <w:lang w:val="es-ES" w:eastAsia="hi-IN" w:bidi="hi-IN"/>
        </w:rPr>
        <w:t>ț</w:t>
      </w:r>
      <w:r w:rsidR="006F66E1" w:rsidRPr="006F66E1">
        <w:rPr>
          <w:rFonts w:ascii="Arial" w:eastAsia="Calibri" w:hAnsi="Arial" w:cs="Arial"/>
          <w:color w:val="000000"/>
          <w:kern w:val="1"/>
          <w:lang w:val="es-ES" w:eastAsia="hi-IN" w:bidi="hi-IN"/>
        </w:rPr>
        <w:t xml:space="preserve">ie </w:t>
      </w:r>
      <w:r>
        <w:rPr>
          <w:rFonts w:ascii="Arial" w:eastAsia="Calibri" w:hAnsi="Arial" w:cs="Arial"/>
          <w:color w:val="000000"/>
          <w:kern w:val="1"/>
          <w:lang w:val="es-ES" w:eastAsia="hi-IN" w:bidi="hi-IN"/>
        </w:rPr>
        <w:t>î</w:t>
      </w:r>
      <w:r w:rsidR="006F66E1" w:rsidRPr="006F66E1">
        <w:rPr>
          <w:rFonts w:ascii="Arial" w:eastAsia="Calibri" w:hAnsi="Arial" w:cs="Arial"/>
          <w:color w:val="000000"/>
          <w:kern w:val="1"/>
          <w:lang w:val="es-ES" w:eastAsia="hi-IN" w:bidi="hi-IN"/>
        </w:rPr>
        <w:t>n sens unic, distribui</w:t>
      </w:r>
      <w:r>
        <w:rPr>
          <w:rFonts w:ascii="Arial" w:eastAsia="Calibri" w:hAnsi="Arial" w:cs="Arial"/>
          <w:color w:val="000000"/>
          <w:kern w:val="1"/>
          <w:lang w:val="es-ES" w:eastAsia="hi-IN" w:bidi="hi-IN"/>
        </w:rPr>
        <w:t>ț</w:t>
      </w:r>
      <w:r w:rsidR="006F66E1" w:rsidRPr="006F66E1">
        <w:rPr>
          <w:rFonts w:ascii="Arial" w:eastAsia="Calibri" w:hAnsi="Arial" w:cs="Arial"/>
          <w:color w:val="000000"/>
          <w:kern w:val="1"/>
          <w:lang w:val="es-ES" w:eastAsia="hi-IN" w:bidi="hi-IN"/>
        </w:rPr>
        <w:t xml:space="preserve">i pe patru tronsoane stradale, </w:t>
      </w:r>
      <w:r w:rsidR="006F66E1" w:rsidRPr="006F66E1">
        <w:rPr>
          <w:rFonts w:ascii="Arial" w:eastAsia="Calibri" w:hAnsi="Arial" w:cs="Arial"/>
          <w:kern w:val="1"/>
          <w:lang w:val="es-ES" w:eastAsia="hi-IN" w:bidi="hi-IN"/>
        </w:rPr>
        <w:t>pe următoarele artere rutiere:</w:t>
      </w:r>
    </w:p>
    <w:p w14:paraId="38DE7149" w14:textId="77777777" w:rsidR="006F66E1" w:rsidRPr="006F66E1" w:rsidRDefault="006F66E1" w:rsidP="000C6CB8">
      <w:pPr>
        <w:widowControl w:val="0"/>
        <w:numPr>
          <w:ilvl w:val="0"/>
          <w:numId w:val="129"/>
        </w:numPr>
        <w:suppressAutoHyphens/>
        <w:autoSpaceDE w:val="0"/>
        <w:spacing w:after="0" w:line="276" w:lineRule="auto"/>
        <w:jc w:val="both"/>
        <w:rPr>
          <w:rFonts w:ascii="Arial" w:eastAsia="Calibri" w:hAnsi="Arial" w:cs="Arial"/>
          <w:color w:val="000000"/>
          <w:kern w:val="1"/>
          <w:lang w:val="es-ES" w:eastAsia="hi-IN" w:bidi="hi-IN"/>
        </w:rPr>
      </w:pPr>
      <w:r w:rsidRPr="006F66E1">
        <w:rPr>
          <w:rFonts w:ascii="Arial" w:eastAsia="Calibri" w:hAnsi="Arial" w:cs="Arial"/>
          <w:color w:val="000000"/>
          <w:kern w:val="1"/>
          <w:lang w:val="es-ES" w:eastAsia="hi-IN" w:bidi="hi-IN"/>
        </w:rPr>
        <w:t xml:space="preserve">str. Eroilor, </w:t>
      </w:r>
      <w:r w:rsidRPr="006F66E1">
        <w:rPr>
          <w:rFonts w:ascii="Arial" w:eastAsia="Times New Roman" w:hAnsi="Arial" w:cs="Arial"/>
          <w:lang w:eastAsia="zh-CN"/>
        </w:rPr>
        <w:t>din intersec</w:t>
      </w:r>
      <w:r w:rsidR="00F9565F">
        <w:rPr>
          <w:rFonts w:ascii="Arial" w:eastAsia="Times New Roman" w:hAnsi="Arial" w:cs="Arial"/>
          <w:lang w:eastAsia="zh-CN"/>
        </w:rPr>
        <w:t>ț</w:t>
      </w:r>
      <w:r w:rsidRPr="006F66E1">
        <w:rPr>
          <w:rFonts w:ascii="Arial" w:eastAsia="Times New Roman" w:hAnsi="Arial" w:cs="Arial"/>
          <w:lang w:eastAsia="zh-CN"/>
        </w:rPr>
        <w:t>ia cu str. 1 Decembrie p</w:t>
      </w:r>
      <w:r w:rsidR="00F9565F">
        <w:rPr>
          <w:rFonts w:ascii="Arial" w:eastAsia="Times New Roman" w:hAnsi="Arial" w:cs="Arial"/>
          <w:lang w:eastAsia="zh-CN"/>
        </w:rPr>
        <w:t>â</w:t>
      </w:r>
      <w:r w:rsidRPr="006F66E1">
        <w:rPr>
          <w:rFonts w:ascii="Arial" w:eastAsia="Times New Roman" w:hAnsi="Arial" w:cs="Arial"/>
          <w:lang w:eastAsia="zh-CN"/>
        </w:rPr>
        <w:t>n</w:t>
      </w:r>
      <w:r w:rsidR="00F9565F">
        <w:rPr>
          <w:rFonts w:ascii="Arial" w:eastAsia="Times New Roman" w:hAnsi="Arial" w:cs="Arial"/>
          <w:lang w:eastAsia="zh-CN"/>
        </w:rPr>
        <w:t>ă</w:t>
      </w:r>
      <w:r w:rsidRPr="006F66E1">
        <w:rPr>
          <w:rFonts w:ascii="Arial" w:eastAsia="Times New Roman" w:hAnsi="Arial" w:cs="Arial"/>
          <w:lang w:eastAsia="zh-CN"/>
        </w:rPr>
        <w:t xml:space="preserve"> la intersec</w:t>
      </w:r>
      <w:r w:rsidR="00F9565F">
        <w:rPr>
          <w:rFonts w:ascii="Arial" w:eastAsia="Times New Roman" w:hAnsi="Arial" w:cs="Arial"/>
          <w:lang w:eastAsia="zh-CN"/>
        </w:rPr>
        <w:t>ț</w:t>
      </w:r>
      <w:r w:rsidRPr="006F66E1">
        <w:rPr>
          <w:rFonts w:ascii="Arial" w:eastAsia="Times New Roman" w:hAnsi="Arial" w:cs="Arial"/>
          <w:lang w:eastAsia="zh-CN"/>
        </w:rPr>
        <w:t>ia cu str. Tudor Vladimirescu</w:t>
      </w:r>
      <w:r w:rsidRPr="006F66E1">
        <w:rPr>
          <w:rFonts w:ascii="Arial" w:eastAsia="Calibri" w:hAnsi="Arial" w:cs="Arial"/>
          <w:color w:val="000000"/>
          <w:kern w:val="1"/>
          <w:lang w:val="es-ES" w:eastAsia="hi-IN" w:bidi="hi-IN"/>
        </w:rPr>
        <w:t>;</w:t>
      </w:r>
    </w:p>
    <w:p w14:paraId="48ACD3FD" w14:textId="77777777" w:rsidR="006F66E1" w:rsidRPr="006F66E1" w:rsidRDefault="006F66E1" w:rsidP="000C6CB8">
      <w:pPr>
        <w:widowControl w:val="0"/>
        <w:numPr>
          <w:ilvl w:val="0"/>
          <w:numId w:val="129"/>
        </w:numPr>
        <w:suppressAutoHyphens/>
        <w:autoSpaceDE w:val="0"/>
        <w:spacing w:after="0" w:line="276" w:lineRule="auto"/>
        <w:jc w:val="both"/>
        <w:rPr>
          <w:rFonts w:ascii="Arial" w:eastAsia="Calibri" w:hAnsi="Arial" w:cs="Arial"/>
          <w:color w:val="000000"/>
          <w:kern w:val="1"/>
          <w:lang w:val="es-ES" w:eastAsia="hi-IN" w:bidi="hi-IN"/>
        </w:rPr>
      </w:pPr>
      <w:r w:rsidRPr="006F66E1">
        <w:rPr>
          <w:rFonts w:ascii="Arial" w:eastAsia="Calibri" w:hAnsi="Arial" w:cs="Arial"/>
          <w:color w:val="000000"/>
          <w:kern w:val="1"/>
          <w:lang w:val="es-ES" w:eastAsia="hi-IN" w:bidi="hi-IN"/>
        </w:rPr>
        <w:t>str. Independen</w:t>
      </w:r>
      <w:r w:rsidR="00F9565F">
        <w:rPr>
          <w:rFonts w:ascii="Arial" w:eastAsia="Calibri" w:hAnsi="Arial" w:cs="Arial"/>
          <w:color w:val="000000"/>
          <w:kern w:val="1"/>
          <w:lang w:val="es-ES" w:eastAsia="hi-IN" w:bidi="hi-IN"/>
        </w:rPr>
        <w:t>ț</w:t>
      </w:r>
      <w:r w:rsidRPr="006F66E1">
        <w:rPr>
          <w:rFonts w:ascii="Arial" w:eastAsia="Calibri" w:hAnsi="Arial" w:cs="Arial"/>
          <w:color w:val="000000"/>
          <w:kern w:val="1"/>
          <w:lang w:val="es-ES" w:eastAsia="hi-IN" w:bidi="hi-IN"/>
        </w:rPr>
        <w:t xml:space="preserve">ei, </w:t>
      </w:r>
      <w:r w:rsidRPr="006F66E1">
        <w:rPr>
          <w:rFonts w:ascii="Arial" w:eastAsia="Times New Roman" w:hAnsi="Arial" w:cs="Arial"/>
          <w:lang w:eastAsia="zh-CN"/>
        </w:rPr>
        <w:t>din intersec</w:t>
      </w:r>
      <w:r w:rsidR="00F9565F">
        <w:rPr>
          <w:rFonts w:ascii="Arial" w:eastAsia="Times New Roman" w:hAnsi="Arial" w:cs="Arial"/>
          <w:lang w:eastAsia="zh-CN"/>
        </w:rPr>
        <w:t>ț</w:t>
      </w:r>
      <w:r w:rsidRPr="006F66E1">
        <w:rPr>
          <w:rFonts w:ascii="Arial" w:eastAsia="Times New Roman" w:hAnsi="Arial" w:cs="Arial"/>
          <w:lang w:eastAsia="zh-CN"/>
        </w:rPr>
        <w:t>ia cu str. Tudor Vladimirescu p</w:t>
      </w:r>
      <w:r w:rsidR="00DA33DD">
        <w:rPr>
          <w:rFonts w:ascii="Arial" w:eastAsia="Times New Roman" w:hAnsi="Arial" w:cs="Arial"/>
          <w:lang w:eastAsia="zh-CN"/>
        </w:rPr>
        <w:t>â</w:t>
      </w:r>
      <w:r w:rsidRPr="006F66E1">
        <w:rPr>
          <w:rFonts w:ascii="Arial" w:eastAsia="Times New Roman" w:hAnsi="Arial" w:cs="Arial"/>
          <w:lang w:eastAsia="zh-CN"/>
        </w:rPr>
        <w:t>n</w:t>
      </w:r>
      <w:r w:rsidR="00DA33DD">
        <w:rPr>
          <w:rFonts w:ascii="Arial" w:eastAsia="Times New Roman" w:hAnsi="Arial" w:cs="Arial"/>
          <w:lang w:eastAsia="zh-CN"/>
        </w:rPr>
        <w:t>ă</w:t>
      </w:r>
      <w:r w:rsidRPr="006F66E1">
        <w:rPr>
          <w:rFonts w:ascii="Arial" w:eastAsia="Times New Roman" w:hAnsi="Arial" w:cs="Arial"/>
          <w:lang w:eastAsia="zh-CN"/>
        </w:rPr>
        <w:t xml:space="preserve"> la intersec</w:t>
      </w:r>
      <w:r w:rsidR="00DA33DD">
        <w:rPr>
          <w:rFonts w:ascii="Arial" w:eastAsia="Times New Roman" w:hAnsi="Arial" w:cs="Arial"/>
          <w:lang w:eastAsia="zh-CN"/>
        </w:rPr>
        <w:t>ț</w:t>
      </w:r>
      <w:r w:rsidRPr="006F66E1">
        <w:rPr>
          <w:rFonts w:ascii="Arial" w:eastAsia="Times New Roman" w:hAnsi="Arial" w:cs="Arial"/>
          <w:lang w:eastAsia="zh-CN"/>
        </w:rPr>
        <w:t>ia cu str. Nicolae Iorga;</w:t>
      </w:r>
    </w:p>
    <w:p w14:paraId="294D5BEA" w14:textId="77777777" w:rsidR="006F66E1" w:rsidRPr="006F66E1" w:rsidRDefault="006F66E1" w:rsidP="000C6CB8">
      <w:pPr>
        <w:widowControl w:val="0"/>
        <w:numPr>
          <w:ilvl w:val="0"/>
          <w:numId w:val="129"/>
        </w:numPr>
        <w:suppressAutoHyphens/>
        <w:autoSpaceDE w:val="0"/>
        <w:spacing w:after="0" w:line="276" w:lineRule="auto"/>
        <w:jc w:val="both"/>
        <w:rPr>
          <w:rFonts w:ascii="Arial" w:eastAsia="Calibri" w:hAnsi="Arial" w:cs="Arial"/>
          <w:color w:val="000000"/>
          <w:kern w:val="1"/>
          <w:lang w:val="es-ES" w:eastAsia="hi-IN" w:bidi="hi-IN"/>
        </w:rPr>
      </w:pPr>
      <w:r w:rsidRPr="006F66E1">
        <w:rPr>
          <w:rFonts w:ascii="Arial" w:eastAsia="Times New Roman" w:hAnsi="Arial" w:cs="Arial"/>
          <w:lang w:eastAsia="zh-CN"/>
        </w:rPr>
        <w:t>str. Constantin Br</w:t>
      </w:r>
      <w:r w:rsidR="00DA33DD">
        <w:rPr>
          <w:rFonts w:ascii="Arial" w:eastAsia="Times New Roman" w:hAnsi="Arial" w:cs="Arial"/>
          <w:lang w:eastAsia="zh-CN"/>
        </w:rPr>
        <w:t>â</w:t>
      </w:r>
      <w:r w:rsidRPr="006F66E1">
        <w:rPr>
          <w:rFonts w:ascii="Arial" w:eastAsia="Times New Roman" w:hAnsi="Arial" w:cs="Arial"/>
          <w:lang w:eastAsia="zh-CN"/>
        </w:rPr>
        <w:t>ncoveanu (par</w:t>
      </w:r>
      <w:r w:rsidR="00DA33DD">
        <w:rPr>
          <w:rFonts w:ascii="Arial" w:eastAsia="Times New Roman" w:hAnsi="Arial" w:cs="Arial"/>
          <w:lang w:eastAsia="zh-CN"/>
        </w:rPr>
        <w:t>ț</w:t>
      </w:r>
      <w:r w:rsidRPr="006F66E1">
        <w:rPr>
          <w:rFonts w:ascii="Arial" w:eastAsia="Times New Roman" w:hAnsi="Arial" w:cs="Arial"/>
          <w:lang w:eastAsia="zh-CN"/>
        </w:rPr>
        <w:t>ial), din intersec</w:t>
      </w:r>
      <w:r w:rsidR="00DA33DD">
        <w:rPr>
          <w:rFonts w:ascii="Arial" w:eastAsia="Times New Roman" w:hAnsi="Arial" w:cs="Arial"/>
          <w:lang w:eastAsia="zh-CN"/>
        </w:rPr>
        <w:t>ț</w:t>
      </w:r>
      <w:r w:rsidRPr="006F66E1">
        <w:rPr>
          <w:rFonts w:ascii="Arial" w:eastAsia="Times New Roman" w:hAnsi="Arial" w:cs="Arial"/>
          <w:lang w:eastAsia="zh-CN"/>
        </w:rPr>
        <w:t>ia cu str. George Co</w:t>
      </w:r>
      <w:r w:rsidR="00DA33DD">
        <w:rPr>
          <w:rFonts w:ascii="Arial" w:eastAsia="Times New Roman" w:hAnsi="Arial" w:cs="Arial"/>
          <w:lang w:eastAsia="zh-CN"/>
        </w:rPr>
        <w:t>ș</w:t>
      </w:r>
      <w:r w:rsidRPr="006F66E1">
        <w:rPr>
          <w:rFonts w:ascii="Arial" w:eastAsia="Times New Roman" w:hAnsi="Arial" w:cs="Arial"/>
          <w:lang w:eastAsia="zh-CN"/>
        </w:rPr>
        <w:t>buc p</w:t>
      </w:r>
      <w:r w:rsidR="00DA33DD">
        <w:rPr>
          <w:rFonts w:ascii="Arial" w:eastAsia="Times New Roman" w:hAnsi="Arial" w:cs="Arial"/>
          <w:lang w:eastAsia="zh-CN"/>
        </w:rPr>
        <w:t>â</w:t>
      </w:r>
      <w:r w:rsidRPr="006F66E1">
        <w:rPr>
          <w:rFonts w:ascii="Arial" w:eastAsia="Times New Roman" w:hAnsi="Arial" w:cs="Arial"/>
          <w:lang w:eastAsia="zh-CN"/>
        </w:rPr>
        <w:t>n</w:t>
      </w:r>
      <w:r w:rsidR="00DA33DD">
        <w:rPr>
          <w:rFonts w:ascii="Arial" w:eastAsia="Times New Roman" w:hAnsi="Arial" w:cs="Arial"/>
          <w:lang w:eastAsia="zh-CN"/>
        </w:rPr>
        <w:t>ă</w:t>
      </w:r>
      <w:r w:rsidRPr="006F66E1">
        <w:rPr>
          <w:rFonts w:ascii="Arial" w:eastAsia="Times New Roman" w:hAnsi="Arial" w:cs="Arial"/>
          <w:lang w:eastAsia="zh-CN"/>
        </w:rPr>
        <w:t xml:space="preserve"> la intersec</w:t>
      </w:r>
      <w:r w:rsidR="00DA33DD">
        <w:rPr>
          <w:rFonts w:ascii="Arial" w:eastAsia="Times New Roman" w:hAnsi="Arial" w:cs="Arial"/>
          <w:lang w:eastAsia="zh-CN"/>
        </w:rPr>
        <w:t>ț</w:t>
      </w:r>
      <w:r w:rsidRPr="006F66E1">
        <w:rPr>
          <w:rFonts w:ascii="Arial" w:eastAsia="Times New Roman" w:hAnsi="Arial" w:cs="Arial"/>
          <w:lang w:eastAsia="zh-CN"/>
        </w:rPr>
        <w:t>ia cu str. Independen</w:t>
      </w:r>
      <w:r w:rsidR="00DA33DD">
        <w:rPr>
          <w:rFonts w:ascii="Arial" w:eastAsia="Times New Roman" w:hAnsi="Arial" w:cs="Arial"/>
          <w:lang w:eastAsia="zh-CN"/>
        </w:rPr>
        <w:t>ț</w:t>
      </w:r>
      <w:r w:rsidRPr="006F66E1">
        <w:rPr>
          <w:rFonts w:ascii="Arial" w:eastAsia="Times New Roman" w:hAnsi="Arial" w:cs="Arial"/>
          <w:lang w:eastAsia="zh-CN"/>
        </w:rPr>
        <w:t>ei;</w:t>
      </w:r>
    </w:p>
    <w:p w14:paraId="17CBF308" w14:textId="77777777" w:rsidR="006F66E1" w:rsidRPr="006F66E1" w:rsidRDefault="006F66E1" w:rsidP="000C6CB8">
      <w:pPr>
        <w:widowControl w:val="0"/>
        <w:numPr>
          <w:ilvl w:val="0"/>
          <w:numId w:val="129"/>
        </w:numPr>
        <w:suppressAutoHyphens/>
        <w:autoSpaceDE w:val="0"/>
        <w:spacing w:after="0" w:line="276" w:lineRule="auto"/>
        <w:jc w:val="both"/>
        <w:rPr>
          <w:rFonts w:ascii="Arial" w:eastAsia="Calibri" w:hAnsi="Arial" w:cs="Arial"/>
          <w:color w:val="000000"/>
          <w:kern w:val="1"/>
          <w:lang w:val="es-ES" w:eastAsia="hi-IN" w:bidi="hi-IN"/>
        </w:rPr>
      </w:pPr>
      <w:r w:rsidRPr="006F66E1">
        <w:rPr>
          <w:rFonts w:ascii="Arial" w:eastAsia="Calibri" w:hAnsi="Arial" w:cs="Arial"/>
          <w:color w:val="000000"/>
          <w:kern w:val="1"/>
          <w:lang w:val="es-ES" w:eastAsia="hi-IN" w:bidi="hi-IN"/>
        </w:rPr>
        <w:t xml:space="preserve">str. Florilor, </w:t>
      </w:r>
      <w:r w:rsidRPr="006F66E1">
        <w:rPr>
          <w:rFonts w:ascii="Arial" w:eastAsia="Times New Roman" w:hAnsi="Arial" w:cs="Arial"/>
          <w:lang w:eastAsia="zh-CN"/>
        </w:rPr>
        <w:t>din intersec</w:t>
      </w:r>
      <w:r w:rsidR="00DA33DD">
        <w:rPr>
          <w:rFonts w:ascii="Arial" w:eastAsia="Times New Roman" w:hAnsi="Arial" w:cs="Arial"/>
          <w:lang w:eastAsia="zh-CN"/>
        </w:rPr>
        <w:t>ț</w:t>
      </w:r>
      <w:r w:rsidRPr="006F66E1">
        <w:rPr>
          <w:rFonts w:ascii="Arial" w:eastAsia="Times New Roman" w:hAnsi="Arial" w:cs="Arial"/>
          <w:lang w:eastAsia="zh-CN"/>
        </w:rPr>
        <w:t>ia cu str. Al.I. Cuza  p</w:t>
      </w:r>
      <w:r w:rsidR="00DA33DD">
        <w:rPr>
          <w:rFonts w:ascii="Arial" w:eastAsia="Times New Roman" w:hAnsi="Arial" w:cs="Arial"/>
          <w:lang w:eastAsia="zh-CN"/>
        </w:rPr>
        <w:t>â</w:t>
      </w:r>
      <w:r w:rsidRPr="006F66E1">
        <w:rPr>
          <w:rFonts w:ascii="Arial" w:eastAsia="Times New Roman" w:hAnsi="Arial" w:cs="Arial"/>
          <w:lang w:eastAsia="zh-CN"/>
        </w:rPr>
        <w:t>n</w:t>
      </w:r>
      <w:r w:rsidR="00DA33DD">
        <w:rPr>
          <w:rFonts w:ascii="Arial" w:eastAsia="Times New Roman" w:hAnsi="Arial" w:cs="Arial"/>
          <w:lang w:eastAsia="zh-CN"/>
        </w:rPr>
        <w:t>ă</w:t>
      </w:r>
      <w:r w:rsidRPr="006F66E1">
        <w:rPr>
          <w:rFonts w:ascii="Arial" w:eastAsia="Times New Roman" w:hAnsi="Arial" w:cs="Arial"/>
          <w:lang w:eastAsia="zh-CN"/>
        </w:rPr>
        <w:t xml:space="preserve"> la intersec</w:t>
      </w:r>
      <w:r w:rsidR="00DA33DD">
        <w:rPr>
          <w:rFonts w:ascii="Arial" w:eastAsia="Times New Roman" w:hAnsi="Arial" w:cs="Arial"/>
          <w:lang w:eastAsia="zh-CN"/>
        </w:rPr>
        <w:t>ț</w:t>
      </w:r>
      <w:r w:rsidRPr="006F66E1">
        <w:rPr>
          <w:rFonts w:ascii="Arial" w:eastAsia="Times New Roman" w:hAnsi="Arial" w:cs="Arial"/>
          <w:lang w:eastAsia="zh-CN"/>
        </w:rPr>
        <w:t>ia cu str. Z</w:t>
      </w:r>
      <w:r w:rsidR="00DA33DD">
        <w:rPr>
          <w:rFonts w:ascii="Arial" w:eastAsia="Times New Roman" w:hAnsi="Arial" w:cs="Arial"/>
          <w:lang w:eastAsia="zh-CN"/>
        </w:rPr>
        <w:t>ă</w:t>
      </w:r>
      <w:r w:rsidRPr="006F66E1">
        <w:rPr>
          <w:rFonts w:ascii="Arial" w:eastAsia="Times New Roman" w:hAnsi="Arial" w:cs="Arial"/>
          <w:lang w:eastAsia="zh-CN"/>
        </w:rPr>
        <w:t>voiului;</w:t>
      </w:r>
    </w:p>
    <w:p w14:paraId="06373747" w14:textId="77777777" w:rsidR="006F66E1" w:rsidRPr="006F66E1" w:rsidRDefault="006F66E1" w:rsidP="006F66E1">
      <w:pPr>
        <w:suppressAutoHyphens/>
        <w:autoSpaceDE w:val="0"/>
        <w:spacing w:after="0" w:line="360" w:lineRule="auto"/>
        <w:jc w:val="both"/>
        <w:rPr>
          <w:rFonts w:ascii="Arial" w:eastAsia="Calibri" w:hAnsi="Arial" w:cs="Arial"/>
          <w:b/>
          <w:bCs/>
          <w:color w:val="000000"/>
          <w:lang w:val="es-ES" w:eastAsia="zh-CN"/>
        </w:rPr>
      </w:pPr>
    </w:p>
    <w:p w14:paraId="0F504935" w14:textId="77777777" w:rsidR="006F66E1" w:rsidRPr="006F66E1" w:rsidRDefault="006F66E1" w:rsidP="006F66E1">
      <w:pPr>
        <w:suppressAutoHyphens/>
        <w:autoSpaceDE w:val="0"/>
        <w:spacing w:after="0" w:line="360" w:lineRule="auto"/>
        <w:jc w:val="center"/>
        <w:rPr>
          <w:rFonts w:ascii="Arial" w:eastAsia="Calibri" w:hAnsi="Arial" w:cs="Arial"/>
          <w:b/>
          <w:bCs/>
          <w:color w:val="000000"/>
          <w:lang w:val="es-ES" w:eastAsia="zh-CN"/>
        </w:rPr>
      </w:pPr>
      <w:r w:rsidRPr="006F66E1">
        <w:rPr>
          <w:rFonts w:ascii="Arial" w:eastAsia="Calibri" w:hAnsi="Arial" w:cs="Arial"/>
          <w:b/>
          <w:bCs/>
          <w:noProof/>
          <w:color w:val="000000"/>
        </w:rPr>
        <w:lastRenderedPageBreak/>
        <w:drawing>
          <wp:inline distT="0" distB="0" distL="0" distR="0" wp14:anchorId="5A518F1E" wp14:editId="05EC6B5C">
            <wp:extent cx="3830836" cy="4772381"/>
            <wp:effectExtent l="0" t="0" r="0" b="0"/>
            <wp:docPr id="251" name="Picture 251" descr="E:\Horezu\Materiale lucru\Florin_D\Horezu - Strazi cu sens un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Horezu\Materiale lucru\Florin_D\Horezu - Strazi cu sens unic.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32308" cy="4774215"/>
                    </a:xfrm>
                    <a:prstGeom prst="rect">
                      <a:avLst/>
                    </a:prstGeom>
                    <a:noFill/>
                    <a:ln>
                      <a:noFill/>
                    </a:ln>
                  </pic:spPr>
                </pic:pic>
              </a:graphicData>
            </a:graphic>
          </wp:inline>
        </w:drawing>
      </w:r>
    </w:p>
    <w:p w14:paraId="16152264" w14:textId="346D683C" w:rsidR="006F66E1" w:rsidRPr="00726442" w:rsidRDefault="00726442" w:rsidP="00726442">
      <w:pPr>
        <w:pStyle w:val="Legend"/>
        <w:jc w:val="center"/>
        <w:rPr>
          <w:rFonts w:ascii="Arial" w:eastAsia="Calibri" w:hAnsi="Arial" w:cs="Arial"/>
          <w:bCs/>
          <w:color w:val="000000"/>
          <w:sz w:val="22"/>
          <w:szCs w:val="22"/>
          <w:lang w:val="es-ES" w:eastAsia="zh-CN"/>
        </w:rPr>
      </w:pPr>
      <w:bookmarkStart w:id="88" w:name="_Toc140744458"/>
      <w:r w:rsidRPr="00726442">
        <w:rPr>
          <w:rFonts w:ascii="Arial" w:hAnsi="Arial" w:cs="Arial"/>
          <w:sz w:val="22"/>
          <w:szCs w:val="22"/>
        </w:rPr>
        <w:t xml:space="preserve">Figura I.2. </w:t>
      </w:r>
      <w:r w:rsidRPr="00726442">
        <w:rPr>
          <w:rFonts w:ascii="Arial" w:hAnsi="Arial" w:cs="Arial"/>
          <w:sz w:val="22"/>
          <w:szCs w:val="22"/>
        </w:rPr>
        <w:fldChar w:fldCharType="begin"/>
      </w:r>
      <w:r w:rsidRPr="00726442">
        <w:rPr>
          <w:rFonts w:ascii="Arial" w:hAnsi="Arial" w:cs="Arial"/>
          <w:sz w:val="22"/>
          <w:szCs w:val="22"/>
        </w:rPr>
        <w:instrText xml:space="preserve"> SEQ Figura_I.2. \* ARABIC </w:instrText>
      </w:r>
      <w:r w:rsidRPr="00726442">
        <w:rPr>
          <w:rFonts w:ascii="Arial" w:hAnsi="Arial" w:cs="Arial"/>
          <w:sz w:val="22"/>
          <w:szCs w:val="22"/>
        </w:rPr>
        <w:fldChar w:fldCharType="separate"/>
      </w:r>
      <w:r w:rsidR="00BB181C">
        <w:rPr>
          <w:rFonts w:ascii="Arial" w:hAnsi="Arial" w:cs="Arial"/>
          <w:noProof/>
          <w:sz w:val="22"/>
          <w:szCs w:val="22"/>
        </w:rPr>
        <w:t>16</w:t>
      </w:r>
      <w:r w:rsidRPr="00726442">
        <w:rPr>
          <w:rFonts w:ascii="Arial" w:hAnsi="Arial" w:cs="Arial"/>
          <w:sz w:val="22"/>
          <w:szCs w:val="22"/>
        </w:rPr>
        <w:fldChar w:fldCharType="end"/>
      </w:r>
      <w:r w:rsidRPr="00726442">
        <w:rPr>
          <w:rFonts w:ascii="Arial" w:hAnsi="Arial" w:cs="Arial"/>
          <w:sz w:val="22"/>
          <w:szCs w:val="22"/>
        </w:rPr>
        <w:t xml:space="preserve"> </w:t>
      </w:r>
      <w:r w:rsidR="00DA33DD" w:rsidRPr="00726442">
        <w:rPr>
          <w:rFonts w:ascii="Arial" w:hAnsi="Arial" w:cs="Arial"/>
          <w:i w:val="0"/>
          <w:iCs w:val="0"/>
          <w:sz w:val="22"/>
          <w:szCs w:val="22"/>
        </w:rPr>
        <w:t>- Sensuri unice existente</w:t>
      </w:r>
      <w:bookmarkEnd w:id="88"/>
    </w:p>
    <w:p w14:paraId="43D50948" w14:textId="77777777" w:rsidR="006F66E1" w:rsidRPr="006F66E1" w:rsidRDefault="006F66E1" w:rsidP="006F66E1">
      <w:pPr>
        <w:suppressAutoHyphens/>
        <w:autoSpaceDE w:val="0"/>
        <w:spacing w:after="0" w:line="276" w:lineRule="auto"/>
        <w:jc w:val="both"/>
        <w:rPr>
          <w:rFonts w:ascii="Arial" w:eastAsia="Calibri" w:hAnsi="Arial" w:cs="Arial"/>
          <w:b/>
          <w:bCs/>
          <w:color w:val="000000"/>
          <w:lang w:val="es-ES" w:eastAsia="zh-CN"/>
        </w:rPr>
      </w:pPr>
    </w:p>
    <w:p w14:paraId="5ED1D669" w14:textId="77777777" w:rsidR="006F66E1" w:rsidRPr="006F66E1" w:rsidRDefault="006F66E1" w:rsidP="006F66E1">
      <w:pPr>
        <w:suppressAutoHyphens/>
        <w:autoSpaceDE w:val="0"/>
        <w:spacing w:after="0" w:line="276" w:lineRule="auto"/>
        <w:jc w:val="both"/>
        <w:rPr>
          <w:rFonts w:ascii="Arial" w:eastAsia="Calibri" w:hAnsi="Arial" w:cs="Arial"/>
          <w:color w:val="000000"/>
          <w:lang w:val="es-ES" w:eastAsia="zh-CN"/>
        </w:rPr>
      </w:pPr>
      <w:r w:rsidRPr="006F66E1">
        <w:rPr>
          <w:rFonts w:ascii="Arial" w:eastAsia="Calibri" w:hAnsi="Arial" w:cs="Arial"/>
          <w:b/>
          <w:bCs/>
          <w:color w:val="000000"/>
          <w:lang w:val="es-ES" w:eastAsia="zh-CN"/>
        </w:rPr>
        <w:t xml:space="preserve">Facilităţi parking </w:t>
      </w:r>
    </w:p>
    <w:p w14:paraId="331B7062" w14:textId="77777777" w:rsidR="006F66E1" w:rsidRPr="006F66E1" w:rsidRDefault="006F66E1" w:rsidP="006F66E1">
      <w:pPr>
        <w:suppressAutoHyphens/>
        <w:autoSpaceDE w:val="0"/>
        <w:spacing w:after="0" w:line="276" w:lineRule="auto"/>
        <w:jc w:val="both"/>
        <w:rPr>
          <w:rFonts w:ascii="Arial" w:hAnsi="Arial" w:cs="Arial"/>
          <w:color w:val="000000"/>
          <w:lang w:val="es-ES"/>
        </w:rPr>
      </w:pPr>
      <w:r w:rsidRPr="006F66E1">
        <w:rPr>
          <w:rFonts w:ascii="Arial" w:hAnsi="Arial" w:cs="Arial"/>
          <w:color w:val="000000"/>
          <w:lang w:val="es-ES"/>
        </w:rPr>
        <w:t xml:space="preserve">În orasul Horezu numărul locurilor de parcare este insuficient raportat la gradul de motorizare existent, precum și la necesarul pentru cei din alte localităţi aflaţi cu diferite scopuri (turism, afaceri, etc.) în trecere prin oraș. Conform datelor disponibile la Primăria Horezu pe teritoriul orasului sunt amenajate 777 locuri de parcare, aflate </w:t>
      </w:r>
      <w:r w:rsidR="001D2FBE">
        <w:rPr>
          <w:rFonts w:ascii="Arial" w:hAnsi="Arial" w:cs="Arial"/>
          <w:color w:val="000000"/>
          <w:lang w:val="es-ES"/>
        </w:rPr>
        <w:t>î</w:t>
      </w:r>
      <w:r w:rsidRPr="006F66E1">
        <w:rPr>
          <w:rFonts w:ascii="Arial" w:hAnsi="Arial" w:cs="Arial"/>
          <w:color w:val="000000"/>
          <w:lang w:val="es-ES"/>
        </w:rPr>
        <w:t>n administrarea Consiliului Local Horezu, din care 234 de reședința și 543 publice, teoretic cu plat</w:t>
      </w:r>
      <w:r w:rsidR="001D2FBE">
        <w:rPr>
          <w:rFonts w:ascii="Arial" w:hAnsi="Arial" w:cs="Arial"/>
          <w:color w:val="000000"/>
          <w:lang w:val="es-ES"/>
        </w:rPr>
        <w:t>ă</w:t>
      </w:r>
      <w:r w:rsidRPr="006F66E1">
        <w:rPr>
          <w:rFonts w:ascii="Arial" w:hAnsi="Arial" w:cs="Arial"/>
          <w:color w:val="000000"/>
          <w:lang w:val="es-ES"/>
        </w:rPr>
        <w:t xml:space="preserve">, </w:t>
      </w:r>
      <w:r w:rsidR="001D2FBE">
        <w:rPr>
          <w:rFonts w:ascii="Arial" w:hAnsi="Arial" w:cs="Arial"/>
          <w:color w:val="000000"/>
          <w:lang w:val="es-ES"/>
        </w:rPr>
        <w:t>î</w:t>
      </w:r>
      <w:r w:rsidRPr="006F66E1">
        <w:rPr>
          <w:rFonts w:ascii="Arial" w:hAnsi="Arial" w:cs="Arial"/>
          <w:color w:val="000000"/>
          <w:lang w:val="es-ES"/>
        </w:rPr>
        <w:t>ns</w:t>
      </w:r>
      <w:r w:rsidR="001D2FBE">
        <w:rPr>
          <w:rFonts w:ascii="Arial" w:hAnsi="Arial" w:cs="Arial"/>
          <w:color w:val="000000"/>
          <w:lang w:val="es-ES"/>
        </w:rPr>
        <w:t>ă</w:t>
      </w:r>
      <w:r w:rsidRPr="006F66E1">
        <w:rPr>
          <w:rFonts w:ascii="Arial" w:hAnsi="Arial" w:cs="Arial"/>
          <w:color w:val="000000"/>
          <w:lang w:val="es-ES"/>
        </w:rPr>
        <w:t xml:space="preserve"> din lipsa unei politici de parcare, deocamdat</w:t>
      </w:r>
      <w:r w:rsidR="001D2FBE">
        <w:rPr>
          <w:rFonts w:ascii="Arial" w:hAnsi="Arial" w:cs="Arial"/>
          <w:color w:val="000000"/>
          <w:lang w:val="es-ES"/>
        </w:rPr>
        <w:t>ă</w:t>
      </w:r>
      <w:r w:rsidRPr="006F66E1">
        <w:rPr>
          <w:rFonts w:ascii="Arial" w:hAnsi="Arial" w:cs="Arial"/>
          <w:color w:val="000000"/>
          <w:lang w:val="es-ES"/>
        </w:rPr>
        <w:t xml:space="preserve"> sunt utilizate cu titlu gratuit. HCL 139/2021 stabile</w:t>
      </w:r>
      <w:r w:rsidR="001D2FBE">
        <w:rPr>
          <w:rFonts w:ascii="Arial" w:hAnsi="Arial" w:cs="Arial"/>
          <w:color w:val="000000"/>
          <w:lang w:val="es-ES"/>
        </w:rPr>
        <w:t>ș</w:t>
      </w:r>
      <w:r w:rsidRPr="006F66E1">
        <w:rPr>
          <w:rFonts w:ascii="Arial" w:hAnsi="Arial" w:cs="Arial"/>
          <w:color w:val="000000"/>
          <w:lang w:val="es-ES"/>
        </w:rPr>
        <w:t>te pentru anul 2022, pentru utilizarea unui loc de parcare public urmatoarele taxe:</w:t>
      </w:r>
    </w:p>
    <w:p w14:paraId="3EB32B34" w14:textId="77777777" w:rsidR="006F66E1" w:rsidRPr="006F66E1" w:rsidRDefault="006F66E1" w:rsidP="000C6CB8">
      <w:pPr>
        <w:numPr>
          <w:ilvl w:val="0"/>
          <w:numId w:val="129"/>
        </w:numPr>
        <w:suppressAutoHyphens/>
        <w:autoSpaceDE w:val="0"/>
        <w:spacing w:after="0" w:line="276" w:lineRule="auto"/>
        <w:jc w:val="both"/>
        <w:rPr>
          <w:rFonts w:ascii="Arial" w:eastAsia="Times New Roman" w:hAnsi="Arial" w:cs="Arial"/>
          <w:color w:val="000000"/>
          <w:lang w:val="es-ES" w:eastAsia="zh-CN"/>
        </w:rPr>
      </w:pPr>
      <w:r w:rsidRPr="006F66E1">
        <w:rPr>
          <w:rFonts w:ascii="Arial" w:eastAsia="Times New Roman" w:hAnsi="Arial" w:cs="Arial"/>
          <w:color w:val="000000"/>
          <w:lang w:val="es-ES" w:eastAsia="zh-CN"/>
        </w:rPr>
        <w:t>2 lei/or</w:t>
      </w:r>
      <w:r w:rsidR="001D2FBE">
        <w:rPr>
          <w:rFonts w:ascii="Arial" w:eastAsia="Times New Roman" w:hAnsi="Arial" w:cs="Arial"/>
          <w:color w:val="000000"/>
          <w:lang w:val="es-ES" w:eastAsia="zh-CN"/>
        </w:rPr>
        <w:t>ă</w:t>
      </w:r>
      <w:r w:rsidRPr="006F66E1">
        <w:rPr>
          <w:rFonts w:ascii="Arial" w:eastAsia="Times New Roman" w:hAnsi="Arial" w:cs="Arial"/>
          <w:color w:val="000000"/>
          <w:lang w:val="es-ES" w:eastAsia="zh-CN"/>
        </w:rPr>
        <w:t>/autoturism</w:t>
      </w:r>
    </w:p>
    <w:p w14:paraId="7A8D4E4B" w14:textId="77777777" w:rsidR="006F66E1" w:rsidRPr="006F66E1" w:rsidRDefault="006F66E1" w:rsidP="000C6CB8">
      <w:pPr>
        <w:numPr>
          <w:ilvl w:val="0"/>
          <w:numId w:val="129"/>
        </w:numPr>
        <w:suppressAutoHyphens/>
        <w:autoSpaceDE w:val="0"/>
        <w:spacing w:after="0" w:line="276" w:lineRule="auto"/>
        <w:jc w:val="both"/>
        <w:rPr>
          <w:rFonts w:ascii="Arial" w:eastAsia="Times New Roman" w:hAnsi="Arial" w:cs="Arial"/>
          <w:color w:val="000000"/>
          <w:lang w:val="es-ES" w:eastAsia="zh-CN"/>
        </w:rPr>
      </w:pPr>
      <w:r w:rsidRPr="006F66E1">
        <w:rPr>
          <w:rFonts w:ascii="Arial" w:eastAsia="Times New Roman" w:hAnsi="Arial" w:cs="Arial"/>
          <w:color w:val="000000"/>
          <w:lang w:val="es-ES" w:eastAsia="zh-CN"/>
        </w:rPr>
        <w:t>10 lei/or</w:t>
      </w:r>
      <w:r w:rsidR="001D2FBE">
        <w:rPr>
          <w:rFonts w:ascii="Arial" w:eastAsia="Times New Roman" w:hAnsi="Arial" w:cs="Arial"/>
          <w:color w:val="000000"/>
          <w:lang w:val="es-ES" w:eastAsia="zh-CN"/>
        </w:rPr>
        <w:t>ă</w:t>
      </w:r>
      <w:r w:rsidRPr="006F66E1">
        <w:rPr>
          <w:rFonts w:ascii="Arial" w:eastAsia="Times New Roman" w:hAnsi="Arial" w:cs="Arial"/>
          <w:color w:val="000000"/>
          <w:lang w:val="es-ES" w:eastAsia="zh-CN"/>
        </w:rPr>
        <w:t>/microbuz</w:t>
      </w:r>
    </w:p>
    <w:p w14:paraId="1A017C60" w14:textId="77777777" w:rsidR="006F66E1" w:rsidRPr="006F66E1" w:rsidRDefault="006F66E1" w:rsidP="000C6CB8">
      <w:pPr>
        <w:numPr>
          <w:ilvl w:val="0"/>
          <w:numId w:val="129"/>
        </w:numPr>
        <w:suppressAutoHyphens/>
        <w:autoSpaceDE w:val="0"/>
        <w:spacing w:after="0" w:line="276" w:lineRule="auto"/>
        <w:jc w:val="both"/>
        <w:rPr>
          <w:rFonts w:ascii="Arial" w:eastAsia="Times New Roman" w:hAnsi="Arial" w:cs="Arial"/>
          <w:color w:val="000000"/>
          <w:lang w:val="es-ES" w:eastAsia="zh-CN"/>
        </w:rPr>
      </w:pPr>
      <w:r w:rsidRPr="006F66E1">
        <w:rPr>
          <w:rFonts w:ascii="Arial" w:eastAsia="Times New Roman" w:hAnsi="Arial" w:cs="Arial"/>
          <w:color w:val="000000"/>
          <w:lang w:val="es-ES" w:eastAsia="zh-CN"/>
        </w:rPr>
        <w:t>22 lei/or</w:t>
      </w:r>
      <w:r w:rsidR="001D2FBE">
        <w:rPr>
          <w:rFonts w:ascii="Arial" w:eastAsia="Times New Roman" w:hAnsi="Arial" w:cs="Arial"/>
          <w:color w:val="000000"/>
          <w:lang w:val="es-ES" w:eastAsia="zh-CN"/>
        </w:rPr>
        <w:t>ă</w:t>
      </w:r>
      <w:r w:rsidRPr="006F66E1">
        <w:rPr>
          <w:rFonts w:ascii="Arial" w:eastAsia="Times New Roman" w:hAnsi="Arial" w:cs="Arial"/>
          <w:color w:val="000000"/>
          <w:lang w:val="es-ES" w:eastAsia="zh-CN"/>
        </w:rPr>
        <w:t>/autobuz, autocar, mijloace de transport marf</w:t>
      </w:r>
      <w:r w:rsidR="001D2FBE">
        <w:rPr>
          <w:rFonts w:ascii="Arial" w:eastAsia="Times New Roman" w:hAnsi="Arial" w:cs="Arial"/>
          <w:color w:val="000000"/>
          <w:lang w:val="es-ES" w:eastAsia="zh-CN"/>
        </w:rPr>
        <w:t>ă</w:t>
      </w:r>
      <w:r w:rsidRPr="006F66E1">
        <w:rPr>
          <w:rFonts w:ascii="Arial" w:eastAsia="Times New Roman" w:hAnsi="Arial" w:cs="Arial"/>
          <w:color w:val="000000"/>
          <w:lang w:val="es-ES" w:eastAsia="zh-CN"/>
        </w:rPr>
        <w:t>.</w:t>
      </w:r>
    </w:p>
    <w:p w14:paraId="460D1C5B" w14:textId="77777777" w:rsidR="006F66E1" w:rsidRPr="006F66E1" w:rsidRDefault="006F66E1" w:rsidP="006F66E1">
      <w:pPr>
        <w:autoSpaceDE w:val="0"/>
        <w:spacing w:after="0"/>
        <w:jc w:val="both"/>
        <w:rPr>
          <w:rFonts w:ascii="Arial" w:hAnsi="Arial" w:cs="Arial"/>
          <w:color w:val="000000"/>
          <w:lang w:val="es-ES"/>
        </w:rPr>
      </w:pPr>
    </w:p>
    <w:p w14:paraId="0005B2B8" w14:textId="77777777" w:rsidR="006F66E1" w:rsidRPr="006F66E1" w:rsidRDefault="006F66E1" w:rsidP="006F66E1">
      <w:pPr>
        <w:suppressAutoHyphens/>
        <w:autoSpaceDE w:val="0"/>
        <w:spacing w:after="0" w:line="276" w:lineRule="auto"/>
        <w:jc w:val="both"/>
        <w:rPr>
          <w:rFonts w:ascii="Arial" w:eastAsia="Calibri" w:hAnsi="Arial" w:cs="Arial"/>
          <w:color w:val="000000"/>
          <w:lang w:val="es-ES" w:eastAsia="zh-CN"/>
        </w:rPr>
      </w:pPr>
      <w:r w:rsidRPr="006F66E1">
        <w:rPr>
          <w:rFonts w:ascii="Arial" w:hAnsi="Arial" w:cs="Arial"/>
          <w:color w:val="000000"/>
          <w:lang w:val="es-ES"/>
        </w:rPr>
        <w:t xml:space="preserve">Pentru amplasarea acestora a se vedea Anexa 1. </w:t>
      </w:r>
    </w:p>
    <w:p w14:paraId="75A5E048" w14:textId="77777777" w:rsidR="006F66E1" w:rsidRPr="006F66E1" w:rsidRDefault="0017641F" w:rsidP="006F66E1">
      <w:pPr>
        <w:spacing w:after="100" w:afterAutospacing="1" w:line="276" w:lineRule="auto"/>
        <w:jc w:val="both"/>
        <w:rPr>
          <w:rFonts w:ascii="Arial" w:eastAsia="Times New Roman" w:hAnsi="Arial" w:cs="Arial"/>
          <w:color w:val="000000"/>
        </w:rPr>
      </w:pPr>
      <w:r w:rsidRPr="0017641F">
        <w:rPr>
          <w:rFonts w:ascii="Arial" w:eastAsia="Times New Roman" w:hAnsi="Arial" w:cs="Arial"/>
          <w:color w:val="000000"/>
        </w:rPr>
        <w:t>Atribuirea locurilor de parcare de reședința este reglementată prin hotărâre a consiliului local și se face în baza unui contract de utilizare temporară, iar taxa stabilită prin HCL 139/2021 pentru anul 2022 este de 128 lei/an și oferă dreptul de parcare în inte</w:t>
      </w:r>
      <w:r>
        <w:rPr>
          <w:rFonts w:ascii="Arial" w:eastAsia="Times New Roman" w:hAnsi="Arial" w:cs="Arial"/>
          <w:color w:val="000000"/>
        </w:rPr>
        <w:t>rvalul orar 17.00-8.00. În afara</w:t>
      </w:r>
      <w:r w:rsidRPr="0017641F">
        <w:rPr>
          <w:rFonts w:ascii="Arial" w:eastAsia="Times New Roman" w:hAnsi="Arial" w:cs="Arial"/>
          <w:color w:val="000000"/>
        </w:rPr>
        <w:t xml:space="preserve"> acestuia, accesul la locul de parcare este liber</w:t>
      </w:r>
      <w:r w:rsidR="006F66E1" w:rsidRPr="006F66E1">
        <w:rPr>
          <w:rFonts w:ascii="Arial" w:eastAsia="Times New Roman" w:hAnsi="Arial" w:cs="Arial"/>
          <w:color w:val="000000"/>
        </w:rPr>
        <w:t>.</w:t>
      </w:r>
    </w:p>
    <w:p w14:paraId="779A2723" w14:textId="77777777" w:rsidR="006F66E1" w:rsidRPr="006F66E1" w:rsidRDefault="006F66E1" w:rsidP="006F66E1">
      <w:pPr>
        <w:suppressAutoHyphens/>
        <w:autoSpaceDE w:val="0"/>
        <w:spacing w:after="0" w:line="276" w:lineRule="auto"/>
        <w:jc w:val="both"/>
        <w:rPr>
          <w:rFonts w:ascii="Arial" w:eastAsia="Calibri" w:hAnsi="Arial" w:cs="Arial"/>
          <w:bCs/>
          <w:color w:val="000000"/>
          <w:sz w:val="24"/>
          <w:szCs w:val="24"/>
          <w:lang w:val="es-ES" w:eastAsia="zh-CN"/>
        </w:rPr>
      </w:pPr>
      <w:r w:rsidRPr="006F66E1">
        <w:rPr>
          <w:rFonts w:ascii="Arial" w:eastAsia="Times New Roman" w:hAnsi="Arial" w:cs="Arial"/>
          <w:color w:val="000000"/>
          <w:lang w:val="es-ES"/>
        </w:rPr>
        <w:lastRenderedPageBreak/>
        <w:t xml:space="preserve">În zilele lucrătoare gradul de ocupare al locurilor de parcare cu plată situate în zona centrală, precum și a celor de pe partea carosabilă a principalelor artere de circulație din </w:t>
      </w:r>
      <w:r w:rsidR="0017641F">
        <w:rPr>
          <w:rFonts w:ascii="Arial" w:eastAsia="Times New Roman" w:hAnsi="Arial" w:cs="Arial"/>
          <w:color w:val="000000"/>
          <w:lang w:val="es-ES"/>
        </w:rPr>
        <w:t>oraş</w:t>
      </w:r>
      <w:r w:rsidRPr="006F66E1">
        <w:rPr>
          <w:rFonts w:ascii="Arial" w:eastAsia="Times New Roman" w:hAnsi="Arial" w:cs="Arial"/>
          <w:color w:val="000000"/>
          <w:lang w:val="es-ES"/>
        </w:rPr>
        <w:t xml:space="preserve"> este de 100%, locuri disponibile găsindu-se doar în zonele mai depărtate de acestea, unde gradul de ocupare variază între 30% și 70%, în funcție de distanță față de centrul orașului, dar </w:t>
      </w:r>
      <w:r w:rsidR="007E4EC6">
        <w:rPr>
          <w:rFonts w:ascii="Arial" w:eastAsia="Times New Roman" w:hAnsi="Arial" w:cs="Arial"/>
          <w:color w:val="000000"/>
          <w:lang w:val="es-ES"/>
        </w:rPr>
        <w:t>ș</w:t>
      </w:r>
      <w:r w:rsidR="0017641F">
        <w:rPr>
          <w:rFonts w:ascii="Arial" w:eastAsia="Times New Roman" w:hAnsi="Arial" w:cs="Arial"/>
          <w:color w:val="000000"/>
          <w:lang w:val="es-ES"/>
        </w:rPr>
        <w:t>i de sezon (Horezu fiind un oraş</w:t>
      </w:r>
      <w:r w:rsidRPr="006F66E1">
        <w:rPr>
          <w:rFonts w:ascii="Arial" w:eastAsia="Times New Roman" w:hAnsi="Arial" w:cs="Arial"/>
          <w:color w:val="000000"/>
          <w:lang w:val="es-ES"/>
        </w:rPr>
        <w:t xml:space="preserve"> turistic, </w:t>
      </w:r>
      <w:r w:rsidR="007E4EC6">
        <w:rPr>
          <w:rFonts w:ascii="Arial" w:eastAsia="Times New Roman" w:hAnsi="Arial" w:cs="Arial"/>
          <w:color w:val="000000"/>
          <w:lang w:val="es-ES"/>
        </w:rPr>
        <w:t>î</w:t>
      </w:r>
      <w:r w:rsidRPr="006F66E1">
        <w:rPr>
          <w:rFonts w:ascii="Arial" w:eastAsia="Times New Roman" w:hAnsi="Arial" w:cs="Arial"/>
          <w:color w:val="000000"/>
          <w:lang w:val="es-ES"/>
        </w:rPr>
        <w:t xml:space="preserve">n special </w:t>
      </w:r>
      <w:r w:rsidR="007E4EC6">
        <w:rPr>
          <w:rFonts w:ascii="Arial" w:eastAsia="Times New Roman" w:hAnsi="Arial" w:cs="Arial"/>
          <w:color w:val="000000"/>
          <w:lang w:val="es-ES"/>
        </w:rPr>
        <w:t>î</w:t>
      </w:r>
      <w:r w:rsidRPr="006F66E1">
        <w:rPr>
          <w:rFonts w:ascii="Arial" w:eastAsia="Times New Roman" w:hAnsi="Arial" w:cs="Arial"/>
          <w:color w:val="000000"/>
          <w:lang w:val="es-ES"/>
        </w:rPr>
        <w:t>n perioada de var</w:t>
      </w:r>
      <w:r w:rsidR="007E4EC6">
        <w:rPr>
          <w:rFonts w:ascii="Arial" w:eastAsia="Times New Roman" w:hAnsi="Arial" w:cs="Arial"/>
          <w:color w:val="000000"/>
          <w:lang w:val="es-ES"/>
        </w:rPr>
        <w:t>ă</w:t>
      </w:r>
      <w:r w:rsidRPr="006F66E1">
        <w:rPr>
          <w:rFonts w:ascii="Arial" w:eastAsia="Times New Roman" w:hAnsi="Arial" w:cs="Arial"/>
          <w:color w:val="000000"/>
          <w:lang w:val="es-ES"/>
        </w:rPr>
        <w:t xml:space="preserve"> penuria locurilor de parcare este mult mai acut</w:t>
      </w:r>
      <w:r w:rsidR="007E4EC6">
        <w:rPr>
          <w:rFonts w:ascii="Arial" w:eastAsia="Times New Roman" w:hAnsi="Arial" w:cs="Arial"/>
          <w:color w:val="000000"/>
          <w:lang w:val="es-ES"/>
        </w:rPr>
        <w:t>ă</w:t>
      </w:r>
      <w:r w:rsidRPr="006F66E1">
        <w:rPr>
          <w:rFonts w:ascii="Arial" w:eastAsia="Times New Roman" w:hAnsi="Arial" w:cs="Arial"/>
          <w:color w:val="000000"/>
          <w:lang w:val="es-ES"/>
        </w:rPr>
        <w:t>). Însă, o estimare exactă a disponibilului de număr de locuri de parcare este dificil de realizat în condițiile în care nu există un sistem informatic de evidență a acestora</w:t>
      </w:r>
      <w:r w:rsidRPr="006F66E1">
        <w:rPr>
          <w:rFonts w:ascii="Arial" w:eastAsia="Calibri" w:hAnsi="Arial" w:cs="Arial"/>
          <w:color w:val="000000"/>
          <w:lang w:val="es-ES" w:eastAsia="zh-CN"/>
        </w:rPr>
        <w:t xml:space="preserve">. </w:t>
      </w:r>
    </w:p>
    <w:p w14:paraId="6FDC5097" w14:textId="77777777" w:rsidR="006F66E1" w:rsidRPr="006F66E1" w:rsidRDefault="006F66E1" w:rsidP="006F66E1">
      <w:pPr>
        <w:suppressAutoHyphens/>
        <w:autoSpaceDE w:val="0"/>
        <w:spacing w:after="0" w:line="360" w:lineRule="auto"/>
        <w:jc w:val="center"/>
        <w:rPr>
          <w:rFonts w:ascii="Arial" w:eastAsia="Calibri" w:hAnsi="Arial" w:cs="Arial"/>
          <w:bCs/>
          <w:noProof/>
          <w:color w:val="000000"/>
          <w:sz w:val="24"/>
          <w:szCs w:val="24"/>
          <w:lang w:val="ro-RO" w:eastAsia="ro-RO"/>
        </w:rPr>
      </w:pPr>
    </w:p>
    <w:p w14:paraId="720C99D4" w14:textId="77777777" w:rsidR="006F66E1" w:rsidRPr="006F66E1" w:rsidRDefault="006F66E1" w:rsidP="006F66E1">
      <w:pPr>
        <w:suppressAutoHyphens/>
        <w:autoSpaceDE w:val="0"/>
        <w:spacing w:after="0" w:line="360" w:lineRule="auto"/>
        <w:jc w:val="center"/>
        <w:rPr>
          <w:rFonts w:ascii="Arial" w:eastAsia="Calibri" w:hAnsi="Arial" w:cs="Arial"/>
          <w:bCs/>
          <w:color w:val="000000"/>
          <w:sz w:val="24"/>
          <w:szCs w:val="24"/>
          <w:lang w:val="es-ES" w:eastAsia="zh-CN"/>
        </w:rPr>
      </w:pPr>
      <w:r w:rsidRPr="006F66E1">
        <w:rPr>
          <w:rFonts w:ascii="Arial" w:eastAsia="Calibri" w:hAnsi="Arial" w:cs="Arial"/>
          <w:bCs/>
          <w:noProof/>
          <w:color w:val="000000"/>
          <w:sz w:val="24"/>
          <w:szCs w:val="24"/>
        </w:rPr>
        <w:drawing>
          <wp:inline distT="0" distB="0" distL="0" distR="0" wp14:anchorId="59DF6CC1" wp14:editId="6B5C1B20">
            <wp:extent cx="4986669" cy="2160601"/>
            <wp:effectExtent l="0" t="0" r="4445" b="0"/>
            <wp:docPr id="38" name="Picture 38" descr="E:\Horezu\Materiale lucru\Florin_M\Drumuri Diverse\11.3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Horezu\Materiale lucru\Florin_M\Drumuri Diverse\11.34.39.pn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b="22439"/>
                    <a:stretch/>
                  </pic:blipFill>
                  <pic:spPr bwMode="auto">
                    <a:xfrm>
                      <a:off x="0" y="0"/>
                      <a:ext cx="4982336" cy="2158724"/>
                    </a:xfrm>
                    <a:prstGeom prst="rect">
                      <a:avLst/>
                    </a:prstGeom>
                    <a:noFill/>
                    <a:ln>
                      <a:noFill/>
                    </a:ln>
                    <a:extLst>
                      <a:ext uri="{53640926-AAD7-44D8-BBD7-CCE9431645EC}">
                        <a14:shadowObscured xmlns:a14="http://schemas.microsoft.com/office/drawing/2010/main"/>
                      </a:ext>
                    </a:extLst>
                  </pic:spPr>
                </pic:pic>
              </a:graphicData>
            </a:graphic>
          </wp:inline>
        </w:drawing>
      </w:r>
    </w:p>
    <w:p w14:paraId="68764649" w14:textId="77777777" w:rsidR="006F66E1" w:rsidRPr="006F66E1" w:rsidRDefault="006F66E1" w:rsidP="006F66E1">
      <w:pPr>
        <w:widowControl w:val="0"/>
        <w:suppressAutoHyphens/>
        <w:spacing w:after="0" w:line="360" w:lineRule="auto"/>
        <w:jc w:val="both"/>
        <w:rPr>
          <w:rFonts w:ascii="Arial" w:hAnsi="Arial" w:cs="Arial"/>
          <w:noProof/>
          <w:kern w:val="1"/>
          <w:sz w:val="24"/>
          <w:szCs w:val="24"/>
          <w:lang w:val="ro-RO" w:eastAsia="ro-RO"/>
        </w:rPr>
      </w:pPr>
    </w:p>
    <w:p w14:paraId="1C734A7E" w14:textId="77777777" w:rsidR="006F66E1" w:rsidRPr="006F66E1" w:rsidRDefault="006F66E1" w:rsidP="006F66E1">
      <w:pPr>
        <w:widowControl w:val="0"/>
        <w:suppressAutoHyphens/>
        <w:spacing w:after="0" w:line="360" w:lineRule="auto"/>
        <w:jc w:val="center"/>
        <w:rPr>
          <w:rFonts w:ascii="Arial" w:hAnsi="Arial" w:cs="Arial"/>
          <w:kern w:val="1"/>
          <w:sz w:val="24"/>
          <w:szCs w:val="24"/>
          <w:lang w:val="es-ES" w:eastAsia="hi-IN" w:bidi="hi-IN"/>
        </w:rPr>
      </w:pPr>
      <w:r w:rsidRPr="006F66E1">
        <w:rPr>
          <w:rFonts w:ascii="Arial" w:hAnsi="Arial" w:cs="Arial"/>
          <w:noProof/>
          <w:kern w:val="1"/>
          <w:sz w:val="24"/>
          <w:szCs w:val="24"/>
        </w:rPr>
        <w:drawing>
          <wp:inline distT="0" distB="0" distL="0" distR="0" wp14:anchorId="478993DC" wp14:editId="03FA34DE">
            <wp:extent cx="4905979" cy="2115299"/>
            <wp:effectExtent l="0" t="0" r="9525" b="0"/>
            <wp:docPr id="41" name="Picture 41" descr="E:\Horezu\Materiale lucru\Florin_M\Drumuri Diverse\11.35.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Horezu\Materiale lucru\Florin_M\Drumuri Diverse\11.35.05.pn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23220"/>
                    <a:stretch/>
                  </pic:blipFill>
                  <pic:spPr bwMode="auto">
                    <a:xfrm>
                      <a:off x="0" y="0"/>
                      <a:ext cx="4928018" cy="2124802"/>
                    </a:xfrm>
                    <a:prstGeom prst="rect">
                      <a:avLst/>
                    </a:prstGeom>
                    <a:noFill/>
                    <a:ln>
                      <a:noFill/>
                    </a:ln>
                    <a:extLst>
                      <a:ext uri="{53640926-AAD7-44D8-BBD7-CCE9431645EC}">
                        <a14:shadowObscured xmlns:a14="http://schemas.microsoft.com/office/drawing/2010/main"/>
                      </a:ext>
                    </a:extLst>
                  </pic:spPr>
                </pic:pic>
              </a:graphicData>
            </a:graphic>
          </wp:inline>
        </w:drawing>
      </w:r>
    </w:p>
    <w:p w14:paraId="0DFD93CD" w14:textId="68533173" w:rsidR="006F66E1" w:rsidRPr="0017641F" w:rsidRDefault="0017641F" w:rsidP="0017641F">
      <w:pPr>
        <w:pStyle w:val="Legend"/>
        <w:jc w:val="center"/>
        <w:rPr>
          <w:rFonts w:ascii="Arial" w:eastAsia="Calibri" w:hAnsi="Arial" w:cs="Arial"/>
          <w:bCs/>
          <w:i w:val="0"/>
          <w:color w:val="000000"/>
          <w:sz w:val="22"/>
          <w:szCs w:val="22"/>
          <w:lang w:val="es-ES" w:eastAsia="zh-CN"/>
        </w:rPr>
      </w:pPr>
      <w:bookmarkStart w:id="89" w:name="_Toc140744459"/>
      <w:r w:rsidRPr="0017641F">
        <w:rPr>
          <w:rFonts w:ascii="Arial" w:hAnsi="Arial" w:cs="Arial"/>
          <w:sz w:val="22"/>
          <w:szCs w:val="22"/>
        </w:rPr>
        <w:t xml:space="preserve">Figura I.2. </w:t>
      </w:r>
      <w:r w:rsidRPr="0017641F">
        <w:rPr>
          <w:rFonts w:ascii="Arial" w:hAnsi="Arial" w:cs="Arial"/>
          <w:sz w:val="22"/>
          <w:szCs w:val="22"/>
        </w:rPr>
        <w:fldChar w:fldCharType="begin"/>
      </w:r>
      <w:r w:rsidRPr="0017641F">
        <w:rPr>
          <w:rFonts w:ascii="Arial" w:hAnsi="Arial" w:cs="Arial"/>
          <w:sz w:val="22"/>
          <w:szCs w:val="22"/>
        </w:rPr>
        <w:instrText xml:space="preserve"> SEQ Figura_I.2. \* ARABIC </w:instrText>
      </w:r>
      <w:r w:rsidRPr="0017641F">
        <w:rPr>
          <w:rFonts w:ascii="Arial" w:hAnsi="Arial" w:cs="Arial"/>
          <w:sz w:val="22"/>
          <w:szCs w:val="22"/>
        </w:rPr>
        <w:fldChar w:fldCharType="separate"/>
      </w:r>
      <w:r w:rsidR="00BB181C">
        <w:rPr>
          <w:rFonts w:ascii="Arial" w:hAnsi="Arial" w:cs="Arial"/>
          <w:noProof/>
          <w:sz w:val="22"/>
          <w:szCs w:val="22"/>
        </w:rPr>
        <w:t>17</w:t>
      </w:r>
      <w:r w:rsidRPr="0017641F">
        <w:rPr>
          <w:rFonts w:ascii="Arial" w:hAnsi="Arial" w:cs="Arial"/>
          <w:sz w:val="22"/>
          <w:szCs w:val="22"/>
        </w:rPr>
        <w:fldChar w:fldCharType="end"/>
      </w:r>
      <w:r w:rsidRPr="0017641F">
        <w:rPr>
          <w:rFonts w:ascii="Arial" w:hAnsi="Arial" w:cs="Arial"/>
          <w:sz w:val="22"/>
          <w:szCs w:val="22"/>
        </w:rPr>
        <w:t xml:space="preserve"> </w:t>
      </w:r>
      <w:r w:rsidR="006F66E1" w:rsidRPr="0017641F">
        <w:rPr>
          <w:rFonts w:ascii="Arial" w:hAnsi="Arial" w:cs="Arial"/>
          <w:i w:val="0"/>
          <w:iCs w:val="0"/>
          <w:color w:val="1F497D"/>
          <w:sz w:val="22"/>
          <w:szCs w:val="22"/>
        </w:rPr>
        <w:t xml:space="preserve">- </w:t>
      </w:r>
      <w:r w:rsidR="006F66E1" w:rsidRPr="0017641F">
        <w:rPr>
          <w:rFonts w:ascii="Arial" w:hAnsi="Arial" w:cs="Arial"/>
          <w:i w:val="0"/>
          <w:color w:val="1F497D"/>
          <w:sz w:val="22"/>
          <w:szCs w:val="22"/>
        </w:rPr>
        <w:t>Exemple de parcare “amenajată” în zona centrală</w:t>
      </w:r>
      <w:bookmarkEnd w:id="89"/>
    </w:p>
    <w:p w14:paraId="541BD2A6" w14:textId="77777777" w:rsidR="006F66E1" w:rsidRPr="006F66E1" w:rsidRDefault="006F66E1" w:rsidP="006F66E1">
      <w:pPr>
        <w:widowControl w:val="0"/>
        <w:suppressAutoHyphens/>
        <w:spacing w:after="0" w:line="276" w:lineRule="auto"/>
        <w:jc w:val="both"/>
        <w:rPr>
          <w:rFonts w:ascii="Arial" w:hAnsi="Arial" w:cs="Arial"/>
          <w:kern w:val="1"/>
          <w:lang w:val="es-ES" w:eastAsia="hi-IN" w:bidi="hi-IN"/>
        </w:rPr>
      </w:pPr>
      <w:r w:rsidRPr="006F66E1">
        <w:rPr>
          <w:rFonts w:ascii="Arial" w:hAnsi="Arial" w:cs="Arial"/>
          <w:kern w:val="1"/>
          <w:lang w:val="es-ES" w:eastAsia="hi-IN" w:bidi="hi-IN"/>
        </w:rPr>
        <w:t>În special în zona centrală se constată o lipsă acută de locuri de parcare, ceea ce conduce la o aglomerare suplimentară a arterelor de circulaţie de către cei aflaţi în căutarea unui astfel de loc, sau la parcări neregulamentare care fie ocupă o bandă carosabilă, fie trotuarul constituindu-se în obstacole pentru pietoni. Pentru a descuraja deplasările cu autoturismul personal spre zona centrală ar trebui avută în vedere necesitatea taxării tuturor locurilor de parcare amenajate, dar și a tarifării progresive a acestor locuri de parcare, cu alte cuvinte să fie perceput un tarif mai mare faţă de celelalte locuri de parcare și în funcție de durata de staționare</w:t>
      </w:r>
      <w:r w:rsidRPr="006F66E1">
        <w:rPr>
          <w:rFonts w:ascii="Arial" w:hAnsi="Arial" w:cs="Arial"/>
          <w:kern w:val="1"/>
          <w:lang w:val="ro-RO" w:eastAsia="hi-IN" w:bidi="hi-IN"/>
        </w:rPr>
        <w:t>.</w:t>
      </w:r>
    </w:p>
    <w:p w14:paraId="4A6D0677" w14:textId="77777777" w:rsidR="006F66E1" w:rsidRPr="006F66E1" w:rsidRDefault="006F66E1" w:rsidP="006F66E1">
      <w:pPr>
        <w:widowControl w:val="0"/>
        <w:suppressAutoHyphens/>
        <w:spacing w:after="0" w:line="360" w:lineRule="auto"/>
        <w:jc w:val="center"/>
        <w:rPr>
          <w:rFonts w:ascii="Arial" w:hAnsi="Arial" w:cs="Mangal"/>
          <w:noProof/>
          <w:kern w:val="1"/>
          <w:sz w:val="20"/>
          <w:szCs w:val="24"/>
          <w:lang w:val="ro-RO" w:eastAsia="ro-RO"/>
        </w:rPr>
      </w:pPr>
    </w:p>
    <w:p w14:paraId="539DED1A" w14:textId="77777777" w:rsidR="006F66E1" w:rsidRPr="006F66E1" w:rsidRDefault="006F66E1" w:rsidP="006F66E1">
      <w:pPr>
        <w:widowControl w:val="0"/>
        <w:suppressAutoHyphens/>
        <w:spacing w:after="0" w:line="360" w:lineRule="auto"/>
        <w:jc w:val="center"/>
        <w:rPr>
          <w:rFonts w:ascii="Arial" w:hAnsi="Arial" w:cs="Mangal"/>
          <w:noProof/>
          <w:kern w:val="1"/>
          <w:sz w:val="20"/>
          <w:szCs w:val="24"/>
          <w:lang w:val="ro-RO" w:eastAsia="ro-RO"/>
        </w:rPr>
      </w:pPr>
      <w:r w:rsidRPr="006F66E1">
        <w:rPr>
          <w:rFonts w:ascii="Arial" w:hAnsi="Arial" w:cs="Mangal"/>
          <w:noProof/>
          <w:kern w:val="1"/>
          <w:sz w:val="20"/>
          <w:szCs w:val="24"/>
        </w:rPr>
        <w:lastRenderedPageBreak/>
        <mc:AlternateContent>
          <mc:Choice Requires="wps">
            <w:drawing>
              <wp:anchor distT="0" distB="0" distL="114300" distR="114300" simplePos="0" relativeHeight="251668992" behindDoc="0" locked="0" layoutInCell="1" allowOverlap="1" wp14:anchorId="30CAE93D" wp14:editId="736292A9">
                <wp:simplePos x="0" y="0"/>
                <wp:positionH relativeFrom="column">
                  <wp:posOffset>3916207</wp:posOffset>
                </wp:positionH>
                <wp:positionV relativeFrom="paragraph">
                  <wp:posOffset>1917065</wp:posOffset>
                </wp:positionV>
                <wp:extent cx="233917" cy="74428"/>
                <wp:effectExtent l="0" t="0" r="13970" b="20955"/>
                <wp:wrapNone/>
                <wp:docPr id="226" name="Rectangle 226"/>
                <wp:cNvGraphicFramePr/>
                <a:graphic xmlns:a="http://schemas.openxmlformats.org/drawingml/2006/main">
                  <a:graphicData uri="http://schemas.microsoft.com/office/word/2010/wordprocessingShape">
                    <wps:wsp>
                      <wps:cNvSpPr/>
                      <wps:spPr>
                        <a:xfrm>
                          <a:off x="0" y="0"/>
                          <a:ext cx="233917" cy="74428"/>
                        </a:xfrm>
                        <a:prstGeom prst="rect">
                          <a:avLst/>
                        </a:prstGeom>
                        <a:solidFill>
                          <a:sysClr val="window" lastClr="FFFFFF">
                            <a:lumMod val="75000"/>
                          </a:sysClr>
                        </a:solidFill>
                        <a:ln w="25400" cap="flat" cmpd="sng" algn="ctr">
                          <a:solidFill>
                            <a:sysClr val="window" lastClr="FFFFFF">
                              <a:lumMod val="8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FB0FB3" id="Rectangle 226" o:spid="_x0000_s1026" style="position:absolute;margin-left:308.35pt;margin-top:150.95pt;width:18.4pt;height:5.85pt;z-index:25166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" fillcolor="#bfbfbf" strokecolor="#d9d9d9" strokeweight="2pt"/>
            </w:pict>
          </mc:Fallback>
        </mc:AlternateContent>
      </w:r>
      <w:r w:rsidRPr="006F66E1">
        <w:rPr>
          <w:rFonts w:ascii="Arial" w:hAnsi="Arial" w:cs="Mangal"/>
          <w:noProof/>
          <w:kern w:val="1"/>
          <w:sz w:val="20"/>
          <w:szCs w:val="24"/>
        </w:rPr>
        <w:drawing>
          <wp:inline distT="0" distB="0" distL="0" distR="0" wp14:anchorId="27A164DE" wp14:editId="75A75BB5">
            <wp:extent cx="4476307" cy="2632770"/>
            <wp:effectExtent l="0" t="0" r="635" b="0"/>
            <wp:docPr id="45" name="Picture 45" descr="E:\Horezu\Materiale lucru\Florin_M\Drumuri Diverse\11.3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Horezu\Materiale lucru\Florin_M\Drumuri Diverse\11.35.35.pn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20149" r="6611" b="23457"/>
                    <a:stretch/>
                  </pic:blipFill>
                  <pic:spPr bwMode="auto">
                    <a:xfrm>
                      <a:off x="0" y="0"/>
                      <a:ext cx="4489383" cy="2640461"/>
                    </a:xfrm>
                    <a:prstGeom prst="rect">
                      <a:avLst/>
                    </a:prstGeom>
                    <a:noFill/>
                    <a:ln>
                      <a:noFill/>
                    </a:ln>
                    <a:extLst>
                      <a:ext uri="{53640926-AAD7-44D8-BBD7-CCE9431645EC}">
                        <a14:shadowObscured xmlns:a14="http://schemas.microsoft.com/office/drawing/2010/main"/>
                      </a:ext>
                    </a:extLst>
                  </pic:spPr>
                </pic:pic>
              </a:graphicData>
            </a:graphic>
          </wp:inline>
        </w:drawing>
      </w:r>
    </w:p>
    <w:p w14:paraId="6C9DF188" w14:textId="27A705E8" w:rsidR="006F66E1" w:rsidRDefault="0017641F" w:rsidP="0017641F">
      <w:pPr>
        <w:pStyle w:val="Legend"/>
        <w:jc w:val="center"/>
        <w:rPr>
          <w:rFonts w:ascii="Arial" w:hAnsi="Arial" w:cs="Arial"/>
          <w:i w:val="0"/>
          <w:color w:val="1F497D"/>
          <w:sz w:val="22"/>
          <w:szCs w:val="22"/>
        </w:rPr>
      </w:pPr>
      <w:bookmarkStart w:id="90" w:name="_Toc140744460"/>
      <w:r w:rsidRPr="0017641F">
        <w:rPr>
          <w:rFonts w:ascii="Arial" w:hAnsi="Arial" w:cs="Arial"/>
          <w:sz w:val="22"/>
          <w:szCs w:val="22"/>
        </w:rPr>
        <w:t xml:space="preserve">Figura I.2. </w:t>
      </w:r>
      <w:r w:rsidRPr="0017641F">
        <w:rPr>
          <w:rFonts w:ascii="Arial" w:hAnsi="Arial" w:cs="Arial"/>
          <w:sz w:val="22"/>
          <w:szCs w:val="22"/>
        </w:rPr>
        <w:fldChar w:fldCharType="begin"/>
      </w:r>
      <w:r w:rsidRPr="0017641F">
        <w:rPr>
          <w:rFonts w:ascii="Arial" w:hAnsi="Arial" w:cs="Arial"/>
          <w:sz w:val="22"/>
          <w:szCs w:val="22"/>
        </w:rPr>
        <w:instrText xml:space="preserve"> SEQ Figura_I.2. \* ARABIC </w:instrText>
      </w:r>
      <w:r w:rsidRPr="0017641F">
        <w:rPr>
          <w:rFonts w:ascii="Arial" w:hAnsi="Arial" w:cs="Arial"/>
          <w:sz w:val="22"/>
          <w:szCs w:val="22"/>
        </w:rPr>
        <w:fldChar w:fldCharType="separate"/>
      </w:r>
      <w:r w:rsidR="00BB181C">
        <w:rPr>
          <w:rFonts w:ascii="Arial" w:hAnsi="Arial" w:cs="Arial"/>
          <w:noProof/>
          <w:sz w:val="22"/>
          <w:szCs w:val="22"/>
        </w:rPr>
        <w:t>18</w:t>
      </w:r>
      <w:r w:rsidRPr="0017641F">
        <w:rPr>
          <w:rFonts w:ascii="Arial" w:hAnsi="Arial" w:cs="Arial"/>
          <w:sz w:val="22"/>
          <w:szCs w:val="22"/>
        </w:rPr>
        <w:fldChar w:fldCharType="end"/>
      </w:r>
      <w:r w:rsidRPr="0017641F">
        <w:rPr>
          <w:rFonts w:ascii="Arial" w:hAnsi="Arial" w:cs="Arial"/>
          <w:sz w:val="22"/>
          <w:szCs w:val="22"/>
        </w:rPr>
        <w:t xml:space="preserve"> </w:t>
      </w:r>
      <w:r w:rsidR="006F66E1" w:rsidRPr="0017641F">
        <w:rPr>
          <w:rFonts w:ascii="Arial" w:hAnsi="Arial" w:cs="Arial"/>
          <w:i w:val="0"/>
          <w:iCs w:val="0"/>
          <w:color w:val="1F497D"/>
          <w:sz w:val="22"/>
          <w:szCs w:val="22"/>
        </w:rPr>
        <w:t xml:space="preserve">- </w:t>
      </w:r>
      <w:r w:rsidR="006F66E1" w:rsidRPr="0017641F">
        <w:rPr>
          <w:rFonts w:ascii="Arial" w:hAnsi="Arial" w:cs="Arial"/>
          <w:i w:val="0"/>
          <w:color w:val="1F497D"/>
          <w:sz w:val="22"/>
          <w:szCs w:val="22"/>
        </w:rPr>
        <w:t>Ex</w:t>
      </w:r>
      <w:r w:rsidR="00082E8F">
        <w:rPr>
          <w:rFonts w:ascii="Arial" w:hAnsi="Arial" w:cs="Arial"/>
          <w:i w:val="0"/>
          <w:color w:val="1F497D"/>
          <w:sz w:val="22"/>
          <w:szCs w:val="22"/>
        </w:rPr>
        <w:t>emplu de parcare neregulamentară</w:t>
      </w:r>
      <w:r w:rsidR="006F66E1" w:rsidRPr="0017641F">
        <w:rPr>
          <w:rFonts w:ascii="Arial" w:hAnsi="Arial" w:cs="Arial"/>
          <w:i w:val="0"/>
          <w:color w:val="1F497D"/>
          <w:sz w:val="22"/>
          <w:szCs w:val="22"/>
        </w:rPr>
        <w:t xml:space="preserve"> pe carosabil</w:t>
      </w:r>
      <w:bookmarkEnd w:id="90"/>
    </w:p>
    <w:p w14:paraId="0247EE9D" w14:textId="77777777" w:rsidR="00082E8F" w:rsidRPr="00082E8F" w:rsidRDefault="00082E8F" w:rsidP="00082E8F"/>
    <w:p w14:paraId="1C99A86C" w14:textId="77777777" w:rsidR="006F66E1" w:rsidRPr="006F66E1" w:rsidRDefault="006F66E1" w:rsidP="006F66E1">
      <w:pPr>
        <w:widowControl w:val="0"/>
        <w:suppressAutoHyphens/>
        <w:spacing w:after="0" w:line="360" w:lineRule="auto"/>
        <w:jc w:val="center"/>
        <w:rPr>
          <w:rFonts w:ascii="Arial" w:hAnsi="Arial" w:cs="Arial"/>
          <w:bCs/>
          <w:kern w:val="1"/>
          <w:sz w:val="24"/>
          <w:szCs w:val="24"/>
          <w:lang w:val="es-ES" w:eastAsia="hi-IN" w:bidi="hi-IN"/>
        </w:rPr>
      </w:pPr>
      <w:r w:rsidRPr="006F66E1">
        <w:rPr>
          <w:rFonts w:ascii="Arial" w:hAnsi="Arial" w:cs="Arial"/>
          <w:bCs/>
          <w:noProof/>
          <w:kern w:val="1"/>
          <w:sz w:val="24"/>
          <w:szCs w:val="24"/>
        </w:rPr>
        <w:drawing>
          <wp:inline distT="0" distB="0" distL="0" distR="0" wp14:anchorId="30761E66" wp14:editId="3E78FB68">
            <wp:extent cx="4550643" cy="2658140"/>
            <wp:effectExtent l="0" t="0" r="2540" b="8890"/>
            <wp:docPr id="259" name="Picture 259" descr="E:\Horezu\Materiale lucru\Florin_M\Drumuri Diverse\12.4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Horezu\Materiale lucru\Florin_M\Drumuri Diverse\12.43.45.pn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25824" b="22360"/>
                    <a:stretch/>
                  </pic:blipFill>
                  <pic:spPr bwMode="auto">
                    <a:xfrm>
                      <a:off x="0" y="0"/>
                      <a:ext cx="4546757" cy="2655870"/>
                    </a:xfrm>
                    <a:prstGeom prst="rect">
                      <a:avLst/>
                    </a:prstGeom>
                    <a:noFill/>
                    <a:ln>
                      <a:noFill/>
                    </a:ln>
                    <a:extLst>
                      <a:ext uri="{53640926-AAD7-44D8-BBD7-CCE9431645EC}">
                        <a14:shadowObscured xmlns:a14="http://schemas.microsoft.com/office/drawing/2010/main"/>
                      </a:ext>
                    </a:extLst>
                  </pic:spPr>
                </pic:pic>
              </a:graphicData>
            </a:graphic>
          </wp:inline>
        </w:drawing>
      </w:r>
    </w:p>
    <w:p w14:paraId="4DDEF13B" w14:textId="5F670898" w:rsidR="006F66E1" w:rsidRPr="0017641F" w:rsidRDefault="0017641F" w:rsidP="0017641F">
      <w:pPr>
        <w:pStyle w:val="Legend"/>
        <w:jc w:val="center"/>
        <w:rPr>
          <w:rFonts w:ascii="Arial" w:hAnsi="Arial" w:cs="Arial"/>
          <w:color w:val="FF0000"/>
          <w:kern w:val="1"/>
          <w:sz w:val="22"/>
          <w:szCs w:val="22"/>
          <w:lang w:val="es-ES" w:eastAsia="hi-IN" w:bidi="hi-IN"/>
        </w:rPr>
      </w:pPr>
      <w:bookmarkStart w:id="91" w:name="_Toc140744461"/>
      <w:r w:rsidRPr="0017641F">
        <w:rPr>
          <w:rFonts w:ascii="Arial" w:hAnsi="Arial" w:cs="Arial"/>
          <w:sz w:val="22"/>
          <w:szCs w:val="22"/>
        </w:rPr>
        <w:t xml:space="preserve">Figura I.2. </w:t>
      </w:r>
      <w:r w:rsidRPr="0017641F">
        <w:rPr>
          <w:rFonts w:ascii="Arial" w:hAnsi="Arial" w:cs="Arial"/>
          <w:sz w:val="22"/>
          <w:szCs w:val="22"/>
        </w:rPr>
        <w:fldChar w:fldCharType="begin"/>
      </w:r>
      <w:r w:rsidRPr="0017641F">
        <w:rPr>
          <w:rFonts w:ascii="Arial" w:hAnsi="Arial" w:cs="Arial"/>
          <w:sz w:val="22"/>
          <w:szCs w:val="22"/>
        </w:rPr>
        <w:instrText xml:space="preserve"> SEQ Figura_I.2. \* ARABIC </w:instrText>
      </w:r>
      <w:r w:rsidRPr="0017641F">
        <w:rPr>
          <w:rFonts w:ascii="Arial" w:hAnsi="Arial" w:cs="Arial"/>
          <w:sz w:val="22"/>
          <w:szCs w:val="22"/>
        </w:rPr>
        <w:fldChar w:fldCharType="separate"/>
      </w:r>
      <w:r w:rsidR="00BB181C">
        <w:rPr>
          <w:rFonts w:ascii="Arial" w:hAnsi="Arial" w:cs="Arial"/>
          <w:noProof/>
          <w:sz w:val="22"/>
          <w:szCs w:val="22"/>
        </w:rPr>
        <w:t>19</w:t>
      </w:r>
      <w:r w:rsidRPr="0017641F">
        <w:rPr>
          <w:rFonts w:ascii="Arial" w:hAnsi="Arial" w:cs="Arial"/>
          <w:sz w:val="22"/>
          <w:szCs w:val="22"/>
        </w:rPr>
        <w:fldChar w:fldCharType="end"/>
      </w:r>
      <w:r w:rsidRPr="0017641F">
        <w:rPr>
          <w:rFonts w:ascii="Arial" w:hAnsi="Arial" w:cs="Arial"/>
          <w:sz w:val="22"/>
          <w:szCs w:val="22"/>
        </w:rPr>
        <w:t xml:space="preserve"> </w:t>
      </w:r>
      <w:r w:rsidR="006F66E1" w:rsidRPr="0017641F">
        <w:rPr>
          <w:rFonts w:ascii="Arial" w:hAnsi="Arial" w:cs="Arial"/>
          <w:i w:val="0"/>
          <w:iCs w:val="0"/>
          <w:color w:val="1F497D"/>
          <w:sz w:val="22"/>
          <w:szCs w:val="22"/>
        </w:rPr>
        <w:t xml:space="preserve">- </w:t>
      </w:r>
      <w:r w:rsidR="006F66E1" w:rsidRPr="0017641F">
        <w:rPr>
          <w:rFonts w:ascii="Arial" w:hAnsi="Arial" w:cs="Arial"/>
          <w:i w:val="0"/>
          <w:color w:val="1F497D"/>
          <w:sz w:val="22"/>
          <w:szCs w:val="22"/>
        </w:rPr>
        <w:t>Exemplu de parcare neregulamentară care obstrucționează circulația pietonilor în zona centrală</w:t>
      </w:r>
      <w:bookmarkEnd w:id="91"/>
    </w:p>
    <w:p w14:paraId="7CD9458A" w14:textId="77777777" w:rsidR="006F66E1" w:rsidRPr="006F66E1" w:rsidRDefault="006F66E1" w:rsidP="006F66E1">
      <w:pPr>
        <w:widowControl w:val="0"/>
        <w:suppressAutoHyphens/>
        <w:spacing w:after="0" w:line="276" w:lineRule="auto"/>
        <w:jc w:val="both"/>
        <w:rPr>
          <w:rFonts w:ascii="Arial" w:hAnsi="Arial" w:cs="Mangal"/>
          <w:noProof/>
          <w:color w:val="FF0000"/>
          <w:kern w:val="1"/>
          <w:lang w:val="ro-RO" w:eastAsia="ro-RO"/>
        </w:rPr>
      </w:pPr>
    </w:p>
    <w:p w14:paraId="364DA88F" w14:textId="77777777" w:rsidR="006F66E1" w:rsidRPr="006F66E1" w:rsidRDefault="006F66E1" w:rsidP="006F66E1">
      <w:pPr>
        <w:widowControl w:val="0"/>
        <w:suppressAutoHyphens/>
        <w:spacing w:after="0" w:line="276" w:lineRule="auto"/>
        <w:jc w:val="center"/>
        <w:rPr>
          <w:rFonts w:ascii="Arial" w:hAnsi="Arial" w:cs="Mangal"/>
          <w:color w:val="FF0000"/>
          <w:kern w:val="1"/>
          <w:lang w:val="es-ES" w:eastAsia="hi-IN" w:bidi="hi-IN"/>
        </w:rPr>
      </w:pPr>
      <w:r w:rsidRPr="006F66E1">
        <w:rPr>
          <w:rFonts w:ascii="Arial" w:hAnsi="Arial" w:cs="Mangal"/>
          <w:noProof/>
          <w:color w:val="FF0000"/>
          <w:kern w:val="1"/>
        </w:rPr>
        <w:lastRenderedPageBreak/>
        <w:drawing>
          <wp:inline distT="0" distB="0" distL="0" distR="0" wp14:anchorId="4251A224" wp14:editId="50C6255B">
            <wp:extent cx="3742661" cy="2870791"/>
            <wp:effectExtent l="0" t="0" r="0" b="6350"/>
            <wp:docPr id="284" name="Picture 284" descr="E:\Horezu\Materiale lucru\Florin_M\Drumuri Diverse\17.0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Horezu\Materiale lucru\Florin_M\Drumuri Diverse\17.04.24.pn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21712" t="-1" r="17146" b="16667"/>
                    <a:stretch/>
                  </pic:blipFill>
                  <pic:spPr bwMode="auto">
                    <a:xfrm>
                      <a:off x="0" y="0"/>
                      <a:ext cx="3747751" cy="2874695"/>
                    </a:xfrm>
                    <a:prstGeom prst="rect">
                      <a:avLst/>
                    </a:prstGeom>
                    <a:noFill/>
                    <a:ln>
                      <a:noFill/>
                    </a:ln>
                    <a:extLst>
                      <a:ext uri="{53640926-AAD7-44D8-BBD7-CCE9431645EC}">
                        <a14:shadowObscured xmlns:a14="http://schemas.microsoft.com/office/drawing/2010/main"/>
                      </a:ext>
                    </a:extLst>
                  </pic:spPr>
                </pic:pic>
              </a:graphicData>
            </a:graphic>
          </wp:inline>
        </w:drawing>
      </w:r>
    </w:p>
    <w:p w14:paraId="5C483F4D" w14:textId="77777777" w:rsidR="006F66E1" w:rsidRPr="006F66E1" w:rsidRDefault="006F66E1" w:rsidP="006F66E1">
      <w:pPr>
        <w:widowControl w:val="0"/>
        <w:suppressAutoHyphens/>
        <w:spacing w:after="0" w:line="276" w:lineRule="auto"/>
        <w:jc w:val="center"/>
        <w:rPr>
          <w:rFonts w:ascii="Arial" w:hAnsi="Arial" w:cs="Mangal"/>
          <w:color w:val="FF0000"/>
          <w:kern w:val="1"/>
          <w:lang w:val="es-ES" w:eastAsia="hi-IN" w:bidi="hi-IN"/>
        </w:rPr>
      </w:pPr>
    </w:p>
    <w:p w14:paraId="5AB16681" w14:textId="77777777" w:rsidR="006F66E1" w:rsidRPr="006F66E1" w:rsidRDefault="006F66E1" w:rsidP="006F66E1">
      <w:pPr>
        <w:widowControl w:val="0"/>
        <w:suppressAutoHyphens/>
        <w:spacing w:after="0" w:line="276" w:lineRule="auto"/>
        <w:jc w:val="center"/>
        <w:rPr>
          <w:rFonts w:ascii="Arial" w:hAnsi="Arial" w:cs="Mangal"/>
          <w:noProof/>
          <w:color w:val="FF0000"/>
          <w:kern w:val="1"/>
          <w:lang w:val="ro-RO" w:eastAsia="ro-RO"/>
        </w:rPr>
      </w:pPr>
    </w:p>
    <w:p w14:paraId="62B65487" w14:textId="77777777" w:rsidR="006F66E1" w:rsidRPr="006F66E1" w:rsidRDefault="006F66E1" w:rsidP="006F66E1">
      <w:pPr>
        <w:widowControl w:val="0"/>
        <w:suppressAutoHyphens/>
        <w:spacing w:after="0" w:line="276" w:lineRule="auto"/>
        <w:jc w:val="center"/>
        <w:rPr>
          <w:rFonts w:ascii="Arial" w:hAnsi="Arial" w:cs="Mangal"/>
          <w:color w:val="FF0000"/>
          <w:kern w:val="1"/>
          <w:lang w:val="es-ES" w:eastAsia="hi-IN" w:bidi="hi-IN"/>
        </w:rPr>
      </w:pPr>
      <w:r w:rsidRPr="006F66E1">
        <w:rPr>
          <w:rFonts w:ascii="Arial" w:hAnsi="Arial" w:cs="Mangal"/>
          <w:noProof/>
          <w:color w:val="FF0000"/>
          <w:kern w:val="1"/>
        </w:rPr>
        <w:drawing>
          <wp:inline distT="0" distB="0" distL="0" distR="0" wp14:anchorId="5C93EB93" wp14:editId="31C1463D">
            <wp:extent cx="3965945" cy="2371061"/>
            <wp:effectExtent l="0" t="0" r="0" b="0"/>
            <wp:docPr id="285" name="Picture 285" descr="E:\Horezu\Materiale lucru\Florin_M\Drumuri Diverse\17.06.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Horezu\Materiale lucru\Florin_M\Drumuri Diverse\17.06.32.pn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3926" r="11401" b="30313"/>
                    <a:stretch/>
                  </pic:blipFill>
                  <pic:spPr bwMode="auto">
                    <a:xfrm>
                      <a:off x="0" y="0"/>
                      <a:ext cx="3964212" cy="2370025"/>
                    </a:xfrm>
                    <a:prstGeom prst="rect">
                      <a:avLst/>
                    </a:prstGeom>
                    <a:noFill/>
                    <a:ln>
                      <a:noFill/>
                    </a:ln>
                    <a:extLst>
                      <a:ext uri="{53640926-AAD7-44D8-BBD7-CCE9431645EC}">
                        <a14:shadowObscured xmlns:a14="http://schemas.microsoft.com/office/drawing/2010/main"/>
                      </a:ext>
                    </a:extLst>
                  </pic:spPr>
                </pic:pic>
              </a:graphicData>
            </a:graphic>
          </wp:inline>
        </w:drawing>
      </w:r>
    </w:p>
    <w:p w14:paraId="07D5ADF1" w14:textId="19AEA369" w:rsidR="006F66E1" w:rsidRPr="00082E8F" w:rsidRDefault="00082E8F" w:rsidP="00082E8F">
      <w:pPr>
        <w:pStyle w:val="Legend"/>
        <w:jc w:val="center"/>
        <w:rPr>
          <w:rFonts w:ascii="Arial" w:hAnsi="Arial" w:cs="Arial"/>
          <w:color w:val="FF0000"/>
          <w:kern w:val="1"/>
          <w:sz w:val="22"/>
          <w:szCs w:val="22"/>
          <w:lang w:val="es-ES" w:eastAsia="hi-IN" w:bidi="hi-IN"/>
        </w:rPr>
      </w:pPr>
      <w:bookmarkStart w:id="92" w:name="_Toc140744462"/>
      <w:r w:rsidRPr="00082E8F">
        <w:rPr>
          <w:rFonts w:ascii="Arial" w:hAnsi="Arial" w:cs="Arial"/>
          <w:sz w:val="22"/>
          <w:szCs w:val="22"/>
        </w:rPr>
        <w:t xml:space="preserve">Figura I.2. </w:t>
      </w:r>
      <w:r w:rsidRPr="00082E8F">
        <w:rPr>
          <w:rFonts w:ascii="Arial" w:hAnsi="Arial" w:cs="Arial"/>
          <w:sz w:val="22"/>
          <w:szCs w:val="22"/>
        </w:rPr>
        <w:fldChar w:fldCharType="begin"/>
      </w:r>
      <w:r w:rsidRPr="00082E8F">
        <w:rPr>
          <w:rFonts w:ascii="Arial" w:hAnsi="Arial" w:cs="Arial"/>
          <w:sz w:val="22"/>
          <w:szCs w:val="22"/>
        </w:rPr>
        <w:instrText xml:space="preserve"> SEQ Figura_I.2. \* ARABIC </w:instrText>
      </w:r>
      <w:r w:rsidRPr="00082E8F">
        <w:rPr>
          <w:rFonts w:ascii="Arial" w:hAnsi="Arial" w:cs="Arial"/>
          <w:sz w:val="22"/>
          <w:szCs w:val="22"/>
        </w:rPr>
        <w:fldChar w:fldCharType="separate"/>
      </w:r>
      <w:r w:rsidR="00BB181C">
        <w:rPr>
          <w:rFonts w:ascii="Arial" w:hAnsi="Arial" w:cs="Arial"/>
          <w:noProof/>
          <w:sz w:val="22"/>
          <w:szCs w:val="22"/>
        </w:rPr>
        <w:t>20</w:t>
      </w:r>
      <w:r w:rsidRPr="00082E8F">
        <w:rPr>
          <w:rFonts w:ascii="Arial" w:hAnsi="Arial" w:cs="Arial"/>
          <w:sz w:val="22"/>
          <w:szCs w:val="22"/>
        </w:rPr>
        <w:fldChar w:fldCharType="end"/>
      </w:r>
      <w:r w:rsidRPr="00082E8F">
        <w:rPr>
          <w:rFonts w:ascii="Arial" w:hAnsi="Arial" w:cs="Arial"/>
          <w:sz w:val="22"/>
          <w:szCs w:val="22"/>
        </w:rPr>
        <w:t xml:space="preserve"> </w:t>
      </w:r>
      <w:r w:rsidR="006F66E1" w:rsidRPr="00082E8F">
        <w:rPr>
          <w:rFonts w:ascii="Arial" w:hAnsi="Arial" w:cs="Arial"/>
          <w:sz w:val="22"/>
          <w:szCs w:val="22"/>
        </w:rPr>
        <w:t xml:space="preserve">- </w:t>
      </w:r>
      <w:r w:rsidR="006F66E1" w:rsidRPr="00082E8F">
        <w:rPr>
          <w:rFonts w:ascii="Arial" w:hAnsi="Arial" w:cs="Arial"/>
          <w:i w:val="0"/>
          <w:iCs w:val="0"/>
          <w:sz w:val="22"/>
          <w:szCs w:val="22"/>
        </w:rPr>
        <w:t>Exemple de parcare neregulamentară care obstrucționează circulația pietonilor</w:t>
      </w:r>
      <w:bookmarkEnd w:id="92"/>
    </w:p>
    <w:p w14:paraId="2B7EA36F" w14:textId="77777777" w:rsidR="006F66E1" w:rsidRPr="006F66E1" w:rsidRDefault="006F66E1" w:rsidP="006F66E1">
      <w:pPr>
        <w:widowControl w:val="0"/>
        <w:suppressAutoHyphens/>
        <w:spacing w:after="0" w:line="276" w:lineRule="auto"/>
        <w:jc w:val="both"/>
        <w:rPr>
          <w:rFonts w:ascii="Arial" w:hAnsi="Arial" w:cs="Mangal"/>
          <w:color w:val="FF0000"/>
          <w:kern w:val="1"/>
          <w:lang w:val="es-ES" w:eastAsia="hi-IN" w:bidi="hi-IN"/>
        </w:rPr>
      </w:pPr>
    </w:p>
    <w:p w14:paraId="3450AB99" w14:textId="77777777" w:rsidR="006F66E1" w:rsidRPr="006F66E1" w:rsidRDefault="006F66E1" w:rsidP="006F66E1">
      <w:pPr>
        <w:suppressAutoHyphens/>
        <w:autoSpaceDE w:val="0"/>
        <w:spacing w:after="0" w:line="276" w:lineRule="auto"/>
        <w:jc w:val="both"/>
        <w:rPr>
          <w:rFonts w:ascii="Arial" w:eastAsia="Calibri" w:hAnsi="Arial" w:cs="Arial"/>
          <w:lang w:eastAsia="zh-CN"/>
        </w:rPr>
      </w:pPr>
      <w:r w:rsidRPr="006F66E1">
        <w:rPr>
          <w:rFonts w:ascii="Arial" w:eastAsia="Calibri" w:hAnsi="Arial" w:cs="Arial"/>
          <w:lang w:eastAsia="zh-CN"/>
        </w:rPr>
        <w:t xml:space="preserve">În Ghidul aplicat pentru Politici de parcare pentru mobilitate urbană durabilă elaborat de JASPERS, se precizează </w:t>
      </w:r>
      <w:r w:rsidRPr="006F66E1">
        <w:rPr>
          <w:rFonts w:ascii="Arial" w:eastAsia="Calibri" w:hAnsi="Arial" w:cs="Arial"/>
          <w:color w:val="000000"/>
          <w:lang w:eastAsia="zh-CN"/>
        </w:rPr>
        <w:t>faptul că “</w:t>
      </w:r>
      <w:r w:rsidRPr="006F66E1">
        <w:rPr>
          <w:rFonts w:ascii="Arial" w:eastAsia="Calibri" w:hAnsi="Arial" w:cs="Arial"/>
          <w:i/>
          <w:color w:val="000000"/>
          <w:lang w:eastAsia="zh-CN"/>
        </w:rPr>
        <w:t>politica de gestionare a parcării urbane este unul dintre cele mai puternice instrumente aflate la dispoziția primăriilor pentru a influența tiparele de mobilitate urbană, pentru a controla amenajarea și utilizarea spațiului urban și, în ultimă instanță, pentru a determina calitatea vieții urbane și deci fericirea locuitorilor orașului.</w:t>
      </w:r>
      <w:r w:rsidRPr="006F66E1">
        <w:rPr>
          <w:rFonts w:ascii="Arial" w:eastAsia="Calibri" w:hAnsi="Arial" w:cs="Arial"/>
          <w:color w:val="000000"/>
          <w:lang w:eastAsia="zh-CN"/>
        </w:rPr>
        <w:t xml:space="preserve">”. Astfel, pentru analiza </w:t>
      </w:r>
      <w:r w:rsidRPr="006F66E1">
        <w:rPr>
          <w:rFonts w:ascii="Arial" w:eastAsia="Calibri" w:hAnsi="Arial" w:cs="Arial"/>
          <w:b/>
          <w:bCs/>
          <w:color w:val="000000"/>
          <w:lang w:eastAsia="zh-CN"/>
        </w:rPr>
        <w:t xml:space="preserve">coerenței politicilor de parcare din zona centrală cu mobilitatea urbană durabilă </w:t>
      </w:r>
      <w:r w:rsidRPr="006F66E1">
        <w:rPr>
          <w:rFonts w:ascii="Arial" w:eastAsia="Calibri" w:hAnsi="Arial" w:cs="Arial"/>
          <w:color w:val="000000"/>
          <w:lang w:eastAsia="zh-CN"/>
        </w:rPr>
        <w:t>a fost dezvoltat un set de 15 indicatori (prezentați în anexa 2).</w:t>
      </w:r>
      <w:r w:rsidRPr="006F66E1">
        <w:rPr>
          <w:rFonts w:ascii="EUAlbertina" w:eastAsia="Calibri" w:hAnsi="EUAlbertina" w:cs="EUAlbertina"/>
          <w:color w:val="000000"/>
          <w:lang w:eastAsia="zh-CN"/>
        </w:rPr>
        <w:t xml:space="preserve"> </w:t>
      </w:r>
      <w:r w:rsidRPr="006F66E1">
        <w:rPr>
          <w:rFonts w:ascii="Arial" w:eastAsia="Calibri" w:hAnsi="Arial" w:cs="Arial"/>
          <w:lang w:eastAsia="zh-CN"/>
        </w:rPr>
        <w:t xml:space="preserve">Utilizând acest instrument, nota obținută de sistemul de parcări din Orasul </w:t>
      </w:r>
      <w:r w:rsidR="00082E8F">
        <w:rPr>
          <w:rFonts w:ascii="Arial" w:eastAsia="Calibri" w:hAnsi="Arial" w:cs="Arial"/>
          <w:lang w:eastAsia="zh-CN"/>
        </w:rPr>
        <w:t>Horezu</w:t>
      </w:r>
      <w:r w:rsidRPr="006F66E1">
        <w:rPr>
          <w:rFonts w:ascii="Arial" w:eastAsia="Calibri" w:hAnsi="Arial" w:cs="Arial"/>
          <w:lang w:eastAsia="zh-CN"/>
        </w:rPr>
        <w:t xml:space="preserve"> este de </w:t>
      </w:r>
      <w:r w:rsidRPr="006F66E1">
        <w:rPr>
          <w:rFonts w:ascii="Arial" w:eastAsia="Calibri" w:hAnsi="Arial" w:cs="Arial"/>
          <w:b/>
          <w:lang w:eastAsia="zh-CN"/>
        </w:rPr>
        <w:t>25 dintr-un punctaj maxim de 100</w:t>
      </w:r>
      <w:r w:rsidRPr="006F66E1">
        <w:rPr>
          <w:rFonts w:ascii="Arial" w:eastAsia="Calibri" w:hAnsi="Arial" w:cs="Arial"/>
          <w:lang w:eastAsia="zh-CN"/>
        </w:rPr>
        <w:t xml:space="preserve"> (a se vedea Anexa 2).</w:t>
      </w:r>
    </w:p>
    <w:p w14:paraId="15D3D0FF" w14:textId="77777777" w:rsidR="006F66E1" w:rsidRPr="006F66E1" w:rsidRDefault="006F66E1" w:rsidP="006F66E1">
      <w:pPr>
        <w:widowControl w:val="0"/>
        <w:suppressAutoHyphens/>
        <w:spacing w:after="0" w:line="360" w:lineRule="auto"/>
        <w:jc w:val="both"/>
        <w:rPr>
          <w:rFonts w:ascii="Arial" w:hAnsi="Arial" w:cs="Mangal"/>
          <w:color w:val="FF0000"/>
          <w:kern w:val="1"/>
          <w:sz w:val="24"/>
          <w:szCs w:val="24"/>
          <w:lang w:val="es-ES" w:eastAsia="hi-IN" w:bidi="hi-IN"/>
        </w:rPr>
      </w:pPr>
    </w:p>
    <w:p w14:paraId="7A0573E4" w14:textId="77777777" w:rsidR="006F66E1" w:rsidRPr="006F66E1" w:rsidRDefault="006F66E1" w:rsidP="006F66E1">
      <w:pPr>
        <w:widowControl w:val="0"/>
        <w:suppressAutoHyphens/>
        <w:spacing w:after="0" w:line="276" w:lineRule="auto"/>
        <w:jc w:val="both"/>
        <w:rPr>
          <w:rFonts w:ascii="Arial" w:hAnsi="Arial" w:cs="Arial"/>
          <w:kern w:val="1"/>
          <w:lang w:val="ro-RO" w:eastAsia="hi-IN" w:bidi="hi-IN"/>
        </w:rPr>
      </w:pPr>
      <w:r w:rsidRPr="006F66E1">
        <w:rPr>
          <w:rFonts w:ascii="Arial" w:hAnsi="Arial" w:cs="Arial"/>
          <w:kern w:val="1"/>
          <w:lang w:val="es-ES" w:eastAsia="hi-IN" w:bidi="hi-IN"/>
        </w:rPr>
        <w:t>Pentru analiza situației actuale și pentru realizarea modelului de transport a fost necesară și o activitate complexă de culegere de date referitoare la traficul rutier. Astfel, activitatea de colectare a datelor a inclus următoarele</w:t>
      </w:r>
      <w:r w:rsidRPr="006F66E1">
        <w:rPr>
          <w:rFonts w:ascii="Arial" w:hAnsi="Arial" w:cs="Arial"/>
          <w:kern w:val="1"/>
          <w:lang w:val="ro-RO" w:eastAsia="hi-IN" w:bidi="hi-IN"/>
        </w:rPr>
        <w:t>:</w:t>
      </w:r>
    </w:p>
    <w:p w14:paraId="3E3BE6F1" w14:textId="77777777" w:rsidR="006F66E1" w:rsidRPr="006F66E1" w:rsidRDefault="006F66E1" w:rsidP="006B613A">
      <w:pPr>
        <w:widowControl w:val="0"/>
        <w:numPr>
          <w:ilvl w:val="0"/>
          <w:numId w:val="55"/>
        </w:numPr>
        <w:suppressAutoHyphens/>
        <w:spacing w:after="0" w:line="276" w:lineRule="auto"/>
        <w:contextualSpacing/>
        <w:jc w:val="both"/>
        <w:rPr>
          <w:rFonts w:ascii="Arial" w:eastAsia="Times New Roman" w:hAnsi="Arial" w:cs="Arial"/>
          <w:lang w:val="x-none" w:eastAsia="zh-CN"/>
        </w:rPr>
      </w:pPr>
      <w:r w:rsidRPr="006F66E1">
        <w:rPr>
          <w:rFonts w:ascii="Arial" w:eastAsia="Times New Roman" w:hAnsi="Arial" w:cs="Arial"/>
          <w:lang w:val="x-none" w:eastAsia="zh-CN"/>
        </w:rPr>
        <w:t>Recensăminte de trafic</w:t>
      </w:r>
    </w:p>
    <w:p w14:paraId="1B1781CC" w14:textId="77777777" w:rsidR="006F66E1" w:rsidRPr="006F66E1" w:rsidRDefault="006F66E1" w:rsidP="006B613A">
      <w:pPr>
        <w:widowControl w:val="0"/>
        <w:numPr>
          <w:ilvl w:val="0"/>
          <w:numId w:val="55"/>
        </w:numPr>
        <w:suppressAutoHyphens/>
        <w:spacing w:after="0" w:line="276" w:lineRule="auto"/>
        <w:contextualSpacing/>
        <w:jc w:val="both"/>
        <w:rPr>
          <w:rFonts w:ascii="Arial" w:eastAsia="Times New Roman" w:hAnsi="Arial" w:cs="Arial"/>
          <w:lang w:val="x-none" w:eastAsia="zh-CN"/>
        </w:rPr>
      </w:pPr>
      <w:r w:rsidRPr="006F66E1">
        <w:rPr>
          <w:rFonts w:ascii="Arial" w:eastAsia="Times New Roman" w:hAnsi="Arial" w:cs="Arial"/>
          <w:lang w:val="x-none" w:eastAsia="zh-CN"/>
        </w:rPr>
        <w:t>Anchete la domiciliu</w:t>
      </w:r>
    </w:p>
    <w:p w14:paraId="6FDB2534" w14:textId="77777777" w:rsidR="006F66E1" w:rsidRPr="006F66E1" w:rsidRDefault="006F66E1" w:rsidP="006F66E1">
      <w:pPr>
        <w:widowControl w:val="0"/>
        <w:suppressAutoHyphens/>
        <w:spacing w:after="0" w:line="240" w:lineRule="auto"/>
        <w:rPr>
          <w:rFonts w:ascii="Arial" w:hAnsi="Arial" w:cs="Arial"/>
          <w:kern w:val="1"/>
          <w:sz w:val="24"/>
          <w:szCs w:val="24"/>
          <w:lang w:val="ro-RO" w:eastAsia="hi-IN" w:bidi="hi-IN"/>
        </w:rPr>
      </w:pPr>
    </w:p>
    <w:p w14:paraId="452F41A3" w14:textId="77777777" w:rsidR="006F66E1" w:rsidRPr="006F66E1" w:rsidRDefault="006F66E1" w:rsidP="006F66E1">
      <w:pPr>
        <w:widowControl w:val="0"/>
        <w:suppressAutoHyphens/>
        <w:spacing w:after="0" w:line="276" w:lineRule="auto"/>
        <w:jc w:val="both"/>
        <w:rPr>
          <w:rFonts w:ascii="Arial" w:hAnsi="Arial" w:cs="Arial"/>
          <w:kern w:val="1"/>
          <w:lang w:val="es-ES" w:eastAsia="hi-IN" w:bidi="hi-IN"/>
        </w:rPr>
      </w:pPr>
      <w:r w:rsidRPr="006F66E1">
        <w:rPr>
          <w:rFonts w:ascii="Arial" w:hAnsi="Arial" w:cs="Arial"/>
          <w:kern w:val="1"/>
          <w:lang w:val="es-ES" w:eastAsia="hi-IN" w:bidi="hi-IN"/>
        </w:rPr>
        <w:t>Din cauza situației provocate de pandemia cu virusul SARS Cov-2 și a restricțiilor impuse în perioada în care s-a realizat culegerea datelor, nu au putut fi efectuate anchete origine-destinație pe penetratiile în oraș, iar anchetele la domiciliu au fost înlocuite cu anchete la principalele instituții și societăți comerciale de pe raza orasului, unde au fost lăsate chestionarele pentru a fi completate de către salariați, cu acordul conducerilor unităților respective, astfel încât interacțiunile dintre persoane să fie reduse la minim.</w:t>
      </w:r>
    </w:p>
    <w:p w14:paraId="40F5ECE5" w14:textId="77777777" w:rsidR="006F66E1" w:rsidRPr="006F66E1" w:rsidRDefault="006F66E1" w:rsidP="006F66E1">
      <w:pPr>
        <w:widowControl w:val="0"/>
        <w:suppressAutoHyphens/>
        <w:spacing w:after="0" w:line="360" w:lineRule="auto"/>
        <w:jc w:val="both"/>
        <w:rPr>
          <w:rFonts w:ascii="Arial" w:hAnsi="Arial" w:cs="Arial"/>
          <w:kern w:val="1"/>
          <w:sz w:val="24"/>
          <w:szCs w:val="24"/>
          <w:lang w:val="es-ES" w:eastAsia="hi-IN" w:bidi="hi-IN"/>
        </w:rPr>
      </w:pPr>
    </w:p>
    <w:p w14:paraId="358DEF80" w14:textId="77777777" w:rsidR="006F66E1" w:rsidRPr="006F66E1" w:rsidRDefault="006F66E1" w:rsidP="006F66E1">
      <w:pPr>
        <w:widowControl w:val="0"/>
        <w:suppressAutoHyphens/>
        <w:spacing w:after="0" w:line="276" w:lineRule="auto"/>
        <w:jc w:val="both"/>
        <w:rPr>
          <w:rFonts w:ascii="Arial" w:hAnsi="Arial" w:cs="Arial"/>
          <w:kern w:val="1"/>
          <w:lang w:val="es-ES" w:eastAsia="hi-IN" w:bidi="hi-IN"/>
        </w:rPr>
      </w:pPr>
      <w:r w:rsidRPr="006F66E1">
        <w:rPr>
          <w:rFonts w:ascii="Arial" w:hAnsi="Arial" w:cs="Arial"/>
          <w:kern w:val="1"/>
          <w:lang w:val="es-ES" w:eastAsia="hi-IN" w:bidi="hi-IN"/>
        </w:rPr>
        <w:t>Pentru completarea modelului s-au făcut monitorizări ale fluxuri</w:t>
      </w:r>
      <w:r w:rsidR="00082E8F">
        <w:rPr>
          <w:rFonts w:ascii="Arial" w:hAnsi="Arial" w:cs="Arial"/>
          <w:kern w:val="1"/>
          <w:lang w:val="es-ES" w:eastAsia="hi-IN" w:bidi="hi-IN"/>
        </w:rPr>
        <w:t>lor de trafic pe cele 4 penetraţ</w:t>
      </w:r>
      <w:r w:rsidRPr="006F66E1">
        <w:rPr>
          <w:rFonts w:ascii="Arial" w:hAnsi="Arial" w:cs="Arial"/>
          <w:kern w:val="1"/>
          <w:lang w:val="es-ES" w:eastAsia="hi-IN" w:bidi="hi-IN"/>
        </w:rPr>
        <w:t xml:space="preserve">ii </w:t>
      </w:r>
      <w:r w:rsidR="00082E8F">
        <w:rPr>
          <w:rFonts w:ascii="Arial" w:hAnsi="Arial" w:cs="Arial"/>
          <w:kern w:val="1"/>
          <w:lang w:val="es-ES" w:eastAsia="hi-IN" w:bidi="hi-IN"/>
        </w:rPr>
        <w:t>principale (DN 67 dinspre Rm. Vâ</w:t>
      </w:r>
      <w:r w:rsidRPr="006F66E1">
        <w:rPr>
          <w:rFonts w:ascii="Arial" w:hAnsi="Arial" w:cs="Arial"/>
          <w:kern w:val="1"/>
          <w:lang w:val="es-ES" w:eastAsia="hi-IN" w:bidi="hi-IN"/>
        </w:rPr>
        <w:t>l</w:t>
      </w:r>
      <w:r w:rsidR="00082E8F">
        <w:rPr>
          <w:rFonts w:ascii="Arial" w:hAnsi="Arial" w:cs="Arial"/>
          <w:kern w:val="1"/>
          <w:lang w:val="es-ES" w:eastAsia="hi-IN" w:bidi="hi-IN"/>
        </w:rPr>
        <w:t>cea, respectiv Tg. Jiu, DN 65C şi DJ 665), dar ş</w:t>
      </w:r>
      <w:r w:rsidRPr="006F66E1">
        <w:rPr>
          <w:rFonts w:ascii="Arial" w:hAnsi="Arial" w:cs="Arial"/>
          <w:kern w:val="1"/>
          <w:lang w:val="es-ES" w:eastAsia="hi-IN" w:bidi="hi-IN"/>
        </w:rPr>
        <w:t>i într-un număr de 13 de noduri rutiere (intersecţii), considerate ca generatoare de disfuncţionalităţi în trafic sau care definesc graful reţelei rutiere semnific</w:t>
      </w:r>
      <w:r w:rsidR="00082E8F">
        <w:rPr>
          <w:rFonts w:ascii="Arial" w:hAnsi="Arial" w:cs="Arial"/>
          <w:kern w:val="1"/>
          <w:lang w:val="es-ES" w:eastAsia="hi-IN" w:bidi="hi-IN"/>
        </w:rPr>
        <w:t>ative (acestea sunt prezentate î</w:t>
      </w:r>
      <w:r w:rsidRPr="006F66E1">
        <w:rPr>
          <w:rFonts w:ascii="Arial" w:hAnsi="Arial" w:cs="Arial"/>
          <w:kern w:val="1"/>
          <w:lang w:val="es-ES" w:eastAsia="hi-IN" w:bidi="hi-IN"/>
        </w:rPr>
        <w:t>n capitolul I.3).</w:t>
      </w:r>
    </w:p>
    <w:p w14:paraId="2129C0F7" w14:textId="77777777" w:rsidR="006F66E1" w:rsidRPr="006F66E1" w:rsidRDefault="006F66E1" w:rsidP="006F66E1">
      <w:pPr>
        <w:widowControl w:val="0"/>
        <w:suppressAutoHyphens/>
        <w:spacing w:after="0" w:line="360" w:lineRule="auto"/>
        <w:jc w:val="both"/>
        <w:rPr>
          <w:rFonts w:ascii="Arial" w:hAnsi="Arial" w:cs="Arial"/>
          <w:kern w:val="1"/>
          <w:sz w:val="24"/>
          <w:szCs w:val="24"/>
          <w:lang w:val="es-ES" w:eastAsia="hi-IN" w:bidi="hi-IN"/>
        </w:rPr>
      </w:pPr>
    </w:p>
    <w:p w14:paraId="59DC97CC" w14:textId="77777777" w:rsidR="006F66E1" w:rsidRPr="006F66E1" w:rsidRDefault="006F66E1" w:rsidP="006F66E1">
      <w:pPr>
        <w:widowControl w:val="0"/>
        <w:suppressAutoHyphens/>
        <w:spacing w:after="0" w:line="276" w:lineRule="auto"/>
        <w:jc w:val="both"/>
        <w:rPr>
          <w:rFonts w:ascii="Arial" w:hAnsi="Arial" w:cs="Arial"/>
          <w:kern w:val="1"/>
          <w:lang w:val="es-ES" w:eastAsia="hi-IN" w:bidi="hi-IN"/>
        </w:rPr>
      </w:pPr>
      <w:r w:rsidRPr="006F66E1">
        <w:rPr>
          <w:rFonts w:ascii="Arial" w:hAnsi="Arial" w:cs="Arial"/>
          <w:kern w:val="1"/>
          <w:lang w:val="ro-RO" w:eastAsia="hi-IN" w:bidi="hi-IN"/>
        </w:rPr>
        <w:t>Recensămin</w:t>
      </w:r>
      <w:r w:rsidR="00082E8F">
        <w:rPr>
          <w:rFonts w:ascii="Arial" w:hAnsi="Arial" w:cs="Arial"/>
          <w:kern w:val="1"/>
          <w:lang w:val="ro-RO" w:eastAsia="hi-IN" w:bidi="hi-IN"/>
        </w:rPr>
        <w:t>tele de circulaţie din intersecţ</w:t>
      </w:r>
      <w:r w:rsidRPr="006F66E1">
        <w:rPr>
          <w:rFonts w:ascii="Arial" w:hAnsi="Arial" w:cs="Arial"/>
          <w:kern w:val="1"/>
          <w:lang w:val="ro-RO" w:eastAsia="hi-IN" w:bidi="hi-IN"/>
        </w:rPr>
        <w:t>ii s-au efectuat pe o perioadă de 2 ore în orele de vârf de dimineața (7.00-9.00) și după-amiaz</w:t>
      </w:r>
      <w:r w:rsidR="00082E8F">
        <w:rPr>
          <w:rFonts w:ascii="Arial" w:hAnsi="Arial" w:cs="Arial"/>
          <w:kern w:val="1"/>
          <w:lang w:val="ro-RO" w:eastAsia="hi-IN" w:bidi="hi-IN"/>
        </w:rPr>
        <w:t>a (15.00-17.00). Pentru penetraţ</w:t>
      </w:r>
      <w:r w:rsidRPr="006F66E1">
        <w:rPr>
          <w:rFonts w:ascii="Arial" w:hAnsi="Arial" w:cs="Arial"/>
          <w:kern w:val="1"/>
          <w:lang w:val="ro-RO" w:eastAsia="hi-IN" w:bidi="hi-IN"/>
        </w:rPr>
        <w:t>ii s-au uti</w:t>
      </w:r>
      <w:r w:rsidR="00082E8F">
        <w:rPr>
          <w:rFonts w:ascii="Arial" w:hAnsi="Arial" w:cs="Arial"/>
          <w:kern w:val="1"/>
          <w:lang w:val="ro-RO" w:eastAsia="hi-IN" w:bidi="hi-IN"/>
        </w:rPr>
        <w:t>lizat echipamente automate de mă</w:t>
      </w:r>
      <w:r w:rsidRPr="006F66E1">
        <w:rPr>
          <w:rFonts w:ascii="Arial" w:hAnsi="Arial" w:cs="Arial"/>
          <w:kern w:val="1"/>
          <w:lang w:val="ro-RO" w:eastAsia="hi-IN" w:bidi="hi-IN"/>
        </w:rPr>
        <w:t>su</w:t>
      </w:r>
      <w:r w:rsidR="00082E8F">
        <w:rPr>
          <w:rFonts w:ascii="Arial" w:hAnsi="Arial" w:cs="Arial"/>
          <w:kern w:val="1"/>
          <w:lang w:val="ro-RO" w:eastAsia="hi-IN" w:bidi="hi-IN"/>
        </w:rPr>
        <w:t>rare a fluxurilor de vehicule, înregistrările făcâ</w:t>
      </w:r>
      <w:r w:rsidRPr="006F66E1">
        <w:rPr>
          <w:rFonts w:ascii="Arial" w:hAnsi="Arial" w:cs="Arial"/>
          <w:kern w:val="1"/>
          <w:lang w:val="ro-RO" w:eastAsia="hi-IN" w:bidi="hi-IN"/>
        </w:rPr>
        <w:t>ndu-se pe un interval de 24 ore.</w:t>
      </w:r>
    </w:p>
    <w:p w14:paraId="7EB865AA" w14:textId="77777777" w:rsidR="006F66E1" w:rsidRPr="006F66E1" w:rsidRDefault="006F66E1" w:rsidP="006F66E1">
      <w:pPr>
        <w:suppressAutoHyphens/>
        <w:autoSpaceDE w:val="0"/>
        <w:spacing w:after="0" w:line="360" w:lineRule="auto"/>
        <w:jc w:val="center"/>
        <w:rPr>
          <w:rFonts w:ascii="Arial" w:eastAsia="Calibri" w:hAnsi="Arial" w:cs="Arial"/>
          <w:sz w:val="24"/>
          <w:szCs w:val="24"/>
          <w:lang w:val="es-ES" w:eastAsia="zh-CN"/>
        </w:rPr>
      </w:pPr>
    </w:p>
    <w:p w14:paraId="032134EE" w14:textId="77777777" w:rsidR="006F66E1" w:rsidRPr="006F66E1" w:rsidRDefault="006F66E1" w:rsidP="006F66E1">
      <w:pPr>
        <w:suppressAutoHyphens/>
        <w:autoSpaceDE w:val="0"/>
        <w:spacing w:after="0" w:line="360" w:lineRule="auto"/>
        <w:jc w:val="center"/>
        <w:rPr>
          <w:rFonts w:ascii="Arial" w:eastAsia="Calibri" w:hAnsi="Arial" w:cs="Arial"/>
          <w:sz w:val="24"/>
          <w:szCs w:val="24"/>
          <w:lang w:val="es-ES" w:eastAsia="zh-CN"/>
        </w:rPr>
      </w:pPr>
      <w:r w:rsidRPr="006F66E1">
        <w:rPr>
          <w:rFonts w:ascii="Arial" w:eastAsia="Calibri" w:hAnsi="Arial" w:cs="Arial"/>
          <w:noProof/>
          <w:sz w:val="24"/>
          <w:szCs w:val="24"/>
        </w:rPr>
        <w:drawing>
          <wp:inline distT="0" distB="0" distL="0" distR="0" wp14:anchorId="5EB051D9" wp14:editId="2D40DACF">
            <wp:extent cx="6129655" cy="3475570"/>
            <wp:effectExtent l="0" t="0" r="4445" b="0"/>
            <wp:docPr id="39" name="Picture 39" descr="E:\Horezu\Materiale lucru\Recensami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Horezu\Materiale lucru\Recensaminte.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9655" cy="3475570"/>
                    </a:xfrm>
                    <a:prstGeom prst="rect">
                      <a:avLst/>
                    </a:prstGeom>
                    <a:noFill/>
                    <a:ln>
                      <a:noFill/>
                    </a:ln>
                  </pic:spPr>
                </pic:pic>
              </a:graphicData>
            </a:graphic>
          </wp:inline>
        </w:drawing>
      </w:r>
    </w:p>
    <w:p w14:paraId="2BF83FD7" w14:textId="26EAA747" w:rsidR="006F66E1" w:rsidRPr="00082E8F" w:rsidRDefault="00082E8F" w:rsidP="00082E8F">
      <w:pPr>
        <w:pStyle w:val="Legend"/>
        <w:jc w:val="center"/>
        <w:rPr>
          <w:rFonts w:ascii="Arial" w:hAnsi="Arial" w:cs="Arial"/>
          <w:i w:val="0"/>
          <w:color w:val="FF0000"/>
          <w:kern w:val="1"/>
          <w:sz w:val="22"/>
          <w:szCs w:val="22"/>
          <w:lang w:val="es-ES" w:eastAsia="hi-IN" w:bidi="hi-IN"/>
        </w:rPr>
      </w:pPr>
      <w:bookmarkStart w:id="93" w:name="_Toc140744463"/>
      <w:r w:rsidRPr="00082E8F">
        <w:rPr>
          <w:rFonts w:ascii="Arial" w:hAnsi="Arial" w:cs="Arial"/>
          <w:sz w:val="22"/>
          <w:szCs w:val="22"/>
        </w:rPr>
        <w:t xml:space="preserve">Figura I.2. </w:t>
      </w:r>
      <w:r w:rsidRPr="00082E8F">
        <w:rPr>
          <w:rFonts w:ascii="Arial" w:hAnsi="Arial" w:cs="Arial"/>
          <w:sz w:val="22"/>
          <w:szCs w:val="22"/>
        </w:rPr>
        <w:fldChar w:fldCharType="begin"/>
      </w:r>
      <w:r w:rsidRPr="00082E8F">
        <w:rPr>
          <w:rFonts w:ascii="Arial" w:hAnsi="Arial" w:cs="Arial"/>
          <w:sz w:val="22"/>
          <w:szCs w:val="22"/>
        </w:rPr>
        <w:instrText xml:space="preserve"> SEQ Figura_I.2. \* ARABIC </w:instrText>
      </w:r>
      <w:r w:rsidRPr="00082E8F">
        <w:rPr>
          <w:rFonts w:ascii="Arial" w:hAnsi="Arial" w:cs="Arial"/>
          <w:sz w:val="22"/>
          <w:szCs w:val="22"/>
        </w:rPr>
        <w:fldChar w:fldCharType="separate"/>
      </w:r>
      <w:r w:rsidR="00BB181C">
        <w:rPr>
          <w:rFonts w:ascii="Arial" w:hAnsi="Arial" w:cs="Arial"/>
          <w:noProof/>
          <w:sz w:val="22"/>
          <w:szCs w:val="22"/>
        </w:rPr>
        <w:t>21</w:t>
      </w:r>
      <w:r w:rsidRPr="00082E8F">
        <w:rPr>
          <w:rFonts w:ascii="Arial" w:hAnsi="Arial" w:cs="Arial"/>
          <w:sz w:val="22"/>
          <w:szCs w:val="22"/>
        </w:rPr>
        <w:fldChar w:fldCharType="end"/>
      </w:r>
      <w:r w:rsidRPr="00082E8F">
        <w:rPr>
          <w:rFonts w:ascii="Arial" w:hAnsi="Arial" w:cs="Arial"/>
          <w:sz w:val="22"/>
          <w:szCs w:val="22"/>
        </w:rPr>
        <w:t xml:space="preserve"> </w:t>
      </w:r>
      <w:r w:rsidR="006F66E1" w:rsidRPr="00082E8F">
        <w:rPr>
          <w:rFonts w:ascii="Arial" w:hAnsi="Arial" w:cs="Arial"/>
          <w:i w:val="0"/>
          <w:iCs w:val="0"/>
          <w:color w:val="1F497D"/>
          <w:sz w:val="22"/>
          <w:szCs w:val="22"/>
        </w:rPr>
        <w:t xml:space="preserve">- </w:t>
      </w:r>
      <w:r w:rsidR="006F66E1" w:rsidRPr="00082E8F">
        <w:rPr>
          <w:rFonts w:ascii="Arial" w:hAnsi="Arial" w:cs="Arial"/>
          <w:i w:val="0"/>
          <w:color w:val="1F497D"/>
          <w:sz w:val="22"/>
          <w:szCs w:val="22"/>
        </w:rPr>
        <w:t>Amplasarea punctelor de recenzare a traficului</w:t>
      </w:r>
      <w:bookmarkEnd w:id="93"/>
    </w:p>
    <w:p w14:paraId="6DB5E97B" w14:textId="77777777" w:rsidR="006F66E1" w:rsidRPr="006F66E1" w:rsidRDefault="006F66E1" w:rsidP="006F66E1">
      <w:pPr>
        <w:suppressAutoHyphens/>
        <w:autoSpaceDE w:val="0"/>
        <w:spacing w:after="0" w:line="276" w:lineRule="auto"/>
        <w:jc w:val="both"/>
        <w:rPr>
          <w:rFonts w:ascii="Arial" w:eastAsia="Calibri" w:hAnsi="Arial" w:cs="Arial"/>
          <w:color w:val="000000"/>
          <w:lang w:val="es-ES" w:eastAsia="zh-CN"/>
        </w:rPr>
      </w:pPr>
      <w:r w:rsidRPr="006F66E1">
        <w:rPr>
          <w:rFonts w:ascii="Arial" w:eastAsia="Calibri" w:hAnsi="Arial" w:cs="Arial"/>
          <w:color w:val="000000"/>
          <w:lang w:val="es-ES" w:eastAsia="zh-CN"/>
        </w:rPr>
        <w:t>Pe lângă aceste recensăminte în nodurile rețelei, în cadrul modelului s-au mai utilizat și înregistrările video furnizate de sistemul de monitorizare din oraș situate în următoarele intersectii:</w:t>
      </w:r>
    </w:p>
    <w:p w14:paraId="76CB045F" w14:textId="77777777" w:rsidR="006F66E1" w:rsidRPr="006F66E1" w:rsidRDefault="006F66E1" w:rsidP="006B613A">
      <w:pPr>
        <w:widowControl w:val="0"/>
        <w:numPr>
          <w:ilvl w:val="0"/>
          <w:numId w:val="56"/>
        </w:numPr>
        <w:suppressAutoHyphens/>
        <w:autoSpaceDE w:val="0"/>
        <w:spacing w:after="0" w:line="276" w:lineRule="auto"/>
        <w:jc w:val="both"/>
        <w:rPr>
          <w:rFonts w:ascii="Arial" w:eastAsia="Calibri" w:hAnsi="Arial" w:cs="Arial"/>
          <w:color w:val="000000"/>
          <w:lang w:val="es-ES" w:eastAsia="zh-CN"/>
        </w:rPr>
      </w:pPr>
      <w:r w:rsidRPr="006F66E1">
        <w:rPr>
          <w:rFonts w:ascii="Arial" w:eastAsia="Calibri" w:hAnsi="Arial" w:cs="Arial"/>
          <w:color w:val="000000"/>
          <w:lang w:val="es-ES" w:eastAsia="zh-CN"/>
        </w:rPr>
        <w:t>Str. A.I. Cuza cu DN 67;</w:t>
      </w:r>
    </w:p>
    <w:p w14:paraId="6573B7E8" w14:textId="77777777" w:rsidR="006F66E1" w:rsidRPr="006F66E1" w:rsidRDefault="00082E8F" w:rsidP="006B613A">
      <w:pPr>
        <w:widowControl w:val="0"/>
        <w:numPr>
          <w:ilvl w:val="0"/>
          <w:numId w:val="56"/>
        </w:numPr>
        <w:suppressAutoHyphens/>
        <w:autoSpaceDE w:val="0"/>
        <w:spacing w:after="0" w:line="276" w:lineRule="auto"/>
        <w:jc w:val="both"/>
        <w:rPr>
          <w:rFonts w:ascii="Arial" w:eastAsia="Calibri" w:hAnsi="Arial" w:cs="Arial"/>
          <w:color w:val="000000"/>
          <w:lang w:val="es-ES" w:eastAsia="zh-CN"/>
        </w:rPr>
      </w:pPr>
      <w:r>
        <w:rPr>
          <w:rFonts w:ascii="Arial" w:eastAsia="Calibri" w:hAnsi="Arial" w:cs="Arial"/>
          <w:color w:val="000000"/>
          <w:lang w:val="es-ES" w:eastAsia="zh-CN"/>
        </w:rPr>
        <w:t>DJ 669 cu DC 147A (str. Mănă</w:t>
      </w:r>
      <w:r w:rsidR="006F66E1" w:rsidRPr="006F66E1">
        <w:rPr>
          <w:rFonts w:ascii="Arial" w:eastAsia="Calibri" w:hAnsi="Arial" w:cs="Arial"/>
          <w:color w:val="000000"/>
          <w:lang w:val="es-ES" w:eastAsia="zh-CN"/>
        </w:rPr>
        <w:t>stirii cu str. Schitului;</w:t>
      </w:r>
    </w:p>
    <w:p w14:paraId="236321D0" w14:textId="77777777" w:rsidR="006F66E1" w:rsidRPr="006F66E1" w:rsidRDefault="006F66E1" w:rsidP="006B613A">
      <w:pPr>
        <w:widowControl w:val="0"/>
        <w:numPr>
          <w:ilvl w:val="0"/>
          <w:numId w:val="56"/>
        </w:numPr>
        <w:suppressAutoHyphens/>
        <w:autoSpaceDE w:val="0"/>
        <w:spacing w:after="0" w:line="276" w:lineRule="auto"/>
        <w:jc w:val="both"/>
        <w:rPr>
          <w:rFonts w:ascii="Arial" w:eastAsia="Calibri" w:hAnsi="Arial" w:cs="Arial"/>
          <w:color w:val="000000"/>
          <w:lang w:val="es-ES" w:eastAsia="zh-CN"/>
        </w:rPr>
      </w:pPr>
      <w:r w:rsidRPr="006F66E1">
        <w:rPr>
          <w:rFonts w:ascii="Arial" w:eastAsia="Calibri" w:hAnsi="Arial" w:cs="Arial"/>
          <w:color w:val="000000"/>
          <w:lang w:val="es-ES" w:eastAsia="zh-CN"/>
        </w:rPr>
        <w:t>DN 67 cu DN 65C;</w:t>
      </w:r>
    </w:p>
    <w:p w14:paraId="2D14FCEF" w14:textId="77777777" w:rsidR="006F66E1" w:rsidRPr="006F66E1" w:rsidRDefault="006F66E1" w:rsidP="006B613A">
      <w:pPr>
        <w:widowControl w:val="0"/>
        <w:numPr>
          <w:ilvl w:val="0"/>
          <w:numId w:val="56"/>
        </w:numPr>
        <w:suppressAutoHyphens/>
        <w:autoSpaceDE w:val="0"/>
        <w:spacing w:after="0" w:line="276" w:lineRule="auto"/>
        <w:jc w:val="both"/>
        <w:rPr>
          <w:rFonts w:ascii="Arial" w:eastAsia="Calibri" w:hAnsi="Arial" w:cs="Arial"/>
          <w:color w:val="000000"/>
          <w:lang w:val="es-ES" w:eastAsia="zh-CN"/>
        </w:rPr>
      </w:pPr>
      <w:r w:rsidRPr="006F66E1">
        <w:rPr>
          <w:rFonts w:ascii="Arial" w:eastAsia="Calibri" w:hAnsi="Arial" w:cs="Arial"/>
          <w:color w:val="000000"/>
          <w:lang w:val="es-ES" w:eastAsia="zh-CN"/>
        </w:rPr>
        <w:t>Str. Nic</w:t>
      </w:r>
      <w:r w:rsidR="00082E8F">
        <w:rPr>
          <w:rFonts w:ascii="Arial" w:eastAsia="Calibri" w:hAnsi="Arial" w:cs="Arial"/>
          <w:color w:val="000000"/>
          <w:lang w:val="es-ES" w:eastAsia="zh-CN"/>
        </w:rPr>
        <w:t>olae Iorga cu str. Mircea cel Bă</w:t>
      </w:r>
      <w:r w:rsidRPr="006F66E1">
        <w:rPr>
          <w:rFonts w:ascii="Arial" w:eastAsia="Calibri" w:hAnsi="Arial" w:cs="Arial"/>
          <w:color w:val="000000"/>
          <w:lang w:val="es-ES" w:eastAsia="zh-CN"/>
        </w:rPr>
        <w:t>tran;</w:t>
      </w:r>
    </w:p>
    <w:p w14:paraId="19382489" w14:textId="77777777" w:rsidR="006F66E1" w:rsidRPr="006F66E1" w:rsidRDefault="006F66E1" w:rsidP="006B613A">
      <w:pPr>
        <w:widowControl w:val="0"/>
        <w:numPr>
          <w:ilvl w:val="0"/>
          <w:numId w:val="56"/>
        </w:numPr>
        <w:suppressAutoHyphens/>
        <w:autoSpaceDE w:val="0"/>
        <w:spacing w:after="0" w:line="276" w:lineRule="auto"/>
        <w:jc w:val="both"/>
        <w:rPr>
          <w:rFonts w:ascii="Arial" w:eastAsia="Calibri" w:hAnsi="Arial" w:cs="Arial"/>
          <w:color w:val="000000"/>
          <w:lang w:val="es-ES" w:eastAsia="zh-CN"/>
        </w:rPr>
      </w:pPr>
      <w:r w:rsidRPr="006F66E1">
        <w:rPr>
          <w:rFonts w:ascii="Arial" w:eastAsia="Calibri" w:hAnsi="Arial" w:cs="Arial"/>
          <w:color w:val="000000"/>
          <w:lang w:val="es-ES" w:eastAsia="zh-CN"/>
        </w:rPr>
        <w:t>Str. Mihai Viteazu cu str. 1 Decembrie 1918.</w:t>
      </w:r>
    </w:p>
    <w:p w14:paraId="19DE48BB" w14:textId="77777777" w:rsidR="006F66E1" w:rsidRPr="006F66E1" w:rsidRDefault="006F66E1" w:rsidP="006F66E1">
      <w:pPr>
        <w:suppressAutoHyphens/>
        <w:autoSpaceDE w:val="0"/>
        <w:spacing w:after="0" w:line="360" w:lineRule="auto"/>
        <w:jc w:val="both"/>
        <w:rPr>
          <w:rFonts w:ascii="Arial" w:eastAsia="Calibri" w:hAnsi="Arial" w:cs="Arial"/>
          <w:color w:val="000000"/>
          <w:sz w:val="24"/>
          <w:szCs w:val="24"/>
          <w:lang w:val="es-ES" w:eastAsia="zh-CN"/>
        </w:rPr>
      </w:pPr>
      <w:r w:rsidRPr="006F66E1">
        <w:rPr>
          <w:rFonts w:ascii="Arial" w:eastAsia="Calibri" w:hAnsi="Arial" w:cs="Arial"/>
          <w:color w:val="000000"/>
          <w:sz w:val="24"/>
          <w:szCs w:val="24"/>
          <w:lang w:val="es-ES" w:eastAsia="zh-CN"/>
        </w:rPr>
        <w:t xml:space="preserve"> </w:t>
      </w:r>
    </w:p>
    <w:p w14:paraId="7F98E0CE" w14:textId="3637ADC5" w:rsidR="006F66E1" w:rsidRPr="006F66E1" w:rsidRDefault="006F66E1" w:rsidP="006F66E1">
      <w:pPr>
        <w:widowControl w:val="0"/>
        <w:suppressAutoHyphens/>
        <w:spacing w:after="0" w:line="276" w:lineRule="auto"/>
        <w:jc w:val="both"/>
        <w:rPr>
          <w:rFonts w:ascii="Arial" w:hAnsi="Arial" w:cs="Mangal"/>
          <w:kern w:val="1"/>
          <w:lang w:val="es-ES" w:eastAsia="hi-IN" w:bidi="hi-IN"/>
        </w:rPr>
      </w:pPr>
      <w:r w:rsidRPr="006F66E1">
        <w:rPr>
          <w:rFonts w:ascii="Arial" w:hAnsi="Arial" w:cs="Arial"/>
          <w:kern w:val="1"/>
          <w:lang w:val="es-ES" w:eastAsia="hi-IN" w:bidi="hi-IN"/>
        </w:rPr>
        <w:lastRenderedPageBreak/>
        <w:t xml:space="preserve">Anchetele la domiciliu au fost realizate prin aplicarea de chestionare locuitorilor din Orasul Horezu care îşi desfăşoară activitatea profesională şi/sau educaţională la: instituţii publice, firme/societăţi comerciale şi unităţi culturale. Aceste chestionare au fost date spre completare angajaţilor din cadrul acestor unităţi şi au însumat un număr de </w:t>
      </w:r>
      <w:r w:rsidR="00F657B5">
        <w:rPr>
          <w:rFonts w:ascii="Arial" w:hAnsi="Arial" w:cs="Arial"/>
          <w:kern w:val="1"/>
          <w:lang w:val="es-ES" w:eastAsia="hi-IN" w:bidi="hi-IN"/>
        </w:rPr>
        <w:t xml:space="preserve">500 </w:t>
      </w:r>
      <w:r w:rsidRPr="006F66E1">
        <w:rPr>
          <w:rFonts w:ascii="Arial" w:hAnsi="Arial" w:cs="Arial"/>
          <w:kern w:val="1"/>
          <w:lang w:val="es-ES" w:eastAsia="hi-IN" w:bidi="hi-IN"/>
        </w:rPr>
        <w:t xml:space="preserve">chestionare. Ulterior, au fost colectate un număr de </w:t>
      </w:r>
      <w:r w:rsidR="00082E8F">
        <w:rPr>
          <w:rFonts w:ascii="Arial" w:hAnsi="Arial" w:cs="Arial"/>
          <w:kern w:val="1"/>
          <w:lang w:val="es-ES" w:eastAsia="hi-IN" w:bidi="hi-IN"/>
        </w:rPr>
        <w:t>19</w:t>
      </w:r>
      <w:r w:rsidR="00F657B5">
        <w:rPr>
          <w:rFonts w:ascii="Arial" w:hAnsi="Arial" w:cs="Arial"/>
          <w:kern w:val="1"/>
          <w:lang w:val="es-ES" w:eastAsia="hi-IN" w:bidi="hi-IN"/>
        </w:rPr>
        <w:t>4</w:t>
      </w:r>
      <w:r w:rsidRPr="006F66E1">
        <w:rPr>
          <w:rFonts w:ascii="Arial" w:hAnsi="Arial" w:cs="Arial"/>
          <w:kern w:val="1"/>
          <w:lang w:val="es-ES" w:eastAsia="hi-IN" w:bidi="hi-IN"/>
        </w:rPr>
        <w:t xml:space="preserve"> chestionare (</w:t>
      </w:r>
      <w:r w:rsidR="00082E8F">
        <w:rPr>
          <w:rFonts w:ascii="Arial" w:hAnsi="Arial" w:cs="Arial"/>
          <w:kern w:val="1"/>
          <w:lang w:val="es-ES" w:eastAsia="hi-IN" w:bidi="hi-IN"/>
        </w:rPr>
        <w:t>2,</w:t>
      </w:r>
      <w:r w:rsidR="00F657B5">
        <w:rPr>
          <w:rFonts w:ascii="Arial" w:hAnsi="Arial" w:cs="Arial"/>
          <w:kern w:val="1"/>
          <w:lang w:val="es-ES" w:eastAsia="hi-IN" w:bidi="hi-IN"/>
        </w:rPr>
        <w:t>85</w:t>
      </w:r>
      <w:r w:rsidRPr="006F66E1">
        <w:rPr>
          <w:rFonts w:ascii="Arial" w:hAnsi="Arial" w:cs="Arial"/>
          <w:kern w:val="1"/>
          <w:lang w:val="es-ES" w:eastAsia="hi-IN" w:bidi="hi-IN"/>
        </w:rPr>
        <w:t>%</w:t>
      </w:r>
      <w:r w:rsidR="00082E8F">
        <w:rPr>
          <w:rFonts w:ascii="Arial" w:hAnsi="Arial" w:cs="Arial"/>
          <w:kern w:val="1"/>
          <w:lang w:val="es-ES" w:eastAsia="hi-IN" w:bidi="hi-IN"/>
        </w:rPr>
        <w:t xml:space="preserve"> din populaţia oraşului</w:t>
      </w:r>
      <w:r w:rsidRPr="006F66E1">
        <w:rPr>
          <w:rFonts w:ascii="Arial" w:hAnsi="Arial" w:cs="Arial"/>
          <w:kern w:val="1"/>
          <w:lang w:val="es-ES" w:eastAsia="hi-IN" w:bidi="hi-IN"/>
        </w:rPr>
        <w:t>).</w:t>
      </w:r>
    </w:p>
    <w:p w14:paraId="26F54BDA" w14:textId="77777777" w:rsidR="006F66E1" w:rsidRPr="006F66E1" w:rsidRDefault="006F66E1" w:rsidP="006F66E1">
      <w:pPr>
        <w:widowControl w:val="0"/>
        <w:suppressAutoHyphens/>
        <w:autoSpaceDE w:val="0"/>
        <w:spacing w:after="0" w:line="360" w:lineRule="auto"/>
        <w:jc w:val="both"/>
        <w:rPr>
          <w:rFonts w:ascii="Arial" w:eastAsia="Calibri" w:hAnsi="Arial" w:cs="Arial"/>
          <w:color w:val="000000"/>
          <w:kern w:val="1"/>
          <w:sz w:val="24"/>
          <w:szCs w:val="24"/>
          <w:lang w:val="es-ES" w:eastAsia="hi-IN" w:bidi="hi-IN"/>
        </w:rPr>
      </w:pPr>
    </w:p>
    <w:p w14:paraId="6532485D" w14:textId="77777777" w:rsidR="006F66E1" w:rsidRPr="006F66E1" w:rsidRDefault="006F66E1" w:rsidP="006F66E1">
      <w:pPr>
        <w:widowControl w:val="0"/>
        <w:suppressAutoHyphens/>
        <w:autoSpaceDE w:val="0"/>
        <w:spacing w:after="0" w:line="276" w:lineRule="auto"/>
        <w:jc w:val="both"/>
        <w:rPr>
          <w:rFonts w:ascii="Arial" w:eastAsia="Calibri" w:hAnsi="Arial" w:cs="Arial"/>
          <w:kern w:val="1"/>
          <w:lang w:val="es-ES" w:eastAsia="hi-IN" w:bidi="hi-IN"/>
        </w:rPr>
      </w:pPr>
    </w:p>
    <w:p w14:paraId="550F0900" w14:textId="77777777" w:rsidR="006F66E1" w:rsidRPr="006F66E1" w:rsidRDefault="006F66E1" w:rsidP="006F66E1">
      <w:pPr>
        <w:widowControl w:val="0"/>
        <w:suppressAutoHyphens/>
        <w:autoSpaceDE w:val="0"/>
        <w:spacing w:after="0" w:line="276" w:lineRule="auto"/>
        <w:jc w:val="both"/>
        <w:rPr>
          <w:rFonts w:ascii="Arial" w:eastAsia="Calibri" w:hAnsi="Arial" w:cs="Arial"/>
          <w:kern w:val="1"/>
          <w:lang w:val="es-ES" w:eastAsia="hi-IN" w:bidi="hi-IN"/>
        </w:rPr>
      </w:pPr>
      <w:r w:rsidRPr="006F66E1">
        <w:rPr>
          <w:rFonts w:ascii="Arial" w:eastAsia="Calibri" w:hAnsi="Arial" w:cs="Arial"/>
          <w:kern w:val="1"/>
          <w:lang w:val="es-ES" w:eastAsia="hi-IN" w:bidi="hi-IN"/>
        </w:rPr>
        <w:t>Probleme identificate la reţeaua de străzi și parcări:</w:t>
      </w:r>
    </w:p>
    <w:p w14:paraId="3CD93073" w14:textId="77777777" w:rsidR="006F66E1" w:rsidRPr="006F66E1" w:rsidRDefault="006F66E1" w:rsidP="000C6CB8">
      <w:pPr>
        <w:widowControl w:val="0"/>
        <w:numPr>
          <w:ilvl w:val="0"/>
          <w:numId w:val="130"/>
        </w:numPr>
        <w:suppressAutoHyphens/>
        <w:autoSpaceDE w:val="0"/>
        <w:spacing w:after="0" w:line="276" w:lineRule="auto"/>
        <w:jc w:val="both"/>
        <w:rPr>
          <w:rFonts w:ascii="Arial" w:eastAsia="Calibri" w:hAnsi="Arial" w:cs="Arial"/>
          <w:kern w:val="1"/>
          <w:lang w:val="es-ES" w:eastAsia="hi-IN" w:bidi="hi-IN"/>
        </w:rPr>
      </w:pPr>
      <w:r w:rsidRPr="006F66E1">
        <w:rPr>
          <w:rFonts w:ascii="Arial" w:eastAsia="Calibri" w:hAnsi="Arial" w:cs="Arial"/>
          <w:kern w:val="1"/>
          <w:lang w:val="es-ES" w:eastAsia="hi-IN" w:bidi="hi-IN"/>
        </w:rPr>
        <w:t>orașul este dezvoltat de-a lungul DN 67, pe care la orele de v</w:t>
      </w:r>
      <w:r w:rsidRPr="006F66E1">
        <w:rPr>
          <w:rFonts w:ascii="Arial" w:eastAsia="Times New Roman" w:hAnsi="Arial" w:cs="Arial"/>
          <w:kern w:val="1"/>
          <w:lang w:val="es-ES" w:eastAsia="hi-IN" w:bidi="hi-IN"/>
        </w:rPr>
        <w:t>â</w:t>
      </w:r>
      <w:r w:rsidRPr="006F66E1">
        <w:rPr>
          <w:rFonts w:ascii="Arial" w:eastAsia="Calibri" w:hAnsi="Arial" w:cs="Arial"/>
          <w:kern w:val="1"/>
          <w:lang w:val="es-ES" w:eastAsia="hi-IN" w:bidi="hi-IN"/>
        </w:rPr>
        <w:t xml:space="preserve">rf se </w:t>
      </w:r>
      <w:r w:rsidRPr="006F66E1">
        <w:rPr>
          <w:rFonts w:ascii="Arial" w:eastAsia="Times New Roman" w:hAnsi="Arial" w:cs="Arial"/>
          <w:kern w:val="1"/>
          <w:lang w:val="es-ES" w:eastAsia="hi-IN" w:bidi="hi-IN"/>
        </w:rPr>
        <w:t>î</w:t>
      </w:r>
      <w:r w:rsidRPr="006F66E1">
        <w:rPr>
          <w:rFonts w:ascii="Arial" w:eastAsia="Calibri" w:hAnsi="Arial" w:cs="Arial"/>
          <w:kern w:val="1"/>
          <w:lang w:val="es-ES" w:eastAsia="hi-IN" w:bidi="hi-IN"/>
        </w:rPr>
        <w:t xml:space="preserve">nregistrează valori destul de </w:t>
      </w:r>
      <w:r w:rsidR="00082E8F">
        <w:rPr>
          <w:rFonts w:ascii="Arial" w:eastAsia="Calibri" w:hAnsi="Arial" w:cs="Arial"/>
          <w:kern w:val="1"/>
          <w:lang w:val="es-ES" w:eastAsia="hi-IN" w:bidi="hi-IN"/>
        </w:rPr>
        <w:t>ridicate ale traficului rutier şi chiar blocaje în intersecţiile din zona centrală</w:t>
      </w:r>
      <w:r w:rsidRPr="006F66E1">
        <w:rPr>
          <w:rFonts w:ascii="Arial" w:eastAsia="Calibri" w:hAnsi="Arial" w:cs="Arial"/>
          <w:kern w:val="1"/>
          <w:lang w:val="es-ES" w:eastAsia="hi-IN" w:bidi="hi-IN"/>
        </w:rPr>
        <w:t>;</w:t>
      </w:r>
    </w:p>
    <w:p w14:paraId="73247162" w14:textId="77777777" w:rsidR="006F66E1" w:rsidRPr="006F66E1" w:rsidRDefault="006F66E1" w:rsidP="000C6CB8">
      <w:pPr>
        <w:widowControl w:val="0"/>
        <w:numPr>
          <w:ilvl w:val="0"/>
          <w:numId w:val="130"/>
        </w:numPr>
        <w:suppressAutoHyphens/>
        <w:autoSpaceDE w:val="0"/>
        <w:spacing w:after="0" w:line="276" w:lineRule="auto"/>
        <w:jc w:val="both"/>
        <w:rPr>
          <w:rFonts w:ascii="Arial" w:eastAsia="Calibri" w:hAnsi="Arial" w:cs="Arial"/>
          <w:kern w:val="1"/>
          <w:lang w:val="es-ES" w:eastAsia="hi-IN" w:bidi="hi-IN"/>
        </w:rPr>
      </w:pPr>
      <w:r w:rsidRPr="006F66E1">
        <w:rPr>
          <w:rFonts w:ascii="Arial" w:eastAsia="Times New Roman" w:hAnsi="Arial" w:cs="Arial"/>
          <w:lang w:val="es-ES" w:eastAsia="zh-CN"/>
        </w:rPr>
        <w:t>nu exista str</w:t>
      </w:r>
      <w:r w:rsidRPr="006F66E1">
        <w:rPr>
          <w:rFonts w:ascii="Arial" w:eastAsia="TimesNewRoman" w:hAnsi="Arial" w:cs="Arial"/>
          <w:lang w:val="es-ES" w:eastAsia="zh-CN"/>
        </w:rPr>
        <w:t>ă</w:t>
      </w:r>
      <w:r w:rsidR="00082E8F">
        <w:rPr>
          <w:rFonts w:ascii="Arial" w:eastAsia="Times New Roman" w:hAnsi="Arial" w:cs="Arial"/>
          <w:lang w:val="es-ES" w:eastAsia="zh-CN"/>
        </w:rPr>
        <w:t>zi de categoria I ş</w:t>
      </w:r>
      <w:r w:rsidRPr="006F66E1">
        <w:rPr>
          <w:rFonts w:ascii="Arial" w:eastAsia="Times New Roman" w:hAnsi="Arial" w:cs="Arial"/>
          <w:lang w:val="es-ES" w:eastAsia="zh-CN"/>
        </w:rPr>
        <w:t>i sunt doar 2 str</w:t>
      </w:r>
      <w:r w:rsidRPr="006F66E1">
        <w:rPr>
          <w:rFonts w:ascii="Arial" w:eastAsia="TimesNewRoman" w:hAnsi="Arial" w:cs="Arial"/>
          <w:lang w:val="es-ES" w:eastAsia="zh-CN"/>
        </w:rPr>
        <w:t>ăzi de categoria a II-a</w:t>
      </w:r>
      <w:r w:rsidRPr="006F66E1">
        <w:rPr>
          <w:rFonts w:ascii="Arial" w:eastAsia="Times New Roman" w:hAnsi="Arial" w:cs="Arial"/>
          <w:lang w:val="es-ES" w:eastAsia="zh-CN"/>
        </w:rPr>
        <w:t>;</w:t>
      </w:r>
    </w:p>
    <w:p w14:paraId="581EB2FD" w14:textId="77777777" w:rsidR="006F66E1" w:rsidRPr="006F66E1" w:rsidRDefault="00082E8F" w:rsidP="000C6CB8">
      <w:pPr>
        <w:widowControl w:val="0"/>
        <w:numPr>
          <w:ilvl w:val="0"/>
          <w:numId w:val="130"/>
        </w:numPr>
        <w:suppressAutoHyphens/>
        <w:autoSpaceDE w:val="0"/>
        <w:spacing w:after="0" w:line="276" w:lineRule="auto"/>
        <w:jc w:val="both"/>
        <w:rPr>
          <w:rFonts w:ascii="Arial" w:eastAsia="Times New Roman" w:hAnsi="Arial" w:cs="Arial"/>
          <w:kern w:val="1"/>
          <w:lang w:val="es-ES" w:eastAsia="hi-IN" w:bidi="hi-IN"/>
        </w:rPr>
      </w:pPr>
      <w:r>
        <w:rPr>
          <w:rFonts w:ascii="Arial" w:eastAsia="Calibri" w:hAnsi="Arial" w:cs="Arial"/>
          <w:kern w:val="1"/>
          <w:lang w:val="es-ES" w:eastAsia="hi-IN" w:bidi="hi-IN"/>
        </w:rPr>
        <w:t>nu există centură ocolitoare ş</w:t>
      </w:r>
      <w:r w:rsidR="006F66E1" w:rsidRPr="006F66E1">
        <w:rPr>
          <w:rFonts w:ascii="Arial" w:eastAsia="Calibri" w:hAnsi="Arial" w:cs="Arial"/>
          <w:kern w:val="1"/>
          <w:lang w:val="es-ES" w:eastAsia="hi-IN" w:bidi="hi-IN"/>
        </w:rPr>
        <w:t xml:space="preserve">i </w:t>
      </w:r>
      <w:r>
        <w:rPr>
          <w:rFonts w:ascii="Arial" w:eastAsia="Calibri" w:hAnsi="Arial" w:cs="Arial"/>
          <w:kern w:val="1"/>
          <w:lang w:val="es-ES" w:eastAsia="hi-IN" w:bidi="hi-IN"/>
        </w:rPr>
        <w:t>tot traficul de tranzit se desfăşoara prin centrul oraşului (există</w:t>
      </w:r>
      <w:r w:rsidR="006F66E1" w:rsidRPr="006F66E1">
        <w:rPr>
          <w:rFonts w:ascii="Arial" w:eastAsia="Calibri" w:hAnsi="Arial" w:cs="Arial"/>
          <w:kern w:val="1"/>
          <w:lang w:val="es-ES" w:eastAsia="hi-IN" w:bidi="hi-IN"/>
        </w:rPr>
        <w:t xml:space="preserve"> un proiect pentru realizarea acesteia);</w:t>
      </w:r>
    </w:p>
    <w:p w14:paraId="2CC56D73" w14:textId="77777777" w:rsidR="006F66E1" w:rsidRPr="006F66E1" w:rsidRDefault="006F66E1" w:rsidP="000C6CB8">
      <w:pPr>
        <w:numPr>
          <w:ilvl w:val="0"/>
          <w:numId w:val="130"/>
        </w:numPr>
        <w:suppressAutoHyphens/>
        <w:autoSpaceDE w:val="0"/>
        <w:spacing w:after="0" w:line="276" w:lineRule="auto"/>
        <w:jc w:val="both"/>
        <w:rPr>
          <w:rFonts w:ascii="Arial" w:eastAsia="Calibri" w:hAnsi="Arial" w:cs="Arial"/>
          <w:lang w:val="es-ES" w:eastAsia="zh-CN"/>
        </w:rPr>
      </w:pPr>
      <w:r w:rsidRPr="006F66E1">
        <w:rPr>
          <w:rFonts w:ascii="Arial" w:eastAsia="Calibri" w:hAnsi="Arial" w:cs="Arial"/>
          <w:lang w:val="es-ES" w:eastAsia="zh-CN"/>
        </w:rPr>
        <w:t xml:space="preserve">amenajarea necorespunzătoare a unor intersecții cu efecte negative asupra siguranței circulatiei; </w:t>
      </w:r>
    </w:p>
    <w:p w14:paraId="2D04B0F1" w14:textId="77777777" w:rsidR="006F66E1" w:rsidRPr="006F66E1" w:rsidRDefault="006F66E1" w:rsidP="000C6CB8">
      <w:pPr>
        <w:numPr>
          <w:ilvl w:val="0"/>
          <w:numId w:val="130"/>
        </w:numPr>
        <w:suppressAutoHyphens/>
        <w:autoSpaceDE w:val="0"/>
        <w:spacing w:after="0" w:line="276" w:lineRule="auto"/>
        <w:jc w:val="both"/>
        <w:rPr>
          <w:rFonts w:ascii="Arial" w:eastAsia="Calibri" w:hAnsi="Arial" w:cs="Arial"/>
          <w:lang w:val="es-ES" w:eastAsia="zh-CN"/>
        </w:rPr>
      </w:pPr>
      <w:r w:rsidRPr="006F66E1">
        <w:rPr>
          <w:rFonts w:ascii="Arial" w:eastAsia="Calibri" w:hAnsi="Arial" w:cs="Arial"/>
          <w:lang w:val="es-ES" w:eastAsia="zh-CN"/>
        </w:rPr>
        <w:t xml:space="preserve">traficul (de cele mai multe ori) desfăşurat, nu la întâmplare, dar cu o oarecare doză de neraţionalitate – implică o calitate scăzută a aerului şi niveluri ridicate de poluare fonică ambientală; </w:t>
      </w:r>
    </w:p>
    <w:p w14:paraId="2804D110" w14:textId="77777777" w:rsidR="006F66E1" w:rsidRPr="006F66E1" w:rsidRDefault="006F66E1" w:rsidP="000C6CB8">
      <w:pPr>
        <w:numPr>
          <w:ilvl w:val="0"/>
          <w:numId w:val="130"/>
        </w:numPr>
        <w:suppressAutoHyphens/>
        <w:autoSpaceDE w:val="0"/>
        <w:spacing w:after="0" w:line="276" w:lineRule="auto"/>
        <w:jc w:val="both"/>
        <w:rPr>
          <w:rFonts w:ascii="Arial" w:eastAsia="Calibri" w:hAnsi="Arial" w:cs="Arial"/>
          <w:lang w:val="es-ES" w:eastAsia="zh-CN"/>
        </w:rPr>
      </w:pPr>
      <w:r w:rsidRPr="006F66E1">
        <w:rPr>
          <w:rFonts w:ascii="Arial" w:eastAsia="Calibri" w:hAnsi="Arial" w:cs="Arial"/>
          <w:lang w:val="es-ES" w:eastAsia="zh-CN"/>
        </w:rPr>
        <w:t xml:space="preserve">nesuprevegherea strictă în domeniul construcţiilor și extinderea urbană necontrolată implică într-un anume sens, chiar </w:t>
      </w:r>
      <w:r w:rsidRPr="006F66E1">
        <w:rPr>
          <w:rFonts w:ascii="Arial" w:eastAsia="Calibri" w:hAnsi="Arial" w:cs="Arial"/>
          <w:b/>
          <w:lang w:val="es-ES" w:eastAsia="zh-CN"/>
        </w:rPr>
        <w:t xml:space="preserve">excludere socială pentru zonele amplasate la mai mare distanţă de centrul oraşului </w:t>
      </w:r>
      <w:r w:rsidR="00082E8F">
        <w:rPr>
          <w:rFonts w:ascii="Arial" w:eastAsia="Calibri" w:hAnsi="Arial" w:cs="Arial"/>
          <w:lang w:val="es-ES" w:eastAsia="zh-CN"/>
        </w:rPr>
        <w:t>(cu referire şi la localităţile aparţină</w:t>
      </w:r>
      <w:r w:rsidRPr="006F66E1">
        <w:rPr>
          <w:rFonts w:ascii="Arial" w:eastAsia="Calibri" w:hAnsi="Arial" w:cs="Arial"/>
          <w:lang w:val="es-ES" w:eastAsia="zh-CN"/>
        </w:rPr>
        <w:t xml:space="preserve">toare); </w:t>
      </w:r>
    </w:p>
    <w:p w14:paraId="5BD51F8A" w14:textId="77777777" w:rsidR="006F66E1" w:rsidRPr="006F66E1" w:rsidRDefault="006F66E1" w:rsidP="000C6CB8">
      <w:pPr>
        <w:numPr>
          <w:ilvl w:val="0"/>
          <w:numId w:val="130"/>
        </w:numPr>
        <w:suppressAutoHyphens/>
        <w:autoSpaceDE w:val="0"/>
        <w:spacing w:after="0" w:line="276" w:lineRule="auto"/>
        <w:jc w:val="both"/>
        <w:rPr>
          <w:rFonts w:ascii="Arial" w:eastAsia="Wingdings-Regular" w:hAnsi="Arial" w:cs="Arial"/>
          <w:lang w:val="es-ES" w:eastAsia="zh-CN"/>
        </w:rPr>
      </w:pPr>
      <w:r w:rsidRPr="006F66E1">
        <w:rPr>
          <w:rFonts w:ascii="Arial" w:eastAsia="Calibri" w:hAnsi="Arial" w:cs="Arial"/>
          <w:lang w:val="es-ES" w:eastAsia="zh-CN"/>
        </w:rPr>
        <w:t>circulația este excesiv direcționată – prin măsuri de ordonare a traficului sau prin simplu hazard – de-a lungul principalelor artere și, în special către zona centrală;</w:t>
      </w:r>
    </w:p>
    <w:p w14:paraId="1A27CAF9" w14:textId="77777777" w:rsidR="006F66E1" w:rsidRPr="006F66E1" w:rsidRDefault="006F66E1" w:rsidP="000C6CB8">
      <w:pPr>
        <w:numPr>
          <w:ilvl w:val="0"/>
          <w:numId w:val="130"/>
        </w:numPr>
        <w:suppressAutoHyphens/>
        <w:autoSpaceDE w:val="0"/>
        <w:spacing w:after="0" w:line="276" w:lineRule="auto"/>
        <w:jc w:val="both"/>
        <w:rPr>
          <w:rFonts w:ascii="Arial" w:eastAsia="Times New Roman" w:hAnsi="Arial" w:cs="Arial"/>
          <w:lang w:val="es-ES" w:eastAsia="ro-RO"/>
        </w:rPr>
      </w:pPr>
      <w:r w:rsidRPr="006F66E1">
        <w:rPr>
          <w:rFonts w:ascii="Arial" w:eastAsia="Times New Roman" w:hAnsi="Arial" w:cs="Arial"/>
          <w:lang w:val="es-ES" w:eastAsia="ro-RO"/>
        </w:rPr>
        <w:t>capacitate de circulaţie redusă (mai ales pe străzi secundare/de deservire în zonele de locuinţe colectiv</w:t>
      </w:r>
      <w:r w:rsidR="00082E8F">
        <w:rPr>
          <w:rFonts w:ascii="Arial" w:eastAsia="Times New Roman" w:hAnsi="Arial" w:cs="Arial"/>
          <w:lang w:val="es-ES" w:eastAsia="ro-RO"/>
        </w:rPr>
        <w:t>e) prin alocar</w:t>
      </w:r>
      <w:r w:rsidRPr="006F66E1">
        <w:rPr>
          <w:rFonts w:ascii="Arial" w:eastAsia="Times New Roman" w:hAnsi="Arial" w:cs="Arial"/>
          <w:lang w:val="es-ES" w:eastAsia="ro-RO"/>
        </w:rPr>
        <w:t>ea unor parţi din carosabil staţionărilor (parcărilor ocazionale, dar şi de domiciliu);</w:t>
      </w:r>
    </w:p>
    <w:p w14:paraId="03A28422" w14:textId="77777777" w:rsidR="006F66E1" w:rsidRPr="006F66E1" w:rsidRDefault="006F66E1" w:rsidP="000C6CB8">
      <w:pPr>
        <w:numPr>
          <w:ilvl w:val="0"/>
          <w:numId w:val="130"/>
        </w:numPr>
        <w:suppressAutoHyphens/>
        <w:autoSpaceDE w:val="0"/>
        <w:spacing w:after="0" w:line="276" w:lineRule="auto"/>
        <w:jc w:val="both"/>
        <w:rPr>
          <w:rFonts w:ascii="Arial" w:eastAsia="Times New Roman" w:hAnsi="Arial" w:cs="Arial"/>
          <w:lang w:val="es-ES" w:eastAsia="ro-RO"/>
        </w:rPr>
      </w:pPr>
      <w:r w:rsidRPr="006F66E1">
        <w:rPr>
          <w:rFonts w:ascii="Arial" w:eastAsia="Calibri" w:hAnsi="Arial" w:cs="Arial"/>
          <w:color w:val="000000"/>
          <w:lang w:val="es-ES" w:eastAsia="zh-CN"/>
        </w:rPr>
        <w:t>re</w:t>
      </w:r>
      <w:r w:rsidRPr="006F66E1">
        <w:rPr>
          <w:rFonts w:ascii="Arial" w:eastAsia="Times New Roman" w:hAnsi="Arial" w:cs="Arial"/>
          <w:lang w:val="es-ES" w:eastAsia="ro-RO"/>
        </w:rPr>
        <w:t>ţ</w:t>
      </w:r>
      <w:r w:rsidRPr="006F66E1">
        <w:rPr>
          <w:rFonts w:ascii="Arial" w:eastAsia="Calibri" w:hAnsi="Arial" w:cs="Arial"/>
          <w:color w:val="000000"/>
          <w:lang w:val="es-ES" w:eastAsia="zh-CN"/>
        </w:rPr>
        <w:t>eaua stradal</w:t>
      </w:r>
      <w:r w:rsidRPr="006F66E1">
        <w:rPr>
          <w:rFonts w:ascii="Arial" w:eastAsia="Times New Roman" w:hAnsi="Arial" w:cs="Arial"/>
          <w:lang w:val="es-ES" w:eastAsia="ro-RO"/>
        </w:rPr>
        <w:t>ă</w:t>
      </w:r>
      <w:r w:rsidRPr="006F66E1">
        <w:rPr>
          <w:rFonts w:ascii="Arial" w:eastAsia="Calibri" w:hAnsi="Arial" w:cs="Arial"/>
          <w:color w:val="000000"/>
          <w:lang w:val="es-ES" w:eastAsia="zh-CN"/>
        </w:rPr>
        <w:t xml:space="preserve"> din anumite zone (inclusiv satele componente) este de multe ori insuficient amenajat</w:t>
      </w:r>
      <w:r w:rsidRPr="006F66E1">
        <w:rPr>
          <w:rFonts w:ascii="Arial" w:eastAsia="Times New Roman" w:hAnsi="Arial" w:cs="Arial"/>
          <w:lang w:val="es-ES" w:eastAsia="ro-RO"/>
        </w:rPr>
        <w:t>ă</w:t>
      </w:r>
      <w:r w:rsidRPr="006F66E1">
        <w:rPr>
          <w:rFonts w:ascii="Arial" w:eastAsia="Calibri" w:hAnsi="Arial" w:cs="Arial"/>
          <w:color w:val="000000"/>
          <w:lang w:val="es-ES" w:eastAsia="zh-CN"/>
        </w:rPr>
        <w:t>, at</w:t>
      </w:r>
      <w:r w:rsidRPr="006F66E1">
        <w:rPr>
          <w:rFonts w:ascii="Arial" w:eastAsia="Calibri" w:hAnsi="Arial" w:cs="Arial"/>
          <w:lang w:val="es-ES" w:eastAsia="zh-CN"/>
        </w:rPr>
        <w:t>â</w:t>
      </w:r>
      <w:r w:rsidRPr="006F66E1">
        <w:rPr>
          <w:rFonts w:ascii="Arial" w:eastAsia="Calibri" w:hAnsi="Arial" w:cs="Arial"/>
          <w:color w:val="000000"/>
          <w:lang w:val="es-ES" w:eastAsia="zh-CN"/>
        </w:rPr>
        <w:t>t din punct de vedere al geometriei (profil transversal, locuri de parcare, dispozitive de „calmare” a traficului, intersec</w:t>
      </w:r>
      <w:r w:rsidRPr="006F66E1">
        <w:rPr>
          <w:rFonts w:ascii="Arial" w:eastAsia="Times New Roman" w:hAnsi="Arial" w:cs="Arial"/>
          <w:lang w:val="es-ES" w:eastAsia="ro-RO"/>
        </w:rPr>
        <w:t>ţ</w:t>
      </w:r>
      <w:r w:rsidRPr="006F66E1">
        <w:rPr>
          <w:rFonts w:ascii="Arial" w:eastAsia="Calibri" w:hAnsi="Arial" w:cs="Arial"/>
          <w:color w:val="000000"/>
          <w:lang w:val="es-ES" w:eastAsia="zh-CN"/>
        </w:rPr>
        <w:t>ii neamenajate), c</w:t>
      </w:r>
      <w:r w:rsidRPr="006F66E1">
        <w:rPr>
          <w:rFonts w:ascii="Arial" w:eastAsia="Calibri" w:hAnsi="Arial" w:cs="Arial"/>
          <w:lang w:val="es-ES" w:eastAsia="zh-CN"/>
        </w:rPr>
        <w:t>â</w:t>
      </w:r>
      <w:r w:rsidRPr="006F66E1">
        <w:rPr>
          <w:rFonts w:ascii="Arial" w:eastAsia="Calibri" w:hAnsi="Arial" w:cs="Arial"/>
          <w:color w:val="000000"/>
          <w:lang w:val="es-ES" w:eastAsia="zh-CN"/>
        </w:rPr>
        <w:t xml:space="preserve">t </w:t>
      </w:r>
      <w:r w:rsidRPr="006F66E1">
        <w:rPr>
          <w:rFonts w:ascii="Arial" w:eastAsia="Times New Roman" w:hAnsi="Arial" w:cs="Arial"/>
          <w:lang w:val="es-ES" w:eastAsia="ro-RO"/>
        </w:rPr>
        <w:t>ş</w:t>
      </w:r>
      <w:r w:rsidRPr="006F66E1">
        <w:rPr>
          <w:rFonts w:ascii="Arial" w:eastAsia="Calibri" w:hAnsi="Arial" w:cs="Arial"/>
          <w:color w:val="000000"/>
          <w:lang w:val="es-ES" w:eastAsia="zh-CN"/>
        </w:rPr>
        <w:t>i al st</w:t>
      </w:r>
      <w:r w:rsidRPr="006F66E1">
        <w:rPr>
          <w:rFonts w:ascii="Arial" w:eastAsia="Times New Roman" w:hAnsi="Arial" w:cs="Arial"/>
          <w:lang w:val="es-ES" w:eastAsia="ro-RO"/>
        </w:rPr>
        <w:t>ă</w:t>
      </w:r>
      <w:r w:rsidRPr="006F66E1">
        <w:rPr>
          <w:rFonts w:ascii="Arial" w:eastAsia="Calibri" w:hAnsi="Arial" w:cs="Arial"/>
          <w:color w:val="000000"/>
          <w:lang w:val="es-ES" w:eastAsia="zh-CN"/>
        </w:rPr>
        <w:t xml:space="preserve">rii tehnice a </w:t>
      </w:r>
      <w:r w:rsidRPr="006F66E1">
        <w:rPr>
          <w:rFonts w:ascii="Arial" w:eastAsia="Times New Roman" w:hAnsi="Arial" w:cs="Arial"/>
          <w:lang w:val="es-ES" w:eastAsia="ro-RO"/>
        </w:rPr>
        <w:t>î</w:t>
      </w:r>
      <w:r w:rsidRPr="006F66E1">
        <w:rPr>
          <w:rFonts w:ascii="Arial" w:eastAsia="Calibri" w:hAnsi="Arial" w:cs="Arial"/>
          <w:color w:val="000000"/>
          <w:lang w:val="es-ES" w:eastAsia="zh-CN"/>
        </w:rPr>
        <w:t>mbr</w:t>
      </w:r>
      <w:r w:rsidRPr="006F66E1">
        <w:rPr>
          <w:rFonts w:ascii="Arial" w:eastAsia="Times New Roman" w:hAnsi="Arial" w:cs="Arial"/>
          <w:lang w:val="es-ES" w:eastAsia="ro-RO"/>
        </w:rPr>
        <w:t>ă</w:t>
      </w:r>
      <w:r w:rsidRPr="006F66E1">
        <w:rPr>
          <w:rFonts w:ascii="Arial" w:eastAsia="Calibri" w:hAnsi="Arial" w:cs="Arial"/>
          <w:color w:val="000000"/>
          <w:lang w:val="es-ES" w:eastAsia="zh-CN"/>
        </w:rPr>
        <w:t>c</w:t>
      </w:r>
      <w:r w:rsidRPr="006F66E1">
        <w:rPr>
          <w:rFonts w:ascii="Arial" w:eastAsia="Times New Roman" w:hAnsi="Arial" w:cs="Arial"/>
          <w:lang w:val="es-ES" w:eastAsia="ro-RO"/>
        </w:rPr>
        <w:t>ă</w:t>
      </w:r>
      <w:r w:rsidRPr="006F66E1">
        <w:rPr>
          <w:rFonts w:ascii="Arial" w:eastAsia="Calibri" w:hAnsi="Arial" w:cs="Arial"/>
          <w:color w:val="000000"/>
          <w:lang w:val="es-ES" w:eastAsia="zh-CN"/>
        </w:rPr>
        <w:t>min</w:t>
      </w:r>
      <w:r w:rsidRPr="006F66E1">
        <w:rPr>
          <w:rFonts w:ascii="Arial" w:eastAsia="Times New Roman" w:hAnsi="Arial" w:cs="Arial"/>
          <w:lang w:val="es-ES" w:eastAsia="ro-RO"/>
        </w:rPr>
        <w:t>ţ</w:t>
      </w:r>
      <w:r w:rsidRPr="006F66E1">
        <w:rPr>
          <w:rFonts w:ascii="Arial" w:eastAsia="Calibri" w:hAnsi="Arial" w:cs="Arial"/>
          <w:color w:val="000000"/>
          <w:lang w:val="es-ES" w:eastAsia="zh-CN"/>
        </w:rPr>
        <w:t>ii;</w:t>
      </w:r>
    </w:p>
    <w:p w14:paraId="0CB3BF62" w14:textId="77777777" w:rsidR="006F66E1" w:rsidRPr="006F66E1" w:rsidRDefault="006F66E1" w:rsidP="000C6CB8">
      <w:pPr>
        <w:numPr>
          <w:ilvl w:val="0"/>
          <w:numId w:val="130"/>
        </w:numPr>
        <w:suppressAutoHyphens/>
        <w:autoSpaceDE w:val="0"/>
        <w:spacing w:after="0" w:line="276" w:lineRule="auto"/>
        <w:jc w:val="both"/>
        <w:rPr>
          <w:rFonts w:ascii="Arial" w:eastAsia="Times New Roman" w:hAnsi="Arial" w:cs="Arial"/>
          <w:lang w:val="es-ES" w:eastAsia="ro-RO"/>
        </w:rPr>
      </w:pPr>
      <w:r w:rsidRPr="006F66E1">
        <w:rPr>
          <w:rFonts w:ascii="Arial" w:eastAsia="Times New Roman" w:hAnsi="Arial" w:cs="Arial"/>
          <w:lang w:val="es-ES" w:eastAsia="ro-RO"/>
        </w:rPr>
        <w:t>capacitate de circulaţie redusă pe străzile care alimentează zonele periferice;</w:t>
      </w:r>
    </w:p>
    <w:p w14:paraId="66C1BA76" w14:textId="77777777" w:rsidR="006F66E1" w:rsidRPr="006F66E1" w:rsidRDefault="00082E8F" w:rsidP="000C6CB8">
      <w:pPr>
        <w:numPr>
          <w:ilvl w:val="0"/>
          <w:numId w:val="130"/>
        </w:numPr>
        <w:suppressAutoHyphens/>
        <w:autoSpaceDE w:val="0"/>
        <w:spacing w:after="0" w:line="276" w:lineRule="auto"/>
        <w:jc w:val="both"/>
        <w:rPr>
          <w:rFonts w:ascii="Arial" w:eastAsia="Times New Roman" w:hAnsi="Arial" w:cs="Arial"/>
          <w:lang w:val="es-ES" w:eastAsia="ro-RO"/>
        </w:rPr>
      </w:pPr>
      <w:r>
        <w:rPr>
          <w:rFonts w:ascii="Arial" w:eastAsia="Times New Roman" w:hAnsi="Arial" w:cs="Arial"/>
          <w:lang w:val="es-ES" w:eastAsia="ro-RO"/>
        </w:rPr>
        <w:t>stare necorespunză</w:t>
      </w:r>
      <w:r w:rsidR="006F66E1" w:rsidRPr="006F66E1">
        <w:rPr>
          <w:rFonts w:ascii="Arial" w:eastAsia="Times New Roman" w:hAnsi="Arial" w:cs="Arial"/>
          <w:lang w:val="es-ES" w:eastAsia="ro-RO"/>
        </w:rPr>
        <w:t>toare a infrastructurii rutiere;</w:t>
      </w:r>
    </w:p>
    <w:p w14:paraId="311B32FC" w14:textId="77777777" w:rsidR="006F66E1" w:rsidRPr="006F66E1" w:rsidRDefault="006F66E1" w:rsidP="000C6CB8">
      <w:pPr>
        <w:numPr>
          <w:ilvl w:val="0"/>
          <w:numId w:val="130"/>
        </w:numPr>
        <w:suppressAutoHyphens/>
        <w:autoSpaceDE w:val="0"/>
        <w:spacing w:after="0" w:line="276" w:lineRule="auto"/>
        <w:jc w:val="both"/>
        <w:rPr>
          <w:rFonts w:ascii="Arial" w:eastAsia="Calibri" w:hAnsi="Arial" w:cs="Arial"/>
          <w:lang w:eastAsia="zh-CN"/>
        </w:rPr>
      </w:pPr>
      <w:r w:rsidRPr="006F66E1">
        <w:rPr>
          <w:rFonts w:ascii="Arial" w:eastAsia="Times New Roman" w:hAnsi="Arial" w:cs="Arial"/>
          <w:lang w:val="es-ES" w:eastAsia="zh-CN"/>
        </w:rPr>
        <w:t>necesitatea creşterii gradului de atractivitate al modurilor alte</w:t>
      </w:r>
      <w:r w:rsidR="00082E8F">
        <w:rPr>
          <w:rFonts w:ascii="Arial" w:eastAsia="Times New Roman" w:hAnsi="Arial" w:cs="Arial"/>
          <w:lang w:val="es-ES" w:eastAsia="zh-CN"/>
        </w:rPr>
        <w:t>rnative de deplasare (pietonal ş</w:t>
      </w:r>
      <w:r w:rsidRPr="006F66E1">
        <w:rPr>
          <w:rFonts w:ascii="Arial" w:eastAsia="Times New Roman" w:hAnsi="Arial" w:cs="Arial"/>
          <w:lang w:val="es-ES" w:eastAsia="zh-CN"/>
        </w:rPr>
        <w:t>i cu bicicleta), în vederea descurajării deplasărilor cu mijloacele de transport personale ceea ce ar conduce la fluidizarea traficului şi reducerea poluării atmosferice</w:t>
      </w:r>
      <w:r w:rsidRPr="006F66E1">
        <w:rPr>
          <w:rFonts w:ascii="Arial" w:eastAsia="Calibri" w:hAnsi="Arial" w:cs="Arial"/>
          <w:lang w:eastAsia="zh-CN"/>
        </w:rPr>
        <w:t>;</w:t>
      </w:r>
    </w:p>
    <w:p w14:paraId="7B7FB985" w14:textId="77777777" w:rsidR="006F66E1" w:rsidRPr="006F66E1" w:rsidRDefault="006F66E1" w:rsidP="000C6CB8">
      <w:pPr>
        <w:numPr>
          <w:ilvl w:val="0"/>
          <w:numId w:val="130"/>
        </w:numPr>
        <w:suppressAutoHyphens/>
        <w:autoSpaceDE w:val="0"/>
        <w:autoSpaceDN w:val="0"/>
        <w:adjustRightInd w:val="0"/>
        <w:spacing w:after="0" w:line="276" w:lineRule="auto"/>
        <w:jc w:val="both"/>
        <w:rPr>
          <w:rFonts w:ascii="Arial" w:eastAsia="Times New Roman" w:hAnsi="Arial" w:cs="Arial"/>
          <w:lang w:val="es-ES" w:eastAsia="zh-CN"/>
        </w:rPr>
      </w:pPr>
      <w:r w:rsidRPr="006F66E1">
        <w:rPr>
          <w:rFonts w:ascii="Arial" w:eastAsia="Times New Roman" w:hAnsi="Arial" w:cs="Arial"/>
          <w:lang w:val="es-ES" w:eastAsia="zh-CN"/>
        </w:rPr>
        <w:t xml:space="preserve">deficit al numărului de locuri de parcare, în principal în zona centrală, lipsind parcările de capacitate mare; </w:t>
      </w:r>
    </w:p>
    <w:p w14:paraId="6DFD2A8F" w14:textId="77777777" w:rsidR="006F66E1" w:rsidRPr="006F66E1" w:rsidRDefault="006F66E1" w:rsidP="000C6CB8">
      <w:pPr>
        <w:numPr>
          <w:ilvl w:val="0"/>
          <w:numId w:val="130"/>
        </w:numPr>
        <w:suppressAutoHyphens/>
        <w:autoSpaceDE w:val="0"/>
        <w:spacing w:after="0" w:line="276" w:lineRule="auto"/>
        <w:jc w:val="both"/>
        <w:rPr>
          <w:rFonts w:ascii="Arial" w:eastAsia="Calibri" w:hAnsi="Arial" w:cs="Arial"/>
          <w:lang w:val="es-ES" w:eastAsia="ro-RO"/>
        </w:rPr>
      </w:pPr>
      <w:r w:rsidRPr="006F66E1">
        <w:rPr>
          <w:rFonts w:ascii="Arial" w:eastAsia="Calibri" w:hAnsi="Arial" w:cs="Arial"/>
          <w:lang w:val="es-ES" w:eastAsia="ro-RO"/>
        </w:rPr>
        <w:t xml:space="preserve">lipsa parcărilor colective de medie/mare capacitate </w:t>
      </w:r>
      <w:r w:rsidRPr="006F66E1">
        <w:rPr>
          <w:rFonts w:ascii="Arial" w:eastAsia="Calibri" w:hAnsi="Arial" w:cs="Arial"/>
          <w:lang w:val="es-ES" w:eastAsia="zh-CN"/>
        </w:rPr>
        <w:t>î</w:t>
      </w:r>
      <w:r w:rsidRPr="006F66E1">
        <w:rPr>
          <w:rFonts w:ascii="Arial" w:eastAsia="Calibri" w:hAnsi="Arial" w:cs="Arial"/>
          <w:lang w:val="es-ES" w:eastAsia="ro-RO"/>
        </w:rPr>
        <w:t>n zonele intens solicitate de trafic staţionar (zone comerciale şi cartiere de locuinţe colective), inclusiv</w:t>
      </w:r>
      <w:r w:rsidR="00082E8F">
        <w:rPr>
          <w:rFonts w:ascii="Arial" w:eastAsia="Calibri" w:hAnsi="Arial" w:cs="Arial"/>
          <w:lang w:val="es-ES" w:eastAsia="ro-RO"/>
        </w:rPr>
        <w:t xml:space="preserve"> dotarea acestora cu puncte de încă</w:t>
      </w:r>
      <w:r w:rsidRPr="006F66E1">
        <w:rPr>
          <w:rFonts w:ascii="Arial" w:eastAsia="Calibri" w:hAnsi="Arial" w:cs="Arial"/>
          <w:lang w:val="es-ES" w:eastAsia="ro-RO"/>
        </w:rPr>
        <w:t>rcare cu energie a vehiculelor electrice;</w:t>
      </w:r>
    </w:p>
    <w:p w14:paraId="2456AAE9" w14:textId="77777777" w:rsidR="006F66E1" w:rsidRPr="006F66E1" w:rsidRDefault="006F66E1" w:rsidP="000C6CB8">
      <w:pPr>
        <w:widowControl w:val="0"/>
        <w:numPr>
          <w:ilvl w:val="0"/>
          <w:numId w:val="130"/>
        </w:numPr>
        <w:suppressAutoHyphens/>
        <w:autoSpaceDE w:val="0"/>
        <w:spacing w:after="0" w:line="276" w:lineRule="auto"/>
        <w:jc w:val="both"/>
        <w:rPr>
          <w:rFonts w:ascii="Arial" w:eastAsia="Times New Roman" w:hAnsi="Arial" w:cs="Arial"/>
          <w:kern w:val="1"/>
          <w:lang w:val="ro-RO" w:eastAsia="hi-IN" w:bidi="hi-IN"/>
        </w:rPr>
      </w:pPr>
      <w:r w:rsidRPr="006F66E1">
        <w:rPr>
          <w:rFonts w:ascii="Arial" w:eastAsia="Times New Roman" w:hAnsi="Arial" w:cs="Arial"/>
          <w:lang w:val="es-ES" w:eastAsia="zh-CN"/>
        </w:rPr>
        <w:t>spaţi</w:t>
      </w:r>
      <w:r w:rsidR="00082E8F">
        <w:rPr>
          <w:rFonts w:ascii="Arial" w:eastAsia="Times New Roman" w:hAnsi="Arial" w:cs="Arial"/>
          <w:lang w:val="es-ES" w:eastAsia="zh-CN"/>
        </w:rPr>
        <w:t>ile de parcare nu sunt marcate ş</w:t>
      </w:r>
      <w:r w:rsidRPr="006F66E1">
        <w:rPr>
          <w:rFonts w:ascii="Arial" w:eastAsia="Times New Roman" w:hAnsi="Arial" w:cs="Arial"/>
          <w:lang w:val="es-ES" w:eastAsia="zh-CN"/>
        </w:rPr>
        <w:t>i nu au implementate sisteme de taxare care să descurajeze deplasarea către centrul oraşului cu automobilul propriu;</w:t>
      </w:r>
    </w:p>
    <w:p w14:paraId="2BE762F8" w14:textId="77777777" w:rsidR="006F66E1" w:rsidRPr="006F66E1" w:rsidRDefault="006F66E1" w:rsidP="000C6CB8">
      <w:pPr>
        <w:numPr>
          <w:ilvl w:val="0"/>
          <w:numId w:val="130"/>
        </w:numPr>
        <w:suppressAutoHyphens/>
        <w:autoSpaceDE w:val="0"/>
        <w:spacing w:after="0" w:line="276" w:lineRule="auto"/>
        <w:jc w:val="both"/>
        <w:rPr>
          <w:rFonts w:ascii="Arial" w:eastAsia="Calibri" w:hAnsi="Arial" w:cs="Arial"/>
          <w:lang w:eastAsia="zh-CN"/>
        </w:rPr>
      </w:pPr>
      <w:r w:rsidRPr="006F66E1">
        <w:rPr>
          <w:rFonts w:ascii="Arial" w:eastAsia="Calibri" w:hAnsi="Arial" w:cs="Arial"/>
          <w:lang w:eastAsia="zh-CN"/>
        </w:rPr>
        <w:t>numeroase c</w:t>
      </w:r>
      <w:r w:rsidR="00082E8F">
        <w:rPr>
          <w:rFonts w:ascii="Arial" w:eastAsia="Calibri" w:hAnsi="Arial" w:cs="Arial"/>
          <w:lang w:eastAsia="zh-CN"/>
        </w:rPr>
        <w:t>azuri de parcare neregulamentară</w:t>
      </w:r>
      <w:r w:rsidRPr="006F66E1">
        <w:rPr>
          <w:rFonts w:ascii="Arial" w:eastAsia="Calibri" w:hAnsi="Arial" w:cs="Arial"/>
          <w:lang w:eastAsia="zh-CN"/>
        </w:rPr>
        <w:t xml:space="preserve"> </w:t>
      </w:r>
      <w:r w:rsidR="00082E8F">
        <w:rPr>
          <w:rFonts w:ascii="Arial" w:eastAsia="Calibri" w:hAnsi="Arial" w:cs="Arial"/>
          <w:lang w:eastAsia="zh-CN"/>
        </w:rPr>
        <w:t>pe trotuare, ceea ce reduce spaţiul destinat circulaţ</w:t>
      </w:r>
      <w:r w:rsidRPr="006F66E1">
        <w:rPr>
          <w:rFonts w:ascii="Arial" w:eastAsia="Calibri" w:hAnsi="Arial" w:cs="Arial"/>
          <w:lang w:eastAsia="zh-CN"/>
        </w:rPr>
        <w:t>iei pietonale;</w:t>
      </w:r>
    </w:p>
    <w:p w14:paraId="66CC9204" w14:textId="77777777" w:rsidR="006F66E1" w:rsidRPr="006F66E1" w:rsidRDefault="006F66E1" w:rsidP="000C6CB8">
      <w:pPr>
        <w:numPr>
          <w:ilvl w:val="0"/>
          <w:numId w:val="130"/>
        </w:numPr>
        <w:suppressAutoHyphens/>
        <w:autoSpaceDE w:val="0"/>
        <w:spacing w:after="0" w:line="276" w:lineRule="auto"/>
        <w:jc w:val="both"/>
        <w:rPr>
          <w:rFonts w:ascii="Arial" w:eastAsia="Calibri" w:hAnsi="Arial" w:cs="Arial"/>
          <w:lang w:val="es-ES" w:eastAsia="zh-CN"/>
        </w:rPr>
      </w:pPr>
      <w:r w:rsidRPr="006F66E1">
        <w:rPr>
          <w:rFonts w:ascii="Arial" w:eastAsia="Calibri" w:hAnsi="Arial" w:cs="Arial"/>
          <w:lang w:val="es-ES" w:eastAsia="zh-CN"/>
        </w:rPr>
        <w:t xml:space="preserve">densitate mare a trecerilor de pietoni </w:t>
      </w:r>
      <w:r w:rsidRPr="006F66E1">
        <w:rPr>
          <w:rFonts w:ascii="Arial" w:eastAsia="Times New Roman" w:hAnsi="Arial" w:cs="Arial"/>
          <w:color w:val="000000"/>
          <w:lang w:val="es-ES" w:eastAsia="zh-CN"/>
        </w:rPr>
        <w:t>î</w:t>
      </w:r>
      <w:r w:rsidRPr="006F66E1">
        <w:rPr>
          <w:rFonts w:ascii="Arial" w:eastAsia="Calibri" w:hAnsi="Arial" w:cs="Arial"/>
          <w:lang w:val="es-ES" w:eastAsia="zh-CN"/>
        </w:rPr>
        <w:t>n apropierea intersectiilor, care conduc la blocarea acestora la orele de varf (ex.: int</w:t>
      </w:r>
      <w:r w:rsidR="00082E8F">
        <w:rPr>
          <w:rFonts w:ascii="Arial" w:eastAsia="Calibri" w:hAnsi="Arial" w:cs="Arial"/>
          <w:lang w:val="es-ES" w:eastAsia="zh-CN"/>
        </w:rPr>
        <w:t>ersecţ</w:t>
      </w:r>
      <w:r w:rsidRPr="006F66E1">
        <w:rPr>
          <w:rFonts w:ascii="Arial" w:eastAsia="Calibri" w:hAnsi="Arial" w:cs="Arial"/>
          <w:lang w:val="es-ES" w:eastAsia="zh-CN"/>
        </w:rPr>
        <w:t xml:space="preserve">ia </w:t>
      </w:r>
      <w:r w:rsidR="00082E8F">
        <w:rPr>
          <w:rFonts w:ascii="Arial" w:eastAsia="Calibri" w:hAnsi="Arial" w:cs="Arial"/>
          <w:lang w:val="es-ES" w:eastAsia="zh-CN"/>
        </w:rPr>
        <w:t>str. 1 Decembrie 1918 cu DN 67 ş</w:t>
      </w:r>
      <w:r w:rsidRPr="006F66E1">
        <w:rPr>
          <w:rFonts w:ascii="Arial" w:eastAsia="Calibri" w:hAnsi="Arial" w:cs="Arial"/>
          <w:lang w:val="es-ES" w:eastAsia="zh-CN"/>
        </w:rPr>
        <w:t xml:space="preserve">i DC 139); </w:t>
      </w:r>
    </w:p>
    <w:p w14:paraId="510AA00F" w14:textId="77777777" w:rsidR="006F66E1" w:rsidRPr="006F66E1" w:rsidRDefault="006F66E1" w:rsidP="000C6CB8">
      <w:pPr>
        <w:numPr>
          <w:ilvl w:val="0"/>
          <w:numId w:val="130"/>
        </w:numPr>
        <w:suppressAutoHyphens/>
        <w:autoSpaceDE w:val="0"/>
        <w:spacing w:after="0" w:line="276" w:lineRule="auto"/>
        <w:jc w:val="both"/>
        <w:rPr>
          <w:rFonts w:ascii="Arial" w:eastAsia="Calibri" w:hAnsi="Arial" w:cs="Arial"/>
          <w:lang w:val="es-ES" w:eastAsia="ro-RO"/>
        </w:rPr>
      </w:pPr>
      <w:r w:rsidRPr="006F66E1">
        <w:rPr>
          <w:rFonts w:ascii="Arial" w:eastAsia="Calibri" w:hAnsi="Arial" w:cs="Arial"/>
          <w:lang w:val="es-ES" w:eastAsia="zh-CN"/>
        </w:rPr>
        <w:lastRenderedPageBreak/>
        <w:t>transportul de aprovizionare se face în timpul zilei, adică atunci când activităţile sociale sunt intense şi cu urmări asupra disponibilului de timp al tuturor participanţilor la trafic şi asupra disponibilului de spaţiu al zestrei stradale.</w:t>
      </w:r>
    </w:p>
    <w:p w14:paraId="1FAB3BEA" w14:textId="77777777" w:rsidR="006F66E1" w:rsidRPr="006F66E1" w:rsidRDefault="006F66E1" w:rsidP="006F66E1">
      <w:pPr>
        <w:suppressAutoHyphens/>
        <w:autoSpaceDE w:val="0"/>
        <w:spacing w:after="0" w:line="360" w:lineRule="auto"/>
        <w:jc w:val="both"/>
        <w:rPr>
          <w:rFonts w:ascii="Arial" w:eastAsia="Calibri" w:hAnsi="Arial" w:cs="Arial"/>
          <w:sz w:val="24"/>
          <w:szCs w:val="24"/>
          <w:lang w:val="es-ES" w:eastAsia="zh-CN"/>
        </w:rPr>
      </w:pPr>
    </w:p>
    <w:p w14:paraId="07263908" w14:textId="77777777" w:rsidR="006F66E1" w:rsidRPr="006F66E1" w:rsidRDefault="006F66E1" w:rsidP="006F66E1">
      <w:pPr>
        <w:suppressAutoHyphens/>
        <w:autoSpaceDE w:val="0"/>
        <w:spacing w:after="0" w:line="276" w:lineRule="auto"/>
        <w:jc w:val="both"/>
        <w:rPr>
          <w:rFonts w:ascii="Arial" w:eastAsia="Calibri" w:hAnsi="Arial" w:cs="Arial"/>
          <w:lang w:val="es-ES" w:eastAsia="zh-CN"/>
        </w:rPr>
      </w:pPr>
      <w:r w:rsidRPr="006F66E1">
        <w:rPr>
          <w:rFonts w:ascii="Arial" w:eastAsia="Calibri" w:hAnsi="Arial" w:cs="Arial"/>
          <w:lang w:val="es-ES" w:eastAsia="zh-CN"/>
        </w:rPr>
        <w:t xml:space="preserve">Cauzele dificultăților de deplasare întâmpinate de participanții la traficul rutier sunt relativ uşor de intuit (dar foarte greu de eliminat: </w:t>
      </w:r>
      <w:r w:rsidRPr="006F66E1">
        <w:rPr>
          <w:rFonts w:ascii="Arial" w:eastAsia="Calibri" w:hAnsi="Arial" w:cs="Arial"/>
          <w:b/>
          <w:lang w:val="es-ES" w:eastAsia="zh-CN"/>
        </w:rPr>
        <w:t>îmbunătăţirea este pretenţia realistă de la soluţiile obţinute la finalizarea proiectului</w:t>
      </w:r>
      <w:r w:rsidRPr="006F66E1">
        <w:rPr>
          <w:rFonts w:ascii="Arial" w:eastAsia="Calibri" w:hAnsi="Arial" w:cs="Arial"/>
          <w:lang w:val="es-ES" w:eastAsia="zh-CN"/>
        </w:rPr>
        <w:t xml:space="preserve">): </w:t>
      </w:r>
    </w:p>
    <w:p w14:paraId="6066A426" w14:textId="77777777" w:rsidR="006F66E1" w:rsidRPr="006F66E1" w:rsidRDefault="006F66E1" w:rsidP="006B613A">
      <w:pPr>
        <w:widowControl w:val="0"/>
        <w:numPr>
          <w:ilvl w:val="0"/>
          <w:numId w:val="60"/>
        </w:numPr>
        <w:tabs>
          <w:tab w:val="num" w:pos="720"/>
        </w:tabs>
        <w:suppressAutoHyphens/>
        <w:autoSpaceDE w:val="0"/>
        <w:spacing w:after="0" w:line="276" w:lineRule="auto"/>
        <w:rPr>
          <w:rFonts w:ascii="Arial" w:eastAsia="Calibri" w:hAnsi="Arial" w:cs="Arial"/>
          <w:lang w:eastAsia="zh-CN"/>
        </w:rPr>
      </w:pPr>
      <w:r w:rsidRPr="006F66E1">
        <w:rPr>
          <w:rFonts w:ascii="Arial" w:eastAsia="Calibri" w:hAnsi="Arial" w:cs="Arial"/>
          <w:lang w:eastAsia="zh-CN"/>
        </w:rPr>
        <w:t xml:space="preserve">creșterea parcului auto, </w:t>
      </w:r>
    </w:p>
    <w:p w14:paraId="5CB42124" w14:textId="77777777" w:rsidR="006F66E1" w:rsidRPr="006F66E1" w:rsidRDefault="006F66E1" w:rsidP="006B613A">
      <w:pPr>
        <w:widowControl w:val="0"/>
        <w:numPr>
          <w:ilvl w:val="0"/>
          <w:numId w:val="60"/>
        </w:numPr>
        <w:tabs>
          <w:tab w:val="num" w:pos="720"/>
        </w:tabs>
        <w:suppressAutoHyphens/>
        <w:autoSpaceDE w:val="0"/>
        <w:spacing w:after="0" w:line="276" w:lineRule="auto"/>
        <w:rPr>
          <w:rFonts w:ascii="Arial" w:eastAsia="Calibri" w:hAnsi="Arial" w:cs="Arial"/>
          <w:lang w:val="es-ES" w:eastAsia="zh-CN"/>
        </w:rPr>
      </w:pPr>
      <w:r w:rsidRPr="006F66E1">
        <w:rPr>
          <w:rFonts w:ascii="Arial" w:eastAsia="Calibri" w:hAnsi="Arial" w:cs="Arial"/>
          <w:lang w:val="es-ES" w:eastAsia="zh-CN"/>
        </w:rPr>
        <w:t>amenajările defectuoase – în unele cazuri – ale infrastructurii rutiere;</w:t>
      </w:r>
    </w:p>
    <w:p w14:paraId="05684C08" w14:textId="77777777" w:rsidR="006F66E1" w:rsidRPr="006F66E1" w:rsidRDefault="006F66E1" w:rsidP="006B613A">
      <w:pPr>
        <w:numPr>
          <w:ilvl w:val="0"/>
          <w:numId w:val="60"/>
        </w:numPr>
        <w:tabs>
          <w:tab w:val="num" w:pos="720"/>
        </w:tabs>
        <w:suppressAutoHyphens/>
        <w:autoSpaceDE w:val="0"/>
        <w:spacing w:after="0" w:line="276" w:lineRule="auto"/>
        <w:rPr>
          <w:rFonts w:ascii="Arial" w:eastAsia="Calibri" w:hAnsi="Arial" w:cs="Arial"/>
          <w:lang w:val="es-ES" w:eastAsia="zh-CN"/>
        </w:rPr>
      </w:pPr>
      <w:r w:rsidRPr="006F66E1">
        <w:rPr>
          <w:rFonts w:ascii="Arial" w:eastAsia="Calibri" w:hAnsi="Arial" w:cs="Arial"/>
          <w:lang w:val="es-ES" w:eastAsia="zh-CN"/>
        </w:rPr>
        <w:t xml:space="preserve">lipsa alternativelor de deplasare pentru traficul de tranzit; </w:t>
      </w:r>
    </w:p>
    <w:p w14:paraId="0D397C3E" w14:textId="77777777" w:rsidR="006F66E1" w:rsidRPr="006F66E1" w:rsidRDefault="006F66E1" w:rsidP="006B613A">
      <w:pPr>
        <w:widowControl w:val="0"/>
        <w:numPr>
          <w:ilvl w:val="0"/>
          <w:numId w:val="60"/>
        </w:numPr>
        <w:tabs>
          <w:tab w:val="num" w:pos="720"/>
        </w:tabs>
        <w:suppressAutoHyphens/>
        <w:autoSpaceDE w:val="0"/>
        <w:spacing w:after="0" w:line="276" w:lineRule="auto"/>
        <w:rPr>
          <w:rFonts w:ascii="Arial" w:eastAsia="Calibri" w:hAnsi="Arial" w:cs="Arial"/>
          <w:b/>
          <w:lang w:val="es-ES" w:eastAsia="zh-CN"/>
        </w:rPr>
      </w:pPr>
      <w:r w:rsidRPr="006F66E1">
        <w:rPr>
          <w:rFonts w:ascii="Arial" w:eastAsia="Calibri" w:hAnsi="Arial" w:cs="Arial"/>
          <w:lang w:val="es-ES" w:eastAsia="zh-CN"/>
        </w:rPr>
        <w:t xml:space="preserve">posibilitatea limitată de modificare a tramei stradale existente, </w:t>
      </w:r>
    </w:p>
    <w:p w14:paraId="716005E0" w14:textId="77777777" w:rsidR="006F66E1" w:rsidRPr="006F66E1" w:rsidRDefault="006F66E1" w:rsidP="006F66E1">
      <w:pPr>
        <w:widowControl w:val="0"/>
        <w:suppressAutoHyphens/>
        <w:spacing w:after="0" w:line="276" w:lineRule="auto"/>
        <w:jc w:val="both"/>
        <w:rPr>
          <w:rFonts w:ascii="Arial" w:hAnsi="Arial" w:cs="Arial"/>
          <w:b/>
          <w:kern w:val="1"/>
          <w:lang w:val="es-ES" w:eastAsia="hi-IN" w:bidi="hi-IN"/>
        </w:rPr>
      </w:pPr>
      <w:r w:rsidRPr="006F66E1">
        <w:rPr>
          <w:rFonts w:ascii="Arial" w:hAnsi="Arial" w:cs="Arial"/>
          <w:b/>
          <w:kern w:val="1"/>
          <w:lang w:val="es-ES" w:eastAsia="hi-IN" w:bidi="hi-IN"/>
        </w:rPr>
        <w:t>dar şi organizarea prin rutină a circulaţiei rutiere şi pietonale.</w:t>
      </w:r>
    </w:p>
    <w:p w14:paraId="0BCE5ACA" w14:textId="77777777" w:rsidR="00E8701F" w:rsidRPr="00481A14" w:rsidRDefault="00E8701F" w:rsidP="00481A14">
      <w:pPr>
        <w:widowControl w:val="0"/>
        <w:suppressAutoHyphens/>
        <w:spacing w:after="0" w:line="276" w:lineRule="auto"/>
        <w:jc w:val="both"/>
        <w:rPr>
          <w:rFonts w:ascii="Arial" w:hAnsi="Arial" w:cs="Arial"/>
          <w:b/>
          <w:kern w:val="1"/>
          <w:lang w:val="es-ES" w:eastAsia="hi-IN" w:bidi="hi-IN"/>
        </w:rPr>
      </w:pPr>
    </w:p>
    <w:p w14:paraId="067DA6F7" w14:textId="77777777" w:rsidR="00DE4288" w:rsidRPr="00DE4288" w:rsidRDefault="00DE4288" w:rsidP="00481A14">
      <w:pPr>
        <w:spacing w:line="276" w:lineRule="auto"/>
      </w:pPr>
    </w:p>
    <w:p w14:paraId="1D7B1252" w14:textId="77777777" w:rsidR="00D70AEA" w:rsidRPr="00A32027" w:rsidRDefault="00D70AEA" w:rsidP="00A32027">
      <w:pPr>
        <w:pStyle w:val="Titlu2"/>
        <w:rPr>
          <w:rFonts w:ascii="Arial" w:eastAsia="Times New Roman" w:hAnsi="Arial" w:cs="Arial"/>
          <w:b/>
          <w:bCs/>
          <w:color w:val="auto"/>
          <w:lang w:val="it-IT" w:eastAsia="ro-RO"/>
        </w:rPr>
      </w:pPr>
      <w:bookmarkStart w:id="94" w:name="_Toc61264890"/>
      <w:bookmarkStart w:id="95" w:name="_Toc142039053"/>
      <w:r w:rsidRPr="00A32027">
        <w:rPr>
          <w:rFonts w:ascii="Arial" w:eastAsia="Times New Roman" w:hAnsi="Arial" w:cs="Arial"/>
          <w:b/>
          <w:bCs/>
          <w:color w:val="auto"/>
          <w:lang w:val="it-IT" w:eastAsia="ro-RO"/>
        </w:rPr>
        <w:t>I.2.3</w:t>
      </w:r>
      <w:r w:rsidR="003430C5" w:rsidRPr="00A32027">
        <w:rPr>
          <w:rFonts w:ascii="Arial" w:eastAsia="Times New Roman" w:hAnsi="Arial" w:cs="Arial"/>
          <w:b/>
          <w:bCs/>
          <w:color w:val="auto"/>
          <w:lang w:val="it-IT" w:eastAsia="ro-RO"/>
        </w:rPr>
        <w:t xml:space="preserve"> </w:t>
      </w:r>
      <w:r w:rsidRPr="00A32027">
        <w:rPr>
          <w:rFonts w:ascii="Arial" w:eastAsia="Times New Roman" w:hAnsi="Arial" w:cs="Arial"/>
          <w:b/>
          <w:bCs/>
          <w:color w:val="auto"/>
          <w:lang w:val="it-IT" w:eastAsia="ro-RO"/>
        </w:rPr>
        <w:t>Transport public</w:t>
      </w:r>
      <w:bookmarkEnd w:id="94"/>
      <w:bookmarkEnd w:id="95"/>
    </w:p>
    <w:p w14:paraId="157A9D4C" w14:textId="77777777" w:rsidR="00DE4288" w:rsidRPr="00A32027" w:rsidRDefault="00DE4288" w:rsidP="00A32027">
      <w:pPr>
        <w:pStyle w:val="Titlu3"/>
        <w:rPr>
          <w:rFonts w:ascii="Arial" w:eastAsia="Calibri" w:hAnsi="Arial" w:cs="Arial"/>
          <w:color w:val="000000"/>
          <w:sz w:val="24"/>
          <w:szCs w:val="24"/>
        </w:rPr>
      </w:pPr>
      <w:bookmarkStart w:id="96" w:name="_Toc491868801"/>
      <w:bookmarkStart w:id="97" w:name="_Toc499657529"/>
      <w:bookmarkStart w:id="98" w:name="_Toc142039054"/>
      <w:r w:rsidRPr="00A32027">
        <w:rPr>
          <w:rFonts w:ascii="Arial" w:eastAsia="Calibri" w:hAnsi="Arial" w:cs="Arial"/>
          <w:sz w:val="24"/>
          <w:szCs w:val="24"/>
        </w:rPr>
        <w:t>I.2.3.1 Transport public local</w:t>
      </w:r>
      <w:bookmarkEnd w:id="96"/>
      <w:bookmarkEnd w:id="97"/>
      <w:bookmarkEnd w:id="98"/>
    </w:p>
    <w:p w14:paraId="1BF1275B" w14:textId="77777777" w:rsidR="00082E8F" w:rsidRPr="00082E8F" w:rsidRDefault="00FC2D32" w:rsidP="00082E8F">
      <w:pPr>
        <w:widowControl w:val="0"/>
        <w:suppressAutoHyphens/>
        <w:autoSpaceDE w:val="0"/>
        <w:spacing w:after="0" w:line="276" w:lineRule="auto"/>
        <w:jc w:val="both"/>
        <w:rPr>
          <w:rFonts w:ascii="Arial" w:eastAsia="Calibri" w:hAnsi="Arial" w:cs="Arial"/>
          <w:color w:val="000000"/>
          <w:kern w:val="1"/>
          <w:lang w:val="ro-RO" w:eastAsia="hi-IN" w:bidi="hi-IN"/>
        </w:rPr>
      </w:pPr>
      <w:bookmarkStart w:id="99" w:name="_Toc491868802"/>
      <w:bookmarkStart w:id="100" w:name="_Toc499657530"/>
      <w:r>
        <w:rPr>
          <w:rFonts w:ascii="Arial" w:eastAsia="Calibri" w:hAnsi="Arial" w:cs="Arial"/>
          <w:color w:val="000000"/>
          <w:kern w:val="1"/>
          <w:lang w:val="ro-RO" w:eastAsia="hi-IN" w:bidi="hi-IN"/>
        </w:rPr>
        <w:t>Î</w:t>
      </w:r>
      <w:r w:rsidR="00082E8F" w:rsidRPr="00082E8F">
        <w:rPr>
          <w:rFonts w:ascii="Arial" w:eastAsia="Calibri" w:hAnsi="Arial" w:cs="Arial"/>
          <w:color w:val="000000"/>
          <w:kern w:val="1"/>
          <w:lang w:val="ro-RO" w:eastAsia="hi-IN" w:bidi="hi-IN"/>
        </w:rPr>
        <w:t>n prezent l</w:t>
      </w:r>
      <w:r>
        <w:rPr>
          <w:rFonts w:ascii="Arial" w:eastAsia="Calibri" w:hAnsi="Arial" w:cs="Arial"/>
          <w:color w:val="000000"/>
          <w:kern w:val="1"/>
          <w:lang w:val="ro-RO" w:eastAsia="hi-IN" w:bidi="hi-IN"/>
        </w:rPr>
        <w:t>ocalitatea Horezu nu beneficiază</w:t>
      </w:r>
      <w:r w:rsidR="00082E8F" w:rsidRPr="00082E8F">
        <w:rPr>
          <w:rFonts w:ascii="Arial" w:eastAsia="Calibri" w:hAnsi="Arial" w:cs="Arial"/>
          <w:color w:val="000000"/>
          <w:kern w:val="1"/>
          <w:lang w:val="ro-RO" w:eastAsia="hi-IN" w:bidi="hi-IN"/>
        </w:rPr>
        <w:t xml:space="preserve"> de un serviciu de tr</w:t>
      </w:r>
      <w:r>
        <w:rPr>
          <w:rFonts w:ascii="Arial" w:eastAsia="Calibri" w:hAnsi="Arial" w:cs="Arial"/>
          <w:color w:val="000000"/>
          <w:kern w:val="1"/>
          <w:lang w:val="ro-RO" w:eastAsia="hi-IN" w:bidi="hi-IN"/>
        </w:rPr>
        <w:t>ansport public local. Se asigură</w:t>
      </w:r>
      <w:r w:rsidR="00082E8F" w:rsidRPr="00082E8F">
        <w:rPr>
          <w:rFonts w:ascii="Arial" w:eastAsia="Calibri" w:hAnsi="Arial" w:cs="Arial"/>
          <w:color w:val="000000"/>
          <w:kern w:val="1"/>
          <w:lang w:val="ro-RO" w:eastAsia="hi-IN" w:bidi="hi-IN"/>
        </w:rPr>
        <w:t xml:space="preserve"> doar transportul elevilor cu 4 microbu</w:t>
      </w:r>
      <w:r>
        <w:rPr>
          <w:rFonts w:ascii="Arial" w:eastAsia="Calibri" w:hAnsi="Arial" w:cs="Arial"/>
          <w:color w:val="000000"/>
          <w:kern w:val="1"/>
          <w:lang w:val="ro-RO" w:eastAsia="hi-IN" w:bidi="hi-IN"/>
        </w:rPr>
        <w:t>ze şcolare, 2 în proprietatea Primăriei Horezu şi 2 î</w:t>
      </w:r>
      <w:r w:rsidR="00082E8F" w:rsidRPr="00082E8F">
        <w:rPr>
          <w:rFonts w:ascii="Arial" w:eastAsia="Calibri" w:hAnsi="Arial" w:cs="Arial"/>
          <w:color w:val="000000"/>
          <w:kern w:val="1"/>
          <w:lang w:val="ro-RO" w:eastAsia="hi-IN" w:bidi="hi-IN"/>
        </w:rPr>
        <w:t>n prop</w:t>
      </w:r>
      <w:r>
        <w:rPr>
          <w:rFonts w:ascii="Arial" w:eastAsia="Calibri" w:hAnsi="Arial" w:cs="Arial"/>
          <w:color w:val="000000"/>
          <w:kern w:val="1"/>
          <w:lang w:val="ro-RO" w:eastAsia="hi-IN" w:bidi="hi-IN"/>
        </w:rPr>
        <w:t>rietatea Liceului Constantin Brâ</w:t>
      </w:r>
      <w:r w:rsidR="00082E8F" w:rsidRPr="00082E8F">
        <w:rPr>
          <w:rFonts w:ascii="Arial" w:eastAsia="Calibri" w:hAnsi="Arial" w:cs="Arial"/>
          <w:color w:val="000000"/>
          <w:kern w:val="1"/>
          <w:lang w:val="ro-RO" w:eastAsia="hi-IN" w:bidi="hi-IN"/>
        </w:rPr>
        <w:t>ncoveanu.</w:t>
      </w:r>
    </w:p>
    <w:p w14:paraId="0D7F911F" w14:textId="77777777" w:rsidR="00082E8F" w:rsidRPr="00082E8F" w:rsidRDefault="00082E8F" w:rsidP="00082E8F">
      <w:pPr>
        <w:widowControl w:val="0"/>
        <w:suppressAutoHyphens/>
        <w:autoSpaceDE w:val="0"/>
        <w:spacing w:after="0" w:line="276" w:lineRule="auto"/>
        <w:jc w:val="both"/>
        <w:rPr>
          <w:rFonts w:ascii="Arial" w:eastAsia="Calibri" w:hAnsi="Arial" w:cs="Arial"/>
          <w:color w:val="000000"/>
          <w:kern w:val="1"/>
          <w:lang w:val="ro-RO" w:eastAsia="hi-IN" w:bidi="hi-IN"/>
        </w:rPr>
      </w:pPr>
    </w:p>
    <w:p w14:paraId="71EF1B8A" w14:textId="77777777" w:rsidR="00082E8F" w:rsidRPr="00082E8F" w:rsidRDefault="00FC2D32" w:rsidP="00082E8F">
      <w:pPr>
        <w:widowControl w:val="0"/>
        <w:suppressAutoHyphens/>
        <w:autoSpaceDE w:val="0"/>
        <w:spacing w:after="0" w:line="276" w:lineRule="auto"/>
        <w:jc w:val="both"/>
        <w:rPr>
          <w:rFonts w:ascii="Arial" w:eastAsia="Calibri" w:hAnsi="Arial" w:cs="Arial"/>
          <w:color w:val="000000"/>
          <w:kern w:val="1"/>
          <w:lang w:val="ro-RO" w:eastAsia="hi-IN" w:bidi="hi-IN"/>
        </w:rPr>
      </w:pPr>
      <w:r>
        <w:rPr>
          <w:rFonts w:ascii="Arial" w:eastAsia="Calibri" w:hAnsi="Arial" w:cs="Arial"/>
          <w:color w:val="000000"/>
          <w:kern w:val="1"/>
          <w:lang w:val="ro-RO" w:eastAsia="hi-IN" w:bidi="hi-IN"/>
        </w:rPr>
        <w:t>Microbuzele Primăriei Horezu efectuează</w:t>
      </w:r>
      <w:r w:rsidR="00082E8F" w:rsidRPr="00082E8F">
        <w:rPr>
          <w:rFonts w:ascii="Arial" w:eastAsia="Calibri" w:hAnsi="Arial" w:cs="Arial"/>
          <w:color w:val="000000"/>
          <w:kern w:val="1"/>
          <w:lang w:val="ro-RO" w:eastAsia="hi-IN" w:bidi="hi-IN"/>
        </w:rPr>
        <w:t xml:space="preserve"> </w:t>
      </w:r>
      <w:r>
        <w:rPr>
          <w:rFonts w:ascii="Arial" w:eastAsia="Calibri" w:hAnsi="Arial" w:cs="Arial"/>
          <w:color w:val="000000"/>
          <w:kern w:val="1"/>
          <w:lang w:val="ro-RO" w:eastAsia="hi-IN" w:bidi="hi-IN"/>
        </w:rPr>
        <w:t>zilnic, pe perioada cursurilor şcolare, un număr de 12 curse pe urmă</w:t>
      </w:r>
      <w:r w:rsidR="00082E8F" w:rsidRPr="00082E8F">
        <w:rPr>
          <w:rFonts w:ascii="Arial" w:eastAsia="Calibri" w:hAnsi="Arial" w:cs="Arial"/>
          <w:color w:val="000000"/>
          <w:kern w:val="1"/>
          <w:lang w:val="ro-RO" w:eastAsia="hi-IN" w:bidi="hi-IN"/>
        </w:rPr>
        <w:t>toarele trasee:</w:t>
      </w:r>
    </w:p>
    <w:p w14:paraId="7D006FB2" w14:textId="77777777" w:rsidR="00082E8F" w:rsidRPr="00082E8F" w:rsidRDefault="00082E8F" w:rsidP="006B613A">
      <w:pPr>
        <w:widowControl w:val="0"/>
        <w:numPr>
          <w:ilvl w:val="0"/>
          <w:numId w:val="56"/>
        </w:numPr>
        <w:suppressAutoHyphens/>
        <w:autoSpaceDE w:val="0"/>
        <w:spacing w:after="0" w:line="276" w:lineRule="auto"/>
        <w:jc w:val="both"/>
        <w:rPr>
          <w:rFonts w:ascii="Arial" w:eastAsia="Calibri" w:hAnsi="Arial" w:cs="Arial"/>
          <w:color w:val="000000"/>
          <w:kern w:val="1"/>
          <w:lang w:val="ro-RO" w:eastAsia="hi-IN" w:bidi="hi-IN"/>
        </w:rPr>
      </w:pPr>
      <w:r w:rsidRPr="00082E8F">
        <w:rPr>
          <w:rFonts w:ascii="Arial" w:eastAsia="Calibri" w:hAnsi="Arial" w:cs="Arial"/>
          <w:color w:val="000000"/>
          <w:kern w:val="1"/>
          <w:lang w:val="ro-RO" w:eastAsia="hi-IN" w:bidi="hi-IN"/>
        </w:rPr>
        <w:t>Horezu</w:t>
      </w:r>
      <w:r w:rsidR="00FC2D32">
        <w:rPr>
          <w:rFonts w:ascii="Arial" w:eastAsia="Calibri" w:hAnsi="Arial" w:cs="Arial"/>
          <w:color w:val="000000"/>
          <w:kern w:val="1"/>
          <w:lang w:val="ro-RO" w:eastAsia="hi-IN" w:bidi="hi-IN"/>
        </w:rPr>
        <w:t xml:space="preserve"> – Urş</w:t>
      </w:r>
      <w:r w:rsidRPr="00082E8F">
        <w:rPr>
          <w:rFonts w:ascii="Arial" w:eastAsia="Calibri" w:hAnsi="Arial" w:cs="Arial"/>
          <w:color w:val="000000"/>
          <w:kern w:val="1"/>
          <w:lang w:val="ro-RO" w:eastAsia="hi-IN" w:bidi="hi-IN"/>
        </w:rPr>
        <w:t>ani – Horezu = 2 curse</w:t>
      </w:r>
    </w:p>
    <w:p w14:paraId="14C9F587" w14:textId="77777777" w:rsidR="00082E8F" w:rsidRPr="00082E8F" w:rsidRDefault="00082E8F" w:rsidP="006B613A">
      <w:pPr>
        <w:widowControl w:val="0"/>
        <w:numPr>
          <w:ilvl w:val="0"/>
          <w:numId w:val="56"/>
        </w:numPr>
        <w:suppressAutoHyphens/>
        <w:autoSpaceDE w:val="0"/>
        <w:spacing w:after="0" w:line="276" w:lineRule="auto"/>
        <w:jc w:val="both"/>
        <w:rPr>
          <w:rFonts w:ascii="Arial" w:eastAsia="Calibri" w:hAnsi="Arial" w:cs="Arial"/>
          <w:color w:val="000000"/>
          <w:kern w:val="1"/>
          <w:lang w:val="ro-RO" w:eastAsia="hi-IN" w:bidi="hi-IN"/>
        </w:rPr>
      </w:pPr>
      <w:r w:rsidRPr="00082E8F">
        <w:rPr>
          <w:rFonts w:ascii="Arial" w:eastAsia="Calibri" w:hAnsi="Arial" w:cs="Arial"/>
          <w:color w:val="000000"/>
          <w:kern w:val="1"/>
          <w:lang w:val="ro-RO" w:eastAsia="hi-IN" w:bidi="hi-IN"/>
        </w:rPr>
        <w:t>Horezu – Neagota – Horezu = 1 cursa</w:t>
      </w:r>
    </w:p>
    <w:p w14:paraId="22DD0B3F" w14:textId="77777777" w:rsidR="00082E8F" w:rsidRPr="00082E8F" w:rsidRDefault="00082E8F" w:rsidP="006B613A">
      <w:pPr>
        <w:widowControl w:val="0"/>
        <w:numPr>
          <w:ilvl w:val="0"/>
          <w:numId w:val="56"/>
        </w:numPr>
        <w:suppressAutoHyphens/>
        <w:autoSpaceDE w:val="0"/>
        <w:spacing w:after="0" w:line="276" w:lineRule="auto"/>
        <w:jc w:val="both"/>
        <w:rPr>
          <w:rFonts w:ascii="Arial" w:eastAsia="Calibri" w:hAnsi="Arial" w:cs="Arial"/>
          <w:color w:val="000000"/>
          <w:kern w:val="1"/>
          <w:lang w:val="ro-RO" w:eastAsia="hi-IN" w:bidi="hi-IN"/>
        </w:rPr>
      </w:pPr>
      <w:r w:rsidRPr="00082E8F">
        <w:rPr>
          <w:rFonts w:ascii="Arial" w:eastAsia="Calibri" w:hAnsi="Arial" w:cs="Arial"/>
          <w:color w:val="000000"/>
          <w:kern w:val="1"/>
          <w:lang w:val="ro-RO" w:eastAsia="hi-IN" w:bidi="hi-IN"/>
        </w:rPr>
        <w:t>Horezu</w:t>
      </w:r>
      <w:r w:rsidR="00FC2D32">
        <w:rPr>
          <w:rFonts w:ascii="Arial" w:eastAsia="Calibri" w:hAnsi="Arial" w:cs="Arial"/>
          <w:color w:val="000000"/>
          <w:kern w:val="1"/>
          <w:lang w:val="ro-RO" w:eastAsia="hi-IN" w:bidi="hi-IN"/>
        </w:rPr>
        <w:t xml:space="preserve"> – Tănăseş</w:t>
      </w:r>
      <w:r w:rsidRPr="00082E8F">
        <w:rPr>
          <w:rFonts w:ascii="Arial" w:eastAsia="Calibri" w:hAnsi="Arial" w:cs="Arial"/>
          <w:color w:val="000000"/>
          <w:kern w:val="1"/>
          <w:lang w:val="ro-RO" w:eastAsia="hi-IN" w:bidi="hi-IN"/>
        </w:rPr>
        <w:t>ti – Horezu = 4 curse</w:t>
      </w:r>
    </w:p>
    <w:p w14:paraId="15052324" w14:textId="77777777" w:rsidR="00082E8F" w:rsidRPr="00082E8F" w:rsidRDefault="00082E8F" w:rsidP="006B613A">
      <w:pPr>
        <w:widowControl w:val="0"/>
        <w:numPr>
          <w:ilvl w:val="0"/>
          <w:numId w:val="56"/>
        </w:numPr>
        <w:suppressAutoHyphens/>
        <w:autoSpaceDE w:val="0"/>
        <w:spacing w:after="0" w:line="276" w:lineRule="auto"/>
        <w:jc w:val="both"/>
        <w:rPr>
          <w:rFonts w:ascii="Arial" w:eastAsia="Calibri" w:hAnsi="Arial" w:cs="Arial"/>
          <w:color w:val="000000"/>
          <w:kern w:val="1"/>
          <w:lang w:val="ro-RO" w:eastAsia="hi-IN" w:bidi="hi-IN"/>
        </w:rPr>
      </w:pPr>
      <w:r w:rsidRPr="00082E8F">
        <w:rPr>
          <w:rFonts w:ascii="Arial" w:eastAsia="Calibri" w:hAnsi="Arial" w:cs="Arial"/>
          <w:color w:val="000000"/>
          <w:kern w:val="1"/>
          <w:lang w:val="ro-RO" w:eastAsia="hi-IN" w:bidi="hi-IN"/>
        </w:rPr>
        <w:t>Horezu – Romanii de Sus – Horezu = 4 curse</w:t>
      </w:r>
    </w:p>
    <w:p w14:paraId="0121D8D9" w14:textId="77777777" w:rsidR="00082E8F" w:rsidRPr="00082E8F" w:rsidRDefault="00082E8F" w:rsidP="006B613A">
      <w:pPr>
        <w:widowControl w:val="0"/>
        <w:numPr>
          <w:ilvl w:val="0"/>
          <w:numId w:val="56"/>
        </w:numPr>
        <w:suppressAutoHyphens/>
        <w:autoSpaceDE w:val="0"/>
        <w:spacing w:after="0" w:line="276" w:lineRule="auto"/>
        <w:jc w:val="both"/>
        <w:rPr>
          <w:rFonts w:ascii="Arial" w:eastAsia="Calibri" w:hAnsi="Arial" w:cs="Arial"/>
          <w:color w:val="000000"/>
          <w:kern w:val="1"/>
          <w:lang w:val="ro-RO" w:eastAsia="hi-IN" w:bidi="hi-IN"/>
        </w:rPr>
      </w:pPr>
      <w:r w:rsidRPr="00082E8F">
        <w:rPr>
          <w:rFonts w:ascii="Arial" w:eastAsia="Calibri" w:hAnsi="Arial" w:cs="Arial"/>
          <w:color w:val="000000"/>
          <w:kern w:val="1"/>
          <w:lang w:val="ro-RO" w:eastAsia="hi-IN" w:bidi="hi-IN"/>
        </w:rPr>
        <w:t>Horezu</w:t>
      </w:r>
      <w:r w:rsidR="00FC2D32">
        <w:rPr>
          <w:rFonts w:ascii="Arial" w:eastAsia="Calibri" w:hAnsi="Arial" w:cs="Arial"/>
          <w:color w:val="000000"/>
          <w:kern w:val="1"/>
          <w:lang w:val="ro-RO" w:eastAsia="hi-IN" w:bidi="hi-IN"/>
        </w:rPr>
        <w:t xml:space="preserve"> – Bâ</w:t>
      </w:r>
      <w:r w:rsidRPr="00082E8F">
        <w:rPr>
          <w:rFonts w:ascii="Arial" w:eastAsia="Calibri" w:hAnsi="Arial" w:cs="Arial"/>
          <w:color w:val="000000"/>
          <w:kern w:val="1"/>
          <w:lang w:val="ro-RO" w:eastAsia="hi-IN" w:bidi="hi-IN"/>
        </w:rPr>
        <w:t>rzoteni – Horezu = 1 cursa</w:t>
      </w:r>
    </w:p>
    <w:p w14:paraId="0A88BC3A" w14:textId="77777777" w:rsidR="00082E8F" w:rsidRPr="00082E8F" w:rsidRDefault="00FC2D32" w:rsidP="00082E8F">
      <w:pPr>
        <w:widowControl w:val="0"/>
        <w:suppressAutoHyphens/>
        <w:autoSpaceDE w:val="0"/>
        <w:spacing w:after="0" w:line="360" w:lineRule="auto"/>
        <w:jc w:val="both"/>
        <w:rPr>
          <w:rFonts w:ascii="Arial" w:eastAsia="Calibri" w:hAnsi="Arial" w:cs="Arial"/>
          <w:color w:val="000000"/>
          <w:kern w:val="1"/>
          <w:lang w:val="es-ES" w:eastAsia="hi-IN" w:bidi="hi-IN"/>
        </w:rPr>
      </w:pPr>
      <w:r>
        <w:rPr>
          <w:rFonts w:ascii="Arial" w:eastAsia="Calibri" w:hAnsi="Arial" w:cs="Arial"/>
          <w:color w:val="000000"/>
          <w:kern w:val="1"/>
          <w:lang w:val="es-ES" w:eastAsia="hi-IN" w:bidi="hi-IN"/>
        </w:rPr>
        <w:t>ş</w:t>
      </w:r>
      <w:r w:rsidR="00082E8F" w:rsidRPr="00082E8F">
        <w:rPr>
          <w:rFonts w:ascii="Arial" w:eastAsia="Calibri" w:hAnsi="Arial" w:cs="Arial"/>
          <w:color w:val="000000"/>
          <w:kern w:val="1"/>
          <w:lang w:val="es-ES" w:eastAsia="hi-IN" w:bidi="hi-IN"/>
        </w:rPr>
        <w:t>i transporta</w:t>
      </w:r>
      <w:r>
        <w:rPr>
          <w:rFonts w:ascii="Arial" w:eastAsia="Calibri" w:hAnsi="Arial" w:cs="Arial"/>
          <w:color w:val="000000"/>
          <w:kern w:val="1"/>
          <w:lang w:val="es-ES" w:eastAsia="hi-IN" w:bidi="hi-IN"/>
        </w:rPr>
        <w:t xml:space="preserve"> circa 200 elevi către unităţile de învăţământ de pe raza oraş</w:t>
      </w:r>
      <w:r w:rsidR="00082E8F" w:rsidRPr="00082E8F">
        <w:rPr>
          <w:rFonts w:ascii="Arial" w:eastAsia="Calibri" w:hAnsi="Arial" w:cs="Arial"/>
          <w:color w:val="000000"/>
          <w:kern w:val="1"/>
          <w:lang w:val="es-ES" w:eastAsia="hi-IN" w:bidi="hi-IN"/>
        </w:rPr>
        <w:t>ului.</w:t>
      </w:r>
    </w:p>
    <w:p w14:paraId="3AA9A3CF" w14:textId="77777777" w:rsidR="00082E8F" w:rsidRPr="00082E8F" w:rsidRDefault="00082E8F" w:rsidP="00082E8F">
      <w:pPr>
        <w:widowControl w:val="0"/>
        <w:suppressAutoHyphens/>
        <w:autoSpaceDE w:val="0"/>
        <w:spacing w:after="0" w:line="360" w:lineRule="auto"/>
        <w:jc w:val="both"/>
        <w:rPr>
          <w:rFonts w:ascii="Arial" w:eastAsia="Calibri" w:hAnsi="Arial" w:cs="Arial"/>
          <w:color w:val="000000"/>
          <w:kern w:val="1"/>
          <w:lang w:val="es-ES" w:eastAsia="hi-IN" w:bidi="hi-IN"/>
        </w:rPr>
      </w:pPr>
    </w:p>
    <w:p w14:paraId="18FE1E05" w14:textId="6BCB35DC" w:rsidR="00082E8F" w:rsidRPr="00082E8F" w:rsidRDefault="00FC2D32" w:rsidP="00FC2D32">
      <w:pPr>
        <w:pStyle w:val="Legend"/>
        <w:jc w:val="center"/>
        <w:rPr>
          <w:rFonts w:ascii="Arial" w:hAnsi="Arial" w:cs="Arial"/>
          <w:i w:val="0"/>
          <w:color w:val="1F497D"/>
          <w:kern w:val="1"/>
          <w:sz w:val="22"/>
          <w:szCs w:val="22"/>
          <w:lang w:val="ro-RO" w:eastAsia="hi-IN" w:bidi="hi-IN"/>
        </w:rPr>
      </w:pPr>
      <w:bookmarkStart w:id="101" w:name="_Toc68361219"/>
      <w:bookmarkStart w:id="102" w:name="_Toc140744580"/>
      <w:r w:rsidRPr="00FC2D32">
        <w:rPr>
          <w:rFonts w:ascii="Arial" w:hAnsi="Arial" w:cs="Arial"/>
          <w:sz w:val="22"/>
          <w:szCs w:val="22"/>
        </w:rPr>
        <w:t xml:space="preserve">Tabel I.2. </w:t>
      </w:r>
      <w:r w:rsidRPr="00FC2D32">
        <w:rPr>
          <w:rFonts w:ascii="Arial" w:hAnsi="Arial" w:cs="Arial"/>
          <w:sz w:val="22"/>
          <w:szCs w:val="22"/>
        </w:rPr>
        <w:fldChar w:fldCharType="begin"/>
      </w:r>
      <w:r w:rsidRPr="00FC2D32">
        <w:rPr>
          <w:rFonts w:ascii="Arial" w:hAnsi="Arial" w:cs="Arial"/>
          <w:sz w:val="22"/>
          <w:szCs w:val="22"/>
        </w:rPr>
        <w:instrText xml:space="preserve"> SEQ Tabel_I.2. \* ARABIC </w:instrText>
      </w:r>
      <w:r w:rsidRPr="00FC2D32">
        <w:rPr>
          <w:rFonts w:ascii="Arial" w:hAnsi="Arial" w:cs="Arial"/>
          <w:sz w:val="22"/>
          <w:szCs w:val="22"/>
        </w:rPr>
        <w:fldChar w:fldCharType="separate"/>
      </w:r>
      <w:r w:rsidR="00BB181C">
        <w:rPr>
          <w:rFonts w:ascii="Arial" w:hAnsi="Arial" w:cs="Arial"/>
          <w:noProof/>
          <w:sz w:val="22"/>
          <w:szCs w:val="22"/>
        </w:rPr>
        <w:t>14</w:t>
      </w:r>
      <w:r w:rsidRPr="00FC2D32">
        <w:rPr>
          <w:rFonts w:ascii="Arial" w:hAnsi="Arial" w:cs="Arial"/>
          <w:sz w:val="22"/>
          <w:szCs w:val="22"/>
        </w:rPr>
        <w:fldChar w:fldCharType="end"/>
      </w:r>
      <w:r w:rsidRPr="00FC2D32">
        <w:rPr>
          <w:rFonts w:ascii="Arial" w:hAnsi="Arial" w:cs="Arial"/>
          <w:sz w:val="22"/>
          <w:szCs w:val="22"/>
        </w:rPr>
        <w:t xml:space="preserve"> </w:t>
      </w:r>
      <w:r w:rsidR="00082E8F" w:rsidRPr="00082E8F">
        <w:rPr>
          <w:rFonts w:ascii="Arial" w:hAnsi="Arial" w:cs="Arial"/>
          <w:color w:val="1F497D"/>
          <w:sz w:val="22"/>
          <w:szCs w:val="22"/>
        </w:rPr>
        <w:t xml:space="preserve">- </w:t>
      </w:r>
      <w:r w:rsidR="00082E8F" w:rsidRPr="00082E8F">
        <w:rPr>
          <w:rFonts w:ascii="Arial" w:hAnsi="Arial" w:cs="Arial"/>
          <w:i w:val="0"/>
          <w:color w:val="1F497D"/>
          <w:sz w:val="22"/>
          <w:szCs w:val="22"/>
        </w:rPr>
        <w:t xml:space="preserve">Parc circulant pentru transport </w:t>
      </w:r>
      <w:bookmarkEnd w:id="101"/>
      <w:r w:rsidR="00082E8F" w:rsidRPr="00082E8F">
        <w:rPr>
          <w:rFonts w:ascii="Arial" w:hAnsi="Arial" w:cs="Arial"/>
          <w:i w:val="0"/>
          <w:color w:val="1F497D"/>
          <w:sz w:val="22"/>
          <w:szCs w:val="22"/>
        </w:rPr>
        <w:t>elevi proprietatea Primariei Horezu</w:t>
      </w:r>
      <w:bookmarkEnd w:id="1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268"/>
        <w:gridCol w:w="1418"/>
        <w:gridCol w:w="1134"/>
        <w:gridCol w:w="1276"/>
      </w:tblGrid>
      <w:tr w:rsidR="00082E8F" w:rsidRPr="00082E8F" w14:paraId="09AC1E5F" w14:textId="77777777" w:rsidTr="00FC2D32">
        <w:trPr>
          <w:jc w:val="center"/>
        </w:trPr>
        <w:tc>
          <w:tcPr>
            <w:tcW w:w="675" w:type="dxa"/>
            <w:shd w:val="clear" w:color="auto" w:fill="BFBFBF"/>
          </w:tcPr>
          <w:p w14:paraId="67D2717E" w14:textId="77777777" w:rsidR="00082E8F" w:rsidRPr="00082E8F" w:rsidRDefault="00082E8F" w:rsidP="00082E8F">
            <w:pPr>
              <w:widowControl w:val="0"/>
              <w:suppressAutoHyphens/>
              <w:autoSpaceDE w:val="0"/>
              <w:spacing w:after="0" w:line="240" w:lineRule="auto"/>
              <w:jc w:val="center"/>
              <w:rPr>
                <w:rFonts w:ascii="Arial" w:hAnsi="Arial" w:cs="Arial"/>
                <w:b/>
                <w:kern w:val="1"/>
                <w:sz w:val="20"/>
                <w:szCs w:val="20"/>
                <w:lang w:val="ro-RO" w:eastAsia="hi-IN" w:bidi="hi-IN"/>
              </w:rPr>
            </w:pPr>
            <w:r w:rsidRPr="00082E8F">
              <w:rPr>
                <w:rFonts w:ascii="Arial" w:hAnsi="Arial" w:cs="Arial"/>
                <w:b/>
                <w:kern w:val="1"/>
                <w:sz w:val="20"/>
                <w:szCs w:val="20"/>
                <w:lang w:val="ro-RO" w:eastAsia="hi-IN" w:bidi="hi-IN"/>
              </w:rPr>
              <w:t>Nr. crt.</w:t>
            </w:r>
          </w:p>
        </w:tc>
        <w:tc>
          <w:tcPr>
            <w:tcW w:w="2268" w:type="dxa"/>
            <w:shd w:val="clear" w:color="auto" w:fill="BFBFBF"/>
          </w:tcPr>
          <w:p w14:paraId="0F58DA26" w14:textId="77777777" w:rsidR="00082E8F" w:rsidRPr="00082E8F" w:rsidRDefault="00082E8F" w:rsidP="00082E8F">
            <w:pPr>
              <w:widowControl w:val="0"/>
              <w:suppressAutoHyphens/>
              <w:autoSpaceDE w:val="0"/>
              <w:spacing w:after="0" w:line="240" w:lineRule="auto"/>
              <w:jc w:val="center"/>
              <w:rPr>
                <w:rFonts w:ascii="Arial" w:hAnsi="Arial" w:cs="Arial"/>
                <w:b/>
                <w:kern w:val="1"/>
                <w:sz w:val="20"/>
                <w:szCs w:val="20"/>
                <w:lang w:val="ro-RO" w:eastAsia="hi-IN" w:bidi="hi-IN"/>
              </w:rPr>
            </w:pPr>
            <w:r w:rsidRPr="00082E8F">
              <w:rPr>
                <w:rFonts w:ascii="Arial" w:hAnsi="Arial" w:cs="Arial"/>
                <w:b/>
                <w:kern w:val="1"/>
                <w:sz w:val="20"/>
                <w:szCs w:val="20"/>
                <w:lang w:val="ro-RO" w:eastAsia="hi-IN" w:bidi="hi-IN"/>
              </w:rPr>
              <w:t>Număr înmatriculare</w:t>
            </w:r>
          </w:p>
        </w:tc>
        <w:tc>
          <w:tcPr>
            <w:tcW w:w="1418" w:type="dxa"/>
            <w:shd w:val="clear" w:color="auto" w:fill="BFBFBF"/>
          </w:tcPr>
          <w:p w14:paraId="5EB5A271" w14:textId="77777777" w:rsidR="00082E8F" w:rsidRPr="00082E8F" w:rsidRDefault="00082E8F" w:rsidP="00082E8F">
            <w:pPr>
              <w:widowControl w:val="0"/>
              <w:suppressAutoHyphens/>
              <w:autoSpaceDE w:val="0"/>
              <w:spacing w:after="0" w:line="240" w:lineRule="auto"/>
              <w:jc w:val="center"/>
              <w:rPr>
                <w:rFonts w:ascii="Arial" w:hAnsi="Arial" w:cs="Arial"/>
                <w:b/>
                <w:kern w:val="1"/>
                <w:sz w:val="20"/>
                <w:szCs w:val="20"/>
                <w:lang w:val="ro-RO" w:eastAsia="hi-IN" w:bidi="hi-IN"/>
              </w:rPr>
            </w:pPr>
            <w:r w:rsidRPr="00082E8F">
              <w:rPr>
                <w:rFonts w:ascii="Arial" w:hAnsi="Arial" w:cs="Arial"/>
                <w:b/>
                <w:kern w:val="1"/>
                <w:sz w:val="20"/>
                <w:szCs w:val="20"/>
                <w:lang w:val="ro-RO" w:eastAsia="hi-IN" w:bidi="hi-IN"/>
              </w:rPr>
              <w:t>Tip vehicul</w:t>
            </w:r>
          </w:p>
        </w:tc>
        <w:tc>
          <w:tcPr>
            <w:tcW w:w="1134" w:type="dxa"/>
            <w:shd w:val="clear" w:color="auto" w:fill="BFBFBF"/>
          </w:tcPr>
          <w:p w14:paraId="7925C38E" w14:textId="77777777" w:rsidR="00082E8F" w:rsidRPr="00082E8F" w:rsidRDefault="00082E8F" w:rsidP="00082E8F">
            <w:pPr>
              <w:widowControl w:val="0"/>
              <w:suppressAutoHyphens/>
              <w:autoSpaceDE w:val="0"/>
              <w:spacing w:after="0" w:line="240" w:lineRule="auto"/>
              <w:jc w:val="center"/>
              <w:rPr>
                <w:rFonts w:ascii="Arial" w:hAnsi="Arial" w:cs="Arial"/>
                <w:b/>
                <w:kern w:val="1"/>
                <w:sz w:val="20"/>
                <w:szCs w:val="20"/>
                <w:lang w:val="ro-RO" w:eastAsia="hi-IN" w:bidi="hi-IN"/>
              </w:rPr>
            </w:pPr>
            <w:r w:rsidRPr="00082E8F">
              <w:rPr>
                <w:rFonts w:ascii="Arial" w:hAnsi="Arial" w:cs="Arial"/>
                <w:b/>
                <w:kern w:val="1"/>
                <w:sz w:val="20"/>
                <w:szCs w:val="20"/>
                <w:lang w:val="ro-RO" w:eastAsia="hi-IN" w:bidi="hi-IN"/>
              </w:rPr>
              <w:t>An fabricație</w:t>
            </w:r>
          </w:p>
        </w:tc>
        <w:tc>
          <w:tcPr>
            <w:tcW w:w="1276" w:type="dxa"/>
            <w:shd w:val="clear" w:color="auto" w:fill="BFBFBF"/>
          </w:tcPr>
          <w:p w14:paraId="38CC1E1D" w14:textId="77777777" w:rsidR="00082E8F" w:rsidRPr="00082E8F" w:rsidRDefault="00082E8F" w:rsidP="00082E8F">
            <w:pPr>
              <w:widowControl w:val="0"/>
              <w:suppressAutoHyphens/>
              <w:autoSpaceDE w:val="0"/>
              <w:spacing w:after="0" w:line="240" w:lineRule="auto"/>
              <w:jc w:val="center"/>
              <w:rPr>
                <w:rFonts w:ascii="Arial" w:hAnsi="Arial" w:cs="Arial"/>
                <w:b/>
                <w:kern w:val="1"/>
                <w:sz w:val="20"/>
                <w:szCs w:val="20"/>
                <w:lang w:val="ro-RO" w:eastAsia="hi-IN" w:bidi="hi-IN"/>
              </w:rPr>
            </w:pPr>
            <w:r w:rsidRPr="00082E8F">
              <w:rPr>
                <w:rFonts w:ascii="Arial" w:hAnsi="Arial" w:cs="Arial"/>
                <w:b/>
                <w:kern w:val="1"/>
                <w:sz w:val="20"/>
                <w:szCs w:val="20"/>
                <w:lang w:val="ro-RO" w:eastAsia="hi-IN" w:bidi="hi-IN"/>
              </w:rPr>
              <w:t>Norma de poluare</w:t>
            </w:r>
          </w:p>
        </w:tc>
      </w:tr>
      <w:tr w:rsidR="00082E8F" w:rsidRPr="00082E8F" w14:paraId="1384B221" w14:textId="77777777" w:rsidTr="00FC2D32">
        <w:trPr>
          <w:jc w:val="center"/>
        </w:trPr>
        <w:tc>
          <w:tcPr>
            <w:tcW w:w="675" w:type="dxa"/>
            <w:shd w:val="clear" w:color="auto" w:fill="auto"/>
          </w:tcPr>
          <w:p w14:paraId="2B15E234"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1</w:t>
            </w:r>
          </w:p>
        </w:tc>
        <w:tc>
          <w:tcPr>
            <w:tcW w:w="2268" w:type="dxa"/>
            <w:shd w:val="clear" w:color="auto" w:fill="auto"/>
          </w:tcPr>
          <w:p w14:paraId="0193A782"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VL-01-PRH</w:t>
            </w:r>
          </w:p>
        </w:tc>
        <w:tc>
          <w:tcPr>
            <w:tcW w:w="1418" w:type="dxa"/>
            <w:shd w:val="clear" w:color="auto" w:fill="auto"/>
          </w:tcPr>
          <w:p w14:paraId="188DC5B3"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Microbuz</w:t>
            </w:r>
          </w:p>
        </w:tc>
        <w:tc>
          <w:tcPr>
            <w:tcW w:w="1134" w:type="dxa"/>
            <w:shd w:val="clear" w:color="auto" w:fill="auto"/>
          </w:tcPr>
          <w:p w14:paraId="11E62299"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2015</w:t>
            </w:r>
          </w:p>
        </w:tc>
        <w:tc>
          <w:tcPr>
            <w:tcW w:w="1276" w:type="dxa"/>
            <w:shd w:val="clear" w:color="auto" w:fill="auto"/>
          </w:tcPr>
          <w:p w14:paraId="44C9F9E5"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Euro 5</w:t>
            </w:r>
          </w:p>
        </w:tc>
      </w:tr>
      <w:tr w:rsidR="00082E8F" w:rsidRPr="00082E8F" w14:paraId="1A3B8FC9" w14:textId="77777777" w:rsidTr="00FC2D32">
        <w:trPr>
          <w:jc w:val="center"/>
        </w:trPr>
        <w:tc>
          <w:tcPr>
            <w:tcW w:w="675" w:type="dxa"/>
            <w:shd w:val="clear" w:color="auto" w:fill="auto"/>
          </w:tcPr>
          <w:p w14:paraId="64B25562"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2</w:t>
            </w:r>
          </w:p>
        </w:tc>
        <w:tc>
          <w:tcPr>
            <w:tcW w:w="2268" w:type="dxa"/>
            <w:shd w:val="clear" w:color="auto" w:fill="auto"/>
          </w:tcPr>
          <w:p w14:paraId="28826FB0"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VL-11-PRH</w:t>
            </w:r>
          </w:p>
        </w:tc>
        <w:tc>
          <w:tcPr>
            <w:tcW w:w="1418" w:type="dxa"/>
            <w:shd w:val="clear" w:color="auto" w:fill="auto"/>
          </w:tcPr>
          <w:p w14:paraId="2F0379AC"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Microbuz</w:t>
            </w:r>
          </w:p>
        </w:tc>
        <w:tc>
          <w:tcPr>
            <w:tcW w:w="1134" w:type="dxa"/>
            <w:shd w:val="clear" w:color="auto" w:fill="auto"/>
          </w:tcPr>
          <w:p w14:paraId="335F80F2"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2007</w:t>
            </w:r>
          </w:p>
        </w:tc>
        <w:tc>
          <w:tcPr>
            <w:tcW w:w="1276" w:type="dxa"/>
            <w:shd w:val="clear" w:color="auto" w:fill="auto"/>
          </w:tcPr>
          <w:p w14:paraId="71E28600" w14:textId="77777777" w:rsidR="00082E8F" w:rsidRPr="00082E8F" w:rsidRDefault="00082E8F" w:rsidP="00082E8F">
            <w:pPr>
              <w:widowControl w:val="0"/>
              <w:suppressAutoHyphens/>
              <w:autoSpaceDE w:val="0"/>
              <w:spacing w:after="0" w:line="240" w:lineRule="auto"/>
              <w:jc w:val="center"/>
              <w:rPr>
                <w:rFonts w:ascii="Arial" w:hAnsi="Arial" w:cs="Arial"/>
                <w:kern w:val="1"/>
                <w:sz w:val="20"/>
                <w:szCs w:val="20"/>
                <w:lang w:val="ro-RO" w:eastAsia="hi-IN" w:bidi="hi-IN"/>
              </w:rPr>
            </w:pPr>
            <w:r w:rsidRPr="00082E8F">
              <w:rPr>
                <w:rFonts w:ascii="Arial" w:hAnsi="Arial" w:cs="Arial"/>
                <w:kern w:val="1"/>
                <w:sz w:val="20"/>
                <w:szCs w:val="20"/>
                <w:lang w:val="ro-RO" w:eastAsia="hi-IN" w:bidi="hi-IN"/>
              </w:rPr>
              <w:t>Euro 4</w:t>
            </w:r>
          </w:p>
        </w:tc>
      </w:tr>
    </w:tbl>
    <w:p w14:paraId="7A07C724" w14:textId="77777777" w:rsidR="00082E8F" w:rsidRPr="00082E8F" w:rsidRDefault="00082E8F" w:rsidP="00082E8F">
      <w:pPr>
        <w:suppressAutoHyphens/>
        <w:autoSpaceDE w:val="0"/>
        <w:spacing w:after="0" w:line="360" w:lineRule="auto"/>
        <w:ind w:left="720" w:firstLine="720"/>
        <w:rPr>
          <w:rFonts w:ascii="Arial" w:eastAsia="Calibri" w:hAnsi="Arial" w:cs="Arial"/>
          <w:color w:val="000000"/>
          <w:sz w:val="16"/>
          <w:szCs w:val="16"/>
          <w:lang w:eastAsia="zh-CN"/>
        </w:rPr>
      </w:pPr>
      <w:r w:rsidRPr="00082E8F">
        <w:rPr>
          <w:rFonts w:ascii="Arial" w:eastAsia="Calibri" w:hAnsi="Arial" w:cs="Arial"/>
          <w:color w:val="000000"/>
          <w:sz w:val="16"/>
          <w:szCs w:val="16"/>
          <w:lang w:eastAsia="zh-CN"/>
        </w:rPr>
        <w:t>Sursa: Primaria Horezu</w:t>
      </w:r>
    </w:p>
    <w:p w14:paraId="176FA7F7" w14:textId="77777777" w:rsidR="00082E8F" w:rsidRPr="00082E8F" w:rsidRDefault="00082E8F" w:rsidP="00082E8F">
      <w:pPr>
        <w:widowControl w:val="0"/>
        <w:suppressAutoHyphens/>
        <w:autoSpaceDE w:val="0"/>
        <w:spacing w:after="0" w:line="276" w:lineRule="auto"/>
        <w:jc w:val="both"/>
        <w:rPr>
          <w:rFonts w:ascii="Arial" w:hAnsi="Arial" w:cs="Arial"/>
          <w:kern w:val="1"/>
          <w:lang w:val="ro-RO" w:eastAsia="hi-IN" w:bidi="hi-IN"/>
        </w:rPr>
      </w:pPr>
    </w:p>
    <w:p w14:paraId="318B7A2F" w14:textId="77777777" w:rsidR="00082E8F" w:rsidRPr="00082E8F" w:rsidRDefault="00082E8F" w:rsidP="00082E8F">
      <w:pPr>
        <w:suppressAutoHyphens/>
        <w:autoSpaceDE w:val="0"/>
        <w:spacing w:after="0" w:line="360" w:lineRule="auto"/>
        <w:jc w:val="both"/>
        <w:rPr>
          <w:rFonts w:ascii="Arial" w:eastAsia="Calibri" w:hAnsi="Arial" w:cs="Arial"/>
          <w:lang w:eastAsia="zh-CN"/>
        </w:rPr>
      </w:pPr>
      <w:r w:rsidRPr="00082E8F">
        <w:rPr>
          <w:rFonts w:ascii="Arial" w:eastAsia="Calibri" w:hAnsi="Arial" w:cs="Arial"/>
          <w:lang w:eastAsia="zh-CN"/>
        </w:rPr>
        <w:t>Probleme constatate la activitatea de transport public:</w:t>
      </w:r>
    </w:p>
    <w:p w14:paraId="4EDB338A" w14:textId="77777777" w:rsidR="00082E8F" w:rsidRPr="00082E8F" w:rsidRDefault="00FC2D32" w:rsidP="000C6CB8">
      <w:pPr>
        <w:numPr>
          <w:ilvl w:val="0"/>
          <w:numId w:val="132"/>
        </w:numPr>
        <w:suppressAutoHyphens/>
        <w:autoSpaceDE w:val="0"/>
        <w:spacing w:after="0" w:line="276" w:lineRule="auto"/>
        <w:jc w:val="both"/>
        <w:rPr>
          <w:rFonts w:ascii="Arial" w:eastAsia="Calibri" w:hAnsi="Arial" w:cs="Arial"/>
          <w:lang w:eastAsia="zh-CN"/>
        </w:rPr>
      </w:pPr>
      <w:r>
        <w:rPr>
          <w:rFonts w:ascii="Arial" w:eastAsia="Calibri" w:hAnsi="Arial" w:cs="Arial"/>
          <w:lang w:eastAsia="zh-CN"/>
        </w:rPr>
        <w:t>nu există</w:t>
      </w:r>
      <w:r w:rsidR="00082E8F" w:rsidRPr="00082E8F">
        <w:rPr>
          <w:rFonts w:ascii="Arial" w:eastAsia="Calibri" w:hAnsi="Arial" w:cs="Arial"/>
          <w:lang w:eastAsia="zh-CN"/>
        </w:rPr>
        <w:t xml:space="preserve"> serviciu de transport public care să deservească orașul;</w:t>
      </w:r>
    </w:p>
    <w:p w14:paraId="4A552680" w14:textId="77777777" w:rsidR="00082E8F" w:rsidRPr="00082E8F" w:rsidRDefault="00082E8F" w:rsidP="000C6CB8">
      <w:pPr>
        <w:numPr>
          <w:ilvl w:val="0"/>
          <w:numId w:val="132"/>
        </w:numPr>
        <w:suppressAutoHyphens/>
        <w:autoSpaceDE w:val="0"/>
        <w:spacing w:after="0" w:line="276" w:lineRule="auto"/>
        <w:jc w:val="both"/>
        <w:rPr>
          <w:rFonts w:ascii="Arial" w:eastAsia="Calibri" w:hAnsi="Arial" w:cs="Arial"/>
          <w:lang w:eastAsia="zh-CN"/>
        </w:rPr>
      </w:pPr>
      <w:r w:rsidRPr="00082E8F">
        <w:rPr>
          <w:rFonts w:ascii="Arial" w:eastAsia="Calibri" w:hAnsi="Arial" w:cs="Arial"/>
          <w:lang w:eastAsia="zh-CN"/>
        </w:rPr>
        <w:t>lipsa unei autobaze;</w:t>
      </w:r>
    </w:p>
    <w:p w14:paraId="3FB2CF85" w14:textId="77777777" w:rsidR="00082E8F" w:rsidRPr="00082E8F" w:rsidRDefault="00082E8F" w:rsidP="000C6CB8">
      <w:pPr>
        <w:numPr>
          <w:ilvl w:val="0"/>
          <w:numId w:val="132"/>
        </w:numPr>
        <w:suppressAutoHyphens/>
        <w:autoSpaceDE w:val="0"/>
        <w:spacing w:after="0" w:line="276" w:lineRule="auto"/>
        <w:jc w:val="both"/>
        <w:rPr>
          <w:rFonts w:ascii="Arial" w:eastAsia="Calibri" w:hAnsi="Arial" w:cs="Arial"/>
          <w:lang w:eastAsia="zh-CN"/>
        </w:rPr>
      </w:pPr>
      <w:r w:rsidRPr="00082E8F">
        <w:rPr>
          <w:rFonts w:ascii="Arial" w:eastAsia="Calibri" w:hAnsi="Arial" w:cs="Arial"/>
          <w:lang w:eastAsia="zh-CN"/>
        </w:rPr>
        <w:t>lipsa stațiilor de transport public;</w:t>
      </w:r>
    </w:p>
    <w:p w14:paraId="49D0050C" w14:textId="77777777" w:rsidR="00082E8F" w:rsidRPr="00082E8F" w:rsidRDefault="00082E8F" w:rsidP="000C6CB8">
      <w:pPr>
        <w:numPr>
          <w:ilvl w:val="0"/>
          <w:numId w:val="132"/>
        </w:numPr>
        <w:suppressAutoHyphens/>
        <w:autoSpaceDE w:val="0"/>
        <w:spacing w:after="0" w:line="276" w:lineRule="auto"/>
        <w:jc w:val="both"/>
        <w:rPr>
          <w:rFonts w:ascii="Arial" w:eastAsia="Calibri" w:hAnsi="Arial" w:cs="Arial"/>
          <w:lang w:eastAsia="zh-CN"/>
        </w:rPr>
      </w:pPr>
      <w:r w:rsidRPr="00082E8F">
        <w:rPr>
          <w:rFonts w:ascii="Arial" w:eastAsia="Calibri" w:hAnsi="Arial" w:cs="Arial"/>
          <w:lang w:eastAsia="zh-CN"/>
        </w:rPr>
        <w:t>locuit</w:t>
      </w:r>
      <w:r w:rsidR="00FC2D32">
        <w:rPr>
          <w:rFonts w:ascii="Arial" w:eastAsia="Calibri" w:hAnsi="Arial" w:cs="Arial"/>
          <w:lang w:eastAsia="zh-CN"/>
        </w:rPr>
        <w:t>orii satelor componente ale oraşului Horezu nu beneficiază (cu excepţia localităţilor Romanii de Jos ş</w:t>
      </w:r>
      <w:r w:rsidRPr="00082E8F">
        <w:rPr>
          <w:rFonts w:ascii="Arial" w:eastAsia="Calibri" w:hAnsi="Arial" w:cs="Arial"/>
          <w:lang w:eastAsia="zh-CN"/>
        </w:rPr>
        <w:t>i Romanii de Sus) de r</w:t>
      </w:r>
      <w:r w:rsidR="00FC2D32">
        <w:rPr>
          <w:rFonts w:ascii="Arial" w:eastAsia="Calibri" w:hAnsi="Arial" w:cs="Arial"/>
          <w:lang w:eastAsia="zh-CN"/>
        </w:rPr>
        <w:t>ute de transport public, care să</w:t>
      </w:r>
      <w:r w:rsidRPr="00082E8F">
        <w:rPr>
          <w:rFonts w:ascii="Arial" w:eastAsia="Calibri" w:hAnsi="Arial" w:cs="Arial"/>
          <w:lang w:eastAsia="zh-CN"/>
        </w:rPr>
        <w:t xml:space="preserve"> le asigure accesul </w:t>
      </w:r>
      <w:r w:rsidR="00FC2D32">
        <w:rPr>
          <w:rFonts w:ascii="Arial" w:eastAsia="Calibri" w:hAnsi="Arial" w:cs="Arial"/>
          <w:lang w:eastAsia="zh-CN"/>
        </w:rPr>
        <w:t>la instituţiile ş</w:t>
      </w:r>
      <w:r w:rsidRPr="00082E8F">
        <w:rPr>
          <w:rFonts w:ascii="Arial" w:eastAsia="Calibri" w:hAnsi="Arial" w:cs="Arial"/>
          <w:lang w:eastAsia="zh-CN"/>
        </w:rPr>
        <w:t>i serviciile aflate pe raza orasulu</w:t>
      </w:r>
      <w:r w:rsidR="00FC2D32">
        <w:rPr>
          <w:rFonts w:ascii="Arial" w:eastAsia="Calibri" w:hAnsi="Arial" w:cs="Arial"/>
          <w:lang w:eastAsia="zh-CN"/>
        </w:rPr>
        <w:t>i, fiind nevoiţi astfel să recurgă</w:t>
      </w:r>
      <w:r w:rsidRPr="00082E8F">
        <w:rPr>
          <w:rFonts w:ascii="Arial" w:eastAsia="Calibri" w:hAnsi="Arial" w:cs="Arial"/>
          <w:lang w:eastAsia="zh-CN"/>
        </w:rPr>
        <w:t xml:space="preserve"> la transportul privat cu autoturisme.</w:t>
      </w:r>
    </w:p>
    <w:p w14:paraId="58C5BE25" w14:textId="77777777" w:rsidR="00DE4288" w:rsidRDefault="00DE4288" w:rsidP="00A32027">
      <w:pPr>
        <w:pStyle w:val="Titlu3"/>
        <w:rPr>
          <w:rFonts w:ascii="Arial" w:eastAsia="Calibri" w:hAnsi="Arial" w:cs="Arial"/>
          <w:sz w:val="24"/>
          <w:szCs w:val="24"/>
        </w:rPr>
      </w:pPr>
      <w:bookmarkStart w:id="103" w:name="_Toc142039055"/>
      <w:r w:rsidRPr="00A32027">
        <w:rPr>
          <w:rFonts w:ascii="Arial" w:eastAsia="Calibri" w:hAnsi="Arial" w:cs="Arial"/>
          <w:sz w:val="24"/>
          <w:szCs w:val="24"/>
        </w:rPr>
        <w:lastRenderedPageBreak/>
        <w:t xml:space="preserve">I.2.3.2 Transport public </w:t>
      </w:r>
      <w:bookmarkEnd w:id="99"/>
      <w:bookmarkEnd w:id="100"/>
      <w:r w:rsidRPr="00A32027">
        <w:rPr>
          <w:rFonts w:ascii="Arial" w:eastAsia="Calibri" w:hAnsi="Arial" w:cs="Arial"/>
          <w:sz w:val="24"/>
          <w:szCs w:val="24"/>
        </w:rPr>
        <w:t>judetean</w:t>
      </w:r>
      <w:bookmarkEnd w:id="103"/>
    </w:p>
    <w:p w14:paraId="351C7F10" w14:textId="77777777" w:rsidR="00FC2D32" w:rsidRPr="00FC2D32" w:rsidRDefault="00FC2D32" w:rsidP="00FC2D32">
      <w:pPr>
        <w:suppressAutoHyphens/>
        <w:autoSpaceDE w:val="0"/>
        <w:spacing w:after="0" w:line="276" w:lineRule="auto"/>
        <w:jc w:val="both"/>
        <w:rPr>
          <w:rFonts w:ascii="Arial" w:eastAsia="Calibri" w:hAnsi="Arial" w:cs="Arial"/>
          <w:color w:val="000000"/>
          <w:lang w:val="es-ES" w:eastAsia="zh-CN"/>
        </w:rPr>
      </w:pPr>
      <w:r w:rsidRPr="00FC2D32">
        <w:rPr>
          <w:rFonts w:ascii="Arial" w:eastAsia="Calibri" w:hAnsi="Arial" w:cs="Arial"/>
          <w:color w:val="000000"/>
          <w:lang w:val="es-ES" w:eastAsia="zh-CN"/>
        </w:rPr>
        <w:t>Programul judetean de transport al județului Valcea cuprinde un număr de 117 trasee</w:t>
      </w:r>
      <w:r>
        <w:rPr>
          <w:rFonts w:ascii="Arial" w:eastAsia="Calibri" w:hAnsi="Arial" w:cs="Arial"/>
          <w:color w:val="000000"/>
          <w:lang w:val="es-ES" w:eastAsia="zh-CN"/>
        </w:rPr>
        <w:t xml:space="preserve"> (108 î</w:t>
      </w:r>
      <w:r w:rsidRPr="00FC2D32">
        <w:rPr>
          <w:rFonts w:ascii="Arial" w:eastAsia="Calibri" w:hAnsi="Arial" w:cs="Arial"/>
          <w:color w:val="000000"/>
          <w:lang w:val="es-ES" w:eastAsia="zh-CN"/>
        </w:rPr>
        <w:t>n exploatare), din care 16 își au originea în Horezu.</w:t>
      </w:r>
    </w:p>
    <w:p w14:paraId="214358B0" w14:textId="77777777" w:rsidR="00FC2D32" w:rsidRPr="00FC2D32" w:rsidRDefault="00FC2D32" w:rsidP="00FC2D32">
      <w:pPr>
        <w:suppressAutoHyphens/>
        <w:autoSpaceDE w:val="0"/>
        <w:spacing w:after="0" w:line="360" w:lineRule="auto"/>
        <w:jc w:val="both"/>
        <w:rPr>
          <w:rFonts w:ascii="Arial" w:eastAsia="Calibri" w:hAnsi="Arial" w:cs="Arial"/>
          <w:color w:val="000000"/>
          <w:sz w:val="24"/>
          <w:szCs w:val="24"/>
          <w:lang w:val="es-ES" w:eastAsia="zh-CN"/>
        </w:rPr>
      </w:pPr>
    </w:p>
    <w:p w14:paraId="2FAE238B" w14:textId="77777777" w:rsidR="00FC2D32" w:rsidRPr="00FC2D32" w:rsidRDefault="00FC2D32" w:rsidP="00FC2D32">
      <w:pPr>
        <w:suppressAutoHyphens/>
        <w:autoSpaceDE w:val="0"/>
        <w:spacing w:after="0" w:line="276" w:lineRule="auto"/>
        <w:jc w:val="both"/>
        <w:rPr>
          <w:rFonts w:ascii="Arial" w:eastAsia="Calibri" w:hAnsi="Arial" w:cs="Arial"/>
          <w:lang w:val="es-ES" w:eastAsia="zh-CN"/>
        </w:rPr>
      </w:pPr>
      <w:r w:rsidRPr="00FC2D32">
        <w:rPr>
          <w:rFonts w:ascii="Arial" w:eastAsia="Calibri" w:hAnsi="Arial" w:cs="Arial"/>
          <w:color w:val="000000"/>
          <w:lang w:val="es-ES" w:eastAsia="zh-CN"/>
        </w:rPr>
        <w:t xml:space="preserve">Traseele curselor de transport public care fac legătura între Horezu şi localităţile din </w:t>
      </w:r>
      <w:r w:rsidRPr="00FC2D32">
        <w:rPr>
          <w:rFonts w:ascii="Arial" w:eastAsia="Calibri" w:hAnsi="Arial" w:cs="Arial"/>
          <w:lang w:val="es-ES" w:eastAsia="zh-CN"/>
        </w:rPr>
        <w:t>jude</w:t>
      </w:r>
      <w:r w:rsidRPr="00FC2D32">
        <w:rPr>
          <w:rFonts w:ascii="Arial" w:eastAsia="Calibri" w:hAnsi="Arial" w:cs="Arial"/>
          <w:color w:val="000000"/>
          <w:lang w:val="es-ES" w:eastAsia="zh-CN"/>
        </w:rPr>
        <w:t xml:space="preserve">ţ care </w:t>
      </w:r>
      <w:r w:rsidRPr="00FC2D32">
        <w:rPr>
          <w:rFonts w:ascii="Arial" w:eastAsia="Calibri" w:hAnsi="Arial" w:cs="Arial"/>
          <w:lang w:val="es-ES" w:eastAsia="zh-CN"/>
        </w:rPr>
        <w:t>se reg</w:t>
      </w:r>
      <w:r w:rsidRPr="00FC2D32">
        <w:rPr>
          <w:rFonts w:ascii="Arial" w:eastAsia="Calibri" w:hAnsi="Arial" w:cs="Arial"/>
          <w:color w:val="000000"/>
          <w:lang w:val="es-ES" w:eastAsia="zh-CN"/>
        </w:rPr>
        <w:t>ă</w:t>
      </w:r>
      <w:r w:rsidRPr="00FC2D32">
        <w:rPr>
          <w:rFonts w:ascii="Arial" w:eastAsia="Calibri" w:hAnsi="Arial" w:cs="Arial"/>
          <w:lang w:val="es-ES" w:eastAsia="zh-CN"/>
        </w:rPr>
        <w:t>sesc</w:t>
      </w:r>
      <w:r w:rsidRPr="00FC2D32">
        <w:rPr>
          <w:rFonts w:ascii="Arial" w:eastAsia="Calibri" w:hAnsi="Arial" w:cs="Arial"/>
          <w:color w:val="000000"/>
          <w:lang w:val="es-ES" w:eastAsia="zh-CN"/>
        </w:rPr>
        <w:t xml:space="preserve"> î</w:t>
      </w:r>
      <w:r w:rsidRPr="00FC2D32">
        <w:rPr>
          <w:rFonts w:ascii="Arial" w:eastAsia="Calibri" w:hAnsi="Arial" w:cs="Arial"/>
          <w:lang w:val="es-ES" w:eastAsia="zh-CN"/>
        </w:rPr>
        <w:t>n programul de transport jude</w:t>
      </w:r>
      <w:r w:rsidRPr="00FC2D32">
        <w:rPr>
          <w:rFonts w:ascii="Arial" w:eastAsia="Calibri" w:hAnsi="Arial" w:cs="Arial"/>
          <w:color w:val="000000"/>
          <w:lang w:val="es-ES" w:eastAsia="zh-CN"/>
        </w:rPr>
        <w:t>ţ</w:t>
      </w:r>
      <w:r w:rsidRPr="00FC2D32">
        <w:rPr>
          <w:rFonts w:ascii="Arial" w:eastAsia="Calibri" w:hAnsi="Arial" w:cs="Arial"/>
          <w:lang w:val="es-ES" w:eastAsia="zh-CN"/>
        </w:rPr>
        <w:t>ean sunt urm</w:t>
      </w:r>
      <w:r w:rsidRPr="00FC2D32">
        <w:rPr>
          <w:rFonts w:ascii="Arial" w:eastAsia="Calibri" w:hAnsi="Arial" w:cs="Arial"/>
          <w:color w:val="000000"/>
          <w:lang w:val="es-ES" w:eastAsia="zh-CN"/>
        </w:rPr>
        <w:t>ă</w:t>
      </w:r>
      <w:r w:rsidRPr="00FC2D32">
        <w:rPr>
          <w:rFonts w:ascii="Arial" w:eastAsia="Calibri" w:hAnsi="Arial" w:cs="Arial"/>
          <w:lang w:val="es-ES" w:eastAsia="zh-CN"/>
        </w:rPr>
        <w:t>toarele:</w:t>
      </w:r>
      <w:r w:rsidRPr="00FC2D32">
        <w:rPr>
          <w:rFonts w:ascii="Arial" w:eastAsia="Calibri" w:hAnsi="Arial" w:cs="Arial"/>
          <w:color w:val="000000"/>
          <w:lang w:val="es-ES" w:eastAsia="zh-CN"/>
        </w:rPr>
        <w:t xml:space="preserve"> </w:t>
      </w:r>
    </w:p>
    <w:p w14:paraId="46964989"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T024 = Horezu – </w:t>
      </w:r>
      <w:r>
        <w:rPr>
          <w:rFonts w:ascii="Arial" w:eastAsia="Calibri" w:hAnsi="Arial" w:cs="Arial"/>
          <w:lang w:eastAsia="zh-CN"/>
        </w:rPr>
        <w:t>Surpatele – Râmnicu Vâ</w:t>
      </w:r>
      <w:r w:rsidRPr="00FC2D32">
        <w:rPr>
          <w:rFonts w:ascii="Arial" w:eastAsia="Calibri" w:hAnsi="Arial" w:cs="Arial"/>
          <w:lang w:eastAsia="zh-CN"/>
        </w:rPr>
        <w:t>lcea = 56 km, 3 curse/zi;</w:t>
      </w:r>
    </w:p>
    <w:p w14:paraId="0E8FF5E6"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T025 = Horezu – Pietrari – Ramnicu Valcea = 45 k</w:t>
      </w:r>
      <w:r w:rsidR="000D0298">
        <w:rPr>
          <w:rFonts w:ascii="Arial" w:eastAsia="Calibri" w:hAnsi="Arial" w:cs="Arial"/>
          <w:lang w:eastAsia="zh-CN"/>
        </w:rPr>
        <w:t>m</w:t>
      </w:r>
      <w:r w:rsidRPr="00FC2D32">
        <w:rPr>
          <w:rFonts w:ascii="Arial" w:eastAsia="Calibri" w:hAnsi="Arial" w:cs="Arial"/>
          <w:lang w:eastAsia="zh-CN"/>
        </w:rPr>
        <w:t>;</w:t>
      </w:r>
    </w:p>
    <w:p w14:paraId="43D925F6"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T026 = Horezu – </w:t>
      </w:r>
      <w:r>
        <w:rPr>
          <w:rFonts w:ascii="Arial" w:eastAsia="Calibri" w:hAnsi="Arial" w:cs="Arial"/>
          <w:lang w:eastAsia="zh-CN"/>
        </w:rPr>
        <w:t>Platf. Chimică – Râmnicu Vâ</w:t>
      </w:r>
      <w:r w:rsidRPr="00FC2D32">
        <w:rPr>
          <w:rFonts w:ascii="Arial" w:eastAsia="Calibri" w:hAnsi="Arial" w:cs="Arial"/>
          <w:lang w:eastAsia="zh-CN"/>
        </w:rPr>
        <w:t>lcea = 45 km, 2 curse/zi;</w:t>
      </w:r>
    </w:p>
    <w:p w14:paraId="7C922B0D"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T027 = Horezu – </w:t>
      </w:r>
      <w:r>
        <w:rPr>
          <w:rFonts w:ascii="Arial" w:eastAsia="Calibri" w:hAnsi="Arial" w:cs="Arial"/>
          <w:lang w:eastAsia="zh-CN"/>
        </w:rPr>
        <w:t>Lădeşti – Drăgăş</w:t>
      </w:r>
      <w:r w:rsidRPr="00FC2D32">
        <w:rPr>
          <w:rFonts w:ascii="Arial" w:eastAsia="Calibri" w:hAnsi="Arial" w:cs="Arial"/>
          <w:lang w:eastAsia="zh-CN"/>
        </w:rPr>
        <w:t>ani = 89 km, 1 curs</w:t>
      </w:r>
      <w:r>
        <w:rPr>
          <w:rFonts w:ascii="Arial" w:eastAsia="Calibri" w:hAnsi="Arial" w:cs="Arial"/>
          <w:lang w:eastAsia="zh-CN"/>
        </w:rPr>
        <w:t>ă</w:t>
      </w:r>
      <w:r w:rsidRPr="00FC2D32">
        <w:rPr>
          <w:rFonts w:ascii="Arial" w:eastAsia="Calibri" w:hAnsi="Arial" w:cs="Arial"/>
          <w:lang w:eastAsia="zh-CN"/>
        </w:rPr>
        <w:t>/zi;</w:t>
      </w:r>
    </w:p>
    <w:p w14:paraId="0E8A8604"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T103 = Horezu – </w:t>
      </w:r>
      <w:r>
        <w:rPr>
          <w:rFonts w:ascii="Arial" w:eastAsia="Calibri" w:hAnsi="Arial" w:cs="Arial"/>
          <w:lang w:eastAsia="zh-CN"/>
        </w:rPr>
        <w:t>Mateeş</w:t>
      </w:r>
      <w:r w:rsidRPr="00FC2D32">
        <w:rPr>
          <w:rFonts w:ascii="Arial" w:eastAsia="Calibri" w:hAnsi="Arial" w:cs="Arial"/>
          <w:lang w:eastAsia="zh-CN"/>
        </w:rPr>
        <w:t>ti – Alunu = 38 km, 2 curse/zi;</w:t>
      </w:r>
    </w:p>
    <w:p w14:paraId="7343F754"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T104 = Horezu – </w:t>
      </w:r>
      <w:r>
        <w:rPr>
          <w:rFonts w:ascii="Arial" w:eastAsia="Calibri" w:hAnsi="Arial" w:cs="Arial"/>
          <w:lang w:eastAsia="zh-CN"/>
        </w:rPr>
        <w:t>Costeşti – Bărbăteş</w:t>
      </w:r>
      <w:r w:rsidRPr="00FC2D32">
        <w:rPr>
          <w:rFonts w:ascii="Arial" w:eastAsia="Calibri" w:hAnsi="Arial" w:cs="Arial"/>
          <w:lang w:eastAsia="zh-CN"/>
        </w:rPr>
        <w:t>ti = 34 km, 3 curse/zi;</w:t>
      </w:r>
    </w:p>
    <w:p w14:paraId="11745458"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T105 = Horezu – </w:t>
      </w:r>
      <w:r>
        <w:rPr>
          <w:rFonts w:ascii="Arial" w:eastAsia="Calibri" w:hAnsi="Arial" w:cs="Arial"/>
          <w:lang w:eastAsia="zh-CN"/>
        </w:rPr>
        <w:t>Măldăreşti – Cerniş</w:t>
      </w:r>
      <w:r w:rsidRPr="00FC2D32">
        <w:rPr>
          <w:rFonts w:ascii="Arial" w:eastAsia="Calibri" w:hAnsi="Arial" w:cs="Arial"/>
          <w:lang w:eastAsia="zh-CN"/>
        </w:rPr>
        <w:t>oara = 22 km, 3 curse/zi;</w:t>
      </w:r>
    </w:p>
    <w:p w14:paraId="36D46D24"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T106 = Horezu – </w:t>
      </w:r>
      <w:r>
        <w:rPr>
          <w:rFonts w:ascii="Arial" w:eastAsia="Calibri" w:hAnsi="Arial" w:cs="Arial"/>
          <w:lang w:eastAsia="zh-CN"/>
        </w:rPr>
        <w:t>Tomşani – Costeşti (Bistriţ</w:t>
      </w:r>
      <w:r w:rsidRPr="00FC2D32">
        <w:rPr>
          <w:rFonts w:ascii="Arial" w:eastAsia="Calibri" w:hAnsi="Arial" w:cs="Arial"/>
          <w:lang w:eastAsia="zh-CN"/>
        </w:rPr>
        <w:t>a) = 23 km, 3 curse/zi;</w:t>
      </w:r>
    </w:p>
    <w:p w14:paraId="0E6BC843"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T107 = Horezu – </w:t>
      </w:r>
      <w:r>
        <w:rPr>
          <w:rFonts w:ascii="Arial" w:eastAsia="Calibri" w:hAnsi="Arial" w:cs="Arial"/>
          <w:lang w:eastAsia="zh-CN"/>
        </w:rPr>
        <w:t>Foleş</w:t>
      </w:r>
      <w:r w:rsidRPr="00FC2D32">
        <w:rPr>
          <w:rFonts w:ascii="Arial" w:eastAsia="Calibri" w:hAnsi="Arial" w:cs="Arial"/>
          <w:lang w:eastAsia="zh-CN"/>
        </w:rPr>
        <w:t>ti – Genuneni = 16 km, 3 curse/zi;</w:t>
      </w:r>
    </w:p>
    <w:p w14:paraId="57EE5F12"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T108 = Horezu – </w:t>
      </w:r>
      <w:r>
        <w:rPr>
          <w:rFonts w:ascii="Arial" w:eastAsia="Calibri" w:hAnsi="Arial" w:cs="Arial"/>
          <w:lang w:eastAsia="zh-CN"/>
        </w:rPr>
        <w:t>Berbeşti – Grădiş</w:t>
      </w:r>
      <w:r w:rsidRPr="00FC2D32">
        <w:rPr>
          <w:rFonts w:ascii="Arial" w:eastAsia="Calibri" w:hAnsi="Arial" w:cs="Arial"/>
          <w:lang w:eastAsia="zh-CN"/>
        </w:rPr>
        <w:t>tea = 46 km, 2 curse/zi;</w:t>
      </w:r>
    </w:p>
    <w:p w14:paraId="6EC2203C"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T109 = Horezu – </w:t>
      </w:r>
      <w:r>
        <w:rPr>
          <w:rFonts w:ascii="Arial" w:eastAsia="Calibri" w:hAnsi="Arial" w:cs="Arial"/>
          <w:lang w:eastAsia="zh-CN"/>
        </w:rPr>
        <w:t>Popeşti – Lădeş</w:t>
      </w:r>
      <w:r w:rsidRPr="00FC2D32">
        <w:rPr>
          <w:rFonts w:ascii="Arial" w:eastAsia="Calibri" w:hAnsi="Arial" w:cs="Arial"/>
          <w:lang w:eastAsia="zh-CN"/>
        </w:rPr>
        <w:t>ti = 41 km, 1 cursa/zi;</w:t>
      </w:r>
    </w:p>
    <w:p w14:paraId="285B90D0"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T110 = Horezu – </w:t>
      </w:r>
      <w:r>
        <w:rPr>
          <w:rFonts w:ascii="Arial" w:eastAsia="Calibri" w:hAnsi="Arial" w:cs="Arial"/>
          <w:lang w:eastAsia="zh-CN"/>
        </w:rPr>
        <w:t>Stroesti – Lădeş</w:t>
      </w:r>
      <w:r w:rsidRPr="00FC2D32">
        <w:rPr>
          <w:rFonts w:ascii="Arial" w:eastAsia="Calibri" w:hAnsi="Arial" w:cs="Arial"/>
          <w:lang w:eastAsia="zh-CN"/>
        </w:rPr>
        <w:t>ti = 41 km, 3 curse/zi;</w:t>
      </w:r>
    </w:p>
    <w:p w14:paraId="5BCF4E82"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T111 = Horezu – </w:t>
      </w:r>
      <w:r>
        <w:rPr>
          <w:rFonts w:ascii="Arial" w:eastAsia="Calibri" w:hAnsi="Arial" w:cs="Arial"/>
          <w:lang w:eastAsia="zh-CN"/>
        </w:rPr>
        <w:t>Măldăreşti – Oţeş</w:t>
      </w:r>
      <w:r w:rsidRPr="00FC2D32">
        <w:rPr>
          <w:rFonts w:ascii="Arial" w:eastAsia="Calibri" w:hAnsi="Arial" w:cs="Arial"/>
          <w:lang w:eastAsia="zh-CN"/>
        </w:rPr>
        <w:t>ani = 26 km, 3 curse/zi;</w:t>
      </w:r>
    </w:p>
    <w:p w14:paraId="3B03ADFD"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T112 = Horezu – Romanii de Sus = 9 km, 3 curse/zi;</w:t>
      </w:r>
    </w:p>
    <w:p w14:paraId="173697CF"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T113 = Horezu – </w:t>
      </w:r>
      <w:r>
        <w:rPr>
          <w:rFonts w:ascii="Arial" w:eastAsia="Calibri" w:hAnsi="Arial" w:cs="Arial"/>
          <w:lang w:eastAsia="zh-CN"/>
        </w:rPr>
        <w:t>Slă</w:t>
      </w:r>
      <w:r w:rsidRPr="00FC2D32">
        <w:rPr>
          <w:rFonts w:ascii="Arial" w:eastAsia="Calibri" w:hAnsi="Arial" w:cs="Arial"/>
          <w:lang w:eastAsia="zh-CN"/>
        </w:rPr>
        <w:t>tioara – Rugetu = 14 km, 3 curse/zi;</w:t>
      </w:r>
    </w:p>
    <w:p w14:paraId="246A8BF6" w14:textId="77777777" w:rsidR="00FC2D32" w:rsidRPr="00FC2D32" w:rsidRDefault="00FC2D32" w:rsidP="006B613A">
      <w:pPr>
        <w:widowControl w:val="0"/>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T114 = Horezu – </w:t>
      </w:r>
      <w:r>
        <w:rPr>
          <w:rFonts w:ascii="Arial" w:eastAsia="Calibri" w:hAnsi="Arial" w:cs="Arial"/>
          <w:lang w:eastAsia="zh-CN"/>
        </w:rPr>
        <w:t>Vaideeni – Mariţ</w:t>
      </w:r>
      <w:r w:rsidRPr="00FC2D32">
        <w:rPr>
          <w:rFonts w:ascii="Arial" w:eastAsia="Calibri" w:hAnsi="Arial" w:cs="Arial"/>
          <w:lang w:eastAsia="zh-CN"/>
        </w:rPr>
        <w:t>a = 15 km, 3 curse/zi;</w:t>
      </w:r>
    </w:p>
    <w:p w14:paraId="268812D8" w14:textId="77777777" w:rsidR="00FC2D32" w:rsidRPr="00FC2D32" w:rsidRDefault="00FC2D32" w:rsidP="00FC2D32">
      <w:pPr>
        <w:suppressAutoHyphens/>
        <w:autoSpaceDE w:val="0"/>
        <w:spacing w:after="0" w:line="276" w:lineRule="auto"/>
        <w:jc w:val="both"/>
        <w:rPr>
          <w:rFonts w:ascii="Arial" w:eastAsia="Calibri" w:hAnsi="Arial" w:cs="Arial"/>
          <w:lang w:eastAsia="zh-CN"/>
        </w:rPr>
      </w:pPr>
    </w:p>
    <w:p w14:paraId="4D479DF8" w14:textId="77777777" w:rsidR="00FC2D32" w:rsidRPr="00FC2D32" w:rsidRDefault="00FC2D32" w:rsidP="00FC2D32">
      <w:p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Traseul 112 poate fi considerat</w:t>
      </w:r>
      <w:r>
        <w:rPr>
          <w:rFonts w:ascii="Arial" w:eastAsia="Calibri" w:hAnsi="Arial" w:cs="Arial"/>
          <w:lang w:eastAsia="zh-CN"/>
        </w:rPr>
        <w:t xml:space="preserve"> de tip local deoarece face legătura între oraşul Horezu ş</w:t>
      </w:r>
      <w:r w:rsidRPr="00FC2D32">
        <w:rPr>
          <w:rFonts w:ascii="Arial" w:eastAsia="Calibri" w:hAnsi="Arial" w:cs="Arial"/>
          <w:lang w:eastAsia="zh-CN"/>
        </w:rPr>
        <w:t>i 2 din sa</w:t>
      </w:r>
      <w:r>
        <w:rPr>
          <w:rFonts w:ascii="Arial" w:eastAsia="Calibri" w:hAnsi="Arial" w:cs="Arial"/>
          <w:lang w:eastAsia="zh-CN"/>
        </w:rPr>
        <w:t>tele componente Romanii de Jos ş</w:t>
      </w:r>
      <w:r w:rsidRPr="00FC2D32">
        <w:rPr>
          <w:rFonts w:ascii="Arial" w:eastAsia="Calibri" w:hAnsi="Arial" w:cs="Arial"/>
          <w:lang w:eastAsia="zh-CN"/>
        </w:rPr>
        <w:t>i Ro</w:t>
      </w:r>
      <w:r>
        <w:rPr>
          <w:rFonts w:ascii="Arial" w:eastAsia="Calibri" w:hAnsi="Arial" w:cs="Arial"/>
          <w:lang w:eastAsia="zh-CN"/>
        </w:rPr>
        <w:t>manii de Sus. Celelalte localităţ</w:t>
      </w:r>
      <w:r w:rsidRPr="00FC2D32">
        <w:rPr>
          <w:rFonts w:ascii="Arial" w:eastAsia="Calibri" w:hAnsi="Arial" w:cs="Arial"/>
          <w:lang w:eastAsia="zh-CN"/>
        </w:rPr>
        <w:t>i</w:t>
      </w:r>
      <w:r>
        <w:rPr>
          <w:rFonts w:ascii="Arial" w:eastAsia="Calibri" w:hAnsi="Arial" w:cs="Arial"/>
          <w:lang w:eastAsia="zh-CN"/>
        </w:rPr>
        <w:t xml:space="preserve"> componente nu beneficiază</w:t>
      </w:r>
      <w:r w:rsidRPr="00FC2D32">
        <w:rPr>
          <w:rFonts w:ascii="Arial" w:eastAsia="Calibri" w:hAnsi="Arial" w:cs="Arial"/>
          <w:lang w:eastAsia="zh-CN"/>
        </w:rPr>
        <w:t xml:space="preserve"> de niciun </w:t>
      </w:r>
      <w:r>
        <w:rPr>
          <w:rFonts w:ascii="Arial" w:eastAsia="Calibri" w:hAnsi="Arial" w:cs="Arial"/>
          <w:lang w:eastAsia="zh-CN"/>
        </w:rPr>
        <w:t>traseu de transport public judeţean, asta şi datorită amplasării geografice şi a numă</w:t>
      </w:r>
      <w:r w:rsidRPr="00FC2D32">
        <w:rPr>
          <w:rFonts w:ascii="Arial" w:eastAsia="Calibri" w:hAnsi="Arial" w:cs="Arial"/>
          <w:lang w:eastAsia="zh-CN"/>
        </w:rPr>
        <w:t>rului redus de locuitori.</w:t>
      </w:r>
    </w:p>
    <w:p w14:paraId="4F840118" w14:textId="77777777" w:rsidR="00FC2D32" w:rsidRPr="00FC2D32" w:rsidRDefault="00FC2D32" w:rsidP="00FC2D32">
      <w:pPr>
        <w:suppressAutoHyphens/>
        <w:autoSpaceDE w:val="0"/>
        <w:spacing w:after="0" w:line="276" w:lineRule="auto"/>
        <w:jc w:val="both"/>
        <w:rPr>
          <w:rFonts w:ascii="Arial" w:eastAsia="Calibri" w:hAnsi="Arial" w:cs="Arial"/>
          <w:lang w:eastAsia="zh-CN"/>
        </w:rPr>
      </w:pPr>
    </w:p>
    <w:p w14:paraId="162AD2EF" w14:textId="77777777" w:rsidR="00FC2D32" w:rsidRPr="00FC2D32" w:rsidRDefault="00FC2D32" w:rsidP="00FC2D32">
      <w:p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Numărul călătorilor care fac naveta din sau spre Horezu pe fiecare dintre traseele de mai sus se încadrează între 10 și 20.</w:t>
      </w:r>
    </w:p>
    <w:p w14:paraId="03EACCCE" w14:textId="77777777" w:rsidR="00FC2D32" w:rsidRPr="00FC2D32" w:rsidRDefault="00FC2D32" w:rsidP="00FC2D32">
      <w:pPr>
        <w:suppressAutoHyphens/>
        <w:autoSpaceDE w:val="0"/>
        <w:spacing w:after="0" w:line="276" w:lineRule="auto"/>
        <w:jc w:val="both"/>
        <w:rPr>
          <w:rFonts w:ascii="Arial" w:eastAsia="Calibri" w:hAnsi="Arial" w:cs="Arial"/>
          <w:lang w:eastAsia="zh-CN"/>
        </w:rPr>
      </w:pPr>
    </w:p>
    <w:p w14:paraId="61BFB43B" w14:textId="77777777" w:rsidR="00FC2D32" w:rsidRPr="00FC2D32" w:rsidRDefault="00FC2D32" w:rsidP="00FC2D32">
      <w:pPr>
        <w:suppressAutoHyphens/>
        <w:autoSpaceDE w:val="0"/>
        <w:spacing w:after="0" w:line="276" w:lineRule="auto"/>
        <w:jc w:val="both"/>
        <w:rPr>
          <w:rFonts w:ascii="Arial" w:eastAsia="Calibri" w:hAnsi="Arial" w:cs="Arial"/>
          <w:lang w:eastAsia="zh-CN"/>
        </w:rPr>
      </w:pPr>
      <w:r>
        <w:rPr>
          <w:rFonts w:ascii="Arial" w:eastAsia="Calibri" w:hAnsi="Arial" w:cs="Arial"/>
          <w:lang w:eastAsia="zh-CN"/>
        </w:rPr>
        <w:t>Traseelor judeţene li se adaugă</w:t>
      </w:r>
      <w:r w:rsidRPr="00FC2D32">
        <w:rPr>
          <w:rFonts w:ascii="Arial" w:eastAsia="Calibri" w:hAnsi="Arial" w:cs="Arial"/>
          <w:lang w:eastAsia="zh-CN"/>
        </w:rPr>
        <w:t xml:space="preserve"> traseele interurbane:</w:t>
      </w:r>
    </w:p>
    <w:p w14:paraId="12721A85" w14:textId="77777777" w:rsidR="00FC2D32" w:rsidRPr="00FC2D32" w:rsidRDefault="00FC2D32" w:rsidP="006B613A">
      <w:pPr>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Horezu – Craiova = 2 curse/zi;</w:t>
      </w:r>
    </w:p>
    <w:p w14:paraId="3E70270D" w14:textId="77777777" w:rsidR="00FC2D32" w:rsidRPr="00FC2D32" w:rsidRDefault="00FC2D32" w:rsidP="006B613A">
      <w:pPr>
        <w:numPr>
          <w:ilvl w:val="0"/>
          <w:numId w:val="56"/>
        </w:num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Horezu – Tg. Jiu = 2 curse/zi;</w:t>
      </w:r>
    </w:p>
    <w:p w14:paraId="6F96E32E" w14:textId="77777777" w:rsidR="00FC2D32" w:rsidRPr="00FC2D32" w:rsidRDefault="00FC2D32" w:rsidP="006B613A">
      <w:pPr>
        <w:numPr>
          <w:ilvl w:val="0"/>
          <w:numId w:val="56"/>
        </w:numPr>
        <w:suppressAutoHyphens/>
        <w:autoSpaceDE w:val="0"/>
        <w:spacing w:after="0" w:line="276" w:lineRule="auto"/>
        <w:jc w:val="both"/>
        <w:rPr>
          <w:rFonts w:ascii="Arial" w:eastAsia="Calibri" w:hAnsi="Arial" w:cs="Arial"/>
          <w:lang w:eastAsia="zh-CN"/>
        </w:rPr>
      </w:pPr>
      <w:r>
        <w:rPr>
          <w:rFonts w:ascii="Arial" w:eastAsia="Calibri" w:hAnsi="Arial" w:cs="Arial"/>
          <w:lang w:eastAsia="zh-CN"/>
        </w:rPr>
        <w:t>Horezu – Bucureşti = 1 cursă</w:t>
      </w:r>
      <w:r w:rsidRPr="00FC2D32">
        <w:rPr>
          <w:rFonts w:ascii="Arial" w:eastAsia="Calibri" w:hAnsi="Arial" w:cs="Arial"/>
          <w:lang w:eastAsia="zh-CN"/>
        </w:rPr>
        <w:t>/zi;</w:t>
      </w:r>
    </w:p>
    <w:p w14:paraId="0A96442A" w14:textId="77777777" w:rsidR="00FC2D32" w:rsidRPr="00FC2D32" w:rsidRDefault="00FC2D32" w:rsidP="006B613A">
      <w:pPr>
        <w:numPr>
          <w:ilvl w:val="0"/>
          <w:numId w:val="56"/>
        </w:numPr>
        <w:suppressAutoHyphens/>
        <w:autoSpaceDE w:val="0"/>
        <w:spacing w:after="0" w:line="276" w:lineRule="auto"/>
        <w:jc w:val="both"/>
        <w:rPr>
          <w:rFonts w:ascii="Arial" w:eastAsia="Calibri" w:hAnsi="Arial" w:cs="Arial"/>
          <w:lang w:eastAsia="zh-CN"/>
        </w:rPr>
      </w:pPr>
      <w:r>
        <w:rPr>
          <w:rFonts w:ascii="Arial" w:eastAsia="Calibri" w:hAnsi="Arial" w:cs="Arial"/>
          <w:lang w:eastAsia="zh-CN"/>
        </w:rPr>
        <w:t>Horezu – Petroş</w:t>
      </w:r>
      <w:r w:rsidRPr="00FC2D32">
        <w:rPr>
          <w:rFonts w:ascii="Arial" w:eastAsia="Calibri" w:hAnsi="Arial" w:cs="Arial"/>
          <w:lang w:eastAsia="zh-CN"/>
        </w:rPr>
        <w:t>ani = 2 curse/zi;</w:t>
      </w:r>
    </w:p>
    <w:p w14:paraId="41C1BAD3" w14:textId="77777777" w:rsidR="00FC2D32" w:rsidRPr="00FC2D32" w:rsidRDefault="00FC2D32" w:rsidP="006B613A">
      <w:pPr>
        <w:numPr>
          <w:ilvl w:val="0"/>
          <w:numId w:val="56"/>
        </w:numPr>
        <w:suppressAutoHyphens/>
        <w:autoSpaceDE w:val="0"/>
        <w:spacing w:after="0" w:line="276" w:lineRule="auto"/>
        <w:jc w:val="both"/>
        <w:rPr>
          <w:rFonts w:ascii="Arial" w:eastAsia="Calibri" w:hAnsi="Arial" w:cs="Arial"/>
          <w:lang w:eastAsia="zh-CN"/>
        </w:rPr>
      </w:pPr>
      <w:r>
        <w:rPr>
          <w:rFonts w:ascii="Arial" w:eastAsia="Calibri" w:hAnsi="Arial" w:cs="Arial"/>
          <w:lang w:eastAsia="zh-CN"/>
        </w:rPr>
        <w:t>Horezu – Timiş</w:t>
      </w:r>
      <w:r w:rsidRPr="00FC2D32">
        <w:rPr>
          <w:rFonts w:ascii="Arial" w:eastAsia="Calibri" w:hAnsi="Arial" w:cs="Arial"/>
          <w:lang w:eastAsia="zh-CN"/>
        </w:rPr>
        <w:t>oara = 1 cursa/zi.</w:t>
      </w:r>
    </w:p>
    <w:p w14:paraId="40291A00" w14:textId="77777777" w:rsidR="00FC2D32" w:rsidRPr="00FC2D32" w:rsidRDefault="00FC2D32" w:rsidP="00FC2D32">
      <w:pPr>
        <w:autoSpaceDE w:val="0"/>
        <w:spacing w:after="0"/>
        <w:jc w:val="both"/>
        <w:rPr>
          <w:rFonts w:ascii="Arial" w:eastAsia="Calibri" w:hAnsi="Arial" w:cs="Arial"/>
        </w:rPr>
      </w:pPr>
    </w:p>
    <w:p w14:paraId="03D75AAE" w14:textId="77777777" w:rsidR="00FC2D32" w:rsidRPr="00FC2D32" w:rsidRDefault="00FC2D32" w:rsidP="00FC2D32">
      <w:pPr>
        <w:suppressAutoHyphens/>
        <w:autoSpaceDE w:val="0"/>
        <w:spacing w:after="0" w:line="276" w:lineRule="auto"/>
        <w:jc w:val="both"/>
        <w:rPr>
          <w:rFonts w:ascii="Arial" w:eastAsia="Calibri" w:hAnsi="Arial" w:cs="Arial"/>
          <w:color w:val="000000"/>
          <w:lang w:val="es-ES" w:eastAsia="zh-CN"/>
        </w:rPr>
      </w:pPr>
      <w:r w:rsidRPr="00FC2D32">
        <w:rPr>
          <w:rFonts w:ascii="Arial" w:eastAsia="Calibri" w:hAnsi="Arial" w:cs="Arial"/>
          <w:color w:val="000000"/>
          <w:lang w:val="es-ES" w:eastAsia="zh-CN"/>
        </w:rPr>
        <w:t>Pe teritoriul orasului Horezu există 3 autogări, care deservesc atât transportul public județean, cât și pe cel interurban.</w:t>
      </w:r>
    </w:p>
    <w:p w14:paraId="77BE6F2B" w14:textId="77777777" w:rsidR="00FC2D32" w:rsidRPr="00FC2D32" w:rsidRDefault="00FC2D32" w:rsidP="00FC2D32">
      <w:pPr>
        <w:suppressAutoHyphens/>
        <w:autoSpaceDE w:val="0"/>
        <w:spacing w:after="0" w:line="360" w:lineRule="auto"/>
        <w:jc w:val="both"/>
        <w:rPr>
          <w:rFonts w:ascii="Arial" w:eastAsia="Calibri" w:hAnsi="Arial" w:cs="Arial"/>
          <w:color w:val="000000"/>
          <w:sz w:val="24"/>
          <w:szCs w:val="24"/>
          <w:lang w:val="es-ES" w:eastAsia="zh-CN"/>
        </w:rPr>
      </w:pPr>
    </w:p>
    <w:p w14:paraId="5FBBBA08" w14:textId="77777777" w:rsidR="00FC2D32" w:rsidRPr="00FC2D32" w:rsidRDefault="00FC2D32" w:rsidP="00FC2D32">
      <w:pPr>
        <w:suppressAutoHyphens/>
        <w:autoSpaceDE w:val="0"/>
        <w:spacing w:after="0" w:line="360" w:lineRule="auto"/>
        <w:jc w:val="center"/>
        <w:rPr>
          <w:rFonts w:ascii="Arial" w:eastAsia="Calibri" w:hAnsi="Arial" w:cs="Arial"/>
          <w:color w:val="000000"/>
          <w:sz w:val="24"/>
          <w:szCs w:val="24"/>
          <w:lang w:eastAsia="zh-CN"/>
        </w:rPr>
      </w:pPr>
      <w:r w:rsidRPr="00FC2D32">
        <w:rPr>
          <w:rFonts w:ascii="Arial" w:eastAsia="Calibri" w:hAnsi="Arial" w:cs="Arial"/>
          <w:noProof/>
          <w:color w:val="000000"/>
          <w:sz w:val="24"/>
          <w:szCs w:val="24"/>
        </w:rPr>
        <w:lastRenderedPageBreak/>
        <w:drawing>
          <wp:inline distT="0" distB="0" distL="0" distR="0" wp14:anchorId="2C16FD09" wp14:editId="08F600D7">
            <wp:extent cx="4933506" cy="6574391"/>
            <wp:effectExtent l="0" t="0" r="635" b="0"/>
            <wp:docPr id="151" name="Picture 151" descr="E:\Horezu\Materiale lucru\Poze\IMG_20211111_124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Horezu\Materiale lucru\Poze\IMG_20211111_124046.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29219" cy="6568678"/>
                    </a:xfrm>
                    <a:prstGeom prst="rect">
                      <a:avLst/>
                    </a:prstGeom>
                    <a:noFill/>
                    <a:ln>
                      <a:noFill/>
                    </a:ln>
                  </pic:spPr>
                </pic:pic>
              </a:graphicData>
            </a:graphic>
          </wp:inline>
        </w:drawing>
      </w:r>
    </w:p>
    <w:p w14:paraId="3FDCB706" w14:textId="404D9A13" w:rsidR="00FC2D32" w:rsidRPr="00FC2D32" w:rsidRDefault="00FC2D32" w:rsidP="00FC2D32">
      <w:pPr>
        <w:pStyle w:val="Legend"/>
        <w:jc w:val="center"/>
        <w:rPr>
          <w:rFonts w:ascii="Arial" w:eastAsia="Calibri" w:hAnsi="Arial" w:cs="Arial"/>
          <w:i w:val="0"/>
          <w:color w:val="000000"/>
          <w:sz w:val="22"/>
          <w:szCs w:val="22"/>
          <w:lang w:eastAsia="zh-CN"/>
        </w:rPr>
      </w:pPr>
      <w:bookmarkStart w:id="104" w:name="_Toc140744464"/>
      <w:r w:rsidRPr="00FC2D32">
        <w:rPr>
          <w:rFonts w:ascii="Arial" w:hAnsi="Arial" w:cs="Arial"/>
          <w:sz w:val="22"/>
          <w:szCs w:val="22"/>
        </w:rPr>
        <w:t xml:space="preserve">Figura I.2. </w:t>
      </w:r>
      <w:r w:rsidRPr="00FC2D32">
        <w:rPr>
          <w:rFonts w:ascii="Arial" w:hAnsi="Arial" w:cs="Arial"/>
          <w:sz w:val="22"/>
          <w:szCs w:val="22"/>
        </w:rPr>
        <w:fldChar w:fldCharType="begin"/>
      </w:r>
      <w:r w:rsidRPr="00FC2D32">
        <w:rPr>
          <w:rFonts w:ascii="Arial" w:hAnsi="Arial" w:cs="Arial"/>
          <w:sz w:val="22"/>
          <w:szCs w:val="22"/>
        </w:rPr>
        <w:instrText xml:space="preserve"> SEQ Figura_I.2. \* ARABIC </w:instrText>
      </w:r>
      <w:r w:rsidRPr="00FC2D32">
        <w:rPr>
          <w:rFonts w:ascii="Arial" w:hAnsi="Arial" w:cs="Arial"/>
          <w:sz w:val="22"/>
          <w:szCs w:val="22"/>
        </w:rPr>
        <w:fldChar w:fldCharType="separate"/>
      </w:r>
      <w:r w:rsidR="00BB181C">
        <w:rPr>
          <w:rFonts w:ascii="Arial" w:hAnsi="Arial" w:cs="Arial"/>
          <w:noProof/>
          <w:sz w:val="22"/>
          <w:szCs w:val="22"/>
        </w:rPr>
        <w:t>22</w:t>
      </w:r>
      <w:r w:rsidRPr="00FC2D32">
        <w:rPr>
          <w:rFonts w:ascii="Arial" w:hAnsi="Arial" w:cs="Arial"/>
          <w:sz w:val="22"/>
          <w:szCs w:val="22"/>
        </w:rPr>
        <w:fldChar w:fldCharType="end"/>
      </w:r>
      <w:r w:rsidRPr="00FC2D32">
        <w:rPr>
          <w:rFonts w:ascii="Arial" w:hAnsi="Arial" w:cs="Arial"/>
          <w:sz w:val="22"/>
          <w:szCs w:val="22"/>
        </w:rPr>
        <w:t xml:space="preserve"> </w:t>
      </w:r>
      <w:r w:rsidRPr="00FC2D32">
        <w:rPr>
          <w:rFonts w:ascii="Arial" w:hAnsi="Arial" w:cs="Arial"/>
          <w:color w:val="1F497D"/>
          <w:sz w:val="22"/>
          <w:szCs w:val="22"/>
        </w:rPr>
        <w:t xml:space="preserve">- </w:t>
      </w:r>
      <w:r w:rsidRPr="00FC2D32">
        <w:rPr>
          <w:rFonts w:ascii="Arial" w:hAnsi="Arial" w:cs="Arial"/>
          <w:i w:val="0"/>
          <w:color w:val="1F497D"/>
          <w:sz w:val="22"/>
          <w:szCs w:val="22"/>
        </w:rPr>
        <w:t>Autogara Siva Trans str. Tudor Vladimirescu</w:t>
      </w:r>
      <w:bookmarkEnd w:id="104"/>
    </w:p>
    <w:p w14:paraId="11662D29" w14:textId="77777777" w:rsidR="00FC2D32" w:rsidRPr="00FC2D32" w:rsidRDefault="00FC2D32" w:rsidP="00FC2D32">
      <w:pPr>
        <w:suppressAutoHyphens/>
        <w:autoSpaceDE w:val="0"/>
        <w:spacing w:after="0" w:line="360" w:lineRule="auto"/>
        <w:jc w:val="center"/>
        <w:rPr>
          <w:rFonts w:ascii="Arial" w:eastAsia="Calibri" w:hAnsi="Arial" w:cs="Arial"/>
          <w:color w:val="000000"/>
          <w:sz w:val="24"/>
          <w:szCs w:val="24"/>
          <w:lang w:eastAsia="zh-CN"/>
        </w:rPr>
      </w:pPr>
    </w:p>
    <w:p w14:paraId="17DF386B" w14:textId="77777777" w:rsidR="00FC2D32" w:rsidRPr="00FC2D32" w:rsidRDefault="00FC2D32" w:rsidP="00FC2D32">
      <w:pPr>
        <w:suppressAutoHyphens/>
        <w:autoSpaceDE w:val="0"/>
        <w:spacing w:after="0" w:line="360" w:lineRule="auto"/>
        <w:jc w:val="center"/>
        <w:rPr>
          <w:rFonts w:ascii="Calibri" w:hAnsi="Calibri" w:cs="Times New Roman"/>
          <w:noProof/>
          <w:lang w:val="ro-RO" w:eastAsia="ro-RO"/>
        </w:rPr>
      </w:pPr>
    </w:p>
    <w:p w14:paraId="69840F06" w14:textId="77777777" w:rsidR="00FC2D32" w:rsidRPr="00FC2D32" w:rsidRDefault="00FC2D32" w:rsidP="00FC2D32">
      <w:pPr>
        <w:suppressAutoHyphens/>
        <w:autoSpaceDE w:val="0"/>
        <w:spacing w:after="0" w:line="360" w:lineRule="auto"/>
        <w:jc w:val="center"/>
        <w:rPr>
          <w:rFonts w:ascii="Calibri" w:hAnsi="Calibri" w:cs="Times New Roman"/>
          <w:noProof/>
          <w:lang w:val="ro-RO" w:eastAsia="ro-RO"/>
        </w:rPr>
      </w:pPr>
    </w:p>
    <w:p w14:paraId="0A415531" w14:textId="77777777" w:rsidR="00FC2D32" w:rsidRPr="00FC2D32" w:rsidRDefault="00FC2D32" w:rsidP="00FC2D32">
      <w:pPr>
        <w:suppressAutoHyphens/>
        <w:autoSpaceDE w:val="0"/>
        <w:spacing w:after="0" w:line="360" w:lineRule="auto"/>
        <w:jc w:val="center"/>
        <w:rPr>
          <w:rFonts w:ascii="EUAlbertina" w:eastAsia="Calibri" w:hAnsi="EUAlbertina" w:cs="EUAlbertina"/>
          <w:noProof/>
          <w:color w:val="000000"/>
          <w:sz w:val="24"/>
          <w:szCs w:val="24"/>
          <w:lang w:val="ro-RO" w:eastAsia="ro-RO"/>
        </w:rPr>
      </w:pPr>
      <w:r w:rsidRPr="00FC2D32">
        <w:rPr>
          <w:rFonts w:ascii="Calibri" w:hAnsi="Calibri" w:cs="Times New Roman"/>
          <w:noProof/>
        </w:rPr>
        <w:lastRenderedPageBreak/>
        <w:drawing>
          <wp:inline distT="0" distB="0" distL="0" distR="0" wp14:anchorId="608ADEEB" wp14:editId="4A96BAA8">
            <wp:extent cx="4614530" cy="1977656"/>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19751" t="14559" r="3024" b="26571"/>
                    <a:stretch/>
                  </pic:blipFill>
                  <pic:spPr bwMode="auto">
                    <a:xfrm>
                      <a:off x="0" y="0"/>
                      <a:ext cx="4612454" cy="1976766"/>
                    </a:xfrm>
                    <a:prstGeom prst="rect">
                      <a:avLst/>
                    </a:prstGeom>
                    <a:ln>
                      <a:noFill/>
                    </a:ln>
                    <a:extLst>
                      <a:ext uri="{53640926-AAD7-44D8-BBD7-CCE9431645EC}">
                        <a14:shadowObscured xmlns:a14="http://schemas.microsoft.com/office/drawing/2010/main"/>
                      </a:ext>
                    </a:extLst>
                  </pic:spPr>
                </pic:pic>
              </a:graphicData>
            </a:graphic>
          </wp:inline>
        </w:drawing>
      </w:r>
    </w:p>
    <w:p w14:paraId="076DDD85" w14:textId="6EE2325C" w:rsidR="00FC2D32" w:rsidRDefault="00FC2D32" w:rsidP="00FC2D32">
      <w:pPr>
        <w:pStyle w:val="Legend"/>
        <w:jc w:val="center"/>
        <w:rPr>
          <w:rFonts w:ascii="Arial" w:hAnsi="Arial" w:cs="Arial"/>
          <w:i w:val="0"/>
          <w:color w:val="1F497D"/>
          <w:sz w:val="22"/>
          <w:szCs w:val="22"/>
        </w:rPr>
      </w:pPr>
      <w:bookmarkStart w:id="105" w:name="_Toc140744465"/>
      <w:r w:rsidRPr="00FC2D32">
        <w:rPr>
          <w:rFonts w:ascii="Arial" w:hAnsi="Arial" w:cs="Arial"/>
          <w:sz w:val="22"/>
          <w:szCs w:val="22"/>
        </w:rPr>
        <w:t xml:space="preserve">Figura I.2. </w:t>
      </w:r>
      <w:r w:rsidRPr="00FC2D32">
        <w:rPr>
          <w:rFonts w:ascii="Arial" w:hAnsi="Arial" w:cs="Arial"/>
          <w:sz w:val="22"/>
          <w:szCs w:val="22"/>
        </w:rPr>
        <w:fldChar w:fldCharType="begin"/>
      </w:r>
      <w:r w:rsidRPr="00FC2D32">
        <w:rPr>
          <w:rFonts w:ascii="Arial" w:hAnsi="Arial" w:cs="Arial"/>
          <w:sz w:val="22"/>
          <w:szCs w:val="22"/>
        </w:rPr>
        <w:instrText xml:space="preserve"> SEQ Figura_I.2. \* ARABIC </w:instrText>
      </w:r>
      <w:r w:rsidRPr="00FC2D32">
        <w:rPr>
          <w:rFonts w:ascii="Arial" w:hAnsi="Arial" w:cs="Arial"/>
          <w:sz w:val="22"/>
          <w:szCs w:val="22"/>
        </w:rPr>
        <w:fldChar w:fldCharType="separate"/>
      </w:r>
      <w:r w:rsidR="00BB181C">
        <w:rPr>
          <w:rFonts w:ascii="Arial" w:hAnsi="Arial" w:cs="Arial"/>
          <w:noProof/>
          <w:sz w:val="22"/>
          <w:szCs w:val="22"/>
        </w:rPr>
        <w:t>23</w:t>
      </w:r>
      <w:r w:rsidRPr="00FC2D32">
        <w:rPr>
          <w:rFonts w:ascii="Arial" w:hAnsi="Arial" w:cs="Arial"/>
          <w:sz w:val="22"/>
          <w:szCs w:val="22"/>
        </w:rPr>
        <w:fldChar w:fldCharType="end"/>
      </w:r>
      <w:r w:rsidRPr="00FC2D32">
        <w:rPr>
          <w:rFonts w:ascii="Arial" w:hAnsi="Arial" w:cs="Arial"/>
          <w:sz w:val="22"/>
          <w:szCs w:val="22"/>
        </w:rPr>
        <w:t xml:space="preserve"> </w:t>
      </w:r>
      <w:r w:rsidRPr="00FC2D32">
        <w:rPr>
          <w:rFonts w:ascii="Arial" w:hAnsi="Arial" w:cs="Arial"/>
          <w:color w:val="1F497D"/>
          <w:sz w:val="22"/>
          <w:szCs w:val="22"/>
        </w:rPr>
        <w:t xml:space="preserve">- </w:t>
      </w:r>
      <w:r w:rsidRPr="00FC2D32">
        <w:rPr>
          <w:rFonts w:ascii="Arial" w:hAnsi="Arial" w:cs="Arial"/>
          <w:i w:val="0"/>
          <w:color w:val="1F497D"/>
          <w:sz w:val="22"/>
          <w:szCs w:val="22"/>
        </w:rPr>
        <w:t>Autogara Transmontana str. Gen. Magheru</w:t>
      </w:r>
      <w:bookmarkEnd w:id="105"/>
    </w:p>
    <w:p w14:paraId="1CD7EAF2" w14:textId="77777777" w:rsidR="00FC2D32" w:rsidRPr="00FC2D32" w:rsidRDefault="00FC2D32" w:rsidP="00FC2D32">
      <w:pPr>
        <w:rPr>
          <w:lang w:eastAsia="zh-CN"/>
        </w:rPr>
      </w:pPr>
    </w:p>
    <w:p w14:paraId="225CFF29" w14:textId="77777777" w:rsidR="00FC2D32" w:rsidRPr="00FC2D32" w:rsidRDefault="00FC2D32" w:rsidP="00FC2D32">
      <w:pPr>
        <w:suppressAutoHyphens/>
        <w:autoSpaceDE w:val="0"/>
        <w:spacing w:after="0" w:line="360" w:lineRule="auto"/>
        <w:jc w:val="center"/>
        <w:rPr>
          <w:rFonts w:ascii="Arial" w:eastAsia="Calibri" w:hAnsi="Arial" w:cs="Arial"/>
          <w:color w:val="000000"/>
          <w:sz w:val="24"/>
          <w:szCs w:val="24"/>
          <w:lang w:eastAsia="zh-CN"/>
        </w:rPr>
      </w:pPr>
      <w:r w:rsidRPr="00FC2D32">
        <w:rPr>
          <w:rFonts w:ascii="Arial" w:eastAsia="Calibri" w:hAnsi="Arial" w:cs="Arial"/>
          <w:noProof/>
          <w:color w:val="000000"/>
          <w:sz w:val="24"/>
          <w:szCs w:val="24"/>
        </w:rPr>
        <w:drawing>
          <wp:inline distT="0" distB="0" distL="0" distR="0" wp14:anchorId="13839E58" wp14:editId="3B5E4B3E">
            <wp:extent cx="4486940" cy="3365130"/>
            <wp:effectExtent l="0" t="0" r="8890" b="6985"/>
            <wp:docPr id="250" name="Picture 250" descr="E:\Horezu\Materiale lucru\Poze\IMG_20211110_154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Horezu\Materiale lucru\Poze\IMG_20211110_154148.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90450" cy="3367763"/>
                    </a:xfrm>
                    <a:prstGeom prst="rect">
                      <a:avLst/>
                    </a:prstGeom>
                    <a:noFill/>
                    <a:ln>
                      <a:noFill/>
                    </a:ln>
                  </pic:spPr>
                </pic:pic>
              </a:graphicData>
            </a:graphic>
          </wp:inline>
        </w:drawing>
      </w:r>
    </w:p>
    <w:p w14:paraId="64B5990A" w14:textId="01E56FA4" w:rsidR="00FC2D32" w:rsidRPr="00FC2D32" w:rsidRDefault="00FC2D32" w:rsidP="00FC2D32">
      <w:pPr>
        <w:pStyle w:val="Legend"/>
        <w:jc w:val="center"/>
        <w:rPr>
          <w:rFonts w:ascii="Arial" w:eastAsia="Calibri" w:hAnsi="Arial" w:cs="Arial"/>
          <w:i w:val="0"/>
          <w:color w:val="000000"/>
          <w:sz w:val="22"/>
          <w:szCs w:val="22"/>
          <w:lang w:eastAsia="zh-CN"/>
        </w:rPr>
      </w:pPr>
      <w:bookmarkStart w:id="106" w:name="_Toc140744466"/>
      <w:r w:rsidRPr="00FC2D32">
        <w:rPr>
          <w:rFonts w:ascii="Arial" w:hAnsi="Arial" w:cs="Arial"/>
          <w:sz w:val="22"/>
          <w:szCs w:val="22"/>
        </w:rPr>
        <w:t xml:space="preserve">Figura I.2. </w:t>
      </w:r>
      <w:r w:rsidRPr="00FC2D32">
        <w:rPr>
          <w:rFonts w:ascii="Arial" w:hAnsi="Arial" w:cs="Arial"/>
          <w:sz w:val="22"/>
          <w:szCs w:val="22"/>
        </w:rPr>
        <w:fldChar w:fldCharType="begin"/>
      </w:r>
      <w:r w:rsidRPr="00FC2D32">
        <w:rPr>
          <w:rFonts w:ascii="Arial" w:hAnsi="Arial" w:cs="Arial"/>
          <w:sz w:val="22"/>
          <w:szCs w:val="22"/>
        </w:rPr>
        <w:instrText xml:space="preserve"> SEQ Figura_I.2. \* ARABIC </w:instrText>
      </w:r>
      <w:r w:rsidRPr="00FC2D32">
        <w:rPr>
          <w:rFonts w:ascii="Arial" w:hAnsi="Arial" w:cs="Arial"/>
          <w:sz w:val="22"/>
          <w:szCs w:val="22"/>
        </w:rPr>
        <w:fldChar w:fldCharType="separate"/>
      </w:r>
      <w:r w:rsidR="00BB181C">
        <w:rPr>
          <w:rFonts w:ascii="Arial" w:hAnsi="Arial" w:cs="Arial"/>
          <w:noProof/>
          <w:sz w:val="22"/>
          <w:szCs w:val="22"/>
        </w:rPr>
        <w:t>24</w:t>
      </w:r>
      <w:r w:rsidRPr="00FC2D32">
        <w:rPr>
          <w:rFonts w:ascii="Arial" w:hAnsi="Arial" w:cs="Arial"/>
          <w:sz w:val="22"/>
          <w:szCs w:val="22"/>
        </w:rPr>
        <w:fldChar w:fldCharType="end"/>
      </w:r>
      <w:r w:rsidRPr="00FC2D32">
        <w:rPr>
          <w:rFonts w:ascii="Arial" w:hAnsi="Arial" w:cs="Arial"/>
          <w:sz w:val="22"/>
          <w:szCs w:val="22"/>
        </w:rPr>
        <w:t xml:space="preserve"> </w:t>
      </w:r>
      <w:r w:rsidRPr="00FC2D32">
        <w:rPr>
          <w:rFonts w:ascii="Arial" w:hAnsi="Arial" w:cs="Arial"/>
          <w:color w:val="1F497D"/>
          <w:sz w:val="22"/>
          <w:szCs w:val="22"/>
        </w:rPr>
        <w:t xml:space="preserve">- </w:t>
      </w:r>
      <w:r w:rsidRPr="00FC2D32">
        <w:rPr>
          <w:rFonts w:ascii="Arial" w:hAnsi="Arial" w:cs="Arial"/>
          <w:i w:val="0"/>
          <w:color w:val="1F497D"/>
          <w:sz w:val="22"/>
          <w:szCs w:val="22"/>
        </w:rPr>
        <w:t xml:space="preserve">Staţie transport public județean – </w:t>
      </w:r>
      <w:r>
        <w:rPr>
          <w:rFonts w:ascii="Arial" w:hAnsi="Arial" w:cs="Arial"/>
          <w:i w:val="0"/>
          <w:color w:val="1F497D"/>
          <w:sz w:val="22"/>
          <w:szCs w:val="22"/>
        </w:rPr>
        <w:t>Râmeş</w:t>
      </w:r>
      <w:r w:rsidRPr="00FC2D32">
        <w:rPr>
          <w:rFonts w:ascii="Arial" w:hAnsi="Arial" w:cs="Arial"/>
          <w:i w:val="0"/>
          <w:color w:val="1F497D"/>
          <w:sz w:val="22"/>
          <w:szCs w:val="22"/>
        </w:rPr>
        <w:t>ti</w:t>
      </w:r>
      <w:bookmarkEnd w:id="106"/>
    </w:p>
    <w:p w14:paraId="25BD09F9" w14:textId="77777777" w:rsidR="00FC2D32" w:rsidRPr="00FC2D32" w:rsidRDefault="00FC2D32" w:rsidP="00FC2D32">
      <w:pPr>
        <w:suppressAutoHyphens/>
        <w:autoSpaceDE w:val="0"/>
        <w:spacing w:after="0" w:line="360" w:lineRule="auto"/>
        <w:jc w:val="both"/>
        <w:rPr>
          <w:rFonts w:ascii="Arial" w:eastAsia="Calibri" w:hAnsi="Arial" w:cs="Arial"/>
          <w:sz w:val="24"/>
          <w:szCs w:val="24"/>
          <w:lang w:eastAsia="zh-CN"/>
        </w:rPr>
      </w:pPr>
    </w:p>
    <w:p w14:paraId="60345A2A" w14:textId="77777777" w:rsidR="00FC2D32" w:rsidRPr="00FC2D32" w:rsidRDefault="00FC2D32" w:rsidP="00FC2D32">
      <w:pPr>
        <w:suppressAutoHyphens/>
        <w:autoSpaceDE w:val="0"/>
        <w:spacing w:after="0" w:line="360" w:lineRule="auto"/>
        <w:jc w:val="center"/>
        <w:rPr>
          <w:rFonts w:ascii="Arial" w:eastAsia="Calibri" w:hAnsi="Arial" w:cs="Arial"/>
          <w:noProof/>
          <w:sz w:val="24"/>
          <w:szCs w:val="24"/>
          <w:lang w:val="ro-RO" w:eastAsia="ro-RO"/>
        </w:rPr>
      </w:pPr>
    </w:p>
    <w:p w14:paraId="5373ECC0" w14:textId="77777777" w:rsidR="00FC2D32" w:rsidRPr="00FC2D32" w:rsidRDefault="00FC2D32" w:rsidP="00FC2D32">
      <w:pPr>
        <w:suppressAutoHyphens/>
        <w:autoSpaceDE w:val="0"/>
        <w:spacing w:after="0" w:line="360" w:lineRule="auto"/>
        <w:jc w:val="center"/>
        <w:rPr>
          <w:rFonts w:ascii="Arial" w:eastAsia="Calibri" w:hAnsi="Arial" w:cs="Arial"/>
          <w:sz w:val="24"/>
          <w:szCs w:val="24"/>
          <w:lang w:eastAsia="zh-CN"/>
        </w:rPr>
      </w:pPr>
      <w:r w:rsidRPr="00FC2D32">
        <w:rPr>
          <w:rFonts w:ascii="Arial" w:eastAsia="Calibri" w:hAnsi="Arial" w:cs="Arial"/>
          <w:noProof/>
          <w:sz w:val="24"/>
          <w:szCs w:val="24"/>
        </w:rPr>
        <w:lastRenderedPageBreak/>
        <w:drawing>
          <wp:inline distT="0" distB="0" distL="0" distR="0" wp14:anchorId="2B7968FC" wp14:editId="6BBD4EC1">
            <wp:extent cx="4210493" cy="4337727"/>
            <wp:effectExtent l="0" t="0" r="0" b="5715"/>
            <wp:docPr id="2048" name="Picture 2048" descr="E:\Horezu\Materiale lucru\Poze\IMG_20211111_124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Horezu\Materiale lucru\Poze\IMG_20211111_124035.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22736"/>
                    <a:stretch/>
                  </pic:blipFill>
                  <pic:spPr bwMode="auto">
                    <a:xfrm>
                      <a:off x="0" y="0"/>
                      <a:ext cx="4215827" cy="4343222"/>
                    </a:xfrm>
                    <a:prstGeom prst="rect">
                      <a:avLst/>
                    </a:prstGeom>
                    <a:noFill/>
                    <a:ln>
                      <a:noFill/>
                    </a:ln>
                    <a:extLst>
                      <a:ext uri="{53640926-AAD7-44D8-BBD7-CCE9431645EC}">
                        <a14:shadowObscured xmlns:a14="http://schemas.microsoft.com/office/drawing/2010/main"/>
                      </a:ext>
                    </a:extLst>
                  </pic:spPr>
                </pic:pic>
              </a:graphicData>
            </a:graphic>
          </wp:inline>
        </w:drawing>
      </w:r>
    </w:p>
    <w:p w14:paraId="214E6662" w14:textId="575C4823" w:rsidR="00FC2D32" w:rsidRDefault="00FC2D32" w:rsidP="00FC2D32">
      <w:pPr>
        <w:pStyle w:val="Legend"/>
        <w:jc w:val="center"/>
        <w:rPr>
          <w:rFonts w:ascii="Arial" w:hAnsi="Arial" w:cs="Arial"/>
          <w:i w:val="0"/>
          <w:color w:val="1F497D"/>
          <w:sz w:val="22"/>
          <w:szCs w:val="22"/>
        </w:rPr>
      </w:pPr>
      <w:bookmarkStart w:id="107" w:name="_Toc140744467"/>
      <w:r w:rsidRPr="00FC2D32">
        <w:rPr>
          <w:rFonts w:ascii="Arial" w:hAnsi="Arial" w:cs="Arial"/>
          <w:sz w:val="22"/>
          <w:szCs w:val="22"/>
        </w:rPr>
        <w:t xml:space="preserve">Figura I.2. </w:t>
      </w:r>
      <w:r w:rsidRPr="00FC2D32">
        <w:rPr>
          <w:rFonts w:ascii="Arial" w:hAnsi="Arial" w:cs="Arial"/>
          <w:sz w:val="22"/>
          <w:szCs w:val="22"/>
        </w:rPr>
        <w:fldChar w:fldCharType="begin"/>
      </w:r>
      <w:r w:rsidRPr="00FC2D32">
        <w:rPr>
          <w:rFonts w:ascii="Arial" w:hAnsi="Arial" w:cs="Arial"/>
          <w:sz w:val="22"/>
          <w:szCs w:val="22"/>
        </w:rPr>
        <w:instrText xml:space="preserve"> SEQ Figura_I.2. \* ARABIC </w:instrText>
      </w:r>
      <w:r w:rsidRPr="00FC2D32">
        <w:rPr>
          <w:rFonts w:ascii="Arial" w:hAnsi="Arial" w:cs="Arial"/>
          <w:sz w:val="22"/>
          <w:szCs w:val="22"/>
        </w:rPr>
        <w:fldChar w:fldCharType="separate"/>
      </w:r>
      <w:r w:rsidR="00BB181C">
        <w:rPr>
          <w:rFonts w:ascii="Arial" w:hAnsi="Arial" w:cs="Arial"/>
          <w:noProof/>
          <w:sz w:val="22"/>
          <w:szCs w:val="22"/>
        </w:rPr>
        <w:t>25</w:t>
      </w:r>
      <w:r w:rsidRPr="00FC2D32">
        <w:rPr>
          <w:rFonts w:ascii="Arial" w:hAnsi="Arial" w:cs="Arial"/>
          <w:sz w:val="22"/>
          <w:szCs w:val="22"/>
        </w:rPr>
        <w:fldChar w:fldCharType="end"/>
      </w:r>
      <w:r w:rsidRPr="00FC2D32">
        <w:rPr>
          <w:rFonts w:ascii="Arial" w:hAnsi="Arial" w:cs="Arial"/>
          <w:sz w:val="22"/>
          <w:szCs w:val="22"/>
        </w:rPr>
        <w:t xml:space="preserve"> </w:t>
      </w:r>
      <w:r w:rsidRPr="00FC2D32">
        <w:rPr>
          <w:rFonts w:ascii="Arial" w:hAnsi="Arial" w:cs="Arial"/>
          <w:color w:val="1F497D"/>
          <w:sz w:val="22"/>
          <w:szCs w:val="22"/>
        </w:rPr>
        <w:t xml:space="preserve">- </w:t>
      </w:r>
      <w:r w:rsidRPr="00FC2D32">
        <w:rPr>
          <w:rFonts w:ascii="Arial" w:hAnsi="Arial" w:cs="Arial"/>
          <w:i w:val="0"/>
          <w:color w:val="1F497D"/>
          <w:sz w:val="22"/>
          <w:szCs w:val="22"/>
        </w:rPr>
        <w:t>“Sistem de informare” a călătorilor Autogara SivaTrans</w:t>
      </w:r>
      <w:bookmarkEnd w:id="107"/>
    </w:p>
    <w:p w14:paraId="57BA6EE7" w14:textId="77777777" w:rsidR="00FC2D32" w:rsidRPr="00FC2D32" w:rsidRDefault="00FC2D32" w:rsidP="00FC2D32">
      <w:pPr>
        <w:rPr>
          <w:lang w:val="es-ES" w:eastAsia="zh-CN"/>
        </w:rPr>
      </w:pPr>
    </w:p>
    <w:p w14:paraId="263D81B1" w14:textId="77777777" w:rsidR="00FC2D32" w:rsidRPr="00FC2D32" w:rsidRDefault="00FC2D32" w:rsidP="00FC2D32">
      <w:pPr>
        <w:suppressAutoHyphens/>
        <w:autoSpaceDE w:val="0"/>
        <w:spacing w:after="0" w:line="360" w:lineRule="auto"/>
        <w:jc w:val="center"/>
        <w:rPr>
          <w:rFonts w:ascii="EUAlbertina" w:eastAsia="Calibri" w:hAnsi="EUAlbertina" w:cs="EUAlbertina"/>
          <w:noProof/>
          <w:color w:val="000000"/>
          <w:sz w:val="24"/>
          <w:szCs w:val="24"/>
          <w:lang w:val="ro-RO" w:eastAsia="ro-RO"/>
        </w:rPr>
      </w:pPr>
      <w:r w:rsidRPr="00FC2D32">
        <w:rPr>
          <w:rFonts w:ascii="EUAlbertina" w:eastAsia="Calibri" w:hAnsi="EUAlbertina" w:cs="EUAlbertina"/>
          <w:noProof/>
          <w:color w:val="000000"/>
          <w:sz w:val="24"/>
          <w:szCs w:val="24"/>
        </w:rPr>
        <w:drawing>
          <wp:inline distT="0" distB="0" distL="0" distR="0" wp14:anchorId="58833FB1" wp14:editId="3E2F53A0">
            <wp:extent cx="4306186" cy="3487479"/>
            <wp:effectExtent l="0" t="0" r="0" b="0"/>
            <wp:docPr id="2049" name="Picture 2049" descr="E:\Horezu\Materiale lucru\Poze\IMG_20211111_123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Horezu\Materiale lucru\Poze\IMG_20211111_123927.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22234" b="16992"/>
                    <a:stretch/>
                  </pic:blipFill>
                  <pic:spPr bwMode="auto">
                    <a:xfrm>
                      <a:off x="0" y="0"/>
                      <a:ext cx="4304812" cy="3486366"/>
                    </a:xfrm>
                    <a:prstGeom prst="rect">
                      <a:avLst/>
                    </a:prstGeom>
                    <a:noFill/>
                    <a:ln>
                      <a:noFill/>
                    </a:ln>
                    <a:extLst>
                      <a:ext uri="{53640926-AAD7-44D8-BBD7-CCE9431645EC}">
                        <a14:shadowObscured xmlns:a14="http://schemas.microsoft.com/office/drawing/2010/main"/>
                      </a:ext>
                    </a:extLst>
                  </pic:spPr>
                </pic:pic>
              </a:graphicData>
            </a:graphic>
          </wp:inline>
        </w:drawing>
      </w:r>
    </w:p>
    <w:p w14:paraId="20A51AC0" w14:textId="46EAB262" w:rsidR="00FC2D32" w:rsidRPr="00FC2D32" w:rsidRDefault="00FC2D32" w:rsidP="00FC2D32">
      <w:pPr>
        <w:pStyle w:val="Legend"/>
        <w:jc w:val="center"/>
        <w:rPr>
          <w:rFonts w:ascii="Arial" w:eastAsia="Calibri" w:hAnsi="Arial" w:cs="Arial"/>
          <w:i w:val="0"/>
          <w:noProof/>
          <w:color w:val="000000"/>
          <w:sz w:val="22"/>
          <w:szCs w:val="22"/>
          <w:lang w:val="ro-RO" w:eastAsia="ro-RO"/>
        </w:rPr>
      </w:pPr>
      <w:bookmarkStart w:id="108" w:name="_Toc140744468"/>
      <w:r w:rsidRPr="00FC2D32">
        <w:rPr>
          <w:rFonts w:ascii="Arial" w:hAnsi="Arial" w:cs="Arial"/>
          <w:sz w:val="22"/>
          <w:szCs w:val="22"/>
        </w:rPr>
        <w:t xml:space="preserve">Figura I.2. </w:t>
      </w:r>
      <w:r w:rsidRPr="00FC2D32">
        <w:rPr>
          <w:rFonts w:ascii="Arial" w:hAnsi="Arial" w:cs="Arial"/>
          <w:sz w:val="22"/>
          <w:szCs w:val="22"/>
        </w:rPr>
        <w:fldChar w:fldCharType="begin"/>
      </w:r>
      <w:r w:rsidRPr="00FC2D32">
        <w:rPr>
          <w:rFonts w:ascii="Arial" w:hAnsi="Arial" w:cs="Arial"/>
          <w:sz w:val="22"/>
          <w:szCs w:val="22"/>
        </w:rPr>
        <w:instrText xml:space="preserve"> SEQ Figura_I.2. \* ARABIC </w:instrText>
      </w:r>
      <w:r w:rsidRPr="00FC2D32">
        <w:rPr>
          <w:rFonts w:ascii="Arial" w:hAnsi="Arial" w:cs="Arial"/>
          <w:sz w:val="22"/>
          <w:szCs w:val="22"/>
        </w:rPr>
        <w:fldChar w:fldCharType="separate"/>
      </w:r>
      <w:r w:rsidR="00BB181C">
        <w:rPr>
          <w:rFonts w:ascii="Arial" w:hAnsi="Arial" w:cs="Arial"/>
          <w:noProof/>
          <w:sz w:val="22"/>
          <w:szCs w:val="22"/>
        </w:rPr>
        <w:t>26</w:t>
      </w:r>
      <w:r w:rsidRPr="00FC2D32">
        <w:rPr>
          <w:rFonts w:ascii="Arial" w:hAnsi="Arial" w:cs="Arial"/>
          <w:sz w:val="22"/>
          <w:szCs w:val="22"/>
        </w:rPr>
        <w:fldChar w:fldCharType="end"/>
      </w:r>
      <w:r w:rsidRPr="00FC2D32">
        <w:rPr>
          <w:rFonts w:ascii="Arial" w:hAnsi="Arial" w:cs="Arial"/>
          <w:sz w:val="22"/>
          <w:szCs w:val="22"/>
        </w:rPr>
        <w:t xml:space="preserve"> </w:t>
      </w:r>
      <w:r w:rsidRPr="00FC2D32">
        <w:rPr>
          <w:rFonts w:ascii="Arial" w:hAnsi="Arial" w:cs="Arial"/>
          <w:color w:val="1F497D"/>
          <w:sz w:val="22"/>
          <w:szCs w:val="22"/>
        </w:rPr>
        <w:t xml:space="preserve">– </w:t>
      </w:r>
      <w:r w:rsidRPr="00FC2D32">
        <w:rPr>
          <w:rFonts w:ascii="Arial" w:hAnsi="Arial" w:cs="Arial"/>
          <w:i w:val="0"/>
          <w:color w:val="1F497D"/>
          <w:sz w:val="22"/>
          <w:szCs w:val="22"/>
        </w:rPr>
        <w:t>“Peron” îmbarcare-debarcare călători Autogara SivaTrans</w:t>
      </w:r>
      <w:bookmarkEnd w:id="108"/>
    </w:p>
    <w:p w14:paraId="78FFFB1B" w14:textId="77777777" w:rsidR="00FC2D32" w:rsidRDefault="00FC2D32" w:rsidP="00FC2D32">
      <w:pPr>
        <w:suppressAutoHyphens/>
        <w:autoSpaceDE w:val="0"/>
        <w:spacing w:after="0" w:line="276" w:lineRule="auto"/>
        <w:jc w:val="both"/>
        <w:rPr>
          <w:rFonts w:ascii="Arial" w:eastAsia="Calibri" w:hAnsi="Arial" w:cs="Arial"/>
          <w:lang w:eastAsia="zh-CN"/>
        </w:rPr>
      </w:pPr>
    </w:p>
    <w:p w14:paraId="0F514654" w14:textId="77777777" w:rsidR="00FC2D32" w:rsidRPr="00FC2D32" w:rsidRDefault="00FC2D32" w:rsidP="00FC2D32">
      <w:pPr>
        <w:suppressAutoHyphens/>
        <w:autoSpaceDE w:val="0"/>
        <w:spacing w:after="0" w:line="276" w:lineRule="auto"/>
        <w:jc w:val="both"/>
        <w:rPr>
          <w:rFonts w:ascii="Arial" w:eastAsia="Calibri" w:hAnsi="Arial" w:cs="Arial"/>
          <w:lang w:eastAsia="zh-CN"/>
        </w:rPr>
      </w:pPr>
      <w:r w:rsidRPr="00FC2D32">
        <w:rPr>
          <w:rFonts w:ascii="Arial" w:eastAsia="Calibri" w:hAnsi="Arial" w:cs="Arial"/>
          <w:lang w:eastAsia="zh-CN"/>
        </w:rPr>
        <w:t xml:space="preserve">Analiza acestor date relevă: </w:t>
      </w:r>
    </w:p>
    <w:p w14:paraId="3C03C062" w14:textId="77777777" w:rsidR="00FC2D32" w:rsidRPr="00FC2D32" w:rsidRDefault="00FC2D32" w:rsidP="006B613A">
      <w:pPr>
        <w:widowControl w:val="0"/>
        <w:numPr>
          <w:ilvl w:val="0"/>
          <w:numId w:val="61"/>
        </w:numPr>
        <w:suppressAutoHyphens/>
        <w:autoSpaceDE w:val="0"/>
        <w:spacing w:after="0" w:line="276" w:lineRule="auto"/>
        <w:jc w:val="both"/>
        <w:rPr>
          <w:rFonts w:ascii="Arial" w:eastAsia="Calibri" w:hAnsi="Arial" w:cs="Arial"/>
          <w:lang w:val="es-ES" w:eastAsia="zh-CN"/>
        </w:rPr>
      </w:pPr>
      <w:r w:rsidRPr="00FC2D32">
        <w:rPr>
          <w:rFonts w:ascii="Arial" w:eastAsia="Calibri" w:hAnsi="Arial" w:cs="Arial"/>
          <w:lang w:val="es-ES" w:eastAsia="zh-CN"/>
        </w:rPr>
        <w:t xml:space="preserve">nu există trasee dedicate pentru comunele situate în raza de influență a </w:t>
      </w:r>
      <w:r>
        <w:rPr>
          <w:rFonts w:ascii="Arial" w:eastAsia="Calibri" w:hAnsi="Arial" w:cs="Arial"/>
          <w:lang w:val="es-ES" w:eastAsia="zh-CN"/>
        </w:rPr>
        <w:t>oraşului</w:t>
      </w:r>
      <w:r w:rsidRPr="00FC2D32">
        <w:rPr>
          <w:rFonts w:ascii="Arial" w:eastAsia="Calibri" w:hAnsi="Arial" w:cs="Arial"/>
          <w:lang w:val="es-ES" w:eastAsia="zh-CN"/>
        </w:rPr>
        <w:t>;</w:t>
      </w:r>
    </w:p>
    <w:p w14:paraId="76F84E75" w14:textId="77777777" w:rsidR="00FC2D32" w:rsidRPr="00FC2D32" w:rsidRDefault="00FC2D32" w:rsidP="006B613A">
      <w:pPr>
        <w:widowControl w:val="0"/>
        <w:numPr>
          <w:ilvl w:val="0"/>
          <w:numId w:val="62"/>
        </w:numPr>
        <w:suppressAutoHyphens/>
        <w:autoSpaceDE w:val="0"/>
        <w:spacing w:after="0" w:line="276" w:lineRule="auto"/>
        <w:jc w:val="both"/>
        <w:rPr>
          <w:rFonts w:ascii="Arial" w:eastAsia="Calibri" w:hAnsi="Arial" w:cs="Arial"/>
          <w:lang w:val="es-ES" w:eastAsia="zh-CN"/>
        </w:rPr>
      </w:pPr>
      <w:r w:rsidRPr="00FC2D32">
        <w:rPr>
          <w:rFonts w:ascii="Arial" w:eastAsia="0" w:hAnsi="Arial" w:cs="Arial"/>
          <w:lang w:val="es-ES" w:eastAsia="ro-RO"/>
        </w:rPr>
        <w:t>numărul de curse prin care se asigură legătura dintre comunele din zona periurbană și oraș este mic pentru majoritatea traseelor, în general limitându-se la orele de vârf;</w:t>
      </w:r>
    </w:p>
    <w:p w14:paraId="2EE6DD0F" w14:textId="77777777" w:rsidR="00FC2D32" w:rsidRPr="00FC2D32" w:rsidRDefault="00FC2D32" w:rsidP="006B613A">
      <w:pPr>
        <w:widowControl w:val="0"/>
        <w:numPr>
          <w:ilvl w:val="0"/>
          <w:numId w:val="62"/>
        </w:numPr>
        <w:suppressAutoHyphens/>
        <w:autoSpaceDE w:val="0"/>
        <w:spacing w:after="0" w:line="276" w:lineRule="auto"/>
        <w:jc w:val="both"/>
        <w:rPr>
          <w:rFonts w:ascii="Arial" w:eastAsia="Calibri" w:hAnsi="Arial" w:cs="Arial"/>
          <w:lang w:val="es-ES" w:eastAsia="zh-CN"/>
        </w:rPr>
      </w:pPr>
      <w:r w:rsidRPr="00FC2D32">
        <w:rPr>
          <w:rFonts w:ascii="Arial" w:eastAsia="Calibri" w:hAnsi="Arial" w:cs="Arial"/>
          <w:lang w:val="es-ES" w:eastAsia="zh-CN"/>
        </w:rPr>
        <w:t>autogările nu se prezintă in conditii optime, condițiile oferite călătorilor fiind mult sub standarde (poate și din cauza fluxurilor de călători destul de scăzute);</w:t>
      </w:r>
    </w:p>
    <w:p w14:paraId="69BB5A58" w14:textId="77777777" w:rsidR="00FC2D32" w:rsidRPr="00FC2D32" w:rsidRDefault="00FC2D32" w:rsidP="006B613A">
      <w:pPr>
        <w:widowControl w:val="0"/>
        <w:numPr>
          <w:ilvl w:val="0"/>
          <w:numId w:val="62"/>
        </w:numPr>
        <w:suppressAutoHyphens/>
        <w:autoSpaceDE w:val="0"/>
        <w:spacing w:after="0" w:line="276" w:lineRule="auto"/>
        <w:jc w:val="both"/>
        <w:rPr>
          <w:rFonts w:ascii="Arial" w:eastAsia="Calibri" w:hAnsi="Arial" w:cs="Arial"/>
          <w:lang w:val="es-ES" w:eastAsia="zh-CN"/>
        </w:rPr>
      </w:pPr>
      <w:r w:rsidRPr="00FC2D32">
        <w:rPr>
          <w:rFonts w:ascii="Arial" w:eastAsia="Calibri" w:hAnsi="Arial" w:cs="Arial"/>
          <w:lang w:val="es-ES" w:eastAsia="zh-CN"/>
        </w:rPr>
        <w:t xml:space="preserve">nu există sisteme de informare pentru identificarea autogărilor sau a stațiilor de transport public dedicate transportului județean sau interurban, cu atât mai mult pentru alocarea traseelor către o anumită autogară. Pentru un turist este aproape imposibil de găsit locul de plecare pentru o anumita destinație din interiorul județului sau din afara acestuia.  </w:t>
      </w:r>
    </w:p>
    <w:p w14:paraId="5385D043" w14:textId="77777777" w:rsidR="00FC2D32" w:rsidRPr="00FC2D32" w:rsidRDefault="00FC2D32" w:rsidP="006B613A">
      <w:pPr>
        <w:widowControl w:val="0"/>
        <w:numPr>
          <w:ilvl w:val="0"/>
          <w:numId w:val="62"/>
        </w:numPr>
        <w:suppressAutoHyphens/>
        <w:autoSpaceDE w:val="0"/>
        <w:spacing w:after="0" w:line="276" w:lineRule="auto"/>
        <w:jc w:val="both"/>
        <w:rPr>
          <w:rFonts w:ascii="Arial" w:eastAsia="Calibri" w:hAnsi="Arial" w:cs="Arial"/>
          <w:lang w:eastAsia="zh-CN"/>
        </w:rPr>
      </w:pPr>
      <w:r w:rsidRPr="00FC2D32">
        <w:rPr>
          <w:rFonts w:ascii="Arial" w:eastAsia="0" w:hAnsi="Arial" w:cs="Arial"/>
          <w:lang w:val="es-ES" w:eastAsia="ro-RO"/>
        </w:rPr>
        <w:t>lipsa interconectării cu transportul public local</w:t>
      </w:r>
      <w:r w:rsidRPr="00FC2D32">
        <w:rPr>
          <w:rFonts w:ascii="Arial" w:eastAsia="0" w:hAnsi="Arial" w:cs="Arial"/>
          <w:lang w:eastAsia="ro-RO"/>
        </w:rPr>
        <w:t>.</w:t>
      </w:r>
    </w:p>
    <w:p w14:paraId="4F938291" w14:textId="77777777" w:rsidR="00FC2D32" w:rsidRPr="00FC2D32" w:rsidRDefault="00FC2D32" w:rsidP="00FC2D32">
      <w:pPr>
        <w:suppressAutoHyphens/>
        <w:autoSpaceDE w:val="0"/>
        <w:spacing w:after="0" w:line="360" w:lineRule="auto"/>
        <w:jc w:val="both"/>
        <w:rPr>
          <w:rFonts w:ascii="Arial" w:eastAsia="0" w:hAnsi="Arial" w:cs="Arial"/>
          <w:sz w:val="24"/>
          <w:szCs w:val="24"/>
          <w:lang w:val="es-ES" w:eastAsia="ro-RO"/>
        </w:rPr>
      </w:pPr>
    </w:p>
    <w:p w14:paraId="6904C18D" w14:textId="77777777" w:rsidR="00FC2D32" w:rsidRPr="00FC2D32" w:rsidRDefault="00FC2D32" w:rsidP="00FC2D32">
      <w:pPr>
        <w:rPr>
          <w:lang w:eastAsia="zh-CN" w:bidi="hi-IN"/>
        </w:rPr>
      </w:pPr>
    </w:p>
    <w:p w14:paraId="768225FF" w14:textId="77777777" w:rsidR="00DE4288" w:rsidRPr="00A32027" w:rsidRDefault="00DE4288" w:rsidP="00A32027">
      <w:pPr>
        <w:pStyle w:val="Titlu3"/>
        <w:rPr>
          <w:rFonts w:ascii="Arial" w:hAnsi="Arial" w:cs="Arial"/>
          <w:sz w:val="24"/>
          <w:szCs w:val="24"/>
        </w:rPr>
      </w:pPr>
      <w:bookmarkStart w:id="109" w:name="_Toc491868803"/>
      <w:bookmarkStart w:id="110" w:name="_Toc499657531"/>
      <w:bookmarkStart w:id="111" w:name="_Toc142039056"/>
      <w:r w:rsidRPr="00A32027">
        <w:rPr>
          <w:rFonts w:ascii="Arial" w:hAnsi="Arial" w:cs="Arial"/>
          <w:sz w:val="24"/>
          <w:szCs w:val="24"/>
        </w:rPr>
        <w:t>I.2.3.3 Taxi</w:t>
      </w:r>
      <w:bookmarkEnd w:id="109"/>
      <w:bookmarkEnd w:id="110"/>
      <w:bookmarkEnd w:id="111"/>
    </w:p>
    <w:p w14:paraId="79F8976D" w14:textId="77777777" w:rsidR="00A202DF" w:rsidRPr="00A202DF" w:rsidRDefault="00A202DF" w:rsidP="00A202DF">
      <w:pPr>
        <w:widowControl w:val="0"/>
        <w:suppressAutoHyphens/>
        <w:spacing w:after="0" w:line="276" w:lineRule="auto"/>
        <w:jc w:val="both"/>
        <w:rPr>
          <w:rFonts w:ascii="Arial" w:eastAsia="Times New Roman" w:hAnsi="Arial" w:cs="Arial"/>
          <w:color w:val="FF0000"/>
          <w:lang w:eastAsia="ro-RO" w:bidi="hi-IN"/>
        </w:rPr>
      </w:pPr>
      <w:r w:rsidRPr="00A202DF">
        <w:rPr>
          <w:rFonts w:ascii="Arial" w:eastAsia="Times New Roman" w:hAnsi="Arial" w:cs="Arial"/>
          <w:lang w:eastAsia="ro-RO" w:bidi="hi-IN"/>
        </w:rPr>
        <w:t xml:space="preserve">Activitatea de taximetrie în </w:t>
      </w:r>
      <w:r>
        <w:rPr>
          <w:rFonts w:ascii="Arial" w:eastAsia="Times New Roman" w:hAnsi="Arial" w:cs="Arial"/>
          <w:lang w:eastAsia="ro-RO" w:bidi="hi-IN"/>
        </w:rPr>
        <w:t>Oraş</w:t>
      </w:r>
      <w:r w:rsidRPr="00A202DF">
        <w:rPr>
          <w:rFonts w:ascii="Arial" w:eastAsia="Times New Roman" w:hAnsi="Arial" w:cs="Arial"/>
          <w:lang w:eastAsia="ro-RO" w:bidi="hi-IN"/>
        </w:rPr>
        <w:t>ul Horezu este reglementat</w:t>
      </w:r>
      <w:r w:rsidRPr="00A202DF">
        <w:rPr>
          <w:rFonts w:ascii="Arial" w:eastAsia="Times New Roman" w:hAnsi="Arial" w:cs="Arial" w:hint="eastAsia"/>
          <w:lang w:eastAsia="ro-RO" w:bidi="hi-IN"/>
        </w:rPr>
        <w:t>ǎ</w:t>
      </w:r>
      <w:r w:rsidRPr="00A202DF">
        <w:rPr>
          <w:rFonts w:ascii="Arial" w:eastAsia="Times New Roman" w:hAnsi="Arial" w:cs="Arial"/>
          <w:lang w:eastAsia="ro-RO" w:bidi="hi-IN"/>
        </w:rPr>
        <w:t xml:space="preserve"> prin HCL 26/12.06.2006. Această hotărâre stabilea numărul maxim de autorizații permanente taxi la 100, din care 65 pentru operatorii de transport persoane în regim de taxi și 35 pentru taximetriștii independenți. La acestea se adaugă un număr maxim de 20 autoriza</w:t>
      </w:r>
      <w:r>
        <w:rPr>
          <w:rFonts w:ascii="Arial" w:eastAsia="Times New Roman" w:hAnsi="Arial" w:cs="Arial"/>
          <w:lang w:eastAsia="ro-RO" w:bidi="hi-IN"/>
        </w:rPr>
        <w:t>ții sezoniere care se pot acorda taximetriştilor independenţi</w:t>
      </w:r>
      <w:r w:rsidRPr="00A202DF">
        <w:rPr>
          <w:rFonts w:ascii="Arial" w:eastAsia="Times New Roman" w:hAnsi="Arial" w:cs="Arial"/>
          <w:lang w:eastAsia="ro-RO" w:bidi="hi-IN"/>
        </w:rPr>
        <w:t>. În prezent, există un număr de 9 autorizații taxi permanente, ceea ce conduce la valoarea de 1 taxi la aproximativ 756 locuitori. Numărul redus de taximeter se poate explică și prin dimensiunile relativ reduse ale orașului, unde modul de deplasare alternative cu cea mai mare pondere este cel pietonal.</w:t>
      </w:r>
    </w:p>
    <w:p w14:paraId="50D63119" w14:textId="77777777" w:rsidR="00A202DF" w:rsidRPr="00A202DF" w:rsidRDefault="00A202DF" w:rsidP="00A202DF">
      <w:pPr>
        <w:widowControl w:val="0"/>
        <w:suppressAutoHyphens/>
        <w:spacing w:after="0" w:line="360" w:lineRule="auto"/>
        <w:jc w:val="both"/>
        <w:rPr>
          <w:rFonts w:ascii="Arial" w:eastAsia="Times New Roman" w:hAnsi="Arial" w:cs="Arial"/>
          <w:color w:val="FF0000"/>
          <w:sz w:val="24"/>
          <w:szCs w:val="24"/>
          <w:highlight w:val="yellow"/>
          <w:lang w:eastAsia="ro-RO" w:bidi="hi-IN"/>
        </w:rPr>
      </w:pPr>
    </w:p>
    <w:p w14:paraId="442679B4" w14:textId="77777777" w:rsidR="00A202DF" w:rsidRPr="00A202DF" w:rsidRDefault="00A202DF" w:rsidP="00A202DF">
      <w:pPr>
        <w:widowControl w:val="0"/>
        <w:suppressAutoHyphens/>
        <w:spacing w:after="0" w:line="276" w:lineRule="auto"/>
        <w:jc w:val="both"/>
        <w:rPr>
          <w:rFonts w:ascii="Arial" w:eastAsia="Times New Roman" w:hAnsi="Arial" w:cs="Arial"/>
          <w:lang w:eastAsia="ro-RO" w:bidi="hi-IN"/>
        </w:rPr>
      </w:pPr>
      <w:r w:rsidRPr="00A202DF">
        <w:rPr>
          <w:rFonts w:ascii="Arial" w:eastAsia="Times New Roman" w:hAnsi="Arial" w:cs="Arial"/>
          <w:lang w:eastAsia="ro-RO" w:bidi="hi-IN"/>
        </w:rPr>
        <w:t>Prin HC</w:t>
      </w:r>
      <w:r>
        <w:rPr>
          <w:rFonts w:ascii="Arial" w:eastAsia="Times New Roman" w:hAnsi="Arial" w:cs="Arial"/>
          <w:lang w:eastAsia="ro-RO" w:bidi="hi-IN"/>
        </w:rPr>
        <w:t>L 26/12.06.2002 sunt stabilite şi locaţiile de aşteptare a clienţ</w:t>
      </w:r>
      <w:r w:rsidRPr="00A202DF">
        <w:rPr>
          <w:rFonts w:ascii="Arial" w:eastAsia="Times New Roman" w:hAnsi="Arial" w:cs="Arial"/>
          <w:lang w:eastAsia="ro-RO" w:bidi="hi-IN"/>
        </w:rPr>
        <w:t xml:space="preserve">ilor de pe teritoriul </w:t>
      </w:r>
      <w:r>
        <w:rPr>
          <w:rFonts w:ascii="Arial" w:eastAsia="Times New Roman" w:hAnsi="Arial" w:cs="Arial"/>
          <w:lang w:eastAsia="ro-RO" w:bidi="hi-IN"/>
        </w:rPr>
        <w:t>oraşului ş</w:t>
      </w:r>
      <w:r w:rsidRPr="00A202DF">
        <w:rPr>
          <w:rFonts w:ascii="Arial" w:eastAsia="Times New Roman" w:hAnsi="Arial" w:cs="Arial"/>
          <w:lang w:eastAsia="ro-RO" w:bidi="hi-IN"/>
        </w:rPr>
        <w:t xml:space="preserve">i anume: </w:t>
      </w:r>
    </w:p>
    <w:p w14:paraId="1317BE44" w14:textId="77777777" w:rsidR="00A202DF" w:rsidRPr="00A202DF" w:rsidRDefault="00A202DF" w:rsidP="006B613A">
      <w:pPr>
        <w:widowControl w:val="0"/>
        <w:numPr>
          <w:ilvl w:val="0"/>
          <w:numId w:val="56"/>
        </w:numPr>
        <w:suppressAutoHyphens/>
        <w:spacing w:after="0" w:line="276" w:lineRule="auto"/>
        <w:jc w:val="both"/>
        <w:rPr>
          <w:rFonts w:ascii="Arial" w:eastAsia="Times New Roman" w:hAnsi="Arial" w:cs="Arial"/>
          <w:lang w:eastAsia="ro-RO" w:bidi="hi-IN"/>
        </w:rPr>
      </w:pPr>
      <w:r w:rsidRPr="00A202DF">
        <w:rPr>
          <w:rFonts w:ascii="Arial" w:eastAsia="Times New Roman" w:hAnsi="Arial" w:cs="Arial"/>
          <w:lang w:eastAsia="ro-RO" w:bidi="hi-IN"/>
        </w:rPr>
        <w:t>parcare Cinematograf;</w:t>
      </w:r>
    </w:p>
    <w:p w14:paraId="10EB024F" w14:textId="77777777" w:rsidR="00A202DF" w:rsidRPr="00A202DF" w:rsidRDefault="00A202DF" w:rsidP="006B613A">
      <w:pPr>
        <w:widowControl w:val="0"/>
        <w:numPr>
          <w:ilvl w:val="0"/>
          <w:numId w:val="56"/>
        </w:numPr>
        <w:suppressAutoHyphens/>
        <w:spacing w:after="0" w:line="276" w:lineRule="auto"/>
        <w:jc w:val="both"/>
        <w:rPr>
          <w:rFonts w:ascii="Arial" w:eastAsia="Times New Roman" w:hAnsi="Arial" w:cs="Arial"/>
          <w:lang w:eastAsia="ro-RO" w:bidi="hi-IN"/>
        </w:rPr>
      </w:pPr>
      <w:r>
        <w:rPr>
          <w:rFonts w:ascii="Arial" w:eastAsia="Times New Roman" w:hAnsi="Arial" w:cs="Arial"/>
          <w:lang w:eastAsia="ro-RO" w:bidi="hi-IN"/>
        </w:rPr>
        <w:t>parcare Casa de Cultură</w:t>
      </w:r>
      <w:r w:rsidRPr="00A202DF">
        <w:rPr>
          <w:rFonts w:ascii="Arial" w:eastAsia="Times New Roman" w:hAnsi="Arial" w:cs="Arial"/>
          <w:lang w:eastAsia="ro-RO" w:bidi="hi-IN"/>
        </w:rPr>
        <w:t>;</w:t>
      </w:r>
    </w:p>
    <w:p w14:paraId="22C44EBE" w14:textId="77777777" w:rsidR="00A202DF" w:rsidRPr="00A202DF" w:rsidRDefault="00A202DF" w:rsidP="006B613A">
      <w:pPr>
        <w:widowControl w:val="0"/>
        <w:numPr>
          <w:ilvl w:val="0"/>
          <w:numId w:val="56"/>
        </w:numPr>
        <w:suppressAutoHyphens/>
        <w:spacing w:after="0" w:line="276" w:lineRule="auto"/>
        <w:jc w:val="both"/>
        <w:rPr>
          <w:rFonts w:ascii="Arial" w:eastAsia="Times New Roman" w:hAnsi="Arial" w:cs="Arial"/>
          <w:lang w:eastAsia="ro-RO" w:bidi="hi-IN"/>
        </w:rPr>
      </w:pPr>
      <w:r>
        <w:rPr>
          <w:rFonts w:ascii="Arial" w:eastAsia="Times New Roman" w:hAnsi="Arial" w:cs="Arial"/>
          <w:lang w:eastAsia="ro-RO" w:bidi="hi-IN"/>
        </w:rPr>
        <w:t>parcare La Drumurile Judeţ</w:t>
      </w:r>
      <w:r w:rsidRPr="00A202DF">
        <w:rPr>
          <w:rFonts w:ascii="Arial" w:eastAsia="Times New Roman" w:hAnsi="Arial" w:cs="Arial"/>
          <w:lang w:eastAsia="ro-RO" w:bidi="hi-IN"/>
        </w:rPr>
        <w:t>ene.</w:t>
      </w:r>
    </w:p>
    <w:p w14:paraId="600D91C8" w14:textId="77777777" w:rsidR="00A202DF" w:rsidRPr="00A202DF" w:rsidRDefault="00A202DF" w:rsidP="00A202DF">
      <w:pPr>
        <w:widowControl w:val="0"/>
        <w:spacing w:after="0"/>
        <w:jc w:val="both"/>
        <w:rPr>
          <w:rFonts w:ascii="Arial" w:hAnsi="Arial" w:cs="Arial"/>
          <w:lang w:eastAsia="ro-RO" w:bidi="hi-IN"/>
        </w:rPr>
      </w:pPr>
    </w:p>
    <w:p w14:paraId="039E9FCB" w14:textId="77777777" w:rsidR="00A202DF" w:rsidRPr="00A202DF" w:rsidRDefault="00A202DF" w:rsidP="00A202DF">
      <w:pPr>
        <w:widowControl w:val="0"/>
        <w:suppressAutoHyphens/>
        <w:spacing w:after="0" w:line="276" w:lineRule="auto"/>
        <w:jc w:val="both"/>
        <w:rPr>
          <w:rFonts w:ascii="Arial" w:eastAsia="Times New Roman" w:hAnsi="Arial" w:cs="Arial"/>
          <w:lang w:eastAsia="ro-RO" w:bidi="hi-IN"/>
        </w:rPr>
      </w:pPr>
      <w:r>
        <w:rPr>
          <w:rFonts w:ascii="Arial" w:eastAsia="Times New Roman" w:hAnsi="Arial" w:cs="Arial"/>
          <w:lang w:eastAsia="ro-RO" w:bidi="hi-IN"/>
        </w:rPr>
        <w:t>Avand în vedere numărul redus de autorizaţii permanente taxi, este funcţională doar locaţ</w:t>
      </w:r>
      <w:r w:rsidRPr="00A202DF">
        <w:rPr>
          <w:rFonts w:ascii="Arial" w:eastAsia="Times New Roman" w:hAnsi="Arial" w:cs="Arial"/>
          <w:lang w:eastAsia="ro-RO" w:bidi="hi-IN"/>
        </w:rPr>
        <w:t xml:space="preserve">ia din figura de mai jos. </w:t>
      </w:r>
    </w:p>
    <w:p w14:paraId="7764E511" w14:textId="77777777" w:rsidR="00A202DF" w:rsidRPr="00A202DF" w:rsidRDefault="00A202DF" w:rsidP="00A202DF">
      <w:pPr>
        <w:widowControl w:val="0"/>
        <w:suppressAutoHyphens/>
        <w:spacing w:after="0" w:line="276" w:lineRule="auto"/>
        <w:jc w:val="both"/>
        <w:rPr>
          <w:rFonts w:ascii="Arial" w:eastAsia="Times New Roman" w:hAnsi="Arial" w:cs="Arial"/>
          <w:color w:val="000000"/>
          <w:lang w:eastAsia="ro-RO" w:bidi="hi-IN"/>
        </w:rPr>
      </w:pPr>
    </w:p>
    <w:p w14:paraId="74B4B176" w14:textId="77777777" w:rsidR="00A202DF" w:rsidRPr="00A202DF" w:rsidRDefault="00A202DF" w:rsidP="00A202DF">
      <w:pPr>
        <w:widowControl w:val="0"/>
        <w:suppressAutoHyphens/>
        <w:spacing w:after="0" w:line="360" w:lineRule="auto"/>
        <w:jc w:val="center"/>
        <w:rPr>
          <w:rFonts w:ascii="Arial" w:eastAsia="Times New Roman" w:hAnsi="Arial" w:cs="Arial"/>
          <w:color w:val="000000"/>
          <w:sz w:val="24"/>
          <w:szCs w:val="24"/>
          <w:highlight w:val="yellow"/>
          <w:lang w:eastAsia="ro-RO" w:bidi="hi-IN"/>
        </w:rPr>
      </w:pPr>
      <w:r w:rsidRPr="00A202DF">
        <w:rPr>
          <w:rFonts w:ascii="Arial" w:eastAsia="Times New Roman" w:hAnsi="Arial" w:cs="Arial"/>
          <w:noProof/>
          <w:color w:val="000000"/>
          <w:sz w:val="24"/>
          <w:szCs w:val="24"/>
        </w:rPr>
        <w:lastRenderedPageBreak/>
        <w:drawing>
          <wp:inline distT="0" distB="0" distL="0" distR="0" wp14:anchorId="38A7F14D" wp14:editId="1DE0D816">
            <wp:extent cx="4866890" cy="3833269"/>
            <wp:effectExtent l="0" t="0" r="0" b="0"/>
            <wp:docPr id="2051" name="Picture 2051" descr="E:\Horezu\Primarie\statie taxi Horez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Horezu\Primarie\statie taxi Horezu.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64385" cy="3831296"/>
                    </a:xfrm>
                    <a:prstGeom prst="rect">
                      <a:avLst/>
                    </a:prstGeom>
                    <a:noFill/>
                    <a:ln>
                      <a:noFill/>
                    </a:ln>
                  </pic:spPr>
                </pic:pic>
              </a:graphicData>
            </a:graphic>
          </wp:inline>
        </w:drawing>
      </w:r>
    </w:p>
    <w:p w14:paraId="5308F879" w14:textId="67C2BD5F" w:rsidR="00A202DF" w:rsidRPr="00A202DF" w:rsidRDefault="00A202DF" w:rsidP="00A202DF">
      <w:pPr>
        <w:pStyle w:val="Legend"/>
        <w:jc w:val="center"/>
        <w:rPr>
          <w:rFonts w:ascii="Arial" w:eastAsia="Times New Roman" w:hAnsi="Arial" w:cs="Arial"/>
          <w:i w:val="0"/>
          <w:color w:val="000000"/>
          <w:sz w:val="22"/>
          <w:szCs w:val="22"/>
          <w:lang w:eastAsia="ro-RO" w:bidi="hi-IN"/>
        </w:rPr>
      </w:pPr>
      <w:bookmarkStart w:id="112" w:name="_Toc140744469"/>
      <w:r w:rsidRPr="00A202DF">
        <w:rPr>
          <w:rFonts w:ascii="Arial" w:hAnsi="Arial" w:cs="Arial"/>
          <w:sz w:val="22"/>
          <w:szCs w:val="22"/>
        </w:rPr>
        <w:t xml:space="preserve">Figura I.2. </w:t>
      </w:r>
      <w:r w:rsidRPr="00A202DF">
        <w:rPr>
          <w:rFonts w:ascii="Arial" w:hAnsi="Arial" w:cs="Arial"/>
          <w:sz w:val="22"/>
          <w:szCs w:val="22"/>
        </w:rPr>
        <w:fldChar w:fldCharType="begin"/>
      </w:r>
      <w:r w:rsidRPr="00A202DF">
        <w:rPr>
          <w:rFonts w:ascii="Arial" w:hAnsi="Arial" w:cs="Arial"/>
          <w:sz w:val="22"/>
          <w:szCs w:val="22"/>
        </w:rPr>
        <w:instrText xml:space="preserve"> SEQ Figura_I.2. \* ARABIC </w:instrText>
      </w:r>
      <w:r w:rsidRPr="00A202DF">
        <w:rPr>
          <w:rFonts w:ascii="Arial" w:hAnsi="Arial" w:cs="Arial"/>
          <w:sz w:val="22"/>
          <w:szCs w:val="22"/>
        </w:rPr>
        <w:fldChar w:fldCharType="separate"/>
      </w:r>
      <w:r w:rsidR="00BB181C">
        <w:rPr>
          <w:rFonts w:ascii="Arial" w:hAnsi="Arial" w:cs="Arial"/>
          <w:noProof/>
          <w:sz w:val="22"/>
          <w:szCs w:val="22"/>
        </w:rPr>
        <w:t>27</w:t>
      </w:r>
      <w:r w:rsidRPr="00A202DF">
        <w:rPr>
          <w:rFonts w:ascii="Arial" w:hAnsi="Arial" w:cs="Arial"/>
          <w:sz w:val="22"/>
          <w:szCs w:val="22"/>
        </w:rPr>
        <w:fldChar w:fldCharType="end"/>
      </w:r>
      <w:r w:rsidRPr="00A202DF">
        <w:rPr>
          <w:rFonts w:ascii="Arial" w:hAnsi="Arial" w:cs="Arial"/>
          <w:sz w:val="22"/>
          <w:szCs w:val="22"/>
        </w:rPr>
        <w:t xml:space="preserve"> - </w:t>
      </w:r>
      <w:r w:rsidRPr="00A202DF">
        <w:rPr>
          <w:rFonts w:ascii="Arial" w:hAnsi="Arial" w:cs="Arial"/>
          <w:i w:val="0"/>
          <w:sz w:val="22"/>
          <w:szCs w:val="22"/>
        </w:rPr>
        <w:t>Amplasament</w:t>
      </w:r>
      <w:r>
        <w:rPr>
          <w:rFonts w:ascii="Arial" w:hAnsi="Arial" w:cs="Arial"/>
          <w:i w:val="0"/>
          <w:sz w:val="22"/>
          <w:szCs w:val="22"/>
        </w:rPr>
        <w:t xml:space="preserve"> staţ</w:t>
      </w:r>
      <w:r w:rsidRPr="00A202DF">
        <w:rPr>
          <w:rFonts w:ascii="Arial" w:hAnsi="Arial" w:cs="Arial"/>
          <w:i w:val="0"/>
          <w:sz w:val="22"/>
          <w:szCs w:val="22"/>
        </w:rPr>
        <w:t>ie taxi</w:t>
      </w:r>
      <w:bookmarkEnd w:id="112"/>
    </w:p>
    <w:p w14:paraId="1A31167F" w14:textId="77777777" w:rsidR="00A202DF" w:rsidRPr="00A202DF" w:rsidRDefault="00A202DF" w:rsidP="00A202DF">
      <w:pPr>
        <w:widowControl w:val="0"/>
        <w:suppressAutoHyphens/>
        <w:spacing w:after="0" w:line="276" w:lineRule="auto"/>
        <w:jc w:val="center"/>
        <w:rPr>
          <w:rFonts w:ascii="Arial" w:eastAsia="Times New Roman" w:hAnsi="Arial" w:cs="Arial"/>
          <w:color w:val="000000"/>
          <w:lang w:eastAsia="ro-RO" w:bidi="hi-IN"/>
        </w:rPr>
      </w:pPr>
    </w:p>
    <w:p w14:paraId="6838C620" w14:textId="77777777" w:rsidR="00A202DF" w:rsidRPr="00A202DF" w:rsidRDefault="00A202DF" w:rsidP="00A202DF">
      <w:pPr>
        <w:widowControl w:val="0"/>
        <w:suppressAutoHyphens/>
        <w:spacing w:after="0" w:line="276" w:lineRule="auto"/>
        <w:jc w:val="both"/>
        <w:rPr>
          <w:rFonts w:ascii="Arial" w:eastAsia="Times New Roman" w:hAnsi="Arial" w:cs="Arial"/>
          <w:color w:val="000000"/>
          <w:lang w:eastAsia="ro-RO" w:bidi="hi-IN"/>
        </w:rPr>
      </w:pPr>
      <w:r w:rsidRPr="00A202DF">
        <w:rPr>
          <w:rFonts w:ascii="Arial" w:eastAsia="Times New Roman" w:hAnsi="Arial" w:cs="Arial"/>
          <w:color w:val="000000"/>
          <w:lang w:eastAsia="ro-RO" w:bidi="hi-IN"/>
        </w:rPr>
        <w:t xml:space="preserve">Tariful pentru transportul public de persoane în regim de taxi este de 2,49 lei/km pe timp de zi, respectiv de 2,69 lei/km pe timp de noapte. </w:t>
      </w:r>
    </w:p>
    <w:p w14:paraId="6515981C" w14:textId="77777777" w:rsidR="00A202DF" w:rsidRPr="00A202DF" w:rsidRDefault="00A202DF" w:rsidP="00A202DF">
      <w:pPr>
        <w:suppressAutoHyphens/>
        <w:autoSpaceDE w:val="0"/>
        <w:spacing w:after="0" w:line="276" w:lineRule="auto"/>
        <w:jc w:val="both"/>
        <w:rPr>
          <w:rFonts w:ascii="Arial" w:eastAsia="Times New Roman" w:hAnsi="Arial" w:cs="Arial"/>
          <w:color w:val="000000"/>
          <w:sz w:val="24"/>
          <w:szCs w:val="24"/>
          <w:lang w:eastAsia="ro-RO" w:bidi="hi-IN"/>
        </w:rPr>
      </w:pPr>
    </w:p>
    <w:p w14:paraId="087945E3" w14:textId="77777777" w:rsidR="00DE4288" w:rsidRPr="00DE4288" w:rsidRDefault="00DE4288" w:rsidP="00E8701F">
      <w:pPr>
        <w:suppressAutoHyphens/>
        <w:autoSpaceDE w:val="0"/>
        <w:spacing w:after="0" w:line="276" w:lineRule="auto"/>
        <w:jc w:val="both"/>
        <w:rPr>
          <w:rFonts w:ascii="Arial" w:eastAsia="Times New Roman" w:hAnsi="Arial" w:cs="Arial"/>
          <w:color w:val="000000"/>
          <w:sz w:val="24"/>
          <w:szCs w:val="24"/>
          <w:lang w:eastAsia="ro-RO" w:bidi="hi-IN"/>
        </w:rPr>
      </w:pPr>
    </w:p>
    <w:p w14:paraId="2F7AD588" w14:textId="77777777" w:rsidR="00DE4288" w:rsidRPr="00A32027" w:rsidRDefault="00DE4288" w:rsidP="00A32027">
      <w:pPr>
        <w:pStyle w:val="Titlu3"/>
        <w:rPr>
          <w:rFonts w:ascii="Arial" w:hAnsi="Arial" w:cs="Arial"/>
          <w:sz w:val="24"/>
          <w:szCs w:val="24"/>
          <w:lang w:eastAsia="hi-IN"/>
        </w:rPr>
      </w:pPr>
      <w:bookmarkStart w:id="113" w:name="__RefHeading___Toc448828020"/>
      <w:bookmarkStart w:id="114" w:name="_Toc491868804"/>
      <w:bookmarkStart w:id="115" w:name="_Toc499657532"/>
      <w:bookmarkStart w:id="116" w:name="_Toc142039057"/>
      <w:bookmarkEnd w:id="113"/>
      <w:r w:rsidRPr="00A32027">
        <w:rPr>
          <w:rFonts w:ascii="Arial" w:hAnsi="Arial" w:cs="Arial"/>
          <w:sz w:val="24"/>
          <w:szCs w:val="24"/>
        </w:rPr>
        <w:t>I.2.3.4 Curse regulate speciale</w:t>
      </w:r>
      <w:bookmarkEnd w:id="114"/>
      <w:bookmarkEnd w:id="115"/>
      <w:bookmarkEnd w:id="116"/>
    </w:p>
    <w:p w14:paraId="165E8180" w14:textId="77777777" w:rsidR="00A202DF" w:rsidRPr="00A202DF" w:rsidRDefault="00A202DF" w:rsidP="00A202DF">
      <w:pPr>
        <w:widowControl w:val="0"/>
        <w:suppressAutoHyphens/>
        <w:spacing w:after="0" w:line="276" w:lineRule="auto"/>
        <w:jc w:val="both"/>
        <w:rPr>
          <w:rFonts w:ascii="Arial" w:hAnsi="Arial" w:cs="Arial"/>
          <w:bCs/>
          <w:bdr w:val="none" w:sz="0" w:space="0" w:color="auto" w:frame="1"/>
          <w:shd w:val="clear" w:color="auto" w:fill="FFFFFF"/>
          <w:lang w:val="es-ES" w:eastAsia="zh-CN" w:bidi="hi-IN"/>
        </w:rPr>
      </w:pPr>
      <w:r w:rsidRPr="00A202DF">
        <w:rPr>
          <w:rFonts w:ascii="Arial" w:hAnsi="Arial" w:cs="Arial"/>
          <w:bCs/>
          <w:bdr w:val="none" w:sz="0" w:space="0" w:color="auto" w:frame="1"/>
          <w:shd w:val="clear" w:color="auto" w:fill="FFFFFF"/>
          <w:lang w:val="es-ES" w:eastAsia="zh-CN" w:bidi="hi-IN"/>
        </w:rPr>
        <w:t>Transportul rutier contra-cost de persoane se poate realiza doar în condiţiile prevăzute în OG </w:t>
      </w:r>
      <w:hyperlink r:id="rId80" w:tgtFrame="_blank" w:history="1">
        <w:r w:rsidRPr="00A202DF">
          <w:rPr>
            <w:rFonts w:ascii="Arial" w:hAnsi="Arial" w:cs="Arial"/>
            <w:bCs/>
            <w:bdr w:val="none" w:sz="0" w:space="0" w:color="auto" w:frame="1"/>
            <w:lang w:val="es-ES" w:eastAsia="zh-CN" w:bidi="hi-IN"/>
          </w:rPr>
          <w:t>nr. 27/2011</w:t>
        </w:r>
      </w:hyperlink>
      <w:r w:rsidRPr="00A202DF">
        <w:rPr>
          <w:rFonts w:ascii="Arial" w:hAnsi="Arial" w:cs="Arial"/>
          <w:b/>
          <w:bCs/>
          <w:bdr w:val="none" w:sz="0" w:space="0" w:color="auto" w:frame="1"/>
          <w:shd w:val="clear" w:color="auto" w:fill="FFFFFF"/>
          <w:lang w:val="es-ES" w:eastAsia="zh-CN" w:bidi="hi-IN"/>
        </w:rPr>
        <w:t> </w:t>
      </w:r>
      <w:r w:rsidRPr="00A202DF">
        <w:rPr>
          <w:rFonts w:ascii="Arial" w:hAnsi="Arial" w:cs="Arial"/>
          <w:bCs/>
          <w:bdr w:val="none" w:sz="0" w:space="0" w:color="auto" w:frame="1"/>
          <w:shd w:val="clear" w:color="auto" w:fill="FFFFFF"/>
          <w:lang w:val="es-ES" w:eastAsia="zh-CN" w:bidi="hi-IN"/>
        </w:rPr>
        <w:t>şi Ordinul </w:t>
      </w:r>
      <w:hyperlink r:id="rId81" w:tgtFrame="_blank" w:history="1">
        <w:r w:rsidRPr="00A202DF">
          <w:rPr>
            <w:rFonts w:ascii="Arial" w:hAnsi="Arial" w:cs="Arial"/>
            <w:bCs/>
            <w:bdr w:val="none" w:sz="0" w:space="0" w:color="auto" w:frame="1"/>
            <w:lang w:val="es-ES" w:eastAsia="zh-CN" w:bidi="hi-IN"/>
          </w:rPr>
          <w:t>nr.  980/2011</w:t>
        </w:r>
      </w:hyperlink>
      <w:r w:rsidRPr="00A202DF">
        <w:rPr>
          <w:rFonts w:ascii="Arial" w:hAnsi="Arial" w:cs="Arial"/>
          <w:bCs/>
          <w:bdr w:val="none" w:sz="0" w:space="0" w:color="auto" w:frame="1"/>
          <w:shd w:val="clear" w:color="auto" w:fill="FFFFFF"/>
          <w:lang w:val="es-ES" w:eastAsia="zh-CN" w:bidi="hi-IN"/>
        </w:rPr>
        <w:t>, de către operatorii de transport rutier, în baza licenţei comunitare, numai cu autovehicule la bordul cărora există, pe toată durata transportului, o copie conformă a licenţei comunitare, documentul de transport, precum şi celelalte documente specifice tipului de transport efectuat, stabilite prin reglementările în vigoare.</w:t>
      </w:r>
    </w:p>
    <w:p w14:paraId="429ABCBA" w14:textId="77777777" w:rsidR="00A202DF" w:rsidRPr="00A202DF" w:rsidRDefault="00A202DF" w:rsidP="00A202DF">
      <w:pPr>
        <w:widowControl w:val="0"/>
        <w:suppressAutoHyphens/>
        <w:spacing w:after="0" w:line="360" w:lineRule="auto"/>
        <w:jc w:val="both"/>
        <w:rPr>
          <w:rFonts w:ascii="Arial" w:eastAsia="Arial" w:hAnsi="Arial" w:cs="Arial"/>
          <w:sz w:val="24"/>
          <w:szCs w:val="24"/>
          <w:lang w:val="es-ES" w:eastAsia="zh-CN" w:bidi="hi-IN"/>
        </w:rPr>
      </w:pPr>
    </w:p>
    <w:p w14:paraId="4547125F" w14:textId="77777777" w:rsidR="00A202DF" w:rsidRPr="00A202DF" w:rsidRDefault="00A202DF" w:rsidP="00A202DF">
      <w:pPr>
        <w:widowControl w:val="0"/>
        <w:suppressAutoHyphens/>
        <w:autoSpaceDE w:val="0"/>
        <w:spacing w:after="0" w:line="276" w:lineRule="auto"/>
        <w:jc w:val="both"/>
        <w:rPr>
          <w:rFonts w:ascii="Arial" w:hAnsi="Arial" w:cs="Arial"/>
          <w:kern w:val="1"/>
          <w:lang w:val="es-ES" w:eastAsia="hi-IN" w:bidi="hi-IN"/>
        </w:rPr>
      </w:pPr>
      <w:r w:rsidRPr="00A202DF">
        <w:rPr>
          <w:rFonts w:ascii="Arial" w:eastAsia="Arial" w:hAnsi="Arial" w:cs="Arial"/>
          <w:kern w:val="1"/>
          <w:lang w:val="es-ES" w:eastAsia="hi-IN" w:bidi="hi-IN"/>
        </w:rPr>
        <w:t>“</w:t>
      </w:r>
      <w:r w:rsidRPr="00A202DF">
        <w:rPr>
          <w:rFonts w:ascii="Arial" w:hAnsi="Arial" w:cs="Arial"/>
          <w:kern w:val="1"/>
          <w:lang w:val="es-ES" w:eastAsia="hi-IN" w:bidi="hi-IN"/>
        </w:rPr>
        <w:t>Este considerat serviciu de transport public local de persoane prin curse regulate speciale transportul public efectuat tur-retur, pe rute şi cu programe de transport prestabilite de către beneficiarul serviciului de transport sau de către cel care a angajat serviciul privind transportul unor persoane sau al unor grupuri de persoane, şi anume: transportul copiilor, elevilor şi studenţilor la şi de la instituţiile de învăţământ, transportul salariaţilor la şi de la instituţiile la care sunt salariaţi sau transportul angajaţilor unui operator economic la şi de la locul de muncă.</w:t>
      </w:r>
    </w:p>
    <w:p w14:paraId="5298A871" w14:textId="77777777" w:rsidR="00A202DF" w:rsidRPr="00A202DF" w:rsidRDefault="00A202DF" w:rsidP="00A202DF">
      <w:pPr>
        <w:widowControl w:val="0"/>
        <w:suppressAutoHyphens/>
        <w:autoSpaceDE w:val="0"/>
        <w:spacing w:after="0" w:line="276" w:lineRule="auto"/>
        <w:rPr>
          <w:rFonts w:ascii="Arial" w:hAnsi="Arial" w:cs="Arial"/>
          <w:kern w:val="1"/>
          <w:sz w:val="24"/>
          <w:szCs w:val="24"/>
          <w:lang w:val="es-ES" w:eastAsia="hi-IN" w:bidi="hi-IN"/>
        </w:rPr>
      </w:pPr>
      <w:r w:rsidRPr="00A202DF">
        <w:rPr>
          <w:rFonts w:ascii="Arial" w:hAnsi="Arial" w:cs="Arial"/>
          <w:kern w:val="1"/>
          <w:sz w:val="24"/>
          <w:szCs w:val="24"/>
          <w:lang w:val="es-ES" w:eastAsia="hi-IN" w:bidi="hi-IN"/>
        </w:rPr>
        <w:t>…</w:t>
      </w:r>
    </w:p>
    <w:p w14:paraId="4582E066" w14:textId="77777777" w:rsidR="00A202DF" w:rsidRPr="00A202DF" w:rsidRDefault="00A202DF" w:rsidP="00A202DF">
      <w:pPr>
        <w:widowControl w:val="0"/>
        <w:suppressAutoHyphens/>
        <w:autoSpaceDE w:val="0"/>
        <w:spacing w:after="0" w:line="276" w:lineRule="auto"/>
        <w:jc w:val="both"/>
        <w:rPr>
          <w:rFonts w:ascii="Arial" w:hAnsi="Arial" w:cs="Arial"/>
          <w:kern w:val="1"/>
          <w:lang w:val="es-ES" w:eastAsia="hi-IN" w:bidi="hi-IN"/>
        </w:rPr>
      </w:pPr>
      <w:r w:rsidRPr="00A202DF">
        <w:rPr>
          <w:rFonts w:ascii="Arial" w:hAnsi="Arial" w:cs="Arial"/>
          <w:kern w:val="1"/>
          <w:lang w:val="es-ES" w:eastAsia="hi-IN" w:bidi="hi-IN"/>
        </w:rPr>
        <w:t xml:space="preserve">Transportul public local de persoane prin curse regulate speciale locale sau judeţene se realizează de către operatorii de transport rutier cu autobuze deţinute în proprietate sau în baza unui contract de leasing pe bază de licenţe de traseu şi caiete de sarcini elaborate şi eliberate de Autoritatea de autorizare din cadrul Consiliului Local </w:t>
      </w:r>
      <w:r>
        <w:rPr>
          <w:rFonts w:ascii="Arial" w:hAnsi="Arial" w:cs="Arial"/>
          <w:kern w:val="1"/>
          <w:lang w:val="es-ES" w:eastAsia="hi-IN" w:bidi="hi-IN"/>
        </w:rPr>
        <w:t>Horezu</w:t>
      </w:r>
      <w:r w:rsidRPr="00A202DF">
        <w:rPr>
          <w:rFonts w:ascii="Arial" w:hAnsi="Arial" w:cs="Arial"/>
          <w:kern w:val="1"/>
          <w:lang w:val="es-ES" w:eastAsia="hi-IN" w:bidi="hi-IN"/>
        </w:rPr>
        <w:t>.”</w:t>
      </w:r>
    </w:p>
    <w:p w14:paraId="48E791BB" w14:textId="77777777" w:rsidR="00A202DF" w:rsidRPr="00A202DF" w:rsidRDefault="00A202DF" w:rsidP="00A202DF">
      <w:pPr>
        <w:widowControl w:val="0"/>
        <w:suppressAutoHyphens/>
        <w:spacing w:after="0" w:line="276" w:lineRule="auto"/>
        <w:jc w:val="both"/>
        <w:rPr>
          <w:rFonts w:ascii="Arial" w:hAnsi="Arial" w:cs="Arial"/>
          <w:sz w:val="24"/>
          <w:szCs w:val="24"/>
          <w:lang w:val="es-ES" w:eastAsia="zh-CN" w:bidi="hi-IN"/>
        </w:rPr>
      </w:pPr>
    </w:p>
    <w:p w14:paraId="76CE8341" w14:textId="77777777" w:rsidR="00A202DF" w:rsidRPr="00A202DF" w:rsidRDefault="00A202DF" w:rsidP="00A202DF">
      <w:pPr>
        <w:widowControl w:val="0"/>
        <w:suppressAutoHyphens/>
        <w:spacing w:after="0" w:line="276" w:lineRule="auto"/>
        <w:jc w:val="both"/>
        <w:rPr>
          <w:rFonts w:ascii="Arial" w:hAnsi="Arial" w:cs="Arial"/>
          <w:color w:val="FF0000"/>
          <w:lang w:val="es-ES" w:eastAsia="zh-CN" w:bidi="hi-IN"/>
        </w:rPr>
      </w:pPr>
      <w:r w:rsidRPr="00A202DF">
        <w:rPr>
          <w:rFonts w:ascii="Arial" w:hAnsi="Arial" w:cs="Arial"/>
          <w:lang w:val="es-ES" w:eastAsia="zh-CN" w:bidi="hi-IN"/>
        </w:rPr>
        <w:t xml:space="preserve">Se considerǎ activitate de transport de persoane prin curse regulate speciale orice deplasare cu un vehicul cu o repetabilitate de cel puțin o datǎ pe sǎptǎmânǎ, conform unui grafic de circulație, a unui numǎr minim de 9 cǎlǎtori, inclusiv conducǎtorul auto. </w:t>
      </w:r>
    </w:p>
    <w:p w14:paraId="6B8E4A06" w14:textId="77777777" w:rsidR="00A202DF" w:rsidRPr="00A202DF" w:rsidRDefault="00A202DF" w:rsidP="00A202DF">
      <w:pPr>
        <w:widowControl w:val="0"/>
        <w:suppressAutoHyphens/>
        <w:spacing w:after="0" w:line="276" w:lineRule="auto"/>
        <w:jc w:val="both"/>
        <w:rPr>
          <w:rFonts w:ascii="Arial" w:hAnsi="Arial" w:cs="Arial"/>
          <w:lang w:val="es-ES" w:eastAsia="zh-CN" w:bidi="hi-IN"/>
        </w:rPr>
      </w:pPr>
    </w:p>
    <w:p w14:paraId="4CBABA4C" w14:textId="77777777" w:rsidR="00A202DF" w:rsidRPr="00A202DF" w:rsidRDefault="00A202DF" w:rsidP="00A202DF">
      <w:pPr>
        <w:widowControl w:val="0"/>
        <w:suppressAutoHyphens/>
        <w:spacing w:after="0" w:line="276" w:lineRule="auto"/>
        <w:jc w:val="both"/>
        <w:rPr>
          <w:rFonts w:ascii="Arial" w:hAnsi="Arial" w:cs="Arial"/>
          <w:lang w:val="es-ES" w:eastAsia="zh-CN" w:bidi="hi-IN"/>
        </w:rPr>
      </w:pPr>
      <w:r w:rsidRPr="00A202DF">
        <w:rPr>
          <w:rFonts w:ascii="Arial" w:hAnsi="Arial" w:cs="Arial"/>
          <w:lang w:val="es-ES" w:eastAsia="zh-CN" w:bidi="hi-IN"/>
        </w:rPr>
        <w:t xml:space="preserve">Se impune respectarea regulilor de parcare pe teritoriul </w:t>
      </w:r>
      <w:r>
        <w:rPr>
          <w:rFonts w:ascii="Arial" w:hAnsi="Arial" w:cs="Arial"/>
          <w:lang w:val="es-ES" w:eastAsia="zh-CN" w:bidi="hi-IN"/>
        </w:rPr>
        <w:t>oraşului</w:t>
      </w:r>
      <w:r w:rsidRPr="00A202DF">
        <w:rPr>
          <w:rFonts w:ascii="Arial" w:hAnsi="Arial" w:cs="Arial"/>
          <w:lang w:val="es-ES" w:eastAsia="zh-CN" w:bidi="hi-IN"/>
        </w:rPr>
        <w:t xml:space="preserve"> prin care se interzice staționarea îndelungatǎ pe domeniul public a vehiculelor care efectueazǎ curse regulate speciale ale operatorilor de transport, aceștia fiind obligați sǎ-și retragǎ mijloacele de transport în parcǎrile de domiciliu.</w:t>
      </w:r>
    </w:p>
    <w:p w14:paraId="3289C1AA" w14:textId="77777777" w:rsidR="00DE4288" w:rsidRPr="00DE4288" w:rsidRDefault="00DE4288" w:rsidP="00DE4288">
      <w:pPr>
        <w:suppressAutoHyphens/>
        <w:autoSpaceDE w:val="0"/>
        <w:spacing w:after="0" w:line="360" w:lineRule="auto"/>
        <w:jc w:val="both"/>
        <w:rPr>
          <w:rFonts w:ascii="Arial" w:eastAsia="Calibri" w:hAnsi="Arial" w:cs="Arial"/>
          <w:sz w:val="24"/>
          <w:szCs w:val="24"/>
          <w:lang w:val="es-ES" w:eastAsia="zh-CN"/>
        </w:rPr>
      </w:pPr>
    </w:p>
    <w:p w14:paraId="69D7583E" w14:textId="77777777" w:rsidR="00D70AEA" w:rsidRPr="00A32027" w:rsidRDefault="00D70AEA" w:rsidP="00A32027">
      <w:pPr>
        <w:pStyle w:val="Titlu2"/>
        <w:rPr>
          <w:rFonts w:ascii="Arial" w:eastAsia="Times New Roman" w:hAnsi="Arial" w:cs="Arial"/>
          <w:b/>
          <w:bCs/>
          <w:color w:val="auto"/>
          <w:lang w:val="it-IT"/>
        </w:rPr>
      </w:pPr>
      <w:bookmarkStart w:id="117" w:name="_Toc61264891"/>
      <w:bookmarkStart w:id="118" w:name="_Toc142039058"/>
      <w:r w:rsidRPr="00A32027">
        <w:rPr>
          <w:rFonts w:ascii="Arial" w:eastAsia="Times New Roman" w:hAnsi="Arial" w:cs="Arial"/>
          <w:b/>
          <w:bCs/>
          <w:color w:val="auto"/>
          <w:lang w:val="it-IT"/>
        </w:rPr>
        <w:t>I.2.4</w:t>
      </w:r>
      <w:r w:rsidR="003430C5" w:rsidRPr="00A32027">
        <w:rPr>
          <w:rFonts w:ascii="Arial" w:eastAsia="Times New Roman" w:hAnsi="Arial" w:cs="Arial"/>
          <w:b/>
          <w:bCs/>
          <w:color w:val="auto"/>
          <w:lang w:val="it-IT"/>
        </w:rPr>
        <w:t xml:space="preserve"> </w:t>
      </w:r>
      <w:r w:rsidRPr="00A32027">
        <w:rPr>
          <w:rFonts w:ascii="Arial" w:eastAsia="Times New Roman" w:hAnsi="Arial" w:cs="Arial"/>
          <w:b/>
          <w:bCs/>
          <w:color w:val="auto"/>
          <w:lang w:val="it-IT"/>
        </w:rPr>
        <w:t>Transport de marf</w:t>
      </w:r>
      <w:bookmarkEnd w:id="117"/>
      <w:r w:rsidR="00A32027">
        <w:rPr>
          <w:rFonts w:ascii="Arial" w:eastAsia="Times New Roman" w:hAnsi="Arial" w:cs="Arial"/>
          <w:b/>
          <w:bCs/>
          <w:color w:val="auto"/>
          <w:lang w:val="it-IT"/>
        </w:rPr>
        <w:t>ă</w:t>
      </w:r>
      <w:bookmarkEnd w:id="118"/>
    </w:p>
    <w:p w14:paraId="0561394A" w14:textId="77777777" w:rsidR="00A202DF" w:rsidRPr="00A202DF" w:rsidRDefault="00A202DF" w:rsidP="00A202DF">
      <w:p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Cam prin anii ‘70 specialiştii din transporturi au constatat că ”orice zonă urbană depinde de un flux mare de bunuri spre interiorul, exteriorul și între granițele sale. Cu toate acestea, transportul bunurilor rămâne un aspect uitat al studiilor legate de transport”, dar până la jumătatea anilor ’80, problemele legate de congestia provocată de transportul de mărfuri nu au fost în atenția cercetătorilor și a oamenilor politici cu putere de decizie. </w:t>
      </w:r>
    </w:p>
    <w:p w14:paraId="7DDF7B89" w14:textId="77777777" w:rsidR="00A202DF" w:rsidRPr="00A202DF" w:rsidRDefault="00A202DF" w:rsidP="00A202DF">
      <w:pPr>
        <w:suppressAutoHyphens/>
        <w:autoSpaceDE w:val="0"/>
        <w:spacing w:after="0" w:line="360" w:lineRule="auto"/>
        <w:jc w:val="both"/>
        <w:rPr>
          <w:rFonts w:ascii="Arial" w:eastAsia="Calibri" w:hAnsi="Arial" w:cs="Arial"/>
          <w:color w:val="000000"/>
          <w:sz w:val="24"/>
          <w:szCs w:val="24"/>
          <w:lang w:val="es-ES" w:eastAsia="zh-CN"/>
        </w:rPr>
      </w:pPr>
    </w:p>
    <w:p w14:paraId="019324B2" w14:textId="77777777" w:rsidR="00A202DF" w:rsidRPr="00A202DF" w:rsidRDefault="00A202DF" w:rsidP="00A202DF">
      <w:p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În sistemul de transport marfă sunt implicate mai multe categorii de actori, cei mai importanți fiind grupați în următoarele categorii: expeditori, transportatori, consumatori, administrația publică. Fiecare dintre aceste categorii are propriile țeluri totodată și propriile puncte de vedere asupra situațiilor. În funcție de scopul principal urmărit de către aceşti actori, pot fi alăturați în felul următor: consumatorii și administrația publică pe de o parte și expeditorii și transportatorii de cealaltă. Administrația publică și consumatorii au câteva puncte de vedere comune, cum ar fi accidentele, congestia, zgomotul, provocate de vehiculele care transportă marfă deoarece acestea afectează calitatea vieții și a mediului urban. De cealaltă parte, expeditorii și transportatorii au puncte de vedere total diferite de ale consumatorilor și administrației publice; aceștia doresc să efectueze transportul mărfurilor cu costuri cât mai mici pentru a-și putea mări profitul. </w:t>
      </w:r>
    </w:p>
    <w:p w14:paraId="04F35FC3" w14:textId="77777777" w:rsidR="00A202DF" w:rsidRPr="00A202DF" w:rsidRDefault="00A202DF" w:rsidP="00A202DF">
      <w:pPr>
        <w:suppressAutoHyphens/>
        <w:autoSpaceDE w:val="0"/>
        <w:spacing w:after="0" w:line="360" w:lineRule="auto"/>
        <w:jc w:val="both"/>
        <w:rPr>
          <w:rFonts w:ascii="Arial" w:eastAsia="Calibri" w:hAnsi="Arial" w:cs="Arial"/>
          <w:color w:val="000000"/>
          <w:sz w:val="24"/>
          <w:szCs w:val="24"/>
          <w:lang w:val="es-ES" w:eastAsia="zh-CN"/>
        </w:rPr>
      </w:pPr>
    </w:p>
    <w:p w14:paraId="07AD7DEE" w14:textId="77777777" w:rsidR="00A202DF" w:rsidRPr="00A202DF" w:rsidRDefault="00A202DF" w:rsidP="00A202DF">
      <w:p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Importanța transportului urban de mărfuri rezidă în: </w:t>
      </w:r>
    </w:p>
    <w:p w14:paraId="25C4DA61" w14:textId="77777777" w:rsidR="00A202DF" w:rsidRPr="00A202DF" w:rsidRDefault="00A202DF" w:rsidP="000C6CB8">
      <w:pPr>
        <w:numPr>
          <w:ilvl w:val="0"/>
          <w:numId w:val="133"/>
        </w:num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eastAsia="zh-CN"/>
        </w:rPr>
        <w:t xml:space="preserve">efectele generate asupra mediului; </w:t>
      </w:r>
    </w:p>
    <w:p w14:paraId="0BFA7751" w14:textId="77777777" w:rsidR="00A202DF" w:rsidRPr="00A202DF" w:rsidRDefault="00A202DF" w:rsidP="000C6CB8">
      <w:pPr>
        <w:widowControl w:val="0"/>
        <w:numPr>
          <w:ilvl w:val="0"/>
          <w:numId w:val="133"/>
        </w:numPr>
        <w:tabs>
          <w:tab w:val="left" w:pos="450"/>
        </w:tabs>
        <w:suppressAutoHyphens/>
        <w:autoSpaceDE w:val="0"/>
        <w:spacing w:after="0" w:line="276" w:lineRule="auto"/>
        <w:rPr>
          <w:rFonts w:ascii="Arial" w:eastAsia="Calibri" w:hAnsi="Arial" w:cs="Arial"/>
          <w:color w:val="000000"/>
          <w:lang w:val="es-ES" w:eastAsia="zh-CN"/>
        </w:rPr>
      </w:pPr>
      <w:r w:rsidRPr="00A202DF">
        <w:rPr>
          <w:rFonts w:ascii="Arial" w:eastAsia="Calibri" w:hAnsi="Arial" w:cs="Arial"/>
          <w:color w:val="000000"/>
          <w:lang w:val="es-ES" w:eastAsia="zh-CN"/>
        </w:rPr>
        <w:t xml:space="preserve">costul semnificativ al transportului mărfurilor și al distribuției fizice; </w:t>
      </w:r>
    </w:p>
    <w:p w14:paraId="22C00D55" w14:textId="77777777" w:rsidR="00A202DF" w:rsidRPr="00A202DF" w:rsidRDefault="00A202DF" w:rsidP="000C6CB8">
      <w:pPr>
        <w:widowControl w:val="0"/>
        <w:numPr>
          <w:ilvl w:val="0"/>
          <w:numId w:val="133"/>
        </w:numPr>
        <w:tabs>
          <w:tab w:val="left" w:pos="450"/>
        </w:tabs>
        <w:suppressAutoHyphens/>
        <w:autoSpaceDE w:val="0"/>
        <w:spacing w:after="0" w:line="276" w:lineRule="auto"/>
        <w:rPr>
          <w:rFonts w:ascii="Arial" w:eastAsia="Calibri" w:hAnsi="Arial" w:cs="Arial"/>
          <w:color w:val="000000"/>
          <w:lang w:val="es-ES" w:eastAsia="zh-CN"/>
        </w:rPr>
      </w:pPr>
      <w:r w:rsidRPr="00A202DF">
        <w:rPr>
          <w:rFonts w:ascii="Arial" w:eastAsia="Calibri" w:hAnsi="Arial" w:cs="Arial"/>
          <w:color w:val="000000"/>
          <w:lang w:val="es-ES" w:eastAsia="zh-CN"/>
        </w:rPr>
        <w:t xml:space="preserve">impactul direct asupra eficienței economiei; </w:t>
      </w:r>
    </w:p>
    <w:p w14:paraId="3CCC447B" w14:textId="77777777" w:rsidR="00A202DF" w:rsidRPr="00A202DF" w:rsidRDefault="00A202DF" w:rsidP="000C6CB8">
      <w:pPr>
        <w:widowControl w:val="0"/>
        <w:numPr>
          <w:ilvl w:val="0"/>
          <w:numId w:val="133"/>
        </w:numPr>
        <w:tabs>
          <w:tab w:val="left" w:pos="450"/>
        </w:tabs>
        <w:suppressAutoHyphens/>
        <w:autoSpaceDE w:val="0"/>
        <w:spacing w:after="0" w:line="276" w:lineRule="auto"/>
        <w:rPr>
          <w:rFonts w:ascii="Arial" w:eastAsia="Calibri" w:hAnsi="Arial" w:cs="Arial"/>
          <w:color w:val="000000"/>
          <w:lang w:eastAsia="zh-CN"/>
        </w:rPr>
      </w:pPr>
      <w:r w:rsidRPr="00A202DF">
        <w:rPr>
          <w:rFonts w:ascii="Arial" w:eastAsia="Calibri" w:hAnsi="Arial" w:cs="Arial"/>
          <w:color w:val="000000"/>
          <w:lang w:eastAsia="zh-CN"/>
        </w:rPr>
        <w:t xml:space="preserve">rolul pe care îl joacă în industrie și activitățile de comerț; </w:t>
      </w:r>
    </w:p>
    <w:p w14:paraId="036BEAEB" w14:textId="77777777" w:rsidR="00A202DF" w:rsidRPr="00A202DF" w:rsidRDefault="00A202DF" w:rsidP="000C6CB8">
      <w:pPr>
        <w:widowControl w:val="0"/>
        <w:numPr>
          <w:ilvl w:val="0"/>
          <w:numId w:val="133"/>
        </w:numPr>
        <w:tabs>
          <w:tab w:val="left" w:pos="450"/>
        </w:tabs>
        <w:suppressAutoHyphens/>
        <w:autoSpaceDE w:val="0"/>
        <w:spacing w:after="0" w:line="276" w:lineRule="auto"/>
        <w:rPr>
          <w:rFonts w:ascii="Arial" w:eastAsia="Calibri" w:hAnsi="Arial" w:cs="Arial"/>
          <w:color w:val="000000"/>
          <w:lang w:val="es-ES" w:eastAsia="zh-CN"/>
        </w:rPr>
      </w:pPr>
      <w:r w:rsidRPr="00A202DF">
        <w:rPr>
          <w:rFonts w:ascii="Arial" w:eastAsia="Calibri" w:hAnsi="Arial" w:cs="Arial"/>
          <w:color w:val="000000"/>
          <w:lang w:val="es-ES" w:eastAsia="zh-CN"/>
        </w:rPr>
        <w:t xml:space="preserve">contribuția pe care o are un sector eficient de transport al mărfurilor la competitivitatea industriei din zona respectivă; </w:t>
      </w:r>
    </w:p>
    <w:p w14:paraId="5E1FF0BE" w14:textId="77777777" w:rsidR="00A202DF" w:rsidRPr="00A202DF" w:rsidRDefault="00A202DF" w:rsidP="000C6CB8">
      <w:pPr>
        <w:widowControl w:val="0"/>
        <w:numPr>
          <w:ilvl w:val="0"/>
          <w:numId w:val="133"/>
        </w:numPr>
        <w:tabs>
          <w:tab w:val="left" w:pos="450"/>
        </w:tabs>
        <w:suppressAutoHyphens/>
        <w:autoSpaceDE w:val="0"/>
        <w:spacing w:after="0" w:line="276" w:lineRule="auto"/>
        <w:rPr>
          <w:rFonts w:ascii="Arial" w:eastAsia="Calibri" w:hAnsi="Arial" w:cs="Arial"/>
          <w:color w:val="000000"/>
          <w:lang w:eastAsia="zh-CN"/>
        </w:rPr>
      </w:pPr>
      <w:r w:rsidRPr="00A202DF">
        <w:rPr>
          <w:rFonts w:ascii="Arial" w:eastAsia="Calibri" w:hAnsi="Arial" w:cs="Arial"/>
          <w:color w:val="000000"/>
          <w:lang w:eastAsia="zh-CN"/>
        </w:rPr>
        <w:t xml:space="preserve">generarea locurilor de muncă; </w:t>
      </w:r>
    </w:p>
    <w:p w14:paraId="0A638BC8" w14:textId="77777777" w:rsidR="00A202DF" w:rsidRPr="00A202DF" w:rsidRDefault="00A202DF" w:rsidP="00A202DF">
      <w:pPr>
        <w:suppressAutoHyphens/>
        <w:autoSpaceDE w:val="0"/>
        <w:spacing w:after="0" w:line="276" w:lineRule="auto"/>
        <w:jc w:val="both"/>
        <w:rPr>
          <w:rFonts w:ascii="Arial" w:eastAsia="Calibri" w:hAnsi="Arial" w:cs="Arial"/>
          <w:lang w:val="es-ES" w:eastAsia="zh-CN"/>
        </w:rPr>
      </w:pPr>
      <w:r w:rsidRPr="00A202DF">
        <w:rPr>
          <w:rFonts w:ascii="Arial" w:eastAsia="Calibri" w:hAnsi="Arial" w:cs="Arial"/>
          <w:b/>
          <w:color w:val="000000"/>
          <w:lang w:val="es-ES" w:eastAsia="zh-CN"/>
        </w:rPr>
        <w:t xml:space="preserve">dar este de remarcat că transportul urban de mărfuri este indispensabil pentru păstrarea stilului de viață (orășenesc). </w:t>
      </w:r>
    </w:p>
    <w:p w14:paraId="27F63A92" w14:textId="77777777" w:rsidR="00A202DF" w:rsidRPr="00A202DF" w:rsidRDefault="00A202DF" w:rsidP="00A202DF">
      <w:pPr>
        <w:suppressAutoHyphens/>
        <w:autoSpaceDE w:val="0"/>
        <w:spacing w:after="0" w:line="360" w:lineRule="auto"/>
        <w:jc w:val="both"/>
        <w:rPr>
          <w:rFonts w:ascii="Arial" w:eastAsia="Calibri" w:hAnsi="Arial" w:cs="Arial"/>
          <w:sz w:val="24"/>
          <w:szCs w:val="24"/>
          <w:lang w:val="es-ES" w:eastAsia="zh-CN"/>
        </w:rPr>
      </w:pPr>
    </w:p>
    <w:p w14:paraId="2C31AE62" w14:textId="77777777" w:rsidR="00A202DF" w:rsidRPr="00A202DF" w:rsidRDefault="00A202DF" w:rsidP="00A202DF">
      <w:p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Distribuţia mărfurilor este un subiect intens dezbătut, îndeosebi în ultimele decenii. Originile distribuţiei mărfurilor şi preocupările de eficientizare a acesteia, însă, se identifică odată cu apariţia primelor forme de comercializare a produselor. Importanţa acestui subiect derivă din complexitatea acesteia, fiind un proces cu o structură eterogenă şi o diversitate mare de participanţi. Complexitatea lui este datorată sferei largi de activităţi care le implică, interferenţei unui număr extins de probleme asociate, numărului mare de restricţii, însă probabil cel mai important, </w:t>
      </w:r>
      <w:r w:rsidRPr="00A202DF">
        <w:rPr>
          <w:rFonts w:ascii="Arial" w:eastAsia="Calibri" w:hAnsi="Arial" w:cs="Arial"/>
          <w:color w:val="000000"/>
          <w:lang w:val="es-ES" w:eastAsia="zh-CN"/>
        </w:rPr>
        <w:lastRenderedPageBreak/>
        <w:t xml:space="preserve">complexitatea este determinată din necesitatea obţinerii de soluţii care să ofere cel mai eficient răspuns cerinţelor cumpărătorilor. Una dintre cele mai importante influenţe asupra servirii clienţilor o are politica de distribuţie, care are rolul de a asigura coerenţa deciziilor referitoare la produse, preţ, promovare şi plasare, prin alegerea modalităţii adecvate de distribuţie. Complexitatea distribuției urbane este cauzată de: </w:t>
      </w:r>
    </w:p>
    <w:p w14:paraId="08FBBA0D" w14:textId="77777777" w:rsidR="00A202DF" w:rsidRPr="00A202DF" w:rsidRDefault="00A202DF" w:rsidP="000C6CB8">
      <w:pPr>
        <w:numPr>
          <w:ilvl w:val="0"/>
          <w:numId w:val="134"/>
        </w:numPr>
        <w:suppressAutoHyphens/>
        <w:autoSpaceDE w:val="0"/>
        <w:spacing w:after="0" w:line="276" w:lineRule="auto"/>
        <w:rPr>
          <w:rFonts w:ascii="Arial" w:eastAsia="Arial" w:hAnsi="Arial" w:cs="Arial"/>
          <w:color w:val="000000"/>
          <w:lang w:val="es-ES" w:eastAsia="zh-CN"/>
        </w:rPr>
      </w:pPr>
      <w:r w:rsidRPr="00A202DF">
        <w:rPr>
          <w:rFonts w:ascii="Arial" w:eastAsia="Calibri" w:hAnsi="Arial" w:cs="Arial"/>
          <w:color w:val="000000"/>
          <w:lang w:val="es-ES" w:eastAsia="zh-CN"/>
        </w:rPr>
        <w:t xml:space="preserve">sfera largă de activităţi pe care le implică; </w:t>
      </w:r>
    </w:p>
    <w:p w14:paraId="3C1D2D09" w14:textId="77777777" w:rsidR="00A202DF" w:rsidRPr="00A202DF" w:rsidRDefault="00A202DF" w:rsidP="000C6CB8">
      <w:pPr>
        <w:numPr>
          <w:ilvl w:val="0"/>
          <w:numId w:val="134"/>
        </w:numPr>
        <w:suppressAutoHyphens/>
        <w:autoSpaceDE w:val="0"/>
        <w:spacing w:after="0" w:line="276" w:lineRule="auto"/>
        <w:rPr>
          <w:rFonts w:ascii="Arial" w:eastAsia="Arial" w:hAnsi="Arial" w:cs="Arial"/>
          <w:color w:val="000000"/>
          <w:lang w:val="es-ES" w:eastAsia="zh-CN"/>
        </w:rPr>
      </w:pPr>
      <w:r w:rsidRPr="00A202DF">
        <w:rPr>
          <w:rFonts w:ascii="Arial" w:eastAsia="Calibri" w:hAnsi="Arial" w:cs="Arial"/>
          <w:color w:val="000000"/>
          <w:lang w:val="es-ES" w:eastAsia="zh-CN"/>
        </w:rPr>
        <w:t xml:space="preserve">apariția unui număr extins de probleme asociate; </w:t>
      </w:r>
    </w:p>
    <w:p w14:paraId="46558178" w14:textId="77777777" w:rsidR="00A202DF" w:rsidRPr="00A202DF" w:rsidRDefault="00A202DF" w:rsidP="000C6CB8">
      <w:pPr>
        <w:numPr>
          <w:ilvl w:val="0"/>
          <w:numId w:val="134"/>
        </w:numPr>
        <w:suppressAutoHyphens/>
        <w:autoSpaceDE w:val="0"/>
        <w:spacing w:after="0" w:line="276" w:lineRule="auto"/>
        <w:rPr>
          <w:rFonts w:ascii="Arial" w:eastAsia="Arial" w:hAnsi="Arial" w:cs="Arial"/>
          <w:color w:val="000000"/>
          <w:lang w:val="es-ES" w:eastAsia="zh-CN"/>
        </w:rPr>
      </w:pPr>
      <w:r w:rsidRPr="00A202DF">
        <w:rPr>
          <w:rFonts w:ascii="Arial" w:eastAsia="Calibri" w:hAnsi="Arial" w:cs="Arial"/>
          <w:color w:val="000000"/>
          <w:lang w:val="es-ES" w:eastAsia="zh-CN"/>
        </w:rPr>
        <w:t xml:space="preserve">numărul mare de restricţii; </w:t>
      </w:r>
    </w:p>
    <w:p w14:paraId="5954B235" w14:textId="77777777" w:rsidR="00A202DF" w:rsidRPr="00A202DF" w:rsidRDefault="00A202DF" w:rsidP="000C6CB8">
      <w:pPr>
        <w:numPr>
          <w:ilvl w:val="0"/>
          <w:numId w:val="134"/>
        </w:numPr>
        <w:suppressAutoHyphens/>
        <w:autoSpaceDE w:val="0"/>
        <w:spacing w:after="0" w:line="276" w:lineRule="auto"/>
        <w:rPr>
          <w:rFonts w:ascii="Arial" w:eastAsia="Calibri" w:hAnsi="Arial" w:cs="Arial"/>
          <w:color w:val="000000"/>
          <w:lang w:val="es-ES" w:eastAsia="zh-CN"/>
        </w:rPr>
      </w:pPr>
      <w:r w:rsidRPr="00A202DF">
        <w:rPr>
          <w:rFonts w:ascii="Arial" w:eastAsia="Calibri" w:hAnsi="Arial" w:cs="Arial"/>
          <w:color w:val="000000"/>
          <w:lang w:val="es-ES" w:eastAsia="zh-CN"/>
        </w:rPr>
        <w:t xml:space="preserve">necesitatea obţinerii celor mai eficiente soluţii care să satisfacă cerinţele cumpărătorilor. </w:t>
      </w:r>
    </w:p>
    <w:p w14:paraId="21457E63" w14:textId="77777777" w:rsidR="00A202DF" w:rsidRPr="00A202DF" w:rsidRDefault="00A202DF" w:rsidP="00A202DF">
      <w:pPr>
        <w:suppressAutoHyphens/>
        <w:autoSpaceDE w:val="0"/>
        <w:spacing w:after="0" w:line="360" w:lineRule="auto"/>
        <w:rPr>
          <w:rFonts w:ascii="Arial" w:eastAsia="Calibri" w:hAnsi="Arial" w:cs="Arial"/>
          <w:color w:val="000000"/>
          <w:sz w:val="24"/>
          <w:szCs w:val="24"/>
          <w:lang w:val="es-ES" w:eastAsia="zh-CN"/>
        </w:rPr>
      </w:pPr>
    </w:p>
    <w:p w14:paraId="020E5B5C" w14:textId="77777777" w:rsidR="00A202DF" w:rsidRPr="00A202DF" w:rsidRDefault="00A202DF" w:rsidP="00A202DF">
      <w:p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Pe de altă parte, transportul de mărfuri, cu precădere cel rutier este foarte competitiv și reacționează foarte repede la stimulii primiți din piață, ceea ce înseamă că toate costurile suplimentare impuse acestora (transportatorilor), vor fi resimțite în tariful de transport și implicit în prețul final al produselor. </w:t>
      </w:r>
    </w:p>
    <w:p w14:paraId="7BD37F28" w14:textId="77777777" w:rsidR="00A202DF" w:rsidRPr="00A202DF" w:rsidRDefault="00A202DF" w:rsidP="00A202DF">
      <w:pPr>
        <w:suppressAutoHyphens/>
        <w:autoSpaceDE w:val="0"/>
        <w:spacing w:after="0" w:line="360" w:lineRule="auto"/>
        <w:rPr>
          <w:rFonts w:ascii="Arial" w:eastAsia="Calibri" w:hAnsi="Arial" w:cs="Arial"/>
          <w:color w:val="000000"/>
          <w:sz w:val="24"/>
          <w:szCs w:val="24"/>
          <w:lang w:val="es-ES" w:eastAsia="zh-CN"/>
        </w:rPr>
      </w:pPr>
    </w:p>
    <w:p w14:paraId="7BC21E36" w14:textId="77777777" w:rsidR="00A202DF" w:rsidRPr="00A202DF" w:rsidRDefault="00A202DF" w:rsidP="00A202DF">
      <w:p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b/>
          <w:color w:val="000000"/>
          <w:lang w:val="es-ES" w:eastAsia="zh-CN"/>
        </w:rPr>
        <w:t xml:space="preserve">Pe măsură ce orașele se dezvoltă (atât ca număr de locuitori, cât și ca suprafață), nevoia transportului (de marfă sau de persoane) într-un spațiu restrâns crește de asemenea. Este necesară impunerea unor noi reguli, alftel, densitatea autovehiculelor va crește permanent și va conduce la ambuteiaje de lungă durată. Aceste probleme vor conduce la centre urbane aglomerate, unde mijloacele de transport preferate vor fi cele de mici dimensiuni; această situație va face sarcina specialiștilor în logistică urbană foarte dificilă. </w:t>
      </w:r>
    </w:p>
    <w:p w14:paraId="610DF820" w14:textId="77777777" w:rsidR="00A202DF" w:rsidRPr="00A202DF" w:rsidRDefault="00A202DF" w:rsidP="00A202DF">
      <w:pPr>
        <w:suppressAutoHyphens/>
        <w:autoSpaceDE w:val="0"/>
        <w:spacing w:after="0" w:line="360" w:lineRule="auto"/>
        <w:jc w:val="both"/>
        <w:rPr>
          <w:rFonts w:ascii="Arial" w:eastAsia="Calibri" w:hAnsi="Arial" w:cs="Arial"/>
          <w:color w:val="000000"/>
          <w:sz w:val="24"/>
          <w:szCs w:val="24"/>
          <w:lang w:val="es-ES" w:eastAsia="zh-CN"/>
        </w:rPr>
      </w:pPr>
    </w:p>
    <w:p w14:paraId="6FF4BCDD" w14:textId="77777777" w:rsidR="00A202DF" w:rsidRPr="00A202DF" w:rsidRDefault="00A202DF" w:rsidP="00A202DF">
      <w:p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În 2011, viziunea preconizată de materialele emise de UE cu privire la transportul urban de mărfuri cuprindea: </w:t>
      </w:r>
    </w:p>
    <w:p w14:paraId="1AFE50F1" w14:textId="77777777" w:rsidR="00A202DF" w:rsidRPr="00A202DF" w:rsidRDefault="00A202DF" w:rsidP="000C6CB8">
      <w:pPr>
        <w:numPr>
          <w:ilvl w:val="0"/>
          <w:numId w:val="135"/>
        </w:num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minimizarea parcursurilor (distanță/număr) necesare colectării/livrării mărfurilor; </w:t>
      </w:r>
    </w:p>
    <w:p w14:paraId="2973DB55" w14:textId="77777777" w:rsidR="00A202DF" w:rsidRPr="00A202DF" w:rsidRDefault="00A202DF" w:rsidP="000C6CB8">
      <w:pPr>
        <w:widowControl w:val="0"/>
        <w:numPr>
          <w:ilvl w:val="0"/>
          <w:numId w:val="135"/>
        </w:numPr>
        <w:suppressAutoHyphens/>
        <w:autoSpaceDE w:val="0"/>
        <w:spacing w:after="0" w:line="276" w:lineRule="auto"/>
        <w:rPr>
          <w:rFonts w:ascii="Arial" w:eastAsia="Calibri" w:hAnsi="Arial" w:cs="Arial"/>
          <w:color w:val="000000"/>
          <w:lang w:val="es-ES" w:eastAsia="zh-CN"/>
        </w:rPr>
      </w:pPr>
      <w:r w:rsidRPr="00A202DF">
        <w:rPr>
          <w:rFonts w:ascii="Arial" w:eastAsia="Calibri" w:hAnsi="Arial" w:cs="Arial"/>
          <w:color w:val="000000"/>
          <w:lang w:val="es-ES" w:eastAsia="zh-CN"/>
        </w:rPr>
        <w:t xml:space="preserve">utilizarea de vehicule cât mai prietenoase cu mediul; </w:t>
      </w:r>
    </w:p>
    <w:p w14:paraId="5CB2250B" w14:textId="77777777" w:rsidR="00A202DF" w:rsidRPr="00A202DF" w:rsidRDefault="00A202DF" w:rsidP="000C6CB8">
      <w:pPr>
        <w:widowControl w:val="0"/>
        <w:numPr>
          <w:ilvl w:val="0"/>
          <w:numId w:val="135"/>
        </w:numPr>
        <w:suppressAutoHyphens/>
        <w:autoSpaceDE w:val="0"/>
        <w:spacing w:after="0" w:line="276" w:lineRule="auto"/>
        <w:rPr>
          <w:rFonts w:ascii="Arial" w:eastAsia="Calibri" w:hAnsi="Arial" w:cs="Arial"/>
          <w:color w:val="000000"/>
          <w:lang w:val="es-ES" w:eastAsia="zh-CN"/>
        </w:rPr>
      </w:pPr>
      <w:r w:rsidRPr="00A202DF">
        <w:rPr>
          <w:rFonts w:ascii="Arial" w:eastAsia="Calibri" w:hAnsi="Arial" w:cs="Arial"/>
          <w:color w:val="000000"/>
          <w:lang w:val="es-ES" w:eastAsia="zh-CN"/>
        </w:rPr>
        <w:t xml:space="preserve">utilizarea crescută și eficientă a sistemelor de transport inteligent; </w:t>
      </w:r>
    </w:p>
    <w:p w14:paraId="3943F6AE" w14:textId="77777777" w:rsidR="00A202DF" w:rsidRPr="00A202DF" w:rsidRDefault="00A202DF" w:rsidP="000C6CB8">
      <w:pPr>
        <w:widowControl w:val="0"/>
        <w:numPr>
          <w:ilvl w:val="0"/>
          <w:numId w:val="135"/>
        </w:numPr>
        <w:suppressAutoHyphens/>
        <w:autoSpaceDE w:val="0"/>
        <w:spacing w:after="0" w:line="276" w:lineRule="auto"/>
        <w:rPr>
          <w:rFonts w:ascii="Arial" w:eastAsia="Calibri" w:hAnsi="Arial" w:cs="Arial"/>
          <w:color w:val="000000"/>
          <w:lang w:val="es-ES" w:eastAsia="zh-CN"/>
        </w:rPr>
      </w:pPr>
      <w:r w:rsidRPr="00A202DF">
        <w:rPr>
          <w:rFonts w:ascii="Arial" w:eastAsia="Calibri" w:hAnsi="Arial" w:cs="Arial"/>
          <w:color w:val="000000"/>
          <w:lang w:val="es-ES" w:eastAsia="zh-CN"/>
        </w:rPr>
        <w:t xml:space="preserve">reducerea poluării fonice cauzate de vehiculele de marfă. </w:t>
      </w:r>
    </w:p>
    <w:p w14:paraId="7F5B4953" w14:textId="77777777" w:rsidR="00A202DF" w:rsidRPr="00A202DF" w:rsidRDefault="00A202DF" w:rsidP="00A202DF">
      <w:pPr>
        <w:suppressAutoHyphens/>
        <w:autoSpaceDE w:val="0"/>
        <w:spacing w:after="0" w:line="276" w:lineRule="auto"/>
        <w:jc w:val="both"/>
        <w:rPr>
          <w:rFonts w:ascii="Arial" w:eastAsia="Calibri" w:hAnsi="Arial" w:cs="Arial"/>
          <w:color w:val="000000"/>
          <w:sz w:val="24"/>
          <w:szCs w:val="24"/>
          <w:lang w:val="es-ES" w:eastAsia="zh-CN"/>
        </w:rPr>
      </w:pPr>
    </w:p>
    <w:p w14:paraId="6C18E65E" w14:textId="77777777" w:rsidR="00A202DF" w:rsidRPr="00A202DF" w:rsidRDefault="00A202DF" w:rsidP="00A202DF">
      <w:p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Considerând clasificarea din 1974 a lui Meyburg și a lui Stopher a fluxurilor de mărfuri din orașe, se pot identifica patru tipuri de deplasări: </w:t>
      </w:r>
    </w:p>
    <w:p w14:paraId="124A8FAC" w14:textId="77777777" w:rsidR="00A202DF" w:rsidRPr="00A202DF" w:rsidRDefault="00A202DF" w:rsidP="000C6CB8">
      <w:pPr>
        <w:numPr>
          <w:ilvl w:val="0"/>
          <w:numId w:val="136"/>
        </w:numPr>
        <w:suppressAutoHyphens/>
        <w:autoSpaceDE w:val="0"/>
        <w:spacing w:after="0" w:line="276" w:lineRule="auto"/>
        <w:rPr>
          <w:rFonts w:ascii="Arial" w:eastAsia="Arial" w:hAnsi="Arial" w:cs="Arial"/>
          <w:color w:val="000000"/>
          <w:lang w:val="es-ES" w:eastAsia="zh-CN"/>
        </w:rPr>
      </w:pPr>
      <w:r w:rsidRPr="00A202DF">
        <w:rPr>
          <w:rFonts w:ascii="Arial" w:eastAsia="Calibri" w:hAnsi="Arial" w:cs="Arial"/>
          <w:color w:val="000000"/>
          <w:lang w:val="es-ES" w:eastAsia="zh-CN"/>
        </w:rPr>
        <w:t xml:space="preserve">transportul de bunuri într-o zonă, pentru a fi consumate în acea zonă; </w:t>
      </w:r>
    </w:p>
    <w:p w14:paraId="51768623" w14:textId="77777777" w:rsidR="00A202DF" w:rsidRPr="00A202DF" w:rsidRDefault="00A202DF" w:rsidP="000C6CB8">
      <w:pPr>
        <w:numPr>
          <w:ilvl w:val="0"/>
          <w:numId w:val="136"/>
        </w:numPr>
        <w:suppressAutoHyphens/>
        <w:autoSpaceDE w:val="0"/>
        <w:spacing w:after="0" w:line="276" w:lineRule="auto"/>
        <w:rPr>
          <w:rFonts w:ascii="Arial" w:eastAsia="Arial" w:hAnsi="Arial" w:cs="Arial"/>
          <w:color w:val="000000"/>
          <w:lang w:val="es-ES" w:eastAsia="zh-CN"/>
        </w:rPr>
      </w:pPr>
      <w:r w:rsidRPr="00A202DF">
        <w:rPr>
          <w:rFonts w:ascii="Arial" w:eastAsia="Calibri" w:hAnsi="Arial" w:cs="Arial"/>
          <w:color w:val="000000"/>
          <w:lang w:val="es-ES" w:eastAsia="zh-CN"/>
        </w:rPr>
        <w:t xml:space="preserve">transportul de bunuri în afara zonei în care au fost produse; </w:t>
      </w:r>
    </w:p>
    <w:p w14:paraId="4B04BF96" w14:textId="77777777" w:rsidR="00A202DF" w:rsidRPr="00A202DF" w:rsidRDefault="00A202DF" w:rsidP="000C6CB8">
      <w:pPr>
        <w:numPr>
          <w:ilvl w:val="0"/>
          <w:numId w:val="136"/>
        </w:num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colectările și livrările intra-urbane și transporturile locale în care originea și destinația traseului vehiculului sunt în interiorul aceleiași zone; </w:t>
      </w:r>
    </w:p>
    <w:p w14:paraId="1036B34A" w14:textId="77777777" w:rsidR="00A202DF" w:rsidRPr="00A202DF" w:rsidRDefault="00A202DF" w:rsidP="000C6CB8">
      <w:pPr>
        <w:numPr>
          <w:ilvl w:val="0"/>
          <w:numId w:val="136"/>
        </w:num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tranzit (bunuri care traversează o zonă sau bunuri care sunt depozitate temporar, pentru ca mai apoi să fie transportate într-o cu totul altă zonă). </w:t>
      </w:r>
    </w:p>
    <w:p w14:paraId="1D88D089" w14:textId="77777777" w:rsidR="00A202DF" w:rsidRPr="00A202DF" w:rsidRDefault="00A202DF" w:rsidP="00A202DF">
      <w:pPr>
        <w:suppressAutoHyphens/>
        <w:autoSpaceDE w:val="0"/>
        <w:spacing w:after="0" w:line="360" w:lineRule="auto"/>
        <w:jc w:val="both"/>
        <w:rPr>
          <w:rFonts w:ascii="Arial" w:eastAsia="Calibri" w:hAnsi="Arial" w:cs="Arial"/>
          <w:color w:val="000000"/>
          <w:sz w:val="24"/>
          <w:szCs w:val="24"/>
          <w:lang w:val="es-ES" w:eastAsia="zh-CN"/>
        </w:rPr>
      </w:pPr>
    </w:p>
    <w:p w14:paraId="24B4E985" w14:textId="77777777" w:rsidR="00A202DF" w:rsidRPr="00A202DF" w:rsidRDefault="00A202DF" w:rsidP="00A202DF">
      <w:p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Dar, din cauza restricțiilor din mediul urban, distribuția mărfurilor în marile orașe a devenit un proces complex. Pentru analiza distribuției mărfurilor și optimizarea acesteia trebuie luate în seamă și elemente de economie urbană. Deși structura sistemului de distribuție urbană și cea a sistemului de distribuție în afara mediului urban sunt asemănătoare, în mediul urban se poate identifica următoarea diferență: traficul ridicat și infrastructura limitată. Limitările relative la tipul, caracteristicile tehnice, de capacitate, emisii ale vehiculelor impun realizarea unui transfer fizic al mărfurilor între diferitele moduri de transport sau între vehicule de transport aparţinând aceluiaşi </w:t>
      </w:r>
      <w:r w:rsidRPr="00A202DF">
        <w:rPr>
          <w:rFonts w:ascii="Arial" w:eastAsia="Calibri" w:hAnsi="Arial" w:cs="Arial"/>
          <w:color w:val="000000"/>
          <w:lang w:val="es-ES" w:eastAsia="zh-CN"/>
        </w:rPr>
        <w:lastRenderedPageBreak/>
        <w:t xml:space="preserve">mod de transport, dar de dimensiuni şi caracteristici diferite. Un astfel de transfer poate fi perceput ca dezavantajos determinând consumuri de resurse financiare suplimentare, timpi suplimentari, generând şi o serie de riscuri adiţionale. </w:t>
      </w:r>
    </w:p>
    <w:p w14:paraId="4B6F4D4F" w14:textId="77777777" w:rsidR="00A202DF" w:rsidRPr="00A202DF" w:rsidRDefault="00A202DF" w:rsidP="00A202DF">
      <w:pPr>
        <w:suppressAutoHyphens/>
        <w:autoSpaceDE w:val="0"/>
        <w:spacing w:after="0" w:line="360" w:lineRule="auto"/>
        <w:jc w:val="both"/>
        <w:rPr>
          <w:rFonts w:ascii="Arial" w:eastAsia="Calibri" w:hAnsi="Arial" w:cs="Arial"/>
          <w:color w:val="000000"/>
          <w:sz w:val="24"/>
          <w:szCs w:val="24"/>
          <w:lang w:val="es-ES" w:eastAsia="zh-CN"/>
        </w:rPr>
      </w:pPr>
    </w:p>
    <w:p w14:paraId="07F5C02C" w14:textId="77777777" w:rsidR="00A202DF" w:rsidRPr="00A202DF" w:rsidRDefault="00A202DF" w:rsidP="00A202DF">
      <w:p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Eficienţa distribuţiei urbane este micșorată din cauza prelungirii timpilor de livrare datorită congestiei de trafic şi a accesului la punctele de livrare, incapacitatea vehiculelor de livrare a mărfurilor de a se încadra în intervalele prestabilite de timp din cauza situaţiilor de urgenţă. Este necesar să fie luate în considerare şi o serie de probleme asociate distribuţiei mărfurilor ca: incertitudinea diferiţilor parametrii, necesitatea de a evita parcursurile goale lungi la întoarcere ale vehiculelor urbane, de asigurare a unui coeficient de încărcare cât mai ridicat şi corelarea planurilor de transport de distribuţie cu necesităţile de colectare a produselor returnate. </w:t>
      </w:r>
    </w:p>
    <w:p w14:paraId="3AE87735" w14:textId="77777777" w:rsidR="00A202DF" w:rsidRPr="00A202DF" w:rsidRDefault="00A202DF" w:rsidP="00A202DF">
      <w:p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Transportul urban de mărfuri joacă un rol important în economia centrelor urbane, dar are totodată și efecte negative: </w:t>
      </w:r>
    </w:p>
    <w:p w14:paraId="0331F89C" w14:textId="77777777" w:rsidR="00A202DF" w:rsidRPr="00A202DF" w:rsidRDefault="00A202DF" w:rsidP="000C6CB8">
      <w:pPr>
        <w:numPr>
          <w:ilvl w:val="0"/>
          <w:numId w:val="137"/>
        </w:num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congestia; </w:t>
      </w:r>
    </w:p>
    <w:p w14:paraId="2F1B2FAC" w14:textId="77777777" w:rsidR="00A202DF" w:rsidRPr="00A202DF" w:rsidRDefault="00A202DF" w:rsidP="000C6CB8">
      <w:pPr>
        <w:numPr>
          <w:ilvl w:val="0"/>
          <w:numId w:val="137"/>
        </w:num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scăderea calității aerului; </w:t>
      </w:r>
    </w:p>
    <w:p w14:paraId="41009967" w14:textId="77777777" w:rsidR="00A202DF" w:rsidRPr="00A202DF" w:rsidRDefault="00A202DF" w:rsidP="000C6CB8">
      <w:pPr>
        <w:numPr>
          <w:ilvl w:val="0"/>
          <w:numId w:val="137"/>
        </w:num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gazele cu efect de seră; </w:t>
      </w:r>
    </w:p>
    <w:p w14:paraId="4F09CC93" w14:textId="77777777" w:rsidR="00A202DF" w:rsidRPr="00A202DF" w:rsidRDefault="00A202DF" w:rsidP="000C6CB8">
      <w:pPr>
        <w:numPr>
          <w:ilvl w:val="0"/>
          <w:numId w:val="137"/>
        </w:num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poluare fonică; </w:t>
      </w:r>
    </w:p>
    <w:p w14:paraId="45F9FA2B" w14:textId="77777777" w:rsidR="00A202DF" w:rsidRPr="00A202DF" w:rsidRDefault="00A202DF" w:rsidP="000C6CB8">
      <w:pPr>
        <w:numPr>
          <w:ilvl w:val="0"/>
          <w:numId w:val="137"/>
        </w:num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siguranță. </w:t>
      </w:r>
    </w:p>
    <w:p w14:paraId="21FF2A80" w14:textId="77777777" w:rsidR="00A202DF" w:rsidRPr="00A202DF" w:rsidRDefault="00A202DF" w:rsidP="00A202DF">
      <w:pPr>
        <w:suppressAutoHyphens/>
        <w:autoSpaceDE w:val="0"/>
        <w:spacing w:after="0" w:line="360" w:lineRule="auto"/>
        <w:jc w:val="both"/>
        <w:rPr>
          <w:rFonts w:ascii="Arial" w:eastAsia="Calibri" w:hAnsi="Arial" w:cs="Arial"/>
          <w:color w:val="000000"/>
          <w:sz w:val="24"/>
          <w:szCs w:val="24"/>
          <w:lang w:val="es-ES" w:eastAsia="zh-CN"/>
        </w:rPr>
      </w:pPr>
    </w:p>
    <w:p w14:paraId="550E3309" w14:textId="77777777" w:rsidR="00A202DF" w:rsidRPr="00A202DF" w:rsidRDefault="00A202DF" w:rsidP="00A202DF">
      <w:p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În funcție de modul în care se urmărește reducerea congestiei în centrele urbane, pot fi identificate următoarele metode de reducere a congestiei în orașe: </w:t>
      </w:r>
    </w:p>
    <w:p w14:paraId="1CC8C580" w14:textId="77777777" w:rsidR="00A202DF" w:rsidRPr="00A202DF" w:rsidRDefault="00A202DF" w:rsidP="00A202DF">
      <w:p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reglementări; </w:t>
      </w:r>
    </w:p>
    <w:p w14:paraId="5D4D822F" w14:textId="77777777" w:rsidR="00A202DF" w:rsidRPr="00A202DF" w:rsidRDefault="00A202DF" w:rsidP="000C6CB8">
      <w:pPr>
        <w:numPr>
          <w:ilvl w:val="0"/>
          <w:numId w:val="138"/>
        </w:num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măsuri bazate pe piață; </w:t>
      </w:r>
    </w:p>
    <w:p w14:paraId="0188383E" w14:textId="77777777" w:rsidR="00A202DF" w:rsidRPr="00A202DF" w:rsidRDefault="00A202DF" w:rsidP="000C6CB8">
      <w:pPr>
        <w:numPr>
          <w:ilvl w:val="0"/>
          <w:numId w:val="138"/>
        </w:numPr>
        <w:suppressAutoHyphens/>
        <w:autoSpaceDE w:val="0"/>
        <w:spacing w:after="0" w:line="276" w:lineRule="auto"/>
        <w:jc w:val="both"/>
        <w:rPr>
          <w:rFonts w:ascii="Arial" w:eastAsia="Arial" w:hAnsi="Arial" w:cs="Arial"/>
          <w:color w:val="000000"/>
          <w:lang w:val="es-ES" w:eastAsia="zh-CN"/>
        </w:rPr>
      </w:pPr>
      <w:r w:rsidRPr="00A202DF">
        <w:rPr>
          <w:rFonts w:ascii="Arial" w:eastAsia="Calibri" w:hAnsi="Arial" w:cs="Arial"/>
          <w:color w:val="000000"/>
          <w:lang w:val="es-ES" w:eastAsia="zh-CN"/>
        </w:rPr>
        <w:t xml:space="preserve">măsuri bazate pe amenajarea spațiului; </w:t>
      </w:r>
    </w:p>
    <w:p w14:paraId="61E25CF7" w14:textId="77777777" w:rsidR="00A202DF" w:rsidRPr="00A202DF" w:rsidRDefault="00A202DF" w:rsidP="000C6CB8">
      <w:pPr>
        <w:numPr>
          <w:ilvl w:val="0"/>
          <w:numId w:val="138"/>
        </w:numPr>
        <w:suppressAutoHyphens/>
        <w:autoSpaceDE w:val="0"/>
        <w:spacing w:after="0" w:line="276" w:lineRule="auto"/>
        <w:jc w:val="both"/>
        <w:rPr>
          <w:rFonts w:ascii="Arial" w:eastAsia="Arial" w:hAnsi="Arial" w:cs="Arial"/>
          <w:color w:val="000000"/>
          <w:lang w:eastAsia="zh-CN"/>
        </w:rPr>
      </w:pPr>
      <w:r w:rsidRPr="00A202DF">
        <w:rPr>
          <w:rFonts w:ascii="Arial" w:eastAsia="Calibri" w:hAnsi="Arial" w:cs="Arial"/>
          <w:color w:val="000000"/>
          <w:lang w:eastAsia="zh-CN"/>
        </w:rPr>
        <w:t xml:space="preserve">măsuri bazate pe infrastructură; </w:t>
      </w:r>
    </w:p>
    <w:p w14:paraId="441563A5" w14:textId="77777777" w:rsidR="00A202DF" w:rsidRPr="00A202DF" w:rsidRDefault="00A202DF" w:rsidP="000C6CB8">
      <w:pPr>
        <w:numPr>
          <w:ilvl w:val="0"/>
          <w:numId w:val="138"/>
        </w:numPr>
        <w:suppressAutoHyphens/>
        <w:autoSpaceDE w:val="0"/>
        <w:spacing w:after="0" w:line="276" w:lineRule="auto"/>
        <w:jc w:val="both"/>
        <w:rPr>
          <w:rFonts w:ascii="Arial" w:eastAsia="Arial" w:hAnsi="Arial" w:cs="Arial"/>
          <w:color w:val="000000"/>
          <w:lang w:eastAsia="zh-CN"/>
        </w:rPr>
      </w:pPr>
      <w:r w:rsidRPr="00A202DF">
        <w:rPr>
          <w:rFonts w:ascii="Arial" w:eastAsia="Calibri" w:hAnsi="Arial" w:cs="Arial"/>
          <w:color w:val="000000"/>
          <w:lang w:eastAsia="zh-CN"/>
        </w:rPr>
        <w:t xml:space="preserve">tehnologii noi; </w:t>
      </w:r>
    </w:p>
    <w:p w14:paraId="039C962C" w14:textId="77777777" w:rsidR="00A202DF" w:rsidRPr="00A202DF" w:rsidRDefault="00A202DF" w:rsidP="000C6CB8">
      <w:pPr>
        <w:numPr>
          <w:ilvl w:val="0"/>
          <w:numId w:val="138"/>
        </w:numPr>
        <w:suppressAutoHyphens/>
        <w:autoSpaceDE w:val="0"/>
        <w:spacing w:after="0" w:line="276" w:lineRule="auto"/>
        <w:jc w:val="both"/>
        <w:rPr>
          <w:rFonts w:ascii="Arial" w:eastAsia="Calibri" w:hAnsi="Arial" w:cs="Arial"/>
          <w:color w:val="000000"/>
          <w:lang w:eastAsia="zh-CN"/>
        </w:rPr>
      </w:pPr>
      <w:r w:rsidRPr="00A202DF">
        <w:rPr>
          <w:rFonts w:ascii="Arial" w:eastAsia="Calibri" w:hAnsi="Arial" w:cs="Arial"/>
          <w:color w:val="000000"/>
          <w:lang w:eastAsia="zh-CN"/>
        </w:rPr>
        <w:t xml:space="preserve">management. </w:t>
      </w:r>
    </w:p>
    <w:p w14:paraId="2B3A0B4A" w14:textId="77777777" w:rsidR="00A202DF" w:rsidRPr="00A202DF" w:rsidRDefault="00A202DF" w:rsidP="00A202DF">
      <w:pPr>
        <w:widowControl w:val="0"/>
        <w:suppressAutoHyphens/>
        <w:spacing w:after="0" w:line="360" w:lineRule="auto"/>
        <w:jc w:val="both"/>
        <w:rPr>
          <w:rFonts w:ascii="Arial" w:hAnsi="Arial" w:cs="Arial"/>
          <w:kern w:val="1"/>
          <w:lang w:val="ro-RO" w:eastAsia="hi-IN" w:bidi="hi-IN"/>
        </w:rPr>
      </w:pPr>
      <w:r w:rsidRPr="00A202DF">
        <w:rPr>
          <w:rFonts w:ascii="Arial" w:hAnsi="Arial" w:cs="Arial"/>
          <w:kern w:val="1"/>
          <w:lang w:val="ro-RO" w:eastAsia="hi-IN" w:bidi="hi-IN"/>
        </w:rPr>
        <w:t>În anul 2020, în Romania au fost transportate 400.382 mii tone mărfuri, din care:</w:t>
      </w:r>
    </w:p>
    <w:p w14:paraId="6CCFD053" w14:textId="77777777" w:rsidR="00A202DF" w:rsidRPr="00A202DF" w:rsidRDefault="00A202DF" w:rsidP="00A202DF">
      <w:pPr>
        <w:widowControl w:val="0"/>
        <w:suppressAutoHyphens/>
        <w:spacing w:after="0" w:line="360" w:lineRule="auto"/>
        <w:jc w:val="center"/>
        <w:rPr>
          <w:rFonts w:ascii="Arial" w:hAnsi="Arial" w:cs="Arial"/>
          <w:kern w:val="1"/>
          <w:sz w:val="24"/>
          <w:szCs w:val="24"/>
          <w:lang w:val="ro-RO" w:eastAsia="hi-IN" w:bidi="hi-IN"/>
        </w:rPr>
      </w:pPr>
      <w:r w:rsidRPr="00A202DF">
        <w:rPr>
          <w:rFonts w:ascii="Calibri" w:hAnsi="Calibri" w:cs="Times New Roman"/>
          <w:noProof/>
        </w:rPr>
        <w:drawing>
          <wp:inline distT="0" distB="0" distL="0" distR="0" wp14:anchorId="55CE97E9" wp14:editId="71A6B044">
            <wp:extent cx="4572000" cy="2743200"/>
            <wp:effectExtent l="0" t="0" r="0" b="0"/>
            <wp:docPr id="2053" name="Chart 205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7B77F410" w14:textId="77777777" w:rsidR="00A202DF" w:rsidRPr="00A202DF" w:rsidRDefault="00A202DF" w:rsidP="00A202DF">
      <w:pPr>
        <w:widowControl w:val="0"/>
        <w:suppressAutoHyphens/>
        <w:spacing w:after="0" w:line="360" w:lineRule="auto"/>
        <w:jc w:val="both"/>
        <w:rPr>
          <w:rFonts w:ascii="Arial" w:hAnsi="Arial" w:cs="Mangal"/>
          <w:kern w:val="1"/>
          <w:sz w:val="16"/>
          <w:szCs w:val="16"/>
          <w:lang w:val="ro-RO" w:eastAsia="hi-IN" w:bidi="hi-IN"/>
        </w:rPr>
      </w:pPr>
      <w:r w:rsidRPr="00A202DF">
        <w:rPr>
          <w:rFonts w:ascii="Arial" w:hAnsi="Arial" w:cs="Mangal"/>
          <w:kern w:val="1"/>
          <w:sz w:val="20"/>
          <w:szCs w:val="24"/>
          <w:lang w:val="ro-RO" w:eastAsia="hi-IN" w:bidi="hi-IN"/>
        </w:rPr>
        <w:tab/>
      </w:r>
      <w:r w:rsidRPr="00A202DF">
        <w:rPr>
          <w:rFonts w:ascii="Arial" w:hAnsi="Arial" w:cs="Mangal"/>
          <w:kern w:val="1"/>
          <w:sz w:val="16"/>
          <w:szCs w:val="16"/>
          <w:lang w:val="ro-RO" w:eastAsia="hi-IN" w:bidi="hi-IN"/>
        </w:rPr>
        <w:t>Sursa: Institutul Naţional de Statistică</w:t>
      </w:r>
    </w:p>
    <w:p w14:paraId="43DB0A04" w14:textId="6B3BBC26" w:rsidR="00A202DF" w:rsidRPr="00A202DF" w:rsidRDefault="00A202DF" w:rsidP="00A202DF">
      <w:pPr>
        <w:pStyle w:val="Legend"/>
        <w:jc w:val="center"/>
        <w:rPr>
          <w:rFonts w:ascii="Arial" w:hAnsi="Arial" w:cs="Arial"/>
          <w:i w:val="0"/>
          <w:color w:val="1F497D"/>
          <w:kern w:val="1"/>
          <w:sz w:val="22"/>
          <w:szCs w:val="22"/>
          <w:lang w:val="ro-RO" w:eastAsia="hi-IN" w:bidi="hi-IN"/>
        </w:rPr>
      </w:pPr>
      <w:bookmarkStart w:id="119" w:name="_Toc140744470"/>
      <w:r w:rsidRPr="00A202DF">
        <w:rPr>
          <w:rFonts w:ascii="Arial" w:hAnsi="Arial" w:cs="Arial"/>
          <w:sz w:val="22"/>
          <w:szCs w:val="22"/>
        </w:rPr>
        <w:t xml:space="preserve">Figura I.2. </w:t>
      </w:r>
      <w:r w:rsidRPr="00A202DF">
        <w:rPr>
          <w:rFonts w:ascii="Arial" w:hAnsi="Arial" w:cs="Arial"/>
          <w:sz w:val="22"/>
          <w:szCs w:val="22"/>
        </w:rPr>
        <w:fldChar w:fldCharType="begin"/>
      </w:r>
      <w:r w:rsidRPr="00A202DF">
        <w:rPr>
          <w:rFonts w:ascii="Arial" w:hAnsi="Arial" w:cs="Arial"/>
          <w:sz w:val="22"/>
          <w:szCs w:val="22"/>
        </w:rPr>
        <w:instrText xml:space="preserve"> SEQ Figura_I.2. \* ARABIC </w:instrText>
      </w:r>
      <w:r w:rsidRPr="00A202DF">
        <w:rPr>
          <w:rFonts w:ascii="Arial" w:hAnsi="Arial" w:cs="Arial"/>
          <w:sz w:val="22"/>
          <w:szCs w:val="22"/>
        </w:rPr>
        <w:fldChar w:fldCharType="separate"/>
      </w:r>
      <w:r w:rsidR="00BB181C">
        <w:rPr>
          <w:rFonts w:ascii="Arial" w:hAnsi="Arial" w:cs="Arial"/>
          <w:noProof/>
          <w:sz w:val="22"/>
          <w:szCs w:val="22"/>
        </w:rPr>
        <w:t>28</w:t>
      </w:r>
      <w:r w:rsidRPr="00A202DF">
        <w:rPr>
          <w:rFonts w:ascii="Arial" w:hAnsi="Arial" w:cs="Arial"/>
          <w:sz w:val="22"/>
          <w:szCs w:val="22"/>
        </w:rPr>
        <w:fldChar w:fldCharType="end"/>
      </w:r>
      <w:r w:rsidRPr="00A202DF">
        <w:rPr>
          <w:rFonts w:ascii="Arial" w:hAnsi="Arial" w:cs="Arial"/>
          <w:sz w:val="22"/>
          <w:szCs w:val="22"/>
        </w:rPr>
        <w:t xml:space="preserve"> </w:t>
      </w:r>
      <w:r w:rsidRPr="00A202DF">
        <w:rPr>
          <w:rFonts w:ascii="Arial" w:hAnsi="Arial" w:cs="Arial"/>
          <w:color w:val="1F497D"/>
          <w:sz w:val="22"/>
          <w:szCs w:val="22"/>
        </w:rPr>
        <w:t xml:space="preserve">– </w:t>
      </w:r>
      <w:r w:rsidRPr="00A202DF">
        <w:rPr>
          <w:rFonts w:ascii="Arial" w:hAnsi="Arial" w:cs="Arial"/>
          <w:i w:val="0"/>
          <w:color w:val="1F497D"/>
          <w:sz w:val="22"/>
          <w:szCs w:val="22"/>
        </w:rPr>
        <w:t>Distribuția mărfurilor transportate pe moduri de transport</w:t>
      </w:r>
      <w:bookmarkEnd w:id="119"/>
    </w:p>
    <w:p w14:paraId="451C0D33" w14:textId="77777777" w:rsidR="00A202DF" w:rsidRPr="00A202DF" w:rsidRDefault="00A202DF" w:rsidP="00A202DF">
      <w:pPr>
        <w:widowControl w:val="0"/>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lastRenderedPageBreak/>
        <w:t>În ceea ce privește transportul rutier de mărfuri (preponderent) acesta a avut următoarea structură:</w:t>
      </w:r>
    </w:p>
    <w:p w14:paraId="60333DE2" w14:textId="77777777" w:rsidR="00A202DF" w:rsidRPr="00A202DF" w:rsidRDefault="00A202DF" w:rsidP="00A202DF">
      <w:pPr>
        <w:widowControl w:val="0"/>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 transport național = 217.168 mii tone</w:t>
      </w:r>
    </w:p>
    <w:p w14:paraId="28D9F792" w14:textId="77777777" w:rsidR="00A202DF" w:rsidRPr="00A202DF" w:rsidRDefault="00A202DF" w:rsidP="00A202DF">
      <w:pPr>
        <w:widowControl w:val="0"/>
        <w:suppressAutoHyphens/>
        <w:spacing w:after="0" w:line="276" w:lineRule="auto"/>
        <w:jc w:val="both"/>
        <w:rPr>
          <w:rFonts w:ascii="Arial" w:hAnsi="Arial" w:cs="Arial"/>
          <w:kern w:val="1"/>
          <w:lang w:val="es-ES" w:eastAsia="hi-IN" w:bidi="hi-IN"/>
        </w:rPr>
      </w:pPr>
      <w:r w:rsidRPr="00A202DF">
        <w:rPr>
          <w:rFonts w:ascii="Arial" w:hAnsi="Arial" w:cs="Arial"/>
          <w:kern w:val="1"/>
          <w:lang w:val="es-ES" w:eastAsia="hi-IN" w:bidi="hi-IN"/>
        </w:rPr>
        <w:t>- transport internațional = 49.355 mii tone</w:t>
      </w:r>
    </w:p>
    <w:p w14:paraId="4CFB682A" w14:textId="77777777" w:rsidR="00A202DF" w:rsidRPr="00A202DF" w:rsidRDefault="00A202DF" w:rsidP="00A202DF">
      <w:pPr>
        <w:widowControl w:val="0"/>
        <w:suppressAutoHyphens/>
        <w:spacing w:after="0" w:line="276" w:lineRule="auto"/>
        <w:jc w:val="both"/>
        <w:rPr>
          <w:rFonts w:ascii="Arial" w:hAnsi="Arial" w:cs="Arial"/>
          <w:kern w:val="1"/>
          <w:lang w:val="es-ES" w:eastAsia="hi-IN" w:bidi="hi-IN"/>
        </w:rPr>
      </w:pPr>
    </w:p>
    <w:p w14:paraId="63D80213" w14:textId="77777777" w:rsidR="00A202DF" w:rsidRPr="00A202DF" w:rsidRDefault="00A202DF" w:rsidP="00A202DF">
      <w:pPr>
        <w:widowControl w:val="0"/>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Principalele societă</w:t>
      </w:r>
      <w:r w:rsidRPr="00A202DF">
        <w:rPr>
          <w:rFonts w:ascii="Arial" w:hAnsi="Arial" w:cs="Arial"/>
          <w:kern w:val="1"/>
          <w:lang w:val="es-ES" w:eastAsia="hi-IN" w:bidi="hi-IN"/>
        </w:rPr>
        <w:t>ti comerciale din punct d</w:t>
      </w:r>
      <w:r>
        <w:rPr>
          <w:rFonts w:ascii="Arial" w:hAnsi="Arial" w:cs="Arial"/>
          <w:kern w:val="1"/>
          <w:lang w:val="es-ES" w:eastAsia="hi-IN" w:bidi="hi-IN"/>
        </w:rPr>
        <w:t>e vedere al numărului de angajaţ</w:t>
      </w:r>
      <w:r w:rsidRPr="00A202DF">
        <w:rPr>
          <w:rFonts w:ascii="Arial" w:hAnsi="Arial" w:cs="Arial"/>
          <w:kern w:val="1"/>
          <w:lang w:val="es-ES" w:eastAsia="hi-IN" w:bidi="hi-IN"/>
        </w:rPr>
        <w:t xml:space="preserve">i </w:t>
      </w:r>
      <w:r w:rsidR="00354B2F">
        <w:rPr>
          <w:rFonts w:ascii="Arial" w:hAnsi="Arial" w:cs="Arial"/>
          <w:kern w:val="1"/>
          <w:lang w:val="es-ES" w:eastAsia="hi-IN" w:bidi="hi-IN"/>
        </w:rPr>
        <w:t>care î</w:t>
      </w:r>
      <w:r w:rsidR="00796220">
        <w:rPr>
          <w:rFonts w:ascii="Arial" w:hAnsi="Arial" w:cs="Arial"/>
          <w:kern w:val="1"/>
          <w:lang w:val="es-ES" w:eastAsia="hi-IN" w:bidi="hi-IN"/>
        </w:rPr>
        <w:t>și desfășoară activitatea pe</w:t>
      </w:r>
      <w:r>
        <w:rPr>
          <w:rFonts w:ascii="Arial" w:hAnsi="Arial" w:cs="Arial"/>
          <w:kern w:val="1"/>
          <w:lang w:val="es-ES" w:eastAsia="hi-IN" w:bidi="hi-IN"/>
        </w:rPr>
        <w:t xml:space="preserve"> teritoriul oraş</w:t>
      </w:r>
      <w:r w:rsidRPr="00A202DF">
        <w:rPr>
          <w:rFonts w:ascii="Arial" w:hAnsi="Arial" w:cs="Arial"/>
          <w:kern w:val="1"/>
          <w:lang w:val="es-ES" w:eastAsia="hi-IN" w:bidi="hi-IN"/>
        </w:rPr>
        <w:t>ului Horezu sunt:</w:t>
      </w:r>
    </w:p>
    <w:p w14:paraId="70D4858A" w14:textId="77777777" w:rsidR="00A202DF" w:rsidRPr="00941B57"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941B57">
        <w:rPr>
          <w:rFonts w:ascii="Arial" w:hAnsi="Arial" w:cs="Arial"/>
          <w:kern w:val="1"/>
          <w:lang w:val="ro-RO" w:eastAsia="hi-IN" w:bidi="hi-IN"/>
        </w:rPr>
        <w:t>SC Danemar Company SRL – 374 angajați</w:t>
      </w:r>
      <w:r w:rsidR="00796220" w:rsidRPr="00941B57">
        <w:rPr>
          <w:rFonts w:ascii="Arial" w:hAnsi="Arial" w:cs="Arial"/>
          <w:kern w:val="1"/>
          <w:lang w:val="ro-RO" w:eastAsia="hi-IN" w:bidi="hi-IN"/>
        </w:rPr>
        <w:t xml:space="preserve"> – are sediul în orașul Băbeni, </w:t>
      </w:r>
      <w:r w:rsidR="0016675E" w:rsidRPr="00941B57">
        <w:rPr>
          <w:rFonts w:ascii="Arial" w:hAnsi="Arial" w:cs="Arial"/>
          <w:kern w:val="1"/>
          <w:lang w:val="ro-RO" w:eastAsia="hi-IN" w:bidi="hi-IN"/>
        </w:rPr>
        <w:t xml:space="preserve">dar își desfășoară activitatea și pe raza localității </w:t>
      </w:r>
      <w:r w:rsidR="00941B57" w:rsidRPr="00941B57">
        <w:rPr>
          <w:rFonts w:ascii="Arial" w:hAnsi="Arial" w:cs="Arial"/>
          <w:kern w:val="1"/>
          <w:lang w:val="ro-RO" w:eastAsia="hi-IN" w:bidi="hi-IN"/>
        </w:rPr>
        <w:t>Horezu</w:t>
      </w:r>
      <w:r w:rsidR="0016675E" w:rsidRPr="00941B57">
        <w:rPr>
          <w:rFonts w:ascii="Arial" w:hAnsi="Arial" w:cs="Arial"/>
          <w:kern w:val="1"/>
          <w:lang w:val="ro-RO" w:eastAsia="hi-IN" w:bidi="hi-IN"/>
        </w:rPr>
        <w:t xml:space="preserve"> </w:t>
      </w:r>
      <w:r w:rsidR="00796220" w:rsidRPr="00941B57">
        <w:rPr>
          <w:rFonts w:ascii="Arial" w:hAnsi="Arial" w:cs="Arial"/>
          <w:kern w:val="1"/>
          <w:lang w:val="ro-RO" w:eastAsia="hi-IN" w:bidi="hi-IN"/>
        </w:rPr>
        <w:t xml:space="preserve"> </w:t>
      </w:r>
    </w:p>
    <w:p w14:paraId="2413FBE4"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Normandia Trans SRL – 104 angajați</w:t>
      </w:r>
    </w:p>
    <w:p w14:paraId="2DB31DF0"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Velgala SRL – 50 angajați</w:t>
      </w:r>
    </w:p>
    <w:p w14:paraId="4B905E4C"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Fruct Alcool SRL – 44 angajați</w:t>
      </w:r>
    </w:p>
    <w:p w14:paraId="7C7E68D7"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Annabella SRL – 41 angajați</w:t>
      </w:r>
    </w:p>
    <w:p w14:paraId="1888FB24"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Obada Trans SRL – 37 angajați</w:t>
      </w:r>
    </w:p>
    <w:p w14:paraId="5A175171"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Heva Construct SRL – 28 angajați</w:t>
      </w:r>
    </w:p>
    <w:p w14:paraId="4B9C5330"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Consumcoop Horezu – 26 angajați</w:t>
      </w:r>
    </w:p>
    <w:p w14:paraId="47302AEF"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Siva Trans SRL – 25 angajați</w:t>
      </w:r>
    </w:p>
    <w:p w14:paraId="1DEBEC24"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Metadib SRL – 22 angajați</w:t>
      </w:r>
    </w:p>
    <w:p w14:paraId="7ECEE855" w14:textId="77777777" w:rsidR="00A202DF" w:rsidRPr="00A202DF" w:rsidRDefault="00A202DF" w:rsidP="006B613A">
      <w:pPr>
        <w:widowControl w:val="0"/>
        <w:numPr>
          <w:ilvl w:val="0"/>
          <w:numId w:val="56"/>
        </w:numPr>
        <w:pBdr>
          <w:top w:val="none" w:sz="0" w:space="0" w:color="000000"/>
          <w:left w:val="none" w:sz="0" w:space="0" w:color="000000"/>
          <w:bottom w:val="none" w:sz="0" w:space="0" w:color="000000"/>
          <w:right w:val="none" w:sz="0" w:space="0" w:color="000000"/>
        </w:pBdr>
        <w:suppressAutoHyphens/>
        <w:spacing w:after="0" w:line="276" w:lineRule="auto"/>
        <w:jc w:val="both"/>
        <w:rPr>
          <w:rFonts w:ascii="Arial" w:hAnsi="Arial" w:cs="Arial"/>
          <w:kern w:val="1"/>
          <w:lang w:val="ro-RO" w:eastAsia="hi-IN" w:bidi="hi-IN"/>
        </w:rPr>
      </w:pPr>
      <w:r w:rsidRPr="00A202DF">
        <w:rPr>
          <w:rFonts w:ascii="Arial" w:hAnsi="Arial" w:cs="Arial"/>
          <w:kern w:val="1"/>
          <w:lang w:val="ro-RO" w:eastAsia="hi-IN" w:bidi="hi-IN"/>
        </w:rPr>
        <w:t>SC Transmontana SA – 21 angajați</w:t>
      </w:r>
    </w:p>
    <w:p w14:paraId="62B3FB1D" w14:textId="77777777" w:rsidR="00A202DF" w:rsidRPr="00A202DF" w:rsidRDefault="00A202DF" w:rsidP="00A202DF">
      <w:pPr>
        <w:widowControl w:val="0"/>
        <w:pBdr>
          <w:top w:val="none" w:sz="0" w:space="0" w:color="000000"/>
          <w:left w:val="none" w:sz="0" w:space="0" w:color="000000"/>
          <w:bottom w:val="none" w:sz="0" w:space="0" w:color="000000"/>
          <w:right w:val="none" w:sz="0" w:space="0" w:color="000000"/>
        </w:pBdr>
        <w:suppressAutoHyphens/>
        <w:spacing w:after="0" w:line="360" w:lineRule="auto"/>
        <w:jc w:val="both"/>
        <w:rPr>
          <w:rFonts w:ascii="Arial" w:hAnsi="Arial" w:cs="Arial"/>
          <w:kern w:val="1"/>
          <w:sz w:val="24"/>
          <w:szCs w:val="24"/>
          <w:lang w:val="ro-RO" w:eastAsia="hi-IN" w:bidi="hi-IN"/>
        </w:rPr>
      </w:pPr>
    </w:p>
    <w:p w14:paraId="2DB579A7" w14:textId="77777777" w:rsidR="00A202DF" w:rsidRPr="00A202DF" w:rsidRDefault="00A202DF" w:rsidP="00A202DF">
      <w:pPr>
        <w:autoSpaceDE w:val="0"/>
        <w:autoSpaceDN w:val="0"/>
        <w:adjustRightInd w:val="0"/>
        <w:spacing w:after="0" w:line="276" w:lineRule="auto"/>
        <w:jc w:val="both"/>
        <w:rPr>
          <w:rFonts w:ascii="Arial" w:eastAsia="Times New Roman" w:hAnsi="Arial" w:cs="Arial"/>
          <w:lang w:val="es-ES"/>
        </w:rPr>
      </w:pPr>
      <w:r w:rsidRPr="00A202DF">
        <w:rPr>
          <w:rFonts w:ascii="Arial" w:eastAsia="Times New Roman" w:hAnsi="Arial" w:cs="Arial"/>
          <w:lang w:val="es-ES"/>
        </w:rPr>
        <w:t>Autoritatea publică locală a stabilit pentru agenții economici cu activitate de exploatare a masei lemnoase și cei cu activitate de exploatare piatră, nisip, pietriș și produse de carier</w:t>
      </w:r>
      <w:r w:rsidR="00D40133">
        <w:rPr>
          <w:rFonts w:ascii="Arial" w:eastAsia="Times New Roman" w:hAnsi="Arial" w:cs="Arial"/>
          <w:lang w:val="es-ES"/>
        </w:rPr>
        <w:t>ă obținute prin concasare o taxă</w:t>
      </w:r>
      <w:r w:rsidRPr="00A202DF">
        <w:rPr>
          <w:rFonts w:ascii="Arial" w:eastAsia="Times New Roman" w:hAnsi="Arial" w:cs="Arial"/>
          <w:lang w:val="es-ES"/>
        </w:rPr>
        <w:t xml:space="preserve"> de utilizare </w:t>
      </w:r>
      <w:r w:rsidR="00D40133">
        <w:rPr>
          <w:rFonts w:ascii="Arial" w:eastAsia="Times New Roman" w:hAnsi="Arial" w:cs="Arial"/>
          <w:lang w:val="es-ES"/>
        </w:rPr>
        <w:t>a drumurilor comunale de pe raza</w:t>
      </w:r>
      <w:r w:rsidRPr="00A202DF">
        <w:rPr>
          <w:rFonts w:ascii="Arial" w:eastAsia="Times New Roman" w:hAnsi="Arial" w:cs="Arial"/>
          <w:lang w:val="es-ES"/>
        </w:rPr>
        <w:t xml:space="preserve"> localității Horezu. Astfel, prin HCL 139/2021 a fost stabilită această taxa pentru anul 2022 la următoarele valori:</w:t>
      </w:r>
    </w:p>
    <w:p w14:paraId="2608C7A6" w14:textId="77777777" w:rsidR="00A202DF" w:rsidRPr="00A202DF" w:rsidRDefault="00D40133" w:rsidP="006B613A">
      <w:pPr>
        <w:numPr>
          <w:ilvl w:val="0"/>
          <w:numId w:val="56"/>
        </w:numPr>
        <w:suppressAutoHyphens/>
        <w:autoSpaceDE w:val="0"/>
        <w:autoSpaceDN w:val="0"/>
        <w:adjustRightInd w:val="0"/>
        <w:spacing w:after="0" w:line="276" w:lineRule="auto"/>
        <w:jc w:val="both"/>
        <w:rPr>
          <w:rFonts w:ascii="Arial" w:eastAsia="Times New Roman" w:hAnsi="Arial" w:cs="Arial"/>
          <w:lang w:val="es-ES" w:eastAsia="zh-CN"/>
        </w:rPr>
      </w:pPr>
      <w:r>
        <w:rPr>
          <w:rFonts w:ascii="Arial" w:eastAsia="Times New Roman" w:hAnsi="Arial" w:cs="Arial"/>
          <w:lang w:val="es-ES" w:eastAsia="zh-CN"/>
        </w:rPr>
        <w:t>2 lei/tona de piatră, nisip, pietriş</w:t>
      </w:r>
    </w:p>
    <w:p w14:paraId="39DFE5D3" w14:textId="77777777" w:rsidR="00A202DF" w:rsidRPr="00A202DF" w:rsidRDefault="00D40133" w:rsidP="006B613A">
      <w:pPr>
        <w:numPr>
          <w:ilvl w:val="0"/>
          <w:numId w:val="56"/>
        </w:numPr>
        <w:suppressAutoHyphens/>
        <w:autoSpaceDE w:val="0"/>
        <w:autoSpaceDN w:val="0"/>
        <w:adjustRightInd w:val="0"/>
        <w:spacing w:after="0" w:line="276" w:lineRule="auto"/>
        <w:jc w:val="both"/>
        <w:rPr>
          <w:rFonts w:ascii="Arial" w:eastAsia="Times New Roman" w:hAnsi="Arial" w:cs="Arial"/>
          <w:lang w:val="es-ES" w:eastAsia="zh-CN"/>
        </w:rPr>
      </w:pPr>
      <w:r>
        <w:rPr>
          <w:rFonts w:ascii="Arial" w:eastAsia="Times New Roman" w:hAnsi="Arial" w:cs="Arial"/>
          <w:lang w:val="es-ES" w:eastAsia="zh-CN"/>
        </w:rPr>
        <w:t>4 lei/ mc lemn exploatat ş</w:t>
      </w:r>
      <w:r w:rsidR="00A202DF" w:rsidRPr="00A202DF">
        <w:rPr>
          <w:rFonts w:ascii="Arial" w:eastAsia="Times New Roman" w:hAnsi="Arial" w:cs="Arial"/>
          <w:lang w:val="es-ES" w:eastAsia="zh-CN"/>
        </w:rPr>
        <w:t>i transportat</w:t>
      </w:r>
    </w:p>
    <w:p w14:paraId="5D80A42C" w14:textId="77777777" w:rsidR="00A202DF" w:rsidRPr="00A202DF" w:rsidRDefault="00D40133" w:rsidP="006B613A">
      <w:pPr>
        <w:numPr>
          <w:ilvl w:val="0"/>
          <w:numId w:val="56"/>
        </w:numPr>
        <w:suppressAutoHyphens/>
        <w:autoSpaceDE w:val="0"/>
        <w:autoSpaceDN w:val="0"/>
        <w:adjustRightInd w:val="0"/>
        <w:spacing w:after="0" w:line="276" w:lineRule="auto"/>
        <w:jc w:val="both"/>
        <w:rPr>
          <w:rFonts w:ascii="Arial" w:eastAsia="Times New Roman" w:hAnsi="Arial" w:cs="Arial"/>
          <w:lang w:val="es-ES" w:eastAsia="zh-CN"/>
        </w:rPr>
      </w:pPr>
      <w:r>
        <w:rPr>
          <w:rFonts w:ascii="Arial" w:eastAsia="Times New Roman" w:hAnsi="Arial" w:cs="Arial"/>
          <w:lang w:val="es-ES" w:eastAsia="zh-CN"/>
        </w:rPr>
        <w:t>2 lei/tonă piatră, pietriş, nisip şi produse de carieră obţ</w:t>
      </w:r>
      <w:r w:rsidR="00A202DF" w:rsidRPr="00A202DF">
        <w:rPr>
          <w:rFonts w:ascii="Arial" w:eastAsia="Times New Roman" w:hAnsi="Arial" w:cs="Arial"/>
          <w:lang w:val="es-ES" w:eastAsia="zh-CN"/>
        </w:rPr>
        <w:t>inute prin concasare.</w:t>
      </w:r>
    </w:p>
    <w:p w14:paraId="2B2701A1" w14:textId="77777777" w:rsidR="00A202DF" w:rsidRPr="00A202DF" w:rsidRDefault="00A202DF" w:rsidP="00A202DF">
      <w:pPr>
        <w:autoSpaceDE w:val="0"/>
        <w:autoSpaceDN w:val="0"/>
        <w:adjustRightInd w:val="0"/>
        <w:spacing w:after="0"/>
        <w:jc w:val="both"/>
        <w:rPr>
          <w:rFonts w:ascii="Arial" w:hAnsi="Arial" w:cs="Arial"/>
          <w:lang w:val="es-ES"/>
        </w:rPr>
      </w:pPr>
    </w:p>
    <w:p w14:paraId="12764892" w14:textId="77777777" w:rsidR="00A202DF" w:rsidRPr="00A202DF" w:rsidRDefault="00D40133" w:rsidP="00A202DF">
      <w:pPr>
        <w:autoSpaceDE w:val="0"/>
        <w:autoSpaceDN w:val="0"/>
        <w:adjustRightInd w:val="0"/>
        <w:spacing w:after="0"/>
        <w:jc w:val="both"/>
        <w:rPr>
          <w:rFonts w:ascii="Arial" w:hAnsi="Arial" w:cs="Arial"/>
          <w:lang w:val="es-ES"/>
        </w:rPr>
      </w:pPr>
      <w:r>
        <w:rPr>
          <w:rFonts w:ascii="Arial" w:hAnsi="Arial" w:cs="Arial"/>
          <w:lang w:val="es-ES"/>
        </w:rPr>
        <w:t>Hotărârea prevede ca banii astfel obţinuţi să fie utilizaţ</w:t>
      </w:r>
      <w:r w:rsidR="00A202DF" w:rsidRPr="00A202DF">
        <w:rPr>
          <w:rFonts w:ascii="Arial" w:hAnsi="Arial" w:cs="Arial"/>
          <w:lang w:val="es-ES"/>
        </w:rPr>
        <w:t xml:space="preserve">i </w:t>
      </w:r>
      <w:r>
        <w:rPr>
          <w:rFonts w:ascii="Arial" w:hAnsi="Arial" w:cs="Arial"/>
          <w:lang w:val="es-ES"/>
        </w:rPr>
        <w:t>exclusiv pentru refacerea şi întreţ</w:t>
      </w:r>
      <w:r w:rsidR="00A202DF" w:rsidRPr="00A202DF">
        <w:rPr>
          <w:rFonts w:ascii="Arial" w:hAnsi="Arial" w:cs="Arial"/>
          <w:lang w:val="es-ES"/>
        </w:rPr>
        <w:t>inerea drumurilor utilizate.</w:t>
      </w:r>
    </w:p>
    <w:p w14:paraId="5ECABCAA" w14:textId="77777777" w:rsidR="00A202DF" w:rsidRPr="00A202DF" w:rsidRDefault="00A202DF" w:rsidP="00A202DF">
      <w:pPr>
        <w:autoSpaceDE w:val="0"/>
        <w:autoSpaceDN w:val="0"/>
        <w:adjustRightInd w:val="0"/>
        <w:spacing w:after="0"/>
        <w:jc w:val="both"/>
        <w:rPr>
          <w:rFonts w:ascii="Arial" w:eastAsia="Times New Roman" w:hAnsi="Arial" w:cs="Arial"/>
          <w:lang w:val="es-ES"/>
        </w:rPr>
      </w:pPr>
      <w:r w:rsidRPr="00A202DF">
        <w:rPr>
          <w:rFonts w:ascii="Arial" w:hAnsi="Arial" w:cs="Arial"/>
          <w:lang w:val="es-ES"/>
        </w:rPr>
        <w:t xml:space="preserve"> </w:t>
      </w:r>
    </w:p>
    <w:p w14:paraId="22B4A55E" w14:textId="77777777" w:rsidR="00A202DF" w:rsidRPr="00A202DF" w:rsidRDefault="00A202DF" w:rsidP="00A202DF">
      <w:p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Concluzii:</w:t>
      </w:r>
    </w:p>
    <w:p w14:paraId="0738D84D" w14:textId="77777777" w:rsidR="00A202DF" w:rsidRPr="00A202DF" w:rsidRDefault="00A202DF" w:rsidP="000C6CB8">
      <w:pPr>
        <w:numPr>
          <w:ilvl w:val="0"/>
          <w:numId w:val="139"/>
        </w:numPr>
        <w:suppressAutoHyphens/>
        <w:autoSpaceDE w:val="0"/>
        <w:spacing w:after="0" w:line="276" w:lineRule="auto"/>
        <w:jc w:val="both"/>
        <w:rPr>
          <w:rFonts w:ascii="Arial" w:eastAsia="Calibri" w:hAnsi="Arial" w:cs="Arial"/>
          <w:color w:val="000000"/>
          <w:lang w:val="es-ES" w:eastAsia="zh-CN"/>
        </w:rPr>
      </w:pPr>
      <w:r w:rsidRPr="00A202DF">
        <w:rPr>
          <w:rFonts w:ascii="Arial" w:eastAsia="Times New Roman" w:hAnsi="Arial" w:cs="Arial"/>
          <w:color w:val="000000"/>
          <w:lang w:val="es-ES" w:eastAsia="ro-RO"/>
        </w:rPr>
        <w:t>Traficul de marfă aflat în tranzit se desfășoară pe strazile orașului (</w:t>
      </w:r>
      <w:r w:rsidR="00D40133">
        <w:rPr>
          <w:rFonts w:ascii="Arial" w:eastAsia="Times New Roman" w:hAnsi="Arial" w:cs="Arial"/>
          <w:color w:val="000000"/>
          <w:lang w:val="es-ES" w:eastAsia="ro-RO"/>
        </w:rPr>
        <w:t>până la construirea şoselei de centură, aflată î</w:t>
      </w:r>
      <w:r w:rsidRPr="00A202DF">
        <w:rPr>
          <w:rFonts w:ascii="Arial" w:eastAsia="Times New Roman" w:hAnsi="Arial" w:cs="Arial"/>
          <w:color w:val="000000"/>
          <w:lang w:val="es-ES" w:eastAsia="ro-RO"/>
        </w:rPr>
        <w:t>n stadiu de proiect)</w:t>
      </w:r>
      <w:r w:rsidRPr="00A202DF">
        <w:rPr>
          <w:rFonts w:ascii="Arial" w:eastAsia="Calibri" w:hAnsi="Arial" w:cs="Arial"/>
          <w:color w:val="000000"/>
          <w:lang w:val="es-ES" w:eastAsia="zh-CN"/>
        </w:rPr>
        <w:t>.</w:t>
      </w:r>
    </w:p>
    <w:p w14:paraId="2ACEAA96" w14:textId="77777777" w:rsidR="00A202DF" w:rsidRPr="00A202DF" w:rsidRDefault="00A202DF" w:rsidP="000C6CB8">
      <w:pPr>
        <w:numPr>
          <w:ilvl w:val="0"/>
          <w:numId w:val="139"/>
        </w:num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 xml:space="preserve">Traficul de marfă de penetrație se realizează preponderent cu </w:t>
      </w:r>
      <w:r w:rsidRPr="00A202DF">
        <w:rPr>
          <w:rFonts w:ascii="Arial" w:eastAsia="Times New Roman" w:hAnsi="Arial" w:cs="Arial"/>
          <w:color w:val="000000"/>
          <w:lang w:val="es-ES" w:eastAsia="zh-CN"/>
        </w:rPr>
        <w:t>autovehicule cu masa de până la 3,5 tone.</w:t>
      </w:r>
    </w:p>
    <w:p w14:paraId="55730133" w14:textId="77777777" w:rsidR="00A202DF" w:rsidRPr="00A202DF" w:rsidRDefault="00A202DF" w:rsidP="000C6CB8">
      <w:pPr>
        <w:numPr>
          <w:ilvl w:val="0"/>
          <w:numId w:val="139"/>
        </w:numPr>
        <w:suppressAutoHyphens/>
        <w:autoSpaceDE w:val="0"/>
        <w:spacing w:after="0" w:line="276" w:lineRule="auto"/>
        <w:jc w:val="both"/>
        <w:rPr>
          <w:rFonts w:ascii="Arial" w:eastAsia="Calibri" w:hAnsi="Arial" w:cs="Arial"/>
          <w:color w:val="000000"/>
          <w:lang w:val="es-ES" w:eastAsia="zh-CN"/>
        </w:rPr>
      </w:pPr>
      <w:r w:rsidRPr="00A202DF">
        <w:rPr>
          <w:rFonts w:ascii="Arial" w:eastAsia="Calibri" w:hAnsi="Arial" w:cs="Arial"/>
          <w:color w:val="000000"/>
          <w:lang w:val="es-ES" w:eastAsia="zh-CN"/>
        </w:rPr>
        <w:t>Activitatea de aprovizionare a agenților economici se desfășoară pe parcursul zilei, punând o presiune suplimentară asupra infrastructurii rutiere a orașului.</w:t>
      </w:r>
    </w:p>
    <w:p w14:paraId="3801F105" w14:textId="77777777" w:rsidR="00DE4288" w:rsidRPr="00DE4288" w:rsidRDefault="00DE4288" w:rsidP="00DE4288"/>
    <w:p w14:paraId="3D883172" w14:textId="77777777" w:rsidR="00D70AEA" w:rsidRPr="00A32027" w:rsidRDefault="00D70AEA" w:rsidP="00A32027">
      <w:pPr>
        <w:pStyle w:val="Titlu2"/>
        <w:rPr>
          <w:rFonts w:ascii="Arial" w:eastAsia="Times New Roman" w:hAnsi="Arial" w:cs="Arial"/>
          <w:b/>
          <w:bCs/>
          <w:color w:val="auto"/>
          <w:lang w:val="it-IT" w:eastAsia="ro-RO"/>
        </w:rPr>
      </w:pPr>
      <w:bookmarkStart w:id="120" w:name="_Toc61264892"/>
      <w:bookmarkStart w:id="121" w:name="_Toc142039059"/>
      <w:r w:rsidRPr="00A32027">
        <w:rPr>
          <w:rFonts w:ascii="Arial" w:eastAsia="Times New Roman" w:hAnsi="Arial" w:cs="Arial"/>
          <w:b/>
          <w:bCs/>
          <w:color w:val="auto"/>
          <w:lang w:val="it-IT" w:eastAsia="ro-RO"/>
        </w:rPr>
        <w:t>I.2.5</w:t>
      </w:r>
      <w:r w:rsidR="003430C5" w:rsidRPr="00A32027">
        <w:rPr>
          <w:rFonts w:ascii="Arial" w:eastAsia="Times New Roman" w:hAnsi="Arial" w:cs="Arial"/>
          <w:b/>
          <w:bCs/>
          <w:color w:val="auto"/>
          <w:lang w:val="it-IT" w:eastAsia="ro-RO"/>
        </w:rPr>
        <w:t xml:space="preserve"> </w:t>
      </w:r>
      <w:r w:rsidRPr="00A32027">
        <w:rPr>
          <w:rFonts w:ascii="Arial" w:eastAsia="Times New Roman" w:hAnsi="Arial" w:cs="Arial"/>
          <w:b/>
          <w:bCs/>
          <w:color w:val="auto"/>
          <w:lang w:val="it-IT" w:eastAsia="ro-RO"/>
        </w:rPr>
        <w:t>Mijloace alternative de mobilitate (deplas</w:t>
      </w:r>
      <w:r w:rsidR="00A32027">
        <w:rPr>
          <w:rFonts w:ascii="Arial" w:eastAsia="Times New Roman" w:hAnsi="Arial" w:cs="Arial"/>
          <w:b/>
          <w:bCs/>
          <w:color w:val="auto"/>
          <w:lang w:val="it-IT" w:eastAsia="ro-RO"/>
        </w:rPr>
        <w:t>ă</w:t>
      </w:r>
      <w:r w:rsidRPr="00A32027">
        <w:rPr>
          <w:rFonts w:ascii="Arial" w:eastAsia="Times New Roman" w:hAnsi="Arial" w:cs="Arial"/>
          <w:b/>
          <w:bCs/>
          <w:color w:val="auto"/>
          <w:lang w:val="it-IT" w:eastAsia="ro-RO"/>
        </w:rPr>
        <w:t>ri cu bicicleta, mersul pe jos și persoane cu mobilitate redus</w:t>
      </w:r>
      <w:r w:rsidR="00A32027">
        <w:rPr>
          <w:rFonts w:ascii="Arial" w:eastAsia="Times New Roman" w:hAnsi="Arial" w:cs="Arial"/>
          <w:b/>
          <w:bCs/>
          <w:color w:val="auto"/>
          <w:lang w:val="it-IT" w:eastAsia="ro-RO"/>
        </w:rPr>
        <w:t>ă</w:t>
      </w:r>
      <w:r w:rsidRPr="00A32027">
        <w:rPr>
          <w:rFonts w:ascii="Arial" w:eastAsia="Times New Roman" w:hAnsi="Arial" w:cs="Arial"/>
          <w:b/>
          <w:bCs/>
          <w:color w:val="auto"/>
          <w:lang w:val="it-IT" w:eastAsia="ro-RO"/>
        </w:rPr>
        <w:t>)</w:t>
      </w:r>
      <w:bookmarkEnd w:id="120"/>
      <w:bookmarkEnd w:id="121"/>
    </w:p>
    <w:p w14:paraId="2CDDBA15" w14:textId="5E8E320F" w:rsidR="00D6124B" w:rsidRDefault="00D6124B" w:rsidP="00A32027">
      <w:pPr>
        <w:pStyle w:val="Titlu3"/>
        <w:rPr>
          <w:rFonts w:ascii="Arial" w:hAnsi="Arial" w:cs="Arial"/>
          <w:sz w:val="24"/>
          <w:szCs w:val="24"/>
        </w:rPr>
      </w:pPr>
      <w:bookmarkStart w:id="122" w:name="__RefHeading___Toc448828024"/>
      <w:bookmarkStart w:id="123" w:name="_Toc491868808"/>
      <w:bookmarkStart w:id="124" w:name="_Toc499657536"/>
      <w:bookmarkStart w:id="125" w:name="_Toc142039060"/>
      <w:r w:rsidRPr="00A32027">
        <w:rPr>
          <w:rFonts w:ascii="Arial" w:hAnsi="Arial" w:cs="Arial"/>
          <w:sz w:val="24"/>
          <w:szCs w:val="24"/>
        </w:rPr>
        <w:t xml:space="preserve">I.2.5.1 </w:t>
      </w:r>
      <w:bookmarkEnd w:id="122"/>
      <w:bookmarkEnd w:id="123"/>
      <w:bookmarkEnd w:id="124"/>
      <w:r w:rsidR="00560508">
        <w:rPr>
          <w:rFonts w:ascii="Arial" w:hAnsi="Arial" w:cs="Arial"/>
          <w:sz w:val="24"/>
          <w:szCs w:val="24"/>
        </w:rPr>
        <w:t>Infrastructuri pentru biciclete</w:t>
      </w:r>
      <w:bookmarkEnd w:id="125"/>
      <w:r w:rsidRPr="00A32027">
        <w:rPr>
          <w:rFonts w:ascii="Arial" w:hAnsi="Arial" w:cs="Arial"/>
          <w:sz w:val="24"/>
          <w:szCs w:val="24"/>
        </w:rPr>
        <w:t xml:space="preserve"> </w:t>
      </w:r>
    </w:p>
    <w:p w14:paraId="51387F09" w14:textId="77777777" w:rsidR="00D40133" w:rsidRPr="00D40133" w:rsidRDefault="00D40133" w:rsidP="00D40133">
      <w:pPr>
        <w:suppressAutoHyphens/>
        <w:autoSpaceDE w:val="0"/>
        <w:spacing w:after="0" w:line="276" w:lineRule="auto"/>
        <w:jc w:val="both"/>
        <w:rPr>
          <w:rFonts w:ascii="Arial" w:eastAsia="Calibri" w:hAnsi="Arial" w:cs="Arial"/>
          <w:color w:val="000000"/>
          <w:lang w:val="es-ES" w:eastAsia="zh-CN"/>
        </w:rPr>
      </w:pPr>
      <w:r w:rsidRPr="00D40133">
        <w:rPr>
          <w:rFonts w:ascii="Arial" w:eastAsia="Calibri" w:hAnsi="Arial" w:cs="Arial"/>
          <w:color w:val="000000"/>
          <w:lang w:val="es-ES" w:eastAsia="zh-CN"/>
        </w:rPr>
        <w:t xml:space="preserve">Una din soluţiile de descongestionare a traficului este şi încurajarea deplasărilor cu bicicleta cu efecte benefice atât asupra mediului, cât şi asupra infrastructurii rutiere. </w:t>
      </w:r>
    </w:p>
    <w:p w14:paraId="7F6E5A14" w14:textId="77777777" w:rsidR="00D40133" w:rsidRPr="00D40133" w:rsidRDefault="00D40133" w:rsidP="00D40133">
      <w:pPr>
        <w:suppressAutoHyphens/>
        <w:autoSpaceDE w:val="0"/>
        <w:spacing w:after="0" w:line="360" w:lineRule="auto"/>
        <w:jc w:val="both"/>
        <w:rPr>
          <w:rFonts w:ascii="Arial" w:eastAsia="Calibri" w:hAnsi="Arial" w:cs="Arial"/>
          <w:color w:val="000000"/>
          <w:sz w:val="24"/>
          <w:szCs w:val="24"/>
          <w:lang w:val="es-ES" w:eastAsia="zh-CN"/>
        </w:rPr>
      </w:pPr>
    </w:p>
    <w:p w14:paraId="47829AFD" w14:textId="201AAB1C" w:rsidR="00D40133" w:rsidRPr="00D40133" w:rsidRDefault="00D40133" w:rsidP="00D40133">
      <w:pPr>
        <w:suppressAutoHyphens/>
        <w:autoSpaceDE w:val="0"/>
        <w:spacing w:after="0" w:line="276" w:lineRule="auto"/>
        <w:jc w:val="both"/>
        <w:rPr>
          <w:rFonts w:ascii="Arial" w:eastAsia="Calibri" w:hAnsi="Arial" w:cs="Arial"/>
          <w:color w:val="000000"/>
          <w:lang w:val="es-ES" w:eastAsia="zh-CN"/>
        </w:rPr>
      </w:pPr>
      <w:r w:rsidRPr="00D40133">
        <w:rPr>
          <w:rFonts w:ascii="Arial" w:eastAsia="Calibri" w:hAnsi="Arial" w:cs="Arial"/>
          <w:color w:val="000000"/>
          <w:lang w:val="es-ES" w:eastAsia="zh-CN"/>
        </w:rPr>
        <w:lastRenderedPageBreak/>
        <w:t xml:space="preserve">Există mai multe posibilităţi pentru amenajarea acestor </w:t>
      </w:r>
      <w:r w:rsidR="00560508">
        <w:rPr>
          <w:rFonts w:ascii="Arial" w:eastAsia="Calibri" w:hAnsi="Arial" w:cs="Arial"/>
          <w:color w:val="000000"/>
          <w:lang w:val="es-ES" w:eastAsia="zh-CN"/>
        </w:rPr>
        <w:t>infrastructuri</w:t>
      </w:r>
      <w:r w:rsidRPr="00D40133">
        <w:rPr>
          <w:rFonts w:ascii="Arial" w:eastAsia="Calibri" w:hAnsi="Arial" w:cs="Arial"/>
          <w:color w:val="000000"/>
          <w:lang w:val="es-ES" w:eastAsia="zh-CN"/>
        </w:rPr>
        <w:t xml:space="preserve"> funcţie de configuraţia şi elementele geometrice ale infrastructurii rutiere, cum ar fi: </w:t>
      </w:r>
    </w:p>
    <w:p w14:paraId="7880C123" w14:textId="77777777" w:rsidR="00D40133" w:rsidRPr="00D40133" w:rsidRDefault="00D40133" w:rsidP="000C6CB8">
      <w:pPr>
        <w:widowControl w:val="0"/>
        <w:numPr>
          <w:ilvl w:val="0"/>
          <w:numId w:val="140"/>
        </w:numPr>
        <w:tabs>
          <w:tab w:val="left" w:pos="1440"/>
        </w:tabs>
        <w:suppressAutoHyphens/>
        <w:autoSpaceDE w:val="0"/>
        <w:spacing w:after="0" w:line="276" w:lineRule="auto"/>
        <w:jc w:val="both"/>
        <w:rPr>
          <w:rFonts w:ascii="Arial" w:eastAsia="Calibri" w:hAnsi="Arial" w:cs="Arial"/>
          <w:color w:val="000000"/>
          <w:lang w:val="es-ES" w:eastAsia="zh-CN"/>
        </w:rPr>
      </w:pPr>
      <w:r w:rsidRPr="00D40133">
        <w:rPr>
          <w:rFonts w:ascii="Arial" w:eastAsia="Calibri" w:hAnsi="Arial" w:cs="Arial"/>
          <w:color w:val="000000"/>
          <w:lang w:val="es-ES" w:eastAsia="zh-CN"/>
        </w:rPr>
        <w:t>amenajarea pe carosabil: pe un sens sau pe ambele, cu marcajele şi echipările corespunzătoare;</w:t>
      </w:r>
    </w:p>
    <w:p w14:paraId="7E7E44C3" w14:textId="77777777" w:rsidR="00D40133" w:rsidRPr="00D40133" w:rsidRDefault="00D40133" w:rsidP="000C6CB8">
      <w:pPr>
        <w:widowControl w:val="0"/>
        <w:numPr>
          <w:ilvl w:val="0"/>
          <w:numId w:val="140"/>
        </w:numPr>
        <w:tabs>
          <w:tab w:val="left" w:pos="1440"/>
        </w:tabs>
        <w:suppressAutoHyphens/>
        <w:autoSpaceDE w:val="0"/>
        <w:spacing w:after="0" w:line="276" w:lineRule="auto"/>
        <w:jc w:val="both"/>
        <w:rPr>
          <w:rFonts w:ascii="Arial" w:eastAsia="Calibri" w:hAnsi="Arial" w:cs="Arial"/>
          <w:color w:val="000000"/>
          <w:lang w:val="es-ES" w:eastAsia="zh-CN"/>
        </w:rPr>
      </w:pPr>
      <w:r w:rsidRPr="00D40133">
        <w:rPr>
          <w:rFonts w:ascii="Arial" w:eastAsia="Calibri" w:hAnsi="Arial" w:cs="Arial"/>
          <w:color w:val="000000"/>
          <w:lang w:val="es-ES" w:eastAsia="zh-CN"/>
        </w:rPr>
        <w:t xml:space="preserve">amenajarea pe trotuare: pe un sens sau pe ambele, cu marcajele şi echipările corespunzătoare </w:t>
      </w:r>
    </w:p>
    <w:p w14:paraId="4D20E027" w14:textId="77777777" w:rsidR="00D40133" w:rsidRPr="00D40133" w:rsidRDefault="00D40133" w:rsidP="00D40133">
      <w:pPr>
        <w:suppressAutoHyphens/>
        <w:autoSpaceDE w:val="0"/>
        <w:spacing w:after="0" w:line="276" w:lineRule="auto"/>
        <w:rPr>
          <w:rFonts w:ascii="Arial" w:eastAsia="Calibri" w:hAnsi="Arial" w:cs="Arial"/>
          <w:color w:val="000000"/>
          <w:lang w:val="es-ES" w:eastAsia="zh-CN"/>
        </w:rPr>
      </w:pPr>
    </w:p>
    <w:p w14:paraId="014426FE" w14:textId="2D8424C1" w:rsidR="00D40133" w:rsidRPr="00D40133" w:rsidRDefault="00D40133" w:rsidP="00D40133">
      <w:pPr>
        <w:suppressAutoHyphens/>
        <w:autoSpaceDE w:val="0"/>
        <w:spacing w:after="0" w:line="276" w:lineRule="auto"/>
        <w:rPr>
          <w:rFonts w:ascii="Arial" w:eastAsia="Calibri" w:hAnsi="Arial" w:cs="Arial"/>
          <w:color w:val="000000"/>
          <w:lang w:val="es-ES" w:eastAsia="zh-CN"/>
        </w:rPr>
      </w:pPr>
      <w:r w:rsidRPr="00D40133">
        <w:rPr>
          <w:rFonts w:ascii="Arial" w:eastAsia="Calibri" w:hAnsi="Arial" w:cs="Arial"/>
          <w:color w:val="000000"/>
          <w:lang w:val="es-ES" w:eastAsia="zh-CN"/>
        </w:rPr>
        <w:t xml:space="preserve">Câteva exemple de amenajări de </w:t>
      </w:r>
      <w:r w:rsidR="00560508">
        <w:rPr>
          <w:rFonts w:ascii="Arial" w:eastAsia="Calibri" w:hAnsi="Arial" w:cs="Arial"/>
          <w:color w:val="000000"/>
          <w:lang w:val="es-ES" w:eastAsia="zh-CN"/>
        </w:rPr>
        <w:t>infrastructuri</w:t>
      </w:r>
      <w:r w:rsidRPr="00D40133">
        <w:rPr>
          <w:rFonts w:ascii="Arial" w:eastAsia="Calibri" w:hAnsi="Arial" w:cs="Arial"/>
          <w:color w:val="000000"/>
          <w:lang w:val="es-ES" w:eastAsia="zh-CN"/>
        </w:rPr>
        <w:t xml:space="preserve"> pentru bicicl</w:t>
      </w:r>
      <w:r w:rsidR="006E163D">
        <w:rPr>
          <w:rFonts w:ascii="Arial" w:eastAsia="Calibri" w:hAnsi="Arial" w:cs="Arial"/>
          <w:color w:val="000000"/>
          <w:lang w:val="es-ES" w:eastAsia="zh-CN"/>
        </w:rPr>
        <w:t>e</w:t>
      </w:r>
      <w:r w:rsidRPr="00D40133">
        <w:rPr>
          <w:rFonts w:ascii="Arial" w:eastAsia="Calibri" w:hAnsi="Arial" w:cs="Arial"/>
          <w:color w:val="000000"/>
          <w:lang w:val="es-ES" w:eastAsia="zh-CN"/>
        </w:rPr>
        <w:t>t</w:t>
      </w:r>
      <w:r w:rsidR="006E163D">
        <w:rPr>
          <w:rFonts w:ascii="Arial" w:eastAsia="Calibri" w:hAnsi="Arial" w:cs="Arial"/>
          <w:color w:val="000000"/>
          <w:lang w:val="es-ES" w:eastAsia="zh-CN"/>
        </w:rPr>
        <w:t>e</w:t>
      </w:r>
      <w:r w:rsidRPr="00D40133">
        <w:rPr>
          <w:rFonts w:ascii="Arial" w:eastAsia="Calibri" w:hAnsi="Arial" w:cs="Arial"/>
          <w:color w:val="000000"/>
          <w:lang w:val="es-ES" w:eastAsia="zh-CN"/>
        </w:rPr>
        <w:t xml:space="preserve"> sunt prezentate în fotografiile de mai jos: </w:t>
      </w:r>
    </w:p>
    <w:p w14:paraId="2E988430" w14:textId="77777777" w:rsidR="00D40133" w:rsidRPr="00D40133" w:rsidRDefault="00D40133" w:rsidP="00D40133">
      <w:pPr>
        <w:suppressAutoHyphens/>
        <w:autoSpaceDE w:val="0"/>
        <w:spacing w:after="0" w:line="360" w:lineRule="auto"/>
        <w:jc w:val="both"/>
        <w:rPr>
          <w:rFonts w:ascii="Arial" w:eastAsia="Calibri" w:hAnsi="Arial" w:cs="Arial"/>
          <w:color w:val="000000"/>
          <w:sz w:val="20"/>
          <w:szCs w:val="20"/>
          <w:lang w:val="es-ES" w:eastAsia="zh-CN"/>
        </w:rPr>
      </w:pPr>
      <w:r w:rsidRPr="00D40133">
        <w:rPr>
          <w:rFonts w:ascii="EUAlbertina" w:eastAsia="Calibri" w:hAnsi="EUAlbertina" w:cs="EUAlbertina"/>
          <w:noProof/>
          <w:color w:val="000000"/>
          <w:sz w:val="24"/>
          <w:szCs w:val="24"/>
        </w:rPr>
        <w:drawing>
          <wp:anchor distT="0" distB="0" distL="0" distR="0" simplePos="0" relativeHeight="251684352" behindDoc="0" locked="0" layoutInCell="1" allowOverlap="1" wp14:anchorId="22C50CC0" wp14:editId="7C86F8E3">
            <wp:simplePos x="0" y="0"/>
            <wp:positionH relativeFrom="column">
              <wp:posOffset>3527425</wp:posOffset>
            </wp:positionH>
            <wp:positionV relativeFrom="paragraph">
              <wp:posOffset>304800</wp:posOffset>
            </wp:positionV>
            <wp:extent cx="2207260" cy="5667375"/>
            <wp:effectExtent l="0" t="0" r="2540" b="9525"/>
            <wp:wrapTopAndBottom/>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07260" cy="5667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D40133">
        <w:rPr>
          <w:rFonts w:ascii="EUAlbertina" w:eastAsia="Calibri" w:hAnsi="EUAlbertina" w:cs="EUAlbertina"/>
          <w:noProof/>
          <w:color w:val="000000"/>
          <w:sz w:val="24"/>
          <w:szCs w:val="24"/>
        </w:rPr>
        <w:drawing>
          <wp:anchor distT="0" distB="0" distL="0" distR="0" simplePos="0" relativeHeight="251673088" behindDoc="0" locked="0" layoutInCell="1" allowOverlap="1" wp14:anchorId="6107262E" wp14:editId="6A50AD84">
            <wp:simplePos x="0" y="0"/>
            <wp:positionH relativeFrom="column">
              <wp:posOffset>398145</wp:posOffset>
            </wp:positionH>
            <wp:positionV relativeFrom="paragraph">
              <wp:posOffset>304800</wp:posOffset>
            </wp:positionV>
            <wp:extent cx="2245360" cy="5769610"/>
            <wp:effectExtent l="0" t="0" r="2540" b="2540"/>
            <wp:wrapTopAndBottom/>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45360" cy="57696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C13FBD5" w14:textId="77777777" w:rsidR="00D40133" w:rsidRDefault="00D40133" w:rsidP="00D40133">
      <w:pPr>
        <w:autoSpaceDE w:val="0"/>
        <w:autoSpaceDN w:val="0"/>
        <w:adjustRightInd w:val="0"/>
        <w:spacing w:after="0" w:line="276" w:lineRule="auto"/>
        <w:jc w:val="both"/>
        <w:rPr>
          <w:rFonts w:ascii="Arial" w:eastAsia="Times New Roman" w:hAnsi="Arial" w:cs="Arial"/>
          <w:lang w:val="es-ES"/>
        </w:rPr>
      </w:pPr>
    </w:p>
    <w:p w14:paraId="15B0E9EB" w14:textId="77777777" w:rsidR="00D40133" w:rsidRPr="00D40133" w:rsidRDefault="00D40133" w:rsidP="00D40133">
      <w:pPr>
        <w:autoSpaceDE w:val="0"/>
        <w:autoSpaceDN w:val="0"/>
        <w:adjustRightInd w:val="0"/>
        <w:spacing w:after="0" w:line="276" w:lineRule="auto"/>
        <w:jc w:val="both"/>
        <w:rPr>
          <w:rFonts w:ascii="Arial" w:eastAsia="Times New Roman" w:hAnsi="Arial" w:cs="Arial"/>
          <w:lang w:val="es-ES"/>
        </w:rPr>
      </w:pPr>
      <w:r w:rsidRPr="00D40133">
        <w:rPr>
          <w:rFonts w:ascii="Arial" w:eastAsia="Times New Roman" w:hAnsi="Arial" w:cs="Arial"/>
          <w:lang w:val="es-ES"/>
        </w:rPr>
        <w:t>În localitatea Horezu, deși dimensiunile reduse ale orașului și absența transportului public recomandă utilizarea modurilor nemotorizate de deplasare, nu sunt amenajate trasee dedicate biciclişților, cu toate că numărul acestora, observat în cadrul recensămintelor de trafic efectuate este destul de însemnat.</w:t>
      </w:r>
    </w:p>
    <w:p w14:paraId="3F0A9BCC" w14:textId="77777777" w:rsidR="00D40133" w:rsidRPr="00D40133" w:rsidRDefault="00D40133" w:rsidP="00D40133">
      <w:pPr>
        <w:autoSpaceDE w:val="0"/>
        <w:autoSpaceDN w:val="0"/>
        <w:adjustRightInd w:val="0"/>
        <w:spacing w:after="0" w:line="360" w:lineRule="auto"/>
        <w:jc w:val="both"/>
        <w:rPr>
          <w:rFonts w:ascii="Arial" w:eastAsia="Times New Roman" w:hAnsi="Arial" w:cs="Arial"/>
          <w:sz w:val="24"/>
          <w:szCs w:val="24"/>
          <w:lang w:val="es-ES"/>
        </w:rPr>
      </w:pPr>
    </w:p>
    <w:p w14:paraId="1507C4E1" w14:textId="77777777" w:rsidR="00D40133" w:rsidRPr="00D40133" w:rsidRDefault="00D40133" w:rsidP="00D40133">
      <w:pPr>
        <w:autoSpaceDE w:val="0"/>
        <w:autoSpaceDN w:val="0"/>
        <w:adjustRightInd w:val="0"/>
        <w:spacing w:after="0" w:line="276" w:lineRule="auto"/>
        <w:jc w:val="both"/>
        <w:rPr>
          <w:rFonts w:ascii="Arial" w:eastAsia="Times New Roman" w:hAnsi="Arial" w:cs="Arial"/>
          <w:lang w:val="es-ES"/>
        </w:rPr>
      </w:pPr>
      <w:r w:rsidRPr="00D40133">
        <w:rPr>
          <w:rFonts w:ascii="Arial" w:eastAsia="Times New Roman" w:hAnsi="Arial" w:cs="Arial"/>
          <w:lang w:val="es-ES"/>
        </w:rPr>
        <w:t>De asemenea, trebuie remarcat și faptul că există fluxuri mari de bicicliști și dinspre/înspre comunele din zona periurbană.</w:t>
      </w:r>
    </w:p>
    <w:p w14:paraId="6618ACC6" w14:textId="77777777" w:rsidR="00D40133" w:rsidRPr="00D40133" w:rsidRDefault="00D40133" w:rsidP="00D40133">
      <w:pPr>
        <w:rPr>
          <w:lang w:eastAsia="zh-CN" w:bidi="hi-IN"/>
        </w:rPr>
      </w:pPr>
    </w:p>
    <w:p w14:paraId="5BA91B3E" w14:textId="77777777" w:rsidR="00D6124B" w:rsidRDefault="00D6124B" w:rsidP="00A32027">
      <w:pPr>
        <w:pStyle w:val="Titlu3"/>
        <w:rPr>
          <w:rFonts w:ascii="Arial" w:hAnsi="Arial" w:cs="Arial"/>
          <w:sz w:val="24"/>
          <w:szCs w:val="24"/>
        </w:rPr>
      </w:pPr>
      <w:bookmarkStart w:id="126" w:name="__RefHeading___Toc448828025"/>
      <w:bookmarkStart w:id="127" w:name="_Toc491868809"/>
      <w:bookmarkStart w:id="128" w:name="_Toc499657537"/>
      <w:bookmarkStart w:id="129" w:name="_Toc142039061"/>
      <w:r w:rsidRPr="00A32027">
        <w:rPr>
          <w:rFonts w:ascii="Arial" w:hAnsi="Arial" w:cs="Arial"/>
          <w:sz w:val="24"/>
          <w:szCs w:val="24"/>
        </w:rPr>
        <w:t>I.2.5.2 Zone pietonale</w:t>
      </w:r>
      <w:bookmarkEnd w:id="126"/>
      <w:bookmarkEnd w:id="127"/>
      <w:bookmarkEnd w:id="128"/>
      <w:bookmarkEnd w:id="129"/>
      <w:r w:rsidRPr="00A32027">
        <w:rPr>
          <w:rFonts w:ascii="Arial" w:hAnsi="Arial" w:cs="Arial"/>
          <w:sz w:val="24"/>
          <w:szCs w:val="24"/>
        </w:rPr>
        <w:t xml:space="preserve"> </w:t>
      </w:r>
    </w:p>
    <w:p w14:paraId="01870846" w14:textId="77777777" w:rsidR="00D40133" w:rsidRPr="00D40133" w:rsidRDefault="00D40133" w:rsidP="00D40133">
      <w:pPr>
        <w:autoSpaceDE w:val="0"/>
        <w:autoSpaceDN w:val="0"/>
        <w:adjustRightInd w:val="0"/>
        <w:spacing w:after="0" w:line="276" w:lineRule="auto"/>
        <w:jc w:val="both"/>
        <w:rPr>
          <w:rFonts w:ascii="Arial" w:eastAsia="Calibri" w:hAnsi="Arial" w:cs="Arial"/>
          <w:color w:val="000000"/>
          <w:lang w:eastAsia="zh-CN"/>
        </w:rPr>
      </w:pPr>
      <w:r w:rsidRPr="00D40133">
        <w:rPr>
          <w:rFonts w:ascii="Arial" w:eastAsia="Calibri" w:hAnsi="Arial" w:cs="Arial"/>
          <w:color w:val="000000"/>
          <w:lang w:eastAsia="zh-CN"/>
        </w:rPr>
        <w:t>Având în vedere dimensiunile orașului, dar și lipsa transportului în comun, cel mai răspândit mod de deplasare este cel pietonal.</w:t>
      </w:r>
    </w:p>
    <w:p w14:paraId="34550460" w14:textId="77777777" w:rsidR="00D40133" w:rsidRPr="00D40133" w:rsidRDefault="00D40133" w:rsidP="00D40133">
      <w:pPr>
        <w:autoSpaceDE w:val="0"/>
        <w:autoSpaceDN w:val="0"/>
        <w:adjustRightInd w:val="0"/>
        <w:spacing w:after="0" w:line="276" w:lineRule="auto"/>
        <w:jc w:val="both"/>
        <w:rPr>
          <w:rFonts w:ascii="Arial" w:eastAsia="Calibri" w:hAnsi="Arial" w:cs="Arial"/>
          <w:color w:val="000000"/>
          <w:lang w:eastAsia="zh-CN"/>
        </w:rPr>
      </w:pPr>
    </w:p>
    <w:p w14:paraId="3C95B164" w14:textId="77777777" w:rsidR="00D40133" w:rsidRPr="00D40133" w:rsidRDefault="00D40133" w:rsidP="00D40133">
      <w:pPr>
        <w:autoSpaceDE w:val="0"/>
        <w:autoSpaceDN w:val="0"/>
        <w:adjustRightInd w:val="0"/>
        <w:spacing w:after="0" w:line="276" w:lineRule="auto"/>
        <w:jc w:val="both"/>
        <w:rPr>
          <w:rFonts w:ascii="Arial" w:eastAsia="Calibri" w:hAnsi="Arial" w:cs="Arial"/>
          <w:color w:val="000000"/>
          <w:lang w:eastAsia="zh-CN"/>
        </w:rPr>
      </w:pPr>
      <w:r w:rsidRPr="00D40133">
        <w:rPr>
          <w:rFonts w:ascii="Arial" w:eastAsia="Calibri" w:hAnsi="Arial" w:cs="Arial"/>
          <w:color w:val="000000"/>
          <w:lang w:eastAsia="zh-CN"/>
        </w:rPr>
        <w:t>În Horezu, traseele pietonale sunt organizate cu preponderenţă pe trotuarele străzilor</w:t>
      </w:r>
      <w:r>
        <w:rPr>
          <w:rFonts w:ascii="Arial" w:eastAsia="Calibri" w:hAnsi="Arial" w:cs="Arial"/>
          <w:color w:val="000000"/>
          <w:lang w:eastAsia="zh-CN"/>
        </w:rPr>
        <w:t xml:space="preserve"> (acolo unde acestea există</w:t>
      </w:r>
      <w:r w:rsidRPr="00D40133">
        <w:rPr>
          <w:rFonts w:ascii="Arial" w:eastAsia="Calibri" w:hAnsi="Arial" w:cs="Arial"/>
          <w:color w:val="000000"/>
          <w:lang w:eastAsia="zh-CN"/>
        </w:rPr>
        <w:t xml:space="preserve">). </w:t>
      </w:r>
      <w:r>
        <w:rPr>
          <w:rFonts w:ascii="Arial" w:eastAsia="Calibri" w:hAnsi="Arial" w:cs="Arial"/>
          <w:color w:val="000000"/>
          <w:lang w:eastAsia="zh-CN"/>
        </w:rPr>
        <w:t>Următoarele stră</w:t>
      </w:r>
      <w:r w:rsidRPr="00D40133">
        <w:rPr>
          <w:rFonts w:ascii="Arial" w:eastAsia="Calibri" w:hAnsi="Arial" w:cs="Arial"/>
          <w:color w:val="000000"/>
          <w:lang w:eastAsia="zh-CN"/>
        </w:rPr>
        <w:t>zi sunt destinate exclusiv circulaţiei pietonale:</w:t>
      </w:r>
    </w:p>
    <w:p w14:paraId="55C3187D" w14:textId="77777777" w:rsidR="00D40133" w:rsidRPr="00D40133" w:rsidRDefault="00D40133" w:rsidP="006B613A">
      <w:pPr>
        <w:numPr>
          <w:ilvl w:val="0"/>
          <w:numId w:val="56"/>
        </w:numPr>
        <w:suppressAutoHyphens/>
        <w:autoSpaceDE w:val="0"/>
        <w:autoSpaceDN w:val="0"/>
        <w:adjustRightInd w:val="0"/>
        <w:spacing w:after="0" w:line="276" w:lineRule="auto"/>
        <w:jc w:val="both"/>
        <w:rPr>
          <w:rFonts w:ascii="Arial" w:eastAsia="Calibri" w:hAnsi="Arial" w:cs="Arial"/>
          <w:color w:val="000000"/>
          <w:lang w:eastAsia="zh-CN"/>
        </w:rPr>
      </w:pPr>
      <w:r>
        <w:rPr>
          <w:rFonts w:ascii="Arial" w:eastAsia="Calibri" w:hAnsi="Arial" w:cs="Arial"/>
          <w:color w:val="000000"/>
          <w:lang w:eastAsia="zh-CN"/>
        </w:rPr>
        <w:t>str. Unirii (parţial între str. Tudor Vladimirescu ş</w:t>
      </w:r>
      <w:r w:rsidRPr="00D40133">
        <w:rPr>
          <w:rFonts w:ascii="Arial" w:eastAsia="Calibri" w:hAnsi="Arial" w:cs="Arial"/>
          <w:color w:val="000000"/>
          <w:lang w:eastAsia="zh-CN"/>
        </w:rPr>
        <w:t>i str. Anton Pann);</w:t>
      </w:r>
    </w:p>
    <w:p w14:paraId="388F5CC3" w14:textId="77777777" w:rsidR="00D40133" w:rsidRPr="00D40133" w:rsidRDefault="00D40133" w:rsidP="006B613A">
      <w:pPr>
        <w:numPr>
          <w:ilvl w:val="0"/>
          <w:numId w:val="56"/>
        </w:numPr>
        <w:suppressAutoHyphens/>
        <w:autoSpaceDE w:val="0"/>
        <w:autoSpaceDN w:val="0"/>
        <w:adjustRightInd w:val="0"/>
        <w:spacing w:after="0" w:line="276" w:lineRule="auto"/>
        <w:jc w:val="both"/>
        <w:rPr>
          <w:rFonts w:ascii="Arial" w:eastAsia="Calibri" w:hAnsi="Arial" w:cs="Arial"/>
          <w:color w:val="000000"/>
          <w:lang w:eastAsia="zh-CN"/>
        </w:rPr>
      </w:pPr>
      <w:r w:rsidRPr="00D40133">
        <w:rPr>
          <w:rFonts w:ascii="Arial" w:eastAsia="Calibri" w:hAnsi="Arial" w:cs="Arial"/>
          <w:color w:val="000000"/>
          <w:lang w:eastAsia="zh-CN"/>
        </w:rPr>
        <w:t>str. Vasile Alecsandri;</w:t>
      </w:r>
    </w:p>
    <w:p w14:paraId="6EE66726" w14:textId="77777777" w:rsidR="00D40133" w:rsidRPr="00D40133" w:rsidRDefault="00D40133" w:rsidP="006B613A">
      <w:pPr>
        <w:numPr>
          <w:ilvl w:val="0"/>
          <w:numId w:val="56"/>
        </w:numPr>
        <w:suppressAutoHyphens/>
        <w:autoSpaceDE w:val="0"/>
        <w:autoSpaceDN w:val="0"/>
        <w:adjustRightInd w:val="0"/>
        <w:spacing w:after="0" w:line="276" w:lineRule="auto"/>
        <w:jc w:val="both"/>
        <w:rPr>
          <w:rFonts w:ascii="Arial" w:eastAsia="Calibri" w:hAnsi="Arial" w:cs="Arial"/>
          <w:color w:val="000000"/>
          <w:lang w:eastAsia="zh-CN"/>
        </w:rPr>
      </w:pPr>
      <w:r w:rsidRPr="00D40133">
        <w:rPr>
          <w:rFonts w:ascii="Arial" w:eastAsia="Calibri" w:hAnsi="Arial" w:cs="Arial"/>
          <w:color w:val="000000"/>
          <w:lang w:eastAsia="zh-CN"/>
        </w:rPr>
        <w:t>str. Alexandru Odobescu;</w:t>
      </w:r>
    </w:p>
    <w:p w14:paraId="1810137E" w14:textId="77777777" w:rsidR="00D40133" w:rsidRPr="00D40133" w:rsidRDefault="00D40133" w:rsidP="006B613A">
      <w:pPr>
        <w:numPr>
          <w:ilvl w:val="0"/>
          <w:numId w:val="56"/>
        </w:numPr>
        <w:suppressAutoHyphens/>
        <w:autoSpaceDE w:val="0"/>
        <w:autoSpaceDN w:val="0"/>
        <w:adjustRightInd w:val="0"/>
        <w:spacing w:after="0" w:line="276" w:lineRule="auto"/>
        <w:jc w:val="both"/>
        <w:rPr>
          <w:rFonts w:ascii="Arial" w:eastAsia="Calibri" w:hAnsi="Arial" w:cs="Arial"/>
          <w:color w:val="000000"/>
          <w:lang w:eastAsia="zh-CN"/>
        </w:rPr>
      </w:pPr>
      <w:r>
        <w:rPr>
          <w:rFonts w:ascii="Arial" w:eastAsia="Calibri" w:hAnsi="Arial" w:cs="Arial"/>
          <w:color w:val="000000"/>
          <w:lang w:eastAsia="zh-CN"/>
        </w:rPr>
        <w:t>str. Nicolae Iorga (parţial între str. Unirii şi str. Mircea cel Bă</w:t>
      </w:r>
      <w:r w:rsidRPr="00D40133">
        <w:rPr>
          <w:rFonts w:ascii="Arial" w:eastAsia="Calibri" w:hAnsi="Arial" w:cs="Arial"/>
          <w:color w:val="000000"/>
          <w:lang w:eastAsia="zh-CN"/>
        </w:rPr>
        <w:t>tran).</w:t>
      </w:r>
    </w:p>
    <w:p w14:paraId="3BC897D3" w14:textId="77777777" w:rsidR="00D40133" w:rsidRPr="00D40133" w:rsidRDefault="00D40133" w:rsidP="00D40133">
      <w:pPr>
        <w:autoSpaceDE w:val="0"/>
        <w:autoSpaceDN w:val="0"/>
        <w:adjustRightInd w:val="0"/>
        <w:spacing w:after="0" w:line="276" w:lineRule="auto"/>
        <w:jc w:val="both"/>
        <w:rPr>
          <w:rFonts w:ascii="Arial" w:eastAsia="Calibri" w:hAnsi="Arial" w:cs="Arial"/>
          <w:color w:val="000000"/>
          <w:lang w:eastAsia="zh-CN"/>
        </w:rPr>
      </w:pPr>
    </w:p>
    <w:p w14:paraId="19754555" w14:textId="77777777" w:rsidR="00D40133" w:rsidRPr="00D40133" w:rsidRDefault="006764E0" w:rsidP="00D40133">
      <w:pPr>
        <w:autoSpaceDE w:val="0"/>
        <w:autoSpaceDN w:val="0"/>
        <w:adjustRightInd w:val="0"/>
        <w:spacing w:after="0" w:line="276" w:lineRule="auto"/>
        <w:jc w:val="center"/>
        <w:rPr>
          <w:rFonts w:ascii="Arial" w:eastAsia="Calibri" w:hAnsi="Arial" w:cs="Arial"/>
          <w:color w:val="000000"/>
          <w:lang w:eastAsia="zh-CN"/>
        </w:rPr>
      </w:pPr>
      <w:r w:rsidRPr="006764E0">
        <w:rPr>
          <w:rFonts w:ascii="Arial" w:eastAsia="Calibri" w:hAnsi="Arial" w:cs="Arial"/>
          <w:noProof/>
          <w:color w:val="000000"/>
        </w:rPr>
        <w:drawing>
          <wp:inline distT="0" distB="0" distL="0" distR="0" wp14:anchorId="341D95FE" wp14:editId="6E100078">
            <wp:extent cx="3657600" cy="3038475"/>
            <wp:effectExtent l="0" t="0" r="0" b="9525"/>
            <wp:docPr id="181" name="Picture 181" descr="G:\Serviciu\Horezu_home\Lucrare\1643616035016blo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Serviciu\Horezu_home\Lucrare\1643616035016blob.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57600" cy="3038475"/>
                    </a:xfrm>
                    <a:prstGeom prst="rect">
                      <a:avLst/>
                    </a:prstGeom>
                    <a:noFill/>
                    <a:ln>
                      <a:noFill/>
                    </a:ln>
                  </pic:spPr>
                </pic:pic>
              </a:graphicData>
            </a:graphic>
          </wp:inline>
        </w:drawing>
      </w:r>
    </w:p>
    <w:p w14:paraId="42F192E3" w14:textId="61E61E2F" w:rsidR="00D40133" w:rsidRPr="00D40133" w:rsidRDefault="00D40133" w:rsidP="00D40133">
      <w:pPr>
        <w:pStyle w:val="Legend"/>
        <w:jc w:val="center"/>
        <w:rPr>
          <w:rFonts w:ascii="Arial" w:eastAsia="Calibri" w:hAnsi="Arial" w:cs="Arial"/>
          <w:i w:val="0"/>
          <w:color w:val="000000"/>
          <w:sz w:val="22"/>
          <w:szCs w:val="22"/>
          <w:lang w:eastAsia="zh-CN"/>
        </w:rPr>
      </w:pPr>
      <w:bookmarkStart w:id="130" w:name="_Toc140744471"/>
      <w:r w:rsidRPr="00D40133">
        <w:rPr>
          <w:rFonts w:ascii="Arial" w:hAnsi="Arial" w:cs="Arial"/>
          <w:sz w:val="22"/>
          <w:szCs w:val="22"/>
        </w:rPr>
        <w:t xml:space="preserve">Figura I.2. </w:t>
      </w:r>
      <w:r w:rsidRPr="00D40133">
        <w:rPr>
          <w:rFonts w:ascii="Arial" w:hAnsi="Arial" w:cs="Arial"/>
          <w:sz w:val="22"/>
          <w:szCs w:val="22"/>
        </w:rPr>
        <w:fldChar w:fldCharType="begin"/>
      </w:r>
      <w:r w:rsidRPr="00D40133">
        <w:rPr>
          <w:rFonts w:ascii="Arial" w:hAnsi="Arial" w:cs="Arial"/>
          <w:sz w:val="22"/>
          <w:szCs w:val="22"/>
        </w:rPr>
        <w:instrText xml:space="preserve"> SEQ Figura_I.2. \* ARABIC </w:instrText>
      </w:r>
      <w:r w:rsidRPr="00D40133">
        <w:rPr>
          <w:rFonts w:ascii="Arial" w:hAnsi="Arial" w:cs="Arial"/>
          <w:sz w:val="22"/>
          <w:szCs w:val="22"/>
        </w:rPr>
        <w:fldChar w:fldCharType="separate"/>
      </w:r>
      <w:r w:rsidR="00BB181C">
        <w:rPr>
          <w:rFonts w:ascii="Arial" w:hAnsi="Arial" w:cs="Arial"/>
          <w:noProof/>
          <w:sz w:val="22"/>
          <w:szCs w:val="22"/>
        </w:rPr>
        <w:t>29</w:t>
      </w:r>
      <w:r w:rsidRPr="00D40133">
        <w:rPr>
          <w:rFonts w:ascii="Arial" w:hAnsi="Arial" w:cs="Arial"/>
          <w:sz w:val="22"/>
          <w:szCs w:val="22"/>
        </w:rPr>
        <w:fldChar w:fldCharType="end"/>
      </w:r>
      <w:r w:rsidRPr="00D40133">
        <w:rPr>
          <w:rFonts w:ascii="Arial" w:hAnsi="Arial" w:cs="Arial"/>
          <w:sz w:val="22"/>
          <w:szCs w:val="22"/>
        </w:rPr>
        <w:t xml:space="preserve"> - </w:t>
      </w:r>
      <w:r>
        <w:rPr>
          <w:rFonts w:ascii="Arial" w:hAnsi="Arial" w:cs="Arial"/>
          <w:i w:val="0"/>
          <w:sz w:val="22"/>
          <w:szCs w:val="22"/>
        </w:rPr>
        <w:t>Zona pietonală</w:t>
      </w:r>
      <w:r w:rsidRPr="00D40133">
        <w:rPr>
          <w:rFonts w:ascii="Arial" w:hAnsi="Arial" w:cs="Arial"/>
          <w:i w:val="0"/>
          <w:sz w:val="22"/>
          <w:szCs w:val="22"/>
        </w:rPr>
        <w:t xml:space="preserve"> Horezu</w:t>
      </w:r>
      <w:bookmarkEnd w:id="130"/>
    </w:p>
    <w:p w14:paraId="489CF378" w14:textId="77777777" w:rsidR="00D40133" w:rsidRPr="00D40133" w:rsidRDefault="00D40133" w:rsidP="00D40133">
      <w:pPr>
        <w:autoSpaceDE w:val="0"/>
        <w:autoSpaceDN w:val="0"/>
        <w:adjustRightInd w:val="0"/>
        <w:spacing w:after="0" w:line="276" w:lineRule="auto"/>
        <w:jc w:val="both"/>
        <w:rPr>
          <w:rFonts w:ascii="Arial" w:eastAsia="Calibri" w:hAnsi="Arial" w:cs="Arial"/>
          <w:color w:val="000000"/>
          <w:lang w:eastAsia="zh-CN"/>
        </w:rPr>
      </w:pPr>
    </w:p>
    <w:p w14:paraId="483516BD" w14:textId="77777777" w:rsidR="00D40133" w:rsidRPr="00D40133" w:rsidRDefault="00D40133" w:rsidP="00D40133">
      <w:pPr>
        <w:autoSpaceDE w:val="0"/>
        <w:autoSpaceDN w:val="0"/>
        <w:adjustRightInd w:val="0"/>
        <w:spacing w:after="0" w:line="276" w:lineRule="auto"/>
        <w:jc w:val="both"/>
        <w:rPr>
          <w:rFonts w:ascii="Arial" w:eastAsia="Calibri" w:hAnsi="Arial" w:cs="Arial"/>
          <w:color w:val="000000"/>
          <w:lang w:eastAsia="zh-CN"/>
        </w:rPr>
      </w:pPr>
      <w:r>
        <w:rPr>
          <w:rFonts w:ascii="Arial" w:eastAsia="Calibri" w:hAnsi="Arial" w:cs="Arial"/>
          <w:color w:val="000000"/>
          <w:lang w:eastAsia="zh-CN"/>
        </w:rPr>
        <w:t>Pe malul râului Urş</w:t>
      </w:r>
      <w:r w:rsidRPr="00D40133">
        <w:rPr>
          <w:rFonts w:ascii="Arial" w:eastAsia="Calibri" w:hAnsi="Arial" w:cs="Arial"/>
          <w:color w:val="000000"/>
          <w:lang w:eastAsia="zh-CN"/>
        </w:rPr>
        <w:t>an</w:t>
      </w:r>
      <w:r>
        <w:rPr>
          <w:rFonts w:ascii="Arial" w:eastAsia="Calibri" w:hAnsi="Arial" w:cs="Arial"/>
          <w:color w:val="000000"/>
          <w:lang w:eastAsia="zh-CN"/>
        </w:rPr>
        <w:t>i, paralel cu str. Mircea cel Bătrâ</w:t>
      </w:r>
      <w:r w:rsidRPr="00D40133">
        <w:rPr>
          <w:rFonts w:ascii="Arial" w:eastAsia="Calibri" w:hAnsi="Arial" w:cs="Arial"/>
          <w:color w:val="000000"/>
          <w:lang w:eastAsia="zh-CN"/>
        </w:rPr>
        <w:t>n este</w:t>
      </w:r>
      <w:r>
        <w:rPr>
          <w:rFonts w:ascii="Arial" w:eastAsia="Calibri" w:hAnsi="Arial" w:cs="Arial"/>
          <w:color w:val="000000"/>
          <w:lang w:eastAsia="zh-CN"/>
        </w:rPr>
        <w:t xml:space="preserve"> amenajată o zonă de promenadă</w:t>
      </w:r>
      <w:r w:rsidRPr="00D40133">
        <w:rPr>
          <w:rFonts w:ascii="Arial" w:eastAsia="Calibri" w:hAnsi="Arial" w:cs="Arial"/>
          <w:color w:val="000000"/>
          <w:lang w:eastAsia="zh-CN"/>
        </w:rPr>
        <w:t xml:space="preserve"> pentru pietoni.</w:t>
      </w:r>
    </w:p>
    <w:p w14:paraId="37B629D3" w14:textId="77777777" w:rsidR="00D40133" w:rsidRPr="00D40133" w:rsidRDefault="00D40133" w:rsidP="00D40133">
      <w:pPr>
        <w:autoSpaceDE w:val="0"/>
        <w:autoSpaceDN w:val="0"/>
        <w:adjustRightInd w:val="0"/>
        <w:spacing w:after="0" w:line="276" w:lineRule="auto"/>
        <w:jc w:val="both"/>
        <w:rPr>
          <w:rFonts w:ascii="Arial" w:eastAsia="Calibri" w:hAnsi="Arial" w:cs="Arial"/>
          <w:color w:val="000000"/>
          <w:lang w:eastAsia="zh-CN"/>
        </w:rPr>
      </w:pPr>
    </w:p>
    <w:p w14:paraId="626F6356" w14:textId="77777777" w:rsidR="00D40133" w:rsidRPr="00D40133" w:rsidRDefault="00D40133" w:rsidP="00D40133">
      <w:pPr>
        <w:autoSpaceDE w:val="0"/>
        <w:autoSpaceDN w:val="0"/>
        <w:adjustRightInd w:val="0"/>
        <w:spacing w:after="0" w:line="276" w:lineRule="auto"/>
        <w:jc w:val="center"/>
        <w:rPr>
          <w:rFonts w:ascii="Arial" w:eastAsia="Calibri" w:hAnsi="Arial" w:cs="Arial"/>
          <w:color w:val="000000"/>
          <w:lang w:eastAsia="zh-CN"/>
        </w:rPr>
      </w:pPr>
      <w:r w:rsidRPr="00D40133">
        <w:rPr>
          <w:rFonts w:ascii="Arial" w:eastAsia="Calibri" w:hAnsi="Arial" w:cs="Arial"/>
          <w:noProof/>
          <w:color w:val="000000"/>
        </w:rPr>
        <w:lastRenderedPageBreak/>
        <w:drawing>
          <wp:inline distT="0" distB="0" distL="0" distR="0" wp14:anchorId="76EEFB91" wp14:editId="4935F32B">
            <wp:extent cx="2455626" cy="3272367"/>
            <wp:effectExtent l="0" t="0" r="1905" b="4445"/>
            <wp:docPr id="2057" name="Picture 2057" descr="E:\Horezu\Materiale lucru\Poze\IMG_20211112_090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Horezu\Materiale lucru\Poze\IMG_20211112_090131.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453801" cy="3269935"/>
                    </a:xfrm>
                    <a:prstGeom prst="rect">
                      <a:avLst/>
                    </a:prstGeom>
                    <a:noFill/>
                    <a:ln>
                      <a:noFill/>
                    </a:ln>
                  </pic:spPr>
                </pic:pic>
              </a:graphicData>
            </a:graphic>
          </wp:inline>
        </w:drawing>
      </w:r>
    </w:p>
    <w:p w14:paraId="6642B25B" w14:textId="16165215" w:rsidR="00D40133" w:rsidRPr="00D40133" w:rsidRDefault="00D40133" w:rsidP="00D40133">
      <w:pPr>
        <w:pStyle w:val="Legend"/>
        <w:jc w:val="center"/>
        <w:rPr>
          <w:rFonts w:ascii="Arial" w:eastAsia="Calibri" w:hAnsi="Arial" w:cs="Arial"/>
          <w:color w:val="000000"/>
          <w:sz w:val="22"/>
          <w:szCs w:val="22"/>
          <w:lang w:eastAsia="zh-CN"/>
        </w:rPr>
      </w:pPr>
      <w:bookmarkStart w:id="131" w:name="_Toc140744472"/>
      <w:r w:rsidRPr="00D40133">
        <w:rPr>
          <w:rFonts w:ascii="Arial" w:hAnsi="Arial" w:cs="Arial"/>
          <w:sz w:val="22"/>
          <w:szCs w:val="22"/>
        </w:rPr>
        <w:t xml:space="preserve">Figura I.2. </w:t>
      </w:r>
      <w:r w:rsidRPr="00D40133">
        <w:rPr>
          <w:rFonts w:ascii="Arial" w:hAnsi="Arial" w:cs="Arial"/>
          <w:sz w:val="22"/>
          <w:szCs w:val="22"/>
        </w:rPr>
        <w:fldChar w:fldCharType="begin"/>
      </w:r>
      <w:r w:rsidRPr="00D40133">
        <w:rPr>
          <w:rFonts w:ascii="Arial" w:hAnsi="Arial" w:cs="Arial"/>
          <w:sz w:val="22"/>
          <w:szCs w:val="22"/>
        </w:rPr>
        <w:instrText xml:space="preserve"> SEQ Figura_I.2. \* ARABIC </w:instrText>
      </w:r>
      <w:r w:rsidRPr="00D40133">
        <w:rPr>
          <w:rFonts w:ascii="Arial" w:hAnsi="Arial" w:cs="Arial"/>
          <w:sz w:val="22"/>
          <w:szCs w:val="22"/>
        </w:rPr>
        <w:fldChar w:fldCharType="separate"/>
      </w:r>
      <w:r w:rsidR="00BB181C">
        <w:rPr>
          <w:rFonts w:ascii="Arial" w:hAnsi="Arial" w:cs="Arial"/>
          <w:noProof/>
          <w:sz w:val="22"/>
          <w:szCs w:val="22"/>
        </w:rPr>
        <w:t>30</w:t>
      </w:r>
      <w:r w:rsidRPr="00D40133">
        <w:rPr>
          <w:rFonts w:ascii="Arial" w:hAnsi="Arial" w:cs="Arial"/>
          <w:sz w:val="22"/>
          <w:szCs w:val="22"/>
        </w:rPr>
        <w:fldChar w:fldCharType="end"/>
      </w:r>
      <w:r w:rsidRPr="00D40133">
        <w:rPr>
          <w:rFonts w:ascii="Arial" w:hAnsi="Arial" w:cs="Arial"/>
          <w:sz w:val="22"/>
          <w:szCs w:val="22"/>
        </w:rPr>
        <w:t xml:space="preserve"> - </w:t>
      </w:r>
      <w:r>
        <w:rPr>
          <w:rFonts w:ascii="Arial" w:hAnsi="Arial" w:cs="Arial"/>
          <w:i w:val="0"/>
          <w:sz w:val="22"/>
          <w:szCs w:val="22"/>
        </w:rPr>
        <w:t>Zona promenade Râul Urş</w:t>
      </w:r>
      <w:r w:rsidRPr="00D40133">
        <w:rPr>
          <w:rFonts w:ascii="Arial" w:hAnsi="Arial" w:cs="Arial"/>
          <w:i w:val="0"/>
          <w:sz w:val="22"/>
          <w:szCs w:val="22"/>
        </w:rPr>
        <w:t>ani</w:t>
      </w:r>
      <w:bookmarkEnd w:id="131"/>
    </w:p>
    <w:p w14:paraId="27C13E47" w14:textId="77777777" w:rsidR="00D40133" w:rsidRPr="00D40133" w:rsidRDefault="00D40133" w:rsidP="00D40133">
      <w:pPr>
        <w:autoSpaceDE w:val="0"/>
        <w:autoSpaceDN w:val="0"/>
        <w:adjustRightInd w:val="0"/>
        <w:spacing w:after="0" w:line="276" w:lineRule="auto"/>
        <w:jc w:val="center"/>
        <w:rPr>
          <w:rFonts w:ascii="Arial" w:eastAsia="Calibri" w:hAnsi="Arial" w:cs="Arial"/>
          <w:color w:val="000000"/>
          <w:lang w:eastAsia="zh-CN"/>
        </w:rPr>
      </w:pPr>
    </w:p>
    <w:p w14:paraId="3B7EEEE1" w14:textId="77777777" w:rsidR="00D40133" w:rsidRPr="00D40133" w:rsidRDefault="00D40133" w:rsidP="00D40133">
      <w:pPr>
        <w:autoSpaceDE w:val="0"/>
        <w:autoSpaceDN w:val="0"/>
        <w:adjustRightInd w:val="0"/>
        <w:spacing w:after="0" w:line="276" w:lineRule="auto"/>
        <w:jc w:val="both"/>
        <w:rPr>
          <w:rFonts w:ascii="Arial" w:eastAsia="Calibri" w:hAnsi="Arial" w:cs="Arial"/>
          <w:color w:val="000000"/>
          <w:lang w:eastAsia="zh-CN"/>
        </w:rPr>
      </w:pPr>
      <w:r>
        <w:rPr>
          <w:rFonts w:ascii="Arial" w:eastAsia="Calibri" w:hAnsi="Arial" w:cs="Arial"/>
          <w:color w:val="000000"/>
          <w:lang w:eastAsia="zh-CN"/>
        </w:rPr>
        <w:t>Din cele 89 de străzi cuprinse î</w:t>
      </w:r>
      <w:r w:rsidRPr="00D40133">
        <w:rPr>
          <w:rFonts w:ascii="Arial" w:eastAsia="Calibri" w:hAnsi="Arial" w:cs="Arial"/>
          <w:color w:val="000000"/>
          <w:lang w:eastAsia="zh-CN"/>
        </w:rPr>
        <w:t>n nomenclatorul stradal</w:t>
      </w:r>
      <w:r>
        <w:rPr>
          <w:rFonts w:ascii="Arial" w:eastAsia="Calibri" w:hAnsi="Arial" w:cs="Arial"/>
          <w:color w:val="000000"/>
          <w:lang w:eastAsia="zh-CN"/>
        </w:rPr>
        <w:t xml:space="preserve"> al UAT Horezu, doar 19 au prevăzute trotuare (inclusiv stră</w:t>
      </w:r>
      <w:r w:rsidRPr="00D40133">
        <w:rPr>
          <w:rFonts w:ascii="Arial" w:eastAsia="Calibri" w:hAnsi="Arial" w:cs="Arial"/>
          <w:color w:val="000000"/>
          <w:lang w:eastAsia="zh-CN"/>
        </w:rPr>
        <w:t>zile pietonale), iar unele din acestea au trotuar doar</w:t>
      </w:r>
      <w:r>
        <w:rPr>
          <w:rFonts w:ascii="Arial" w:eastAsia="Calibri" w:hAnsi="Arial" w:cs="Arial"/>
          <w:color w:val="000000"/>
          <w:lang w:eastAsia="zh-CN"/>
        </w:rPr>
        <w:t xml:space="preserve"> pe o singură</w:t>
      </w:r>
      <w:r w:rsidRPr="00D40133">
        <w:rPr>
          <w:rFonts w:ascii="Arial" w:eastAsia="Calibri" w:hAnsi="Arial" w:cs="Arial"/>
          <w:color w:val="000000"/>
          <w:lang w:eastAsia="zh-CN"/>
        </w:rPr>
        <w:t xml:space="preserve"> parte.</w:t>
      </w:r>
    </w:p>
    <w:p w14:paraId="0F9EF35A" w14:textId="77777777" w:rsidR="00D40133" w:rsidRPr="00D40133" w:rsidRDefault="00D40133" w:rsidP="00D40133">
      <w:pPr>
        <w:autoSpaceDE w:val="0"/>
        <w:autoSpaceDN w:val="0"/>
        <w:adjustRightInd w:val="0"/>
        <w:spacing w:after="0" w:line="276" w:lineRule="auto"/>
        <w:jc w:val="both"/>
        <w:rPr>
          <w:rFonts w:ascii="Arial" w:eastAsia="Calibri" w:hAnsi="Arial" w:cs="Arial"/>
          <w:noProof/>
          <w:color w:val="000000"/>
          <w:lang w:val="ro-RO" w:eastAsia="ro-RO"/>
        </w:rPr>
      </w:pPr>
    </w:p>
    <w:p w14:paraId="5FEA6D5B" w14:textId="77777777" w:rsidR="00D40133" w:rsidRPr="00D40133" w:rsidRDefault="00D40133" w:rsidP="00D40133">
      <w:pPr>
        <w:autoSpaceDE w:val="0"/>
        <w:autoSpaceDN w:val="0"/>
        <w:adjustRightInd w:val="0"/>
        <w:spacing w:after="0" w:line="276" w:lineRule="auto"/>
        <w:jc w:val="center"/>
        <w:rPr>
          <w:rFonts w:ascii="Arial" w:eastAsia="Calibri" w:hAnsi="Arial" w:cs="Arial"/>
          <w:color w:val="000000"/>
          <w:lang w:eastAsia="zh-CN"/>
        </w:rPr>
      </w:pPr>
      <w:r w:rsidRPr="00D40133">
        <w:rPr>
          <w:rFonts w:ascii="Arial" w:eastAsia="Calibri" w:hAnsi="Arial" w:cs="Arial"/>
          <w:noProof/>
          <w:color w:val="000000"/>
        </w:rPr>
        <w:drawing>
          <wp:inline distT="0" distB="0" distL="0" distR="0" wp14:anchorId="35BE9E73" wp14:editId="6CD175D8">
            <wp:extent cx="3795824" cy="2371060"/>
            <wp:effectExtent l="0" t="0" r="0" b="0"/>
            <wp:docPr id="2063" name="Picture 2063" descr="E:\Horezu\Materiale lucru\Florin_M\Drumuri Diverse\17.0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Horezu\Materiale lucru\Florin_M\Drumuri Diverse\17.05.26.png"/>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21837" r="16291" b="30481"/>
                    <a:stretch/>
                  </pic:blipFill>
                  <pic:spPr bwMode="auto">
                    <a:xfrm>
                      <a:off x="0" y="0"/>
                      <a:ext cx="3792526" cy="2369000"/>
                    </a:xfrm>
                    <a:prstGeom prst="rect">
                      <a:avLst/>
                    </a:prstGeom>
                    <a:noFill/>
                    <a:ln>
                      <a:noFill/>
                    </a:ln>
                    <a:extLst>
                      <a:ext uri="{53640926-AAD7-44D8-BBD7-CCE9431645EC}">
                        <a14:shadowObscured xmlns:a14="http://schemas.microsoft.com/office/drawing/2010/main"/>
                      </a:ext>
                    </a:extLst>
                  </pic:spPr>
                </pic:pic>
              </a:graphicData>
            </a:graphic>
          </wp:inline>
        </w:drawing>
      </w:r>
    </w:p>
    <w:p w14:paraId="3F721599" w14:textId="77777777" w:rsidR="00D40133" w:rsidRPr="00D40133" w:rsidRDefault="00D40133" w:rsidP="00D40133">
      <w:pPr>
        <w:autoSpaceDE w:val="0"/>
        <w:autoSpaceDN w:val="0"/>
        <w:adjustRightInd w:val="0"/>
        <w:spacing w:after="0" w:line="276" w:lineRule="auto"/>
        <w:jc w:val="center"/>
        <w:rPr>
          <w:rFonts w:ascii="Arial" w:eastAsia="Calibri" w:hAnsi="Arial" w:cs="Arial"/>
          <w:noProof/>
          <w:color w:val="000000"/>
          <w:lang w:val="ro-RO" w:eastAsia="ro-RO"/>
        </w:rPr>
      </w:pPr>
    </w:p>
    <w:p w14:paraId="16B36ABF" w14:textId="77777777" w:rsidR="00D40133" w:rsidRPr="00D40133" w:rsidRDefault="00D40133" w:rsidP="00D40133">
      <w:pPr>
        <w:autoSpaceDE w:val="0"/>
        <w:autoSpaceDN w:val="0"/>
        <w:adjustRightInd w:val="0"/>
        <w:spacing w:after="0" w:line="276" w:lineRule="auto"/>
        <w:jc w:val="center"/>
        <w:rPr>
          <w:rFonts w:ascii="Arial" w:eastAsia="Calibri" w:hAnsi="Arial" w:cs="Arial"/>
          <w:color w:val="000000"/>
          <w:lang w:eastAsia="zh-CN"/>
        </w:rPr>
      </w:pPr>
      <w:r w:rsidRPr="00D40133">
        <w:rPr>
          <w:rFonts w:ascii="Arial" w:eastAsia="Calibri" w:hAnsi="Arial" w:cs="Arial"/>
          <w:noProof/>
          <w:color w:val="000000"/>
        </w:rPr>
        <w:lastRenderedPageBreak/>
        <w:drawing>
          <wp:inline distT="0" distB="0" distL="0" distR="0" wp14:anchorId="3AA2D807" wp14:editId="1446686D">
            <wp:extent cx="4338084" cy="2307265"/>
            <wp:effectExtent l="0" t="0" r="5715" b="0"/>
            <wp:docPr id="2064" name="Picture 2064" descr="E:\Horezu\Materiale lucru\Florin_M\Drumuri Diverse\12.3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Horezu\Materiale lucru\Florin_M\Drumuri Diverse\12.30.57.pn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8839" r="20451" b="32302"/>
                    <a:stretch/>
                  </pic:blipFill>
                  <pic:spPr bwMode="auto">
                    <a:xfrm>
                      <a:off x="0" y="0"/>
                      <a:ext cx="4334315" cy="2305260"/>
                    </a:xfrm>
                    <a:prstGeom prst="rect">
                      <a:avLst/>
                    </a:prstGeom>
                    <a:noFill/>
                    <a:ln>
                      <a:noFill/>
                    </a:ln>
                    <a:extLst>
                      <a:ext uri="{53640926-AAD7-44D8-BBD7-CCE9431645EC}">
                        <a14:shadowObscured xmlns:a14="http://schemas.microsoft.com/office/drawing/2010/main"/>
                      </a:ext>
                    </a:extLst>
                  </pic:spPr>
                </pic:pic>
              </a:graphicData>
            </a:graphic>
          </wp:inline>
        </w:drawing>
      </w:r>
    </w:p>
    <w:p w14:paraId="7C12E4E5" w14:textId="1ED509DE" w:rsidR="00D40133" w:rsidRPr="00D40133" w:rsidRDefault="00D40133" w:rsidP="00D40133">
      <w:pPr>
        <w:pStyle w:val="Legend"/>
        <w:jc w:val="center"/>
        <w:rPr>
          <w:rFonts w:ascii="Arial" w:hAnsi="Arial" w:cs="Arial"/>
          <w:color w:val="1F497D"/>
          <w:sz w:val="22"/>
          <w:szCs w:val="22"/>
        </w:rPr>
      </w:pPr>
      <w:bookmarkStart w:id="132" w:name="_Toc140744473"/>
      <w:r w:rsidRPr="00D40133">
        <w:rPr>
          <w:rFonts w:ascii="Arial" w:hAnsi="Arial" w:cs="Arial"/>
          <w:sz w:val="22"/>
          <w:szCs w:val="22"/>
        </w:rPr>
        <w:t xml:space="preserve">Figura I.2. </w:t>
      </w:r>
      <w:r w:rsidRPr="00D40133">
        <w:rPr>
          <w:rFonts w:ascii="Arial" w:hAnsi="Arial" w:cs="Arial"/>
          <w:sz w:val="22"/>
          <w:szCs w:val="22"/>
        </w:rPr>
        <w:fldChar w:fldCharType="begin"/>
      </w:r>
      <w:r w:rsidRPr="00D40133">
        <w:rPr>
          <w:rFonts w:ascii="Arial" w:hAnsi="Arial" w:cs="Arial"/>
          <w:sz w:val="22"/>
          <w:szCs w:val="22"/>
        </w:rPr>
        <w:instrText xml:space="preserve"> SEQ Figura_I.2. \* ARABIC </w:instrText>
      </w:r>
      <w:r w:rsidRPr="00D40133">
        <w:rPr>
          <w:rFonts w:ascii="Arial" w:hAnsi="Arial" w:cs="Arial"/>
          <w:sz w:val="22"/>
          <w:szCs w:val="22"/>
        </w:rPr>
        <w:fldChar w:fldCharType="separate"/>
      </w:r>
      <w:r w:rsidR="00BB181C">
        <w:rPr>
          <w:rFonts w:ascii="Arial" w:hAnsi="Arial" w:cs="Arial"/>
          <w:noProof/>
          <w:sz w:val="22"/>
          <w:szCs w:val="22"/>
        </w:rPr>
        <w:t>31</w:t>
      </w:r>
      <w:r w:rsidRPr="00D40133">
        <w:rPr>
          <w:rFonts w:ascii="Arial" w:hAnsi="Arial" w:cs="Arial"/>
          <w:sz w:val="22"/>
          <w:szCs w:val="22"/>
        </w:rPr>
        <w:fldChar w:fldCharType="end"/>
      </w:r>
      <w:r w:rsidRPr="00D40133">
        <w:rPr>
          <w:rFonts w:ascii="Arial" w:hAnsi="Arial" w:cs="Arial"/>
          <w:sz w:val="22"/>
          <w:szCs w:val="22"/>
        </w:rPr>
        <w:t xml:space="preserve"> – </w:t>
      </w:r>
      <w:r>
        <w:rPr>
          <w:rFonts w:ascii="Arial" w:hAnsi="Arial" w:cs="Arial"/>
          <w:i w:val="0"/>
          <w:sz w:val="22"/>
          <w:szCs w:val="22"/>
        </w:rPr>
        <w:t>Exemple de străzi fără infrastructură</w:t>
      </w:r>
      <w:r w:rsidRPr="00D40133">
        <w:rPr>
          <w:rFonts w:ascii="Arial" w:hAnsi="Arial" w:cs="Arial"/>
          <w:i w:val="0"/>
          <w:sz w:val="22"/>
          <w:szCs w:val="22"/>
        </w:rPr>
        <w:t xml:space="preserve"> pentru pietoni</w:t>
      </w:r>
      <w:bookmarkEnd w:id="132"/>
    </w:p>
    <w:p w14:paraId="7BE41847" w14:textId="77777777" w:rsidR="00D40133" w:rsidRPr="00D40133" w:rsidRDefault="00D40133" w:rsidP="00D40133">
      <w:pPr>
        <w:rPr>
          <w:rFonts w:ascii="Calibri" w:hAnsi="Calibri" w:cs="Times New Roman"/>
        </w:rPr>
      </w:pPr>
    </w:p>
    <w:p w14:paraId="78845BFE" w14:textId="77777777" w:rsidR="00D40133" w:rsidRPr="00D40133" w:rsidRDefault="00D40133" w:rsidP="00D40133">
      <w:pPr>
        <w:autoSpaceDE w:val="0"/>
        <w:autoSpaceDN w:val="0"/>
        <w:adjustRightInd w:val="0"/>
        <w:spacing w:after="0" w:line="276" w:lineRule="auto"/>
        <w:jc w:val="both"/>
        <w:rPr>
          <w:rFonts w:ascii="Arial" w:eastAsia="Calibri" w:hAnsi="Arial" w:cs="Arial"/>
          <w:color w:val="000000"/>
          <w:lang w:eastAsia="zh-CN"/>
        </w:rPr>
      </w:pPr>
      <w:r w:rsidRPr="00D40133">
        <w:rPr>
          <w:rFonts w:ascii="Arial" w:eastAsia="Calibri" w:hAnsi="Arial" w:cs="Arial"/>
          <w:color w:val="000000"/>
          <w:lang w:eastAsia="zh-CN"/>
        </w:rPr>
        <w:t>În multe situații calitatea infrastructurii dedicate pietonilor lasă de dorit, trotuarele sunt subdimensionate și de multe ori sunt ocupate cu vehicule parcate, ceea ce îngreunează deplasarea pietonilor și conduce la creșterea riscului de producere a accidentelor. De asemenea, multe din suprafețele destinate deplasării pietonilor necesită reabilitarea de urgență din cauza stării necorespunzătoare.</w:t>
      </w:r>
    </w:p>
    <w:p w14:paraId="08CA1763" w14:textId="77777777" w:rsidR="00D40133" w:rsidRPr="00D40133" w:rsidRDefault="00D40133" w:rsidP="00D40133">
      <w:pPr>
        <w:autoSpaceDE w:val="0"/>
        <w:autoSpaceDN w:val="0"/>
        <w:adjustRightInd w:val="0"/>
        <w:spacing w:after="0" w:line="360" w:lineRule="auto"/>
        <w:jc w:val="center"/>
        <w:rPr>
          <w:rFonts w:ascii="Arial" w:hAnsi="Arial" w:cs="Mangal"/>
          <w:noProof/>
          <w:kern w:val="1"/>
          <w:sz w:val="24"/>
          <w:szCs w:val="24"/>
          <w:lang w:val="ro-RO" w:eastAsia="ro-RO"/>
        </w:rPr>
      </w:pPr>
    </w:p>
    <w:p w14:paraId="4BEFEB09" w14:textId="77777777" w:rsidR="00D40133" w:rsidRPr="00D40133" w:rsidRDefault="00D40133" w:rsidP="00D40133">
      <w:pPr>
        <w:autoSpaceDE w:val="0"/>
        <w:autoSpaceDN w:val="0"/>
        <w:adjustRightInd w:val="0"/>
        <w:spacing w:after="0" w:line="360" w:lineRule="auto"/>
        <w:jc w:val="center"/>
        <w:rPr>
          <w:rFonts w:ascii="Arial" w:hAnsi="Arial" w:cs="Mangal"/>
          <w:noProof/>
          <w:kern w:val="1"/>
          <w:sz w:val="24"/>
          <w:szCs w:val="24"/>
          <w:lang w:val="ro-RO" w:eastAsia="ro-RO"/>
        </w:rPr>
      </w:pPr>
      <w:r w:rsidRPr="00D40133">
        <w:rPr>
          <w:rFonts w:ascii="Arial" w:hAnsi="Arial" w:cs="Mangal"/>
          <w:noProof/>
          <w:kern w:val="1"/>
          <w:sz w:val="24"/>
          <w:szCs w:val="24"/>
        </w:rPr>
        <w:drawing>
          <wp:inline distT="0" distB="0" distL="0" distR="0" wp14:anchorId="6C20D5F1" wp14:editId="42BC6F2B">
            <wp:extent cx="3657600" cy="2604976"/>
            <wp:effectExtent l="0" t="0" r="0" b="5080"/>
            <wp:docPr id="2065" name="Picture 2065" descr="E:\Horezu\Materiale lucru\Florin_M\Drumuri Diverse\11.1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Horezu\Materiale lucru\Florin_M\Drumuri Diverse\11.16.45.pn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24317" r="15931" b="23676"/>
                    <a:stretch/>
                  </pic:blipFill>
                  <pic:spPr bwMode="auto">
                    <a:xfrm>
                      <a:off x="0" y="0"/>
                      <a:ext cx="3662549" cy="2608501"/>
                    </a:xfrm>
                    <a:prstGeom prst="rect">
                      <a:avLst/>
                    </a:prstGeom>
                    <a:noFill/>
                    <a:ln>
                      <a:noFill/>
                    </a:ln>
                    <a:extLst>
                      <a:ext uri="{53640926-AAD7-44D8-BBD7-CCE9431645EC}">
                        <a14:shadowObscured xmlns:a14="http://schemas.microsoft.com/office/drawing/2010/main"/>
                      </a:ext>
                    </a:extLst>
                  </pic:spPr>
                </pic:pic>
              </a:graphicData>
            </a:graphic>
          </wp:inline>
        </w:drawing>
      </w:r>
    </w:p>
    <w:p w14:paraId="4E188957" w14:textId="77777777" w:rsidR="00D40133" w:rsidRPr="00D40133" w:rsidRDefault="00D40133" w:rsidP="00D40133">
      <w:pPr>
        <w:autoSpaceDE w:val="0"/>
        <w:autoSpaceDN w:val="0"/>
        <w:adjustRightInd w:val="0"/>
        <w:spacing w:after="0" w:line="360" w:lineRule="auto"/>
        <w:jc w:val="center"/>
        <w:rPr>
          <w:rFonts w:ascii="Arial" w:hAnsi="Arial" w:cs="Mangal"/>
          <w:noProof/>
          <w:kern w:val="1"/>
          <w:sz w:val="24"/>
          <w:szCs w:val="24"/>
          <w:lang w:val="ro-RO" w:eastAsia="ro-RO"/>
        </w:rPr>
      </w:pPr>
    </w:p>
    <w:p w14:paraId="1E59BCFA" w14:textId="77777777" w:rsidR="00D40133" w:rsidRPr="00D40133" w:rsidRDefault="00D40133" w:rsidP="00D40133">
      <w:pPr>
        <w:autoSpaceDE w:val="0"/>
        <w:autoSpaceDN w:val="0"/>
        <w:adjustRightInd w:val="0"/>
        <w:spacing w:after="0" w:line="360" w:lineRule="auto"/>
        <w:jc w:val="center"/>
        <w:rPr>
          <w:rFonts w:ascii="Arial" w:hAnsi="Arial" w:cs="Mangal"/>
          <w:noProof/>
          <w:kern w:val="1"/>
          <w:sz w:val="24"/>
          <w:szCs w:val="24"/>
          <w:lang w:val="ro-RO" w:eastAsia="ro-RO"/>
        </w:rPr>
      </w:pPr>
      <w:r w:rsidRPr="00D40133">
        <w:rPr>
          <w:rFonts w:ascii="Arial" w:hAnsi="Arial" w:cs="Mangal"/>
          <w:noProof/>
          <w:kern w:val="1"/>
          <w:sz w:val="24"/>
          <w:szCs w:val="24"/>
        </w:rPr>
        <w:lastRenderedPageBreak/>
        <w:drawing>
          <wp:inline distT="0" distB="0" distL="0" distR="0" wp14:anchorId="52019EC2" wp14:editId="23346606">
            <wp:extent cx="3689497" cy="2594345"/>
            <wp:effectExtent l="0" t="0" r="6350" b="0"/>
            <wp:docPr id="2066" name="Picture 2066" descr="E:\Horezu\Materiale lucru\Florin_M\Drumuri Diverse\11.1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Horezu\Materiale lucru\Florin_M\Drumuri Diverse\11.14.25.png"/>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12831" r="27001" b="24458"/>
                    <a:stretch/>
                  </pic:blipFill>
                  <pic:spPr bwMode="auto">
                    <a:xfrm>
                      <a:off x="0" y="0"/>
                      <a:ext cx="3688058" cy="2593333"/>
                    </a:xfrm>
                    <a:prstGeom prst="rect">
                      <a:avLst/>
                    </a:prstGeom>
                    <a:noFill/>
                    <a:ln>
                      <a:noFill/>
                    </a:ln>
                    <a:extLst>
                      <a:ext uri="{53640926-AAD7-44D8-BBD7-CCE9431645EC}">
                        <a14:shadowObscured xmlns:a14="http://schemas.microsoft.com/office/drawing/2010/main"/>
                      </a:ext>
                    </a:extLst>
                  </pic:spPr>
                </pic:pic>
              </a:graphicData>
            </a:graphic>
          </wp:inline>
        </w:drawing>
      </w:r>
    </w:p>
    <w:p w14:paraId="73B38BA6" w14:textId="6F433D79" w:rsidR="00D40133" w:rsidRPr="00D40133" w:rsidRDefault="00D40133" w:rsidP="00D40133">
      <w:pPr>
        <w:pStyle w:val="Legend"/>
        <w:jc w:val="center"/>
        <w:rPr>
          <w:rFonts w:ascii="Arial" w:hAnsi="Arial" w:cs="Arial"/>
          <w:i w:val="0"/>
          <w:noProof/>
          <w:color w:val="1F497D"/>
          <w:kern w:val="1"/>
          <w:sz w:val="22"/>
          <w:szCs w:val="22"/>
          <w:lang w:val="ro-RO" w:eastAsia="ro-RO"/>
        </w:rPr>
      </w:pPr>
      <w:bookmarkStart w:id="133" w:name="_Toc140744474"/>
      <w:r w:rsidRPr="00D40133">
        <w:rPr>
          <w:rFonts w:ascii="Arial" w:hAnsi="Arial" w:cs="Arial"/>
          <w:sz w:val="22"/>
          <w:szCs w:val="22"/>
        </w:rPr>
        <w:t xml:space="preserve">Figura I.2. </w:t>
      </w:r>
      <w:r w:rsidRPr="00D40133">
        <w:rPr>
          <w:rFonts w:ascii="Arial" w:hAnsi="Arial" w:cs="Arial"/>
          <w:sz w:val="22"/>
          <w:szCs w:val="22"/>
        </w:rPr>
        <w:fldChar w:fldCharType="begin"/>
      </w:r>
      <w:r w:rsidRPr="00D40133">
        <w:rPr>
          <w:rFonts w:ascii="Arial" w:hAnsi="Arial" w:cs="Arial"/>
          <w:sz w:val="22"/>
          <w:szCs w:val="22"/>
        </w:rPr>
        <w:instrText xml:space="preserve"> SEQ Figura_I.2. \* ARABIC </w:instrText>
      </w:r>
      <w:r w:rsidRPr="00D40133">
        <w:rPr>
          <w:rFonts w:ascii="Arial" w:hAnsi="Arial" w:cs="Arial"/>
          <w:sz w:val="22"/>
          <w:szCs w:val="22"/>
        </w:rPr>
        <w:fldChar w:fldCharType="separate"/>
      </w:r>
      <w:r w:rsidR="00BB181C">
        <w:rPr>
          <w:rFonts w:ascii="Arial" w:hAnsi="Arial" w:cs="Arial"/>
          <w:noProof/>
          <w:sz w:val="22"/>
          <w:szCs w:val="22"/>
        </w:rPr>
        <w:t>32</w:t>
      </w:r>
      <w:r w:rsidRPr="00D40133">
        <w:rPr>
          <w:rFonts w:ascii="Arial" w:hAnsi="Arial" w:cs="Arial"/>
          <w:sz w:val="22"/>
          <w:szCs w:val="22"/>
        </w:rPr>
        <w:fldChar w:fldCharType="end"/>
      </w:r>
      <w:r w:rsidRPr="00D40133">
        <w:rPr>
          <w:rFonts w:ascii="Arial" w:hAnsi="Arial" w:cs="Arial"/>
          <w:sz w:val="22"/>
          <w:szCs w:val="22"/>
        </w:rPr>
        <w:t xml:space="preserve"> - </w:t>
      </w:r>
      <w:r w:rsidRPr="00D40133">
        <w:rPr>
          <w:rFonts w:ascii="Arial" w:hAnsi="Arial" w:cs="Arial"/>
          <w:i w:val="0"/>
          <w:sz w:val="22"/>
          <w:szCs w:val="22"/>
        </w:rPr>
        <w:t>Stare necorespunzătoare a infrastructurii dedicate pietonilor</w:t>
      </w:r>
      <w:bookmarkEnd w:id="133"/>
    </w:p>
    <w:p w14:paraId="4A014E6C" w14:textId="77777777" w:rsidR="00D40133" w:rsidRPr="00D40133" w:rsidRDefault="00D40133" w:rsidP="00D40133">
      <w:pPr>
        <w:autoSpaceDE w:val="0"/>
        <w:autoSpaceDN w:val="0"/>
        <w:adjustRightInd w:val="0"/>
        <w:spacing w:after="0" w:line="360" w:lineRule="auto"/>
        <w:jc w:val="center"/>
        <w:rPr>
          <w:rFonts w:ascii="Arial" w:hAnsi="Arial" w:cs="Mangal"/>
          <w:noProof/>
          <w:kern w:val="1"/>
          <w:sz w:val="24"/>
          <w:szCs w:val="24"/>
          <w:lang w:val="ro-RO" w:eastAsia="ro-RO"/>
        </w:rPr>
      </w:pPr>
    </w:p>
    <w:p w14:paraId="2F2A6D76" w14:textId="77777777" w:rsidR="00D40133" w:rsidRPr="00D40133" w:rsidRDefault="00D40133" w:rsidP="00D40133">
      <w:pPr>
        <w:autoSpaceDE w:val="0"/>
        <w:autoSpaceDN w:val="0"/>
        <w:adjustRightInd w:val="0"/>
        <w:spacing w:after="0" w:line="360" w:lineRule="auto"/>
        <w:jc w:val="center"/>
        <w:rPr>
          <w:rFonts w:ascii="Arial" w:hAnsi="Arial" w:cs="Mangal"/>
          <w:noProof/>
          <w:kern w:val="1"/>
          <w:sz w:val="24"/>
          <w:szCs w:val="24"/>
          <w:lang w:val="ro-RO" w:eastAsia="ro-RO"/>
        </w:rPr>
      </w:pPr>
      <w:r w:rsidRPr="00D40133">
        <w:rPr>
          <w:rFonts w:ascii="Arial" w:hAnsi="Arial" w:cs="Mangal"/>
          <w:noProof/>
          <w:kern w:val="1"/>
          <w:sz w:val="24"/>
          <w:szCs w:val="24"/>
        </w:rPr>
        <w:drawing>
          <wp:inline distT="0" distB="0" distL="0" distR="0" wp14:anchorId="2C3ABD16" wp14:editId="6474C4B7">
            <wp:extent cx="3827217" cy="2604976"/>
            <wp:effectExtent l="0" t="0" r="1905" b="5080"/>
            <wp:docPr id="2067" name="Picture 2067" descr="E:\Horezu\Materiale lucru\Florin_M\Drumuri Diverse\09.0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Horezu\Materiale lucru\Florin_M\Drumuri Diverse\09.04.44.png"/>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r="46154" b="34876"/>
                    <a:stretch/>
                  </pic:blipFill>
                  <pic:spPr bwMode="auto">
                    <a:xfrm>
                      <a:off x="0" y="0"/>
                      <a:ext cx="3832424" cy="2608520"/>
                    </a:xfrm>
                    <a:prstGeom prst="rect">
                      <a:avLst/>
                    </a:prstGeom>
                    <a:noFill/>
                    <a:ln>
                      <a:noFill/>
                    </a:ln>
                    <a:extLst>
                      <a:ext uri="{53640926-AAD7-44D8-BBD7-CCE9431645EC}">
                        <a14:shadowObscured xmlns:a14="http://schemas.microsoft.com/office/drawing/2010/main"/>
                      </a:ext>
                    </a:extLst>
                  </pic:spPr>
                </pic:pic>
              </a:graphicData>
            </a:graphic>
          </wp:inline>
        </w:drawing>
      </w:r>
    </w:p>
    <w:p w14:paraId="09B614BF" w14:textId="3D87A250" w:rsidR="00D40133" w:rsidRPr="00D40133" w:rsidRDefault="00D40133" w:rsidP="00D40133">
      <w:pPr>
        <w:pStyle w:val="Legend"/>
        <w:jc w:val="center"/>
        <w:rPr>
          <w:rFonts w:ascii="Arial" w:hAnsi="Arial" w:cs="Arial"/>
          <w:noProof/>
          <w:color w:val="1F497D"/>
          <w:kern w:val="1"/>
          <w:sz w:val="22"/>
          <w:szCs w:val="22"/>
          <w:lang w:val="ro-RO" w:eastAsia="ro-RO"/>
        </w:rPr>
      </w:pPr>
      <w:bookmarkStart w:id="134" w:name="_Toc140744475"/>
      <w:r w:rsidRPr="00D40133">
        <w:rPr>
          <w:rFonts w:ascii="Arial" w:hAnsi="Arial" w:cs="Arial"/>
          <w:sz w:val="22"/>
          <w:szCs w:val="22"/>
        </w:rPr>
        <w:t xml:space="preserve">Figura I.2. </w:t>
      </w:r>
      <w:r w:rsidRPr="00D40133">
        <w:rPr>
          <w:rFonts w:ascii="Arial" w:hAnsi="Arial" w:cs="Arial"/>
          <w:sz w:val="22"/>
          <w:szCs w:val="22"/>
        </w:rPr>
        <w:fldChar w:fldCharType="begin"/>
      </w:r>
      <w:r w:rsidRPr="00D40133">
        <w:rPr>
          <w:rFonts w:ascii="Arial" w:hAnsi="Arial" w:cs="Arial"/>
          <w:sz w:val="22"/>
          <w:szCs w:val="22"/>
        </w:rPr>
        <w:instrText xml:space="preserve"> SEQ Figura_I.2. \* ARABIC </w:instrText>
      </w:r>
      <w:r w:rsidRPr="00D40133">
        <w:rPr>
          <w:rFonts w:ascii="Arial" w:hAnsi="Arial" w:cs="Arial"/>
          <w:sz w:val="22"/>
          <w:szCs w:val="22"/>
        </w:rPr>
        <w:fldChar w:fldCharType="separate"/>
      </w:r>
      <w:r w:rsidR="00BB181C">
        <w:rPr>
          <w:rFonts w:ascii="Arial" w:hAnsi="Arial" w:cs="Arial"/>
          <w:noProof/>
          <w:sz w:val="22"/>
          <w:szCs w:val="22"/>
        </w:rPr>
        <w:t>33</w:t>
      </w:r>
      <w:r w:rsidRPr="00D40133">
        <w:rPr>
          <w:rFonts w:ascii="Arial" w:hAnsi="Arial" w:cs="Arial"/>
          <w:sz w:val="22"/>
          <w:szCs w:val="22"/>
        </w:rPr>
        <w:fldChar w:fldCharType="end"/>
      </w:r>
      <w:r w:rsidRPr="00D40133">
        <w:rPr>
          <w:rFonts w:ascii="Arial" w:hAnsi="Arial" w:cs="Arial"/>
          <w:sz w:val="22"/>
          <w:szCs w:val="22"/>
        </w:rPr>
        <w:t xml:space="preserve"> - </w:t>
      </w:r>
      <w:r w:rsidRPr="00D40133">
        <w:rPr>
          <w:rFonts w:ascii="Arial" w:hAnsi="Arial" w:cs="Arial"/>
          <w:i w:val="0"/>
          <w:sz w:val="22"/>
          <w:szCs w:val="22"/>
        </w:rPr>
        <w:t>Circulația pietonală îngreunată de mașini parcate</w:t>
      </w:r>
      <w:bookmarkEnd w:id="134"/>
    </w:p>
    <w:p w14:paraId="2946A4CD" w14:textId="77777777" w:rsidR="00D40133" w:rsidRPr="00D40133" w:rsidRDefault="00D40133" w:rsidP="00D40133">
      <w:pPr>
        <w:rPr>
          <w:rFonts w:ascii="Arial" w:hAnsi="Arial" w:cs="Arial"/>
          <w:lang w:eastAsia="zh-CN" w:bidi="hi-IN"/>
        </w:rPr>
      </w:pPr>
      <w:bookmarkStart w:id="135" w:name="_Toc92983498"/>
      <w:r>
        <w:rPr>
          <w:rFonts w:ascii="Arial" w:hAnsi="Arial" w:cs="Arial"/>
          <w:lang w:eastAsia="zh-CN" w:bidi="hi-IN"/>
        </w:rPr>
        <w:t>Infrastructura dedicată pietonilor este cvasi-absentă în localităţile componente ale oraş</w:t>
      </w:r>
      <w:r w:rsidRPr="00D40133">
        <w:rPr>
          <w:rFonts w:ascii="Arial" w:hAnsi="Arial" w:cs="Arial"/>
          <w:lang w:eastAsia="zh-CN" w:bidi="hi-IN"/>
        </w:rPr>
        <w:t>ului Horezu.</w:t>
      </w:r>
      <w:bookmarkEnd w:id="135"/>
    </w:p>
    <w:p w14:paraId="162D15E8" w14:textId="77777777" w:rsidR="00D40133" w:rsidRPr="00D40133" w:rsidRDefault="00D40133" w:rsidP="00D40133">
      <w:pPr>
        <w:rPr>
          <w:rFonts w:ascii="Calibri" w:hAnsi="Calibri" w:cs="Times New Roman"/>
          <w:lang w:eastAsia="zh-CN" w:bidi="hi-IN"/>
        </w:rPr>
      </w:pPr>
    </w:p>
    <w:p w14:paraId="5AAE190E" w14:textId="77777777" w:rsidR="00D40133" w:rsidRPr="00D40133" w:rsidRDefault="00D40133" w:rsidP="00D40133">
      <w:pPr>
        <w:rPr>
          <w:lang w:eastAsia="zh-CN" w:bidi="hi-IN"/>
        </w:rPr>
      </w:pPr>
    </w:p>
    <w:p w14:paraId="64041BA1" w14:textId="77777777" w:rsidR="00D6124B" w:rsidRPr="00A32027" w:rsidRDefault="00D6124B" w:rsidP="00A32027">
      <w:pPr>
        <w:pStyle w:val="Titlu3"/>
        <w:rPr>
          <w:rFonts w:ascii="Arial" w:hAnsi="Arial" w:cs="Arial"/>
          <w:sz w:val="24"/>
          <w:szCs w:val="24"/>
        </w:rPr>
      </w:pPr>
      <w:bookmarkStart w:id="136" w:name="_Toc467654789"/>
      <w:bookmarkStart w:id="137" w:name="_Toc491868810"/>
      <w:bookmarkStart w:id="138" w:name="_Toc499657538"/>
      <w:bookmarkStart w:id="139" w:name="_Toc142039062"/>
      <w:r w:rsidRPr="00A32027">
        <w:rPr>
          <w:rFonts w:ascii="Arial" w:hAnsi="Arial" w:cs="Arial"/>
          <w:sz w:val="24"/>
          <w:szCs w:val="24"/>
        </w:rPr>
        <w:t>I.2.5.3 Deplasarea persoanelor cu mobilitate redus</w:t>
      </w:r>
      <w:bookmarkEnd w:id="136"/>
      <w:bookmarkEnd w:id="137"/>
      <w:bookmarkEnd w:id="138"/>
      <w:r w:rsidR="000C57CA" w:rsidRPr="00A32027">
        <w:rPr>
          <w:rFonts w:ascii="Arial" w:hAnsi="Arial" w:cs="Arial"/>
          <w:sz w:val="24"/>
          <w:szCs w:val="24"/>
          <w:lang w:val="ro-RO"/>
        </w:rPr>
        <w:t>ă</w:t>
      </w:r>
      <w:bookmarkEnd w:id="139"/>
      <w:r w:rsidRPr="00A32027">
        <w:rPr>
          <w:rFonts w:ascii="Arial" w:hAnsi="Arial" w:cs="Arial"/>
          <w:sz w:val="24"/>
          <w:szCs w:val="24"/>
        </w:rPr>
        <w:t xml:space="preserve"> </w:t>
      </w:r>
    </w:p>
    <w:p w14:paraId="0CA4DEC3" w14:textId="77777777" w:rsidR="00D40133" w:rsidRPr="00D40133" w:rsidRDefault="00D40133" w:rsidP="00D40133">
      <w:pPr>
        <w:suppressAutoHyphens/>
        <w:autoSpaceDE w:val="0"/>
        <w:spacing w:after="0" w:line="276" w:lineRule="auto"/>
        <w:jc w:val="both"/>
        <w:rPr>
          <w:rFonts w:ascii="Arial" w:eastAsia="Calibri" w:hAnsi="Arial" w:cs="Arial"/>
          <w:color w:val="000000"/>
          <w:lang w:eastAsia="zh-CN"/>
        </w:rPr>
      </w:pPr>
      <w:r w:rsidRPr="00D40133">
        <w:rPr>
          <w:rFonts w:ascii="Arial" w:eastAsia="Calibri" w:hAnsi="Arial" w:cs="Arial"/>
          <w:color w:val="000000"/>
          <w:lang w:val="es-ES" w:eastAsia="zh-CN"/>
        </w:rPr>
        <w:t xml:space="preserve">Pavajul tactil care ajută persoanele cu deficienţe de vedere la identificarea zonelor pentru traversarea străzilor nu există. În cele mai multe situaţii există o diferenţă de nivel între trotuar şi trecerea pietonală, ceea ce conduce la dificultăţi în deplasarea persoanelor cu dizabilităţi, a celor care se deplaseaza cu ajutorul carucioarelor cu rotile, dar si a celor care imping carucioare cu copii. Astfel, nu este asigurată continuitatea deplasării persoanelor cu dizabilităti, acestea întâmpinând probleme, în special, la traversarea străzilor, dar şi, în multe cazuri la deplasarea pe trotuare, ocupate cu diferite obstacole (de regulă autoturisme parcate neregulamentar, dar nu numai). </w:t>
      </w:r>
      <w:r w:rsidRPr="00D40133">
        <w:rPr>
          <w:rFonts w:ascii="Arial" w:eastAsia="Calibri" w:hAnsi="Arial" w:cs="Arial"/>
          <w:color w:val="000000"/>
          <w:lang w:eastAsia="zh-CN"/>
        </w:rPr>
        <w:t xml:space="preserve">De </w:t>
      </w:r>
      <w:r w:rsidRPr="00D40133">
        <w:rPr>
          <w:rFonts w:ascii="Arial" w:eastAsia="Calibri" w:hAnsi="Arial" w:cs="Arial"/>
          <w:color w:val="000000"/>
          <w:lang w:eastAsia="zh-CN"/>
        </w:rPr>
        <w:lastRenderedPageBreak/>
        <w:t>asemenea, starea necorespunzătoare a trotuarelor (în unele cazuri) face ca deplasarea persoanelor aflate în cărucioare să fie dificilă.</w:t>
      </w:r>
    </w:p>
    <w:p w14:paraId="2C028834" w14:textId="77777777" w:rsidR="00D6124B" w:rsidRDefault="00D6124B" w:rsidP="00A32027">
      <w:pPr>
        <w:pStyle w:val="Titlu3"/>
        <w:rPr>
          <w:rFonts w:ascii="Arial" w:eastAsia="Calibri" w:hAnsi="Arial" w:cs="Arial"/>
          <w:sz w:val="24"/>
          <w:szCs w:val="24"/>
        </w:rPr>
      </w:pPr>
      <w:bookmarkStart w:id="140" w:name="_Toc142039063"/>
      <w:r w:rsidRPr="00A32027">
        <w:rPr>
          <w:rFonts w:ascii="Arial" w:eastAsia="Calibri" w:hAnsi="Arial" w:cs="Arial"/>
          <w:sz w:val="24"/>
          <w:szCs w:val="24"/>
        </w:rPr>
        <w:t>I.2.5.4 Electromobilitate</w:t>
      </w:r>
      <w:bookmarkEnd w:id="140"/>
    </w:p>
    <w:p w14:paraId="782FF08E" w14:textId="77777777" w:rsidR="00D40133" w:rsidRPr="00D40133" w:rsidRDefault="00D40133" w:rsidP="00D40133">
      <w:pPr>
        <w:suppressAutoHyphens/>
        <w:autoSpaceDE w:val="0"/>
        <w:spacing w:after="0" w:line="276" w:lineRule="auto"/>
        <w:jc w:val="both"/>
        <w:rPr>
          <w:rFonts w:ascii="Arial" w:eastAsia="Calibri" w:hAnsi="Arial" w:cs="Arial"/>
          <w:color w:val="000000"/>
          <w:lang w:val="es-ES" w:eastAsia="zh-CN"/>
        </w:rPr>
      </w:pPr>
      <w:r w:rsidRPr="00D40133">
        <w:rPr>
          <w:rFonts w:ascii="Arial" w:eastAsia="Calibri" w:hAnsi="Arial" w:cs="Arial"/>
          <w:color w:val="000000"/>
          <w:lang w:val="es-ES" w:eastAsia="zh-CN"/>
        </w:rPr>
        <w:t>Electromobilitatea a început să nu mai fie tratată că ceva “exotic”, ci ca pe un fenomen de masă care vizează toate modurile: de la autoturisme, vehicule de transport public, vehicule de marfă/livrare în spațiul urban și până la micromobilitate (bicicletă și alte vehicule de micromobilitate asistate electric).</w:t>
      </w:r>
    </w:p>
    <w:p w14:paraId="622C643B" w14:textId="77777777" w:rsidR="00D40133" w:rsidRPr="00D40133" w:rsidRDefault="00D40133" w:rsidP="00D40133">
      <w:pPr>
        <w:suppressAutoHyphens/>
        <w:autoSpaceDE w:val="0"/>
        <w:spacing w:after="0" w:line="360" w:lineRule="auto"/>
        <w:jc w:val="both"/>
        <w:rPr>
          <w:rFonts w:ascii="Arial" w:eastAsia="Calibri" w:hAnsi="Arial" w:cs="Arial"/>
          <w:color w:val="000000"/>
          <w:sz w:val="24"/>
          <w:szCs w:val="24"/>
          <w:lang w:val="es-ES" w:eastAsia="zh-CN"/>
        </w:rPr>
      </w:pPr>
    </w:p>
    <w:p w14:paraId="5C0E13F5" w14:textId="77777777" w:rsidR="00D40133" w:rsidRPr="00D40133" w:rsidRDefault="00D40133" w:rsidP="00D40133">
      <w:pPr>
        <w:suppressAutoHyphens/>
        <w:autoSpaceDE w:val="0"/>
        <w:spacing w:after="0" w:line="276" w:lineRule="auto"/>
        <w:jc w:val="both"/>
        <w:rPr>
          <w:rFonts w:ascii="Arial" w:eastAsia="Calibri" w:hAnsi="Arial" w:cs="Arial"/>
          <w:color w:val="000000"/>
          <w:lang w:val="es-ES" w:eastAsia="zh-CN"/>
        </w:rPr>
      </w:pPr>
      <w:r w:rsidRPr="00D40133">
        <w:rPr>
          <w:rFonts w:ascii="Arial" w:eastAsia="Calibri" w:hAnsi="Arial" w:cs="Arial"/>
          <w:color w:val="000000"/>
          <w:lang w:val="es-ES" w:eastAsia="zh-CN"/>
        </w:rPr>
        <w:t xml:space="preserve">În localitatea Horezu infrastructura destinată alimentării cu energie a vehiculelor lipsește cu desăvârșire. În parcările amenajate în zona centrală nu există niciun astfel de punct, dar nici in alte zone potential generatoare sau care atrag trafic ale orasului. </w:t>
      </w:r>
    </w:p>
    <w:p w14:paraId="232086C1" w14:textId="77777777" w:rsidR="00D40133" w:rsidRPr="00D40133" w:rsidRDefault="00D40133" w:rsidP="00D40133">
      <w:pPr>
        <w:suppressAutoHyphens/>
        <w:autoSpaceDE w:val="0"/>
        <w:spacing w:after="0" w:line="360" w:lineRule="auto"/>
        <w:rPr>
          <w:rFonts w:ascii="Arial" w:eastAsia="Calibri" w:hAnsi="Arial" w:cs="Arial"/>
          <w:color w:val="000000"/>
          <w:sz w:val="24"/>
          <w:szCs w:val="24"/>
          <w:lang w:val="es-ES" w:eastAsia="zh-CN"/>
        </w:rPr>
      </w:pPr>
    </w:p>
    <w:p w14:paraId="31DE7168" w14:textId="77777777" w:rsidR="00D40133" w:rsidRPr="00D40133" w:rsidRDefault="00D40133" w:rsidP="00D40133">
      <w:pPr>
        <w:suppressAutoHyphens/>
        <w:autoSpaceDE w:val="0"/>
        <w:spacing w:after="0" w:line="276" w:lineRule="auto"/>
        <w:jc w:val="both"/>
        <w:rPr>
          <w:rFonts w:ascii="Arial" w:eastAsia="Calibri" w:hAnsi="Arial" w:cs="Arial"/>
          <w:b/>
          <w:bCs/>
          <w:i/>
          <w:iCs/>
          <w:lang w:val="es-ES" w:eastAsia="zh-CN"/>
        </w:rPr>
      </w:pPr>
      <w:r w:rsidRPr="00D40133">
        <w:rPr>
          <w:rFonts w:ascii="Arial" w:eastAsia="Calibri" w:hAnsi="Arial" w:cs="Arial"/>
          <w:b/>
          <w:bCs/>
          <w:i/>
          <w:iCs/>
          <w:color w:val="000000"/>
          <w:lang w:val="es-ES" w:eastAsia="zh-CN"/>
        </w:rPr>
        <w:t>EVALUARE</w:t>
      </w:r>
    </w:p>
    <w:p w14:paraId="3DB16DB6" w14:textId="77777777" w:rsidR="00D40133" w:rsidRPr="00D40133" w:rsidRDefault="00D40133" w:rsidP="000C6CB8">
      <w:pPr>
        <w:numPr>
          <w:ilvl w:val="0"/>
          <w:numId w:val="141"/>
        </w:numPr>
        <w:suppressAutoHyphens/>
        <w:spacing w:after="0" w:line="276" w:lineRule="auto"/>
        <w:ind w:left="360" w:hanging="270"/>
        <w:jc w:val="both"/>
        <w:rPr>
          <w:rFonts w:ascii="Arial" w:eastAsia="Calibri" w:hAnsi="Arial" w:cs="Arial"/>
          <w:lang w:val="es-ES" w:eastAsia="zh-CN"/>
        </w:rPr>
      </w:pPr>
      <w:r w:rsidRPr="00D40133">
        <w:rPr>
          <w:rFonts w:ascii="Arial" w:eastAsia="Calibri" w:hAnsi="Arial" w:cs="Arial"/>
          <w:lang w:val="es-ES" w:eastAsia="zh-CN"/>
        </w:rPr>
        <w:t>micromobilitatea este tratată ca ceva secundar, accentul punându-se în continuare pe infrastructura destinată mașinilor;</w:t>
      </w:r>
    </w:p>
    <w:p w14:paraId="5ACAAB2B" w14:textId="29F9F49C" w:rsidR="00D40133" w:rsidRPr="00D40133" w:rsidRDefault="00D40133" w:rsidP="000C6CB8">
      <w:pPr>
        <w:numPr>
          <w:ilvl w:val="0"/>
          <w:numId w:val="141"/>
        </w:numPr>
        <w:suppressAutoHyphens/>
        <w:spacing w:after="0" w:line="276" w:lineRule="auto"/>
        <w:ind w:left="360" w:hanging="270"/>
        <w:jc w:val="both"/>
        <w:rPr>
          <w:rFonts w:ascii="Arial" w:eastAsia="Calibri" w:hAnsi="Arial" w:cs="Arial"/>
          <w:lang w:val="es-ES" w:eastAsia="zh-CN"/>
        </w:rPr>
      </w:pPr>
      <w:r w:rsidRPr="00D40133">
        <w:rPr>
          <w:rFonts w:ascii="Arial" w:eastAsia="Calibri" w:hAnsi="Arial" w:cs="Arial"/>
          <w:lang w:val="es-ES" w:eastAsia="zh-CN"/>
        </w:rPr>
        <w:t xml:space="preserve">nu există </w:t>
      </w:r>
      <w:r w:rsidR="006E163D">
        <w:rPr>
          <w:rFonts w:ascii="Arial" w:eastAsia="Calibri" w:hAnsi="Arial" w:cs="Arial"/>
          <w:lang w:val="es-ES" w:eastAsia="zh-CN"/>
        </w:rPr>
        <w:t>infrastructuri dedicate modului de transport cu bicicleta</w:t>
      </w:r>
      <w:r w:rsidRPr="00D40133">
        <w:rPr>
          <w:rFonts w:ascii="Arial" w:eastAsia="Calibri" w:hAnsi="Arial" w:cs="Arial"/>
          <w:lang w:val="es-ES" w:eastAsia="zh-CN"/>
        </w:rPr>
        <w:t>;</w:t>
      </w:r>
    </w:p>
    <w:p w14:paraId="2C157879" w14:textId="77777777" w:rsidR="00D40133" w:rsidRPr="00D40133" w:rsidRDefault="00D40133" w:rsidP="000C6CB8">
      <w:pPr>
        <w:numPr>
          <w:ilvl w:val="0"/>
          <w:numId w:val="141"/>
        </w:numPr>
        <w:suppressAutoHyphens/>
        <w:spacing w:after="0" w:line="276" w:lineRule="auto"/>
        <w:ind w:left="360" w:hanging="270"/>
        <w:jc w:val="both"/>
        <w:rPr>
          <w:rFonts w:ascii="Arial" w:eastAsia="Calibri" w:hAnsi="Arial" w:cs="Arial"/>
          <w:lang w:val="es-ES" w:eastAsia="zh-CN"/>
        </w:rPr>
      </w:pPr>
      <w:r w:rsidRPr="00D40133">
        <w:rPr>
          <w:rFonts w:ascii="Arial" w:eastAsia="Calibri" w:hAnsi="Arial" w:cs="Arial"/>
          <w:lang w:val="es-ES" w:eastAsia="zh-CN"/>
        </w:rPr>
        <w:t>nu există centre pentru închirierea bicicletelor şi spaţii de parcare amenajate pentru acestea;</w:t>
      </w:r>
    </w:p>
    <w:p w14:paraId="4EBB8A5B" w14:textId="77777777" w:rsidR="00D40133" w:rsidRPr="00D40133" w:rsidRDefault="00D40133" w:rsidP="000C6CB8">
      <w:pPr>
        <w:numPr>
          <w:ilvl w:val="0"/>
          <w:numId w:val="141"/>
        </w:numPr>
        <w:suppressAutoHyphens/>
        <w:spacing w:after="0" w:line="276" w:lineRule="auto"/>
        <w:ind w:left="360" w:hanging="270"/>
        <w:jc w:val="both"/>
        <w:rPr>
          <w:rFonts w:ascii="Arial" w:eastAsia="Calibri" w:hAnsi="Arial" w:cs="Arial"/>
          <w:lang w:val="es-ES" w:eastAsia="zh-CN"/>
        </w:rPr>
      </w:pPr>
      <w:r w:rsidRPr="00D40133">
        <w:rPr>
          <w:rFonts w:ascii="Arial" w:eastAsia="Calibri" w:hAnsi="Arial" w:cs="Arial"/>
          <w:lang w:val="es-ES" w:eastAsia="zh-CN"/>
        </w:rPr>
        <w:t>cu exceptia celor 4 strazi pietonale din zona centrala, nu există alte zone pietonale (în timp ce în oraşele moderne sunt prevăzute „suprafeţe inelare” rezervate în perimetrul central al localităţii, numai pentru pietoni – cei mai numeroşi participanţi la fenomenul de deplasare);</w:t>
      </w:r>
    </w:p>
    <w:p w14:paraId="0BB79B14" w14:textId="77777777" w:rsidR="00D40133" w:rsidRPr="00D40133" w:rsidRDefault="00D40133" w:rsidP="000C6CB8">
      <w:pPr>
        <w:numPr>
          <w:ilvl w:val="0"/>
          <w:numId w:val="141"/>
        </w:numPr>
        <w:suppressAutoHyphens/>
        <w:spacing w:after="0" w:line="276" w:lineRule="auto"/>
        <w:ind w:left="360" w:hanging="270"/>
        <w:jc w:val="both"/>
        <w:rPr>
          <w:rFonts w:ascii="Arial" w:eastAsia="Calibri" w:hAnsi="Arial" w:cs="Arial"/>
          <w:lang w:val="es-ES" w:eastAsia="zh-CN"/>
        </w:rPr>
      </w:pPr>
      <w:r w:rsidRPr="00D40133">
        <w:rPr>
          <w:rFonts w:ascii="Arial" w:eastAsia="Calibri" w:hAnsi="Arial" w:cs="Arial"/>
          <w:lang w:val="es-ES" w:eastAsia="zh-CN"/>
        </w:rPr>
        <w:t>majoritatea arterelor de circulatie nu sunt prevazute cu trotuare (circa 8</w:t>
      </w:r>
      <w:r>
        <w:rPr>
          <w:rFonts w:ascii="Arial" w:eastAsia="Calibri" w:hAnsi="Arial" w:cs="Arial"/>
          <w:lang w:val="es-ES" w:eastAsia="zh-CN"/>
        </w:rPr>
        <w:t>3,5 % din lungimea totala a stră</w:t>
      </w:r>
      <w:r w:rsidRPr="00D40133">
        <w:rPr>
          <w:rFonts w:ascii="Arial" w:eastAsia="Calibri" w:hAnsi="Arial" w:cs="Arial"/>
          <w:lang w:val="es-ES" w:eastAsia="zh-CN"/>
        </w:rPr>
        <w:t>zilor);</w:t>
      </w:r>
    </w:p>
    <w:p w14:paraId="1DC515D3" w14:textId="77777777" w:rsidR="00D40133" w:rsidRPr="00D40133" w:rsidRDefault="00D40133" w:rsidP="000C6CB8">
      <w:pPr>
        <w:numPr>
          <w:ilvl w:val="0"/>
          <w:numId w:val="141"/>
        </w:numPr>
        <w:suppressAutoHyphens/>
        <w:spacing w:after="0" w:line="276" w:lineRule="auto"/>
        <w:ind w:left="360" w:hanging="270"/>
        <w:jc w:val="both"/>
        <w:rPr>
          <w:rFonts w:ascii="Arial" w:eastAsia="Calibri" w:hAnsi="Arial" w:cs="Arial"/>
          <w:lang w:val="es-ES" w:eastAsia="zh-CN"/>
        </w:rPr>
      </w:pPr>
      <w:r w:rsidRPr="00D40133">
        <w:rPr>
          <w:rFonts w:ascii="Arial" w:eastAsia="Calibri" w:hAnsi="Arial" w:cs="Arial"/>
          <w:lang w:val="es-ES" w:eastAsia="zh-CN"/>
        </w:rPr>
        <w:t>starea necorespunzătoare, în unele cazuri, a trotuarelor;</w:t>
      </w:r>
    </w:p>
    <w:p w14:paraId="2CE3050A" w14:textId="77777777" w:rsidR="00D40133" w:rsidRPr="00D40133" w:rsidRDefault="00D40133" w:rsidP="000C6CB8">
      <w:pPr>
        <w:numPr>
          <w:ilvl w:val="0"/>
          <w:numId w:val="141"/>
        </w:numPr>
        <w:suppressAutoHyphens/>
        <w:spacing w:after="0" w:line="276" w:lineRule="auto"/>
        <w:ind w:left="360" w:hanging="270"/>
        <w:jc w:val="both"/>
        <w:rPr>
          <w:rFonts w:ascii="Arial" w:eastAsia="Calibri" w:hAnsi="Arial" w:cs="Arial"/>
          <w:lang w:val="es-ES" w:eastAsia="zh-CN"/>
        </w:rPr>
      </w:pPr>
      <w:r w:rsidRPr="00D40133">
        <w:rPr>
          <w:rFonts w:ascii="Arial" w:eastAsia="Calibri" w:hAnsi="Arial" w:cs="Arial"/>
          <w:lang w:val="es-ES" w:eastAsia="zh-CN"/>
        </w:rPr>
        <w:t>lipsa pavajului tactil care ajută persoanele cu deficienţe de vedere la identificarea zonelor pentru traversarea străzilor;</w:t>
      </w:r>
    </w:p>
    <w:p w14:paraId="1C450BC1" w14:textId="77777777" w:rsidR="00D40133" w:rsidRPr="00D40133" w:rsidRDefault="00D40133" w:rsidP="000C6CB8">
      <w:pPr>
        <w:numPr>
          <w:ilvl w:val="0"/>
          <w:numId w:val="141"/>
        </w:numPr>
        <w:suppressAutoHyphens/>
        <w:spacing w:after="0" w:line="276" w:lineRule="auto"/>
        <w:ind w:left="360" w:hanging="270"/>
        <w:jc w:val="both"/>
        <w:rPr>
          <w:rFonts w:ascii="Arial" w:eastAsia="Calibri" w:hAnsi="Arial" w:cs="Arial"/>
          <w:lang w:val="es-ES" w:eastAsia="zh-CN"/>
        </w:rPr>
      </w:pPr>
      <w:r w:rsidRPr="00D40133">
        <w:rPr>
          <w:rFonts w:ascii="Arial" w:eastAsia="Calibri" w:hAnsi="Arial" w:cs="Arial"/>
          <w:lang w:val="es-ES" w:eastAsia="zh-CN"/>
        </w:rPr>
        <w:t>în multe situaţii există o diferenţă de nivel între trotuar şi trecerea pietonală, ceea ce conduce la dificultăţi în deplasarea persoanelor cu dizabilităţi;</w:t>
      </w:r>
    </w:p>
    <w:p w14:paraId="1FE0AAA8" w14:textId="77777777" w:rsidR="00D40133" w:rsidRPr="00D40133" w:rsidRDefault="00D40133" w:rsidP="000C6CB8">
      <w:pPr>
        <w:numPr>
          <w:ilvl w:val="0"/>
          <w:numId w:val="141"/>
        </w:numPr>
        <w:suppressAutoHyphens/>
        <w:spacing w:after="200" w:line="276" w:lineRule="auto"/>
        <w:ind w:left="360" w:hanging="180"/>
        <w:jc w:val="both"/>
        <w:rPr>
          <w:rFonts w:ascii="Calibri" w:eastAsia="Times New Roman" w:hAnsi="Calibri" w:cs="Calibri"/>
          <w:lang w:eastAsia="zh-CN"/>
        </w:rPr>
      </w:pPr>
      <w:r w:rsidRPr="00D40133">
        <w:rPr>
          <w:rFonts w:ascii="Arial" w:eastAsia="Calibri" w:hAnsi="Arial" w:cs="Arial"/>
          <w:lang w:val="es-ES" w:eastAsia="zh-CN"/>
        </w:rPr>
        <w:t>absența punctelor de încărcare a vehiculelor electrice.</w:t>
      </w:r>
    </w:p>
    <w:p w14:paraId="08FFA3B6" w14:textId="77777777" w:rsidR="00D40133" w:rsidRPr="00D40133" w:rsidRDefault="00D40133" w:rsidP="00D40133">
      <w:pPr>
        <w:jc w:val="both"/>
        <w:rPr>
          <w:rFonts w:ascii="Calibri" w:hAnsi="Calibri" w:cs="Times New Roman"/>
        </w:rPr>
      </w:pPr>
    </w:p>
    <w:p w14:paraId="523824D4" w14:textId="77777777" w:rsidR="00D40133" w:rsidRPr="00D40133" w:rsidRDefault="00D40133" w:rsidP="00D40133">
      <w:pPr>
        <w:rPr>
          <w:lang w:eastAsia="zh-CN" w:bidi="hi-IN"/>
        </w:rPr>
      </w:pPr>
    </w:p>
    <w:p w14:paraId="4EE9BD32" w14:textId="77777777" w:rsidR="00D70AEA" w:rsidRPr="00D11981" w:rsidRDefault="00D70AEA" w:rsidP="00D11981">
      <w:pPr>
        <w:pStyle w:val="Titlu2"/>
        <w:jc w:val="both"/>
        <w:rPr>
          <w:rFonts w:ascii="Arial" w:eastAsia="Times New Roman" w:hAnsi="Arial" w:cs="Arial"/>
          <w:b/>
          <w:bCs/>
          <w:color w:val="auto"/>
          <w:lang w:val="it-IT" w:eastAsia="ro-RO"/>
        </w:rPr>
      </w:pPr>
      <w:bookmarkStart w:id="141" w:name="_Toc61264893"/>
      <w:bookmarkStart w:id="142" w:name="_Toc142039064"/>
      <w:r w:rsidRPr="00D11981">
        <w:rPr>
          <w:rFonts w:ascii="Arial" w:eastAsia="Times New Roman" w:hAnsi="Arial" w:cs="Arial"/>
          <w:b/>
          <w:bCs/>
          <w:color w:val="auto"/>
          <w:lang w:val="it-IT" w:eastAsia="ro-RO"/>
        </w:rPr>
        <w:t>I.2.6</w:t>
      </w:r>
      <w:r w:rsidR="003430C5" w:rsidRPr="00D11981">
        <w:rPr>
          <w:rFonts w:ascii="Arial" w:eastAsia="Times New Roman" w:hAnsi="Arial" w:cs="Arial"/>
          <w:b/>
          <w:bCs/>
          <w:color w:val="auto"/>
          <w:lang w:val="it-IT" w:eastAsia="ro-RO"/>
        </w:rPr>
        <w:t xml:space="preserve"> </w:t>
      </w:r>
      <w:r w:rsidRPr="00D11981">
        <w:rPr>
          <w:rFonts w:ascii="Arial" w:eastAsia="Times New Roman" w:hAnsi="Arial" w:cs="Arial"/>
          <w:b/>
          <w:bCs/>
          <w:color w:val="auto"/>
          <w:lang w:val="it-IT" w:eastAsia="ro-RO"/>
        </w:rPr>
        <w:t>Managementul traficului (staţionarea, siguranţa în trafic, sisteme inteligente de transport, signalistică, structuri de management existente la nivelul autorităţii planificatoare)</w:t>
      </w:r>
      <w:bookmarkEnd w:id="141"/>
      <w:bookmarkEnd w:id="142"/>
    </w:p>
    <w:p w14:paraId="780BFB61" w14:textId="77777777" w:rsidR="00D40133" w:rsidRPr="00D40133" w:rsidRDefault="00D40133" w:rsidP="00D40133">
      <w:pPr>
        <w:suppressAutoHyphens/>
        <w:autoSpaceDE w:val="0"/>
        <w:spacing w:after="0" w:line="276" w:lineRule="auto"/>
        <w:jc w:val="both"/>
        <w:rPr>
          <w:rFonts w:ascii="Arial" w:eastAsia="Calibri" w:hAnsi="Arial" w:cs="Arial"/>
          <w:color w:val="000000"/>
          <w:lang w:val="es-ES" w:eastAsia="zh-CN"/>
        </w:rPr>
      </w:pPr>
      <w:r w:rsidRPr="00D40133">
        <w:rPr>
          <w:rFonts w:ascii="Arial" w:eastAsia="Calibri" w:hAnsi="Arial" w:cs="Arial"/>
          <w:color w:val="000000"/>
          <w:lang w:val="es-ES" w:eastAsia="zh-CN"/>
        </w:rPr>
        <w:t xml:space="preserve">În Horezu </w:t>
      </w:r>
      <w:r>
        <w:rPr>
          <w:rFonts w:ascii="Arial" w:eastAsia="Calibri" w:hAnsi="Arial" w:cs="Arial"/>
          <w:color w:val="000000"/>
          <w:lang w:val="es-ES" w:eastAsia="zh-CN"/>
        </w:rPr>
        <w:t>nu există</w:t>
      </w:r>
      <w:r w:rsidRPr="00D40133">
        <w:rPr>
          <w:rFonts w:ascii="Arial" w:eastAsia="Calibri" w:hAnsi="Arial" w:cs="Arial"/>
          <w:color w:val="000000"/>
          <w:lang w:val="es-ES" w:eastAsia="zh-CN"/>
        </w:rPr>
        <w:t xml:space="preserve"> un sistem de management al traficului, care să asigure fluidizarea acestuia, eliminarea blocajelor în principalele intersecții și creșterea gradului de siguranță în trafic a cetățenilor localitatii. </w:t>
      </w:r>
    </w:p>
    <w:p w14:paraId="7EB7BEBB" w14:textId="77777777" w:rsidR="00D40133" w:rsidRPr="00D40133" w:rsidRDefault="00D40133" w:rsidP="00D40133">
      <w:pPr>
        <w:suppressAutoHyphens/>
        <w:autoSpaceDE w:val="0"/>
        <w:spacing w:after="0" w:line="360" w:lineRule="auto"/>
        <w:jc w:val="both"/>
        <w:rPr>
          <w:rFonts w:ascii="Arial" w:eastAsia="Calibri" w:hAnsi="Arial" w:cs="Arial"/>
          <w:color w:val="000000"/>
          <w:sz w:val="24"/>
          <w:szCs w:val="24"/>
          <w:lang w:val="es-ES" w:eastAsia="zh-CN"/>
        </w:rPr>
      </w:pPr>
    </w:p>
    <w:p w14:paraId="6A1D0DEF" w14:textId="77777777" w:rsidR="00D40133" w:rsidRPr="00D40133" w:rsidRDefault="00D40133" w:rsidP="00D40133">
      <w:pPr>
        <w:widowControl w:val="0"/>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Autogarile ş</w:t>
      </w:r>
      <w:r w:rsidRPr="00D40133">
        <w:rPr>
          <w:rFonts w:ascii="Arial" w:hAnsi="Arial" w:cs="Arial"/>
          <w:kern w:val="1"/>
          <w:lang w:val="es-ES" w:eastAsia="hi-IN" w:bidi="hi-IN"/>
        </w:rPr>
        <w:t>i sta</w:t>
      </w:r>
      <w:r w:rsidRPr="00D40133">
        <w:rPr>
          <w:rFonts w:ascii="Arial" w:eastAsia="Times New Roman" w:hAnsi="Arial" w:cs="Arial"/>
          <w:kern w:val="1"/>
          <w:lang w:val="es-ES" w:eastAsia="ro-RO" w:bidi="hi-IN"/>
        </w:rPr>
        <w:t>ţ</w:t>
      </w:r>
      <w:r w:rsidRPr="00D40133">
        <w:rPr>
          <w:rFonts w:ascii="Arial" w:hAnsi="Arial" w:cs="Arial"/>
          <w:kern w:val="1"/>
          <w:lang w:val="es-ES" w:eastAsia="hi-IN" w:bidi="hi-IN"/>
        </w:rPr>
        <w:t>iile de transport public nu sunt dotate cu panouri de informare cu mesaje variabile a c</w:t>
      </w:r>
      <w:r w:rsidRPr="00D40133">
        <w:rPr>
          <w:rFonts w:ascii="Arial" w:eastAsia="Calibri" w:hAnsi="Arial" w:cs="Arial"/>
          <w:bCs/>
          <w:iCs/>
          <w:kern w:val="1"/>
          <w:lang w:val="es-ES" w:eastAsia="hi-IN" w:bidi="hi-IN"/>
        </w:rPr>
        <w:t>ă</w:t>
      </w:r>
      <w:r w:rsidRPr="00D40133">
        <w:rPr>
          <w:rFonts w:ascii="Arial" w:hAnsi="Arial" w:cs="Arial"/>
          <w:kern w:val="1"/>
          <w:lang w:val="es-ES" w:eastAsia="hi-IN" w:bidi="hi-IN"/>
        </w:rPr>
        <w:t>l</w:t>
      </w:r>
      <w:r w:rsidRPr="00D40133">
        <w:rPr>
          <w:rFonts w:ascii="Arial" w:eastAsia="Calibri" w:hAnsi="Arial" w:cs="Arial"/>
          <w:bCs/>
          <w:iCs/>
          <w:kern w:val="1"/>
          <w:lang w:val="es-ES" w:eastAsia="hi-IN" w:bidi="hi-IN"/>
        </w:rPr>
        <w:t>ă</w:t>
      </w:r>
      <w:r w:rsidRPr="00D40133">
        <w:rPr>
          <w:rFonts w:ascii="Arial" w:hAnsi="Arial" w:cs="Arial"/>
          <w:kern w:val="1"/>
          <w:lang w:val="es-ES" w:eastAsia="hi-IN" w:bidi="hi-IN"/>
        </w:rPr>
        <w:t xml:space="preserve">torilor </w:t>
      </w:r>
      <w:r w:rsidRPr="00D40133">
        <w:rPr>
          <w:rFonts w:ascii="Arial" w:eastAsia="Calibri" w:hAnsi="Arial" w:cs="Arial"/>
          <w:bCs/>
          <w:iCs/>
          <w:kern w:val="1"/>
          <w:lang w:val="es-ES" w:eastAsia="hi-IN" w:bidi="hi-IN"/>
        </w:rPr>
        <w:t>î</w:t>
      </w:r>
      <w:r w:rsidRPr="00D40133">
        <w:rPr>
          <w:rFonts w:ascii="Arial" w:hAnsi="Arial" w:cs="Arial"/>
          <w:kern w:val="1"/>
          <w:lang w:val="es-ES" w:eastAsia="hi-IN" w:bidi="hi-IN"/>
        </w:rPr>
        <w:t>n timp real. Aceste sisteme de</w:t>
      </w:r>
      <w:r>
        <w:rPr>
          <w:rFonts w:ascii="Arial" w:hAnsi="Arial" w:cs="Arial"/>
          <w:kern w:val="1"/>
          <w:lang w:val="es-ES" w:eastAsia="hi-IN" w:bidi="hi-IN"/>
        </w:rPr>
        <w:t xml:space="preserve"> informare nu se regasesc nici î</w:t>
      </w:r>
      <w:r w:rsidRPr="00D40133">
        <w:rPr>
          <w:rFonts w:ascii="Arial" w:hAnsi="Arial" w:cs="Arial"/>
          <w:kern w:val="1"/>
          <w:lang w:val="es-ES" w:eastAsia="hi-IN" w:bidi="hi-IN"/>
        </w:rPr>
        <w:t>n vehiculele de transport public</w:t>
      </w:r>
      <w:r>
        <w:rPr>
          <w:rFonts w:ascii="Arial" w:hAnsi="Arial" w:cs="Arial"/>
          <w:kern w:val="1"/>
          <w:lang w:val="es-ES" w:eastAsia="hi-IN" w:bidi="hi-IN"/>
        </w:rPr>
        <w:t xml:space="preserve"> judeţ</w:t>
      </w:r>
      <w:r w:rsidRPr="00D40133">
        <w:rPr>
          <w:rFonts w:ascii="Arial" w:hAnsi="Arial" w:cs="Arial"/>
          <w:kern w:val="1"/>
          <w:lang w:val="es-ES" w:eastAsia="hi-IN" w:bidi="hi-IN"/>
        </w:rPr>
        <w:t xml:space="preserve">ean. </w:t>
      </w:r>
    </w:p>
    <w:p w14:paraId="77AC695B" w14:textId="77777777" w:rsidR="00D40133" w:rsidRPr="00D40133" w:rsidRDefault="00D40133" w:rsidP="00D40133">
      <w:pPr>
        <w:suppressAutoHyphens/>
        <w:autoSpaceDE w:val="0"/>
        <w:spacing w:after="0" w:line="360" w:lineRule="auto"/>
        <w:jc w:val="both"/>
        <w:rPr>
          <w:rFonts w:ascii="Arial" w:eastAsia="Times New Roman" w:hAnsi="Arial" w:cs="Arial"/>
          <w:color w:val="000000"/>
          <w:sz w:val="24"/>
          <w:szCs w:val="24"/>
          <w:lang w:val="es-ES" w:eastAsia="ro-RO"/>
        </w:rPr>
      </w:pPr>
    </w:p>
    <w:p w14:paraId="2C52B89A" w14:textId="77777777" w:rsidR="00D40133" w:rsidRPr="00D40133" w:rsidRDefault="00D40133" w:rsidP="00D40133">
      <w:pPr>
        <w:suppressAutoHyphens/>
        <w:autoSpaceDE w:val="0"/>
        <w:spacing w:after="0" w:line="276" w:lineRule="auto"/>
        <w:jc w:val="both"/>
        <w:rPr>
          <w:rFonts w:ascii="Arial" w:eastAsia="Times New Roman" w:hAnsi="Arial" w:cs="Arial"/>
          <w:color w:val="000000"/>
          <w:lang w:val="es-ES" w:eastAsia="ro-RO"/>
        </w:rPr>
      </w:pPr>
      <w:r w:rsidRPr="00D40133">
        <w:rPr>
          <w:rFonts w:ascii="Arial" w:eastAsia="Times New Roman" w:hAnsi="Arial" w:cs="Arial"/>
          <w:color w:val="000000"/>
          <w:lang w:val="es-ES" w:eastAsia="ro-RO"/>
        </w:rPr>
        <w:lastRenderedPageBreak/>
        <w:t>Locurile de staţionare/parcare alocate pe carosabil reduc drastic capacitatea de circulaţie a străzilor şi impun reglementarea cir</w:t>
      </w:r>
      <w:r w:rsidR="009C02C1">
        <w:rPr>
          <w:rFonts w:ascii="Arial" w:eastAsia="Times New Roman" w:hAnsi="Arial" w:cs="Arial"/>
          <w:color w:val="000000"/>
          <w:lang w:val="es-ES" w:eastAsia="ro-RO"/>
        </w:rPr>
        <w:t>culaţiei pe sens unic. Nu există</w:t>
      </w:r>
      <w:r w:rsidRPr="00D40133">
        <w:rPr>
          <w:rFonts w:ascii="Arial" w:eastAsia="Times New Roman" w:hAnsi="Arial" w:cs="Arial"/>
          <w:color w:val="000000"/>
          <w:lang w:val="es-ES" w:eastAsia="ro-RO"/>
        </w:rPr>
        <w:t xml:space="preserve"> </w:t>
      </w:r>
      <w:r w:rsidR="009C02C1">
        <w:rPr>
          <w:rFonts w:ascii="Arial" w:eastAsia="Times New Roman" w:hAnsi="Arial" w:cs="Arial"/>
          <w:color w:val="000000"/>
          <w:lang w:val="es-ES" w:eastAsia="ro-RO"/>
        </w:rPr>
        <w:t>un sistem de management al parcă</w:t>
      </w:r>
      <w:r w:rsidRPr="00D40133">
        <w:rPr>
          <w:rFonts w:ascii="Arial" w:eastAsia="Times New Roman" w:hAnsi="Arial" w:cs="Arial"/>
          <w:color w:val="000000"/>
          <w:lang w:val="es-ES" w:eastAsia="ro-RO"/>
        </w:rPr>
        <w:t>rilor, o stra</w:t>
      </w:r>
      <w:r w:rsidR="009C02C1">
        <w:rPr>
          <w:rFonts w:ascii="Arial" w:eastAsia="Times New Roman" w:hAnsi="Arial" w:cs="Arial"/>
          <w:color w:val="000000"/>
          <w:lang w:val="es-ES" w:eastAsia="ro-RO"/>
        </w:rPr>
        <w:t>tegie de parcare la nivelul oraş</w:t>
      </w:r>
      <w:r w:rsidRPr="00D40133">
        <w:rPr>
          <w:rFonts w:ascii="Arial" w:eastAsia="Times New Roman" w:hAnsi="Arial" w:cs="Arial"/>
          <w:color w:val="000000"/>
          <w:lang w:val="es-ES" w:eastAsia="ro-RO"/>
        </w:rPr>
        <w:t>ului, iar política de taxare a locu</w:t>
      </w:r>
      <w:r w:rsidR="009C02C1">
        <w:rPr>
          <w:rFonts w:ascii="Arial" w:eastAsia="Times New Roman" w:hAnsi="Arial" w:cs="Arial"/>
          <w:color w:val="000000"/>
          <w:lang w:val="es-ES" w:eastAsia="ro-RO"/>
        </w:rPr>
        <w:t>rilor de parcare publice nu este pusă în practică. Cvasi-absenţa marcajelor care să</w:t>
      </w:r>
      <w:r w:rsidRPr="00D40133">
        <w:rPr>
          <w:rFonts w:ascii="Arial" w:eastAsia="Times New Roman" w:hAnsi="Arial" w:cs="Arial"/>
          <w:color w:val="000000"/>
          <w:lang w:val="es-ES" w:eastAsia="ro-RO"/>
        </w:rPr>
        <w:t xml:space="preserve"> delimiteze locurile publice de</w:t>
      </w:r>
      <w:r w:rsidR="009C02C1">
        <w:rPr>
          <w:rFonts w:ascii="Arial" w:eastAsia="Times New Roman" w:hAnsi="Arial" w:cs="Arial"/>
          <w:color w:val="000000"/>
          <w:lang w:val="es-ES" w:eastAsia="ro-RO"/>
        </w:rPr>
        <w:t xml:space="preserve"> parcare face aproape imposibilă o evidenţă clară</w:t>
      </w:r>
      <w:r w:rsidRPr="00D40133">
        <w:rPr>
          <w:rFonts w:ascii="Arial" w:eastAsia="Times New Roman" w:hAnsi="Arial" w:cs="Arial"/>
          <w:color w:val="000000"/>
          <w:lang w:val="es-ES" w:eastAsia="ro-RO"/>
        </w:rPr>
        <w:t xml:space="preserve"> a acestora.</w:t>
      </w:r>
    </w:p>
    <w:p w14:paraId="7C80BF30" w14:textId="77777777" w:rsidR="00D40133" w:rsidRPr="00D40133" w:rsidRDefault="009C02C1" w:rsidP="00D40133">
      <w:pPr>
        <w:suppressAutoHyphens/>
        <w:autoSpaceDE w:val="0"/>
        <w:spacing w:after="0" w:line="276" w:lineRule="auto"/>
        <w:jc w:val="both"/>
        <w:rPr>
          <w:rFonts w:ascii="Arial" w:eastAsia="Times New Roman" w:hAnsi="Arial" w:cs="Arial"/>
          <w:color w:val="000000"/>
          <w:lang w:val="es-ES" w:eastAsia="ro-RO"/>
        </w:rPr>
      </w:pPr>
      <w:r w:rsidRPr="009C02C1">
        <w:rPr>
          <w:rFonts w:ascii="Arial" w:eastAsia="Times New Roman" w:hAnsi="Arial" w:cs="Arial"/>
          <w:color w:val="000000"/>
          <w:lang w:val="es-ES" w:eastAsia="ro-RO"/>
        </w:rPr>
        <w:t>Prin HCL 88/24.08.2017 s-a aprobat Regulamentul privind accesul și procedura de eliberare a autorizațiilor de acces pentru autovehicule cu greutatea mai mică de 3,5 tone pe străzile cu res</w:t>
      </w:r>
      <w:r>
        <w:rPr>
          <w:rFonts w:ascii="Arial" w:eastAsia="Times New Roman" w:hAnsi="Arial" w:cs="Arial"/>
          <w:color w:val="000000"/>
          <w:lang w:val="es-ES" w:eastAsia="ro-RO"/>
        </w:rPr>
        <w:t>tricții de circulație de pe raza</w:t>
      </w:r>
      <w:r w:rsidRPr="009C02C1">
        <w:rPr>
          <w:rFonts w:ascii="Arial" w:eastAsia="Times New Roman" w:hAnsi="Arial" w:cs="Arial"/>
          <w:color w:val="000000"/>
          <w:lang w:val="es-ES" w:eastAsia="ro-RO"/>
        </w:rPr>
        <w:t xml:space="preserve"> Orașului Horezu – Centrul Istoric. Prin acesta este delimitată o zona protejată </w:t>
      </w:r>
      <w:r w:rsidRPr="00272D92">
        <w:rPr>
          <w:rFonts w:ascii="Arial" w:eastAsia="Times New Roman" w:hAnsi="Arial" w:cs="Arial"/>
          <w:color w:val="000000"/>
          <w:lang w:val="es-ES" w:eastAsia="ro-RO"/>
        </w:rPr>
        <w:t>(a se vedea figura I.2. 34)</w:t>
      </w:r>
      <w:r w:rsidRPr="009C02C1">
        <w:rPr>
          <w:rFonts w:ascii="Arial" w:eastAsia="Times New Roman" w:hAnsi="Arial" w:cs="Arial"/>
          <w:color w:val="000000"/>
          <w:lang w:val="es-ES" w:eastAsia="ro-RO"/>
        </w:rPr>
        <w:t xml:space="preserve"> în care accesul autovehiculelor se face doar pe baza unei taxe stabilite de CL. Pentru anul 2022, această taxa a fost stabilită la</w:t>
      </w:r>
      <w:r w:rsidR="00D40133" w:rsidRPr="00D40133">
        <w:rPr>
          <w:rFonts w:ascii="Arial" w:eastAsia="Times New Roman" w:hAnsi="Arial" w:cs="Arial"/>
          <w:color w:val="000000"/>
          <w:lang w:val="es-ES" w:eastAsia="ro-RO"/>
        </w:rPr>
        <w:t>:</w:t>
      </w:r>
    </w:p>
    <w:p w14:paraId="72338D12" w14:textId="77777777" w:rsidR="00D40133" w:rsidRPr="00D40133" w:rsidRDefault="00D40133" w:rsidP="006B613A">
      <w:pPr>
        <w:numPr>
          <w:ilvl w:val="0"/>
          <w:numId w:val="56"/>
        </w:numPr>
        <w:suppressAutoHyphens/>
        <w:autoSpaceDE w:val="0"/>
        <w:spacing w:after="0" w:line="276" w:lineRule="auto"/>
        <w:jc w:val="both"/>
        <w:rPr>
          <w:rFonts w:ascii="Arial" w:eastAsia="Times New Roman" w:hAnsi="Arial" w:cs="Arial"/>
          <w:color w:val="000000"/>
          <w:sz w:val="24"/>
          <w:szCs w:val="24"/>
          <w:lang w:val="es-ES" w:eastAsia="ro-RO"/>
        </w:rPr>
      </w:pPr>
      <w:r w:rsidRPr="00D40133">
        <w:rPr>
          <w:rFonts w:ascii="Arial" w:eastAsia="Times New Roman" w:hAnsi="Arial" w:cs="Arial"/>
          <w:color w:val="000000"/>
          <w:lang w:val="es-ES" w:eastAsia="ro-RO"/>
        </w:rPr>
        <w:t>5 lei/zi/ve</w:t>
      </w:r>
      <w:r w:rsidR="009C02C1">
        <w:rPr>
          <w:rFonts w:ascii="Arial" w:eastAsia="Times New Roman" w:hAnsi="Arial" w:cs="Arial"/>
          <w:color w:val="000000"/>
          <w:lang w:val="es-ES" w:eastAsia="ro-RO"/>
        </w:rPr>
        <w:t>hicul pentru mai putin de o lună</w:t>
      </w:r>
      <w:r w:rsidRPr="00D40133">
        <w:rPr>
          <w:rFonts w:ascii="Arial" w:eastAsia="Times New Roman" w:hAnsi="Arial" w:cs="Arial"/>
          <w:color w:val="000000"/>
          <w:lang w:val="es-ES" w:eastAsia="ro-RO"/>
        </w:rPr>
        <w:t>;</w:t>
      </w:r>
    </w:p>
    <w:p w14:paraId="3EB7D676" w14:textId="77777777" w:rsidR="00D40133" w:rsidRPr="00D40133" w:rsidRDefault="009C02C1" w:rsidP="006B613A">
      <w:pPr>
        <w:numPr>
          <w:ilvl w:val="0"/>
          <w:numId w:val="56"/>
        </w:numPr>
        <w:suppressAutoHyphens/>
        <w:autoSpaceDE w:val="0"/>
        <w:spacing w:after="0" w:line="276" w:lineRule="auto"/>
        <w:jc w:val="both"/>
        <w:rPr>
          <w:rFonts w:ascii="Arial" w:eastAsia="Times New Roman" w:hAnsi="Arial" w:cs="Arial"/>
          <w:color w:val="000000"/>
          <w:sz w:val="24"/>
          <w:szCs w:val="24"/>
          <w:lang w:val="es-ES" w:eastAsia="ro-RO"/>
        </w:rPr>
      </w:pPr>
      <w:r>
        <w:rPr>
          <w:rFonts w:ascii="Arial" w:eastAsia="Times New Roman" w:hAnsi="Arial" w:cs="Arial"/>
          <w:color w:val="000000"/>
          <w:lang w:val="es-ES" w:eastAsia="ro-RO"/>
        </w:rPr>
        <w:t>53 lei/vehicul pentru o lună</w:t>
      </w:r>
      <w:r w:rsidR="00D40133" w:rsidRPr="00D40133">
        <w:rPr>
          <w:rFonts w:ascii="Arial" w:eastAsia="Times New Roman" w:hAnsi="Arial" w:cs="Arial"/>
          <w:color w:val="000000"/>
          <w:lang w:val="es-ES" w:eastAsia="ro-RO"/>
        </w:rPr>
        <w:t>;</w:t>
      </w:r>
    </w:p>
    <w:p w14:paraId="2DAB4E80" w14:textId="77777777" w:rsidR="00D40133" w:rsidRPr="00D40133" w:rsidRDefault="00D40133" w:rsidP="006B613A">
      <w:pPr>
        <w:numPr>
          <w:ilvl w:val="0"/>
          <w:numId w:val="56"/>
        </w:numPr>
        <w:suppressAutoHyphens/>
        <w:autoSpaceDE w:val="0"/>
        <w:spacing w:after="0" w:line="276" w:lineRule="auto"/>
        <w:jc w:val="both"/>
        <w:rPr>
          <w:rFonts w:ascii="Arial" w:eastAsia="Times New Roman" w:hAnsi="Arial" w:cs="Arial"/>
          <w:color w:val="000000"/>
          <w:sz w:val="24"/>
          <w:szCs w:val="24"/>
          <w:lang w:val="es-ES" w:eastAsia="ro-RO"/>
        </w:rPr>
      </w:pPr>
      <w:r w:rsidRPr="00D40133">
        <w:rPr>
          <w:rFonts w:ascii="Arial" w:eastAsia="Times New Roman" w:hAnsi="Arial" w:cs="Arial"/>
          <w:color w:val="000000"/>
          <w:lang w:val="es-ES" w:eastAsia="ro-RO"/>
        </w:rPr>
        <w:t>213 lei/vehicul pentru un an.</w:t>
      </w:r>
    </w:p>
    <w:p w14:paraId="1FEF51FA" w14:textId="77777777" w:rsidR="00D40133" w:rsidRPr="00D40133" w:rsidRDefault="00D40133" w:rsidP="00D40133">
      <w:pPr>
        <w:autoSpaceDE w:val="0"/>
        <w:spacing w:after="0"/>
        <w:jc w:val="both"/>
        <w:rPr>
          <w:rFonts w:ascii="Arial" w:hAnsi="Arial" w:cs="Arial"/>
          <w:color w:val="000000"/>
          <w:lang w:val="es-ES" w:eastAsia="ro-RO"/>
        </w:rPr>
      </w:pPr>
    </w:p>
    <w:p w14:paraId="3B28B69E" w14:textId="77777777" w:rsidR="00D40133" w:rsidRPr="00D40133" w:rsidRDefault="00D40133" w:rsidP="00D40133">
      <w:pPr>
        <w:autoSpaceDE w:val="0"/>
        <w:spacing w:after="0"/>
        <w:jc w:val="both"/>
        <w:rPr>
          <w:rFonts w:ascii="Arial" w:hAnsi="Arial" w:cs="Arial"/>
          <w:color w:val="000000"/>
          <w:lang w:val="es-ES" w:eastAsia="ro-RO"/>
        </w:rPr>
      </w:pPr>
    </w:p>
    <w:p w14:paraId="23F29A3A" w14:textId="77777777" w:rsidR="00D40133" w:rsidRPr="00D40133" w:rsidRDefault="00D40133" w:rsidP="00D40133">
      <w:pPr>
        <w:suppressAutoHyphens/>
        <w:autoSpaceDE w:val="0"/>
        <w:spacing w:after="0" w:line="360" w:lineRule="auto"/>
        <w:jc w:val="center"/>
        <w:rPr>
          <w:rFonts w:ascii="EUAlbertina" w:eastAsia="Calibri" w:hAnsi="EUAlbertina" w:cs="EUAlbertina"/>
          <w:noProof/>
          <w:color w:val="000000"/>
          <w:sz w:val="24"/>
          <w:szCs w:val="24"/>
          <w:lang w:val="ro-RO" w:eastAsia="ro-RO"/>
        </w:rPr>
      </w:pPr>
      <w:r w:rsidRPr="00D40133">
        <w:rPr>
          <w:rFonts w:ascii="EUAlbertina" w:eastAsia="Calibri" w:hAnsi="EUAlbertina" w:cs="EUAlbertina"/>
          <w:noProof/>
          <w:color w:val="000000"/>
          <w:sz w:val="24"/>
          <w:szCs w:val="24"/>
        </w:rPr>
        <w:drawing>
          <wp:inline distT="0" distB="0" distL="0" distR="0" wp14:anchorId="6EAB8482" wp14:editId="45075BDF">
            <wp:extent cx="4572591" cy="3189768"/>
            <wp:effectExtent l="0" t="0" r="0" b="0"/>
            <wp:docPr id="2068" name="Picture 2068" descr="E:\Horezu\Materiale lucru\Florin_D\Horezu - Strazi cu acces restriction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Horezu\Materiale lucru\Florin_D\Horezu - Strazi cu acces restrictionat.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76996" cy="3192841"/>
                    </a:xfrm>
                    <a:prstGeom prst="rect">
                      <a:avLst/>
                    </a:prstGeom>
                    <a:noFill/>
                    <a:ln>
                      <a:noFill/>
                    </a:ln>
                  </pic:spPr>
                </pic:pic>
              </a:graphicData>
            </a:graphic>
          </wp:inline>
        </w:drawing>
      </w:r>
    </w:p>
    <w:p w14:paraId="2D1359D8" w14:textId="34B5D943" w:rsidR="00D40133" w:rsidRPr="009C02C1" w:rsidRDefault="009C02C1" w:rsidP="009C02C1">
      <w:pPr>
        <w:pStyle w:val="Legend"/>
        <w:jc w:val="center"/>
        <w:rPr>
          <w:rFonts w:ascii="Arial" w:eastAsia="Times New Roman" w:hAnsi="Arial" w:cs="Arial"/>
          <w:i w:val="0"/>
          <w:color w:val="000000"/>
          <w:sz w:val="22"/>
          <w:szCs w:val="22"/>
          <w:lang w:val="es-ES" w:eastAsia="ro-RO"/>
        </w:rPr>
      </w:pPr>
      <w:bookmarkStart w:id="143" w:name="_Toc140744476"/>
      <w:r w:rsidRPr="009C02C1">
        <w:rPr>
          <w:rFonts w:ascii="Arial" w:hAnsi="Arial" w:cs="Arial"/>
          <w:sz w:val="22"/>
          <w:szCs w:val="22"/>
        </w:rPr>
        <w:t xml:space="preserve">Figura I.2. </w:t>
      </w:r>
      <w:r w:rsidRPr="009C02C1">
        <w:rPr>
          <w:rFonts w:ascii="Arial" w:hAnsi="Arial" w:cs="Arial"/>
          <w:sz w:val="22"/>
          <w:szCs w:val="22"/>
        </w:rPr>
        <w:fldChar w:fldCharType="begin"/>
      </w:r>
      <w:r w:rsidRPr="009C02C1">
        <w:rPr>
          <w:rFonts w:ascii="Arial" w:hAnsi="Arial" w:cs="Arial"/>
          <w:sz w:val="22"/>
          <w:szCs w:val="22"/>
        </w:rPr>
        <w:instrText xml:space="preserve"> SEQ Figura_I.2. \* ARABIC </w:instrText>
      </w:r>
      <w:r w:rsidRPr="009C02C1">
        <w:rPr>
          <w:rFonts w:ascii="Arial" w:hAnsi="Arial" w:cs="Arial"/>
          <w:sz w:val="22"/>
          <w:szCs w:val="22"/>
        </w:rPr>
        <w:fldChar w:fldCharType="separate"/>
      </w:r>
      <w:r w:rsidR="00BB181C">
        <w:rPr>
          <w:rFonts w:ascii="Arial" w:hAnsi="Arial" w:cs="Arial"/>
          <w:noProof/>
          <w:sz w:val="22"/>
          <w:szCs w:val="22"/>
        </w:rPr>
        <w:t>34</w:t>
      </w:r>
      <w:r w:rsidRPr="009C02C1">
        <w:rPr>
          <w:rFonts w:ascii="Arial" w:hAnsi="Arial" w:cs="Arial"/>
          <w:sz w:val="22"/>
          <w:szCs w:val="22"/>
        </w:rPr>
        <w:fldChar w:fldCharType="end"/>
      </w:r>
      <w:r w:rsidRPr="009C02C1">
        <w:rPr>
          <w:rFonts w:ascii="Arial" w:hAnsi="Arial" w:cs="Arial"/>
          <w:sz w:val="22"/>
          <w:szCs w:val="22"/>
        </w:rPr>
        <w:t xml:space="preserve"> -  </w:t>
      </w:r>
      <w:r>
        <w:rPr>
          <w:rFonts w:ascii="Arial" w:hAnsi="Arial" w:cs="Arial"/>
          <w:i w:val="0"/>
          <w:sz w:val="22"/>
          <w:szCs w:val="22"/>
        </w:rPr>
        <w:t>Zona protejată</w:t>
      </w:r>
      <w:r w:rsidRPr="009C02C1">
        <w:rPr>
          <w:rFonts w:ascii="Arial" w:hAnsi="Arial" w:cs="Arial"/>
          <w:i w:val="0"/>
          <w:sz w:val="22"/>
          <w:szCs w:val="22"/>
        </w:rPr>
        <w:t xml:space="preserve"> Centrul istoric</w:t>
      </w:r>
      <w:bookmarkEnd w:id="143"/>
    </w:p>
    <w:p w14:paraId="5A6A84D7" w14:textId="77777777" w:rsidR="00D6124B" w:rsidRPr="00D6124B" w:rsidRDefault="00D6124B" w:rsidP="00D6124B"/>
    <w:p w14:paraId="43770FFC" w14:textId="77777777" w:rsidR="00D70AEA" w:rsidRPr="00533A12" w:rsidRDefault="00D70AEA" w:rsidP="00533A12">
      <w:pPr>
        <w:pStyle w:val="Titlu2"/>
        <w:jc w:val="both"/>
        <w:rPr>
          <w:rFonts w:ascii="Arial" w:eastAsia="Times New Roman" w:hAnsi="Arial" w:cs="Arial"/>
          <w:b/>
          <w:bCs/>
          <w:color w:val="auto"/>
          <w:lang w:val="it-IT" w:eastAsia="ro-RO"/>
        </w:rPr>
      </w:pPr>
      <w:bookmarkStart w:id="144" w:name="_Toc61264894"/>
      <w:bookmarkStart w:id="145" w:name="_Toc142039065"/>
      <w:r w:rsidRPr="00533A12">
        <w:rPr>
          <w:rFonts w:ascii="Arial" w:eastAsia="Times New Roman" w:hAnsi="Arial" w:cs="Arial"/>
          <w:b/>
          <w:bCs/>
          <w:color w:val="auto"/>
          <w:lang w:val="it-IT" w:eastAsia="ro-RO"/>
        </w:rPr>
        <w:t>I.2.7</w:t>
      </w:r>
      <w:r w:rsidR="003430C5" w:rsidRPr="00533A12">
        <w:rPr>
          <w:rFonts w:ascii="Arial" w:eastAsia="Times New Roman" w:hAnsi="Arial" w:cs="Arial"/>
          <w:b/>
          <w:bCs/>
          <w:color w:val="auto"/>
          <w:lang w:val="it-IT" w:eastAsia="ro-RO"/>
        </w:rPr>
        <w:t xml:space="preserve"> </w:t>
      </w:r>
      <w:r w:rsidRPr="00533A12">
        <w:rPr>
          <w:rFonts w:ascii="Arial" w:eastAsia="Times New Roman" w:hAnsi="Arial" w:cs="Arial"/>
          <w:b/>
          <w:bCs/>
          <w:color w:val="auto"/>
          <w:lang w:val="it-IT" w:eastAsia="ro-RO"/>
        </w:rPr>
        <w:t>Identificarea zonelor cu nivel ridicat de compexitate (zone centrale protejate, zone logistice, poli ocazionali de atragere/generare trafic, zone intermodale-g</w:t>
      </w:r>
      <w:r w:rsidR="00533A12">
        <w:rPr>
          <w:rFonts w:ascii="Arial" w:eastAsia="Times New Roman" w:hAnsi="Arial" w:cs="Arial"/>
          <w:b/>
          <w:bCs/>
          <w:color w:val="auto"/>
          <w:lang w:val="it-IT" w:eastAsia="ro-RO"/>
        </w:rPr>
        <w:t>ă</w:t>
      </w:r>
      <w:r w:rsidRPr="00533A12">
        <w:rPr>
          <w:rFonts w:ascii="Arial" w:eastAsia="Times New Roman" w:hAnsi="Arial" w:cs="Arial"/>
          <w:b/>
          <w:bCs/>
          <w:color w:val="auto"/>
          <w:lang w:val="it-IT" w:eastAsia="ro-RO"/>
        </w:rPr>
        <w:t>ri, autog</w:t>
      </w:r>
      <w:r w:rsidR="00533A12">
        <w:rPr>
          <w:rFonts w:ascii="Arial" w:eastAsia="Times New Roman" w:hAnsi="Arial" w:cs="Arial"/>
          <w:b/>
          <w:bCs/>
          <w:color w:val="auto"/>
          <w:lang w:val="it-IT" w:eastAsia="ro-RO"/>
        </w:rPr>
        <w:t>ă</w:t>
      </w:r>
      <w:r w:rsidRPr="00533A12">
        <w:rPr>
          <w:rFonts w:ascii="Arial" w:eastAsia="Times New Roman" w:hAnsi="Arial" w:cs="Arial"/>
          <w:b/>
          <w:bCs/>
          <w:color w:val="auto"/>
          <w:lang w:val="it-IT" w:eastAsia="ro-RO"/>
        </w:rPr>
        <w:t>ri etc.)</w:t>
      </w:r>
      <w:bookmarkEnd w:id="144"/>
      <w:bookmarkEnd w:id="145"/>
    </w:p>
    <w:p w14:paraId="49AD1542" w14:textId="77777777" w:rsidR="00D6124B" w:rsidRPr="00533A12" w:rsidRDefault="00D6124B" w:rsidP="00533A12">
      <w:pPr>
        <w:pStyle w:val="Titlu3"/>
        <w:rPr>
          <w:rFonts w:ascii="Arial" w:hAnsi="Arial" w:cs="Arial"/>
          <w:sz w:val="24"/>
          <w:szCs w:val="24"/>
        </w:rPr>
      </w:pPr>
      <w:bookmarkStart w:id="146" w:name="_Toc491868813"/>
      <w:bookmarkStart w:id="147" w:name="_Toc499657541"/>
      <w:bookmarkStart w:id="148" w:name="_Toc142039066"/>
      <w:r w:rsidRPr="00533A12">
        <w:rPr>
          <w:rFonts w:ascii="Arial" w:hAnsi="Arial" w:cs="Arial"/>
          <w:sz w:val="24"/>
          <w:szCs w:val="24"/>
        </w:rPr>
        <w:t>I.2.7.1 Zona centrală</w:t>
      </w:r>
      <w:bookmarkEnd w:id="146"/>
      <w:bookmarkEnd w:id="147"/>
      <w:bookmarkEnd w:id="148"/>
    </w:p>
    <w:p w14:paraId="10154F3C" w14:textId="77777777" w:rsidR="009C02C1" w:rsidRPr="009C02C1" w:rsidRDefault="009C02C1" w:rsidP="009C02C1">
      <w:pPr>
        <w:suppressAutoHyphens/>
        <w:autoSpaceDE w:val="0"/>
        <w:spacing w:after="0" w:line="276" w:lineRule="auto"/>
        <w:jc w:val="both"/>
        <w:rPr>
          <w:rFonts w:ascii="Arial" w:eastAsia="Calibri" w:hAnsi="Arial" w:cs="Arial"/>
          <w:color w:val="000000"/>
          <w:lang w:val="es-ES" w:eastAsia="zh-CN"/>
        </w:rPr>
      </w:pPr>
      <w:r w:rsidRPr="009C02C1">
        <w:rPr>
          <w:rFonts w:ascii="Arial" w:eastAsia="Calibri" w:hAnsi="Arial" w:cs="Arial"/>
          <w:color w:val="000000"/>
          <w:lang w:val="es-ES" w:eastAsia="zh-CN"/>
        </w:rPr>
        <w:t xml:space="preserve">Schema după care este organizată reţeaua principală de trafic din Orasul Horezu este una de tip radial, cu 5 direcții principale (DN 67 - spre </w:t>
      </w:r>
      <w:r>
        <w:rPr>
          <w:rFonts w:ascii="Arial" w:eastAsia="Calibri" w:hAnsi="Arial" w:cs="Arial"/>
          <w:color w:val="000000"/>
          <w:lang w:val="es-ES" w:eastAsia="zh-CN"/>
        </w:rPr>
        <w:t>Râmnicu Vâ</w:t>
      </w:r>
      <w:r w:rsidRPr="009C02C1">
        <w:rPr>
          <w:rFonts w:ascii="Arial" w:eastAsia="Calibri" w:hAnsi="Arial" w:cs="Arial"/>
          <w:color w:val="000000"/>
          <w:lang w:val="es-ES" w:eastAsia="zh-CN"/>
        </w:rPr>
        <w:t xml:space="preserve">lcea, respectiv </w:t>
      </w:r>
      <w:r>
        <w:rPr>
          <w:rFonts w:ascii="Arial" w:eastAsia="Calibri" w:hAnsi="Arial" w:cs="Arial"/>
          <w:color w:val="000000"/>
          <w:lang w:val="es-ES" w:eastAsia="zh-CN"/>
        </w:rPr>
        <w:t>Tâ</w:t>
      </w:r>
      <w:r w:rsidRPr="009C02C1">
        <w:rPr>
          <w:rFonts w:ascii="Arial" w:eastAsia="Calibri" w:hAnsi="Arial" w:cs="Arial"/>
          <w:color w:val="000000"/>
          <w:lang w:val="es-ES" w:eastAsia="zh-CN"/>
        </w:rPr>
        <w:t xml:space="preserve">rgu Jiu; DN 65C – spre Craiova; DJ 665 – spre Vaideeni; DC 142 – spre </w:t>
      </w:r>
      <w:r>
        <w:rPr>
          <w:rFonts w:ascii="Arial" w:eastAsia="Calibri" w:hAnsi="Arial" w:cs="Arial"/>
          <w:color w:val="000000"/>
          <w:lang w:val="es-ES" w:eastAsia="zh-CN"/>
        </w:rPr>
        <w:t>Urş</w:t>
      </w:r>
      <w:r w:rsidRPr="009C02C1">
        <w:rPr>
          <w:rFonts w:ascii="Arial" w:eastAsia="Calibri" w:hAnsi="Arial" w:cs="Arial"/>
          <w:color w:val="000000"/>
          <w:lang w:val="es-ES" w:eastAsia="zh-CN"/>
        </w:rPr>
        <w:t xml:space="preserve">ani; DC 143 </w:t>
      </w:r>
      <w:r>
        <w:rPr>
          <w:rFonts w:ascii="Arial" w:eastAsia="Calibri" w:hAnsi="Arial" w:cs="Arial"/>
          <w:color w:val="000000"/>
          <w:lang w:val="es-ES" w:eastAsia="zh-CN"/>
        </w:rPr>
        <w:t>spre Tănăseşti; DC 144 spre Ifrimeş</w:t>
      </w:r>
      <w:r w:rsidRPr="009C02C1">
        <w:rPr>
          <w:rFonts w:ascii="Arial" w:eastAsia="Calibri" w:hAnsi="Arial" w:cs="Arial"/>
          <w:color w:val="000000"/>
          <w:lang w:val="es-ES" w:eastAsia="zh-CN"/>
        </w:rPr>
        <w:t>ti; DC 146 + DJ 669 spre Romanii de Sus), iar circulaţia are tendinţa de a se concentra pe principala arter</w:t>
      </w:r>
      <w:r>
        <w:rPr>
          <w:rFonts w:ascii="Arial" w:eastAsia="Calibri" w:hAnsi="Arial" w:cs="Arial"/>
          <w:color w:val="000000"/>
          <w:lang w:val="es-ES" w:eastAsia="zh-CN"/>
        </w:rPr>
        <w:t>ă</w:t>
      </w:r>
      <w:r w:rsidRPr="009C02C1">
        <w:rPr>
          <w:rFonts w:ascii="Arial" w:eastAsia="Calibri" w:hAnsi="Arial" w:cs="Arial"/>
          <w:color w:val="000000"/>
          <w:lang w:val="es-ES" w:eastAsia="zh-CN"/>
        </w:rPr>
        <w:t xml:space="preserve"> (DN 67) care traversează zona centrală a </w:t>
      </w:r>
      <w:r>
        <w:rPr>
          <w:rFonts w:ascii="Arial" w:eastAsia="Calibri" w:hAnsi="Arial" w:cs="Arial"/>
          <w:color w:val="000000"/>
          <w:lang w:val="es-ES" w:eastAsia="zh-CN"/>
        </w:rPr>
        <w:t>oraş</w:t>
      </w:r>
      <w:r w:rsidRPr="009C02C1">
        <w:rPr>
          <w:rFonts w:ascii="Arial" w:eastAsia="Calibri" w:hAnsi="Arial" w:cs="Arial"/>
          <w:color w:val="000000"/>
          <w:lang w:val="es-ES" w:eastAsia="zh-CN"/>
        </w:rPr>
        <w:t xml:space="preserve">ului. </w:t>
      </w:r>
    </w:p>
    <w:p w14:paraId="1C8D6480" w14:textId="77777777" w:rsidR="009C02C1" w:rsidRPr="009C02C1" w:rsidRDefault="009C02C1" w:rsidP="009C02C1">
      <w:pPr>
        <w:widowControl w:val="0"/>
        <w:suppressAutoHyphens/>
        <w:autoSpaceDE w:val="0"/>
        <w:spacing w:after="0" w:line="276" w:lineRule="auto"/>
        <w:jc w:val="both"/>
        <w:rPr>
          <w:rFonts w:ascii="Arial" w:eastAsia="Calibri" w:hAnsi="Arial" w:cs="Arial"/>
          <w:color w:val="000000"/>
          <w:kern w:val="1"/>
          <w:lang w:val="es-ES" w:eastAsia="hi-IN" w:bidi="hi-IN"/>
        </w:rPr>
      </w:pPr>
    </w:p>
    <w:p w14:paraId="775542B6" w14:textId="77777777" w:rsidR="009C02C1" w:rsidRPr="009C02C1" w:rsidRDefault="009C02C1" w:rsidP="009C02C1">
      <w:pPr>
        <w:suppressAutoHyphens/>
        <w:autoSpaceDE w:val="0"/>
        <w:spacing w:after="0" w:line="276" w:lineRule="auto"/>
        <w:jc w:val="both"/>
        <w:rPr>
          <w:rFonts w:ascii="Arial" w:eastAsia="Calibri" w:hAnsi="Arial" w:cs="Arial"/>
          <w:color w:val="000000"/>
          <w:lang w:val="es-ES" w:eastAsia="zh-CN"/>
        </w:rPr>
      </w:pPr>
      <w:r w:rsidRPr="009C02C1">
        <w:rPr>
          <w:rFonts w:ascii="Arial" w:eastAsia="Calibri" w:hAnsi="Arial" w:cs="Arial"/>
          <w:color w:val="000000"/>
          <w:lang w:val="es-ES" w:eastAsia="zh-CN"/>
        </w:rPr>
        <w:lastRenderedPageBreak/>
        <w:t>Din analizele efectuate asupra configuraţiei reţelei de străzi şi a traseelor utilizate de autovehicule s-a constatat că cea mai mare pa</w:t>
      </w:r>
      <w:r>
        <w:rPr>
          <w:rFonts w:ascii="Arial" w:eastAsia="Calibri" w:hAnsi="Arial" w:cs="Arial"/>
          <w:color w:val="000000"/>
          <w:lang w:val="es-ES" w:eastAsia="zh-CN"/>
        </w:rPr>
        <w:t>rte a traficului se concentrează pe câ</w:t>
      </w:r>
      <w:r w:rsidRPr="009C02C1">
        <w:rPr>
          <w:rFonts w:ascii="Arial" w:eastAsia="Calibri" w:hAnsi="Arial" w:cs="Arial"/>
          <w:color w:val="000000"/>
          <w:lang w:val="es-ES" w:eastAsia="zh-CN"/>
        </w:rPr>
        <w:t xml:space="preserve">teva artere principale, trecând prin zona centrală. </w:t>
      </w:r>
    </w:p>
    <w:p w14:paraId="1CED3382" w14:textId="77777777" w:rsidR="009C02C1" w:rsidRPr="009C02C1" w:rsidRDefault="009C02C1" w:rsidP="009C02C1">
      <w:pPr>
        <w:widowControl w:val="0"/>
        <w:suppressAutoHyphens/>
        <w:spacing w:after="0" w:line="360" w:lineRule="auto"/>
        <w:jc w:val="both"/>
        <w:rPr>
          <w:rFonts w:ascii="Arial" w:hAnsi="Arial" w:cs="Arial"/>
          <w:color w:val="000000"/>
          <w:kern w:val="1"/>
          <w:sz w:val="24"/>
          <w:szCs w:val="24"/>
          <w:lang w:val="es-ES" w:eastAsia="hi-IN" w:bidi="hi-IN"/>
        </w:rPr>
      </w:pPr>
    </w:p>
    <w:p w14:paraId="52DDD193" w14:textId="77777777" w:rsidR="009C02C1" w:rsidRPr="009C02C1" w:rsidRDefault="009C02C1" w:rsidP="009C02C1">
      <w:pPr>
        <w:widowControl w:val="0"/>
        <w:suppressAutoHyphens/>
        <w:spacing w:after="0" w:line="276" w:lineRule="auto"/>
        <w:jc w:val="both"/>
        <w:rPr>
          <w:rFonts w:ascii="Arial" w:hAnsi="Arial" w:cs="Arial"/>
          <w:color w:val="000000"/>
          <w:kern w:val="1"/>
          <w:lang w:val="es-ES" w:eastAsia="hi-IN" w:bidi="hi-IN"/>
        </w:rPr>
      </w:pPr>
      <w:r w:rsidRPr="009C02C1">
        <w:rPr>
          <w:rFonts w:ascii="Arial" w:hAnsi="Arial" w:cs="Arial"/>
          <w:color w:val="000000"/>
          <w:kern w:val="1"/>
          <w:lang w:val="es-ES" w:eastAsia="hi-IN" w:bidi="hi-IN"/>
        </w:rPr>
        <w:t>Raportul inadecvat între gradul de încărcare şi profilul transversal duce la suprasolicitare sau la neutilizarea la capacitate (stradă de importanţă redusă, fără trafic de tranzit dar cu profil supradimensionat). Întreruperea unor legături importante pentru reţeaua de trafic şi devierea traficului duce la suprasolicitarea unor legături şi intersecţii. La orele de vârf există zone în care se concentrază fluxuri mari de vehicule, generând o diminuare a fluenţei (viteze de circulaţie scăzute, timpi crescuţi de parcurgere a tronsoanelor, cozi de aşteptare, etc.) precum şi o creştere a consumului de combustibili şi al nivelului emisiilor poluante. Intersecţiile cele mai afectate sunt cele din zona centrala, generatoare de puncte de conflict între traficul de tranzit pe direcţia est-vest, respectiv nord-sud (a se vedea figura următoare).</w:t>
      </w:r>
    </w:p>
    <w:p w14:paraId="22BDDBF5" w14:textId="77777777" w:rsidR="009C02C1" w:rsidRPr="009C02C1" w:rsidRDefault="009C02C1" w:rsidP="009C02C1">
      <w:pPr>
        <w:widowControl w:val="0"/>
        <w:suppressAutoHyphens/>
        <w:spacing w:after="0" w:line="360" w:lineRule="auto"/>
        <w:jc w:val="center"/>
        <w:rPr>
          <w:rFonts w:ascii="Arial" w:hAnsi="Arial" w:cs="Mangal"/>
          <w:kern w:val="1"/>
          <w:sz w:val="24"/>
          <w:szCs w:val="24"/>
          <w:lang w:val="es-ES" w:eastAsia="hi-IN" w:bidi="hi-IN"/>
        </w:rPr>
      </w:pPr>
      <w:r>
        <w:rPr>
          <w:rFonts w:ascii="Arial" w:hAnsi="Arial" w:cs="Mangal"/>
          <w:noProof/>
          <w:kern w:val="1"/>
          <w:sz w:val="24"/>
          <w:szCs w:val="24"/>
        </w:rPr>
        <w:t xml:space="preserve"> </w:t>
      </w:r>
      <w:r w:rsidRPr="009C02C1">
        <w:rPr>
          <w:rFonts w:ascii="Arial" w:hAnsi="Arial" w:cs="Mangal"/>
          <w:noProof/>
          <w:kern w:val="1"/>
          <w:sz w:val="24"/>
          <w:szCs w:val="24"/>
        </w:rPr>
        <w:drawing>
          <wp:inline distT="0" distB="0" distL="0" distR="0" wp14:anchorId="465C6289" wp14:editId="613D0A85">
            <wp:extent cx="6129655" cy="3475570"/>
            <wp:effectExtent l="0" t="0" r="4445" b="0"/>
            <wp:docPr id="2069" name="Picture 2069" descr="E:\Horezu\Materiale lucru\Zona centr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Horezu\Materiale lucru\Zona centrala.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9655" cy="3475570"/>
                    </a:xfrm>
                    <a:prstGeom prst="rect">
                      <a:avLst/>
                    </a:prstGeom>
                    <a:noFill/>
                    <a:ln>
                      <a:noFill/>
                    </a:ln>
                  </pic:spPr>
                </pic:pic>
              </a:graphicData>
            </a:graphic>
          </wp:inline>
        </w:drawing>
      </w:r>
    </w:p>
    <w:p w14:paraId="68ABFA87" w14:textId="0B63B2AE" w:rsidR="009C02C1" w:rsidRPr="00326E18" w:rsidRDefault="009C02C1" w:rsidP="009C02C1">
      <w:pPr>
        <w:pStyle w:val="Legend"/>
        <w:jc w:val="center"/>
        <w:rPr>
          <w:rFonts w:ascii="Arial" w:hAnsi="Arial" w:cs="Arial"/>
          <w:i w:val="0"/>
          <w:color w:val="000000"/>
          <w:kern w:val="1"/>
          <w:sz w:val="22"/>
          <w:szCs w:val="22"/>
          <w:lang w:val="es-ES" w:eastAsia="hi-IN" w:bidi="hi-IN"/>
        </w:rPr>
      </w:pPr>
      <w:bookmarkStart w:id="149" w:name="_Toc140744477"/>
      <w:r w:rsidRPr="009C02C1">
        <w:rPr>
          <w:rFonts w:ascii="Arial" w:hAnsi="Arial" w:cs="Arial"/>
          <w:sz w:val="22"/>
          <w:szCs w:val="22"/>
        </w:rPr>
        <w:t xml:space="preserve">Figura I.2. </w:t>
      </w:r>
      <w:r w:rsidRPr="009C02C1">
        <w:rPr>
          <w:rFonts w:ascii="Arial" w:hAnsi="Arial" w:cs="Arial"/>
          <w:sz w:val="22"/>
          <w:szCs w:val="22"/>
        </w:rPr>
        <w:fldChar w:fldCharType="begin"/>
      </w:r>
      <w:r w:rsidRPr="009C02C1">
        <w:rPr>
          <w:rFonts w:ascii="Arial" w:hAnsi="Arial" w:cs="Arial"/>
          <w:sz w:val="22"/>
          <w:szCs w:val="22"/>
        </w:rPr>
        <w:instrText xml:space="preserve"> SEQ Figura_I.2. \* ARABIC </w:instrText>
      </w:r>
      <w:r w:rsidRPr="009C02C1">
        <w:rPr>
          <w:rFonts w:ascii="Arial" w:hAnsi="Arial" w:cs="Arial"/>
          <w:sz w:val="22"/>
          <w:szCs w:val="22"/>
        </w:rPr>
        <w:fldChar w:fldCharType="separate"/>
      </w:r>
      <w:r w:rsidR="00BB181C">
        <w:rPr>
          <w:rFonts w:ascii="Arial" w:hAnsi="Arial" w:cs="Arial"/>
          <w:noProof/>
          <w:sz w:val="22"/>
          <w:szCs w:val="22"/>
        </w:rPr>
        <w:t>35</w:t>
      </w:r>
      <w:r w:rsidRPr="009C02C1">
        <w:rPr>
          <w:rFonts w:ascii="Arial" w:hAnsi="Arial" w:cs="Arial"/>
          <w:sz w:val="22"/>
          <w:szCs w:val="22"/>
        </w:rPr>
        <w:fldChar w:fldCharType="end"/>
      </w:r>
      <w:r w:rsidRPr="009C02C1">
        <w:rPr>
          <w:rFonts w:ascii="Arial" w:hAnsi="Arial" w:cs="Arial"/>
          <w:sz w:val="22"/>
          <w:szCs w:val="22"/>
        </w:rPr>
        <w:t xml:space="preserve"> - </w:t>
      </w:r>
      <w:r w:rsidRPr="00326E18">
        <w:rPr>
          <w:rFonts w:ascii="Arial" w:hAnsi="Arial" w:cs="Arial"/>
          <w:i w:val="0"/>
          <w:sz w:val="22"/>
          <w:szCs w:val="22"/>
        </w:rPr>
        <w:t>Puncte de conflict zona centrală</w:t>
      </w:r>
      <w:bookmarkEnd w:id="149"/>
    </w:p>
    <w:p w14:paraId="28B6F38C" w14:textId="77777777" w:rsidR="009C02C1" w:rsidRPr="009C02C1" w:rsidRDefault="009C02C1" w:rsidP="009C02C1">
      <w:pPr>
        <w:autoSpaceDE w:val="0"/>
        <w:autoSpaceDN w:val="0"/>
        <w:adjustRightInd w:val="0"/>
        <w:spacing w:after="0" w:line="276" w:lineRule="auto"/>
        <w:jc w:val="both"/>
        <w:rPr>
          <w:rFonts w:ascii="Arial" w:eastAsia="Times New Roman" w:hAnsi="Arial" w:cs="Arial"/>
          <w:lang w:val="es-ES"/>
        </w:rPr>
      </w:pPr>
      <w:r w:rsidRPr="009C02C1">
        <w:rPr>
          <w:rFonts w:ascii="Arial" w:hAnsi="Arial" w:cs="Arial"/>
          <w:color w:val="000000"/>
          <w:kern w:val="1"/>
          <w:lang w:val="es-ES" w:eastAsia="hi-IN" w:bidi="hi-IN"/>
        </w:rPr>
        <w:t xml:space="preserve">Zona centrală Horezu trece printr-un proces de reorganizare, </w:t>
      </w:r>
      <w:r w:rsidRPr="009C02C1">
        <w:rPr>
          <w:rFonts w:ascii="Arial" w:eastAsia="Times New Roman" w:hAnsi="Arial" w:cs="Arial"/>
          <w:bCs/>
          <w:kern w:val="1"/>
          <w:lang w:val="es-ES" w:bidi="hi-IN"/>
        </w:rPr>
        <w:t>fiind in curs de implementare proiectul “Amenajarea zonei centrale pietonale a statiunii tur</w:t>
      </w:r>
      <w:r>
        <w:rPr>
          <w:rFonts w:ascii="Arial" w:eastAsia="Times New Roman" w:hAnsi="Arial" w:cs="Arial"/>
          <w:bCs/>
          <w:kern w:val="1"/>
          <w:lang w:val="es-ES" w:bidi="hi-IN"/>
        </w:rPr>
        <w:t>istice Horezu, judetul Valcea, în vederea consolidării identităţii locale şi dezvoltării turismului”, finanţat prin Programul Operaţ</w:t>
      </w:r>
      <w:r w:rsidRPr="009C02C1">
        <w:rPr>
          <w:rFonts w:ascii="Arial" w:eastAsia="Times New Roman" w:hAnsi="Arial" w:cs="Arial"/>
          <w:bCs/>
          <w:kern w:val="1"/>
          <w:lang w:val="es-ES" w:bidi="hi-IN"/>
        </w:rPr>
        <w:t>ional Regional 2014-2020.</w:t>
      </w:r>
      <w:r w:rsidRPr="009C02C1">
        <w:rPr>
          <w:rFonts w:ascii="Arial" w:eastAsia="Times New Roman" w:hAnsi="Arial" w:cs="Arial"/>
          <w:b/>
          <w:bCs/>
          <w:kern w:val="1"/>
          <w:lang w:val="es-ES" w:bidi="hi-IN"/>
        </w:rPr>
        <w:t xml:space="preserve"> </w:t>
      </w:r>
    </w:p>
    <w:p w14:paraId="0DAA07EC" w14:textId="77777777" w:rsidR="009C02C1" w:rsidRPr="009C02C1" w:rsidRDefault="009C02C1" w:rsidP="009C02C1">
      <w:pPr>
        <w:spacing w:after="0" w:line="240" w:lineRule="auto"/>
        <w:rPr>
          <w:rFonts w:ascii="Arial" w:hAnsi="Arial" w:cs="Arial"/>
          <w:color w:val="000000"/>
          <w:kern w:val="1"/>
          <w:sz w:val="24"/>
          <w:szCs w:val="24"/>
          <w:lang w:val="es-ES" w:eastAsia="hi-IN" w:bidi="hi-IN"/>
        </w:rPr>
      </w:pPr>
    </w:p>
    <w:p w14:paraId="4EFE95D7" w14:textId="77777777" w:rsidR="009C02C1" w:rsidRPr="009C02C1" w:rsidRDefault="009C02C1" w:rsidP="009C02C1">
      <w:pPr>
        <w:suppressAutoHyphens/>
        <w:autoSpaceDE w:val="0"/>
        <w:spacing w:after="0" w:line="276" w:lineRule="auto"/>
        <w:jc w:val="both"/>
        <w:rPr>
          <w:rFonts w:ascii="Arial" w:eastAsia="Calibri" w:hAnsi="Arial" w:cs="Arial"/>
          <w:b/>
          <w:bCs/>
          <w:i/>
          <w:iCs/>
          <w:color w:val="000000"/>
          <w:lang w:val="es-ES" w:eastAsia="zh-CN"/>
        </w:rPr>
      </w:pPr>
      <w:r w:rsidRPr="009C02C1">
        <w:rPr>
          <w:rFonts w:ascii="Arial" w:eastAsia="Calibri" w:hAnsi="Arial" w:cs="Arial"/>
          <w:b/>
          <w:bCs/>
          <w:i/>
          <w:iCs/>
          <w:color w:val="000000"/>
          <w:lang w:val="es-ES" w:eastAsia="zh-CN"/>
        </w:rPr>
        <w:t>PROBLEME</w:t>
      </w:r>
    </w:p>
    <w:p w14:paraId="17C74049" w14:textId="77777777" w:rsidR="009C02C1" w:rsidRPr="009C02C1" w:rsidRDefault="009C02C1" w:rsidP="009C02C1">
      <w:pPr>
        <w:suppressAutoHyphens/>
        <w:autoSpaceDE w:val="0"/>
        <w:spacing w:after="0" w:line="276" w:lineRule="auto"/>
        <w:jc w:val="both"/>
        <w:rPr>
          <w:rFonts w:ascii="Arial" w:eastAsia="Calibri" w:hAnsi="Arial" w:cs="Arial"/>
          <w:color w:val="000000"/>
          <w:lang w:val="es-ES" w:eastAsia="zh-CN"/>
        </w:rPr>
      </w:pPr>
      <w:r w:rsidRPr="009C02C1">
        <w:rPr>
          <w:rFonts w:ascii="Arial" w:eastAsia="Calibri" w:hAnsi="Arial" w:cs="Arial"/>
          <w:color w:val="000000"/>
          <w:lang w:val="es-ES" w:eastAsia="zh-CN"/>
        </w:rPr>
        <w:t xml:space="preserve">- </w:t>
      </w:r>
      <w:r>
        <w:rPr>
          <w:rFonts w:ascii="Arial" w:eastAsia="Calibri" w:hAnsi="Arial" w:cs="Arial"/>
          <w:color w:val="000000"/>
          <w:lang w:val="es-ES" w:eastAsia="zh-CN"/>
        </w:rPr>
        <w:t>Blocaje de trafic la orele de vârf, în special î</w:t>
      </w:r>
      <w:r w:rsidRPr="009C02C1">
        <w:rPr>
          <w:rFonts w:ascii="Arial" w:eastAsia="Calibri" w:hAnsi="Arial" w:cs="Arial"/>
          <w:color w:val="000000"/>
          <w:lang w:val="es-ES" w:eastAsia="zh-CN"/>
        </w:rPr>
        <w:t xml:space="preserve">n </w:t>
      </w:r>
      <w:r>
        <w:rPr>
          <w:rFonts w:ascii="Arial" w:eastAsia="Calibri" w:hAnsi="Arial" w:cs="Arial"/>
          <w:color w:val="000000"/>
          <w:lang w:val="es-ES" w:eastAsia="zh-CN"/>
        </w:rPr>
        <w:t>intersecţia dintre DN 67 ş</w:t>
      </w:r>
      <w:r w:rsidRPr="009C02C1">
        <w:rPr>
          <w:rFonts w:ascii="Arial" w:eastAsia="Calibri" w:hAnsi="Arial" w:cs="Arial"/>
          <w:color w:val="000000"/>
          <w:lang w:val="es-ES" w:eastAsia="zh-CN"/>
        </w:rPr>
        <w:t>i DJ 665;</w:t>
      </w:r>
    </w:p>
    <w:p w14:paraId="51F9E891" w14:textId="77777777" w:rsidR="009C02C1" w:rsidRPr="009C02C1" w:rsidRDefault="009C02C1" w:rsidP="009C02C1">
      <w:pPr>
        <w:suppressAutoHyphens/>
        <w:autoSpaceDE w:val="0"/>
        <w:spacing w:after="0" w:line="276" w:lineRule="auto"/>
        <w:jc w:val="both"/>
        <w:rPr>
          <w:rFonts w:ascii="Arial" w:eastAsia="Calibri" w:hAnsi="Arial" w:cs="Arial"/>
          <w:color w:val="000000"/>
          <w:lang w:val="es-ES" w:eastAsia="zh-CN"/>
        </w:rPr>
      </w:pPr>
      <w:r w:rsidRPr="009C02C1">
        <w:rPr>
          <w:rFonts w:ascii="Arial" w:eastAsia="Calibri" w:hAnsi="Arial" w:cs="Arial"/>
          <w:color w:val="000000"/>
          <w:lang w:val="es-ES" w:eastAsia="zh-CN"/>
        </w:rPr>
        <w:t>- Lipsa facilităților pentru traficul nemotorizat.</w:t>
      </w:r>
    </w:p>
    <w:p w14:paraId="7B5BD76B" w14:textId="77777777" w:rsidR="009C02C1" w:rsidRPr="009C02C1" w:rsidRDefault="009C02C1" w:rsidP="009C02C1">
      <w:pPr>
        <w:suppressAutoHyphens/>
        <w:autoSpaceDE w:val="0"/>
        <w:spacing w:after="0" w:line="276" w:lineRule="auto"/>
        <w:jc w:val="both"/>
        <w:rPr>
          <w:rFonts w:ascii="Arial" w:eastAsia="Calibri" w:hAnsi="Arial" w:cs="Arial"/>
          <w:color w:val="000000"/>
          <w:lang w:val="es-ES" w:eastAsia="zh-CN"/>
        </w:rPr>
      </w:pPr>
      <w:r w:rsidRPr="009C02C1">
        <w:rPr>
          <w:rFonts w:ascii="Arial" w:eastAsia="Calibri" w:hAnsi="Arial" w:cs="Arial"/>
          <w:color w:val="000000"/>
          <w:lang w:val="es-ES" w:eastAsia="zh-CN"/>
        </w:rPr>
        <w:t>- Existenţa unui număr mare de pietoni.</w:t>
      </w:r>
    </w:p>
    <w:p w14:paraId="0D640E6C" w14:textId="77777777" w:rsidR="009C02C1" w:rsidRPr="009C02C1" w:rsidRDefault="009C02C1" w:rsidP="009C02C1">
      <w:pPr>
        <w:suppressAutoHyphens/>
        <w:autoSpaceDE w:val="0"/>
        <w:spacing w:after="0" w:line="276" w:lineRule="auto"/>
        <w:jc w:val="both"/>
        <w:rPr>
          <w:rFonts w:ascii="Arial" w:eastAsia="Times New Roman" w:hAnsi="Arial" w:cs="Arial"/>
          <w:color w:val="000000"/>
          <w:lang w:val="es-ES" w:eastAsia="ro-RO"/>
        </w:rPr>
      </w:pPr>
      <w:r w:rsidRPr="009C02C1">
        <w:rPr>
          <w:rFonts w:ascii="Arial" w:eastAsia="Calibri" w:hAnsi="Arial" w:cs="Arial"/>
          <w:color w:val="000000"/>
          <w:lang w:val="es-ES" w:eastAsia="zh-CN"/>
        </w:rPr>
        <w:t>- Număr insuficient de locuri de parcare pentru întreaga zonă centrală.</w:t>
      </w:r>
    </w:p>
    <w:p w14:paraId="528A0419" w14:textId="77777777" w:rsidR="00D6124B" w:rsidRDefault="00D6124B" w:rsidP="00D6124B">
      <w:pPr>
        <w:widowControl w:val="0"/>
        <w:suppressAutoHyphens/>
        <w:spacing w:after="0" w:line="360" w:lineRule="auto"/>
        <w:jc w:val="both"/>
        <w:rPr>
          <w:rFonts w:ascii="Arial" w:hAnsi="Arial" w:cs="Mangal"/>
          <w:kern w:val="1"/>
          <w:sz w:val="24"/>
          <w:szCs w:val="24"/>
          <w:lang w:val="es-ES" w:eastAsia="hi-IN" w:bidi="hi-IN"/>
        </w:rPr>
      </w:pPr>
    </w:p>
    <w:p w14:paraId="13CC1C22" w14:textId="77777777" w:rsidR="00D6124B" w:rsidRPr="00326E18" w:rsidRDefault="00D6124B" w:rsidP="00326E18">
      <w:pPr>
        <w:pStyle w:val="Titlu2"/>
        <w:rPr>
          <w:rFonts w:ascii="Arial" w:hAnsi="Arial" w:cs="Arial"/>
          <w:b/>
          <w:color w:val="auto"/>
          <w:lang w:val="ro-RO" w:eastAsia="hi-IN" w:bidi="hi-IN"/>
        </w:rPr>
      </w:pPr>
      <w:bookmarkStart w:id="150" w:name="_Toc142039067"/>
      <w:r w:rsidRPr="00326E18">
        <w:rPr>
          <w:rFonts w:ascii="Arial" w:hAnsi="Arial" w:cs="Arial"/>
          <w:b/>
          <w:color w:val="auto"/>
          <w:lang w:val="ro-RO" w:eastAsia="hi-IN" w:bidi="hi-IN"/>
        </w:rPr>
        <w:lastRenderedPageBreak/>
        <w:t>I.2.8 Concluzii</w:t>
      </w:r>
      <w:bookmarkEnd w:id="150"/>
    </w:p>
    <w:p w14:paraId="18601128" w14:textId="77777777" w:rsidR="00AE0ABB" w:rsidRPr="00AE0ABB" w:rsidRDefault="00AE0ABB" w:rsidP="00AE0ABB">
      <w:pPr>
        <w:widowControl w:val="0"/>
        <w:suppressAutoHyphens/>
        <w:spacing w:after="0" w:line="276" w:lineRule="auto"/>
        <w:jc w:val="both"/>
        <w:rPr>
          <w:rFonts w:ascii="Arial" w:hAnsi="Arial" w:cs="Mangal"/>
          <w:kern w:val="1"/>
          <w:lang w:val="es-ES" w:eastAsia="hi-IN" w:bidi="hi-IN"/>
        </w:rPr>
      </w:pPr>
      <w:r w:rsidRPr="00AE0ABB">
        <w:rPr>
          <w:rFonts w:ascii="Arial" w:hAnsi="Arial" w:cs="Mangal"/>
          <w:kern w:val="1"/>
          <w:lang w:val="es-ES" w:eastAsia="hi-IN" w:bidi="hi-IN"/>
        </w:rPr>
        <w:t>În tabelul următor se prezintă situația proiectelor de infrastructură cu impact asupra mobilității aflate în derulare.</w:t>
      </w:r>
    </w:p>
    <w:p w14:paraId="387EE5FA" w14:textId="77777777" w:rsidR="00AE0ABB" w:rsidRDefault="00AE0ABB" w:rsidP="00AE0ABB">
      <w:pPr>
        <w:pStyle w:val="Legend"/>
        <w:jc w:val="center"/>
        <w:rPr>
          <w:rFonts w:ascii="Arial" w:hAnsi="Arial" w:cs="Arial"/>
          <w:sz w:val="22"/>
          <w:szCs w:val="22"/>
        </w:rPr>
      </w:pPr>
      <w:bookmarkStart w:id="151" w:name="_Toc68361221"/>
    </w:p>
    <w:p w14:paraId="7749755E" w14:textId="2510E30E" w:rsidR="00AE0ABB" w:rsidRPr="00AE0ABB" w:rsidRDefault="00AE0ABB" w:rsidP="00AE0ABB">
      <w:pPr>
        <w:pStyle w:val="Legend"/>
        <w:jc w:val="center"/>
        <w:rPr>
          <w:rFonts w:ascii="Arial" w:hAnsi="Arial" w:cs="Arial"/>
          <w:color w:val="1F497D"/>
          <w:kern w:val="1"/>
          <w:sz w:val="22"/>
          <w:szCs w:val="22"/>
          <w:lang w:val="es-ES" w:eastAsia="hi-IN" w:bidi="hi-IN"/>
        </w:rPr>
      </w:pPr>
      <w:bookmarkStart w:id="152" w:name="_Toc140744581"/>
      <w:r w:rsidRPr="00AE0ABB">
        <w:rPr>
          <w:rFonts w:ascii="Arial" w:hAnsi="Arial" w:cs="Arial"/>
          <w:sz w:val="22"/>
          <w:szCs w:val="22"/>
        </w:rPr>
        <w:t xml:space="preserve">Tabel I.2. </w:t>
      </w:r>
      <w:r w:rsidRPr="00AE0ABB">
        <w:rPr>
          <w:rFonts w:ascii="Arial" w:hAnsi="Arial" w:cs="Arial"/>
          <w:sz w:val="22"/>
          <w:szCs w:val="22"/>
        </w:rPr>
        <w:fldChar w:fldCharType="begin"/>
      </w:r>
      <w:r w:rsidRPr="00AE0ABB">
        <w:rPr>
          <w:rFonts w:ascii="Arial" w:hAnsi="Arial" w:cs="Arial"/>
          <w:sz w:val="22"/>
          <w:szCs w:val="22"/>
        </w:rPr>
        <w:instrText xml:space="preserve"> SEQ Tabel_I.2. \* ARABIC </w:instrText>
      </w:r>
      <w:r w:rsidRPr="00AE0ABB">
        <w:rPr>
          <w:rFonts w:ascii="Arial" w:hAnsi="Arial" w:cs="Arial"/>
          <w:sz w:val="22"/>
          <w:szCs w:val="22"/>
        </w:rPr>
        <w:fldChar w:fldCharType="separate"/>
      </w:r>
      <w:r w:rsidR="00BB181C">
        <w:rPr>
          <w:rFonts w:ascii="Arial" w:hAnsi="Arial" w:cs="Arial"/>
          <w:noProof/>
          <w:sz w:val="22"/>
          <w:szCs w:val="22"/>
        </w:rPr>
        <w:t>15</w:t>
      </w:r>
      <w:r w:rsidRPr="00AE0ABB">
        <w:rPr>
          <w:rFonts w:ascii="Arial" w:hAnsi="Arial" w:cs="Arial"/>
          <w:sz w:val="22"/>
          <w:szCs w:val="22"/>
        </w:rPr>
        <w:fldChar w:fldCharType="end"/>
      </w:r>
      <w:r w:rsidRPr="00AE0ABB">
        <w:rPr>
          <w:rFonts w:ascii="Arial" w:hAnsi="Arial" w:cs="Arial"/>
          <w:sz w:val="22"/>
          <w:szCs w:val="22"/>
        </w:rPr>
        <w:t xml:space="preserve"> </w:t>
      </w:r>
      <w:bookmarkEnd w:id="151"/>
      <w:r w:rsidRPr="00AE0ABB">
        <w:rPr>
          <w:rFonts w:ascii="Arial" w:hAnsi="Arial" w:cs="Arial"/>
          <w:sz w:val="22"/>
          <w:szCs w:val="22"/>
        </w:rPr>
        <w:t xml:space="preserve">- </w:t>
      </w:r>
      <w:r w:rsidRPr="00AE0ABB">
        <w:rPr>
          <w:rFonts w:ascii="Arial" w:hAnsi="Arial" w:cs="Arial"/>
          <w:i w:val="0"/>
          <w:sz w:val="22"/>
          <w:szCs w:val="22"/>
        </w:rPr>
        <w:t>Proiecte de mobilitate aflate în derulare</w:t>
      </w:r>
      <w:bookmarkEnd w:id="152"/>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567"/>
        <w:gridCol w:w="3969"/>
        <w:gridCol w:w="4962"/>
      </w:tblGrid>
      <w:tr w:rsidR="00FA763F" w:rsidRPr="00FA763F" w14:paraId="0F98C1F8" w14:textId="77777777" w:rsidTr="00655DD6">
        <w:trPr>
          <w:trHeight w:val="846"/>
          <w:tblHeader/>
          <w:jc w:val="center"/>
        </w:trPr>
        <w:tc>
          <w:tcPr>
            <w:tcW w:w="567" w:type="dxa"/>
            <w:tcBorders>
              <w:top w:val="single" w:sz="4" w:space="0" w:color="auto"/>
              <w:left w:val="single" w:sz="4" w:space="0" w:color="auto"/>
              <w:bottom w:val="single" w:sz="4" w:space="0" w:color="auto"/>
              <w:right w:val="single" w:sz="4" w:space="0" w:color="auto"/>
            </w:tcBorders>
            <w:shd w:val="clear" w:color="auto" w:fill="BFBFBF"/>
          </w:tcPr>
          <w:p w14:paraId="58289746" w14:textId="77777777" w:rsidR="00FA763F" w:rsidRPr="00FA763F" w:rsidRDefault="00AE0ABB" w:rsidP="00FA763F">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AE0ABB">
              <w:rPr>
                <w:rFonts w:ascii="Arial" w:hAnsi="Arial" w:cs="Mangal"/>
                <w:kern w:val="1"/>
                <w:sz w:val="24"/>
                <w:szCs w:val="24"/>
                <w:lang w:val="es-ES" w:eastAsia="hi-IN" w:bidi="hi-IN"/>
              </w:rPr>
              <w:t xml:space="preserve"> </w:t>
            </w:r>
          </w:p>
          <w:p w14:paraId="284049A6" w14:textId="77777777" w:rsidR="00FA763F" w:rsidRPr="00FA763F" w:rsidRDefault="00FA763F" w:rsidP="00FA763F">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FA763F">
              <w:rPr>
                <w:rFonts w:ascii="Arial Narrow" w:eastAsia="Calibri" w:hAnsi="Arial Narrow" w:cs="Arial"/>
                <w:b/>
                <w:kern w:val="1"/>
                <w:sz w:val="20"/>
                <w:szCs w:val="20"/>
                <w:lang w:val="ro-RO" w:eastAsia="hi-IN" w:bidi="hi-IN"/>
              </w:rPr>
              <w:t>Nr.</w:t>
            </w:r>
          </w:p>
          <w:p w14:paraId="45562A63" w14:textId="77777777" w:rsidR="00FA763F" w:rsidRPr="00FA763F" w:rsidRDefault="00FA763F" w:rsidP="00FA763F">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FA763F">
              <w:rPr>
                <w:rFonts w:ascii="Arial Narrow" w:eastAsia="Calibri" w:hAnsi="Arial Narrow" w:cs="Arial"/>
                <w:b/>
                <w:kern w:val="1"/>
                <w:sz w:val="20"/>
                <w:szCs w:val="20"/>
                <w:lang w:val="ro-RO" w:eastAsia="hi-IN" w:bidi="hi-IN"/>
              </w:rPr>
              <w:t>crt.</w:t>
            </w:r>
          </w:p>
        </w:tc>
        <w:tc>
          <w:tcPr>
            <w:tcW w:w="3969" w:type="dxa"/>
            <w:tcBorders>
              <w:top w:val="single" w:sz="4" w:space="0" w:color="auto"/>
              <w:left w:val="single" w:sz="4" w:space="0" w:color="auto"/>
              <w:bottom w:val="single" w:sz="4" w:space="0" w:color="auto"/>
              <w:right w:val="single" w:sz="4" w:space="0" w:color="auto"/>
            </w:tcBorders>
            <w:shd w:val="clear" w:color="auto" w:fill="BFBFBF"/>
          </w:tcPr>
          <w:p w14:paraId="15A503F0" w14:textId="77777777" w:rsidR="00FA763F" w:rsidRPr="00FA763F" w:rsidRDefault="00FA763F" w:rsidP="00FA763F">
            <w:pPr>
              <w:widowControl w:val="0"/>
              <w:suppressAutoHyphens/>
              <w:spacing w:after="0" w:line="240" w:lineRule="auto"/>
              <w:jc w:val="center"/>
              <w:rPr>
                <w:rFonts w:ascii="Arial Narrow" w:eastAsia="Calibri" w:hAnsi="Arial Narrow" w:cs="Arial"/>
                <w:b/>
                <w:kern w:val="1"/>
                <w:sz w:val="20"/>
                <w:szCs w:val="20"/>
                <w:lang w:val="ro-RO" w:eastAsia="hi-IN" w:bidi="hi-IN"/>
              </w:rPr>
            </w:pPr>
          </w:p>
          <w:p w14:paraId="7694DE35" w14:textId="77777777" w:rsidR="00FA763F" w:rsidRPr="00FA763F" w:rsidRDefault="00FA763F" w:rsidP="00FA763F">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FA763F">
              <w:rPr>
                <w:rFonts w:ascii="Arial Narrow" w:eastAsia="Calibri" w:hAnsi="Arial Narrow" w:cs="Arial"/>
                <w:b/>
                <w:kern w:val="1"/>
                <w:sz w:val="20"/>
                <w:szCs w:val="20"/>
                <w:lang w:val="ro-RO" w:eastAsia="hi-IN" w:bidi="hi-IN"/>
              </w:rPr>
              <w:t>Denumire obiectiv</w:t>
            </w:r>
          </w:p>
        </w:tc>
        <w:tc>
          <w:tcPr>
            <w:tcW w:w="4962" w:type="dxa"/>
            <w:tcBorders>
              <w:top w:val="single" w:sz="4" w:space="0" w:color="auto"/>
              <w:left w:val="single" w:sz="4" w:space="0" w:color="auto"/>
              <w:bottom w:val="single" w:sz="4" w:space="0" w:color="auto"/>
              <w:right w:val="single" w:sz="4" w:space="0" w:color="auto"/>
            </w:tcBorders>
            <w:shd w:val="clear" w:color="auto" w:fill="BFBFBF"/>
          </w:tcPr>
          <w:p w14:paraId="481D9728" w14:textId="77777777" w:rsidR="00FA763F" w:rsidRPr="00FA763F" w:rsidRDefault="00FA763F" w:rsidP="00FA763F">
            <w:pPr>
              <w:widowControl w:val="0"/>
              <w:suppressAutoHyphens/>
              <w:spacing w:after="0" w:line="240" w:lineRule="auto"/>
              <w:jc w:val="center"/>
              <w:rPr>
                <w:rFonts w:ascii="Arial Narrow" w:eastAsia="Calibri" w:hAnsi="Arial Narrow" w:cs="Arial"/>
                <w:b/>
                <w:kern w:val="1"/>
                <w:sz w:val="20"/>
                <w:szCs w:val="20"/>
                <w:lang w:val="ro-RO" w:eastAsia="hi-IN" w:bidi="hi-IN"/>
              </w:rPr>
            </w:pPr>
          </w:p>
          <w:p w14:paraId="323CB5C5" w14:textId="77777777" w:rsidR="00FA763F" w:rsidRPr="00FA763F" w:rsidRDefault="00FA763F" w:rsidP="00FA763F">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FA763F">
              <w:rPr>
                <w:rFonts w:ascii="Arial Narrow" w:eastAsia="Calibri" w:hAnsi="Arial Narrow" w:cs="Arial"/>
                <w:b/>
                <w:kern w:val="1"/>
                <w:sz w:val="20"/>
                <w:szCs w:val="20"/>
                <w:lang w:val="ro-RO" w:eastAsia="hi-IN" w:bidi="hi-IN"/>
              </w:rPr>
              <w:t xml:space="preserve">Stadiul </w:t>
            </w:r>
            <w:r w:rsidRPr="00FA763F">
              <w:rPr>
                <w:rFonts w:ascii="Arial Narrow" w:hAnsi="Arial Narrow" w:cs="Arial"/>
                <w:b/>
                <w:kern w:val="1"/>
                <w:sz w:val="20"/>
                <w:szCs w:val="20"/>
                <w:lang w:val="ro-RO" w:eastAsia="hi-IN" w:bidi="hi-IN"/>
              </w:rPr>
              <w:t>realizarii investitiei</w:t>
            </w:r>
          </w:p>
          <w:p w14:paraId="5E16110B" w14:textId="77777777" w:rsidR="00FA763F" w:rsidRPr="00FA763F" w:rsidRDefault="00FA763F" w:rsidP="00FA763F">
            <w:pPr>
              <w:widowControl w:val="0"/>
              <w:suppressAutoHyphens/>
              <w:spacing w:after="0" w:line="240" w:lineRule="auto"/>
              <w:jc w:val="center"/>
              <w:rPr>
                <w:rFonts w:ascii="Arial Narrow" w:eastAsia="Calibri" w:hAnsi="Arial Narrow" w:cs="Arial"/>
                <w:b/>
                <w:kern w:val="1"/>
                <w:sz w:val="20"/>
                <w:szCs w:val="20"/>
                <w:lang w:val="ro-RO" w:eastAsia="hi-IN" w:bidi="hi-IN"/>
              </w:rPr>
            </w:pPr>
          </w:p>
        </w:tc>
      </w:tr>
      <w:tr w:rsidR="00FA763F" w:rsidRPr="00FA763F" w14:paraId="6B013CA0" w14:textId="77777777" w:rsidTr="00655DD6">
        <w:trPr>
          <w:trHeight w:val="418"/>
          <w:jc w:val="center"/>
        </w:trPr>
        <w:tc>
          <w:tcPr>
            <w:tcW w:w="567" w:type="dxa"/>
            <w:tcBorders>
              <w:top w:val="single" w:sz="4" w:space="0" w:color="auto"/>
              <w:left w:val="single" w:sz="4" w:space="0" w:color="auto"/>
              <w:bottom w:val="single" w:sz="4" w:space="0" w:color="auto"/>
              <w:right w:val="single" w:sz="4" w:space="0" w:color="auto"/>
            </w:tcBorders>
          </w:tcPr>
          <w:p w14:paraId="7255FAF1" w14:textId="77777777" w:rsidR="00FA763F" w:rsidRPr="00FA763F" w:rsidRDefault="00FA763F" w:rsidP="00FA763F">
            <w:pPr>
              <w:widowControl w:val="0"/>
              <w:suppressAutoHyphens/>
              <w:spacing w:after="0" w:line="240" w:lineRule="auto"/>
              <w:jc w:val="center"/>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1.</w:t>
            </w:r>
          </w:p>
        </w:tc>
        <w:tc>
          <w:tcPr>
            <w:tcW w:w="3969" w:type="dxa"/>
            <w:tcBorders>
              <w:top w:val="single" w:sz="4" w:space="0" w:color="auto"/>
              <w:left w:val="single" w:sz="4" w:space="0" w:color="auto"/>
              <w:bottom w:val="single" w:sz="4" w:space="0" w:color="auto"/>
              <w:right w:val="single" w:sz="4" w:space="0" w:color="auto"/>
            </w:tcBorders>
          </w:tcPr>
          <w:p w14:paraId="6788E410"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hAnsi="Arial Narrow" w:cs="Tahoma"/>
              </w:rPr>
              <w:t>Amenajarea zonei centrale pietonale a sta</w:t>
            </w:r>
            <w:r>
              <w:rPr>
                <w:rFonts w:ascii="Arial Narrow" w:hAnsi="Arial Narrow" w:cs="Tahoma"/>
                <w:lang w:val="ro-RO"/>
              </w:rPr>
              <w:t>ț</w:t>
            </w:r>
            <w:r w:rsidRPr="00FA763F">
              <w:rPr>
                <w:rFonts w:ascii="Arial Narrow" w:hAnsi="Arial Narrow" w:cs="Tahoma"/>
              </w:rPr>
              <w:t>iunii turistice Horezu, jude</w:t>
            </w:r>
            <w:r>
              <w:rPr>
                <w:rFonts w:ascii="Arial Narrow" w:hAnsi="Arial Narrow" w:cs="Tahoma"/>
              </w:rPr>
              <w:t>ț</w:t>
            </w:r>
            <w:r w:rsidRPr="00FA763F">
              <w:rPr>
                <w:rFonts w:ascii="Arial Narrow" w:hAnsi="Arial Narrow" w:cs="Tahoma"/>
              </w:rPr>
              <w:t>ul V</w:t>
            </w:r>
            <w:r>
              <w:rPr>
                <w:rFonts w:ascii="Arial Narrow" w:hAnsi="Arial Narrow" w:cs="Tahoma"/>
              </w:rPr>
              <w:t>â</w:t>
            </w:r>
            <w:r w:rsidRPr="00FA763F">
              <w:rPr>
                <w:rFonts w:ascii="Arial Narrow" w:hAnsi="Arial Narrow" w:cs="Tahoma"/>
              </w:rPr>
              <w:t xml:space="preserve">lcea, </w:t>
            </w:r>
            <w:r>
              <w:rPr>
                <w:rFonts w:ascii="Arial Narrow" w:hAnsi="Arial Narrow" w:cs="Tahoma"/>
              </w:rPr>
              <w:t>î</w:t>
            </w:r>
            <w:r w:rsidRPr="00FA763F">
              <w:rPr>
                <w:rFonts w:ascii="Arial Narrow" w:hAnsi="Arial Narrow" w:cs="Tahoma"/>
              </w:rPr>
              <w:t>n vederea consolid</w:t>
            </w:r>
            <w:r>
              <w:rPr>
                <w:rFonts w:ascii="Arial Narrow" w:hAnsi="Arial Narrow" w:cs="Tahoma"/>
              </w:rPr>
              <w:t>ă</w:t>
            </w:r>
            <w:r w:rsidRPr="00FA763F">
              <w:rPr>
                <w:rFonts w:ascii="Arial Narrow" w:hAnsi="Arial Narrow" w:cs="Tahoma"/>
              </w:rPr>
              <w:t>rii identit</w:t>
            </w:r>
            <w:r>
              <w:rPr>
                <w:rFonts w:ascii="Arial Narrow" w:hAnsi="Arial Narrow" w:cs="Tahoma"/>
              </w:rPr>
              <w:t>ăț</w:t>
            </w:r>
            <w:r w:rsidRPr="00FA763F">
              <w:rPr>
                <w:rFonts w:ascii="Arial Narrow" w:hAnsi="Arial Narrow" w:cs="Tahoma"/>
              </w:rPr>
              <w:t xml:space="preserve">ii locale </w:t>
            </w:r>
            <w:r>
              <w:rPr>
                <w:rFonts w:ascii="Arial Narrow" w:hAnsi="Arial Narrow" w:cs="Tahoma"/>
              </w:rPr>
              <w:t>ș</w:t>
            </w:r>
            <w:r w:rsidRPr="00FA763F">
              <w:rPr>
                <w:rFonts w:ascii="Arial Narrow" w:hAnsi="Arial Narrow" w:cs="Tahoma"/>
              </w:rPr>
              <w:t>i dezvolt</w:t>
            </w:r>
            <w:r>
              <w:rPr>
                <w:rFonts w:ascii="Arial Narrow" w:hAnsi="Arial Narrow" w:cs="Tahoma"/>
              </w:rPr>
              <w:t>ă</w:t>
            </w:r>
            <w:r w:rsidRPr="00FA763F">
              <w:rPr>
                <w:rFonts w:ascii="Arial Narrow" w:hAnsi="Arial Narrow" w:cs="Tahoma"/>
              </w:rPr>
              <w:t>rii turismului</w:t>
            </w:r>
          </w:p>
        </w:tc>
        <w:tc>
          <w:tcPr>
            <w:tcW w:w="4962" w:type="dxa"/>
            <w:tcBorders>
              <w:top w:val="single" w:sz="4" w:space="0" w:color="auto"/>
              <w:left w:val="single" w:sz="4" w:space="0" w:color="auto"/>
              <w:bottom w:val="single" w:sz="4" w:space="0" w:color="auto"/>
              <w:right w:val="single" w:sz="4" w:space="0" w:color="auto"/>
            </w:tcBorders>
          </w:tcPr>
          <w:p w14:paraId="09A2250A"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Programul Operational Regional 2014-2020</w:t>
            </w:r>
          </w:p>
          <w:p w14:paraId="2C73A156"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hAnsi="Arial Narrow" w:cs="Arial"/>
                <w:kern w:val="1"/>
                <w:sz w:val="20"/>
                <w:szCs w:val="20"/>
                <w:lang w:val="ro-RO" w:eastAsia="hi-IN" w:bidi="hi-IN"/>
              </w:rPr>
              <w:t>In implementare = 70%</w:t>
            </w:r>
            <w:r w:rsidRPr="00FA763F">
              <w:rPr>
                <w:rFonts w:ascii="Arial Narrow" w:eastAsia="Calibri" w:hAnsi="Arial Narrow" w:cs="Arial"/>
                <w:kern w:val="1"/>
                <w:sz w:val="20"/>
                <w:szCs w:val="20"/>
                <w:lang w:val="ro-RO" w:eastAsia="hi-IN" w:bidi="hi-IN"/>
              </w:rPr>
              <w:t xml:space="preserve"> </w:t>
            </w:r>
          </w:p>
        </w:tc>
      </w:tr>
      <w:tr w:rsidR="00FA763F" w:rsidRPr="00FA763F" w14:paraId="41010944" w14:textId="77777777" w:rsidTr="00655DD6">
        <w:trPr>
          <w:trHeight w:val="750"/>
          <w:jc w:val="center"/>
        </w:trPr>
        <w:tc>
          <w:tcPr>
            <w:tcW w:w="567" w:type="dxa"/>
            <w:tcBorders>
              <w:top w:val="single" w:sz="4" w:space="0" w:color="auto"/>
              <w:left w:val="single" w:sz="4" w:space="0" w:color="auto"/>
              <w:bottom w:val="single" w:sz="4" w:space="0" w:color="auto"/>
              <w:right w:val="single" w:sz="4" w:space="0" w:color="auto"/>
            </w:tcBorders>
          </w:tcPr>
          <w:p w14:paraId="297FC4E8" w14:textId="77777777" w:rsidR="00FA763F" w:rsidRPr="00FA763F" w:rsidRDefault="00FA763F" w:rsidP="00FA763F">
            <w:pPr>
              <w:widowControl w:val="0"/>
              <w:suppressAutoHyphens/>
              <w:spacing w:after="0" w:line="240" w:lineRule="auto"/>
              <w:jc w:val="center"/>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2.</w:t>
            </w:r>
          </w:p>
        </w:tc>
        <w:tc>
          <w:tcPr>
            <w:tcW w:w="3969" w:type="dxa"/>
            <w:tcBorders>
              <w:top w:val="single" w:sz="4" w:space="0" w:color="auto"/>
              <w:left w:val="single" w:sz="4" w:space="0" w:color="auto"/>
              <w:bottom w:val="single" w:sz="4" w:space="0" w:color="auto"/>
              <w:right w:val="single" w:sz="4" w:space="0" w:color="auto"/>
            </w:tcBorders>
          </w:tcPr>
          <w:p w14:paraId="25B1B8A6" w14:textId="77777777" w:rsidR="00FA763F" w:rsidRPr="00FA763F" w:rsidRDefault="00FA763F" w:rsidP="00FA763F">
            <w:pPr>
              <w:widowControl w:val="0"/>
              <w:suppressAutoHyphens/>
              <w:autoSpaceDE w:val="0"/>
              <w:autoSpaceDN w:val="0"/>
              <w:adjustRightInd w:val="0"/>
              <w:spacing w:after="0" w:line="240" w:lineRule="auto"/>
              <w:rPr>
                <w:rFonts w:ascii="Arial Narrow" w:eastAsia="Calibri" w:hAnsi="Arial Narrow" w:cs="Arial"/>
                <w:kern w:val="1"/>
                <w:sz w:val="20"/>
                <w:szCs w:val="20"/>
                <w:lang w:val="ro-RO" w:eastAsia="hi-IN" w:bidi="hi-IN"/>
              </w:rPr>
            </w:pPr>
            <w:r>
              <w:rPr>
                <w:rFonts w:ascii="Arial Narrow" w:hAnsi="Arial Narrow" w:cs="Tahoma"/>
              </w:rPr>
              <w:t>Î</w:t>
            </w:r>
            <w:r w:rsidRPr="00FA763F">
              <w:rPr>
                <w:rFonts w:ascii="Arial Narrow" w:hAnsi="Arial Narrow" w:cs="Tahoma"/>
              </w:rPr>
              <w:t>nfiin</w:t>
            </w:r>
            <w:r>
              <w:rPr>
                <w:rFonts w:ascii="Arial Narrow" w:hAnsi="Arial Narrow" w:cs="Tahoma"/>
              </w:rPr>
              <w:t>ț</w:t>
            </w:r>
            <w:r w:rsidRPr="00FA763F">
              <w:rPr>
                <w:rFonts w:ascii="Arial Narrow" w:hAnsi="Arial Narrow" w:cs="Tahoma"/>
              </w:rPr>
              <w:t>area parcului de agrement si recreere “Constantin Br</w:t>
            </w:r>
            <w:r w:rsidR="00B74070">
              <w:rPr>
                <w:rFonts w:ascii="Arial Narrow" w:hAnsi="Arial Narrow" w:cs="Tahoma"/>
              </w:rPr>
              <w:t>â</w:t>
            </w:r>
            <w:r w:rsidRPr="00FA763F">
              <w:rPr>
                <w:rFonts w:ascii="Arial Narrow" w:hAnsi="Arial Narrow" w:cs="Tahoma"/>
              </w:rPr>
              <w:t xml:space="preserve">ncoveanu” </w:t>
            </w:r>
            <w:r w:rsidR="00B74070">
              <w:rPr>
                <w:rFonts w:ascii="Arial Narrow" w:hAnsi="Arial Narrow" w:cs="Tahoma"/>
              </w:rPr>
              <w:t>î</w:t>
            </w:r>
            <w:r w:rsidRPr="00FA763F">
              <w:rPr>
                <w:rFonts w:ascii="Arial Narrow" w:hAnsi="Arial Narrow" w:cs="Tahoma"/>
              </w:rPr>
              <w:t>n orasul Horezu, judetul V</w:t>
            </w:r>
            <w:r w:rsidR="00B74070">
              <w:rPr>
                <w:rFonts w:ascii="Arial Narrow" w:hAnsi="Arial Narrow" w:cs="Tahoma"/>
              </w:rPr>
              <w:t>â</w:t>
            </w:r>
            <w:r w:rsidRPr="00FA763F">
              <w:rPr>
                <w:rFonts w:ascii="Arial Narrow" w:hAnsi="Arial Narrow" w:cs="Tahoma"/>
              </w:rPr>
              <w:t>lcea</w:t>
            </w:r>
          </w:p>
        </w:tc>
        <w:tc>
          <w:tcPr>
            <w:tcW w:w="4962" w:type="dxa"/>
            <w:tcBorders>
              <w:top w:val="single" w:sz="4" w:space="0" w:color="auto"/>
              <w:left w:val="single" w:sz="4" w:space="0" w:color="auto"/>
              <w:bottom w:val="single" w:sz="4" w:space="0" w:color="auto"/>
              <w:right w:val="single" w:sz="4" w:space="0" w:color="auto"/>
            </w:tcBorders>
          </w:tcPr>
          <w:p w14:paraId="2E056CE8"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Programul Opera</w:t>
            </w:r>
            <w:r w:rsidR="00B74070">
              <w:rPr>
                <w:rFonts w:ascii="Arial Narrow" w:eastAsia="Calibri" w:hAnsi="Arial Narrow" w:cs="Arial"/>
                <w:kern w:val="1"/>
                <w:sz w:val="20"/>
                <w:szCs w:val="20"/>
                <w:lang w:val="ro-RO" w:eastAsia="hi-IN" w:bidi="hi-IN"/>
              </w:rPr>
              <w:t>ț</w:t>
            </w:r>
            <w:r w:rsidRPr="00FA763F">
              <w:rPr>
                <w:rFonts w:ascii="Arial Narrow" w:eastAsia="Calibri" w:hAnsi="Arial Narrow" w:cs="Arial"/>
                <w:kern w:val="1"/>
                <w:sz w:val="20"/>
                <w:szCs w:val="20"/>
                <w:lang w:val="ro-RO" w:eastAsia="hi-IN" w:bidi="hi-IN"/>
              </w:rPr>
              <w:t>ional Regional 2014-2020</w:t>
            </w:r>
          </w:p>
          <w:p w14:paraId="212FC764"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hAnsi="Arial Narrow" w:cs="Arial"/>
                <w:kern w:val="1"/>
                <w:sz w:val="20"/>
                <w:szCs w:val="20"/>
                <w:lang w:val="ro-RO" w:eastAsia="hi-IN" w:bidi="hi-IN"/>
              </w:rPr>
              <w:t>In implementare = 20%</w:t>
            </w:r>
          </w:p>
        </w:tc>
      </w:tr>
      <w:tr w:rsidR="00FA763F" w:rsidRPr="00FA763F" w14:paraId="270C5118" w14:textId="77777777" w:rsidTr="00655DD6">
        <w:trPr>
          <w:trHeight w:val="973"/>
          <w:jc w:val="center"/>
        </w:trPr>
        <w:tc>
          <w:tcPr>
            <w:tcW w:w="567" w:type="dxa"/>
            <w:tcBorders>
              <w:top w:val="single" w:sz="4" w:space="0" w:color="auto"/>
              <w:left w:val="single" w:sz="4" w:space="0" w:color="auto"/>
              <w:bottom w:val="single" w:sz="4" w:space="0" w:color="auto"/>
              <w:right w:val="single" w:sz="4" w:space="0" w:color="auto"/>
            </w:tcBorders>
          </w:tcPr>
          <w:p w14:paraId="5FCD498C" w14:textId="77777777" w:rsidR="00FA763F" w:rsidRPr="00FA763F" w:rsidRDefault="00FA763F" w:rsidP="00FA763F">
            <w:pPr>
              <w:widowControl w:val="0"/>
              <w:suppressAutoHyphens/>
              <w:spacing w:after="0" w:line="240" w:lineRule="auto"/>
              <w:jc w:val="center"/>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3.</w:t>
            </w:r>
          </w:p>
        </w:tc>
        <w:tc>
          <w:tcPr>
            <w:tcW w:w="3969" w:type="dxa"/>
            <w:tcBorders>
              <w:top w:val="single" w:sz="4" w:space="0" w:color="auto"/>
              <w:left w:val="single" w:sz="4" w:space="0" w:color="auto"/>
              <w:bottom w:val="single" w:sz="4" w:space="0" w:color="auto"/>
              <w:right w:val="single" w:sz="4" w:space="0" w:color="auto"/>
            </w:tcBorders>
          </w:tcPr>
          <w:p w14:paraId="618B6383" w14:textId="77777777" w:rsidR="00FA763F" w:rsidRPr="00FA763F" w:rsidRDefault="00FA763F" w:rsidP="00FA763F">
            <w:pPr>
              <w:widowControl w:val="0"/>
              <w:suppressAutoHyphens/>
              <w:autoSpaceDE w:val="0"/>
              <w:autoSpaceDN w:val="0"/>
              <w:adjustRightInd w:val="0"/>
              <w:spacing w:after="0" w:line="240" w:lineRule="auto"/>
              <w:rPr>
                <w:rFonts w:ascii="Arial Narrow" w:hAnsi="Arial Narrow" w:cs="Tahoma"/>
              </w:rPr>
            </w:pPr>
            <w:r w:rsidRPr="00FA763F">
              <w:rPr>
                <w:rFonts w:ascii="Arial Narrow" w:hAnsi="Arial Narrow" w:cs="Tahoma"/>
              </w:rPr>
              <w:t xml:space="preserve">Reabilitarea, modernizarea </w:t>
            </w:r>
            <w:r w:rsidR="00B74070">
              <w:rPr>
                <w:rFonts w:ascii="Arial Narrow" w:hAnsi="Arial Narrow" w:cs="Tahoma"/>
              </w:rPr>
              <w:t>ș</w:t>
            </w:r>
            <w:r w:rsidRPr="00FA763F">
              <w:rPr>
                <w:rFonts w:ascii="Arial Narrow" w:hAnsi="Arial Narrow" w:cs="Tahoma"/>
              </w:rPr>
              <w:t>i extinderea zonei centrale pietonale, a spa</w:t>
            </w:r>
            <w:r w:rsidR="00B74070">
              <w:rPr>
                <w:rFonts w:ascii="Arial Narrow" w:hAnsi="Arial Narrow" w:cs="Tahoma"/>
              </w:rPr>
              <w:t>ț</w:t>
            </w:r>
            <w:r w:rsidRPr="00FA763F">
              <w:rPr>
                <w:rFonts w:ascii="Arial Narrow" w:hAnsi="Arial Narrow" w:cs="Tahoma"/>
              </w:rPr>
              <w:t xml:space="preserve">iului verde </w:t>
            </w:r>
            <w:r w:rsidR="00B74070">
              <w:rPr>
                <w:rFonts w:ascii="Arial Narrow" w:hAnsi="Arial Narrow" w:cs="Tahoma"/>
              </w:rPr>
              <w:t>ș</w:t>
            </w:r>
            <w:r w:rsidRPr="00FA763F">
              <w:rPr>
                <w:rFonts w:ascii="Arial Narrow" w:hAnsi="Arial Narrow" w:cs="Tahoma"/>
              </w:rPr>
              <w:t xml:space="preserve">i a trotuarelor </w:t>
            </w:r>
            <w:r w:rsidR="00B74070">
              <w:rPr>
                <w:rFonts w:ascii="Arial Narrow" w:hAnsi="Arial Narrow" w:cs="Tahoma"/>
              </w:rPr>
              <w:t>î</w:t>
            </w:r>
            <w:r w:rsidRPr="00FA763F">
              <w:rPr>
                <w:rFonts w:ascii="Arial Narrow" w:hAnsi="Arial Narrow" w:cs="Tahoma"/>
              </w:rPr>
              <w:t>n Sta</w:t>
            </w:r>
            <w:r w:rsidR="00B74070">
              <w:rPr>
                <w:rFonts w:ascii="Arial Narrow" w:hAnsi="Arial Narrow" w:cs="Tahoma"/>
              </w:rPr>
              <w:t>ț</w:t>
            </w:r>
            <w:r w:rsidRPr="00FA763F">
              <w:rPr>
                <w:rFonts w:ascii="Arial Narrow" w:hAnsi="Arial Narrow" w:cs="Tahoma"/>
              </w:rPr>
              <w:t>iunea Turistic</w:t>
            </w:r>
            <w:r w:rsidR="00B74070">
              <w:rPr>
                <w:rFonts w:ascii="Arial Narrow" w:hAnsi="Arial Narrow" w:cs="Tahoma"/>
              </w:rPr>
              <w:t>ă</w:t>
            </w:r>
            <w:r w:rsidRPr="00FA763F">
              <w:rPr>
                <w:rFonts w:ascii="Arial Narrow" w:hAnsi="Arial Narrow" w:cs="Tahoma"/>
              </w:rPr>
              <w:t xml:space="preserve"> Horezu, jud. V</w:t>
            </w:r>
            <w:r w:rsidR="00B74070">
              <w:rPr>
                <w:rFonts w:ascii="Arial Narrow" w:hAnsi="Arial Narrow" w:cs="Tahoma"/>
              </w:rPr>
              <w:t>â</w:t>
            </w:r>
            <w:r w:rsidRPr="00FA763F">
              <w:rPr>
                <w:rFonts w:ascii="Arial Narrow" w:hAnsi="Arial Narrow" w:cs="Tahoma"/>
              </w:rPr>
              <w:t>lcea</w:t>
            </w:r>
          </w:p>
        </w:tc>
        <w:tc>
          <w:tcPr>
            <w:tcW w:w="4962" w:type="dxa"/>
            <w:tcBorders>
              <w:top w:val="single" w:sz="4" w:space="0" w:color="auto"/>
              <w:left w:val="single" w:sz="4" w:space="0" w:color="auto"/>
              <w:bottom w:val="single" w:sz="4" w:space="0" w:color="auto"/>
              <w:right w:val="single" w:sz="4" w:space="0" w:color="auto"/>
            </w:tcBorders>
          </w:tcPr>
          <w:p w14:paraId="3B7588C2"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Proiect pe lista de asteptare, din lipsa de fonduri de finantare.</w:t>
            </w:r>
          </w:p>
        </w:tc>
      </w:tr>
      <w:tr w:rsidR="00FA763F" w:rsidRPr="00FA763F" w14:paraId="48924304" w14:textId="77777777" w:rsidTr="00655DD6">
        <w:trPr>
          <w:trHeight w:val="1127"/>
          <w:jc w:val="center"/>
        </w:trPr>
        <w:tc>
          <w:tcPr>
            <w:tcW w:w="567" w:type="dxa"/>
            <w:tcBorders>
              <w:top w:val="single" w:sz="4" w:space="0" w:color="auto"/>
              <w:left w:val="single" w:sz="4" w:space="0" w:color="auto"/>
              <w:bottom w:val="single" w:sz="4" w:space="0" w:color="auto"/>
              <w:right w:val="single" w:sz="4" w:space="0" w:color="auto"/>
            </w:tcBorders>
          </w:tcPr>
          <w:p w14:paraId="1E8FDEA9" w14:textId="77777777" w:rsidR="00FA763F" w:rsidRPr="00FA763F" w:rsidRDefault="00FA763F" w:rsidP="00FA763F">
            <w:pPr>
              <w:widowControl w:val="0"/>
              <w:suppressAutoHyphens/>
              <w:spacing w:after="0" w:line="240" w:lineRule="auto"/>
              <w:jc w:val="center"/>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4.</w:t>
            </w:r>
          </w:p>
        </w:tc>
        <w:tc>
          <w:tcPr>
            <w:tcW w:w="3969" w:type="dxa"/>
            <w:tcBorders>
              <w:top w:val="single" w:sz="4" w:space="0" w:color="auto"/>
              <w:left w:val="single" w:sz="4" w:space="0" w:color="auto"/>
              <w:bottom w:val="single" w:sz="4" w:space="0" w:color="auto"/>
              <w:right w:val="single" w:sz="4" w:space="0" w:color="auto"/>
            </w:tcBorders>
          </w:tcPr>
          <w:p w14:paraId="105DC42D" w14:textId="77777777" w:rsidR="00FA763F" w:rsidRPr="00FA763F" w:rsidRDefault="00B74070" w:rsidP="00FA763F">
            <w:pPr>
              <w:widowControl w:val="0"/>
              <w:suppressAutoHyphens/>
              <w:autoSpaceDE w:val="0"/>
              <w:autoSpaceDN w:val="0"/>
              <w:adjustRightInd w:val="0"/>
              <w:spacing w:after="0" w:line="240" w:lineRule="auto"/>
              <w:rPr>
                <w:rFonts w:ascii="Arial Narrow" w:hAnsi="Arial Narrow" w:cs="Tahoma"/>
              </w:rPr>
            </w:pPr>
            <w:r w:rsidRPr="00B74070">
              <w:rPr>
                <w:rFonts w:ascii="Arial Narrow" w:hAnsi="Arial Narrow" w:cs="Tahoma"/>
              </w:rPr>
              <w:t>Reabilitare străzi în Orașul Horezu, jud. Vâlcea: Nicolae Bălcescu, Rom</w:t>
            </w:r>
            <w:r>
              <w:rPr>
                <w:rFonts w:ascii="Arial Narrow" w:hAnsi="Arial Narrow" w:cs="Tahoma"/>
              </w:rPr>
              <w:t>a</w:t>
            </w:r>
            <w:r w:rsidRPr="00B74070">
              <w:rPr>
                <w:rFonts w:ascii="Arial Narrow" w:hAnsi="Arial Narrow" w:cs="Tahoma"/>
              </w:rPr>
              <w:t>ni, Căpitan Maldăr, Ion Creangă, Z</w:t>
            </w:r>
            <w:r>
              <w:rPr>
                <w:rFonts w:ascii="Arial Narrow" w:hAnsi="Arial Narrow" w:cs="Tahoma"/>
              </w:rPr>
              <w:t>ă</w:t>
            </w:r>
            <w:r w:rsidRPr="00B74070">
              <w:rPr>
                <w:rFonts w:ascii="Arial Narrow" w:hAnsi="Arial Narrow" w:cs="Tahoma"/>
              </w:rPr>
              <w:t>voiului, Florilor, Stadionului, Parcul Industrial, Eroilor, Iancu Jianu, Anton Pann, Unirii, Olari, George Coșbuc, Moc</w:t>
            </w:r>
            <w:r>
              <w:rPr>
                <w:rFonts w:ascii="Arial Narrow" w:hAnsi="Arial Narrow" w:cs="Tahoma"/>
              </w:rPr>
              <w:t>ă</w:t>
            </w:r>
            <w:r w:rsidRPr="00B74070">
              <w:rPr>
                <w:rFonts w:ascii="Arial Narrow" w:hAnsi="Arial Narrow" w:cs="Tahoma"/>
              </w:rPr>
              <w:t>nitei, Constantin Brâncoveanu</w:t>
            </w:r>
          </w:p>
        </w:tc>
        <w:tc>
          <w:tcPr>
            <w:tcW w:w="4962" w:type="dxa"/>
            <w:tcBorders>
              <w:top w:val="single" w:sz="4" w:space="0" w:color="auto"/>
              <w:left w:val="single" w:sz="4" w:space="0" w:color="auto"/>
              <w:bottom w:val="single" w:sz="4" w:space="0" w:color="auto"/>
              <w:right w:val="single" w:sz="4" w:space="0" w:color="auto"/>
            </w:tcBorders>
          </w:tcPr>
          <w:p w14:paraId="783BB076"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Programul National de Investitii „Anghel Saligny”.</w:t>
            </w:r>
          </w:p>
          <w:p w14:paraId="24ED8EF6"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In curs de executie 2022.</w:t>
            </w:r>
          </w:p>
        </w:tc>
      </w:tr>
      <w:tr w:rsidR="00FA763F" w:rsidRPr="00FA763F" w14:paraId="7632CFDE" w14:textId="77777777" w:rsidTr="00655DD6">
        <w:trPr>
          <w:trHeight w:val="980"/>
          <w:jc w:val="center"/>
        </w:trPr>
        <w:tc>
          <w:tcPr>
            <w:tcW w:w="567" w:type="dxa"/>
            <w:tcBorders>
              <w:top w:val="single" w:sz="4" w:space="0" w:color="auto"/>
              <w:left w:val="single" w:sz="4" w:space="0" w:color="auto"/>
              <w:bottom w:val="single" w:sz="4" w:space="0" w:color="auto"/>
              <w:right w:val="single" w:sz="4" w:space="0" w:color="auto"/>
            </w:tcBorders>
          </w:tcPr>
          <w:p w14:paraId="2E21CD84" w14:textId="77777777" w:rsidR="00FA763F" w:rsidRPr="00FA763F" w:rsidRDefault="00FA763F" w:rsidP="00FA763F">
            <w:pPr>
              <w:widowControl w:val="0"/>
              <w:suppressAutoHyphens/>
              <w:spacing w:after="0" w:line="240" w:lineRule="auto"/>
              <w:jc w:val="center"/>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5.</w:t>
            </w:r>
          </w:p>
        </w:tc>
        <w:tc>
          <w:tcPr>
            <w:tcW w:w="3969" w:type="dxa"/>
            <w:tcBorders>
              <w:top w:val="single" w:sz="4" w:space="0" w:color="auto"/>
              <w:left w:val="single" w:sz="4" w:space="0" w:color="auto"/>
              <w:bottom w:val="single" w:sz="4" w:space="0" w:color="auto"/>
              <w:right w:val="single" w:sz="4" w:space="0" w:color="auto"/>
            </w:tcBorders>
          </w:tcPr>
          <w:p w14:paraId="61D60B5B" w14:textId="77777777" w:rsidR="00FA763F" w:rsidRPr="00FA763F" w:rsidRDefault="0095136B" w:rsidP="00FA763F">
            <w:pPr>
              <w:widowControl w:val="0"/>
              <w:suppressAutoHyphens/>
              <w:autoSpaceDE w:val="0"/>
              <w:autoSpaceDN w:val="0"/>
              <w:adjustRightInd w:val="0"/>
              <w:spacing w:after="0" w:line="240" w:lineRule="auto"/>
              <w:rPr>
                <w:rFonts w:ascii="Arial Narrow" w:hAnsi="Arial Narrow" w:cs="Tahoma"/>
              </w:rPr>
            </w:pPr>
            <w:r w:rsidRPr="0095136B">
              <w:rPr>
                <w:rFonts w:ascii="Arial Narrow" w:hAnsi="Arial Narrow" w:cs="Tahoma"/>
              </w:rPr>
              <w:t>Reabilitare și modernizare străzi în Orașul Horezu, jud. Vâlcea: I. Gh. Duc</w:t>
            </w:r>
            <w:r>
              <w:rPr>
                <w:rFonts w:ascii="Arial Narrow" w:hAnsi="Arial Narrow" w:cs="Tahoma"/>
              </w:rPr>
              <w:t>a</w:t>
            </w:r>
            <w:r w:rsidRPr="0095136B">
              <w:rPr>
                <w:rFonts w:ascii="Arial Narrow" w:hAnsi="Arial Narrow" w:cs="Tahoma"/>
              </w:rPr>
              <w:t>, Ur</w:t>
            </w:r>
            <w:r>
              <w:rPr>
                <w:rFonts w:ascii="Arial Narrow" w:hAnsi="Arial Narrow" w:cs="Tahoma"/>
              </w:rPr>
              <w:t>ș</w:t>
            </w:r>
            <w:r w:rsidRPr="0095136B">
              <w:rPr>
                <w:rFonts w:ascii="Arial Narrow" w:hAnsi="Arial Narrow" w:cs="Tahoma"/>
              </w:rPr>
              <w:t>ani, Mihai Eminescu, Al. Vlahuță, Matei Basarab, 9 Mai 1877, Valea Ursului și Arice</w:t>
            </w:r>
            <w:r>
              <w:rPr>
                <w:rFonts w:ascii="Arial Narrow" w:hAnsi="Arial Narrow" w:cs="Tahoma"/>
              </w:rPr>
              <w:t>ș</w:t>
            </w:r>
            <w:r w:rsidRPr="0095136B">
              <w:rPr>
                <w:rFonts w:ascii="Arial Narrow" w:hAnsi="Arial Narrow" w:cs="Tahoma"/>
              </w:rPr>
              <w:t>ti</w:t>
            </w:r>
          </w:p>
        </w:tc>
        <w:tc>
          <w:tcPr>
            <w:tcW w:w="4962" w:type="dxa"/>
            <w:tcBorders>
              <w:top w:val="single" w:sz="4" w:space="0" w:color="auto"/>
              <w:left w:val="single" w:sz="4" w:space="0" w:color="auto"/>
              <w:bottom w:val="single" w:sz="4" w:space="0" w:color="auto"/>
              <w:right w:val="single" w:sz="4" w:space="0" w:color="auto"/>
            </w:tcBorders>
          </w:tcPr>
          <w:p w14:paraId="6B7E8A0F"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Buget local.</w:t>
            </w:r>
          </w:p>
          <w:p w14:paraId="70833FC8"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In curs de executie 2022.</w:t>
            </w:r>
          </w:p>
        </w:tc>
      </w:tr>
      <w:tr w:rsidR="00FA763F" w:rsidRPr="00FA763F" w14:paraId="39726638" w14:textId="77777777" w:rsidTr="00655DD6">
        <w:trPr>
          <w:trHeight w:val="763"/>
          <w:jc w:val="center"/>
        </w:trPr>
        <w:tc>
          <w:tcPr>
            <w:tcW w:w="567" w:type="dxa"/>
            <w:tcBorders>
              <w:top w:val="single" w:sz="4" w:space="0" w:color="auto"/>
              <w:left w:val="single" w:sz="4" w:space="0" w:color="auto"/>
              <w:bottom w:val="single" w:sz="4" w:space="0" w:color="auto"/>
              <w:right w:val="single" w:sz="4" w:space="0" w:color="auto"/>
            </w:tcBorders>
          </w:tcPr>
          <w:p w14:paraId="165D6D5D" w14:textId="77777777" w:rsidR="00FA763F" w:rsidRPr="00FA763F" w:rsidRDefault="00FA763F" w:rsidP="00FA763F">
            <w:pPr>
              <w:widowControl w:val="0"/>
              <w:suppressAutoHyphens/>
              <w:spacing w:after="0" w:line="240" w:lineRule="auto"/>
              <w:jc w:val="center"/>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6.</w:t>
            </w:r>
          </w:p>
        </w:tc>
        <w:tc>
          <w:tcPr>
            <w:tcW w:w="3969" w:type="dxa"/>
            <w:tcBorders>
              <w:top w:val="single" w:sz="4" w:space="0" w:color="auto"/>
              <w:left w:val="single" w:sz="4" w:space="0" w:color="auto"/>
              <w:bottom w:val="single" w:sz="4" w:space="0" w:color="auto"/>
              <w:right w:val="single" w:sz="4" w:space="0" w:color="auto"/>
            </w:tcBorders>
          </w:tcPr>
          <w:p w14:paraId="19394A0D" w14:textId="77777777" w:rsidR="00FA763F" w:rsidRPr="00FA763F" w:rsidRDefault="00FA763F" w:rsidP="00FA763F">
            <w:pPr>
              <w:widowControl w:val="0"/>
              <w:suppressAutoHyphens/>
              <w:autoSpaceDE w:val="0"/>
              <w:autoSpaceDN w:val="0"/>
              <w:adjustRightInd w:val="0"/>
              <w:spacing w:after="0" w:line="240" w:lineRule="auto"/>
              <w:rPr>
                <w:rFonts w:ascii="Arial Narrow" w:hAnsi="Arial Narrow" w:cs="Tahoma"/>
              </w:rPr>
            </w:pPr>
            <w:r w:rsidRPr="00FA763F">
              <w:rPr>
                <w:rFonts w:ascii="Arial Narrow" w:hAnsi="Arial Narrow" w:cs="Tahoma"/>
              </w:rPr>
              <w:t>Lucr</w:t>
            </w:r>
            <w:r w:rsidR="0095136B">
              <w:rPr>
                <w:rFonts w:ascii="Arial Narrow" w:hAnsi="Arial Narrow" w:cs="Tahoma"/>
              </w:rPr>
              <w:t>ă</w:t>
            </w:r>
            <w:r w:rsidRPr="00FA763F">
              <w:rPr>
                <w:rFonts w:ascii="Arial Narrow" w:hAnsi="Arial Narrow" w:cs="Tahoma"/>
              </w:rPr>
              <w:t xml:space="preserve">ri de punere </w:t>
            </w:r>
            <w:r w:rsidR="0095136B">
              <w:rPr>
                <w:rFonts w:ascii="Arial Narrow" w:hAnsi="Arial Narrow" w:cs="Tahoma"/>
              </w:rPr>
              <w:t>î</w:t>
            </w:r>
            <w:r w:rsidRPr="00FA763F">
              <w:rPr>
                <w:rFonts w:ascii="Arial Narrow" w:hAnsi="Arial Narrow" w:cs="Tahoma"/>
              </w:rPr>
              <w:t>n siguran</w:t>
            </w:r>
            <w:r w:rsidR="0095136B">
              <w:rPr>
                <w:rFonts w:ascii="Arial Narrow" w:hAnsi="Arial Narrow" w:cs="Tahoma"/>
              </w:rPr>
              <w:t>ț</w:t>
            </w:r>
            <w:r w:rsidRPr="00FA763F">
              <w:rPr>
                <w:rFonts w:ascii="Arial Narrow" w:hAnsi="Arial Narrow" w:cs="Tahoma"/>
              </w:rPr>
              <w:t>a a str</w:t>
            </w:r>
            <w:r w:rsidR="0095136B">
              <w:rPr>
                <w:rFonts w:ascii="Arial Narrow" w:hAnsi="Arial Narrow" w:cs="Tahoma"/>
              </w:rPr>
              <w:t>ă</w:t>
            </w:r>
            <w:r w:rsidRPr="00FA763F">
              <w:rPr>
                <w:rFonts w:ascii="Arial Narrow" w:hAnsi="Arial Narrow" w:cs="Tahoma"/>
              </w:rPr>
              <w:t>zii Lunga – V</w:t>
            </w:r>
            <w:r w:rsidR="0095136B">
              <w:rPr>
                <w:rFonts w:ascii="Arial Narrow" w:hAnsi="Arial Narrow" w:cs="Tahoma"/>
              </w:rPr>
              <w:t>â</w:t>
            </w:r>
            <w:r w:rsidRPr="00FA763F">
              <w:rPr>
                <w:rFonts w:ascii="Arial Narrow" w:hAnsi="Arial Narrow" w:cs="Tahoma"/>
              </w:rPr>
              <w:t>rfu’ lu’ Roman, pe o lungime de 10 km, Ora</w:t>
            </w:r>
            <w:r w:rsidR="0095136B">
              <w:rPr>
                <w:rFonts w:ascii="Arial Narrow" w:hAnsi="Arial Narrow" w:cs="Tahoma"/>
              </w:rPr>
              <w:t>ș</w:t>
            </w:r>
            <w:r w:rsidRPr="00FA763F">
              <w:rPr>
                <w:rFonts w:ascii="Arial Narrow" w:hAnsi="Arial Narrow" w:cs="Tahoma"/>
              </w:rPr>
              <w:t>ul Horezu, Jude</w:t>
            </w:r>
            <w:r w:rsidR="0095136B">
              <w:rPr>
                <w:rFonts w:ascii="Arial Narrow" w:hAnsi="Arial Narrow" w:cs="Tahoma"/>
              </w:rPr>
              <w:t>ț</w:t>
            </w:r>
            <w:r w:rsidRPr="00FA763F">
              <w:rPr>
                <w:rFonts w:ascii="Arial Narrow" w:hAnsi="Arial Narrow" w:cs="Tahoma"/>
              </w:rPr>
              <w:t>ul V</w:t>
            </w:r>
            <w:r w:rsidR="0095136B">
              <w:rPr>
                <w:rFonts w:ascii="Arial Narrow" w:hAnsi="Arial Narrow" w:cs="Tahoma"/>
              </w:rPr>
              <w:t>â</w:t>
            </w:r>
            <w:r w:rsidRPr="00FA763F">
              <w:rPr>
                <w:rFonts w:ascii="Arial Narrow" w:hAnsi="Arial Narrow" w:cs="Tahoma"/>
              </w:rPr>
              <w:t>lcea.</w:t>
            </w:r>
          </w:p>
        </w:tc>
        <w:tc>
          <w:tcPr>
            <w:tcW w:w="4962" w:type="dxa"/>
            <w:tcBorders>
              <w:top w:val="single" w:sz="4" w:space="0" w:color="auto"/>
              <w:left w:val="single" w:sz="4" w:space="0" w:color="auto"/>
              <w:bottom w:val="single" w:sz="4" w:space="0" w:color="auto"/>
              <w:right w:val="single" w:sz="4" w:space="0" w:color="auto"/>
            </w:tcBorders>
          </w:tcPr>
          <w:p w14:paraId="45DA9037"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Programul National de Investitii „Anghel Saligny”.</w:t>
            </w:r>
          </w:p>
          <w:p w14:paraId="6CDB705C"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In curs de executie 2022.</w:t>
            </w:r>
          </w:p>
        </w:tc>
      </w:tr>
      <w:tr w:rsidR="00FA763F" w:rsidRPr="00FA763F" w14:paraId="057F3126" w14:textId="77777777" w:rsidTr="00655DD6">
        <w:trPr>
          <w:trHeight w:val="562"/>
          <w:jc w:val="center"/>
        </w:trPr>
        <w:tc>
          <w:tcPr>
            <w:tcW w:w="567" w:type="dxa"/>
            <w:tcBorders>
              <w:top w:val="single" w:sz="4" w:space="0" w:color="auto"/>
              <w:left w:val="single" w:sz="4" w:space="0" w:color="auto"/>
              <w:bottom w:val="single" w:sz="4" w:space="0" w:color="auto"/>
              <w:right w:val="single" w:sz="4" w:space="0" w:color="auto"/>
            </w:tcBorders>
          </w:tcPr>
          <w:p w14:paraId="74C8424A" w14:textId="77777777" w:rsidR="00FA763F" w:rsidRPr="00FA763F" w:rsidRDefault="00FA763F" w:rsidP="00FA763F">
            <w:pPr>
              <w:widowControl w:val="0"/>
              <w:suppressAutoHyphens/>
              <w:spacing w:after="0" w:line="240" w:lineRule="auto"/>
              <w:jc w:val="center"/>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7.</w:t>
            </w:r>
          </w:p>
        </w:tc>
        <w:tc>
          <w:tcPr>
            <w:tcW w:w="3969" w:type="dxa"/>
            <w:tcBorders>
              <w:top w:val="single" w:sz="4" w:space="0" w:color="auto"/>
              <w:left w:val="single" w:sz="4" w:space="0" w:color="auto"/>
              <w:bottom w:val="single" w:sz="4" w:space="0" w:color="auto"/>
              <w:right w:val="single" w:sz="4" w:space="0" w:color="auto"/>
            </w:tcBorders>
          </w:tcPr>
          <w:p w14:paraId="41A409D1" w14:textId="77777777" w:rsidR="00FA763F" w:rsidRPr="00FA763F" w:rsidRDefault="00FA763F" w:rsidP="00FA763F">
            <w:pPr>
              <w:widowControl w:val="0"/>
              <w:suppressAutoHyphens/>
              <w:autoSpaceDE w:val="0"/>
              <w:autoSpaceDN w:val="0"/>
              <w:adjustRightInd w:val="0"/>
              <w:spacing w:after="0" w:line="240" w:lineRule="auto"/>
              <w:rPr>
                <w:rFonts w:ascii="Arial Narrow" w:hAnsi="Arial Narrow" w:cs="Arial"/>
              </w:rPr>
            </w:pPr>
            <w:r w:rsidRPr="00FA763F">
              <w:rPr>
                <w:rFonts w:ascii="Arial Narrow" w:hAnsi="Arial Narrow" w:cs="Arial"/>
                <w:lang w:val="ro-RO"/>
              </w:rPr>
              <w:t>Construire stații de încărcare pentru vehicule electrice în orașul Horezu, jud. V</w:t>
            </w:r>
            <w:r w:rsidR="0095136B">
              <w:rPr>
                <w:rFonts w:ascii="Arial Narrow" w:hAnsi="Arial Narrow" w:cs="Arial"/>
                <w:lang w:val="ro-RO"/>
              </w:rPr>
              <w:t>â</w:t>
            </w:r>
            <w:r w:rsidRPr="00FA763F">
              <w:rPr>
                <w:rFonts w:ascii="Arial Narrow" w:hAnsi="Arial Narrow" w:cs="Arial"/>
                <w:lang w:val="ro-RO"/>
              </w:rPr>
              <w:t>lcea</w:t>
            </w:r>
            <w:r w:rsidR="0095136B">
              <w:rPr>
                <w:rFonts w:ascii="Arial Narrow" w:hAnsi="Arial Narrow" w:cs="Arial"/>
                <w:lang w:val="ro-RO"/>
              </w:rPr>
              <w:t xml:space="preserve"> </w:t>
            </w:r>
          </w:p>
        </w:tc>
        <w:tc>
          <w:tcPr>
            <w:tcW w:w="4962" w:type="dxa"/>
            <w:tcBorders>
              <w:top w:val="single" w:sz="4" w:space="0" w:color="auto"/>
              <w:left w:val="single" w:sz="4" w:space="0" w:color="auto"/>
              <w:bottom w:val="single" w:sz="4" w:space="0" w:color="auto"/>
              <w:right w:val="single" w:sz="4" w:space="0" w:color="auto"/>
            </w:tcBorders>
          </w:tcPr>
          <w:p w14:paraId="4D19775C"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 xml:space="preserve">Programul </w:t>
            </w:r>
            <w:r w:rsidR="0095136B">
              <w:rPr>
                <w:rFonts w:ascii="Arial Narrow" w:eastAsia="Calibri" w:hAnsi="Arial Narrow" w:cs="Arial"/>
                <w:kern w:val="1"/>
                <w:sz w:val="20"/>
                <w:szCs w:val="20"/>
                <w:lang w:val="ro-RO" w:eastAsia="hi-IN" w:bidi="hi-IN"/>
              </w:rPr>
              <w:t>privind reducerea emisiilor de gaze</w:t>
            </w:r>
            <w:r w:rsidR="00A30FD8">
              <w:rPr>
                <w:rFonts w:ascii="Arial Narrow" w:eastAsia="Calibri" w:hAnsi="Arial Narrow" w:cs="Arial"/>
                <w:kern w:val="1"/>
                <w:sz w:val="20"/>
                <w:szCs w:val="20"/>
                <w:lang w:val="ro-RO" w:eastAsia="hi-IN" w:bidi="hi-IN"/>
              </w:rPr>
              <w:t xml:space="preserve"> cu efect de seră în transporturi, prin promovarea infrastrucutrii pentru vehiculele de transport rutier nepoluant din punct de vedere energetic: stații de reîncărcare pentru vehicule electrice în localități</w:t>
            </w:r>
            <w:r w:rsidRPr="00FA763F">
              <w:rPr>
                <w:rFonts w:ascii="Arial Narrow" w:eastAsia="Calibri" w:hAnsi="Arial Narrow" w:cs="Arial"/>
                <w:kern w:val="1"/>
                <w:sz w:val="20"/>
                <w:szCs w:val="20"/>
                <w:lang w:val="ro-RO" w:eastAsia="hi-IN" w:bidi="hi-IN"/>
              </w:rPr>
              <w:t>.</w:t>
            </w:r>
          </w:p>
          <w:p w14:paraId="6504D57E"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In implementare 2023.</w:t>
            </w:r>
          </w:p>
        </w:tc>
      </w:tr>
      <w:tr w:rsidR="00FA763F" w:rsidRPr="00FA763F" w14:paraId="73E738EC" w14:textId="77777777" w:rsidTr="00655DD6">
        <w:trPr>
          <w:trHeight w:val="279"/>
          <w:jc w:val="center"/>
        </w:trPr>
        <w:tc>
          <w:tcPr>
            <w:tcW w:w="567" w:type="dxa"/>
            <w:tcBorders>
              <w:top w:val="single" w:sz="4" w:space="0" w:color="auto"/>
              <w:left w:val="single" w:sz="4" w:space="0" w:color="auto"/>
              <w:bottom w:val="single" w:sz="4" w:space="0" w:color="auto"/>
              <w:right w:val="single" w:sz="4" w:space="0" w:color="auto"/>
            </w:tcBorders>
          </w:tcPr>
          <w:p w14:paraId="7B8D2145" w14:textId="77777777" w:rsidR="00FA763F" w:rsidRPr="00FA763F" w:rsidRDefault="00FA763F" w:rsidP="00FA763F">
            <w:pPr>
              <w:widowControl w:val="0"/>
              <w:suppressAutoHyphens/>
              <w:spacing w:after="0" w:line="240" w:lineRule="auto"/>
              <w:jc w:val="center"/>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8.</w:t>
            </w:r>
          </w:p>
        </w:tc>
        <w:tc>
          <w:tcPr>
            <w:tcW w:w="3969" w:type="dxa"/>
            <w:tcBorders>
              <w:top w:val="single" w:sz="4" w:space="0" w:color="auto"/>
              <w:left w:val="single" w:sz="4" w:space="0" w:color="auto"/>
              <w:bottom w:val="single" w:sz="4" w:space="0" w:color="auto"/>
              <w:right w:val="single" w:sz="4" w:space="0" w:color="auto"/>
            </w:tcBorders>
          </w:tcPr>
          <w:p w14:paraId="7042432F" w14:textId="77777777" w:rsidR="00FA763F" w:rsidRPr="00FA763F" w:rsidRDefault="00FA763F" w:rsidP="00FA763F">
            <w:pPr>
              <w:widowControl w:val="0"/>
              <w:suppressAutoHyphens/>
              <w:autoSpaceDE w:val="0"/>
              <w:autoSpaceDN w:val="0"/>
              <w:adjustRightInd w:val="0"/>
              <w:spacing w:after="0" w:line="240" w:lineRule="auto"/>
              <w:rPr>
                <w:rFonts w:ascii="Arial Narrow" w:hAnsi="Arial Narrow" w:cs="Tahoma"/>
              </w:rPr>
            </w:pPr>
            <w:r w:rsidRPr="00FA763F">
              <w:rPr>
                <w:rFonts w:ascii="Arial Narrow" w:hAnsi="Arial Narrow" w:cs="Tahoma"/>
              </w:rPr>
              <w:t>Construire aerodrom</w:t>
            </w:r>
          </w:p>
        </w:tc>
        <w:tc>
          <w:tcPr>
            <w:tcW w:w="4962" w:type="dxa"/>
            <w:tcBorders>
              <w:top w:val="single" w:sz="4" w:space="0" w:color="auto"/>
              <w:left w:val="single" w:sz="4" w:space="0" w:color="auto"/>
              <w:bottom w:val="single" w:sz="4" w:space="0" w:color="auto"/>
              <w:right w:val="single" w:sz="4" w:space="0" w:color="auto"/>
            </w:tcBorders>
          </w:tcPr>
          <w:p w14:paraId="39184A4D"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 xml:space="preserve">Studiu de fezabilitate </w:t>
            </w:r>
            <w:r w:rsidR="0095136B">
              <w:rPr>
                <w:rFonts w:ascii="Arial Narrow" w:eastAsia="Calibri" w:hAnsi="Arial Narrow" w:cs="Arial"/>
                <w:kern w:val="1"/>
                <w:sz w:val="20"/>
                <w:szCs w:val="20"/>
                <w:lang w:val="ro-RO" w:eastAsia="hi-IN" w:bidi="hi-IN"/>
              </w:rPr>
              <w:t>î</w:t>
            </w:r>
            <w:r w:rsidRPr="00FA763F">
              <w:rPr>
                <w:rFonts w:ascii="Arial Narrow" w:eastAsia="Calibri" w:hAnsi="Arial Narrow" w:cs="Arial"/>
                <w:kern w:val="1"/>
                <w:sz w:val="20"/>
                <w:szCs w:val="20"/>
                <w:lang w:val="ro-RO" w:eastAsia="hi-IN" w:bidi="hi-IN"/>
              </w:rPr>
              <w:t>n curs de elaborare.</w:t>
            </w:r>
          </w:p>
        </w:tc>
      </w:tr>
      <w:tr w:rsidR="00FA763F" w:rsidRPr="00FA763F" w14:paraId="57B71DD3" w14:textId="77777777" w:rsidTr="00655DD6">
        <w:trPr>
          <w:trHeight w:val="265"/>
          <w:jc w:val="center"/>
        </w:trPr>
        <w:tc>
          <w:tcPr>
            <w:tcW w:w="567" w:type="dxa"/>
            <w:tcBorders>
              <w:top w:val="single" w:sz="4" w:space="0" w:color="auto"/>
              <w:left w:val="single" w:sz="4" w:space="0" w:color="auto"/>
              <w:bottom w:val="single" w:sz="4" w:space="0" w:color="auto"/>
              <w:right w:val="single" w:sz="4" w:space="0" w:color="auto"/>
            </w:tcBorders>
          </w:tcPr>
          <w:p w14:paraId="087FA47B" w14:textId="77777777" w:rsidR="00FA763F" w:rsidRPr="00FA763F" w:rsidRDefault="00FA763F" w:rsidP="00FA763F">
            <w:pPr>
              <w:widowControl w:val="0"/>
              <w:suppressAutoHyphens/>
              <w:spacing w:after="0" w:line="240" w:lineRule="auto"/>
              <w:jc w:val="center"/>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9.</w:t>
            </w:r>
          </w:p>
        </w:tc>
        <w:tc>
          <w:tcPr>
            <w:tcW w:w="3969" w:type="dxa"/>
            <w:tcBorders>
              <w:top w:val="single" w:sz="4" w:space="0" w:color="auto"/>
              <w:left w:val="single" w:sz="4" w:space="0" w:color="auto"/>
              <w:bottom w:val="single" w:sz="4" w:space="0" w:color="auto"/>
              <w:right w:val="single" w:sz="4" w:space="0" w:color="auto"/>
            </w:tcBorders>
          </w:tcPr>
          <w:p w14:paraId="23D5C825" w14:textId="77777777" w:rsidR="00FA763F" w:rsidRPr="00FA763F" w:rsidRDefault="00FA763F" w:rsidP="00FA763F">
            <w:pPr>
              <w:widowControl w:val="0"/>
              <w:suppressAutoHyphens/>
              <w:autoSpaceDE w:val="0"/>
              <w:autoSpaceDN w:val="0"/>
              <w:adjustRightInd w:val="0"/>
              <w:spacing w:after="0" w:line="240" w:lineRule="auto"/>
              <w:rPr>
                <w:rFonts w:ascii="Arial Narrow" w:hAnsi="Arial Narrow" w:cs="Tahoma"/>
              </w:rPr>
            </w:pPr>
            <w:r w:rsidRPr="00FA763F">
              <w:rPr>
                <w:rFonts w:ascii="Arial Narrow" w:hAnsi="Arial Narrow" w:cs="Tahoma"/>
              </w:rPr>
              <w:t>Varianta de ocolire Horezu</w:t>
            </w:r>
          </w:p>
        </w:tc>
        <w:tc>
          <w:tcPr>
            <w:tcW w:w="4962" w:type="dxa"/>
            <w:tcBorders>
              <w:top w:val="single" w:sz="4" w:space="0" w:color="auto"/>
              <w:left w:val="single" w:sz="4" w:space="0" w:color="auto"/>
              <w:bottom w:val="single" w:sz="4" w:space="0" w:color="auto"/>
              <w:right w:val="single" w:sz="4" w:space="0" w:color="auto"/>
            </w:tcBorders>
          </w:tcPr>
          <w:p w14:paraId="5B6BF587" w14:textId="77777777" w:rsidR="00FA763F" w:rsidRPr="00FA763F" w:rsidRDefault="00FA763F" w:rsidP="00FA763F">
            <w:pPr>
              <w:widowControl w:val="0"/>
              <w:suppressAutoHyphens/>
              <w:spacing w:after="0" w:line="240" w:lineRule="auto"/>
              <w:rPr>
                <w:rFonts w:ascii="Arial Narrow" w:eastAsia="Calibri" w:hAnsi="Arial Narrow" w:cs="Arial"/>
                <w:kern w:val="1"/>
                <w:sz w:val="20"/>
                <w:szCs w:val="20"/>
                <w:lang w:val="ro-RO" w:eastAsia="hi-IN" w:bidi="hi-IN"/>
              </w:rPr>
            </w:pPr>
            <w:r w:rsidRPr="00FA763F">
              <w:rPr>
                <w:rFonts w:ascii="Arial Narrow" w:eastAsia="Calibri" w:hAnsi="Arial Narrow" w:cs="Arial"/>
                <w:kern w:val="1"/>
                <w:sz w:val="20"/>
                <w:szCs w:val="20"/>
                <w:lang w:val="ro-RO" w:eastAsia="hi-IN" w:bidi="hi-IN"/>
              </w:rPr>
              <w:t xml:space="preserve">Studiu de fezabilitate </w:t>
            </w:r>
            <w:r w:rsidR="0095136B">
              <w:rPr>
                <w:rFonts w:ascii="Arial Narrow" w:eastAsia="Calibri" w:hAnsi="Arial Narrow" w:cs="Arial"/>
                <w:kern w:val="1"/>
                <w:sz w:val="20"/>
                <w:szCs w:val="20"/>
                <w:lang w:val="ro-RO" w:eastAsia="hi-IN" w:bidi="hi-IN"/>
              </w:rPr>
              <w:t>î</w:t>
            </w:r>
            <w:r w:rsidRPr="00FA763F">
              <w:rPr>
                <w:rFonts w:ascii="Arial Narrow" w:eastAsia="Calibri" w:hAnsi="Arial Narrow" w:cs="Arial"/>
                <w:kern w:val="1"/>
                <w:sz w:val="20"/>
                <w:szCs w:val="20"/>
                <w:lang w:val="ro-RO" w:eastAsia="hi-IN" w:bidi="hi-IN"/>
              </w:rPr>
              <w:t>n curs de elaborare.</w:t>
            </w:r>
          </w:p>
        </w:tc>
      </w:tr>
    </w:tbl>
    <w:p w14:paraId="27000311" w14:textId="77777777" w:rsidR="00AE0ABB" w:rsidRPr="00AE0ABB" w:rsidRDefault="00AE0ABB" w:rsidP="00AE0ABB">
      <w:pPr>
        <w:widowControl w:val="0"/>
        <w:suppressAutoHyphens/>
        <w:spacing w:after="0" w:line="360" w:lineRule="auto"/>
        <w:jc w:val="both"/>
        <w:rPr>
          <w:rFonts w:ascii="Arial" w:hAnsi="Arial" w:cs="Mangal"/>
          <w:kern w:val="1"/>
          <w:sz w:val="24"/>
          <w:szCs w:val="24"/>
          <w:lang w:val="es-ES" w:eastAsia="hi-IN" w:bidi="hi-IN"/>
        </w:rPr>
      </w:pPr>
    </w:p>
    <w:p w14:paraId="46826DBB" w14:textId="77777777" w:rsidR="00AE0ABB" w:rsidRPr="00AE0ABB" w:rsidRDefault="00AE0ABB" w:rsidP="00AE0ABB">
      <w:pPr>
        <w:widowControl w:val="0"/>
        <w:suppressAutoHyphens/>
        <w:spacing w:after="0" w:line="276" w:lineRule="auto"/>
        <w:jc w:val="both"/>
        <w:rPr>
          <w:rFonts w:ascii="Arial" w:hAnsi="Arial" w:cs="Mangal"/>
          <w:kern w:val="1"/>
          <w:lang w:val="es-ES" w:eastAsia="hi-IN" w:bidi="hi-IN"/>
        </w:rPr>
      </w:pPr>
      <w:r w:rsidRPr="00AE0ABB">
        <w:rPr>
          <w:rFonts w:ascii="Arial" w:hAnsi="Arial" w:cs="Mangal"/>
          <w:kern w:val="1"/>
          <w:lang w:val="es-ES" w:eastAsia="hi-IN" w:bidi="hi-IN"/>
        </w:rPr>
        <w:t xml:space="preserve">După cum se poate observa din tabelul de mai sus proiectele aflate în derulare contribuie la rezolvarea unor </w:t>
      </w:r>
      <w:r>
        <w:rPr>
          <w:rFonts w:ascii="Arial" w:hAnsi="Arial" w:cs="Mangal"/>
          <w:kern w:val="1"/>
          <w:lang w:val="es-ES" w:eastAsia="hi-IN" w:bidi="hi-IN"/>
        </w:rPr>
        <w:t>probleme</w:t>
      </w:r>
      <w:r w:rsidRPr="00AE0ABB">
        <w:rPr>
          <w:rFonts w:ascii="Arial" w:hAnsi="Arial" w:cs="Mangal"/>
          <w:kern w:val="1"/>
          <w:lang w:val="es-ES" w:eastAsia="hi-IN" w:bidi="hi-IN"/>
        </w:rPr>
        <w:t xml:space="preserve"> identificate la analiza situației actuale. Astfel:</w:t>
      </w:r>
    </w:p>
    <w:p w14:paraId="14B86E83" w14:textId="77777777" w:rsidR="00AE0ABB" w:rsidRPr="00AE0ABB" w:rsidRDefault="00AE0ABB" w:rsidP="00AE0ABB">
      <w:pPr>
        <w:widowControl w:val="0"/>
        <w:suppressAutoHyphens/>
        <w:spacing w:after="0" w:line="276" w:lineRule="auto"/>
        <w:jc w:val="both"/>
        <w:rPr>
          <w:rFonts w:ascii="Arial" w:hAnsi="Arial" w:cs="Mangal"/>
          <w:kern w:val="1"/>
          <w:lang w:val="es-ES" w:eastAsia="hi-IN" w:bidi="hi-IN"/>
        </w:rPr>
      </w:pPr>
    </w:p>
    <w:p w14:paraId="02744753" w14:textId="1D086100" w:rsidR="00AE0ABB" w:rsidRPr="00326E18" w:rsidRDefault="00326E18" w:rsidP="00326E18">
      <w:pPr>
        <w:pStyle w:val="Legend"/>
        <w:jc w:val="center"/>
        <w:rPr>
          <w:rFonts w:ascii="Arial" w:hAnsi="Arial" w:cs="Arial"/>
          <w:i w:val="0"/>
          <w:color w:val="1F497D"/>
          <w:kern w:val="1"/>
          <w:sz w:val="22"/>
          <w:szCs w:val="22"/>
          <w:lang w:val="es-ES" w:eastAsia="hi-IN" w:bidi="hi-IN"/>
        </w:rPr>
      </w:pPr>
      <w:bookmarkStart w:id="153" w:name="_Toc68361222"/>
      <w:bookmarkStart w:id="154" w:name="_Toc140744582"/>
      <w:r w:rsidRPr="00326E18">
        <w:rPr>
          <w:rFonts w:ascii="Arial" w:hAnsi="Arial" w:cs="Arial"/>
          <w:sz w:val="22"/>
          <w:szCs w:val="22"/>
        </w:rPr>
        <w:t xml:space="preserve">Tabel I.2. </w:t>
      </w:r>
      <w:r w:rsidRPr="00326E18">
        <w:rPr>
          <w:rFonts w:ascii="Arial" w:hAnsi="Arial" w:cs="Arial"/>
          <w:sz w:val="22"/>
          <w:szCs w:val="22"/>
        </w:rPr>
        <w:fldChar w:fldCharType="begin"/>
      </w:r>
      <w:r w:rsidRPr="00326E18">
        <w:rPr>
          <w:rFonts w:ascii="Arial" w:hAnsi="Arial" w:cs="Arial"/>
          <w:sz w:val="22"/>
          <w:szCs w:val="22"/>
        </w:rPr>
        <w:instrText xml:space="preserve"> SEQ Tabel_I.2. \* ARABIC </w:instrText>
      </w:r>
      <w:r w:rsidRPr="00326E18">
        <w:rPr>
          <w:rFonts w:ascii="Arial" w:hAnsi="Arial" w:cs="Arial"/>
          <w:sz w:val="22"/>
          <w:szCs w:val="22"/>
        </w:rPr>
        <w:fldChar w:fldCharType="separate"/>
      </w:r>
      <w:r w:rsidR="00BB181C">
        <w:rPr>
          <w:rFonts w:ascii="Arial" w:hAnsi="Arial" w:cs="Arial"/>
          <w:noProof/>
          <w:sz w:val="22"/>
          <w:szCs w:val="22"/>
        </w:rPr>
        <w:t>16</w:t>
      </w:r>
      <w:r w:rsidRPr="00326E18">
        <w:rPr>
          <w:rFonts w:ascii="Arial" w:hAnsi="Arial" w:cs="Arial"/>
          <w:sz w:val="22"/>
          <w:szCs w:val="22"/>
        </w:rPr>
        <w:fldChar w:fldCharType="end"/>
      </w:r>
      <w:r w:rsidRPr="00326E18">
        <w:rPr>
          <w:rFonts w:ascii="Arial" w:hAnsi="Arial" w:cs="Arial"/>
          <w:sz w:val="22"/>
          <w:szCs w:val="22"/>
        </w:rPr>
        <w:t xml:space="preserve"> </w:t>
      </w:r>
      <w:bookmarkEnd w:id="153"/>
      <w:r w:rsidRPr="00326E18">
        <w:rPr>
          <w:rFonts w:ascii="Arial" w:hAnsi="Arial" w:cs="Arial"/>
          <w:sz w:val="22"/>
          <w:szCs w:val="22"/>
        </w:rPr>
        <w:t xml:space="preserve">– </w:t>
      </w:r>
      <w:r>
        <w:rPr>
          <w:rFonts w:ascii="Arial" w:hAnsi="Arial" w:cs="Arial"/>
          <w:i w:val="0"/>
          <w:sz w:val="22"/>
          <w:szCs w:val="22"/>
        </w:rPr>
        <w:t>Proiecte de mobilitate aflate î</w:t>
      </w:r>
      <w:r w:rsidRPr="00326E18">
        <w:rPr>
          <w:rFonts w:ascii="Arial" w:hAnsi="Arial" w:cs="Arial"/>
          <w:i w:val="0"/>
          <w:sz w:val="22"/>
          <w:szCs w:val="22"/>
        </w:rPr>
        <w:t>n derulare care vor conduce la îmbunătățirea situației actuale</w:t>
      </w:r>
      <w:bookmarkEnd w:id="154"/>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567"/>
        <w:gridCol w:w="3969"/>
        <w:gridCol w:w="1276"/>
        <w:gridCol w:w="3710"/>
      </w:tblGrid>
      <w:tr w:rsidR="00457BA7" w:rsidRPr="00457BA7" w14:paraId="4ABE3D53" w14:textId="77777777" w:rsidTr="00655DD6">
        <w:trPr>
          <w:trHeight w:val="846"/>
          <w:jc w:val="center"/>
        </w:trPr>
        <w:tc>
          <w:tcPr>
            <w:tcW w:w="567" w:type="dxa"/>
            <w:tcBorders>
              <w:top w:val="single" w:sz="4" w:space="0" w:color="auto"/>
              <w:left w:val="single" w:sz="4" w:space="0" w:color="auto"/>
              <w:bottom w:val="single" w:sz="4" w:space="0" w:color="auto"/>
              <w:right w:val="single" w:sz="4" w:space="0" w:color="auto"/>
            </w:tcBorders>
            <w:shd w:val="clear" w:color="auto" w:fill="BFBFBF"/>
            <w:vAlign w:val="center"/>
          </w:tcPr>
          <w:p w14:paraId="41E0E350" w14:textId="77777777" w:rsidR="00457BA7" w:rsidRPr="00457BA7" w:rsidRDefault="00457BA7" w:rsidP="00457BA7">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457BA7">
              <w:rPr>
                <w:rFonts w:ascii="Arial Narrow" w:eastAsia="Calibri" w:hAnsi="Arial Narrow" w:cs="Arial"/>
                <w:b/>
                <w:kern w:val="1"/>
                <w:sz w:val="20"/>
                <w:szCs w:val="20"/>
                <w:lang w:val="ro-RO" w:eastAsia="hi-IN" w:bidi="hi-IN"/>
              </w:rPr>
              <w:t>Nr.</w:t>
            </w:r>
          </w:p>
          <w:p w14:paraId="6B7D5BB0" w14:textId="77777777" w:rsidR="00457BA7" w:rsidRPr="00457BA7" w:rsidRDefault="00457BA7" w:rsidP="00457BA7">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457BA7">
              <w:rPr>
                <w:rFonts w:ascii="Arial Narrow" w:eastAsia="Calibri" w:hAnsi="Arial Narrow" w:cs="Arial"/>
                <w:b/>
                <w:kern w:val="1"/>
                <w:sz w:val="20"/>
                <w:szCs w:val="20"/>
                <w:lang w:val="ro-RO" w:eastAsia="hi-IN" w:bidi="hi-IN"/>
              </w:rPr>
              <w:t>crt.</w:t>
            </w:r>
          </w:p>
        </w:tc>
        <w:tc>
          <w:tcPr>
            <w:tcW w:w="3969" w:type="dxa"/>
            <w:tcBorders>
              <w:top w:val="single" w:sz="4" w:space="0" w:color="auto"/>
              <w:left w:val="single" w:sz="4" w:space="0" w:color="auto"/>
              <w:bottom w:val="single" w:sz="4" w:space="0" w:color="auto"/>
              <w:right w:val="single" w:sz="4" w:space="0" w:color="auto"/>
            </w:tcBorders>
            <w:shd w:val="clear" w:color="auto" w:fill="BFBFBF"/>
            <w:vAlign w:val="center"/>
          </w:tcPr>
          <w:p w14:paraId="433367CC" w14:textId="77777777" w:rsidR="00457BA7" w:rsidRPr="00457BA7" w:rsidRDefault="00457BA7" w:rsidP="00457BA7">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457BA7">
              <w:rPr>
                <w:rFonts w:ascii="Arial Narrow" w:eastAsia="Calibri" w:hAnsi="Arial Narrow" w:cs="Arial"/>
                <w:b/>
                <w:kern w:val="1"/>
                <w:sz w:val="20"/>
                <w:szCs w:val="20"/>
                <w:lang w:val="ro-RO" w:eastAsia="hi-IN" w:bidi="hi-IN"/>
              </w:rPr>
              <w:t>Denumire obiectiv</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2621D680" w14:textId="77777777" w:rsidR="00457BA7" w:rsidRPr="00457BA7" w:rsidRDefault="00457BA7" w:rsidP="00457BA7">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457BA7">
              <w:rPr>
                <w:rFonts w:ascii="Arial Narrow" w:eastAsia="Calibri" w:hAnsi="Arial Narrow" w:cs="Arial"/>
                <w:b/>
                <w:kern w:val="1"/>
                <w:sz w:val="20"/>
                <w:szCs w:val="20"/>
                <w:lang w:val="ro-RO" w:eastAsia="hi-IN" w:bidi="hi-IN"/>
              </w:rPr>
              <w:t>Categorie</w:t>
            </w:r>
          </w:p>
        </w:tc>
        <w:tc>
          <w:tcPr>
            <w:tcW w:w="3710" w:type="dxa"/>
            <w:tcBorders>
              <w:top w:val="single" w:sz="4" w:space="0" w:color="auto"/>
              <w:left w:val="single" w:sz="4" w:space="0" w:color="auto"/>
              <w:bottom w:val="single" w:sz="4" w:space="0" w:color="auto"/>
              <w:right w:val="single" w:sz="4" w:space="0" w:color="auto"/>
            </w:tcBorders>
            <w:shd w:val="clear" w:color="auto" w:fill="BFBFBF"/>
            <w:vAlign w:val="center"/>
          </w:tcPr>
          <w:p w14:paraId="7B2EBAB9" w14:textId="77777777" w:rsidR="00457BA7" w:rsidRPr="00457BA7" w:rsidRDefault="00457BA7" w:rsidP="00457BA7">
            <w:pPr>
              <w:widowControl w:val="0"/>
              <w:suppressAutoHyphens/>
              <w:spacing w:after="0" w:line="240" w:lineRule="auto"/>
              <w:jc w:val="center"/>
              <w:rPr>
                <w:rFonts w:ascii="Arial Narrow" w:eastAsia="Calibri" w:hAnsi="Arial Narrow" w:cs="Arial"/>
                <w:b/>
                <w:kern w:val="1"/>
                <w:sz w:val="20"/>
                <w:szCs w:val="20"/>
                <w:lang w:val="ro-RO" w:eastAsia="hi-IN" w:bidi="hi-IN"/>
              </w:rPr>
            </w:pPr>
            <w:r w:rsidRPr="00457BA7">
              <w:rPr>
                <w:rFonts w:ascii="Arial Narrow" w:eastAsia="Calibri" w:hAnsi="Arial Narrow" w:cs="Arial"/>
                <w:b/>
                <w:kern w:val="1"/>
                <w:sz w:val="20"/>
                <w:szCs w:val="20"/>
                <w:lang w:val="ro-RO" w:eastAsia="hi-IN" w:bidi="hi-IN"/>
              </w:rPr>
              <w:t>Problema identificata</w:t>
            </w:r>
          </w:p>
        </w:tc>
      </w:tr>
      <w:tr w:rsidR="00457BA7" w:rsidRPr="00457BA7" w14:paraId="715B69F3" w14:textId="77777777" w:rsidTr="00655DD6">
        <w:trPr>
          <w:trHeight w:val="418"/>
          <w:jc w:val="center"/>
        </w:trPr>
        <w:tc>
          <w:tcPr>
            <w:tcW w:w="567" w:type="dxa"/>
            <w:tcBorders>
              <w:top w:val="single" w:sz="4" w:space="0" w:color="auto"/>
              <w:left w:val="single" w:sz="4" w:space="0" w:color="auto"/>
              <w:bottom w:val="single" w:sz="4" w:space="0" w:color="auto"/>
              <w:right w:val="single" w:sz="4" w:space="0" w:color="auto"/>
            </w:tcBorders>
          </w:tcPr>
          <w:p w14:paraId="7F436533"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1.</w:t>
            </w:r>
          </w:p>
        </w:tc>
        <w:tc>
          <w:tcPr>
            <w:tcW w:w="3969" w:type="dxa"/>
            <w:tcBorders>
              <w:top w:val="single" w:sz="4" w:space="0" w:color="auto"/>
              <w:left w:val="single" w:sz="4" w:space="0" w:color="auto"/>
              <w:bottom w:val="single" w:sz="4" w:space="0" w:color="auto"/>
              <w:right w:val="single" w:sz="4" w:space="0" w:color="auto"/>
            </w:tcBorders>
          </w:tcPr>
          <w:p w14:paraId="578E63BD" w14:textId="77777777" w:rsidR="00457BA7" w:rsidRPr="00457BA7" w:rsidRDefault="00457BA7" w:rsidP="00457BA7">
            <w:pPr>
              <w:widowControl w:val="0"/>
              <w:suppressAutoHyphens/>
              <w:spacing w:after="0" w:line="240" w:lineRule="auto"/>
              <w:rPr>
                <w:rFonts w:ascii="Arial Narrow" w:eastAsia="Calibri" w:hAnsi="Arial Narrow" w:cs="Arial"/>
                <w:kern w:val="1"/>
                <w:sz w:val="20"/>
                <w:szCs w:val="20"/>
                <w:lang w:val="ro-RO" w:eastAsia="hi-IN" w:bidi="hi-IN"/>
              </w:rPr>
            </w:pPr>
            <w:r w:rsidRPr="00457BA7">
              <w:rPr>
                <w:rFonts w:ascii="Arial Narrow" w:hAnsi="Arial Narrow" w:cs="Tahoma"/>
              </w:rPr>
              <w:t xml:space="preserve">Amenajarea zonei centrale pietonale a stațiunii </w:t>
            </w:r>
            <w:r w:rsidRPr="00457BA7">
              <w:rPr>
                <w:rFonts w:ascii="Arial Narrow" w:hAnsi="Arial Narrow" w:cs="Tahoma"/>
              </w:rPr>
              <w:lastRenderedPageBreak/>
              <w:t>turistice Horezu, județul Vâlcea, în vederea consolidării identității locale și dezvoltării turismului</w:t>
            </w:r>
          </w:p>
        </w:tc>
        <w:tc>
          <w:tcPr>
            <w:tcW w:w="1276" w:type="dxa"/>
            <w:tcBorders>
              <w:top w:val="single" w:sz="4" w:space="0" w:color="auto"/>
              <w:left w:val="single" w:sz="4" w:space="0" w:color="auto"/>
              <w:bottom w:val="single" w:sz="4" w:space="0" w:color="auto"/>
              <w:right w:val="single" w:sz="4" w:space="0" w:color="auto"/>
            </w:tcBorders>
          </w:tcPr>
          <w:p w14:paraId="0C954093"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hAnsi="Arial Narrow" w:cs="Arial"/>
                <w:kern w:val="1"/>
                <w:sz w:val="20"/>
                <w:szCs w:val="20"/>
                <w:lang w:val="ro-RO" w:eastAsia="hi-IN" w:bidi="hi-IN"/>
              </w:rPr>
              <w:lastRenderedPageBreak/>
              <w:t xml:space="preserve">Mijloace alternative de </w:t>
            </w:r>
            <w:r w:rsidRPr="00457BA7">
              <w:rPr>
                <w:rFonts w:ascii="Arial Narrow" w:hAnsi="Arial Narrow" w:cs="Arial"/>
                <w:kern w:val="1"/>
                <w:sz w:val="20"/>
                <w:szCs w:val="20"/>
                <w:lang w:val="ro-RO" w:eastAsia="hi-IN" w:bidi="hi-IN"/>
              </w:rPr>
              <w:lastRenderedPageBreak/>
              <w:t>mobilitate</w:t>
            </w:r>
          </w:p>
        </w:tc>
        <w:tc>
          <w:tcPr>
            <w:tcW w:w="3710" w:type="dxa"/>
            <w:tcBorders>
              <w:top w:val="single" w:sz="4" w:space="0" w:color="auto"/>
              <w:left w:val="single" w:sz="4" w:space="0" w:color="auto"/>
              <w:bottom w:val="single" w:sz="4" w:space="0" w:color="auto"/>
              <w:right w:val="single" w:sz="4" w:space="0" w:color="auto"/>
            </w:tcBorders>
          </w:tcPr>
          <w:p w14:paraId="54DB04FE" w14:textId="77777777" w:rsidR="00457BA7" w:rsidRPr="00457BA7" w:rsidRDefault="00457BA7" w:rsidP="00457BA7">
            <w:pPr>
              <w:widowControl w:val="0"/>
              <w:suppressAutoHyphens/>
              <w:spacing w:after="0" w:line="240" w:lineRule="auto"/>
              <w:jc w:val="both"/>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lastRenderedPageBreak/>
              <w:t>Extinderea si reabilitarea zonei pietonale.</w:t>
            </w:r>
          </w:p>
        </w:tc>
      </w:tr>
      <w:tr w:rsidR="00457BA7" w:rsidRPr="00457BA7" w14:paraId="6BE2AD11" w14:textId="77777777" w:rsidTr="00655DD6">
        <w:trPr>
          <w:trHeight w:val="787"/>
          <w:jc w:val="center"/>
        </w:trPr>
        <w:tc>
          <w:tcPr>
            <w:tcW w:w="567" w:type="dxa"/>
            <w:tcBorders>
              <w:top w:val="single" w:sz="4" w:space="0" w:color="auto"/>
              <w:left w:val="single" w:sz="4" w:space="0" w:color="auto"/>
              <w:bottom w:val="single" w:sz="4" w:space="0" w:color="auto"/>
              <w:right w:val="single" w:sz="4" w:space="0" w:color="auto"/>
            </w:tcBorders>
          </w:tcPr>
          <w:p w14:paraId="5AFC7BC6"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2.</w:t>
            </w:r>
          </w:p>
        </w:tc>
        <w:tc>
          <w:tcPr>
            <w:tcW w:w="3969" w:type="dxa"/>
            <w:tcBorders>
              <w:top w:val="single" w:sz="4" w:space="0" w:color="auto"/>
              <w:left w:val="single" w:sz="4" w:space="0" w:color="auto"/>
              <w:bottom w:val="single" w:sz="4" w:space="0" w:color="auto"/>
              <w:right w:val="single" w:sz="4" w:space="0" w:color="auto"/>
            </w:tcBorders>
          </w:tcPr>
          <w:p w14:paraId="2325355F" w14:textId="77777777" w:rsidR="00457BA7" w:rsidRPr="00457BA7" w:rsidRDefault="00457BA7" w:rsidP="00457BA7">
            <w:pPr>
              <w:widowControl w:val="0"/>
              <w:suppressAutoHyphens/>
              <w:autoSpaceDE w:val="0"/>
              <w:autoSpaceDN w:val="0"/>
              <w:adjustRightInd w:val="0"/>
              <w:spacing w:after="0" w:line="240" w:lineRule="auto"/>
              <w:rPr>
                <w:rFonts w:ascii="Arial Narrow" w:eastAsia="Calibri" w:hAnsi="Arial Narrow" w:cs="Arial"/>
                <w:kern w:val="1"/>
                <w:sz w:val="20"/>
                <w:szCs w:val="20"/>
                <w:lang w:val="ro-RO" w:eastAsia="hi-IN" w:bidi="hi-IN"/>
              </w:rPr>
            </w:pPr>
            <w:r w:rsidRPr="00457BA7">
              <w:rPr>
                <w:rFonts w:ascii="Arial Narrow" w:hAnsi="Arial Narrow" w:cs="Tahoma"/>
              </w:rPr>
              <w:t>Înființarea parcului de Agreement și recreere “Constantin Brâncoveanu” în orașul Horezu, județul Vâlcea</w:t>
            </w:r>
          </w:p>
        </w:tc>
        <w:tc>
          <w:tcPr>
            <w:tcW w:w="1276" w:type="dxa"/>
            <w:tcBorders>
              <w:top w:val="single" w:sz="4" w:space="0" w:color="auto"/>
              <w:left w:val="single" w:sz="4" w:space="0" w:color="auto"/>
              <w:bottom w:val="single" w:sz="4" w:space="0" w:color="auto"/>
              <w:right w:val="single" w:sz="4" w:space="0" w:color="auto"/>
            </w:tcBorders>
          </w:tcPr>
          <w:p w14:paraId="657D3A34" w14:textId="77777777" w:rsidR="00457BA7" w:rsidRPr="00457BA7" w:rsidRDefault="00457BA7" w:rsidP="00457BA7">
            <w:pPr>
              <w:widowControl w:val="0"/>
              <w:suppressAutoHyphens/>
              <w:spacing w:after="0" w:line="240" w:lineRule="auto"/>
              <w:jc w:val="center"/>
              <w:rPr>
                <w:rFonts w:ascii="Arial Narrow" w:hAnsi="Arial Narrow" w:cs="Arial"/>
                <w:kern w:val="1"/>
                <w:sz w:val="20"/>
                <w:szCs w:val="20"/>
                <w:lang w:val="ro-RO" w:eastAsia="hi-IN" w:bidi="hi-IN"/>
              </w:rPr>
            </w:pPr>
            <w:r w:rsidRPr="00457BA7">
              <w:rPr>
                <w:rFonts w:ascii="Arial Narrow" w:hAnsi="Arial Narrow" w:cs="Arial"/>
                <w:kern w:val="1"/>
                <w:sz w:val="20"/>
                <w:szCs w:val="20"/>
                <w:lang w:val="ro-RO" w:eastAsia="hi-IN" w:bidi="hi-IN"/>
              </w:rPr>
              <w:t>Mijloace alternative de mobilitate</w:t>
            </w:r>
          </w:p>
        </w:tc>
        <w:tc>
          <w:tcPr>
            <w:tcW w:w="3710" w:type="dxa"/>
            <w:tcBorders>
              <w:top w:val="single" w:sz="4" w:space="0" w:color="auto"/>
              <w:left w:val="single" w:sz="4" w:space="0" w:color="auto"/>
              <w:bottom w:val="single" w:sz="4" w:space="0" w:color="auto"/>
              <w:right w:val="single" w:sz="4" w:space="0" w:color="auto"/>
            </w:tcBorders>
          </w:tcPr>
          <w:p w14:paraId="102EBBAE" w14:textId="77777777" w:rsidR="00457BA7" w:rsidRPr="00457BA7" w:rsidRDefault="00457BA7" w:rsidP="00457BA7">
            <w:pPr>
              <w:widowControl w:val="0"/>
              <w:suppressAutoHyphens/>
              <w:autoSpaceDE w:val="0"/>
              <w:autoSpaceDN w:val="0"/>
              <w:adjustRightInd w:val="0"/>
              <w:spacing w:after="0" w:line="240" w:lineRule="auto"/>
              <w:rPr>
                <w:rFonts w:ascii="Arial Narrow" w:eastAsia="Calibri" w:hAnsi="Arial Narrow" w:cs="Arial"/>
                <w:kern w:val="1"/>
                <w:sz w:val="20"/>
                <w:szCs w:val="20"/>
                <w:lang w:val="ro-RO" w:eastAsia="hi-IN" w:bidi="hi-IN"/>
              </w:rPr>
            </w:pPr>
            <w:r w:rsidRPr="00457BA7">
              <w:rPr>
                <w:rFonts w:ascii="Arial Narrow" w:eastAsia="CIDFont+F1" w:hAnsi="Arial Narrow" w:cs="CIDFont+F1"/>
                <w:kern w:val="1"/>
                <w:sz w:val="20"/>
                <w:szCs w:val="20"/>
                <w:lang w:val="en-GB" w:eastAsia="en-GB" w:bidi="hi-IN"/>
              </w:rPr>
              <w:t xml:space="preserve">Extinderea zonelor pietonale </w:t>
            </w:r>
            <w:r>
              <w:rPr>
                <w:rFonts w:ascii="Arial Narrow" w:eastAsia="CIDFont+F1" w:hAnsi="Arial Narrow" w:cs="CIDFont+F1"/>
                <w:kern w:val="1"/>
                <w:sz w:val="20"/>
                <w:szCs w:val="20"/>
                <w:lang w:val="en-GB" w:eastAsia="en-GB" w:bidi="hi-IN"/>
              </w:rPr>
              <w:t>ș</w:t>
            </w:r>
            <w:r w:rsidRPr="00457BA7">
              <w:rPr>
                <w:rFonts w:ascii="Arial Narrow" w:eastAsia="CIDFont+F1" w:hAnsi="Arial Narrow" w:cs="CIDFont+F1"/>
                <w:kern w:val="1"/>
                <w:sz w:val="20"/>
                <w:szCs w:val="20"/>
                <w:lang w:val="en-GB" w:eastAsia="en-GB" w:bidi="hi-IN"/>
              </w:rPr>
              <w:t>i a facilit</w:t>
            </w:r>
            <w:r>
              <w:rPr>
                <w:rFonts w:ascii="Arial Narrow" w:eastAsia="CIDFont+F1" w:hAnsi="Arial Narrow" w:cs="CIDFont+F1"/>
                <w:kern w:val="1"/>
                <w:sz w:val="20"/>
                <w:szCs w:val="20"/>
                <w:lang w:val="en-GB" w:eastAsia="en-GB" w:bidi="hi-IN"/>
              </w:rPr>
              <w:t>ăț</w:t>
            </w:r>
            <w:r w:rsidRPr="00457BA7">
              <w:rPr>
                <w:rFonts w:ascii="Arial Narrow" w:eastAsia="CIDFont+F1" w:hAnsi="Arial Narrow" w:cs="CIDFont+F1"/>
                <w:kern w:val="1"/>
                <w:sz w:val="20"/>
                <w:szCs w:val="20"/>
                <w:lang w:val="en-GB" w:eastAsia="en-GB" w:bidi="hi-IN"/>
              </w:rPr>
              <w:t>ilor pentru micromobilitate.</w:t>
            </w:r>
          </w:p>
        </w:tc>
      </w:tr>
      <w:tr w:rsidR="00457BA7" w:rsidRPr="00457BA7" w14:paraId="54EE14CB" w14:textId="77777777" w:rsidTr="00655DD6">
        <w:trPr>
          <w:trHeight w:val="787"/>
          <w:jc w:val="center"/>
        </w:trPr>
        <w:tc>
          <w:tcPr>
            <w:tcW w:w="567" w:type="dxa"/>
            <w:tcBorders>
              <w:top w:val="single" w:sz="4" w:space="0" w:color="auto"/>
              <w:left w:val="single" w:sz="4" w:space="0" w:color="auto"/>
              <w:bottom w:val="single" w:sz="4" w:space="0" w:color="auto"/>
              <w:right w:val="single" w:sz="4" w:space="0" w:color="auto"/>
            </w:tcBorders>
          </w:tcPr>
          <w:p w14:paraId="7216617B"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3.</w:t>
            </w:r>
          </w:p>
        </w:tc>
        <w:tc>
          <w:tcPr>
            <w:tcW w:w="3969" w:type="dxa"/>
            <w:tcBorders>
              <w:top w:val="single" w:sz="4" w:space="0" w:color="auto"/>
              <w:left w:val="single" w:sz="4" w:space="0" w:color="auto"/>
              <w:bottom w:val="single" w:sz="4" w:space="0" w:color="auto"/>
              <w:right w:val="single" w:sz="4" w:space="0" w:color="auto"/>
            </w:tcBorders>
          </w:tcPr>
          <w:p w14:paraId="5FA692B5" w14:textId="77777777" w:rsidR="00457BA7" w:rsidRPr="00457BA7" w:rsidRDefault="00457BA7" w:rsidP="00457BA7">
            <w:pPr>
              <w:widowControl w:val="0"/>
              <w:suppressAutoHyphens/>
              <w:autoSpaceDE w:val="0"/>
              <w:autoSpaceDN w:val="0"/>
              <w:adjustRightInd w:val="0"/>
              <w:spacing w:after="0" w:line="240" w:lineRule="auto"/>
              <w:rPr>
                <w:rFonts w:ascii="Arial Narrow" w:hAnsi="Arial Narrow" w:cs="Tahoma"/>
              </w:rPr>
            </w:pPr>
            <w:r w:rsidRPr="00457BA7">
              <w:rPr>
                <w:rFonts w:ascii="Arial Narrow" w:hAnsi="Arial Narrow" w:cs="Tahoma"/>
              </w:rPr>
              <w:t>Reabilitarea, modernizarea și extinderea zonei centrale pietonale, a spațiului verde și a trotuarelor în Stațiunea Turistică Horezu, jud. Vâlcea</w:t>
            </w:r>
          </w:p>
        </w:tc>
        <w:tc>
          <w:tcPr>
            <w:tcW w:w="1276" w:type="dxa"/>
            <w:tcBorders>
              <w:top w:val="single" w:sz="4" w:space="0" w:color="auto"/>
              <w:left w:val="single" w:sz="4" w:space="0" w:color="auto"/>
              <w:bottom w:val="single" w:sz="4" w:space="0" w:color="auto"/>
              <w:right w:val="single" w:sz="4" w:space="0" w:color="auto"/>
            </w:tcBorders>
          </w:tcPr>
          <w:p w14:paraId="145720AB" w14:textId="77777777" w:rsidR="00457BA7" w:rsidRPr="00457BA7" w:rsidRDefault="00457BA7" w:rsidP="00457BA7">
            <w:pPr>
              <w:widowControl w:val="0"/>
              <w:suppressAutoHyphens/>
              <w:spacing w:after="0" w:line="240" w:lineRule="auto"/>
              <w:jc w:val="center"/>
              <w:rPr>
                <w:rFonts w:ascii="Arial Narrow" w:hAnsi="Arial Narrow" w:cs="Arial"/>
                <w:kern w:val="1"/>
                <w:sz w:val="20"/>
                <w:szCs w:val="20"/>
                <w:lang w:val="ro-RO" w:eastAsia="hi-IN" w:bidi="hi-IN"/>
              </w:rPr>
            </w:pPr>
            <w:r w:rsidRPr="00457BA7">
              <w:rPr>
                <w:rFonts w:ascii="Arial Narrow" w:hAnsi="Arial Narrow" w:cs="Arial"/>
                <w:kern w:val="1"/>
                <w:sz w:val="20"/>
                <w:szCs w:val="20"/>
                <w:lang w:val="ro-RO" w:eastAsia="hi-IN" w:bidi="hi-IN"/>
              </w:rPr>
              <w:t>Mijloace alternative de mobilitate</w:t>
            </w:r>
          </w:p>
        </w:tc>
        <w:tc>
          <w:tcPr>
            <w:tcW w:w="3710" w:type="dxa"/>
            <w:tcBorders>
              <w:top w:val="single" w:sz="4" w:space="0" w:color="auto"/>
              <w:left w:val="single" w:sz="4" w:space="0" w:color="auto"/>
              <w:bottom w:val="single" w:sz="4" w:space="0" w:color="auto"/>
              <w:right w:val="single" w:sz="4" w:space="0" w:color="auto"/>
            </w:tcBorders>
          </w:tcPr>
          <w:p w14:paraId="6D8CFDB6" w14:textId="77777777" w:rsidR="00457BA7" w:rsidRPr="00457BA7" w:rsidRDefault="00457BA7" w:rsidP="00457BA7">
            <w:pPr>
              <w:widowControl w:val="0"/>
              <w:suppressAutoHyphens/>
              <w:spacing w:after="0" w:line="240" w:lineRule="auto"/>
              <w:jc w:val="both"/>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 xml:space="preserve">Extinderea </w:t>
            </w:r>
            <w:r>
              <w:rPr>
                <w:rFonts w:ascii="Arial Narrow" w:eastAsia="Calibri" w:hAnsi="Arial Narrow" w:cs="Arial"/>
                <w:kern w:val="1"/>
                <w:sz w:val="20"/>
                <w:szCs w:val="20"/>
                <w:lang w:val="ro-RO" w:eastAsia="hi-IN" w:bidi="hi-IN"/>
              </w:rPr>
              <w:t>ș</w:t>
            </w:r>
            <w:r w:rsidRPr="00457BA7">
              <w:rPr>
                <w:rFonts w:ascii="Arial Narrow" w:eastAsia="Calibri" w:hAnsi="Arial Narrow" w:cs="Arial"/>
                <w:kern w:val="1"/>
                <w:sz w:val="20"/>
                <w:szCs w:val="20"/>
                <w:lang w:val="ro-RO" w:eastAsia="hi-IN" w:bidi="hi-IN"/>
              </w:rPr>
              <w:t>i reabilitarea zonei pietonale.</w:t>
            </w:r>
          </w:p>
        </w:tc>
      </w:tr>
      <w:tr w:rsidR="00457BA7" w:rsidRPr="00457BA7" w14:paraId="4D924E68" w14:textId="77777777" w:rsidTr="00655DD6">
        <w:trPr>
          <w:trHeight w:val="787"/>
          <w:jc w:val="center"/>
        </w:trPr>
        <w:tc>
          <w:tcPr>
            <w:tcW w:w="567" w:type="dxa"/>
            <w:tcBorders>
              <w:top w:val="single" w:sz="4" w:space="0" w:color="auto"/>
              <w:left w:val="single" w:sz="4" w:space="0" w:color="auto"/>
              <w:bottom w:val="single" w:sz="4" w:space="0" w:color="auto"/>
              <w:right w:val="single" w:sz="4" w:space="0" w:color="auto"/>
            </w:tcBorders>
          </w:tcPr>
          <w:p w14:paraId="4CA09C51"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4.</w:t>
            </w:r>
          </w:p>
        </w:tc>
        <w:tc>
          <w:tcPr>
            <w:tcW w:w="3969" w:type="dxa"/>
            <w:tcBorders>
              <w:top w:val="single" w:sz="4" w:space="0" w:color="auto"/>
              <w:left w:val="single" w:sz="4" w:space="0" w:color="auto"/>
              <w:bottom w:val="single" w:sz="4" w:space="0" w:color="auto"/>
              <w:right w:val="single" w:sz="4" w:space="0" w:color="auto"/>
            </w:tcBorders>
          </w:tcPr>
          <w:p w14:paraId="4899B0D5" w14:textId="77777777" w:rsidR="00457BA7" w:rsidRPr="00457BA7" w:rsidRDefault="00457BA7" w:rsidP="00457BA7">
            <w:pPr>
              <w:widowControl w:val="0"/>
              <w:suppressAutoHyphens/>
              <w:autoSpaceDE w:val="0"/>
              <w:autoSpaceDN w:val="0"/>
              <w:adjustRightInd w:val="0"/>
              <w:spacing w:after="0" w:line="240" w:lineRule="auto"/>
              <w:rPr>
                <w:rFonts w:ascii="Arial Narrow" w:hAnsi="Arial Narrow" w:cs="Tahoma"/>
              </w:rPr>
            </w:pPr>
            <w:r w:rsidRPr="00457BA7">
              <w:rPr>
                <w:rFonts w:ascii="Arial Narrow" w:hAnsi="Arial Narrow" w:cs="Tahoma"/>
              </w:rPr>
              <w:t>Reabilitare străzi în Orașul Horezu, jud. Vâlcea: Nicolae Bălcescu, Rom</w:t>
            </w:r>
            <w:r>
              <w:rPr>
                <w:rFonts w:ascii="Arial Narrow" w:hAnsi="Arial Narrow" w:cs="Tahoma"/>
              </w:rPr>
              <w:t>a</w:t>
            </w:r>
            <w:r w:rsidRPr="00457BA7">
              <w:rPr>
                <w:rFonts w:ascii="Arial Narrow" w:hAnsi="Arial Narrow" w:cs="Tahoma"/>
              </w:rPr>
              <w:t>ni, Căpitan Maldăr, Ion Creangă, Zavoiului, Florilor, Stadionului, Parcul Industrial, Eroilor, Iancu Jianu, Anton Pann, Unirii, Olari, George Coșbuc, Moc</w:t>
            </w:r>
            <w:r>
              <w:rPr>
                <w:rFonts w:ascii="Arial Narrow" w:hAnsi="Arial Narrow" w:cs="Tahoma"/>
              </w:rPr>
              <w:t>ă</w:t>
            </w:r>
            <w:r w:rsidRPr="00457BA7">
              <w:rPr>
                <w:rFonts w:ascii="Arial Narrow" w:hAnsi="Arial Narrow" w:cs="Tahoma"/>
              </w:rPr>
              <w:t>nitei, Constantin Brâncoveanu</w:t>
            </w:r>
          </w:p>
        </w:tc>
        <w:tc>
          <w:tcPr>
            <w:tcW w:w="1276" w:type="dxa"/>
            <w:tcBorders>
              <w:top w:val="single" w:sz="4" w:space="0" w:color="auto"/>
              <w:left w:val="single" w:sz="4" w:space="0" w:color="auto"/>
              <w:bottom w:val="single" w:sz="4" w:space="0" w:color="auto"/>
              <w:right w:val="single" w:sz="4" w:space="0" w:color="auto"/>
            </w:tcBorders>
          </w:tcPr>
          <w:p w14:paraId="4B21BA50" w14:textId="77777777" w:rsidR="00457BA7" w:rsidRPr="00457BA7" w:rsidRDefault="00457BA7" w:rsidP="00457BA7">
            <w:pPr>
              <w:widowControl w:val="0"/>
              <w:suppressAutoHyphens/>
              <w:spacing w:after="0" w:line="240" w:lineRule="auto"/>
              <w:jc w:val="center"/>
              <w:rPr>
                <w:rFonts w:ascii="Arial Narrow" w:hAnsi="Arial Narrow" w:cs="Arial"/>
                <w:kern w:val="1"/>
                <w:sz w:val="20"/>
                <w:szCs w:val="20"/>
                <w:lang w:val="ro-RO" w:eastAsia="hi-IN" w:bidi="hi-IN"/>
              </w:rPr>
            </w:pPr>
            <w:r w:rsidRPr="00457BA7">
              <w:rPr>
                <w:rFonts w:ascii="Arial Narrow" w:hAnsi="Arial Narrow" w:cs="Arial"/>
                <w:kern w:val="1"/>
                <w:sz w:val="20"/>
                <w:szCs w:val="20"/>
                <w:lang w:val="ro-RO" w:eastAsia="hi-IN" w:bidi="hi-IN"/>
              </w:rPr>
              <w:t>Infrastructura rutier</w:t>
            </w:r>
            <w:r w:rsidR="00FE2951">
              <w:rPr>
                <w:rFonts w:ascii="Arial Narrow" w:hAnsi="Arial Narrow" w:cs="Arial"/>
                <w:kern w:val="1"/>
                <w:sz w:val="20"/>
                <w:szCs w:val="20"/>
                <w:lang w:val="ro-RO" w:eastAsia="hi-IN" w:bidi="hi-IN"/>
              </w:rPr>
              <w:t>ă</w:t>
            </w:r>
          </w:p>
        </w:tc>
        <w:tc>
          <w:tcPr>
            <w:tcW w:w="3710" w:type="dxa"/>
            <w:tcBorders>
              <w:top w:val="single" w:sz="4" w:space="0" w:color="auto"/>
              <w:left w:val="single" w:sz="4" w:space="0" w:color="auto"/>
              <w:bottom w:val="single" w:sz="4" w:space="0" w:color="auto"/>
              <w:right w:val="single" w:sz="4" w:space="0" w:color="auto"/>
            </w:tcBorders>
          </w:tcPr>
          <w:p w14:paraId="67F56E38" w14:textId="77777777" w:rsidR="00457BA7" w:rsidRPr="00457BA7" w:rsidRDefault="00457BA7" w:rsidP="00457BA7">
            <w:pPr>
              <w:widowControl w:val="0"/>
              <w:suppressAutoHyphens/>
              <w:spacing w:after="0" w:line="240" w:lineRule="auto"/>
              <w:jc w:val="both"/>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 xml:space="preserve">Reabilitarea </w:t>
            </w:r>
            <w:r>
              <w:rPr>
                <w:rFonts w:ascii="Arial Narrow" w:eastAsia="Calibri" w:hAnsi="Arial Narrow" w:cs="Arial"/>
                <w:kern w:val="1"/>
                <w:sz w:val="20"/>
                <w:szCs w:val="20"/>
                <w:lang w:val="ro-RO" w:eastAsia="hi-IN" w:bidi="hi-IN"/>
              </w:rPr>
              <w:t>ș</w:t>
            </w:r>
            <w:r w:rsidRPr="00457BA7">
              <w:rPr>
                <w:rFonts w:ascii="Arial Narrow" w:eastAsia="Calibri" w:hAnsi="Arial Narrow" w:cs="Arial"/>
                <w:kern w:val="1"/>
                <w:sz w:val="20"/>
                <w:szCs w:val="20"/>
                <w:lang w:val="ro-RO" w:eastAsia="hi-IN" w:bidi="hi-IN"/>
              </w:rPr>
              <w:t>i modernizarea infrastructurii rutiere.</w:t>
            </w:r>
          </w:p>
        </w:tc>
      </w:tr>
      <w:tr w:rsidR="00457BA7" w:rsidRPr="00457BA7" w14:paraId="70820DFB" w14:textId="77777777" w:rsidTr="00655DD6">
        <w:trPr>
          <w:trHeight w:val="787"/>
          <w:jc w:val="center"/>
        </w:trPr>
        <w:tc>
          <w:tcPr>
            <w:tcW w:w="567" w:type="dxa"/>
            <w:tcBorders>
              <w:top w:val="single" w:sz="4" w:space="0" w:color="auto"/>
              <w:left w:val="single" w:sz="4" w:space="0" w:color="auto"/>
              <w:bottom w:val="single" w:sz="4" w:space="0" w:color="auto"/>
              <w:right w:val="single" w:sz="4" w:space="0" w:color="auto"/>
            </w:tcBorders>
          </w:tcPr>
          <w:p w14:paraId="00D6D37C"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5.</w:t>
            </w:r>
          </w:p>
        </w:tc>
        <w:tc>
          <w:tcPr>
            <w:tcW w:w="3969" w:type="dxa"/>
            <w:tcBorders>
              <w:top w:val="single" w:sz="4" w:space="0" w:color="auto"/>
              <w:left w:val="single" w:sz="4" w:space="0" w:color="auto"/>
              <w:bottom w:val="single" w:sz="4" w:space="0" w:color="auto"/>
              <w:right w:val="single" w:sz="4" w:space="0" w:color="auto"/>
            </w:tcBorders>
          </w:tcPr>
          <w:p w14:paraId="4C7BFE82" w14:textId="77777777" w:rsidR="00457BA7" w:rsidRPr="00457BA7" w:rsidRDefault="00457BA7" w:rsidP="00457BA7">
            <w:pPr>
              <w:widowControl w:val="0"/>
              <w:suppressAutoHyphens/>
              <w:autoSpaceDE w:val="0"/>
              <w:autoSpaceDN w:val="0"/>
              <w:adjustRightInd w:val="0"/>
              <w:spacing w:after="0" w:line="240" w:lineRule="auto"/>
              <w:rPr>
                <w:rFonts w:ascii="Arial Narrow" w:hAnsi="Arial Narrow" w:cs="Tahoma"/>
              </w:rPr>
            </w:pPr>
            <w:r w:rsidRPr="00457BA7">
              <w:rPr>
                <w:rFonts w:ascii="Arial Narrow" w:hAnsi="Arial Narrow" w:cs="Tahoma"/>
              </w:rPr>
              <w:t>Reabilitare și modernizare străzi în Orașul Horezu, jud. Vâlcea: I. Gh. Duc</w:t>
            </w:r>
            <w:r>
              <w:rPr>
                <w:rFonts w:ascii="Arial Narrow" w:hAnsi="Arial Narrow" w:cs="Tahoma"/>
              </w:rPr>
              <w:t>a</w:t>
            </w:r>
            <w:r w:rsidRPr="00457BA7">
              <w:rPr>
                <w:rFonts w:ascii="Arial Narrow" w:hAnsi="Arial Narrow" w:cs="Tahoma"/>
              </w:rPr>
              <w:t>, Ur</w:t>
            </w:r>
            <w:r>
              <w:rPr>
                <w:rFonts w:ascii="Arial Narrow" w:hAnsi="Arial Narrow" w:cs="Tahoma"/>
              </w:rPr>
              <w:t>ș</w:t>
            </w:r>
            <w:r w:rsidRPr="00457BA7">
              <w:rPr>
                <w:rFonts w:ascii="Arial Narrow" w:hAnsi="Arial Narrow" w:cs="Tahoma"/>
              </w:rPr>
              <w:t>ani, Mihai Eminescu, Al. Vlahuță, Matei Basarab, 9 Mai 1877, Valea Ursului și Arice</w:t>
            </w:r>
            <w:r>
              <w:rPr>
                <w:rFonts w:ascii="Arial Narrow" w:hAnsi="Arial Narrow" w:cs="Tahoma"/>
              </w:rPr>
              <w:t>ș</w:t>
            </w:r>
            <w:r w:rsidRPr="00457BA7">
              <w:rPr>
                <w:rFonts w:ascii="Arial Narrow" w:hAnsi="Arial Narrow" w:cs="Tahoma"/>
              </w:rPr>
              <w:t>ti</w:t>
            </w:r>
          </w:p>
        </w:tc>
        <w:tc>
          <w:tcPr>
            <w:tcW w:w="1276" w:type="dxa"/>
            <w:tcBorders>
              <w:top w:val="single" w:sz="4" w:space="0" w:color="auto"/>
              <w:left w:val="single" w:sz="4" w:space="0" w:color="auto"/>
              <w:bottom w:val="single" w:sz="4" w:space="0" w:color="auto"/>
              <w:right w:val="single" w:sz="4" w:space="0" w:color="auto"/>
            </w:tcBorders>
          </w:tcPr>
          <w:p w14:paraId="4BDF9F7D" w14:textId="77777777" w:rsidR="00457BA7" w:rsidRPr="00457BA7" w:rsidRDefault="00457BA7" w:rsidP="00457BA7">
            <w:pPr>
              <w:widowControl w:val="0"/>
              <w:suppressAutoHyphens/>
              <w:spacing w:after="0" w:line="240" w:lineRule="auto"/>
              <w:jc w:val="center"/>
              <w:rPr>
                <w:rFonts w:ascii="Arial Narrow" w:hAnsi="Arial Narrow" w:cs="Arial"/>
                <w:kern w:val="1"/>
                <w:sz w:val="20"/>
                <w:szCs w:val="20"/>
                <w:lang w:val="ro-RO" w:eastAsia="hi-IN" w:bidi="hi-IN"/>
              </w:rPr>
            </w:pPr>
            <w:r w:rsidRPr="00457BA7">
              <w:rPr>
                <w:rFonts w:ascii="Arial Narrow" w:hAnsi="Arial Narrow" w:cs="Arial"/>
                <w:kern w:val="1"/>
                <w:sz w:val="20"/>
                <w:szCs w:val="20"/>
                <w:lang w:val="ro-RO" w:eastAsia="hi-IN" w:bidi="hi-IN"/>
              </w:rPr>
              <w:t>Infrastructura rutier</w:t>
            </w:r>
            <w:r w:rsidR="00FE2951">
              <w:rPr>
                <w:rFonts w:ascii="Arial Narrow" w:hAnsi="Arial Narrow" w:cs="Arial"/>
                <w:kern w:val="1"/>
                <w:sz w:val="20"/>
                <w:szCs w:val="20"/>
                <w:lang w:val="ro-RO" w:eastAsia="hi-IN" w:bidi="hi-IN"/>
              </w:rPr>
              <w:t>ă</w:t>
            </w:r>
          </w:p>
        </w:tc>
        <w:tc>
          <w:tcPr>
            <w:tcW w:w="3710" w:type="dxa"/>
            <w:tcBorders>
              <w:top w:val="single" w:sz="4" w:space="0" w:color="auto"/>
              <w:left w:val="single" w:sz="4" w:space="0" w:color="auto"/>
              <w:bottom w:val="single" w:sz="4" w:space="0" w:color="auto"/>
              <w:right w:val="single" w:sz="4" w:space="0" w:color="auto"/>
            </w:tcBorders>
          </w:tcPr>
          <w:p w14:paraId="5CF650AE" w14:textId="77777777" w:rsidR="00457BA7" w:rsidRPr="00457BA7" w:rsidRDefault="00457BA7" w:rsidP="00457BA7">
            <w:pPr>
              <w:widowControl w:val="0"/>
              <w:suppressAutoHyphens/>
              <w:spacing w:after="0" w:line="240" w:lineRule="auto"/>
              <w:jc w:val="both"/>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 xml:space="preserve">Reabilitarea </w:t>
            </w:r>
            <w:r>
              <w:rPr>
                <w:rFonts w:ascii="Arial Narrow" w:eastAsia="Calibri" w:hAnsi="Arial Narrow" w:cs="Arial"/>
                <w:kern w:val="1"/>
                <w:sz w:val="20"/>
                <w:szCs w:val="20"/>
                <w:lang w:val="ro-RO" w:eastAsia="hi-IN" w:bidi="hi-IN"/>
              </w:rPr>
              <w:t>ș</w:t>
            </w:r>
            <w:r w:rsidRPr="00457BA7">
              <w:rPr>
                <w:rFonts w:ascii="Arial Narrow" w:eastAsia="Calibri" w:hAnsi="Arial Narrow" w:cs="Arial"/>
                <w:kern w:val="1"/>
                <w:sz w:val="20"/>
                <w:szCs w:val="20"/>
                <w:lang w:val="ro-RO" w:eastAsia="hi-IN" w:bidi="hi-IN"/>
              </w:rPr>
              <w:t>i modernizarea infrastructurii rutiere.</w:t>
            </w:r>
          </w:p>
        </w:tc>
      </w:tr>
      <w:tr w:rsidR="00457BA7" w:rsidRPr="00457BA7" w14:paraId="31A5D6E6" w14:textId="77777777" w:rsidTr="00655DD6">
        <w:trPr>
          <w:trHeight w:val="787"/>
          <w:jc w:val="center"/>
        </w:trPr>
        <w:tc>
          <w:tcPr>
            <w:tcW w:w="567" w:type="dxa"/>
            <w:tcBorders>
              <w:top w:val="single" w:sz="4" w:space="0" w:color="auto"/>
              <w:left w:val="single" w:sz="4" w:space="0" w:color="auto"/>
              <w:bottom w:val="single" w:sz="4" w:space="0" w:color="auto"/>
              <w:right w:val="single" w:sz="4" w:space="0" w:color="auto"/>
            </w:tcBorders>
          </w:tcPr>
          <w:p w14:paraId="485F502B"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6.</w:t>
            </w:r>
          </w:p>
        </w:tc>
        <w:tc>
          <w:tcPr>
            <w:tcW w:w="3969" w:type="dxa"/>
            <w:tcBorders>
              <w:top w:val="single" w:sz="4" w:space="0" w:color="auto"/>
              <w:left w:val="single" w:sz="4" w:space="0" w:color="auto"/>
              <w:bottom w:val="single" w:sz="4" w:space="0" w:color="auto"/>
              <w:right w:val="single" w:sz="4" w:space="0" w:color="auto"/>
            </w:tcBorders>
          </w:tcPr>
          <w:p w14:paraId="0B935060" w14:textId="77777777" w:rsidR="00457BA7" w:rsidRPr="00457BA7" w:rsidRDefault="00457BA7" w:rsidP="00457BA7">
            <w:pPr>
              <w:widowControl w:val="0"/>
              <w:suppressAutoHyphens/>
              <w:autoSpaceDE w:val="0"/>
              <w:autoSpaceDN w:val="0"/>
              <w:adjustRightInd w:val="0"/>
              <w:spacing w:after="0" w:line="240" w:lineRule="auto"/>
              <w:rPr>
                <w:rFonts w:ascii="Arial Narrow" w:hAnsi="Arial Narrow" w:cs="Tahoma"/>
              </w:rPr>
            </w:pPr>
            <w:r w:rsidRPr="00457BA7">
              <w:rPr>
                <w:rFonts w:ascii="Arial Narrow" w:hAnsi="Arial Narrow" w:cs="Tahoma"/>
              </w:rPr>
              <w:t>Lucr</w:t>
            </w:r>
            <w:r>
              <w:rPr>
                <w:rFonts w:ascii="Arial Narrow" w:hAnsi="Arial Narrow" w:cs="Tahoma"/>
              </w:rPr>
              <w:t>ă</w:t>
            </w:r>
            <w:r w:rsidRPr="00457BA7">
              <w:rPr>
                <w:rFonts w:ascii="Arial Narrow" w:hAnsi="Arial Narrow" w:cs="Tahoma"/>
              </w:rPr>
              <w:t xml:space="preserve">ri de punere </w:t>
            </w:r>
            <w:r>
              <w:rPr>
                <w:rFonts w:ascii="Arial Narrow" w:hAnsi="Arial Narrow" w:cs="Tahoma"/>
              </w:rPr>
              <w:t>î</w:t>
            </w:r>
            <w:r w:rsidRPr="00457BA7">
              <w:rPr>
                <w:rFonts w:ascii="Arial Narrow" w:hAnsi="Arial Narrow" w:cs="Tahoma"/>
              </w:rPr>
              <w:t>n siguran</w:t>
            </w:r>
            <w:r>
              <w:rPr>
                <w:rFonts w:ascii="Arial Narrow" w:hAnsi="Arial Narrow" w:cs="Tahoma"/>
              </w:rPr>
              <w:t>ță</w:t>
            </w:r>
            <w:r w:rsidRPr="00457BA7">
              <w:rPr>
                <w:rFonts w:ascii="Arial Narrow" w:hAnsi="Arial Narrow" w:cs="Tahoma"/>
              </w:rPr>
              <w:t xml:space="preserve"> a str</w:t>
            </w:r>
            <w:r>
              <w:rPr>
                <w:rFonts w:ascii="Arial Narrow" w:hAnsi="Arial Narrow" w:cs="Tahoma"/>
              </w:rPr>
              <w:t>ă</w:t>
            </w:r>
            <w:r w:rsidRPr="00457BA7">
              <w:rPr>
                <w:rFonts w:ascii="Arial Narrow" w:hAnsi="Arial Narrow" w:cs="Tahoma"/>
              </w:rPr>
              <w:t>zii Lunga – V</w:t>
            </w:r>
            <w:r>
              <w:rPr>
                <w:rFonts w:ascii="Arial Narrow" w:hAnsi="Arial Narrow" w:cs="Tahoma"/>
              </w:rPr>
              <w:t>â</w:t>
            </w:r>
            <w:r w:rsidRPr="00457BA7">
              <w:rPr>
                <w:rFonts w:ascii="Arial Narrow" w:hAnsi="Arial Narrow" w:cs="Tahoma"/>
              </w:rPr>
              <w:t>rfu’ lu’ Roman, pe o lungime de 10 km, Ora</w:t>
            </w:r>
            <w:r w:rsidR="00FE2951">
              <w:rPr>
                <w:rFonts w:ascii="Arial Narrow" w:hAnsi="Arial Narrow" w:cs="Tahoma"/>
              </w:rPr>
              <w:t>ș</w:t>
            </w:r>
            <w:r w:rsidRPr="00457BA7">
              <w:rPr>
                <w:rFonts w:ascii="Arial Narrow" w:hAnsi="Arial Narrow" w:cs="Tahoma"/>
              </w:rPr>
              <w:t>ul Horezu, Jude</w:t>
            </w:r>
            <w:r w:rsidR="00FE2951">
              <w:rPr>
                <w:rFonts w:ascii="Arial Narrow" w:hAnsi="Arial Narrow" w:cs="Tahoma"/>
              </w:rPr>
              <w:t>ț</w:t>
            </w:r>
            <w:r w:rsidRPr="00457BA7">
              <w:rPr>
                <w:rFonts w:ascii="Arial Narrow" w:hAnsi="Arial Narrow" w:cs="Tahoma"/>
              </w:rPr>
              <w:t>ul V</w:t>
            </w:r>
            <w:r w:rsidR="00FE2951">
              <w:rPr>
                <w:rFonts w:ascii="Arial Narrow" w:hAnsi="Arial Narrow" w:cs="Tahoma"/>
              </w:rPr>
              <w:t>â</w:t>
            </w:r>
            <w:r w:rsidRPr="00457BA7">
              <w:rPr>
                <w:rFonts w:ascii="Arial Narrow" w:hAnsi="Arial Narrow" w:cs="Tahoma"/>
              </w:rPr>
              <w:t>lcea.</w:t>
            </w:r>
          </w:p>
        </w:tc>
        <w:tc>
          <w:tcPr>
            <w:tcW w:w="1276" w:type="dxa"/>
            <w:tcBorders>
              <w:top w:val="single" w:sz="4" w:space="0" w:color="auto"/>
              <w:left w:val="single" w:sz="4" w:space="0" w:color="auto"/>
              <w:bottom w:val="single" w:sz="4" w:space="0" w:color="auto"/>
              <w:right w:val="single" w:sz="4" w:space="0" w:color="auto"/>
            </w:tcBorders>
          </w:tcPr>
          <w:p w14:paraId="2D7F22AE" w14:textId="77777777" w:rsidR="00457BA7" w:rsidRPr="00457BA7" w:rsidRDefault="00457BA7" w:rsidP="00457BA7">
            <w:pPr>
              <w:widowControl w:val="0"/>
              <w:suppressAutoHyphens/>
              <w:spacing w:after="0" w:line="240" w:lineRule="auto"/>
              <w:jc w:val="center"/>
              <w:rPr>
                <w:rFonts w:ascii="Arial Narrow" w:hAnsi="Arial Narrow" w:cs="Arial"/>
                <w:kern w:val="1"/>
                <w:sz w:val="20"/>
                <w:szCs w:val="20"/>
                <w:lang w:val="ro-RO" w:eastAsia="hi-IN" w:bidi="hi-IN"/>
              </w:rPr>
            </w:pPr>
            <w:r w:rsidRPr="00457BA7">
              <w:rPr>
                <w:rFonts w:ascii="Arial Narrow" w:hAnsi="Arial Narrow" w:cs="Arial"/>
                <w:kern w:val="1"/>
                <w:sz w:val="20"/>
                <w:szCs w:val="20"/>
                <w:lang w:val="ro-RO" w:eastAsia="hi-IN" w:bidi="hi-IN"/>
              </w:rPr>
              <w:t>Infrastructura rutier</w:t>
            </w:r>
            <w:r w:rsidR="00FE2951">
              <w:rPr>
                <w:rFonts w:ascii="Arial Narrow" w:hAnsi="Arial Narrow" w:cs="Arial"/>
                <w:kern w:val="1"/>
                <w:sz w:val="20"/>
                <w:szCs w:val="20"/>
                <w:lang w:val="ro-RO" w:eastAsia="hi-IN" w:bidi="hi-IN"/>
              </w:rPr>
              <w:t>ă</w:t>
            </w:r>
          </w:p>
        </w:tc>
        <w:tc>
          <w:tcPr>
            <w:tcW w:w="3710" w:type="dxa"/>
            <w:tcBorders>
              <w:top w:val="single" w:sz="4" w:space="0" w:color="auto"/>
              <w:left w:val="single" w:sz="4" w:space="0" w:color="auto"/>
              <w:bottom w:val="single" w:sz="4" w:space="0" w:color="auto"/>
              <w:right w:val="single" w:sz="4" w:space="0" w:color="auto"/>
            </w:tcBorders>
          </w:tcPr>
          <w:p w14:paraId="016242B5" w14:textId="77777777" w:rsidR="00457BA7" w:rsidRPr="00457BA7" w:rsidRDefault="00457BA7" w:rsidP="00457BA7">
            <w:pPr>
              <w:widowControl w:val="0"/>
              <w:suppressAutoHyphens/>
              <w:spacing w:after="0" w:line="240" w:lineRule="auto"/>
              <w:jc w:val="both"/>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Reabilitarea si modernizarea infrastructurii rutiere.</w:t>
            </w:r>
          </w:p>
        </w:tc>
      </w:tr>
      <w:tr w:rsidR="00457BA7" w:rsidRPr="00457BA7" w14:paraId="0E52E1D0" w14:textId="77777777" w:rsidTr="00655DD6">
        <w:trPr>
          <w:trHeight w:val="787"/>
          <w:jc w:val="center"/>
        </w:trPr>
        <w:tc>
          <w:tcPr>
            <w:tcW w:w="567" w:type="dxa"/>
            <w:tcBorders>
              <w:top w:val="single" w:sz="4" w:space="0" w:color="auto"/>
              <w:left w:val="single" w:sz="4" w:space="0" w:color="auto"/>
              <w:bottom w:val="single" w:sz="4" w:space="0" w:color="auto"/>
              <w:right w:val="single" w:sz="4" w:space="0" w:color="auto"/>
            </w:tcBorders>
          </w:tcPr>
          <w:p w14:paraId="4231F16C"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7.</w:t>
            </w:r>
          </w:p>
        </w:tc>
        <w:tc>
          <w:tcPr>
            <w:tcW w:w="3969" w:type="dxa"/>
            <w:tcBorders>
              <w:top w:val="single" w:sz="4" w:space="0" w:color="auto"/>
              <w:left w:val="single" w:sz="4" w:space="0" w:color="auto"/>
              <w:bottom w:val="single" w:sz="4" w:space="0" w:color="auto"/>
              <w:right w:val="single" w:sz="4" w:space="0" w:color="auto"/>
            </w:tcBorders>
          </w:tcPr>
          <w:p w14:paraId="1107A699" w14:textId="77777777" w:rsidR="00457BA7" w:rsidRPr="00457BA7" w:rsidRDefault="00457BA7" w:rsidP="00457BA7">
            <w:pPr>
              <w:widowControl w:val="0"/>
              <w:suppressAutoHyphens/>
              <w:autoSpaceDE w:val="0"/>
              <w:autoSpaceDN w:val="0"/>
              <w:adjustRightInd w:val="0"/>
              <w:spacing w:after="0" w:line="240" w:lineRule="auto"/>
              <w:rPr>
                <w:rFonts w:ascii="Arial Narrow" w:hAnsi="Arial Narrow" w:cs="Arial"/>
              </w:rPr>
            </w:pPr>
            <w:r w:rsidRPr="00457BA7">
              <w:rPr>
                <w:rFonts w:ascii="Arial Narrow" w:hAnsi="Arial Narrow" w:cs="Arial"/>
                <w:lang w:val="ro-RO"/>
              </w:rPr>
              <w:t>Construire stații de încărcare pentru vehicule electrice în orașul Horezu, jud. Valcea</w:t>
            </w:r>
          </w:p>
        </w:tc>
        <w:tc>
          <w:tcPr>
            <w:tcW w:w="1276" w:type="dxa"/>
            <w:tcBorders>
              <w:top w:val="single" w:sz="4" w:space="0" w:color="auto"/>
              <w:left w:val="single" w:sz="4" w:space="0" w:color="auto"/>
              <w:bottom w:val="single" w:sz="4" w:space="0" w:color="auto"/>
              <w:right w:val="single" w:sz="4" w:space="0" w:color="auto"/>
            </w:tcBorders>
          </w:tcPr>
          <w:p w14:paraId="6D8EFC05" w14:textId="77777777" w:rsidR="00457BA7" w:rsidRPr="00457BA7" w:rsidRDefault="00457BA7" w:rsidP="00457BA7">
            <w:pPr>
              <w:widowControl w:val="0"/>
              <w:suppressAutoHyphens/>
              <w:spacing w:after="0" w:line="240" w:lineRule="auto"/>
              <w:jc w:val="center"/>
              <w:rPr>
                <w:rFonts w:ascii="Arial Narrow" w:hAnsi="Arial Narrow" w:cs="Arial"/>
                <w:kern w:val="1"/>
                <w:sz w:val="20"/>
                <w:szCs w:val="20"/>
                <w:lang w:val="ro-RO" w:eastAsia="hi-IN" w:bidi="hi-IN"/>
              </w:rPr>
            </w:pPr>
            <w:r w:rsidRPr="00457BA7">
              <w:rPr>
                <w:rFonts w:ascii="Arial Narrow" w:hAnsi="Arial Narrow" w:cs="Arial"/>
                <w:kern w:val="1"/>
                <w:sz w:val="20"/>
                <w:szCs w:val="20"/>
                <w:lang w:val="ro-RO" w:eastAsia="hi-IN" w:bidi="hi-IN"/>
              </w:rPr>
              <w:t>Infrastructura rutier</w:t>
            </w:r>
            <w:r w:rsidR="00FE2951">
              <w:rPr>
                <w:rFonts w:ascii="Arial Narrow" w:hAnsi="Arial Narrow" w:cs="Arial"/>
                <w:kern w:val="1"/>
                <w:sz w:val="20"/>
                <w:szCs w:val="20"/>
                <w:lang w:val="ro-RO" w:eastAsia="hi-IN" w:bidi="hi-IN"/>
              </w:rPr>
              <w:t>ă</w:t>
            </w:r>
          </w:p>
        </w:tc>
        <w:tc>
          <w:tcPr>
            <w:tcW w:w="3710" w:type="dxa"/>
            <w:tcBorders>
              <w:top w:val="single" w:sz="4" w:space="0" w:color="auto"/>
              <w:left w:val="single" w:sz="4" w:space="0" w:color="auto"/>
              <w:bottom w:val="single" w:sz="4" w:space="0" w:color="auto"/>
              <w:right w:val="single" w:sz="4" w:space="0" w:color="auto"/>
            </w:tcBorders>
          </w:tcPr>
          <w:p w14:paraId="21672DC0" w14:textId="77777777" w:rsidR="00457BA7" w:rsidRPr="00457BA7" w:rsidRDefault="00457BA7" w:rsidP="00457BA7">
            <w:pPr>
              <w:widowControl w:val="0"/>
              <w:suppressAutoHyphens/>
              <w:spacing w:after="0" w:line="240" w:lineRule="auto"/>
              <w:jc w:val="both"/>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Asigurarea facilit</w:t>
            </w:r>
            <w:r w:rsidR="00FE2951">
              <w:rPr>
                <w:rFonts w:ascii="Arial Narrow" w:eastAsia="Calibri" w:hAnsi="Arial Narrow" w:cs="Arial"/>
                <w:kern w:val="1"/>
                <w:sz w:val="20"/>
                <w:szCs w:val="20"/>
                <w:lang w:val="ro-RO" w:eastAsia="hi-IN" w:bidi="hi-IN"/>
              </w:rPr>
              <w:t>ăț</w:t>
            </w:r>
            <w:r w:rsidRPr="00457BA7">
              <w:rPr>
                <w:rFonts w:ascii="Arial Narrow" w:eastAsia="Calibri" w:hAnsi="Arial Narrow" w:cs="Arial"/>
                <w:kern w:val="1"/>
                <w:sz w:val="20"/>
                <w:szCs w:val="20"/>
                <w:lang w:val="ro-RO" w:eastAsia="hi-IN" w:bidi="hi-IN"/>
              </w:rPr>
              <w:t>ilor pentru vehiculele electrice.</w:t>
            </w:r>
          </w:p>
        </w:tc>
      </w:tr>
      <w:tr w:rsidR="00457BA7" w:rsidRPr="00457BA7" w14:paraId="62ED8950" w14:textId="77777777" w:rsidTr="00655DD6">
        <w:trPr>
          <w:trHeight w:val="787"/>
          <w:jc w:val="center"/>
        </w:trPr>
        <w:tc>
          <w:tcPr>
            <w:tcW w:w="567" w:type="dxa"/>
            <w:tcBorders>
              <w:top w:val="single" w:sz="4" w:space="0" w:color="auto"/>
              <w:left w:val="single" w:sz="4" w:space="0" w:color="auto"/>
              <w:bottom w:val="single" w:sz="4" w:space="0" w:color="auto"/>
              <w:right w:val="single" w:sz="4" w:space="0" w:color="auto"/>
            </w:tcBorders>
          </w:tcPr>
          <w:p w14:paraId="1CADB1D8"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8.</w:t>
            </w:r>
          </w:p>
        </w:tc>
        <w:tc>
          <w:tcPr>
            <w:tcW w:w="3969" w:type="dxa"/>
            <w:tcBorders>
              <w:top w:val="single" w:sz="4" w:space="0" w:color="auto"/>
              <w:left w:val="single" w:sz="4" w:space="0" w:color="auto"/>
              <w:bottom w:val="single" w:sz="4" w:space="0" w:color="auto"/>
              <w:right w:val="single" w:sz="4" w:space="0" w:color="auto"/>
            </w:tcBorders>
          </w:tcPr>
          <w:p w14:paraId="4E8C77AC" w14:textId="77777777" w:rsidR="00457BA7" w:rsidRPr="00457BA7" w:rsidRDefault="00457BA7" w:rsidP="00457BA7">
            <w:pPr>
              <w:widowControl w:val="0"/>
              <w:suppressAutoHyphens/>
              <w:autoSpaceDE w:val="0"/>
              <w:autoSpaceDN w:val="0"/>
              <w:adjustRightInd w:val="0"/>
              <w:spacing w:after="0" w:line="240" w:lineRule="auto"/>
              <w:rPr>
                <w:rFonts w:ascii="Arial Narrow" w:hAnsi="Arial Narrow" w:cs="Tahoma"/>
              </w:rPr>
            </w:pPr>
            <w:r w:rsidRPr="00457BA7">
              <w:rPr>
                <w:rFonts w:ascii="Arial Narrow" w:hAnsi="Arial Narrow" w:cs="Tahoma"/>
              </w:rPr>
              <w:t>Construire aerodrom</w:t>
            </w:r>
          </w:p>
        </w:tc>
        <w:tc>
          <w:tcPr>
            <w:tcW w:w="1276" w:type="dxa"/>
            <w:tcBorders>
              <w:top w:val="single" w:sz="4" w:space="0" w:color="auto"/>
              <w:left w:val="single" w:sz="4" w:space="0" w:color="auto"/>
              <w:bottom w:val="single" w:sz="4" w:space="0" w:color="auto"/>
              <w:right w:val="single" w:sz="4" w:space="0" w:color="auto"/>
            </w:tcBorders>
          </w:tcPr>
          <w:p w14:paraId="7DD7D0E8" w14:textId="77777777" w:rsidR="00457BA7" w:rsidRPr="00457BA7" w:rsidRDefault="00457BA7" w:rsidP="00457BA7">
            <w:pPr>
              <w:widowControl w:val="0"/>
              <w:suppressAutoHyphens/>
              <w:spacing w:after="0" w:line="240" w:lineRule="auto"/>
              <w:jc w:val="center"/>
              <w:rPr>
                <w:rFonts w:ascii="Arial Narrow" w:hAnsi="Arial Narrow" w:cs="Arial"/>
                <w:kern w:val="1"/>
                <w:sz w:val="20"/>
                <w:szCs w:val="20"/>
                <w:lang w:val="ro-RO" w:eastAsia="hi-IN" w:bidi="hi-IN"/>
              </w:rPr>
            </w:pPr>
            <w:r w:rsidRPr="00457BA7">
              <w:rPr>
                <w:rFonts w:ascii="Arial Narrow" w:hAnsi="Arial Narrow" w:cs="Arial"/>
                <w:kern w:val="1"/>
                <w:sz w:val="20"/>
                <w:szCs w:val="20"/>
                <w:lang w:val="ro-RO" w:eastAsia="hi-IN" w:bidi="hi-IN"/>
              </w:rPr>
              <w:t>Infrastructura rutier</w:t>
            </w:r>
            <w:r w:rsidR="00FE2951">
              <w:rPr>
                <w:rFonts w:ascii="Arial Narrow" w:hAnsi="Arial Narrow" w:cs="Arial"/>
                <w:kern w:val="1"/>
                <w:sz w:val="20"/>
                <w:szCs w:val="20"/>
                <w:lang w:val="ro-RO" w:eastAsia="hi-IN" w:bidi="hi-IN"/>
              </w:rPr>
              <w:t>ă</w:t>
            </w:r>
          </w:p>
        </w:tc>
        <w:tc>
          <w:tcPr>
            <w:tcW w:w="3710" w:type="dxa"/>
            <w:tcBorders>
              <w:top w:val="single" w:sz="4" w:space="0" w:color="auto"/>
              <w:left w:val="single" w:sz="4" w:space="0" w:color="auto"/>
              <w:bottom w:val="single" w:sz="4" w:space="0" w:color="auto"/>
              <w:right w:val="single" w:sz="4" w:space="0" w:color="auto"/>
            </w:tcBorders>
          </w:tcPr>
          <w:p w14:paraId="5B7642CD" w14:textId="77777777" w:rsidR="00457BA7" w:rsidRPr="00457BA7" w:rsidRDefault="00457BA7" w:rsidP="00457BA7">
            <w:pPr>
              <w:widowControl w:val="0"/>
              <w:suppressAutoHyphens/>
              <w:spacing w:after="0" w:line="240" w:lineRule="auto"/>
              <w:jc w:val="both"/>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 xml:space="preserve">Construirea, reabilitarea </w:t>
            </w:r>
            <w:r w:rsidR="00FE2951">
              <w:rPr>
                <w:rFonts w:ascii="Arial Narrow" w:eastAsia="Calibri" w:hAnsi="Arial Narrow" w:cs="Arial"/>
                <w:kern w:val="1"/>
                <w:sz w:val="20"/>
                <w:szCs w:val="20"/>
                <w:lang w:val="ro-RO" w:eastAsia="hi-IN" w:bidi="hi-IN"/>
              </w:rPr>
              <w:t>ș</w:t>
            </w:r>
            <w:r w:rsidRPr="00457BA7">
              <w:rPr>
                <w:rFonts w:ascii="Arial Narrow" w:eastAsia="Calibri" w:hAnsi="Arial Narrow" w:cs="Arial"/>
                <w:kern w:val="1"/>
                <w:sz w:val="20"/>
                <w:szCs w:val="20"/>
                <w:lang w:val="ro-RO" w:eastAsia="hi-IN" w:bidi="hi-IN"/>
              </w:rPr>
              <w:t>i modernizarea infrastructurii rutiere.</w:t>
            </w:r>
          </w:p>
        </w:tc>
      </w:tr>
      <w:tr w:rsidR="00457BA7" w:rsidRPr="00457BA7" w14:paraId="44B726CF" w14:textId="77777777" w:rsidTr="00655DD6">
        <w:trPr>
          <w:trHeight w:val="787"/>
          <w:jc w:val="center"/>
        </w:trPr>
        <w:tc>
          <w:tcPr>
            <w:tcW w:w="567" w:type="dxa"/>
            <w:tcBorders>
              <w:top w:val="single" w:sz="4" w:space="0" w:color="auto"/>
              <w:left w:val="single" w:sz="4" w:space="0" w:color="auto"/>
              <w:bottom w:val="single" w:sz="4" w:space="0" w:color="auto"/>
              <w:right w:val="single" w:sz="4" w:space="0" w:color="auto"/>
            </w:tcBorders>
          </w:tcPr>
          <w:p w14:paraId="4DB9AFE8" w14:textId="77777777" w:rsidR="00457BA7" w:rsidRPr="00457BA7" w:rsidRDefault="00457BA7" w:rsidP="00457BA7">
            <w:pPr>
              <w:widowControl w:val="0"/>
              <w:suppressAutoHyphens/>
              <w:spacing w:after="0" w:line="240" w:lineRule="auto"/>
              <w:jc w:val="center"/>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9.</w:t>
            </w:r>
          </w:p>
        </w:tc>
        <w:tc>
          <w:tcPr>
            <w:tcW w:w="3969" w:type="dxa"/>
            <w:tcBorders>
              <w:top w:val="single" w:sz="4" w:space="0" w:color="auto"/>
              <w:left w:val="single" w:sz="4" w:space="0" w:color="auto"/>
              <w:bottom w:val="single" w:sz="4" w:space="0" w:color="auto"/>
              <w:right w:val="single" w:sz="4" w:space="0" w:color="auto"/>
            </w:tcBorders>
          </w:tcPr>
          <w:p w14:paraId="679E3C0F" w14:textId="77777777" w:rsidR="00457BA7" w:rsidRPr="00457BA7" w:rsidRDefault="00457BA7" w:rsidP="00457BA7">
            <w:pPr>
              <w:widowControl w:val="0"/>
              <w:suppressAutoHyphens/>
              <w:autoSpaceDE w:val="0"/>
              <w:autoSpaceDN w:val="0"/>
              <w:adjustRightInd w:val="0"/>
              <w:spacing w:after="0" w:line="240" w:lineRule="auto"/>
              <w:rPr>
                <w:rFonts w:ascii="Arial Narrow" w:hAnsi="Arial Narrow" w:cs="Tahoma"/>
              </w:rPr>
            </w:pPr>
            <w:r w:rsidRPr="00457BA7">
              <w:rPr>
                <w:rFonts w:ascii="Arial Narrow" w:hAnsi="Arial Narrow" w:cs="Tahoma"/>
              </w:rPr>
              <w:t>Varianta de ocolire Horezu</w:t>
            </w:r>
          </w:p>
        </w:tc>
        <w:tc>
          <w:tcPr>
            <w:tcW w:w="1276" w:type="dxa"/>
            <w:tcBorders>
              <w:top w:val="single" w:sz="4" w:space="0" w:color="auto"/>
              <w:left w:val="single" w:sz="4" w:space="0" w:color="auto"/>
              <w:bottom w:val="single" w:sz="4" w:space="0" w:color="auto"/>
              <w:right w:val="single" w:sz="4" w:space="0" w:color="auto"/>
            </w:tcBorders>
          </w:tcPr>
          <w:p w14:paraId="3C72F10D" w14:textId="77777777" w:rsidR="00457BA7" w:rsidRPr="00457BA7" w:rsidRDefault="00457BA7" w:rsidP="00457BA7">
            <w:pPr>
              <w:widowControl w:val="0"/>
              <w:suppressAutoHyphens/>
              <w:spacing w:after="0" w:line="240" w:lineRule="auto"/>
              <w:jc w:val="center"/>
              <w:rPr>
                <w:rFonts w:ascii="Arial Narrow" w:hAnsi="Arial Narrow" w:cs="Arial"/>
                <w:kern w:val="1"/>
                <w:sz w:val="20"/>
                <w:szCs w:val="20"/>
                <w:lang w:val="ro-RO" w:eastAsia="hi-IN" w:bidi="hi-IN"/>
              </w:rPr>
            </w:pPr>
            <w:r w:rsidRPr="00457BA7">
              <w:rPr>
                <w:rFonts w:ascii="Arial Narrow" w:hAnsi="Arial Narrow" w:cs="Arial"/>
                <w:kern w:val="1"/>
                <w:sz w:val="20"/>
                <w:szCs w:val="20"/>
                <w:lang w:val="ro-RO" w:eastAsia="hi-IN" w:bidi="hi-IN"/>
              </w:rPr>
              <w:t>Infrastructura rutier</w:t>
            </w:r>
            <w:r w:rsidR="00FE2951">
              <w:rPr>
                <w:rFonts w:ascii="Arial Narrow" w:hAnsi="Arial Narrow" w:cs="Arial"/>
                <w:kern w:val="1"/>
                <w:sz w:val="20"/>
                <w:szCs w:val="20"/>
                <w:lang w:val="ro-RO" w:eastAsia="hi-IN" w:bidi="hi-IN"/>
              </w:rPr>
              <w:t>ă</w:t>
            </w:r>
          </w:p>
        </w:tc>
        <w:tc>
          <w:tcPr>
            <w:tcW w:w="3710" w:type="dxa"/>
            <w:tcBorders>
              <w:top w:val="single" w:sz="4" w:space="0" w:color="auto"/>
              <w:left w:val="single" w:sz="4" w:space="0" w:color="auto"/>
              <w:bottom w:val="single" w:sz="4" w:space="0" w:color="auto"/>
              <w:right w:val="single" w:sz="4" w:space="0" w:color="auto"/>
            </w:tcBorders>
          </w:tcPr>
          <w:p w14:paraId="20966541" w14:textId="77777777" w:rsidR="00457BA7" w:rsidRPr="00457BA7" w:rsidRDefault="00457BA7" w:rsidP="00457BA7">
            <w:pPr>
              <w:widowControl w:val="0"/>
              <w:suppressAutoHyphens/>
              <w:spacing w:after="0" w:line="240" w:lineRule="auto"/>
              <w:jc w:val="both"/>
              <w:rPr>
                <w:rFonts w:ascii="Arial Narrow" w:eastAsia="Calibri" w:hAnsi="Arial Narrow" w:cs="Arial"/>
                <w:kern w:val="1"/>
                <w:sz w:val="20"/>
                <w:szCs w:val="20"/>
                <w:lang w:val="ro-RO" w:eastAsia="hi-IN" w:bidi="hi-IN"/>
              </w:rPr>
            </w:pPr>
            <w:r w:rsidRPr="00457BA7">
              <w:rPr>
                <w:rFonts w:ascii="Arial Narrow" w:eastAsia="Calibri" w:hAnsi="Arial Narrow" w:cs="Arial"/>
                <w:kern w:val="1"/>
                <w:sz w:val="20"/>
                <w:szCs w:val="20"/>
                <w:lang w:val="ro-RO" w:eastAsia="hi-IN" w:bidi="hi-IN"/>
              </w:rPr>
              <w:t>Construirea, reabilitarea si modernizarea infrastructurii rutiere. Eliminarea traficului de tranzit din ora</w:t>
            </w:r>
            <w:r w:rsidR="00FE2951">
              <w:rPr>
                <w:rFonts w:ascii="Arial Narrow" w:eastAsia="Calibri" w:hAnsi="Arial Narrow" w:cs="Arial"/>
                <w:kern w:val="1"/>
                <w:sz w:val="20"/>
                <w:szCs w:val="20"/>
                <w:lang w:val="ro-RO" w:eastAsia="hi-IN" w:bidi="hi-IN"/>
              </w:rPr>
              <w:t>ș</w:t>
            </w:r>
            <w:r w:rsidRPr="00457BA7">
              <w:rPr>
                <w:rFonts w:ascii="Arial Narrow" w:eastAsia="Calibri" w:hAnsi="Arial Narrow" w:cs="Arial"/>
                <w:kern w:val="1"/>
                <w:sz w:val="20"/>
                <w:szCs w:val="20"/>
                <w:lang w:val="ro-RO" w:eastAsia="hi-IN" w:bidi="hi-IN"/>
              </w:rPr>
              <w:t>.</w:t>
            </w:r>
          </w:p>
        </w:tc>
      </w:tr>
    </w:tbl>
    <w:p w14:paraId="4158B5E1" w14:textId="77777777" w:rsidR="00AE0ABB" w:rsidRPr="00AE0ABB" w:rsidRDefault="00AE0ABB" w:rsidP="00AE0ABB">
      <w:pPr>
        <w:widowControl w:val="0"/>
        <w:suppressAutoHyphens/>
        <w:spacing w:after="0" w:line="360" w:lineRule="auto"/>
        <w:jc w:val="both"/>
        <w:rPr>
          <w:rFonts w:ascii="Arial" w:hAnsi="Arial" w:cs="Mangal"/>
          <w:kern w:val="1"/>
          <w:sz w:val="24"/>
          <w:szCs w:val="24"/>
          <w:lang w:val="es-ES" w:eastAsia="hi-IN" w:bidi="hi-IN"/>
        </w:rPr>
      </w:pPr>
    </w:p>
    <w:p w14:paraId="03465B0C" w14:textId="10127B50" w:rsidR="00326E18" w:rsidRPr="00326E18" w:rsidRDefault="00326E18" w:rsidP="00326E18">
      <w:pPr>
        <w:pStyle w:val="Legend"/>
        <w:jc w:val="center"/>
        <w:rPr>
          <w:rFonts w:ascii="Arial" w:hAnsi="Arial" w:cs="Arial"/>
          <w:i w:val="0"/>
          <w:color w:val="1F497D"/>
          <w:kern w:val="1"/>
          <w:sz w:val="22"/>
          <w:szCs w:val="22"/>
          <w:lang w:eastAsia="hi-IN" w:bidi="hi-IN"/>
        </w:rPr>
      </w:pPr>
      <w:bookmarkStart w:id="155" w:name="_Toc68361223"/>
      <w:bookmarkStart w:id="156" w:name="_Toc140744583"/>
      <w:r w:rsidRPr="00326E18">
        <w:rPr>
          <w:rFonts w:ascii="Arial" w:hAnsi="Arial" w:cs="Arial"/>
          <w:sz w:val="22"/>
          <w:szCs w:val="22"/>
        </w:rPr>
        <w:t xml:space="preserve">Tabel I.2. </w:t>
      </w:r>
      <w:r w:rsidRPr="00326E18">
        <w:rPr>
          <w:rFonts w:ascii="Arial" w:hAnsi="Arial" w:cs="Arial"/>
          <w:sz w:val="22"/>
          <w:szCs w:val="22"/>
        </w:rPr>
        <w:fldChar w:fldCharType="begin"/>
      </w:r>
      <w:r w:rsidRPr="00326E18">
        <w:rPr>
          <w:rFonts w:ascii="Arial" w:hAnsi="Arial" w:cs="Arial"/>
          <w:sz w:val="22"/>
          <w:szCs w:val="22"/>
        </w:rPr>
        <w:instrText xml:space="preserve"> SEQ Tabel_I.2. \* ARABIC </w:instrText>
      </w:r>
      <w:r w:rsidRPr="00326E18">
        <w:rPr>
          <w:rFonts w:ascii="Arial" w:hAnsi="Arial" w:cs="Arial"/>
          <w:sz w:val="22"/>
          <w:szCs w:val="22"/>
        </w:rPr>
        <w:fldChar w:fldCharType="separate"/>
      </w:r>
      <w:r w:rsidR="00BB181C">
        <w:rPr>
          <w:rFonts w:ascii="Arial" w:hAnsi="Arial" w:cs="Arial"/>
          <w:noProof/>
          <w:sz w:val="22"/>
          <w:szCs w:val="22"/>
        </w:rPr>
        <w:t>17</w:t>
      </w:r>
      <w:r w:rsidRPr="00326E18">
        <w:rPr>
          <w:rFonts w:ascii="Arial" w:hAnsi="Arial" w:cs="Arial"/>
          <w:sz w:val="22"/>
          <w:szCs w:val="22"/>
        </w:rPr>
        <w:fldChar w:fldCharType="end"/>
      </w:r>
      <w:r w:rsidRPr="00326E18">
        <w:rPr>
          <w:rFonts w:ascii="Arial" w:hAnsi="Arial" w:cs="Arial"/>
          <w:sz w:val="22"/>
          <w:szCs w:val="22"/>
        </w:rPr>
        <w:t xml:space="preserve"> </w:t>
      </w:r>
      <w:bookmarkEnd w:id="155"/>
      <w:r w:rsidRPr="00326E18">
        <w:rPr>
          <w:rFonts w:ascii="Arial" w:hAnsi="Arial" w:cs="Arial"/>
          <w:sz w:val="22"/>
          <w:szCs w:val="22"/>
        </w:rPr>
        <w:t xml:space="preserve">- </w:t>
      </w:r>
      <w:r w:rsidRPr="00326E18">
        <w:rPr>
          <w:rFonts w:ascii="Arial" w:hAnsi="Arial" w:cs="Arial"/>
          <w:i w:val="0"/>
          <w:sz w:val="22"/>
          <w:szCs w:val="22"/>
        </w:rPr>
        <w:t>Concluzii referitoare la situația actuală</w:t>
      </w:r>
      <w:bookmarkEnd w:id="1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1106"/>
        <w:gridCol w:w="1161"/>
        <w:gridCol w:w="1565"/>
        <w:gridCol w:w="1088"/>
        <w:gridCol w:w="1297"/>
        <w:gridCol w:w="1244"/>
        <w:gridCol w:w="1408"/>
      </w:tblGrid>
      <w:tr w:rsidR="00326E18" w:rsidRPr="00326E18" w14:paraId="65EAEBB7" w14:textId="77777777" w:rsidTr="00CE0301">
        <w:trPr>
          <w:tblHeader/>
        </w:trPr>
        <w:tc>
          <w:tcPr>
            <w:tcW w:w="1002" w:type="dxa"/>
            <w:shd w:val="clear" w:color="auto" w:fill="BFBFBF"/>
            <w:vAlign w:val="center"/>
          </w:tcPr>
          <w:p w14:paraId="3D1F9AD3" w14:textId="77777777" w:rsidR="00326E18" w:rsidRPr="00326E18" w:rsidRDefault="00326E18" w:rsidP="00326E18">
            <w:pPr>
              <w:widowControl w:val="0"/>
              <w:suppressAutoHyphens/>
              <w:spacing w:beforeLines="40" w:before="96" w:afterLines="40" w:after="96" w:line="240" w:lineRule="auto"/>
              <w:jc w:val="right"/>
              <w:rPr>
                <w:rFonts w:ascii="Arial" w:hAnsi="Arial" w:cs="Mangal"/>
                <w:kern w:val="1"/>
                <w:sz w:val="16"/>
                <w:szCs w:val="16"/>
                <w:lang w:eastAsia="hi-IN" w:bidi="hi-IN"/>
              </w:rPr>
            </w:pPr>
            <w:r w:rsidRPr="00326E18">
              <w:rPr>
                <w:rFonts w:ascii="Arial" w:hAnsi="Arial" w:cs="Mangal"/>
                <w:kern w:val="1"/>
                <w:sz w:val="16"/>
                <w:szCs w:val="16"/>
                <w:lang w:eastAsia="hi-IN" w:bidi="hi-IN"/>
              </w:rPr>
              <w:t>Criterii</w:t>
            </w:r>
          </w:p>
          <w:p w14:paraId="008364BA"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Mod de transport</w:t>
            </w:r>
          </w:p>
        </w:tc>
        <w:tc>
          <w:tcPr>
            <w:tcW w:w="1106" w:type="dxa"/>
            <w:shd w:val="clear" w:color="auto" w:fill="BFBFBF"/>
            <w:vAlign w:val="center"/>
          </w:tcPr>
          <w:p w14:paraId="4BBBF668"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Cota modală</w:t>
            </w:r>
          </w:p>
        </w:tc>
        <w:tc>
          <w:tcPr>
            <w:tcW w:w="1161" w:type="dxa"/>
            <w:shd w:val="clear" w:color="auto" w:fill="BFBFBF"/>
            <w:vAlign w:val="center"/>
          </w:tcPr>
          <w:p w14:paraId="04E8CE86"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Calitatea infrastructurii</w:t>
            </w:r>
          </w:p>
        </w:tc>
        <w:tc>
          <w:tcPr>
            <w:tcW w:w="1565" w:type="dxa"/>
            <w:shd w:val="clear" w:color="auto" w:fill="BFBFBF"/>
            <w:vAlign w:val="center"/>
          </w:tcPr>
          <w:p w14:paraId="7247A858"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Siguranţ</w:t>
            </w:r>
            <w:r>
              <w:rPr>
                <w:rFonts w:ascii="Arial" w:hAnsi="Arial" w:cs="Mangal"/>
                <w:kern w:val="1"/>
                <w:sz w:val="16"/>
                <w:szCs w:val="16"/>
                <w:lang w:eastAsia="hi-IN" w:bidi="hi-IN"/>
              </w:rPr>
              <w:t>ă</w:t>
            </w:r>
            <w:r w:rsidRPr="00326E18">
              <w:rPr>
                <w:rFonts w:ascii="Arial" w:hAnsi="Arial" w:cs="Mangal"/>
                <w:kern w:val="1"/>
                <w:sz w:val="16"/>
                <w:szCs w:val="16"/>
                <w:lang w:eastAsia="hi-IN" w:bidi="hi-IN"/>
              </w:rPr>
              <w:t xml:space="preserve"> si viabilitate</w:t>
            </w:r>
          </w:p>
        </w:tc>
        <w:tc>
          <w:tcPr>
            <w:tcW w:w="1088" w:type="dxa"/>
            <w:shd w:val="clear" w:color="auto" w:fill="BFBFBF"/>
            <w:vAlign w:val="center"/>
          </w:tcPr>
          <w:p w14:paraId="4212249D"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Mediu şi sănă</w:t>
            </w:r>
            <w:r w:rsidRPr="00326E18">
              <w:rPr>
                <w:rFonts w:ascii="Arial" w:hAnsi="Arial" w:cs="Mangal"/>
                <w:kern w:val="1"/>
                <w:sz w:val="16"/>
                <w:szCs w:val="16"/>
                <w:lang w:eastAsia="hi-IN" w:bidi="hi-IN"/>
              </w:rPr>
              <w:t>tate</w:t>
            </w:r>
          </w:p>
        </w:tc>
        <w:tc>
          <w:tcPr>
            <w:tcW w:w="1297" w:type="dxa"/>
            <w:shd w:val="clear" w:color="auto" w:fill="BFBFBF"/>
            <w:vAlign w:val="center"/>
          </w:tcPr>
          <w:p w14:paraId="4D13838F"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Accesibilitate</w:t>
            </w:r>
          </w:p>
        </w:tc>
        <w:tc>
          <w:tcPr>
            <w:tcW w:w="1244" w:type="dxa"/>
            <w:shd w:val="clear" w:color="auto" w:fill="BFBFBF"/>
            <w:vAlign w:val="center"/>
          </w:tcPr>
          <w:p w14:paraId="00AAEDB4"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Stadiul implementării măsurilor</w:t>
            </w:r>
          </w:p>
        </w:tc>
        <w:tc>
          <w:tcPr>
            <w:tcW w:w="1408" w:type="dxa"/>
            <w:shd w:val="clear" w:color="auto" w:fill="BFBFBF"/>
            <w:vAlign w:val="center"/>
          </w:tcPr>
          <w:p w14:paraId="386DC352"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Principalele recomandări</w:t>
            </w:r>
          </w:p>
        </w:tc>
      </w:tr>
      <w:tr w:rsidR="00326E18" w:rsidRPr="00326E18" w14:paraId="71FB54F4" w14:textId="77777777" w:rsidTr="00CE0301">
        <w:tc>
          <w:tcPr>
            <w:tcW w:w="1002" w:type="dxa"/>
            <w:shd w:val="clear" w:color="auto" w:fill="BFBFBF"/>
          </w:tcPr>
          <w:p w14:paraId="0061C95D"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Pietonal</w:t>
            </w:r>
          </w:p>
        </w:tc>
        <w:tc>
          <w:tcPr>
            <w:tcW w:w="1106" w:type="dxa"/>
            <w:shd w:val="clear" w:color="auto" w:fill="auto"/>
          </w:tcPr>
          <w:p w14:paraId="4276AE41" w14:textId="77777777" w:rsidR="00326E18" w:rsidRPr="00326E18" w:rsidRDefault="003F160D"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18,5</w:t>
            </w:r>
            <w:r w:rsidR="00326E18" w:rsidRPr="00326E18">
              <w:rPr>
                <w:rFonts w:ascii="Arial" w:hAnsi="Arial" w:cs="Mangal"/>
                <w:kern w:val="1"/>
                <w:sz w:val="16"/>
                <w:szCs w:val="16"/>
                <w:lang w:eastAsia="hi-IN" w:bidi="hi-IN"/>
              </w:rPr>
              <w:t xml:space="preserve"> %</w:t>
            </w:r>
          </w:p>
        </w:tc>
        <w:tc>
          <w:tcPr>
            <w:tcW w:w="1161" w:type="dxa"/>
            <w:shd w:val="clear" w:color="auto" w:fill="auto"/>
          </w:tcPr>
          <w:p w14:paraId="5E07D9AA"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Medie</w:t>
            </w:r>
            <w:r>
              <w:rPr>
                <w:rFonts w:ascii="Arial" w:hAnsi="Arial" w:cs="Mangal"/>
                <w:kern w:val="1"/>
                <w:sz w:val="16"/>
                <w:szCs w:val="16"/>
                <w:lang w:eastAsia="hi-IN" w:bidi="hi-IN"/>
              </w:rPr>
              <w:t xml:space="preserve"> în zona centrală</w:t>
            </w:r>
          </w:p>
          <w:p w14:paraId="6E36461E"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 in rest</w:t>
            </w:r>
          </w:p>
        </w:tc>
        <w:tc>
          <w:tcPr>
            <w:tcW w:w="1565" w:type="dxa"/>
            <w:shd w:val="clear" w:color="auto" w:fill="auto"/>
          </w:tcPr>
          <w:p w14:paraId="332CD44D"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Lipsa </w:t>
            </w:r>
            <w:r>
              <w:rPr>
                <w:rFonts w:ascii="Arial" w:hAnsi="Arial" w:cs="Mangal"/>
                <w:kern w:val="1"/>
                <w:sz w:val="16"/>
                <w:szCs w:val="16"/>
                <w:lang w:eastAsia="hi-IN" w:bidi="hi-IN"/>
              </w:rPr>
              <w:t>facilităţ</w:t>
            </w:r>
            <w:r w:rsidRPr="00326E18">
              <w:rPr>
                <w:rFonts w:ascii="Arial" w:hAnsi="Arial" w:cs="Mangal"/>
                <w:kern w:val="1"/>
                <w:sz w:val="16"/>
                <w:szCs w:val="16"/>
                <w:lang w:eastAsia="hi-IN" w:bidi="hi-IN"/>
              </w:rPr>
              <w:t>ilor pentr</w:t>
            </w:r>
            <w:r>
              <w:rPr>
                <w:rFonts w:ascii="Arial" w:hAnsi="Arial" w:cs="Mangal"/>
                <w:kern w:val="1"/>
                <w:sz w:val="16"/>
                <w:szCs w:val="16"/>
                <w:lang w:eastAsia="hi-IN" w:bidi="hi-IN"/>
              </w:rPr>
              <w:t>u pietoni in multe zone din oraş pune în pericol siguranţ</w:t>
            </w:r>
            <w:r w:rsidRPr="00326E18">
              <w:rPr>
                <w:rFonts w:ascii="Arial" w:hAnsi="Arial" w:cs="Mangal"/>
                <w:kern w:val="1"/>
                <w:sz w:val="16"/>
                <w:szCs w:val="16"/>
                <w:lang w:eastAsia="hi-IN" w:bidi="hi-IN"/>
              </w:rPr>
              <w:t>a acestei categorii de participant la trafic.</w:t>
            </w:r>
          </w:p>
        </w:tc>
        <w:tc>
          <w:tcPr>
            <w:tcW w:w="1088" w:type="dxa"/>
            <w:shd w:val="clear" w:color="auto" w:fill="auto"/>
          </w:tcPr>
          <w:p w14:paraId="59D95AEC"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Tot mai puţini oameni se deplasează pe jos pentru orice fel de deplasare.</w:t>
            </w:r>
          </w:p>
        </w:tc>
        <w:tc>
          <w:tcPr>
            <w:tcW w:w="1297" w:type="dxa"/>
            <w:shd w:val="clear" w:color="auto" w:fill="auto"/>
          </w:tcPr>
          <w:p w14:paraId="0281FE7C"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Trotuare ocupate cu vehicule. Lipsă facilităţi pentru persoanele cu mobilitate redusă. Absenta din multe zone a trotuarelor.</w:t>
            </w:r>
          </w:p>
        </w:tc>
        <w:tc>
          <w:tcPr>
            <w:tcW w:w="1244" w:type="dxa"/>
            <w:shd w:val="clear" w:color="auto" w:fill="auto"/>
          </w:tcPr>
          <w:p w14:paraId="500C79FE"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Proiectul </w:t>
            </w:r>
            <w:r w:rsidRPr="00326E18">
              <w:rPr>
                <w:rFonts w:ascii="Calibri" w:hAnsi="Calibri" w:cs="Tahoma"/>
                <w:sz w:val="16"/>
                <w:szCs w:val="16"/>
              </w:rPr>
              <w:t>Amenajarea zonei centrale pietonale a s</w:t>
            </w:r>
            <w:r>
              <w:rPr>
                <w:rFonts w:ascii="Calibri" w:hAnsi="Calibri" w:cs="Tahoma"/>
                <w:sz w:val="16"/>
                <w:szCs w:val="16"/>
              </w:rPr>
              <w:t>tatiunii turistice Horezu, judeţul Vâlcea, în vederea consolidării identităţii locale şi dezvoltă</w:t>
            </w:r>
            <w:r w:rsidRPr="00326E18">
              <w:rPr>
                <w:rFonts w:ascii="Calibri" w:hAnsi="Calibri" w:cs="Tahoma"/>
                <w:sz w:val="16"/>
                <w:szCs w:val="16"/>
              </w:rPr>
              <w:t>rii turismului,</w:t>
            </w:r>
            <w:r w:rsidRPr="00326E18">
              <w:rPr>
                <w:rFonts w:ascii="Calibri" w:hAnsi="Calibri" w:cs="Arial"/>
                <w:kern w:val="1"/>
                <w:sz w:val="16"/>
                <w:szCs w:val="16"/>
                <w:lang w:val="ro-RO" w:eastAsia="hi-IN" w:bidi="hi-IN"/>
              </w:rPr>
              <w:t xml:space="preserve"> </w:t>
            </w:r>
            <w:r>
              <w:rPr>
                <w:rFonts w:ascii="Arial" w:hAnsi="Arial" w:cs="Arial"/>
                <w:kern w:val="1"/>
                <w:sz w:val="16"/>
                <w:szCs w:val="16"/>
                <w:lang w:val="ro-RO" w:eastAsia="hi-IN" w:bidi="hi-IN"/>
              </w:rPr>
              <w:t>î</w:t>
            </w:r>
            <w:r w:rsidRPr="00326E18">
              <w:rPr>
                <w:rFonts w:ascii="Arial" w:hAnsi="Arial" w:cs="Arial"/>
                <w:kern w:val="1"/>
                <w:sz w:val="16"/>
                <w:szCs w:val="16"/>
                <w:lang w:val="ro-RO" w:eastAsia="hi-IN" w:bidi="hi-IN"/>
              </w:rPr>
              <w:t>n curs de implementare.</w:t>
            </w:r>
          </w:p>
        </w:tc>
        <w:tc>
          <w:tcPr>
            <w:tcW w:w="1408" w:type="dxa"/>
            <w:shd w:val="clear" w:color="auto" w:fill="auto"/>
          </w:tcPr>
          <w:p w14:paraId="09B0DFCB"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Extinderea zonelor exclusiv pietonale. Creşterea măsurilor de siguranţă pentru pietoni. Reabilitarea suprafeţelor destinate pietonilor. Amenajarea de noi trotuare si alei.</w:t>
            </w:r>
          </w:p>
          <w:p w14:paraId="6186230B"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p>
        </w:tc>
      </w:tr>
      <w:tr w:rsidR="00326E18" w:rsidRPr="00326E18" w14:paraId="6F304248" w14:textId="77777777" w:rsidTr="00CE0301">
        <w:tc>
          <w:tcPr>
            <w:tcW w:w="1002" w:type="dxa"/>
            <w:shd w:val="clear" w:color="auto" w:fill="BFBFBF"/>
          </w:tcPr>
          <w:p w14:paraId="51F70D6D"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Velo</w:t>
            </w:r>
          </w:p>
        </w:tc>
        <w:tc>
          <w:tcPr>
            <w:tcW w:w="1106" w:type="dxa"/>
            <w:shd w:val="clear" w:color="auto" w:fill="auto"/>
          </w:tcPr>
          <w:p w14:paraId="0DCAE0F2" w14:textId="77777777" w:rsidR="00326E18" w:rsidRPr="00326E18" w:rsidRDefault="00CE0301" w:rsidP="00CE0301">
            <w:pPr>
              <w:widowControl w:val="0"/>
              <w:tabs>
                <w:tab w:val="left" w:pos="234"/>
                <w:tab w:val="center" w:pos="445"/>
              </w:tabs>
              <w:suppressAutoHyphens/>
              <w:spacing w:beforeLines="40" w:before="96" w:afterLines="40" w:after="96" w:line="240" w:lineRule="auto"/>
              <w:rPr>
                <w:rFonts w:ascii="Arial" w:hAnsi="Arial" w:cs="Mangal"/>
                <w:kern w:val="1"/>
                <w:sz w:val="16"/>
                <w:szCs w:val="16"/>
                <w:lang w:eastAsia="hi-IN" w:bidi="hi-IN"/>
              </w:rPr>
            </w:pPr>
            <w:r>
              <w:rPr>
                <w:rFonts w:ascii="Arial" w:hAnsi="Arial" w:cs="Mangal"/>
                <w:kern w:val="1"/>
                <w:sz w:val="16"/>
                <w:szCs w:val="16"/>
                <w:lang w:eastAsia="hi-IN" w:bidi="hi-IN"/>
              </w:rPr>
              <w:tab/>
              <w:t>0,6</w:t>
            </w:r>
            <w:r w:rsidR="00326E18" w:rsidRPr="00326E18">
              <w:rPr>
                <w:rFonts w:ascii="Arial" w:hAnsi="Arial" w:cs="Mangal"/>
                <w:kern w:val="1"/>
                <w:sz w:val="16"/>
                <w:szCs w:val="16"/>
                <w:lang w:eastAsia="hi-IN" w:bidi="hi-IN"/>
              </w:rPr>
              <w:t xml:space="preserve"> %</w:t>
            </w:r>
          </w:p>
        </w:tc>
        <w:tc>
          <w:tcPr>
            <w:tcW w:w="1161" w:type="dxa"/>
            <w:shd w:val="clear" w:color="auto" w:fill="auto"/>
          </w:tcPr>
          <w:p w14:paraId="3B246F4B"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w:t>
            </w:r>
          </w:p>
        </w:tc>
        <w:tc>
          <w:tcPr>
            <w:tcW w:w="1565" w:type="dxa"/>
            <w:shd w:val="clear" w:color="auto" w:fill="auto"/>
          </w:tcPr>
          <w:p w14:paraId="7FCE5FBE"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Cicliştii trebuie să împartă acelaşi </w:t>
            </w:r>
            <w:r w:rsidRPr="00326E18">
              <w:rPr>
                <w:rFonts w:ascii="Arial" w:hAnsi="Arial" w:cs="Mangal"/>
                <w:kern w:val="1"/>
                <w:sz w:val="16"/>
                <w:szCs w:val="16"/>
                <w:lang w:eastAsia="hi-IN" w:bidi="hi-IN"/>
              </w:rPr>
              <w:lastRenderedPageBreak/>
              <w:t>spaţiu cu autovehiculele.</w:t>
            </w:r>
          </w:p>
        </w:tc>
        <w:tc>
          <w:tcPr>
            <w:tcW w:w="1088" w:type="dxa"/>
            <w:shd w:val="clear" w:color="auto" w:fill="auto"/>
          </w:tcPr>
          <w:p w14:paraId="2B3BF183"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 xml:space="preserve">Utilizarea limitată a </w:t>
            </w:r>
            <w:r w:rsidRPr="00326E18">
              <w:rPr>
                <w:rFonts w:ascii="Arial" w:hAnsi="Arial" w:cs="Mangal"/>
                <w:kern w:val="1"/>
                <w:sz w:val="16"/>
                <w:szCs w:val="16"/>
                <w:lang w:eastAsia="hi-IN" w:bidi="hi-IN"/>
              </w:rPr>
              <w:lastRenderedPageBreak/>
              <w:t xml:space="preserve">bicicletei aduce beneficii reduse mediului. </w:t>
            </w:r>
          </w:p>
        </w:tc>
        <w:tc>
          <w:tcPr>
            <w:tcW w:w="1297" w:type="dxa"/>
            <w:shd w:val="clear" w:color="auto" w:fill="auto"/>
          </w:tcPr>
          <w:p w14:paraId="35AD013D" w14:textId="5523073D"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 xml:space="preserve">Lipsa </w:t>
            </w:r>
            <w:r w:rsidR="006E163D">
              <w:rPr>
                <w:rFonts w:ascii="Arial" w:hAnsi="Arial" w:cs="Mangal"/>
                <w:kern w:val="1"/>
                <w:sz w:val="16"/>
                <w:szCs w:val="16"/>
                <w:lang w:eastAsia="hi-IN" w:bidi="hi-IN"/>
              </w:rPr>
              <w:t>infrastructurii</w:t>
            </w:r>
            <w:r>
              <w:rPr>
                <w:rFonts w:ascii="Arial" w:hAnsi="Arial" w:cs="Mangal"/>
                <w:kern w:val="1"/>
                <w:sz w:val="16"/>
                <w:szCs w:val="16"/>
                <w:lang w:eastAsia="hi-IN" w:bidi="hi-IN"/>
              </w:rPr>
              <w:t xml:space="preserve"> </w:t>
            </w:r>
            <w:r>
              <w:rPr>
                <w:rFonts w:ascii="Arial" w:hAnsi="Arial" w:cs="Mangal"/>
                <w:kern w:val="1"/>
                <w:sz w:val="16"/>
                <w:szCs w:val="16"/>
                <w:lang w:eastAsia="hi-IN" w:bidi="hi-IN"/>
              </w:rPr>
              <w:lastRenderedPageBreak/>
              <w:t>pentru biciclete, a parcărilor şi a sistemelor de î</w:t>
            </w:r>
            <w:r w:rsidRPr="00326E18">
              <w:rPr>
                <w:rFonts w:ascii="Arial" w:hAnsi="Arial" w:cs="Mangal"/>
                <w:kern w:val="1"/>
                <w:sz w:val="16"/>
                <w:szCs w:val="16"/>
                <w:lang w:eastAsia="hi-IN" w:bidi="hi-IN"/>
              </w:rPr>
              <w:t>nchiriere pentru acestea.</w:t>
            </w:r>
          </w:p>
        </w:tc>
        <w:tc>
          <w:tcPr>
            <w:tcW w:w="1244" w:type="dxa"/>
            <w:shd w:val="clear" w:color="auto" w:fill="auto"/>
          </w:tcPr>
          <w:p w14:paraId="4915420C"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 xml:space="preserve">Activitate </w:t>
            </w:r>
            <w:r w:rsidRPr="00326E18">
              <w:rPr>
                <w:rFonts w:ascii="Arial" w:hAnsi="Arial" w:cs="Mangal"/>
                <w:kern w:val="1"/>
                <w:sz w:val="16"/>
                <w:szCs w:val="16"/>
                <w:lang w:eastAsia="hi-IN" w:bidi="hi-IN"/>
              </w:rPr>
              <w:lastRenderedPageBreak/>
              <w:t>redusă.</w:t>
            </w:r>
          </w:p>
        </w:tc>
        <w:tc>
          <w:tcPr>
            <w:tcW w:w="1408" w:type="dxa"/>
            <w:shd w:val="clear" w:color="auto" w:fill="auto"/>
          </w:tcPr>
          <w:p w14:paraId="4F93ABBD" w14:textId="4483BE5C"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 xml:space="preserve">Amenajare </w:t>
            </w:r>
            <w:r w:rsidR="006E163D">
              <w:rPr>
                <w:rFonts w:ascii="Arial" w:hAnsi="Arial" w:cs="Mangal"/>
                <w:kern w:val="1"/>
                <w:sz w:val="16"/>
                <w:szCs w:val="16"/>
                <w:lang w:eastAsia="hi-IN" w:bidi="hi-IN"/>
              </w:rPr>
              <w:t>trasee</w:t>
            </w:r>
            <w:r w:rsidRPr="00326E18">
              <w:rPr>
                <w:rFonts w:ascii="Arial" w:hAnsi="Arial" w:cs="Mangal"/>
                <w:kern w:val="1"/>
                <w:sz w:val="16"/>
                <w:szCs w:val="16"/>
                <w:lang w:eastAsia="hi-IN" w:bidi="hi-IN"/>
              </w:rPr>
              <w:t xml:space="preserve"> pentru </w:t>
            </w:r>
            <w:r w:rsidRPr="00326E18">
              <w:rPr>
                <w:rFonts w:ascii="Arial" w:hAnsi="Arial" w:cs="Mangal"/>
                <w:kern w:val="1"/>
                <w:sz w:val="16"/>
                <w:szCs w:val="16"/>
                <w:lang w:eastAsia="hi-IN" w:bidi="hi-IN"/>
              </w:rPr>
              <w:lastRenderedPageBreak/>
              <w:t>biciclete, staţii de închiriere şi parcări pentru biciclete.</w:t>
            </w:r>
          </w:p>
        </w:tc>
      </w:tr>
      <w:tr w:rsidR="00326E18" w:rsidRPr="00326E18" w14:paraId="147BA0A0" w14:textId="77777777" w:rsidTr="00CE0301">
        <w:tc>
          <w:tcPr>
            <w:tcW w:w="1002" w:type="dxa"/>
            <w:shd w:val="clear" w:color="auto" w:fill="BFBFBF"/>
          </w:tcPr>
          <w:p w14:paraId="296BAF15"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Transport public</w:t>
            </w:r>
            <w:r w:rsidR="00CE0301">
              <w:rPr>
                <w:rFonts w:ascii="Arial" w:hAnsi="Arial" w:cs="Mangal"/>
                <w:kern w:val="1"/>
                <w:sz w:val="16"/>
                <w:szCs w:val="16"/>
                <w:lang w:eastAsia="hi-IN" w:bidi="hi-IN"/>
              </w:rPr>
              <w:t xml:space="preserve"> local</w:t>
            </w:r>
          </w:p>
        </w:tc>
        <w:tc>
          <w:tcPr>
            <w:tcW w:w="1106" w:type="dxa"/>
            <w:shd w:val="clear" w:color="auto" w:fill="auto"/>
          </w:tcPr>
          <w:p w14:paraId="232873E6" w14:textId="77777777" w:rsidR="00326E18" w:rsidRPr="00326E18" w:rsidRDefault="00CE0301"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0</w:t>
            </w:r>
            <w:r w:rsidR="00326E18" w:rsidRPr="00326E18">
              <w:rPr>
                <w:rFonts w:ascii="Arial" w:hAnsi="Arial" w:cs="Mangal"/>
                <w:kern w:val="1"/>
                <w:sz w:val="16"/>
                <w:szCs w:val="16"/>
                <w:lang w:eastAsia="hi-IN" w:bidi="hi-IN"/>
              </w:rPr>
              <w:t xml:space="preserve"> %</w:t>
            </w:r>
          </w:p>
        </w:tc>
        <w:tc>
          <w:tcPr>
            <w:tcW w:w="1161" w:type="dxa"/>
            <w:shd w:val="clear" w:color="auto" w:fill="auto"/>
          </w:tcPr>
          <w:p w14:paraId="61F30C07"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w:t>
            </w:r>
          </w:p>
        </w:tc>
        <w:tc>
          <w:tcPr>
            <w:tcW w:w="1565" w:type="dxa"/>
            <w:shd w:val="clear" w:color="auto" w:fill="auto"/>
          </w:tcPr>
          <w:p w14:paraId="442161B4"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transport public local.</w:t>
            </w:r>
          </w:p>
        </w:tc>
        <w:tc>
          <w:tcPr>
            <w:tcW w:w="1088" w:type="dxa"/>
            <w:shd w:val="clear" w:color="auto" w:fill="auto"/>
          </w:tcPr>
          <w:p w14:paraId="4FAE0537"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transport public local.</w:t>
            </w:r>
          </w:p>
        </w:tc>
        <w:tc>
          <w:tcPr>
            <w:tcW w:w="1297" w:type="dxa"/>
            <w:shd w:val="clear" w:color="auto" w:fill="auto"/>
          </w:tcPr>
          <w:p w14:paraId="620AEC1D"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transport public local.</w:t>
            </w:r>
          </w:p>
        </w:tc>
        <w:tc>
          <w:tcPr>
            <w:tcW w:w="1244" w:type="dxa"/>
            <w:shd w:val="clear" w:color="auto" w:fill="auto"/>
          </w:tcPr>
          <w:p w14:paraId="58110C45"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Activitate redusă.</w:t>
            </w:r>
          </w:p>
        </w:tc>
        <w:tc>
          <w:tcPr>
            <w:tcW w:w="1408" w:type="dxa"/>
            <w:shd w:val="clear" w:color="auto" w:fill="auto"/>
          </w:tcPr>
          <w:p w14:paraId="211096F3"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Introducerea TP atât pe întreaga suprafaţă a oraşului, cât şi către </w:t>
            </w:r>
            <w:r>
              <w:rPr>
                <w:rFonts w:ascii="Arial" w:hAnsi="Arial" w:cs="Mangal"/>
                <w:kern w:val="1"/>
                <w:sz w:val="16"/>
                <w:szCs w:val="16"/>
                <w:lang w:eastAsia="hi-IN" w:bidi="hi-IN"/>
              </w:rPr>
              <w:t>localitatile componente. Achiziţ</w:t>
            </w:r>
            <w:r w:rsidRPr="00326E18">
              <w:rPr>
                <w:rFonts w:ascii="Arial" w:hAnsi="Arial" w:cs="Mangal"/>
                <w:kern w:val="1"/>
                <w:sz w:val="16"/>
                <w:szCs w:val="16"/>
                <w:lang w:eastAsia="hi-IN" w:bidi="hi-IN"/>
              </w:rPr>
              <w:t>ionarea unui parc de vehicu</w:t>
            </w:r>
            <w:r>
              <w:rPr>
                <w:rFonts w:ascii="Arial" w:hAnsi="Arial" w:cs="Mangal"/>
                <w:kern w:val="1"/>
                <w:sz w:val="16"/>
                <w:szCs w:val="16"/>
                <w:lang w:eastAsia="hi-IN" w:bidi="hi-IN"/>
              </w:rPr>
              <w:t>le nepoluant. Amenajare staţii şi dotarea corespunză</w:t>
            </w:r>
            <w:r w:rsidRPr="00326E18">
              <w:rPr>
                <w:rFonts w:ascii="Arial" w:hAnsi="Arial" w:cs="Mangal"/>
                <w:kern w:val="1"/>
                <w:sz w:val="16"/>
                <w:szCs w:val="16"/>
                <w:lang w:eastAsia="hi-IN" w:bidi="hi-IN"/>
              </w:rPr>
              <w:t>toare</w:t>
            </w:r>
          </w:p>
        </w:tc>
      </w:tr>
      <w:tr w:rsidR="00326E18" w:rsidRPr="00326E18" w14:paraId="28CDE4D1" w14:textId="77777777" w:rsidTr="00CE0301">
        <w:tc>
          <w:tcPr>
            <w:tcW w:w="1002" w:type="dxa"/>
            <w:shd w:val="clear" w:color="auto" w:fill="BFBFBF"/>
          </w:tcPr>
          <w:p w14:paraId="65CDE461"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Vehicle-sharing</w:t>
            </w:r>
          </w:p>
        </w:tc>
        <w:tc>
          <w:tcPr>
            <w:tcW w:w="1106" w:type="dxa"/>
            <w:shd w:val="clear" w:color="auto" w:fill="auto"/>
          </w:tcPr>
          <w:p w14:paraId="26BF374E"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n/a</w:t>
            </w:r>
          </w:p>
        </w:tc>
        <w:tc>
          <w:tcPr>
            <w:tcW w:w="1161" w:type="dxa"/>
            <w:shd w:val="clear" w:color="auto" w:fill="auto"/>
          </w:tcPr>
          <w:p w14:paraId="10B96B8D"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w:t>
            </w:r>
          </w:p>
        </w:tc>
        <w:tc>
          <w:tcPr>
            <w:tcW w:w="1565" w:type="dxa"/>
            <w:shd w:val="clear" w:color="auto" w:fill="auto"/>
          </w:tcPr>
          <w:p w14:paraId="345FCD40"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vehicle-sharing.</w:t>
            </w:r>
          </w:p>
        </w:tc>
        <w:tc>
          <w:tcPr>
            <w:tcW w:w="1088" w:type="dxa"/>
            <w:shd w:val="clear" w:color="auto" w:fill="auto"/>
          </w:tcPr>
          <w:p w14:paraId="5A51DF99"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vehicle-sharing.</w:t>
            </w:r>
          </w:p>
        </w:tc>
        <w:tc>
          <w:tcPr>
            <w:tcW w:w="1297" w:type="dxa"/>
            <w:shd w:val="clear" w:color="auto" w:fill="auto"/>
          </w:tcPr>
          <w:p w14:paraId="11FBD823"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vehicle-sharing.</w:t>
            </w:r>
          </w:p>
        </w:tc>
        <w:tc>
          <w:tcPr>
            <w:tcW w:w="1244" w:type="dxa"/>
            <w:shd w:val="clear" w:color="auto" w:fill="auto"/>
          </w:tcPr>
          <w:p w14:paraId="059F6B3E"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Activitate redusă.</w:t>
            </w:r>
          </w:p>
        </w:tc>
        <w:tc>
          <w:tcPr>
            <w:tcW w:w="1408" w:type="dxa"/>
            <w:shd w:val="clear" w:color="auto" w:fill="auto"/>
          </w:tcPr>
          <w:p w14:paraId="4FE1E9A9"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Implementarea si promovarea sistemelor de vehicle-sharing.</w:t>
            </w:r>
          </w:p>
        </w:tc>
      </w:tr>
      <w:tr w:rsidR="00326E18" w:rsidRPr="00326E18" w14:paraId="759545CF" w14:textId="77777777" w:rsidTr="00CE0301">
        <w:tc>
          <w:tcPr>
            <w:tcW w:w="1002" w:type="dxa"/>
            <w:shd w:val="clear" w:color="auto" w:fill="BFBFBF"/>
          </w:tcPr>
          <w:p w14:paraId="7DCFF964"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Transport privat motorizat</w:t>
            </w:r>
          </w:p>
        </w:tc>
        <w:tc>
          <w:tcPr>
            <w:tcW w:w="1106" w:type="dxa"/>
            <w:shd w:val="clear" w:color="auto" w:fill="auto"/>
          </w:tcPr>
          <w:p w14:paraId="2E9F7EDE" w14:textId="77777777" w:rsidR="00326E18" w:rsidRPr="00326E18" w:rsidRDefault="00CE0301"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55,4</w:t>
            </w:r>
            <w:r w:rsidR="00326E18" w:rsidRPr="00326E18">
              <w:rPr>
                <w:rFonts w:ascii="Arial" w:hAnsi="Arial" w:cs="Mangal"/>
                <w:kern w:val="1"/>
                <w:sz w:val="16"/>
                <w:szCs w:val="16"/>
                <w:lang w:eastAsia="hi-IN" w:bidi="hi-IN"/>
              </w:rPr>
              <w:t xml:space="preserve"> %</w:t>
            </w:r>
          </w:p>
        </w:tc>
        <w:tc>
          <w:tcPr>
            <w:tcW w:w="1161" w:type="dxa"/>
            <w:shd w:val="clear" w:color="auto" w:fill="auto"/>
          </w:tcPr>
          <w:p w14:paraId="37D2E922"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Medie</w:t>
            </w:r>
          </w:p>
        </w:tc>
        <w:tc>
          <w:tcPr>
            <w:tcW w:w="1565" w:type="dxa"/>
            <w:shd w:val="clear" w:color="auto" w:fill="auto"/>
          </w:tcPr>
          <w:p w14:paraId="31469911" w14:textId="77777777" w:rsidR="00326E18" w:rsidRPr="00326E18" w:rsidRDefault="00326E18" w:rsidP="00CE0301">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Multe punct</w:t>
            </w:r>
            <w:r w:rsidR="00CE0301">
              <w:rPr>
                <w:rFonts w:ascii="Arial" w:hAnsi="Arial" w:cs="Mangal"/>
                <w:kern w:val="1"/>
                <w:sz w:val="16"/>
                <w:szCs w:val="16"/>
                <w:lang w:eastAsia="hi-IN" w:bidi="hi-IN"/>
              </w:rPr>
              <w:t>e</w:t>
            </w:r>
            <w:r w:rsidRPr="00326E18">
              <w:rPr>
                <w:rFonts w:ascii="Arial" w:hAnsi="Arial" w:cs="Mangal"/>
                <w:kern w:val="1"/>
                <w:sz w:val="16"/>
                <w:szCs w:val="16"/>
                <w:lang w:eastAsia="hi-IN" w:bidi="hi-IN"/>
              </w:rPr>
              <w:t xml:space="preserve"> de conflict pe principalele artere de circulaţie.</w:t>
            </w:r>
          </w:p>
        </w:tc>
        <w:tc>
          <w:tcPr>
            <w:tcW w:w="1088" w:type="dxa"/>
            <w:shd w:val="clear" w:color="auto" w:fill="auto"/>
          </w:tcPr>
          <w:p w14:paraId="7C6AE13C"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Utilizarea excesivă a vehiculelor private are un impact negativ asupra mediului.</w:t>
            </w:r>
          </w:p>
        </w:tc>
        <w:tc>
          <w:tcPr>
            <w:tcW w:w="1297" w:type="dxa"/>
            <w:shd w:val="clear" w:color="auto" w:fill="auto"/>
          </w:tcPr>
          <w:p w14:paraId="2B4FC69D"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Reţeaua rutieră acoperă întreaga suprafaţă a oraşului, însă exista zone cu penetrabilitate şi permisivate scăzute.</w:t>
            </w:r>
          </w:p>
        </w:tc>
        <w:tc>
          <w:tcPr>
            <w:tcW w:w="1244" w:type="dxa"/>
            <w:shd w:val="clear" w:color="auto" w:fill="auto"/>
          </w:tcPr>
          <w:p w14:paraId="2E834CC7"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Proiectul “</w:t>
            </w:r>
            <w:r w:rsidRPr="00326E18">
              <w:rPr>
                <w:rFonts w:ascii="Arial" w:hAnsi="Arial" w:cs="Arial"/>
                <w:bCs/>
                <w:kern w:val="1"/>
                <w:sz w:val="16"/>
                <w:szCs w:val="16"/>
                <w:shd w:val="clear" w:color="auto" w:fill="FFFFFF"/>
                <w:lang w:val="ro-RO" w:eastAsia="hi-IN" w:bidi="hi-IN"/>
              </w:rPr>
              <w:t>Varianta de ocolire Horezu</w:t>
            </w:r>
            <w:r w:rsidRPr="00326E18">
              <w:rPr>
                <w:rFonts w:ascii="Arial" w:hAnsi="Arial" w:cs="Mangal"/>
                <w:kern w:val="1"/>
                <w:sz w:val="16"/>
                <w:szCs w:val="16"/>
                <w:lang w:eastAsia="hi-IN" w:bidi="hi-IN"/>
              </w:rPr>
              <w:t>” în curs de derulare (stadiu SF).</w:t>
            </w:r>
          </w:p>
        </w:tc>
        <w:tc>
          <w:tcPr>
            <w:tcW w:w="1408" w:type="dxa"/>
            <w:shd w:val="clear" w:color="auto" w:fill="auto"/>
          </w:tcPr>
          <w:p w14:paraId="7E253CAA"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Implementarea de politici şi măsuri care să contribuie la scăderea utilizării autovehiculului personal.</w:t>
            </w:r>
          </w:p>
        </w:tc>
      </w:tr>
      <w:tr w:rsidR="00326E18" w:rsidRPr="00326E18" w14:paraId="0687FF2D" w14:textId="77777777" w:rsidTr="00CE0301">
        <w:tc>
          <w:tcPr>
            <w:tcW w:w="1002" w:type="dxa"/>
            <w:shd w:val="clear" w:color="auto" w:fill="BFBFBF"/>
          </w:tcPr>
          <w:p w14:paraId="7AA4005F"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Multimodal</w:t>
            </w:r>
          </w:p>
        </w:tc>
        <w:tc>
          <w:tcPr>
            <w:tcW w:w="1106" w:type="dxa"/>
            <w:shd w:val="clear" w:color="auto" w:fill="auto"/>
          </w:tcPr>
          <w:p w14:paraId="00AF2531" w14:textId="77777777" w:rsidR="00326E18" w:rsidRPr="00326E18" w:rsidRDefault="00CE0301"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25,5 %</w:t>
            </w:r>
          </w:p>
        </w:tc>
        <w:tc>
          <w:tcPr>
            <w:tcW w:w="1161" w:type="dxa"/>
            <w:shd w:val="clear" w:color="auto" w:fill="auto"/>
          </w:tcPr>
          <w:p w14:paraId="5A3272D6"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w:t>
            </w:r>
          </w:p>
        </w:tc>
        <w:tc>
          <w:tcPr>
            <w:tcW w:w="1565" w:type="dxa"/>
            <w:shd w:val="clear" w:color="auto" w:fill="auto"/>
          </w:tcPr>
          <w:p w14:paraId="5C6C51C2"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Pr>
                <w:rFonts w:ascii="Arial" w:hAnsi="Arial" w:cs="Mangal"/>
                <w:kern w:val="1"/>
                <w:sz w:val="16"/>
                <w:szCs w:val="16"/>
                <w:lang w:eastAsia="hi-IN" w:bidi="hi-IN"/>
              </w:rPr>
              <w:t>Autogările existente aparţin operatorilor privaţi care nu au posibilităţi pentru dotarea ş</w:t>
            </w:r>
            <w:r w:rsidRPr="00326E18">
              <w:rPr>
                <w:rFonts w:ascii="Arial" w:hAnsi="Arial" w:cs="Mangal"/>
                <w:kern w:val="1"/>
                <w:sz w:val="16"/>
                <w:szCs w:val="16"/>
                <w:lang w:eastAsia="hi-IN" w:bidi="hi-IN"/>
              </w:rPr>
              <w:t>i amenajarea corespunzătoare. Lipsă informaţii pentru intermodalitate.</w:t>
            </w:r>
          </w:p>
        </w:tc>
        <w:tc>
          <w:tcPr>
            <w:tcW w:w="1088" w:type="dxa"/>
            <w:shd w:val="clear" w:color="auto" w:fill="auto"/>
          </w:tcPr>
          <w:p w14:paraId="428978DC"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o staţie intermodală adm</w:t>
            </w:r>
            <w:r>
              <w:rPr>
                <w:rFonts w:ascii="Arial" w:hAnsi="Arial" w:cs="Mangal"/>
                <w:kern w:val="1"/>
                <w:sz w:val="16"/>
                <w:szCs w:val="16"/>
                <w:lang w:eastAsia="hi-IN" w:bidi="hi-IN"/>
              </w:rPr>
              <w:t>inistrata de autoritatea publică locală</w:t>
            </w:r>
            <w:r w:rsidRPr="00326E18">
              <w:rPr>
                <w:rFonts w:ascii="Arial" w:hAnsi="Arial" w:cs="Mangal"/>
                <w:kern w:val="1"/>
                <w:sz w:val="16"/>
                <w:szCs w:val="16"/>
                <w:lang w:eastAsia="hi-IN" w:bidi="hi-IN"/>
              </w:rPr>
              <w:t>.</w:t>
            </w:r>
          </w:p>
        </w:tc>
        <w:tc>
          <w:tcPr>
            <w:tcW w:w="1297" w:type="dxa"/>
            <w:shd w:val="clear" w:color="auto" w:fill="auto"/>
          </w:tcPr>
          <w:p w14:paraId="2EEE73A7"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parcări Park&amp;Ride. Nu e</w:t>
            </w:r>
            <w:r>
              <w:rPr>
                <w:rFonts w:ascii="Arial" w:hAnsi="Arial" w:cs="Mangal"/>
                <w:kern w:val="1"/>
                <w:sz w:val="16"/>
                <w:szCs w:val="16"/>
                <w:lang w:eastAsia="hi-IN" w:bidi="hi-IN"/>
              </w:rPr>
              <w:t>xistă parcă</w:t>
            </w:r>
            <w:r w:rsidRPr="00326E18">
              <w:rPr>
                <w:rFonts w:ascii="Arial" w:hAnsi="Arial" w:cs="Mangal"/>
                <w:kern w:val="1"/>
                <w:sz w:val="16"/>
                <w:szCs w:val="16"/>
                <w:lang w:eastAsia="hi-IN" w:bidi="hi-IN"/>
              </w:rPr>
              <w:t xml:space="preserve">ri pentru biciclete în zonele de interschimb cu alte moduri de transport (autogări, staţii TP) </w:t>
            </w:r>
          </w:p>
        </w:tc>
        <w:tc>
          <w:tcPr>
            <w:tcW w:w="1244" w:type="dxa"/>
            <w:shd w:val="clear" w:color="auto" w:fill="auto"/>
          </w:tcPr>
          <w:p w14:paraId="0CD79E72"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Activitate redusă.</w:t>
            </w:r>
          </w:p>
        </w:tc>
        <w:tc>
          <w:tcPr>
            <w:tcW w:w="1408" w:type="dxa"/>
            <w:shd w:val="clear" w:color="auto" w:fill="auto"/>
          </w:tcPr>
          <w:p w14:paraId="46E6278C"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Construirea unui centru intermodal.</w:t>
            </w:r>
          </w:p>
        </w:tc>
      </w:tr>
      <w:tr w:rsidR="00326E18" w:rsidRPr="00326E18" w14:paraId="4149BF9F" w14:textId="77777777" w:rsidTr="00CE0301">
        <w:tc>
          <w:tcPr>
            <w:tcW w:w="1002" w:type="dxa"/>
            <w:shd w:val="clear" w:color="auto" w:fill="BFBFBF"/>
          </w:tcPr>
          <w:p w14:paraId="2A55289B"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Marfa</w:t>
            </w:r>
          </w:p>
        </w:tc>
        <w:tc>
          <w:tcPr>
            <w:tcW w:w="1106" w:type="dxa"/>
            <w:shd w:val="clear" w:color="auto" w:fill="auto"/>
          </w:tcPr>
          <w:p w14:paraId="2003922F"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n/a</w:t>
            </w:r>
          </w:p>
        </w:tc>
        <w:tc>
          <w:tcPr>
            <w:tcW w:w="1161" w:type="dxa"/>
            <w:shd w:val="clear" w:color="auto" w:fill="auto"/>
          </w:tcPr>
          <w:p w14:paraId="440BE0AD" w14:textId="77777777" w:rsidR="00326E18" w:rsidRPr="00326E18" w:rsidRDefault="00326E18" w:rsidP="00326E18">
            <w:pPr>
              <w:widowControl w:val="0"/>
              <w:tabs>
                <w:tab w:val="left" w:pos="218"/>
                <w:tab w:val="center" w:pos="472"/>
              </w:tabs>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ab/>
              <w:t>Rea</w:t>
            </w:r>
          </w:p>
        </w:tc>
        <w:tc>
          <w:tcPr>
            <w:tcW w:w="1565" w:type="dxa"/>
            <w:shd w:val="clear" w:color="auto" w:fill="auto"/>
          </w:tcPr>
          <w:p w14:paraId="16B73141"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Traficul greu tranziteaza oraşul.</w:t>
            </w:r>
          </w:p>
        </w:tc>
        <w:tc>
          <w:tcPr>
            <w:tcW w:w="1088" w:type="dxa"/>
            <w:shd w:val="clear" w:color="auto" w:fill="auto"/>
          </w:tcPr>
          <w:p w14:paraId="0CE94D61"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Existenta traficului greu in oraş are efecte negative asupra mediului şi sănătăţii oamenilor. </w:t>
            </w:r>
          </w:p>
        </w:tc>
        <w:tc>
          <w:tcPr>
            <w:tcW w:w="1297" w:type="dxa"/>
            <w:shd w:val="clear" w:color="auto" w:fill="auto"/>
          </w:tcPr>
          <w:p w14:paraId="6D4A2FA4"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Zonele industriale sunt situate la marginea oraşului unde traficul de marfă ajunge prin intermediul drumurilor naţionale.</w:t>
            </w:r>
          </w:p>
        </w:tc>
        <w:tc>
          <w:tcPr>
            <w:tcW w:w="1244" w:type="dxa"/>
            <w:shd w:val="clear" w:color="auto" w:fill="auto"/>
          </w:tcPr>
          <w:p w14:paraId="5212A9A0"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Proiectul “</w:t>
            </w:r>
            <w:r w:rsidRPr="00326E18">
              <w:rPr>
                <w:rFonts w:ascii="Arial" w:hAnsi="Arial" w:cs="Arial"/>
                <w:bCs/>
                <w:kern w:val="1"/>
                <w:sz w:val="16"/>
                <w:szCs w:val="16"/>
                <w:shd w:val="clear" w:color="auto" w:fill="FFFFFF"/>
                <w:lang w:val="ro-RO" w:eastAsia="hi-IN" w:bidi="hi-IN"/>
              </w:rPr>
              <w:t>Varianta de ocolire Horezu</w:t>
            </w:r>
            <w:r w:rsidRPr="00326E18">
              <w:rPr>
                <w:rFonts w:ascii="Arial" w:hAnsi="Arial" w:cs="Mangal"/>
                <w:kern w:val="1"/>
                <w:sz w:val="16"/>
                <w:szCs w:val="16"/>
                <w:lang w:eastAsia="hi-IN" w:bidi="hi-IN"/>
              </w:rPr>
              <w:t>” în curs de derulare (stadiu SF).</w:t>
            </w:r>
          </w:p>
        </w:tc>
        <w:tc>
          <w:tcPr>
            <w:tcW w:w="1408" w:type="dxa"/>
            <w:shd w:val="clear" w:color="auto" w:fill="auto"/>
          </w:tcPr>
          <w:p w14:paraId="3102537D"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Dezvoltarea unei strategii de aprovizionare cu mărfuri în interiorul oraşului în intervalele de timp cu trafic redus.</w:t>
            </w:r>
          </w:p>
        </w:tc>
      </w:tr>
      <w:tr w:rsidR="00326E18" w:rsidRPr="00326E18" w14:paraId="2B483152" w14:textId="77777777" w:rsidTr="00CE0301">
        <w:tc>
          <w:tcPr>
            <w:tcW w:w="1002" w:type="dxa"/>
            <w:shd w:val="clear" w:color="auto" w:fill="BFBFBF"/>
          </w:tcPr>
          <w:p w14:paraId="45490F1A" w14:textId="77777777" w:rsidR="00326E18" w:rsidRPr="00326E18" w:rsidRDefault="00326E18" w:rsidP="00326E18">
            <w:pPr>
              <w:widowControl w:val="0"/>
              <w:suppressAutoHyphens/>
              <w:spacing w:beforeLines="40" w:before="96" w:afterLines="40" w:after="96" w:line="240" w:lineRule="auto"/>
              <w:rPr>
                <w:rFonts w:ascii="Arial" w:hAnsi="Arial" w:cs="Mangal"/>
                <w:b/>
                <w:kern w:val="1"/>
                <w:sz w:val="16"/>
                <w:szCs w:val="16"/>
                <w:lang w:eastAsia="hi-IN" w:bidi="hi-IN"/>
              </w:rPr>
            </w:pPr>
            <w:r w:rsidRPr="00326E18">
              <w:rPr>
                <w:rFonts w:ascii="Arial" w:hAnsi="Arial" w:cs="Mangal"/>
                <w:b/>
                <w:kern w:val="1"/>
                <w:sz w:val="16"/>
                <w:szCs w:val="16"/>
                <w:lang w:eastAsia="hi-IN" w:bidi="hi-IN"/>
              </w:rPr>
              <w:t>ANALIZA</w:t>
            </w:r>
          </w:p>
        </w:tc>
        <w:tc>
          <w:tcPr>
            <w:tcW w:w="1106" w:type="dxa"/>
            <w:shd w:val="clear" w:color="auto" w:fill="auto"/>
          </w:tcPr>
          <w:p w14:paraId="1ED53835"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Transportul privat motorizat este modul predominant</w:t>
            </w:r>
          </w:p>
        </w:tc>
        <w:tc>
          <w:tcPr>
            <w:tcW w:w="1161" w:type="dxa"/>
            <w:shd w:val="clear" w:color="auto" w:fill="auto"/>
          </w:tcPr>
          <w:p w14:paraId="74DA01F9"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Infrastructura pentru toate modurile de transport trebuie îmbunătăţită</w:t>
            </w:r>
          </w:p>
        </w:tc>
        <w:tc>
          <w:tcPr>
            <w:tcW w:w="1565" w:type="dxa"/>
            <w:shd w:val="clear" w:color="auto" w:fill="auto"/>
          </w:tcPr>
          <w:p w14:paraId="6A8A9A8D"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Siguranţa traficului şi, în special, a participanţilor vulnerabili trebuie să devină o prioritate.</w:t>
            </w:r>
          </w:p>
        </w:tc>
        <w:tc>
          <w:tcPr>
            <w:tcW w:w="1088" w:type="dxa"/>
            <w:shd w:val="clear" w:color="auto" w:fill="auto"/>
          </w:tcPr>
          <w:p w14:paraId="6257FF0B"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Poluarea aerului si fonica ridicate din cauza traficului motorizat privat, dar si a celui de </w:t>
            </w:r>
            <w:r w:rsidRPr="00326E18">
              <w:rPr>
                <w:rFonts w:ascii="Arial" w:hAnsi="Arial" w:cs="Mangal"/>
                <w:kern w:val="1"/>
                <w:sz w:val="16"/>
                <w:szCs w:val="16"/>
                <w:lang w:eastAsia="hi-IN" w:bidi="hi-IN"/>
              </w:rPr>
              <w:lastRenderedPageBreak/>
              <w:t xml:space="preserve">tranzit. </w:t>
            </w:r>
          </w:p>
        </w:tc>
        <w:tc>
          <w:tcPr>
            <w:tcW w:w="1297" w:type="dxa"/>
            <w:shd w:val="clear" w:color="auto" w:fill="auto"/>
          </w:tcPr>
          <w:p w14:paraId="64E03172" w14:textId="7CCE9792"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 xml:space="preserve">Extinderea zonelor  exclusiv pietonale. Amenajare </w:t>
            </w:r>
            <w:r w:rsidR="006E163D">
              <w:rPr>
                <w:rFonts w:ascii="Arial" w:hAnsi="Arial" w:cs="Mangal"/>
                <w:kern w:val="1"/>
                <w:sz w:val="16"/>
                <w:szCs w:val="16"/>
                <w:lang w:eastAsia="hi-IN" w:bidi="hi-IN"/>
              </w:rPr>
              <w:t>trasee</w:t>
            </w:r>
            <w:r w:rsidRPr="00326E18">
              <w:rPr>
                <w:rFonts w:ascii="Arial" w:hAnsi="Arial" w:cs="Mangal"/>
                <w:kern w:val="1"/>
                <w:sz w:val="16"/>
                <w:szCs w:val="16"/>
                <w:lang w:eastAsia="hi-IN" w:bidi="hi-IN"/>
              </w:rPr>
              <w:t xml:space="preserve"> pentru biciclete. Implementarea si promovarea </w:t>
            </w:r>
            <w:r w:rsidRPr="00326E18">
              <w:rPr>
                <w:rFonts w:ascii="Arial" w:hAnsi="Arial" w:cs="Mangal"/>
                <w:kern w:val="1"/>
                <w:sz w:val="16"/>
                <w:szCs w:val="16"/>
                <w:lang w:eastAsia="hi-IN" w:bidi="hi-IN"/>
              </w:rPr>
              <w:lastRenderedPageBreak/>
              <w:t>sistemelor de vehicle-sharing. Introducerea sistemului de TP şi achizitionarea unui parc de vehicule nepoluant.</w:t>
            </w:r>
          </w:p>
        </w:tc>
        <w:tc>
          <w:tcPr>
            <w:tcW w:w="1244" w:type="dxa"/>
            <w:shd w:val="clear" w:color="auto" w:fill="auto"/>
          </w:tcPr>
          <w:p w14:paraId="07D5C433" w14:textId="77777777" w:rsidR="00326E18" w:rsidRPr="00326E18" w:rsidRDefault="00326E18" w:rsidP="00326E18">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Capacitatea de realizare a proiectelor din diferitele domenii trebuie întărită.</w:t>
            </w:r>
          </w:p>
        </w:tc>
        <w:tc>
          <w:tcPr>
            <w:tcW w:w="1408" w:type="dxa"/>
            <w:shd w:val="clear" w:color="auto" w:fill="auto"/>
          </w:tcPr>
          <w:p w14:paraId="2ED48D94" w14:textId="77777777" w:rsidR="00326E18" w:rsidRPr="00326E18" w:rsidRDefault="00326E18" w:rsidP="00326E18">
            <w:pPr>
              <w:widowControl w:val="0"/>
              <w:suppressAutoHyphens/>
              <w:spacing w:beforeLines="40" w:before="96" w:afterLines="40" w:after="96" w:line="240" w:lineRule="auto"/>
              <w:jc w:val="center"/>
              <w:rPr>
                <w:rFonts w:ascii="Arial" w:hAnsi="Arial" w:cs="Mangal"/>
                <w:kern w:val="1"/>
                <w:sz w:val="16"/>
                <w:szCs w:val="16"/>
                <w:lang w:eastAsia="hi-IN" w:bidi="hi-IN"/>
              </w:rPr>
            </w:pPr>
          </w:p>
        </w:tc>
      </w:tr>
    </w:tbl>
    <w:p w14:paraId="0B98E65E" w14:textId="77777777" w:rsidR="00326E18" w:rsidRPr="00326E18" w:rsidRDefault="00326E18" w:rsidP="00326E18">
      <w:pPr>
        <w:rPr>
          <w:rFonts w:ascii="Times New Roman" w:eastAsia="Times New Roman" w:hAnsi="Times New Roman" w:cs="Times New Roman"/>
          <w:b/>
          <w:sz w:val="24"/>
          <w:szCs w:val="24"/>
          <w:lang w:val="it-IT" w:eastAsia="ro-RO"/>
        </w:rPr>
      </w:pPr>
    </w:p>
    <w:p w14:paraId="03CA53E2" w14:textId="77777777" w:rsidR="00AE0ABB" w:rsidRPr="00AE0ABB" w:rsidRDefault="00AE0ABB" w:rsidP="00AE0ABB">
      <w:pPr>
        <w:rPr>
          <w:rFonts w:ascii="Calibri" w:hAnsi="Calibri" w:cs="Times New Roman"/>
        </w:rPr>
      </w:pPr>
    </w:p>
    <w:p w14:paraId="0400AD44" w14:textId="77777777" w:rsidR="00AE0ABB" w:rsidRPr="00AE0ABB" w:rsidRDefault="00AE0ABB" w:rsidP="00D6124B">
      <w:pPr>
        <w:widowControl w:val="0"/>
        <w:suppressAutoHyphens/>
        <w:spacing w:after="0" w:line="360" w:lineRule="auto"/>
        <w:jc w:val="both"/>
        <w:rPr>
          <w:rFonts w:ascii="Arial" w:hAnsi="Arial" w:cs="Mangal"/>
          <w:kern w:val="1"/>
          <w:sz w:val="24"/>
          <w:szCs w:val="24"/>
          <w:lang w:val="ro-RO" w:eastAsia="hi-IN" w:bidi="hi-IN"/>
        </w:rPr>
      </w:pPr>
    </w:p>
    <w:p w14:paraId="2903CAF8" w14:textId="77777777" w:rsidR="00D70AEA" w:rsidRPr="003430C5" w:rsidRDefault="00EA79B2" w:rsidP="003430C5">
      <w:pPr>
        <w:pStyle w:val="Titlu1"/>
        <w:rPr>
          <w:rFonts w:ascii="Arial" w:eastAsia="Times New Roman" w:hAnsi="Arial" w:cs="Arial"/>
          <w:b/>
          <w:bCs/>
          <w:color w:val="auto"/>
          <w:sz w:val="28"/>
          <w:szCs w:val="28"/>
          <w:lang w:val="it-IT" w:eastAsia="ro-RO"/>
        </w:rPr>
      </w:pPr>
      <w:bookmarkStart w:id="157" w:name="_Toc61264895"/>
      <w:bookmarkStart w:id="158" w:name="_Toc142039068"/>
      <w:r w:rsidRPr="00EA79B2">
        <w:rPr>
          <w:rFonts w:asciiTheme="minorHAnsi" w:eastAsia="SimSun" w:hAnsiTheme="minorHAnsi" w:cstheme="minorBidi"/>
          <w:noProof/>
          <w:color w:val="auto"/>
          <w:sz w:val="22"/>
          <w:szCs w:val="22"/>
        </w:rPr>
        <mc:AlternateContent>
          <mc:Choice Requires="wps">
            <w:drawing>
              <wp:anchor distT="0" distB="0" distL="114300" distR="114300" simplePos="0" relativeHeight="251617792" behindDoc="0" locked="0" layoutInCell="1" allowOverlap="1" wp14:anchorId="7DC9679B" wp14:editId="3298969A">
                <wp:simplePos x="0" y="0"/>
                <wp:positionH relativeFrom="column">
                  <wp:posOffset>6184199</wp:posOffset>
                </wp:positionH>
                <wp:positionV relativeFrom="paragraph">
                  <wp:posOffset>9525</wp:posOffset>
                </wp:positionV>
                <wp:extent cx="1828800" cy="1828800"/>
                <wp:effectExtent l="0" t="0" r="0" b="0"/>
                <wp:wrapNone/>
                <wp:docPr id="50" name="Text Box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A5F8C15" w14:textId="77777777" w:rsidR="00C36A80" w:rsidRPr="00EA79B2" w:rsidRDefault="00C36A80" w:rsidP="00EA79B2">
                            <w:pPr>
                              <w:pStyle w:val="Titlu1"/>
                              <w:jc w:val="center"/>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pPr>
                            <w:bookmarkStart w:id="159" w:name="_Toc142039069"/>
                            <w:r w:rsidRPr="00EA79B2">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t>I.3</w:t>
                            </w:r>
                            <w:bookmarkEnd w:id="159"/>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DC9679B" id="Text Box 50" o:spid="_x0000_s1053" type="#_x0000_t202" style="position:absolute;margin-left:486.95pt;margin-top:.75pt;width:2in;height:2in;z-index:251617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" filled="f" stroked="f">
                <v:textbox style="mso-fit-shape-to-text:t">
                  <w:txbxContent>
                    <w:p w14:paraId="2A5F8C15" w14:textId="77777777" w:rsidR="00C36A80" w:rsidRPr="00EA79B2" w:rsidRDefault="00C36A80" w:rsidP="00EA79B2">
                      <w:pPr>
                        <w:pStyle w:val="Titlu1"/>
                        <w:jc w:val="center"/>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pPr>
                      <w:bookmarkStart w:id="160" w:name="_Toc142039069"/>
                      <w:r w:rsidRPr="00EA79B2">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t>I.3</w:t>
                      </w:r>
                      <w:bookmarkEnd w:id="160"/>
                    </w:p>
                  </w:txbxContent>
                </v:textbox>
              </v:shape>
            </w:pict>
          </mc:Fallback>
        </mc:AlternateContent>
      </w:r>
      <w:r w:rsidR="00D70AEA" w:rsidRPr="003430C5">
        <w:rPr>
          <w:rFonts w:ascii="Arial" w:eastAsia="Times New Roman" w:hAnsi="Arial" w:cs="Arial"/>
          <w:b/>
          <w:bCs/>
          <w:color w:val="auto"/>
          <w:sz w:val="28"/>
          <w:szCs w:val="28"/>
          <w:lang w:val="it-IT" w:eastAsia="ro-RO"/>
        </w:rPr>
        <w:t>I.3 Modelul de transport (obligatoriu pentru localitățile de rang 0 și 1)</w:t>
      </w:r>
      <w:bookmarkEnd w:id="157"/>
      <w:bookmarkEnd w:id="158"/>
    </w:p>
    <w:p w14:paraId="118E4797" w14:textId="77777777" w:rsidR="00D70AEA" w:rsidRPr="00EF59AE" w:rsidRDefault="00D70AEA" w:rsidP="003430C5">
      <w:pPr>
        <w:pStyle w:val="Titlu2"/>
        <w:rPr>
          <w:rFonts w:ascii="Arial" w:eastAsia="Times New Roman" w:hAnsi="Arial" w:cs="Arial"/>
          <w:b/>
          <w:bCs/>
          <w:color w:val="auto"/>
          <w:lang w:val="it-IT" w:eastAsia="ro-RO"/>
        </w:rPr>
      </w:pPr>
      <w:bookmarkStart w:id="161" w:name="_Toc61264896"/>
      <w:bookmarkStart w:id="162" w:name="_Toc142039070"/>
      <w:r w:rsidRPr="00EF59AE">
        <w:rPr>
          <w:rFonts w:ascii="Arial" w:eastAsia="Times New Roman" w:hAnsi="Arial" w:cs="Arial"/>
          <w:b/>
          <w:bCs/>
          <w:color w:val="auto"/>
          <w:lang w:val="it-IT" w:eastAsia="ro-RO"/>
        </w:rPr>
        <w:t>I.3.1</w:t>
      </w:r>
      <w:r w:rsidR="003430C5" w:rsidRPr="00EF59AE">
        <w:rPr>
          <w:rFonts w:ascii="Arial" w:eastAsia="Times New Roman" w:hAnsi="Arial" w:cs="Arial"/>
          <w:b/>
          <w:bCs/>
          <w:color w:val="auto"/>
          <w:lang w:val="it-IT" w:eastAsia="ro-RO"/>
        </w:rPr>
        <w:t xml:space="preserve"> </w:t>
      </w:r>
      <w:r w:rsidRPr="00EF59AE">
        <w:rPr>
          <w:rFonts w:ascii="Arial" w:eastAsia="Times New Roman" w:hAnsi="Arial" w:cs="Arial"/>
          <w:b/>
          <w:bCs/>
          <w:color w:val="auto"/>
          <w:lang w:val="it-IT" w:eastAsia="ro-RO"/>
        </w:rPr>
        <w:t>Prezentare generala și definirea domeniului</w:t>
      </w:r>
      <w:bookmarkEnd w:id="161"/>
      <w:bookmarkEnd w:id="162"/>
    </w:p>
    <w:p w14:paraId="1A5D27E0" w14:textId="77777777" w:rsidR="00D6124B" w:rsidRPr="00D6124B" w:rsidRDefault="00D6124B" w:rsidP="00D6124B">
      <w:pPr>
        <w:widowControl w:val="0"/>
        <w:suppressAutoHyphens/>
        <w:spacing w:after="0" w:line="240" w:lineRule="auto"/>
        <w:rPr>
          <w:rFonts w:ascii="Arial" w:hAnsi="Arial" w:cs="Mangal"/>
          <w:kern w:val="1"/>
          <w:sz w:val="20"/>
          <w:szCs w:val="24"/>
          <w:lang w:val="es-ES" w:eastAsia="hi-IN" w:bidi="hi-IN"/>
        </w:rPr>
      </w:pPr>
    </w:p>
    <w:p w14:paraId="02CF82D0" w14:textId="77777777" w:rsidR="00D6124B" w:rsidRPr="00EF59AE" w:rsidRDefault="00EF59AE" w:rsidP="00EF59AE">
      <w:pPr>
        <w:pStyle w:val="Titlu3"/>
        <w:rPr>
          <w:rFonts w:ascii="Arial" w:hAnsi="Arial" w:cs="Arial"/>
          <w:sz w:val="24"/>
          <w:szCs w:val="24"/>
          <w:lang w:val="es-ES"/>
        </w:rPr>
      </w:pPr>
      <w:bookmarkStart w:id="163" w:name="_Toc142039071"/>
      <w:r w:rsidRPr="00EF59AE">
        <w:rPr>
          <w:rFonts w:ascii="Arial" w:hAnsi="Arial" w:cs="Arial"/>
          <w:sz w:val="24"/>
          <w:szCs w:val="24"/>
          <w:lang w:val="es-ES"/>
        </w:rPr>
        <w:t xml:space="preserve">I.3.1.1 </w:t>
      </w:r>
      <w:r w:rsidR="00D6124B" w:rsidRPr="00EF59AE">
        <w:rPr>
          <w:rFonts w:ascii="Arial" w:hAnsi="Arial" w:cs="Arial"/>
          <w:sz w:val="24"/>
          <w:szCs w:val="24"/>
          <w:lang w:val="es-ES"/>
        </w:rPr>
        <w:t>Definirea și rolul modelului de transport</w:t>
      </w:r>
      <w:bookmarkEnd w:id="163"/>
    </w:p>
    <w:p w14:paraId="6DDA0F25" w14:textId="77777777" w:rsidR="00D6124B" w:rsidRPr="00EF59AE" w:rsidRDefault="00D6124B" w:rsidP="00EF59AE">
      <w:pPr>
        <w:widowControl w:val="0"/>
        <w:suppressAutoHyphens/>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 xml:space="preserve">Pentru elaborarea PMUD </w:t>
      </w:r>
      <w:r w:rsidR="00E8015D">
        <w:rPr>
          <w:rFonts w:ascii="Arial" w:hAnsi="Arial" w:cs="Arial"/>
          <w:kern w:val="1"/>
          <w:lang w:val="es-ES" w:eastAsia="hi-IN" w:bidi="hi-IN"/>
        </w:rPr>
        <w:t>al orașului Horezu</w:t>
      </w:r>
      <w:r w:rsidRPr="00EF59AE">
        <w:rPr>
          <w:rFonts w:ascii="Arial" w:hAnsi="Arial" w:cs="Arial"/>
          <w:kern w:val="1"/>
          <w:lang w:val="es-ES" w:eastAsia="hi-IN" w:bidi="hi-IN"/>
        </w:rPr>
        <w:t xml:space="preserve"> a fost folosit un model de transport multi-modal, având la bază software-ul VISUM. Acesta poate fi folosit pentru reprezentarea tuturor modurilor de transport și simularea interacțiunii acestora. Software-ul permite modelarea diferitor scenarii multimodale și estimarea efectului acestora asupra traficului.</w:t>
      </w:r>
    </w:p>
    <w:p w14:paraId="6183F760" w14:textId="77777777" w:rsidR="00D6124B" w:rsidRPr="00EF59AE" w:rsidRDefault="00D6124B" w:rsidP="00EF59AE">
      <w:pPr>
        <w:widowControl w:val="0"/>
        <w:suppressAutoHyphens/>
        <w:spacing w:after="0" w:line="276" w:lineRule="auto"/>
        <w:jc w:val="both"/>
        <w:rPr>
          <w:rFonts w:ascii="Arial" w:hAnsi="Arial" w:cs="Arial"/>
          <w:kern w:val="1"/>
          <w:lang w:val="es-ES" w:eastAsia="hi-IN" w:bidi="hi-IN"/>
        </w:rPr>
      </w:pPr>
    </w:p>
    <w:p w14:paraId="1EB6153D" w14:textId="77777777" w:rsidR="00D6124B" w:rsidRPr="00EF59AE" w:rsidRDefault="00D6124B" w:rsidP="00EF59AE">
      <w:pPr>
        <w:widowControl w:val="0"/>
        <w:suppressAutoHyphens/>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 xml:space="preserve">Planul de dezvoltare urbană durabilă al </w:t>
      </w:r>
      <w:r w:rsidR="003B5917">
        <w:rPr>
          <w:rFonts w:ascii="Arial" w:hAnsi="Arial" w:cs="Arial"/>
          <w:kern w:val="1"/>
          <w:lang w:val="es-ES" w:eastAsia="hi-IN" w:bidi="hi-IN"/>
        </w:rPr>
        <w:t>orașului Horezu</w:t>
      </w:r>
      <w:r w:rsidRPr="00EF59AE">
        <w:rPr>
          <w:rFonts w:ascii="Arial" w:hAnsi="Arial" w:cs="Arial"/>
          <w:kern w:val="1"/>
          <w:lang w:val="es-ES" w:eastAsia="hi-IN" w:bidi="hi-IN"/>
        </w:rPr>
        <w:t xml:space="preserve"> este dezvoltat pe baza unui model de transport, dezvoltat pe baza analizei asupra situației existente cu privire la tiparele de călătorie existente și care va fi utilizat la evaluarea proiectelor individuale propuse, cât și pentru evaluarea întregului plan de mobilitate.</w:t>
      </w:r>
    </w:p>
    <w:p w14:paraId="4A598633" w14:textId="77777777" w:rsidR="00D6124B" w:rsidRPr="00EF59AE" w:rsidRDefault="00D6124B" w:rsidP="00EF59AE">
      <w:pPr>
        <w:widowControl w:val="0"/>
        <w:suppressAutoHyphens/>
        <w:spacing w:after="0" w:line="276" w:lineRule="auto"/>
        <w:jc w:val="both"/>
        <w:rPr>
          <w:rFonts w:ascii="Arial" w:hAnsi="Arial" w:cs="Arial"/>
          <w:kern w:val="1"/>
          <w:lang w:val="es-ES" w:eastAsia="hi-IN" w:bidi="hi-IN"/>
        </w:rPr>
      </w:pPr>
    </w:p>
    <w:p w14:paraId="677E1F7A" w14:textId="77777777" w:rsidR="00D6124B" w:rsidRPr="00EF59AE" w:rsidRDefault="00D6124B" w:rsidP="00EF59AE">
      <w:pPr>
        <w:widowControl w:val="0"/>
        <w:suppressAutoHyphens/>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Un model de transport constituie o reprezentare computerizată a circulaţiei (deplasării) persoanelor, mărfurilor şi a vehiculelor, în cadrul sistemului de transport. Modelul de transport este dezvoltat pentru o anumită arie de studiu, care este împărțită în unități teritoriale – zone.</w:t>
      </w:r>
    </w:p>
    <w:p w14:paraId="6C8A7A10" w14:textId="77777777" w:rsidR="00D6124B" w:rsidRPr="00EF59AE" w:rsidRDefault="00D6124B" w:rsidP="00EF59AE">
      <w:pPr>
        <w:widowControl w:val="0"/>
        <w:suppressAutoHyphens/>
        <w:spacing w:after="0" w:line="276" w:lineRule="auto"/>
        <w:jc w:val="both"/>
        <w:rPr>
          <w:rFonts w:ascii="Arial" w:hAnsi="Arial" w:cs="Arial"/>
          <w:kern w:val="1"/>
          <w:lang w:val="es-ES" w:eastAsia="hi-IN" w:bidi="hi-IN"/>
        </w:rPr>
      </w:pPr>
    </w:p>
    <w:p w14:paraId="1779A37D" w14:textId="77777777" w:rsidR="00D6124B" w:rsidRPr="00EF59AE" w:rsidRDefault="00D6124B" w:rsidP="00EF59AE">
      <w:pPr>
        <w:widowControl w:val="0"/>
        <w:suppressAutoHyphens/>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Modelul de transport are rolul de a crea o imagine a modului în care comportamentul de călătorie, modelele de călătorie şi solicitările vor reacţiona în timp la schimbări de politici de transport, infrastructură sau servicii, la variații ale nivelului populației sau a schimbării distribuției spațiale a acesteia, la schimbări socio-economice.</w:t>
      </w:r>
    </w:p>
    <w:p w14:paraId="3081A6A3" w14:textId="77777777" w:rsidR="00D6124B" w:rsidRPr="00D6124B" w:rsidRDefault="00D6124B" w:rsidP="00D6124B">
      <w:pPr>
        <w:widowControl w:val="0"/>
        <w:suppressAutoHyphens/>
        <w:spacing w:after="0" w:line="360" w:lineRule="auto"/>
        <w:jc w:val="both"/>
        <w:rPr>
          <w:rFonts w:ascii="Arial" w:hAnsi="Arial" w:cs="Arial"/>
          <w:kern w:val="1"/>
          <w:sz w:val="24"/>
          <w:szCs w:val="24"/>
          <w:lang w:val="es-ES" w:eastAsia="hi-IN" w:bidi="hi-IN"/>
        </w:rPr>
      </w:pPr>
    </w:p>
    <w:p w14:paraId="78E285D7" w14:textId="77777777" w:rsidR="00D6124B" w:rsidRPr="00EF59AE" w:rsidRDefault="00D6124B" w:rsidP="00EF59AE">
      <w:pPr>
        <w:widowControl w:val="0"/>
        <w:suppressAutoHyphens/>
        <w:autoSpaceDE w:val="0"/>
        <w:spacing w:after="0" w:line="276" w:lineRule="auto"/>
        <w:rPr>
          <w:rFonts w:ascii="Arial" w:hAnsi="Arial" w:cs="Arial"/>
          <w:kern w:val="1"/>
          <w:lang w:val="es-ES" w:eastAsia="hi-IN" w:bidi="hi-IN"/>
        </w:rPr>
      </w:pPr>
      <w:r w:rsidRPr="00EF59AE">
        <w:rPr>
          <w:rFonts w:ascii="Arial" w:hAnsi="Arial" w:cs="Arial"/>
          <w:kern w:val="1"/>
          <w:lang w:val="es-ES" w:eastAsia="hi-IN" w:bidi="hi-IN"/>
        </w:rPr>
        <w:t>Modelul de transport este utilizat pentru:</w:t>
      </w:r>
    </w:p>
    <w:p w14:paraId="25358603" w14:textId="77777777" w:rsidR="00D6124B" w:rsidRPr="00EF59AE" w:rsidRDefault="00D6124B" w:rsidP="006B613A">
      <w:pPr>
        <w:widowControl w:val="0"/>
        <w:numPr>
          <w:ilvl w:val="0"/>
          <w:numId w:val="69"/>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Evaluarea situației existente, prin:</w:t>
      </w:r>
    </w:p>
    <w:p w14:paraId="1162F324" w14:textId="77777777" w:rsidR="00D6124B" w:rsidRPr="00EF59AE" w:rsidRDefault="00D6124B" w:rsidP="000C6CB8">
      <w:pPr>
        <w:widowControl w:val="0"/>
        <w:numPr>
          <w:ilvl w:val="1"/>
          <w:numId w:val="169"/>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Identificarea cererii legate de vehicule și pasageri și a condițiilor operaționale privind sistemul de transport.</w:t>
      </w:r>
    </w:p>
    <w:p w14:paraId="1C165B96" w14:textId="77777777" w:rsidR="00D6124B" w:rsidRPr="00EF59AE" w:rsidRDefault="00D6124B" w:rsidP="000C6CB8">
      <w:pPr>
        <w:widowControl w:val="0"/>
        <w:numPr>
          <w:ilvl w:val="1"/>
          <w:numId w:val="169"/>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Identificarea gradului de utilizare a infrastructurii existente și eficiența utilizării acesteia.</w:t>
      </w:r>
    </w:p>
    <w:p w14:paraId="20C4431D" w14:textId="77777777" w:rsidR="00D6124B" w:rsidRPr="00EF59AE" w:rsidRDefault="00D6124B" w:rsidP="000C6CB8">
      <w:pPr>
        <w:widowControl w:val="0"/>
        <w:numPr>
          <w:ilvl w:val="1"/>
          <w:numId w:val="169"/>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Scopul deplasărilor, originea și destinația acestora.</w:t>
      </w:r>
    </w:p>
    <w:p w14:paraId="244F7D2A" w14:textId="77777777" w:rsidR="00D6124B" w:rsidRPr="00EF59AE" w:rsidRDefault="00D6124B" w:rsidP="000C6CB8">
      <w:pPr>
        <w:widowControl w:val="0"/>
        <w:numPr>
          <w:ilvl w:val="1"/>
          <w:numId w:val="169"/>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lastRenderedPageBreak/>
        <w:t>Distribuția călătoriilor pe ore de vârf și ca medie zilnică</w:t>
      </w:r>
    </w:p>
    <w:p w14:paraId="18816EA1" w14:textId="77777777" w:rsidR="00D6124B" w:rsidRPr="00EF59AE" w:rsidRDefault="00D6124B" w:rsidP="000C6CB8">
      <w:pPr>
        <w:widowControl w:val="0"/>
        <w:numPr>
          <w:ilvl w:val="1"/>
          <w:numId w:val="169"/>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Alegerea modală: modalitatea de efectuare a călătoriilor, pe moduri de transport</w:t>
      </w:r>
    </w:p>
    <w:p w14:paraId="387DDD12" w14:textId="77777777" w:rsidR="00D6124B" w:rsidRPr="00EF59AE" w:rsidRDefault="00D6124B" w:rsidP="000C6CB8">
      <w:pPr>
        <w:widowControl w:val="0"/>
        <w:numPr>
          <w:ilvl w:val="1"/>
          <w:numId w:val="169"/>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Afectarea traficului: alegerea rutelor disponibile la nivelul rețelelor de transport, luându-se în considerare capacitatea secțiunilor de rețea și disponibilitatea serviciilor de transport public.</w:t>
      </w:r>
    </w:p>
    <w:p w14:paraId="4F96D96C" w14:textId="77777777" w:rsidR="00D6124B" w:rsidRPr="00EF59AE" w:rsidRDefault="00D6124B" w:rsidP="006B613A">
      <w:pPr>
        <w:widowControl w:val="0"/>
        <w:numPr>
          <w:ilvl w:val="0"/>
          <w:numId w:val="70"/>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Realizarea de prognoze asupra mobilității pentru anii de perspectivă stabiliți, pe baza datelor și proiecțiilor demografice și economice (proiecții referitoare la populație, gospodării, ocuparea forței de muncă și deținerea de autoturisme etc.) și a cererii de mobilitate pentru anul de prognoză.</w:t>
      </w:r>
    </w:p>
    <w:p w14:paraId="691FF4ED" w14:textId="77777777" w:rsidR="00D6124B" w:rsidRPr="00EF59AE" w:rsidRDefault="00D6124B" w:rsidP="006B613A">
      <w:pPr>
        <w:widowControl w:val="0"/>
        <w:numPr>
          <w:ilvl w:val="0"/>
          <w:numId w:val="71"/>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Estimarea efectelor implementării unor proiecte/măsuri de mobilitate, a unor pachete de proiecte/măsuri de mobilitate sau a unei strategii privind mobilitatea și accesibilitatea, prin:</w:t>
      </w:r>
    </w:p>
    <w:p w14:paraId="0A040922" w14:textId="77777777" w:rsidR="00D6124B" w:rsidRPr="00EF59AE" w:rsidRDefault="00D6124B" w:rsidP="006B613A">
      <w:pPr>
        <w:widowControl w:val="0"/>
        <w:numPr>
          <w:ilvl w:val="1"/>
          <w:numId w:val="55"/>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Asistență în realizarea scenariului optim pentru anumite proiecte, prin care se urmăresc criterii specifice, cum ar fi eliminarea congestiilor de trafic, creșterea vitezei medii de circulație etc.</w:t>
      </w:r>
    </w:p>
    <w:p w14:paraId="57DF1971" w14:textId="77777777" w:rsidR="00D6124B" w:rsidRPr="00EF59AE" w:rsidRDefault="00D6124B" w:rsidP="006B613A">
      <w:pPr>
        <w:widowControl w:val="0"/>
        <w:numPr>
          <w:ilvl w:val="1"/>
          <w:numId w:val="55"/>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Evaluarea impactului pe care un proiect/măsură sau un pachet de proiecte/măsuri propuse îl au asupra fluxurilor de transport din rețea, pe moduri de transport sau intermodal, prin prisma modificării parametrilor selectați: timp de călătorie, viteză medie de circulație, emisii de noxe, consum de combustibil etc.</w:t>
      </w:r>
    </w:p>
    <w:p w14:paraId="24DFF7D1" w14:textId="77777777" w:rsidR="00D6124B" w:rsidRPr="00EF59AE" w:rsidRDefault="00D6124B" w:rsidP="006B613A">
      <w:pPr>
        <w:widowControl w:val="0"/>
        <w:numPr>
          <w:ilvl w:val="1"/>
          <w:numId w:val="55"/>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Evaluarea impactului asupra numărului de utilizatori ai transportului public, ca urmare a unor schimbări de rute, orar de circulație, creșterea vitezei medii, îmbunătățirea calității serviciilor etc.</w:t>
      </w:r>
    </w:p>
    <w:p w14:paraId="3F32D8C1" w14:textId="77777777" w:rsidR="00D6124B" w:rsidRPr="00EF59AE" w:rsidRDefault="00D6124B" w:rsidP="006B613A">
      <w:pPr>
        <w:widowControl w:val="0"/>
        <w:numPr>
          <w:ilvl w:val="1"/>
          <w:numId w:val="55"/>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Compararea unor alternative de proiect și asistență în alegerea variantei optime, în vederea atingerii parametrilor selectați.</w:t>
      </w:r>
    </w:p>
    <w:p w14:paraId="1CB23710" w14:textId="77777777" w:rsidR="00D6124B" w:rsidRPr="00EF59AE" w:rsidRDefault="00D6124B" w:rsidP="006B613A">
      <w:pPr>
        <w:widowControl w:val="0"/>
        <w:numPr>
          <w:ilvl w:val="1"/>
          <w:numId w:val="55"/>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Elaborarea de planuri și strategii pentru dezvoltarea ulterioară a sistemului de transport</w:t>
      </w:r>
    </w:p>
    <w:p w14:paraId="7BF71735" w14:textId="77777777" w:rsidR="00D6124B" w:rsidRPr="00EF59AE" w:rsidRDefault="00D6124B" w:rsidP="006B613A">
      <w:pPr>
        <w:widowControl w:val="0"/>
        <w:numPr>
          <w:ilvl w:val="1"/>
          <w:numId w:val="55"/>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Extragerea de informații pentru elaborarea studiului de impact asupra mediului.</w:t>
      </w:r>
    </w:p>
    <w:p w14:paraId="51424783" w14:textId="77777777" w:rsidR="00D6124B" w:rsidRPr="00D6124B" w:rsidRDefault="00D6124B" w:rsidP="00D6124B">
      <w:pPr>
        <w:widowControl w:val="0"/>
        <w:suppressAutoHyphens/>
        <w:autoSpaceDE w:val="0"/>
        <w:spacing w:after="0" w:line="360" w:lineRule="auto"/>
        <w:jc w:val="both"/>
        <w:rPr>
          <w:rFonts w:ascii="Arial" w:hAnsi="Arial" w:cs="Arial"/>
          <w:kern w:val="1"/>
          <w:sz w:val="24"/>
          <w:szCs w:val="24"/>
          <w:lang w:val="es-ES" w:eastAsia="hi-IN" w:bidi="hi-IN"/>
        </w:rPr>
      </w:pPr>
    </w:p>
    <w:p w14:paraId="76BE3EC8" w14:textId="77777777" w:rsidR="00D6124B" w:rsidRPr="00EF59AE" w:rsidRDefault="00D6124B" w:rsidP="00EF59AE">
      <w:pPr>
        <w:widowControl w:val="0"/>
        <w:suppressAutoHyphens/>
        <w:autoSpaceDE w:val="0"/>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Un model de transport trebuie să reprezinte, la un nivel acceptabil, situația existentă a transportului în ceea ce privește cererea de călătorii și condițiile de exploatare. Aceasta este măsurată în materie de moduri de călătorie, număr de vehicule pe rețea, timp de călătorie și localizare și amplitudine a fenomenului de congestie.</w:t>
      </w:r>
    </w:p>
    <w:p w14:paraId="7B7B88D2" w14:textId="77777777" w:rsidR="00D6124B" w:rsidRPr="00EF59AE" w:rsidRDefault="00D6124B" w:rsidP="00EF59AE">
      <w:pPr>
        <w:widowControl w:val="0"/>
        <w:suppressAutoHyphens/>
        <w:autoSpaceDE w:val="0"/>
        <w:spacing w:after="0" w:line="276" w:lineRule="auto"/>
        <w:jc w:val="both"/>
        <w:rPr>
          <w:rFonts w:ascii="Arial" w:hAnsi="Arial" w:cs="Arial"/>
          <w:kern w:val="1"/>
          <w:lang w:val="es-ES" w:eastAsia="hi-IN" w:bidi="hi-IN"/>
        </w:rPr>
      </w:pPr>
    </w:p>
    <w:p w14:paraId="4D3CDE65" w14:textId="77777777" w:rsidR="00D6124B" w:rsidRPr="00EF59AE" w:rsidRDefault="00D6124B" w:rsidP="00EF59AE">
      <w:pPr>
        <w:widowControl w:val="0"/>
        <w:suppressAutoHyphens/>
        <w:autoSpaceDE w:val="0"/>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Modelele de transport includ volume semnificative de informații care descriu numărul de deplasări care au loc într-un interval de timp specific (cum ar fi o oră sau o zi) de-a lungul rețelelor de transport.</w:t>
      </w:r>
    </w:p>
    <w:p w14:paraId="332C9724" w14:textId="77777777" w:rsidR="00D6124B" w:rsidRPr="00EF59AE" w:rsidRDefault="00D6124B" w:rsidP="00EF59AE">
      <w:pPr>
        <w:widowControl w:val="0"/>
        <w:suppressAutoHyphens/>
        <w:spacing w:after="0" w:line="276" w:lineRule="auto"/>
        <w:jc w:val="both"/>
        <w:rPr>
          <w:rFonts w:ascii="Arial" w:hAnsi="Arial" w:cs="Arial"/>
          <w:kern w:val="1"/>
          <w:lang w:val="es-ES" w:eastAsia="hi-IN" w:bidi="hi-IN"/>
        </w:rPr>
      </w:pPr>
    </w:p>
    <w:p w14:paraId="50AF20BC" w14:textId="77777777" w:rsidR="00D6124B" w:rsidRPr="00EF59AE" w:rsidRDefault="00D6124B" w:rsidP="00EF59AE">
      <w:pPr>
        <w:widowControl w:val="0"/>
        <w:suppressAutoHyphens/>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De asemenea, modelele includ informații referitoare la rețeaua de transport și la dinamica acesteia (cum ar fi grafice de mers, conexiuni între moduri, etc.). Datele sunt utilizate sub forma atributelor corespunzătoare fiecărei secțiuni a rețelei, incluzând viteza, calitatea și modurile de deplasare alocate secțiunii respective. Informațiile corespunzătoare serviciilor de transport public sunt, de asemenea, incluse în model.</w:t>
      </w:r>
    </w:p>
    <w:p w14:paraId="6987B246" w14:textId="77777777" w:rsidR="00D6124B" w:rsidRPr="00EF59AE" w:rsidRDefault="00D6124B" w:rsidP="00EF59AE">
      <w:pPr>
        <w:keepNext/>
        <w:keepLines/>
        <w:widowControl w:val="0"/>
        <w:suppressAutoHyphens/>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lastRenderedPageBreak/>
        <w:t>Un model de transport are, de asemenea, rolul de a ajuta la definirea stării rețelei de transport la nivelul anilor de perspectivă, pe baza creșterii cererii de călătorie, a modificărilor prognozate la nivelul rețelelor și a variațiilor datelor socio-economice. Perioada de perspectivă este, de obicei, delimitată de anul de inaugurare a proiectului și de un an de perspectivă îndelungată, utilizat în cadrul evaluării necesităților legate de capacitate sau identic cu durata de timp pentru evaluarea economică.</w:t>
      </w:r>
    </w:p>
    <w:p w14:paraId="15CF0970" w14:textId="77777777" w:rsidR="00D6124B" w:rsidRPr="00EF59AE" w:rsidRDefault="00D6124B" w:rsidP="00EF59AE">
      <w:pPr>
        <w:keepNext/>
        <w:keepLines/>
        <w:widowControl w:val="0"/>
        <w:suppressAutoHyphens/>
        <w:spacing w:after="0" w:line="276" w:lineRule="auto"/>
        <w:rPr>
          <w:rFonts w:ascii="Arial" w:hAnsi="Arial" w:cs="Arial"/>
          <w:kern w:val="1"/>
          <w:lang w:val="es-ES" w:eastAsia="hi-IN" w:bidi="hi-IN"/>
        </w:rPr>
      </w:pPr>
    </w:p>
    <w:p w14:paraId="42A9D7A4" w14:textId="77777777" w:rsidR="00D6124B" w:rsidRPr="00EF59AE" w:rsidRDefault="00D6124B" w:rsidP="00EF59AE">
      <w:pPr>
        <w:widowControl w:val="0"/>
        <w:suppressAutoHyphens/>
        <w:spacing w:after="0" w:line="276" w:lineRule="auto"/>
        <w:rPr>
          <w:rFonts w:ascii="Arial" w:hAnsi="Arial" w:cs="Arial"/>
          <w:kern w:val="1"/>
          <w:lang w:val="ro-RO" w:eastAsia="hi-IN" w:bidi="hi-IN"/>
        </w:rPr>
      </w:pPr>
      <w:r w:rsidRPr="00EF59AE">
        <w:rPr>
          <w:rFonts w:ascii="Arial" w:hAnsi="Arial" w:cs="Arial"/>
          <w:kern w:val="1"/>
          <w:lang w:val="ro-RO" w:eastAsia="hi-IN" w:bidi="hi-IN"/>
        </w:rPr>
        <w:t>Din modelul realizat se vor obține următoarele date:</w:t>
      </w:r>
    </w:p>
    <w:p w14:paraId="08C29323" w14:textId="77777777" w:rsidR="00D6124B" w:rsidRPr="00EF59AE" w:rsidRDefault="00D6124B" w:rsidP="006B613A">
      <w:pPr>
        <w:widowControl w:val="0"/>
        <w:numPr>
          <w:ilvl w:val="0"/>
          <w:numId w:val="68"/>
        </w:numPr>
        <w:suppressAutoHyphens/>
        <w:spacing w:after="0" w:line="276" w:lineRule="auto"/>
        <w:contextualSpacing/>
        <w:rPr>
          <w:rFonts w:ascii="Arial" w:eastAsia="Times New Roman" w:hAnsi="Arial" w:cs="Arial"/>
          <w:lang w:val="x-none" w:eastAsia="zh-CN"/>
        </w:rPr>
      </w:pPr>
      <w:r w:rsidRPr="00EF59AE">
        <w:rPr>
          <w:rFonts w:ascii="Arial" w:eastAsia="Times New Roman" w:hAnsi="Arial" w:cs="Arial"/>
          <w:lang w:val="x-none" w:eastAsia="zh-CN"/>
        </w:rPr>
        <w:t>Zone de atragere/generare călătorii</w:t>
      </w:r>
    </w:p>
    <w:p w14:paraId="2B93500D" w14:textId="77777777" w:rsidR="00D6124B" w:rsidRPr="00EF59AE" w:rsidRDefault="00D6124B" w:rsidP="006B613A">
      <w:pPr>
        <w:widowControl w:val="0"/>
        <w:numPr>
          <w:ilvl w:val="0"/>
          <w:numId w:val="68"/>
        </w:numPr>
        <w:suppressAutoHyphens/>
        <w:spacing w:after="0" w:line="276" w:lineRule="auto"/>
        <w:contextualSpacing/>
        <w:rPr>
          <w:rFonts w:ascii="Arial" w:eastAsia="Times New Roman" w:hAnsi="Arial" w:cs="Arial"/>
          <w:lang w:val="x-none" w:eastAsia="zh-CN"/>
        </w:rPr>
      </w:pPr>
      <w:r w:rsidRPr="00EF59AE">
        <w:rPr>
          <w:rFonts w:ascii="Arial" w:eastAsia="Times New Roman" w:hAnsi="Arial" w:cs="Arial"/>
          <w:lang w:val="x-none" w:eastAsia="zh-CN"/>
        </w:rPr>
        <w:t>Distribuții ale călătoriilor pe zone/intervale orare/moduri de transport</w:t>
      </w:r>
    </w:p>
    <w:p w14:paraId="4D72CE40" w14:textId="77777777" w:rsidR="00D6124B" w:rsidRPr="00EF59AE" w:rsidRDefault="00D6124B" w:rsidP="006B613A">
      <w:pPr>
        <w:widowControl w:val="0"/>
        <w:numPr>
          <w:ilvl w:val="0"/>
          <w:numId w:val="68"/>
        </w:numPr>
        <w:suppressAutoHyphens/>
        <w:spacing w:after="0" w:line="276" w:lineRule="auto"/>
        <w:contextualSpacing/>
        <w:rPr>
          <w:rFonts w:ascii="Arial" w:eastAsia="Times New Roman" w:hAnsi="Arial" w:cs="Arial"/>
          <w:lang w:val="x-none" w:eastAsia="zh-CN"/>
        </w:rPr>
      </w:pPr>
      <w:r w:rsidRPr="00EF59AE">
        <w:rPr>
          <w:rFonts w:ascii="Arial" w:eastAsia="Times New Roman" w:hAnsi="Arial" w:cs="Arial"/>
          <w:lang w:val="x-none" w:eastAsia="zh-CN"/>
        </w:rPr>
        <w:t>Volume de trafic</w:t>
      </w:r>
    </w:p>
    <w:p w14:paraId="485F4AAF" w14:textId="77777777" w:rsidR="00D6124B" w:rsidRPr="00EF59AE" w:rsidRDefault="00D6124B" w:rsidP="006B613A">
      <w:pPr>
        <w:widowControl w:val="0"/>
        <w:numPr>
          <w:ilvl w:val="0"/>
          <w:numId w:val="68"/>
        </w:numPr>
        <w:suppressAutoHyphens/>
        <w:spacing w:after="0" w:line="276" w:lineRule="auto"/>
        <w:contextualSpacing/>
        <w:rPr>
          <w:rFonts w:ascii="Arial" w:eastAsia="Times New Roman" w:hAnsi="Arial" w:cs="Arial"/>
          <w:lang w:val="x-none" w:eastAsia="zh-CN"/>
        </w:rPr>
      </w:pPr>
      <w:r w:rsidRPr="00EF59AE">
        <w:rPr>
          <w:rFonts w:ascii="Arial" w:eastAsia="Times New Roman" w:hAnsi="Arial" w:cs="Arial"/>
          <w:lang w:val="x-none" w:eastAsia="zh-CN"/>
        </w:rPr>
        <w:t>Nivelul de serviciu al intersecțiilor</w:t>
      </w:r>
    </w:p>
    <w:p w14:paraId="0AC108D3" w14:textId="77777777" w:rsidR="00D6124B" w:rsidRPr="00EF59AE" w:rsidRDefault="00D6124B" w:rsidP="006B613A">
      <w:pPr>
        <w:widowControl w:val="0"/>
        <w:numPr>
          <w:ilvl w:val="0"/>
          <w:numId w:val="68"/>
        </w:numPr>
        <w:suppressAutoHyphens/>
        <w:spacing w:after="0" w:line="276" w:lineRule="auto"/>
        <w:contextualSpacing/>
        <w:rPr>
          <w:rFonts w:ascii="Arial" w:eastAsia="Times New Roman" w:hAnsi="Arial" w:cs="Arial"/>
          <w:lang w:val="x-none" w:eastAsia="zh-CN"/>
        </w:rPr>
      </w:pPr>
      <w:r w:rsidRPr="00EF59AE">
        <w:rPr>
          <w:rFonts w:ascii="Arial" w:eastAsia="Times New Roman" w:hAnsi="Arial" w:cs="Arial"/>
          <w:lang w:val="x-none" w:eastAsia="zh-CN"/>
        </w:rPr>
        <w:t>Întârzieri la deplasarea în rețeaua rutieră</w:t>
      </w:r>
    </w:p>
    <w:p w14:paraId="2A7C33B0" w14:textId="77777777" w:rsidR="00D6124B" w:rsidRPr="00EF59AE" w:rsidRDefault="00D6124B" w:rsidP="006B613A">
      <w:pPr>
        <w:widowControl w:val="0"/>
        <w:numPr>
          <w:ilvl w:val="0"/>
          <w:numId w:val="68"/>
        </w:numPr>
        <w:suppressAutoHyphens/>
        <w:spacing w:after="0" w:line="276" w:lineRule="auto"/>
        <w:contextualSpacing/>
        <w:rPr>
          <w:rFonts w:ascii="Arial" w:eastAsia="Times New Roman" w:hAnsi="Arial" w:cs="Arial"/>
          <w:lang w:val="x-none" w:eastAsia="zh-CN"/>
        </w:rPr>
      </w:pPr>
      <w:r w:rsidRPr="00EF59AE">
        <w:rPr>
          <w:rFonts w:ascii="Arial" w:eastAsia="Times New Roman" w:hAnsi="Arial" w:cs="Arial"/>
          <w:lang w:val="x-none" w:eastAsia="zh-CN"/>
        </w:rPr>
        <w:t>Consumuri de combustibili</w:t>
      </w:r>
    </w:p>
    <w:p w14:paraId="79D7A0C7" w14:textId="77777777" w:rsidR="00D6124B" w:rsidRPr="00EF59AE" w:rsidRDefault="00D6124B" w:rsidP="006B613A">
      <w:pPr>
        <w:widowControl w:val="0"/>
        <w:numPr>
          <w:ilvl w:val="0"/>
          <w:numId w:val="68"/>
        </w:numPr>
        <w:suppressAutoHyphens/>
        <w:spacing w:after="0" w:line="276" w:lineRule="auto"/>
        <w:contextualSpacing/>
        <w:rPr>
          <w:rFonts w:ascii="Arial" w:eastAsia="Times New Roman" w:hAnsi="Arial" w:cs="Arial"/>
          <w:lang w:val="x-none" w:eastAsia="zh-CN"/>
        </w:rPr>
      </w:pPr>
      <w:r w:rsidRPr="00EF59AE">
        <w:rPr>
          <w:rFonts w:ascii="Arial" w:eastAsia="Times New Roman" w:hAnsi="Arial" w:cs="Arial"/>
          <w:lang w:val="x-none" w:eastAsia="zh-CN"/>
        </w:rPr>
        <w:t>Viteze de deplasare</w:t>
      </w:r>
    </w:p>
    <w:p w14:paraId="603FFB2F" w14:textId="77777777" w:rsidR="00D6124B" w:rsidRPr="00EF59AE" w:rsidRDefault="00D6124B" w:rsidP="006B613A">
      <w:pPr>
        <w:widowControl w:val="0"/>
        <w:numPr>
          <w:ilvl w:val="0"/>
          <w:numId w:val="68"/>
        </w:numPr>
        <w:suppressAutoHyphens/>
        <w:spacing w:after="0" w:line="276" w:lineRule="auto"/>
        <w:contextualSpacing/>
        <w:rPr>
          <w:rFonts w:ascii="Arial" w:eastAsia="Times New Roman" w:hAnsi="Arial" w:cs="Arial"/>
          <w:lang w:val="x-none" w:eastAsia="zh-CN"/>
        </w:rPr>
      </w:pPr>
      <w:r w:rsidRPr="00EF59AE">
        <w:rPr>
          <w:rFonts w:ascii="Arial" w:eastAsia="Times New Roman" w:hAnsi="Arial" w:cs="Arial"/>
          <w:lang w:val="x-none" w:eastAsia="zh-CN"/>
        </w:rPr>
        <w:t>Informații legate de poluare</w:t>
      </w:r>
    </w:p>
    <w:p w14:paraId="119434E3" w14:textId="77777777" w:rsidR="00D6124B" w:rsidRPr="00EF59AE" w:rsidRDefault="00D6124B" w:rsidP="00EF59AE">
      <w:pPr>
        <w:pStyle w:val="Titlu3"/>
        <w:rPr>
          <w:rFonts w:ascii="Arial" w:hAnsi="Arial" w:cs="Arial"/>
          <w:i/>
          <w:sz w:val="24"/>
          <w:szCs w:val="24"/>
        </w:rPr>
      </w:pPr>
      <w:bookmarkStart w:id="164" w:name="_Toc491868816"/>
      <w:bookmarkStart w:id="165" w:name="_Toc499657544"/>
      <w:bookmarkStart w:id="166" w:name="_Toc142039072"/>
      <w:r w:rsidRPr="00EF59AE">
        <w:rPr>
          <w:rFonts w:ascii="Arial" w:hAnsi="Arial" w:cs="Arial"/>
          <w:sz w:val="24"/>
          <w:szCs w:val="24"/>
        </w:rPr>
        <w:t>I.3.1.2</w:t>
      </w:r>
      <w:r w:rsidRPr="00EF59AE">
        <w:rPr>
          <w:rFonts w:ascii="Arial" w:hAnsi="Arial" w:cs="Arial"/>
          <w:sz w:val="24"/>
          <w:szCs w:val="24"/>
        </w:rPr>
        <w:tab/>
        <w:t xml:space="preserve">Caracteristicile modelului de transport pentru </w:t>
      </w:r>
      <w:bookmarkEnd w:id="164"/>
      <w:bookmarkEnd w:id="165"/>
      <w:r w:rsidR="003B5917">
        <w:rPr>
          <w:rFonts w:ascii="Arial" w:hAnsi="Arial" w:cs="Arial"/>
          <w:sz w:val="24"/>
          <w:szCs w:val="24"/>
        </w:rPr>
        <w:t>Orașul Horezu</w:t>
      </w:r>
      <w:bookmarkEnd w:id="166"/>
    </w:p>
    <w:p w14:paraId="7DBD90C6" w14:textId="77777777" w:rsidR="007437EF" w:rsidRPr="007437EF" w:rsidRDefault="007437EF" w:rsidP="003B5917">
      <w:pPr>
        <w:widowControl w:val="0"/>
        <w:suppressAutoHyphens/>
        <w:spacing w:after="0" w:line="240" w:lineRule="auto"/>
        <w:jc w:val="both"/>
        <w:rPr>
          <w:rFonts w:ascii="Arial" w:hAnsi="Arial" w:cs="Mangal"/>
          <w:kern w:val="1"/>
          <w:lang w:val="x-none" w:eastAsia="hi-IN" w:bidi="hi-IN"/>
        </w:rPr>
      </w:pPr>
      <w:r w:rsidRPr="007437EF">
        <w:rPr>
          <w:rFonts w:ascii="Arial" w:hAnsi="Arial" w:cs="Mangal"/>
          <w:kern w:val="1"/>
          <w:lang w:val="ro-RO" w:eastAsia="hi-IN" w:bidi="hi-IN"/>
        </w:rPr>
        <w:t>Î</w:t>
      </w:r>
      <w:r w:rsidRPr="007437EF">
        <w:rPr>
          <w:rFonts w:ascii="Arial" w:hAnsi="Arial" w:cs="Mangal"/>
          <w:kern w:val="1"/>
          <w:lang w:val="x-none" w:eastAsia="hi-IN" w:bidi="hi-IN"/>
        </w:rPr>
        <w:t xml:space="preserve">n cadrul proiectului s-au colectat datele cu privire la sistemul de transport </w:t>
      </w:r>
      <w:r w:rsidRPr="007437EF">
        <w:rPr>
          <w:rFonts w:ascii="Arial" w:hAnsi="Arial" w:cs="Mangal"/>
          <w:kern w:val="1"/>
          <w:lang w:eastAsia="hi-IN" w:bidi="hi-IN"/>
        </w:rPr>
        <w:t xml:space="preserve">actual din </w:t>
      </w:r>
      <w:r w:rsidR="003B5917">
        <w:rPr>
          <w:rFonts w:ascii="Arial" w:hAnsi="Arial" w:cs="Mangal"/>
          <w:kern w:val="1"/>
          <w:lang w:eastAsia="hi-IN" w:bidi="hi-IN"/>
        </w:rPr>
        <w:t>orașul Horezu</w:t>
      </w:r>
      <w:r w:rsidRPr="007437EF">
        <w:rPr>
          <w:rFonts w:ascii="Arial" w:hAnsi="Arial" w:cs="Mangal"/>
          <w:kern w:val="1"/>
          <w:lang w:eastAsia="hi-IN" w:bidi="hi-IN"/>
        </w:rPr>
        <w:t xml:space="preserve">, </w:t>
      </w:r>
      <w:r w:rsidRPr="007437EF">
        <w:rPr>
          <w:rFonts w:ascii="Arial" w:hAnsi="Arial" w:cs="Mangal"/>
          <w:kern w:val="1"/>
          <w:lang w:val="x-none" w:eastAsia="hi-IN" w:bidi="hi-IN"/>
        </w:rPr>
        <w:t xml:space="preserve">pentru a dezvolta și calibra modelul de transport. </w:t>
      </w:r>
      <w:r w:rsidRPr="007437EF">
        <w:rPr>
          <w:rFonts w:ascii="Arial" w:hAnsi="Arial" w:cs="Mangal"/>
          <w:kern w:val="1"/>
          <w:lang w:val="ro-RO" w:eastAsia="hi-IN" w:bidi="hi-IN"/>
        </w:rPr>
        <w:t>Î</w:t>
      </w:r>
      <w:r w:rsidRPr="007437EF">
        <w:rPr>
          <w:rFonts w:ascii="Arial" w:hAnsi="Arial" w:cs="Mangal"/>
          <w:kern w:val="1"/>
          <w:lang w:val="x-none" w:eastAsia="hi-IN" w:bidi="hi-IN"/>
        </w:rPr>
        <w:t>n cadrul acestor date sunt incluse:</w:t>
      </w:r>
    </w:p>
    <w:p w14:paraId="6C67F17D" w14:textId="77777777" w:rsidR="007437EF" w:rsidRPr="007437EF" w:rsidRDefault="007437EF" w:rsidP="000C6CB8">
      <w:pPr>
        <w:widowControl w:val="0"/>
        <w:numPr>
          <w:ilvl w:val="0"/>
          <w:numId w:val="170"/>
        </w:numPr>
        <w:suppressAutoHyphens/>
        <w:spacing w:after="0" w:line="240" w:lineRule="auto"/>
        <w:rPr>
          <w:rFonts w:ascii="Arial" w:hAnsi="Arial" w:cs="Arial"/>
          <w:kern w:val="1"/>
          <w:lang w:val="x-none" w:eastAsia="hi-IN" w:bidi="hi-IN"/>
        </w:rPr>
      </w:pPr>
      <w:r w:rsidRPr="007437EF">
        <w:rPr>
          <w:rFonts w:ascii="Arial" w:hAnsi="Arial" w:cs="Arial"/>
          <w:kern w:val="1"/>
          <w:lang w:val="ro-RO" w:eastAsia="hi-IN" w:bidi="hi-IN"/>
        </w:rPr>
        <w:t>Zonele de transport și datele socio-economice aferente fiecarei zone</w:t>
      </w:r>
    </w:p>
    <w:p w14:paraId="6AA84876" w14:textId="77777777" w:rsidR="007437EF" w:rsidRPr="007437EF" w:rsidRDefault="007437EF" w:rsidP="000C6CB8">
      <w:pPr>
        <w:widowControl w:val="0"/>
        <w:numPr>
          <w:ilvl w:val="0"/>
          <w:numId w:val="170"/>
        </w:numPr>
        <w:suppressAutoHyphens/>
        <w:spacing w:after="0" w:line="240" w:lineRule="auto"/>
        <w:rPr>
          <w:rFonts w:ascii="Arial" w:hAnsi="Arial" w:cs="Arial"/>
          <w:kern w:val="1"/>
          <w:lang w:val="x-none" w:eastAsia="hi-IN" w:bidi="hi-IN"/>
        </w:rPr>
      </w:pPr>
      <w:r w:rsidRPr="007437EF">
        <w:rPr>
          <w:rFonts w:ascii="Arial" w:hAnsi="Arial" w:cs="Arial"/>
          <w:kern w:val="1"/>
          <w:lang w:val="ro-RO" w:eastAsia="hi-IN" w:bidi="hi-IN"/>
        </w:rPr>
        <w:t>Rețeaua de drumuri și străzi</w:t>
      </w:r>
    </w:p>
    <w:p w14:paraId="54F0C10A" w14:textId="77777777" w:rsidR="007437EF" w:rsidRPr="007437EF" w:rsidRDefault="007437EF" w:rsidP="000C6CB8">
      <w:pPr>
        <w:widowControl w:val="0"/>
        <w:numPr>
          <w:ilvl w:val="0"/>
          <w:numId w:val="170"/>
        </w:numPr>
        <w:suppressAutoHyphens/>
        <w:spacing w:after="0" w:line="240" w:lineRule="auto"/>
        <w:rPr>
          <w:rFonts w:ascii="Arial" w:hAnsi="Arial" w:cs="Arial"/>
          <w:kern w:val="1"/>
          <w:lang w:val="x-none" w:eastAsia="hi-IN" w:bidi="hi-IN"/>
        </w:rPr>
      </w:pPr>
      <w:r w:rsidRPr="007437EF">
        <w:rPr>
          <w:rFonts w:ascii="Arial" w:hAnsi="Arial" w:cs="Arial"/>
          <w:kern w:val="1"/>
          <w:lang w:val="ro-RO" w:eastAsia="hi-IN" w:bidi="hi-IN"/>
        </w:rPr>
        <w:t>Rețeaua de transport public, stații, caracteristicile serviciului de transport public de călători</w:t>
      </w:r>
    </w:p>
    <w:p w14:paraId="332A853C" w14:textId="77777777" w:rsidR="007437EF" w:rsidRPr="007437EF" w:rsidRDefault="007437EF" w:rsidP="007437EF">
      <w:pPr>
        <w:widowControl w:val="0"/>
        <w:suppressAutoHyphens/>
        <w:spacing w:after="0" w:line="240" w:lineRule="auto"/>
        <w:rPr>
          <w:rFonts w:ascii="Arial" w:hAnsi="Arial" w:cs="Mangal"/>
          <w:kern w:val="1"/>
          <w:lang w:val="x-none" w:eastAsia="hi-IN" w:bidi="hi-IN"/>
        </w:rPr>
      </w:pPr>
    </w:p>
    <w:p w14:paraId="01461828" w14:textId="77777777" w:rsidR="007437EF" w:rsidRPr="007437EF" w:rsidRDefault="007437EF" w:rsidP="007437EF">
      <w:pPr>
        <w:widowControl w:val="0"/>
        <w:suppressAutoHyphens/>
        <w:spacing w:after="0" w:line="276" w:lineRule="auto"/>
        <w:jc w:val="both"/>
        <w:rPr>
          <w:rFonts w:ascii="Arial" w:hAnsi="Arial" w:cs="Arial"/>
          <w:kern w:val="1"/>
          <w:lang w:val="ro-RO" w:eastAsia="hi-IN" w:bidi="hi-IN"/>
        </w:rPr>
      </w:pPr>
      <w:r w:rsidRPr="007437EF">
        <w:rPr>
          <w:rFonts w:ascii="Arial" w:hAnsi="Arial" w:cs="Arial"/>
          <w:b/>
          <w:i/>
          <w:kern w:val="1"/>
          <w:lang w:val="ro-RO" w:eastAsia="hi-IN" w:bidi="hi-IN"/>
        </w:rPr>
        <w:t>Sistemul de zonificare</w:t>
      </w:r>
    </w:p>
    <w:p w14:paraId="79196356" w14:textId="77777777" w:rsidR="007437EF" w:rsidRPr="007437EF" w:rsidRDefault="007437EF" w:rsidP="007437EF">
      <w:pPr>
        <w:widowControl w:val="0"/>
        <w:suppressAutoHyphens/>
        <w:spacing w:after="0" w:line="276" w:lineRule="auto"/>
        <w:jc w:val="both"/>
        <w:rPr>
          <w:rFonts w:ascii="Arial" w:hAnsi="Arial" w:cs="Arial"/>
          <w:kern w:val="1"/>
          <w:lang w:val="ro-RO" w:eastAsia="hi-IN" w:bidi="hi-IN"/>
        </w:rPr>
      </w:pPr>
      <w:r w:rsidRPr="007437EF">
        <w:rPr>
          <w:rFonts w:ascii="Arial" w:hAnsi="Arial" w:cs="Arial"/>
          <w:kern w:val="1"/>
          <w:lang w:val="ro-RO" w:eastAsia="hi-IN" w:bidi="hi-IN"/>
        </w:rPr>
        <w:t xml:space="preserve">Pentru modelare s-a luat în considerare rețeaua stradală semnificativă a </w:t>
      </w:r>
      <w:r w:rsidR="003B5917">
        <w:rPr>
          <w:rFonts w:ascii="Arial" w:hAnsi="Arial" w:cs="Arial"/>
          <w:kern w:val="1"/>
          <w:lang w:val="ro-RO" w:eastAsia="hi-IN" w:bidi="hi-IN"/>
        </w:rPr>
        <w:t>ora</w:t>
      </w:r>
      <w:r w:rsidR="00680A7C">
        <w:rPr>
          <w:rFonts w:ascii="Arial" w:hAnsi="Arial" w:cs="Arial"/>
          <w:kern w:val="1"/>
          <w:lang w:val="ro-RO" w:eastAsia="hi-IN" w:bidi="hi-IN"/>
        </w:rPr>
        <w:t>șului Horezu</w:t>
      </w:r>
      <w:r w:rsidRPr="007437EF">
        <w:rPr>
          <w:rFonts w:ascii="Arial" w:hAnsi="Arial" w:cs="Arial"/>
          <w:kern w:val="1"/>
          <w:lang w:val="ro-RO" w:eastAsia="hi-IN" w:bidi="hi-IN"/>
        </w:rPr>
        <w:t xml:space="preserve">. </w:t>
      </w:r>
    </w:p>
    <w:p w14:paraId="5E04CBE8" w14:textId="77777777" w:rsidR="007437EF" w:rsidRPr="007437EF" w:rsidRDefault="007437EF" w:rsidP="007437EF">
      <w:pPr>
        <w:widowControl w:val="0"/>
        <w:suppressAutoHyphens/>
        <w:spacing w:after="0" w:line="276" w:lineRule="auto"/>
        <w:jc w:val="both"/>
        <w:rPr>
          <w:rFonts w:ascii="Arial" w:hAnsi="Arial" w:cs="Arial"/>
          <w:kern w:val="1"/>
          <w:lang w:val="ro-RO" w:eastAsia="hi-IN" w:bidi="hi-IN"/>
        </w:rPr>
      </w:pPr>
    </w:p>
    <w:p w14:paraId="6837D623" w14:textId="77777777" w:rsidR="00CE76B6" w:rsidRPr="00CE76B6" w:rsidRDefault="00CE76B6" w:rsidP="00CE76B6">
      <w:pPr>
        <w:widowControl w:val="0"/>
        <w:suppressAutoHyphens/>
        <w:spacing w:after="0" w:line="276" w:lineRule="auto"/>
        <w:jc w:val="both"/>
        <w:rPr>
          <w:rFonts w:ascii="Arial" w:hAnsi="Arial" w:cs="Arial"/>
          <w:kern w:val="1"/>
          <w:lang w:val="ro-RO" w:eastAsia="hi-IN" w:bidi="hi-IN"/>
        </w:rPr>
      </w:pPr>
      <w:r w:rsidRPr="00CE76B6">
        <w:rPr>
          <w:rFonts w:ascii="Arial" w:hAnsi="Arial" w:cs="Arial"/>
          <w:kern w:val="1"/>
          <w:lang w:val="ro-RO" w:eastAsia="hi-IN" w:bidi="hi-IN"/>
        </w:rPr>
        <w:t>Din punct de vedere al zonificării, deoarece fiecare zonă trebuie să reprezinte similarități în modul de utilizare a terenurilor și de repartiție a populației, s-au delimitat 11 zone interioare pentru orasul Horezu, la care se adauga 6 zone reprezentand localitatile componente. Pentru legăturile cu exteriorul ariei studiate s-au luat în considerare 4 penetrații importante (DN67 – spre Ramnicu Valcea și Targu Jiu, DN65C – spre Craiova și DJ665 –  spre Vaideeni).</w:t>
      </w:r>
    </w:p>
    <w:p w14:paraId="6259878C" w14:textId="77777777" w:rsidR="007437EF" w:rsidRPr="007437EF" w:rsidRDefault="007437EF" w:rsidP="007437EF">
      <w:pPr>
        <w:widowControl w:val="0"/>
        <w:suppressAutoHyphens/>
        <w:spacing w:after="0" w:line="276" w:lineRule="auto"/>
        <w:jc w:val="both"/>
        <w:rPr>
          <w:rFonts w:ascii="Arial" w:hAnsi="Arial" w:cs="Arial"/>
          <w:kern w:val="1"/>
          <w:lang w:val="es-ES" w:eastAsia="hi-IN" w:bidi="hi-IN"/>
        </w:rPr>
      </w:pPr>
    </w:p>
    <w:p w14:paraId="1FB1E5B2" w14:textId="77777777" w:rsidR="007437EF" w:rsidRPr="007437EF" w:rsidRDefault="007437EF" w:rsidP="007437EF">
      <w:pPr>
        <w:widowControl w:val="0"/>
        <w:suppressAutoHyphens/>
        <w:spacing w:after="0" w:line="276" w:lineRule="auto"/>
        <w:jc w:val="both"/>
        <w:rPr>
          <w:rFonts w:ascii="Arial" w:hAnsi="Arial" w:cs="Arial"/>
          <w:b/>
          <w:bCs/>
          <w:kern w:val="1"/>
          <w:lang w:val="es-ES" w:eastAsia="hi-IN" w:bidi="hi-IN"/>
        </w:rPr>
      </w:pPr>
      <w:r w:rsidRPr="007437EF">
        <w:rPr>
          <w:rFonts w:ascii="Arial" w:hAnsi="Arial" w:cs="Arial"/>
          <w:kern w:val="1"/>
          <w:lang w:val="es-ES" w:eastAsia="hi-IN" w:bidi="hi-IN"/>
        </w:rPr>
        <w:t>Fiecărei zone și fiecărei penetrații le-au fost atașați centroizi prin care să fie conectați la modelul de transport.</w:t>
      </w:r>
      <w:r w:rsidRPr="007437EF">
        <w:rPr>
          <w:rFonts w:ascii="Arial" w:hAnsi="Arial" w:cs="Arial"/>
          <w:bCs/>
          <w:noProof/>
          <w:kern w:val="1"/>
          <w:lang w:val="es-ES" w:eastAsia="hi-IN" w:bidi="hi-IN"/>
        </w:rPr>
        <w:t xml:space="preserve"> </w:t>
      </w:r>
    </w:p>
    <w:p w14:paraId="06C59D5B" w14:textId="77777777" w:rsidR="007437EF" w:rsidRPr="007437EF" w:rsidRDefault="007437EF" w:rsidP="007437EF">
      <w:pPr>
        <w:widowControl w:val="0"/>
        <w:suppressAutoHyphens/>
        <w:spacing w:after="0" w:line="276" w:lineRule="auto"/>
        <w:rPr>
          <w:rFonts w:ascii="Arial" w:hAnsi="Arial" w:cs="Arial"/>
          <w:bCs/>
          <w:kern w:val="1"/>
          <w:lang w:val="es-ES" w:eastAsia="hi-IN" w:bidi="hi-IN"/>
        </w:rPr>
      </w:pPr>
    </w:p>
    <w:p w14:paraId="66326EAB" w14:textId="77777777" w:rsidR="007437EF" w:rsidRPr="007437EF" w:rsidRDefault="00655DD6" w:rsidP="007437EF">
      <w:pPr>
        <w:widowControl w:val="0"/>
        <w:suppressAutoHyphens/>
        <w:spacing w:after="0" w:line="276" w:lineRule="auto"/>
        <w:rPr>
          <w:rFonts w:ascii="Arial" w:hAnsi="Arial" w:cs="Arial"/>
          <w:bCs/>
          <w:kern w:val="1"/>
          <w:lang w:val="es-ES" w:eastAsia="hi-IN" w:bidi="hi-IN"/>
        </w:rPr>
      </w:pPr>
      <w:r w:rsidRPr="005B6E1D">
        <w:rPr>
          <w:rFonts w:ascii="Arial" w:hAnsi="Arial" w:cs="Arial"/>
          <w:bCs/>
          <w:kern w:val="1"/>
          <w:lang w:val="ro-RO" w:eastAsia="hi-IN" w:bidi="hi-IN"/>
        </w:rPr>
        <w:t>În Figur</w:t>
      </w:r>
      <w:r>
        <w:rPr>
          <w:rFonts w:ascii="Arial" w:hAnsi="Arial" w:cs="Arial"/>
          <w:bCs/>
          <w:kern w:val="1"/>
          <w:lang w:val="ro-RO" w:eastAsia="hi-IN" w:bidi="hi-IN"/>
        </w:rPr>
        <w:t>ile</w:t>
      </w:r>
      <w:r w:rsidRPr="005B6E1D">
        <w:rPr>
          <w:rFonts w:ascii="Arial" w:hAnsi="Arial" w:cs="Arial"/>
          <w:bCs/>
          <w:kern w:val="1"/>
          <w:lang w:val="ro-RO" w:eastAsia="hi-IN" w:bidi="hi-IN"/>
        </w:rPr>
        <w:t xml:space="preserve"> de mai jos se prezintă sistemul de zonificare la nivelul UAT Horezu.</w:t>
      </w:r>
    </w:p>
    <w:p w14:paraId="37CC8252" w14:textId="77777777" w:rsidR="00D6124B" w:rsidRPr="007437EF" w:rsidRDefault="00D6124B" w:rsidP="007437EF">
      <w:pPr>
        <w:widowControl w:val="0"/>
        <w:suppressAutoHyphens/>
        <w:spacing w:after="0" w:line="276" w:lineRule="auto"/>
        <w:jc w:val="center"/>
        <w:rPr>
          <w:rFonts w:ascii="Arial" w:hAnsi="Arial" w:cs="Arial"/>
          <w:bCs/>
          <w:kern w:val="1"/>
          <w:lang w:val="es-ES" w:eastAsia="hi-IN" w:bidi="hi-IN"/>
        </w:rPr>
      </w:pPr>
    </w:p>
    <w:p w14:paraId="3BB0425B" w14:textId="77777777" w:rsidR="00D6124B" w:rsidRPr="00D6124B" w:rsidRDefault="00655DD6" w:rsidP="00D6124B">
      <w:pPr>
        <w:widowControl w:val="0"/>
        <w:suppressAutoHyphens/>
        <w:spacing w:after="0" w:line="360" w:lineRule="auto"/>
        <w:jc w:val="center"/>
        <w:rPr>
          <w:rFonts w:ascii="Arial" w:hAnsi="Arial" w:cs="Arial"/>
          <w:bCs/>
          <w:kern w:val="1"/>
          <w:sz w:val="20"/>
          <w:szCs w:val="24"/>
          <w:lang w:val="es-ES" w:eastAsia="hi-IN" w:bidi="hi-IN"/>
        </w:rPr>
      </w:pPr>
      <w:r w:rsidRPr="005B6E1D">
        <w:rPr>
          <w:rFonts w:ascii="Arial" w:hAnsi="Arial" w:cs="Arial"/>
          <w:bCs/>
          <w:noProof/>
          <w:kern w:val="1"/>
          <w:sz w:val="20"/>
          <w:szCs w:val="24"/>
        </w:rPr>
        <w:lastRenderedPageBreak/>
        <w:drawing>
          <wp:inline distT="0" distB="0" distL="0" distR="0" wp14:anchorId="22D65E00" wp14:editId="14E0E77E">
            <wp:extent cx="5391667" cy="3985146"/>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bwMode="auto">
                    <a:xfrm>
                      <a:off x="0" y="0"/>
                      <a:ext cx="5424477" cy="4009397"/>
                    </a:xfrm>
                    <a:prstGeom prst="rect">
                      <a:avLst/>
                    </a:prstGeom>
                    <a:noFill/>
                    <a:ln>
                      <a:noFill/>
                    </a:ln>
                  </pic:spPr>
                </pic:pic>
              </a:graphicData>
            </a:graphic>
          </wp:inline>
        </w:drawing>
      </w:r>
    </w:p>
    <w:p w14:paraId="73EE6A3B" w14:textId="77777777" w:rsidR="00D6124B" w:rsidRPr="00D6124B" w:rsidRDefault="00D6124B" w:rsidP="00D6124B">
      <w:pPr>
        <w:widowControl w:val="0"/>
        <w:suppressAutoHyphens/>
        <w:spacing w:after="0" w:line="360" w:lineRule="auto"/>
        <w:jc w:val="center"/>
        <w:rPr>
          <w:rFonts w:ascii="Arial" w:hAnsi="Arial" w:cs="Arial"/>
          <w:bCs/>
          <w:kern w:val="1"/>
          <w:sz w:val="20"/>
          <w:szCs w:val="24"/>
          <w:lang w:val="es-ES" w:eastAsia="hi-IN" w:bidi="hi-IN"/>
        </w:rPr>
      </w:pPr>
    </w:p>
    <w:p w14:paraId="1C6E5D16" w14:textId="16356DE8" w:rsidR="00D6124B" w:rsidRPr="006D4DC5" w:rsidRDefault="006D4DC5" w:rsidP="006D4DC5">
      <w:pPr>
        <w:pStyle w:val="Legend"/>
        <w:jc w:val="center"/>
        <w:rPr>
          <w:rFonts w:ascii="Arial" w:hAnsi="Arial" w:cs="Arial"/>
          <w:bCs/>
          <w:i w:val="0"/>
          <w:kern w:val="1"/>
          <w:sz w:val="22"/>
          <w:szCs w:val="22"/>
          <w:lang w:val="ro-RO" w:eastAsia="hi-IN" w:bidi="hi-IN"/>
        </w:rPr>
      </w:pPr>
      <w:bookmarkStart w:id="167" w:name="_Toc68361149"/>
      <w:bookmarkStart w:id="168" w:name="_Toc140744478"/>
      <w:r w:rsidRPr="006D4DC5">
        <w:rPr>
          <w:rFonts w:ascii="Arial" w:hAnsi="Arial" w:cs="Arial"/>
          <w:sz w:val="22"/>
          <w:szCs w:val="22"/>
        </w:rPr>
        <w:t xml:space="preserve">Figura I.3. </w:t>
      </w:r>
      <w:r w:rsidRPr="006D4DC5">
        <w:rPr>
          <w:rFonts w:ascii="Arial" w:hAnsi="Arial" w:cs="Arial"/>
          <w:sz w:val="22"/>
          <w:szCs w:val="22"/>
        </w:rPr>
        <w:fldChar w:fldCharType="begin"/>
      </w:r>
      <w:r w:rsidRPr="006D4DC5">
        <w:rPr>
          <w:rFonts w:ascii="Arial" w:hAnsi="Arial" w:cs="Arial"/>
          <w:sz w:val="22"/>
          <w:szCs w:val="22"/>
        </w:rPr>
        <w:instrText xml:space="preserve"> SEQ Figura_I.3. \* ARABIC </w:instrText>
      </w:r>
      <w:r w:rsidRPr="006D4DC5">
        <w:rPr>
          <w:rFonts w:ascii="Arial" w:hAnsi="Arial" w:cs="Arial"/>
          <w:sz w:val="22"/>
          <w:szCs w:val="22"/>
        </w:rPr>
        <w:fldChar w:fldCharType="separate"/>
      </w:r>
      <w:r w:rsidR="00BB181C">
        <w:rPr>
          <w:rFonts w:ascii="Arial" w:hAnsi="Arial" w:cs="Arial"/>
          <w:noProof/>
          <w:sz w:val="22"/>
          <w:szCs w:val="22"/>
        </w:rPr>
        <w:t>1</w:t>
      </w:r>
      <w:r w:rsidRPr="006D4DC5">
        <w:rPr>
          <w:rFonts w:ascii="Arial" w:hAnsi="Arial" w:cs="Arial"/>
          <w:sz w:val="22"/>
          <w:szCs w:val="22"/>
        </w:rPr>
        <w:fldChar w:fldCharType="end"/>
      </w:r>
      <w:r w:rsidRPr="006D4DC5">
        <w:rPr>
          <w:rFonts w:ascii="Arial" w:hAnsi="Arial" w:cs="Arial"/>
          <w:sz w:val="22"/>
          <w:szCs w:val="22"/>
        </w:rPr>
        <w:t xml:space="preserve"> </w:t>
      </w:r>
      <w:r w:rsidR="00EF59AE" w:rsidRPr="006D4DC5">
        <w:rPr>
          <w:rFonts w:ascii="Arial" w:hAnsi="Arial" w:cs="Arial"/>
          <w:sz w:val="22"/>
          <w:szCs w:val="22"/>
        </w:rPr>
        <w:t xml:space="preserve">- </w:t>
      </w:r>
      <w:r w:rsidR="00EF59AE" w:rsidRPr="006D4DC5">
        <w:rPr>
          <w:rFonts w:ascii="Arial" w:hAnsi="Arial" w:cs="Arial"/>
          <w:i w:val="0"/>
          <w:sz w:val="22"/>
          <w:szCs w:val="22"/>
        </w:rPr>
        <w:t xml:space="preserve">Zonificarea </w:t>
      </w:r>
      <w:bookmarkEnd w:id="167"/>
      <w:r w:rsidR="00655DD6" w:rsidRPr="00C81346">
        <w:rPr>
          <w:rFonts w:ascii="Arial" w:hAnsi="Arial" w:cs="Arial"/>
          <w:i w:val="0"/>
          <w:sz w:val="22"/>
          <w:szCs w:val="22"/>
          <w:lang w:val="ro-RO"/>
        </w:rPr>
        <w:t>UAT Horezu</w:t>
      </w:r>
      <w:r w:rsidR="00655DD6">
        <w:rPr>
          <w:rFonts w:ascii="Arial" w:hAnsi="Arial" w:cs="Arial"/>
          <w:i w:val="0"/>
          <w:sz w:val="22"/>
          <w:szCs w:val="22"/>
          <w:lang w:val="ro-RO"/>
        </w:rPr>
        <w:t xml:space="preserve"> – vedere de ansamblu</w:t>
      </w:r>
      <w:bookmarkEnd w:id="168"/>
    </w:p>
    <w:p w14:paraId="50F5CE03" w14:textId="77777777" w:rsidR="00655DD6" w:rsidRDefault="00655DD6" w:rsidP="00655DD6">
      <w:pPr>
        <w:jc w:val="center"/>
        <w:rPr>
          <w:lang w:val="ro-RO"/>
        </w:rPr>
      </w:pPr>
      <w:r>
        <w:rPr>
          <w:noProof/>
        </w:rPr>
        <w:drawing>
          <wp:inline distT="0" distB="0" distL="0" distR="0" wp14:anchorId="131D76D0" wp14:editId="6C63B937">
            <wp:extent cx="5247564" cy="3878408"/>
            <wp:effectExtent l="0" t="0" r="0" b="825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266188" cy="3892173"/>
                    </a:xfrm>
                    <a:prstGeom prst="rect">
                      <a:avLst/>
                    </a:prstGeom>
                  </pic:spPr>
                </pic:pic>
              </a:graphicData>
            </a:graphic>
          </wp:inline>
        </w:drawing>
      </w:r>
    </w:p>
    <w:p w14:paraId="00ED2BB3" w14:textId="2FF2CAE8" w:rsidR="00655DD6" w:rsidRPr="00D15C24" w:rsidRDefault="00D15C24" w:rsidP="00D15C24">
      <w:pPr>
        <w:pStyle w:val="Legend"/>
        <w:jc w:val="center"/>
        <w:rPr>
          <w:rFonts w:ascii="Arial" w:hAnsi="Arial" w:cs="Arial"/>
          <w:bCs/>
          <w:i w:val="0"/>
          <w:iCs w:val="0"/>
          <w:kern w:val="1"/>
          <w:sz w:val="22"/>
          <w:szCs w:val="22"/>
          <w:lang w:val="ro-RO" w:eastAsia="hi-IN" w:bidi="hi-IN"/>
        </w:rPr>
      </w:pPr>
      <w:bookmarkStart w:id="169" w:name="_Toc140744479"/>
      <w:r w:rsidRPr="00D15C24">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2</w:t>
      </w:r>
      <w:r w:rsidRPr="0001072E">
        <w:rPr>
          <w:rFonts w:ascii="Arial" w:hAnsi="Arial" w:cs="Arial"/>
          <w:sz w:val="22"/>
          <w:szCs w:val="22"/>
        </w:rPr>
        <w:fldChar w:fldCharType="end"/>
      </w:r>
      <w:r w:rsidRPr="0001072E">
        <w:rPr>
          <w:rFonts w:ascii="Arial" w:hAnsi="Arial" w:cs="Arial"/>
          <w:sz w:val="22"/>
          <w:szCs w:val="22"/>
        </w:rPr>
        <w:t xml:space="preserve"> </w:t>
      </w:r>
      <w:r w:rsidR="00655DD6" w:rsidRPr="0001072E">
        <w:rPr>
          <w:rFonts w:ascii="Arial" w:hAnsi="Arial" w:cs="Arial"/>
          <w:sz w:val="22"/>
          <w:szCs w:val="22"/>
          <w:lang w:val="ro-RO"/>
        </w:rPr>
        <w:t xml:space="preserve">- </w:t>
      </w:r>
      <w:r w:rsidR="00655DD6" w:rsidRPr="0001072E">
        <w:rPr>
          <w:rFonts w:ascii="Arial" w:hAnsi="Arial" w:cs="Arial"/>
          <w:i w:val="0"/>
          <w:iCs w:val="0"/>
          <w:sz w:val="22"/>
          <w:szCs w:val="22"/>
          <w:lang w:val="ro-RO"/>
        </w:rPr>
        <w:t>Zonificarea UAT Horezu – detaliu</w:t>
      </w:r>
      <w:bookmarkEnd w:id="169"/>
    </w:p>
    <w:p w14:paraId="25B22701" w14:textId="77777777" w:rsidR="00655DD6" w:rsidRDefault="00655DD6" w:rsidP="007437EF">
      <w:pPr>
        <w:widowControl w:val="0"/>
        <w:suppressAutoHyphens/>
        <w:spacing w:after="0" w:line="276" w:lineRule="auto"/>
        <w:rPr>
          <w:rFonts w:ascii="Arial" w:hAnsi="Arial" w:cs="Arial"/>
          <w:bCs/>
          <w:kern w:val="1"/>
          <w:lang w:val="ro-RO" w:eastAsia="hi-IN" w:bidi="hi-IN"/>
        </w:rPr>
      </w:pPr>
    </w:p>
    <w:p w14:paraId="3E8F14F3" w14:textId="77777777" w:rsidR="007437EF" w:rsidRPr="007437EF" w:rsidRDefault="00655DD6" w:rsidP="007437EF">
      <w:pPr>
        <w:widowControl w:val="0"/>
        <w:suppressAutoHyphens/>
        <w:spacing w:after="0" w:line="276" w:lineRule="auto"/>
        <w:rPr>
          <w:rFonts w:ascii="Arial" w:hAnsi="Arial" w:cs="Arial"/>
          <w:bCs/>
          <w:kern w:val="1"/>
          <w:lang w:val="ro-RO" w:eastAsia="hi-IN" w:bidi="hi-IN"/>
        </w:rPr>
      </w:pPr>
      <w:r w:rsidRPr="00C81346">
        <w:rPr>
          <w:rFonts w:ascii="Arial" w:hAnsi="Arial" w:cs="Arial"/>
          <w:bCs/>
          <w:kern w:val="1"/>
          <w:lang w:val="ro-RO" w:eastAsia="hi-IN" w:bidi="hi-IN"/>
        </w:rPr>
        <w:t>Figu</w:t>
      </w:r>
      <w:r>
        <w:rPr>
          <w:rFonts w:ascii="Arial" w:hAnsi="Arial" w:cs="Arial"/>
          <w:bCs/>
          <w:kern w:val="1"/>
          <w:lang w:val="ro-RO" w:eastAsia="hi-IN" w:bidi="hi-IN"/>
        </w:rPr>
        <w:t>rile</w:t>
      </w:r>
      <w:r w:rsidRPr="00C81346">
        <w:rPr>
          <w:rFonts w:ascii="Arial" w:hAnsi="Arial" w:cs="Arial"/>
          <w:bCs/>
          <w:kern w:val="1"/>
          <w:lang w:val="ro-RO" w:eastAsia="hi-IN" w:bidi="hi-IN"/>
        </w:rPr>
        <w:t xml:space="preserve"> de mai jos prezintă populația  pentru UAT Horezu conform zonelor model de transport.</w:t>
      </w:r>
    </w:p>
    <w:p w14:paraId="12238D7A" w14:textId="77777777" w:rsidR="007437EF" w:rsidRDefault="00655DD6" w:rsidP="00D6124B">
      <w:pPr>
        <w:widowControl w:val="0"/>
        <w:suppressAutoHyphens/>
        <w:spacing w:after="0" w:line="360" w:lineRule="auto"/>
        <w:jc w:val="center"/>
        <w:rPr>
          <w:rFonts w:ascii="Arial" w:hAnsi="Arial" w:cs="Arial"/>
          <w:bCs/>
          <w:kern w:val="1"/>
          <w:sz w:val="24"/>
          <w:szCs w:val="24"/>
          <w:lang w:val="ro-RO" w:eastAsia="hi-IN" w:bidi="hi-IN"/>
        </w:rPr>
      </w:pPr>
      <w:r w:rsidRPr="005B6E1D">
        <w:rPr>
          <w:rFonts w:ascii="Arial" w:hAnsi="Arial" w:cs="Arial"/>
          <w:bCs/>
          <w:noProof/>
          <w:kern w:val="1"/>
          <w:sz w:val="24"/>
          <w:szCs w:val="24"/>
        </w:rPr>
        <w:drawing>
          <wp:inline distT="0" distB="0" distL="0" distR="0" wp14:anchorId="48C560E6" wp14:editId="57234360">
            <wp:extent cx="5288507" cy="3908895"/>
            <wp:effectExtent l="0" t="0" r="762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pic:cNvPicPr>
                      <a:picLocks noChangeAspect="1" noChangeArrowheads="1"/>
                    </pic:cNvPicPr>
                  </pic:nvPicPr>
                  <pic:blipFill>
                    <a:blip r:embed="rId96" cstate="print">
                      <a:extLst>
                        <a:ext uri="{28A0092B-C50C-407E-A947-70E740481C1C}">
                          <a14:useLocalDpi xmlns:a14="http://schemas.microsoft.com/office/drawing/2010/main" val="0"/>
                        </a:ext>
                      </a:extLst>
                    </a:blip>
                    <a:stretch>
                      <a:fillRect/>
                    </a:stretch>
                  </pic:blipFill>
                  <pic:spPr bwMode="auto">
                    <a:xfrm>
                      <a:off x="0" y="0"/>
                      <a:ext cx="5313005" cy="3927002"/>
                    </a:xfrm>
                    <a:prstGeom prst="rect">
                      <a:avLst/>
                    </a:prstGeom>
                    <a:noFill/>
                  </pic:spPr>
                </pic:pic>
              </a:graphicData>
            </a:graphic>
          </wp:inline>
        </w:drawing>
      </w:r>
    </w:p>
    <w:p w14:paraId="78F73F5C" w14:textId="5DCADB46" w:rsidR="00D6124B" w:rsidRDefault="006D4DC5" w:rsidP="006D4DC5">
      <w:pPr>
        <w:pStyle w:val="Legend"/>
        <w:jc w:val="center"/>
        <w:rPr>
          <w:rFonts w:ascii="Arial" w:hAnsi="Arial" w:cs="Arial"/>
          <w:i w:val="0"/>
          <w:sz w:val="22"/>
          <w:szCs w:val="22"/>
          <w:lang w:val="ro-RO"/>
        </w:rPr>
      </w:pPr>
      <w:bookmarkStart w:id="170" w:name="_Toc68361150"/>
      <w:bookmarkStart w:id="171" w:name="_Toc140744480"/>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3</w:t>
      </w:r>
      <w:r w:rsidRPr="0001072E">
        <w:rPr>
          <w:rFonts w:ascii="Arial" w:hAnsi="Arial" w:cs="Arial"/>
          <w:sz w:val="22"/>
          <w:szCs w:val="22"/>
        </w:rPr>
        <w:fldChar w:fldCharType="end"/>
      </w:r>
      <w:r w:rsidRPr="0001072E">
        <w:rPr>
          <w:rFonts w:ascii="Arial" w:hAnsi="Arial" w:cs="Arial"/>
          <w:sz w:val="22"/>
          <w:szCs w:val="22"/>
        </w:rPr>
        <w:t xml:space="preserve"> </w:t>
      </w:r>
      <w:r w:rsidR="00EF59AE" w:rsidRPr="0001072E">
        <w:rPr>
          <w:rFonts w:ascii="Arial" w:hAnsi="Arial" w:cs="Arial"/>
          <w:sz w:val="22"/>
          <w:szCs w:val="22"/>
        </w:rPr>
        <w:t xml:space="preserve">- </w:t>
      </w:r>
      <w:r w:rsidR="007437EF" w:rsidRPr="0001072E">
        <w:rPr>
          <w:rFonts w:ascii="Arial" w:hAnsi="Arial" w:cs="Arial"/>
          <w:i w:val="0"/>
          <w:sz w:val="22"/>
          <w:szCs w:val="22"/>
        </w:rPr>
        <w:t xml:space="preserve">Populația </w:t>
      </w:r>
      <w:bookmarkEnd w:id="170"/>
      <w:r w:rsidR="00655DD6" w:rsidRPr="0001072E">
        <w:rPr>
          <w:rFonts w:ascii="Arial" w:hAnsi="Arial" w:cs="Arial"/>
          <w:i w:val="0"/>
          <w:sz w:val="22"/>
          <w:szCs w:val="22"/>
          <w:lang w:val="ro-RO"/>
        </w:rPr>
        <w:t>UAT Horezu conform zonificării – vedere de ansamblu</w:t>
      </w:r>
      <w:bookmarkEnd w:id="171"/>
    </w:p>
    <w:p w14:paraId="4046958C" w14:textId="77777777" w:rsidR="00655DD6" w:rsidRDefault="00655DD6" w:rsidP="00655DD6">
      <w:pPr>
        <w:jc w:val="center"/>
        <w:rPr>
          <w:lang w:val="ro-RO"/>
        </w:rPr>
      </w:pPr>
      <w:r>
        <w:rPr>
          <w:noProof/>
        </w:rPr>
        <w:drawing>
          <wp:inline distT="0" distB="0" distL="0" distR="0" wp14:anchorId="7EDCA252" wp14:editId="714C2BEE">
            <wp:extent cx="5193370" cy="3838354"/>
            <wp:effectExtent l="0" t="0" r="762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210271" cy="3850846"/>
                    </a:xfrm>
                    <a:prstGeom prst="rect">
                      <a:avLst/>
                    </a:prstGeom>
                  </pic:spPr>
                </pic:pic>
              </a:graphicData>
            </a:graphic>
          </wp:inline>
        </w:drawing>
      </w:r>
    </w:p>
    <w:p w14:paraId="6EE3EFB4" w14:textId="1615B538" w:rsidR="00655DD6" w:rsidRPr="00D15C24" w:rsidRDefault="00D15C24" w:rsidP="00D15C24">
      <w:pPr>
        <w:pStyle w:val="Legend"/>
        <w:jc w:val="center"/>
        <w:rPr>
          <w:rFonts w:ascii="Arial" w:hAnsi="Arial" w:cs="Arial"/>
          <w:i w:val="0"/>
          <w:iCs w:val="0"/>
          <w:sz w:val="22"/>
          <w:szCs w:val="22"/>
          <w:lang w:val="ro-RO"/>
        </w:rPr>
      </w:pPr>
      <w:bookmarkStart w:id="172" w:name="_Toc140744481"/>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4</w:t>
      </w:r>
      <w:r w:rsidRPr="0001072E">
        <w:rPr>
          <w:rFonts w:ascii="Arial" w:hAnsi="Arial" w:cs="Arial"/>
          <w:sz w:val="22"/>
          <w:szCs w:val="22"/>
        </w:rPr>
        <w:fldChar w:fldCharType="end"/>
      </w:r>
      <w:r w:rsidRPr="0001072E">
        <w:rPr>
          <w:rFonts w:ascii="Arial" w:hAnsi="Arial" w:cs="Arial"/>
          <w:sz w:val="22"/>
          <w:szCs w:val="22"/>
        </w:rPr>
        <w:t xml:space="preserve"> </w:t>
      </w:r>
      <w:r w:rsidR="00655DD6" w:rsidRPr="0001072E">
        <w:rPr>
          <w:rFonts w:ascii="Arial" w:hAnsi="Arial" w:cs="Arial"/>
          <w:sz w:val="22"/>
          <w:szCs w:val="22"/>
          <w:lang w:val="ro-RO"/>
        </w:rPr>
        <w:t xml:space="preserve">- </w:t>
      </w:r>
      <w:r w:rsidR="00655DD6" w:rsidRPr="0001072E">
        <w:rPr>
          <w:rFonts w:ascii="Arial" w:hAnsi="Arial" w:cs="Arial"/>
          <w:i w:val="0"/>
          <w:iCs w:val="0"/>
          <w:sz w:val="22"/>
          <w:szCs w:val="22"/>
          <w:lang w:val="ro-RO"/>
        </w:rPr>
        <w:t>Populația UAT Horezu conform zonificării – detaliu</w:t>
      </w:r>
      <w:bookmarkEnd w:id="172"/>
    </w:p>
    <w:p w14:paraId="396FB00C" w14:textId="77777777" w:rsidR="007437EF" w:rsidRPr="007437EF" w:rsidRDefault="007437EF" w:rsidP="007437EF">
      <w:pPr>
        <w:widowControl w:val="0"/>
        <w:suppressAutoHyphens/>
        <w:spacing w:after="0" w:line="276" w:lineRule="auto"/>
        <w:rPr>
          <w:rFonts w:ascii="Arial" w:hAnsi="Arial" w:cs="Arial"/>
          <w:b/>
          <w:i/>
          <w:iCs/>
          <w:kern w:val="1"/>
          <w:lang w:val="ro-RO" w:eastAsia="hi-IN" w:bidi="hi-IN"/>
        </w:rPr>
      </w:pPr>
      <w:r w:rsidRPr="007437EF">
        <w:rPr>
          <w:rFonts w:ascii="Arial" w:hAnsi="Arial" w:cs="Arial"/>
          <w:b/>
          <w:i/>
          <w:iCs/>
          <w:kern w:val="1"/>
          <w:lang w:val="ro-RO" w:eastAsia="hi-IN" w:bidi="hi-IN"/>
        </w:rPr>
        <w:lastRenderedPageBreak/>
        <w:t>Rețeaua de drumuri</w:t>
      </w:r>
    </w:p>
    <w:p w14:paraId="0CC18651" w14:textId="77777777" w:rsidR="007437EF" w:rsidRPr="007437EF" w:rsidRDefault="007437EF" w:rsidP="007437EF">
      <w:pPr>
        <w:widowControl w:val="0"/>
        <w:suppressAutoHyphens/>
        <w:spacing w:after="0" w:line="276" w:lineRule="auto"/>
        <w:rPr>
          <w:rFonts w:ascii="Arial" w:hAnsi="Arial" w:cs="Arial"/>
          <w:bCs/>
          <w:kern w:val="1"/>
          <w:lang w:val="ro-RO" w:eastAsia="hi-IN" w:bidi="hi-IN"/>
        </w:rPr>
      </w:pPr>
      <w:r w:rsidRPr="007437EF">
        <w:rPr>
          <w:rFonts w:ascii="Arial" w:hAnsi="Arial" w:cs="Arial"/>
          <w:bCs/>
          <w:kern w:val="1"/>
          <w:lang w:val="ro-RO" w:eastAsia="hi-IN" w:bidi="hi-IN"/>
        </w:rPr>
        <w:t>S-au efectuat o rețea de drumuri extinsă și un studiu de intersecții pentru a defini atributele rutiere din modelul de transport. Acest lucru include:</w:t>
      </w:r>
    </w:p>
    <w:p w14:paraId="774A8F9D" w14:textId="77777777" w:rsidR="007437EF" w:rsidRPr="007437EF" w:rsidRDefault="007437EF" w:rsidP="000C6CB8">
      <w:pPr>
        <w:widowControl w:val="0"/>
        <w:numPr>
          <w:ilvl w:val="0"/>
          <w:numId w:val="171"/>
        </w:numPr>
        <w:suppressAutoHyphens/>
        <w:spacing w:after="0" w:line="276" w:lineRule="auto"/>
        <w:rPr>
          <w:rFonts w:ascii="Arial" w:hAnsi="Arial" w:cs="Arial"/>
          <w:bCs/>
          <w:kern w:val="1"/>
          <w:lang w:val="ro-RO" w:eastAsia="hi-IN" w:bidi="hi-IN"/>
        </w:rPr>
      </w:pPr>
      <w:r w:rsidRPr="007437EF">
        <w:rPr>
          <w:rFonts w:ascii="Arial" w:hAnsi="Arial" w:cs="Arial"/>
          <w:bCs/>
          <w:kern w:val="1"/>
          <w:lang w:val="ro-RO" w:eastAsia="hi-IN" w:bidi="hi-IN"/>
        </w:rPr>
        <w:t>Numărul de benzi pe direcție</w:t>
      </w:r>
    </w:p>
    <w:p w14:paraId="0274711A" w14:textId="77777777" w:rsidR="007437EF" w:rsidRPr="007437EF" w:rsidRDefault="007437EF" w:rsidP="000C6CB8">
      <w:pPr>
        <w:widowControl w:val="0"/>
        <w:numPr>
          <w:ilvl w:val="0"/>
          <w:numId w:val="171"/>
        </w:numPr>
        <w:suppressAutoHyphens/>
        <w:spacing w:after="0" w:line="276" w:lineRule="auto"/>
        <w:rPr>
          <w:rFonts w:ascii="Arial" w:hAnsi="Arial" w:cs="Arial"/>
          <w:bCs/>
          <w:kern w:val="1"/>
          <w:lang w:val="ro-RO" w:eastAsia="hi-IN" w:bidi="hi-IN"/>
        </w:rPr>
      </w:pPr>
      <w:r w:rsidRPr="007437EF">
        <w:rPr>
          <w:rFonts w:ascii="Arial" w:hAnsi="Arial" w:cs="Arial"/>
          <w:bCs/>
          <w:kern w:val="1"/>
          <w:lang w:val="ro-RO" w:eastAsia="hi-IN" w:bidi="hi-IN"/>
        </w:rPr>
        <w:t>Limita de viteză sau vitezele de circulație predominante</w:t>
      </w:r>
    </w:p>
    <w:p w14:paraId="482397AF" w14:textId="77777777" w:rsidR="007437EF" w:rsidRPr="007437EF" w:rsidRDefault="007437EF" w:rsidP="000C6CB8">
      <w:pPr>
        <w:widowControl w:val="0"/>
        <w:numPr>
          <w:ilvl w:val="0"/>
          <w:numId w:val="171"/>
        </w:numPr>
        <w:suppressAutoHyphens/>
        <w:spacing w:after="0" w:line="276" w:lineRule="auto"/>
        <w:rPr>
          <w:rFonts w:ascii="Arial" w:hAnsi="Arial" w:cs="Arial"/>
          <w:bCs/>
          <w:kern w:val="1"/>
          <w:lang w:val="ro-RO" w:eastAsia="hi-IN" w:bidi="hi-IN"/>
        </w:rPr>
      </w:pPr>
      <w:r w:rsidRPr="007437EF">
        <w:rPr>
          <w:rFonts w:ascii="Arial" w:hAnsi="Arial" w:cs="Arial"/>
          <w:bCs/>
          <w:kern w:val="1"/>
          <w:lang w:val="ro-RO" w:eastAsia="hi-IN" w:bidi="hi-IN"/>
        </w:rPr>
        <w:t>Drum/stradă cu două benzi sau cu sens unic</w:t>
      </w:r>
    </w:p>
    <w:p w14:paraId="187EF8FC" w14:textId="77777777" w:rsidR="007437EF" w:rsidRPr="007437EF" w:rsidRDefault="007437EF" w:rsidP="000C6CB8">
      <w:pPr>
        <w:widowControl w:val="0"/>
        <w:numPr>
          <w:ilvl w:val="0"/>
          <w:numId w:val="171"/>
        </w:numPr>
        <w:suppressAutoHyphens/>
        <w:spacing w:after="0" w:line="276" w:lineRule="auto"/>
        <w:rPr>
          <w:rFonts w:ascii="Arial" w:hAnsi="Arial" w:cs="Arial"/>
          <w:bCs/>
          <w:kern w:val="1"/>
          <w:lang w:val="ro-RO" w:eastAsia="hi-IN" w:bidi="hi-IN"/>
        </w:rPr>
      </w:pPr>
      <w:r w:rsidRPr="007437EF">
        <w:rPr>
          <w:rFonts w:ascii="Arial" w:hAnsi="Arial" w:cs="Arial"/>
          <w:bCs/>
          <w:kern w:val="1"/>
          <w:lang w:val="ro-RO" w:eastAsia="hi-IN" w:bidi="hi-IN"/>
        </w:rPr>
        <w:t>Un singur sens sau 2 sensuri</w:t>
      </w:r>
    </w:p>
    <w:p w14:paraId="5A228EF2" w14:textId="77777777" w:rsidR="007437EF" w:rsidRPr="007437EF" w:rsidRDefault="007437EF" w:rsidP="000C6CB8">
      <w:pPr>
        <w:widowControl w:val="0"/>
        <w:numPr>
          <w:ilvl w:val="0"/>
          <w:numId w:val="171"/>
        </w:numPr>
        <w:suppressAutoHyphens/>
        <w:spacing w:after="0" w:line="276" w:lineRule="auto"/>
        <w:rPr>
          <w:rFonts w:ascii="Arial" w:hAnsi="Arial" w:cs="Arial"/>
          <w:bCs/>
          <w:kern w:val="1"/>
          <w:lang w:val="ro-RO" w:eastAsia="hi-IN" w:bidi="hi-IN"/>
        </w:rPr>
      </w:pPr>
      <w:r w:rsidRPr="007437EF">
        <w:rPr>
          <w:rFonts w:ascii="Arial" w:hAnsi="Arial" w:cs="Arial"/>
          <w:bCs/>
          <w:kern w:val="1"/>
          <w:lang w:val="ro-RO" w:eastAsia="hi-IN" w:bidi="hi-IN"/>
        </w:rPr>
        <w:t>Benzi pentru autobuz</w:t>
      </w:r>
    </w:p>
    <w:p w14:paraId="7AD2CAFA" w14:textId="77777777" w:rsidR="007437EF" w:rsidRPr="007437EF" w:rsidRDefault="007437EF" w:rsidP="000C6CB8">
      <w:pPr>
        <w:widowControl w:val="0"/>
        <w:numPr>
          <w:ilvl w:val="0"/>
          <w:numId w:val="171"/>
        </w:numPr>
        <w:suppressAutoHyphens/>
        <w:spacing w:after="0" w:line="276" w:lineRule="auto"/>
        <w:rPr>
          <w:rFonts w:ascii="Arial" w:hAnsi="Arial" w:cs="Arial"/>
          <w:bCs/>
          <w:kern w:val="1"/>
          <w:lang w:val="ro-RO" w:eastAsia="hi-IN" w:bidi="hi-IN"/>
        </w:rPr>
      </w:pPr>
      <w:r w:rsidRPr="007437EF">
        <w:rPr>
          <w:rFonts w:ascii="Arial" w:hAnsi="Arial" w:cs="Arial"/>
          <w:bCs/>
          <w:kern w:val="1"/>
          <w:lang w:val="ro-RO" w:eastAsia="hi-IN" w:bidi="hi-IN"/>
        </w:rPr>
        <w:t>Marcaje rutiere</w:t>
      </w:r>
    </w:p>
    <w:p w14:paraId="03C1DCB3" w14:textId="77777777" w:rsidR="007437EF" w:rsidRDefault="007437EF" w:rsidP="000C6CB8">
      <w:pPr>
        <w:widowControl w:val="0"/>
        <w:numPr>
          <w:ilvl w:val="0"/>
          <w:numId w:val="171"/>
        </w:numPr>
        <w:suppressAutoHyphens/>
        <w:spacing w:after="0" w:line="276" w:lineRule="auto"/>
        <w:rPr>
          <w:rFonts w:ascii="Arial" w:hAnsi="Arial" w:cs="Arial"/>
          <w:bCs/>
          <w:kern w:val="1"/>
          <w:lang w:val="ro-RO" w:eastAsia="hi-IN" w:bidi="hi-IN"/>
        </w:rPr>
      </w:pPr>
      <w:r w:rsidRPr="007437EF">
        <w:rPr>
          <w:rFonts w:ascii="Arial" w:hAnsi="Arial" w:cs="Arial"/>
          <w:bCs/>
          <w:kern w:val="1"/>
          <w:lang w:val="ro-RO" w:eastAsia="hi-IN" w:bidi="hi-IN"/>
        </w:rPr>
        <w:t>Tipuri de intersecții și timpi de configurare/semnalizare</w:t>
      </w:r>
    </w:p>
    <w:p w14:paraId="3F3C6684" w14:textId="77777777" w:rsidR="008A693F" w:rsidRPr="007437EF" w:rsidRDefault="008A693F" w:rsidP="008A693F">
      <w:pPr>
        <w:widowControl w:val="0"/>
        <w:suppressAutoHyphens/>
        <w:spacing w:after="0" w:line="276" w:lineRule="auto"/>
        <w:ind w:left="720"/>
        <w:rPr>
          <w:rFonts w:ascii="Arial" w:hAnsi="Arial" w:cs="Arial"/>
          <w:bCs/>
          <w:kern w:val="1"/>
          <w:lang w:val="ro-RO" w:eastAsia="hi-IN" w:bidi="hi-IN"/>
        </w:rPr>
      </w:pPr>
    </w:p>
    <w:p w14:paraId="0B35A53B" w14:textId="77777777" w:rsidR="007437EF" w:rsidRPr="007437EF" w:rsidRDefault="007437EF" w:rsidP="007437EF">
      <w:pPr>
        <w:widowControl w:val="0"/>
        <w:suppressAutoHyphens/>
        <w:spacing w:after="0" w:line="276" w:lineRule="auto"/>
        <w:rPr>
          <w:rFonts w:ascii="Arial" w:hAnsi="Arial" w:cs="Arial"/>
          <w:bCs/>
          <w:kern w:val="1"/>
          <w:lang w:val="ro-RO" w:eastAsia="hi-IN" w:bidi="hi-IN"/>
        </w:rPr>
      </w:pPr>
      <w:r w:rsidRPr="007437EF">
        <w:rPr>
          <w:rFonts w:ascii="Arial" w:hAnsi="Arial" w:cs="Arial"/>
          <w:bCs/>
          <w:kern w:val="1"/>
          <w:lang w:val="ro-RO" w:eastAsia="hi-IN" w:bidi="hi-IN"/>
        </w:rPr>
        <w:t xml:space="preserve">Figura de mai jos prezintă rețeaua de drumuri în funcție de numărul de benzi. În general, drumurile cu 2 benzi sau mai multe pe direcție formează ierarhia rutieră primară din </w:t>
      </w:r>
      <w:r w:rsidR="008F22F2">
        <w:rPr>
          <w:rFonts w:ascii="Arial" w:hAnsi="Arial" w:cs="Arial"/>
          <w:bCs/>
          <w:kern w:val="1"/>
          <w:lang w:val="ro-RO" w:eastAsia="hi-IN" w:bidi="hi-IN"/>
        </w:rPr>
        <w:t>Horezu</w:t>
      </w:r>
      <w:r w:rsidRPr="007437EF">
        <w:rPr>
          <w:rFonts w:ascii="Arial" w:hAnsi="Arial" w:cs="Arial"/>
          <w:bCs/>
          <w:kern w:val="1"/>
          <w:lang w:val="ro-RO" w:eastAsia="hi-IN" w:bidi="hi-IN"/>
        </w:rPr>
        <w:t>.</w:t>
      </w:r>
    </w:p>
    <w:p w14:paraId="241082A8" w14:textId="77777777" w:rsidR="007437EF" w:rsidRDefault="007437EF" w:rsidP="007437EF">
      <w:pPr>
        <w:pStyle w:val="Legend"/>
      </w:pPr>
    </w:p>
    <w:p w14:paraId="28711FAE" w14:textId="77777777" w:rsidR="00D6124B" w:rsidRPr="00D6124B" w:rsidRDefault="00655DD6" w:rsidP="00655DD6">
      <w:pPr>
        <w:pStyle w:val="Legend"/>
        <w:jc w:val="center"/>
        <w:rPr>
          <w:rFonts w:ascii="Arial" w:hAnsi="Arial" w:cs="Arial"/>
          <w:b/>
          <w:bCs/>
          <w:kern w:val="1"/>
          <w:sz w:val="24"/>
          <w:szCs w:val="24"/>
          <w:lang w:val="ro-RO" w:eastAsia="hi-IN" w:bidi="hi-IN"/>
        </w:rPr>
      </w:pPr>
      <w:r w:rsidRPr="007D0591">
        <w:rPr>
          <w:rFonts w:ascii="Arial" w:hAnsi="Arial" w:cs="Arial"/>
          <w:b/>
          <w:bCs/>
          <w:noProof/>
          <w:kern w:val="1"/>
          <w:sz w:val="24"/>
          <w:szCs w:val="24"/>
        </w:rPr>
        <w:drawing>
          <wp:inline distT="0" distB="0" distL="0" distR="0" wp14:anchorId="123E4B51" wp14:editId="7ADC0DA8">
            <wp:extent cx="5382436" cy="3978323"/>
            <wp:effectExtent l="0" t="0" r="8890"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98" cstate="print">
                      <a:extLst>
                        <a:ext uri="{28A0092B-C50C-407E-A947-70E740481C1C}">
                          <a14:useLocalDpi xmlns:a14="http://schemas.microsoft.com/office/drawing/2010/main" val="0"/>
                        </a:ext>
                      </a:extLst>
                    </a:blip>
                    <a:stretch>
                      <a:fillRect/>
                    </a:stretch>
                  </pic:blipFill>
                  <pic:spPr bwMode="auto">
                    <a:xfrm>
                      <a:off x="0" y="0"/>
                      <a:ext cx="5398662" cy="3990316"/>
                    </a:xfrm>
                    <a:prstGeom prst="rect">
                      <a:avLst/>
                    </a:prstGeom>
                    <a:noFill/>
                  </pic:spPr>
                </pic:pic>
              </a:graphicData>
            </a:graphic>
          </wp:inline>
        </w:drawing>
      </w:r>
    </w:p>
    <w:p w14:paraId="16D915FA" w14:textId="2A8D123C" w:rsidR="00D6124B" w:rsidRPr="006D4DC5" w:rsidRDefault="006D4DC5" w:rsidP="006D4DC5">
      <w:pPr>
        <w:pStyle w:val="Legend"/>
        <w:jc w:val="center"/>
        <w:rPr>
          <w:rFonts w:ascii="Arial" w:hAnsi="Arial" w:cs="Arial"/>
          <w:i w:val="0"/>
          <w:iCs w:val="0"/>
          <w:sz w:val="22"/>
          <w:szCs w:val="22"/>
          <w:lang w:val="it-IT" w:eastAsia="ro-RO"/>
        </w:rPr>
      </w:pPr>
      <w:bookmarkStart w:id="173" w:name="_Toc68361151"/>
      <w:bookmarkStart w:id="174" w:name="_Toc140744482"/>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5</w:t>
      </w:r>
      <w:r w:rsidRPr="0001072E">
        <w:rPr>
          <w:rFonts w:ascii="Arial" w:hAnsi="Arial" w:cs="Arial"/>
          <w:sz w:val="22"/>
          <w:szCs w:val="22"/>
        </w:rPr>
        <w:fldChar w:fldCharType="end"/>
      </w:r>
      <w:r w:rsidRPr="0001072E">
        <w:rPr>
          <w:rFonts w:ascii="Arial" w:hAnsi="Arial" w:cs="Arial"/>
          <w:sz w:val="22"/>
          <w:szCs w:val="22"/>
        </w:rPr>
        <w:t xml:space="preserve"> </w:t>
      </w:r>
      <w:r w:rsidR="007437EF" w:rsidRPr="0001072E">
        <w:rPr>
          <w:rFonts w:ascii="Arial" w:hAnsi="Arial" w:cs="Arial"/>
          <w:sz w:val="22"/>
          <w:szCs w:val="22"/>
        </w:rPr>
        <w:t xml:space="preserve">-  </w:t>
      </w:r>
      <w:r w:rsidR="007437EF" w:rsidRPr="0001072E">
        <w:rPr>
          <w:rFonts w:ascii="Arial" w:hAnsi="Arial" w:cs="Arial"/>
          <w:i w:val="0"/>
          <w:iCs w:val="0"/>
          <w:sz w:val="22"/>
          <w:szCs w:val="22"/>
        </w:rPr>
        <w:t>Rețeaua de drumuri în funcție de Numărul de benzi</w:t>
      </w:r>
      <w:bookmarkEnd w:id="173"/>
      <w:bookmarkEnd w:id="174"/>
    </w:p>
    <w:p w14:paraId="212CE167" w14:textId="77777777" w:rsidR="007437EF" w:rsidRPr="007437EF" w:rsidRDefault="007437EF" w:rsidP="00154D40">
      <w:pPr>
        <w:widowControl w:val="0"/>
        <w:suppressAutoHyphens/>
        <w:spacing w:after="0" w:line="276" w:lineRule="auto"/>
        <w:jc w:val="both"/>
        <w:rPr>
          <w:rFonts w:ascii="Arial" w:hAnsi="Arial" w:cs="Arial"/>
          <w:bCs/>
          <w:kern w:val="1"/>
          <w:lang w:val="ro-RO" w:eastAsia="hi-IN" w:bidi="hi-IN"/>
        </w:rPr>
      </w:pPr>
      <w:r w:rsidRPr="007437EF">
        <w:rPr>
          <w:rFonts w:ascii="Arial" w:hAnsi="Arial" w:cs="Arial"/>
          <w:bCs/>
          <w:kern w:val="1"/>
          <w:lang w:val="ro-RO" w:eastAsia="hi-IN" w:bidi="hi-IN"/>
        </w:rPr>
        <w:t xml:space="preserve">Figura de mai jos prezintă modul de detaliere a intersectiilor si a retelei stradale din </w:t>
      </w:r>
      <w:r w:rsidR="008F22F2">
        <w:rPr>
          <w:rFonts w:ascii="Arial" w:hAnsi="Arial" w:cs="Arial"/>
          <w:bCs/>
          <w:kern w:val="1"/>
          <w:lang w:val="ro-RO" w:eastAsia="hi-IN" w:bidi="hi-IN"/>
        </w:rPr>
        <w:t>orașul Horezu</w:t>
      </w:r>
      <w:r w:rsidRPr="007437EF">
        <w:rPr>
          <w:rFonts w:ascii="Arial" w:hAnsi="Arial" w:cs="Arial"/>
          <w:bCs/>
          <w:kern w:val="1"/>
          <w:lang w:val="ro-RO" w:eastAsia="hi-IN" w:bidi="hi-IN"/>
        </w:rPr>
        <w:t>. Principalele intersecții cum ar fi intersectiile semaforizate, sensurile giratorii și inclusiv capacitatea benzii și timpii de semaforizare la nivel micro așa cum se arată mai jos.</w:t>
      </w:r>
      <w:r w:rsidRPr="007437EF" w:rsidDel="00E159FF">
        <w:rPr>
          <w:rFonts w:ascii="Arial" w:hAnsi="Arial" w:cs="Arial"/>
          <w:bCs/>
          <w:kern w:val="1"/>
          <w:lang w:val="ro-RO" w:eastAsia="hi-IN" w:bidi="hi-IN"/>
        </w:rPr>
        <w:t xml:space="preserve"> </w:t>
      </w:r>
    </w:p>
    <w:p w14:paraId="51CFEE21" w14:textId="77777777" w:rsidR="007437EF" w:rsidRDefault="00655DD6" w:rsidP="00655DD6">
      <w:pPr>
        <w:jc w:val="center"/>
        <w:rPr>
          <w:lang w:val="it-IT" w:eastAsia="ro-RO"/>
        </w:rPr>
      </w:pPr>
      <w:r w:rsidRPr="005B6E1D">
        <w:rPr>
          <w:noProof/>
        </w:rPr>
        <w:lastRenderedPageBreak/>
        <w:drawing>
          <wp:inline distT="0" distB="0" distL="0" distR="0" wp14:anchorId="6704DED0" wp14:editId="40E4CA46">
            <wp:extent cx="5343993" cy="3759958"/>
            <wp:effectExtent l="0" t="0" r="9525"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pic:cNvPicPr>
                      <a:picLocks noChangeAspect="1" noChangeArrowheads="1"/>
                    </pic:cNvPicPr>
                  </pic:nvPicPr>
                  <pic:blipFill>
                    <a:blip r:embed="rId99" cstate="print">
                      <a:extLst>
                        <a:ext uri="{28A0092B-C50C-407E-A947-70E740481C1C}">
                          <a14:useLocalDpi xmlns:a14="http://schemas.microsoft.com/office/drawing/2010/main" val="0"/>
                        </a:ext>
                      </a:extLst>
                    </a:blip>
                    <a:stretch>
                      <a:fillRect/>
                    </a:stretch>
                  </pic:blipFill>
                  <pic:spPr bwMode="auto">
                    <a:xfrm>
                      <a:off x="0" y="0"/>
                      <a:ext cx="5359260" cy="3770700"/>
                    </a:xfrm>
                    <a:prstGeom prst="rect">
                      <a:avLst/>
                    </a:prstGeom>
                    <a:noFill/>
                  </pic:spPr>
                </pic:pic>
              </a:graphicData>
            </a:graphic>
          </wp:inline>
        </w:drawing>
      </w:r>
    </w:p>
    <w:p w14:paraId="30EF4D4B" w14:textId="6420D3D7" w:rsidR="00154D40" w:rsidRPr="00D15C24" w:rsidRDefault="006D4DC5" w:rsidP="006D4DC5">
      <w:pPr>
        <w:pStyle w:val="Legend"/>
        <w:jc w:val="center"/>
        <w:rPr>
          <w:rFonts w:ascii="Arial" w:hAnsi="Arial" w:cs="Arial"/>
          <w:sz w:val="22"/>
          <w:szCs w:val="22"/>
          <w:lang w:val="it-IT" w:eastAsia="ro-RO"/>
        </w:rPr>
      </w:pPr>
      <w:bookmarkStart w:id="175" w:name="_Toc68361152"/>
      <w:bookmarkStart w:id="176" w:name="_Toc140744483"/>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6</w:t>
      </w:r>
      <w:r w:rsidRPr="0001072E">
        <w:rPr>
          <w:rFonts w:ascii="Arial" w:hAnsi="Arial" w:cs="Arial"/>
          <w:sz w:val="22"/>
          <w:szCs w:val="22"/>
        </w:rPr>
        <w:fldChar w:fldCharType="end"/>
      </w:r>
      <w:r w:rsidRPr="0001072E">
        <w:rPr>
          <w:rFonts w:ascii="Arial" w:hAnsi="Arial" w:cs="Arial"/>
          <w:sz w:val="22"/>
          <w:szCs w:val="22"/>
        </w:rPr>
        <w:t xml:space="preserve"> </w:t>
      </w:r>
      <w:r w:rsidR="00154D40" w:rsidRPr="0001072E">
        <w:rPr>
          <w:rFonts w:ascii="Arial" w:hAnsi="Arial" w:cs="Arial"/>
          <w:sz w:val="22"/>
          <w:szCs w:val="22"/>
        </w:rPr>
        <w:t xml:space="preserve">- </w:t>
      </w:r>
      <w:r w:rsidR="00154D40" w:rsidRPr="0001072E">
        <w:rPr>
          <w:rFonts w:ascii="Arial" w:hAnsi="Arial" w:cs="Arial"/>
          <w:i w:val="0"/>
          <w:iCs w:val="0"/>
          <w:sz w:val="22"/>
          <w:szCs w:val="22"/>
        </w:rPr>
        <w:t>Rețeaua de drumuri în funcție de tipul drumului</w:t>
      </w:r>
      <w:bookmarkEnd w:id="175"/>
      <w:r w:rsidR="00655DD6" w:rsidRPr="0001072E">
        <w:rPr>
          <w:rFonts w:ascii="Arial" w:hAnsi="Arial" w:cs="Arial"/>
          <w:i w:val="0"/>
          <w:iCs w:val="0"/>
          <w:sz w:val="22"/>
          <w:szCs w:val="22"/>
        </w:rPr>
        <w:t xml:space="preserve"> </w:t>
      </w:r>
      <w:r w:rsidR="00655DD6" w:rsidRPr="0001072E">
        <w:rPr>
          <w:rFonts w:ascii="Arial" w:hAnsi="Arial" w:cs="Arial"/>
          <w:i w:val="0"/>
          <w:iCs w:val="0"/>
          <w:sz w:val="22"/>
          <w:szCs w:val="22"/>
          <w:lang w:val="ro-RO"/>
        </w:rPr>
        <w:t>– vedere de ansamblu</w:t>
      </w:r>
      <w:bookmarkEnd w:id="176"/>
    </w:p>
    <w:p w14:paraId="6774FFE6" w14:textId="77777777" w:rsidR="00154D40" w:rsidRDefault="00655DD6" w:rsidP="00655DD6">
      <w:pPr>
        <w:jc w:val="center"/>
        <w:rPr>
          <w:lang w:val="it-IT" w:eastAsia="ro-RO"/>
        </w:rPr>
      </w:pPr>
      <w:r>
        <w:rPr>
          <w:noProof/>
        </w:rPr>
        <w:drawing>
          <wp:inline distT="0" distB="0" distL="0" distR="0" wp14:anchorId="2430AACF" wp14:editId="7A1596B2">
            <wp:extent cx="5377218" cy="3783375"/>
            <wp:effectExtent l="0" t="0" r="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392925" cy="3794426"/>
                    </a:xfrm>
                    <a:prstGeom prst="rect">
                      <a:avLst/>
                    </a:prstGeom>
                  </pic:spPr>
                </pic:pic>
              </a:graphicData>
            </a:graphic>
          </wp:inline>
        </w:drawing>
      </w:r>
    </w:p>
    <w:p w14:paraId="0E8A099A" w14:textId="7A91CBBD" w:rsidR="00154D40" w:rsidRPr="006D4DC5" w:rsidRDefault="006D4DC5" w:rsidP="006D4DC5">
      <w:pPr>
        <w:pStyle w:val="Legend"/>
        <w:jc w:val="center"/>
        <w:rPr>
          <w:rFonts w:ascii="Arial" w:hAnsi="Arial" w:cs="Arial"/>
          <w:i w:val="0"/>
          <w:iCs w:val="0"/>
          <w:sz w:val="22"/>
          <w:szCs w:val="22"/>
        </w:rPr>
      </w:pPr>
      <w:bookmarkStart w:id="177" w:name="_Toc68361153"/>
      <w:bookmarkStart w:id="178" w:name="_Toc140744484"/>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7</w:t>
      </w:r>
      <w:r w:rsidRPr="0001072E">
        <w:rPr>
          <w:rFonts w:ascii="Arial" w:hAnsi="Arial" w:cs="Arial"/>
          <w:sz w:val="22"/>
          <w:szCs w:val="22"/>
        </w:rPr>
        <w:fldChar w:fldCharType="end"/>
      </w:r>
      <w:r w:rsidRPr="0001072E">
        <w:rPr>
          <w:rFonts w:ascii="Arial" w:hAnsi="Arial" w:cs="Arial"/>
          <w:sz w:val="22"/>
          <w:szCs w:val="22"/>
        </w:rPr>
        <w:t xml:space="preserve"> </w:t>
      </w:r>
      <w:r w:rsidR="00154D40" w:rsidRPr="0001072E">
        <w:rPr>
          <w:rFonts w:ascii="Arial" w:hAnsi="Arial" w:cs="Arial"/>
          <w:sz w:val="22"/>
          <w:szCs w:val="22"/>
        </w:rPr>
        <w:t xml:space="preserve">- </w:t>
      </w:r>
      <w:bookmarkEnd w:id="177"/>
      <w:r w:rsidR="00655DD6" w:rsidRPr="0001072E">
        <w:rPr>
          <w:rFonts w:ascii="Arial" w:hAnsi="Arial" w:cs="Arial"/>
          <w:i w:val="0"/>
          <w:iCs w:val="0"/>
          <w:sz w:val="22"/>
          <w:szCs w:val="22"/>
          <w:lang w:val="ro-RO"/>
        </w:rPr>
        <w:t>Rețeaua de drumuri în funcție de tipul drumului – detaliu</w:t>
      </w:r>
      <w:bookmarkEnd w:id="178"/>
    </w:p>
    <w:p w14:paraId="609F13C3" w14:textId="77777777" w:rsidR="00154D40" w:rsidRDefault="00655DD6" w:rsidP="00655DD6">
      <w:pPr>
        <w:jc w:val="center"/>
      </w:pPr>
      <w:r w:rsidRPr="005B6E1D">
        <w:rPr>
          <w:noProof/>
        </w:rPr>
        <w:lastRenderedPageBreak/>
        <w:drawing>
          <wp:inline distT="0" distB="0" distL="0" distR="0" wp14:anchorId="29432027" wp14:editId="0F354AD1">
            <wp:extent cx="5354737" cy="3957851"/>
            <wp:effectExtent l="0" t="0" r="0" b="508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bwMode="auto">
                    <a:xfrm>
                      <a:off x="0" y="0"/>
                      <a:ext cx="5372616" cy="3971066"/>
                    </a:xfrm>
                    <a:prstGeom prst="rect">
                      <a:avLst/>
                    </a:prstGeom>
                    <a:noFill/>
                  </pic:spPr>
                </pic:pic>
              </a:graphicData>
            </a:graphic>
          </wp:inline>
        </w:drawing>
      </w:r>
    </w:p>
    <w:p w14:paraId="51C6103B" w14:textId="3030F19B" w:rsidR="00655DD6" w:rsidRPr="005B6E1D" w:rsidRDefault="00655DD6" w:rsidP="00655DD6">
      <w:pPr>
        <w:pStyle w:val="Legend"/>
        <w:jc w:val="center"/>
        <w:rPr>
          <w:rFonts w:ascii="Arial" w:hAnsi="Arial" w:cs="Arial"/>
          <w:i w:val="0"/>
          <w:iCs w:val="0"/>
          <w:sz w:val="22"/>
          <w:szCs w:val="22"/>
          <w:lang w:val="ro-RO"/>
        </w:rPr>
      </w:pPr>
      <w:r w:rsidRPr="0001072E">
        <w:rPr>
          <w:rFonts w:ascii="Arial" w:hAnsi="Arial" w:cs="Arial"/>
          <w:sz w:val="22"/>
          <w:szCs w:val="22"/>
          <w:lang w:val="ro-RO"/>
        </w:rPr>
        <w:t xml:space="preserve">Fig. I.3. </w:t>
      </w:r>
      <w:r w:rsidRPr="0001072E">
        <w:rPr>
          <w:rFonts w:ascii="Arial" w:hAnsi="Arial" w:cs="Arial"/>
          <w:sz w:val="22"/>
          <w:szCs w:val="22"/>
          <w:lang w:val="ro-RO"/>
        </w:rPr>
        <w:fldChar w:fldCharType="begin"/>
      </w:r>
      <w:r w:rsidRPr="0001072E">
        <w:rPr>
          <w:rFonts w:ascii="Arial" w:hAnsi="Arial" w:cs="Arial"/>
          <w:sz w:val="22"/>
          <w:szCs w:val="22"/>
          <w:lang w:val="ro-RO"/>
        </w:rPr>
        <w:instrText xml:space="preserve"> SEQ Fig._I.3. \* ARABIC </w:instrText>
      </w:r>
      <w:r w:rsidRPr="0001072E">
        <w:rPr>
          <w:rFonts w:ascii="Arial" w:hAnsi="Arial" w:cs="Arial"/>
          <w:sz w:val="22"/>
          <w:szCs w:val="22"/>
          <w:lang w:val="ro-RO"/>
        </w:rPr>
        <w:fldChar w:fldCharType="separate"/>
      </w:r>
      <w:r w:rsidR="00BB181C">
        <w:rPr>
          <w:rFonts w:ascii="Arial" w:hAnsi="Arial" w:cs="Arial"/>
          <w:noProof/>
          <w:sz w:val="22"/>
          <w:szCs w:val="22"/>
          <w:lang w:val="ro-RO"/>
        </w:rPr>
        <w:t>1</w:t>
      </w:r>
      <w:r w:rsidRPr="0001072E">
        <w:rPr>
          <w:rFonts w:ascii="Arial" w:hAnsi="Arial" w:cs="Arial"/>
          <w:sz w:val="22"/>
          <w:szCs w:val="22"/>
          <w:lang w:val="ro-RO"/>
        </w:rPr>
        <w:fldChar w:fldCharType="end"/>
      </w:r>
      <w:r w:rsidRPr="0001072E">
        <w:rPr>
          <w:rFonts w:ascii="Arial" w:hAnsi="Arial" w:cs="Arial"/>
          <w:sz w:val="22"/>
          <w:szCs w:val="22"/>
          <w:lang w:val="ro-RO"/>
        </w:rPr>
        <w:t xml:space="preserve"> - </w:t>
      </w:r>
      <w:r w:rsidRPr="0001072E">
        <w:rPr>
          <w:rFonts w:ascii="Arial" w:hAnsi="Arial" w:cs="Arial"/>
          <w:i w:val="0"/>
          <w:iCs w:val="0"/>
          <w:sz w:val="22"/>
          <w:szCs w:val="22"/>
          <w:lang w:val="ro-RO"/>
        </w:rPr>
        <w:t>Detalierea rețelei stradale și a intersecțiilor din Horezu – exemplu</w:t>
      </w:r>
    </w:p>
    <w:p w14:paraId="366992F5" w14:textId="77777777" w:rsidR="00655DD6" w:rsidRPr="005B6E1D" w:rsidRDefault="00655DD6" w:rsidP="00655DD6">
      <w:pPr>
        <w:rPr>
          <w:lang w:val="ro-RO"/>
        </w:rPr>
      </w:pPr>
      <w:r>
        <w:rPr>
          <w:noProof/>
        </w:rPr>
        <w:drawing>
          <wp:inline distT="0" distB="0" distL="0" distR="0" wp14:anchorId="0A83F4D1" wp14:editId="0353B4F2">
            <wp:extent cx="5760720" cy="3693160"/>
            <wp:effectExtent l="0" t="0" r="0" b="254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02">
                      <a:extLst>
                        <a:ext uri="{28A0092B-C50C-407E-A947-70E740481C1C}">
                          <a14:useLocalDpi xmlns:a14="http://schemas.microsoft.com/office/drawing/2010/main" val="0"/>
                        </a:ext>
                      </a:extLst>
                    </a:blip>
                    <a:stretch>
                      <a:fillRect/>
                    </a:stretch>
                  </pic:blipFill>
                  <pic:spPr>
                    <a:xfrm>
                      <a:off x="0" y="0"/>
                      <a:ext cx="5760720" cy="3693160"/>
                    </a:xfrm>
                    <a:prstGeom prst="rect">
                      <a:avLst/>
                    </a:prstGeom>
                  </pic:spPr>
                </pic:pic>
              </a:graphicData>
            </a:graphic>
          </wp:inline>
        </w:drawing>
      </w:r>
    </w:p>
    <w:p w14:paraId="0B378D96" w14:textId="772C8040" w:rsidR="00154D40" w:rsidRPr="006D4DC5" w:rsidRDefault="00655DD6" w:rsidP="00655DD6">
      <w:pPr>
        <w:pStyle w:val="Legend"/>
        <w:jc w:val="center"/>
        <w:rPr>
          <w:rFonts w:ascii="Arial" w:hAnsi="Arial" w:cs="Arial"/>
          <w:i w:val="0"/>
          <w:iCs w:val="0"/>
          <w:sz w:val="22"/>
          <w:szCs w:val="22"/>
        </w:rPr>
      </w:pPr>
      <w:bookmarkStart w:id="179" w:name="_Toc68361154"/>
      <w:r w:rsidRPr="0001072E">
        <w:rPr>
          <w:rFonts w:ascii="Arial" w:hAnsi="Arial" w:cs="Arial"/>
          <w:sz w:val="22"/>
          <w:szCs w:val="22"/>
          <w:lang w:val="ro-RO"/>
        </w:rPr>
        <w:t xml:space="preserve">Fig. I.3. </w:t>
      </w:r>
      <w:r w:rsidRPr="0001072E">
        <w:rPr>
          <w:rFonts w:ascii="Arial" w:hAnsi="Arial" w:cs="Arial"/>
          <w:sz w:val="22"/>
          <w:szCs w:val="22"/>
          <w:lang w:val="ro-RO"/>
        </w:rPr>
        <w:fldChar w:fldCharType="begin"/>
      </w:r>
      <w:r w:rsidRPr="0001072E">
        <w:rPr>
          <w:rFonts w:ascii="Arial" w:hAnsi="Arial" w:cs="Arial"/>
          <w:sz w:val="22"/>
          <w:szCs w:val="22"/>
          <w:lang w:val="ro-RO"/>
        </w:rPr>
        <w:instrText xml:space="preserve"> SEQ Fig._I.3. \* ARABIC </w:instrText>
      </w:r>
      <w:r w:rsidRPr="0001072E">
        <w:rPr>
          <w:rFonts w:ascii="Arial" w:hAnsi="Arial" w:cs="Arial"/>
          <w:sz w:val="22"/>
          <w:szCs w:val="22"/>
          <w:lang w:val="ro-RO"/>
        </w:rPr>
        <w:fldChar w:fldCharType="separate"/>
      </w:r>
      <w:r w:rsidR="00BB181C">
        <w:rPr>
          <w:rFonts w:ascii="Arial" w:hAnsi="Arial" w:cs="Arial"/>
          <w:noProof/>
          <w:sz w:val="22"/>
          <w:szCs w:val="22"/>
          <w:lang w:val="ro-RO"/>
        </w:rPr>
        <w:t>2</w:t>
      </w:r>
      <w:r w:rsidRPr="0001072E">
        <w:rPr>
          <w:rFonts w:ascii="Arial" w:hAnsi="Arial" w:cs="Arial"/>
          <w:sz w:val="22"/>
          <w:szCs w:val="22"/>
          <w:lang w:val="ro-RO"/>
        </w:rPr>
        <w:fldChar w:fldCharType="end"/>
      </w:r>
      <w:r w:rsidRPr="0001072E">
        <w:rPr>
          <w:rFonts w:ascii="Arial" w:hAnsi="Arial" w:cs="Arial"/>
          <w:sz w:val="22"/>
          <w:szCs w:val="22"/>
          <w:lang w:val="ro-RO"/>
        </w:rPr>
        <w:t xml:space="preserve"> - </w:t>
      </w:r>
      <w:r w:rsidRPr="0001072E">
        <w:rPr>
          <w:rFonts w:ascii="Arial" w:hAnsi="Arial" w:cs="Arial"/>
          <w:i w:val="0"/>
          <w:iCs w:val="0"/>
          <w:sz w:val="22"/>
          <w:szCs w:val="22"/>
          <w:lang w:val="ro-RO"/>
        </w:rPr>
        <w:t>Detalierea geometriei unei intersecții și a ciclurilor de semaforizare pentru Horezu – exemplu</w:t>
      </w:r>
      <w:bookmarkEnd w:id="179"/>
    </w:p>
    <w:p w14:paraId="6D3F5907" w14:textId="77777777" w:rsidR="00240B38" w:rsidRDefault="00240B38" w:rsidP="00240B38">
      <w:pPr>
        <w:widowControl w:val="0"/>
        <w:suppressAutoHyphens/>
        <w:spacing w:after="0" w:line="276" w:lineRule="auto"/>
        <w:jc w:val="both"/>
        <w:rPr>
          <w:rFonts w:ascii="Arial" w:hAnsi="Arial" w:cs="Arial"/>
          <w:bCs/>
          <w:iCs/>
          <w:kern w:val="1"/>
          <w:lang w:val="ro-RO" w:eastAsia="hi-IN" w:bidi="hi-IN"/>
        </w:rPr>
      </w:pPr>
    </w:p>
    <w:p w14:paraId="324761D2" w14:textId="77777777" w:rsidR="00240B38" w:rsidRPr="00240B38" w:rsidRDefault="00240B38" w:rsidP="00240B38">
      <w:pPr>
        <w:widowControl w:val="0"/>
        <w:suppressAutoHyphens/>
        <w:spacing w:after="0" w:line="276" w:lineRule="auto"/>
        <w:jc w:val="both"/>
        <w:rPr>
          <w:rFonts w:ascii="Arial" w:hAnsi="Arial" w:cs="Arial"/>
          <w:kern w:val="1"/>
          <w:lang w:val="ro-RO" w:eastAsia="hi-IN" w:bidi="hi-IN"/>
        </w:rPr>
      </w:pPr>
      <w:r w:rsidRPr="00240B38">
        <w:rPr>
          <w:rFonts w:ascii="Arial" w:hAnsi="Arial" w:cs="Arial"/>
          <w:b/>
          <w:i/>
          <w:kern w:val="1"/>
          <w:lang w:val="ro-RO" w:eastAsia="hi-IN" w:bidi="hi-IN"/>
        </w:rPr>
        <w:lastRenderedPageBreak/>
        <w:t>Acoperirea temporală</w:t>
      </w:r>
    </w:p>
    <w:p w14:paraId="77808DED" w14:textId="77777777" w:rsidR="00655DD6" w:rsidRPr="006862DB" w:rsidRDefault="00655DD6" w:rsidP="00655DD6">
      <w:pPr>
        <w:widowControl w:val="0"/>
        <w:suppressAutoHyphens/>
        <w:spacing w:after="0" w:line="276" w:lineRule="auto"/>
        <w:jc w:val="both"/>
        <w:rPr>
          <w:rFonts w:ascii="Arial" w:hAnsi="Arial" w:cs="Arial"/>
          <w:kern w:val="1"/>
          <w:lang w:val="ro-RO" w:eastAsia="hi-IN" w:bidi="hi-IN"/>
        </w:rPr>
      </w:pPr>
      <w:r w:rsidRPr="005B6E1D">
        <w:rPr>
          <w:rFonts w:ascii="Arial" w:hAnsi="Arial" w:cs="Arial"/>
          <w:kern w:val="1"/>
          <w:lang w:val="ro-RO" w:eastAsia="hi-IN" w:bidi="hi-IN"/>
        </w:rPr>
        <w:t xml:space="preserve">Modelul de transport a </w:t>
      </w:r>
      <w:r w:rsidRPr="006862DB">
        <w:rPr>
          <w:rFonts w:ascii="Arial" w:hAnsi="Arial" w:cs="Arial"/>
          <w:kern w:val="1"/>
          <w:lang w:val="ro-RO" w:eastAsia="hi-IN" w:bidi="hi-IN"/>
        </w:rPr>
        <w:t>fost realizat pentru modelarea următoarelor variante temporale:</w:t>
      </w:r>
    </w:p>
    <w:p w14:paraId="19D1B8BB" w14:textId="77777777" w:rsidR="00655DD6" w:rsidRPr="006862DB" w:rsidRDefault="00655DD6" w:rsidP="00655DD6">
      <w:pPr>
        <w:widowControl w:val="0"/>
        <w:numPr>
          <w:ilvl w:val="0"/>
          <w:numId w:val="55"/>
        </w:numPr>
        <w:tabs>
          <w:tab w:val="num" w:pos="360"/>
        </w:tabs>
        <w:suppressAutoHyphens/>
        <w:spacing w:after="0" w:line="276" w:lineRule="auto"/>
        <w:ind w:left="360"/>
        <w:contextualSpacing/>
        <w:jc w:val="both"/>
        <w:rPr>
          <w:rFonts w:ascii="Arial" w:eastAsia="Times New Roman" w:hAnsi="Arial" w:cs="Arial"/>
          <w:lang w:val="ro-RO" w:eastAsia="zh-CN"/>
        </w:rPr>
      </w:pPr>
      <w:r w:rsidRPr="006862DB">
        <w:rPr>
          <w:rFonts w:ascii="Arial" w:eastAsia="Times New Roman" w:hAnsi="Arial" w:cs="Arial"/>
          <w:lang w:val="ro-RO" w:eastAsia="zh-CN"/>
        </w:rPr>
        <w:t>Ora de vârf de dimineață (07.30 – 08.30)</w:t>
      </w:r>
    </w:p>
    <w:p w14:paraId="1DA8ACB0" w14:textId="77777777" w:rsidR="00655DD6" w:rsidRPr="006862DB" w:rsidRDefault="00655DD6" w:rsidP="00655DD6">
      <w:pPr>
        <w:widowControl w:val="0"/>
        <w:numPr>
          <w:ilvl w:val="0"/>
          <w:numId w:val="55"/>
        </w:numPr>
        <w:tabs>
          <w:tab w:val="num" w:pos="360"/>
        </w:tabs>
        <w:suppressAutoHyphens/>
        <w:spacing w:after="0" w:line="276" w:lineRule="auto"/>
        <w:ind w:left="360"/>
        <w:contextualSpacing/>
        <w:jc w:val="both"/>
        <w:rPr>
          <w:rFonts w:ascii="Arial" w:eastAsia="Times New Roman" w:hAnsi="Arial" w:cs="Arial"/>
          <w:lang w:val="ro-RO" w:eastAsia="zh-CN"/>
        </w:rPr>
      </w:pPr>
      <w:r w:rsidRPr="006862DB">
        <w:rPr>
          <w:rFonts w:ascii="Arial" w:eastAsia="Times New Roman" w:hAnsi="Arial" w:cs="Arial"/>
          <w:lang w:val="ro-RO" w:eastAsia="zh-CN"/>
        </w:rPr>
        <w:t>Ora de vârf de după-amiază (15.30 – 16.30)</w:t>
      </w:r>
    </w:p>
    <w:p w14:paraId="6AF58BBD" w14:textId="77777777" w:rsidR="00655DD6" w:rsidRPr="005B6E1D" w:rsidRDefault="00655DD6" w:rsidP="00655DD6">
      <w:pPr>
        <w:widowControl w:val="0"/>
        <w:numPr>
          <w:ilvl w:val="0"/>
          <w:numId w:val="55"/>
        </w:numPr>
        <w:tabs>
          <w:tab w:val="num" w:pos="360"/>
        </w:tabs>
        <w:suppressAutoHyphens/>
        <w:spacing w:after="0" w:line="276" w:lineRule="auto"/>
        <w:ind w:left="360"/>
        <w:contextualSpacing/>
        <w:jc w:val="both"/>
        <w:rPr>
          <w:rFonts w:ascii="Arial" w:eastAsia="Times New Roman" w:hAnsi="Arial" w:cs="Arial"/>
          <w:lang w:val="ro-RO" w:eastAsia="zh-CN"/>
        </w:rPr>
      </w:pPr>
      <w:r w:rsidRPr="005B6E1D">
        <w:rPr>
          <w:rFonts w:ascii="Arial" w:eastAsia="Times New Roman" w:hAnsi="Arial" w:cs="Arial"/>
          <w:lang w:val="ro-RO" w:eastAsia="zh-CN"/>
        </w:rPr>
        <w:t>Media zilnică</w:t>
      </w:r>
    </w:p>
    <w:p w14:paraId="68FECD84" w14:textId="77777777" w:rsidR="00240B38" w:rsidRPr="00240B38" w:rsidRDefault="00240B38" w:rsidP="00240B38">
      <w:pPr>
        <w:widowControl w:val="0"/>
        <w:suppressAutoHyphens/>
        <w:spacing w:after="0" w:line="276" w:lineRule="auto"/>
        <w:jc w:val="both"/>
        <w:rPr>
          <w:rFonts w:ascii="Arial" w:hAnsi="Arial" w:cs="Arial"/>
          <w:kern w:val="1"/>
          <w:lang w:val="ro-RO" w:eastAsia="hi-IN" w:bidi="hi-IN"/>
        </w:rPr>
      </w:pPr>
    </w:p>
    <w:p w14:paraId="121F2489" w14:textId="77777777" w:rsidR="00240B38" w:rsidRPr="00240B38" w:rsidRDefault="00240B38" w:rsidP="00240B38">
      <w:pPr>
        <w:widowControl w:val="0"/>
        <w:suppressAutoHyphens/>
        <w:spacing w:after="0" w:line="276" w:lineRule="auto"/>
        <w:jc w:val="both"/>
        <w:rPr>
          <w:rFonts w:ascii="Arial" w:hAnsi="Arial" w:cs="Arial"/>
          <w:b/>
          <w:i/>
          <w:kern w:val="1"/>
          <w:lang w:val="es-ES" w:eastAsia="hi-IN" w:bidi="hi-IN"/>
        </w:rPr>
      </w:pPr>
      <w:r w:rsidRPr="00240B38">
        <w:rPr>
          <w:rFonts w:ascii="Arial" w:hAnsi="Arial" w:cs="Arial"/>
          <w:kern w:val="1"/>
          <w:lang w:val="es-ES" w:eastAsia="hi-IN" w:bidi="hi-IN"/>
        </w:rPr>
        <w:t>Orele de vârf de dimineață, respectiv după-amiază, au fost determinate pe baza măsurătorilor de trafic efectuate în cadrul activității de culegere a datelor.</w:t>
      </w:r>
    </w:p>
    <w:p w14:paraId="4FC95E9B" w14:textId="77777777" w:rsidR="00240B38" w:rsidRPr="00240B38" w:rsidRDefault="00240B38" w:rsidP="00240B38">
      <w:pPr>
        <w:widowControl w:val="0"/>
        <w:suppressAutoHyphens/>
        <w:spacing w:after="0" w:line="276" w:lineRule="auto"/>
        <w:jc w:val="both"/>
        <w:rPr>
          <w:rFonts w:ascii="Arial" w:hAnsi="Arial" w:cs="Arial"/>
          <w:b/>
          <w:i/>
          <w:kern w:val="1"/>
          <w:lang w:val="es-ES" w:eastAsia="hi-IN" w:bidi="hi-IN"/>
        </w:rPr>
      </w:pPr>
    </w:p>
    <w:p w14:paraId="7B3F3B0B" w14:textId="77777777" w:rsidR="00240B38" w:rsidRPr="00240B38" w:rsidRDefault="00240B38" w:rsidP="00240B38">
      <w:pPr>
        <w:widowControl w:val="0"/>
        <w:suppressAutoHyphens/>
        <w:spacing w:after="0" w:line="276" w:lineRule="auto"/>
        <w:jc w:val="both"/>
        <w:rPr>
          <w:rFonts w:ascii="Arial" w:hAnsi="Arial" w:cs="Arial"/>
          <w:kern w:val="1"/>
          <w:lang w:val="es-ES" w:eastAsia="hi-IN" w:bidi="hi-IN"/>
        </w:rPr>
      </w:pPr>
      <w:r w:rsidRPr="00240B38">
        <w:rPr>
          <w:rFonts w:ascii="Arial" w:hAnsi="Arial" w:cs="Arial"/>
          <w:b/>
          <w:i/>
          <w:kern w:val="1"/>
          <w:lang w:val="es-ES" w:eastAsia="hi-IN" w:bidi="hi-IN"/>
        </w:rPr>
        <w:t>Anii de referință</w:t>
      </w:r>
    </w:p>
    <w:p w14:paraId="43C913ED" w14:textId="77777777" w:rsidR="00240B38" w:rsidRPr="00240B38" w:rsidRDefault="00240B38" w:rsidP="00240B38">
      <w:pPr>
        <w:widowControl w:val="0"/>
        <w:suppressAutoHyphens/>
        <w:spacing w:after="0" w:line="276" w:lineRule="auto"/>
        <w:jc w:val="both"/>
        <w:rPr>
          <w:rFonts w:ascii="Arial" w:hAnsi="Arial" w:cs="Arial"/>
          <w:kern w:val="1"/>
          <w:lang w:val="es-ES" w:eastAsia="hi-IN" w:bidi="hi-IN"/>
        </w:rPr>
      </w:pPr>
      <w:r w:rsidRPr="00240B38">
        <w:rPr>
          <w:rFonts w:ascii="Arial" w:hAnsi="Arial" w:cs="Arial"/>
          <w:kern w:val="1"/>
          <w:lang w:val="es-ES" w:eastAsia="hi-IN" w:bidi="hi-IN"/>
        </w:rPr>
        <w:t>Anul de bază pentru care a fost realizat mod</w:t>
      </w:r>
      <w:r w:rsidR="00655DD6">
        <w:rPr>
          <w:rFonts w:ascii="Arial" w:hAnsi="Arial" w:cs="Arial"/>
          <w:kern w:val="1"/>
          <w:lang w:val="es-ES" w:eastAsia="hi-IN" w:bidi="hi-IN"/>
        </w:rPr>
        <w:t>elul de transport este anul 2021</w:t>
      </w:r>
      <w:r w:rsidRPr="00240B38">
        <w:rPr>
          <w:rFonts w:ascii="Arial" w:hAnsi="Arial" w:cs="Arial"/>
          <w:kern w:val="1"/>
          <w:lang w:val="es-ES" w:eastAsia="hi-IN" w:bidi="hi-IN"/>
        </w:rPr>
        <w:t>.</w:t>
      </w:r>
    </w:p>
    <w:p w14:paraId="140E398D" w14:textId="77777777" w:rsidR="00240B38" w:rsidRPr="00240B38" w:rsidRDefault="00240B38" w:rsidP="00240B38">
      <w:pPr>
        <w:widowControl w:val="0"/>
        <w:suppressAutoHyphens/>
        <w:spacing w:after="0" w:line="276" w:lineRule="auto"/>
        <w:jc w:val="both"/>
        <w:rPr>
          <w:rFonts w:ascii="Arial" w:hAnsi="Arial" w:cs="Arial"/>
          <w:kern w:val="1"/>
          <w:lang w:val="es-ES" w:eastAsia="hi-IN" w:bidi="hi-IN"/>
        </w:rPr>
      </w:pPr>
      <w:r w:rsidRPr="00240B38">
        <w:rPr>
          <w:rFonts w:ascii="Arial" w:hAnsi="Arial" w:cs="Arial"/>
          <w:kern w:val="1"/>
          <w:lang w:val="es-ES" w:eastAsia="hi-IN" w:bidi="hi-IN"/>
        </w:rPr>
        <w:t>Anii de perspectivă pentru care au fost realizate prognoze, în funcție de scenariile aplicate (detaliate în capitolele următoare) sunt:</w:t>
      </w:r>
    </w:p>
    <w:p w14:paraId="00C29085" w14:textId="77777777" w:rsidR="00240B38" w:rsidRPr="00240B38" w:rsidRDefault="00240B38" w:rsidP="006B613A">
      <w:pPr>
        <w:widowControl w:val="0"/>
        <w:numPr>
          <w:ilvl w:val="0"/>
          <w:numId w:val="55"/>
        </w:numPr>
        <w:tabs>
          <w:tab w:val="num" w:pos="360"/>
        </w:tabs>
        <w:suppressAutoHyphens/>
        <w:spacing w:after="0" w:line="276" w:lineRule="auto"/>
        <w:ind w:left="360"/>
        <w:contextualSpacing/>
        <w:jc w:val="both"/>
        <w:rPr>
          <w:rFonts w:ascii="Arial" w:eastAsia="Times New Roman" w:hAnsi="Arial" w:cs="Arial"/>
          <w:lang w:val="x-none" w:eastAsia="zh-CN"/>
        </w:rPr>
      </w:pPr>
      <w:r w:rsidRPr="00240B38">
        <w:rPr>
          <w:rFonts w:ascii="Arial" w:eastAsia="Times New Roman" w:hAnsi="Arial" w:cs="Arial"/>
          <w:lang w:val="x-none" w:eastAsia="zh-CN"/>
        </w:rPr>
        <w:t xml:space="preserve">Anul de prognoză pe termen </w:t>
      </w:r>
      <w:r w:rsidRPr="00240B38">
        <w:rPr>
          <w:rFonts w:ascii="Arial" w:eastAsia="Times New Roman" w:hAnsi="Arial" w:cs="Arial"/>
          <w:lang w:val="es-ES" w:eastAsia="zh-CN"/>
        </w:rPr>
        <w:t>scurt</w:t>
      </w:r>
      <w:r w:rsidRPr="00240B38">
        <w:rPr>
          <w:rFonts w:ascii="Arial" w:eastAsia="Times New Roman" w:hAnsi="Arial" w:cs="Arial"/>
          <w:lang w:val="x-none" w:eastAsia="zh-CN"/>
        </w:rPr>
        <w:t>: 20</w:t>
      </w:r>
      <w:r w:rsidRPr="00240B38">
        <w:rPr>
          <w:rFonts w:ascii="Arial" w:eastAsia="Times New Roman" w:hAnsi="Arial" w:cs="Arial"/>
          <w:lang w:val="es-ES" w:eastAsia="zh-CN"/>
        </w:rPr>
        <w:t>2</w:t>
      </w:r>
      <w:r w:rsidR="002C25E1">
        <w:rPr>
          <w:rFonts w:ascii="Arial" w:eastAsia="Times New Roman" w:hAnsi="Arial" w:cs="Arial"/>
          <w:lang w:val="es-ES" w:eastAsia="zh-CN"/>
        </w:rPr>
        <w:t>3</w:t>
      </w:r>
    </w:p>
    <w:p w14:paraId="432EFDEE" w14:textId="77777777" w:rsidR="00240B38" w:rsidRPr="00240B38" w:rsidRDefault="00240B38" w:rsidP="006B613A">
      <w:pPr>
        <w:widowControl w:val="0"/>
        <w:numPr>
          <w:ilvl w:val="0"/>
          <w:numId w:val="55"/>
        </w:numPr>
        <w:tabs>
          <w:tab w:val="num" w:pos="360"/>
        </w:tabs>
        <w:suppressAutoHyphens/>
        <w:spacing w:after="0" w:line="276" w:lineRule="auto"/>
        <w:ind w:left="360"/>
        <w:contextualSpacing/>
        <w:jc w:val="both"/>
        <w:rPr>
          <w:rFonts w:ascii="Arial" w:eastAsia="Times New Roman" w:hAnsi="Arial" w:cs="Arial"/>
          <w:lang w:val="x-none" w:eastAsia="zh-CN"/>
        </w:rPr>
      </w:pPr>
      <w:r w:rsidRPr="00240B38">
        <w:rPr>
          <w:rFonts w:ascii="Arial" w:eastAsia="Times New Roman" w:hAnsi="Arial" w:cs="Arial"/>
          <w:lang w:val="x-none" w:eastAsia="zh-CN"/>
        </w:rPr>
        <w:t>Anul de prognoză pe termen mediu: 202</w:t>
      </w:r>
      <w:r w:rsidRPr="00240B38">
        <w:rPr>
          <w:rFonts w:ascii="Arial" w:eastAsia="Times New Roman" w:hAnsi="Arial" w:cs="Arial"/>
          <w:lang w:eastAsia="zh-CN"/>
        </w:rPr>
        <w:t>7</w:t>
      </w:r>
    </w:p>
    <w:p w14:paraId="7CD07577" w14:textId="77777777" w:rsidR="00240B38" w:rsidRPr="00240B38" w:rsidRDefault="00240B38" w:rsidP="006B613A">
      <w:pPr>
        <w:widowControl w:val="0"/>
        <w:numPr>
          <w:ilvl w:val="0"/>
          <w:numId w:val="55"/>
        </w:numPr>
        <w:tabs>
          <w:tab w:val="num" w:pos="360"/>
        </w:tabs>
        <w:suppressAutoHyphens/>
        <w:spacing w:after="0" w:line="276" w:lineRule="auto"/>
        <w:ind w:left="360"/>
        <w:contextualSpacing/>
        <w:jc w:val="both"/>
        <w:rPr>
          <w:rFonts w:ascii="Calibri" w:eastAsia="Times New Roman" w:hAnsi="Calibri" w:cs="Times New Roman"/>
          <w:lang w:val="x-none" w:eastAsia="zh-CN"/>
        </w:rPr>
      </w:pPr>
      <w:r w:rsidRPr="00240B38">
        <w:rPr>
          <w:rFonts w:ascii="Arial" w:eastAsia="Times New Roman" w:hAnsi="Arial" w:cs="Arial"/>
          <w:lang w:val="x-none" w:eastAsia="zh-CN"/>
        </w:rPr>
        <w:t>Anul de prognoză pe termen lung: 203</w:t>
      </w:r>
      <w:r w:rsidRPr="00240B38">
        <w:rPr>
          <w:rFonts w:ascii="Arial" w:eastAsia="Times New Roman" w:hAnsi="Arial" w:cs="Arial"/>
          <w:lang w:eastAsia="zh-CN"/>
        </w:rPr>
        <w:t>5</w:t>
      </w:r>
      <w:r w:rsidRPr="00240B38">
        <w:rPr>
          <w:rFonts w:ascii="Arial" w:eastAsia="Times New Roman" w:hAnsi="Arial" w:cs="Arial"/>
          <w:lang w:val="x-none" w:eastAsia="zh-CN"/>
        </w:rPr>
        <w:t>.</w:t>
      </w:r>
    </w:p>
    <w:p w14:paraId="64375203" w14:textId="77777777" w:rsidR="00240B38" w:rsidRDefault="00240B38" w:rsidP="00154D40"/>
    <w:p w14:paraId="395219A1" w14:textId="77777777" w:rsidR="00D70AEA" w:rsidRPr="00EF59AE" w:rsidRDefault="00D70AEA" w:rsidP="003430C5">
      <w:pPr>
        <w:pStyle w:val="Titlu2"/>
        <w:rPr>
          <w:rFonts w:ascii="Arial" w:eastAsia="Times New Roman" w:hAnsi="Arial" w:cs="Arial"/>
          <w:b/>
          <w:bCs/>
          <w:color w:val="auto"/>
          <w:lang w:val="it-IT" w:eastAsia="ro-RO"/>
        </w:rPr>
      </w:pPr>
      <w:bookmarkStart w:id="180" w:name="_Toc61264897"/>
      <w:bookmarkStart w:id="181" w:name="_Toc142039073"/>
      <w:r w:rsidRPr="00EF59AE">
        <w:rPr>
          <w:rFonts w:ascii="Arial" w:eastAsia="Times New Roman" w:hAnsi="Arial" w:cs="Arial"/>
          <w:b/>
          <w:bCs/>
          <w:color w:val="auto"/>
          <w:lang w:val="it-IT" w:eastAsia="ro-RO"/>
        </w:rPr>
        <w:t>I.3.2</w:t>
      </w:r>
      <w:r w:rsidR="003430C5" w:rsidRPr="00EF59AE">
        <w:rPr>
          <w:rFonts w:ascii="Arial" w:eastAsia="Times New Roman" w:hAnsi="Arial" w:cs="Arial"/>
          <w:b/>
          <w:bCs/>
          <w:color w:val="auto"/>
          <w:lang w:val="it-IT" w:eastAsia="ro-RO"/>
        </w:rPr>
        <w:t xml:space="preserve"> </w:t>
      </w:r>
      <w:r w:rsidRPr="00EF59AE">
        <w:rPr>
          <w:rFonts w:ascii="Arial" w:eastAsia="Times New Roman" w:hAnsi="Arial" w:cs="Arial"/>
          <w:b/>
          <w:bCs/>
          <w:color w:val="auto"/>
          <w:lang w:val="it-IT" w:eastAsia="ro-RO"/>
        </w:rPr>
        <w:t>Colectarea de date</w:t>
      </w:r>
      <w:bookmarkEnd w:id="180"/>
      <w:bookmarkEnd w:id="181"/>
    </w:p>
    <w:p w14:paraId="1DADF57B" w14:textId="77777777" w:rsidR="00D6124B" w:rsidRPr="00EF59AE" w:rsidRDefault="00D6124B" w:rsidP="00AA156A">
      <w:pPr>
        <w:widowControl w:val="0"/>
        <w:suppressAutoHyphens/>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Colectarea și analiza datelor de intrare reprezintă un proces complex, acesta stând la baza fundamentării analizei situației existente, precum și a identificării și definirii problemelor, ambele etape intermediare obligatorii pentru identificarea pachetelor de măsuri și stabilirii listei de proiecte.</w:t>
      </w:r>
    </w:p>
    <w:p w14:paraId="35AF27CE" w14:textId="77777777" w:rsidR="00D6124B" w:rsidRPr="00EF59AE" w:rsidRDefault="00D6124B" w:rsidP="00AA156A">
      <w:pPr>
        <w:widowControl w:val="0"/>
        <w:suppressAutoHyphens/>
        <w:spacing w:after="0" w:line="276" w:lineRule="auto"/>
        <w:jc w:val="both"/>
        <w:rPr>
          <w:rFonts w:ascii="Arial" w:hAnsi="Arial" w:cs="Arial"/>
          <w:kern w:val="1"/>
          <w:lang w:val="es-ES" w:eastAsia="hi-IN" w:bidi="hi-IN"/>
        </w:rPr>
      </w:pPr>
    </w:p>
    <w:p w14:paraId="1B96E58D" w14:textId="77777777" w:rsidR="00D6124B" w:rsidRPr="00EF59AE" w:rsidRDefault="00D6124B" w:rsidP="00AA156A">
      <w:pPr>
        <w:widowControl w:val="0"/>
        <w:suppressAutoHyphens/>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 xml:space="preserve">Activitatea de colectare a datelor pentru elaborarea modelului de transport pentru </w:t>
      </w:r>
      <w:r w:rsidR="00664266">
        <w:rPr>
          <w:rFonts w:ascii="Arial" w:hAnsi="Arial" w:cs="Arial"/>
          <w:kern w:val="1"/>
          <w:lang w:val="es-ES" w:eastAsia="hi-IN" w:bidi="hi-IN"/>
        </w:rPr>
        <w:t>ora</w:t>
      </w:r>
      <w:r w:rsidR="00664266">
        <w:rPr>
          <w:rFonts w:ascii="Arial" w:hAnsi="Arial" w:cs="Arial"/>
          <w:kern w:val="1"/>
          <w:lang w:val="ro-RO" w:eastAsia="hi-IN" w:bidi="hi-IN"/>
        </w:rPr>
        <w:t>şul Horezu</w:t>
      </w:r>
      <w:r w:rsidRPr="00EF59AE">
        <w:rPr>
          <w:rFonts w:ascii="Arial" w:hAnsi="Arial" w:cs="Arial"/>
          <w:kern w:val="1"/>
          <w:lang w:val="es-ES" w:eastAsia="hi-IN" w:bidi="hi-IN"/>
        </w:rPr>
        <w:t xml:space="preserve"> a inclus următoarele:</w:t>
      </w:r>
    </w:p>
    <w:p w14:paraId="06F1124A" w14:textId="77777777" w:rsidR="00D6124B" w:rsidRPr="00EF59AE" w:rsidRDefault="00D6124B" w:rsidP="006B613A">
      <w:pPr>
        <w:widowControl w:val="0"/>
        <w:numPr>
          <w:ilvl w:val="0"/>
          <w:numId w:val="55"/>
        </w:numPr>
        <w:suppressAutoHyphens/>
        <w:spacing w:after="0" w:line="276" w:lineRule="auto"/>
        <w:ind w:left="567" w:hanging="207"/>
        <w:contextualSpacing/>
        <w:jc w:val="both"/>
        <w:rPr>
          <w:rFonts w:ascii="Arial" w:eastAsia="Times New Roman" w:hAnsi="Arial" w:cs="Arial"/>
          <w:lang w:val="x-none" w:eastAsia="zh-CN"/>
        </w:rPr>
      </w:pPr>
      <w:r w:rsidRPr="00EF59AE">
        <w:rPr>
          <w:rFonts w:ascii="Arial" w:eastAsia="Times New Roman" w:hAnsi="Arial" w:cs="Arial"/>
          <w:lang w:val="x-none" w:eastAsia="zh-CN"/>
        </w:rPr>
        <w:t xml:space="preserve">Analiza documentelor existente: </w:t>
      </w:r>
      <w:r w:rsidRPr="00EF59AE">
        <w:rPr>
          <w:rFonts w:ascii="Arial" w:eastAsia="Times New Roman" w:hAnsi="Arial" w:cs="Arial"/>
          <w:lang w:eastAsia="zh-CN"/>
        </w:rPr>
        <w:t xml:space="preserve">PUG, </w:t>
      </w:r>
      <w:r w:rsidRPr="00EF59AE">
        <w:rPr>
          <w:rFonts w:ascii="Arial" w:eastAsia="Times New Roman" w:hAnsi="Arial" w:cs="Arial"/>
          <w:lang w:val="x-none" w:eastAsia="zh-CN"/>
        </w:rPr>
        <w:t>studii de fezabilitate și alte documente semnificative.</w:t>
      </w:r>
    </w:p>
    <w:p w14:paraId="69575FF8" w14:textId="77777777" w:rsidR="00D6124B" w:rsidRPr="00EF59AE" w:rsidRDefault="00D6124B" w:rsidP="006B613A">
      <w:pPr>
        <w:widowControl w:val="0"/>
        <w:numPr>
          <w:ilvl w:val="0"/>
          <w:numId w:val="55"/>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Anchete la domiciliu</w:t>
      </w:r>
    </w:p>
    <w:p w14:paraId="5809AB0C" w14:textId="77777777" w:rsidR="00D6124B" w:rsidRPr="00EF59AE" w:rsidRDefault="00D6124B" w:rsidP="006B613A">
      <w:pPr>
        <w:widowControl w:val="0"/>
        <w:numPr>
          <w:ilvl w:val="0"/>
          <w:numId w:val="55"/>
        </w:numPr>
        <w:suppressAutoHyphens/>
        <w:spacing w:after="0" w:line="276" w:lineRule="auto"/>
        <w:contextualSpacing/>
        <w:jc w:val="both"/>
        <w:rPr>
          <w:rFonts w:ascii="Arial" w:eastAsia="Times New Roman" w:hAnsi="Arial" w:cs="Arial"/>
          <w:lang w:val="x-none" w:eastAsia="zh-CN"/>
        </w:rPr>
      </w:pPr>
      <w:r w:rsidRPr="00EF59AE">
        <w:rPr>
          <w:rFonts w:ascii="Arial" w:eastAsia="Times New Roman" w:hAnsi="Arial" w:cs="Arial"/>
          <w:lang w:val="x-none" w:eastAsia="zh-CN"/>
        </w:rPr>
        <w:t>Recensăminte de trafic</w:t>
      </w:r>
    </w:p>
    <w:p w14:paraId="05F3D22A" w14:textId="77777777" w:rsidR="00D6124B" w:rsidRPr="00EF59AE" w:rsidRDefault="00D6124B" w:rsidP="00AA156A">
      <w:pPr>
        <w:widowControl w:val="0"/>
        <w:suppressAutoHyphens/>
        <w:spacing w:after="0" w:line="276" w:lineRule="auto"/>
        <w:jc w:val="both"/>
        <w:rPr>
          <w:rFonts w:ascii="Arial" w:hAnsi="Arial" w:cs="Arial"/>
          <w:kern w:val="1"/>
          <w:lang w:val="ro-RO" w:eastAsia="hi-IN" w:bidi="hi-IN"/>
        </w:rPr>
      </w:pPr>
    </w:p>
    <w:p w14:paraId="75D250D3" w14:textId="77777777" w:rsidR="00D6124B" w:rsidRPr="00EF59AE" w:rsidRDefault="00D6124B" w:rsidP="00AA156A">
      <w:pPr>
        <w:widowControl w:val="0"/>
        <w:suppressAutoHyphens/>
        <w:spacing w:after="0" w:line="276" w:lineRule="auto"/>
        <w:jc w:val="both"/>
        <w:rPr>
          <w:rFonts w:ascii="Arial" w:hAnsi="Arial" w:cs="Arial"/>
          <w:kern w:val="1"/>
          <w:lang w:val="es-ES" w:eastAsia="hi-IN" w:bidi="hi-IN"/>
        </w:rPr>
      </w:pPr>
      <w:r w:rsidRPr="00EF59AE">
        <w:rPr>
          <w:rFonts w:ascii="Arial" w:hAnsi="Arial" w:cs="Arial"/>
          <w:kern w:val="1"/>
          <w:lang w:val="es-ES" w:eastAsia="hi-IN" w:bidi="hi-IN"/>
        </w:rPr>
        <w:t xml:space="preserve">Datele obținute pentru dezvoltarea, calibrarea și validarea modelului de transport pentru </w:t>
      </w:r>
      <w:r w:rsidR="00664266">
        <w:rPr>
          <w:rFonts w:ascii="Arial" w:hAnsi="Arial" w:cs="Arial"/>
          <w:kern w:val="1"/>
          <w:lang w:val="es-ES" w:eastAsia="hi-IN" w:bidi="hi-IN"/>
        </w:rPr>
        <w:t>oraşul Horezu</w:t>
      </w:r>
      <w:r w:rsidRPr="00EF59AE">
        <w:rPr>
          <w:rFonts w:ascii="Arial" w:hAnsi="Arial" w:cs="Arial"/>
          <w:kern w:val="1"/>
          <w:lang w:val="es-ES" w:eastAsia="hi-IN" w:bidi="hi-IN"/>
        </w:rPr>
        <w:t xml:space="preserve"> sunt următoarele:</w:t>
      </w:r>
    </w:p>
    <w:p w14:paraId="20739801" w14:textId="77777777" w:rsidR="00D6124B" w:rsidRPr="00EF59AE" w:rsidRDefault="00D6124B" w:rsidP="006B613A">
      <w:pPr>
        <w:widowControl w:val="0"/>
        <w:numPr>
          <w:ilvl w:val="0"/>
          <w:numId w:val="63"/>
        </w:numPr>
        <w:suppressAutoHyphens/>
        <w:spacing w:after="0" w:line="276" w:lineRule="auto"/>
        <w:jc w:val="both"/>
        <w:rPr>
          <w:rFonts w:ascii="Arial" w:hAnsi="Arial" w:cs="Arial"/>
          <w:kern w:val="1"/>
          <w:lang w:val="ro-RO" w:eastAsia="hi-IN" w:bidi="hi-IN"/>
        </w:rPr>
      </w:pPr>
      <w:r w:rsidRPr="00EF59AE">
        <w:rPr>
          <w:rFonts w:ascii="Arial" w:hAnsi="Arial" w:cs="Arial"/>
          <w:kern w:val="1"/>
          <w:lang w:val="ro-RO" w:eastAsia="hi-IN" w:bidi="hi-IN"/>
        </w:rPr>
        <w:t>Date privind infrastructura rutieră</w:t>
      </w:r>
    </w:p>
    <w:p w14:paraId="0D9B20D4" w14:textId="77777777" w:rsidR="00D6124B" w:rsidRPr="000C5B2B" w:rsidRDefault="00D6124B" w:rsidP="006B613A">
      <w:pPr>
        <w:widowControl w:val="0"/>
        <w:numPr>
          <w:ilvl w:val="0"/>
          <w:numId w:val="65"/>
        </w:numPr>
        <w:suppressAutoHyphens/>
        <w:spacing w:after="0" w:line="276" w:lineRule="auto"/>
        <w:ind w:left="1701"/>
        <w:jc w:val="both"/>
        <w:rPr>
          <w:rFonts w:ascii="Arial" w:hAnsi="Arial" w:cs="Arial"/>
          <w:kern w:val="1"/>
          <w:lang w:val="ro-RO" w:eastAsia="hi-IN" w:bidi="hi-IN"/>
        </w:rPr>
      </w:pPr>
      <w:r w:rsidRPr="000C5B2B">
        <w:rPr>
          <w:rFonts w:ascii="Arial" w:hAnsi="Arial" w:cs="Arial"/>
          <w:kern w:val="1"/>
          <w:lang w:val="ro-RO" w:eastAsia="hi-IN" w:bidi="hi-IN"/>
        </w:rPr>
        <w:t xml:space="preserve">Modelul de transport realizat </w:t>
      </w:r>
      <w:r w:rsidR="000C5B2B" w:rsidRPr="000C5B2B">
        <w:rPr>
          <w:rFonts w:ascii="Arial" w:hAnsi="Arial" w:cs="Arial"/>
          <w:kern w:val="1"/>
          <w:lang w:val="ro-RO" w:eastAsia="hi-IN" w:bidi="hi-IN"/>
        </w:rPr>
        <w:t>de elaborator</w:t>
      </w:r>
    </w:p>
    <w:p w14:paraId="13471CEA" w14:textId="77777777" w:rsidR="00D6124B" w:rsidRPr="00EF59AE" w:rsidRDefault="00D6124B" w:rsidP="006B613A">
      <w:pPr>
        <w:widowControl w:val="0"/>
        <w:numPr>
          <w:ilvl w:val="0"/>
          <w:numId w:val="65"/>
        </w:numPr>
        <w:suppressAutoHyphens/>
        <w:spacing w:after="0" w:line="276" w:lineRule="auto"/>
        <w:ind w:left="1701"/>
        <w:jc w:val="both"/>
        <w:rPr>
          <w:rFonts w:ascii="Arial" w:hAnsi="Arial" w:cs="Arial"/>
          <w:kern w:val="1"/>
          <w:lang w:val="es-ES" w:eastAsia="hi-IN" w:bidi="hi-IN"/>
        </w:rPr>
      </w:pPr>
      <w:r w:rsidRPr="00EF59AE">
        <w:rPr>
          <w:rFonts w:ascii="Arial" w:hAnsi="Arial" w:cs="Arial"/>
          <w:kern w:val="1"/>
          <w:lang w:val="es-ES" w:eastAsia="hi-IN" w:bidi="hi-IN"/>
        </w:rPr>
        <w:t xml:space="preserve">Clasificarea reţelelor de drumuri şi capacitatea de circulaţie </w:t>
      </w:r>
    </w:p>
    <w:p w14:paraId="2A2D03D1" w14:textId="77777777" w:rsidR="00D6124B" w:rsidRPr="00EF59AE" w:rsidRDefault="00D6124B" w:rsidP="006B613A">
      <w:pPr>
        <w:widowControl w:val="0"/>
        <w:numPr>
          <w:ilvl w:val="0"/>
          <w:numId w:val="63"/>
        </w:numPr>
        <w:suppressAutoHyphens/>
        <w:spacing w:after="0" w:line="276" w:lineRule="auto"/>
        <w:jc w:val="both"/>
        <w:rPr>
          <w:rFonts w:ascii="Arial" w:hAnsi="Arial" w:cs="Arial"/>
          <w:kern w:val="1"/>
          <w:lang w:val="ro-RO" w:eastAsia="hi-IN" w:bidi="hi-IN"/>
        </w:rPr>
      </w:pPr>
      <w:r w:rsidRPr="00EF59AE">
        <w:rPr>
          <w:rFonts w:ascii="Arial" w:hAnsi="Arial" w:cs="Arial"/>
          <w:kern w:val="1"/>
          <w:lang w:val="ro-RO" w:eastAsia="hi-IN" w:bidi="hi-IN"/>
        </w:rPr>
        <w:t>Date privind reglementările de circulație</w:t>
      </w:r>
    </w:p>
    <w:p w14:paraId="1BF8355B" w14:textId="77777777" w:rsidR="00D6124B" w:rsidRPr="00EF59AE" w:rsidRDefault="00D6124B" w:rsidP="006B613A">
      <w:pPr>
        <w:widowControl w:val="0"/>
        <w:numPr>
          <w:ilvl w:val="0"/>
          <w:numId w:val="66"/>
        </w:numPr>
        <w:suppressAutoHyphens/>
        <w:spacing w:after="0" w:line="276" w:lineRule="auto"/>
        <w:ind w:left="1701"/>
        <w:jc w:val="both"/>
        <w:rPr>
          <w:rFonts w:ascii="Arial" w:hAnsi="Arial" w:cs="Arial"/>
          <w:kern w:val="1"/>
          <w:lang w:val="es-ES" w:eastAsia="hi-IN" w:bidi="hi-IN"/>
        </w:rPr>
      </w:pPr>
      <w:r w:rsidRPr="00EF59AE">
        <w:rPr>
          <w:rFonts w:ascii="Arial" w:hAnsi="Arial" w:cs="Arial"/>
          <w:kern w:val="1"/>
          <w:lang w:val="es-ES" w:eastAsia="hi-IN" w:bidi="hi-IN"/>
        </w:rPr>
        <w:t>sensuri unice, viraje permise, priorități etc.</w:t>
      </w:r>
    </w:p>
    <w:p w14:paraId="1C23A207" w14:textId="77777777" w:rsidR="00D6124B" w:rsidRPr="00EF59AE" w:rsidRDefault="00D6124B" w:rsidP="006B613A">
      <w:pPr>
        <w:widowControl w:val="0"/>
        <w:numPr>
          <w:ilvl w:val="0"/>
          <w:numId w:val="63"/>
        </w:numPr>
        <w:suppressAutoHyphens/>
        <w:spacing w:after="0" w:line="276" w:lineRule="auto"/>
        <w:jc w:val="both"/>
        <w:rPr>
          <w:rFonts w:ascii="Arial" w:hAnsi="Arial" w:cs="Arial"/>
          <w:kern w:val="1"/>
          <w:lang w:val="ro-RO" w:eastAsia="hi-IN" w:bidi="hi-IN"/>
        </w:rPr>
      </w:pPr>
      <w:r w:rsidRPr="00EF59AE">
        <w:rPr>
          <w:rFonts w:ascii="Arial" w:hAnsi="Arial" w:cs="Arial"/>
          <w:kern w:val="1"/>
          <w:lang w:val="ro-RO" w:eastAsia="hi-IN" w:bidi="hi-IN"/>
        </w:rPr>
        <w:t>Date privind traficul:</w:t>
      </w:r>
    </w:p>
    <w:p w14:paraId="1E0BA257" w14:textId="77777777" w:rsidR="00D6124B" w:rsidRPr="00EF59AE" w:rsidRDefault="00D6124B" w:rsidP="006B613A">
      <w:pPr>
        <w:widowControl w:val="0"/>
        <w:numPr>
          <w:ilvl w:val="0"/>
          <w:numId w:val="64"/>
        </w:numPr>
        <w:suppressAutoHyphens/>
        <w:spacing w:after="0" w:line="276" w:lineRule="auto"/>
        <w:ind w:left="1701"/>
        <w:jc w:val="both"/>
        <w:rPr>
          <w:rFonts w:ascii="Arial" w:hAnsi="Arial" w:cs="Arial"/>
          <w:kern w:val="1"/>
          <w:lang w:val="ro-RO" w:eastAsia="hi-IN" w:bidi="hi-IN"/>
        </w:rPr>
      </w:pPr>
      <w:r w:rsidRPr="00EF59AE">
        <w:rPr>
          <w:rFonts w:ascii="Arial" w:hAnsi="Arial" w:cs="Arial"/>
          <w:kern w:val="1"/>
          <w:lang w:val="ro-RO" w:eastAsia="hi-IN" w:bidi="hi-IN"/>
        </w:rPr>
        <w:t>Date privind fluxurile de intrare/ieșire din localitate, rezultate din recensamintele de circulatie</w:t>
      </w:r>
    </w:p>
    <w:p w14:paraId="3F5F9522" w14:textId="77777777" w:rsidR="00D6124B" w:rsidRPr="00EF59AE" w:rsidRDefault="00D6124B" w:rsidP="006B613A">
      <w:pPr>
        <w:widowControl w:val="0"/>
        <w:numPr>
          <w:ilvl w:val="0"/>
          <w:numId w:val="64"/>
        </w:numPr>
        <w:suppressAutoHyphens/>
        <w:spacing w:after="0" w:line="276" w:lineRule="auto"/>
        <w:ind w:left="1701"/>
        <w:jc w:val="both"/>
        <w:rPr>
          <w:rFonts w:ascii="Arial" w:hAnsi="Arial" w:cs="Arial"/>
          <w:kern w:val="1"/>
          <w:lang w:val="ro-RO" w:eastAsia="hi-IN" w:bidi="hi-IN"/>
        </w:rPr>
      </w:pPr>
      <w:r w:rsidRPr="00EF59AE">
        <w:rPr>
          <w:rFonts w:ascii="Arial" w:hAnsi="Arial" w:cs="Arial"/>
          <w:kern w:val="1"/>
          <w:lang w:val="ro-RO" w:eastAsia="hi-IN" w:bidi="hi-IN"/>
        </w:rPr>
        <w:t>Deplasările mărfurilor cu vehicule din categoriile HGV și LGV</w:t>
      </w:r>
    </w:p>
    <w:p w14:paraId="50E915AA" w14:textId="77777777" w:rsidR="00D6124B" w:rsidRPr="00EF59AE" w:rsidRDefault="00D6124B" w:rsidP="006B613A">
      <w:pPr>
        <w:widowControl w:val="0"/>
        <w:numPr>
          <w:ilvl w:val="0"/>
          <w:numId w:val="64"/>
        </w:numPr>
        <w:suppressAutoHyphens/>
        <w:spacing w:after="0" w:line="276" w:lineRule="auto"/>
        <w:ind w:left="1701"/>
        <w:jc w:val="both"/>
        <w:rPr>
          <w:rFonts w:ascii="Arial" w:hAnsi="Arial" w:cs="Arial"/>
          <w:kern w:val="1"/>
          <w:lang w:val="es-ES" w:eastAsia="hi-IN" w:bidi="hi-IN"/>
        </w:rPr>
      </w:pPr>
      <w:r w:rsidRPr="00EF59AE">
        <w:rPr>
          <w:rFonts w:ascii="Arial" w:hAnsi="Arial" w:cs="Arial"/>
          <w:kern w:val="1"/>
          <w:lang w:val="es-ES" w:eastAsia="hi-IN" w:bidi="hi-IN"/>
        </w:rPr>
        <w:t>Recensăminte de trafic pe segmente de drum și în intersecții</w:t>
      </w:r>
    </w:p>
    <w:p w14:paraId="18F0EC35" w14:textId="77777777" w:rsidR="00D6124B" w:rsidRPr="00EF59AE" w:rsidRDefault="00D6124B" w:rsidP="006B613A">
      <w:pPr>
        <w:widowControl w:val="0"/>
        <w:numPr>
          <w:ilvl w:val="0"/>
          <w:numId w:val="63"/>
        </w:numPr>
        <w:suppressAutoHyphens/>
        <w:spacing w:after="0" w:line="276" w:lineRule="auto"/>
        <w:jc w:val="both"/>
        <w:rPr>
          <w:rFonts w:ascii="Arial" w:hAnsi="Arial" w:cs="Arial"/>
          <w:kern w:val="1"/>
          <w:lang w:val="ro-RO" w:eastAsia="hi-IN" w:bidi="hi-IN"/>
        </w:rPr>
      </w:pPr>
      <w:r w:rsidRPr="00EF59AE">
        <w:rPr>
          <w:rFonts w:ascii="Arial" w:hAnsi="Arial" w:cs="Arial"/>
          <w:kern w:val="1"/>
          <w:lang w:val="ro-RO" w:eastAsia="hi-IN" w:bidi="hi-IN"/>
        </w:rPr>
        <w:t>Date generale asupra mobilității persoanelor:</w:t>
      </w:r>
    </w:p>
    <w:p w14:paraId="6DA271BC" w14:textId="77777777" w:rsidR="00D6124B" w:rsidRPr="00EF59AE" w:rsidRDefault="00D6124B" w:rsidP="006B613A">
      <w:pPr>
        <w:widowControl w:val="0"/>
        <w:numPr>
          <w:ilvl w:val="0"/>
          <w:numId w:val="67"/>
        </w:numPr>
        <w:suppressAutoHyphens/>
        <w:spacing w:after="0" w:line="276" w:lineRule="auto"/>
        <w:ind w:left="1701"/>
        <w:jc w:val="both"/>
        <w:rPr>
          <w:rFonts w:ascii="Arial" w:hAnsi="Arial" w:cs="Arial"/>
          <w:kern w:val="1"/>
          <w:lang w:val="ro-RO" w:eastAsia="hi-IN" w:bidi="hi-IN"/>
        </w:rPr>
      </w:pPr>
      <w:r w:rsidRPr="00EF59AE">
        <w:rPr>
          <w:rFonts w:ascii="Arial" w:hAnsi="Arial" w:cs="Arial"/>
          <w:kern w:val="1"/>
          <w:lang w:val="ro-RO" w:eastAsia="hi-IN" w:bidi="hi-IN"/>
        </w:rPr>
        <w:t>Date rezultate din interviurile la domiciliu, cum ar fi: scopul călătoriei, frecvența călătoriilor, originea și destinația călătoriei, modul de transport utilizat, timpul de călătorie etc.</w:t>
      </w:r>
    </w:p>
    <w:p w14:paraId="0BF23A41" w14:textId="77777777" w:rsidR="00D6124B" w:rsidRPr="00AA156A" w:rsidRDefault="00D6124B" w:rsidP="00AA156A">
      <w:pPr>
        <w:pStyle w:val="Titlu3"/>
        <w:rPr>
          <w:rFonts w:ascii="Arial" w:hAnsi="Arial" w:cs="Arial"/>
          <w:sz w:val="24"/>
          <w:szCs w:val="24"/>
        </w:rPr>
      </w:pPr>
      <w:bookmarkStart w:id="182" w:name="__RefHeading___Toc448828034"/>
      <w:bookmarkStart w:id="183" w:name="_Toc491868818"/>
      <w:bookmarkStart w:id="184" w:name="_Toc499657546"/>
      <w:bookmarkStart w:id="185" w:name="_Toc142039074"/>
      <w:bookmarkEnd w:id="182"/>
      <w:r w:rsidRPr="00AA156A">
        <w:rPr>
          <w:rFonts w:ascii="Arial" w:hAnsi="Arial" w:cs="Arial"/>
          <w:sz w:val="24"/>
          <w:szCs w:val="24"/>
        </w:rPr>
        <w:lastRenderedPageBreak/>
        <w:t>I.3.2.1 Culegerea datelor de trafic</w:t>
      </w:r>
      <w:bookmarkEnd w:id="183"/>
      <w:bookmarkEnd w:id="184"/>
      <w:bookmarkEnd w:id="185"/>
    </w:p>
    <w:p w14:paraId="66B173F4" w14:textId="77777777" w:rsidR="00D6124B" w:rsidRPr="00AA156A" w:rsidRDefault="00D6124B" w:rsidP="00AA156A">
      <w:pPr>
        <w:suppressAutoHyphens/>
        <w:autoSpaceDE w:val="0"/>
        <w:spacing w:after="0" w:line="276" w:lineRule="auto"/>
        <w:jc w:val="both"/>
        <w:rPr>
          <w:rFonts w:ascii="EUAlbertina" w:eastAsia="Calibri" w:hAnsi="EUAlbertina" w:cs="EUAlbertina"/>
          <w:color w:val="000000"/>
          <w:lang w:val="es-ES" w:eastAsia="zh-CN"/>
        </w:rPr>
      </w:pPr>
      <w:r w:rsidRPr="00AA156A">
        <w:rPr>
          <w:rFonts w:ascii="Arial" w:eastAsia="Calibri" w:hAnsi="Arial" w:cs="Arial"/>
          <w:color w:val="000000"/>
          <w:lang w:val="es-ES" w:eastAsia="zh-CN"/>
        </w:rPr>
        <w:t xml:space="preserve">Culegerea datelor de trafic a fost realizată prin recensăminte de circulaţie pe reţeaua rutieră semnificativă şi în punctele de penetraţie în municipiu. </w:t>
      </w:r>
    </w:p>
    <w:p w14:paraId="40BA3527" w14:textId="77777777" w:rsidR="00D6124B" w:rsidRPr="00AA156A" w:rsidRDefault="00D6124B" w:rsidP="00AA156A">
      <w:pPr>
        <w:suppressAutoHyphens/>
        <w:autoSpaceDE w:val="0"/>
        <w:spacing w:after="0" w:line="276" w:lineRule="auto"/>
        <w:rPr>
          <w:rFonts w:ascii="EUAlbertina" w:eastAsia="Calibri" w:hAnsi="EUAlbertina" w:cs="EUAlbertina"/>
          <w:color w:val="000000"/>
          <w:lang w:val="es-ES" w:eastAsia="zh-CN"/>
        </w:rPr>
      </w:pPr>
    </w:p>
    <w:p w14:paraId="4295E705" w14:textId="77777777" w:rsidR="00D6124B" w:rsidRPr="00AA156A" w:rsidRDefault="00D6124B" w:rsidP="00AA156A">
      <w:pPr>
        <w:suppressAutoHyphens/>
        <w:autoSpaceDE w:val="0"/>
        <w:spacing w:after="0" w:line="276" w:lineRule="auto"/>
        <w:jc w:val="both"/>
        <w:rPr>
          <w:rFonts w:ascii="EUAlbertina" w:eastAsia="Calibri" w:hAnsi="EUAlbertina" w:cs="EUAlbertina"/>
          <w:color w:val="000000"/>
          <w:lang w:val="es-ES" w:eastAsia="zh-CN"/>
        </w:rPr>
      </w:pPr>
      <w:r w:rsidRPr="00AA156A">
        <w:rPr>
          <w:rFonts w:ascii="Arial" w:eastAsia="Calibri" w:hAnsi="Arial" w:cs="Arial"/>
          <w:color w:val="000000"/>
          <w:lang w:val="es-ES" w:eastAsia="zh-CN"/>
        </w:rPr>
        <w:t xml:space="preserve">Recensămintele de circulaţie rutieră şi măsurătorile automate oferă informaţii exacte asupra volumului şi componenţei traficului rutier, dar nu oferă informaţii asupra traseelor parcurse de vehicule. De aici rezultă că în afara unor cazuri speciale, astfel de sisteme de prospecţie nu pot da dinainte informaţii referitoare la natura şi volumul traficului care va folosi reţeaua. </w:t>
      </w:r>
    </w:p>
    <w:p w14:paraId="0BCC7A18" w14:textId="77777777" w:rsidR="00D6124B" w:rsidRPr="00AA156A" w:rsidRDefault="00D6124B" w:rsidP="00AA156A">
      <w:pPr>
        <w:suppressAutoHyphens/>
        <w:autoSpaceDE w:val="0"/>
        <w:spacing w:after="0" w:line="276" w:lineRule="auto"/>
        <w:rPr>
          <w:rFonts w:ascii="EUAlbertina" w:eastAsia="Calibri" w:hAnsi="EUAlbertina" w:cs="EUAlbertina"/>
          <w:color w:val="000000"/>
          <w:lang w:val="es-ES" w:eastAsia="zh-CN"/>
        </w:rPr>
      </w:pPr>
    </w:p>
    <w:p w14:paraId="3E74A4F0" w14:textId="77777777" w:rsidR="00D6124B" w:rsidRPr="00AA156A" w:rsidRDefault="00D6124B" w:rsidP="00AA156A">
      <w:pPr>
        <w:suppressAutoHyphens/>
        <w:autoSpaceDE w:val="0"/>
        <w:spacing w:after="0" w:line="276" w:lineRule="auto"/>
        <w:jc w:val="both"/>
        <w:rPr>
          <w:rFonts w:ascii="Arial" w:eastAsia="Calibri" w:hAnsi="Arial" w:cs="Arial"/>
          <w:color w:val="000000"/>
          <w:lang w:val="es-ES" w:eastAsia="zh-CN"/>
        </w:rPr>
      </w:pPr>
      <w:r w:rsidRPr="00AA156A">
        <w:rPr>
          <w:rFonts w:ascii="Arial" w:eastAsia="Calibri" w:hAnsi="Arial" w:cs="Arial"/>
          <w:color w:val="000000"/>
          <w:lang w:val="es-ES" w:eastAsia="zh-CN"/>
        </w:rPr>
        <w:t xml:space="preserve">Pentru a se cunoaşte caracteristicile curenţilor de circulaţie care vor utiliza reţeaua viitoare şi pentru a determina cu precizie necesităţile de dezvoltare a reţelei într-o zonă de trafic dată, este indispensabil să se cunoască următoarele informaţii: </w:t>
      </w:r>
    </w:p>
    <w:p w14:paraId="1BE86A33" w14:textId="77777777" w:rsidR="00D6124B" w:rsidRPr="00AA156A" w:rsidRDefault="00D6124B" w:rsidP="00AA156A">
      <w:pPr>
        <w:suppressAutoHyphens/>
        <w:autoSpaceDE w:val="0"/>
        <w:spacing w:after="0" w:line="276" w:lineRule="auto"/>
        <w:rPr>
          <w:rFonts w:ascii="Arial" w:eastAsia="Calibri" w:hAnsi="Arial" w:cs="Arial"/>
          <w:color w:val="000000"/>
          <w:lang w:val="es-ES" w:eastAsia="zh-CN"/>
        </w:rPr>
      </w:pPr>
      <w:r w:rsidRPr="00AA156A">
        <w:rPr>
          <w:rFonts w:ascii="Arial" w:eastAsia="Calibri" w:hAnsi="Arial" w:cs="Arial"/>
          <w:color w:val="000000"/>
          <w:lang w:val="es-ES" w:eastAsia="zh-CN"/>
        </w:rPr>
        <w:t xml:space="preserve">- curenţii de trafic actuali; </w:t>
      </w:r>
    </w:p>
    <w:p w14:paraId="3E3EE64B" w14:textId="77777777" w:rsidR="00D6124B" w:rsidRPr="00AA156A" w:rsidRDefault="00D6124B" w:rsidP="00AA156A">
      <w:pPr>
        <w:suppressAutoHyphens/>
        <w:autoSpaceDE w:val="0"/>
        <w:spacing w:after="0" w:line="276" w:lineRule="auto"/>
        <w:rPr>
          <w:rFonts w:ascii="Arial" w:eastAsia="Calibri" w:hAnsi="Arial" w:cs="Arial"/>
          <w:color w:val="000000"/>
          <w:lang w:val="es-ES" w:eastAsia="zh-CN"/>
        </w:rPr>
      </w:pPr>
      <w:r w:rsidRPr="00AA156A">
        <w:rPr>
          <w:rFonts w:ascii="Arial" w:eastAsia="Calibri" w:hAnsi="Arial" w:cs="Arial"/>
          <w:color w:val="000000"/>
          <w:lang w:val="es-ES" w:eastAsia="zh-CN"/>
        </w:rPr>
        <w:t xml:space="preserve">- date privind dezvoltarea socio-economică a teritoriului; </w:t>
      </w:r>
    </w:p>
    <w:p w14:paraId="0E1594D4" w14:textId="77777777" w:rsidR="00D6124B" w:rsidRPr="00AA156A" w:rsidRDefault="00D6124B" w:rsidP="00AA156A">
      <w:pPr>
        <w:suppressAutoHyphens/>
        <w:autoSpaceDE w:val="0"/>
        <w:spacing w:after="0" w:line="276" w:lineRule="auto"/>
        <w:rPr>
          <w:rFonts w:ascii="Arial" w:eastAsia="Calibri" w:hAnsi="Arial" w:cs="Arial"/>
          <w:color w:val="000000"/>
          <w:lang w:val="es-ES" w:eastAsia="zh-CN"/>
        </w:rPr>
      </w:pPr>
      <w:r w:rsidRPr="00AA156A">
        <w:rPr>
          <w:rFonts w:ascii="Arial" w:eastAsia="Calibri" w:hAnsi="Arial" w:cs="Arial"/>
          <w:color w:val="000000"/>
          <w:lang w:val="es-ES" w:eastAsia="zh-CN"/>
        </w:rPr>
        <w:t xml:space="preserve">- scopul deplasării; </w:t>
      </w:r>
    </w:p>
    <w:p w14:paraId="6CFB4ABA" w14:textId="77777777" w:rsidR="00D6124B" w:rsidRPr="00AA156A" w:rsidRDefault="00D6124B" w:rsidP="00AA156A">
      <w:pPr>
        <w:suppressAutoHyphens/>
        <w:autoSpaceDE w:val="0"/>
        <w:spacing w:after="0" w:line="276" w:lineRule="auto"/>
        <w:rPr>
          <w:rFonts w:ascii="EUAlbertina" w:eastAsia="Calibri" w:hAnsi="EUAlbertina" w:cs="EUAlbertina"/>
          <w:color w:val="000000"/>
          <w:lang w:val="es-ES" w:eastAsia="zh-CN"/>
        </w:rPr>
      </w:pPr>
      <w:r w:rsidRPr="00AA156A">
        <w:rPr>
          <w:rFonts w:ascii="Arial" w:eastAsia="Calibri" w:hAnsi="Arial" w:cs="Arial"/>
          <w:color w:val="000000"/>
          <w:lang w:val="es-ES" w:eastAsia="zh-CN"/>
        </w:rPr>
        <w:t>- ruta de deplasare.</w:t>
      </w:r>
    </w:p>
    <w:p w14:paraId="7F6EA6DF" w14:textId="77777777" w:rsidR="00D6124B" w:rsidRPr="00AA156A" w:rsidRDefault="00D6124B" w:rsidP="00AA156A">
      <w:pPr>
        <w:suppressAutoHyphens/>
        <w:autoSpaceDE w:val="0"/>
        <w:spacing w:after="0" w:line="276" w:lineRule="auto"/>
        <w:rPr>
          <w:rFonts w:ascii="EUAlbertina" w:eastAsia="Calibri" w:hAnsi="EUAlbertina" w:cs="EUAlbertina"/>
          <w:color w:val="000000"/>
          <w:lang w:val="es-ES" w:eastAsia="zh-CN"/>
        </w:rPr>
      </w:pPr>
    </w:p>
    <w:p w14:paraId="5304A907" w14:textId="77777777" w:rsidR="00D6124B" w:rsidRPr="00AA156A" w:rsidRDefault="00D6124B" w:rsidP="00AA156A">
      <w:pPr>
        <w:suppressAutoHyphens/>
        <w:autoSpaceDE w:val="0"/>
        <w:spacing w:after="0" w:line="276" w:lineRule="auto"/>
        <w:jc w:val="both"/>
        <w:rPr>
          <w:rFonts w:ascii="Arial" w:eastAsia="Calibri" w:hAnsi="Arial" w:cs="Arial"/>
          <w:color w:val="000000"/>
          <w:lang w:val="es-ES" w:eastAsia="zh-CN"/>
        </w:rPr>
      </w:pPr>
      <w:r w:rsidRPr="00AA156A">
        <w:rPr>
          <w:rFonts w:ascii="Arial" w:eastAsia="Calibri" w:hAnsi="Arial" w:cs="Arial"/>
          <w:color w:val="000000"/>
          <w:lang w:val="es-ES" w:eastAsia="zh-CN"/>
        </w:rPr>
        <w:t xml:space="preserve">Plecând de la aceste elemente se vor putea trasa liniile de dorinţă (traseele ideale) pentru fluxurile de circulaţie viitoare, profilul ideal al traseelor viitoare, al legăturilor cu reţeaua existentă. </w:t>
      </w:r>
    </w:p>
    <w:p w14:paraId="74D560A9" w14:textId="77777777" w:rsidR="00D6124B" w:rsidRPr="00AA156A" w:rsidRDefault="00D6124B" w:rsidP="00AA156A">
      <w:pPr>
        <w:widowControl w:val="0"/>
        <w:suppressAutoHyphens/>
        <w:spacing w:after="0" w:line="276" w:lineRule="auto"/>
        <w:jc w:val="both"/>
        <w:rPr>
          <w:rFonts w:ascii="Arial" w:hAnsi="Arial" w:cs="Arial"/>
          <w:kern w:val="1"/>
          <w:lang w:val="es-ES" w:eastAsia="hi-IN" w:bidi="hi-IN"/>
        </w:rPr>
      </w:pPr>
    </w:p>
    <w:p w14:paraId="38EA1B8C" w14:textId="77777777" w:rsidR="00D6124B" w:rsidRPr="00AA156A" w:rsidRDefault="000C5B2B" w:rsidP="00AA156A">
      <w:pPr>
        <w:widowControl w:val="0"/>
        <w:suppressAutoHyphens/>
        <w:spacing w:after="0" w:line="276" w:lineRule="auto"/>
        <w:jc w:val="both"/>
        <w:rPr>
          <w:rFonts w:ascii="Arial" w:hAnsi="Arial" w:cs="Arial"/>
          <w:kern w:val="1"/>
          <w:lang w:val="es-ES" w:eastAsia="hi-IN" w:bidi="hi-IN"/>
        </w:rPr>
      </w:pPr>
      <w:r w:rsidRPr="005B6E1D">
        <w:rPr>
          <w:rFonts w:ascii="Arial" w:hAnsi="Arial" w:cs="Arial"/>
          <w:kern w:val="1"/>
          <w:lang w:val="ro-RO" w:eastAsia="hi-IN" w:bidi="hi-IN"/>
        </w:rPr>
        <w:t>Pentru completarea modelului s-au făcut monitorizări ale fluxurilor de trafic într-un număr de 13 noduri rutiere (intersecții) si pe cele 4 penetrații, considerate ca generatoare de disfuncționalități în trafic sau care definesc graful rețelei rutiere semnificative. Grafic, repartizarea acestor puncte de măsurare a traficului este prezentată în figura de mai jos.</w:t>
      </w:r>
    </w:p>
    <w:p w14:paraId="082F8FEC" w14:textId="77777777" w:rsidR="00D6124B" w:rsidRPr="00D6124B" w:rsidRDefault="000C5B2B" w:rsidP="00D6124B">
      <w:pPr>
        <w:widowControl w:val="0"/>
        <w:suppressAutoHyphens/>
        <w:spacing w:after="0" w:line="360" w:lineRule="auto"/>
        <w:jc w:val="both"/>
        <w:rPr>
          <w:rFonts w:ascii="Arial" w:hAnsi="Arial" w:cs="Arial"/>
          <w:kern w:val="1"/>
          <w:sz w:val="20"/>
          <w:szCs w:val="24"/>
          <w:lang w:val="es-ES" w:eastAsia="hi-IN" w:bidi="hi-IN"/>
        </w:rPr>
      </w:pPr>
      <w:r w:rsidRPr="005B6E1D">
        <w:rPr>
          <w:rFonts w:ascii="Arial" w:eastAsia="Calibri" w:hAnsi="Arial" w:cs="Arial"/>
          <w:noProof/>
          <w:sz w:val="24"/>
          <w:szCs w:val="24"/>
        </w:rPr>
        <w:drawing>
          <wp:inline distT="0" distB="0" distL="0" distR="0" wp14:anchorId="3D51522D" wp14:editId="73CA4CE8">
            <wp:extent cx="6129655" cy="3475570"/>
            <wp:effectExtent l="0" t="0" r="4445" b="0"/>
            <wp:docPr id="174" name="Picture 174" descr="E:\Horezu\Materiale lucru\Recensami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Horezu\Materiale lucru\Recensaminte.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9655" cy="3475570"/>
                    </a:xfrm>
                    <a:prstGeom prst="rect">
                      <a:avLst/>
                    </a:prstGeom>
                    <a:noFill/>
                    <a:ln>
                      <a:noFill/>
                    </a:ln>
                  </pic:spPr>
                </pic:pic>
              </a:graphicData>
            </a:graphic>
          </wp:inline>
        </w:drawing>
      </w:r>
    </w:p>
    <w:p w14:paraId="23B0FDD8" w14:textId="6FEFB273" w:rsidR="00D6124B" w:rsidRPr="006D4DC5" w:rsidRDefault="006D4DC5" w:rsidP="006D4DC5">
      <w:pPr>
        <w:pStyle w:val="Legend"/>
        <w:jc w:val="center"/>
        <w:rPr>
          <w:rFonts w:ascii="Arial" w:eastAsia="Calibri" w:hAnsi="Arial" w:cs="Arial"/>
          <w:i w:val="0"/>
          <w:sz w:val="22"/>
          <w:szCs w:val="22"/>
          <w:lang w:val="es-ES" w:eastAsia="zh-CN"/>
        </w:rPr>
      </w:pPr>
      <w:bookmarkStart w:id="186" w:name="_Toc68361158"/>
      <w:bookmarkStart w:id="187" w:name="_Toc140744485"/>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8</w:t>
      </w:r>
      <w:r w:rsidRPr="0001072E">
        <w:rPr>
          <w:rFonts w:ascii="Arial" w:hAnsi="Arial" w:cs="Arial"/>
          <w:sz w:val="22"/>
          <w:szCs w:val="22"/>
        </w:rPr>
        <w:fldChar w:fldCharType="end"/>
      </w:r>
      <w:r w:rsidRPr="0001072E">
        <w:rPr>
          <w:rFonts w:ascii="Arial" w:hAnsi="Arial" w:cs="Arial"/>
          <w:sz w:val="22"/>
          <w:szCs w:val="22"/>
        </w:rPr>
        <w:t xml:space="preserve"> </w:t>
      </w:r>
      <w:r w:rsidR="00AA156A" w:rsidRPr="0001072E">
        <w:rPr>
          <w:rFonts w:ascii="Arial" w:hAnsi="Arial" w:cs="Arial"/>
          <w:sz w:val="22"/>
          <w:szCs w:val="22"/>
        </w:rPr>
        <w:t xml:space="preserve">- </w:t>
      </w:r>
      <w:r w:rsidR="00AA156A" w:rsidRPr="0001072E">
        <w:rPr>
          <w:rFonts w:ascii="Arial" w:hAnsi="Arial" w:cs="Arial"/>
          <w:i w:val="0"/>
          <w:sz w:val="22"/>
          <w:szCs w:val="22"/>
        </w:rPr>
        <w:t>Amplasarea punctelor de recenzare a traficului</w:t>
      </w:r>
      <w:bookmarkEnd w:id="186"/>
      <w:bookmarkEnd w:id="187"/>
    </w:p>
    <w:p w14:paraId="58070848" w14:textId="77777777" w:rsidR="000C5B2B" w:rsidRPr="005B6E1D" w:rsidRDefault="000C5B2B" w:rsidP="000C5B2B">
      <w:pPr>
        <w:suppressAutoHyphens/>
        <w:autoSpaceDE w:val="0"/>
        <w:spacing w:after="0" w:line="276" w:lineRule="auto"/>
        <w:jc w:val="both"/>
        <w:rPr>
          <w:rFonts w:ascii="Arial" w:eastAsia="Calibri" w:hAnsi="Arial" w:cs="Arial"/>
          <w:color w:val="000000"/>
          <w:lang w:val="ro-RO" w:eastAsia="zh-CN"/>
        </w:rPr>
      </w:pPr>
      <w:r w:rsidRPr="005B6E1D">
        <w:rPr>
          <w:rFonts w:ascii="Arial" w:eastAsia="Calibri" w:hAnsi="Arial" w:cs="Arial"/>
          <w:color w:val="000000"/>
          <w:lang w:val="ro-RO" w:eastAsia="zh-CN"/>
        </w:rPr>
        <w:t>Pe lângă aceste recensăminte în nodurile rețelei, în cadrul modelului s-au mai utilizat și înregistrările video furnizate de sistemul de monitorizare din oraș situate în următoarele intersecții:</w:t>
      </w:r>
    </w:p>
    <w:p w14:paraId="20D59091" w14:textId="77777777" w:rsidR="000C5B2B" w:rsidRPr="005B6E1D" w:rsidRDefault="000C5B2B" w:rsidP="000C5B2B">
      <w:pPr>
        <w:widowControl w:val="0"/>
        <w:numPr>
          <w:ilvl w:val="0"/>
          <w:numId w:val="56"/>
        </w:numPr>
        <w:suppressAutoHyphens/>
        <w:autoSpaceDE w:val="0"/>
        <w:spacing w:after="0" w:line="276" w:lineRule="auto"/>
        <w:jc w:val="both"/>
        <w:rPr>
          <w:rFonts w:ascii="Arial" w:eastAsia="Calibri" w:hAnsi="Arial" w:cs="Arial"/>
          <w:color w:val="000000"/>
          <w:lang w:val="ro-RO" w:eastAsia="zh-CN"/>
        </w:rPr>
      </w:pPr>
      <w:r w:rsidRPr="005B6E1D">
        <w:rPr>
          <w:rFonts w:ascii="Arial" w:eastAsia="Calibri" w:hAnsi="Arial" w:cs="Arial"/>
          <w:color w:val="000000"/>
          <w:lang w:val="ro-RO" w:eastAsia="zh-CN"/>
        </w:rPr>
        <w:lastRenderedPageBreak/>
        <w:t>Str. A.I. Cuza cu DN 67;</w:t>
      </w:r>
    </w:p>
    <w:p w14:paraId="3C17DF6C" w14:textId="77777777" w:rsidR="000C5B2B" w:rsidRPr="005B6E1D" w:rsidRDefault="000C5B2B" w:rsidP="000C5B2B">
      <w:pPr>
        <w:widowControl w:val="0"/>
        <w:numPr>
          <w:ilvl w:val="0"/>
          <w:numId w:val="56"/>
        </w:numPr>
        <w:suppressAutoHyphens/>
        <w:autoSpaceDE w:val="0"/>
        <w:spacing w:after="0" w:line="276" w:lineRule="auto"/>
        <w:jc w:val="both"/>
        <w:rPr>
          <w:rFonts w:ascii="Arial" w:eastAsia="Calibri" w:hAnsi="Arial" w:cs="Arial"/>
          <w:color w:val="000000"/>
          <w:lang w:val="ro-RO" w:eastAsia="zh-CN"/>
        </w:rPr>
      </w:pPr>
      <w:r w:rsidRPr="005B6E1D">
        <w:rPr>
          <w:rFonts w:ascii="Arial" w:eastAsia="Calibri" w:hAnsi="Arial" w:cs="Arial"/>
          <w:color w:val="000000"/>
          <w:lang w:val="ro-RO" w:eastAsia="zh-CN"/>
        </w:rPr>
        <w:t>DJ 669 cu DC 147A (str. Manastirii cu str. Schitului;</w:t>
      </w:r>
    </w:p>
    <w:p w14:paraId="7AE2F66A" w14:textId="77777777" w:rsidR="000C5B2B" w:rsidRPr="005B6E1D" w:rsidRDefault="000C5B2B" w:rsidP="000C5B2B">
      <w:pPr>
        <w:widowControl w:val="0"/>
        <w:numPr>
          <w:ilvl w:val="0"/>
          <w:numId w:val="56"/>
        </w:numPr>
        <w:suppressAutoHyphens/>
        <w:autoSpaceDE w:val="0"/>
        <w:spacing w:after="0" w:line="276" w:lineRule="auto"/>
        <w:jc w:val="both"/>
        <w:rPr>
          <w:rFonts w:ascii="Arial" w:eastAsia="Calibri" w:hAnsi="Arial" w:cs="Arial"/>
          <w:color w:val="000000"/>
          <w:lang w:val="ro-RO" w:eastAsia="zh-CN"/>
        </w:rPr>
      </w:pPr>
      <w:r w:rsidRPr="005B6E1D">
        <w:rPr>
          <w:rFonts w:ascii="Arial" w:eastAsia="Calibri" w:hAnsi="Arial" w:cs="Arial"/>
          <w:color w:val="000000"/>
          <w:lang w:val="ro-RO" w:eastAsia="zh-CN"/>
        </w:rPr>
        <w:t>DN 67 cu DN 65C;</w:t>
      </w:r>
    </w:p>
    <w:p w14:paraId="70144BF2" w14:textId="77777777" w:rsidR="000C5B2B" w:rsidRPr="005B6E1D" w:rsidRDefault="000C5B2B" w:rsidP="000C5B2B">
      <w:pPr>
        <w:widowControl w:val="0"/>
        <w:numPr>
          <w:ilvl w:val="0"/>
          <w:numId w:val="56"/>
        </w:numPr>
        <w:suppressAutoHyphens/>
        <w:autoSpaceDE w:val="0"/>
        <w:spacing w:after="0" w:line="276" w:lineRule="auto"/>
        <w:jc w:val="both"/>
        <w:rPr>
          <w:rFonts w:ascii="Arial" w:eastAsia="Calibri" w:hAnsi="Arial" w:cs="Arial"/>
          <w:color w:val="000000"/>
          <w:lang w:val="ro-RO" w:eastAsia="zh-CN"/>
        </w:rPr>
      </w:pPr>
      <w:r w:rsidRPr="005B6E1D">
        <w:rPr>
          <w:rFonts w:ascii="Arial" w:eastAsia="Calibri" w:hAnsi="Arial" w:cs="Arial"/>
          <w:color w:val="000000"/>
          <w:lang w:val="ro-RO" w:eastAsia="zh-CN"/>
        </w:rPr>
        <w:t>Str. Nicolae Iorga cu str. Mircea cel Batran;</w:t>
      </w:r>
    </w:p>
    <w:p w14:paraId="55B28477" w14:textId="77777777" w:rsidR="000C5B2B" w:rsidRPr="005B6E1D" w:rsidRDefault="000C5B2B" w:rsidP="000C5B2B">
      <w:pPr>
        <w:widowControl w:val="0"/>
        <w:numPr>
          <w:ilvl w:val="0"/>
          <w:numId w:val="56"/>
        </w:numPr>
        <w:suppressAutoHyphens/>
        <w:autoSpaceDE w:val="0"/>
        <w:spacing w:after="0" w:line="276" w:lineRule="auto"/>
        <w:jc w:val="both"/>
        <w:rPr>
          <w:rFonts w:ascii="Arial" w:eastAsia="Calibri" w:hAnsi="Arial" w:cs="Arial"/>
          <w:color w:val="000000"/>
          <w:lang w:val="ro-RO" w:eastAsia="zh-CN"/>
        </w:rPr>
      </w:pPr>
      <w:r w:rsidRPr="005B6E1D">
        <w:rPr>
          <w:rFonts w:ascii="Arial" w:eastAsia="Calibri" w:hAnsi="Arial" w:cs="Arial"/>
          <w:color w:val="000000"/>
          <w:lang w:val="ro-RO" w:eastAsia="zh-CN"/>
        </w:rPr>
        <w:t>Str. Mihai Viteazu cu str. 1 Decembrie 1918.</w:t>
      </w:r>
    </w:p>
    <w:p w14:paraId="3C90A551" w14:textId="77777777" w:rsidR="00D6124B" w:rsidRPr="007F69D0" w:rsidRDefault="00D6124B" w:rsidP="000C5B2B">
      <w:pPr>
        <w:widowControl w:val="0"/>
        <w:suppressAutoHyphens/>
        <w:autoSpaceDE w:val="0"/>
        <w:spacing w:after="0" w:line="276" w:lineRule="auto"/>
        <w:ind w:left="720"/>
        <w:jc w:val="both"/>
        <w:rPr>
          <w:rFonts w:ascii="Arial" w:eastAsia="Calibri" w:hAnsi="Arial" w:cs="Arial"/>
          <w:color w:val="000000"/>
          <w:lang w:val="es-ES" w:eastAsia="zh-CN"/>
        </w:rPr>
      </w:pPr>
    </w:p>
    <w:p w14:paraId="1422F756" w14:textId="77777777" w:rsidR="00D6124B" w:rsidRPr="00D6124B" w:rsidRDefault="000C5B2B" w:rsidP="000C5B2B">
      <w:pPr>
        <w:suppressAutoHyphens/>
        <w:autoSpaceDE w:val="0"/>
        <w:spacing w:after="0" w:line="360" w:lineRule="auto"/>
        <w:jc w:val="center"/>
        <w:rPr>
          <w:rFonts w:ascii="Arial" w:eastAsia="Calibri" w:hAnsi="Arial" w:cs="Arial"/>
          <w:sz w:val="24"/>
          <w:szCs w:val="24"/>
          <w:lang w:val="es-ES" w:eastAsia="zh-CN"/>
        </w:rPr>
      </w:pPr>
      <w:r w:rsidRPr="00172547">
        <w:rPr>
          <w:rFonts w:ascii="Arial" w:eastAsia="Calibri" w:hAnsi="Arial" w:cs="Arial"/>
          <w:noProof/>
          <w:sz w:val="24"/>
          <w:szCs w:val="24"/>
        </w:rPr>
        <w:drawing>
          <wp:inline distT="0" distB="0" distL="0" distR="0" wp14:anchorId="32F558D8" wp14:editId="095E13FD">
            <wp:extent cx="4251767" cy="2955851"/>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51278" cy="2955511"/>
                    </a:xfrm>
                    <a:prstGeom prst="rect">
                      <a:avLst/>
                    </a:prstGeom>
                    <a:noFill/>
                    <a:ln>
                      <a:noFill/>
                    </a:ln>
                  </pic:spPr>
                </pic:pic>
              </a:graphicData>
            </a:graphic>
          </wp:inline>
        </w:drawing>
      </w:r>
    </w:p>
    <w:p w14:paraId="1C7748BB" w14:textId="7272C80E" w:rsidR="00D6124B" w:rsidRPr="00D15C24" w:rsidRDefault="006D4DC5" w:rsidP="006D4DC5">
      <w:pPr>
        <w:pStyle w:val="Legend"/>
        <w:jc w:val="center"/>
        <w:rPr>
          <w:rFonts w:ascii="Arial" w:eastAsia="Calibri" w:hAnsi="Arial" w:cs="Arial"/>
          <w:i w:val="0"/>
          <w:sz w:val="22"/>
          <w:szCs w:val="22"/>
          <w:lang w:val="es-ES" w:eastAsia="zh-CN"/>
        </w:rPr>
      </w:pPr>
      <w:bookmarkStart w:id="188" w:name="_Toc68361159"/>
      <w:bookmarkStart w:id="189" w:name="_Toc140744486"/>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9</w:t>
      </w:r>
      <w:r w:rsidRPr="0001072E">
        <w:rPr>
          <w:rFonts w:ascii="Arial" w:hAnsi="Arial" w:cs="Arial"/>
          <w:sz w:val="22"/>
          <w:szCs w:val="22"/>
        </w:rPr>
        <w:fldChar w:fldCharType="end"/>
      </w:r>
      <w:r w:rsidR="007F69D0" w:rsidRPr="0001072E">
        <w:rPr>
          <w:rFonts w:ascii="Arial" w:hAnsi="Arial" w:cs="Arial"/>
          <w:sz w:val="22"/>
          <w:szCs w:val="22"/>
        </w:rPr>
        <w:t xml:space="preserve"> - </w:t>
      </w:r>
      <w:r w:rsidR="007F69D0" w:rsidRPr="0001072E">
        <w:rPr>
          <w:rFonts w:ascii="Arial" w:hAnsi="Arial" w:cs="Arial"/>
          <w:i w:val="0"/>
          <w:sz w:val="22"/>
          <w:szCs w:val="22"/>
        </w:rPr>
        <w:t>Amplasarea intersecţiilor monitorizate video considerate</w:t>
      </w:r>
      <w:bookmarkEnd w:id="188"/>
      <w:bookmarkEnd w:id="189"/>
    </w:p>
    <w:p w14:paraId="272DE109" w14:textId="77777777" w:rsidR="000C5B2B" w:rsidRPr="00D15C24" w:rsidRDefault="000C5B2B" w:rsidP="00D15C24">
      <w:bookmarkStart w:id="190" w:name="__RefHeading___Toc448828035"/>
      <w:bookmarkStart w:id="191" w:name="_Toc491868819"/>
      <w:bookmarkStart w:id="192" w:name="_Toc499657547"/>
      <w:bookmarkEnd w:id="190"/>
    </w:p>
    <w:p w14:paraId="261EEB77" w14:textId="77777777" w:rsidR="00D6124B" w:rsidRPr="007F69D0" w:rsidRDefault="00D6124B" w:rsidP="007F69D0">
      <w:pPr>
        <w:pStyle w:val="Titlu3"/>
        <w:rPr>
          <w:rFonts w:ascii="Arial" w:hAnsi="Arial" w:cs="Arial"/>
          <w:sz w:val="24"/>
          <w:szCs w:val="24"/>
        </w:rPr>
      </w:pPr>
      <w:bookmarkStart w:id="193" w:name="_Toc142039075"/>
      <w:r w:rsidRPr="007F69D0">
        <w:rPr>
          <w:rFonts w:ascii="Arial" w:hAnsi="Arial" w:cs="Arial"/>
          <w:sz w:val="24"/>
          <w:szCs w:val="24"/>
        </w:rPr>
        <w:t>I.3.2.2 Chestionare origine-destinaţie</w:t>
      </w:r>
      <w:bookmarkEnd w:id="191"/>
      <w:bookmarkEnd w:id="192"/>
      <w:bookmarkEnd w:id="193"/>
    </w:p>
    <w:p w14:paraId="0B3BFBDE"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La nivelul lunilor noiembrie şi decembrie 202</w:t>
      </w:r>
      <w:r w:rsidR="00664266">
        <w:rPr>
          <w:rFonts w:ascii="Arial" w:hAnsi="Arial" w:cs="Mangal"/>
          <w:kern w:val="1"/>
          <w:lang w:val="ro-RO" w:eastAsia="hi-IN" w:bidi="hi-IN"/>
        </w:rPr>
        <w:t>1 şi ianuarie 2022</w:t>
      </w:r>
      <w:r w:rsidRPr="00D6124B">
        <w:rPr>
          <w:rFonts w:ascii="Arial" w:hAnsi="Arial" w:cs="Mangal"/>
          <w:kern w:val="1"/>
          <w:lang w:val="ro-RO" w:eastAsia="hi-IN" w:bidi="hi-IN"/>
        </w:rPr>
        <w:t xml:space="preserve"> s-a desfăşurat în rândul locuitorilor </w:t>
      </w:r>
      <w:r w:rsidR="00664266">
        <w:rPr>
          <w:rFonts w:ascii="Arial" w:hAnsi="Arial" w:cs="Mangal"/>
          <w:kern w:val="1"/>
          <w:lang w:val="ro-RO" w:eastAsia="hi-IN" w:bidi="hi-IN"/>
        </w:rPr>
        <w:t>oraşului Horezu</w:t>
      </w:r>
      <w:r w:rsidRPr="00D6124B">
        <w:rPr>
          <w:rFonts w:ascii="Arial" w:hAnsi="Arial" w:cs="Mangal"/>
          <w:kern w:val="1"/>
          <w:lang w:val="ro-RO" w:eastAsia="hi-IN" w:bidi="hi-IN"/>
        </w:rPr>
        <w:t xml:space="preserve"> o anchetă Origine-Destinaţie</w:t>
      </w:r>
      <w:r w:rsidRPr="006D4DC5">
        <w:rPr>
          <w:rFonts w:ascii="Arial" w:hAnsi="Arial" w:cs="Mangal"/>
          <w:kern w:val="1"/>
          <w:lang w:val="ro-RO" w:eastAsia="hi-IN" w:bidi="hi-IN"/>
        </w:rPr>
        <w:t xml:space="preserve">. Chestionarul aplicat (a se vedea </w:t>
      </w:r>
      <w:r w:rsidR="00182968" w:rsidRPr="006D4DC5">
        <w:rPr>
          <w:rFonts w:ascii="Arial" w:hAnsi="Arial" w:cs="Mangal"/>
          <w:kern w:val="1"/>
          <w:lang w:val="ro-RO" w:eastAsia="hi-IN" w:bidi="hi-IN"/>
        </w:rPr>
        <w:t xml:space="preserve">Anexa </w:t>
      </w:r>
      <w:r w:rsidR="00B02385">
        <w:rPr>
          <w:rFonts w:ascii="Arial" w:hAnsi="Arial" w:cs="Mangal"/>
          <w:kern w:val="1"/>
          <w:lang w:val="ro-RO" w:eastAsia="hi-IN" w:bidi="hi-IN"/>
        </w:rPr>
        <w:t>4</w:t>
      </w:r>
      <w:r w:rsidRPr="006D4DC5">
        <w:rPr>
          <w:rFonts w:ascii="Arial" w:hAnsi="Arial" w:cs="Mangal"/>
          <w:kern w:val="1"/>
          <w:lang w:val="ro-RO" w:eastAsia="hi-IN" w:bidi="hi-IN"/>
        </w:rPr>
        <w:t>) cuprinde</w:t>
      </w:r>
      <w:r w:rsidRPr="00D6124B">
        <w:rPr>
          <w:rFonts w:ascii="Arial" w:hAnsi="Arial" w:cs="Mangal"/>
          <w:kern w:val="1"/>
          <w:lang w:val="ro-RO" w:eastAsia="hi-IN" w:bidi="hi-IN"/>
        </w:rPr>
        <w:t xml:space="preserve"> un număr de 1</w:t>
      </w:r>
      <w:r w:rsidR="00154CAF">
        <w:rPr>
          <w:rFonts w:ascii="Arial" w:hAnsi="Arial" w:cs="Mangal"/>
          <w:kern w:val="1"/>
          <w:lang w:val="ro-RO" w:eastAsia="hi-IN" w:bidi="hi-IN"/>
        </w:rPr>
        <w:t>2</w:t>
      </w:r>
      <w:r w:rsidRPr="00D6124B">
        <w:rPr>
          <w:rFonts w:ascii="Arial" w:hAnsi="Arial" w:cs="Mangal"/>
          <w:kern w:val="1"/>
          <w:lang w:val="ro-RO" w:eastAsia="hi-IN" w:bidi="hi-IN"/>
        </w:rPr>
        <w:t xml:space="preserve"> itemi care vizează solicitarea de informaţii:</w:t>
      </w:r>
    </w:p>
    <w:p w14:paraId="173A19A4" w14:textId="77777777" w:rsidR="00D6124B" w:rsidRPr="00D6124B" w:rsidRDefault="00D6124B" w:rsidP="006B613A">
      <w:pPr>
        <w:widowControl w:val="0"/>
        <w:numPr>
          <w:ilvl w:val="0"/>
          <w:numId w:val="54"/>
        </w:numPr>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Factuale: adresa de domiciliu, vârstă, gen, număr membrii gospodărie, număr autovehicule din gospodărie şi tipul lor, deţinere permis de conducere, venit mediu lunar pe gospodărie, situaţia membrilor gospodăriei (angajaţi, şomeri, şcolari, pensionari);</w:t>
      </w:r>
    </w:p>
    <w:p w14:paraId="2AF65F94" w14:textId="77777777" w:rsidR="00D6124B" w:rsidRPr="00D6124B" w:rsidRDefault="00D6124B" w:rsidP="006B613A">
      <w:pPr>
        <w:widowControl w:val="0"/>
        <w:numPr>
          <w:ilvl w:val="0"/>
          <w:numId w:val="54"/>
        </w:numPr>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De mobilitate: zona de plecare, zona de destinaţie, durata deplasării, frecvenţa săptămânală a deplasării, modul de transport  pentru deplasarea în interese de serviciu, personală sau pentru divertisment. </w:t>
      </w:r>
    </w:p>
    <w:p w14:paraId="48BD70AE" w14:textId="77777777" w:rsidR="00D6124B" w:rsidRPr="00D6124B" w:rsidRDefault="00D6124B" w:rsidP="006B613A">
      <w:pPr>
        <w:widowControl w:val="0"/>
        <w:numPr>
          <w:ilvl w:val="0"/>
          <w:numId w:val="54"/>
        </w:numPr>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Privind disponibilitatea personală a utilizării transportului public</w:t>
      </w:r>
    </w:p>
    <w:p w14:paraId="26989ABB"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4774B167"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Au fost diseminate un număr </w:t>
      </w:r>
      <w:r w:rsidRPr="006D4DC5">
        <w:rPr>
          <w:rFonts w:ascii="Arial" w:hAnsi="Arial" w:cs="Mangal"/>
          <w:kern w:val="1"/>
          <w:lang w:val="ro-RO" w:eastAsia="hi-IN" w:bidi="hi-IN"/>
        </w:rPr>
        <w:t xml:space="preserve">de </w:t>
      </w:r>
      <w:r w:rsidR="00154CAF" w:rsidRPr="006D4DC5">
        <w:rPr>
          <w:rFonts w:ascii="Arial" w:hAnsi="Arial" w:cs="Mangal"/>
          <w:kern w:val="1"/>
          <w:lang w:val="ro-RO" w:eastAsia="hi-IN" w:bidi="hi-IN"/>
        </w:rPr>
        <w:t>500</w:t>
      </w:r>
      <w:r w:rsidRPr="006D4DC5">
        <w:rPr>
          <w:rFonts w:ascii="Arial" w:hAnsi="Arial" w:cs="Mangal"/>
          <w:kern w:val="1"/>
          <w:lang w:val="ro-RO" w:eastAsia="hi-IN" w:bidi="hi-IN"/>
        </w:rPr>
        <w:t xml:space="preserve"> de chesti</w:t>
      </w:r>
      <w:r w:rsidRPr="00D6124B">
        <w:rPr>
          <w:rFonts w:ascii="Arial" w:hAnsi="Arial" w:cs="Mangal"/>
          <w:kern w:val="1"/>
          <w:lang w:val="ro-RO" w:eastAsia="hi-IN" w:bidi="hi-IN"/>
        </w:rPr>
        <w:t xml:space="preserve">onare pentru a fi aplicate în rândul angajaţilor celor mai importanţi agenţi economici din municipiu şi la instituţiile publice, care îşi au sediile şi punctele de lucru pe întreg teritoriul municipiului, astfel încât să se asigure obţinerea de date, relativ în mod echilibrat de pe întreaga suprafaţă a localităţii.  Au fost colectate un număr de </w:t>
      </w:r>
      <w:r w:rsidR="00154CAF">
        <w:rPr>
          <w:rFonts w:ascii="Arial" w:hAnsi="Arial" w:cs="Mangal"/>
          <w:kern w:val="1"/>
          <w:lang w:val="ro-RO" w:eastAsia="hi-IN" w:bidi="hi-IN"/>
        </w:rPr>
        <w:t>194</w:t>
      </w:r>
      <w:r w:rsidRPr="00D6124B">
        <w:rPr>
          <w:rFonts w:ascii="Arial" w:hAnsi="Arial" w:cs="Mangal"/>
          <w:kern w:val="1"/>
          <w:lang w:val="ro-RO" w:eastAsia="hi-IN" w:bidi="hi-IN"/>
        </w:rPr>
        <w:t xml:space="preserve"> chestionare (raportat la populaţia </w:t>
      </w:r>
      <w:r w:rsidR="00154CAF">
        <w:rPr>
          <w:rFonts w:ascii="Arial" w:hAnsi="Arial" w:cs="Mangal"/>
          <w:kern w:val="1"/>
          <w:lang w:val="ro-RO" w:eastAsia="hi-IN" w:bidi="hi-IN"/>
        </w:rPr>
        <w:t>oraşului</w:t>
      </w:r>
      <w:r w:rsidRPr="00D6124B">
        <w:rPr>
          <w:rFonts w:ascii="Arial" w:hAnsi="Arial" w:cs="Mangal"/>
          <w:kern w:val="1"/>
          <w:lang w:val="ro-RO" w:eastAsia="hi-IN" w:bidi="hi-IN"/>
        </w:rPr>
        <w:t xml:space="preserve">, numărul de respondenţi reprezintă </w:t>
      </w:r>
      <w:r w:rsidR="00154CAF">
        <w:rPr>
          <w:rFonts w:ascii="Arial" w:hAnsi="Arial" w:cs="Mangal"/>
          <w:kern w:val="1"/>
          <w:lang w:val="ro-RO" w:eastAsia="hi-IN" w:bidi="hi-IN"/>
        </w:rPr>
        <w:t>2</w:t>
      </w:r>
      <w:r w:rsidRPr="00D6124B">
        <w:rPr>
          <w:rFonts w:ascii="Arial" w:hAnsi="Arial" w:cs="Mangal"/>
          <w:kern w:val="1"/>
          <w:lang w:val="ro-RO" w:eastAsia="hi-IN" w:bidi="hi-IN"/>
        </w:rPr>
        <w:t>,</w:t>
      </w:r>
      <w:r w:rsidR="00154CAF">
        <w:rPr>
          <w:rFonts w:ascii="Arial" w:hAnsi="Arial" w:cs="Mangal"/>
          <w:kern w:val="1"/>
          <w:lang w:val="ro-RO" w:eastAsia="hi-IN" w:bidi="hi-IN"/>
        </w:rPr>
        <w:t>85</w:t>
      </w:r>
      <w:r w:rsidRPr="00D6124B">
        <w:rPr>
          <w:rFonts w:ascii="Arial" w:hAnsi="Arial" w:cs="Mangal"/>
          <w:kern w:val="1"/>
          <w:lang w:val="ro-RO" w:eastAsia="hi-IN" w:bidi="hi-IN"/>
        </w:rPr>
        <w:t xml:space="preserve">% din aceasta) completate de la: </w:t>
      </w:r>
    </w:p>
    <w:p w14:paraId="62C6A278" w14:textId="77777777" w:rsidR="00D6124B" w:rsidRPr="00D6124B" w:rsidRDefault="00F52748" w:rsidP="000C6CB8">
      <w:pPr>
        <w:widowControl w:val="0"/>
        <w:numPr>
          <w:ilvl w:val="0"/>
          <w:numId w:val="124"/>
        </w:numPr>
        <w:suppressAutoHyphens/>
        <w:spacing w:after="0" w:line="276" w:lineRule="auto"/>
        <w:contextualSpacing/>
        <w:jc w:val="both"/>
        <w:rPr>
          <w:rFonts w:ascii="Arial" w:hAnsi="Arial" w:cs="Mangal"/>
          <w:kern w:val="1"/>
          <w:lang w:val="ro-RO" w:eastAsia="hi-IN" w:bidi="hi-IN"/>
        </w:rPr>
      </w:pPr>
      <w:r>
        <w:rPr>
          <w:rFonts w:ascii="Arial" w:hAnsi="Arial" w:cs="Mangal"/>
          <w:kern w:val="1"/>
          <w:lang w:val="ro-RO" w:eastAsia="hi-IN" w:bidi="hi-IN"/>
        </w:rPr>
        <w:t>Instituţii publice:</w:t>
      </w:r>
      <w:r w:rsidR="00D6124B" w:rsidRPr="00D6124B">
        <w:rPr>
          <w:rFonts w:ascii="Arial" w:hAnsi="Arial" w:cs="Mangal"/>
          <w:kern w:val="1"/>
          <w:lang w:val="ro-RO" w:eastAsia="hi-IN" w:bidi="hi-IN"/>
        </w:rPr>
        <w:t xml:space="preserve"> </w:t>
      </w:r>
      <w:r w:rsidR="00154CAF">
        <w:rPr>
          <w:rFonts w:ascii="Arial" w:hAnsi="Arial" w:cs="Mangal"/>
          <w:kern w:val="1"/>
          <w:lang w:val="ro-RO" w:eastAsia="hi-IN" w:bidi="hi-IN"/>
        </w:rPr>
        <w:t>Primăria Horezu</w:t>
      </w:r>
    </w:p>
    <w:p w14:paraId="7953BE91" w14:textId="77777777" w:rsidR="00D6124B" w:rsidRPr="00D6124B" w:rsidRDefault="00D6124B" w:rsidP="000C6CB8">
      <w:pPr>
        <w:widowControl w:val="0"/>
        <w:numPr>
          <w:ilvl w:val="0"/>
          <w:numId w:val="124"/>
        </w:numPr>
        <w:suppressAutoHyphens/>
        <w:spacing w:after="0" w:line="276" w:lineRule="auto"/>
        <w:contextualSpacing/>
        <w:jc w:val="both"/>
        <w:rPr>
          <w:rFonts w:ascii="Arial" w:hAnsi="Arial" w:cs="Mangal"/>
          <w:kern w:val="1"/>
          <w:lang w:val="ro-RO" w:eastAsia="hi-IN" w:bidi="hi-IN"/>
        </w:rPr>
      </w:pPr>
      <w:r w:rsidRPr="00D6124B">
        <w:rPr>
          <w:rFonts w:ascii="Arial" w:hAnsi="Arial" w:cs="Mangal"/>
          <w:kern w:val="1"/>
          <w:lang w:val="ro-RO" w:eastAsia="hi-IN" w:bidi="hi-IN"/>
        </w:rPr>
        <w:t>Unităţi de învăţământ</w:t>
      </w:r>
      <w:r w:rsidR="00F52748">
        <w:rPr>
          <w:rFonts w:ascii="Arial" w:hAnsi="Arial" w:cs="Mangal"/>
          <w:kern w:val="1"/>
          <w:lang w:val="ro-RO" w:eastAsia="hi-IN" w:bidi="hi-IN"/>
        </w:rPr>
        <w:t xml:space="preserve">: </w:t>
      </w:r>
      <w:r w:rsidR="00154CAF">
        <w:rPr>
          <w:rFonts w:ascii="Arial" w:hAnsi="Arial" w:cs="Mangal"/>
          <w:kern w:val="1"/>
          <w:lang w:val="ro-RO" w:eastAsia="hi-IN" w:bidi="hi-IN"/>
        </w:rPr>
        <w:t xml:space="preserve">Liceul </w:t>
      </w:r>
      <w:r w:rsidR="00F52748">
        <w:rPr>
          <w:rFonts w:ascii="Arial" w:hAnsi="Arial" w:cs="Mangal"/>
          <w:kern w:val="1"/>
          <w:lang w:val="ro-RO" w:eastAsia="hi-IN" w:bidi="hi-IN"/>
        </w:rPr>
        <w:t>„</w:t>
      </w:r>
      <w:r w:rsidR="00154CAF">
        <w:rPr>
          <w:rFonts w:ascii="Arial" w:hAnsi="Arial" w:cs="Mangal"/>
          <w:kern w:val="1"/>
          <w:lang w:val="ro-RO" w:eastAsia="hi-IN" w:bidi="hi-IN"/>
        </w:rPr>
        <w:t>Constantin Brâncoveanu</w:t>
      </w:r>
      <w:r w:rsidR="00F52748">
        <w:rPr>
          <w:rFonts w:ascii="Arial" w:hAnsi="Arial" w:cs="Mangal"/>
          <w:kern w:val="1"/>
          <w:lang w:val="ro-RO" w:eastAsia="hi-IN" w:bidi="hi-IN"/>
        </w:rPr>
        <w:t>” Horezu</w:t>
      </w:r>
    </w:p>
    <w:p w14:paraId="1CC2ACE0" w14:textId="77777777" w:rsidR="00D6124B" w:rsidRPr="00D6124B" w:rsidRDefault="00D6124B" w:rsidP="000C6CB8">
      <w:pPr>
        <w:widowControl w:val="0"/>
        <w:numPr>
          <w:ilvl w:val="0"/>
          <w:numId w:val="124"/>
        </w:numPr>
        <w:suppressAutoHyphens/>
        <w:spacing w:after="0" w:line="276" w:lineRule="auto"/>
        <w:contextualSpacing/>
        <w:jc w:val="both"/>
        <w:rPr>
          <w:rFonts w:ascii="Arial" w:hAnsi="Arial" w:cs="Mangal"/>
          <w:kern w:val="1"/>
          <w:lang w:val="ro-RO" w:eastAsia="hi-IN" w:bidi="hi-IN"/>
        </w:rPr>
      </w:pPr>
      <w:r w:rsidRPr="00D6124B">
        <w:rPr>
          <w:rFonts w:ascii="Arial" w:hAnsi="Arial" w:cs="Mangal"/>
          <w:kern w:val="1"/>
          <w:lang w:val="ro-RO" w:eastAsia="hi-IN" w:bidi="hi-IN"/>
        </w:rPr>
        <w:t>agenţi economici –</w:t>
      </w:r>
      <w:r w:rsidR="001811B9">
        <w:rPr>
          <w:rFonts w:ascii="Arial" w:hAnsi="Arial" w:cs="Mangal"/>
          <w:kern w:val="1"/>
          <w:lang w:val="ro-RO" w:eastAsia="hi-IN" w:bidi="hi-IN"/>
        </w:rPr>
        <w:t xml:space="preserve"> </w:t>
      </w:r>
      <w:r w:rsidR="001811B9" w:rsidRPr="00F52748">
        <w:rPr>
          <w:rFonts w:ascii="Arial" w:hAnsi="Arial" w:cs="Mangal"/>
          <w:kern w:val="1"/>
          <w:lang w:val="ro-RO" w:eastAsia="hi-IN" w:bidi="hi-IN"/>
        </w:rPr>
        <w:t>ANNABELLA</w:t>
      </w:r>
      <w:r w:rsidR="00F52748">
        <w:rPr>
          <w:rFonts w:ascii="Arial" w:hAnsi="Arial" w:cs="Mangal"/>
          <w:kern w:val="1"/>
          <w:lang w:val="ro-RO" w:eastAsia="hi-IN" w:bidi="hi-IN"/>
        </w:rPr>
        <w:t xml:space="preserve">, </w:t>
      </w:r>
      <w:r w:rsidR="001811B9" w:rsidRPr="00F52748">
        <w:rPr>
          <w:rFonts w:ascii="Arial" w:hAnsi="Arial" w:cs="Mangal"/>
          <w:kern w:val="1"/>
          <w:lang w:val="ro-RO" w:eastAsia="hi-IN" w:bidi="hi-IN"/>
        </w:rPr>
        <w:t>CIPO</w:t>
      </w:r>
      <w:r w:rsidR="00F52748">
        <w:rPr>
          <w:rFonts w:ascii="Arial" w:hAnsi="Arial" w:cs="Mangal"/>
          <w:kern w:val="1"/>
          <w:lang w:val="ro-RO" w:eastAsia="hi-IN" w:bidi="hi-IN"/>
        </w:rPr>
        <w:t xml:space="preserve">, </w:t>
      </w:r>
      <w:r w:rsidR="00F52748" w:rsidRPr="00F52748">
        <w:rPr>
          <w:rFonts w:ascii="Arial" w:hAnsi="Arial" w:cs="Mangal"/>
          <w:kern w:val="1"/>
          <w:lang w:val="ro-RO" w:eastAsia="hi-IN" w:bidi="hi-IN"/>
        </w:rPr>
        <w:t>CONSUMCOOP HOREZU</w:t>
      </w:r>
      <w:r w:rsidR="00F52748">
        <w:rPr>
          <w:rFonts w:ascii="Arial" w:hAnsi="Arial" w:cs="Mangal"/>
          <w:kern w:val="1"/>
          <w:lang w:val="ro-RO" w:eastAsia="hi-IN" w:bidi="hi-IN"/>
        </w:rPr>
        <w:t>-</w:t>
      </w:r>
      <w:r w:rsidR="00F52748" w:rsidRPr="00F52748">
        <w:rPr>
          <w:rFonts w:ascii="Arial" w:hAnsi="Arial" w:cs="Mangal"/>
          <w:kern w:val="1"/>
          <w:lang w:val="ro-RO" w:eastAsia="hi-IN" w:bidi="hi-IN"/>
        </w:rPr>
        <w:t>societate cooperativă</w:t>
      </w:r>
      <w:r w:rsidR="00F52748">
        <w:rPr>
          <w:rFonts w:ascii="Arial" w:hAnsi="Arial" w:cs="Mangal"/>
          <w:kern w:val="1"/>
          <w:lang w:val="ro-RO" w:eastAsia="hi-IN" w:bidi="hi-IN"/>
        </w:rPr>
        <w:t xml:space="preserve">, </w:t>
      </w:r>
      <w:r w:rsidR="00F52748" w:rsidRPr="00F52748">
        <w:rPr>
          <w:rFonts w:ascii="Arial" w:hAnsi="Arial" w:cs="Mangal"/>
          <w:kern w:val="1"/>
          <w:lang w:val="ro-RO" w:eastAsia="hi-IN" w:bidi="hi-IN"/>
        </w:rPr>
        <w:lastRenderedPageBreak/>
        <w:t>FIVE CONTINENT</w:t>
      </w:r>
      <w:r w:rsidR="001811B9">
        <w:rPr>
          <w:rFonts w:ascii="Arial" w:hAnsi="Arial" w:cs="Mangal"/>
          <w:kern w:val="1"/>
          <w:lang w:val="ro-RO" w:eastAsia="hi-IN" w:bidi="hi-IN"/>
        </w:rPr>
        <w:t>, VELGALA, KRISTIM</w:t>
      </w:r>
    </w:p>
    <w:p w14:paraId="736ECBF0" w14:textId="77777777" w:rsidR="00D6124B" w:rsidRPr="00D6124B" w:rsidRDefault="00D6124B" w:rsidP="007F69D0">
      <w:pPr>
        <w:widowControl w:val="0"/>
        <w:suppressAutoHyphens/>
        <w:spacing w:after="0" w:line="276" w:lineRule="auto"/>
        <w:jc w:val="both"/>
        <w:rPr>
          <w:rFonts w:ascii="Arial" w:hAnsi="Arial" w:cs="Mangal"/>
          <w:kern w:val="1"/>
          <w:sz w:val="24"/>
          <w:szCs w:val="24"/>
          <w:lang w:val="ro-RO" w:eastAsia="hi-IN" w:bidi="hi-IN"/>
        </w:rPr>
      </w:pPr>
    </w:p>
    <w:p w14:paraId="7C92A9B9"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Respondenţii la chestionarul de origine-destinaţie aplicat au vârste cuprinse între 15 şi </w:t>
      </w:r>
      <w:r w:rsidR="006E73F9">
        <w:rPr>
          <w:rFonts w:ascii="Arial" w:hAnsi="Arial" w:cs="Mangal"/>
          <w:kern w:val="1"/>
          <w:lang w:val="ro-RO" w:eastAsia="hi-IN" w:bidi="hi-IN"/>
        </w:rPr>
        <w:t>67</w:t>
      </w:r>
      <w:r w:rsidRPr="00D6124B">
        <w:rPr>
          <w:rFonts w:ascii="Arial" w:hAnsi="Arial" w:cs="Mangal"/>
          <w:kern w:val="1"/>
          <w:lang w:val="ro-RO" w:eastAsia="hi-IN" w:bidi="hi-IN"/>
        </w:rPr>
        <w:t xml:space="preserve"> de ani cu o medie de vârstă de circa </w:t>
      </w:r>
      <w:r w:rsidR="006E73F9">
        <w:rPr>
          <w:rFonts w:ascii="Arial" w:hAnsi="Arial" w:cs="Mangal"/>
          <w:kern w:val="1"/>
          <w:lang w:val="ro-RO" w:eastAsia="hi-IN" w:bidi="hi-IN"/>
        </w:rPr>
        <w:t>33</w:t>
      </w:r>
      <w:r w:rsidRPr="00D6124B">
        <w:rPr>
          <w:rFonts w:ascii="Arial" w:hAnsi="Arial" w:cs="Mangal"/>
          <w:kern w:val="1"/>
          <w:lang w:val="ro-RO" w:eastAsia="hi-IN" w:bidi="hi-IN"/>
        </w:rPr>
        <w:t xml:space="preserve"> de ani. Dintre aceştia 5</w:t>
      </w:r>
      <w:r w:rsidR="006E73F9">
        <w:rPr>
          <w:rFonts w:ascii="Arial" w:hAnsi="Arial" w:cs="Mangal"/>
          <w:kern w:val="1"/>
          <w:lang w:val="ro-RO" w:eastAsia="hi-IN" w:bidi="hi-IN"/>
        </w:rPr>
        <w:t>1</w:t>
      </w:r>
      <w:r w:rsidRPr="00D6124B">
        <w:rPr>
          <w:rFonts w:ascii="Arial" w:hAnsi="Arial" w:cs="Mangal"/>
          <w:kern w:val="1"/>
          <w:lang w:val="ro-RO" w:eastAsia="hi-IN" w:bidi="hi-IN"/>
        </w:rPr>
        <w:t>% sunt femei iar 4</w:t>
      </w:r>
      <w:r w:rsidR="006E73F9">
        <w:rPr>
          <w:rFonts w:ascii="Arial" w:hAnsi="Arial" w:cs="Mangal"/>
          <w:kern w:val="1"/>
          <w:lang w:val="ro-RO" w:eastAsia="hi-IN" w:bidi="hi-IN"/>
        </w:rPr>
        <w:t>9</w:t>
      </w:r>
      <w:r w:rsidRPr="00D6124B">
        <w:rPr>
          <w:rFonts w:ascii="Arial" w:hAnsi="Arial" w:cs="Mangal"/>
          <w:kern w:val="1"/>
          <w:lang w:val="ro-RO" w:eastAsia="hi-IN" w:bidi="hi-IN"/>
        </w:rPr>
        <w:t xml:space="preserve">% bărbaţi. </w:t>
      </w:r>
    </w:p>
    <w:p w14:paraId="21862202" w14:textId="77777777" w:rsidR="006E73F9" w:rsidRDefault="006E73F9" w:rsidP="00D6124B">
      <w:pPr>
        <w:widowControl w:val="0"/>
        <w:suppressAutoHyphens/>
        <w:spacing w:after="0" w:line="276" w:lineRule="auto"/>
        <w:rPr>
          <w:rFonts w:ascii="Arial" w:hAnsi="Arial" w:cs="Mangal"/>
          <w:kern w:val="1"/>
          <w:lang w:val="ro-RO" w:eastAsia="hi-IN" w:bidi="hi-IN"/>
        </w:rPr>
      </w:pPr>
    </w:p>
    <w:p w14:paraId="31D36DAF" w14:textId="77777777" w:rsidR="00D6124B" w:rsidRPr="00D6124B" w:rsidRDefault="00D6124B" w:rsidP="00D6124B">
      <w:pPr>
        <w:widowControl w:val="0"/>
        <w:suppressAutoHyphens/>
        <w:spacing w:after="0" w:line="276" w:lineRule="auto"/>
        <w:rPr>
          <w:rFonts w:ascii="Arial" w:hAnsi="Arial" w:cs="Mangal"/>
          <w:kern w:val="1"/>
          <w:lang w:val="ro-RO" w:eastAsia="hi-IN" w:bidi="hi-IN"/>
        </w:rPr>
      </w:pPr>
      <w:r w:rsidRPr="00D6124B">
        <w:rPr>
          <w:rFonts w:ascii="Arial" w:hAnsi="Arial" w:cs="Mangal"/>
          <w:kern w:val="1"/>
          <w:lang w:val="ro-RO" w:eastAsia="hi-IN" w:bidi="hi-IN"/>
        </w:rPr>
        <w:t>În ce priveşte grupele de vârstă în care se încadrează cei care au răspuns la chestionare, situaţia este prezentată în figura următoare.</w:t>
      </w:r>
    </w:p>
    <w:p w14:paraId="1723ACF1" w14:textId="77777777" w:rsidR="00D6124B" w:rsidRPr="00D6124B" w:rsidRDefault="009B3F16" w:rsidP="00D6124B">
      <w:pPr>
        <w:widowControl w:val="0"/>
        <w:suppressAutoHyphens/>
        <w:spacing w:after="0" w:line="360" w:lineRule="auto"/>
        <w:jc w:val="center"/>
        <w:rPr>
          <w:rFonts w:ascii="Arial" w:hAnsi="Arial" w:cs="Mangal"/>
          <w:kern w:val="1"/>
          <w:sz w:val="24"/>
          <w:szCs w:val="24"/>
          <w:lang w:val="ro-RO" w:eastAsia="hi-IN" w:bidi="hi-IN"/>
        </w:rPr>
      </w:pPr>
      <w:r>
        <w:rPr>
          <w:noProof/>
        </w:rPr>
        <w:drawing>
          <wp:inline distT="0" distB="0" distL="0" distR="0" wp14:anchorId="79318941" wp14:editId="7C6B733A">
            <wp:extent cx="4572000" cy="27432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4EAE4F46" w14:textId="6D8082ED" w:rsidR="00D6124B" w:rsidRPr="009B3F16" w:rsidRDefault="009B3F16" w:rsidP="009B3F16">
      <w:pPr>
        <w:pStyle w:val="Legend"/>
        <w:jc w:val="center"/>
        <w:rPr>
          <w:rFonts w:ascii="Arial" w:hAnsi="Arial" w:cs="Arial"/>
          <w:i w:val="0"/>
          <w:kern w:val="1"/>
          <w:sz w:val="22"/>
          <w:szCs w:val="22"/>
          <w:lang w:val="ro-RO" w:eastAsia="hi-IN" w:bidi="hi-IN"/>
        </w:rPr>
      </w:pPr>
      <w:bookmarkStart w:id="194" w:name="_Toc68361161"/>
      <w:bookmarkStart w:id="195" w:name="_Toc140744487"/>
      <w:r w:rsidRPr="009B3F16">
        <w:rPr>
          <w:rFonts w:ascii="Arial" w:hAnsi="Arial" w:cs="Arial"/>
          <w:sz w:val="22"/>
          <w:szCs w:val="22"/>
        </w:rPr>
        <w:t xml:space="preserve">Figura I.3. </w:t>
      </w:r>
      <w:r w:rsidRPr="009B3F16">
        <w:rPr>
          <w:rFonts w:ascii="Arial" w:hAnsi="Arial" w:cs="Arial"/>
          <w:sz w:val="22"/>
          <w:szCs w:val="22"/>
        </w:rPr>
        <w:fldChar w:fldCharType="begin"/>
      </w:r>
      <w:r w:rsidRPr="009B3F16">
        <w:rPr>
          <w:rFonts w:ascii="Arial" w:hAnsi="Arial" w:cs="Arial"/>
          <w:sz w:val="22"/>
          <w:szCs w:val="22"/>
        </w:rPr>
        <w:instrText xml:space="preserve"> SEQ Figura_I.3. \* ARABIC </w:instrText>
      </w:r>
      <w:r w:rsidRPr="009B3F16">
        <w:rPr>
          <w:rFonts w:ascii="Arial" w:hAnsi="Arial" w:cs="Arial"/>
          <w:sz w:val="22"/>
          <w:szCs w:val="22"/>
        </w:rPr>
        <w:fldChar w:fldCharType="separate"/>
      </w:r>
      <w:r w:rsidR="00BB181C">
        <w:rPr>
          <w:rFonts w:ascii="Arial" w:hAnsi="Arial" w:cs="Arial"/>
          <w:noProof/>
          <w:sz w:val="22"/>
          <w:szCs w:val="22"/>
        </w:rPr>
        <w:t>10</w:t>
      </w:r>
      <w:r w:rsidRPr="009B3F16">
        <w:rPr>
          <w:rFonts w:ascii="Arial" w:hAnsi="Arial" w:cs="Arial"/>
          <w:sz w:val="22"/>
          <w:szCs w:val="22"/>
        </w:rPr>
        <w:fldChar w:fldCharType="end"/>
      </w:r>
      <w:r w:rsidR="007F69D0" w:rsidRPr="009B3F16">
        <w:rPr>
          <w:rFonts w:ascii="Arial" w:hAnsi="Arial" w:cs="Arial"/>
          <w:sz w:val="22"/>
          <w:szCs w:val="22"/>
        </w:rPr>
        <w:t xml:space="preserve">- </w:t>
      </w:r>
      <w:r w:rsidR="007F69D0" w:rsidRPr="009B3F16">
        <w:rPr>
          <w:rFonts w:ascii="Arial" w:hAnsi="Arial" w:cs="Arial"/>
          <w:i w:val="0"/>
          <w:sz w:val="22"/>
          <w:szCs w:val="22"/>
        </w:rPr>
        <w:t>Distribuţia pe categorii de vârstă a respondenţilor</w:t>
      </w:r>
      <w:bookmarkEnd w:id="194"/>
      <w:bookmarkEnd w:id="195"/>
    </w:p>
    <w:p w14:paraId="10241357" w14:textId="77777777" w:rsidR="00D6124B" w:rsidRPr="009B3F16" w:rsidRDefault="00D6124B" w:rsidP="009B3F16">
      <w:pPr>
        <w:widowControl w:val="0"/>
        <w:suppressAutoHyphens/>
        <w:spacing w:after="0" w:line="276" w:lineRule="auto"/>
        <w:jc w:val="center"/>
        <w:rPr>
          <w:rFonts w:ascii="Arial" w:hAnsi="Arial" w:cs="Arial"/>
          <w:kern w:val="1"/>
          <w:lang w:val="ro-RO" w:eastAsia="hi-IN" w:bidi="hi-IN"/>
        </w:rPr>
      </w:pPr>
    </w:p>
    <w:p w14:paraId="53069B17"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Majoritatea respondenţilor fac parte din categoriile de vârstă</w:t>
      </w:r>
      <w:r w:rsidR="009B3F16">
        <w:rPr>
          <w:rFonts w:ascii="Arial" w:hAnsi="Arial" w:cs="Mangal"/>
          <w:kern w:val="1"/>
          <w:lang w:val="ro-RO" w:eastAsia="hi-IN" w:bidi="hi-IN"/>
        </w:rPr>
        <w:t xml:space="preserve"> active (</w:t>
      </w:r>
      <w:r w:rsidR="00CE1562">
        <w:rPr>
          <w:rFonts w:ascii="Arial" w:hAnsi="Arial" w:cs="Mangal"/>
          <w:kern w:val="1"/>
          <w:lang w:val="ro-RO" w:eastAsia="hi-IN" w:bidi="hi-IN"/>
        </w:rPr>
        <w:t>28-37 ani, 38-47 ani, 48-57 ani) ce efectuează deplasări zilnice la locul de muncă şi din grupa de vârstă</w:t>
      </w:r>
      <w:r w:rsidRPr="00D6124B">
        <w:rPr>
          <w:rFonts w:ascii="Arial" w:hAnsi="Arial" w:cs="Mangal"/>
          <w:kern w:val="1"/>
          <w:lang w:val="ro-RO" w:eastAsia="hi-IN" w:bidi="hi-IN"/>
        </w:rPr>
        <w:t xml:space="preserve"> </w:t>
      </w:r>
      <w:r w:rsidR="009B3F16">
        <w:rPr>
          <w:rFonts w:ascii="Arial" w:hAnsi="Arial" w:cs="Mangal"/>
          <w:kern w:val="1"/>
          <w:lang w:val="ro-RO" w:eastAsia="hi-IN" w:bidi="hi-IN"/>
        </w:rPr>
        <w:t xml:space="preserve">15-17 ani </w:t>
      </w:r>
      <w:r w:rsidRPr="00D6124B">
        <w:rPr>
          <w:rFonts w:ascii="Arial" w:hAnsi="Arial" w:cs="Mangal"/>
          <w:kern w:val="1"/>
          <w:lang w:val="ro-RO" w:eastAsia="hi-IN" w:bidi="hi-IN"/>
        </w:rPr>
        <w:t xml:space="preserve"> </w:t>
      </w:r>
      <w:r w:rsidR="00CE1562">
        <w:rPr>
          <w:rFonts w:ascii="Arial" w:hAnsi="Arial" w:cs="Mangal"/>
          <w:kern w:val="1"/>
          <w:lang w:val="ro-RO" w:eastAsia="hi-IN" w:bidi="hi-IN"/>
        </w:rPr>
        <w:t>corespunzătoare elevilor din învăţământul liceal, ce efectuează deplasări la unităţile de învăţământ</w:t>
      </w:r>
      <w:r w:rsidRPr="00D6124B">
        <w:rPr>
          <w:rFonts w:ascii="Arial" w:hAnsi="Arial" w:cs="Mangal"/>
          <w:kern w:val="1"/>
          <w:lang w:val="ro-RO" w:eastAsia="hi-IN" w:bidi="hi-IN"/>
        </w:rPr>
        <w:t>.</w:t>
      </w:r>
    </w:p>
    <w:p w14:paraId="3F789AD2" w14:textId="77777777" w:rsidR="00D6124B" w:rsidRPr="00D6124B" w:rsidRDefault="00D6124B" w:rsidP="00D6124B">
      <w:pPr>
        <w:widowControl w:val="0"/>
        <w:suppressAutoHyphens/>
        <w:spacing w:after="0" w:line="276" w:lineRule="auto"/>
        <w:jc w:val="both"/>
        <w:rPr>
          <w:rFonts w:ascii="Arial" w:hAnsi="Arial" w:cs="Mangal"/>
          <w:kern w:val="1"/>
          <w:sz w:val="24"/>
          <w:szCs w:val="24"/>
          <w:lang w:val="ro-RO" w:eastAsia="hi-IN" w:bidi="hi-IN"/>
        </w:rPr>
      </w:pPr>
    </w:p>
    <w:p w14:paraId="10D83F7C" w14:textId="77777777" w:rsidR="00D6124B" w:rsidRPr="00D6124B" w:rsidRDefault="00EC0ED3" w:rsidP="00D6124B">
      <w:pPr>
        <w:widowControl w:val="0"/>
        <w:suppressAutoHyphens/>
        <w:spacing w:after="0" w:line="276" w:lineRule="auto"/>
        <w:jc w:val="both"/>
        <w:rPr>
          <w:rFonts w:ascii="Arial" w:hAnsi="Arial" w:cs="Mangal"/>
          <w:kern w:val="1"/>
          <w:lang w:val="ro-RO" w:eastAsia="hi-IN" w:bidi="hi-IN"/>
        </w:rPr>
      </w:pPr>
      <w:r>
        <w:rPr>
          <w:rFonts w:ascii="Arial" w:hAnsi="Arial" w:cs="Mangal"/>
          <w:kern w:val="1"/>
          <w:lang w:val="ro-RO" w:eastAsia="hi-IN" w:bidi="hi-IN"/>
        </w:rPr>
        <w:t>Numărul mediu de membr</w:t>
      </w:r>
      <w:r w:rsidR="00D6124B" w:rsidRPr="00D6124B">
        <w:rPr>
          <w:rFonts w:ascii="Arial" w:hAnsi="Arial" w:cs="Mangal"/>
          <w:kern w:val="1"/>
          <w:lang w:val="ro-RO" w:eastAsia="hi-IN" w:bidi="hi-IN"/>
        </w:rPr>
        <w:t xml:space="preserve">i din gospodărie pentru cei chestionaţi este de </w:t>
      </w:r>
      <w:r w:rsidR="00CE1562">
        <w:rPr>
          <w:rFonts w:ascii="Arial" w:hAnsi="Arial" w:cs="Mangal"/>
          <w:kern w:val="1"/>
          <w:lang w:val="ro-RO" w:eastAsia="hi-IN" w:bidi="hi-IN"/>
        </w:rPr>
        <w:t>4</w:t>
      </w:r>
      <w:r w:rsidR="00D6124B" w:rsidRPr="00D6124B">
        <w:rPr>
          <w:rFonts w:ascii="Arial" w:hAnsi="Arial" w:cs="Mangal"/>
          <w:kern w:val="1"/>
          <w:lang w:val="ro-RO" w:eastAsia="hi-IN" w:bidi="hi-IN"/>
        </w:rPr>
        <w:t xml:space="preserve">, cu un minim de 1 membru în gospodărie şi un maxim de 7 membrii în gospodărie. Cel mai frecvent, gospodăriile au un număr de </w:t>
      </w:r>
      <w:r>
        <w:rPr>
          <w:rFonts w:ascii="Arial" w:hAnsi="Arial" w:cs="Mangal"/>
          <w:kern w:val="1"/>
          <w:lang w:val="ro-RO" w:eastAsia="hi-IN" w:bidi="hi-IN"/>
        </w:rPr>
        <w:t>4</w:t>
      </w:r>
      <w:r w:rsidR="00D6124B" w:rsidRPr="00D6124B">
        <w:rPr>
          <w:rFonts w:ascii="Arial" w:hAnsi="Arial" w:cs="Mangal"/>
          <w:kern w:val="1"/>
          <w:lang w:val="ro-RO" w:eastAsia="hi-IN" w:bidi="hi-IN"/>
        </w:rPr>
        <w:t xml:space="preserve">, </w:t>
      </w:r>
      <w:r>
        <w:rPr>
          <w:rFonts w:ascii="Arial" w:hAnsi="Arial" w:cs="Mangal"/>
          <w:kern w:val="1"/>
          <w:lang w:val="ro-RO" w:eastAsia="hi-IN" w:bidi="hi-IN"/>
        </w:rPr>
        <w:t>3</w:t>
      </w:r>
      <w:r w:rsidR="00D6124B" w:rsidRPr="00D6124B">
        <w:rPr>
          <w:rFonts w:ascii="Arial" w:hAnsi="Arial" w:cs="Mangal"/>
          <w:kern w:val="1"/>
          <w:lang w:val="ro-RO" w:eastAsia="hi-IN" w:bidi="hi-IN"/>
        </w:rPr>
        <w:t xml:space="preserve"> sau </w:t>
      </w:r>
      <w:r>
        <w:rPr>
          <w:rFonts w:ascii="Arial" w:hAnsi="Arial" w:cs="Mangal"/>
          <w:kern w:val="1"/>
          <w:lang w:val="ro-RO" w:eastAsia="hi-IN" w:bidi="hi-IN"/>
        </w:rPr>
        <w:t>2 membri, cele mai reduse situaţii fiind ale gospodăriilor cu 1 membru, respectiv 7 membri</w:t>
      </w:r>
      <w:r w:rsidR="00D6124B" w:rsidRPr="00D6124B">
        <w:rPr>
          <w:rFonts w:ascii="Arial" w:hAnsi="Arial" w:cs="Mangal"/>
          <w:kern w:val="1"/>
          <w:lang w:val="ro-RO" w:eastAsia="hi-IN" w:bidi="hi-IN"/>
        </w:rPr>
        <w:t>.</w:t>
      </w:r>
    </w:p>
    <w:p w14:paraId="53083FAD" w14:textId="77777777" w:rsidR="00D6124B" w:rsidRPr="00D6124B" w:rsidRDefault="00CE1562" w:rsidP="00D6124B">
      <w:pPr>
        <w:widowControl w:val="0"/>
        <w:suppressAutoHyphens/>
        <w:spacing w:after="0" w:line="276" w:lineRule="auto"/>
        <w:jc w:val="center"/>
        <w:rPr>
          <w:rFonts w:ascii="Arial" w:hAnsi="Arial" w:cs="Mangal"/>
          <w:kern w:val="1"/>
          <w:lang w:val="ro-RO" w:eastAsia="hi-IN" w:bidi="hi-IN"/>
        </w:rPr>
      </w:pPr>
      <w:r>
        <w:rPr>
          <w:noProof/>
        </w:rPr>
        <w:drawing>
          <wp:inline distT="0" distB="0" distL="0" distR="0" wp14:anchorId="41307893" wp14:editId="2B268945">
            <wp:extent cx="3876675" cy="2480945"/>
            <wp:effectExtent l="0" t="0" r="9525" b="1460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E7FC28F" w14:textId="47D73A5D" w:rsidR="00D6124B" w:rsidRPr="00EC0ED3" w:rsidRDefault="00EC0ED3" w:rsidP="00EC0ED3">
      <w:pPr>
        <w:pStyle w:val="Legend"/>
        <w:jc w:val="center"/>
        <w:rPr>
          <w:rFonts w:ascii="Arial" w:hAnsi="Arial" w:cs="Arial"/>
          <w:i w:val="0"/>
          <w:kern w:val="1"/>
          <w:sz w:val="22"/>
          <w:szCs w:val="22"/>
          <w:lang w:val="ro-RO" w:eastAsia="hi-IN" w:bidi="hi-IN"/>
        </w:rPr>
      </w:pPr>
      <w:bookmarkStart w:id="196" w:name="_Toc68361162"/>
      <w:bookmarkStart w:id="197" w:name="_Toc140744488"/>
      <w:r w:rsidRPr="00EC0ED3">
        <w:rPr>
          <w:rFonts w:ascii="Arial" w:hAnsi="Arial" w:cs="Arial"/>
          <w:sz w:val="22"/>
          <w:szCs w:val="22"/>
        </w:rPr>
        <w:t xml:space="preserve">Figura I.3. </w:t>
      </w:r>
      <w:r w:rsidRPr="00EC0ED3">
        <w:rPr>
          <w:rFonts w:ascii="Arial" w:hAnsi="Arial" w:cs="Arial"/>
          <w:sz w:val="22"/>
          <w:szCs w:val="22"/>
        </w:rPr>
        <w:fldChar w:fldCharType="begin"/>
      </w:r>
      <w:r w:rsidRPr="00EC0ED3">
        <w:rPr>
          <w:rFonts w:ascii="Arial" w:hAnsi="Arial" w:cs="Arial"/>
          <w:sz w:val="22"/>
          <w:szCs w:val="22"/>
        </w:rPr>
        <w:instrText xml:space="preserve"> SEQ Figura_I.3. \* ARABIC </w:instrText>
      </w:r>
      <w:r w:rsidRPr="00EC0ED3">
        <w:rPr>
          <w:rFonts w:ascii="Arial" w:hAnsi="Arial" w:cs="Arial"/>
          <w:sz w:val="22"/>
          <w:szCs w:val="22"/>
        </w:rPr>
        <w:fldChar w:fldCharType="separate"/>
      </w:r>
      <w:r w:rsidR="00BB181C">
        <w:rPr>
          <w:rFonts w:ascii="Arial" w:hAnsi="Arial" w:cs="Arial"/>
          <w:noProof/>
          <w:sz w:val="22"/>
          <w:szCs w:val="22"/>
        </w:rPr>
        <w:t>11</w:t>
      </w:r>
      <w:r w:rsidRPr="00EC0ED3">
        <w:rPr>
          <w:rFonts w:ascii="Arial" w:hAnsi="Arial" w:cs="Arial"/>
          <w:sz w:val="22"/>
          <w:szCs w:val="22"/>
        </w:rPr>
        <w:fldChar w:fldCharType="end"/>
      </w:r>
      <w:r w:rsidRPr="00EC0ED3">
        <w:rPr>
          <w:rFonts w:ascii="Arial" w:hAnsi="Arial" w:cs="Arial"/>
          <w:sz w:val="22"/>
          <w:szCs w:val="22"/>
        </w:rPr>
        <w:t xml:space="preserve"> </w:t>
      </w:r>
      <w:r w:rsidR="007F69D0" w:rsidRPr="00EC0ED3">
        <w:rPr>
          <w:rFonts w:ascii="Arial" w:hAnsi="Arial" w:cs="Arial"/>
          <w:sz w:val="22"/>
          <w:szCs w:val="22"/>
        </w:rPr>
        <w:t xml:space="preserve">- </w:t>
      </w:r>
      <w:r w:rsidR="00772CEE">
        <w:rPr>
          <w:rFonts w:ascii="Arial" w:hAnsi="Arial" w:cs="Arial"/>
          <w:i w:val="0"/>
          <w:kern w:val="1"/>
          <w:sz w:val="22"/>
          <w:szCs w:val="22"/>
          <w:lang w:val="ro-RO" w:eastAsia="hi-IN" w:bidi="hi-IN"/>
        </w:rPr>
        <w:t>Număr membri</w:t>
      </w:r>
      <w:r w:rsidR="00D6124B" w:rsidRPr="00EC0ED3">
        <w:rPr>
          <w:rFonts w:ascii="Arial" w:hAnsi="Arial" w:cs="Arial"/>
          <w:i w:val="0"/>
          <w:kern w:val="1"/>
          <w:sz w:val="22"/>
          <w:szCs w:val="22"/>
          <w:lang w:val="ro-RO" w:eastAsia="hi-IN" w:bidi="hi-IN"/>
        </w:rPr>
        <w:t xml:space="preserve"> în gospodărie</w:t>
      </w:r>
      <w:bookmarkEnd w:id="196"/>
      <w:bookmarkEnd w:id="197"/>
    </w:p>
    <w:p w14:paraId="0657EBAD"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lastRenderedPageBreak/>
        <w:t xml:space="preserve">În ce priveşte numărul de autoturisme deţinute în gospodărie, </w:t>
      </w:r>
      <w:r w:rsidR="00EC0ED3">
        <w:rPr>
          <w:rFonts w:ascii="Arial" w:hAnsi="Arial" w:cs="Mangal"/>
          <w:kern w:val="1"/>
          <w:lang w:val="ro-RO" w:eastAsia="hi-IN" w:bidi="hi-IN"/>
        </w:rPr>
        <w:t>o pondere de 76%</w:t>
      </w:r>
      <w:r w:rsidRPr="00D6124B">
        <w:rPr>
          <w:rFonts w:ascii="Arial" w:hAnsi="Arial" w:cs="Mangal"/>
          <w:kern w:val="1"/>
          <w:lang w:val="ro-RO" w:eastAsia="hi-IN" w:bidi="hi-IN"/>
        </w:rPr>
        <w:t xml:space="preserve"> dintre cei intervievaţi deţin în gospodărie un</w:t>
      </w:r>
      <w:r w:rsidR="00EC0ED3">
        <w:rPr>
          <w:rFonts w:ascii="Arial" w:hAnsi="Arial" w:cs="Mangal"/>
          <w:kern w:val="1"/>
          <w:lang w:val="ro-RO" w:eastAsia="hi-IN" w:bidi="hi-IN"/>
        </w:rPr>
        <w:t>ul sau mai multe</w:t>
      </w:r>
      <w:r w:rsidRPr="00D6124B">
        <w:rPr>
          <w:rFonts w:ascii="Arial" w:hAnsi="Arial" w:cs="Mangal"/>
          <w:kern w:val="1"/>
          <w:lang w:val="ro-RO" w:eastAsia="hi-IN" w:bidi="hi-IN"/>
        </w:rPr>
        <w:t xml:space="preserve"> autoturism</w:t>
      </w:r>
      <w:r w:rsidR="00EC0ED3">
        <w:rPr>
          <w:rFonts w:ascii="Arial" w:hAnsi="Arial" w:cs="Mangal"/>
          <w:kern w:val="1"/>
          <w:lang w:val="ro-RO" w:eastAsia="hi-IN" w:bidi="hi-IN"/>
        </w:rPr>
        <w:t>e</w:t>
      </w:r>
      <w:r w:rsidRPr="00D6124B">
        <w:rPr>
          <w:rFonts w:ascii="Arial" w:hAnsi="Arial" w:cs="Mangal"/>
          <w:kern w:val="1"/>
          <w:lang w:val="ro-RO" w:eastAsia="hi-IN" w:bidi="hi-IN"/>
        </w:rPr>
        <w:t xml:space="preserve"> personal</w:t>
      </w:r>
      <w:r w:rsidR="00EC0ED3">
        <w:rPr>
          <w:rFonts w:ascii="Arial" w:hAnsi="Arial" w:cs="Mangal"/>
          <w:kern w:val="1"/>
          <w:lang w:val="ro-RO" w:eastAsia="hi-IN" w:bidi="hi-IN"/>
        </w:rPr>
        <w:t>e</w:t>
      </w:r>
      <w:r w:rsidRPr="00D6124B">
        <w:rPr>
          <w:rFonts w:ascii="Arial" w:hAnsi="Arial" w:cs="Mangal"/>
          <w:kern w:val="1"/>
          <w:lang w:val="ro-RO" w:eastAsia="hi-IN" w:bidi="hi-IN"/>
        </w:rPr>
        <w:t>.</w:t>
      </w:r>
      <w:r w:rsidR="00772CEE">
        <w:rPr>
          <w:rFonts w:ascii="Arial" w:hAnsi="Arial" w:cs="Mangal"/>
          <w:kern w:val="1"/>
          <w:lang w:val="ro-RO" w:eastAsia="hi-IN" w:bidi="hi-IN"/>
        </w:rPr>
        <w:t xml:space="preserve"> În majoritatea gospodăriilor se regăsesc 1 sau 2 autoturisme personale, astfel cum este prezentat şi în figura următoare.</w:t>
      </w:r>
    </w:p>
    <w:p w14:paraId="75F90BE9" w14:textId="77777777" w:rsidR="00D6124B" w:rsidRPr="00D6124B" w:rsidRDefault="00EC0ED3" w:rsidP="00D6124B">
      <w:pPr>
        <w:widowControl w:val="0"/>
        <w:suppressAutoHyphens/>
        <w:spacing w:after="0" w:line="360" w:lineRule="auto"/>
        <w:jc w:val="center"/>
        <w:rPr>
          <w:rFonts w:ascii="Arial" w:hAnsi="Arial" w:cs="Mangal"/>
          <w:kern w:val="1"/>
          <w:sz w:val="24"/>
          <w:szCs w:val="24"/>
          <w:lang w:val="ro-RO" w:eastAsia="hi-IN" w:bidi="hi-IN"/>
        </w:rPr>
      </w:pPr>
      <w:r>
        <w:rPr>
          <w:noProof/>
        </w:rPr>
        <w:drawing>
          <wp:inline distT="0" distB="0" distL="0" distR="0" wp14:anchorId="21053145" wp14:editId="5F3FEFD1">
            <wp:extent cx="4572000" cy="27432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6E4ACF18" w14:textId="051CDC3F" w:rsidR="00D6124B" w:rsidRPr="00EC0ED3" w:rsidRDefault="00EC0ED3" w:rsidP="00EC0ED3">
      <w:pPr>
        <w:pStyle w:val="Legend"/>
        <w:jc w:val="center"/>
        <w:rPr>
          <w:rFonts w:ascii="Arial" w:hAnsi="Arial" w:cs="Arial"/>
          <w:i w:val="0"/>
          <w:kern w:val="1"/>
          <w:sz w:val="22"/>
          <w:szCs w:val="22"/>
          <w:lang w:val="ro-RO" w:eastAsia="hi-IN" w:bidi="hi-IN"/>
        </w:rPr>
      </w:pPr>
      <w:bookmarkStart w:id="198" w:name="_Toc68361163"/>
      <w:bookmarkStart w:id="199" w:name="_Toc140744489"/>
      <w:r w:rsidRPr="00EC0ED3">
        <w:rPr>
          <w:rFonts w:ascii="Arial" w:hAnsi="Arial" w:cs="Arial"/>
          <w:sz w:val="22"/>
          <w:szCs w:val="22"/>
        </w:rPr>
        <w:t xml:space="preserve">Figura I.3. </w:t>
      </w:r>
      <w:r w:rsidRPr="00EC0ED3">
        <w:rPr>
          <w:rFonts w:ascii="Arial" w:hAnsi="Arial" w:cs="Arial"/>
          <w:sz w:val="22"/>
          <w:szCs w:val="22"/>
        </w:rPr>
        <w:fldChar w:fldCharType="begin"/>
      </w:r>
      <w:r w:rsidRPr="00EC0ED3">
        <w:rPr>
          <w:rFonts w:ascii="Arial" w:hAnsi="Arial" w:cs="Arial"/>
          <w:sz w:val="22"/>
          <w:szCs w:val="22"/>
        </w:rPr>
        <w:instrText xml:space="preserve"> SEQ Figura_I.3. \* ARABIC </w:instrText>
      </w:r>
      <w:r w:rsidRPr="00EC0ED3">
        <w:rPr>
          <w:rFonts w:ascii="Arial" w:hAnsi="Arial" w:cs="Arial"/>
          <w:sz w:val="22"/>
          <w:szCs w:val="22"/>
        </w:rPr>
        <w:fldChar w:fldCharType="separate"/>
      </w:r>
      <w:r w:rsidR="00BB181C">
        <w:rPr>
          <w:rFonts w:ascii="Arial" w:hAnsi="Arial" w:cs="Arial"/>
          <w:noProof/>
          <w:sz w:val="22"/>
          <w:szCs w:val="22"/>
        </w:rPr>
        <w:t>12</w:t>
      </w:r>
      <w:r w:rsidRPr="00EC0ED3">
        <w:rPr>
          <w:rFonts w:ascii="Arial" w:hAnsi="Arial" w:cs="Arial"/>
          <w:sz w:val="22"/>
          <w:szCs w:val="22"/>
        </w:rPr>
        <w:fldChar w:fldCharType="end"/>
      </w:r>
      <w:r w:rsidRPr="00EC0ED3">
        <w:rPr>
          <w:rFonts w:ascii="Arial" w:hAnsi="Arial" w:cs="Arial"/>
          <w:sz w:val="22"/>
          <w:szCs w:val="22"/>
        </w:rPr>
        <w:t xml:space="preserve"> </w:t>
      </w:r>
      <w:r w:rsidR="007F69D0" w:rsidRPr="00EC0ED3">
        <w:rPr>
          <w:rFonts w:ascii="Arial" w:hAnsi="Arial" w:cs="Arial"/>
          <w:sz w:val="22"/>
          <w:szCs w:val="22"/>
        </w:rPr>
        <w:t xml:space="preserve">- </w:t>
      </w:r>
      <w:r w:rsidR="00D6124B" w:rsidRPr="00EC0ED3">
        <w:rPr>
          <w:rFonts w:ascii="Arial" w:hAnsi="Arial" w:cs="Arial"/>
          <w:i w:val="0"/>
          <w:kern w:val="1"/>
          <w:sz w:val="22"/>
          <w:szCs w:val="22"/>
          <w:lang w:val="ro-RO" w:eastAsia="hi-IN" w:bidi="hi-IN"/>
        </w:rPr>
        <w:t>Număr autoturisme deţinute în gospodării</w:t>
      </w:r>
      <w:bookmarkEnd w:id="198"/>
      <w:bookmarkEnd w:id="199"/>
    </w:p>
    <w:p w14:paraId="46F7C9D3" w14:textId="77777777" w:rsidR="00D6124B" w:rsidRPr="00D6124B" w:rsidRDefault="00D6124B" w:rsidP="00D6124B">
      <w:pPr>
        <w:widowControl w:val="0"/>
        <w:suppressAutoHyphens/>
        <w:spacing w:after="0" w:line="276" w:lineRule="auto"/>
        <w:rPr>
          <w:rFonts w:ascii="Arial" w:hAnsi="Arial" w:cs="Mangal"/>
          <w:kern w:val="1"/>
          <w:lang w:val="ro-RO" w:eastAsia="hi-IN" w:bidi="hi-IN"/>
        </w:rPr>
      </w:pPr>
      <w:r w:rsidRPr="00D6124B">
        <w:rPr>
          <w:rFonts w:ascii="Arial" w:hAnsi="Arial" w:cs="Mangal"/>
          <w:kern w:val="1"/>
          <w:lang w:val="ro-RO" w:eastAsia="hi-IN" w:bidi="hi-IN"/>
        </w:rPr>
        <w:t>În privinţa deţinerii altor tipuri de autovehicule, situaţia se prezintă astfel:</w:t>
      </w:r>
    </w:p>
    <w:p w14:paraId="2B06721B" w14:textId="77777777" w:rsidR="00D6124B" w:rsidRPr="00D6124B" w:rsidRDefault="00D6124B" w:rsidP="006B613A">
      <w:pPr>
        <w:widowControl w:val="0"/>
        <w:numPr>
          <w:ilvl w:val="0"/>
          <w:numId w:val="54"/>
        </w:numPr>
        <w:suppressAutoHyphens/>
        <w:spacing w:after="0" w:line="276" w:lineRule="auto"/>
        <w:contextualSpacing/>
        <w:rPr>
          <w:rFonts w:ascii="Arial" w:hAnsi="Arial" w:cs="Mangal"/>
          <w:kern w:val="1"/>
          <w:lang w:val="ro-RO" w:eastAsia="hi-IN" w:bidi="hi-IN"/>
        </w:rPr>
      </w:pPr>
      <w:r w:rsidRPr="00D6124B">
        <w:rPr>
          <w:rFonts w:ascii="Arial" w:hAnsi="Arial" w:cs="Mangal"/>
          <w:kern w:val="1"/>
          <w:lang w:val="ro-RO" w:eastAsia="hi-IN" w:bidi="hi-IN"/>
        </w:rPr>
        <w:t xml:space="preserve">în circa </w:t>
      </w:r>
      <w:r w:rsidR="00772CEE">
        <w:rPr>
          <w:rFonts w:ascii="Arial" w:hAnsi="Arial" w:cs="Mangal"/>
          <w:kern w:val="1"/>
          <w:lang w:val="ro-RO" w:eastAsia="hi-IN" w:bidi="hi-IN"/>
        </w:rPr>
        <w:t>2,6</w:t>
      </w:r>
      <w:r w:rsidRPr="00D6124B">
        <w:rPr>
          <w:rFonts w:ascii="Arial" w:hAnsi="Arial" w:cs="Mangal"/>
          <w:kern w:val="1"/>
          <w:lang w:val="ro-RO" w:eastAsia="hi-IN" w:bidi="hi-IN"/>
        </w:rPr>
        <w:t xml:space="preserve">% din gospodăriile celor intervievaţi se deţine 1 autovehicul tip furgonetă </w:t>
      </w:r>
    </w:p>
    <w:p w14:paraId="3154301B" w14:textId="77777777" w:rsidR="00D6124B" w:rsidRPr="00D6124B" w:rsidRDefault="00D6124B" w:rsidP="006B613A">
      <w:pPr>
        <w:widowControl w:val="0"/>
        <w:numPr>
          <w:ilvl w:val="0"/>
          <w:numId w:val="54"/>
        </w:numPr>
        <w:suppressAutoHyphens/>
        <w:spacing w:after="0" w:line="276" w:lineRule="auto"/>
        <w:contextualSpacing/>
        <w:rPr>
          <w:rFonts w:ascii="Arial" w:hAnsi="Arial" w:cs="Mangal"/>
          <w:kern w:val="1"/>
          <w:lang w:val="ro-RO" w:eastAsia="hi-IN" w:bidi="hi-IN"/>
        </w:rPr>
      </w:pPr>
      <w:r w:rsidRPr="00D6124B">
        <w:rPr>
          <w:rFonts w:ascii="Arial" w:hAnsi="Arial" w:cs="Mangal"/>
          <w:kern w:val="1"/>
          <w:lang w:val="ro-RO" w:eastAsia="hi-IN" w:bidi="hi-IN"/>
        </w:rPr>
        <w:t xml:space="preserve">în circa </w:t>
      </w:r>
      <w:r w:rsidR="00772CEE">
        <w:rPr>
          <w:rFonts w:ascii="Arial" w:hAnsi="Arial" w:cs="Mangal"/>
          <w:kern w:val="1"/>
          <w:lang w:val="ro-RO" w:eastAsia="hi-IN" w:bidi="hi-IN"/>
        </w:rPr>
        <w:t>1</w:t>
      </w:r>
      <w:r w:rsidRPr="00D6124B">
        <w:rPr>
          <w:rFonts w:ascii="Arial" w:hAnsi="Arial" w:cs="Mangal"/>
          <w:kern w:val="1"/>
          <w:lang w:val="ro-RO" w:eastAsia="hi-IN" w:bidi="hi-IN"/>
        </w:rPr>
        <w:t>% din gospodăriile celor intervievaţi se deţine 1</w:t>
      </w:r>
      <w:r w:rsidR="00772CEE">
        <w:rPr>
          <w:rFonts w:ascii="Arial" w:hAnsi="Arial" w:cs="Mangal"/>
          <w:kern w:val="1"/>
          <w:lang w:val="ro-RO" w:eastAsia="hi-IN" w:bidi="hi-IN"/>
        </w:rPr>
        <w:t xml:space="preserve"> cel puţin 1</w:t>
      </w:r>
      <w:r w:rsidRPr="00D6124B">
        <w:rPr>
          <w:rFonts w:ascii="Arial" w:hAnsi="Arial" w:cs="Mangal"/>
          <w:kern w:val="1"/>
          <w:lang w:val="ro-RO" w:eastAsia="hi-IN" w:bidi="hi-IN"/>
        </w:rPr>
        <w:t xml:space="preserve"> autovehicul tip camion</w:t>
      </w:r>
    </w:p>
    <w:p w14:paraId="05C63B6D" w14:textId="77777777" w:rsidR="00D6124B" w:rsidRPr="00D6124B" w:rsidRDefault="00D6124B" w:rsidP="006B613A">
      <w:pPr>
        <w:widowControl w:val="0"/>
        <w:numPr>
          <w:ilvl w:val="0"/>
          <w:numId w:val="54"/>
        </w:numPr>
        <w:suppressAutoHyphens/>
        <w:spacing w:after="0" w:line="276" w:lineRule="auto"/>
        <w:contextualSpacing/>
        <w:rPr>
          <w:rFonts w:ascii="Arial" w:hAnsi="Arial" w:cs="Mangal"/>
          <w:kern w:val="1"/>
          <w:lang w:val="ro-RO" w:eastAsia="hi-IN" w:bidi="hi-IN"/>
        </w:rPr>
      </w:pPr>
      <w:r w:rsidRPr="00D6124B">
        <w:rPr>
          <w:rFonts w:ascii="Arial" w:hAnsi="Arial" w:cs="Mangal"/>
          <w:kern w:val="1"/>
          <w:lang w:val="ro-RO" w:eastAsia="hi-IN" w:bidi="hi-IN"/>
        </w:rPr>
        <w:t xml:space="preserve">în circa </w:t>
      </w:r>
      <w:r w:rsidR="00772CEE">
        <w:rPr>
          <w:rFonts w:ascii="Arial" w:hAnsi="Arial" w:cs="Mangal"/>
          <w:kern w:val="1"/>
          <w:lang w:val="ro-RO" w:eastAsia="hi-IN" w:bidi="hi-IN"/>
        </w:rPr>
        <w:t>1</w:t>
      </w:r>
      <w:r w:rsidRPr="00D6124B">
        <w:rPr>
          <w:rFonts w:ascii="Arial" w:hAnsi="Arial" w:cs="Mangal"/>
          <w:kern w:val="1"/>
          <w:lang w:val="ro-RO" w:eastAsia="hi-IN" w:bidi="hi-IN"/>
        </w:rPr>
        <w:t>% din gospodăriile celor intervievaţi se deţine 1 autovehicul tip tractor</w:t>
      </w:r>
    </w:p>
    <w:p w14:paraId="20E2803E" w14:textId="77777777" w:rsidR="00D6124B" w:rsidRPr="00D6124B" w:rsidRDefault="00D6124B" w:rsidP="00D6124B">
      <w:pPr>
        <w:widowControl w:val="0"/>
        <w:suppressAutoHyphens/>
        <w:spacing w:after="0" w:line="240" w:lineRule="auto"/>
        <w:rPr>
          <w:rFonts w:ascii="Arial" w:hAnsi="Arial" w:cs="Mangal"/>
          <w:kern w:val="1"/>
          <w:sz w:val="24"/>
          <w:szCs w:val="24"/>
          <w:lang w:val="ro-RO" w:eastAsia="hi-IN" w:bidi="hi-IN"/>
        </w:rPr>
      </w:pPr>
    </w:p>
    <w:p w14:paraId="2C5E947B" w14:textId="77777777" w:rsidR="00D6124B" w:rsidRPr="00D6124B" w:rsidRDefault="00D6124B" w:rsidP="00D6124B">
      <w:pPr>
        <w:widowControl w:val="0"/>
        <w:suppressAutoHyphens/>
        <w:spacing w:after="0" w:line="276" w:lineRule="auto"/>
        <w:jc w:val="both"/>
        <w:rPr>
          <w:rFonts w:ascii="Arial" w:hAnsi="Arial" w:cs="Arial"/>
          <w:kern w:val="1"/>
          <w:lang w:val="ro-RO" w:eastAsia="hi-IN" w:bidi="hi-IN"/>
        </w:rPr>
      </w:pPr>
      <w:r w:rsidRPr="00D6124B">
        <w:rPr>
          <w:rFonts w:ascii="Arial" w:hAnsi="Arial" w:cs="Arial"/>
          <w:kern w:val="1"/>
          <w:lang w:val="ro-RO" w:eastAsia="hi-IN" w:bidi="hi-IN"/>
        </w:rPr>
        <w:t xml:space="preserve">Referitor la situaţia deţinerii carnetului de conducere, </w:t>
      </w:r>
      <w:r w:rsidR="00772CEE">
        <w:rPr>
          <w:rFonts w:ascii="Arial" w:hAnsi="Arial" w:cs="Arial"/>
          <w:kern w:val="1"/>
          <w:lang w:val="ro-RO" w:eastAsia="hi-IN" w:bidi="hi-IN"/>
        </w:rPr>
        <w:t>43</w:t>
      </w:r>
      <w:r w:rsidRPr="00D6124B">
        <w:rPr>
          <w:rFonts w:ascii="Arial" w:hAnsi="Arial" w:cs="Arial"/>
          <w:kern w:val="1"/>
          <w:lang w:val="ro-RO" w:eastAsia="hi-IN" w:bidi="hi-IN"/>
        </w:rPr>
        <w:t>,</w:t>
      </w:r>
      <w:r w:rsidR="00772CEE">
        <w:rPr>
          <w:rFonts w:ascii="Arial" w:hAnsi="Arial" w:cs="Arial"/>
          <w:kern w:val="1"/>
          <w:lang w:val="ro-RO" w:eastAsia="hi-IN" w:bidi="hi-IN"/>
        </w:rPr>
        <w:t>82</w:t>
      </w:r>
      <w:r w:rsidRPr="00D6124B">
        <w:rPr>
          <w:rFonts w:ascii="Arial" w:hAnsi="Arial" w:cs="Arial"/>
          <w:kern w:val="1"/>
          <w:lang w:val="ro-RO" w:eastAsia="hi-IN" w:bidi="hi-IN"/>
        </w:rPr>
        <w:t xml:space="preserve">% dintre respondenţi afirmă că deţin carnet de conducere </w:t>
      </w:r>
      <w:r w:rsidR="00772CEE">
        <w:rPr>
          <w:rFonts w:ascii="Arial" w:hAnsi="Arial" w:cs="Arial"/>
          <w:kern w:val="1"/>
          <w:lang w:val="ro-RO" w:eastAsia="hi-IN" w:bidi="hi-IN"/>
        </w:rPr>
        <w:t>în timp ce</w:t>
      </w:r>
      <w:r w:rsidRPr="00D6124B">
        <w:rPr>
          <w:rFonts w:ascii="Arial" w:hAnsi="Arial" w:cs="Arial"/>
          <w:kern w:val="1"/>
          <w:lang w:val="ro-RO" w:eastAsia="hi-IN" w:bidi="hi-IN"/>
        </w:rPr>
        <w:t xml:space="preserve"> </w:t>
      </w:r>
      <w:r w:rsidR="00772CEE">
        <w:rPr>
          <w:rFonts w:ascii="Arial" w:hAnsi="Arial" w:cs="Arial"/>
          <w:kern w:val="1"/>
          <w:lang w:val="ro-RO" w:eastAsia="hi-IN" w:bidi="hi-IN"/>
        </w:rPr>
        <w:t>56</w:t>
      </w:r>
      <w:r w:rsidRPr="00D6124B">
        <w:rPr>
          <w:rFonts w:ascii="Arial" w:hAnsi="Arial" w:cs="Arial"/>
          <w:kern w:val="1"/>
          <w:lang w:val="ro-RO" w:eastAsia="hi-IN" w:bidi="hi-IN"/>
        </w:rPr>
        <w:t>,</w:t>
      </w:r>
      <w:r w:rsidR="00772CEE">
        <w:rPr>
          <w:rFonts w:ascii="Arial" w:hAnsi="Arial" w:cs="Arial"/>
          <w:kern w:val="1"/>
          <w:lang w:val="ro-RO" w:eastAsia="hi-IN" w:bidi="hi-IN"/>
        </w:rPr>
        <w:t>18</w:t>
      </w:r>
      <w:r w:rsidRPr="00D6124B">
        <w:rPr>
          <w:rFonts w:ascii="Arial" w:hAnsi="Arial" w:cs="Arial"/>
          <w:kern w:val="1"/>
          <w:lang w:val="ro-RO" w:eastAsia="hi-IN" w:bidi="hi-IN"/>
        </w:rPr>
        <w:t xml:space="preserve">% </w:t>
      </w:r>
      <w:r w:rsidR="00772CEE">
        <w:rPr>
          <w:rFonts w:ascii="Arial" w:hAnsi="Arial" w:cs="Arial"/>
          <w:kern w:val="1"/>
          <w:lang w:val="ro-RO" w:eastAsia="hi-IN" w:bidi="hi-IN"/>
        </w:rPr>
        <w:t>afirmă că</w:t>
      </w:r>
      <w:r w:rsidRPr="00D6124B">
        <w:rPr>
          <w:rFonts w:ascii="Arial" w:hAnsi="Arial" w:cs="Arial"/>
          <w:kern w:val="1"/>
          <w:lang w:val="ro-RO" w:eastAsia="hi-IN" w:bidi="hi-IN"/>
        </w:rPr>
        <w:t xml:space="preserve"> nu deţin carnet de conducere, fapt surprins şi în figura următoare. </w:t>
      </w:r>
    </w:p>
    <w:p w14:paraId="4372F0E0" w14:textId="77777777" w:rsidR="00D6124B" w:rsidRPr="00D6124B" w:rsidRDefault="00772CEE" w:rsidP="00D6124B">
      <w:pPr>
        <w:widowControl w:val="0"/>
        <w:suppressAutoHyphens/>
        <w:spacing w:after="0" w:line="360" w:lineRule="auto"/>
        <w:jc w:val="center"/>
        <w:rPr>
          <w:rFonts w:ascii="Arial" w:hAnsi="Arial" w:cs="Mangal"/>
          <w:kern w:val="1"/>
          <w:sz w:val="24"/>
          <w:szCs w:val="24"/>
          <w:lang w:val="ro-RO" w:eastAsia="hi-IN" w:bidi="hi-IN"/>
        </w:rPr>
      </w:pPr>
      <w:r>
        <w:rPr>
          <w:noProof/>
        </w:rPr>
        <w:drawing>
          <wp:inline distT="0" distB="0" distL="0" distR="0" wp14:anchorId="32E01744" wp14:editId="59E96C96">
            <wp:extent cx="3505200" cy="1838325"/>
            <wp:effectExtent l="0" t="0" r="0" b="952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2B8F9213" w14:textId="4A818015" w:rsidR="00D6124B" w:rsidRPr="00C95463" w:rsidRDefault="00C95463" w:rsidP="00C95463">
      <w:pPr>
        <w:pStyle w:val="Legend"/>
        <w:jc w:val="center"/>
        <w:rPr>
          <w:rFonts w:ascii="Arial" w:hAnsi="Arial" w:cs="Arial"/>
          <w:i w:val="0"/>
          <w:kern w:val="1"/>
          <w:sz w:val="22"/>
          <w:szCs w:val="22"/>
          <w:lang w:val="ro-RO" w:eastAsia="hi-IN" w:bidi="hi-IN"/>
        </w:rPr>
      </w:pPr>
      <w:bookmarkStart w:id="200" w:name="_Toc68361164"/>
      <w:bookmarkStart w:id="201" w:name="_Toc140744490"/>
      <w:r w:rsidRPr="00C95463">
        <w:rPr>
          <w:rFonts w:ascii="Arial" w:hAnsi="Arial" w:cs="Arial"/>
          <w:sz w:val="22"/>
          <w:szCs w:val="22"/>
        </w:rPr>
        <w:t xml:space="preserve">Figura I.3. </w:t>
      </w:r>
      <w:r w:rsidRPr="00C95463">
        <w:rPr>
          <w:rFonts w:ascii="Arial" w:hAnsi="Arial" w:cs="Arial"/>
          <w:sz w:val="22"/>
          <w:szCs w:val="22"/>
        </w:rPr>
        <w:fldChar w:fldCharType="begin"/>
      </w:r>
      <w:r w:rsidRPr="00C95463">
        <w:rPr>
          <w:rFonts w:ascii="Arial" w:hAnsi="Arial" w:cs="Arial"/>
          <w:sz w:val="22"/>
          <w:szCs w:val="22"/>
        </w:rPr>
        <w:instrText xml:space="preserve"> SEQ Figura_I.3. \* ARABIC </w:instrText>
      </w:r>
      <w:r w:rsidRPr="00C95463">
        <w:rPr>
          <w:rFonts w:ascii="Arial" w:hAnsi="Arial" w:cs="Arial"/>
          <w:sz w:val="22"/>
          <w:szCs w:val="22"/>
        </w:rPr>
        <w:fldChar w:fldCharType="separate"/>
      </w:r>
      <w:r w:rsidR="00BB181C">
        <w:rPr>
          <w:rFonts w:ascii="Arial" w:hAnsi="Arial" w:cs="Arial"/>
          <w:noProof/>
          <w:sz w:val="22"/>
          <w:szCs w:val="22"/>
        </w:rPr>
        <w:t>13</w:t>
      </w:r>
      <w:r w:rsidRPr="00C95463">
        <w:rPr>
          <w:rFonts w:ascii="Arial" w:hAnsi="Arial" w:cs="Arial"/>
          <w:sz w:val="22"/>
          <w:szCs w:val="22"/>
        </w:rPr>
        <w:fldChar w:fldCharType="end"/>
      </w:r>
      <w:r w:rsidRPr="00C95463">
        <w:rPr>
          <w:rFonts w:ascii="Arial" w:hAnsi="Arial" w:cs="Arial"/>
          <w:sz w:val="22"/>
          <w:szCs w:val="22"/>
        </w:rPr>
        <w:t xml:space="preserve"> </w:t>
      </w:r>
      <w:r w:rsidR="007F69D0" w:rsidRPr="00C95463">
        <w:rPr>
          <w:rFonts w:ascii="Arial" w:hAnsi="Arial" w:cs="Arial"/>
          <w:sz w:val="22"/>
          <w:szCs w:val="22"/>
        </w:rPr>
        <w:t xml:space="preserve">– </w:t>
      </w:r>
      <w:r w:rsidR="007F69D0" w:rsidRPr="00C95463">
        <w:rPr>
          <w:rFonts w:ascii="Arial" w:hAnsi="Arial" w:cs="Arial"/>
          <w:i w:val="0"/>
          <w:sz w:val="22"/>
          <w:szCs w:val="22"/>
        </w:rPr>
        <w:t>Situaţie deţinere carnet de conducere</w:t>
      </w:r>
      <w:bookmarkEnd w:id="200"/>
      <w:bookmarkEnd w:id="201"/>
    </w:p>
    <w:p w14:paraId="3DE3AE6E" w14:textId="77777777" w:rsidR="00D6124B" w:rsidRPr="00321667" w:rsidRDefault="00D6124B" w:rsidP="00D6124B">
      <w:pPr>
        <w:widowControl w:val="0"/>
        <w:suppressAutoHyphens/>
        <w:spacing w:after="0" w:line="276" w:lineRule="auto"/>
        <w:jc w:val="both"/>
        <w:rPr>
          <w:rFonts w:ascii="Arial" w:hAnsi="Arial" w:cs="Mangal"/>
          <w:kern w:val="1"/>
          <w:lang w:val="ro-RO" w:eastAsia="hi-IN" w:bidi="hi-IN"/>
        </w:rPr>
      </w:pPr>
      <w:r w:rsidRPr="00321667">
        <w:rPr>
          <w:rFonts w:ascii="Arial" w:hAnsi="Arial" w:cs="Mangal"/>
          <w:kern w:val="1"/>
          <w:lang w:val="ro-RO" w:eastAsia="hi-IN" w:bidi="hi-IN"/>
        </w:rPr>
        <w:t xml:space="preserve">Aşadar, peste 50% din cei chestionaţi, deţin cel puţin un autovehicul în gospodărie, fapt ce se va corela cu modul de transport utilizat preponderent pentru diferitele tipuri de deplasări efectuate, acesta fiind </w:t>
      </w:r>
      <w:r w:rsidR="00321667" w:rsidRPr="00321667">
        <w:rPr>
          <w:rFonts w:ascii="Arial" w:hAnsi="Arial" w:cs="Mangal"/>
          <w:kern w:val="1"/>
          <w:lang w:val="ro-RO" w:eastAsia="hi-IN" w:bidi="hi-IN"/>
        </w:rPr>
        <w:t xml:space="preserve">preponderent </w:t>
      </w:r>
      <w:r w:rsidRPr="00321667">
        <w:rPr>
          <w:rFonts w:ascii="Arial" w:hAnsi="Arial" w:cs="Mangal"/>
          <w:kern w:val="1"/>
          <w:lang w:val="ro-RO" w:eastAsia="hi-IN" w:bidi="hi-IN"/>
        </w:rPr>
        <w:t xml:space="preserve">autoturismul personal. </w:t>
      </w:r>
    </w:p>
    <w:p w14:paraId="62A78F65"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321667">
        <w:rPr>
          <w:rFonts w:ascii="Arial" w:hAnsi="Arial" w:cs="Arial"/>
          <w:kern w:val="1"/>
          <w:lang w:val="ro-RO" w:eastAsia="hi-IN" w:bidi="hi-IN"/>
        </w:rPr>
        <w:t>Venitul mediu lunar pe gospodărie pentru cei chestionaţi înregistrează</w:t>
      </w:r>
      <w:r w:rsidRPr="00D6124B">
        <w:rPr>
          <w:rFonts w:ascii="Arial" w:hAnsi="Arial" w:cs="Arial"/>
          <w:kern w:val="1"/>
          <w:lang w:val="ro-RO" w:eastAsia="hi-IN" w:bidi="hi-IN"/>
        </w:rPr>
        <w:t xml:space="preserve"> valori cele mai frecvente cuprinse între </w:t>
      </w:r>
      <w:r w:rsidR="003661AC">
        <w:rPr>
          <w:rFonts w:ascii="Arial" w:hAnsi="Arial" w:cs="Arial"/>
          <w:kern w:val="1"/>
          <w:lang w:val="ro-RO" w:eastAsia="hi-IN" w:bidi="hi-IN"/>
        </w:rPr>
        <w:t>3.001-5.000</w:t>
      </w:r>
      <w:r w:rsidRPr="00D6124B">
        <w:rPr>
          <w:rFonts w:ascii="Arial" w:hAnsi="Arial" w:cs="Arial"/>
          <w:kern w:val="1"/>
          <w:lang w:val="ro-RO" w:eastAsia="hi-IN" w:bidi="hi-IN"/>
        </w:rPr>
        <w:t xml:space="preserve"> lei, respectiv </w:t>
      </w:r>
      <w:r w:rsidR="003661AC">
        <w:rPr>
          <w:rFonts w:ascii="Arial" w:hAnsi="Arial" w:cs="Arial"/>
          <w:kern w:val="1"/>
          <w:lang w:val="ro-RO" w:eastAsia="hi-IN" w:bidi="hi-IN"/>
        </w:rPr>
        <w:t>2.001-3.000</w:t>
      </w:r>
      <w:r w:rsidRPr="00D6124B">
        <w:rPr>
          <w:rFonts w:ascii="Arial" w:hAnsi="Arial" w:cs="Arial"/>
          <w:kern w:val="1"/>
          <w:lang w:val="ro-RO" w:eastAsia="hi-IN" w:bidi="hi-IN"/>
        </w:rPr>
        <w:t xml:space="preserve"> lei. Per total respondenţi, valorile veniturilor lunare medii înregistrate pe gospodărie sunt sub valorile înregistrare în Regiunea Sud-</w:t>
      </w:r>
      <w:r w:rsidR="00E80393">
        <w:rPr>
          <w:rFonts w:ascii="Arial" w:hAnsi="Arial" w:cs="Arial"/>
          <w:kern w:val="1"/>
          <w:lang w:val="ro-RO" w:eastAsia="hi-IN" w:bidi="hi-IN"/>
        </w:rPr>
        <w:t xml:space="preserve">Vest Oltenia </w:t>
      </w:r>
      <w:r w:rsidRPr="00D6124B">
        <w:rPr>
          <w:rFonts w:ascii="Arial" w:hAnsi="Arial" w:cs="Arial"/>
          <w:kern w:val="1"/>
          <w:lang w:val="ro-RO" w:eastAsia="hi-IN" w:bidi="hi-IN"/>
        </w:rPr>
        <w:lastRenderedPageBreak/>
        <w:t xml:space="preserve">din care face parte </w:t>
      </w:r>
      <w:r w:rsidR="00E80393">
        <w:rPr>
          <w:rFonts w:ascii="Arial" w:hAnsi="Arial" w:cs="Arial"/>
          <w:kern w:val="1"/>
          <w:lang w:val="ro-RO" w:eastAsia="hi-IN" w:bidi="hi-IN"/>
        </w:rPr>
        <w:t>oraşul Horezu</w:t>
      </w:r>
      <w:r w:rsidRPr="00D6124B">
        <w:rPr>
          <w:rFonts w:ascii="Arial" w:hAnsi="Arial" w:cs="Arial"/>
          <w:kern w:val="1"/>
          <w:lang w:val="ro-RO" w:eastAsia="hi-IN" w:bidi="hi-IN"/>
        </w:rPr>
        <w:t xml:space="preserve">, în </w:t>
      </w:r>
      <w:r w:rsidR="003661AC">
        <w:rPr>
          <w:rFonts w:ascii="Arial" w:hAnsi="Arial" w:cs="Arial"/>
          <w:kern w:val="1"/>
          <w:lang w:val="ro-RO" w:eastAsia="hi-IN" w:bidi="hi-IN"/>
        </w:rPr>
        <w:t>trimestrul</w:t>
      </w:r>
      <w:r w:rsidRPr="00D6124B">
        <w:rPr>
          <w:rFonts w:ascii="Arial" w:hAnsi="Arial" w:cs="Arial"/>
          <w:kern w:val="1"/>
          <w:lang w:val="ro-RO" w:eastAsia="hi-IN" w:bidi="hi-IN"/>
        </w:rPr>
        <w:t xml:space="preserve"> II al anului 202</w:t>
      </w:r>
      <w:r w:rsidR="003661AC">
        <w:rPr>
          <w:rFonts w:ascii="Arial" w:hAnsi="Arial" w:cs="Arial"/>
          <w:kern w:val="1"/>
          <w:lang w:val="ro-RO" w:eastAsia="hi-IN" w:bidi="hi-IN"/>
        </w:rPr>
        <w:t>1</w:t>
      </w:r>
      <w:r w:rsidRPr="00D6124B">
        <w:rPr>
          <w:rFonts w:ascii="Arial" w:hAnsi="Arial" w:cs="Arial"/>
          <w:kern w:val="1"/>
          <w:lang w:val="ro-RO" w:eastAsia="hi-IN" w:bidi="hi-IN"/>
        </w:rPr>
        <w:t xml:space="preserve"> (conform datelor INSSE, acesta fiind de </w:t>
      </w:r>
      <w:r w:rsidR="003661AC" w:rsidRPr="003661AC">
        <w:rPr>
          <w:rFonts w:ascii="Arial" w:hAnsi="Arial" w:cs="Arial"/>
          <w:kern w:val="1"/>
          <w:lang w:val="ro-RO" w:eastAsia="hi-IN" w:bidi="hi-IN"/>
        </w:rPr>
        <w:t>4881,27</w:t>
      </w:r>
      <w:r w:rsidRPr="00D6124B">
        <w:rPr>
          <w:rFonts w:ascii="Arial" w:hAnsi="Arial" w:cs="Arial"/>
          <w:kern w:val="1"/>
          <w:lang w:val="ro-RO" w:eastAsia="hi-IN" w:bidi="hi-IN"/>
        </w:rPr>
        <w:t xml:space="preserve"> lei) şi cu mult sub cele ale altor regiuni de dezvoltare (</w:t>
      </w:r>
      <w:r w:rsidR="00A67543">
        <w:rPr>
          <w:rFonts w:ascii="Arial" w:hAnsi="Arial" w:cs="Arial"/>
          <w:kern w:val="1"/>
          <w:lang w:val="ro-RO" w:eastAsia="hi-IN" w:bidi="hi-IN"/>
        </w:rPr>
        <w:t>București</w:t>
      </w:r>
      <w:r w:rsidRPr="00D6124B">
        <w:rPr>
          <w:rFonts w:ascii="Arial" w:hAnsi="Arial" w:cs="Arial"/>
          <w:kern w:val="1"/>
          <w:lang w:val="ro-RO" w:eastAsia="hi-IN" w:bidi="hi-IN"/>
        </w:rPr>
        <w:t xml:space="preserve"> – Ilfov – </w:t>
      </w:r>
      <w:r w:rsidR="00E80393" w:rsidRPr="00E80393">
        <w:rPr>
          <w:rFonts w:ascii="Arial" w:hAnsi="Arial" w:cs="Arial"/>
          <w:kern w:val="1"/>
          <w:lang w:val="ro-RO" w:eastAsia="hi-IN" w:bidi="hi-IN"/>
        </w:rPr>
        <w:t>8389,87</w:t>
      </w:r>
      <w:r w:rsidRPr="00D6124B">
        <w:rPr>
          <w:rFonts w:ascii="Arial" w:hAnsi="Arial" w:cs="Arial"/>
          <w:kern w:val="1"/>
          <w:lang w:val="ro-RO" w:eastAsia="hi-IN" w:bidi="hi-IN"/>
        </w:rPr>
        <w:t xml:space="preserve"> lei, Nord-Vest – </w:t>
      </w:r>
      <w:r w:rsidR="00E80393" w:rsidRPr="00E80393">
        <w:rPr>
          <w:rFonts w:ascii="Arial" w:hAnsi="Arial" w:cs="Arial"/>
          <w:kern w:val="1"/>
          <w:lang w:val="ro-RO" w:eastAsia="hi-IN" w:bidi="hi-IN"/>
        </w:rPr>
        <w:t>5976,77</w:t>
      </w:r>
      <w:r w:rsidRPr="00D6124B">
        <w:rPr>
          <w:rFonts w:ascii="Arial" w:hAnsi="Arial" w:cs="Arial"/>
          <w:kern w:val="1"/>
          <w:lang w:val="ro-RO" w:eastAsia="hi-IN" w:bidi="hi-IN"/>
        </w:rPr>
        <w:t xml:space="preserve"> lei, Centru – </w:t>
      </w:r>
      <w:r w:rsidR="00E80393" w:rsidRPr="00E80393">
        <w:rPr>
          <w:rFonts w:ascii="Arial" w:hAnsi="Arial" w:cs="Arial"/>
          <w:kern w:val="1"/>
          <w:lang w:val="ro-RO" w:eastAsia="hi-IN" w:bidi="hi-IN"/>
        </w:rPr>
        <w:t>5663,99</w:t>
      </w:r>
      <w:r w:rsidRPr="00D6124B">
        <w:rPr>
          <w:rFonts w:ascii="Arial" w:hAnsi="Arial" w:cs="Arial"/>
          <w:kern w:val="1"/>
          <w:lang w:val="ro-RO" w:eastAsia="hi-IN" w:bidi="hi-IN"/>
        </w:rPr>
        <w:t xml:space="preserve"> lei).</w:t>
      </w:r>
      <w:r w:rsidRPr="00D6124B">
        <w:rPr>
          <w:rFonts w:ascii="Arial" w:hAnsi="Arial" w:cs="Mangal"/>
          <w:kern w:val="1"/>
          <w:lang w:val="ro-RO" w:eastAsia="hi-IN" w:bidi="hi-IN"/>
        </w:rPr>
        <w:t xml:space="preserve"> În 5</w:t>
      </w:r>
      <w:r w:rsidR="003661AC">
        <w:rPr>
          <w:rFonts w:ascii="Arial" w:hAnsi="Arial" w:cs="Mangal"/>
          <w:kern w:val="1"/>
          <w:lang w:val="ro-RO" w:eastAsia="hi-IN" w:bidi="hi-IN"/>
        </w:rPr>
        <w:t>,85</w:t>
      </w:r>
      <w:r w:rsidRPr="00D6124B">
        <w:rPr>
          <w:rFonts w:ascii="Arial" w:hAnsi="Arial" w:cs="Mangal"/>
          <w:kern w:val="1"/>
          <w:lang w:val="ro-RO" w:eastAsia="hi-IN" w:bidi="hi-IN"/>
        </w:rPr>
        <w:t>% din cazuri, venitul mediu lunar pe gospodărie este apropiat şi chiar sub salariul minim  pe economie.</w:t>
      </w:r>
    </w:p>
    <w:p w14:paraId="513502F0" w14:textId="77777777" w:rsidR="00D6124B" w:rsidRPr="00D6124B" w:rsidRDefault="00D6124B" w:rsidP="00D6124B">
      <w:pPr>
        <w:widowControl w:val="0"/>
        <w:suppressAutoHyphens/>
        <w:spacing w:after="0" w:line="276" w:lineRule="auto"/>
        <w:rPr>
          <w:rFonts w:ascii="Arial" w:hAnsi="Arial" w:cs="Mangal"/>
          <w:kern w:val="1"/>
          <w:lang w:val="ro-RO" w:eastAsia="hi-IN" w:bidi="hi-IN"/>
        </w:rPr>
      </w:pPr>
    </w:p>
    <w:p w14:paraId="79BE8494" w14:textId="77777777" w:rsidR="00D6124B" w:rsidRPr="00D6124B" w:rsidRDefault="003661AC" w:rsidP="00D6124B">
      <w:pPr>
        <w:widowControl w:val="0"/>
        <w:suppressAutoHyphens/>
        <w:spacing w:after="0" w:line="240" w:lineRule="auto"/>
        <w:jc w:val="center"/>
        <w:rPr>
          <w:rFonts w:ascii="Arial" w:hAnsi="Arial" w:cs="Mangal"/>
          <w:kern w:val="1"/>
          <w:sz w:val="24"/>
          <w:szCs w:val="24"/>
          <w:lang w:val="ro-RO" w:eastAsia="hi-IN" w:bidi="hi-IN"/>
        </w:rPr>
      </w:pPr>
      <w:r>
        <w:rPr>
          <w:noProof/>
        </w:rPr>
        <w:drawing>
          <wp:inline distT="0" distB="0" distL="0" distR="0" wp14:anchorId="6AF78B02" wp14:editId="359CC7BC">
            <wp:extent cx="4572000" cy="2743200"/>
            <wp:effectExtent l="0" t="0" r="0" b="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1CF12857" w14:textId="4790CFBB" w:rsidR="00D6124B" w:rsidRPr="003661AC" w:rsidRDefault="003661AC" w:rsidP="003661AC">
      <w:pPr>
        <w:pStyle w:val="Legend"/>
        <w:jc w:val="center"/>
        <w:rPr>
          <w:rFonts w:ascii="Arial" w:hAnsi="Arial" w:cs="Arial"/>
          <w:i w:val="0"/>
          <w:kern w:val="1"/>
          <w:sz w:val="22"/>
          <w:szCs w:val="22"/>
          <w:lang w:val="ro-RO" w:eastAsia="hi-IN" w:bidi="hi-IN"/>
        </w:rPr>
      </w:pPr>
      <w:bookmarkStart w:id="202" w:name="_Toc68361165"/>
      <w:bookmarkStart w:id="203" w:name="_Toc140744491"/>
      <w:r w:rsidRPr="003661AC">
        <w:rPr>
          <w:rFonts w:ascii="Arial" w:hAnsi="Arial" w:cs="Arial"/>
          <w:sz w:val="22"/>
          <w:szCs w:val="22"/>
        </w:rPr>
        <w:t xml:space="preserve">Figura I.3. </w:t>
      </w:r>
      <w:r w:rsidRPr="003661AC">
        <w:rPr>
          <w:rFonts w:ascii="Arial" w:hAnsi="Arial" w:cs="Arial"/>
          <w:sz w:val="22"/>
          <w:szCs w:val="22"/>
        </w:rPr>
        <w:fldChar w:fldCharType="begin"/>
      </w:r>
      <w:r w:rsidRPr="003661AC">
        <w:rPr>
          <w:rFonts w:ascii="Arial" w:hAnsi="Arial" w:cs="Arial"/>
          <w:sz w:val="22"/>
          <w:szCs w:val="22"/>
        </w:rPr>
        <w:instrText xml:space="preserve"> SEQ Figura_I.3. \* ARABIC </w:instrText>
      </w:r>
      <w:r w:rsidRPr="003661AC">
        <w:rPr>
          <w:rFonts w:ascii="Arial" w:hAnsi="Arial" w:cs="Arial"/>
          <w:sz w:val="22"/>
          <w:szCs w:val="22"/>
        </w:rPr>
        <w:fldChar w:fldCharType="separate"/>
      </w:r>
      <w:r w:rsidR="00BB181C">
        <w:rPr>
          <w:rFonts w:ascii="Arial" w:hAnsi="Arial" w:cs="Arial"/>
          <w:noProof/>
          <w:sz w:val="22"/>
          <w:szCs w:val="22"/>
        </w:rPr>
        <w:t>14</w:t>
      </w:r>
      <w:r w:rsidRPr="003661AC">
        <w:rPr>
          <w:rFonts w:ascii="Arial" w:hAnsi="Arial" w:cs="Arial"/>
          <w:sz w:val="22"/>
          <w:szCs w:val="22"/>
        </w:rPr>
        <w:fldChar w:fldCharType="end"/>
      </w:r>
      <w:r w:rsidRPr="003661AC">
        <w:rPr>
          <w:rFonts w:ascii="Arial" w:hAnsi="Arial" w:cs="Arial"/>
          <w:sz w:val="22"/>
          <w:szCs w:val="22"/>
        </w:rPr>
        <w:t xml:space="preserve"> </w:t>
      </w:r>
      <w:r w:rsidR="007F69D0" w:rsidRPr="003661AC">
        <w:rPr>
          <w:rFonts w:ascii="Arial" w:hAnsi="Arial" w:cs="Arial"/>
          <w:sz w:val="22"/>
          <w:szCs w:val="22"/>
        </w:rPr>
        <w:t xml:space="preserve">- </w:t>
      </w:r>
      <w:r w:rsidR="007F69D0" w:rsidRPr="003661AC">
        <w:rPr>
          <w:rFonts w:ascii="Arial" w:hAnsi="Arial" w:cs="Arial"/>
          <w:i w:val="0"/>
          <w:sz w:val="22"/>
          <w:szCs w:val="22"/>
        </w:rPr>
        <w:t>Venit mediu lunar pe gospodărie</w:t>
      </w:r>
      <w:bookmarkEnd w:id="202"/>
      <w:bookmarkEnd w:id="203"/>
    </w:p>
    <w:p w14:paraId="6AA54DC5"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Nivelul venitului mediu lunar pe gospodărie este influenţat de numărul </w:t>
      </w:r>
      <w:r w:rsidR="00CA2471">
        <w:rPr>
          <w:rFonts w:ascii="Arial" w:hAnsi="Arial" w:cs="Mangal"/>
          <w:kern w:val="1"/>
          <w:lang w:val="ro-RO" w:eastAsia="hi-IN" w:bidi="hi-IN"/>
        </w:rPr>
        <w:t>membrilor acestora</w:t>
      </w:r>
      <w:r w:rsidRPr="00D6124B">
        <w:rPr>
          <w:rFonts w:ascii="Arial" w:hAnsi="Arial" w:cs="Mangal"/>
          <w:kern w:val="1"/>
          <w:lang w:val="ro-RO" w:eastAsia="hi-IN" w:bidi="hi-IN"/>
        </w:rPr>
        <w:t xml:space="preserve">. </w:t>
      </w:r>
    </w:p>
    <w:p w14:paraId="62A5794C" w14:textId="77777777" w:rsidR="00D6124B" w:rsidRDefault="00D6124B" w:rsidP="00D6124B">
      <w:pPr>
        <w:widowControl w:val="0"/>
        <w:suppressAutoHyphens/>
        <w:spacing w:after="0" w:line="360" w:lineRule="auto"/>
        <w:jc w:val="both"/>
        <w:rPr>
          <w:rFonts w:ascii="Arial" w:hAnsi="Arial" w:cs="Mangal"/>
          <w:kern w:val="1"/>
          <w:sz w:val="24"/>
          <w:szCs w:val="24"/>
          <w:lang w:val="ro-RO" w:eastAsia="hi-IN" w:bidi="hi-IN"/>
        </w:rPr>
      </w:pPr>
    </w:p>
    <w:p w14:paraId="012B46AF" w14:textId="77777777" w:rsidR="007F69D0" w:rsidRPr="00D6124B" w:rsidRDefault="007F69D0" w:rsidP="00D6124B">
      <w:pPr>
        <w:widowControl w:val="0"/>
        <w:suppressAutoHyphens/>
        <w:spacing w:after="0" w:line="360" w:lineRule="auto"/>
        <w:jc w:val="both"/>
        <w:rPr>
          <w:rFonts w:ascii="Arial" w:hAnsi="Arial" w:cs="Mangal"/>
          <w:kern w:val="1"/>
          <w:sz w:val="24"/>
          <w:szCs w:val="24"/>
          <w:lang w:val="ro-RO" w:eastAsia="hi-IN" w:bidi="hi-IN"/>
        </w:rPr>
      </w:pPr>
    </w:p>
    <w:p w14:paraId="74435487" w14:textId="77777777" w:rsidR="00D6124B" w:rsidRPr="00D6124B" w:rsidRDefault="00D6124B" w:rsidP="00D6124B">
      <w:pPr>
        <w:widowControl w:val="0"/>
        <w:tabs>
          <w:tab w:val="left" w:pos="840"/>
        </w:tabs>
        <w:suppressAutoHyphens/>
        <w:spacing w:after="0" w:line="240" w:lineRule="auto"/>
        <w:rPr>
          <w:rFonts w:ascii="Arial" w:hAnsi="Arial" w:cs="Mangal"/>
          <w:b/>
          <w:kern w:val="1"/>
          <w:lang w:val="ro-RO" w:eastAsia="hi-IN" w:bidi="hi-IN"/>
        </w:rPr>
      </w:pPr>
      <w:r w:rsidRPr="00D6124B">
        <w:rPr>
          <w:rFonts w:ascii="Arial" w:hAnsi="Arial" w:cs="Mangal"/>
          <w:b/>
          <w:kern w:val="1"/>
          <w:lang w:val="ro-RO" w:eastAsia="hi-IN" w:bidi="hi-IN"/>
        </w:rPr>
        <w:t>Categorii socio-profesionale</w:t>
      </w:r>
    </w:p>
    <w:p w14:paraId="560EBEA5" w14:textId="77777777" w:rsidR="00D6124B" w:rsidRPr="00D6124B" w:rsidRDefault="00D6124B" w:rsidP="00D6124B">
      <w:pPr>
        <w:widowControl w:val="0"/>
        <w:tabs>
          <w:tab w:val="left" w:pos="840"/>
        </w:tabs>
        <w:suppressAutoHyphens/>
        <w:spacing w:after="0" w:line="240" w:lineRule="auto"/>
        <w:rPr>
          <w:rFonts w:ascii="Arial" w:hAnsi="Arial" w:cs="Mangal"/>
          <w:b/>
          <w:kern w:val="1"/>
          <w:lang w:val="ro-RO" w:eastAsia="hi-IN" w:bidi="hi-IN"/>
        </w:rPr>
      </w:pPr>
    </w:p>
    <w:p w14:paraId="0EB4B236" w14:textId="77777777" w:rsidR="00D6124B" w:rsidRPr="00D6124B" w:rsidRDefault="00D6124B" w:rsidP="00D6124B">
      <w:pPr>
        <w:widowControl w:val="0"/>
        <w:tabs>
          <w:tab w:val="left" w:pos="840"/>
        </w:tabs>
        <w:suppressAutoHyphens/>
        <w:spacing w:after="0" w:line="240" w:lineRule="auto"/>
        <w:rPr>
          <w:rFonts w:ascii="Arial" w:hAnsi="Arial" w:cs="Mangal"/>
          <w:kern w:val="1"/>
          <w:lang w:val="ro-RO" w:eastAsia="hi-IN" w:bidi="hi-IN"/>
        </w:rPr>
      </w:pPr>
      <w:r w:rsidRPr="00D6124B">
        <w:rPr>
          <w:rFonts w:ascii="Arial" w:hAnsi="Arial" w:cs="Mangal"/>
          <w:kern w:val="1"/>
          <w:lang w:val="ro-RO" w:eastAsia="hi-IN" w:bidi="hi-IN"/>
        </w:rPr>
        <w:t>În ce priveşte încadrarea profesională a celor chestionaţi situaţia se prezintă astfel:</w:t>
      </w:r>
    </w:p>
    <w:p w14:paraId="4525752B" w14:textId="77777777" w:rsidR="00D6124B" w:rsidRPr="00D6124B" w:rsidRDefault="00D6124B" w:rsidP="00D6124B">
      <w:pPr>
        <w:widowControl w:val="0"/>
        <w:tabs>
          <w:tab w:val="left" w:pos="840"/>
        </w:tabs>
        <w:suppressAutoHyphens/>
        <w:spacing w:after="0" w:line="240" w:lineRule="auto"/>
        <w:rPr>
          <w:rFonts w:ascii="Arial" w:hAnsi="Arial" w:cs="Mangal"/>
          <w:kern w:val="1"/>
          <w:sz w:val="24"/>
          <w:szCs w:val="24"/>
          <w:lang w:val="ro-RO" w:eastAsia="hi-IN" w:bidi="hi-IN"/>
        </w:rPr>
      </w:pPr>
    </w:p>
    <w:p w14:paraId="490CCB43" w14:textId="77777777" w:rsidR="00D6124B" w:rsidRPr="00D6124B" w:rsidRDefault="00CA2471" w:rsidP="00D6124B">
      <w:pPr>
        <w:widowControl w:val="0"/>
        <w:tabs>
          <w:tab w:val="left" w:pos="840"/>
        </w:tabs>
        <w:suppressAutoHyphens/>
        <w:spacing w:after="0" w:line="240" w:lineRule="auto"/>
        <w:jc w:val="center"/>
        <w:rPr>
          <w:rFonts w:ascii="Arial" w:hAnsi="Arial" w:cs="Mangal"/>
          <w:kern w:val="1"/>
          <w:sz w:val="24"/>
          <w:szCs w:val="24"/>
          <w:lang w:val="ro-RO" w:eastAsia="hi-IN" w:bidi="hi-IN"/>
        </w:rPr>
      </w:pPr>
      <w:r>
        <w:rPr>
          <w:noProof/>
        </w:rPr>
        <w:drawing>
          <wp:inline distT="0" distB="0" distL="0" distR="0" wp14:anchorId="5AA74273" wp14:editId="5DAD16BC">
            <wp:extent cx="4324350" cy="2514600"/>
            <wp:effectExtent l="0" t="0" r="0" b="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0ADE9E9D" w14:textId="77777777" w:rsidR="00D6124B" w:rsidRPr="00D6124B" w:rsidRDefault="00D6124B" w:rsidP="00D6124B">
      <w:pPr>
        <w:widowControl w:val="0"/>
        <w:suppressAutoHyphens/>
        <w:spacing w:after="0" w:line="240" w:lineRule="auto"/>
        <w:rPr>
          <w:rFonts w:ascii="Arial" w:hAnsi="Arial" w:cs="Mangal"/>
          <w:kern w:val="1"/>
          <w:sz w:val="24"/>
          <w:szCs w:val="24"/>
          <w:lang w:val="ro-RO" w:eastAsia="hi-IN" w:bidi="hi-IN"/>
        </w:rPr>
      </w:pPr>
    </w:p>
    <w:p w14:paraId="19779546" w14:textId="59A12047" w:rsidR="00D6124B" w:rsidRPr="00CA2471" w:rsidRDefault="00CA2471" w:rsidP="00CA2471">
      <w:pPr>
        <w:pStyle w:val="Legend"/>
        <w:jc w:val="center"/>
        <w:rPr>
          <w:rFonts w:ascii="Arial" w:hAnsi="Arial" w:cs="Arial"/>
          <w:i w:val="0"/>
          <w:kern w:val="1"/>
          <w:sz w:val="22"/>
          <w:szCs w:val="22"/>
          <w:lang w:val="ro-RO" w:eastAsia="hi-IN" w:bidi="hi-IN"/>
        </w:rPr>
      </w:pPr>
      <w:bookmarkStart w:id="204" w:name="_Toc68361166"/>
      <w:bookmarkStart w:id="205" w:name="_Toc140744492"/>
      <w:r w:rsidRPr="00CA2471">
        <w:rPr>
          <w:rFonts w:ascii="Arial" w:hAnsi="Arial" w:cs="Arial"/>
          <w:sz w:val="22"/>
          <w:szCs w:val="22"/>
        </w:rPr>
        <w:t xml:space="preserve">Figura I.3. </w:t>
      </w:r>
      <w:r w:rsidRPr="00CA2471">
        <w:rPr>
          <w:rFonts w:ascii="Arial" w:hAnsi="Arial" w:cs="Arial"/>
          <w:sz w:val="22"/>
          <w:szCs w:val="22"/>
        </w:rPr>
        <w:fldChar w:fldCharType="begin"/>
      </w:r>
      <w:r w:rsidRPr="00CA2471">
        <w:rPr>
          <w:rFonts w:ascii="Arial" w:hAnsi="Arial" w:cs="Arial"/>
          <w:sz w:val="22"/>
          <w:szCs w:val="22"/>
        </w:rPr>
        <w:instrText xml:space="preserve"> SEQ Figura_I.3. \* ARABIC </w:instrText>
      </w:r>
      <w:r w:rsidRPr="00CA2471">
        <w:rPr>
          <w:rFonts w:ascii="Arial" w:hAnsi="Arial" w:cs="Arial"/>
          <w:sz w:val="22"/>
          <w:szCs w:val="22"/>
        </w:rPr>
        <w:fldChar w:fldCharType="separate"/>
      </w:r>
      <w:r w:rsidR="00BB181C">
        <w:rPr>
          <w:rFonts w:ascii="Arial" w:hAnsi="Arial" w:cs="Arial"/>
          <w:noProof/>
          <w:sz w:val="22"/>
          <w:szCs w:val="22"/>
        </w:rPr>
        <w:t>15</w:t>
      </w:r>
      <w:r w:rsidRPr="00CA2471">
        <w:rPr>
          <w:rFonts w:ascii="Arial" w:hAnsi="Arial" w:cs="Arial"/>
          <w:sz w:val="22"/>
          <w:szCs w:val="22"/>
        </w:rPr>
        <w:fldChar w:fldCharType="end"/>
      </w:r>
      <w:r w:rsidRPr="00CA2471">
        <w:rPr>
          <w:rFonts w:ascii="Arial" w:hAnsi="Arial" w:cs="Arial"/>
          <w:sz w:val="22"/>
          <w:szCs w:val="22"/>
        </w:rPr>
        <w:t xml:space="preserve"> </w:t>
      </w:r>
      <w:r w:rsidR="007F69D0" w:rsidRPr="00CA2471">
        <w:rPr>
          <w:rFonts w:ascii="Arial" w:hAnsi="Arial" w:cs="Arial"/>
          <w:sz w:val="22"/>
          <w:szCs w:val="22"/>
        </w:rPr>
        <w:t xml:space="preserve">- </w:t>
      </w:r>
      <w:r w:rsidR="00D6124B" w:rsidRPr="00CA2471">
        <w:rPr>
          <w:rFonts w:ascii="Arial" w:hAnsi="Arial" w:cs="Arial"/>
          <w:i w:val="0"/>
          <w:kern w:val="1"/>
          <w:sz w:val="22"/>
          <w:szCs w:val="22"/>
          <w:lang w:val="ro-RO" w:eastAsia="hi-IN" w:bidi="hi-IN"/>
        </w:rPr>
        <w:t>Număr angajaţi pe gospodărie</w:t>
      </w:r>
      <w:bookmarkEnd w:id="204"/>
      <w:bookmarkEnd w:id="205"/>
    </w:p>
    <w:p w14:paraId="1BA666AA"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În majoritatea gospodăriilor celor intervievaţi se regăsesc între 1 </w:t>
      </w:r>
      <w:r w:rsidR="00CA2471">
        <w:rPr>
          <w:rFonts w:ascii="Arial" w:hAnsi="Arial" w:cs="Mangal"/>
          <w:kern w:val="1"/>
          <w:lang w:val="ro-RO" w:eastAsia="hi-IN" w:bidi="hi-IN"/>
        </w:rPr>
        <w:t>sau 2</w:t>
      </w:r>
      <w:r w:rsidRPr="00D6124B">
        <w:rPr>
          <w:rFonts w:ascii="Arial" w:hAnsi="Arial" w:cs="Mangal"/>
          <w:kern w:val="1"/>
          <w:lang w:val="ro-RO" w:eastAsia="hi-IN" w:bidi="hi-IN"/>
        </w:rPr>
        <w:t xml:space="preserve"> persoane angajate (cel mai frecvent 2 persoane angajate). În circa </w:t>
      </w:r>
      <w:r w:rsidR="00CA2471">
        <w:rPr>
          <w:rFonts w:ascii="Arial" w:hAnsi="Arial" w:cs="Mangal"/>
          <w:kern w:val="1"/>
          <w:lang w:val="ro-RO" w:eastAsia="hi-IN" w:bidi="hi-IN"/>
        </w:rPr>
        <w:t>7</w:t>
      </w:r>
      <w:r w:rsidRPr="00D6124B">
        <w:rPr>
          <w:rFonts w:ascii="Arial" w:hAnsi="Arial" w:cs="Mangal"/>
          <w:kern w:val="1"/>
          <w:lang w:val="ro-RO" w:eastAsia="hi-IN" w:bidi="hi-IN"/>
        </w:rPr>
        <w:t xml:space="preserve">% dintre cazuri, gospodăriile nu au niciun membru </w:t>
      </w:r>
      <w:r w:rsidRPr="00D6124B">
        <w:rPr>
          <w:rFonts w:ascii="Arial" w:hAnsi="Arial" w:cs="Mangal"/>
          <w:kern w:val="1"/>
          <w:lang w:val="ro-RO" w:eastAsia="hi-IN" w:bidi="hi-IN"/>
        </w:rPr>
        <w:lastRenderedPageBreak/>
        <w:t xml:space="preserve">angajat, acestea fiind fie pensionari, fie şomeri cu sau fără indemnizaţie. </w:t>
      </w:r>
    </w:p>
    <w:p w14:paraId="59BD3F21"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4C2BB7BE" w14:textId="77777777" w:rsidR="00D6124B" w:rsidRPr="00D6124B" w:rsidRDefault="00F94240" w:rsidP="00D6124B">
      <w:pPr>
        <w:widowControl w:val="0"/>
        <w:suppressAutoHyphens/>
        <w:spacing w:after="0" w:line="276" w:lineRule="auto"/>
        <w:jc w:val="center"/>
        <w:rPr>
          <w:rFonts w:ascii="Arial" w:hAnsi="Arial" w:cs="Mangal"/>
          <w:kern w:val="1"/>
          <w:lang w:val="ro-RO" w:eastAsia="hi-IN" w:bidi="hi-IN"/>
        </w:rPr>
      </w:pPr>
      <w:r>
        <w:rPr>
          <w:noProof/>
        </w:rPr>
        <w:drawing>
          <wp:inline distT="0" distB="0" distL="0" distR="0" wp14:anchorId="544E05C9" wp14:editId="5040C18A">
            <wp:extent cx="4572000" cy="2743200"/>
            <wp:effectExtent l="0" t="0" r="0" b="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4434DD4C" w14:textId="34E1C2FB" w:rsidR="00D6124B" w:rsidRPr="00F94240" w:rsidRDefault="00F94240" w:rsidP="00F94240">
      <w:pPr>
        <w:pStyle w:val="Legend"/>
        <w:jc w:val="center"/>
        <w:rPr>
          <w:rFonts w:ascii="Arial" w:hAnsi="Arial" w:cs="Arial"/>
          <w:i w:val="0"/>
          <w:kern w:val="1"/>
          <w:sz w:val="22"/>
          <w:szCs w:val="22"/>
          <w:lang w:val="ro-RO" w:eastAsia="hi-IN" w:bidi="hi-IN"/>
        </w:rPr>
      </w:pPr>
      <w:bookmarkStart w:id="206" w:name="_Toc68361167"/>
      <w:bookmarkStart w:id="207" w:name="_Toc140744493"/>
      <w:r w:rsidRPr="00F94240">
        <w:rPr>
          <w:rFonts w:ascii="Arial" w:hAnsi="Arial" w:cs="Arial"/>
          <w:sz w:val="22"/>
          <w:szCs w:val="22"/>
        </w:rPr>
        <w:t xml:space="preserve">Figura I.3. </w:t>
      </w:r>
      <w:r w:rsidRPr="00F94240">
        <w:rPr>
          <w:rFonts w:ascii="Arial" w:hAnsi="Arial" w:cs="Arial"/>
          <w:sz w:val="22"/>
          <w:szCs w:val="22"/>
        </w:rPr>
        <w:fldChar w:fldCharType="begin"/>
      </w:r>
      <w:r w:rsidRPr="00F94240">
        <w:rPr>
          <w:rFonts w:ascii="Arial" w:hAnsi="Arial" w:cs="Arial"/>
          <w:sz w:val="22"/>
          <w:szCs w:val="22"/>
        </w:rPr>
        <w:instrText xml:space="preserve"> SEQ Figura_I.3. \* ARABIC </w:instrText>
      </w:r>
      <w:r w:rsidRPr="00F94240">
        <w:rPr>
          <w:rFonts w:ascii="Arial" w:hAnsi="Arial" w:cs="Arial"/>
          <w:sz w:val="22"/>
          <w:szCs w:val="22"/>
        </w:rPr>
        <w:fldChar w:fldCharType="separate"/>
      </w:r>
      <w:r w:rsidR="00BB181C">
        <w:rPr>
          <w:rFonts w:ascii="Arial" w:hAnsi="Arial" w:cs="Arial"/>
          <w:noProof/>
          <w:sz w:val="22"/>
          <w:szCs w:val="22"/>
        </w:rPr>
        <w:t>16</w:t>
      </w:r>
      <w:r w:rsidRPr="00F94240">
        <w:rPr>
          <w:rFonts w:ascii="Arial" w:hAnsi="Arial" w:cs="Arial"/>
          <w:sz w:val="22"/>
          <w:szCs w:val="22"/>
        </w:rPr>
        <w:fldChar w:fldCharType="end"/>
      </w:r>
      <w:r w:rsidRPr="00F94240">
        <w:rPr>
          <w:rFonts w:ascii="Arial" w:hAnsi="Arial" w:cs="Arial"/>
          <w:sz w:val="22"/>
          <w:szCs w:val="22"/>
        </w:rPr>
        <w:t xml:space="preserve"> </w:t>
      </w:r>
      <w:r w:rsidR="007F69D0" w:rsidRPr="00F94240">
        <w:rPr>
          <w:rFonts w:ascii="Arial" w:hAnsi="Arial" w:cs="Arial"/>
          <w:sz w:val="22"/>
          <w:szCs w:val="22"/>
        </w:rPr>
        <w:t xml:space="preserve">- </w:t>
      </w:r>
      <w:r w:rsidR="00D6124B" w:rsidRPr="00F94240">
        <w:rPr>
          <w:rFonts w:ascii="Arial" w:hAnsi="Arial" w:cs="Arial"/>
          <w:i w:val="0"/>
          <w:kern w:val="1"/>
          <w:sz w:val="22"/>
          <w:szCs w:val="22"/>
          <w:lang w:val="ro-RO" w:eastAsia="hi-IN" w:bidi="hi-IN"/>
        </w:rPr>
        <w:t>Număr şomeri pe gospodărie</w:t>
      </w:r>
      <w:bookmarkEnd w:id="206"/>
      <w:bookmarkEnd w:id="207"/>
    </w:p>
    <w:p w14:paraId="3B1A8E51" w14:textId="77777777" w:rsidR="00D6124B" w:rsidRPr="00D6124B" w:rsidRDefault="00D6124B" w:rsidP="00D6124B">
      <w:pPr>
        <w:widowControl w:val="0"/>
        <w:suppressAutoHyphens/>
        <w:spacing w:after="0" w:line="276" w:lineRule="auto"/>
        <w:rPr>
          <w:rFonts w:ascii="Arial" w:hAnsi="Arial" w:cs="Mangal"/>
          <w:kern w:val="1"/>
          <w:lang w:val="ro-RO" w:eastAsia="hi-IN" w:bidi="hi-IN"/>
        </w:rPr>
      </w:pPr>
    </w:p>
    <w:p w14:paraId="04D28DE0"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În aproape </w:t>
      </w:r>
      <w:r w:rsidR="00F94240">
        <w:rPr>
          <w:rFonts w:ascii="Arial" w:hAnsi="Arial" w:cs="Mangal"/>
          <w:kern w:val="1"/>
          <w:lang w:val="ro-RO" w:eastAsia="hi-IN" w:bidi="hi-IN"/>
        </w:rPr>
        <w:t>85</w:t>
      </w:r>
      <w:r w:rsidRPr="00D6124B">
        <w:rPr>
          <w:rFonts w:ascii="Arial" w:hAnsi="Arial" w:cs="Mangal"/>
          <w:kern w:val="1"/>
          <w:lang w:val="ro-RO" w:eastAsia="hi-IN" w:bidi="hi-IN"/>
        </w:rPr>
        <w:t xml:space="preserve">% dintre gospodăriile celor intervievaţi nu se regăsesc persoane şomere. Există totuşi un procent deloc de neglijat de gospodării – </w:t>
      </w:r>
      <w:r w:rsidR="00F94240">
        <w:rPr>
          <w:rFonts w:ascii="Arial" w:hAnsi="Arial" w:cs="Mangal"/>
          <w:kern w:val="1"/>
          <w:lang w:val="ro-RO" w:eastAsia="hi-IN" w:bidi="hi-IN"/>
        </w:rPr>
        <w:t>circa 15</w:t>
      </w:r>
      <w:r w:rsidRPr="00D6124B">
        <w:rPr>
          <w:rFonts w:ascii="Arial" w:hAnsi="Arial" w:cs="Mangal"/>
          <w:kern w:val="1"/>
          <w:lang w:val="ro-RO" w:eastAsia="hi-IN" w:bidi="hi-IN"/>
        </w:rPr>
        <w:t xml:space="preserve">% în cadrul cărora există cel puţin 1 persoană şomeră. Conform datelor INSSE, la nivelul lunilor </w:t>
      </w:r>
      <w:r w:rsidR="00422EF2">
        <w:rPr>
          <w:rFonts w:ascii="Arial" w:hAnsi="Arial" w:cs="Mangal"/>
          <w:kern w:val="1"/>
          <w:lang w:val="ro-RO" w:eastAsia="hi-IN" w:bidi="hi-IN"/>
        </w:rPr>
        <w:t>octombrie-noiembrie 2021</w:t>
      </w:r>
      <w:r w:rsidRPr="00D6124B">
        <w:rPr>
          <w:rFonts w:ascii="Arial" w:hAnsi="Arial" w:cs="Mangal"/>
          <w:kern w:val="1"/>
          <w:lang w:val="ro-RO" w:eastAsia="hi-IN" w:bidi="hi-IN"/>
        </w:rPr>
        <w:t xml:space="preserve">, ponderea şomerilor înregistraţi la sfârşitul lunii în totalul resurselor de muncă s-a situat între </w:t>
      </w:r>
      <w:r w:rsidR="00422EF2">
        <w:rPr>
          <w:rFonts w:ascii="Arial" w:hAnsi="Arial" w:cs="Mangal"/>
          <w:kern w:val="1"/>
          <w:lang w:val="ro-RO" w:eastAsia="hi-IN" w:bidi="hi-IN"/>
        </w:rPr>
        <w:t>2</w:t>
      </w:r>
      <w:r w:rsidRPr="00D6124B">
        <w:rPr>
          <w:rFonts w:ascii="Arial" w:hAnsi="Arial" w:cs="Mangal"/>
          <w:kern w:val="1"/>
          <w:lang w:val="ro-RO" w:eastAsia="hi-IN" w:bidi="hi-IN"/>
        </w:rPr>
        <w:t>,7 şi 2</w:t>
      </w:r>
      <w:r w:rsidR="00422EF2">
        <w:rPr>
          <w:rFonts w:ascii="Arial" w:hAnsi="Arial" w:cs="Mangal"/>
          <w:kern w:val="1"/>
          <w:lang w:val="ro-RO" w:eastAsia="hi-IN" w:bidi="hi-IN"/>
        </w:rPr>
        <w:t>,8</w:t>
      </w:r>
      <w:r w:rsidRPr="00D6124B">
        <w:rPr>
          <w:rFonts w:ascii="Arial" w:hAnsi="Arial" w:cs="Mangal"/>
          <w:kern w:val="1"/>
          <w:lang w:val="ro-RO" w:eastAsia="hi-IN" w:bidi="hi-IN"/>
        </w:rPr>
        <w:t xml:space="preserve"> procente. </w:t>
      </w:r>
    </w:p>
    <w:p w14:paraId="1C9972B0"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45D19923" w14:textId="77777777" w:rsidR="00D6124B" w:rsidRPr="00D6124B" w:rsidRDefault="009D1260" w:rsidP="00D6124B">
      <w:pPr>
        <w:widowControl w:val="0"/>
        <w:suppressAutoHyphens/>
        <w:spacing w:after="0" w:line="276" w:lineRule="auto"/>
        <w:jc w:val="center"/>
        <w:rPr>
          <w:rFonts w:ascii="Arial" w:hAnsi="Arial" w:cs="Mangal"/>
          <w:kern w:val="1"/>
          <w:lang w:val="ro-RO" w:eastAsia="hi-IN" w:bidi="hi-IN"/>
        </w:rPr>
      </w:pPr>
      <w:r>
        <w:rPr>
          <w:noProof/>
        </w:rPr>
        <w:drawing>
          <wp:inline distT="0" distB="0" distL="0" distR="0" wp14:anchorId="5F4DBCF3" wp14:editId="44568CBF">
            <wp:extent cx="4572000" cy="2743200"/>
            <wp:effectExtent l="0" t="0" r="0" b="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14ECAD55" w14:textId="0B426B6F" w:rsidR="00D6124B" w:rsidRPr="009D1260" w:rsidRDefault="009D1260" w:rsidP="009D1260">
      <w:pPr>
        <w:pStyle w:val="Legend"/>
        <w:jc w:val="center"/>
        <w:rPr>
          <w:rFonts w:ascii="Arial" w:hAnsi="Arial" w:cs="Arial"/>
          <w:i w:val="0"/>
          <w:noProof/>
          <w:kern w:val="1"/>
          <w:sz w:val="22"/>
          <w:szCs w:val="22"/>
        </w:rPr>
      </w:pPr>
      <w:bookmarkStart w:id="208" w:name="_Toc68361168"/>
      <w:bookmarkStart w:id="209" w:name="_Toc140744494"/>
      <w:r w:rsidRPr="009D1260">
        <w:rPr>
          <w:rFonts w:ascii="Arial" w:hAnsi="Arial" w:cs="Arial"/>
          <w:sz w:val="22"/>
          <w:szCs w:val="22"/>
        </w:rPr>
        <w:t xml:space="preserve">Figura I.3. </w:t>
      </w:r>
      <w:r w:rsidRPr="009D1260">
        <w:rPr>
          <w:rFonts w:ascii="Arial" w:hAnsi="Arial" w:cs="Arial"/>
          <w:sz w:val="22"/>
          <w:szCs w:val="22"/>
        </w:rPr>
        <w:fldChar w:fldCharType="begin"/>
      </w:r>
      <w:r w:rsidRPr="009D1260">
        <w:rPr>
          <w:rFonts w:ascii="Arial" w:hAnsi="Arial" w:cs="Arial"/>
          <w:sz w:val="22"/>
          <w:szCs w:val="22"/>
        </w:rPr>
        <w:instrText xml:space="preserve"> SEQ Figura_I.3. \* ARABIC </w:instrText>
      </w:r>
      <w:r w:rsidRPr="009D1260">
        <w:rPr>
          <w:rFonts w:ascii="Arial" w:hAnsi="Arial" w:cs="Arial"/>
          <w:sz w:val="22"/>
          <w:szCs w:val="22"/>
        </w:rPr>
        <w:fldChar w:fldCharType="separate"/>
      </w:r>
      <w:r w:rsidR="00BB181C">
        <w:rPr>
          <w:rFonts w:ascii="Arial" w:hAnsi="Arial" w:cs="Arial"/>
          <w:noProof/>
          <w:sz w:val="22"/>
          <w:szCs w:val="22"/>
        </w:rPr>
        <w:t>17</w:t>
      </w:r>
      <w:r w:rsidRPr="009D1260">
        <w:rPr>
          <w:rFonts w:ascii="Arial" w:hAnsi="Arial" w:cs="Arial"/>
          <w:sz w:val="22"/>
          <w:szCs w:val="22"/>
        </w:rPr>
        <w:fldChar w:fldCharType="end"/>
      </w:r>
      <w:r w:rsidRPr="009D1260">
        <w:rPr>
          <w:rFonts w:ascii="Arial" w:hAnsi="Arial" w:cs="Arial"/>
          <w:sz w:val="22"/>
          <w:szCs w:val="22"/>
        </w:rPr>
        <w:t xml:space="preserve"> </w:t>
      </w:r>
      <w:r w:rsidR="007F69D0" w:rsidRPr="009D1260">
        <w:rPr>
          <w:rFonts w:ascii="Arial" w:hAnsi="Arial" w:cs="Arial"/>
          <w:sz w:val="22"/>
          <w:szCs w:val="22"/>
        </w:rPr>
        <w:t xml:space="preserve">- </w:t>
      </w:r>
      <w:r w:rsidR="00D6124B" w:rsidRPr="009D1260">
        <w:rPr>
          <w:rFonts w:ascii="Arial" w:hAnsi="Arial" w:cs="Arial"/>
          <w:i w:val="0"/>
          <w:noProof/>
          <w:kern w:val="1"/>
          <w:sz w:val="22"/>
          <w:szCs w:val="22"/>
        </w:rPr>
        <w:t>Număr şcolari pe gospodărie</w:t>
      </w:r>
      <w:bookmarkEnd w:id="208"/>
      <w:bookmarkEnd w:id="209"/>
    </w:p>
    <w:p w14:paraId="56C252A5" w14:textId="77777777" w:rsidR="00D6124B" w:rsidRPr="00D6124B" w:rsidRDefault="00D6124B" w:rsidP="00D6124B">
      <w:pPr>
        <w:widowControl w:val="0"/>
        <w:suppressAutoHyphens/>
        <w:spacing w:after="0" w:line="240" w:lineRule="auto"/>
        <w:jc w:val="both"/>
        <w:rPr>
          <w:rFonts w:ascii="Arial" w:hAnsi="Arial" w:cs="Mangal"/>
          <w:kern w:val="1"/>
          <w:lang w:val="ro-RO" w:eastAsia="hi-IN" w:bidi="hi-IN"/>
        </w:rPr>
      </w:pPr>
      <w:r w:rsidRPr="00D6124B">
        <w:rPr>
          <w:rFonts w:ascii="Arial" w:hAnsi="Arial" w:cs="Mangal"/>
          <w:noProof/>
          <w:kern w:val="1"/>
        </w:rPr>
        <w:t xml:space="preserve">În peste </w:t>
      </w:r>
      <w:r w:rsidR="009D1260">
        <w:rPr>
          <w:rFonts w:ascii="Arial" w:hAnsi="Arial" w:cs="Mangal"/>
          <w:noProof/>
          <w:kern w:val="1"/>
        </w:rPr>
        <w:t>37</w:t>
      </w:r>
      <w:r w:rsidRPr="00D6124B">
        <w:rPr>
          <w:rFonts w:ascii="Arial" w:hAnsi="Arial" w:cs="Mangal"/>
          <w:noProof/>
          <w:kern w:val="1"/>
        </w:rPr>
        <w:t xml:space="preserve">% din gospodăriile celor intervievaţi nu se înregistrează persoane de vârstă şcolară, în restul acestora fiind prezente între 1 şi 4 persoane de vârstă şcolară, cel mai frecvent 1 sau 2. Această situaţie reprezintă o ilustrare la scară mai mică a ponderiii diferitelor grupelor de vârstă în total populaţie </w:t>
      </w:r>
      <w:r w:rsidR="009D1260">
        <w:rPr>
          <w:rFonts w:ascii="Arial" w:hAnsi="Arial" w:cs="Mangal"/>
          <w:noProof/>
          <w:kern w:val="1"/>
        </w:rPr>
        <w:t>oraş</w:t>
      </w:r>
      <w:r w:rsidRPr="00D6124B">
        <w:rPr>
          <w:rFonts w:ascii="Arial" w:hAnsi="Arial" w:cs="Mangal"/>
          <w:noProof/>
          <w:kern w:val="1"/>
        </w:rPr>
        <w:t xml:space="preserve">, grupele de vârstă </w:t>
      </w:r>
      <w:r w:rsidR="009D1260">
        <w:rPr>
          <w:rFonts w:ascii="Arial" w:hAnsi="Arial" w:cs="Mangal"/>
          <w:noProof/>
          <w:kern w:val="1"/>
        </w:rPr>
        <w:t>cuprinse între 30-69 de ani</w:t>
      </w:r>
      <w:r w:rsidRPr="00D6124B">
        <w:rPr>
          <w:rFonts w:ascii="Arial" w:hAnsi="Arial" w:cs="Mangal"/>
          <w:noProof/>
          <w:kern w:val="1"/>
        </w:rPr>
        <w:t xml:space="preserve"> având un număr mai mare de persoane decât grupele de vârstă şcolară (cuprinse între 6 şi 19 ani).  </w:t>
      </w:r>
    </w:p>
    <w:p w14:paraId="77E969B1" w14:textId="77777777" w:rsidR="00D6124B" w:rsidRPr="00D6124B" w:rsidRDefault="00D6124B" w:rsidP="00D6124B">
      <w:pPr>
        <w:widowControl w:val="0"/>
        <w:suppressAutoHyphens/>
        <w:spacing w:after="0" w:line="240" w:lineRule="auto"/>
        <w:rPr>
          <w:rFonts w:ascii="Arial" w:hAnsi="Arial" w:cs="Mangal"/>
          <w:kern w:val="1"/>
          <w:sz w:val="24"/>
          <w:szCs w:val="24"/>
          <w:lang w:val="ro-RO" w:eastAsia="hi-IN" w:bidi="hi-IN"/>
        </w:rPr>
      </w:pPr>
    </w:p>
    <w:p w14:paraId="50889EC4" w14:textId="77777777" w:rsidR="00D6124B" w:rsidRPr="00D6124B" w:rsidRDefault="00A44E3B" w:rsidP="00D6124B">
      <w:pPr>
        <w:widowControl w:val="0"/>
        <w:suppressAutoHyphens/>
        <w:spacing w:after="0" w:line="240" w:lineRule="auto"/>
        <w:jc w:val="center"/>
        <w:rPr>
          <w:rFonts w:ascii="Arial" w:hAnsi="Arial" w:cs="Mangal"/>
          <w:kern w:val="1"/>
          <w:sz w:val="24"/>
          <w:szCs w:val="24"/>
          <w:lang w:val="ro-RO" w:eastAsia="hi-IN" w:bidi="hi-IN"/>
        </w:rPr>
      </w:pPr>
      <w:r>
        <w:rPr>
          <w:noProof/>
        </w:rPr>
        <w:lastRenderedPageBreak/>
        <w:drawing>
          <wp:inline distT="0" distB="0" distL="0" distR="0" wp14:anchorId="47624664" wp14:editId="20333D5A">
            <wp:extent cx="3943350" cy="2409825"/>
            <wp:effectExtent l="0" t="0" r="0" b="9525"/>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243F9B99" w14:textId="0CA12247" w:rsidR="00D6124B" w:rsidRPr="009D1260" w:rsidRDefault="009D1260" w:rsidP="009D1260">
      <w:pPr>
        <w:pStyle w:val="Legend"/>
        <w:jc w:val="center"/>
        <w:rPr>
          <w:rFonts w:ascii="Arial" w:hAnsi="Arial" w:cs="Arial"/>
          <w:i w:val="0"/>
          <w:noProof/>
          <w:kern w:val="1"/>
          <w:sz w:val="22"/>
          <w:szCs w:val="22"/>
        </w:rPr>
      </w:pPr>
      <w:bookmarkStart w:id="210" w:name="_Toc68361169"/>
      <w:bookmarkStart w:id="211" w:name="_Toc140744495"/>
      <w:r w:rsidRPr="009D1260">
        <w:rPr>
          <w:rFonts w:ascii="Arial" w:hAnsi="Arial" w:cs="Arial"/>
          <w:sz w:val="22"/>
          <w:szCs w:val="22"/>
        </w:rPr>
        <w:t xml:space="preserve">Figura I.3. </w:t>
      </w:r>
      <w:r w:rsidRPr="009D1260">
        <w:rPr>
          <w:rFonts w:ascii="Arial" w:hAnsi="Arial" w:cs="Arial"/>
          <w:sz w:val="22"/>
          <w:szCs w:val="22"/>
        </w:rPr>
        <w:fldChar w:fldCharType="begin"/>
      </w:r>
      <w:r w:rsidRPr="009D1260">
        <w:rPr>
          <w:rFonts w:ascii="Arial" w:hAnsi="Arial" w:cs="Arial"/>
          <w:sz w:val="22"/>
          <w:szCs w:val="22"/>
        </w:rPr>
        <w:instrText xml:space="preserve"> SEQ Figura_I.3. \* ARABIC </w:instrText>
      </w:r>
      <w:r w:rsidRPr="009D1260">
        <w:rPr>
          <w:rFonts w:ascii="Arial" w:hAnsi="Arial" w:cs="Arial"/>
          <w:sz w:val="22"/>
          <w:szCs w:val="22"/>
        </w:rPr>
        <w:fldChar w:fldCharType="separate"/>
      </w:r>
      <w:r w:rsidR="00BB181C">
        <w:rPr>
          <w:rFonts w:ascii="Arial" w:hAnsi="Arial" w:cs="Arial"/>
          <w:noProof/>
          <w:sz w:val="22"/>
          <w:szCs w:val="22"/>
        </w:rPr>
        <w:t>18</w:t>
      </w:r>
      <w:r w:rsidRPr="009D1260">
        <w:rPr>
          <w:rFonts w:ascii="Arial" w:hAnsi="Arial" w:cs="Arial"/>
          <w:sz w:val="22"/>
          <w:szCs w:val="22"/>
        </w:rPr>
        <w:fldChar w:fldCharType="end"/>
      </w:r>
      <w:r w:rsidRPr="009D1260">
        <w:rPr>
          <w:rFonts w:ascii="Arial" w:hAnsi="Arial" w:cs="Arial"/>
          <w:sz w:val="22"/>
          <w:szCs w:val="22"/>
        </w:rPr>
        <w:t xml:space="preserve"> </w:t>
      </w:r>
      <w:r w:rsidR="007F69D0" w:rsidRPr="009D1260">
        <w:rPr>
          <w:rFonts w:ascii="Arial" w:hAnsi="Arial" w:cs="Arial"/>
          <w:sz w:val="22"/>
          <w:szCs w:val="22"/>
        </w:rPr>
        <w:t xml:space="preserve">- </w:t>
      </w:r>
      <w:r w:rsidR="00D6124B" w:rsidRPr="009D1260">
        <w:rPr>
          <w:rFonts w:ascii="Arial" w:hAnsi="Arial" w:cs="Arial"/>
          <w:i w:val="0"/>
          <w:noProof/>
          <w:kern w:val="1"/>
          <w:sz w:val="22"/>
          <w:szCs w:val="22"/>
        </w:rPr>
        <w:t>Număr pensionari pe gospodărie</w:t>
      </w:r>
      <w:bookmarkEnd w:id="210"/>
      <w:bookmarkEnd w:id="211"/>
    </w:p>
    <w:p w14:paraId="3741009E" w14:textId="77777777" w:rsidR="00D6124B" w:rsidRPr="00D6124B" w:rsidRDefault="00D6124B" w:rsidP="00D6124B">
      <w:pPr>
        <w:widowControl w:val="0"/>
        <w:suppressAutoHyphens/>
        <w:spacing w:after="0" w:line="240" w:lineRule="auto"/>
        <w:rPr>
          <w:rFonts w:ascii="Arial" w:hAnsi="Arial" w:cs="Mangal"/>
          <w:kern w:val="1"/>
          <w:sz w:val="24"/>
          <w:szCs w:val="24"/>
          <w:lang w:val="ro-RO" w:eastAsia="hi-IN" w:bidi="hi-IN"/>
        </w:rPr>
      </w:pPr>
    </w:p>
    <w:p w14:paraId="53C1848A"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În ce priveşte numărul de pensionari, în </w:t>
      </w:r>
      <w:r w:rsidR="00A44E3B">
        <w:rPr>
          <w:rFonts w:ascii="Arial" w:hAnsi="Arial" w:cs="Mangal"/>
          <w:kern w:val="1"/>
          <w:lang w:val="ro-RO" w:eastAsia="hi-IN" w:bidi="hi-IN"/>
        </w:rPr>
        <w:t>circa 68%</w:t>
      </w:r>
      <w:r w:rsidRPr="00D6124B">
        <w:rPr>
          <w:rFonts w:ascii="Arial" w:hAnsi="Arial" w:cs="Mangal"/>
          <w:kern w:val="1"/>
          <w:lang w:val="ro-RO" w:eastAsia="hi-IN" w:bidi="hi-IN"/>
        </w:rPr>
        <w:t xml:space="preserve"> dintre gospodăriile celor intervievaţi </w:t>
      </w:r>
      <w:r w:rsidR="00A44E3B">
        <w:rPr>
          <w:rFonts w:ascii="Arial" w:hAnsi="Arial" w:cs="Mangal"/>
          <w:kern w:val="1"/>
          <w:lang w:val="ro-RO" w:eastAsia="hi-IN" w:bidi="hi-IN"/>
        </w:rPr>
        <w:t xml:space="preserve">nu </w:t>
      </w:r>
      <w:r w:rsidRPr="00D6124B">
        <w:rPr>
          <w:rFonts w:ascii="Arial" w:hAnsi="Arial" w:cs="Mangal"/>
          <w:kern w:val="1"/>
          <w:lang w:val="ro-RO" w:eastAsia="hi-IN" w:bidi="hi-IN"/>
        </w:rPr>
        <w:t xml:space="preserve">se regăsesc </w:t>
      </w:r>
      <w:r w:rsidR="00A44E3B">
        <w:rPr>
          <w:rFonts w:ascii="Arial" w:hAnsi="Arial" w:cs="Mangal"/>
          <w:kern w:val="1"/>
          <w:lang w:val="ro-RO" w:eastAsia="hi-IN" w:bidi="hi-IN"/>
        </w:rPr>
        <w:t xml:space="preserve">persoane pensionare. În restul cazurilor sunt gospodării cu una sau două persoane persionare, cel mai frecvent o persoană pensionară. </w:t>
      </w:r>
    </w:p>
    <w:p w14:paraId="4206857D"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0F3BE0B5"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Au fost solicitate informaţii despre 3 tipuri (considerate că circumscriu natura tuturor deplasărilor efectuate de locuitorii </w:t>
      </w:r>
      <w:r w:rsidR="00A44E3B">
        <w:rPr>
          <w:rFonts w:ascii="Arial" w:hAnsi="Arial" w:cs="Mangal"/>
          <w:kern w:val="1"/>
          <w:lang w:val="ro-RO" w:eastAsia="hi-IN" w:bidi="hi-IN"/>
        </w:rPr>
        <w:t>oraşului Horezu</w:t>
      </w:r>
      <w:r w:rsidRPr="00D6124B">
        <w:rPr>
          <w:rFonts w:ascii="Arial" w:hAnsi="Arial" w:cs="Mangal"/>
          <w:kern w:val="1"/>
          <w:lang w:val="ro-RO" w:eastAsia="hi-IN" w:bidi="hi-IN"/>
        </w:rPr>
        <w:t xml:space="preserve">) de deplasări: </w:t>
      </w:r>
    </w:p>
    <w:p w14:paraId="0728407F"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Deplasarea spre serviciu/locul de muncă;</w:t>
      </w:r>
    </w:p>
    <w:p w14:paraId="2E3EF937"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Deplasarea în interes personal (cumpărături, sănătate, obligaţii civice, altele);</w:t>
      </w:r>
    </w:p>
    <w:p w14:paraId="40EB8BD8"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Deplasare pentru divertisment, petrecerea timpului liber.</w:t>
      </w:r>
    </w:p>
    <w:p w14:paraId="2760C7A5" w14:textId="77777777" w:rsidR="00D6124B" w:rsidRPr="00D6124B" w:rsidRDefault="00D6124B" w:rsidP="00D6124B">
      <w:pPr>
        <w:widowControl w:val="0"/>
        <w:suppressAutoHyphens/>
        <w:spacing w:after="0" w:line="276" w:lineRule="auto"/>
        <w:jc w:val="both"/>
        <w:rPr>
          <w:rFonts w:ascii="Arial" w:hAnsi="Arial" w:cs="Mangal"/>
          <w:b/>
          <w:i/>
          <w:kern w:val="1"/>
          <w:lang w:val="ro-RO" w:eastAsia="hi-IN" w:bidi="hi-IN"/>
        </w:rPr>
      </w:pPr>
    </w:p>
    <w:p w14:paraId="46D7C72E" w14:textId="77777777" w:rsidR="002D0272" w:rsidRDefault="002D0272" w:rsidP="00D6124B">
      <w:pPr>
        <w:widowControl w:val="0"/>
        <w:suppressAutoHyphens/>
        <w:spacing w:after="0" w:line="276" w:lineRule="auto"/>
        <w:jc w:val="both"/>
        <w:rPr>
          <w:rFonts w:ascii="Arial" w:hAnsi="Arial" w:cs="Mangal"/>
          <w:b/>
          <w:kern w:val="1"/>
          <w:lang w:val="ro-RO" w:eastAsia="hi-IN" w:bidi="hi-IN"/>
        </w:rPr>
      </w:pPr>
    </w:p>
    <w:p w14:paraId="5F00F910" w14:textId="77777777" w:rsidR="00D6124B" w:rsidRPr="00D6124B" w:rsidRDefault="00D6124B" w:rsidP="00D6124B">
      <w:pPr>
        <w:widowControl w:val="0"/>
        <w:suppressAutoHyphens/>
        <w:spacing w:after="0" w:line="276" w:lineRule="auto"/>
        <w:jc w:val="both"/>
        <w:rPr>
          <w:rFonts w:ascii="Arial" w:hAnsi="Arial" w:cs="Mangal"/>
          <w:b/>
          <w:kern w:val="1"/>
          <w:lang w:val="ro-RO" w:eastAsia="hi-IN" w:bidi="hi-IN"/>
        </w:rPr>
      </w:pPr>
      <w:r w:rsidRPr="00D6124B">
        <w:rPr>
          <w:rFonts w:ascii="Arial" w:hAnsi="Arial" w:cs="Mangal"/>
          <w:b/>
          <w:kern w:val="1"/>
          <w:lang w:val="ro-RO" w:eastAsia="hi-IN" w:bidi="hi-IN"/>
        </w:rPr>
        <w:t>Deplasările spre locul de muncă</w:t>
      </w:r>
    </w:p>
    <w:p w14:paraId="435FD459"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bookmarkStart w:id="212" w:name="_Hlk64288035"/>
      <w:r w:rsidRPr="00D6124B">
        <w:rPr>
          <w:rFonts w:ascii="Arial" w:hAnsi="Arial" w:cs="Mangal"/>
          <w:kern w:val="1"/>
          <w:lang w:val="ro-RO" w:eastAsia="hi-IN" w:bidi="hi-IN"/>
        </w:rPr>
        <w:t xml:space="preserve">Cele mai frecvente zone de la nivelul </w:t>
      </w:r>
      <w:r w:rsidR="002D0272">
        <w:rPr>
          <w:rFonts w:ascii="Arial" w:hAnsi="Arial" w:cs="Mangal"/>
          <w:kern w:val="1"/>
          <w:lang w:val="ro-RO" w:eastAsia="hi-IN" w:bidi="hi-IN"/>
        </w:rPr>
        <w:t>oraşului Horezu</w:t>
      </w:r>
      <w:r w:rsidRPr="00D6124B">
        <w:rPr>
          <w:rFonts w:ascii="Arial" w:hAnsi="Arial" w:cs="Mangal"/>
          <w:kern w:val="1"/>
          <w:lang w:val="ro-RO" w:eastAsia="hi-IN" w:bidi="hi-IN"/>
        </w:rPr>
        <w:t xml:space="preserve"> între care se efectuează acest tip de deplasare în rândul persoanelor chestionate sunt prezentate mai jos. Au fost selectate primele 1</w:t>
      </w:r>
      <w:r w:rsidR="00047672">
        <w:rPr>
          <w:rFonts w:ascii="Arial" w:hAnsi="Arial" w:cs="Mangal"/>
          <w:kern w:val="1"/>
          <w:lang w:val="ro-RO" w:eastAsia="hi-IN" w:bidi="hi-IN"/>
        </w:rPr>
        <w:t>3</w:t>
      </w:r>
      <w:r w:rsidRPr="00D6124B">
        <w:rPr>
          <w:rFonts w:ascii="Arial" w:hAnsi="Arial" w:cs="Mangal"/>
          <w:kern w:val="1"/>
          <w:lang w:val="ro-RO" w:eastAsia="hi-IN" w:bidi="hi-IN"/>
        </w:rPr>
        <w:t xml:space="preserve"> perechi de ”zonă origine &lt;&gt; zonă destinație” care au rezultat în urma prelucrării răspunsurilor la che</w:t>
      </w:r>
      <w:r w:rsidR="002D0272">
        <w:rPr>
          <w:rFonts w:ascii="Arial" w:hAnsi="Arial" w:cs="Mangal"/>
          <w:kern w:val="1"/>
          <w:lang w:val="ro-RO" w:eastAsia="hi-IN" w:bidi="hi-IN"/>
        </w:rPr>
        <w:t>s</w:t>
      </w:r>
      <w:r w:rsidRPr="00D6124B">
        <w:rPr>
          <w:rFonts w:ascii="Arial" w:hAnsi="Arial" w:cs="Mangal"/>
          <w:kern w:val="1"/>
          <w:lang w:val="ro-RO" w:eastAsia="hi-IN" w:bidi="hi-IN"/>
        </w:rPr>
        <w:t>tionare</w:t>
      </w:r>
      <w:r w:rsidR="00047672">
        <w:rPr>
          <w:rFonts w:ascii="Arial" w:hAnsi="Arial" w:cs="Mangal"/>
          <w:kern w:val="1"/>
          <w:lang w:val="ro-RO" w:eastAsia="hi-IN" w:bidi="hi-IN"/>
        </w:rPr>
        <w:t xml:space="preserve"> (cu procente de alegeri cuprinse între 2 şi 16,5)</w:t>
      </w:r>
      <w:r w:rsidRPr="00D6124B">
        <w:rPr>
          <w:rFonts w:ascii="Arial" w:hAnsi="Arial" w:cs="Mangal"/>
          <w:kern w:val="1"/>
          <w:lang w:val="ro-RO" w:eastAsia="hi-IN" w:bidi="hi-IN"/>
        </w:rPr>
        <w:t xml:space="preserve">. Codificarea zonelor de la nivelul </w:t>
      </w:r>
      <w:r w:rsidR="002D0272">
        <w:rPr>
          <w:rFonts w:ascii="Arial" w:hAnsi="Arial" w:cs="Mangal"/>
          <w:kern w:val="1"/>
          <w:lang w:val="ro-RO" w:eastAsia="hi-IN" w:bidi="hi-IN"/>
        </w:rPr>
        <w:t>oraşului</w:t>
      </w:r>
      <w:r w:rsidRPr="00D6124B">
        <w:rPr>
          <w:rFonts w:ascii="Arial" w:hAnsi="Arial" w:cs="Mangal"/>
          <w:kern w:val="1"/>
          <w:lang w:val="ro-RO" w:eastAsia="hi-IN" w:bidi="hi-IN"/>
        </w:rPr>
        <w:t xml:space="preserve"> </w:t>
      </w:r>
      <w:r w:rsidR="00EB4D34">
        <w:rPr>
          <w:rFonts w:ascii="Arial" w:hAnsi="Arial" w:cs="Mangal"/>
          <w:kern w:val="1"/>
          <w:lang w:val="ro-RO" w:eastAsia="hi-IN" w:bidi="hi-IN"/>
        </w:rPr>
        <w:t xml:space="preserve">Horezu este prezentată </w:t>
      </w:r>
      <w:r w:rsidRPr="00D6124B">
        <w:rPr>
          <w:rFonts w:ascii="Arial" w:hAnsi="Arial" w:cs="Mangal"/>
          <w:kern w:val="1"/>
          <w:lang w:val="ro-RO" w:eastAsia="hi-IN" w:bidi="hi-IN"/>
        </w:rPr>
        <w:t xml:space="preserve">în </w:t>
      </w:r>
      <w:r w:rsidRPr="002B20CD">
        <w:rPr>
          <w:rFonts w:ascii="Arial" w:hAnsi="Arial" w:cs="Mangal"/>
          <w:kern w:val="1"/>
          <w:lang w:val="ro-RO" w:eastAsia="hi-IN" w:bidi="hi-IN"/>
        </w:rPr>
        <w:t>cadrul Anexei</w:t>
      </w:r>
      <w:r w:rsidR="00C07B44" w:rsidRPr="002B20CD">
        <w:rPr>
          <w:rFonts w:ascii="Arial" w:hAnsi="Arial" w:cs="Mangal"/>
          <w:kern w:val="1"/>
          <w:lang w:val="ro-RO" w:eastAsia="hi-IN" w:bidi="hi-IN"/>
        </w:rPr>
        <w:t xml:space="preserve"> nr. </w:t>
      </w:r>
      <w:r w:rsidR="002B20CD" w:rsidRPr="002B20CD">
        <w:rPr>
          <w:rFonts w:ascii="Arial" w:hAnsi="Arial" w:cs="Mangal"/>
          <w:kern w:val="1"/>
          <w:lang w:val="ro-RO" w:eastAsia="hi-IN" w:bidi="hi-IN"/>
        </w:rPr>
        <w:t>3</w:t>
      </w:r>
      <w:r w:rsidRPr="002B20CD">
        <w:rPr>
          <w:rFonts w:ascii="Arial" w:hAnsi="Arial" w:cs="Mangal"/>
          <w:kern w:val="1"/>
          <w:lang w:val="ro-RO" w:eastAsia="hi-IN" w:bidi="hi-IN"/>
        </w:rPr>
        <w:t xml:space="preserve"> „Coduri zone”.</w:t>
      </w:r>
    </w:p>
    <w:p w14:paraId="4E6225A2"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tbl>
      <w:tblPr>
        <w:tblW w:w="4430" w:type="dxa"/>
        <w:jc w:val="center"/>
        <w:tblBorders>
          <w:insideH w:val="single" w:sz="4" w:space="0" w:color="auto"/>
          <w:insideV w:val="single" w:sz="4" w:space="0" w:color="auto"/>
        </w:tblBorders>
        <w:tblLook w:val="04A0" w:firstRow="1" w:lastRow="0" w:firstColumn="1" w:lastColumn="0" w:noHBand="0" w:noVBand="1"/>
      </w:tblPr>
      <w:tblGrid>
        <w:gridCol w:w="1176"/>
        <w:gridCol w:w="3254"/>
      </w:tblGrid>
      <w:tr w:rsidR="00D6124B" w:rsidRPr="00D6124B" w14:paraId="2749D920" w14:textId="77777777" w:rsidTr="00D15C24">
        <w:trPr>
          <w:trHeight w:val="300"/>
          <w:tblHeader/>
          <w:jc w:val="center"/>
        </w:trPr>
        <w:tc>
          <w:tcPr>
            <w:tcW w:w="1176" w:type="dxa"/>
            <w:shd w:val="clear" w:color="auto" w:fill="DAEEF3"/>
            <w:noWrap/>
            <w:vAlign w:val="bottom"/>
          </w:tcPr>
          <w:p w14:paraId="264AA6BF" w14:textId="77777777" w:rsidR="00D6124B" w:rsidRPr="00D6124B" w:rsidRDefault="00D6124B" w:rsidP="00D6124B">
            <w:pPr>
              <w:spacing w:after="0" w:line="240" w:lineRule="auto"/>
              <w:jc w:val="right"/>
              <w:rPr>
                <w:rFonts w:ascii="Calibri" w:eastAsia="Times New Roman" w:hAnsi="Calibri" w:cs="Calibri"/>
                <w:b/>
                <w:bCs/>
                <w:color w:val="000000"/>
              </w:rPr>
            </w:pPr>
            <w:r w:rsidRPr="00D6124B">
              <w:rPr>
                <w:rFonts w:ascii="Calibri" w:eastAsia="Times New Roman" w:hAnsi="Calibri" w:cs="Calibri"/>
                <w:b/>
                <w:bCs/>
                <w:color w:val="000000"/>
              </w:rPr>
              <w:t xml:space="preserve">Clasament </w:t>
            </w:r>
          </w:p>
        </w:tc>
        <w:tc>
          <w:tcPr>
            <w:tcW w:w="3254" w:type="dxa"/>
            <w:shd w:val="clear" w:color="auto" w:fill="DAEEF3"/>
            <w:noWrap/>
            <w:vAlign w:val="bottom"/>
          </w:tcPr>
          <w:p w14:paraId="18EBC0A2" w14:textId="77777777" w:rsidR="00D6124B" w:rsidRPr="00D6124B" w:rsidRDefault="00D6124B" w:rsidP="00D6124B">
            <w:pPr>
              <w:spacing w:after="0" w:line="240" w:lineRule="auto"/>
              <w:rPr>
                <w:rFonts w:ascii="Calibri" w:eastAsia="Times New Roman" w:hAnsi="Calibri" w:cs="Calibri"/>
                <w:b/>
                <w:bCs/>
                <w:color w:val="000000"/>
                <w:lang w:val="ro-RO"/>
              </w:rPr>
            </w:pPr>
            <w:r w:rsidRPr="00D6124B">
              <w:rPr>
                <w:rFonts w:ascii="Calibri" w:eastAsia="Times New Roman" w:hAnsi="Calibri" w:cs="Calibri"/>
                <w:b/>
                <w:bCs/>
                <w:color w:val="000000"/>
              </w:rPr>
              <w:t>Zon</w:t>
            </w:r>
            <w:r w:rsidRPr="00D6124B">
              <w:rPr>
                <w:rFonts w:ascii="Calibri" w:eastAsia="Times New Roman" w:hAnsi="Calibri" w:cs="Calibri"/>
                <w:b/>
                <w:bCs/>
                <w:color w:val="000000"/>
                <w:lang w:val="ro-RO"/>
              </w:rPr>
              <w:t xml:space="preserve">ă origine </w:t>
            </w:r>
            <w:r w:rsidRPr="00D6124B">
              <w:rPr>
                <w:rFonts w:ascii="Calibri" w:eastAsia="Times New Roman" w:hAnsi="Calibri" w:cs="Calibri"/>
                <w:b/>
                <w:bCs/>
                <w:color w:val="000000"/>
              </w:rPr>
              <w:t>&lt;&gt; zon</w:t>
            </w:r>
            <w:r w:rsidRPr="00D6124B">
              <w:rPr>
                <w:rFonts w:ascii="Calibri" w:eastAsia="Times New Roman" w:hAnsi="Calibri" w:cs="Calibri"/>
                <w:b/>
                <w:bCs/>
                <w:color w:val="000000"/>
                <w:lang w:val="ro-RO"/>
              </w:rPr>
              <w:t>ă destinație</w:t>
            </w:r>
          </w:p>
        </w:tc>
      </w:tr>
      <w:tr w:rsidR="00D6124B" w:rsidRPr="00D6124B" w14:paraId="02F04295" w14:textId="77777777" w:rsidTr="00D6124B">
        <w:trPr>
          <w:trHeight w:val="300"/>
          <w:jc w:val="center"/>
        </w:trPr>
        <w:tc>
          <w:tcPr>
            <w:tcW w:w="1176" w:type="dxa"/>
            <w:shd w:val="clear" w:color="auto" w:fill="auto"/>
            <w:noWrap/>
            <w:vAlign w:val="bottom"/>
            <w:hideMark/>
          </w:tcPr>
          <w:p w14:paraId="571B6509"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1</w:t>
            </w:r>
          </w:p>
        </w:tc>
        <w:tc>
          <w:tcPr>
            <w:tcW w:w="3254" w:type="dxa"/>
            <w:shd w:val="clear" w:color="auto" w:fill="auto"/>
            <w:noWrap/>
            <w:vAlign w:val="bottom"/>
            <w:hideMark/>
          </w:tcPr>
          <w:p w14:paraId="50FFDDE4"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5</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415F10EF" w14:textId="77777777" w:rsidTr="00D6124B">
        <w:trPr>
          <w:trHeight w:val="300"/>
          <w:jc w:val="center"/>
        </w:trPr>
        <w:tc>
          <w:tcPr>
            <w:tcW w:w="1176" w:type="dxa"/>
            <w:shd w:val="clear" w:color="auto" w:fill="auto"/>
            <w:noWrap/>
            <w:vAlign w:val="bottom"/>
            <w:hideMark/>
          </w:tcPr>
          <w:p w14:paraId="5636FDEF"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2</w:t>
            </w:r>
          </w:p>
        </w:tc>
        <w:tc>
          <w:tcPr>
            <w:tcW w:w="3254" w:type="dxa"/>
            <w:shd w:val="clear" w:color="auto" w:fill="auto"/>
            <w:noWrap/>
            <w:vAlign w:val="bottom"/>
            <w:hideMark/>
          </w:tcPr>
          <w:p w14:paraId="16B88F53"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9</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1EC1A569" w14:textId="77777777" w:rsidTr="00D6124B">
        <w:trPr>
          <w:trHeight w:val="300"/>
          <w:jc w:val="center"/>
        </w:trPr>
        <w:tc>
          <w:tcPr>
            <w:tcW w:w="1176" w:type="dxa"/>
            <w:shd w:val="clear" w:color="auto" w:fill="auto"/>
            <w:noWrap/>
            <w:vAlign w:val="bottom"/>
            <w:hideMark/>
          </w:tcPr>
          <w:p w14:paraId="771979FC"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3</w:t>
            </w:r>
          </w:p>
        </w:tc>
        <w:tc>
          <w:tcPr>
            <w:tcW w:w="3254" w:type="dxa"/>
            <w:shd w:val="clear" w:color="auto" w:fill="auto"/>
            <w:noWrap/>
            <w:vAlign w:val="bottom"/>
            <w:hideMark/>
          </w:tcPr>
          <w:p w14:paraId="2769BE98"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10</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5747526E" w14:textId="77777777" w:rsidTr="00D6124B">
        <w:trPr>
          <w:trHeight w:val="300"/>
          <w:jc w:val="center"/>
        </w:trPr>
        <w:tc>
          <w:tcPr>
            <w:tcW w:w="1176" w:type="dxa"/>
            <w:shd w:val="clear" w:color="auto" w:fill="auto"/>
            <w:noWrap/>
            <w:vAlign w:val="bottom"/>
            <w:hideMark/>
          </w:tcPr>
          <w:p w14:paraId="05F37EF8"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4</w:t>
            </w:r>
          </w:p>
        </w:tc>
        <w:tc>
          <w:tcPr>
            <w:tcW w:w="3254" w:type="dxa"/>
            <w:shd w:val="clear" w:color="auto" w:fill="auto"/>
            <w:noWrap/>
            <w:vAlign w:val="bottom"/>
            <w:hideMark/>
          </w:tcPr>
          <w:p w14:paraId="695AB10E"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5</w:t>
            </w:r>
            <w:r w:rsidR="00D6124B" w:rsidRPr="00D6124B">
              <w:rPr>
                <w:rFonts w:ascii="Calibri" w:eastAsia="Times New Roman" w:hAnsi="Calibri" w:cs="Calibri"/>
                <w:color w:val="000000"/>
              </w:rPr>
              <w:t>&lt;&gt;</w:t>
            </w:r>
            <w:r>
              <w:rPr>
                <w:rFonts w:ascii="Calibri" w:eastAsia="Times New Roman" w:hAnsi="Calibri" w:cs="Calibri"/>
                <w:color w:val="000000"/>
              </w:rPr>
              <w:t>1</w:t>
            </w:r>
          </w:p>
        </w:tc>
      </w:tr>
      <w:tr w:rsidR="00D6124B" w:rsidRPr="00D6124B" w14:paraId="2F7B0550" w14:textId="77777777" w:rsidTr="00D6124B">
        <w:trPr>
          <w:trHeight w:val="300"/>
          <w:jc w:val="center"/>
        </w:trPr>
        <w:tc>
          <w:tcPr>
            <w:tcW w:w="1176" w:type="dxa"/>
            <w:shd w:val="clear" w:color="auto" w:fill="auto"/>
            <w:noWrap/>
            <w:vAlign w:val="bottom"/>
            <w:hideMark/>
          </w:tcPr>
          <w:p w14:paraId="663238D3"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5</w:t>
            </w:r>
          </w:p>
        </w:tc>
        <w:tc>
          <w:tcPr>
            <w:tcW w:w="3254" w:type="dxa"/>
            <w:shd w:val="clear" w:color="auto" w:fill="auto"/>
            <w:noWrap/>
            <w:vAlign w:val="bottom"/>
            <w:hideMark/>
          </w:tcPr>
          <w:p w14:paraId="2FBAE1F3"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9</w:t>
            </w:r>
            <w:r w:rsidR="00D6124B" w:rsidRPr="00D6124B">
              <w:rPr>
                <w:rFonts w:ascii="Calibri" w:eastAsia="Times New Roman" w:hAnsi="Calibri" w:cs="Calibri"/>
                <w:color w:val="000000"/>
              </w:rPr>
              <w:t>&lt;&gt;1</w:t>
            </w:r>
          </w:p>
        </w:tc>
      </w:tr>
      <w:tr w:rsidR="00D6124B" w:rsidRPr="00D6124B" w14:paraId="68DF3C8A" w14:textId="77777777" w:rsidTr="00D6124B">
        <w:trPr>
          <w:trHeight w:val="300"/>
          <w:jc w:val="center"/>
        </w:trPr>
        <w:tc>
          <w:tcPr>
            <w:tcW w:w="1176" w:type="dxa"/>
            <w:shd w:val="clear" w:color="auto" w:fill="auto"/>
            <w:noWrap/>
            <w:vAlign w:val="bottom"/>
            <w:hideMark/>
          </w:tcPr>
          <w:p w14:paraId="1D87A655"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6</w:t>
            </w:r>
          </w:p>
        </w:tc>
        <w:tc>
          <w:tcPr>
            <w:tcW w:w="3254" w:type="dxa"/>
            <w:shd w:val="clear" w:color="auto" w:fill="auto"/>
            <w:noWrap/>
            <w:vAlign w:val="bottom"/>
            <w:hideMark/>
          </w:tcPr>
          <w:p w14:paraId="7804BD4D"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9</w:t>
            </w:r>
            <w:r w:rsidR="00D6124B" w:rsidRPr="00D6124B">
              <w:rPr>
                <w:rFonts w:ascii="Calibri" w:eastAsia="Times New Roman" w:hAnsi="Calibri" w:cs="Calibri"/>
                <w:color w:val="000000"/>
              </w:rPr>
              <w:t>&lt;&gt;</w:t>
            </w:r>
            <w:r>
              <w:rPr>
                <w:rFonts w:ascii="Calibri" w:eastAsia="Times New Roman" w:hAnsi="Calibri" w:cs="Calibri"/>
                <w:color w:val="000000"/>
              </w:rPr>
              <w:t>9</w:t>
            </w:r>
          </w:p>
        </w:tc>
      </w:tr>
      <w:tr w:rsidR="00D6124B" w:rsidRPr="00D6124B" w14:paraId="28DE8CD4" w14:textId="77777777" w:rsidTr="00D6124B">
        <w:trPr>
          <w:trHeight w:val="300"/>
          <w:jc w:val="center"/>
        </w:trPr>
        <w:tc>
          <w:tcPr>
            <w:tcW w:w="1176" w:type="dxa"/>
            <w:shd w:val="clear" w:color="auto" w:fill="auto"/>
            <w:noWrap/>
            <w:vAlign w:val="bottom"/>
            <w:hideMark/>
          </w:tcPr>
          <w:p w14:paraId="572266DA"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7</w:t>
            </w:r>
          </w:p>
        </w:tc>
        <w:tc>
          <w:tcPr>
            <w:tcW w:w="3254" w:type="dxa"/>
            <w:shd w:val="clear" w:color="auto" w:fill="auto"/>
            <w:noWrap/>
            <w:vAlign w:val="bottom"/>
            <w:hideMark/>
          </w:tcPr>
          <w:p w14:paraId="5DD0A88A"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5</w:t>
            </w:r>
            <w:r w:rsidR="00D6124B" w:rsidRPr="00D6124B">
              <w:rPr>
                <w:rFonts w:ascii="Calibri" w:eastAsia="Times New Roman" w:hAnsi="Calibri" w:cs="Calibri"/>
                <w:color w:val="000000"/>
              </w:rPr>
              <w:t>&lt;&gt;</w:t>
            </w:r>
            <w:r>
              <w:rPr>
                <w:rFonts w:ascii="Calibri" w:eastAsia="Times New Roman" w:hAnsi="Calibri" w:cs="Calibri"/>
                <w:color w:val="000000"/>
              </w:rPr>
              <w:t>9</w:t>
            </w:r>
          </w:p>
        </w:tc>
      </w:tr>
      <w:tr w:rsidR="00D6124B" w:rsidRPr="00D6124B" w14:paraId="4EB66B06" w14:textId="77777777" w:rsidTr="00D6124B">
        <w:trPr>
          <w:trHeight w:val="300"/>
          <w:jc w:val="center"/>
        </w:trPr>
        <w:tc>
          <w:tcPr>
            <w:tcW w:w="1176" w:type="dxa"/>
            <w:shd w:val="clear" w:color="auto" w:fill="auto"/>
            <w:noWrap/>
            <w:vAlign w:val="bottom"/>
            <w:hideMark/>
          </w:tcPr>
          <w:p w14:paraId="7CCD5A8F"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8</w:t>
            </w:r>
          </w:p>
        </w:tc>
        <w:tc>
          <w:tcPr>
            <w:tcW w:w="3254" w:type="dxa"/>
            <w:shd w:val="clear" w:color="auto" w:fill="auto"/>
            <w:noWrap/>
            <w:vAlign w:val="bottom"/>
            <w:hideMark/>
          </w:tcPr>
          <w:p w14:paraId="6D180CF8"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5</w:t>
            </w:r>
            <w:r w:rsidR="00D6124B" w:rsidRPr="00D6124B">
              <w:rPr>
                <w:rFonts w:ascii="Calibri" w:eastAsia="Times New Roman" w:hAnsi="Calibri" w:cs="Calibri"/>
                <w:color w:val="000000"/>
              </w:rPr>
              <w:t>&lt;&gt;</w:t>
            </w:r>
            <w:r>
              <w:rPr>
                <w:rFonts w:ascii="Calibri" w:eastAsia="Times New Roman" w:hAnsi="Calibri" w:cs="Calibri"/>
                <w:color w:val="000000"/>
              </w:rPr>
              <w:t>0</w:t>
            </w:r>
          </w:p>
        </w:tc>
      </w:tr>
      <w:tr w:rsidR="00D6124B" w:rsidRPr="00D6124B" w14:paraId="77119B2A" w14:textId="77777777" w:rsidTr="00D6124B">
        <w:trPr>
          <w:trHeight w:val="300"/>
          <w:jc w:val="center"/>
        </w:trPr>
        <w:tc>
          <w:tcPr>
            <w:tcW w:w="1176" w:type="dxa"/>
            <w:shd w:val="clear" w:color="auto" w:fill="auto"/>
            <w:noWrap/>
            <w:vAlign w:val="bottom"/>
            <w:hideMark/>
          </w:tcPr>
          <w:p w14:paraId="4734926E"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9</w:t>
            </w:r>
          </w:p>
        </w:tc>
        <w:tc>
          <w:tcPr>
            <w:tcW w:w="3254" w:type="dxa"/>
            <w:shd w:val="clear" w:color="auto" w:fill="auto"/>
            <w:noWrap/>
            <w:vAlign w:val="bottom"/>
            <w:hideMark/>
          </w:tcPr>
          <w:p w14:paraId="46E26A37"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3</w:t>
            </w:r>
            <w:r w:rsidR="00D6124B" w:rsidRPr="00D6124B">
              <w:rPr>
                <w:rFonts w:ascii="Calibri" w:eastAsia="Times New Roman" w:hAnsi="Calibri" w:cs="Calibri"/>
                <w:color w:val="000000"/>
              </w:rPr>
              <w:t>&lt;&gt;</w:t>
            </w:r>
            <w:r>
              <w:rPr>
                <w:rFonts w:ascii="Calibri" w:eastAsia="Times New Roman" w:hAnsi="Calibri" w:cs="Calibri"/>
                <w:color w:val="000000"/>
              </w:rPr>
              <w:t>9</w:t>
            </w:r>
          </w:p>
        </w:tc>
      </w:tr>
      <w:tr w:rsidR="00D6124B" w:rsidRPr="00D6124B" w14:paraId="4524F06D" w14:textId="77777777" w:rsidTr="00D6124B">
        <w:trPr>
          <w:trHeight w:val="300"/>
          <w:jc w:val="center"/>
        </w:trPr>
        <w:tc>
          <w:tcPr>
            <w:tcW w:w="1176" w:type="dxa"/>
            <w:shd w:val="clear" w:color="auto" w:fill="auto"/>
            <w:noWrap/>
            <w:vAlign w:val="bottom"/>
            <w:hideMark/>
          </w:tcPr>
          <w:p w14:paraId="797A9CA1"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10</w:t>
            </w:r>
          </w:p>
        </w:tc>
        <w:tc>
          <w:tcPr>
            <w:tcW w:w="3254" w:type="dxa"/>
            <w:shd w:val="clear" w:color="auto" w:fill="auto"/>
            <w:noWrap/>
            <w:vAlign w:val="bottom"/>
            <w:hideMark/>
          </w:tcPr>
          <w:p w14:paraId="6FD7CEC9" w14:textId="77777777" w:rsidR="00D6124B" w:rsidRPr="00D6124B"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10</w:t>
            </w:r>
            <w:r w:rsidR="00D6124B" w:rsidRPr="00D6124B">
              <w:rPr>
                <w:rFonts w:ascii="Calibri" w:eastAsia="Times New Roman" w:hAnsi="Calibri" w:cs="Calibri"/>
                <w:color w:val="000000"/>
              </w:rPr>
              <w:t>&lt;&gt;</w:t>
            </w:r>
            <w:r>
              <w:rPr>
                <w:rFonts w:ascii="Calibri" w:eastAsia="Times New Roman" w:hAnsi="Calibri" w:cs="Calibri"/>
                <w:color w:val="000000"/>
              </w:rPr>
              <w:t>1</w:t>
            </w:r>
          </w:p>
        </w:tc>
      </w:tr>
      <w:tr w:rsidR="00047672" w:rsidRPr="00D6124B" w14:paraId="74A7EAA0" w14:textId="77777777" w:rsidTr="00D6124B">
        <w:trPr>
          <w:trHeight w:val="300"/>
          <w:jc w:val="center"/>
        </w:trPr>
        <w:tc>
          <w:tcPr>
            <w:tcW w:w="1176" w:type="dxa"/>
            <w:shd w:val="clear" w:color="auto" w:fill="auto"/>
            <w:noWrap/>
            <w:vAlign w:val="bottom"/>
          </w:tcPr>
          <w:p w14:paraId="352865BB" w14:textId="77777777" w:rsidR="00047672" w:rsidRPr="00D6124B" w:rsidRDefault="00047672" w:rsidP="00D6124B">
            <w:pPr>
              <w:spacing w:after="0" w:line="240" w:lineRule="auto"/>
              <w:jc w:val="right"/>
              <w:rPr>
                <w:rFonts w:ascii="Calibri" w:eastAsia="Times New Roman" w:hAnsi="Calibri" w:cs="Calibri"/>
                <w:color w:val="000000"/>
              </w:rPr>
            </w:pPr>
            <w:r>
              <w:rPr>
                <w:rFonts w:ascii="Calibri" w:eastAsia="Times New Roman" w:hAnsi="Calibri" w:cs="Calibri"/>
                <w:color w:val="000000"/>
              </w:rPr>
              <w:t>11</w:t>
            </w:r>
          </w:p>
        </w:tc>
        <w:tc>
          <w:tcPr>
            <w:tcW w:w="3254" w:type="dxa"/>
            <w:shd w:val="clear" w:color="auto" w:fill="auto"/>
            <w:noWrap/>
            <w:vAlign w:val="bottom"/>
          </w:tcPr>
          <w:p w14:paraId="69D3927E" w14:textId="77777777" w:rsidR="00047672"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6</w:t>
            </w:r>
            <w:r w:rsidRPr="00D6124B">
              <w:rPr>
                <w:rFonts w:ascii="Calibri" w:eastAsia="Times New Roman" w:hAnsi="Calibri" w:cs="Calibri"/>
                <w:color w:val="000000"/>
              </w:rPr>
              <w:t>&lt;&gt;</w:t>
            </w:r>
            <w:r>
              <w:rPr>
                <w:rFonts w:ascii="Calibri" w:eastAsia="Times New Roman" w:hAnsi="Calibri" w:cs="Calibri"/>
                <w:color w:val="000000"/>
              </w:rPr>
              <w:t>9</w:t>
            </w:r>
          </w:p>
        </w:tc>
      </w:tr>
      <w:tr w:rsidR="00047672" w:rsidRPr="00D6124B" w14:paraId="498083D5" w14:textId="77777777" w:rsidTr="00D6124B">
        <w:trPr>
          <w:trHeight w:val="300"/>
          <w:jc w:val="center"/>
        </w:trPr>
        <w:tc>
          <w:tcPr>
            <w:tcW w:w="1176" w:type="dxa"/>
            <w:shd w:val="clear" w:color="auto" w:fill="auto"/>
            <w:noWrap/>
            <w:vAlign w:val="bottom"/>
          </w:tcPr>
          <w:p w14:paraId="68E0E9D1" w14:textId="77777777" w:rsidR="00047672" w:rsidRPr="00D6124B" w:rsidRDefault="00047672" w:rsidP="00D6124B">
            <w:pPr>
              <w:spacing w:after="0" w:line="240" w:lineRule="auto"/>
              <w:jc w:val="right"/>
              <w:rPr>
                <w:rFonts w:ascii="Calibri" w:eastAsia="Times New Roman" w:hAnsi="Calibri" w:cs="Calibri"/>
                <w:color w:val="000000"/>
              </w:rPr>
            </w:pPr>
            <w:r>
              <w:rPr>
                <w:rFonts w:ascii="Calibri" w:eastAsia="Times New Roman" w:hAnsi="Calibri" w:cs="Calibri"/>
                <w:color w:val="000000"/>
              </w:rPr>
              <w:t>12</w:t>
            </w:r>
          </w:p>
        </w:tc>
        <w:tc>
          <w:tcPr>
            <w:tcW w:w="3254" w:type="dxa"/>
            <w:shd w:val="clear" w:color="auto" w:fill="auto"/>
            <w:noWrap/>
            <w:vAlign w:val="bottom"/>
          </w:tcPr>
          <w:p w14:paraId="1776F422" w14:textId="77777777" w:rsidR="00047672"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3</w:t>
            </w:r>
            <w:r w:rsidRPr="00D6124B">
              <w:rPr>
                <w:rFonts w:ascii="Calibri" w:eastAsia="Times New Roman" w:hAnsi="Calibri" w:cs="Calibri"/>
                <w:color w:val="000000"/>
              </w:rPr>
              <w:t>&lt;&gt;</w:t>
            </w:r>
            <w:r>
              <w:rPr>
                <w:rFonts w:ascii="Calibri" w:eastAsia="Times New Roman" w:hAnsi="Calibri" w:cs="Calibri"/>
                <w:color w:val="000000"/>
              </w:rPr>
              <w:t>3</w:t>
            </w:r>
          </w:p>
        </w:tc>
      </w:tr>
      <w:tr w:rsidR="00047672" w:rsidRPr="00D6124B" w14:paraId="2960B0E2" w14:textId="77777777" w:rsidTr="00D6124B">
        <w:trPr>
          <w:trHeight w:val="300"/>
          <w:jc w:val="center"/>
        </w:trPr>
        <w:tc>
          <w:tcPr>
            <w:tcW w:w="1176" w:type="dxa"/>
            <w:shd w:val="clear" w:color="auto" w:fill="auto"/>
            <w:noWrap/>
            <w:vAlign w:val="bottom"/>
          </w:tcPr>
          <w:p w14:paraId="624E6728" w14:textId="77777777" w:rsidR="00047672" w:rsidRPr="00D6124B" w:rsidRDefault="00047672" w:rsidP="00D6124B">
            <w:pPr>
              <w:spacing w:after="0" w:line="240" w:lineRule="auto"/>
              <w:jc w:val="right"/>
              <w:rPr>
                <w:rFonts w:ascii="Calibri" w:eastAsia="Times New Roman" w:hAnsi="Calibri" w:cs="Calibri"/>
                <w:color w:val="000000"/>
              </w:rPr>
            </w:pPr>
            <w:r>
              <w:rPr>
                <w:rFonts w:ascii="Calibri" w:eastAsia="Times New Roman" w:hAnsi="Calibri" w:cs="Calibri"/>
                <w:color w:val="000000"/>
              </w:rPr>
              <w:lastRenderedPageBreak/>
              <w:t>13</w:t>
            </w:r>
          </w:p>
        </w:tc>
        <w:tc>
          <w:tcPr>
            <w:tcW w:w="3254" w:type="dxa"/>
            <w:shd w:val="clear" w:color="auto" w:fill="auto"/>
            <w:noWrap/>
            <w:vAlign w:val="bottom"/>
          </w:tcPr>
          <w:p w14:paraId="74D84F22" w14:textId="77777777" w:rsidR="00047672" w:rsidRDefault="00047672" w:rsidP="00047672">
            <w:pPr>
              <w:spacing w:after="0" w:line="240" w:lineRule="auto"/>
              <w:jc w:val="center"/>
              <w:rPr>
                <w:rFonts w:ascii="Calibri" w:eastAsia="Times New Roman" w:hAnsi="Calibri" w:cs="Calibri"/>
                <w:color w:val="000000"/>
              </w:rPr>
            </w:pPr>
            <w:r>
              <w:rPr>
                <w:rFonts w:ascii="Calibri" w:eastAsia="Times New Roman" w:hAnsi="Calibri" w:cs="Calibri"/>
                <w:color w:val="000000"/>
              </w:rPr>
              <w:t>0</w:t>
            </w:r>
            <w:r w:rsidRPr="00D6124B">
              <w:rPr>
                <w:rFonts w:ascii="Calibri" w:eastAsia="Times New Roman" w:hAnsi="Calibri" w:cs="Calibri"/>
                <w:color w:val="000000"/>
              </w:rPr>
              <w:t>&lt;&gt;</w:t>
            </w:r>
            <w:r>
              <w:rPr>
                <w:rFonts w:ascii="Calibri" w:eastAsia="Times New Roman" w:hAnsi="Calibri" w:cs="Calibri"/>
                <w:color w:val="000000"/>
              </w:rPr>
              <w:t>1</w:t>
            </w:r>
          </w:p>
        </w:tc>
      </w:tr>
    </w:tbl>
    <w:bookmarkEnd w:id="212"/>
    <w:p w14:paraId="7D6E865F"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Duratele de deplasare la locul de muncă pentru cei chestionaţi sunt cuprinse între </w:t>
      </w:r>
      <w:r w:rsidR="00CA0B5E">
        <w:rPr>
          <w:rFonts w:ascii="Arial" w:hAnsi="Arial" w:cs="Mangal"/>
          <w:kern w:val="1"/>
          <w:lang w:val="ro-RO" w:eastAsia="hi-IN" w:bidi="hi-IN"/>
        </w:rPr>
        <w:t xml:space="preserve">3 minute şi 60 </w:t>
      </w:r>
      <w:r w:rsidRPr="00D6124B">
        <w:rPr>
          <w:rFonts w:ascii="Arial" w:hAnsi="Arial" w:cs="Mangal"/>
          <w:kern w:val="1"/>
          <w:lang w:val="ro-RO" w:eastAsia="hi-IN" w:bidi="hi-IN"/>
        </w:rPr>
        <w:t xml:space="preserve">de minute, cu o medie de </w:t>
      </w:r>
      <w:r w:rsidR="00CA0B5E">
        <w:rPr>
          <w:rFonts w:ascii="Arial" w:hAnsi="Arial" w:cs="Mangal"/>
          <w:kern w:val="1"/>
          <w:lang w:val="ro-RO" w:eastAsia="hi-IN" w:bidi="hi-IN"/>
        </w:rPr>
        <w:t>20</w:t>
      </w:r>
      <w:r w:rsidRPr="00D6124B">
        <w:rPr>
          <w:rFonts w:ascii="Arial" w:hAnsi="Arial" w:cs="Mangal"/>
          <w:kern w:val="1"/>
          <w:lang w:val="ro-RO" w:eastAsia="hi-IN" w:bidi="hi-IN"/>
        </w:rPr>
        <w:t xml:space="preserve"> minute.</w:t>
      </w:r>
    </w:p>
    <w:p w14:paraId="1425D42A"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0A49073C"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357807">
        <w:rPr>
          <w:rFonts w:ascii="Arial" w:hAnsi="Arial" w:cs="Mangal"/>
          <w:kern w:val="1"/>
          <w:lang w:val="ro-RO" w:eastAsia="hi-IN" w:bidi="hi-IN"/>
        </w:rPr>
        <w:t>Frecvenţa de deplasare la locul de muncă este cuprinsă între 1 şi 7</w:t>
      </w:r>
      <w:r w:rsidR="00357807" w:rsidRPr="00357807">
        <w:rPr>
          <w:rFonts w:ascii="Arial" w:hAnsi="Arial" w:cs="Mangal"/>
          <w:kern w:val="1"/>
          <w:lang w:val="ro-RO" w:eastAsia="hi-IN" w:bidi="hi-IN"/>
        </w:rPr>
        <w:t>, cea mai frecventă fiind, cum este de aşteptat de 5</w:t>
      </w:r>
      <w:r w:rsidRPr="00357807">
        <w:rPr>
          <w:rFonts w:ascii="Arial" w:hAnsi="Arial" w:cs="Mangal"/>
          <w:kern w:val="1"/>
          <w:lang w:val="ro-RO" w:eastAsia="hi-IN" w:bidi="hi-IN"/>
        </w:rPr>
        <w:t xml:space="preserve">, în peste </w:t>
      </w:r>
      <w:r w:rsidR="00357807" w:rsidRPr="00357807">
        <w:rPr>
          <w:rFonts w:ascii="Arial" w:hAnsi="Arial" w:cs="Mangal"/>
          <w:kern w:val="1"/>
          <w:lang w:val="ro-RO" w:eastAsia="hi-IN" w:bidi="hi-IN"/>
        </w:rPr>
        <w:t>67</w:t>
      </w:r>
      <w:r w:rsidRPr="00357807">
        <w:rPr>
          <w:rFonts w:ascii="Arial" w:hAnsi="Arial" w:cs="Mangal"/>
          <w:kern w:val="1"/>
          <w:lang w:val="ro-RO" w:eastAsia="hi-IN" w:bidi="hi-IN"/>
        </w:rPr>
        <w:t>% dintre cazuri.</w:t>
      </w:r>
      <w:r w:rsidRPr="00357807">
        <w:rPr>
          <w:rFonts w:ascii="Arial" w:hAnsi="Arial" w:cs="Mangal"/>
          <w:kern w:val="1"/>
          <w:sz w:val="20"/>
          <w:szCs w:val="24"/>
          <w:lang w:val="ro-RO" w:eastAsia="hi-IN" w:bidi="hi-IN"/>
        </w:rPr>
        <w:t xml:space="preserve"> </w:t>
      </w:r>
      <w:r w:rsidRPr="00357807">
        <w:rPr>
          <w:rFonts w:ascii="Arial" w:hAnsi="Arial" w:cs="Mangal"/>
          <w:kern w:val="1"/>
          <w:lang w:val="ro-RO" w:eastAsia="hi-IN" w:bidi="hi-IN"/>
        </w:rPr>
        <w:t>Această deplasare implică călătoria dus-întors de la locul de muncă/serviciu</w:t>
      </w:r>
      <w:r w:rsidR="00357807" w:rsidRPr="00357807">
        <w:rPr>
          <w:rFonts w:ascii="Arial" w:hAnsi="Arial" w:cs="Mangal"/>
          <w:kern w:val="1"/>
          <w:lang w:val="ro-RO" w:eastAsia="hi-IN" w:bidi="hi-IN"/>
        </w:rPr>
        <w:t>/unitatea de învăţământ (în cazul elevilor)</w:t>
      </w:r>
      <w:r w:rsidRPr="00357807">
        <w:rPr>
          <w:rFonts w:ascii="Arial" w:hAnsi="Arial" w:cs="Mangal"/>
          <w:kern w:val="1"/>
          <w:lang w:val="ro-RO" w:eastAsia="hi-IN" w:bidi="hi-IN"/>
        </w:rPr>
        <w:t>.</w:t>
      </w:r>
      <w:r w:rsidR="00357807" w:rsidRPr="00357807">
        <w:rPr>
          <w:rFonts w:ascii="Arial" w:hAnsi="Arial" w:cs="Mangal"/>
          <w:kern w:val="1"/>
          <w:lang w:val="ro-RO" w:eastAsia="hi-IN" w:bidi="hi-IN"/>
        </w:rPr>
        <w:t xml:space="preserve"> Circa 10</w:t>
      </w:r>
      <w:r w:rsidRPr="00357807">
        <w:rPr>
          <w:rFonts w:ascii="Arial" w:hAnsi="Arial" w:cs="Mangal"/>
          <w:kern w:val="1"/>
          <w:lang w:val="ro-RO" w:eastAsia="hi-IN" w:bidi="hi-IN"/>
        </w:rPr>
        <w:t xml:space="preserve">% dintre </w:t>
      </w:r>
      <w:r w:rsidR="00357807" w:rsidRPr="00357807">
        <w:rPr>
          <w:rFonts w:ascii="Arial" w:hAnsi="Arial" w:cs="Mangal"/>
          <w:kern w:val="1"/>
          <w:lang w:val="ro-RO" w:eastAsia="hi-IN" w:bidi="hi-IN"/>
        </w:rPr>
        <w:t xml:space="preserve">respondenţi </w:t>
      </w:r>
      <w:r w:rsidRPr="00357807">
        <w:rPr>
          <w:rFonts w:ascii="Arial" w:hAnsi="Arial" w:cs="Mangal"/>
          <w:kern w:val="1"/>
          <w:lang w:val="ro-RO" w:eastAsia="hi-IN" w:bidi="hi-IN"/>
        </w:rPr>
        <w:t>menţionează că nu efectuează depl</w:t>
      </w:r>
      <w:r w:rsidR="00357807" w:rsidRPr="00357807">
        <w:rPr>
          <w:rFonts w:ascii="Arial" w:hAnsi="Arial" w:cs="Mangal"/>
          <w:kern w:val="1"/>
          <w:lang w:val="ro-RO" w:eastAsia="hi-IN" w:bidi="hi-IN"/>
        </w:rPr>
        <w:t>asări în interes de de serviciu</w:t>
      </w:r>
      <w:r w:rsidRPr="00357807">
        <w:rPr>
          <w:rFonts w:ascii="Arial" w:hAnsi="Arial" w:cs="Mangal"/>
          <w:kern w:val="1"/>
          <w:lang w:val="ro-RO" w:eastAsia="hi-IN" w:bidi="hi-IN"/>
        </w:rPr>
        <w:t>. De menţionat că locul de luncă/serviciu în cazul che</w:t>
      </w:r>
      <w:r w:rsidR="00357807" w:rsidRPr="00357807">
        <w:rPr>
          <w:rFonts w:ascii="Arial" w:hAnsi="Arial" w:cs="Mangal"/>
          <w:kern w:val="1"/>
          <w:lang w:val="ro-RO" w:eastAsia="hi-IN" w:bidi="hi-IN"/>
        </w:rPr>
        <w:t>stionarului aplicat este asimila</w:t>
      </w:r>
      <w:r w:rsidRPr="00357807">
        <w:rPr>
          <w:rFonts w:ascii="Arial" w:hAnsi="Arial" w:cs="Mangal"/>
          <w:kern w:val="1"/>
          <w:lang w:val="ro-RO" w:eastAsia="hi-IN" w:bidi="hi-IN"/>
        </w:rPr>
        <w:t xml:space="preserve">tă şi cu deplasarea în interes educaţional la o instituţie de învăţământ de pe raza localităţii. Există cazuri (circa </w:t>
      </w:r>
      <w:r w:rsidR="00357807" w:rsidRPr="00357807">
        <w:rPr>
          <w:rFonts w:ascii="Arial" w:hAnsi="Arial" w:cs="Mangal"/>
          <w:kern w:val="1"/>
          <w:lang w:val="ro-RO" w:eastAsia="hi-IN" w:bidi="hi-IN"/>
        </w:rPr>
        <w:t>11</w:t>
      </w:r>
      <w:r w:rsidRPr="00357807">
        <w:rPr>
          <w:rFonts w:ascii="Arial" w:hAnsi="Arial" w:cs="Mangal"/>
          <w:kern w:val="1"/>
          <w:lang w:val="ro-RO" w:eastAsia="hi-IN" w:bidi="hi-IN"/>
        </w:rPr>
        <w:t xml:space="preserve">% dintre respondenţi) în care deplasările în interes de serviciu se realizează chiar şi cu o frecvenţă de 7 </w:t>
      </w:r>
      <w:r w:rsidR="00357807" w:rsidRPr="00357807">
        <w:rPr>
          <w:rFonts w:ascii="Arial" w:hAnsi="Arial" w:cs="Mangal"/>
          <w:kern w:val="1"/>
          <w:lang w:val="ro-RO" w:eastAsia="hi-IN" w:bidi="hi-IN"/>
        </w:rPr>
        <w:t xml:space="preserve">deplasări dus/întors </w:t>
      </w:r>
      <w:r w:rsidRPr="00357807">
        <w:rPr>
          <w:rFonts w:ascii="Arial" w:hAnsi="Arial" w:cs="Mangal"/>
          <w:kern w:val="1"/>
          <w:lang w:val="ro-RO" w:eastAsia="hi-IN" w:bidi="hi-IN"/>
        </w:rPr>
        <w:t>pe săptămână.</w:t>
      </w:r>
      <w:r w:rsidRPr="00D6124B">
        <w:rPr>
          <w:rFonts w:ascii="Arial" w:hAnsi="Arial" w:cs="Mangal"/>
          <w:kern w:val="1"/>
          <w:lang w:val="ro-RO" w:eastAsia="hi-IN" w:bidi="hi-IN"/>
        </w:rPr>
        <w:t xml:space="preserve"> </w:t>
      </w:r>
    </w:p>
    <w:p w14:paraId="2EA73036" w14:textId="77777777" w:rsidR="00D6124B" w:rsidRPr="00D6124B" w:rsidRDefault="00357807" w:rsidP="00D6124B">
      <w:pPr>
        <w:widowControl w:val="0"/>
        <w:suppressAutoHyphens/>
        <w:spacing w:after="0" w:line="276" w:lineRule="auto"/>
        <w:jc w:val="center"/>
        <w:rPr>
          <w:rFonts w:ascii="Arial" w:hAnsi="Arial" w:cs="Mangal"/>
          <w:kern w:val="1"/>
          <w:lang w:val="ro-RO" w:eastAsia="hi-IN" w:bidi="hi-IN"/>
        </w:rPr>
      </w:pPr>
      <w:r>
        <w:rPr>
          <w:noProof/>
        </w:rPr>
        <w:drawing>
          <wp:inline distT="0" distB="0" distL="0" distR="0" wp14:anchorId="68C5630F" wp14:editId="77762D95">
            <wp:extent cx="4657725" cy="2705100"/>
            <wp:effectExtent l="0" t="0" r="9525" b="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5EF14FEC" w14:textId="2F8DE666" w:rsidR="00D6124B" w:rsidRPr="00357807" w:rsidRDefault="00357807" w:rsidP="00357807">
      <w:pPr>
        <w:pStyle w:val="Legend"/>
        <w:jc w:val="center"/>
        <w:rPr>
          <w:rFonts w:ascii="Arial" w:hAnsi="Arial" w:cs="Arial"/>
          <w:kern w:val="1"/>
          <w:sz w:val="22"/>
          <w:szCs w:val="22"/>
          <w:lang w:val="ro-RO" w:eastAsia="hi-IN" w:bidi="hi-IN"/>
        </w:rPr>
      </w:pPr>
      <w:bookmarkStart w:id="213" w:name="_Toc68361170"/>
      <w:bookmarkStart w:id="214" w:name="_Toc140744496"/>
      <w:r w:rsidRPr="00357807">
        <w:rPr>
          <w:rFonts w:ascii="Arial" w:hAnsi="Arial" w:cs="Arial"/>
          <w:sz w:val="22"/>
          <w:szCs w:val="22"/>
        </w:rPr>
        <w:t xml:space="preserve">Figura I.3. </w:t>
      </w:r>
      <w:r w:rsidRPr="00357807">
        <w:rPr>
          <w:rFonts w:ascii="Arial" w:hAnsi="Arial" w:cs="Arial"/>
          <w:sz w:val="22"/>
          <w:szCs w:val="22"/>
        </w:rPr>
        <w:fldChar w:fldCharType="begin"/>
      </w:r>
      <w:r w:rsidRPr="00357807">
        <w:rPr>
          <w:rFonts w:ascii="Arial" w:hAnsi="Arial" w:cs="Arial"/>
          <w:sz w:val="22"/>
          <w:szCs w:val="22"/>
        </w:rPr>
        <w:instrText xml:space="preserve"> SEQ Figura_I.3. \* ARABIC </w:instrText>
      </w:r>
      <w:r w:rsidRPr="00357807">
        <w:rPr>
          <w:rFonts w:ascii="Arial" w:hAnsi="Arial" w:cs="Arial"/>
          <w:sz w:val="22"/>
          <w:szCs w:val="22"/>
        </w:rPr>
        <w:fldChar w:fldCharType="separate"/>
      </w:r>
      <w:r w:rsidR="00BB181C">
        <w:rPr>
          <w:rFonts w:ascii="Arial" w:hAnsi="Arial" w:cs="Arial"/>
          <w:noProof/>
          <w:sz w:val="22"/>
          <w:szCs w:val="22"/>
        </w:rPr>
        <w:t>19</w:t>
      </w:r>
      <w:r w:rsidRPr="00357807">
        <w:rPr>
          <w:rFonts w:ascii="Arial" w:hAnsi="Arial" w:cs="Arial"/>
          <w:sz w:val="22"/>
          <w:szCs w:val="22"/>
        </w:rPr>
        <w:fldChar w:fldCharType="end"/>
      </w:r>
      <w:r w:rsidRPr="00357807">
        <w:rPr>
          <w:rFonts w:ascii="Arial" w:hAnsi="Arial" w:cs="Arial"/>
          <w:sz w:val="22"/>
          <w:szCs w:val="22"/>
        </w:rPr>
        <w:t xml:space="preserve"> </w:t>
      </w:r>
      <w:r w:rsidR="007F69D0" w:rsidRPr="00357807">
        <w:rPr>
          <w:rFonts w:ascii="Arial" w:hAnsi="Arial" w:cs="Arial"/>
          <w:sz w:val="22"/>
          <w:szCs w:val="22"/>
        </w:rPr>
        <w:t xml:space="preserve">- </w:t>
      </w:r>
      <w:r w:rsidR="00D6124B" w:rsidRPr="00357807">
        <w:rPr>
          <w:rFonts w:ascii="Arial" w:hAnsi="Arial" w:cs="Arial"/>
          <w:i w:val="0"/>
          <w:kern w:val="1"/>
          <w:sz w:val="22"/>
          <w:szCs w:val="22"/>
          <w:lang w:val="ro-RO" w:eastAsia="hi-IN" w:bidi="hi-IN"/>
        </w:rPr>
        <w:t>Frecvenţa deplasării la locul de muncă</w:t>
      </w:r>
      <w:bookmarkEnd w:id="213"/>
      <w:bookmarkEnd w:id="214"/>
    </w:p>
    <w:p w14:paraId="6A93F570" w14:textId="77777777" w:rsidR="00D6124B" w:rsidRPr="00D6124B" w:rsidRDefault="00D6124B" w:rsidP="00D6124B">
      <w:pPr>
        <w:widowControl w:val="0"/>
        <w:tabs>
          <w:tab w:val="left" w:pos="1557"/>
        </w:tabs>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În ce priveşte modul de transport utilizat pentru deplasările la locul de muncă, cele mai multe deplasări se efectuează cu autoturismu</w:t>
      </w:r>
      <w:r w:rsidR="00411ECD">
        <w:rPr>
          <w:rFonts w:ascii="Arial" w:hAnsi="Arial" w:cs="Mangal"/>
          <w:kern w:val="1"/>
          <w:lang w:val="ro-RO" w:eastAsia="hi-IN" w:bidi="hi-IN"/>
        </w:rPr>
        <w:t>l personal</w:t>
      </w:r>
      <w:r w:rsidR="00657219">
        <w:rPr>
          <w:rFonts w:ascii="Arial" w:hAnsi="Arial" w:cs="Mangal"/>
          <w:kern w:val="1"/>
          <w:lang w:val="ro-RO" w:eastAsia="hi-IN" w:bidi="hi-IN"/>
        </w:rPr>
        <w:t xml:space="preserve"> (44,92%)</w:t>
      </w:r>
      <w:r w:rsidRPr="00D6124B">
        <w:rPr>
          <w:rFonts w:ascii="Arial" w:hAnsi="Arial" w:cs="Mangal"/>
          <w:kern w:val="1"/>
          <w:lang w:val="ro-RO" w:eastAsia="hi-IN" w:bidi="hi-IN"/>
        </w:rPr>
        <w:t xml:space="preserve">. În </w:t>
      </w:r>
      <w:r w:rsidR="00411ECD">
        <w:rPr>
          <w:rFonts w:ascii="Arial" w:hAnsi="Arial" w:cs="Mangal"/>
          <w:kern w:val="1"/>
          <w:lang w:val="ro-RO" w:eastAsia="hi-IN" w:bidi="hi-IN"/>
        </w:rPr>
        <w:t xml:space="preserve">aproape </w:t>
      </w:r>
      <w:r w:rsidRPr="00D6124B">
        <w:rPr>
          <w:rFonts w:ascii="Arial" w:hAnsi="Arial" w:cs="Mangal"/>
          <w:kern w:val="1"/>
          <w:lang w:val="ro-RO" w:eastAsia="hi-IN" w:bidi="hi-IN"/>
        </w:rPr>
        <w:t>1</w:t>
      </w:r>
      <w:r w:rsidR="00411ECD">
        <w:rPr>
          <w:rFonts w:ascii="Arial" w:hAnsi="Arial" w:cs="Mangal"/>
          <w:kern w:val="1"/>
          <w:lang w:val="ro-RO" w:eastAsia="hi-IN" w:bidi="hi-IN"/>
        </w:rPr>
        <w:t>5% dintre cazuri, deplasările la locul de muncă se efectuează pietonal</w:t>
      </w:r>
      <w:r w:rsidRPr="00D6124B">
        <w:rPr>
          <w:rFonts w:ascii="Arial" w:hAnsi="Arial" w:cs="Mangal"/>
          <w:kern w:val="1"/>
          <w:lang w:val="ro-RO" w:eastAsia="hi-IN" w:bidi="hi-IN"/>
        </w:rPr>
        <w:t xml:space="preserve">. Vehiculele de transport în comun, precum autobuzele şi microbuzele sunt utilizate de </w:t>
      </w:r>
      <w:r w:rsidR="00411ECD">
        <w:rPr>
          <w:rFonts w:ascii="Arial" w:hAnsi="Arial" w:cs="Mangal"/>
          <w:kern w:val="1"/>
          <w:lang w:val="ro-RO" w:eastAsia="hi-IN" w:bidi="hi-IN"/>
        </w:rPr>
        <w:t xml:space="preserve">19,25 </w:t>
      </w:r>
      <w:r w:rsidRPr="00D6124B">
        <w:rPr>
          <w:rFonts w:ascii="Arial" w:hAnsi="Arial" w:cs="Mangal"/>
          <w:kern w:val="1"/>
          <w:lang w:val="ro-RO" w:eastAsia="hi-IN" w:bidi="hi-IN"/>
        </w:rPr>
        <w:t>% dintre respondenţi (</w:t>
      </w:r>
      <w:r w:rsidR="00411ECD">
        <w:rPr>
          <w:rFonts w:ascii="Arial" w:hAnsi="Arial" w:cs="Mangal"/>
          <w:kern w:val="1"/>
          <w:lang w:val="ro-RO" w:eastAsia="hi-IN" w:bidi="hi-IN"/>
        </w:rPr>
        <w:t>13,90</w:t>
      </w:r>
      <w:r w:rsidRPr="00D6124B">
        <w:rPr>
          <w:rFonts w:ascii="Arial" w:hAnsi="Arial" w:cs="Mangal"/>
          <w:kern w:val="1"/>
          <w:lang w:val="ro-RO" w:eastAsia="hi-IN" w:bidi="hi-IN"/>
        </w:rPr>
        <w:t xml:space="preserve">% </w:t>
      </w:r>
      <w:r w:rsidR="00411ECD">
        <w:rPr>
          <w:rFonts w:ascii="Arial" w:hAnsi="Arial" w:cs="Mangal"/>
          <w:kern w:val="1"/>
          <w:lang w:val="ro-RO" w:eastAsia="hi-IN" w:bidi="hi-IN"/>
        </w:rPr>
        <w:t>autobuz şi 5,35% microbuz</w:t>
      </w:r>
      <w:r w:rsidRPr="00D6124B">
        <w:rPr>
          <w:rFonts w:ascii="Arial" w:hAnsi="Arial" w:cs="Mangal"/>
          <w:kern w:val="1"/>
          <w:lang w:val="ro-RO" w:eastAsia="hi-IN" w:bidi="hi-IN"/>
        </w:rPr>
        <w:t xml:space="preserve">) pentru deplasarea la locul de muncă. De precizat că autobuzele </w:t>
      </w:r>
      <w:r w:rsidR="00411ECD">
        <w:rPr>
          <w:rFonts w:ascii="Arial" w:hAnsi="Arial" w:cs="Mangal"/>
          <w:kern w:val="1"/>
          <w:lang w:val="ro-RO" w:eastAsia="hi-IN" w:bidi="hi-IN"/>
        </w:rPr>
        <w:t xml:space="preserve">şi microbuzele </w:t>
      </w:r>
      <w:r w:rsidRPr="00D6124B">
        <w:rPr>
          <w:rFonts w:ascii="Arial" w:hAnsi="Arial" w:cs="Mangal"/>
          <w:kern w:val="1"/>
          <w:lang w:val="ro-RO" w:eastAsia="hi-IN" w:bidi="hi-IN"/>
        </w:rPr>
        <w:t xml:space="preserve">sunt utilizate de regulă de persoane care vin la locul de muncă aflat în </w:t>
      </w:r>
      <w:r w:rsidR="00411ECD">
        <w:rPr>
          <w:rFonts w:ascii="Arial" w:hAnsi="Arial" w:cs="Mangal"/>
          <w:kern w:val="1"/>
          <w:lang w:val="ro-RO" w:eastAsia="hi-IN" w:bidi="hi-IN"/>
        </w:rPr>
        <w:t>Horezu</w:t>
      </w:r>
      <w:r w:rsidRPr="00D6124B">
        <w:rPr>
          <w:rFonts w:ascii="Arial" w:hAnsi="Arial" w:cs="Mangal"/>
          <w:kern w:val="1"/>
          <w:lang w:val="ro-RO" w:eastAsia="hi-IN" w:bidi="hi-IN"/>
        </w:rPr>
        <w:t xml:space="preserve"> din localităţi situate în jurul </w:t>
      </w:r>
      <w:r w:rsidR="00411ECD">
        <w:rPr>
          <w:rFonts w:ascii="Arial" w:hAnsi="Arial" w:cs="Mangal"/>
          <w:kern w:val="1"/>
          <w:lang w:val="ro-RO" w:eastAsia="hi-IN" w:bidi="hi-IN"/>
        </w:rPr>
        <w:t>acestuia</w:t>
      </w:r>
      <w:r w:rsidRPr="00D6124B">
        <w:rPr>
          <w:rFonts w:ascii="Arial" w:hAnsi="Arial" w:cs="Mangal"/>
          <w:kern w:val="1"/>
          <w:lang w:val="ro-RO" w:eastAsia="hi-IN" w:bidi="hi-IN"/>
        </w:rPr>
        <w:t xml:space="preserve">. </w:t>
      </w:r>
      <w:r w:rsidR="00411ECD">
        <w:rPr>
          <w:rFonts w:ascii="Arial" w:hAnsi="Arial" w:cs="Mangal"/>
          <w:kern w:val="1"/>
          <w:lang w:val="ro-RO" w:eastAsia="hi-IN" w:bidi="hi-IN"/>
        </w:rPr>
        <w:t>Taxiul este utilizat pentru deplasările la locul de muncă de un procent de 8,56 dintre respondenţi</w:t>
      </w:r>
      <w:r w:rsidRPr="00D6124B">
        <w:rPr>
          <w:rFonts w:ascii="Arial" w:hAnsi="Arial" w:cs="Mangal"/>
          <w:kern w:val="1"/>
          <w:lang w:val="ro-RO" w:eastAsia="hi-IN" w:bidi="hi-IN"/>
        </w:rPr>
        <w:t>.</w:t>
      </w:r>
      <w:r w:rsidR="00411ECD">
        <w:rPr>
          <w:rFonts w:ascii="Arial" w:hAnsi="Arial" w:cs="Mangal"/>
          <w:kern w:val="1"/>
          <w:lang w:val="ro-RO" w:eastAsia="hi-IN" w:bidi="hi-IN"/>
        </w:rPr>
        <w:t xml:space="preserve"> 11,23% dintre respondenţi au afirmat că utilizează transportul multimodal pentru deplasarea la locul de muncă (mai multe mijloace de transport sau combinaţii cu transportul pietonal).</w:t>
      </w:r>
      <w:r w:rsidRPr="00D6124B">
        <w:rPr>
          <w:rFonts w:ascii="Arial" w:hAnsi="Arial" w:cs="Mangal"/>
          <w:kern w:val="1"/>
          <w:lang w:val="ro-RO" w:eastAsia="hi-IN" w:bidi="hi-IN"/>
        </w:rPr>
        <w:t xml:space="preserve"> Pe baza datelor obţinute din chestionare, se poate aprecia că transportul motorizat pentru deplasarea la locul de muncă </w:t>
      </w:r>
      <w:r w:rsidR="00411ECD">
        <w:rPr>
          <w:rFonts w:ascii="Arial" w:hAnsi="Arial" w:cs="Mangal"/>
          <w:kern w:val="1"/>
          <w:lang w:val="ro-RO" w:eastAsia="hi-IN" w:bidi="hi-IN"/>
        </w:rPr>
        <w:t>în oraşul Horezu, este predominant (peste 72%), cu o pondere de doar 16,04 a transportului nemotorizat (pietonal şi bicicletă).</w:t>
      </w:r>
    </w:p>
    <w:p w14:paraId="493BA852" w14:textId="77777777" w:rsidR="00D6124B" w:rsidRPr="00D6124B" w:rsidRDefault="00D6124B" w:rsidP="00D6124B">
      <w:pPr>
        <w:widowControl w:val="0"/>
        <w:tabs>
          <w:tab w:val="left" w:pos="1557"/>
        </w:tabs>
        <w:suppressAutoHyphens/>
        <w:spacing w:after="0" w:line="276" w:lineRule="auto"/>
        <w:jc w:val="both"/>
        <w:rPr>
          <w:rFonts w:ascii="Arial" w:hAnsi="Arial" w:cs="Mangal"/>
          <w:kern w:val="1"/>
          <w:lang w:val="ro-RO" w:eastAsia="hi-IN" w:bidi="hi-IN"/>
        </w:rPr>
      </w:pPr>
    </w:p>
    <w:p w14:paraId="10B53B71" w14:textId="77777777" w:rsidR="00D6124B" w:rsidRPr="00D6124B" w:rsidRDefault="00C52C01" w:rsidP="00D6124B">
      <w:pPr>
        <w:widowControl w:val="0"/>
        <w:suppressAutoHyphens/>
        <w:spacing w:after="0" w:line="276" w:lineRule="auto"/>
        <w:jc w:val="center"/>
        <w:rPr>
          <w:rFonts w:ascii="Arial" w:hAnsi="Arial" w:cs="Mangal"/>
          <w:kern w:val="1"/>
          <w:lang w:val="ro-RO" w:eastAsia="hi-IN" w:bidi="hi-IN"/>
        </w:rPr>
      </w:pPr>
      <w:r>
        <w:rPr>
          <w:noProof/>
        </w:rPr>
        <w:lastRenderedPageBreak/>
        <w:drawing>
          <wp:inline distT="0" distB="0" distL="0" distR="0" wp14:anchorId="0BBFA5FE" wp14:editId="524FB44C">
            <wp:extent cx="4572000" cy="2743200"/>
            <wp:effectExtent l="0" t="0" r="0" b="0"/>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13B615E0" w14:textId="77777777" w:rsidR="00D6124B" w:rsidRPr="00D6124B" w:rsidRDefault="00D6124B" w:rsidP="00D6124B">
      <w:pPr>
        <w:widowControl w:val="0"/>
        <w:suppressAutoHyphens/>
        <w:spacing w:after="0" w:line="276" w:lineRule="auto"/>
        <w:jc w:val="center"/>
        <w:rPr>
          <w:rFonts w:ascii="Arial" w:hAnsi="Arial" w:cs="Mangal"/>
          <w:kern w:val="1"/>
          <w:lang w:val="ro-RO" w:eastAsia="hi-IN" w:bidi="hi-IN"/>
        </w:rPr>
      </w:pPr>
    </w:p>
    <w:p w14:paraId="4B71F237" w14:textId="12A5C8C4" w:rsidR="00D6124B" w:rsidRPr="00C52C01" w:rsidRDefault="00C52C01" w:rsidP="00C52C01">
      <w:pPr>
        <w:pStyle w:val="Legend"/>
        <w:jc w:val="center"/>
        <w:rPr>
          <w:rFonts w:ascii="Arial" w:hAnsi="Arial" w:cs="Arial"/>
          <w:i w:val="0"/>
          <w:kern w:val="1"/>
          <w:sz w:val="22"/>
          <w:szCs w:val="22"/>
          <w:lang w:val="ro-RO" w:eastAsia="hi-IN" w:bidi="hi-IN"/>
        </w:rPr>
      </w:pPr>
      <w:bookmarkStart w:id="215" w:name="_Toc68361171"/>
      <w:bookmarkStart w:id="216" w:name="_Toc140744497"/>
      <w:r w:rsidRPr="00C52C01">
        <w:rPr>
          <w:rFonts w:ascii="Arial" w:hAnsi="Arial" w:cs="Arial"/>
          <w:sz w:val="22"/>
          <w:szCs w:val="22"/>
        </w:rPr>
        <w:t xml:space="preserve">Figura I.3. </w:t>
      </w:r>
      <w:r w:rsidRPr="00C52C01">
        <w:rPr>
          <w:rFonts w:ascii="Arial" w:hAnsi="Arial" w:cs="Arial"/>
          <w:sz w:val="22"/>
          <w:szCs w:val="22"/>
        </w:rPr>
        <w:fldChar w:fldCharType="begin"/>
      </w:r>
      <w:r w:rsidRPr="00C52C01">
        <w:rPr>
          <w:rFonts w:ascii="Arial" w:hAnsi="Arial" w:cs="Arial"/>
          <w:sz w:val="22"/>
          <w:szCs w:val="22"/>
        </w:rPr>
        <w:instrText xml:space="preserve"> SEQ Figura_I.3. \* ARABIC </w:instrText>
      </w:r>
      <w:r w:rsidRPr="00C52C01">
        <w:rPr>
          <w:rFonts w:ascii="Arial" w:hAnsi="Arial" w:cs="Arial"/>
          <w:sz w:val="22"/>
          <w:szCs w:val="22"/>
        </w:rPr>
        <w:fldChar w:fldCharType="separate"/>
      </w:r>
      <w:r w:rsidR="00BB181C">
        <w:rPr>
          <w:rFonts w:ascii="Arial" w:hAnsi="Arial" w:cs="Arial"/>
          <w:noProof/>
          <w:sz w:val="22"/>
          <w:szCs w:val="22"/>
        </w:rPr>
        <w:t>20</w:t>
      </w:r>
      <w:r w:rsidRPr="00C52C01">
        <w:rPr>
          <w:rFonts w:ascii="Arial" w:hAnsi="Arial" w:cs="Arial"/>
          <w:sz w:val="22"/>
          <w:szCs w:val="22"/>
        </w:rPr>
        <w:fldChar w:fldCharType="end"/>
      </w:r>
      <w:r w:rsidRPr="00C52C01">
        <w:rPr>
          <w:rFonts w:ascii="Arial" w:hAnsi="Arial" w:cs="Arial"/>
          <w:sz w:val="22"/>
          <w:szCs w:val="22"/>
        </w:rPr>
        <w:t xml:space="preserve"> </w:t>
      </w:r>
      <w:r w:rsidR="007F69D0" w:rsidRPr="00C52C01">
        <w:rPr>
          <w:rFonts w:ascii="Arial" w:hAnsi="Arial" w:cs="Arial"/>
          <w:sz w:val="22"/>
          <w:szCs w:val="22"/>
        </w:rPr>
        <w:t xml:space="preserve">- </w:t>
      </w:r>
      <w:r w:rsidR="00D6124B" w:rsidRPr="00C52C01">
        <w:rPr>
          <w:rFonts w:ascii="Arial" w:hAnsi="Arial" w:cs="Arial"/>
          <w:i w:val="0"/>
          <w:kern w:val="1"/>
          <w:sz w:val="22"/>
          <w:szCs w:val="22"/>
          <w:lang w:val="ro-RO" w:eastAsia="hi-IN" w:bidi="hi-IN"/>
        </w:rPr>
        <w:t>Moduri de transport utilizate în deplasarea la locul de muncă</w:t>
      </w:r>
      <w:bookmarkEnd w:id="215"/>
      <w:bookmarkEnd w:id="216"/>
    </w:p>
    <w:p w14:paraId="6D65F887" w14:textId="77777777" w:rsidR="00D6124B" w:rsidRPr="00D6124B" w:rsidRDefault="00D6124B" w:rsidP="00D6124B">
      <w:pPr>
        <w:widowControl w:val="0"/>
        <w:suppressAutoHyphens/>
        <w:spacing w:after="0" w:line="276" w:lineRule="auto"/>
        <w:jc w:val="both"/>
        <w:rPr>
          <w:rFonts w:ascii="Arial" w:hAnsi="Arial" w:cs="Mangal"/>
          <w:b/>
          <w:kern w:val="1"/>
          <w:lang w:val="ro-RO" w:eastAsia="hi-IN" w:bidi="hi-IN"/>
        </w:rPr>
      </w:pPr>
      <w:r w:rsidRPr="00D6124B">
        <w:rPr>
          <w:rFonts w:ascii="Arial" w:hAnsi="Arial" w:cs="Mangal"/>
          <w:b/>
          <w:kern w:val="1"/>
          <w:lang w:val="ro-RO" w:eastAsia="hi-IN" w:bidi="hi-IN"/>
        </w:rPr>
        <w:t>Deplasările în interes personal</w:t>
      </w:r>
    </w:p>
    <w:p w14:paraId="7BFC36FE"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Cele mai frecvente zone de la nivelul </w:t>
      </w:r>
      <w:r w:rsidR="00C52C01">
        <w:rPr>
          <w:rFonts w:ascii="Arial" w:hAnsi="Arial" w:cs="Mangal"/>
          <w:kern w:val="1"/>
          <w:lang w:val="ro-RO" w:eastAsia="hi-IN" w:bidi="hi-IN"/>
        </w:rPr>
        <w:t>oraşului Horezu</w:t>
      </w:r>
      <w:r w:rsidRPr="00D6124B">
        <w:rPr>
          <w:rFonts w:ascii="Arial" w:hAnsi="Arial" w:cs="Mangal"/>
          <w:kern w:val="1"/>
          <w:lang w:val="ro-RO" w:eastAsia="hi-IN" w:bidi="hi-IN"/>
        </w:rPr>
        <w:t xml:space="preserve"> între care se efectuează acest tip de deplasare în rândul persoanelor chestionate sunt prezentate mai jos. Au fost selectate primele </w:t>
      </w:r>
      <w:r w:rsidR="00C52C01">
        <w:rPr>
          <w:rFonts w:ascii="Arial" w:hAnsi="Arial" w:cs="Mangal"/>
          <w:kern w:val="1"/>
          <w:lang w:val="ro-RO" w:eastAsia="hi-IN" w:bidi="hi-IN"/>
        </w:rPr>
        <w:t>9</w:t>
      </w:r>
      <w:r w:rsidRPr="00D6124B">
        <w:rPr>
          <w:rFonts w:ascii="Arial" w:hAnsi="Arial" w:cs="Mangal"/>
          <w:kern w:val="1"/>
          <w:lang w:val="ro-RO" w:eastAsia="hi-IN" w:bidi="hi-IN"/>
        </w:rPr>
        <w:t xml:space="preserve"> perechi de ”zonă origine &lt;&gt; zonă destinație” care au rezultat în urma prelucră</w:t>
      </w:r>
      <w:r w:rsidR="00C52C01">
        <w:rPr>
          <w:rFonts w:ascii="Arial" w:hAnsi="Arial" w:cs="Mangal"/>
          <w:kern w:val="1"/>
          <w:lang w:val="ro-RO" w:eastAsia="hi-IN" w:bidi="hi-IN"/>
        </w:rPr>
        <w:t>rii răspunsurilor la che</w:t>
      </w:r>
      <w:r w:rsidR="00EB4D34">
        <w:rPr>
          <w:rFonts w:ascii="Arial" w:hAnsi="Arial" w:cs="Mangal"/>
          <w:kern w:val="1"/>
          <w:lang w:val="ro-RO" w:eastAsia="hi-IN" w:bidi="hi-IN"/>
        </w:rPr>
        <w:t>s</w:t>
      </w:r>
      <w:r w:rsidR="00C52C01">
        <w:rPr>
          <w:rFonts w:ascii="Arial" w:hAnsi="Arial" w:cs="Mangal"/>
          <w:kern w:val="1"/>
          <w:lang w:val="ro-RO" w:eastAsia="hi-IN" w:bidi="hi-IN"/>
        </w:rPr>
        <w:t xml:space="preserve">tionare </w:t>
      </w:r>
      <w:r w:rsidR="00C52C01" w:rsidRPr="00C52C01">
        <w:rPr>
          <w:rFonts w:ascii="Arial" w:hAnsi="Arial" w:cs="Mangal"/>
          <w:kern w:val="1"/>
          <w:lang w:val="ro-RO" w:eastAsia="hi-IN" w:bidi="hi-IN"/>
        </w:rPr>
        <w:t xml:space="preserve">(cu procente de alegeri cuprinse între 2 şi </w:t>
      </w:r>
      <w:r w:rsidR="00C52C01">
        <w:rPr>
          <w:rFonts w:ascii="Arial" w:hAnsi="Arial" w:cs="Mangal"/>
          <w:kern w:val="1"/>
          <w:lang w:val="ro-RO" w:eastAsia="hi-IN" w:bidi="hi-IN"/>
        </w:rPr>
        <w:t>20,10</w:t>
      </w:r>
      <w:r w:rsidR="00C52C01" w:rsidRPr="00C52C01">
        <w:rPr>
          <w:rFonts w:ascii="Arial" w:hAnsi="Arial" w:cs="Mangal"/>
          <w:kern w:val="1"/>
          <w:lang w:val="ro-RO" w:eastAsia="hi-IN" w:bidi="hi-IN"/>
        </w:rPr>
        <w:t>).</w:t>
      </w:r>
      <w:r w:rsidR="0021620E">
        <w:rPr>
          <w:rFonts w:ascii="Arial" w:hAnsi="Arial" w:cs="Mangal"/>
          <w:kern w:val="1"/>
          <w:lang w:val="ro-RO" w:eastAsia="hi-IN" w:bidi="hi-IN"/>
        </w:rPr>
        <w:t xml:space="preserve"> </w:t>
      </w:r>
      <w:r w:rsidR="00EB4D34">
        <w:rPr>
          <w:rFonts w:ascii="Arial" w:hAnsi="Arial" w:cs="Mangal"/>
          <w:kern w:val="1"/>
          <w:lang w:val="ro-RO" w:eastAsia="hi-IN" w:bidi="hi-IN"/>
        </w:rPr>
        <w:t xml:space="preserve">Un procent de 17% dintre respondenţi </w:t>
      </w:r>
      <w:r w:rsidR="0021620E">
        <w:rPr>
          <w:rFonts w:ascii="Arial" w:hAnsi="Arial" w:cs="Mangal"/>
          <w:kern w:val="1"/>
          <w:lang w:val="ro-RO" w:eastAsia="hi-IN" w:bidi="hi-IN"/>
        </w:rPr>
        <w:t xml:space="preserve">nu au furnizat informaţii </w:t>
      </w:r>
      <w:r w:rsidR="008373B6">
        <w:rPr>
          <w:rFonts w:ascii="Arial" w:hAnsi="Arial" w:cs="Mangal"/>
          <w:kern w:val="1"/>
          <w:lang w:val="ro-RO" w:eastAsia="hi-IN" w:bidi="hi-IN"/>
        </w:rPr>
        <w:t xml:space="preserve">asupra </w:t>
      </w:r>
      <w:r w:rsidR="00FB351F">
        <w:rPr>
          <w:rFonts w:ascii="Arial" w:hAnsi="Arial" w:cs="Mangal"/>
          <w:kern w:val="1"/>
          <w:lang w:val="ro-RO" w:eastAsia="hi-IN" w:bidi="hi-IN"/>
        </w:rPr>
        <w:t xml:space="preserve">zonelor </w:t>
      </w:r>
      <w:r w:rsidR="008A53FC">
        <w:rPr>
          <w:rFonts w:ascii="Arial" w:hAnsi="Arial" w:cs="Mangal"/>
          <w:kern w:val="1"/>
          <w:lang w:val="ro-RO" w:eastAsia="hi-IN" w:bidi="hi-IN"/>
        </w:rPr>
        <w:t>de origine şi destinaţie</w:t>
      </w:r>
      <w:r w:rsidR="001164BF">
        <w:rPr>
          <w:rFonts w:ascii="Arial" w:hAnsi="Arial" w:cs="Mangal"/>
          <w:kern w:val="1"/>
          <w:lang w:val="ro-RO" w:eastAsia="hi-IN" w:bidi="hi-IN"/>
        </w:rPr>
        <w:t xml:space="preserve"> pentru deplasările desfăşurate în interes personal.</w:t>
      </w:r>
      <w:r w:rsidR="008A53FC">
        <w:rPr>
          <w:rFonts w:ascii="Arial" w:hAnsi="Arial" w:cs="Mangal"/>
          <w:kern w:val="1"/>
          <w:lang w:val="ro-RO" w:eastAsia="hi-IN" w:bidi="hi-IN"/>
        </w:rPr>
        <w:t xml:space="preserve"> </w:t>
      </w:r>
      <w:r w:rsidR="00EB4D34" w:rsidRPr="00EB4D34">
        <w:rPr>
          <w:rFonts w:ascii="Arial" w:hAnsi="Arial" w:cs="Mangal"/>
          <w:kern w:val="1"/>
          <w:lang w:val="ro-RO" w:eastAsia="hi-IN" w:bidi="hi-IN"/>
        </w:rPr>
        <w:t xml:space="preserve">Codificarea zonelor de la nivelul oraşului Horezu este prezentată în cadrul </w:t>
      </w:r>
      <w:r w:rsidR="00EB4D34" w:rsidRPr="002B20CD">
        <w:rPr>
          <w:rFonts w:ascii="Arial" w:hAnsi="Arial" w:cs="Mangal"/>
          <w:kern w:val="1"/>
          <w:lang w:val="ro-RO" w:eastAsia="hi-IN" w:bidi="hi-IN"/>
        </w:rPr>
        <w:t xml:space="preserve">Anexei nr. </w:t>
      </w:r>
      <w:r w:rsidR="002B20CD" w:rsidRPr="002B20CD">
        <w:rPr>
          <w:rFonts w:ascii="Arial" w:hAnsi="Arial" w:cs="Mangal"/>
          <w:kern w:val="1"/>
          <w:lang w:val="ro-RO" w:eastAsia="hi-IN" w:bidi="hi-IN"/>
        </w:rPr>
        <w:t>3</w:t>
      </w:r>
      <w:r w:rsidR="00EB4D34" w:rsidRPr="002B20CD">
        <w:rPr>
          <w:rFonts w:ascii="Arial" w:hAnsi="Arial" w:cs="Mangal"/>
          <w:kern w:val="1"/>
          <w:lang w:val="ro-RO" w:eastAsia="hi-IN" w:bidi="hi-IN"/>
        </w:rPr>
        <w:t xml:space="preserve"> „Coduri zone”.</w:t>
      </w:r>
    </w:p>
    <w:tbl>
      <w:tblPr>
        <w:tblW w:w="4430" w:type="dxa"/>
        <w:jc w:val="center"/>
        <w:tblBorders>
          <w:insideH w:val="single" w:sz="4" w:space="0" w:color="auto"/>
          <w:insideV w:val="single" w:sz="4" w:space="0" w:color="auto"/>
        </w:tblBorders>
        <w:tblLook w:val="04A0" w:firstRow="1" w:lastRow="0" w:firstColumn="1" w:lastColumn="0" w:noHBand="0" w:noVBand="1"/>
      </w:tblPr>
      <w:tblGrid>
        <w:gridCol w:w="1176"/>
        <w:gridCol w:w="3254"/>
      </w:tblGrid>
      <w:tr w:rsidR="00D6124B" w:rsidRPr="00D6124B" w14:paraId="753EAB09" w14:textId="77777777" w:rsidTr="00D6124B">
        <w:trPr>
          <w:trHeight w:val="300"/>
          <w:jc w:val="center"/>
        </w:trPr>
        <w:tc>
          <w:tcPr>
            <w:tcW w:w="1176" w:type="dxa"/>
            <w:shd w:val="clear" w:color="auto" w:fill="DAEEF3"/>
            <w:noWrap/>
            <w:vAlign w:val="bottom"/>
          </w:tcPr>
          <w:p w14:paraId="15D6BA78" w14:textId="77777777" w:rsidR="00D6124B" w:rsidRPr="00D6124B" w:rsidRDefault="00D6124B" w:rsidP="00D6124B">
            <w:pPr>
              <w:spacing w:after="0" w:line="240" w:lineRule="auto"/>
              <w:jc w:val="right"/>
              <w:rPr>
                <w:rFonts w:ascii="Calibri" w:eastAsia="Times New Roman" w:hAnsi="Calibri" w:cs="Calibri"/>
                <w:b/>
                <w:bCs/>
                <w:color w:val="000000"/>
              </w:rPr>
            </w:pPr>
            <w:r w:rsidRPr="00D6124B">
              <w:rPr>
                <w:rFonts w:ascii="Calibri" w:eastAsia="Times New Roman" w:hAnsi="Calibri" w:cs="Calibri"/>
                <w:b/>
                <w:bCs/>
                <w:color w:val="000000"/>
              </w:rPr>
              <w:t xml:space="preserve">Clasament </w:t>
            </w:r>
          </w:p>
        </w:tc>
        <w:tc>
          <w:tcPr>
            <w:tcW w:w="3254" w:type="dxa"/>
            <w:shd w:val="clear" w:color="auto" w:fill="DAEEF3"/>
            <w:noWrap/>
            <w:vAlign w:val="bottom"/>
          </w:tcPr>
          <w:p w14:paraId="69BC3B5F" w14:textId="77777777" w:rsidR="00D6124B" w:rsidRPr="00D6124B" w:rsidRDefault="00D6124B" w:rsidP="00D6124B">
            <w:pPr>
              <w:spacing w:after="0" w:line="240" w:lineRule="auto"/>
              <w:rPr>
                <w:rFonts w:ascii="Calibri" w:eastAsia="Times New Roman" w:hAnsi="Calibri" w:cs="Calibri"/>
                <w:b/>
                <w:bCs/>
                <w:color w:val="000000"/>
                <w:lang w:val="ro-RO"/>
              </w:rPr>
            </w:pPr>
            <w:r w:rsidRPr="00D6124B">
              <w:rPr>
                <w:rFonts w:ascii="Calibri" w:eastAsia="Times New Roman" w:hAnsi="Calibri" w:cs="Calibri"/>
                <w:b/>
                <w:bCs/>
                <w:color w:val="000000"/>
              </w:rPr>
              <w:t>Zon</w:t>
            </w:r>
            <w:r w:rsidRPr="00D6124B">
              <w:rPr>
                <w:rFonts w:ascii="Calibri" w:eastAsia="Times New Roman" w:hAnsi="Calibri" w:cs="Calibri"/>
                <w:b/>
                <w:bCs/>
                <w:color w:val="000000"/>
                <w:lang w:val="ro-RO"/>
              </w:rPr>
              <w:t xml:space="preserve">ă origine </w:t>
            </w:r>
            <w:r w:rsidRPr="00D6124B">
              <w:rPr>
                <w:rFonts w:ascii="Calibri" w:eastAsia="Times New Roman" w:hAnsi="Calibri" w:cs="Calibri"/>
                <w:b/>
                <w:bCs/>
                <w:color w:val="000000"/>
              </w:rPr>
              <w:t>&lt;&gt; zon</w:t>
            </w:r>
            <w:r w:rsidRPr="00D6124B">
              <w:rPr>
                <w:rFonts w:ascii="Calibri" w:eastAsia="Times New Roman" w:hAnsi="Calibri" w:cs="Calibri"/>
                <w:b/>
                <w:bCs/>
                <w:color w:val="000000"/>
                <w:lang w:val="ro-RO"/>
              </w:rPr>
              <w:t>ă destinație</w:t>
            </w:r>
          </w:p>
        </w:tc>
      </w:tr>
      <w:tr w:rsidR="00D6124B" w:rsidRPr="00D6124B" w14:paraId="14B69C39" w14:textId="77777777" w:rsidTr="00D6124B">
        <w:trPr>
          <w:trHeight w:val="300"/>
          <w:jc w:val="center"/>
        </w:trPr>
        <w:tc>
          <w:tcPr>
            <w:tcW w:w="1176" w:type="dxa"/>
            <w:shd w:val="clear" w:color="auto" w:fill="auto"/>
            <w:noWrap/>
            <w:vAlign w:val="bottom"/>
            <w:hideMark/>
          </w:tcPr>
          <w:p w14:paraId="00347E52"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1</w:t>
            </w:r>
          </w:p>
        </w:tc>
        <w:tc>
          <w:tcPr>
            <w:tcW w:w="3254" w:type="dxa"/>
            <w:shd w:val="clear" w:color="auto" w:fill="auto"/>
            <w:noWrap/>
            <w:vAlign w:val="bottom"/>
            <w:hideMark/>
          </w:tcPr>
          <w:p w14:paraId="78DEC19D" w14:textId="77777777" w:rsidR="00D6124B" w:rsidRPr="00D6124B" w:rsidRDefault="008A53FC" w:rsidP="00D6124B">
            <w:pPr>
              <w:spacing w:after="0" w:line="240" w:lineRule="auto"/>
              <w:jc w:val="center"/>
              <w:rPr>
                <w:rFonts w:ascii="Calibri" w:eastAsia="Times New Roman" w:hAnsi="Calibri" w:cs="Calibri"/>
                <w:color w:val="000000"/>
              </w:rPr>
            </w:pPr>
            <w:r>
              <w:rPr>
                <w:rFonts w:ascii="Calibri" w:eastAsia="Times New Roman" w:hAnsi="Calibri" w:cs="Calibri"/>
                <w:color w:val="000000"/>
              </w:rPr>
              <w:t>5&lt;&gt;</w:t>
            </w:r>
            <w:r w:rsidR="001D00D6">
              <w:rPr>
                <w:rFonts w:ascii="Calibri" w:eastAsia="Times New Roman" w:hAnsi="Calibri" w:cs="Calibri"/>
                <w:color w:val="000000"/>
              </w:rPr>
              <w:t>3</w:t>
            </w:r>
          </w:p>
        </w:tc>
      </w:tr>
      <w:tr w:rsidR="00D6124B" w:rsidRPr="00D6124B" w14:paraId="7C3EFE19" w14:textId="77777777" w:rsidTr="00D6124B">
        <w:trPr>
          <w:trHeight w:val="300"/>
          <w:jc w:val="center"/>
        </w:trPr>
        <w:tc>
          <w:tcPr>
            <w:tcW w:w="1176" w:type="dxa"/>
            <w:shd w:val="clear" w:color="auto" w:fill="auto"/>
            <w:noWrap/>
            <w:vAlign w:val="bottom"/>
            <w:hideMark/>
          </w:tcPr>
          <w:p w14:paraId="3C94060E"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2</w:t>
            </w:r>
          </w:p>
        </w:tc>
        <w:tc>
          <w:tcPr>
            <w:tcW w:w="3254" w:type="dxa"/>
            <w:shd w:val="clear" w:color="auto" w:fill="auto"/>
            <w:noWrap/>
            <w:vAlign w:val="bottom"/>
            <w:hideMark/>
          </w:tcPr>
          <w:p w14:paraId="15B92EA4" w14:textId="77777777" w:rsidR="00D6124B" w:rsidRPr="00D6124B" w:rsidRDefault="001D00D6" w:rsidP="001D00D6">
            <w:pPr>
              <w:spacing w:after="0" w:line="240" w:lineRule="auto"/>
              <w:jc w:val="center"/>
              <w:rPr>
                <w:rFonts w:ascii="Calibri" w:eastAsia="Times New Roman" w:hAnsi="Calibri" w:cs="Calibri"/>
                <w:color w:val="000000"/>
              </w:rPr>
            </w:pPr>
            <w:r>
              <w:rPr>
                <w:rFonts w:ascii="Calibri" w:eastAsia="Times New Roman" w:hAnsi="Calibri" w:cs="Calibri"/>
                <w:color w:val="000000"/>
              </w:rPr>
              <w:t>9</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61D17FB6" w14:textId="77777777" w:rsidTr="00D6124B">
        <w:trPr>
          <w:trHeight w:val="300"/>
          <w:jc w:val="center"/>
        </w:trPr>
        <w:tc>
          <w:tcPr>
            <w:tcW w:w="1176" w:type="dxa"/>
            <w:shd w:val="clear" w:color="auto" w:fill="auto"/>
            <w:noWrap/>
            <w:vAlign w:val="bottom"/>
            <w:hideMark/>
          </w:tcPr>
          <w:p w14:paraId="17A711F3"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3</w:t>
            </w:r>
          </w:p>
        </w:tc>
        <w:tc>
          <w:tcPr>
            <w:tcW w:w="3254" w:type="dxa"/>
            <w:shd w:val="clear" w:color="auto" w:fill="auto"/>
            <w:noWrap/>
            <w:vAlign w:val="bottom"/>
            <w:hideMark/>
          </w:tcPr>
          <w:p w14:paraId="7F685D55" w14:textId="77777777" w:rsidR="00D6124B" w:rsidRPr="00D6124B" w:rsidRDefault="001D00D6" w:rsidP="001D00D6">
            <w:pPr>
              <w:spacing w:after="0" w:line="240" w:lineRule="auto"/>
              <w:jc w:val="center"/>
              <w:rPr>
                <w:rFonts w:ascii="Calibri" w:eastAsia="Times New Roman" w:hAnsi="Calibri" w:cs="Calibri"/>
                <w:color w:val="000000"/>
              </w:rPr>
            </w:pPr>
            <w:r>
              <w:rPr>
                <w:rFonts w:ascii="Calibri" w:eastAsia="Times New Roman" w:hAnsi="Calibri" w:cs="Calibri"/>
                <w:color w:val="000000"/>
              </w:rPr>
              <w:t>10</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338A748F" w14:textId="77777777" w:rsidTr="00D6124B">
        <w:trPr>
          <w:trHeight w:val="300"/>
          <w:jc w:val="center"/>
        </w:trPr>
        <w:tc>
          <w:tcPr>
            <w:tcW w:w="1176" w:type="dxa"/>
            <w:shd w:val="clear" w:color="auto" w:fill="auto"/>
            <w:noWrap/>
            <w:vAlign w:val="bottom"/>
            <w:hideMark/>
          </w:tcPr>
          <w:p w14:paraId="3D1D5072"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4</w:t>
            </w:r>
          </w:p>
        </w:tc>
        <w:tc>
          <w:tcPr>
            <w:tcW w:w="3254" w:type="dxa"/>
            <w:shd w:val="clear" w:color="auto" w:fill="auto"/>
            <w:noWrap/>
            <w:vAlign w:val="bottom"/>
            <w:hideMark/>
          </w:tcPr>
          <w:p w14:paraId="28A3EB66" w14:textId="77777777" w:rsidR="00D6124B" w:rsidRPr="00D6124B" w:rsidRDefault="001D00D6" w:rsidP="001D00D6">
            <w:pPr>
              <w:spacing w:after="0" w:line="240" w:lineRule="auto"/>
              <w:jc w:val="center"/>
              <w:rPr>
                <w:rFonts w:ascii="Calibri" w:eastAsia="Times New Roman" w:hAnsi="Calibri" w:cs="Calibri"/>
                <w:color w:val="000000"/>
              </w:rPr>
            </w:pPr>
            <w:r>
              <w:rPr>
                <w:rFonts w:ascii="Calibri" w:eastAsia="Times New Roman" w:hAnsi="Calibri" w:cs="Calibri"/>
                <w:color w:val="000000"/>
              </w:rPr>
              <w:t>0</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0E0BE8FC" w14:textId="77777777" w:rsidTr="00D6124B">
        <w:trPr>
          <w:trHeight w:val="300"/>
          <w:jc w:val="center"/>
        </w:trPr>
        <w:tc>
          <w:tcPr>
            <w:tcW w:w="1176" w:type="dxa"/>
            <w:shd w:val="clear" w:color="auto" w:fill="auto"/>
            <w:noWrap/>
            <w:vAlign w:val="bottom"/>
            <w:hideMark/>
          </w:tcPr>
          <w:p w14:paraId="61A656E2"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5</w:t>
            </w:r>
          </w:p>
        </w:tc>
        <w:tc>
          <w:tcPr>
            <w:tcW w:w="3254" w:type="dxa"/>
            <w:shd w:val="clear" w:color="auto" w:fill="auto"/>
            <w:noWrap/>
            <w:vAlign w:val="bottom"/>
            <w:hideMark/>
          </w:tcPr>
          <w:p w14:paraId="455FFA23" w14:textId="77777777" w:rsidR="00D6124B" w:rsidRPr="00D6124B" w:rsidRDefault="001D00D6" w:rsidP="001D00D6">
            <w:pPr>
              <w:spacing w:after="0" w:line="240" w:lineRule="auto"/>
              <w:jc w:val="center"/>
              <w:rPr>
                <w:rFonts w:ascii="Calibri" w:eastAsia="Times New Roman" w:hAnsi="Calibri" w:cs="Calibri"/>
                <w:color w:val="000000"/>
              </w:rPr>
            </w:pPr>
            <w:r>
              <w:rPr>
                <w:rFonts w:ascii="Calibri" w:eastAsia="Times New Roman" w:hAnsi="Calibri" w:cs="Calibri"/>
                <w:color w:val="000000"/>
              </w:rPr>
              <w:t>9</w:t>
            </w:r>
            <w:r w:rsidR="00D6124B" w:rsidRPr="00D6124B">
              <w:rPr>
                <w:rFonts w:ascii="Calibri" w:eastAsia="Times New Roman" w:hAnsi="Calibri" w:cs="Calibri"/>
                <w:color w:val="000000"/>
              </w:rPr>
              <w:t>&lt;&gt;</w:t>
            </w:r>
            <w:r>
              <w:rPr>
                <w:rFonts w:ascii="Calibri" w:eastAsia="Times New Roman" w:hAnsi="Calibri" w:cs="Calibri"/>
                <w:color w:val="000000"/>
              </w:rPr>
              <w:t>9</w:t>
            </w:r>
          </w:p>
        </w:tc>
      </w:tr>
      <w:tr w:rsidR="00D6124B" w:rsidRPr="00D6124B" w14:paraId="216F2C1E" w14:textId="77777777" w:rsidTr="00D6124B">
        <w:trPr>
          <w:trHeight w:val="300"/>
          <w:jc w:val="center"/>
        </w:trPr>
        <w:tc>
          <w:tcPr>
            <w:tcW w:w="1176" w:type="dxa"/>
            <w:shd w:val="clear" w:color="auto" w:fill="auto"/>
            <w:noWrap/>
            <w:vAlign w:val="bottom"/>
            <w:hideMark/>
          </w:tcPr>
          <w:p w14:paraId="79F5BDF8"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6</w:t>
            </w:r>
          </w:p>
        </w:tc>
        <w:tc>
          <w:tcPr>
            <w:tcW w:w="3254" w:type="dxa"/>
            <w:shd w:val="clear" w:color="auto" w:fill="auto"/>
            <w:noWrap/>
            <w:vAlign w:val="bottom"/>
            <w:hideMark/>
          </w:tcPr>
          <w:p w14:paraId="6385DCA9" w14:textId="77777777" w:rsidR="00D6124B" w:rsidRPr="00D6124B" w:rsidRDefault="001D00D6" w:rsidP="001D00D6">
            <w:pPr>
              <w:spacing w:after="0" w:line="240" w:lineRule="auto"/>
              <w:jc w:val="center"/>
              <w:rPr>
                <w:rFonts w:ascii="Calibri" w:eastAsia="Times New Roman" w:hAnsi="Calibri" w:cs="Calibri"/>
                <w:color w:val="000000"/>
              </w:rPr>
            </w:pPr>
            <w:r>
              <w:rPr>
                <w:rFonts w:ascii="Calibri" w:eastAsia="Times New Roman" w:hAnsi="Calibri" w:cs="Calibri"/>
                <w:color w:val="000000"/>
              </w:rPr>
              <w:t>5</w:t>
            </w:r>
            <w:r w:rsidR="00D6124B" w:rsidRPr="00D6124B">
              <w:rPr>
                <w:rFonts w:ascii="Calibri" w:eastAsia="Times New Roman" w:hAnsi="Calibri" w:cs="Calibri"/>
                <w:color w:val="000000"/>
              </w:rPr>
              <w:t>&lt;&gt;</w:t>
            </w:r>
            <w:r>
              <w:rPr>
                <w:rFonts w:ascii="Calibri" w:eastAsia="Times New Roman" w:hAnsi="Calibri" w:cs="Calibri"/>
                <w:color w:val="000000"/>
              </w:rPr>
              <w:t>5</w:t>
            </w:r>
          </w:p>
        </w:tc>
      </w:tr>
      <w:tr w:rsidR="00D6124B" w:rsidRPr="00D6124B" w14:paraId="24A28CDF" w14:textId="77777777" w:rsidTr="00D6124B">
        <w:trPr>
          <w:trHeight w:val="300"/>
          <w:jc w:val="center"/>
        </w:trPr>
        <w:tc>
          <w:tcPr>
            <w:tcW w:w="1176" w:type="dxa"/>
            <w:shd w:val="clear" w:color="auto" w:fill="auto"/>
            <w:noWrap/>
            <w:vAlign w:val="bottom"/>
            <w:hideMark/>
          </w:tcPr>
          <w:p w14:paraId="40FC43E1"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7</w:t>
            </w:r>
          </w:p>
        </w:tc>
        <w:tc>
          <w:tcPr>
            <w:tcW w:w="3254" w:type="dxa"/>
            <w:shd w:val="clear" w:color="auto" w:fill="auto"/>
            <w:noWrap/>
            <w:vAlign w:val="bottom"/>
            <w:hideMark/>
          </w:tcPr>
          <w:p w14:paraId="28C4E56F" w14:textId="77777777" w:rsidR="00D6124B" w:rsidRPr="00D6124B" w:rsidRDefault="001D00D6" w:rsidP="001D00D6">
            <w:pPr>
              <w:spacing w:after="0" w:line="240" w:lineRule="auto"/>
              <w:jc w:val="center"/>
              <w:rPr>
                <w:rFonts w:ascii="Calibri" w:eastAsia="Times New Roman" w:hAnsi="Calibri" w:cs="Calibri"/>
                <w:color w:val="000000"/>
              </w:rPr>
            </w:pPr>
            <w:r>
              <w:rPr>
                <w:rFonts w:ascii="Calibri" w:eastAsia="Times New Roman" w:hAnsi="Calibri" w:cs="Calibri"/>
                <w:color w:val="000000"/>
              </w:rPr>
              <w:t>14</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48C66607" w14:textId="77777777" w:rsidTr="00D6124B">
        <w:trPr>
          <w:trHeight w:val="300"/>
          <w:jc w:val="center"/>
        </w:trPr>
        <w:tc>
          <w:tcPr>
            <w:tcW w:w="1176" w:type="dxa"/>
            <w:shd w:val="clear" w:color="auto" w:fill="auto"/>
            <w:noWrap/>
            <w:vAlign w:val="bottom"/>
            <w:hideMark/>
          </w:tcPr>
          <w:p w14:paraId="0B030DAC"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8</w:t>
            </w:r>
          </w:p>
        </w:tc>
        <w:tc>
          <w:tcPr>
            <w:tcW w:w="3254" w:type="dxa"/>
            <w:shd w:val="clear" w:color="auto" w:fill="auto"/>
            <w:noWrap/>
            <w:vAlign w:val="bottom"/>
            <w:hideMark/>
          </w:tcPr>
          <w:p w14:paraId="0F303DFA" w14:textId="77777777" w:rsidR="00D6124B" w:rsidRPr="00D6124B" w:rsidRDefault="001D00D6" w:rsidP="001D00D6">
            <w:pPr>
              <w:spacing w:after="0" w:line="240" w:lineRule="auto"/>
              <w:jc w:val="center"/>
              <w:rPr>
                <w:rFonts w:ascii="Calibri" w:eastAsia="Times New Roman" w:hAnsi="Calibri" w:cs="Calibri"/>
                <w:color w:val="000000"/>
              </w:rPr>
            </w:pPr>
            <w:r>
              <w:rPr>
                <w:rFonts w:ascii="Calibri" w:eastAsia="Times New Roman" w:hAnsi="Calibri" w:cs="Calibri"/>
                <w:color w:val="000000"/>
              </w:rPr>
              <w:t>3</w:t>
            </w:r>
            <w:r w:rsidR="00D6124B" w:rsidRPr="00D6124B">
              <w:rPr>
                <w:rFonts w:ascii="Calibri" w:eastAsia="Times New Roman" w:hAnsi="Calibri" w:cs="Calibri"/>
                <w:color w:val="000000"/>
              </w:rPr>
              <w:t>&lt;&gt;</w:t>
            </w:r>
            <w:r>
              <w:rPr>
                <w:rFonts w:ascii="Calibri" w:eastAsia="Times New Roman" w:hAnsi="Calibri" w:cs="Calibri"/>
                <w:color w:val="000000"/>
              </w:rPr>
              <w:t>0</w:t>
            </w:r>
          </w:p>
        </w:tc>
      </w:tr>
      <w:tr w:rsidR="00D6124B" w:rsidRPr="00D6124B" w14:paraId="234A8EDA" w14:textId="77777777" w:rsidTr="00D6124B">
        <w:trPr>
          <w:trHeight w:val="300"/>
          <w:jc w:val="center"/>
        </w:trPr>
        <w:tc>
          <w:tcPr>
            <w:tcW w:w="1176" w:type="dxa"/>
            <w:shd w:val="clear" w:color="auto" w:fill="auto"/>
            <w:noWrap/>
            <w:vAlign w:val="bottom"/>
            <w:hideMark/>
          </w:tcPr>
          <w:p w14:paraId="7E44FBF2"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9</w:t>
            </w:r>
          </w:p>
        </w:tc>
        <w:tc>
          <w:tcPr>
            <w:tcW w:w="3254" w:type="dxa"/>
            <w:shd w:val="clear" w:color="auto" w:fill="auto"/>
            <w:noWrap/>
            <w:vAlign w:val="bottom"/>
            <w:hideMark/>
          </w:tcPr>
          <w:p w14:paraId="37827836" w14:textId="77777777" w:rsidR="00D6124B" w:rsidRPr="00D6124B" w:rsidRDefault="001D00D6" w:rsidP="001D00D6">
            <w:pPr>
              <w:spacing w:after="0" w:line="240" w:lineRule="auto"/>
              <w:jc w:val="center"/>
              <w:rPr>
                <w:rFonts w:ascii="Calibri" w:eastAsia="Times New Roman" w:hAnsi="Calibri" w:cs="Calibri"/>
                <w:color w:val="000000"/>
              </w:rPr>
            </w:pPr>
            <w:r>
              <w:rPr>
                <w:rFonts w:ascii="Calibri" w:eastAsia="Times New Roman" w:hAnsi="Calibri" w:cs="Calibri"/>
                <w:color w:val="000000"/>
              </w:rPr>
              <w:t>3</w:t>
            </w:r>
            <w:r w:rsidR="00D6124B" w:rsidRPr="00D6124B">
              <w:rPr>
                <w:rFonts w:ascii="Calibri" w:eastAsia="Times New Roman" w:hAnsi="Calibri" w:cs="Calibri"/>
                <w:color w:val="000000"/>
              </w:rPr>
              <w:t>&lt;&gt;</w:t>
            </w:r>
            <w:r>
              <w:rPr>
                <w:rFonts w:ascii="Calibri" w:eastAsia="Times New Roman" w:hAnsi="Calibri" w:cs="Calibri"/>
                <w:color w:val="000000"/>
              </w:rPr>
              <w:t>3</w:t>
            </w:r>
          </w:p>
        </w:tc>
      </w:tr>
    </w:tbl>
    <w:p w14:paraId="7E5715DC"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6DEEA2DD"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76EAE18E"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Duratele de deplasare în interes personal, pe raza localităţii (între cele mai frecvente puncte de origine şi destinaţie ale călătoriei), din informaţiile obţinute de la cei chestionaţi, sunt cuprinse între 1 minut şi </w:t>
      </w:r>
      <w:r w:rsidR="00A138C9">
        <w:rPr>
          <w:rFonts w:ascii="Arial" w:hAnsi="Arial" w:cs="Mangal"/>
          <w:kern w:val="1"/>
          <w:lang w:val="ro-RO" w:eastAsia="hi-IN" w:bidi="hi-IN"/>
        </w:rPr>
        <w:t>300</w:t>
      </w:r>
      <w:r w:rsidRPr="00D6124B">
        <w:rPr>
          <w:rFonts w:ascii="Arial" w:hAnsi="Arial" w:cs="Mangal"/>
          <w:kern w:val="1"/>
          <w:lang w:val="ro-RO" w:eastAsia="hi-IN" w:bidi="hi-IN"/>
        </w:rPr>
        <w:t xml:space="preserve"> de minute, cu o medie de 25,</w:t>
      </w:r>
      <w:r w:rsidR="00A138C9">
        <w:rPr>
          <w:rFonts w:ascii="Arial" w:hAnsi="Arial" w:cs="Mangal"/>
          <w:kern w:val="1"/>
          <w:lang w:val="ro-RO" w:eastAsia="hi-IN" w:bidi="hi-IN"/>
        </w:rPr>
        <w:t>51</w:t>
      </w:r>
      <w:r w:rsidRPr="00D6124B">
        <w:rPr>
          <w:rFonts w:ascii="Arial" w:hAnsi="Arial" w:cs="Mangal"/>
          <w:kern w:val="1"/>
          <w:lang w:val="ro-RO" w:eastAsia="hi-IN" w:bidi="hi-IN"/>
        </w:rPr>
        <w:t xml:space="preserve"> minute.</w:t>
      </w:r>
      <w:r w:rsidR="00A138C9">
        <w:rPr>
          <w:rFonts w:ascii="Arial" w:hAnsi="Arial" w:cs="Mangal"/>
          <w:kern w:val="1"/>
          <w:lang w:val="ro-RO" w:eastAsia="hi-IN" w:bidi="hi-IN"/>
        </w:rPr>
        <w:t xml:space="preserve"> Duratele de deplasare mai mari de 30 de minute fac referire la deplasări care se efectuează din afara oraşului sau către localităţi din afara oraşului sau includ şi durata cuprinsă între dus şi întors. </w:t>
      </w:r>
    </w:p>
    <w:p w14:paraId="2BDC0CBB"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33E13D6C"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Frecvenţa deplasărilor în interes personal este cuprinsă între 1 şi </w:t>
      </w:r>
      <w:r w:rsidR="005B370F">
        <w:rPr>
          <w:rFonts w:ascii="Arial" w:hAnsi="Arial" w:cs="Mangal"/>
          <w:kern w:val="1"/>
          <w:lang w:val="ro-RO" w:eastAsia="hi-IN" w:bidi="hi-IN"/>
        </w:rPr>
        <w:t>14</w:t>
      </w:r>
      <w:r w:rsidRPr="00D6124B">
        <w:rPr>
          <w:rFonts w:ascii="Arial" w:hAnsi="Arial" w:cs="Mangal"/>
          <w:kern w:val="1"/>
          <w:lang w:val="ro-RO" w:eastAsia="hi-IN" w:bidi="hi-IN"/>
        </w:rPr>
        <w:t xml:space="preserve"> ori pe s</w:t>
      </w:r>
      <w:r w:rsidR="005B370F">
        <w:rPr>
          <w:rFonts w:ascii="Arial" w:hAnsi="Arial" w:cs="Mangal"/>
          <w:kern w:val="1"/>
          <w:lang w:val="ro-RO" w:eastAsia="hi-IN" w:bidi="hi-IN"/>
        </w:rPr>
        <w:t>ăptămână pentru cei chestionaţi, cu o medie de 3 deplasări pe săptămână.</w:t>
      </w:r>
      <w:r w:rsidRPr="00D6124B">
        <w:rPr>
          <w:rFonts w:ascii="Arial" w:hAnsi="Arial" w:cs="Mangal"/>
          <w:kern w:val="1"/>
          <w:lang w:val="ro-RO" w:eastAsia="hi-IN" w:bidi="hi-IN"/>
        </w:rPr>
        <w:t xml:space="preserve"> Peste jumătate (</w:t>
      </w:r>
      <w:r w:rsidR="00CA61A4">
        <w:rPr>
          <w:rFonts w:ascii="Arial" w:hAnsi="Arial" w:cs="Mangal"/>
          <w:kern w:val="1"/>
          <w:lang w:val="ro-RO" w:eastAsia="hi-IN" w:bidi="hi-IN"/>
        </w:rPr>
        <w:t>62</w:t>
      </w:r>
      <w:r w:rsidRPr="00D6124B">
        <w:rPr>
          <w:rFonts w:ascii="Arial" w:hAnsi="Arial" w:cs="Mangal"/>
          <w:kern w:val="1"/>
          <w:lang w:val="ro-RO" w:eastAsia="hi-IN" w:bidi="hi-IN"/>
        </w:rPr>
        <w:t xml:space="preserve">%) dintre cei chestionaţi efectuează </w:t>
      </w:r>
      <w:r w:rsidR="00CA61A4">
        <w:rPr>
          <w:rFonts w:ascii="Arial" w:hAnsi="Arial" w:cs="Mangal"/>
          <w:kern w:val="1"/>
          <w:lang w:val="ro-RO" w:eastAsia="hi-IN" w:bidi="hi-IN"/>
        </w:rPr>
        <w:t>între 1-3</w:t>
      </w:r>
      <w:r w:rsidRPr="00D6124B">
        <w:rPr>
          <w:rFonts w:ascii="Arial" w:hAnsi="Arial" w:cs="Mangal"/>
          <w:kern w:val="1"/>
          <w:lang w:val="ro-RO" w:eastAsia="hi-IN" w:bidi="hi-IN"/>
        </w:rPr>
        <w:t xml:space="preserve"> deplasări pe săptămână în interes personal; în </w:t>
      </w:r>
      <w:r w:rsidR="00CA61A4">
        <w:rPr>
          <w:rFonts w:ascii="Arial" w:hAnsi="Arial" w:cs="Mangal"/>
          <w:kern w:val="1"/>
          <w:lang w:val="ro-RO" w:eastAsia="hi-IN" w:bidi="hi-IN"/>
        </w:rPr>
        <w:t>circa 16</w:t>
      </w:r>
      <w:r w:rsidRPr="00D6124B">
        <w:rPr>
          <w:rFonts w:ascii="Arial" w:hAnsi="Arial" w:cs="Mangal"/>
          <w:kern w:val="1"/>
          <w:lang w:val="ro-RO" w:eastAsia="hi-IN" w:bidi="hi-IN"/>
        </w:rPr>
        <w:t xml:space="preserve">% dintre cazuri aceste </w:t>
      </w:r>
      <w:r w:rsidRPr="00D6124B">
        <w:rPr>
          <w:rFonts w:ascii="Arial" w:hAnsi="Arial" w:cs="Mangal"/>
          <w:kern w:val="1"/>
          <w:lang w:val="ro-RO" w:eastAsia="hi-IN" w:bidi="hi-IN"/>
        </w:rPr>
        <w:lastRenderedPageBreak/>
        <w:t xml:space="preserve">tipuri de deplasări se efectuează de </w:t>
      </w:r>
      <w:r w:rsidR="00CA61A4">
        <w:rPr>
          <w:rFonts w:ascii="Arial" w:hAnsi="Arial" w:cs="Mangal"/>
          <w:kern w:val="1"/>
          <w:lang w:val="ro-RO" w:eastAsia="hi-IN" w:bidi="hi-IN"/>
        </w:rPr>
        <w:t>5</w:t>
      </w:r>
      <w:r w:rsidRPr="00D6124B">
        <w:rPr>
          <w:rFonts w:ascii="Arial" w:hAnsi="Arial" w:cs="Mangal"/>
          <w:kern w:val="1"/>
          <w:lang w:val="ro-RO" w:eastAsia="hi-IN" w:bidi="hi-IN"/>
        </w:rPr>
        <w:t xml:space="preserve"> ori pe săptămână. În ordinea alegerii: 2 deplasări pe săptămână – </w:t>
      </w:r>
      <w:r w:rsidR="00CA61A4">
        <w:rPr>
          <w:rFonts w:ascii="Arial" w:hAnsi="Arial" w:cs="Mangal"/>
          <w:kern w:val="1"/>
          <w:lang w:val="ro-RO" w:eastAsia="hi-IN" w:bidi="hi-IN"/>
        </w:rPr>
        <w:t>29,08</w:t>
      </w:r>
      <w:r w:rsidRPr="00D6124B">
        <w:rPr>
          <w:rFonts w:ascii="Arial" w:hAnsi="Arial" w:cs="Mangal"/>
          <w:kern w:val="1"/>
          <w:lang w:val="ro-RO" w:eastAsia="hi-IN" w:bidi="hi-IN"/>
        </w:rPr>
        <w:t xml:space="preserve">%, 1 deplasare pe săptămână – </w:t>
      </w:r>
      <w:r w:rsidR="00CA61A4">
        <w:rPr>
          <w:rFonts w:ascii="Arial" w:hAnsi="Arial" w:cs="Mangal"/>
          <w:kern w:val="1"/>
          <w:lang w:val="ro-RO" w:eastAsia="hi-IN" w:bidi="hi-IN"/>
        </w:rPr>
        <w:t>19</w:t>
      </w:r>
      <w:r w:rsidRPr="00D6124B">
        <w:rPr>
          <w:rFonts w:ascii="Arial" w:hAnsi="Arial" w:cs="Mangal"/>
          <w:kern w:val="1"/>
          <w:lang w:val="ro-RO" w:eastAsia="hi-IN" w:bidi="hi-IN"/>
        </w:rPr>
        <w:t>,</w:t>
      </w:r>
      <w:r w:rsidR="00CA61A4">
        <w:rPr>
          <w:rFonts w:ascii="Arial" w:hAnsi="Arial" w:cs="Mangal"/>
          <w:kern w:val="1"/>
          <w:lang w:val="ro-RO" w:eastAsia="hi-IN" w:bidi="hi-IN"/>
        </w:rPr>
        <w:t>86</w:t>
      </w:r>
      <w:r w:rsidRPr="00D6124B">
        <w:rPr>
          <w:rFonts w:ascii="Arial" w:hAnsi="Arial" w:cs="Mangal"/>
          <w:kern w:val="1"/>
          <w:lang w:val="ro-RO" w:eastAsia="hi-IN" w:bidi="hi-IN"/>
        </w:rPr>
        <w:t xml:space="preserve">%, </w:t>
      </w:r>
      <w:r w:rsidR="00CA61A4">
        <w:rPr>
          <w:rFonts w:ascii="Arial" w:hAnsi="Arial" w:cs="Mangal"/>
          <w:kern w:val="1"/>
          <w:lang w:val="ro-RO" w:eastAsia="hi-IN" w:bidi="hi-IN"/>
        </w:rPr>
        <w:t>5</w:t>
      </w:r>
      <w:r w:rsidRPr="00D6124B">
        <w:rPr>
          <w:rFonts w:ascii="Arial" w:hAnsi="Arial" w:cs="Mangal"/>
          <w:kern w:val="1"/>
          <w:lang w:val="ro-RO" w:eastAsia="hi-IN" w:bidi="hi-IN"/>
        </w:rPr>
        <w:t xml:space="preserve"> deplasări pe săptămână – </w:t>
      </w:r>
      <w:r w:rsidR="00CA61A4">
        <w:rPr>
          <w:rFonts w:ascii="Arial" w:hAnsi="Arial" w:cs="Mangal"/>
          <w:kern w:val="1"/>
          <w:lang w:val="ro-RO" w:eastAsia="hi-IN" w:bidi="hi-IN"/>
        </w:rPr>
        <w:t>15,60</w:t>
      </w:r>
      <w:r w:rsidRPr="00D6124B">
        <w:rPr>
          <w:rFonts w:ascii="Arial" w:hAnsi="Arial" w:cs="Mangal"/>
          <w:kern w:val="1"/>
          <w:lang w:val="ro-RO" w:eastAsia="hi-IN" w:bidi="hi-IN"/>
        </w:rPr>
        <w:t xml:space="preserve">%, </w:t>
      </w:r>
      <w:r w:rsidR="00CA61A4">
        <w:rPr>
          <w:rFonts w:ascii="Arial" w:hAnsi="Arial" w:cs="Mangal"/>
          <w:kern w:val="1"/>
          <w:lang w:val="ro-RO" w:eastAsia="hi-IN" w:bidi="hi-IN"/>
        </w:rPr>
        <w:t>3</w:t>
      </w:r>
      <w:r w:rsidRPr="00D6124B">
        <w:rPr>
          <w:rFonts w:ascii="Arial" w:hAnsi="Arial" w:cs="Mangal"/>
          <w:kern w:val="1"/>
          <w:lang w:val="ro-RO" w:eastAsia="hi-IN" w:bidi="hi-IN"/>
        </w:rPr>
        <w:t xml:space="preserve"> deplasări pe săptămână – </w:t>
      </w:r>
      <w:r w:rsidR="00CA61A4">
        <w:rPr>
          <w:rFonts w:ascii="Arial" w:hAnsi="Arial" w:cs="Mangal"/>
          <w:kern w:val="1"/>
          <w:lang w:val="ro-RO" w:eastAsia="hi-IN" w:bidi="hi-IN"/>
        </w:rPr>
        <w:t>12,77</w:t>
      </w:r>
      <w:r w:rsidRPr="00D6124B">
        <w:rPr>
          <w:rFonts w:ascii="Arial" w:hAnsi="Arial" w:cs="Mangal"/>
          <w:kern w:val="1"/>
          <w:lang w:val="ro-RO" w:eastAsia="hi-IN" w:bidi="hi-IN"/>
        </w:rPr>
        <w:t xml:space="preserve">%, 7 deplasări pe săptămână – </w:t>
      </w:r>
      <w:r w:rsidR="00CA61A4">
        <w:rPr>
          <w:rFonts w:ascii="Arial" w:hAnsi="Arial" w:cs="Mangal"/>
          <w:kern w:val="1"/>
          <w:lang w:val="ro-RO" w:eastAsia="hi-IN" w:bidi="hi-IN"/>
        </w:rPr>
        <w:t>10,64</w:t>
      </w:r>
      <w:r w:rsidRPr="00D6124B">
        <w:rPr>
          <w:rFonts w:ascii="Arial" w:hAnsi="Arial" w:cs="Mangal"/>
          <w:kern w:val="1"/>
          <w:lang w:val="ro-RO" w:eastAsia="hi-IN" w:bidi="hi-IN"/>
        </w:rPr>
        <w:t xml:space="preserve">%, 4 deplasări pe săptămână – </w:t>
      </w:r>
      <w:r w:rsidR="00CA61A4">
        <w:rPr>
          <w:rFonts w:ascii="Arial" w:hAnsi="Arial" w:cs="Mangal"/>
          <w:kern w:val="1"/>
          <w:lang w:val="ro-RO" w:eastAsia="hi-IN" w:bidi="hi-IN"/>
        </w:rPr>
        <w:t>5,67</w:t>
      </w:r>
      <w:r w:rsidRPr="00D6124B">
        <w:rPr>
          <w:rFonts w:ascii="Arial" w:hAnsi="Arial" w:cs="Mangal"/>
          <w:kern w:val="1"/>
          <w:lang w:val="ro-RO" w:eastAsia="hi-IN" w:bidi="hi-IN"/>
        </w:rPr>
        <w:t xml:space="preserve">%, 6 deplasări pe săptămână – </w:t>
      </w:r>
      <w:r w:rsidR="00CA61A4">
        <w:rPr>
          <w:rFonts w:ascii="Arial" w:hAnsi="Arial" w:cs="Mangal"/>
          <w:kern w:val="1"/>
          <w:lang w:val="ro-RO" w:eastAsia="hi-IN" w:bidi="hi-IN"/>
        </w:rPr>
        <w:t>3,55</w:t>
      </w:r>
      <w:r w:rsidRPr="00D6124B">
        <w:rPr>
          <w:rFonts w:ascii="Arial" w:hAnsi="Arial" w:cs="Mangal"/>
          <w:kern w:val="1"/>
          <w:lang w:val="ro-RO" w:eastAsia="hi-IN" w:bidi="hi-IN"/>
        </w:rPr>
        <w:t>%</w:t>
      </w:r>
      <w:r w:rsidR="00CA61A4">
        <w:rPr>
          <w:rFonts w:ascii="Arial" w:hAnsi="Arial" w:cs="Mangal"/>
          <w:kern w:val="1"/>
          <w:lang w:val="ro-RO" w:eastAsia="hi-IN" w:bidi="hi-IN"/>
        </w:rPr>
        <w:t>,</w:t>
      </w:r>
      <w:r w:rsidRPr="00D6124B">
        <w:rPr>
          <w:rFonts w:ascii="Arial" w:hAnsi="Arial" w:cs="Mangal"/>
          <w:kern w:val="1"/>
          <w:lang w:val="ro-RO" w:eastAsia="hi-IN" w:bidi="hi-IN"/>
        </w:rPr>
        <w:t xml:space="preserve"> </w:t>
      </w:r>
      <w:r w:rsidR="00CA61A4">
        <w:rPr>
          <w:rFonts w:ascii="Arial" w:hAnsi="Arial" w:cs="Mangal"/>
          <w:kern w:val="1"/>
          <w:lang w:val="ro-RO" w:eastAsia="hi-IN" w:bidi="hi-IN"/>
        </w:rPr>
        <w:t>10</w:t>
      </w:r>
      <w:r w:rsidR="00CA61A4" w:rsidRPr="00CA61A4">
        <w:rPr>
          <w:rFonts w:ascii="Arial" w:hAnsi="Arial" w:cs="Mangal"/>
          <w:kern w:val="1"/>
          <w:lang w:val="ro-RO" w:eastAsia="hi-IN" w:bidi="hi-IN"/>
        </w:rPr>
        <w:t xml:space="preserve"> deplasări pe săptămână – </w:t>
      </w:r>
      <w:r w:rsidR="00CA61A4">
        <w:rPr>
          <w:rFonts w:ascii="Arial" w:hAnsi="Arial" w:cs="Mangal"/>
          <w:kern w:val="1"/>
          <w:lang w:val="ro-RO" w:eastAsia="hi-IN" w:bidi="hi-IN"/>
        </w:rPr>
        <w:t>1,42</w:t>
      </w:r>
      <w:r w:rsidR="00CA61A4" w:rsidRPr="00CA61A4">
        <w:rPr>
          <w:rFonts w:ascii="Arial" w:hAnsi="Arial" w:cs="Mangal"/>
          <w:kern w:val="1"/>
          <w:lang w:val="ro-RO" w:eastAsia="hi-IN" w:bidi="hi-IN"/>
        </w:rPr>
        <w:t>%</w:t>
      </w:r>
      <w:r w:rsidR="00CA61A4">
        <w:rPr>
          <w:rFonts w:ascii="Arial" w:hAnsi="Arial" w:cs="Mangal"/>
          <w:kern w:val="1"/>
          <w:lang w:val="ro-RO" w:eastAsia="hi-IN" w:bidi="hi-IN"/>
        </w:rPr>
        <w:t>, 8</w:t>
      </w:r>
      <w:r w:rsidR="00CA61A4" w:rsidRPr="00CA61A4">
        <w:rPr>
          <w:rFonts w:ascii="Arial" w:hAnsi="Arial" w:cs="Mangal"/>
          <w:kern w:val="1"/>
          <w:lang w:val="ro-RO" w:eastAsia="hi-IN" w:bidi="hi-IN"/>
        </w:rPr>
        <w:t xml:space="preserve"> deplasări pe săptămână – </w:t>
      </w:r>
      <w:r w:rsidR="00CA61A4">
        <w:rPr>
          <w:rFonts w:ascii="Arial" w:hAnsi="Arial" w:cs="Mangal"/>
          <w:kern w:val="1"/>
          <w:lang w:val="ro-RO" w:eastAsia="hi-IN" w:bidi="hi-IN"/>
        </w:rPr>
        <w:t>0,71</w:t>
      </w:r>
      <w:r w:rsidR="00CA61A4" w:rsidRPr="00CA61A4">
        <w:rPr>
          <w:rFonts w:ascii="Arial" w:hAnsi="Arial" w:cs="Mangal"/>
          <w:kern w:val="1"/>
          <w:lang w:val="ro-RO" w:eastAsia="hi-IN" w:bidi="hi-IN"/>
        </w:rPr>
        <w:t>%</w:t>
      </w:r>
      <w:r w:rsidR="00CA61A4">
        <w:rPr>
          <w:rFonts w:ascii="Arial" w:hAnsi="Arial" w:cs="Mangal"/>
          <w:kern w:val="1"/>
          <w:lang w:val="ro-RO" w:eastAsia="hi-IN" w:bidi="hi-IN"/>
        </w:rPr>
        <w:t xml:space="preserve"> </w:t>
      </w:r>
      <w:r w:rsidRPr="00D6124B">
        <w:rPr>
          <w:rFonts w:ascii="Arial" w:hAnsi="Arial" w:cs="Mangal"/>
          <w:kern w:val="1"/>
          <w:lang w:val="ro-RO" w:eastAsia="hi-IN" w:bidi="hi-IN"/>
        </w:rPr>
        <w:t xml:space="preserve">şi 10 deplasări pe săptămână – </w:t>
      </w:r>
      <w:r w:rsidR="00CA61A4">
        <w:rPr>
          <w:rFonts w:ascii="Arial" w:hAnsi="Arial" w:cs="Mangal"/>
          <w:kern w:val="1"/>
          <w:lang w:val="ro-RO" w:eastAsia="hi-IN" w:bidi="hi-IN"/>
        </w:rPr>
        <w:t>0,71</w:t>
      </w:r>
      <w:r w:rsidRPr="00D6124B">
        <w:rPr>
          <w:rFonts w:ascii="Arial" w:hAnsi="Arial" w:cs="Mangal"/>
          <w:kern w:val="1"/>
          <w:lang w:val="ro-RO" w:eastAsia="hi-IN" w:bidi="hi-IN"/>
        </w:rPr>
        <w:t>%.</w:t>
      </w:r>
    </w:p>
    <w:p w14:paraId="62FE29C1"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4B94C2EE" w14:textId="77777777" w:rsidR="00D6124B" w:rsidRPr="00D6124B" w:rsidRDefault="00CA61A4" w:rsidP="00D6124B">
      <w:pPr>
        <w:widowControl w:val="0"/>
        <w:suppressAutoHyphens/>
        <w:spacing w:after="0" w:line="276" w:lineRule="auto"/>
        <w:jc w:val="center"/>
        <w:rPr>
          <w:rFonts w:ascii="Arial" w:hAnsi="Arial" w:cs="Mangal"/>
          <w:b/>
          <w:kern w:val="1"/>
          <w:lang w:val="ro-RO" w:eastAsia="hi-IN" w:bidi="hi-IN"/>
        </w:rPr>
      </w:pPr>
      <w:r>
        <w:rPr>
          <w:noProof/>
        </w:rPr>
        <w:drawing>
          <wp:inline distT="0" distB="0" distL="0" distR="0" wp14:anchorId="56C4BC32" wp14:editId="5474BC47">
            <wp:extent cx="4572000" cy="2743200"/>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2506FAEE" w14:textId="15081C99" w:rsidR="00D6124B" w:rsidRPr="00CA61A4" w:rsidRDefault="00CA61A4" w:rsidP="00CA61A4">
      <w:pPr>
        <w:pStyle w:val="Legend"/>
        <w:jc w:val="center"/>
        <w:rPr>
          <w:rFonts w:ascii="Arial" w:hAnsi="Arial" w:cs="Arial"/>
          <w:i w:val="0"/>
          <w:kern w:val="1"/>
          <w:sz w:val="22"/>
          <w:szCs w:val="22"/>
          <w:lang w:val="ro-RO" w:eastAsia="hi-IN" w:bidi="hi-IN"/>
        </w:rPr>
      </w:pPr>
      <w:bookmarkStart w:id="217" w:name="_Toc68361172"/>
      <w:bookmarkStart w:id="218" w:name="_Toc140744498"/>
      <w:r w:rsidRPr="00CA61A4">
        <w:rPr>
          <w:rFonts w:ascii="Arial" w:hAnsi="Arial" w:cs="Arial"/>
          <w:sz w:val="22"/>
          <w:szCs w:val="22"/>
        </w:rPr>
        <w:t xml:space="preserve">Figura I.3. </w:t>
      </w:r>
      <w:r w:rsidRPr="00CA61A4">
        <w:rPr>
          <w:rFonts w:ascii="Arial" w:hAnsi="Arial" w:cs="Arial"/>
          <w:sz w:val="22"/>
          <w:szCs w:val="22"/>
        </w:rPr>
        <w:fldChar w:fldCharType="begin"/>
      </w:r>
      <w:r w:rsidRPr="00CA61A4">
        <w:rPr>
          <w:rFonts w:ascii="Arial" w:hAnsi="Arial" w:cs="Arial"/>
          <w:sz w:val="22"/>
          <w:szCs w:val="22"/>
        </w:rPr>
        <w:instrText xml:space="preserve"> SEQ Figura_I.3. \* ARABIC </w:instrText>
      </w:r>
      <w:r w:rsidRPr="00CA61A4">
        <w:rPr>
          <w:rFonts w:ascii="Arial" w:hAnsi="Arial" w:cs="Arial"/>
          <w:sz w:val="22"/>
          <w:szCs w:val="22"/>
        </w:rPr>
        <w:fldChar w:fldCharType="separate"/>
      </w:r>
      <w:r w:rsidR="00BB181C">
        <w:rPr>
          <w:rFonts w:ascii="Arial" w:hAnsi="Arial" w:cs="Arial"/>
          <w:noProof/>
          <w:sz w:val="22"/>
          <w:szCs w:val="22"/>
        </w:rPr>
        <w:t>21</w:t>
      </w:r>
      <w:r w:rsidRPr="00CA61A4">
        <w:rPr>
          <w:rFonts w:ascii="Arial" w:hAnsi="Arial" w:cs="Arial"/>
          <w:sz w:val="22"/>
          <w:szCs w:val="22"/>
        </w:rPr>
        <w:fldChar w:fldCharType="end"/>
      </w:r>
      <w:r w:rsidRPr="00CA61A4">
        <w:rPr>
          <w:rFonts w:ascii="Arial" w:hAnsi="Arial" w:cs="Arial"/>
          <w:sz w:val="22"/>
          <w:szCs w:val="22"/>
        </w:rPr>
        <w:t xml:space="preserve"> </w:t>
      </w:r>
      <w:r w:rsidR="007F69D0" w:rsidRPr="00CA61A4">
        <w:rPr>
          <w:rFonts w:ascii="Arial" w:hAnsi="Arial" w:cs="Arial"/>
          <w:sz w:val="22"/>
          <w:szCs w:val="22"/>
        </w:rPr>
        <w:t xml:space="preserve">- </w:t>
      </w:r>
      <w:r w:rsidR="00D6124B" w:rsidRPr="00CA61A4">
        <w:rPr>
          <w:rFonts w:ascii="Arial" w:hAnsi="Arial" w:cs="Arial"/>
          <w:i w:val="0"/>
          <w:kern w:val="1"/>
          <w:sz w:val="22"/>
          <w:szCs w:val="22"/>
          <w:lang w:val="ro-RO" w:eastAsia="hi-IN" w:bidi="hi-IN"/>
        </w:rPr>
        <w:t>Frecvenţa deplasărilor în interes personal</w:t>
      </w:r>
      <w:bookmarkEnd w:id="217"/>
      <w:bookmarkEnd w:id="218"/>
    </w:p>
    <w:p w14:paraId="17D54778" w14:textId="77777777" w:rsidR="00D6124B" w:rsidRPr="00D6124B" w:rsidRDefault="00D6124B" w:rsidP="00D6124B">
      <w:pPr>
        <w:widowControl w:val="0"/>
        <w:suppressAutoHyphens/>
        <w:spacing w:after="0" w:line="276" w:lineRule="auto"/>
        <w:rPr>
          <w:rFonts w:ascii="Arial" w:hAnsi="Arial" w:cs="Mangal"/>
          <w:kern w:val="1"/>
          <w:lang w:val="ro-RO" w:eastAsia="hi-IN" w:bidi="hi-IN"/>
        </w:rPr>
      </w:pPr>
    </w:p>
    <w:p w14:paraId="6C237340" w14:textId="77777777" w:rsidR="00D6124B" w:rsidRPr="00D6124B" w:rsidRDefault="00D6124B" w:rsidP="00D6124B">
      <w:pPr>
        <w:widowControl w:val="0"/>
        <w:tabs>
          <w:tab w:val="left" w:pos="1557"/>
        </w:tabs>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În ce priveşte modul de transport utilizat pentru deplasările în interes personal, cele mai multe deplasări se efectuează cu autoturismul personal, </w:t>
      </w:r>
      <w:r w:rsidR="00657219">
        <w:rPr>
          <w:rFonts w:ascii="Arial" w:hAnsi="Arial" w:cs="Mangal"/>
          <w:kern w:val="1"/>
          <w:lang w:val="ro-RO" w:eastAsia="hi-IN" w:bidi="hi-IN"/>
        </w:rPr>
        <w:t>la fel ca în cazul deplasărilor</w:t>
      </w:r>
      <w:r w:rsidRPr="00D6124B">
        <w:rPr>
          <w:rFonts w:ascii="Arial" w:hAnsi="Arial" w:cs="Mangal"/>
          <w:kern w:val="1"/>
          <w:lang w:val="ro-RO" w:eastAsia="hi-IN" w:bidi="hi-IN"/>
        </w:rPr>
        <w:t xml:space="preserve"> înspre şi dinspre locul de muncă, cu diferenţa că pentru deplasarea în interes personal se preferă într-o mai mare măsură autoturismul personal (</w:t>
      </w:r>
      <w:r w:rsidR="00657219">
        <w:rPr>
          <w:rFonts w:ascii="Arial" w:hAnsi="Arial" w:cs="Mangal"/>
          <w:kern w:val="1"/>
          <w:lang w:val="ro-RO" w:eastAsia="hi-IN" w:bidi="hi-IN"/>
        </w:rPr>
        <w:t>55,77</w:t>
      </w:r>
      <w:r w:rsidRPr="00D6124B">
        <w:rPr>
          <w:rFonts w:ascii="Arial" w:hAnsi="Arial" w:cs="Mangal"/>
          <w:kern w:val="1"/>
          <w:lang w:val="ro-RO" w:eastAsia="hi-IN" w:bidi="hi-IN"/>
        </w:rPr>
        <w:t xml:space="preserve">% dintre cazuri). </w:t>
      </w:r>
      <w:r w:rsidR="00657219">
        <w:rPr>
          <w:rFonts w:ascii="Arial" w:hAnsi="Arial" w:cs="Mangal"/>
          <w:kern w:val="1"/>
          <w:lang w:val="ro-RO" w:eastAsia="hi-IN" w:bidi="hi-IN"/>
        </w:rPr>
        <w:t>15,38</w:t>
      </w:r>
      <w:r w:rsidRPr="00D6124B">
        <w:rPr>
          <w:rFonts w:ascii="Arial" w:hAnsi="Arial" w:cs="Mangal"/>
          <w:kern w:val="1"/>
          <w:lang w:val="ro-RO" w:eastAsia="hi-IN" w:bidi="hi-IN"/>
        </w:rPr>
        <w:t>% dintre respondenţi se deplasează pietonal pentru rezolvarea diferitelor interese perso</w:t>
      </w:r>
      <w:r w:rsidR="00657219">
        <w:rPr>
          <w:rFonts w:ascii="Arial" w:hAnsi="Arial" w:cs="Mangal"/>
          <w:kern w:val="1"/>
          <w:lang w:val="ro-RO" w:eastAsia="hi-IN" w:bidi="hi-IN"/>
        </w:rPr>
        <w:t>nale pe raza localităţii.  În 18,59</w:t>
      </w:r>
      <w:r w:rsidRPr="00D6124B">
        <w:rPr>
          <w:rFonts w:ascii="Arial" w:hAnsi="Arial" w:cs="Mangal"/>
          <w:kern w:val="1"/>
          <w:lang w:val="ro-RO" w:eastAsia="hi-IN" w:bidi="hi-IN"/>
        </w:rPr>
        <w:t>% dintre cazuri aceste deplasări se efectuează multimodal, cu utilizarea a</w:t>
      </w:r>
      <w:r w:rsidR="00657219">
        <w:rPr>
          <w:rFonts w:ascii="Arial" w:hAnsi="Arial" w:cs="Mangal"/>
          <w:kern w:val="1"/>
          <w:lang w:val="ro-RO" w:eastAsia="hi-IN" w:bidi="hi-IN"/>
        </w:rPr>
        <w:t xml:space="preserve"> mai multor moduri de transport</w:t>
      </w:r>
      <w:r w:rsidRPr="00D6124B">
        <w:rPr>
          <w:rFonts w:ascii="Arial" w:hAnsi="Arial" w:cs="Mangal"/>
          <w:kern w:val="1"/>
          <w:lang w:val="ro-RO" w:eastAsia="hi-IN" w:bidi="hi-IN"/>
        </w:rPr>
        <w:t xml:space="preserve">. Vehiculele de transport în comun, precum autobuzele şi microbuzele sunt utilizate de către circa </w:t>
      </w:r>
      <w:r w:rsidR="00657219">
        <w:rPr>
          <w:rFonts w:ascii="Arial" w:hAnsi="Arial" w:cs="Mangal"/>
          <w:kern w:val="1"/>
          <w:lang w:val="ro-RO" w:eastAsia="hi-IN" w:bidi="hi-IN"/>
        </w:rPr>
        <w:t>6,41</w:t>
      </w:r>
      <w:r w:rsidRPr="00D6124B">
        <w:rPr>
          <w:rFonts w:ascii="Arial" w:hAnsi="Arial" w:cs="Mangal"/>
          <w:kern w:val="1"/>
          <w:lang w:val="ro-RO" w:eastAsia="hi-IN" w:bidi="hi-IN"/>
        </w:rPr>
        <w:t xml:space="preserve">% dintre respondenţi (partajat între autobuz – </w:t>
      </w:r>
      <w:r w:rsidR="00657219">
        <w:rPr>
          <w:rFonts w:ascii="Arial" w:hAnsi="Arial" w:cs="Mangal"/>
          <w:kern w:val="1"/>
          <w:lang w:val="ro-RO" w:eastAsia="hi-IN" w:bidi="hi-IN"/>
        </w:rPr>
        <w:t>5,13</w:t>
      </w:r>
      <w:r w:rsidRPr="00D6124B">
        <w:rPr>
          <w:rFonts w:ascii="Arial" w:hAnsi="Arial" w:cs="Mangal"/>
          <w:kern w:val="1"/>
          <w:lang w:val="ro-RO" w:eastAsia="hi-IN" w:bidi="hi-IN"/>
        </w:rPr>
        <w:t xml:space="preserve">% şi microbuz – </w:t>
      </w:r>
      <w:r w:rsidR="00657219">
        <w:rPr>
          <w:rFonts w:ascii="Arial" w:hAnsi="Arial" w:cs="Mangal"/>
          <w:kern w:val="1"/>
          <w:lang w:val="ro-RO" w:eastAsia="hi-IN" w:bidi="hi-IN"/>
        </w:rPr>
        <w:t>1,28</w:t>
      </w:r>
      <w:r w:rsidRPr="00D6124B">
        <w:rPr>
          <w:rFonts w:ascii="Arial" w:hAnsi="Arial" w:cs="Mangal"/>
          <w:kern w:val="1"/>
          <w:lang w:val="ro-RO" w:eastAsia="hi-IN" w:bidi="hi-IN"/>
        </w:rPr>
        <w:t>%) pentru deplasările în interes personal.</w:t>
      </w:r>
      <w:r w:rsidR="00657219">
        <w:rPr>
          <w:rFonts w:ascii="Arial" w:hAnsi="Arial" w:cs="Mangal"/>
          <w:kern w:val="1"/>
          <w:lang w:val="ro-RO" w:eastAsia="hi-IN" w:bidi="hi-IN"/>
        </w:rPr>
        <w:t xml:space="preserve"> Autobuzele şi microbuzele sunt de regula cele aferente traseelor de transport judeţean care tranzitează oraşul Horezu.</w:t>
      </w:r>
      <w:r w:rsidRPr="00D6124B">
        <w:rPr>
          <w:rFonts w:ascii="Arial" w:hAnsi="Arial" w:cs="Mangal"/>
          <w:kern w:val="1"/>
          <w:lang w:val="ro-RO" w:eastAsia="hi-IN" w:bidi="hi-IN"/>
        </w:rPr>
        <w:t xml:space="preserve"> </w:t>
      </w:r>
      <w:r w:rsidR="00657219">
        <w:rPr>
          <w:rFonts w:ascii="Arial" w:hAnsi="Arial" w:cs="Mangal"/>
          <w:kern w:val="1"/>
          <w:lang w:val="ro-RO" w:eastAsia="hi-IN" w:bidi="hi-IN"/>
        </w:rPr>
        <w:t>Sub 1 procent</w:t>
      </w:r>
      <w:r w:rsidRPr="00D6124B">
        <w:rPr>
          <w:rFonts w:ascii="Arial" w:hAnsi="Arial" w:cs="Mangal"/>
          <w:kern w:val="1"/>
          <w:lang w:val="ro-RO" w:eastAsia="hi-IN" w:bidi="hi-IN"/>
        </w:rPr>
        <w:t xml:space="preserve"> dintre respondenţi</w:t>
      </w:r>
      <w:r w:rsidR="00657219">
        <w:rPr>
          <w:rFonts w:ascii="Arial" w:hAnsi="Arial" w:cs="Mangal"/>
          <w:kern w:val="1"/>
          <w:lang w:val="ro-RO" w:eastAsia="hi-IN" w:bidi="hi-IN"/>
        </w:rPr>
        <w:t xml:space="preserve"> (0,645)</w:t>
      </w:r>
      <w:r w:rsidRPr="00D6124B">
        <w:rPr>
          <w:rFonts w:ascii="Arial" w:hAnsi="Arial" w:cs="Mangal"/>
          <w:kern w:val="1"/>
          <w:lang w:val="ro-RO" w:eastAsia="hi-IN" w:bidi="hi-IN"/>
        </w:rPr>
        <w:t xml:space="preserve"> utilizează bicicleta pentru deplasările la locul de muncă </w:t>
      </w:r>
      <w:r w:rsidR="00657219">
        <w:rPr>
          <w:rFonts w:ascii="Arial" w:hAnsi="Arial" w:cs="Mangal"/>
          <w:kern w:val="1"/>
          <w:lang w:val="ro-RO" w:eastAsia="hi-IN" w:bidi="hi-IN"/>
        </w:rPr>
        <w:t>iar</w:t>
      </w:r>
      <w:r w:rsidRPr="00D6124B">
        <w:rPr>
          <w:rFonts w:ascii="Arial" w:hAnsi="Arial" w:cs="Mangal"/>
          <w:kern w:val="1"/>
          <w:lang w:val="ro-RO" w:eastAsia="hi-IN" w:bidi="hi-IN"/>
        </w:rPr>
        <w:t xml:space="preserve"> </w:t>
      </w:r>
      <w:r w:rsidR="00657219">
        <w:rPr>
          <w:rFonts w:ascii="Arial" w:hAnsi="Arial" w:cs="Mangal"/>
          <w:kern w:val="1"/>
          <w:lang w:val="ro-RO" w:eastAsia="hi-IN" w:bidi="hi-IN"/>
        </w:rPr>
        <w:t xml:space="preserve">3,21% taxiul. </w:t>
      </w:r>
      <w:r w:rsidRPr="00D6124B">
        <w:rPr>
          <w:rFonts w:ascii="Arial" w:hAnsi="Arial" w:cs="Mangal"/>
          <w:kern w:val="1"/>
          <w:lang w:val="ro-RO" w:eastAsia="hi-IN" w:bidi="hi-IN"/>
        </w:rPr>
        <w:t xml:space="preserve">Pe baza datelor obţinute din chestionare, se poate aprecia că transportul nemotorizat pentru deplasarea în interes personal (pietonal+bicicletă) ocupă o pondere </w:t>
      </w:r>
      <w:r w:rsidR="00657219">
        <w:rPr>
          <w:rFonts w:ascii="Arial" w:hAnsi="Arial" w:cs="Mangal"/>
          <w:kern w:val="1"/>
          <w:lang w:val="ro-RO" w:eastAsia="hi-IN" w:bidi="hi-IN"/>
        </w:rPr>
        <w:t xml:space="preserve">de doar 16%, deşi multe deplasări ar putea fi efectuate cu uşurinţă pietonal, date fiind distanţele relativ reduse din interiorul oraşului. De remarcat totuşi că multe deplasări se efectuează din afara localităţii, tocmai de aceea </w:t>
      </w:r>
      <w:r w:rsidR="001A40E3">
        <w:rPr>
          <w:rFonts w:ascii="Arial" w:hAnsi="Arial" w:cs="Mangal"/>
          <w:kern w:val="1"/>
          <w:lang w:val="ro-RO" w:eastAsia="hi-IN" w:bidi="hi-IN"/>
        </w:rPr>
        <w:t xml:space="preserve">transportul motirizat predomină (un procent de peste 80 dintre deplasările în interes personal se realizează motorizat). </w:t>
      </w:r>
    </w:p>
    <w:p w14:paraId="270941FB" w14:textId="77777777" w:rsidR="00D6124B" w:rsidRPr="00D6124B" w:rsidRDefault="00D6124B" w:rsidP="00D6124B">
      <w:pPr>
        <w:widowControl w:val="0"/>
        <w:suppressAutoHyphens/>
        <w:spacing w:after="0" w:line="276" w:lineRule="auto"/>
        <w:rPr>
          <w:rFonts w:ascii="Arial" w:hAnsi="Arial" w:cs="Mangal"/>
          <w:kern w:val="1"/>
          <w:lang w:val="ro-RO" w:eastAsia="hi-IN" w:bidi="hi-IN"/>
        </w:rPr>
      </w:pPr>
    </w:p>
    <w:p w14:paraId="29350B08" w14:textId="77777777" w:rsidR="00D6124B" w:rsidRPr="00D6124B" w:rsidRDefault="001A40E3" w:rsidP="00D6124B">
      <w:pPr>
        <w:widowControl w:val="0"/>
        <w:suppressAutoHyphens/>
        <w:spacing w:after="0" w:line="276" w:lineRule="auto"/>
        <w:jc w:val="center"/>
        <w:rPr>
          <w:rFonts w:ascii="Arial" w:hAnsi="Arial" w:cs="Mangal"/>
          <w:b/>
          <w:kern w:val="1"/>
          <w:lang w:val="ro-RO" w:eastAsia="hi-IN" w:bidi="hi-IN"/>
        </w:rPr>
      </w:pPr>
      <w:r>
        <w:rPr>
          <w:noProof/>
        </w:rPr>
        <w:lastRenderedPageBreak/>
        <w:drawing>
          <wp:inline distT="0" distB="0" distL="0" distR="0" wp14:anchorId="1D67E223" wp14:editId="355B133C">
            <wp:extent cx="4572000" cy="2743200"/>
            <wp:effectExtent l="0" t="0" r="0" b="0"/>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72F50B5E" w14:textId="77777777" w:rsidR="00D6124B" w:rsidRPr="00D6124B" w:rsidRDefault="00D6124B" w:rsidP="00D6124B">
      <w:pPr>
        <w:widowControl w:val="0"/>
        <w:suppressAutoHyphens/>
        <w:spacing w:after="0" w:line="276" w:lineRule="auto"/>
        <w:jc w:val="both"/>
        <w:rPr>
          <w:rFonts w:ascii="Arial" w:hAnsi="Arial" w:cs="Mangal"/>
          <w:b/>
          <w:kern w:val="1"/>
          <w:lang w:val="ro-RO" w:eastAsia="hi-IN" w:bidi="hi-IN"/>
        </w:rPr>
      </w:pPr>
    </w:p>
    <w:p w14:paraId="3DC210B5" w14:textId="0758B602" w:rsidR="00D6124B" w:rsidRPr="001A40E3" w:rsidRDefault="001A40E3" w:rsidP="001A40E3">
      <w:pPr>
        <w:pStyle w:val="Legend"/>
        <w:jc w:val="center"/>
        <w:rPr>
          <w:rFonts w:ascii="Arial" w:hAnsi="Arial" w:cs="Arial"/>
          <w:i w:val="0"/>
          <w:kern w:val="1"/>
          <w:sz w:val="22"/>
          <w:szCs w:val="22"/>
          <w:lang w:val="ro-RO" w:eastAsia="hi-IN" w:bidi="hi-IN"/>
        </w:rPr>
      </w:pPr>
      <w:bookmarkStart w:id="219" w:name="_Toc68361173"/>
      <w:bookmarkStart w:id="220" w:name="_Toc140744499"/>
      <w:r w:rsidRPr="001A40E3">
        <w:rPr>
          <w:rFonts w:ascii="Arial" w:hAnsi="Arial" w:cs="Arial"/>
          <w:sz w:val="22"/>
          <w:szCs w:val="22"/>
        </w:rPr>
        <w:t xml:space="preserve">Figura I.3. </w:t>
      </w:r>
      <w:r w:rsidRPr="001A40E3">
        <w:rPr>
          <w:rFonts w:ascii="Arial" w:hAnsi="Arial" w:cs="Arial"/>
          <w:sz w:val="22"/>
          <w:szCs w:val="22"/>
        </w:rPr>
        <w:fldChar w:fldCharType="begin"/>
      </w:r>
      <w:r w:rsidRPr="001A40E3">
        <w:rPr>
          <w:rFonts w:ascii="Arial" w:hAnsi="Arial" w:cs="Arial"/>
          <w:sz w:val="22"/>
          <w:szCs w:val="22"/>
        </w:rPr>
        <w:instrText xml:space="preserve"> SEQ Figura_I.3. \* ARABIC </w:instrText>
      </w:r>
      <w:r w:rsidRPr="001A40E3">
        <w:rPr>
          <w:rFonts w:ascii="Arial" w:hAnsi="Arial" w:cs="Arial"/>
          <w:sz w:val="22"/>
          <w:szCs w:val="22"/>
        </w:rPr>
        <w:fldChar w:fldCharType="separate"/>
      </w:r>
      <w:r w:rsidR="00BB181C">
        <w:rPr>
          <w:rFonts w:ascii="Arial" w:hAnsi="Arial" w:cs="Arial"/>
          <w:noProof/>
          <w:sz w:val="22"/>
          <w:szCs w:val="22"/>
        </w:rPr>
        <w:t>22</w:t>
      </w:r>
      <w:r w:rsidRPr="001A40E3">
        <w:rPr>
          <w:rFonts w:ascii="Arial" w:hAnsi="Arial" w:cs="Arial"/>
          <w:sz w:val="22"/>
          <w:szCs w:val="22"/>
        </w:rPr>
        <w:fldChar w:fldCharType="end"/>
      </w:r>
      <w:r w:rsidRPr="001A40E3">
        <w:rPr>
          <w:rFonts w:ascii="Arial" w:hAnsi="Arial" w:cs="Arial"/>
          <w:sz w:val="22"/>
          <w:szCs w:val="22"/>
        </w:rPr>
        <w:t xml:space="preserve"> </w:t>
      </w:r>
      <w:r w:rsidR="007F69D0" w:rsidRPr="001A40E3">
        <w:rPr>
          <w:rFonts w:ascii="Arial" w:hAnsi="Arial" w:cs="Arial"/>
          <w:sz w:val="22"/>
          <w:szCs w:val="22"/>
        </w:rPr>
        <w:t xml:space="preserve">- </w:t>
      </w:r>
      <w:r w:rsidR="00D6124B" w:rsidRPr="001A40E3">
        <w:rPr>
          <w:rFonts w:ascii="Arial" w:hAnsi="Arial" w:cs="Arial"/>
          <w:i w:val="0"/>
          <w:kern w:val="1"/>
          <w:sz w:val="22"/>
          <w:szCs w:val="22"/>
          <w:lang w:val="ro-RO" w:eastAsia="hi-IN" w:bidi="hi-IN"/>
        </w:rPr>
        <w:t>Moduri de transport utilizate în deplasarea în interes personal</w:t>
      </w:r>
      <w:bookmarkEnd w:id="219"/>
      <w:bookmarkEnd w:id="220"/>
    </w:p>
    <w:p w14:paraId="5907B776" w14:textId="77777777" w:rsidR="00D6124B" w:rsidRPr="00D6124B" w:rsidRDefault="00D6124B" w:rsidP="00D6124B">
      <w:pPr>
        <w:widowControl w:val="0"/>
        <w:tabs>
          <w:tab w:val="left" w:pos="586"/>
        </w:tabs>
        <w:suppressAutoHyphens/>
        <w:spacing w:after="0" w:line="276" w:lineRule="auto"/>
        <w:rPr>
          <w:rFonts w:ascii="Arial" w:hAnsi="Arial" w:cs="Mangal"/>
          <w:kern w:val="1"/>
          <w:lang w:val="ro-RO" w:eastAsia="hi-IN" w:bidi="hi-IN"/>
        </w:rPr>
      </w:pPr>
    </w:p>
    <w:p w14:paraId="1815FD31" w14:textId="77777777" w:rsidR="00D6124B" w:rsidRPr="00D6124B" w:rsidRDefault="00D6124B" w:rsidP="00D6124B">
      <w:pPr>
        <w:widowControl w:val="0"/>
        <w:suppressAutoHyphens/>
        <w:spacing w:after="0" w:line="276" w:lineRule="auto"/>
        <w:rPr>
          <w:rFonts w:ascii="Arial" w:hAnsi="Arial" w:cs="Mangal"/>
          <w:kern w:val="1"/>
          <w:lang w:val="ro-RO" w:eastAsia="hi-IN" w:bidi="hi-IN"/>
        </w:rPr>
      </w:pPr>
    </w:p>
    <w:p w14:paraId="1E9EF3AE" w14:textId="77777777" w:rsidR="00D6124B" w:rsidRPr="00D6124B" w:rsidRDefault="00D6124B" w:rsidP="00D6124B">
      <w:pPr>
        <w:widowControl w:val="0"/>
        <w:suppressAutoHyphens/>
        <w:spacing w:after="0" w:line="276" w:lineRule="auto"/>
        <w:jc w:val="both"/>
        <w:rPr>
          <w:rFonts w:ascii="Arial" w:hAnsi="Arial" w:cs="Mangal"/>
          <w:b/>
          <w:kern w:val="1"/>
          <w:lang w:val="ro-RO" w:eastAsia="hi-IN" w:bidi="hi-IN"/>
        </w:rPr>
      </w:pPr>
      <w:r w:rsidRPr="00D6124B">
        <w:rPr>
          <w:rFonts w:ascii="Arial" w:hAnsi="Arial" w:cs="Mangal"/>
          <w:b/>
          <w:kern w:val="1"/>
          <w:lang w:val="ro-RO" w:eastAsia="hi-IN" w:bidi="hi-IN"/>
        </w:rPr>
        <w:t>Deplasările pentru divertisment şi petrecerea timpului liber</w:t>
      </w:r>
    </w:p>
    <w:p w14:paraId="52F71A80" w14:textId="77777777" w:rsidR="001164BF" w:rsidRPr="00D6124B" w:rsidRDefault="00D6124B" w:rsidP="001164BF">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Cele mai frecvente zone de la nivelul </w:t>
      </w:r>
      <w:r w:rsidR="00FA2CF0">
        <w:rPr>
          <w:rFonts w:ascii="Arial" w:hAnsi="Arial" w:cs="Mangal"/>
          <w:kern w:val="1"/>
          <w:lang w:val="ro-RO" w:eastAsia="hi-IN" w:bidi="hi-IN"/>
        </w:rPr>
        <w:t>oraşului Horezu</w:t>
      </w:r>
      <w:r w:rsidRPr="00D6124B">
        <w:rPr>
          <w:rFonts w:ascii="Arial" w:hAnsi="Arial" w:cs="Mangal"/>
          <w:kern w:val="1"/>
          <w:lang w:val="ro-RO" w:eastAsia="hi-IN" w:bidi="hi-IN"/>
        </w:rPr>
        <w:t xml:space="preserve"> între care se efectuează acest tip de deplasare în rândul persoanelor chestionate sunt prezentate mai jos. Au fost selectate primele </w:t>
      </w:r>
      <w:r w:rsidR="00FA2CF0">
        <w:rPr>
          <w:rFonts w:ascii="Arial" w:hAnsi="Arial" w:cs="Mangal"/>
          <w:kern w:val="1"/>
          <w:lang w:val="ro-RO" w:eastAsia="hi-IN" w:bidi="hi-IN"/>
        </w:rPr>
        <w:t>9</w:t>
      </w:r>
      <w:r w:rsidRPr="00D6124B">
        <w:rPr>
          <w:rFonts w:ascii="Arial" w:hAnsi="Arial" w:cs="Mangal"/>
          <w:kern w:val="1"/>
          <w:lang w:val="ro-RO" w:eastAsia="hi-IN" w:bidi="hi-IN"/>
        </w:rPr>
        <w:t xml:space="preserve"> perechi de ”zonă origine &lt;&gt; zonă destinație” care au rezultat în urma prelucrării răspunsurilor la che</w:t>
      </w:r>
      <w:r w:rsidR="00FA2CF0">
        <w:rPr>
          <w:rFonts w:ascii="Arial" w:hAnsi="Arial" w:cs="Mangal"/>
          <w:kern w:val="1"/>
          <w:lang w:val="ro-RO" w:eastAsia="hi-IN" w:bidi="hi-IN"/>
        </w:rPr>
        <w:t>s</w:t>
      </w:r>
      <w:r w:rsidRPr="00D6124B">
        <w:rPr>
          <w:rFonts w:ascii="Arial" w:hAnsi="Arial" w:cs="Mangal"/>
          <w:kern w:val="1"/>
          <w:lang w:val="ro-RO" w:eastAsia="hi-IN" w:bidi="hi-IN"/>
        </w:rPr>
        <w:t xml:space="preserve">tionare. </w:t>
      </w:r>
      <w:r w:rsidR="001164BF">
        <w:rPr>
          <w:rFonts w:ascii="Arial" w:hAnsi="Arial" w:cs="Mangal"/>
          <w:kern w:val="1"/>
          <w:lang w:val="ro-RO" w:eastAsia="hi-IN" w:bidi="hi-IN"/>
        </w:rPr>
        <w:t xml:space="preserve">Un procent de 20% dintre respondenţi nu au furnizat informaţii asupra zonelor de origine şi destinaţie pentru deplasările desfăşurate în interes personal. </w:t>
      </w:r>
      <w:r w:rsidR="001164BF" w:rsidRPr="00EB4D34">
        <w:rPr>
          <w:rFonts w:ascii="Arial" w:hAnsi="Arial" w:cs="Mangal"/>
          <w:kern w:val="1"/>
          <w:lang w:val="ro-RO" w:eastAsia="hi-IN" w:bidi="hi-IN"/>
        </w:rPr>
        <w:t xml:space="preserve">Codificarea zonelor de la nivelul oraşului Horezu este prezentată în cadrul </w:t>
      </w:r>
      <w:r w:rsidR="001164BF" w:rsidRPr="002B20CD">
        <w:rPr>
          <w:rFonts w:ascii="Arial" w:hAnsi="Arial" w:cs="Mangal"/>
          <w:kern w:val="1"/>
          <w:lang w:val="ro-RO" w:eastAsia="hi-IN" w:bidi="hi-IN"/>
        </w:rPr>
        <w:t xml:space="preserve">Anexei nr. </w:t>
      </w:r>
      <w:r w:rsidR="002B20CD" w:rsidRPr="002B20CD">
        <w:rPr>
          <w:rFonts w:ascii="Arial" w:hAnsi="Arial" w:cs="Mangal"/>
          <w:kern w:val="1"/>
          <w:lang w:val="ro-RO" w:eastAsia="hi-IN" w:bidi="hi-IN"/>
        </w:rPr>
        <w:t>3</w:t>
      </w:r>
      <w:r w:rsidR="001164BF" w:rsidRPr="002B20CD">
        <w:rPr>
          <w:rFonts w:ascii="Arial" w:hAnsi="Arial" w:cs="Mangal"/>
          <w:kern w:val="1"/>
          <w:lang w:val="ro-RO" w:eastAsia="hi-IN" w:bidi="hi-IN"/>
        </w:rPr>
        <w:t xml:space="preserve"> „Coduri zone”.</w:t>
      </w:r>
    </w:p>
    <w:p w14:paraId="6CC0747E"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tbl>
      <w:tblPr>
        <w:tblW w:w="4430" w:type="dxa"/>
        <w:jc w:val="center"/>
        <w:tblBorders>
          <w:insideH w:val="single" w:sz="4" w:space="0" w:color="auto"/>
          <w:insideV w:val="single" w:sz="4" w:space="0" w:color="auto"/>
        </w:tblBorders>
        <w:tblLook w:val="04A0" w:firstRow="1" w:lastRow="0" w:firstColumn="1" w:lastColumn="0" w:noHBand="0" w:noVBand="1"/>
      </w:tblPr>
      <w:tblGrid>
        <w:gridCol w:w="1176"/>
        <w:gridCol w:w="3254"/>
      </w:tblGrid>
      <w:tr w:rsidR="00D6124B" w:rsidRPr="00D6124B" w14:paraId="3DF8277C" w14:textId="77777777" w:rsidTr="00D6124B">
        <w:trPr>
          <w:trHeight w:val="300"/>
          <w:jc w:val="center"/>
        </w:trPr>
        <w:tc>
          <w:tcPr>
            <w:tcW w:w="1176" w:type="dxa"/>
            <w:shd w:val="clear" w:color="auto" w:fill="DAEEF3"/>
            <w:noWrap/>
            <w:vAlign w:val="bottom"/>
          </w:tcPr>
          <w:p w14:paraId="2E41F75E" w14:textId="77777777" w:rsidR="00D6124B" w:rsidRPr="00D6124B" w:rsidRDefault="00D6124B" w:rsidP="00D6124B">
            <w:pPr>
              <w:spacing w:after="0" w:line="240" w:lineRule="auto"/>
              <w:jc w:val="right"/>
              <w:rPr>
                <w:rFonts w:ascii="Calibri" w:eastAsia="Times New Roman" w:hAnsi="Calibri" w:cs="Calibri"/>
                <w:b/>
                <w:bCs/>
                <w:color w:val="000000"/>
              </w:rPr>
            </w:pPr>
            <w:r w:rsidRPr="00D6124B">
              <w:rPr>
                <w:rFonts w:ascii="Calibri" w:eastAsia="Times New Roman" w:hAnsi="Calibri" w:cs="Calibri"/>
                <w:b/>
                <w:bCs/>
                <w:color w:val="000000"/>
              </w:rPr>
              <w:t xml:space="preserve">Clasament </w:t>
            </w:r>
          </w:p>
        </w:tc>
        <w:tc>
          <w:tcPr>
            <w:tcW w:w="3254" w:type="dxa"/>
            <w:shd w:val="clear" w:color="auto" w:fill="DAEEF3"/>
            <w:noWrap/>
            <w:vAlign w:val="bottom"/>
          </w:tcPr>
          <w:p w14:paraId="33BB92B6" w14:textId="77777777" w:rsidR="00D6124B" w:rsidRPr="00D6124B" w:rsidRDefault="00D6124B" w:rsidP="00D6124B">
            <w:pPr>
              <w:spacing w:after="0" w:line="240" w:lineRule="auto"/>
              <w:rPr>
                <w:rFonts w:ascii="Calibri" w:eastAsia="Times New Roman" w:hAnsi="Calibri" w:cs="Calibri"/>
                <w:b/>
                <w:bCs/>
                <w:color w:val="000000"/>
                <w:lang w:val="ro-RO"/>
              </w:rPr>
            </w:pPr>
            <w:r w:rsidRPr="00D6124B">
              <w:rPr>
                <w:rFonts w:ascii="Calibri" w:eastAsia="Times New Roman" w:hAnsi="Calibri" w:cs="Calibri"/>
                <w:b/>
                <w:bCs/>
                <w:color w:val="000000"/>
              </w:rPr>
              <w:t>Zon</w:t>
            </w:r>
            <w:r w:rsidRPr="00D6124B">
              <w:rPr>
                <w:rFonts w:ascii="Calibri" w:eastAsia="Times New Roman" w:hAnsi="Calibri" w:cs="Calibri"/>
                <w:b/>
                <w:bCs/>
                <w:color w:val="000000"/>
                <w:lang w:val="ro-RO"/>
              </w:rPr>
              <w:t xml:space="preserve">ă origine </w:t>
            </w:r>
            <w:r w:rsidRPr="00D6124B">
              <w:rPr>
                <w:rFonts w:ascii="Calibri" w:eastAsia="Times New Roman" w:hAnsi="Calibri" w:cs="Calibri"/>
                <w:b/>
                <w:bCs/>
                <w:color w:val="000000"/>
              </w:rPr>
              <w:t>&lt;&gt; zon</w:t>
            </w:r>
            <w:r w:rsidRPr="00D6124B">
              <w:rPr>
                <w:rFonts w:ascii="Calibri" w:eastAsia="Times New Roman" w:hAnsi="Calibri" w:cs="Calibri"/>
                <w:b/>
                <w:bCs/>
                <w:color w:val="000000"/>
                <w:lang w:val="ro-RO"/>
              </w:rPr>
              <w:t>ă destinație</w:t>
            </w:r>
          </w:p>
        </w:tc>
      </w:tr>
      <w:tr w:rsidR="00D6124B" w:rsidRPr="00D6124B" w14:paraId="10E61EB2" w14:textId="77777777" w:rsidTr="00D6124B">
        <w:trPr>
          <w:trHeight w:val="300"/>
          <w:jc w:val="center"/>
        </w:trPr>
        <w:tc>
          <w:tcPr>
            <w:tcW w:w="1176" w:type="dxa"/>
            <w:shd w:val="clear" w:color="auto" w:fill="auto"/>
            <w:noWrap/>
            <w:vAlign w:val="bottom"/>
            <w:hideMark/>
          </w:tcPr>
          <w:p w14:paraId="740F91F1"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1</w:t>
            </w:r>
          </w:p>
        </w:tc>
        <w:tc>
          <w:tcPr>
            <w:tcW w:w="3254" w:type="dxa"/>
            <w:shd w:val="clear" w:color="auto" w:fill="auto"/>
            <w:noWrap/>
            <w:vAlign w:val="bottom"/>
            <w:hideMark/>
          </w:tcPr>
          <w:p w14:paraId="145EB8D9" w14:textId="77777777" w:rsidR="00D6124B" w:rsidRPr="00D6124B" w:rsidRDefault="007C0D58" w:rsidP="007C0D58">
            <w:pPr>
              <w:spacing w:after="0" w:line="240" w:lineRule="auto"/>
              <w:jc w:val="center"/>
              <w:rPr>
                <w:rFonts w:ascii="Calibri" w:eastAsia="Times New Roman" w:hAnsi="Calibri" w:cs="Calibri"/>
                <w:color w:val="000000"/>
              </w:rPr>
            </w:pPr>
            <w:r>
              <w:rPr>
                <w:rFonts w:ascii="Calibri" w:eastAsia="Times New Roman" w:hAnsi="Calibri" w:cs="Calibri"/>
                <w:color w:val="000000"/>
              </w:rPr>
              <w:t>5</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05C26C14" w14:textId="77777777" w:rsidTr="00D6124B">
        <w:trPr>
          <w:trHeight w:val="300"/>
          <w:jc w:val="center"/>
        </w:trPr>
        <w:tc>
          <w:tcPr>
            <w:tcW w:w="1176" w:type="dxa"/>
            <w:shd w:val="clear" w:color="auto" w:fill="auto"/>
            <w:noWrap/>
            <w:vAlign w:val="bottom"/>
            <w:hideMark/>
          </w:tcPr>
          <w:p w14:paraId="67345F8A"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2</w:t>
            </w:r>
          </w:p>
        </w:tc>
        <w:tc>
          <w:tcPr>
            <w:tcW w:w="3254" w:type="dxa"/>
            <w:shd w:val="clear" w:color="auto" w:fill="auto"/>
            <w:noWrap/>
            <w:vAlign w:val="bottom"/>
            <w:hideMark/>
          </w:tcPr>
          <w:p w14:paraId="5F4218E8" w14:textId="77777777" w:rsidR="00D6124B" w:rsidRPr="00D6124B" w:rsidRDefault="00D6124B" w:rsidP="007C0D58">
            <w:pPr>
              <w:spacing w:after="0" w:line="240" w:lineRule="auto"/>
              <w:jc w:val="center"/>
              <w:rPr>
                <w:rFonts w:ascii="Calibri" w:eastAsia="Times New Roman" w:hAnsi="Calibri" w:cs="Calibri"/>
                <w:color w:val="000000"/>
              </w:rPr>
            </w:pPr>
            <w:r w:rsidRPr="00D6124B">
              <w:rPr>
                <w:rFonts w:ascii="Calibri" w:eastAsia="Times New Roman" w:hAnsi="Calibri" w:cs="Calibri"/>
                <w:color w:val="000000"/>
              </w:rPr>
              <w:t>5&lt;&gt;</w:t>
            </w:r>
            <w:r w:rsidR="007C0D58">
              <w:rPr>
                <w:rFonts w:ascii="Calibri" w:eastAsia="Times New Roman" w:hAnsi="Calibri" w:cs="Calibri"/>
                <w:color w:val="000000"/>
              </w:rPr>
              <w:t>5</w:t>
            </w:r>
          </w:p>
        </w:tc>
      </w:tr>
      <w:tr w:rsidR="00D6124B" w:rsidRPr="00D6124B" w14:paraId="7C25ED9D" w14:textId="77777777" w:rsidTr="00D6124B">
        <w:trPr>
          <w:trHeight w:val="300"/>
          <w:jc w:val="center"/>
        </w:trPr>
        <w:tc>
          <w:tcPr>
            <w:tcW w:w="1176" w:type="dxa"/>
            <w:shd w:val="clear" w:color="auto" w:fill="auto"/>
            <w:noWrap/>
            <w:vAlign w:val="bottom"/>
            <w:hideMark/>
          </w:tcPr>
          <w:p w14:paraId="0EB8EF0B"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3</w:t>
            </w:r>
          </w:p>
        </w:tc>
        <w:tc>
          <w:tcPr>
            <w:tcW w:w="3254" w:type="dxa"/>
            <w:shd w:val="clear" w:color="auto" w:fill="auto"/>
            <w:noWrap/>
            <w:vAlign w:val="bottom"/>
            <w:hideMark/>
          </w:tcPr>
          <w:p w14:paraId="67B7402D" w14:textId="77777777" w:rsidR="00D6124B" w:rsidRPr="00D6124B" w:rsidRDefault="007C0D58" w:rsidP="007C0D58">
            <w:pPr>
              <w:spacing w:after="0" w:line="240" w:lineRule="auto"/>
              <w:jc w:val="center"/>
              <w:rPr>
                <w:rFonts w:ascii="Calibri" w:eastAsia="Times New Roman" w:hAnsi="Calibri" w:cs="Calibri"/>
                <w:color w:val="000000"/>
              </w:rPr>
            </w:pPr>
            <w:r>
              <w:rPr>
                <w:rFonts w:ascii="Calibri" w:eastAsia="Times New Roman" w:hAnsi="Calibri" w:cs="Calibri"/>
                <w:color w:val="000000"/>
              </w:rPr>
              <w:t>9</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72A18E87" w14:textId="77777777" w:rsidTr="00D6124B">
        <w:trPr>
          <w:trHeight w:val="300"/>
          <w:jc w:val="center"/>
        </w:trPr>
        <w:tc>
          <w:tcPr>
            <w:tcW w:w="1176" w:type="dxa"/>
            <w:shd w:val="clear" w:color="auto" w:fill="auto"/>
            <w:noWrap/>
            <w:vAlign w:val="bottom"/>
            <w:hideMark/>
          </w:tcPr>
          <w:p w14:paraId="5619961F"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4</w:t>
            </w:r>
          </w:p>
        </w:tc>
        <w:tc>
          <w:tcPr>
            <w:tcW w:w="3254" w:type="dxa"/>
            <w:shd w:val="clear" w:color="auto" w:fill="auto"/>
            <w:noWrap/>
            <w:vAlign w:val="bottom"/>
            <w:hideMark/>
          </w:tcPr>
          <w:p w14:paraId="2EA1074B" w14:textId="77777777" w:rsidR="00D6124B" w:rsidRPr="00D6124B" w:rsidRDefault="007C0D58" w:rsidP="007C0D58">
            <w:pPr>
              <w:spacing w:after="0" w:line="240" w:lineRule="auto"/>
              <w:jc w:val="center"/>
              <w:rPr>
                <w:rFonts w:ascii="Calibri" w:eastAsia="Times New Roman" w:hAnsi="Calibri" w:cs="Calibri"/>
                <w:color w:val="000000"/>
              </w:rPr>
            </w:pPr>
            <w:r>
              <w:rPr>
                <w:rFonts w:ascii="Calibri" w:eastAsia="Times New Roman" w:hAnsi="Calibri" w:cs="Calibri"/>
                <w:color w:val="000000"/>
              </w:rPr>
              <w:t>10</w:t>
            </w:r>
            <w:r w:rsidR="00D6124B" w:rsidRPr="00D6124B">
              <w:rPr>
                <w:rFonts w:ascii="Calibri" w:eastAsia="Times New Roman" w:hAnsi="Calibri" w:cs="Calibri"/>
                <w:color w:val="000000"/>
              </w:rPr>
              <w:t>&lt;&gt;3</w:t>
            </w:r>
          </w:p>
        </w:tc>
      </w:tr>
      <w:tr w:rsidR="00D6124B" w:rsidRPr="00D6124B" w14:paraId="1D4DB0FB" w14:textId="77777777" w:rsidTr="00D6124B">
        <w:trPr>
          <w:trHeight w:val="300"/>
          <w:jc w:val="center"/>
        </w:trPr>
        <w:tc>
          <w:tcPr>
            <w:tcW w:w="1176" w:type="dxa"/>
            <w:shd w:val="clear" w:color="auto" w:fill="auto"/>
            <w:noWrap/>
            <w:vAlign w:val="bottom"/>
            <w:hideMark/>
          </w:tcPr>
          <w:p w14:paraId="3AE5B96B"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5</w:t>
            </w:r>
          </w:p>
        </w:tc>
        <w:tc>
          <w:tcPr>
            <w:tcW w:w="3254" w:type="dxa"/>
            <w:shd w:val="clear" w:color="auto" w:fill="auto"/>
            <w:noWrap/>
            <w:vAlign w:val="bottom"/>
            <w:hideMark/>
          </w:tcPr>
          <w:p w14:paraId="1A0718C3" w14:textId="77777777" w:rsidR="00D6124B" w:rsidRPr="00D6124B" w:rsidRDefault="00FA2CF0" w:rsidP="00FA2CF0">
            <w:pPr>
              <w:spacing w:after="0" w:line="240" w:lineRule="auto"/>
              <w:jc w:val="center"/>
              <w:rPr>
                <w:rFonts w:ascii="Calibri" w:eastAsia="Times New Roman" w:hAnsi="Calibri" w:cs="Calibri"/>
                <w:color w:val="000000"/>
              </w:rPr>
            </w:pPr>
            <w:r>
              <w:rPr>
                <w:rFonts w:ascii="Calibri" w:eastAsia="Times New Roman" w:hAnsi="Calibri" w:cs="Calibri"/>
                <w:color w:val="000000"/>
              </w:rPr>
              <w:t>9</w:t>
            </w:r>
            <w:r w:rsidR="00D6124B" w:rsidRPr="00D6124B">
              <w:rPr>
                <w:rFonts w:ascii="Calibri" w:eastAsia="Times New Roman" w:hAnsi="Calibri" w:cs="Calibri"/>
                <w:color w:val="000000"/>
              </w:rPr>
              <w:t>&lt;&gt;</w:t>
            </w:r>
            <w:r>
              <w:rPr>
                <w:rFonts w:ascii="Calibri" w:eastAsia="Times New Roman" w:hAnsi="Calibri" w:cs="Calibri"/>
                <w:color w:val="000000"/>
              </w:rPr>
              <w:t>1</w:t>
            </w:r>
          </w:p>
        </w:tc>
      </w:tr>
      <w:tr w:rsidR="00D6124B" w:rsidRPr="00D6124B" w14:paraId="7934AB72" w14:textId="77777777" w:rsidTr="00D6124B">
        <w:trPr>
          <w:trHeight w:val="300"/>
          <w:jc w:val="center"/>
        </w:trPr>
        <w:tc>
          <w:tcPr>
            <w:tcW w:w="1176" w:type="dxa"/>
            <w:shd w:val="clear" w:color="auto" w:fill="auto"/>
            <w:noWrap/>
            <w:vAlign w:val="bottom"/>
            <w:hideMark/>
          </w:tcPr>
          <w:p w14:paraId="488B533E"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6</w:t>
            </w:r>
          </w:p>
        </w:tc>
        <w:tc>
          <w:tcPr>
            <w:tcW w:w="3254" w:type="dxa"/>
            <w:shd w:val="clear" w:color="auto" w:fill="auto"/>
            <w:noWrap/>
            <w:vAlign w:val="bottom"/>
            <w:hideMark/>
          </w:tcPr>
          <w:p w14:paraId="240544FF" w14:textId="77777777" w:rsidR="00D6124B" w:rsidRPr="00D6124B" w:rsidRDefault="00FA2CF0" w:rsidP="00FA2CF0">
            <w:pPr>
              <w:spacing w:after="0" w:line="240" w:lineRule="auto"/>
              <w:jc w:val="center"/>
              <w:rPr>
                <w:rFonts w:ascii="Calibri" w:eastAsia="Times New Roman" w:hAnsi="Calibri" w:cs="Calibri"/>
                <w:color w:val="000000"/>
              </w:rPr>
            </w:pPr>
            <w:r>
              <w:rPr>
                <w:rFonts w:ascii="Calibri" w:eastAsia="Times New Roman" w:hAnsi="Calibri" w:cs="Calibri"/>
                <w:color w:val="000000"/>
              </w:rPr>
              <w:t>3</w:t>
            </w:r>
            <w:r w:rsidR="00D6124B" w:rsidRPr="00D6124B">
              <w:rPr>
                <w:rFonts w:ascii="Calibri" w:eastAsia="Times New Roman" w:hAnsi="Calibri" w:cs="Calibri"/>
                <w:color w:val="000000"/>
              </w:rPr>
              <w:t>&lt;&gt;</w:t>
            </w:r>
            <w:r>
              <w:rPr>
                <w:rFonts w:ascii="Calibri" w:eastAsia="Times New Roman" w:hAnsi="Calibri" w:cs="Calibri"/>
                <w:color w:val="000000"/>
              </w:rPr>
              <w:t>3</w:t>
            </w:r>
          </w:p>
        </w:tc>
      </w:tr>
      <w:tr w:rsidR="00D6124B" w:rsidRPr="00D6124B" w14:paraId="48B1BE55" w14:textId="77777777" w:rsidTr="00D6124B">
        <w:trPr>
          <w:trHeight w:val="300"/>
          <w:jc w:val="center"/>
        </w:trPr>
        <w:tc>
          <w:tcPr>
            <w:tcW w:w="1176" w:type="dxa"/>
            <w:shd w:val="clear" w:color="auto" w:fill="auto"/>
            <w:noWrap/>
            <w:vAlign w:val="bottom"/>
            <w:hideMark/>
          </w:tcPr>
          <w:p w14:paraId="74A2392F"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7</w:t>
            </w:r>
          </w:p>
        </w:tc>
        <w:tc>
          <w:tcPr>
            <w:tcW w:w="3254" w:type="dxa"/>
            <w:shd w:val="clear" w:color="auto" w:fill="auto"/>
            <w:noWrap/>
            <w:vAlign w:val="bottom"/>
            <w:hideMark/>
          </w:tcPr>
          <w:p w14:paraId="0E78BB2F" w14:textId="77777777" w:rsidR="00D6124B" w:rsidRPr="00D6124B" w:rsidRDefault="00FA2CF0" w:rsidP="00FA2CF0">
            <w:pPr>
              <w:spacing w:after="0" w:line="240" w:lineRule="auto"/>
              <w:jc w:val="center"/>
              <w:rPr>
                <w:rFonts w:ascii="Calibri" w:eastAsia="Times New Roman" w:hAnsi="Calibri" w:cs="Calibri"/>
                <w:color w:val="000000"/>
              </w:rPr>
            </w:pPr>
            <w:r>
              <w:rPr>
                <w:rFonts w:ascii="Calibri" w:eastAsia="Times New Roman" w:hAnsi="Calibri" w:cs="Calibri"/>
                <w:color w:val="000000"/>
              </w:rPr>
              <w:t>9</w:t>
            </w:r>
            <w:r w:rsidR="00D6124B" w:rsidRPr="00D6124B">
              <w:rPr>
                <w:rFonts w:ascii="Calibri" w:eastAsia="Times New Roman" w:hAnsi="Calibri" w:cs="Calibri"/>
                <w:color w:val="000000"/>
              </w:rPr>
              <w:t>&lt;&gt;</w:t>
            </w:r>
            <w:r>
              <w:rPr>
                <w:rFonts w:ascii="Calibri" w:eastAsia="Times New Roman" w:hAnsi="Calibri" w:cs="Calibri"/>
                <w:color w:val="000000"/>
              </w:rPr>
              <w:t>5</w:t>
            </w:r>
          </w:p>
        </w:tc>
      </w:tr>
      <w:tr w:rsidR="00D6124B" w:rsidRPr="00D6124B" w14:paraId="1B38F4C7" w14:textId="77777777" w:rsidTr="00D6124B">
        <w:trPr>
          <w:trHeight w:val="300"/>
          <w:jc w:val="center"/>
        </w:trPr>
        <w:tc>
          <w:tcPr>
            <w:tcW w:w="1176" w:type="dxa"/>
            <w:shd w:val="clear" w:color="auto" w:fill="auto"/>
            <w:noWrap/>
            <w:vAlign w:val="bottom"/>
            <w:hideMark/>
          </w:tcPr>
          <w:p w14:paraId="65DFAEEC"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8</w:t>
            </w:r>
          </w:p>
        </w:tc>
        <w:tc>
          <w:tcPr>
            <w:tcW w:w="3254" w:type="dxa"/>
            <w:shd w:val="clear" w:color="auto" w:fill="auto"/>
            <w:noWrap/>
            <w:vAlign w:val="bottom"/>
            <w:hideMark/>
          </w:tcPr>
          <w:p w14:paraId="51469117" w14:textId="77777777" w:rsidR="00D6124B" w:rsidRPr="00D6124B" w:rsidRDefault="00FA2CF0" w:rsidP="00FA2CF0">
            <w:pPr>
              <w:spacing w:after="0" w:line="240" w:lineRule="auto"/>
              <w:jc w:val="center"/>
              <w:rPr>
                <w:rFonts w:ascii="Calibri" w:eastAsia="Times New Roman" w:hAnsi="Calibri" w:cs="Calibri"/>
                <w:color w:val="000000"/>
              </w:rPr>
            </w:pPr>
            <w:r>
              <w:rPr>
                <w:rFonts w:ascii="Calibri" w:eastAsia="Times New Roman" w:hAnsi="Calibri" w:cs="Calibri"/>
                <w:color w:val="000000"/>
              </w:rPr>
              <w:t>17</w:t>
            </w:r>
            <w:r w:rsidR="00D6124B" w:rsidRPr="00D6124B">
              <w:rPr>
                <w:rFonts w:ascii="Calibri" w:eastAsia="Times New Roman" w:hAnsi="Calibri" w:cs="Calibri"/>
                <w:color w:val="000000"/>
              </w:rPr>
              <w:t>&lt;&gt;3</w:t>
            </w:r>
          </w:p>
        </w:tc>
      </w:tr>
      <w:tr w:rsidR="00D6124B" w:rsidRPr="00D6124B" w14:paraId="5A98ADC3" w14:textId="77777777" w:rsidTr="00D6124B">
        <w:trPr>
          <w:trHeight w:val="300"/>
          <w:jc w:val="center"/>
        </w:trPr>
        <w:tc>
          <w:tcPr>
            <w:tcW w:w="1176" w:type="dxa"/>
            <w:shd w:val="clear" w:color="auto" w:fill="auto"/>
            <w:noWrap/>
            <w:vAlign w:val="bottom"/>
            <w:hideMark/>
          </w:tcPr>
          <w:p w14:paraId="73132C77" w14:textId="77777777" w:rsidR="00D6124B" w:rsidRPr="00D6124B" w:rsidRDefault="00D6124B" w:rsidP="00D6124B">
            <w:pPr>
              <w:spacing w:after="0" w:line="240" w:lineRule="auto"/>
              <w:jc w:val="right"/>
              <w:rPr>
                <w:rFonts w:ascii="Calibri" w:eastAsia="Times New Roman" w:hAnsi="Calibri" w:cs="Calibri"/>
                <w:color w:val="000000"/>
              </w:rPr>
            </w:pPr>
            <w:r w:rsidRPr="00D6124B">
              <w:rPr>
                <w:rFonts w:ascii="Calibri" w:eastAsia="Times New Roman" w:hAnsi="Calibri" w:cs="Calibri"/>
                <w:color w:val="000000"/>
              </w:rPr>
              <w:t>9</w:t>
            </w:r>
          </w:p>
        </w:tc>
        <w:tc>
          <w:tcPr>
            <w:tcW w:w="3254" w:type="dxa"/>
            <w:shd w:val="clear" w:color="auto" w:fill="auto"/>
            <w:noWrap/>
            <w:vAlign w:val="bottom"/>
            <w:hideMark/>
          </w:tcPr>
          <w:p w14:paraId="419DB795" w14:textId="77777777" w:rsidR="00D6124B" w:rsidRPr="00D6124B" w:rsidRDefault="00FA2CF0" w:rsidP="00FA2CF0">
            <w:pPr>
              <w:spacing w:after="0" w:line="240" w:lineRule="auto"/>
              <w:jc w:val="center"/>
              <w:rPr>
                <w:rFonts w:ascii="Calibri" w:eastAsia="Times New Roman" w:hAnsi="Calibri" w:cs="Calibri"/>
                <w:color w:val="000000"/>
              </w:rPr>
            </w:pPr>
            <w:r>
              <w:rPr>
                <w:rFonts w:ascii="Calibri" w:eastAsia="Times New Roman" w:hAnsi="Calibri" w:cs="Calibri"/>
                <w:color w:val="000000"/>
              </w:rPr>
              <w:t>3</w:t>
            </w:r>
            <w:r w:rsidR="00D6124B" w:rsidRPr="00D6124B">
              <w:rPr>
                <w:rFonts w:ascii="Calibri" w:eastAsia="Times New Roman" w:hAnsi="Calibri" w:cs="Calibri"/>
                <w:color w:val="000000"/>
              </w:rPr>
              <w:t>&lt;&gt;</w:t>
            </w:r>
            <w:r>
              <w:rPr>
                <w:rFonts w:ascii="Calibri" w:eastAsia="Times New Roman" w:hAnsi="Calibri" w:cs="Calibri"/>
                <w:color w:val="000000"/>
              </w:rPr>
              <w:t>5</w:t>
            </w:r>
          </w:p>
        </w:tc>
      </w:tr>
    </w:tbl>
    <w:p w14:paraId="2E4EFB7D"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p>
    <w:p w14:paraId="2712C899" w14:textId="77777777" w:rsidR="00D6124B" w:rsidRPr="00D6124B" w:rsidRDefault="00D6124B" w:rsidP="0044232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Duratele de deplasare pentru divertisment şi petrecerea timpului liber, pe raza localităţii (între cele mai frecvente puncte de origine şi destinaţie ale călătoriei), din informaţiile obţinute de la cei chestionaţi</w:t>
      </w:r>
      <w:r w:rsidRPr="002B20CD">
        <w:rPr>
          <w:rFonts w:ascii="Arial" w:hAnsi="Arial" w:cs="Mangal"/>
          <w:kern w:val="1"/>
          <w:lang w:val="ro-RO" w:eastAsia="hi-IN" w:bidi="hi-IN"/>
        </w:rPr>
        <w:t xml:space="preserve">, sunt cuprinse între 1 minut şi </w:t>
      </w:r>
      <w:r w:rsidR="0044232B" w:rsidRPr="002B20CD">
        <w:rPr>
          <w:rFonts w:ascii="Arial" w:hAnsi="Arial" w:cs="Mangal"/>
          <w:kern w:val="1"/>
          <w:lang w:val="ro-RO" w:eastAsia="hi-IN" w:bidi="hi-IN"/>
        </w:rPr>
        <w:t>6</w:t>
      </w:r>
      <w:r w:rsidRPr="002B20CD">
        <w:rPr>
          <w:rFonts w:ascii="Arial" w:hAnsi="Arial" w:cs="Mangal"/>
          <w:kern w:val="1"/>
          <w:lang w:val="ro-RO" w:eastAsia="hi-IN" w:bidi="hi-IN"/>
        </w:rPr>
        <w:t xml:space="preserve">0 de minute, cu o medie de </w:t>
      </w:r>
      <w:r w:rsidR="00321667" w:rsidRPr="002B20CD">
        <w:rPr>
          <w:rFonts w:ascii="Arial" w:hAnsi="Arial" w:cs="Mangal"/>
          <w:kern w:val="1"/>
          <w:lang w:val="ro-RO" w:eastAsia="hi-IN" w:bidi="hi-IN"/>
        </w:rPr>
        <w:t>26</w:t>
      </w:r>
      <w:r w:rsidRPr="002B20CD">
        <w:rPr>
          <w:rFonts w:ascii="Arial" w:hAnsi="Arial" w:cs="Mangal"/>
          <w:kern w:val="1"/>
          <w:lang w:val="ro-RO" w:eastAsia="hi-IN" w:bidi="hi-IN"/>
        </w:rPr>
        <w:t xml:space="preserve"> minute.</w:t>
      </w:r>
    </w:p>
    <w:p w14:paraId="16A6556C" w14:textId="77777777" w:rsidR="00D6124B" w:rsidRPr="00D6124B" w:rsidRDefault="00D6124B" w:rsidP="00D6124B">
      <w:pPr>
        <w:widowControl w:val="0"/>
        <w:tabs>
          <w:tab w:val="left" w:pos="2294"/>
        </w:tabs>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Frecvenţa deplasărilor pentru divertisment şi petrecerea timpului liber este cuprinsă între 1 şi </w:t>
      </w:r>
      <w:r w:rsidR="0044232B">
        <w:rPr>
          <w:rFonts w:ascii="Arial" w:hAnsi="Arial" w:cs="Mangal"/>
          <w:kern w:val="1"/>
          <w:lang w:val="ro-RO" w:eastAsia="hi-IN" w:bidi="hi-IN"/>
        </w:rPr>
        <w:t>8</w:t>
      </w:r>
      <w:r w:rsidRPr="00D6124B">
        <w:rPr>
          <w:rFonts w:ascii="Arial" w:hAnsi="Arial" w:cs="Mangal"/>
          <w:kern w:val="1"/>
          <w:lang w:val="ro-RO" w:eastAsia="hi-IN" w:bidi="hi-IN"/>
        </w:rPr>
        <w:t xml:space="preserve"> ori pe săptămână pentru cei chestionaţi. Majoritatea celor chestionaţi (7</w:t>
      </w:r>
      <w:r w:rsidR="00B079FA">
        <w:rPr>
          <w:rFonts w:ascii="Arial" w:hAnsi="Arial" w:cs="Mangal"/>
          <w:kern w:val="1"/>
          <w:lang w:val="ro-RO" w:eastAsia="hi-IN" w:bidi="hi-IN"/>
        </w:rPr>
        <w:t>1</w:t>
      </w:r>
      <w:r w:rsidRPr="00D6124B">
        <w:rPr>
          <w:rFonts w:ascii="Arial" w:hAnsi="Arial" w:cs="Mangal"/>
          <w:kern w:val="1"/>
          <w:lang w:val="ro-RO" w:eastAsia="hi-IN" w:bidi="hi-IN"/>
        </w:rPr>
        <w:t xml:space="preserve">%) efectuează 1-2 deplasări pe săptămână pentru divertisment şi petrecere timpului liber. În ordinea alegerii: 1 deplasare pe săptămână – </w:t>
      </w:r>
      <w:r w:rsidR="00B079FA">
        <w:rPr>
          <w:rFonts w:ascii="Arial" w:hAnsi="Arial" w:cs="Mangal"/>
          <w:kern w:val="1"/>
          <w:lang w:val="ro-RO" w:eastAsia="hi-IN" w:bidi="hi-IN"/>
        </w:rPr>
        <w:t>48,51%, 2 deplasări pe săptămână – 22,77</w:t>
      </w:r>
      <w:r w:rsidRPr="00D6124B">
        <w:rPr>
          <w:rFonts w:ascii="Arial" w:hAnsi="Arial" w:cs="Mangal"/>
          <w:kern w:val="1"/>
          <w:lang w:val="ro-RO" w:eastAsia="hi-IN" w:bidi="hi-IN"/>
        </w:rPr>
        <w:t>%, 3 deplasări pe</w:t>
      </w:r>
      <w:r w:rsidR="00B079FA">
        <w:rPr>
          <w:rFonts w:ascii="Arial" w:hAnsi="Arial" w:cs="Mangal"/>
          <w:kern w:val="1"/>
          <w:lang w:val="ro-RO" w:eastAsia="hi-IN" w:bidi="hi-IN"/>
        </w:rPr>
        <w:t xml:space="preserve"> săptămână – 6,93</w:t>
      </w:r>
      <w:r w:rsidRPr="00D6124B">
        <w:rPr>
          <w:rFonts w:ascii="Arial" w:hAnsi="Arial" w:cs="Mangal"/>
          <w:kern w:val="1"/>
          <w:lang w:val="ro-RO" w:eastAsia="hi-IN" w:bidi="hi-IN"/>
        </w:rPr>
        <w:t>%</w:t>
      </w:r>
      <w:r w:rsidR="00B079FA">
        <w:rPr>
          <w:rFonts w:ascii="Arial" w:hAnsi="Arial" w:cs="Mangal"/>
          <w:kern w:val="1"/>
          <w:lang w:val="ro-RO" w:eastAsia="hi-IN" w:bidi="hi-IN"/>
        </w:rPr>
        <w:t>, 5 deplasări pe săptămână – 9,90</w:t>
      </w:r>
      <w:r w:rsidRPr="00D6124B">
        <w:rPr>
          <w:rFonts w:ascii="Arial" w:hAnsi="Arial" w:cs="Mangal"/>
          <w:kern w:val="1"/>
          <w:lang w:val="ro-RO" w:eastAsia="hi-IN" w:bidi="hi-IN"/>
        </w:rPr>
        <w:t>%,</w:t>
      </w:r>
      <w:r w:rsidR="00B079FA">
        <w:rPr>
          <w:rFonts w:ascii="Arial" w:hAnsi="Arial" w:cs="Mangal"/>
          <w:kern w:val="1"/>
          <w:lang w:val="ro-RO" w:eastAsia="hi-IN" w:bidi="hi-IN"/>
        </w:rPr>
        <w:t xml:space="preserve"> 4 deplasări pe săptămână – 8,91</w:t>
      </w:r>
      <w:r w:rsidRPr="00D6124B">
        <w:rPr>
          <w:rFonts w:ascii="Arial" w:hAnsi="Arial" w:cs="Mangal"/>
          <w:kern w:val="1"/>
          <w:lang w:val="ro-RO" w:eastAsia="hi-IN" w:bidi="hi-IN"/>
        </w:rPr>
        <w:t xml:space="preserve">%, </w:t>
      </w:r>
      <w:r w:rsidR="00B079FA">
        <w:rPr>
          <w:rFonts w:ascii="Arial" w:hAnsi="Arial" w:cs="Mangal"/>
          <w:kern w:val="1"/>
          <w:lang w:val="ro-RO" w:eastAsia="hi-IN" w:bidi="hi-IN"/>
        </w:rPr>
        <w:t xml:space="preserve">6 deplasări pe săptămână – </w:t>
      </w:r>
      <w:r w:rsidR="00B079FA">
        <w:rPr>
          <w:rFonts w:ascii="Arial" w:hAnsi="Arial" w:cs="Mangal"/>
          <w:kern w:val="1"/>
          <w:lang w:val="ro-RO" w:eastAsia="hi-IN" w:bidi="hi-IN"/>
        </w:rPr>
        <w:lastRenderedPageBreak/>
        <w:t>0,99</w:t>
      </w:r>
      <w:r w:rsidR="00B079FA" w:rsidRPr="00D6124B">
        <w:rPr>
          <w:rFonts w:ascii="Arial" w:hAnsi="Arial" w:cs="Mangal"/>
          <w:kern w:val="1"/>
          <w:lang w:val="ro-RO" w:eastAsia="hi-IN" w:bidi="hi-IN"/>
        </w:rPr>
        <w:t>%</w:t>
      </w:r>
      <w:r w:rsidR="00B079FA">
        <w:rPr>
          <w:rFonts w:ascii="Arial" w:hAnsi="Arial" w:cs="Mangal"/>
          <w:kern w:val="1"/>
          <w:lang w:val="ro-RO" w:eastAsia="hi-IN" w:bidi="hi-IN"/>
        </w:rPr>
        <w:t xml:space="preserve">, </w:t>
      </w:r>
      <w:r w:rsidRPr="00D6124B">
        <w:rPr>
          <w:rFonts w:ascii="Arial" w:hAnsi="Arial" w:cs="Mangal"/>
          <w:kern w:val="1"/>
          <w:lang w:val="ro-RO" w:eastAsia="hi-IN" w:bidi="hi-IN"/>
        </w:rPr>
        <w:t xml:space="preserve">7 deplasări pe săptămână – </w:t>
      </w:r>
      <w:r w:rsidR="00B079FA">
        <w:rPr>
          <w:rFonts w:ascii="Arial" w:hAnsi="Arial" w:cs="Mangal"/>
          <w:kern w:val="1"/>
          <w:lang w:val="ro-RO" w:eastAsia="hi-IN" w:bidi="hi-IN"/>
        </w:rPr>
        <w:t>0,99</w:t>
      </w:r>
      <w:r w:rsidRPr="00D6124B">
        <w:rPr>
          <w:rFonts w:ascii="Arial" w:hAnsi="Arial" w:cs="Mangal"/>
          <w:kern w:val="1"/>
          <w:lang w:val="ro-RO" w:eastAsia="hi-IN" w:bidi="hi-IN"/>
        </w:rPr>
        <w:t>%,</w:t>
      </w:r>
      <w:r w:rsidR="00B079FA">
        <w:rPr>
          <w:rFonts w:ascii="Arial" w:hAnsi="Arial" w:cs="Mangal"/>
          <w:kern w:val="1"/>
          <w:lang w:val="ro-RO" w:eastAsia="hi-IN" w:bidi="hi-IN"/>
        </w:rPr>
        <w:t xml:space="preserve"> 8 </w:t>
      </w:r>
      <w:r w:rsidR="00B079FA" w:rsidRPr="00B079FA">
        <w:rPr>
          <w:rFonts w:ascii="Arial" w:hAnsi="Arial" w:cs="Mangal"/>
          <w:kern w:val="1"/>
          <w:lang w:val="ro-RO" w:eastAsia="hi-IN" w:bidi="hi-IN"/>
        </w:rPr>
        <w:t>deplasări pe săptămână – 0,99%</w:t>
      </w:r>
    </w:p>
    <w:p w14:paraId="0627E0C9" w14:textId="77777777" w:rsidR="00D6124B" w:rsidRPr="00D6124B" w:rsidRDefault="00B079FA" w:rsidP="00D6124B">
      <w:pPr>
        <w:widowControl w:val="0"/>
        <w:tabs>
          <w:tab w:val="left" w:pos="2294"/>
        </w:tabs>
        <w:suppressAutoHyphens/>
        <w:spacing w:after="0" w:line="276" w:lineRule="auto"/>
        <w:jc w:val="center"/>
        <w:rPr>
          <w:rFonts w:ascii="Arial" w:hAnsi="Arial" w:cs="Mangal"/>
          <w:kern w:val="1"/>
          <w:lang w:val="ro-RO" w:eastAsia="hi-IN" w:bidi="hi-IN"/>
        </w:rPr>
      </w:pPr>
      <w:r>
        <w:rPr>
          <w:noProof/>
        </w:rPr>
        <w:drawing>
          <wp:inline distT="0" distB="0" distL="0" distR="0" wp14:anchorId="01FDB952" wp14:editId="7DBB2E11">
            <wp:extent cx="4572000" cy="2743200"/>
            <wp:effectExtent l="0" t="0" r="0" b="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42E73C9C" w14:textId="77777777" w:rsidR="00D6124B" w:rsidRPr="00D6124B" w:rsidRDefault="00D6124B" w:rsidP="00D6124B">
      <w:pPr>
        <w:widowControl w:val="0"/>
        <w:tabs>
          <w:tab w:val="left" w:pos="2294"/>
        </w:tabs>
        <w:suppressAutoHyphens/>
        <w:spacing w:after="0" w:line="276" w:lineRule="auto"/>
        <w:rPr>
          <w:rFonts w:ascii="Arial" w:hAnsi="Arial" w:cs="Mangal"/>
          <w:kern w:val="1"/>
          <w:lang w:val="ro-RO" w:eastAsia="hi-IN" w:bidi="hi-IN"/>
        </w:rPr>
      </w:pPr>
    </w:p>
    <w:p w14:paraId="3C0D125A" w14:textId="507BBE9A" w:rsidR="00D6124B" w:rsidRPr="00B079FA" w:rsidRDefault="00B079FA" w:rsidP="00B079FA">
      <w:pPr>
        <w:pStyle w:val="Legend"/>
        <w:jc w:val="center"/>
        <w:rPr>
          <w:rFonts w:ascii="Arial" w:hAnsi="Arial" w:cs="Arial"/>
          <w:i w:val="0"/>
          <w:kern w:val="1"/>
          <w:sz w:val="22"/>
          <w:szCs w:val="22"/>
          <w:lang w:val="ro-RO" w:eastAsia="hi-IN" w:bidi="hi-IN"/>
        </w:rPr>
      </w:pPr>
      <w:bookmarkStart w:id="221" w:name="_Toc68361174"/>
      <w:bookmarkStart w:id="222" w:name="_Toc140744500"/>
      <w:r w:rsidRPr="00B079FA">
        <w:rPr>
          <w:rFonts w:ascii="Arial" w:hAnsi="Arial" w:cs="Arial"/>
          <w:sz w:val="22"/>
          <w:szCs w:val="22"/>
        </w:rPr>
        <w:t xml:space="preserve">Figura I.3. </w:t>
      </w:r>
      <w:r w:rsidRPr="00B079FA">
        <w:rPr>
          <w:rFonts w:ascii="Arial" w:hAnsi="Arial" w:cs="Arial"/>
          <w:sz w:val="22"/>
          <w:szCs w:val="22"/>
        </w:rPr>
        <w:fldChar w:fldCharType="begin"/>
      </w:r>
      <w:r w:rsidRPr="00B079FA">
        <w:rPr>
          <w:rFonts w:ascii="Arial" w:hAnsi="Arial" w:cs="Arial"/>
          <w:sz w:val="22"/>
          <w:szCs w:val="22"/>
        </w:rPr>
        <w:instrText xml:space="preserve"> SEQ Figura_I.3. \* ARABIC </w:instrText>
      </w:r>
      <w:r w:rsidRPr="00B079FA">
        <w:rPr>
          <w:rFonts w:ascii="Arial" w:hAnsi="Arial" w:cs="Arial"/>
          <w:sz w:val="22"/>
          <w:szCs w:val="22"/>
        </w:rPr>
        <w:fldChar w:fldCharType="separate"/>
      </w:r>
      <w:r w:rsidR="00BB181C">
        <w:rPr>
          <w:rFonts w:ascii="Arial" w:hAnsi="Arial" w:cs="Arial"/>
          <w:noProof/>
          <w:sz w:val="22"/>
          <w:szCs w:val="22"/>
        </w:rPr>
        <w:t>23</w:t>
      </w:r>
      <w:r w:rsidRPr="00B079FA">
        <w:rPr>
          <w:rFonts w:ascii="Arial" w:hAnsi="Arial" w:cs="Arial"/>
          <w:sz w:val="22"/>
          <w:szCs w:val="22"/>
        </w:rPr>
        <w:fldChar w:fldCharType="end"/>
      </w:r>
      <w:r w:rsidRPr="00B079FA">
        <w:rPr>
          <w:rFonts w:ascii="Arial" w:hAnsi="Arial" w:cs="Arial"/>
          <w:sz w:val="22"/>
          <w:szCs w:val="22"/>
        </w:rPr>
        <w:t xml:space="preserve"> </w:t>
      </w:r>
      <w:r w:rsidR="007F69D0" w:rsidRPr="00B079FA">
        <w:rPr>
          <w:rFonts w:ascii="Arial" w:hAnsi="Arial" w:cs="Arial"/>
          <w:sz w:val="22"/>
          <w:szCs w:val="22"/>
        </w:rPr>
        <w:t xml:space="preserve">- </w:t>
      </w:r>
      <w:r w:rsidR="00D6124B" w:rsidRPr="00B079FA">
        <w:rPr>
          <w:rFonts w:ascii="Arial" w:hAnsi="Arial" w:cs="Arial"/>
          <w:i w:val="0"/>
          <w:kern w:val="1"/>
          <w:sz w:val="22"/>
          <w:szCs w:val="22"/>
          <w:lang w:val="ro-RO" w:eastAsia="hi-IN" w:bidi="hi-IN"/>
        </w:rPr>
        <w:t>Frecvenţa deplasărilor pentru divertisment/petrecerea timpului liber</w:t>
      </w:r>
      <w:bookmarkEnd w:id="221"/>
      <w:bookmarkEnd w:id="222"/>
    </w:p>
    <w:p w14:paraId="5C85CCD4" w14:textId="77777777" w:rsidR="00D6124B" w:rsidRPr="00D6124B" w:rsidRDefault="00D6124B" w:rsidP="00D6124B">
      <w:pPr>
        <w:widowControl w:val="0"/>
        <w:tabs>
          <w:tab w:val="left" w:pos="2294"/>
        </w:tabs>
        <w:suppressAutoHyphens/>
        <w:spacing w:after="0" w:line="276" w:lineRule="auto"/>
        <w:rPr>
          <w:rFonts w:ascii="Arial" w:hAnsi="Arial" w:cs="Mangal"/>
          <w:kern w:val="1"/>
          <w:lang w:val="ro-RO" w:eastAsia="hi-IN" w:bidi="hi-IN"/>
        </w:rPr>
      </w:pPr>
    </w:p>
    <w:p w14:paraId="140FBB75" w14:textId="77777777" w:rsidR="00D6124B" w:rsidRPr="00D6124B" w:rsidRDefault="00D6124B" w:rsidP="00D6124B">
      <w:pPr>
        <w:widowControl w:val="0"/>
        <w:tabs>
          <w:tab w:val="left" w:pos="1557"/>
        </w:tabs>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În ce priveşte modul de transport utilizat pentru deplasările pentru divertisment şi petrecerea timpului liber, cele mai multe deplasări se efectuează </w:t>
      </w:r>
      <w:r w:rsidR="00A406D6">
        <w:rPr>
          <w:rFonts w:ascii="Arial" w:hAnsi="Arial" w:cs="Mangal"/>
          <w:kern w:val="1"/>
          <w:lang w:val="ro-RO" w:eastAsia="hi-IN" w:bidi="hi-IN"/>
        </w:rPr>
        <w:t>cu autoturismul personal</w:t>
      </w:r>
      <w:r w:rsidRPr="00D6124B">
        <w:rPr>
          <w:rFonts w:ascii="Arial" w:hAnsi="Arial" w:cs="Mangal"/>
          <w:kern w:val="1"/>
          <w:lang w:val="ro-RO" w:eastAsia="hi-IN" w:bidi="hi-IN"/>
        </w:rPr>
        <w:t xml:space="preserve"> (</w:t>
      </w:r>
      <w:r w:rsidR="00A406D6">
        <w:rPr>
          <w:rFonts w:ascii="Arial" w:hAnsi="Arial" w:cs="Mangal"/>
          <w:kern w:val="1"/>
          <w:lang w:val="ro-RO" w:eastAsia="hi-IN" w:bidi="hi-IN"/>
        </w:rPr>
        <w:t xml:space="preserve">56,36%) şi multimodal, </w:t>
      </w:r>
      <w:r w:rsidR="00A406D6" w:rsidRPr="00A406D6">
        <w:rPr>
          <w:rFonts w:ascii="Arial" w:hAnsi="Arial" w:cs="Mangal"/>
          <w:kern w:val="1"/>
          <w:lang w:val="ro-RO" w:eastAsia="hi-IN" w:bidi="hi-IN"/>
        </w:rPr>
        <w:t xml:space="preserve">cu utilizarea a mai multor moduri de transport </w:t>
      </w:r>
      <w:r w:rsidRPr="00D6124B">
        <w:rPr>
          <w:rFonts w:ascii="Arial" w:hAnsi="Arial" w:cs="Mangal"/>
          <w:kern w:val="1"/>
          <w:lang w:val="ro-RO" w:eastAsia="hi-IN" w:bidi="hi-IN"/>
        </w:rPr>
        <w:t>(</w:t>
      </w:r>
      <w:r w:rsidR="00A406D6">
        <w:rPr>
          <w:rFonts w:ascii="Arial" w:hAnsi="Arial" w:cs="Mangal"/>
          <w:kern w:val="1"/>
          <w:lang w:val="ro-RO" w:eastAsia="hi-IN" w:bidi="hi-IN"/>
        </w:rPr>
        <w:t>17,27</w:t>
      </w:r>
      <w:r w:rsidRPr="00D6124B">
        <w:rPr>
          <w:rFonts w:ascii="Arial" w:hAnsi="Arial" w:cs="Mangal"/>
          <w:kern w:val="1"/>
          <w:lang w:val="ro-RO" w:eastAsia="hi-IN" w:bidi="hi-IN"/>
        </w:rPr>
        <w:t xml:space="preserve">%). În </w:t>
      </w:r>
      <w:r w:rsidR="00812516">
        <w:rPr>
          <w:rFonts w:ascii="Arial" w:hAnsi="Arial" w:cs="Mangal"/>
          <w:kern w:val="1"/>
          <w:lang w:val="ro-RO" w:eastAsia="hi-IN" w:bidi="hi-IN"/>
        </w:rPr>
        <w:t>10,91</w:t>
      </w:r>
      <w:r w:rsidRPr="00D6124B">
        <w:rPr>
          <w:rFonts w:ascii="Arial" w:hAnsi="Arial" w:cs="Mangal"/>
          <w:kern w:val="1"/>
          <w:lang w:val="ro-RO" w:eastAsia="hi-IN" w:bidi="hi-IN"/>
        </w:rPr>
        <w:t>% dintre cazuri</w:t>
      </w:r>
      <w:r w:rsidR="00570A5B">
        <w:rPr>
          <w:rFonts w:ascii="Arial" w:hAnsi="Arial" w:cs="Mangal"/>
          <w:kern w:val="1"/>
          <w:lang w:val="ro-RO" w:eastAsia="hi-IN" w:bidi="hi-IN"/>
        </w:rPr>
        <w:t>,</w:t>
      </w:r>
      <w:r w:rsidRPr="00D6124B">
        <w:rPr>
          <w:rFonts w:ascii="Arial" w:hAnsi="Arial" w:cs="Mangal"/>
          <w:kern w:val="1"/>
          <w:lang w:val="ro-RO" w:eastAsia="hi-IN" w:bidi="hi-IN"/>
        </w:rPr>
        <w:t xml:space="preserve"> </w:t>
      </w:r>
      <w:r w:rsidR="00570A5B">
        <w:rPr>
          <w:rFonts w:ascii="Arial" w:hAnsi="Arial" w:cs="Mangal"/>
          <w:kern w:val="1"/>
          <w:lang w:val="ro-RO" w:eastAsia="hi-IN" w:bidi="hi-IN"/>
        </w:rPr>
        <w:t xml:space="preserve">deplasările pentru divertisment şi petrecerea timpului liber </w:t>
      </w:r>
      <w:r w:rsidRPr="00D6124B">
        <w:rPr>
          <w:rFonts w:ascii="Arial" w:hAnsi="Arial" w:cs="Mangal"/>
          <w:kern w:val="1"/>
          <w:lang w:val="ro-RO" w:eastAsia="hi-IN" w:bidi="hi-IN"/>
        </w:rPr>
        <w:t xml:space="preserve">se efectuează </w:t>
      </w:r>
      <w:r w:rsidR="00A406D6">
        <w:rPr>
          <w:rFonts w:ascii="Arial" w:hAnsi="Arial" w:cs="Mangal"/>
          <w:kern w:val="1"/>
          <w:lang w:val="ro-RO" w:eastAsia="hi-IN" w:bidi="hi-IN"/>
        </w:rPr>
        <w:t>pietonal</w:t>
      </w:r>
      <w:r w:rsidRPr="00D6124B">
        <w:rPr>
          <w:rFonts w:ascii="Arial" w:hAnsi="Arial" w:cs="Mangal"/>
          <w:kern w:val="1"/>
          <w:lang w:val="ro-RO" w:eastAsia="hi-IN" w:bidi="hi-IN"/>
        </w:rPr>
        <w:t xml:space="preserve">. </w:t>
      </w:r>
      <w:r w:rsidRPr="00C52F1A">
        <w:rPr>
          <w:rFonts w:ascii="Arial" w:hAnsi="Arial" w:cs="Mangal"/>
          <w:kern w:val="1"/>
          <w:lang w:val="ro-RO" w:eastAsia="hi-IN" w:bidi="hi-IN"/>
        </w:rPr>
        <w:t>Vehiculele de transport în comun</w:t>
      </w:r>
      <w:r w:rsidR="00C52F1A" w:rsidRPr="00C52F1A">
        <w:rPr>
          <w:rFonts w:ascii="Arial" w:hAnsi="Arial" w:cs="Mangal"/>
          <w:kern w:val="1"/>
          <w:lang w:val="ro-RO" w:eastAsia="hi-IN" w:bidi="hi-IN"/>
        </w:rPr>
        <w:t xml:space="preserve"> - </w:t>
      </w:r>
      <w:r w:rsidRPr="00C52F1A">
        <w:rPr>
          <w:rFonts w:ascii="Arial" w:hAnsi="Arial" w:cs="Mangal"/>
          <w:kern w:val="1"/>
          <w:lang w:val="ro-RO" w:eastAsia="hi-IN" w:bidi="hi-IN"/>
        </w:rPr>
        <w:t xml:space="preserve">autobuzele </w:t>
      </w:r>
      <w:r w:rsidR="00C52F1A" w:rsidRPr="00C52F1A">
        <w:rPr>
          <w:rFonts w:ascii="Arial" w:hAnsi="Arial" w:cs="Mangal"/>
          <w:kern w:val="1"/>
          <w:lang w:val="ro-RO" w:eastAsia="hi-IN" w:bidi="hi-IN"/>
        </w:rPr>
        <w:t>sunt utilizate de către circa 8,18</w:t>
      </w:r>
      <w:r w:rsidRPr="00C52F1A">
        <w:rPr>
          <w:rFonts w:ascii="Arial" w:hAnsi="Arial" w:cs="Mangal"/>
          <w:kern w:val="1"/>
          <w:lang w:val="ro-RO" w:eastAsia="hi-IN" w:bidi="hi-IN"/>
        </w:rPr>
        <w:t xml:space="preserve">% dintre respondenţi pentru divertisment/petrecerea timpului liber. </w:t>
      </w:r>
      <w:r w:rsidR="00C52F1A" w:rsidRPr="00C52F1A">
        <w:rPr>
          <w:rFonts w:ascii="Arial" w:hAnsi="Arial" w:cs="Mangal"/>
          <w:kern w:val="1"/>
          <w:lang w:val="ro-RO" w:eastAsia="hi-IN" w:bidi="hi-IN"/>
        </w:rPr>
        <w:t>3,64</w:t>
      </w:r>
      <w:r w:rsidRPr="00C52F1A">
        <w:rPr>
          <w:rFonts w:ascii="Arial" w:hAnsi="Arial" w:cs="Mangal"/>
          <w:kern w:val="1"/>
          <w:lang w:val="ro-RO" w:eastAsia="hi-IN" w:bidi="hi-IN"/>
        </w:rPr>
        <w:t xml:space="preserve">% dintre respondenţi utilizează </w:t>
      </w:r>
      <w:r w:rsidR="00C52F1A" w:rsidRPr="00C52F1A">
        <w:rPr>
          <w:rFonts w:ascii="Arial" w:hAnsi="Arial" w:cs="Mangal"/>
          <w:kern w:val="1"/>
          <w:lang w:val="ro-RO" w:eastAsia="hi-IN" w:bidi="hi-IN"/>
        </w:rPr>
        <w:t>taxiul</w:t>
      </w:r>
      <w:r w:rsidRPr="00C52F1A">
        <w:rPr>
          <w:rFonts w:ascii="Arial" w:hAnsi="Arial" w:cs="Mangal"/>
          <w:kern w:val="1"/>
          <w:lang w:val="ro-RO" w:eastAsia="hi-IN" w:bidi="hi-IN"/>
        </w:rPr>
        <w:t xml:space="preserve"> pentru deplasările </w:t>
      </w:r>
      <w:r w:rsidR="00C52F1A" w:rsidRPr="00C52F1A">
        <w:rPr>
          <w:rFonts w:ascii="Arial" w:hAnsi="Arial" w:cs="Mangal"/>
          <w:kern w:val="1"/>
          <w:lang w:val="ro-RO" w:eastAsia="hi-IN" w:bidi="hi-IN"/>
        </w:rPr>
        <w:t>în interes de divertisment şi petrecerea tmpului liber</w:t>
      </w:r>
      <w:r w:rsidRPr="00C52F1A">
        <w:rPr>
          <w:rFonts w:ascii="Arial" w:hAnsi="Arial" w:cs="Mangal"/>
          <w:kern w:val="1"/>
          <w:lang w:val="ro-RO" w:eastAsia="hi-IN" w:bidi="hi-IN"/>
        </w:rPr>
        <w:t xml:space="preserve"> şi doar 2,</w:t>
      </w:r>
      <w:r w:rsidR="00C52F1A" w:rsidRPr="00C52F1A">
        <w:rPr>
          <w:rFonts w:ascii="Arial" w:hAnsi="Arial" w:cs="Mangal"/>
          <w:kern w:val="1"/>
          <w:lang w:val="ro-RO" w:eastAsia="hi-IN" w:bidi="hi-IN"/>
        </w:rPr>
        <w:t>73</w:t>
      </w:r>
      <w:r w:rsidRPr="00C52F1A">
        <w:rPr>
          <w:rFonts w:ascii="Arial" w:hAnsi="Arial" w:cs="Mangal"/>
          <w:kern w:val="1"/>
          <w:lang w:val="ro-RO" w:eastAsia="hi-IN" w:bidi="hi-IN"/>
        </w:rPr>
        <w:t xml:space="preserve">% </w:t>
      </w:r>
      <w:r w:rsidR="00C52F1A" w:rsidRPr="00C52F1A">
        <w:rPr>
          <w:rFonts w:ascii="Arial" w:hAnsi="Arial" w:cs="Mangal"/>
          <w:kern w:val="1"/>
          <w:lang w:val="ro-RO" w:eastAsia="hi-IN" w:bidi="hi-IN"/>
        </w:rPr>
        <w:t>bicicleta</w:t>
      </w:r>
      <w:r w:rsidRPr="00C52F1A">
        <w:rPr>
          <w:rFonts w:ascii="Arial" w:hAnsi="Arial" w:cs="Mangal"/>
          <w:kern w:val="1"/>
          <w:lang w:val="ro-RO" w:eastAsia="hi-IN" w:bidi="hi-IN"/>
        </w:rPr>
        <w:t xml:space="preserve">; din nou o situaţie asemănătoare ca şi în cazul celorlalte tipuri de deplasări efectuate de respondenţi cu taxiul. </w:t>
      </w:r>
      <w:r w:rsidR="00C52F1A" w:rsidRPr="00570A5B">
        <w:rPr>
          <w:rFonts w:ascii="Arial" w:hAnsi="Arial" w:cs="Mangal"/>
          <w:kern w:val="1"/>
          <w:lang w:val="ro-RO" w:eastAsia="hi-IN" w:bidi="hi-IN"/>
        </w:rPr>
        <w:t>T</w:t>
      </w:r>
      <w:r w:rsidRPr="00570A5B">
        <w:rPr>
          <w:rFonts w:ascii="Arial" w:hAnsi="Arial" w:cs="Mangal"/>
          <w:kern w:val="1"/>
          <w:lang w:val="ro-RO" w:eastAsia="hi-IN" w:bidi="hi-IN"/>
        </w:rPr>
        <w:t>ransportul motorizat pentru deplasarea pentru divertisment/petrecerea timpul</w:t>
      </w:r>
      <w:r w:rsidR="00570A5B" w:rsidRPr="00570A5B">
        <w:rPr>
          <w:rFonts w:ascii="Arial" w:hAnsi="Arial" w:cs="Mangal"/>
          <w:kern w:val="1"/>
          <w:lang w:val="ro-RO" w:eastAsia="hi-IN" w:bidi="hi-IN"/>
        </w:rPr>
        <w:t>ui liber</w:t>
      </w:r>
      <w:r w:rsidRPr="00570A5B">
        <w:rPr>
          <w:rFonts w:ascii="Arial" w:hAnsi="Arial" w:cs="Mangal"/>
          <w:kern w:val="1"/>
          <w:lang w:val="ro-RO" w:eastAsia="hi-IN" w:bidi="hi-IN"/>
        </w:rPr>
        <w:t xml:space="preserve"> ocupă o pondere majoritară </w:t>
      </w:r>
      <w:r w:rsidR="00570A5B" w:rsidRPr="00570A5B">
        <w:rPr>
          <w:rFonts w:ascii="Arial" w:hAnsi="Arial" w:cs="Mangal"/>
          <w:kern w:val="1"/>
          <w:lang w:val="ro-RO" w:eastAsia="hi-IN" w:bidi="hi-IN"/>
        </w:rPr>
        <w:t>în raport cu cel nemotorizat.</w:t>
      </w:r>
    </w:p>
    <w:p w14:paraId="3A973432" w14:textId="77777777" w:rsidR="00D6124B" w:rsidRPr="00D6124B" w:rsidRDefault="00D6124B" w:rsidP="00D6124B">
      <w:pPr>
        <w:widowControl w:val="0"/>
        <w:tabs>
          <w:tab w:val="left" w:pos="2294"/>
        </w:tabs>
        <w:suppressAutoHyphens/>
        <w:spacing w:after="0" w:line="276" w:lineRule="auto"/>
        <w:rPr>
          <w:rFonts w:ascii="Arial" w:hAnsi="Arial" w:cs="Mangal"/>
          <w:kern w:val="1"/>
          <w:lang w:val="ro-RO" w:eastAsia="hi-IN" w:bidi="hi-IN"/>
        </w:rPr>
      </w:pPr>
    </w:p>
    <w:p w14:paraId="55BA40F3" w14:textId="77777777" w:rsidR="00D6124B" w:rsidRPr="00D6124B" w:rsidRDefault="00B079FA" w:rsidP="007F69D0">
      <w:pPr>
        <w:widowControl w:val="0"/>
        <w:tabs>
          <w:tab w:val="left" w:pos="2294"/>
        </w:tabs>
        <w:suppressAutoHyphens/>
        <w:spacing w:after="0" w:line="276" w:lineRule="auto"/>
        <w:jc w:val="center"/>
        <w:rPr>
          <w:rFonts w:ascii="Arial" w:hAnsi="Arial" w:cs="Mangal"/>
          <w:kern w:val="1"/>
          <w:lang w:val="ro-RO" w:eastAsia="hi-IN" w:bidi="hi-IN"/>
        </w:rPr>
      </w:pPr>
      <w:r>
        <w:rPr>
          <w:noProof/>
        </w:rPr>
        <w:drawing>
          <wp:inline distT="0" distB="0" distL="0" distR="0" wp14:anchorId="10E3339F" wp14:editId="77402576">
            <wp:extent cx="4572000" cy="2743200"/>
            <wp:effectExtent l="0" t="0" r="0" b="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655A7B7F" w14:textId="20FEF775" w:rsidR="00D6124B" w:rsidRPr="00B079FA" w:rsidRDefault="00B079FA" w:rsidP="00B079FA">
      <w:pPr>
        <w:pStyle w:val="Legend"/>
        <w:jc w:val="center"/>
        <w:rPr>
          <w:rFonts w:ascii="Arial" w:hAnsi="Arial" w:cs="Arial"/>
          <w:i w:val="0"/>
          <w:kern w:val="1"/>
          <w:sz w:val="22"/>
          <w:szCs w:val="22"/>
          <w:lang w:val="ro-RO" w:eastAsia="hi-IN" w:bidi="hi-IN"/>
        </w:rPr>
      </w:pPr>
      <w:bookmarkStart w:id="223" w:name="_Toc68361175"/>
      <w:bookmarkStart w:id="224" w:name="_Toc140744501"/>
      <w:r w:rsidRPr="00B079FA">
        <w:rPr>
          <w:rFonts w:ascii="Arial" w:hAnsi="Arial" w:cs="Arial"/>
          <w:sz w:val="22"/>
          <w:szCs w:val="22"/>
        </w:rPr>
        <w:t xml:space="preserve">Figura I.3. </w:t>
      </w:r>
      <w:r w:rsidRPr="00B079FA">
        <w:rPr>
          <w:rFonts w:ascii="Arial" w:hAnsi="Arial" w:cs="Arial"/>
          <w:sz w:val="22"/>
          <w:szCs w:val="22"/>
        </w:rPr>
        <w:fldChar w:fldCharType="begin"/>
      </w:r>
      <w:r w:rsidRPr="00B079FA">
        <w:rPr>
          <w:rFonts w:ascii="Arial" w:hAnsi="Arial" w:cs="Arial"/>
          <w:sz w:val="22"/>
          <w:szCs w:val="22"/>
        </w:rPr>
        <w:instrText xml:space="preserve"> SEQ Figura_I.3. \* ARABIC </w:instrText>
      </w:r>
      <w:r w:rsidRPr="00B079FA">
        <w:rPr>
          <w:rFonts w:ascii="Arial" w:hAnsi="Arial" w:cs="Arial"/>
          <w:sz w:val="22"/>
          <w:szCs w:val="22"/>
        </w:rPr>
        <w:fldChar w:fldCharType="separate"/>
      </w:r>
      <w:r w:rsidR="00BB181C">
        <w:rPr>
          <w:rFonts w:ascii="Arial" w:hAnsi="Arial" w:cs="Arial"/>
          <w:noProof/>
          <w:sz w:val="22"/>
          <w:szCs w:val="22"/>
        </w:rPr>
        <w:t>24</w:t>
      </w:r>
      <w:r w:rsidRPr="00B079FA">
        <w:rPr>
          <w:rFonts w:ascii="Arial" w:hAnsi="Arial" w:cs="Arial"/>
          <w:sz w:val="22"/>
          <w:szCs w:val="22"/>
        </w:rPr>
        <w:fldChar w:fldCharType="end"/>
      </w:r>
      <w:r w:rsidR="00A406D6">
        <w:rPr>
          <w:rFonts w:ascii="Arial" w:hAnsi="Arial" w:cs="Arial"/>
          <w:sz w:val="22"/>
          <w:szCs w:val="22"/>
        </w:rPr>
        <w:t xml:space="preserve"> </w:t>
      </w:r>
      <w:r w:rsidR="007F69D0" w:rsidRPr="00B079FA">
        <w:rPr>
          <w:rFonts w:ascii="Arial" w:hAnsi="Arial" w:cs="Arial"/>
          <w:sz w:val="22"/>
          <w:szCs w:val="22"/>
        </w:rPr>
        <w:t xml:space="preserve">- </w:t>
      </w:r>
      <w:r w:rsidR="00D6124B" w:rsidRPr="00B079FA">
        <w:rPr>
          <w:rFonts w:ascii="Arial" w:hAnsi="Arial" w:cs="Arial"/>
          <w:i w:val="0"/>
          <w:kern w:val="1"/>
          <w:sz w:val="22"/>
          <w:szCs w:val="22"/>
          <w:lang w:val="ro-RO" w:eastAsia="hi-IN" w:bidi="hi-IN"/>
        </w:rPr>
        <w:t>Frecvenţa deplasărilor pentru divertisment / petrecerea timpului liber</w:t>
      </w:r>
      <w:bookmarkEnd w:id="223"/>
      <w:bookmarkEnd w:id="224"/>
    </w:p>
    <w:p w14:paraId="5B40B371" w14:textId="77777777" w:rsidR="00D6124B" w:rsidRPr="00D6124B" w:rsidRDefault="00D6124B" w:rsidP="00D6124B">
      <w:pPr>
        <w:widowControl w:val="0"/>
        <w:suppressAutoHyphens/>
        <w:spacing w:after="0" w:line="276" w:lineRule="auto"/>
        <w:rPr>
          <w:rFonts w:ascii="Arial" w:hAnsi="Arial" w:cs="Mangal"/>
          <w:b/>
          <w:kern w:val="1"/>
          <w:sz w:val="24"/>
          <w:szCs w:val="24"/>
          <w:lang w:val="ro-RO" w:eastAsia="hi-IN" w:bidi="hi-IN"/>
        </w:rPr>
      </w:pPr>
      <w:r w:rsidRPr="00D6124B">
        <w:rPr>
          <w:rFonts w:ascii="Arial" w:hAnsi="Arial" w:cs="Mangal"/>
          <w:b/>
          <w:kern w:val="1"/>
          <w:lang w:val="ro-RO" w:eastAsia="hi-IN" w:bidi="hi-IN"/>
        </w:rPr>
        <w:lastRenderedPageBreak/>
        <w:t>Utilizarea transportului public</w:t>
      </w:r>
    </w:p>
    <w:p w14:paraId="5C30DD00"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Cu privire la deschiderea pentru utilizarea transportului public pentru diferite categorii de deplasări, opţiunile persoanelor chestionate au indicat următoarea situaţie:</w:t>
      </w:r>
    </w:p>
    <w:p w14:paraId="599B38DE" w14:textId="77777777" w:rsidR="00D6124B" w:rsidRPr="00D6124B" w:rsidRDefault="009835BA" w:rsidP="006B613A">
      <w:pPr>
        <w:widowControl w:val="0"/>
        <w:numPr>
          <w:ilvl w:val="0"/>
          <w:numId w:val="54"/>
        </w:numPr>
        <w:suppressAutoHyphens/>
        <w:spacing w:after="0" w:line="276" w:lineRule="auto"/>
        <w:contextualSpacing/>
        <w:jc w:val="both"/>
        <w:rPr>
          <w:rFonts w:ascii="Arial" w:hAnsi="Arial" w:cs="Mangal"/>
          <w:kern w:val="1"/>
          <w:lang w:val="ro-RO" w:eastAsia="hi-IN" w:bidi="hi-IN"/>
        </w:rPr>
      </w:pPr>
      <w:r>
        <w:rPr>
          <w:rFonts w:ascii="Arial" w:hAnsi="Arial" w:cs="Mangal"/>
          <w:kern w:val="1"/>
          <w:lang w:val="ro-RO" w:eastAsia="hi-IN" w:bidi="hi-IN"/>
        </w:rPr>
        <w:t>60</w:t>
      </w:r>
      <w:r w:rsidR="00D6124B" w:rsidRPr="00D6124B">
        <w:rPr>
          <w:rFonts w:ascii="Arial" w:hAnsi="Arial" w:cs="Mangal"/>
          <w:kern w:val="1"/>
          <w:lang w:val="ro-RO" w:eastAsia="hi-IN" w:bidi="hi-IN"/>
        </w:rPr>
        <w:t>,</w:t>
      </w:r>
      <w:r>
        <w:rPr>
          <w:rFonts w:ascii="Arial" w:hAnsi="Arial" w:cs="Mangal"/>
          <w:kern w:val="1"/>
          <w:lang w:val="ro-RO" w:eastAsia="hi-IN" w:bidi="hi-IN"/>
        </w:rPr>
        <w:t>31</w:t>
      </w:r>
      <w:r w:rsidR="00D6124B" w:rsidRPr="00D6124B">
        <w:rPr>
          <w:rFonts w:ascii="Arial" w:hAnsi="Arial" w:cs="Mangal"/>
          <w:kern w:val="1"/>
          <w:lang w:val="ro-RO" w:eastAsia="hi-IN" w:bidi="hi-IN"/>
        </w:rPr>
        <w:t>% dintre respondenţi ar utiliza transportul public pentru deplasările la locul de muncă,</w:t>
      </w:r>
      <w:r>
        <w:rPr>
          <w:rFonts w:ascii="Arial" w:hAnsi="Arial" w:cs="Mangal"/>
          <w:kern w:val="1"/>
          <w:lang w:val="ro-RO" w:eastAsia="hi-IN" w:bidi="hi-IN"/>
        </w:rPr>
        <w:t xml:space="preserve"> 4,64% dintre respondenţi nu ar utiliza transportul public pentru deplasările la locul de muncă iar 35,05% dintre aceştia nu au furnizat niciun răspuns;</w:t>
      </w:r>
    </w:p>
    <w:p w14:paraId="32E17DC2" w14:textId="77777777" w:rsidR="00D6124B" w:rsidRPr="00D6124B" w:rsidRDefault="007F4ECC" w:rsidP="006B613A">
      <w:pPr>
        <w:widowControl w:val="0"/>
        <w:numPr>
          <w:ilvl w:val="0"/>
          <w:numId w:val="54"/>
        </w:numPr>
        <w:suppressAutoHyphens/>
        <w:spacing w:after="0" w:line="276" w:lineRule="auto"/>
        <w:contextualSpacing/>
        <w:jc w:val="both"/>
        <w:rPr>
          <w:rFonts w:ascii="Arial" w:hAnsi="Arial" w:cs="Mangal"/>
          <w:kern w:val="1"/>
          <w:lang w:val="ro-RO" w:eastAsia="hi-IN" w:bidi="hi-IN"/>
        </w:rPr>
      </w:pPr>
      <w:r>
        <w:rPr>
          <w:rFonts w:ascii="Arial" w:hAnsi="Arial" w:cs="Mangal"/>
          <w:kern w:val="1"/>
          <w:lang w:val="ro-RO" w:eastAsia="hi-IN" w:bidi="hi-IN"/>
        </w:rPr>
        <w:t>38,14</w:t>
      </w:r>
      <w:r w:rsidR="00D6124B" w:rsidRPr="00D6124B">
        <w:rPr>
          <w:rFonts w:ascii="Arial" w:hAnsi="Arial" w:cs="Mangal"/>
          <w:kern w:val="1"/>
          <w:lang w:val="ro-RO" w:eastAsia="hi-IN" w:bidi="hi-IN"/>
        </w:rPr>
        <w:t>% dintre respondenţi ar utiliza transportul public pentru deplasările la cumpărături sau pentru alte interese personale,</w:t>
      </w:r>
      <w:r>
        <w:rPr>
          <w:rFonts w:ascii="Arial" w:hAnsi="Arial" w:cs="Mangal"/>
          <w:kern w:val="1"/>
          <w:lang w:val="ro-RO" w:eastAsia="hi-IN" w:bidi="hi-IN"/>
        </w:rPr>
        <w:t xml:space="preserve"> 3,61% dintre respondenţi nu ar utiliza transportul public pentru astfel de deplasări iar 58,25% nu au furnizat niciun răspuns;</w:t>
      </w:r>
    </w:p>
    <w:p w14:paraId="0FA23E8A" w14:textId="77777777" w:rsidR="00D6124B" w:rsidRPr="00D6124B" w:rsidRDefault="007F4ECC" w:rsidP="006B613A">
      <w:pPr>
        <w:widowControl w:val="0"/>
        <w:numPr>
          <w:ilvl w:val="0"/>
          <w:numId w:val="54"/>
        </w:numPr>
        <w:suppressAutoHyphens/>
        <w:spacing w:after="0" w:line="276" w:lineRule="auto"/>
        <w:contextualSpacing/>
        <w:jc w:val="both"/>
        <w:rPr>
          <w:rFonts w:ascii="Arial" w:hAnsi="Arial" w:cs="Mangal"/>
          <w:kern w:val="1"/>
          <w:lang w:val="ro-RO" w:eastAsia="hi-IN" w:bidi="hi-IN"/>
        </w:rPr>
      </w:pPr>
      <w:r>
        <w:rPr>
          <w:rFonts w:ascii="Arial" w:hAnsi="Arial" w:cs="Mangal"/>
          <w:kern w:val="1"/>
          <w:lang w:val="ro-RO" w:eastAsia="hi-IN" w:bidi="hi-IN"/>
        </w:rPr>
        <w:t>27,32</w:t>
      </w:r>
      <w:r w:rsidR="00D6124B" w:rsidRPr="00D6124B">
        <w:rPr>
          <w:rFonts w:ascii="Arial" w:hAnsi="Arial" w:cs="Mangal"/>
          <w:kern w:val="1"/>
          <w:lang w:val="ro-RO" w:eastAsia="hi-IN" w:bidi="hi-IN"/>
        </w:rPr>
        <w:t>% dintre respondenţi ar utiliza transportul public pentru deplasări ce implică petrecerea timpului liber,</w:t>
      </w:r>
      <w:r>
        <w:rPr>
          <w:rFonts w:ascii="Arial" w:hAnsi="Arial" w:cs="Mangal"/>
          <w:kern w:val="1"/>
          <w:lang w:val="ro-RO" w:eastAsia="hi-IN" w:bidi="hi-IN"/>
        </w:rPr>
        <w:t xml:space="preserve"> 6,19% dintre respondenţi nu ar utiliza transportul public pentru astfel de deplasări iar 66,49% nu au furnizat niciun răspuns.</w:t>
      </w:r>
    </w:p>
    <w:p w14:paraId="5E45FD69" w14:textId="77777777" w:rsidR="007F4ECC" w:rsidRDefault="007F4ECC" w:rsidP="00D6124B">
      <w:pPr>
        <w:widowControl w:val="0"/>
        <w:suppressAutoHyphens/>
        <w:spacing w:after="0" w:line="276" w:lineRule="auto"/>
        <w:jc w:val="both"/>
        <w:rPr>
          <w:rFonts w:ascii="Arial" w:hAnsi="Arial" w:cs="Mangal"/>
          <w:kern w:val="1"/>
          <w:lang w:val="ro-RO" w:eastAsia="hi-IN" w:bidi="hi-IN"/>
        </w:rPr>
      </w:pPr>
    </w:p>
    <w:p w14:paraId="3E1797B6" w14:textId="77777777" w:rsidR="00D6124B" w:rsidRPr="00D6124B" w:rsidRDefault="00D6124B" w:rsidP="00D6124B">
      <w:pPr>
        <w:widowControl w:val="0"/>
        <w:suppressAutoHyphens/>
        <w:spacing w:after="0" w:line="276" w:lineRule="auto"/>
        <w:jc w:val="both"/>
        <w:rPr>
          <w:rFonts w:ascii="Arial" w:hAnsi="Arial" w:cs="Mangal"/>
          <w:kern w:val="1"/>
          <w:lang w:val="ro-RO" w:eastAsia="hi-IN" w:bidi="hi-IN"/>
        </w:rPr>
      </w:pPr>
      <w:r w:rsidRPr="00D6124B">
        <w:rPr>
          <w:rFonts w:ascii="Arial" w:hAnsi="Arial" w:cs="Mangal"/>
          <w:kern w:val="1"/>
          <w:lang w:val="ro-RO" w:eastAsia="hi-IN" w:bidi="hi-IN"/>
        </w:rPr>
        <w:t xml:space="preserve">Se remarcă o disponibilitate crescută a locuitorilor din </w:t>
      </w:r>
      <w:r w:rsidR="00812516">
        <w:rPr>
          <w:rFonts w:ascii="Arial" w:hAnsi="Arial" w:cs="Mangal"/>
          <w:kern w:val="1"/>
          <w:lang w:val="ro-RO" w:eastAsia="hi-IN" w:bidi="hi-IN"/>
        </w:rPr>
        <w:t>oraşul Horezu</w:t>
      </w:r>
      <w:r w:rsidRPr="00D6124B">
        <w:rPr>
          <w:rFonts w:ascii="Arial" w:hAnsi="Arial" w:cs="Mangal"/>
          <w:kern w:val="1"/>
          <w:lang w:val="ro-RO" w:eastAsia="hi-IN" w:bidi="hi-IN"/>
        </w:rPr>
        <w:t xml:space="preserve"> pentru utilizarea transportului public în cazul deplasărilor efectuate pe raza </w:t>
      </w:r>
      <w:r w:rsidR="00812516">
        <w:rPr>
          <w:rFonts w:ascii="Arial" w:hAnsi="Arial" w:cs="Mangal"/>
          <w:kern w:val="1"/>
          <w:lang w:val="ro-RO" w:eastAsia="hi-IN" w:bidi="hi-IN"/>
        </w:rPr>
        <w:t>oraşului</w:t>
      </w:r>
      <w:r w:rsidRPr="00D6124B">
        <w:rPr>
          <w:rFonts w:ascii="Arial" w:hAnsi="Arial" w:cs="Mangal"/>
          <w:kern w:val="1"/>
          <w:lang w:val="ro-RO" w:eastAsia="hi-IN" w:bidi="hi-IN"/>
        </w:rPr>
        <w:t xml:space="preserve"> pentru </w:t>
      </w:r>
      <w:r w:rsidR="00812516">
        <w:rPr>
          <w:rFonts w:ascii="Arial" w:hAnsi="Arial" w:cs="Mangal"/>
          <w:kern w:val="1"/>
          <w:lang w:val="ro-RO" w:eastAsia="hi-IN" w:bidi="hi-IN"/>
        </w:rPr>
        <w:t>deplasările la locul de muncă</w:t>
      </w:r>
      <w:r w:rsidRPr="00D6124B">
        <w:rPr>
          <w:rFonts w:ascii="Arial" w:hAnsi="Arial" w:cs="Mangal"/>
          <w:kern w:val="1"/>
          <w:lang w:val="ro-RO" w:eastAsia="hi-IN" w:bidi="hi-IN"/>
        </w:rPr>
        <w:t xml:space="preserve">. Cât priveşte alegerea transportului public în cazul deplasărilor efectuate pentru </w:t>
      </w:r>
      <w:r w:rsidR="00812516">
        <w:rPr>
          <w:rFonts w:ascii="Arial" w:hAnsi="Arial" w:cs="Mangal"/>
          <w:kern w:val="1"/>
          <w:lang w:val="ro-RO" w:eastAsia="hi-IN" w:bidi="hi-IN"/>
        </w:rPr>
        <w:t xml:space="preserve">deplasările la cumpărături, alte interese personale sau </w:t>
      </w:r>
      <w:r w:rsidRPr="00D6124B">
        <w:rPr>
          <w:rFonts w:ascii="Arial" w:hAnsi="Arial" w:cs="Mangal"/>
          <w:kern w:val="1"/>
          <w:lang w:val="ro-RO" w:eastAsia="hi-IN" w:bidi="hi-IN"/>
        </w:rPr>
        <w:t xml:space="preserve">petrecerea timpului liber, procentul mai mic obţinut caracterizează o situaţie firească, pentru acest tip de deplasări populaţia optând mai ales pentru </w:t>
      </w:r>
      <w:r w:rsidR="00812516">
        <w:rPr>
          <w:rFonts w:ascii="Arial" w:hAnsi="Arial" w:cs="Mangal"/>
          <w:kern w:val="1"/>
          <w:lang w:val="ro-RO" w:eastAsia="hi-IN" w:bidi="hi-IN"/>
        </w:rPr>
        <w:t>autoturismul personal (astfel cum a rezultat din modalitatea de deplasare aleasă pentru diferite scopuri) sau se deplasează pietonal</w:t>
      </w:r>
      <w:r w:rsidRPr="00D6124B">
        <w:rPr>
          <w:rFonts w:ascii="Arial" w:hAnsi="Arial" w:cs="Mangal"/>
          <w:kern w:val="1"/>
          <w:lang w:val="ro-RO" w:eastAsia="hi-IN" w:bidi="hi-IN"/>
        </w:rPr>
        <w:t xml:space="preserve">, nefiind restricţionaţi de respectarea anumitor ore de ajungere la destinaţie şi necesitatea de a străbate o distanţă între două puncte ale </w:t>
      </w:r>
      <w:r w:rsidR="00812516">
        <w:rPr>
          <w:rFonts w:ascii="Arial" w:hAnsi="Arial" w:cs="Mangal"/>
          <w:kern w:val="1"/>
          <w:lang w:val="ro-RO" w:eastAsia="hi-IN" w:bidi="hi-IN"/>
        </w:rPr>
        <w:t>oraşului</w:t>
      </w:r>
      <w:r w:rsidRPr="00D6124B">
        <w:rPr>
          <w:rFonts w:ascii="Arial" w:hAnsi="Arial" w:cs="Mangal"/>
          <w:kern w:val="1"/>
          <w:lang w:val="ro-RO" w:eastAsia="hi-IN" w:bidi="hi-IN"/>
        </w:rPr>
        <w:t xml:space="preserve"> într-un timp cât mai scurt.</w:t>
      </w:r>
    </w:p>
    <w:p w14:paraId="2A23F08B" w14:textId="77777777" w:rsidR="00D6124B" w:rsidRPr="00D6124B" w:rsidRDefault="00D6124B" w:rsidP="00D6124B">
      <w:pPr>
        <w:widowControl w:val="0"/>
        <w:suppressAutoHyphens/>
        <w:spacing w:after="0" w:line="240" w:lineRule="auto"/>
        <w:rPr>
          <w:rFonts w:ascii="Arial" w:hAnsi="Arial" w:cs="Mangal"/>
          <w:kern w:val="1"/>
          <w:sz w:val="24"/>
          <w:szCs w:val="24"/>
          <w:lang w:val="ro-RO" w:eastAsia="hi-IN" w:bidi="hi-IN"/>
        </w:rPr>
      </w:pPr>
    </w:p>
    <w:p w14:paraId="3FCFCCA7" w14:textId="77777777" w:rsidR="00240B38" w:rsidRPr="00240B38" w:rsidRDefault="00240B38" w:rsidP="00240B38">
      <w:pPr>
        <w:widowControl w:val="0"/>
        <w:suppressAutoHyphens/>
        <w:spacing w:after="0" w:line="276" w:lineRule="auto"/>
        <w:rPr>
          <w:rFonts w:ascii="Arial" w:hAnsi="Arial" w:cs="Mangal"/>
          <w:b/>
          <w:kern w:val="1"/>
          <w:lang w:val="ro-RO" w:eastAsia="hi-IN" w:bidi="hi-IN"/>
        </w:rPr>
      </w:pPr>
      <w:r w:rsidRPr="00240B38">
        <w:rPr>
          <w:rFonts w:ascii="Arial" w:hAnsi="Arial" w:cs="Mangal"/>
          <w:b/>
          <w:kern w:val="1"/>
          <w:lang w:val="ro-RO" w:eastAsia="hi-IN" w:bidi="hi-IN"/>
        </w:rPr>
        <w:t>Anchete Origine – Destinaţie</w:t>
      </w:r>
    </w:p>
    <w:p w14:paraId="4E6FFE33" w14:textId="77777777" w:rsidR="000C5B2B" w:rsidRPr="00C37ADC" w:rsidRDefault="000C5B2B" w:rsidP="000C5B2B">
      <w:pPr>
        <w:widowControl w:val="0"/>
        <w:suppressAutoHyphens/>
        <w:spacing w:after="0" w:line="276" w:lineRule="auto"/>
        <w:jc w:val="both"/>
        <w:rPr>
          <w:rFonts w:ascii="Arial" w:hAnsi="Arial" w:cs="Arial"/>
          <w:kern w:val="1"/>
          <w:lang w:val="ro-RO" w:eastAsia="zh-CN" w:bidi="hi-IN"/>
        </w:rPr>
      </w:pPr>
      <w:r w:rsidRPr="00C37ADC">
        <w:rPr>
          <w:rFonts w:ascii="Arial" w:hAnsi="Arial" w:cs="Arial"/>
          <w:kern w:val="1"/>
          <w:lang w:val="ro-RO" w:eastAsia="zh-CN" w:bidi="hi-IN"/>
        </w:rPr>
        <w:t>Punctele de realizare a anchetelor Origine-Destinaţie la nivelul orasului Horezu sunt reprezentate de cele 4 intrări/ieşiri importante în oraş după cum urmează:</w:t>
      </w:r>
    </w:p>
    <w:p w14:paraId="3977D36D" w14:textId="77777777" w:rsidR="000C5B2B" w:rsidRPr="00C37ADC" w:rsidRDefault="000C5B2B" w:rsidP="000C5B2B">
      <w:pPr>
        <w:widowControl w:val="0"/>
        <w:numPr>
          <w:ilvl w:val="0"/>
          <w:numId w:val="54"/>
        </w:numPr>
        <w:suppressAutoHyphens/>
        <w:spacing w:after="0" w:line="276" w:lineRule="auto"/>
        <w:jc w:val="both"/>
        <w:rPr>
          <w:rFonts w:ascii="Arial" w:hAnsi="Arial" w:cs="Arial"/>
          <w:kern w:val="1"/>
          <w:lang w:val="ro-RO" w:eastAsia="zh-CN" w:bidi="hi-IN"/>
        </w:rPr>
      </w:pPr>
      <w:r w:rsidRPr="00C37ADC">
        <w:rPr>
          <w:rFonts w:ascii="Arial" w:hAnsi="Arial" w:cs="Arial"/>
          <w:kern w:val="1"/>
          <w:lang w:val="ro-RO" w:eastAsia="zh-CN" w:bidi="hi-IN"/>
        </w:rPr>
        <w:t>Punct P1 – DN 67 – Ramnicu Valcea</w:t>
      </w:r>
    </w:p>
    <w:p w14:paraId="44F6E1D3" w14:textId="77777777" w:rsidR="000C5B2B" w:rsidRPr="00C37ADC" w:rsidRDefault="000C5B2B" w:rsidP="000C5B2B">
      <w:pPr>
        <w:widowControl w:val="0"/>
        <w:numPr>
          <w:ilvl w:val="0"/>
          <w:numId w:val="54"/>
        </w:numPr>
        <w:suppressAutoHyphens/>
        <w:spacing w:after="0" w:line="276" w:lineRule="auto"/>
        <w:rPr>
          <w:rFonts w:ascii="Arial" w:hAnsi="Arial" w:cs="Arial"/>
          <w:kern w:val="1"/>
          <w:lang w:val="ro-RO" w:eastAsia="zh-CN" w:bidi="hi-IN"/>
        </w:rPr>
      </w:pPr>
      <w:r w:rsidRPr="00C37ADC">
        <w:rPr>
          <w:rFonts w:ascii="Arial" w:hAnsi="Arial" w:cs="Arial"/>
          <w:kern w:val="1"/>
          <w:lang w:val="ro-RO" w:eastAsia="zh-CN" w:bidi="hi-IN"/>
        </w:rPr>
        <w:t xml:space="preserve">Punct P2 – DN 67 – Targu Jiu </w:t>
      </w:r>
    </w:p>
    <w:p w14:paraId="4E4244B4" w14:textId="77777777" w:rsidR="000C5B2B" w:rsidRPr="00C37ADC" w:rsidRDefault="000C5B2B" w:rsidP="000C5B2B">
      <w:pPr>
        <w:widowControl w:val="0"/>
        <w:numPr>
          <w:ilvl w:val="0"/>
          <w:numId w:val="54"/>
        </w:numPr>
        <w:suppressAutoHyphens/>
        <w:spacing w:after="0" w:line="276" w:lineRule="auto"/>
        <w:jc w:val="both"/>
        <w:rPr>
          <w:rFonts w:ascii="Arial" w:hAnsi="Arial" w:cs="Arial"/>
          <w:kern w:val="1"/>
          <w:lang w:val="ro-RO" w:eastAsia="zh-CN" w:bidi="hi-IN"/>
        </w:rPr>
      </w:pPr>
      <w:r w:rsidRPr="00C37ADC">
        <w:rPr>
          <w:rFonts w:ascii="Arial" w:hAnsi="Arial" w:cs="Arial"/>
          <w:kern w:val="1"/>
          <w:lang w:val="ro-RO" w:eastAsia="zh-CN" w:bidi="hi-IN"/>
        </w:rPr>
        <w:t>Punct P3 – DN 65C – Craiova</w:t>
      </w:r>
    </w:p>
    <w:p w14:paraId="5F527A31" w14:textId="77777777" w:rsidR="000C5B2B" w:rsidRPr="00C37ADC" w:rsidRDefault="000C5B2B" w:rsidP="000C5B2B">
      <w:pPr>
        <w:widowControl w:val="0"/>
        <w:numPr>
          <w:ilvl w:val="0"/>
          <w:numId w:val="54"/>
        </w:numPr>
        <w:suppressAutoHyphens/>
        <w:spacing w:after="0" w:line="276" w:lineRule="auto"/>
        <w:rPr>
          <w:rFonts w:ascii="Arial" w:hAnsi="Arial" w:cs="Arial"/>
          <w:kern w:val="1"/>
          <w:lang w:val="ro-RO" w:eastAsia="zh-CN" w:bidi="hi-IN"/>
        </w:rPr>
      </w:pPr>
      <w:r w:rsidRPr="00C37ADC">
        <w:rPr>
          <w:rFonts w:ascii="Arial" w:hAnsi="Arial" w:cs="Arial"/>
          <w:kern w:val="1"/>
          <w:lang w:val="ro-RO" w:eastAsia="zh-CN" w:bidi="hi-IN"/>
        </w:rPr>
        <w:t>Punct P4 – DJ 665 – Vaideeni</w:t>
      </w:r>
    </w:p>
    <w:p w14:paraId="7A268A9B" w14:textId="77777777" w:rsidR="00240B38" w:rsidRDefault="00240B38" w:rsidP="00240B38">
      <w:pPr>
        <w:widowControl w:val="0"/>
        <w:suppressAutoHyphens/>
        <w:spacing w:after="0" w:line="276" w:lineRule="auto"/>
        <w:ind w:left="720"/>
        <w:rPr>
          <w:rFonts w:ascii="Arial" w:hAnsi="Arial" w:cs="Arial"/>
          <w:kern w:val="1"/>
          <w:lang w:val="ro-RO" w:eastAsia="zh-CN" w:bidi="hi-IN"/>
        </w:rPr>
      </w:pPr>
    </w:p>
    <w:p w14:paraId="33A05039" w14:textId="6FEB428B" w:rsidR="00240B38" w:rsidRPr="00D4582F" w:rsidRDefault="00D4582F" w:rsidP="00D4582F">
      <w:pPr>
        <w:pStyle w:val="Legend"/>
        <w:rPr>
          <w:rFonts w:ascii="Arial" w:hAnsi="Arial" w:cs="Arial"/>
          <w:i w:val="0"/>
          <w:iCs w:val="0"/>
          <w:kern w:val="1"/>
          <w:sz w:val="22"/>
          <w:szCs w:val="22"/>
          <w:lang w:val="ro-RO" w:eastAsia="zh-CN" w:bidi="hi-IN"/>
        </w:rPr>
      </w:pPr>
      <w:bookmarkStart w:id="225" w:name="_Toc68361225"/>
      <w:bookmarkStart w:id="226" w:name="_Toc96447397"/>
      <w:r w:rsidRPr="00D4582F">
        <w:rPr>
          <w:rFonts w:ascii="Arial" w:hAnsi="Arial" w:cs="Arial"/>
          <w:sz w:val="22"/>
          <w:szCs w:val="22"/>
        </w:rPr>
        <w:t xml:space="preserve">Tabel I.3. </w:t>
      </w:r>
      <w:r w:rsidRPr="00D4582F">
        <w:rPr>
          <w:rFonts w:ascii="Arial" w:hAnsi="Arial" w:cs="Arial"/>
          <w:sz w:val="22"/>
          <w:szCs w:val="22"/>
        </w:rPr>
        <w:fldChar w:fldCharType="begin"/>
      </w:r>
      <w:r w:rsidRPr="00D4582F">
        <w:rPr>
          <w:rFonts w:ascii="Arial" w:hAnsi="Arial" w:cs="Arial"/>
          <w:sz w:val="22"/>
          <w:szCs w:val="22"/>
        </w:rPr>
        <w:instrText xml:space="preserve"> SEQ Tabel_I.3. \* ARABIC </w:instrText>
      </w:r>
      <w:r w:rsidRPr="00D4582F">
        <w:rPr>
          <w:rFonts w:ascii="Arial" w:hAnsi="Arial" w:cs="Arial"/>
          <w:sz w:val="22"/>
          <w:szCs w:val="22"/>
        </w:rPr>
        <w:fldChar w:fldCharType="separate"/>
      </w:r>
      <w:r w:rsidR="00BB181C">
        <w:rPr>
          <w:rFonts w:ascii="Arial" w:hAnsi="Arial" w:cs="Arial"/>
          <w:noProof/>
          <w:sz w:val="22"/>
          <w:szCs w:val="22"/>
        </w:rPr>
        <w:t>1</w:t>
      </w:r>
      <w:r w:rsidRPr="00D4582F">
        <w:rPr>
          <w:rFonts w:ascii="Arial" w:hAnsi="Arial" w:cs="Arial"/>
          <w:sz w:val="22"/>
          <w:szCs w:val="22"/>
        </w:rPr>
        <w:fldChar w:fldCharType="end"/>
      </w:r>
      <w:r w:rsidRPr="00D4582F">
        <w:rPr>
          <w:rFonts w:ascii="Arial" w:hAnsi="Arial" w:cs="Arial"/>
          <w:sz w:val="22"/>
          <w:szCs w:val="22"/>
        </w:rPr>
        <w:t xml:space="preserve"> </w:t>
      </w:r>
      <w:r w:rsidR="00240B38" w:rsidRPr="00D4582F">
        <w:rPr>
          <w:rFonts w:ascii="Arial" w:hAnsi="Arial" w:cs="Arial"/>
          <w:sz w:val="22"/>
          <w:szCs w:val="22"/>
        </w:rPr>
        <w:t xml:space="preserve">- </w:t>
      </w:r>
      <w:r w:rsidR="00240B38" w:rsidRPr="00D4582F">
        <w:rPr>
          <w:rFonts w:ascii="Arial" w:hAnsi="Arial" w:cs="Arial"/>
          <w:i w:val="0"/>
          <w:iCs w:val="0"/>
          <w:sz w:val="22"/>
          <w:szCs w:val="22"/>
        </w:rPr>
        <w:t>Fluxurile de penetraţie și tranzit, vehicule pasageri si LGV pentru PM peak</w:t>
      </w:r>
      <w:bookmarkEnd w:id="225"/>
      <w:bookmarkEnd w:id="226"/>
    </w:p>
    <w:tbl>
      <w:tblPr>
        <w:tblW w:w="7488" w:type="dxa"/>
        <w:jc w:val="center"/>
        <w:tblLayout w:type="fixed"/>
        <w:tblLook w:val="0000" w:firstRow="0" w:lastRow="0" w:firstColumn="0" w:lastColumn="0" w:noHBand="0" w:noVBand="0"/>
      </w:tblPr>
      <w:tblGrid>
        <w:gridCol w:w="944"/>
        <w:gridCol w:w="1414"/>
        <w:gridCol w:w="1260"/>
        <w:gridCol w:w="1260"/>
        <w:gridCol w:w="1350"/>
        <w:gridCol w:w="1260"/>
      </w:tblGrid>
      <w:tr w:rsidR="008B1233" w:rsidRPr="008B1233" w14:paraId="3EAA4975" w14:textId="77777777" w:rsidTr="00CE76B6">
        <w:trPr>
          <w:jc w:val="center"/>
        </w:trPr>
        <w:tc>
          <w:tcPr>
            <w:tcW w:w="944" w:type="dxa"/>
            <w:tcBorders>
              <w:top w:val="single" w:sz="4" w:space="0" w:color="000000"/>
              <w:left w:val="single" w:sz="4" w:space="0" w:color="000000"/>
              <w:bottom w:val="single" w:sz="4" w:space="0" w:color="000000"/>
            </w:tcBorders>
            <w:shd w:val="clear" w:color="auto" w:fill="CCCCCC"/>
            <w:vAlign w:val="center"/>
          </w:tcPr>
          <w:p w14:paraId="3E6A27F6" w14:textId="77777777" w:rsidR="008B1233" w:rsidRPr="008B1233" w:rsidRDefault="008B1233" w:rsidP="008B1233">
            <w:pPr>
              <w:widowControl w:val="0"/>
              <w:suppressAutoHyphens/>
              <w:snapToGrid w:val="0"/>
              <w:spacing w:after="0" w:line="240" w:lineRule="auto"/>
              <w:jc w:val="center"/>
              <w:rPr>
                <w:rFonts w:ascii="Arial" w:hAnsi="Arial" w:cs="Mangal"/>
                <w:kern w:val="1"/>
                <w:sz w:val="20"/>
                <w:szCs w:val="24"/>
                <w:lang w:val="ro-RO" w:eastAsia="zh-CN" w:bidi="hi-IN"/>
              </w:rPr>
            </w:pPr>
          </w:p>
        </w:tc>
        <w:tc>
          <w:tcPr>
            <w:tcW w:w="1414" w:type="dxa"/>
            <w:tcBorders>
              <w:top w:val="single" w:sz="4" w:space="0" w:color="000000"/>
              <w:left w:val="single" w:sz="4" w:space="0" w:color="000000"/>
              <w:bottom w:val="single" w:sz="4" w:space="0" w:color="000000"/>
            </w:tcBorders>
            <w:shd w:val="clear" w:color="auto" w:fill="auto"/>
            <w:vAlign w:val="center"/>
          </w:tcPr>
          <w:p w14:paraId="098BD9E5"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O</w:t>
            </w:r>
          </w:p>
        </w:tc>
        <w:tc>
          <w:tcPr>
            <w:tcW w:w="1260" w:type="dxa"/>
            <w:tcBorders>
              <w:top w:val="single" w:sz="4" w:space="0" w:color="000000"/>
              <w:left w:val="single" w:sz="4" w:space="0" w:color="000000"/>
              <w:bottom w:val="single" w:sz="4" w:space="0" w:color="000000"/>
            </w:tcBorders>
            <w:shd w:val="clear" w:color="auto" w:fill="auto"/>
            <w:vAlign w:val="center"/>
          </w:tcPr>
          <w:p w14:paraId="5532CB48"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P1</w:t>
            </w:r>
          </w:p>
        </w:tc>
        <w:tc>
          <w:tcPr>
            <w:tcW w:w="1260" w:type="dxa"/>
            <w:tcBorders>
              <w:top w:val="single" w:sz="4" w:space="0" w:color="000000"/>
              <w:left w:val="single" w:sz="4" w:space="0" w:color="000000"/>
              <w:bottom w:val="single" w:sz="4" w:space="0" w:color="000000"/>
            </w:tcBorders>
            <w:shd w:val="clear" w:color="auto" w:fill="auto"/>
            <w:vAlign w:val="center"/>
          </w:tcPr>
          <w:p w14:paraId="18AD5FA0"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P2</w:t>
            </w:r>
          </w:p>
        </w:tc>
        <w:tc>
          <w:tcPr>
            <w:tcW w:w="1350" w:type="dxa"/>
            <w:tcBorders>
              <w:top w:val="single" w:sz="4" w:space="0" w:color="000000"/>
              <w:left w:val="single" w:sz="4" w:space="0" w:color="000000"/>
              <w:bottom w:val="single" w:sz="4" w:space="0" w:color="000000"/>
            </w:tcBorders>
            <w:shd w:val="clear" w:color="auto" w:fill="auto"/>
            <w:vAlign w:val="center"/>
          </w:tcPr>
          <w:p w14:paraId="4E3A4821"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P3</w:t>
            </w: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center"/>
          </w:tcPr>
          <w:p w14:paraId="2CEDED03"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P4</w:t>
            </w:r>
          </w:p>
        </w:tc>
      </w:tr>
      <w:tr w:rsidR="008B1233" w:rsidRPr="008B1233" w14:paraId="2B60B70B"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25D0DE47"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O</w:t>
            </w:r>
          </w:p>
        </w:tc>
        <w:tc>
          <w:tcPr>
            <w:tcW w:w="1414" w:type="dxa"/>
            <w:tcBorders>
              <w:top w:val="single" w:sz="4" w:space="0" w:color="000000"/>
              <w:left w:val="single" w:sz="4" w:space="0" w:color="000000"/>
              <w:bottom w:val="single" w:sz="4" w:space="0" w:color="000000"/>
            </w:tcBorders>
            <w:shd w:val="clear" w:color="auto" w:fill="CCCCCC"/>
            <w:vAlign w:val="center"/>
          </w:tcPr>
          <w:p w14:paraId="58EC1C4A"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c>
          <w:tcPr>
            <w:tcW w:w="1260" w:type="dxa"/>
            <w:tcBorders>
              <w:top w:val="single" w:sz="4" w:space="0" w:color="000000"/>
              <w:left w:val="single" w:sz="4" w:space="0" w:color="000000"/>
              <w:bottom w:val="single" w:sz="4" w:space="0" w:color="000000"/>
            </w:tcBorders>
            <w:shd w:val="clear" w:color="auto" w:fill="auto"/>
            <w:vAlign w:val="bottom"/>
          </w:tcPr>
          <w:p w14:paraId="75061C32"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240</w:t>
            </w:r>
          </w:p>
        </w:tc>
        <w:tc>
          <w:tcPr>
            <w:tcW w:w="1260" w:type="dxa"/>
            <w:tcBorders>
              <w:top w:val="single" w:sz="4" w:space="0" w:color="000000"/>
              <w:left w:val="single" w:sz="4" w:space="0" w:color="000000"/>
              <w:bottom w:val="single" w:sz="4" w:space="0" w:color="000000"/>
            </w:tcBorders>
            <w:shd w:val="clear" w:color="auto" w:fill="auto"/>
            <w:vAlign w:val="bottom"/>
          </w:tcPr>
          <w:p w14:paraId="067497CA"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28</w:t>
            </w:r>
          </w:p>
        </w:tc>
        <w:tc>
          <w:tcPr>
            <w:tcW w:w="1350" w:type="dxa"/>
            <w:tcBorders>
              <w:top w:val="single" w:sz="4" w:space="0" w:color="000000"/>
              <w:left w:val="single" w:sz="4" w:space="0" w:color="000000"/>
              <w:bottom w:val="single" w:sz="4" w:space="0" w:color="000000"/>
            </w:tcBorders>
            <w:shd w:val="clear" w:color="auto" w:fill="auto"/>
            <w:vAlign w:val="bottom"/>
          </w:tcPr>
          <w:p w14:paraId="41EFC9F8"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32</w:t>
            </w: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bottom"/>
          </w:tcPr>
          <w:p w14:paraId="272401AB"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100</w:t>
            </w:r>
          </w:p>
        </w:tc>
      </w:tr>
      <w:tr w:rsidR="008B1233" w:rsidRPr="008B1233" w14:paraId="4421F858"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385AE422"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P1</w:t>
            </w:r>
          </w:p>
        </w:tc>
        <w:tc>
          <w:tcPr>
            <w:tcW w:w="1414" w:type="dxa"/>
            <w:tcBorders>
              <w:top w:val="single" w:sz="4" w:space="0" w:color="000000"/>
              <w:left w:val="single" w:sz="4" w:space="0" w:color="000000"/>
              <w:bottom w:val="single" w:sz="4" w:space="0" w:color="000000"/>
            </w:tcBorders>
            <w:shd w:val="clear" w:color="auto" w:fill="auto"/>
          </w:tcPr>
          <w:p w14:paraId="11EEBC9A"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204</w:t>
            </w:r>
          </w:p>
        </w:tc>
        <w:tc>
          <w:tcPr>
            <w:tcW w:w="1260" w:type="dxa"/>
            <w:tcBorders>
              <w:top w:val="single" w:sz="4" w:space="0" w:color="000000"/>
              <w:left w:val="single" w:sz="4" w:space="0" w:color="000000"/>
              <w:bottom w:val="single" w:sz="4" w:space="0" w:color="000000"/>
            </w:tcBorders>
            <w:shd w:val="clear" w:color="auto" w:fill="CCCCCC"/>
            <w:vAlign w:val="center"/>
          </w:tcPr>
          <w:p w14:paraId="0EC62808"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c>
          <w:tcPr>
            <w:tcW w:w="1260" w:type="dxa"/>
            <w:tcBorders>
              <w:top w:val="single" w:sz="4" w:space="0" w:color="000000"/>
              <w:left w:val="single" w:sz="4" w:space="0" w:color="000000"/>
              <w:bottom w:val="single" w:sz="4" w:space="0" w:color="000000"/>
            </w:tcBorders>
            <w:shd w:val="clear" w:color="auto" w:fill="auto"/>
            <w:vAlign w:val="center"/>
          </w:tcPr>
          <w:p w14:paraId="62FA6457"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49</w:t>
            </w:r>
          </w:p>
        </w:tc>
        <w:tc>
          <w:tcPr>
            <w:tcW w:w="1350" w:type="dxa"/>
            <w:tcBorders>
              <w:top w:val="single" w:sz="4" w:space="0" w:color="000000"/>
              <w:left w:val="single" w:sz="4" w:space="0" w:color="000000"/>
              <w:bottom w:val="single" w:sz="4" w:space="0" w:color="000000"/>
            </w:tcBorders>
            <w:shd w:val="clear" w:color="auto" w:fill="auto"/>
            <w:vAlign w:val="center"/>
          </w:tcPr>
          <w:p w14:paraId="3AE8489B"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29</w:t>
            </w: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center"/>
          </w:tcPr>
          <w:p w14:paraId="7C362478"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126</w:t>
            </w:r>
          </w:p>
        </w:tc>
      </w:tr>
      <w:tr w:rsidR="008B1233" w:rsidRPr="008B1233" w14:paraId="38E6D0B9"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66411F68"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P2</w:t>
            </w:r>
          </w:p>
        </w:tc>
        <w:tc>
          <w:tcPr>
            <w:tcW w:w="1414" w:type="dxa"/>
            <w:tcBorders>
              <w:top w:val="single" w:sz="4" w:space="0" w:color="000000"/>
              <w:left w:val="single" w:sz="4" w:space="0" w:color="000000"/>
              <w:bottom w:val="single" w:sz="4" w:space="0" w:color="000000"/>
            </w:tcBorders>
            <w:shd w:val="clear" w:color="auto" w:fill="auto"/>
          </w:tcPr>
          <w:p w14:paraId="6B5ED802"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35</w:t>
            </w:r>
          </w:p>
        </w:tc>
        <w:tc>
          <w:tcPr>
            <w:tcW w:w="1260" w:type="dxa"/>
            <w:tcBorders>
              <w:top w:val="single" w:sz="4" w:space="0" w:color="000000"/>
              <w:left w:val="single" w:sz="4" w:space="0" w:color="000000"/>
              <w:bottom w:val="single" w:sz="4" w:space="0" w:color="000000"/>
            </w:tcBorders>
            <w:shd w:val="clear" w:color="auto" w:fill="auto"/>
            <w:vAlign w:val="center"/>
          </w:tcPr>
          <w:p w14:paraId="3091AEE7"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17</w:t>
            </w:r>
          </w:p>
        </w:tc>
        <w:tc>
          <w:tcPr>
            <w:tcW w:w="1260" w:type="dxa"/>
            <w:tcBorders>
              <w:top w:val="single" w:sz="4" w:space="0" w:color="000000"/>
              <w:left w:val="single" w:sz="4" w:space="0" w:color="000000"/>
              <w:bottom w:val="single" w:sz="4" w:space="0" w:color="000000"/>
            </w:tcBorders>
            <w:shd w:val="clear" w:color="auto" w:fill="CCCCCC"/>
            <w:vAlign w:val="center"/>
          </w:tcPr>
          <w:p w14:paraId="5FEF963A"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c>
          <w:tcPr>
            <w:tcW w:w="1350" w:type="dxa"/>
            <w:tcBorders>
              <w:top w:val="single" w:sz="4" w:space="0" w:color="000000"/>
              <w:left w:val="single" w:sz="4" w:space="0" w:color="000000"/>
              <w:bottom w:val="single" w:sz="4" w:space="0" w:color="000000"/>
            </w:tcBorders>
            <w:shd w:val="clear" w:color="auto" w:fill="auto"/>
            <w:vAlign w:val="center"/>
          </w:tcPr>
          <w:p w14:paraId="056325C3"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7</w:t>
            </w: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center"/>
          </w:tcPr>
          <w:p w14:paraId="47AC5287"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10</w:t>
            </w:r>
          </w:p>
        </w:tc>
      </w:tr>
      <w:tr w:rsidR="008B1233" w:rsidRPr="008B1233" w14:paraId="7C15897A"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09E20E38"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P3</w:t>
            </w:r>
          </w:p>
        </w:tc>
        <w:tc>
          <w:tcPr>
            <w:tcW w:w="1414" w:type="dxa"/>
            <w:tcBorders>
              <w:top w:val="single" w:sz="4" w:space="0" w:color="000000"/>
              <w:left w:val="single" w:sz="4" w:space="0" w:color="000000"/>
              <w:bottom w:val="single" w:sz="4" w:space="0" w:color="000000"/>
            </w:tcBorders>
            <w:shd w:val="clear" w:color="auto" w:fill="auto"/>
          </w:tcPr>
          <w:p w14:paraId="404838FC"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35</w:t>
            </w:r>
          </w:p>
        </w:tc>
        <w:tc>
          <w:tcPr>
            <w:tcW w:w="1260" w:type="dxa"/>
            <w:tcBorders>
              <w:top w:val="single" w:sz="4" w:space="0" w:color="000000"/>
              <w:left w:val="single" w:sz="4" w:space="0" w:color="000000"/>
              <w:bottom w:val="single" w:sz="4" w:space="0" w:color="000000"/>
            </w:tcBorders>
            <w:shd w:val="clear" w:color="auto" w:fill="auto"/>
            <w:vAlign w:val="center"/>
          </w:tcPr>
          <w:p w14:paraId="2DBEEFB1"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58</w:t>
            </w:r>
          </w:p>
        </w:tc>
        <w:tc>
          <w:tcPr>
            <w:tcW w:w="1260" w:type="dxa"/>
            <w:tcBorders>
              <w:top w:val="single" w:sz="4" w:space="0" w:color="000000"/>
              <w:left w:val="single" w:sz="4" w:space="0" w:color="000000"/>
              <w:bottom w:val="single" w:sz="4" w:space="0" w:color="000000"/>
            </w:tcBorders>
            <w:shd w:val="clear" w:color="auto" w:fill="auto"/>
            <w:vAlign w:val="center"/>
          </w:tcPr>
          <w:p w14:paraId="10FE3278"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12</w:t>
            </w:r>
          </w:p>
        </w:tc>
        <w:tc>
          <w:tcPr>
            <w:tcW w:w="1350" w:type="dxa"/>
            <w:tcBorders>
              <w:top w:val="single" w:sz="4" w:space="0" w:color="000000"/>
              <w:left w:val="single" w:sz="4" w:space="0" w:color="000000"/>
              <w:bottom w:val="single" w:sz="4" w:space="0" w:color="000000"/>
            </w:tcBorders>
            <w:shd w:val="clear" w:color="auto" w:fill="CCCCCC"/>
            <w:vAlign w:val="center"/>
          </w:tcPr>
          <w:p w14:paraId="02E2DEEB"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center"/>
          </w:tcPr>
          <w:p w14:paraId="548E8F1F"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12</w:t>
            </w:r>
          </w:p>
        </w:tc>
      </w:tr>
      <w:tr w:rsidR="008B1233" w:rsidRPr="008B1233" w14:paraId="3A4C01DF"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61480FC5"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P4</w:t>
            </w:r>
          </w:p>
        </w:tc>
        <w:tc>
          <w:tcPr>
            <w:tcW w:w="1414" w:type="dxa"/>
            <w:tcBorders>
              <w:top w:val="single" w:sz="4" w:space="0" w:color="000000"/>
              <w:left w:val="single" w:sz="4" w:space="0" w:color="000000"/>
              <w:bottom w:val="single" w:sz="4" w:space="0" w:color="000000"/>
            </w:tcBorders>
            <w:shd w:val="clear" w:color="auto" w:fill="auto"/>
          </w:tcPr>
          <w:p w14:paraId="2491DB8C"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93</w:t>
            </w:r>
          </w:p>
        </w:tc>
        <w:tc>
          <w:tcPr>
            <w:tcW w:w="1260" w:type="dxa"/>
            <w:tcBorders>
              <w:top w:val="single" w:sz="4" w:space="0" w:color="000000"/>
              <w:left w:val="single" w:sz="4" w:space="0" w:color="000000"/>
              <w:bottom w:val="single" w:sz="4" w:space="0" w:color="000000"/>
            </w:tcBorders>
            <w:shd w:val="clear" w:color="auto" w:fill="auto"/>
            <w:vAlign w:val="center"/>
          </w:tcPr>
          <w:p w14:paraId="0AA061AE"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62</w:t>
            </w:r>
          </w:p>
        </w:tc>
        <w:tc>
          <w:tcPr>
            <w:tcW w:w="1260" w:type="dxa"/>
            <w:tcBorders>
              <w:top w:val="single" w:sz="4" w:space="0" w:color="000000"/>
              <w:left w:val="single" w:sz="4" w:space="0" w:color="000000"/>
              <w:bottom w:val="single" w:sz="4" w:space="0" w:color="000000"/>
            </w:tcBorders>
            <w:shd w:val="clear" w:color="auto" w:fill="auto"/>
            <w:vAlign w:val="center"/>
          </w:tcPr>
          <w:p w14:paraId="45CFFF31"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31</w:t>
            </w:r>
          </w:p>
        </w:tc>
        <w:tc>
          <w:tcPr>
            <w:tcW w:w="1350" w:type="dxa"/>
            <w:tcBorders>
              <w:top w:val="single" w:sz="4" w:space="0" w:color="000000"/>
              <w:left w:val="single" w:sz="4" w:space="0" w:color="000000"/>
              <w:bottom w:val="single" w:sz="4" w:space="0" w:color="000000"/>
            </w:tcBorders>
            <w:shd w:val="clear" w:color="auto" w:fill="auto"/>
            <w:vAlign w:val="center"/>
          </w:tcPr>
          <w:p w14:paraId="577DD05E"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21</w:t>
            </w:r>
          </w:p>
        </w:tc>
        <w:tc>
          <w:tcPr>
            <w:tcW w:w="1260" w:type="dxa"/>
            <w:tcBorders>
              <w:top w:val="single" w:sz="4" w:space="0" w:color="000000"/>
              <w:left w:val="single" w:sz="4" w:space="0" w:color="000000"/>
              <w:bottom w:val="single" w:sz="4" w:space="0" w:color="000000"/>
              <w:right w:val="single" w:sz="4" w:space="0" w:color="auto"/>
            </w:tcBorders>
            <w:shd w:val="clear" w:color="auto" w:fill="CCCCCC"/>
            <w:vAlign w:val="center"/>
          </w:tcPr>
          <w:p w14:paraId="10AF90A0"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r>
    </w:tbl>
    <w:p w14:paraId="40B6C97C" w14:textId="77777777" w:rsidR="00D6124B" w:rsidRDefault="00D6124B" w:rsidP="00D6124B">
      <w:pPr>
        <w:rPr>
          <w:lang w:val="it-IT" w:eastAsia="ro-RO"/>
        </w:rPr>
      </w:pPr>
    </w:p>
    <w:p w14:paraId="3F5C60EE" w14:textId="3A8068AE" w:rsidR="00240B38" w:rsidRDefault="00321667" w:rsidP="00321667">
      <w:pPr>
        <w:pStyle w:val="Legend"/>
        <w:jc w:val="center"/>
        <w:rPr>
          <w:rFonts w:ascii="Arial" w:hAnsi="Arial" w:cs="Arial"/>
          <w:i w:val="0"/>
          <w:iCs w:val="0"/>
          <w:sz w:val="22"/>
          <w:szCs w:val="22"/>
        </w:rPr>
      </w:pPr>
      <w:bookmarkStart w:id="227" w:name="_Toc68361226"/>
      <w:bookmarkStart w:id="228" w:name="_Toc96447398"/>
      <w:r w:rsidRPr="00321667">
        <w:rPr>
          <w:rFonts w:ascii="Arial" w:hAnsi="Arial" w:cs="Arial"/>
          <w:sz w:val="22"/>
          <w:szCs w:val="22"/>
        </w:rPr>
        <w:t xml:space="preserve">Tabel I.3. </w:t>
      </w:r>
      <w:r w:rsidRPr="00321667">
        <w:rPr>
          <w:rFonts w:ascii="Arial" w:hAnsi="Arial" w:cs="Arial"/>
          <w:sz w:val="22"/>
          <w:szCs w:val="22"/>
        </w:rPr>
        <w:fldChar w:fldCharType="begin"/>
      </w:r>
      <w:r w:rsidRPr="00321667">
        <w:rPr>
          <w:rFonts w:ascii="Arial" w:hAnsi="Arial" w:cs="Arial"/>
          <w:sz w:val="22"/>
          <w:szCs w:val="22"/>
        </w:rPr>
        <w:instrText xml:space="preserve"> SEQ Tabel_I.3. \* ARABIC </w:instrText>
      </w:r>
      <w:r w:rsidRPr="00321667">
        <w:rPr>
          <w:rFonts w:ascii="Arial" w:hAnsi="Arial" w:cs="Arial"/>
          <w:sz w:val="22"/>
          <w:szCs w:val="22"/>
        </w:rPr>
        <w:fldChar w:fldCharType="separate"/>
      </w:r>
      <w:r w:rsidR="00BB181C">
        <w:rPr>
          <w:rFonts w:ascii="Arial" w:hAnsi="Arial" w:cs="Arial"/>
          <w:noProof/>
          <w:sz w:val="22"/>
          <w:szCs w:val="22"/>
        </w:rPr>
        <w:t>2</w:t>
      </w:r>
      <w:r w:rsidRPr="00321667">
        <w:rPr>
          <w:rFonts w:ascii="Arial" w:hAnsi="Arial" w:cs="Arial"/>
          <w:sz w:val="22"/>
          <w:szCs w:val="22"/>
        </w:rPr>
        <w:fldChar w:fldCharType="end"/>
      </w:r>
      <w:r w:rsidRPr="00321667">
        <w:rPr>
          <w:rFonts w:ascii="Arial" w:hAnsi="Arial" w:cs="Arial"/>
          <w:sz w:val="22"/>
          <w:szCs w:val="22"/>
        </w:rPr>
        <w:t xml:space="preserve"> </w:t>
      </w:r>
      <w:r w:rsidR="00240B38" w:rsidRPr="00321667">
        <w:rPr>
          <w:rFonts w:ascii="Arial" w:hAnsi="Arial" w:cs="Arial"/>
          <w:sz w:val="22"/>
          <w:szCs w:val="22"/>
        </w:rPr>
        <w:t xml:space="preserve">- </w:t>
      </w:r>
      <w:r w:rsidR="00240B38" w:rsidRPr="00321667">
        <w:rPr>
          <w:rFonts w:ascii="Arial" w:hAnsi="Arial" w:cs="Arial"/>
          <w:i w:val="0"/>
          <w:iCs w:val="0"/>
          <w:sz w:val="22"/>
          <w:szCs w:val="22"/>
        </w:rPr>
        <w:t>Fluxurile de penetraţie și tranzit, HGV pentru PM peak</w:t>
      </w:r>
      <w:bookmarkEnd w:id="227"/>
      <w:bookmarkEnd w:id="228"/>
    </w:p>
    <w:tbl>
      <w:tblPr>
        <w:tblW w:w="7488" w:type="dxa"/>
        <w:jc w:val="center"/>
        <w:tblLayout w:type="fixed"/>
        <w:tblLook w:val="0000" w:firstRow="0" w:lastRow="0" w:firstColumn="0" w:lastColumn="0" w:noHBand="0" w:noVBand="0"/>
      </w:tblPr>
      <w:tblGrid>
        <w:gridCol w:w="944"/>
        <w:gridCol w:w="1414"/>
        <w:gridCol w:w="1260"/>
        <w:gridCol w:w="1260"/>
        <w:gridCol w:w="1350"/>
        <w:gridCol w:w="1260"/>
      </w:tblGrid>
      <w:tr w:rsidR="008B1233" w:rsidRPr="008B1233" w14:paraId="5DED7D6D" w14:textId="77777777" w:rsidTr="00CE76B6">
        <w:trPr>
          <w:jc w:val="center"/>
        </w:trPr>
        <w:tc>
          <w:tcPr>
            <w:tcW w:w="944" w:type="dxa"/>
            <w:tcBorders>
              <w:top w:val="single" w:sz="4" w:space="0" w:color="000000"/>
              <w:left w:val="single" w:sz="4" w:space="0" w:color="000000"/>
              <w:bottom w:val="single" w:sz="4" w:space="0" w:color="000000"/>
            </w:tcBorders>
            <w:shd w:val="clear" w:color="auto" w:fill="CCCCCC"/>
            <w:vAlign w:val="center"/>
          </w:tcPr>
          <w:p w14:paraId="62A89D7E" w14:textId="77777777" w:rsidR="008B1233" w:rsidRPr="008B1233" w:rsidRDefault="008B1233" w:rsidP="008B1233">
            <w:pPr>
              <w:widowControl w:val="0"/>
              <w:suppressAutoHyphens/>
              <w:snapToGrid w:val="0"/>
              <w:spacing w:after="0" w:line="240" w:lineRule="auto"/>
              <w:jc w:val="center"/>
              <w:rPr>
                <w:rFonts w:ascii="Arial" w:hAnsi="Arial" w:cs="Mangal"/>
                <w:kern w:val="1"/>
                <w:sz w:val="20"/>
                <w:szCs w:val="24"/>
                <w:lang w:val="ro-RO" w:eastAsia="zh-CN" w:bidi="hi-IN"/>
              </w:rPr>
            </w:pPr>
          </w:p>
        </w:tc>
        <w:tc>
          <w:tcPr>
            <w:tcW w:w="1414" w:type="dxa"/>
            <w:tcBorders>
              <w:top w:val="single" w:sz="4" w:space="0" w:color="000000"/>
              <w:left w:val="single" w:sz="4" w:space="0" w:color="000000"/>
              <w:bottom w:val="single" w:sz="4" w:space="0" w:color="000000"/>
            </w:tcBorders>
            <w:shd w:val="clear" w:color="auto" w:fill="auto"/>
            <w:vAlign w:val="center"/>
          </w:tcPr>
          <w:p w14:paraId="79AED5B1"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O</w:t>
            </w:r>
          </w:p>
        </w:tc>
        <w:tc>
          <w:tcPr>
            <w:tcW w:w="1260" w:type="dxa"/>
            <w:tcBorders>
              <w:top w:val="single" w:sz="4" w:space="0" w:color="000000"/>
              <w:left w:val="single" w:sz="4" w:space="0" w:color="000000"/>
              <w:bottom w:val="single" w:sz="4" w:space="0" w:color="000000"/>
            </w:tcBorders>
            <w:shd w:val="clear" w:color="auto" w:fill="auto"/>
            <w:vAlign w:val="center"/>
          </w:tcPr>
          <w:p w14:paraId="4348EF39"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P1</w:t>
            </w:r>
          </w:p>
        </w:tc>
        <w:tc>
          <w:tcPr>
            <w:tcW w:w="1260" w:type="dxa"/>
            <w:tcBorders>
              <w:top w:val="single" w:sz="4" w:space="0" w:color="000000"/>
              <w:left w:val="single" w:sz="4" w:space="0" w:color="000000"/>
              <w:bottom w:val="single" w:sz="4" w:space="0" w:color="000000"/>
            </w:tcBorders>
            <w:shd w:val="clear" w:color="auto" w:fill="auto"/>
            <w:vAlign w:val="center"/>
          </w:tcPr>
          <w:p w14:paraId="600E245D"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P2</w:t>
            </w:r>
          </w:p>
        </w:tc>
        <w:tc>
          <w:tcPr>
            <w:tcW w:w="1350" w:type="dxa"/>
            <w:tcBorders>
              <w:top w:val="single" w:sz="4" w:space="0" w:color="000000"/>
              <w:left w:val="single" w:sz="4" w:space="0" w:color="000000"/>
              <w:bottom w:val="single" w:sz="4" w:space="0" w:color="000000"/>
            </w:tcBorders>
            <w:shd w:val="clear" w:color="auto" w:fill="auto"/>
            <w:vAlign w:val="center"/>
          </w:tcPr>
          <w:p w14:paraId="1995E8A4"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P3</w:t>
            </w: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center"/>
          </w:tcPr>
          <w:p w14:paraId="270AA1CA"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P4</w:t>
            </w:r>
          </w:p>
        </w:tc>
      </w:tr>
      <w:tr w:rsidR="008B1233" w:rsidRPr="008B1233" w14:paraId="06C77836"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7AF19D87"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O</w:t>
            </w:r>
          </w:p>
        </w:tc>
        <w:tc>
          <w:tcPr>
            <w:tcW w:w="1414" w:type="dxa"/>
            <w:tcBorders>
              <w:top w:val="single" w:sz="4" w:space="0" w:color="000000"/>
              <w:left w:val="single" w:sz="4" w:space="0" w:color="000000"/>
              <w:bottom w:val="single" w:sz="4" w:space="0" w:color="000000"/>
            </w:tcBorders>
            <w:shd w:val="clear" w:color="auto" w:fill="CCCCCC"/>
            <w:vAlign w:val="center"/>
          </w:tcPr>
          <w:p w14:paraId="22354991"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c>
          <w:tcPr>
            <w:tcW w:w="1260" w:type="dxa"/>
            <w:tcBorders>
              <w:top w:val="single" w:sz="4" w:space="0" w:color="000000"/>
              <w:left w:val="single" w:sz="4" w:space="0" w:color="000000"/>
              <w:bottom w:val="single" w:sz="4" w:space="0" w:color="000000"/>
            </w:tcBorders>
            <w:shd w:val="clear" w:color="auto" w:fill="auto"/>
            <w:vAlign w:val="center"/>
          </w:tcPr>
          <w:p w14:paraId="71540D86"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15</w:t>
            </w:r>
          </w:p>
        </w:tc>
        <w:tc>
          <w:tcPr>
            <w:tcW w:w="1260" w:type="dxa"/>
            <w:tcBorders>
              <w:top w:val="single" w:sz="4" w:space="0" w:color="000000"/>
              <w:left w:val="single" w:sz="4" w:space="0" w:color="000000"/>
              <w:bottom w:val="single" w:sz="4" w:space="0" w:color="000000"/>
            </w:tcBorders>
            <w:shd w:val="clear" w:color="auto" w:fill="auto"/>
            <w:vAlign w:val="center"/>
          </w:tcPr>
          <w:p w14:paraId="4097C351"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w:t>
            </w:r>
          </w:p>
        </w:tc>
        <w:tc>
          <w:tcPr>
            <w:tcW w:w="1350" w:type="dxa"/>
            <w:tcBorders>
              <w:top w:val="single" w:sz="4" w:space="0" w:color="000000"/>
              <w:left w:val="single" w:sz="4" w:space="0" w:color="000000"/>
              <w:bottom w:val="single" w:sz="4" w:space="0" w:color="000000"/>
            </w:tcBorders>
            <w:shd w:val="clear" w:color="auto" w:fill="auto"/>
            <w:vAlign w:val="center"/>
          </w:tcPr>
          <w:p w14:paraId="192CDB29"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w:t>
            </w: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center"/>
          </w:tcPr>
          <w:p w14:paraId="68E07A7A"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8</w:t>
            </w:r>
          </w:p>
        </w:tc>
      </w:tr>
      <w:tr w:rsidR="008B1233" w:rsidRPr="008B1233" w14:paraId="6FF3D59D"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2D5B5396"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P1</w:t>
            </w:r>
          </w:p>
        </w:tc>
        <w:tc>
          <w:tcPr>
            <w:tcW w:w="1414" w:type="dxa"/>
            <w:tcBorders>
              <w:top w:val="single" w:sz="4" w:space="0" w:color="000000"/>
              <w:left w:val="single" w:sz="4" w:space="0" w:color="000000"/>
              <w:bottom w:val="single" w:sz="4" w:space="0" w:color="000000"/>
            </w:tcBorders>
            <w:shd w:val="clear" w:color="auto" w:fill="auto"/>
            <w:vAlign w:val="center"/>
          </w:tcPr>
          <w:p w14:paraId="23A25C2A"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9</w:t>
            </w:r>
          </w:p>
        </w:tc>
        <w:tc>
          <w:tcPr>
            <w:tcW w:w="1260" w:type="dxa"/>
            <w:tcBorders>
              <w:top w:val="single" w:sz="4" w:space="0" w:color="000000"/>
              <w:left w:val="single" w:sz="4" w:space="0" w:color="000000"/>
              <w:bottom w:val="single" w:sz="4" w:space="0" w:color="000000"/>
            </w:tcBorders>
            <w:shd w:val="clear" w:color="auto" w:fill="CCCCCC"/>
            <w:vAlign w:val="center"/>
          </w:tcPr>
          <w:p w14:paraId="26B6735A"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c>
          <w:tcPr>
            <w:tcW w:w="1260" w:type="dxa"/>
            <w:tcBorders>
              <w:top w:val="single" w:sz="4" w:space="0" w:color="000000"/>
              <w:left w:val="single" w:sz="4" w:space="0" w:color="000000"/>
              <w:bottom w:val="single" w:sz="4" w:space="0" w:color="000000"/>
            </w:tcBorders>
            <w:shd w:val="clear" w:color="auto" w:fill="auto"/>
            <w:vAlign w:val="center"/>
          </w:tcPr>
          <w:p w14:paraId="40741119"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w:t>
            </w:r>
          </w:p>
        </w:tc>
        <w:tc>
          <w:tcPr>
            <w:tcW w:w="1350" w:type="dxa"/>
            <w:tcBorders>
              <w:top w:val="single" w:sz="4" w:space="0" w:color="000000"/>
              <w:left w:val="single" w:sz="4" w:space="0" w:color="000000"/>
              <w:bottom w:val="single" w:sz="4" w:space="0" w:color="000000"/>
            </w:tcBorders>
            <w:shd w:val="clear" w:color="auto" w:fill="auto"/>
            <w:vAlign w:val="center"/>
          </w:tcPr>
          <w:p w14:paraId="3FC0B7E9"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w:t>
            </w: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center"/>
          </w:tcPr>
          <w:p w14:paraId="5F5C3897"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6</w:t>
            </w:r>
          </w:p>
        </w:tc>
      </w:tr>
      <w:tr w:rsidR="008B1233" w:rsidRPr="008B1233" w14:paraId="6062B63A"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7856E34A"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P2</w:t>
            </w:r>
          </w:p>
        </w:tc>
        <w:tc>
          <w:tcPr>
            <w:tcW w:w="1414" w:type="dxa"/>
            <w:tcBorders>
              <w:top w:val="single" w:sz="4" w:space="0" w:color="000000"/>
              <w:left w:val="single" w:sz="4" w:space="0" w:color="000000"/>
              <w:bottom w:val="single" w:sz="4" w:space="0" w:color="000000"/>
            </w:tcBorders>
            <w:shd w:val="clear" w:color="auto" w:fill="auto"/>
            <w:vAlign w:val="center"/>
          </w:tcPr>
          <w:p w14:paraId="385A8671"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0</w:t>
            </w:r>
          </w:p>
        </w:tc>
        <w:tc>
          <w:tcPr>
            <w:tcW w:w="1260" w:type="dxa"/>
            <w:tcBorders>
              <w:top w:val="single" w:sz="4" w:space="0" w:color="000000"/>
              <w:left w:val="single" w:sz="4" w:space="0" w:color="000000"/>
              <w:bottom w:val="single" w:sz="4" w:space="0" w:color="000000"/>
            </w:tcBorders>
            <w:shd w:val="clear" w:color="auto" w:fill="auto"/>
            <w:vAlign w:val="center"/>
          </w:tcPr>
          <w:p w14:paraId="03E480EF"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0</w:t>
            </w:r>
          </w:p>
        </w:tc>
        <w:tc>
          <w:tcPr>
            <w:tcW w:w="1260" w:type="dxa"/>
            <w:tcBorders>
              <w:top w:val="single" w:sz="4" w:space="0" w:color="000000"/>
              <w:left w:val="single" w:sz="4" w:space="0" w:color="000000"/>
              <w:bottom w:val="single" w:sz="4" w:space="0" w:color="000000"/>
            </w:tcBorders>
            <w:shd w:val="clear" w:color="auto" w:fill="CCCCCC"/>
            <w:vAlign w:val="center"/>
          </w:tcPr>
          <w:p w14:paraId="7033092B"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c>
          <w:tcPr>
            <w:tcW w:w="1350" w:type="dxa"/>
            <w:tcBorders>
              <w:top w:val="single" w:sz="4" w:space="0" w:color="000000"/>
              <w:left w:val="single" w:sz="4" w:space="0" w:color="000000"/>
              <w:bottom w:val="single" w:sz="4" w:space="0" w:color="000000"/>
            </w:tcBorders>
            <w:shd w:val="clear" w:color="auto" w:fill="auto"/>
            <w:vAlign w:val="center"/>
          </w:tcPr>
          <w:p w14:paraId="70F3A73C"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0</w:t>
            </w: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center"/>
          </w:tcPr>
          <w:p w14:paraId="4E63A94C"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0</w:t>
            </w:r>
          </w:p>
        </w:tc>
      </w:tr>
      <w:tr w:rsidR="008B1233" w:rsidRPr="008B1233" w14:paraId="03756E98"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45F5C54F"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P3</w:t>
            </w:r>
          </w:p>
        </w:tc>
        <w:tc>
          <w:tcPr>
            <w:tcW w:w="1414" w:type="dxa"/>
            <w:tcBorders>
              <w:top w:val="single" w:sz="4" w:space="0" w:color="000000"/>
              <w:left w:val="single" w:sz="4" w:space="0" w:color="000000"/>
              <w:bottom w:val="single" w:sz="4" w:space="0" w:color="000000"/>
            </w:tcBorders>
            <w:shd w:val="clear" w:color="auto" w:fill="auto"/>
            <w:vAlign w:val="center"/>
          </w:tcPr>
          <w:p w14:paraId="009F334E"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2</w:t>
            </w:r>
          </w:p>
        </w:tc>
        <w:tc>
          <w:tcPr>
            <w:tcW w:w="1260" w:type="dxa"/>
            <w:tcBorders>
              <w:top w:val="single" w:sz="4" w:space="0" w:color="000000"/>
              <w:left w:val="single" w:sz="4" w:space="0" w:color="000000"/>
              <w:bottom w:val="single" w:sz="4" w:space="0" w:color="000000"/>
            </w:tcBorders>
            <w:shd w:val="clear" w:color="auto" w:fill="auto"/>
            <w:vAlign w:val="center"/>
          </w:tcPr>
          <w:p w14:paraId="767FF560"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3</w:t>
            </w:r>
          </w:p>
        </w:tc>
        <w:tc>
          <w:tcPr>
            <w:tcW w:w="1260" w:type="dxa"/>
            <w:tcBorders>
              <w:top w:val="single" w:sz="4" w:space="0" w:color="000000"/>
              <w:left w:val="single" w:sz="4" w:space="0" w:color="000000"/>
              <w:bottom w:val="single" w:sz="4" w:space="0" w:color="000000"/>
            </w:tcBorders>
            <w:shd w:val="clear" w:color="auto" w:fill="auto"/>
            <w:vAlign w:val="center"/>
          </w:tcPr>
          <w:p w14:paraId="25F54D01"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w:t>
            </w:r>
          </w:p>
        </w:tc>
        <w:tc>
          <w:tcPr>
            <w:tcW w:w="1350" w:type="dxa"/>
            <w:tcBorders>
              <w:top w:val="single" w:sz="4" w:space="0" w:color="000000"/>
              <w:left w:val="single" w:sz="4" w:space="0" w:color="000000"/>
              <w:bottom w:val="single" w:sz="4" w:space="0" w:color="000000"/>
            </w:tcBorders>
            <w:shd w:val="clear" w:color="auto" w:fill="CCCCCC"/>
            <w:vAlign w:val="center"/>
          </w:tcPr>
          <w:p w14:paraId="4E97D862"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c>
          <w:tcPr>
            <w:tcW w:w="1260" w:type="dxa"/>
            <w:tcBorders>
              <w:top w:val="single" w:sz="4" w:space="0" w:color="000000"/>
              <w:left w:val="single" w:sz="4" w:space="0" w:color="000000"/>
              <w:bottom w:val="single" w:sz="4" w:space="0" w:color="000000"/>
              <w:right w:val="single" w:sz="4" w:space="0" w:color="auto"/>
            </w:tcBorders>
            <w:shd w:val="clear" w:color="auto" w:fill="auto"/>
            <w:vAlign w:val="center"/>
          </w:tcPr>
          <w:p w14:paraId="32550A35"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w:t>
            </w:r>
          </w:p>
        </w:tc>
      </w:tr>
      <w:tr w:rsidR="008B1233" w:rsidRPr="008B1233" w14:paraId="0EBC74BB" w14:textId="77777777" w:rsidTr="00CE76B6">
        <w:trPr>
          <w:jc w:val="center"/>
        </w:trPr>
        <w:tc>
          <w:tcPr>
            <w:tcW w:w="944" w:type="dxa"/>
            <w:tcBorders>
              <w:top w:val="single" w:sz="4" w:space="0" w:color="000000"/>
              <w:left w:val="single" w:sz="4" w:space="0" w:color="000000"/>
              <w:bottom w:val="single" w:sz="4" w:space="0" w:color="000000"/>
            </w:tcBorders>
            <w:shd w:val="clear" w:color="auto" w:fill="auto"/>
            <w:vAlign w:val="center"/>
          </w:tcPr>
          <w:p w14:paraId="4B2080CE"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P4</w:t>
            </w:r>
          </w:p>
        </w:tc>
        <w:tc>
          <w:tcPr>
            <w:tcW w:w="1414" w:type="dxa"/>
            <w:tcBorders>
              <w:top w:val="single" w:sz="4" w:space="0" w:color="000000"/>
              <w:left w:val="single" w:sz="4" w:space="0" w:color="000000"/>
              <w:bottom w:val="single" w:sz="4" w:space="0" w:color="000000"/>
            </w:tcBorders>
            <w:shd w:val="clear" w:color="auto" w:fill="auto"/>
            <w:vAlign w:val="center"/>
          </w:tcPr>
          <w:p w14:paraId="38FA3288"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8</w:t>
            </w:r>
          </w:p>
        </w:tc>
        <w:tc>
          <w:tcPr>
            <w:tcW w:w="1260" w:type="dxa"/>
            <w:tcBorders>
              <w:top w:val="single" w:sz="4" w:space="0" w:color="000000"/>
              <w:left w:val="single" w:sz="4" w:space="0" w:color="000000"/>
              <w:bottom w:val="single" w:sz="4" w:space="0" w:color="000000"/>
            </w:tcBorders>
            <w:shd w:val="clear" w:color="auto" w:fill="auto"/>
            <w:vAlign w:val="center"/>
          </w:tcPr>
          <w:p w14:paraId="7171611F"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6</w:t>
            </w:r>
          </w:p>
        </w:tc>
        <w:tc>
          <w:tcPr>
            <w:tcW w:w="1260" w:type="dxa"/>
            <w:tcBorders>
              <w:top w:val="single" w:sz="4" w:space="0" w:color="000000"/>
              <w:left w:val="single" w:sz="4" w:space="0" w:color="000000"/>
              <w:bottom w:val="single" w:sz="4" w:space="0" w:color="000000"/>
            </w:tcBorders>
            <w:shd w:val="clear" w:color="auto" w:fill="auto"/>
            <w:vAlign w:val="center"/>
          </w:tcPr>
          <w:p w14:paraId="25A7DAAC"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w:t>
            </w:r>
          </w:p>
        </w:tc>
        <w:tc>
          <w:tcPr>
            <w:tcW w:w="1350" w:type="dxa"/>
            <w:tcBorders>
              <w:top w:val="single" w:sz="4" w:space="0" w:color="000000"/>
              <w:left w:val="single" w:sz="4" w:space="0" w:color="000000"/>
              <w:bottom w:val="single" w:sz="4" w:space="0" w:color="000000"/>
            </w:tcBorders>
            <w:shd w:val="clear" w:color="auto" w:fill="auto"/>
            <w:vAlign w:val="center"/>
          </w:tcPr>
          <w:p w14:paraId="337CCE6E" w14:textId="77777777" w:rsidR="008B1233" w:rsidRPr="008B1233" w:rsidRDefault="008B1233" w:rsidP="008B1233">
            <w:pPr>
              <w:widowControl w:val="0"/>
              <w:suppressAutoHyphens/>
              <w:spacing w:after="0" w:line="240" w:lineRule="auto"/>
              <w:jc w:val="center"/>
              <w:rPr>
                <w:rFonts w:ascii="Arial" w:hAnsi="Arial" w:cs="Arial"/>
                <w:color w:val="000000"/>
                <w:kern w:val="1"/>
                <w:sz w:val="20"/>
                <w:szCs w:val="24"/>
                <w:lang w:val="ro-RO" w:eastAsia="zh-CN" w:bidi="hi-IN"/>
              </w:rPr>
            </w:pPr>
            <w:r w:rsidRPr="008B1233">
              <w:rPr>
                <w:rFonts w:ascii="Arial" w:hAnsi="Arial" w:cs="Arial"/>
                <w:color w:val="000000"/>
                <w:kern w:val="1"/>
                <w:sz w:val="20"/>
                <w:szCs w:val="24"/>
                <w:lang w:val="ro-RO" w:eastAsia="zh-CN" w:bidi="hi-IN"/>
              </w:rPr>
              <w:t>1</w:t>
            </w:r>
          </w:p>
        </w:tc>
        <w:tc>
          <w:tcPr>
            <w:tcW w:w="1260" w:type="dxa"/>
            <w:tcBorders>
              <w:top w:val="single" w:sz="4" w:space="0" w:color="000000"/>
              <w:left w:val="single" w:sz="4" w:space="0" w:color="000000"/>
              <w:bottom w:val="single" w:sz="4" w:space="0" w:color="000000"/>
              <w:right w:val="single" w:sz="4" w:space="0" w:color="auto"/>
            </w:tcBorders>
            <w:shd w:val="clear" w:color="auto" w:fill="CCCCCC"/>
            <w:vAlign w:val="center"/>
          </w:tcPr>
          <w:p w14:paraId="5608128C" w14:textId="77777777" w:rsidR="008B1233" w:rsidRPr="008B1233" w:rsidRDefault="008B1233" w:rsidP="008B1233">
            <w:pPr>
              <w:widowControl w:val="0"/>
              <w:suppressAutoHyphens/>
              <w:snapToGrid w:val="0"/>
              <w:spacing w:after="0" w:line="240" w:lineRule="auto"/>
              <w:jc w:val="center"/>
              <w:rPr>
                <w:rFonts w:ascii="Arial" w:hAnsi="Arial" w:cs="Arial"/>
                <w:color w:val="000000"/>
                <w:kern w:val="1"/>
                <w:sz w:val="20"/>
                <w:szCs w:val="24"/>
                <w:lang w:val="ro-RO" w:eastAsia="zh-CN" w:bidi="hi-IN"/>
              </w:rPr>
            </w:pPr>
          </w:p>
        </w:tc>
      </w:tr>
    </w:tbl>
    <w:p w14:paraId="64F6946A" w14:textId="03BC6423" w:rsidR="008B1233" w:rsidRDefault="008B1233" w:rsidP="008B1233"/>
    <w:p w14:paraId="6D5A467D" w14:textId="0CB058BF" w:rsidR="008B1233" w:rsidRPr="008B1233" w:rsidRDefault="008B1233" w:rsidP="008B1233">
      <w:pPr>
        <w:jc w:val="center"/>
      </w:pPr>
      <w:r w:rsidRPr="008B1233">
        <w:rPr>
          <w:rFonts w:ascii="Calibri" w:hAnsi="Calibri" w:cs="Times New Roman"/>
          <w:noProof/>
        </w:rPr>
        <w:lastRenderedPageBreak/>
        <w:drawing>
          <wp:inline distT="0" distB="0" distL="0" distR="0" wp14:anchorId="64493E59" wp14:editId="64D1319B">
            <wp:extent cx="5486400" cy="4054929"/>
            <wp:effectExtent l="0" t="0" r="0" b="317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490330" cy="4057833"/>
                    </a:xfrm>
                    <a:prstGeom prst="rect">
                      <a:avLst/>
                    </a:prstGeom>
                  </pic:spPr>
                </pic:pic>
              </a:graphicData>
            </a:graphic>
          </wp:inline>
        </w:drawing>
      </w:r>
    </w:p>
    <w:p w14:paraId="5B818951" w14:textId="1E040DB9" w:rsidR="00240B38" w:rsidRPr="008B1233" w:rsidRDefault="008B1233" w:rsidP="008B1233">
      <w:pPr>
        <w:pStyle w:val="Legend"/>
        <w:jc w:val="center"/>
        <w:rPr>
          <w:rFonts w:ascii="Arial" w:hAnsi="Arial" w:cs="Arial"/>
          <w:i w:val="0"/>
          <w:iCs w:val="0"/>
          <w:sz w:val="22"/>
          <w:szCs w:val="22"/>
          <w:lang w:val="it-IT" w:eastAsia="ro-RO"/>
        </w:rPr>
      </w:pPr>
      <w:bookmarkStart w:id="229" w:name="_Toc140744502"/>
      <w:r w:rsidRPr="008B1233">
        <w:rPr>
          <w:rFonts w:ascii="Arial" w:hAnsi="Arial" w:cs="Arial"/>
          <w:sz w:val="22"/>
          <w:szCs w:val="22"/>
        </w:rPr>
        <w:t xml:space="preserve">Figura I.3. </w:t>
      </w:r>
      <w:r w:rsidRPr="008B1233">
        <w:rPr>
          <w:rFonts w:ascii="Arial" w:hAnsi="Arial" w:cs="Arial"/>
          <w:sz w:val="22"/>
          <w:szCs w:val="22"/>
        </w:rPr>
        <w:fldChar w:fldCharType="begin"/>
      </w:r>
      <w:r w:rsidRPr="008B1233">
        <w:rPr>
          <w:rFonts w:ascii="Arial" w:hAnsi="Arial" w:cs="Arial"/>
          <w:sz w:val="22"/>
          <w:szCs w:val="22"/>
        </w:rPr>
        <w:instrText xml:space="preserve"> SEQ Figura_I.3. \* ARABIC </w:instrText>
      </w:r>
      <w:r w:rsidRPr="008B1233">
        <w:rPr>
          <w:rFonts w:ascii="Arial" w:hAnsi="Arial" w:cs="Arial"/>
          <w:sz w:val="22"/>
          <w:szCs w:val="22"/>
        </w:rPr>
        <w:fldChar w:fldCharType="separate"/>
      </w:r>
      <w:r w:rsidR="00BB181C">
        <w:rPr>
          <w:rFonts w:ascii="Arial" w:hAnsi="Arial" w:cs="Arial"/>
          <w:noProof/>
          <w:sz w:val="22"/>
          <w:szCs w:val="22"/>
        </w:rPr>
        <w:t>25</w:t>
      </w:r>
      <w:r w:rsidRPr="008B1233">
        <w:rPr>
          <w:rFonts w:ascii="Arial" w:hAnsi="Arial" w:cs="Arial"/>
          <w:sz w:val="22"/>
          <w:szCs w:val="22"/>
        </w:rPr>
        <w:fldChar w:fldCharType="end"/>
      </w:r>
      <w:r w:rsidRPr="008B1233">
        <w:rPr>
          <w:rFonts w:ascii="Arial" w:hAnsi="Arial" w:cs="Arial"/>
          <w:sz w:val="22"/>
          <w:szCs w:val="22"/>
        </w:rPr>
        <w:t xml:space="preserve"> - </w:t>
      </w:r>
      <w:r w:rsidRPr="008B1233">
        <w:rPr>
          <w:rFonts w:ascii="Arial" w:hAnsi="Arial" w:cs="Arial"/>
          <w:i w:val="0"/>
          <w:iCs w:val="0"/>
          <w:sz w:val="22"/>
          <w:szCs w:val="22"/>
        </w:rPr>
        <w:t>Fluxurile de penetrație în municipiul pentru CAR si LGV în ora de vârf PM</w:t>
      </w:r>
      <w:bookmarkEnd w:id="229"/>
    </w:p>
    <w:p w14:paraId="137DDAFF" w14:textId="32F83C5D" w:rsidR="00240B38" w:rsidRDefault="008B1233" w:rsidP="000C5B2B">
      <w:pPr>
        <w:jc w:val="center"/>
        <w:rPr>
          <w:lang w:val="it-IT" w:eastAsia="ro-RO"/>
        </w:rPr>
      </w:pPr>
      <w:r w:rsidRPr="008B1233">
        <w:rPr>
          <w:rFonts w:ascii="Calibri" w:hAnsi="Calibri" w:cs="Times New Roman"/>
          <w:noProof/>
        </w:rPr>
        <w:drawing>
          <wp:inline distT="0" distB="0" distL="0" distR="0" wp14:anchorId="783083B7" wp14:editId="6B820559">
            <wp:extent cx="5410200" cy="3998611"/>
            <wp:effectExtent l="0" t="0" r="0" b="190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427754" cy="4011585"/>
                    </a:xfrm>
                    <a:prstGeom prst="rect">
                      <a:avLst/>
                    </a:prstGeom>
                  </pic:spPr>
                </pic:pic>
              </a:graphicData>
            </a:graphic>
          </wp:inline>
        </w:drawing>
      </w:r>
    </w:p>
    <w:p w14:paraId="5E472015" w14:textId="3147B72E" w:rsidR="000C5B2B" w:rsidRPr="00D15C24" w:rsidRDefault="00D15C24" w:rsidP="00D15C24">
      <w:pPr>
        <w:pStyle w:val="Legend"/>
        <w:jc w:val="center"/>
        <w:rPr>
          <w:rFonts w:ascii="Arial" w:hAnsi="Arial" w:cs="Arial"/>
          <w:i w:val="0"/>
          <w:iCs w:val="0"/>
          <w:sz w:val="22"/>
          <w:szCs w:val="22"/>
          <w:lang w:val="ro-RO"/>
        </w:rPr>
      </w:pPr>
      <w:bookmarkStart w:id="230" w:name="_Toc140744503"/>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26</w:t>
      </w:r>
      <w:r w:rsidRPr="0001072E">
        <w:rPr>
          <w:rFonts w:ascii="Arial" w:hAnsi="Arial" w:cs="Arial"/>
          <w:sz w:val="22"/>
          <w:szCs w:val="22"/>
        </w:rPr>
        <w:fldChar w:fldCharType="end"/>
      </w:r>
      <w:r w:rsidRPr="0001072E">
        <w:rPr>
          <w:rFonts w:ascii="Arial" w:hAnsi="Arial" w:cs="Arial"/>
          <w:sz w:val="22"/>
          <w:szCs w:val="22"/>
        </w:rPr>
        <w:t xml:space="preserve"> </w:t>
      </w:r>
      <w:r w:rsidR="000C5B2B" w:rsidRPr="0001072E">
        <w:rPr>
          <w:rFonts w:ascii="Arial" w:hAnsi="Arial" w:cs="Arial"/>
          <w:sz w:val="22"/>
          <w:szCs w:val="22"/>
          <w:lang w:val="ro-RO"/>
        </w:rPr>
        <w:t xml:space="preserve">- </w:t>
      </w:r>
      <w:r w:rsidR="000C5B2B" w:rsidRPr="0001072E">
        <w:rPr>
          <w:rFonts w:ascii="Arial" w:hAnsi="Arial" w:cs="Arial"/>
          <w:i w:val="0"/>
          <w:iCs w:val="0"/>
          <w:sz w:val="22"/>
          <w:szCs w:val="22"/>
          <w:lang w:val="ro-RO"/>
        </w:rPr>
        <w:t>Fluxurile de tranzit pentru CAR și LGV în ora de vârf PM</w:t>
      </w:r>
      <w:bookmarkEnd w:id="230"/>
    </w:p>
    <w:p w14:paraId="69A6AF5A" w14:textId="4732AB4F" w:rsidR="00A02098" w:rsidRDefault="008B1233" w:rsidP="008B1233">
      <w:pPr>
        <w:jc w:val="center"/>
      </w:pPr>
      <w:r w:rsidRPr="008B1233">
        <w:rPr>
          <w:rFonts w:ascii="Arial" w:hAnsi="Arial" w:cs="Mangal"/>
          <w:noProof/>
          <w:kern w:val="1"/>
          <w:sz w:val="24"/>
          <w:szCs w:val="24"/>
        </w:rPr>
        <w:lastRenderedPageBreak/>
        <w:drawing>
          <wp:inline distT="0" distB="0" distL="0" distR="0" wp14:anchorId="09766AD6" wp14:editId="1EED55AE">
            <wp:extent cx="5539255" cy="4094233"/>
            <wp:effectExtent l="0" t="0" r="4445" b="190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pic:cNvPicPr>
                      <a:picLocks noChangeAspect="1" noChangeArrowheads="1"/>
                    </pic:cNvPicPr>
                  </pic:nvPicPr>
                  <pic:blipFill>
                    <a:blip r:embed="rId121" cstate="print">
                      <a:extLst>
                        <a:ext uri="{28A0092B-C50C-407E-A947-70E740481C1C}">
                          <a14:useLocalDpi xmlns:a14="http://schemas.microsoft.com/office/drawing/2010/main" val="0"/>
                        </a:ext>
                      </a:extLst>
                    </a:blip>
                    <a:stretch>
                      <a:fillRect/>
                    </a:stretch>
                  </pic:blipFill>
                  <pic:spPr bwMode="auto">
                    <a:xfrm>
                      <a:off x="0" y="0"/>
                      <a:ext cx="5567728" cy="4115278"/>
                    </a:xfrm>
                    <a:prstGeom prst="rect">
                      <a:avLst/>
                    </a:prstGeom>
                    <a:noFill/>
                    <a:ln>
                      <a:noFill/>
                    </a:ln>
                  </pic:spPr>
                </pic:pic>
              </a:graphicData>
            </a:graphic>
          </wp:inline>
        </w:drawing>
      </w:r>
    </w:p>
    <w:p w14:paraId="7DE2CD5D" w14:textId="65D2D9B0" w:rsidR="008B1233" w:rsidRDefault="008B1233" w:rsidP="008B1233">
      <w:pPr>
        <w:pStyle w:val="Legend"/>
        <w:jc w:val="center"/>
        <w:rPr>
          <w:rFonts w:ascii="Arial" w:hAnsi="Arial" w:cs="Arial"/>
          <w:i w:val="0"/>
          <w:iCs w:val="0"/>
          <w:sz w:val="22"/>
          <w:szCs w:val="22"/>
        </w:rPr>
      </w:pPr>
      <w:bookmarkStart w:id="231" w:name="_Toc140744504"/>
      <w:r w:rsidRPr="008B1233">
        <w:rPr>
          <w:rFonts w:ascii="Arial" w:hAnsi="Arial" w:cs="Arial"/>
          <w:sz w:val="22"/>
          <w:szCs w:val="22"/>
        </w:rPr>
        <w:t xml:space="preserve">Figura I.3. </w:t>
      </w:r>
      <w:r w:rsidRPr="008B1233">
        <w:rPr>
          <w:rFonts w:ascii="Arial" w:hAnsi="Arial" w:cs="Arial"/>
          <w:sz w:val="22"/>
          <w:szCs w:val="22"/>
        </w:rPr>
        <w:fldChar w:fldCharType="begin"/>
      </w:r>
      <w:r w:rsidRPr="008B1233">
        <w:rPr>
          <w:rFonts w:ascii="Arial" w:hAnsi="Arial" w:cs="Arial"/>
          <w:sz w:val="22"/>
          <w:szCs w:val="22"/>
        </w:rPr>
        <w:instrText xml:space="preserve"> SEQ Figura_I.3. \* ARABIC </w:instrText>
      </w:r>
      <w:r w:rsidRPr="008B1233">
        <w:rPr>
          <w:rFonts w:ascii="Arial" w:hAnsi="Arial" w:cs="Arial"/>
          <w:sz w:val="22"/>
          <w:szCs w:val="22"/>
        </w:rPr>
        <w:fldChar w:fldCharType="separate"/>
      </w:r>
      <w:r w:rsidR="00BB181C">
        <w:rPr>
          <w:rFonts w:ascii="Arial" w:hAnsi="Arial" w:cs="Arial"/>
          <w:noProof/>
          <w:sz w:val="22"/>
          <w:szCs w:val="22"/>
        </w:rPr>
        <w:t>27</w:t>
      </w:r>
      <w:r w:rsidRPr="008B1233">
        <w:rPr>
          <w:rFonts w:ascii="Arial" w:hAnsi="Arial" w:cs="Arial"/>
          <w:sz w:val="22"/>
          <w:szCs w:val="22"/>
        </w:rPr>
        <w:fldChar w:fldCharType="end"/>
      </w:r>
      <w:r w:rsidRPr="008B1233">
        <w:rPr>
          <w:rFonts w:ascii="Arial" w:hAnsi="Arial" w:cs="Arial"/>
          <w:sz w:val="22"/>
          <w:szCs w:val="22"/>
        </w:rPr>
        <w:t xml:space="preserve"> </w:t>
      </w:r>
      <w:r w:rsidRPr="008B1233">
        <w:rPr>
          <w:rFonts w:ascii="Arial" w:hAnsi="Arial" w:cs="Arial"/>
          <w:i w:val="0"/>
          <w:iCs w:val="0"/>
          <w:sz w:val="22"/>
          <w:szCs w:val="22"/>
        </w:rPr>
        <w:t>- Fluxurile de penetrație în municipiul pentru HGV în ora de vârf PM</w:t>
      </w:r>
      <w:bookmarkEnd w:id="231"/>
    </w:p>
    <w:p w14:paraId="6C06A1CA" w14:textId="77777777" w:rsidR="008B1233" w:rsidRPr="008B1233" w:rsidRDefault="008B1233" w:rsidP="008B1233"/>
    <w:p w14:paraId="723B0AE9" w14:textId="0CF87A5A" w:rsidR="00D55BD8" w:rsidRDefault="008B1233" w:rsidP="008B1233">
      <w:pPr>
        <w:jc w:val="center"/>
      </w:pPr>
      <w:r w:rsidRPr="008B1233">
        <w:rPr>
          <w:rFonts w:ascii="Calibri" w:hAnsi="Calibri" w:cs="Times New Roman"/>
          <w:noProof/>
        </w:rPr>
        <w:lastRenderedPageBreak/>
        <w:drawing>
          <wp:inline distT="0" distB="0" distL="0" distR="0" wp14:anchorId="37431CE6" wp14:editId="24B872E8">
            <wp:extent cx="5486400" cy="4054929"/>
            <wp:effectExtent l="0" t="0" r="0" b="3175"/>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498898" cy="4064166"/>
                    </a:xfrm>
                    <a:prstGeom prst="rect">
                      <a:avLst/>
                    </a:prstGeom>
                  </pic:spPr>
                </pic:pic>
              </a:graphicData>
            </a:graphic>
          </wp:inline>
        </w:drawing>
      </w:r>
    </w:p>
    <w:p w14:paraId="337A7D87" w14:textId="11D9F6B2" w:rsidR="008B1233" w:rsidRDefault="008B1233" w:rsidP="008B1233">
      <w:pPr>
        <w:pStyle w:val="Legend"/>
        <w:jc w:val="center"/>
        <w:rPr>
          <w:rFonts w:ascii="Arial" w:hAnsi="Arial" w:cs="Arial"/>
          <w:i w:val="0"/>
          <w:iCs w:val="0"/>
          <w:sz w:val="22"/>
          <w:szCs w:val="22"/>
        </w:rPr>
      </w:pPr>
      <w:bookmarkStart w:id="232" w:name="_Toc140744505"/>
      <w:r w:rsidRPr="008B1233">
        <w:rPr>
          <w:rFonts w:ascii="Arial" w:hAnsi="Arial" w:cs="Arial"/>
          <w:sz w:val="22"/>
          <w:szCs w:val="22"/>
        </w:rPr>
        <w:t xml:space="preserve">Figura I.3. </w:t>
      </w:r>
      <w:r w:rsidRPr="008B1233">
        <w:rPr>
          <w:rFonts w:ascii="Arial" w:hAnsi="Arial" w:cs="Arial"/>
          <w:sz w:val="22"/>
          <w:szCs w:val="22"/>
        </w:rPr>
        <w:fldChar w:fldCharType="begin"/>
      </w:r>
      <w:r w:rsidRPr="008B1233">
        <w:rPr>
          <w:rFonts w:ascii="Arial" w:hAnsi="Arial" w:cs="Arial"/>
          <w:sz w:val="22"/>
          <w:szCs w:val="22"/>
        </w:rPr>
        <w:instrText xml:space="preserve"> SEQ Figura_I.3. \* ARABIC </w:instrText>
      </w:r>
      <w:r w:rsidRPr="008B1233">
        <w:rPr>
          <w:rFonts w:ascii="Arial" w:hAnsi="Arial" w:cs="Arial"/>
          <w:sz w:val="22"/>
          <w:szCs w:val="22"/>
        </w:rPr>
        <w:fldChar w:fldCharType="separate"/>
      </w:r>
      <w:r w:rsidR="00BB181C">
        <w:rPr>
          <w:rFonts w:ascii="Arial" w:hAnsi="Arial" w:cs="Arial"/>
          <w:noProof/>
          <w:sz w:val="22"/>
          <w:szCs w:val="22"/>
        </w:rPr>
        <w:t>28</w:t>
      </w:r>
      <w:r w:rsidRPr="008B1233">
        <w:rPr>
          <w:rFonts w:ascii="Arial" w:hAnsi="Arial" w:cs="Arial"/>
          <w:sz w:val="22"/>
          <w:szCs w:val="22"/>
        </w:rPr>
        <w:fldChar w:fldCharType="end"/>
      </w:r>
      <w:r w:rsidRPr="008B1233">
        <w:rPr>
          <w:rFonts w:ascii="Arial" w:hAnsi="Arial" w:cs="Arial"/>
          <w:sz w:val="22"/>
          <w:szCs w:val="22"/>
        </w:rPr>
        <w:t xml:space="preserve"> - </w:t>
      </w:r>
      <w:r w:rsidRPr="008B1233">
        <w:rPr>
          <w:rFonts w:ascii="Arial" w:hAnsi="Arial" w:cs="Arial"/>
          <w:i w:val="0"/>
          <w:iCs w:val="0"/>
          <w:sz w:val="22"/>
          <w:szCs w:val="22"/>
        </w:rPr>
        <w:t>Fluxurile de tranzit pentru HGV în ora de vârf PM</w:t>
      </w:r>
      <w:bookmarkEnd w:id="232"/>
    </w:p>
    <w:p w14:paraId="39DA7572" w14:textId="0CD86D2F" w:rsidR="008B1233" w:rsidRDefault="008B1233" w:rsidP="008B1233"/>
    <w:p w14:paraId="5E1E83EE" w14:textId="77777777" w:rsidR="00D70AEA" w:rsidRDefault="00D70AEA" w:rsidP="003430C5">
      <w:pPr>
        <w:pStyle w:val="Titlu2"/>
        <w:rPr>
          <w:rFonts w:ascii="Arial" w:eastAsia="Times New Roman" w:hAnsi="Arial" w:cs="Arial"/>
          <w:b/>
          <w:bCs/>
          <w:color w:val="auto"/>
          <w:sz w:val="24"/>
          <w:szCs w:val="24"/>
          <w:lang w:val="it-IT" w:eastAsia="ro-RO"/>
        </w:rPr>
      </w:pPr>
      <w:bookmarkStart w:id="233" w:name="_Toc61264898"/>
      <w:bookmarkStart w:id="234" w:name="_Toc142039076"/>
      <w:r w:rsidRPr="003430C5">
        <w:rPr>
          <w:rFonts w:ascii="Arial" w:eastAsia="Times New Roman" w:hAnsi="Arial" w:cs="Arial"/>
          <w:b/>
          <w:bCs/>
          <w:color w:val="auto"/>
          <w:sz w:val="24"/>
          <w:szCs w:val="24"/>
          <w:lang w:val="it-IT" w:eastAsia="ro-RO"/>
        </w:rPr>
        <w:t>I.3.3</w:t>
      </w:r>
      <w:r w:rsid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Dezvoltarea retelei de transport</w:t>
      </w:r>
      <w:bookmarkEnd w:id="233"/>
      <w:bookmarkEnd w:id="234"/>
    </w:p>
    <w:p w14:paraId="53B821E5" w14:textId="77777777" w:rsidR="00D6124B" w:rsidRPr="00D55BD8" w:rsidRDefault="007B7857" w:rsidP="00D6124B">
      <w:pPr>
        <w:widowControl w:val="0"/>
        <w:suppressAutoHyphens/>
        <w:spacing w:after="0" w:line="360" w:lineRule="auto"/>
        <w:rPr>
          <w:rFonts w:ascii="Arial" w:hAnsi="Arial" w:cs="Mangal"/>
          <w:b/>
          <w:i/>
          <w:kern w:val="1"/>
          <w:lang w:val="ro-RO" w:eastAsia="hi-IN" w:bidi="hi-IN"/>
        </w:rPr>
      </w:pPr>
      <w:r w:rsidRPr="00D55BD8">
        <w:rPr>
          <w:rFonts w:ascii="Arial" w:hAnsi="Arial" w:cs="Mangal"/>
          <w:b/>
          <w:i/>
          <w:kern w:val="1"/>
          <w:lang w:val="ro-RO" w:eastAsia="hi-IN" w:bidi="hi-IN"/>
        </w:rPr>
        <w:t>Modelul anului de Bază</w:t>
      </w:r>
      <w:r w:rsidR="00D6124B" w:rsidRPr="00D55BD8">
        <w:rPr>
          <w:rFonts w:ascii="Arial" w:hAnsi="Arial" w:cs="Mangal"/>
          <w:b/>
          <w:i/>
          <w:kern w:val="1"/>
          <w:lang w:val="ro-RO" w:eastAsia="hi-IN" w:bidi="hi-IN"/>
        </w:rPr>
        <w:t xml:space="preserve"> 202</w:t>
      </w:r>
      <w:r w:rsidR="000A1DF8">
        <w:rPr>
          <w:rFonts w:ascii="Arial" w:hAnsi="Arial" w:cs="Mangal"/>
          <w:b/>
          <w:i/>
          <w:kern w:val="1"/>
          <w:lang w:val="ro-RO" w:eastAsia="hi-IN" w:bidi="hi-IN"/>
        </w:rPr>
        <w:t>1</w:t>
      </w:r>
    </w:p>
    <w:p w14:paraId="59F91F43" w14:textId="77777777" w:rsidR="00D6124B" w:rsidRPr="00D55BD8" w:rsidRDefault="007B7857" w:rsidP="00D6124B">
      <w:pPr>
        <w:widowControl w:val="0"/>
        <w:suppressAutoHyphens/>
        <w:spacing w:after="0" w:line="360" w:lineRule="auto"/>
        <w:rPr>
          <w:rFonts w:ascii="Arial" w:hAnsi="Arial" w:cs="Mangal"/>
          <w:b/>
          <w:kern w:val="1"/>
          <w:lang w:val="ro-RO" w:eastAsia="hi-IN" w:bidi="hi-IN"/>
        </w:rPr>
      </w:pPr>
      <w:bookmarkStart w:id="235" w:name="_Toc497344202"/>
      <w:r w:rsidRPr="00D55BD8">
        <w:rPr>
          <w:rFonts w:ascii="Arial" w:hAnsi="Arial" w:cs="Mangal"/>
          <w:b/>
          <w:kern w:val="1"/>
          <w:lang w:val="ro-RO" w:eastAsia="hi-IN" w:bidi="hi-IN"/>
        </w:rPr>
        <w:t>Zonificarea şi Reţ</w:t>
      </w:r>
      <w:r w:rsidR="00D6124B" w:rsidRPr="00D55BD8">
        <w:rPr>
          <w:rFonts w:ascii="Arial" w:hAnsi="Arial" w:cs="Mangal"/>
          <w:b/>
          <w:kern w:val="1"/>
          <w:lang w:val="ro-RO" w:eastAsia="hi-IN" w:bidi="hi-IN"/>
        </w:rPr>
        <w:t>eaua de Drumuri</w:t>
      </w:r>
      <w:bookmarkEnd w:id="235"/>
    </w:p>
    <w:p w14:paraId="45313BB6" w14:textId="77777777" w:rsidR="00D6124B" w:rsidRPr="007B7857" w:rsidRDefault="007B7857" w:rsidP="007B7857">
      <w:pPr>
        <w:widowControl w:val="0"/>
        <w:suppressAutoHyphens/>
        <w:spacing w:after="0" w:line="276" w:lineRule="auto"/>
        <w:jc w:val="both"/>
        <w:rPr>
          <w:rFonts w:ascii="Arial" w:hAnsi="Arial" w:cs="Arial"/>
          <w:kern w:val="1"/>
          <w:lang w:val="es-ES" w:eastAsia="hi-IN" w:bidi="hi-IN"/>
        </w:rPr>
      </w:pPr>
      <w:r w:rsidRPr="007B7857">
        <w:rPr>
          <w:rFonts w:ascii="Arial" w:hAnsi="Arial" w:cs="Arial"/>
          <w:kern w:val="1"/>
          <w:lang w:val="es-ES" w:eastAsia="hi-IN" w:bidi="hi-IN"/>
        </w:rPr>
        <w:t>Pentru a evidenția modul în care se produc redistribuiri de trafic pe rețeaua de drumuri, graful rețea al modelului de trafic trebuie să fie suficient de extins ca și teritoriu, dar și detaliat pentru a putea face o analiză fundamentată a traficului atras/generat de sectoarele drumurilor supuse studiului</w:t>
      </w:r>
      <w:r w:rsidR="00D6124B" w:rsidRPr="007B7857">
        <w:rPr>
          <w:rFonts w:ascii="Arial" w:hAnsi="Arial" w:cs="Arial"/>
          <w:kern w:val="1"/>
          <w:lang w:val="es-ES" w:eastAsia="hi-IN" w:bidi="hi-IN"/>
        </w:rPr>
        <w:t>.</w:t>
      </w:r>
    </w:p>
    <w:p w14:paraId="0CCC7DF3" w14:textId="77777777" w:rsidR="00D6124B" w:rsidRPr="00D6124B" w:rsidRDefault="00D6124B" w:rsidP="00D6124B">
      <w:pPr>
        <w:widowControl w:val="0"/>
        <w:suppressAutoHyphens/>
        <w:spacing w:after="0" w:line="360" w:lineRule="auto"/>
        <w:jc w:val="both"/>
        <w:rPr>
          <w:rFonts w:ascii="Arial" w:hAnsi="Arial" w:cs="Arial"/>
          <w:kern w:val="1"/>
          <w:sz w:val="24"/>
          <w:szCs w:val="24"/>
          <w:lang w:val="es-ES" w:eastAsia="hi-IN" w:bidi="hi-IN"/>
        </w:rPr>
      </w:pPr>
    </w:p>
    <w:p w14:paraId="1C089C09" w14:textId="77777777" w:rsidR="00D6124B" w:rsidRPr="007B7857" w:rsidRDefault="007B7857" w:rsidP="007B7857">
      <w:pPr>
        <w:widowControl w:val="0"/>
        <w:suppressAutoHyphens/>
        <w:spacing w:after="0" w:line="276" w:lineRule="auto"/>
        <w:jc w:val="both"/>
        <w:rPr>
          <w:rFonts w:ascii="Arial" w:hAnsi="Arial" w:cs="Arial"/>
          <w:kern w:val="1"/>
          <w:lang w:val="es-ES" w:eastAsia="hi-IN" w:bidi="hi-IN"/>
        </w:rPr>
      </w:pPr>
      <w:r w:rsidRPr="007B7857">
        <w:rPr>
          <w:rFonts w:ascii="Arial" w:hAnsi="Arial" w:cs="Arial"/>
          <w:kern w:val="1"/>
          <w:lang w:val="es-ES" w:eastAsia="hi-IN" w:bidi="hi-IN"/>
        </w:rPr>
        <w:t xml:space="preserve">O rețea de transport modelată ale cărei caracteristici să corespundă cât mai bine rețelei reale este un </w:t>
      </w:r>
      <w:r w:rsidRPr="007B7857">
        <w:rPr>
          <w:rFonts w:ascii="Arial" w:hAnsi="Arial" w:cs="Arial"/>
          <w:b/>
          <w:i/>
          <w:kern w:val="1"/>
          <w:lang w:val="es-ES" w:eastAsia="hi-IN" w:bidi="hi-IN"/>
        </w:rPr>
        <w:t>prim</w:t>
      </w:r>
      <w:r w:rsidRPr="007B7857">
        <w:rPr>
          <w:rFonts w:ascii="Arial" w:hAnsi="Arial" w:cs="Arial"/>
          <w:kern w:val="1"/>
          <w:lang w:val="es-ES" w:eastAsia="hi-IN" w:bidi="hi-IN"/>
        </w:rPr>
        <w:t xml:space="preserve"> pas în confirmarea unui model de transport corect realizat. Modelarea rețelelor de transport se face prin noduri și legături între acestea, fiind necesară cunoașterea caracteristicilor acestor elemente precum</w:t>
      </w:r>
      <w:r w:rsidR="00D6124B" w:rsidRPr="007B7857">
        <w:rPr>
          <w:rFonts w:ascii="Arial" w:hAnsi="Arial" w:cs="Arial"/>
          <w:kern w:val="1"/>
          <w:lang w:val="es-ES" w:eastAsia="hi-IN" w:bidi="hi-IN"/>
        </w:rPr>
        <w:t xml:space="preserve">: </w:t>
      </w:r>
    </w:p>
    <w:p w14:paraId="1156C70F" w14:textId="77777777" w:rsidR="00D6124B" w:rsidRPr="007B7857" w:rsidRDefault="007B7857" w:rsidP="000C6CB8">
      <w:pPr>
        <w:pStyle w:val="Listparagraf"/>
        <w:numPr>
          <w:ilvl w:val="0"/>
          <w:numId w:val="149"/>
        </w:numPr>
        <w:spacing w:after="0"/>
        <w:jc w:val="both"/>
        <w:rPr>
          <w:rFonts w:ascii="Arial" w:hAnsi="Arial" w:cs="Arial"/>
          <w:lang w:val="ro-RO"/>
        </w:rPr>
      </w:pPr>
      <w:r w:rsidRPr="007B7857">
        <w:rPr>
          <w:rFonts w:ascii="Arial" w:hAnsi="Arial" w:cs="Arial"/>
          <w:lang w:val="ro-RO"/>
        </w:rPr>
        <w:t>capacitate de circulaţie, regulile şi reglementările de circulaţ</w:t>
      </w:r>
      <w:r w:rsidR="00D6124B" w:rsidRPr="007B7857">
        <w:rPr>
          <w:rFonts w:ascii="Arial" w:hAnsi="Arial" w:cs="Arial"/>
          <w:lang w:val="ro-RO"/>
        </w:rPr>
        <w:t>ie specifice;</w:t>
      </w:r>
    </w:p>
    <w:p w14:paraId="491F505B" w14:textId="77777777" w:rsidR="00D6124B" w:rsidRPr="007B7857" w:rsidRDefault="007B7857" w:rsidP="000C6CB8">
      <w:pPr>
        <w:pStyle w:val="Listparagraf"/>
        <w:numPr>
          <w:ilvl w:val="0"/>
          <w:numId w:val="149"/>
        </w:numPr>
        <w:spacing w:after="0"/>
        <w:jc w:val="both"/>
        <w:rPr>
          <w:rFonts w:ascii="Arial" w:hAnsi="Arial" w:cs="Arial"/>
          <w:lang w:val="ro-RO"/>
        </w:rPr>
      </w:pPr>
      <w:r w:rsidRPr="007B7857">
        <w:rPr>
          <w:rFonts w:ascii="Arial" w:hAnsi="Arial" w:cs="Arial"/>
          <w:lang w:val="ro-RO"/>
        </w:rPr>
        <w:t>lungime, numă</w:t>
      </w:r>
      <w:r w:rsidR="00D6124B" w:rsidRPr="007B7857">
        <w:rPr>
          <w:rFonts w:ascii="Arial" w:hAnsi="Arial" w:cs="Arial"/>
          <w:lang w:val="ro-RO"/>
        </w:rPr>
        <w:t>r de be</w:t>
      </w:r>
      <w:r w:rsidRPr="007B7857">
        <w:rPr>
          <w:rFonts w:ascii="Arial" w:hAnsi="Arial" w:cs="Arial"/>
          <w:lang w:val="ro-RO"/>
        </w:rPr>
        <w:t>nzi/sens, capacitate de circulaţie/bandă, viteza maximă admisă, s</w:t>
      </w:r>
      <w:r w:rsidR="00D6124B" w:rsidRPr="007B7857">
        <w:rPr>
          <w:rFonts w:ascii="Arial" w:hAnsi="Arial" w:cs="Arial"/>
          <w:lang w:val="ro-RO"/>
        </w:rPr>
        <w:t>isteme de transport;</w:t>
      </w:r>
    </w:p>
    <w:p w14:paraId="515A9EF4" w14:textId="77777777" w:rsidR="00D6124B" w:rsidRPr="007B7857" w:rsidRDefault="00D6124B" w:rsidP="007B7857">
      <w:pPr>
        <w:widowControl w:val="0"/>
        <w:suppressAutoHyphens/>
        <w:spacing w:after="0" w:line="276" w:lineRule="auto"/>
        <w:jc w:val="both"/>
        <w:rPr>
          <w:rFonts w:ascii="Arial" w:hAnsi="Arial" w:cs="Arial"/>
          <w:kern w:val="1"/>
          <w:lang w:val="es-ES" w:eastAsia="hi-IN" w:bidi="hi-IN"/>
        </w:rPr>
      </w:pPr>
    </w:p>
    <w:p w14:paraId="1C90E610" w14:textId="77777777" w:rsidR="00D6124B" w:rsidRPr="007B7857" w:rsidRDefault="007B7857" w:rsidP="007B7857">
      <w:pPr>
        <w:widowControl w:val="0"/>
        <w:suppressAutoHyphens/>
        <w:spacing w:after="0" w:line="276" w:lineRule="auto"/>
        <w:jc w:val="both"/>
        <w:rPr>
          <w:rFonts w:ascii="Arial" w:hAnsi="Arial" w:cs="Arial"/>
          <w:kern w:val="1"/>
          <w:lang w:val="es-ES" w:eastAsia="hi-IN" w:bidi="hi-IN"/>
        </w:rPr>
      </w:pPr>
      <w:r>
        <w:rPr>
          <w:rFonts w:ascii="Arial" w:hAnsi="Arial" w:cs="Arial"/>
          <w:kern w:val="1"/>
          <w:lang w:val="es-ES" w:eastAsia="hi-IN" w:bidi="hi-IN"/>
        </w:rPr>
        <w:t>Astfel, pentru calibrarea ş</w:t>
      </w:r>
      <w:r w:rsidR="00D6124B" w:rsidRPr="007B7857">
        <w:rPr>
          <w:rFonts w:ascii="Arial" w:hAnsi="Arial" w:cs="Arial"/>
          <w:kern w:val="1"/>
          <w:lang w:val="es-ES" w:eastAsia="hi-IN" w:bidi="hi-IN"/>
        </w:rPr>
        <w:t>i validarea modelului de tra</w:t>
      </w:r>
      <w:r>
        <w:rPr>
          <w:rFonts w:ascii="Arial" w:hAnsi="Arial" w:cs="Arial"/>
          <w:kern w:val="1"/>
          <w:lang w:val="es-ES" w:eastAsia="hi-IN" w:bidi="hi-IN"/>
        </w:rPr>
        <w:t>fic corespunzător anului de bază 202</w:t>
      </w:r>
      <w:r w:rsidR="000A1DF8">
        <w:rPr>
          <w:rFonts w:ascii="Arial" w:hAnsi="Arial" w:cs="Arial"/>
          <w:kern w:val="1"/>
          <w:lang w:val="es-ES" w:eastAsia="hi-IN" w:bidi="hi-IN"/>
        </w:rPr>
        <w:t>1</w:t>
      </w:r>
      <w:r>
        <w:rPr>
          <w:rFonts w:ascii="Arial" w:hAnsi="Arial" w:cs="Arial"/>
          <w:kern w:val="1"/>
          <w:lang w:val="es-ES" w:eastAsia="hi-IN" w:bidi="hi-IN"/>
        </w:rPr>
        <w:t>, s-au realizat măsurători în secţiune ale volumelor de trafic ş</w:t>
      </w:r>
      <w:r w:rsidR="00D6124B" w:rsidRPr="007B7857">
        <w:rPr>
          <w:rFonts w:ascii="Arial" w:hAnsi="Arial" w:cs="Arial"/>
          <w:kern w:val="1"/>
          <w:lang w:val="es-ES" w:eastAsia="hi-IN" w:bidi="hi-IN"/>
        </w:rPr>
        <w:t>i ale timpilor de parcurs pe categorii de vehicule.</w:t>
      </w:r>
    </w:p>
    <w:p w14:paraId="2F6F2CF6" w14:textId="77777777" w:rsidR="00D70AEA" w:rsidRDefault="00D70AEA" w:rsidP="003430C5">
      <w:pPr>
        <w:pStyle w:val="Titlu2"/>
        <w:rPr>
          <w:rFonts w:ascii="Arial" w:eastAsia="Times New Roman" w:hAnsi="Arial" w:cs="Arial"/>
          <w:b/>
          <w:bCs/>
          <w:color w:val="auto"/>
          <w:sz w:val="24"/>
          <w:szCs w:val="24"/>
          <w:lang w:val="it-IT" w:eastAsia="ro-RO"/>
        </w:rPr>
      </w:pPr>
      <w:bookmarkStart w:id="236" w:name="_Toc61264899"/>
      <w:bookmarkStart w:id="237" w:name="_Toc142039077"/>
      <w:r w:rsidRPr="003430C5">
        <w:rPr>
          <w:rFonts w:ascii="Arial" w:eastAsia="Times New Roman" w:hAnsi="Arial" w:cs="Arial"/>
          <w:b/>
          <w:bCs/>
          <w:color w:val="auto"/>
          <w:sz w:val="24"/>
          <w:szCs w:val="24"/>
          <w:lang w:val="it-IT" w:eastAsia="ro-RO"/>
        </w:rPr>
        <w:t>I.3.4</w:t>
      </w:r>
      <w:r w:rsid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Cererea de transport</w:t>
      </w:r>
      <w:bookmarkEnd w:id="236"/>
      <w:bookmarkEnd w:id="237"/>
    </w:p>
    <w:p w14:paraId="571CA079" w14:textId="29EABF0F" w:rsidR="00D6124B" w:rsidRPr="007B7857" w:rsidRDefault="007B7857" w:rsidP="007B7857">
      <w:pPr>
        <w:widowControl w:val="0"/>
        <w:suppressAutoHyphens/>
        <w:spacing w:after="0" w:line="276" w:lineRule="auto"/>
        <w:jc w:val="both"/>
        <w:rPr>
          <w:rFonts w:ascii="Arial" w:hAnsi="Arial" w:cs="Arial"/>
          <w:kern w:val="1"/>
          <w:lang w:val="es-ES" w:eastAsia="hi-IN" w:bidi="hi-IN"/>
        </w:rPr>
      </w:pPr>
      <w:r w:rsidRPr="007B7857">
        <w:rPr>
          <w:rFonts w:ascii="Arial" w:hAnsi="Arial" w:cs="Arial"/>
          <w:kern w:val="1"/>
          <w:lang w:val="es-ES" w:eastAsia="hi-IN" w:bidi="hi-IN"/>
        </w:rPr>
        <w:t>Î</w:t>
      </w:r>
      <w:r w:rsidR="00D6124B" w:rsidRPr="007B7857">
        <w:rPr>
          <w:rFonts w:ascii="Arial" w:hAnsi="Arial" w:cs="Arial"/>
          <w:kern w:val="1"/>
          <w:lang w:val="es-ES" w:eastAsia="hi-IN" w:bidi="hi-IN"/>
        </w:rPr>
        <w:t xml:space="preserve">n modelul de trafic al </w:t>
      </w:r>
      <w:r w:rsidR="008B1233">
        <w:rPr>
          <w:rFonts w:ascii="Arial" w:hAnsi="Arial" w:cs="Arial"/>
          <w:kern w:val="1"/>
          <w:lang w:val="es-ES" w:eastAsia="hi-IN" w:bidi="hi-IN"/>
        </w:rPr>
        <w:t>orașului Horezu</w:t>
      </w:r>
      <w:r w:rsidRPr="007B7857">
        <w:rPr>
          <w:rFonts w:ascii="Arial" w:hAnsi="Arial" w:cs="Arial"/>
          <w:kern w:val="1"/>
          <w:lang w:val="es-ES" w:eastAsia="hi-IN" w:bidi="hi-IN"/>
        </w:rPr>
        <w:t>, au fost definite atât oferta cât ş</w:t>
      </w:r>
      <w:r w:rsidR="00D6124B" w:rsidRPr="007B7857">
        <w:rPr>
          <w:rFonts w:ascii="Arial" w:hAnsi="Arial" w:cs="Arial"/>
          <w:kern w:val="1"/>
          <w:lang w:val="es-ES" w:eastAsia="hi-IN" w:bidi="hi-IN"/>
        </w:rPr>
        <w:t>i cererea de transport:</w:t>
      </w:r>
    </w:p>
    <w:p w14:paraId="00452A43" w14:textId="399BC338" w:rsidR="00D6124B" w:rsidRPr="007B7857" w:rsidRDefault="00D6124B" w:rsidP="000C6CB8">
      <w:pPr>
        <w:pStyle w:val="Listparagraf"/>
        <w:numPr>
          <w:ilvl w:val="0"/>
          <w:numId w:val="150"/>
        </w:numPr>
        <w:spacing w:after="0"/>
        <w:jc w:val="both"/>
        <w:rPr>
          <w:rFonts w:ascii="Arial" w:hAnsi="Arial" w:cs="Arial"/>
          <w:lang w:val="ro-RO"/>
        </w:rPr>
      </w:pPr>
      <w:r w:rsidRPr="007B7857">
        <w:rPr>
          <w:rFonts w:ascii="Arial" w:hAnsi="Arial" w:cs="Arial"/>
          <w:lang w:val="ro-RO"/>
        </w:rPr>
        <w:lastRenderedPageBreak/>
        <w:t>ofert</w:t>
      </w:r>
      <w:r w:rsidR="007B7857" w:rsidRPr="007B7857">
        <w:rPr>
          <w:rFonts w:ascii="Arial" w:hAnsi="Arial" w:cs="Arial"/>
          <w:lang w:val="ro-RO"/>
        </w:rPr>
        <w:t>a de transport este reprezentată de graful reţ</w:t>
      </w:r>
      <w:r w:rsidRPr="007B7857">
        <w:rPr>
          <w:rFonts w:ascii="Arial" w:hAnsi="Arial" w:cs="Arial"/>
          <w:lang w:val="ro-RO"/>
        </w:rPr>
        <w:t xml:space="preserve">ea, care este realizat la un grad de detaliere adecvat pentru scopul </w:t>
      </w:r>
      <w:r w:rsidR="007B7857" w:rsidRPr="007B7857">
        <w:rPr>
          <w:rFonts w:ascii="Arial" w:hAnsi="Arial" w:cs="Arial"/>
          <w:lang w:val="ro-RO"/>
        </w:rPr>
        <w:t>proiectului. Acesta cuprinde reţ</w:t>
      </w:r>
      <w:r w:rsidRPr="007B7857">
        <w:rPr>
          <w:rFonts w:ascii="Arial" w:hAnsi="Arial" w:cs="Arial"/>
          <w:lang w:val="ro-RO"/>
        </w:rPr>
        <w:t xml:space="preserve">eaua de </w:t>
      </w:r>
      <w:r w:rsidR="007B7857" w:rsidRPr="007B7857">
        <w:rPr>
          <w:rFonts w:ascii="Arial" w:hAnsi="Arial" w:cs="Arial"/>
          <w:lang w:val="ro-RO"/>
        </w:rPr>
        <w:t xml:space="preserve">străzi a </w:t>
      </w:r>
      <w:r w:rsidR="008B1233">
        <w:rPr>
          <w:rFonts w:ascii="Arial" w:hAnsi="Arial" w:cs="Arial"/>
          <w:lang w:val="ro-RO"/>
        </w:rPr>
        <w:t>orașului Horezu</w:t>
      </w:r>
      <w:r w:rsidR="007B7857" w:rsidRPr="007B7857">
        <w:rPr>
          <w:rFonts w:ascii="Arial" w:hAnsi="Arial" w:cs="Arial"/>
          <w:lang w:val="ro-RO"/>
        </w:rPr>
        <w:t xml:space="preserve"> şi legăturile la reţeaua naţională şi judeţeană</w:t>
      </w:r>
      <w:r w:rsidRPr="007B7857">
        <w:rPr>
          <w:rFonts w:ascii="Arial" w:hAnsi="Arial" w:cs="Arial"/>
          <w:lang w:val="ro-RO"/>
        </w:rPr>
        <w:t xml:space="preserve"> de transport;</w:t>
      </w:r>
    </w:p>
    <w:p w14:paraId="7872F9D1" w14:textId="77777777" w:rsidR="00D6124B" w:rsidRPr="007B7857" w:rsidRDefault="00D6124B" w:rsidP="000C6CB8">
      <w:pPr>
        <w:pStyle w:val="Listparagraf"/>
        <w:numPr>
          <w:ilvl w:val="0"/>
          <w:numId w:val="150"/>
        </w:numPr>
        <w:spacing w:after="0"/>
        <w:jc w:val="both"/>
        <w:rPr>
          <w:rFonts w:ascii="Arial" w:hAnsi="Arial" w:cs="Arial"/>
          <w:lang w:val="ro-RO"/>
        </w:rPr>
      </w:pPr>
      <w:r w:rsidRPr="007B7857">
        <w:rPr>
          <w:rFonts w:ascii="Arial" w:hAnsi="Arial" w:cs="Arial"/>
          <w:lang w:val="ro-RO"/>
        </w:rPr>
        <w:t>cerer</w:t>
      </w:r>
      <w:r w:rsidR="007B7857" w:rsidRPr="007B7857">
        <w:rPr>
          <w:rFonts w:ascii="Arial" w:hAnsi="Arial" w:cs="Arial"/>
          <w:lang w:val="ro-RO"/>
        </w:rPr>
        <w:t>ea de transport, a fost definită</w:t>
      </w:r>
      <w:r w:rsidRPr="007B7857">
        <w:rPr>
          <w:rFonts w:ascii="Arial" w:hAnsi="Arial" w:cs="Arial"/>
          <w:lang w:val="ro-RO"/>
        </w:rPr>
        <w:t xml:space="preserve"> prin sistemul de tran</w:t>
      </w:r>
      <w:r w:rsidR="007B7857" w:rsidRPr="007B7857">
        <w:rPr>
          <w:rFonts w:ascii="Arial" w:hAnsi="Arial" w:cs="Arial"/>
          <w:lang w:val="ro-RO"/>
        </w:rPr>
        <w:t>spor privat, fiind modelate urmă</w:t>
      </w:r>
      <w:r w:rsidRPr="007B7857">
        <w:rPr>
          <w:rFonts w:ascii="Arial" w:hAnsi="Arial" w:cs="Arial"/>
          <w:lang w:val="ro-RO"/>
        </w:rPr>
        <w:t>toarele segmente de cerere:</w:t>
      </w:r>
    </w:p>
    <w:p w14:paraId="6DE6D0F1" w14:textId="77777777" w:rsidR="00D55BD8" w:rsidRDefault="00D55BD8" w:rsidP="00D55BD8">
      <w:pPr>
        <w:widowControl w:val="0"/>
        <w:suppressAutoHyphens/>
        <w:spacing w:after="0" w:line="276" w:lineRule="auto"/>
        <w:ind w:left="810"/>
        <w:jc w:val="both"/>
        <w:rPr>
          <w:rFonts w:ascii="Arial" w:hAnsi="Arial" w:cs="Arial"/>
          <w:kern w:val="1"/>
          <w:lang w:val="es-ES" w:eastAsia="hi-IN" w:bidi="hi-IN"/>
        </w:rPr>
      </w:pPr>
      <w:r w:rsidRPr="00D55BD8">
        <w:rPr>
          <w:rFonts w:ascii="Arial" w:hAnsi="Arial" w:cs="Arial"/>
          <w:kern w:val="1"/>
          <w:lang w:val="es-ES" w:eastAsia="hi-IN" w:bidi="hi-IN"/>
        </w:rPr>
        <w:t>CAR si LGV</w:t>
      </w:r>
      <w:r w:rsidRPr="00D55BD8">
        <w:rPr>
          <w:rFonts w:ascii="Arial" w:hAnsi="Arial" w:cs="Arial"/>
          <w:kern w:val="1"/>
          <w:lang w:val="es-ES" w:eastAsia="hi-IN" w:bidi="hi-IN"/>
        </w:rPr>
        <w:tab/>
        <w:t xml:space="preserve">- Autoturisme și Autovehicule usoare – transport marfa (Autocamioane si </w:t>
      </w:r>
    </w:p>
    <w:p w14:paraId="4AEAAC1B" w14:textId="77777777" w:rsidR="00D55BD8" w:rsidRPr="00D55BD8" w:rsidRDefault="00D55BD8" w:rsidP="00D55BD8">
      <w:pPr>
        <w:widowControl w:val="0"/>
        <w:suppressAutoHyphens/>
        <w:spacing w:after="0" w:line="276" w:lineRule="auto"/>
        <w:ind w:left="810"/>
        <w:jc w:val="both"/>
        <w:rPr>
          <w:rFonts w:ascii="Arial" w:hAnsi="Arial" w:cs="Arial"/>
          <w:kern w:val="1"/>
          <w:lang w:val="es-ES" w:eastAsia="hi-IN" w:bidi="hi-IN"/>
        </w:rPr>
      </w:pPr>
      <w:r>
        <w:rPr>
          <w:rFonts w:ascii="Arial" w:hAnsi="Arial" w:cs="Arial"/>
          <w:kern w:val="1"/>
          <w:lang w:val="es-ES" w:eastAsia="hi-IN" w:bidi="hi-IN"/>
        </w:rPr>
        <w:t xml:space="preserve">                        </w:t>
      </w:r>
      <w:r w:rsidRPr="00D55BD8">
        <w:rPr>
          <w:rFonts w:ascii="Arial" w:hAnsi="Arial" w:cs="Arial"/>
          <w:kern w:val="1"/>
          <w:lang w:val="es-ES" w:eastAsia="hi-IN" w:bidi="hi-IN"/>
        </w:rPr>
        <w:t>autospeciale cu MTMA &lt;= 3.5t)</w:t>
      </w:r>
    </w:p>
    <w:p w14:paraId="27D959B5" w14:textId="77777777" w:rsidR="00D55BD8" w:rsidRPr="00D55BD8" w:rsidRDefault="00D55BD8" w:rsidP="00D55BD8">
      <w:pPr>
        <w:widowControl w:val="0"/>
        <w:suppressAutoHyphens/>
        <w:spacing w:after="0" w:line="276" w:lineRule="auto"/>
        <w:ind w:left="810"/>
        <w:jc w:val="both"/>
        <w:rPr>
          <w:rFonts w:ascii="Arial" w:hAnsi="Arial" w:cs="Arial"/>
          <w:kern w:val="1"/>
          <w:lang w:val="es-ES" w:eastAsia="hi-IN" w:bidi="hi-IN"/>
        </w:rPr>
      </w:pPr>
      <w:r w:rsidRPr="00D55BD8">
        <w:rPr>
          <w:rFonts w:ascii="Arial" w:hAnsi="Arial" w:cs="Arial"/>
          <w:kern w:val="1"/>
          <w:lang w:val="es-ES" w:eastAsia="hi-IN" w:bidi="hi-IN"/>
        </w:rPr>
        <w:t>BIKE</w:t>
      </w:r>
      <w:r w:rsidRPr="00D55BD8">
        <w:rPr>
          <w:rFonts w:ascii="Arial" w:hAnsi="Arial" w:cs="Arial"/>
          <w:kern w:val="1"/>
          <w:lang w:val="es-ES" w:eastAsia="hi-IN" w:bidi="hi-IN"/>
        </w:rPr>
        <w:tab/>
      </w:r>
      <w:r>
        <w:rPr>
          <w:rFonts w:ascii="Arial" w:hAnsi="Arial" w:cs="Arial"/>
          <w:kern w:val="1"/>
          <w:lang w:val="es-ES" w:eastAsia="hi-IN" w:bidi="hi-IN"/>
        </w:rPr>
        <w:t xml:space="preserve">            </w:t>
      </w:r>
      <w:r w:rsidRPr="00D55BD8">
        <w:rPr>
          <w:rFonts w:ascii="Arial" w:hAnsi="Arial" w:cs="Arial"/>
          <w:kern w:val="1"/>
          <w:lang w:val="es-ES" w:eastAsia="hi-IN" w:bidi="hi-IN"/>
        </w:rPr>
        <w:t>- Deplasare cu bicicleta</w:t>
      </w:r>
    </w:p>
    <w:p w14:paraId="58533CAF" w14:textId="77777777" w:rsidR="00D55BD8" w:rsidRPr="00D55BD8" w:rsidRDefault="00D55BD8" w:rsidP="000A1DF8">
      <w:pPr>
        <w:widowControl w:val="0"/>
        <w:suppressAutoHyphens/>
        <w:spacing w:after="0" w:line="276" w:lineRule="auto"/>
        <w:ind w:left="2160" w:hanging="1350"/>
        <w:jc w:val="both"/>
        <w:rPr>
          <w:rFonts w:ascii="Arial" w:hAnsi="Arial" w:cs="Arial"/>
          <w:kern w:val="1"/>
          <w:lang w:val="es-ES" w:eastAsia="hi-IN" w:bidi="hi-IN"/>
        </w:rPr>
      </w:pPr>
      <w:r w:rsidRPr="00D55BD8">
        <w:rPr>
          <w:rFonts w:ascii="Arial" w:hAnsi="Arial" w:cs="Arial"/>
          <w:kern w:val="1"/>
          <w:lang w:val="es-ES" w:eastAsia="hi-IN" w:bidi="hi-IN"/>
        </w:rPr>
        <w:t>HGV</w:t>
      </w:r>
      <w:r w:rsidRPr="00D55BD8">
        <w:rPr>
          <w:rFonts w:ascii="Arial" w:hAnsi="Arial" w:cs="Arial"/>
          <w:kern w:val="1"/>
          <w:lang w:val="es-ES" w:eastAsia="hi-IN" w:bidi="hi-IN"/>
        </w:rPr>
        <w:tab/>
        <w:t xml:space="preserve">- Autovehicule grele – transport marfa (tip TIR, remorchere cu trailer, vehicule cu 2,3 </w:t>
      </w:r>
      <w:r>
        <w:rPr>
          <w:rFonts w:ascii="Arial" w:hAnsi="Arial" w:cs="Arial"/>
          <w:kern w:val="1"/>
          <w:lang w:val="es-ES" w:eastAsia="hi-IN" w:bidi="hi-IN"/>
        </w:rPr>
        <w:t>ș</w:t>
      </w:r>
      <w:r w:rsidRPr="00D55BD8">
        <w:rPr>
          <w:rFonts w:ascii="Arial" w:hAnsi="Arial" w:cs="Arial"/>
          <w:kern w:val="1"/>
          <w:lang w:val="es-ES" w:eastAsia="hi-IN" w:bidi="hi-IN"/>
        </w:rPr>
        <w:t>i 4 osii);</w:t>
      </w:r>
    </w:p>
    <w:p w14:paraId="0C4BEDCE" w14:textId="77777777" w:rsidR="00D55BD8" w:rsidRPr="00D55BD8" w:rsidRDefault="00D55BD8" w:rsidP="00D55BD8">
      <w:pPr>
        <w:widowControl w:val="0"/>
        <w:suppressAutoHyphens/>
        <w:spacing w:after="0" w:line="276" w:lineRule="auto"/>
        <w:ind w:left="810"/>
        <w:jc w:val="both"/>
        <w:rPr>
          <w:rFonts w:ascii="Arial" w:hAnsi="Arial" w:cs="Arial"/>
          <w:kern w:val="1"/>
          <w:lang w:val="es-ES" w:eastAsia="hi-IN" w:bidi="hi-IN"/>
        </w:rPr>
      </w:pPr>
      <w:r w:rsidRPr="00D55BD8">
        <w:rPr>
          <w:rFonts w:ascii="Arial" w:hAnsi="Arial" w:cs="Arial"/>
          <w:kern w:val="1"/>
          <w:lang w:val="es-ES" w:eastAsia="hi-IN" w:bidi="hi-IN"/>
        </w:rPr>
        <w:t>BUS</w:t>
      </w:r>
      <w:r w:rsidRPr="00D55BD8">
        <w:rPr>
          <w:rFonts w:ascii="Arial" w:hAnsi="Arial" w:cs="Arial"/>
          <w:kern w:val="1"/>
          <w:lang w:val="es-ES" w:eastAsia="hi-IN" w:bidi="hi-IN"/>
        </w:rPr>
        <w:tab/>
      </w:r>
      <w:r>
        <w:rPr>
          <w:rFonts w:ascii="Arial" w:hAnsi="Arial" w:cs="Arial"/>
          <w:kern w:val="1"/>
          <w:lang w:val="es-ES" w:eastAsia="hi-IN" w:bidi="hi-IN"/>
        </w:rPr>
        <w:tab/>
      </w:r>
      <w:r w:rsidRPr="00D55BD8">
        <w:rPr>
          <w:rFonts w:ascii="Arial" w:hAnsi="Arial" w:cs="Arial"/>
          <w:kern w:val="1"/>
          <w:lang w:val="es-ES" w:eastAsia="hi-IN" w:bidi="hi-IN"/>
        </w:rPr>
        <w:t>- Autobuze / transport ȋn comun</w:t>
      </w:r>
    </w:p>
    <w:p w14:paraId="57EE9E59" w14:textId="77777777" w:rsidR="00D6124B" w:rsidRPr="007B7857" w:rsidRDefault="00D55BD8" w:rsidP="00D55BD8">
      <w:pPr>
        <w:widowControl w:val="0"/>
        <w:suppressAutoHyphens/>
        <w:spacing w:after="0" w:line="276" w:lineRule="auto"/>
        <w:ind w:left="810"/>
        <w:jc w:val="both"/>
        <w:rPr>
          <w:rFonts w:ascii="Arial" w:hAnsi="Arial" w:cs="Arial"/>
          <w:kern w:val="1"/>
          <w:lang w:val="es-ES" w:eastAsia="hi-IN" w:bidi="hi-IN"/>
        </w:rPr>
      </w:pPr>
      <w:r w:rsidRPr="00D55BD8">
        <w:rPr>
          <w:rFonts w:ascii="Arial" w:hAnsi="Arial" w:cs="Arial"/>
          <w:kern w:val="1"/>
          <w:lang w:val="es-ES" w:eastAsia="hi-IN" w:bidi="hi-IN"/>
        </w:rPr>
        <w:t>WALK</w:t>
      </w:r>
      <w:r>
        <w:rPr>
          <w:rFonts w:ascii="Arial" w:hAnsi="Arial" w:cs="Arial"/>
          <w:kern w:val="1"/>
          <w:lang w:val="es-ES" w:eastAsia="hi-IN" w:bidi="hi-IN"/>
        </w:rPr>
        <w:tab/>
      </w:r>
      <w:r w:rsidRPr="00D55BD8">
        <w:rPr>
          <w:rFonts w:ascii="Arial" w:hAnsi="Arial" w:cs="Arial"/>
          <w:kern w:val="1"/>
          <w:lang w:val="es-ES" w:eastAsia="hi-IN" w:bidi="hi-IN"/>
        </w:rPr>
        <w:tab/>
        <w:t>- Pietonal</w:t>
      </w:r>
    </w:p>
    <w:p w14:paraId="783DA41B" w14:textId="77777777" w:rsidR="00D55BD8" w:rsidRPr="00D55BD8" w:rsidRDefault="00D55BD8" w:rsidP="00D55BD8">
      <w:pPr>
        <w:widowControl w:val="0"/>
        <w:suppressAutoHyphens/>
        <w:spacing w:after="0" w:line="276" w:lineRule="auto"/>
        <w:ind w:left="810"/>
        <w:jc w:val="both"/>
        <w:rPr>
          <w:rFonts w:ascii="Arial" w:hAnsi="Arial" w:cs="Arial"/>
          <w:kern w:val="1"/>
          <w:lang w:val="es-ES" w:eastAsia="hi-IN" w:bidi="hi-IN"/>
        </w:rPr>
      </w:pPr>
    </w:p>
    <w:p w14:paraId="6FCD8F99" w14:textId="77777777" w:rsidR="00D55BD8" w:rsidRPr="00D55BD8" w:rsidRDefault="00D55BD8" w:rsidP="00D55BD8">
      <w:pPr>
        <w:widowControl w:val="0"/>
        <w:suppressAutoHyphens/>
        <w:spacing w:after="0" w:line="276" w:lineRule="auto"/>
        <w:jc w:val="both"/>
        <w:rPr>
          <w:rFonts w:ascii="Arial" w:hAnsi="Arial" w:cs="Arial"/>
          <w:b/>
          <w:kern w:val="1"/>
          <w:lang w:val="ro-RO" w:eastAsia="hi-IN" w:bidi="hi-IN"/>
        </w:rPr>
      </w:pPr>
      <w:r w:rsidRPr="00D55BD8">
        <w:rPr>
          <w:rFonts w:ascii="Arial" w:hAnsi="Arial" w:cs="Arial"/>
          <w:b/>
          <w:kern w:val="1"/>
          <w:lang w:val="ro-RO" w:eastAsia="hi-IN" w:bidi="hi-IN"/>
        </w:rPr>
        <w:t>Generarea și frecvența deplasărilor</w:t>
      </w:r>
    </w:p>
    <w:p w14:paraId="3C0AE116" w14:textId="77777777" w:rsidR="00D55BD8" w:rsidRPr="00D55BD8" w:rsidRDefault="00D55BD8" w:rsidP="00D55BD8">
      <w:pPr>
        <w:widowControl w:val="0"/>
        <w:suppressAutoHyphens/>
        <w:spacing w:after="0" w:line="276" w:lineRule="auto"/>
        <w:jc w:val="both"/>
        <w:rPr>
          <w:rFonts w:ascii="Arial" w:hAnsi="Arial" w:cs="Arial"/>
          <w:color w:val="000000"/>
          <w:kern w:val="1"/>
          <w:lang w:val="ro-RO" w:eastAsia="hi-IN" w:bidi="hi-IN"/>
        </w:rPr>
      </w:pPr>
      <w:r w:rsidRPr="00D55BD8">
        <w:rPr>
          <w:rFonts w:ascii="Arial" w:hAnsi="Arial" w:cs="Arial"/>
          <w:color w:val="000000"/>
          <w:kern w:val="1"/>
          <w:lang w:val="ro-RO" w:eastAsia="hi-IN" w:bidi="hi-IN"/>
        </w:rPr>
        <w:t>Modelarea generării de deplasări s-a făcut ca funcţie a caracteristicilor demografice şi socio-economice ale zonelor componente. S-au utilizat datele prelucrate din chestionarele OD din instituții.</w:t>
      </w:r>
    </w:p>
    <w:p w14:paraId="0869D041" w14:textId="77777777" w:rsidR="00D55BD8" w:rsidRPr="00D55BD8" w:rsidRDefault="00D55BD8" w:rsidP="00D55BD8">
      <w:pPr>
        <w:widowControl w:val="0"/>
        <w:suppressAutoHyphens/>
        <w:spacing w:after="0" w:line="276" w:lineRule="auto"/>
        <w:jc w:val="both"/>
        <w:rPr>
          <w:rFonts w:ascii="Arial" w:hAnsi="Arial" w:cs="Arial"/>
          <w:kern w:val="1"/>
          <w:highlight w:val="yellow"/>
          <w:lang w:val="ro-RO" w:eastAsia="hi-IN" w:bidi="hi-IN"/>
        </w:rPr>
      </w:pPr>
    </w:p>
    <w:p w14:paraId="5E66F71F" w14:textId="77777777" w:rsidR="00D55BD8" w:rsidRPr="00D55BD8" w:rsidRDefault="00D55BD8" w:rsidP="00D55BD8">
      <w:pPr>
        <w:widowControl w:val="0"/>
        <w:suppressAutoHyphens/>
        <w:spacing w:after="0" w:line="276" w:lineRule="auto"/>
        <w:jc w:val="both"/>
        <w:rPr>
          <w:rFonts w:ascii="Arial" w:hAnsi="Arial" w:cs="Arial"/>
          <w:b/>
          <w:kern w:val="1"/>
          <w:lang w:val="ro-RO" w:eastAsia="hi-IN" w:bidi="hi-IN"/>
        </w:rPr>
      </w:pPr>
      <w:r w:rsidRPr="00D55BD8">
        <w:rPr>
          <w:rFonts w:ascii="Arial" w:hAnsi="Arial" w:cs="Arial"/>
          <w:b/>
          <w:kern w:val="1"/>
          <w:lang w:val="ro-RO" w:eastAsia="hi-IN" w:bidi="hi-IN"/>
        </w:rPr>
        <w:t>Distribuția deplasărilor</w:t>
      </w:r>
    </w:p>
    <w:p w14:paraId="2F23523B"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r w:rsidRPr="00D55BD8">
        <w:rPr>
          <w:rFonts w:ascii="Arial" w:hAnsi="Arial" w:cs="Arial"/>
          <w:kern w:val="1"/>
          <w:lang w:val="ro-RO" w:eastAsia="hi-IN" w:bidi="hi-IN"/>
        </w:rPr>
        <w:t>Modelul de distribuţie a deplasărilor generate către destinaţiile disponibile s-a realizat prin utilizarea modelului gravitațional, utilizând costul generalizat pentru fiecare destinație. S-a obținut astfel o estimare a numărului de deplasări între perechile de zone și pentru mișcările intrazonale.</w:t>
      </w:r>
    </w:p>
    <w:p w14:paraId="79165F79" w14:textId="77777777" w:rsidR="00D55BD8" w:rsidRPr="00D55BD8" w:rsidRDefault="00D55BD8" w:rsidP="00D55BD8">
      <w:pPr>
        <w:widowControl w:val="0"/>
        <w:suppressAutoHyphens/>
        <w:spacing w:after="0" w:line="276" w:lineRule="auto"/>
        <w:jc w:val="both"/>
        <w:rPr>
          <w:rFonts w:ascii="Arial" w:hAnsi="Arial" w:cs="Arial"/>
          <w:b/>
          <w:kern w:val="1"/>
          <w:lang w:val="ro-RO" w:eastAsia="hi-IN" w:bidi="hi-IN"/>
        </w:rPr>
      </w:pPr>
    </w:p>
    <w:p w14:paraId="6A598E14" w14:textId="77777777" w:rsidR="00D55BD8" w:rsidRPr="00D55BD8" w:rsidRDefault="00D55BD8" w:rsidP="00D55BD8">
      <w:pPr>
        <w:widowControl w:val="0"/>
        <w:suppressAutoHyphens/>
        <w:spacing w:after="0" w:line="276" w:lineRule="auto"/>
        <w:jc w:val="both"/>
        <w:rPr>
          <w:rFonts w:ascii="Arial" w:hAnsi="Arial" w:cs="Arial"/>
          <w:b/>
          <w:kern w:val="1"/>
          <w:lang w:val="ro-RO" w:eastAsia="hi-IN" w:bidi="hi-IN"/>
        </w:rPr>
      </w:pPr>
      <w:r w:rsidRPr="00D55BD8">
        <w:rPr>
          <w:rFonts w:ascii="Arial" w:hAnsi="Arial" w:cs="Arial"/>
          <w:b/>
          <w:kern w:val="1"/>
          <w:lang w:val="ro-RO" w:eastAsia="hi-IN" w:bidi="hi-IN"/>
        </w:rPr>
        <w:t>Opțiunea privind modul de transport</w:t>
      </w:r>
    </w:p>
    <w:p w14:paraId="08AC8F7A" w14:textId="77777777" w:rsidR="00D55BD8" w:rsidRPr="00D55BD8" w:rsidRDefault="00D55BD8" w:rsidP="00D55BD8">
      <w:pPr>
        <w:widowControl w:val="0"/>
        <w:suppressAutoHyphens/>
        <w:spacing w:after="0" w:line="276" w:lineRule="auto"/>
        <w:jc w:val="both"/>
        <w:rPr>
          <w:rFonts w:ascii="Arial" w:hAnsi="Arial" w:cs="Arial"/>
          <w:color w:val="000000"/>
          <w:kern w:val="1"/>
          <w:lang w:val="ro-RO" w:eastAsia="hi-IN" w:bidi="hi-IN"/>
        </w:rPr>
      </w:pPr>
      <w:r w:rsidRPr="00D55BD8">
        <w:rPr>
          <w:rFonts w:ascii="Arial" w:hAnsi="Arial" w:cs="Arial"/>
          <w:color w:val="000000"/>
          <w:kern w:val="1"/>
          <w:lang w:val="ro-RO" w:eastAsia="hi-IN" w:bidi="hi-IN"/>
        </w:rPr>
        <w:t xml:space="preserve">Modelul de alegere a modului de transport permite afectarea de deplasări ale principalelor moduri de transport pe baza competitivităţii celorlalte moduri faţă de transportul rutier cu maşina proprie, pe reţeaua de drumuri afectate de acest sistem. Acesta va depinde de asemenea, de dorinţa oamenilor de a călători folosind şi alte moduri de transport în afară de maşină. În general, modul alternativ relevant este transportul în comun, deşi dacă sistemul este folosit pentru deplasări scurte locale, modurile de transport mai lent pot reprezenta o alternativă. </w:t>
      </w:r>
    </w:p>
    <w:p w14:paraId="5F08F89C"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p>
    <w:p w14:paraId="763668D6"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r w:rsidRPr="00D55BD8">
        <w:rPr>
          <w:rFonts w:ascii="Arial" w:hAnsi="Arial" w:cs="Arial"/>
          <w:kern w:val="1"/>
          <w:lang w:val="ro-RO" w:eastAsia="hi-IN" w:bidi="hi-IN"/>
        </w:rPr>
        <w:t>Deplas</w:t>
      </w:r>
      <w:r w:rsidRPr="00D55BD8">
        <w:rPr>
          <w:rFonts w:ascii="Arial" w:hAnsi="Arial" w:cs="Arial"/>
          <w:color w:val="000000"/>
          <w:kern w:val="1"/>
          <w:lang w:val="ro-RO" w:eastAsia="hi-IN" w:bidi="hi-IN"/>
        </w:rPr>
        <w:t>ă</w:t>
      </w:r>
      <w:r w:rsidRPr="00D55BD8">
        <w:rPr>
          <w:rFonts w:ascii="Arial" w:hAnsi="Arial" w:cs="Arial"/>
          <w:kern w:val="1"/>
          <w:lang w:val="ro-RO" w:eastAsia="hi-IN" w:bidi="hi-IN"/>
        </w:rPr>
        <w:t xml:space="preserve">rile </w:t>
      </w:r>
      <w:r w:rsidRPr="00D55BD8">
        <w:rPr>
          <w:rFonts w:ascii="Arial" w:hAnsi="Arial" w:cs="Arial"/>
          <w:color w:val="000000"/>
          <w:kern w:val="1"/>
          <w:lang w:val="ro-RO" w:eastAsia="hi-IN" w:bidi="hi-IN"/>
        </w:rPr>
        <w:t>î</w:t>
      </w:r>
      <w:r w:rsidRPr="00D55BD8">
        <w:rPr>
          <w:rFonts w:ascii="Arial" w:hAnsi="Arial" w:cs="Arial"/>
          <w:kern w:val="1"/>
          <w:lang w:val="ro-RO" w:eastAsia="hi-IN" w:bidi="hi-IN"/>
        </w:rPr>
        <w:t xml:space="preserve">n raport cu tipul mijlocului de transport utilizat se </w:t>
      </w:r>
      <w:r w:rsidRPr="00D55BD8">
        <w:rPr>
          <w:rFonts w:ascii="Arial" w:hAnsi="Arial" w:cs="Arial"/>
          <w:color w:val="000000"/>
          <w:kern w:val="1"/>
          <w:lang w:val="ro-RO" w:eastAsia="hi-IN" w:bidi="hi-IN"/>
        </w:rPr>
        <w:t>î</w:t>
      </w:r>
      <w:r w:rsidRPr="00D55BD8">
        <w:rPr>
          <w:rFonts w:ascii="Arial" w:hAnsi="Arial" w:cs="Arial"/>
          <w:kern w:val="1"/>
          <w:lang w:val="ro-RO" w:eastAsia="hi-IN" w:bidi="hi-IN"/>
        </w:rPr>
        <w:t xml:space="preserve">mpart </w:t>
      </w:r>
      <w:r w:rsidRPr="00D55BD8">
        <w:rPr>
          <w:rFonts w:ascii="Arial" w:hAnsi="Arial" w:cs="Arial"/>
          <w:color w:val="000000"/>
          <w:kern w:val="1"/>
          <w:lang w:val="ro-RO" w:eastAsia="hi-IN" w:bidi="hi-IN"/>
        </w:rPr>
        <w:t>î</w:t>
      </w:r>
      <w:r w:rsidRPr="00D55BD8">
        <w:rPr>
          <w:rFonts w:ascii="Arial" w:hAnsi="Arial" w:cs="Arial"/>
          <w:kern w:val="1"/>
          <w:lang w:val="ro-RO" w:eastAsia="hi-IN" w:bidi="hi-IN"/>
        </w:rPr>
        <w:t xml:space="preserve">n principal pe transport public cu autobuze sau microbuze </w:t>
      </w:r>
      <w:r w:rsidRPr="00D55BD8">
        <w:rPr>
          <w:rFonts w:ascii="Arial" w:hAnsi="Arial" w:cs="Arial"/>
          <w:color w:val="000000"/>
          <w:kern w:val="1"/>
          <w:lang w:val="ro-RO" w:eastAsia="hi-IN" w:bidi="hi-IN"/>
        </w:rPr>
        <w:t>ş</w:t>
      </w:r>
      <w:r w:rsidRPr="00D55BD8">
        <w:rPr>
          <w:rFonts w:ascii="Arial" w:hAnsi="Arial" w:cs="Arial"/>
          <w:kern w:val="1"/>
          <w:lang w:val="ro-RO" w:eastAsia="hi-IN" w:bidi="hi-IN"/>
        </w:rPr>
        <w:t>i deplas</w:t>
      </w:r>
      <w:r w:rsidRPr="00D55BD8">
        <w:rPr>
          <w:rFonts w:ascii="Arial" w:hAnsi="Arial" w:cs="Arial"/>
          <w:color w:val="000000"/>
          <w:kern w:val="1"/>
          <w:lang w:val="ro-RO" w:eastAsia="hi-IN" w:bidi="hi-IN"/>
        </w:rPr>
        <w:t>ă</w:t>
      </w:r>
      <w:r w:rsidRPr="00D55BD8">
        <w:rPr>
          <w:rFonts w:ascii="Arial" w:hAnsi="Arial" w:cs="Arial"/>
          <w:kern w:val="1"/>
          <w:lang w:val="ro-RO" w:eastAsia="hi-IN" w:bidi="hi-IN"/>
        </w:rPr>
        <w:t>ri individuale cu autoturism propriu sau taxi, bicicleta sau pietonal. Reparti</w:t>
      </w:r>
      <w:r w:rsidRPr="00D55BD8">
        <w:rPr>
          <w:rFonts w:ascii="Arial" w:hAnsi="Arial" w:cs="Arial"/>
          <w:color w:val="000000"/>
          <w:kern w:val="1"/>
          <w:lang w:val="ro-RO" w:eastAsia="hi-IN" w:bidi="hi-IN"/>
        </w:rPr>
        <w:t>ț</w:t>
      </w:r>
      <w:r w:rsidRPr="00D55BD8">
        <w:rPr>
          <w:rFonts w:ascii="Arial" w:hAnsi="Arial" w:cs="Arial"/>
          <w:kern w:val="1"/>
          <w:lang w:val="ro-RO" w:eastAsia="hi-IN" w:bidi="hi-IN"/>
        </w:rPr>
        <w:t>ia acestora conform chestionarelor origine-destina</w:t>
      </w:r>
      <w:r w:rsidRPr="00D55BD8">
        <w:rPr>
          <w:rFonts w:ascii="Arial" w:hAnsi="Arial" w:cs="Arial"/>
          <w:color w:val="000000"/>
          <w:kern w:val="1"/>
          <w:lang w:val="ro-RO" w:eastAsia="hi-IN" w:bidi="hi-IN"/>
        </w:rPr>
        <w:t>ț</w:t>
      </w:r>
      <w:r w:rsidRPr="00D55BD8">
        <w:rPr>
          <w:rFonts w:ascii="Arial" w:hAnsi="Arial" w:cs="Arial"/>
          <w:kern w:val="1"/>
          <w:lang w:val="ro-RO" w:eastAsia="hi-IN" w:bidi="hi-IN"/>
        </w:rPr>
        <w:t>ie se prezint</w:t>
      </w:r>
      <w:r w:rsidRPr="00D55BD8">
        <w:rPr>
          <w:rFonts w:ascii="Arial" w:hAnsi="Arial" w:cs="Arial"/>
          <w:color w:val="000000"/>
          <w:kern w:val="1"/>
          <w:lang w:val="ro-RO" w:eastAsia="hi-IN" w:bidi="hi-IN"/>
        </w:rPr>
        <w:t>ă</w:t>
      </w:r>
      <w:r w:rsidRPr="00D55BD8">
        <w:rPr>
          <w:rFonts w:ascii="Arial" w:hAnsi="Arial" w:cs="Arial"/>
          <w:kern w:val="1"/>
          <w:lang w:val="ro-RO" w:eastAsia="hi-IN" w:bidi="hi-IN"/>
        </w:rPr>
        <w:t xml:space="preserve"> astfel (au fost luate în calcul numai deplasările între zone, nu şi deplasările scurte din interiorul aceleiaşi zone):</w:t>
      </w:r>
    </w:p>
    <w:p w14:paraId="2060D6BA" w14:textId="77777777" w:rsidR="000A1DF8" w:rsidRDefault="000A1DF8">
      <w:pPr>
        <w:rPr>
          <w:rFonts w:ascii="Arial" w:hAnsi="Arial" w:cs="Arial"/>
          <w:kern w:val="1"/>
          <w:sz w:val="24"/>
          <w:szCs w:val="24"/>
          <w:lang w:val="ro-RO" w:eastAsia="hi-IN" w:bidi="hi-IN"/>
        </w:rPr>
      </w:pPr>
      <w:r>
        <w:rPr>
          <w:rFonts w:ascii="Arial" w:hAnsi="Arial" w:cs="Arial"/>
          <w:kern w:val="1"/>
          <w:sz w:val="24"/>
          <w:szCs w:val="24"/>
          <w:lang w:val="ro-RO" w:eastAsia="hi-IN" w:bidi="hi-IN"/>
        </w:rPr>
        <w:br w:type="page"/>
      </w:r>
    </w:p>
    <w:tbl>
      <w:tblPr>
        <w:tblW w:w="5235" w:type="dxa"/>
        <w:jc w:val="center"/>
        <w:tblLook w:val="04A0" w:firstRow="1" w:lastRow="0" w:firstColumn="1" w:lastColumn="0" w:noHBand="0" w:noVBand="1"/>
      </w:tblPr>
      <w:tblGrid>
        <w:gridCol w:w="2255"/>
        <w:gridCol w:w="2020"/>
        <w:gridCol w:w="960"/>
      </w:tblGrid>
      <w:tr w:rsidR="000A1DF8" w:rsidRPr="005B6E1D" w14:paraId="62623511" w14:textId="77777777" w:rsidTr="00501A22">
        <w:trPr>
          <w:trHeight w:val="300"/>
          <w:jc w:val="center"/>
        </w:trPr>
        <w:tc>
          <w:tcPr>
            <w:tcW w:w="2255" w:type="dxa"/>
            <w:tcBorders>
              <w:top w:val="single" w:sz="8" w:space="0" w:color="auto"/>
              <w:left w:val="single" w:sz="8" w:space="0" w:color="auto"/>
              <w:bottom w:val="double" w:sz="6" w:space="0" w:color="auto"/>
              <w:right w:val="single" w:sz="8" w:space="0" w:color="auto"/>
            </w:tcBorders>
            <w:shd w:val="clear" w:color="000000" w:fill="D8D8D8"/>
            <w:noWrap/>
            <w:vAlign w:val="center"/>
            <w:hideMark/>
          </w:tcPr>
          <w:p w14:paraId="12818C96" w14:textId="77777777" w:rsidR="000A1DF8" w:rsidRPr="005B6E1D" w:rsidRDefault="000A1DF8" w:rsidP="00501A22">
            <w:pPr>
              <w:spacing w:after="0" w:line="240" w:lineRule="auto"/>
              <w:jc w:val="center"/>
              <w:rPr>
                <w:rFonts w:ascii="Arial" w:eastAsia="Times New Roman" w:hAnsi="Arial" w:cs="Arial"/>
                <w:b/>
                <w:bCs/>
                <w:color w:val="000000"/>
                <w:sz w:val="20"/>
                <w:szCs w:val="20"/>
                <w:lang w:val="ro-RO"/>
              </w:rPr>
            </w:pPr>
            <w:r w:rsidRPr="005B6E1D">
              <w:rPr>
                <w:rFonts w:ascii="Arial" w:eastAsia="Times New Roman" w:hAnsi="Arial" w:cs="Arial"/>
                <w:b/>
                <w:bCs/>
                <w:color w:val="000000"/>
                <w:sz w:val="20"/>
                <w:szCs w:val="20"/>
                <w:lang w:val="ro-RO"/>
              </w:rPr>
              <w:lastRenderedPageBreak/>
              <w:t>Moduri de deplasare</w:t>
            </w:r>
          </w:p>
        </w:tc>
        <w:tc>
          <w:tcPr>
            <w:tcW w:w="2020" w:type="dxa"/>
            <w:tcBorders>
              <w:top w:val="single" w:sz="8" w:space="0" w:color="auto"/>
              <w:left w:val="nil"/>
              <w:bottom w:val="double" w:sz="6" w:space="0" w:color="auto"/>
              <w:right w:val="nil"/>
            </w:tcBorders>
            <w:shd w:val="clear" w:color="000000" w:fill="D8D8D8"/>
            <w:noWrap/>
            <w:vAlign w:val="center"/>
            <w:hideMark/>
          </w:tcPr>
          <w:p w14:paraId="0EFB149C" w14:textId="77777777" w:rsidR="000A1DF8" w:rsidRPr="005B6E1D" w:rsidRDefault="000A1DF8" w:rsidP="00501A22">
            <w:pPr>
              <w:spacing w:after="0" w:line="240" w:lineRule="auto"/>
              <w:jc w:val="center"/>
              <w:rPr>
                <w:rFonts w:ascii="Arial" w:eastAsia="Times New Roman" w:hAnsi="Arial" w:cs="Arial"/>
                <w:b/>
                <w:bCs/>
                <w:color w:val="000000"/>
                <w:sz w:val="20"/>
                <w:szCs w:val="20"/>
                <w:lang w:val="ro-RO"/>
              </w:rPr>
            </w:pPr>
            <w:r w:rsidRPr="005B6E1D">
              <w:rPr>
                <w:rFonts w:ascii="Arial" w:eastAsia="Times New Roman" w:hAnsi="Arial" w:cs="Arial"/>
                <w:b/>
                <w:bCs/>
                <w:color w:val="000000"/>
                <w:sz w:val="20"/>
                <w:szCs w:val="20"/>
                <w:lang w:val="ro-RO"/>
              </w:rPr>
              <w:t>Persoane deplasate</w:t>
            </w:r>
          </w:p>
        </w:tc>
        <w:tc>
          <w:tcPr>
            <w:tcW w:w="960" w:type="dxa"/>
            <w:tcBorders>
              <w:top w:val="single" w:sz="8" w:space="0" w:color="auto"/>
              <w:left w:val="single" w:sz="8" w:space="0" w:color="auto"/>
              <w:bottom w:val="double" w:sz="6" w:space="0" w:color="auto"/>
              <w:right w:val="single" w:sz="8" w:space="0" w:color="auto"/>
            </w:tcBorders>
            <w:shd w:val="clear" w:color="000000" w:fill="D8D8D8"/>
            <w:noWrap/>
            <w:vAlign w:val="center"/>
            <w:hideMark/>
          </w:tcPr>
          <w:p w14:paraId="51526E67" w14:textId="77777777" w:rsidR="000A1DF8" w:rsidRPr="005B6E1D" w:rsidRDefault="000A1DF8" w:rsidP="00501A22">
            <w:pPr>
              <w:spacing w:after="0" w:line="240" w:lineRule="auto"/>
              <w:jc w:val="center"/>
              <w:rPr>
                <w:rFonts w:ascii="Arial" w:eastAsia="Times New Roman" w:hAnsi="Arial" w:cs="Arial"/>
                <w:b/>
                <w:bCs/>
                <w:color w:val="000000"/>
                <w:sz w:val="20"/>
                <w:szCs w:val="20"/>
                <w:lang w:val="ro-RO"/>
              </w:rPr>
            </w:pPr>
            <w:r w:rsidRPr="005B6E1D">
              <w:rPr>
                <w:rFonts w:ascii="Arial" w:eastAsia="Times New Roman" w:hAnsi="Arial" w:cs="Arial"/>
                <w:b/>
                <w:bCs/>
                <w:color w:val="000000"/>
                <w:sz w:val="20"/>
                <w:szCs w:val="20"/>
                <w:lang w:val="ro-RO"/>
              </w:rPr>
              <w:t>%</w:t>
            </w:r>
          </w:p>
        </w:tc>
      </w:tr>
      <w:tr w:rsidR="000A1DF8" w:rsidRPr="005B6E1D" w14:paraId="2DCDF745" w14:textId="77777777" w:rsidTr="00501A22">
        <w:trPr>
          <w:trHeight w:val="510"/>
          <w:jc w:val="center"/>
        </w:trPr>
        <w:tc>
          <w:tcPr>
            <w:tcW w:w="2255" w:type="dxa"/>
            <w:tcBorders>
              <w:top w:val="nil"/>
              <w:left w:val="single" w:sz="8" w:space="0" w:color="auto"/>
              <w:bottom w:val="single" w:sz="4" w:space="0" w:color="auto"/>
              <w:right w:val="nil"/>
            </w:tcBorders>
            <w:shd w:val="clear" w:color="000000" w:fill="D8D8D8"/>
            <w:vAlign w:val="center"/>
            <w:hideMark/>
          </w:tcPr>
          <w:p w14:paraId="6C9AAA3C"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5B6E1D">
              <w:rPr>
                <w:rFonts w:ascii="Arial" w:eastAsia="Times New Roman" w:hAnsi="Arial" w:cs="Arial"/>
                <w:color w:val="000000"/>
                <w:sz w:val="20"/>
                <w:szCs w:val="20"/>
                <w:lang w:val="ro-RO"/>
              </w:rPr>
              <w:t xml:space="preserve">cu transport </w:t>
            </w:r>
            <w:r>
              <w:rPr>
                <w:rFonts w:ascii="Arial" w:eastAsia="Times New Roman" w:hAnsi="Arial" w:cs="Arial"/>
                <w:color w:val="000000"/>
                <w:sz w:val="20"/>
                <w:szCs w:val="20"/>
                <w:lang w:val="ro-RO"/>
              </w:rPr>
              <w:t>interurban</w:t>
            </w:r>
            <w:r w:rsidRPr="005B6E1D">
              <w:rPr>
                <w:rFonts w:ascii="Arial" w:eastAsia="Times New Roman" w:hAnsi="Arial" w:cs="Arial"/>
                <w:color w:val="000000"/>
                <w:sz w:val="20"/>
                <w:szCs w:val="20"/>
                <w:lang w:val="ro-RO"/>
              </w:rPr>
              <w:br/>
              <w:t>autobuz/microbuz</w:t>
            </w:r>
          </w:p>
        </w:tc>
        <w:tc>
          <w:tcPr>
            <w:tcW w:w="2020" w:type="dxa"/>
            <w:tcBorders>
              <w:top w:val="nil"/>
              <w:left w:val="single" w:sz="8" w:space="0" w:color="auto"/>
              <w:bottom w:val="single" w:sz="4" w:space="0" w:color="auto"/>
              <w:right w:val="single" w:sz="8" w:space="0" w:color="auto"/>
            </w:tcBorders>
            <w:shd w:val="clear" w:color="auto" w:fill="auto"/>
            <w:noWrap/>
          </w:tcPr>
          <w:p w14:paraId="0481B091"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493717">
              <w:t>9381</w:t>
            </w:r>
          </w:p>
        </w:tc>
        <w:tc>
          <w:tcPr>
            <w:tcW w:w="960" w:type="dxa"/>
            <w:tcBorders>
              <w:top w:val="nil"/>
              <w:left w:val="nil"/>
              <w:bottom w:val="single" w:sz="4" w:space="0" w:color="auto"/>
              <w:right w:val="single" w:sz="8" w:space="0" w:color="auto"/>
            </w:tcBorders>
            <w:shd w:val="clear" w:color="auto" w:fill="auto"/>
            <w:noWrap/>
          </w:tcPr>
          <w:p w14:paraId="7E5F6C62"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7C3A13">
              <w:t>26%</w:t>
            </w:r>
          </w:p>
        </w:tc>
      </w:tr>
      <w:tr w:rsidR="000A1DF8" w:rsidRPr="005B6E1D" w14:paraId="06326B56" w14:textId="77777777" w:rsidTr="00501A22">
        <w:trPr>
          <w:trHeight w:val="300"/>
          <w:jc w:val="center"/>
        </w:trPr>
        <w:tc>
          <w:tcPr>
            <w:tcW w:w="2255" w:type="dxa"/>
            <w:tcBorders>
              <w:top w:val="nil"/>
              <w:left w:val="single" w:sz="8" w:space="0" w:color="auto"/>
              <w:bottom w:val="single" w:sz="8" w:space="0" w:color="auto"/>
              <w:right w:val="nil"/>
            </w:tcBorders>
            <w:shd w:val="clear" w:color="000000" w:fill="D8D8D8"/>
            <w:noWrap/>
            <w:vAlign w:val="center"/>
            <w:hideMark/>
          </w:tcPr>
          <w:p w14:paraId="5193DBB8"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5B6E1D">
              <w:rPr>
                <w:rFonts w:ascii="Arial" w:eastAsia="Times New Roman" w:hAnsi="Arial" w:cs="Arial"/>
                <w:color w:val="000000"/>
                <w:sz w:val="20"/>
                <w:szCs w:val="20"/>
                <w:lang w:val="ro-RO"/>
              </w:rPr>
              <w:t>cu auto personal / taxi</w:t>
            </w:r>
          </w:p>
        </w:tc>
        <w:tc>
          <w:tcPr>
            <w:tcW w:w="2020" w:type="dxa"/>
            <w:tcBorders>
              <w:top w:val="nil"/>
              <w:left w:val="single" w:sz="8" w:space="0" w:color="auto"/>
              <w:bottom w:val="single" w:sz="8" w:space="0" w:color="auto"/>
              <w:right w:val="single" w:sz="8" w:space="0" w:color="auto"/>
            </w:tcBorders>
            <w:shd w:val="clear" w:color="auto" w:fill="auto"/>
            <w:noWrap/>
          </w:tcPr>
          <w:p w14:paraId="306110E4"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493717">
              <w:t>20326</w:t>
            </w:r>
          </w:p>
        </w:tc>
        <w:tc>
          <w:tcPr>
            <w:tcW w:w="960" w:type="dxa"/>
            <w:tcBorders>
              <w:top w:val="nil"/>
              <w:left w:val="nil"/>
              <w:bottom w:val="single" w:sz="8" w:space="0" w:color="auto"/>
              <w:right w:val="single" w:sz="8" w:space="0" w:color="auto"/>
            </w:tcBorders>
            <w:shd w:val="clear" w:color="auto" w:fill="auto"/>
            <w:noWrap/>
          </w:tcPr>
          <w:p w14:paraId="16D1B5A6"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7C3A13">
              <w:t>55%</w:t>
            </w:r>
          </w:p>
        </w:tc>
      </w:tr>
      <w:tr w:rsidR="000A1DF8" w:rsidRPr="005B6E1D" w14:paraId="77A5380B" w14:textId="77777777" w:rsidTr="00501A22">
        <w:trPr>
          <w:trHeight w:val="300"/>
          <w:jc w:val="center"/>
        </w:trPr>
        <w:tc>
          <w:tcPr>
            <w:tcW w:w="2255" w:type="dxa"/>
            <w:tcBorders>
              <w:top w:val="nil"/>
              <w:left w:val="single" w:sz="8" w:space="0" w:color="auto"/>
              <w:bottom w:val="single" w:sz="8" w:space="0" w:color="auto"/>
              <w:right w:val="nil"/>
            </w:tcBorders>
            <w:shd w:val="clear" w:color="000000" w:fill="FFC000"/>
            <w:noWrap/>
            <w:vAlign w:val="center"/>
            <w:hideMark/>
          </w:tcPr>
          <w:p w14:paraId="574C8766"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5B6E1D">
              <w:rPr>
                <w:rFonts w:ascii="Arial" w:eastAsia="Times New Roman" w:hAnsi="Arial" w:cs="Arial"/>
                <w:color w:val="000000"/>
                <w:sz w:val="20"/>
                <w:szCs w:val="20"/>
                <w:lang w:val="ro-RO"/>
              </w:rPr>
              <w:t>total deplasări motorizate</w:t>
            </w:r>
          </w:p>
        </w:tc>
        <w:tc>
          <w:tcPr>
            <w:tcW w:w="2020" w:type="dxa"/>
            <w:tcBorders>
              <w:top w:val="nil"/>
              <w:left w:val="single" w:sz="8" w:space="0" w:color="auto"/>
              <w:bottom w:val="single" w:sz="8" w:space="0" w:color="auto"/>
              <w:right w:val="single" w:sz="8" w:space="0" w:color="auto"/>
            </w:tcBorders>
            <w:shd w:val="clear" w:color="000000" w:fill="FFC000"/>
            <w:noWrap/>
          </w:tcPr>
          <w:p w14:paraId="2DF346FF"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493717">
              <w:t>29707</w:t>
            </w:r>
          </w:p>
        </w:tc>
        <w:tc>
          <w:tcPr>
            <w:tcW w:w="960" w:type="dxa"/>
            <w:tcBorders>
              <w:top w:val="nil"/>
              <w:left w:val="nil"/>
              <w:bottom w:val="single" w:sz="8" w:space="0" w:color="auto"/>
              <w:right w:val="single" w:sz="8" w:space="0" w:color="auto"/>
            </w:tcBorders>
            <w:shd w:val="clear" w:color="000000" w:fill="FFC000"/>
            <w:noWrap/>
          </w:tcPr>
          <w:p w14:paraId="68F77089"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7C3A13">
              <w:t>81%</w:t>
            </w:r>
          </w:p>
        </w:tc>
      </w:tr>
      <w:tr w:rsidR="000A1DF8" w:rsidRPr="005B6E1D" w14:paraId="1043713F" w14:textId="77777777" w:rsidTr="00501A22">
        <w:trPr>
          <w:trHeight w:val="300"/>
          <w:jc w:val="center"/>
        </w:trPr>
        <w:tc>
          <w:tcPr>
            <w:tcW w:w="2255" w:type="dxa"/>
            <w:tcBorders>
              <w:top w:val="nil"/>
              <w:left w:val="single" w:sz="8" w:space="0" w:color="auto"/>
              <w:bottom w:val="single" w:sz="8" w:space="0" w:color="auto"/>
              <w:right w:val="nil"/>
            </w:tcBorders>
            <w:shd w:val="clear" w:color="000000" w:fill="D8D8D8"/>
            <w:noWrap/>
            <w:vAlign w:val="center"/>
            <w:hideMark/>
          </w:tcPr>
          <w:p w14:paraId="1863FD01"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5B6E1D">
              <w:rPr>
                <w:rFonts w:ascii="Arial" w:eastAsia="Times New Roman" w:hAnsi="Arial" w:cs="Arial"/>
                <w:color w:val="000000"/>
                <w:sz w:val="20"/>
                <w:szCs w:val="20"/>
                <w:lang w:val="ro-RO"/>
              </w:rPr>
              <w:t>cu bicicleta</w:t>
            </w:r>
          </w:p>
        </w:tc>
        <w:tc>
          <w:tcPr>
            <w:tcW w:w="2020" w:type="dxa"/>
            <w:tcBorders>
              <w:top w:val="nil"/>
              <w:left w:val="single" w:sz="8" w:space="0" w:color="auto"/>
              <w:bottom w:val="single" w:sz="8" w:space="0" w:color="auto"/>
              <w:right w:val="single" w:sz="8" w:space="0" w:color="auto"/>
            </w:tcBorders>
            <w:shd w:val="clear" w:color="auto" w:fill="auto"/>
            <w:noWrap/>
          </w:tcPr>
          <w:p w14:paraId="4EEDBE58"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493717">
              <w:t>220</w:t>
            </w:r>
          </w:p>
        </w:tc>
        <w:tc>
          <w:tcPr>
            <w:tcW w:w="960" w:type="dxa"/>
            <w:tcBorders>
              <w:top w:val="nil"/>
              <w:left w:val="nil"/>
              <w:bottom w:val="single" w:sz="8" w:space="0" w:color="auto"/>
              <w:right w:val="single" w:sz="8" w:space="0" w:color="auto"/>
            </w:tcBorders>
            <w:shd w:val="clear" w:color="auto" w:fill="auto"/>
            <w:noWrap/>
          </w:tcPr>
          <w:p w14:paraId="11AC0B8A"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7C3A13">
              <w:t>1%</w:t>
            </w:r>
          </w:p>
        </w:tc>
      </w:tr>
      <w:tr w:rsidR="000A1DF8" w:rsidRPr="005B6E1D" w14:paraId="442FB5F9" w14:textId="77777777" w:rsidTr="00501A22">
        <w:trPr>
          <w:trHeight w:val="300"/>
          <w:jc w:val="center"/>
        </w:trPr>
        <w:tc>
          <w:tcPr>
            <w:tcW w:w="2255" w:type="dxa"/>
            <w:tcBorders>
              <w:top w:val="nil"/>
              <w:left w:val="single" w:sz="8" w:space="0" w:color="auto"/>
              <w:bottom w:val="single" w:sz="8" w:space="0" w:color="auto"/>
              <w:right w:val="nil"/>
            </w:tcBorders>
            <w:shd w:val="clear" w:color="000000" w:fill="D8D8D8"/>
            <w:noWrap/>
            <w:vAlign w:val="center"/>
            <w:hideMark/>
          </w:tcPr>
          <w:p w14:paraId="065C35A3"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5B6E1D">
              <w:rPr>
                <w:rFonts w:ascii="Arial" w:eastAsia="Times New Roman" w:hAnsi="Arial" w:cs="Arial"/>
                <w:color w:val="000000"/>
                <w:sz w:val="20"/>
                <w:szCs w:val="20"/>
                <w:lang w:val="ro-RO"/>
              </w:rPr>
              <w:t>pietonal</w:t>
            </w:r>
          </w:p>
        </w:tc>
        <w:tc>
          <w:tcPr>
            <w:tcW w:w="2020" w:type="dxa"/>
            <w:tcBorders>
              <w:top w:val="nil"/>
              <w:left w:val="single" w:sz="8" w:space="0" w:color="auto"/>
              <w:bottom w:val="single" w:sz="8" w:space="0" w:color="auto"/>
              <w:right w:val="single" w:sz="8" w:space="0" w:color="auto"/>
            </w:tcBorders>
            <w:shd w:val="clear" w:color="auto" w:fill="auto"/>
            <w:noWrap/>
          </w:tcPr>
          <w:p w14:paraId="1A826717"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493717">
              <w:t>6792</w:t>
            </w:r>
          </w:p>
        </w:tc>
        <w:tc>
          <w:tcPr>
            <w:tcW w:w="960" w:type="dxa"/>
            <w:tcBorders>
              <w:top w:val="nil"/>
              <w:left w:val="nil"/>
              <w:bottom w:val="single" w:sz="8" w:space="0" w:color="auto"/>
              <w:right w:val="single" w:sz="8" w:space="0" w:color="auto"/>
            </w:tcBorders>
            <w:shd w:val="clear" w:color="auto" w:fill="auto"/>
            <w:noWrap/>
          </w:tcPr>
          <w:p w14:paraId="17B98BAA"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7C3A13">
              <w:t>18%</w:t>
            </w:r>
          </w:p>
        </w:tc>
      </w:tr>
      <w:tr w:rsidR="000A1DF8" w:rsidRPr="005B6E1D" w14:paraId="1CBC4D86" w14:textId="77777777" w:rsidTr="00501A22">
        <w:trPr>
          <w:trHeight w:val="300"/>
          <w:jc w:val="center"/>
        </w:trPr>
        <w:tc>
          <w:tcPr>
            <w:tcW w:w="2255" w:type="dxa"/>
            <w:tcBorders>
              <w:top w:val="nil"/>
              <w:left w:val="single" w:sz="8" w:space="0" w:color="auto"/>
              <w:bottom w:val="single" w:sz="8" w:space="0" w:color="auto"/>
              <w:right w:val="nil"/>
            </w:tcBorders>
            <w:shd w:val="clear" w:color="000000" w:fill="92D050"/>
            <w:noWrap/>
            <w:vAlign w:val="center"/>
            <w:hideMark/>
          </w:tcPr>
          <w:p w14:paraId="7564FAA7" w14:textId="77777777" w:rsidR="000A1DF8" w:rsidRPr="005B6E1D" w:rsidRDefault="000A1DF8" w:rsidP="00501A22">
            <w:pPr>
              <w:spacing w:after="0" w:line="240" w:lineRule="auto"/>
              <w:jc w:val="center"/>
              <w:rPr>
                <w:rFonts w:ascii="Arial" w:eastAsia="Times New Roman" w:hAnsi="Arial" w:cs="Arial"/>
                <w:color w:val="000000"/>
                <w:sz w:val="20"/>
                <w:szCs w:val="20"/>
                <w:lang w:val="ro-RO"/>
              </w:rPr>
            </w:pPr>
            <w:r w:rsidRPr="005B6E1D">
              <w:rPr>
                <w:rFonts w:ascii="Arial" w:eastAsia="Times New Roman" w:hAnsi="Arial" w:cs="Arial"/>
                <w:color w:val="000000"/>
                <w:sz w:val="20"/>
                <w:szCs w:val="20"/>
                <w:lang w:val="ro-RO"/>
              </w:rPr>
              <w:t>total deplasări</w:t>
            </w:r>
          </w:p>
        </w:tc>
        <w:tc>
          <w:tcPr>
            <w:tcW w:w="2020" w:type="dxa"/>
            <w:tcBorders>
              <w:top w:val="nil"/>
              <w:left w:val="single" w:sz="8" w:space="0" w:color="auto"/>
              <w:bottom w:val="single" w:sz="8" w:space="0" w:color="auto"/>
              <w:right w:val="single" w:sz="8" w:space="0" w:color="auto"/>
            </w:tcBorders>
            <w:shd w:val="clear" w:color="000000" w:fill="92D050"/>
            <w:noWrap/>
          </w:tcPr>
          <w:p w14:paraId="3DF0D9C5" w14:textId="77777777" w:rsidR="000A1DF8" w:rsidRPr="005B6E1D" w:rsidRDefault="000A1DF8" w:rsidP="00501A22">
            <w:pPr>
              <w:spacing w:after="0" w:line="240" w:lineRule="auto"/>
              <w:jc w:val="center"/>
              <w:rPr>
                <w:rFonts w:ascii="Arial" w:eastAsia="Times New Roman" w:hAnsi="Arial" w:cs="Arial"/>
                <w:b/>
                <w:bCs/>
                <w:color w:val="000000"/>
                <w:sz w:val="20"/>
                <w:szCs w:val="20"/>
                <w:lang w:val="ro-RO"/>
              </w:rPr>
            </w:pPr>
            <w:r w:rsidRPr="00493717">
              <w:t>36719</w:t>
            </w:r>
          </w:p>
        </w:tc>
        <w:tc>
          <w:tcPr>
            <w:tcW w:w="960" w:type="dxa"/>
            <w:tcBorders>
              <w:top w:val="nil"/>
              <w:left w:val="nil"/>
              <w:bottom w:val="single" w:sz="8" w:space="0" w:color="auto"/>
              <w:right w:val="single" w:sz="8" w:space="0" w:color="auto"/>
            </w:tcBorders>
            <w:shd w:val="clear" w:color="000000" w:fill="92D050"/>
            <w:noWrap/>
          </w:tcPr>
          <w:p w14:paraId="5BDF3335" w14:textId="77777777" w:rsidR="000A1DF8" w:rsidRPr="005B6E1D" w:rsidRDefault="000A1DF8" w:rsidP="00501A22">
            <w:pPr>
              <w:spacing w:after="0" w:line="240" w:lineRule="auto"/>
              <w:jc w:val="center"/>
              <w:rPr>
                <w:rFonts w:ascii="Arial" w:eastAsia="Times New Roman" w:hAnsi="Arial" w:cs="Arial"/>
                <w:b/>
                <w:bCs/>
                <w:color w:val="000000"/>
                <w:sz w:val="20"/>
                <w:szCs w:val="20"/>
                <w:lang w:val="ro-RO"/>
              </w:rPr>
            </w:pPr>
            <w:r w:rsidRPr="007C3A13">
              <w:t>100%</w:t>
            </w:r>
          </w:p>
        </w:tc>
      </w:tr>
    </w:tbl>
    <w:p w14:paraId="7EF6DC47" w14:textId="77777777" w:rsidR="00D55BD8" w:rsidRDefault="00D55BD8" w:rsidP="00D55BD8">
      <w:pPr>
        <w:widowControl w:val="0"/>
        <w:suppressAutoHyphens/>
        <w:spacing w:after="0" w:line="276" w:lineRule="auto"/>
        <w:ind w:left="810"/>
        <w:jc w:val="both"/>
        <w:rPr>
          <w:rFonts w:ascii="Arial" w:hAnsi="Arial" w:cs="Arial"/>
          <w:kern w:val="1"/>
          <w:lang w:val="es-ES" w:eastAsia="hi-IN" w:bidi="hi-IN"/>
        </w:rPr>
      </w:pPr>
    </w:p>
    <w:p w14:paraId="5F6D7E63" w14:textId="77777777" w:rsidR="00D55BD8" w:rsidRDefault="000A1DF8" w:rsidP="00D55BD8">
      <w:pPr>
        <w:widowControl w:val="0"/>
        <w:suppressAutoHyphens/>
        <w:spacing w:after="0" w:line="276" w:lineRule="auto"/>
        <w:ind w:left="810"/>
        <w:jc w:val="both"/>
        <w:rPr>
          <w:rFonts w:ascii="Arial" w:hAnsi="Arial" w:cs="Arial"/>
          <w:kern w:val="1"/>
          <w:lang w:val="es-ES" w:eastAsia="hi-IN" w:bidi="hi-IN"/>
        </w:rPr>
      </w:pPr>
      <w:r>
        <w:rPr>
          <w:noProof/>
        </w:rPr>
        <w:drawing>
          <wp:inline distT="0" distB="0" distL="0" distR="0" wp14:anchorId="4C3D49B9" wp14:editId="664225C2">
            <wp:extent cx="5268517" cy="3333353"/>
            <wp:effectExtent l="0" t="0" r="8890" b="635"/>
            <wp:docPr id="177" name="Chart 177">
              <a:extLst xmlns:a="http://schemas.openxmlformats.org/drawingml/2006/main">
                <a:ext uri="{FF2B5EF4-FFF2-40B4-BE49-F238E27FC236}">
                  <a16:creationId xmlns:a16="http://schemas.microsoft.com/office/drawing/2014/main" id="{BFAF880F-CA9B-419B-A9ED-B1943A5CAA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69679B4" w14:textId="55E7197C" w:rsidR="00D55BD8" w:rsidRPr="00D55BD8" w:rsidRDefault="006D4DC5" w:rsidP="00D55BD8">
      <w:pPr>
        <w:pStyle w:val="Legend"/>
        <w:jc w:val="center"/>
        <w:rPr>
          <w:rFonts w:ascii="Arial" w:hAnsi="Arial" w:cs="Arial"/>
          <w:i w:val="0"/>
          <w:iCs w:val="0"/>
          <w:kern w:val="1"/>
          <w:sz w:val="22"/>
          <w:szCs w:val="22"/>
          <w:lang w:val="es-ES" w:eastAsia="hi-IN" w:bidi="hi-IN"/>
        </w:rPr>
      </w:pPr>
      <w:bookmarkStart w:id="238" w:name="_Toc68361180"/>
      <w:bookmarkStart w:id="239" w:name="_Toc140744506"/>
      <w:r w:rsidRPr="0001072E">
        <w:rPr>
          <w:rFonts w:ascii="Arial" w:hAnsi="Arial" w:cs="Arial"/>
          <w:sz w:val="22"/>
          <w:szCs w:val="22"/>
        </w:rPr>
        <w:t>Figura I.3.</w:t>
      </w:r>
      <w:r w:rsidR="00D55BD8" w:rsidRPr="0001072E">
        <w:rPr>
          <w:rFonts w:ascii="Arial" w:hAnsi="Arial" w:cs="Arial"/>
          <w:sz w:val="22"/>
          <w:szCs w:val="22"/>
        </w:rPr>
        <w:t xml:space="preserve">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29</w:t>
      </w:r>
      <w:r w:rsidRPr="0001072E">
        <w:rPr>
          <w:rFonts w:ascii="Arial" w:hAnsi="Arial" w:cs="Arial"/>
          <w:sz w:val="22"/>
          <w:szCs w:val="22"/>
        </w:rPr>
        <w:fldChar w:fldCharType="end"/>
      </w:r>
      <w:r w:rsidR="00D55BD8" w:rsidRPr="0001072E">
        <w:rPr>
          <w:rFonts w:ascii="Arial" w:hAnsi="Arial" w:cs="Arial"/>
          <w:sz w:val="22"/>
          <w:szCs w:val="22"/>
        </w:rPr>
        <w:t xml:space="preserve"> - </w:t>
      </w:r>
      <w:r w:rsidR="00D55BD8" w:rsidRPr="0001072E">
        <w:rPr>
          <w:rFonts w:ascii="Arial" w:hAnsi="Arial" w:cs="Arial"/>
          <w:i w:val="0"/>
          <w:iCs w:val="0"/>
          <w:sz w:val="22"/>
          <w:szCs w:val="22"/>
        </w:rPr>
        <w:t>Repartiția modală a deplasărilor</w:t>
      </w:r>
      <w:bookmarkEnd w:id="238"/>
      <w:bookmarkEnd w:id="239"/>
    </w:p>
    <w:p w14:paraId="55C7AAC8" w14:textId="77777777" w:rsidR="00D55BD8" w:rsidRDefault="00D55BD8" w:rsidP="00D55BD8">
      <w:pPr>
        <w:widowControl w:val="0"/>
        <w:suppressAutoHyphens/>
        <w:spacing w:after="0" w:line="276" w:lineRule="auto"/>
        <w:ind w:left="810"/>
        <w:jc w:val="both"/>
        <w:rPr>
          <w:rFonts w:ascii="Arial" w:hAnsi="Arial" w:cs="Arial"/>
          <w:kern w:val="1"/>
          <w:lang w:val="es-ES" w:eastAsia="hi-IN" w:bidi="hi-IN"/>
        </w:rPr>
      </w:pPr>
    </w:p>
    <w:p w14:paraId="67EFA3EE"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r w:rsidRPr="00D55BD8">
        <w:rPr>
          <w:rFonts w:ascii="Arial" w:hAnsi="Arial" w:cs="Arial"/>
          <w:kern w:val="1"/>
          <w:lang w:val="ro-RO" w:eastAsia="hi-IN" w:bidi="hi-IN"/>
        </w:rPr>
        <w:t>Pentru datele din ancheta origine – destina</w:t>
      </w:r>
      <w:r w:rsidRPr="00D55BD8">
        <w:rPr>
          <w:rFonts w:ascii="Arial" w:hAnsi="Arial" w:cs="Arial"/>
          <w:color w:val="000000"/>
          <w:kern w:val="1"/>
          <w:lang w:val="ro-RO" w:eastAsia="hi-IN" w:bidi="hi-IN"/>
        </w:rPr>
        <w:t>ț</w:t>
      </w:r>
      <w:r w:rsidRPr="00D55BD8">
        <w:rPr>
          <w:rFonts w:ascii="Arial" w:hAnsi="Arial" w:cs="Arial"/>
          <w:kern w:val="1"/>
          <w:lang w:val="ro-RO" w:eastAsia="hi-IN" w:bidi="hi-IN"/>
        </w:rPr>
        <w:t xml:space="preserve">ie au fost chestionati </w:t>
      </w:r>
      <w:r w:rsidR="000A1DF8">
        <w:rPr>
          <w:rFonts w:ascii="Arial" w:hAnsi="Arial" w:cs="Arial"/>
          <w:kern w:val="1"/>
          <w:lang w:val="ro-RO" w:eastAsia="hi-IN" w:bidi="hi-IN"/>
        </w:rPr>
        <w:t>194</w:t>
      </w:r>
      <w:r w:rsidRPr="00D55BD8">
        <w:rPr>
          <w:rFonts w:ascii="Arial" w:hAnsi="Arial" w:cs="Arial"/>
          <w:kern w:val="1"/>
          <w:lang w:val="ro-RO" w:eastAsia="hi-IN" w:bidi="hi-IN"/>
        </w:rPr>
        <w:t xml:space="preserve"> responden</w:t>
      </w:r>
      <w:r w:rsidRPr="00D55BD8">
        <w:rPr>
          <w:rFonts w:ascii="Arial" w:hAnsi="Arial" w:cs="Arial"/>
          <w:color w:val="000000"/>
          <w:kern w:val="1"/>
          <w:lang w:val="ro-RO" w:eastAsia="hi-IN" w:bidi="hi-IN"/>
        </w:rPr>
        <w:t>ț</w:t>
      </w:r>
      <w:r w:rsidRPr="00D55BD8">
        <w:rPr>
          <w:rFonts w:ascii="Arial" w:hAnsi="Arial" w:cs="Arial"/>
          <w:kern w:val="1"/>
          <w:lang w:val="ro-RO" w:eastAsia="hi-IN" w:bidi="hi-IN"/>
        </w:rPr>
        <w:t>i la o popula</w:t>
      </w:r>
      <w:r w:rsidRPr="00D55BD8">
        <w:rPr>
          <w:rFonts w:ascii="Arial" w:hAnsi="Arial" w:cs="Arial"/>
          <w:color w:val="000000"/>
          <w:kern w:val="1"/>
          <w:lang w:val="ro-RO" w:eastAsia="hi-IN" w:bidi="hi-IN"/>
        </w:rPr>
        <w:t>ț</w:t>
      </w:r>
      <w:r w:rsidRPr="00D55BD8">
        <w:rPr>
          <w:rFonts w:ascii="Arial" w:hAnsi="Arial" w:cs="Arial"/>
          <w:kern w:val="1"/>
          <w:lang w:val="ro-RO" w:eastAsia="hi-IN" w:bidi="hi-IN"/>
        </w:rPr>
        <w:t xml:space="preserve">ie de </w:t>
      </w:r>
      <w:r w:rsidR="000A1DF8">
        <w:rPr>
          <w:rFonts w:ascii="Arial" w:hAnsi="Arial" w:cs="Arial"/>
          <w:kern w:val="1"/>
          <w:lang w:val="ro-RO" w:eastAsia="hi-IN" w:bidi="hi-IN"/>
        </w:rPr>
        <w:t>6.806</w:t>
      </w:r>
      <w:r w:rsidRPr="00D55BD8">
        <w:rPr>
          <w:rFonts w:ascii="Arial" w:hAnsi="Arial" w:cs="Arial"/>
          <w:kern w:val="1"/>
          <w:lang w:val="ro-RO" w:eastAsia="hi-IN" w:bidi="hi-IN"/>
        </w:rPr>
        <w:t xml:space="preserve"> locuitori. Raportul </w:t>
      </w:r>
      <w:r w:rsidRPr="00D55BD8">
        <w:rPr>
          <w:rFonts w:ascii="Arial" w:hAnsi="Arial" w:cs="Arial"/>
          <w:color w:val="000000"/>
          <w:kern w:val="1"/>
          <w:lang w:val="ro-RO" w:eastAsia="hi-IN" w:bidi="hi-IN"/>
        </w:rPr>
        <w:t>î</w:t>
      </w:r>
      <w:r w:rsidRPr="00D55BD8">
        <w:rPr>
          <w:rFonts w:ascii="Arial" w:hAnsi="Arial" w:cs="Arial"/>
          <w:kern w:val="1"/>
          <w:lang w:val="ro-RO" w:eastAsia="hi-IN" w:bidi="hi-IN"/>
        </w:rPr>
        <w:t>ntre num</w:t>
      </w:r>
      <w:r w:rsidRPr="00D55BD8">
        <w:rPr>
          <w:rFonts w:ascii="Arial" w:hAnsi="Arial" w:cs="Arial"/>
          <w:color w:val="000000"/>
          <w:kern w:val="1"/>
          <w:lang w:val="ro-RO" w:eastAsia="hi-IN" w:bidi="hi-IN"/>
        </w:rPr>
        <w:t>ă</w:t>
      </w:r>
      <w:r w:rsidRPr="00D55BD8">
        <w:rPr>
          <w:rFonts w:ascii="Arial" w:hAnsi="Arial" w:cs="Arial"/>
          <w:kern w:val="1"/>
          <w:lang w:val="ro-RO" w:eastAsia="hi-IN" w:bidi="hi-IN"/>
        </w:rPr>
        <w:t>rul responden</w:t>
      </w:r>
      <w:r w:rsidRPr="00D55BD8">
        <w:rPr>
          <w:rFonts w:ascii="Arial" w:hAnsi="Arial" w:cs="Arial"/>
          <w:color w:val="000000"/>
          <w:kern w:val="1"/>
          <w:lang w:val="ro-RO" w:eastAsia="hi-IN" w:bidi="hi-IN"/>
        </w:rPr>
        <w:t>ț</w:t>
      </w:r>
      <w:r w:rsidRPr="00D55BD8">
        <w:rPr>
          <w:rFonts w:ascii="Arial" w:hAnsi="Arial" w:cs="Arial"/>
          <w:kern w:val="1"/>
          <w:lang w:val="ro-RO" w:eastAsia="hi-IN" w:bidi="hi-IN"/>
        </w:rPr>
        <w:t xml:space="preserve">ilor </w:t>
      </w:r>
      <w:r w:rsidRPr="00D55BD8">
        <w:rPr>
          <w:rFonts w:ascii="Arial" w:hAnsi="Arial" w:cs="Arial"/>
          <w:color w:val="000000"/>
          <w:kern w:val="1"/>
          <w:lang w:val="ro-RO" w:eastAsia="hi-IN" w:bidi="hi-IN"/>
        </w:rPr>
        <w:t>ş</w:t>
      </w:r>
      <w:r w:rsidRPr="00D55BD8">
        <w:rPr>
          <w:rFonts w:ascii="Arial" w:hAnsi="Arial" w:cs="Arial"/>
          <w:kern w:val="1"/>
          <w:lang w:val="ro-RO" w:eastAsia="hi-IN" w:bidi="hi-IN"/>
        </w:rPr>
        <w:t>i popula</w:t>
      </w:r>
      <w:r w:rsidRPr="00D55BD8">
        <w:rPr>
          <w:rFonts w:ascii="Arial" w:hAnsi="Arial" w:cs="Arial"/>
          <w:color w:val="000000"/>
          <w:kern w:val="1"/>
          <w:lang w:val="ro-RO" w:eastAsia="hi-IN" w:bidi="hi-IN"/>
        </w:rPr>
        <w:t>ț</w:t>
      </w:r>
      <w:r w:rsidRPr="00D55BD8">
        <w:rPr>
          <w:rFonts w:ascii="Arial" w:hAnsi="Arial" w:cs="Arial"/>
          <w:kern w:val="1"/>
          <w:lang w:val="ro-RO" w:eastAsia="hi-IN" w:bidi="hi-IN"/>
        </w:rPr>
        <w:t>ia municipiului este acceptabil pentru o eroare a rezultatelor mai mic</w:t>
      </w:r>
      <w:r w:rsidRPr="00D55BD8">
        <w:rPr>
          <w:rFonts w:ascii="Arial" w:hAnsi="Arial" w:cs="Arial"/>
          <w:color w:val="000000"/>
          <w:kern w:val="1"/>
          <w:lang w:val="ro-RO" w:eastAsia="hi-IN" w:bidi="hi-IN"/>
        </w:rPr>
        <w:t>ă</w:t>
      </w:r>
      <w:r w:rsidRPr="00D55BD8">
        <w:rPr>
          <w:rFonts w:ascii="Arial" w:hAnsi="Arial" w:cs="Arial"/>
          <w:kern w:val="1"/>
          <w:lang w:val="ro-RO" w:eastAsia="hi-IN" w:bidi="hi-IN"/>
        </w:rPr>
        <w:t xml:space="preserve"> de 3-5%.</w:t>
      </w:r>
    </w:p>
    <w:p w14:paraId="6F70C32A" w14:textId="77777777" w:rsidR="00D55BD8" w:rsidRPr="00D55BD8" w:rsidRDefault="00D55BD8" w:rsidP="00D55BD8">
      <w:pPr>
        <w:widowControl w:val="0"/>
        <w:suppressAutoHyphens/>
        <w:spacing w:after="0" w:line="276" w:lineRule="auto"/>
        <w:jc w:val="center"/>
        <w:rPr>
          <w:rFonts w:ascii="Arial" w:hAnsi="Arial" w:cs="Arial"/>
          <w:kern w:val="1"/>
          <w:lang w:val="ro-RO" w:eastAsia="hi-IN" w:bidi="hi-IN"/>
        </w:rPr>
      </w:pPr>
    </w:p>
    <w:p w14:paraId="53FC1D10" w14:textId="77777777" w:rsidR="00D55BD8" w:rsidRPr="00D55BD8" w:rsidRDefault="00153BFD" w:rsidP="00D55BD8">
      <w:pPr>
        <w:widowControl w:val="0"/>
        <w:suppressAutoHyphens/>
        <w:spacing w:after="0" w:line="276" w:lineRule="auto"/>
        <w:jc w:val="both"/>
        <w:rPr>
          <w:rFonts w:ascii="Arial" w:hAnsi="Arial" w:cs="Arial"/>
          <w:kern w:val="1"/>
          <w:lang w:val="ro-RO" w:eastAsia="hi-IN" w:bidi="hi-IN"/>
        </w:rPr>
      </w:pPr>
      <w:r w:rsidRPr="00D616A5">
        <w:rPr>
          <w:rFonts w:ascii="Arial" w:hAnsi="Arial" w:cs="Arial"/>
          <w:kern w:val="1"/>
          <w:lang w:val="ro-RO" w:eastAsia="hi-IN" w:bidi="hi-IN"/>
        </w:rPr>
        <w:t>Deplas</w:t>
      </w:r>
      <w:r w:rsidRPr="00D616A5">
        <w:rPr>
          <w:rFonts w:ascii="Arial" w:hAnsi="Arial" w:cs="Arial"/>
          <w:color w:val="000000"/>
          <w:kern w:val="1"/>
          <w:lang w:val="ro-RO" w:eastAsia="hi-IN" w:bidi="hi-IN"/>
        </w:rPr>
        <w:t>ă</w:t>
      </w:r>
      <w:r w:rsidRPr="00D616A5">
        <w:rPr>
          <w:rFonts w:ascii="Arial" w:hAnsi="Arial" w:cs="Arial"/>
          <w:kern w:val="1"/>
          <w:lang w:val="ro-RO" w:eastAsia="hi-IN" w:bidi="hi-IN"/>
        </w:rPr>
        <w:t xml:space="preserve">rile </w:t>
      </w:r>
      <w:r w:rsidRPr="00D616A5">
        <w:rPr>
          <w:rFonts w:ascii="Arial" w:hAnsi="Arial" w:cs="Arial"/>
          <w:color w:val="000000"/>
          <w:kern w:val="1"/>
          <w:lang w:val="ro-RO" w:eastAsia="hi-IN" w:bidi="hi-IN"/>
        </w:rPr>
        <w:t>î</w:t>
      </w:r>
      <w:r w:rsidRPr="00D616A5">
        <w:rPr>
          <w:rFonts w:ascii="Arial" w:hAnsi="Arial" w:cs="Arial"/>
          <w:kern w:val="1"/>
          <w:lang w:val="ro-RO" w:eastAsia="hi-IN" w:bidi="hi-IN"/>
        </w:rPr>
        <w:t xml:space="preserve">ntre cele 17 zone </w:t>
      </w:r>
      <w:r w:rsidRPr="00D616A5">
        <w:rPr>
          <w:rFonts w:ascii="Arial" w:hAnsi="Arial" w:cs="Arial"/>
          <w:color w:val="000000"/>
          <w:kern w:val="1"/>
          <w:lang w:val="ro-RO" w:eastAsia="hi-IN" w:bidi="hi-IN"/>
        </w:rPr>
        <w:t>ş</w:t>
      </w:r>
      <w:r w:rsidRPr="00D616A5">
        <w:rPr>
          <w:rFonts w:ascii="Arial" w:hAnsi="Arial" w:cs="Arial"/>
          <w:kern w:val="1"/>
          <w:lang w:val="ro-RO" w:eastAsia="hi-IN" w:bidi="hi-IN"/>
        </w:rPr>
        <w:t>i cele 4 penetra</w:t>
      </w:r>
      <w:r w:rsidRPr="00D616A5">
        <w:rPr>
          <w:rFonts w:ascii="Arial" w:hAnsi="Arial" w:cs="Arial"/>
          <w:color w:val="000000"/>
          <w:kern w:val="1"/>
          <w:lang w:val="ro-RO" w:eastAsia="hi-IN" w:bidi="hi-IN"/>
        </w:rPr>
        <w:t>ț</w:t>
      </w:r>
      <w:r w:rsidRPr="00D616A5">
        <w:rPr>
          <w:rFonts w:ascii="Arial" w:hAnsi="Arial" w:cs="Arial"/>
          <w:kern w:val="1"/>
          <w:lang w:val="ro-RO" w:eastAsia="hi-IN" w:bidi="hi-IN"/>
        </w:rPr>
        <w:t>ii ale orasului determin</w:t>
      </w:r>
      <w:r w:rsidRPr="00D616A5">
        <w:rPr>
          <w:rFonts w:ascii="Arial" w:hAnsi="Arial" w:cs="Arial"/>
          <w:color w:val="000000"/>
          <w:kern w:val="1"/>
          <w:lang w:val="ro-RO" w:eastAsia="hi-IN" w:bidi="hi-IN"/>
        </w:rPr>
        <w:t>ă</w:t>
      </w:r>
      <w:r w:rsidRPr="00D616A5">
        <w:rPr>
          <w:rFonts w:ascii="Arial" w:hAnsi="Arial" w:cs="Arial"/>
          <w:kern w:val="1"/>
          <w:lang w:val="ro-RO" w:eastAsia="hi-IN" w:bidi="hi-IN"/>
        </w:rPr>
        <w:t xml:space="preserve"> matricea de deplas</w:t>
      </w:r>
      <w:r w:rsidRPr="00D616A5">
        <w:rPr>
          <w:rFonts w:ascii="Arial" w:hAnsi="Arial" w:cs="Arial"/>
          <w:color w:val="000000"/>
          <w:kern w:val="1"/>
          <w:lang w:val="ro-RO" w:eastAsia="hi-IN" w:bidi="hi-IN"/>
        </w:rPr>
        <w:t>ă</w:t>
      </w:r>
      <w:r w:rsidRPr="00D616A5">
        <w:rPr>
          <w:rFonts w:ascii="Arial" w:hAnsi="Arial" w:cs="Arial"/>
          <w:kern w:val="1"/>
          <w:lang w:val="ro-RO" w:eastAsia="hi-IN" w:bidi="hi-IN"/>
        </w:rPr>
        <w:t xml:space="preserve">ri </w:t>
      </w:r>
      <w:r w:rsidRPr="00D616A5">
        <w:rPr>
          <w:rFonts w:ascii="Arial" w:hAnsi="Arial" w:cs="Arial"/>
          <w:color w:val="000000"/>
          <w:kern w:val="1"/>
          <w:lang w:val="ro-RO" w:eastAsia="hi-IN" w:bidi="hi-IN"/>
        </w:rPr>
        <w:t>î</w:t>
      </w:r>
      <w:r w:rsidRPr="00D616A5">
        <w:rPr>
          <w:rFonts w:ascii="Arial" w:hAnsi="Arial" w:cs="Arial"/>
          <w:kern w:val="1"/>
          <w:lang w:val="ro-RO" w:eastAsia="hi-IN" w:bidi="hi-IN"/>
        </w:rPr>
        <w:t xml:space="preserve">ntre origini </w:t>
      </w:r>
      <w:r w:rsidRPr="00D616A5">
        <w:rPr>
          <w:rFonts w:ascii="Arial" w:hAnsi="Arial" w:cs="Arial"/>
          <w:color w:val="000000"/>
          <w:kern w:val="1"/>
          <w:lang w:val="ro-RO" w:eastAsia="hi-IN" w:bidi="hi-IN"/>
        </w:rPr>
        <w:t>ş</w:t>
      </w:r>
      <w:r w:rsidRPr="00D616A5">
        <w:rPr>
          <w:rFonts w:ascii="Arial" w:hAnsi="Arial" w:cs="Arial"/>
          <w:kern w:val="1"/>
          <w:lang w:val="ro-RO" w:eastAsia="hi-IN" w:bidi="hi-IN"/>
        </w:rPr>
        <w:t>i destina</w:t>
      </w:r>
      <w:r w:rsidRPr="00D616A5">
        <w:rPr>
          <w:rFonts w:ascii="Arial" w:hAnsi="Arial" w:cs="Arial"/>
          <w:color w:val="000000"/>
          <w:kern w:val="1"/>
          <w:lang w:val="ro-RO" w:eastAsia="hi-IN" w:bidi="hi-IN"/>
        </w:rPr>
        <w:t>ț</w:t>
      </w:r>
      <w:r w:rsidRPr="00D616A5">
        <w:rPr>
          <w:rFonts w:ascii="Arial" w:hAnsi="Arial" w:cs="Arial"/>
          <w:kern w:val="1"/>
          <w:lang w:val="ro-RO" w:eastAsia="hi-IN" w:bidi="hi-IN"/>
        </w:rPr>
        <w:t xml:space="preserve">ii pe 24 ore </w:t>
      </w:r>
      <w:r w:rsidRPr="00D616A5">
        <w:rPr>
          <w:rFonts w:ascii="Arial" w:hAnsi="Arial" w:cs="Arial"/>
          <w:color w:val="000000"/>
          <w:kern w:val="1"/>
          <w:lang w:val="ro-RO" w:eastAsia="hi-IN" w:bidi="hi-IN"/>
        </w:rPr>
        <w:t>î</w:t>
      </w:r>
      <w:r w:rsidRPr="00D616A5">
        <w:rPr>
          <w:rFonts w:ascii="Arial" w:hAnsi="Arial" w:cs="Arial"/>
          <w:kern w:val="1"/>
          <w:lang w:val="ro-RO" w:eastAsia="hi-IN" w:bidi="hi-IN"/>
        </w:rPr>
        <w:t>nsumând toate cele 36719 deplas</w:t>
      </w:r>
      <w:r w:rsidRPr="00D616A5">
        <w:rPr>
          <w:rFonts w:ascii="Arial" w:hAnsi="Arial" w:cs="Arial"/>
          <w:color w:val="000000"/>
          <w:kern w:val="1"/>
          <w:lang w:val="ro-RO" w:eastAsia="hi-IN" w:bidi="hi-IN"/>
        </w:rPr>
        <w:t>ă</w:t>
      </w:r>
      <w:r w:rsidRPr="00D616A5">
        <w:rPr>
          <w:rFonts w:ascii="Arial" w:hAnsi="Arial" w:cs="Arial"/>
          <w:kern w:val="1"/>
          <w:lang w:val="ro-RO" w:eastAsia="hi-IN" w:bidi="hi-IN"/>
        </w:rPr>
        <w:t>ri rezultate din prelucrarea anchetelor origine-destina</w:t>
      </w:r>
      <w:r w:rsidRPr="00D616A5">
        <w:rPr>
          <w:rFonts w:ascii="Arial" w:hAnsi="Arial" w:cs="Arial"/>
          <w:color w:val="000000"/>
          <w:kern w:val="1"/>
          <w:lang w:val="ro-RO" w:eastAsia="hi-IN" w:bidi="hi-IN"/>
        </w:rPr>
        <w:t>ț</w:t>
      </w:r>
      <w:r w:rsidRPr="00D616A5">
        <w:rPr>
          <w:rFonts w:ascii="Arial" w:hAnsi="Arial" w:cs="Arial"/>
          <w:kern w:val="1"/>
          <w:lang w:val="ro-RO" w:eastAsia="hi-IN" w:bidi="hi-IN"/>
        </w:rPr>
        <w:t>ie cu corec</w:t>
      </w:r>
      <w:r w:rsidRPr="00D616A5">
        <w:rPr>
          <w:rFonts w:ascii="Arial" w:hAnsi="Arial" w:cs="Arial"/>
          <w:color w:val="000000"/>
          <w:kern w:val="1"/>
          <w:lang w:val="ro-RO" w:eastAsia="hi-IN" w:bidi="hi-IN"/>
        </w:rPr>
        <w:t>ț</w:t>
      </w:r>
      <w:r w:rsidRPr="00D616A5">
        <w:rPr>
          <w:rFonts w:ascii="Arial" w:hAnsi="Arial" w:cs="Arial"/>
          <w:kern w:val="1"/>
          <w:lang w:val="ro-RO" w:eastAsia="hi-IN" w:bidi="hi-IN"/>
        </w:rPr>
        <w:t>iile privind num</w:t>
      </w:r>
      <w:r w:rsidRPr="00D616A5">
        <w:rPr>
          <w:rFonts w:ascii="Arial" w:hAnsi="Arial" w:cs="Arial"/>
          <w:color w:val="000000"/>
          <w:kern w:val="1"/>
          <w:lang w:val="ro-RO" w:eastAsia="hi-IN" w:bidi="hi-IN"/>
        </w:rPr>
        <w:t>ă</w:t>
      </w:r>
      <w:r w:rsidRPr="00D616A5">
        <w:rPr>
          <w:rFonts w:ascii="Arial" w:hAnsi="Arial" w:cs="Arial"/>
          <w:kern w:val="1"/>
          <w:lang w:val="ro-RO" w:eastAsia="hi-IN" w:bidi="hi-IN"/>
        </w:rPr>
        <w:t>rul de subiec</w:t>
      </w:r>
      <w:r w:rsidRPr="00D616A5">
        <w:rPr>
          <w:rFonts w:ascii="Arial" w:hAnsi="Arial" w:cs="Arial"/>
          <w:color w:val="000000"/>
          <w:kern w:val="1"/>
          <w:lang w:val="ro-RO" w:eastAsia="hi-IN" w:bidi="hi-IN"/>
        </w:rPr>
        <w:t>ț</w:t>
      </w:r>
      <w:r w:rsidRPr="00D616A5">
        <w:rPr>
          <w:rFonts w:ascii="Arial" w:hAnsi="Arial" w:cs="Arial"/>
          <w:kern w:val="1"/>
          <w:lang w:val="ro-RO" w:eastAsia="hi-IN" w:bidi="hi-IN"/>
        </w:rPr>
        <w:t>i responden</w:t>
      </w:r>
      <w:r w:rsidRPr="00D616A5">
        <w:rPr>
          <w:rFonts w:ascii="Arial" w:hAnsi="Arial" w:cs="Arial"/>
          <w:color w:val="000000"/>
          <w:kern w:val="1"/>
          <w:lang w:val="ro-RO" w:eastAsia="hi-IN" w:bidi="hi-IN"/>
        </w:rPr>
        <w:t>ț</w:t>
      </w:r>
      <w:r w:rsidRPr="00D616A5">
        <w:rPr>
          <w:rFonts w:ascii="Arial" w:hAnsi="Arial" w:cs="Arial"/>
          <w:kern w:val="1"/>
          <w:lang w:val="ro-RO" w:eastAsia="hi-IN" w:bidi="hi-IN"/>
        </w:rPr>
        <w:t>i la totalul popula</w:t>
      </w:r>
      <w:r w:rsidRPr="00D616A5">
        <w:rPr>
          <w:rFonts w:ascii="Arial" w:hAnsi="Arial" w:cs="Arial"/>
          <w:color w:val="000000"/>
          <w:kern w:val="1"/>
          <w:lang w:val="ro-RO" w:eastAsia="hi-IN" w:bidi="hi-IN"/>
        </w:rPr>
        <w:t>ț</w:t>
      </w:r>
      <w:r w:rsidRPr="00D616A5">
        <w:rPr>
          <w:rFonts w:ascii="Arial" w:hAnsi="Arial" w:cs="Arial"/>
          <w:kern w:val="1"/>
          <w:lang w:val="ro-RO" w:eastAsia="hi-IN" w:bidi="hi-IN"/>
        </w:rPr>
        <w:t>iei localitatii.</w:t>
      </w:r>
    </w:p>
    <w:p w14:paraId="09F3E3EE"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p>
    <w:p w14:paraId="6C7BD143"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r w:rsidRPr="00D55BD8">
        <w:rPr>
          <w:rFonts w:ascii="Arial" w:hAnsi="Arial" w:cs="Arial"/>
          <w:kern w:val="1"/>
          <w:lang w:val="ro-RO" w:eastAsia="hi-IN" w:bidi="hi-IN"/>
        </w:rPr>
        <w:t>Reparti</w:t>
      </w:r>
      <w:r w:rsidRPr="00D55BD8">
        <w:rPr>
          <w:rFonts w:ascii="Arial" w:hAnsi="Arial" w:cs="Arial"/>
          <w:color w:val="000000"/>
          <w:kern w:val="1"/>
          <w:lang w:val="ro-RO" w:eastAsia="hi-IN" w:bidi="hi-IN"/>
        </w:rPr>
        <w:t>ț</w:t>
      </w:r>
      <w:r w:rsidRPr="00D55BD8">
        <w:rPr>
          <w:rFonts w:ascii="Arial" w:hAnsi="Arial" w:cs="Arial"/>
          <w:kern w:val="1"/>
          <w:lang w:val="ro-RO" w:eastAsia="hi-IN" w:bidi="hi-IN"/>
        </w:rPr>
        <w:t>ia orar</w:t>
      </w:r>
      <w:r w:rsidRPr="00D55BD8">
        <w:rPr>
          <w:rFonts w:ascii="Arial" w:hAnsi="Arial" w:cs="Arial"/>
          <w:color w:val="000000"/>
          <w:kern w:val="1"/>
          <w:lang w:val="ro-RO" w:eastAsia="hi-IN" w:bidi="hi-IN"/>
        </w:rPr>
        <w:t>ă</w:t>
      </w:r>
      <w:r w:rsidRPr="00D55BD8">
        <w:rPr>
          <w:rFonts w:ascii="Arial" w:hAnsi="Arial" w:cs="Arial"/>
          <w:kern w:val="1"/>
          <w:lang w:val="ro-RO" w:eastAsia="hi-IN" w:bidi="hi-IN"/>
        </w:rPr>
        <w:t xml:space="preserve"> a deplas</w:t>
      </w:r>
      <w:r w:rsidRPr="00D55BD8">
        <w:rPr>
          <w:rFonts w:ascii="Arial" w:hAnsi="Arial" w:cs="Arial"/>
          <w:color w:val="000000"/>
          <w:kern w:val="1"/>
          <w:lang w:val="ro-RO" w:eastAsia="hi-IN" w:bidi="hi-IN"/>
        </w:rPr>
        <w:t>ă</w:t>
      </w:r>
      <w:r w:rsidRPr="00D55BD8">
        <w:rPr>
          <w:rFonts w:ascii="Arial" w:hAnsi="Arial" w:cs="Arial"/>
          <w:kern w:val="1"/>
          <w:lang w:val="ro-RO" w:eastAsia="hi-IN" w:bidi="hi-IN"/>
        </w:rPr>
        <w:t xml:space="preserve">rilor </w:t>
      </w:r>
      <w:r w:rsidRPr="00D55BD8">
        <w:rPr>
          <w:rFonts w:ascii="Arial" w:hAnsi="Arial" w:cs="Arial"/>
          <w:color w:val="000000"/>
          <w:kern w:val="1"/>
          <w:lang w:val="ro-RO" w:eastAsia="hi-IN" w:bidi="hi-IN"/>
        </w:rPr>
        <w:t>î</w:t>
      </w:r>
      <w:r w:rsidRPr="00D55BD8">
        <w:rPr>
          <w:rFonts w:ascii="Arial" w:hAnsi="Arial" w:cs="Arial"/>
          <w:kern w:val="1"/>
          <w:lang w:val="ro-RO" w:eastAsia="hi-IN" w:bidi="hi-IN"/>
        </w:rPr>
        <w:t xml:space="preserve">ntre origine </w:t>
      </w:r>
      <w:r w:rsidRPr="00D55BD8">
        <w:rPr>
          <w:rFonts w:ascii="Arial" w:hAnsi="Arial" w:cs="Arial"/>
          <w:color w:val="000000"/>
          <w:kern w:val="1"/>
          <w:lang w:val="ro-RO" w:eastAsia="hi-IN" w:bidi="hi-IN"/>
        </w:rPr>
        <w:t>ş</w:t>
      </w:r>
      <w:r w:rsidRPr="00D55BD8">
        <w:rPr>
          <w:rFonts w:ascii="Arial" w:hAnsi="Arial" w:cs="Arial"/>
          <w:kern w:val="1"/>
          <w:lang w:val="ro-RO" w:eastAsia="hi-IN" w:bidi="hi-IN"/>
        </w:rPr>
        <w:t>i destina</w:t>
      </w:r>
      <w:r w:rsidRPr="00D55BD8">
        <w:rPr>
          <w:rFonts w:ascii="Arial" w:hAnsi="Arial" w:cs="Arial"/>
          <w:color w:val="000000"/>
          <w:kern w:val="1"/>
          <w:lang w:val="ro-RO" w:eastAsia="hi-IN" w:bidi="hi-IN"/>
        </w:rPr>
        <w:t>ț</w:t>
      </w:r>
      <w:r w:rsidRPr="00D55BD8">
        <w:rPr>
          <w:rFonts w:ascii="Arial" w:hAnsi="Arial" w:cs="Arial"/>
          <w:kern w:val="1"/>
          <w:lang w:val="ro-RO" w:eastAsia="hi-IN" w:bidi="hi-IN"/>
        </w:rPr>
        <w:t>ie a relevat faptul c</w:t>
      </w:r>
      <w:r w:rsidRPr="00D55BD8">
        <w:rPr>
          <w:rFonts w:ascii="Arial" w:hAnsi="Arial" w:cs="Arial"/>
          <w:color w:val="000000"/>
          <w:kern w:val="1"/>
          <w:lang w:val="ro-RO" w:eastAsia="hi-IN" w:bidi="hi-IN"/>
        </w:rPr>
        <w:t>ă</w:t>
      </w:r>
      <w:r w:rsidRPr="00D55BD8">
        <w:rPr>
          <w:rFonts w:ascii="Arial" w:hAnsi="Arial" w:cs="Arial"/>
          <w:kern w:val="1"/>
          <w:lang w:val="ro-RO" w:eastAsia="hi-IN" w:bidi="hi-IN"/>
        </w:rPr>
        <w:t xml:space="preserve"> vârful de mobilitate pentru perioada de dimineață (AM) este la ora 8:00, iar pentru după amiază (PM) este la ora 16:00.</w:t>
      </w:r>
    </w:p>
    <w:p w14:paraId="6517F332"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p>
    <w:p w14:paraId="62D9A8BE" w14:textId="77777777" w:rsidR="00D55BD8" w:rsidRPr="00D55BD8" w:rsidRDefault="00153BFD" w:rsidP="00D55BD8">
      <w:pPr>
        <w:widowControl w:val="0"/>
        <w:suppressAutoHyphens/>
        <w:spacing w:after="0" w:line="276" w:lineRule="auto"/>
        <w:jc w:val="both"/>
        <w:rPr>
          <w:rFonts w:ascii="Arial" w:hAnsi="Arial" w:cs="Arial"/>
          <w:kern w:val="1"/>
          <w:lang w:val="ro-RO" w:eastAsia="hi-IN" w:bidi="hi-IN"/>
        </w:rPr>
      </w:pPr>
      <w:r w:rsidRPr="00D616A5">
        <w:rPr>
          <w:rFonts w:ascii="Arial" w:hAnsi="Arial" w:cs="Arial"/>
          <w:kern w:val="1"/>
          <w:lang w:val="ro-RO" w:eastAsia="hi-IN" w:bidi="hi-IN"/>
        </w:rPr>
        <w:t>Pentru intervalul orar 7:30-8:30 au fost generate matricele origine – destina</w:t>
      </w:r>
      <w:r w:rsidRPr="00D616A5">
        <w:rPr>
          <w:rFonts w:ascii="Arial" w:hAnsi="Arial" w:cs="Arial"/>
          <w:color w:val="000000"/>
          <w:kern w:val="1"/>
          <w:lang w:val="ro-RO" w:eastAsia="hi-IN" w:bidi="hi-IN"/>
        </w:rPr>
        <w:t>ț</w:t>
      </w:r>
      <w:r w:rsidRPr="00D616A5">
        <w:rPr>
          <w:rFonts w:ascii="Arial" w:hAnsi="Arial" w:cs="Arial"/>
          <w:kern w:val="1"/>
          <w:lang w:val="ro-RO" w:eastAsia="hi-IN" w:bidi="hi-IN"/>
        </w:rPr>
        <w:t xml:space="preserve">ie pe moduri de deplasare: autovehicule, trafic greu și biciclete. Pentru deplasările interne cu transportul în comun nu s-au determinat matricele OD, </w:t>
      </w:r>
      <w:r>
        <w:rPr>
          <w:rFonts w:ascii="Arial" w:hAnsi="Arial" w:cs="Arial"/>
          <w:kern w:val="1"/>
          <w:lang w:val="ro-RO" w:eastAsia="hi-IN" w:bidi="hi-IN"/>
        </w:rPr>
        <w:t>deoarece acest serviciu nu exista la momentul actual</w:t>
      </w:r>
      <w:r w:rsidRPr="00D616A5">
        <w:rPr>
          <w:rFonts w:ascii="Arial" w:hAnsi="Arial" w:cs="Arial"/>
          <w:kern w:val="1"/>
          <w:lang w:val="ro-RO" w:eastAsia="hi-IN" w:bidi="hi-IN"/>
        </w:rPr>
        <w:t>.</w:t>
      </w:r>
    </w:p>
    <w:p w14:paraId="532B6A39"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p>
    <w:p w14:paraId="4396E772"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r w:rsidRPr="00D55BD8">
        <w:rPr>
          <w:rFonts w:ascii="Arial" w:hAnsi="Arial" w:cs="Arial"/>
          <w:kern w:val="1"/>
          <w:lang w:val="ro-RO" w:eastAsia="hi-IN" w:bidi="hi-IN"/>
        </w:rPr>
        <w:lastRenderedPageBreak/>
        <w:t>Pentr</w:t>
      </w:r>
      <w:r w:rsidR="00182968">
        <w:rPr>
          <w:rFonts w:ascii="Arial" w:hAnsi="Arial" w:cs="Arial"/>
          <w:kern w:val="1"/>
          <w:lang w:val="ro-RO" w:eastAsia="hi-IN" w:bidi="hi-IN"/>
        </w:rPr>
        <w:t>u ora de vârf PM a fost generată</w:t>
      </w:r>
      <w:r w:rsidRPr="00D55BD8">
        <w:rPr>
          <w:rFonts w:ascii="Arial" w:hAnsi="Arial" w:cs="Arial"/>
          <w:kern w:val="1"/>
          <w:lang w:val="ro-RO" w:eastAsia="hi-IN" w:bidi="hi-IN"/>
        </w:rPr>
        <w:t xml:space="preserve"> matricea origine – </w:t>
      </w:r>
      <w:r w:rsidR="00182968">
        <w:rPr>
          <w:rFonts w:ascii="Arial" w:hAnsi="Arial" w:cs="Arial"/>
          <w:kern w:val="1"/>
          <w:lang w:val="ro-RO" w:eastAsia="hi-IN" w:bidi="hi-IN"/>
        </w:rPr>
        <w:t>destinaţ</w:t>
      </w:r>
      <w:r w:rsidRPr="00D55BD8">
        <w:rPr>
          <w:rFonts w:ascii="Arial" w:hAnsi="Arial" w:cs="Arial"/>
          <w:kern w:val="1"/>
          <w:lang w:val="ro-RO" w:eastAsia="hi-IN" w:bidi="hi-IN"/>
        </w:rPr>
        <w:t>ie pentru totalul deplasărilor.</w:t>
      </w:r>
    </w:p>
    <w:p w14:paraId="0F39D8FC"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p>
    <w:p w14:paraId="3945E37C" w14:textId="77777777" w:rsidR="00D55BD8" w:rsidRPr="00D55BD8" w:rsidRDefault="00D55BD8" w:rsidP="00D55BD8">
      <w:pPr>
        <w:widowControl w:val="0"/>
        <w:suppressAutoHyphens/>
        <w:spacing w:after="0" w:line="276" w:lineRule="auto"/>
        <w:jc w:val="both"/>
        <w:rPr>
          <w:rFonts w:ascii="Arial" w:hAnsi="Arial" w:cs="Arial"/>
          <w:kern w:val="1"/>
          <w:lang w:val="ro-RO" w:eastAsia="hi-IN" w:bidi="hi-IN"/>
        </w:rPr>
      </w:pPr>
      <w:r w:rsidRPr="00D55BD8">
        <w:rPr>
          <w:rFonts w:ascii="Arial" w:hAnsi="Arial" w:cs="Arial"/>
          <w:kern w:val="1"/>
          <w:lang w:val="ro-RO" w:eastAsia="hi-IN" w:bidi="hi-IN"/>
        </w:rPr>
        <w:t xml:space="preserve">Matricele OD pentru fiecare mod de transport au fost calibrate cu ajutorul software-ului de planificare în transport Visum, utilizând datele obținute în recensămintele de trafic realizate în secțiuni și în intersecțiile majore ale rețelei. </w:t>
      </w:r>
    </w:p>
    <w:p w14:paraId="4934DEC4" w14:textId="77777777" w:rsidR="00D55BD8" w:rsidRPr="00D55BD8" w:rsidRDefault="00D55BD8" w:rsidP="00D55BD8">
      <w:pPr>
        <w:widowControl w:val="0"/>
        <w:suppressAutoHyphens/>
        <w:spacing w:after="0" w:line="276" w:lineRule="auto"/>
        <w:ind w:left="810"/>
        <w:jc w:val="both"/>
        <w:rPr>
          <w:rFonts w:ascii="Arial" w:hAnsi="Arial" w:cs="Arial"/>
          <w:kern w:val="1"/>
          <w:lang w:val="es-ES" w:eastAsia="hi-IN" w:bidi="hi-IN"/>
        </w:rPr>
      </w:pPr>
    </w:p>
    <w:p w14:paraId="0C52F36D" w14:textId="44CCD792" w:rsidR="00D55BD8" w:rsidRDefault="008B1233" w:rsidP="00D55BD8">
      <w:pPr>
        <w:widowControl w:val="0"/>
        <w:suppressAutoHyphens/>
        <w:spacing w:after="0" w:line="276" w:lineRule="auto"/>
        <w:ind w:left="810"/>
        <w:jc w:val="both"/>
        <w:rPr>
          <w:rFonts w:ascii="Arial" w:hAnsi="Arial" w:cs="Arial"/>
          <w:kern w:val="1"/>
          <w:lang w:val="es-ES" w:eastAsia="hi-IN" w:bidi="hi-IN"/>
        </w:rPr>
      </w:pPr>
      <w:r w:rsidRPr="008B1233">
        <w:rPr>
          <w:rFonts w:ascii="Arial" w:hAnsi="Arial" w:cs="Arial"/>
          <w:noProof/>
          <w:kern w:val="1"/>
        </w:rPr>
        <w:drawing>
          <wp:inline distT="0" distB="0" distL="0" distR="0" wp14:anchorId="0176D548" wp14:editId="46E0EB72">
            <wp:extent cx="5634780" cy="4164594"/>
            <wp:effectExtent l="0" t="0" r="4445" b="762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636934" cy="4166186"/>
                    </a:xfrm>
                    <a:prstGeom prst="rect">
                      <a:avLst/>
                    </a:prstGeom>
                  </pic:spPr>
                </pic:pic>
              </a:graphicData>
            </a:graphic>
          </wp:inline>
        </w:drawing>
      </w:r>
    </w:p>
    <w:p w14:paraId="6551577D" w14:textId="63588626" w:rsidR="00D55BD8" w:rsidRPr="00D55BD8" w:rsidRDefault="006D4DC5" w:rsidP="00D55BD8">
      <w:pPr>
        <w:pStyle w:val="Legend"/>
        <w:jc w:val="center"/>
        <w:rPr>
          <w:rFonts w:ascii="Arial" w:hAnsi="Arial" w:cs="Arial"/>
          <w:kern w:val="1"/>
          <w:sz w:val="22"/>
          <w:szCs w:val="22"/>
          <w:lang w:val="es-ES" w:eastAsia="hi-IN" w:bidi="hi-IN"/>
        </w:rPr>
      </w:pPr>
      <w:bookmarkStart w:id="240" w:name="_Toc68361181"/>
      <w:bookmarkStart w:id="241" w:name="_Toc140744507"/>
      <w:r w:rsidRPr="008B1233">
        <w:rPr>
          <w:rFonts w:ascii="Arial" w:hAnsi="Arial" w:cs="Arial"/>
          <w:sz w:val="22"/>
          <w:szCs w:val="22"/>
        </w:rPr>
        <w:t>Figura I.3.</w:t>
      </w:r>
      <w:r w:rsidR="00D55BD8" w:rsidRPr="008B1233">
        <w:rPr>
          <w:rFonts w:ascii="Arial" w:hAnsi="Arial" w:cs="Arial"/>
          <w:sz w:val="22"/>
          <w:szCs w:val="22"/>
        </w:rPr>
        <w:t xml:space="preserve"> </w:t>
      </w:r>
      <w:r w:rsidRPr="008B1233">
        <w:rPr>
          <w:rFonts w:ascii="Arial" w:hAnsi="Arial" w:cs="Arial"/>
          <w:sz w:val="22"/>
          <w:szCs w:val="22"/>
        </w:rPr>
        <w:fldChar w:fldCharType="begin"/>
      </w:r>
      <w:r w:rsidRPr="008B1233">
        <w:rPr>
          <w:rFonts w:ascii="Arial" w:hAnsi="Arial" w:cs="Arial"/>
          <w:sz w:val="22"/>
          <w:szCs w:val="22"/>
        </w:rPr>
        <w:instrText xml:space="preserve"> SEQ Figura_I.3. \* ARABIC </w:instrText>
      </w:r>
      <w:r w:rsidRPr="008B1233">
        <w:rPr>
          <w:rFonts w:ascii="Arial" w:hAnsi="Arial" w:cs="Arial"/>
          <w:sz w:val="22"/>
          <w:szCs w:val="22"/>
        </w:rPr>
        <w:fldChar w:fldCharType="separate"/>
      </w:r>
      <w:r w:rsidR="00BB181C">
        <w:rPr>
          <w:rFonts w:ascii="Arial" w:hAnsi="Arial" w:cs="Arial"/>
          <w:noProof/>
          <w:sz w:val="22"/>
          <w:szCs w:val="22"/>
        </w:rPr>
        <w:t>30</w:t>
      </w:r>
      <w:r w:rsidRPr="008B1233">
        <w:rPr>
          <w:rFonts w:ascii="Arial" w:hAnsi="Arial" w:cs="Arial"/>
          <w:sz w:val="22"/>
          <w:szCs w:val="22"/>
        </w:rPr>
        <w:fldChar w:fldCharType="end"/>
      </w:r>
      <w:r w:rsidR="00D55BD8" w:rsidRPr="008B1233">
        <w:rPr>
          <w:rFonts w:ascii="Arial" w:hAnsi="Arial" w:cs="Arial"/>
          <w:sz w:val="22"/>
          <w:szCs w:val="22"/>
        </w:rPr>
        <w:t xml:space="preserve"> - </w:t>
      </w:r>
      <w:r w:rsidR="00D55BD8" w:rsidRPr="008B1233">
        <w:rPr>
          <w:rFonts w:ascii="Arial" w:hAnsi="Arial" w:cs="Arial"/>
          <w:i w:val="0"/>
          <w:iCs w:val="0"/>
          <w:sz w:val="22"/>
          <w:szCs w:val="22"/>
        </w:rPr>
        <w:t>Volumele de trafic totale pentru ora de vârf AM</w:t>
      </w:r>
      <w:bookmarkEnd w:id="240"/>
      <w:bookmarkEnd w:id="241"/>
    </w:p>
    <w:p w14:paraId="7C964DC4" w14:textId="7F6D2971" w:rsidR="00D55BD8" w:rsidRDefault="00D55BD8" w:rsidP="00D55BD8">
      <w:pPr>
        <w:widowControl w:val="0"/>
        <w:suppressAutoHyphens/>
        <w:spacing w:after="0" w:line="276" w:lineRule="auto"/>
        <w:ind w:left="810"/>
        <w:jc w:val="center"/>
        <w:rPr>
          <w:rFonts w:ascii="Arial" w:hAnsi="Arial" w:cs="Arial"/>
          <w:kern w:val="1"/>
          <w:lang w:val="es-ES" w:eastAsia="hi-IN" w:bidi="hi-IN"/>
        </w:rPr>
      </w:pPr>
    </w:p>
    <w:p w14:paraId="19DBC3C6" w14:textId="77777777" w:rsidR="00052DF0" w:rsidRPr="00D55BD8" w:rsidRDefault="00052DF0" w:rsidP="00D55BD8">
      <w:pPr>
        <w:widowControl w:val="0"/>
        <w:suppressAutoHyphens/>
        <w:spacing w:after="0" w:line="276" w:lineRule="auto"/>
        <w:ind w:left="810"/>
        <w:jc w:val="center"/>
        <w:rPr>
          <w:rFonts w:ascii="Arial" w:hAnsi="Arial" w:cs="Arial"/>
          <w:kern w:val="1"/>
          <w:lang w:val="es-ES" w:eastAsia="hi-IN" w:bidi="hi-IN"/>
        </w:rPr>
      </w:pPr>
    </w:p>
    <w:p w14:paraId="2D3265F8" w14:textId="23B9BAF4" w:rsidR="00D55BD8" w:rsidRDefault="00052DF0" w:rsidP="00D55BD8">
      <w:pPr>
        <w:widowControl w:val="0"/>
        <w:suppressAutoHyphens/>
        <w:spacing w:after="0" w:line="276" w:lineRule="auto"/>
        <w:ind w:left="810"/>
        <w:jc w:val="both"/>
        <w:rPr>
          <w:rFonts w:ascii="Arial" w:hAnsi="Arial" w:cs="Arial"/>
          <w:kern w:val="1"/>
          <w:lang w:val="es-ES" w:eastAsia="hi-IN" w:bidi="hi-IN"/>
        </w:rPr>
      </w:pPr>
      <w:r w:rsidRPr="00052DF0">
        <w:rPr>
          <w:rFonts w:ascii="Arial" w:hAnsi="Arial" w:cs="Arial"/>
          <w:noProof/>
          <w:kern w:val="1"/>
        </w:rPr>
        <w:lastRenderedPageBreak/>
        <w:drawing>
          <wp:inline distT="0" distB="0" distL="0" distR="0" wp14:anchorId="2745F477" wp14:editId="41C03A32">
            <wp:extent cx="5683776" cy="4200807"/>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686881" cy="4203102"/>
                    </a:xfrm>
                    <a:prstGeom prst="rect">
                      <a:avLst/>
                    </a:prstGeom>
                  </pic:spPr>
                </pic:pic>
              </a:graphicData>
            </a:graphic>
          </wp:inline>
        </w:drawing>
      </w:r>
    </w:p>
    <w:p w14:paraId="017EA80D" w14:textId="06BA76F7" w:rsidR="00D55BD8" w:rsidRPr="00D55BD8" w:rsidRDefault="006D4DC5" w:rsidP="00D55BD8">
      <w:pPr>
        <w:pStyle w:val="Legend"/>
        <w:jc w:val="center"/>
        <w:rPr>
          <w:rFonts w:ascii="Arial" w:hAnsi="Arial" w:cs="Arial"/>
          <w:i w:val="0"/>
          <w:iCs w:val="0"/>
          <w:kern w:val="1"/>
          <w:sz w:val="22"/>
          <w:szCs w:val="22"/>
          <w:lang w:val="es-ES" w:eastAsia="hi-IN" w:bidi="hi-IN"/>
        </w:rPr>
      </w:pPr>
      <w:bookmarkStart w:id="242" w:name="_Toc68361182"/>
      <w:bookmarkStart w:id="243" w:name="_Toc140744508"/>
      <w:r w:rsidRPr="00052DF0">
        <w:rPr>
          <w:rFonts w:ascii="Arial" w:hAnsi="Arial" w:cs="Arial"/>
          <w:sz w:val="22"/>
          <w:szCs w:val="22"/>
        </w:rPr>
        <w:t>Figura I.3.</w:t>
      </w:r>
      <w:r w:rsidR="00D55BD8" w:rsidRPr="00052DF0">
        <w:rPr>
          <w:rFonts w:ascii="Arial" w:hAnsi="Arial" w:cs="Arial"/>
          <w:sz w:val="22"/>
          <w:szCs w:val="22"/>
        </w:rPr>
        <w:t xml:space="preserve"> </w:t>
      </w:r>
      <w:r w:rsidRPr="00052DF0">
        <w:rPr>
          <w:rFonts w:ascii="Arial" w:hAnsi="Arial" w:cs="Arial"/>
          <w:sz w:val="22"/>
          <w:szCs w:val="22"/>
        </w:rPr>
        <w:fldChar w:fldCharType="begin"/>
      </w:r>
      <w:r w:rsidRPr="00052DF0">
        <w:rPr>
          <w:rFonts w:ascii="Arial" w:hAnsi="Arial" w:cs="Arial"/>
          <w:sz w:val="22"/>
          <w:szCs w:val="22"/>
        </w:rPr>
        <w:instrText xml:space="preserve"> SEQ Figura_I.3. \* ARABIC </w:instrText>
      </w:r>
      <w:r w:rsidRPr="00052DF0">
        <w:rPr>
          <w:rFonts w:ascii="Arial" w:hAnsi="Arial" w:cs="Arial"/>
          <w:sz w:val="22"/>
          <w:szCs w:val="22"/>
        </w:rPr>
        <w:fldChar w:fldCharType="separate"/>
      </w:r>
      <w:r w:rsidR="00BB181C">
        <w:rPr>
          <w:rFonts w:ascii="Arial" w:hAnsi="Arial" w:cs="Arial"/>
          <w:noProof/>
          <w:sz w:val="22"/>
          <w:szCs w:val="22"/>
        </w:rPr>
        <w:t>31</w:t>
      </w:r>
      <w:r w:rsidRPr="00052DF0">
        <w:rPr>
          <w:rFonts w:ascii="Arial" w:hAnsi="Arial" w:cs="Arial"/>
          <w:sz w:val="22"/>
          <w:szCs w:val="22"/>
        </w:rPr>
        <w:fldChar w:fldCharType="end"/>
      </w:r>
      <w:r w:rsidR="00D55BD8" w:rsidRPr="00052DF0">
        <w:rPr>
          <w:rFonts w:ascii="Arial" w:hAnsi="Arial" w:cs="Arial"/>
          <w:sz w:val="22"/>
          <w:szCs w:val="22"/>
        </w:rPr>
        <w:t xml:space="preserve"> - </w:t>
      </w:r>
      <w:r w:rsidR="00D55BD8" w:rsidRPr="00052DF0">
        <w:rPr>
          <w:rFonts w:ascii="Arial" w:hAnsi="Arial" w:cs="Arial"/>
          <w:i w:val="0"/>
          <w:iCs w:val="0"/>
          <w:sz w:val="22"/>
          <w:szCs w:val="22"/>
        </w:rPr>
        <w:t>Volumele de trafic totale pentru ora de vârf PM</w:t>
      </w:r>
      <w:bookmarkEnd w:id="242"/>
      <w:bookmarkEnd w:id="243"/>
    </w:p>
    <w:p w14:paraId="73019CBD" w14:textId="77777777" w:rsidR="00D55BD8" w:rsidRDefault="00D55BD8" w:rsidP="00052DF0">
      <w:pPr>
        <w:widowControl w:val="0"/>
        <w:tabs>
          <w:tab w:val="left" w:pos="2174"/>
        </w:tabs>
        <w:suppressAutoHyphens/>
        <w:spacing w:after="0" w:line="276" w:lineRule="auto"/>
        <w:jc w:val="both"/>
        <w:rPr>
          <w:rFonts w:ascii="Arial" w:hAnsi="Arial" w:cs="Arial"/>
          <w:kern w:val="1"/>
          <w:lang w:val="es-ES" w:eastAsia="hi-IN" w:bidi="hi-IN"/>
        </w:rPr>
      </w:pPr>
    </w:p>
    <w:p w14:paraId="1FE6EA56" w14:textId="77777777" w:rsidR="00D55BD8" w:rsidRDefault="00D55BD8" w:rsidP="00D55BD8">
      <w:pPr>
        <w:widowControl w:val="0"/>
        <w:tabs>
          <w:tab w:val="left" w:pos="2174"/>
        </w:tabs>
        <w:suppressAutoHyphens/>
        <w:spacing w:after="0" w:line="276" w:lineRule="auto"/>
        <w:ind w:left="810"/>
        <w:jc w:val="both"/>
        <w:rPr>
          <w:rFonts w:ascii="Arial" w:hAnsi="Arial" w:cs="Arial"/>
          <w:kern w:val="1"/>
          <w:lang w:val="es-ES" w:eastAsia="hi-IN" w:bidi="hi-IN"/>
        </w:rPr>
      </w:pPr>
    </w:p>
    <w:p w14:paraId="78B8A501" w14:textId="77777777" w:rsidR="00063DCF" w:rsidRPr="00063DCF" w:rsidRDefault="00063DCF" w:rsidP="00182968">
      <w:pPr>
        <w:widowControl w:val="0"/>
        <w:suppressAutoHyphens/>
        <w:spacing w:after="0" w:line="276" w:lineRule="auto"/>
        <w:jc w:val="both"/>
        <w:rPr>
          <w:rFonts w:ascii="Arial" w:hAnsi="Arial" w:cs="Mangal"/>
          <w:kern w:val="1"/>
          <w:lang w:val="ro-RO" w:eastAsia="hi-IN" w:bidi="hi-IN"/>
        </w:rPr>
      </w:pPr>
      <w:r w:rsidRPr="00063DCF">
        <w:rPr>
          <w:rFonts w:ascii="Arial" w:hAnsi="Arial" w:cs="Mangal"/>
          <w:kern w:val="1"/>
          <w:lang w:val="ro-RO" w:eastAsia="hi-IN" w:bidi="hi-IN"/>
        </w:rPr>
        <w:t xml:space="preserve">Matricile pe moduri de transport sunt prezentate în </w:t>
      </w:r>
      <w:r w:rsidRPr="00055B76">
        <w:rPr>
          <w:rFonts w:ascii="Arial" w:hAnsi="Arial" w:cs="Mangal"/>
          <w:kern w:val="1"/>
          <w:lang w:val="ro-RO" w:eastAsia="hi-IN" w:bidi="hi-IN"/>
        </w:rPr>
        <w:t xml:space="preserve">Anexa </w:t>
      </w:r>
      <w:r w:rsidR="00B02385">
        <w:rPr>
          <w:rFonts w:ascii="Arial" w:hAnsi="Arial" w:cs="Mangal"/>
          <w:kern w:val="1"/>
          <w:lang w:val="ro-RO" w:eastAsia="hi-IN" w:bidi="hi-IN"/>
        </w:rPr>
        <w:t>5</w:t>
      </w:r>
      <w:r w:rsidRPr="00063DCF">
        <w:rPr>
          <w:rFonts w:ascii="Arial" w:hAnsi="Arial" w:cs="Mangal"/>
          <w:kern w:val="1"/>
          <w:lang w:val="ro-RO" w:eastAsia="hi-IN" w:bidi="hi-IN"/>
        </w:rPr>
        <w:t xml:space="preserve">, iar volumele fluxurilor de trafic în </w:t>
      </w:r>
      <w:r w:rsidRPr="00055B76">
        <w:rPr>
          <w:rFonts w:ascii="Arial" w:hAnsi="Arial" w:cs="Mangal"/>
          <w:kern w:val="1"/>
          <w:lang w:val="ro-RO" w:eastAsia="hi-IN" w:bidi="hi-IN"/>
        </w:rPr>
        <w:t xml:space="preserve">Anexa </w:t>
      </w:r>
      <w:r w:rsidR="00B02385">
        <w:rPr>
          <w:rFonts w:ascii="Arial" w:hAnsi="Arial" w:cs="Mangal"/>
          <w:kern w:val="1"/>
          <w:lang w:val="ro-RO" w:eastAsia="hi-IN" w:bidi="hi-IN"/>
        </w:rPr>
        <w:t>6</w:t>
      </w:r>
      <w:r w:rsidRPr="00063DCF">
        <w:rPr>
          <w:rFonts w:ascii="Arial" w:hAnsi="Arial" w:cs="Mangal"/>
          <w:kern w:val="1"/>
          <w:lang w:val="ro-RO" w:eastAsia="hi-IN" w:bidi="hi-IN"/>
        </w:rPr>
        <w:t>.</w:t>
      </w:r>
    </w:p>
    <w:p w14:paraId="5E9F074E" w14:textId="77777777" w:rsidR="00063DCF" w:rsidRPr="00063DCF" w:rsidRDefault="00063DCF" w:rsidP="00063DCF">
      <w:pPr>
        <w:widowControl w:val="0"/>
        <w:suppressAutoHyphens/>
        <w:spacing w:after="0" w:line="276" w:lineRule="auto"/>
        <w:jc w:val="both"/>
        <w:rPr>
          <w:rFonts w:ascii="Arial" w:hAnsi="Arial" w:cs="Arial"/>
          <w:kern w:val="1"/>
          <w:lang w:val="ro-RO" w:eastAsia="hi-IN" w:bidi="hi-IN"/>
        </w:rPr>
      </w:pPr>
    </w:p>
    <w:p w14:paraId="15E82390" w14:textId="77777777" w:rsidR="00063DCF" w:rsidRPr="00063DCF" w:rsidRDefault="00063DCF" w:rsidP="00063DCF">
      <w:pPr>
        <w:widowControl w:val="0"/>
        <w:suppressAutoHyphens/>
        <w:spacing w:after="0" w:line="276" w:lineRule="auto"/>
        <w:jc w:val="both"/>
        <w:rPr>
          <w:rFonts w:ascii="Arial" w:hAnsi="Arial" w:cs="Mangal"/>
          <w:kern w:val="1"/>
          <w:lang w:val="ro-RO" w:eastAsia="hi-IN" w:bidi="hi-IN"/>
        </w:rPr>
      </w:pPr>
    </w:p>
    <w:p w14:paraId="05A91831" w14:textId="77777777" w:rsidR="00063DCF" w:rsidRPr="00063DCF" w:rsidRDefault="00063DCF" w:rsidP="00063DCF">
      <w:pPr>
        <w:widowControl w:val="0"/>
        <w:suppressAutoHyphens/>
        <w:spacing w:after="0" w:line="276" w:lineRule="auto"/>
        <w:jc w:val="both"/>
        <w:rPr>
          <w:rFonts w:ascii="Arial" w:hAnsi="Arial" w:cs="Arial"/>
          <w:color w:val="000000"/>
          <w:kern w:val="1"/>
          <w:lang w:val="it-IT" w:eastAsia="hi-IN" w:bidi="hi-IN"/>
        </w:rPr>
      </w:pPr>
      <w:r w:rsidRPr="00063DCF">
        <w:rPr>
          <w:rFonts w:ascii="Arial" w:hAnsi="Arial" w:cs="Arial"/>
          <w:b/>
          <w:color w:val="000000"/>
          <w:kern w:val="1"/>
          <w:lang w:val="it-IT" w:eastAsia="hi-IN" w:bidi="hi-IN"/>
        </w:rPr>
        <w:t>Analiza și concluziile preliminare referitoare la situația actuală</w:t>
      </w:r>
    </w:p>
    <w:p w14:paraId="4311D137" w14:textId="77777777" w:rsidR="00CB16D8" w:rsidRPr="00611281" w:rsidRDefault="00CB16D8" w:rsidP="00CB16D8">
      <w:pPr>
        <w:widowControl w:val="0"/>
        <w:numPr>
          <w:ilvl w:val="0"/>
          <w:numId w:val="172"/>
        </w:numPr>
        <w:suppressAutoHyphens/>
        <w:spacing w:after="0" w:line="276" w:lineRule="auto"/>
        <w:jc w:val="both"/>
        <w:rPr>
          <w:rFonts w:ascii="Arial" w:hAnsi="Arial" w:cs="Arial"/>
          <w:kern w:val="1"/>
          <w:lang w:val="ro-RO" w:eastAsia="hi-IN" w:bidi="hi-IN"/>
        </w:rPr>
      </w:pPr>
      <w:r w:rsidRPr="00611281">
        <w:rPr>
          <w:rFonts w:ascii="Arial" w:hAnsi="Arial" w:cs="Arial"/>
          <w:kern w:val="1"/>
          <w:lang w:val="ro-RO" w:eastAsia="hi-IN" w:bidi="hi-IN"/>
        </w:rPr>
        <w:t>Nivelul de mobilitate în Orașul Horezu este estimat la 36719 deplasări zilnice, fiind cuprinse în această valoare toate modurile de transport (autovehicule, trafic greu, transport în comun interurban, biciclete și pietoni).</w:t>
      </w:r>
    </w:p>
    <w:p w14:paraId="1D93F46A" w14:textId="77777777" w:rsidR="00CB16D8" w:rsidRPr="00611281" w:rsidRDefault="00CB16D8" w:rsidP="00CB16D8">
      <w:pPr>
        <w:widowControl w:val="0"/>
        <w:numPr>
          <w:ilvl w:val="0"/>
          <w:numId w:val="172"/>
        </w:numPr>
        <w:suppressAutoHyphens/>
        <w:spacing w:after="0" w:line="276" w:lineRule="auto"/>
        <w:jc w:val="both"/>
        <w:rPr>
          <w:rFonts w:ascii="Arial" w:hAnsi="Arial" w:cs="Arial"/>
          <w:kern w:val="1"/>
          <w:lang w:val="ro-RO" w:eastAsia="hi-IN" w:bidi="hi-IN"/>
        </w:rPr>
      </w:pPr>
      <w:r w:rsidRPr="00611281">
        <w:rPr>
          <w:rFonts w:ascii="Arial" w:hAnsi="Arial" w:cs="Arial"/>
          <w:kern w:val="1"/>
          <w:lang w:val="ro-RO" w:eastAsia="hi-IN" w:bidi="hi-IN"/>
        </w:rPr>
        <w:t xml:space="preserve">Volumele de trafic cele mai mari se observă pe direcția E-V, în special pe DN67 </w:t>
      </w:r>
    </w:p>
    <w:p w14:paraId="50143A48" w14:textId="77777777" w:rsidR="00CB16D8" w:rsidRPr="00611281" w:rsidRDefault="00CB16D8" w:rsidP="00CB16D8">
      <w:pPr>
        <w:widowControl w:val="0"/>
        <w:numPr>
          <w:ilvl w:val="0"/>
          <w:numId w:val="172"/>
        </w:numPr>
        <w:suppressAutoHyphens/>
        <w:spacing w:after="0" w:line="276" w:lineRule="auto"/>
        <w:jc w:val="both"/>
        <w:rPr>
          <w:rFonts w:ascii="Arial" w:hAnsi="Arial" w:cs="Arial"/>
          <w:kern w:val="1"/>
          <w:lang w:val="ro-RO" w:eastAsia="hi-IN" w:bidi="hi-IN"/>
        </w:rPr>
      </w:pPr>
      <w:r w:rsidRPr="00611281">
        <w:rPr>
          <w:rFonts w:ascii="Arial" w:hAnsi="Arial" w:cs="Arial"/>
          <w:kern w:val="1"/>
          <w:lang w:val="ro-RO" w:eastAsia="hi-IN" w:bidi="hi-IN"/>
        </w:rPr>
        <w:t>Zonele polarizatoare de trafic sunt  3, 9, 10, 12, 13, 15 și 16 și penetratiile P1 si P2 zona centrala fiind cu cel mai mare număr de locuri de muncă/educație.</w:t>
      </w:r>
    </w:p>
    <w:p w14:paraId="330CC9B4" w14:textId="77777777" w:rsidR="00CB16D8" w:rsidRPr="00611281" w:rsidRDefault="00CB16D8" w:rsidP="00CB16D8">
      <w:pPr>
        <w:widowControl w:val="0"/>
        <w:numPr>
          <w:ilvl w:val="0"/>
          <w:numId w:val="172"/>
        </w:numPr>
        <w:suppressAutoHyphens/>
        <w:spacing w:after="0" w:line="276" w:lineRule="auto"/>
        <w:jc w:val="both"/>
        <w:rPr>
          <w:rFonts w:ascii="Arial" w:hAnsi="Arial" w:cs="Arial"/>
          <w:kern w:val="1"/>
          <w:lang w:val="ro-RO" w:eastAsia="hi-IN" w:bidi="hi-IN"/>
        </w:rPr>
      </w:pPr>
      <w:r w:rsidRPr="00611281">
        <w:rPr>
          <w:rFonts w:ascii="Arial" w:hAnsi="Arial" w:cs="Arial"/>
          <w:kern w:val="1"/>
          <w:lang w:val="ro-RO" w:eastAsia="hi-IN" w:bidi="hi-IN"/>
        </w:rPr>
        <w:t>Există un număr declarat de deplasări pietonale mare, mai ales pe distanțe scurte, în interiorul zonelor.</w:t>
      </w:r>
    </w:p>
    <w:p w14:paraId="0CA2C74D" w14:textId="22B17CB1" w:rsidR="00CB16D8" w:rsidRPr="00611281" w:rsidRDefault="00CB16D8" w:rsidP="00CB16D8">
      <w:pPr>
        <w:widowControl w:val="0"/>
        <w:numPr>
          <w:ilvl w:val="0"/>
          <w:numId w:val="172"/>
        </w:numPr>
        <w:suppressAutoHyphens/>
        <w:spacing w:after="0" w:line="276" w:lineRule="auto"/>
        <w:jc w:val="both"/>
        <w:rPr>
          <w:rFonts w:ascii="Arial" w:hAnsi="Arial" w:cs="Arial"/>
          <w:kern w:val="1"/>
          <w:lang w:val="ro-RO" w:eastAsia="hi-IN" w:bidi="hi-IN"/>
        </w:rPr>
      </w:pPr>
      <w:r w:rsidRPr="00611281">
        <w:rPr>
          <w:rFonts w:ascii="Arial" w:hAnsi="Arial" w:cs="Arial"/>
          <w:kern w:val="1"/>
          <w:lang w:val="ro-RO" w:eastAsia="hi-IN" w:bidi="hi-IN"/>
        </w:rPr>
        <w:t>Numărul deplasărilor cu bicicleta nu este foarte mare în raport cu totalul deplasărilor, deoarece nu exist</w:t>
      </w:r>
      <w:r w:rsidR="006E163D">
        <w:rPr>
          <w:rFonts w:ascii="Arial" w:hAnsi="Arial" w:cs="Arial"/>
          <w:kern w:val="1"/>
          <w:lang w:val="ro-RO" w:eastAsia="hi-IN" w:bidi="hi-IN"/>
        </w:rPr>
        <w:t>ă</w:t>
      </w:r>
      <w:r w:rsidRPr="00611281">
        <w:rPr>
          <w:rFonts w:ascii="Arial" w:hAnsi="Arial" w:cs="Arial"/>
          <w:kern w:val="1"/>
          <w:lang w:val="ro-RO" w:eastAsia="hi-IN" w:bidi="hi-IN"/>
        </w:rPr>
        <w:t xml:space="preserve"> </w:t>
      </w:r>
      <w:r w:rsidR="006E163D">
        <w:rPr>
          <w:rFonts w:ascii="Arial" w:hAnsi="Arial" w:cs="Arial"/>
          <w:kern w:val="1"/>
          <w:lang w:val="ro-RO" w:eastAsia="hi-IN" w:bidi="hi-IN"/>
        </w:rPr>
        <w:t>infrastructuri dedicate modului de transport cu</w:t>
      </w:r>
      <w:r w:rsidRPr="00611281">
        <w:rPr>
          <w:rFonts w:ascii="Arial" w:hAnsi="Arial" w:cs="Arial"/>
          <w:kern w:val="1"/>
          <w:lang w:val="ro-RO" w:eastAsia="hi-IN" w:bidi="hi-IN"/>
        </w:rPr>
        <w:t xml:space="preserve"> biciclet</w:t>
      </w:r>
      <w:r w:rsidR="006E163D">
        <w:rPr>
          <w:rFonts w:ascii="Arial" w:hAnsi="Arial" w:cs="Arial"/>
          <w:kern w:val="1"/>
          <w:lang w:val="ro-RO" w:eastAsia="hi-IN" w:bidi="hi-IN"/>
        </w:rPr>
        <w:t>a</w:t>
      </w:r>
      <w:r w:rsidRPr="00611281">
        <w:rPr>
          <w:rFonts w:ascii="Arial" w:hAnsi="Arial" w:cs="Arial"/>
          <w:kern w:val="1"/>
          <w:lang w:val="ro-RO" w:eastAsia="hi-IN" w:bidi="hi-IN"/>
        </w:rPr>
        <w:t>.</w:t>
      </w:r>
    </w:p>
    <w:p w14:paraId="5BC47E55" w14:textId="77777777" w:rsidR="00CB16D8" w:rsidRPr="00611281" w:rsidRDefault="00CB16D8" w:rsidP="00CB16D8">
      <w:pPr>
        <w:widowControl w:val="0"/>
        <w:numPr>
          <w:ilvl w:val="0"/>
          <w:numId w:val="172"/>
        </w:numPr>
        <w:suppressAutoHyphens/>
        <w:spacing w:after="0" w:line="276" w:lineRule="auto"/>
        <w:jc w:val="both"/>
        <w:rPr>
          <w:rFonts w:ascii="Arial" w:hAnsi="Arial" w:cs="Arial"/>
          <w:kern w:val="1"/>
          <w:lang w:val="ro-RO" w:eastAsia="hi-IN" w:bidi="hi-IN"/>
        </w:rPr>
      </w:pPr>
      <w:r w:rsidRPr="00611281">
        <w:rPr>
          <w:rFonts w:ascii="Arial" w:hAnsi="Arial" w:cs="Arial"/>
          <w:kern w:val="1"/>
          <w:lang w:val="ro-RO" w:eastAsia="hi-IN" w:bidi="hi-IN"/>
        </w:rPr>
        <w:t>Volumele de trafic, cu excepția orelor de vârf nu produc depășiri ale capacităților de circulație.</w:t>
      </w:r>
    </w:p>
    <w:p w14:paraId="1C2F66E9" w14:textId="77777777" w:rsidR="00CB16D8" w:rsidRPr="00611281" w:rsidRDefault="00CB16D8" w:rsidP="00CB16D8">
      <w:pPr>
        <w:widowControl w:val="0"/>
        <w:numPr>
          <w:ilvl w:val="0"/>
          <w:numId w:val="172"/>
        </w:numPr>
        <w:suppressAutoHyphens/>
        <w:spacing w:after="0" w:line="276" w:lineRule="auto"/>
        <w:jc w:val="both"/>
        <w:rPr>
          <w:rFonts w:ascii="Arial" w:hAnsi="Arial" w:cs="Arial"/>
          <w:kern w:val="1"/>
          <w:lang w:val="ro-RO" w:eastAsia="hi-IN" w:bidi="hi-IN"/>
        </w:rPr>
      </w:pPr>
      <w:r w:rsidRPr="00611281">
        <w:rPr>
          <w:rFonts w:ascii="Arial" w:hAnsi="Arial" w:cs="Arial"/>
          <w:kern w:val="1"/>
          <w:lang w:val="ro-RO" w:eastAsia="hi-IN" w:bidi="hi-IN"/>
        </w:rPr>
        <w:t>Intersectarea direcțiilor Est-Vest cu Nord-Sud produce încărcări în unele intersecții, cu întârzieri la parcurgerea acestora și în consecință cu scăderi ale nivelului de serviciu.</w:t>
      </w:r>
    </w:p>
    <w:p w14:paraId="618BBEED" w14:textId="77777777" w:rsidR="00D6124B" w:rsidRPr="00D6124B" w:rsidRDefault="00D6124B" w:rsidP="00D6124B">
      <w:pPr>
        <w:widowControl w:val="0"/>
        <w:suppressAutoHyphens/>
        <w:spacing w:after="0" w:line="240" w:lineRule="auto"/>
        <w:rPr>
          <w:rFonts w:ascii="Arial" w:hAnsi="Arial" w:cs="Mangal"/>
          <w:kern w:val="1"/>
          <w:sz w:val="20"/>
          <w:szCs w:val="24"/>
          <w:lang w:val="ro-RO" w:eastAsia="hi-IN" w:bidi="hi-IN"/>
        </w:rPr>
      </w:pPr>
    </w:p>
    <w:p w14:paraId="04DE2DDF" w14:textId="77777777" w:rsidR="00052DF0" w:rsidRDefault="00052DF0" w:rsidP="007B7857">
      <w:pPr>
        <w:widowControl w:val="0"/>
        <w:suppressAutoHyphens/>
        <w:spacing w:after="0" w:line="276" w:lineRule="auto"/>
        <w:jc w:val="both"/>
        <w:rPr>
          <w:rFonts w:ascii="Arial" w:hAnsi="Arial" w:cs="Arial"/>
          <w:b/>
          <w:kern w:val="1"/>
          <w:lang w:val="ro-RO" w:eastAsia="hi-IN" w:bidi="hi-IN"/>
        </w:rPr>
      </w:pPr>
    </w:p>
    <w:p w14:paraId="49287279" w14:textId="2B05496A" w:rsidR="00D6124B" w:rsidRPr="007B7857" w:rsidRDefault="00D6124B" w:rsidP="007B7857">
      <w:pPr>
        <w:widowControl w:val="0"/>
        <w:suppressAutoHyphens/>
        <w:spacing w:after="0" w:line="276" w:lineRule="auto"/>
        <w:jc w:val="both"/>
        <w:rPr>
          <w:rFonts w:ascii="Arial" w:hAnsi="Arial" w:cs="Arial"/>
          <w:b/>
          <w:kern w:val="1"/>
          <w:lang w:val="ro-RO" w:eastAsia="hi-IN" w:bidi="hi-IN"/>
        </w:rPr>
      </w:pPr>
      <w:r w:rsidRPr="007B7857">
        <w:rPr>
          <w:rFonts w:ascii="Arial" w:hAnsi="Arial" w:cs="Arial"/>
          <w:b/>
          <w:kern w:val="1"/>
          <w:lang w:val="ro-RO" w:eastAsia="hi-IN" w:bidi="hi-IN"/>
        </w:rPr>
        <w:lastRenderedPageBreak/>
        <w:t>Opțiunea privind modul de transport</w:t>
      </w:r>
    </w:p>
    <w:p w14:paraId="2FBC66C5" w14:textId="77777777" w:rsidR="00D6124B" w:rsidRPr="007B7857" w:rsidRDefault="00D6124B" w:rsidP="007B7857">
      <w:pPr>
        <w:widowControl w:val="0"/>
        <w:suppressAutoHyphens/>
        <w:spacing w:after="0" w:line="276" w:lineRule="auto"/>
        <w:jc w:val="both"/>
        <w:rPr>
          <w:rFonts w:ascii="Arial" w:hAnsi="Arial" w:cs="Arial"/>
          <w:color w:val="000000"/>
          <w:kern w:val="1"/>
          <w:lang w:val="ro-RO" w:eastAsia="hi-IN" w:bidi="hi-IN"/>
        </w:rPr>
      </w:pPr>
      <w:r w:rsidRPr="007B7857">
        <w:rPr>
          <w:rFonts w:ascii="Arial" w:hAnsi="Arial" w:cs="Arial"/>
          <w:color w:val="000000"/>
          <w:kern w:val="1"/>
          <w:lang w:val="ro-RO" w:eastAsia="hi-IN" w:bidi="hi-IN"/>
        </w:rPr>
        <w:t>Modelul de alegere a modului de transport permite afectarea de deplasări ale principalelor</w:t>
      </w:r>
      <w:r w:rsidRPr="007B7857">
        <w:rPr>
          <w:rFonts w:ascii="Arial" w:hAnsi="Arial" w:cs="Arial"/>
          <w:color w:val="000000"/>
          <w:kern w:val="1"/>
          <w:lang w:val="ro-RO" w:eastAsia="hi-IN" w:bidi="hi-IN"/>
        </w:rPr>
        <w:br/>
        <w:t xml:space="preserve">moduri de transport pe baza competitivităţii celorlalte moduri faţă de transportul rutier cu maşina proprie, pe reţeaua de drumuri afectate de acest sistem. Acesta va depinde de asemenea, de dorinţa oamenilor de a călători folosind şi alte moduri de transport în afară de maşină. </w:t>
      </w:r>
    </w:p>
    <w:p w14:paraId="69BF7319" w14:textId="77777777" w:rsidR="00D6124B" w:rsidRPr="007B7857" w:rsidRDefault="00D6124B" w:rsidP="007B7857">
      <w:pPr>
        <w:widowControl w:val="0"/>
        <w:suppressAutoHyphens/>
        <w:spacing w:after="0" w:line="276" w:lineRule="auto"/>
        <w:jc w:val="both"/>
        <w:rPr>
          <w:rFonts w:ascii="Arial" w:hAnsi="Arial" w:cs="Arial"/>
          <w:kern w:val="1"/>
          <w:lang w:val="ro-RO" w:eastAsia="hi-IN" w:bidi="hi-IN"/>
        </w:rPr>
      </w:pPr>
    </w:p>
    <w:p w14:paraId="70AF769F" w14:textId="77777777" w:rsidR="00D70AEA" w:rsidRDefault="00D70AEA" w:rsidP="003430C5">
      <w:pPr>
        <w:pStyle w:val="Titlu2"/>
        <w:rPr>
          <w:rFonts w:ascii="Arial" w:eastAsia="Times New Roman" w:hAnsi="Arial" w:cs="Arial"/>
          <w:b/>
          <w:bCs/>
          <w:color w:val="auto"/>
          <w:sz w:val="24"/>
          <w:szCs w:val="24"/>
          <w:lang w:val="it-IT" w:eastAsia="ro-RO"/>
        </w:rPr>
      </w:pPr>
      <w:bookmarkStart w:id="244" w:name="_Toc61264900"/>
      <w:bookmarkStart w:id="245" w:name="_Toc142039078"/>
      <w:r w:rsidRPr="003430C5">
        <w:rPr>
          <w:rFonts w:ascii="Arial" w:eastAsia="Times New Roman" w:hAnsi="Arial" w:cs="Arial"/>
          <w:b/>
          <w:bCs/>
          <w:color w:val="auto"/>
          <w:sz w:val="24"/>
          <w:szCs w:val="24"/>
          <w:lang w:val="it-IT" w:eastAsia="ro-RO"/>
        </w:rPr>
        <w:t>I.3.5</w:t>
      </w:r>
      <w:r w:rsid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Calibrarea și validarea datelor</w:t>
      </w:r>
      <w:bookmarkEnd w:id="244"/>
      <w:bookmarkEnd w:id="245"/>
    </w:p>
    <w:p w14:paraId="1666AB39" w14:textId="77777777" w:rsidR="00556B9F" w:rsidRPr="007B7857" w:rsidRDefault="00556B9F" w:rsidP="007B7857">
      <w:pPr>
        <w:widowControl w:val="0"/>
        <w:suppressAutoHyphens/>
        <w:spacing w:after="0" w:line="276" w:lineRule="auto"/>
        <w:jc w:val="both"/>
        <w:rPr>
          <w:rFonts w:ascii="Arial" w:hAnsi="Arial" w:cs="Arial"/>
          <w:kern w:val="1"/>
          <w:lang w:val="ro-RO" w:eastAsia="hi-IN" w:bidi="hi-IN"/>
        </w:rPr>
      </w:pPr>
      <w:r w:rsidRPr="007B7857">
        <w:rPr>
          <w:rFonts w:ascii="Arial" w:hAnsi="Arial" w:cs="Arial"/>
          <w:kern w:val="1"/>
          <w:lang w:val="ro-RO" w:eastAsia="hi-IN" w:bidi="hi-IN"/>
        </w:rPr>
        <w:t>Modulul de calibrare compara volumele de trafic generate de matricele O-D, valorile reale de trafic rez</w:t>
      </w:r>
      <w:r w:rsidR="007B7857" w:rsidRPr="007B7857">
        <w:rPr>
          <w:rFonts w:ascii="Arial" w:hAnsi="Arial" w:cs="Arial"/>
          <w:kern w:val="1"/>
          <w:lang w:val="ro-RO" w:eastAsia="hi-IN" w:bidi="hi-IN"/>
        </w:rPr>
        <w:t>ultate din efectuarea investigaţiilor de circulaţ</w:t>
      </w:r>
      <w:r w:rsidRPr="007B7857">
        <w:rPr>
          <w:rFonts w:ascii="Arial" w:hAnsi="Arial" w:cs="Arial"/>
          <w:kern w:val="1"/>
          <w:lang w:val="ro-RO" w:eastAsia="hi-IN" w:bidi="hi-IN"/>
        </w:rPr>
        <w:t>ie, din anul 202</w:t>
      </w:r>
      <w:r w:rsidR="00CB16D8">
        <w:rPr>
          <w:rFonts w:ascii="Arial" w:hAnsi="Arial" w:cs="Arial"/>
          <w:kern w:val="1"/>
          <w:lang w:val="ro-RO" w:eastAsia="hi-IN" w:bidi="hi-IN"/>
        </w:rPr>
        <w:t>1</w:t>
      </w:r>
      <w:r w:rsidRPr="007B7857">
        <w:rPr>
          <w:rFonts w:ascii="Arial" w:hAnsi="Arial" w:cs="Arial"/>
          <w:kern w:val="1"/>
          <w:lang w:val="ro-RO" w:eastAsia="hi-IN" w:bidi="hi-IN"/>
        </w:rPr>
        <w:t>.</w:t>
      </w:r>
    </w:p>
    <w:p w14:paraId="7BC36E1D" w14:textId="77777777" w:rsidR="00556B9F" w:rsidRPr="007B7857" w:rsidRDefault="00556B9F" w:rsidP="007B7857">
      <w:pPr>
        <w:widowControl w:val="0"/>
        <w:suppressAutoHyphens/>
        <w:spacing w:after="0" w:line="276" w:lineRule="auto"/>
        <w:jc w:val="both"/>
        <w:rPr>
          <w:rFonts w:ascii="Arial" w:hAnsi="Arial" w:cs="Arial"/>
          <w:kern w:val="1"/>
          <w:lang w:val="ro-RO" w:eastAsia="hi-IN" w:bidi="hi-IN"/>
        </w:rPr>
      </w:pPr>
    </w:p>
    <w:p w14:paraId="13644885" w14:textId="77777777" w:rsidR="00556B9F" w:rsidRPr="007B7857" w:rsidRDefault="00556B9F" w:rsidP="007B7857">
      <w:pPr>
        <w:widowControl w:val="0"/>
        <w:suppressAutoHyphens/>
        <w:spacing w:after="0" w:line="276" w:lineRule="auto"/>
        <w:jc w:val="both"/>
        <w:rPr>
          <w:rFonts w:ascii="Arial" w:hAnsi="Arial" w:cs="Arial"/>
          <w:kern w:val="1"/>
          <w:lang w:val="ro-RO" w:eastAsia="hi-IN" w:bidi="hi-IN"/>
        </w:rPr>
      </w:pPr>
      <w:r w:rsidRPr="007B7857">
        <w:rPr>
          <w:rFonts w:ascii="Arial" w:hAnsi="Arial" w:cs="Arial"/>
          <w:kern w:val="1"/>
          <w:lang w:val="ro-RO" w:eastAsia="hi-IN" w:bidi="hi-IN"/>
        </w:rPr>
        <w:t>Calibrarea modelului de trafi</w:t>
      </w:r>
      <w:r w:rsidR="007B7857">
        <w:rPr>
          <w:rFonts w:ascii="Arial" w:hAnsi="Arial" w:cs="Arial"/>
          <w:kern w:val="1"/>
          <w:lang w:val="ro-RO" w:eastAsia="hi-IN" w:bidi="hi-IN"/>
        </w:rPr>
        <w:t>c se realizeaza prin comparare î</w:t>
      </w:r>
      <w:r w:rsidRPr="007B7857">
        <w:rPr>
          <w:rFonts w:ascii="Arial" w:hAnsi="Arial" w:cs="Arial"/>
          <w:kern w:val="1"/>
          <w:lang w:val="ro-RO" w:eastAsia="hi-IN" w:bidi="hi-IN"/>
        </w:rPr>
        <w:t xml:space="preserve">ntre traficul </w:t>
      </w:r>
      <w:r w:rsidR="007B7857">
        <w:rPr>
          <w:rFonts w:ascii="Arial" w:hAnsi="Arial" w:cs="Arial"/>
          <w:kern w:val="1"/>
          <w:lang w:val="ro-RO" w:eastAsia="hi-IN" w:bidi="hi-IN"/>
        </w:rPr>
        <w:t>afectat şi traficul recenzat în secţiune, excluzâ</w:t>
      </w:r>
      <w:r w:rsidRPr="007B7857">
        <w:rPr>
          <w:rFonts w:ascii="Arial" w:hAnsi="Arial" w:cs="Arial"/>
          <w:kern w:val="1"/>
          <w:lang w:val="ro-RO" w:eastAsia="hi-IN" w:bidi="hi-IN"/>
        </w:rPr>
        <w:t>nd valorile traficului intrazonal.</w:t>
      </w:r>
    </w:p>
    <w:p w14:paraId="093EE512" w14:textId="77777777" w:rsidR="00556B9F" w:rsidRPr="007B7857" w:rsidRDefault="007B7857" w:rsidP="007B7857">
      <w:pPr>
        <w:widowControl w:val="0"/>
        <w:suppressAutoHyphens/>
        <w:spacing w:after="0" w:line="276" w:lineRule="auto"/>
        <w:jc w:val="both"/>
        <w:rPr>
          <w:rFonts w:ascii="Arial" w:hAnsi="Arial" w:cs="Arial"/>
          <w:kern w:val="1"/>
          <w:lang w:val="ro-RO" w:eastAsia="hi-IN" w:bidi="hi-IN"/>
        </w:rPr>
      </w:pPr>
      <w:r w:rsidRPr="007B7857">
        <w:rPr>
          <w:rFonts w:ascii="Arial" w:hAnsi="Arial" w:cs="Arial"/>
          <w:kern w:val="1"/>
          <w:lang w:val="ro-RO" w:eastAsia="hi-IN" w:bidi="hi-IN"/>
        </w:rPr>
        <w:t>Software-ul pentru planificare în transporturi utilizat, PTV VISUM, oferă diverse metodologii de corecție a matricelor pentru procedura de calibrare. Procedurile de corecție a matricelor corectează relațiile matriciale (adică deplasarea autovehiculelor între zona de origine și cea de destinație) în așa fel încât valorile de trafic înregistrate în diferite locații, în secțiune de drum indică diferențe minime față de valorile de trafic bazate pe matricele O-D afectate printr-un model de trafic rețelei de drumuri. Principalele dezavantaje ale acestor  proceduri clasice de corectare este acela că există mai mult de o singură soluție matricială posibilă care se potrivește valorilor înregistrate și aceste valori înregistrate sunt considerate ca “valori fixe” fără nici un dubiu. Procedurile moderne compensează aceste dezavantaje prin introducerea unor improbabilitati în cadrul valorilor înregistrate. Se pune în aplicare așa numită teorie Fuzzy Set. Metodologia atribuie funcții specifice de probabilitate valorilor înregistrate. Această metodă permite estimarea “celei mai probabile” matrice origine-destinație. S-a dovedit că această metodă furnizează rezultate calitativ mai bune decât metodele clasice. În cadrul programului utilizat această procedura este denumită “TFLOWFUZZY”</w:t>
      </w:r>
      <w:r w:rsidR="00556B9F" w:rsidRPr="007B7857">
        <w:rPr>
          <w:rFonts w:ascii="Arial" w:hAnsi="Arial" w:cs="Arial"/>
          <w:kern w:val="1"/>
          <w:lang w:val="ro-RO" w:eastAsia="hi-IN" w:bidi="hi-IN"/>
        </w:rPr>
        <w:t>.</w:t>
      </w:r>
    </w:p>
    <w:p w14:paraId="4CE69358" w14:textId="77777777" w:rsidR="00556B9F" w:rsidRPr="00556B9F" w:rsidRDefault="00556B9F" w:rsidP="00556B9F">
      <w:pPr>
        <w:widowControl w:val="0"/>
        <w:suppressAutoHyphens/>
        <w:spacing w:after="0" w:line="276" w:lineRule="auto"/>
        <w:jc w:val="center"/>
        <w:rPr>
          <w:rFonts w:ascii="Tahoma" w:hAnsi="Tahoma" w:cs="Tahoma"/>
          <w:kern w:val="1"/>
          <w:lang w:val="ro-RO" w:eastAsia="hi-IN" w:bidi="hi-IN"/>
        </w:rPr>
      </w:pPr>
      <w:r w:rsidRPr="00556B9F">
        <w:rPr>
          <w:rFonts w:ascii="Tahoma" w:hAnsi="Tahoma" w:cs="Tahoma"/>
          <w:noProof/>
          <w:kern w:val="1"/>
        </w:rPr>
        <w:drawing>
          <wp:inline distT="0" distB="0" distL="0" distR="0" wp14:anchorId="12AF5E5E" wp14:editId="6CC3FC49">
            <wp:extent cx="3571875" cy="1438275"/>
            <wp:effectExtent l="0" t="0" r="9525"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71875" cy="1438275"/>
                    </a:xfrm>
                    <a:prstGeom prst="rect">
                      <a:avLst/>
                    </a:prstGeom>
                    <a:noFill/>
                    <a:ln>
                      <a:noFill/>
                    </a:ln>
                  </pic:spPr>
                </pic:pic>
              </a:graphicData>
            </a:graphic>
          </wp:inline>
        </w:drawing>
      </w:r>
    </w:p>
    <w:p w14:paraId="44AF6C76" w14:textId="0CC405DB" w:rsidR="00556B9F" w:rsidRPr="007B7857" w:rsidRDefault="006D4DC5" w:rsidP="007B7857">
      <w:pPr>
        <w:pStyle w:val="Legend"/>
        <w:jc w:val="center"/>
        <w:rPr>
          <w:rFonts w:ascii="Arial" w:hAnsi="Arial" w:cs="Arial"/>
          <w:kern w:val="1"/>
          <w:sz w:val="22"/>
          <w:szCs w:val="22"/>
          <w:lang w:val="ro-RO" w:eastAsia="hi-IN" w:bidi="hi-IN"/>
        </w:rPr>
      </w:pPr>
      <w:bookmarkStart w:id="246" w:name="_Toc68361184"/>
      <w:bookmarkStart w:id="247" w:name="_Toc140744509"/>
      <w:r w:rsidRPr="0001072E">
        <w:rPr>
          <w:rFonts w:ascii="Arial" w:hAnsi="Arial" w:cs="Arial"/>
          <w:sz w:val="22"/>
          <w:szCs w:val="22"/>
        </w:rPr>
        <w:t>Figura I.3.</w:t>
      </w:r>
      <w:r w:rsidR="007B7857" w:rsidRPr="0001072E">
        <w:rPr>
          <w:rFonts w:ascii="Arial" w:hAnsi="Arial" w:cs="Arial"/>
          <w:sz w:val="22"/>
          <w:szCs w:val="22"/>
        </w:rPr>
        <w:t xml:space="preserve">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32</w:t>
      </w:r>
      <w:r w:rsidRPr="0001072E">
        <w:rPr>
          <w:rFonts w:ascii="Arial" w:hAnsi="Arial" w:cs="Arial"/>
          <w:sz w:val="22"/>
          <w:szCs w:val="22"/>
        </w:rPr>
        <w:fldChar w:fldCharType="end"/>
      </w:r>
      <w:r w:rsidR="007B7857" w:rsidRPr="0001072E">
        <w:rPr>
          <w:rFonts w:ascii="Arial" w:hAnsi="Arial" w:cs="Arial"/>
          <w:sz w:val="22"/>
          <w:szCs w:val="22"/>
        </w:rPr>
        <w:t xml:space="preserve"> - </w:t>
      </w:r>
      <w:r w:rsidR="007B7857" w:rsidRPr="0001072E">
        <w:rPr>
          <w:rFonts w:ascii="Arial" w:hAnsi="Arial" w:cs="Arial"/>
          <w:i w:val="0"/>
          <w:sz w:val="22"/>
          <w:szCs w:val="22"/>
        </w:rPr>
        <w:t>Schema logică a procesului de calibrare a matricelor</w:t>
      </w:r>
      <w:bookmarkEnd w:id="246"/>
      <w:bookmarkEnd w:id="247"/>
    </w:p>
    <w:p w14:paraId="18E0CE60" w14:textId="77777777" w:rsidR="00556B9F" w:rsidRPr="00556B9F" w:rsidRDefault="00556B9F" w:rsidP="00556B9F">
      <w:pPr>
        <w:widowControl w:val="0"/>
        <w:suppressAutoHyphens/>
        <w:spacing w:after="0" w:line="276" w:lineRule="auto"/>
        <w:jc w:val="both"/>
        <w:rPr>
          <w:rFonts w:ascii="Tahoma" w:hAnsi="Tahoma" w:cs="Tahoma"/>
          <w:kern w:val="1"/>
          <w:sz w:val="20"/>
          <w:szCs w:val="24"/>
          <w:lang w:val="ro-RO" w:eastAsia="hi-IN" w:bidi="hi-IN"/>
        </w:rPr>
      </w:pPr>
    </w:p>
    <w:p w14:paraId="0359F4BF" w14:textId="77777777" w:rsidR="00556B9F" w:rsidRPr="007B7857" w:rsidRDefault="007B7857" w:rsidP="007B7857">
      <w:pPr>
        <w:widowControl w:val="0"/>
        <w:suppressAutoHyphens/>
        <w:spacing w:after="0" w:line="276" w:lineRule="auto"/>
        <w:jc w:val="both"/>
        <w:rPr>
          <w:rFonts w:ascii="Arial" w:hAnsi="Arial" w:cs="Arial"/>
          <w:kern w:val="1"/>
          <w:lang w:val="ro-RO" w:eastAsia="hi-IN" w:bidi="hi-IN"/>
        </w:rPr>
      </w:pPr>
      <w:r w:rsidRPr="007B7857">
        <w:rPr>
          <w:rFonts w:ascii="Arial" w:hAnsi="Arial" w:cs="Arial"/>
          <w:kern w:val="1"/>
          <w:lang w:val="ro-RO" w:eastAsia="hi-IN" w:bidi="hi-IN"/>
        </w:rPr>
        <w:t>Rezultatele calibră</w:t>
      </w:r>
      <w:r w:rsidR="00556B9F" w:rsidRPr="007B7857">
        <w:rPr>
          <w:rFonts w:ascii="Arial" w:hAnsi="Arial" w:cs="Arial"/>
          <w:kern w:val="1"/>
          <w:lang w:val="ro-RO" w:eastAsia="hi-IN" w:bidi="hi-IN"/>
        </w:rPr>
        <w:t>rii ma</w:t>
      </w:r>
      <w:r w:rsidRPr="007B7857">
        <w:rPr>
          <w:rFonts w:ascii="Arial" w:hAnsi="Arial" w:cs="Arial"/>
          <w:kern w:val="1"/>
          <w:lang w:val="ro-RO" w:eastAsia="hi-IN" w:bidi="hi-IN"/>
        </w:rPr>
        <w:t>tricelor O-D pentru anul de bază 202</w:t>
      </w:r>
      <w:r w:rsidR="00501A22">
        <w:rPr>
          <w:rFonts w:ascii="Arial" w:hAnsi="Arial" w:cs="Arial"/>
          <w:kern w:val="1"/>
          <w:lang w:val="ro-RO" w:eastAsia="hi-IN" w:bidi="hi-IN"/>
        </w:rPr>
        <w:t>1</w:t>
      </w:r>
      <w:r w:rsidRPr="007B7857">
        <w:rPr>
          <w:rFonts w:ascii="Arial" w:hAnsi="Arial" w:cs="Arial"/>
          <w:kern w:val="1"/>
          <w:lang w:val="ro-RO" w:eastAsia="hi-IN" w:bidi="hi-IN"/>
        </w:rPr>
        <w:t xml:space="preserve"> sunt prezentate î</w:t>
      </w:r>
      <w:r w:rsidR="00556B9F" w:rsidRPr="007B7857">
        <w:rPr>
          <w:rFonts w:ascii="Arial" w:hAnsi="Arial" w:cs="Arial"/>
          <w:kern w:val="1"/>
          <w:lang w:val="ro-RO" w:eastAsia="hi-IN" w:bidi="hi-IN"/>
        </w:rPr>
        <w:t>n tabelele de mai jos,</w:t>
      </w:r>
      <w:r w:rsidRPr="007B7857">
        <w:rPr>
          <w:rFonts w:ascii="Arial" w:hAnsi="Arial" w:cs="Arial"/>
          <w:kern w:val="1"/>
          <w:lang w:val="ro-RO" w:eastAsia="hi-IN" w:bidi="hi-IN"/>
        </w:rPr>
        <w:t xml:space="preserve"> pentru fiecare punct de recensămâ</w:t>
      </w:r>
      <w:r w:rsidR="00556B9F" w:rsidRPr="007B7857">
        <w:rPr>
          <w:rFonts w:ascii="Arial" w:hAnsi="Arial" w:cs="Arial"/>
          <w:kern w:val="1"/>
          <w:lang w:val="ro-RO" w:eastAsia="hi-IN" w:bidi="hi-IN"/>
        </w:rPr>
        <w:t>nt, pe tip de vehicul.</w:t>
      </w:r>
    </w:p>
    <w:p w14:paraId="2D0EFBE2" w14:textId="77777777" w:rsidR="00556B9F" w:rsidRPr="00556B9F" w:rsidRDefault="00556B9F" w:rsidP="00556B9F">
      <w:pPr>
        <w:widowControl w:val="0"/>
        <w:tabs>
          <w:tab w:val="num" w:pos="720"/>
          <w:tab w:val="num" w:pos="960"/>
        </w:tabs>
        <w:suppressAutoHyphens/>
        <w:spacing w:after="0" w:line="360" w:lineRule="auto"/>
        <w:jc w:val="both"/>
        <w:rPr>
          <w:rFonts w:ascii="Tahoma" w:hAnsi="Tahoma" w:cs="Tahoma"/>
          <w:kern w:val="1"/>
          <w:sz w:val="24"/>
          <w:szCs w:val="24"/>
          <w:lang w:val="it-IT" w:eastAsia="hi-IN" w:bidi="hi-IN"/>
        </w:rPr>
      </w:pPr>
    </w:p>
    <w:p w14:paraId="32E1E54B" w14:textId="77777777" w:rsidR="00556B9F" w:rsidRDefault="00556B9F" w:rsidP="007B7857">
      <w:pPr>
        <w:widowControl w:val="0"/>
        <w:tabs>
          <w:tab w:val="num" w:pos="720"/>
          <w:tab w:val="num" w:pos="960"/>
        </w:tabs>
        <w:suppressAutoHyphens/>
        <w:spacing w:after="0" w:line="276" w:lineRule="auto"/>
        <w:jc w:val="both"/>
        <w:rPr>
          <w:rFonts w:ascii="Arial" w:hAnsi="Arial" w:cs="Arial"/>
          <w:kern w:val="1"/>
          <w:lang w:val="es-ES" w:eastAsia="hi-IN" w:bidi="hi-IN"/>
        </w:rPr>
      </w:pPr>
      <w:r w:rsidRPr="007B7857">
        <w:rPr>
          <w:rFonts w:ascii="Arial" w:hAnsi="Arial" w:cs="Arial"/>
          <w:kern w:val="1"/>
          <w:lang w:val="it-IT" w:eastAsia="hi-IN" w:bidi="hi-IN"/>
        </w:rPr>
        <w:t xml:space="preserve">Pentru </w:t>
      </w:r>
      <w:r w:rsidRPr="007B7857">
        <w:rPr>
          <w:rFonts w:ascii="Arial" w:hAnsi="Arial" w:cs="Arial"/>
          <w:kern w:val="1"/>
          <w:lang w:val="es-ES" w:eastAsia="hi-IN" w:bidi="hi-IN"/>
        </w:rPr>
        <w:t xml:space="preserve">a verifica dacă introducerea datelor s-a efectuat în mod corespunzător și parametrii de calibrare au fost corect setați este nevoie să se facă o verificare a fluxurilor de trafic. Aceasta constă în compararea valorilor fluxurilor de trafic din recensămintele de circulație cu cele din cadrul modelelor de trafic la nivel de medie zilnica anuala.  În literatura de specialitate se recomandă folosirea parametrul statistic GEH. Parametrul GEH are avantajul ca, pentru valori mari ale fluxurilor de trafic, are toleranțe mai mici decât o simplă diferență procentuală și acordă mai puțină importanță debitelor orare mici (care nu reprezintă un parametru critic într-o intersecție). În tabelul </w:t>
      </w:r>
      <w:r w:rsidRPr="007B7857">
        <w:rPr>
          <w:rFonts w:ascii="Arial" w:hAnsi="Arial" w:cs="Arial"/>
          <w:kern w:val="1"/>
          <w:lang w:val="es-ES" w:eastAsia="hi-IN" w:bidi="hi-IN"/>
        </w:rPr>
        <w:lastRenderedPageBreak/>
        <w:t>de mai jos avem ca exemplu o comparație între rezultatele obținute cu parametrul GEH și diferențele procentuale.</w:t>
      </w:r>
    </w:p>
    <w:p w14:paraId="1F264012" w14:textId="77777777" w:rsidR="00063DCF" w:rsidRDefault="00063DCF" w:rsidP="007B7857">
      <w:pPr>
        <w:widowControl w:val="0"/>
        <w:tabs>
          <w:tab w:val="num" w:pos="720"/>
          <w:tab w:val="num" w:pos="960"/>
        </w:tabs>
        <w:suppressAutoHyphens/>
        <w:spacing w:after="0" w:line="276" w:lineRule="auto"/>
        <w:jc w:val="both"/>
        <w:rPr>
          <w:rFonts w:ascii="Arial" w:hAnsi="Arial" w:cs="Arial"/>
          <w:kern w:val="1"/>
          <w:lang w:val="es-ES" w:eastAsia="hi-IN" w:bidi="hi-IN"/>
        </w:rPr>
      </w:pPr>
    </w:p>
    <w:p w14:paraId="1974B381" w14:textId="77777777" w:rsidR="00556B9F" w:rsidRPr="00556B9F" w:rsidRDefault="00556B9F" w:rsidP="00556B9F">
      <w:pPr>
        <w:widowControl w:val="0"/>
        <w:tabs>
          <w:tab w:val="num" w:pos="720"/>
          <w:tab w:val="num" w:pos="960"/>
        </w:tabs>
        <w:suppressAutoHyphens/>
        <w:spacing w:after="0" w:line="240" w:lineRule="auto"/>
        <w:jc w:val="both"/>
        <w:rPr>
          <w:rFonts w:ascii="Tahoma" w:hAnsi="Tahoma" w:cs="Tahoma"/>
          <w:kern w:val="1"/>
          <w:sz w:val="24"/>
          <w:szCs w:val="24"/>
          <w:lang w:val="es-ES" w:eastAsia="hi-IN" w:bidi="hi-IN"/>
        </w:rPr>
      </w:pPr>
    </w:p>
    <w:p w14:paraId="2D1721D9" w14:textId="4B5E9722" w:rsidR="00556B9F" w:rsidRPr="0022048B" w:rsidRDefault="0022048B" w:rsidP="0022048B">
      <w:pPr>
        <w:pStyle w:val="Legend"/>
        <w:jc w:val="center"/>
        <w:rPr>
          <w:rFonts w:ascii="Arial" w:hAnsi="Arial" w:cs="Arial"/>
          <w:i w:val="0"/>
          <w:iCs w:val="0"/>
          <w:kern w:val="1"/>
          <w:sz w:val="22"/>
          <w:szCs w:val="22"/>
          <w:lang w:val="it-IT" w:eastAsia="hi-IN" w:bidi="hi-IN"/>
        </w:rPr>
      </w:pPr>
      <w:bookmarkStart w:id="248" w:name="_Toc417984230"/>
      <w:bookmarkStart w:id="249" w:name="_Toc68361227"/>
      <w:bookmarkStart w:id="250" w:name="_Toc96447399"/>
      <w:r w:rsidRPr="0022048B">
        <w:rPr>
          <w:rFonts w:ascii="Arial" w:hAnsi="Arial" w:cs="Arial"/>
          <w:sz w:val="22"/>
          <w:szCs w:val="22"/>
        </w:rPr>
        <w:t xml:space="preserve">Tabel I.3. </w:t>
      </w:r>
      <w:r w:rsidRPr="0022048B">
        <w:rPr>
          <w:rFonts w:ascii="Arial" w:hAnsi="Arial" w:cs="Arial"/>
          <w:sz w:val="22"/>
          <w:szCs w:val="22"/>
        </w:rPr>
        <w:fldChar w:fldCharType="begin"/>
      </w:r>
      <w:r w:rsidRPr="0022048B">
        <w:rPr>
          <w:rFonts w:ascii="Arial" w:hAnsi="Arial" w:cs="Arial"/>
          <w:sz w:val="22"/>
          <w:szCs w:val="22"/>
        </w:rPr>
        <w:instrText xml:space="preserve"> SEQ Tabel_I.3. \* ARABIC </w:instrText>
      </w:r>
      <w:r w:rsidRPr="0022048B">
        <w:rPr>
          <w:rFonts w:ascii="Arial" w:hAnsi="Arial" w:cs="Arial"/>
          <w:sz w:val="22"/>
          <w:szCs w:val="22"/>
        </w:rPr>
        <w:fldChar w:fldCharType="separate"/>
      </w:r>
      <w:r w:rsidR="00BB181C">
        <w:rPr>
          <w:rFonts w:ascii="Arial" w:hAnsi="Arial" w:cs="Arial"/>
          <w:noProof/>
          <w:sz w:val="22"/>
          <w:szCs w:val="22"/>
        </w:rPr>
        <w:t>3</w:t>
      </w:r>
      <w:r w:rsidRPr="0022048B">
        <w:rPr>
          <w:rFonts w:ascii="Arial" w:hAnsi="Arial" w:cs="Arial"/>
          <w:sz w:val="22"/>
          <w:szCs w:val="22"/>
        </w:rPr>
        <w:fldChar w:fldCharType="end"/>
      </w:r>
      <w:r w:rsidRPr="0022048B">
        <w:rPr>
          <w:rFonts w:ascii="Arial" w:hAnsi="Arial" w:cs="Arial"/>
          <w:sz w:val="22"/>
          <w:szCs w:val="22"/>
        </w:rPr>
        <w:t xml:space="preserve"> </w:t>
      </w:r>
      <w:r w:rsidR="007B7857" w:rsidRPr="0022048B">
        <w:rPr>
          <w:rFonts w:ascii="Arial" w:hAnsi="Arial" w:cs="Arial"/>
          <w:sz w:val="22"/>
          <w:szCs w:val="22"/>
        </w:rPr>
        <w:t xml:space="preserve">- </w:t>
      </w:r>
      <w:bookmarkEnd w:id="248"/>
      <w:r w:rsidR="007B7857" w:rsidRPr="0022048B">
        <w:rPr>
          <w:rFonts w:ascii="Arial" w:hAnsi="Arial" w:cs="Arial"/>
          <w:i w:val="0"/>
          <w:sz w:val="22"/>
          <w:szCs w:val="22"/>
        </w:rPr>
        <w:t>Comparație între rezultatele obținute cu parametrul GEH și diferențele procentuale</w:t>
      </w:r>
      <w:bookmarkEnd w:id="249"/>
      <w:bookmarkEnd w:id="250"/>
    </w:p>
    <w:p w14:paraId="6B7A4E55" w14:textId="77777777" w:rsidR="00556B9F" w:rsidRPr="00556B9F" w:rsidRDefault="00556B9F" w:rsidP="00556B9F">
      <w:pPr>
        <w:widowControl w:val="0"/>
        <w:tabs>
          <w:tab w:val="num" w:pos="720"/>
          <w:tab w:val="num" w:pos="960"/>
        </w:tabs>
        <w:suppressAutoHyphens/>
        <w:spacing w:after="0" w:line="240" w:lineRule="auto"/>
        <w:jc w:val="both"/>
        <w:rPr>
          <w:rFonts w:ascii="Tahoma" w:hAnsi="Tahoma" w:cs="Tahoma"/>
          <w:kern w:val="1"/>
          <w:sz w:val="24"/>
          <w:szCs w:val="24"/>
          <w:lang w:val="es-ES" w:eastAsia="hi-IN" w:bidi="hi-IN"/>
        </w:rPr>
      </w:pPr>
    </w:p>
    <w:tbl>
      <w:tblPr>
        <w:tblW w:w="5000" w:type="pct"/>
        <w:tblLook w:val="0000" w:firstRow="0" w:lastRow="0" w:firstColumn="0" w:lastColumn="0" w:noHBand="0" w:noVBand="0"/>
      </w:tblPr>
      <w:tblGrid>
        <w:gridCol w:w="2467"/>
        <w:gridCol w:w="2468"/>
        <w:gridCol w:w="2468"/>
        <w:gridCol w:w="2468"/>
      </w:tblGrid>
      <w:tr w:rsidR="00556B9F" w:rsidRPr="00556B9F" w14:paraId="5CC29DE4" w14:textId="77777777" w:rsidTr="00556B9F">
        <w:trPr>
          <w:trHeight w:val="510"/>
          <w:tblHeader/>
        </w:trPr>
        <w:tc>
          <w:tcPr>
            <w:tcW w:w="1250" w:type="pct"/>
            <w:vAlign w:val="center"/>
          </w:tcPr>
          <w:p w14:paraId="4E1BFE2D"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it-IT"/>
              </w:rPr>
            </w:pPr>
            <w:r w:rsidRPr="00556B9F">
              <w:rPr>
                <w:rFonts w:ascii="Arial" w:eastAsia="Times New Roman" w:hAnsi="Arial" w:cs="Arial"/>
                <w:b/>
                <w:bCs/>
                <w:color w:val="000000"/>
                <w:sz w:val="20"/>
                <w:szCs w:val="20"/>
                <w:lang w:val="it-IT"/>
              </w:rPr>
              <w:t>Valori estimare M (veh etalon/oră)</w:t>
            </w:r>
          </w:p>
        </w:tc>
        <w:tc>
          <w:tcPr>
            <w:tcW w:w="1250" w:type="pct"/>
            <w:vAlign w:val="center"/>
          </w:tcPr>
          <w:p w14:paraId="22F2E262"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it-IT"/>
              </w:rPr>
            </w:pPr>
            <w:r w:rsidRPr="00556B9F">
              <w:rPr>
                <w:rFonts w:ascii="Arial" w:eastAsia="Times New Roman" w:hAnsi="Arial" w:cs="Arial"/>
                <w:b/>
                <w:bCs/>
                <w:color w:val="000000"/>
                <w:sz w:val="20"/>
                <w:szCs w:val="20"/>
                <w:lang w:val="it-IT"/>
              </w:rPr>
              <w:t>Valori măsurate C (veh etalon/oră)</w:t>
            </w:r>
          </w:p>
        </w:tc>
        <w:tc>
          <w:tcPr>
            <w:tcW w:w="1250" w:type="pct"/>
            <w:vAlign w:val="center"/>
          </w:tcPr>
          <w:p w14:paraId="5AE3A1DE"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b/>
                <w:bCs/>
                <w:color w:val="000000"/>
                <w:sz w:val="20"/>
                <w:szCs w:val="20"/>
                <w:lang w:val="ro-RO"/>
              </w:rPr>
              <w:t>GEH</w:t>
            </w:r>
          </w:p>
        </w:tc>
        <w:tc>
          <w:tcPr>
            <w:tcW w:w="1250" w:type="pct"/>
            <w:vAlign w:val="center"/>
          </w:tcPr>
          <w:p w14:paraId="69C59A70"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b/>
                <w:bCs/>
                <w:color w:val="000000"/>
                <w:sz w:val="20"/>
                <w:szCs w:val="20"/>
                <w:lang w:val="ro-RO"/>
              </w:rPr>
              <w:t>Diferența procentuală</w:t>
            </w:r>
          </w:p>
        </w:tc>
      </w:tr>
      <w:tr w:rsidR="00556B9F" w:rsidRPr="00556B9F" w14:paraId="3743454B" w14:textId="77777777" w:rsidTr="00556B9F">
        <w:trPr>
          <w:trHeight w:val="510"/>
        </w:trPr>
        <w:tc>
          <w:tcPr>
            <w:tcW w:w="1250" w:type="pct"/>
            <w:shd w:val="solid" w:color="C0C0C0" w:fill="FFFFFF"/>
            <w:vAlign w:val="center"/>
          </w:tcPr>
          <w:p w14:paraId="3130208D"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10,000</w:t>
            </w:r>
          </w:p>
        </w:tc>
        <w:tc>
          <w:tcPr>
            <w:tcW w:w="1250" w:type="pct"/>
            <w:shd w:val="solid" w:color="C0C0C0" w:fill="FFFFFF"/>
            <w:vAlign w:val="center"/>
          </w:tcPr>
          <w:p w14:paraId="1E5D8A35"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9,000</w:t>
            </w:r>
          </w:p>
        </w:tc>
        <w:tc>
          <w:tcPr>
            <w:tcW w:w="1250" w:type="pct"/>
            <w:shd w:val="solid" w:color="C0C0C0" w:fill="FFFFFF"/>
            <w:vAlign w:val="center"/>
          </w:tcPr>
          <w:p w14:paraId="058BC396"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10.3</w:t>
            </w:r>
          </w:p>
        </w:tc>
        <w:tc>
          <w:tcPr>
            <w:tcW w:w="1250" w:type="pct"/>
            <w:shd w:val="solid" w:color="C0C0C0" w:fill="FFFFFF"/>
            <w:vAlign w:val="center"/>
          </w:tcPr>
          <w:p w14:paraId="5DDB0B09"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w:t>
            </w:r>
          </w:p>
        </w:tc>
      </w:tr>
      <w:tr w:rsidR="00556B9F" w:rsidRPr="00556B9F" w14:paraId="70A8D0F9" w14:textId="77777777" w:rsidTr="00556B9F">
        <w:trPr>
          <w:trHeight w:val="510"/>
        </w:trPr>
        <w:tc>
          <w:tcPr>
            <w:tcW w:w="1250" w:type="pct"/>
            <w:shd w:val="clear" w:color="C0C0C0" w:fill="auto"/>
            <w:vAlign w:val="center"/>
          </w:tcPr>
          <w:p w14:paraId="2AC60CBD"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1,000</w:t>
            </w:r>
          </w:p>
        </w:tc>
        <w:tc>
          <w:tcPr>
            <w:tcW w:w="1250" w:type="pct"/>
            <w:shd w:val="clear" w:color="C0C0C0" w:fill="auto"/>
            <w:vAlign w:val="center"/>
          </w:tcPr>
          <w:p w14:paraId="0AE374DF"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900</w:t>
            </w:r>
          </w:p>
        </w:tc>
        <w:tc>
          <w:tcPr>
            <w:tcW w:w="1250" w:type="pct"/>
            <w:shd w:val="clear" w:color="C0C0C0" w:fill="auto"/>
            <w:vAlign w:val="center"/>
          </w:tcPr>
          <w:p w14:paraId="53074A0E"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3.2</w:t>
            </w:r>
          </w:p>
        </w:tc>
        <w:tc>
          <w:tcPr>
            <w:tcW w:w="1250" w:type="pct"/>
            <w:shd w:val="clear" w:color="C0C0C0" w:fill="auto"/>
            <w:vAlign w:val="center"/>
          </w:tcPr>
          <w:p w14:paraId="59B0DA05"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w:t>
            </w:r>
          </w:p>
        </w:tc>
      </w:tr>
      <w:tr w:rsidR="00556B9F" w:rsidRPr="00556B9F" w14:paraId="4B08BE18" w14:textId="77777777" w:rsidTr="00556B9F">
        <w:trPr>
          <w:trHeight w:val="510"/>
        </w:trPr>
        <w:tc>
          <w:tcPr>
            <w:tcW w:w="1250" w:type="pct"/>
            <w:shd w:val="solid" w:color="C0C0C0" w:fill="FFFFFF"/>
            <w:vAlign w:val="center"/>
          </w:tcPr>
          <w:p w14:paraId="1765D486"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100</w:t>
            </w:r>
          </w:p>
        </w:tc>
        <w:tc>
          <w:tcPr>
            <w:tcW w:w="1250" w:type="pct"/>
            <w:shd w:val="solid" w:color="C0C0C0" w:fill="FFFFFF"/>
            <w:vAlign w:val="center"/>
          </w:tcPr>
          <w:p w14:paraId="3896DA18"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90</w:t>
            </w:r>
          </w:p>
        </w:tc>
        <w:tc>
          <w:tcPr>
            <w:tcW w:w="1250" w:type="pct"/>
            <w:shd w:val="solid" w:color="C0C0C0" w:fill="FFFFFF"/>
            <w:vAlign w:val="center"/>
          </w:tcPr>
          <w:p w14:paraId="0E399427"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w:t>
            </w:r>
          </w:p>
        </w:tc>
        <w:tc>
          <w:tcPr>
            <w:tcW w:w="1250" w:type="pct"/>
            <w:shd w:val="solid" w:color="C0C0C0" w:fill="FFFFFF"/>
            <w:vAlign w:val="center"/>
          </w:tcPr>
          <w:p w14:paraId="51F54FF1"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w:t>
            </w:r>
          </w:p>
        </w:tc>
      </w:tr>
      <w:tr w:rsidR="00556B9F" w:rsidRPr="00556B9F" w14:paraId="4689DFFA" w14:textId="77777777" w:rsidTr="00556B9F">
        <w:trPr>
          <w:trHeight w:val="510"/>
        </w:trPr>
        <w:tc>
          <w:tcPr>
            <w:tcW w:w="1250" w:type="pct"/>
            <w:vAlign w:val="center"/>
          </w:tcPr>
          <w:p w14:paraId="29718DFD"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10,000</w:t>
            </w:r>
          </w:p>
        </w:tc>
        <w:tc>
          <w:tcPr>
            <w:tcW w:w="1250" w:type="pct"/>
            <w:vAlign w:val="center"/>
          </w:tcPr>
          <w:p w14:paraId="0460F2A3"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9,520</w:t>
            </w:r>
          </w:p>
        </w:tc>
        <w:tc>
          <w:tcPr>
            <w:tcW w:w="1250" w:type="pct"/>
            <w:vAlign w:val="center"/>
          </w:tcPr>
          <w:p w14:paraId="164914E2"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4.9</w:t>
            </w:r>
          </w:p>
        </w:tc>
        <w:tc>
          <w:tcPr>
            <w:tcW w:w="1250" w:type="pct"/>
            <w:vAlign w:val="center"/>
          </w:tcPr>
          <w:p w14:paraId="0CB2E863"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5%</w:t>
            </w:r>
          </w:p>
        </w:tc>
      </w:tr>
      <w:tr w:rsidR="00556B9F" w:rsidRPr="00556B9F" w14:paraId="4A0E95EE" w14:textId="77777777" w:rsidTr="00556B9F">
        <w:trPr>
          <w:trHeight w:val="510"/>
        </w:trPr>
        <w:tc>
          <w:tcPr>
            <w:tcW w:w="1250" w:type="pct"/>
            <w:shd w:val="solid" w:color="C0C0C0" w:fill="FFFFFF"/>
            <w:vAlign w:val="center"/>
          </w:tcPr>
          <w:p w14:paraId="326254A2"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1,000</w:t>
            </w:r>
          </w:p>
        </w:tc>
        <w:tc>
          <w:tcPr>
            <w:tcW w:w="1250" w:type="pct"/>
            <w:shd w:val="solid" w:color="C0C0C0" w:fill="FFFFFF"/>
            <w:vAlign w:val="center"/>
          </w:tcPr>
          <w:p w14:paraId="0155AA64"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850</w:t>
            </w:r>
          </w:p>
        </w:tc>
        <w:tc>
          <w:tcPr>
            <w:tcW w:w="1250" w:type="pct"/>
            <w:shd w:val="solid" w:color="C0C0C0" w:fill="FFFFFF"/>
            <w:vAlign w:val="center"/>
          </w:tcPr>
          <w:p w14:paraId="4E766225"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4.9</w:t>
            </w:r>
          </w:p>
        </w:tc>
        <w:tc>
          <w:tcPr>
            <w:tcW w:w="1250" w:type="pct"/>
            <w:shd w:val="solid" w:color="C0C0C0" w:fill="FFFFFF"/>
            <w:vAlign w:val="center"/>
          </w:tcPr>
          <w:p w14:paraId="2E9FF88A"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18%</w:t>
            </w:r>
          </w:p>
        </w:tc>
      </w:tr>
      <w:tr w:rsidR="00556B9F" w:rsidRPr="00556B9F" w14:paraId="3917E510" w14:textId="77777777" w:rsidTr="00556B9F">
        <w:trPr>
          <w:trHeight w:val="510"/>
        </w:trPr>
        <w:tc>
          <w:tcPr>
            <w:tcW w:w="1250" w:type="pct"/>
            <w:vAlign w:val="center"/>
          </w:tcPr>
          <w:p w14:paraId="2C9AB676"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100</w:t>
            </w:r>
          </w:p>
        </w:tc>
        <w:tc>
          <w:tcPr>
            <w:tcW w:w="1250" w:type="pct"/>
            <w:vAlign w:val="center"/>
          </w:tcPr>
          <w:p w14:paraId="46568F07"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57</w:t>
            </w:r>
          </w:p>
        </w:tc>
        <w:tc>
          <w:tcPr>
            <w:tcW w:w="1250" w:type="pct"/>
            <w:vAlign w:val="center"/>
          </w:tcPr>
          <w:p w14:paraId="01B9E84C"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4</w:t>
            </w:r>
            <w:r w:rsidRPr="00556B9F">
              <w:rPr>
                <w:rFonts w:ascii="Arial" w:eastAsia="Times New Roman" w:hAnsi="Arial" w:cs="Arial"/>
                <w:b/>
                <w:bCs/>
                <w:color w:val="000000"/>
                <w:sz w:val="20"/>
                <w:szCs w:val="20"/>
                <w:lang w:val="ro-RO"/>
              </w:rPr>
              <w:t>.</w:t>
            </w:r>
            <w:r w:rsidRPr="00556B9F">
              <w:rPr>
                <w:rFonts w:ascii="Arial" w:eastAsia="Times New Roman" w:hAnsi="Arial" w:cs="Arial"/>
                <w:color w:val="000000"/>
                <w:sz w:val="20"/>
                <w:szCs w:val="20"/>
                <w:lang w:val="ro-RO"/>
              </w:rPr>
              <w:t>9</w:t>
            </w:r>
          </w:p>
        </w:tc>
        <w:tc>
          <w:tcPr>
            <w:tcW w:w="1250" w:type="pct"/>
            <w:vAlign w:val="center"/>
          </w:tcPr>
          <w:p w14:paraId="54115C89" w14:textId="77777777" w:rsidR="00556B9F" w:rsidRPr="00556B9F" w:rsidRDefault="00556B9F" w:rsidP="00556B9F">
            <w:pPr>
              <w:autoSpaceDE w:val="0"/>
              <w:autoSpaceDN w:val="0"/>
              <w:adjustRightInd w:val="0"/>
              <w:spacing w:after="0" w:line="221" w:lineRule="atLeast"/>
              <w:jc w:val="center"/>
              <w:rPr>
                <w:rFonts w:ascii="Arial" w:eastAsia="Times New Roman" w:hAnsi="Arial" w:cs="Arial"/>
                <w:color w:val="000000"/>
                <w:sz w:val="20"/>
                <w:szCs w:val="20"/>
                <w:lang w:val="ro-RO"/>
              </w:rPr>
            </w:pPr>
            <w:r w:rsidRPr="00556B9F">
              <w:rPr>
                <w:rFonts w:ascii="Arial" w:eastAsia="Times New Roman" w:hAnsi="Arial" w:cs="Arial"/>
                <w:color w:val="000000"/>
                <w:sz w:val="20"/>
                <w:szCs w:val="20"/>
                <w:lang w:val="ro-RO"/>
              </w:rPr>
              <w:t>75%</w:t>
            </w:r>
          </w:p>
        </w:tc>
      </w:tr>
    </w:tbl>
    <w:p w14:paraId="64BB79DE" w14:textId="77777777" w:rsidR="00556B9F" w:rsidRPr="00556B9F" w:rsidRDefault="00556B9F" w:rsidP="00556B9F">
      <w:pPr>
        <w:widowControl w:val="0"/>
        <w:suppressAutoHyphens/>
        <w:spacing w:after="0" w:line="360" w:lineRule="auto"/>
        <w:jc w:val="both"/>
        <w:rPr>
          <w:rFonts w:ascii="Arial" w:hAnsi="Arial" w:cs="Arial"/>
          <w:kern w:val="1"/>
          <w:sz w:val="24"/>
          <w:szCs w:val="24"/>
          <w:lang w:val="ro-RO" w:eastAsia="hi-IN" w:bidi="hi-IN"/>
        </w:rPr>
      </w:pPr>
    </w:p>
    <w:p w14:paraId="073F1870" w14:textId="77777777" w:rsidR="00556B9F" w:rsidRPr="007B7857" w:rsidRDefault="007B7857" w:rsidP="007B7857">
      <w:pPr>
        <w:widowControl w:val="0"/>
        <w:suppressAutoHyphens/>
        <w:spacing w:after="0" w:line="276" w:lineRule="auto"/>
        <w:jc w:val="both"/>
        <w:rPr>
          <w:rFonts w:ascii="Arial" w:hAnsi="Arial" w:cs="Arial"/>
          <w:kern w:val="1"/>
          <w:lang w:val="ro-RO" w:eastAsia="hi-IN" w:bidi="hi-IN"/>
        </w:rPr>
      </w:pPr>
      <w:r>
        <w:rPr>
          <w:rFonts w:ascii="Arial" w:hAnsi="Arial" w:cs="Arial"/>
          <w:kern w:val="1"/>
          <w:lang w:val="ro-RO" w:eastAsia="hi-IN" w:bidi="hi-IN"/>
        </w:rPr>
        <w:t>Î</w:t>
      </w:r>
      <w:r w:rsidR="00556B9F" w:rsidRPr="007B7857">
        <w:rPr>
          <w:rFonts w:ascii="Arial" w:hAnsi="Arial" w:cs="Arial"/>
          <w:kern w:val="1"/>
          <w:lang w:val="ro-RO" w:eastAsia="hi-IN" w:bidi="hi-IN"/>
        </w:rPr>
        <w:t xml:space="preserve">n vederea </w:t>
      </w:r>
      <w:r>
        <w:rPr>
          <w:rFonts w:ascii="Arial" w:hAnsi="Arial" w:cs="Arial"/>
          <w:b/>
          <w:kern w:val="1"/>
          <w:lang w:val="ro-RO" w:eastAsia="hi-IN" w:bidi="hi-IN"/>
        </w:rPr>
        <w:t>calibră</w:t>
      </w:r>
      <w:r w:rsidR="00556B9F" w:rsidRPr="007B7857">
        <w:rPr>
          <w:rFonts w:ascii="Arial" w:hAnsi="Arial" w:cs="Arial"/>
          <w:b/>
          <w:kern w:val="1"/>
          <w:lang w:val="ro-RO" w:eastAsia="hi-IN" w:bidi="hi-IN"/>
        </w:rPr>
        <w:t xml:space="preserve">rii </w:t>
      </w:r>
      <w:r w:rsidR="00556B9F" w:rsidRPr="007B7857">
        <w:rPr>
          <w:rFonts w:ascii="Arial" w:hAnsi="Arial" w:cs="Arial"/>
          <w:kern w:val="1"/>
          <w:lang w:val="ro-RO" w:eastAsia="hi-IN" w:bidi="hi-IN"/>
        </w:rPr>
        <w:t>modelului de trafic,</w:t>
      </w:r>
      <w:r w:rsidRPr="007B7857">
        <w:rPr>
          <w:rFonts w:ascii="Arial" w:hAnsi="Arial" w:cs="Arial"/>
          <w:kern w:val="1"/>
          <w:lang w:val="ro-RO" w:eastAsia="hi-IN" w:bidi="hi-IN"/>
        </w:rPr>
        <w:t xml:space="preserve"> ţinând cont de cele menţionate mai sus s-a aplicat următoarea procedură</w:t>
      </w:r>
      <w:r w:rsidR="00556B9F" w:rsidRPr="007B7857">
        <w:rPr>
          <w:rFonts w:ascii="Arial" w:hAnsi="Arial" w:cs="Arial"/>
          <w:kern w:val="1"/>
          <w:lang w:val="ro-RO" w:eastAsia="hi-IN" w:bidi="hi-IN"/>
        </w:rPr>
        <w:t xml:space="preserve">: </w:t>
      </w:r>
    </w:p>
    <w:p w14:paraId="1A992B8D" w14:textId="77777777" w:rsidR="00556B9F" w:rsidRPr="007B7857" w:rsidRDefault="00556B9F" w:rsidP="007B7857">
      <w:pPr>
        <w:widowControl w:val="0"/>
        <w:suppressAutoHyphens/>
        <w:spacing w:after="0" w:line="276" w:lineRule="auto"/>
        <w:jc w:val="both"/>
        <w:rPr>
          <w:rFonts w:ascii="Arial" w:hAnsi="Arial" w:cs="Arial"/>
          <w:kern w:val="1"/>
          <w:lang w:val="ro-RO" w:eastAsia="hi-IN" w:bidi="hi-IN"/>
        </w:rPr>
      </w:pPr>
      <w:r w:rsidRPr="007B7857">
        <w:rPr>
          <w:rFonts w:ascii="Arial" w:hAnsi="Arial" w:cs="Arial"/>
          <w:i/>
          <w:kern w:val="1"/>
          <w:lang w:val="ro-RO" w:eastAsia="hi-IN" w:bidi="hi-IN"/>
        </w:rPr>
        <w:t>- compararea v</w:t>
      </w:r>
      <w:r w:rsidR="007B7857">
        <w:rPr>
          <w:rFonts w:ascii="Arial" w:hAnsi="Arial" w:cs="Arial"/>
          <w:i/>
          <w:kern w:val="1"/>
          <w:lang w:val="ro-RO" w:eastAsia="hi-IN" w:bidi="hi-IN"/>
        </w:rPr>
        <w:t>alorilor fluxurilor de trafic mă</w:t>
      </w:r>
      <w:r w:rsidRPr="007B7857">
        <w:rPr>
          <w:rFonts w:ascii="Arial" w:hAnsi="Arial" w:cs="Arial"/>
          <w:i/>
          <w:kern w:val="1"/>
          <w:lang w:val="ro-RO" w:eastAsia="hi-IN" w:bidi="hi-IN"/>
        </w:rPr>
        <w:t>surate cu cele din cadrul modelului de trafic.  S-a</w:t>
      </w:r>
      <w:r w:rsidRPr="007B7857">
        <w:rPr>
          <w:rFonts w:ascii="Arial" w:hAnsi="Arial" w:cs="Arial"/>
          <w:kern w:val="1"/>
          <w:lang w:val="ro-RO" w:eastAsia="hi-IN" w:bidi="hi-IN"/>
        </w:rPr>
        <w:t xml:space="preserve"> folosit parametrul GEH, recomandat de “Manualul </w:t>
      </w:r>
      <w:r w:rsidR="007B7857" w:rsidRPr="007B7857">
        <w:rPr>
          <w:rFonts w:ascii="Arial" w:hAnsi="Arial" w:cs="Arial"/>
          <w:kern w:val="1"/>
          <w:lang w:val="ro-RO" w:eastAsia="hi-IN" w:bidi="hi-IN"/>
        </w:rPr>
        <w:t>pentru Proiectarea Drumurilor  ş</w:t>
      </w:r>
      <w:r w:rsidRPr="007B7857">
        <w:rPr>
          <w:rFonts w:ascii="Arial" w:hAnsi="Arial" w:cs="Arial"/>
          <w:kern w:val="1"/>
          <w:lang w:val="ro-RO" w:eastAsia="hi-IN" w:bidi="hi-IN"/>
        </w:rPr>
        <w:t>i Podurilor” (DMRB, Volumul 12, Sectiunea 2- Marea Britanie), precum si de “Ghidul statului Wisconsin (SUA)  pentru modelele de ma</w:t>
      </w:r>
      <w:r w:rsidR="007B7857">
        <w:rPr>
          <w:rFonts w:ascii="Arial" w:hAnsi="Arial" w:cs="Arial"/>
          <w:kern w:val="1"/>
          <w:lang w:val="ro-RO" w:eastAsia="hi-IN" w:bidi="hi-IN"/>
        </w:rPr>
        <w:t>cro/microsimulare”. GEH are urmă</w:t>
      </w:r>
      <w:r w:rsidRPr="007B7857">
        <w:rPr>
          <w:rFonts w:ascii="Arial" w:hAnsi="Arial" w:cs="Arial"/>
          <w:kern w:val="1"/>
          <w:lang w:val="ro-RO" w:eastAsia="hi-IN" w:bidi="hi-IN"/>
        </w:rPr>
        <w:t>toarea formula de calcul:</w:t>
      </w:r>
    </w:p>
    <w:p w14:paraId="01286FCE" w14:textId="77777777" w:rsidR="00556B9F" w:rsidRPr="00556B9F" w:rsidRDefault="00C11B1E" w:rsidP="00556B9F">
      <w:pPr>
        <w:widowControl w:val="0"/>
        <w:suppressAutoHyphens/>
        <w:spacing w:after="0" w:line="360" w:lineRule="auto"/>
        <w:jc w:val="center"/>
        <w:rPr>
          <w:rFonts w:ascii="Arial" w:hAnsi="Arial" w:cs="Arial"/>
          <w:kern w:val="1"/>
          <w:sz w:val="24"/>
          <w:szCs w:val="24"/>
          <w:lang w:val="ro-RO" w:eastAsia="hi-IN" w:bidi="hi-IN"/>
        </w:rPr>
      </w:pPr>
      <w:r>
        <w:rPr>
          <w:rFonts w:ascii="Arial" w:hAnsi="Arial" w:cs="Arial"/>
          <w:noProof/>
          <w:kern w:val="1"/>
          <w:position w:val="-32"/>
          <w:sz w:val="24"/>
          <w:szCs w:val="24"/>
        </w:rPr>
        <w:drawing>
          <wp:inline distT="0" distB="0" distL="0" distR="0" wp14:anchorId="35B268F1" wp14:editId="1870B919">
            <wp:extent cx="1323975" cy="542925"/>
            <wp:effectExtent l="0" t="0" r="0" b="0"/>
            <wp:docPr id="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23975" cy="542925"/>
                    </a:xfrm>
                    <a:prstGeom prst="rect">
                      <a:avLst/>
                    </a:prstGeom>
                    <a:noFill/>
                    <a:ln>
                      <a:noFill/>
                    </a:ln>
                  </pic:spPr>
                </pic:pic>
              </a:graphicData>
            </a:graphic>
          </wp:inline>
        </w:drawing>
      </w:r>
    </w:p>
    <w:p w14:paraId="0755F26E" w14:textId="77777777" w:rsidR="00556B9F" w:rsidRPr="007B7857" w:rsidRDefault="007B7857" w:rsidP="007B7857">
      <w:pPr>
        <w:widowControl w:val="0"/>
        <w:suppressAutoHyphens/>
        <w:spacing w:after="0" w:line="276" w:lineRule="auto"/>
        <w:jc w:val="both"/>
        <w:rPr>
          <w:rFonts w:ascii="Arial" w:hAnsi="Arial" w:cs="Arial"/>
          <w:kern w:val="1"/>
          <w:lang w:val="ro-RO" w:eastAsia="hi-IN" w:bidi="hi-IN"/>
        </w:rPr>
      </w:pPr>
      <w:r w:rsidRPr="007B7857">
        <w:rPr>
          <w:rFonts w:ascii="Arial" w:hAnsi="Arial" w:cs="Arial"/>
          <w:kern w:val="1"/>
          <w:lang w:val="ro-RO" w:eastAsia="hi-IN" w:bidi="hi-IN"/>
        </w:rPr>
        <w:t>unde M - reprezintă</w:t>
      </w:r>
      <w:r w:rsidR="00556B9F" w:rsidRPr="007B7857">
        <w:rPr>
          <w:rFonts w:ascii="Arial" w:hAnsi="Arial" w:cs="Arial"/>
          <w:kern w:val="1"/>
          <w:lang w:val="ro-RO" w:eastAsia="hi-IN" w:bidi="hi-IN"/>
        </w:rPr>
        <w:t xml:space="preserve"> valorile din model</w:t>
      </w:r>
      <w:r w:rsidRPr="007B7857">
        <w:rPr>
          <w:rFonts w:ascii="Arial" w:hAnsi="Arial" w:cs="Arial"/>
          <w:kern w:val="1"/>
          <w:lang w:val="ro-RO" w:eastAsia="hi-IN" w:bidi="hi-IN"/>
        </w:rPr>
        <w:t>ul de trafic, iar C- valorile mă</w:t>
      </w:r>
      <w:r w:rsidR="00556B9F" w:rsidRPr="007B7857">
        <w:rPr>
          <w:rFonts w:ascii="Arial" w:hAnsi="Arial" w:cs="Arial"/>
          <w:kern w:val="1"/>
          <w:lang w:val="ro-RO" w:eastAsia="hi-IN" w:bidi="hi-IN"/>
        </w:rPr>
        <w:t>surate.</w:t>
      </w:r>
    </w:p>
    <w:p w14:paraId="0742091B" w14:textId="77777777" w:rsidR="00556B9F" w:rsidRPr="007B7857" w:rsidRDefault="00556B9F" w:rsidP="007B7857">
      <w:pPr>
        <w:widowControl w:val="0"/>
        <w:suppressAutoHyphens/>
        <w:spacing w:after="0" w:line="276" w:lineRule="auto"/>
        <w:jc w:val="both"/>
        <w:rPr>
          <w:rFonts w:ascii="Arial" w:hAnsi="Arial" w:cs="Arial"/>
          <w:kern w:val="1"/>
          <w:lang w:val="ro-RO" w:eastAsia="hi-IN" w:bidi="hi-IN"/>
        </w:rPr>
      </w:pPr>
    </w:p>
    <w:p w14:paraId="0B64170F" w14:textId="77777777" w:rsidR="00556B9F" w:rsidRPr="007B7857" w:rsidRDefault="007B7857" w:rsidP="007B7857">
      <w:pPr>
        <w:widowControl w:val="0"/>
        <w:suppressAutoHyphens/>
        <w:spacing w:after="0" w:line="276" w:lineRule="auto"/>
        <w:jc w:val="both"/>
        <w:rPr>
          <w:rFonts w:ascii="Arial" w:hAnsi="Arial" w:cs="Arial"/>
          <w:kern w:val="1"/>
          <w:lang w:val="es-ES" w:eastAsia="hi-IN" w:bidi="hi-IN"/>
        </w:rPr>
      </w:pPr>
      <w:r w:rsidRPr="007B7857">
        <w:rPr>
          <w:rFonts w:ascii="Arial" w:hAnsi="Arial" w:cs="Arial"/>
          <w:kern w:val="1"/>
          <w:lang w:val="ro-RO" w:eastAsia="hi-IN" w:bidi="hi-IN"/>
        </w:rPr>
        <w:t>Se consideră că</w:t>
      </w:r>
      <w:r w:rsidR="00556B9F" w:rsidRPr="007B7857">
        <w:rPr>
          <w:rFonts w:ascii="Arial" w:hAnsi="Arial" w:cs="Arial"/>
          <w:kern w:val="1"/>
          <w:lang w:val="ro-RO" w:eastAsia="hi-IN" w:bidi="hi-IN"/>
        </w:rPr>
        <w:t xml:space="preserve"> pen</w:t>
      </w:r>
      <w:r w:rsidRPr="007B7857">
        <w:rPr>
          <w:rFonts w:ascii="Arial" w:hAnsi="Arial" w:cs="Arial"/>
          <w:kern w:val="1"/>
          <w:lang w:val="ro-RO" w:eastAsia="hi-IN" w:bidi="hi-IN"/>
        </w:rPr>
        <w:t>tru valori ale GEH mai mici decât 5 î</w:t>
      </w:r>
      <w:r w:rsidR="00556B9F" w:rsidRPr="007B7857">
        <w:rPr>
          <w:rFonts w:ascii="Arial" w:hAnsi="Arial" w:cs="Arial"/>
          <w:kern w:val="1"/>
          <w:lang w:val="ro-RO" w:eastAsia="hi-IN" w:bidi="hi-IN"/>
        </w:rPr>
        <w:t xml:space="preserve">n 85% </w:t>
      </w:r>
      <w:r w:rsidRPr="007B7857">
        <w:rPr>
          <w:rFonts w:ascii="Arial" w:hAnsi="Arial" w:cs="Arial"/>
          <w:kern w:val="1"/>
          <w:lang w:val="ro-RO" w:eastAsia="hi-IN" w:bidi="hi-IN"/>
        </w:rPr>
        <w:t>din cazuri, modelul se validează</w:t>
      </w:r>
      <w:r w:rsidR="00556B9F" w:rsidRPr="007B7857">
        <w:rPr>
          <w:rFonts w:ascii="Arial" w:hAnsi="Arial" w:cs="Arial"/>
          <w:kern w:val="1"/>
          <w:lang w:val="ro-RO" w:eastAsia="hi-IN" w:bidi="hi-IN"/>
        </w:rPr>
        <w:t>.</w:t>
      </w:r>
    </w:p>
    <w:p w14:paraId="19D545CC" w14:textId="77777777" w:rsidR="00556B9F" w:rsidRPr="00556B9F" w:rsidRDefault="00556B9F" w:rsidP="00556B9F">
      <w:pPr>
        <w:widowControl w:val="0"/>
        <w:suppressAutoHyphens/>
        <w:spacing w:after="0" w:line="360" w:lineRule="auto"/>
        <w:jc w:val="both"/>
        <w:rPr>
          <w:rFonts w:ascii="Arial" w:hAnsi="Arial" w:cs="Arial"/>
          <w:kern w:val="1"/>
          <w:sz w:val="24"/>
          <w:szCs w:val="24"/>
          <w:lang w:val="es-ES" w:eastAsia="hi-IN" w:bidi="hi-IN"/>
        </w:rPr>
      </w:pPr>
    </w:p>
    <w:p w14:paraId="25E36CCE" w14:textId="77777777" w:rsidR="00556B9F" w:rsidRPr="006E2128" w:rsidRDefault="007B7857" w:rsidP="006E2128">
      <w:pPr>
        <w:widowControl w:val="0"/>
        <w:suppressAutoHyphens/>
        <w:spacing w:after="0" w:line="276" w:lineRule="auto"/>
        <w:jc w:val="both"/>
        <w:rPr>
          <w:rFonts w:ascii="Arial" w:hAnsi="Arial" w:cs="Arial"/>
          <w:kern w:val="1"/>
          <w:lang w:val="es-ES" w:eastAsia="hi-IN" w:bidi="hi-IN"/>
        </w:rPr>
      </w:pPr>
      <w:r w:rsidRPr="006E2128">
        <w:rPr>
          <w:rFonts w:ascii="Arial" w:hAnsi="Arial" w:cs="Arial"/>
          <w:kern w:val="1"/>
          <w:lang w:val="es-ES" w:eastAsia="hi-IN" w:bidi="hi-IN"/>
        </w:rPr>
        <w:t>În cadrul modelului de trafic fiecare bară din graful rețea va primi caracteristici: lungime, capacitate, costuri de parcurgere etc., care să simuleze cât mai fidel condițiile de circulație pe sectoarele de drum modelate</w:t>
      </w:r>
      <w:r w:rsidR="00556B9F" w:rsidRPr="006E2128">
        <w:rPr>
          <w:rFonts w:ascii="Arial" w:hAnsi="Arial" w:cs="Arial"/>
          <w:kern w:val="1"/>
          <w:lang w:val="es-ES" w:eastAsia="hi-IN" w:bidi="hi-IN"/>
        </w:rPr>
        <w:t>.</w:t>
      </w:r>
    </w:p>
    <w:p w14:paraId="20D1D3D2" w14:textId="77777777" w:rsidR="00556B9F" w:rsidRPr="006E2128" w:rsidRDefault="00556B9F" w:rsidP="006E2128">
      <w:pPr>
        <w:widowControl w:val="0"/>
        <w:suppressAutoHyphens/>
        <w:spacing w:after="0" w:line="276" w:lineRule="auto"/>
        <w:jc w:val="both"/>
        <w:rPr>
          <w:rFonts w:ascii="Arial" w:hAnsi="Arial" w:cs="Arial"/>
          <w:kern w:val="1"/>
          <w:lang w:val="es-ES" w:eastAsia="hi-IN" w:bidi="hi-IN"/>
        </w:rPr>
      </w:pPr>
    </w:p>
    <w:p w14:paraId="2CB7EB3B" w14:textId="77777777" w:rsidR="00063DCF" w:rsidRPr="00063DCF" w:rsidRDefault="00063DCF" w:rsidP="00063DCF">
      <w:pPr>
        <w:widowControl w:val="0"/>
        <w:suppressAutoHyphens/>
        <w:spacing w:after="0" w:line="276" w:lineRule="auto"/>
        <w:jc w:val="both"/>
        <w:rPr>
          <w:rFonts w:ascii="Arial" w:hAnsi="Arial" w:cs="Arial"/>
          <w:kern w:val="1"/>
          <w:lang w:val="es-ES" w:eastAsia="hi-IN" w:bidi="hi-IN"/>
        </w:rPr>
      </w:pPr>
      <w:r w:rsidRPr="00063DCF">
        <w:rPr>
          <w:rFonts w:ascii="Arial" w:hAnsi="Arial" w:cs="Arial"/>
          <w:kern w:val="1"/>
          <w:lang w:val="es-ES" w:eastAsia="hi-IN" w:bidi="hi-IN"/>
        </w:rPr>
        <w:t>După cum am precizat mai sus, calibrarea matricilor OD s-a realizat pentru următoarele segmente de cerere:</w:t>
      </w:r>
    </w:p>
    <w:p w14:paraId="26C800A7" w14:textId="77777777" w:rsidR="00063DCF" w:rsidRPr="00063DCF" w:rsidRDefault="00063DCF" w:rsidP="00063DCF">
      <w:pPr>
        <w:suppressAutoHyphens/>
        <w:spacing w:after="0" w:line="276" w:lineRule="auto"/>
        <w:ind w:left="2127" w:hanging="1418"/>
        <w:jc w:val="both"/>
        <w:rPr>
          <w:rFonts w:ascii="Arial" w:eastAsia="Times New Roman" w:hAnsi="Arial" w:cs="Arial"/>
          <w:lang w:val="x-none" w:eastAsia="zh-CN"/>
        </w:rPr>
      </w:pPr>
      <w:r w:rsidRPr="00063DCF">
        <w:rPr>
          <w:rFonts w:ascii="Arial" w:eastAsia="Times New Roman" w:hAnsi="Arial" w:cs="Arial"/>
          <w:lang w:val="x-none" w:eastAsia="zh-CN"/>
        </w:rPr>
        <w:t>CAR</w:t>
      </w:r>
      <w:r w:rsidRPr="00063DCF">
        <w:rPr>
          <w:rFonts w:ascii="Arial" w:eastAsia="Times New Roman" w:hAnsi="Arial" w:cs="Arial"/>
          <w:lang w:eastAsia="zh-CN"/>
        </w:rPr>
        <w:t xml:space="preserve"> si </w:t>
      </w:r>
      <w:r w:rsidRPr="00063DCF">
        <w:rPr>
          <w:rFonts w:ascii="Arial" w:eastAsia="Times New Roman" w:hAnsi="Arial" w:cs="Arial"/>
          <w:lang w:val="x-none" w:eastAsia="zh-CN"/>
        </w:rPr>
        <w:t>LGV</w:t>
      </w:r>
      <w:r w:rsidRPr="00063DCF">
        <w:rPr>
          <w:rFonts w:ascii="Arial" w:eastAsia="Times New Roman" w:hAnsi="Arial" w:cs="Arial"/>
          <w:lang w:val="x-none" w:eastAsia="zh-CN"/>
        </w:rPr>
        <w:tab/>
        <w:t>- Autoturisme</w:t>
      </w:r>
      <w:r w:rsidRPr="00063DCF">
        <w:rPr>
          <w:rFonts w:ascii="Arial" w:eastAsia="Times New Roman" w:hAnsi="Arial" w:cs="Arial"/>
          <w:lang w:eastAsia="zh-CN"/>
        </w:rPr>
        <w:t xml:space="preserve"> și </w:t>
      </w:r>
      <w:r w:rsidRPr="00063DCF">
        <w:rPr>
          <w:rFonts w:ascii="Arial" w:eastAsia="Times New Roman" w:hAnsi="Arial" w:cs="Arial"/>
          <w:lang w:val="x-none" w:eastAsia="zh-CN"/>
        </w:rPr>
        <w:t>Autovehicule usoare – transport marfa (Autocamioane si autospeciale cu MTMA &lt;= 3.5t)</w:t>
      </w:r>
    </w:p>
    <w:p w14:paraId="61CDCA10" w14:textId="77777777" w:rsidR="00063DCF" w:rsidRPr="00063DCF" w:rsidRDefault="00063DCF" w:rsidP="00063DCF">
      <w:pPr>
        <w:suppressAutoHyphens/>
        <w:spacing w:after="0" w:line="276" w:lineRule="auto"/>
        <w:ind w:left="2127" w:hanging="1418"/>
        <w:jc w:val="both"/>
        <w:rPr>
          <w:rFonts w:ascii="Arial" w:eastAsia="Times New Roman" w:hAnsi="Arial" w:cs="Arial"/>
          <w:lang w:val="x-none" w:eastAsia="zh-CN"/>
        </w:rPr>
      </w:pPr>
      <w:r w:rsidRPr="00063DCF">
        <w:rPr>
          <w:rFonts w:ascii="Arial" w:eastAsia="Times New Roman" w:hAnsi="Arial" w:cs="Arial"/>
          <w:lang w:eastAsia="zh-CN"/>
        </w:rPr>
        <w:t>BIKE</w:t>
      </w:r>
      <w:r w:rsidRPr="00063DCF">
        <w:rPr>
          <w:rFonts w:ascii="Arial" w:eastAsia="Times New Roman" w:hAnsi="Arial" w:cs="Arial"/>
          <w:lang w:eastAsia="zh-CN"/>
        </w:rPr>
        <w:tab/>
        <w:t>- Deplasare cu bicicleta</w:t>
      </w:r>
    </w:p>
    <w:p w14:paraId="2ECDC3A2" w14:textId="77777777" w:rsidR="00063DCF" w:rsidRPr="00063DCF" w:rsidRDefault="00063DCF" w:rsidP="00063DCF">
      <w:pPr>
        <w:suppressAutoHyphens/>
        <w:spacing w:after="0" w:line="276" w:lineRule="auto"/>
        <w:ind w:left="2127" w:hanging="1418"/>
        <w:jc w:val="both"/>
        <w:rPr>
          <w:rFonts w:ascii="Arial" w:eastAsia="Times New Roman" w:hAnsi="Arial" w:cs="Arial"/>
          <w:lang w:val="x-none" w:eastAsia="zh-CN"/>
        </w:rPr>
      </w:pPr>
      <w:r w:rsidRPr="00063DCF">
        <w:rPr>
          <w:rFonts w:ascii="Arial" w:eastAsia="Times New Roman" w:hAnsi="Arial" w:cs="Arial"/>
          <w:lang w:val="x-none" w:eastAsia="zh-CN"/>
        </w:rPr>
        <w:t>HGV</w:t>
      </w:r>
      <w:r w:rsidRPr="00063DCF">
        <w:rPr>
          <w:rFonts w:ascii="Arial" w:eastAsia="Times New Roman" w:hAnsi="Arial" w:cs="Arial"/>
          <w:lang w:val="x-none" w:eastAsia="zh-CN"/>
        </w:rPr>
        <w:tab/>
        <w:t xml:space="preserve">- Autovehicule grele – transport marfa (tip TIR, remorchere cu trailer, vehicule cu 2,3 </w:t>
      </w:r>
      <w:r>
        <w:rPr>
          <w:rFonts w:ascii="Arial" w:eastAsia="Times New Roman" w:hAnsi="Arial" w:cs="Arial"/>
          <w:lang w:val="ro-RO" w:eastAsia="zh-CN"/>
        </w:rPr>
        <w:t>ș</w:t>
      </w:r>
      <w:r w:rsidRPr="00063DCF">
        <w:rPr>
          <w:rFonts w:ascii="Arial" w:eastAsia="Times New Roman" w:hAnsi="Arial" w:cs="Arial"/>
          <w:lang w:val="x-none" w:eastAsia="zh-CN"/>
        </w:rPr>
        <w:t>i 4 osii);</w:t>
      </w:r>
    </w:p>
    <w:p w14:paraId="26D6EABB" w14:textId="77777777" w:rsidR="00063DCF" w:rsidRPr="00063DCF" w:rsidRDefault="00063DCF" w:rsidP="00063DCF">
      <w:pPr>
        <w:suppressAutoHyphens/>
        <w:spacing w:after="0" w:line="276" w:lineRule="auto"/>
        <w:ind w:left="2127" w:hanging="1418"/>
        <w:jc w:val="both"/>
        <w:rPr>
          <w:rFonts w:ascii="Arial" w:eastAsia="Times New Roman" w:hAnsi="Arial" w:cs="Arial"/>
          <w:lang w:eastAsia="zh-CN"/>
        </w:rPr>
      </w:pPr>
      <w:r w:rsidRPr="00063DCF">
        <w:rPr>
          <w:rFonts w:ascii="Arial" w:eastAsia="Times New Roman" w:hAnsi="Arial" w:cs="Arial"/>
          <w:lang w:val="x-none" w:eastAsia="zh-CN"/>
        </w:rPr>
        <w:t>BUS</w:t>
      </w:r>
      <w:r w:rsidRPr="00063DCF">
        <w:rPr>
          <w:rFonts w:ascii="Arial" w:eastAsia="Times New Roman" w:hAnsi="Arial" w:cs="Arial"/>
          <w:lang w:val="x-none" w:eastAsia="zh-CN"/>
        </w:rPr>
        <w:tab/>
        <w:t>- Autobuze</w:t>
      </w:r>
      <w:r w:rsidRPr="00063DCF">
        <w:rPr>
          <w:rFonts w:ascii="Arial" w:eastAsia="Times New Roman" w:hAnsi="Arial" w:cs="Arial"/>
          <w:lang w:eastAsia="zh-CN"/>
        </w:rPr>
        <w:t xml:space="preserve"> / transport ȋn comun</w:t>
      </w:r>
    </w:p>
    <w:p w14:paraId="1DF7C959" w14:textId="77777777" w:rsidR="00063DCF" w:rsidRPr="00063DCF" w:rsidRDefault="00063DCF" w:rsidP="00063DCF">
      <w:pPr>
        <w:suppressAutoHyphens/>
        <w:spacing w:after="0" w:line="276" w:lineRule="auto"/>
        <w:ind w:left="2127" w:hanging="1418"/>
        <w:jc w:val="both"/>
        <w:rPr>
          <w:rFonts w:ascii="Arial" w:eastAsia="Times New Roman" w:hAnsi="Arial" w:cs="Arial"/>
          <w:lang w:eastAsia="zh-CN"/>
        </w:rPr>
      </w:pPr>
      <w:r w:rsidRPr="00063DCF">
        <w:rPr>
          <w:rFonts w:ascii="Arial" w:eastAsia="Times New Roman" w:hAnsi="Arial" w:cs="Arial"/>
          <w:lang w:eastAsia="zh-CN"/>
        </w:rPr>
        <w:t>WALK</w:t>
      </w:r>
      <w:r w:rsidRPr="00063DCF">
        <w:rPr>
          <w:rFonts w:ascii="Arial" w:eastAsia="Times New Roman" w:hAnsi="Arial" w:cs="Arial"/>
          <w:lang w:eastAsia="zh-CN"/>
        </w:rPr>
        <w:tab/>
        <w:t>- Pietonal</w:t>
      </w:r>
    </w:p>
    <w:p w14:paraId="423326FB" w14:textId="77777777" w:rsidR="00556B9F" w:rsidRPr="00063DCF" w:rsidRDefault="006E2128" w:rsidP="00556B9F">
      <w:pPr>
        <w:widowControl w:val="0"/>
        <w:suppressAutoHyphens/>
        <w:spacing w:after="0" w:line="360" w:lineRule="auto"/>
        <w:rPr>
          <w:rFonts w:ascii="Arial" w:hAnsi="Arial" w:cs="Mangal"/>
          <w:kern w:val="1"/>
          <w:lang w:val="es-ES" w:eastAsia="hi-IN" w:bidi="hi-IN"/>
        </w:rPr>
      </w:pPr>
      <w:r w:rsidRPr="00063DCF">
        <w:rPr>
          <w:rFonts w:ascii="Arial" w:hAnsi="Arial" w:cs="Mangal"/>
          <w:kern w:val="1"/>
          <w:lang w:val="es-ES" w:eastAsia="hi-IN" w:bidi="hi-IN"/>
        </w:rPr>
        <w:lastRenderedPageBreak/>
        <w:t>Puncte de mă</w:t>
      </w:r>
      <w:r w:rsidR="00556B9F" w:rsidRPr="00063DCF">
        <w:rPr>
          <w:rFonts w:ascii="Arial" w:hAnsi="Arial" w:cs="Mangal"/>
          <w:kern w:val="1"/>
          <w:lang w:val="es-ES" w:eastAsia="hi-IN" w:bidi="hi-IN"/>
        </w:rPr>
        <w:t>surare a traficului considerate pentru cali</w:t>
      </w:r>
      <w:r w:rsidRPr="00063DCF">
        <w:rPr>
          <w:rFonts w:ascii="Arial" w:hAnsi="Arial" w:cs="Mangal"/>
          <w:kern w:val="1"/>
          <w:lang w:val="es-ES" w:eastAsia="hi-IN" w:bidi="hi-IN"/>
        </w:rPr>
        <w:t>brarea matricilor OD detaliate ş</w:t>
      </w:r>
      <w:r w:rsidR="00556B9F" w:rsidRPr="00063DCF">
        <w:rPr>
          <w:rFonts w:ascii="Arial" w:hAnsi="Arial" w:cs="Mangal"/>
          <w:kern w:val="1"/>
          <w:lang w:val="es-ES" w:eastAsia="hi-IN" w:bidi="hi-IN"/>
        </w:rPr>
        <w:t>i validarea Modelului de Transport, pentru Anul de Baz</w:t>
      </w:r>
      <w:r w:rsidRPr="00063DCF">
        <w:rPr>
          <w:rFonts w:ascii="Arial" w:hAnsi="Arial" w:cs="Mangal"/>
          <w:kern w:val="1"/>
          <w:lang w:val="es-ES" w:eastAsia="hi-IN" w:bidi="hi-IN"/>
        </w:rPr>
        <w:t>ă</w:t>
      </w:r>
      <w:r w:rsidR="00556B9F" w:rsidRPr="00063DCF">
        <w:rPr>
          <w:rFonts w:ascii="Arial" w:hAnsi="Arial" w:cs="Mangal"/>
          <w:kern w:val="1"/>
          <w:lang w:val="es-ES" w:eastAsia="hi-IN" w:bidi="hi-IN"/>
        </w:rPr>
        <w:t xml:space="preserve"> 202</w:t>
      </w:r>
      <w:r w:rsidR="00501A22">
        <w:rPr>
          <w:rFonts w:ascii="Arial" w:hAnsi="Arial" w:cs="Mangal"/>
          <w:kern w:val="1"/>
          <w:lang w:val="es-ES" w:eastAsia="hi-IN" w:bidi="hi-IN"/>
        </w:rPr>
        <w:t>1</w:t>
      </w:r>
      <w:r w:rsidR="00556B9F" w:rsidRPr="00063DCF">
        <w:rPr>
          <w:rFonts w:ascii="Arial" w:hAnsi="Arial" w:cs="Mangal"/>
          <w:kern w:val="1"/>
          <w:lang w:val="es-ES" w:eastAsia="hi-IN" w:bidi="hi-IN"/>
        </w:rPr>
        <w:t>:</w:t>
      </w:r>
    </w:p>
    <w:p w14:paraId="3F6B325E" w14:textId="77777777" w:rsidR="00556B9F" w:rsidRPr="006E2128" w:rsidRDefault="00501A22" w:rsidP="00556B9F">
      <w:pPr>
        <w:widowControl w:val="0"/>
        <w:suppressAutoHyphens/>
        <w:spacing w:after="0" w:line="240" w:lineRule="auto"/>
        <w:rPr>
          <w:rFonts w:ascii="Arial" w:hAnsi="Arial" w:cs="Mangal"/>
          <w:kern w:val="1"/>
          <w:highlight w:val="yellow"/>
          <w:lang w:val="es-ES" w:eastAsia="hi-IN" w:bidi="hi-IN"/>
        </w:rPr>
      </w:pPr>
      <w:r w:rsidRPr="005B6E1D">
        <w:rPr>
          <w:rFonts w:ascii="Arial" w:eastAsia="Calibri" w:hAnsi="Arial" w:cs="Arial"/>
          <w:noProof/>
          <w:sz w:val="24"/>
          <w:szCs w:val="24"/>
        </w:rPr>
        <w:drawing>
          <wp:inline distT="0" distB="0" distL="0" distR="0" wp14:anchorId="3779BBDD" wp14:editId="5428E793">
            <wp:extent cx="6129655" cy="3475570"/>
            <wp:effectExtent l="0" t="0" r="4445" b="0"/>
            <wp:docPr id="178" name="Picture 178" descr="E:\Horezu\Materiale lucru\Recensami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E:\Horezu\Materiale lucru\Recensaminte.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9655" cy="3475570"/>
                    </a:xfrm>
                    <a:prstGeom prst="rect">
                      <a:avLst/>
                    </a:prstGeom>
                    <a:noFill/>
                    <a:ln>
                      <a:noFill/>
                    </a:ln>
                  </pic:spPr>
                </pic:pic>
              </a:graphicData>
            </a:graphic>
          </wp:inline>
        </w:drawing>
      </w:r>
    </w:p>
    <w:p w14:paraId="0E78090F" w14:textId="77777777" w:rsidR="00556B9F" w:rsidRPr="00556B9F" w:rsidRDefault="00556B9F" w:rsidP="00556B9F">
      <w:pPr>
        <w:widowControl w:val="0"/>
        <w:suppressAutoHyphens/>
        <w:spacing w:after="0" w:line="240" w:lineRule="auto"/>
        <w:rPr>
          <w:rFonts w:ascii="Arial" w:hAnsi="Arial" w:cs="Mangal"/>
          <w:noProof/>
          <w:kern w:val="1"/>
          <w:sz w:val="20"/>
          <w:szCs w:val="24"/>
          <w:lang w:val="ro-RO" w:eastAsia="hi-IN" w:bidi="hi-IN"/>
        </w:rPr>
      </w:pPr>
    </w:p>
    <w:p w14:paraId="2E002DD0" w14:textId="7B4469A3" w:rsidR="00556B9F" w:rsidRPr="00063DCF" w:rsidRDefault="006D4DC5" w:rsidP="00063DCF">
      <w:pPr>
        <w:pStyle w:val="Legend"/>
        <w:jc w:val="center"/>
        <w:rPr>
          <w:rFonts w:ascii="Arial" w:hAnsi="Arial" w:cs="Arial"/>
          <w:i w:val="0"/>
          <w:iCs w:val="0"/>
          <w:kern w:val="1"/>
          <w:sz w:val="22"/>
          <w:szCs w:val="22"/>
          <w:lang w:val="es-ES" w:eastAsia="hi-IN" w:bidi="hi-IN"/>
        </w:rPr>
      </w:pPr>
      <w:bookmarkStart w:id="251" w:name="_Toc68361185"/>
      <w:bookmarkStart w:id="252" w:name="_Toc140744510"/>
      <w:r w:rsidRPr="0001072E">
        <w:rPr>
          <w:rFonts w:ascii="Arial" w:hAnsi="Arial" w:cs="Arial"/>
          <w:sz w:val="22"/>
          <w:szCs w:val="22"/>
        </w:rPr>
        <w:t>Figura I.3.</w:t>
      </w:r>
      <w:r w:rsidR="00063DCF" w:rsidRPr="0001072E">
        <w:rPr>
          <w:rFonts w:ascii="Arial" w:hAnsi="Arial" w:cs="Arial"/>
          <w:sz w:val="22"/>
          <w:szCs w:val="22"/>
        </w:rPr>
        <w:t xml:space="preserve">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33</w:t>
      </w:r>
      <w:r w:rsidRPr="0001072E">
        <w:rPr>
          <w:rFonts w:ascii="Arial" w:hAnsi="Arial" w:cs="Arial"/>
          <w:sz w:val="22"/>
          <w:szCs w:val="22"/>
        </w:rPr>
        <w:fldChar w:fldCharType="end"/>
      </w:r>
      <w:r w:rsidR="00063DCF" w:rsidRPr="0001072E">
        <w:rPr>
          <w:rFonts w:ascii="Arial" w:hAnsi="Arial" w:cs="Arial"/>
          <w:sz w:val="22"/>
          <w:szCs w:val="22"/>
        </w:rPr>
        <w:t xml:space="preserve"> - </w:t>
      </w:r>
      <w:r w:rsidR="00063DCF" w:rsidRPr="0001072E">
        <w:rPr>
          <w:rFonts w:ascii="Arial" w:hAnsi="Arial" w:cs="Arial"/>
          <w:i w:val="0"/>
          <w:iCs w:val="0"/>
          <w:sz w:val="22"/>
          <w:szCs w:val="22"/>
        </w:rPr>
        <w:t>Amplasarea punctelor de recenzare a traficului</w:t>
      </w:r>
      <w:bookmarkEnd w:id="251"/>
      <w:bookmarkEnd w:id="252"/>
    </w:p>
    <w:p w14:paraId="57EA423A" w14:textId="77777777" w:rsidR="00556B9F" w:rsidRPr="006E2128" w:rsidRDefault="00556B9F" w:rsidP="006E2128">
      <w:pPr>
        <w:widowControl w:val="0"/>
        <w:suppressAutoHyphens/>
        <w:spacing w:after="0" w:line="276" w:lineRule="auto"/>
        <w:rPr>
          <w:rFonts w:ascii="Arial" w:hAnsi="Arial" w:cs="Mangal"/>
          <w:kern w:val="1"/>
          <w:lang w:val="es-ES" w:eastAsia="hi-IN" w:bidi="hi-IN"/>
        </w:rPr>
      </w:pPr>
    </w:p>
    <w:p w14:paraId="50FB97B7" w14:textId="77777777" w:rsidR="00556B9F" w:rsidRPr="006E2128" w:rsidRDefault="006E2128" w:rsidP="006E2128">
      <w:pPr>
        <w:widowControl w:val="0"/>
        <w:suppressAutoHyphens/>
        <w:spacing w:after="0" w:line="276" w:lineRule="auto"/>
        <w:jc w:val="both"/>
        <w:rPr>
          <w:rFonts w:ascii="Arial" w:hAnsi="Arial" w:cs="Arial"/>
          <w:kern w:val="1"/>
          <w:lang w:val="es-ES" w:eastAsia="hi-IN" w:bidi="hi-IN"/>
        </w:rPr>
      </w:pPr>
      <w:r w:rsidRPr="006E2128">
        <w:rPr>
          <w:rFonts w:ascii="Arial" w:hAnsi="Arial" w:cs="Arial"/>
          <w:kern w:val="1"/>
          <w:lang w:val="es-ES" w:eastAsia="hi-IN" w:bidi="hi-IN"/>
        </w:rPr>
        <w:t>În tabelele de mai jos sunt prezentate volumele de trafic folosite pentru calibrarea și validarea modelului, pe baza recensămintelor de circulație (AN 202</w:t>
      </w:r>
      <w:r w:rsidR="00501A22">
        <w:rPr>
          <w:rFonts w:ascii="Arial" w:hAnsi="Arial" w:cs="Arial"/>
          <w:kern w:val="1"/>
          <w:lang w:val="es-ES" w:eastAsia="hi-IN" w:bidi="hi-IN"/>
        </w:rPr>
        <w:t>1</w:t>
      </w:r>
      <w:r w:rsidRPr="006E2128">
        <w:rPr>
          <w:rFonts w:ascii="Arial" w:hAnsi="Arial" w:cs="Arial"/>
          <w:kern w:val="1"/>
          <w:lang w:val="es-ES" w:eastAsia="hi-IN" w:bidi="hi-IN"/>
        </w:rPr>
        <w:t xml:space="preserve">) efectuate de </w:t>
      </w:r>
      <w:r w:rsidR="00AA5711">
        <w:rPr>
          <w:rFonts w:ascii="Arial" w:hAnsi="Arial" w:cs="Arial"/>
          <w:kern w:val="1"/>
          <w:lang w:val="es-ES" w:eastAsia="hi-IN" w:bidi="hi-IN"/>
        </w:rPr>
        <w:t>elaborator</w:t>
      </w:r>
      <w:r w:rsidR="00556B9F" w:rsidRPr="006E2128">
        <w:rPr>
          <w:rFonts w:ascii="Arial" w:hAnsi="Arial" w:cs="Arial"/>
          <w:kern w:val="1"/>
          <w:lang w:val="es-ES" w:eastAsia="hi-IN" w:bidi="hi-IN"/>
        </w:rPr>
        <w:t>:</w:t>
      </w:r>
    </w:p>
    <w:p w14:paraId="5EF82FDB" w14:textId="77777777" w:rsidR="00556B9F" w:rsidRPr="00556B9F" w:rsidRDefault="00556B9F" w:rsidP="00556B9F">
      <w:pPr>
        <w:widowControl w:val="0"/>
        <w:suppressAutoHyphens/>
        <w:spacing w:after="0" w:line="240" w:lineRule="auto"/>
        <w:rPr>
          <w:rFonts w:ascii="Arial" w:hAnsi="Arial" w:cs="Mangal"/>
          <w:b/>
          <w:kern w:val="1"/>
          <w:sz w:val="24"/>
          <w:szCs w:val="24"/>
          <w:lang w:val="es-ES" w:eastAsia="hi-IN" w:bidi="hi-IN"/>
        </w:rPr>
      </w:pPr>
    </w:p>
    <w:p w14:paraId="7250BF5E" w14:textId="77777777" w:rsidR="00063DCF" w:rsidRDefault="00063DCF" w:rsidP="00556B9F">
      <w:pPr>
        <w:widowControl w:val="0"/>
        <w:suppressAutoHyphens/>
        <w:spacing w:after="0" w:line="240" w:lineRule="auto"/>
        <w:rPr>
          <w:rFonts w:ascii="Arial" w:hAnsi="Arial" w:cs="Mangal"/>
          <w:b/>
          <w:kern w:val="1"/>
          <w:sz w:val="24"/>
          <w:szCs w:val="24"/>
          <w:lang w:val="es-ES" w:eastAsia="hi-IN" w:bidi="hi-IN"/>
        </w:rPr>
      </w:pPr>
    </w:p>
    <w:p w14:paraId="1ECA7F0C" w14:textId="01696B6B" w:rsidR="00501A22" w:rsidRPr="005B6E1D" w:rsidRDefault="00501A22" w:rsidP="00501A22">
      <w:pPr>
        <w:pStyle w:val="Legend"/>
        <w:jc w:val="center"/>
        <w:rPr>
          <w:rFonts w:ascii="Arial" w:hAnsi="Arial" w:cs="Arial"/>
          <w:i w:val="0"/>
          <w:kern w:val="1"/>
          <w:sz w:val="22"/>
          <w:szCs w:val="22"/>
          <w:lang w:val="ro-RO" w:eastAsia="hi-IN" w:bidi="hi-IN"/>
        </w:rPr>
      </w:pPr>
      <w:bookmarkStart w:id="253" w:name="_Toc68361228"/>
      <w:r w:rsidRPr="0001072E">
        <w:rPr>
          <w:rFonts w:ascii="Arial" w:hAnsi="Arial" w:cs="Arial"/>
          <w:sz w:val="22"/>
          <w:szCs w:val="22"/>
          <w:lang w:val="ro-RO"/>
        </w:rPr>
        <w:t xml:space="preserve">Tab. I.3. </w:t>
      </w:r>
      <w:r w:rsidRPr="0001072E">
        <w:rPr>
          <w:rFonts w:ascii="Arial" w:hAnsi="Arial" w:cs="Arial"/>
          <w:sz w:val="22"/>
          <w:szCs w:val="22"/>
          <w:lang w:val="ro-RO"/>
        </w:rPr>
        <w:fldChar w:fldCharType="begin"/>
      </w:r>
      <w:r w:rsidRPr="0001072E">
        <w:rPr>
          <w:rFonts w:ascii="Arial" w:hAnsi="Arial" w:cs="Arial"/>
          <w:sz w:val="22"/>
          <w:szCs w:val="22"/>
          <w:lang w:val="ro-RO"/>
        </w:rPr>
        <w:instrText xml:space="preserve"> SEQ Tab._I.3. \* ARABIC </w:instrText>
      </w:r>
      <w:r w:rsidRPr="0001072E">
        <w:rPr>
          <w:rFonts w:ascii="Arial" w:hAnsi="Arial" w:cs="Arial"/>
          <w:sz w:val="22"/>
          <w:szCs w:val="22"/>
          <w:lang w:val="ro-RO"/>
        </w:rPr>
        <w:fldChar w:fldCharType="separate"/>
      </w:r>
      <w:r w:rsidR="00BB181C">
        <w:rPr>
          <w:rFonts w:ascii="Arial" w:hAnsi="Arial" w:cs="Arial"/>
          <w:noProof/>
          <w:sz w:val="22"/>
          <w:szCs w:val="22"/>
          <w:lang w:val="ro-RO"/>
        </w:rPr>
        <w:t>1</w:t>
      </w:r>
      <w:r w:rsidRPr="0001072E">
        <w:rPr>
          <w:rFonts w:ascii="Arial" w:hAnsi="Arial" w:cs="Arial"/>
          <w:sz w:val="22"/>
          <w:szCs w:val="22"/>
          <w:lang w:val="ro-RO"/>
        </w:rPr>
        <w:fldChar w:fldCharType="end"/>
      </w:r>
      <w:r w:rsidRPr="0001072E">
        <w:rPr>
          <w:rFonts w:ascii="Arial" w:hAnsi="Arial" w:cs="Arial"/>
          <w:sz w:val="22"/>
          <w:szCs w:val="22"/>
          <w:lang w:val="ro-RO"/>
        </w:rPr>
        <w:t xml:space="preserve"> - </w:t>
      </w:r>
      <w:r w:rsidRPr="0001072E">
        <w:rPr>
          <w:rFonts w:ascii="Arial" w:hAnsi="Arial" w:cs="Arial"/>
          <w:i w:val="0"/>
          <w:kern w:val="1"/>
          <w:sz w:val="22"/>
          <w:szCs w:val="22"/>
          <w:lang w:val="ro-RO" w:eastAsia="hi-IN" w:bidi="hi-IN"/>
        </w:rPr>
        <w:t>Recensăminte de trafic la nivel MZA – An 2021</w:t>
      </w:r>
      <w:bookmarkEnd w:id="253"/>
    </w:p>
    <w:tbl>
      <w:tblPr>
        <w:tblW w:w="9450" w:type="dxa"/>
        <w:tblLook w:val="04A0" w:firstRow="1" w:lastRow="0" w:firstColumn="1" w:lastColumn="0" w:noHBand="0" w:noVBand="1"/>
      </w:tblPr>
      <w:tblGrid>
        <w:gridCol w:w="960"/>
        <w:gridCol w:w="4138"/>
        <w:gridCol w:w="1310"/>
        <w:gridCol w:w="960"/>
        <w:gridCol w:w="1046"/>
        <w:gridCol w:w="1036"/>
      </w:tblGrid>
      <w:tr w:rsidR="00501A22" w:rsidRPr="005B6E1D" w14:paraId="36BDDDF8" w14:textId="77777777" w:rsidTr="00501A22">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8B99D" w14:textId="77777777" w:rsidR="00501A22" w:rsidRPr="005B6E1D" w:rsidRDefault="00501A22" w:rsidP="00501A22">
            <w:pPr>
              <w:spacing w:after="0" w:line="240" w:lineRule="auto"/>
              <w:jc w:val="center"/>
              <w:rPr>
                <w:rFonts w:ascii="Calibri" w:eastAsia="Times New Roman" w:hAnsi="Calibri" w:cs="Calibri"/>
                <w:b/>
                <w:bCs/>
                <w:color w:val="000000"/>
                <w:lang w:val="ro-RO" w:eastAsia="ro-RO"/>
              </w:rPr>
            </w:pPr>
            <w:r w:rsidRPr="005B6E1D">
              <w:rPr>
                <w:rFonts w:ascii="Calibri" w:eastAsia="Times New Roman" w:hAnsi="Calibri" w:cs="Calibri"/>
                <w:b/>
                <w:bCs/>
                <w:color w:val="000000"/>
                <w:lang w:val="ro-RO" w:eastAsia="ro-RO"/>
              </w:rPr>
              <w:t>Nr. Crt.</w:t>
            </w:r>
          </w:p>
        </w:tc>
        <w:tc>
          <w:tcPr>
            <w:tcW w:w="4138" w:type="dxa"/>
            <w:tcBorders>
              <w:top w:val="single" w:sz="4" w:space="0" w:color="auto"/>
              <w:left w:val="nil"/>
              <w:bottom w:val="single" w:sz="4" w:space="0" w:color="auto"/>
              <w:right w:val="single" w:sz="4" w:space="0" w:color="auto"/>
            </w:tcBorders>
            <w:shd w:val="clear" w:color="auto" w:fill="auto"/>
            <w:noWrap/>
            <w:vAlign w:val="bottom"/>
            <w:hideMark/>
          </w:tcPr>
          <w:p w14:paraId="0775961A" w14:textId="77777777" w:rsidR="00501A22" w:rsidRPr="005B6E1D" w:rsidRDefault="00501A22" w:rsidP="00501A22">
            <w:pPr>
              <w:spacing w:after="0" w:line="240" w:lineRule="auto"/>
              <w:jc w:val="center"/>
              <w:rPr>
                <w:rFonts w:ascii="Calibri" w:eastAsia="Times New Roman" w:hAnsi="Calibri" w:cs="Calibri"/>
                <w:b/>
                <w:bCs/>
                <w:color w:val="000000"/>
                <w:lang w:val="ro-RO" w:eastAsia="ro-RO"/>
              </w:rPr>
            </w:pPr>
            <w:r w:rsidRPr="005B6E1D">
              <w:rPr>
                <w:rFonts w:ascii="Calibri" w:eastAsia="Times New Roman" w:hAnsi="Calibri" w:cs="Calibri"/>
                <w:b/>
                <w:bCs/>
                <w:color w:val="000000"/>
                <w:lang w:val="ro-RO" w:eastAsia="ro-RO"/>
              </w:rPr>
              <w:t>Intersecție</w:t>
            </w:r>
          </w:p>
        </w:tc>
        <w:tc>
          <w:tcPr>
            <w:tcW w:w="1310" w:type="dxa"/>
            <w:tcBorders>
              <w:top w:val="single" w:sz="4" w:space="0" w:color="auto"/>
              <w:left w:val="nil"/>
              <w:bottom w:val="single" w:sz="4" w:space="0" w:color="auto"/>
              <w:right w:val="single" w:sz="4" w:space="0" w:color="auto"/>
            </w:tcBorders>
            <w:shd w:val="clear" w:color="auto" w:fill="auto"/>
            <w:noWrap/>
            <w:vAlign w:val="bottom"/>
            <w:hideMark/>
          </w:tcPr>
          <w:p w14:paraId="450C23A9" w14:textId="77777777" w:rsidR="00501A22" w:rsidRPr="005B6E1D" w:rsidRDefault="00501A22" w:rsidP="00501A22">
            <w:pPr>
              <w:spacing w:after="0" w:line="240" w:lineRule="auto"/>
              <w:jc w:val="center"/>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MZA BIKE [veh/zi]</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DC0D76B" w14:textId="77777777" w:rsidR="00501A22" w:rsidRPr="005B6E1D" w:rsidRDefault="00501A22" w:rsidP="00501A22">
            <w:pPr>
              <w:spacing w:after="0" w:line="240" w:lineRule="auto"/>
              <w:jc w:val="center"/>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MZA BUS [veh/zi]</w:t>
            </w:r>
          </w:p>
        </w:tc>
        <w:tc>
          <w:tcPr>
            <w:tcW w:w="1046" w:type="dxa"/>
            <w:tcBorders>
              <w:top w:val="single" w:sz="4" w:space="0" w:color="auto"/>
              <w:left w:val="nil"/>
              <w:bottom w:val="single" w:sz="4" w:space="0" w:color="auto"/>
              <w:right w:val="single" w:sz="4" w:space="0" w:color="auto"/>
            </w:tcBorders>
            <w:shd w:val="clear" w:color="auto" w:fill="auto"/>
            <w:noWrap/>
            <w:vAlign w:val="bottom"/>
            <w:hideMark/>
          </w:tcPr>
          <w:p w14:paraId="6A151995" w14:textId="77777777" w:rsidR="00501A22" w:rsidRPr="005B6E1D" w:rsidRDefault="00501A22" w:rsidP="00501A22">
            <w:pPr>
              <w:spacing w:after="0" w:line="240" w:lineRule="auto"/>
              <w:jc w:val="center"/>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MZA CAR_LGV [veh/zi]</w:t>
            </w:r>
          </w:p>
        </w:tc>
        <w:tc>
          <w:tcPr>
            <w:tcW w:w="1036" w:type="dxa"/>
            <w:tcBorders>
              <w:top w:val="single" w:sz="4" w:space="0" w:color="auto"/>
              <w:left w:val="nil"/>
              <w:bottom w:val="single" w:sz="4" w:space="0" w:color="auto"/>
              <w:right w:val="single" w:sz="4" w:space="0" w:color="auto"/>
            </w:tcBorders>
            <w:shd w:val="clear" w:color="auto" w:fill="auto"/>
            <w:noWrap/>
            <w:vAlign w:val="bottom"/>
            <w:hideMark/>
          </w:tcPr>
          <w:p w14:paraId="468350C1" w14:textId="77777777" w:rsidR="00501A22" w:rsidRPr="005B6E1D" w:rsidRDefault="00501A22" w:rsidP="00501A22">
            <w:pPr>
              <w:spacing w:after="0" w:line="240" w:lineRule="auto"/>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MZA HGV [veh/zi]</w:t>
            </w:r>
          </w:p>
        </w:tc>
      </w:tr>
      <w:tr w:rsidR="00501A22" w:rsidRPr="005B6E1D" w14:paraId="5D629D65"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F9557A"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1</w:t>
            </w:r>
          </w:p>
        </w:tc>
        <w:tc>
          <w:tcPr>
            <w:tcW w:w="4138" w:type="dxa"/>
            <w:tcBorders>
              <w:top w:val="nil"/>
              <w:left w:val="nil"/>
              <w:bottom w:val="single" w:sz="4" w:space="0" w:color="auto"/>
              <w:right w:val="single" w:sz="4" w:space="0" w:color="auto"/>
            </w:tcBorders>
            <w:shd w:val="clear" w:color="auto" w:fill="auto"/>
            <w:noWrap/>
            <w:vAlign w:val="bottom"/>
            <w:hideMark/>
          </w:tcPr>
          <w:p w14:paraId="7450EFC0" w14:textId="77777777" w:rsidR="00501A22" w:rsidRPr="005B6E1D" w:rsidRDefault="00501A22" w:rsidP="00501A22">
            <w:pPr>
              <w:spacing w:after="0" w:line="240" w:lineRule="auto"/>
              <w:rPr>
                <w:rFonts w:ascii="Calibri" w:eastAsia="Times New Roman" w:hAnsi="Calibri" w:cs="Calibri"/>
                <w:color w:val="000000"/>
                <w:lang w:val="ro-RO" w:eastAsia="ro-RO"/>
              </w:rPr>
            </w:pPr>
            <w:r w:rsidRPr="00790169">
              <w:t>DN</w:t>
            </w:r>
            <w:r>
              <w:t xml:space="preserve"> 67 dinspre Rm. Valcea</w:t>
            </w:r>
          </w:p>
        </w:tc>
        <w:tc>
          <w:tcPr>
            <w:tcW w:w="1310" w:type="dxa"/>
            <w:tcBorders>
              <w:top w:val="nil"/>
              <w:left w:val="nil"/>
              <w:bottom w:val="single" w:sz="4" w:space="0" w:color="auto"/>
              <w:right w:val="single" w:sz="4" w:space="0" w:color="auto"/>
            </w:tcBorders>
            <w:shd w:val="clear" w:color="auto" w:fill="auto"/>
            <w:noWrap/>
            <w:vAlign w:val="bottom"/>
            <w:hideMark/>
          </w:tcPr>
          <w:p w14:paraId="600A8F0F"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0</w:t>
            </w:r>
          </w:p>
        </w:tc>
        <w:tc>
          <w:tcPr>
            <w:tcW w:w="960" w:type="dxa"/>
            <w:tcBorders>
              <w:top w:val="nil"/>
              <w:left w:val="nil"/>
              <w:bottom w:val="single" w:sz="4" w:space="0" w:color="auto"/>
              <w:right w:val="single" w:sz="4" w:space="0" w:color="auto"/>
            </w:tcBorders>
            <w:shd w:val="clear" w:color="auto" w:fill="auto"/>
            <w:noWrap/>
            <w:vAlign w:val="bottom"/>
            <w:hideMark/>
          </w:tcPr>
          <w:p w14:paraId="101F2B76"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78</w:t>
            </w:r>
          </w:p>
        </w:tc>
        <w:tc>
          <w:tcPr>
            <w:tcW w:w="1046" w:type="dxa"/>
            <w:tcBorders>
              <w:top w:val="nil"/>
              <w:left w:val="nil"/>
              <w:bottom w:val="single" w:sz="4" w:space="0" w:color="auto"/>
              <w:right w:val="single" w:sz="4" w:space="0" w:color="auto"/>
            </w:tcBorders>
            <w:shd w:val="clear" w:color="auto" w:fill="auto"/>
            <w:noWrap/>
            <w:vAlign w:val="bottom"/>
            <w:hideMark/>
          </w:tcPr>
          <w:p w14:paraId="16D30EC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4218</w:t>
            </w:r>
          </w:p>
        </w:tc>
        <w:tc>
          <w:tcPr>
            <w:tcW w:w="1036" w:type="dxa"/>
            <w:tcBorders>
              <w:top w:val="nil"/>
              <w:left w:val="nil"/>
              <w:bottom w:val="single" w:sz="4" w:space="0" w:color="auto"/>
              <w:right w:val="single" w:sz="4" w:space="0" w:color="auto"/>
            </w:tcBorders>
            <w:shd w:val="clear" w:color="auto" w:fill="auto"/>
            <w:noWrap/>
            <w:vAlign w:val="bottom"/>
            <w:hideMark/>
          </w:tcPr>
          <w:p w14:paraId="39E9E77E"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276</w:t>
            </w:r>
          </w:p>
        </w:tc>
      </w:tr>
      <w:tr w:rsidR="00501A22" w:rsidRPr="005B6E1D" w14:paraId="576A35BE"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3D169E"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2</w:t>
            </w:r>
          </w:p>
        </w:tc>
        <w:tc>
          <w:tcPr>
            <w:tcW w:w="4138" w:type="dxa"/>
            <w:tcBorders>
              <w:top w:val="nil"/>
              <w:left w:val="nil"/>
              <w:bottom w:val="single" w:sz="4" w:space="0" w:color="auto"/>
              <w:right w:val="single" w:sz="4" w:space="0" w:color="auto"/>
            </w:tcBorders>
            <w:shd w:val="clear" w:color="auto" w:fill="auto"/>
            <w:noWrap/>
            <w:vAlign w:val="bottom"/>
            <w:hideMark/>
          </w:tcPr>
          <w:p w14:paraId="61996697" w14:textId="77777777" w:rsidR="00501A22" w:rsidRPr="005B6E1D" w:rsidRDefault="00501A22" w:rsidP="00501A22">
            <w:pPr>
              <w:spacing w:after="0" w:line="240" w:lineRule="auto"/>
              <w:rPr>
                <w:rFonts w:ascii="Calibri" w:eastAsia="Times New Roman" w:hAnsi="Calibri" w:cs="Calibri"/>
                <w:color w:val="000000"/>
                <w:lang w:val="ro-RO" w:eastAsia="ro-RO"/>
              </w:rPr>
            </w:pPr>
            <w:r>
              <w:t>DN 67 dinspre Tg. Jiu</w:t>
            </w:r>
          </w:p>
        </w:tc>
        <w:tc>
          <w:tcPr>
            <w:tcW w:w="1310" w:type="dxa"/>
            <w:tcBorders>
              <w:top w:val="nil"/>
              <w:left w:val="nil"/>
              <w:bottom w:val="single" w:sz="4" w:space="0" w:color="auto"/>
              <w:right w:val="single" w:sz="4" w:space="0" w:color="auto"/>
            </w:tcBorders>
            <w:shd w:val="clear" w:color="auto" w:fill="auto"/>
            <w:noWrap/>
            <w:vAlign w:val="bottom"/>
            <w:hideMark/>
          </w:tcPr>
          <w:p w14:paraId="55019BBA"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3</w:t>
            </w:r>
          </w:p>
        </w:tc>
        <w:tc>
          <w:tcPr>
            <w:tcW w:w="960" w:type="dxa"/>
            <w:tcBorders>
              <w:top w:val="nil"/>
              <w:left w:val="nil"/>
              <w:bottom w:val="single" w:sz="4" w:space="0" w:color="auto"/>
              <w:right w:val="single" w:sz="4" w:space="0" w:color="auto"/>
            </w:tcBorders>
            <w:shd w:val="clear" w:color="auto" w:fill="auto"/>
            <w:noWrap/>
            <w:vAlign w:val="bottom"/>
            <w:hideMark/>
          </w:tcPr>
          <w:p w14:paraId="39C0057D"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12</w:t>
            </w:r>
          </w:p>
        </w:tc>
        <w:tc>
          <w:tcPr>
            <w:tcW w:w="1046" w:type="dxa"/>
            <w:tcBorders>
              <w:top w:val="nil"/>
              <w:left w:val="nil"/>
              <w:bottom w:val="single" w:sz="4" w:space="0" w:color="auto"/>
              <w:right w:val="single" w:sz="4" w:space="0" w:color="auto"/>
            </w:tcBorders>
            <w:shd w:val="clear" w:color="auto" w:fill="auto"/>
            <w:noWrap/>
            <w:vAlign w:val="bottom"/>
            <w:hideMark/>
          </w:tcPr>
          <w:p w14:paraId="169F5ADD"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1089</w:t>
            </w:r>
          </w:p>
        </w:tc>
        <w:tc>
          <w:tcPr>
            <w:tcW w:w="1036" w:type="dxa"/>
            <w:tcBorders>
              <w:top w:val="nil"/>
              <w:left w:val="nil"/>
              <w:bottom w:val="single" w:sz="4" w:space="0" w:color="auto"/>
              <w:right w:val="single" w:sz="4" w:space="0" w:color="auto"/>
            </w:tcBorders>
            <w:shd w:val="clear" w:color="auto" w:fill="auto"/>
            <w:noWrap/>
            <w:vAlign w:val="bottom"/>
            <w:hideMark/>
          </w:tcPr>
          <w:p w14:paraId="7A6D8A93"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9</w:t>
            </w:r>
          </w:p>
        </w:tc>
      </w:tr>
      <w:tr w:rsidR="00501A22" w:rsidRPr="005B6E1D" w14:paraId="63FF79B0"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9C9C1B"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3</w:t>
            </w:r>
          </w:p>
        </w:tc>
        <w:tc>
          <w:tcPr>
            <w:tcW w:w="4138" w:type="dxa"/>
            <w:tcBorders>
              <w:top w:val="nil"/>
              <w:left w:val="nil"/>
              <w:bottom w:val="single" w:sz="4" w:space="0" w:color="auto"/>
              <w:right w:val="single" w:sz="4" w:space="0" w:color="auto"/>
            </w:tcBorders>
            <w:shd w:val="clear" w:color="auto" w:fill="auto"/>
            <w:noWrap/>
            <w:vAlign w:val="bottom"/>
            <w:hideMark/>
          </w:tcPr>
          <w:p w14:paraId="331D88BB" w14:textId="77777777" w:rsidR="00501A22" w:rsidRPr="005B6E1D" w:rsidRDefault="00501A22" w:rsidP="00501A22">
            <w:pPr>
              <w:spacing w:after="0" w:line="240" w:lineRule="auto"/>
              <w:rPr>
                <w:rFonts w:ascii="Calibri" w:eastAsia="Times New Roman" w:hAnsi="Calibri" w:cs="Calibri"/>
                <w:color w:val="000000"/>
                <w:lang w:val="ro-RO" w:eastAsia="ro-RO"/>
              </w:rPr>
            </w:pPr>
            <w:r>
              <w:t>DN 65C - Craiova</w:t>
            </w:r>
          </w:p>
        </w:tc>
        <w:tc>
          <w:tcPr>
            <w:tcW w:w="1310" w:type="dxa"/>
            <w:tcBorders>
              <w:top w:val="nil"/>
              <w:left w:val="nil"/>
              <w:bottom w:val="single" w:sz="4" w:space="0" w:color="auto"/>
              <w:right w:val="single" w:sz="4" w:space="0" w:color="auto"/>
            </w:tcBorders>
            <w:shd w:val="clear" w:color="auto" w:fill="auto"/>
            <w:noWrap/>
            <w:vAlign w:val="bottom"/>
            <w:hideMark/>
          </w:tcPr>
          <w:p w14:paraId="0F134E5F"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21</w:t>
            </w:r>
          </w:p>
        </w:tc>
        <w:tc>
          <w:tcPr>
            <w:tcW w:w="960" w:type="dxa"/>
            <w:tcBorders>
              <w:top w:val="nil"/>
              <w:left w:val="nil"/>
              <w:bottom w:val="single" w:sz="4" w:space="0" w:color="auto"/>
              <w:right w:val="single" w:sz="4" w:space="0" w:color="auto"/>
            </w:tcBorders>
            <w:shd w:val="clear" w:color="auto" w:fill="auto"/>
            <w:noWrap/>
            <w:vAlign w:val="bottom"/>
            <w:hideMark/>
          </w:tcPr>
          <w:p w14:paraId="72B23D38"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21</w:t>
            </w:r>
          </w:p>
        </w:tc>
        <w:tc>
          <w:tcPr>
            <w:tcW w:w="1046" w:type="dxa"/>
            <w:tcBorders>
              <w:top w:val="nil"/>
              <w:left w:val="nil"/>
              <w:bottom w:val="single" w:sz="4" w:space="0" w:color="auto"/>
              <w:right w:val="single" w:sz="4" w:space="0" w:color="auto"/>
            </w:tcBorders>
            <w:shd w:val="clear" w:color="auto" w:fill="auto"/>
            <w:noWrap/>
            <w:vAlign w:val="bottom"/>
            <w:hideMark/>
          </w:tcPr>
          <w:p w14:paraId="3AE37BB7"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1038</w:t>
            </w:r>
          </w:p>
        </w:tc>
        <w:tc>
          <w:tcPr>
            <w:tcW w:w="1036" w:type="dxa"/>
            <w:tcBorders>
              <w:top w:val="nil"/>
              <w:left w:val="nil"/>
              <w:bottom w:val="single" w:sz="4" w:space="0" w:color="auto"/>
              <w:right w:val="single" w:sz="4" w:space="0" w:color="auto"/>
            </w:tcBorders>
            <w:shd w:val="clear" w:color="auto" w:fill="auto"/>
            <w:noWrap/>
            <w:vAlign w:val="bottom"/>
            <w:hideMark/>
          </w:tcPr>
          <w:p w14:paraId="440DE463"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54</w:t>
            </w:r>
          </w:p>
        </w:tc>
      </w:tr>
      <w:tr w:rsidR="00501A22" w:rsidRPr="005B6E1D" w14:paraId="374E5EB0"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EC38F7"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4</w:t>
            </w:r>
          </w:p>
        </w:tc>
        <w:tc>
          <w:tcPr>
            <w:tcW w:w="4138" w:type="dxa"/>
            <w:tcBorders>
              <w:top w:val="nil"/>
              <w:left w:val="nil"/>
              <w:bottom w:val="single" w:sz="4" w:space="0" w:color="auto"/>
              <w:right w:val="single" w:sz="4" w:space="0" w:color="auto"/>
            </w:tcBorders>
            <w:shd w:val="clear" w:color="auto" w:fill="auto"/>
            <w:noWrap/>
            <w:vAlign w:val="bottom"/>
            <w:hideMark/>
          </w:tcPr>
          <w:p w14:paraId="33524861" w14:textId="77777777" w:rsidR="00501A22" w:rsidRPr="005B6E1D" w:rsidRDefault="00501A22" w:rsidP="00501A22">
            <w:pPr>
              <w:spacing w:after="0" w:line="240" w:lineRule="auto"/>
              <w:rPr>
                <w:rFonts w:ascii="Calibri" w:eastAsia="Times New Roman" w:hAnsi="Calibri" w:cs="Calibri"/>
                <w:color w:val="000000"/>
                <w:lang w:val="ro-RO" w:eastAsia="ro-RO"/>
              </w:rPr>
            </w:pPr>
            <w:r>
              <w:t>DJ 665 (Vaideeni)</w:t>
            </w:r>
          </w:p>
        </w:tc>
        <w:tc>
          <w:tcPr>
            <w:tcW w:w="1310" w:type="dxa"/>
            <w:tcBorders>
              <w:top w:val="nil"/>
              <w:left w:val="nil"/>
              <w:bottom w:val="single" w:sz="4" w:space="0" w:color="auto"/>
              <w:right w:val="single" w:sz="4" w:space="0" w:color="auto"/>
            </w:tcBorders>
            <w:shd w:val="clear" w:color="auto" w:fill="auto"/>
            <w:noWrap/>
            <w:vAlign w:val="bottom"/>
            <w:hideMark/>
          </w:tcPr>
          <w:p w14:paraId="76AF733F"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6</w:t>
            </w:r>
          </w:p>
        </w:tc>
        <w:tc>
          <w:tcPr>
            <w:tcW w:w="960" w:type="dxa"/>
            <w:tcBorders>
              <w:top w:val="nil"/>
              <w:left w:val="nil"/>
              <w:bottom w:val="single" w:sz="4" w:space="0" w:color="auto"/>
              <w:right w:val="single" w:sz="4" w:space="0" w:color="auto"/>
            </w:tcBorders>
            <w:shd w:val="clear" w:color="auto" w:fill="auto"/>
            <w:noWrap/>
            <w:vAlign w:val="bottom"/>
            <w:hideMark/>
          </w:tcPr>
          <w:p w14:paraId="43E53910"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129</w:t>
            </w:r>
          </w:p>
        </w:tc>
        <w:tc>
          <w:tcPr>
            <w:tcW w:w="1046" w:type="dxa"/>
            <w:tcBorders>
              <w:top w:val="nil"/>
              <w:left w:val="nil"/>
              <w:bottom w:val="single" w:sz="4" w:space="0" w:color="auto"/>
              <w:right w:val="single" w:sz="4" w:space="0" w:color="auto"/>
            </w:tcBorders>
            <w:shd w:val="clear" w:color="auto" w:fill="auto"/>
            <w:noWrap/>
            <w:vAlign w:val="bottom"/>
            <w:hideMark/>
          </w:tcPr>
          <w:p w14:paraId="4BCAFA58"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2517</w:t>
            </w:r>
          </w:p>
        </w:tc>
        <w:tc>
          <w:tcPr>
            <w:tcW w:w="1036" w:type="dxa"/>
            <w:tcBorders>
              <w:top w:val="nil"/>
              <w:left w:val="nil"/>
              <w:bottom w:val="single" w:sz="4" w:space="0" w:color="auto"/>
              <w:right w:val="single" w:sz="4" w:space="0" w:color="auto"/>
            </w:tcBorders>
            <w:shd w:val="clear" w:color="auto" w:fill="auto"/>
            <w:noWrap/>
            <w:vAlign w:val="bottom"/>
            <w:hideMark/>
          </w:tcPr>
          <w:p w14:paraId="44F2F283"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186</w:t>
            </w:r>
          </w:p>
        </w:tc>
      </w:tr>
      <w:tr w:rsidR="00501A22" w:rsidRPr="005B6E1D" w14:paraId="0628A65B"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4934A45"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5</w:t>
            </w:r>
          </w:p>
        </w:tc>
        <w:tc>
          <w:tcPr>
            <w:tcW w:w="4138" w:type="dxa"/>
            <w:tcBorders>
              <w:top w:val="nil"/>
              <w:left w:val="nil"/>
              <w:bottom w:val="single" w:sz="4" w:space="0" w:color="auto"/>
              <w:right w:val="single" w:sz="4" w:space="0" w:color="auto"/>
            </w:tcBorders>
            <w:shd w:val="clear" w:color="auto" w:fill="auto"/>
            <w:noWrap/>
            <w:vAlign w:val="center"/>
            <w:hideMark/>
          </w:tcPr>
          <w:p w14:paraId="31952C15" w14:textId="77777777" w:rsidR="00501A22" w:rsidRPr="005B6E1D" w:rsidRDefault="00501A22" w:rsidP="00501A22">
            <w:pPr>
              <w:spacing w:after="0" w:line="240" w:lineRule="auto"/>
              <w:rPr>
                <w:rFonts w:ascii="Calibri" w:eastAsia="Times New Roman" w:hAnsi="Calibri" w:cs="Calibri"/>
                <w:color w:val="000000"/>
                <w:lang w:val="ro-RO" w:eastAsia="ro-RO"/>
              </w:rPr>
            </w:pPr>
            <w:r>
              <w:t>DC 142 – str. Alex. Vlahuta</w:t>
            </w:r>
          </w:p>
        </w:tc>
        <w:tc>
          <w:tcPr>
            <w:tcW w:w="1310" w:type="dxa"/>
            <w:tcBorders>
              <w:top w:val="nil"/>
              <w:left w:val="nil"/>
              <w:bottom w:val="single" w:sz="4" w:space="0" w:color="auto"/>
              <w:right w:val="single" w:sz="4" w:space="0" w:color="auto"/>
            </w:tcBorders>
            <w:shd w:val="clear" w:color="auto" w:fill="auto"/>
            <w:noWrap/>
            <w:vAlign w:val="bottom"/>
            <w:hideMark/>
          </w:tcPr>
          <w:p w14:paraId="42C8F480"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12</w:t>
            </w:r>
          </w:p>
        </w:tc>
        <w:tc>
          <w:tcPr>
            <w:tcW w:w="960" w:type="dxa"/>
            <w:tcBorders>
              <w:top w:val="nil"/>
              <w:left w:val="nil"/>
              <w:bottom w:val="single" w:sz="4" w:space="0" w:color="auto"/>
              <w:right w:val="single" w:sz="4" w:space="0" w:color="auto"/>
            </w:tcBorders>
            <w:shd w:val="clear" w:color="auto" w:fill="auto"/>
            <w:noWrap/>
            <w:vAlign w:val="bottom"/>
            <w:hideMark/>
          </w:tcPr>
          <w:p w14:paraId="3258A84B"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3</w:t>
            </w:r>
          </w:p>
        </w:tc>
        <w:tc>
          <w:tcPr>
            <w:tcW w:w="1046" w:type="dxa"/>
            <w:tcBorders>
              <w:top w:val="nil"/>
              <w:left w:val="nil"/>
              <w:bottom w:val="single" w:sz="4" w:space="0" w:color="auto"/>
              <w:right w:val="single" w:sz="4" w:space="0" w:color="auto"/>
            </w:tcBorders>
            <w:shd w:val="clear" w:color="auto" w:fill="auto"/>
            <w:noWrap/>
            <w:vAlign w:val="bottom"/>
            <w:hideMark/>
          </w:tcPr>
          <w:p w14:paraId="0E3D1E44"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411</w:t>
            </w:r>
          </w:p>
        </w:tc>
        <w:tc>
          <w:tcPr>
            <w:tcW w:w="1036" w:type="dxa"/>
            <w:tcBorders>
              <w:top w:val="nil"/>
              <w:left w:val="nil"/>
              <w:bottom w:val="single" w:sz="4" w:space="0" w:color="auto"/>
              <w:right w:val="single" w:sz="4" w:space="0" w:color="auto"/>
            </w:tcBorders>
            <w:shd w:val="clear" w:color="auto" w:fill="auto"/>
            <w:noWrap/>
            <w:vAlign w:val="bottom"/>
            <w:hideMark/>
          </w:tcPr>
          <w:p w14:paraId="59BEC216"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3</w:t>
            </w:r>
          </w:p>
        </w:tc>
      </w:tr>
      <w:tr w:rsidR="00501A22" w:rsidRPr="005B6E1D" w14:paraId="6E6BC930"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8294CC"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6</w:t>
            </w:r>
          </w:p>
        </w:tc>
        <w:tc>
          <w:tcPr>
            <w:tcW w:w="4138" w:type="dxa"/>
            <w:tcBorders>
              <w:top w:val="nil"/>
              <w:left w:val="nil"/>
              <w:bottom w:val="single" w:sz="4" w:space="0" w:color="auto"/>
              <w:right w:val="single" w:sz="4" w:space="0" w:color="auto"/>
            </w:tcBorders>
            <w:shd w:val="clear" w:color="auto" w:fill="auto"/>
            <w:noWrap/>
            <w:vAlign w:val="bottom"/>
            <w:hideMark/>
          </w:tcPr>
          <w:p w14:paraId="0C93489A" w14:textId="77777777" w:rsidR="00501A22" w:rsidRPr="005B6E1D" w:rsidRDefault="00501A22" w:rsidP="00501A22">
            <w:pPr>
              <w:spacing w:after="0" w:line="240" w:lineRule="auto"/>
              <w:rPr>
                <w:rFonts w:ascii="Calibri" w:eastAsia="Times New Roman" w:hAnsi="Calibri" w:cs="Calibri"/>
                <w:color w:val="000000"/>
                <w:lang w:val="ro-RO" w:eastAsia="ro-RO"/>
              </w:rPr>
            </w:pPr>
            <w:r>
              <w:t>DC 143 – str. Stirbei Voda</w:t>
            </w:r>
          </w:p>
        </w:tc>
        <w:tc>
          <w:tcPr>
            <w:tcW w:w="1310" w:type="dxa"/>
            <w:tcBorders>
              <w:top w:val="nil"/>
              <w:left w:val="nil"/>
              <w:bottom w:val="single" w:sz="4" w:space="0" w:color="auto"/>
              <w:right w:val="single" w:sz="4" w:space="0" w:color="auto"/>
            </w:tcBorders>
            <w:shd w:val="clear" w:color="auto" w:fill="auto"/>
            <w:noWrap/>
            <w:vAlign w:val="bottom"/>
            <w:hideMark/>
          </w:tcPr>
          <w:p w14:paraId="09550468"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0</w:t>
            </w:r>
          </w:p>
        </w:tc>
        <w:tc>
          <w:tcPr>
            <w:tcW w:w="960" w:type="dxa"/>
            <w:tcBorders>
              <w:top w:val="nil"/>
              <w:left w:val="nil"/>
              <w:bottom w:val="single" w:sz="4" w:space="0" w:color="auto"/>
              <w:right w:val="single" w:sz="4" w:space="0" w:color="auto"/>
            </w:tcBorders>
            <w:shd w:val="clear" w:color="auto" w:fill="auto"/>
            <w:noWrap/>
            <w:vAlign w:val="bottom"/>
            <w:hideMark/>
          </w:tcPr>
          <w:p w14:paraId="1D96AFB3"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42</w:t>
            </w:r>
          </w:p>
        </w:tc>
        <w:tc>
          <w:tcPr>
            <w:tcW w:w="1046" w:type="dxa"/>
            <w:tcBorders>
              <w:top w:val="nil"/>
              <w:left w:val="nil"/>
              <w:bottom w:val="single" w:sz="4" w:space="0" w:color="auto"/>
              <w:right w:val="single" w:sz="4" w:space="0" w:color="auto"/>
            </w:tcBorders>
            <w:shd w:val="clear" w:color="auto" w:fill="auto"/>
            <w:noWrap/>
            <w:vAlign w:val="bottom"/>
            <w:hideMark/>
          </w:tcPr>
          <w:p w14:paraId="38DF160F"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531</w:t>
            </w:r>
          </w:p>
        </w:tc>
        <w:tc>
          <w:tcPr>
            <w:tcW w:w="1036" w:type="dxa"/>
            <w:tcBorders>
              <w:top w:val="nil"/>
              <w:left w:val="nil"/>
              <w:bottom w:val="single" w:sz="4" w:space="0" w:color="auto"/>
              <w:right w:val="single" w:sz="4" w:space="0" w:color="auto"/>
            </w:tcBorders>
            <w:shd w:val="clear" w:color="auto" w:fill="auto"/>
            <w:noWrap/>
            <w:vAlign w:val="bottom"/>
            <w:hideMark/>
          </w:tcPr>
          <w:p w14:paraId="615E017B"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6</w:t>
            </w:r>
          </w:p>
        </w:tc>
      </w:tr>
      <w:tr w:rsidR="00501A22" w:rsidRPr="005B6E1D" w14:paraId="6A11927F"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1219CB"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7</w:t>
            </w:r>
          </w:p>
        </w:tc>
        <w:tc>
          <w:tcPr>
            <w:tcW w:w="4138" w:type="dxa"/>
            <w:tcBorders>
              <w:top w:val="nil"/>
              <w:left w:val="nil"/>
              <w:bottom w:val="single" w:sz="4" w:space="0" w:color="auto"/>
              <w:right w:val="single" w:sz="4" w:space="0" w:color="auto"/>
            </w:tcBorders>
            <w:shd w:val="clear" w:color="auto" w:fill="auto"/>
            <w:noWrap/>
            <w:vAlign w:val="bottom"/>
            <w:hideMark/>
          </w:tcPr>
          <w:p w14:paraId="29745531" w14:textId="77777777" w:rsidR="00501A22" w:rsidRPr="005B6E1D" w:rsidRDefault="00501A22" w:rsidP="00501A22">
            <w:pPr>
              <w:spacing w:after="0" w:line="240" w:lineRule="auto"/>
              <w:rPr>
                <w:rFonts w:ascii="Calibri" w:eastAsia="Times New Roman" w:hAnsi="Calibri" w:cs="Calibri"/>
                <w:color w:val="000000"/>
                <w:lang w:val="ro-RO" w:eastAsia="ro-RO"/>
              </w:rPr>
            </w:pPr>
            <w:r>
              <w:t>DC 144 – str. spre Romanii de Sus (Stejarului)</w:t>
            </w:r>
          </w:p>
        </w:tc>
        <w:tc>
          <w:tcPr>
            <w:tcW w:w="1310" w:type="dxa"/>
            <w:tcBorders>
              <w:top w:val="nil"/>
              <w:left w:val="nil"/>
              <w:bottom w:val="single" w:sz="4" w:space="0" w:color="auto"/>
              <w:right w:val="single" w:sz="4" w:space="0" w:color="auto"/>
            </w:tcBorders>
            <w:shd w:val="clear" w:color="auto" w:fill="auto"/>
            <w:noWrap/>
            <w:vAlign w:val="bottom"/>
            <w:hideMark/>
          </w:tcPr>
          <w:p w14:paraId="6EF50779"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0</w:t>
            </w:r>
          </w:p>
        </w:tc>
        <w:tc>
          <w:tcPr>
            <w:tcW w:w="960" w:type="dxa"/>
            <w:tcBorders>
              <w:top w:val="nil"/>
              <w:left w:val="nil"/>
              <w:bottom w:val="single" w:sz="4" w:space="0" w:color="auto"/>
              <w:right w:val="single" w:sz="4" w:space="0" w:color="auto"/>
            </w:tcBorders>
            <w:shd w:val="clear" w:color="auto" w:fill="auto"/>
            <w:noWrap/>
            <w:vAlign w:val="bottom"/>
            <w:hideMark/>
          </w:tcPr>
          <w:p w14:paraId="492CA285"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3</w:t>
            </w:r>
          </w:p>
        </w:tc>
        <w:tc>
          <w:tcPr>
            <w:tcW w:w="1046" w:type="dxa"/>
            <w:tcBorders>
              <w:top w:val="nil"/>
              <w:left w:val="nil"/>
              <w:bottom w:val="single" w:sz="4" w:space="0" w:color="auto"/>
              <w:right w:val="single" w:sz="4" w:space="0" w:color="auto"/>
            </w:tcBorders>
            <w:shd w:val="clear" w:color="auto" w:fill="auto"/>
            <w:noWrap/>
            <w:vAlign w:val="bottom"/>
            <w:hideMark/>
          </w:tcPr>
          <w:p w14:paraId="5063A201"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225</w:t>
            </w:r>
          </w:p>
        </w:tc>
        <w:tc>
          <w:tcPr>
            <w:tcW w:w="1036" w:type="dxa"/>
            <w:tcBorders>
              <w:top w:val="nil"/>
              <w:left w:val="nil"/>
              <w:bottom w:val="single" w:sz="4" w:space="0" w:color="auto"/>
              <w:right w:val="single" w:sz="4" w:space="0" w:color="auto"/>
            </w:tcBorders>
            <w:shd w:val="clear" w:color="auto" w:fill="auto"/>
            <w:noWrap/>
            <w:vAlign w:val="bottom"/>
            <w:hideMark/>
          </w:tcPr>
          <w:p w14:paraId="194AEA77"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21</w:t>
            </w:r>
          </w:p>
        </w:tc>
      </w:tr>
      <w:tr w:rsidR="00501A22" w:rsidRPr="005B6E1D" w14:paraId="4D0CA941"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2E05FA"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8</w:t>
            </w:r>
          </w:p>
        </w:tc>
        <w:tc>
          <w:tcPr>
            <w:tcW w:w="4138" w:type="dxa"/>
            <w:tcBorders>
              <w:top w:val="nil"/>
              <w:left w:val="nil"/>
              <w:bottom w:val="single" w:sz="4" w:space="0" w:color="auto"/>
              <w:right w:val="single" w:sz="4" w:space="0" w:color="auto"/>
            </w:tcBorders>
            <w:shd w:val="clear" w:color="auto" w:fill="auto"/>
            <w:noWrap/>
            <w:vAlign w:val="bottom"/>
            <w:hideMark/>
          </w:tcPr>
          <w:p w14:paraId="63A81A9D" w14:textId="77777777" w:rsidR="00501A22" w:rsidRPr="005B6E1D" w:rsidRDefault="00501A22" w:rsidP="00501A22">
            <w:pPr>
              <w:spacing w:after="0" w:line="240" w:lineRule="auto"/>
              <w:rPr>
                <w:rFonts w:ascii="Calibri" w:eastAsia="Times New Roman" w:hAnsi="Calibri" w:cs="Calibri"/>
                <w:color w:val="000000"/>
                <w:lang w:val="ro-RO" w:eastAsia="ro-RO"/>
              </w:rPr>
            </w:pPr>
            <w:r>
              <w:t>DC 142 – str. Matei Basarab</w:t>
            </w:r>
          </w:p>
        </w:tc>
        <w:tc>
          <w:tcPr>
            <w:tcW w:w="1310" w:type="dxa"/>
            <w:tcBorders>
              <w:top w:val="nil"/>
              <w:left w:val="nil"/>
              <w:bottom w:val="single" w:sz="4" w:space="0" w:color="auto"/>
              <w:right w:val="single" w:sz="4" w:space="0" w:color="auto"/>
            </w:tcBorders>
            <w:shd w:val="clear" w:color="auto" w:fill="auto"/>
            <w:noWrap/>
            <w:vAlign w:val="bottom"/>
            <w:hideMark/>
          </w:tcPr>
          <w:p w14:paraId="4311EE39"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12</w:t>
            </w:r>
          </w:p>
        </w:tc>
        <w:tc>
          <w:tcPr>
            <w:tcW w:w="960" w:type="dxa"/>
            <w:tcBorders>
              <w:top w:val="nil"/>
              <w:left w:val="nil"/>
              <w:bottom w:val="single" w:sz="4" w:space="0" w:color="auto"/>
              <w:right w:val="single" w:sz="4" w:space="0" w:color="auto"/>
            </w:tcBorders>
            <w:shd w:val="clear" w:color="auto" w:fill="auto"/>
            <w:noWrap/>
            <w:vAlign w:val="bottom"/>
            <w:hideMark/>
          </w:tcPr>
          <w:p w14:paraId="21ECDDD8"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24</w:t>
            </w:r>
          </w:p>
        </w:tc>
        <w:tc>
          <w:tcPr>
            <w:tcW w:w="1046" w:type="dxa"/>
            <w:tcBorders>
              <w:top w:val="nil"/>
              <w:left w:val="nil"/>
              <w:bottom w:val="single" w:sz="4" w:space="0" w:color="auto"/>
              <w:right w:val="single" w:sz="4" w:space="0" w:color="auto"/>
            </w:tcBorders>
            <w:shd w:val="clear" w:color="auto" w:fill="auto"/>
            <w:noWrap/>
            <w:vAlign w:val="bottom"/>
            <w:hideMark/>
          </w:tcPr>
          <w:p w14:paraId="170778D8"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1137</w:t>
            </w:r>
          </w:p>
        </w:tc>
        <w:tc>
          <w:tcPr>
            <w:tcW w:w="1036" w:type="dxa"/>
            <w:tcBorders>
              <w:top w:val="nil"/>
              <w:left w:val="nil"/>
              <w:bottom w:val="single" w:sz="4" w:space="0" w:color="auto"/>
              <w:right w:val="single" w:sz="4" w:space="0" w:color="auto"/>
            </w:tcBorders>
            <w:shd w:val="clear" w:color="auto" w:fill="auto"/>
            <w:noWrap/>
            <w:vAlign w:val="bottom"/>
            <w:hideMark/>
          </w:tcPr>
          <w:p w14:paraId="14B3B3FD"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12</w:t>
            </w:r>
          </w:p>
        </w:tc>
      </w:tr>
      <w:tr w:rsidR="00501A22" w:rsidRPr="005B6E1D" w14:paraId="3B70CD44"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C6133A"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9</w:t>
            </w:r>
          </w:p>
        </w:tc>
        <w:tc>
          <w:tcPr>
            <w:tcW w:w="4138" w:type="dxa"/>
            <w:tcBorders>
              <w:top w:val="nil"/>
              <w:left w:val="nil"/>
              <w:bottom w:val="single" w:sz="4" w:space="0" w:color="auto"/>
              <w:right w:val="single" w:sz="4" w:space="0" w:color="auto"/>
            </w:tcBorders>
            <w:shd w:val="clear" w:color="auto" w:fill="auto"/>
            <w:noWrap/>
            <w:vAlign w:val="bottom"/>
            <w:hideMark/>
          </w:tcPr>
          <w:p w14:paraId="3EDC987F" w14:textId="77777777" w:rsidR="00501A22" w:rsidRPr="005B6E1D" w:rsidRDefault="00501A22" w:rsidP="00501A22">
            <w:pPr>
              <w:spacing w:after="0" w:line="240" w:lineRule="auto"/>
              <w:rPr>
                <w:rFonts w:ascii="Calibri" w:eastAsia="Times New Roman" w:hAnsi="Calibri" w:cs="Calibri"/>
                <w:color w:val="000000"/>
                <w:lang w:val="ro-RO" w:eastAsia="ro-RO"/>
              </w:rPr>
            </w:pPr>
            <w:r>
              <w:t>DC 143 – str. Mihai Viteazu</w:t>
            </w:r>
          </w:p>
        </w:tc>
        <w:tc>
          <w:tcPr>
            <w:tcW w:w="1310" w:type="dxa"/>
            <w:tcBorders>
              <w:top w:val="nil"/>
              <w:left w:val="nil"/>
              <w:bottom w:val="single" w:sz="4" w:space="0" w:color="auto"/>
              <w:right w:val="single" w:sz="4" w:space="0" w:color="auto"/>
            </w:tcBorders>
            <w:shd w:val="clear" w:color="auto" w:fill="auto"/>
            <w:noWrap/>
            <w:vAlign w:val="bottom"/>
            <w:hideMark/>
          </w:tcPr>
          <w:p w14:paraId="2FD326DD"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33</w:t>
            </w:r>
          </w:p>
        </w:tc>
        <w:tc>
          <w:tcPr>
            <w:tcW w:w="960" w:type="dxa"/>
            <w:tcBorders>
              <w:top w:val="nil"/>
              <w:left w:val="nil"/>
              <w:bottom w:val="single" w:sz="4" w:space="0" w:color="auto"/>
              <w:right w:val="single" w:sz="4" w:space="0" w:color="auto"/>
            </w:tcBorders>
            <w:shd w:val="clear" w:color="auto" w:fill="auto"/>
            <w:noWrap/>
            <w:vAlign w:val="bottom"/>
            <w:hideMark/>
          </w:tcPr>
          <w:p w14:paraId="5286C73F"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90</w:t>
            </w:r>
          </w:p>
        </w:tc>
        <w:tc>
          <w:tcPr>
            <w:tcW w:w="1046" w:type="dxa"/>
            <w:tcBorders>
              <w:top w:val="nil"/>
              <w:left w:val="nil"/>
              <w:bottom w:val="single" w:sz="4" w:space="0" w:color="auto"/>
              <w:right w:val="single" w:sz="4" w:space="0" w:color="auto"/>
            </w:tcBorders>
            <w:shd w:val="clear" w:color="auto" w:fill="auto"/>
            <w:noWrap/>
            <w:vAlign w:val="bottom"/>
            <w:hideMark/>
          </w:tcPr>
          <w:p w14:paraId="1796A95C"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2655</w:t>
            </w:r>
          </w:p>
        </w:tc>
        <w:tc>
          <w:tcPr>
            <w:tcW w:w="1036" w:type="dxa"/>
            <w:tcBorders>
              <w:top w:val="nil"/>
              <w:left w:val="nil"/>
              <w:bottom w:val="single" w:sz="4" w:space="0" w:color="auto"/>
              <w:right w:val="single" w:sz="4" w:space="0" w:color="auto"/>
            </w:tcBorders>
            <w:shd w:val="clear" w:color="auto" w:fill="auto"/>
            <w:noWrap/>
            <w:vAlign w:val="bottom"/>
            <w:hideMark/>
          </w:tcPr>
          <w:p w14:paraId="09EBF05D"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3</w:t>
            </w:r>
          </w:p>
        </w:tc>
      </w:tr>
      <w:tr w:rsidR="00501A22" w:rsidRPr="005B6E1D" w14:paraId="799DFC6B"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7F8D5B"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10</w:t>
            </w:r>
          </w:p>
        </w:tc>
        <w:tc>
          <w:tcPr>
            <w:tcW w:w="4138" w:type="dxa"/>
            <w:tcBorders>
              <w:top w:val="nil"/>
              <w:left w:val="nil"/>
              <w:bottom w:val="single" w:sz="4" w:space="0" w:color="auto"/>
              <w:right w:val="single" w:sz="4" w:space="0" w:color="auto"/>
            </w:tcBorders>
            <w:shd w:val="clear" w:color="auto" w:fill="auto"/>
            <w:noWrap/>
            <w:vAlign w:val="bottom"/>
            <w:hideMark/>
          </w:tcPr>
          <w:p w14:paraId="455ECC3A" w14:textId="77777777" w:rsidR="00501A22" w:rsidRPr="005B6E1D" w:rsidRDefault="00501A22" w:rsidP="00501A22">
            <w:pPr>
              <w:spacing w:after="0" w:line="240" w:lineRule="auto"/>
              <w:rPr>
                <w:rFonts w:ascii="Calibri" w:eastAsia="Times New Roman" w:hAnsi="Calibri" w:cs="Calibri"/>
                <w:color w:val="000000"/>
                <w:lang w:val="ro-RO" w:eastAsia="ro-RO"/>
              </w:rPr>
            </w:pPr>
            <w:r>
              <w:t>DC 144 – DC 146</w:t>
            </w:r>
          </w:p>
        </w:tc>
        <w:tc>
          <w:tcPr>
            <w:tcW w:w="1310" w:type="dxa"/>
            <w:tcBorders>
              <w:top w:val="nil"/>
              <w:left w:val="nil"/>
              <w:bottom w:val="single" w:sz="4" w:space="0" w:color="auto"/>
              <w:right w:val="single" w:sz="4" w:space="0" w:color="auto"/>
            </w:tcBorders>
            <w:shd w:val="clear" w:color="auto" w:fill="auto"/>
            <w:noWrap/>
            <w:vAlign w:val="bottom"/>
            <w:hideMark/>
          </w:tcPr>
          <w:p w14:paraId="60CDA3C3"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6</w:t>
            </w:r>
          </w:p>
        </w:tc>
        <w:tc>
          <w:tcPr>
            <w:tcW w:w="960" w:type="dxa"/>
            <w:tcBorders>
              <w:top w:val="nil"/>
              <w:left w:val="nil"/>
              <w:bottom w:val="single" w:sz="4" w:space="0" w:color="auto"/>
              <w:right w:val="single" w:sz="4" w:space="0" w:color="auto"/>
            </w:tcBorders>
            <w:shd w:val="clear" w:color="auto" w:fill="auto"/>
            <w:noWrap/>
            <w:vAlign w:val="bottom"/>
            <w:hideMark/>
          </w:tcPr>
          <w:p w14:paraId="4C104FBF"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93</w:t>
            </w:r>
          </w:p>
        </w:tc>
        <w:tc>
          <w:tcPr>
            <w:tcW w:w="1046" w:type="dxa"/>
            <w:tcBorders>
              <w:top w:val="nil"/>
              <w:left w:val="nil"/>
              <w:bottom w:val="single" w:sz="4" w:space="0" w:color="auto"/>
              <w:right w:val="single" w:sz="4" w:space="0" w:color="auto"/>
            </w:tcBorders>
            <w:shd w:val="clear" w:color="auto" w:fill="auto"/>
            <w:noWrap/>
            <w:vAlign w:val="bottom"/>
            <w:hideMark/>
          </w:tcPr>
          <w:p w14:paraId="28D03F69"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1965</w:t>
            </w:r>
          </w:p>
        </w:tc>
        <w:tc>
          <w:tcPr>
            <w:tcW w:w="1036" w:type="dxa"/>
            <w:tcBorders>
              <w:top w:val="nil"/>
              <w:left w:val="nil"/>
              <w:bottom w:val="single" w:sz="4" w:space="0" w:color="auto"/>
              <w:right w:val="single" w:sz="4" w:space="0" w:color="auto"/>
            </w:tcBorders>
            <w:shd w:val="clear" w:color="auto" w:fill="auto"/>
            <w:noWrap/>
            <w:vAlign w:val="bottom"/>
            <w:hideMark/>
          </w:tcPr>
          <w:p w14:paraId="581D5DA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6</w:t>
            </w:r>
          </w:p>
        </w:tc>
      </w:tr>
      <w:tr w:rsidR="00501A22" w:rsidRPr="005B6E1D" w14:paraId="0DD0D6B4"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E99CA4"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11</w:t>
            </w:r>
          </w:p>
        </w:tc>
        <w:tc>
          <w:tcPr>
            <w:tcW w:w="4138" w:type="dxa"/>
            <w:tcBorders>
              <w:top w:val="nil"/>
              <w:left w:val="nil"/>
              <w:bottom w:val="single" w:sz="4" w:space="0" w:color="auto"/>
              <w:right w:val="single" w:sz="4" w:space="0" w:color="auto"/>
            </w:tcBorders>
            <w:shd w:val="clear" w:color="auto" w:fill="auto"/>
            <w:noWrap/>
            <w:vAlign w:val="bottom"/>
            <w:hideMark/>
          </w:tcPr>
          <w:p w14:paraId="692B1E83" w14:textId="77777777" w:rsidR="00501A22" w:rsidRPr="005B6E1D" w:rsidRDefault="00501A22" w:rsidP="00501A22">
            <w:pPr>
              <w:spacing w:after="0" w:line="240" w:lineRule="auto"/>
              <w:rPr>
                <w:rFonts w:ascii="Calibri" w:eastAsia="Times New Roman" w:hAnsi="Calibri" w:cs="Calibri"/>
                <w:color w:val="000000"/>
                <w:lang w:val="ro-RO" w:eastAsia="ro-RO"/>
              </w:rPr>
            </w:pPr>
            <w:r>
              <w:t>DN 67 – DN 65C</w:t>
            </w:r>
          </w:p>
        </w:tc>
        <w:tc>
          <w:tcPr>
            <w:tcW w:w="1310" w:type="dxa"/>
            <w:tcBorders>
              <w:top w:val="nil"/>
              <w:left w:val="nil"/>
              <w:bottom w:val="single" w:sz="4" w:space="0" w:color="auto"/>
              <w:right w:val="single" w:sz="4" w:space="0" w:color="auto"/>
            </w:tcBorders>
            <w:shd w:val="clear" w:color="auto" w:fill="auto"/>
            <w:noWrap/>
            <w:vAlign w:val="bottom"/>
            <w:hideMark/>
          </w:tcPr>
          <w:p w14:paraId="363E66C0"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3</w:t>
            </w:r>
          </w:p>
        </w:tc>
        <w:tc>
          <w:tcPr>
            <w:tcW w:w="960" w:type="dxa"/>
            <w:tcBorders>
              <w:top w:val="nil"/>
              <w:left w:val="nil"/>
              <w:bottom w:val="single" w:sz="4" w:space="0" w:color="auto"/>
              <w:right w:val="single" w:sz="4" w:space="0" w:color="auto"/>
            </w:tcBorders>
            <w:shd w:val="clear" w:color="auto" w:fill="auto"/>
            <w:noWrap/>
            <w:vAlign w:val="bottom"/>
            <w:hideMark/>
          </w:tcPr>
          <w:p w14:paraId="12F8A174"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108</w:t>
            </w:r>
          </w:p>
        </w:tc>
        <w:tc>
          <w:tcPr>
            <w:tcW w:w="1046" w:type="dxa"/>
            <w:tcBorders>
              <w:top w:val="nil"/>
              <w:left w:val="nil"/>
              <w:bottom w:val="single" w:sz="4" w:space="0" w:color="auto"/>
              <w:right w:val="single" w:sz="4" w:space="0" w:color="auto"/>
            </w:tcBorders>
            <w:shd w:val="clear" w:color="auto" w:fill="auto"/>
            <w:noWrap/>
            <w:vAlign w:val="bottom"/>
            <w:hideMark/>
          </w:tcPr>
          <w:p w14:paraId="6756A07A"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5592</w:t>
            </w:r>
          </w:p>
        </w:tc>
        <w:tc>
          <w:tcPr>
            <w:tcW w:w="1036" w:type="dxa"/>
            <w:tcBorders>
              <w:top w:val="nil"/>
              <w:left w:val="nil"/>
              <w:bottom w:val="single" w:sz="4" w:space="0" w:color="auto"/>
              <w:right w:val="single" w:sz="4" w:space="0" w:color="auto"/>
            </w:tcBorders>
            <w:shd w:val="clear" w:color="auto" w:fill="auto"/>
            <w:noWrap/>
            <w:vAlign w:val="bottom"/>
            <w:hideMark/>
          </w:tcPr>
          <w:p w14:paraId="01575126"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294</w:t>
            </w:r>
          </w:p>
        </w:tc>
      </w:tr>
      <w:tr w:rsidR="00501A22" w:rsidRPr="005B6E1D" w14:paraId="4EE50DD9"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1FC97E34"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Calibri" w:eastAsia="Times New Roman" w:hAnsi="Calibri" w:cs="Calibri"/>
                <w:color w:val="000000"/>
                <w:lang w:val="ro-RO" w:eastAsia="ro-RO"/>
              </w:rPr>
              <w:t>12</w:t>
            </w:r>
          </w:p>
        </w:tc>
        <w:tc>
          <w:tcPr>
            <w:tcW w:w="4138" w:type="dxa"/>
            <w:tcBorders>
              <w:top w:val="nil"/>
              <w:left w:val="nil"/>
              <w:bottom w:val="single" w:sz="4" w:space="0" w:color="auto"/>
              <w:right w:val="single" w:sz="4" w:space="0" w:color="auto"/>
            </w:tcBorders>
            <w:shd w:val="clear" w:color="auto" w:fill="auto"/>
            <w:noWrap/>
            <w:vAlign w:val="bottom"/>
          </w:tcPr>
          <w:p w14:paraId="0FFB4275" w14:textId="77777777" w:rsidR="00501A22" w:rsidRDefault="00501A22" w:rsidP="00501A22">
            <w:pPr>
              <w:spacing w:after="0" w:line="240" w:lineRule="auto"/>
            </w:pPr>
            <w:r>
              <w:t>DN 67 – DJ 665 (str. Iancu Jianu)</w:t>
            </w:r>
          </w:p>
        </w:tc>
        <w:tc>
          <w:tcPr>
            <w:tcW w:w="1310" w:type="dxa"/>
            <w:tcBorders>
              <w:top w:val="nil"/>
              <w:left w:val="nil"/>
              <w:bottom w:val="single" w:sz="4" w:space="0" w:color="auto"/>
              <w:right w:val="single" w:sz="4" w:space="0" w:color="auto"/>
            </w:tcBorders>
            <w:shd w:val="clear" w:color="auto" w:fill="auto"/>
            <w:noWrap/>
            <w:vAlign w:val="bottom"/>
          </w:tcPr>
          <w:p w14:paraId="35314F1E"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6</w:t>
            </w:r>
          </w:p>
        </w:tc>
        <w:tc>
          <w:tcPr>
            <w:tcW w:w="960" w:type="dxa"/>
            <w:tcBorders>
              <w:top w:val="nil"/>
              <w:left w:val="nil"/>
              <w:bottom w:val="single" w:sz="4" w:space="0" w:color="auto"/>
              <w:right w:val="single" w:sz="4" w:space="0" w:color="auto"/>
            </w:tcBorders>
            <w:shd w:val="clear" w:color="auto" w:fill="auto"/>
            <w:noWrap/>
            <w:vAlign w:val="bottom"/>
          </w:tcPr>
          <w:p w14:paraId="3FB51478"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54</w:t>
            </w:r>
          </w:p>
        </w:tc>
        <w:tc>
          <w:tcPr>
            <w:tcW w:w="1046" w:type="dxa"/>
            <w:tcBorders>
              <w:top w:val="nil"/>
              <w:left w:val="nil"/>
              <w:bottom w:val="single" w:sz="4" w:space="0" w:color="auto"/>
              <w:right w:val="single" w:sz="4" w:space="0" w:color="auto"/>
            </w:tcBorders>
            <w:shd w:val="clear" w:color="auto" w:fill="auto"/>
            <w:noWrap/>
            <w:vAlign w:val="bottom"/>
          </w:tcPr>
          <w:p w14:paraId="20DF0445"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2850</w:t>
            </w:r>
          </w:p>
        </w:tc>
        <w:tc>
          <w:tcPr>
            <w:tcW w:w="1036" w:type="dxa"/>
            <w:tcBorders>
              <w:top w:val="nil"/>
              <w:left w:val="nil"/>
              <w:bottom w:val="single" w:sz="4" w:space="0" w:color="auto"/>
              <w:right w:val="single" w:sz="4" w:space="0" w:color="auto"/>
            </w:tcBorders>
            <w:shd w:val="clear" w:color="auto" w:fill="auto"/>
            <w:noWrap/>
            <w:vAlign w:val="bottom"/>
          </w:tcPr>
          <w:p w14:paraId="26B37D9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234</w:t>
            </w:r>
          </w:p>
        </w:tc>
      </w:tr>
      <w:tr w:rsidR="00501A22" w:rsidRPr="005B6E1D" w14:paraId="54E696E0"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451266F"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13</w:t>
            </w:r>
            <w:r>
              <w:rPr>
                <w:rFonts w:ascii="Calibri" w:eastAsia="Times New Roman" w:hAnsi="Calibri" w:cs="Calibri"/>
                <w:color w:val="000000"/>
                <w:lang w:val="ro-RO" w:eastAsia="ro-RO"/>
              </w:rPr>
              <w:t>A</w:t>
            </w:r>
          </w:p>
        </w:tc>
        <w:tc>
          <w:tcPr>
            <w:tcW w:w="4138" w:type="dxa"/>
            <w:tcBorders>
              <w:top w:val="nil"/>
              <w:left w:val="nil"/>
              <w:bottom w:val="single" w:sz="4" w:space="0" w:color="auto"/>
              <w:right w:val="single" w:sz="4" w:space="0" w:color="auto"/>
            </w:tcBorders>
            <w:shd w:val="clear" w:color="auto" w:fill="auto"/>
            <w:noWrap/>
            <w:vAlign w:val="bottom"/>
            <w:hideMark/>
          </w:tcPr>
          <w:p w14:paraId="783C39AD" w14:textId="77777777" w:rsidR="00501A22" w:rsidRPr="005B6E1D" w:rsidRDefault="00501A22" w:rsidP="00501A22">
            <w:pPr>
              <w:spacing w:after="0" w:line="240" w:lineRule="auto"/>
              <w:rPr>
                <w:rFonts w:ascii="Calibri" w:eastAsia="Times New Roman" w:hAnsi="Calibri" w:cs="Calibri"/>
                <w:color w:val="000000"/>
                <w:lang w:val="ro-RO" w:eastAsia="ro-RO"/>
              </w:rPr>
            </w:pPr>
            <w:r>
              <w:t>DC 139 – DN 67</w:t>
            </w:r>
          </w:p>
        </w:tc>
        <w:tc>
          <w:tcPr>
            <w:tcW w:w="1310" w:type="dxa"/>
            <w:tcBorders>
              <w:top w:val="nil"/>
              <w:left w:val="nil"/>
              <w:bottom w:val="single" w:sz="4" w:space="0" w:color="auto"/>
              <w:right w:val="single" w:sz="4" w:space="0" w:color="auto"/>
            </w:tcBorders>
            <w:shd w:val="clear" w:color="auto" w:fill="auto"/>
            <w:noWrap/>
            <w:vAlign w:val="bottom"/>
            <w:hideMark/>
          </w:tcPr>
          <w:p w14:paraId="397D9B6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9</w:t>
            </w:r>
          </w:p>
        </w:tc>
        <w:tc>
          <w:tcPr>
            <w:tcW w:w="960" w:type="dxa"/>
            <w:tcBorders>
              <w:top w:val="nil"/>
              <w:left w:val="nil"/>
              <w:bottom w:val="single" w:sz="4" w:space="0" w:color="auto"/>
              <w:right w:val="single" w:sz="4" w:space="0" w:color="auto"/>
            </w:tcBorders>
            <w:shd w:val="clear" w:color="auto" w:fill="auto"/>
            <w:noWrap/>
            <w:vAlign w:val="bottom"/>
            <w:hideMark/>
          </w:tcPr>
          <w:p w14:paraId="22BECA0E"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108</w:t>
            </w:r>
          </w:p>
        </w:tc>
        <w:tc>
          <w:tcPr>
            <w:tcW w:w="1046" w:type="dxa"/>
            <w:tcBorders>
              <w:top w:val="nil"/>
              <w:left w:val="nil"/>
              <w:bottom w:val="single" w:sz="4" w:space="0" w:color="auto"/>
              <w:right w:val="single" w:sz="4" w:space="0" w:color="auto"/>
            </w:tcBorders>
            <w:shd w:val="clear" w:color="auto" w:fill="auto"/>
            <w:noWrap/>
            <w:vAlign w:val="bottom"/>
            <w:hideMark/>
          </w:tcPr>
          <w:p w14:paraId="0C5A518F"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5979</w:t>
            </w:r>
          </w:p>
        </w:tc>
        <w:tc>
          <w:tcPr>
            <w:tcW w:w="1036" w:type="dxa"/>
            <w:tcBorders>
              <w:top w:val="nil"/>
              <w:left w:val="nil"/>
              <w:bottom w:val="single" w:sz="4" w:space="0" w:color="auto"/>
              <w:right w:val="single" w:sz="4" w:space="0" w:color="auto"/>
            </w:tcBorders>
            <w:shd w:val="clear" w:color="auto" w:fill="auto"/>
            <w:noWrap/>
            <w:vAlign w:val="bottom"/>
            <w:hideMark/>
          </w:tcPr>
          <w:p w14:paraId="7FF77F96"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240</w:t>
            </w:r>
          </w:p>
        </w:tc>
      </w:tr>
      <w:tr w:rsidR="00501A22" w:rsidRPr="005B6E1D" w14:paraId="27F29328"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tcPr>
          <w:p w14:paraId="2D36F31B"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lastRenderedPageBreak/>
              <w:t>13</w:t>
            </w:r>
            <w:r>
              <w:rPr>
                <w:rFonts w:ascii="Calibri" w:eastAsia="Times New Roman" w:hAnsi="Calibri" w:cs="Calibri"/>
                <w:color w:val="000000"/>
                <w:lang w:val="ro-RO" w:eastAsia="ro-RO"/>
              </w:rPr>
              <w:t>B</w:t>
            </w:r>
          </w:p>
        </w:tc>
        <w:tc>
          <w:tcPr>
            <w:tcW w:w="4138" w:type="dxa"/>
            <w:tcBorders>
              <w:top w:val="nil"/>
              <w:left w:val="nil"/>
              <w:bottom w:val="single" w:sz="4" w:space="0" w:color="auto"/>
              <w:right w:val="single" w:sz="4" w:space="0" w:color="auto"/>
            </w:tcBorders>
            <w:shd w:val="clear" w:color="auto" w:fill="auto"/>
            <w:noWrap/>
            <w:vAlign w:val="bottom"/>
          </w:tcPr>
          <w:p w14:paraId="30192395" w14:textId="77777777" w:rsidR="00501A22" w:rsidRDefault="00501A22" w:rsidP="00501A22">
            <w:pPr>
              <w:spacing w:after="0" w:line="240" w:lineRule="auto"/>
            </w:pPr>
            <w:r>
              <w:t>DC 139 – DN 67</w:t>
            </w:r>
          </w:p>
        </w:tc>
        <w:tc>
          <w:tcPr>
            <w:tcW w:w="1310" w:type="dxa"/>
            <w:tcBorders>
              <w:top w:val="nil"/>
              <w:left w:val="nil"/>
              <w:bottom w:val="single" w:sz="4" w:space="0" w:color="auto"/>
              <w:right w:val="single" w:sz="4" w:space="0" w:color="auto"/>
            </w:tcBorders>
            <w:shd w:val="clear" w:color="auto" w:fill="auto"/>
            <w:noWrap/>
            <w:vAlign w:val="bottom"/>
          </w:tcPr>
          <w:p w14:paraId="4F76DDA0" w14:textId="77777777" w:rsidR="00501A22" w:rsidRDefault="00501A22" w:rsidP="00501A22">
            <w:pPr>
              <w:spacing w:after="0" w:line="240" w:lineRule="auto"/>
              <w:jc w:val="right"/>
              <w:rPr>
                <w:rFonts w:ascii="Arial" w:hAnsi="Arial" w:cs="Arial"/>
                <w:sz w:val="20"/>
                <w:szCs w:val="20"/>
              </w:rPr>
            </w:pPr>
            <w:r>
              <w:rPr>
                <w:rFonts w:ascii="Arial" w:hAnsi="Arial" w:cs="Arial"/>
                <w:sz w:val="20"/>
                <w:szCs w:val="20"/>
              </w:rPr>
              <w:t>6</w:t>
            </w:r>
          </w:p>
        </w:tc>
        <w:tc>
          <w:tcPr>
            <w:tcW w:w="960" w:type="dxa"/>
            <w:tcBorders>
              <w:top w:val="nil"/>
              <w:left w:val="nil"/>
              <w:bottom w:val="single" w:sz="4" w:space="0" w:color="auto"/>
              <w:right w:val="single" w:sz="4" w:space="0" w:color="auto"/>
            </w:tcBorders>
            <w:shd w:val="clear" w:color="auto" w:fill="auto"/>
            <w:noWrap/>
            <w:vAlign w:val="bottom"/>
          </w:tcPr>
          <w:p w14:paraId="1E211C71" w14:textId="77777777" w:rsidR="00501A22" w:rsidRDefault="00501A22" w:rsidP="00501A22">
            <w:pPr>
              <w:spacing w:after="0" w:line="240" w:lineRule="auto"/>
              <w:jc w:val="right"/>
              <w:rPr>
                <w:rFonts w:ascii="Arial" w:hAnsi="Arial" w:cs="Arial"/>
                <w:sz w:val="20"/>
                <w:szCs w:val="20"/>
              </w:rPr>
            </w:pPr>
            <w:r>
              <w:rPr>
                <w:rFonts w:ascii="Arial" w:hAnsi="Arial" w:cs="Arial"/>
                <w:sz w:val="20"/>
                <w:szCs w:val="20"/>
              </w:rPr>
              <w:t>102</w:t>
            </w:r>
          </w:p>
        </w:tc>
        <w:tc>
          <w:tcPr>
            <w:tcW w:w="1046" w:type="dxa"/>
            <w:tcBorders>
              <w:top w:val="nil"/>
              <w:left w:val="nil"/>
              <w:bottom w:val="single" w:sz="4" w:space="0" w:color="auto"/>
              <w:right w:val="single" w:sz="4" w:space="0" w:color="auto"/>
            </w:tcBorders>
            <w:shd w:val="clear" w:color="auto" w:fill="auto"/>
            <w:noWrap/>
            <w:vAlign w:val="bottom"/>
          </w:tcPr>
          <w:p w14:paraId="774CE24E" w14:textId="77777777" w:rsidR="00501A22" w:rsidRDefault="00501A22" w:rsidP="00501A22">
            <w:pPr>
              <w:spacing w:after="0" w:line="240" w:lineRule="auto"/>
              <w:jc w:val="right"/>
              <w:rPr>
                <w:rFonts w:ascii="Arial" w:hAnsi="Arial" w:cs="Arial"/>
                <w:sz w:val="20"/>
                <w:szCs w:val="20"/>
              </w:rPr>
            </w:pPr>
            <w:r>
              <w:rPr>
                <w:rFonts w:ascii="Arial" w:hAnsi="Arial" w:cs="Arial"/>
                <w:sz w:val="20"/>
                <w:szCs w:val="20"/>
              </w:rPr>
              <w:t>5136</w:t>
            </w:r>
          </w:p>
        </w:tc>
        <w:tc>
          <w:tcPr>
            <w:tcW w:w="1036" w:type="dxa"/>
            <w:tcBorders>
              <w:top w:val="nil"/>
              <w:left w:val="nil"/>
              <w:bottom w:val="single" w:sz="4" w:space="0" w:color="auto"/>
              <w:right w:val="single" w:sz="4" w:space="0" w:color="auto"/>
            </w:tcBorders>
            <w:shd w:val="clear" w:color="auto" w:fill="auto"/>
            <w:noWrap/>
            <w:vAlign w:val="bottom"/>
          </w:tcPr>
          <w:p w14:paraId="5B92C092" w14:textId="77777777" w:rsidR="00501A22" w:rsidRDefault="00501A22" w:rsidP="00501A22">
            <w:pPr>
              <w:spacing w:after="0" w:line="240" w:lineRule="auto"/>
              <w:jc w:val="right"/>
              <w:rPr>
                <w:rFonts w:ascii="Arial" w:hAnsi="Arial" w:cs="Arial"/>
                <w:sz w:val="20"/>
                <w:szCs w:val="20"/>
              </w:rPr>
            </w:pPr>
            <w:r>
              <w:rPr>
                <w:rFonts w:ascii="Arial" w:hAnsi="Arial" w:cs="Arial"/>
                <w:sz w:val="20"/>
                <w:szCs w:val="20"/>
              </w:rPr>
              <w:t>246</w:t>
            </w:r>
          </w:p>
        </w:tc>
      </w:tr>
      <w:tr w:rsidR="00501A22" w:rsidRPr="005B6E1D" w14:paraId="6E168BF2"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043183"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14</w:t>
            </w:r>
          </w:p>
        </w:tc>
        <w:tc>
          <w:tcPr>
            <w:tcW w:w="4138" w:type="dxa"/>
            <w:tcBorders>
              <w:top w:val="nil"/>
              <w:left w:val="nil"/>
              <w:bottom w:val="single" w:sz="4" w:space="0" w:color="auto"/>
              <w:right w:val="single" w:sz="4" w:space="0" w:color="auto"/>
            </w:tcBorders>
            <w:shd w:val="clear" w:color="auto" w:fill="auto"/>
            <w:noWrap/>
            <w:vAlign w:val="bottom"/>
            <w:hideMark/>
          </w:tcPr>
          <w:p w14:paraId="5BEC291C" w14:textId="77777777" w:rsidR="00501A22" w:rsidRPr="005B6E1D" w:rsidRDefault="00501A22" w:rsidP="00501A22">
            <w:pPr>
              <w:spacing w:after="0" w:line="240" w:lineRule="auto"/>
              <w:rPr>
                <w:rFonts w:ascii="Calibri" w:eastAsia="Times New Roman" w:hAnsi="Calibri" w:cs="Calibri"/>
                <w:color w:val="000000"/>
                <w:lang w:val="ro-RO" w:eastAsia="ro-RO"/>
              </w:rPr>
            </w:pPr>
            <w:r>
              <w:t>DC 146 – str. Mircea cel Batran</w:t>
            </w:r>
          </w:p>
        </w:tc>
        <w:tc>
          <w:tcPr>
            <w:tcW w:w="1310" w:type="dxa"/>
            <w:tcBorders>
              <w:top w:val="nil"/>
              <w:left w:val="nil"/>
              <w:bottom w:val="single" w:sz="4" w:space="0" w:color="auto"/>
              <w:right w:val="single" w:sz="4" w:space="0" w:color="auto"/>
            </w:tcBorders>
            <w:shd w:val="clear" w:color="auto" w:fill="auto"/>
            <w:noWrap/>
            <w:vAlign w:val="bottom"/>
            <w:hideMark/>
          </w:tcPr>
          <w:p w14:paraId="0DF1EBB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9</w:t>
            </w:r>
          </w:p>
        </w:tc>
        <w:tc>
          <w:tcPr>
            <w:tcW w:w="960" w:type="dxa"/>
            <w:tcBorders>
              <w:top w:val="nil"/>
              <w:left w:val="nil"/>
              <w:bottom w:val="single" w:sz="4" w:space="0" w:color="auto"/>
              <w:right w:val="single" w:sz="4" w:space="0" w:color="auto"/>
            </w:tcBorders>
            <w:shd w:val="clear" w:color="auto" w:fill="auto"/>
            <w:noWrap/>
            <w:vAlign w:val="bottom"/>
            <w:hideMark/>
          </w:tcPr>
          <w:p w14:paraId="14EBBAF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51</w:t>
            </w:r>
          </w:p>
        </w:tc>
        <w:tc>
          <w:tcPr>
            <w:tcW w:w="1046" w:type="dxa"/>
            <w:tcBorders>
              <w:top w:val="nil"/>
              <w:left w:val="nil"/>
              <w:bottom w:val="single" w:sz="4" w:space="0" w:color="auto"/>
              <w:right w:val="single" w:sz="4" w:space="0" w:color="auto"/>
            </w:tcBorders>
            <w:shd w:val="clear" w:color="auto" w:fill="auto"/>
            <w:noWrap/>
            <w:vAlign w:val="bottom"/>
            <w:hideMark/>
          </w:tcPr>
          <w:p w14:paraId="326FA0FE"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2298</w:t>
            </w:r>
          </w:p>
        </w:tc>
        <w:tc>
          <w:tcPr>
            <w:tcW w:w="1036" w:type="dxa"/>
            <w:tcBorders>
              <w:top w:val="nil"/>
              <w:left w:val="nil"/>
              <w:bottom w:val="single" w:sz="4" w:space="0" w:color="auto"/>
              <w:right w:val="single" w:sz="4" w:space="0" w:color="auto"/>
            </w:tcBorders>
            <w:shd w:val="clear" w:color="auto" w:fill="auto"/>
            <w:noWrap/>
            <w:vAlign w:val="bottom"/>
            <w:hideMark/>
          </w:tcPr>
          <w:p w14:paraId="7F800A4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15</w:t>
            </w:r>
          </w:p>
        </w:tc>
      </w:tr>
      <w:tr w:rsidR="00501A22" w:rsidRPr="005B6E1D" w14:paraId="2CEF7E89"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3BA6C"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15</w:t>
            </w:r>
          </w:p>
        </w:tc>
        <w:tc>
          <w:tcPr>
            <w:tcW w:w="4138" w:type="dxa"/>
            <w:tcBorders>
              <w:top w:val="nil"/>
              <w:left w:val="nil"/>
              <w:bottom w:val="single" w:sz="4" w:space="0" w:color="auto"/>
              <w:right w:val="single" w:sz="4" w:space="0" w:color="auto"/>
            </w:tcBorders>
            <w:shd w:val="clear" w:color="auto" w:fill="auto"/>
            <w:noWrap/>
            <w:vAlign w:val="bottom"/>
            <w:hideMark/>
          </w:tcPr>
          <w:p w14:paraId="1413B6A6" w14:textId="77777777" w:rsidR="00501A22" w:rsidRPr="005B6E1D" w:rsidRDefault="00501A22" w:rsidP="00501A22">
            <w:pPr>
              <w:spacing w:after="0" w:line="240" w:lineRule="auto"/>
              <w:rPr>
                <w:rFonts w:ascii="Calibri" w:eastAsia="Times New Roman" w:hAnsi="Calibri" w:cs="Calibri"/>
                <w:color w:val="000000"/>
                <w:lang w:val="ro-RO" w:eastAsia="ro-RO"/>
              </w:rPr>
            </w:pPr>
            <w:r>
              <w:t>DN 67 – str. Stadionului</w:t>
            </w:r>
          </w:p>
        </w:tc>
        <w:tc>
          <w:tcPr>
            <w:tcW w:w="1310" w:type="dxa"/>
            <w:tcBorders>
              <w:top w:val="nil"/>
              <w:left w:val="nil"/>
              <w:bottom w:val="single" w:sz="4" w:space="0" w:color="auto"/>
              <w:right w:val="single" w:sz="4" w:space="0" w:color="auto"/>
            </w:tcBorders>
            <w:shd w:val="clear" w:color="auto" w:fill="auto"/>
            <w:noWrap/>
            <w:vAlign w:val="bottom"/>
            <w:hideMark/>
          </w:tcPr>
          <w:p w14:paraId="5352CA0E"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9</w:t>
            </w:r>
          </w:p>
        </w:tc>
        <w:tc>
          <w:tcPr>
            <w:tcW w:w="960" w:type="dxa"/>
            <w:tcBorders>
              <w:top w:val="nil"/>
              <w:left w:val="nil"/>
              <w:bottom w:val="single" w:sz="4" w:space="0" w:color="auto"/>
              <w:right w:val="single" w:sz="4" w:space="0" w:color="auto"/>
            </w:tcBorders>
            <w:shd w:val="clear" w:color="auto" w:fill="auto"/>
            <w:noWrap/>
            <w:vAlign w:val="bottom"/>
            <w:hideMark/>
          </w:tcPr>
          <w:p w14:paraId="2A1E6D6E"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90</w:t>
            </w:r>
          </w:p>
        </w:tc>
        <w:tc>
          <w:tcPr>
            <w:tcW w:w="1046" w:type="dxa"/>
            <w:tcBorders>
              <w:top w:val="nil"/>
              <w:left w:val="nil"/>
              <w:bottom w:val="single" w:sz="4" w:space="0" w:color="auto"/>
              <w:right w:val="single" w:sz="4" w:space="0" w:color="auto"/>
            </w:tcBorders>
            <w:shd w:val="clear" w:color="auto" w:fill="auto"/>
            <w:noWrap/>
            <w:vAlign w:val="bottom"/>
            <w:hideMark/>
          </w:tcPr>
          <w:p w14:paraId="6C58CF7A"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3102</w:t>
            </w:r>
          </w:p>
        </w:tc>
        <w:tc>
          <w:tcPr>
            <w:tcW w:w="1036" w:type="dxa"/>
            <w:tcBorders>
              <w:top w:val="nil"/>
              <w:left w:val="nil"/>
              <w:bottom w:val="single" w:sz="4" w:space="0" w:color="auto"/>
              <w:right w:val="single" w:sz="4" w:space="0" w:color="auto"/>
            </w:tcBorders>
            <w:shd w:val="clear" w:color="auto" w:fill="auto"/>
            <w:noWrap/>
            <w:vAlign w:val="bottom"/>
            <w:hideMark/>
          </w:tcPr>
          <w:p w14:paraId="261C7634"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225</w:t>
            </w:r>
          </w:p>
        </w:tc>
      </w:tr>
      <w:tr w:rsidR="00501A22" w:rsidRPr="005B6E1D" w14:paraId="1D175B99"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AD618D8"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16</w:t>
            </w:r>
          </w:p>
        </w:tc>
        <w:tc>
          <w:tcPr>
            <w:tcW w:w="4138" w:type="dxa"/>
            <w:tcBorders>
              <w:top w:val="nil"/>
              <w:left w:val="nil"/>
              <w:bottom w:val="single" w:sz="4" w:space="0" w:color="auto"/>
              <w:right w:val="single" w:sz="4" w:space="0" w:color="auto"/>
            </w:tcBorders>
            <w:shd w:val="clear" w:color="auto" w:fill="auto"/>
            <w:noWrap/>
            <w:vAlign w:val="bottom"/>
            <w:hideMark/>
          </w:tcPr>
          <w:p w14:paraId="028416D3" w14:textId="77777777" w:rsidR="00501A22" w:rsidRPr="005B6E1D" w:rsidRDefault="00501A22" w:rsidP="00501A22">
            <w:pPr>
              <w:spacing w:after="0" w:line="240" w:lineRule="auto"/>
              <w:rPr>
                <w:rFonts w:ascii="Calibri" w:eastAsia="Times New Roman" w:hAnsi="Calibri" w:cs="Calibri"/>
                <w:color w:val="000000"/>
                <w:lang w:val="ro-RO" w:eastAsia="ro-RO"/>
              </w:rPr>
            </w:pPr>
            <w:r>
              <w:t>DJ 669 – DC 146</w:t>
            </w:r>
          </w:p>
        </w:tc>
        <w:tc>
          <w:tcPr>
            <w:tcW w:w="1310" w:type="dxa"/>
            <w:tcBorders>
              <w:top w:val="nil"/>
              <w:left w:val="nil"/>
              <w:bottom w:val="single" w:sz="4" w:space="0" w:color="auto"/>
              <w:right w:val="single" w:sz="4" w:space="0" w:color="auto"/>
            </w:tcBorders>
            <w:shd w:val="clear" w:color="auto" w:fill="auto"/>
            <w:noWrap/>
            <w:vAlign w:val="bottom"/>
            <w:hideMark/>
          </w:tcPr>
          <w:p w14:paraId="206C55FA"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3</w:t>
            </w:r>
          </w:p>
        </w:tc>
        <w:tc>
          <w:tcPr>
            <w:tcW w:w="960" w:type="dxa"/>
            <w:tcBorders>
              <w:top w:val="nil"/>
              <w:left w:val="nil"/>
              <w:bottom w:val="single" w:sz="4" w:space="0" w:color="auto"/>
              <w:right w:val="single" w:sz="4" w:space="0" w:color="auto"/>
            </w:tcBorders>
            <w:shd w:val="clear" w:color="auto" w:fill="auto"/>
            <w:noWrap/>
            <w:vAlign w:val="bottom"/>
            <w:hideMark/>
          </w:tcPr>
          <w:p w14:paraId="772B099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27</w:t>
            </w:r>
          </w:p>
        </w:tc>
        <w:tc>
          <w:tcPr>
            <w:tcW w:w="1046" w:type="dxa"/>
            <w:tcBorders>
              <w:top w:val="nil"/>
              <w:left w:val="nil"/>
              <w:bottom w:val="single" w:sz="4" w:space="0" w:color="auto"/>
              <w:right w:val="single" w:sz="4" w:space="0" w:color="auto"/>
            </w:tcBorders>
            <w:shd w:val="clear" w:color="auto" w:fill="auto"/>
            <w:noWrap/>
            <w:vAlign w:val="bottom"/>
            <w:hideMark/>
          </w:tcPr>
          <w:p w14:paraId="491B2E4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891</w:t>
            </w:r>
          </w:p>
        </w:tc>
        <w:tc>
          <w:tcPr>
            <w:tcW w:w="1036" w:type="dxa"/>
            <w:tcBorders>
              <w:top w:val="nil"/>
              <w:left w:val="nil"/>
              <w:bottom w:val="single" w:sz="4" w:space="0" w:color="auto"/>
              <w:right w:val="single" w:sz="4" w:space="0" w:color="auto"/>
            </w:tcBorders>
            <w:shd w:val="clear" w:color="auto" w:fill="auto"/>
            <w:noWrap/>
            <w:vAlign w:val="bottom"/>
            <w:hideMark/>
          </w:tcPr>
          <w:p w14:paraId="32CA7C8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24</w:t>
            </w:r>
          </w:p>
        </w:tc>
      </w:tr>
      <w:tr w:rsidR="00501A22" w:rsidRPr="005B6E1D" w14:paraId="4DD7136A" w14:textId="77777777" w:rsidTr="00501A22">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21C44A"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sidRPr="005B6E1D">
              <w:rPr>
                <w:rFonts w:ascii="Calibri" w:eastAsia="Times New Roman" w:hAnsi="Calibri" w:cs="Calibri"/>
                <w:color w:val="000000"/>
                <w:lang w:val="ro-RO" w:eastAsia="ro-RO"/>
              </w:rPr>
              <w:t>17</w:t>
            </w:r>
          </w:p>
        </w:tc>
        <w:tc>
          <w:tcPr>
            <w:tcW w:w="4138" w:type="dxa"/>
            <w:tcBorders>
              <w:top w:val="nil"/>
              <w:left w:val="nil"/>
              <w:bottom w:val="single" w:sz="4" w:space="0" w:color="auto"/>
              <w:right w:val="single" w:sz="4" w:space="0" w:color="auto"/>
            </w:tcBorders>
            <w:shd w:val="clear" w:color="auto" w:fill="auto"/>
            <w:noWrap/>
            <w:vAlign w:val="bottom"/>
            <w:hideMark/>
          </w:tcPr>
          <w:p w14:paraId="3E741E34" w14:textId="77777777" w:rsidR="00501A22" w:rsidRPr="005B6E1D" w:rsidRDefault="00501A22" w:rsidP="00501A22">
            <w:pPr>
              <w:spacing w:after="0" w:line="240" w:lineRule="auto"/>
              <w:rPr>
                <w:rFonts w:ascii="Calibri" w:eastAsia="Times New Roman" w:hAnsi="Calibri" w:cs="Calibri"/>
                <w:color w:val="000000"/>
                <w:lang w:val="ro-RO" w:eastAsia="ro-RO"/>
              </w:rPr>
            </w:pPr>
            <w:r>
              <w:t>DJ 669 – str. Manastirii</w:t>
            </w:r>
          </w:p>
        </w:tc>
        <w:tc>
          <w:tcPr>
            <w:tcW w:w="1310" w:type="dxa"/>
            <w:tcBorders>
              <w:top w:val="nil"/>
              <w:left w:val="nil"/>
              <w:bottom w:val="single" w:sz="4" w:space="0" w:color="auto"/>
              <w:right w:val="single" w:sz="4" w:space="0" w:color="auto"/>
            </w:tcBorders>
            <w:shd w:val="clear" w:color="auto" w:fill="auto"/>
            <w:noWrap/>
            <w:vAlign w:val="bottom"/>
            <w:hideMark/>
          </w:tcPr>
          <w:p w14:paraId="07B78A22"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9</w:t>
            </w:r>
          </w:p>
        </w:tc>
        <w:tc>
          <w:tcPr>
            <w:tcW w:w="960" w:type="dxa"/>
            <w:tcBorders>
              <w:top w:val="nil"/>
              <w:left w:val="nil"/>
              <w:bottom w:val="single" w:sz="4" w:space="0" w:color="auto"/>
              <w:right w:val="single" w:sz="4" w:space="0" w:color="auto"/>
            </w:tcBorders>
            <w:shd w:val="clear" w:color="auto" w:fill="auto"/>
            <w:noWrap/>
            <w:vAlign w:val="bottom"/>
            <w:hideMark/>
          </w:tcPr>
          <w:p w14:paraId="273AFAA4"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27</w:t>
            </w:r>
          </w:p>
        </w:tc>
        <w:tc>
          <w:tcPr>
            <w:tcW w:w="1046" w:type="dxa"/>
            <w:tcBorders>
              <w:top w:val="nil"/>
              <w:left w:val="nil"/>
              <w:bottom w:val="single" w:sz="4" w:space="0" w:color="auto"/>
              <w:right w:val="single" w:sz="4" w:space="0" w:color="auto"/>
            </w:tcBorders>
            <w:shd w:val="clear" w:color="auto" w:fill="auto"/>
            <w:noWrap/>
            <w:vAlign w:val="bottom"/>
            <w:hideMark/>
          </w:tcPr>
          <w:p w14:paraId="1CAE3993"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750</w:t>
            </w:r>
          </w:p>
        </w:tc>
        <w:tc>
          <w:tcPr>
            <w:tcW w:w="1036" w:type="dxa"/>
            <w:tcBorders>
              <w:top w:val="nil"/>
              <w:left w:val="nil"/>
              <w:bottom w:val="single" w:sz="4" w:space="0" w:color="auto"/>
              <w:right w:val="single" w:sz="4" w:space="0" w:color="auto"/>
            </w:tcBorders>
            <w:shd w:val="clear" w:color="auto" w:fill="auto"/>
            <w:noWrap/>
            <w:vAlign w:val="bottom"/>
            <w:hideMark/>
          </w:tcPr>
          <w:p w14:paraId="62E387A1" w14:textId="77777777" w:rsidR="00501A22" w:rsidRPr="005B6E1D" w:rsidRDefault="00501A22" w:rsidP="00501A22">
            <w:pPr>
              <w:spacing w:after="0" w:line="240" w:lineRule="auto"/>
              <w:jc w:val="right"/>
              <w:rPr>
                <w:rFonts w:ascii="Calibri" w:eastAsia="Times New Roman" w:hAnsi="Calibri" w:cs="Calibri"/>
                <w:color w:val="000000"/>
                <w:lang w:val="ro-RO" w:eastAsia="ro-RO"/>
              </w:rPr>
            </w:pPr>
            <w:r>
              <w:rPr>
                <w:rFonts w:ascii="Arial" w:hAnsi="Arial" w:cs="Arial"/>
                <w:sz w:val="20"/>
                <w:szCs w:val="20"/>
              </w:rPr>
              <w:t>18</w:t>
            </w:r>
          </w:p>
        </w:tc>
      </w:tr>
    </w:tbl>
    <w:p w14:paraId="4F10A0E0" w14:textId="77777777" w:rsidR="00501A22" w:rsidRPr="005B6E1D" w:rsidRDefault="00501A22" w:rsidP="00501A22">
      <w:pPr>
        <w:widowControl w:val="0"/>
        <w:suppressAutoHyphens/>
        <w:spacing w:after="0" w:line="240" w:lineRule="auto"/>
        <w:rPr>
          <w:rFonts w:ascii="Arial" w:hAnsi="Arial" w:cs="Mangal"/>
          <w:kern w:val="1"/>
          <w:sz w:val="20"/>
          <w:szCs w:val="24"/>
          <w:lang w:val="ro-RO" w:eastAsia="hi-IN" w:bidi="hi-IN"/>
        </w:rPr>
      </w:pPr>
    </w:p>
    <w:p w14:paraId="4BF88345" w14:textId="77777777" w:rsidR="00063DCF" w:rsidRDefault="00063DCF" w:rsidP="00556B9F">
      <w:pPr>
        <w:widowControl w:val="0"/>
        <w:suppressAutoHyphens/>
        <w:spacing w:after="0" w:line="240" w:lineRule="auto"/>
        <w:rPr>
          <w:rFonts w:ascii="Arial" w:hAnsi="Arial" w:cs="Mangal"/>
          <w:kern w:val="1"/>
          <w:sz w:val="20"/>
          <w:szCs w:val="24"/>
          <w:lang w:val="ro-RO" w:eastAsia="hi-IN" w:bidi="hi-IN"/>
        </w:rPr>
      </w:pPr>
    </w:p>
    <w:p w14:paraId="17D0DC5D" w14:textId="77777777" w:rsidR="00063DCF" w:rsidRPr="00063DCF" w:rsidRDefault="00063DCF" w:rsidP="004D4294">
      <w:pPr>
        <w:suppressAutoHyphens/>
        <w:autoSpaceDE w:val="0"/>
        <w:spacing w:after="0" w:line="276" w:lineRule="auto"/>
        <w:jc w:val="both"/>
        <w:rPr>
          <w:rFonts w:ascii="Arial" w:eastAsia="Arial" w:hAnsi="Arial" w:cs="Arial"/>
          <w:color w:val="000000"/>
          <w:lang w:val="es-ES" w:eastAsia="zh-CN"/>
        </w:rPr>
      </w:pPr>
      <w:r w:rsidRPr="00063DCF">
        <w:rPr>
          <w:rFonts w:ascii="Arial" w:eastAsia="Arial" w:hAnsi="Arial" w:cs="Arial"/>
          <w:color w:val="000000"/>
          <w:lang w:val="es-ES" w:eastAsia="zh-CN"/>
        </w:rPr>
        <w:t>A fost făcută calibrarea maricilor OD pentru fiecare categorie de transport în CAR și LGV, BIKE, BUS si  HGV. Calibrarea a fost făcută atât pentru ora de vȃrf de dimineața (AM peak) cȃt și pentru ora de vȃrf de după-amiază (PM peak)</w:t>
      </w:r>
    </w:p>
    <w:p w14:paraId="42A29DA6" w14:textId="77777777" w:rsidR="00063DCF" w:rsidRPr="00063DCF" w:rsidRDefault="00063DCF" w:rsidP="004D4294">
      <w:pPr>
        <w:suppressAutoHyphens/>
        <w:autoSpaceDE w:val="0"/>
        <w:spacing w:after="0" w:line="276" w:lineRule="auto"/>
        <w:jc w:val="both"/>
        <w:rPr>
          <w:rFonts w:ascii="Arial" w:eastAsia="Arial" w:hAnsi="Arial" w:cs="Arial"/>
          <w:color w:val="000000"/>
          <w:lang w:val="es-ES" w:eastAsia="zh-CN"/>
        </w:rPr>
      </w:pPr>
    </w:p>
    <w:p w14:paraId="7386B62E" w14:textId="63FF1E92" w:rsidR="00063DCF" w:rsidRDefault="00063DCF" w:rsidP="004D4294">
      <w:pPr>
        <w:suppressAutoHyphens/>
        <w:autoSpaceDE w:val="0"/>
        <w:spacing w:after="0" w:line="276" w:lineRule="auto"/>
        <w:jc w:val="both"/>
        <w:rPr>
          <w:rFonts w:ascii="Arial" w:eastAsia="Arial" w:hAnsi="Arial" w:cs="Arial"/>
          <w:color w:val="000000"/>
          <w:lang w:val="es-ES" w:eastAsia="zh-CN"/>
        </w:rPr>
      </w:pPr>
      <w:r w:rsidRPr="00063DCF">
        <w:rPr>
          <w:rFonts w:ascii="Arial" w:eastAsia="Arial" w:hAnsi="Arial" w:cs="Arial"/>
          <w:color w:val="000000"/>
          <w:lang w:val="es-ES" w:eastAsia="zh-CN"/>
        </w:rPr>
        <w:t>Rezultatele calibrării modelului de afectare pentru autoturisme (CAR si LGV) se prezint</w:t>
      </w:r>
      <w:r w:rsidR="002B20CD">
        <w:rPr>
          <w:rFonts w:ascii="Arial" w:eastAsia="Arial" w:hAnsi="Arial" w:cs="Arial"/>
          <w:color w:val="000000"/>
          <w:lang w:val="es-ES" w:eastAsia="zh-CN"/>
        </w:rPr>
        <w:t>ă</w:t>
      </w:r>
      <w:r w:rsidRPr="00063DCF">
        <w:rPr>
          <w:rFonts w:ascii="Arial" w:eastAsia="Arial" w:hAnsi="Arial" w:cs="Arial"/>
          <w:color w:val="000000"/>
          <w:lang w:val="es-ES" w:eastAsia="zh-CN"/>
        </w:rPr>
        <w:t xml:space="preserve"> grafic </w:t>
      </w:r>
      <w:r w:rsidR="002B20CD">
        <w:rPr>
          <w:rFonts w:ascii="Arial" w:eastAsia="Arial" w:hAnsi="Arial" w:cs="Arial"/>
          <w:color w:val="000000"/>
          <w:lang w:val="es-ES" w:eastAsia="zh-CN"/>
        </w:rPr>
        <w:t>ș</w:t>
      </w:r>
      <w:r w:rsidRPr="00063DCF">
        <w:rPr>
          <w:rFonts w:ascii="Arial" w:eastAsia="Arial" w:hAnsi="Arial" w:cs="Arial"/>
          <w:color w:val="000000"/>
          <w:lang w:val="es-ES" w:eastAsia="zh-CN"/>
        </w:rPr>
        <w:t>i tabel</w:t>
      </w:r>
      <w:r w:rsidR="00501A22">
        <w:rPr>
          <w:rFonts w:ascii="Arial" w:eastAsia="Arial" w:hAnsi="Arial" w:cs="Arial"/>
          <w:color w:val="000000"/>
          <w:lang w:val="es-ES" w:eastAsia="zh-CN"/>
        </w:rPr>
        <w:t>ar</w:t>
      </w:r>
      <w:r w:rsidRPr="00063DCF">
        <w:rPr>
          <w:rFonts w:ascii="Arial" w:eastAsia="Arial" w:hAnsi="Arial" w:cs="Arial"/>
          <w:color w:val="000000"/>
          <w:lang w:val="es-ES" w:eastAsia="zh-CN"/>
        </w:rPr>
        <w:t xml:space="preserve"> mai jos:</w:t>
      </w:r>
    </w:p>
    <w:p w14:paraId="4D44B5B5" w14:textId="77777777" w:rsidR="00E426F3" w:rsidRDefault="00E426F3" w:rsidP="004D4294">
      <w:pPr>
        <w:suppressAutoHyphens/>
        <w:autoSpaceDE w:val="0"/>
        <w:spacing w:after="0" w:line="276" w:lineRule="auto"/>
        <w:jc w:val="both"/>
        <w:rPr>
          <w:rFonts w:ascii="Arial" w:eastAsia="Arial" w:hAnsi="Arial" w:cs="Arial"/>
          <w:color w:val="000000"/>
          <w:lang w:val="es-ES" w:eastAsia="zh-CN"/>
        </w:rPr>
      </w:pPr>
    </w:p>
    <w:p w14:paraId="1207EA7D" w14:textId="16A50296" w:rsidR="00063DCF" w:rsidRDefault="0022048B" w:rsidP="0022048B">
      <w:pPr>
        <w:pStyle w:val="Legend"/>
        <w:jc w:val="center"/>
        <w:rPr>
          <w:rFonts w:ascii="Arial" w:hAnsi="Arial" w:cs="Arial"/>
          <w:i w:val="0"/>
          <w:iCs w:val="0"/>
          <w:sz w:val="22"/>
          <w:szCs w:val="22"/>
        </w:rPr>
      </w:pPr>
      <w:bookmarkStart w:id="254" w:name="_Toc68361229"/>
      <w:bookmarkStart w:id="255" w:name="_Toc96447400"/>
      <w:r w:rsidRPr="0022048B">
        <w:rPr>
          <w:rFonts w:ascii="Arial" w:hAnsi="Arial" w:cs="Arial"/>
          <w:sz w:val="22"/>
          <w:szCs w:val="22"/>
        </w:rPr>
        <w:t xml:space="preserve">Tabel I.3. </w:t>
      </w:r>
      <w:r w:rsidRPr="0022048B">
        <w:rPr>
          <w:rFonts w:ascii="Arial" w:hAnsi="Arial" w:cs="Arial"/>
          <w:sz w:val="22"/>
          <w:szCs w:val="22"/>
        </w:rPr>
        <w:fldChar w:fldCharType="begin"/>
      </w:r>
      <w:r w:rsidRPr="0022048B">
        <w:rPr>
          <w:rFonts w:ascii="Arial" w:hAnsi="Arial" w:cs="Arial"/>
          <w:sz w:val="22"/>
          <w:szCs w:val="22"/>
        </w:rPr>
        <w:instrText xml:space="preserve"> SEQ Tabel_I.3. \* ARABIC </w:instrText>
      </w:r>
      <w:r w:rsidRPr="0022048B">
        <w:rPr>
          <w:rFonts w:ascii="Arial" w:hAnsi="Arial" w:cs="Arial"/>
          <w:sz w:val="22"/>
          <w:szCs w:val="22"/>
        </w:rPr>
        <w:fldChar w:fldCharType="separate"/>
      </w:r>
      <w:r w:rsidR="00BB181C">
        <w:rPr>
          <w:rFonts w:ascii="Arial" w:hAnsi="Arial" w:cs="Arial"/>
          <w:noProof/>
          <w:sz w:val="22"/>
          <w:szCs w:val="22"/>
        </w:rPr>
        <w:t>4</w:t>
      </w:r>
      <w:r w:rsidRPr="0022048B">
        <w:rPr>
          <w:rFonts w:ascii="Arial" w:hAnsi="Arial" w:cs="Arial"/>
          <w:sz w:val="22"/>
          <w:szCs w:val="22"/>
        </w:rPr>
        <w:fldChar w:fldCharType="end"/>
      </w:r>
      <w:r w:rsidRPr="0022048B">
        <w:rPr>
          <w:rFonts w:ascii="Arial" w:hAnsi="Arial" w:cs="Arial"/>
          <w:sz w:val="22"/>
          <w:szCs w:val="22"/>
        </w:rPr>
        <w:t xml:space="preserve"> </w:t>
      </w:r>
      <w:r w:rsidR="00063DCF" w:rsidRPr="0022048B">
        <w:rPr>
          <w:rFonts w:ascii="Arial" w:hAnsi="Arial" w:cs="Arial"/>
          <w:sz w:val="22"/>
          <w:szCs w:val="22"/>
        </w:rPr>
        <w:t xml:space="preserve">- </w:t>
      </w:r>
      <w:r w:rsidR="00063DCF" w:rsidRPr="0022048B">
        <w:rPr>
          <w:rFonts w:ascii="Arial" w:hAnsi="Arial" w:cs="Arial"/>
          <w:i w:val="0"/>
          <w:iCs w:val="0"/>
          <w:sz w:val="22"/>
          <w:szCs w:val="22"/>
        </w:rPr>
        <w:t>Rezultatul calibrării matricei CAR pentru AM peak</w:t>
      </w:r>
      <w:bookmarkEnd w:id="254"/>
      <w:bookmarkEnd w:id="255"/>
    </w:p>
    <w:tbl>
      <w:tblPr>
        <w:tblW w:w="10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1220"/>
        <w:gridCol w:w="2986"/>
        <w:gridCol w:w="1734"/>
        <w:gridCol w:w="1768"/>
        <w:gridCol w:w="1096"/>
        <w:gridCol w:w="720"/>
      </w:tblGrid>
      <w:tr w:rsidR="00501A22" w:rsidRPr="00515B1F" w14:paraId="25A7147F" w14:textId="77777777" w:rsidTr="00501A22">
        <w:trPr>
          <w:trHeight w:val="290"/>
        </w:trPr>
        <w:tc>
          <w:tcPr>
            <w:tcW w:w="897" w:type="dxa"/>
            <w:shd w:val="clear" w:color="auto" w:fill="auto"/>
            <w:noWrap/>
            <w:vAlign w:val="bottom"/>
            <w:hideMark/>
          </w:tcPr>
          <w:p w14:paraId="54BB86EA"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Link</w:t>
            </w:r>
          </w:p>
        </w:tc>
        <w:tc>
          <w:tcPr>
            <w:tcW w:w="1220" w:type="dxa"/>
            <w:shd w:val="clear" w:color="auto" w:fill="auto"/>
            <w:noWrap/>
            <w:vAlign w:val="bottom"/>
            <w:hideMark/>
          </w:tcPr>
          <w:p w14:paraId="3933A01E"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 </w:t>
            </w:r>
          </w:p>
        </w:tc>
        <w:tc>
          <w:tcPr>
            <w:tcW w:w="2986" w:type="dxa"/>
            <w:shd w:val="clear" w:color="auto" w:fill="auto"/>
            <w:noWrap/>
            <w:vAlign w:val="bottom"/>
            <w:hideMark/>
          </w:tcPr>
          <w:p w14:paraId="0C9261F6"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Label</w:t>
            </w:r>
          </w:p>
        </w:tc>
        <w:tc>
          <w:tcPr>
            <w:tcW w:w="1734" w:type="dxa"/>
            <w:shd w:val="clear" w:color="000000" w:fill="DCE6F1"/>
            <w:noWrap/>
            <w:vAlign w:val="bottom"/>
            <w:hideMark/>
          </w:tcPr>
          <w:p w14:paraId="66C4E3A5"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Census</w:t>
            </w:r>
          </w:p>
        </w:tc>
        <w:tc>
          <w:tcPr>
            <w:tcW w:w="1768" w:type="dxa"/>
            <w:shd w:val="clear" w:color="000000" w:fill="F2DCDB"/>
            <w:noWrap/>
            <w:vAlign w:val="bottom"/>
            <w:hideMark/>
          </w:tcPr>
          <w:p w14:paraId="2A5E2382"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Model</w:t>
            </w:r>
          </w:p>
        </w:tc>
        <w:tc>
          <w:tcPr>
            <w:tcW w:w="1096" w:type="dxa"/>
            <w:shd w:val="clear" w:color="auto" w:fill="auto"/>
            <w:noWrap/>
            <w:vAlign w:val="bottom"/>
            <w:hideMark/>
          </w:tcPr>
          <w:p w14:paraId="788501A6"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Evaluation</w:t>
            </w:r>
          </w:p>
        </w:tc>
        <w:tc>
          <w:tcPr>
            <w:tcW w:w="720" w:type="dxa"/>
            <w:shd w:val="clear" w:color="auto" w:fill="auto"/>
            <w:noWrap/>
            <w:vAlign w:val="bottom"/>
            <w:hideMark/>
          </w:tcPr>
          <w:p w14:paraId="219D2BD3"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 </w:t>
            </w:r>
          </w:p>
        </w:tc>
      </w:tr>
      <w:tr w:rsidR="00501A22" w:rsidRPr="00515B1F" w14:paraId="363CF2C1" w14:textId="77777777" w:rsidTr="00501A22">
        <w:trPr>
          <w:trHeight w:val="290"/>
        </w:trPr>
        <w:tc>
          <w:tcPr>
            <w:tcW w:w="897" w:type="dxa"/>
            <w:shd w:val="clear" w:color="auto" w:fill="auto"/>
            <w:noWrap/>
            <w:vAlign w:val="bottom"/>
            <w:hideMark/>
          </w:tcPr>
          <w:p w14:paraId="15CA139F"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Number</w:t>
            </w:r>
          </w:p>
        </w:tc>
        <w:tc>
          <w:tcPr>
            <w:tcW w:w="1220" w:type="dxa"/>
            <w:shd w:val="clear" w:color="auto" w:fill="auto"/>
            <w:noWrap/>
            <w:vAlign w:val="bottom"/>
            <w:hideMark/>
          </w:tcPr>
          <w:p w14:paraId="045F792E"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From node number</w:t>
            </w:r>
          </w:p>
        </w:tc>
        <w:tc>
          <w:tcPr>
            <w:tcW w:w="2986" w:type="dxa"/>
            <w:shd w:val="clear" w:color="auto" w:fill="auto"/>
            <w:noWrap/>
            <w:vAlign w:val="bottom"/>
            <w:hideMark/>
          </w:tcPr>
          <w:p w14:paraId="5DB898F3"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DenumirePunctRecenzat</w:t>
            </w:r>
          </w:p>
        </w:tc>
        <w:tc>
          <w:tcPr>
            <w:tcW w:w="1734" w:type="dxa"/>
            <w:shd w:val="clear" w:color="000000" w:fill="DCE6F1"/>
            <w:noWrap/>
            <w:vAlign w:val="bottom"/>
            <w:hideMark/>
          </w:tcPr>
          <w:p w14:paraId="0DD087CF"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COUNT_PM_CARS</w:t>
            </w:r>
          </w:p>
        </w:tc>
        <w:tc>
          <w:tcPr>
            <w:tcW w:w="1768" w:type="dxa"/>
            <w:shd w:val="clear" w:color="000000" w:fill="F2DCDB"/>
            <w:noWrap/>
            <w:vAlign w:val="bottom"/>
            <w:hideMark/>
          </w:tcPr>
          <w:p w14:paraId="13F6C866"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Volume-TSys [veh] (CAR,AP)</w:t>
            </w:r>
          </w:p>
        </w:tc>
        <w:tc>
          <w:tcPr>
            <w:tcW w:w="1096" w:type="dxa"/>
            <w:shd w:val="clear" w:color="auto" w:fill="auto"/>
            <w:noWrap/>
            <w:vAlign w:val="bottom"/>
            <w:hideMark/>
          </w:tcPr>
          <w:p w14:paraId="7D72AD5E"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%-Deviation</w:t>
            </w:r>
          </w:p>
        </w:tc>
        <w:tc>
          <w:tcPr>
            <w:tcW w:w="720" w:type="dxa"/>
            <w:shd w:val="clear" w:color="auto" w:fill="auto"/>
            <w:noWrap/>
            <w:vAlign w:val="bottom"/>
            <w:hideMark/>
          </w:tcPr>
          <w:p w14:paraId="3371F7D2"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GEH</w:t>
            </w:r>
          </w:p>
        </w:tc>
      </w:tr>
      <w:tr w:rsidR="00501A22" w:rsidRPr="00515B1F" w14:paraId="208D359F" w14:textId="77777777" w:rsidTr="00501A22">
        <w:trPr>
          <w:trHeight w:val="290"/>
        </w:trPr>
        <w:tc>
          <w:tcPr>
            <w:tcW w:w="897" w:type="dxa"/>
            <w:shd w:val="clear" w:color="auto" w:fill="auto"/>
            <w:noWrap/>
            <w:vAlign w:val="bottom"/>
            <w:hideMark/>
          </w:tcPr>
          <w:p w14:paraId="5B39AA2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98</w:t>
            </w:r>
          </w:p>
        </w:tc>
        <w:tc>
          <w:tcPr>
            <w:tcW w:w="1220" w:type="dxa"/>
            <w:shd w:val="clear" w:color="auto" w:fill="auto"/>
            <w:noWrap/>
            <w:vAlign w:val="bottom"/>
            <w:hideMark/>
          </w:tcPr>
          <w:p w14:paraId="4E429F4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78</w:t>
            </w:r>
          </w:p>
        </w:tc>
        <w:tc>
          <w:tcPr>
            <w:tcW w:w="2986" w:type="dxa"/>
            <w:shd w:val="clear" w:color="auto" w:fill="auto"/>
            <w:noWrap/>
            <w:vAlign w:val="bottom"/>
            <w:hideMark/>
          </w:tcPr>
          <w:p w14:paraId="6CE4FDDE"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(A)</w:t>
            </w:r>
          </w:p>
        </w:tc>
        <w:tc>
          <w:tcPr>
            <w:tcW w:w="1734" w:type="dxa"/>
            <w:shd w:val="clear" w:color="000000" w:fill="DCE6F1"/>
            <w:noWrap/>
            <w:vAlign w:val="bottom"/>
            <w:hideMark/>
          </w:tcPr>
          <w:p w14:paraId="27EC2BC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86</w:t>
            </w:r>
          </w:p>
        </w:tc>
        <w:tc>
          <w:tcPr>
            <w:tcW w:w="1768" w:type="dxa"/>
            <w:shd w:val="clear" w:color="000000" w:fill="F2DCDB"/>
            <w:noWrap/>
            <w:vAlign w:val="bottom"/>
            <w:hideMark/>
          </w:tcPr>
          <w:p w14:paraId="2A57599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93</w:t>
            </w:r>
          </w:p>
        </w:tc>
        <w:tc>
          <w:tcPr>
            <w:tcW w:w="1096" w:type="dxa"/>
            <w:shd w:val="clear" w:color="auto" w:fill="auto"/>
            <w:noWrap/>
            <w:vAlign w:val="bottom"/>
            <w:hideMark/>
          </w:tcPr>
          <w:p w14:paraId="7413C9F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7%</w:t>
            </w:r>
          </w:p>
        </w:tc>
        <w:tc>
          <w:tcPr>
            <w:tcW w:w="720" w:type="dxa"/>
            <w:shd w:val="clear" w:color="auto" w:fill="auto"/>
            <w:noWrap/>
            <w:vAlign w:val="bottom"/>
            <w:hideMark/>
          </w:tcPr>
          <w:p w14:paraId="36381512"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0,7</w:t>
            </w:r>
          </w:p>
        </w:tc>
      </w:tr>
      <w:tr w:rsidR="00501A22" w:rsidRPr="00515B1F" w14:paraId="02C1E432" w14:textId="77777777" w:rsidTr="00501A22">
        <w:trPr>
          <w:trHeight w:val="290"/>
        </w:trPr>
        <w:tc>
          <w:tcPr>
            <w:tcW w:w="897" w:type="dxa"/>
            <w:shd w:val="clear" w:color="auto" w:fill="auto"/>
            <w:noWrap/>
            <w:vAlign w:val="bottom"/>
            <w:hideMark/>
          </w:tcPr>
          <w:p w14:paraId="644EE5A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98</w:t>
            </w:r>
          </w:p>
        </w:tc>
        <w:tc>
          <w:tcPr>
            <w:tcW w:w="1220" w:type="dxa"/>
            <w:shd w:val="clear" w:color="auto" w:fill="auto"/>
            <w:noWrap/>
            <w:vAlign w:val="bottom"/>
            <w:hideMark/>
          </w:tcPr>
          <w:p w14:paraId="41CE4B0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88</w:t>
            </w:r>
          </w:p>
        </w:tc>
        <w:tc>
          <w:tcPr>
            <w:tcW w:w="2986" w:type="dxa"/>
            <w:shd w:val="clear" w:color="auto" w:fill="auto"/>
            <w:noWrap/>
            <w:vAlign w:val="bottom"/>
            <w:hideMark/>
          </w:tcPr>
          <w:p w14:paraId="22205CCD"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(A)</w:t>
            </w:r>
          </w:p>
        </w:tc>
        <w:tc>
          <w:tcPr>
            <w:tcW w:w="1734" w:type="dxa"/>
            <w:shd w:val="clear" w:color="000000" w:fill="DCE6F1"/>
            <w:noWrap/>
            <w:vAlign w:val="bottom"/>
            <w:hideMark/>
          </w:tcPr>
          <w:p w14:paraId="4E94EC7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83</w:t>
            </w:r>
          </w:p>
        </w:tc>
        <w:tc>
          <w:tcPr>
            <w:tcW w:w="1768" w:type="dxa"/>
            <w:shd w:val="clear" w:color="000000" w:fill="F2DCDB"/>
            <w:noWrap/>
            <w:vAlign w:val="bottom"/>
            <w:hideMark/>
          </w:tcPr>
          <w:p w14:paraId="4240F38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98</w:t>
            </w:r>
          </w:p>
        </w:tc>
        <w:tc>
          <w:tcPr>
            <w:tcW w:w="1096" w:type="dxa"/>
            <w:shd w:val="clear" w:color="auto" w:fill="auto"/>
            <w:noWrap/>
            <w:vAlign w:val="bottom"/>
            <w:hideMark/>
          </w:tcPr>
          <w:p w14:paraId="50CAD7B5"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15%</w:t>
            </w:r>
          </w:p>
        </w:tc>
        <w:tc>
          <w:tcPr>
            <w:tcW w:w="720" w:type="dxa"/>
            <w:shd w:val="clear" w:color="auto" w:fill="auto"/>
            <w:noWrap/>
            <w:vAlign w:val="bottom"/>
            <w:hideMark/>
          </w:tcPr>
          <w:p w14:paraId="10C222E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1,6</w:t>
            </w:r>
          </w:p>
        </w:tc>
      </w:tr>
      <w:tr w:rsidR="00501A22" w:rsidRPr="00515B1F" w14:paraId="59446DF9" w14:textId="77777777" w:rsidTr="00501A22">
        <w:trPr>
          <w:trHeight w:val="290"/>
        </w:trPr>
        <w:tc>
          <w:tcPr>
            <w:tcW w:w="897" w:type="dxa"/>
            <w:shd w:val="clear" w:color="auto" w:fill="auto"/>
            <w:noWrap/>
            <w:vAlign w:val="bottom"/>
            <w:hideMark/>
          </w:tcPr>
          <w:p w14:paraId="635BF15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100</w:t>
            </w:r>
          </w:p>
        </w:tc>
        <w:tc>
          <w:tcPr>
            <w:tcW w:w="1220" w:type="dxa"/>
            <w:shd w:val="clear" w:color="auto" w:fill="auto"/>
            <w:noWrap/>
            <w:vAlign w:val="bottom"/>
            <w:hideMark/>
          </w:tcPr>
          <w:p w14:paraId="5946394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89</w:t>
            </w:r>
          </w:p>
        </w:tc>
        <w:tc>
          <w:tcPr>
            <w:tcW w:w="2986" w:type="dxa"/>
            <w:shd w:val="clear" w:color="auto" w:fill="auto"/>
            <w:noWrap/>
            <w:vAlign w:val="bottom"/>
            <w:hideMark/>
          </w:tcPr>
          <w:p w14:paraId="76110D45"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(B)</w:t>
            </w:r>
          </w:p>
        </w:tc>
        <w:tc>
          <w:tcPr>
            <w:tcW w:w="1734" w:type="dxa"/>
            <w:shd w:val="clear" w:color="000000" w:fill="DCE6F1"/>
            <w:noWrap/>
            <w:vAlign w:val="bottom"/>
            <w:hideMark/>
          </w:tcPr>
          <w:p w14:paraId="0737092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111</w:t>
            </w:r>
          </w:p>
        </w:tc>
        <w:tc>
          <w:tcPr>
            <w:tcW w:w="1768" w:type="dxa"/>
            <w:shd w:val="clear" w:color="000000" w:fill="F2DCDB"/>
            <w:noWrap/>
            <w:vAlign w:val="bottom"/>
            <w:hideMark/>
          </w:tcPr>
          <w:p w14:paraId="6566E50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85</w:t>
            </w:r>
          </w:p>
        </w:tc>
        <w:tc>
          <w:tcPr>
            <w:tcW w:w="1096" w:type="dxa"/>
            <w:shd w:val="clear" w:color="auto" w:fill="auto"/>
            <w:noWrap/>
            <w:vAlign w:val="bottom"/>
            <w:hideMark/>
          </w:tcPr>
          <w:p w14:paraId="376CF87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-24%</w:t>
            </w:r>
          </w:p>
        </w:tc>
        <w:tc>
          <w:tcPr>
            <w:tcW w:w="720" w:type="dxa"/>
            <w:shd w:val="clear" w:color="auto" w:fill="auto"/>
            <w:noWrap/>
            <w:vAlign w:val="bottom"/>
            <w:hideMark/>
          </w:tcPr>
          <w:p w14:paraId="6A83B1AF"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2,7</w:t>
            </w:r>
          </w:p>
        </w:tc>
      </w:tr>
      <w:tr w:rsidR="00501A22" w:rsidRPr="00515B1F" w14:paraId="57ED507F" w14:textId="77777777" w:rsidTr="00501A22">
        <w:trPr>
          <w:trHeight w:val="290"/>
        </w:trPr>
        <w:tc>
          <w:tcPr>
            <w:tcW w:w="897" w:type="dxa"/>
            <w:shd w:val="clear" w:color="auto" w:fill="auto"/>
            <w:noWrap/>
            <w:vAlign w:val="bottom"/>
            <w:hideMark/>
          </w:tcPr>
          <w:p w14:paraId="313BDCC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113</w:t>
            </w:r>
          </w:p>
        </w:tc>
        <w:tc>
          <w:tcPr>
            <w:tcW w:w="1220" w:type="dxa"/>
            <w:shd w:val="clear" w:color="auto" w:fill="auto"/>
            <w:noWrap/>
            <w:vAlign w:val="bottom"/>
            <w:hideMark/>
          </w:tcPr>
          <w:p w14:paraId="6091604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151</w:t>
            </w:r>
          </w:p>
        </w:tc>
        <w:tc>
          <w:tcPr>
            <w:tcW w:w="2986" w:type="dxa"/>
            <w:shd w:val="clear" w:color="auto" w:fill="auto"/>
            <w:noWrap/>
            <w:vAlign w:val="bottom"/>
            <w:hideMark/>
          </w:tcPr>
          <w:p w14:paraId="4428A25F"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8 - DC 142 – str. Matei Basarab</w:t>
            </w:r>
          </w:p>
        </w:tc>
        <w:tc>
          <w:tcPr>
            <w:tcW w:w="1734" w:type="dxa"/>
            <w:shd w:val="clear" w:color="000000" w:fill="DCE6F1"/>
            <w:noWrap/>
            <w:vAlign w:val="bottom"/>
            <w:hideMark/>
          </w:tcPr>
          <w:p w14:paraId="65E9F10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w:t>
            </w:r>
          </w:p>
        </w:tc>
        <w:tc>
          <w:tcPr>
            <w:tcW w:w="1768" w:type="dxa"/>
            <w:shd w:val="clear" w:color="000000" w:fill="F2DCDB"/>
            <w:noWrap/>
            <w:vAlign w:val="bottom"/>
            <w:hideMark/>
          </w:tcPr>
          <w:p w14:paraId="5AD05D3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w:t>
            </w:r>
          </w:p>
        </w:tc>
        <w:tc>
          <w:tcPr>
            <w:tcW w:w="1096" w:type="dxa"/>
            <w:shd w:val="clear" w:color="auto" w:fill="auto"/>
            <w:noWrap/>
            <w:vAlign w:val="bottom"/>
            <w:hideMark/>
          </w:tcPr>
          <w:p w14:paraId="06946E8F"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c>
          <w:tcPr>
            <w:tcW w:w="720" w:type="dxa"/>
            <w:shd w:val="clear" w:color="auto" w:fill="auto"/>
            <w:noWrap/>
            <w:vAlign w:val="bottom"/>
            <w:hideMark/>
          </w:tcPr>
          <w:p w14:paraId="07620F3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0,1</w:t>
            </w:r>
          </w:p>
        </w:tc>
      </w:tr>
      <w:tr w:rsidR="00501A22" w:rsidRPr="00515B1F" w14:paraId="76E9A09A" w14:textId="77777777" w:rsidTr="00501A22">
        <w:trPr>
          <w:trHeight w:val="290"/>
        </w:trPr>
        <w:tc>
          <w:tcPr>
            <w:tcW w:w="897" w:type="dxa"/>
            <w:shd w:val="clear" w:color="auto" w:fill="auto"/>
            <w:noWrap/>
            <w:vAlign w:val="bottom"/>
            <w:hideMark/>
          </w:tcPr>
          <w:p w14:paraId="4635EA7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117</w:t>
            </w:r>
          </w:p>
        </w:tc>
        <w:tc>
          <w:tcPr>
            <w:tcW w:w="1220" w:type="dxa"/>
            <w:shd w:val="clear" w:color="auto" w:fill="auto"/>
            <w:noWrap/>
            <w:vAlign w:val="bottom"/>
            <w:hideMark/>
          </w:tcPr>
          <w:p w14:paraId="1D71626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94</w:t>
            </w:r>
          </w:p>
        </w:tc>
        <w:tc>
          <w:tcPr>
            <w:tcW w:w="2986" w:type="dxa"/>
            <w:shd w:val="clear" w:color="auto" w:fill="auto"/>
            <w:noWrap/>
            <w:vAlign w:val="bottom"/>
            <w:hideMark/>
          </w:tcPr>
          <w:p w14:paraId="21D9BF19"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14 - DC 146 – str. Mircea cel Batran</w:t>
            </w:r>
          </w:p>
        </w:tc>
        <w:tc>
          <w:tcPr>
            <w:tcW w:w="1734" w:type="dxa"/>
            <w:shd w:val="clear" w:color="000000" w:fill="DCE6F1"/>
            <w:noWrap/>
            <w:vAlign w:val="bottom"/>
            <w:hideMark/>
          </w:tcPr>
          <w:p w14:paraId="3984F13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132</w:t>
            </w:r>
          </w:p>
        </w:tc>
        <w:tc>
          <w:tcPr>
            <w:tcW w:w="1768" w:type="dxa"/>
            <w:shd w:val="clear" w:color="000000" w:fill="F2DCDB"/>
            <w:noWrap/>
            <w:vAlign w:val="bottom"/>
            <w:hideMark/>
          </w:tcPr>
          <w:p w14:paraId="3C2650E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107</w:t>
            </w:r>
          </w:p>
        </w:tc>
        <w:tc>
          <w:tcPr>
            <w:tcW w:w="1096" w:type="dxa"/>
            <w:shd w:val="clear" w:color="auto" w:fill="auto"/>
            <w:noWrap/>
            <w:vAlign w:val="bottom"/>
            <w:hideMark/>
          </w:tcPr>
          <w:p w14:paraId="24FA6ECF"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-19%</w:t>
            </w:r>
          </w:p>
        </w:tc>
        <w:tc>
          <w:tcPr>
            <w:tcW w:w="720" w:type="dxa"/>
            <w:shd w:val="clear" w:color="auto" w:fill="auto"/>
            <w:noWrap/>
            <w:vAlign w:val="bottom"/>
            <w:hideMark/>
          </w:tcPr>
          <w:p w14:paraId="3679BA3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2,3</w:t>
            </w:r>
          </w:p>
        </w:tc>
      </w:tr>
      <w:tr w:rsidR="00501A22" w:rsidRPr="00515B1F" w14:paraId="6BC0BB91" w14:textId="77777777" w:rsidTr="00501A22">
        <w:trPr>
          <w:trHeight w:val="290"/>
        </w:trPr>
        <w:tc>
          <w:tcPr>
            <w:tcW w:w="897" w:type="dxa"/>
            <w:shd w:val="clear" w:color="auto" w:fill="auto"/>
            <w:noWrap/>
            <w:vAlign w:val="bottom"/>
            <w:hideMark/>
          </w:tcPr>
          <w:p w14:paraId="7BC31ED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119</w:t>
            </w:r>
          </w:p>
        </w:tc>
        <w:tc>
          <w:tcPr>
            <w:tcW w:w="1220" w:type="dxa"/>
            <w:shd w:val="clear" w:color="auto" w:fill="auto"/>
            <w:noWrap/>
            <w:vAlign w:val="bottom"/>
            <w:hideMark/>
          </w:tcPr>
          <w:p w14:paraId="07840C4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97</w:t>
            </w:r>
          </w:p>
        </w:tc>
        <w:tc>
          <w:tcPr>
            <w:tcW w:w="2986" w:type="dxa"/>
            <w:shd w:val="clear" w:color="auto" w:fill="auto"/>
            <w:noWrap/>
            <w:vAlign w:val="bottom"/>
            <w:hideMark/>
          </w:tcPr>
          <w:p w14:paraId="6FD7F3B4"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9 - DC 143 – str. Mihai Viteazu</w:t>
            </w:r>
          </w:p>
        </w:tc>
        <w:tc>
          <w:tcPr>
            <w:tcW w:w="1734" w:type="dxa"/>
            <w:shd w:val="clear" w:color="000000" w:fill="DCE6F1"/>
            <w:noWrap/>
            <w:vAlign w:val="bottom"/>
            <w:hideMark/>
          </w:tcPr>
          <w:p w14:paraId="4AAD408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35</w:t>
            </w:r>
          </w:p>
        </w:tc>
        <w:tc>
          <w:tcPr>
            <w:tcW w:w="1768" w:type="dxa"/>
            <w:shd w:val="clear" w:color="000000" w:fill="F2DCDB"/>
            <w:noWrap/>
            <w:vAlign w:val="bottom"/>
            <w:hideMark/>
          </w:tcPr>
          <w:p w14:paraId="7390F92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w:t>
            </w:r>
          </w:p>
        </w:tc>
        <w:tc>
          <w:tcPr>
            <w:tcW w:w="1096" w:type="dxa"/>
            <w:shd w:val="clear" w:color="auto" w:fill="auto"/>
            <w:noWrap/>
            <w:vAlign w:val="bottom"/>
            <w:hideMark/>
          </w:tcPr>
          <w:p w14:paraId="1BB3D212"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-25%</w:t>
            </w:r>
          </w:p>
        </w:tc>
        <w:tc>
          <w:tcPr>
            <w:tcW w:w="720" w:type="dxa"/>
            <w:shd w:val="clear" w:color="auto" w:fill="auto"/>
            <w:noWrap/>
            <w:vAlign w:val="bottom"/>
            <w:hideMark/>
          </w:tcPr>
          <w:p w14:paraId="5C8EC24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1,6</w:t>
            </w:r>
          </w:p>
        </w:tc>
      </w:tr>
      <w:tr w:rsidR="00501A22" w:rsidRPr="00515B1F" w14:paraId="14991E91" w14:textId="77777777" w:rsidTr="00501A22">
        <w:trPr>
          <w:trHeight w:val="290"/>
        </w:trPr>
        <w:tc>
          <w:tcPr>
            <w:tcW w:w="897" w:type="dxa"/>
            <w:shd w:val="clear" w:color="auto" w:fill="auto"/>
            <w:noWrap/>
            <w:vAlign w:val="bottom"/>
            <w:hideMark/>
          </w:tcPr>
          <w:p w14:paraId="5BE8A15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198</w:t>
            </w:r>
          </w:p>
        </w:tc>
        <w:tc>
          <w:tcPr>
            <w:tcW w:w="1220" w:type="dxa"/>
            <w:shd w:val="clear" w:color="auto" w:fill="auto"/>
            <w:noWrap/>
            <w:vAlign w:val="bottom"/>
            <w:hideMark/>
          </w:tcPr>
          <w:p w14:paraId="06823D3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1714</w:t>
            </w:r>
          </w:p>
        </w:tc>
        <w:tc>
          <w:tcPr>
            <w:tcW w:w="2986" w:type="dxa"/>
            <w:shd w:val="clear" w:color="auto" w:fill="auto"/>
            <w:noWrap/>
            <w:vAlign w:val="bottom"/>
            <w:hideMark/>
          </w:tcPr>
          <w:p w14:paraId="4D73C3DE"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5 - DC 142 – str. Alex. Vlahuta</w:t>
            </w:r>
          </w:p>
        </w:tc>
        <w:tc>
          <w:tcPr>
            <w:tcW w:w="1734" w:type="dxa"/>
            <w:shd w:val="clear" w:color="000000" w:fill="DCE6F1"/>
            <w:noWrap/>
            <w:vAlign w:val="bottom"/>
            <w:hideMark/>
          </w:tcPr>
          <w:p w14:paraId="6D2E07C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w:t>
            </w:r>
          </w:p>
        </w:tc>
        <w:tc>
          <w:tcPr>
            <w:tcW w:w="1768" w:type="dxa"/>
            <w:shd w:val="clear" w:color="000000" w:fill="F2DCDB"/>
            <w:noWrap/>
            <w:vAlign w:val="bottom"/>
            <w:hideMark/>
          </w:tcPr>
          <w:p w14:paraId="19ECEE8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w:t>
            </w:r>
          </w:p>
        </w:tc>
        <w:tc>
          <w:tcPr>
            <w:tcW w:w="1096" w:type="dxa"/>
            <w:shd w:val="clear" w:color="auto" w:fill="auto"/>
            <w:noWrap/>
            <w:vAlign w:val="bottom"/>
            <w:hideMark/>
          </w:tcPr>
          <w:p w14:paraId="3187827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c>
          <w:tcPr>
            <w:tcW w:w="720" w:type="dxa"/>
            <w:shd w:val="clear" w:color="auto" w:fill="auto"/>
            <w:noWrap/>
            <w:vAlign w:val="bottom"/>
            <w:hideMark/>
          </w:tcPr>
          <w:p w14:paraId="36A5E042"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w:t>
            </w:r>
          </w:p>
        </w:tc>
      </w:tr>
      <w:tr w:rsidR="00501A22" w:rsidRPr="00515B1F" w14:paraId="33C8D6FF" w14:textId="77777777" w:rsidTr="00501A22">
        <w:trPr>
          <w:trHeight w:val="290"/>
        </w:trPr>
        <w:tc>
          <w:tcPr>
            <w:tcW w:w="897" w:type="dxa"/>
            <w:shd w:val="clear" w:color="auto" w:fill="auto"/>
            <w:noWrap/>
            <w:vAlign w:val="bottom"/>
            <w:hideMark/>
          </w:tcPr>
          <w:p w14:paraId="51366B4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206</w:t>
            </w:r>
          </w:p>
        </w:tc>
        <w:tc>
          <w:tcPr>
            <w:tcW w:w="1220" w:type="dxa"/>
            <w:shd w:val="clear" w:color="auto" w:fill="auto"/>
            <w:noWrap/>
            <w:vAlign w:val="bottom"/>
            <w:hideMark/>
          </w:tcPr>
          <w:p w14:paraId="2FBF65E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162</w:t>
            </w:r>
          </w:p>
        </w:tc>
        <w:tc>
          <w:tcPr>
            <w:tcW w:w="2986" w:type="dxa"/>
            <w:shd w:val="clear" w:color="auto" w:fill="auto"/>
            <w:noWrap/>
            <w:vAlign w:val="bottom"/>
            <w:hideMark/>
          </w:tcPr>
          <w:p w14:paraId="5CB43AB5"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7 - DC 144 – str. spre Romanii de Sus (Stejarului)</w:t>
            </w:r>
          </w:p>
        </w:tc>
        <w:tc>
          <w:tcPr>
            <w:tcW w:w="1734" w:type="dxa"/>
            <w:shd w:val="clear" w:color="000000" w:fill="DCE6F1"/>
            <w:noWrap/>
            <w:vAlign w:val="bottom"/>
            <w:hideMark/>
          </w:tcPr>
          <w:p w14:paraId="093D270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18</w:t>
            </w:r>
          </w:p>
        </w:tc>
        <w:tc>
          <w:tcPr>
            <w:tcW w:w="1768" w:type="dxa"/>
            <w:shd w:val="clear" w:color="000000" w:fill="F2DCDB"/>
            <w:noWrap/>
            <w:vAlign w:val="bottom"/>
            <w:hideMark/>
          </w:tcPr>
          <w:p w14:paraId="0A0EA89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w:t>
            </w:r>
          </w:p>
        </w:tc>
        <w:tc>
          <w:tcPr>
            <w:tcW w:w="1096" w:type="dxa"/>
            <w:shd w:val="clear" w:color="auto" w:fill="auto"/>
            <w:noWrap/>
            <w:vAlign w:val="bottom"/>
            <w:hideMark/>
          </w:tcPr>
          <w:p w14:paraId="6F654333"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31%</w:t>
            </w:r>
          </w:p>
        </w:tc>
        <w:tc>
          <w:tcPr>
            <w:tcW w:w="720" w:type="dxa"/>
            <w:shd w:val="clear" w:color="auto" w:fill="auto"/>
            <w:noWrap/>
            <w:vAlign w:val="bottom"/>
            <w:hideMark/>
          </w:tcPr>
          <w:p w14:paraId="1ACFDFC9"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1,7</w:t>
            </w:r>
          </w:p>
        </w:tc>
      </w:tr>
      <w:tr w:rsidR="00501A22" w:rsidRPr="00515B1F" w14:paraId="78317574" w14:textId="77777777" w:rsidTr="00501A22">
        <w:trPr>
          <w:trHeight w:val="290"/>
        </w:trPr>
        <w:tc>
          <w:tcPr>
            <w:tcW w:w="897" w:type="dxa"/>
            <w:shd w:val="clear" w:color="auto" w:fill="auto"/>
            <w:noWrap/>
            <w:vAlign w:val="bottom"/>
            <w:hideMark/>
          </w:tcPr>
          <w:p w14:paraId="3AECB83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206</w:t>
            </w:r>
          </w:p>
        </w:tc>
        <w:tc>
          <w:tcPr>
            <w:tcW w:w="1220" w:type="dxa"/>
            <w:shd w:val="clear" w:color="auto" w:fill="auto"/>
            <w:noWrap/>
            <w:vAlign w:val="bottom"/>
            <w:hideMark/>
          </w:tcPr>
          <w:p w14:paraId="2664366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937</w:t>
            </w:r>
          </w:p>
        </w:tc>
        <w:tc>
          <w:tcPr>
            <w:tcW w:w="2986" w:type="dxa"/>
            <w:shd w:val="clear" w:color="auto" w:fill="auto"/>
            <w:noWrap/>
            <w:vAlign w:val="bottom"/>
            <w:hideMark/>
          </w:tcPr>
          <w:p w14:paraId="6D87E322"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7 - DC 144 – str. spre Romanii de Sus (Stejarului)</w:t>
            </w:r>
          </w:p>
        </w:tc>
        <w:tc>
          <w:tcPr>
            <w:tcW w:w="1734" w:type="dxa"/>
            <w:shd w:val="clear" w:color="000000" w:fill="DCE6F1"/>
            <w:noWrap/>
            <w:vAlign w:val="bottom"/>
            <w:hideMark/>
          </w:tcPr>
          <w:p w14:paraId="112187C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19</w:t>
            </w:r>
          </w:p>
        </w:tc>
        <w:tc>
          <w:tcPr>
            <w:tcW w:w="1768" w:type="dxa"/>
            <w:shd w:val="clear" w:color="000000" w:fill="F2DCDB"/>
            <w:noWrap/>
            <w:vAlign w:val="bottom"/>
            <w:hideMark/>
          </w:tcPr>
          <w:p w14:paraId="4E6219C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21</w:t>
            </w:r>
          </w:p>
        </w:tc>
        <w:tc>
          <w:tcPr>
            <w:tcW w:w="1096" w:type="dxa"/>
            <w:shd w:val="clear" w:color="auto" w:fill="auto"/>
            <w:noWrap/>
            <w:vAlign w:val="bottom"/>
            <w:hideMark/>
          </w:tcPr>
          <w:p w14:paraId="2483F49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11%</w:t>
            </w:r>
          </w:p>
        </w:tc>
        <w:tc>
          <w:tcPr>
            <w:tcW w:w="720" w:type="dxa"/>
            <w:shd w:val="clear" w:color="auto" w:fill="auto"/>
            <w:noWrap/>
            <w:vAlign w:val="bottom"/>
            <w:hideMark/>
          </w:tcPr>
          <w:p w14:paraId="754BCE2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0F144308" w14:textId="77777777" w:rsidTr="00501A22">
        <w:trPr>
          <w:trHeight w:val="290"/>
        </w:trPr>
        <w:tc>
          <w:tcPr>
            <w:tcW w:w="897" w:type="dxa"/>
            <w:shd w:val="clear" w:color="auto" w:fill="auto"/>
            <w:noWrap/>
            <w:vAlign w:val="bottom"/>
            <w:hideMark/>
          </w:tcPr>
          <w:p w14:paraId="1C73CC9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477</w:t>
            </w:r>
          </w:p>
        </w:tc>
        <w:tc>
          <w:tcPr>
            <w:tcW w:w="1220" w:type="dxa"/>
            <w:shd w:val="clear" w:color="auto" w:fill="auto"/>
            <w:noWrap/>
            <w:vAlign w:val="bottom"/>
            <w:hideMark/>
          </w:tcPr>
          <w:p w14:paraId="217BA00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391</w:t>
            </w:r>
          </w:p>
        </w:tc>
        <w:tc>
          <w:tcPr>
            <w:tcW w:w="2986" w:type="dxa"/>
            <w:shd w:val="clear" w:color="auto" w:fill="auto"/>
            <w:noWrap/>
            <w:vAlign w:val="bottom"/>
            <w:hideMark/>
          </w:tcPr>
          <w:p w14:paraId="1EB72614"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6 - DC 143 – str. Stirbei Voda</w:t>
            </w:r>
          </w:p>
        </w:tc>
        <w:tc>
          <w:tcPr>
            <w:tcW w:w="1734" w:type="dxa"/>
            <w:shd w:val="clear" w:color="000000" w:fill="DCE6F1"/>
            <w:noWrap/>
            <w:vAlign w:val="bottom"/>
            <w:hideMark/>
          </w:tcPr>
          <w:p w14:paraId="733C989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w:t>
            </w:r>
          </w:p>
        </w:tc>
        <w:tc>
          <w:tcPr>
            <w:tcW w:w="1768" w:type="dxa"/>
            <w:shd w:val="clear" w:color="000000" w:fill="F2DCDB"/>
            <w:noWrap/>
            <w:vAlign w:val="bottom"/>
            <w:hideMark/>
          </w:tcPr>
          <w:p w14:paraId="76B5E19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w:t>
            </w:r>
          </w:p>
        </w:tc>
        <w:tc>
          <w:tcPr>
            <w:tcW w:w="1096" w:type="dxa"/>
            <w:shd w:val="clear" w:color="auto" w:fill="auto"/>
            <w:noWrap/>
            <w:vAlign w:val="bottom"/>
            <w:hideMark/>
          </w:tcPr>
          <w:p w14:paraId="3A9B7149"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-17%</w:t>
            </w:r>
          </w:p>
        </w:tc>
        <w:tc>
          <w:tcPr>
            <w:tcW w:w="720" w:type="dxa"/>
            <w:shd w:val="clear" w:color="auto" w:fill="auto"/>
            <w:noWrap/>
            <w:vAlign w:val="bottom"/>
            <w:hideMark/>
          </w:tcPr>
          <w:p w14:paraId="7855CFD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0,3</w:t>
            </w:r>
          </w:p>
        </w:tc>
      </w:tr>
      <w:tr w:rsidR="00501A22" w:rsidRPr="00515B1F" w14:paraId="3E1E96E7" w14:textId="77777777" w:rsidTr="00501A22">
        <w:trPr>
          <w:trHeight w:val="290"/>
        </w:trPr>
        <w:tc>
          <w:tcPr>
            <w:tcW w:w="897" w:type="dxa"/>
            <w:shd w:val="clear" w:color="auto" w:fill="auto"/>
            <w:noWrap/>
            <w:vAlign w:val="bottom"/>
            <w:hideMark/>
          </w:tcPr>
          <w:p w14:paraId="175C333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477</w:t>
            </w:r>
          </w:p>
        </w:tc>
        <w:tc>
          <w:tcPr>
            <w:tcW w:w="1220" w:type="dxa"/>
            <w:shd w:val="clear" w:color="auto" w:fill="auto"/>
            <w:noWrap/>
            <w:vAlign w:val="bottom"/>
            <w:hideMark/>
          </w:tcPr>
          <w:p w14:paraId="4724BBD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1720</w:t>
            </w:r>
          </w:p>
        </w:tc>
        <w:tc>
          <w:tcPr>
            <w:tcW w:w="2986" w:type="dxa"/>
            <w:shd w:val="clear" w:color="auto" w:fill="auto"/>
            <w:noWrap/>
            <w:vAlign w:val="bottom"/>
            <w:hideMark/>
          </w:tcPr>
          <w:p w14:paraId="6747D7B0"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6 - DC 143 – str. Stirbei Voda</w:t>
            </w:r>
          </w:p>
        </w:tc>
        <w:tc>
          <w:tcPr>
            <w:tcW w:w="1734" w:type="dxa"/>
            <w:shd w:val="clear" w:color="000000" w:fill="DCE6F1"/>
            <w:noWrap/>
            <w:vAlign w:val="bottom"/>
            <w:hideMark/>
          </w:tcPr>
          <w:p w14:paraId="4A2A62F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w:t>
            </w:r>
          </w:p>
        </w:tc>
        <w:tc>
          <w:tcPr>
            <w:tcW w:w="1768" w:type="dxa"/>
            <w:shd w:val="clear" w:color="000000" w:fill="F2DCDB"/>
            <w:noWrap/>
            <w:vAlign w:val="bottom"/>
            <w:hideMark/>
          </w:tcPr>
          <w:p w14:paraId="57226F8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w:t>
            </w:r>
          </w:p>
        </w:tc>
        <w:tc>
          <w:tcPr>
            <w:tcW w:w="1096" w:type="dxa"/>
            <w:shd w:val="clear" w:color="auto" w:fill="auto"/>
            <w:noWrap/>
            <w:vAlign w:val="bottom"/>
            <w:hideMark/>
          </w:tcPr>
          <w:p w14:paraId="5F1D357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-26%</w:t>
            </w:r>
          </w:p>
        </w:tc>
        <w:tc>
          <w:tcPr>
            <w:tcW w:w="720" w:type="dxa"/>
            <w:shd w:val="clear" w:color="auto" w:fill="auto"/>
            <w:noWrap/>
            <w:vAlign w:val="bottom"/>
            <w:hideMark/>
          </w:tcPr>
          <w:p w14:paraId="7E9891C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0,6</w:t>
            </w:r>
          </w:p>
        </w:tc>
      </w:tr>
      <w:tr w:rsidR="00501A22" w:rsidRPr="00515B1F" w14:paraId="77816F78" w14:textId="77777777" w:rsidTr="00501A22">
        <w:trPr>
          <w:trHeight w:val="290"/>
        </w:trPr>
        <w:tc>
          <w:tcPr>
            <w:tcW w:w="897" w:type="dxa"/>
            <w:shd w:val="clear" w:color="auto" w:fill="auto"/>
            <w:noWrap/>
            <w:vAlign w:val="bottom"/>
            <w:hideMark/>
          </w:tcPr>
          <w:p w14:paraId="368FFA8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481</w:t>
            </w:r>
          </w:p>
        </w:tc>
        <w:tc>
          <w:tcPr>
            <w:tcW w:w="1220" w:type="dxa"/>
            <w:shd w:val="clear" w:color="auto" w:fill="auto"/>
            <w:noWrap/>
            <w:vAlign w:val="bottom"/>
            <w:hideMark/>
          </w:tcPr>
          <w:p w14:paraId="4C8BDCD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162</w:t>
            </w:r>
          </w:p>
        </w:tc>
        <w:tc>
          <w:tcPr>
            <w:tcW w:w="2986" w:type="dxa"/>
            <w:shd w:val="clear" w:color="auto" w:fill="auto"/>
            <w:noWrap/>
            <w:vAlign w:val="bottom"/>
            <w:hideMark/>
          </w:tcPr>
          <w:p w14:paraId="2CA53533"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7 - DC 144 – str. spre Romanii de Sus (Stejarului)</w:t>
            </w:r>
          </w:p>
        </w:tc>
        <w:tc>
          <w:tcPr>
            <w:tcW w:w="1734" w:type="dxa"/>
            <w:shd w:val="clear" w:color="000000" w:fill="DCE6F1"/>
            <w:noWrap/>
            <w:vAlign w:val="bottom"/>
            <w:hideMark/>
          </w:tcPr>
          <w:p w14:paraId="58F6A55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w:t>
            </w:r>
          </w:p>
        </w:tc>
        <w:tc>
          <w:tcPr>
            <w:tcW w:w="1768" w:type="dxa"/>
            <w:shd w:val="clear" w:color="000000" w:fill="F2DCDB"/>
            <w:noWrap/>
            <w:vAlign w:val="bottom"/>
            <w:hideMark/>
          </w:tcPr>
          <w:p w14:paraId="0932D7B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w:t>
            </w:r>
          </w:p>
        </w:tc>
        <w:tc>
          <w:tcPr>
            <w:tcW w:w="1096" w:type="dxa"/>
            <w:shd w:val="clear" w:color="auto" w:fill="auto"/>
            <w:noWrap/>
            <w:vAlign w:val="bottom"/>
            <w:hideMark/>
          </w:tcPr>
          <w:p w14:paraId="7E89AB9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3%</w:t>
            </w:r>
          </w:p>
        </w:tc>
        <w:tc>
          <w:tcPr>
            <w:tcW w:w="720" w:type="dxa"/>
            <w:shd w:val="clear" w:color="auto" w:fill="auto"/>
            <w:noWrap/>
            <w:vAlign w:val="bottom"/>
            <w:hideMark/>
          </w:tcPr>
          <w:p w14:paraId="0289B215"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0,1</w:t>
            </w:r>
          </w:p>
        </w:tc>
      </w:tr>
      <w:tr w:rsidR="00501A22" w:rsidRPr="00515B1F" w14:paraId="5C66E0D1" w14:textId="77777777" w:rsidTr="00501A22">
        <w:trPr>
          <w:trHeight w:val="290"/>
        </w:trPr>
        <w:tc>
          <w:tcPr>
            <w:tcW w:w="897" w:type="dxa"/>
            <w:shd w:val="clear" w:color="auto" w:fill="auto"/>
            <w:noWrap/>
            <w:vAlign w:val="bottom"/>
            <w:hideMark/>
          </w:tcPr>
          <w:p w14:paraId="3B9E565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481</w:t>
            </w:r>
          </w:p>
        </w:tc>
        <w:tc>
          <w:tcPr>
            <w:tcW w:w="1220" w:type="dxa"/>
            <w:shd w:val="clear" w:color="auto" w:fill="auto"/>
            <w:noWrap/>
            <w:vAlign w:val="bottom"/>
            <w:hideMark/>
          </w:tcPr>
          <w:p w14:paraId="446423C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395</w:t>
            </w:r>
          </w:p>
        </w:tc>
        <w:tc>
          <w:tcPr>
            <w:tcW w:w="2986" w:type="dxa"/>
            <w:shd w:val="clear" w:color="auto" w:fill="auto"/>
            <w:noWrap/>
            <w:vAlign w:val="bottom"/>
            <w:hideMark/>
          </w:tcPr>
          <w:p w14:paraId="50BE262B"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7 - DC 144 – str. spre Romanii de Sus (Stejarului)</w:t>
            </w:r>
          </w:p>
        </w:tc>
        <w:tc>
          <w:tcPr>
            <w:tcW w:w="1734" w:type="dxa"/>
            <w:shd w:val="clear" w:color="000000" w:fill="DCE6F1"/>
            <w:noWrap/>
            <w:vAlign w:val="bottom"/>
            <w:hideMark/>
          </w:tcPr>
          <w:p w14:paraId="29CB306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w:t>
            </w:r>
          </w:p>
        </w:tc>
        <w:tc>
          <w:tcPr>
            <w:tcW w:w="1768" w:type="dxa"/>
            <w:shd w:val="clear" w:color="000000" w:fill="F2DCDB"/>
            <w:noWrap/>
            <w:vAlign w:val="bottom"/>
            <w:hideMark/>
          </w:tcPr>
          <w:p w14:paraId="730C2DF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w:t>
            </w:r>
          </w:p>
        </w:tc>
        <w:tc>
          <w:tcPr>
            <w:tcW w:w="1096" w:type="dxa"/>
            <w:shd w:val="clear" w:color="auto" w:fill="auto"/>
            <w:noWrap/>
            <w:vAlign w:val="bottom"/>
            <w:hideMark/>
          </w:tcPr>
          <w:p w14:paraId="354C3B1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23%</w:t>
            </w:r>
          </w:p>
        </w:tc>
        <w:tc>
          <w:tcPr>
            <w:tcW w:w="720" w:type="dxa"/>
            <w:shd w:val="clear" w:color="auto" w:fill="auto"/>
            <w:noWrap/>
            <w:vAlign w:val="bottom"/>
            <w:hideMark/>
          </w:tcPr>
          <w:p w14:paraId="4882C90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0,9</w:t>
            </w:r>
          </w:p>
        </w:tc>
      </w:tr>
      <w:tr w:rsidR="00501A22" w:rsidRPr="00515B1F" w14:paraId="2946EB91" w14:textId="77777777" w:rsidTr="00501A22">
        <w:trPr>
          <w:trHeight w:val="290"/>
        </w:trPr>
        <w:tc>
          <w:tcPr>
            <w:tcW w:w="897" w:type="dxa"/>
            <w:shd w:val="clear" w:color="auto" w:fill="auto"/>
            <w:noWrap/>
            <w:vAlign w:val="bottom"/>
            <w:hideMark/>
          </w:tcPr>
          <w:p w14:paraId="71CB928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571</w:t>
            </w:r>
          </w:p>
        </w:tc>
        <w:tc>
          <w:tcPr>
            <w:tcW w:w="1220" w:type="dxa"/>
            <w:shd w:val="clear" w:color="auto" w:fill="auto"/>
            <w:noWrap/>
            <w:vAlign w:val="bottom"/>
            <w:hideMark/>
          </w:tcPr>
          <w:p w14:paraId="29C0643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153</w:t>
            </w:r>
          </w:p>
        </w:tc>
        <w:tc>
          <w:tcPr>
            <w:tcW w:w="2986" w:type="dxa"/>
            <w:shd w:val="clear" w:color="auto" w:fill="auto"/>
            <w:noWrap/>
            <w:vAlign w:val="bottom"/>
            <w:hideMark/>
          </w:tcPr>
          <w:p w14:paraId="54D237EC"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15 - DN 67 – str. Stadionului</w:t>
            </w:r>
          </w:p>
        </w:tc>
        <w:tc>
          <w:tcPr>
            <w:tcW w:w="1734" w:type="dxa"/>
            <w:shd w:val="clear" w:color="000000" w:fill="DCE6F1"/>
            <w:noWrap/>
            <w:vAlign w:val="bottom"/>
            <w:hideMark/>
          </w:tcPr>
          <w:p w14:paraId="1FB848A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294</w:t>
            </w:r>
          </w:p>
        </w:tc>
        <w:tc>
          <w:tcPr>
            <w:tcW w:w="1768" w:type="dxa"/>
            <w:shd w:val="clear" w:color="000000" w:fill="F2DCDB"/>
            <w:noWrap/>
            <w:vAlign w:val="bottom"/>
            <w:hideMark/>
          </w:tcPr>
          <w:p w14:paraId="7BC8FCE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330</w:t>
            </w:r>
          </w:p>
        </w:tc>
        <w:tc>
          <w:tcPr>
            <w:tcW w:w="1096" w:type="dxa"/>
            <w:shd w:val="clear" w:color="auto" w:fill="auto"/>
            <w:noWrap/>
            <w:vAlign w:val="bottom"/>
            <w:hideMark/>
          </w:tcPr>
          <w:p w14:paraId="689BCF09"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11%</w:t>
            </w:r>
          </w:p>
        </w:tc>
        <w:tc>
          <w:tcPr>
            <w:tcW w:w="720" w:type="dxa"/>
            <w:shd w:val="clear" w:color="auto" w:fill="auto"/>
            <w:noWrap/>
            <w:vAlign w:val="bottom"/>
            <w:hideMark/>
          </w:tcPr>
          <w:p w14:paraId="3C627C4A"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r>
      <w:tr w:rsidR="00501A22" w:rsidRPr="00515B1F" w14:paraId="41233D25" w14:textId="77777777" w:rsidTr="00501A22">
        <w:trPr>
          <w:trHeight w:val="290"/>
        </w:trPr>
        <w:tc>
          <w:tcPr>
            <w:tcW w:w="897" w:type="dxa"/>
            <w:shd w:val="clear" w:color="auto" w:fill="auto"/>
            <w:noWrap/>
            <w:vAlign w:val="bottom"/>
            <w:hideMark/>
          </w:tcPr>
          <w:p w14:paraId="20C7D47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571</w:t>
            </w:r>
          </w:p>
        </w:tc>
        <w:tc>
          <w:tcPr>
            <w:tcW w:w="1220" w:type="dxa"/>
            <w:shd w:val="clear" w:color="auto" w:fill="auto"/>
            <w:noWrap/>
            <w:vAlign w:val="bottom"/>
            <w:hideMark/>
          </w:tcPr>
          <w:p w14:paraId="2D2FD62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3614</w:t>
            </w:r>
          </w:p>
        </w:tc>
        <w:tc>
          <w:tcPr>
            <w:tcW w:w="2986" w:type="dxa"/>
            <w:shd w:val="clear" w:color="auto" w:fill="auto"/>
            <w:noWrap/>
            <w:vAlign w:val="bottom"/>
            <w:hideMark/>
          </w:tcPr>
          <w:p w14:paraId="1F37F4C8"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15 - DN 67 – str. Stadionului</w:t>
            </w:r>
          </w:p>
        </w:tc>
        <w:tc>
          <w:tcPr>
            <w:tcW w:w="1734" w:type="dxa"/>
            <w:shd w:val="clear" w:color="000000" w:fill="DCE6F1"/>
            <w:noWrap/>
            <w:vAlign w:val="bottom"/>
            <w:hideMark/>
          </w:tcPr>
          <w:p w14:paraId="40B6693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231</w:t>
            </w:r>
          </w:p>
        </w:tc>
        <w:tc>
          <w:tcPr>
            <w:tcW w:w="1768" w:type="dxa"/>
            <w:shd w:val="clear" w:color="000000" w:fill="F2DCDB"/>
            <w:noWrap/>
            <w:vAlign w:val="bottom"/>
            <w:hideMark/>
          </w:tcPr>
          <w:p w14:paraId="30EFEEB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260</w:t>
            </w:r>
          </w:p>
        </w:tc>
        <w:tc>
          <w:tcPr>
            <w:tcW w:w="1096" w:type="dxa"/>
            <w:shd w:val="clear" w:color="auto" w:fill="auto"/>
            <w:noWrap/>
            <w:vAlign w:val="bottom"/>
            <w:hideMark/>
          </w:tcPr>
          <w:p w14:paraId="7FA522F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11%</w:t>
            </w:r>
          </w:p>
        </w:tc>
        <w:tc>
          <w:tcPr>
            <w:tcW w:w="720" w:type="dxa"/>
            <w:shd w:val="clear" w:color="auto" w:fill="auto"/>
            <w:noWrap/>
            <w:vAlign w:val="bottom"/>
            <w:hideMark/>
          </w:tcPr>
          <w:p w14:paraId="7D3A503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1,9</w:t>
            </w:r>
          </w:p>
        </w:tc>
      </w:tr>
      <w:tr w:rsidR="00501A22" w:rsidRPr="00515B1F" w14:paraId="78B3C381" w14:textId="77777777" w:rsidTr="00501A22">
        <w:trPr>
          <w:trHeight w:val="290"/>
        </w:trPr>
        <w:tc>
          <w:tcPr>
            <w:tcW w:w="897" w:type="dxa"/>
            <w:shd w:val="clear" w:color="auto" w:fill="auto"/>
            <w:noWrap/>
            <w:vAlign w:val="bottom"/>
            <w:hideMark/>
          </w:tcPr>
          <w:p w14:paraId="7FED8A1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572</w:t>
            </w:r>
          </w:p>
        </w:tc>
        <w:tc>
          <w:tcPr>
            <w:tcW w:w="1220" w:type="dxa"/>
            <w:shd w:val="clear" w:color="auto" w:fill="auto"/>
            <w:noWrap/>
            <w:vAlign w:val="bottom"/>
            <w:hideMark/>
          </w:tcPr>
          <w:p w14:paraId="56D7391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143</w:t>
            </w:r>
          </w:p>
        </w:tc>
        <w:tc>
          <w:tcPr>
            <w:tcW w:w="2986" w:type="dxa"/>
            <w:shd w:val="clear" w:color="auto" w:fill="auto"/>
            <w:noWrap/>
            <w:vAlign w:val="bottom"/>
            <w:hideMark/>
          </w:tcPr>
          <w:p w14:paraId="19B541AE"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15 - DN 67 – str. Stadionului</w:t>
            </w:r>
          </w:p>
        </w:tc>
        <w:tc>
          <w:tcPr>
            <w:tcW w:w="1734" w:type="dxa"/>
            <w:shd w:val="clear" w:color="000000" w:fill="DCE6F1"/>
            <w:noWrap/>
            <w:vAlign w:val="bottom"/>
            <w:hideMark/>
          </w:tcPr>
          <w:p w14:paraId="59A5776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292</w:t>
            </w:r>
          </w:p>
        </w:tc>
        <w:tc>
          <w:tcPr>
            <w:tcW w:w="1768" w:type="dxa"/>
            <w:shd w:val="clear" w:color="000000" w:fill="F2DCDB"/>
            <w:noWrap/>
            <w:vAlign w:val="bottom"/>
            <w:hideMark/>
          </w:tcPr>
          <w:p w14:paraId="3BE2269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314</w:t>
            </w:r>
          </w:p>
        </w:tc>
        <w:tc>
          <w:tcPr>
            <w:tcW w:w="1096" w:type="dxa"/>
            <w:shd w:val="clear" w:color="auto" w:fill="auto"/>
            <w:noWrap/>
            <w:vAlign w:val="bottom"/>
            <w:hideMark/>
          </w:tcPr>
          <w:p w14:paraId="6DEF8B4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7%</w:t>
            </w:r>
          </w:p>
        </w:tc>
        <w:tc>
          <w:tcPr>
            <w:tcW w:w="720" w:type="dxa"/>
            <w:shd w:val="clear" w:color="auto" w:fill="auto"/>
            <w:noWrap/>
            <w:vAlign w:val="bottom"/>
            <w:hideMark/>
          </w:tcPr>
          <w:p w14:paraId="19C0135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1,3</w:t>
            </w:r>
          </w:p>
        </w:tc>
      </w:tr>
      <w:tr w:rsidR="00501A22" w:rsidRPr="00515B1F" w14:paraId="2D4F8E90" w14:textId="77777777" w:rsidTr="00501A22">
        <w:trPr>
          <w:trHeight w:val="290"/>
        </w:trPr>
        <w:tc>
          <w:tcPr>
            <w:tcW w:w="897" w:type="dxa"/>
            <w:shd w:val="clear" w:color="auto" w:fill="auto"/>
            <w:noWrap/>
            <w:vAlign w:val="bottom"/>
            <w:hideMark/>
          </w:tcPr>
          <w:p w14:paraId="23601B3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572</w:t>
            </w:r>
          </w:p>
        </w:tc>
        <w:tc>
          <w:tcPr>
            <w:tcW w:w="1220" w:type="dxa"/>
            <w:shd w:val="clear" w:color="auto" w:fill="auto"/>
            <w:noWrap/>
            <w:vAlign w:val="bottom"/>
            <w:hideMark/>
          </w:tcPr>
          <w:p w14:paraId="3900971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153</w:t>
            </w:r>
          </w:p>
        </w:tc>
        <w:tc>
          <w:tcPr>
            <w:tcW w:w="2986" w:type="dxa"/>
            <w:shd w:val="clear" w:color="auto" w:fill="auto"/>
            <w:noWrap/>
            <w:vAlign w:val="bottom"/>
            <w:hideMark/>
          </w:tcPr>
          <w:p w14:paraId="66B16190"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15 - DN 67 – str. Stadionului</w:t>
            </w:r>
          </w:p>
        </w:tc>
        <w:tc>
          <w:tcPr>
            <w:tcW w:w="1734" w:type="dxa"/>
            <w:shd w:val="clear" w:color="000000" w:fill="DCE6F1"/>
            <w:noWrap/>
            <w:vAlign w:val="bottom"/>
            <w:hideMark/>
          </w:tcPr>
          <w:p w14:paraId="3DF8B61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263</w:t>
            </w:r>
          </w:p>
        </w:tc>
        <w:tc>
          <w:tcPr>
            <w:tcW w:w="1768" w:type="dxa"/>
            <w:shd w:val="clear" w:color="000000" w:fill="F2DCDB"/>
            <w:noWrap/>
            <w:vAlign w:val="bottom"/>
            <w:hideMark/>
          </w:tcPr>
          <w:p w14:paraId="096E75F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279</w:t>
            </w:r>
          </w:p>
        </w:tc>
        <w:tc>
          <w:tcPr>
            <w:tcW w:w="1096" w:type="dxa"/>
            <w:shd w:val="clear" w:color="auto" w:fill="auto"/>
            <w:noWrap/>
            <w:vAlign w:val="bottom"/>
            <w:hideMark/>
          </w:tcPr>
          <w:p w14:paraId="6DB01D8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6%</w:t>
            </w:r>
          </w:p>
        </w:tc>
        <w:tc>
          <w:tcPr>
            <w:tcW w:w="720" w:type="dxa"/>
            <w:shd w:val="clear" w:color="auto" w:fill="auto"/>
            <w:noWrap/>
            <w:vAlign w:val="bottom"/>
            <w:hideMark/>
          </w:tcPr>
          <w:p w14:paraId="1869C8F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r>
      <w:tr w:rsidR="00501A22" w:rsidRPr="00515B1F" w14:paraId="0F0EB87D" w14:textId="77777777" w:rsidTr="00501A22">
        <w:trPr>
          <w:trHeight w:val="290"/>
        </w:trPr>
        <w:tc>
          <w:tcPr>
            <w:tcW w:w="897" w:type="dxa"/>
            <w:shd w:val="clear" w:color="auto" w:fill="auto"/>
            <w:noWrap/>
            <w:vAlign w:val="bottom"/>
            <w:hideMark/>
          </w:tcPr>
          <w:p w14:paraId="601CF43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1148</w:t>
            </w:r>
          </w:p>
        </w:tc>
        <w:tc>
          <w:tcPr>
            <w:tcW w:w="1220" w:type="dxa"/>
            <w:shd w:val="clear" w:color="auto" w:fill="auto"/>
            <w:noWrap/>
            <w:vAlign w:val="bottom"/>
            <w:hideMark/>
          </w:tcPr>
          <w:p w14:paraId="51D0D96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66</w:t>
            </w:r>
          </w:p>
        </w:tc>
        <w:tc>
          <w:tcPr>
            <w:tcW w:w="2986" w:type="dxa"/>
            <w:shd w:val="clear" w:color="auto" w:fill="auto"/>
            <w:noWrap/>
            <w:vAlign w:val="bottom"/>
            <w:hideMark/>
          </w:tcPr>
          <w:p w14:paraId="54307FC8"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8 - DC 142 – str. Matei Basarab</w:t>
            </w:r>
          </w:p>
        </w:tc>
        <w:tc>
          <w:tcPr>
            <w:tcW w:w="1734" w:type="dxa"/>
            <w:shd w:val="clear" w:color="000000" w:fill="DCE6F1"/>
            <w:noWrap/>
            <w:vAlign w:val="bottom"/>
            <w:hideMark/>
          </w:tcPr>
          <w:p w14:paraId="63A30D2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84</w:t>
            </w:r>
          </w:p>
        </w:tc>
        <w:tc>
          <w:tcPr>
            <w:tcW w:w="1768" w:type="dxa"/>
            <w:shd w:val="clear" w:color="000000" w:fill="F2DCDB"/>
            <w:noWrap/>
            <w:vAlign w:val="bottom"/>
            <w:hideMark/>
          </w:tcPr>
          <w:p w14:paraId="013D31F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89</w:t>
            </w:r>
          </w:p>
        </w:tc>
        <w:tc>
          <w:tcPr>
            <w:tcW w:w="1096" w:type="dxa"/>
            <w:shd w:val="clear" w:color="auto" w:fill="auto"/>
            <w:noWrap/>
            <w:vAlign w:val="bottom"/>
            <w:hideMark/>
          </w:tcPr>
          <w:p w14:paraId="23B1C60A"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6%</w:t>
            </w:r>
          </w:p>
        </w:tc>
        <w:tc>
          <w:tcPr>
            <w:tcW w:w="720" w:type="dxa"/>
            <w:shd w:val="clear" w:color="auto" w:fill="auto"/>
            <w:noWrap/>
            <w:vAlign w:val="bottom"/>
            <w:hideMark/>
          </w:tcPr>
          <w:p w14:paraId="76073F2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0,6</w:t>
            </w:r>
          </w:p>
        </w:tc>
      </w:tr>
      <w:tr w:rsidR="00501A22" w:rsidRPr="00515B1F" w14:paraId="000CB758" w14:textId="77777777" w:rsidTr="00501A22">
        <w:trPr>
          <w:trHeight w:val="290"/>
        </w:trPr>
        <w:tc>
          <w:tcPr>
            <w:tcW w:w="897" w:type="dxa"/>
            <w:shd w:val="clear" w:color="auto" w:fill="auto"/>
            <w:noWrap/>
            <w:vAlign w:val="bottom"/>
            <w:hideMark/>
          </w:tcPr>
          <w:p w14:paraId="42C8524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1148</w:t>
            </w:r>
          </w:p>
        </w:tc>
        <w:tc>
          <w:tcPr>
            <w:tcW w:w="1220" w:type="dxa"/>
            <w:shd w:val="clear" w:color="auto" w:fill="auto"/>
            <w:noWrap/>
            <w:vAlign w:val="bottom"/>
            <w:hideMark/>
          </w:tcPr>
          <w:p w14:paraId="1A09307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91</w:t>
            </w:r>
          </w:p>
        </w:tc>
        <w:tc>
          <w:tcPr>
            <w:tcW w:w="2986" w:type="dxa"/>
            <w:shd w:val="clear" w:color="auto" w:fill="auto"/>
            <w:noWrap/>
            <w:vAlign w:val="bottom"/>
            <w:hideMark/>
          </w:tcPr>
          <w:p w14:paraId="6D95AB7C"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8 - DC 142 – str. Matei Basarab</w:t>
            </w:r>
          </w:p>
        </w:tc>
        <w:tc>
          <w:tcPr>
            <w:tcW w:w="1734" w:type="dxa"/>
            <w:shd w:val="clear" w:color="000000" w:fill="DCE6F1"/>
            <w:noWrap/>
            <w:vAlign w:val="bottom"/>
            <w:hideMark/>
          </w:tcPr>
          <w:p w14:paraId="21E094D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113</w:t>
            </w:r>
          </w:p>
        </w:tc>
        <w:tc>
          <w:tcPr>
            <w:tcW w:w="1768" w:type="dxa"/>
            <w:shd w:val="clear" w:color="000000" w:fill="F2DCDB"/>
            <w:noWrap/>
            <w:vAlign w:val="bottom"/>
            <w:hideMark/>
          </w:tcPr>
          <w:p w14:paraId="3FBB631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118</w:t>
            </w:r>
          </w:p>
        </w:tc>
        <w:tc>
          <w:tcPr>
            <w:tcW w:w="1096" w:type="dxa"/>
            <w:shd w:val="clear" w:color="auto" w:fill="auto"/>
            <w:noWrap/>
            <w:vAlign w:val="bottom"/>
            <w:hideMark/>
          </w:tcPr>
          <w:p w14:paraId="12D602F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5%</w:t>
            </w:r>
          </w:p>
        </w:tc>
        <w:tc>
          <w:tcPr>
            <w:tcW w:w="720" w:type="dxa"/>
            <w:shd w:val="clear" w:color="auto" w:fill="auto"/>
            <w:noWrap/>
            <w:vAlign w:val="bottom"/>
            <w:hideMark/>
          </w:tcPr>
          <w:p w14:paraId="373B7BE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0F4C4320" w14:textId="77777777" w:rsidTr="00501A22">
        <w:trPr>
          <w:trHeight w:val="290"/>
        </w:trPr>
        <w:tc>
          <w:tcPr>
            <w:tcW w:w="897" w:type="dxa"/>
            <w:shd w:val="clear" w:color="auto" w:fill="auto"/>
            <w:noWrap/>
            <w:vAlign w:val="bottom"/>
            <w:hideMark/>
          </w:tcPr>
          <w:p w14:paraId="02E2527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1153</w:t>
            </w:r>
          </w:p>
        </w:tc>
        <w:tc>
          <w:tcPr>
            <w:tcW w:w="1220" w:type="dxa"/>
            <w:shd w:val="clear" w:color="auto" w:fill="auto"/>
            <w:noWrap/>
            <w:vAlign w:val="bottom"/>
            <w:hideMark/>
          </w:tcPr>
          <w:p w14:paraId="3F8221C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286</w:t>
            </w:r>
          </w:p>
        </w:tc>
        <w:tc>
          <w:tcPr>
            <w:tcW w:w="2986" w:type="dxa"/>
            <w:shd w:val="clear" w:color="auto" w:fill="auto"/>
            <w:noWrap/>
            <w:vAlign w:val="bottom"/>
            <w:hideMark/>
          </w:tcPr>
          <w:p w14:paraId="7E56BD87"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4 - DJ 665 (Vaideeni)</w:t>
            </w:r>
          </w:p>
        </w:tc>
        <w:tc>
          <w:tcPr>
            <w:tcW w:w="1734" w:type="dxa"/>
            <w:shd w:val="clear" w:color="000000" w:fill="DCE6F1"/>
            <w:noWrap/>
            <w:vAlign w:val="bottom"/>
            <w:hideMark/>
          </w:tcPr>
          <w:p w14:paraId="60B1E3C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265</w:t>
            </w:r>
          </w:p>
        </w:tc>
        <w:tc>
          <w:tcPr>
            <w:tcW w:w="1768" w:type="dxa"/>
            <w:shd w:val="clear" w:color="000000" w:fill="F2DCDB"/>
            <w:noWrap/>
            <w:vAlign w:val="bottom"/>
            <w:hideMark/>
          </w:tcPr>
          <w:p w14:paraId="237CD76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260</w:t>
            </w:r>
          </w:p>
        </w:tc>
        <w:tc>
          <w:tcPr>
            <w:tcW w:w="1096" w:type="dxa"/>
            <w:shd w:val="clear" w:color="auto" w:fill="auto"/>
            <w:noWrap/>
            <w:vAlign w:val="bottom"/>
            <w:hideMark/>
          </w:tcPr>
          <w:p w14:paraId="0760A9DF"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c>
          <w:tcPr>
            <w:tcW w:w="720" w:type="dxa"/>
            <w:shd w:val="clear" w:color="auto" w:fill="auto"/>
            <w:noWrap/>
            <w:vAlign w:val="bottom"/>
            <w:hideMark/>
          </w:tcPr>
          <w:p w14:paraId="22617182"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0,3</w:t>
            </w:r>
          </w:p>
        </w:tc>
      </w:tr>
      <w:tr w:rsidR="00501A22" w:rsidRPr="00515B1F" w14:paraId="58DD0E9C" w14:textId="77777777" w:rsidTr="00501A22">
        <w:trPr>
          <w:trHeight w:val="290"/>
        </w:trPr>
        <w:tc>
          <w:tcPr>
            <w:tcW w:w="897" w:type="dxa"/>
            <w:shd w:val="clear" w:color="auto" w:fill="auto"/>
            <w:noWrap/>
            <w:vAlign w:val="bottom"/>
            <w:hideMark/>
          </w:tcPr>
          <w:p w14:paraId="7BB7CD4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1153</w:t>
            </w:r>
          </w:p>
        </w:tc>
        <w:tc>
          <w:tcPr>
            <w:tcW w:w="1220" w:type="dxa"/>
            <w:shd w:val="clear" w:color="auto" w:fill="auto"/>
            <w:noWrap/>
            <w:vAlign w:val="bottom"/>
            <w:hideMark/>
          </w:tcPr>
          <w:p w14:paraId="554A446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2667</w:t>
            </w:r>
          </w:p>
        </w:tc>
        <w:tc>
          <w:tcPr>
            <w:tcW w:w="2986" w:type="dxa"/>
            <w:shd w:val="clear" w:color="auto" w:fill="auto"/>
            <w:noWrap/>
            <w:vAlign w:val="bottom"/>
            <w:hideMark/>
          </w:tcPr>
          <w:p w14:paraId="1D2E0A31"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4 - DJ 665 (Vaideeni)</w:t>
            </w:r>
          </w:p>
        </w:tc>
        <w:tc>
          <w:tcPr>
            <w:tcW w:w="1734" w:type="dxa"/>
            <w:shd w:val="clear" w:color="000000" w:fill="DCE6F1"/>
            <w:noWrap/>
            <w:vAlign w:val="bottom"/>
            <w:hideMark/>
          </w:tcPr>
          <w:p w14:paraId="0A49C22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207</w:t>
            </w:r>
          </w:p>
        </w:tc>
        <w:tc>
          <w:tcPr>
            <w:tcW w:w="1768" w:type="dxa"/>
            <w:shd w:val="clear" w:color="000000" w:fill="F2DCDB"/>
            <w:noWrap/>
            <w:vAlign w:val="bottom"/>
            <w:hideMark/>
          </w:tcPr>
          <w:p w14:paraId="4AAB4A6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205</w:t>
            </w:r>
          </w:p>
        </w:tc>
        <w:tc>
          <w:tcPr>
            <w:tcW w:w="1096" w:type="dxa"/>
            <w:shd w:val="clear" w:color="auto" w:fill="auto"/>
            <w:noWrap/>
            <w:vAlign w:val="bottom"/>
            <w:hideMark/>
          </w:tcPr>
          <w:p w14:paraId="28516C1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c>
          <w:tcPr>
            <w:tcW w:w="720" w:type="dxa"/>
            <w:shd w:val="clear" w:color="auto" w:fill="auto"/>
            <w:noWrap/>
            <w:vAlign w:val="bottom"/>
            <w:hideMark/>
          </w:tcPr>
          <w:p w14:paraId="56AD7E8F"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0,2</w:t>
            </w:r>
          </w:p>
        </w:tc>
      </w:tr>
      <w:tr w:rsidR="00501A22" w:rsidRPr="00515B1F" w14:paraId="10312A22" w14:textId="77777777" w:rsidTr="00501A22">
        <w:trPr>
          <w:trHeight w:val="290"/>
        </w:trPr>
        <w:tc>
          <w:tcPr>
            <w:tcW w:w="897" w:type="dxa"/>
            <w:shd w:val="clear" w:color="auto" w:fill="auto"/>
            <w:noWrap/>
            <w:vAlign w:val="bottom"/>
            <w:hideMark/>
          </w:tcPr>
          <w:p w14:paraId="33866EA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1156</w:t>
            </w:r>
          </w:p>
        </w:tc>
        <w:tc>
          <w:tcPr>
            <w:tcW w:w="1220" w:type="dxa"/>
            <w:shd w:val="clear" w:color="auto" w:fill="auto"/>
            <w:noWrap/>
            <w:vAlign w:val="bottom"/>
            <w:hideMark/>
          </w:tcPr>
          <w:p w14:paraId="474F0F4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89</w:t>
            </w:r>
          </w:p>
        </w:tc>
        <w:tc>
          <w:tcPr>
            <w:tcW w:w="2986" w:type="dxa"/>
            <w:shd w:val="clear" w:color="auto" w:fill="auto"/>
            <w:noWrap/>
            <w:vAlign w:val="bottom"/>
            <w:hideMark/>
          </w:tcPr>
          <w:p w14:paraId="3F09C2C7"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(B)</w:t>
            </w:r>
          </w:p>
        </w:tc>
        <w:tc>
          <w:tcPr>
            <w:tcW w:w="1734" w:type="dxa"/>
            <w:shd w:val="clear" w:color="000000" w:fill="DCE6F1"/>
            <w:noWrap/>
            <w:vAlign w:val="bottom"/>
            <w:hideMark/>
          </w:tcPr>
          <w:p w14:paraId="748217A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388</w:t>
            </w:r>
          </w:p>
        </w:tc>
        <w:tc>
          <w:tcPr>
            <w:tcW w:w="1768" w:type="dxa"/>
            <w:shd w:val="clear" w:color="000000" w:fill="F2DCDB"/>
            <w:noWrap/>
            <w:vAlign w:val="bottom"/>
            <w:hideMark/>
          </w:tcPr>
          <w:p w14:paraId="3DD2F0F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377</w:t>
            </w:r>
          </w:p>
        </w:tc>
        <w:tc>
          <w:tcPr>
            <w:tcW w:w="1096" w:type="dxa"/>
            <w:shd w:val="clear" w:color="auto" w:fill="auto"/>
            <w:noWrap/>
            <w:vAlign w:val="bottom"/>
            <w:hideMark/>
          </w:tcPr>
          <w:p w14:paraId="6073C2BF"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-3%</w:t>
            </w:r>
          </w:p>
        </w:tc>
        <w:tc>
          <w:tcPr>
            <w:tcW w:w="720" w:type="dxa"/>
            <w:shd w:val="clear" w:color="auto" w:fill="auto"/>
            <w:noWrap/>
            <w:vAlign w:val="bottom"/>
            <w:hideMark/>
          </w:tcPr>
          <w:p w14:paraId="5402F30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0,6</w:t>
            </w:r>
          </w:p>
        </w:tc>
      </w:tr>
      <w:tr w:rsidR="00501A22" w:rsidRPr="00515B1F" w14:paraId="531BEEC8" w14:textId="77777777" w:rsidTr="00501A22">
        <w:trPr>
          <w:trHeight w:val="290"/>
        </w:trPr>
        <w:tc>
          <w:tcPr>
            <w:tcW w:w="897" w:type="dxa"/>
            <w:shd w:val="clear" w:color="auto" w:fill="auto"/>
            <w:noWrap/>
            <w:vAlign w:val="bottom"/>
            <w:hideMark/>
          </w:tcPr>
          <w:p w14:paraId="492A19B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1156</w:t>
            </w:r>
          </w:p>
        </w:tc>
        <w:tc>
          <w:tcPr>
            <w:tcW w:w="1220" w:type="dxa"/>
            <w:shd w:val="clear" w:color="auto" w:fill="auto"/>
            <w:noWrap/>
            <w:vAlign w:val="bottom"/>
            <w:hideMark/>
          </w:tcPr>
          <w:p w14:paraId="6F2A5B1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2619</w:t>
            </w:r>
          </w:p>
        </w:tc>
        <w:tc>
          <w:tcPr>
            <w:tcW w:w="2986" w:type="dxa"/>
            <w:shd w:val="clear" w:color="auto" w:fill="auto"/>
            <w:noWrap/>
            <w:vAlign w:val="bottom"/>
            <w:hideMark/>
          </w:tcPr>
          <w:p w14:paraId="46F6B0F1"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(B)</w:t>
            </w:r>
          </w:p>
        </w:tc>
        <w:tc>
          <w:tcPr>
            <w:tcW w:w="1734" w:type="dxa"/>
            <w:shd w:val="clear" w:color="000000" w:fill="DCE6F1"/>
            <w:noWrap/>
            <w:vAlign w:val="bottom"/>
            <w:hideMark/>
          </w:tcPr>
          <w:p w14:paraId="00EEF0F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483</w:t>
            </w:r>
          </w:p>
        </w:tc>
        <w:tc>
          <w:tcPr>
            <w:tcW w:w="1768" w:type="dxa"/>
            <w:shd w:val="clear" w:color="000000" w:fill="F2DCDB"/>
            <w:noWrap/>
            <w:vAlign w:val="bottom"/>
            <w:hideMark/>
          </w:tcPr>
          <w:p w14:paraId="699FA87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440</w:t>
            </w:r>
          </w:p>
        </w:tc>
        <w:tc>
          <w:tcPr>
            <w:tcW w:w="1096" w:type="dxa"/>
            <w:shd w:val="clear" w:color="auto" w:fill="auto"/>
            <w:noWrap/>
            <w:vAlign w:val="bottom"/>
            <w:hideMark/>
          </w:tcPr>
          <w:p w14:paraId="2D0E0066"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-9%</w:t>
            </w:r>
          </w:p>
        </w:tc>
        <w:tc>
          <w:tcPr>
            <w:tcW w:w="720" w:type="dxa"/>
            <w:shd w:val="clear" w:color="auto" w:fill="auto"/>
            <w:noWrap/>
            <w:vAlign w:val="bottom"/>
            <w:hideMark/>
          </w:tcPr>
          <w:p w14:paraId="0D3205FA"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r>
      <w:tr w:rsidR="00501A22" w:rsidRPr="00515B1F" w14:paraId="0C4A8CCD" w14:textId="77777777" w:rsidTr="00501A22">
        <w:trPr>
          <w:trHeight w:val="290"/>
        </w:trPr>
        <w:tc>
          <w:tcPr>
            <w:tcW w:w="897" w:type="dxa"/>
            <w:shd w:val="clear" w:color="auto" w:fill="auto"/>
            <w:noWrap/>
            <w:vAlign w:val="bottom"/>
            <w:hideMark/>
          </w:tcPr>
          <w:p w14:paraId="71A459E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1557</w:t>
            </w:r>
          </w:p>
        </w:tc>
        <w:tc>
          <w:tcPr>
            <w:tcW w:w="1220" w:type="dxa"/>
            <w:shd w:val="clear" w:color="auto" w:fill="auto"/>
            <w:noWrap/>
            <w:vAlign w:val="bottom"/>
            <w:hideMark/>
          </w:tcPr>
          <w:p w14:paraId="4918E3C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95</w:t>
            </w:r>
          </w:p>
        </w:tc>
        <w:tc>
          <w:tcPr>
            <w:tcW w:w="2986" w:type="dxa"/>
            <w:shd w:val="clear" w:color="auto" w:fill="auto"/>
            <w:noWrap/>
            <w:vAlign w:val="bottom"/>
            <w:hideMark/>
          </w:tcPr>
          <w:p w14:paraId="5AE8325F"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14 - DC 146 – str. Mircea cel Batran</w:t>
            </w:r>
          </w:p>
        </w:tc>
        <w:tc>
          <w:tcPr>
            <w:tcW w:w="1734" w:type="dxa"/>
            <w:shd w:val="clear" w:color="000000" w:fill="DCE6F1"/>
            <w:noWrap/>
            <w:vAlign w:val="bottom"/>
            <w:hideMark/>
          </w:tcPr>
          <w:p w14:paraId="18E14CD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116</w:t>
            </w:r>
          </w:p>
        </w:tc>
        <w:tc>
          <w:tcPr>
            <w:tcW w:w="1768" w:type="dxa"/>
            <w:shd w:val="clear" w:color="000000" w:fill="F2DCDB"/>
            <w:noWrap/>
            <w:vAlign w:val="bottom"/>
            <w:hideMark/>
          </w:tcPr>
          <w:p w14:paraId="164E98C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149</w:t>
            </w:r>
          </w:p>
        </w:tc>
        <w:tc>
          <w:tcPr>
            <w:tcW w:w="1096" w:type="dxa"/>
            <w:shd w:val="clear" w:color="auto" w:fill="auto"/>
            <w:noWrap/>
            <w:vAlign w:val="bottom"/>
            <w:hideMark/>
          </w:tcPr>
          <w:p w14:paraId="6047994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22%</w:t>
            </w:r>
          </w:p>
        </w:tc>
        <w:tc>
          <w:tcPr>
            <w:tcW w:w="720" w:type="dxa"/>
            <w:shd w:val="clear" w:color="auto" w:fill="auto"/>
            <w:noWrap/>
            <w:vAlign w:val="bottom"/>
            <w:hideMark/>
          </w:tcPr>
          <w:p w14:paraId="35D01F39"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2,9</w:t>
            </w:r>
          </w:p>
        </w:tc>
      </w:tr>
      <w:tr w:rsidR="00501A22" w:rsidRPr="00515B1F" w14:paraId="67146E20" w14:textId="77777777" w:rsidTr="00501A22">
        <w:trPr>
          <w:trHeight w:val="290"/>
        </w:trPr>
        <w:tc>
          <w:tcPr>
            <w:tcW w:w="897" w:type="dxa"/>
            <w:shd w:val="clear" w:color="auto" w:fill="auto"/>
            <w:noWrap/>
            <w:vAlign w:val="bottom"/>
            <w:hideMark/>
          </w:tcPr>
          <w:p w14:paraId="230845B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lastRenderedPageBreak/>
              <w:t>1557</w:t>
            </w:r>
          </w:p>
        </w:tc>
        <w:tc>
          <w:tcPr>
            <w:tcW w:w="1220" w:type="dxa"/>
            <w:shd w:val="clear" w:color="auto" w:fill="auto"/>
            <w:noWrap/>
            <w:vAlign w:val="bottom"/>
            <w:hideMark/>
          </w:tcPr>
          <w:p w14:paraId="0F66CAD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2727</w:t>
            </w:r>
          </w:p>
        </w:tc>
        <w:tc>
          <w:tcPr>
            <w:tcW w:w="2986" w:type="dxa"/>
            <w:shd w:val="clear" w:color="auto" w:fill="auto"/>
            <w:noWrap/>
            <w:vAlign w:val="bottom"/>
            <w:hideMark/>
          </w:tcPr>
          <w:p w14:paraId="758008F2"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14 - DC 146 – str. Mircea cel Batran</w:t>
            </w:r>
          </w:p>
        </w:tc>
        <w:tc>
          <w:tcPr>
            <w:tcW w:w="1734" w:type="dxa"/>
            <w:shd w:val="clear" w:color="000000" w:fill="DCE6F1"/>
            <w:noWrap/>
            <w:vAlign w:val="bottom"/>
            <w:hideMark/>
          </w:tcPr>
          <w:p w14:paraId="4BE4154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187</w:t>
            </w:r>
          </w:p>
        </w:tc>
        <w:tc>
          <w:tcPr>
            <w:tcW w:w="1768" w:type="dxa"/>
            <w:shd w:val="clear" w:color="000000" w:fill="F2DCDB"/>
            <w:noWrap/>
            <w:vAlign w:val="bottom"/>
            <w:hideMark/>
          </w:tcPr>
          <w:p w14:paraId="0810942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208</w:t>
            </w:r>
          </w:p>
        </w:tc>
        <w:tc>
          <w:tcPr>
            <w:tcW w:w="1096" w:type="dxa"/>
            <w:shd w:val="clear" w:color="auto" w:fill="auto"/>
            <w:noWrap/>
            <w:vAlign w:val="bottom"/>
            <w:hideMark/>
          </w:tcPr>
          <w:p w14:paraId="7F10ED8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10%</w:t>
            </w:r>
          </w:p>
        </w:tc>
        <w:tc>
          <w:tcPr>
            <w:tcW w:w="720" w:type="dxa"/>
            <w:shd w:val="clear" w:color="auto" w:fill="auto"/>
            <w:noWrap/>
            <w:vAlign w:val="bottom"/>
            <w:hideMark/>
          </w:tcPr>
          <w:p w14:paraId="4774CE2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1,5</w:t>
            </w:r>
          </w:p>
        </w:tc>
      </w:tr>
      <w:tr w:rsidR="00501A22" w:rsidRPr="00515B1F" w14:paraId="6EE00A40" w14:textId="77777777" w:rsidTr="00501A22">
        <w:trPr>
          <w:trHeight w:val="290"/>
        </w:trPr>
        <w:tc>
          <w:tcPr>
            <w:tcW w:w="897" w:type="dxa"/>
            <w:shd w:val="clear" w:color="auto" w:fill="auto"/>
            <w:noWrap/>
            <w:vAlign w:val="bottom"/>
            <w:hideMark/>
          </w:tcPr>
          <w:p w14:paraId="15D1ACE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1559</w:t>
            </w:r>
          </w:p>
        </w:tc>
        <w:tc>
          <w:tcPr>
            <w:tcW w:w="1220" w:type="dxa"/>
            <w:shd w:val="clear" w:color="auto" w:fill="auto"/>
            <w:noWrap/>
            <w:vAlign w:val="bottom"/>
            <w:hideMark/>
          </w:tcPr>
          <w:p w14:paraId="27E3B7C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155</w:t>
            </w:r>
          </w:p>
        </w:tc>
        <w:tc>
          <w:tcPr>
            <w:tcW w:w="2986" w:type="dxa"/>
            <w:shd w:val="clear" w:color="auto" w:fill="auto"/>
            <w:noWrap/>
            <w:vAlign w:val="bottom"/>
            <w:hideMark/>
          </w:tcPr>
          <w:p w14:paraId="660DD8D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p>
        </w:tc>
        <w:tc>
          <w:tcPr>
            <w:tcW w:w="1734" w:type="dxa"/>
            <w:shd w:val="clear" w:color="000000" w:fill="DCE6F1"/>
            <w:noWrap/>
            <w:vAlign w:val="bottom"/>
            <w:hideMark/>
          </w:tcPr>
          <w:p w14:paraId="3C443C2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23</w:t>
            </w:r>
          </w:p>
        </w:tc>
        <w:tc>
          <w:tcPr>
            <w:tcW w:w="1768" w:type="dxa"/>
            <w:shd w:val="clear" w:color="000000" w:fill="F2DCDB"/>
            <w:noWrap/>
            <w:vAlign w:val="bottom"/>
            <w:hideMark/>
          </w:tcPr>
          <w:p w14:paraId="20C520D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21</w:t>
            </w:r>
          </w:p>
        </w:tc>
        <w:tc>
          <w:tcPr>
            <w:tcW w:w="1096" w:type="dxa"/>
            <w:shd w:val="clear" w:color="auto" w:fill="auto"/>
            <w:noWrap/>
            <w:vAlign w:val="bottom"/>
            <w:hideMark/>
          </w:tcPr>
          <w:p w14:paraId="45892B6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-10%</w:t>
            </w:r>
          </w:p>
        </w:tc>
        <w:tc>
          <w:tcPr>
            <w:tcW w:w="720" w:type="dxa"/>
            <w:shd w:val="clear" w:color="auto" w:fill="auto"/>
            <w:noWrap/>
            <w:vAlign w:val="bottom"/>
            <w:hideMark/>
          </w:tcPr>
          <w:p w14:paraId="3A51CADB"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37798E11" w14:textId="77777777" w:rsidTr="00501A22">
        <w:trPr>
          <w:trHeight w:val="290"/>
        </w:trPr>
        <w:tc>
          <w:tcPr>
            <w:tcW w:w="897" w:type="dxa"/>
            <w:shd w:val="clear" w:color="auto" w:fill="auto"/>
            <w:noWrap/>
            <w:vAlign w:val="bottom"/>
            <w:hideMark/>
          </w:tcPr>
          <w:p w14:paraId="23F6192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1559</w:t>
            </w:r>
          </w:p>
        </w:tc>
        <w:tc>
          <w:tcPr>
            <w:tcW w:w="1220" w:type="dxa"/>
            <w:shd w:val="clear" w:color="auto" w:fill="auto"/>
            <w:noWrap/>
            <w:vAlign w:val="bottom"/>
            <w:hideMark/>
          </w:tcPr>
          <w:p w14:paraId="3330008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1717</w:t>
            </w:r>
          </w:p>
        </w:tc>
        <w:tc>
          <w:tcPr>
            <w:tcW w:w="2986" w:type="dxa"/>
            <w:shd w:val="clear" w:color="auto" w:fill="auto"/>
            <w:noWrap/>
            <w:vAlign w:val="bottom"/>
            <w:hideMark/>
          </w:tcPr>
          <w:p w14:paraId="53920613"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5 - DC 142 – str. Alex. Vlahuta</w:t>
            </w:r>
          </w:p>
        </w:tc>
        <w:tc>
          <w:tcPr>
            <w:tcW w:w="1734" w:type="dxa"/>
            <w:shd w:val="clear" w:color="000000" w:fill="DCE6F1"/>
            <w:noWrap/>
            <w:vAlign w:val="bottom"/>
            <w:hideMark/>
          </w:tcPr>
          <w:p w14:paraId="23FFF37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33</w:t>
            </w:r>
          </w:p>
        </w:tc>
        <w:tc>
          <w:tcPr>
            <w:tcW w:w="1768" w:type="dxa"/>
            <w:shd w:val="clear" w:color="000000" w:fill="F2DCDB"/>
            <w:noWrap/>
            <w:vAlign w:val="bottom"/>
            <w:hideMark/>
          </w:tcPr>
          <w:p w14:paraId="2D2C4A5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31</w:t>
            </w:r>
          </w:p>
        </w:tc>
        <w:tc>
          <w:tcPr>
            <w:tcW w:w="1096" w:type="dxa"/>
            <w:shd w:val="clear" w:color="auto" w:fill="auto"/>
            <w:noWrap/>
            <w:vAlign w:val="bottom"/>
            <w:hideMark/>
          </w:tcPr>
          <w:p w14:paraId="172DB0B9"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-6%</w:t>
            </w:r>
          </w:p>
        </w:tc>
        <w:tc>
          <w:tcPr>
            <w:tcW w:w="720" w:type="dxa"/>
            <w:shd w:val="clear" w:color="auto" w:fill="auto"/>
            <w:noWrap/>
            <w:vAlign w:val="bottom"/>
            <w:hideMark/>
          </w:tcPr>
          <w:p w14:paraId="4EE1620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0,4</w:t>
            </w:r>
          </w:p>
        </w:tc>
      </w:tr>
      <w:tr w:rsidR="00501A22" w:rsidRPr="00515B1F" w14:paraId="762CE29D" w14:textId="77777777" w:rsidTr="00501A22">
        <w:trPr>
          <w:trHeight w:val="290"/>
        </w:trPr>
        <w:tc>
          <w:tcPr>
            <w:tcW w:w="897" w:type="dxa"/>
            <w:shd w:val="clear" w:color="auto" w:fill="auto"/>
            <w:noWrap/>
            <w:vAlign w:val="bottom"/>
            <w:hideMark/>
          </w:tcPr>
          <w:p w14:paraId="4D4BE38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2379</w:t>
            </w:r>
          </w:p>
        </w:tc>
        <w:tc>
          <w:tcPr>
            <w:tcW w:w="1220" w:type="dxa"/>
            <w:shd w:val="clear" w:color="auto" w:fill="auto"/>
            <w:noWrap/>
            <w:vAlign w:val="bottom"/>
            <w:hideMark/>
          </w:tcPr>
          <w:p w14:paraId="7364016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1095</w:t>
            </w:r>
          </w:p>
        </w:tc>
        <w:tc>
          <w:tcPr>
            <w:tcW w:w="2986" w:type="dxa"/>
            <w:shd w:val="clear" w:color="auto" w:fill="auto"/>
            <w:noWrap/>
            <w:vAlign w:val="bottom"/>
            <w:hideMark/>
          </w:tcPr>
          <w:p w14:paraId="5E971DC4"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(A)</w:t>
            </w:r>
          </w:p>
        </w:tc>
        <w:tc>
          <w:tcPr>
            <w:tcW w:w="1734" w:type="dxa"/>
            <w:shd w:val="clear" w:color="000000" w:fill="DCE6F1"/>
            <w:noWrap/>
            <w:vAlign w:val="bottom"/>
            <w:hideMark/>
          </w:tcPr>
          <w:p w14:paraId="665DD58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294</w:t>
            </w:r>
          </w:p>
        </w:tc>
        <w:tc>
          <w:tcPr>
            <w:tcW w:w="1768" w:type="dxa"/>
            <w:shd w:val="clear" w:color="000000" w:fill="F2DCDB"/>
            <w:noWrap/>
            <w:vAlign w:val="bottom"/>
            <w:hideMark/>
          </w:tcPr>
          <w:p w14:paraId="38D5500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322</w:t>
            </w:r>
          </w:p>
        </w:tc>
        <w:tc>
          <w:tcPr>
            <w:tcW w:w="1096" w:type="dxa"/>
            <w:shd w:val="clear" w:color="auto" w:fill="auto"/>
            <w:noWrap/>
            <w:vAlign w:val="bottom"/>
            <w:hideMark/>
          </w:tcPr>
          <w:p w14:paraId="6A6C9215"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9%</w:t>
            </w:r>
          </w:p>
        </w:tc>
        <w:tc>
          <w:tcPr>
            <w:tcW w:w="720" w:type="dxa"/>
            <w:shd w:val="clear" w:color="auto" w:fill="auto"/>
            <w:noWrap/>
            <w:vAlign w:val="bottom"/>
            <w:hideMark/>
          </w:tcPr>
          <w:p w14:paraId="622D128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1,6</w:t>
            </w:r>
          </w:p>
        </w:tc>
      </w:tr>
      <w:tr w:rsidR="00501A22" w:rsidRPr="00515B1F" w14:paraId="0C3208D8" w14:textId="77777777" w:rsidTr="00501A22">
        <w:trPr>
          <w:trHeight w:val="290"/>
        </w:trPr>
        <w:tc>
          <w:tcPr>
            <w:tcW w:w="897" w:type="dxa"/>
            <w:shd w:val="clear" w:color="auto" w:fill="auto"/>
            <w:noWrap/>
            <w:vAlign w:val="bottom"/>
            <w:hideMark/>
          </w:tcPr>
          <w:p w14:paraId="32FEA0D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2379</w:t>
            </w:r>
          </w:p>
        </w:tc>
        <w:tc>
          <w:tcPr>
            <w:tcW w:w="1220" w:type="dxa"/>
            <w:shd w:val="clear" w:color="auto" w:fill="auto"/>
            <w:noWrap/>
            <w:vAlign w:val="bottom"/>
            <w:hideMark/>
          </w:tcPr>
          <w:p w14:paraId="6D6E13A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2616</w:t>
            </w:r>
          </w:p>
        </w:tc>
        <w:tc>
          <w:tcPr>
            <w:tcW w:w="2986" w:type="dxa"/>
            <w:shd w:val="clear" w:color="auto" w:fill="auto"/>
            <w:noWrap/>
            <w:vAlign w:val="bottom"/>
            <w:hideMark/>
          </w:tcPr>
          <w:p w14:paraId="32F3DD0F"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(A)</w:t>
            </w:r>
          </w:p>
        </w:tc>
        <w:tc>
          <w:tcPr>
            <w:tcW w:w="1734" w:type="dxa"/>
            <w:shd w:val="clear" w:color="000000" w:fill="DCE6F1"/>
            <w:noWrap/>
            <w:vAlign w:val="bottom"/>
            <w:hideMark/>
          </w:tcPr>
          <w:p w14:paraId="50744CB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398</w:t>
            </w:r>
          </w:p>
        </w:tc>
        <w:tc>
          <w:tcPr>
            <w:tcW w:w="1768" w:type="dxa"/>
            <w:shd w:val="clear" w:color="000000" w:fill="F2DCDB"/>
            <w:noWrap/>
            <w:vAlign w:val="bottom"/>
            <w:hideMark/>
          </w:tcPr>
          <w:p w14:paraId="18AFA7C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417</w:t>
            </w:r>
          </w:p>
        </w:tc>
        <w:tc>
          <w:tcPr>
            <w:tcW w:w="1096" w:type="dxa"/>
            <w:shd w:val="clear" w:color="auto" w:fill="auto"/>
            <w:noWrap/>
            <w:vAlign w:val="bottom"/>
            <w:hideMark/>
          </w:tcPr>
          <w:p w14:paraId="25C53A7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5%</w:t>
            </w:r>
          </w:p>
        </w:tc>
        <w:tc>
          <w:tcPr>
            <w:tcW w:w="720" w:type="dxa"/>
            <w:shd w:val="clear" w:color="auto" w:fill="auto"/>
            <w:noWrap/>
            <w:vAlign w:val="bottom"/>
            <w:hideMark/>
          </w:tcPr>
          <w:p w14:paraId="1A60BCA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0,9</w:t>
            </w:r>
          </w:p>
        </w:tc>
      </w:tr>
      <w:tr w:rsidR="00501A22" w:rsidRPr="00515B1F" w14:paraId="1049D738" w14:textId="77777777" w:rsidTr="00501A22">
        <w:trPr>
          <w:trHeight w:val="290"/>
        </w:trPr>
        <w:tc>
          <w:tcPr>
            <w:tcW w:w="897" w:type="dxa"/>
            <w:shd w:val="clear" w:color="auto" w:fill="auto"/>
            <w:noWrap/>
            <w:vAlign w:val="bottom"/>
            <w:hideMark/>
          </w:tcPr>
          <w:p w14:paraId="768A067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2396</w:t>
            </w:r>
          </w:p>
        </w:tc>
        <w:tc>
          <w:tcPr>
            <w:tcW w:w="1220" w:type="dxa"/>
            <w:shd w:val="clear" w:color="auto" w:fill="auto"/>
            <w:noWrap/>
            <w:vAlign w:val="bottom"/>
            <w:hideMark/>
          </w:tcPr>
          <w:p w14:paraId="282694F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953</w:t>
            </w:r>
          </w:p>
        </w:tc>
        <w:tc>
          <w:tcPr>
            <w:tcW w:w="2986" w:type="dxa"/>
            <w:shd w:val="clear" w:color="auto" w:fill="auto"/>
            <w:noWrap/>
            <w:vAlign w:val="bottom"/>
            <w:hideMark/>
          </w:tcPr>
          <w:p w14:paraId="6B2E89B2"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16 - DJ 669 – DC 146</w:t>
            </w:r>
          </w:p>
        </w:tc>
        <w:tc>
          <w:tcPr>
            <w:tcW w:w="1734" w:type="dxa"/>
            <w:shd w:val="clear" w:color="000000" w:fill="DCE6F1"/>
            <w:noWrap/>
            <w:vAlign w:val="bottom"/>
            <w:hideMark/>
          </w:tcPr>
          <w:p w14:paraId="73655F0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69</w:t>
            </w:r>
          </w:p>
        </w:tc>
        <w:tc>
          <w:tcPr>
            <w:tcW w:w="1768" w:type="dxa"/>
            <w:shd w:val="clear" w:color="000000" w:fill="F2DCDB"/>
            <w:noWrap/>
            <w:vAlign w:val="bottom"/>
            <w:hideMark/>
          </w:tcPr>
          <w:p w14:paraId="12FCA3C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71</w:t>
            </w:r>
          </w:p>
        </w:tc>
        <w:tc>
          <w:tcPr>
            <w:tcW w:w="1096" w:type="dxa"/>
            <w:shd w:val="clear" w:color="auto" w:fill="auto"/>
            <w:noWrap/>
            <w:vAlign w:val="bottom"/>
            <w:hideMark/>
          </w:tcPr>
          <w:p w14:paraId="012407B3"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c>
          <w:tcPr>
            <w:tcW w:w="720" w:type="dxa"/>
            <w:shd w:val="clear" w:color="auto" w:fill="auto"/>
            <w:noWrap/>
            <w:vAlign w:val="bottom"/>
            <w:hideMark/>
          </w:tcPr>
          <w:p w14:paraId="5E4821E9"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0,2</w:t>
            </w:r>
          </w:p>
        </w:tc>
      </w:tr>
      <w:tr w:rsidR="00501A22" w:rsidRPr="00515B1F" w14:paraId="2564BE04" w14:textId="77777777" w:rsidTr="00501A22">
        <w:trPr>
          <w:trHeight w:val="290"/>
        </w:trPr>
        <w:tc>
          <w:tcPr>
            <w:tcW w:w="897" w:type="dxa"/>
            <w:shd w:val="clear" w:color="auto" w:fill="auto"/>
            <w:noWrap/>
            <w:vAlign w:val="bottom"/>
            <w:hideMark/>
          </w:tcPr>
          <w:p w14:paraId="7BD229A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2396</w:t>
            </w:r>
          </w:p>
        </w:tc>
        <w:tc>
          <w:tcPr>
            <w:tcW w:w="1220" w:type="dxa"/>
            <w:shd w:val="clear" w:color="auto" w:fill="auto"/>
            <w:noWrap/>
            <w:vAlign w:val="bottom"/>
            <w:hideMark/>
          </w:tcPr>
          <w:p w14:paraId="4895C3B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3862</w:t>
            </w:r>
          </w:p>
        </w:tc>
        <w:tc>
          <w:tcPr>
            <w:tcW w:w="2986" w:type="dxa"/>
            <w:shd w:val="clear" w:color="auto" w:fill="auto"/>
            <w:noWrap/>
            <w:vAlign w:val="bottom"/>
            <w:hideMark/>
          </w:tcPr>
          <w:p w14:paraId="34830719"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16 - DJ 669 – DC 146</w:t>
            </w:r>
          </w:p>
        </w:tc>
        <w:tc>
          <w:tcPr>
            <w:tcW w:w="1734" w:type="dxa"/>
            <w:shd w:val="clear" w:color="000000" w:fill="DCE6F1"/>
            <w:noWrap/>
            <w:vAlign w:val="bottom"/>
            <w:hideMark/>
          </w:tcPr>
          <w:p w14:paraId="21B410F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74</w:t>
            </w:r>
          </w:p>
        </w:tc>
        <w:tc>
          <w:tcPr>
            <w:tcW w:w="1768" w:type="dxa"/>
            <w:shd w:val="clear" w:color="000000" w:fill="F2DCDB"/>
            <w:noWrap/>
            <w:vAlign w:val="bottom"/>
            <w:hideMark/>
          </w:tcPr>
          <w:p w14:paraId="13FBA72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80</w:t>
            </w:r>
          </w:p>
        </w:tc>
        <w:tc>
          <w:tcPr>
            <w:tcW w:w="1096" w:type="dxa"/>
            <w:shd w:val="clear" w:color="auto" w:fill="auto"/>
            <w:noWrap/>
            <w:vAlign w:val="bottom"/>
            <w:hideMark/>
          </w:tcPr>
          <w:p w14:paraId="384756D5"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7%</w:t>
            </w:r>
          </w:p>
        </w:tc>
        <w:tc>
          <w:tcPr>
            <w:tcW w:w="720" w:type="dxa"/>
            <w:shd w:val="clear" w:color="auto" w:fill="auto"/>
            <w:noWrap/>
            <w:vAlign w:val="bottom"/>
            <w:hideMark/>
          </w:tcPr>
          <w:p w14:paraId="23DB0BE9"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0,7</w:t>
            </w:r>
          </w:p>
        </w:tc>
      </w:tr>
      <w:tr w:rsidR="00501A22" w:rsidRPr="00515B1F" w14:paraId="7EF8CE3D" w14:textId="77777777" w:rsidTr="00501A22">
        <w:trPr>
          <w:trHeight w:val="290"/>
        </w:trPr>
        <w:tc>
          <w:tcPr>
            <w:tcW w:w="897" w:type="dxa"/>
            <w:shd w:val="clear" w:color="auto" w:fill="auto"/>
            <w:noWrap/>
            <w:vAlign w:val="bottom"/>
            <w:hideMark/>
          </w:tcPr>
          <w:p w14:paraId="24DA672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2397</w:t>
            </w:r>
          </w:p>
        </w:tc>
        <w:tc>
          <w:tcPr>
            <w:tcW w:w="1220" w:type="dxa"/>
            <w:shd w:val="clear" w:color="auto" w:fill="auto"/>
            <w:noWrap/>
            <w:vAlign w:val="bottom"/>
            <w:hideMark/>
          </w:tcPr>
          <w:p w14:paraId="69B4633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262</w:t>
            </w:r>
          </w:p>
        </w:tc>
        <w:tc>
          <w:tcPr>
            <w:tcW w:w="2986" w:type="dxa"/>
            <w:shd w:val="clear" w:color="auto" w:fill="auto"/>
            <w:noWrap/>
            <w:vAlign w:val="bottom"/>
            <w:hideMark/>
          </w:tcPr>
          <w:p w14:paraId="484F0E38"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17 - DJ 669 – str. Manastirii</w:t>
            </w:r>
          </w:p>
        </w:tc>
        <w:tc>
          <w:tcPr>
            <w:tcW w:w="1734" w:type="dxa"/>
            <w:shd w:val="clear" w:color="000000" w:fill="DCE6F1"/>
            <w:noWrap/>
            <w:vAlign w:val="bottom"/>
            <w:hideMark/>
          </w:tcPr>
          <w:p w14:paraId="1BE160F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51</w:t>
            </w:r>
          </w:p>
        </w:tc>
        <w:tc>
          <w:tcPr>
            <w:tcW w:w="1768" w:type="dxa"/>
            <w:shd w:val="clear" w:color="000000" w:fill="F2DCDB"/>
            <w:noWrap/>
            <w:vAlign w:val="bottom"/>
            <w:hideMark/>
          </w:tcPr>
          <w:p w14:paraId="3052EAA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w:t>
            </w:r>
          </w:p>
        </w:tc>
        <w:tc>
          <w:tcPr>
            <w:tcW w:w="1096" w:type="dxa"/>
            <w:shd w:val="clear" w:color="auto" w:fill="auto"/>
            <w:noWrap/>
            <w:vAlign w:val="bottom"/>
            <w:hideMark/>
          </w:tcPr>
          <w:p w14:paraId="7800141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-10%</w:t>
            </w:r>
          </w:p>
        </w:tc>
        <w:tc>
          <w:tcPr>
            <w:tcW w:w="720" w:type="dxa"/>
            <w:shd w:val="clear" w:color="auto" w:fill="auto"/>
            <w:noWrap/>
            <w:vAlign w:val="bottom"/>
            <w:hideMark/>
          </w:tcPr>
          <w:p w14:paraId="360F2B3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0,8</w:t>
            </w:r>
          </w:p>
        </w:tc>
      </w:tr>
      <w:tr w:rsidR="00501A22" w:rsidRPr="00515B1F" w14:paraId="0B6D72A0" w14:textId="77777777" w:rsidTr="00501A22">
        <w:trPr>
          <w:trHeight w:val="290"/>
        </w:trPr>
        <w:tc>
          <w:tcPr>
            <w:tcW w:w="897" w:type="dxa"/>
            <w:shd w:val="clear" w:color="auto" w:fill="auto"/>
            <w:noWrap/>
            <w:vAlign w:val="bottom"/>
            <w:hideMark/>
          </w:tcPr>
          <w:p w14:paraId="2A0CF96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2397</w:t>
            </w:r>
          </w:p>
        </w:tc>
        <w:tc>
          <w:tcPr>
            <w:tcW w:w="1220" w:type="dxa"/>
            <w:shd w:val="clear" w:color="auto" w:fill="auto"/>
            <w:noWrap/>
            <w:vAlign w:val="bottom"/>
            <w:hideMark/>
          </w:tcPr>
          <w:p w14:paraId="4EC8354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953</w:t>
            </w:r>
          </w:p>
        </w:tc>
        <w:tc>
          <w:tcPr>
            <w:tcW w:w="2986" w:type="dxa"/>
            <w:shd w:val="clear" w:color="auto" w:fill="auto"/>
            <w:noWrap/>
            <w:vAlign w:val="bottom"/>
            <w:hideMark/>
          </w:tcPr>
          <w:p w14:paraId="71B1280E"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17 - DJ 669 – str. Manastirii</w:t>
            </w:r>
          </w:p>
        </w:tc>
        <w:tc>
          <w:tcPr>
            <w:tcW w:w="1734" w:type="dxa"/>
            <w:shd w:val="clear" w:color="000000" w:fill="DCE6F1"/>
            <w:noWrap/>
            <w:vAlign w:val="bottom"/>
            <w:hideMark/>
          </w:tcPr>
          <w:p w14:paraId="345A889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61</w:t>
            </w:r>
          </w:p>
        </w:tc>
        <w:tc>
          <w:tcPr>
            <w:tcW w:w="1768" w:type="dxa"/>
            <w:shd w:val="clear" w:color="000000" w:fill="F2DCDB"/>
            <w:noWrap/>
            <w:vAlign w:val="bottom"/>
            <w:hideMark/>
          </w:tcPr>
          <w:p w14:paraId="1035D04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56</w:t>
            </w:r>
          </w:p>
        </w:tc>
        <w:tc>
          <w:tcPr>
            <w:tcW w:w="1096" w:type="dxa"/>
            <w:shd w:val="clear" w:color="auto" w:fill="auto"/>
            <w:noWrap/>
            <w:vAlign w:val="bottom"/>
            <w:hideMark/>
          </w:tcPr>
          <w:p w14:paraId="7B8531E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-8%</w:t>
            </w:r>
          </w:p>
        </w:tc>
        <w:tc>
          <w:tcPr>
            <w:tcW w:w="720" w:type="dxa"/>
            <w:shd w:val="clear" w:color="auto" w:fill="auto"/>
            <w:noWrap/>
            <w:vAlign w:val="bottom"/>
            <w:hideMark/>
          </w:tcPr>
          <w:p w14:paraId="3FD93906"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0,6</w:t>
            </w:r>
          </w:p>
        </w:tc>
      </w:tr>
      <w:tr w:rsidR="00501A22" w:rsidRPr="00515B1F" w14:paraId="2CDE927F" w14:textId="77777777" w:rsidTr="00501A22">
        <w:trPr>
          <w:trHeight w:val="290"/>
        </w:trPr>
        <w:tc>
          <w:tcPr>
            <w:tcW w:w="897" w:type="dxa"/>
            <w:shd w:val="clear" w:color="auto" w:fill="auto"/>
            <w:noWrap/>
            <w:vAlign w:val="bottom"/>
            <w:hideMark/>
          </w:tcPr>
          <w:p w14:paraId="00D316A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2447</w:t>
            </w:r>
          </w:p>
        </w:tc>
        <w:tc>
          <w:tcPr>
            <w:tcW w:w="1220" w:type="dxa"/>
            <w:shd w:val="clear" w:color="auto" w:fill="auto"/>
            <w:noWrap/>
            <w:vAlign w:val="bottom"/>
            <w:hideMark/>
          </w:tcPr>
          <w:p w14:paraId="3D17E24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963</w:t>
            </w:r>
          </w:p>
        </w:tc>
        <w:tc>
          <w:tcPr>
            <w:tcW w:w="2986" w:type="dxa"/>
            <w:shd w:val="clear" w:color="auto" w:fill="auto"/>
            <w:noWrap/>
            <w:vAlign w:val="bottom"/>
            <w:hideMark/>
          </w:tcPr>
          <w:p w14:paraId="58516636"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6 - DC 143 – str. Stirbei Voda</w:t>
            </w:r>
          </w:p>
        </w:tc>
        <w:tc>
          <w:tcPr>
            <w:tcW w:w="1734" w:type="dxa"/>
            <w:shd w:val="clear" w:color="000000" w:fill="DCE6F1"/>
            <w:noWrap/>
            <w:vAlign w:val="bottom"/>
            <w:hideMark/>
          </w:tcPr>
          <w:p w14:paraId="45CAFA7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21</w:t>
            </w:r>
          </w:p>
        </w:tc>
        <w:tc>
          <w:tcPr>
            <w:tcW w:w="1768" w:type="dxa"/>
            <w:shd w:val="clear" w:color="000000" w:fill="F2DCDB"/>
            <w:noWrap/>
            <w:vAlign w:val="bottom"/>
            <w:hideMark/>
          </w:tcPr>
          <w:p w14:paraId="16F665D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25</w:t>
            </w:r>
          </w:p>
        </w:tc>
        <w:tc>
          <w:tcPr>
            <w:tcW w:w="1096" w:type="dxa"/>
            <w:shd w:val="clear" w:color="auto" w:fill="auto"/>
            <w:noWrap/>
            <w:vAlign w:val="bottom"/>
            <w:hideMark/>
          </w:tcPr>
          <w:p w14:paraId="05ADCA1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15%</w:t>
            </w:r>
          </w:p>
        </w:tc>
        <w:tc>
          <w:tcPr>
            <w:tcW w:w="720" w:type="dxa"/>
            <w:shd w:val="clear" w:color="auto" w:fill="auto"/>
            <w:noWrap/>
            <w:vAlign w:val="bottom"/>
            <w:hideMark/>
          </w:tcPr>
          <w:p w14:paraId="772DA34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0,8</w:t>
            </w:r>
          </w:p>
        </w:tc>
      </w:tr>
      <w:tr w:rsidR="00501A22" w:rsidRPr="00515B1F" w14:paraId="7B7E837D" w14:textId="77777777" w:rsidTr="00501A22">
        <w:trPr>
          <w:trHeight w:val="290"/>
        </w:trPr>
        <w:tc>
          <w:tcPr>
            <w:tcW w:w="897" w:type="dxa"/>
            <w:shd w:val="clear" w:color="auto" w:fill="auto"/>
            <w:noWrap/>
            <w:vAlign w:val="bottom"/>
            <w:hideMark/>
          </w:tcPr>
          <w:p w14:paraId="71A6DD9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2447</w:t>
            </w:r>
          </w:p>
        </w:tc>
        <w:tc>
          <w:tcPr>
            <w:tcW w:w="1220" w:type="dxa"/>
            <w:shd w:val="clear" w:color="auto" w:fill="auto"/>
            <w:noWrap/>
            <w:vAlign w:val="bottom"/>
            <w:hideMark/>
          </w:tcPr>
          <w:p w14:paraId="298FC05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967</w:t>
            </w:r>
          </w:p>
        </w:tc>
        <w:tc>
          <w:tcPr>
            <w:tcW w:w="2986" w:type="dxa"/>
            <w:shd w:val="clear" w:color="auto" w:fill="auto"/>
            <w:noWrap/>
            <w:vAlign w:val="bottom"/>
            <w:hideMark/>
          </w:tcPr>
          <w:p w14:paraId="0AD1FB4F"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6 - DC 143 – str. Stirbei Voda</w:t>
            </w:r>
          </w:p>
        </w:tc>
        <w:tc>
          <w:tcPr>
            <w:tcW w:w="1734" w:type="dxa"/>
            <w:shd w:val="clear" w:color="000000" w:fill="DCE6F1"/>
            <w:noWrap/>
            <w:vAlign w:val="bottom"/>
            <w:hideMark/>
          </w:tcPr>
          <w:p w14:paraId="34A2C04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24</w:t>
            </w:r>
          </w:p>
        </w:tc>
        <w:tc>
          <w:tcPr>
            <w:tcW w:w="1768" w:type="dxa"/>
            <w:shd w:val="clear" w:color="000000" w:fill="F2DCDB"/>
            <w:noWrap/>
            <w:vAlign w:val="bottom"/>
            <w:hideMark/>
          </w:tcPr>
          <w:p w14:paraId="62B7D8B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29</w:t>
            </w:r>
          </w:p>
        </w:tc>
        <w:tc>
          <w:tcPr>
            <w:tcW w:w="1096" w:type="dxa"/>
            <w:shd w:val="clear" w:color="auto" w:fill="auto"/>
            <w:noWrap/>
            <w:vAlign w:val="bottom"/>
            <w:hideMark/>
          </w:tcPr>
          <w:p w14:paraId="420275D2"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18%</w:t>
            </w:r>
          </w:p>
        </w:tc>
        <w:tc>
          <w:tcPr>
            <w:tcW w:w="720" w:type="dxa"/>
            <w:shd w:val="clear" w:color="auto" w:fill="auto"/>
            <w:noWrap/>
            <w:vAlign w:val="bottom"/>
            <w:hideMark/>
          </w:tcPr>
          <w:p w14:paraId="736EC4B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r>
      <w:tr w:rsidR="00501A22" w:rsidRPr="00515B1F" w14:paraId="491CC283" w14:textId="77777777" w:rsidTr="00501A22">
        <w:trPr>
          <w:trHeight w:val="290"/>
        </w:trPr>
        <w:tc>
          <w:tcPr>
            <w:tcW w:w="897" w:type="dxa"/>
            <w:shd w:val="clear" w:color="auto" w:fill="auto"/>
            <w:noWrap/>
            <w:vAlign w:val="bottom"/>
            <w:hideMark/>
          </w:tcPr>
          <w:p w14:paraId="3F8743E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2449</w:t>
            </w:r>
          </w:p>
        </w:tc>
        <w:tc>
          <w:tcPr>
            <w:tcW w:w="1220" w:type="dxa"/>
            <w:shd w:val="clear" w:color="auto" w:fill="auto"/>
            <w:noWrap/>
            <w:vAlign w:val="bottom"/>
            <w:hideMark/>
          </w:tcPr>
          <w:p w14:paraId="4345BC2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391</w:t>
            </w:r>
          </w:p>
        </w:tc>
        <w:tc>
          <w:tcPr>
            <w:tcW w:w="2986" w:type="dxa"/>
            <w:shd w:val="clear" w:color="auto" w:fill="auto"/>
            <w:noWrap/>
            <w:vAlign w:val="bottom"/>
            <w:hideMark/>
          </w:tcPr>
          <w:p w14:paraId="654F2071"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6 - DC 143 – str. Stirbei Voda</w:t>
            </w:r>
          </w:p>
        </w:tc>
        <w:tc>
          <w:tcPr>
            <w:tcW w:w="1734" w:type="dxa"/>
            <w:shd w:val="clear" w:color="000000" w:fill="DCE6F1"/>
            <w:noWrap/>
            <w:vAlign w:val="bottom"/>
            <w:hideMark/>
          </w:tcPr>
          <w:p w14:paraId="279C82D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w:t>
            </w:r>
          </w:p>
        </w:tc>
        <w:tc>
          <w:tcPr>
            <w:tcW w:w="1768" w:type="dxa"/>
            <w:shd w:val="clear" w:color="000000" w:fill="F2DCDB"/>
            <w:noWrap/>
            <w:vAlign w:val="bottom"/>
            <w:hideMark/>
          </w:tcPr>
          <w:p w14:paraId="3A5357C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22</w:t>
            </w:r>
          </w:p>
        </w:tc>
        <w:tc>
          <w:tcPr>
            <w:tcW w:w="1096" w:type="dxa"/>
            <w:shd w:val="clear" w:color="auto" w:fill="auto"/>
            <w:noWrap/>
            <w:vAlign w:val="bottom"/>
            <w:hideMark/>
          </w:tcPr>
          <w:p w14:paraId="2A5A5A1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28%</w:t>
            </w:r>
          </w:p>
        </w:tc>
        <w:tc>
          <w:tcPr>
            <w:tcW w:w="720" w:type="dxa"/>
            <w:shd w:val="clear" w:color="auto" w:fill="auto"/>
            <w:noWrap/>
            <w:vAlign w:val="bottom"/>
            <w:hideMark/>
          </w:tcPr>
          <w:p w14:paraId="673DCE35"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1,4</w:t>
            </w:r>
          </w:p>
        </w:tc>
      </w:tr>
      <w:tr w:rsidR="00501A22" w:rsidRPr="00515B1F" w14:paraId="348EF142" w14:textId="77777777" w:rsidTr="00501A22">
        <w:trPr>
          <w:trHeight w:val="290"/>
        </w:trPr>
        <w:tc>
          <w:tcPr>
            <w:tcW w:w="897" w:type="dxa"/>
            <w:shd w:val="clear" w:color="auto" w:fill="auto"/>
            <w:noWrap/>
            <w:vAlign w:val="bottom"/>
            <w:hideMark/>
          </w:tcPr>
          <w:p w14:paraId="6F5EEDB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2449</w:t>
            </w:r>
          </w:p>
        </w:tc>
        <w:tc>
          <w:tcPr>
            <w:tcW w:w="1220" w:type="dxa"/>
            <w:shd w:val="clear" w:color="auto" w:fill="auto"/>
            <w:noWrap/>
            <w:vAlign w:val="bottom"/>
            <w:hideMark/>
          </w:tcPr>
          <w:p w14:paraId="27D23BF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2261</w:t>
            </w:r>
          </w:p>
        </w:tc>
        <w:tc>
          <w:tcPr>
            <w:tcW w:w="2986" w:type="dxa"/>
            <w:shd w:val="clear" w:color="auto" w:fill="auto"/>
            <w:noWrap/>
            <w:vAlign w:val="bottom"/>
            <w:hideMark/>
          </w:tcPr>
          <w:p w14:paraId="4752DB94"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6 - DC 143 – str. Stirbei Voda</w:t>
            </w:r>
          </w:p>
        </w:tc>
        <w:tc>
          <w:tcPr>
            <w:tcW w:w="1734" w:type="dxa"/>
            <w:shd w:val="clear" w:color="000000" w:fill="DCE6F1"/>
            <w:noWrap/>
            <w:vAlign w:val="bottom"/>
            <w:hideMark/>
          </w:tcPr>
          <w:p w14:paraId="50BE91B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29</w:t>
            </w:r>
          </w:p>
        </w:tc>
        <w:tc>
          <w:tcPr>
            <w:tcW w:w="1768" w:type="dxa"/>
            <w:shd w:val="clear" w:color="000000" w:fill="F2DCDB"/>
            <w:noWrap/>
            <w:vAlign w:val="bottom"/>
            <w:hideMark/>
          </w:tcPr>
          <w:p w14:paraId="39E9B26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w:t>
            </w:r>
          </w:p>
        </w:tc>
        <w:tc>
          <w:tcPr>
            <w:tcW w:w="1096" w:type="dxa"/>
            <w:shd w:val="clear" w:color="auto" w:fill="auto"/>
            <w:noWrap/>
            <w:vAlign w:val="bottom"/>
            <w:hideMark/>
          </w:tcPr>
          <w:p w14:paraId="556D58A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-9%</w:t>
            </w:r>
          </w:p>
        </w:tc>
        <w:tc>
          <w:tcPr>
            <w:tcW w:w="720" w:type="dxa"/>
            <w:shd w:val="clear" w:color="auto" w:fill="auto"/>
            <w:noWrap/>
            <w:vAlign w:val="bottom"/>
            <w:hideMark/>
          </w:tcPr>
          <w:p w14:paraId="5EEFE772"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5E371E63" w14:textId="77777777" w:rsidTr="00501A22">
        <w:trPr>
          <w:trHeight w:val="290"/>
        </w:trPr>
        <w:tc>
          <w:tcPr>
            <w:tcW w:w="897" w:type="dxa"/>
            <w:shd w:val="clear" w:color="auto" w:fill="auto"/>
            <w:noWrap/>
            <w:vAlign w:val="bottom"/>
            <w:hideMark/>
          </w:tcPr>
          <w:p w14:paraId="6ACA399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3525</w:t>
            </w:r>
          </w:p>
        </w:tc>
        <w:tc>
          <w:tcPr>
            <w:tcW w:w="1220" w:type="dxa"/>
            <w:shd w:val="clear" w:color="auto" w:fill="auto"/>
            <w:noWrap/>
            <w:vAlign w:val="bottom"/>
            <w:hideMark/>
          </w:tcPr>
          <w:p w14:paraId="6B0FE35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1095</w:t>
            </w:r>
          </w:p>
        </w:tc>
        <w:tc>
          <w:tcPr>
            <w:tcW w:w="2986" w:type="dxa"/>
            <w:shd w:val="clear" w:color="auto" w:fill="auto"/>
            <w:noWrap/>
            <w:vAlign w:val="bottom"/>
            <w:hideMark/>
          </w:tcPr>
          <w:p w14:paraId="5B91751E"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(A)</w:t>
            </w:r>
          </w:p>
        </w:tc>
        <w:tc>
          <w:tcPr>
            <w:tcW w:w="1734" w:type="dxa"/>
            <w:shd w:val="clear" w:color="000000" w:fill="DCE6F1"/>
            <w:noWrap/>
            <w:vAlign w:val="bottom"/>
            <w:hideMark/>
          </w:tcPr>
          <w:p w14:paraId="7646EB1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189</w:t>
            </w:r>
          </w:p>
        </w:tc>
        <w:tc>
          <w:tcPr>
            <w:tcW w:w="1768" w:type="dxa"/>
            <w:shd w:val="clear" w:color="000000" w:fill="F2DCDB"/>
            <w:noWrap/>
            <w:vAlign w:val="bottom"/>
            <w:hideMark/>
          </w:tcPr>
          <w:p w14:paraId="19B6DB5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198</w:t>
            </w:r>
          </w:p>
        </w:tc>
        <w:tc>
          <w:tcPr>
            <w:tcW w:w="1096" w:type="dxa"/>
            <w:shd w:val="clear" w:color="auto" w:fill="auto"/>
            <w:noWrap/>
            <w:vAlign w:val="bottom"/>
            <w:hideMark/>
          </w:tcPr>
          <w:p w14:paraId="1709020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4%</w:t>
            </w:r>
          </w:p>
        </w:tc>
        <w:tc>
          <w:tcPr>
            <w:tcW w:w="720" w:type="dxa"/>
            <w:shd w:val="clear" w:color="auto" w:fill="auto"/>
            <w:noWrap/>
            <w:vAlign w:val="bottom"/>
            <w:hideMark/>
          </w:tcPr>
          <w:p w14:paraId="4FA09313"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0,6</w:t>
            </w:r>
          </w:p>
        </w:tc>
      </w:tr>
      <w:tr w:rsidR="00501A22" w:rsidRPr="00515B1F" w14:paraId="07F7EC63" w14:textId="77777777" w:rsidTr="00501A22">
        <w:trPr>
          <w:trHeight w:val="290"/>
        </w:trPr>
        <w:tc>
          <w:tcPr>
            <w:tcW w:w="897" w:type="dxa"/>
            <w:shd w:val="clear" w:color="auto" w:fill="auto"/>
            <w:noWrap/>
            <w:vAlign w:val="bottom"/>
            <w:hideMark/>
          </w:tcPr>
          <w:p w14:paraId="039597A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3525</w:t>
            </w:r>
          </w:p>
        </w:tc>
        <w:tc>
          <w:tcPr>
            <w:tcW w:w="1220" w:type="dxa"/>
            <w:shd w:val="clear" w:color="auto" w:fill="auto"/>
            <w:noWrap/>
            <w:vAlign w:val="bottom"/>
            <w:hideMark/>
          </w:tcPr>
          <w:p w14:paraId="1CE8AE4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3941</w:t>
            </w:r>
          </w:p>
        </w:tc>
        <w:tc>
          <w:tcPr>
            <w:tcW w:w="2986" w:type="dxa"/>
            <w:shd w:val="clear" w:color="auto" w:fill="auto"/>
            <w:noWrap/>
            <w:vAlign w:val="bottom"/>
            <w:hideMark/>
          </w:tcPr>
          <w:p w14:paraId="257298E2"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(A)</w:t>
            </w:r>
          </w:p>
        </w:tc>
        <w:tc>
          <w:tcPr>
            <w:tcW w:w="1734" w:type="dxa"/>
            <w:shd w:val="clear" w:color="000000" w:fill="DCE6F1"/>
            <w:noWrap/>
            <w:vAlign w:val="bottom"/>
            <w:hideMark/>
          </w:tcPr>
          <w:p w14:paraId="385FEDB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127</w:t>
            </w:r>
          </w:p>
        </w:tc>
        <w:tc>
          <w:tcPr>
            <w:tcW w:w="1768" w:type="dxa"/>
            <w:shd w:val="clear" w:color="000000" w:fill="F2DCDB"/>
            <w:noWrap/>
            <w:vAlign w:val="bottom"/>
            <w:hideMark/>
          </w:tcPr>
          <w:p w14:paraId="532E861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129</w:t>
            </w:r>
          </w:p>
        </w:tc>
        <w:tc>
          <w:tcPr>
            <w:tcW w:w="1096" w:type="dxa"/>
            <w:shd w:val="clear" w:color="auto" w:fill="auto"/>
            <w:noWrap/>
            <w:vAlign w:val="bottom"/>
            <w:hideMark/>
          </w:tcPr>
          <w:p w14:paraId="3ADB756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c>
          <w:tcPr>
            <w:tcW w:w="720" w:type="dxa"/>
            <w:shd w:val="clear" w:color="auto" w:fill="auto"/>
            <w:noWrap/>
            <w:vAlign w:val="bottom"/>
            <w:hideMark/>
          </w:tcPr>
          <w:p w14:paraId="1032CD3A"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0,2</w:t>
            </w:r>
          </w:p>
        </w:tc>
      </w:tr>
      <w:tr w:rsidR="00501A22" w:rsidRPr="00515B1F" w14:paraId="6560F570" w14:textId="77777777" w:rsidTr="00501A22">
        <w:trPr>
          <w:trHeight w:val="290"/>
        </w:trPr>
        <w:tc>
          <w:tcPr>
            <w:tcW w:w="897" w:type="dxa"/>
            <w:shd w:val="clear" w:color="auto" w:fill="auto"/>
            <w:noWrap/>
            <w:vAlign w:val="bottom"/>
            <w:hideMark/>
          </w:tcPr>
          <w:p w14:paraId="4D343BE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3529</w:t>
            </w:r>
          </w:p>
        </w:tc>
        <w:tc>
          <w:tcPr>
            <w:tcW w:w="1220" w:type="dxa"/>
            <w:shd w:val="clear" w:color="auto" w:fill="auto"/>
            <w:noWrap/>
            <w:vAlign w:val="bottom"/>
            <w:hideMark/>
          </w:tcPr>
          <w:p w14:paraId="67EBC22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687</w:t>
            </w:r>
          </w:p>
        </w:tc>
        <w:tc>
          <w:tcPr>
            <w:tcW w:w="2986" w:type="dxa"/>
            <w:shd w:val="clear" w:color="auto" w:fill="auto"/>
            <w:noWrap/>
            <w:vAlign w:val="bottom"/>
            <w:hideMark/>
          </w:tcPr>
          <w:p w14:paraId="5A83F77B"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11 - DN 67 – DN 65C</w:t>
            </w:r>
          </w:p>
        </w:tc>
        <w:tc>
          <w:tcPr>
            <w:tcW w:w="1734" w:type="dxa"/>
            <w:shd w:val="clear" w:color="000000" w:fill="DCE6F1"/>
            <w:noWrap/>
            <w:vAlign w:val="bottom"/>
            <w:hideMark/>
          </w:tcPr>
          <w:p w14:paraId="13BA150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379</w:t>
            </w:r>
          </w:p>
        </w:tc>
        <w:tc>
          <w:tcPr>
            <w:tcW w:w="1768" w:type="dxa"/>
            <w:shd w:val="clear" w:color="000000" w:fill="F2DCDB"/>
            <w:noWrap/>
            <w:vAlign w:val="bottom"/>
            <w:hideMark/>
          </w:tcPr>
          <w:p w14:paraId="64C69F1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426</w:t>
            </w:r>
          </w:p>
        </w:tc>
        <w:tc>
          <w:tcPr>
            <w:tcW w:w="1096" w:type="dxa"/>
            <w:shd w:val="clear" w:color="auto" w:fill="auto"/>
            <w:noWrap/>
            <w:vAlign w:val="bottom"/>
            <w:hideMark/>
          </w:tcPr>
          <w:p w14:paraId="32D2098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11%</w:t>
            </w:r>
          </w:p>
        </w:tc>
        <w:tc>
          <w:tcPr>
            <w:tcW w:w="720" w:type="dxa"/>
            <w:shd w:val="clear" w:color="auto" w:fill="auto"/>
            <w:noWrap/>
            <w:vAlign w:val="bottom"/>
            <w:hideMark/>
          </w:tcPr>
          <w:p w14:paraId="3EC34CAA"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2,3</w:t>
            </w:r>
          </w:p>
        </w:tc>
      </w:tr>
      <w:tr w:rsidR="00501A22" w:rsidRPr="00515B1F" w14:paraId="3B62CBFD" w14:textId="77777777" w:rsidTr="00501A22">
        <w:trPr>
          <w:trHeight w:val="290"/>
        </w:trPr>
        <w:tc>
          <w:tcPr>
            <w:tcW w:w="897" w:type="dxa"/>
            <w:shd w:val="clear" w:color="auto" w:fill="auto"/>
            <w:noWrap/>
            <w:vAlign w:val="bottom"/>
            <w:hideMark/>
          </w:tcPr>
          <w:p w14:paraId="53B4C82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3529</w:t>
            </w:r>
          </w:p>
        </w:tc>
        <w:tc>
          <w:tcPr>
            <w:tcW w:w="1220" w:type="dxa"/>
            <w:shd w:val="clear" w:color="auto" w:fill="auto"/>
            <w:noWrap/>
            <w:vAlign w:val="bottom"/>
            <w:hideMark/>
          </w:tcPr>
          <w:p w14:paraId="596FE47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932</w:t>
            </w:r>
          </w:p>
        </w:tc>
        <w:tc>
          <w:tcPr>
            <w:tcW w:w="2986" w:type="dxa"/>
            <w:shd w:val="clear" w:color="auto" w:fill="auto"/>
            <w:noWrap/>
            <w:vAlign w:val="bottom"/>
            <w:hideMark/>
          </w:tcPr>
          <w:p w14:paraId="349CE168"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11 - DN 67 – DN 65C</w:t>
            </w:r>
          </w:p>
        </w:tc>
        <w:tc>
          <w:tcPr>
            <w:tcW w:w="1734" w:type="dxa"/>
            <w:shd w:val="clear" w:color="000000" w:fill="DCE6F1"/>
            <w:noWrap/>
            <w:vAlign w:val="bottom"/>
            <w:hideMark/>
          </w:tcPr>
          <w:p w14:paraId="0180186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410</w:t>
            </w:r>
          </w:p>
        </w:tc>
        <w:tc>
          <w:tcPr>
            <w:tcW w:w="1768" w:type="dxa"/>
            <w:shd w:val="clear" w:color="000000" w:fill="F2DCDB"/>
            <w:noWrap/>
            <w:vAlign w:val="bottom"/>
            <w:hideMark/>
          </w:tcPr>
          <w:p w14:paraId="2A34845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431</w:t>
            </w:r>
          </w:p>
        </w:tc>
        <w:tc>
          <w:tcPr>
            <w:tcW w:w="1096" w:type="dxa"/>
            <w:shd w:val="clear" w:color="auto" w:fill="auto"/>
            <w:noWrap/>
            <w:vAlign w:val="bottom"/>
            <w:hideMark/>
          </w:tcPr>
          <w:p w14:paraId="3BC64A3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5%</w:t>
            </w:r>
          </w:p>
        </w:tc>
        <w:tc>
          <w:tcPr>
            <w:tcW w:w="720" w:type="dxa"/>
            <w:shd w:val="clear" w:color="auto" w:fill="auto"/>
            <w:noWrap/>
            <w:vAlign w:val="bottom"/>
            <w:hideMark/>
          </w:tcPr>
          <w:p w14:paraId="411AC776"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r>
      <w:tr w:rsidR="00501A22" w:rsidRPr="00515B1F" w14:paraId="4FA5961F" w14:textId="77777777" w:rsidTr="00501A22">
        <w:trPr>
          <w:trHeight w:val="290"/>
        </w:trPr>
        <w:tc>
          <w:tcPr>
            <w:tcW w:w="897" w:type="dxa"/>
            <w:shd w:val="clear" w:color="auto" w:fill="auto"/>
            <w:noWrap/>
            <w:vAlign w:val="bottom"/>
            <w:hideMark/>
          </w:tcPr>
          <w:p w14:paraId="583885B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3897</w:t>
            </w:r>
          </w:p>
        </w:tc>
        <w:tc>
          <w:tcPr>
            <w:tcW w:w="1220" w:type="dxa"/>
            <w:shd w:val="clear" w:color="auto" w:fill="auto"/>
            <w:noWrap/>
            <w:vAlign w:val="bottom"/>
            <w:hideMark/>
          </w:tcPr>
          <w:p w14:paraId="0B6FCC4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85</w:t>
            </w:r>
          </w:p>
        </w:tc>
        <w:tc>
          <w:tcPr>
            <w:tcW w:w="2986" w:type="dxa"/>
            <w:shd w:val="clear" w:color="auto" w:fill="auto"/>
            <w:noWrap/>
            <w:vAlign w:val="bottom"/>
            <w:hideMark/>
          </w:tcPr>
          <w:p w14:paraId="5AFB8140"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9 - DC 143 – str. Mihai Viteazu</w:t>
            </w:r>
          </w:p>
        </w:tc>
        <w:tc>
          <w:tcPr>
            <w:tcW w:w="1734" w:type="dxa"/>
            <w:shd w:val="clear" w:color="000000" w:fill="DCE6F1"/>
            <w:noWrap/>
            <w:vAlign w:val="bottom"/>
            <w:hideMark/>
          </w:tcPr>
          <w:p w14:paraId="7D9A517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73</w:t>
            </w:r>
          </w:p>
        </w:tc>
        <w:tc>
          <w:tcPr>
            <w:tcW w:w="1768" w:type="dxa"/>
            <w:shd w:val="clear" w:color="000000" w:fill="F2DCDB"/>
            <w:noWrap/>
            <w:vAlign w:val="bottom"/>
            <w:hideMark/>
          </w:tcPr>
          <w:p w14:paraId="2433F43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78</w:t>
            </w:r>
          </w:p>
        </w:tc>
        <w:tc>
          <w:tcPr>
            <w:tcW w:w="1096" w:type="dxa"/>
            <w:shd w:val="clear" w:color="auto" w:fill="auto"/>
            <w:noWrap/>
            <w:vAlign w:val="bottom"/>
            <w:hideMark/>
          </w:tcPr>
          <w:p w14:paraId="782C7516"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6%</w:t>
            </w:r>
          </w:p>
        </w:tc>
        <w:tc>
          <w:tcPr>
            <w:tcW w:w="720" w:type="dxa"/>
            <w:shd w:val="clear" w:color="auto" w:fill="auto"/>
            <w:noWrap/>
            <w:vAlign w:val="bottom"/>
            <w:hideMark/>
          </w:tcPr>
          <w:p w14:paraId="5C94B30B"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4B6B890A" w14:textId="77777777" w:rsidTr="00501A22">
        <w:trPr>
          <w:trHeight w:val="290"/>
        </w:trPr>
        <w:tc>
          <w:tcPr>
            <w:tcW w:w="897" w:type="dxa"/>
            <w:shd w:val="clear" w:color="auto" w:fill="auto"/>
            <w:noWrap/>
            <w:vAlign w:val="bottom"/>
            <w:hideMark/>
          </w:tcPr>
          <w:p w14:paraId="1E7CF70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3897</w:t>
            </w:r>
          </w:p>
        </w:tc>
        <w:tc>
          <w:tcPr>
            <w:tcW w:w="1220" w:type="dxa"/>
            <w:shd w:val="clear" w:color="auto" w:fill="auto"/>
            <w:noWrap/>
            <w:vAlign w:val="bottom"/>
            <w:hideMark/>
          </w:tcPr>
          <w:p w14:paraId="3B1DCA9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2170</w:t>
            </w:r>
          </w:p>
        </w:tc>
        <w:tc>
          <w:tcPr>
            <w:tcW w:w="2986" w:type="dxa"/>
            <w:shd w:val="clear" w:color="auto" w:fill="auto"/>
            <w:noWrap/>
            <w:vAlign w:val="bottom"/>
            <w:hideMark/>
          </w:tcPr>
          <w:p w14:paraId="00F1F726"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9 - DC 143 – str. Mihai Viteazu</w:t>
            </w:r>
          </w:p>
        </w:tc>
        <w:tc>
          <w:tcPr>
            <w:tcW w:w="1734" w:type="dxa"/>
            <w:shd w:val="clear" w:color="000000" w:fill="DCE6F1"/>
            <w:noWrap/>
            <w:vAlign w:val="bottom"/>
            <w:hideMark/>
          </w:tcPr>
          <w:p w14:paraId="5DA31CA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70</w:t>
            </w:r>
          </w:p>
        </w:tc>
        <w:tc>
          <w:tcPr>
            <w:tcW w:w="1768" w:type="dxa"/>
            <w:shd w:val="clear" w:color="000000" w:fill="F2DCDB"/>
            <w:noWrap/>
            <w:vAlign w:val="bottom"/>
            <w:hideMark/>
          </w:tcPr>
          <w:p w14:paraId="5590420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61</w:t>
            </w:r>
          </w:p>
        </w:tc>
        <w:tc>
          <w:tcPr>
            <w:tcW w:w="1096" w:type="dxa"/>
            <w:shd w:val="clear" w:color="auto" w:fill="auto"/>
            <w:noWrap/>
            <w:vAlign w:val="bottom"/>
            <w:hideMark/>
          </w:tcPr>
          <w:p w14:paraId="1A423E1F"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-13%</w:t>
            </w:r>
          </w:p>
        </w:tc>
        <w:tc>
          <w:tcPr>
            <w:tcW w:w="720" w:type="dxa"/>
            <w:shd w:val="clear" w:color="auto" w:fill="auto"/>
            <w:noWrap/>
            <w:vAlign w:val="bottom"/>
            <w:hideMark/>
          </w:tcPr>
          <w:p w14:paraId="7A55DF7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1,1</w:t>
            </w:r>
          </w:p>
        </w:tc>
      </w:tr>
      <w:tr w:rsidR="00501A22" w:rsidRPr="00515B1F" w14:paraId="128DD19B" w14:textId="77777777" w:rsidTr="00501A22">
        <w:trPr>
          <w:trHeight w:val="290"/>
        </w:trPr>
        <w:tc>
          <w:tcPr>
            <w:tcW w:w="897" w:type="dxa"/>
            <w:shd w:val="clear" w:color="auto" w:fill="auto"/>
            <w:noWrap/>
            <w:vAlign w:val="bottom"/>
            <w:hideMark/>
          </w:tcPr>
          <w:p w14:paraId="77751B2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3983</w:t>
            </w:r>
          </w:p>
        </w:tc>
        <w:tc>
          <w:tcPr>
            <w:tcW w:w="1220" w:type="dxa"/>
            <w:shd w:val="clear" w:color="auto" w:fill="auto"/>
            <w:noWrap/>
            <w:vAlign w:val="bottom"/>
            <w:hideMark/>
          </w:tcPr>
          <w:p w14:paraId="62A05F5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91</w:t>
            </w:r>
          </w:p>
        </w:tc>
        <w:tc>
          <w:tcPr>
            <w:tcW w:w="2986" w:type="dxa"/>
            <w:shd w:val="clear" w:color="auto" w:fill="auto"/>
            <w:noWrap/>
            <w:vAlign w:val="bottom"/>
            <w:hideMark/>
          </w:tcPr>
          <w:p w14:paraId="3D759BD7"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8 - DC 142 – str. Matei Basarab</w:t>
            </w:r>
          </w:p>
        </w:tc>
        <w:tc>
          <w:tcPr>
            <w:tcW w:w="1734" w:type="dxa"/>
            <w:shd w:val="clear" w:color="000000" w:fill="DCE6F1"/>
            <w:noWrap/>
            <w:vAlign w:val="bottom"/>
            <w:hideMark/>
          </w:tcPr>
          <w:p w14:paraId="63E852C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93</w:t>
            </w:r>
          </w:p>
        </w:tc>
        <w:tc>
          <w:tcPr>
            <w:tcW w:w="1768" w:type="dxa"/>
            <w:shd w:val="clear" w:color="000000" w:fill="F2DCDB"/>
            <w:noWrap/>
            <w:vAlign w:val="bottom"/>
            <w:hideMark/>
          </w:tcPr>
          <w:p w14:paraId="62BCAE0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94</w:t>
            </w:r>
          </w:p>
        </w:tc>
        <w:tc>
          <w:tcPr>
            <w:tcW w:w="1096" w:type="dxa"/>
            <w:shd w:val="clear" w:color="auto" w:fill="auto"/>
            <w:noWrap/>
            <w:vAlign w:val="bottom"/>
            <w:hideMark/>
          </w:tcPr>
          <w:p w14:paraId="7B6D278B"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c>
          <w:tcPr>
            <w:tcW w:w="720" w:type="dxa"/>
            <w:shd w:val="clear" w:color="auto" w:fill="auto"/>
            <w:noWrap/>
            <w:vAlign w:val="bottom"/>
            <w:hideMark/>
          </w:tcPr>
          <w:p w14:paraId="2592FA0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0,1</w:t>
            </w:r>
          </w:p>
        </w:tc>
      </w:tr>
      <w:tr w:rsidR="00501A22" w:rsidRPr="00515B1F" w14:paraId="5448E27D" w14:textId="77777777" w:rsidTr="00501A22">
        <w:trPr>
          <w:trHeight w:val="290"/>
        </w:trPr>
        <w:tc>
          <w:tcPr>
            <w:tcW w:w="897" w:type="dxa"/>
            <w:shd w:val="clear" w:color="auto" w:fill="auto"/>
            <w:noWrap/>
            <w:vAlign w:val="bottom"/>
            <w:hideMark/>
          </w:tcPr>
          <w:p w14:paraId="65AEE79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3983</w:t>
            </w:r>
          </w:p>
        </w:tc>
        <w:tc>
          <w:tcPr>
            <w:tcW w:w="1220" w:type="dxa"/>
            <w:shd w:val="clear" w:color="auto" w:fill="auto"/>
            <w:noWrap/>
            <w:vAlign w:val="bottom"/>
            <w:hideMark/>
          </w:tcPr>
          <w:p w14:paraId="01F7AC9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975</w:t>
            </w:r>
          </w:p>
        </w:tc>
        <w:tc>
          <w:tcPr>
            <w:tcW w:w="2986" w:type="dxa"/>
            <w:shd w:val="clear" w:color="auto" w:fill="auto"/>
            <w:noWrap/>
            <w:vAlign w:val="bottom"/>
            <w:hideMark/>
          </w:tcPr>
          <w:p w14:paraId="15A474FF"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8 - DC 142 – str. Matei Basarab</w:t>
            </w:r>
          </w:p>
        </w:tc>
        <w:tc>
          <w:tcPr>
            <w:tcW w:w="1734" w:type="dxa"/>
            <w:shd w:val="clear" w:color="000000" w:fill="DCE6F1"/>
            <w:noWrap/>
            <w:vAlign w:val="bottom"/>
            <w:hideMark/>
          </w:tcPr>
          <w:p w14:paraId="61291C3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124</w:t>
            </w:r>
          </w:p>
        </w:tc>
        <w:tc>
          <w:tcPr>
            <w:tcW w:w="1768" w:type="dxa"/>
            <w:shd w:val="clear" w:color="000000" w:fill="F2DCDB"/>
            <w:noWrap/>
            <w:vAlign w:val="bottom"/>
            <w:hideMark/>
          </w:tcPr>
          <w:p w14:paraId="012BBEE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129</w:t>
            </w:r>
          </w:p>
        </w:tc>
        <w:tc>
          <w:tcPr>
            <w:tcW w:w="1096" w:type="dxa"/>
            <w:shd w:val="clear" w:color="auto" w:fill="auto"/>
            <w:noWrap/>
            <w:vAlign w:val="bottom"/>
            <w:hideMark/>
          </w:tcPr>
          <w:p w14:paraId="0647466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4%</w:t>
            </w:r>
          </w:p>
        </w:tc>
        <w:tc>
          <w:tcPr>
            <w:tcW w:w="720" w:type="dxa"/>
            <w:shd w:val="clear" w:color="auto" w:fill="auto"/>
            <w:noWrap/>
            <w:vAlign w:val="bottom"/>
            <w:hideMark/>
          </w:tcPr>
          <w:p w14:paraId="77640CB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75EDF782" w14:textId="77777777" w:rsidTr="00501A22">
        <w:trPr>
          <w:trHeight w:val="290"/>
        </w:trPr>
        <w:tc>
          <w:tcPr>
            <w:tcW w:w="897" w:type="dxa"/>
            <w:shd w:val="clear" w:color="auto" w:fill="auto"/>
            <w:noWrap/>
            <w:vAlign w:val="bottom"/>
            <w:hideMark/>
          </w:tcPr>
          <w:p w14:paraId="0B25C8B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3987</w:t>
            </w:r>
          </w:p>
        </w:tc>
        <w:tc>
          <w:tcPr>
            <w:tcW w:w="1220" w:type="dxa"/>
            <w:shd w:val="clear" w:color="auto" w:fill="auto"/>
            <w:noWrap/>
            <w:vAlign w:val="bottom"/>
            <w:hideMark/>
          </w:tcPr>
          <w:p w14:paraId="43924FF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2683</w:t>
            </w:r>
          </w:p>
        </w:tc>
        <w:tc>
          <w:tcPr>
            <w:tcW w:w="2986" w:type="dxa"/>
            <w:shd w:val="clear" w:color="auto" w:fill="auto"/>
            <w:noWrap/>
            <w:vAlign w:val="bottom"/>
            <w:hideMark/>
          </w:tcPr>
          <w:p w14:paraId="5F1208F3"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10 - DC 144 – DC 146</w:t>
            </w:r>
          </w:p>
        </w:tc>
        <w:tc>
          <w:tcPr>
            <w:tcW w:w="1734" w:type="dxa"/>
            <w:shd w:val="clear" w:color="000000" w:fill="DCE6F1"/>
            <w:noWrap/>
            <w:vAlign w:val="bottom"/>
            <w:hideMark/>
          </w:tcPr>
          <w:p w14:paraId="51EE2CC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53</w:t>
            </w:r>
          </w:p>
        </w:tc>
        <w:tc>
          <w:tcPr>
            <w:tcW w:w="1768" w:type="dxa"/>
            <w:shd w:val="clear" w:color="000000" w:fill="F2DCDB"/>
            <w:noWrap/>
            <w:vAlign w:val="bottom"/>
            <w:hideMark/>
          </w:tcPr>
          <w:p w14:paraId="39392B6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52</w:t>
            </w:r>
          </w:p>
        </w:tc>
        <w:tc>
          <w:tcPr>
            <w:tcW w:w="1096" w:type="dxa"/>
            <w:shd w:val="clear" w:color="auto" w:fill="auto"/>
            <w:noWrap/>
            <w:vAlign w:val="bottom"/>
            <w:hideMark/>
          </w:tcPr>
          <w:p w14:paraId="61430F7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c>
          <w:tcPr>
            <w:tcW w:w="720" w:type="dxa"/>
            <w:shd w:val="clear" w:color="auto" w:fill="auto"/>
            <w:noWrap/>
            <w:vAlign w:val="bottom"/>
            <w:hideMark/>
          </w:tcPr>
          <w:p w14:paraId="64B45A02"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0,1</w:t>
            </w:r>
          </w:p>
        </w:tc>
      </w:tr>
      <w:tr w:rsidR="00501A22" w:rsidRPr="00515B1F" w14:paraId="69B6CA45" w14:textId="77777777" w:rsidTr="00501A22">
        <w:trPr>
          <w:trHeight w:val="290"/>
        </w:trPr>
        <w:tc>
          <w:tcPr>
            <w:tcW w:w="897" w:type="dxa"/>
            <w:shd w:val="clear" w:color="auto" w:fill="auto"/>
            <w:noWrap/>
            <w:vAlign w:val="bottom"/>
            <w:hideMark/>
          </w:tcPr>
          <w:p w14:paraId="453D2EF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4608</w:t>
            </w:r>
          </w:p>
        </w:tc>
        <w:tc>
          <w:tcPr>
            <w:tcW w:w="1220" w:type="dxa"/>
            <w:shd w:val="clear" w:color="auto" w:fill="auto"/>
            <w:noWrap/>
            <w:vAlign w:val="bottom"/>
            <w:hideMark/>
          </w:tcPr>
          <w:p w14:paraId="573E78A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262</w:t>
            </w:r>
          </w:p>
        </w:tc>
        <w:tc>
          <w:tcPr>
            <w:tcW w:w="2986" w:type="dxa"/>
            <w:shd w:val="clear" w:color="auto" w:fill="auto"/>
            <w:noWrap/>
            <w:vAlign w:val="bottom"/>
            <w:hideMark/>
          </w:tcPr>
          <w:p w14:paraId="12A7020C"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17 - DJ 669 – str. Manastirii</w:t>
            </w:r>
          </w:p>
        </w:tc>
        <w:tc>
          <w:tcPr>
            <w:tcW w:w="1734" w:type="dxa"/>
            <w:shd w:val="clear" w:color="000000" w:fill="DCE6F1"/>
            <w:noWrap/>
            <w:vAlign w:val="bottom"/>
            <w:hideMark/>
          </w:tcPr>
          <w:p w14:paraId="2C06515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31</w:t>
            </w:r>
          </w:p>
        </w:tc>
        <w:tc>
          <w:tcPr>
            <w:tcW w:w="1768" w:type="dxa"/>
            <w:shd w:val="clear" w:color="000000" w:fill="F2DCDB"/>
            <w:noWrap/>
            <w:vAlign w:val="bottom"/>
            <w:hideMark/>
          </w:tcPr>
          <w:p w14:paraId="096C2FC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w:t>
            </w:r>
          </w:p>
        </w:tc>
        <w:tc>
          <w:tcPr>
            <w:tcW w:w="1096" w:type="dxa"/>
            <w:shd w:val="clear" w:color="auto" w:fill="auto"/>
            <w:noWrap/>
            <w:vAlign w:val="bottom"/>
            <w:hideMark/>
          </w:tcPr>
          <w:p w14:paraId="1672D59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-15%</w:t>
            </w:r>
          </w:p>
        </w:tc>
        <w:tc>
          <w:tcPr>
            <w:tcW w:w="720" w:type="dxa"/>
            <w:shd w:val="clear" w:color="auto" w:fill="auto"/>
            <w:noWrap/>
            <w:vAlign w:val="bottom"/>
            <w:hideMark/>
          </w:tcPr>
          <w:p w14:paraId="4E77EC73"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0,9</w:t>
            </w:r>
          </w:p>
        </w:tc>
      </w:tr>
      <w:tr w:rsidR="00501A22" w:rsidRPr="00515B1F" w14:paraId="593FF09A" w14:textId="77777777" w:rsidTr="00501A22">
        <w:trPr>
          <w:trHeight w:val="290"/>
        </w:trPr>
        <w:tc>
          <w:tcPr>
            <w:tcW w:w="897" w:type="dxa"/>
            <w:shd w:val="clear" w:color="auto" w:fill="auto"/>
            <w:noWrap/>
            <w:vAlign w:val="bottom"/>
            <w:hideMark/>
          </w:tcPr>
          <w:p w14:paraId="247AB8B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4608</w:t>
            </w:r>
          </w:p>
        </w:tc>
        <w:tc>
          <w:tcPr>
            <w:tcW w:w="1220" w:type="dxa"/>
            <w:shd w:val="clear" w:color="auto" w:fill="auto"/>
            <w:noWrap/>
            <w:vAlign w:val="bottom"/>
            <w:hideMark/>
          </w:tcPr>
          <w:p w14:paraId="130E3EA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1810</w:t>
            </w:r>
          </w:p>
        </w:tc>
        <w:tc>
          <w:tcPr>
            <w:tcW w:w="2986" w:type="dxa"/>
            <w:shd w:val="clear" w:color="auto" w:fill="auto"/>
            <w:noWrap/>
            <w:vAlign w:val="bottom"/>
            <w:hideMark/>
          </w:tcPr>
          <w:p w14:paraId="24860FD1"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17 - DJ 669 – str. Manastirii</w:t>
            </w:r>
          </w:p>
        </w:tc>
        <w:tc>
          <w:tcPr>
            <w:tcW w:w="1734" w:type="dxa"/>
            <w:shd w:val="clear" w:color="000000" w:fill="DCE6F1"/>
            <w:noWrap/>
            <w:vAlign w:val="bottom"/>
            <w:hideMark/>
          </w:tcPr>
          <w:p w14:paraId="4619908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30</w:t>
            </w:r>
          </w:p>
        </w:tc>
        <w:tc>
          <w:tcPr>
            <w:tcW w:w="1768" w:type="dxa"/>
            <w:shd w:val="clear" w:color="000000" w:fill="F2DCDB"/>
            <w:noWrap/>
            <w:vAlign w:val="bottom"/>
            <w:hideMark/>
          </w:tcPr>
          <w:p w14:paraId="5DCA6F7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25</w:t>
            </w:r>
          </w:p>
        </w:tc>
        <w:tc>
          <w:tcPr>
            <w:tcW w:w="1096" w:type="dxa"/>
            <w:shd w:val="clear" w:color="auto" w:fill="auto"/>
            <w:noWrap/>
            <w:vAlign w:val="bottom"/>
            <w:hideMark/>
          </w:tcPr>
          <w:p w14:paraId="3A22518A"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-15%</w:t>
            </w:r>
          </w:p>
        </w:tc>
        <w:tc>
          <w:tcPr>
            <w:tcW w:w="720" w:type="dxa"/>
            <w:shd w:val="clear" w:color="auto" w:fill="auto"/>
            <w:noWrap/>
            <w:vAlign w:val="bottom"/>
            <w:hideMark/>
          </w:tcPr>
          <w:p w14:paraId="519EEEE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0,9</w:t>
            </w:r>
          </w:p>
        </w:tc>
      </w:tr>
      <w:tr w:rsidR="00501A22" w:rsidRPr="00515B1F" w14:paraId="441717C0" w14:textId="77777777" w:rsidTr="00501A22">
        <w:trPr>
          <w:trHeight w:val="290"/>
        </w:trPr>
        <w:tc>
          <w:tcPr>
            <w:tcW w:w="897" w:type="dxa"/>
            <w:shd w:val="clear" w:color="auto" w:fill="auto"/>
            <w:noWrap/>
            <w:vAlign w:val="bottom"/>
            <w:hideMark/>
          </w:tcPr>
          <w:p w14:paraId="04FE383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4610</w:t>
            </w:r>
          </w:p>
        </w:tc>
        <w:tc>
          <w:tcPr>
            <w:tcW w:w="1220" w:type="dxa"/>
            <w:shd w:val="clear" w:color="auto" w:fill="auto"/>
            <w:noWrap/>
            <w:vAlign w:val="bottom"/>
            <w:hideMark/>
          </w:tcPr>
          <w:p w14:paraId="27C02C0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3862</w:t>
            </w:r>
          </w:p>
        </w:tc>
        <w:tc>
          <w:tcPr>
            <w:tcW w:w="2986" w:type="dxa"/>
            <w:shd w:val="clear" w:color="auto" w:fill="auto"/>
            <w:noWrap/>
            <w:vAlign w:val="bottom"/>
            <w:hideMark/>
          </w:tcPr>
          <w:p w14:paraId="12665819"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16 - DJ 669 – DC 146</w:t>
            </w:r>
          </w:p>
        </w:tc>
        <w:tc>
          <w:tcPr>
            <w:tcW w:w="1734" w:type="dxa"/>
            <w:shd w:val="clear" w:color="000000" w:fill="DCE6F1"/>
            <w:noWrap/>
            <w:vAlign w:val="bottom"/>
            <w:hideMark/>
          </w:tcPr>
          <w:p w14:paraId="7B4E701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45</w:t>
            </w:r>
          </w:p>
        </w:tc>
        <w:tc>
          <w:tcPr>
            <w:tcW w:w="1768" w:type="dxa"/>
            <w:shd w:val="clear" w:color="000000" w:fill="F2DCDB"/>
            <w:noWrap/>
            <w:vAlign w:val="bottom"/>
            <w:hideMark/>
          </w:tcPr>
          <w:p w14:paraId="0B2F780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44</w:t>
            </w:r>
          </w:p>
        </w:tc>
        <w:tc>
          <w:tcPr>
            <w:tcW w:w="1096" w:type="dxa"/>
            <w:shd w:val="clear" w:color="auto" w:fill="auto"/>
            <w:noWrap/>
            <w:vAlign w:val="bottom"/>
            <w:hideMark/>
          </w:tcPr>
          <w:p w14:paraId="371D661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-3%</w:t>
            </w:r>
          </w:p>
        </w:tc>
        <w:tc>
          <w:tcPr>
            <w:tcW w:w="720" w:type="dxa"/>
            <w:shd w:val="clear" w:color="auto" w:fill="auto"/>
            <w:noWrap/>
            <w:vAlign w:val="bottom"/>
            <w:hideMark/>
          </w:tcPr>
          <w:p w14:paraId="7DE13765"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0,2</w:t>
            </w:r>
          </w:p>
        </w:tc>
      </w:tr>
      <w:tr w:rsidR="00501A22" w:rsidRPr="00515B1F" w14:paraId="65517B6C" w14:textId="77777777" w:rsidTr="00501A22">
        <w:trPr>
          <w:trHeight w:val="290"/>
        </w:trPr>
        <w:tc>
          <w:tcPr>
            <w:tcW w:w="897" w:type="dxa"/>
            <w:shd w:val="clear" w:color="auto" w:fill="auto"/>
            <w:noWrap/>
            <w:vAlign w:val="bottom"/>
            <w:hideMark/>
          </w:tcPr>
          <w:p w14:paraId="44F6F68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4614</w:t>
            </w:r>
          </w:p>
        </w:tc>
        <w:tc>
          <w:tcPr>
            <w:tcW w:w="1220" w:type="dxa"/>
            <w:shd w:val="clear" w:color="auto" w:fill="auto"/>
            <w:noWrap/>
            <w:vAlign w:val="bottom"/>
            <w:hideMark/>
          </w:tcPr>
          <w:p w14:paraId="515D0B8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93</w:t>
            </w:r>
          </w:p>
        </w:tc>
        <w:tc>
          <w:tcPr>
            <w:tcW w:w="2986" w:type="dxa"/>
            <w:shd w:val="clear" w:color="auto" w:fill="auto"/>
            <w:noWrap/>
            <w:vAlign w:val="bottom"/>
            <w:hideMark/>
          </w:tcPr>
          <w:p w14:paraId="798F7255"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14 - DC 146 – str. Mircea cel Batran</w:t>
            </w:r>
          </w:p>
        </w:tc>
        <w:tc>
          <w:tcPr>
            <w:tcW w:w="1734" w:type="dxa"/>
            <w:shd w:val="clear" w:color="000000" w:fill="DCE6F1"/>
            <w:noWrap/>
            <w:vAlign w:val="bottom"/>
            <w:hideMark/>
          </w:tcPr>
          <w:p w14:paraId="0F222D9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76</w:t>
            </w:r>
          </w:p>
        </w:tc>
        <w:tc>
          <w:tcPr>
            <w:tcW w:w="1768" w:type="dxa"/>
            <w:shd w:val="clear" w:color="000000" w:fill="F2DCDB"/>
            <w:noWrap/>
            <w:vAlign w:val="bottom"/>
            <w:hideMark/>
          </w:tcPr>
          <w:p w14:paraId="2D3C373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75</w:t>
            </w:r>
          </w:p>
        </w:tc>
        <w:tc>
          <w:tcPr>
            <w:tcW w:w="1096" w:type="dxa"/>
            <w:shd w:val="clear" w:color="auto" w:fill="auto"/>
            <w:noWrap/>
            <w:vAlign w:val="bottom"/>
            <w:hideMark/>
          </w:tcPr>
          <w:p w14:paraId="7A1E799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c>
          <w:tcPr>
            <w:tcW w:w="720" w:type="dxa"/>
            <w:shd w:val="clear" w:color="auto" w:fill="auto"/>
            <w:noWrap/>
            <w:vAlign w:val="bottom"/>
            <w:hideMark/>
          </w:tcPr>
          <w:p w14:paraId="7E2B7C6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0,2</w:t>
            </w:r>
          </w:p>
        </w:tc>
      </w:tr>
      <w:tr w:rsidR="00501A22" w:rsidRPr="00515B1F" w14:paraId="715C809D" w14:textId="77777777" w:rsidTr="00501A22">
        <w:trPr>
          <w:trHeight w:val="290"/>
        </w:trPr>
        <w:tc>
          <w:tcPr>
            <w:tcW w:w="897" w:type="dxa"/>
            <w:shd w:val="clear" w:color="auto" w:fill="auto"/>
            <w:noWrap/>
            <w:vAlign w:val="bottom"/>
            <w:hideMark/>
          </w:tcPr>
          <w:p w14:paraId="01F8DAF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4614</w:t>
            </w:r>
          </w:p>
        </w:tc>
        <w:tc>
          <w:tcPr>
            <w:tcW w:w="1220" w:type="dxa"/>
            <w:shd w:val="clear" w:color="auto" w:fill="auto"/>
            <w:noWrap/>
            <w:vAlign w:val="bottom"/>
            <w:hideMark/>
          </w:tcPr>
          <w:p w14:paraId="42F6064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95</w:t>
            </w:r>
          </w:p>
        </w:tc>
        <w:tc>
          <w:tcPr>
            <w:tcW w:w="2986" w:type="dxa"/>
            <w:shd w:val="clear" w:color="auto" w:fill="auto"/>
            <w:noWrap/>
            <w:vAlign w:val="bottom"/>
            <w:hideMark/>
          </w:tcPr>
          <w:p w14:paraId="735CDBD7"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14 - DC 146 – str. Mircea cel Batran</w:t>
            </w:r>
          </w:p>
        </w:tc>
        <w:tc>
          <w:tcPr>
            <w:tcW w:w="1734" w:type="dxa"/>
            <w:shd w:val="clear" w:color="000000" w:fill="DCE6F1"/>
            <w:noWrap/>
            <w:vAlign w:val="bottom"/>
            <w:hideMark/>
          </w:tcPr>
          <w:p w14:paraId="4C6AC17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97</w:t>
            </w:r>
          </w:p>
        </w:tc>
        <w:tc>
          <w:tcPr>
            <w:tcW w:w="1768" w:type="dxa"/>
            <w:shd w:val="clear" w:color="000000" w:fill="F2DCDB"/>
            <w:noWrap/>
            <w:vAlign w:val="bottom"/>
            <w:hideMark/>
          </w:tcPr>
          <w:p w14:paraId="368CBD8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133</w:t>
            </w:r>
          </w:p>
        </w:tc>
        <w:tc>
          <w:tcPr>
            <w:tcW w:w="1096" w:type="dxa"/>
            <w:shd w:val="clear" w:color="auto" w:fill="auto"/>
            <w:noWrap/>
            <w:vAlign w:val="bottom"/>
            <w:hideMark/>
          </w:tcPr>
          <w:p w14:paraId="504FF94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27%</w:t>
            </w:r>
          </w:p>
        </w:tc>
        <w:tc>
          <w:tcPr>
            <w:tcW w:w="720" w:type="dxa"/>
            <w:shd w:val="clear" w:color="auto" w:fill="auto"/>
            <w:noWrap/>
            <w:vAlign w:val="bottom"/>
            <w:hideMark/>
          </w:tcPr>
          <w:p w14:paraId="271BD23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3,4</w:t>
            </w:r>
          </w:p>
        </w:tc>
      </w:tr>
      <w:tr w:rsidR="00501A22" w:rsidRPr="00515B1F" w14:paraId="373578C3" w14:textId="77777777" w:rsidTr="00501A22">
        <w:trPr>
          <w:trHeight w:val="290"/>
        </w:trPr>
        <w:tc>
          <w:tcPr>
            <w:tcW w:w="897" w:type="dxa"/>
            <w:shd w:val="clear" w:color="auto" w:fill="auto"/>
            <w:noWrap/>
            <w:vAlign w:val="bottom"/>
            <w:hideMark/>
          </w:tcPr>
          <w:p w14:paraId="04BEF1D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4636</w:t>
            </w:r>
          </w:p>
        </w:tc>
        <w:tc>
          <w:tcPr>
            <w:tcW w:w="1220" w:type="dxa"/>
            <w:shd w:val="clear" w:color="auto" w:fill="auto"/>
            <w:noWrap/>
            <w:vAlign w:val="bottom"/>
            <w:hideMark/>
          </w:tcPr>
          <w:p w14:paraId="2C4F65E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12</w:t>
            </w:r>
          </w:p>
        </w:tc>
        <w:tc>
          <w:tcPr>
            <w:tcW w:w="2986" w:type="dxa"/>
            <w:shd w:val="clear" w:color="auto" w:fill="auto"/>
            <w:noWrap/>
            <w:vAlign w:val="bottom"/>
            <w:hideMark/>
          </w:tcPr>
          <w:p w14:paraId="7D04D7E8"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1 - DN 67 dinspre Rm. Valcea</w:t>
            </w:r>
          </w:p>
        </w:tc>
        <w:tc>
          <w:tcPr>
            <w:tcW w:w="1734" w:type="dxa"/>
            <w:shd w:val="clear" w:color="000000" w:fill="DCE6F1"/>
            <w:noWrap/>
            <w:vAlign w:val="bottom"/>
            <w:hideMark/>
          </w:tcPr>
          <w:p w14:paraId="3DDBD7B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395</w:t>
            </w:r>
          </w:p>
        </w:tc>
        <w:tc>
          <w:tcPr>
            <w:tcW w:w="1768" w:type="dxa"/>
            <w:shd w:val="clear" w:color="000000" w:fill="F2DCDB"/>
            <w:noWrap/>
            <w:vAlign w:val="bottom"/>
            <w:hideMark/>
          </w:tcPr>
          <w:p w14:paraId="35EE773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398</w:t>
            </w:r>
          </w:p>
        </w:tc>
        <w:tc>
          <w:tcPr>
            <w:tcW w:w="1096" w:type="dxa"/>
            <w:shd w:val="clear" w:color="auto" w:fill="auto"/>
            <w:noWrap/>
            <w:vAlign w:val="bottom"/>
            <w:hideMark/>
          </w:tcPr>
          <w:p w14:paraId="18616C7A"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c>
          <w:tcPr>
            <w:tcW w:w="720" w:type="dxa"/>
            <w:shd w:val="clear" w:color="auto" w:fill="auto"/>
            <w:noWrap/>
            <w:vAlign w:val="bottom"/>
            <w:hideMark/>
          </w:tcPr>
          <w:p w14:paraId="6C8B4DD3"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0,2</w:t>
            </w:r>
          </w:p>
        </w:tc>
      </w:tr>
      <w:tr w:rsidR="00501A22" w:rsidRPr="00515B1F" w14:paraId="1EB0F119" w14:textId="77777777" w:rsidTr="00501A22">
        <w:trPr>
          <w:trHeight w:val="290"/>
        </w:trPr>
        <w:tc>
          <w:tcPr>
            <w:tcW w:w="897" w:type="dxa"/>
            <w:shd w:val="clear" w:color="auto" w:fill="auto"/>
            <w:noWrap/>
            <w:vAlign w:val="bottom"/>
            <w:hideMark/>
          </w:tcPr>
          <w:p w14:paraId="196693E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4636</w:t>
            </w:r>
          </w:p>
        </w:tc>
        <w:tc>
          <w:tcPr>
            <w:tcW w:w="1220" w:type="dxa"/>
            <w:shd w:val="clear" w:color="auto" w:fill="auto"/>
            <w:noWrap/>
            <w:vAlign w:val="bottom"/>
            <w:hideMark/>
          </w:tcPr>
          <w:p w14:paraId="0F44CE3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687</w:t>
            </w:r>
          </w:p>
        </w:tc>
        <w:tc>
          <w:tcPr>
            <w:tcW w:w="2986" w:type="dxa"/>
            <w:shd w:val="clear" w:color="auto" w:fill="auto"/>
            <w:noWrap/>
            <w:vAlign w:val="bottom"/>
            <w:hideMark/>
          </w:tcPr>
          <w:p w14:paraId="5DA746BA"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1 - DN 67 dinspre Rm. Valcea</w:t>
            </w:r>
          </w:p>
        </w:tc>
        <w:tc>
          <w:tcPr>
            <w:tcW w:w="1734" w:type="dxa"/>
            <w:shd w:val="clear" w:color="000000" w:fill="DCE6F1"/>
            <w:noWrap/>
            <w:vAlign w:val="bottom"/>
            <w:hideMark/>
          </w:tcPr>
          <w:p w14:paraId="7551435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408</w:t>
            </w:r>
          </w:p>
        </w:tc>
        <w:tc>
          <w:tcPr>
            <w:tcW w:w="1768" w:type="dxa"/>
            <w:shd w:val="clear" w:color="000000" w:fill="F2DCDB"/>
            <w:noWrap/>
            <w:vAlign w:val="bottom"/>
            <w:hideMark/>
          </w:tcPr>
          <w:p w14:paraId="4991E89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411</w:t>
            </w:r>
          </w:p>
        </w:tc>
        <w:tc>
          <w:tcPr>
            <w:tcW w:w="1096" w:type="dxa"/>
            <w:shd w:val="clear" w:color="auto" w:fill="auto"/>
            <w:noWrap/>
            <w:vAlign w:val="bottom"/>
            <w:hideMark/>
          </w:tcPr>
          <w:p w14:paraId="7D944C9B"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c>
          <w:tcPr>
            <w:tcW w:w="720" w:type="dxa"/>
            <w:shd w:val="clear" w:color="auto" w:fill="auto"/>
            <w:noWrap/>
            <w:vAlign w:val="bottom"/>
            <w:hideMark/>
          </w:tcPr>
          <w:p w14:paraId="3D4BC42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0,1</w:t>
            </w:r>
          </w:p>
        </w:tc>
      </w:tr>
      <w:tr w:rsidR="00501A22" w:rsidRPr="00515B1F" w14:paraId="47C3F5C3" w14:textId="77777777" w:rsidTr="00501A22">
        <w:trPr>
          <w:trHeight w:val="290"/>
        </w:trPr>
        <w:tc>
          <w:tcPr>
            <w:tcW w:w="897" w:type="dxa"/>
            <w:shd w:val="clear" w:color="auto" w:fill="auto"/>
            <w:noWrap/>
            <w:vAlign w:val="bottom"/>
            <w:hideMark/>
          </w:tcPr>
          <w:p w14:paraId="051E194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4695</w:t>
            </w:r>
          </w:p>
        </w:tc>
        <w:tc>
          <w:tcPr>
            <w:tcW w:w="1220" w:type="dxa"/>
            <w:shd w:val="clear" w:color="auto" w:fill="auto"/>
            <w:noWrap/>
            <w:vAlign w:val="bottom"/>
            <w:hideMark/>
          </w:tcPr>
          <w:p w14:paraId="6EBBD64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148</w:t>
            </w:r>
          </w:p>
        </w:tc>
        <w:tc>
          <w:tcPr>
            <w:tcW w:w="2986" w:type="dxa"/>
            <w:shd w:val="clear" w:color="auto" w:fill="auto"/>
            <w:noWrap/>
            <w:vAlign w:val="bottom"/>
            <w:hideMark/>
          </w:tcPr>
          <w:p w14:paraId="3717A7A6"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5 - DC 142 – str. Alex. Vlahuta</w:t>
            </w:r>
          </w:p>
        </w:tc>
        <w:tc>
          <w:tcPr>
            <w:tcW w:w="1734" w:type="dxa"/>
            <w:shd w:val="clear" w:color="000000" w:fill="DCE6F1"/>
            <w:noWrap/>
            <w:vAlign w:val="bottom"/>
            <w:hideMark/>
          </w:tcPr>
          <w:p w14:paraId="218766F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22</w:t>
            </w:r>
          </w:p>
        </w:tc>
        <w:tc>
          <w:tcPr>
            <w:tcW w:w="1768" w:type="dxa"/>
            <w:shd w:val="clear" w:color="000000" w:fill="F2DCDB"/>
            <w:noWrap/>
            <w:vAlign w:val="bottom"/>
            <w:hideMark/>
          </w:tcPr>
          <w:p w14:paraId="62850B0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19</w:t>
            </w:r>
          </w:p>
        </w:tc>
        <w:tc>
          <w:tcPr>
            <w:tcW w:w="1096" w:type="dxa"/>
            <w:shd w:val="clear" w:color="auto" w:fill="auto"/>
            <w:noWrap/>
            <w:vAlign w:val="bottom"/>
            <w:hideMark/>
          </w:tcPr>
          <w:p w14:paraId="2504354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-15%</w:t>
            </w:r>
          </w:p>
        </w:tc>
        <w:tc>
          <w:tcPr>
            <w:tcW w:w="720" w:type="dxa"/>
            <w:shd w:val="clear" w:color="auto" w:fill="auto"/>
            <w:noWrap/>
            <w:vAlign w:val="bottom"/>
            <w:hideMark/>
          </w:tcPr>
          <w:p w14:paraId="2D7DA23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0,7</w:t>
            </w:r>
          </w:p>
        </w:tc>
      </w:tr>
      <w:tr w:rsidR="00501A22" w:rsidRPr="00515B1F" w14:paraId="1B82A9CE" w14:textId="77777777" w:rsidTr="00501A22">
        <w:trPr>
          <w:trHeight w:val="290"/>
        </w:trPr>
        <w:tc>
          <w:tcPr>
            <w:tcW w:w="897" w:type="dxa"/>
            <w:shd w:val="clear" w:color="auto" w:fill="auto"/>
            <w:noWrap/>
            <w:vAlign w:val="bottom"/>
            <w:hideMark/>
          </w:tcPr>
          <w:p w14:paraId="43B80A0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4695</w:t>
            </w:r>
          </w:p>
        </w:tc>
        <w:tc>
          <w:tcPr>
            <w:tcW w:w="1220" w:type="dxa"/>
            <w:shd w:val="clear" w:color="auto" w:fill="auto"/>
            <w:noWrap/>
            <w:vAlign w:val="bottom"/>
            <w:hideMark/>
          </w:tcPr>
          <w:p w14:paraId="0664FC9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155</w:t>
            </w:r>
          </w:p>
        </w:tc>
        <w:tc>
          <w:tcPr>
            <w:tcW w:w="2986" w:type="dxa"/>
            <w:shd w:val="clear" w:color="auto" w:fill="auto"/>
            <w:noWrap/>
            <w:vAlign w:val="bottom"/>
            <w:hideMark/>
          </w:tcPr>
          <w:p w14:paraId="6B3A1A98"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5 - DC 142 – str. Alex. Vlahuta</w:t>
            </w:r>
          </w:p>
        </w:tc>
        <w:tc>
          <w:tcPr>
            <w:tcW w:w="1734" w:type="dxa"/>
            <w:shd w:val="clear" w:color="000000" w:fill="DCE6F1"/>
            <w:noWrap/>
            <w:vAlign w:val="bottom"/>
            <w:hideMark/>
          </w:tcPr>
          <w:p w14:paraId="2F1B23D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30</w:t>
            </w:r>
          </w:p>
        </w:tc>
        <w:tc>
          <w:tcPr>
            <w:tcW w:w="1768" w:type="dxa"/>
            <w:shd w:val="clear" w:color="000000" w:fill="F2DCDB"/>
            <w:noWrap/>
            <w:vAlign w:val="bottom"/>
            <w:hideMark/>
          </w:tcPr>
          <w:p w14:paraId="3F3ADB3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31</w:t>
            </w:r>
          </w:p>
        </w:tc>
        <w:tc>
          <w:tcPr>
            <w:tcW w:w="1096" w:type="dxa"/>
            <w:shd w:val="clear" w:color="auto" w:fill="auto"/>
            <w:noWrap/>
            <w:vAlign w:val="bottom"/>
            <w:hideMark/>
          </w:tcPr>
          <w:p w14:paraId="4FF91E0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3%</w:t>
            </w:r>
          </w:p>
        </w:tc>
        <w:tc>
          <w:tcPr>
            <w:tcW w:w="720" w:type="dxa"/>
            <w:shd w:val="clear" w:color="auto" w:fill="auto"/>
            <w:noWrap/>
            <w:vAlign w:val="bottom"/>
            <w:hideMark/>
          </w:tcPr>
          <w:p w14:paraId="2301EA35"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0,2</w:t>
            </w:r>
          </w:p>
        </w:tc>
      </w:tr>
      <w:tr w:rsidR="00501A22" w:rsidRPr="00515B1F" w14:paraId="79DA2571" w14:textId="77777777" w:rsidTr="00501A22">
        <w:trPr>
          <w:trHeight w:val="290"/>
        </w:trPr>
        <w:tc>
          <w:tcPr>
            <w:tcW w:w="897" w:type="dxa"/>
            <w:shd w:val="clear" w:color="auto" w:fill="auto"/>
            <w:noWrap/>
            <w:vAlign w:val="bottom"/>
            <w:hideMark/>
          </w:tcPr>
          <w:p w14:paraId="7EB9004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4709</w:t>
            </w:r>
          </w:p>
        </w:tc>
        <w:tc>
          <w:tcPr>
            <w:tcW w:w="1220" w:type="dxa"/>
            <w:shd w:val="clear" w:color="auto" w:fill="auto"/>
            <w:noWrap/>
            <w:vAlign w:val="bottom"/>
            <w:hideMark/>
          </w:tcPr>
          <w:p w14:paraId="1A4D7A3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932</w:t>
            </w:r>
          </w:p>
        </w:tc>
        <w:tc>
          <w:tcPr>
            <w:tcW w:w="2986" w:type="dxa"/>
            <w:shd w:val="clear" w:color="auto" w:fill="auto"/>
            <w:noWrap/>
            <w:vAlign w:val="bottom"/>
            <w:hideMark/>
          </w:tcPr>
          <w:p w14:paraId="29566DB8"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11 - DN 67 – DN 65C</w:t>
            </w:r>
          </w:p>
        </w:tc>
        <w:tc>
          <w:tcPr>
            <w:tcW w:w="1734" w:type="dxa"/>
            <w:shd w:val="clear" w:color="000000" w:fill="DCE6F1"/>
            <w:noWrap/>
            <w:vAlign w:val="bottom"/>
            <w:hideMark/>
          </w:tcPr>
          <w:p w14:paraId="73BBE83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136</w:t>
            </w:r>
          </w:p>
        </w:tc>
        <w:tc>
          <w:tcPr>
            <w:tcW w:w="1768" w:type="dxa"/>
            <w:shd w:val="clear" w:color="000000" w:fill="F2DCDB"/>
            <w:noWrap/>
            <w:vAlign w:val="bottom"/>
            <w:hideMark/>
          </w:tcPr>
          <w:p w14:paraId="0AC92F1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125</w:t>
            </w:r>
          </w:p>
        </w:tc>
        <w:tc>
          <w:tcPr>
            <w:tcW w:w="1096" w:type="dxa"/>
            <w:shd w:val="clear" w:color="auto" w:fill="auto"/>
            <w:noWrap/>
            <w:vAlign w:val="bottom"/>
            <w:hideMark/>
          </w:tcPr>
          <w:p w14:paraId="631FA752"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-8%</w:t>
            </w:r>
          </w:p>
        </w:tc>
        <w:tc>
          <w:tcPr>
            <w:tcW w:w="720" w:type="dxa"/>
            <w:shd w:val="clear" w:color="auto" w:fill="auto"/>
            <w:noWrap/>
            <w:vAlign w:val="bottom"/>
            <w:hideMark/>
          </w:tcPr>
          <w:p w14:paraId="5062D033"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r>
      <w:tr w:rsidR="00501A22" w:rsidRPr="00515B1F" w14:paraId="32E91795" w14:textId="77777777" w:rsidTr="00501A22">
        <w:trPr>
          <w:trHeight w:val="290"/>
        </w:trPr>
        <w:tc>
          <w:tcPr>
            <w:tcW w:w="897" w:type="dxa"/>
            <w:shd w:val="clear" w:color="auto" w:fill="auto"/>
            <w:noWrap/>
            <w:vAlign w:val="bottom"/>
            <w:hideMark/>
          </w:tcPr>
          <w:p w14:paraId="40DB55F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4738</w:t>
            </w:r>
          </w:p>
        </w:tc>
        <w:tc>
          <w:tcPr>
            <w:tcW w:w="1220" w:type="dxa"/>
            <w:shd w:val="clear" w:color="auto" w:fill="auto"/>
            <w:noWrap/>
            <w:vAlign w:val="bottom"/>
            <w:hideMark/>
          </w:tcPr>
          <w:p w14:paraId="397EA12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85</w:t>
            </w:r>
          </w:p>
        </w:tc>
        <w:tc>
          <w:tcPr>
            <w:tcW w:w="2986" w:type="dxa"/>
            <w:shd w:val="clear" w:color="auto" w:fill="auto"/>
            <w:noWrap/>
            <w:vAlign w:val="bottom"/>
            <w:hideMark/>
          </w:tcPr>
          <w:p w14:paraId="49F931A1"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9 - DC 143 – str. Mihai Viteazu</w:t>
            </w:r>
          </w:p>
        </w:tc>
        <w:tc>
          <w:tcPr>
            <w:tcW w:w="1734" w:type="dxa"/>
            <w:shd w:val="clear" w:color="000000" w:fill="DCE6F1"/>
            <w:noWrap/>
            <w:vAlign w:val="bottom"/>
            <w:hideMark/>
          </w:tcPr>
          <w:p w14:paraId="77F1CCD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79</w:t>
            </w:r>
          </w:p>
        </w:tc>
        <w:tc>
          <w:tcPr>
            <w:tcW w:w="1768" w:type="dxa"/>
            <w:shd w:val="clear" w:color="000000" w:fill="F2DCDB"/>
            <w:noWrap/>
            <w:vAlign w:val="bottom"/>
            <w:hideMark/>
          </w:tcPr>
          <w:p w14:paraId="124D699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82</w:t>
            </w:r>
          </w:p>
        </w:tc>
        <w:tc>
          <w:tcPr>
            <w:tcW w:w="1096" w:type="dxa"/>
            <w:shd w:val="clear" w:color="auto" w:fill="auto"/>
            <w:noWrap/>
            <w:vAlign w:val="bottom"/>
            <w:hideMark/>
          </w:tcPr>
          <w:p w14:paraId="3ED9ADB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3%</w:t>
            </w:r>
          </w:p>
        </w:tc>
        <w:tc>
          <w:tcPr>
            <w:tcW w:w="720" w:type="dxa"/>
            <w:shd w:val="clear" w:color="auto" w:fill="auto"/>
            <w:noWrap/>
            <w:vAlign w:val="bottom"/>
            <w:hideMark/>
          </w:tcPr>
          <w:p w14:paraId="3FEAEF3F"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0,3</w:t>
            </w:r>
          </w:p>
        </w:tc>
      </w:tr>
      <w:tr w:rsidR="00501A22" w:rsidRPr="00515B1F" w14:paraId="31A6AADA" w14:textId="77777777" w:rsidTr="00501A22">
        <w:trPr>
          <w:trHeight w:val="290"/>
        </w:trPr>
        <w:tc>
          <w:tcPr>
            <w:tcW w:w="897" w:type="dxa"/>
            <w:shd w:val="clear" w:color="auto" w:fill="auto"/>
            <w:noWrap/>
            <w:vAlign w:val="bottom"/>
            <w:hideMark/>
          </w:tcPr>
          <w:p w14:paraId="333A84D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4738</w:t>
            </w:r>
          </w:p>
        </w:tc>
        <w:tc>
          <w:tcPr>
            <w:tcW w:w="1220" w:type="dxa"/>
            <w:shd w:val="clear" w:color="auto" w:fill="auto"/>
            <w:noWrap/>
            <w:vAlign w:val="bottom"/>
            <w:hideMark/>
          </w:tcPr>
          <w:p w14:paraId="67074AE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3949</w:t>
            </w:r>
          </w:p>
        </w:tc>
        <w:tc>
          <w:tcPr>
            <w:tcW w:w="2986" w:type="dxa"/>
            <w:shd w:val="clear" w:color="auto" w:fill="auto"/>
            <w:noWrap/>
            <w:vAlign w:val="bottom"/>
            <w:hideMark/>
          </w:tcPr>
          <w:p w14:paraId="1DD06F9C"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9 - DC 143 – str. Mihai Viteazu</w:t>
            </w:r>
          </w:p>
        </w:tc>
        <w:tc>
          <w:tcPr>
            <w:tcW w:w="1734" w:type="dxa"/>
            <w:shd w:val="clear" w:color="000000" w:fill="DCE6F1"/>
            <w:noWrap/>
            <w:vAlign w:val="bottom"/>
            <w:hideMark/>
          </w:tcPr>
          <w:p w14:paraId="60566D4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99</w:t>
            </w:r>
          </w:p>
        </w:tc>
        <w:tc>
          <w:tcPr>
            <w:tcW w:w="1768" w:type="dxa"/>
            <w:shd w:val="clear" w:color="000000" w:fill="F2DCDB"/>
            <w:noWrap/>
            <w:vAlign w:val="bottom"/>
            <w:hideMark/>
          </w:tcPr>
          <w:p w14:paraId="6EABA3D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95</w:t>
            </w:r>
          </w:p>
        </w:tc>
        <w:tc>
          <w:tcPr>
            <w:tcW w:w="1096" w:type="dxa"/>
            <w:shd w:val="clear" w:color="auto" w:fill="auto"/>
            <w:noWrap/>
            <w:vAlign w:val="bottom"/>
            <w:hideMark/>
          </w:tcPr>
          <w:p w14:paraId="49BA82B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-5%</w:t>
            </w:r>
          </w:p>
        </w:tc>
        <w:tc>
          <w:tcPr>
            <w:tcW w:w="720" w:type="dxa"/>
            <w:shd w:val="clear" w:color="auto" w:fill="auto"/>
            <w:noWrap/>
            <w:vAlign w:val="bottom"/>
            <w:hideMark/>
          </w:tcPr>
          <w:p w14:paraId="1336A00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25B6382F" w14:textId="77777777" w:rsidTr="00501A22">
        <w:trPr>
          <w:trHeight w:val="290"/>
        </w:trPr>
        <w:tc>
          <w:tcPr>
            <w:tcW w:w="897" w:type="dxa"/>
            <w:shd w:val="clear" w:color="auto" w:fill="auto"/>
            <w:noWrap/>
            <w:vAlign w:val="bottom"/>
            <w:hideMark/>
          </w:tcPr>
          <w:p w14:paraId="61F5336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4768</w:t>
            </w:r>
          </w:p>
        </w:tc>
        <w:tc>
          <w:tcPr>
            <w:tcW w:w="1220" w:type="dxa"/>
            <w:shd w:val="clear" w:color="auto" w:fill="auto"/>
            <w:noWrap/>
            <w:vAlign w:val="bottom"/>
            <w:hideMark/>
          </w:tcPr>
          <w:p w14:paraId="16C1D7D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164</w:t>
            </w:r>
          </w:p>
        </w:tc>
        <w:tc>
          <w:tcPr>
            <w:tcW w:w="2986" w:type="dxa"/>
            <w:shd w:val="clear" w:color="auto" w:fill="auto"/>
            <w:noWrap/>
            <w:vAlign w:val="bottom"/>
            <w:hideMark/>
          </w:tcPr>
          <w:p w14:paraId="25819897"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10 - DC 144 – DC 146</w:t>
            </w:r>
          </w:p>
        </w:tc>
        <w:tc>
          <w:tcPr>
            <w:tcW w:w="1734" w:type="dxa"/>
            <w:shd w:val="clear" w:color="000000" w:fill="DCE6F1"/>
            <w:noWrap/>
            <w:vAlign w:val="bottom"/>
            <w:hideMark/>
          </w:tcPr>
          <w:p w14:paraId="77C791A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83</w:t>
            </w:r>
          </w:p>
        </w:tc>
        <w:tc>
          <w:tcPr>
            <w:tcW w:w="1768" w:type="dxa"/>
            <w:shd w:val="clear" w:color="000000" w:fill="F2DCDB"/>
            <w:noWrap/>
            <w:vAlign w:val="bottom"/>
            <w:hideMark/>
          </w:tcPr>
          <w:p w14:paraId="3E2B815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73</w:t>
            </w:r>
          </w:p>
        </w:tc>
        <w:tc>
          <w:tcPr>
            <w:tcW w:w="1096" w:type="dxa"/>
            <w:shd w:val="clear" w:color="auto" w:fill="auto"/>
            <w:noWrap/>
            <w:vAlign w:val="bottom"/>
            <w:hideMark/>
          </w:tcPr>
          <w:p w14:paraId="260EDAE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-12%</w:t>
            </w:r>
          </w:p>
        </w:tc>
        <w:tc>
          <w:tcPr>
            <w:tcW w:w="720" w:type="dxa"/>
            <w:shd w:val="clear" w:color="auto" w:fill="auto"/>
            <w:noWrap/>
            <w:vAlign w:val="bottom"/>
            <w:hideMark/>
          </w:tcPr>
          <w:p w14:paraId="22F17F8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1,2</w:t>
            </w:r>
          </w:p>
        </w:tc>
      </w:tr>
      <w:tr w:rsidR="00501A22" w:rsidRPr="00515B1F" w14:paraId="6E5D04AD" w14:textId="77777777" w:rsidTr="00501A22">
        <w:trPr>
          <w:trHeight w:val="290"/>
        </w:trPr>
        <w:tc>
          <w:tcPr>
            <w:tcW w:w="897" w:type="dxa"/>
            <w:shd w:val="clear" w:color="auto" w:fill="auto"/>
            <w:noWrap/>
            <w:vAlign w:val="bottom"/>
            <w:hideMark/>
          </w:tcPr>
          <w:p w14:paraId="5A962A4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4768</w:t>
            </w:r>
          </w:p>
        </w:tc>
        <w:tc>
          <w:tcPr>
            <w:tcW w:w="1220" w:type="dxa"/>
            <w:shd w:val="clear" w:color="auto" w:fill="auto"/>
            <w:noWrap/>
            <w:vAlign w:val="bottom"/>
            <w:hideMark/>
          </w:tcPr>
          <w:p w14:paraId="4DDFEEE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3962</w:t>
            </w:r>
          </w:p>
        </w:tc>
        <w:tc>
          <w:tcPr>
            <w:tcW w:w="2986" w:type="dxa"/>
            <w:shd w:val="clear" w:color="auto" w:fill="auto"/>
            <w:noWrap/>
            <w:vAlign w:val="bottom"/>
            <w:hideMark/>
          </w:tcPr>
          <w:p w14:paraId="22DC23D4"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10 - DC 144 – DC 146</w:t>
            </w:r>
          </w:p>
        </w:tc>
        <w:tc>
          <w:tcPr>
            <w:tcW w:w="1734" w:type="dxa"/>
            <w:shd w:val="clear" w:color="000000" w:fill="DCE6F1"/>
            <w:noWrap/>
            <w:vAlign w:val="bottom"/>
            <w:hideMark/>
          </w:tcPr>
          <w:p w14:paraId="725739A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101</w:t>
            </w:r>
          </w:p>
        </w:tc>
        <w:tc>
          <w:tcPr>
            <w:tcW w:w="1768" w:type="dxa"/>
            <w:shd w:val="clear" w:color="000000" w:fill="F2DCDB"/>
            <w:noWrap/>
            <w:vAlign w:val="bottom"/>
            <w:hideMark/>
          </w:tcPr>
          <w:p w14:paraId="174CB4D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106</w:t>
            </w:r>
          </w:p>
        </w:tc>
        <w:tc>
          <w:tcPr>
            <w:tcW w:w="1096" w:type="dxa"/>
            <w:shd w:val="clear" w:color="auto" w:fill="auto"/>
            <w:noWrap/>
            <w:vAlign w:val="bottom"/>
            <w:hideMark/>
          </w:tcPr>
          <w:p w14:paraId="74C31E15"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5%</w:t>
            </w:r>
          </w:p>
        </w:tc>
        <w:tc>
          <w:tcPr>
            <w:tcW w:w="720" w:type="dxa"/>
            <w:shd w:val="clear" w:color="auto" w:fill="auto"/>
            <w:noWrap/>
            <w:vAlign w:val="bottom"/>
            <w:hideMark/>
          </w:tcPr>
          <w:p w14:paraId="7C65F46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2F6466FF" w14:textId="77777777" w:rsidTr="00501A22">
        <w:trPr>
          <w:trHeight w:val="290"/>
        </w:trPr>
        <w:tc>
          <w:tcPr>
            <w:tcW w:w="897" w:type="dxa"/>
            <w:shd w:val="clear" w:color="auto" w:fill="auto"/>
            <w:noWrap/>
            <w:vAlign w:val="bottom"/>
            <w:hideMark/>
          </w:tcPr>
          <w:p w14:paraId="0189602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4772</w:t>
            </w:r>
          </w:p>
        </w:tc>
        <w:tc>
          <w:tcPr>
            <w:tcW w:w="1220" w:type="dxa"/>
            <w:shd w:val="clear" w:color="auto" w:fill="auto"/>
            <w:noWrap/>
            <w:vAlign w:val="bottom"/>
            <w:hideMark/>
          </w:tcPr>
          <w:p w14:paraId="0E3A830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3964</w:t>
            </w:r>
          </w:p>
        </w:tc>
        <w:tc>
          <w:tcPr>
            <w:tcW w:w="2986" w:type="dxa"/>
            <w:shd w:val="clear" w:color="auto" w:fill="auto"/>
            <w:noWrap/>
            <w:vAlign w:val="bottom"/>
            <w:hideMark/>
          </w:tcPr>
          <w:p w14:paraId="75C14243"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16 - DJ 669 – DC 146</w:t>
            </w:r>
          </w:p>
        </w:tc>
        <w:tc>
          <w:tcPr>
            <w:tcW w:w="1734" w:type="dxa"/>
            <w:shd w:val="clear" w:color="000000" w:fill="DCE6F1"/>
            <w:noWrap/>
            <w:vAlign w:val="bottom"/>
            <w:hideMark/>
          </w:tcPr>
          <w:p w14:paraId="1217FBD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31</w:t>
            </w:r>
          </w:p>
        </w:tc>
        <w:tc>
          <w:tcPr>
            <w:tcW w:w="1768" w:type="dxa"/>
            <w:shd w:val="clear" w:color="000000" w:fill="F2DCDB"/>
            <w:noWrap/>
            <w:vAlign w:val="bottom"/>
            <w:hideMark/>
          </w:tcPr>
          <w:p w14:paraId="3D24395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29</w:t>
            </w:r>
          </w:p>
        </w:tc>
        <w:tc>
          <w:tcPr>
            <w:tcW w:w="1096" w:type="dxa"/>
            <w:shd w:val="clear" w:color="auto" w:fill="auto"/>
            <w:noWrap/>
            <w:vAlign w:val="bottom"/>
            <w:hideMark/>
          </w:tcPr>
          <w:p w14:paraId="31B8DC8E"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-8%</w:t>
            </w:r>
          </w:p>
        </w:tc>
        <w:tc>
          <w:tcPr>
            <w:tcW w:w="720" w:type="dxa"/>
            <w:shd w:val="clear" w:color="auto" w:fill="auto"/>
            <w:noWrap/>
            <w:vAlign w:val="bottom"/>
            <w:hideMark/>
          </w:tcPr>
          <w:p w14:paraId="1BF2098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33B1E98C" w14:textId="77777777" w:rsidTr="00501A22">
        <w:trPr>
          <w:trHeight w:val="290"/>
        </w:trPr>
        <w:tc>
          <w:tcPr>
            <w:tcW w:w="897" w:type="dxa"/>
            <w:shd w:val="clear" w:color="auto" w:fill="auto"/>
            <w:noWrap/>
            <w:vAlign w:val="bottom"/>
            <w:hideMark/>
          </w:tcPr>
          <w:p w14:paraId="39D00E2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4778</w:t>
            </w:r>
          </w:p>
        </w:tc>
        <w:tc>
          <w:tcPr>
            <w:tcW w:w="1220" w:type="dxa"/>
            <w:shd w:val="clear" w:color="auto" w:fill="auto"/>
            <w:noWrap/>
            <w:vAlign w:val="bottom"/>
            <w:hideMark/>
          </w:tcPr>
          <w:p w14:paraId="7DBB5C2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262</w:t>
            </w:r>
          </w:p>
        </w:tc>
        <w:tc>
          <w:tcPr>
            <w:tcW w:w="2986" w:type="dxa"/>
            <w:shd w:val="clear" w:color="auto" w:fill="auto"/>
            <w:noWrap/>
            <w:vAlign w:val="bottom"/>
            <w:hideMark/>
          </w:tcPr>
          <w:p w14:paraId="17CC6080"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17 - DJ 669 – str. Manastirii</w:t>
            </w:r>
          </w:p>
        </w:tc>
        <w:tc>
          <w:tcPr>
            <w:tcW w:w="1734" w:type="dxa"/>
            <w:shd w:val="clear" w:color="000000" w:fill="DCE6F1"/>
            <w:noWrap/>
            <w:vAlign w:val="bottom"/>
            <w:hideMark/>
          </w:tcPr>
          <w:p w14:paraId="169ED7D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45</w:t>
            </w:r>
          </w:p>
        </w:tc>
        <w:tc>
          <w:tcPr>
            <w:tcW w:w="1768" w:type="dxa"/>
            <w:shd w:val="clear" w:color="000000" w:fill="F2DCDB"/>
            <w:noWrap/>
            <w:vAlign w:val="bottom"/>
            <w:hideMark/>
          </w:tcPr>
          <w:p w14:paraId="66CBBFB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w:t>
            </w:r>
          </w:p>
        </w:tc>
        <w:tc>
          <w:tcPr>
            <w:tcW w:w="1096" w:type="dxa"/>
            <w:shd w:val="clear" w:color="auto" w:fill="auto"/>
            <w:noWrap/>
            <w:vAlign w:val="bottom"/>
            <w:hideMark/>
          </w:tcPr>
          <w:p w14:paraId="3187343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c>
          <w:tcPr>
            <w:tcW w:w="720" w:type="dxa"/>
            <w:shd w:val="clear" w:color="auto" w:fill="auto"/>
            <w:noWrap/>
            <w:vAlign w:val="bottom"/>
            <w:hideMark/>
          </w:tcPr>
          <w:p w14:paraId="2AEBD0B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0,1</w:t>
            </w:r>
          </w:p>
        </w:tc>
      </w:tr>
      <w:tr w:rsidR="00501A22" w:rsidRPr="00515B1F" w14:paraId="0C262CDC" w14:textId="77777777" w:rsidTr="00501A22">
        <w:trPr>
          <w:trHeight w:val="290"/>
        </w:trPr>
        <w:tc>
          <w:tcPr>
            <w:tcW w:w="897" w:type="dxa"/>
            <w:shd w:val="clear" w:color="auto" w:fill="auto"/>
            <w:noWrap/>
            <w:vAlign w:val="bottom"/>
            <w:hideMark/>
          </w:tcPr>
          <w:p w14:paraId="4B59722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4778</w:t>
            </w:r>
          </w:p>
        </w:tc>
        <w:tc>
          <w:tcPr>
            <w:tcW w:w="1220" w:type="dxa"/>
            <w:shd w:val="clear" w:color="auto" w:fill="auto"/>
            <w:noWrap/>
            <w:vAlign w:val="bottom"/>
            <w:hideMark/>
          </w:tcPr>
          <w:p w14:paraId="417C46C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3967</w:t>
            </w:r>
          </w:p>
        </w:tc>
        <w:tc>
          <w:tcPr>
            <w:tcW w:w="2986" w:type="dxa"/>
            <w:shd w:val="clear" w:color="auto" w:fill="auto"/>
            <w:noWrap/>
            <w:vAlign w:val="bottom"/>
            <w:hideMark/>
          </w:tcPr>
          <w:p w14:paraId="57B37A75"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17 - DJ 669 – str. Manastirii</w:t>
            </w:r>
          </w:p>
        </w:tc>
        <w:tc>
          <w:tcPr>
            <w:tcW w:w="1734" w:type="dxa"/>
            <w:shd w:val="clear" w:color="000000" w:fill="DCE6F1"/>
            <w:noWrap/>
            <w:vAlign w:val="bottom"/>
            <w:hideMark/>
          </w:tcPr>
          <w:p w14:paraId="1B6DCF9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36</w:t>
            </w:r>
          </w:p>
        </w:tc>
        <w:tc>
          <w:tcPr>
            <w:tcW w:w="1768" w:type="dxa"/>
            <w:shd w:val="clear" w:color="000000" w:fill="F2DCDB"/>
            <w:noWrap/>
            <w:vAlign w:val="bottom"/>
            <w:hideMark/>
          </w:tcPr>
          <w:p w14:paraId="5EC2B69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36</w:t>
            </w:r>
          </w:p>
        </w:tc>
        <w:tc>
          <w:tcPr>
            <w:tcW w:w="1096" w:type="dxa"/>
            <w:shd w:val="clear" w:color="auto" w:fill="auto"/>
            <w:noWrap/>
            <w:vAlign w:val="bottom"/>
            <w:hideMark/>
          </w:tcPr>
          <w:p w14:paraId="6EE2AE2B"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c>
          <w:tcPr>
            <w:tcW w:w="720" w:type="dxa"/>
            <w:shd w:val="clear" w:color="auto" w:fill="auto"/>
            <w:noWrap/>
            <w:vAlign w:val="bottom"/>
            <w:hideMark/>
          </w:tcPr>
          <w:p w14:paraId="09408B21"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w:t>
            </w:r>
          </w:p>
        </w:tc>
      </w:tr>
      <w:tr w:rsidR="00501A22" w:rsidRPr="00515B1F" w14:paraId="031BF4E7" w14:textId="77777777" w:rsidTr="00501A22">
        <w:trPr>
          <w:trHeight w:val="290"/>
        </w:trPr>
        <w:tc>
          <w:tcPr>
            <w:tcW w:w="897" w:type="dxa"/>
            <w:shd w:val="clear" w:color="auto" w:fill="auto"/>
            <w:noWrap/>
            <w:vAlign w:val="bottom"/>
            <w:hideMark/>
          </w:tcPr>
          <w:p w14:paraId="2F93AC6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4791</w:t>
            </w:r>
          </w:p>
        </w:tc>
        <w:tc>
          <w:tcPr>
            <w:tcW w:w="1220" w:type="dxa"/>
            <w:shd w:val="clear" w:color="auto" w:fill="auto"/>
            <w:noWrap/>
            <w:vAlign w:val="bottom"/>
            <w:hideMark/>
          </w:tcPr>
          <w:p w14:paraId="4F4A5D1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3807</w:t>
            </w:r>
          </w:p>
        </w:tc>
        <w:tc>
          <w:tcPr>
            <w:tcW w:w="2986" w:type="dxa"/>
            <w:shd w:val="clear" w:color="auto" w:fill="auto"/>
            <w:noWrap/>
            <w:vAlign w:val="bottom"/>
            <w:hideMark/>
          </w:tcPr>
          <w:p w14:paraId="72E100A2"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10 - DC 144 – DC 146</w:t>
            </w:r>
          </w:p>
        </w:tc>
        <w:tc>
          <w:tcPr>
            <w:tcW w:w="1734" w:type="dxa"/>
            <w:shd w:val="clear" w:color="000000" w:fill="DCE6F1"/>
            <w:noWrap/>
            <w:vAlign w:val="bottom"/>
            <w:hideMark/>
          </w:tcPr>
          <w:p w14:paraId="3CE22E2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89</w:t>
            </w:r>
          </w:p>
        </w:tc>
        <w:tc>
          <w:tcPr>
            <w:tcW w:w="1768" w:type="dxa"/>
            <w:shd w:val="clear" w:color="000000" w:fill="F2DCDB"/>
            <w:noWrap/>
            <w:vAlign w:val="bottom"/>
            <w:hideMark/>
          </w:tcPr>
          <w:p w14:paraId="4C1260C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81</w:t>
            </w:r>
          </w:p>
        </w:tc>
        <w:tc>
          <w:tcPr>
            <w:tcW w:w="1096" w:type="dxa"/>
            <w:shd w:val="clear" w:color="auto" w:fill="auto"/>
            <w:noWrap/>
            <w:vAlign w:val="bottom"/>
            <w:hideMark/>
          </w:tcPr>
          <w:p w14:paraId="78173909"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-9%</w:t>
            </w:r>
          </w:p>
        </w:tc>
        <w:tc>
          <w:tcPr>
            <w:tcW w:w="720" w:type="dxa"/>
            <w:shd w:val="clear" w:color="auto" w:fill="auto"/>
            <w:noWrap/>
            <w:vAlign w:val="bottom"/>
            <w:hideMark/>
          </w:tcPr>
          <w:p w14:paraId="2DF3F572"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0,8</w:t>
            </w:r>
          </w:p>
        </w:tc>
      </w:tr>
      <w:tr w:rsidR="00501A22" w:rsidRPr="00515B1F" w14:paraId="140E990D" w14:textId="77777777" w:rsidTr="00501A22">
        <w:trPr>
          <w:trHeight w:val="290"/>
        </w:trPr>
        <w:tc>
          <w:tcPr>
            <w:tcW w:w="897" w:type="dxa"/>
            <w:shd w:val="clear" w:color="auto" w:fill="auto"/>
            <w:noWrap/>
            <w:vAlign w:val="bottom"/>
            <w:hideMark/>
          </w:tcPr>
          <w:p w14:paraId="628EF74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4791</w:t>
            </w:r>
          </w:p>
        </w:tc>
        <w:tc>
          <w:tcPr>
            <w:tcW w:w="1220" w:type="dxa"/>
            <w:shd w:val="clear" w:color="auto" w:fill="auto"/>
            <w:noWrap/>
            <w:vAlign w:val="bottom"/>
            <w:hideMark/>
          </w:tcPr>
          <w:p w14:paraId="21B0D22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3975</w:t>
            </w:r>
          </w:p>
        </w:tc>
        <w:tc>
          <w:tcPr>
            <w:tcW w:w="2986" w:type="dxa"/>
            <w:shd w:val="clear" w:color="auto" w:fill="auto"/>
            <w:noWrap/>
            <w:vAlign w:val="bottom"/>
            <w:hideMark/>
          </w:tcPr>
          <w:p w14:paraId="177A3872"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10 - DC 144 – DC 146</w:t>
            </w:r>
          </w:p>
        </w:tc>
        <w:tc>
          <w:tcPr>
            <w:tcW w:w="1734" w:type="dxa"/>
            <w:shd w:val="clear" w:color="000000" w:fill="DCE6F1"/>
            <w:noWrap/>
            <w:vAlign w:val="bottom"/>
            <w:hideMark/>
          </w:tcPr>
          <w:p w14:paraId="46D43BF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79</w:t>
            </w:r>
          </w:p>
        </w:tc>
        <w:tc>
          <w:tcPr>
            <w:tcW w:w="1768" w:type="dxa"/>
            <w:shd w:val="clear" w:color="000000" w:fill="F2DCDB"/>
            <w:noWrap/>
            <w:vAlign w:val="bottom"/>
            <w:hideMark/>
          </w:tcPr>
          <w:p w14:paraId="570C4DD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70</w:t>
            </w:r>
          </w:p>
        </w:tc>
        <w:tc>
          <w:tcPr>
            <w:tcW w:w="1096" w:type="dxa"/>
            <w:shd w:val="clear" w:color="auto" w:fill="auto"/>
            <w:noWrap/>
            <w:vAlign w:val="bottom"/>
            <w:hideMark/>
          </w:tcPr>
          <w:p w14:paraId="0E12066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-11%</w:t>
            </w:r>
          </w:p>
        </w:tc>
        <w:tc>
          <w:tcPr>
            <w:tcW w:w="720" w:type="dxa"/>
            <w:shd w:val="clear" w:color="auto" w:fill="auto"/>
            <w:noWrap/>
            <w:vAlign w:val="bottom"/>
            <w:hideMark/>
          </w:tcPr>
          <w:p w14:paraId="648D194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r>
      <w:tr w:rsidR="00501A22" w:rsidRPr="00515B1F" w14:paraId="471E9BBD" w14:textId="77777777" w:rsidTr="00501A22">
        <w:trPr>
          <w:trHeight w:val="290"/>
        </w:trPr>
        <w:tc>
          <w:tcPr>
            <w:tcW w:w="897" w:type="dxa"/>
            <w:shd w:val="clear" w:color="auto" w:fill="auto"/>
            <w:noWrap/>
            <w:vAlign w:val="bottom"/>
            <w:hideMark/>
          </w:tcPr>
          <w:p w14:paraId="0F12315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4795</w:t>
            </w:r>
          </w:p>
        </w:tc>
        <w:tc>
          <w:tcPr>
            <w:tcW w:w="1220" w:type="dxa"/>
            <w:shd w:val="clear" w:color="auto" w:fill="auto"/>
            <w:noWrap/>
            <w:vAlign w:val="bottom"/>
            <w:hideMark/>
          </w:tcPr>
          <w:p w14:paraId="47FA764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164</w:t>
            </w:r>
          </w:p>
        </w:tc>
        <w:tc>
          <w:tcPr>
            <w:tcW w:w="2986" w:type="dxa"/>
            <w:shd w:val="clear" w:color="auto" w:fill="auto"/>
            <w:noWrap/>
            <w:vAlign w:val="bottom"/>
            <w:hideMark/>
          </w:tcPr>
          <w:p w14:paraId="6E981559"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10 - DC 144 – DC 146</w:t>
            </w:r>
          </w:p>
        </w:tc>
        <w:tc>
          <w:tcPr>
            <w:tcW w:w="1734" w:type="dxa"/>
            <w:shd w:val="clear" w:color="000000" w:fill="DCE6F1"/>
            <w:noWrap/>
            <w:vAlign w:val="bottom"/>
            <w:hideMark/>
          </w:tcPr>
          <w:p w14:paraId="5B77E0D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94</w:t>
            </w:r>
          </w:p>
        </w:tc>
        <w:tc>
          <w:tcPr>
            <w:tcW w:w="1768" w:type="dxa"/>
            <w:shd w:val="clear" w:color="000000" w:fill="F2DCDB"/>
            <w:noWrap/>
            <w:vAlign w:val="bottom"/>
            <w:hideMark/>
          </w:tcPr>
          <w:p w14:paraId="20F91BA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85</w:t>
            </w:r>
          </w:p>
        </w:tc>
        <w:tc>
          <w:tcPr>
            <w:tcW w:w="1096" w:type="dxa"/>
            <w:shd w:val="clear" w:color="auto" w:fill="auto"/>
            <w:noWrap/>
            <w:vAlign w:val="bottom"/>
            <w:hideMark/>
          </w:tcPr>
          <w:p w14:paraId="0FA5B793"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-9%</w:t>
            </w:r>
          </w:p>
        </w:tc>
        <w:tc>
          <w:tcPr>
            <w:tcW w:w="720" w:type="dxa"/>
            <w:shd w:val="clear" w:color="auto" w:fill="auto"/>
            <w:noWrap/>
            <w:vAlign w:val="bottom"/>
            <w:hideMark/>
          </w:tcPr>
          <w:p w14:paraId="63802BD6"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0,9</w:t>
            </w:r>
          </w:p>
        </w:tc>
      </w:tr>
      <w:tr w:rsidR="00501A22" w:rsidRPr="00515B1F" w14:paraId="70272389" w14:textId="77777777" w:rsidTr="00501A22">
        <w:trPr>
          <w:trHeight w:val="290"/>
        </w:trPr>
        <w:tc>
          <w:tcPr>
            <w:tcW w:w="897" w:type="dxa"/>
            <w:shd w:val="clear" w:color="auto" w:fill="auto"/>
            <w:noWrap/>
            <w:vAlign w:val="bottom"/>
            <w:hideMark/>
          </w:tcPr>
          <w:p w14:paraId="7C498A2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4795</w:t>
            </w:r>
          </w:p>
        </w:tc>
        <w:tc>
          <w:tcPr>
            <w:tcW w:w="1220" w:type="dxa"/>
            <w:shd w:val="clear" w:color="auto" w:fill="auto"/>
            <w:noWrap/>
            <w:vAlign w:val="bottom"/>
            <w:hideMark/>
          </w:tcPr>
          <w:p w14:paraId="2C4715D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3977</w:t>
            </w:r>
          </w:p>
        </w:tc>
        <w:tc>
          <w:tcPr>
            <w:tcW w:w="2986" w:type="dxa"/>
            <w:shd w:val="clear" w:color="auto" w:fill="auto"/>
            <w:noWrap/>
            <w:vAlign w:val="bottom"/>
            <w:hideMark/>
          </w:tcPr>
          <w:p w14:paraId="3E1D1718"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10 - DC 144 – DC 146</w:t>
            </w:r>
          </w:p>
        </w:tc>
        <w:tc>
          <w:tcPr>
            <w:tcW w:w="1734" w:type="dxa"/>
            <w:shd w:val="clear" w:color="000000" w:fill="DCE6F1"/>
            <w:noWrap/>
            <w:vAlign w:val="bottom"/>
            <w:hideMark/>
          </w:tcPr>
          <w:p w14:paraId="7D0BCC9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86</w:t>
            </w:r>
          </w:p>
        </w:tc>
        <w:tc>
          <w:tcPr>
            <w:tcW w:w="1768" w:type="dxa"/>
            <w:shd w:val="clear" w:color="000000" w:fill="F2DCDB"/>
            <w:noWrap/>
            <w:vAlign w:val="bottom"/>
            <w:hideMark/>
          </w:tcPr>
          <w:p w14:paraId="48B45A4D"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91</w:t>
            </w:r>
          </w:p>
        </w:tc>
        <w:tc>
          <w:tcPr>
            <w:tcW w:w="1096" w:type="dxa"/>
            <w:shd w:val="clear" w:color="auto" w:fill="auto"/>
            <w:noWrap/>
            <w:vAlign w:val="bottom"/>
            <w:hideMark/>
          </w:tcPr>
          <w:p w14:paraId="49F924A6"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5%</w:t>
            </w:r>
          </w:p>
        </w:tc>
        <w:tc>
          <w:tcPr>
            <w:tcW w:w="720" w:type="dxa"/>
            <w:shd w:val="clear" w:color="auto" w:fill="auto"/>
            <w:noWrap/>
            <w:vAlign w:val="bottom"/>
            <w:hideMark/>
          </w:tcPr>
          <w:p w14:paraId="75FFC4A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0,5</w:t>
            </w:r>
          </w:p>
        </w:tc>
      </w:tr>
      <w:tr w:rsidR="00501A22" w:rsidRPr="00515B1F" w14:paraId="48AB73F6" w14:textId="77777777" w:rsidTr="00501A22">
        <w:trPr>
          <w:trHeight w:val="290"/>
        </w:trPr>
        <w:tc>
          <w:tcPr>
            <w:tcW w:w="897" w:type="dxa"/>
            <w:shd w:val="clear" w:color="auto" w:fill="auto"/>
            <w:noWrap/>
            <w:vAlign w:val="bottom"/>
            <w:hideMark/>
          </w:tcPr>
          <w:p w14:paraId="288B30E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4796</w:t>
            </w:r>
          </w:p>
        </w:tc>
        <w:tc>
          <w:tcPr>
            <w:tcW w:w="1220" w:type="dxa"/>
            <w:shd w:val="clear" w:color="auto" w:fill="auto"/>
            <w:noWrap/>
            <w:vAlign w:val="bottom"/>
            <w:hideMark/>
          </w:tcPr>
          <w:p w14:paraId="7EDF408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932</w:t>
            </w:r>
          </w:p>
        </w:tc>
        <w:tc>
          <w:tcPr>
            <w:tcW w:w="2986" w:type="dxa"/>
            <w:shd w:val="clear" w:color="auto" w:fill="auto"/>
            <w:noWrap/>
            <w:vAlign w:val="bottom"/>
            <w:hideMark/>
          </w:tcPr>
          <w:p w14:paraId="55BAEFCE"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11 - DN 67 – DN 65C</w:t>
            </w:r>
          </w:p>
        </w:tc>
        <w:tc>
          <w:tcPr>
            <w:tcW w:w="1734" w:type="dxa"/>
            <w:shd w:val="clear" w:color="000000" w:fill="DCE6F1"/>
            <w:noWrap/>
            <w:vAlign w:val="bottom"/>
            <w:hideMark/>
          </w:tcPr>
          <w:p w14:paraId="7F8E8261"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65</w:t>
            </w:r>
          </w:p>
        </w:tc>
        <w:tc>
          <w:tcPr>
            <w:tcW w:w="1768" w:type="dxa"/>
            <w:shd w:val="clear" w:color="000000" w:fill="F2DCDB"/>
            <w:noWrap/>
            <w:vAlign w:val="bottom"/>
            <w:hideMark/>
          </w:tcPr>
          <w:p w14:paraId="192CCD8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62</w:t>
            </w:r>
          </w:p>
        </w:tc>
        <w:tc>
          <w:tcPr>
            <w:tcW w:w="1096" w:type="dxa"/>
            <w:shd w:val="clear" w:color="auto" w:fill="auto"/>
            <w:noWrap/>
            <w:vAlign w:val="bottom"/>
            <w:hideMark/>
          </w:tcPr>
          <w:p w14:paraId="66D6A669"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-4%</w:t>
            </w:r>
          </w:p>
        </w:tc>
        <w:tc>
          <w:tcPr>
            <w:tcW w:w="720" w:type="dxa"/>
            <w:shd w:val="clear" w:color="auto" w:fill="auto"/>
            <w:noWrap/>
            <w:vAlign w:val="bottom"/>
            <w:hideMark/>
          </w:tcPr>
          <w:p w14:paraId="53BB049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0,3</w:t>
            </w:r>
          </w:p>
        </w:tc>
      </w:tr>
      <w:tr w:rsidR="00501A22" w:rsidRPr="00515B1F" w14:paraId="2373FC6F" w14:textId="77777777" w:rsidTr="00501A22">
        <w:trPr>
          <w:trHeight w:val="290"/>
        </w:trPr>
        <w:tc>
          <w:tcPr>
            <w:tcW w:w="897" w:type="dxa"/>
            <w:shd w:val="clear" w:color="auto" w:fill="auto"/>
            <w:noWrap/>
            <w:vAlign w:val="bottom"/>
            <w:hideMark/>
          </w:tcPr>
          <w:p w14:paraId="748C882B"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lastRenderedPageBreak/>
              <w:t>4796</w:t>
            </w:r>
          </w:p>
        </w:tc>
        <w:tc>
          <w:tcPr>
            <w:tcW w:w="1220" w:type="dxa"/>
            <w:shd w:val="clear" w:color="auto" w:fill="auto"/>
            <w:noWrap/>
            <w:vAlign w:val="bottom"/>
            <w:hideMark/>
          </w:tcPr>
          <w:p w14:paraId="4E50D7B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3977</w:t>
            </w:r>
          </w:p>
        </w:tc>
        <w:tc>
          <w:tcPr>
            <w:tcW w:w="2986" w:type="dxa"/>
            <w:shd w:val="clear" w:color="auto" w:fill="auto"/>
            <w:noWrap/>
            <w:vAlign w:val="bottom"/>
            <w:hideMark/>
          </w:tcPr>
          <w:p w14:paraId="0E70C906"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11 - DN 67 – DN 65C</w:t>
            </w:r>
          </w:p>
        </w:tc>
        <w:tc>
          <w:tcPr>
            <w:tcW w:w="1734" w:type="dxa"/>
            <w:shd w:val="clear" w:color="000000" w:fill="DCE6F1"/>
            <w:noWrap/>
            <w:vAlign w:val="bottom"/>
            <w:hideMark/>
          </w:tcPr>
          <w:p w14:paraId="17DCA57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73</w:t>
            </w:r>
          </w:p>
        </w:tc>
        <w:tc>
          <w:tcPr>
            <w:tcW w:w="1768" w:type="dxa"/>
            <w:shd w:val="clear" w:color="000000" w:fill="F2DCDB"/>
            <w:noWrap/>
            <w:vAlign w:val="bottom"/>
            <w:hideMark/>
          </w:tcPr>
          <w:p w14:paraId="06C4F8F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85</w:t>
            </w:r>
          </w:p>
        </w:tc>
        <w:tc>
          <w:tcPr>
            <w:tcW w:w="1096" w:type="dxa"/>
            <w:shd w:val="clear" w:color="auto" w:fill="auto"/>
            <w:noWrap/>
            <w:vAlign w:val="bottom"/>
            <w:hideMark/>
          </w:tcPr>
          <w:p w14:paraId="4D8ECAD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15%</w:t>
            </w:r>
          </w:p>
        </w:tc>
        <w:tc>
          <w:tcPr>
            <w:tcW w:w="720" w:type="dxa"/>
            <w:shd w:val="clear" w:color="auto" w:fill="auto"/>
            <w:noWrap/>
            <w:vAlign w:val="bottom"/>
            <w:hideMark/>
          </w:tcPr>
          <w:p w14:paraId="7A08175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1,4</w:t>
            </w:r>
          </w:p>
        </w:tc>
      </w:tr>
      <w:tr w:rsidR="00501A22" w:rsidRPr="00515B1F" w14:paraId="10E4C015" w14:textId="77777777" w:rsidTr="00501A22">
        <w:trPr>
          <w:trHeight w:val="290"/>
        </w:trPr>
        <w:tc>
          <w:tcPr>
            <w:tcW w:w="897" w:type="dxa"/>
            <w:shd w:val="clear" w:color="auto" w:fill="auto"/>
            <w:noWrap/>
            <w:vAlign w:val="bottom"/>
            <w:hideMark/>
          </w:tcPr>
          <w:p w14:paraId="33A7FF2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4797</w:t>
            </w:r>
          </w:p>
        </w:tc>
        <w:tc>
          <w:tcPr>
            <w:tcW w:w="1220" w:type="dxa"/>
            <w:shd w:val="clear" w:color="auto" w:fill="auto"/>
            <w:noWrap/>
            <w:vAlign w:val="bottom"/>
            <w:hideMark/>
          </w:tcPr>
          <w:p w14:paraId="4EF5147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88</w:t>
            </w:r>
          </w:p>
        </w:tc>
        <w:tc>
          <w:tcPr>
            <w:tcW w:w="2986" w:type="dxa"/>
            <w:shd w:val="clear" w:color="auto" w:fill="auto"/>
            <w:noWrap/>
            <w:vAlign w:val="bottom"/>
            <w:hideMark/>
          </w:tcPr>
          <w:p w14:paraId="2B1E54F9"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(A)</w:t>
            </w:r>
          </w:p>
        </w:tc>
        <w:tc>
          <w:tcPr>
            <w:tcW w:w="1734" w:type="dxa"/>
            <w:shd w:val="clear" w:color="000000" w:fill="DCE6F1"/>
            <w:noWrap/>
            <w:vAlign w:val="bottom"/>
            <w:hideMark/>
          </w:tcPr>
          <w:p w14:paraId="45AE9C1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453</w:t>
            </w:r>
          </w:p>
        </w:tc>
        <w:tc>
          <w:tcPr>
            <w:tcW w:w="1768" w:type="dxa"/>
            <w:shd w:val="clear" w:color="000000" w:fill="F2DCDB"/>
            <w:noWrap/>
            <w:vAlign w:val="bottom"/>
            <w:hideMark/>
          </w:tcPr>
          <w:p w14:paraId="56A6EAB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471</w:t>
            </w:r>
          </w:p>
        </w:tc>
        <w:tc>
          <w:tcPr>
            <w:tcW w:w="1096" w:type="dxa"/>
            <w:shd w:val="clear" w:color="auto" w:fill="auto"/>
            <w:noWrap/>
            <w:vAlign w:val="bottom"/>
            <w:hideMark/>
          </w:tcPr>
          <w:p w14:paraId="5C86FF1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4%</w:t>
            </w:r>
          </w:p>
        </w:tc>
        <w:tc>
          <w:tcPr>
            <w:tcW w:w="720" w:type="dxa"/>
            <w:shd w:val="clear" w:color="auto" w:fill="auto"/>
            <w:noWrap/>
            <w:vAlign w:val="bottom"/>
            <w:hideMark/>
          </w:tcPr>
          <w:p w14:paraId="41F5E1D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0,9</w:t>
            </w:r>
          </w:p>
        </w:tc>
      </w:tr>
      <w:tr w:rsidR="00501A22" w:rsidRPr="00515B1F" w14:paraId="2D7F1B78" w14:textId="77777777" w:rsidTr="00501A22">
        <w:trPr>
          <w:trHeight w:val="290"/>
        </w:trPr>
        <w:tc>
          <w:tcPr>
            <w:tcW w:w="897" w:type="dxa"/>
            <w:shd w:val="clear" w:color="auto" w:fill="auto"/>
            <w:noWrap/>
            <w:vAlign w:val="bottom"/>
            <w:hideMark/>
          </w:tcPr>
          <w:p w14:paraId="32A99F1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4797</w:t>
            </w:r>
          </w:p>
        </w:tc>
        <w:tc>
          <w:tcPr>
            <w:tcW w:w="1220" w:type="dxa"/>
            <w:shd w:val="clear" w:color="auto" w:fill="auto"/>
            <w:noWrap/>
            <w:vAlign w:val="bottom"/>
            <w:hideMark/>
          </w:tcPr>
          <w:p w14:paraId="3049682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3978</w:t>
            </w:r>
          </w:p>
        </w:tc>
        <w:tc>
          <w:tcPr>
            <w:tcW w:w="2986" w:type="dxa"/>
            <w:shd w:val="clear" w:color="auto" w:fill="auto"/>
            <w:noWrap/>
            <w:vAlign w:val="bottom"/>
            <w:hideMark/>
          </w:tcPr>
          <w:p w14:paraId="0B2CC954"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(A)</w:t>
            </w:r>
          </w:p>
        </w:tc>
        <w:tc>
          <w:tcPr>
            <w:tcW w:w="1734" w:type="dxa"/>
            <w:shd w:val="clear" w:color="000000" w:fill="DCE6F1"/>
            <w:noWrap/>
            <w:vAlign w:val="bottom"/>
            <w:hideMark/>
          </w:tcPr>
          <w:p w14:paraId="5034615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408</w:t>
            </w:r>
          </w:p>
        </w:tc>
        <w:tc>
          <w:tcPr>
            <w:tcW w:w="1768" w:type="dxa"/>
            <w:shd w:val="clear" w:color="000000" w:fill="F2DCDB"/>
            <w:noWrap/>
            <w:vAlign w:val="bottom"/>
            <w:hideMark/>
          </w:tcPr>
          <w:p w14:paraId="0487784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450</w:t>
            </w:r>
          </w:p>
        </w:tc>
        <w:tc>
          <w:tcPr>
            <w:tcW w:w="1096" w:type="dxa"/>
            <w:shd w:val="clear" w:color="auto" w:fill="auto"/>
            <w:noWrap/>
            <w:vAlign w:val="bottom"/>
            <w:hideMark/>
          </w:tcPr>
          <w:p w14:paraId="5C1D6F8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9%</w:t>
            </w:r>
          </w:p>
        </w:tc>
        <w:tc>
          <w:tcPr>
            <w:tcW w:w="720" w:type="dxa"/>
            <w:shd w:val="clear" w:color="auto" w:fill="auto"/>
            <w:noWrap/>
            <w:vAlign w:val="bottom"/>
            <w:hideMark/>
          </w:tcPr>
          <w:p w14:paraId="704BF83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r>
      <w:tr w:rsidR="00501A22" w:rsidRPr="00515B1F" w14:paraId="56AC6841" w14:textId="77777777" w:rsidTr="00501A22">
        <w:trPr>
          <w:trHeight w:val="290"/>
        </w:trPr>
        <w:tc>
          <w:tcPr>
            <w:tcW w:w="897" w:type="dxa"/>
            <w:shd w:val="clear" w:color="auto" w:fill="auto"/>
            <w:noWrap/>
            <w:vAlign w:val="bottom"/>
            <w:hideMark/>
          </w:tcPr>
          <w:p w14:paraId="004DA63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4798</w:t>
            </w:r>
          </w:p>
        </w:tc>
        <w:tc>
          <w:tcPr>
            <w:tcW w:w="1220" w:type="dxa"/>
            <w:shd w:val="clear" w:color="auto" w:fill="auto"/>
            <w:noWrap/>
            <w:vAlign w:val="bottom"/>
            <w:hideMark/>
          </w:tcPr>
          <w:p w14:paraId="3DEF04E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89</w:t>
            </w:r>
          </w:p>
        </w:tc>
        <w:tc>
          <w:tcPr>
            <w:tcW w:w="2986" w:type="dxa"/>
            <w:shd w:val="clear" w:color="auto" w:fill="auto"/>
            <w:noWrap/>
            <w:vAlign w:val="bottom"/>
            <w:hideMark/>
          </w:tcPr>
          <w:p w14:paraId="159B8868"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(B)</w:t>
            </w:r>
          </w:p>
        </w:tc>
        <w:tc>
          <w:tcPr>
            <w:tcW w:w="1734" w:type="dxa"/>
            <w:shd w:val="clear" w:color="000000" w:fill="DCE6F1"/>
            <w:noWrap/>
            <w:vAlign w:val="bottom"/>
            <w:hideMark/>
          </w:tcPr>
          <w:p w14:paraId="0ACCBD0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421</w:t>
            </w:r>
          </w:p>
        </w:tc>
        <w:tc>
          <w:tcPr>
            <w:tcW w:w="1768" w:type="dxa"/>
            <w:shd w:val="clear" w:color="000000" w:fill="F2DCDB"/>
            <w:noWrap/>
            <w:vAlign w:val="bottom"/>
            <w:hideMark/>
          </w:tcPr>
          <w:p w14:paraId="6B7C4E5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440</w:t>
            </w:r>
          </w:p>
        </w:tc>
        <w:tc>
          <w:tcPr>
            <w:tcW w:w="1096" w:type="dxa"/>
            <w:shd w:val="clear" w:color="auto" w:fill="auto"/>
            <w:noWrap/>
            <w:vAlign w:val="bottom"/>
            <w:hideMark/>
          </w:tcPr>
          <w:p w14:paraId="1AD6648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4%</w:t>
            </w:r>
          </w:p>
        </w:tc>
        <w:tc>
          <w:tcPr>
            <w:tcW w:w="720" w:type="dxa"/>
            <w:shd w:val="clear" w:color="auto" w:fill="auto"/>
            <w:noWrap/>
            <w:vAlign w:val="bottom"/>
            <w:hideMark/>
          </w:tcPr>
          <w:p w14:paraId="2DDB71E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0,9</w:t>
            </w:r>
          </w:p>
        </w:tc>
      </w:tr>
      <w:tr w:rsidR="00501A22" w:rsidRPr="00515B1F" w14:paraId="24C49414" w14:textId="77777777" w:rsidTr="00501A22">
        <w:trPr>
          <w:trHeight w:val="290"/>
        </w:trPr>
        <w:tc>
          <w:tcPr>
            <w:tcW w:w="897" w:type="dxa"/>
            <w:shd w:val="clear" w:color="auto" w:fill="auto"/>
            <w:noWrap/>
            <w:vAlign w:val="bottom"/>
            <w:hideMark/>
          </w:tcPr>
          <w:p w14:paraId="2F28633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4798</w:t>
            </w:r>
          </w:p>
        </w:tc>
        <w:tc>
          <w:tcPr>
            <w:tcW w:w="1220" w:type="dxa"/>
            <w:shd w:val="clear" w:color="auto" w:fill="auto"/>
            <w:noWrap/>
            <w:vAlign w:val="bottom"/>
            <w:hideMark/>
          </w:tcPr>
          <w:p w14:paraId="3B72705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3978</w:t>
            </w:r>
          </w:p>
        </w:tc>
        <w:tc>
          <w:tcPr>
            <w:tcW w:w="2986" w:type="dxa"/>
            <w:shd w:val="clear" w:color="auto" w:fill="auto"/>
            <w:noWrap/>
            <w:vAlign w:val="bottom"/>
            <w:hideMark/>
          </w:tcPr>
          <w:p w14:paraId="304CD17D"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13 - DC 139 – DN 67 (B)</w:t>
            </w:r>
          </w:p>
        </w:tc>
        <w:tc>
          <w:tcPr>
            <w:tcW w:w="1734" w:type="dxa"/>
            <w:shd w:val="clear" w:color="000000" w:fill="DCE6F1"/>
            <w:noWrap/>
            <w:vAlign w:val="bottom"/>
            <w:hideMark/>
          </w:tcPr>
          <w:p w14:paraId="0E0D6302"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437</w:t>
            </w:r>
          </w:p>
        </w:tc>
        <w:tc>
          <w:tcPr>
            <w:tcW w:w="1768" w:type="dxa"/>
            <w:shd w:val="clear" w:color="000000" w:fill="F2DCDB"/>
            <w:noWrap/>
            <w:vAlign w:val="bottom"/>
            <w:hideMark/>
          </w:tcPr>
          <w:p w14:paraId="329BF8DA"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462</w:t>
            </w:r>
          </w:p>
        </w:tc>
        <w:tc>
          <w:tcPr>
            <w:tcW w:w="1096" w:type="dxa"/>
            <w:shd w:val="clear" w:color="auto" w:fill="auto"/>
            <w:noWrap/>
            <w:vAlign w:val="bottom"/>
            <w:hideMark/>
          </w:tcPr>
          <w:p w14:paraId="24A694B8"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5%</w:t>
            </w:r>
          </w:p>
        </w:tc>
        <w:tc>
          <w:tcPr>
            <w:tcW w:w="720" w:type="dxa"/>
            <w:shd w:val="clear" w:color="auto" w:fill="auto"/>
            <w:noWrap/>
            <w:vAlign w:val="bottom"/>
            <w:hideMark/>
          </w:tcPr>
          <w:p w14:paraId="25A4224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1,2</w:t>
            </w:r>
          </w:p>
        </w:tc>
      </w:tr>
      <w:tr w:rsidR="00501A22" w:rsidRPr="00515B1F" w14:paraId="391DA6D9" w14:textId="77777777" w:rsidTr="00501A22">
        <w:trPr>
          <w:trHeight w:val="290"/>
        </w:trPr>
        <w:tc>
          <w:tcPr>
            <w:tcW w:w="897" w:type="dxa"/>
            <w:shd w:val="clear" w:color="auto" w:fill="auto"/>
            <w:noWrap/>
            <w:vAlign w:val="bottom"/>
            <w:hideMark/>
          </w:tcPr>
          <w:p w14:paraId="24718E4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4799</w:t>
            </w:r>
          </w:p>
        </w:tc>
        <w:tc>
          <w:tcPr>
            <w:tcW w:w="1220" w:type="dxa"/>
            <w:shd w:val="clear" w:color="auto" w:fill="auto"/>
            <w:noWrap/>
            <w:vAlign w:val="bottom"/>
            <w:hideMark/>
          </w:tcPr>
          <w:p w14:paraId="336BC01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932</w:t>
            </w:r>
          </w:p>
        </w:tc>
        <w:tc>
          <w:tcPr>
            <w:tcW w:w="2986" w:type="dxa"/>
            <w:shd w:val="clear" w:color="auto" w:fill="auto"/>
            <w:noWrap/>
            <w:vAlign w:val="bottom"/>
            <w:hideMark/>
          </w:tcPr>
          <w:p w14:paraId="47B4EFB9"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11 - DN 67 – DN 65C</w:t>
            </w:r>
          </w:p>
        </w:tc>
        <w:tc>
          <w:tcPr>
            <w:tcW w:w="1734" w:type="dxa"/>
            <w:shd w:val="clear" w:color="000000" w:fill="DCE6F1"/>
            <w:noWrap/>
            <w:vAlign w:val="bottom"/>
            <w:hideMark/>
          </w:tcPr>
          <w:p w14:paraId="035D5CFC"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394</w:t>
            </w:r>
          </w:p>
        </w:tc>
        <w:tc>
          <w:tcPr>
            <w:tcW w:w="1768" w:type="dxa"/>
            <w:shd w:val="clear" w:color="000000" w:fill="F2DCDB"/>
            <w:noWrap/>
            <w:vAlign w:val="bottom"/>
            <w:hideMark/>
          </w:tcPr>
          <w:p w14:paraId="2FC4DBAE"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400</w:t>
            </w:r>
          </w:p>
        </w:tc>
        <w:tc>
          <w:tcPr>
            <w:tcW w:w="1096" w:type="dxa"/>
            <w:shd w:val="clear" w:color="auto" w:fill="auto"/>
            <w:noWrap/>
            <w:vAlign w:val="bottom"/>
            <w:hideMark/>
          </w:tcPr>
          <w:p w14:paraId="2E2C7B8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c>
          <w:tcPr>
            <w:tcW w:w="720" w:type="dxa"/>
            <w:shd w:val="clear" w:color="auto" w:fill="auto"/>
            <w:noWrap/>
            <w:vAlign w:val="bottom"/>
            <w:hideMark/>
          </w:tcPr>
          <w:p w14:paraId="7B8BB14C"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0,3</w:t>
            </w:r>
          </w:p>
        </w:tc>
      </w:tr>
      <w:tr w:rsidR="00501A22" w:rsidRPr="00515B1F" w14:paraId="7D182DB6" w14:textId="77777777" w:rsidTr="00501A22">
        <w:trPr>
          <w:trHeight w:val="290"/>
        </w:trPr>
        <w:tc>
          <w:tcPr>
            <w:tcW w:w="897" w:type="dxa"/>
            <w:shd w:val="clear" w:color="auto" w:fill="auto"/>
            <w:noWrap/>
            <w:vAlign w:val="bottom"/>
            <w:hideMark/>
          </w:tcPr>
          <w:p w14:paraId="41969E9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4799</w:t>
            </w:r>
          </w:p>
        </w:tc>
        <w:tc>
          <w:tcPr>
            <w:tcW w:w="1220" w:type="dxa"/>
            <w:shd w:val="clear" w:color="auto" w:fill="auto"/>
            <w:noWrap/>
            <w:vAlign w:val="bottom"/>
            <w:hideMark/>
          </w:tcPr>
          <w:p w14:paraId="4A4EAC78"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3979</w:t>
            </w:r>
          </w:p>
        </w:tc>
        <w:tc>
          <w:tcPr>
            <w:tcW w:w="2986" w:type="dxa"/>
            <w:shd w:val="clear" w:color="auto" w:fill="auto"/>
            <w:noWrap/>
            <w:vAlign w:val="bottom"/>
            <w:hideMark/>
          </w:tcPr>
          <w:p w14:paraId="473B587A"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11 - DN 67 – DN 65C</w:t>
            </w:r>
          </w:p>
        </w:tc>
        <w:tc>
          <w:tcPr>
            <w:tcW w:w="1734" w:type="dxa"/>
            <w:shd w:val="clear" w:color="000000" w:fill="DCE6F1"/>
            <w:noWrap/>
            <w:vAlign w:val="bottom"/>
            <w:hideMark/>
          </w:tcPr>
          <w:p w14:paraId="4ABE14D7"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446</w:t>
            </w:r>
          </w:p>
        </w:tc>
        <w:tc>
          <w:tcPr>
            <w:tcW w:w="1768" w:type="dxa"/>
            <w:shd w:val="clear" w:color="000000" w:fill="F2DCDB"/>
            <w:noWrap/>
            <w:vAlign w:val="bottom"/>
            <w:hideMark/>
          </w:tcPr>
          <w:p w14:paraId="793251BF"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431</w:t>
            </w:r>
          </w:p>
        </w:tc>
        <w:tc>
          <w:tcPr>
            <w:tcW w:w="1096" w:type="dxa"/>
            <w:shd w:val="clear" w:color="auto" w:fill="auto"/>
            <w:noWrap/>
            <w:vAlign w:val="bottom"/>
            <w:hideMark/>
          </w:tcPr>
          <w:p w14:paraId="1A76FDD5"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-3%</w:t>
            </w:r>
          </w:p>
        </w:tc>
        <w:tc>
          <w:tcPr>
            <w:tcW w:w="720" w:type="dxa"/>
            <w:shd w:val="clear" w:color="auto" w:fill="auto"/>
            <w:noWrap/>
            <w:vAlign w:val="bottom"/>
            <w:hideMark/>
          </w:tcPr>
          <w:p w14:paraId="61F48827"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0,7</w:t>
            </w:r>
          </w:p>
        </w:tc>
      </w:tr>
      <w:tr w:rsidR="00501A22" w:rsidRPr="00515B1F" w14:paraId="3B5E8489" w14:textId="77777777" w:rsidTr="00501A22">
        <w:trPr>
          <w:trHeight w:val="290"/>
        </w:trPr>
        <w:tc>
          <w:tcPr>
            <w:tcW w:w="897" w:type="dxa"/>
            <w:shd w:val="clear" w:color="auto" w:fill="auto"/>
            <w:noWrap/>
            <w:vAlign w:val="bottom"/>
            <w:hideMark/>
          </w:tcPr>
          <w:p w14:paraId="239E8E6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4807</w:t>
            </w:r>
          </w:p>
        </w:tc>
        <w:tc>
          <w:tcPr>
            <w:tcW w:w="1220" w:type="dxa"/>
            <w:shd w:val="clear" w:color="auto" w:fill="auto"/>
            <w:noWrap/>
            <w:vAlign w:val="bottom"/>
            <w:hideMark/>
          </w:tcPr>
          <w:p w14:paraId="14C93BC4"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312</w:t>
            </w:r>
          </w:p>
        </w:tc>
        <w:tc>
          <w:tcPr>
            <w:tcW w:w="2986" w:type="dxa"/>
            <w:shd w:val="clear" w:color="auto" w:fill="auto"/>
            <w:noWrap/>
            <w:vAlign w:val="bottom"/>
            <w:hideMark/>
          </w:tcPr>
          <w:p w14:paraId="070692D7"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3 - DN 65C</w:t>
            </w:r>
          </w:p>
        </w:tc>
        <w:tc>
          <w:tcPr>
            <w:tcW w:w="1734" w:type="dxa"/>
            <w:shd w:val="clear" w:color="000000" w:fill="DCE6F1"/>
            <w:noWrap/>
            <w:vAlign w:val="bottom"/>
            <w:hideMark/>
          </w:tcPr>
          <w:p w14:paraId="223C0445"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73</w:t>
            </w:r>
          </w:p>
        </w:tc>
        <w:tc>
          <w:tcPr>
            <w:tcW w:w="1768" w:type="dxa"/>
            <w:shd w:val="clear" w:color="000000" w:fill="F2DCDB"/>
            <w:noWrap/>
            <w:vAlign w:val="bottom"/>
            <w:hideMark/>
          </w:tcPr>
          <w:p w14:paraId="737C8D7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71</w:t>
            </w:r>
          </w:p>
        </w:tc>
        <w:tc>
          <w:tcPr>
            <w:tcW w:w="1096" w:type="dxa"/>
            <w:shd w:val="clear" w:color="auto" w:fill="auto"/>
            <w:noWrap/>
            <w:vAlign w:val="bottom"/>
            <w:hideMark/>
          </w:tcPr>
          <w:p w14:paraId="0C4B7270"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-2%</w:t>
            </w:r>
          </w:p>
        </w:tc>
        <w:tc>
          <w:tcPr>
            <w:tcW w:w="720" w:type="dxa"/>
            <w:shd w:val="clear" w:color="auto" w:fill="auto"/>
            <w:noWrap/>
            <w:vAlign w:val="bottom"/>
            <w:hideMark/>
          </w:tcPr>
          <w:p w14:paraId="4571D754"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0,2</w:t>
            </w:r>
          </w:p>
        </w:tc>
      </w:tr>
      <w:tr w:rsidR="00501A22" w:rsidRPr="00515B1F" w14:paraId="58B28120" w14:textId="77777777" w:rsidTr="00501A22">
        <w:trPr>
          <w:trHeight w:val="290"/>
        </w:trPr>
        <w:tc>
          <w:tcPr>
            <w:tcW w:w="897" w:type="dxa"/>
            <w:shd w:val="clear" w:color="auto" w:fill="auto"/>
            <w:noWrap/>
            <w:vAlign w:val="bottom"/>
            <w:hideMark/>
          </w:tcPr>
          <w:p w14:paraId="340F5F80"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4807</w:t>
            </w:r>
          </w:p>
        </w:tc>
        <w:tc>
          <w:tcPr>
            <w:tcW w:w="1220" w:type="dxa"/>
            <w:shd w:val="clear" w:color="auto" w:fill="auto"/>
            <w:noWrap/>
            <w:vAlign w:val="bottom"/>
            <w:hideMark/>
          </w:tcPr>
          <w:p w14:paraId="4CCF8246"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3983</w:t>
            </w:r>
          </w:p>
        </w:tc>
        <w:tc>
          <w:tcPr>
            <w:tcW w:w="2986" w:type="dxa"/>
            <w:shd w:val="clear" w:color="auto" w:fill="auto"/>
            <w:noWrap/>
            <w:vAlign w:val="bottom"/>
            <w:hideMark/>
          </w:tcPr>
          <w:p w14:paraId="4FC589ED" w14:textId="77777777" w:rsidR="00501A22" w:rsidRPr="00515B1F" w:rsidRDefault="00501A22" w:rsidP="00501A22">
            <w:pPr>
              <w:spacing w:after="0" w:line="240" w:lineRule="auto"/>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3 - DN 65C</w:t>
            </w:r>
          </w:p>
        </w:tc>
        <w:tc>
          <w:tcPr>
            <w:tcW w:w="1734" w:type="dxa"/>
            <w:shd w:val="clear" w:color="000000" w:fill="DCE6F1"/>
            <w:noWrap/>
            <w:vAlign w:val="bottom"/>
            <w:hideMark/>
          </w:tcPr>
          <w:p w14:paraId="68492269"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116</w:t>
            </w:r>
          </w:p>
        </w:tc>
        <w:tc>
          <w:tcPr>
            <w:tcW w:w="1768" w:type="dxa"/>
            <w:shd w:val="clear" w:color="000000" w:fill="F2DCDB"/>
            <w:noWrap/>
            <w:vAlign w:val="bottom"/>
            <w:hideMark/>
          </w:tcPr>
          <w:p w14:paraId="58BA03C3" w14:textId="77777777" w:rsidR="00501A22" w:rsidRPr="00515B1F" w:rsidRDefault="00501A22" w:rsidP="00501A22">
            <w:pPr>
              <w:spacing w:after="0" w:line="240" w:lineRule="auto"/>
              <w:jc w:val="right"/>
              <w:rPr>
                <w:rFonts w:ascii="Calibri" w:eastAsia="Times New Roman" w:hAnsi="Calibri" w:cs="Calibri"/>
                <w:b/>
                <w:bCs/>
                <w:color w:val="000000"/>
                <w:sz w:val="20"/>
                <w:szCs w:val="20"/>
              </w:rPr>
            </w:pPr>
            <w:r w:rsidRPr="00515B1F">
              <w:rPr>
                <w:rFonts w:ascii="Calibri" w:eastAsia="Times New Roman" w:hAnsi="Calibri" w:cs="Calibri"/>
                <w:b/>
                <w:bCs/>
                <w:color w:val="000000"/>
                <w:sz w:val="20"/>
                <w:szCs w:val="20"/>
              </w:rPr>
              <w:t>105</w:t>
            </w:r>
          </w:p>
        </w:tc>
        <w:tc>
          <w:tcPr>
            <w:tcW w:w="1096" w:type="dxa"/>
            <w:shd w:val="clear" w:color="auto" w:fill="auto"/>
            <w:noWrap/>
            <w:vAlign w:val="bottom"/>
            <w:hideMark/>
          </w:tcPr>
          <w:p w14:paraId="732F4613"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-9%</w:t>
            </w:r>
          </w:p>
        </w:tc>
        <w:tc>
          <w:tcPr>
            <w:tcW w:w="720" w:type="dxa"/>
            <w:shd w:val="clear" w:color="auto" w:fill="auto"/>
            <w:noWrap/>
            <w:vAlign w:val="bottom"/>
            <w:hideMark/>
          </w:tcPr>
          <w:p w14:paraId="77A038DD" w14:textId="77777777" w:rsidR="00501A22" w:rsidRPr="00515B1F" w:rsidRDefault="00501A22" w:rsidP="00501A22">
            <w:pPr>
              <w:spacing w:after="0" w:line="240" w:lineRule="auto"/>
              <w:jc w:val="right"/>
              <w:rPr>
                <w:rFonts w:ascii="Calibri" w:eastAsia="Times New Roman" w:hAnsi="Calibri" w:cs="Calibri"/>
                <w:b/>
                <w:bCs/>
                <w:color w:val="006600"/>
                <w:sz w:val="20"/>
                <w:szCs w:val="20"/>
              </w:rPr>
            </w:pPr>
            <w:r w:rsidRPr="00515B1F">
              <w:rPr>
                <w:rFonts w:ascii="Calibri" w:eastAsia="Times New Roman" w:hAnsi="Calibri" w:cs="Calibri"/>
                <w:b/>
                <w:bCs/>
                <w:color w:val="006600"/>
                <w:sz w:val="20"/>
                <w:szCs w:val="20"/>
              </w:rPr>
              <w:t>1</w:t>
            </w:r>
          </w:p>
        </w:tc>
      </w:tr>
    </w:tbl>
    <w:p w14:paraId="531098CB" w14:textId="77777777" w:rsidR="00501A22" w:rsidRPr="00501A22" w:rsidRDefault="00501A22" w:rsidP="00501A22"/>
    <w:p w14:paraId="3EC27A5D" w14:textId="77777777" w:rsidR="00AE36ED" w:rsidRDefault="00501A22" w:rsidP="00AE36ED">
      <w:pPr>
        <w:suppressAutoHyphens/>
        <w:autoSpaceDE w:val="0"/>
        <w:spacing w:after="0" w:line="360" w:lineRule="auto"/>
        <w:jc w:val="center"/>
        <w:rPr>
          <w:rFonts w:ascii="Arial" w:eastAsia="Arial" w:hAnsi="Arial" w:cs="Arial"/>
          <w:color w:val="000000"/>
          <w:sz w:val="24"/>
          <w:szCs w:val="24"/>
          <w:lang w:eastAsia="zh-CN"/>
        </w:rPr>
      </w:pPr>
      <w:r>
        <w:rPr>
          <w:noProof/>
        </w:rPr>
        <w:drawing>
          <wp:inline distT="0" distB="0" distL="0" distR="0" wp14:anchorId="4048C785" wp14:editId="431B2058">
            <wp:extent cx="5418161" cy="3411941"/>
            <wp:effectExtent l="0" t="0" r="11430" b="17145"/>
            <wp:docPr id="183" name="Chart 183">
              <a:extLst xmlns:a="http://schemas.openxmlformats.org/drawingml/2006/main">
                <a:ext uri="{FF2B5EF4-FFF2-40B4-BE49-F238E27FC236}">
                  <a16:creationId xmlns:a16="http://schemas.microsoft.com/office/drawing/2014/main" id="{EA1F1CA4-919A-46AB-9515-55FF29DE9B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45DD1ABA" w14:textId="77777777" w:rsidR="00501A22" w:rsidRPr="00AE36ED" w:rsidRDefault="00501A22" w:rsidP="00AE36ED">
      <w:pPr>
        <w:suppressAutoHyphens/>
        <w:autoSpaceDE w:val="0"/>
        <w:spacing w:after="0" w:line="360" w:lineRule="auto"/>
        <w:jc w:val="center"/>
        <w:rPr>
          <w:rFonts w:ascii="Arial" w:eastAsia="Arial" w:hAnsi="Arial" w:cs="Arial"/>
          <w:color w:val="000000"/>
          <w:sz w:val="24"/>
          <w:szCs w:val="24"/>
          <w:lang w:eastAsia="zh-CN"/>
        </w:rPr>
      </w:pPr>
      <w:r>
        <w:rPr>
          <w:noProof/>
        </w:rPr>
        <w:lastRenderedPageBreak/>
        <w:drawing>
          <wp:inline distT="0" distB="0" distL="0" distR="0" wp14:anchorId="02B4A072" wp14:editId="667BEC09">
            <wp:extent cx="5438633" cy="3759958"/>
            <wp:effectExtent l="0" t="0" r="10160" b="12065"/>
            <wp:docPr id="185" name="Chart 185">
              <a:extLst xmlns:a="http://schemas.openxmlformats.org/drawingml/2006/main">
                <a:ext uri="{FF2B5EF4-FFF2-40B4-BE49-F238E27FC236}">
                  <a16:creationId xmlns:a16="http://schemas.microsoft.com/office/drawing/2014/main" id="{D3025E25-AC01-435F-B849-DF08F0D2F4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4E571C59" w14:textId="2A04FFAD" w:rsidR="00AE36ED" w:rsidRPr="00AE36ED" w:rsidRDefault="006D4DC5" w:rsidP="00AE36ED">
      <w:pPr>
        <w:pStyle w:val="Legend"/>
        <w:jc w:val="center"/>
        <w:rPr>
          <w:rFonts w:ascii="Arial" w:eastAsia="Arial" w:hAnsi="Arial" w:cs="Arial"/>
          <w:i w:val="0"/>
          <w:iCs w:val="0"/>
          <w:color w:val="000000"/>
          <w:sz w:val="22"/>
          <w:szCs w:val="22"/>
          <w:lang w:eastAsia="zh-CN"/>
        </w:rPr>
      </w:pPr>
      <w:bookmarkStart w:id="256" w:name="_Toc68361186"/>
      <w:bookmarkStart w:id="257" w:name="_Toc140744511"/>
      <w:r w:rsidRPr="0001072E">
        <w:rPr>
          <w:rFonts w:ascii="Arial" w:hAnsi="Arial" w:cs="Arial"/>
          <w:sz w:val="22"/>
          <w:szCs w:val="22"/>
        </w:rPr>
        <w:t>Figura I.3.</w:t>
      </w:r>
      <w:r w:rsidR="00AE36ED" w:rsidRPr="0001072E">
        <w:rPr>
          <w:rFonts w:ascii="Arial" w:hAnsi="Arial" w:cs="Arial"/>
          <w:sz w:val="22"/>
          <w:szCs w:val="22"/>
        </w:rPr>
        <w:t xml:space="preserve">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34</w:t>
      </w:r>
      <w:r w:rsidRPr="0001072E">
        <w:rPr>
          <w:rFonts w:ascii="Arial" w:hAnsi="Arial" w:cs="Arial"/>
          <w:sz w:val="22"/>
          <w:szCs w:val="22"/>
        </w:rPr>
        <w:fldChar w:fldCharType="end"/>
      </w:r>
      <w:r w:rsidR="00AE36ED" w:rsidRPr="0001072E">
        <w:rPr>
          <w:rFonts w:ascii="Arial" w:hAnsi="Arial" w:cs="Arial"/>
          <w:sz w:val="22"/>
          <w:szCs w:val="22"/>
        </w:rPr>
        <w:t xml:space="preserve"> - </w:t>
      </w:r>
      <w:r w:rsidR="00AE36ED" w:rsidRPr="0001072E">
        <w:rPr>
          <w:rFonts w:ascii="Arial" w:hAnsi="Arial" w:cs="Arial"/>
          <w:i w:val="0"/>
          <w:iCs w:val="0"/>
          <w:sz w:val="22"/>
          <w:szCs w:val="22"/>
        </w:rPr>
        <w:t>Rezultatul grafic al calibrării matricei CAR pentru AM peak</w:t>
      </w:r>
      <w:bookmarkEnd w:id="256"/>
      <w:bookmarkEnd w:id="257"/>
    </w:p>
    <w:p w14:paraId="7EE766CF" w14:textId="77777777" w:rsidR="00556B9F" w:rsidRPr="00556B9F" w:rsidRDefault="00556B9F" w:rsidP="00556B9F">
      <w:pPr>
        <w:widowControl w:val="0"/>
        <w:suppressAutoHyphens/>
        <w:spacing w:after="0" w:line="240" w:lineRule="auto"/>
        <w:rPr>
          <w:rFonts w:ascii="Arial" w:hAnsi="Arial" w:cs="Mangal"/>
          <w:kern w:val="1"/>
          <w:sz w:val="20"/>
          <w:szCs w:val="24"/>
          <w:lang w:val="ro-RO" w:eastAsia="hi-IN" w:bidi="hi-IN"/>
        </w:rPr>
      </w:pPr>
    </w:p>
    <w:p w14:paraId="0E60034C" w14:textId="77777777" w:rsidR="00501A22" w:rsidRPr="005B6E1D" w:rsidRDefault="00501A22" w:rsidP="00501A22">
      <w:pPr>
        <w:suppressAutoHyphens/>
        <w:autoSpaceDE w:val="0"/>
        <w:spacing w:after="0" w:line="276" w:lineRule="auto"/>
        <w:rPr>
          <w:rFonts w:ascii="Arial" w:eastAsia="Arial" w:hAnsi="Arial" w:cs="Arial"/>
          <w:color w:val="000000"/>
          <w:lang w:val="ro-RO" w:eastAsia="zh-CN"/>
        </w:rPr>
      </w:pPr>
      <w:r w:rsidRPr="005B6E1D">
        <w:rPr>
          <w:rFonts w:ascii="Arial" w:eastAsia="Arial" w:hAnsi="Arial" w:cs="Arial"/>
          <w:color w:val="000000"/>
          <w:lang w:val="ro-RO" w:eastAsia="zh-CN"/>
        </w:rPr>
        <w:t xml:space="preserve">Rezultatele calibrării modelului de afectare pentru </w:t>
      </w:r>
      <w:r w:rsidRPr="005B6E1D">
        <w:rPr>
          <w:rFonts w:ascii="Arial" w:eastAsia="Calibri" w:hAnsi="Arial" w:cs="Arial"/>
          <w:color w:val="000000"/>
          <w:lang w:val="ro-RO" w:eastAsia="zh-CN"/>
        </w:rPr>
        <w:t xml:space="preserve">autovehicule grele – transport marfă </w:t>
      </w:r>
      <w:r w:rsidRPr="005B6E1D">
        <w:rPr>
          <w:rFonts w:ascii="Arial" w:eastAsia="Arial" w:hAnsi="Arial" w:cs="Arial"/>
          <w:color w:val="000000"/>
          <w:lang w:val="ro-RO" w:eastAsia="zh-CN"/>
        </w:rPr>
        <w:t>se prezintă grafic și tabelar mai jos:</w:t>
      </w:r>
    </w:p>
    <w:p w14:paraId="146B23E6" w14:textId="77777777" w:rsidR="00501A22" w:rsidRPr="005B6E1D" w:rsidRDefault="00501A22" w:rsidP="00501A22">
      <w:pPr>
        <w:suppressAutoHyphens/>
        <w:autoSpaceDE w:val="0"/>
        <w:spacing w:after="0" w:line="276" w:lineRule="auto"/>
        <w:jc w:val="both"/>
        <w:rPr>
          <w:rFonts w:ascii="Arial" w:eastAsia="Arial" w:hAnsi="Arial" w:cs="Arial"/>
          <w:color w:val="000000"/>
          <w:lang w:val="ro-RO" w:eastAsia="zh-CN"/>
        </w:rPr>
      </w:pPr>
    </w:p>
    <w:p w14:paraId="6D4CE540" w14:textId="5807E551" w:rsidR="00501A22" w:rsidRPr="00D4582F" w:rsidRDefault="00D4582F" w:rsidP="00D4582F">
      <w:pPr>
        <w:pStyle w:val="Legend"/>
        <w:jc w:val="center"/>
        <w:rPr>
          <w:rFonts w:ascii="Arial" w:eastAsia="Arial" w:hAnsi="Arial" w:cs="Arial"/>
          <w:i w:val="0"/>
          <w:iCs w:val="0"/>
          <w:color w:val="000000"/>
          <w:sz w:val="22"/>
          <w:szCs w:val="22"/>
          <w:lang w:val="ro-RO" w:eastAsia="zh-CN"/>
        </w:rPr>
      </w:pPr>
      <w:bookmarkStart w:id="258" w:name="_Toc68361231"/>
      <w:bookmarkStart w:id="259" w:name="_Toc96447401"/>
      <w:r w:rsidRPr="00D4582F">
        <w:rPr>
          <w:rFonts w:ascii="Arial" w:hAnsi="Arial" w:cs="Arial"/>
          <w:sz w:val="22"/>
          <w:szCs w:val="22"/>
        </w:rPr>
        <w:t xml:space="preserve">Tabel I.3. </w:t>
      </w:r>
      <w:r w:rsidRPr="00D4582F">
        <w:rPr>
          <w:rFonts w:ascii="Arial" w:hAnsi="Arial" w:cs="Arial"/>
          <w:sz w:val="22"/>
          <w:szCs w:val="22"/>
        </w:rPr>
        <w:fldChar w:fldCharType="begin"/>
      </w:r>
      <w:r w:rsidRPr="00D4582F">
        <w:rPr>
          <w:rFonts w:ascii="Arial" w:hAnsi="Arial" w:cs="Arial"/>
          <w:sz w:val="22"/>
          <w:szCs w:val="22"/>
        </w:rPr>
        <w:instrText xml:space="preserve"> SEQ Tabel_I.3. \* ARABIC </w:instrText>
      </w:r>
      <w:r w:rsidRPr="00D4582F">
        <w:rPr>
          <w:rFonts w:ascii="Arial" w:hAnsi="Arial" w:cs="Arial"/>
          <w:sz w:val="22"/>
          <w:szCs w:val="22"/>
        </w:rPr>
        <w:fldChar w:fldCharType="separate"/>
      </w:r>
      <w:r w:rsidR="00BB181C">
        <w:rPr>
          <w:rFonts w:ascii="Arial" w:hAnsi="Arial" w:cs="Arial"/>
          <w:noProof/>
          <w:sz w:val="22"/>
          <w:szCs w:val="22"/>
        </w:rPr>
        <w:t>5</w:t>
      </w:r>
      <w:r w:rsidRPr="00D4582F">
        <w:rPr>
          <w:rFonts w:ascii="Arial" w:hAnsi="Arial" w:cs="Arial"/>
          <w:sz w:val="22"/>
          <w:szCs w:val="22"/>
        </w:rPr>
        <w:fldChar w:fldCharType="end"/>
      </w:r>
      <w:r w:rsidRPr="00D4582F">
        <w:rPr>
          <w:rFonts w:ascii="Arial" w:hAnsi="Arial" w:cs="Arial"/>
          <w:sz w:val="22"/>
          <w:szCs w:val="22"/>
        </w:rPr>
        <w:t xml:space="preserve"> </w:t>
      </w:r>
      <w:r w:rsidR="00501A22" w:rsidRPr="00D4582F">
        <w:rPr>
          <w:rFonts w:ascii="Arial" w:hAnsi="Arial" w:cs="Arial"/>
          <w:sz w:val="22"/>
          <w:szCs w:val="22"/>
          <w:lang w:val="ro-RO"/>
        </w:rPr>
        <w:t xml:space="preserve">- </w:t>
      </w:r>
      <w:r w:rsidR="00501A22" w:rsidRPr="00D4582F">
        <w:rPr>
          <w:rFonts w:ascii="Arial" w:hAnsi="Arial" w:cs="Arial"/>
          <w:i w:val="0"/>
          <w:iCs w:val="0"/>
          <w:sz w:val="22"/>
          <w:szCs w:val="22"/>
          <w:lang w:val="ro-RO"/>
        </w:rPr>
        <w:t>Rezultatul calibrării matricei HGV pentru PM peak</w:t>
      </w:r>
      <w:bookmarkEnd w:id="258"/>
      <w:bookmarkEnd w:id="259"/>
    </w:p>
    <w:tbl>
      <w:tblPr>
        <w:tblW w:w="10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1223"/>
        <w:gridCol w:w="2993"/>
        <w:gridCol w:w="1671"/>
        <w:gridCol w:w="1796"/>
        <w:gridCol w:w="1096"/>
        <w:gridCol w:w="722"/>
      </w:tblGrid>
      <w:tr w:rsidR="00501A22" w:rsidRPr="00185CA7" w14:paraId="299304EB" w14:textId="77777777" w:rsidTr="00501A22">
        <w:trPr>
          <w:trHeight w:val="290"/>
        </w:trPr>
        <w:tc>
          <w:tcPr>
            <w:tcW w:w="897" w:type="dxa"/>
            <w:shd w:val="clear" w:color="auto" w:fill="auto"/>
            <w:noWrap/>
            <w:vAlign w:val="bottom"/>
            <w:hideMark/>
          </w:tcPr>
          <w:p w14:paraId="3A03B905"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Link</w:t>
            </w:r>
          </w:p>
        </w:tc>
        <w:tc>
          <w:tcPr>
            <w:tcW w:w="1223" w:type="dxa"/>
            <w:shd w:val="clear" w:color="auto" w:fill="auto"/>
            <w:noWrap/>
            <w:vAlign w:val="bottom"/>
            <w:hideMark/>
          </w:tcPr>
          <w:p w14:paraId="3BDDB687"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 </w:t>
            </w:r>
          </w:p>
        </w:tc>
        <w:tc>
          <w:tcPr>
            <w:tcW w:w="2993" w:type="dxa"/>
            <w:shd w:val="clear" w:color="auto" w:fill="auto"/>
            <w:noWrap/>
            <w:vAlign w:val="bottom"/>
            <w:hideMark/>
          </w:tcPr>
          <w:p w14:paraId="43B03E59"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Label</w:t>
            </w:r>
          </w:p>
        </w:tc>
        <w:tc>
          <w:tcPr>
            <w:tcW w:w="1671" w:type="dxa"/>
            <w:shd w:val="clear" w:color="000000" w:fill="DCE6F1"/>
            <w:noWrap/>
            <w:vAlign w:val="bottom"/>
            <w:hideMark/>
          </w:tcPr>
          <w:p w14:paraId="5B54A5FC"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Census</w:t>
            </w:r>
          </w:p>
        </w:tc>
        <w:tc>
          <w:tcPr>
            <w:tcW w:w="1796" w:type="dxa"/>
            <w:shd w:val="clear" w:color="000000" w:fill="F2DCDB"/>
            <w:noWrap/>
            <w:vAlign w:val="bottom"/>
            <w:hideMark/>
          </w:tcPr>
          <w:p w14:paraId="5970A397"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Model</w:t>
            </w:r>
          </w:p>
        </w:tc>
        <w:tc>
          <w:tcPr>
            <w:tcW w:w="1096" w:type="dxa"/>
            <w:shd w:val="clear" w:color="auto" w:fill="auto"/>
            <w:noWrap/>
            <w:vAlign w:val="bottom"/>
            <w:hideMark/>
          </w:tcPr>
          <w:p w14:paraId="5140B909"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Evaluation</w:t>
            </w:r>
          </w:p>
        </w:tc>
        <w:tc>
          <w:tcPr>
            <w:tcW w:w="722" w:type="dxa"/>
            <w:shd w:val="clear" w:color="auto" w:fill="auto"/>
            <w:noWrap/>
            <w:vAlign w:val="bottom"/>
            <w:hideMark/>
          </w:tcPr>
          <w:p w14:paraId="3B077EAA"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 </w:t>
            </w:r>
          </w:p>
        </w:tc>
      </w:tr>
      <w:tr w:rsidR="00501A22" w:rsidRPr="00185CA7" w14:paraId="36BD093A" w14:textId="77777777" w:rsidTr="00501A22">
        <w:trPr>
          <w:trHeight w:val="290"/>
        </w:trPr>
        <w:tc>
          <w:tcPr>
            <w:tcW w:w="897" w:type="dxa"/>
            <w:shd w:val="clear" w:color="auto" w:fill="auto"/>
            <w:noWrap/>
            <w:vAlign w:val="bottom"/>
            <w:hideMark/>
          </w:tcPr>
          <w:p w14:paraId="083077F4"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Number</w:t>
            </w:r>
          </w:p>
        </w:tc>
        <w:tc>
          <w:tcPr>
            <w:tcW w:w="1223" w:type="dxa"/>
            <w:shd w:val="clear" w:color="auto" w:fill="auto"/>
            <w:noWrap/>
            <w:vAlign w:val="bottom"/>
            <w:hideMark/>
          </w:tcPr>
          <w:p w14:paraId="4676712E"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From node number</w:t>
            </w:r>
          </w:p>
        </w:tc>
        <w:tc>
          <w:tcPr>
            <w:tcW w:w="2993" w:type="dxa"/>
            <w:shd w:val="clear" w:color="auto" w:fill="auto"/>
            <w:noWrap/>
            <w:vAlign w:val="bottom"/>
            <w:hideMark/>
          </w:tcPr>
          <w:p w14:paraId="48E0CBA0"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DenumirePunctRecenzat</w:t>
            </w:r>
          </w:p>
        </w:tc>
        <w:tc>
          <w:tcPr>
            <w:tcW w:w="1671" w:type="dxa"/>
            <w:shd w:val="clear" w:color="000000" w:fill="DCE6F1"/>
            <w:noWrap/>
            <w:vAlign w:val="bottom"/>
            <w:hideMark/>
          </w:tcPr>
          <w:p w14:paraId="72F091C3"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COUNT_PM_HGV</w:t>
            </w:r>
          </w:p>
        </w:tc>
        <w:tc>
          <w:tcPr>
            <w:tcW w:w="1796" w:type="dxa"/>
            <w:shd w:val="clear" w:color="000000" w:fill="F2DCDB"/>
            <w:noWrap/>
            <w:vAlign w:val="bottom"/>
            <w:hideMark/>
          </w:tcPr>
          <w:p w14:paraId="1214E17A"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Volume-TSys [veh] (HGV,AP)</w:t>
            </w:r>
          </w:p>
        </w:tc>
        <w:tc>
          <w:tcPr>
            <w:tcW w:w="1096" w:type="dxa"/>
            <w:shd w:val="clear" w:color="auto" w:fill="auto"/>
            <w:noWrap/>
            <w:vAlign w:val="bottom"/>
            <w:hideMark/>
          </w:tcPr>
          <w:p w14:paraId="461AADB5"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%-Deviation</w:t>
            </w:r>
          </w:p>
        </w:tc>
        <w:tc>
          <w:tcPr>
            <w:tcW w:w="722" w:type="dxa"/>
            <w:shd w:val="clear" w:color="auto" w:fill="auto"/>
            <w:noWrap/>
            <w:vAlign w:val="bottom"/>
            <w:hideMark/>
          </w:tcPr>
          <w:p w14:paraId="0886CEED"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GEH</w:t>
            </w:r>
          </w:p>
        </w:tc>
      </w:tr>
      <w:tr w:rsidR="00501A22" w:rsidRPr="00185CA7" w14:paraId="61BF95E0" w14:textId="77777777" w:rsidTr="00501A22">
        <w:trPr>
          <w:trHeight w:val="290"/>
        </w:trPr>
        <w:tc>
          <w:tcPr>
            <w:tcW w:w="897" w:type="dxa"/>
            <w:shd w:val="clear" w:color="auto" w:fill="auto"/>
            <w:noWrap/>
            <w:vAlign w:val="bottom"/>
            <w:hideMark/>
          </w:tcPr>
          <w:p w14:paraId="0D17D99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206</w:t>
            </w:r>
          </w:p>
        </w:tc>
        <w:tc>
          <w:tcPr>
            <w:tcW w:w="1223" w:type="dxa"/>
            <w:shd w:val="clear" w:color="auto" w:fill="auto"/>
            <w:noWrap/>
            <w:vAlign w:val="bottom"/>
            <w:hideMark/>
          </w:tcPr>
          <w:p w14:paraId="6702BEA2"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162</w:t>
            </w:r>
          </w:p>
        </w:tc>
        <w:tc>
          <w:tcPr>
            <w:tcW w:w="2993" w:type="dxa"/>
            <w:shd w:val="clear" w:color="auto" w:fill="auto"/>
            <w:noWrap/>
            <w:vAlign w:val="bottom"/>
            <w:hideMark/>
          </w:tcPr>
          <w:p w14:paraId="6F582BB5"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7 - DC 144 – str. spre Romanii de Sus (Stejarului)</w:t>
            </w:r>
          </w:p>
        </w:tc>
        <w:tc>
          <w:tcPr>
            <w:tcW w:w="1671" w:type="dxa"/>
            <w:shd w:val="clear" w:color="000000" w:fill="DCE6F1"/>
            <w:noWrap/>
            <w:vAlign w:val="bottom"/>
            <w:hideMark/>
          </w:tcPr>
          <w:p w14:paraId="2491BD4F"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796" w:type="dxa"/>
            <w:shd w:val="clear" w:color="000000" w:fill="F2DCDB"/>
            <w:noWrap/>
            <w:vAlign w:val="bottom"/>
            <w:hideMark/>
          </w:tcPr>
          <w:p w14:paraId="0618519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096" w:type="dxa"/>
            <w:shd w:val="clear" w:color="auto" w:fill="auto"/>
            <w:noWrap/>
            <w:vAlign w:val="bottom"/>
            <w:hideMark/>
          </w:tcPr>
          <w:p w14:paraId="6DFF2283"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-51%</w:t>
            </w:r>
          </w:p>
        </w:tc>
        <w:tc>
          <w:tcPr>
            <w:tcW w:w="722" w:type="dxa"/>
            <w:shd w:val="clear" w:color="auto" w:fill="auto"/>
            <w:noWrap/>
            <w:vAlign w:val="bottom"/>
            <w:hideMark/>
          </w:tcPr>
          <w:p w14:paraId="6FDBE3D0"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0,8</w:t>
            </w:r>
          </w:p>
        </w:tc>
      </w:tr>
      <w:tr w:rsidR="00501A22" w:rsidRPr="00185CA7" w14:paraId="57AEC963" w14:textId="77777777" w:rsidTr="00501A22">
        <w:trPr>
          <w:trHeight w:val="290"/>
        </w:trPr>
        <w:tc>
          <w:tcPr>
            <w:tcW w:w="897" w:type="dxa"/>
            <w:shd w:val="clear" w:color="auto" w:fill="auto"/>
            <w:noWrap/>
            <w:vAlign w:val="bottom"/>
            <w:hideMark/>
          </w:tcPr>
          <w:p w14:paraId="0DE5A133"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206</w:t>
            </w:r>
          </w:p>
        </w:tc>
        <w:tc>
          <w:tcPr>
            <w:tcW w:w="1223" w:type="dxa"/>
            <w:shd w:val="clear" w:color="auto" w:fill="auto"/>
            <w:noWrap/>
            <w:vAlign w:val="bottom"/>
            <w:hideMark/>
          </w:tcPr>
          <w:p w14:paraId="3D65C771"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937</w:t>
            </w:r>
          </w:p>
        </w:tc>
        <w:tc>
          <w:tcPr>
            <w:tcW w:w="2993" w:type="dxa"/>
            <w:shd w:val="clear" w:color="auto" w:fill="auto"/>
            <w:noWrap/>
            <w:vAlign w:val="bottom"/>
            <w:hideMark/>
          </w:tcPr>
          <w:p w14:paraId="04A11072"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7 - DC 144 – str. spre Romanii de Sus (Stejarului)</w:t>
            </w:r>
          </w:p>
        </w:tc>
        <w:tc>
          <w:tcPr>
            <w:tcW w:w="1671" w:type="dxa"/>
            <w:shd w:val="clear" w:color="000000" w:fill="DCE6F1"/>
            <w:noWrap/>
            <w:vAlign w:val="bottom"/>
            <w:hideMark/>
          </w:tcPr>
          <w:p w14:paraId="3200A973"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796" w:type="dxa"/>
            <w:shd w:val="clear" w:color="000000" w:fill="F2DCDB"/>
            <w:noWrap/>
            <w:vAlign w:val="bottom"/>
            <w:hideMark/>
          </w:tcPr>
          <w:p w14:paraId="5E7177EB"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096" w:type="dxa"/>
            <w:shd w:val="clear" w:color="auto" w:fill="auto"/>
            <w:noWrap/>
            <w:vAlign w:val="bottom"/>
            <w:hideMark/>
          </w:tcPr>
          <w:p w14:paraId="421255BA"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c>
          <w:tcPr>
            <w:tcW w:w="722" w:type="dxa"/>
            <w:shd w:val="clear" w:color="auto" w:fill="auto"/>
            <w:noWrap/>
            <w:vAlign w:val="bottom"/>
            <w:hideMark/>
          </w:tcPr>
          <w:p w14:paraId="546F94DD"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r>
      <w:tr w:rsidR="00501A22" w:rsidRPr="00185CA7" w14:paraId="2104F6C4" w14:textId="77777777" w:rsidTr="00501A22">
        <w:trPr>
          <w:trHeight w:val="290"/>
        </w:trPr>
        <w:tc>
          <w:tcPr>
            <w:tcW w:w="897" w:type="dxa"/>
            <w:shd w:val="clear" w:color="auto" w:fill="auto"/>
            <w:noWrap/>
            <w:vAlign w:val="bottom"/>
            <w:hideMark/>
          </w:tcPr>
          <w:p w14:paraId="6770B26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481</w:t>
            </w:r>
          </w:p>
        </w:tc>
        <w:tc>
          <w:tcPr>
            <w:tcW w:w="1223" w:type="dxa"/>
            <w:shd w:val="clear" w:color="auto" w:fill="auto"/>
            <w:noWrap/>
            <w:vAlign w:val="bottom"/>
            <w:hideMark/>
          </w:tcPr>
          <w:p w14:paraId="697918A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162</w:t>
            </w:r>
          </w:p>
        </w:tc>
        <w:tc>
          <w:tcPr>
            <w:tcW w:w="2993" w:type="dxa"/>
            <w:shd w:val="clear" w:color="auto" w:fill="auto"/>
            <w:noWrap/>
            <w:vAlign w:val="bottom"/>
            <w:hideMark/>
          </w:tcPr>
          <w:p w14:paraId="65B35C1D"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7 - DC 144 – str. spre Romanii de Sus (Stejarului)</w:t>
            </w:r>
          </w:p>
        </w:tc>
        <w:tc>
          <w:tcPr>
            <w:tcW w:w="1671" w:type="dxa"/>
            <w:shd w:val="clear" w:color="000000" w:fill="DCE6F1"/>
            <w:noWrap/>
            <w:vAlign w:val="bottom"/>
            <w:hideMark/>
          </w:tcPr>
          <w:p w14:paraId="2CE1AD23"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796" w:type="dxa"/>
            <w:shd w:val="clear" w:color="000000" w:fill="F2DCDB"/>
            <w:noWrap/>
            <w:vAlign w:val="bottom"/>
            <w:hideMark/>
          </w:tcPr>
          <w:p w14:paraId="68BBE111"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096" w:type="dxa"/>
            <w:shd w:val="clear" w:color="auto" w:fill="auto"/>
            <w:noWrap/>
            <w:vAlign w:val="bottom"/>
            <w:hideMark/>
          </w:tcPr>
          <w:p w14:paraId="0AB642B7"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c>
          <w:tcPr>
            <w:tcW w:w="722" w:type="dxa"/>
            <w:shd w:val="clear" w:color="auto" w:fill="auto"/>
            <w:noWrap/>
            <w:vAlign w:val="bottom"/>
            <w:hideMark/>
          </w:tcPr>
          <w:p w14:paraId="0D2A0B6C"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r>
      <w:tr w:rsidR="00501A22" w:rsidRPr="00185CA7" w14:paraId="7F12EEF6" w14:textId="77777777" w:rsidTr="00501A22">
        <w:trPr>
          <w:trHeight w:val="290"/>
        </w:trPr>
        <w:tc>
          <w:tcPr>
            <w:tcW w:w="897" w:type="dxa"/>
            <w:shd w:val="clear" w:color="auto" w:fill="auto"/>
            <w:noWrap/>
            <w:vAlign w:val="bottom"/>
            <w:hideMark/>
          </w:tcPr>
          <w:p w14:paraId="567B9073"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481</w:t>
            </w:r>
          </w:p>
        </w:tc>
        <w:tc>
          <w:tcPr>
            <w:tcW w:w="1223" w:type="dxa"/>
            <w:shd w:val="clear" w:color="auto" w:fill="auto"/>
            <w:noWrap/>
            <w:vAlign w:val="bottom"/>
            <w:hideMark/>
          </w:tcPr>
          <w:p w14:paraId="5D615E0C"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395</w:t>
            </w:r>
          </w:p>
        </w:tc>
        <w:tc>
          <w:tcPr>
            <w:tcW w:w="2993" w:type="dxa"/>
            <w:shd w:val="clear" w:color="auto" w:fill="auto"/>
            <w:noWrap/>
            <w:vAlign w:val="bottom"/>
            <w:hideMark/>
          </w:tcPr>
          <w:p w14:paraId="7B61DD21"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7 - DC 144 – str. spre Romanii de Sus (Stejarului)</w:t>
            </w:r>
          </w:p>
        </w:tc>
        <w:tc>
          <w:tcPr>
            <w:tcW w:w="1671" w:type="dxa"/>
            <w:shd w:val="clear" w:color="000000" w:fill="DCE6F1"/>
            <w:noWrap/>
            <w:vAlign w:val="bottom"/>
            <w:hideMark/>
          </w:tcPr>
          <w:p w14:paraId="746D34F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w:t>
            </w:r>
          </w:p>
        </w:tc>
        <w:tc>
          <w:tcPr>
            <w:tcW w:w="1796" w:type="dxa"/>
            <w:shd w:val="clear" w:color="000000" w:fill="F2DCDB"/>
            <w:noWrap/>
            <w:vAlign w:val="bottom"/>
            <w:hideMark/>
          </w:tcPr>
          <w:p w14:paraId="1C96033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096" w:type="dxa"/>
            <w:shd w:val="clear" w:color="auto" w:fill="auto"/>
            <w:noWrap/>
            <w:vAlign w:val="bottom"/>
            <w:hideMark/>
          </w:tcPr>
          <w:p w14:paraId="4205DE7F"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10%</w:t>
            </w:r>
          </w:p>
        </w:tc>
        <w:tc>
          <w:tcPr>
            <w:tcW w:w="722" w:type="dxa"/>
            <w:shd w:val="clear" w:color="auto" w:fill="auto"/>
            <w:noWrap/>
            <w:vAlign w:val="bottom"/>
            <w:hideMark/>
          </w:tcPr>
          <w:p w14:paraId="76358A98"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1,4</w:t>
            </w:r>
          </w:p>
        </w:tc>
      </w:tr>
      <w:tr w:rsidR="00501A22" w:rsidRPr="00185CA7" w14:paraId="5CBF9B68" w14:textId="77777777" w:rsidTr="00501A22">
        <w:trPr>
          <w:trHeight w:val="290"/>
        </w:trPr>
        <w:tc>
          <w:tcPr>
            <w:tcW w:w="897" w:type="dxa"/>
            <w:shd w:val="clear" w:color="auto" w:fill="auto"/>
            <w:noWrap/>
            <w:vAlign w:val="bottom"/>
            <w:hideMark/>
          </w:tcPr>
          <w:p w14:paraId="14665C6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571</w:t>
            </w:r>
          </w:p>
        </w:tc>
        <w:tc>
          <w:tcPr>
            <w:tcW w:w="1223" w:type="dxa"/>
            <w:shd w:val="clear" w:color="auto" w:fill="auto"/>
            <w:noWrap/>
            <w:vAlign w:val="bottom"/>
            <w:hideMark/>
          </w:tcPr>
          <w:p w14:paraId="35F40A8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153</w:t>
            </w:r>
          </w:p>
        </w:tc>
        <w:tc>
          <w:tcPr>
            <w:tcW w:w="2993" w:type="dxa"/>
            <w:shd w:val="clear" w:color="auto" w:fill="auto"/>
            <w:noWrap/>
            <w:vAlign w:val="bottom"/>
            <w:hideMark/>
          </w:tcPr>
          <w:p w14:paraId="6E44A379"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15 - DN 67 – str. Stadionului</w:t>
            </w:r>
          </w:p>
        </w:tc>
        <w:tc>
          <w:tcPr>
            <w:tcW w:w="1671" w:type="dxa"/>
            <w:shd w:val="clear" w:color="000000" w:fill="DCE6F1"/>
            <w:noWrap/>
            <w:vAlign w:val="bottom"/>
            <w:hideMark/>
          </w:tcPr>
          <w:p w14:paraId="5A404F4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21</w:t>
            </w:r>
          </w:p>
        </w:tc>
        <w:tc>
          <w:tcPr>
            <w:tcW w:w="1796" w:type="dxa"/>
            <w:shd w:val="clear" w:color="000000" w:fill="F2DCDB"/>
            <w:noWrap/>
            <w:vAlign w:val="bottom"/>
            <w:hideMark/>
          </w:tcPr>
          <w:p w14:paraId="702DDCB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22</w:t>
            </w:r>
          </w:p>
        </w:tc>
        <w:tc>
          <w:tcPr>
            <w:tcW w:w="1096" w:type="dxa"/>
            <w:shd w:val="clear" w:color="auto" w:fill="auto"/>
            <w:noWrap/>
            <w:vAlign w:val="bottom"/>
            <w:hideMark/>
          </w:tcPr>
          <w:p w14:paraId="2A79195F"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3%</w:t>
            </w:r>
          </w:p>
        </w:tc>
        <w:tc>
          <w:tcPr>
            <w:tcW w:w="722" w:type="dxa"/>
            <w:shd w:val="clear" w:color="auto" w:fill="auto"/>
            <w:noWrap/>
            <w:vAlign w:val="bottom"/>
            <w:hideMark/>
          </w:tcPr>
          <w:p w14:paraId="02CF10AE"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0,1</w:t>
            </w:r>
          </w:p>
        </w:tc>
      </w:tr>
      <w:tr w:rsidR="00501A22" w:rsidRPr="00185CA7" w14:paraId="359C05CB" w14:textId="77777777" w:rsidTr="00501A22">
        <w:trPr>
          <w:trHeight w:val="290"/>
        </w:trPr>
        <w:tc>
          <w:tcPr>
            <w:tcW w:w="897" w:type="dxa"/>
            <w:shd w:val="clear" w:color="auto" w:fill="auto"/>
            <w:noWrap/>
            <w:vAlign w:val="bottom"/>
            <w:hideMark/>
          </w:tcPr>
          <w:p w14:paraId="3DB9C77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571</w:t>
            </w:r>
          </w:p>
        </w:tc>
        <w:tc>
          <w:tcPr>
            <w:tcW w:w="1223" w:type="dxa"/>
            <w:shd w:val="clear" w:color="auto" w:fill="auto"/>
            <w:noWrap/>
            <w:vAlign w:val="bottom"/>
            <w:hideMark/>
          </w:tcPr>
          <w:p w14:paraId="1B25F32E"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3614</w:t>
            </w:r>
          </w:p>
        </w:tc>
        <w:tc>
          <w:tcPr>
            <w:tcW w:w="2993" w:type="dxa"/>
            <w:shd w:val="clear" w:color="auto" w:fill="auto"/>
            <w:noWrap/>
            <w:vAlign w:val="bottom"/>
            <w:hideMark/>
          </w:tcPr>
          <w:p w14:paraId="19EEE21D"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15 - DN 67 – str. Stadionului</w:t>
            </w:r>
          </w:p>
        </w:tc>
        <w:tc>
          <w:tcPr>
            <w:tcW w:w="1671" w:type="dxa"/>
            <w:shd w:val="clear" w:color="000000" w:fill="DCE6F1"/>
            <w:noWrap/>
            <w:vAlign w:val="bottom"/>
            <w:hideMark/>
          </w:tcPr>
          <w:p w14:paraId="7C65211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w:t>
            </w:r>
          </w:p>
        </w:tc>
        <w:tc>
          <w:tcPr>
            <w:tcW w:w="1796" w:type="dxa"/>
            <w:shd w:val="clear" w:color="000000" w:fill="F2DCDB"/>
            <w:noWrap/>
            <w:vAlign w:val="bottom"/>
            <w:hideMark/>
          </w:tcPr>
          <w:p w14:paraId="4EB25B4C"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16</w:t>
            </w:r>
          </w:p>
        </w:tc>
        <w:tc>
          <w:tcPr>
            <w:tcW w:w="1096" w:type="dxa"/>
            <w:shd w:val="clear" w:color="auto" w:fill="auto"/>
            <w:noWrap/>
            <w:vAlign w:val="bottom"/>
            <w:hideMark/>
          </w:tcPr>
          <w:p w14:paraId="2B654F72"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-8%</w:t>
            </w:r>
          </w:p>
        </w:tc>
        <w:tc>
          <w:tcPr>
            <w:tcW w:w="722" w:type="dxa"/>
            <w:shd w:val="clear" w:color="auto" w:fill="auto"/>
            <w:noWrap/>
            <w:vAlign w:val="bottom"/>
            <w:hideMark/>
          </w:tcPr>
          <w:p w14:paraId="68A5A446"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0A0EB741" w14:textId="77777777" w:rsidTr="00501A22">
        <w:trPr>
          <w:trHeight w:val="290"/>
        </w:trPr>
        <w:tc>
          <w:tcPr>
            <w:tcW w:w="897" w:type="dxa"/>
            <w:shd w:val="clear" w:color="auto" w:fill="auto"/>
            <w:noWrap/>
            <w:vAlign w:val="bottom"/>
            <w:hideMark/>
          </w:tcPr>
          <w:p w14:paraId="3D9719F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572</w:t>
            </w:r>
          </w:p>
        </w:tc>
        <w:tc>
          <w:tcPr>
            <w:tcW w:w="1223" w:type="dxa"/>
            <w:shd w:val="clear" w:color="auto" w:fill="auto"/>
            <w:noWrap/>
            <w:vAlign w:val="bottom"/>
            <w:hideMark/>
          </w:tcPr>
          <w:p w14:paraId="68CBA45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143</w:t>
            </w:r>
          </w:p>
        </w:tc>
        <w:tc>
          <w:tcPr>
            <w:tcW w:w="2993" w:type="dxa"/>
            <w:shd w:val="clear" w:color="auto" w:fill="auto"/>
            <w:noWrap/>
            <w:vAlign w:val="bottom"/>
            <w:hideMark/>
          </w:tcPr>
          <w:p w14:paraId="676CA3BA"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15 - DN 67 – str. Stadionului</w:t>
            </w:r>
          </w:p>
        </w:tc>
        <w:tc>
          <w:tcPr>
            <w:tcW w:w="1671" w:type="dxa"/>
            <w:shd w:val="clear" w:color="000000" w:fill="DCE6F1"/>
            <w:noWrap/>
            <w:vAlign w:val="bottom"/>
            <w:hideMark/>
          </w:tcPr>
          <w:p w14:paraId="4DD1F5A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21</w:t>
            </w:r>
          </w:p>
        </w:tc>
        <w:tc>
          <w:tcPr>
            <w:tcW w:w="1796" w:type="dxa"/>
            <w:shd w:val="clear" w:color="000000" w:fill="F2DCDB"/>
            <w:noWrap/>
            <w:vAlign w:val="bottom"/>
            <w:hideMark/>
          </w:tcPr>
          <w:p w14:paraId="0AC9F4C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21</w:t>
            </w:r>
          </w:p>
        </w:tc>
        <w:tc>
          <w:tcPr>
            <w:tcW w:w="1096" w:type="dxa"/>
            <w:shd w:val="clear" w:color="auto" w:fill="auto"/>
            <w:noWrap/>
            <w:vAlign w:val="bottom"/>
            <w:hideMark/>
          </w:tcPr>
          <w:p w14:paraId="00BFC8AA"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c>
          <w:tcPr>
            <w:tcW w:w="722" w:type="dxa"/>
            <w:shd w:val="clear" w:color="auto" w:fill="auto"/>
            <w:noWrap/>
            <w:vAlign w:val="bottom"/>
            <w:hideMark/>
          </w:tcPr>
          <w:p w14:paraId="5881E3D8"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r>
      <w:tr w:rsidR="00501A22" w:rsidRPr="00185CA7" w14:paraId="105D3736" w14:textId="77777777" w:rsidTr="00501A22">
        <w:trPr>
          <w:trHeight w:val="290"/>
        </w:trPr>
        <w:tc>
          <w:tcPr>
            <w:tcW w:w="897" w:type="dxa"/>
            <w:shd w:val="clear" w:color="auto" w:fill="auto"/>
            <w:noWrap/>
            <w:vAlign w:val="bottom"/>
            <w:hideMark/>
          </w:tcPr>
          <w:p w14:paraId="7198F92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572</w:t>
            </w:r>
          </w:p>
        </w:tc>
        <w:tc>
          <w:tcPr>
            <w:tcW w:w="1223" w:type="dxa"/>
            <w:shd w:val="clear" w:color="auto" w:fill="auto"/>
            <w:noWrap/>
            <w:vAlign w:val="bottom"/>
            <w:hideMark/>
          </w:tcPr>
          <w:p w14:paraId="149A298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153</w:t>
            </w:r>
          </w:p>
        </w:tc>
        <w:tc>
          <w:tcPr>
            <w:tcW w:w="2993" w:type="dxa"/>
            <w:shd w:val="clear" w:color="auto" w:fill="auto"/>
            <w:noWrap/>
            <w:vAlign w:val="bottom"/>
            <w:hideMark/>
          </w:tcPr>
          <w:p w14:paraId="7937DEE8"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15 - DN 67 – str. Stadionului</w:t>
            </w:r>
          </w:p>
        </w:tc>
        <w:tc>
          <w:tcPr>
            <w:tcW w:w="1671" w:type="dxa"/>
            <w:shd w:val="clear" w:color="000000" w:fill="DCE6F1"/>
            <w:noWrap/>
            <w:vAlign w:val="bottom"/>
            <w:hideMark/>
          </w:tcPr>
          <w:p w14:paraId="6F6F535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18</w:t>
            </w:r>
          </w:p>
        </w:tc>
        <w:tc>
          <w:tcPr>
            <w:tcW w:w="1796" w:type="dxa"/>
            <w:shd w:val="clear" w:color="000000" w:fill="F2DCDB"/>
            <w:noWrap/>
            <w:vAlign w:val="bottom"/>
            <w:hideMark/>
          </w:tcPr>
          <w:p w14:paraId="1CDCB0D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19</w:t>
            </w:r>
          </w:p>
        </w:tc>
        <w:tc>
          <w:tcPr>
            <w:tcW w:w="1096" w:type="dxa"/>
            <w:shd w:val="clear" w:color="auto" w:fill="auto"/>
            <w:noWrap/>
            <w:vAlign w:val="bottom"/>
            <w:hideMark/>
          </w:tcPr>
          <w:p w14:paraId="5978A3D5"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6%</w:t>
            </w:r>
          </w:p>
        </w:tc>
        <w:tc>
          <w:tcPr>
            <w:tcW w:w="722" w:type="dxa"/>
            <w:shd w:val="clear" w:color="auto" w:fill="auto"/>
            <w:noWrap/>
            <w:vAlign w:val="bottom"/>
            <w:hideMark/>
          </w:tcPr>
          <w:p w14:paraId="04321506"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3DE3FD40" w14:textId="77777777" w:rsidTr="00501A22">
        <w:trPr>
          <w:trHeight w:val="290"/>
        </w:trPr>
        <w:tc>
          <w:tcPr>
            <w:tcW w:w="897" w:type="dxa"/>
            <w:shd w:val="clear" w:color="auto" w:fill="auto"/>
            <w:noWrap/>
            <w:vAlign w:val="bottom"/>
            <w:hideMark/>
          </w:tcPr>
          <w:p w14:paraId="631BD6A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1148</w:t>
            </w:r>
          </w:p>
        </w:tc>
        <w:tc>
          <w:tcPr>
            <w:tcW w:w="1223" w:type="dxa"/>
            <w:shd w:val="clear" w:color="auto" w:fill="auto"/>
            <w:noWrap/>
            <w:vAlign w:val="bottom"/>
            <w:hideMark/>
          </w:tcPr>
          <w:p w14:paraId="3E069BCF"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66</w:t>
            </w:r>
          </w:p>
        </w:tc>
        <w:tc>
          <w:tcPr>
            <w:tcW w:w="2993" w:type="dxa"/>
            <w:shd w:val="clear" w:color="auto" w:fill="auto"/>
            <w:noWrap/>
            <w:vAlign w:val="bottom"/>
            <w:hideMark/>
          </w:tcPr>
          <w:p w14:paraId="1E94378E"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8 - DC 142 – str. Matei Basarab</w:t>
            </w:r>
          </w:p>
        </w:tc>
        <w:tc>
          <w:tcPr>
            <w:tcW w:w="1671" w:type="dxa"/>
            <w:shd w:val="clear" w:color="000000" w:fill="DCE6F1"/>
            <w:noWrap/>
            <w:vAlign w:val="bottom"/>
            <w:hideMark/>
          </w:tcPr>
          <w:p w14:paraId="372416E2"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796" w:type="dxa"/>
            <w:shd w:val="clear" w:color="000000" w:fill="F2DCDB"/>
            <w:noWrap/>
            <w:vAlign w:val="bottom"/>
            <w:hideMark/>
          </w:tcPr>
          <w:p w14:paraId="7E8E9CD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096" w:type="dxa"/>
            <w:shd w:val="clear" w:color="auto" w:fill="auto"/>
            <w:noWrap/>
            <w:vAlign w:val="bottom"/>
            <w:hideMark/>
          </w:tcPr>
          <w:p w14:paraId="4023BB8C"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10%</w:t>
            </w:r>
          </w:p>
        </w:tc>
        <w:tc>
          <w:tcPr>
            <w:tcW w:w="722" w:type="dxa"/>
            <w:shd w:val="clear" w:color="auto" w:fill="auto"/>
            <w:noWrap/>
            <w:vAlign w:val="bottom"/>
            <w:hideMark/>
          </w:tcPr>
          <w:p w14:paraId="35DEC2CD"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0,1</w:t>
            </w:r>
          </w:p>
        </w:tc>
      </w:tr>
      <w:tr w:rsidR="00501A22" w:rsidRPr="00185CA7" w14:paraId="225D4CB1" w14:textId="77777777" w:rsidTr="00501A22">
        <w:trPr>
          <w:trHeight w:val="290"/>
        </w:trPr>
        <w:tc>
          <w:tcPr>
            <w:tcW w:w="897" w:type="dxa"/>
            <w:shd w:val="clear" w:color="auto" w:fill="auto"/>
            <w:noWrap/>
            <w:vAlign w:val="bottom"/>
            <w:hideMark/>
          </w:tcPr>
          <w:p w14:paraId="6E7764B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1153</w:t>
            </w:r>
          </w:p>
        </w:tc>
        <w:tc>
          <w:tcPr>
            <w:tcW w:w="1223" w:type="dxa"/>
            <w:shd w:val="clear" w:color="auto" w:fill="auto"/>
            <w:noWrap/>
            <w:vAlign w:val="bottom"/>
            <w:hideMark/>
          </w:tcPr>
          <w:p w14:paraId="756023A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286</w:t>
            </w:r>
          </w:p>
        </w:tc>
        <w:tc>
          <w:tcPr>
            <w:tcW w:w="2993" w:type="dxa"/>
            <w:shd w:val="clear" w:color="auto" w:fill="auto"/>
            <w:noWrap/>
            <w:vAlign w:val="bottom"/>
            <w:hideMark/>
          </w:tcPr>
          <w:p w14:paraId="04450069"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4 - DJ 665 (Vaideeni)</w:t>
            </w:r>
          </w:p>
        </w:tc>
        <w:tc>
          <w:tcPr>
            <w:tcW w:w="1671" w:type="dxa"/>
            <w:shd w:val="clear" w:color="000000" w:fill="DCE6F1"/>
            <w:noWrap/>
            <w:vAlign w:val="bottom"/>
            <w:hideMark/>
          </w:tcPr>
          <w:p w14:paraId="662D72E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19</w:t>
            </w:r>
          </w:p>
        </w:tc>
        <w:tc>
          <w:tcPr>
            <w:tcW w:w="1796" w:type="dxa"/>
            <w:shd w:val="clear" w:color="000000" w:fill="F2DCDB"/>
            <w:noWrap/>
            <w:vAlign w:val="bottom"/>
            <w:hideMark/>
          </w:tcPr>
          <w:p w14:paraId="789E72BD"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19</w:t>
            </w:r>
          </w:p>
        </w:tc>
        <w:tc>
          <w:tcPr>
            <w:tcW w:w="1096" w:type="dxa"/>
            <w:shd w:val="clear" w:color="auto" w:fill="auto"/>
            <w:noWrap/>
            <w:vAlign w:val="bottom"/>
            <w:hideMark/>
          </w:tcPr>
          <w:p w14:paraId="71A4C6E6"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c>
          <w:tcPr>
            <w:tcW w:w="722" w:type="dxa"/>
            <w:shd w:val="clear" w:color="auto" w:fill="auto"/>
            <w:noWrap/>
            <w:vAlign w:val="bottom"/>
            <w:hideMark/>
          </w:tcPr>
          <w:p w14:paraId="596F6AB3"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r>
      <w:tr w:rsidR="00501A22" w:rsidRPr="00185CA7" w14:paraId="06CAB4E5" w14:textId="77777777" w:rsidTr="00501A22">
        <w:trPr>
          <w:trHeight w:val="290"/>
        </w:trPr>
        <w:tc>
          <w:tcPr>
            <w:tcW w:w="897" w:type="dxa"/>
            <w:shd w:val="clear" w:color="auto" w:fill="auto"/>
            <w:noWrap/>
            <w:vAlign w:val="bottom"/>
            <w:hideMark/>
          </w:tcPr>
          <w:p w14:paraId="7053D8D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1153</w:t>
            </w:r>
          </w:p>
        </w:tc>
        <w:tc>
          <w:tcPr>
            <w:tcW w:w="1223" w:type="dxa"/>
            <w:shd w:val="clear" w:color="auto" w:fill="auto"/>
            <w:noWrap/>
            <w:vAlign w:val="bottom"/>
            <w:hideMark/>
          </w:tcPr>
          <w:p w14:paraId="5BB2DFA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2667</w:t>
            </w:r>
          </w:p>
        </w:tc>
        <w:tc>
          <w:tcPr>
            <w:tcW w:w="2993" w:type="dxa"/>
            <w:shd w:val="clear" w:color="auto" w:fill="auto"/>
            <w:noWrap/>
            <w:vAlign w:val="bottom"/>
            <w:hideMark/>
          </w:tcPr>
          <w:p w14:paraId="783B46B5"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4 - DJ 665 (Vaideeni)</w:t>
            </w:r>
          </w:p>
        </w:tc>
        <w:tc>
          <w:tcPr>
            <w:tcW w:w="1671" w:type="dxa"/>
            <w:shd w:val="clear" w:color="000000" w:fill="DCE6F1"/>
            <w:noWrap/>
            <w:vAlign w:val="bottom"/>
            <w:hideMark/>
          </w:tcPr>
          <w:p w14:paraId="151498AD"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16</w:t>
            </w:r>
          </w:p>
        </w:tc>
        <w:tc>
          <w:tcPr>
            <w:tcW w:w="1796" w:type="dxa"/>
            <w:shd w:val="clear" w:color="000000" w:fill="F2DCDB"/>
            <w:noWrap/>
            <w:vAlign w:val="bottom"/>
            <w:hideMark/>
          </w:tcPr>
          <w:p w14:paraId="5231CF5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16</w:t>
            </w:r>
          </w:p>
        </w:tc>
        <w:tc>
          <w:tcPr>
            <w:tcW w:w="1096" w:type="dxa"/>
            <w:shd w:val="clear" w:color="auto" w:fill="auto"/>
            <w:noWrap/>
            <w:vAlign w:val="bottom"/>
            <w:hideMark/>
          </w:tcPr>
          <w:p w14:paraId="5BEBC958"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c>
          <w:tcPr>
            <w:tcW w:w="722" w:type="dxa"/>
            <w:shd w:val="clear" w:color="auto" w:fill="auto"/>
            <w:noWrap/>
            <w:vAlign w:val="bottom"/>
            <w:hideMark/>
          </w:tcPr>
          <w:p w14:paraId="7F980A29"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r>
      <w:tr w:rsidR="00501A22" w:rsidRPr="00185CA7" w14:paraId="6A11F246" w14:textId="77777777" w:rsidTr="00501A22">
        <w:trPr>
          <w:trHeight w:val="290"/>
        </w:trPr>
        <w:tc>
          <w:tcPr>
            <w:tcW w:w="897" w:type="dxa"/>
            <w:shd w:val="clear" w:color="auto" w:fill="auto"/>
            <w:noWrap/>
            <w:vAlign w:val="bottom"/>
            <w:hideMark/>
          </w:tcPr>
          <w:p w14:paraId="298A5B2F"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1156</w:t>
            </w:r>
          </w:p>
        </w:tc>
        <w:tc>
          <w:tcPr>
            <w:tcW w:w="1223" w:type="dxa"/>
            <w:shd w:val="clear" w:color="auto" w:fill="auto"/>
            <w:noWrap/>
            <w:vAlign w:val="bottom"/>
            <w:hideMark/>
          </w:tcPr>
          <w:p w14:paraId="3BD8D112"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89</w:t>
            </w:r>
          </w:p>
        </w:tc>
        <w:tc>
          <w:tcPr>
            <w:tcW w:w="2993" w:type="dxa"/>
            <w:shd w:val="clear" w:color="auto" w:fill="auto"/>
            <w:noWrap/>
            <w:vAlign w:val="bottom"/>
            <w:hideMark/>
          </w:tcPr>
          <w:p w14:paraId="07D985D2"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13 - DC 139 – DN 67 (B)</w:t>
            </w:r>
          </w:p>
        </w:tc>
        <w:tc>
          <w:tcPr>
            <w:tcW w:w="1671" w:type="dxa"/>
            <w:shd w:val="clear" w:color="000000" w:fill="DCE6F1"/>
            <w:noWrap/>
            <w:vAlign w:val="bottom"/>
            <w:hideMark/>
          </w:tcPr>
          <w:p w14:paraId="3EEF7A71"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19</w:t>
            </w:r>
          </w:p>
        </w:tc>
        <w:tc>
          <w:tcPr>
            <w:tcW w:w="1796" w:type="dxa"/>
            <w:shd w:val="clear" w:color="000000" w:fill="F2DCDB"/>
            <w:noWrap/>
            <w:vAlign w:val="bottom"/>
            <w:hideMark/>
          </w:tcPr>
          <w:p w14:paraId="043920E3"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w:t>
            </w:r>
          </w:p>
        </w:tc>
        <w:tc>
          <w:tcPr>
            <w:tcW w:w="1096" w:type="dxa"/>
            <w:shd w:val="clear" w:color="auto" w:fill="auto"/>
            <w:noWrap/>
            <w:vAlign w:val="bottom"/>
            <w:hideMark/>
          </w:tcPr>
          <w:p w14:paraId="1EAF6428"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-9%</w:t>
            </w:r>
          </w:p>
        </w:tc>
        <w:tc>
          <w:tcPr>
            <w:tcW w:w="722" w:type="dxa"/>
            <w:shd w:val="clear" w:color="auto" w:fill="auto"/>
            <w:noWrap/>
            <w:vAlign w:val="bottom"/>
            <w:hideMark/>
          </w:tcPr>
          <w:p w14:paraId="49A21524"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0,4</w:t>
            </w:r>
          </w:p>
        </w:tc>
      </w:tr>
      <w:tr w:rsidR="00501A22" w:rsidRPr="00185CA7" w14:paraId="483717D4" w14:textId="77777777" w:rsidTr="00501A22">
        <w:trPr>
          <w:trHeight w:val="290"/>
        </w:trPr>
        <w:tc>
          <w:tcPr>
            <w:tcW w:w="897" w:type="dxa"/>
            <w:shd w:val="clear" w:color="auto" w:fill="auto"/>
            <w:noWrap/>
            <w:vAlign w:val="bottom"/>
            <w:hideMark/>
          </w:tcPr>
          <w:p w14:paraId="4D884C5C"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1156</w:t>
            </w:r>
          </w:p>
        </w:tc>
        <w:tc>
          <w:tcPr>
            <w:tcW w:w="1223" w:type="dxa"/>
            <w:shd w:val="clear" w:color="auto" w:fill="auto"/>
            <w:noWrap/>
            <w:vAlign w:val="bottom"/>
            <w:hideMark/>
          </w:tcPr>
          <w:p w14:paraId="00E6329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2619</w:t>
            </w:r>
          </w:p>
        </w:tc>
        <w:tc>
          <w:tcPr>
            <w:tcW w:w="2993" w:type="dxa"/>
            <w:shd w:val="clear" w:color="auto" w:fill="auto"/>
            <w:noWrap/>
            <w:vAlign w:val="bottom"/>
            <w:hideMark/>
          </w:tcPr>
          <w:p w14:paraId="1A2FF4DF"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13 - DC 139 – DN 67 (B)</w:t>
            </w:r>
          </w:p>
        </w:tc>
        <w:tc>
          <w:tcPr>
            <w:tcW w:w="1671" w:type="dxa"/>
            <w:shd w:val="clear" w:color="000000" w:fill="DCE6F1"/>
            <w:noWrap/>
            <w:vAlign w:val="bottom"/>
            <w:hideMark/>
          </w:tcPr>
          <w:p w14:paraId="3CD1C7F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23</w:t>
            </w:r>
          </w:p>
        </w:tc>
        <w:tc>
          <w:tcPr>
            <w:tcW w:w="1796" w:type="dxa"/>
            <w:shd w:val="clear" w:color="000000" w:fill="F2DCDB"/>
            <w:noWrap/>
            <w:vAlign w:val="bottom"/>
            <w:hideMark/>
          </w:tcPr>
          <w:p w14:paraId="56F0E92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22</w:t>
            </w:r>
          </w:p>
        </w:tc>
        <w:tc>
          <w:tcPr>
            <w:tcW w:w="1096" w:type="dxa"/>
            <w:shd w:val="clear" w:color="auto" w:fill="auto"/>
            <w:noWrap/>
            <w:vAlign w:val="bottom"/>
            <w:hideMark/>
          </w:tcPr>
          <w:p w14:paraId="732CF838"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-5%</w:t>
            </w:r>
          </w:p>
        </w:tc>
        <w:tc>
          <w:tcPr>
            <w:tcW w:w="722" w:type="dxa"/>
            <w:shd w:val="clear" w:color="auto" w:fill="auto"/>
            <w:noWrap/>
            <w:vAlign w:val="bottom"/>
            <w:hideMark/>
          </w:tcPr>
          <w:p w14:paraId="1F3B7CFF"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1EA7D58F" w14:textId="77777777" w:rsidTr="00501A22">
        <w:trPr>
          <w:trHeight w:val="290"/>
        </w:trPr>
        <w:tc>
          <w:tcPr>
            <w:tcW w:w="897" w:type="dxa"/>
            <w:shd w:val="clear" w:color="auto" w:fill="auto"/>
            <w:noWrap/>
            <w:vAlign w:val="bottom"/>
            <w:hideMark/>
          </w:tcPr>
          <w:p w14:paraId="049A0E0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lastRenderedPageBreak/>
              <w:t>1557</w:t>
            </w:r>
          </w:p>
        </w:tc>
        <w:tc>
          <w:tcPr>
            <w:tcW w:w="1223" w:type="dxa"/>
            <w:shd w:val="clear" w:color="auto" w:fill="auto"/>
            <w:noWrap/>
            <w:vAlign w:val="bottom"/>
            <w:hideMark/>
          </w:tcPr>
          <w:p w14:paraId="25185572"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2727</w:t>
            </w:r>
          </w:p>
        </w:tc>
        <w:tc>
          <w:tcPr>
            <w:tcW w:w="2993" w:type="dxa"/>
            <w:shd w:val="clear" w:color="auto" w:fill="auto"/>
            <w:noWrap/>
            <w:vAlign w:val="bottom"/>
            <w:hideMark/>
          </w:tcPr>
          <w:p w14:paraId="3192AD6A"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14 - DC 146 – str. Mircea cel Batran</w:t>
            </w:r>
          </w:p>
        </w:tc>
        <w:tc>
          <w:tcPr>
            <w:tcW w:w="1671" w:type="dxa"/>
            <w:shd w:val="clear" w:color="000000" w:fill="DCE6F1"/>
            <w:noWrap/>
            <w:vAlign w:val="bottom"/>
            <w:hideMark/>
          </w:tcPr>
          <w:p w14:paraId="63137B6B"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796" w:type="dxa"/>
            <w:shd w:val="clear" w:color="000000" w:fill="F2DCDB"/>
            <w:noWrap/>
            <w:vAlign w:val="bottom"/>
            <w:hideMark/>
          </w:tcPr>
          <w:p w14:paraId="7D72B5BF"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096" w:type="dxa"/>
            <w:shd w:val="clear" w:color="auto" w:fill="auto"/>
            <w:noWrap/>
            <w:vAlign w:val="bottom"/>
            <w:hideMark/>
          </w:tcPr>
          <w:p w14:paraId="34B36696"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-41%</w:t>
            </w:r>
          </w:p>
        </w:tc>
        <w:tc>
          <w:tcPr>
            <w:tcW w:w="722" w:type="dxa"/>
            <w:shd w:val="clear" w:color="auto" w:fill="auto"/>
            <w:noWrap/>
            <w:vAlign w:val="bottom"/>
            <w:hideMark/>
          </w:tcPr>
          <w:p w14:paraId="61734841"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0,6</w:t>
            </w:r>
          </w:p>
        </w:tc>
      </w:tr>
      <w:tr w:rsidR="00501A22" w:rsidRPr="00185CA7" w14:paraId="741891F9" w14:textId="77777777" w:rsidTr="00501A22">
        <w:trPr>
          <w:trHeight w:val="290"/>
        </w:trPr>
        <w:tc>
          <w:tcPr>
            <w:tcW w:w="897" w:type="dxa"/>
            <w:shd w:val="clear" w:color="auto" w:fill="auto"/>
            <w:noWrap/>
            <w:vAlign w:val="bottom"/>
            <w:hideMark/>
          </w:tcPr>
          <w:p w14:paraId="27B890A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2379</w:t>
            </w:r>
          </w:p>
        </w:tc>
        <w:tc>
          <w:tcPr>
            <w:tcW w:w="1223" w:type="dxa"/>
            <w:shd w:val="clear" w:color="auto" w:fill="auto"/>
            <w:noWrap/>
            <w:vAlign w:val="bottom"/>
            <w:hideMark/>
          </w:tcPr>
          <w:p w14:paraId="6E9288B2"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1095</w:t>
            </w:r>
          </w:p>
        </w:tc>
        <w:tc>
          <w:tcPr>
            <w:tcW w:w="2993" w:type="dxa"/>
            <w:shd w:val="clear" w:color="auto" w:fill="auto"/>
            <w:noWrap/>
            <w:vAlign w:val="bottom"/>
            <w:hideMark/>
          </w:tcPr>
          <w:p w14:paraId="069304B0"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13 - DC 139 – DN 67 (A)</w:t>
            </w:r>
          </w:p>
        </w:tc>
        <w:tc>
          <w:tcPr>
            <w:tcW w:w="1671" w:type="dxa"/>
            <w:shd w:val="clear" w:color="000000" w:fill="DCE6F1"/>
            <w:noWrap/>
            <w:vAlign w:val="bottom"/>
            <w:hideMark/>
          </w:tcPr>
          <w:p w14:paraId="5127765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23</w:t>
            </w:r>
          </w:p>
        </w:tc>
        <w:tc>
          <w:tcPr>
            <w:tcW w:w="1796" w:type="dxa"/>
            <w:shd w:val="clear" w:color="000000" w:fill="F2DCDB"/>
            <w:noWrap/>
            <w:vAlign w:val="bottom"/>
            <w:hideMark/>
          </w:tcPr>
          <w:p w14:paraId="71F35CA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22</w:t>
            </w:r>
          </w:p>
        </w:tc>
        <w:tc>
          <w:tcPr>
            <w:tcW w:w="1096" w:type="dxa"/>
            <w:shd w:val="clear" w:color="auto" w:fill="auto"/>
            <w:noWrap/>
            <w:vAlign w:val="bottom"/>
            <w:hideMark/>
          </w:tcPr>
          <w:p w14:paraId="2036D208"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-6%</w:t>
            </w:r>
          </w:p>
        </w:tc>
        <w:tc>
          <w:tcPr>
            <w:tcW w:w="722" w:type="dxa"/>
            <w:shd w:val="clear" w:color="auto" w:fill="auto"/>
            <w:noWrap/>
            <w:vAlign w:val="bottom"/>
            <w:hideMark/>
          </w:tcPr>
          <w:p w14:paraId="72244283"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461D4A02" w14:textId="77777777" w:rsidTr="00501A22">
        <w:trPr>
          <w:trHeight w:val="290"/>
        </w:trPr>
        <w:tc>
          <w:tcPr>
            <w:tcW w:w="897" w:type="dxa"/>
            <w:shd w:val="clear" w:color="auto" w:fill="auto"/>
            <w:noWrap/>
            <w:vAlign w:val="bottom"/>
            <w:hideMark/>
          </w:tcPr>
          <w:p w14:paraId="6DA4FD5B"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2379</w:t>
            </w:r>
          </w:p>
        </w:tc>
        <w:tc>
          <w:tcPr>
            <w:tcW w:w="1223" w:type="dxa"/>
            <w:shd w:val="clear" w:color="auto" w:fill="auto"/>
            <w:noWrap/>
            <w:vAlign w:val="bottom"/>
            <w:hideMark/>
          </w:tcPr>
          <w:p w14:paraId="6D988EA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2616</w:t>
            </w:r>
          </w:p>
        </w:tc>
        <w:tc>
          <w:tcPr>
            <w:tcW w:w="2993" w:type="dxa"/>
            <w:shd w:val="clear" w:color="auto" w:fill="auto"/>
            <w:noWrap/>
            <w:vAlign w:val="bottom"/>
            <w:hideMark/>
          </w:tcPr>
          <w:p w14:paraId="10A5B3F4"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13 - DC 139 – DN 67 (A)</w:t>
            </w:r>
          </w:p>
        </w:tc>
        <w:tc>
          <w:tcPr>
            <w:tcW w:w="1671" w:type="dxa"/>
            <w:shd w:val="clear" w:color="000000" w:fill="DCE6F1"/>
            <w:noWrap/>
            <w:vAlign w:val="bottom"/>
            <w:hideMark/>
          </w:tcPr>
          <w:p w14:paraId="3FF540ED"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w:t>
            </w:r>
          </w:p>
        </w:tc>
        <w:tc>
          <w:tcPr>
            <w:tcW w:w="1796" w:type="dxa"/>
            <w:shd w:val="clear" w:color="000000" w:fill="F2DCDB"/>
            <w:noWrap/>
            <w:vAlign w:val="bottom"/>
            <w:hideMark/>
          </w:tcPr>
          <w:p w14:paraId="3EC8A12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w:t>
            </w:r>
          </w:p>
        </w:tc>
        <w:tc>
          <w:tcPr>
            <w:tcW w:w="1096" w:type="dxa"/>
            <w:shd w:val="clear" w:color="auto" w:fill="auto"/>
            <w:noWrap/>
            <w:vAlign w:val="bottom"/>
            <w:hideMark/>
          </w:tcPr>
          <w:p w14:paraId="31DB6C4D"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c>
          <w:tcPr>
            <w:tcW w:w="722" w:type="dxa"/>
            <w:shd w:val="clear" w:color="auto" w:fill="auto"/>
            <w:noWrap/>
            <w:vAlign w:val="bottom"/>
            <w:hideMark/>
          </w:tcPr>
          <w:p w14:paraId="49D6879C"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r>
      <w:tr w:rsidR="00501A22" w:rsidRPr="00185CA7" w14:paraId="2D178C7B" w14:textId="77777777" w:rsidTr="00501A22">
        <w:trPr>
          <w:trHeight w:val="290"/>
        </w:trPr>
        <w:tc>
          <w:tcPr>
            <w:tcW w:w="897" w:type="dxa"/>
            <w:shd w:val="clear" w:color="auto" w:fill="auto"/>
            <w:noWrap/>
            <w:vAlign w:val="bottom"/>
            <w:hideMark/>
          </w:tcPr>
          <w:p w14:paraId="6CACFC8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2396</w:t>
            </w:r>
          </w:p>
        </w:tc>
        <w:tc>
          <w:tcPr>
            <w:tcW w:w="1223" w:type="dxa"/>
            <w:shd w:val="clear" w:color="auto" w:fill="auto"/>
            <w:noWrap/>
            <w:vAlign w:val="bottom"/>
            <w:hideMark/>
          </w:tcPr>
          <w:p w14:paraId="435FA92B"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953</w:t>
            </w:r>
          </w:p>
        </w:tc>
        <w:tc>
          <w:tcPr>
            <w:tcW w:w="2993" w:type="dxa"/>
            <w:shd w:val="clear" w:color="auto" w:fill="auto"/>
            <w:noWrap/>
            <w:vAlign w:val="bottom"/>
            <w:hideMark/>
          </w:tcPr>
          <w:p w14:paraId="47E9BB66"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16 - DJ 669 – DC 146</w:t>
            </w:r>
          </w:p>
        </w:tc>
        <w:tc>
          <w:tcPr>
            <w:tcW w:w="1671" w:type="dxa"/>
            <w:shd w:val="clear" w:color="000000" w:fill="DCE6F1"/>
            <w:noWrap/>
            <w:vAlign w:val="bottom"/>
            <w:hideMark/>
          </w:tcPr>
          <w:p w14:paraId="6CC71DA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w:t>
            </w:r>
          </w:p>
        </w:tc>
        <w:tc>
          <w:tcPr>
            <w:tcW w:w="1796" w:type="dxa"/>
            <w:shd w:val="clear" w:color="000000" w:fill="F2DCDB"/>
            <w:noWrap/>
            <w:vAlign w:val="bottom"/>
            <w:hideMark/>
          </w:tcPr>
          <w:p w14:paraId="2DC99B8F"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w:t>
            </w:r>
          </w:p>
        </w:tc>
        <w:tc>
          <w:tcPr>
            <w:tcW w:w="1096" w:type="dxa"/>
            <w:shd w:val="clear" w:color="auto" w:fill="auto"/>
            <w:noWrap/>
            <w:vAlign w:val="bottom"/>
            <w:hideMark/>
          </w:tcPr>
          <w:p w14:paraId="2A619B96"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-2%</w:t>
            </w:r>
          </w:p>
        </w:tc>
        <w:tc>
          <w:tcPr>
            <w:tcW w:w="722" w:type="dxa"/>
            <w:shd w:val="clear" w:color="auto" w:fill="auto"/>
            <w:noWrap/>
            <w:vAlign w:val="bottom"/>
            <w:hideMark/>
          </w:tcPr>
          <w:p w14:paraId="7D9A8CC6"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r>
      <w:tr w:rsidR="00501A22" w:rsidRPr="00185CA7" w14:paraId="66A1CF01" w14:textId="77777777" w:rsidTr="00501A22">
        <w:trPr>
          <w:trHeight w:val="290"/>
        </w:trPr>
        <w:tc>
          <w:tcPr>
            <w:tcW w:w="897" w:type="dxa"/>
            <w:shd w:val="clear" w:color="auto" w:fill="auto"/>
            <w:noWrap/>
            <w:vAlign w:val="bottom"/>
            <w:hideMark/>
          </w:tcPr>
          <w:p w14:paraId="7B750A9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2397</w:t>
            </w:r>
          </w:p>
        </w:tc>
        <w:tc>
          <w:tcPr>
            <w:tcW w:w="1223" w:type="dxa"/>
            <w:shd w:val="clear" w:color="auto" w:fill="auto"/>
            <w:noWrap/>
            <w:vAlign w:val="bottom"/>
            <w:hideMark/>
          </w:tcPr>
          <w:p w14:paraId="5424671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262</w:t>
            </w:r>
          </w:p>
        </w:tc>
        <w:tc>
          <w:tcPr>
            <w:tcW w:w="2993" w:type="dxa"/>
            <w:shd w:val="clear" w:color="auto" w:fill="auto"/>
            <w:noWrap/>
            <w:vAlign w:val="bottom"/>
            <w:hideMark/>
          </w:tcPr>
          <w:p w14:paraId="139409EB"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17 - DJ 669 – str. Manastirii</w:t>
            </w:r>
          </w:p>
        </w:tc>
        <w:tc>
          <w:tcPr>
            <w:tcW w:w="1671" w:type="dxa"/>
            <w:shd w:val="clear" w:color="000000" w:fill="DCE6F1"/>
            <w:noWrap/>
            <w:vAlign w:val="bottom"/>
            <w:hideMark/>
          </w:tcPr>
          <w:p w14:paraId="314D3C1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w:t>
            </w:r>
          </w:p>
        </w:tc>
        <w:tc>
          <w:tcPr>
            <w:tcW w:w="1796" w:type="dxa"/>
            <w:shd w:val="clear" w:color="000000" w:fill="F2DCDB"/>
            <w:noWrap/>
            <w:vAlign w:val="bottom"/>
            <w:hideMark/>
          </w:tcPr>
          <w:p w14:paraId="7B05F46C"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w:t>
            </w:r>
          </w:p>
        </w:tc>
        <w:tc>
          <w:tcPr>
            <w:tcW w:w="1096" w:type="dxa"/>
            <w:shd w:val="clear" w:color="auto" w:fill="auto"/>
            <w:noWrap/>
            <w:vAlign w:val="bottom"/>
            <w:hideMark/>
          </w:tcPr>
          <w:p w14:paraId="2E7EBF6F"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20%</w:t>
            </w:r>
          </w:p>
        </w:tc>
        <w:tc>
          <w:tcPr>
            <w:tcW w:w="722" w:type="dxa"/>
            <w:shd w:val="clear" w:color="auto" w:fill="auto"/>
            <w:noWrap/>
            <w:vAlign w:val="bottom"/>
            <w:hideMark/>
          </w:tcPr>
          <w:p w14:paraId="4F82C3E4"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0,4</w:t>
            </w:r>
          </w:p>
        </w:tc>
      </w:tr>
      <w:tr w:rsidR="00501A22" w:rsidRPr="00185CA7" w14:paraId="7793E906" w14:textId="77777777" w:rsidTr="00501A22">
        <w:trPr>
          <w:trHeight w:val="290"/>
        </w:trPr>
        <w:tc>
          <w:tcPr>
            <w:tcW w:w="897" w:type="dxa"/>
            <w:shd w:val="clear" w:color="auto" w:fill="auto"/>
            <w:noWrap/>
            <w:vAlign w:val="bottom"/>
            <w:hideMark/>
          </w:tcPr>
          <w:p w14:paraId="688F36A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3307</w:t>
            </w:r>
          </w:p>
        </w:tc>
        <w:tc>
          <w:tcPr>
            <w:tcW w:w="1223" w:type="dxa"/>
            <w:shd w:val="clear" w:color="auto" w:fill="auto"/>
            <w:noWrap/>
            <w:vAlign w:val="bottom"/>
            <w:hideMark/>
          </w:tcPr>
          <w:p w14:paraId="59305D9D"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153</w:t>
            </w:r>
          </w:p>
        </w:tc>
        <w:tc>
          <w:tcPr>
            <w:tcW w:w="2993" w:type="dxa"/>
            <w:shd w:val="clear" w:color="auto" w:fill="auto"/>
            <w:noWrap/>
            <w:vAlign w:val="bottom"/>
            <w:hideMark/>
          </w:tcPr>
          <w:p w14:paraId="2F842BAC"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15 - DN 67 – str. Stadionului</w:t>
            </w:r>
          </w:p>
        </w:tc>
        <w:tc>
          <w:tcPr>
            <w:tcW w:w="1671" w:type="dxa"/>
            <w:shd w:val="clear" w:color="000000" w:fill="DCE6F1"/>
            <w:noWrap/>
            <w:vAlign w:val="bottom"/>
            <w:hideMark/>
          </w:tcPr>
          <w:p w14:paraId="7C8C44F1"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796" w:type="dxa"/>
            <w:shd w:val="clear" w:color="000000" w:fill="F2DCDB"/>
            <w:noWrap/>
            <w:vAlign w:val="bottom"/>
            <w:hideMark/>
          </w:tcPr>
          <w:p w14:paraId="2C3DBB2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096" w:type="dxa"/>
            <w:shd w:val="clear" w:color="auto" w:fill="auto"/>
            <w:noWrap/>
            <w:vAlign w:val="bottom"/>
            <w:hideMark/>
          </w:tcPr>
          <w:p w14:paraId="574091EA"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27%</w:t>
            </w:r>
          </w:p>
        </w:tc>
        <w:tc>
          <w:tcPr>
            <w:tcW w:w="722" w:type="dxa"/>
            <w:shd w:val="clear" w:color="auto" w:fill="auto"/>
            <w:noWrap/>
            <w:vAlign w:val="bottom"/>
            <w:hideMark/>
          </w:tcPr>
          <w:p w14:paraId="632AAF4C"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64AE5997" w14:textId="77777777" w:rsidTr="00501A22">
        <w:trPr>
          <w:trHeight w:val="290"/>
        </w:trPr>
        <w:tc>
          <w:tcPr>
            <w:tcW w:w="897" w:type="dxa"/>
            <w:shd w:val="clear" w:color="auto" w:fill="auto"/>
            <w:noWrap/>
            <w:vAlign w:val="bottom"/>
            <w:hideMark/>
          </w:tcPr>
          <w:p w14:paraId="005F730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3525</w:t>
            </w:r>
          </w:p>
        </w:tc>
        <w:tc>
          <w:tcPr>
            <w:tcW w:w="1223" w:type="dxa"/>
            <w:shd w:val="clear" w:color="auto" w:fill="auto"/>
            <w:noWrap/>
            <w:vAlign w:val="bottom"/>
            <w:hideMark/>
          </w:tcPr>
          <w:p w14:paraId="68CCCA7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3941</w:t>
            </w:r>
          </w:p>
        </w:tc>
        <w:tc>
          <w:tcPr>
            <w:tcW w:w="2993" w:type="dxa"/>
            <w:shd w:val="clear" w:color="auto" w:fill="auto"/>
            <w:noWrap/>
            <w:vAlign w:val="bottom"/>
            <w:hideMark/>
          </w:tcPr>
          <w:p w14:paraId="137FA819"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13 - DC 139 – DN 67 (A)</w:t>
            </w:r>
          </w:p>
        </w:tc>
        <w:tc>
          <w:tcPr>
            <w:tcW w:w="1671" w:type="dxa"/>
            <w:shd w:val="clear" w:color="000000" w:fill="DCE6F1"/>
            <w:noWrap/>
            <w:vAlign w:val="bottom"/>
            <w:hideMark/>
          </w:tcPr>
          <w:p w14:paraId="236094C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796" w:type="dxa"/>
            <w:shd w:val="clear" w:color="000000" w:fill="F2DCDB"/>
            <w:noWrap/>
            <w:vAlign w:val="bottom"/>
            <w:hideMark/>
          </w:tcPr>
          <w:p w14:paraId="4B38A45B"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096" w:type="dxa"/>
            <w:shd w:val="clear" w:color="auto" w:fill="auto"/>
            <w:noWrap/>
            <w:vAlign w:val="bottom"/>
            <w:hideMark/>
          </w:tcPr>
          <w:p w14:paraId="57061FE2"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-22%</w:t>
            </w:r>
          </w:p>
        </w:tc>
        <w:tc>
          <w:tcPr>
            <w:tcW w:w="722" w:type="dxa"/>
            <w:shd w:val="clear" w:color="auto" w:fill="auto"/>
            <w:noWrap/>
            <w:vAlign w:val="bottom"/>
            <w:hideMark/>
          </w:tcPr>
          <w:p w14:paraId="2101FF5D"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0,2</w:t>
            </w:r>
          </w:p>
        </w:tc>
      </w:tr>
      <w:tr w:rsidR="00501A22" w:rsidRPr="00185CA7" w14:paraId="62D81466" w14:textId="77777777" w:rsidTr="00501A22">
        <w:trPr>
          <w:trHeight w:val="290"/>
        </w:trPr>
        <w:tc>
          <w:tcPr>
            <w:tcW w:w="897" w:type="dxa"/>
            <w:shd w:val="clear" w:color="auto" w:fill="auto"/>
            <w:noWrap/>
            <w:vAlign w:val="bottom"/>
            <w:hideMark/>
          </w:tcPr>
          <w:p w14:paraId="0FAFE8A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3529</w:t>
            </w:r>
          </w:p>
        </w:tc>
        <w:tc>
          <w:tcPr>
            <w:tcW w:w="1223" w:type="dxa"/>
            <w:shd w:val="clear" w:color="auto" w:fill="auto"/>
            <w:noWrap/>
            <w:vAlign w:val="bottom"/>
            <w:hideMark/>
          </w:tcPr>
          <w:p w14:paraId="6A7CE64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687</w:t>
            </w:r>
          </w:p>
        </w:tc>
        <w:tc>
          <w:tcPr>
            <w:tcW w:w="2993" w:type="dxa"/>
            <w:shd w:val="clear" w:color="auto" w:fill="auto"/>
            <w:noWrap/>
            <w:vAlign w:val="bottom"/>
            <w:hideMark/>
          </w:tcPr>
          <w:p w14:paraId="549AC739"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11 - DN 67 – DN 65C</w:t>
            </w:r>
          </w:p>
        </w:tc>
        <w:tc>
          <w:tcPr>
            <w:tcW w:w="1671" w:type="dxa"/>
            <w:shd w:val="clear" w:color="000000" w:fill="DCE6F1"/>
            <w:noWrap/>
            <w:vAlign w:val="bottom"/>
            <w:hideMark/>
          </w:tcPr>
          <w:p w14:paraId="50D9AD9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26</w:t>
            </w:r>
          </w:p>
        </w:tc>
        <w:tc>
          <w:tcPr>
            <w:tcW w:w="1796" w:type="dxa"/>
            <w:shd w:val="clear" w:color="000000" w:fill="F2DCDB"/>
            <w:noWrap/>
            <w:vAlign w:val="bottom"/>
            <w:hideMark/>
          </w:tcPr>
          <w:p w14:paraId="49E5A2E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28</w:t>
            </w:r>
          </w:p>
        </w:tc>
        <w:tc>
          <w:tcPr>
            <w:tcW w:w="1096" w:type="dxa"/>
            <w:shd w:val="clear" w:color="auto" w:fill="auto"/>
            <w:noWrap/>
            <w:vAlign w:val="bottom"/>
            <w:hideMark/>
          </w:tcPr>
          <w:p w14:paraId="09A6FCA4"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6%</w:t>
            </w:r>
          </w:p>
        </w:tc>
        <w:tc>
          <w:tcPr>
            <w:tcW w:w="722" w:type="dxa"/>
            <w:shd w:val="clear" w:color="auto" w:fill="auto"/>
            <w:noWrap/>
            <w:vAlign w:val="bottom"/>
            <w:hideMark/>
          </w:tcPr>
          <w:p w14:paraId="6636E410"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6A340294" w14:textId="77777777" w:rsidTr="00501A22">
        <w:trPr>
          <w:trHeight w:val="290"/>
        </w:trPr>
        <w:tc>
          <w:tcPr>
            <w:tcW w:w="897" w:type="dxa"/>
            <w:shd w:val="clear" w:color="auto" w:fill="auto"/>
            <w:noWrap/>
            <w:vAlign w:val="bottom"/>
            <w:hideMark/>
          </w:tcPr>
          <w:p w14:paraId="16937E0D"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3529</w:t>
            </w:r>
          </w:p>
        </w:tc>
        <w:tc>
          <w:tcPr>
            <w:tcW w:w="1223" w:type="dxa"/>
            <w:shd w:val="clear" w:color="auto" w:fill="auto"/>
            <w:noWrap/>
            <w:vAlign w:val="bottom"/>
            <w:hideMark/>
          </w:tcPr>
          <w:p w14:paraId="335768E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932</w:t>
            </w:r>
          </w:p>
        </w:tc>
        <w:tc>
          <w:tcPr>
            <w:tcW w:w="2993" w:type="dxa"/>
            <w:shd w:val="clear" w:color="auto" w:fill="auto"/>
            <w:noWrap/>
            <w:vAlign w:val="bottom"/>
            <w:hideMark/>
          </w:tcPr>
          <w:p w14:paraId="3B6037E4"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11 - DN 67 – DN 65C</w:t>
            </w:r>
          </w:p>
        </w:tc>
        <w:tc>
          <w:tcPr>
            <w:tcW w:w="1671" w:type="dxa"/>
            <w:shd w:val="clear" w:color="000000" w:fill="DCE6F1"/>
            <w:noWrap/>
            <w:vAlign w:val="bottom"/>
            <w:hideMark/>
          </w:tcPr>
          <w:p w14:paraId="754CF4B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19</w:t>
            </w:r>
          </w:p>
        </w:tc>
        <w:tc>
          <w:tcPr>
            <w:tcW w:w="1796" w:type="dxa"/>
            <w:shd w:val="clear" w:color="000000" w:fill="F2DCDB"/>
            <w:noWrap/>
            <w:vAlign w:val="bottom"/>
            <w:hideMark/>
          </w:tcPr>
          <w:p w14:paraId="245567AD"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18</w:t>
            </w:r>
          </w:p>
        </w:tc>
        <w:tc>
          <w:tcPr>
            <w:tcW w:w="1096" w:type="dxa"/>
            <w:shd w:val="clear" w:color="auto" w:fill="auto"/>
            <w:noWrap/>
            <w:vAlign w:val="bottom"/>
            <w:hideMark/>
          </w:tcPr>
          <w:p w14:paraId="7B772518"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-8%</w:t>
            </w:r>
          </w:p>
        </w:tc>
        <w:tc>
          <w:tcPr>
            <w:tcW w:w="722" w:type="dxa"/>
            <w:shd w:val="clear" w:color="auto" w:fill="auto"/>
            <w:noWrap/>
            <w:vAlign w:val="bottom"/>
            <w:hideMark/>
          </w:tcPr>
          <w:p w14:paraId="24D71457"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48C4F25E" w14:textId="77777777" w:rsidTr="00501A22">
        <w:trPr>
          <w:trHeight w:val="290"/>
        </w:trPr>
        <w:tc>
          <w:tcPr>
            <w:tcW w:w="897" w:type="dxa"/>
            <w:shd w:val="clear" w:color="auto" w:fill="auto"/>
            <w:noWrap/>
            <w:vAlign w:val="bottom"/>
            <w:hideMark/>
          </w:tcPr>
          <w:p w14:paraId="6853D1B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3983</w:t>
            </w:r>
          </w:p>
        </w:tc>
        <w:tc>
          <w:tcPr>
            <w:tcW w:w="1223" w:type="dxa"/>
            <w:shd w:val="clear" w:color="auto" w:fill="auto"/>
            <w:noWrap/>
            <w:vAlign w:val="bottom"/>
            <w:hideMark/>
          </w:tcPr>
          <w:p w14:paraId="72A12D2C"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91</w:t>
            </w:r>
          </w:p>
        </w:tc>
        <w:tc>
          <w:tcPr>
            <w:tcW w:w="2993" w:type="dxa"/>
            <w:shd w:val="clear" w:color="auto" w:fill="auto"/>
            <w:noWrap/>
            <w:vAlign w:val="bottom"/>
            <w:hideMark/>
          </w:tcPr>
          <w:p w14:paraId="2C4EED11"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8 - DC 142 – str. Matei Basarab</w:t>
            </w:r>
          </w:p>
        </w:tc>
        <w:tc>
          <w:tcPr>
            <w:tcW w:w="1671" w:type="dxa"/>
            <w:shd w:val="clear" w:color="000000" w:fill="DCE6F1"/>
            <w:noWrap/>
            <w:vAlign w:val="bottom"/>
            <w:hideMark/>
          </w:tcPr>
          <w:p w14:paraId="6AE9773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796" w:type="dxa"/>
            <w:shd w:val="clear" w:color="000000" w:fill="F2DCDB"/>
            <w:noWrap/>
            <w:vAlign w:val="bottom"/>
            <w:hideMark/>
          </w:tcPr>
          <w:p w14:paraId="198F9B9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096" w:type="dxa"/>
            <w:shd w:val="clear" w:color="auto" w:fill="auto"/>
            <w:noWrap/>
            <w:vAlign w:val="bottom"/>
            <w:hideMark/>
          </w:tcPr>
          <w:p w14:paraId="35503689"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25%</w:t>
            </w:r>
          </w:p>
        </w:tc>
        <w:tc>
          <w:tcPr>
            <w:tcW w:w="722" w:type="dxa"/>
            <w:shd w:val="clear" w:color="auto" w:fill="auto"/>
            <w:noWrap/>
            <w:vAlign w:val="bottom"/>
            <w:hideMark/>
          </w:tcPr>
          <w:p w14:paraId="61490155"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2BFB22C9" w14:textId="77777777" w:rsidTr="00501A22">
        <w:trPr>
          <w:trHeight w:val="290"/>
        </w:trPr>
        <w:tc>
          <w:tcPr>
            <w:tcW w:w="897" w:type="dxa"/>
            <w:shd w:val="clear" w:color="auto" w:fill="auto"/>
            <w:noWrap/>
            <w:vAlign w:val="bottom"/>
            <w:hideMark/>
          </w:tcPr>
          <w:p w14:paraId="4692EDD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3983</w:t>
            </w:r>
          </w:p>
        </w:tc>
        <w:tc>
          <w:tcPr>
            <w:tcW w:w="1223" w:type="dxa"/>
            <w:shd w:val="clear" w:color="auto" w:fill="auto"/>
            <w:noWrap/>
            <w:vAlign w:val="bottom"/>
            <w:hideMark/>
          </w:tcPr>
          <w:p w14:paraId="0DBB4E5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975</w:t>
            </w:r>
          </w:p>
        </w:tc>
        <w:tc>
          <w:tcPr>
            <w:tcW w:w="2993" w:type="dxa"/>
            <w:shd w:val="clear" w:color="auto" w:fill="auto"/>
            <w:noWrap/>
            <w:vAlign w:val="bottom"/>
            <w:hideMark/>
          </w:tcPr>
          <w:p w14:paraId="65B81A8B"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8 - DC 142 – str. Matei Basarab</w:t>
            </w:r>
          </w:p>
        </w:tc>
        <w:tc>
          <w:tcPr>
            <w:tcW w:w="1671" w:type="dxa"/>
            <w:shd w:val="clear" w:color="000000" w:fill="DCE6F1"/>
            <w:noWrap/>
            <w:vAlign w:val="bottom"/>
            <w:hideMark/>
          </w:tcPr>
          <w:p w14:paraId="62DF2B4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796" w:type="dxa"/>
            <w:shd w:val="clear" w:color="000000" w:fill="F2DCDB"/>
            <w:noWrap/>
            <w:vAlign w:val="bottom"/>
            <w:hideMark/>
          </w:tcPr>
          <w:p w14:paraId="268C020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w:t>
            </w:r>
          </w:p>
        </w:tc>
        <w:tc>
          <w:tcPr>
            <w:tcW w:w="1096" w:type="dxa"/>
            <w:shd w:val="clear" w:color="auto" w:fill="auto"/>
            <w:noWrap/>
            <w:vAlign w:val="bottom"/>
            <w:hideMark/>
          </w:tcPr>
          <w:p w14:paraId="6436D26F"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70%</w:t>
            </w:r>
          </w:p>
        </w:tc>
        <w:tc>
          <w:tcPr>
            <w:tcW w:w="722" w:type="dxa"/>
            <w:shd w:val="clear" w:color="auto" w:fill="auto"/>
            <w:noWrap/>
            <w:vAlign w:val="bottom"/>
            <w:hideMark/>
          </w:tcPr>
          <w:p w14:paraId="2633CAE3"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1,6</w:t>
            </w:r>
          </w:p>
        </w:tc>
      </w:tr>
      <w:tr w:rsidR="00501A22" w:rsidRPr="00185CA7" w14:paraId="63745922" w14:textId="77777777" w:rsidTr="00501A22">
        <w:trPr>
          <w:trHeight w:val="290"/>
        </w:trPr>
        <w:tc>
          <w:tcPr>
            <w:tcW w:w="897" w:type="dxa"/>
            <w:shd w:val="clear" w:color="auto" w:fill="auto"/>
            <w:noWrap/>
            <w:vAlign w:val="bottom"/>
            <w:hideMark/>
          </w:tcPr>
          <w:p w14:paraId="5C7234F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4614</w:t>
            </w:r>
          </w:p>
        </w:tc>
        <w:tc>
          <w:tcPr>
            <w:tcW w:w="1223" w:type="dxa"/>
            <w:shd w:val="clear" w:color="auto" w:fill="auto"/>
            <w:noWrap/>
            <w:vAlign w:val="bottom"/>
            <w:hideMark/>
          </w:tcPr>
          <w:p w14:paraId="2466A732"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95</w:t>
            </w:r>
          </w:p>
        </w:tc>
        <w:tc>
          <w:tcPr>
            <w:tcW w:w="2993" w:type="dxa"/>
            <w:shd w:val="clear" w:color="auto" w:fill="auto"/>
            <w:noWrap/>
            <w:vAlign w:val="bottom"/>
            <w:hideMark/>
          </w:tcPr>
          <w:p w14:paraId="1128FD3D"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14 - DC 146 – str. Mircea cel Batran</w:t>
            </w:r>
          </w:p>
        </w:tc>
        <w:tc>
          <w:tcPr>
            <w:tcW w:w="1671" w:type="dxa"/>
            <w:shd w:val="clear" w:color="000000" w:fill="DCE6F1"/>
            <w:noWrap/>
            <w:vAlign w:val="bottom"/>
            <w:hideMark/>
          </w:tcPr>
          <w:p w14:paraId="6C87B8FE"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796" w:type="dxa"/>
            <w:shd w:val="clear" w:color="000000" w:fill="F2DCDB"/>
            <w:noWrap/>
            <w:vAlign w:val="bottom"/>
            <w:hideMark/>
          </w:tcPr>
          <w:p w14:paraId="2DD0CC1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w:t>
            </w:r>
          </w:p>
        </w:tc>
        <w:tc>
          <w:tcPr>
            <w:tcW w:w="1096" w:type="dxa"/>
            <w:shd w:val="clear" w:color="auto" w:fill="auto"/>
            <w:noWrap/>
            <w:vAlign w:val="bottom"/>
            <w:hideMark/>
          </w:tcPr>
          <w:p w14:paraId="3E31F302"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12%</w:t>
            </w:r>
          </w:p>
        </w:tc>
        <w:tc>
          <w:tcPr>
            <w:tcW w:w="722" w:type="dxa"/>
            <w:shd w:val="clear" w:color="auto" w:fill="auto"/>
            <w:noWrap/>
            <w:vAlign w:val="bottom"/>
            <w:hideMark/>
          </w:tcPr>
          <w:p w14:paraId="1D44621B"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0,1</w:t>
            </w:r>
          </w:p>
        </w:tc>
      </w:tr>
      <w:tr w:rsidR="00501A22" w:rsidRPr="00185CA7" w14:paraId="03048B06" w14:textId="77777777" w:rsidTr="00501A22">
        <w:trPr>
          <w:trHeight w:val="290"/>
        </w:trPr>
        <w:tc>
          <w:tcPr>
            <w:tcW w:w="897" w:type="dxa"/>
            <w:shd w:val="clear" w:color="auto" w:fill="auto"/>
            <w:noWrap/>
            <w:vAlign w:val="bottom"/>
            <w:hideMark/>
          </w:tcPr>
          <w:p w14:paraId="018C577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4636</w:t>
            </w:r>
          </w:p>
        </w:tc>
        <w:tc>
          <w:tcPr>
            <w:tcW w:w="1223" w:type="dxa"/>
            <w:shd w:val="clear" w:color="auto" w:fill="auto"/>
            <w:noWrap/>
            <w:vAlign w:val="bottom"/>
            <w:hideMark/>
          </w:tcPr>
          <w:p w14:paraId="0003B86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12</w:t>
            </w:r>
          </w:p>
        </w:tc>
        <w:tc>
          <w:tcPr>
            <w:tcW w:w="2993" w:type="dxa"/>
            <w:shd w:val="clear" w:color="auto" w:fill="auto"/>
            <w:noWrap/>
            <w:vAlign w:val="bottom"/>
            <w:hideMark/>
          </w:tcPr>
          <w:p w14:paraId="29C661A0"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1 - DN 67 dinspre Rm. Valcea</w:t>
            </w:r>
          </w:p>
        </w:tc>
        <w:tc>
          <w:tcPr>
            <w:tcW w:w="1671" w:type="dxa"/>
            <w:shd w:val="clear" w:color="000000" w:fill="DCE6F1"/>
            <w:noWrap/>
            <w:vAlign w:val="bottom"/>
            <w:hideMark/>
          </w:tcPr>
          <w:p w14:paraId="3A9BEF0F"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26</w:t>
            </w:r>
          </w:p>
        </w:tc>
        <w:tc>
          <w:tcPr>
            <w:tcW w:w="1796" w:type="dxa"/>
            <w:shd w:val="clear" w:color="000000" w:fill="F2DCDB"/>
            <w:noWrap/>
            <w:vAlign w:val="bottom"/>
            <w:hideMark/>
          </w:tcPr>
          <w:p w14:paraId="0B2EDB4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27</w:t>
            </w:r>
          </w:p>
        </w:tc>
        <w:tc>
          <w:tcPr>
            <w:tcW w:w="1096" w:type="dxa"/>
            <w:shd w:val="clear" w:color="auto" w:fill="auto"/>
            <w:noWrap/>
            <w:vAlign w:val="bottom"/>
            <w:hideMark/>
          </w:tcPr>
          <w:p w14:paraId="1F9F21EA"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3%</w:t>
            </w:r>
          </w:p>
        </w:tc>
        <w:tc>
          <w:tcPr>
            <w:tcW w:w="722" w:type="dxa"/>
            <w:shd w:val="clear" w:color="auto" w:fill="auto"/>
            <w:noWrap/>
            <w:vAlign w:val="bottom"/>
            <w:hideMark/>
          </w:tcPr>
          <w:p w14:paraId="36E4CFCC"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0,2</w:t>
            </w:r>
          </w:p>
        </w:tc>
      </w:tr>
      <w:tr w:rsidR="00501A22" w:rsidRPr="00185CA7" w14:paraId="6BA6394D" w14:textId="77777777" w:rsidTr="00501A22">
        <w:trPr>
          <w:trHeight w:val="290"/>
        </w:trPr>
        <w:tc>
          <w:tcPr>
            <w:tcW w:w="897" w:type="dxa"/>
            <w:shd w:val="clear" w:color="auto" w:fill="auto"/>
            <w:noWrap/>
            <w:vAlign w:val="bottom"/>
            <w:hideMark/>
          </w:tcPr>
          <w:p w14:paraId="6056045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4636</w:t>
            </w:r>
          </w:p>
        </w:tc>
        <w:tc>
          <w:tcPr>
            <w:tcW w:w="1223" w:type="dxa"/>
            <w:shd w:val="clear" w:color="auto" w:fill="auto"/>
            <w:noWrap/>
            <w:vAlign w:val="bottom"/>
            <w:hideMark/>
          </w:tcPr>
          <w:p w14:paraId="5EF1B9C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687</w:t>
            </w:r>
          </w:p>
        </w:tc>
        <w:tc>
          <w:tcPr>
            <w:tcW w:w="2993" w:type="dxa"/>
            <w:shd w:val="clear" w:color="auto" w:fill="auto"/>
            <w:noWrap/>
            <w:vAlign w:val="bottom"/>
            <w:hideMark/>
          </w:tcPr>
          <w:p w14:paraId="7A6FEF69"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1 - DN 67 dinspre Rm. Valcea</w:t>
            </w:r>
          </w:p>
        </w:tc>
        <w:tc>
          <w:tcPr>
            <w:tcW w:w="1671" w:type="dxa"/>
            <w:shd w:val="clear" w:color="000000" w:fill="DCE6F1"/>
            <w:noWrap/>
            <w:vAlign w:val="bottom"/>
            <w:hideMark/>
          </w:tcPr>
          <w:p w14:paraId="3340883B"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w:t>
            </w:r>
          </w:p>
        </w:tc>
        <w:tc>
          <w:tcPr>
            <w:tcW w:w="1796" w:type="dxa"/>
            <w:shd w:val="clear" w:color="000000" w:fill="F2DCDB"/>
            <w:noWrap/>
            <w:vAlign w:val="bottom"/>
            <w:hideMark/>
          </w:tcPr>
          <w:p w14:paraId="4DB7074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18</w:t>
            </w:r>
          </w:p>
        </w:tc>
        <w:tc>
          <w:tcPr>
            <w:tcW w:w="1096" w:type="dxa"/>
            <w:shd w:val="clear" w:color="auto" w:fill="auto"/>
            <w:noWrap/>
            <w:vAlign w:val="bottom"/>
            <w:hideMark/>
          </w:tcPr>
          <w:p w14:paraId="019F8325"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6%</w:t>
            </w:r>
          </w:p>
        </w:tc>
        <w:tc>
          <w:tcPr>
            <w:tcW w:w="722" w:type="dxa"/>
            <w:shd w:val="clear" w:color="auto" w:fill="auto"/>
            <w:noWrap/>
            <w:vAlign w:val="bottom"/>
            <w:hideMark/>
          </w:tcPr>
          <w:p w14:paraId="5F76CD13"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26DBB9C3" w14:textId="77777777" w:rsidTr="00501A22">
        <w:trPr>
          <w:trHeight w:val="290"/>
        </w:trPr>
        <w:tc>
          <w:tcPr>
            <w:tcW w:w="897" w:type="dxa"/>
            <w:shd w:val="clear" w:color="auto" w:fill="auto"/>
            <w:noWrap/>
            <w:vAlign w:val="bottom"/>
            <w:hideMark/>
          </w:tcPr>
          <w:p w14:paraId="62F13DC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4709</w:t>
            </w:r>
          </w:p>
        </w:tc>
        <w:tc>
          <w:tcPr>
            <w:tcW w:w="1223" w:type="dxa"/>
            <w:shd w:val="clear" w:color="auto" w:fill="auto"/>
            <w:noWrap/>
            <w:vAlign w:val="bottom"/>
            <w:hideMark/>
          </w:tcPr>
          <w:p w14:paraId="5BDAD57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3933</w:t>
            </w:r>
          </w:p>
        </w:tc>
        <w:tc>
          <w:tcPr>
            <w:tcW w:w="2993" w:type="dxa"/>
            <w:shd w:val="clear" w:color="auto" w:fill="auto"/>
            <w:noWrap/>
            <w:vAlign w:val="bottom"/>
            <w:hideMark/>
          </w:tcPr>
          <w:p w14:paraId="753C8448"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11 - DN 67 – DN 65C</w:t>
            </w:r>
          </w:p>
        </w:tc>
        <w:tc>
          <w:tcPr>
            <w:tcW w:w="1671" w:type="dxa"/>
            <w:shd w:val="clear" w:color="000000" w:fill="DCE6F1"/>
            <w:noWrap/>
            <w:vAlign w:val="bottom"/>
            <w:hideMark/>
          </w:tcPr>
          <w:p w14:paraId="2DABABA1"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796" w:type="dxa"/>
            <w:shd w:val="clear" w:color="000000" w:fill="F2DCDB"/>
            <w:noWrap/>
            <w:vAlign w:val="bottom"/>
            <w:hideMark/>
          </w:tcPr>
          <w:p w14:paraId="2DE4018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w:t>
            </w:r>
          </w:p>
        </w:tc>
        <w:tc>
          <w:tcPr>
            <w:tcW w:w="1096" w:type="dxa"/>
            <w:shd w:val="clear" w:color="auto" w:fill="auto"/>
            <w:noWrap/>
            <w:vAlign w:val="bottom"/>
            <w:hideMark/>
          </w:tcPr>
          <w:p w14:paraId="1F1A6651"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40%</w:t>
            </w:r>
          </w:p>
        </w:tc>
        <w:tc>
          <w:tcPr>
            <w:tcW w:w="722" w:type="dxa"/>
            <w:shd w:val="clear" w:color="auto" w:fill="auto"/>
            <w:noWrap/>
            <w:vAlign w:val="bottom"/>
            <w:hideMark/>
          </w:tcPr>
          <w:p w14:paraId="52D3EA98"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0,8</w:t>
            </w:r>
          </w:p>
        </w:tc>
      </w:tr>
      <w:tr w:rsidR="00501A22" w:rsidRPr="00185CA7" w14:paraId="0D8FACD8" w14:textId="77777777" w:rsidTr="00501A22">
        <w:trPr>
          <w:trHeight w:val="290"/>
        </w:trPr>
        <w:tc>
          <w:tcPr>
            <w:tcW w:w="897" w:type="dxa"/>
            <w:shd w:val="clear" w:color="auto" w:fill="auto"/>
            <w:noWrap/>
            <w:vAlign w:val="bottom"/>
            <w:hideMark/>
          </w:tcPr>
          <w:p w14:paraId="567240EF"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4772</w:t>
            </w:r>
          </w:p>
        </w:tc>
        <w:tc>
          <w:tcPr>
            <w:tcW w:w="1223" w:type="dxa"/>
            <w:shd w:val="clear" w:color="auto" w:fill="auto"/>
            <w:noWrap/>
            <w:vAlign w:val="bottom"/>
            <w:hideMark/>
          </w:tcPr>
          <w:p w14:paraId="7831FB8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3862</w:t>
            </w:r>
          </w:p>
        </w:tc>
        <w:tc>
          <w:tcPr>
            <w:tcW w:w="2993" w:type="dxa"/>
            <w:shd w:val="clear" w:color="auto" w:fill="auto"/>
            <w:noWrap/>
            <w:vAlign w:val="bottom"/>
            <w:hideMark/>
          </w:tcPr>
          <w:p w14:paraId="308B1055"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16 - DJ 669 – DC 146</w:t>
            </w:r>
          </w:p>
        </w:tc>
        <w:tc>
          <w:tcPr>
            <w:tcW w:w="1671" w:type="dxa"/>
            <w:shd w:val="clear" w:color="000000" w:fill="DCE6F1"/>
            <w:noWrap/>
            <w:vAlign w:val="bottom"/>
            <w:hideMark/>
          </w:tcPr>
          <w:p w14:paraId="61FE5FD3"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w:t>
            </w:r>
          </w:p>
        </w:tc>
        <w:tc>
          <w:tcPr>
            <w:tcW w:w="1796" w:type="dxa"/>
            <w:shd w:val="clear" w:color="000000" w:fill="F2DCDB"/>
            <w:noWrap/>
            <w:vAlign w:val="bottom"/>
            <w:hideMark/>
          </w:tcPr>
          <w:p w14:paraId="76AEFE6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w:t>
            </w:r>
          </w:p>
        </w:tc>
        <w:tc>
          <w:tcPr>
            <w:tcW w:w="1096" w:type="dxa"/>
            <w:shd w:val="clear" w:color="auto" w:fill="auto"/>
            <w:noWrap/>
            <w:vAlign w:val="bottom"/>
            <w:hideMark/>
          </w:tcPr>
          <w:p w14:paraId="3262FD67"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6%</w:t>
            </w:r>
          </w:p>
        </w:tc>
        <w:tc>
          <w:tcPr>
            <w:tcW w:w="722" w:type="dxa"/>
            <w:shd w:val="clear" w:color="auto" w:fill="auto"/>
            <w:noWrap/>
            <w:vAlign w:val="bottom"/>
            <w:hideMark/>
          </w:tcPr>
          <w:p w14:paraId="1AA02A9E"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0,1</w:t>
            </w:r>
          </w:p>
        </w:tc>
      </w:tr>
      <w:tr w:rsidR="00501A22" w:rsidRPr="00185CA7" w14:paraId="0EF0966A" w14:textId="77777777" w:rsidTr="00501A22">
        <w:trPr>
          <w:trHeight w:val="290"/>
        </w:trPr>
        <w:tc>
          <w:tcPr>
            <w:tcW w:w="897" w:type="dxa"/>
            <w:shd w:val="clear" w:color="auto" w:fill="auto"/>
            <w:noWrap/>
            <w:vAlign w:val="bottom"/>
            <w:hideMark/>
          </w:tcPr>
          <w:p w14:paraId="5BE68BD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4778</w:t>
            </w:r>
          </w:p>
        </w:tc>
        <w:tc>
          <w:tcPr>
            <w:tcW w:w="1223" w:type="dxa"/>
            <w:shd w:val="clear" w:color="auto" w:fill="auto"/>
            <w:noWrap/>
            <w:vAlign w:val="bottom"/>
            <w:hideMark/>
          </w:tcPr>
          <w:p w14:paraId="368FD23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3967</w:t>
            </w:r>
          </w:p>
        </w:tc>
        <w:tc>
          <w:tcPr>
            <w:tcW w:w="2993" w:type="dxa"/>
            <w:shd w:val="clear" w:color="auto" w:fill="auto"/>
            <w:noWrap/>
            <w:vAlign w:val="bottom"/>
            <w:hideMark/>
          </w:tcPr>
          <w:p w14:paraId="468014F1"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17 - DJ 669 – str. Manastirii</w:t>
            </w:r>
          </w:p>
        </w:tc>
        <w:tc>
          <w:tcPr>
            <w:tcW w:w="1671" w:type="dxa"/>
            <w:shd w:val="clear" w:color="000000" w:fill="DCE6F1"/>
            <w:noWrap/>
            <w:vAlign w:val="bottom"/>
            <w:hideMark/>
          </w:tcPr>
          <w:p w14:paraId="3AB04BA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w:t>
            </w:r>
          </w:p>
        </w:tc>
        <w:tc>
          <w:tcPr>
            <w:tcW w:w="1796" w:type="dxa"/>
            <w:shd w:val="clear" w:color="000000" w:fill="F2DCDB"/>
            <w:noWrap/>
            <w:vAlign w:val="bottom"/>
            <w:hideMark/>
          </w:tcPr>
          <w:p w14:paraId="185300F0"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w:t>
            </w:r>
          </w:p>
        </w:tc>
        <w:tc>
          <w:tcPr>
            <w:tcW w:w="1096" w:type="dxa"/>
            <w:shd w:val="clear" w:color="auto" w:fill="auto"/>
            <w:noWrap/>
            <w:vAlign w:val="bottom"/>
            <w:hideMark/>
          </w:tcPr>
          <w:p w14:paraId="4357C4AA"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-2%</w:t>
            </w:r>
          </w:p>
        </w:tc>
        <w:tc>
          <w:tcPr>
            <w:tcW w:w="722" w:type="dxa"/>
            <w:shd w:val="clear" w:color="auto" w:fill="auto"/>
            <w:noWrap/>
            <w:vAlign w:val="bottom"/>
            <w:hideMark/>
          </w:tcPr>
          <w:p w14:paraId="1920808E"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w:t>
            </w:r>
          </w:p>
        </w:tc>
      </w:tr>
      <w:tr w:rsidR="00501A22" w:rsidRPr="00185CA7" w14:paraId="36C22510" w14:textId="77777777" w:rsidTr="00501A22">
        <w:trPr>
          <w:trHeight w:val="290"/>
        </w:trPr>
        <w:tc>
          <w:tcPr>
            <w:tcW w:w="897" w:type="dxa"/>
            <w:shd w:val="clear" w:color="auto" w:fill="auto"/>
            <w:noWrap/>
            <w:vAlign w:val="bottom"/>
            <w:hideMark/>
          </w:tcPr>
          <w:p w14:paraId="3EC7174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4797</w:t>
            </w:r>
          </w:p>
        </w:tc>
        <w:tc>
          <w:tcPr>
            <w:tcW w:w="1223" w:type="dxa"/>
            <w:shd w:val="clear" w:color="auto" w:fill="auto"/>
            <w:noWrap/>
            <w:vAlign w:val="bottom"/>
            <w:hideMark/>
          </w:tcPr>
          <w:p w14:paraId="76D4F68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88</w:t>
            </w:r>
          </w:p>
        </w:tc>
        <w:tc>
          <w:tcPr>
            <w:tcW w:w="2993" w:type="dxa"/>
            <w:shd w:val="clear" w:color="auto" w:fill="auto"/>
            <w:noWrap/>
            <w:vAlign w:val="bottom"/>
            <w:hideMark/>
          </w:tcPr>
          <w:p w14:paraId="63027CEC"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13 - DC 139 – DN 67 (A)</w:t>
            </w:r>
          </w:p>
        </w:tc>
        <w:tc>
          <w:tcPr>
            <w:tcW w:w="1671" w:type="dxa"/>
            <w:shd w:val="clear" w:color="000000" w:fill="DCE6F1"/>
            <w:noWrap/>
            <w:vAlign w:val="bottom"/>
            <w:hideMark/>
          </w:tcPr>
          <w:p w14:paraId="717F488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18</w:t>
            </w:r>
          </w:p>
        </w:tc>
        <w:tc>
          <w:tcPr>
            <w:tcW w:w="1796" w:type="dxa"/>
            <w:shd w:val="clear" w:color="000000" w:fill="F2DCDB"/>
            <w:noWrap/>
            <w:vAlign w:val="bottom"/>
            <w:hideMark/>
          </w:tcPr>
          <w:p w14:paraId="3B0DE78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w:t>
            </w:r>
          </w:p>
        </w:tc>
        <w:tc>
          <w:tcPr>
            <w:tcW w:w="1096" w:type="dxa"/>
            <w:shd w:val="clear" w:color="auto" w:fill="auto"/>
            <w:noWrap/>
            <w:vAlign w:val="bottom"/>
            <w:hideMark/>
          </w:tcPr>
          <w:p w14:paraId="1F786F14"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-4%</w:t>
            </w:r>
          </w:p>
        </w:tc>
        <w:tc>
          <w:tcPr>
            <w:tcW w:w="722" w:type="dxa"/>
            <w:shd w:val="clear" w:color="auto" w:fill="auto"/>
            <w:noWrap/>
            <w:vAlign w:val="bottom"/>
            <w:hideMark/>
          </w:tcPr>
          <w:p w14:paraId="6A4A12DA"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0,2</w:t>
            </w:r>
          </w:p>
        </w:tc>
      </w:tr>
      <w:tr w:rsidR="00501A22" w:rsidRPr="00185CA7" w14:paraId="6696B9A5" w14:textId="77777777" w:rsidTr="00501A22">
        <w:trPr>
          <w:trHeight w:val="290"/>
        </w:trPr>
        <w:tc>
          <w:tcPr>
            <w:tcW w:w="897" w:type="dxa"/>
            <w:shd w:val="clear" w:color="auto" w:fill="auto"/>
            <w:noWrap/>
            <w:vAlign w:val="bottom"/>
            <w:hideMark/>
          </w:tcPr>
          <w:p w14:paraId="5114B7EB"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4797</w:t>
            </w:r>
          </w:p>
        </w:tc>
        <w:tc>
          <w:tcPr>
            <w:tcW w:w="1223" w:type="dxa"/>
            <w:shd w:val="clear" w:color="auto" w:fill="auto"/>
            <w:noWrap/>
            <w:vAlign w:val="bottom"/>
            <w:hideMark/>
          </w:tcPr>
          <w:p w14:paraId="22E09BCC"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3978</w:t>
            </w:r>
          </w:p>
        </w:tc>
        <w:tc>
          <w:tcPr>
            <w:tcW w:w="2993" w:type="dxa"/>
            <w:shd w:val="clear" w:color="auto" w:fill="auto"/>
            <w:noWrap/>
            <w:vAlign w:val="bottom"/>
            <w:hideMark/>
          </w:tcPr>
          <w:p w14:paraId="1DC5AA64"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13 - DC 139 – DN 67 (A)</w:t>
            </w:r>
          </w:p>
        </w:tc>
        <w:tc>
          <w:tcPr>
            <w:tcW w:w="1671" w:type="dxa"/>
            <w:shd w:val="clear" w:color="000000" w:fill="DCE6F1"/>
            <w:noWrap/>
            <w:vAlign w:val="bottom"/>
            <w:hideMark/>
          </w:tcPr>
          <w:p w14:paraId="43268A8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23</w:t>
            </w:r>
          </w:p>
        </w:tc>
        <w:tc>
          <w:tcPr>
            <w:tcW w:w="1796" w:type="dxa"/>
            <w:shd w:val="clear" w:color="000000" w:fill="F2DCDB"/>
            <w:noWrap/>
            <w:vAlign w:val="bottom"/>
            <w:hideMark/>
          </w:tcPr>
          <w:p w14:paraId="389D52D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22</w:t>
            </w:r>
          </w:p>
        </w:tc>
        <w:tc>
          <w:tcPr>
            <w:tcW w:w="1096" w:type="dxa"/>
            <w:shd w:val="clear" w:color="auto" w:fill="auto"/>
            <w:noWrap/>
            <w:vAlign w:val="bottom"/>
            <w:hideMark/>
          </w:tcPr>
          <w:p w14:paraId="067F7D8A"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-5%</w:t>
            </w:r>
          </w:p>
        </w:tc>
        <w:tc>
          <w:tcPr>
            <w:tcW w:w="722" w:type="dxa"/>
            <w:shd w:val="clear" w:color="auto" w:fill="auto"/>
            <w:noWrap/>
            <w:vAlign w:val="bottom"/>
            <w:hideMark/>
          </w:tcPr>
          <w:p w14:paraId="63FFC789"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09D1235C" w14:textId="77777777" w:rsidTr="00501A22">
        <w:trPr>
          <w:trHeight w:val="290"/>
        </w:trPr>
        <w:tc>
          <w:tcPr>
            <w:tcW w:w="897" w:type="dxa"/>
            <w:shd w:val="clear" w:color="auto" w:fill="auto"/>
            <w:noWrap/>
            <w:vAlign w:val="bottom"/>
            <w:hideMark/>
          </w:tcPr>
          <w:p w14:paraId="3F5CD7D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4798</w:t>
            </w:r>
          </w:p>
        </w:tc>
        <w:tc>
          <w:tcPr>
            <w:tcW w:w="1223" w:type="dxa"/>
            <w:shd w:val="clear" w:color="auto" w:fill="auto"/>
            <w:noWrap/>
            <w:vAlign w:val="bottom"/>
            <w:hideMark/>
          </w:tcPr>
          <w:p w14:paraId="67D13855"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89</w:t>
            </w:r>
          </w:p>
        </w:tc>
        <w:tc>
          <w:tcPr>
            <w:tcW w:w="2993" w:type="dxa"/>
            <w:shd w:val="clear" w:color="auto" w:fill="auto"/>
            <w:noWrap/>
            <w:vAlign w:val="bottom"/>
            <w:hideMark/>
          </w:tcPr>
          <w:p w14:paraId="606AFDED"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13 - DC 139 – DN 67 (B)</w:t>
            </w:r>
          </w:p>
        </w:tc>
        <w:tc>
          <w:tcPr>
            <w:tcW w:w="1671" w:type="dxa"/>
            <w:shd w:val="clear" w:color="000000" w:fill="DCE6F1"/>
            <w:noWrap/>
            <w:vAlign w:val="bottom"/>
            <w:hideMark/>
          </w:tcPr>
          <w:p w14:paraId="039C604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23</w:t>
            </w:r>
          </w:p>
        </w:tc>
        <w:tc>
          <w:tcPr>
            <w:tcW w:w="1796" w:type="dxa"/>
            <w:shd w:val="clear" w:color="000000" w:fill="F2DCDB"/>
            <w:noWrap/>
            <w:vAlign w:val="bottom"/>
            <w:hideMark/>
          </w:tcPr>
          <w:p w14:paraId="2125CB2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22</w:t>
            </w:r>
          </w:p>
        </w:tc>
        <w:tc>
          <w:tcPr>
            <w:tcW w:w="1096" w:type="dxa"/>
            <w:shd w:val="clear" w:color="auto" w:fill="auto"/>
            <w:noWrap/>
            <w:vAlign w:val="bottom"/>
            <w:hideMark/>
          </w:tcPr>
          <w:p w14:paraId="41EF3E5B"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-5%</w:t>
            </w:r>
          </w:p>
        </w:tc>
        <w:tc>
          <w:tcPr>
            <w:tcW w:w="722" w:type="dxa"/>
            <w:shd w:val="clear" w:color="auto" w:fill="auto"/>
            <w:noWrap/>
            <w:vAlign w:val="bottom"/>
            <w:hideMark/>
          </w:tcPr>
          <w:p w14:paraId="123802D3"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33B68282" w14:textId="77777777" w:rsidTr="00501A22">
        <w:trPr>
          <w:trHeight w:val="290"/>
        </w:trPr>
        <w:tc>
          <w:tcPr>
            <w:tcW w:w="897" w:type="dxa"/>
            <w:shd w:val="clear" w:color="auto" w:fill="auto"/>
            <w:noWrap/>
            <w:vAlign w:val="bottom"/>
            <w:hideMark/>
          </w:tcPr>
          <w:p w14:paraId="37463792"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4798</w:t>
            </w:r>
          </w:p>
        </w:tc>
        <w:tc>
          <w:tcPr>
            <w:tcW w:w="1223" w:type="dxa"/>
            <w:shd w:val="clear" w:color="auto" w:fill="auto"/>
            <w:noWrap/>
            <w:vAlign w:val="bottom"/>
            <w:hideMark/>
          </w:tcPr>
          <w:p w14:paraId="1BCEA9E4"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3978</w:t>
            </w:r>
          </w:p>
        </w:tc>
        <w:tc>
          <w:tcPr>
            <w:tcW w:w="2993" w:type="dxa"/>
            <w:shd w:val="clear" w:color="auto" w:fill="auto"/>
            <w:noWrap/>
            <w:vAlign w:val="bottom"/>
            <w:hideMark/>
          </w:tcPr>
          <w:p w14:paraId="62585F1A"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13 - DC 139 – DN 67 (B)</w:t>
            </w:r>
          </w:p>
        </w:tc>
        <w:tc>
          <w:tcPr>
            <w:tcW w:w="1671" w:type="dxa"/>
            <w:shd w:val="clear" w:color="000000" w:fill="DCE6F1"/>
            <w:noWrap/>
            <w:vAlign w:val="bottom"/>
            <w:hideMark/>
          </w:tcPr>
          <w:p w14:paraId="7345490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19</w:t>
            </w:r>
          </w:p>
        </w:tc>
        <w:tc>
          <w:tcPr>
            <w:tcW w:w="1796" w:type="dxa"/>
            <w:shd w:val="clear" w:color="000000" w:fill="F2DCDB"/>
            <w:noWrap/>
            <w:vAlign w:val="bottom"/>
            <w:hideMark/>
          </w:tcPr>
          <w:p w14:paraId="440F708D"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w:t>
            </w:r>
          </w:p>
        </w:tc>
        <w:tc>
          <w:tcPr>
            <w:tcW w:w="1096" w:type="dxa"/>
            <w:shd w:val="clear" w:color="auto" w:fill="auto"/>
            <w:noWrap/>
            <w:vAlign w:val="bottom"/>
            <w:hideMark/>
          </w:tcPr>
          <w:p w14:paraId="1F5DB75A"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-9%</w:t>
            </w:r>
          </w:p>
        </w:tc>
        <w:tc>
          <w:tcPr>
            <w:tcW w:w="722" w:type="dxa"/>
            <w:shd w:val="clear" w:color="auto" w:fill="auto"/>
            <w:noWrap/>
            <w:vAlign w:val="bottom"/>
            <w:hideMark/>
          </w:tcPr>
          <w:p w14:paraId="694FC146"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0,4</w:t>
            </w:r>
          </w:p>
        </w:tc>
      </w:tr>
      <w:tr w:rsidR="00501A22" w:rsidRPr="00185CA7" w14:paraId="0A39EC51" w14:textId="77777777" w:rsidTr="00501A22">
        <w:trPr>
          <w:trHeight w:val="290"/>
        </w:trPr>
        <w:tc>
          <w:tcPr>
            <w:tcW w:w="897" w:type="dxa"/>
            <w:shd w:val="clear" w:color="auto" w:fill="auto"/>
            <w:noWrap/>
            <w:vAlign w:val="bottom"/>
            <w:hideMark/>
          </w:tcPr>
          <w:p w14:paraId="7BB9742A"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4799</w:t>
            </w:r>
          </w:p>
        </w:tc>
        <w:tc>
          <w:tcPr>
            <w:tcW w:w="1223" w:type="dxa"/>
            <w:shd w:val="clear" w:color="auto" w:fill="auto"/>
            <w:noWrap/>
            <w:vAlign w:val="bottom"/>
            <w:hideMark/>
          </w:tcPr>
          <w:p w14:paraId="14AA5F4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932</w:t>
            </w:r>
          </w:p>
        </w:tc>
        <w:tc>
          <w:tcPr>
            <w:tcW w:w="2993" w:type="dxa"/>
            <w:shd w:val="clear" w:color="auto" w:fill="auto"/>
            <w:noWrap/>
            <w:vAlign w:val="bottom"/>
            <w:hideMark/>
          </w:tcPr>
          <w:p w14:paraId="6715EF8C"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11 - DN 67 – DN 65C</w:t>
            </w:r>
          </w:p>
        </w:tc>
        <w:tc>
          <w:tcPr>
            <w:tcW w:w="1671" w:type="dxa"/>
            <w:shd w:val="clear" w:color="000000" w:fill="DCE6F1"/>
            <w:noWrap/>
            <w:vAlign w:val="bottom"/>
            <w:hideMark/>
          </w:tcPr>
          <w:p w14:paraId="4F93B602"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26</w:t>
            </w:r>
          </w:p>
        </w:tc>
        <w:tc>
          <w:tcPr>
            <w:tcW w:w="1796" w:type="dxa"/>
            <w:shd w:val="clear" w:color="000000" w:fill="F2DCDB"/>
            <w:noWrap/>
            <w:vAlign w:val="bottom"/>
            <w:hideMark/>
          </w:tcPr>
          <w:p w14:paraId="70BA56FF"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27</w:t>
            </w:r>
          </w:p>
        </w:tc>
        <w:tc>
          <w:tcPr>
            <w:tcW w:w="1096" w:type="dxa"/>
            <w:shd w:val="clear" w:color="auto" w:fill="auto"/>
            <w:noWrap/>
            <w:vAlign w:val="bottom"/>
            <w:hideMark/>
          </w:tcPr>
          <w:p w14:paraId="37A86089"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5%</w:t>
            </w:r>
          </w:p>
        </w:tc>
        <w:tc>
          <w:tcPr>
            <w:tcW w:w="722" w:type="dxa"/>
            <w:shd w:val="clear" w:color="auto" w:fill="auto"/>
            <w:noWrap/>
            <w:vAlign w:val="bottom"/>
            <w:hideMark/>
          </w:tcPr>
          <w:p w14:paraId="518C30D3"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20C091E3" w14:textId="77777777" w:rsidTr="00501A22">
        <w:trPr>
          <w:trHeight w:val="290"/>
        </w:trPr>
        <w:tc>
          <w:tcPr>
            <w:tcW w:w="897" w:type="dxa"/>
            <w:shd w:val="clear" w:color="auto" w:fill="auto"/>
            <w:noWrap/>
            <w:vAlign w:val="bottom"/>
            <w:hideMark/>
          </w:tcPr>
          <w:p w14:paraId="6B2B94D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4799</w:t>
            </w:r>
          </w:p>
        </w:tc>
        <w:tc>
          <w:tcPr>
            <w:tcW w:w="1223" w:type="dxa"/>
            <w:shd w:val="clear" w:color="auto" w:fill="auto"/>
            <w:noWrap/>
            <w:vAlign w:val="bottom"/>
            <w:hideMark/>
          </w:tcPr>
          <w:p w14:paraId="01FA363B"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3979</w:t>
            </w:r>
          </w:p>
        </w:tc>
        <w:tc>
          <w:tcPr>
            <w:tcW w:w="2993" w:type="dxa"/>
            <w:shd w:val="clear" w:color="auto" w:fill="auto"/>
            <w:noWrap/>
            <w:vAlign w:val="bottom"/>
            <w:hideMark/>
          </w:tcPr>
          <w:p w14:paraId="76FF3066"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11 - DN 67 – DN 65C</w:t>
            </w:r>
          </w:p>
        </w:tc>
        <w:tc>
          <w:tcPr>
            <w:tcW w:w="1671" w:type="dxa"/>
            <w:shd w:val="clear" w:color="000000" w:fill="DCE6F1"/>
            <w:noWrap/>
            <w:vAlign w:val="bottom"/>
            <w:hideMark/>
          </w:tcPr>
          <w:p w14:paraId="36F0B763"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20</w:t>
            </w:r>
          </w:p>
        </w:tc>
        <w:tc>
          <w:tcPr>
            <w:tcW w:w="1796" w:type="dxa"/>
            <w:shd w:val="clear" w:color="000000" w:fill="F2DCDB"/>
            <w:noWrap/>
            <w:vAlign w:val="bottom"/>
            <w:hideMark/>
          </w:tcPr>
          <w:p w14:paraId="4BB824F6"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17</w:t>
            </w:r>
          </w:p>
        </w:tc>
        <w:tc>
          <w:tcPr>
            <w:tcW w:w="1096" w:type="dxa"/>
            <w:shd w:val="clear" w:color="auto" w:fill="auto"/>
            <w:noWrap/>
            <w:vAlign w:val="bottom"/>
            <w:hideMark/>
          </w:tcPr>
          <w:p w14:paraId="726EBC98"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-13%</w:t>
            </w:r>
          </w:p>
        </w:tc>
        <w:tc>
          <w:tcPr>
            <w:tcW w:w="722" w:type="dxa"/>
            <w:shd w:val="clear" w:color="auto" w:fill="auto"/>
            <w:noWrap/>
            <w:vAlign w:val="bottom"/>
            <w:hideMark/>
          </w:tcPr>
          <w:p w14:paraId="1D45FB26"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0,6</w:t>
            </w:r>
          </w:p>
        </w:tc>
      </w:tr>
      <w:tr w:rsidR="00501A22" w:rsidRPr="00185CA7" w14:paraId="1A3CDFF5" w14:textId="77777777" w:rsidTr="00501A22">
        <w:trPr>
          <w:trHeight w:val="290"/>
        </w:trPr>
        <w:tc>
          <w:tcPr>
            <w:tcW w:w="897" w:type="dxa"/>
            <w:shd w:val="clear" w:color="auto" w:fill="auto"/>
            <w:noWrap/>
            <w:vAlign w:val="bottom"/>
            <w:hideMark/>
          </w:tcPr>
          <w:p w14:paraId="16A963F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4807</w:t>
            </w:r>
          </w:p>
        </w:tc>
        <w:tc>
          <w:tcPr>
            <w:tcW w:w="1223" w:type="dxa"/>
            <w:shd w:val="clear" w:color="auto" w:fill="auto"/>
            <w:noWrap/>
            <w:vAlign w:val="bottom"/>
            <w:hideMark/>
          </w:tcPr>
          <w:p w14:paraId="7B6CE4E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312</w:t>
            </w:r>
          </w:p>
        </w:tc>
        <w:tc>
          <w:tcPr>
            <w:tcW w:w="2993" w:type="dxa"/>
            <w:shd w:val="clear" w:color="auto" w:fill="auto"/>
            <w:noWrap/>
            <w:vAlign w:val="bottom"/>
            <w:hideMark/>
          </w:tcPr>
          <w:p w14:paraId="1B965A85"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3 - DN 65C</w:t>
            </w:r>
          </w:p>
        </w:tc>
        <w:tc>
          <w:tcPr>
            <w:tcW w:w="1671" w:type="dxa"/>
            <w:shd w:val="clear" w:color="000000" w:fill="DCE6F1"/>
            <w:noWrap/>
            <w:vAlign w:val="bottom"/>
            <w:hideMark/>
          </w:tcPr>
          <w:p w14:paraId="721B69AB"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796" w:type="dxa"/>
            <w:shd w:val="clear" w:color="000000" w:fill="F2DCDB"/>
            <w:noWrap/>
            <w:vAlign w:val="bottom"/>
            <w:hideMark/>
          </w:tcPr>
          <w:p w14:paraId="20B1BEA8"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2</w:t>
            </w:r>
          </w:p>
        </w:tc>
        <w:tc>
          <w:tcPr>
            <w:tcW w:w="1096" w:type="dxa"/>
            <w:shd w:val="clear" w:color="auto" w:fill="auto"/>
            <w:noWrap/>
            <w:vAlign w:val="bottom"/>
            <w:hideMark/>
          </w:tcPr>
          <w:p w14:paraId="5DEBFE7C"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16%</w:t>
            </w:r>
          </w:p>
        </w:tc>
        <w:tc>
          <w:tcPr>
            <w:tcW w:w="722" w:type="dxa"/>
            <w:shd w:val="clear" w:color="auto" w:fill="auto"/>
            <w:noWrap/>
            <w:vAlign w:val="bottom"/>
            <w:hideMark/>
          </w:tcPr>
          <w:p w14:paraId="418EB184"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0,3</w:t>
            </w:r>
          </w:p>
        </w:tc>
      </w:tr>
      <w:tr w:rsidR="00501A22" w:rsidRPr="00185CA7" w14:paraId="19917E20" w14:textId="77777777" w:rsidTr="00501A22">
        <w:trPr>
          <w:trHeight w:val="290"/>
        </w:trPr>
        <w:tc>
          <w:tcPr>
            <w:tcW w:w="897" w:type="dxa"/>
            <w:shd w:val="clear" w:color="auto" w:fill="auto"/>
            <w:noWrap/>
            <w:vAlign w:val="bottom"/>
            <w:hideMark/>
          </w:tcPr>
          <w:p w14:paraId="2C688D0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4807</w:t>
            </w:r>
          </w:p>
        </w:tc>
        <w:tc>
          <w:tcPr>
            <w:tcW w:w="1223" w:type="dxa"/>
            <w:shd w:val="clear" w:color="auto" w:fill="auto"/>
            <w:noWrap/>
            <w:vAlign w:val="bottom"/>
            <w:hideMark/>
          </w:tcPr>
          <w:p w14:paraId="41F702E9"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3983</w:t>
            </w:r>
          </w:p>
        </w:tc>
        <w:tc>
          <w:tcPr>
            <w:tcW w:w="2993" w:type="dxa"/>
            <w:shd w:val="clear" w:color="auto" w:fill="auto"/>
            <w:noWrap/>
            <w:vAlign w:val="bottom"/>
            <w:hideMark/>
          </w:tcPr>
          <w:p w14:paraId="3C37756B" w14:textId="77777777" w:rsidR="00501A22" w:rsidRPr="00185CA7" w:rsidRDefault="00501A22" w:rsidP="00501A22">
            <w:pPr>
              <w:spacing w:after="0" w:line="240" w:lineRule="auto"/>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3 - DN 65C</w:t>
            </w:r>
          </w:p>
        </w:tc>
        <w:tc>
          <w:tcPr>
            <w:tcW w:w="1671" w:type="dxa"/>
            <w:shd w:val="clear" w:color="000000" w:fill="DCE6F1"/>
            <w:noWrap/>
            <w:vAlign w:val="bottom"/>
            <w:hideMark/>
          </w:tcPr>
          <w:p w14:paraId="36A05C5E"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5</w:t>
            </w:r>
          </w:p>
        </w:tc>
        <w:tc>
          <w:tcPr>
            <w:tcW w:w="1796" w:type="dxa"/>
            <w:shd w:val="clear" w:color="000000" w:fill="F2DCDB"/>
            <w:noWrap/>
            <w:vAlign w:val="bottom"/>
            <w:hideMark/>
          </w:tcPr>
          <w:p w14:paraId="41045B77" w14:textId="77777777" w:rsidR="00501A22" w:rsidRPr="00185CA7" w:rsidRDefault="00501A22" w:rsidP="00501A22">
            <w:pPr>
              <w:spacing w:after="0" w:line="240" w:lineRule="auto"/>
              <w:jc w:val="right"/>
              <w:rPr>
                <w:rFonts w:ascii="Calibri" w:eastAsia="Times New Roman" w:hAnsi="Calibri" w:cs="Calibri"/>
                <w:b/>
                <w:bCs/>
                <w:color w:val="000000"/>
                <w:sz w:val="20"/>
                <w:szCs w:val="20"/>
              </w:rPr>
            </w:pPr>
            <w:r w:rsidRPr="00185CA7">
              <w:rPr>
                <w:rFonts w:ascii="Calibri" w:eastAsia="Times New Roman" w:hAnsi="Calibri" w:cs="Calibri"/>
                <w:b/>
                <w:bCs/>
                <w:color w:val="000000"/>
                <w:sz w:val="20"/>
                <w:szCs w:val="20"/>
              </w:rPr>
              <w:t>4</w:t>
            </w:r>
          </w:p>
        </w:tc>
        <w:tc>
          <w:tcPr>
            <w:tcW w:w="1096" w:type="dxa"/>
            <w:shd w:val="clear" w:color="auto" w:fill="auto"/>
            <w:noWrap/>
            <w:vAlign w:val="bottom"/>
            <w:hideMark/>
          </w:tcPr>
          <w:p w14:paraId="5F35AB7C"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-26%</w:t>
            </w:r>
          </w:p>
        </w:tc>
        <w:tc>
          <w:tcPr>
            <w:tcW w:w="722" w:type="dxa"/>
            <w:shd w:val="clear" w:color="auto" w:fill="auto"/>
            <w:noWrap/>
            <w:vAlign w:val="bottom"/>
            <w:hideMark/>
          </w:tcPr>
          <w:p w14:paraId="2900AA49" w14:textId="77777777" w:rsidR="00501A22" w:rsidRPr="00185CA7" w:rsidRDefault="00501A22" w:rsidP="00501A22">
            <w:pPr>
              <w:spacing w:after="0" w:line="240" w:lineRule="auto"/>
              <w:jc w:val="right"/>
              <w:rPr>
                <w:rFonts w:ascii="Calibri" w:eastAsia="Times New Roman" w:hAnsi="Calibri" w:cs="Calibri"/>
                <w:b/>
                <w:bCs/>
                <w:color w:val="006600"/>
                <w:sz w:val="20"/>
                <w:szCs w:val="20"/>
              </w:rPr>
            </w:pPr>
            <w:r w:rsidRPr="00185CA7">
              <w:rPr>
                <w:rFonts w:ascii="Calibri" w:eastAsia="Times New Roman" w:hAnsi="Calibri" w:cs="Calibri"/>
                <w:b/>
                <w:bCs/>
                <w:color w:val="006600"/>
                <w:sz w:val="20"/>
                <w:szCs w:val="20"/>
              </w:rPr>
              <w:t>0,6</w:t>
            </w:r>
          </w:p>
        </w:tc>
      </w:tr>
    </w:tbl>
    <w:p w14:paraId="7DA04FAA" w14:textId="77777777" w:rsidR="00501A22" w:rsidRPr="005B6E1D" w:rsidRDefault="00501A22" w:rsidP="00501A22">
      <w:pPr>
        <w:widowControl w:val="0"/>
        <w:suppressAutoHyphens/>
        <w:spacing w:after="0" w:line="276" w:lineRule="auto"/>
        <w:rPr>
          <w:rFonts w:ascii="Arial" w:hAnsi="Arial" w:cs="Mangal"/>
          <w:kern w:val="1"/>
          <w:lang w:val="ro-RO" w:eastAsia="hi-IN" w:bidi="hi-IN"/>
        </w:rPr>
      </w:pPr>
    </w:p>
    <w:p w14:paraId="0A1D15E3" w14:textId="77777777" w:rsidR="00501A22" w:rsidRPr="005B6E1D" w:rsidRDefault="00501A22" w:rsidP="00501A22">
      <w:pPr>
        <w:widowControl w:val="0"/>
        <w:suppressAutoHyphens/>
        <w:spacing w:after="0" w:line="240" w:lineRule="auto"/>
        <w:rPr>
          <w:rFonts w:ascii="Arial" w:hAnsi="Arial" w:cs="Mangal"/>
          <w:kern w:val="1"/>
          <w:sz w:val="20"/>
          <w:szCs w:val="24"/>
          <w:lang w:val="ro-RO" w:eastAsia="hi-IN" w:bidi="hi-IN"/>
        </w:rPr>
      </w:pPr>
    </w:p>
    <w:p w14:paraId="18DD52F3" w14:textId="77777777" w:rsidR="00501A22" w:rsidRPr="005B6E1D" w:rsidRDefault="00501A22" w:rsidP="00501A22">
      <w:pPr>
        <w:widowControl w:val="0"/>
        <w:suppressAutoHyphens/>
        <w:spacing w:after="0" w:line="240" w:lineRule="auto"/>
        <w:jc w:val="center"/>
        <w:rPr>
          <w:rFonts w:ascii="Arial" w:hAnsi="Arial" w:cs="Mangal"/>
          <w:kern w:val="1"/>
          <w:sz w:val="20"/>
          <w:szCs w:val="24"/>
          <w:lang w:val="ro-RO" w:eastAsia="hi-IN" w:bidi="hi-IN"/>
        </w:rPr>
      </w:pPr>
      <w:r>
        <w:rPr>
          <w:noProof/>
        </w:rPr>
        <w:drawing>
          <wp:inline distT="0" distB="0" distL="0" distR="0" wp14:anchorId="3B1AFF12" wp14:editId="15B8324E">
            <wp:extent cx="4606120" cy="2872854"/>
            <wp:effectExtent l="0" t="0" r="4445" b="3810"/>
            <wp:docPr id="187" name="Chart 187">
              <a:extLst xmlns:a="http://schemas.openxmlformats.org/drawingml/2006/main">
                <a:ext uri="{FF2B5EF4-FFF2-40B4-BE49-F238E27FC236}">
                  <a16:creationId xmlns:a16="http://schemas.microsoft.com/office/drawing/2014/main" id="{384531EA-4708-4D7A-8700-839ADECD69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7DC3F191" w14:textId="77777777" w:rsidR="00501A22" w:rsidRPr="005B6E1D" w:rsidRDefault="00501A22" w:rsidP="00501A22">
      <w:pPr>
        <w:widowControl w:val="0"/>
        <w:suppressAutoHyphens/>
        <w:spacing w:after="0" w:line="240" w:lineRule="auto"/>
        <w:rPr>
          <w:rFonts w:ascii="Arial" w:hAnsi="Arial" w:cs="Mangal"/>
          <w:kern w:val="1"/>
          <w:sz w:val="20"/>
          <w:szCs w:val="24"/>
          <w:lang w:val="ro-RO" w:eastAsia="hi-IN" w:bidi="hi-IN"/>
        </w:rPr>
      </w:pPr>
    </w:p>
    <w:p w14:paraId="611737D7" w14:textId="77777777" w:rsidR="00501A22" w:rsidRPr="005B6E1D" w:rsidRDefault="00501A22" w:rsidP="00501A22">
      <w:pPr>
        <w:widowControl w:val="0"/>
        <w:suppressAutoHyphens/>
        <w:spacing w:after="0" w:line="240" w:lineRule="auto"/>
        <w:jc w:val="center"/>
        <w:rPr>
          <w:rFonts w:ascii="Arial" w:hAnsi="Arial" w:cs="Mangal"/>
          <w:kern w:val="1"/>
          <w:sz w:val="20"/>
          <w:szCs w:val="24"/>
          <w:lang w:val="ro-RO" w:eastAsia="hi-IN" w:bidi="hi-IN"/>
        </w:rPr>
      </w:pPr>
      <w:r>
        <w:rPr>
          <w:noProof/>
        </w:rPr>
        <w:lastRenderedPageBreak/>
        <w:drawing>
          <wp:inline distT="0" distB="0" distL="0" distR="0" wp14:anchorId="566E88DE" wp14:editId="69857EC5">
            <wp:extent cx="4592472" cy="3091218"/>
            <wp:effectExtent l="0" t="0" r="17780" b="13970"/>
            <wp:docPr id="188" name="Chart 188">
              <a:extLst xmlns:a="http://schemas.openxmlformats.org/drawingml/2006/main">
                <a:ext uri="{FF2B5EF4-FFF2-40B4-BE49-F238E27FC236}">
                  <a16:creationId xmlns:a16="http://schemas.microsoft.com/office/drawing/2014/main" id="{5E423DE0-CE70-40A8-84F6-CAEC44D39D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52C63029" w14:textId="77777777" w:rsidR="00501A22" w:rsidRPr="005B6E1D" w:rsidRDefault="00501A22" w:rsidP="00501A22">
      <w:pPr>
        <w:widowControl w:val="0"/>
        <w:tabs>
          <w:tab w:val="left" w:pos="5010"/>
        </w:tabs>
        <w:suppressAutoHyphens/>
        <w:spacing w:after="0" w:line="240" w:lineRule="auto"/>
        <w:rPr>
          <w:rFonts w:ascii="Arial" w:hAnsi="Arial" w:cs="Mangal"/>
          <w:kern w:val="1"/>
          <w:sz w:val="20"/>
          <w:szCs w:val="24"/>
          <w:lang w:val="ro-RO" w:eastAsia="hi-IN" w:bidi="hi-IN"/>
        </w:rPr>
      </w:pPr>
      <w:r w:rsidRPr="005B6E1D">
        <w:rPr>
          <w:rFonts w:ascii="Arial" w:hAnsi="Arial" w:cs="Mangal"/>
          <w:kern w:val="1"/>
          <w:sz w:val="20"/>
          <w:szCs w:val="24"/>
          <w:lang w:val="ro-RO" w:eastAsia="hi-IN" w:bidi="hi-IN"/>
        </w:rPr>
        <w:tab/>
      </w:r>
    </w:p>
    <w:p w14:paraId="183274CE" w14:textId="3D5A889B" w:rsidR="00501A22" w:rsidRPr="00E426F3" w:rsidRDefault="00E426F3" w:rsidP="00E426F3">
      <w:pPr>
        <w:pStyle w:val="Legend"/>
        <w:jc w:val="center"/>
        <w:rPr>
          <w:rFonts w:ascii="Arial" w:eastAsia="Arial" w:hAnsi="Arial" w:cs="Arial"/>
          <w:i w:val="0"/>
          <w:iCs w:val="0"/>
          <w:color w:val="000000"/>
          <w:sz w:val="22"/>
          <w:szCs w:val="22"/>
          <w:lang w:val="ro-RO" w:eastAsia="zh-CN"/>
        </w:rPr>
      </w:pPr>
      <w:bookmarkStart w:id="260" w:name="_Toc68361188"/>
      <w:bookmarkStart w:id="261" w:name="_Toc140744512"/>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35</w:t>
      </w:r>
      <w:r w:rsidRPr="0001072E">
        <w:rPr>
          <w:rFonts w:ascii="Arial" w:hAnsi="Arial" w:cs="Arial"/>
          <w:sz w:val="22"/>
          <w:szCs w:val="22"/>
        </w:rPr>
        <w:fldChar w:fldCharType="end"/>
      </w:r>
      <w:r w:rsidRPr="0001072E">
        <w:rPr>
          <w:rFonts w:ascii="Arial" w:hAnsi="Arial" w:cs="Arial"/>
          <w:sz w:val="22"/>
          <w:szCs w:val="22"/>
        </w:rPr>
        <w:t xml:space="preserve"> </w:t>
      </w:r>
      <w:r w:rsidR="00501A22" w:rsidRPr="0001072E">
        <w:rPr>
          <w:rFonts w:ascii="Arial" w:hAnsi="Arial" w:cs="Arial"/>
          <w:sz w:val="22"/>
          <w:szCs w:val="22"/>
          <w:lang w:val="ro-RO"/>
        </w:rPr>
        <w:t xml:space="preserve">- </w:t>
      </w:r>
      <w:r w:rsidR="00501A22" w:rsidRPr="0001072E">
        <w:rPr>
          <w:rFonts w:ascii="Arial" w:hAnsi="Arial" w:cs="Arial"/>
          <w:i w:val="0"/>
          <w:iCs w:val="0"/>
          <w:sz w:val="22"/>
          <w:szCs w:val="22"/>
          <w:lang w:val="ro-RO"/>
        </w:rPr>
        <w:t>Rezultatul grafic al calibrării matricei HGV pentru PM peak</w:t>
      </w:r>
      <w:bookmarkEnd w:id="260"/>
      <w:bookmarkEnd w:id="261"/>
    </w:p>
    <w:p w14:paraId="62B7C97E" w14:textId="77777777" w:rsidR="00556B9F" w:rsidRPr="00556B9F" w:rsidRDefault="00556B9F" w:rsidP="00556B9F">
      <w:pPr>
        <w:widowControl w:val="0"/>
        <w:suppressAutoHyphens/>
        <w:spacing w:after="0" w:line="240" w:lineRule="auto"/>
        <w:rPr>
          <w:rFonts w:ascii="Arial" w:hAnsi="Arial" w:cs="Mangal"/>
          <w:kern w:val="1"/>
          <w:sz w:val="20"/>
          <w:szCs w:val="24"/>
          <w:lang w:val="ro-RO" w:eastAsia="hi-IN" w:bidi="hi-IN"/>
        </w:rPr>
      </w:pPr>
    </w:p>
    <w:p w14:paraId="3FB9CBA1" w14:textId="77777777" w:rsidR="00556B9F" w:rsidRPr="006E2128" w:rsidRDefault="00556B9F" w:rsidP="006E2128">
      <w:pPr>
        <w:suppressAutoHyphens/>
        <w:autoSpaceDE w:val="0"/>
        <w:spacing w:after="0" w:line="276" w:lineRule="auto"/>
        <w:jc w:val="both"/>
        <w:rPr>
          <w:rFonts w:ascii="Arial" w:eastAsia="Arial" w:hAnsi="Arial" w:cs="Arial"/>
          <w:color w:val="000000"/>
          <w:lang w:val="es-ES" w:eastAsia="zh-CN"/>
        </w:rPr>
      </w:pPr>
      <w:r w:rsidRPr="006E2128">
        <w:rPr>
          <w:rFonts w:ascii="Arial" w:eastAsia="Arial" w:hAnsi="Arial" w:cs="Arial"/>
          <w:color w:val="000000"/>
          <w:lang w:val="es-ES" w:eastAsia="zh-CN"/>
        </w:rPr>
        <w:t>Din rezultate</w:t>
      </w:r>
      <w:r w:rsidR="006E2128" w:rsidRPr="006E2128">
        <w:rPr>
          <w:rFonts w:ascii="Arial" w:eastAsia="Arial" w:hAnsi="Arial" w:cs="Arial"/>
          <w:color w:val="000000"/>
          <w:lang w:val="es-ES" w:eastAsia="zh-CN"/>
        </w:rPr>
        <w:t>le prezentate mai sus se observă că</w:t>
      </w:r>
      <w:r w:rsidRPr="006E2128">
        <w:rPr>
          <w:rFonts w:ascii="Arial" w:eastAsia="Arial" w:hAnsi="Arial" w:cs="Arial"/>
          <w:color w:val="000000"/>
          <w:lang w:val="es-ES" w:eastAsia="zh-CN"/>
        </w:rPr>
        <w:t xml:space="preserve"> </w:t>
      </w:r>
      <w:r w:rsidR="006E2128" w:rsidRPr="006E2128">
        <w:rPr>
          <w:rFonts w:ascii="Arial" w:eastAsia="Arial" w:hAnsi="Arial" w:cs="Arial"/>
          <w:color w:val="000000"/>
          <w:lang w:val="es-ES" w:eastAsia="zh-CN"/>
        </w:rPr>
        <w:t>valoarea statistica GEH&lt;5 este îndeplinită</w:t>
      </w:r>
      <w:r w:rsidRPr="006E2128">
        <w:rPr>
          <w:rFonts w:ascii="Arial" w:eastAsia="Arial" w:hAnsi="Arial" w:cs="Arial"/>
          <w:color w:val="000000"/>
          <w:lang w:val="es-ES" w:eastAsia="zh-CN"/>
        </w:rPr>
        <w:t>.</w:t>
      </w:r>
    </w:p>
    <w:p w14:paraId="55C5A5B2" w14:textId="77777777" w:rsidR="00556B9F" w:rsidRPr="006E2128" w:rsidRDefault="00556B9F" w:rsidP="006E2128">
      <w:pPr>
        <w:suppressAutoHyphens/>
        <w:autoSpaceDE w:val="0"/>
        <w:spacing w:after="0" w:line="276" w:lineRule="auto"/>
        <w:jc w:val="both"/>
        <w:rPr>
          <w:rFonts w:ascii="Arial" w:eastAsia="Arial" w:hAnsi="Arial" w:cs="Arial"/>
          <w:color w:val="000000"/>
          <w:lang w:val="es-ES" w:eastAsia="zh-CN"/>
        </w:rPr>
      </w:pPr>
    </w:p>
    <w:p w14:paraId="1A727F13" w14:textId="77777777" w:rsidR="00556B9F" w:rsidRPr="006E2128" w:rsidRDefault="006E2128" w:rsidP="006E2128">
      <w:pPr>
        <w:suppressAutoHyphens/>
        <w:autoSpaceDE w:val="0"/>
        <w:spacing w:after="0" w:line="276" w:lineRule="auto"/>
        <w:jc w:val="both"/>
        <w:rPr>
          <w:rFonts w:ascii="Arial" w:eastAsia="Arial" w:hAnsi="Arial" w:cs="Arial"/>
          <w:color w:val="000000"/>
          <w:lang w:val="es-ES" w:eastAsia="zh-CN"/>
        </w:rPr>
      </w:pPr>
      <w:r w:rsidRPr="006E2128">
        <w:rPr>
          <w:rFonts w:ascii="Arial" w:eastAsia="Arial" w:hAnsi="Arial" w:cs="Arial"/>
          <w:color w:val="000000"/>
          <w:lang w:val="es-ES" w:eastAsia="zh-CN"/>
        </w:rPr>
        <w:t>Prin această procedură se consideră că s-a obţinut o bună</w:t>
      </w:r>
      <w:r w:rsidR="00556B9F" w:rsidRPr="006E2128">
        <w:rPr>
          <w:rFonts w:ascii="Arial" w:eastAsia="Arial" w:hAnsi="Arial" w:cs="Arial"/>
          <w:color w:val="000000"/>
          <w:lang w:val="es-ES" w:eastAsia="zh-CN"/>
        </w:rPr>
        <w:t xml:space="preserve"> apr</w:t>
      </w:r>
      <w:r w:rsidRPr="006E2128">
        <w:rPr>
          <w:rFonts w:ascii="Arial" w:eastAsia="Arial" w:hAnsi="Arial" w:cs="Arial"/>
          <w:color w:val="000000"/>
          <w:lang w:val="es-ES" w:eastAsia="zh-CN"/>
        </w:rPr>
        <w:t>opiere a modelului de trafic faţă</w:t>
      </w:r>
      <w:r w:rsidR="00556B9F" w:rsidRPr="006E2128">
        <w:rPr>
          <w:rFonts w:ascii="Arial" w:eastAsia="Arial" w:hAnsi="Arial" w:cs="Arial"/>
          <w:color w:val="000000"/>
          <w:lang w:val="es-ES" w:eastAsia="zh-CN"/>
        </w:rPr>
        <w:t xml:space="preserve"> de valorile observate pe teren.</w:t>
      </w:r>
    </w:p>
    <w:p w14:paraId="3581B479" w14:textId="77777777" w:rsidR="00556B9F" w:rsidRPr="006E2128" w:rsidRDefault="00556B9F" w:rsidP="006E2128">
      <w:pPr>
        <w:widowControl w:val="0"/>
        <w:suppressAutoHyphens/>
        <w:spacing w:after="0" w:line="276" w:lineRule="auto"/>
        <w:rPr>
          <w:rFonts w:ascii="Arial" w:hAnsi="Arial" w:cs="Mangal"/>
          <w:b/>
          <w:kern w:val="1"/>
          <w:lang w:val="ro-RO" w:eastAsia="hi-IN" w:bidi="hi-IN"/>
        </w:rPr>
      </w:pPr>
      <w:bookmarkStart w:id="262" w:name="_Toc497344205"/>
    </w:p>
    <w:p w14:paraId="4BF5651E" w14:textId="77777777" w:rsidR="00AA5711" w:rsidRDefault="00AA5711" w:rsidP="006E2128">
      <w:pPr>
        <w:widowControl w:val="0"/>
        <w:suppressAutoHyphens/>
        <w:spacing w:after="0" w:line="276" w:lineRule="auto"/>
        <w:rPr>
          <w:rFonts w:ascii="Arial" w:hAnsi="Arial" w:cs="Mangal"/>
          <w:b/>
          <w:kern w:val="1"/>
          <w:lang w:val="ro-RO" w:eastAsia="hi-IN" w:bidi="hi-IN"/>
        </w:rPr>
      </w:pPr>
    </w:p>
    <w:p w14:paraId="2034FD9A" w14:textId="77777777" w:rsidR="00D70AEA" w:rsidRDefault="00D70AEA" w:rsidP="003430C5">
      <w:pPr>
        <w:pStyle w:val="Titlu2"/>
        <w:rPr>
          <w:rFonts w:ascii="Arial" w:eastAsia="Times New Roman" w:hAnsi="Arial" w:cs="Arial"/>
          <w:b/>
          <w:bCs/>
          <w:color w:val="auto"/>
          <w:sz w:val="24"/>
          <w:szCs w:val="24"/>
          <w:lang w:val="it-IT" w:eastAsia="ro-RO"/>
        </w:rPr>
      </w:pPr>
      <w:bookmarkStart w:id="263" w:name="_Toc61264901"/>
      <w:bookmarkStart w:id="264" w:name="_Toc142039079"/>
      <w:bookmarkEnd w:id="262"/>
      <w:r w:rsidRPr="003430C5">
        <w:rPr>
          <w:rFonts w:ascii="Arial" w:eastAsia="Times New Roman" w:hAnsi="Arial" w:cs="Arial"/>
          <w:b/>
          <w:bCs/>
          <w:color w:val="auto"/>
          <w:sz w:val="24"/>
          <w:szCs w:val="24"/>
          <w:lang w:val="it-IT" w:eastAsia="ro-RO"/>
        </w:rPr>
        <w:t>I.3.6</w:t>
      </w:r>
      <w:r w:rsid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Prognoze</w:t>
      </w:r>
      <w:bookmarkEnd w:id="263"/>
      <w:bookmarkEnd w:id="264"/>
    </w:p>
    <w:p w14:paraId="2BF1BE49"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r w:rsidRPr="006E2128">
        <w:rPr>
          <w:rFonts w:ascii="Arial" w:hAnsi="Arial" w:cs="Arial"/>
          <w:kern w:val="1"/>
          <w:lang w:val="ro-RO" w:eastAsia="hi-IN" w:bidi="hi-IN"/>
        </w:rPr>
        <w:t>În afară de evaluarea situației existente, prin emiterea de rapoarte pe baza modelului anului de bază, modelul de transport a fost modificat/adaptat pentru a se realiza estimări ale parametrilor pentru anul țintă.</w:t>
      </w:r>
    </w:p>
    <w:p w14:paraId="741DB8FA"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p>
    <w:p w14:paraId="334E5372"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r w:rsidRPr="006E2128">
        <w:rPr>
          <w:rFonts w:ascii="Arial" w:hAnsi="Arial" w:cs="Arial"/>
          <w:kern w:val="1"/>
          <w:lang w:val="ro-RO" w:eastAsia="hi-IN" w:bidi="hi-IN"/>
        </w:rPr>
        <w:t xml:space="preserve">Pentru obținerea acestor rapoarte, modelul a fost modificat prin includerea previziunilor de creștere a cererii de transport, a previziunilor socio-economice, creșterea numărului de vehicule, creșterea populației, modificarea distribuției cererii de transport etc. </w:t>
      </w:r>
    </w:p>
    <w:p w14:paraId="5EE4035F"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p>
    <w:p w14:paraId="6C622DDF"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r w:rsidRPr="006E2128">
        <w:rPr>
          <w:rFonts w:ascii="Arial" w:hAnsi="Arial" w:cs="Arial"/>
          <w:kern w:val="1"/>
          <w:lang w:val="ro-RO" w:eastAsia="hi-IN" w:bidi="hi-IN"/>
        </w:rPr>
        <w:t>De asemenea, în model vor fi introduse proiecte și măsuri cu influență asupra mobilității și accesibilității, în scopul evaluării efectelor acestora, grupate pe scenariile care vor fi descrise detaliat în capitolele următoare.</w:t>
      </w:r>
    </w:p>
    <w:p w14:paraId="0D86C677"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p>
    <w:p w14:paraId="06787FDA"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r w:rsidRPr="006E2128">
        <w:rPr>
          <w:rFonts w:ascii="Arial" w:hAnsi="Arial" w:cs="Arial"/>
          <w:kern w:val="1"/>
          <w:lang w:val="ro-RO" w:eastAsia="hi-IN" w:bidi="hi-IN"/>
        </w:rPr>
        <w:t>Evaluarea comparativă a diferitelor scenarii a fost realizată prin emiterea de rapoarte generale (similare cu cele pentru anul de bază) sau prin rapoarte specifice, cuprinzând numai anumiți indicatori.</w:t>
      </w:r>
    </w:p>
    <w:p w14:paraId="57CD7FA6"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p>
    <w:p w14:paraId="01A6D8A7" w14:textId="77777777" w:rsidR="00CD510F" w:rsidRPr="00CD510F" w:rsidRDefault="00CD510F" w:rsidP="00CD510F">
      <w:pPr>
        <w:widowControl w:val="0"/>
        <w:suppressAutoHyphens/>
        <w:spacing w:after="0" w:line="276" w:lineRule="auto"/>
        <w:jc w:val="both"/>
        <w:rPr>
          <w:rFonts w:ascii="Arial" w:hAnsi="Arial" w:cs="Mangal"/>
          <w:kern w:val="1"/>
          <w:lang w:val="ro-RO" w:eastAsia="hi-IN" w:bidi="hi-IN"/>
        </w:rPr>
      </w:pPr>
      <w:bookmarkStart w:id="265" w:name="_Hlk66435258"/>
      <w:r w:rsidRPr="00CD510F">
        <w:rPr>
          <w:rFonts w:ascii="Arial" w:hAnsi="Arial" w:cs="Mangal"/>
          <w:kern w:val="1"/>
          <w:lang w:val="ro-RO" w:eastAsia="hi-IN" w:bidi="hi-IN"/>
        </w:rPr>
        <w:t>Coeficien</w:t>
      </w:r>
      <w:r w:rsidRPr="00CD510F">
        <w:rPr>
          <w:rFonts w:ascii="Arial" w:hAnsi="Arial" w:cs="Arial"/>
          <w:kern w:val="1"/>
          <w:lang w:val="ro-RO" w:eastAsia="hi-IN" w:bidi="hi-IN"/>
        </w:rPr>
        <w:t>ț</w:t>
      </w:r>
      <w:r w:rsidRPr="00CD510F">
        <w:rPr>
          <w:rFonts w:ascii="Arial" w:hAnsi="Arial" w:cs="Mangal"/>
          <w:kern w:val="1"/>
          <w:lang w:val="ro-RO" w:eastAsia="hi-IN" w:bidi="hi-IN"/>
        </w:rPr>
        <w:t>ii de evolu</w:t>
      </w:r>
      <w:r w:rsidRPr="00CD510F">
        <w:rPr>
          <w:rFonts w:ascii="Arial" w:hAnsi="Arial" w:cs="Arial"/>
          <w:kern w:val="1"/>
          <w:lang w:val="ro-RO" w:eastAsia="hi-IN" w:bidi="hi-IN"/>
        </w:rPr>
        <w:t>ț</w:t>
      </w:r>
      <w:r w:rsidRPr="00CD510F">
        <w:rPr>
          <w:rFonts w:ascii="Arial" w:hAnsi="Arial" w:cs="Mangal"/>
          <w:kern w:val="1"/>
          <w:lang w:val="ro-RO" w:eastAsia="hi-IN" w:bidi="hi-IN"/>
        </w:rPr>
        <w:t xml:space="preserve">ie a traficului rutier </w:t>
      </w:r>
      <w:bookmarkEnd w:id="265"/>
      <w:r w:rsidRPr="00CD510F">
        <w:rPr>
          <w:rFonts w:ascii="Arial" w:hAnsi="Arial" w:cs="Mangal"/>
          <w:kern w:val="1"/>
          <w:lang w:val="ro-RO" w:eastAsia="hi-IN" w:bidi="hi-IN"/>
        </w:rPr>
        <w:t>sunt  stabili</w:t>
      </w:r>
      <w:r w:rsidRPr="00CD510F">
        <w:rPr>
          <w:rFonts w:ascii="Arial" w:hAnsi="Arial" w:cs="Arial"/>
          <w:kern w:val="1"/>
          <w:lang w:val="ro-RO" w:eastAsia="hi-IN" w:bidi="hi-IN"/>
        </w:rPr>
        <w:t>ț</w:t>
      </w:r>
      <w:r w:rsidRPr="00CD510F">
        <w:rPr>
          <w:rFonts w:ascii="Arial" w:hAnsi="Arial" w:cs="Mangal"/>
          <w:kern w:val="1"/>
          <w:lang w:val="ro-RO" w:eastAsia="hi-IN" w:bidi="hi-IN"/>
        </w:rPr>
        <w:t>i fa</w:t>
      </w:r>
      <w:r w:rsidRPr="00CD510F">
        <w:rPr>
          <w:rFonts w:ascii="Arial" w:hAnsi="Arial" w:cs="Arial"/>
          <w:kern w:val="1"/>
          <w:lang w:val="ro-RO" w:eastAsia="hi-IN" w:bidi="hi-IN"/>
        </w:rPr>
        <w:t>ță</w:t>
      </w:r>
      <w:r w:rsidRPr="00CD510F">
        <w:rPr>
          <w:rFonts w:ascii="Arial" w:hAnsi="Arial" w:cs="Mangal"/>
          <w:kern w:val="1"/>
          <w:lang w:val="ro-RO" w:eastAsia="hi-IN" w:bidi="hi-IN"/>
        </w:rPr>
        <w:t xml:space="preserve"> de anul 2015 (pentru care exist</w:t>
      </w:r>
      <w:r w:rsidRPr="00CD510F">
        <w:rPr>
          <w:rFonts w:ascii="Arial" w:hAnsi="Arial" w:cs="Arial"/>
          <w:kern w:val="1"/>
          <w:lang w:val="ro-RO" w:eastAsia="hi-IN" w:bidi="hi-IN"/>
        </w:rPr>
        <w:t>ă</w:t>
      </w:r>
      <w:r w:rsidRPr="00CD510F">
        <w:rPr>
          <w:rFonts w:ascii="Arial" w:hAnsi="Arial" w:cs="Mangal"/>
          <w:kern w:val="1"/>
          <w:lang w:val="ro-RO" w:eastAsia="hi-IN" w:bidi="hi-IN"/>
        </w:rPr>
        <w:t xml:space="preserve"> date oficiale elaborate de CNAIR-CESTRIN – a se </w:t>
      </w:r>
      <w:r w:rsidRPr="00AA5711">
        <w:rPr>
          <w:rFonts w:ascii="Arial" w:hAnsi="Arial" w:cs="Mangal"/>
          <w:kern w:val="1"/>
          <w:lang w:val="ro-RO" w:eastAsia="hi-IN" w:bidi="hi-IN"/>
        </w:rPr>
        <w:t xml:space="preserve">vedea Anexa </w:t>
      </w:r>
      <w:r w:rsidR="00B02385">
        <w:rPr>
          <w:rFonts w:ascii="Arial" w:hAnsi="Arial" w:cs="Mangal"/>
          <w:kern w:val="1"/>
          <w:lang w:val="ro-RO" w:eastAsia="hi-IN" w:bidi="hi-IN"/>
        </w:rPr>
        <w:t>7</w:t>
      </w:r>
      <w:r w:rsidRPr="00AA5711">
        <w:rPr>
          <w:rFonts w:ascii="Arial" w:hAnsi="Arial" w:cs="Mangal"/>
          <w:kern w:val="1"/>
          <w:lang w:val="ro-RO" w:eastAsia="hi-IN" w:bidi="hi-IN"/>
        </w:rPr>
        <w:t xml:space="preserve">) </w:t>
      </w:r>
      <w:r w:rsidRPr="00AA5711">
        <w:rPr>
          <w:rFonts w:ascii="Arial" w:hAnsi="Arial" w:cs="Arial"/>
          <w:kern w:val="1"/>
          <w:lang w:val="ro-RO" w:eastAsia="hi-IN" w:bidi="hi-IN"/>
        </w:rPr>
        <w:t>ș</w:t>
      </w:r>
      <w:r w:rsidRPr="00AA5711">
        <w:rPr>
          <w:rFonts w:ascii="Arial" w:hAnsi="Arial" w:cs="Mangal"/>
          <w:kern w:val="1"/>
          <w:lang w:val="ro-RO" w:eastAsia="hi-IN" w:bidi="hi-IN"/>
        </w:rPr>
        <w:t>i</w:t>
      </w:r>
      <w:r w:rsidRPr="00CD510F">
        <w:rPr>
          <w:rFonts w:ascii="Arial" w:hAnsi="Arial" w:cs="Mangal"/>
          <w:kern w:val="1"/>
          <w:lang w:val="ro-RO" w:eastAsia="hi-IN" w:bidi="hi-IN"/>
        </w:rPr>
        <w:t xml:space="preserve"> raportat </w:t>
      </w:r>
      <w:r w:rsidR="00885CC3">
        <w:rPr>
          <w:rFonts w:ascii="Arial" w:hAnsi="Arial" w:cs="Mangal"/>
          <w:kern w:val="1"/>
          <w:lang w:val="ro-RO" w:eastAsia="hi-IN" w:bidi="hi-IN"/>
        </w:rPr>
        <w:t xml:space="preserve"> la valorile traficului din 2021</w:t>
      </w:r>
      <w:r w:rsidRPr="00CD510F">
        <w:rPr>
          <w:rFonts w:ascii="Arial" w:hAnsi="Arial" w:cs="Mangal"/>
          <w:kern w:val="1"/>
          <w:lang w:val="ro-RO" w:eastAsia="hi-IN" w:bidi="hi-IN"/>
        </w:rPr>
        <w:t xml:space="preserve"> </w:t>
      </w:r>
      <w:r w:rsidRPr="00CD510F">
        <w:rPr>
          <w:rFonts w:ascii="Arial" w:hAnsi="Arial" w:cs="Arial"/>
          <w:kern w:val="1"/>
          <w:lang w:val="ro-RO" w:eastAsia="hi-IN" w:bidi="hi-IN"/>
        </w:rPr>
        <w:t>ș</w:t>
      </w:r>
      <w:r w:rsidRPr="00CD510F">
        <w:rPr>
          <w:rFonts w:ascii="Arial" w:hAnsi="Arial" w:cs="Mangal"/>
          <w:kern w:val="1"/>
          <w:lang w:val="ro-RO" w:eastAsia="hi-IN" w:bidi="hi-IN"/>
        </w:rPr>
        <w:t>i corespunz</w:t>
      </w:r>
      <w:r w:rsidRPr="00CD510F">
        <w:rPr>
          <w:rFonts w:ascii="Arial" w:hAnsi="Arial" w:cs="Arial"/>
          <w:kern w:val="1"/>
          <w:lang w:val="ro-RO" w:eastAsia="hi-IN" w:bidi="hi-IN"/>
        </w:rPr>
        <w:t>ă</w:t>
      </w:r>
      <w:r w:rsidRPr="00CD510F">
        <w:rPr>
          <w:rFonts w:ascii="Arial" w:hAnsi="Arial" w:cs="Mangal"/>
          <w:kern w:val="1"/>
          <w:lang w:val="ro-RO" w:eastAsia="hi-IN" w:bidi="hi-IN"/>
        </w:rPr>
        <w:t>tor anului 2027 rezult</w:t>
      </w:r>
      <w:r w:rsidRPr="00CD510F">
        <w:rPr>
          <w:rFonts w:ascii="Arial" w:hAnsi="Arial" w:cs="Arial"/>
          <w:kern w:val="1"/>
          <w:lang w:val="ro-RO" w:eastAsia="hi-IN" w:bidi="hi-IN"/>
        </w:rPr>
        <w:t>ă</w:t>
      </w:r>
      <w:r w:rsidRPr="00CD510F">
        <w:rPr>
          <w:rFonts w:ascii="Arial" w:hAnsi="Arial" w:cs="Mangal"/>
          <w:kern w:val="1"/>
          <w:lang w:val="ro-RO" w:eastAsia="hi-IN" w:bidi="hi-IN"/>
        </w:rPr>
        <w:t xml:space="preserve"> un coeficient de evolu</w:t>
      </w:r>
      <w:r w:rsidRPr="00CD510F">
        <w:rPr>
          <w:rFonts w:ascii="Arial" w:hAnsi="Arial" w:cs="Arial"/>
          <w:kern w:val="1"/>
          <w:lang w:val="ro-RO" w:eastAsia="hi-IN" w:bidi="hi-IN"/>
        </w:rPr>
        <w:t>ț</w:t>
      </w:r>
      <w:r w:rsidRPr="00CD510F">
        <w:rPr>
          <w:rFonts w:ascii="Arial" w:hAnsi="Arial" w:cs="Mangal"/>
          <w:kern w:val="1"/>
          <w:lang w:val="ro-RO" w:eastAsia="hi-IN" w:bidi="hi-IN"/>
        </w:rPr>
        <w:t>ie de 1,34, iar pentru anul 2035 un coeficient de evolu</w:t>
      </w:r>
      <w:r w:rsidRPr="00CD510F">
        <w:rPr>
          <w:rFonts w:ascii="Arial" w:hAnsi="Arial" w:cs="Arial"/>
          <w:kern w:val="1"/>
          <w:lang w:val="ro-RO" w:eastAsia="hi-IN" w:bidi="hi-IN"/>
        </w:rPr>
        <w:t>ț</w:t>
      </w:r>
      <w:r w:rsidRPr="00CD510F">
        <w:rPr>
          <w:rFonts w:ascii="Arial" w:hAnsi="Arial" w:cs="Mangal"/>
          <w:kern w:val="1"/>
          <w:lang w:val="ro-RO" w:eastAsia="hi-IN" w:bidi="hi-IN"/>
        </w:rPr>
        <w:t>ie a traficului rutier de 1,87.</w:t>
      </w:r>
    </w:p>
    <w:p w14:paraId="78D22DDF" w14:textId="77777777" w:rsidR="00CD510F" w:rsidRPr="00CD510F" w:rsidRDefault="00CD510F" w:rsidP="00CD510F">
      <w:pPr>
        <w:widowControl w:val="0"/>
        <w:suppressAutoHyphens/>
        <w:spacing w:after="0" w:line="276" w:lineRule="auto"/>
        <w:jc w:val="both"/>
        <w:rPr>
          <w:rFonts w:ascii="Arial" w:hAnsi="Arial" w:cs="Mangal"/>
          <w:kern w:val="1"/>
          <w:lang w:val="ro-RO" w:eastAsia="hi-IN" w:bidi="hi-IN"/>
        </w:rPr>
      </w:pPr>
    </w:p>
    <w:p w14:paraId="3236AE7D" w14:textId="77777777" w:rsidR="00CD510F" w:rsidRDefault="00CD510F" w:rsidP="00CD510F">
      <w:pPr>
        <w:widowControl w:val="0"/>
        <w:suppressAutoHyphens/>
        <w:spacing w:after="0" w:line="276" w:lineRule="auto"/>
        <w:rPr>
          <w:rFonts w:ascii="Arial" w:hAnsi="Arial" w:cs="Mangal"/>
          <w:kern w:val="1"/>
          <w:lang w:val="ro-RO" w:eastAsia="hi-IN" w:bidi="hi-IN"/>
        </w:rPr>
      </w:pPr>
      <w:r>
        <w:rPr>
          <w:rFonts w:ascii="Arial" w:hAnsi="Arial" w:cs="Mangal"/>
          <w:kern w:val="1"/>
          <w:lang w:val="ro-RO" w:eastAsia="hi-IN" w:bidi="hi-IN"/>
        </w:rPr>
        <w:t>Î</w:t>
      </w:r>
      <w:r w:rsidRPr="00CD510F">
        <w:rPr>
          <w:rFonts w:ascii="Arial" w:hAnsi="Arial" w:cs="Mangal"/>
          <w:kern w:val="1"/>
          <w:lang w:val="ro-RO" w:eastAsia="hi-IN" w:bidi="hi-IN"/>
        </w:rPr>
        <w:t>n tabelul urm</w:t>
      </w:r>
      <w:r w:rsidRPr="00CD510F">
        <w:rPr>
          <w:rFonts w:ascii="Arial" w:hAnsi="Arial" w:cs="Arial"/>
          <w:kern w:val="1"/>
          <w:lang w:val="ro-RO" w:eastAsia="hi-IN" w:bidi="hi-IN"/>
        </w:rPr>
        <w:t>ă</w:t>
      </w:r>
      <w:r w:rsidRPr="00CD510F">
        <w:rPr>
          <w:rFonts w:ascii="Arial" w:hAnsi="Arial" w:cs="Mangal"/>
          <w:kern w:val="1"/>
          <w:lang w:val="ro-RO" w:eastAsia="hi-IN" w:bidi="hi-IN"/>
        </w:rPr>
        <w:t xml:space="preserve">tor sunt redate valorile actuale ale traficului </w:t>
      </w:r>
      <w:r w:rsidRPr="00CD510F">
        <w:rPr>
          <w:rFonts w:ascii="Arial" w:hAnsi="Arial" w:cs="Arial"/>
          <w:kern w:val="1"/>
          <w:lang w:val="ro-RO" w:eastAsia="hi-IN" w:bidi="hi-IN"/>
        </w:rPr>
        <w:t>ș</w:t>
      </w:r>
      <w:r w:rsidRPr="00CD510F">
        <w:rPr>
          <w:rFonts w:ascii="Arial" w:hAnsi="Arial" w:cs="Mangal"/>
          <w:kern w:val="1"/>
          <w:lang w:val="ro-RO" w:eastAsia="hi-IN" w:bidi="hi-IN"/>
        </w:rPr>
        <w:t xml:space="preserve">i prognoza pe anii 2027 </w:t>
      </w:r>
      <w:r w:rsidRPr="00CD510F">
        <w:rPr>
          <w:rFonts w:ascii="Arial" w:hAnsi="Arial" w:cs="Arial"/>
          <w:kern w:val="1"/>
          <w:lang w:val="ro-RO" w:eastAsia="hi-IN" w:bidi="hi-IN"/>
        </w:rPr>
        <w:t>ș</w:t>
      </w:r>
      <w:r w:rsidRPr="00CD510F">
        <w:rPr>
          <w:rFonts w:ascii="Arial" w:hAnsi="Arial" w:cs="Mangal"/>
          <w:kern w:val="1"/>
          <w:lang w:val="ro-RO" w:eastAsia="hi-IN" w:bidi="hi-IN"/>
        </w:rPr>
        <w:t>i 2035.</w:t>
      </w:r>
    </w:p>
    <w:p w14:paraId="76D0B4C5" w14:textId="77777777" w:rsidR="00AA5711" w:rsidRDefault="00AA5711" w:rsidP="00CD510F">
      <w:pPr>
        <w:widowControl w:val="0"/>
        <w:suppressAutoHyphens/>
        <w:spacing w:after="0" w:line="276" w:lineRule="auto"/>
        <w:rPr>
          <w:rFonts w:ascii="Arial" w:hAnsi="Arial" w:cs="Mangal"/>
          <w:kern w:val="1"/>
          <w:lang w:val="ro-RO" w:eastAsia="hi-IN" w:bidi="hi-IN"/>
        </w:rPr>
      </w:pPr>
    </w:p>
    <w:p w14:paraId="3FB3CEB8" w14:textId="3A863A10" w:rsidR="008969BE" w:rsidRPr="0022048B" w:rsidRDefault="0022048B" w:rsidP="0022048B">
      <w:pPr>
        <w:pStyle w:val="Legend"/>
        <w:jc w:val="center"/>
        <w:rPr>
          <w:rFonts w:ascii="Arial" w:hAnsi="Arial" w:cs="Arial"/>
          <w:i w:val="0"/>
          <w:iCs w:val="0"/>
          <w:kern w:val="1"/>
          <w:sz w:val="22"/>
          <w:szCs w:val="22"/>
          <w:highlight w:val="yellow"/>
          <w:lang w:val="ro-RO" w:eastAsia="hi-IN" w:bidi="hi-IN"/>
        </w:rPr>
      </w:pPr>
      <w:bookmarkStart w:id="266" w:name="_Toc68361234"/>
      <w:bookmarkStart w:id="267" w:name="_Toc96447402"/>
      <w:r w:rsidRPr="0022048B">
        <w:rPr>
          <w:rFonts w:ascii="Arial" w:hAnsi="Arial" w:cs="Arial"/>
          <w:sz w:val="22"/>
          <w:szCs w:val="22"/>
        </w:rPr>
        <w:t xml:space="preserve">Tabel I.3. </w:t>
      </w:r>
      <w:r w:rsidRPr="0022048B">
        <w:rPr>
          <w:rFonts w:ascii="Arial" w:hAnsi="Arial" w:cs="Arial"/>
          <w:sz w:val="22"/>
          <w:szCs w:val="22"/>
        </w:rPr>
        <w:fldChar w:fldCharType="begin"/>
      </w:r>
      <w:r w:rsidRPr="0022048B">
        <w:rPr>
          <w:rFonts w:ascii="Arial" w:hAnsi="Arial" w:cs="Arial"/>
          <w:sz w:val="22"/>
          <w:szCs w:val="22"/>
        </w:rPr>
        <w:instrText xml:space="preserve"> SEQ Tabel_I.3. \* ARABIC </w:instrText>
      </w:r>
      <w:r w:rsidRPr="0022048B">
        <w:rPr>
          <w:rFonts w:ascii="Arial" w:hAnsi="Arial" w:cs="Arial"/>
          <w:sz w:val="22"/>
          <w:szCs w:val="22"/>
        </w:rPr>
        <w:fldChar w:fldCharType="separate"/>
      </w:r>
      <w:r w:rsidR="00BB181C">
        <w:rPr>
          <w:rFonts w:ascii="Arial" w:hAnsi="Arial" w:cs="Arial"/>
          <w:noProof/>
          <w:sz w:val="22"/>
          <w:szCs w:val="22"/>
        </w:rPr>
        <w:t>6</w:t>
      </w:r>
      <w:r w:rsidRPr="0022048B">
        <w:rPr>
          <w:rFonts w:ascii="Arial" w:hAnsi="Arial" w:cs="Arial"/>
          <w:sz w:val="22"/>
          <w:szCs w:val="22"/>
        </w:rPr>
        <w:fldChar w:fldCharType="end"/>
      </w:r>
      <w:r w:rsidRPr="0022048B">
        <w:rPr>
          <w:rFonts w:ascii="Arial" w:hAnsi="Arial" w:cs="Arial"/>
          <w:sz w:val="22"/>
          <w:szCs w:val="22"/>
        </w:rPr>
        <w:t xml:space="preserve"> </w:t>
      </w:r>
      <w:r w:rsidR="008969BE" w:rsidRPr="0022048B">
        <w:rPr>
          <w:rFonts w:ascii="Arial" w:hAnsi="Arial" w:cs="Arial"/>
          <w:sz w:val="22"/>
          <w:szCs w:val="22"/>
        </w:rPr>
        <w:t xml:space="preserve">- </w:t>
      </w:r>
      <w:r w:rsidR="008969BE" w:rsidRPr="0022048B">
        <w:rPr>
          <w:rFonts w:ascii="Arial" w:hAnsi="Arial" w:cs="Arial"/>
          <w:i w:val="0"/>
          <w:iCs w:val="0"/>
          <w:sz w:val="22"/>
          <w:szCs w:val="22"/>
        </w:rPr>
        <w:t>Coeficienţii de evoluţie a traficului în perioada 2020-2035 - Coeficienţii medii (varianta probabilă) - Reţeaua de drumuri publice</w:t>
      </w:r>
      <w:bookmarkEnd w:id="266"/>
      <w:bookmarkEnd w:id="267"/>
    </w:p>
    <w:tbl>
      <w:tblPr>
        <w:tblW w:w="11382" w:type="dxa"/>
        <w:tblInd w:w="-972" w:type="dxa"/>
        <w:tblLayout w:type="fixed"/>
        <w:tblLook w:val="04A0" w:firstRow="1" w:lastRow="0" w:firstColumn="1" w:lastColumn="0" w:noHBand="0" w:noVBand="1"/>
      </w:tblPr>
      <w:tblGrid>
        <w:gridCol w:w="581"/>
        <w:gridCol w:w="969"/>
        <w:gridCol w:w="1040"/>
        <w:gridCol w:w="604"/>
        <w:gridCol w:w="907"/>
        <w:gridCol w:w="992"/>
        <w:gridCol w:w="922"/>
        <w:gridCol w:w="836"/>
        <w:gridCol w:w="652"/>
        <w:gridCol w:w="1163"/>
        <w:gridCol w:w="992"/>
        <w:gridCol w:w="851"/>
        <w:gridCol w:w="873"/>
      </w:tblGrid>
      <w:tr w:rsidR="00CD510F" w:rsidRPr="00CD510F" w14:paraId="18022550" w14:textId="77777777" w:rsidTr="008C3FB2">
        <w:trPr>
          <w:trHeight w:val="1050"/>
        </w:trPr>
        <w:tc>
          <w:tcPr>
            <w:tcW w:w="581" w:type="dxa"/>
            <w:tcBorders>
              <w:top w:val="single" w:sz="8" w:space="0" w:color="CCCCCC"/>
              <w:left w:val="single" w:sz="8" w:space="0" w:color="000000"/>
              <w:bottom w:val="single" w:sz="8" w:space="0" w:color="000000"/>
              <w:right w:val="single" w:sz="8" w:space="0" w:color="000000"/>
            </w:tcBorders>
            <w:shd w:val="clear" w:color="auto" w:fill="auto"/>
            <w:vAlign w:val="center"/>
            <w:hideMark/>
          </w:tcPr>
          <w:p w14:paraId="700E4B12"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Anul</w:t>
            </w:r>
          </w:p>
        </w:tc>
        <w:tc>
          <w:tcPr>
            <w:tcW w:w="96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6F62F6C2"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Biciclete, Motociclete</w:t>
            </w:r>
          </w:p>
        </w:tc>
        <w:tc>
          <w:tcPr>
            <w:tcW w:w="1040"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42A16F2E"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Autoturisme</w:t>
            </w:r>
          </w:p>
        </w:tc>
        <w:tc>
          <w:tcPr>
            <w:tcW w:w="604"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4633178B"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Microbuze</w:t>
            </w:r>
          </w:p>
        </w:tc>
        <w:tc>
          <w:tcPr>
            <w:tcW w:w="90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311B158D"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Autocamionete</w:t>
            </w:r>
          </w:p>
        </w:tc>
        <w:tc>
          <w:tcPr>
            <w:tcW w:w="992"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771684D5"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Autocamioane şi derivate 2 osii</w:t>
            </w:r>
          </w:p>
        </w:tc>
        <w:tc>
          <w:tcPr>
            <w:tcW w:w="922"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35F2CB94"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Autocamioane şi derivate 3-4 osii</w:t>
            </w:r>
          </w:p>
        </w:tc>
        <w:tc>
          <w:tcPr>
            <w:tcW w:w="836"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3E78AB55"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Autovehicule articulate</w:t>
            </w:r>
          </w:p>
        </w:tc>
        <w:tc>
          <w:tcPr>
            <w:tcW w:w="652"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3651A90E"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Autobuze</w:t>
            </w:r>
          </w:p>
        </w:tc>
        <w:tc>
          <w:tcPr>
            <w:tcW w:w="1163" w:type="dxa"/>
            <w:tcBorders>
              <w:top w:val="single" w:sz="8" w:space="0" w:color="CCCCCC"/>
              <w:left w:val="single" w:sz="8" w:space="0" w:color="CCCCCC"/>
              <w:bottom w:val="single" w:sz="8" w:space="0" w:color="000000"/>
              <w:right w:val="single" w:sz="8" w:space="0" w:color="000000"/>
            </w:tcBorders>
            <w:shd w:val="clear" w:color="auto" w:fill="auto"/>
            <w:hideMark/>
          </w:tcPr>
          <w:p w14:paraId="75CF5B5E"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Tractoare cu/fără remorcă veh.speciale</w:t>
            </w:r>
          </w:p>
        </w:tc>
        <w:tc>
          <w:tcPr>
            <w:tcW w:w="992"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2EF12AD2"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Autocamioane cu remorci (tren rutier)</w:t>
            </w:r>
          </w:p>
        </w:tc>
        <w:tc>
          <w:tcPr>
            <w:tcW w:w="851"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750495EC"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Vehicule cu tracţiune animală</w:t>
            </w:r>
          </w:p>
        </w:tc>
        <w:tc>
          <w:tcPr>
            <w:tcW w:w="873"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14:paraId="4BF8848E" w14:textId="77777777" w:rsidR="00CD510F" w:rsidRPr="008969BE" w:rsidRDefault="00CD510F" w:rsidP="00CD510F">
            <w:pPr>
              <w:spacing w:after="0" w:line="240" w:lineRule="auto"/>
              <w:jc w:val="center"/>
              <w:rPr>
                <w:rFonts w:ascii="Arial Narrow" w:eastAsia="Times New Roman" w:hAnsi="Arial Narrow" w:cs="Times New Roman"/>
                <w:b/>
                <w:bCs/>
                <w:color w:val="000000"/>
                <w:sz w:val="16"/>
                <w:szCs w:val="16"/>
              </w:rPr>
            </w:pPr>
            <w:r w:rsidRPr="008969BE">
              <w:rPr>
                <w:rFonts w:ascii="Arial Narrow" w:eastAsia="Times New Roman" w:hAnsi="Arial Narrow" w:cs="Times New Roman"/>
                <w:b/>
                <w:bCs/>
                <w:color w:val="000000"/>
                <w:sz w:val="16"/>
                <w:szCs w:val="16"/>
              </w:rPr>
              <w:t>Total vehicule</w:t>
            </w:r>
          </w:p>
        </w:tc>
      </w:tr>
      <w:tr w:rsidR="00CD510F" w:rsidRPr="00CD510F" w14:paraId="5E839A7C" w14:textId="77777777" w:rsidTr="008C3FB2">
        <w:trPr>
          <w:trHeight w:val="300"/>
        </w:trPr>
        <w:tc>
          <w:tcPr>
            <w:tcW w:w="581" w:type="dxa"/>
            <w:tcBorders>
              <w:top w:val="single" w:sz="8" w:space="0" w:color="CCCCCC"/>
              <w:left w:val="single" w:sz="8" w:space="0" w:color="000000"/>
              <w:bottom w:val="single" w:sz="8" w:space="0" w:color="000000"/>
              <w:right w:val="single" w:sz="8" w:space="0" w:color="000000"/>
            </w:tcBorders>
            <w:shd w:val="clear" w:color="000000" w:fill="C9DAF8"/>
            <w:vAlign w:val="center"/>
            <w:hideMark/>
          </w:tcPr>
          <w:p w14:paraId="255E2CDB"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2020</w:t>
            </w:r>
          </w:p>
        </w:tc>
        <w:tc>
          <w:tcPr>
            <w:tcW w:w="969"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28EB8947"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1040"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6EFE39B7"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604"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29F901EA"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907"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50CB3F28"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2042B082"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92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97A2FF0"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836"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F8DD352"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65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EF0AF0F"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116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27883C1"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4634A85"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851"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602EAE20"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c>
          <w:tcPr>
            <w:tcW w:w="87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79DAEB58"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1,00</w:t>
            </w:r>
          </w:p>
        </w:tc>
      </w:tr>
      <w:tr w:rsidR="00CD510F" w:rsidRPr="00CD510F" w14:paraId="595D97B0" w14:textId="77777777" w:rsidTr="008C3FB2">
        <w:trPr>
          <w:trHeight w:val="300"/>
        </w:trPr>
        <w:tc>
          <w:tcPr>
            <w:tcW w:w="581" w:type="dxa"/>
            <w:tcBorders>
              <w:top w:val="single" w:sz="8" w:space="0" w:color="CCCCCC"/>
              <w:left w:val="single" w:sz="8" w:space="0" w:color="000000"/>
              <w:bottom w:val="single" w:sz="8" w:space="0" w:color="000000"/>
              <w:right w:val="single" w:sz="8" w:space="0" w:color="000000"/>
            </w:tcBorders>
            <w:shd w:val="clear" w:color="000000" w:fill="C9DAF8"/>
            <w:vAlign w:val="center"/>
            <w:hideMark/>
          </w:tcPr>
          <w:p w14:paraId="79CA6946"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2025</w:t>
            </w:r>
          </w:p>
        </w:tc>
        <w:tc>
          <w:tcPr>
            <w:tcW w:w="969"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6535A7A6"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1,25</w:t>
            </w:r>
          </w:p>
        </w:tc>
        <w:tc>
          <w:tcPr>
            <w:tcW w:w="1040"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566D8A02"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1,23</w:t>
            </w:r>
          </w:p>
        </w:tc>
        <w:tc>
          <w:tcPr>
            <w:tcW w:w="604"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43544E7C"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1,21</w:t>
            </w:r>
          </w:p>
        </w:tc>
        <w:tc>
          <w:tcPr>
            <w:tcW w:w="907"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453CA22"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1,24</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6D7E4115"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1,21</w:t>
            </w:r>
          </w:p>
        </w:tc>
        <w:tc>
          <w:tcPr>
            <w:tcW w:w="92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F93AE74"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1,19</w:t>
            </w:r>
          </w:p>
        </w:tc>
        <w:tc>
          <w:tcPr>
            <w:tcW w:w="836"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7F985A4C"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w:t>
            </w:r>
          </w:p>
        </w:tc>
        <w:tc>
          <w:tcPr>
            <w:tcW w:w="65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2CD24BA"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1,23</w:t>
            </w:r>
          </w:p>
        </w:tc>
        <w:tc>
          <w:tcPr>
            <w:tcW w:w="116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6306A4A6"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1,25</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0E74D2C"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1,16</w:t>
            </w:r>
          </w:p>
        </w:tc>
        <w:tc>
          <w:tcPr>
            <w:tcW w:w="851"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48854CC"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0,85</w:t>
            </w:r>
          </w:p>
        </w:tc>
        <w:tc>
          <w:tcPr>
            <w:tcW w:w="87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4D29D858"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1,22</w:t>
            </w:r>
          </w:p>
        </w:tc>
      </w:tr>
      <w:tr w:rsidR="00CD510F" w:rsidRPr="00CD510F" w14:paraId="53C81261" w14:textId="77777777" w:rsidTr="008C3FB2">
        <w:trPr>
          <w:trHeight w:val="300"/>
        </w:trPr>
        <w:tc>
          <w:tcPr>
            <w:tcW w:w="581" w:type="dxa"/>
            <w:tcBorders>
              <w:top w:val="single" w:sz="8" w:space="0" w:color="CCCCCC"/>
              <w:left w:val="single" w:sz="8" w:space="0" w:color="000000"/>
              <w:bottom w:val="single" w:sz="8" w:space="0" w:color="000000"/>
              <w:right w:val="single" w:sz="8" w:space="0" w:color="000000"/>
            </w:tcBorders>
            <w:shd w:val="clear" w:color="000000" w:fill="C9DAF8"/>
            <w:vAlign w:val="center"/>
            <w:hideMark/>
          </w:tcPr>
          <w:p w14:paraId="76910E1B"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2027</w:t>
            </w:r>
          </w:p>
        </w:tc>
        <w:tc>
          <w:tcPr>
            <w:tcW w:w="969"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5D7137A"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1,38</w:t>
            </w:r>
          </w:p>
        </w:tc>
        <w:tc>
          <w:tcPr>
            <w:tcW w:w="1040"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712F7EE"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1,35</w:t>
            </w:r>
          </w:p>
        </w:tc>
        <w:tc>
          <w:tcPr>
            <w:tcW w:w="604"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4DBE1950"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1,33</w:t>
            </w:r>
          </w:p>
        </w:tc>
        <w:tc>
          <w:tcPr>
            <w:tcW w:w="907"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0DDE037"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1,36</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2AEF62C4"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1,32</w:t>
            </w:r>
          </w:p>
        </w:tc>
        <w:tc>
          <w:tcPr>
            <w:tcW w:w="92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CACC94D"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1,28</w:t>
            </w:r>
          </w:p>
        </w:tc>
        <w:tc>
          <w:tcPr>
            <w:tcW w:w="836"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4BB36F7B"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1,46</w:t>
            </w:r>
          </w:p>
        </w:tc>
        <w:tc>
          <w:tcPr>
            <w:tcW w:w="65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DC899BA"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1,35</w:t>
            </w:r>
          </w:p>
        </w:tc>
        <w:tc>
          <w:tcPr>
            <w:tcW w:w="116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53BE3874"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1,38</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4388A9B5"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1,24</w:t>
            </w:r>
          </w:p>
        </w:tc>
        <w:tc>
          <w:tcPr>
            <w:tcW w:w="851"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6CE37059"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0,78</w:t>
            </w:r>
          </w:p>
        </w:tc>
        <w:tc>
          <w:tcPr>
            <w:tcW w:w="87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6C5A003D"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1,34</w:t>
            </w:r>
          </w:p>
        </w:tc>
      </w:tr>
      <w:tr w:rsidR="00CD510F" w:rsidRPr="00CD510F" w14:paraId="4C4779A8" w14:textId="77777777" w:rsidTr="008C3FB2">
        <w:trPr>
          <w:trHeight w:val="300"/>
        </w:trPr>
        <w:tc>
          <w:tcPr>
            <w:tcW w:w="581" w:type="dxa"/>
            <w:tcBorders>
              <w:top w:val="single" w:sz="8" w:space="0" w:color="CCCCCC"/>
              <w:left w:val="single" w:sz="8" w:space="0" w:color="000000"/>
              <w:bottom w:val="single" w:sz="8" w:space="0" w:color="000000"/>
              <w:right w:val="single" w:sz="8" w:space="0" w:color="000000"/>
            </w:tcBorders>
            <w:shd w:val="clear" w:color="000000" w:fill="C9DAF8"/>
            <w:vAlign w:val="center"/>
            <w:hideMark/>
          </w:tcPr>
          <w:p w14:paraId="3D75F492"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2030</w:t>
            </w:r>
          </w:p>
        </w:tc>
        <w:tc>
          <w:tcPr>
            <w:tcW w:w="969"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71345D01"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1,58</w:t>
            </w:r>
          </w:p>
        </w:tc>
        <w:tc>
          <w:tcPr>
            <w:tcW w:w="1040"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00E0D2A6"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1,53</w:t>
            </w:r>
          </w:p>
        </w:tc>
        <w:tc>
          <w:tcPr>
            <w:tcW w:w="604"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4BFDD158"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1,5</w:t>
            </w:r>
          </w:p>
        </w:tc>
        <w:tc>
          <w:tcPr>
            <w:tcW w:w="907"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6354E8CC"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1,55</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4B73B885"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1,48</w:t>
            </w:r>
          </w:p>
        </w:tc>
        <w:tc>
          <w:tcPr>
            <w:tcW w:w="92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17A9B10"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1,42</w:t>
            </w:r>
          </w:p>
        </w:tc>
        <w:tc>
          <w:tcPr>
            <w:tcW w:w="836"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479B78FF"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1,71</w:t>
            </w:r>
          </w:p>
        </w:tc>
        <w:tc>
          <w:tcPr>
            <w:tcW w:w="65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27DB3B7"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1,52</w:t>
            </w:r>
          </w:p>
        </w:tc>
        <w:tc>
          <w:tcPr>
            <w:tcW w:w="116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B644E99"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1,58</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7227F242"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1,35</w:t>
            </w:r>
          </w:p>
        </w:tc>
        <w:tc>
          <w:tcPr>
            <w:tcW w:w="851"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0185D467"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0,68</w:t>
            </w:r>
          </w:p>
        </w:tc>
        <w:tc>
          <w:tcPr>
            <w:tcW w:w="87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063221CD"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1,51</w:t>
            </w:r>
          </w:p>
        </w:tc>
      </w:tr>
      <w:tr w:rsidR="00CD510F" w:rsidRPr="00CD510F" w14:paraId="422F964A" w14:textId="77777777" w:rsidTr="008C3FB2">
        <w:trPr>
          <w:trHeight w:val="300"/>
        </w:trPr>
        <w:tc>
          <w:tcPr>
            <w:tcW w:w="581" w:type="dxa"/>
            <w:tcBorders>
              <w:top w:val="single" w:sz="8" w:space="0" w:color="CCCCCC"/>
              <w:left w:val="single" w:sz="8" w:space="0" w:color="000000"/>
              <w:bottom w:val="single" w:sz="8" w:space="0" w:color="000000"/>
              <w:right w:val="single" w:sz="8" w:space="0" w:color="000000"/>
            </w:tcBorders>
            <w:shd w:val="clear" w:color="000000" w:fill="C9DAF8"/>
            <w:vAlign w:val="center"/>
            <w:hideMark/>
          </w:tcPr>
          <w:p w14:paraId="6D13129B"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2035</w:t>
            </w:r>
          </w:p>
        </w:tc>
        <w:tc>
          <w:tcPr>
            <w:tcW w:w="969"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0FBDA678"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1,97</w:t>
            </w:r>
          </w:p>
        </w:tc>
        <w:tc>
          <w:tcPr>
            <w:tcW w:w="1040"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79A7FB45"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1,89</w:t>
            </w:r>
          </w:p>
        </w:tc>
        <w:tc>
          <w:tcPr>
            <w:tcW w:w="604"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C5F7051"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1,84</w:t>
            </w:r>
          </w:p>
        </w:tc>
        <w:tc>
          <w:tcPr>
            <w:tcW w:w="907"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4649CC8"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1,93</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2DF77D4"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1,82</w:t>
            </w:r>
          </w:p>
        </w:tc>
        <w:tc>
          <w:tcPr>
            <w:tcW w:w="92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2204CB52"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1,72</w:t>
            </w:r>
          </w:p>
        </w:tc>
        <w:tc>
          <w:tcPr>
            <w:tcW w:w="836"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2CF8D152"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2,24</w:t>
            </w:r>
          </w:p>
        </w:tc>
        <w:tc>
          <w:tcPr>
            <w:tcW w:w="65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60830A08"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1,9</w:t>
            </w:r>
          </w:p>
        </w:tc>
        <w:tc>
          <w:tcPr>
            <w:tcW w:w="116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1E24CD8B"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2</w:t>
            </w:r>
          </w:p>
        </w:tc>
        <w:tc>
          <w:tcPr>
            <w:tcW w:w="992"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04EE11E9"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1,6</w:t>
            </w:r>
          </w:p>
        </w:tc>
        <w:tc>
          <w:tcPr>
            <w:tcW w:w="851"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3C31C4E7"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0,51</w:t>
            </w:r>
          </w:p>
        </w:tc>
        <w:tc>
          <w:tcPr>
            <w:tcW w:w="873" w:type="dxa"/>
            <w:tcBorders>
              <w:top w:val="single" w:sz="8" w:space="0" w:color="CCCCCC"/>
              <w:left w:val="single" w:sz="8" w:space="0" w:color="CCCCCC"/>
              <w:bottom w:val="single" w:sz="8" w:space="0" w:color="000000"/>
              <w:right w:val="single" w:sz="8" w:space="0" w:color="000000"/>
            </w:tcBorders>
            <w:shd w:val="clear" w:color="000000" w:fill="C9DAF8"/>
            <w:vAlign w:val="center"/>
            <w:hideMark/>
          </w:tcPr>
          <w:p w14:paraId="5C5BA0AB" w14:textId="77777777" w:rsidR="00CD510F" w:rsidRPr="00CD510F" w:rsidRDefault="00CD510F" w:rsidP="00CD510F">
            <w:pPr>
              <w:spacing w:after="0" w:line="240" w:lineRule="auto"/>
              <w:jc w:val="center"/>
              <w:rPr>
                <w:rFonts w:ascii="Arial Narrow" w:eastAsia="Times New Roman" w:hAnsi="Arial Narrow" w:cs="Times New Roman"/>
                <w:b/>
                <w:bCs/>
                <w:color w:val="000000"/>
                <w:sz w:val="16"/>
                <w:szCs w:val="16"/>
              </w:rPr>
            </w:pPr>
            <w:r w:rsidRPr="00CD510F">
              <w:rPr>
                <w:rFonts w:ascii="Arial Narrow" w:eastAsia="Times New Roman" w:hAnsi="Arial Narrow" w:cs="Times New Roman"/>
                <w:b/>
                <w:bCs/>
                <w:color w:val="000000"/>
                <w:sz w:val="16"/>
                <w:szCs w:val="16"/>
              </w:rPr>
              <w:t>1,87</w:t>
            </w:r>
          </w:p>
        </w:tc>
      </w:tr>
    </w:tbl>
    <w:p w14:paraId="36A56A60" w14:textId="77777777" w:rsidR="00556B9F" w:rsidRPr="00CD510F" w:rsidRDefault="00556B9F" w:rsidP="00CD510F">
      <w:pPr>
        <w:spacing w:line="276" w:lineRule="auto"/>
      </w:pPr>
    </w:p>
    <w:p w14:paraId="02EEC862" w14:textId="77777777" w:rsidR="00556B9F" w:rsidRPr="006E2128" w:rsidRDefault="00556B9F" w:rsidP="006E2128">
      <w:pPr>
        <w:pStyle w:val="Titlu3"/>
        <w:rPr>
          <w:rFonts w:ascii="Arial" w:hAnsi="Arial" w:cs="Arial"/>
          <w:sz w:val="24"/>
          <w:szCs w:val="24"/>
        </w:rPr>
      </w:pPr>
      <w:bookmarkStart w:id="268" w:name="_Toc472495794"/>
      <w:bookmarkStart w:id="269" w:name="_Toc491868826"/>
      <w:bookmarkStart w:id="270" w:name="_Toc142039080"/>
      <w:r w:rsidRPr="008969BE">
        <w:rPr>
          <w:rFonts w:ascii="Arial" w:hAnsi="Arial" w:cs="Arial"/>
          <w:sz w:val="24"/>
          <w:szCs w:val="24"/>
        </w:rPr>
        <w:t>I.3.6.1 Afectarea traficului pentru anul de bază 20</w:t>
      </w:r>
      <w:bookmarkEnd w:id="268"/>
      <w:bookmarkEnd w:id="269"/>
      <w:r w:rsidRPr="008969BE">
        <w:rPr>
          <w:rFonts w:ascii="Arial" w:hAnsi="Arial" w:cs="Arial"/>
          <w:sz w:val="24"/>
          <w:szCs w:val="24"/>
        </w:rPr>
        <w:t>2</w:t>
      </w:r>
      <w:r w:rsidR="00885CC3">
        <w:rPr>
          <w:rFonts w:ascii="Arial" w:hAnsi="Arial" w:cs="Arial"/>
          <w:sz w:val="24"/>
          <w:szCs w:val="24"/>
        </w:rPr>
        <w:t>1</w:t>
      </w:r>
      <w:bookmarkEnd w:id="270"/>
    </w:p>
    <w:p w14:paraId="1D8A1379"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r w:rsidRPr="006E2128">
        <w:rPr>
          <w:rFonts w:ascii="Arial" w:hAnsi="Arial" w:cs="Arial"/>
          <w:kern w:val="1"/>
          <w:lang w:val="ro-RO" w:eastAsia="hi-IN" w:bidi="hi-IN"/>
        </w:rPr>
        <w:t>Pentru realizarea și calibrarea modelului de trafic s-au utilizat datele măsurate în puncte ale rețelei rutiere, precum și din chestionare adresate anumitor categorii de persoane, astfel:</w:t>
      </w:r>
    </w:p>
    <w:p w14:paraId="5519C174" w14:textId="77777777" w:rsidR="00556B9F" w:rsidRPr="006E2128" w:rsidRDefault="00556B9F" w:rsidP="006B613A">
      <w:pPr>
        <w:widowControl w:val="0"/>
        <w:numPr>
          <w:ilvl w:val="0"/>
          <w:numId w:val="117"/>
        </w:numPr>
        <w:suppressAutoHyphens/>
        <w:spacing w:after="0" w:line="276" w:lineRule="auto"/>
        <w:jc w:val="both"/>
        <w:rPr>
          <w:rFonts w:ascii="Arial" w:eastAsia="Times New Roman" w:hAnsi="Arial" w:cs="Arial"/>
          <w:lang w:val="x-none" w:eastAsia="zh-CN"/>
        </w:rPr>
      </w:pPr>
      <w:r w:rsidRPr="006E2128">
        <w:rPr>
          <w:rFonts w:ascii="Arial" w:eastAsia="Times New Roman" w:hAnsi="Arial" w:cs="Arial"/>
          <w:lang w:val="x-none" w:eastAsia="zh-CN"/>
        </w:rPr>
        <w:t>Măsurători ale volumelor de vehicule în intersecții</w:t>
      </w:r>
    </w:p>
    <w:p w14:paraId="581F6E55" w14:textId="77777777" w:rsidR="00556B9F" w:rsidRPr="006E2128" w:rsidRDefault="00556B9F" w:rsidP="006B613A">
      <w:pPr>
        <w:widowControl w:val="0"/>
        <w:numPr>
          <w:ilvl w:val="0"/>
          <w:numId w:val="117"/>
        </w:numPr>
        <w:suppressAutoHyphens/>
        <w:spacing w:after="0" w:line="276" w:lineRule="auto"/>
        <w:jc w:val="both"/>
        <w:rPr>
          <w:rFonts w:ascii="Arial" w:eastAsia="Times New Roman" w:hAnsi="Arial" w:cs="Arial"/>
          <w:lang w:val="x-none" w:eastAsia="zh-CN"/>
        </w:rPr>
      </w:pPr>
      <w:r w:rsidRPr="006E2128">
        <w:rPr>
          <w:rFonts w:ascii="Arial" w:eastAsia="Times New Roman" w:hAnsi="Arial" w:cs="Arial"/>
          <w:lang w:val="x-none" w:eastAsia="zh-CN"/>
        </w:rPr>
        <w:t>Determinări ale procentelor de distribuție a vehiculelor în intersecții</w:t>
      </w:r>
    </w:p>
    <w:p w14:paraId="48D8A1FF" w14:textId="77777777" w:rsidR="00556B9F" w:rsidRPr="006E2128" w:rsidRDefault="00556B9F" w:rsidP="006B613A">
      <w:pPr>
        <w:widowControl w:val="0"/>
        <w:numPr>
          <w:ilvl w:val="0"/>
          <w:numId w:val="117"/>
        </w:numPr>
        <w:suppressAutoHyphens/>
        <w:spacing w:after="0" w:line="276" w:lineRule="auto"/>
        <w:jc w:val="both"/>
        <w:rPr>
          <w:rFonts w:ascii="Arial" w:eastAsia="Times New Roman" w:hAnsi="Arial" w:cs="Arial"/>
          <w:lang w:val="x-none" w:eastAsia="zh-CN"/>
        </w:rPr>
      </w:pPr>
      <w:r w:rsidRPr="006E2128">
        <w:rPr>
          <w:rFonts w:ascii="Arial" w:eastAsia="Times New Roman" w:hAnsi="Arial" w:cs="Arial"/>
          <w:lang w:val="x-none" w:eastAsia="zh-CN"/>
        </w:rPr>
        <w:t>Măsurători ale volumelor de vehicule în secțiuni</w:t>
      </w:r>
    </w:p>
    <w:p w14:paraId="39CB9BCA" w14:textId="77777777" w:rsidR="00556B9F" w:rsidRPr="006E2128" w:rsidRDefault="00885CC3" w:rsidP="006B613A">
      <w:pPr>
        <w:widowControl w:val="0"/>
        <w:numPr>
          <w:ilvl w:val="0"/>
          <w:numId w:val="117"/>
        </w:numPr>
        <w:suppressAutoHyphens/>
        <w:spacing w:after="0" w:line="276" w:lineRule="auto"/>
        <w:jc w:val="both"/>
        <w:rPr>
          <w:rFonts w:ascii="Arial" w:eastAsia="Times New Roman" w:hAnsi="Arial" w:cs="Arial"/>
          <w:lang w:val="x-none" w:eastAsia="zh-CN"/>
        </w:rPr>
      </w:pPr>
      <w:r w:rsidRPr="005B6E1D">
        <w:rPr>
          <w:rFonts w:ascii="Arial" w:eastAsia="Times New Roman" w:hAnsi="Arial" w:cs="Arial"/>
          <w:lang w:val="ro-RO" w:eastAsia="zh-CN"/>
        </w:rPr>
        <w:t>Anchete origine-destinație realizate în Orasul Horezu pentru determinarea mișcărilor între zone din interiorul orașului</w:t>
      </w:r>
      <w:r w:rsidR="00556B9F" w:rsidRPr="006E2128">
        <w:rPr>
          <w:rFonts w:ascii="Arial" w:eastAsia="Times New Roman" w:hAnsi="Arial" w:cs="Arial"/>
          <w:lang w:val="x-none" w:eastAsia="zh-CN"/>
        </w:rPr>
        <w:t>.</w:t>
      </w:r>
    </w:p>
    <w:p w14:paraId="53245A4A"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p>
    <w:p w14:paraId="34A8B4C8" w14:textId="77777777" w:rsidR="00556B9F" w:rsidRPr="006E2128" w:rsidRDefault="00556B9F" w:rsidP="006E2128">
      <w:pPr>
        <w:widowControl w:val="0"/>
        <w:suppressAutoHyphens/>
        <w:spacing w:after="0" w:line="276" w:lineRule="auto"/>
        <w:jc w:val="both"/>
        <w:rPr>
          <w:rFonts w:ascii="Arial" w:hAnsi="Arial" w:cs="Arial"/>
          <w:kern w:val="1"/>
          <w:lang w:val="ro-RO" w:eastAsia="hi-IN" w:bidi="hi-IN"/>
        </w:rPr>
      </w:pPr>
      <w:r w:rsidRPr="006E2128">
        <w:rPr>
          <w:rFonts w:ascii="Arial" w:hAnsi="Arial" w:cs="Arial"/>
          <w:kern w:val="1"/>
          <w:lang w:val="ro-RO" w:eastAsia="hi-IN" w:bidi="hi-IN"/>
        </w:rPr>
        <w:t>Datele care au fost obținute din rularea simulărilor realizate se referă la evaluarea individuală a intersecțiilor, dar și la evaluarea rețelei rutiere, în ansamblu. Au fost selectate pentru analiză o serie de intersecții considerate principale. În evaluarea intersecțiilor trebuie ținut cont de faptul că nivelul de serviciu este calculat la nivel de intersecție, iar o întârziere mare pentru un procent relativ mic de vehicule poate conduce la un nivel general de serviciu mai scăzut.</w:t>
      </w:r>
    </w:p>
    <w:p w14:paraId="472C25B6" w14:textId="77777777" w:rsidR="00556B9F" w:rsidRPr="006E2128" w:rsidRDefault="00556B9F" w:rsidP="00737A11">
      <w:pPr>
        <w:pStyle w:val="Titlu4"/>
        <w:numPr>
          <w:ilvl w:val="0"/>
          <w:numId w:val="0"/>
        </w:numPr>
      </w:pPr>
      <w:r w:rsidRPr="008969BE">
        <w:t>I.3.6.1.1 Pentru ora de vârf AM</w:t>
      </w:r>
    </w:p>
    <w:p w14:paraId="03AF94C8" w14:textId="77777777" w:rsidR="00556B9F" w:rsidRPr="008969BE" w:rsidRDefault="00556B9F" w:rsidP="008969BE">
      <w:pPr>
        <w:widowControl w:val="0"/>
        <w:suppressAutoHyphens/>
        <w:spacing w:after="0" w:line="276" w:lineRule="auto"/>
        <w:jc w:val="both"/>
        <w:rPr>
          <w:rFonts w:ascii="Arial" w:hAnsi="Arial" w:cs="Arial"/>
          <w:kern w:val="1"/>
          <w:lang w:val="ro-RO" w:eastAsia="hi-IN" w:bidi="hi-IN"/>
        </w:rPr>
      </w:pPr>
      <w:r w:rsidRPr="008969BE">
        <w:rPr>
          <w:rFonts w:ascii="Arial" w:hAnsi="Arial" w:cs="Arial"/>
          <w:kern w:val="1"/>
          <w:lang w:val="ro-RO" w:eastAsia="hi-IN" w:bidi="hi-IN"/>
        </w:rPr>
        <w:t>În urma rulării modelului de trafic pentru traficul de vârf de dimineață au rezultat următoarele date la nivel de rețea:</w:t>
      </w:r>
    </w:p>
    <w:p w14:paraId="436109EF"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Viteza medie de circulație: 28,99 km/h</w:t>
      </w:r>
    </w:p>
    <w:p w14:paraId="7CC6DC7A"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Întârzierea medie la tranzitarea rețelei: 42,84 secunde/km</w:t>
      </w:r>
    </w:p>
    <w:p w14:paraId="74053F89"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Consum total de combustibil: 256,30 litri</w:t>
      </w:r>
    </w:p>
    <w:p w14:paraId="0863577F"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Emisii CO</w:t>
      </w:r>
      <w:r w:rsidRPr="00052DF0">
        <w:rPr>
          <w:rFonts w:ascii="Arial" w:eastAsia="Times New Roman" w:hAnsi="Arial" w:cs="Arial"/>
          <w:vertAlign w:val="subscript"/>
          <w:lang w:val="ro-RO" w:eastAsia="zh-CN"/>
        </w:rPr>
        <w:t>2</w:t>
      </w:r>
      <w:r w:rsidRPr="00052DF0">
        <w:rPr>
          <w:rFonts w:ascii="Arial" w:eastAsia="Times New Roman" w:hAnsi="Arial" w:cs="Arial"/>
          <w:lang w:val="ro-RO" w:eastAsia="zh-CN"/>
        </w:rPr>
        <w:t xml:space="preserve"> (total rețea): 755,12 kg</w:t>
      </w:r>
    </w:p>
    <w:p w14:paraId="662045D4"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 xml:space="preserve">Emisii NOx (total rețea): 3,29 kg </w:t>
      </w:r>
    </w:p>
    <w:p w14:paraId="7F23B3AC"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Emisii PM (total rețea): 0,17 kg</w:t>
      </w:r>
    </w:p>
    <w:p w14:paraId="17B0CFA3"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hAnsi="Arial" w:cs="Arial"/>
          <w:lang w:val="ro-RO"/>
        </w:rPr>
        <w:t>Emisii HC (total rețea): 5,63 kg</w:t>
      </w:r>
    </w:p>
    <w:p w14:paraId="3F54B4A1" w14:textId="77777777" w:rsidR="008969BE" w:rsidRDefault="008969BE" w:rsidP="008969BE">
      <w:pPr>
        <w:suppressAutoHyphens/>
        <w:spacing w:after="0" w:line="276" w:lineRule="auto"/>
        <w:jc w:val="both"/>
        <w:rPr>
          <w:rFonts w:ascii="Arial" w:eastAsia="Times New Roman" w:hAnsi="Arial" w:cs="Arial"/>
          <w:lang w:eastAsia="zh-CN"/>
        </w:rPr>
      </w:pPr>
    </w:p>
    <w:p w14:paraId="2FA24CA5" w14:textId="53F1EC35" w:rsidR="00055B76" w:rsidRDefault="00052DF0" w:rsidP="00055B76">
      <w:pPr>
        <w:suppressAutoHyphens/>
        <w:spacing w:after="0" w:line="276" w:lineRule="auto"/>
        <w:jc w:val="center"/>
        <w:rPr>
          <w:rFonts w:ascii="Arial" w:eastAsia="Times New Roman" w:hAnsi="Arial" w:cs="Arial"/>
          <w:lang w:eastAsia="zh-CN"/>
        </w:rPr>
      </w:pPr>
      <w:r w:rsidRPr="00052DF0">
        <w:rPr>
          <w:rFonts w:ascii="Arial" w:hAnsi="Arial" w:cs="Arial"/>
          <w:noProof/>
          <w:sz w:val="24"/>
          <w:szCs w:val="24"/>
          <w:highlight w:val="cyan"/>
        </w:rPr>
        <w:lastRenderedPageBreak/>
        <w:drawing>
          <wp:inline distT="0" distB="0" distL="0" distR="0" wp14:anchorId="02FF7DBB" wp14:editId="1E87258F">
            <wp:extent cx="5707946" cy="4218915"/>
            <wp:effectExtent l="0" t="0" r="7620" b="0"/>
            <wp:docPr id="109"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ine 15"/>
                    <pic:cNvPicPr>
                      <a:picLocks noChangeAspect="1" noChangeArrowheads="1"/>
                    </pic:cNvPicPr>
                  </pic:nvPicPr>
                  <pic:blipFill>
                    <a:blip r:embed="rId132" cstate="print">
                      <a:extLst>
                        <a:ext uri="{28A0092B-C50C-407E-A947-70E740481C1C}">
                          <a14:useLocalDpi xmlns:a14="http://schemas.microsoft.com/office/drawing/2010/main" val="0"/>
                        </a:ext>
                      </a:extLst>
                    </a:blip>
                    <a:stretch>
                      <a:fillRect/>
                    </a:stretch>
                  </pic:blipFill>
                  <pic:spPr bwMode="auto">
                    <a:xfrm>
                      <a:off x="0" y="0"/>
                      <a:ext cx="5727358" cy="4233263"/>
                    </a:xfrm>
                    <a:prstGeom prst="rect">
                      <a:avLst/>
                    </a:prstGeom>
                    <a:noFill/>
                    <a:ln>
                      <a:noFill/>
                    </a:ln>
                  </pic:spPr>
                </pic:pic>
              </a:graphicData>
            </a:graphic>
          </wp:inline>
        </w:drawing>
      </w:r>
    </w:p>
    <w:p w14:paraId="00632CB6" w14:textId="2998D52D" w:rsidR="00055B76" w:rsidRPr="00AA5711" w:rsidRDefault="006D4DC5" w:rsidP="00AA5711">
      <w:pPr>
        <w:pStyle w:val="Legend"/>
        <w:jc w:val="center"/>
        <w:rPr>
          <w:rFonts w:ascii="Arial" w:eastAsia="Times New Roman" w:hAnsi="Arial" w:cs="Arial"/>
          <w:i w:val="0"/>
          <w:sz w:val="22"/>
          <w:szCs w:val="22"/>
          <w:lang w:eastAsia="zh-CN"/>
        </w:rPr>
      </w:pPr>
      <w:bookmarkStart w:id="271" w:name="_Toc68361192"/>
      <w:bookmarkStart w:id="272" w:name="_Toc140744513"/>
      <w:r w:rsidRPr="00052DF0">
        <w:rPr>
          <w:rFonts w:ascii="Arial" w:hAnsi="Arial" w:cs="Arial"/>
          <w:sz w:val="22"/>
          <w:szCs w:val="22"/>
        </w:rPr>
        <w:t>Figura I.3.</w:t>
      </w:r>
      <w:r w:rsidR="00AA5711" w:rsidRPr="00052DF0">
        <w:rPr>
          <w:rFonts w:ascii="Arial" w:hAnsi="Arial" w:cs="Arial"/>
          <w:sz w:val="22"/>
          <w:szCs w:val="22"/>
        </w:rPr>
        <w:t xml:space="preserve"> </w:t>
      </w:r>
      <w:r w:rsidRPr="00052DF0">
        <w:rPr>
          <w:rFonts w:ascii="Arial" w:hAnsi="Arial" w:cs="Arial"/>
          <w:sz w:val="22"/>
          <w:szCs w:val="22"/>
        </w:rPr>
        <w:fldChar w:fldCharType="begin"/>
      </w:r>
      <w:r w:rsidRPr="00052DF0">
        <w:rPr>
          <w:rFonts w:ascii="Arial" w:hAnsi="Arial" w:cs="Arial"/>
          <w:sz w:val="22"/>
          <w:szCs w:val="22"/>
        </w:rPr>
        <w:instrText xml:space="preserve"> SEQ Figura_I.3. \* ARABIC </w:instrText>
      </w:r>
      <w:r w:rsidRPr="00052DF0">
        <w:rPr>
          <w:rFonts w:ascii="Arial" w:hAnsi="Arial" w:cs="Arial"/>
          <w:sz w:val="22"/>
          <w:szCs w:val="22"/>
        </w:rPr>
        <w:fldChar w:fldCharType="separate"/>
      </w:r>
      <w:r w:rsidR="00BB181C">
        <w:rPr>
          <w:rFonts w:ascii="Arial" w:hAnsi="Arial" w:cs="Arial"/>
          <w:noProof/>
          <w:sz w:val="22"/>
          <w:szCs w:val="22"/>
        </w:rPr>
        <w:t>36</w:t>
      </w:r>
      <w:r w:rsidRPr="00052DF0">
        <w:rPr>
          <w:rFonts w:ascii="Arial" w:hAnsi="Arial" w:cs="Arial"/>
          <w:sz w:val="22"/>
          <w:szCs w:val="22"/>
        </w:rPr>
        <w:fldChar w:fldCharType="end"/>
      </w:r>
      <w:r w:rsidR="00AA5711" w:rsidRPr="00052DF0">
        <w:rPr>
          <w:rFonts w:ascii="Arial" w:hAnsi="Arial" w:cs="Arial"/>
          <w:sz w:val="22"/>
          <w:szCs w:val="22"/>
        </w:rPr>
        <w:t xml:space="preserve"> - </w:t>
      </w:r>
      <w:r w:rsidR="00055B76" w:rsidRPr="00052DF0">
        <w:rPr>
          <w:rFonts w:ascii="Arial" w:hAnsi="Arial" w:cs="Arial"/>
          <w:i w:val="0"/>
          <w:sz w:val="22"/>
          <w:szCs w:val="22"/>
        </w:rPr>
        <w:t>CO2 și NOX pe segmente,</w:t>
      </w:r>
      <w:r w:rsidR="00AA5711" w:rsidRPr="00052DF0">
        <w:rPr>
          <w:rFonts w:ascii="Arial" w:hAnsi="Arial" w:cs="Arial"/>
          <w:i w:val="0"/>
          <w:sz w:val="22"/>
          <w:szCs w:val="22"/>
        </w:rPr>
        <w:t xml:space="preserve"> AM peak - detaliu zona centrală</w:t>
      </w:r>
      <w:bookmarkEnd w:id="271"/>
      <w:bookmarkEnd w:id="272"/>
    </w:p>
    <w:p w14:paraId="77B702A1" w14:textId="77777777" w:rsidR="00055B76" w:rsidRPr="00AA5711" w:rsidRDefault="00055B76" w:rsidP="00AA5711">
      <w:pPr>
        <w:widowControl w:val="0"/>
        <w:suppressAutoHyphens/>
        <w:spacing w:after="0" w:line="276" w:lineRule="auto"/>
        <w:jc w:val="center"/>
        <w:rPr>
          <w:rFonts w:ascii="Arial" w:hAnsi="Arial" w:cs="Arial"/>
          <w:kern w:val="1"/>
          <w:lang w:val="ro-RO" w:eastAsia="hi-IN" w:bidi="hi-IN"/>
        </w:rPr>
      </w:pPr>
    </w:p>
    <w:p w14:paraId="42ECC364" w14:textId="77777777" w:rsidR="008969BE" w:rsidRDefault="008969BE" w:rsidP="008969BE">
      <w:pPr>
        <w:widowControl w:val="0"/>
        <w:suppressAutoHyphens/>
        <w:spacing w:after="0" w:line="276" w:lineRule="auto"/>
        <w:jc w:val="both"/>
        <w:rPr>
          <w:rFonts w:ascii="Arial" w:hAnsi="Arial" w:cs="Arial"/>
          <w:kern w:val="1"/>
          <w:lang w:val="ro-RO" w:eastAsia="hi-IN" w:bidi="hi-IN"/>
        </w:rPr>
      </w:pPr>
      <w:r w:rsidRPr="00AA5711">
        <w:rPr>
          <w:rFonts w:ascii="Arial" w:hAnsi="Arial" w:cs="Arial"/>
          <w:kern w:val="1"/>
          <w:lang w:val="ro-RO" w:eastAsia="hi-IN" w:bidi="hi-IN"/>
        </w:rPr>
        <w:t>Nivelurile de serviciu rezultate la nivel de intersecție sunt:</w:t>
      </w:r>
      <w:r w:rsidRPr="008969BE">
        <w:rPr>
          <w:rFonts w:ascii="Arial" w:hAnsi="Arial" w:cs="Arial"/>
          <w:kern w:val="1"/>
          <w:lang w:val="ro-RO" w:eastAsia="hi-IN" w:bidi="hi-IN"/>
        </w:rPr>
        <w:t xml:space="preserve"> </w:t>
      </w:r>
    </w:p>
    <w:p w14:paraId="1010A095" w14:textId="77777777" w:rsidR="008969BE" w:rsidRPr="008969BE" w:rsidRDefault="008969BE" w:rsidP="008969BE">
      <w:pPr>
        <w:widowControl w:val="0"/>
        <w:suppressAutoHyphens/>
        <w:spacing w:after="0" w:line="276" w:lineRule="auto"/>
        <w:jc w:val="both"/>
        <w:rPr>
          <w:rFonts w:ascii="Arial" w:hAnsi="Arial" w:cs="Arial"/>
          <w:kern w:val="1"/>
          <w:lang w:val="ro-RO" w:eastAsia="hi-IN" w:bidi="hi-IN"/>
        </w:rPr>
      </w:pPr>
    </w:p>
    <w:p w14:paraId="68ED3204" w14:textId="45CAF6EF" w:rsidR="00556B9F" w:rsidRPr="0022048B" w:rsidRDefault="0022048B" w:rsidP="0022048B">
      <w:pPr>
        <w:pStyle w:val="Legend"/>
        <w:jc w:val="center"/>
        <w:rPr>
          <w:rFonts w:ascii="Arial" w:eastAsia="Times New Roman" w:hAnsi="Arial" w:cs="Arial"/>
          <w:i w:val="0"/>
          <w:iCs w:val="0"/>
          <w:sz w:val="22"/>
          <w:szCs w:val="22"/>
          <w:lang w:val="x-none" w:eastAsia="zh-CN"/>
        </w:rPr>
      </w:pPr>
      <w:bookmarkStart w:id="273" w:name="_Toc68361235"/>
      <w:bookmarkStart w:id="274" w:name="_Toc96447403"/>
      <w:r w:rsidRPr="00052DF0">
        <w:rPr>
          <w:rFonts w:ascii="Arial" w:hAnsi="Arial" w:cs="Arial"/>
          <w:sz w:val="22"/>
          <w:szCs w:val="22"/>
        </w:rPr>
        <w:t xml:space="preserve">Tabel I.3. </w:t>
      </w:r>
      <w:r w:rsidRPr="00052DF0">
        <w:rPr>
          <w:rFonts w:ascii="Arial" w:hAnsi="Arial" w:cs="Arial"/>
          <w:sz w:val="22"/>
          <w:szCs w:val="22"/>
        </w:rPr>
        <w:fldChar w:fldCharType="begin"/>
      </w:r>
      <w:r w:rsidRPr="00052DF0">
        <w:rPr>
          <w:rFonts w:ascii="Arial" w:hAnsi="Arial" w:cs="Arial"/>
          <w:sz w:val="22"/>
          <w:szCs w:val="22"/>
        </w:rPr>
        <w:instrText xml:space="preserve"> SEQ Tabel_I.3. \* ARABIC </w:instrText>
      </w:r>
      <w:r w:rsidRPr="00052DF0">
        <w:rPr>
          <w:rFonts w:ascii="Arial" w:hAnsi="Arial" w:cs="Arial"/>
          <w:sz w:val="22"/>
          <w:szCs w:val="22"/>
        </w:rPr>
        <w:fldChar w:fldCharType="separate"/>
      </w:r>
      <w:r w:rsidR="00BB181C">
        <w:rPr>
          <w:rFonts w:ascii="Arial" w:hAnsi="Arial" w:cs="Arial"/>
          <w:noProof/>
          <w:sz w:val="22"/>
          <w:szCs w:val="22"/>
        </w:rPr>
        <w:t>7</w:t>
      </w:r>
      <w:r w:rsidRPr="00052DF0">
        <w:rPr>
          <w:rFonts w:ascii="Arial" w:hAnsi="Arial" w:cs="Arial"/>
          <w:sz w:val="22"/>
          <w:szCs w:val="22"/>
        </w:rPr>
        <w:fldChar w:fldCharType="end"/>
      </w:r>
      <w:r w:rsidRPr="00052DF0">
        <w:rPr>
          <w:rFonts w:ascii="Arial" w:hAnsi="Arial" w:cs="Arial"/>
          <w:sz w:val="22"/>
          <w:szCs w:val="22"/>
        </w:rPr>
        <w:t xml:space="preserve"> </w:t>
      </w:r>
      <w:r w:rsidR="008969BE" w:rsidRPr="00052DF0">
        <w:rPr>
          <w:rFonts w:ascii="Arial" w:hAnsi="Arial" w:cs="Arial"/>
          <w:sz w:val="22"/>
          <w:szCs w:val="22"/>
        </w:rPr>
        <w:t xml:space="preserve">- </w:t>
      </w:r>
      <w:r w:rsidR="008969BE" w:rsidRPr="00052DF0">
        <w:rPr>
          <w:rFonts w:ascii="Arial" w:hAnsi="Arial" w:cs="Arial"/>
          <w:i w:val="0"/>
          <w:iCs w:val="0"/>
          <w:sz w:val="22"/>
          <w:szCs w:val="22"/>
        </w:rPr>
        <w:t xml:space="preserve">Niveluri de serviciu intersecţii </w:t>
      </w:r>
      <w:r w:rsidRPr="00052DF0">
        <w:rPr>
          <w:rFonts w:ascii="Arial" w:hAnsi="Arial" w:cs="Arial"/>
          <w:i w:val="0"/>
          <w:iCs w:val="0"/>
          <w:sz w:val="22"/>
          <w:szCs w:val="22"/>
        </w:rPr>
        <w:t>Orașul Horezu</w:t>
      </w:r>
      <w:r w:rsidR="008969BE" w:rsidRPr="00052DF0">
        <w:rPr>
          <w:rFonts w:ascii="Arial" w:hAnsi="Arial" w:cs="Arial"/>
          <w:i w:val="0"/>
          <w:iCs w:val="0"/>
          <w:sz w:val="22"/>
          <w:szCs w:val="22"/>
        </w:rPr>
        <w:t xml:space="preserve"> – AM 202</w:t>
      </w:r>
      <w:bookmarkEnd w:id="273"/>
      <w:r w:rsidR="00885CC3" w:rsidRPr="00052DF0">
        <w:rPr>
          <w:rFonts w:ascii="Arial" w:hAnsi="Arial" w:cs="Arial"/>
          <w:i w:val="0"/>
          <w:iCs w:val="0"/>
          <w:sz w:val="22"/>
          <w:szCs w:val="22"/>
        </w:rPr>
        <w:t>1</w:t>
      </w:r>
      <w:bookmarkEnd w:id="274"/>
    </w:p>
    <w:tbl>
      <w:tblPr>
        <w:tblW w:w="8779" w:type="dxa"/>
        <w:jc w:val="center"/>
        <w:tblLook w:val="04A0" w:firstRow="1" w:lastRow="0" w:firstColumn="1" w:lastColumn="0" w:noHBand="0" w:noVBand="1"/>
      </w:tblPr>
      <w:tblGrid>
        <w:gridCol w:w="699"/>
        <w:gridCol w:w="663"/>
        <w:gridCol w:w="3448"/>
        <w:gridCol w:w="1417"/>
        <w:gridCol w:w="1076"/>
        <w:gridCol w:w="1476"/>
      </w:tblGrid>
      <w:tr w:rsidR="00CE76B6" w:rsidRPr="00CE76B6" w14:paraId="36854581" w14:textId="77777777" w:rsidTr="00CE76B6">
        <w:trPr>
          <w:trHeight w:val="1170"/>
          <w:tblHeader/>
          <w:jc w:val="center"/>
        </w:trPr>
        <w:tc>
          <w:tcPr>
            <w:tcW w:w="699"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677F4A2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Nr. crt.</w:t>
            </w:r>
          </w:p>
        </w:tc>
        <w:tc>
          <w:tcPr>
            <w:tcW w:w="663" w:type="dxa"/>
            <w:tcBorders>
              <w:top w:val="single" w:sz="8" w:space="0" w:color="auto"/>
              <w:left w:val="nil"/>
              <w:bottom w:val="single" w:sz="8" w:space="0" w:color="auto"/>
              <w:right w:val="single" w:sz="8" w:space="0" w:color="auto"/>
            </w:tcBorders>
            <w:shd w:val="clear" w:color="000000" w:fill="D9D9D9"/>
            <w:vAlign w:val="center"/>
            <w:hideMark/>
          </w:tcPr>
          <w:p w14:paraId="194C88D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Id</w:t>
            </w:r>
          </w:p>
        </w:tc>
        <w:tc>
          <w:tcPr>
            <w:tcW w:w="3448" w:type="dxa"/>
            <w:tcBorders>
              <w:top w:val="single" w:sz="8" w:space="0" w:color="auto"/>
              <w:left w:val="nil"/>
              <w:bottom w:val="single" w:sz="8" w:space="0" w:color="auto"/>
              <w:right w:val="single" w:sz="8" w:space="0" w:color="auto"/>
            </w:tcBorders>
            <w:shd w:val="clear" w:color="000000" w:fill="D9D9D9"/>
            <w:vAlign w:val="center"/>
            <w:hideMark/>
          </w:tcPr>
          <w:p w14:paraId="282A95AB"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lang w:val="ro-RO"/>
              </w:rPr>
              <w:t>Intersecţie</w:t>
            </w:r>
          </w:p>
        </w:tc>
        <w:tc>
          <w:tcPr>
            <w:tcW w:w="1417" w:type="dxa"/>
            <w:tcBorders>
              <w:top w:val="single" w:sz="8" w:space="0" w:color="auto"/>
              <w:left w:val="nil"/>
              <w:bottom w:val="single" w:sz="8" w:space="0" w:color="auto"/>
              <w:right w:val="single" w:sz="8" w:space="0" w:color="auto"/>
            </w:tcBorders>
            <w:shd w:val="clear" w:color="000000" w:fill="D9D9D9"/>
            <w:vAlign w:val="center"/>
            <w:hideMark/>
          </w:tcPr>
          <w:p w14:paraId="04BC9AB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Tip Control intersecţie</w:t>
            </w:r>
          </w:p>
        </w:tc>
        <w:tc>
          <w:tcPr>
            <w:tcW w:w="1076" w:type="dxa"/>
            <w:tcBorders>
              <w:top w:val="single" w:sz="8" w:space="0" w:color="auto"/>
              <w:left w:val="nil"/>
              <w:bottom w:val="single" w:sz="8" w:space="0" w:color="auto"/>
              <w:right w:val="single" w:sz="8" w:space="0" w:color="auto"/>
            </w:tcBorders>
            <w:shd w:val="clear" w:color="000000" w:fill="D9D9D9"/>
            <w:vAlign w:val="center"/>
            <w:hideMark/>
          </w:tcPr>
          <w:p w14:paraId="5289016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Întârziere medie (s/km)</w:t>
            </w:r>
          </w:p>
        </w:tc>
        <w:tc>
          <w:tcPr>
            <w:tcW w:w="1476" w:type="dxa"/>
            <w:tcBorders>
              <w:top w:val="single" w:sz="8" w:space="0" w:color="auto"/>
              <w:left w:val="nil"/>
              <w:bottom w:val="single" w:sz="8" w:space="0" w:color="auto"/>
              <w:right w:val="single" w:sz="8" w:space="0" w:color="auto"/>
            </w:tcBorders>
            <w:shd w:val="clear" w:color="000000" w:fill="D9D9D9"/>
            <w:vAlign w:val="center"/>
            <w:hideMark/>
          </w:tcPr>
          <w:p w14:paraId="6D089859" w14:textId="77777777" w:rsidR="00CE76B6" w:rsidRPr="00CE76B6" w:rsidRDefault="00CE76B6" w:rsidP="00CE76B6">
            <w:pPr>
              <w:spacing w:after="0" w:line="240" w:lineRule="auto"/>
              <w:jc w:val="center"/>
              <w:rPr>
                <w:rFonts w:ascii="Calibri" w:eastAsia="Times New Roman" w:hAnsi="Calibri" w:cs="Calibri"/>
                <w:color w:val="000000"/>
                <w:lang w:val="ro-RO"/>
              </w:rPr>
            </w:pPr>
            <w:r w:rsidRPr="00CE76B6">
              <w:rPr>
                <w:rFonts w:ascii="Calibri" w:eastAsia="Times New Roman" w:hAnsi="Calibri" w:cs="Calibri"/>
                <w:color w:val="000000"/>
                <w:lang w:val="ro-RO"/>
              </w:rPr>
              <w:t>Nivelul de serviciu</w:t>
            </w:r>
          </w:p>
          <w:p w14:paraId="7DC981C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maxim</w:t>
            </w:r>
          </w:p>
        </w:tc>
      </w:tr>
      <w:tr w:rsidR="00CE76B6" w:rsidRPr="00CE76B6" w14:paraId="5728B3E7"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1C829F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w:t>
            </w:r>
          </w:p>
        </w:tc>
        <w:tc>
          <w:tcPr>
            <w:tcW w:w="663" w:type="dxa"/>
            <w:tcBorders>
              <w:top w:val="nil"/>
              <w:left w:val="nil"/>
              <w:bottom w:val="single" w:sz="8" w:space="0" w:color="auto"/>
              <w:right w:val="single" w:sz="8" w:space="0" w:color="auto"/>
            </w:tcBorders>
            <w:shd w:val="clear" w:color="auto" w:fill="auto"/>
            <w:noWrap/>
            <w:vAlign w:val="center"/>
            <w:hideMark/>
          </w:tcPr>
          <w:p w14:paraId="66FF139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64</w:t>
            </w:r>
          </w:p>
        </w:tc>
        <w:tc>
          <w:tcPr>
            <w:tcW w:w="3448" w:type="dxa"/>
            <w:tcBorders>
              <w:top w:val="nil"/>
              <w:left w:val="nil"/>
              <w:bottom w:val="single" w:sz="8" w:space="0" w:color="auto"/>
              <w:right w:val="single" w:sz="8" w:space="0" w:color="auto"/>
            </w:tcBorders>
            <w:shd w:val="clear" w:color="auto" w:fill="auto"/>
            <w:noWrap/>
            <w:vAlign w:val="center"/>
            <w:hideMark/>
          </w:tcPr>
          <w:p w14:paraId="629E80E8"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 67 – DJ 665 (str. Iancu Jianu)</w:t>
            </w:r>
          </w:p>
        </w:tc>
        <w:tc>
          <w:tcPr>
            <w:tcW w:w="1417" w:type="dxa"/>
            <w:tcBorders>
              <w:top w:val="nil"/>
              <w:left w:val="nil"/>
              <w:bottom w:val="single" w:sz="8" w:space="0" w:color="auto"/>
              <w:right w:val="single" w:sz="8" w:space="0" w:color="auto"/>
            </w:tcBorders>
            <w:shd w:val="clear" w:color="auto" w:fill="auto"/>
            <w:noWrap/>
            <w:vAlign w:val="center"/>
            <w:hideMark/>
          </w:tcPr>
          <w:p w14:paraId="75C43F4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04BDC3A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1,56</w:t>
            </w:r>
          </w:p>
        </w:tc>
        <w:tc>
          <w:tcPr>
            <w:tcW w:w="1476" w:type="dxa"/>
            <w:tcBorders>
              <w:top w:val="nil"/>
              <w:left w:val="nil"/>
              <w:bottom w:val="single" w:sz="8" w:space="0" w:color="auto"/>
              <w:right w:val="single" w:sz="8" w:space="0" w:color="auto"/>
            </w:tcBorders>
            <w:shd w:val="clear" w:color="000000" w:fill="FFFF00"/>
            <w:noWrap/>
            <w:vAlign w:val="center"/>
            <w:hideMark/>
          </w:tcPr>
          <w:p w14:paraId="7F0753D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r>
      <w:tr w:rsidR="00CE76B6" w:rsidRPr="00CE76B6" w14:paraId="4C4AFE12"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F8A795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w:t>
            </w:r>
          </w:p>
        </w:tc>
        <w:tc>
          <w:tcPr>
            <w:tcW w:w="663" w:type="dxa"/>
            <w:tcBorders>
              <w:top w:val="nil"/>
              <w:left w:val="nil"/>
              <w:bottom w:val="single" w:sz="8" w:space="0" w:color="auto"/>
              <w:right w:val="single" w:sz="8" w:space="0" w:color="auto"/>
            </w:tcBorders>
            <w:shd w:val="clear" w:color="auto" w:fill="auto"/>
            <w:noWrap/>
            <w:vAlign w:val="center"/>
            <w:hideMark/>
          </w:tcPr>
          <w:p w14:paraId="0E5EB37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69</w:t>
            </w:r>
          </w:p>
        </w:tc>
        <w:tc>
          <w:tcPr>
            <w:tcW w:w="3448" w:type="dxa"/>
            <w:tcBorders>
              <w:top w:val="nil"/>
              <w:left w:val="nil"/>
              <w:bottom w:val="single" w:sz="8" w:space="0" w:color="auto"/>
              <w:right w:val="single" w:sz="8" w:space="0" w:color="auto"/>
            </w:tcBorders>
            <w:shd w:val="clear" w:color="auto" w:fill="auto"/>
            <w:noWrap/>
            <w:vAlign w:val="center"/>
            <w:hideMark/>
          </w:tcPr>
          <w:p w14:paraId="62178511"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Anton Pann</w:t>
            </w:r>
          </w:p>
        </w:tc>
        <w:tc>
          <w:tcPr>
            <w:tcW w:w="1417" w:type="dxa"/>
            <w:tcBorders>
              <w:top w:val="nil"/>
              <w:left w:val="nil"/>
              <w:bottom w:val="single" w:sz="8" w:space="0" w:color="auto"/>
              <w:right w:val="single" w:sz="8" w:space="0" w:color="auto"/>
            </w:tcBorders>
            <w:shd w:val="clear" w:color="auto" w:fill="auto"/>
            <w:noWrap/>
            <w:vAlign w:val="center"/>
            <w:hideMark/>
          </w:tcPr>
          <w:p w14:paraId="3B58B6C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5569468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0,34</w:t>
            </w:r>
          </w:p>
        </w:tc>
        <w:tc>
          <w:tcPr>
            <w:tcW w:w="1476" w:type="dxa"/>
            <w:tcBorders>
              <w:top w:val="nil"/>
              <w:left w:val="nil"/>
              <w:bottom w:val="single" w:sz="8" w:space="0" w:color="auto"/>
              <w:right w:val="single" w:sz="8" w:space="0" w:color="auto"/>
            </w:tcBorders>
            <w:shd w:val="clear" w:color="000000" w:fill="92D050"/>
            <w:noWrap/>
            <w:vAlign w:val="center"/>
            <w:hideMark/>
          </w:tcPr>
          <w:p w14:paraId="42C2F55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0125F3D5"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401CED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w:t>
            </w:r>
          </w:p>
        </w:tc>
        <w:tc>
          <w:tcPr>
            <w:tcW w:w="663" w:type="dxa"/>
            <w:tcBorders>
              <w:top w:val="nil"/>
              <w:left w:val="nil"/>
              <w:bottom w:val="single" w:sz="8" w:space="0" w:color="auto"/>
              <w:right w:val="single" w:sz="8" w:space="0" w:color="auto"/>
            </w:tcBorders>
            <w:shd w:val="clear" w:color="auto" w:fill="auto"/>
            <w:noWrap/>
            <w:vAlign w:val="center"/>
            <w:hideMark/>
          </w:tcPr>
          <w:p w14:paraId="04698AF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75</w:t>
            </w:r>
          </w:p>
        </w:tc>
        <w:tc>
          <w:tcPr>
            <w:tcW w:w="3448" w:type="dxa"/>
            <w:tcBorders>
              <w:top w:val="nil"/>
              <w:left w:val="nil"/>
              <w:bottom w:val="single" w:sz="8" w:space="0" w:color="auto"/>
              <w:right w:val="single" w:sz="8" w:space="0" w:color="auto"/>
            </w:tcBorders>
            <w:shd w:val="clear" w:color="auto" w:fill="auto"/>
            <w:noWrap/>
            <w:vAlign w:val="center"/>
            <w:hideMark/>
          </w:tcPr>
          <w:p w14:paraId="6005E73F"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Eroilor</w:t>
            </w:r>
          </w:p>
        </w:tc>
        <w:tc>
          <w:tcPr>
            <w:tcW w:w="1417" w:type="dxa"/>
            <w:tcBorders>
              <w:top w:val="nil"/>
              <w:left w:val="nil"/>
              <w:bottom w:val="single" w:sz="8" w:space="0" w:color="auto"/>
              <w:right w:val="single" w:sz="8" w:space="0" w:color="auto"/>
            </w:tcBorders>
            <w:shd w:val="clear" w:color="auto" w:fill="auto"/>
            <w:noWrap/>
            <w:vAlign w:val="center"/>
            <w:hideMark/>
          </w:tcPr>
          <w:p w14:paraId="5D8545D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5CD4F67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1,3</w:t>
            </w:r>
          </w:p>
        </w:tc>
        <w:tc>
          <w:tcPr>
            <w:tcW w:w="1476" w:type="dxa"/>
            <w:tcBorders>
              <w:top w:val="nil"/>
              <w:left w:val="nil"/>
              <w:bottom w:val="single" w:sz="8" w:space="0" w:color="auto"/>
              <w:right w:val="single" w:sz="8" w:space="0" w:color="auto"/>
            </w:tcBorders>
            <w:shd w:val="clear" w:color="000000" w:fill="FFFF00"/>
            <w:noWrap/>
            <w:vAlign w:val="center"/>
            <w:hideMark/>
          </w:tcPr>
          <w:p w14:paraId="70FEFC6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r>
      <w:tr w:rsidR="00CE76B6" w:rsidRPr="00CE76B6" w14:paraId="2901ADFF"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807E1F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4</w:t>
            </w:r>
          </w:p>
        </w:tc>
        <w:tc>
          <w:tcPr>
            <w:tcW w:w="663" w:type="dxa"/>
            <w:tcBorders>
              <w:top w:val="nil"/>
              <w:left w:val="nil"/>
              <w:bottom w:val="single" w:sz="8" w:space="0" w:color="auto"/>
              <w:right w:val="single" w:sz="8" w:space="0" w:color="auto"/>
            </w:tcBorders>
            <w:shd w:val="clear" w:color="auto" w:fill="auto"/>
            <w:noWrap/>
            <w:vAlign w:val="center"/>
            <w:hideMark/>
          </w:tcPr>
          <w:p w14:paraId="51745AF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84</w:t>
            </w:r>
          </w:p>
        </w:tc>
        <w:tc>
          <w:tcPr>
            <w:tcW w:w="3448" w:type="dxa"/>
            <w:tcBorders>
              <w:top w:val="nil"/>
              <w:left w:val="nil"/>
              <w:bottom w:val="single" w:sz="8" w:space="0" w:color="auto"/>
              <w:right w:val="single" w:sz="8" w:space="0" w:color="auto"/>
            </w:tcBorders>
            <w:shd w:val="clear" w:color="auto" w:fill="auto"/>
            <w:noWrap/>
            <w:vAlign w:val="center"/>
            <w:hideMark/>
          </w:tcPr>
          <w:p w14:paraId="77D23E02"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DC143 - str. Nicolae Iorga</w:t>
            </w:r>
          </w:p>
        </w:tc>
        <w:tc>
          <w:tcPr>
            <w:tcW w:w="1417" w:type="dxa"/>
            <w:tcBorders>
              <w:top w:val="nil"/>
              <w:left w:val="nil"/>
              <w:bottom w:val="single" w:sz="8" w:space="0" w:color="auto"/>
              <w:right w:val="single" w:sz="8" w:space="0" w:color="auto"/>
            </w:tcBorders>
            <w:shd w:val="clear" w:color="auto" w:fill="auto"/>
            <w:noWrap/>
            <w:vAlign w:val="center"/>
            <w:hideMark/>
          </w:tcPr>
          <w:p w14:paraId="57A1C28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73B0427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0,11</w:t>
            </w:r>
          </w:p>
        </w:tc>
        <w:tc>
          <w:tcPr>
            <w:tcW w:w="1476" w:type="dxa"/>
            <w:tcBorders>
              <w:top w:val="nil"/>
              <w:left w:val="nil"/>
              <w:bottom w:val="single" w:sz="8" w:space="0" w:color="auto"/>
              <w:right w:val="single" w:sz="8" w:space="0" w:color="auto"/>
            </w:tcBorders>
            <w:shd w:val="clear" w:color="000000" w:fill="92D050"/>
            <w:noWrap/>
            <w:vAlign w:val="center"/>
            <w:hideMark/>
          </w:tcPr>
          <w:p w14:paraId="4BF249A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55BCEE07"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07CC6E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5</w:t>
            </w:r>
          </w:p>
        </w:tc>
        <w:tc>
          <w:tcPr>
            <w:tcW w:w="663" w:type="dxa"/>
            <w:tcBorders>
              <w:top w:val="nil"/>
              <w:left w:val="nil"/>
              <w:bottom w:val="single" w:sz="8" w:space="0" w:color="auto"/>
              <w:right w:val="single" w:sz="8" w:space="0" w:color="auto"/>
            </w:tcBorders>
            <w:shd w:val="clear" w:color="auto" w:fill="auto"/>
            <w:noWrap/>
            <w:vAlign w:val="center"/>
            <w:hideMark/>
          </w:tcPr>
          <w:p w14:paraId="0DE89A9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85</w:t>
            </w:r>
          </w:p>
        </w:tc>
        <w:tc>
          <w:tcPr>
            <w:tcW w:w="3448" w:type="dxa"/>
            <w:tcBorders>
              <w:top w:val="nil"/>
              <w:left w:val="nil"/>
              <w:bottom w:val="single" w:sz="8" w:space="0" w:color="auto"/>
              <w:right w:val="single" w:sz="8" w:space="0" w:color="auto"/>
            </w:tcBorders>
            <w:shd w:val="clear" w:color="auto" w:fill="auto"/>
            <w:noWrap/>
            <w:vAlign w:val="center"/>
            <w:hideMark/>
          </w:tcPr>
          <w:p w14:paraId="2F804012"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DC 143 – str. Mihai Viteazu</w:t>
            </w:r>
          </w:p>
        </w:tc>
        <w:tc>
          <w:tcPr>
            <w:tcW w:w="1417" w:type="dxa"/>
            <w:tcBorders>
              <w:top w:val="nil"/>
              <w:left w:val="nil"/>
              <w:bottom w:val="single" w:sz="8" w:space="0" w:color="auto"/>
              <w:right w:val="single" w:sz="8" w:space="0" w:color="auto"/>
            </w:tcBorders>
            <w:shd w:val="clear" w:color="auto" w:fill="auto"/>
            <w:noWrap/>
            <w:vAlign w:val="center"/>
            <w:hideMark/>
          </w:tcPr>
          <w:p w14:paraId="6626AD8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74DB2C3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1,94</w:t>
            </w:r>
          </w:p>
        </w:tc>
        <w:tc>
          <w:tcPr>
            <w:tcW w:w="1476" w:type="dxa"/>
            <w:tcBorders>
              <w:top w:val="nil"/>
              <w:left w:val="nil"/>
              <w:bottom w:val="single" w:sz="8" w:space="0" w:color="auto"/>
              <w:right w:val="single" w:sz="8" w:space="0" w:color="auto"/>
            </w:tcBorders>
            <w:shd w:val="clear" w:color="000000" w:fill="92D050"/>
            <w:noWrap/>
            <w:vAlign w:val="center"/>
            <w:hideMark/>
          </w:tcPr>
          <w:p w14:paraId="173B371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7B91A003"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C0474B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6</w:t>
            </w:r>
          </w:p>
        </w:tc>
        <w:tc>
          <w:tcPr>
            <w:tcW w:w="663" w:type="dxa"/>
            <w:tcBorders>
              <w:top w:val="nil"/>
              <w:left w:val="nil"/>
              <w:bottom w:val="single" w:sz="8" w:space="0" w:color="auto"/>
              <w:right w:val="single" w:sz="8" w:space="0" w:color="auto"/>
            </w:tcBorders>
            <w:shd w:val="clear" w:color="auto" w:fill="auto"/>
            <w:noWrap/>
            <w:vAlign w:val="center"/>
            <w:hideMark/>
          </w:tcPr>
          <w:p w14:paraId="61FF233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86</w:t>
            </w:r>
          </w:p>
        </w:tc>
        <w:tc>
          <w:tcPr>
            <w:tcW w:w="3448" w:type="dxa"/>
            <w:tcBorders>
              <w:top w:val="nil"/>
              <w:left w:val="nil"/>
              <w:bottom w:val="single" w:sz="8" w:space="0" w:color="auto"/>
              <w:right w:val="single" w:sz="8" w:space="0" w:color="auto"/>
            </w:tcBorders>
            <w:shd w:val="clear" w:color="auto" w:fill="auto"/>
            <w:noWrap/>
            <w:vAlign w:val="center"/>
            <w:hideMark/>
          </w:tcPr>
          <w:p w14:paraId="13F7DE4A"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Căpitan Maldăr</w:t>
            </w:r>
          </w:p>
        </w:tc>
        <w:tc>
          <w:tcPr>
            <w:tcW w:w="1417" w:type="dxa"/>
            <w:tcBorders>
              <w:top w:val="nil"/>
              <w:left w:val="nil"/>
              <w:bottom w:val="single" w:sz="8" w:space="0" w:color="auto"/>
              <w:right w:val="single" w:sz="8" w:space="0" w:color="auto"/>
            </w:tcBorders>
            <w:shd w:val="clear" w:color="auto" w:fill="auto"/>
            <w:noWrap/>
            <w:vAlign w:val="center"/>
            <w:hideMark/>
          </w:tcPr>
          <w:p w14:paraId="27176B6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488093A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2,6</w:t>
            </w:r>
          </w:p>
        </w:tc>
        <w:tc>
          <w:tcPr>
            <w:tcW w:w="1476" w:type="dxa"/>
            <w:tcBorders>
              <w:top w:val="nil"/>
              <w:left w:val="nil"/>
              <w:bottom w:val="single" w:sz="8" w:space="0" w:color="auto"/>
              <w:right w:val="single" w:sz="8" w:space="0" w:color="auto"/>
            </w:tcBorders>
            <w:shd w:val="clear" w:color="000000" w:fill="FFC000"/>
            <w:noWrap/>
            <w:vAlign w:val="center"/>
            <w:hideMark/>
          </w:tcPr>
          <w:p w14:paraId="07AC645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3AF76EF7"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1CB4877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7</w:t>
            </w:r>
          </w:p>
        </w:tc>
        <w:tc>
          <w:tcPr>
            <w:tcW w:w="663" w:type="dxa"/>
            <w:tcBorders>
              <w:top w:val="nil"/>
              <w:left w:val="nil"/>
              <w:bottom w:val="single" w:sz="8" w:space="0" w:color="auto"/>
              <w:right w:val="single" w:sz="8" w:space="0" w:color="auto"/>
            </w:tcBorders>
            <w:shd w:val="clear" w:color="auto" w:fill="auto"/>
            <w:noWrap/>
            <w:vAlign w:val="center"/>
            <w:hideMark/>
          </w:tcPr>
          <w:p w14:paraId="54BD4A6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88</w:t>
            </w:r>
          </w:p>
        </w:tc>
        <w:tc>
          <w:tcPr>
            <w:tcW w:w="3448" w:type="dxa"/>
            <w:tcBorders>
              <w:top w:val="nil"/>
              <w:left w:val="nil"/>
              <w:bottom w:val="single" w:sz="8" w:space="0" w:color="auto"/>
              <w:right w:val="single" w:sz="8" w:space="0" w:color="auto"/>
            </w:tcBorders>
            <w:shd w:val="clear" w:color="auto" w:fill="auto"/>
            <w:noWrap/>
            <w:vAlign w:val="center"/>
            <w:hideMark/>
          </w:tcPr>
          <w:p w14:paraId="7CDD16E7"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13 - DC 139 – DN 67 (A)</w:t>
            </w:r>
          </w:p>
        </w:tc>
        <w:tc>
          <w:tcPr>
            <w:tcW w:w="1417" w:type="dxa"/>
            <w:tcBorders>
              <w:top w:val="nil"/>
              <w:left w:val="nil"/>
              <w:bottom w:val="single" w:sz="8" w:space="0" w:color="auto"/>
              <w:right w:val="single" w:sz="8" w:space="0" w:color="auto"/>
            </w:tcBorders>
            <w:shd w:val="clear" w:color="auto" w:fill="auto"/>
            <w:noWrap/>
            <w:vAlign w:val="center"/>
            <w:hideMark/>
          </w:tcPr>
          <w:p w14:paraId="48C49DE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39EB1FE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2,82</w:t>
            </w:r>
          </w:p>
        </w:tc>
        <w:tc>
          <w:tcPr>
            <w:tcW w:w="1476" w:type="dxa"/>
            <w:tcBorders>
              <w:top w:val="nil"/>
              <w:left w:val="nil"/>
              <w:bottom w:val="single" w:sz="8" w:space="0" w:color="auto"/>
              <w:right w:val="single" w:sz="8" w:space="0" w:color="auto"/>
            </w:tcBorders>
            <w:shd w:val="clear" w:color="000000" w:fill="BF8F00"/>
            <w:noWrap/>
            <w:vAlign w:val="center"/>
            <w:hideMark/>
          </w:tcPr>
          <w:p w14:paraId="0C33D17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D</w:t>
            </w:r>
          </w:p>
        </w:tc>
      </w:tr>
      <w:tr w:rsidR="00CE76B6" w:rsidRPr="00CE76B6" w14:paraId="018CE52E"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168BE1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lastRenderedPageBreak/>
              <w:t>8</w:t>
            </w:r>
          </w:p>
        </w:tc>
        <w:tc>
          <w:tcPr>
            <w:tcW w:w="663" w:type="dxa"/>
            <w:tcBorders>
              <w:top w:val="nil"/>
              <w:left w:val="nil"/>
              <w:bottom w:val="single" w:sz="8" w:space="0" w:color="auto"/>
              <w:right w:val="single" w:sz="8" w:space="0" w:color="auto"/>
            </w:tcBorders>
            <w:shd w:val="clear" w:color="auto" w:fill="auto"/>
            <w:noWrap/>
            <w:vAlign w:val="center"/>
            <w:hideMark/>
          </w:tcPr>
          <w:p w14:paraId="6A505ED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89</w:t>
            </w:r>
          </w:p>
        </w:tc>
        <w:tc>
          <w:tcPr>
            <w:tcW w:w="3448" w:type="dxa"/>
            <w:tcBorders>
              <w:top w:val="nil"/>
              <w:left w:val="nil"/>
              <w:bottom w:val="single" w:sz="8" w:space="0" w:color="auto"/>
              <w:right w:val="single" w:sz="8" w:space="0" w:color="auto"/>
            </w:tcBorders>
            <w:shd w:val="clear" w:color="auto" w:fill="auto"/>
            <w:noWrap/>
            <w:vAlign w:val="center"/>
            <w:hideMark/>
          </w:tcPr>
          <w:p w14:paraId="2852BDE3"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13 - DC 139 – DN 67 (B)</w:t>
            </w:r>
          </w:p>
        </w:tc>
        <w:tc>
          <w:tcPr>
            <w:tcW w:w="1417" w:type="dxa"/>
            <w:tcBorders>
              <w:top w:val="nil"/>
              <w:left w:val="nil"/>
              <w:bottom w:val="single" w:sz="8" w:space="0" w:color="auto"/>
              <w:right w:val="single" w:sz="8" w:space="0" w:color="auto"/>
            </w:tcBorders>
            <w:shd w:val="clear" w:color="auto" w:fill="auto"/>
            <w:noWrap/>
            <w:vAlign w:val="center"/>
            <w:hideMark/>
          </w:tcPr>
          <w:p w14:paraId="094B834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30F753F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0,52</w:t>
            </w:r>
          </w:p>
        </w:tc>
        <w:tc>
          <w:tcPr>
            <w:tcW w:w="1476" w:type="dxa"/>
            <w:tcBorders>
              <w:top w:val="nil"/>
              <w:left w:val="nil"/>
              <w:bottom w:val="single" w:sz="8" w:space="0" w:color="auto"/>
              <w:right w:val="single" w:sz="8" w:space="0" w:color="auto"/>
            </w:tcBorders>
            <w:shd w:val="clear" w:color="000000" w:fill="FFC000"/>
            <w:noWrap/>
            <w:vAlign w:val="center"/>
            <w:hideMark/>
          </w:tcPr>
          <w:p w14:paraId="1B5E090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5E3212FB"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1540B97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w:t>
            </w:r>
          </w:p>
        </w:tc>
        <w:tc>
          <w:tcPr>
            <w:tcW w:w="663" w:type="dxa"/>
            <w:tcBorders>
              <w:top w:val="nil"/>
              <w:left w:val="nil"/>
              <w:bottom w:val="single" w:sz="8" w:space="0" w:color="auto"/>
              <w:right w:val="single" w:sz="8" w:space="0" w:color="auto"/>
            </w:tcBorders>
            <w:shd w:val="clear" w:color="auto" w:fill="auto"/>
            <w:noWrap/>
            <w:vAlign w:val="center"/>
            <w:hideMark/>
          </w:tcPr>
          <w:p w14:paraId="6F17634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90</w:t>
            </w:r>
          </w:p>
        </w:tc>
        <w:tc>
          <w:tcPr>
            <w:tcW w:w="3448" w:type="dxa"/>
            <w:tcBorders>
              <w:top w:val="nil"/>
              <w:left w:val="nil"/>
              <w:bottom w:val="single" w:sz="8" w:space="0" w:color="auto"/>
              <w:right w:val="single" w:sz="8" w:space="0" w:color="auto"/>
            </w:tcBorders>
            <w:shd w:val="clear" w:color="auto" w:fill="auto"/>
            <w:noWrap/>
            <w:vAlign w:val="center"/>
            <w:hideMark/>
          </w:tcPr>
          <w:p w14:paraId="6F482205"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Zăvoiului</w:t>
            </w:r>
          </w:p>
        </w:tc>
        <w:tc>
          <w:tcPr>
            <w:tcW w:w="1417" w:type="dxa"/>
            <w:tcBorders>
              <w:top w:val="nil"/>
              <w:left w:val="nil"/>
              <w:bottom w:val="single" w:sz="8" w:space="0" w:color="auto"/>
              <w:right w:val="single" w:sz="8" w:space="0" w:color="auto"/>
            </w:tcBorders>
            <w:shd w:val="clear" w:color="auto" w:fill="auto"/>
            <w:noWrap/>
            <w:vAlign w:val="center"/>
            <w:hideMark/>
          </w:tcPr>
          <w:p w14:paraId="3D4E1B3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7877017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1,17</w:t>
            </w:r>
          </w:p>
        </w:tc>
        <w:tc>
          <w:tcPr>
            <w:tcW w:w="1476" w:type="dxa"/>
            <w:tcBorders>
              <w:top w:val="nil"/>
              <w:left w:val="nil"/>
              <w:bottom w:val="single" w:sz="8" w:space="0" w:color="auto"/>
              <w:right w:val="single" w:sz="8" w:space="0" w:color="auto"/>
            </w:tcBorders>
            <w:shd w:val="clear" w:color="000000" w:fill="FFFF00"/>
            <w:noWrap/>
            <w:vAlign w:val="center"/>
            <w:hideMark/>
          </w:tcPr>
          <w:p w14:paraId="088129E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r>
      <w:tr w:rsidR="00CE76B6" w:rsidRPr="00CE76B6" w14:paraId="57876C4E"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20F15A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10</w:t>
            </w:r>
          </w:p>
        </w:tc>
        <w:tc>
          <w:tcPr>
            <w:tcW w:w="663" w:type="dxa"/>
            <w:tcBorders>
              <w:top w:val="nil"/>
              <w:left w:val="nil"/>
              <w:bottom w:val="single" w:sz="8" w:space="0" w:color="auto"/>
              <w:right w:val="single" w:sz="8" w:space="0" w:color="auto"/>
            </w:tcBorders>
            <w:shd w:val="clear" w:color="auto" w:fill="auto"/>
            <w:noWrap/>
            <w:vAlign w:val="center"/>
            <w:hideMark/>
          </w:tcPr>
          <w:p w14:paraId="57BD914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91</w:t>
            </w:r>
          </w:p>
        </w:tc>
        <w:tc>
          <w:tcPr>
            <w:tcW w:w="3448" w:type="dxa"/>
            <w:tcBorders>
              <w:top w:val="nil"/>
              <w:left w:val="nil"/>
              <w:bottom w:val="single" w:sz="8" w:space="0" w:color="auto"/>
              <w:right w:val="single" w:sz="8" w:space="0" w:color="auto"/>
            </w:tcBorders>
            <w:shd w:val="clear" w:color="auto" w:fill="auto"/>
            <w:noWrap/>
            <w:vAlign w:val="center"/>
            <w:hideMark/>
          </w:tcPr>
          <w:p w14:paraId="1E7B8885"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 xml:space="preserve"> DC 142 – str. Matei Basarab</w:t>
            </w:r>
          </w:p>
        </w:tc>
        <w:tc>
          <w:tcPr>
            <w:tcW w:w="1417" w:type="dxa"/>
            <w:tcBorders>
              <w:top w:val="nil"/>
              <w:left w:val="nil"/>
              <w:bottom w:val="single" w:sz="8" w:space="0" w:color="auto"/>
              <w:right w:val="single" w:sz="8" w:space="0" w:color="auto"/>
            </w:tcBorders>
            <w:shd w:val="clear" w:color="auto" w:fill="auto"/>
            <w:noWrap/>
            <w:vAlign w:val="center"/>
            <w:hideMark/>
          </w:tcPr>
          <w:p w14:paraId="0431187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6A84E91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0,43</w:t>
            </w:r>
          </w:p>
        </w:tc>
        <w:tc>
          <w:tcPr>
            <w:tcW w:w="1476" w:type="dxa"/>
            <w:tcBorders>
              <w:top w:val="nil"/>
              <w:left w:val="nil"/>
              <w:bottom w:val="single" w:sz="8" w:space="0" w:color="auto"/>
              <w:right w:val="single" w:sz="8" w:space="0" w:color="auto"/>
            </w:tcBorders>
            <w:shd w:val="clear" w:color="000000" w:fill="92D050"/>
            <w:noWrap/>
            <w:vAlign w:val="center"/>
            <w:hideMark/>
          </w:tcPr>
          <w:p w14:paraId="07EE2ED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0DF28CA0"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0152DEC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11</w:t>
            </w:r>
          </w:p>
        </w:tc>
        <w:tc>
          <w:tcPr>
            <w:tcW w:w="663" w:type="dxa"/>
            <w:tcBorders>
              <w:top w:val="nil"/>
              <w:left w:val="nil"/>
              <w:bottom w:val="single" w:sz="8" w:space="0" w:color="auto"/>
              <w:right w:val="single" w:sz="8" w:space="0" w:color="auto"/>
            </w:tcBorders>
            <w:shd w:val="clear" w:color="auto" w:fill="auto"/>
            <w:noWrap/>
            <w:vAlign w:val="center"/>
            <w:hideMark/>
          </w:tcPr>
          <w:p w14:paraId="6338539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94</w:t>
            </w:r>
          </w:p>
        </w:tc>
        <w:tc>
          <w:tcPr>
            <w:tcW w:w="3448" w:type="dxa"/>
            <w:tcBorders>
              <w:top w:val="nil"/>
              <w:left w:val="nil"/>
              <w:bottom w:val="single" w:sz="8" w:space="0" w:color="auto"/>
              <w:right w:val="single" w:sz="8" w:space="0" w:color="auto"/>
            </w:tcBorders>
            <w:shd w:val="clear" w:color="auto" w:fill="auto"/>
            <w:noWrap/>
            <w:vAlign w:val="center"/>
            <w:hideMark/>
          </w:tcPr>
          <w:p w14:paraId="02EC0B59"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George Coșbuc</w:t>
            </w:r>
          </w:p>
        </w:tc>
        <w:tc>
          <w:tcPr>
            <w:tcW w:w="1417" w:type="dxa"/>
            <w:tcBorders>
              <w:top w:val="nil"/>
              <w:left w:val="nil"/>
              <w:bottom w:val="single" w:sz="8" w:space="0" w:color="auto"/>
              <w:right w:val="single" w:sz="8" w:space="0" w:color="auto"/>
            </w:tcBorders>
            <w:shd w:val="clear" w:color="auto" w:fill="auto"/>
            <w:noWrap/>
            <w:vAlign w:val="center"/>
            <w:hideMark/>
          </w:tcPr>
          <w:p w14:paraId="347C107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168FF1A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2,29</w:t>
            </w:r>
          </w:p>
        </w:tc>
        <w:tc>
          <w:tcPr>
            <w:tcW w:w="1476" w:type="dxa"/>
            <w:tcBorders>
              <w:top w:val="nil"/>
              <w:left w:val="nil"/>
              <w:bottom w:val="single" w:sz="8" w:space="0" w:color="auto"/>
              <w:right w:val="single" w:sz="8" w:space="0" w:color="auto"/>
            </w:tcBorders>
            <w:shd w:val="clear" w:color="000000" w:fill="FFC000"/>
            <w:noWrap/>
            <w:vAlign w:val="center"/>
            <w:hideMark/>
          </w:tcPr>
          <w:p w14:paraId="2B37924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29A46F4D"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D0994C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12</w:t>
            </w:r>
          </w:p>
        </w:tc>
        <w:tc>
          <w:tcPr>
            <w:tcW w:w="663" w:type="dxa"/>
            <w:tcBorders>
              <w:top w:val="nil"/>
              <w:left w:val="nil"/>
              <w:bottom w:val="single" w:sz="8" w:space="0" w:color="auto"/>
              <w:right w:val="single" w:sz="8" w:space="0" w:color="auto"/>
            </w:tcBorders>
            <w:shd w:val="clear" w:color="auto" w:fill="auto"/>
            <w:noWrap/>
            <w:vAlign w:val="center"/>
            <w:hideMark/>
          </w:tcPr>
          <w:p w14:paraId="639CF75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98</w:t>
            </w:r>
          </w:p>
        </w:tc>
        <w:tc>
          <w:tcPr>
            <w:tcW w:w="3448" w:type="dxa"/>
            <w:tcBorders>
              <w:top w:val="nil"/>
              <w:left w:val="nil"/>
              <w:bottom w:val="single" w:sz="8" w:space="0" w:color="auto"/>
              <w:right w:val="single" w:sz="8" w:space="0" w:color="auto"/>
            </w:tcBorders>
            <w:shd w:val="clear" w:color="auto" w:fill="auto"/>
            <w:noWrap/>
            <w:vAlign w:val="center"/>
            <w:hideMark/>
          </w:tcPr>
          <w:p w14:paraId="17C9EA80"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DC 143 – str. Mihai Viteazu</w:t>
            </w:r>
          </w:p>
        </w:tc>
        <w:tc>
          <w:tcPr>
            <w:tcW w:w="1417" w:type="dxa"/>
            <w:tcBorders>
              <w:top w:val="nil"/>
              <w:left w:val="nil"/>
              <w:bottom w:val="single" w:sz="8" w:space="0" w:color="auto"/>
              <w:right w:val="single" w:sz="8" w:space="0" w:color="auto"/>
            </w:tcBorders>
            <w:shd w:val="clear" w:color="auto" w:fill="auto"/>
            <w:noWrap/>
            <w:vAlign w:val="center"/>
            <w:hideMark/>
          </w:tcPr>
          <w:p w14:paraId="3835E9D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0757F56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0,85</w:t>
            </w:r>
          </w:p>
        </w:tc>
        <w:tc>
          <w:tcPr>
            <w:tcW w:w="1476" w:type="dxa"/>
            <w:tcBorders>
              <w:top w:val="nil"/>
              <w:left w:val="nil"/>
              <w:bottom w:val="single" w:sz="8" w:space="0" w:color="auto"/>
              <w:right w:val="single" w:sz="8" w:space="0" w:color="auto"/>
            </w:tcBorders>
            <w:shd w:val="clear" w:color="000000" w:fill="92D050"/>
            <w:noWrap/>
            <w:vAlign w:val="center"/>
            <w:hideMark/>
          </w:tcPr>
          <w:p w14:paraId="546E61A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198B48CD"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44EA29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13</w:t>
            </w:r>
          </w:p>
        </w:tc>
        <w:tc>
          <w:tcPr>
            <w:tcW w:w="663" w:type="dxa"/>
            <w:tcBorders>
              <w:top w:val="nil"/>
              <w:left w:val="nil"/>
              <w:bottom w:val="single" w:sz="8" w:space="0" w:color="auto"/>
              <w:right w:val="single" w:sz="8" w:space="0" w:color="auto"/>
            </w:tcBorders>
            <w:shd w:val="clear" w:color="auto" w:fill="auto"/>
            <w:noWrap/>
            <w:vAlign w:val="center"/>
            <w:hideMark/>
          </w:tcPr>
          <w:p w14:paraId="77BFFE2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153</w:t>
            </w:r>
          </w:p>
        </w:tc>
        <w:tc>
          <w:tcPr>
            <w:tcW w:w="3448" w:type="dxa"/>
            <w:tcBorders>
              <w:top w:val="nil"/>
              <w:left w:val="nil"/>
              <w:bottom w:val="single" w:sz="8" w:space="0" w:color="auto"/>
              <w:right w:val="single" w:sz="8" w:space="0" w:color="auto"/>
            </w:tcBorders>
            <w:shd w:val="clear" w:color="auto" w:fill="auto"/>
            <w:noWrap/>
            <w:vAlign w:val="center"/>
            <w:hideMark/>
          </w:tcPr>
          <w:p w14:paraId="1B85F7B6"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 xml:space="preserve"> DN 67 – str. Stadionului</w:t>
            </w:r>
          </w:p>
        </w:tc>
        <w:tc>
          <w:tcPr>
            <w:tcW w:w="1417" w:type="dxa"/>
            <w:tcBorders>
              <w:top w:val="nil"/>
              <w:left w:val="nil"/>
              <w:bottom w:val="single" w:sz="8" w:space="0" w:color="auto"/>
              <w:right w:val="single" w:sz="8" w:space="0" w:color="auto"/>
            </w:tcBorders>
            <w:shd w:val="clear" w:color="auto" w:fill="auto"/>
            <w:noWrap/>
            <w:vAlign w:val="center"/>
            <w:hideMark/>
          </w:tcPr>
          <w:p w14:paraId="7D7CB6F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3484F8C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0,12</w:t>
            </w:r>
          </w:p>
        </w:tc>
        <w:tc>
          <w:tcPr>
            <w:tcW w:w="1476" w:type="dxa"/>
            <w:tcBorders>
              <w:top w:val="nil"/>
              <w:left w:val="nil"/>
              <w:bottom w:val="single" w:sz="8" w:space="0" w:color="auto"/>
              <w:right w:val="single" w:sz="8" w:space="0" w:color="auto"/>
            </w:tcBorders>
            <w:shd w:val="clear" w:color="000000" w:fill="92D050"/>
            <w:noWrap/>
            <w:vAlign w:val="center"/>
            <w:hideMark/>
          </w:tcPr>
          <w:p w14:paraId="6C47CCD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23C41149"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0F74A68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14</w:t>
            </w:r>
          </w:p>
        </w:tc>
        <w:tc>
          <w:tcPr>
            <w:tcW w:w="663" w:type="dxa"/>
            <w:tcBorders>
              <w:top w:val="nil"/>
              <w:left w:val="nil"/>
              <w:bottom w:val="single" w:sz="8" w:space="0" w:color="auto"/>
              <w:right w:val="single" w:sz="8" w:space="0" w:color="auto"/>
            </w:tcBorders>
            <w:shd w:val="clear" w:color="auto" w:fill="auto"/>
            <w:noWrap/>
            <w:vAlign w:val="center"/>
            <w:hideMark/>
          </w:tcPr>
          <w:p w14:paraId="092582E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162</w:t>
            </w:r>
          </w:p>
        </w:tc>
        <w:tc>
          <w:tcPr>
            <w:tcW w:w="3448" w:type="dxa"/>
            <w:tcBorders>
              <w:top w:val="nil"/>
              <w:left w:val="nil"/>
              <w:bottom w:val="single" w:sz="8" w:space="0" w:color="auto"/>
              <w:right w:val="single" w:sz="8" w:space="0" w:color="auto"/>
            </w:tcBorders>
            <w:shd w:val="clear" w:color="auto" w:fill="auto"/>
            <w:noWrap/>
            <w:vAlign w:val="center"/>
            <w:hideMark/>
          </w:tcPr>
          <w:p w14:paraId="7F1AB28C"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 xml:space="preserve"> DC 144 – str. spre Romanii de Sus (Stejarului)</w:t>
            </w:r>
          </w:p>
        </w:tc>
        <w:tc>
          <w:tcPr>
            <w:tcW w:w="1417" w:type="dxa"/>
            <w:tcBorders>
              <w:top w:val="nil"/>
              <w:left w:val="nil"/>
              <w:bottom w:val="single" w:sz="8" w:space="0" w:color="auto"/>
              <w:right w:val="single" w:sz="8" w:space="0" w:color="auto"/>
            </w:tcBorders>
            <w:shd w:val="clear" w:color="auto" w:fill="auto"/>
            <w:noWrap/>
            <w:vAlign w:val="center"/>
            <w:hideMark/>
          </w:tcPr>
          <w:p w14:paraId="3E40A9A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51B8809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1,38</w:t>
            </w:r>
          </w:p>
        </w:tc>
        <w:tc>
          <w:tcPr>
            <w:tcW w:w="1476" w:type="dxa"/>
            <w:tcBorders>
              <w:top w:val="nil"/>
              <w:left w:val="nil"/>
              <w:bottom w:val="single" w:sz="8" w:space="0" w:color="auto"/>
              <w:right w:val="single" w:sz="8" w:space="0" w:color="auto"/>
            </w:tcBorders>
            <w:shd w:val="clear" w:color="000000" w:fill="92D050"/>
            <w:noWrap/>
            <w:vAlign w:val="center"/>
            <w:hideMark/>
          </w:tcPr>
          <w:p w14:paraId="2E2A31C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112A042F"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3D7D24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15</w:t>
            </w:r>
          </w:p>
        </w:tc>
        <w:tc>
          <w:tcPr>
            <w:tcW w:w="663" w:type="dxa"/>
            <w:tcBorders>
              <w:top w:val="nil"/>
              <w:left w:val="nil"/>
              <w:bottom w:val="single" w:sz="8" w:space="0" w:color="auto"/>
              <w:right w:val="single" w:sz="8" w:space="0" w:color="auto"/>
            </w:tcBorders>
            <w:shd w:val="clear" w:color="auto" w:fill="auto"/>
            <w:noWrap/>
            <w:vAlign w:val="center"/>
            <w:hideMark/>
          </w:tcPr>
          <w:p w14:paraId="79AA761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262</w:t>
            </w:r>
          </w:p>
        </w:tc>
        <w:tc>
          <w:tcPr>
            <w:tcW w:w="3448" w:type="dxa"/>
            <w:tcBorders>
              <w:top w:val="nil"/>
              <w:left w:val="nil"/>
              <w:bottom w:val="single" w:sz="8" w:space="0" w:color="auto"/>
              <w:right w:val="single" w:sz="8" w:space="0" w:color="auto"/>
            </w:tcBorders>
            <w:shd w:val="clear" w:color="auto" w:fill="auto"/>
            <w:noWrap/>
            <w:vAlign w:val="center"/>
            <w:hideMark/>
          </w:tcPr>
          <w:p w14:paraId="1B81F03C"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DJ 669 – str. Manastirii</w:t>
            </w:r>
          </w:p>
        </w:tc>
        <w:tc>
          <w:tcPr>
            <w:tcW w:w="1417" w:type="dxa"/>
            <w:tcBorders>
              <w:top w:val="nil"/>
              <w:left w:val="nil"/>
              <w:bottom w:val="single" w:sz="8" w:space="0" w:color="auto"/>
              <w:right w:val="single" w:sz="8" w:space="0" w:color="auto"/>
            </w:tcBorders>
            <w:shd w:val="clear" w:color="auto" w:fill="auto"/>
            <w:noWrap/>
            <w:vAlign w:val="center"/>
            <w:hideMark/>
          </w:tcPr>
          <w:p w14:paraId="62E9DC2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40B094E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2,56</w:t>
            </w:r>
          </w:p>
        </w:tc>
        <w:tc>
          <w:tcPr>
            <w:tcW w:w="1476" w:type="dxa"/>
            <w:tcBorders>
              <w:top w:val="nil"/>
              <w:left w:val="nil"/>
              <w:bottom w:val="single" w:sz="8" w:space="0" w:color="auto"/>
              <w:right w:val="single" w:sz="8" w:space="0" w:color="auto"/>
            </w:tcBorders>
            <w:shd w:val="clear" w:color="000000" w:fill="92D050"/>
            <w:noWrap/>
            <w:vAlign w:val="center"/>
            <w:hideMark/>
          </w:tcPr>
          <w:p w14:paraId="514CFA4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51527E21"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13EF2DC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16</w:t>
            </w:r>
          </w:p>
        </w:tc>
        <w:tc>
          <w:tcPr>
            <w:tcW w:w="663" w:type="dxa"/>
            <w:tcBorders>
              <w:top w:val="nil"/>
              <w:left w:val="nil"/>
              <w:bottom w:val="single" w:sz="8" w:space="0" w:color="auto"/>
              <w:right w:val="single" w:sz="8" w:space="0" w:color="auto"/>
            </w:tcBorders>
            <w:shd w:val="clear" w:color="auto" w:fill="auto"/>
            <w:noWrap/>
            <w:vAlign w:val="center"/>
            <w:hideMark/>
          </w:tcPr>
          <w:p w14:paraId="59BB252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932</w:t>
            </w:r>
          </w:p>
        </w:tc>
        <w:tc>
          <w:tcPr>
            <w:tcW w:w="3448" w:type="dxa"/>
            <w:tcBorders>
              <w:top w:val="nil"/>
              <w:left w:val="nil"/>
              <w:bottom w:val="single" w:sz="8" w:space="0" w:color="auto"/>
              <w:right w:val="single" w:sz="8" w:space="0" w:color="auto"/>
            </w:tcBorders>
            <w:shd w:val="clear" w:color="auto" w:fill="auto"/>
            <w:noWrap/>
            <w:vAlign w:val="center"/>
            <w:hideMark/>
          </w:tcPr>
          <w:p w14:paraId="7B8DDD93"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11 - DN 67 – DN 65C</w:t>
            </w:r>
          </w:p>
        </w:tc>
        <w:tc>
          <w:tcPr>
            <w:tcW w:w="1417" w:type="dxa"/>
            <w:tcBorders>
              <w:top w:val="nil"/>
              <w:left w:val="nil"/>
              <w:bottom w:val="single" w:sz="8" w:space="0" w:color="auto"/>
              <w:right w:val="single" w:sz="8" w:space="0" w:color="auto"/>
            </w:tcBorders>
            <w:shd w:val="clear" w:color="auto" w:fill="auto"/>
            <w:noWrap/>
            <w:vAlign w:val="center"/>
            <w:hideMark/>
          </w:tcPr>
          <w:p w14:paraId="0C7A536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4BDD773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2,95</w:t>
            </w:r>
          </w:p>
        </w:tc>
        <w:tc>
          <w:tcPr>
            <w:tcW w:w="1476" w:type="dxa"/>
            <w:tcBorders>
              <w:top w:val="nil"/>
              <w:left w:val="nil"/>
              <w:bottom w:val="single" w:sz="8" w:space="0" w:color="auto"/>
              <w:right w:val="single" w:sz="8" w:space="0" w:color="auto"/>
            </w:tcBorders>
            <w:shd w:val="clear" w:color="000000" w:fill="FFC000"/>
            <w:noWrap/>
            <w:vAlign w:val="center"/>
            <w:hideMark/>
          </w:tcPr>
          <w:p w14:paraId="0A32938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570BC287"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4BD9AE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17</w:t>
            </w:r>
          </w:p>
        </w:tc>
        <w:tc>
          <w:tcPr>
            <w:tcW w:w="663" w:type="dxa"/>
            <w:tcBorders>
              <w:top w:val="nil"/>
              <w:left w:val="nil"/>
              <w:bottom w:val="single" w:sz="8" w:space="0" w:color="auto"/>
              <w:right w:val="single" w:sz="8" w:space="0" w:color="auto"/>
            </w:tcBorders>
            <w:shd w:val="clear" w:color="auto" w:fill="auto"/>
            <w:noWrap/>
            <w:vAlign w:val="center"/>
            <w:hideMark/>
          </w:tcPr>
          <w:p w14:paraId="58EC140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1095</w:t>
            </w:r>
          </w:p>
        </w:tc>
        <w:tc>
          <w:tcPr>
            <w:tcW w:w="3448" w:type="dxa"/>
            <w:tcBorders>
              <w:top w:val="nil"/>
              <w:left w:val="nil"/>
              <w:bottom w:val="single" w:sz="8" w:space="0" w:color="auto"/>
              <w:right w:val="single" w:sz="8" w:space="0" w:color="auto"/>
            </w:tcBorders>
            <w:shd w:val="clear" w:color="auto" w:fill="auto"/>
            <w:noWrap/>
            <w:vAlign w:val="center"/>
            <w:hideMark/>
          </w:tcPr>
          <w:p w14:paraId="73C99D18"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13 - DC 139 – DN 67 (A)</w:t>
            </w:r>
          </w:p>
        </w:tc>
        <w:tc>
          <w:tcPr>
            <w:tcW w:w="1417" w:type="dxa"/>
            <w:tcBorders>
              <w:top w:val="nil"/>
              <w:left w:val="nil"/>
              <w:bottom w:val="single" w:sz="8" w:space="0" w:color="auto"/>
              <w:right w:val="single" w:sz="8" w:space="0" w:color="auto"/>
            </w:tcBorders>
            <w:shd w:val="clear" w:color="auto" w:fill="auto"/>
            <w:noWrap/>
            <w:vAlign w:val="center"/>
            <w:hideMark/>
          </w:tcPr>
          <w:p w14:paraId="189C9D4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4B4A748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2,66</w:t>
            </w:r>
          </w:p>
        </w:tc>
        <w:tc>
          <w:tcPr>
            <w:tcW w:w="1476" w:type="dxa"/>
            <w:tcBorders>
              <w:top w:val="nil"/>
              <w:left w:val="nil"/>
              <w:bottom w:val="single" w:sz="8" w:space="0" w:color="auto"/>
              <w:right w:val="single" w:sz="8" w:space="0" w:color="auto"/>
            </w:tcBorders>
            <w:shd w:val="clear" w:color="000000" w:fill="FFC000"/>
            <w:noWrap/>
            <w:vAlign w:val="center"/>
            <w:hideMark/>
          </w:tcPr>
          <w:p w14:paraId="026425D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76357D4B"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9329BB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18</w:t>
            </w:r>
          </w:p>
        </w:tc>
        <w:tc>
          <w:tcPr>
            <w:tcW w:w="663" w:type="dxa"/>
            <w:tcBorders>
              <w:top w:val="nil"/>
              <w:left w:val="nil"/>
              <w:bottom w:val="single" w:sz="8" w:space="0" w:color="auto"/>
              <w:right w:val="single" w:sz="8" w:space="0" w:color="auto"/>
            </w:tcBorders>
            <w:shd w:val="clear" w:color="auto" w:fill="auto"/>
            <w:noWrap/>
            <w:vAlign w:val="center"/>
            <w:hideMark/>
          </w:tcPr>
          <w:p w14:paraId="258BE6A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3807</w:t>
            </w:r>
          </w:p>
        </w:tc>
        <w:tc>
          <w:tcPr>
            <w:tcW w:w="3448" w:type="dxa"/>
            <w:tcBorders>
              <w:top w:val="nil"/>
              <w:left w:val="nil"/>
              <w:bottom w:val="single" w:sz="8" w:space="0" w:color="auto"/>
              <w:right w:val="single" w:sz="8" w:space="0" w:color="auto"/>
            </w:tcBorders>
            <w:shd w:val="clear" w:color="auto" w:fill="auto"/>
            <w:noWrap/>
            <w:vAlign w:val="center"/>
            <w:hideMark/>
          </w:tcPr>
          <w:p w14:paraId="031CC9EC"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10 - DC 144 – DC 146</w:t>
            </w:r>
          </w:p>
        </w:tc>
        <w:tc>
          <w:tcPr>
            <w:tcW w:w="1417" w:type="dxa"/>
            <w:tcBorders>
              <w:top w:val="nil"/>
              <w:left w:val="nil"/>
              <w:bottom w:val="single" w:sz="8" w:space="0" w:color="auto"/>
              <w:right w:val="single" w:sz="8" w:space="0" w:color="auto"/>
            </w:tcBorders>
            <w:shd w:val="clear" w:color="auto" w:fill="auto"/>
            <w:noWrap/>
            <w:vAlign w:val="center"/>
            <w:hideMark/>
          </w:tcPr>
          <w:p w14:paraId="027B252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494BED8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1,55</w:t>
            </w:r>
          </w:p>
        </w:tc>
        <w:tc>
          <w:tcPr>
            <w:tcW w:w="1476" w:type="dxa"/>
            <w:tcBorders>
              <w:top w:val="nil"/>
              <w:left w:val="nil"/>
              <w:bottom w:val="single" w:sz="8" w:space="0" w:color="auto"/>
              <w:right w:val="single" w:sz="8" w:space="0" w:color="auto"/>
            </w:tcBorders>
            <w:shd w:val="clear" w:color="000000" w:fill="92D050"/>
            <w:noWrap/>
            <w:vAlign w:val="center"/>
            <w:hideMark/>
          </w:tcPr>
          <w:p w14:paraId="00E5428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06890860"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D14A10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19</w:t>
            </w:r>
          </w:p>
        </w:tc>
        <w:tc>
          <w:tcPr>
            <w:tcW w:w="663" w:type="dxa"/>
            <w:tcBorders>
              <w:top w:val="nil"/>
              <w:left w:val="nil"/>
              <w:bottom w:val="single" w:sz="8" w:space="0" w:color="auto"/>
              <w:right w:val="single" w:sz="8" w:space="0" w:color="auto"/>
            </w:tcBorders>
            <w:shd w:val="clear" w:color="auto" w:fill="auto"/>
            <w:noWrap/>
            <w:vAlign w:val="center"/>
            <w:hideMark/>
          </w:tcPr>
          <w:p w14:paraId="1B73706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3862</w:t>
            </w:r>
          </w:p>
        </w:tc>
        <w:tc>
          <w:tcPr>
            <w:tcW w:w="3448" w:type="dxa"/>
            <w:tcBorders>
              <w:top w:val="nil"/>
              <w:left w:val="nil"/>
              <w:bottom w:val="single" w:sz="8" w:space="0" w:color="auto"/>
              <w:right w:val="single" w:sz="8" w:space="0" w:color="auto"/>
            </w:tcBorders>
            <w:shd w:val="clear" w:color="auto" w:fill="auto"/>
            <w:noWrap/>
            <w:vAlign w:val="center"/>
            <w:hideMark/>
          </w:tcPr>
          <w:p w14:paraId="36AAE812"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16 - DJ 669 – DC 146</w:t>
            </w:r>
          </w:p>
        </w:tc>
        <w:tc>
          <w:tcPr>
            <w:tcW w:w="1417" w:type="dxa"/>
            <w:tcBorders>
              <w:top w:val="nil"/>
              <w:left w:val="nil"/>
              <w:bottom w:val="single" w:sz="8" w:space="0" w:color="auto"/>
              <w:right w:val="single" w:sz="8" w:space="0" w:color="auto"/>
            </w:tcBorders>
            <w:shd w:val="clear" w:color="auto" w:fill="auto"/>
            <w:noWrap/>
            <w:vAlign w:val="center"/>
            <w:hideMark/>
          </w:tcPr>
          <w:p w14:paraId="5595C22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6D46DE5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1,11</w:t>
            </w:r>
          </w:p>
        </w:tc>
        <w:tc>
          <w:tcPr>
            <w:tcW w:w="1476" w:type="dxa"/>
            <w:tcBorders>
              <w:top w:val="nil"/>
              <w:left w:val="nil"/>
              <w:bottom w:val="single" w:sz="8" w:space="0" w:color="auto"/>
              <w:right w:val="single" w:sz="8" w:space="0" w:color="auto"/>
            </w:tcBorders>
            <w:shd w:val="clear" w:color="000000" w:fill="92D050"/>
            <w:noWrap/>
            <w:vAlign w:val="center"/>
            <w:hideMark/>
          </w:tcPr>
          <w:p w14:paraId="52CC669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bl>
    <w:p w14:paraId="1EF6EF3A" w14:textId="77777777" w:rsidR="008969BE" w:rsidRPr="008969BE" w:rsidRDefault="008969BE" w:rsidP="008969BE">
      <w:pPr>
        <w:suppressAutoHyphens/>
        <w:autoSpaceDE w:val="0"/>
        <w:spacing w:after="0" w:line="360" w:lineRule="auto"/>
        <w:jc w:val="center"/>
        <w:rPr>
          <w:rFonts w:ascii="Arial" w:eastAsia="Arial" w:hAnsi="Arial" w:cs="Arial"/>
          <w:sz w:val="24"/>
          <w:szCs w:val="24"/>
          <w:highlight w:val="yellow"/>
          <w:lang w:eastAsia="zh-CN"/>
        </w:rPr>
      </w:pPr>
    </w:p>
    <w:p w14:paraId="02443467" w14:textId="77777777" w:rsidR="008969BE" w:rsidRPr="008969BE" w:rsidRDefault="008969BE" w:rsidP="008969BE">
      <w:pPr>
        <w:widowControl w:val="0"/>
        <w:suppressAutoHyphens/>
        <w:spacing w:after="0" w:line="276" w:lineRule="auto"/>
        <w:jc w:val="both"/>
        <w:rPr>
          <w:rFonts w:ascii="Arial" w:hAnsi="Arial" w:cs="Arial"/>
          <w:kern w:val="1"/>
          <w:lang w:val="ro-RO" w:eastAsia="hi-IN" w:bidi="hi-IN"/>
        </w:rPr>
      </w:pPr>
      <w:r w:rsidRPr="00052DF0">
        <w:rPr>
          <w:rFonts w:ascii="Arial" w:hAnsi="Arial" w:cs="Arial"/>
          <w:kern w:val="1"/>
          <w:lang w:val="ro-RO" w:eastAsia="hi-IN" w:bidi="hi-IN"/>
        </w:rPr>
        <w:t>O reprezentare pe harta a nivelului de serviciu pentru intersectii este prezentata ȋn figura următoare:</w:t>
      </w:r>
    </w:p>
    <w:p w14:paraId="0D9B0CF7" w14:textId="365900C4" w:rsidR="008969BE" w:rsidRPr="008969BE" w:rsidRDefault="00052DF0" w:rsidP="00052DF0">
      <w:pPr>
        <w:widowControl w:val="0"/>
        <w:suppressAutoHyphens/>
        <w:spacing w:after="0" w:line="360" w:lineRule="auto"/>
        <w:jc w:val="center"/>
        <w:rPr>
          <w:rFonts w:ascii="Arial" w:hAnsi="Arial" w:cs="Arial"/>
          <w:kern w:val="1"/>
          <w:sz w:val="24"/>
          <w:szCs w:val="24"/>
          <w:lang w:val="ro-RO" w:eastAsia="hi-IN" w:bidi="hi-IN"/>
        </w:rPr>
      </w:pPr>
      <w:r w:rsidRPr="00052DF0">
        <w:rPr>
          <w:rFonts w:ascii="Calibri" w:hAnsi="Calibri" w:cs="Arial"/>
          <w:noProof/>
          <w:sz w:val="24"/>
        </w:rPr>
        <w:lastRenderedPageBreak/>
        <w:drawing>
          <wp:inline distT="0" distB="0" distL="0" distR="0" wp14:anchorId="0F7F2125" wp14:editId="1B2735ED">
            <wp:extent cx="5758004" cy="4255916"/>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133" cstate="print">
                      <a:extLst>
                        <a:ext uri="{28A0092B-C50C-407E-A947-70E740481C1C}">
                          <a14:useLocalDpi xmlns:a14="http://schemas.microsoft.com/office/drawing/2010/main" val="0"/>
                        </a:ext>
                      </a:extLst>
                    </a:blip>
                    <a:stretch>
                      <a:fillRect/>
                    </a:stretch>
                  </pic:blipFill>
                  <pic:spPr bwMode="auto">
                    <a:xfrm>
                      <a:off x="0" y="0"/>
                      <a:ext cx="5779830" cy="4272048"/>
                    </a:xfrm>
                    <a:prstGeom prst="rect">
                      <a:avLst/>
                    </a:prstGeom>
                    <a:noFill/>
                    <a:ln>
                      <a:noFill/>
                    </a:ln>
                  </pic:spPr>
                </pic:pic>
              </a:graphicData>
            </a:graphic>
          </wp:inline>
        </w:drawing>
      </w:r>
    </w:p>
    <w:p w14:paraId="104D2665" w14:textId="0B8719CC" w:rsidR="008969BE" w:rsidRPr="00052DF0" w:rsidRDefault="006D4DC5" w:rsidP="008969BE">
      <w:pPr>
        <w:pStyle w:val="Legend"/>
        <w:jc w:val="center"/>
        <w:rPr>
          <w:rFonts w:ascii="Arial" w:hAnsi="Arial" w:cs="Arial"/>
          <w:i w:val="0"/>
          <w:iCs w:val="0"/>
          <w:kern w:val="1"/>
          <w:sz w:val="22"/>
          <w:szCs w:val="22"/>
          <w:lang w:val="ro-RO" w:eastAsia="hi-IN" w:bidi="hi-IN"/>
        </w:rPr>
      </w:pPr>
      <w:bookmarkStart w:id="275" w:name="_Toc68361193"/>
      <w:bookmarkStart w:id="276" w:name="_Toc140744514"/>
      <w:r w:rsidRPr="00052DF0">
        <w:rPr>
          <w:rFonts w:ascii="Arial" w:hAnsi="Arial" w:cs="Arial"/>
          <w:sz w:val="22"/>
          <w:szCs w:val="22"/>
        </w:rPr>
        <w:t>Figura I.3.</w:t>
      </w:r>
      <w:r w:rsidR="008969BE" w:rsidRPr="00052DF0">
        <w:rPr>
          <w:rFonts w:ascii="Arial" w:hAnsi="Arial" w:cs="Arial"/>
          <w:sz w:val="22"/>
          <w:szCs w:val="22"/>
        </w:rPr>
        <w:t xml:space="preserve"> </w:t>
      </w:r>
      <w:r w:rsidRPr="00052DF0">
        <w:rPr>
          <w:rFonts w:ascii="Arial" w:hAnsi="Arial" w:cs="Arial"/>
          <w:sz w:val="22"/>
          <w:szCs w:val="22"/>
        </w:rPr>
        <w:fldChar w:fldCharType="begin"/>
      </w:r>
      <w:r w:rsidRPr="00052DF0">
        <w:rPr>
          <w:rFonts w:ascii="Arial" w:hAnsi="Arial" w:cs="Arial"/>
          <w:sz w:val="22"/>
          <w:szCs w:val="22"/>
        </w:rPr>
        <w:instrText xml:space="preserve"> SEQ Figura_I.3. \* ARABIC </w:instrText>
      </w:r>
      <w:r w:rsidRPr="00052DF0">
        <w:rPr>
          <w:rFonts w:ascii="Arial" w:hAnsi="Arial" w:cs="Arial"/>
          <w:sz w:val="22"/>
          <w:szCs w:val="22"/>
        </w:rPr>
        <w:fldChar w:fldCharType="separate"/>
      </w:r>
      <w:r w:rsidR="00BB181C">
        <w:rPr>
          <w:rFonts w:ascii="Arial" w:hAnsi="Arial" w:cs="Arial"/>
          <w:noProof/>
          <w:sz w:val="22"/>
          <w:szCs w:val="22"/>
        </w:rPr>
        <w:t>37</w:t>
      </w:r>
      <w:r w:rsidRPr="00052DF0">
        <w:rPr>
          <w:rFonts w:ascii="Arial" w:hAnsi="Arial" w:cs="Arial"/>
          <w:sz w:val="22"/>
          <w:szCs w:val="22"/>
        </w:rPr>
        <w:fldChar w:fldCharType="end"/>
      </w:r>
      <w:r w:rsidR="008969BE" w:rsidRPr="00052DF0">
        <w:rPr>
          <w:rFonts w:ascii="Arial" w:hAnsi="Arial" w:cs="Arial"/>
          <w:sz w:val="22"/>
          <w:szCs w:val="22"/>
        </w:rPr>
        <w:t xml:space="preserve"> - </w:t>
      </w:r>
      <w:r w:rsidR="008969BE" w:rsidRPr="00052DF0">
        <w:rPr>
          <w:rFonts w:ascii="Arial" w:hAnsi="Arial" w:cs="Arial"/>
          <w:i w:val="0"/>
          <w:iCs w:val="0"/>
          <w:sz w:val="22"/>
          <w:szCs w:val="22"/>
        </w:rPr>
        <w:t xml:space="preserve">Niveluri de serviciu intersecţii </w:t>
      </w:r>
      <w:r w:rsidR="0022048B" w:rsidRPr="00052DF0">
        <w:rPr>
          <w:rFonts w:ascii="Arial" w:hAnsi="Arial" w:cs="Arial"/>
          <w:i w:val="0"/>
          <w:iCs w:val="0"/>
          <w:sz w:val="22"/>
          <w:szCs w:val="22"/>
        </w:rPr>
        <w:t>orașul Horezu</w:t>
      </w:r>
      <w:r w:rsidR="008969BE" w:rsidRPr="00052DF0">
        <w:rPr>
          <w:rFonts w:ascii="Arial" w:hAnsi="Arial" w:cs="Arial"/>
          <w:i w:val="0"/>
          <w:iCs w:val="0"/>
          <w:sz w:val="22"/>
          <w:szCs w:val="22"/>
        </w:rPr>
        <w:t xml:space="preserve"> – AM 202</w:t>
      </w:r>
      <w:bookmarkEnd w:id="275"/>
      <w:r w:rsidR="00CE76B6">
        <w:rPr>
          <w:rFonts w:ascii="Arial" w:hAnsi="Arial" w:cs="Arial"/>
          <w:i w:val="0"/>
          <w:iCs w:val="0"/>
          <w:sz w:val="22"/>
          <w:szCs w:val="22"/>
        </w:rPr>
        <w:t>1</w:t>
      </w:r>
      <w:bookmarkEnd w:id="276"/>
    </w:p>
    <w:p w14:paraId="30EE1ECC" w14:textId="77777777" w:rsidR="00556B9F" w:rsidRPr="006E2128" w:rsidRDefault="00556B9F" w:rsidP="00737A11">
      <w:pPr>
        <w:pStyle w:val="Titlu4"/>
        <w:numPr>
          <w:ilvl w:val="0"/>
          <w:numId w:val="0"/>
        </w:numPr>
      </w:pPr>
      <w:r w:rsidRPr="008969BE">
        <w:t>I.3.6.1.2 Pentru ora de vârf PM</w:t>
      </w:r>
    </w:p>
    <w:p w14:paraId="3A2033FA" w14:textId="77777777" w:rsidR="00556B9F" w:rsidRPr="006E2128" w:rsidRDefault="00556B9F" w:rsidP="00556B9F">
      <w:pPr>
        <w:widowControl w:val="0"/>
        <w:suppressAutoHyphens/>
        <w:spacing w:after="0" w:line="360" w:lineRule="auto"/>
        <w:jc w:val="both"/>
        <w:rPr>
          <w:rFonts w:ascii="Arial" w:hAnsi="Arial" w:cs="Arial"/>
          <w:kern w:val="1"/>
          <w:lang w:val="ro-RO" w:eastAsia="hi-IN" w:bidi="hi-IN"/>
        </w:rPr>
      </w:pPr>
      <w:r w:rsidRPr="006E2128">
        <w:rPr>
          <w:rFonts w:ascii="Arial" w:hAnsi="Arial" w:cs="Arial"/>
          <w:kern w:val="1"/>
          <w:lang w:val="ro-RO" w:eastAsia="hi-IN" w:bidi="hi-IN"/>
        </w:rPr>
        <w:t>În urma rulării modelului de trafic pentru traficul de vârf de dupa-amiază au rezultat următoarele date la nivel de rețea:</w:t>
      </w:r>
    </w:p>
    <w:p w14:paraId="5E3AE35B"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Viteză medie de circulație: 29,22 km/h</w:t>
      </w:r>
    </w:p>
    <w:p w14:paraId="143113E5"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Întârzierea medie la tranzitarea rețelei: 40,48 secunde/km</w:t>
      </w:r>
    </w:p>
    <w:p w14:paraId="39D4F901"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Consum total de combustibil: 349,77 litri</w:t>
      </w:r>
    </w:p>
    <w:p w14:paraId="3A6179C6"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Emisii CO</w:t>
      </w:r>
      <w:r w:rsidRPr="00052DF0">
        <w:rPr>
          <w:rFonts w:ascii="Arial" w:eastAsia="Times New Roman" w:hAnsi="Arial" w:cs="Arial"/>
          <w:vertAlign w:val="subscript"/>
          <w:lang w:val="ro-RO" w:eastAsia="zh-CN"/>
        </w:rPr>
        <w:t>2</w:t>
      </w:r>
      <w:r w:rsidRPr="00052DF0">
        <w:rPr>
          <w:rFonts w:ascii="Arial" w:eastAsia="Times New Roman" w:hAnsi="Arial" w:cs="Arial"/>
          <w:lang w:val="ro-RO" w:eastAsia="zh-CN"/>
        </w:rPr>
        <w:t xml:space="preserve"> (total rețea): 1.029,44 kg</w:t>
      </w:r>
    </w:p>
    <w:p w14:paraId="488975AC"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Emisii NOx (total rețea): 5,16 kg</w:t>
      </w:r>
    </w:p>
    <w:p w14:paraId="5C743208"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eastAsia="Times New Roman" w:hAnsi="Arial" w:cs="Arial"/>
          <w:lang w:val="ro-RO" w:eastAsia="zh-CN"/>
        </w:rPr>
        <w:t>Emisii PM (total rețea): 0,24 kg</w:t>
      </w:r>
    </w:p>
    <w:p w14:paraId="70B041FB" w14:textId="77777777" w:rsidR="00052DF0" w:rsidRPr="00052DF0" w:rsidRDefault="00052DF0" w:rsidP="00052DF0">
      <w:pPr>
        <w:widowControl w:val="0"/>
        <w:numPr>
          <w:ilvl w:val="0"/>
          <w:numId w:val="116"/>
        </w:numPr>
        <w:suppressAutoHyphens/>
        <w:spacing w:after="0" w:line="276" w:lineRule="auto"/>
        <w:jc w:val="both"/>
        <w:rPr>
          <w:rFonts w:ascii="Arial" w:eastAsia="Times New Roman" w:hAnsi="Arial" w:cs="Arial"/>
          <w:lang w:val="ro-RO" w:eastAsia="zh-CN"/>
        </w:rPr>
      </w:pPr>
      <w:r w:rsidRPr="00052DF0">
        <w:rPr>
          <w:rFonts w:ascii="Arial" w:hAnsi="Arial" w:cs="Arial"/>
          <w:lang w:val="ro-RO"/>
        </w:rPr>
        <w:t>Emisii HC (total rețea): 6,49 kg</w:t>
      </w:r>
    </w:p>
    <w:p w14:paraId="7FAE1F36" w14:textId="77777777" w:rsidR="00055B76" w:rsidRDefault="00055B76">
      <w:pPr>
        <w:rPr>
          <w:rFonts w:ascii="Arial" w:eastAsia="Times New Roman" w:hAnsi="Arial" w:cs="Arial"/>
          <w:lang w:val="x-none" w:eastAsia="zh-CN"/>
        </w:rPr>
      </w:pPr>
      <w:r>
        <w:rPr>
          <w:rFonts w:ascii="Arial" w:eastAsia="Times New Roman" w:hAnsi="Arial" w:cs="Arial"/>
          <w:lang w:val="x-none" w:eastAsia="zh-CN"/>
        </w:rPr>
        <w:br w:type="page"/>
      </w:r>
    </w:p>
    <w:p w14:paraId="55F050C7" w14:textId="77777777" w:rsidR="00556B9F" w:rsidRDefault="00556B9F" w:rsidP="00556B9F">
      <w:pPr>
        <w:suppressAutoHyphens/>
        <w:spacing w:after="0" w:line="360" w:lineRule="auto"/>
        <w:jc w:val="both"/>
        <w:rPr>
          <w:rFonts w:ascii="Arial" w:eastAsia="Times New Roman" w:hAnsi="Arial" w:cs="Arial"/>
          <w:lang w:eastAsia="zh-CN"/>
        </w:rPr>
      </w:pPr>
    </w:p>
    <w:p w14:paraId="7F57CD5D" w14:textId="169A0F8F" w:rsidR="00055B76" w:rsidRDefault="00052DF0" w:rsidP="00556B9F">
      <w:pPr>
        <w:suppressAutoHyphens/>
        <w:spacing w:after="0" w:line="360" w:lineRule="auto"/>
        <w:jc w:val="both"/>
        <w:rPr>
          <w:rFonts w:ascii="Arial" w:eastAsia="Times New Roman" w:hAnsi="Arial" w:cs="Arial"/>
          <w:lang w:eastAsia="zh-CN"/>
        </w:rPr>
      </w:pPr>
      <w:r w:rsidRPr="00052DF0">
        <w:rPr>
          <w:rFonts w:ascii="Arial" w:hAnsi="Arial" w:cs="Arial"/>
          <w:noProof/>
          <w:sz w:val="24"/>
          <w:szCs w:val="24"/>
          <w:highlight w:val="cyan"/>
        </w:rPr>
        <w:drawing>
          <wp:inline distT="0" distB="0" distL="0" distR="0" wp14:anchorId="2F5392B4" wp14:editId="342FD9BF">
            <wp:extent cx="5721790" cy="4229149"/>
            <wp:effectExtent l="0" t="0" r="0" b="0"/>
            <wp:docPr id="121"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ine 11"/>
                    <pic:cNvPicPr>
                      <a:picLocks noChangeAspect="1" noChangeArrowheads="1"/>
                    </pic:cNvPicPr>
                  </pic:nvPicPr>
                  <pic:blipFill>
                    <a:blip r:embed="rId134" cstate="print">
                      <a:extLst>
                        <a:ext uri="{28A0092B-C50C-407E-A947-70E740481C1C}">
                          <a14:useLocalDpi xmlns:a14="http://schemas.microsoft.com/office/drawing/2010/main" val="0"/>
                        </a:ext>
                      </a:extLst>
                    </a:blip>
                    <a:stretch>
                      <a:fillRect/>
                    </a:stretch>
                  </pic:blipFill>
                  <pic:spPr bwMode="auto">
                    <a:xfrm>
                      <a:off x="0" y="0"/>
                      <a:ext cx="5732125" cy="4236788"/>
                    </a:xfrm>
                    <a:prstGeom prst="rect">
                      <a:avLst/>
                    </a:prstGeom>
                    <a:noFill/>
                    <a:ln>
                      <a:noFill/>
                    </a:ln>
                  </pic:spPr>
                </pic:pic>
              </a:graphicData>
            </a:graphic>
          </wp:inline>
        </w:drawing>
      </w:r>
    </w:p>
    <w:p w14:paraId="666E5847" w14:textId="3CBC8EF8" w:rsidR="008969BE" w:rsidRPr="008969BE" w:rsidRDefault="006D4DC5" w:rsidP="008969BE">
      <w:pPr>
        <w:pStyle w:val="Legend"/>
        <w:jc w:val="center"/>
        <w:rPr>
          <w:rFonts w:ascii="Arial" w:eastAsia="Times New Roman" w:hAnsi="Arial" w:cs="Arial"/>
          <w:sz w:val="22"/>
          <w:szCs w:val="22"/>
          <w:lang w:eastAsia="zh-CN"/>
        </w:rPr>
      </w:pPr>
      <w:bookmarkStart w:id="277" w:name="_Toc68361194"/>
      <w:bookmarkStart w:id="278" w:name="_Toc140744515"/>
      <w:r w:rsidRPr="00052DF0">
        <w:rPr>
          <w:rFonts w:ascii="Arial" w:hAnsi="Arial" w:cs="Arial"/>
          <w:sz w:val="22"/>
          <w:szCs w:val="22"/>
        </w:rPr>
        <w:t>Figura I.3.</w:t>
      </w:r>
      <w:r w:rsidR="008969BE" w:rsidRPr="00052DF0">
        <w:rPr>
          <w:rFonts w:ascii="Arial" w:hAnsi="Arial" w:cs="Arial"/>
          <w:sz w:val="22"/>
          <w:szCs w:val="22"/>
        </w:rPr>
        <w:t xml:space="preserve"> </w:t>
      </w:r>
      <w:r w:rsidRPr="00052DF0">
        <w:rPr>
          <w:rFonts w:ascii="Arial" w:hAnsi="Arial" w:cs="Arial"/>
          <w:sz w:val="22"/>
          <w:szCs w:val="22"/>
        </w:rPr>
        <w:fldChar w:fldCharType="begin"/>
      </w:r>
      <w:r w:rsidRPr="00052DF0">
        <w:rPr>
          <w:rFonts w:ascii="Arial" w:hAnsi="Arial" w:cs="Arial"/>
          <w:sz w:val="22"/>
          <w:szCs w:val="22"/>
        </w:rPr>
        <w:instrText xml:space="preserve"> SEQ Figura_I.3. \* ARABIC </w:instrText>
      </w:r>
      <w:r w:rsidRPr="00052DF0">
        <w:rPr>
          <w:rFonts w:ascii="Arial" w:hAnsi="Arial" w:cs="Arial"/>
          <w:sz w:val="22"/>
          <w:szCs w:val="22"/>
        </w:rPr>
        <w:fldChar w:fldCharType="separate"/>
      </w:r>
      <w:r w:rsidR="00BB181C">
        <w:rPr>
          <w:rFonts w:ascii="Arial" w:hAnsi="Arial" w:cs="Arial"/>
          <w:noProof/>
          <w:sz w:val="22"/>
          <w:szCs w:val="22"/>
        </w:rPr>
        <w:t>38</w:t>
      </w:r>
      <w:r w:rsidRPr="00052DF0">
        <w:rPr>
          <w:rFonts w:ascii="Arial" w:hAnsi="Arial" w:cs="Arial"/>
          <w:sz w:val="22"/>
          <w:szCs w:val="22"/>
        </w:rPr>
        <w:fldChar w:fldCharType="end"/>
      </w:r>
      <w:r w:rsidR="008969BE" w:rsidRPr="00052DF0">
        <w:rPr>
          <w:rFonts w:ascii="Arial" w:hAnsi="Arial" w:cs="Arial"/>
          <w:sz w:val="22"/>
          <w:szCs w:val="22"/>
        </w:rPr>
        <w:t xml:space="preserve"> - </w:t>
      </w:r>
      <w:r w:rsidR="008969BE" w:rsidRPr="00052DF0">
        <w:rPr>
          <w:rFonts w:ascii="Arial" w:hAnsi="Arial" w:cs="Arial"/>
          <w:i w:val="0"/>
          <w:iCs w:val="0"/>
          <w:sz w:val="22"/>
          <w:szCs w:val="22"/>
        </w:rPr>
        <w:t>CO</w:t>
      </w:r>
      <w:r w:rsidR="008969BE" w:rsidRPr="00052DF0">
        <w:rPr>
          <w:rFonts w:ascii="Arial" w:hAnsi="Arial" w:cs="Arial"/>
          <w:i w:val="0"/>
          <w:iCs w:val="0"/>
          <w:sz w:val="22"/>
          <w:szCs w:val="22"/>
          <w:vertAlign w:val="subscript"/>
        </w:rPr>
        <w:t>2</w:t>
      </w:r>
      <w:r w:rsidR="008969BE" w:rsidRPr="00052DF0">
        <w:rPr>
          <w:rFonts w:ascii="Arial" w:hAnsi="Arial" w:cs="Arial"/>
          <w:i w:val="0"/>
          <w:iCs w:val="0"/>
          <w:sz w:val="22"/>
          <w:szCs w:val="22"/>
        </w:rPr>
        <w:t xml:space="preserve"> și NOX pe segmente, PM peak - detaliu zona centrală</w:t>
      </w:r>
      <w:bookmarkEnd w:id="277"/>
      <w:bookmarkEnd w:id="278"/>
    </w:p>
    <w:p w14:paraId="323D806C" w14:textId="02FDEAE9" w:rsidR="008969BE" w:rsidRDefault="008969BE" w:rsidP="008969BE">
      <w:pPr>
        <w:widowControl w:val="0"/>
        <w:suppressAutoHyphens/>
        <w:spacing w:after="0" w:line="360" w:lineRule="auto"/>
        <w:jc w:val="both"/>
        <w:rPr>
          <w:rFonts w:ascii="Arial" w:hAnsi="Arial" w:cs="Arial"/>
          <w:kern w:val="1"/>
          <w:lang w:val="ro-RO" w:eastAsia="hi-IN" w:bidi="hi-IN"/>
        </w:rPr>
      </w:pPr>
      <w:r w:rsidRPr="008969BE">
        <w:rPr>
          <w:rFonts w:ascii="Arial" w:hAnsi="Arial" w:cs="Arial"/>
          <w:kern w:val="1"/>
          <w:lang w:val="ro-RO" w:eastAsia="hi-IN" w:bidi="hi-IN"/>
        </w:rPr>
        <w:t xml:space="preserve">Nivelurile de serviciu rezultate la nivel de intersecție sunt: </w:t>
      </w:r>
    </w:p>
    <w:p w14:paraId="6229981A" w14:textId="77777777" w:rsidR="00052DF0" w:rsidRPr="008969BE" w:rsidRDefault="00052DF0" w:rsidP="008969BE">
      <w:pPr>
        <w:widowControl w:val="0"/>
        <w:suppressAutoHyphens/>
        <w:spacing w:after="0" w:line="360" w:lineRule="auto"/>
        <w:jc w:val="both"/>
        <w:rPr>
          <w:rFonts w:ascii="Arial" w:hAnsi="Arial" w:cs="Arial"/>
          <w:kern w:val="1"/>
          <w:lang w:val="ro-RO" w:eastAsia="hi-IN" w:bidi="hi-IN"/>
        </w:rPr>
      </w:pPr>
    </w:p>
    <w:p w14:paraId="7C7486E6" w14:textId="2113F234" w:rsidR="008969BE" w:rsidRPr="0022048B" w:rsidRDefault="0022048B" w:rsidP="0022048B">
      <w:pPr>
        <w:pStyle w:val="Legend"/>
        <w:jc w:val="center"/>
        <w:rPr>
          <w:rFonts w:ascii="Arial" w:hAnsi="Arial" w:cs="Arial"/>
          <w:kern w:val="1"/>
          <w:sz w:val="22"/>
          <w:szCs w:val="22"/>
          <w:lang w:val="ro-RO" w:eastAsia="hi-IN" w:bidi="hi-IN"/>
        </w:rPr>
      </w:pPr>
      <w:bookmarkStart w:id="279" w:name="_Toc68361236"/>
      <w:bookmarkStart w:id="280" w:name="_Toc96447404"/>
      <w:r w:rsidRPr="00052DF0">
        <w:rPr>
          <w:rFonts w:ascii="Arial" w:hAnsi="Arial" w:cs="Arial"/>
          <w:sz w:val="22"/>
          <w:szCs w:val="22"/>
        </w:rPr>
        <w:t xml:space="preserve">Tabel I.3. </w:t>
      </w:r>
      <w:r w:rsidRPr="00052DF0">
        <w:rPr>
          <w:rFonts w:ascii="Arial" w:hAnsi="Arial" w:cs="Arial"/>
          <w:sz w:val="22"/>
          <w:szCs w:val="22"/>
        </w:rPr>
        <w:fldChar w:fldCharType="begin"/>
      </w:r>
      <w:r w:rsidRPr="00052DF0">
        <w:rPr>
          <w:rFonts w:ascii="Arial" w:hAnsi="Arial" w:cs="Arial"/>
          <w:sz w:val="22"/>
          <w:szCs w:val="22"/>
        </w:rPr>
        <w:instrText xml:space="preserve"> SEQ Tabel_I.3. \* ARABIC </w:instrText>
      </w:r>
      <w:r w:rsidRPr="00052DF0">
        <w:rPr>
          <w:rFonts w:ascii="Arial" w:hAnsi="Arial" w:cs="Arial"/>
          <w:sz w:val="22"/>
          <w:szCs w:val="22"/>
        </w:rPr>
        <w:fldChar w:fldCharType="separate"/>
      </w:r>
      <w:r w:rsidR="00BB181C">
        <w:rPr>
          <w:rFonts w:ascii="Arial" w:hAnsi="Arial" w:cs="Arial"/>
          <w:noProof/>
          <w:sz w:val="22"/>
          <w:szCs w:val="22"/>
        </w:rPr>
        <w:t>8</w:t>
      </w:r>
      <w:r w:rsidRPr="00052DF0">
        <w:rPr>
          <w:rFonts w:ascii="Arial" w:hAnsi="Arial" w:cs="Arial"/>
          <w:sz w:val="22"/>
          <w:szCs w:val="22"/>
        </w:rPr>
        <w:fldChar w:fldCharType="end"/>
      </w:r>
      <w:r w:rsidRPr="00052DF0">
        <w:rPr>
          <w:rFonts w:ascii="Arial" w:hAnsi="Arial" w:cs="Arial"/>
          <w:sz w:val="22"/>
          <w:szCs w:val="22"/>
        </w:rPr>
        <w:t xml:space="preserve"> </w:t>
      </w:r>
      <w:r w:rsidR="008969BE" w:rsidRPr="00052DF0">
        <w:rPr>
          <w:rFonts w:ascii="Arial" w:hAnsi="Arial" w:cs="Arial"/>
          <w:sz w:val="22"/>
          <w:szCs w:val="22"/>
        </w:rPr>
        <w:t xml:space="preserve">- </w:t>
      </w:r>
      <w:r w:rsidR="008969BE" w:rsidRPr="00052DF0">
        <w:rPr>
          <w:rFonts w:ascii="Arial" w:hAnsi="Arial" w:cs="Arial"/>
          <w:i w:val="0"/>
          <w:iCs w:val="0"/>
          <w:sz w:val="22"/>
          <w:szCs w:val="22"/>
        </w:rPr>
        <w:t xml:space="preserve">Niveluri de serviciu intersecţii </w:t>
      </w:r>
      <w:r w:rsidRPr="00052DF0">
        <w:rPr>
          <w:rFonts w:ascii="Arial" w:hAnsi="Arial" w:cs="Arial"/>
          <w:i w:val="0"/>
          <w:iCs w:val="0"/>
          <w:sz w:val="22"/>
          <w:szCs w:val="22"/>
        </w:rPr>
        <w:t>Orașul Horezu</w:t>
      </w:r>
      <w:r w:rsidR="008969BE" w:rsidRPr="00052DF0">
        <w:rPr>
          <w:rFonts w:ascii="Arial" w:hAnsi="Arial" w:cs="Arial"/>
          <w:i w:val="0"/>
          <w:iCs w:val="0"/>
          <w:sz w:val="22"/>
          <w:szCs w:val="22"/>
        </w:rPr>
        <w:t xml:space="preserve"> – PM 202</w:t>
      </w:r>
      <w:r w:rsidR="00BE78FD" w:rsidRPr="00052DF0">
        <w:rPr>
          <w:rFonts w:ascii="Arial" w:hAnsi="Arial" w:cs="Arial"/>
          <w:i w:val="0"/>
          <w:iCs w:val="0"/>
          <w:sz w:val="22"/>
          <w:szCs w:val="22"/>
        </w:rPr>
        <w:t>1</w:t>
      </w:r>
      <w:bookmarkEnd w:id="279"/>
      <w:bookmarkEnd w:id="280"/>
    </w:p>
    <w:tbl>
      <w:tblPr>
        <w:tblW w:w="8637" w:type="dxa"/>
        <w:jc w:val="center"/>
        <w:tblLook w:val="04A0" w:firstRow="1" w:lastRow="0" w:firstColumn="1" w:lastColumn="0" w:noHBand="0" w:noVBand="1"/>
      </w:tblPr>
      <w:tblGrid>
        <w:gridCol w:w="699"/>
        <w:gridCol w:w="663"/>
        <w:gridCol w:w="3164"/>
        <w:gridCol w:w="1418"/>
        <w:gridCol w:w="1076"/>
        <w:gridCol w:w="1617"/>
      </w:tblGrid>
      <w:tr w:rsidR="00CE76B6" w:rsidRPr="00CE76B6" w14:paraId="2530DB0A" w14:textId="77777777" w:rsidTr="00CE76B6">
        <w:trPr>
          <w:trHeight w:val="1170"/>
          <w:tblHeader/>
          <w:jc w:val="center"/>
        </w:trPr>
        <w:tc>
          <w:tcPr>
            <w:tcW w:w="699"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525F29B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Nr. crt.</w:t>
            </w:r>
          </w:p>
        </w:tc>
        <w:tc>
          <w:tcPr>
            <w:tcW w:w="663" w:type="dxa"/>
            <w:tcBorders>
              <w:top w:val="single" w:sz="8" w:space="0" w:color="auto"/>
              <w:left w:val="nil"/>
              <w:bottom w:val="single" w:sz="8" w:space="0" w:color="auto"/>
              <w:right w:val="single" w:sz="8" w:space="0" w:color="auto"/>
            </w:tcBorders>
            <w:shd w:val="clear" w:color="000000" w:fill="D9D9D9"/>
            <w:vAlign w:val="center"/>
            <w:hideMark/>
          </w:tcPr>
          <w:p w14:paraId="27D0610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Id</w:t>
            </w:r>
          </w:p>
        </w:tc>
        <w:tc>
          <w:tcPr>
            <w:tcW w:w="3164" w:type="dxa"/>
            <w:tcBorders>
              <w:top w:val="single" w:sz="8" w:space="0" w:color="auto"/>
              <w:left w:val="nil"/>
              <w:bottom w:val="single" w:sz="8" w:space="0" w:color="auto"/>
              <w:right w:val="single" w:sz="8" w:space="0" w:color="auto"/>
            </w:tcBorders>
            <w:shd w:val="clear" w:color="000000" w:fill="D9D9D9"/>
            <w:vAlign w:val="center"/>
            <w:hideMark/>
          </w:tcPr>
          <w:p w14:paraId="0027BDBD"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lang w:val="ro-RO"/>
              </w:rPr>
              <w:t>Intersecţie</w:t>
            </w:r>
          </w:p>
        </w:tc>
        <w:tc>
          <w:tcPr>
            <w:tcW w:w="1418" w:type="dxa"/>
            <w:tcBorders>
              <w:top w:val="single" w:sz="8" w:space="0" w:color="auto"/>
              <w:left w:val="nil"/>
              <w:bottom w:val="single" w:sz="8" w:space="0" w:color="auto"/>
              <w:right w:val="single" w:sz="8" w:space="0" w:color="auto"/>
            </w:tcBorders>
            <w:shd w:val="clear" w:color="000000" w:fill="D9D9D9"/>
            <w:vAlign w:val="center"/>
            <w:hideMark/>
          </w:tcPr>
          <w:p w14:paraId="0FA6ADD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Tip Control intersecţie</w:t>
            </w:r>
          </w:p>
        </w:tc>
        <w:tc>
          <w:tcPr>
            <w:tcW w:w="1076" w:type="dxa"/>
            <w:tcBorders>
              <w:top w:val="single" w:sz="8" w:space="0" w:color="auto"/>
              <w:left w:val="nil"/>
              <w:bottom w:val="single" w:sz="8" w:space="0" w:color="auto"/>
              <w:right w:val="single" w:sz="8" w:space="0" w:color="auto"/>
            </w:tcBorders>
            <w:shd w:val="clear" w:color="000000" w:fill="D9D9D9"/>
            <w:vAlign w:val="center"/>
            <w:hideMark/>
          </w:tcPr>
          <w:p w14:paraId="0868C59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Întârziere medie (s/km)</w:t>
            </w:r>
          </w:p>
        </w:tc>
        <w:tc>
          <w:tcPr>
            <w:tcW w:w="1617" w:type="dxa"/>
            <w:tcBorders>
              <w:top w:val="single" w:sz="8" w:space="0" w:color="auto"/>
              <w:left w:val="nil"/>
              <w:bottom w:val="single" w:sz="8" w:space="0" w:color="auto"/>
              <w:right w:val="single" w:sz="8" w:space="0" w:color="auto"/>
            </w:tcBorders>
            <w:shd w:val="clear" w:color="000000" w:fill="D9D9D9"/>
            <w:vAlign w:val="center"/>
            <w:hideMark/>
          </w:tcPr>
          <w:p w14:paraId="3670EC9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Nivelul de serviciu maxim</w:t>
            </w:r>
          </w:p>
        </w:tc>
      </w:tr>
      <w:tr w:rsidR="00CE76B6" w:rsidRPr="00CE76B6" w14:paraId="05F8BFDD"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E4FE28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w:t>
            </w:r>
          </w:p>
        </w:tc>
        <w:tc>
          <w:tcPr>
            <w:tcW w:w="663" w:type="dxa"/>
            <w:tcBorders>
              <w:top w:val="nil"/>
              <w:left w:val="nil"/>
              <w:bottom w:val="single" w:sz="8" w:space="0" w:color="auto"/>
              <w:right w:val="single" w:sz="8" w:space="0" w:color="auto"/>
            </w:tcBorders>
            <w:shd w:val="clear" w:color="auto" w:fill="auto"/>
            <w:noWrap/>
            <w:vAlign w:val="center"/>
            <w:hideMark/>
          </w:tcPr>
          <w:p w14:paraId="39B325D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64</w:t>
            </w:r>
          </w:p>
        </w:tc>
        <w:tc>
          <w:tcPr>
            <w:tcW w:w="3164" w:type="dxa"/>
            <w:tcBorders>
              <w:top w:val="nil"/>
              <w:left w:val="nil"/>
              <w:bottom w:val="single" w:sz="8" w:space="0" w:color="auto"/>
              <w:right w:val="single" w:sz="8" w:space="0" w:color="auto"/>
            </w:tcBorders>
            <w:shd w:val="clear" w:color="auto" w:fill="auto"/>
            <w:noWrap/>
            <w:vAlign w:val="center"/>
            <w:hideMark/>
          </w:tcPr>
          <w:p w14:paraId="28BFBB84"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 67 – DJ 665 (str. Iancu Jianu)</w:t>
            </w:r>
          </w:p>
        </w:tc>
        <w:tc>
          <w:tcPr>
            <w:tcW w:w="1418" w:type="dxa"/>
            <w:tcBorders>
              <w:top w:val="nil"/>
              <w:left w:val="nil"/>
              <w:bottom w:val="single" w:sz="8" w:space="0" w:color="auto"/>
              <w:right w:val="single" w:sz="8" w:space="0" w:color="auto"/>
            </w:tcBorders>
            <w:shd w:val="clear" w:color="auto" w:fill="auto"/>
            <w:noWrap/>
            <w:vAlign w:val="center"/>
            <w:hideMark/>
          </w:tcPr>
          <w:p w14:paraId="5E898DF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5E17525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1,49</w:t>
            </w:r>
          </w:p>
        </w:tc>
        <w:tc>
          <w:tcPr>
            <w:tcW w:w="1617" w:type="dxa"/>
            <w:tcBorders>
              <w:top w:val="nil"/>
              <w:left w:val="nil"/>
              <w:bottom w:val="single" w:sz="8" w:space="0" w:color="auto"/>
              <w:right w:val="single" w:sz="8" w:space="0" w:color="auto"/>
            </w:tcBorders>
            <w:shd w:val="clear" w:color="000000" w:fill="FFC000"/>
            <w:noWrap/>
            <w:vAlign w:val="center"/>
            <w:hideMark/>
          </w:tcPr>
          <w:p w14:paraId="3FBE636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7B6928DD"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2E5396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w:t>
            </w:r>
          </w:p>
        </w:tc>
        <w:tc>
          <w:tcPr>
            <w:tcW w:w="663" w:type="dxa"/>
            <w:tcBorders>
              <w:top w:val="nil"/>
              <w:left w:val="nil"/>
              <w:bottom w:val="single" w:sz="8" w:space="0" w:color="auto"/>
              <w:right w:val="single" w:sz="8" w:space="0" w:color="auto"/>
            </w:tcBorders>
            <w:shd w:val="clear" w:color="auto" w:fill="auto"/>
            <w:noWrap/>
            <w:vAlign w:val="center"/>
            <w:hideMark/>
          </w:tcPr>
          <w:p w14:paraId="1ED8267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69</w:t>
            </w:r>
          </w:p>
        </w:tc>
        <w:tc>
          <w:tcPr>
            <w:tcW w:w="3164" w:type="dxa"/>
            <w:tcBorders>
              <w:top w:val="nil"/>
              <w:left w:val="nil"/>
              <w:bottom w:val="single" w:sz="8" w:space="0" w:color="auto"/>
              <w:right w:val="single" w:sz="8" w:space="0" w:color="auto"/>
            </w:tcBorders>
            <w:shd w:val="clear" w:color="auto" w:fill="auto"/>
            <w:noWrap/>
            <w:vAlign w:val="center"/>
            <w:hideMark/>
          </w:tcPr>
          <w:p w14:paraId="65499633"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Anton Pann</w:t>
            </w:r>
          </w:p>
        </w:tc>
        <w:tc>
          <w:tcPr>
            <w:tcW w:w="1418" w:type="dxa"/>
            <w:tcBorders>
              <w:top w:val="nil"/>
              <w:left w:val="nil"/>
              <w:bottom w:val="single" w:sz="8" w:space="0" w:color="auto"/>
              <w:right w:val="single" w:sz="8" w:space="0" w:color="auto"/>
            </w:tcBorders>
            <w:shd w:val="clear" w:color="auto" w:fill="auto"/>
            <w:noWrap/>
            <w:vAlign w:val="center"/>
            <w:hideMark/>
          </w:tcPr>
          <w:p w14:paraId="531407F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4282FFC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0,81</w:t>
            </w:r>
          </w:p>
        </w:tc>
        <w:tc>
          <w:tcPr>
            <w:tcW w:w="1617" w:type="dxa"/>
            <w:tcBorders>
              <w:top w:val="nil"/>
              <w:left w:val="nil"/>
              <w:bottom w:val="single" w:sz="8" w:space="0" w:color="auto"/>
              <w:right w:val="single" w:sz="8" w:space="0" w:color="auto"/>
            </w:tcBorders>
            <w:shd w:val="clear" w:color="000000" w:fill="92D050"/>
            <w:noWrap/>
            <w:vAlign w:val="center"/>
            <w:hideMark/>
          </w:tcPr>
          <w:p w14:paraId="369B35B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3F16713B"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0C518FA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w:t>
            </w:r>
          </w:p>
        </w:tc>
        <w:tc>
          <w:tcPr>
            <w:tcW w:w="663" w:type="dxa"/>
            <w:tcBorders>
              <w:top w:val="nil"/>
              <w:left w:val="nil"/>
              <w:bottom w:val="single" w:sz="8" w:space="0" w:color="auto"/>
              <w:right w:val="single" w:sz="8" w:space="0" w:color="auto"/>
            </w:tcBorders>
            <w:shd w:val="clear" w:color="auto" w:fill="auto"/>
            <w:noWrap/>
            <w:vAlign w:val="center"/>
            <w:hideMark/>
          </w:tcPr>
          <w:p w14:paraId="300022A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75</w:t>
            </w:r>
          </w:p>
        </w:tc>
        <w:tc>
          <w:tcPr>
            <w:tcW w:w="3164" w:type="dxa"/>
            <w:tcBorders>
              <w:top w:val="nil"/>
              <w:left w:val="nil"/>
              <w:bottom w:val="single" w:sz="8" w:space="0" w:color="auto"/>
              <w:right w:val="single" w:sz="8" w:space="0" w:color="auto"/>
            </w:tcBorders>
            <w:shd w:val="clear" w:color="auto" w:fill="auto"/>
            <w:noWrap/>
            <w:vAlign w:val="center"/>
            <w:hideMark/>
          </w:tcPr>
          <w:p w14:paraId="103F251C"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Eroilor</w:t>
            </w:r>
          </w:p>
        </w:tc>
        <w:tc>
          <w:tcPr>
            <w:tcW w:w="1418" w:type="dxa"/>
            <w:tcBorders>
              <w:top w:val="nil"/>
              <w:left w:val="nil"/>
              <w:bottom w:val="single" w:sz="8" w:space="0" w:color="auto"/>
              <w:right w:val="single" w:sz="8" w:space="0" w:color="auto"/>
            </w:tcBorders>
            <w:shd w:val="clear" w:color="auto" w:fill="auto"/>
            <w:noWrap/>
            <w:vAlign w:val="center"/>
            <w:hideMark/>
          </w:tcPr>
          <w:p w14:paraId="617F69F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70118E9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1,77</w:t>
            </w:r>
          </w:p>
        </w:tc>
        <w:tc>
          <w:tcPr>
            <w:tcW w:w="1617" w:type="dxa"/>
            <w:tcBorders>
              <w:top w:val="nil"/>
              <w:left w:val="nil"/>
              <w:bottom w:val="single" w:sz="8" w:space="0" w:color="auto"/>
              <w:right w:val="single" w:sz="8" w:space="0" w:color="auto"/>
            </w:tcBorders>
            <w:shd w:val="clear" w:color="000000" w:fill="FFC000"/>
            <w:noWrap/>
            <w:vAlign w:val="center"/>
            <w:hideMark/>
          </w:tcPr>
          <w:p w14:paraId="6C98DB0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1D918796"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B02C35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4</w:t>
            </w:r>
          </w:p>
        </w:tc>
        <w:tc>
          <w:tcPr>
            <w:tcW w:w="663" w:type="dxa"/>
            <w:tcBorders>
              <w:top w:val="nil"/>
              <w:left w:val="nil"/>
              <w:bottom w:val="single" w:sz="8" w:space="0" w:color="auto"/>
              <w:right w:val="single" w:sz="8" w:space="0" w:color="auto"/>
            </w:tcBorders>
            <w:shd w:val="clear" w:color="auto" w:fill="auto"/>
            <w:noWrap/>
            <w:vAlign w:val="center"/>
            <w:hideMark/>
          </w:tcPr>
          <w:p w14:paraId="140DCC4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84</w:t>
            </w:r>
          </w:p>
        </w:tc>
        <w:tc>
          <w:tcPr>
            <w:tcW w:w="3164" w:type="dxa"/>
            <w:tcBorders>
              <w:top w:val="nil"/>
              <w:left w:val="nil"/>
              <w:bottom w:val="single" w:sz="8" w:space="0" w:color="auto"/>
              <w:right w:val="single" w:sz="8" w:space="0" w:color="auto"/>
            </w:tcBorders>
            <w:shd w:val="clear" w:color="auto" w:fill="auto"/>
            <w:noWrap/>
            <w:vAlign w:val="center"/>
            <w:hideMark/>
          </w:tcPr>
          <w:p w14:paraId="7063C066"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DC143 - str. Nicolae Iorga</w:t>
            </w:r>
          </w:p>
        </w:tc>
        <w:tc>
          <w:tcPr>
            <w:tcW w:w="1418" w:type="dxa"/>
            <w:tcBorders>
              <w:top w:val="nil"/>
              <w:left w:val="nil"/>
              <w:bottom w:val="single" w:sz="8" w:space="0" w:color="auto"/>
              <w:right w:val="single" w:sz="8" w:space="0" w:color="auto"/>
            </w:tcBorders>
            <w:shd w:val="clear" w:color="auto" w:fill="auto"/>
            <w:noWrap/>
            <w:vAlign w:val="center"/>
            <w:hideMark/>
          </w:tcPr>
          <w:p w14:paraId="3DD8F0C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469904F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0,54</w:t>
            </w:r>
          </w:p>
        </w:tc>
        <w:tc>
          <w:tcPr>
            <w:tcW w:w="1617" w:type="dxa"/>
            <w:tcBorders>
              <w:top w:val="nil"/>
              <w:left w:val="nil"/>
              <w:bottom w:val="single" w:sz="8" w:space="0" w:color="auto"/>
              <w:right w:val="single" w:sz="8" w:space="0" w:color="auto"/>
            </w:tcBorders>
            <w:shd w:val="clear" w:color="000000" w:fill="92D050"/>
            <w:noWrap/>
            <w:vAlign w:val="center"/>
            <w:hideMark/>
          </w:tcPr>
          <w:p w14:paraId="775F497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541FCC0D"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30B51F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5</w:t>
            </w:r>
          </w:p>
        </w:tc>
        <w:tc>
          <w:tcPr>
            <w:tcW w:w="663" w:type="dxa"/>
            <w:tcBorders>
              <w:top w:val="nil"/>
              <w:left w:val="nil"/>
              <w:bottom w:val="single" w:sz="8" w:space="0" w:color="auto"/>
              <w:right w:val="single" w:sz="8" w:space="0" w:color="auto"/>
            </w:tcBorders>
            <w:shd w:val="clear" w:color="auto" w:fill="auto"/>
            <w:noWrap/>
            <w:vAlign w:val="center"/>
            <w:hideMark/>
          </w:tcPr>
          <w:p w14:paraId="1455689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85</w:t>
            </w:r>
          </w:p>
        </w:tc>
        <w:tc>
          <w:tcPr>
            <w:tcW w:w="3164" w:type="dxa"/>
            <w:tcBorders>
              <w:top w:val="nil"/>
              <w:left w:val="nil"/>
              <w:bottom w:val="single" w:sz="8" w:space="0" w:color="auto"/>
              <w:right w:val="single" w:sz="8" w:space="0" w:color="auto"/>
            </w:tcBorders>
            <w:shd w:val="clear" w:color="auto" w:fill="auto"/>
            <w:noWrap/>
            <w:vAlign w:val="center"/>
            <w:hideMark/>
          </w:tcPr>
          <w:p w14:paraId="2B998713"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DC 143 – str. Mihai Viteazu</w:t>
            </w:r>
          </w:p>
        </w:tc>
        <w:tc>
          <w:tcPr>
            <w:tcW w:w="1418" w:type="dxa"/>
            <w:tcBorders>
              <w:top w:val="nil"/>
              <w:left w:val="nil"/>
              <w:bottom w:val="single" w:sz="8" w:space="0" w:color="auto"/>
              <w:right w:val="single" w:sz="8" w:space="0" w:color="auto"/>
            </w:tcBorders>
            <w:shd w:val="clear" w:color="auto" w:fill="auto"/>
            <w:noWrap/>
            <w:vAlign w:val="center"/>
            <w:hideMark/>
          </w:tcPr>
          <w:p w14:paraId="3BDFBC2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1142966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2,28</w:t>
            </w:r>
          </w:p>
        </w:tc>
        <w:tc>
          <w:tcPr>
            <w:tcW w:w="1617" w:type="dxa"/>
            <w:tcBorders>
              <w:top w:val="nil"/>
              <w:left w:val="nil"/>
              <w:bottom w:val="single" w:sz="8" w:space="0" w:color="auto"/>
              <w:right w:val="single" w:sz="8" w:space="0" w:color="auto"/>
            </w:tcBorders>
            <w:shd w:val="clear" w:color="000000" w:fill="92D050"/>
            <w:noWrap/>
            <w:vAlign w:val="center"/>
            <w:hideMark/>
          </w:tcPr>
          <w:p w14:paraId="42911D5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1022EA62"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2E3FE1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6</w:t>
            </w:r>
          </w:p>
        </w:tc>
        <w:tc>
          <w:tcPr>
            <w:tcW w:w="663" w:type="dxa"/>
            <w:tcBorders>
              <w:top w:val="nil"/>
              <w:left w:val="nil"/>
              <w:bottom w:val="single" w:sz="8" w:space="0" w:color="auto"/>
              <w:right w:val="single" w:sz="8" w:space="0" w:color="auto"/>
            </w:tcBorders>
            <w:shd w:val="clear" w:color="auto" w:fill="auto"/>
            <w:noWrap/>
            <w:vAlign w:val="center"/>
            <w:hideMark/>
          </w:tcPr>
          <w:p w14:paraId="5F96A8D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86</w:t>
            </w:r>
          </w:p>
        </w:tc>
        <w:tc>
          <w:tcPr>
            <w:tcW w:w="3164" w:type="dxa"/>
            <w:tcBorders>
              <w:top w:val="nil"/>
              <w:left w:val="nil"/>
              <w:bottom w:val="single" w:sz="8" w:space="0" w:color="auto"/>
              <w:right w:val="single" w:sz="8" w:space="0" w:color="auto"/>
            </w:tcBorders>
            <w:shd w:val="clear" w:color="auto" w:fill="auto"/>
            <w:noWrap/>
            <w:vAlign w:val="center"/>
            <w:hideMark/>
          </w:tcPr>
          <w:p w14:paraId="31D92C8F"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Căpitan Maldăr</w:t>
            </w:r>
          </w:p>
        </w:tc>
        <w:tc>
          <w:tcPr>
            <w:tcW w:w="1418" w:type="dxa"/>
            <w:tcBorders>
              <w:top w:val="nil"/>
              <w:left w:val="nil"/>
              <w:bottom w:val="single" w:sz="8" w:space="0" w:color="auto"/>
              <w:right w:val="single" w:sz="8" w:space="0" w:color="auto"/>
            </w:tcBorders>
            <w:shd w:val="clear" w:color="auto" w:fill="auto"/>
            <w:noWrap/>
            <w:vAlign w:val="center"/>
            <w:hideMark/>
          </w:tcPr>
          <w:p w14:paraId="738F309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57488F2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1,88</w:t>
            </w:r>
          </w:p>
        </w:tc>
        <w:tc>
          <w:tcPr>
            <w:tcW w:w="1617" w:type="dxa"/>
            <w:tcBorders>
              <w:top w:val="nil"/>
              <w:left w:val="nil"/>
              <w:bottom w:val="single" w:sz="8" w:space="0" w:color="auto"/>
              <w:right w:val="single" w:sz="8" w:space="0" w:color="auto"/>
            </w:tcBorders>
            <w:shd w:val="clear" w:color="000000" w:fill="FFC000"/>
            <w:noWrap/>
            <w:vAlign w:val="center"/>
            <w:hideMark/>
          </w:tcPr>
          <w:p w14:paraId="15A9049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630FA0B6"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68661E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7</w:t>
            </w:r>
          </w:p>
        </w:tc>
        <w:tc>
          <w:tcPr>
            <w:tcW w:w="663" w:type="dxa"/>
            <w:tcBorders>
              <w:top w:val="nil"/>
              <w:left w:val="nil"/>
              <w:bottom w:val="single" w:sz="8" w:space="0" w:color="auto"/>
              <w:right w:val="single" w:sz="8" w:space="0" w:color="auto"/>
            </w:tcBorders>
            <w:shd w:val="clear" w:color="auto" w:fill="auto"/>
            <w:noWrap/>
            <w:vAlign w:val="center"/>
            <w:hideMark/>
          </w:tcPr>
          <w:p w14:paraId="0C67C75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88</w:t>
            </w:r>
          </w:p>
        </w:tc>
        <w:tc>
          <w:tcPr>
            <w:tcW w:w="3164" w:type="dxa"/>
            <w:tcBorders>
              <w:top w:val="nil"/>
              <w:left w:val="nil"/>
              <w:bottom w:val="single" w:sz="8" w:space="0" w:color="auto"/>
              <w:right w:val="single" w:sz="8" w:space="0" w:color="auto"/>
            </w:tcBorders>
            <w:shd w:val="clear" w:color="auto" w:fill="auto"/>
            <w:noWrap/>
            <w:vAlign w:val="center"/>
            <w:hideMark/>
          </w:tcPr>
          <w:p w14:paraId="04584E2C"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13 - DC 139 – DN 67 (A)</w:t>
            </w:r>
          </w:p>
        </w:tc>
        <w:tc>
          <w:tcPr>
            <w:tcW w:w="1418" w:type="dxa"/>
            <w:tcBorders>
              <w:top w:val="nil"/>
              <w:left w:val="nil"/>
              <w:bottom w:val="single" w:sz="8" w:space="0" w:color="auto"/>
              <w:right w:val="single" w:sz="8" w:space="0" w:color="auto"/>
            </w:tcBorders>
            <w:shd w:val="clear" w:color="auto" w:fill="auto"/>
            <w:noWrap/>
            <w:vAlign w:val="center"/>
            <w:hideMark/>
          </w:tcPr>
          <w:p w14:paraId="4ABBAC7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 xml:space="preserve">Stop pe doua </w:t>
            </w:r>
            <w:r w:rsidRPr="00CE76B6">
              <w:rPr>
                <w:rFonts w:ascii="Calibri" w:eastAsia="Times New Roman" w:hAnsi="Calibri" w:cs="Calibri"/>
                <w:color w:val="000000"/>
              </w:rPr>
              <w:lastRenderedPageBreak/>
              <w:t>directii</w:t>
            </w:r>
          </w:p>
        </w:tc>
        <w:tc>
          <w:tcPr>
            <w:tcW w:w="1076" w:type="dxa"/>
            <w:tcBorders>
              <w:top w:val="nil"/>
              <w:left w:val="nil"/>
              <w:bottom w:val="single" w:sz="8" w:space="0" w:color="auto"/>
              <w:right w:val="single" w:sz="8" w:space="0" w:color="auto"/>
            </w:tcBorders>
            <w:shd w:val="clear" w:color="auto" w:fill="auto"/>
            <w:noWrap/>
            <w:vAlign w:val="center"/>
            <w:hideMark/>
          </w:tcPr>
          <w:p w14:paraId="1CD48A8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lastRenderedPageBreak/>
              <w:t>1,05</w:t>
            </w:r>
          </w:p>
        </w:tc>
        <w:tc>
          <w:tcPr>
            <w:tcW w:w="1617" w:type="dxa"/>
            <w:tcBorders>
              <w:top w:val="nil"/>
              <w:left w:val="nil"/>
              <w:bottom w:val="single" w:sz="8" w:space="0" w:color="auto"/>
              <w:right w:val="single" w:sz="8" w:space="0" w:color="auto"/>
            </w:tcBorders>
            <w:shd w:val="clear" w:color="000000" w:fill="FFC000"/>
            <w:noWrap/>
            <w:vAlign w:val="center"/>
            <w:hideMark/>
          </w:tcPr>
          <w:p w14:paraId="20D33E7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5BDA1A6F"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995454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w:t>
            </w:r>
          </w:p>
        </w:tc>
        <w:tc>
          <w:tcPr>
            <w:tcW w:w="663" w:type="dxa"/>
            <w:tcBorders>
              <w:top w:val="nil"/>
              <w:left w:val="nil"/>
              <w:bottom w:val="single" w:sz="8" w:space="0" w:color="auto"/>
              <w:right w:val="single" w:sz="8" w:space="0" w:color="auto"/>
            </w:tcBorders>
            <w:shd w:val="clear" w:color="auto" w:fill="auto"/>
            <w:noWrap/>
            <w:vAlign w:val="center"/>
            <w:hideMark/>
          </w:tcPr>
          <w:p w14:paraId="1E8F827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89</w:t>
            </w:r>
          </w:p>
        </w:tc>
        <w:tc>
          <w:tcPr>
            <w:tcW w:w="3164" w:type="dxa"/>
            <w:tcBorders>
              <w:top w:val="nil"/>
              <w:left w:val="nil"/>
              <w:bottom w:val="single" w:sz="8" w:space="0" w:color="auto"/>
              <w:right w:val="single" w:sz="8" w:space="0" w:color="auto"/>
            </w:tcBorders>
            <w:shd w:val="clear" w:color="auto" w:fill="auto"/>
            <w:noWrap/>
            <w:vAlign w:val="center"/>
            <w:hideMark/>
          </w:tcPr>
          <w:p w14:paraId="028E037A"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13 - DC 139 – DN 67 (B)</w:t>
            </w:r>
          </w:p>
        </w:tc>
        <w:tc>
          <w:tcPr>
            <w:tcW w:w="1418" w:type="dxa"/>
            <w:tcBorders>
              <w:top w:val="nil"/>
              <w:left w:val="nil"/>
              <w:bottom w:val="single" w:sz="8" w:space="0" w:color="auto"/>
              <w:right w:val="single" w:sz="8" w:space="0" w:color="auto"/>
            </w:tcBorders>
            <w:shd w:val="clear" w:color="auto" w:fill="auto"/>
            <w:noWrap/>
            <w:vAlign w:val="center"/>
            <w:hideMark/>
          </w:tcPr>
          <w:p w14:paraId="1D2821C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27A4D3E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0,74</w:t>
            </w:r>
          </w:p>
        </w:tc>
        <w:tc>
          <w:tcPr>
            <w:tcW w:w="1617" w:type="dxa"/>
            <w:tcBorders>
              <w:top w:val="nil"/>
              <w:left w:val="nil"/>
              <w:bottom w:val="single" w:sz="8" w:space="0" w:color="auto"/>
              <w:right w:val="single" w:sz="8" w:space="0" w:color="auto"/>
            </w:tcBorders>
            <w:shd w:val="clear" w:color="000000" w:fill="FFC000"/>
            <w:noWrap/>
            <w:vAlign w:val="center"/>
            <w:hideMark/>
          </w:tcPr>
          <w:p w14:paraId="7962BC2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2BA481FA"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934F98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w:t>
            </w:r>
          </w:p>
        </w:tc>
        <w:tc>
          <w:tcPr>
            <w:tcW w:w="663" w:type="dxa"/>
            <w:tcBorders>
              <w:top w:val="nil"/>
              <w:left w:val="nil"/>
              <w:bottom w:val="single" w:sz="8" w:space="0" w:color="auto"/>
              <w:right w:val="single" w:sz="8" w:space="0" w:color="auto"/>
            </w:tcBorders>
            <w:shd w:val="clear" w:color="auto" w:fill="auto"/>
            <w:noWrap/>
            <w:vAlign w:val="center"/>
            <w:hideMark/>
          </w:tcPr>
          <w:p w14:paraId="60567F4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90</w:t>
            </w:r>
          </w:p>
        </w:tc>
        <w:tc>
          <w:tcPr>
            <w:tcW w:w="3164" w:type="dxa"/>
            <w:tcBorders>
              <w:top w:val="nil"/>
              <w:left w:val="nil"/>
              <w:bottom w:val="single" w:sz="8" w:space="0" w:color="auto"/>
              <w:right w:val="single" w:sz="8" w:space="0" w:color="auto"/>
            </w:tcBorders>
            <w:shd w:val="clear" w:color="auto" w:fill="auto"/>
            <w:noWrap/>
            <w:vAlign w:val="center"/>
            <w:hideMark/>
          </w:tcPr>
          <w:p w14:paraId="715D6D3A"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Zăvoiului</w:t>
            </w:r>
          </w:p>
        </w:tc>
        <w:tc>
          <w:tcPr>
            <w:tcW w:w="1418" w:type="dxa"/>
            <w:tcBorders>
              <w:top w:val="nil"/>
              <w:left w:val="nil"/>
              <w:bottom w:val="single" w:sz="8" w:space="0" w:color="auto"/>
              <w:right w:val="single" w:sz="8" w:space="0" w:color="auto"/>
            </w:tcBorders>
            <w:shd w:val="clear" w:color="auto" w:fill="auto"/>
            <w:noWrap/>
            <w:vAlign w:val="center"/>
            <w:hideMark/>
          </w:tcPr>
          <w:p w14:paraId="2834513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7A1D851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0,93</w:t>
            </w:r>
          </w:p>
        </w:tc>
        <w:tc>
          <w:tcPr>
            <w:tcW w:w="1617" w:type="dxa"/>
            <w:tcBorders>
              <w:top w:val="nil"/>
              <w:left w:val="nil"/>
              <w:bottom w:val="single" w:sz="8" w:space="0" w:color="auto"/>
              <w:right w:val="single" w:sz="8" w:space="0" w:color="auto"/>
            </w:tcBorders>
            <w:shd w:val="clear" w:color="000000" w:fill="C00000"/>
            <w:noWrap/>
            <w:vAlign w:val="center"/>
            <w:hideMark/>
          </w:tcPr>
          <w:p w14:paraId="598703A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F</w:t>
            </w:r>
          </w:p>
        </w:tc>
      </w:tr>
      <w:tr w:rsidR="00CE76B6" w:rsidRPr="00CE76B6" w14:paraId="73F2A2B4"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11B18E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10</w:t>
            </w:r>
          </w:p>
        </w:tc>
        <w:tc>
          <w:tcPr>
            <w:tcW w:w="663" w:type="dxa"/>
            <w:tcBorders>
              <w:top w:val="nil"/>
              <w:left w:val="nil"/>
              <w:bottom w:val="single" w:sz="8" w:space="0" w:color="auto"/>
              <w:right w:val="single" w:sz="8" w:space="0" w:color="auto"/>
            </w:tcBorders>
            <w:shd w:val="clear" w:color="auto" w:fill="auto"/>
            <w:noWrap/>
            <w:vAlign w:val="center"/>
            <w:hideMark/>
          </w:tcPr>
          <w:p w14:paraId="679741E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91</w:t>
            </w:r>
          </w:p>
        </w:tc>
        <w:tc>
          <w:tcPr>
            <w:tcW w:w="3164" w:type="dxa"/>
            <w:tcBorders>
              <w:top w:val="nil"/>
              <w:left w:val="nil"/>
              <w:bottom w:val="single" w:sz="8" w:space="0" w:color="auto"/>
              <w:right w:val="single" w:sz="8" w:space="0" w:color="auto"/>
            </w:tcBorders>
            <w:shd w:val="clear" w:color="auto" w:fill="auto"/>
            <w:noWrap/>
            <w:vAlign w:val="center"/>
            <w:hideMark/>
          </w:tcPr>
          <w:p w14:paraId="30C797DA"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 xml:space="preserve"> DC 142 – str. Matei Basarab</w:t>
            </w:r>
          </w:p>
        </w:tc>
        <w:tc>
          <w:tcPr>
            <w:tcW w:w="1418" w:type="dxa"/>
            <w:tcBorders>
              <w:top w:val="nil"/>
              <w:left w:val="nil"/>
              <w:bottom w:val="single" w:sz="8" w:space="0" w:color="auto"/>
              <w:right w:val="single" w:sz="8" w:space="0" w:color="auto"/>
            </w:tcBorders>
            <w:shd w:val="clear" w:color="auto" w:fill="auto"/>
            <w:noWrap/>
            <w:vAlign w:val="center"/>
            <w:hideMark/>
          </w:tcPr>
          <w:p w14:paraId="74195FB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0C7A8B7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0,31</w:t>
            </w:r>
          </w:p>
        </w:tc>
        <w:tc>
          <w:tcPr>
            <w:tcW w:w="1617" w:type="dxa"/>
            <w:tcBorders>
              <w:top w:val="nil"/>
              <w:left w:val="nil"/>
              <w:bottom w:val="single" w:sz="8" w:space="0" w:color="auto"/>
              <w:right w:val="single" w:sz="8" w:space="0" w:color="auto"/>
            </w:tcBorders>
            <w:shd w:val="clear" w:color="000000" w:fill="92D050"/>
            <w:noWrap/>
            <w:vAlign w:val="center"/>
            <w:hideMark/>
          </w:tcPr>
          <w:p w14:paraId="5444F18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61E4A3D2"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E58CB5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11</w:t>
            </w:r>
          </w:p>
        </w:tc>
        <w:tc>
          <w:tcPr>
            <w:tcW w:w="663" w:type="dxa"/>
            <w:tcBorders>
              <w:top w:val="nil"/>
              <w:left w:val="nil"/>
              <w:bottom w:val="single" w:sz="8" w:space="0" w:color="auto"/>
              <w:right w:val="single" w:sz="8" w:space="0" w:color="auto"/>
            </w:tcBorders>
            <w:shd w:val="clear" w:color="auto" w:fill="auto"/>
            <w:noWrap/>
            <w:vAlign w:val="center"/>
            <w:hideMark/>
          </w:tcPr>
          <w:p w14:paraId="6F7E0E3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94</w:t>
            </w:r>
          </w:p>
        </w:tc>
        <w:tc>
          <w:tcPr>
            <w:tcW w:w="3164" w:type="dxa"/>
            <w:tcBorders>
              <w:top w:val="nil"/>
              <w:left w:val="nil"/>
              <w:bottom w:val="single" w:sz="8" w:space="0" w:color="auto"/>
              <w:right w:val="single" w:sz="8" w:space="0" w:color="auto"/>
            </w:tcBorders>
            <w:shd w:val="clear" w:color="auto" w:fill="auto"/>
            <w:noWrap/>
            <w:vAlign w:val="center"/>
            <w:hideMark/>
          </w:tcPr>
          <w:p w14:paraId="51F3471D"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George Coșbuc</w:t>
            </w:r>
          </w:p>
        </w:tc>
        <w:tc>
          <w:tcPr>
            <w:tcW w:w="1418" w:type="dxa"/>
            <w:tcBorders>
              <w:top w:val="nil"/>
              <w:left w:val="nil"/>
              <w:bottom w:val="single" w:sz="8" w:space="0" w:color="auto"/>
              <w:right w:val="single" w:sz="8" w:space="0" w:color="auto"/>
            </w:tcBorders>
            <w:shd w:val="clear" w:color="auto" w:fill="auto"/>
            <w:noWrap/>
            <w:vAlign w:val="center"/>
            <w:hideMark/>
          </w:tcPr>
          <w:p w14:paraId="7CFC112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6D2AFB6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2,4</w:t>
            </w:r>
          </w:p>
        </w:tc>
        <w:tc>
          <w:tcPr>
            <w:tcW w:w="1617" w:type="dxa"/>
            <w:tcBorders>
              <w:top w:val="nil"/>
              <w:left w:val="nil"/>
              <w:bottom w:val="single" w:sz="8" w:space="0" w:color="auto"/>
              <w:right w:val="single" w:sz="8" w:space="0" w:color="auto"/>
            </w:tcBorders>
            <w:shd w:val="clear" w:color="000000" w:fill="C00000"/>
            <w:noWrap/>
            <w:vAlign w:val="center"/>
            <w:hideMark/>
          </w:tcPr>
          <w:p w14:paraId="24FB908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F</w:t>
            </w:r>
          </w:p>
        </w:tc>
      </w:tr>
      <w:tr w:rsidR="00CE76B6" w:rsidRPr="00CE76B6" w14:paraId="4B435918"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1B6D972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12</w:t>
            </w:r>
          </w:p>
        </w:tc>
        <w:tc>
          <w:tcPr>
            <w:tcW w:w="663" w:type="dxa"/>
            <w:tcBorders>
              <w:top w:val="nil"/>
              <w:left w:val="nil"/>
              <w:bottom w:val="single" w:sz="8" w:space="0" w:color="auto"/>
              <w:right w:val="single" w:sz="8" w:space="0" w:color="auto"/>
            </w:tcBorders>
            <w:shd w:val="clear" w:color="auto" w:fill="auto"/>
            <w:noWrap/>
            <w:vAlign w:val="center"/>
            <w:hideMark/>
          </w:tcPr>
          <w:p w14:paraId="564C107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98</w:t>
            </w:r>
          </w:p>
        </w:tc>
        <w:tc>
          <w:tcPr>
            <w:tcW w:w="3164" w:type="dxa"/>
            <w:tcBorders>
              <w:top w:val="nil"/>
              <w:left w:val="nil"/>
              <w:bottom w:val="single" w:sz="8" w:space="0" w:color="auto"/>
              <w:right w:val="single" w:sz="8" w:space="0" w:color="auto"/>
            </w:tcBorders>
            <w:shd w:val="clear" w:color="auto" w:fill="auto"/>
            <w:noWrap/>
            <w:vAlign w:val="center"/>
            <w:hideMark/>
          </w:tcPr>
          <w:p w14:paraId="3F20EE57"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DC 143 – str. Mihai Viteazu</w:t>
            </w:r>
          </w:p>
        </w:tc>
        <w:tc>
          <w:tcPr>
            <w:tcW w:w="1418" w:type="dxa"/>
            <w:tcBorders>
              <w:top w:val="nil"/>
              <w:left w:val="nil"/>
              <w:bottom w:val="single" w:sz="8" w:space="0" w:color="auto"/>
              <w:right w:val="single" w:sz="8" w:space="0" w:color="auto"/>
            </w:tcBorders>
            <w:shd w:val="clear" w:color="auto" w:fill="auto"/>
            <w:noWrap/>
            <w:vAlign w:val="center"/>
            <w:hideMark/>
          </w:tcPr>
          <w:p w14:paraId="6D64472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3B0ADBA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2,39</w:t>
            </w:r>
          </w:p>
        </w:tc>
        <w:tc>
          <w:tcPr>
            <w:tcW w:w="1617" w:type="dxa"/>
            <w:tcBorders>
              <w:top w:val="nil"/>
              <w:left w:val="nil"/>
              <w:bottom w:val="single" w:sz="8" w:space="0" w:color="auto"/>
              <w:right w:val="single" w:sz="8" w:space="0" w:color="auto"/>
            </w:tcBorders>
            <w:shd w:val="clear" w:color="000000" w:fill="92D050"/>
            <w:noWrap/>
            <w:vAlign w:val="center"/>
            <w:hideMark/>
          </w:tcPr>
          <w:p w14:paraId="2A99043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45B8FA79"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1BDC08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13</w:t>
            </w:r>
          </w:p>
        </w:tc>
        <w:tc>
          <w:tcPr>
            <w:tcW w:w="663" w:type="dxa"/>
            <w:tcBorders>
              <w:top w:val="nil"/>
              <w:left w:val="nil"/>
              <w:bottom w:val="single" w:sz="8" w:space="0" w:color="auto"/>
              <w:right w:val="single" w:sz="8" w:space="0" w:color="auto"/>
            </w:tcBorders>
            <w:shd w:val="clear" w:color="auto" w:fill="auto"/>
            <w:noWrap/>
            <w:vAlign w:val="center"/>
            <w:hideMark/>
          </w:tcPr>
          <w:p w14:paraId="178F56C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153</w:t>
            </w:r>
          </w:p>
        </w:tc>
        <w:tc>
          <w:tcPr>
            <w:tcW w:w="3164" w:type="dxa"/>
            <w:tcBorders>
              <w:top w:val="nil"/>
              <w:left w:val="nil"/>
              <w:bottom w:val="single" w:sz="8" w:space="0" w:color="auto"/>
              <w:right w:val="single" w:sz="8" w:space="0" w:color="auto"/>
            </w:tcBorders>
            <w:shd w:val="clear" w:color="auto" w:fill="auto"/>
            <w:noWrap/>
            <w:vAlign w:val="center"/>
            <w:hideMark/>
          </w:tcPr>
          <w:p w14:paraId="7100ED6D"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 xml:space="preserve"> DN 67 – str. Stadionului</w:t>
            </w:r>
          </w:p>
        </w:tc>
        <w:tc>
          <w:tcPr>
            <w:tcW w:w="1418" w:type="dxa"/>
            <w:tcBorders>
              <w:top w:val="nil"/>
              <w:left w:val="nil"/>
              <w:bottom w:val="single" w:sz="8" w:space="0" w:color="auto"/>
              <w:right w:val="single" w:sz="8" w:space="0" w:color="auto"/>
            </w:tcBorders>
            <w:shd w:val="clear" w:color="auto" w:fill="auto"/>
            <w:noWrap/>
            <w:vAlign w:val="center"/>
            <w:hideMark/>
          </w:tcPr>
          <w:p w14:paraId="4BA1665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09DFAEE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0,53</w:t>
            </w:r>
          </w:p>
        </w:tc>
        <w:tc>
          <w:tcPr>
            <w:tcW w:w="1617" w:type="dxa"/>
            <w:tcBorders>
              <w:top w:val="nil"/>
              <w:left w:val="nil"/>
              <w:bottom w:val="single" w:sz="8" w:space="0" w:color="auto"/>
              <w:right w:val="single" w:sz="8" w:space="0" w:color="auto"/>
            </w:tcBorders>
            <w:shd w:val="clear" w:color="000000" w:fill="92D050"/>
            <w:noWrap/>
            <w:vAlign w:val="center"/>
            <w:hideMark/>
          </w:tcPr>
          <w:p w14:paraId="6545E6E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6CCBA32C"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46DCEC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14</w:t>
            </w:r>
          </w:p>
        </w:tc>
        <w:tc>
          <w:tcPr>
            <w:tcW w:w="663" w:type="dxa"/>
            <w:tcBorders>
              <w:top w:val="nil"/>
              <w:left w:val="nil"/>
              <w:bottom w:val="single" w:sz="8" w:space="0" w:color="auto"/>
              <w:right w:val="single" w:sz="8" w:space="0" w:color="auto"/>
            </w:tcBorders>
            <w:shd w:val="clear" w:color="auto" w:fill="auto"/>
            <w:noWrap/>
            <w:vAlign w:val="center"/>
            <w:hideMark/>
          </w:tcPr>
          <w:p w14:paraId="63A23B1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162</w:t>
            </w:r>
          </w:p>
        </w:tc>
        <w:tc>
          <w:tcPr>
            <w:tcW w:w="3164" w:type="dxa"/>
            <w:tcBorders>
              <w:top w:val="nil"/>
              <w:left w:val="nil"/>
              <w:bottom w:val="single" w:sz="8" w:space="0" w:color="auto"/>
              <w:right w:val="single" w:sz="8" w:space="0" w:color="auto"/>
            </w:tcBorders>
            <w:shd w:val="clear" w:color="auto" w:fill="auto"/>
            <w:noWrap/>
            <w:vAlign w:val="center"/>
            <w:hideMark/>
          </w:tcPr>
          <w:p w14:paraId="61C21E9F"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 xml:space="preserve"> DC 144 – str. spre Romanii de Sus (Stejarului)</w:t>
            </w:r>
          </w:p>
        </w:tc>
        <w:tc>
          <w:tcPr>
            <w:tcW w:w="1418" w:type="dxa"/>
            <w:tcBorders>
              <w:top w:val="nil"/>
              <w:left w:val="nil"/>
              <w:bottom w:val="single" w:sz="8" w:space="0" w:color="auto"/>
              <w:right w:val="single" w:sz="8" w:space="0" w:color="auto"/>
            </w:tcBorders>
            <w:shd w:val="clear" w:color="auto" w:fill="auto"/>
            <w:noWrap/>
            <w:vAlign w:val="center"/>
            <w:hideMark/>
          </w:tcPr>
          <w:p w14:paraId="6F1DB33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6171560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1,18</w:t>
            </w:r>
          </w:p>
        </w:tc>
        <w:tc>
          <w:tcPr>
            <w:tcW w:w="1617" w:type="dxa"/>
            <w:tcBorders>
              <w:top w:val="nil"/>
              <w:left w:val="nil"/>
              <w:bottom w:val="single" w:sz="8" w:space="0" w:color="auto"/>
              <w:right w:val="single" w:sz="8" w:space="0" w:color="auto"/>
            </w:tcBorders>
            <w:shd w:val="clear" w:color="000000" w:fill="92D050"/>
            <w:noWrap/>
            <w:vAlign w:val="center"/>
            <w:hideMark/>
          </w:tcPr>
          <w:p w14:paraId="53FEB0A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235AFE80"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B3FCB2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15</w:t>
            </w:r>
          </w:p>
        </w:tc>
        <w:tc>
          <w:tcPr>
            <w:tcW w:w="663" w:type="dxa"/>
            <w:tcBorders>
              <w:top w:val="nil"/>
              <w:left w:val="nil"/>
              <w:bottom w:val="single" w:sz="8" w:space="0" w:color="auto"/>
              <w:right w:val="single" w:sz="8" w:space="0" w:color="auto"/>
            </w:tcBorders>
            <w:shd w:val="clear" w:color="auto" w:fill="auto"/>
            <w:noWrap/>
            <w:vAlign w:val="center"/>
            <w:hideMark/>
          </w:tcPr>
          <w:p w14:paraId="3960FD2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262</w:t>
            </w:r>
          </w:p>
        </w:tc>
        <w:tc>
          <w:tcPr>
            <w:tcW w:w="3164" w:type="dxa"/>
            <w:tcBorders>
              <w:top w:val="nil"/>
              <w:left w:val="nil"/>
              <w:bottom w:val="single" w:sz="8" w:space="0" w:color="auto"/>
              <w:right w:val="single" w:sz="8" w:space="0" w:color="auto"/>
            </w:tcBorders>
            <w:shd w:val="clear" w:color="auto" w:fill="auto"/>
            <w:noWrap/>
            <w:vAlign w:val="center"/>
            <w:hideMark/>
          </w:tcPr>
          <w:p w14:paraId="58DD3356"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DJ 669 – str. Manastirii</w:t>
            </w:r>
          </w:p>
        </w:tc>
        <w:tc>
          <w:tcPr>
            <w:tcW w:w="1418" w:type="dxa"/>
            <w:tcBorders>
              <w:top w:val="nil"/>
              <w:left w:val="nil"/>
              <w:bottom w:val="single" w:sz="8" w:space="0" w:color="auto"/>
              <w:right w:val="single" w:sz="8" w:space="0" w:color="auto"/>
            </w:tcBorders>
            <w:shd w:val="clear" w:color="auto" w:fill="auto"/>
            <w:noWrap/>
            <w:vAlign w:val="center"/>
            <w:hideMark/>
          </w:tcPr>
          <w:p w14:paraId="3907467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6727A72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2,92</w:t>
            </w:r>
          </w:p>
        </w:tc>
        <w:tc>
          <w:tcPr>
            <w:tcW w:w="1617" w:type="dxa"/>
            <w:tcBorders>
              <w:top w:val="nil"/>
              <w:left w:val="nil"/>
              <w:bottom w:val="single" w:sz="8" w:space="0" w:color="auto"/>
              <w:right w:val="single" w:sz="8" w:space="0" w:color="auto"/>
            </w:tcBorders>
            <w:shd w:val="clear" w:color="000000" w:fill="92D050"/>
            <w:noWrap/>
            <w:vAlign w:val="center"/>
            <w:hideMark/>
          </w:tcPr>
          <w:p w14:paraId="7744BED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0962F563"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4E242A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16</w:t>
            </w:r>
          </w:p>
        </w:tc>
        <w:tc>
          <w:tcPr>
            <w:tcW w:w="663" w:type="dxa"/>
            <w:tcBorders>
              <w:top w:val="nil"/>
              <w:left w:val="nil"/>
              <w:bottom w:val="single" w:sz="8" w:space="0" w:color="auto"/>
              <w:right w:val="single" w:sz="8" w:space="0" w:color="auto"/>
            </w:tcBorders>
            <w:shd w:val="clear" w:color="auto" w:fill="auto"/>
            <w:noWrap/>
            <w:vAlign w:val="center"/>
            <w:hideMark/>
          </w:tcPr>
          <w:p w14:paraId="2723C57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932</w:t>
            </w:r>
          </w:p>
        </w:tc>
        <w:tc>
          <w:tcPr>
            <w:tcW w:w="3164" w:type="dxa"/>
            <w:tcBorders>
              <w:top w:val="nil"/>
              <w:left w:val="nil"/>
              <w:bottom w:val="single" w:sz="8" w:space="0" w:color="auto"/>
              <w:right w:val="single" w:sz="8" w:space="0" w:color="auto"/>
            </w:tcBorders>
            <w:shd w:val="clear" w:color="auto" w:fill="auto"/>
            <w:noWrap/>
            <w:vAlign w:val="center"/>
            <w:hideMark/>
          </w:tcPr>
          <w:p w14:paraId="225AC364"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11 - DN 67 – DN 65C</w:t>
            </w:r>
          </w:p>
        </w:tc>
        <w:tc>
          <w:tcPr>
            <w:tcW w:w="1418" w:type="dxa"/>
            <w:tcBorders>
              <w:top w:val="nil"/>
              <w:left w:val="nil"/>
              <w:bottom w:val="single" w:sz="8" w:space="0" w:color="auto"/>
              <w:right w:val="single" w:sz="8" w:space="0" w:color="auto"/>
            </w:tcBorders>
            <w:shd w:val="clear" w:color="auto" w:fill="auto"/>
            <w:noWrap/>
            <w:vAlign w:val="center"/>
            <w:hideMark/>
          </w:tcPr>
          <w:p w14:paraId="0F069B6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0B84DAF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3,68</w:t>
            </w:r>
          </w:p>
        </w:tc>
        <w:tc>
          <w:tcPr>
            <w:tcW w:w="1617" w:type="dxa"/>
            <w:tcBorders>
              <w:top w:val="nil"/>
              <w:left w:val="nil"/>
              <w:bottom w:val="single" w:sz="8" w:space="0" w:color="auto"/>
              <w:right w:val="single" w:sz="8" w:space="0" w:color="auto"/>
            </w:tcBorders>
            <w:shd w:val="clear" w:color="000000" w:fill="BF8F00"/>
            <w:noWrap/>
            <w:vAlign w:val="center"/>
            <w:hideMark/>
          </w:tcPr>
          <w:p w14:paraId="02D03A8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D</w:t>
            </w:r>
          </w:p>
        </w:tc>
      </w:tr>
      <w:tr w:rsidR="00CE76B6" w:rsidRPr="00CE76B6" w14:paraId="698222C0"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46C995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17</w:t>
            </w:r>
          </w:p>
        </w:tc>
        <w:tc>
          <w:tcPr>
            <w:tcW w:w="663" w:type="dxa"/>
            <w:tcBorders>
              <w:top w:val="nil"/>
              <w:left w:val="nil"/>
              <w:bottom w:val="single" w:sz="8" w:space="0" w:color="auto"/>
              <w:right w:val="single" w:sz="8" w:space="0" w:color="auto"/>
            </w:tcBorders>
            <w:shd w:val="clear" w:color="auto" w:fill="auto"/>
            <w:noWrap/>
            <w:vAlign w:val="center"/>
            <w:hideMark/>
          </w:tcPr>
          <w:p w14:paraId="4543FFF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1095</w:t>
            </w:r>
          </w:p>
        </w:tc>
        <w:tc>
          <w:tcPr>
            <w:tcW w:w="3164" w:type="dxa"/>
            <w:tcBorders>
              <w:top w:val="nil"/>
              <w:left w:val="nil"/>
              <w:bottom w:val="single" w:sz="8" w:space="0" w:color="auto"/>
              <w:right w:val="single" w:sz="8" w:space="0" w:color="auto"/>
            </w:tcBorders>
            <w:shd w:val="clear" w:color="auto" w:fill="auto"/>
            <w:noWrap/>
            <w:vAlign w:val="center"/>
            <w:hideMark/>
          </w:tcPr>
          <w:p w14:paraId="5CC01929"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13 - DC 139 – DN 67 (A)</w:t>
            </w:r>
          </w:p>
        </w:tc>
        <w:tc>
          <w:tcPr>
            <w:tcW w:w="1418" w:type="dxa"/>
            <w:tcBorders>
              <w:top w:val="nil"/>
              <w:left w:val="nil"/>
              <w:bottom w:val="single" w:sz="8" w:space="0" w:color="auto"/>
              <w:right w:val="single" w:sz="8" w:space="0" w:color="auto"/>
            </w:tcBorders>
            <w:shd w:val="clear" w:color="auto" w:fill="auto"/>
            <w:noWrap/>
            <w:vAlign w:val="center"/>
            <w:hideMark/>
          </w:tcPr>
          <w:p w14:paraId="50921B4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076" w:type="dxa"/>
            <w:tcBorders>
              <w:top w:val="nil"/>
              <w:left w:val="nil"/>
              <w:bottom w:val="single" w:sz="8" w:space="0" w:color="auto"/>
              <w:right w:val="single" w:sz="8" w:space="0" w:color="auto"/>
            </w:tcBorders>
            <w:shd w:val="clear" w:color="auto" w:fill="auto"/>
            <w:noWrap/>
            <w:vAlign w:val="center"/>
            <w:hideMark/>
          </w:tcPr>
          <w:p w14:paraId="102E37E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4,69</w:t>
            </w:r>
          </w:p>
        </w:tc>
        <w:tc>
          <w:tcPr>
            <w:tcW w:w="1617" w:type="dxa"/>
            <w:tcBorders>
              <w:top w:val="nil"/>
              <w:left w:val="nil"/>
              <w:bottom w:val="single" w:sz="8" w:space="0" w:color="auto"/>
              <w:right w:val="single" w:sz="8" w:space="0" w:color="auto"/>
            </w:tcBorders>
            <w:shd w:val="clear" w:color="000000" w:fill="BF8F00"/>
            <w:noWrap/>
            <w:vAlign w:val="center"/>
            <w:hideMark/>
          </w:tcPr>
          <w:p w14:paraId="58239E7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D</w:t>
            </w:r>
          </w:p>
        </w:tc>
      </w:tr>
      <w:tr w:rsidR="00CE76B6" w:rsidRPr="00CE76B6" w14:paraId="2AC394F9"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07C077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18</w:t>
            </w:r>
          </w:p>
        </w:tc>
        <w:tc>
          <w:tcPr>
            <w:tcW w:w="663" w:type="dxa"/>
            <w:tcBorders>
              <w:top w:val="nil"/>
              <w:left w:val="nil"/>
              <w:bottom w:val="single" w:sz="8" w:space="0" w:color="auto"/>
              <w:right w:val="single" w:sz="8" w:space="0" w:color="auto"/>
            </w:tcBorders>
            <w:shd w:val="clear" w:color="auto" w:fill="auto"/>
            <w:noWrap/>
            <w:vAlign w:val="center"/>
            <w:hideMark/>
          </w:tcPr>
          <w:p w14:paraId="7136AF9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3807</w:t>
            </w:r>
          </w:p>
        </w:tc>
        <w:tc>
          <w:tcPr>
            <w:tcW w:w="3164" w:type="dxa"/>
            <w:tcBorders>
              <w:top w:val="nil"/>
              <w:left w:val="nil"/>
              <w:bottom w:val="single" w:sz="8" w:space="0" w:color="auto"/>
              <w:right w:val="single" w:sz="8" w:space="0" w:color="auto"/>
            </w:tcBorders>
            <w:shd w:val="clear" w:color="auto" w:fill="auto"/>
            <w:noWrap/>
            <w:vAlign w:val="center"/>
            <w:hideMark/>
          </w:tcPr>
          <w:p w14:paraId="59FB8534"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10 - DC 144 – DC 146</w:t>
            </w:r>
          </w:p>
        </w:tc>
        <w:tc>
          <w:tcPr>
            <w:tcW w:w="1418" w:type="dxa"/>
            <w:tcBorders>
              <w:top w:val="nil"/>
              <w:left w:val="nil"/>
              <w:bottom w:val="single" w:sz="8" w:space="0" w:color="auto"/>
              <w:right w:val="single" w:sz="8" w:space="0" w:color="auto"/>
            </w:tcBorders>
            <w:shd w:val="clear" w:color="auto" w:fill="auto"/>
            <w:noWrap/>
            <w:vAlign w:val="center"/>
            <w:hideMark/>
          </w:tcPr>
          <w:p w14:paraId="2132093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179836F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1,02</w:t>
            </w:r>
          </w:p>
        </w:tc>
        <w:tc>
          <w:tcPr>
            <w:tcW w:w="1617" w:type="dxa"/>
            <w:tcBorders>
              <w:top w:val="nil"/>
              <w:left w:val="nil"/>
              <w:bottom w:val="single" w:sz="8" w:space="0" w:color="auto"/>
              <w:right w:val="single" w:sz="8" w:space="0" w:color="auto"/>
            </w:tcBorders>
            <w:shd w:val="clear" w:color="000000" w:fill="92D050"/>
            <w:noWrap/>
            <w:vAlign w:val="center"/>
            <w:hideMark/>
          </w:tcPr>
          <w:p w14:paraId="4582174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4A8FFB22"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C36E54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19</w:t>
            </w:r>
          </w:p>
        </w:tc>
        <w:tc>
          <w:tcPr>
            <w:tcW w:w="663" w:type="dxa"/>
            <w:tcBorders>
              <w:top w:val="nil"/>
              <w:left w:val="nil"/>
              <w:bottom w:val="single" w:sz="8" w:space="0" w:color="auto"/>
              <w:right w:val="single" w:sz="8" w:space="0" w:color="auto"/>
            </w:tcBorders>
            <w:shd w:val="clear" w:color="auto" w:fill="auto"/>
            <w:noWrap/>
            <w:vAlign w:val="center"/>
            <w:hideMark/>
          </w:tcPr>
          <w:p w14:paraId="5107BAC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3862</w:t>
            </w:r>
          </w:p>
        </w:tc>
        <w:tc>
          <w:tcPr>
            <w:tcW w:w="3164" w:type="dxa"/>
            <w:tcBorders>
              <w:top w:val="nil"/>
              <w:left w:val="nil"/>
              <w:bottom w:val="single" w:sz="8" w:space="0" w:color="auto"/>
              <w:right w:val="single" w:sz="8" w:space="0" w:color="auto"/>
            </w:tcBorders>
            <w:shd w:val="clear" w:color="auto" w:fill="auto"/>
            <w:noWrap/>
            <w:vAlign w:val="center"/>
            <w:hideMark/>
          </w:tcPr>
          <w:p w14:paraId="30961FAB"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16 - DJ 669 – DC 146</w:t>
            </w:r>
          </w:p>
        </w:tc>
        <w:tc>
          <w:tcPr>
            <w:tcW w:w="1418" w:type="dxa"/>
            <w:tcBorders>
              <w:top w:val="nil"/>
              <w:left w:val="nil"/>
              <w:bottom w:val="single" w:sz="8" w:space="0" w:color="auto"/>
              <w:right w:val="single" w:sz="8" w:space="0" w:color="auto"/>
            </w:tcBorders>
            <w:shd w:val="clear" w:color="auto" w:fill="auto"/>
            <w:noWrap/>
            <w:vAlign w:val="center"/>
            <w:hideMark/>
          </w:tcPr>
          <w:p w14:paraId="0A49AAC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076" w:type="dxa"/>
            <w:tcBorders>
              <w:top w:val="nil"/>
              <w:left w:val="nil"/>
              <w:bottom w:val="single" w:sz="8" w:space="0" w:color="auto"/>
              <w:right w:val="single" w:sz="8" w:space="0" w:color="auto"/>
            </w:tcBorders>
            <w:shd w:val="clear" w:color="auto" w:fill="auto"/>
            <w:noWrap/>
            <w:vAlign w:val="center"/>
            <w:hideMark/>
          </w:tcPr>
          <w:p w14:paraId="47287A7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1,96</w:t>
            </w:r>
          </w:p>
        </w:tc>
        <w:tc>
          <w:tcPr>
            <w:tcW w:w="1617" w:type="dxa"/>
            <w:tcBorders>
              <w:top w:val="nil"/>
              <w:left w:val="nil"/>
              <w:bottom w:val="single" w:sz="8" w:space="0" w:color="auto"/>
              <w:right w:val="single" w:sz="8" w:space="0" w:color="auto"/>
            </w:tcBorders>
            <w:shd w:val="clear" w:color="000000" w:fill="92D050"/>
            <w:noWrap/>
            <w:vAlign w:val="center"/>
            <w:hideMark/>
          </w:tcPr>
          <w:p w14:paraId="76EF049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bl>
    <w:p w14:paraId="184ED098" w14:textId="77777777" w:rsidR="00CE76B6" w:rsidRDefault="00CE76B6" w:rsidP="00737A11">
      <w:pPr>
        <w:widowControl w:val="0"/>
        <w:suppressAutoHyphens/>
        <w:spacing w:after="0" w:line="276" w:lineRule="auto"/>
        <w:jc w:val="both"/>
        <w:rPr>
          <w:rFonts w:ascii="Arial" w:hAnsi="Arial" w:cs="Arial"/>
          <w:kern w:val="1"/>
          <w:lang w:val="ro-RO" w:eastAsia="hi-IN" w:bidi="hi-IN"/>
        </w:rPr>
      </w:pPr>
    </w:p>
    <w:p w14:paraId="1AB43E15" w14:textId="1E6CFCEB" w:rsidR="00737A11" w:rsidRPr="00737A11" w:rsidRDefault="00737A11" w:rsidP="00737A11">
      <w:pPr>
        <w:widowControl w:val="0"/>
        <w:suppressAutoHyphens/>
        <w:spacing w:after="0" w:line="276" w:lineRule="auto"/>
        <w:jc w:val="both"/>
        <w:rPr>
          <w:rFonts w:ascii="Arial" w:hAnsi="Arial" w:cs="Arial"/>
          <w:kern w:val="1"/>
          <w:lang w:val="ro-RO" w:eastAsia="hi-IN" w:bidi="hi-IN"/>
        </w:rPr>
      </w:pPr>
      <w:r w:rsidRPr="00052DF0">
        <w:rPr>
          <w:rFonts w:ascii="Arial" w:hAnsi="Arial" w:cs="Arial"/>
          <w:kern w:val="1"/>
          <w:lang w:val="ro-RO" w:eastAsia="hi-IN" w:bidi="hi-IN"/>
        </w:rPr>
        <w:t>O reprezentare pe hart</w:t>
      </w:r>
      <w:r w:rsidR="00052DF0" w:rsidRPr="00052DF0">
        <w:rPr>
          <w:rFonts w:ascii="Arial" w:hAnsi="Arial" w:cs="Arial"/>
          <w:kern w:val="1"/>
          <w:lang w:val="ro-RO" w:eastAsia="hi-IN" w:bidi="hi-IN"/>
        </w:rPr>
        <w:t>ă</w:t>
      </w:r>
      <w:r w:rsidRPr="00052DF0">
        <w:rPr>
          <w:rFonts w:ascii="Arial" w:hAnsi="Arial" w:cs="Arial"/>
          <w:kern w:val="1"/>
          <w:lang w:val="ro-RO" w:eastAsia="hi-IN" w:bidi="hi-IN"/>
        </w:rPr>
        <w:t xml:space="preserve"> a nivelului de serviciu pentru intersecții este prezentată ȋn figura următoare:</w:t>
      </w:r>
    </w:p>
    <w:p w14:paraId="0FBE5B5D" w14:textId="4D1CC077" w:rsidR="00737A11" w:rsidRPr="00737A11" w:rsidRDefault="00A1048D" w:rsidP="00737A11">
      <w:pPr>
        <w:suppressAutoHyphens/>
        <w:autoSpaceDE w:val="0"/>
        <w:spacing w:after="0" w:line="360" w:lineRule="auto"/>
        <w:jc w:val="center"/>
        <w:rPr>
          <w:rFonts w:ascii="EUAlbertina" w:eastAsia="Calibri" w:hAnsi="EUAlbertina" w:cs="EUAlbertina"/>
          <w:color w:val="000000"/>
          <w:sz w:val="24"/>
          <w:szCs w:val="24"/>
          <w:lang w:eastAsia="zh-CN"/>
        </w:rPr>
      </w:pPr>
      <w:r w:rsidRPr="00A1048D">
        <w:rPr>
          <w:rFonts w:ascii="Arial" w:eastAsia="Calibri" w:hAnsi="Arial" w:cs="Arial"/>
          <w:noProof/>
          <w:color w:val="000000"/>
          <w:sz w:val="24"/>
          <w:szCs w:val="24"/>
        </w:rPr>
        <w:lastRenderedPageBreak/>
        <w:drawing>
          <wp:inline distT="0" distB="0" distL="0" distR="0" wp14:anchorId="63107343" wp14:editId="0922CFF9">
            <wp:extent cx="5720189" cy="4227968"/>
            <wp:effectExtent l="0" t="0" r="0" b="127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pic:cNvPicPr>
                      <a:picLocks noChangeAspect="1" noChangeArrowheads="1"/>
                    </pic:cNvPicPr>
                  </pic:nvPicPr>
                  <pic:blipFill>
                    <a:blip r:embed="rId135" cstate="print">
                      <a:extLst>
                        <a:ext uri="{28A0092B-C50C-407E-A947-70E740481C1C}">
                          <a14:useLocalDpi xmlns:a14="http://schemas.microsoft.com/office/drawing/2010/main" val="0"/>
                        </a:ext>
                      </a:extLst>
                    </a:blip>
                    <a:stretch>
                      <a:fillRect/>
                    </a:stretch>
                  </pic:blipFill>
                  <pic:spPr bwMode="auto">
                    <a:xfrm>
                      <a:off x="0" y="0"/>
                      <a:ext cx="5745222" cy="4246471"/>
                    </a:xfrm>
                    <a:prstGeom prst="rect">
                      <a:avLst/>
                    </a:prstGeom>
                    <a:noFill/>
                    <a:ln>
                      <a:noFill/>
                    </a:ln>
                  </pic:spPr>
                </pic:pic>
              </a:graphicData>
            </a:graphic>
          </wp:inline>
        </w:drawing>
      </w:r>
    </w:p>
    <w:p w14:paraId="14C3A6F3" w14:textId="767F359D" w:rsidR="00737A11" w:rsidRPr="00737A11" w:rsidRDefault="006D4DC5" w:rsidP="00737A11">
      <w:pPr>
        <w:pStyle w:val="Legend"/>
        <w:jc w:val="center"/>
        <w:rPr>
          <w:rFonts w:ascii="Arial" w:hAnsi="Arial" w:cs="Arial"/>
          <w:i w:val="0"/>
          <w:iCs w:val="0"/>
          <w:kern w:val="1"/>
          <w:sz w:val="22"/>
          <w:szCs w:val="22"/>
          <w:lang w:val="ro-RO" w:eastAsia="hi-IN" w:bidi="hi-IN"/>
        </w:rPr>
      </w:pPr>
      <w:bookmarkStart w:id="281" w:name="_Toc68361195"/>
      <w:bookmarkStart w:id="282" w:name="_Toc140744516"/>
      <w:r w:rsidRPr="00A1048D">
        <w:rPr>
          <w:rFonts w:ascii="Arial" w:hAnsi="Arial" w:cs="Arial"/>
          <w:sz w:val="22"/>
          <w:szCs w:val="22"/>
        </w:rPr>
        <w:t>Figura I.3.</w:t>
      </w:r>
      <w:r w:rsidR="00737A11" w:rsidRPr="00A1048D">
        <w:rPr>
          <w:rFonts w:ascii="Arial" w:hAnsi="Arial" w:cs="Arial"/>
          <w:sz w:val="22"/>
          <w:szCs w:val="22"/>
        </w:rPr>
        <w:t xml:space="preserve"> </w:t>
      </w:r>
      <w:r w:rsidRPr="00A1048D">
        <w:rPr>
          <w:rFonts w:ascii="Arial" w:hAnsi="Arial" w:cs="Arial"/>
          <w:sz w:val="22"/>
          <w:szCs w:val="22"/>
        </w:rPr>
        <w:fldChar w:fldCharType="begin"/>
      </w:r>
      <w:r w:rsidRPr="00A1048D">
        <w:rPr>
          <w:rFonts w:ascii="Arial" w:hAnsi="Arial" w:cs="Arial"/>
          <w:sz w:val="22"/>
          <w:szCs w:val="22"/>
        </w:rPr>
        <w:instrText xml:space="preserve"> SEQ Figura_I.3. \* ARABIC </w:instrText>
      </w:r>
      <w:r w:rsidRPr="00A1048D">
        <w:rPr>
          <w:rFonts w:ascii="Arial" w:hAnsi="Arial" w:cs="Arial"/>
          <w:sz w:val="22"/>
          <w:szCs w:val="22"/>
        </w:rPr>
        <w:fldChar w:fldCharType="separate"/>
      </w:r>
      <w:r w:rsidR="00BB181C">
        <w:rPr>
          <w:rFonts w:ascii="Arial" w:hAnsi="Arial" w:cs="Arial"/>
          <w:noProof/>
          <w:sz w:val="22"/>
          <w:szCs w:val="22"/>
        </w:rPr>
        <w:t>39</w:t>
      </w:r>
      <w:r w:rsidRPr="00A1048D">
        <w:rPr>
          <w:rFonts w:ascii="Arial" w:hAnsi="Arial" w:cs="Arial"/>
          <w:sz w:val="22"/>
          <w:szCs w:val="22"/>
        </w:rPr>
        <w:fldChar w:fldCharType="end"/>
      </w:r>
      <w:r w:rsidR="00737A11" w:rsidRPr="00A1048D">
        <w:rPr>
          <w:rFonts w:ascii="Arial" w:hAnsi="Arial" w:cs="Arial"/>
          <w:sz w:val="22"/>
          <w:szCs w:val="22"/>
        </w:rPr>
        <w:t xml:space="preserve"> - </w:t>
      </w:r>
      <w:r w:rsidR="00737A11" w:rsidRPr="00A1048D">
        <w:rPr>
          <w:rFonts w:ascii="Arial" w:hAnsi="Arial" w:cs="Arial"/>
          <w:i w:val="0"/>
          <w:iCs w:val="0"/>
          <w:sz w:val="22"/>
          <w:szCs w:val="22"/>
        </w:rPr>
        <w:t xml:space="preserve">Niveluri de serviciu intersecţii </w:t>
      </w:r>
      <w:r w:rsidR="0022048B" w:rsidRPr="00A1048D">
        <w:rPr>
          <w:rFonts w:ascii="Arial" w:hAnsi="Arial" w:cs="Arial"/>
          <w:i w:val="0"/>
          <w:iCs w:val="0"/>
          <w:sz w:val="22"/>
          <w:szCs w:val="22"/>
        </w:rPr>
        <w:t>Orașul Horezu</w:t>
      </w:r>
      <w:r w:rsidR="00737A11" w:rsidRPr="00A1048D">
        <w:rPr>
          <w:rFonts w:ascii="Arial" w:hAnsi="Arial" w:cs="Arial"/>
          <w:i w:val="0"/>
          <w:iCs w:val="0"/>
          <w:sz w:val="22"/>
          <w:szCs w:val="22"/>
        </w:rPr>
        <w:t xml:space="preserve"> – PM 202</w:t>
      </w:r>
      <w:r w:rsidR="00BE78FD" w:rsidRPr="00A1048D">
        <w:rPr>
          <w:rFonts w:ascii="Arial" w:hAnsi="Arial" w:cs="Arial"/>
          <w:i w:val="0"/>
          <w:iCs w:val="0"/>
          <w:sz w:val="22"/>
          <w:szCs w:val="22"/>
        </w:rPr>
        <w:t>1</w:t>
      </w:r>
      <w:bookmarkEnd w:id="281"/>
      <w:bookmarkEnd w:id="282"/>
    </w:p>
    <w:p w14:paraId="618B84FD" w14:textId="3C71FB17" w:rsidR="00556B9F" w:rsidRPr="00337CCE" w:rsidRDefault="00556B9F" w:rsidP="00337CCE"/>
    <w:p w14:paraId="4079C04B" w14:textId="77777777" w:rsidR="00556B9F" w:rsidRPr="002538CB" w:rsidRDefault="00556B9F" w:rsidP="00737A11">
      <w:pPr>
        <w:pStyle w:val="Titlu4"/>
        <w:numPr>
          <w:ilvl w:val="0"/>
          <w:numId w:val="0"/>
        </w:numPr>
      </w:pPr>
      <w:bookmarkStart w:id="283" w:name="_Toc472495797"/>
      <w:bookmarkStart w:id="284" w:name="_Toc491868827"/>
      <w:r w:rsidRPr="002538CB">
        <w:t>I.3.6.1.</w:t>
      </w:r>
      <w:r w:rsidR="00737A11">
        <w:t>3</w:t>
      </w:r>
      <w:r w:rsidRPr="002538CB">
        <w:t xml:space="preserve"> Concluzii referitoare la anul de bază</w:t>
      </w:r>
      <w:bookmarkEnd w:id="283"/>
      <w:bookmarkEnd w:id="284"/>
    </w:p>
    <w:p w14:paraId="19D2C3AE" w14:textId="77777777" w:rsidR="00556B9F" w:rsidRDefault="00556B9F" w:rsidP="002538CB">
      <w:pPr>
        <w:widowControl w:val="0"/>
        <w:suppressAutoHyphens/>
        <w:spacing w:after="0" w:line="276" w:lineRule="auto"/>
        <w:jc w:val="both"/>
        <w:rPr>
          <w:rFonts w:ascii="Arial" w:hAnsi="Arial" w:cs="Arial"/>
          <w:kern w:val="1"/>
          <w:lang w:val="ro-RO" w:eastAsia="hi-IN" w:bidi="hi-IN"/>
        </w:rPr>
      </w:pPr>
      <w:r w:rsidRPr="002538CB">
        <w:rPr>
          <w:rFonts w:ascii="Arial" w:hAnsi="Arial" w:cs="Arial"/>
          <w:kern w:val="1"/>
          <w:lang w:val="ro-RO" w:eastAsia="hi-IN" w:bidi="hi-IN"/>
        </w:rPr>
        <w:t>În urma analizelor efectuate a rezultat următorul grafic comparativ, care va fi utilizat pentru evaluarea influenței scenariilor considerate, pentru fiecare parametru generat:</w:t>
      </w:r>
    </w:p>
    <w:p w14:paraId="45A9BA29" w14:textId="77777777" w:rsidR="00302B71" w:rsidRPr="002538CB" w:rsidRDefault="00302B71" w:rsidP="002538CB">
      <w:pPr>
        <w:widowControl w:val="0"/>
        <w:suppressAutoHyphens/>
        <w:spacing w:after="0" w:line="276" w:lineRule="auto"/>
        <w:jc w:val="both"/>
        <w:rPr>
          <w:rFonts w:ascii="Arial" w:hAnsi="Arial" w:cs="Arial"/>
          <w:kern w:val="1"/>
          <w:lang w:val="ro-RO" w:eastAsia="hi-IN" w:bidi="hi-IN"/>
        </w:rPr>
      </w:pPr>
    </w:p>
    <w:p w14:paraId="1B578978" w14:textId="77A5BEE6" w:rsidR="00556B9F" w:rsidRDefault="00A1048D" w:rsidP="00737A11">
      <w:pPr>
        <w:suppressAutoHyphens/>
        <w:autoSpaceDE w:val="0"/>
        <w:spacing w:after="0" w:line="360" w:lineRule="auto"/>
        <w:jc w:val="center"/>
        <w:rPr>
          <w:rFonts w:ascii="Arial" w:eastAsia="Arial" w:hAnsi="Arial" w:cs="Arial"/>
          <w:color w:val="000000"/>
          <w:sz w:val="24"/>
          <w:szCs w:val="24"/>
          <w:lang w:eastAsia="zh-CN"/>
        </w:rPr>
      </w:pPr>
      <w:r>
        <w:rPr>
          <w:noProof/>
        </w:rPr>
        <w:drawing>
          <wp:inline distT="0" distB="0" distL="0" distR="0" wp14:anchorId="2C9973A5" wp14:editId="15F63E9C">
            <wp:extent cx="4595191" cy="2721251"/>
            <wp:effectExtent l="0" t="0" r="15240" b="3175"/>
            <wp:docPr id="260" name="Chart 260">
              <a:extLst xmlns:a="http://schemas.openxmlformats.org/drawingml/2006/main">
                <a:ext uri="{FF2B5EF4-FFF2-40B4-BE49-F238E27FC236}">
                  <a16:creationId xmlns:a16="http://schemas.microsoft.com/office/drawing/2014/main" id="{1A1E5C9B-FD98-49F4-8E9B-B49F9439DB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08417A84" w14:textId="084467DF" w:rsidR="00556B9F" w:rsidRPr="00737A11" w:rsidRDefault="006D4DC5" w:rsidP="00737A11">
      <w:pPr>
        <w:pStyle w:val="Legend"/>
        <w:jc w:val="center"/>
        <w:rPr>
          <w:rFonts w:ascii="Arial" w:eastAsia="Calibri" w:hAnsi="Arial" w:cs="Arial"/>
          <w:i w:val="0"/>
          <w:iCs w:val="0"/>
          <w:color w:val="000000"/>
          <w:sz w:val="22"/>
          <w:szCs w:val="22"/>
          <w:lang w:eastAsia="zh-CN"/>
        </w:rPr>
      </w:pPr>
      <w:bookmarkStart w:id="285" w:name="_Toc68361196"/>
      <w:bookmarkStart w:id="286" w:name="_Toc140744517"/>
      <w:r w:rsidRPr="00A1048D">
        <w:rPr>
          <w:rFonts w:ascii="Arial" w:hAnsi="Arial" w:cs="Arial"/>
          <w:sz w:val="22"/>
          <w:szCs w:val="22"/>
        </w:rPr>
        <w:t>Figura I.3.</w:t>
      </w:r>
      <w:r w:rsidR="002538CB" w:rsidRPr="00A1048D">
        <w:rPr>
          <w:rFonts w:ascii="Arial" w:hAnsi="Arial" w:cs="Arial"/>
          <w:sz w:val="22"/>
          <w:szCs w:val="22"/>
        </w:rPr>
        <w:t xml:space="preserve"> </w:t>
      </w:r>
      <w:r w:rsidRPr="00A1048D">
        <w:rPr>
          <w:rFonts w:ascii="Arial" w:hAnsi="Arial" w:cs="Arial"/>
          <w:sz w:val="22"/>
          <w:szCs w:val="22"/>
        </w:rPr>
        <w:fldChar w:fldCharType="begin"/>
      </w:r>
      <w:r w:rsidRPr="00A1048D">
        <w:rPr>
          <w:rFonts w:ascii="Arial" w:hAnsi="Arial" w:cs="Arial"/>
          <w:sz w:val="22"/>
          <w:szCs w:val="22"/>
        </w:rPr>
        <w:instrText xml:space="preserve"> SEQ Figura_I.3. \* ARABIC </w:instrText>
      </w:r>
      <w:r w:rsidRPr="00A1048D">
        <w:rPr>
          <w:rFonts w:ascii="Arial" w:hAnsi="Arial" w:cs="Arial"/>
          <w:sz w:val="22"/>
          <w:szCs w:val="22"/>
        </w:rPr>
        <w:fldChar w:fldCharType="separate"/>
      </w:r>
      <w:r w:rsidR="00BB181C">
        <w:rPr>
          <w:rFonts w:ascii="Arial" w:hAnsi="Arial" w:cs="Arial"/>
          <w:noProof/>
          <w:sz w:val="22"/>
          <w:szCs w:val="22"/>
        </w:rPr>
        <w:t>40</w:t>
      </w:r>
      <w:r w:rsidRPr="00A1048D">
        <w:rPr>
          <w:rFonts w:ascii="Arial" w:hAnsi="Arial" w:cs="Arial"/>
          <w:sz w:val="22"/>
          <w:szCs w:val="22"/>
        </w:rPr>
        <w:fldChar w:fldCharType="end"/>
      </w:r>
      <w:r w:rsidR="002538CB" w:rsidRPr="00A1048D">
        <w:rPr>
          <w:rFonts w:ascii="Arial" w:hAnsi="Arial" w:cs="Arial"/>
          <w:sz w:val="22"/>
          <w:szCs w:val="22"/>
        </w:rPr>
        <w:t xml:space="preserve"> - </w:t>
      </w:r>
      <w:r w:rsidR="00737A11" w:rsidRPr="00A1048D">
        <w:rPr>
          <w:rFonts w:ascii="Arial" w:hAnsi="Arial" w:cs="Arial"/>
          <w:i w:val="0"/>
          <w:iCs w:val="0"/>
          <w:sz w:val="22"/>
          <w:szCs w:val="22"/>
        </w:rPr>
        <w:t>Analiza comparativă a parametrilor pentru anul de bază</w:t>
      </w:r>
      <w:bookmarkEnd w:id="285"/>
      <w:bookmarkEnd w:id="286"/>
    </w:p>
    <w:p w14:paraId="5305DD17" w14:textId="77777777" w:rsidR="00556B9F" w:rsidRPr="00556B9F" w:rsidRDefault="00556B9F" w:rsidP="00737A11">
      <w:pPr>
        <w:suppressAutoHyphens/>
        <w:autoSpaceDE w:val="0"/>
        <w:spacing w:after="0" w:line="360" w:lineRule="auto"/>
        <w:rPr>
          <w:rFonts w:ascii="Arial" w:eastAsia="Calibri" w:hAnsi="Arial" w:cs="Arial"/>
          <w:color w:val="000000"/>
          <w:sz w:val="24"/>
          <w:szCs w:val="24"/>
          <w:lang w:eastAsia="zh-CN"/>
        </w:rPr>
      </w:pPr>
    </w:p>
    <w:p w14:paraId="22FF8B9B" w14:textId="1005990F" w:rsidR="00556B9F" w:rsidRPr="00556B9F" w:rsidRDefault="00A1048D" w:rsidP="00737A11">
      <w:pPr>
        <w:widowControl w:val="0"/>
        <w:suppressAutoHyphens/>
        <w:spacing w:after="0" w:line="240" w:lineRule="auto"/>
        <w:jc w:val="center"/>
        <w:rPr>
          <w:rFonts w:ascii="Arial" w:hAnsi="Arial" w:cs="Arial"/>
          <w:kern w:val="1"/>
          <w:sz w:val="20"/>
          <w:szCs w:val="24"/>
          <w:lang w:val="ro-RO" w:eastAsia="hi-IN" w:bidi="hi-IN"/>
        </w:rPr>
      </w:pPr>
      <w:r>
        <w:rPr>
          <w:noProof/>
        </w:rPr>
        <w:drawing>
          <wp:inline distT="0" distB="0" distL="0" distR="0" wp14:anchorId="41CD7FE8" wp14:editId="03B0CE9D">
            <wp:extent cx="4595191" cy="2747342"/>
            <wp:effectExtent l="0" t="0" r="15240" b="15240"/>
            <wp:docPr id="261" name="Chart 261">
              <a:extLst xmlns:a="http://schemas.openxmlformats.org/drawingml/2006/main">
                <a:ext uri="{FF2B5EF4-FFF2-40B4-BE49-F238E27FC236}">
                  <a16:creationId xmlns:a16="http://schemas.microsoft.com/office/drawing/2014/main" id="{FB9D3658-E64C-4FEC-99AC-6097F3E6F9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409B8164" w14:textId="77777777" w:rsidR="00556B9F" w:rsidRPr="00556B9F" w:rsidRDefault="00556B9F" w:rsidP="00556B9F">
      <w:pPr>
        <w:widowControl w:val="0"/>
        <w:suppressAutoHyphens/>
        <w:spacing w:after="0" w:line="240" w:lineRule="auto"/>
        <w:jc w:val="center"/>
        <w:rPr>
          <w:rFonts w:ascii="Arial" w:hAnsi="Arial" w:cs="Arial"/>
          <w:kern w:val="1"/>
          <w:sz w:val="20"/>
          <w:szCs w:val="24"/>
          <w:lang w:val="ro-RO" w:eastAsia="hi-IN" w:bidi="hi-IN"/>
        </w:rPr>
      </w:pPr>
    </w:p>
    <w:p w14:paraId="28BFA921" w14:textId="5D0FB791" w:rsidR="00556B9F" w:rsidRDefault="006D4DC5" w:rsidP="00737A11">
      <w:pPr>
        <w:pStyle w:val="Legend"/>
        <w:jc w:val="center"/>
        <w:rPr>
          <w:rFonts w:ascii="Arial" w:hAnsi="Arial" w:cs="Arial"/>
          <w:i w:val="0"/>
          <w:iCs w:val="0"/>
          <w:sz w:val="22"/>
          <w:szCs w:val="22"/>
        </w:rPr>
      </w:pPr>
      <w:bookmarkStart w:id="287" w:name="_Toc68361197"/>
      <w:bookmarkStart w:id="288" w:name="_Toc140744518"/>
      <w:r w:rsidRPr="00A1048D">
        <w:rPr>
          <w:rFonts w:ascii="Arial" w:hAnsi="Arial" w:cs="Arial"/>
          <w:sz w:val="22"/>
          <w:szCs w:val="22"/>
        </w:rPr>
        <w:t>Figura I.3.</w:t>
      </w:r>
      <w:r w:rsidR="00737A11" w:rsidRPr="00A1048D">
        <w:rPr>
          <w:rFonts w:ascii="Arial" w:hAnsi="Arial" w:cs="Arial"/>
          <w:sz w:val="22"/>
          <w:szCs w:val="22"/>
        </w:rPr>
        <w:t xml:space="preserve"> </w:t>
      </w:r>
      <w:r w:rsidRPr="00A1048D">
        <w:rPr>
          <w:rFonts w:ascii="Arial" w:hAnsi="Arial" w:cs="Arial"/>
          <w:sz w:val="22"/>
          <w:szCs w:val="22"/>
        </w:rPr>
        <w:fldChar w:fldCharType="begin"/>
      </w:r>
      <w:r w:rsidRPr="00A1048D">
        <w:rPr>
          <w:rFonts w:ascii="Arial" w:hAnsi="Arial" w:cs="Arial"/>
          <w:sz w:val="22"/>
          <w:szCs w:val="22"/>
        </w:rPr>
        <w:instrText xml:space="preserve"> SEQ Figura_I.3. \* ARABIC </w:instrText>
      </w:r>
      <w:r w:rsidRPr="00A1048D">
        <w:rPr>
          <w:rFonts w:ascii="Arial" w:hAnsi="Arial" w:cs="Arial"/>
          <w:sz w:val="22"/>
          <w:szCs w:val="22"/>
        </w:rPr>
        <w:fldChar w:fldCharType="separate"/>
      </w:r>
      <w:r w:rsidR="00BB181C">
        <w:rPr>
          <w:rFonts w:ascii="Arial" w:hAnsi="Arial" w:cs="Arial"/>
          <w:noProof/>
          <w:sz w:val="22"/>
          <w:szCs w:val="22"/>
        </w:rPr>
        <w:t>41</w:t>
      </w:r>
      <w:r w:rsidRPr="00A1048D">
        <w:rPr>
          <w:rFonts w:ascii="Arial" w:hAnsi="Arial" w:cs="Arial"/>
          <w:sz w:val="22"/>
          <w:szCs w:val="22"/>
        </w:rPr>
        <w:fldChar w:fldCharType="end"/>
      </w:r>
      <w:r w:rsidR="00737A11" w:rsidRPr="00A1048D">
        <w:rPr>
          <w:rFonts w:ascii="Arial" w:hAnsi="Arial" w:cs="Arial"/>
          <w:sz w:val="22"/>
          <w:szCs w:val="22"/>
        </w:rPr>
        <w:t xml:space="preserve"> - </w:t>
      </w:r>
      <w:r w:rsidR="00737A11" w:rsidRPr="00A1048D">
        <w:rPr>
          <w:rFonts w:ascii="Arial" w:hAnsi="Arial" w:cs="Arial"/>
          <w:i w:val="0"/>
          <w:iCs w:val="0"/>
          <w:sz w:val="22"/>
          <w:szCs w:val="22"/>
        </w:rPr>
        <w:t>Analiza comparativa a poluan</w:t>
      </w:r>
      <w:r w:rsidR="00A1048D">
        <w:rPr>
          <w:rFonts w:ascii="Arial" w:hAnsi="Arial" w:cs="Arial"/>
          <w:i w:val="0"/>
          <w:iCs w:val="0"/>
          <w:sz w:val="22"/>
          <w:szCs w:val="22"/>
        </w:rPr>
        <w:t>ț</w:t>
      </w:r>
      <w:r w:rsidR="00737A11" w:rsidRPr="00A1048D">
        <w:rPr>
          <w:rFonts w:ascii="Arial" w:hAnsi="Arial" w:cs="Arial"/>
          <w:i w:val="0"/>
          <w:iCs w:val="0"/>
          <w:sz w:val="22"/>
          <w:szCs w:val="22"/>
        </w:rPr>
        <w:t>ilor pentru anul de bază</w:t>
      </w:r>
      <w:bookmarkEnd w:id="287"/>
      <w:bookmarkEnd w:id="288"/>
    </w:p>
    <w:p w14:paraId="5BC81B9F" w14:textId="1B64A1D8" w:rsidR="00737A11" w:rsidRDefault="00737A11" w:rsidP="00737A11"/>
    <w:p w14:paraId="7EA1A186" w14:textId="19BE8B84" w:rsidR="00A1048D" w:rsidRDefault="00A1048D" w:rsidP="00737A11"/>
    <w:p w14:paraId="3DFB07EB" w14:textId="77777777" w:rsidR="00A1048D" w:rsidRPr="00737A11" w:rsidRDefault="00A1048D" w:rsidP="00737A11"/>
    <w:p w14:paraId="26D88B4A" w14:textId="77777777" w:rsidR="00556B9F" w:rsidRPr="002538CB" w:rsidRDefault="00556B9F" w:rsidP="002538CB">
      <w:pPr>
        <w:pStyle w:val="Titlu3"/>
        <w:rPr>
          <w:rFonts w:ascii="Arial" w:hAnsi="Arial" w:cs="Arial"/>
        </w:rPr>
      </w:pPr>
      <w:bookmarkStart w:id="289" w:name="_Toc491868828"/>
      <w:bookmarkStart w:id="290" w:name="_Toc142039081"/>
      <w:r w:rsidRPr="00CF245D">
        <w:rPr>
          <w:rFonts w:ascii="Arial" w:hAnsi="Arial" w:cs="Arial"/>
          <w:sz w:val="24"/>
          <w:szCs w:val="24"/>
        </w:rPr>
        <w:t>I.3.6.2 Prognoza pentru ora de vârf AM</w:t>
      </w:r>
      <w:bookmarkEnd w:id="289"/>
      <w:bookmarkEnd w:id="290"/>
    </w:p>
    <w:p w14:paraId="5C645845" w14:textId="77777777" w:rsidR="00556B9F" w:rsidRDefault="00556B9F" w:rsidP="00556B9F">
      <w:pPr>
        <w:widowControl w:val="0"/>
        <w:suppressAutoHyphens/>
        <w:spacing w:after="0" w:line="360" w:lineRule="auto"/>
        <w:rPr>
          <w:rFonts w:ascii="Arial" w:hAnsi="Arial" w:cs="Mangal"/>
          <w:kern w:val="1"/>
          <w:lang w:val="ro-RO" w:eastAsia="hi-IN" w:bidi="hi-IN"/>
        </w:rPr>
      </w:pPr>
      <w:r w:rsidRPr="002538CB">
        <w:rPr>
          <w:rFonts w:ascii="Arial" w:hAnsi="Arial" w:cs="Mangal"/>
          <w:kern w:val="1"/>
          <w:lang w:val="ro-RO" w:eastAsia="hi-IN" w:bidi="hi-IN"/>
        </w:rPr>
        <w:t>La nivel de rețea se obțin următoarele date:</w:t>
      </w:r>
    </w:p>
    <w:p w14:paraId="109B265C" w14:textId="77777777" w:rsidR="00094DCB" w:rsidRDefault="00094DCB" w:rsidP="00556B9F">
      <w:pPr>
        <w:widowControl w:val="0"/>
        <w:suppressAutoHyphens/>
        <w:spacing w:after="0" w:line="360" w:lineRule="auto"/>
        <w:rPr>
          <w:rFonts w:ascii="Arial" w:hAnsi="Arial" w:cs="Mangal"/>
          <w:kern w:val="1"/>
          <w:lang w:val="ro-RO" w:eastAsia="hi-IN" w:bidi="hi-IN"/>
        </w:rPr>
      </w:pPr>
    </w:p>
    <w:p w14:paraId="5498E2BF" w14:textId="3E57476E" w:rsidR="00556B9F" w:rsidRPr="0022048B" w:rsidRDefault="0022048B" w:rsidP="0022048B">
      <w:pPr>
        <w:pStyle w:val="Legend"/>
        <w:jc w:val="center"/>
        <w:rPr>
          <w:rFonts w:ascii="Arial" w:hAnsi="Arial" w:cs="Arial"/>
          <w:i w:val="0"/>
          <w:iCs w:val="0"/>
          <w:kern w:val="1"/>
          <w:sz w:val="22"/>
          <w:szCs w:val="22"/>
          <w:lang w:val="ro-RO" w:eastAsia="hi-IN" w:bidi="hi-IN"/>
        </w:rPr>
      </w:pPr>
      <w:bookmarkStart w:id="291" w:name="_Toc68361237"/>
      <w:bookmarkStart w:id="292" w:name="_Toc96447405"/>
      <w:r w:rsidRPr="00A1048D">
        <w:rPr>
          <w:rFonts w:ascii="Arial" w:hAnsi="Arial" w:cs="Arial"/>
          <w:sz w:val="22"/>
          <w:szCs w:val="22"/>
        </w:rPr>
        <w:t xml:space="preserve">Tabel I.3. </w:t>
      </w:r>
      <w:r w:rsidRPr="00A1048D">
        <w:rPr>
          <w:rFonts w:ascii="Arial" w:hAnsi="Arial" w:cs="Arial"/>
          <w:sz w:val="22"/>
          <w:szCs w:val="22"/>
        </w:rPr>
        <w:fldChar w:fldCharType="begin"/>
      </w:r>
      <w:r w:rsidRPr="00A1048D">
        <w:rPr>
          <w:rFonts w:ascii="Arial" w:hAnsi="Arial" w:cs="Arial"/>
          <w:sz w:val="22"/>
          <w:szCs w:val="22"/>
        </w:rPr>
        <w:instrText xml:space="preserve"> SEQ Tabel_I.3. \* ARABIC </w:instrText>
      </w:r>
      <w:r w:rsidRPr="00A1048D">
        <w:rPr>
          <w:rFonts w:ascii="Arial" w:hAnsi="Arial" w:cs="Arial"/>
          <w:sz w:val="22"/>
          <w:szCs w:val="22"/>
        </w:rPr>
        <w:fldChar w:fldCharType="separate"/>
      </w:r>
      <w:r w:rsidR="00BB181C">
        <w:rPr>
          <w:rFonts w:ascii="Arial" w:hAnsi="Arial" w:cs="Arial"/>
          <w:noProof/>
          <w:sz w:val="22"/>
          <w:szCs w:val="22"/>
        </w:rPr>
        <w:t>9</w:t>
      </w:r>
      <w:r w:rsidRPr="00A1048D">
        <w:rPr>
          <w:rFonts w:ascii="Arial" w:hAnsi="Arial" w:cs="Arial"/>
          <w:sz w:val="22"/>
          <w:szCs w:val="22"/>
        </w:rPr>
        <w:fldChar w:fldCharType="end"/>
      </w:r>
      <w:r w:rsidRPr="00A1048D">
        <w:rPr>
          <w:rFonts w:ascii="Arial" w:hAnsi="Arial" w:cs="Arial"/>
          <w:sz w:val="22"/>
          <w:szCs w:val="22"/>
        </w:rPr>
        <w:t xml:space="preserve"> </w:t>
      </w:r>
      <w:r w:rsidR="00094DCB" w:rsidRPr="00A1048D">
        <w:rPr>
          <w:rFonts w:ascii="Arial" w:hAnsi="Arial" w:cs="Arial"/>
          <w:sz w:val="22"/>
          <w:szCs w:val="22"/>
        </w:rPr>
        <w:t xml:space="preserve">- </w:t>
      </w:r>
      <w:r w:rsidR="00094DCB" w:rsidRPr="00A1048D">
        <w:rPr>
          <w:rFonts w:ascii="Arial" w:hAnsi="Arial" w:cs="Arial"/>
          <w:i w:val="0"/>
          <w:iCs w:val="0"/>
          <w:sz w:val="22"/>
          <w:szCs w:val="22"/>
        </w:rPr>
        <w:t>Evolutia parametrilor de trafic (AM) pentru cele 3 orizonturi de timp</w:t>
      </w:r>
      <w:bookmarkEnd w:id="291"/>
      <w:bookmarkEnd w:id="292"/>
    </w:p>
    <w:tbl>
      <w:tblPr>
        <w:tblW w:w="7860" w:type="dxa"/>
        <w:jc w:val="center"/>
        <w:tblLook w:val="04A0" w:firstRow="1" w:lastRow="0" w:firstColumn="1" w:lastColumn="0" w:noHBand="0" w:noVBand="1"/>
      </w:tblPr>
      <w:tblGrid>
        <w:gridCol w:w="2500"/>
        <w:gridCol w:w="1900"/>
        <w:gridCol w:w="1640"/>
        <w:gridCol w:w="1820"/>
      </w:tblGrid>
      <w:tr w:rsidR="00A1048D" w:rsidRPr="00A1048D" w14:paraId="228ABD84" w14:textId="77777777" w:rsidTr="00CE76B6">
        <w:trPr>
          <w:trHeight w:val="300"/>
          <w:jc w:val="center"/>
        </w:trPr>
        <w:tc>
          <w:tcPr>
            <w:tcW w:w="25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2396D5A"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Parametru</w:t>
            </w:r>
          </w:p>
        </w:tc>
        <w:tc>
          <w:tcPr>
            <w:tcW w:w="5360" w:type="dxa"/>
            <w:gridSpan w:val="3"/>
            <w:tcBorders>
              <w:top w:val="single" w:sz="8" w:space="0" w:color="auto"/>
              <w:left w:val="nil"/>
              <w:bottom w:val="single" w:sz="8" w:space="0" w:color="auto"/>
              <w:right w:val="single" w:sz="8" w:space="0" w:color="000000"/>
            </w:tcBorders>
            <w:shd w:val="clear" w:color="auto" w:fill="auto"/>
            <w:vAlign w:val="center"/>
            <w:hideMark/>
          </w:tcPr>
          <w:p w14:paraId="0024E5A6"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Nivel de serviciu</w:t>
            </w:r>
          </w:p>
        </w:tc>
      </w:tr>
      <w:tr w:rsidR="00A1048D" w:rsidRPr="00A1048D" w14:paraId="52C3CF2B" w14:textId="77777777" w:rsidTr="00CE76B6">
        <w:trPr>
          <w:trHeight w:val="300"/>
          <w:jc w:val="center"/>
        </w:trPr>
        <w:tc>
          <w:tcPr>
            <w:tcW w:w="2500" w:type="dxa"/>
            <w:vMerge/>
            <w:tcBorders>
              <w:top w:val="single" w:sz="8" w:space="0" w:color="auto"/>
              <w:left w:val="single" w:sz="8" w:space="0" w:color="auto"/>
              <w:bottom w:val="single" w:sz="8" w:space="0" w:color="000000"/>
              <w:right w:val="single" w:sz="8" w:space="0" w:color="auto"/>
            </w:tcBorders>
            <w:vAlign w:val="center"/>
            <w:hideMark/>
          </w:tcPr>
          <w:p w14:paraId="3F952AE0" w14:textId="77777777" w:rsidR="00A1048D" w:rsidRPr="00A1048D" w:rsidRDefault="00A1048D" w:rsidP="00A1048D">
            <w:pPr>
              <w:spacing w:after="0"/>
              <w:rPr>
                <w:rFonts w:ascii="Calibri" w:eastAsia="Times New Roman" w:hAnsi="Calibri" w:cs="Arial"/>
                <w:b/>
                <w:bCs/>
                <w:color w:val="000000"/>
                <w:szCs w:val="20"/>
                <w:lang w:val="ro-RO"/>
              </w:rPr>
            </w:pPr>
          </w:p>
        </w:tc>
        <w:tc>
          <w:tcPr>
            <w:tcW w:w="1900" w:type="dxa"/>
            <w:tcBorders>
              <w:top w:val="nil"/>
              <w:left w:val="nil"/>
              <w:bottom w:val="single" w:sz="8" w:space="0" w:color="auto"/>
              <w:right w:val="single" w:sz="8" w:space="0" w:color="auto"/>
            </w:tcBorders>
            <w:shd w:val="clear" w:color="auto" w:fill="auto"/>
            <w:vAlign w:val="center"/>
            <w:hideMark/>
          </w:tcPr>
          <w:p w14:paraId="589AA4E5"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2021</w:t>
            </w:r>
          </w:p>
        </w:tc>
        <w:tc>
          <w:tcPr>
            <w:tcW w:w="1640" w:type="dxa"/>
            <w:tcBorders>
              <w:top w:val="nil"/>
              <w:left w:val="nil"/>
              <w:bottom w:val="single" w:sz="8" w:space="0" w:color="auto"/>
              <w:right w:val="single" w:sz="8" w:space="0" w:color="auto"/>
            </w:tcBorders>
            <w:shd w:val="clear" w:color="auto" w:fill="auto"/>
            <w:vAlign w:val="center"/>
            <w:hideMark/>
          </w:tcPr>
          <w:p w14:paraId="3FB4D702"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2027</w:t>
            </w:r>
          </w:p>
        </w:tc>
        <w:tc>
          <w:tcPr>
            <w:tcW w:w="1820" w:type="dxa"/>
            <w:tcBorders>
              <w:top w:val="nil"/>
              <w:left w:val="nil"/>
              <w:bottom w:val="single" w:sz="8" w:space="0" w:color="auto"/>
              <w:right w:val="single" w:sz="8" w:space="0" w:color="auto"/>
            </w:tcBorders>
            <w:shd w:val="clear" w:color="auto" w:fill="auto"/>
            <w:vAlign w:val="center"/>
            <w:hideMark/>
          </w:tcPr>
          <w:p w14:paraId="17A93E32"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2035</w:t>
            </w:r>
          </w:p>
        </w:tc>
      </w:tr>
      <w:tr w:rsidR="00A1048D" w:rsidRPr="00A1048D" w14:paraId="7A4F7887" w14:textId="77777777" w:rsidTr="00CE76B6">
        <w:trPr>
          <w:trHeight w:val="510"/>
          <w:jc w:val="center"/>
        </w:trPr>
        <w:tc>
          <w:tcPr>
            <w:tcW w:w="2500" w:type="dxa"/>
            <w:tcBorders>
              <w:top w:val="nil"/>
              <w:left w:val="single" w:sz="8" w:space="0" w:color="auto"/>
              <w:bottom w:val="single" w:sz="8" w:space="0" w:color="auto"/>
              <w:right w:val="single" w:sz="8" w:space="0" w:color="auto"/>
            </w:tcBorders>
            <w:shd w:val="clear" w:color="auto" w:fill="auto"/>
            <w:vAlign w:val="center"/>
            <w:hideMark/>
          </w:tcPr>
          <w:p w14:paraId="3CEF77A4"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Viteza medie de circulație (km/h)</w:t>
            </w:r>
          </w:p>
        </w:tc>
        <w:tc>
          <w:tcPr>
            <w:tcW w:w="1900" w:type="dxa"/>
            <w:tcBorders>
              <w:top w:val="nil"/>
              <w:left w:val="nil"/>
              <w:bottom w:val="single" w:sz="8" w:space="0" w:color="auto"/>
              <w:right w:val="single" w:sz="8" w:space="0" w:color="auto"/>
            </w:tcBorders>
            <w:shd w:val="clear" w:color="auto" w:fill="auto"/>
            <w:noWrap/>
            <w:vAlign w:val="center"/>
            <w:hideMark/>
          </w:tcPr>
          <w:p w14:paraId="49CDB24F"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28,99</w:t>
            </w:r>
          </w:p>
        </w:tc>
        <w:tc>
          <w:tcPr>
            <w:tcW w:w="1640" w:type="dxa"/>
            <w:tcBorders>
              <w:top w:val="nil"/>
              <w:left w:val="nil"/>
              <w:bottom w:val="single" w:sz="8" w:space="0" w:color="auto"/>
              <w:right w:val="single" w:sz="8" w:space="0" w:color="auto"/>
            </w:tcBorders>
            <w:shd w:val="clear" w:color="auto" w:fill="auto"/>
            <w:noWrap/>
            <w:vAlign w:val="center"/>
            <w:hideMark/>
          </w:tcPr>
          <w:p w14:paraId="733E5178"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29,53</w:t>
            </w:r>
          </w:p>
        </w:tc>
        <w:tc>
          <w:tcPr>
            <w:tcW w:w="1820" w:type="dxa"/>
            <w:tcBorders>
              <w:top w:val="nil"/>
              <w:left w:val="nil"/>
              <w:bottom w:val="single" w:sz="8" w:space="0" w:color="auto"/>
              <w:right w:val="single" w:sz="8" w:space="0" w:color="auto"/>
            </w:tcBorders>
            <w:shd w:val="clear" w:color="auto" w:fill="auto"/>
            <w:vAlign w:val="center"/>
            <w:hideMark/>
          </w:tcPr>
          <w:p w14:paraId="38C86174"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28,89</w:t>
            </w:r>
          </w:p>
        </w:tc>
      </w:tr>
      <w:tr w:rsidR="00A1048D" w:rsidRPr="00A1048D" w14:paraId="38FBB7F0" w14:textId="77777777" w:rsidTr="00CE76B6">
        <w:trPr>
          <w:trHeight w:val="300"/>
          <w:jc w:val="center"/>
        </w:trPr>
        <w:tc>
          <w:tcPr>
            <w:tcW w:w="25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5CFC7A1"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Întârzierea medie (sec/km)</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14:paraId="1F2A5D9B"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42,84</w:t>
            </w:r>
          </w:p>
        </w:tc>
        <w:tc>
          <w:tcPr>
            <w:tcW w:w="1640" w:type="dxa"/>
            <w:tcBorders>
              <w:top w:val="single" w:sz="8" w:space="0" w:color="auto"/>
              <w:left w:val="nil"/>
              <w:bottom w:val="single" w:sz="8" w:space="0" w:color="auto"/>
              <w:right w:val="single" w:sz="8" w:space="0" w:color="auto"/>
            </w:tcBorders>
            <w:shd w:val="clear" w:color="auto" w:fill="auto"/>
            <w:vAlign w:val="center"/>
            <w:hideMark/>
          </w:tcPr>
          <w:p w14:paraId="3755CF49"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43,44</w:t>
            </w:r>
          </w:p>
        </w:tc>
        <w:tc>
          <w:tcPr>
            <w:tcW w:w="1820" w:type="dxa"/>
            <w:tcBorders>
              <w:top w:val="single" w:sz="8" w:space="0" w:color="auto"/>
              <w:left w:val="nil"/>
              <w:bottom w:val="single" w:sz="8" w:space="0" w:color="auto"/>
              <w:right w:val="single" w:sz="8" w:space="0" w:color="auto"/>
            </w:tcBorders>
            <w:shd w:val="clear" w:color="auto" w:fill="auto"/>
            <w:vAlign w:val="center"/>
            <w:hideMark/>
          </w:tcPr>
          <w:p w14:paraId="71FE0466"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46,41</w:t>
            </w:r>
          </w:p>
        </w:tc>
      </w:tr>
      <w:tr w:rsidR="00A1048D" w:rsidRPr="00A1048D" w14:paraId="4DE614C0" w14:textId="77777777" w:rsidTr="00CE76B6">
        <w:trPr>
          <w:trHeight w:val="510"/>
          <w:jc w:val="center"/>
        </w:trPr>
        <w:tc>
          <w:tcPr>
            <w:tcW w:w="25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BCC47D5"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Consum de combustibil (litri)</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14:paraId="56EC8175"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256,30</w:t>
            </w:r>
          </w:p>
        </w:tc>
        <w:tc>
          <w:tcPr>
            <w:tcW w:w="1640" w:type="dxa"/>
            <w:tcBorders>
              <w:top w:val="single" w:sz="8" w:space="0" w:color="auto"/>
              <w:left w:val="nil"/>
              <w:bottom w:val="single" w:sz="8" w:space="0" w:color="auto"/>
              <w:right w:val="single" w:sz="8" w:space="0" w:color="auto"/>
            </w:tcBorders>
            <w:shd w:val="clear" w:color="auto" w:fill="auto"/>
            <w:vAlign w:val="center"/>
            <w:hideMark/>
          </w:tcPr>
          <w:p w14:paraId="4A2F3F7E"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335,54</w:t>
            </w:r>
          </w:p>
        </w:tc>
        <w:tc>
          <w:tcPr>
            <w:tcW w:w="1820" w:type="dxa"/>
            <w:tcBorders>
              <w:top w:val="single" w:sz="8" w:space="0" w:color="auto"/>
              <w:left w:val="nil"/>
              <w:bottom w:val="single" w:sz="8" w:space="0" w:color="auto"/>
              <w:right w:val="single" w:sz="8" w:space="0" w:color="auto"/>
            </w:tcBorders>
            <w:shd w:val="clear" w:color="auto" w:fill="auto"/>
            <w:vAlign w:val="center"/>
            <w:hideMark/>
          </w:tcPr>
          <w:p w14:paraId="11A3A463"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506,02</w:t>
            </w:r>
          </w:p>
        </w:tc>
      </w:tr>
      <w:tr w:rsidR="00A1048D" w:rsidRPr="00A1048D" w14:paraId="5E7BE178" w14:textId="77777777" w:rsidTr="00CE76B6">
        <w:trPr>
          <w:trHeight w:val="300"/>
          <w:jc w:val="center"/>
        </w:trPr>
        <w:tc>
          <w:tcPr>
            <w:tcW w:w="25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B6D8BA"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Emisii CO2 (kg)</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14:paraId="17A51C48"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755,12</w:t>
            </w:r>
          </w:p>
        </w:tc>
        <w:tc>
          <w:tcPr>
            <w:tcW w:w="1640" w:type="dxa"/>
            <w:tcBorders>
              <w:top w:val="single" w:sz="8" w:space="0" w:color="auto"/>
              <w:left w:val="nil"/>
              <w:bottom w:val="single" w:sz="8" w:space="0" w:color="auto"/>
              <w:right w:val="single" w:sz="8" w:space="0" w:color="auto"/>
            </w:tcBorders>
            <w:shd w:val="clear" w:color="auto" w:fill="auto"/>
            <w:vAlign w:val="center"/>
            <w:hideMark/>
          </w:tcPr>
          <w:p w14:paraId="343ABF4A"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988,84</w:t>
            </w:r>
          </w:p>
        </w:tc>
        <w:tc>
          <w:tcPr>
            <w:tcW w:w="1820" w:type="dxa"/>
            <w:tcBorders>
              <w:top w:val="single" w:sz="8" w:space="0" w:color="auto"/>
              <w:left w:val="nil"/>
              <w:bottom w:val="single" w:sz="8" w:space="0" w:color="auto"/>
              <w:right w:val="single" w:sz="8" w:space="0" w:color="auto"/>
            </w:tcBorders>
            <w:shd w:val="clear" w:color="auto" w:fill="auto"/>
            <w:vAlign w:val="center"/>
            <w:hideMark/>
          </w:tcPr>
          <w:p w14:paraId="4CC93826"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1491,80</w:t>
            </w:r>
          </w:p>
        </w:tc>
      </w:tr>
      <w:tr w:rsidR="00A1048D" w:rsidRPr="00A1048D" w14:paraId="3CCB4C9F" w14:textId="77777777" w:rsidTr="00CE76B6">
        <w:trPr>
          <w:trHeight w:val="300"/>
          <w:jc w:val="center"/>
        </w:trPr>
        <w:tc>
          <w:tcPr>
            <w:tcW w:w="25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185A65D"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Emisii NOx (kg)</w:t>
            </w:r>
          </w:p>
        </w:tc>
        <w:tc>
          <w:tcPr>
            <w:tcW w:w="1900" w:type="dxa"/>
            <w:tcBorders>
              <w:top w:val="single" w:sz="8" w:space="0" w:color="auto"/>
              <w:left w:val="nil"/>
              <w:bottom w:val="single" w:sz="8" w:space="0" w:color="auto"/>
              <w:right w:val="single" w:sz="8" w:space="0" w:color="auto"/>
            </w:tcBorders>
            <w:shd w:val="clear" w:color="auto" w:fill="auto"/>
            <w:noWrap/>
            <w:vAlign w:val="center"/>
            <w:hideMark/>
          </w:tcPr>
          <w:p w14:paraId="0F4C1B99"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3,29</w:t>
            </w:r>
          </w:p>
        </w:tc>
        <w:tc>
          <w:tcPr>
            <w:tcW w:w="1640" w:type="dxa"/>
            <w:tcBorders>
              <w:top w:val="single" w:sz="8" w:space="0" w:color="auto"/>
              <w:left w:val="nil"/>
              <w:bottom w:val="single" w:sz="8" w:space="0" w:color="auto"/>
              <w:right w:val="single" w:sz="8" w:space="0" w:color="auto"/>
            </w:tcBorders>
            <w:shd w:val="clear" w:color="auto" w:fill="auto"/>
            <w:vAlign w:val="center"/>
            <w:hideMark/>
          </w:tcPr>
          <w:p w14:paraId="75CB7FF1"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4,27</w:t>
            </w:r>
          </w:p>
        </w:tc>
        <w:tc>
          <w:tcPr>
            <w:tcW w:w="1820" w:type="dxa"/>
            <w:tcBorders>
              <w:top w:val="single" w:sz="8" w:space="0" w:color="auto"/>
              <w:left w:val="nil"/>
              <w:bottom w:val="single" w:sz="8" w:space="0" w:color="auto"/>
              <w:right w:val="single" w:sz="8" w:space="0" w:color="auto"/>
            </w:tcBorders>
            <w:shd w:val="clear" w:color="auto" w:fill="auto"/>
            <w:vAlign w:val="center"/>
            <w:hideMark/>
          </w:tcPr>
          <w:p w14:paraId="1AF825B5"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6,32</w:t>
            </w:r>
          </w:p>
        </w:tc>
      </w:tr>
      <w:tr w:rsidR="00A1048D" w:rsidRPr="00A1048D" w14:paraId="737CB925" w14:textId="77777777" w:rsidTr="00CE76B6">
        <w:trPr>
          <w:trHeight w:val="300"/>
          <w:jc w:val="center"/>
        </w:trPr>
        <w:tc>
          <w:tcPr>
            <w:tcW w:w="2500"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E474E9F" w14:textId="77777777" w:rsidR="00A1048D" w:rsidRPr="00A1048D" w:rsidRDefault="00A1048D" w:rsidP="00A1048D">
            <w:pPr>
              <w:spacing w:after="0"/>
              <w:rPr>
                <w:rFonts w:ascii="Calibri" w:eastAsia="Times New Roman" w:hAnsi="Calibri" w:cs="Arial"/>
                <w:color w:val="000000"/>
                <w:szCs w:val="20"/>
                <w:lang w:val="ro-RO" w:eastAsia="ro-RO"/>
              </w:rPr>
            </w:pPr>
            <w:r w:rsidRPr="00A1048D">
              <w:rPr>
                <w:rFonts w:ascii="Calibri" w:eastAsia="Times New Roman" w:hAnsi="Calibri" w:cs="Arial"/>
                <w:color w:val="000000"/>
                <w:szCs w:val="20"/>
                <w:lang w:val="ro-RO" w:eastAsia="ro-RO"/>
              </w:rPr>
              <w:t>Emisii PM (kg)</w:t>
            </w:r>
          </w:p>
        </w:tc>
        <w:tc>
          <w:tcPr>
            <w:tcW w:w="1900" w:type="dxa"/>
            <w:tcBorders>
              <w:top w:val="single" w:sz="8" w:space="0" w:color="auto"/>
              <w:left w:val="nil"/>
              <w:bottom w:val="single" w:sz="4" w:space="0" w:color="auto"/>
              <w:right w:val="single" w:sz="8" w:space="0" w:color="auto"/>
            </w:tcBorders>
            <w:shd w:val="clear" w:color="auto" w:fill="auto"/>
            <w:noWrap/>
            <w:vAlign w:val="center"/>
            <w:hideMark/>
          </w:tcPr>
          <w:p w14:paraId="70A001F3" w14:textId="77777777" w:rsidR="00A1048D" w:rsidRPr="00A1048D" w:rsidRDefault="00A1048D" w:rsidP="00A1048D">
            <w:pPr>
              <w:spacing w:after="0"/>
              <w:jc w:val="center"/>
              <w:rPr>
                <w:rFonts w:ascii="Calibri" w:eastAsia="Times New Roman" w:hAnsi="Calibri" w:cs="Arial"/>
                <w:color w:val="000000"/>
                <w:szCs w:val="20"/>
                <w:lang w:val="ro-RO" w:eastAsia="ro-RO"/>
              </w:rPr>
            </w:pPr>
            <w:r w:rsidRPr="00A1048D">
              <w:rPr>
                <w:rFonts w:ascii="Calibri" w:eastAsia="Times New Roman" w:hAnsi="Calibri" w:cs="Arial"/>
                <w:color w:val="000000"/>
                <w:szCs w:val="20"/>
                <w:lang w:val="ro-RO" w:eastAsia="ro-RO"/>
              </w:rPr>
              <w:t>0,17</w:t>
            </w:r>
          </w:p>
        </w:tc>
        <w:tc>
          <w:tcPr>
            <w:tcW w:w="1640" w:type="dxa"/>
            <w:tcBorders>
              <w:top w:val="single" w:sz="8" w:space="0" w:color="auto"/>
              <w:left w:val="nil"/>
              <w:bottom w:val="single" w:sz="4" w:space="0" w:color="auto"/>
              <w:right w:val="single" w:sz="8" w:space="0" w:color="auto"/>
            </w:tcBorders>
            <w:shd w:val="clear" w:color="auto" w:fill="auto"/>
            <w:vAlign w:val="center"/>
            <w:hideMark/>
          </w:tcPr>
          <w:p w14:paraId="4577BF76" w14:textId="77777777" w:rsidR="00A1048D" w:rsidRPr="00A1048D" w:rsidRDefault="00A1048D" w:rsidP="00A1048D">
            <w:pPr>
              <w:spacing w:after="0"/>
              <w:jc w:val="center"/>
              <w:rPr>
                <w:rFonts w:ascii="Calibri" w:eastAsia="Times New Roman" w:hAnsi="Calibri" w:cs="Arial"/>
                <w:color w:val="000000"/>
                <w:szCs w:val="20"/>
                <w:lang w:val="ro-RO" w:eastAsia="ro-RO"/>
              </w:rPr>
            </w:pPr>
            <w:r w:rsidRPr="00A1048D">
              <w:rPr>
                <w:rFonts w:ascii="Calibri" w:eastAsia="Times New Roman" w:hAnsi="Calibri" w:cs="Arial"/>
                <w:color w:val="000000"/>
                <w:szCs w:val="20"/>
                <w:lang w:val="ro-RO" w:eastAsia="ro-RO"/>
              </w:rPr>
              <w:t>0,22</w:t>
            </w:r>
          </w:p>
        </w:tc>
        <w:tc>
          <w:tcPr>
            <w:tcW w:w="1820" w:type="dxa"/>
            <w:tcBorders>
              <w:top w:val="single" w:sz="8" w:space="0" w:color="auto"/>
              <w:left w:val="nil"/>
              <w:bottom w:val="single" w:sz="4" w:space="0" w:color="auto"/>
              <w:right w:val="single" w:sz="8" w:space="0" w:color="auto"/>
            </w:tcBorders>
            <w:shd w:val="clear" w:color="auto" w:fill="auto"/>
            <w:vAlign w:val="center"/>
            <w:hideMark/>
          </w:tcPr>
          <w:p w14:paraId="1DF8F932" w14:textId="77777777" w:rsidR="00A1048D" w:rsidRPr="00A1048D" w:rsidRDefault="00A1048D" w:rsidP="00A1048D">
            <w:pPr>
              <w:spacing w:after="0"/>
              <w:jc w:val="center"/>
              <w:rPr>
                <w:rFonts w:ascii="Calibri" w:eastAsia="Times New Roman" w:hAnsi="Calibri" w:cs="Arial"/>
                <w:color w:val="000000"/>
                <w:szCs w:val="20"/>
                <w:lang w:val="ro-RO" w:eastAsia="ro-RO"/>
              </w:rPr>
            </w:pPr>
            <w:r w:rsidRPr="00A1048D">
              <w:rPr>
                <w:rFonts w:ascii="Calibri" w:eastAsia="Times New Roman" w:hAnsi="Calibri" w:cs="Arial"/>
                <w:color w:val="000000"/>
                <w:szCs w:val="20"/>
                <w:lang w:val="ro-RO" w:eastAsia="ro-RO"/>
              </w:rPr>
              <w:t>0,32</w:t>
            </w:r>
          </w:p>
        </w:tc>
      </w:tr>
      <w:tr w:rsidR="00A1048D" w:rsidRPr="00A1048D" w14:paraId="179188EE" w14:textId="77777777" w:rsidTr="00CE76B6">
        <w:trPr>
          <w:trHeight w:val="300"/>
          <w:jc w:val="center"/>
        </w:trPr>
        <w:tc>
          <w:tcPr>
            <w:tcW w:w="250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12D7B34F"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Emisii HC (kg)</w:t>
            </w:r>
          </w:p>
        </w:tc>
        <w:tc>
          <w:tcPr>
            <w:tcW w:w="1900" w:type="dxa"/>
            <w:tcBorders>
              <w:top w:val="single" w:sz="4" w:space="0" w:color="auto"/>
              <w:left w:val="nil"/>
              <w:bottom w:val="single" w:sz="8" w:space="0" w:color="auto"/>
              <w:right w:val="single" w:sz="8" w:space="0" w:color="auto"/>
            </w:tcBorders>
            <w:shd w:val="clear" w:color="auto" w:fill="auto"/>
            <w:noWrap/>
            <w:vAlign w:val="center"/>
            <w:hideMark/>
          </w:tcPr>
          <w:p w14:paraId="7806A2B5"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5,63</w:t>
            </w:r>
          </w:p>
        </w:tc>
        <w:tc>
          <w:tcPr>
            <w:tcW w:w="1640" w:type="dxa"/>
            <w:tcBorders>
              <w:top w:val="single" w:sz="4" w:space="0" w:color="auto"/>
              <w:left w:val="nil"/>
              <w:bottom w:val="single" w:sz="8" w:space="0" w:color="auto"/>
              <w:right w:val="single" w:sz="8" w:space="0" w:color="auto"/>
            </w:tcBorders>
            <w:shd w:val="clear" w:color="auto" w:fill="auto"/>
            <w:vAlign w:val="center"/>
            <w:hideMark/>
          </w:tcPr>
          <w:p w14:paraId="319CDEC2"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7,35</w:t>
            </w:r>
          </w:p>
        </w:tc>
        <w:tc>
          <w:tcPr>
            <w:tcW w:w="1820" w:type="dxa"/>
            <w:tcBorders>
              <w:top w:val="single" w:sz="4" w:space="0" w:color="auto"/>
              <w:left w:val="nil"/>
              <w:bottom w:val="single" w:sz="8" w:space="0" w:color="auto"/>
              <w:right w:val="single" w:sz="8" w:space="0" w:color="auto"/>
            </w:tcBorders>
            <w:shd w:val="clear" w:color="auto" w:fill="auto"/>
            <w:vAlign w:val="center"/>
            <w:hideMark/>
          </w:tcPr>
          <w:p w14:paraId="6A1A8C9E"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10,68</w:t>
            </w:r>
          </w:p>
        </w:tc>
      </w:tr>
    </w:tbl>
    <w:p w14:paraId="7477985A" w14:textId="1DF4474A" w:rsidR="00556B9F" w:rsidRPr="00094DCB" w:rsidRDefault="00556B9F" w:rsidP="00094DCB">
      <w:pPr>
        <w:widowControl w:val="0"/>
        <w:suppressAutoHyphens/>
        <w:spacing w:after="0" w:line="276" w:lineRule="auto"/>
        <w:rPr>
          <w:rFonts w:ascii="Arial" w:hAnsi="Arial" w:cs="Mangal"/>
          <w:kern w:val="1"/>
          <w:lang w:val="ro-RO" w:eastAsia="hi-IN" w:bidi="hi-IN"/>
        </w:rPr>
      </w:pPr>
    </w:p>
    <w:p w14:paraId="2B1CBCB1" w14:textId="32D472EC" w:rsidR="00094DCB" w:rsidRDefault="00094DCB" w:rsidP="00094DCB">
      <w:pPr>
        <w:widowControl w:val="0"/>
        <w:suppressAutoHyphens/>
        <w:spacing w:after="0" w:line="276" w:lineRule="auto"/>
        <w:rPr>
          <w:rFonts w:ascii="Arial" w:hAnsi="Arial" w:cs="Arial"/>
          <w:kern w:val="1"/>
          <w:lang w:val="ro-RO" w:eastAsia="hi-IN" w:bidi="hi-IN"/>
        </w:rPr>
      </w:pPr>
      <w:r w:rsidRPr="00094DCB">
        <w:rPr>
          <w:rFonts w:ascii="Arial" w:hAnsi="Arial" w:cs="Arial"/>
          <w:kern w:val="1"/>
          <w:lang w:val="ro-RO" w:eastAsia="hi-IN" w:bidi="hi-IN"/>
        </w:rPr>
        <w:t>Nivelurile de serviciu rezultate la nivel de intersecție sunt:</w:t>
      </w:r>
    </w:p>
    <w:p w14:paraId="715DB512" w14:textId="77777777" w:rsidR="00CE76B6" w:rsidRDefault="00CE76B6" w:rsidP="00094DCB">
      <w:pPr>
        <w:widowControl w:val="0"/>
        <w:suppressAutoHyphens/>
        <w:spacing w:after="0" w:line="276" w:lineRule="auto"/>
        <w:rPr>
          <w:rFonts w:ascii="Arial" w:hAnsi="Arial" w:cs="Arial"/>
          <w:kern w:val="1"/>
          <w:lang w:val="ro-RO" w:eastAsia="hi-IN" w:bidi="hi-IN"/>
        </w:rPr>
      </w:pPr>
    </w:p>
    <w:p w14:paraId="32F85D44" w14:textId="77777777" w:rsidR="00CE76B6" w:rsidRDefault="00CE76B6" w:rsidP="00094DCB">
      <w:pPr>
        <w:widowControl w:val="0"/>
        <w:suppressAutoHyphens/>
        <w:spacing w:after="0" w:line="276" w:lineRule="auto"/>
        <w:rPr>
          <w:rFonts w:ascii="Arial" w:hAnsi="Arial" w:cs="Arial"/>
          <w:kern w:val="1"/>
          <w:lang w:val="ro-RO" w:eastAsia="hi-IN" w:bidi="hi-IN"/>
        </w:rPr>
      </w:pPr>
    </w:p>
    <w:p w14:paraId="7D1EB891" w14:textId="77777777" w:rsidR="00CE76B6" w:rsidRDefault="00CE76B6" w:rsidP="00094DCB">
      <w:pPr>
        <w:widowControl w:val="0"/>
        <w:suppressAutoHyphens/>
        <w:spacing w:after="0" w:line="276" w:lineRule="auto"/>
        <w:rPr>
          <w:rFonts w:ascii="Arial" w:hAnsi="Arial" w:cs="Arial"/>
          <w:kern w:val="1"/>
          <w:lang w:val="ro-RO" w:eastAsia="hi-IN" w:bidi="hi-IN"/>
        </w:rPr>
      </w:pPr>
    </w:p>
    <w:p w14:paraId="1E9B7BBA" w14:textId="77777777" w:rsidR="00CE76B6" w:rsidRDefault="00CE76B6" w:rsidP="00094DCB">
      <w:pPr>
        <w:widowControl w:val="0"/>
        <w:suppressAutoHyphens/>
        <w:spacing w:after="0" w:line="276" w:lineRule="auto"/>
        <w:rPr>
          <w:rFonts w:ascii="Arial" w:hAnsi="Arial" w:cs="Arial"/>
          <w:kern w:val="1"/>
          <w:lang w:val="ro-RO" w:eastAsia="hi-IN" w:bidi="hi-IN"/>
        </w:rPr>
      </w:pPr>
    </w:p>
    <w:p w14:paraId="10A21EF2" w14:textId="285913EC" w:rsidR="00CE76B6" w:rsidRPr="00CE76B6" w:rsidRDefault="00CE76B6" w:rsidP="00CE76B6">
      <w:pPr>
        <w:pStyle w:val="Legend"/>
        <w:jc w:val="center"/>
        <w:rPr>
          <w:rFonts w:ascii="Arial" w:hAnsi="Arial" w:cs="Arial"/>
          <w:i w:val="0"/>
          <w:kern w:val="1"/>
          <w:sz w:val="22"/>
          <w:szCs w:val="22"/>
          <w:lang w:val="ro-RO" w:eastAsia="hi-IN" w:bidi="hi-IN"/>
        </w:rPr>
      </w:pPr>
      <w:bookmarkStart w:id="293" w:name="_Toc96447406"/>
      <w:r w:rsidRPr="00CE76B6">
        <w:rPr>
          <w:rFonts w:ascii="Arial" w:hAnsi="Arial" w:cs="Arial"/>
          <w:sz w:val="22"/>
          <w:szCs w:val="22"/>
        </w:rPr>
        <w:lastRenderedPageBreak/>
        <w:t xml:space="preserve">Tabel I.3. </w:t>
      </w:r>
      <w:r w:rsidRPr="00CE76B6">
        <w:rPr>
          <w:rFonts w:ascii="Arial" w:hAnsi="Arial" w:cs="Arial"/>
          <w:sz w:val="22"/>
          <w:szCs w:val="22"/>
        </w:rPr>
        <w:fldChar w:fldCharType="begin"/>
      </w:r>
      <w:r w:rsidRPr="00CE76B6">
        <w:rPr>
          <w:rFonts w:ascii="Arial" w:hAnsi="Arial" w:cs="Arial"/>
          <w:sz w:val="22"/>
          <w:szCs w:val="22"/>
        </w:rPr>
        <w:instrText xml:space="preserve"> SEQ Tabel_I.3. \* ARABIC </w:instrText>
      </w:r>
      <w:r w:rsidRPr="00CE76B6">
        <w:rPr>
          <w:rFonts w:ascii="Arial" w:hAnsi="Arial" w:cs="Arial"/>
          <w:sz w:val="22"/>
          <w:szCs w:val="22"/>
        </w:rPr>
        <w:fldChar w:fldCharType="separate"/>
      </w:r>
      <w:r w:rsidR="00BB181C">
        <w:rPr>
          <w:rFonts w:ascii="Arial" w:hAnsi="Arial" w:cs="Arial"/>
          <w:noProof/>
          <w:sz w:val="22"/>
          <w:szCs w:val="22"/>
        </w:rPr>
        <w:t>10</w:t>
      </w:r>
      <w:r w:rsidRPr="00CE76B6">
        <w:rPr>
          <w:rFonts w:ascii="Arial" w:hAnsi="Arial" w:cs="Arial"/>
          <w:sz w:val="22"/>
          <w:szCs w:val="22"/>
        </w:rPr>
        <w:fldChar w:fldCharType="end"/>
      </w:r>
      <w:r w:rsidRPr="00CE76B6">
        <w:rPr>
          <w:rFonts w:ascii="Arial" w:hAnsi="Arial" w:cs="Arial"/>
          <w:sz w:val="22"/>
          <w:szCs w:val="22"/>
        </w:rPr>
        <w:t xml:space="preserve"> </w:t>
      </w:r>
      <w:r w:rsidRPr="00CE76B6">
        <w:rPr>
          <w:rFonts w:ascii="Arial" w:hAnsi="Arial" w:cs="Arial"/>
          <w:i w:val="0"/>
          <w:sz w:val="22"/>
          <w:szCs w:val="22"/>
        </w:rPr>
        <w:t xml:space="preserve">– Niveluri de serviciu </w:t>
      </w:r>
      <w:r w:rsidRPr="00CE76B6">
        <w:rPr>
          <w:rFonts w:ascii="Arial" w:hAnsi="Arial" w:cs="Arial"/>
          <w:i w:val="0"/>
          <w:sz w:val="22"/>
          <w:szCs w:val="22"/>
          <w:lang w:val="ro-RO"/>
        </w:rPr>
        <w:t>intersecţii Horezu - AM</w:t>
      </w:r>
      <w:bookmarkEnd w:id="293"/>
    </w:p>
    <w:tbl>
      <w:tblPr>
        <w:tblW w:w="9488" w:type="dxa"/>
        <w:jc w:val="center"/>
        <w:tblLook w:val="04A0" w:firstRow="1" w:lastRow="0" w:firstColumn="1" w:lastColumn="0" w:noHBand="0" w:noVBand="1"/>
      </w:tblPr>
      <w:tblGrid>
        <w:gridCol w:w="699"/>
        <w:gridCol w:w="663"/>
        <w:gridCol w:w="3023"/>
        <w:gridCol w:w="1701"/>
        <w:gridCol w:w="1134"/>
        <w:gridCol w:w="1134"/>
        <w:gridCol w:w="1134"/>
      </w:tblGrid>
      <w:tr w:rsidR="00CE76B6" w:rsidRPr="00CE76B6" w14:paraId="59FF7F05" w14:textId="77777777" w:rsidTr="00CE76B6">
        <w:trPr>
          <w:trHeight w:val="1170"/>
          <w:jc w:val="center"/>
        </w:trPr>
        <w:tc>
          <w:tcPr>
            <w:tcW w:w="699"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1973127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Nr. crt.</w:t>
            </w:r>
          </w:p>
        </w:tc>
        <w:tc>
          <w:tcPr>
            <w:tcW w:w="663"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6E98477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Id</w:t>
            </w:r>
          </w:p>
        </w:tc>
        <w:tc>
          <w:tcPr>
            <w:tcW w:w="3023"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62FA206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Intersecţie</w:t>
            </w: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30B9112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Tip Control intersecţie</w:t>
            </w:r>
          </w:p>
        </w:tc>
        <w:tc>
          <w:tcPr>
            <w:tcW w:w="3402" w:type="dxa"/>
            <w:gridSpan w:val="3"/>
            <w:tcBorders>
              <w:top w:val="single" w:sz="8" w:space="0" w:color="auto"/>
              <w:left w:val="nil"/>
              <w:bottom w:val="single" w:sz="8" w:space="0" w:color="auto"/>
              <w:right w:val="single" w:sz="8" w:space="0" w:color="000000"/>
            </w:tcBorders>
            <w:shd w:val="clear" w:color="000000" w:fill="D9D9D9"/>
            <w:vAlign w:val="center"/>
            <w:hideMark/>
          </w:tcPr>
          <w:p w14:paraId="46D44FA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lang w:val="ro-RO"/>
              </w:rPr>
              <w:t>Nivelul de serviciu maxim</w:t>
            </w:r>
          </w:p>
        </w:tc>
      </w:tr>
      <w:tr w:rsidR="00CE76B6" w:rsidRPr="00CE76B6" w14:paraId="548B1571" w14:textId="77777777" w:rsidTr="00CE76B6">
        <w:trPr>
          <w:trHeight w:val="300"/>
          <w:jc w:val="center"/>
        </w:trPr>
        <w:tc>
          <w:tcPr>
            <w:tcW w:w="699" w:type="dxa"/>
            <w:vMerge/>
            <w:tcBorders>
              <w:top w:val="single" w:sz="8" w:space="0" w:color="auto"/>
              <w:left w:val="single" w:sz="8" w:space="0" w:color="auto"/>
              <w:bottom w:val="single" w:sz="8" w:space="0" w:color="000000"/>
              <w:right w:val="single" w:sz="8" w:space="0" w:color="auto"/>
            </w:tcBorders>
            <w:vAlign w:val="center"/>
            <w:hideMark/>
          </w:tcPr>
          <w:p w14:paraId="39B8D11D" w14:textId="77777777" w:rsidR="00CE76B6" w:rsidRPr="00CE76B6" w:rsidRDefault="00CE76B6" w:rsidP="00CE76B6">
            <w:pPr>
              <w:spacing w:after="0" w:line="240" w:lineRule="auto"/>
              <w:jc w:val="center"/>
              <w:rPr>
                <w:rFonts w:ascii="Calibri" w:eastAsia="Times New Roman" w:hAnsi="Calibri" w:cs="Calibri"/>
                <w:color w:val="000000"/>
              </w:rPr>
            </w:pPr>
          </w:p>
        </w:tc>
        <w:tc>
          <w:tcPr>
            <w:tcW w:w="663" w:type="dxa"/>
            <w:vMerge/>
            <w:tcBorders>
              <w:top w:val="single" w:sz="8" w:space="0" w:color="auto"/>
              <w:left w:val="single" w:sz="8" w:space="0" w:color="auto"/>
              <w:bottom w:val="single" w:sz="8" w:space="0" w:color="000000"/>
              <w:right w:val="single" w:sz="8" w:space="0" w:color="auto"/>
            </w:tcBorders>
            <w:vAlign w:val="center"/>
            <w:hideMark/>
          </w:tcPr>
          <w:p w14:paraId="023B0767" w14:textId="77777777" w:rsidR="00CE76B6" w:rsidRPr="00CE76B6" w:rsidRDefault="00CE76B6" w:rsidP="00CE76B6">
            <w:pPr>
              <w:spacing w:after="0" w:line="240" w:lineRule="auto"/>
              <w:rPr>
                <w:rFonts w:ascii="Calibri" w:eastAsia="Times New Roman" w:hAnsi="Calibri" w:cs="Calibri"/>
                <w:color w:val="000000"/>
              </w:rPr>
            </w:pPr>
          </w:p>
        </w:tc>
        <w:tc>
          <w:tcPr>
            <w:tcW w:w="3023" w:type="dxa"/>
            <w:vMerge/>
            <w:tcBorders>
              <w:top w:val="single" w:sz="8" w:space="0" w:color="auto"/>
              <w:left w:val="single" w:sz="8" w:space="0" w:color="auto"/>
              <w:bottom w:val="single" w:sz="8" w:space="0" w:color="000000"/>
              <w:right w:val="single" w:sz="8" w:space="0" w:color="auto"/>
            </w:tcBorders>
            <w:vAlign w:val="center"/>
            <w:hideMark/>
          </w:tcPr>
          <w:p w14:paraId="2D97A0EF" w14:textId="77777777" w:rsidR="00CE76B6" w:rsidRPr="00CE76B6" w:rsidRDefault="00CE76B6" w:rsidP="00CE76B6">
            <w:pPr>
              <w:spacing w:after="0" w:line="240" w:lineRule="auto"/>
              <w:rPr>
                <w:rFonts w:ascii="Calibri" w:eastAsia="Times New Roman" w:hAnsi="Calibri" w:cs="Calibri"/>
                <w:color w:val="000000"/>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2D05B23E" w14:textId="77777777" w:rsidR="00CE76B6" w:rsidRPr="00CE76B6" w:rsidRDefault="00CE76B6" w:rsidP="00CE76B6">
            <w:pPr>
              <w:spacing w:after="0" w:line="240" w:lineRule="auto"/>
              <w:rPr>
                <w:rFonts w:ascii="Calibri" w:eastAsia="Times New Roman" w:hAnsi="Calibri" w:cs="Calibri"/>
                <w:color w:val="000000"/>
              </w:rPr>
            </w:pPr>
          </w:p>
        </w:tc>
        <w:tc>
          <w:tcPr>
            <w:tcW w:w="1134" w:type="dxa"/>
            <w:tcBorders>
              <w:top w:val="nil"/>
              <w:left w:val="nil"/>
              <w:bottom w:val="single" w:sz="8" w:space="0" w:color="auto"/>
              <w:right w:val="single" w:sz="8" w:space="0" w:color="auto"/>
            </w:tcBorders>
            <w:shd w:val="clear" w:color="000000" w:fill="D9D9D9"/>
            <w:vAlign w:val="center"/>
            <w:hideMark/>
          </w:tcPr>
          <w:p w14:paraId="4E93AE9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2021</w:t>
            </w:r>
          </w:p>
        </w:tc>
        <w:tc>
          <w:tcPr>
            <w:tcW w:w="1134" w:type="dxa"/>
            <w:tcBorders>
              <w:top w:val="nil"/>
              <w:left w:val="nil"/>
              <w:bottom w:val="single" w:sz="8" w:space="0" w:color="auto"/>
              <w:right w:val="single" w:sz="8" w:space="0" w:color="auto"/>
            </w:tcBorders>
            <w:shd w:val="clear" w:color="000000" w:fill="D9D9D9"/>
            <w:vAlign w:val="center"/>
            <w:hideMark/>
          </w:tcPr>
          <w:p w14:paraId="129DCE4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2027</w:t>
            </w:r>
          </w:p>
        </w:tc>
        <w:tc>
          <w:tcPr>
            <w:tcW w:w="1134" w:type="dxa"/>
            <w:tcBorders>
              <w:top w:val="nil"/>
              <w:left w:val="nil"/>
              <w:bottom w:val="single" w:sz="8" w:space="0" w:color="auto"/>
              <w:right w:val="single" w:sz="8" w:space="0" w:color="auto"/>
            </w:tcBorders>
            <w:shd w:val="clear" w:color="000000" w:fill="D9D9D9"/>
            <w:vAlign w:val="center"/>
            <w:hideMark/>
          </w:tcPr>
          <w:p w14:paraId="4AFFDB4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2035</w:t>
            </w:r>
          </w:p>
        </w:tc>
      </w:tr>
      <w:tr w:rsidR="00CE76B6" w:rsidRPr="00CE76B6" w14:paraId="62C09515"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6C27F2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w:t>
            </w:r>
          </w:p>
        </w:tc>
        <w:tc>
          <w:tcPr>
            <w:tcW w:w="663" w:type="dxa"/>
            <w:tcBorders>
              <w:top w:val="nil"/>
              <w:left w:val="nil"/>
              <w:bottom w:val="single" w:sz="8" w:space="0" w:color="auto"/>
              <w:right w:val="single" w:sz="8" w:space="0" w:color="auto"/>
            </w:tcBorders>
            <w:shd w:val="clear" w:color="auto" w:fill="auto"/>
            <w:noWrap/>
            <w:vAlign w:val="center"/>
            <w:hideMark/>
          </w:tcPr>
          <w:p w14:paraId="1E957CC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64</w:t>
            </w:r>
          </w:p>
        </w:tc>
        <w:tc>
          <w:tcPr>
            <w:tcW w:w="3023" w:type="dxa"/>
            <w:tcBorders>
              <w:top w:val="nil"/>
              <w:left w:val="nil"/>
              <w:bottom w:val="single" w:sz="8" w:space="0" w:color="auto"/>
              <w:right w:val="single" w:sz="8" w:space="0" w:color="auto"/>
            </w:tcBorders>
            <w:shd w:val="clear" w:color="auto" w:fill="auto"/>
            <w:noWrap/>
            <w:vAlign w:val="center"/>
            <w:hideMark/>
          </w:tcPr>
          <w:p w14:paraId="67E07DFC"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 67 – DJ 665 (str. Iancu Jianu)</w:t>
            </w:r>
          </w:p>
        </w:tc>
        <w:tc>
          <w:tcPr>
            <w:tcW w:w="1701" w:type="dxa"/>
            <w:tcBorders>
              <w:top w:val="nil"/>
              <w:left w:val="nil"/>
              <w:bottom w:val="single" w:sz="8" w:space="0" w:color="auto"/>
              <w:right w:val="single" w:sz="8" w:space="0" w:color="auto"/>
            </w:tcBorders>
            <w:shd w:val="clear" w:color="auto" w:fill="auto"/>
            <w:noWrap/>
            <w:vAlign w:val="center"/>
            <w:hideMark/>
          </w:tcPr>
          <w:p w14:paraId="2A4E266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FF00"/>
            <w:noWrap/>
            <w:vAlign w:val="center"/>
            <w:hideMark/>
          </w:tcPr>
          <w:p w14:paraId="13233E6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c>
          <w:tcPr>
            <w:tcW w:w="1134" w:type="dxa"/>
            <w:tcBorders>
              <w:top w:val="nil"/>
              <w:left w:val="nil"/>
              <w:bottom w:val="single" w:sz="8" w:space="0" w:color="auto"/>
              <w:right w:val="single" w:sz="8" w:space="0" w:color="auto"/>
            </w:tcBorders>
            <w:shd w:val="clear" w:color="000000" w:fill="FFC000"/>
            <w:noWrap/>
            <w:vAlign w:val="center"/>
            <w:hideMark/>
          </w:tcPr>
          <w:p w14:paraId="4A1E46E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FFC000"/>
            <w:noWrap/>
            <w:vAlign w:val="center"/>
            <w:hideMark/>
          </w:tcPr>
          <w:p w14:paraId="06937A1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571B31B7"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11242BB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w:t>
            </w:r>
          </w:p>
        </w:tc>
        <w:tc>
          <w:tcPr>
            <w:tcW w:w="663" w:type="dxa"/>
            <w:tcBorders>
              <w:top w:val="nil"/>
              <w:left w:val="nil"/>
              <w:bottom w:val="single" w:sz="8" w:space="0" w:color="auto"/>
              <w:right w:val="single" w:sz="8" w:space="0" w:color="auto"/>
            </w:tcBorders>
            <w:shd w:val="clear" w:color="auto" w:fill="auto"/>
            <w:noWrap/>
            <w:vAlign w:val="center"/>
            <w:hideMark/>
          </w:tcPr>
          <w:p w14:paraId="33AD99D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69</w:t>
            </w:r>
          </w:p>
        </w:tc>
        <w:tc>
          <w:tcPr>
            <w:tcW w:w="3023" w:type="dxa"/>
            <w:tcBorders>
              <w:top w:val="nil"/>
              <w:left w:val="nil"/>
              <w:bottom w:val="single" w:sz="8" w:space="0" w:color="auto"/>
              <w:right w:val="single" w:sz="8" w:space="0" w:color="auto"/>
            </w:tcBorders>
            <w:shd w:val="clear" w:color="auto" w:fill="auto"/>
            <w:noWrap/>
            <w:vAlign w:val="center"/>
            <w:hideMark/>
          </w:tcPr>
          <w:p w14:paraId="25F4AEB2"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Anton Pann</w:t>
            </w:r>
          </w:p>
        </w:tc>
        <w:tc>
          <w:tcPr>
            <w:tcW w:w="1701" w:type="dxa"/>
            <w:tcBorders>
              <w:top w:val="nil"/>
              <w:left w:val="nil"/>
              <w:bottom w:val="single" w:sz="8" w:space="0" w:color="auto"/>
              <w:right w:val="single" w:sz="8" w:space="0" w:color="auto"/>
            </w:tcBorders>
            <w:shd w:val="clear" w:color="auto" w:fill="auto"/>
            <w:noWrap/>
            <w:vAlign w:val="center"/>
            <w:hideMark/>
          </w:tcPr>
          <w:p w14:paraId="36DE9C5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15214A0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3921581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4F3C4B2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61DA2C31"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94F159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w:t>
            </w:r>
          </w:p>
        </w:tc>
        <w:tc>
          <w:tcPr>
            <w:tcW w:w="663" w:type="dxa"/>
            <w:tcBorders>
              <w:top w:val="nil"/>
              <w:left w:val="nil"/>
              <w:bottom w:val="single" w:sz="8" w:space="0" w:color="auto"/>
              <w:right w:val="single" w:sz="8" w:space="0" w:color="auto"/>
            </w:tcBorders>
            <w:shd w:val="clear" w:color="auto" w:fill="auto"/>
            <w:noWrap/>
            <w:vAlign w:val="center"/>
            <w:hideMark/>
          </w:tcPr>
          <w:p w14:paraId="79FB3E9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75</w:t>
            </w:r>
          </w:p>
        </w:tc>
        <w:tc>
          <w:tcPr>
            <w:tcW w:w="3023" w:type="dxa"/>
            <w:tcBorders>
              <w:top w:val="nil"/>
              <w:left w:val="nil"/>
              <w:bottom w:val="single" w:sz="8" w:space="0" w:color="auto"/>
              <w:right w:val="single" w:sz="8" w:space="0" w:color="auto"/>
            </w:tcBorders>
            <w:shd w:val="clear" w:color="auto" w:fill="auto"/>
            <w:noWrap/>
            <w:vAlign w:val="center"/>
            <w:hideMark/>
          </w:tcPr>
          <w:p w14:paraId="369CAAFA"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Eroilor</w:t>
            </w:r>
          </w:p>
        </w:tc>
        <w:tc>
          <w:tcPr>
            <w:tcW w:w="1701" w:type="dxa"/>
            <w:tcBorders>
              <w:top w:val="nil"/>
              <w:left w:val="nil"/>
              <w:bottom w:val="single" w:sz="8" w:space="0" w:color="auto"/>
              <w:right w:val="single" w:sz="8" w:space="0" w:color="auto"/>
            </w:tcBorders>
            <w:shd w:val="clear" w:color="auto" w:fill="auto"/>
            <w:noWrap/>
            <w:vAlign w:val="center"/>
            <w:hideMark/>
          </w:tcPr>
          <w:p w14:paraId="3358125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FF00"/>
            <w:noWrap/>
            <w:vAlign w:val="center"/>
            <w:hideMark/>
          </w:tcPr>
          <w:p w14:paraId="54C52F9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c>
          <w:tcPr>
            <w:tcW w:w="1134" w:type="dxa"/>
            <w:tcBorders>
              <w:top w:val="nil"/>
              <w:left w:val="nil"/>
              <w:bottom w:val="single" w:sz="8" w:space="0" w:color="auto"/>
              <w:right w:val="single" w:sz="8" w:space="0" w:color="auto"/>
            </w:tcBorders>
            <w:shd w:val="clear" w:color="000000" w:fill="FFC000"/>
            <w:noWrap/>
            <w:vAlign w:val="center"/>
            <w:hideMark/>
          </w:tcPr>
          <w:p w14:paraId="2BBF510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FFC000"/>
            <w:noWrap/>
            <w:vAlign w:val="center"/>
            <w:hideMark/>
          </w:tcPr>
          <w:p w14:paraId="6593601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7C391012"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09DE4BD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4</w:t>
            </w:r>
          </w:p>
        </w:tc>
        <w:tc>
          <w:tcPr>
            <w:tcW w:w="663" w:type="dxa"/>
            <w:tcBorders>
              <w:top w:val="nil"/>
              <w:left w:val="nil"/>
              <w:bottom w:val="single" w:sz="8" w:space="0" w:color="auto"/>
              <w:right w:val="single" w:sz="8" w:space="0" w:color="auto"/>
            </w:tcBorders>
            <w:shd w:val="clear" w:color="auto" w:fill="auto"/>
            <w:noWrap/>
            <w:vAlign w:val="center"/>
            <w:hideMark/>
          </w:tcPr>
          <w:p w14:paraId="30102A2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84</w:t>
            </w:r>
          </w:p>
        </w:tc>
        <w:tc>
          <w:tcPr>
            <w:tcW w:w="3023" w:type="dxa"/>
            <w:tcBorders>
              <w:top w:val="nil"/>
              <w:left w:val="nil"/>
              <w:bottom w:val="single" w:sz="8" w:space="0" w:color="auto"/>
              <w:right w:val="single" w:sz="8" w:space="0" w:color="auto"/>
            </w:tcBorders>
            <w:shd w:val="clear" w:color="auto" w:fill="auto"/>
            <w:noWrap/>
            <w:vAlign w:val="center"/>
            <w:hideMark/>
          </w:tcPr>
          <w:p w14:paraId="772D2893"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DC143 - str. Nicolae Iorga</w:t>
            </w:r>
          </w:p>
        </w:tc>
        <w:tc>
          <w:tcPr>
            <w:tcW w:w="1701" w:type="dxa"/>
            <w:tcBorders>
              <w:top w:val="nil"/>
              <w:left w:val="nil"/>
              <w:bottom w:val="single" w:sz="8" w:space="0" w:color="auto"/>
              <w:right w:val="single" w:sz="8" w:space="0" w:color="auto"/>
            </w:tcBorders>
            <w:shd w:val="clear" w:color="auto" w:fill="auto"/>
            <w:noWrap/>
            <w:vAlign w:val="center"/>
            <w:hideMark/>
          </w:tcPr>
          <w:p w14:paraId="1A7A818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68C7975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4C06D90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C00000"/>
            <w:noWrap/>
            <w:vAlign w:val="center"/>
            <w:hideMark/>
          </w:tcPr>
          <w:p w14:paraId="3DBFA56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F</w:t>
            </w:r>
          </w:p>
        </w:tc>
      </w:tr>
      <w:tr w:rsidR="00CE76B6" w:rsidRPr="00CE76B6" w14:paraId="7CE977E8"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42A707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5</w:t>
            </w:r>
          </w:p>
        </w:tc>
        <w:tc>
          <w:tcPr>
            <w:tcW w:w="663" w:type="dxa"/>
            <w:tcBorders>
              <w:top w:val="nil"/>
              <w:left w:val="nil"/>
              <w:bottom w:val="single" w:sz="8" w:space="0" w:color="auto"/>
              <w:right w:val="single" w:sz="8" w:space="0" w:color="auto"/>
            </w:tcBorders>
            <w:shd w:val="clear" w:color="auto" w:fill="auto"/>
            <w:noWrap/>
            <w:vAlign w:val="center"/>
            <w:hideMark/>
          </w:tcPr>
          <w:p w14:paraId="5B29245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85</w:t>
            </w:r>
          </w:p>
        </w:tc>
        <w:tc>
          <w:tcPr>
            <w:tcW w:w="3023" w:type="dxa"/>
            <w:tcBorders>
              <w:top w:val="nil"/>
              <w:left w:val="nil"/>
              <w:bottom w:val="single" w:sz="8" w:space="0" w:color="auto"/>
              <w:right w:val="single" w:sz="8" w:space="0" w:color="auto"/>
            </w:tcBorders>
            <w:shd w:val="clear" w:color="auto" w:fill="auto"/>
            <w:noWrap/>
            <w:vAlign w:val="center"/>
            <w:hideMark/>
          </w:tcPr>
          <w:p w14:paraId="54636C9A"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DC 143 – str. Mihai Viteazu</w:t>
            </w:r>
          </w:p>
        </w:tc>
        <w:tc>
          <w:tcPr>
            <w:tcW w:w="1701" w:type="dxa"/>
            <w:tcBorders>
              <w:top w:val="nil"/>
              <w:left w:val="nil"/>
              <w:bottom w:val="single" w:sz="8" w:space="0" w:color="auto"/>
              <w:right w:val="single" w:sz="8" w:space="0" w:color="auto"/>
            </w:tcBorders>
            <w:shd w:val="clear" w:color="auto" w:fill="auto"/>
            <w:noWrap/>
            <w:vAlign w:val="center"/>
            <w:hideMark/>
          </w:tcPr>
          <w:p w14:paraId="054A31B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0A6287F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0107991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1B894A0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1337472B"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3A9FFA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6</w:t>
            </w:r>
          </w:p>
        </w:tc>
        <w:tc>
          <w:tcPr>
            <w:tcW w:w="663" w:type="dxa"/>
            <w:tcBorders>
              <w:top w:val="nil"/>
              <w:left w:val="nil"/>
              <w:bottom w:val="single" w:sz="8" w:space="0" w:color="auto"/>
              <w:right w:val="single" w:sz="8" w:space="0" w:color="auto"/>
            </w:tcBorders>
            <w:shd w:val="clear" w:color="auto" w:fill="auto"/>
            <w:noWrap/>
            <w:vAlign w:val="center"/>
            <w:hideMark/>
          </w:tcPr>
          <w:p w14:paraId="4BC2396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86</w:t>
            </w:r>
          </w:p>
        </w:tc>
        <w:tc>
          <w:tcPr>
            <w:tcW w:w="3023" w:type="dxa"/>
            <w:tcBorders>
              <w:top w:val="nil"/>
              <w:left w:val="nil"/>
              <w:bottom w:val="single" w:sz="8" w:space="0" w:color="auto"/>
              <w:right w:val="single" w:sz="8" w:space="0" w:color="auto"/>
            </w:tcBorders>
            <w:shd w:val="clear" w:color="auto" w:fill="auto"/>
            <w:noWrap/>
            <w:vAlign w:val="center"/>
            <w:hideMark/>
          </w:tcPr>
          <w:p w14:paraId="752229E4"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Căpitan Maldăr</w:t>
            </w:r>
          </w:p>
        </w:tc>
        <w:tc>
          <w:tcPr>
            <w:tcW w:w="1701" w:type="dxa"/>
            <w:tcBorders>
              <w:top w:val="nil"/>
              <w:left w:val="nil"/>
              <w:bottom w:val="single" w:sz="8" w:space="0" w:color="auto"/>
              <w:right w:val="single" w:sz="8" w:space="0" w:color="auto"/>
            </w:tcBorders>
            <w:shd w:val="clear" w:color="auto" w:fill="auto"/>
            <w:noWrap/>
            <w:vAlign w:val="center"/>
            <w:hideMark/>
          </w:tcPr>
          <w:p w14:paraId="3AAE167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C000"/>
            <w:noWrap/>
            <w:vAlign w:val="center"/>
            <w:hideMark/>
          </w:tcPr>
          <w:p w14:paraId="43A1098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FF0000"/>
            <w:noWrap/>
            <w:vAlign w:val="center"/>
            <w:hideMark/>
          </w:tcPr>
          <w:p w14:paraId="13F77DA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E</w:t>
            </w:r>
          </w:p>
        </w:tc>
        <w:tc>
          <w:tcPr>
            <w:tcW w:w="1134" w:type="dxa"/>
            <w:tcBorders>
              <w:top w:val="nil"/>
              <w:left w:val="nil"/>
              <w:bottom w:val="single" w:sz="8" w:space="0" w:color="auto"/>
              <w:right w:val="single" w:sz="8" w:space="0" w:color="auto"/>
            </w:tcBorders>
            <w:shd w:val="clear" w:color="000000" w:fill="C00000"/>
            <w:noWrap/>
            <w:vAlign w:val="center"/>
            <w:hideMark/>
          </w:tcPr>
          <w:p w14:paraId="189B271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F</w:t>
            </w:r>
          </w:p>
        </w:tc>
      </w:tr>
      <w:tr w:rsidR="00CE76B6" w:rsidRPr="00CE76B6" w14:paraId="4E458676"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AB1FDB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7</w:t>
            </w:r>
          </w:p>
        </w:tc>
        <w:tc>
          <w:tcPr>
            <w:tcW w:w="663" w:type="dxa"/>
            <w:tcBorders>
              <w:top w:val="nil"/>
              <w:left w:val="nil"/>
              <w:bottom w:val="single" w:sz="8" w:space="0" w:color="auto"/>
              <w:right w:val="single" w:sz="8" w:space="0" w:color="auto"/>
            </w:tcBorders>
            <w:shd w:val="clear" w:color="auto" w:fill="auto"/>
            <w:noWrap/>
            <w:vAlign w:val="center"/>
            <w:hideMark/>
          </w:tcPr>
          <w:p w14:paraId="295FE93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88</w:t>
            </w:r>
          </w:p>
        </w:tc>
        <w:tc>
          <w:tcPr>
            <w:tcW w:w="3023" w:type="dxa"/>
            <w:tcBorders>
              <w:top w:val="nil"/>
              <w:left w:val="nil"/>
              <w:bottom w:val="single" w:sz="8" w:space="0" w:color="auto"/>
              <w:right w:val="single" w:sz="8" w:space="0" w:color="auto"/>
            </w:tcBorders>
            <w:shd w:val="clear" w:color="auto" w:fill="auto"/>
            <w:noWrap/>
            <w:vAlign w:val="center"/>
            <w:hideMark/>
          </w:tcPr>
          <w:p w14:paraId="5F82CD9A"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13 - DC 139 – DN 67 (A)</w:t>
            </w:r>
          </w:p>
        </w:tc>
        <w:tc>
          <w:tcPr>
            <w:tcW w:w="1701" w:type="dxa"/>
            <w:tcBorders>
              <w:top w:val="nil"/>
              <w:left w:val="nil"/>
              <w:bottom w:val="single" w:sz="8" w:space="0" w:color="auto"/>
              <w:right w:val="single" w:sz="8" w:space="0" w:color="auto"/>
            </w:tcBorders>
            <w:shd w:val="clear" w:color="auto" w:fill="auto"/>
            <w:noWrap/>
            <w:vAlign w:val="center"/>
            <w:hideMark/>
          </w:tcPr>
          <w:p w14:paraId="381678F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BF8F00"/>
            <w:noWrap/>
            <w:vAlign w:val="center"/>
            <w:hideMark/>
          </w:tcPr>
          <w:p w14:paraId="512C7F4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D</w:t>
            </w:r>
          </w:p>
        </w:tc>
        <w:tc>
          <w:tcPr>
            <w:tcW w:w="1134" w:type="dxa"/>
            <w:tcBorders>
              <w:top w:val="nil"/>
              <w:left w:val="nil"/>
              <w:bottom w:val="single" w:sz="8" w:space="0" w:color="auto"/>
              <w:right w:val="single" w:sz="8" w:space="0" w:color="auto"/>
            </w:tcBorders>
            <w:shd w:val="clear" w:color="000000" w:fill="C00000"/>
            <w:noWrap/>
            <w:vAlign w:val="center"/>
            <w:hideMark/>
          </w:tcPr>
          <w:p w14:paraId="331B291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C00000"/>
            <w:noWrap/>
            <w:vAlign w:val="center"/>
            <w:hideMark/>
          </w:tcPr>
          <w:p w14:paraId="340566C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F</w:t>
            </w:r>
          </w:p>
        </w:tc>
      </w:tr>
      <w:tr w:rsidR="00CE76B6" w:rsidRPr="00CE76B6" w14:paraId="7DB6667C"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C443B5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w:t>
            </w:r>
          </w:p>
        </w:tc>
        <w:tc>
          <w:tcPr>
            <w:tcW w:w="663" w:type="dxa"/>
            <w:tcBorders>
              <w:top w:val="nil"/>
              <w:left w:val="nil"/>
              <w:bottom w:val="single" w:sz="8" w:space="0" w:color="auto"/>
              <w:right w:val="single" w:sz="8" w:space="0" w:color="auto"/>
            </w:tcBorders>
            <w:shd w:val="clear" w:color="auto" w:fill="auto"/>
            <w:noWrap/>
            <w:vAlign w:val="center"/>
            <w:hideMark/>
          </w:tcPr>
          <w:p w14:paraId="40A5C76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89</w:t>
            </w:r>
          </w:p>
        </w:tc>
        <w:tc>
          <w:tcPr>
            <w:tcW w:w="3023" w:type="dxa"/>
            <w:tcBorders>
              <w:top w:val="nil"/>
              <w:left w:val="nil"/>
              <w:bottom w:val="single" w:sz="8" w:space="0" w:color="auto"/>
              <w:right w:val="single" w:sz="8" w:space="0" w:color="auto"/>
            </w:tcBorders>
            <w:shd w:val="clear" w:color="auto" w:fill="auto"/>
            <w:noWrap/>
            <w:vAlign w:val="center"/>
            <w:hideMark/>
          </w:tcPr>
          <w:p w14:paraId="32DFC736"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13 - DC 139 – DN 67 (B)</w:t>
            </w:r>
          </w:p>
        </w:tc>
        <w:tc>
          <w:tcPr>
            <w:tcW w:w="1701" w:type="dxa"/>
            <w:tcBorders>
              <w:top w:val="nil"/>
              <w:left w:val="nil"/>
              <w:bottom w:val="single" w:sz="8" w:space="0" w:color="auto"/>
              <w:right w:val="single" w:sz="8" w:space="0" w:color="auto"/>
            </w:tcBorders>
            <w:shd w:val="clear" w:color="auto" w:fill="auto"/>
            <w:noWrap/>
            <w:vAlign w:val="center"/>
            <w:hideMark/>
          </w:tcPr>
          <w:p w14:paraId="4DEA21B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C000"/>
            <w:noWrap/>
            <w:vAlign w:val="center"/>
            <w:hideMark/>
          </w:tcPr>
          <w:p w14:paraId="2A1BF45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C00000"/>
            <w:noWrap/>
            <w:vAlign w:val="center"/>
            <w:hideMark/>
          </w:tcPr>
          <w:p w14:paraId="0D79BAC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C00000"/>
            <w:noWrap/>
            <w:vAlign w:val="center"/>
            <w:hideMark/>
          </w:tcPr>
          <w:p w14:paraId="11FEF98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F</w:t>
            </w:r>
          </w:p>
        </w:tc>
      </w:tr>
      <w:tr w:rsidR="00CE76B6" w:rsidRPr="00CE76B6" w14:paraId="0836F7F6"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9868BB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w:t>
            </w:r>
          </w:p>
        </w:tc>
        <w:tc>
          <w:tcPr>
            <w:tcW w:w="663" w:type="dxa"/>
            <w:tcBorders>
              <w:top w:val="nil"/>
              <w:left w:val="nil"/>
              <w:bottom w:val="single" w:sz="8" w:space="0" w:color="auto"/>
              <w:right w:val="single" w:sz="8" w:space="0" w:color="auto"/>
            </w:tcBorders>
            <w:shd w:val="clear" w:color="auto" w:fill="auto"/>
            <w:noWrap/>
            <w:vAlign w:val="center"/>
            <w:hideMark/>
          </w:tcPr>
          <w:p w14:paraId="19AB089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90</w:t>
            </w:r>
          </w:p>
        </w:tc>
        <w:tc>
          <w:tcPr>
            <w:tcW w:w="3023" w:type="dxa"/>
            <w:tcBorders>
              <w:top w:val="nil"/>
              <w:left w:val="nil"/>
              <w:bottom w:val="single" w:sz="8" w:space="0" w:color="auto"/>
              <w:right w:val="single" w:sz="8" w:space="0" w:color="auto"/>
            </w:tcBorders>
            <w:shd w:val="clear" w:color="auto" w:fill="auto"/>
            <w:noWrap/>
            <w:vAlign w:val="center"/>
            <w:hideMark/>
          </w:tcPr>
          <w:p w14:paraId="5175F853"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Str. Zăvoiului</w:t>
            </w:r>
          </w:p>
        </w:tc>
        <w:tc>
          <w:tcPr>
            <w:tcW w:w="1701" w:type="dxa"/>
            <w:tcBorders>
              <w:top w:val="nil"/>
              <w:left w:val="nil"/>
              <w:bottom w:val="single" w:sz="8" w:space="0" w:color="auto"/>
              <w:right w:val="single" w:sz="8" w:space="0" w:color="auto"/>
            </w:tcBorders>
            <w:shd w:val="clear" w:color="auto" w:fill="auto"/>
            <w:noWrap/>
            <w:vAlign w:val="center"/>
            <w:hideMark/>
          </w:tcPr>
          <w:p w14:paraId="35C4761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FF00"/>
            <w:noWrap/>
            <w:vAlign w:val="center"/>
            <w:hideMark/>
          </w:tcPr>
          <w:p w14:paraId="4CF27C4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c>
          <w:tcPr>
            <w:tcW w:w="1134" w:type="dxa"/>
            <w:tcBorders>
              <w:top w:val="nil"/>
              <w:left w:val="nil"/>
              <w:bottom w:val="single" w:sz="8" w:space="0" w:color="auto"/>
              <w:right w:val="single" w:sz="8" w:space="0" w:color="auto"/>
            </w:tcBorders>
            <w:shd w:val="clear" w:color="000000" w:fill="FFFF00"/>
            <w:noWrap/>
            <w:vAlign w:val="center"/>
            <w:hideMark/>
          </w:tcPr>
          <w:p w14:paraId="0D96DE0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c>
          <w:tcPr>
            <w:tcW w:w="1134" w:type="dxa"/>
            <w:tcBorders>
              <w:top w:val="nil"/>
              <w:left w:val="nil"/>
              <w:bottom w:val="single" w:sz="8" w:space="0" w:color="auto"/>
              <w:right w:val="single" w:sz="8" w:space="0" w:color="auto"/>
            </w:tcBorders>
            <w:shd w:val="clear" w:color="000000" w:fill="FFC000"/>
            <w:noWrap/>
            <w:vAlign w:val="center"/>
            <w:hideMark/>
          </w:tcPr>
          <w:p w14:paraId="6FCF8BE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r>
      <w:tr w:rsidR="00CE76B6" w:rsidRPr="00CE76B6" w14:paraId="111FAE20"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FD34028"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10</w:t>
            </w:r>
          </w:p>
        </w:tc>
        <w:tc>
          <w:tcPr>
            <w:tcW w:w="663" w:type="dxa"/>
            <w:tcBorders>
              <w:top w:val="nil"/>
              <w:left w:val="nil"/>
              <w:bottom w:val="single" w:sz="8" w:space="0" w:color="auto"/>
              <w:right w:val="single" w:sz="8" w:space="0" w:color="auto"/>
            </w:tcBorders>
            <w:shd w:val="clear" w:color="auto" w:fill="auto"/>
            <w:noWrap/>
            <w:vAlign w:val="center"/>
            <w:hideMark/>
          </w:tcPr>
          <w:p w14:paraId="2651035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91</w:t>
            </w:r>
          </w:p>
        </w:tc>
        <w:tc>
          <w:tcPr>
            <w:tcW w:w="3023" w:type="dxa"/>
            <w:tcBorders>
              <w:top w:val="nil"/>
              <w:left w:val="nil"/>
              <w:bottom w:val="single" w:sz="8" w:space="0" w:color="auto"/>
              <w:right w:val="single" w:sz="8" w:space="0" w:color="auto"/>
            </w:tcBorders>
            <w:shd w:val="clear" w:color="auto" w:fill="auto"/>
            <w:noWrap/>
            <w:vAlign w:val="center"/>
            <w:hideMark/>
          </w:tcPr>
          <w:p w14:paraId="0CF90A87"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 xml:space="preserve"> DC 142 – str. Matei Basarab</w:t>
            </w:r>
          </w:p>
        </w:tc>
        <w:tc>
          <w:tcPr>
            <w:tcW w:w="1701" w:type="dxa"/>
            <w:tcBorders>
              <w:top w:val="nil"/>
              <w:left w:val="nil"/>
              <w:bottom w:val="single" w:sz="8" w:space="0" w:color="auto"/>
              <w:right w:val="single" w:sz="8" w:space="0" w:color="auto"/>
            </w:tcBorders>
            <w:shd w:val="clear" w:color="auto" w:fill="auto"/>
            <w:noWrap/>
            <w:vAlign w:val="center"/>
            <w:hideMark/>
          </w:tcPr>
          <w:p w14:paraId="4915973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5C55E47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662B069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1BA7D83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0C305100"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0767AEC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11</w:t>
            </w:r>
          </w:p>
        </w:tc>
        <w:tc>
          <w:tcPr>
            <w:tcW w:w="663" w:type="dxa"/>
            <w:tcBorders>
              <w:top w:val="nil"/>
              <w:left w:val="nil"/>
              <w:bottom w:val="single" w:sz="8" w:space="0" w:color="auto"/>
              <w:right w:val="single" w:sz="8" w:space="0" w:color="auto"/>
            </w:tcBorders>
            <w:shd w:val="clear" w:color="auto" w:fill="auto"/>
            <w:noWrap/>
            <w:vAlign w:val="center"/>
            <w:hideMark/>
          </w:tcPr>
          <w:p w14:paraId="2FAA02FB"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94</w:t>
            </w:r>
          </w:p>
        </w:tc>
        <w:tc>
          <w:tcPr>
            <w:tcW w:w="3023" w:type="dxa"/>
            <w:tcBorders>
              <w:top w:val="nil"/>
              <w:left w:val="nil"/>
              <w:bottom w:val="single" w:sz="8" w:space="0" w:color="auto"/>
              <w:right w:val="single" w:sz="8" w:space="0" w:color="auto"/>
            </w:tcBorders>
            <w:shd w:val="clear" w:color="auto" w:fill="auto"/>
            <w:noWrap/>
            <w:vAlign w:val="center"/>
            <w:hideMark/>
          </w:tcPr>
          <w:p w14:paraId="28413179"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DN67 - George Coșbuc</w:t>
            </w:r>
          </w:p>
        </w:tc>
        <w:tc>
          <w:tcPr>
            <w:tcW w:w="1701" w:type="dxa"/>
            <w:tcBorders>
              <w:top w:val="nil"/>
              <w:left w:val="nil"/>
              <w:bottom w:val="single" w:sz="8" w:space="0" w:color="auto"/>
              <w:right w:val="single" w:sz="8" w:space="0" w:color="auto"/>
            </w:tcBorders>
            <w:shd w:val="clear" w:color="auto" w:fill="auto"/>
            <w:noWrap/>
            <w:vAlign w:val="center"/>
            <w:hideMark/>
          </w:tcPr>
          <w:p w14:paraId="6813C41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C000"/>
            <w:noWrap/>
            <w:vAlign w:val="center"/>
            <w:hideMark/>
          </w:tcPr>
          <w:p w14:paraId="5955F3E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FFC000"/>
            <w:noWrap/>
            <w:vAlign w:val="center"/>
            <w:hideMark/>
          </w:tcPr>
          <w:p w14:paraId="517BC1E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BF8F00"/>
            <w:noWrap/>
            <w:vAlign w:val="center"/>
            <w:hideMark/>
          </w:tcPr>
          <w:p w14:paraId="13CBCAD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D</w:t>
            </w:r>
          </w:p>
        </w:tc>
      </w:tr>
      <w:tr w:rsidR="00CE76B6" w:rsidRPr="00CE76B6" w14:paraId="214B65D1"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4A032C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12</w:t>
            </w:r>
          </w:p>
        </w:tc>
        <w:tc>
          <w:tcPr>
            <w:tcW w:w="663" w:type="dxa"/>
            <w:tcBorders>
              <w:top w:val="nil"/>
              <w:left w:val="nil"/>
              <w:bottom w:val="single" w:sz="8" w:space="0" w:color="auto"/>
              <w:right w:val="single" w:sz="8" w:space="0" w:color="auto"/>
            </w:tcBorders>
            <w:shd w:val="clear" w:color="auto" w:fill="auto"/>
            <w:noWrap/>
            <w:vAlign w:val="center"/>
            <w:hideMark/>
          </w:tcPr>
          <w:p w14:paraId="00C81A7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98</w:t>
            </w:r>
          </w:p>
        </w:tc>
        <w:tc>
          <w:tcPr>
            <w:tcW w:w="3023" w:type="dxa"/>
            <w:tcBorders>
              <w:top w:val="nil"/>
              <w:left w:val="nil"/>
              <w:bottom w:val="single" w:sz="8" w:space="0" w:color="auto"/>
              <w:right w:val="single" w:sz="8" w:space="0" w:color="auto"/>
            </w:tcBorders>
            <w:shd w:val="clear" w:color="auto" w:fill="auto"/>
            <w:noWrap/>
            <w:vAlign w:val="center"/>
            <w:hideMark/>
          </w:tcPr>
          <w:p w14:paraId="17AB0BFD"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DC 143 – str. Mihai Viteazu</w:t>
            </w:r>
          </w:p>
        </w:tc>
        <w:tc>
          <w:tcPr>
            <w:tcW w:w="1701" w:type="dxa"/>
            <w:tcBorders>
              <w:top w:val="nil"/>
              <w:left w:val="nil"/>
              <w:bottom w:val="single" w:sz="8" w:space="0" w:color="auto"/>
              <w:right w:val="single" w:sz="8" w:space="0" w:color="auto"/>
            </w:tcBorders>
            <w:shd w:val="clear" w:color="auto" w:fill="auto"/>
            <w:noWrap/>
            <w:vAlign w:val="center"/>
            <w:hideMark/>
          </w:tcPr>
          <w:p w14:paraId="17F79F7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11AD39D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3D909F4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703AF81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0D4FBE02"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48DBAE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13</w:t>
            </w:r>
          </w:p>
        </w:tc>
        <w:tc>
          <w:tcPr>
            <w:tcW w:w="663" w:type="dxa"/>
            <w:tcBorders>
              <w:top w:val="nil"/>
              <w:left w:val="nil"/>
              <w:bottom w:val="single" w:sz="8" w:space="0" w:color="auto"/>
              <w:right w:val="single" w:sz="8" w:space="0" w:color="auto"/>
            </w:tcBorders>
            <w:shd w:val="clear" w:color="auto" w:fill="auto"/>
            <w:noWrap/>
            <w:vAlign w:val="center"/>
            <w:hideMark/>
          </w:tcPr>
          <w:p w14:paraId="2C47D75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153</w:t>
            </w:r>
          </w:p>
        </w:tc>
        <w:tc>
          <w:tcPr>
            <w:tcW w:w="3023" w:type="dxa"/>
            <w:tcBorders>
              <w:top w:val="nil"/>
              <w:left w:val="nil"/>
              <w:bottom w:val="single" w:sz="8" w:space="0" w:color="auto"/>
              <w:right w:val="single" w:sz="8" w:space="0" w:color="auto"/>
            </w:tcBorders>
            <w:shd w:val="clear" w:color="auto" w:fill="auto"/>
            <w:noWrap/>
            <w:vAlign w:val="center"/>
            <w:hideMark/>
          </w:tcPr>
          <w:p w14:paraId="5B1CA02F"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 xml:space="preserve"> DN 67 – str. Stadionului</w:t>
            </w:r>
          </w:p>
        </w:tc>
        <w:tc>
          <w:tcPr>
            <w:tcW w:w="1701" w:type="dxa"/>
            <w:tcBorders>
              <w:top w:val="nil"/>
              <w:left w:val="nil"/>
              <w:bottom w:val="single" w:sz="8" w:space="0" w:color="auto"/>
              <w:right w:val="single" w:sz="8" w:space="0" w:color="auto"/>
            </w:tcBorders>
            <w:shd w:val="clear" w:color="auto" w:fill="auto"/>
            <w:noWrap/>
            <w:vAlign w:val="center"/>
            <w:hideMark/>
          </w:tcPr>
          <w:p w14:paraId="743A0FC6"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727C23E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FFFF00"/>
            <w:noWrap/>
            <w:vAlign w:val="center"/>
            <w:hideMark/>
          </w:tcPr>
          <w:p w14:paraId="1F7B24D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c>
          <w:tcPr>
            <w:tcW w:w="1134" w:type="dxa"/>
            <w:tcBorders>
              <w:top w:val="nil"/>
              <w:left w:val="nil"/>
              <w:bottom w:val="single" w:sz="8" w:space="0" w:color="auto"/>
              <w:right w:val="single" w:sz="8" w:space="0" w:color="auto"/>
            </w:tcBorders>
            <w:shd w:val="clear" w:color="000000" w:fill="FFFF00"/>
            <w:noWrap/>
            <w:vAlign w:val="center"/>
            <w:hideMark/>
          </w:tcPr>
          <w:p w14:paraId="52407184"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r>
      <w:tr w:rsidR="00CE76B6" w:rsidRPr="00CE76B6" w14:paraId="3A83EA4B"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738F92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14</w:t>
            </w:r>
          </w:p>
        </w:tc>
        <w:tc>
          <w:tcPr>
            <w:tcW w:w="663" w:type="dxa"/>
            <w:tcBorders>
              <w:top w:val="nil"/>
              <w:left w:val="nil"/>
              <w:bottom w:val="single" w:sz="8" w:space="0" w:color="auto"/>
              <w:right w:val="single" w:sz="8" w:space="0" w:color="auto"/>
            </w:tcBorders>
            <w:shd w:val="clear" w:color="auto" w:fill="auto"/>
            <w:noWrap/>
            <w:vAlign w:val="center"/>
            <w:hideMark/>
          </w:tcPr>
          <w:p w14:paraId="6FBBA11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162</w:t>
            </w:r>
          </w:p>
        </w:tc>
        <w:tc>
          <w:tcPr>
            <w:tcW w:w="3023" w:type="dxa"/>
            <w:tcBorders>
              <w:top w:val="nil"/>
              <w:left w:val="nil"/>
              <w:bottom w:val="single" w:sz="8" w:space="0" w:color="auto"/>
              <w:right w:val="single" w:sz="8" w:space="0" w:color="auto"/>
            </w:tcBorders>
            <w:shd w:val="clear" w:color="auto" w:fill="auto"/>
            <w:noWrap/>
            <w:vAlign w:val="center"/>
            <w:hideMark/>
          </w:tcPr>
          <w:p w14:paraId="0C1ED6BB"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 xml:space="preserve"> DC 144 – str. spre Romanii de Sus (Stejarului)</w:t>
            </w:r>
          </w:p>
        </w:tc>
        <w:tc>
          <w:tcPr>
            <w:tcW w:w="1701" w:type="dxa"/>
            <w:tcBorders>
              <w:top w:val="nil"/>
              <w:left w:val="nil"/>
              <w:bottom w:val="single" w:sz="8" w:space="0" w:color="auto"/>
              <w:right w:val="single" w:sz="8" w:space="0" w:color="auto"/>
            </w:tcBorders>
            <w:shd w:val="clear" w:color="auto" w:fill="auto"/>
            <w:noWrap/>
            <w:vAlign w:val="center"/>
            <w:hideMark/>
          </w:tcPr>
          <w:p w14:paraId="1620776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7691C8D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51D1D35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79A498B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402B45D9"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1C0071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15</w:t>
            </w:r>
          </w:p>
        </w:tc>
        <w:tc>
          <w:tcPr>
            <w:tcW w:w="663" w:type="dxa"/>
            <w:tcBorders>
              <w:top w:val="nil"/>
              <w:left w:val="nil"/>
              <w:bottom w:val="single" w:sz="8" w:space="0" w:color="auto"/>
              <w:right w:val="single" w:sz="8" w:space="0" w:color="auto"/>
            </w:tcBorders>
            <w:shd w:val="clear" w:color="auto" w:fill="auto"/>
            <w:noWrap/>
            <w:vAlign w:val="center"/>
            <w:hideMark/>
          </w:tcPr>
          <w:p w14:paraId="6EDD51B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262</w:t>
            </w:r>
          </w:p>
        </w:tc>
        <w:tc>
          <w:tcPr>
            <w:tcW w:w="3023" w:type="dxa"/>
            <w:tcBorders>
              <w:top w:val="nil"/>
              <w:left w:val="nil"/>
              <w:bottom w:val="single" w:sz="8" w:space="0" w:color="auto"/>
              <w:right w:val="single" w:sz="8" w:space="0" w:color="auto"/>
            </w:tcBorders>
            <w:shd w:val="clear" w:color="auto" w:fill="auto"/>
            <w:noWrap/>
            <w:vAlign w:val="center"/>
            <w:hideMark/>
          </w:tcPr>
          <w:p w14:paraId="3B94378A"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DJ 669 – str. Manastirii</w:t>
            </w:r>
          </w:p>
        </w:tc>
        <w:tc>
          <w:tcPr>
            <w:tcW w:w="1701" w:type="dxa"/>
            <w:tcBorders>
              <w:top w:val="nil"/>
              <w:left w:val="nil"/>
              <w:bottom w:val="single" w:sz="8" w:space="0" w:color="auto"/>
              <w:right w:val="single" w:sz="8" w:space="0" w:color="auto"/>
            </w:tcBorders>
            <w:shd w:val="clear" w:color="auto" w:fill="auto"/>
            <w:noWrap/>
            <w:vAlign w:val="center"/>
            <w:hideMark/>
          </w:tcPr>
          <w:p w14:paraId="4023782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92D050"/>
            <w:noWrap/>
            <w:vAlign w:val="center"/>
            <w:hideMark/>
          </w:tcPr>
          <w:p w14:paraId="2BC66EC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7693A71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197F354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r w:rsidR="00CE76B6" w:rsidRPr="00CE76B6" w14:paraId="2DC15635"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7236EF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16</w:t>
            </w:r>
          </w:p>
        </w:tc>
        <w:tc>
          <w:tcPr>
            <w:tcW w:w="663" w:type="dxa"/>
            <w:tcBorders>
              <w:top w:val="nil"/>
              <w:left w:val="nil"/>
              <w:bottom w:val="single" w:sz="8" w:space="0" w:color="auto"/>
              <w:right w:val="single" w:sz="8" w:space="0" w:color="auto"/>
            </w:tcBorders>
            <w:shd w:val="clear" w:color="auto" w:fill="auto"/>
            <w:noWrap/>
            <w:vAlign w:val="center"/>
            <w:hideMark/>
          </w:tcPr>
          <w:p w14:paraId="05660C5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932</w:t>
            </w:r>
          </w:p>
        </w:tc>
        <w:tc>
          <w:tcPr>
            <w:tcW w:w="3023" w:type="dxa"/>
            <w:tcBorders>
              <w:top w:val="nil"/>
              <w:left w:val="nil"/>
              <w:bottom w:val="single" w:sz="8" w:space="0" w:color="auto"/>
              <w:right w:val="single" w:sz="8" w:space="0" w:color="auto"/>
            </w:tcBorders>
            <w:shd w:val="clear" w:color="auto" w:fill="auto"/>
            <w:noWrap/>
            <w:vAlign w:val="center"/>
            <w:hideMark/>
          </w:tcPr>
          <w:p w14:paraId="36F37DE8"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11 - DN 67 – DN 65C</w:t>
            </w:r>
          </w:p>
        </w:tc>
        <w:tc>
          <w:tcPr>
            <w:tcW w:w="1701" w:type="dxa"/>
            <w:tcBorders>
              <w:top w:val="nil"/>
              <w:left w:val="nil"/>
              <w:bottom w:val="single" w:sz="8" w:space="0" w:color="auto"/>
              <w:right w:val="single" w:sz="8" w:space="0" w:color="auto"/>
            </w:tcBorders>
            <w:shd w:val="clear" w:color="auto" w:fill="auto"/>
            <w:noWrap/>
            <w:vAlign w:val="center"/>
            <w:hideMark/>
          </w:tcPr>
          <w:p w14:paraId="3631F82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FFC000"/>
            <w:noWrap/>
            <w:vAlign w:val="center"/>
            <w:hideMark/>
          </w:tcPr>
          <w:p w14:paraId="36091BC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FF0000"/>
            <w:noWrap/>
            <w:vAlign w:val="center"/>
            <w:hideMark/>
          </w:tcPr>
          <w:p w14:paraId="167C4D15"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E</w:t>
            </w:r>
          </w:p>
        </w:tc>
        <w:tc>
          <w:tcPr>
            <w:tcW w:w="1134" w:type="dxa"/>
            <w:tcBorders>
              <w:top w:val="nil"/>
              <w:left w:val="nil"/>
              <w:bottom w:val="single" w:sz="8" w:space="0" w:color="auto"/>
              <w:right w:val="single" w:sz="8" w:space="0" w:color="auto"/>
            </w:tcBorders>
            <w:shd w:val="clear" w:color="000000" w:fill="C00000"/>
            <w:noWrap/>
            <w:vAlign w:val="center"/>
            <w:hideMark/>
          </w:tcPr>
          <w:p w14:paraId="39A5EEA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F</w:t>
            </w:r>
          </w:p>
        </w:tc>
      </w:tr>
      <w:tr w:rsidR="00CE76B6" w:rsidRPr="00CE76B6" w14:paraId="7C0AF1C9"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D150B6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17</w:t>
            </w:r>
          </w:p>
        </w:tc>
        <w:tc>
          <w:tcPr>
            <w:tcW w:w="663" w:type="dxa"/>
            <w:tcBorders>
              <w:top w:val="nil"/>
              <w:left w:val="nil"/>
              <w:bottom w:val="single" w:sz="8" w:space="0" w:color="auto"/>
              <w:right w:val="single" w:sz="8" w:space="0" w:color="auto"/>
            </w:tcBorders>
            <w:shd w:val="clear" w:color="auto" w:fill="auto"/>
            <w:noWrap/>
            <w:vAlign w:val="center"/>
            <w:hideMark/>
          </w:tcPr>
          <w:p w14:paraId="5B63CB61"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1095</w:t>
            </w:r>
          </w:p>
        </w:tc>
        <w:tc>
          <w:tcPr>
            <w:tcW w:w="3023" w:type="dxa"/>
            <w:tcBorders>
              <w:top w:val="nil"/>
              <w:left w:val="nil"/>
              <w:bottom w:val="single" w:sz="8" w:space="0" w:color="auto"/>
              <w:right w:val="single" w:sz="8" w:space="0" w:color="auto"/>
            </w:tcBorders>
            <w:shd w:val="clear" w:color="auto" w:fill="auto"/>
            <w:noWrap/>
            <w:vAlign w:val="center"/>
            <w:hideMark/>
          </w:tcPr>
          <w:p w14:paraId="1E7E3B68"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13 - DC 139 – DN 67 (A)</w:t>
            </w:r>
          </w:p>
        </w:tc>
        <w:tc>
          <w:tcPr>
            <w:tcW w:w="1701" w:type="dxa"/>
            <w:tcBorders>
              <w:top w:val="nil"/>
              <w:left w:val="nil"/>
              <w:bottom w:val="single" w:sz="8" w:space="0" w:color="auto"/>
              <w:right w:val="single" w:sz="8" w:space="0" w:color="auto"/>
            </w:tcBorders>
            <w:shd w:val="clear" w:color="auto" w:fill="auto"/>
            <w:noWrap/>
            <w:vAlign w:val="center"/>
            <w:hideMark/>
          </w:tcPr>
          <w:p w14:paraId="6BB9BF3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C000"/>
            <w:noWrap/>
            <w:vAlign w:val="center"/>
            <w:hideMark/>
          </w:tcPr>
          <w:p w14:paraId="4FE9E19F"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FFC000"/>
            <w:noWrap/>
            <w:vAlign w:val="center"/>
            <w:hideMark/>
          </w:tcPr>
          <w:p w14:paraId="5A816A9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BF8F00"/>
            <w:noWrap/>
            <w:vAlign w:val="center"/>
            <w:hideMark/>
          </w:tcPr>
          <w:p w14:paraId="31E3679E"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D</w:t>
            </w:r>
          </w:p>
        </w:tc>
      </w:tr>
      <w:tr w:rsidR="00CE76B6" w:rsidRPr="00CE76B6" w14:paraId="35583200"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AEAA09C"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18</w:t>
            </w:r>
          </w:p>
        </w:tc>
        <w:tc>
          <w:tcPr>
            <w:tcW w:w="663" w:type="dxa"/>
            <w:tcBorders>
              <w:top w:val="nil"/>
              <w:left w:val="nil"/>
              <w:bottom w:val="single" w:sz="8" w:space="0" w:color="auto"/>
              <w:right w:val="single" w:sz="8" w:space="0" w:color="auto"/>
            </w:tcBorders>
            <w:shd w:val="clear" w:color="auto" w:fill="auto"/>
            <w:noWrap/>
            <w:vAlign w:val="center"/>
            <w:hideMark/>
          </w:tcPr>
          <w:p w14:paraId="26204C6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3807</w:t>
            </w:r>
          </w:p>
        </w:tc>
        <w:tc>
          <w:tcPr>
            <w:tcW w:w="3023" w:type="dxa"/>
            <w:tcBorders>
              <w:top w:val="nil"/>
              <w:left w:val="nil"/>
              <w:bottom w:val="single" w:sz="8" w:space="0" w:color="auto"/>
              <w:right w:val="single" w:sz="8" w:space="0" w:color="auto"/>
            </w:tcBorders>
            <w:shd w:val="clear" w:color="auto" w:fill="auto"/>
            <w:noWrap/>
            <w:vAlign w:val="center"/>
            <w:hideMark/>
          </w:tcPr>
          <w:p w14:paraId="4020BD93"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10 - DC 144 – DC 146</w:t>
            </w:r>
          </w:p>
        </w:tc>
        <w:tc>
          <w:tcPr>
            <w:tcW w:w="1701" w:type="dxa"/>
            <w:tcBorders>
              <w:top w:val="nil"/>
              <w:left w:val="nil"/>
              <w:bottom w:val="single" w:sz="8" w:space="0" w:color="auto"/>
              <w:right w:val="single" w:sz="8" w:space="0" w:color="auto"/>
            </w:tcBorders>
            <w:shd w:val="clear" w:color="auto" w:fill="auto"/>
            <w:noWrap/>
            <w:vAlign w:val="center"/>
            <w:hideMark/>
          </w:tcPr>
          <w:p w14:paraId="4315914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2D73720A"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40EABF47"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FFFF00"/>
            <w:noWrap/>
            <w:vAlign w:val="center"/>
            <w:hideMark/>
          </w:tcPr>
          <w:p w14:paraId="08B8D1E0"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B</w:t>
            </w:r>
          </w:p>
        </w:tc>
      </w:tr>
      <w:tr w:rsidR="00CE76B6" w:rsidRPr="00CE76B6" w14:paraId="5015DA1F" w14:textId="77777777" w:rsidTr="00CE76B6">
        <w:trPr>
          <w:trHeight w:val="300"/>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1383099D"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19</w:t>
            </w:r>
          </w:p>
        </w:tc>
        <w:tc>
          <w:tcPr>
            <w:tcW w:w="663" w:type="dxa"/>
            <w:tcBorders>
              <w:top w:val="nil"/>
              <w:left w:val="nil"/>
              <w:bottom w:val="single" w:sz="8" w:space="0" w:color="auto"/>
              <w:right w:val="single" w:sz="8" w:space="0" w:color="auto"/>
            </w:tcBorders>
            <w:shd w:val="clear" w:color="auto" w:fill="auto"/>
            <w:noWrap/>
            <w:vAlign w:val="center"/>
            <w:hideMark/>
          </w:tcPr>
          <w:p w14:paraId="251476D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3862</w:t>
            </w:r>
          </w:p>
        </w:tc>
        <w:tc>
          <w:tcPr>
            <w:tcW w:w="3023" w:type="dxa"/>
            <w:tcBorders>
              <w:top w:val="nil"/>
              <w:left w:val="nil"/>
              <w:bottom w:val="single" w:sz="8" w:space="0" w:color="auto"/>
              <w:right w:val="single" w:sz="8" w:space="0" w:color="auto"/>
            </w:tcBorders>
            <w:shd w:val="clear" w:color="auto" w:fill="auto"/>
            <w:noWrap/>
            <w:vAlign w:val="center"/>
            <w:hideMark/>
          </w:tcPr>
          <w:p w14:paraId="1D1F2544" w14:textId="77777777" w:rsidR="00CE76B6" w:rsidRPr="00CE76B6" w:rsidRDefault="00CE76B6" w:rsidP="00CE76B6">
            <w:pPr>
              <w:spacing w:after="0" w:line="240" w:lineRule="auto"/>
              <w:rPr>
                <w:rFonts w:ascii="Calibri" w:eastAsia="Times New Roman" w:hAnsi="Calibri" w:cs="Calibri"/>
                <w:color w:val="000000"/>
              </w:rPr>
            </w:pPr>
            <w:r w:rsidRPr="00CE76B6">
              <w:rPr>
                <w:rFonts w:ascii="Calibri" w:eastAsia="Times New Roman" w:hAnsi="Calibri" w:cs="Calibri"/>
                <w:color w:val="000000"/>
              </w:rPr>
              <w:t>16 - DJ 669 – DC 146</w:t>
            </w:r>
          </w:p>
        </w:tc>
        <w:tc>
          <w:tcPr>
            <w:tcW w:w="1701" w:type="dxa"/>
            <w:tcBorders>
              <w:top w:val="nil"/>
              <w:left w:val="nil"/>
              <w:bottom w:val="single" w:sz="8" w:space="0" w:color="auto"/>
              <w:right w:val="single" w:sz="8" w:space="0" w:color="auto"/>
            </w:tcBorders>
            <w:shd w:val="clear" w:color="auto" w:fill="auto"/>
            <w:noWrap/>
            <w:vAlign w:val="center"/>
            <w:hideMark/>
          </w:tcPr>
          <w:p w14:paraId="4EE5666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5196B9A3"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1E5C86D9"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5EADE422" w14:textId="77777777" w:rsidR="00CE76B6" w:rsidRPr="00CE76B6" w:rsidRDefault="00CE76B6" w:rsidP="00CE76B6">
            <w:pPr>
              <w:spacing w:after="0" w:line="240" w:lineRule="auto"/>
              <w:jc w:val="center"/>
              <w:rPr>
                <w:rFonts w:ascii="Calibri" w:eastAsia="Times New Roman" w:hAnsi="Calibri" w:cs="Calibri"/>
                <w:color w:val="000000"/>
              </w:rPr>
            </w:pPr>
            <w:r w:rsidRPr="00CE76B6">
              <w:rPr>
                <w:rFonts w:ascii="Calibri" w:eastAsia="Times New Roman" w:hAnsi="Calibri" w:cs="Calibri"/>
                <w:color w:val="000000"/>
              </w:rPr>
              <w:t>A</w:t>
            </w:r>
          </w:p>
        </w:tc>
      </w:tr>
    </w:tbl>
    <w:p w14:paraId="7FD2E1A1" w14:textId="77777777" w:rsidR="00CE76B6" w:rsidRDefault="00CE76B6" w:rsidP="00094DCB">
      <w:pPr>
        <w:widowControl w:val="0"/>
        <w:suppressAutoHyphens/>
        <w:spacing w:after="0" w:line="276" w:lineRule="auto"/>
        <w:rPr>
          <w:rFonts w:ascii="Arial" w:hAnsi="Arial" w:cs="Arial"/>
          <w:kern w:val="1"/>
          <w:lang w:val="ro-RO" w:eastAsia="hi-IN" w:bidi="hi-IN"/>
        </w:rPr>
      </w:pPr>
    </w:p>
    <w:p w14:paraId="1B49A001" w14:textId="77777777" w:rsidR="00A1048D" w:rsidRDefault="00A1048D" w:rsidP="00094DCB">
      <w:pPr>
        <w:widowControl w:val="0"/>
        <w:suppressAutoHyphens/>
        <w:spacing w:after="0" w:line="276" w:lineRule="auto"/>
        <w:rPr>
          <w:rFonts w:ascii="Arial" w:hAnsi="Arial" w:cs="Arial"/>
          <w:kern w:val="1"/>
          <w:lang w:val="ro-RO" w:eastAsia="hi-IN" w:bidi="hi-IN"/>
        </w:rPr>
      </w:pPr>
    </w:p>
    <w:p w14:paraId="5985A64E" w14:textId="211CF498" w:rsidR="007A73C2" w:rsidRDefault="00A1048D" w:rsidP="00A1048D">
      <w:pPr>
        <w:widowControl w:val="0"/>
        <w:suppressAutoHyphens/>
        <w:spacing w:after="0" w:line="240" w:lineRule="auto"/>
        <w:jc w:val="center"/>
        <w:rPr>
          <w:rFonts w:ascii="Arial" w:hAnsi="Arial" w:cs="Mangal"/>
          <w:kern w:val="1"/>
          <w:sz w:val="24"/>
          <w:szCs w:val="24"/>
          <w:lang w:val="ro-RO" w:eastAsia="hi-IN" w:bidi="hi-IN"/>
        </w:rPr>
      </w:pPr>
      <w:r w:rsidRPr="00A1048D">
        <w:rPr>
          <w:rFonts w:ascii="Arial" w:hAnsi="Arial" w:cs="Mangal"/>
          <w:noProof/>
          <w:kern w:val="1"/>
          <w:sz w:val="20"/>
          <w:szCs w:val="24"/>
        </w:rPr>
        <w:lastRenderedPageBreak/>
        <w:drawing>
          <wp:inline distT="0" distB="0" distL="0" distR="0" wp14:anchorId="6EE0291B" wp14:editId="3DB4F46F">
            <wp:extent cx="6005232" cy="44386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138" cstate="print">
                      <a:extLst>
                        <a:ext uri="{28A0092B-C50C-407E-A947-70E740481C1C}">
                          <a14:useLocalDpi xmlns:a14="http://schemas.microsoft.com/office/drawing/2010/main" val="0"/>
                        </a:ext>
                      </a:extLst>
                    </a:blip>
                    <a:stretch>
                      <a:fillRect/>
                    </a:stretch>
                  </pic:blipFill>
                  <pic:spPr bwMode="auto">
                    <a:xfrm>
                      <a:off x="0" y="0"/>
                      <a:ext cx="6038821" cy="4463477"/>
                    </a:xfrm>
                    <a:prstGeom prst="rect">
                      <a:avLst/>
                    </a:prstGeom>
                    <a:noFill/>
                    <a:ln>
                      <a:noFill/>
                    </a:ln>
                  </pic:spPr>
                </pic:pic>
              </a:graphicData>
            </a:graphic>
          </wp:inline>
        </w:drawing>
      </w:r>
    </w:p>
    <w:p w14:paraId="7749EFC6" w14:textId="1FE3C0F6" w:rsidR="007A73C2" w:rsidRPr="005F7BB0" w:rsidRDefault="006D4DC5" w:rsidP="005F7BB0">
      <w:pPr>
        <w:pStyle w:val="Legend"/>
        <w:jc w:val="center"/>
        <w:rPr>
          <w:rFonts w:ascii="Arial" w:hAnsi="Arial" w:cs="Arial"/>
          <w:i w:val="0"/>
          <w:iCs w:val="0"/>
          <w:kern w:val="1"/>
          <w:sz w:val="22"/>
          <w:szCs w:val="22"/>
          <w:lang w:val="ro-RO" w:eastAsia="hi-IN" w:bidi="hi-IN"/>
        </w:rPr>
      </w:pPr>
      <w:bookmarkStart w:id="294" w:name="_Toc68361198"/>
      <w:bookmarkStart w:id="295" w:name="_Toc140744519"/>
      <w:r w:rsidRPr="00A1048D">
        <w:rPr>
          <w:rFonts w:ascii="Arial" w:hAnsi="Arial" w:cs="Arial"/>
          <w:sz w:val="22"/>
          <w:szCs w:val="22"/>
        </w:rPr>
        <w:t>Figura I.3.</w:t>
      </w:r>
      <w:r w:rsidR="007A73C2" w:rsidRPr="00A1048D">
        <w:rPr>
          <w:rFonts w:ascii="Arial" w:hAnsi="Arial" w:cs="Arial"/>
          <w:sz w:val="22"/>
          <w:szCs w:val="22"/>
        </w:rPr>
        <w:t xml:space="preserve"> </w:t>
      </w:r>
      <w:r w:rsidRPr="00A1048D">
        <w:rPr>
          <w:rFonts w:ascii="Arial" w:hAnsi="Arial" w:cs="Arial"/>
          <w:sz w:val="22"/>
          <w:szCs w:val="22"/>
        </w:rPr>
        <w:fldChar w:fldCharType="begin"/>
      </w:r>
      <w:r w:rsidRPr="00A1048D">
        <w:rPr>
          <w:rFonts w:ascii="Arial" w:hAnsi="Arial" w:cs="Arial"/>
          <w:sz w:val="22"/>
          <w:szCs w:val="22"/>
        </w:rPr>
        <w:instrText xml:space="preserve"> SEQ Figura_I.3. \* ARABIC </w:instrText>
      </w:r>
      <w:r w:rsidRPr="00A1048D">
        <w:rPr>
          <w:rFonts w:ascii="Arial" w:hAnsi="Arial" w:cs="Arial"/>
          <w:sz w:val="22"/>
          <w:szCs w:val="22"/>
        </w:rPr>
        <w:fldChar w:fldCharType="separate"/>
      </w:r>
      <w:r w:rsidR="00BB181C">
        <w:rPr>
          <w:rFonts w:ascii="Arial" w:hAnsi="Arial" w:cs="Arial"/>
          <w:noProof/>
          <w:sz w:val="22"/>
          <w:szCs w:val="22"/>
        </w:rPr>
        <w:t>42</w:t>
      </w:r>
      <w:r w:rsidRPr="00A1048D">
        <w:rPr>
          <w:rFonts w:ascii="Arial" w:hAnsi="Arial" w:cs="Arial"/>
          <w:sz w:val="22"/>
          <w:szCs w:val="22"/>
        </w:rPr>
        <w:fldChar w:fldCharType="end"/>
      </w:r>
      <w:r w:rsidR="007A73C2" w:rsidRPr="00A1048D">
        <w:rPr>
          <w:rFonts w:ascii="Arial" w:hAnsi="Arial" w:cs="Arial"/>
          <w:sz w:val="22"/>
          <w:szCs w:val="22"/>
        </w:rPr>
        <w:t xml:space="preserve"> - </w:t>
      </w:r>
      <w:r w:rsidR="007A73C2" w:rsidRPr="00A1048D">
        <w:rPr>
          <w:rFonts w:ascii="Arial" w:hAnsi="Arial" w:cs="Arial"/>
          <w:i w:val="0"/>
          <w:iCs w:val="0"/>
          <w:sz w:val="22"/>
          <w:szCs w:val="22"/>
        </w:rPr>
        <w:t xml:space="preserve">Niveluri de serviciu intersecţii </w:t>
      </w:r>
      <w:r w:rsidR="0022048B" w:rsidRPr="00A1048D">
        <w:rPr>
          <w:rFonts w:ascii="Arial" w:hAnsi="Arial" w:cs="Arial"/>
          <w:i w:val="0"/>
          <w:iCs w:val="0"/>
          <w:sz w:val="22"/>
          <w:szCs w:val="22"/>
        </w:rPr>
        <w:t>Horezu</w:t>
      </w:r>
      <w:r w:rsidR="007A73C2" w:rsidRPr="00A1048D">
        <w:rPr>
          <w:rFonts w:ascii="Arial" w:hAnsi="Arial" w:cs="Arial"/>
          <w:i w:val="0"/>
          <w:iCs w:val="0"/>
          <w:sz w:val="22"/>
          <w:szCs w:val="22"/>
        </w:rPr>
        <w:t xml:space="preserve"> – AM 2027</w:t>
      </w:r>
      <w:bookmarkEnd w:id="294"/>
      <w:bookmarkEnd w:id="295"/>
    </w:p>
    <w:p w14:paraId="6A807F48" w14:textId="4A292F47" w:rsidR="00556B9F" w:rsidRDefault="00A1048D" w:rsidP="00302B71">
      <w:pPr>
        <w:widowControl w:val="0"/>
        <w:suppressAutoHyphens/>
        <w:spacing w:after="0" w:line="240" w:lineRule="auto"/>
        <w:jc w:val="center"/>
        <w:rPr>
          <w:rFonts w:ascii="Arial" w:hAnsi="Arial" w:cs="Arial"/>
          <w:kern w:val="1"/>
          <w:sz w:val="24"/>
          <w:szCs w:val="24"/>
          <w:lang w:val="ro-RO" w:eastAsia="hi-IN" w:bidi="hi-IN"/>
        </w:rPr>
      </w:pPr>
      <w:r w:rsidRPr="00A1048D">
        <w:rPr>
          <w:rFonts w:ascii="Arial" w:eastAsia="Arial" w:hAnsi="Arial" w:cs="Arial"/>
          <w:noProof/>
        </w:rPr>
        <w:lastRenderedPageBreak/>
        <w:drawing>
          <wp:inline distT="0" distB="0" distL="0" distR="0" wp14:anchorId="290786AB" wp14:editId="0A8D7A60">
            <wp:extent cx="5966571" cy="441007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39" cstate="print">
                      <a:extLst>
                        <a:ext uri="{28A0092B-C50C-407E-A947-70E740481C1C}">
                          <a14:useLocalDpi xmlns:a14="http://schemas.microsoft.com/office/drawing/2010/main" val="0"/>
                        </a:ext>
                      </a:extLst>
                    </a:blip>
                    <a:stretch>
                      <a:fillRect/>
                    </a:stretch>
                  </pic:blipFill>
                  <pic:spPr bwMode="auto">
                    <a:xfrm>
                      <a:off x="0" y="0"/>
                      <a:ext cx="5999735" cy="4434587"/>
                    </a:xfrm>
                    <a:prstGeom prst="rect">
                      <a:avLst/>
                    </a:prstGeom>
                    <a:noFill/>
                    <a:ln>
                      <a:noFill/>
                    </a:ln>
                  </pic:spPr>
                </pic:pic>
              </a:graphicData>
            </a:graphic>
          </wp:inline>
        </w:drawing>
      </w:r>
    </w:p>
    <w:p w14:paraId="5E9FCCD7" w14:textId="3BBA5C9A" w:rsidR="005F7BB0" w:rsidRDefault="006D4DC5" w:rsidP="005F7BB0">
      <w:pPr>
        <w:pStyle w:val="Legend"/>
        <w:jc w:val="center"/>
        <w:rPr>
          <w:rFonts w:ascii="Arial" w:hAnsi="Arial" w:cs="Arial"/>
          <w:i w:val="0"/>
          <w:iCs w:val="0"/>
          <w:sz w:val="22"/>
          <w:szCs w:val="22"/>
        </w:rPr>
      </w:pPr>
      <w:bookmarkStart w:id="296" w:name="_Toc68361199"/>
      <w:bookmarkStart w:id="297" w:name="_Toc140744520"/>
      <w:r w:rsidRPr="00A1048D">
        <w:rPr>
          <w:rFonts w:ascii="Arial" w:hAnsi="Arial" w:cs="Arial"/>
          <w:sz w:val="22"/>
          <w:szCs w:val="22"/>
        </w:rPr>
        <w:t>Figura I.3.</w:t>
      </w:r>
      <w:r w:rsidR="005F7BB0" w:rsidRPr="00A1048D">
        <w:rPr>
          <w:rFonts w:ascii="Arial" w:hAnsi="Arial" w:cs="Arial"/>
          <w:sz w:val="22"/>
          <w:szCs w:val="22"/>
        </w:rPr>
        <w:t xml:space="preserve"> </w:t>
      </w:r>
      <w:r w:rsidRPr="00A1048D">
        <w:rPr>
          <w:rFonts w:ascii="Arial" w:hAnsi="Arial" w:cs="Arial"/>
          <w:sz w:val="22"/>
          <w:szCs w:val="22"/>
        </w:rPr>
        <w:fldChar w:fldCharType="begin"/>
      </w:r>
      <w:r w:rsidRPr="00A1048D">
        <w:rPr>
          <w:rFonts w:ascii="Arial" w:hAnsi="Arial" w:cs="Arial"/>
          <w:sz w:val="22"/>
          <w:szCs w:val="22"/>
        </w:rPr>
        <w:instrText xml:space="preserve"> SEQ Figura_I.3. \* ARABIC </w:instrText>
      </w:r>
      <w:r w:rsidRPr="00A1048D">
        <w:rPr>
          <w:rFonts w:ascii="Arial" w:hAnsi="Arial" w:cs="Arial"/>
          <w:sz w:val="22"/>
          <w:szCs w:val="22"/>
        </w:rPr>
        <w:fldChar w:fldCharType="separate"/>
      </w:r>
      <w:r w:rsidR="00BB181C">
        <w:rPr>
          <w:rFonts w:ascii="Arial" w:hAnsi="Arial" w:cs="Arial"/>
          <w:noProof/>
          <w:sz w:val="22"/>
          <w:szCs w:val="22"/>
        </w:rPr>
        <w:t>43</w:t>
      </w:r>
      <w:r w:rsidRPr="00A1048D">
        <w:rPr>
          <w:rFonts w:ascii="Arial" w:hAnsi="Arial" w:cs="Arial"/>
          <w:sz w:val="22"/>
          <w:szCs w:val="22"/>
        </w:rPr>
        <w:fldChar w:fldCharType="end"/>
      </w:r>
      <w:r w:rsidR="005F7BB0" w:rsidRPr="00A1048D">
        <w:rPr>
          <w:rFonts w:ascii="Arial" w:hAnsi="Arial" w:cs="Arial"/>
          <w:sz w:val="22"/>
          <w:szCs w:val="22"/>
        </w:rPr>
        <w:t xml:space="preserve"> - </w:t>
      </w:r>
      <w:r w:rsidR="005F7BB0" w:rsidRPr="00A1048D">
        <w:rPr>
          <w:rFonts w:ascii="Arial" w:hAnsi="Arial" w:cs="Arial"/>
          <w:i w:val="0"/>
          <w:iCs w:val="0"/>
          <w:sz w:val="22"/>
          <w:szCs w:val="22"/>
        </w:rPr>
        <w:t xml:space="preserve">Niveluri de serviciu intersecţii </w:t>
      </w:r>
      <w:r w:rsidR="0022048B" w:rsidRPr="00A1048D">
        <w:rPr>
          <w:rFonts w:ascii="Arial" w:hAnsi="Arial" w:cs="Arial"/>
          <w:i w:val="0"/>
          <w:iCs w:val="0"/>
          <w:sz w:val="22"/>
          <w:szCs w:val="22"/>
        </w:rPr>
        <w:t>Horezu</w:t>
      </w:r>
      <w:r w:rsidR="005F7BB0" w:rsidRPr="00A1048D">
        <w:rPr>
          <w:rFonts w:ascii="Arial" w:hAnsi="Arial" w:cs="Arial"/>
          <w:i w:val="0"/>
          <w:iCs w:val="0"/>
          <w:sz w:val="22"/>
          <w:szCs w:val="22"/>
        </w:rPr>
        <w:t xml:space="preserve"> – AM 2035</w:t>
      </w:r>
      <w:bookmarkEnd w:id="296"/>
      <w:bookmarkEnd w:id="297"/>
    </w:p>
    <w:p w14:paraId="33822C39" w14:textId="77777777" w:rsidR="005F7BB0" w:rsidRPr="00A1048D" w:rsidRDefault="005F7BB0" w:rsidP="005F7BB0">
      <w:pPr>
        <w:suppressAutoHyphens/>
        <w:autoSpaceDE w:val="0"/>
        <w:spacing w:after="0" w:line="276" w:lineRule="auto"/>
        <w:jc w:val="both"/>
        <w:rPr>
          <w:rFonts w:ascii="Arial" w:eastAsia="Calibri" w:hAnsi="Arial" w:cs="Arial"/>
          <w:color w:val="000000"/>
          <w:lang w:eastAsia="zh-CN"/>
        </w:rPr>
      </w:pPr>
      <w:r w:rsidRPr="00A1048D">
        <w:rPr>
          <w:rFonts w:ascii="Arial" w:eastAsia="Calibri" w:hAnsi="Arial" w:cs="Arial"/>
          <w:color w:val="000000"/>
          <w:lang w:eastAsia="zh-CN"/>
        </w:rPr>
        <w:t>Din datele rezultate în tabelul anterior se poate concluziona o înrăutățire a fluenței traficului în marea majoritate a intersecțiilor.</w:t>
      </w:r>
    </w:p>
    <w:p w14:paraId="23E75190" w14:textId="77777777" w:rsidR="005F7BB0" w:rsidRPr="00BE78FD" w:rsidRDefault="005F7BB0" w:rsidP="005F7BB0">
      <w:pPr>
        <w:suppressAutoHyphens/>
        <w:autoSpaceDE w:val="0"/>
        <w:spacing w:after="0" w:line="276" w:lineRule="auto"/>
        <w:jc w:val="both"/>
        <w:rPr>
          <w:rFonts w:ascii="Arial" w:eastAsia="Arial" w:hAnsi="Arial" w:cs="Arial"/>
          <w:highlight w:val="green"/>
          <w:lang w:eastAsia="zh-CN"/>
        </w:rPr>
      </w:pPr>
    </w:p>
    <w:p w14:paraId="7C30C665" w14:textId="77777777" w:rsidR="005F7BB0" w:rsidRPr="00A1048D" w:rsidRDefault="005F7BB0" w:rsidP="005F7BB0">
      <w:pPr>
        <w:widowControl w:val="0"/>
        <w:spacing w:after="0" w:line="276" w:lineRule="auto"/>
        <w:jc w:val="both"/>
        <w:rPr>
          <w:rFonts w:ascii="Arial" w:hAnsi="Arial" w:cs="Arial"/>
          <w:kern w:val="1"/>
          <w:lang w:val="ro-RO" w:eastAsia="hi-IN" w:bidi="hi-IN"/>
        </w:rPr>
      </w:pPr>
      <w:r w:rsidRPr="00A1048D">
        <w:rPr>
          <w:rFonts w:ascii="Arial" w:hAnsi="Arial" w:cs="Arial"/>
          <w:kern w:val="1"/>
          <w:lang w:val="ro-RO" w:eastAsia="hi-IN" w:bidi="hi-IN"/>
        </w:rPr>
        <w:t>Aşadar, dacă se va merge de ideea „a face minimum” în ceea ce priveşte dezvoltarea urbană durabilă a oraşului, situaţia în care se va ajunge în anul 2035 la nivelul reţelei rutiere semnificative (pentru la ora de vârf AM) poate fi sintetizată astfel:</w:t>
      </w:r>
    </w:p>
    <w:p w14:paraId="44DFF576" w14:textId="77777777" w:rsidR="00A1048D" w:rsidRPr="00A1048D" w:rsidRDefault="00A1048D" w:rsidP="00A1048D">
      <w:pPr>
        <w:widowControl w:val="0"/>
        <w:numPr>
          <w:ilvl w:val="0"/>
          <w:numId w:val="113"/>
        </w:numPr>
        <w:suppressAutoHyphens/>
        <w:spacing w:after="0" w:line="276" w:lineRule="auto"/>
        <w:jc w:val="both"/>
        <w:rPr>
          <w:rFonts w:ascii="Arial" w:eastAsia="Times New Roman" w:hAnsi="Arial" w:cs="Arial"/>
          <w:lang w:val="ro-RO" w:eastAsia="zh-CN"/>
        </w:rPr>
      </w:pPr>
      <w:r w:rsidRPr="00A1048D">
        <w:rPr>
          <w:rFonts w:ascii="Arial" w:eastAsia="Times New Roman" w:hAnsi="Arial" w:cs="Arial"/>
          <w:lang w:val="ro-RO" w:eastAsia="zh-CN"/>
        </w:rPr>
        <w:t>o creștere a întârzierii medii pe km cu 8 %;</w:t>
      </w:r>
    </w:p>
    <w:p w14:paraId="5ED88F06" w14:textId="77777777" w:rsidR="00A1048D" w:rsidRPr="00A1048D" w:rsidRDefault="00A1048D" w:rsidP="00A1048D">
      <w:pPr>
        <w:widowControl w:val="0"/>
        <w:numPr>
          <w:ilvl w:val="0"/>
          <w:numId w:val="113"/>
        </w:numPr>
        <w:suppressAutoHyphens/>
        <w:spacing w:after="0" w:line="276" w:lineRule="auto"/>
        <w:jc w:val="both"/>
        <w:rPr>
          <w:rFonts w:ascii="Arial" w:eastAsia="Times New Roman" w:hAnsi="Arial" w:cs="Arial"/>
          <w:lang w:val="ro-RO" w:eastAsia="zh-CN"/>
        </w:rPr>
      </w:pPr>
      <w:r w:rsidRPr="00A1048D">
        <w:rPr>
          <w:rFonts w:ascii="Arial" w:eastAsia="Times New Roman" w:hAnsi="Arial" w:cs="Arial"/>
          <w:lang w:val="ro-RO" w:eastAsia="zh-CN"/>
        </w:rPr>
        <w:t>un consum de combustibil cu 97 % mai mare;</w:t>
      </w:r>
    </w:p>
    <w:p w14:paraId="34F3CD3F" w14:textId="77777777" w:rsidR="00A1048D" w:rsidRPr="00A1048D" w:rsidRDefault="00A1048D" w:rsidP="00A1048D">
      <w:pPr>
        <w:widowControl w:val="0"/>
        <w:numPr>
          <w:ilvl w:val="0"/>
          <w:numId w:val="113"/>
        </w:numPr>
        <w:suppressAutoHyphens/>
        <w:spacing w:after="0" w:line="276" w:lineRule="auto"/>
        <w:jc w:val="both"/>
        <w:rPr>
          <w:rFonts w:ascii="Arial" w:eastAsia="Times New Roman" w:hAnsi="Arial" w:cs="Arial"/>
          <w:sz w:val="24"/>
          <w:szCs w:val="24"/>
          <w:lang w:val="ro-RO" w:eastAsia="zh-CN"/>
        </w:rPr>
      </w:pPr>
      <w:r w:rsidRPr="00A1048D">
        <w:rPr>
          <w:rFonts w:ascii="Arial" w:eastAsia="Times New Roman" w:hAnsi="Arial" w:cs="Arial"/>
          <w:lang w:val="ro-RO" w:eastAsia="zh-CN"/>
        </w:rPr>
        <w:t>emisii de noxe (</w:t>
      </w:r>
      <w:r w:rsidRPr="00A1048D">
        <w:rPr>
          <w:rFonts w:ascii="Arial" w:hAnsi="Arial" w:cs="Arial"/>
          <w:lang w:val="ro-RO"/>
        </w:rPr>
        <w:t>CO</w:t>
      </w:r>
      <w:r w:rsidRPr="00A1048D">
        <w:rPr>
          <w:rFonts w:ascii="Arial" w:hAnsi="Arial" w:cs="Arial"/>
          <w:vertAlign w:val="subscript"/>
          <w:lang w:val="ro-RO"/>
        </w:rPr>
        <w:t>2</w:t>
      </w:r>
      <w:r w:rsidRPr="00A1048D">
        <w:rPr>
          <w:rFonts w:ascii="Arial" w:hAnsi="Arial" w:cs="Arial"/>
          <w:lang w:val="ro-RO"/>
        </w:rPr>
        <w:t>, NOx, PM si HC</w:t>
      </w:r>
      <w:r w:rsidRPr="00A1048D">
        <w:rPr>
          <w:rFonts w:ascii="Arial" w:eastAsia="Times New Roman" w:hAnsi="Arial" w:cs="Arial"/>
          <w:lang w:val="ro-RO" w:eastAsia="zh-CN"/>
        </w:rPr>
        <w:t>) cu 90% pana la 97% mai mari</w:t>
      </w:r>
      <w:r w:rsidRPr="00A1048D">
        <w:rPr>
          <w:rFonts w:ascii="Arial" w:eastAsia="Times New Roman" w:hAnsi="Arial" w:cs="Arial"/>
          <w:sz w:val="24"/>
          <w:szCs w:val="24"/>
          <w:lang w:val="ro-RO" w:eastAsia="zh-CN"/>
        </w:rPr>
        <w:t>.</w:t>
      </w:r>
    </w:p>
    <w:p w14:paraId="2DF5D11F" w14:textId="77777777" w:rsidR="005F7BB0" w:rsidRDefault="005F7BB0" w:rsidP="005F7BB0"/>
    <w:p w14:paraId="4A645BD7" w14:textId="77777777" w:rsidR="005F7BB0" w:rsidRPr="005F7BB0" w:rsidRDefault="005F7BB0" w:rsidP="005F7BB0">
      <w:pPr>
        <w:widowControl w:val="0"/>
        <w:spacing w:after="0" w:line="360" w:lineRule="auto"/>
        <w:jc w:val="center"/>
        <w:rPr>
          <w:rFonts w:ascii="Arial" w:hAnsi="Arial" w:cs="Arial"/>
          <w:kern w:val="1"/>
          <w:lang w:val="ro-RO" w:eastAsia="hi-IN" w:bidi="hi-IN"/>
        </w:rPr>
      </w:pPr>
    </w:p>
    <w:p w14:paraId="48C3465D" w14:textId="77777777" w:rsidR="00A1048D" w:rsidRPr="00A1048D" w:rsidRDefault="005F7BB0" w:rsidP="00A1048D">
      <w:pPr>
        <w:suppressAutoHyphens/>
        <w:autoSpaceDE w:val="0"/>
        <w:spacing w:after="0" w:line="360" w:lineRule="auto"/>
        <w:jc w:val="both"/>
        <w:rPr>
          <w:rFonts w:ascii="Arial" w:eastAsia="Arial" w:hAnsi="Arial" w:cs="Arial"/>
          <w:sz w:val="24"/>
          <w:szCs w:val="24"/>
          <w:lang w:val="ro-RO" w:eastAsia="zh-CN"/>
        </w:rPr>
      </w:pPr>
      <w:r w:rsidRPr="005F7BB0">
        <w:rPr>
          <w:rFonts w:ascii="Arial" w:eastAsia="Arial" w:hAnsi="Arial" w:cs="Arial"/>
          <w:sz w:val="24"/>
          <w:szCs w:val="24"/>
          <w:lang w:eastAsia="zh-CN"/>
        </w:rPr>
        <w:t xml:space="preserve">   </w:t>
      </w:r>
    </w:p>
    <w:p w14:paraId="066F2772" w14:textId="77777777" w:rsidR="00A1048D" w:rsidRPr="00A1048D" w:rsidRDefault="00A1048D" w:rsidP="00A1048D">
      <w:pPr>
        <w:suppressAutoHyphens/>
        <w:autoSpaceDE w:val="0"/>
        <w:spacing w:after="0" w:line="360" w:lineRule="auto"/>
        <w:jc w:val="center"/>
        <w:rPr>
          <w:rFonts w:ascii="Arial" w:eastAsia="Arial" w:hAnsi="Arial" w:cs="Arial"/>
          <w:sz w:val="24"/>
          <w:szCs w:val="24"/>
          <w:lang w:val="ro-RO" w:eastAsia="zh-CN"/>
        </w:rPr>
      </w:pPr>
      <w:r w:rsidRPr="00A1048D">
        <w:rPr>
          <w:rFonts w:ascii="Calibri" w:hAnsi="Calibri" w:cs="Times New Roman"/>
          <w:noProof/>
        </w:rPr>
        <w:lastRenderedPageBreak/>
        <w:drawing>
          <wp:inline distT="0" distB="0" distL="0" distR="0" wp14:anchorId="45E9EA3B" wp14:editId="39CBA5B6">
            <wp:extent cx="2762250" cy="1668858"/>
            <wp:effectExtent l="0" t="0" r="0" b="7620"/>
            <wp:docPr id="125" name="Graf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Grafic 60"/>
                    <pic:cNvPicPr/>
                  </pic:nvPicPr>
                  <pic:blipFill>
                    <a:blip r:embed="rId140" cstate="print">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2763930" cy="1669873"/>
                    </a:xfrm>
                    <a:prstGeom prst="rect">
                      <a:avLst/>
                    </a:prstGeom>
                  </pic:spPr>
                </pic:pic>
              </a:graphicData>
            </a:graphic>
          </wp:inline>
        </w:drawing>
      </w:r>
      <w:r w:rsidRPr="00A1048D">
        <w:rPr>
          <w:rFonts w:ascii="Calibri" w:hAnsi="Calibri" w:cs="Times New Roman"/>
          <w:noProof/>
        </w:rPr>
        <w:drawing>
          <wp:inline distT="0" distB="0" distL="0" distR="0" wp14:anchorId="54A10D82" wp14:editId="41901EA0">
            <wp:extent cx="2716864" cy="1658502"/>
            <wp:effectExtent l="0" t="0" r="7620" b="0"/>
            <wp:docPr id="126" name="Graf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Grafic 61"/>
                    <pic:cNvPicPr/>
                  </pic:nvPicPr>
                  <pic:blipFill>
                    <a:blip r:embed="rId142" cstate="print">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2720538" cy="1660745"/>
                    </a:xfrm>
                    <a:prstGeom prst="rect">
                      <a:avLst/>
                    </a:prstGeom>
                  </pic:spPr>
                </pic:pic>
              </a:graphicData>
            </a:graphic>
          </wp:inline>
        </w:drawing>
      </w:r>
    </w:p>
    <w:p w14:paraId="7148E2BB" w14:textId="77777777" w:rsidR="00A1048D" w:rsidRPr="00A1048D" w:rsidRDefault="00A1048D" w:rsidP="00A1048D">
      <w:pPr>
        <w:suppressAutoHyphens/>
        <w:autoSpaceDE w:val="0"/>
        <w:spacing w:after="0" w:line="360" w:lineRule="auto"/>
        <w:jc w:val="center"/>
        <w:rPr>
          <w:rFonts w:ascii="Arial" w:eastAsia="Arial" w:hAnsi="Arial" w:cs="Arial"/>
          <w:sz w:val="24"/>
          <w:szCs w:val="24"/>
          <w:lang w:val="ro-RO" w:eastAsia="zh-CN"/>
        </w:rPr>
      </w:pPr>
      <w:r w:rsidRPr="00A1048D">
        <w:rPr>
          <w:rFonts w:ascii="Calibri" w:hAnsi="Calibri" w:cs="Times New Roman"/>
          <w:noProof/>
        </w:rPr>
        <w:drawing>
          <wp:inline distT="0" distB="0" distL="0" distR="0" wp14:anchorId="50F3B744" wp14:editId="30CA8F0F">
            <wp:extent cx="2781300" cy="1671320"/>
            <wp:effectExtent l="0" t="0" r="0" b="5080"/>
            <wp:docPr id="127" name="Graf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Grafic 62"/>
                    <pic:cNvPicPr/>
                  </pic:nvPicPr>
                  <pic:blipFill>
                    <a:blip r:embed="rId144" cstate="print">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2784424" cy="1673197"/>
                    </a:xfrm>
                    <a:prstGeom prst="rect">
                      <a:avLst/>
                    </a:prstGeom>
                  </pic:spPr>
                </pic:pic>
              </a:graphicData>
            </a:graphic>
          </wp:inline>
        </w:drawing>
      </w:r>
      <w:r w:rsidRPr="00A1048D">
        <w:rPr>
          <w:rFonts w:ascii="Calibri" w:hAnsi="Calibri" w:cs="Times New Roman"/>
          <w:noProof/>
        </w:rPr>
        <w:drawing>
          <wp:inline distT="0" distB="0" distL="0" distR="0" wp14:anchorId="65DF06BE" wp14:editId="38128E20">
            <wp:extent cx="2711450" cy="1656715"/>
            <wp:effectExtent l="0" t="0" r="0" b="635"/>
            <wp:docPr id="128" name="Graf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Grafic 63"/>
                    <pic:cNvPicPr/>
                  </pic:nvPicPr>
                  <pic:blipFill>
                    <a:blip r:embed="rId146" cstate="print">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2720457" cy="1662218"/>
                    </a:xfrm>
                    <a:prstGeom prst="rect">
                      <a:avLst/>
                    </a:prstGeom>
                  </pic:spPr>
                </pic:pic>
              </a:graphicData>
            </a:graphic>
          </wp:inline>
        </w:drawing>
      </w:r>
    </w:p>
    <w:p w14:paraId="142F011E" w14:textId="77777777" w:rsidR="00A1048D" w:rsidRPr="00A1048D" w:rsidRDefault="00A1048D" w:rsidP="00A1048D">
      <w:pPr>
        <w:suppressAutoHyphens/>
        <w:autoSpaceDE w:val="0"/>
        <w:spacing w:after="0" w:line="360" w:lineRule="auto"/>
        <w:jc w:val="center"/>
        <w:rPr>
          <w:rFonts w:ascii="Arial" w:eastAsia="Arial" w:hAnsi="Arial" w:cs="Arial"/>
          <w:sz w:val="24"/>
          <w:szCs w:val="24"/>
          <w:lang w:val="ro-RO" w:eastAsia="zh-CN"/>
        </w:rPr>
      </w:pPr>
      <w:r w:rsidRPr="00A1048D">
        <w:rPr>
          <w:rFonts w:ascii="Calibri" w:hAnsi="Calibri" w:cs="Times New Roman"/>
          <w:noProof/>
        </w:rPr>
        <w:drawing>
          <wp:inline distT="0" distB="0" distL="0" distR="0" wp14:anchorId="3AE33911" wp14:editId="3A111A0B">
            <wp:extent cx="2787650" cy="1572895"/>
            <wp:effectExtent l="0" t="0" r="0" b="8255"/>
            <wp:docPr id="129" name="Graf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Grafic 64"/>
                    <pic:cNvPicPr/>
                  </pic:nvPicPr>
                  <pic:blipFill>
                    <a:blip r:embed="rId148" cstate="print">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2797738" cy="1578587"/>
                    </a:xfrm>
                    <a:prstGeom prst="rect">
                      <a:avLst/>
                    </a:prstGeom>
                  </pic:spPr>
                </pic:pic>
              </a:graphicData>
            </a:graphic>
          </wp:inline>
        </w:drawing>
      </w:r>
      <w:r w:rsidRPr="00A1048D">
        <w:rPr>
          <w:rFonts w:ascii="Calibri" w:hAnsi="Calibri" w:cs="Times New Roman"/>
          <w:noProof/>
        </w:rPr>
        <w:drawing>
          <wp:inline distT="0" distB="0" distL="0" distR="0" wp14:anchorId="3D20DBCF" wp14:editId="309D5670">
            <wp:extent cx="2755900" cy="1568450"/>
            <wp:effectExtent l="0" t="0" r="6350" b="0"/>
            <wp:docPr id="65" name="Graf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Grafic 65"/>
                    <pic:cNvPicPr/>
                  </pic:nvPicPr>
                  <pic:blipFill>
                    <a:blip r:embed="rId150" cstate="print">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2763564" cy="1572812"/>
                    </a:xfrm>
                    <a:prstGeom prst="rect">
                      <a:avLst/>
                    </a:prstGeom>
                  </pic:spPr>
                </pic:pic>
              </a:graphicData>
            </a:graphic>
          </wp:inline>
        </w:drawing>
      </w:r>
    </w:p>
    <w:p w14:paraId="6A4AA600" w14:textId="77777777" w:rsidR="00A1048D" w:rsidRPr="00A1048D" w:rsidRDefault="00A1048D" w:rsidP="00A1048D">
      <w:pPr>
        <w:suppressAutoHyphens/>
        <w:autoSpaceDE w:val="0"/>
        <w:spacing w:after="0" w:line="360" w:lineRule="auto"/>
        <w:jc w:val="center"/>
        <w:rPr>
          <w:rFonts w:ascii="Arial" w:eastAsia="Arial" w:hAnsi="Arial" w:cs="Arial"/>
          <w:sz w:val="24"/>
          <w:szCs w:val="24"/>
          <w:lang w:val="ro-RO" w:eastAsia="zh-CN"/>
        </w:rPr>
      </w:pPr>
      <w:r w:rsidRPr="00A1048D">
        <w:rPr>
          <w:rFonts w:ascii="Calibri" w:hAnsi="Calibri" w:cs="Times New Roman"/>
          <w:noProof/>
        </w:rPr>
        <w:drawing>
          <wp:inline distT="0" distB="0" distL="0" distR="0" wp14:anchorId="1F09D00B" wp14:editId="567F092A">
            <wp:extent cx="2794000" cy="1555522"/>
            <wp:effectExtent l="0" t="0" r="6350" b="6985"/>
            <wp:docPr id="130" name="Graf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Grafic 66"/>
                    <pic:cNvPicPr/>
                  </pic:nvPicPr>
                  <pic:blipFill>
                    <a:blip r:embed="rId152" cstate="print">
                      <a:extLst>
                        <a:ext uri="{28A0092B-C50C-407E-A947-70E740481C1C}">
                          <a14:useLocalDpi xmlns:a14="http://schemas.microsoft.com/office/drawing/2010/main" val="0"/>
                        </a:ext>
                        <a:ext uri="{96DAC541-7B7A-43D3-8B79-37D633B846F1}">
                          <asvg:svgBlip xmlns:asvg="http://schemas.microsoft.com/office/drawing/2016/SVG/main" r:embed="rId153"/>
                        </a:ext>
                      </a:extLst>
                    </a:blip>
                    <a:stretch>
                      <a:fillRect/>
                    </a:stretch>
                  </pic:blipFill>
                  <pic:spPr>
                    <a:xfrm>
                      <a:off x="0" y="0"/>
                      <a:ext cx="2799589" cy="1558634"/>
                    </a:xfrm>
                    <a:prstGeom prst="rect">
                      <a:avLst/>
                    </a:prstGeom>
                  </pic:spPr>
                </pic:pic>
              </a:graphicData>
            </a:graphic>
          </wp:inline>
        </w:drawing>
      </w:r>
    </w:p>
    <w:p w14:paraId="4455AC1C" w14:textId="18D809DC" w:rsidR="005F7BB0" w:rsidRPr="005F7BB0" w:rsidRDefault="005F7BB0" w:rsidP="005F7BB0">
      <w:pPr>
        <w:suppressAutoHyphens/>
        <w:autoSpaceDE w:val="0"/>
        <w:spacing w:after="0" w:line="360" w:lineRule="auto"/>
        <w:jc w:val="both"/>
        <w:rPr>
          <w:rFonts w:ascii="Arial" w:eastAsia="Arial" w:hAnsi="Arial" w:cs="Arial"/>
          <w:sz w:val="24"/>
          <w:szCs w:val="24"/>
          <w:lang w:eastAsia="zh-CN"/>
        </w:rPr>
      </w:pPr>
    </w:p>
    <w:p w14:paraId="1461D545" w14:textId="3ED4B3E7" w:rsidR="005F7BB0" w:rsidRDefault="006D4DC5" w:rsidP="00337CCE">
      <w:pPr>
        <w:pStyle w:val="Legend"/>
        <w:jc w:val="center"/>
        <w:rPr>
          <w:rFonts w:ascii="Arial" w:hAnsi="Arial" w:cs="Arial"/>
          <w:i w:val="0"/>
          <w:sz w:val="22"/>
          <w:szCs w:val="22"/>
        </w:rPr>
      </w:pPr>
      <w:bookmarkStart w:id="298" w:name="_Toc68361200"/>
      <w:bookmarkStart w:id="299" w:name="_Toc140744521"/>
      <w:r w:rsidRPr="00A1048D">
        <w:rPr>
          <w:rFonts w:ascii="Arial" w:hAnsi="Arial" w:cs="Arial"/>
          <w:sz w:val="22"/>
          <w:szCs w:val="22"/>
        </w:rPr>
        <w:t>Figura I.3.</w:t>
      </w:r>
      <w:r w:rsidR="00337CCE" w:rsidRPr="00A1048D">
        <w:rPr>
          <w:rFonts w:ascii="Arial" w:hAnsi="Arial" w:cs="Arial"/>
          <w:sz w:val="22"/>
          <w:szCs w:val="22"/>
        </w:rPr>
        <w:t xml:space="preserve"> </w:t>
      </w:r>
      <w:r w:rsidRPr="00A1048D">
        <w:rPr>
          <w:rFonts w:ascii="Arial" w:hAnsi="Arial" w:cs="Arial"/>
          <w:sz w:val="22"/>
          <w:szCs w:val="22"/>
        </w:rPr>
        <w:fldChar w:fldCharType="begin"/>
      </w:r>
      <w:r w:rsidRPr="00A1048D">
        <w:rPr>
          <w:rFonts w:ascii="Arial" w:hAnsi="Arial" w:cs="Arial"/>
          <w:sz w:val="22"/>
          <w:szCs w:val="22"/>
        </w:rPr>
        <w:instrText xml:space="preserve"> SEQ Figura_I.3. \* ARABIC </w:instrText>
      </w:r>
      <w:r w:rsidRPr="00A1048D">
        <w:rPr>
          <w:rFonts w:ascii="Arial" w:hAnsi="Arial" w:cs="Arial"/>
          <w:sz w:val="22"/>
          <w:szCs w:val="22"/>
        </w:rPr>
        <w:fldChar w:fldCharType="separate"/>
      </w:r>
      <w:r w:rsidR="00BB181C">
        <w:rPr>
          <w:rFonts w:ascii="Arial" w:hAnsi="Arial" w:cs="Arial"/>
          <w:noProof/>
          <w:sz w:val="22"/>
          <w:szCs w:val="22"/>
        </w:rPr>
        <w:t>44</w:t>
      </w:r>
      <w:r w:rsidRPr="00A1048D">
        <w:rPr>
          <w:rFonts w:ascii="Arial" w:hAnsi="Arial" w:cs="Arial"/>
          <w:sz w:val="22"/>
          <w:szCs w:val="22"/>
        </w:rPr>
        <w:fldChar w:fldCharType="end"/>
      </w:r>
      <w:r w:rsidR="00337CCE" w:rsidRPr="00A1048D">
        <w:rPr>
          <w:rFonts w:ascii="Arial" w:hAnsi="Arial" w:cs="Arial"/>
          <w:sz w:val="22"/>
          <w:szCs w:val="22"/>
        </w:rPr>
        <w:t xml:space="preserve"> - </w:t>
      </w:r>
      <w:r w:rsidR="005F7BB0" w:rsidRPr="00A1048D">
        <w:rPr>
          <w:rFonts w:ascii="Arial" w:hAnsi="Arial" w:cs="Arial"/>
          <w:i w:val="0"/>
          <w:sz w:val="22"/>
          <w:szCs w:val="22"/>
        </w:rPr>
        <w:t>Analiza comparativ</w:t>
      </w:r>
      <w:r w:rsidR="00A1048D">
        <w:rPr>
          <w:rFonts w:ascii="Arial" w:hAnsi="Arial" w:cs="Arial"/>
          <w:i w:val="0"/>
          <w:sz w:val="22"/>
          <w:szCs w:val="22"/>
        </w:rPr>
        <w:t>ă</w:t>
      </w:r>
      <w:r w:rsidR="005F7BB0" w:rsidRPr="00A1048D">
        <w:rPr>
          <w:rFonts w:ascii="Arial" w:hAnsi="Arial" w:cs="Arial"/>
          <w:i w:val="0"/>
          <w:sz w:val="22"/>
          <w:szCs w:val="22"/>
        </w:rPr>
        <w:t xml:space="preserve"> a parametrilor de trafic (AM) pentru cele 3 orizonturi de timp</w:t>
      </w:r>
      <w:bookmarkEnd w:id="298"/>
      <w:bookmarkEnd w:id="299"/>
    </w:p>
    <w:p w14:paraId="71248C3A" w14:textId="22247213" w:rsidR="00A1048D" w:rsidRDefault="00A1048D" w:rsidP="00A1048D"/>
    <w:p w14:paraId="6B39170B" w14:textId="2AB72BA5" w:rsidR="00A1048D" w:rsidRDefault="00A1048D" w:rsidP="00A1048D"/>
    <w:p w14:paraId="50121B8D" w14:textId="5AA35AA6" w:rsidR="00A1048D" w:rsidRDefault="00A1048D" w:rsidP="00A1048D"/>
    <w:p w14:paraId="47D96F97" w14:textId="101EA9BA" w:rsidR="00A1048D" w:rsidRDefault="00A1048D" w:rsidP="00A1048D"/>
    <w:p w14:paraId="03620ED4" w14:textId="77777777" w:rsidR="00A1048D" w:rsidRPr="00A1048D" w:rsidRDefault="00A1048D" w:rsidP="00A1048D"/>
    <w:p w14:paraId="083F7D3B" w14:textId="77777777" w:rsidR="00556B9F" w:rsidRPr="002538CB" w:rsidRDefault="00556B9F" w:rsidP="002538CB">
      <w:pPr>
        <w:pStyle w:val="Titlu3"/>
        <w:rPr>
          <w:rFonts w:ascii="Arial" w:hAnsi="Arial" w:cs="Arial"/>
          <w:sz w:val="24"/>
          <w:szCs w:val="24"/>
        </w:rPr>
      </w:pPr>
      <w:bookmarkStart w:id="300" w:name="_Toc491868829"/>
      <w:bookmarkStart w:id="301" w:name="_Toc142039082"/>
      <w:r w:rsidRPr="005F7BB0">
        <w:rPr>
          <w:rFonts w:ascii="Arial" w:hAnsi="Arial" w:cs="Arial"/>
          <w:sz w:val="24"/>
          <w:szCs w:val="24"/>
        </w:rPr>
        <w:lastRenderedPageBreak/>
        <w:t>I.3.6.3 Prognoza pentru ora de vârf PM</w:t>
      </w:r>
      <w:bookmarkEnd w:id="300"/>
      <w:bookmarkEnd w:id="301"/>
    </w:p>
    <w:p w14:paraId="06B3E6A7" w14:textId="77777777" w:rsidR="00556B9F" w:rsidRPr="002538CB" w:rsidRDefault="00556B9F" w:rsidP="00556B9F">
      <w:pPr>
        <w:widowControl w:val="0"/>
        <w:suppressAutoHyphens/>
        <w:spacing w:after="0" w:line="240" w:lineRule="auto"/>
        <w:rPr>
          <w:rFonts w:ascii="Arial" w:hAnsi="Arial" w:cs="Mangal"/>
          <w:kern w:val="1"/>
          <w:lang w:val="ro-RO" w:eastAsia="hi-IN" w:bidi="hi-IN"/>
        </w:rPr>
      </w:pPr>
      <w:r w:rsidRPr="002538CB">
        <w:rPr>
          <w:rFonts w:ascii="Arial" w:hAnsi="Arial" w:cs="Mangal"/>
          <w:kern w:val="1"/>
          <w:lang w:val="ro-RO" w:eastAsia="hi-IN" w:bidi="hi-IN"/>
        </w:rPr>
        <w:t>La nivel de rețea se obțin următoarele date:</w:t>
      </w:r>
    </w:p>
    <w:p w14:paraId="3EA43A35" w14:textId="77777777" w:rsidR="00556B9F" w:rsidRDefault="00556B9F" w:rsidP="00556B9F">
      <w:pPr>
        <w:widowControl w:val="0"/>
        <w:suppressAutoHyphens/>
        <w:spacing w:after="0" w:line="240" w:lineRule="auto"/>
        <w:rPr>
          <w:rFonts w:ascii="Arial" w:hAnsi="Arial" w:cs="Mangal"/>
          <w:kern w:val="1"/>
          <w:sz w:val="24"/>
          <w:szCs w:val="24"/>
          <w:lang w:val="ro-RO" w:eastAsia="hi-IN" w:bidi="hi-IN"/>
        </w:rPr>
      </w:pPr>
    </w:p>
    <w:p w14:paraId="3D59DD2B" w14:textId="7E5BA74B" w:rsidR="00556B9F" w:rsidRPr="0022048B" w:rsidRDefault="0022048B" w:rsidP="0022048B">
      <w:pPr>
        <w:pStyle w:val="Legend"/>
        <w:jc w:val="center"/>
        <w:rPr>
          <w:rFonts w:ascii="Arial" w:hAnsi="Arial" w:cs="Arial"/>
          <w:i w:val="0"/>
          <w:iCs w:val="0"/>
          <w:kern w:val="1"/>
          <w:sz w:val="22"/>
          <w:szCs w:val="22"/>
          <w:lang w:val="ro-RO" w:eastAsia="hi-IN" w:bidi="hi-IN"/>
        </w:rPr>
      </w:pPr>
      <w:bookmarkStart w:id="302" w:name="_Toc68361239"/>
      <w:bookmarkStart w:id="303" w:name="_Toc96447407"/>
      <w:r w:rsidRPr="00A1048D">
        <w:rPr>
          <w:rFonts w:ascii="Arial" w:hAnsi="Arial" w:cs="Arial"/>
          <w:sz w:val="22"/>
          <w:szCs w:val="22"/>
        </w:rPr>
        <w:t xml:space="preserve">Tabel I.3. </w:t>
      </w:r>
      <w:r w:rsidRPr="00A1048D">
        <w:rPr>
          <w:rFonts w:ascii="Arial" w:hAnsi="Arial" w:cs="Arial"/>
          <w:sz w:val="22"/>
          <w:szCs w:val="22"/>
        </w:rPr>
        <w:fldChar w:fldCharType="begin"/>
      </w:r>
      <w:r w:rsidRPr="00A1048D">
        <w:rPr>
          <w:rFonts w:ascii="Arial" w:hAnsi="Arial" w:cs="Arial"/>
          <w:sz w:val="22"/>
          <w:szCs w:val="22"/>
        </w:rPr>
        <w:instrText xml:space="preserve"> SEQ Tabel_I.3. \* ARABIC </w:instrText>
      </w:r>
      <w:r w:rsidRPr="00A1048D">
        <w:rPr>
          <w:rFonts w:ascii="Arial" w:hAnsi="Arial" w:cs="Arial"/>
          <w:sz w:val="22"/>
          <w:szCs w:val="22"/>
        </w:rPr>
        <w:fldChar w:fldCharType="separate"/>
      </w:r>
      <w:r w:rsidR="00BB181C">
        <w:rPr>
          <w:rFonts w:ascii="Arial" w:hAnsi="Arial" w:cs="Arial"/>
          <w:noProof/>
          <w:sz w:val="22"/>
          <w:szCs w:val="22"/>
        </w:rPr>
        <w:t>11</w:t>
      </w:r>
      <w:r w:rsidRPr="00A1048D">
        <w:rPr>
          <w:rFonts w:ascii="Arial" w:hAnsi="Arial" w:cs="Arial"/>
          <w:sz w:val="22"/>
          <w:szCs w:val="22"/>
        </w:rPr>
        <w:fldChar w:fldCharType="end"/>
      </w:r>
      <w:r w:rsidRPr="00A1048D">
        <w:rPr>
          <w:rFonts w:ascii="Arial" w:hAnsi="Arial" w:cs="Arial"/>
          <w:sz w:val="22"/>
          <w:szCs w:val="22"/>
        </w:rPr>
        <w:t xml:space="preserve"> </w:t>
      </w:r>
      <w:r w:rsidR="002538CB" w:rsidRPr="00A1048D">
        <w:rPr>
          <w:rFonts w:ascii="Arial" w:hAnsi="Arial" w:cs="Arial"/>
          <w:sz w:val="22"/>
          <w:szCs w:val="22"/>
        </w:rPr>
        <w:t xml:space="preserve">- </w:t>
      </w:r>
      <w:r w:rsidR="005F7BB0" w:rsidRPr="00A1048D">
        <w:rPr>
          <w:rFonts w:ascii="Arial" w:hAnsi="Arial" w:cs="Arial"/>
          <w:i w:val="0"/>
          <w:iCs w:val="0"/>
          <w:sz w:val="22"/>
          <w:szCs w:val="22"/>
        </w:rPr>
        <w:t>Evoluția parametrilor de trafic (PM) pentru cele 3 orizonturi de timp</w:t>
      </w:r>
      <w:bookmarkEnd w:id="302"/>
      <w:bookmarkEnd w:id="303"/>
    </w:p>
    <w:tbl>
      <w:tblPr>
        <w:tblW w:w="7860" w:type="dxa"/>
        <w:jc w:val="center"/>
        <w:tblLook w:val="04A0" w:firstRow="1" w:lastRow="0" w:firstColumn="1" w:lastColumn="0" w:noHBand="0" w:noVBand="1"/>
      </w:tblPr>
      <w:tblGrid>
        <w:gridCol w:w="2500"/>
        <w:gridCol w:w="1900"/>
        <w:gridCol w:w="1640"/>
        <w:gridCol w:w="1820"/>
      </w:tblGrid>
      <w:tr w:rsidR="00A1048D" w:rsidRPr="00A1048D" w14:paraId="2281437D" w14:textId="77777777" w:rsidTr="00CE76B6">
        <w:trPr>
          <w:trHeight w:val="300"/>
          <w:jc w:val="center"/>
        </w:trPr>
        <w:tc>
          <w:tcPr>
            <w:tcW w:w="25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1276DDF"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Parametru</w:t>
            </w:r>
          </w:p>
        </w:tc>
        <w:tc>
          <w:tcPr>
            <w:tcW w:w="5360" w:type="dxa"/>
            <w:gridSpan w:val="3"/>
            <w:tcBorders>
              <w:top w:val="single" w:sz="8" w:space="0" w:color="auto"/>
              <w:left w:val="nil"/>
              <w:bottom w:val="single" w:sz="8" w:space="0" w:color="auto"/>
              <w:right w:val="single" w:sz="8" w:space="0" w:color="000000"/>
            </w:tcBorders>
            <w:shd w:val="clear" w:color="auto" w:fill="auto"/>
            <w:vAlign w:val="center"/>
            <w:hideMark/>
          </w:tcPr>
          <w:p w14:paraId="10AEF1DC"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Nivel de serviciu</w:t>
            </w:r>
          </w:p>
        </w:tc>
      </w:tr>
      <w:tr w:rsidR="00A1048D" w:rsidRPr="00A1048D" w14:paraId="4ADAC196" w14:textId="77777777" w:rsidTr="00CE76B6">
        <w:trPr>
          <w:trHeight w:val="300"/>
          <w:jc w:val="center"/>
        </w:trPr>
        <w:tc>
          <w:tcPr>
            <w:tcW w:w="2500" w:type="dxa"/>
            <w:vMerge/>
            <w:tcBorders>
              <w:top w:val="single" w:sz="8" w:space="0" w:color="auto"/>
              <w:left w:val="single" w:sz="8" w:space="0" w:color="auto"/>
              <w:bottom w:val="single" w:sz="8" w:space="0" w:color="000000"/>
              <w:right w:val="single" w:sz="8" w:space="0" w:color="auto"/>
            </w:tcBorders>
            <w:vAlign w:val="center"/>
            <w:hideMark/>
          </w:tcPr>
          <w:p w14:paraId="5406DF96" w14:textId="77777777" w:rsidR="00A1048D" w:rsidRPr="00A1048D" w:rsidRDefault="00A1048D" w:rsidP="00A1048D">
            <w:pPr>
              <w:spacing w:after="0"/>
              <w:rPr>
                <w:rFonts w:ascii="Calibri" w:eastAsia="Times New Roman" w:hAnsi="Calibri" w:cs="Arial"/>
                <w:b/>
                <w:bCs/>
                <w:color w:val="000000"/>
                <w:szCs w:val="20"/>
                <w:lang w:val="ro-RO"/>
              </w:rPr>
            </w:pPr>
          </w:p>
        </w:tc>
        <w:tc>
          <w:tcPr>
            <w:tcW w:w="1900" w:type="dxa"/>
            <w:tcBorders>
              <w:top w:val="nil"/>
              <w:left w:val="nil"/>
              <w:bottom w:val="single" w:sz="8" w:space="0" w:color="auto"/>
              <w:right w:val="single" w:sz="8" w:space="0" w:color="auto"/>
            </w:tcBorders>
            <w:shd w:val="clear" w:color="auto" w:fill="auto"/>
            <w:vAlign w:val="center"/>
            <w:hideMark/>
          </w:tcPr>
          <w:p w14:paraId="26BC5AC8"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2021</w:t>
            </w:r>
          </w:p>
        </w:tc>
        <w:tc>
          <w:tcPr>
            <w:tcW w:w="1640" w:type="dxa"/>
            <w:tcBorders>
              <w:top w:val="nil"/>
              <w:left w:val="nil"/>
              <w:bottom w:val="single" w:sz="8" w:space="0" w:color="auto"/>
              <w:right w:val="single" w:sz="8" w:space="0" w:color="auto"/>
            </w:tcBorders>
            <w:shd w:val="clear" w:color="auto" w:fill="auto"/>
            <w:vAlign w:val="center"/>
            <w:hideMark/>
          </w:tcPr>
          <w:p w14:paraId="22F3639B"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2027</w:t>
            </w:r>
          </w:p>
        </w:tc>
        <w:tc>
          <w:tcPr>
            <w:tcW w:w="1820" w:type="dxa"/>
            <w:tcBorders>
              <w:top w:val="nil"/>
              <w:left w:val="nil"/>
              <w:bottom w:val="single" w:sz="8" w:space="0" w:color="auto"/>
              <w:right w:val="single" w:sz="8" w:space="0" w:color="auto"/>
            </w:tcBorders>
            <w:shd w:val="clear" w:color="auto" w:fill="auto"/>
            <w:vAlign w:val="center"/>
            <w:hideMark/>
          </w:tcPr>
          <w:p w14:paraId="6E40E695" w14:textId="77777777" w:rsidR="00A1048D" w:rsidRPr="00A1048D" w:rsidRDefault="00A1048D" w:rsidP="00A1048D">
            <w:pPr>
              <w:spacing w:after="0"/>
              <w:jc w:val="center"/>
              <w:rPr>
                <w:rFonts w:ascii="Calibri" w:eastAsia="Times New Roman" w:hAnsi="Calibri" w:cs="Arial"/>
                <w:b/>
                <w:bCs/>
                <w:color w:val="000000"/>
                <w:szCs w:val="20"/>
                <w:lang w:val="ro-RO"/>
              </w:rPr>
            </w:pPr>
            <w:r w:rsidRPr="00A1048D">
              <w:rPr>
                <w:rFonts w:ascii="Calibri" w:eastAsia="Times New Roman" w:hAnsi="Calibri" w:cs="Arial"/>
                <w:b/>
                <w:bCs/>
                <w:color w:val="000000"/>
                <w:szCs w:val="20"/>
                <w:lang w:val="ro-RO" w:eastAsia="ro-RO"/>
              </w:rPr>
              <w:t>2035</w:t>
            </w:r>
          </w:p>
        </w:tc>
      </w:tr>
      <w:tr w:rsidR="00A1048D" w:rsidRPr="00A1048D" w14:paraId="49B04231" w14:textId="77777777" w:rsidTr="00CE76B6">
        <w:trPr>
          <w:trHeight w:val="510"/>
          <w:jc w:val="center"/>
        </w:trPr>
        <w:tc>
          <w:tcPr>
            <w:tcW w:w="2500" w:type="dxa"/>
            <w:tcBorders>
              <w:top w:val="nil"/>
              <w:left w:val="single" w:sz="8" w:space="0" w:color="auto"/>
              <w:bottom w:val="single" w:sz="8" w:space="0" w:color="auto"/>
              <w:right w:val="single" w:sz="8" w:space="0" w:color="auto"/>
            </w:tcBorders>
            <w:shd w:val="clear" w:color="auto" w:fill="auto"/>
            <w:vAlign w:val="center"/>
            <w:hideMark/>
          </w:tcPr>
          <w:p w14:paraId="45418137"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Viteza medie de circulație (km/h)</w:t>
            </w:r>
          </w:p>
        </w:tc>
        <w:tc>
          <w:tcPr>
            <w:tcW w:w="1900" w:type="dxa"/>
            <w:tcBorders>
              <w:top w:val="nil"/>
              <w:left w:val="nil"/>
              <w:bottom w:val="single" w:sz="8" w:space="0" w:color="auto"/>
              <w:right w:val="single" w:sz="8" w:space="0" w:color="auto"/>
            </w:tcBorders>
            <w:shd w:val="clear" w:color="auto" w:fill="auto"/>
            <w:noWrap/>
            <w:vAlign w:val="center"/>
            <w:hideMark/>
          </w:tcPr>
          <w:p w14:paraId="7D070021"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29,22</w:t>
            </w:r>
          </w:p>
        </w:tc>
        <w:tc>
          <w:tcPr>
            <w:tcW w:w="1640" w:type="dxa"/>
            <w:tcBorders>
              <w:top w:val="nil"/>
              <w:left w:val="nil"/>
              <w:bottom w:val="single" w:sz="8" w:space="0" w:color="auto"/>
              <w:right w:val="single" w:sz="8" w:space="0" w:color="auto"/>
            </w:tcBorders>
            <w:shd w:val="clear" w:color="auto" w:fill="auto"/>
            <w:vAlign w:val="center"/>
            <w:hideMark/>
          </w:tcPr>
          <w:p w14:paraId="109CFA70"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29,96</w:t>
            </w:r>
          </w:p>
        </w:tc>
        <w:tc>
          <w:tcPr>
            <w:tcW w:w="1820" w:type="dxa"/>
            <w:tcBorders>
              <w:top w:val="nil"/>
              <w:left w:val="nil"/>
              <w:bottom w:val="single" w:sz="8" w:space="0" w:color="auto"/>
              <w:right w:val="single" w:sz="8" w:space="0" w:color="auto"/>
            </w:tcBorders>
            <w:shd w:val="clear" w:color="auto" w:fill="auto"/>
            <w:vAlign w:val="center"/>
            <w:hideMark/>
          </w:tcPr>
          <w:p w14:paraId="71404552"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26,50</w:t>
            </w:r>
          </w:p>
        </w:tc>
      </w:tr>
      <w:tr w:rsidR="00A1048D" w:rsidRPr="00A1048D" w14:paraId="52DE381F" w14:textId="77777777" w:rsidTr="00CE76B6">
        <w:trPr>
          <w:trHeight w:val="300"/>
          <w:jc w:val="center"/>
        </w:trPr>
        <w:tc>
          <w:tcPr>
            <w:tcW w:w="2500" w:type="dxa"/>
            <w:tcBorders>
              <w:top w:val="nil"/>
              <w:left w:val="single" w:sz="8" w:space="0" w:color="auto"/>
              <w:bottom w:val="single" w:sz="8" w:space="0" w:color="auto"/>
              <w:right w:val="single" w:sz="8" w:space="0" w:color="auto"/>
            </w:tcBorders>
            <w:shd w:val="clear" w:color="auto" w:fill="auto"/>
            <w:vAlign w:val="center"/>
            <w:hideMark/>
          </w:tcPr>
          <w:p w14:paraId="09E81EC1"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Întârzierea medie (sec/km)</w:t>
            </w:r>
          </w:p>
        </w:tc>
        <w:tc>
          <w:tcPr>
            <w:tcW w:w="1900" w:type="dxa"/>
            <w:tcBorders>
              <w:top w:val="nil"/>
              <w:left w:val="nil"/>
              <w:bottom w:val="single" w:sz="8" w:space="0" w:color="auto"/>
              <w:right w:val="single" w:sz="8" w:space="0" w:color="auto"/>
            </w:tcBorders>
            <w:shd w:val="clear" w:color="auto" w:fill="auto"/>
            <w:noWrap/>
            <w:vAlign w:val="center"/>
            <w:hideMark/>
          </w:tcPr>
          <w:p w14:paraId="28F09A7F"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40,48</w:t>
            </w:r>
          </w:p>
        </w:tc>
        <w:tc>
          <w:tcPr>
            <w:tcW w:w="1640" w:type="dxa"/>
            <w:tcBorders>
              <w:top w:val="nil"/>
              <w:left w:val="nil"/>
              <w:bottom w:val="single" w:sz="8" w:space="0" w:color="auto"/>
              <w:right w:val="single" w:sz="8" w:space="0" w:color="auto"/>
            </w:tcBorders>
            <w:shd w:val="clear" w:color="auto" w:fill="auto"/>
            <w:vAlign w:val="center"/>
            <w:hideMark/>
          </w:tcPr>
          <w:p w14:paraId="3163BF72"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42,10</w:t>
            </w:r>
          </w:p>
        </w:tc>
        <w:tc>
          <w:tcPr>
            <w:tcW w:w="1820" w:type="dxa"/>
            <w:tcBorders>
              <w:top w:val="nil"/>
              <w:left w:val="nil"/>
              <w:bottom w:val="single" w:sz="8" w:space="0" w:color="auto"/>
              <w:right w:val="single" w:sz="8" w:space="0" w:color="auto"/>
            </w:tcBorders>
            <w:shd w:val="clear" w:color="auto" w:fill="auto"/>
            <w:vAlign w:val="center"/>
            <w:hideMark/>
          </w:tcPr>
          <w:p w14:paraId="5AB452ED"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69,00</w:t>
            </w:r>
          </w:p>
        </w:tc>
      </w:tr>
      <w:tr w:rsidR="00A1048D" w:rsidRPr="00A1048D" w14:paraId="65C3A20E" w14:textId="77777777" w:rsidTr="00CE76B6">
        <w:trPr>
          <w:trHeight w:val="510"/>
          <w:jc w:val="center"/>
        </w:trPr>
        <w:tc>
          <w:tcPr>
            <w:tcW w:w="2500" w:type="dxa"/>
            <w:tcBorders>
              <w:top w:val="nil"/>
              <w:left w:val="single" w:sz="8" w:space="0" w:color="auto"/>
              <w:bottom w:val="single" w:sz="8" w:space="0" w:color="auto"/>
              <w:right w:val="single" w:sz="8" w:space="0" w:color="auto"/>
            </w:tcBorders>
            <w:shd w:val="clear" w:color="auto" w:fill="auto"/>
            <w:vAlign w:val="center"/>
            <w:hideMark/>
          </w:tcPr>
          <w:p w14:paraId="321BD7ED"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Consum de combustibil (litri)</w:t>
            </w:r>
          </w:p>
        </w:tc>
        <w:tc>
          <w:tcPr>
            <w:tcW w:w="1900" w:type="dxa"/>
            <w:tcBorders>
              <w:top w:val="nil"/>
              <w:left w:val="nil"/>
              <w:bottom w:val="single" w:sz="8" w:space="0" w:color="auto"/>
              <w:right w:val="single" w:sz="8" w:space="0" w:color="auto"/>
            </w:tcBorders>
            <w:shd w:val="clear" w:color="auto" w:fill="auto"/>
            <w:noWrap/>
            <w:vAlign w:val="center"/>
            <w:hideMark/>
          </w:tcPr>
          <w:p w14:paraId="713770B1"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349,77</w:t>
            </w:r>
          </w:p>
        </w:tc>
        <w:tc>
          <w:tcPr>
            <w:tcW w:w="1640" w:type="dxa"/>
            <w:tcBorders>
              <w:top w:val="nil"/>
              <w:left w:val="nil"/>
              <w:bottom w:val="single" w:sz="8" w:space="0" w:color="auto"/>
              <w:right w:val="single" w:sz="8" w:space="0" w:color="auto"/>
            </w:tcBorders>
            <w:shd w:val="clear" w:color="auto" w:fill="auto"/>
            <w:vAlign w:val="center"/>
            <w:hideMark/>
          </w:tcPr>
          <w:p w14:paraId="76EB2F15"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461,34</w:t>
            </w:r>
          </w:p>
        </w:tc>
        <w:tc>
          <w:tcPr>
            <w:tcW w:w="1820" w:type="dxa"/>
            <w:tcBorders>
              <w:top w:val="nil"/>
              <w:left w:val="nil"/>
              <w:bottom w:val="single" w:sz="8" w:space="0" w:color="auto"/>
              <w:right w:val="single" w:sz="8" w:space="0" w:color="auto"/>
            </w:tcBorders>
            <w:shd w:val="clear" w:color="auto" w:fill="auto"/>
            <w:vAlign w:val="center"/>
            <w:hideMark/>
          </w:tcPr>
          <w:p w14:paraId="377A3157"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758,45</w:t>
            </w:r>
          </w:p>
        </w:tc>
      </w:tr>
      <w:tr w:rsidR="00A1048D" w:rsidRPr="00A1048D" w14:paraId="5BE3D882" w14:textId="77777777" w:rsidTr="00CE76B6">
        <w:trPr>
          <w:trHeight w:val="300"/>
          <w:jc w:val="center"/>
        </w:trPr>
        <w:tc>
          <w:tcPr>
            <w:tcW w:w="2500" w:type="dxa"/>
            <w:tcBorders>
              <w:top w:val="nil"/>
              <w:left w:val="single" w:sz="8" w:space="0" w:color="auto"/>
              <w:bottom w:val="single" w:sz="8" w:space="0" w:color="auto"/>
              <w:right w:val="single" w:sz="8" w:space="0" w:color="auto"/>
            </w:tcBorders>
            <w:shd w:val="clear" w:color="auto" w:fill="auto"/>
            <w:vAlign w:val="center"/>
            <w:hideMark/>
          </w:tcPr>
          <w:p w14:paraId="1D2CEFEB"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Emisii CO2 (kg)</w:t>
            </w:r>
          </w:p>
        </w:tc>
        <w:tc>
          <w:tcPr>
            <w:tcW w:w="1900" w:type="dxa"/>
            <w:tcBorders>
              <w:top w:val="nil"/>
              <w:left w:val="nil"/>
              <w:bottom w:val="single" w:sz="8" w:space="0" w:color="auto"/>
              <w:right w:val="single" w:sz="8" w:space="0" w:color="auto"/>
            </w:tcBorders>
            <w:shd w:val="clear" w:color="auto" w:fill="auto"/>
            <w:noWrap/>
            <w:vAlign w:val="center"/>
            <w:hideMark/>
          </w:tcPr>
          <w:p w14:paraId="5FFCD55F"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1029,44</w:t>
            </w:r>
          </w:p>
        </w:tc>
        <w:tc>
          <w:tcPr>
            <w:tcW w:w="1640" w:type="dxa"/>
            <w:tcBorders>
              <w:top w:val="nil"/>
              <w:left w:val="nil"/>
              <w:bottom w:val="single" w:sz="8" w:space="0" w:color="auto"/>
              <w:right w:val="single" w:sz="8" w:space="0" w:color="auto"/>
            </w:tcBorders>
            <w:shd w:val="clear" w:color="auto" w:fill="auto"/>
            <w:vAlign w:val="center"/>
            <w:hideMark/>
          </w:tcPr>
          <w:p w14:paraId="019296E6"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1358,19</w:t>
            </w:r>
          </w:p>
        </w:tc>
        <w:tc>
          <w:tcPr>
            <w:tcW w:w="1820" w:type="dxa"/>
            <w:tcBorders>
              <w:top w:val="nil"/>
              <w:left w:val="nil"/>
              <w:bottom w:val="single" w:sz="8" w:space="0" w:color="auto"/>
              <w:right w:val="single" w:sz="8" w:space="0" w:color="auto"/>
            </w:tcBorders>
            <w:shd w:val="clear" w:color="auto" w:fill="auto"/>
            <w:vAlign w:val="center"/>
            <w:hideMark/>
          </w:tcPr>
          <w:p w14:paraId="6FB3B2EB"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2233,81</w:t>
            </w:r>
          </w:p>
        </w:tc>
      </w:tr>
      <w:tr w:rsidR="00A1048D" w:rsidRPr="00A1048D" w14:paraId="3251AD3E" w14:textId="77777777" w:rsidTr="00CE76B6">
        <w:trPr>
          <w:trHeight w:val="300"/>
          <w:jc w:val="center"/>
        </w:trPr>
        <w:tc>
          <w:tcPr>
            <w:tcW w:w="2500" w:type="dxa"/>
            <w:tcBorders>
              <w:top w:val="nil"/>
              <w:left w:val="single" w:sz="8" w:space="0" w:color="auto"/>
              <w:bottom w:val="single" w:sz="8" w:space="0" w:color="auto"/>
              <w:right w:val="single" w:sz="8" w:space="0" w:color="auto"/>
            </w:tcBorders>
            <w:shd w:val="clear" w:color="auto" w:fill="auto"/>
            <w:vAlign w:val="center"/>
            <w:hideMark/>
          </w:tcPr>
          <w:p w14:paraId="4EF5D143"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Emisii NOx (kg)</w:t>
            </w:r>
          </w:p>
        </w:tc>
        <w:tc>
          <w:tcPr>
            <w:tcW w:w="1900" w:type="dxa"/>
            <w:tcBorders>
              <w:top w:val="nil"/>
              <w:left w:val="nil"/>
              <w:bottom w:val="single" w:sz="8" w:space="0" w:color="auto"/>
              <w:right w:val="single" w:sz="8" w:space="0" w:color="auto"/>
            </w:tcBorders>
            <w:shd w:val="clear" w:color="auto" w:fill="auto"/>
            <w:noWrap/>
            <w:vAlign w:val="center"/>
            <w:hideMark/>
          </w:tcPr>
          <w:p w14:paraId="4769CF9B"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5,16</w:t>
            </w:r>
          </w:p>
        </w:tc>
        <w:tc>
          <w:tcPr>
            <w:tcW w:w="1640" w:type="dxa"/>
            <w:tcBorders>
              <w:top w:val="nil"/>
              <w:left w:val="nil"/>
              <w:bottom w:val="single" w:sz="8" w:space="0" w:color="auto"/>
              <w:right w:val="single" w:sz="8" w:space="0" w:color="auto"/>
            </w:tcBorders>
            <w:shd w:val="clear" w:color="auto" w:fill="auto"/>
            <w:vAlign w:val="center"/>
            <w:hideMark/>
          </w:tcPr>
          <w:p w14:paraId="414E4619"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6,73</w:t>
            </w:r>
          </w:p>
        </w:tc>
        <w:tc>
          <w:tcPr>
            <w:tcW w:w="1820" w:type="dxa"/>
            <w:tcBorders>
              <w:top w:val="nil"/>
              <w:left w:val="nil"/>
              <w:bottom w:val="single" w:sz="8" w:space="0" w:color="auto"/>
              <w:right w:val="single" w:sz="8" w:space="0" w:color="auto"/>
            </w:tcBorders>
            <w:shd w:val="clear" w:color="auto" w:fill="auto"/>
            <w:vAlign w:val="center"/>
            <w:hideMark/>
          </w:tcPr>
          <w:p w14:paraId="72E41049"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10,61</w:t>
            </w:r>
          </w:p>
        </w:tc>
      </w:tr>
      <w:tr w:rsidR="00A1048D" w:rsidRPr="00A1048D" w14:paraId="75889843" w14:textId="77777777" w:rsidTr="00CE76B6">
        <w:trPr>
          <w:trHeight w:val="300"/>
          <w:jc w:val="center"/>
        </w:trPr>
        <w:tc>
          <w:tcPr>
            <w:tcW w:w="2500" w:type="dxa"/>
            <w:tcBorders>
              <w:top w:val="nil"/>
              <w:left w:val="single" w:sz="8" w:space="0" w:color="auto"/>
              <w:bottom w:val="single" w:sz="8" w:space="0" w:color="auto"/>
              <w:right w:val="single" w:sz="8" w:space="0" w:color="auto"/>
            </w:tcBorders>
            <w:shd w:val="clear" w:color="auto" w:fill="auto"/>
            <w:vAlign w:val="center"/>
            <w:hideMark/>
          </w:tcPr>
          <w:p w14:paraId="026FEC95"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Emisii PM (kg)</w:t>
            </w:r>
          </w:p>
        </w:tc>
        <w:tc>
          <w:tcPr>
            <w:tcW w:w="1900" w:type="dxa"/>
            <w:tcBorders>
              <w:top w:val="nil"/>
              <w:left w:val="nil"/>
              <w:bottom w:val="single" w:sz="8" w:space="0" w:color="auto"/>
              <w:right w:val="single" w:sz="8" w:space="0" w:color="auto"/>
            </w:tcBorders>
            <w:shd w:val="clear" w:color="auto" w:fill="auto"/>
            <w:noWrap/>
            <w:vAlign w:val="center"/>
            <w:hideMark/>
          </w:tcPr>
          <w:p w14:paraId="1AD3C76E"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0,24</w:t>
            </w:r>
          </w:p>
        </w:tc>
        <w:tc>
          <w:tcPr>
            <w:tcW w:w="1640" w:type="dxa"/>
            <w:tcBorders>
              <w:top w:val="nil"/>
              <w:left w:val="nil"/>
              <w:bottom w:val="single" w:sz="8" w:space="0" w:color="auto"/>
              <w:right w:val="single" w:sz="8" w:space="0" w:color="auto"/>
            </w:tcBorders>
            <w:shd w:val="clear" w:color="auto" w:fill="auto"/>
            <w:vAlign w:val="center"/>
            <w:hideMark/>
          </w:tcPr>
          <w:p w14:paraId="49967C63"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0,31</w:t>
            </w:r>
          </w:p>
        </w:tc>
        <w:tc>
          <w:tcPr>
            <w:tcW w:w="1820" w:type="dxa"/>
            <w:tcBorders>
              <w:top w:val="nil"/>
              <w:left w:val="nil"/>
              <w:bottom w:val="single" w:sz="8" w:space="0" w:color="auto"/>
              <w:right w:val="single" w:sz="8" w:space="0" w:color="auto"/>
            </w:tcBorders>
            <w:shd w:val="clear" w:color="auto" w:fill="auto"/>
            <w:vAlign w:val="center"/>
            <w:hideMark/>
          </w:tcPr>
          <w:p w14:paraId="2D2EC000"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0,49</w:t>
            </w:r>
          </w:p>
        </w:tc>
      </w:tr>
      <w:tr w:rsidR="00A1048D" w:rsidRPr="00A1048D" w14:paraId="37D7184A" w14:textId="77777777" w:rsidTr="00CE76B6">
        <w:trPr>
          <w:trHeight w:val="300"/>
          <w:jc w:val="center"/>
        </w:trPr>
        <w:tc>
          <w:tcPr>
            <w:tcW w:w="2500" w:type="dxa"/>
            <w:tcBorders>
              <w:top w:val="nil"/>
              <w:left w:val="single" w:sz="8" w:space="0" w:color="auto"/>
              <w:bottom w:val="single" w:sz="8" w:space="0" w:color="auto"/>
              <w:right w:val="single" w:sz="8" w:space="0" w:color="auto"/>
            </w:tcBorders>
            <w:shd w:val="clear" w:color="auto" w:fill="auto"/>
            <w:vAlign w:val="center"/>
            <w:hideMark/>
          </w:tcPr>
          <w:p w14:paraId="1446417F" w14:textId="77777777" w:rsidR="00A1048D" w:rsidRPr="00A1048D" w:rsidRDefault="00A1048D" w:rsidP="00A1048D">
            <w:pPr>
              <w:spacing w:after="0"/>
              <w:rPr>
                <w:rFonts w:ascii="Calibri" w:eastAsia="Times New Roman" w:hAnsi="Calibri" w:cs="Arial"/>
                <w:color w:val="000000"/>
                <w:szCs w:val="20"/>
                <w:lang w:val="ro-RO"/>
              </w:rPr>
            </w:pPr>
            <w:r w:rsidRPr="00A1048D">
              <w:rPr>
                <w:rFonts w:ascii="Calibri" w:eastAsia="Times New Roman" w:hAnsi="Calibri" w:cs="Arial"/>
                <w:color w:val="000000"/>
                <w:szCs w:val="20"/>
                <w:lang w:val="ro-RO" w:eastAsia="ro-RO"/>
              </w:rPr>
              <w:t>Emisii HC (kg)</w:t>
            </w:r>
          </w:p>
        </w:tc>
        <w:tc>
          <w:tcPr>
            <w:tcW w:w="1900" w:type="dxa"/>
            <w:tcBorders>
              <w:top w:val="nil"/>
              <w:left w:val="nil"/>
              <w:bottom w:val="single" w:sz="8" w:space="0" w:color="auto"/>
              <w:right w:val="single" w:sz="8" w:space="0" w:color="auto"/>
            </w:tcBorders>
            <w:shd w:val="clear" w:color="auto" w:fill="auto"/>
            <w:noWrap/>
            <w:vAlign w:val="center"/>
            <w:hideMark/>
          </w:tcPr>
          <w:p w14:paraId="664B620D"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6,49</w:t>
            </w:r>
          </w:p>
        </w:tc>
        <w:tc>
          <w:tcPr>
            <w:tcW w:w="1640" w:type="dxa"/>
            <w:tcBorders>
              <w:top w:val="nil"/>
              <w:left w:val="nil"/>
              <w:bottom w:val="single" w:sz="8" w:space="0" w:color="auto"/>
              <w:right w:val="single" w:sz="8" w:space="0" w:color="auto"/>
            </w:tcBorders>
            <w:shd w:val="clear" w:color="auto" w:fill="auto"/>
            <w:vAlign w:val="center"/>
            <w:hideMark/>
          </w:tcPr>
          <w:p w14:paraId="74FD8069"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8,46</w:t>
            </w:r>
          </w:p>
        </w:tc>
        <w:tc>
          <w:tcPr>
            <w:tcW w:w="1820" w:type="dxa"/>
            <w:tcBorders>
              <w:top w:val="nil"/>
              <w:left w:val="nil"/>
              <w:bottom w:val="single" w:sz="8" w:space="0" w:color="auto"/>
              <w:right w:val="single" w:sz="8" w:space="0" w:color="auto"/>
            </w:tcBorders>
            <w:shd w:val="clear" w:color="auto" w:fill="auto"/>
            <w:vAlign w:val="center"/>
            <w:hideMark/>
          </w:tcPr>
          <w:p w14:paraId="3C34275E" w14:textId="77777777" w:rsidR="00A1048D" w:rsidRPr="00A1048D" w:rsidRDefault="00A1048D" w:rsidP="00A1048D">
            <w:pPr>
              <w:spacing w:after="0"/>
              <w:jc w:val="center"/>
              <w:rPr>
                <w:rFonts w:ascii="Calibri" w:eastAsia="Times New Roman" w:hAnsi="Calibri" w:cs="Arial"/>
                <w:szCs w:val="20"/>
                <w:lang w:val="ro-RO"/>
              </w:rPr>
            </w:pPr>
            <w:r w:rsidRPr="00A1048D">
              <w:rPr>
                <w:rFonts w:ascii="Arial" w:hAnsi="Arial" w:cs="Arial"/>
                <w:sz w:val="20"/>
                <w:szCs w:val="20"/>
              </w:rPr>
              <w:t>12,86</w:t>
            </w:r>
          </w:p>
        </w:tc>
      </w:tr>
    </w:tbl>
    <w:p w14:paraId="204999CB" w14:textId="77777777" w:rsidR="005F7BB0" w:rsidRPr="005F7BB0" w:rsidRDefault="005F7BB0" w:rsidP="005F7BB0">
      <w:pPr>
        <w:rPr>
          <w:lang w:val="ro-RO" w:eastAsia="hi-IN" w:bidi="hi-IN"/>
        </w:rPr>
      </w:pPr>
    </w:p>
    <w:p w14:paraId="429DC861" w14:textId="77777777" w:rsidR="00556B9F" w:rsidRDefault="00556B9F" w:rsidP="002538CB">
      <w:pPr>
        <w:suppressAutoHyphens/>
        <w:autoSpaceDE w:val="0"/>
        <w:spacing w:after="0" w:line="276" w:lineRule="auto"/>
        <w:jc w:val="both"/>
        <w:rPr>
          <w:rFonts w:ascii="Arial" w:eastAsia="Calibri" w:hAnsi="Arial" w:cs="Arial"/>
          <w:color w:val="000000"/>
          <w:lang w:eastAsia="zh-CN"/>
        </w:rPr>
      </w:pPr>
      <w:r w:rsidRPr="002538CB">
        <w:rPr>
          <w:rFonts w:ascii="Arial" w:eastAsia="Calibri" w:hAnsi="Arial" w:cs="Arial"/>
          <w:color w:val="000000"/>
          <w:lang w:eastAsia="zh-CN"/>
        </w:rPr>
        <w:t>Nivelurile de serviciu rezultate la nivel de intersecție sunt:</w:t>
      </w:r>
    </w:p>
    <w:p w14:paraId="41B2C73F" w14:textId="4ADD6075" w:rsidR="0081394B" w:rsidRPr="0081394B" w:rsidRDefault="0081394B" w:rsidP="0081394B">
      <w:pPr>
        <w:pStyle w:val="Legend"/>
        <w:jc w:val="center"/>
        <w:rPr>
          <w:rFonts w:ascii="Arial" w:eastAsia="Calibri" w:hAnsi="Arial" w:cs="Arial"/>
          <w:i w:val="0"/>
          <w:color w:val="000000"/>
          <w:sz w:val="22"/>
          <w:szCs w:val="22"/>
          <w:lang w:eastAsia="zh-CN"/>
        </w:rPr>
      </w:pPr>
      <w:bookmarkStart w:id="304" w:name="_Toc96447408"/>
      <w:r w:rsidRPr="0081394B">
        <w:rPr>
          <w:rFonts w:ascii="Arial" w:hAnsi="Arial" w:cs="Arial"/>
          <w:sz w:val="22"/>
          <w:szCs w:val="22"/>
        </w:rPr>
        <w:t xml:space="preserve">Tabel I.3. </w:t>
      </w:r>
      <w:r w:rsidRPr="0081394B">
        <w:rPr>
          <w:rFonts w:ascii="Arial" w:hAnsi="Arial" w:cs="Arial"/>
          <w:sz w:val="22"/>
          <w:szCs w:val="22"/>
        </w:rPr>
        <w:fldChar w:fldCharType="begin"/>
      </w:r>
      <w:r w:rsidRPr="0081394B">
        <w:rPr>
          <w:rFonts w:ascii="Arial" w:hAnsi="Arial" w:cs="Arial"/>
          <w:sz w:val="22"/>
          <w:szCs w:val="22"/>
        </w:rPr>
        <w:instrText xml:space="preserve"> SEQ Tabel_I.3. \* ARABIC </w:instrText>
      </w:r>
      <w:r w:rsidRPr="0081394B">
        <w:rPr>
          <w:rFonts w:ascii="Arial" w:hAnsi="Arial" w:cs="Arial"/>
          <w:sz w:val="22"/>
          <w:szCs w:val="22"/>
        </w:rPr>
        <w:fldChar w:fldCharType="separate"/>
      </w:r>
      <w:r w:rsidR="00BB181C">
        <w:rPr>
          <w:rFonts w:ascii="Arial" w:hAnsi="Arial" w:cs="Arial"/>
          <w:noProof/>
          <w:sz w:val="22"/>
          <w:szCs w:val="22"/>
        </w:rPr>
        <w:t>12</w:t>
      </w:r>
      <w:r w:rsidRPr="0081394B">
        <w:rPr>
          <w:rFonts w:ascii="Arial" w:hAnsi="Arial" w:cs="Arial"/>
          <w:sz w:val="22"/>
          <w:szCs w:val="22"/>
        </w:rPr>
        <w:fldChar w:fldCharType="end"/>
      </w:r>
      <w:r w:rsidRPr="0081394B">
        <w:rPr>
          <w:rFonts w:ascii="Arial" w:hAnsi="Arial" w:cs="Arial"/>
          <w:sz w:val="22"/>
          <w:szCs w:val="22"/>
        </w:rPr>
        <w:t xml:space="preserve"> – </w:t>
      </w:r>
      <w:r w:rsidRPr="0081394B">
        <w:rPr>
          <w:rFonts w:ascii="Arial" w:hAnsi="Arial" w:cs="Arial"/>
          <w:i w:val="0"/>
          <w:sz w:val="22"/>
          <w:szCs w:val="22"/>
        </w:rPr>
        <w:t>Niveluri de serviciu intersecţii Horezu - PM</w:t>
      </w:r>
      <w:bookmarkEnd w:id="304"/>
    </w:p>
    <w:tbl>
      <w:tblPr>
        <w:tblW w:w="9488" w:type="dxa"/>
        <w:tblLook w:val="04A0" w:firstRow="1" w:lastRow="0" w:firstColumn="1" w:lastColumn="0" w:noHBand="0" w:noVBand="1"/>
      </w:tblPr>
      <w:tblGrid>
        <w:gridCol w:w="699"/>
        <w:gridCol w:w="663"/>
        <w:gridCol w:w="3164"/>
        <w:gridCol w:w="1560"/>
        <w:gridCol w:w="1134"/>
        <w:gridCol w:w="1134"/>
        <w:gridCol w:w="1134"/>
      </w:tblGrid>
      <w:tr w:rsidR="0081394B" w:rsidRPr="0081394B" w14:paraId="5317B543" w14:textId="77777777" w:rsidTr="0081394B">
        <w:trPr>
          <w:trHeight w:val="1170"/>
          <w:tblHeader/>
        </w:trPr>
        <w:tc>
          <w:tcPr>
            <w:tcW w:w="699"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35B8EF2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lang w:val="ro-RO"/>
              </w:rPr>
              <w:t>Nr. crt.</w:t>
            </w:r>
          </w:p>
        </w:tc>
        <w:tc>
          <w:tcPr>
            <w:tcW w:w="663"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12BBF7B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lang w:val="ro-RO"/>
              </w:rPr>
              <w:t>Id</w:t>
            </w:r>
          </w:p>
        </w:tc>
        <w:tc>
          <w:tcPr>
            <w:tcW w:w="3164"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501B496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lang w:val="ro-RO"/>
              </w:rPr>
              <w:t>Intersecţie</w:t>
            </w:r>
          </w:p>
        </w:tc>
        <w:tc>
          <w:tcPr>
            <w:tcW w:w="156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41DBBC0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lang w:val="ro-RO"/>
              </w:rPr>
              <w:t>Tip Control intersecţie</w:t>
            </w:r>
          </w:p>
        </w:tc>
        <w:tc>
          <w:tcPr>
            <w:tcW w:w="3402" w:type="dxa"/>
            <w:gridSpan w:val="3"/>
            <w:tcBorders>
              <w:top w:val="single" w:sz="8" w:space="0" w:color="auto"/>
              <w:left w:val="nil"/>
              <w:bottom w:val="single" w:sz="8" w:space="0" w:color="auto"/>
              <w:right w:val="single" w:sz="8" w:space="0" w:color="000000"/>
            </w:tcBorders>
            <w:shd w:val="clear" w:color="000000" w:fill="D9D9D9"/>
            <w:vAlign w:val="center"/>
            <w:hideMark/>
          </w:tcPr>
          <w:p w14:paraId="25CA0B14"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lang w:val="ro-RO"/>
              </w:rPr>
              <w:t>Nivelul de serviciu maxim</w:t>
            </w:r>
          </w:p>
        </w:tc>
      </w:tr>
      <w:tr w:rsidR="0081394B" w:rsidRPr="0081394B" w14:paraId="7A9EADD1" w14:textId="77777777" w:rsidTr="00C36A80">
        <w:trPr>
          <w:trHeight w:val="300"/>
        </w:trPr>
        <w:tc>
          <w:tcPr>
            <w:tcW w:w="699" w:type="dxa"/>
            <w:vMerge/>
            <w:tcBorders>
              <w:top w:val="single" w:sz="8" w:space="0" w:color="auto"/>
              <w:left w:val="single" w:sz="8" w:space="0" w:color="auto"/>
              <w:bottom w:val="single" w:sz="8" w:space="0" w:color="000000"/>
              <w:right w:val="single" w:sz="8" w:space="0" w:color="auto"/>
            </w:tcBorders>
            <w:vAlign w:val="center"/>
            <w:hideMark/>
          </w:tcPr>
          <w:p w14:paraId="4F91B19E" w14:textId="77777777" w:rsidR="0081394B" w:rsidRPr="0081394B" w:rsidRDefault="0081394B" w:rsidP="0081394B">
            <w:pPr>
              <w:spacing w:after="0" w:line="240" w:lineRule="auto"/>
              <w:jc w:val="center"/>
              <w:rPr>
                <w:rFonts w:ascii="Calibri" w:eastAsia="Times New Roman" w:hAnsi="Calibri" w:cs="Calibri"/>
                <w:color w:val="000000"/>
              </w:rPr>
            </w:pPr>
          </w:p>
        </w:tc>
        <w:tc>
          <w:tcPr>
            <w:tcW w:w="663" w:type="dxa"/>
            <w:vMerge/>
            <w:tcBorders>
              <w:top w:val="single" w:sz="8" w:space="0" w:color="auto"/>
              <w:left w:val="single" w:sz="8" w:space="0" w:color="auto"/>
              <w:bottom w:val="single" w:sz="8" w:space="0" w:color="000000"/>
              <w:right w:val="single" w:sz="8" w:space="0" w:color="auto"/>
            </w:tcBorders>
            <w:vAlign w:val="center"/>
            <w:hideMark/>
          </w:tcPr>
          <w:p w14:paraId="2357D1EB" w14:textId="77777777" w:rsidR="0081394B" w:rsidRPr="0081394B" w:rsidRDefault="0081394B" w:rsidP="0081394B">
            <w:pPr>
              <w:spacing w:after="0" w:line="240" w:lineRule="auto"/>
              <w:rPr>
                <w:rFonts w:ascii="Calibri" w:eastAsia="Times New Roman" w:hAnsi="Calibri" w:cs="Calibri"/>
                <w:color w:val="000000"/>
              </w:rPr>
            </w:pPr>
          </w:p>
        </w:tc>
        <w:tc>
          <w:tcPr>
            <w:tcW w:w="3164" w:type="dxa"/>
            <w:vMerge/>
            <w:tcBorders>
              <w:top w:val="single" w:sz="8" w:space="0" w:color="auto"/>
              <w:left w:val="single" w:sz="8" w:space="0" w:color="auto"/>
              <w:bottom w:val="single" w:sz="8" w:space="0" w:color="000000"/>
              <w:right w:val="single" w:sz="8" w:space="0" w:color="auto"/>
            </w:tcBorders>
            <w:vAlign w:val="center"/>
            <w:hideMark/>
          </w:tcPr>
          <w:p w14:paraId="7B1CDDD6" w14:textId="77777777" w:rsidR="0081394B" w:rsidRPr="0081394B" w:rsidRDefault="0081394B" w:rsidP="0081394B">
            <w:pPr>
              <w:spacing w:after="0" w:line="240" w:lineRule="auto"/>
              <w:rPr>
                <w:rFonts w:ascii="Calibri" w:eastAsia="Times New Roman" w:hAnsi="Calibri" w:cs="Calibri"/>
                <w:color w:val="000000"/>
              </w:rPr>
            </w:pPr>
          </w:p>
        </w:tc>
        <w:tc>
          <w:tcPr>
            <w:tcW w:w="1560" w:type="dxa"/>
            <w:vMerge/>
            <w:tcBorders>
              <w:top w:val="single" w:sz="8" w:space="0" w:color="auto"/>
              <w:left w:val="single" w:sz="8" w:space="0" w:color="auto"/>
              <w:bottom w:val="single" w:sz="8" w:space="0" w:color="000000"/>
              <w:right w:val="single" w:sz="8" w:space="0" w:color="auto"/>
            </w:tcBorders>
            <w:vAlign w:val="center"/>
            <w:hideMark/>
          </w:tcPr>
          <w:p w14:paraId="1D776729" w14:textId="77777777" w:rsidR="0081394B" w:rsidRPr="0081394B" w:rsidRDefault="0081394B" w:rsidP="0081394B">
            <w:pPr>
              <w:spacing w:after="0" w:line="240" w:lineRule="auto"/>
              <w:rPr>
                <w:rFonts w:ascii="Calibri" w:eastAsia="Times New Roman" w:hAnsi="Calibri" w:cs="Calibri"/>
                <w:color w:val="000000"/>
              </w:rPr>
            </w:pPr>
          </w:p>
        </w:tc>
        <w:tc>
          <w:tcPr>
            <w:tcW w:w="1134" w:type="dxa"/>
            <w:tcBorders>
              <w:top w:val="nil"/>
              <w:left w:val="nil"/>
              <w:bottom w:val="single" w:sz="8" w:space="0" w:color="auto"/>
              <w:right w:val="single" w:sz="8" w:space="0" w:color="auto"/>
            </w:tcBorders>
            <w:shd w:val="clear" w:color="000000" w:fill="D9D9D9"/>
            <w:vAlign w:val="center"/>
            <w:hideMark/>
          </w:tcPr>
          <w:p w14:paraId="08BD52A9"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2021</w:t>
            </w:r>
          </w:p>
        </w:tc>
        <w:tc>
          <w:tcPr>
            <w:tcW w:w="1134" w:type="dxa"/>
            <w:tcBorders>
              <w:top w:val="nil"/>
              <w:left w:val="nil"/>
              <w:bottom w:val="single" w:sz="8" w:space="0" w:color="auto"/>
              <w:right w:val="single" w:sz="8" w:space="0" w:color="auto"/>
            </w:tcBorders>
            <w:shd w:val="clear" w:color="000000" w:fill="D9D9D9"/>
            <w:vAlign w:val="center"/>
            <w:hideMark/>
          </w:tcPr>
          <w:p w14:paraId="6218CAC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2027</w:t>
            </w:r>
          </w:p>
        </w:tc>
        <w:tc>
          <w:tcPr>
            <w:tcW w:w="1134" w:type="dxa"/>
            <w:tcBorders>
              <w:top w:val="nil"/>
              <w:left w:val="nil"/>
              <w:bottom w:val="single" w:sz="8" w:space="0" w:color="auto"/>
              <w:right w:val="single" w:sz="8" w:space="0" w:color="auto"/>
            </w:tcBorders>
            <w:shd w:val="clear" w:color="000000" w:fill="D9D9D9"/>
            <w:vAlign w:val="center"/>
            <w:hideMark/>
          </w:tcPr>
          <w:p w14:paraId="6C28F72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2035</w:t>
            </w:r>
          </w:p>
        </w:tc>
      </w:tr>
      <w:tr w:rsidR="0081394B" w:rsidRPr="0081394B" w14:paraId="285519E8"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47F278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w:t>
            </w:r>
          </w:p>
        </w:tc>
        <w:tc>
          <w:tcPr>
            <w:tcW w:w="663" w:type="dxa"/>
            <w:tcBorders>
              <w:top w:val="nil"/>
              <w:left w:val="nil"/>
              <w:bottom w:val="single" w:sz="8" w:space="0" w:color="auto"/>
              <w:right w:val="single" w:sz="8" w:space="0" w:color="auto"/>
            </w:tcBorders>
            <w:shd w:val="clear" w:color="auto" w:fill="auto"/>
            <w:noWrap/>
            <w:vAlign w:val="center"/>
            <w:hideMark/>
          </w:tcPr>
          <w:p w14:paraId="0D1C68F2"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64</w:t>
            </w:r>
          </w:p>
        </w:tc>
        <w:tc>
          <w:tcPr>
            <w:tcW w:w="3164" w:type="dxa"/>
            <w:tcBorders>
              <w:top w:val="nil"/>
              <w:left w:val="nil"/>
              <w:bottom w:val="single" w:sz="8" w:space="0" w:color="auto"/>
              <w:right w:val="single" w:sz="8" w:space="0" w:color="auto"/>
            </w:tcBorders>
            <w:shd w:val="clear" w:color="auto" w:fill="auto"/>
            <w:noWrap/>
            <w:vAlign w:val="center"/>
            <w:hideMark/>
          </w:tcPr>
          <w:p w14:paraId="15F2CBE8"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DN 67 – DJ 665 (str. Iancu Jianu)</w:t>
            </w:r>
          </w:p>
        </w:tc>
        <w:tc>
          <w:tcPr>
            <w:tcW w:w="1560" w:type="dxa"/>
            <w:tcBorders>
              <w:top w:val="nil"/>
              <w:left w:val="nil"/>
              <w:bottom w:val="single" w:sz="8" w:space="0" w:color="auto"/>
              <w:right w:val="single" w:sz="8" w:space="0" w:color="auto"/>
            </w:tcBorders>
            <w:shd w:val="clear" w:color="auto" w:fill="auto"/>
            <w:noWrap/>
            <w:vAlign w:val="center"/>
            <w:hideMark/>
          </w:tcPr>
          <w:p w14:paraId="1E853B6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C000"/>
            <w:noWrap/>
            <w:vAlign w:val="center"/>
            <w:hideMark/>
          </w:tcPr>
          <w:p w14:paraId="7844BA21"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BF8F00"/>
            <w:noWrap/>
            <w:vAlign w:val="center"/>
            <w:hideMark/>
          </w:tcPr>
          <w:p w14:paraId="7FA56A69"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D</w:t>
            </w:r>
          </w:p>
        </w:tc>
        <w:tc>
          <w:tcPr>
            <w:tcW w:w="1134" w:type="dxa"/>
            <w:tcBorders>
              <w:top w:val="nil"/>
              <w:left w:val="nil"/>
              <w:bottom w:val="single" w:sz="8" w:space="0" w:color="auto"/>
              <w:right w:val="single" w:sz="8" w:space="0" w:color="auto"/>
            </w:tcBorders>
            <w:shd w:val="clear" w:color="000000" w:fill="C00000"/>
            <w:noWrap/>
            <w:vAlign w:val="center"/>
            <w:hideMark/>
          </w:tcPr>
          <w:p w14:paraId="07F04A0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67521E18"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3CF9C91"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2</w:t>
            </w:r>
          </w:p>
        </w:tc>
        <w:tc>
          <w:tcPr>
            <w:tcW w:w="663" w:type="dxa"/>
            <w:tcBorders>
              <w:top w:val="nil"/>
              <w:left w:val="nil"/>
              <w:bottom w:val="single" w:sz="8" w:space="0" w:color="auto"/>
              <w:right w:val="single" w:sz="8" w:space="0" w:color="auto"/>
            </w:tcBorders>
            <w:shd w:val="clear" w:color="auto" w:fill="auto"/>
            <w:noWrap/>
            <w:vAlign w:val="center"/>
            <w:hideMark/>
          </w:tcPr>
          <w:p w14:paraId="2EB644D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69</w:t>
            </w:r>
          </w:p>
        </w:tc>
        <w:tc>
          <w:tcPr>
            <w:tcW w:w="3164" w:type="dxa"/>
            <w:tcBorders>
              <w:top w:val="nil"/>
              <w:left w:val="nil"/>
              <w:bottom w:val="single" w:sz="8" w:space="0" w:color="auto"/>
              <w:right w:val="single" w:sz="8" w:space="0" w:color="auto"/>
            </w:tcBorders>
            <w:shd w:val="clear" w:color="auto" w:fill="auto"/>
            <w:noWrap/>
            <w:vAlign w:val="center"/>
            <w:hideMark/>
          </w:tcPr>
          <w:p w14:paraId="217C9220"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DN67 - str. Anton Pann</w:t>
            </w:r>
          </w:p>
        </w:tc>
        <w:tc>
          <w:tcPr>
            <w:tcW w:w="1560" w:type="dxa"/>
            <w:tcBorders>
              <w:top w:val="nil"/>
              <w:left w:val="nil"/>
              <w:bottom w:val="single" w:sz="8" w:space="0" w:color="auto"/>
              <w:right w:val="single" w:sz="8" w:space="0" w:color="auto"/>
            </w:tcBorders>
            <w:shd w:val="clear" w:color="auto" w:fill="auto"/>
            <w:noWrap/>
            <w:vAlign w:val="center"/>
            <w:hideMark/>
          </w:tcPr>
          <w:p w14:paraId="42FEA62C"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3E39C9F0"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4A04E1D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3859C7C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r>
      <w:tr w:rsidR="0081394B" w:rsidRPr="0081394B" w14:paraId="16A0A7AE"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45961C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3</w:t>
            </w:r>
          </w:p>
        </w:tc>
        <w:tc>
          <w:tcPr>
            <w:tcW w:w="663" w:type="dxa"/>
            <w:tcBorders>
              <w:top w:val="nil"/>
              <w:left w:val="nil"/>
              <w:bottom w:val="single" w:sz="8" w:space="0" w:color="auto"/>
              <w:right w:val="single" w:sz="8" w:space="0" w:color="auto"/>
            </w:tcBorders>
            <w:shd w:val="clear" w:color="auto" w:fill="auto"/>
            <w:noWrap/>
            <w:vAlign w:val="center"/>
            <w:hideMark/>
          </w:tcPr>
          <w:p w14:paraId="0408C7B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75</w:t>
            </w:r>
          </w:p>
        </w:tc>
        <w:tc>
          <w:tcPr>
            <w:tcW w:w="3164" w:type="dxa"/>
            <w:tcBorders>
              <w:top w:val="nil"/>
              <w:left w:val="nil"/>
              <w:bottom w:val="single" w:sz="8" w:space="0" w:color="auto"/>
              <w:right w:val="single" w:sz="8" w:space="0" w:color="auto"/>
            </w:tcBorders>
            <w:shd w:val="clear" w:color="auto" w:fill="auto"/>
            <w:noWrap/>
            <w:vAlign w:val="center"/>
            <w:hideMark/>
          </w:tcPr>
          <w:p w14:paraId="5FE288B3"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DN67 - str. Eroilor</w:t>
            </w:r>
          </w:p>
        </w:tc>
        <w:tc>
          <w:tcPr>
            <w:tcW w:w="1560" w:type="dxa"/>
            <w:tcBorders>
              <w:top w:val="nil"/>
              <w:left w:val="nil"/>
              <w:bottom w:val="single" w:sz="8" w:space="0" w:color="auto"/>
              <w:right w:val="single" w:sz="8" w:space="0" w:color="auto"/>
            </w:tcBorders>
            <w:shd w:val="clear" w:color="auto" w:fill="auto"/>
            <w:noWrap/>
            <w:vAlign w:val="center"/>
            <w:hideMark/>
          </w:tcPr>
          <w:p w14:paraId="10A3375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C000"/>
            <w:noWrap/>
            <w:vAlign w:val="center"/>
            <w:hideMark/>
          </w:tcPr>
          <w:p w14:paraId="608E9ED4"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C00000"/>
            <w:noWrap/>
            <w:vAlign w:val="center"/>
            <w:hideMark/>
          </w:tcPr>
          <w:p w14:paraId="5A701AE2"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C00000"/>
            <w:noWrap/>
            <w:vAlign w:val="center"/>
            <w:hideMark/>
          </w:tcPr>
          <w:p w14:paraId="19C4313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3D316178"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C4D877E"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4</w:t>
            </w:r>
          </w:p>
        </w:tc>
        <w:tc>
          <w:tcPr>
            <w:tcW w:w="663" w:type="dxa"/>
            <w:tcBorders>
              <w:top w:val="nil"/>
              <w:left w:val="nil"/>
              <w:bottom w:val="single" w:sz="8" w:space="0" w:color="auto"/>
              <w:right w:val="single" w:sz="8" w:space="0" w:color="auto"/>
            </w:tcBorders>
            <w:shd w:val="clear" w:color="auto" w:fill="auto"/>
            <w:noWrap/>
            <w:vAlign w:val="center"/>
            <w:hideMark/>
          </w:tcPr>
          <w:p w14:paraId="3553B8F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84</w:t>
            </w:r>
          </w:p>
        </w:tc>
        <w:tc>
          <w:tcPr>
            <w:tcW w:w="3164" w:type="dxa"/>
            <w:tcBorders>
              <w:top w:val="nil"/>
              <w:left w:val="nil"/>
              <w:bottom w:val="single" w:sz="8" w:space="0" w:color="auto"/>
              <w:right w:val="single" w:sz="8" w:space="0" w:color="auto"/>
            </w:tcBorders>
            <w:shd w:val="clear" w:color="auto" w:fill="auto"/>
            <w:noWrap/>
            <w:vAlign w:val="center"/>
            <w:hideMark/>
          </w:tcPr>
          <w:p w14:paraId="67EC1E3E"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DC143 - str. Nicolae Iorga</w:t>
            </w:r>
          </w:p>
        </w:tc>
        <w:tc>
          <w:tcPr>
            <w:tcW w:w="1560" w:type="dxa"/>
            <w:tcBorders>
              <w:top w:val="nil"/>
              <w:left w:val="nil"/>
              <w:bottom w:val="single" w:sz="8" w:space="0" w:color="auto"/>
              <w:right w:val="single" w:sz="8" w:space="0" w:color="auto"/>
            </w:tcBorders>
            <w:shd w:val="clear" w:color="auto" w:fill="auto"/>
            <w:noWrap/>
            <w:vAlign w:val="center"/>
            <w:hideMark/>
          </w:tcPr>
          <w:p w14:paraId="68511F0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0B20BFC4"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C00000"/>
            <w:noWrap/>
            <w:vAlign w:val="center"/>
            <w:hideMark/>
          </w:tcPr>
          <w:p w14:paraId="026982B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C00000"/>
            <w:noWrap/>
            <w:vAlign w:val="center"/>
            <w:hideMark/>
          </w:tcPr>
          <w:p w14:paraId="24C88F62"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4CE2018E"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A751249"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5</w:t>
            </w:r>
          </w:p>
        </w:tc>
        <w:tc>
          <w:tcPr>
            <w:tcW w:w="663" w:type="dxa"/>
            <w:tcBorders>
              <w:top w:val="nil"/>
              <w:left w:val="nil"/>
              <w:bottom w:val="single" w:sz="8" w:space="0" w:color="auto"/>
              <w:right w:val="single" w:sz="8" w:space="0" w:color="auto"/>
            </w:tcBorders>
            <w:shd w:val="clear" w:color="auto" w:fill="auto"/>
            <w:noWrap/>
            <w:vAlign w:val="center"/>
            <w:hideMark/>
          </w:tcPr>
          <w:p w14:paraId="684B3E41"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85</w:t>
            </w:r>
          </w:p>
        </w:tc>
        <w:tc>
          <w:tcPr>
            <w:tcW w:w="3164" w:type="dxa"/>
            <w:tcBorders>
              <w:top w:val="nil"/>
              <w:left w:val="nil"/>
              <w:bottom w:val="single" w:sz="8" w:space="0" w:color="auto"/>
              <w:right w:val="single" w:sz="8" w:space="0" w:color="auto"/>
            </w:tcBorders>
            <w:shd w:val="clear" w:color="auto" w:fill="auto"/>
            <w:noWrap/>
            <w:vAlign w:val="center"/>
            <w:hideMark/>
          </w:tcPr>
          <w:p w14:paraId="29A0253F"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DC 143 – str. Mihai Viteazu</w:t>
            </w:r>
          </w:p>
        </w:tc>
        <w:tc>
          <w:tcPr>
            <w:tcW w:w="1560" w:type="dxa"/>
            <w:tcBorders>
              <w:top w:val="nil"/>
              <w:left w:val="nil"/>
              <w:bottom w:val="single" w:sz="8" w:space="0" w:color="auto"/>
              <w:right w:val="single" w:sz="8" w:space="0" w:color="auto"/>
            </w:tcBorders>
            <w:shd w:val="clear" w:color="auto" w:fill="auto"/>
            <w:noWrap/>
            <w:vAlign w:val="center"/>
            <w:hideMark/>
          </w:tcPr>
          <w:p w14:paraId="7FC1AF5C"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44715595"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4AED0407"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01C064A7"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r>
      <w:tr w:rsidR="0081394B" w:rsidRPr="0081394B" w14:paraId="0029B57A"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156288D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6</w:t>
            </w:r>
          </w:p>
        </w:tc>
        <w:tc>
          <w:tcPr>
            <w:tcW w:w="663" w:type="dxa"/>
            <w:tcBorders>
              <w:top w:val="nil"/>
              <w:left w:val="nil"/>
              <w:bottom w:val="single" w:sz="8" w:space="0" w:color="auto"/>
              <w:right w:val="single" w:sz="8" w:space="0" w:color="auto"/>
            </w:tcBorders>
            <w:shd w:val="clear" w:color="auto" w:fill="auto"/>
            <w:noWrap/>
            <w:vAlign w:val="center"/>
            <w:hideMark/>
          </w:tcPr>
          <w:p w14:paraId="0028924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86</w:t>
            </w:r>
          </w:p>
        </w:tc>
        <w:tc>
          <w:tcPr>
            <w:tcW w:w="3164" w:type="dxa"/>
            <w:tcBorders>
              <w:top w:val="nil"/>
              <w:left w:val="nil"/>
              <w:bottom w:val="single" w:sz="8" w:space="0" w:color="auto"/>
              <w:right w:val="single" w:sz="8" w:space="0" w:color="auto"/>
            </w:tcBorders>
            <w:shd w:val="clear" w:color="auto" w:fill="auto"/>
            <w:noWrap/>
            <w:vAlign w:val="center"/>
            <w:hideMark/>
          </w:tcPr>
          <w:p w14:paraId="2F81408E"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DN67 - Str. Căpitan Maldăr</w:t>
            </w:r>
          </w:p>
        </w:tc>
        <w:tc>
          <w:tcPr>
            <w:tcW w:w="1560" w:type="dxa"/>
            <w:tcBorders>
              <w:top w:val="nil"/>
              <w:left w:val="nil"/>
              <w:bottom w:val="single" w:sz="8" w:space="0" w:color="auto"/>
              <w:right w:val="single" w:sz="8" w:space="0" w:color="auto"/>
            </w:tcBorders>
            <w:shd w:val="clear" w:color="auto" w:fill="auto"/>
            <w:noWrap/>
            <w:vAlign w:val="center"/>
            <w:hideMark/>
          </w:tcPr>
          <w:p w14:paraId="0C96645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C000"/>
            <w:noWrap/>
            <w:vAlign w:val="center"/>
            <w:hideMark/>
          </w:tcPr>
          <w:p w14:paraId="00948D9E"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C00000"/>
            <w:noWrap/>
            <w:vAlign w:val="center"/>
            <w:hideMark/>
          </w:tcPr>
          <w:p w14:paraId="5E098D5C"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C00000"/>
            <w:noWrap/>
            <w:vAlign w:val="center"/>
            <w:hideMark/>
          </w:tcPr>
          <w:p w14:paraId="2F80EDA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525B7CCA"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B23B753"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7</w:t>
            </w:r>
          </w:p>
        </w:tc>
        <w:tc>
          <w:tcPr>
            <w:tcW w:w="663" w:type="dxa"/>
            <w:tcBorders>
              <w:top w:val="nil"/>
              <w:left w:val="nil"/>
              <w:bottom w:val="single" w:sz="8" w:space="0" w:color="auto"/>
              <w:right w:val="single" w:sz="8" w:space="0" w:color="auto"/>
            </w:tcBorders>
            <w:shd w:val="clear" w:color="auto" w:fill="auto"/>
            <w:noWrap/>
            <w:vAlign w:val="center"/>
            <w:hideMark/>
          </w:tcPr>
          <w:p w14:paraId="043CD93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88</w:t>
            </w:r>
          </w:p>
        </w:tc>
        <w:tc>
          <w:tcPr>
            <w:tcW w:w="3164" w:type="dxa"/>
            <w:tcBorders>
              <w:top w:val="nil"/>
              <w:left w:val="nil"/>
              <w:bottom w:val="single" w:sz="8" w:space="0" w:color="auto"/>
              <w:right w:val="single" w:sz="8" w:space="0" w:color="auto"/>
            </w:tcBorders>
            <w:shd w:val="clear" w:color="auto" w:fill="auto"/>
            <w:noWrap/>
            <w:vAlign w:val="center"/>
            <w:hideMark/>
          </w:tcPr>
          <w:p w14:paraId="2D66416A"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13 - DC 139 – DN 67 (A)</w:t>
            </w:r>
          </w:p>
        </w:tc>
        <w:tc>
          <w:tcPr>
            <w:tcW w:w="1560" w:type="dxa"/>
            <w:tcBorders>
              <w:top w:val="nil"/>
              <w:left w:val="nil"/>
              <w:bottom w:val="single" w:sz="8" w:space="0" w:color="auto"/>
              <w:right w:val="single" w:sz="8" w:space="0" w:color="auto"/>
            </w:tcBorders>
            <w:shd w:val="clear" w:color="auto" w:fill="auto"/>
            <w:noWrap/>
            <w:vAlign w:val="center"/>
            <w:hideMark/>
          </w:tcPr>
          <w:p w14:paraId="46E853F4"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C000"/>
            <w:noWrap/>
            <w:vAlign w:val="center"/>
            <w:hideMark/>
          </w:tcPr>
          <w:p w14:paraId="59E98650"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BF8F00"/>
            <w:noWrap/>
            <w:vAlign w:val="center"/>
            <w:hideMark/>
          </w:tcPr>
          <w:p w14:paraId="6ED2A09F"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D</w:t>
            </w:r>
          </w:p>
        </w:tc>
        <w:tc>
          <w:tcPr>
            <w:tcW w:w="1134" w:type="dxa"/>
            <w:tcBorders>
              <w:top w:val="nil"/>
              <w:left w:val="nil"/>
              <w:bottom w:val="single" w:sz="8" w:space="0" w:color="auto"/>
              <w:right w:val="single" w:sz="8" w:space="0" w:color="auto"/>
            </w:tcBorders>
            <w:shd w:val="clear" w:color="000000" w:fill="C00000"/>
            <w:noWrap/>
            <w:vAlign w:val="center"/>
            <w:hideMark/>
          </w:tcPr>
          <w:p w14:paraId="2168F3BE"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5781B6DB"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1ACF3723"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8</w:t>
            </w:r>
          </w:p>
        </w:tc>
        <w:tc>
          <w:tcPr>
            <w:tcW w:w="663" w:type="dxa"/>
            <w:tcBorders>
              <w:top w:val="nil"/>
              <w:left w:val="nil"/>
              <w:bottom w:val="single" w:sz="8" w:space="0" w:color="auto"/>
              <w:right w:val="single" w:sz="8" w:space="0" w:color="auto"/>
            </w:tcBorders>
            <w:shd w:val="clear" w:color="auto" w:fill="auto"/>
            <w:noWrap/>
            <w:vAlign w:val="center"/>
            <w:hideMark/>
          </w:tcPr>
          <w:p w14:paraId="1A8306D2"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89</w:t>
            </w:r>
          </w:p>
        </w:tc>
        <w:tc>
          <w:tcPr>
            <w:tcW w:w="3164" w:type="dxa"/>
            <w:tcBorders>
              <w:top w:val="nil"/>
              <w:left w:val="nil"/>
              <w:bottom w:val="single" w:sz="8" w:space="0" w:color="auto"/>
              <w:right w:val="single" w:sz="8" w:space="0" w:color="auto"/>
            </w:tcBorders>
            <w:shd w:val="clear" w:color="auto" w:fill="auto"/>
            <w:noWrap/>
            <w:vAlign w:val="center"/>
            <w:hideMark/>
          </w:tcPr>
          <w:p w14:paraId="2FA9563F"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13 - DC 139 – DN 67 (B)</w:t>
            </w:r>
          </w:p>
        </w:tc>
        <w:tc>
          <w:tcPr>
            <w:tcW w:w="1560" w:type="dxa"/>
            <w:tcBorders>
              <w:top w:val="nil"/>
              <w:left w:val="nil"/>
              <w:bottom w:val="single" w:sz="8" w:space="0" w:color="auto"/>
              <w:right w:val="single" w:sz="8" w:space="0" w:color="auto"/>
            </w:tcBorders>
            <w:shd w:val="clear" w:color="auto" w:fill="auto"/>
            <w:noWrap/>
            <w:vAlign w:val="center"/>
            <w:hideMark/>
          </w:tcPr>
          <w:p w14:paraId="0E5E6BF5"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C000"/>
            <w:noWrap/>
            <w:vAlign w:val="center"/>
            <w:hideMark/>
          </w:tcPr>
          <w:p w14:paraId="57604AE7"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C00000"/>
            <w:noWrap/>
            <w:vAlign w:val="center"/>
            <w:hideMark/>
          </w:tcPr>
          <w:p w14:paraId="242662E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C00000"/>
            <w:noWrap/>
            <w:vAlign w:val="center"/>
            <w:hideMark/>
          </w:tcPr>
          <w:p w14:paraId="6FACE95E"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0A495915"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650C534"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9</w:t>
            </w:r>
          </w:p>
        </w:tc>
        <w:tc>
          <w:tcPr>
            <w:tcW w:w="663" w:type="dxa"/>
            <w:tcBorders>
              <w:top w:val="nil"/>
              <w:left w:val="nil"/>
              <w:bottom w:val="single" w:sz="8" w:space="0" w:color="auto"/>
              <w:right w:val="single" w:sz="8" w:space="0" w:color="auto"/>
            </w:tcBorders>
            <w:shd w:val="clear" w:color="auto" w:fill="auto"/>
            <w:noWrap/>
            <w:vAlign w:val="center"/>
            <w:hideMark/>
          </w:tcPr>
          <w:p w14:paraId="03AA26F9"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90</w:t>
            </w:r>
          </w:p>
        </w:tc>
        <w:tc>
          <w:tcPr>
            <w:tcW w:w="3164" w:type="dxa"/>
            <w:tcBorders>
              <w:top w:val="nil"/>
              <w:left w:val="nil"/>
              <w:bottom w:val="single" w:sz="8" w:space="0" w:color="auto"/>
              <w:right w:val="single" w:sz="8" w:space="0" w:color="auto"/>
            </w:tcBorders>
            <w:shd w:val="clear" w:color="auto" w:fill="auto"/>
            <w:noWrap/>
            <w:vAlign w:val="center"/>
            <w:hideMark/>
          </w:tcPr>
          <w:p w14:paraId="31A5D215"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DN67 - Str. Zăvoiului</w:t>
            </w:r>
          </w:p>
        </w:tc>
        <w:tc>
          <w:tcPr>
            <w:tcW w:w="1560" w:type="dxa"/>
            <w:tcBorders>
              <w:top w:val="nil"/>
              <w:left w:val="nil"/>
              <w:bottom w:val="single" w:sz="8" w:space="0" w:color="auto"/>
              <w:right w:val="single" w:sz="8" w:space="0" w:color="auto"/>
            </w:tcBorders>
            <w:shd w:val="clear" w:color="auto" w:fill="auto"/>
            <w:noWrap/>
            <w:vAlign w:val="center"/>
            <w:hideMark/>
          </w:tcPr>
          <w:p w14:paraId="41794F3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FFFF00"/>
            <w:noWrap/>
            <w:vAlign w:val="center"/>
            <w:hideMark/>
          </w:tcPr>
          <w:p w14:paraId="65E1A84E"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FFC000"/>
            <w:noWrap/>
            <w:vAlign w:val="center"/>
            <w:hideMark/>
          </w:tcPr>
          <w:p w14:paraId="1D02ADA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w:t>
            </w:r>
          </w:p>
        </w:tc>
        <w:tc>
          <w:tcPr>
            <w:tcW w:w="1134" w:type="dxa"/>
            <w:tcBorders>
              <w:top w:val="nil"/>
              <w:left w:val="nil"/>
              <w:bottom w:val="single" w:sz="8" w:space="0" w:color="auto"/>
              <w:right w:val="single" w:sz="8" w:space="0" w:color="auto"/>
            </w:tcBorders>
            <w:shd w:val="clear" w:color="000000" w:fill="BF8F00"/>
            <w:noWrap/>
            <w:vAlign w:val="center"/>
            <w:hideMark/>
          </w:tcPr>
          <w:p w14:paraId="0ACD8A8F"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D</w:t>
            </w:r>
          </w:p>
        </w:tc>
      </w:tr>
      <w:tr w:rsidR="0081394B" w:rsidRPr="0081394B" w14:paraId="626A46DC"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3AEB38E5"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10</w:t>
            </w:r>
          </w:p>
        </w:tc>
        <w:tc>
          <w:tcPr>
            <w:tcW w:w="663" w:type="dxa"/>
            <w:tcBorders>
              <w:top w:val="nil"/>
              <w:left w:val="nil"/>
              <w:bottom w:val="single" w:sz="8" w:space="0" w:color="auto"/>
              <w:right w:val="single" w:sz="8" w:space="0" w:color="auto"/>
            </w:tcBorders>
            <w:shd w:val="clear" w:color="auto" w:fill="auto"/>
            <w:noWrap/>
            <w:vAlign w:val="center"/>
            <w:hideMark/>
          </w:tcPr>
          <w:p w14:paraId="6CF280DB"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91</w:t>
            </w:r>
          </w:p>
        </w:tc>
        <w:tc>
          <w:tcPr>
            <w:tcW w:w="3164" w:type="dxa"/>
            <w:tcBorders>
              <w:top w:val="nil"/>
              <w:left w:val="nil"/>
              <w:bottom w:val="single" w:sz="8" w:space="0" w:color="auto"/>
              <w:right w:val="single" w:sz="8" w:space="0" w:color="auto"/>
            </w:tcBorders>
            <w:shd w:val="clear" w:color="auto" w:fill="auto"/>
            <w:noWrap/>
            <w:vAlign w:val="center"/>
            <w:hideMark/>
          </w:tcPr>
          <w:p w14:paraId="2E463F54"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 xml:space="preserve"> DC 142 – str. Matei Basarab</w:t>
            </w:r>
          </w:p>
        </w:tc>
        <w:tc>
          <w:tcPr>
            <w:tcW w:w="1560" w:type="dxa"/>
            <w:tcBorders>
              <w:top w:val="nil"/>
              <w:left w:val="nil"/>
              <w:bottom w:val="single" w:sz="8" w:space="0" w:color="auto"/>
              <w:right w:val="single" w:sz="8" w:space="0" w:color="auto"/>
            </w:tcBorders>
            <w:shd w:val="clear" w:color="auto" w:fill="auto"/>
            <w:noWrap/>
            <w:vAlign w:val="center"/>
            <w:hideMark/>
          </w:tcPr>
          <w:p w14:paraId="57F8576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6D3DD4BF"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7817846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393FDF67"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r>
      <w:tr w:rsidR="0081394B" w:rsidRPr="0081394B" w14:paraId="2A0DC87D"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222D5AF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11</w:t>
            </w:r>
          </w:p>
        </w:tc>
        <w:tc>
          <w:tcPr>
            <w:tcW w:w="663" w:type="dxa"/>
            <w:tcBorders>
              <w:top w:val="nil"/>
              <w:left w:val="nil"/>
              <w:bottom w:val="single" w:sz="8" w:space="0" w:color="auto"/>
              <w:right w:val="single" w:sz="8" w:space="0" w:color="auto"/>
            </w:tcBorders>
            <w:shd w:val="clear" w:color="auto" w:fill="auto"/>
            <w:noWrap/>
            <w:vAlign w:val="center"/>
            <w:hideMark/>
          </w:tcPr>
          <w:p w14:paraId="41075E91"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94</w:t>
            </w:r>
          </w:p>
        </w:tc>
        <w:tc>
          <w:tcPr>
            <w:tcW w:w="3164" w:type="dxa"/>
            <w:tcBorders>
              <w:top w:val="nil"/>
              <w:left w:val="nil"/>
              <w:bottom w:val="single" w:sz="8" w:space="0" w:color="auto"/>
              <w:right w:val="single" w:sz="8" w:space="0" w:color="auto"/>
            </w:tcBorders>
            <w:shd w:val="clear" w:color="auto" w:fill="auto"/>
            <w:noWrap/>
            <w:vAlign w:val="center"/>
            <w:hideMark/>
          </w:tcPr>
          <w:p w14:paraId="52C3BA4A"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DN67 - George Coșbuc</w:t>
            </w:r>
          </w:p>
        </w:tc>
        <w:tc>
          <w:tcPr>
            <w:tcW w:w="1560" w:type="dxa"/>
            <w:tcBorders>
              <w:top w:val="nil"/>
              <w:left w:val="nil"/>
              <w:bottom w:val="single" w:sz="8" w:space="0" w:color="auto"/>
              <w:right w:val="single" w:sz="8" w:space="0" w:color="auto"/>
            </w:tcBorders>
            <w:shd w:val="clear" w:color="auto" w:fill="auto"/>
            <w:noWrap/>
            <w:vAlign w:val="center"/>
            <w:hideMark/>
          </w:tcPr>
          <w:p w14:paraId="39CE8C03"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 xml:space="preserve">Stop pe doua </w:t>
            </w:r>
            <w:r w:rsidRPr="0081394B">
              <w:rPr>
                <w:rFonts w:ascii="Calibri" w:eastAsia="Times New Roman" w:hAnsi="Calibri" w:cs="Calibri"/>
                <w:color w:val="000000"/>
              </w:rPr>
              <w:lastRenderedPageBreak/>
              <w:t>directii</w:t>
            </w:r>
          </w:p>
        </w:tc>
        <w:tc>
          <w:tcPr>
            <w:tcW w:w="1134" w:type="dxa"/>
            <w:tcBorders>
              <w:top w:val="nil"/>
              <w:left w:val="nil"/>
              <w:bottom w:val="single" w:sz="8" w:space="0" w:color="auto"/>
              <w:right w:val="single" w:sz="8" w:space="0" w:color="auto"/>
            </w:tcBorders>
            <w:shd w:val="clear" w:color="000000" w:fill="C00000"/>
            <w:noWrap/>
            <w:vAlign w:val="center"/>
            <w:hideMark/>
          </w:tcPr>
          <w:p w14:paraId="43DE34D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lastRenderedPageBreak/>
              <w:t>F</w:t>
            </w:r>
          </w:p>
        </w:tc>
        <w:tc>
          <w:tcPr>
            <w:tcW w:w="1134" w:type="dxa"/>
            <w:tcBorders>
              <w:top w:val="nil"/>
              <w:left w:val="nil"/>
              <w:bottom w:val="single" w:sz="8" w:space="0" w:color="auto"/>
              <w:right w:val="single" w:sz="8" w:space="0" w:color="auto"/>
            </w:tcBorders>
            <w:shd w:val="clear" w:color="000000" w:fill="C00000"/>
            <w:noWrap/>
            <w:vAlign w:val="center"/>
            <w:hideMark/>
          </w:tcPr>
          <w:p w14:paraId="3E9E0F92"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C00000"/>
            <w:noWrap/>
            <w:vAlign w:val="center"/>
            <w:hideMark/>
          </w:tcPr>
          <w:p w14:paraId="50C82A5B"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28910C2E"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DD13EAC"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12</w:t>
            </w:r>
          </w:p>
        </w:tc>
        <w:tc>
          <w:tcPr>
            <w:tcW w:w="663" w:type="dxa"/>
            <w:tcBorders>
              <w:top w:val="nil"/>
              <w:left w:val="nil"/>
              <w:bottom w:val="single" w:sz="8" w:space="0" w:color="auto"/>
              <w:right w:val="single" w:sz="8" w:space="0" w:color="auto"/>
            </w:tcBorders>
            <w:shd w:val="clear" w:color="auto" w:fill="auto"/>
            <w:noWrap/>
            <w:vAlign w:val="center"/>
            <w:hideMark/>
          </w:tcPr>
          <w:p w14:paraId="0F5E2F7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98</w:t>
            </w:r>
          </w:p>
        </w:tc>
        <w:tc>
          <w:tcPr>
            <w:tcW w:w="3164" w:type="dxa"/>
            <w:tcBorders>
              <w:top w:val="nil"/>
              <w:left w:val="nil"/>
              <w:bottom w:val="single" w:sz="8" w:space="0" w:color="auto"/>
              <w:right w:val="single" w:sz="8" w:space="0" w:color="auto"/>
            </w:tcBorders>
            <w:shd w:val="clear" w:color="auto" w:fill="auto"/>
            <w:noWrap/>
            <w:vAlign w:val="center"/>
            <w:hideMark/>
          </w:tcPr>
          <w:p w14:paraId="2B4FC01F"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DC 143 – str. Mihai Viteazu</w:t>
            </w:r>
          </w:p>
        </w:tc>
        <w:tc>
          <w:tcPr>
            <w:tcW w:w="1560" w:type="dxa"/>
            <w:tcBorders>
              <w:top w:val="nil"/>
              <w:left w:val="nil"/>
              <w:bottom w:val="single" w:sz="8" w:space="0" w:color="auto"/>
              <w:right w:val="single" w:sz="8" w:space="0" w:color="auto"/>
            </w:tcBorders>
            <w:shd w:val="clear" w:color="auto" w:fill="auto"/>
            <w:noWrap/>
            <w:vAlign w:val="center"/>
            <w:hideMark/>
          </w:tcPr>
          <w:p w14:paraId="2D8A4193"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2C0275D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756FF0A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62711DCC"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r>
      <w:tr w:rsidR="0081394B" w:rsidRPr="0081394B" w14:paraId="55DB1E93"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F8CF7DB"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13</w:t>
            </w:r>
          </w:p>
        </w:tc>
        <w:tc>
          <w:tcPr>
            <w:tcW w:w="663" w:type="dxa"/>
            <w:tcBorders>
              <w:top w:val="nil"/>
              <w:left w:val="nil"/>
              <w:bottom w:val="single" w:sz="8" w:space="0" w:color="auto"/>
              <w:right w:val="single" w:sz="8" w:space="0" w:color="auto"/>
            </w:tcBorders>
            <w:shd w:val="clear" w:color="auto" w:fill="auto"/>
            <w:noWrap/>
            <w:vAlign w:val="center"/>
            <w:hideMark/>
          </w:tcPr>
          <w:p w14:paraId="3E0D80C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153</w:t>
            </w:r>
          </w:p>
        </w:tc>
        <w:tc>
          <w:tcPr>
            <w:tcW w:w="3164" w:type="dxa"/>
            <w:tcBorders>
              <w:top w:val="nil"/>
              <w:left w:val="nil"/>
              <w:bottom w:val="single" w:sz="8" w:space="0" w:color="auto"/>
              <w:right w:val="single" w:sz="8" w:space="0" w:color="auto"/>
            </w:tcBorders>
            <w:shd w:val="clear" w:color="auto" w:fill="auto"/>
            <w:noWrap/>
            <w:vAlign w:val="center"/>
            <w:hideMark/>
          </w:tcPr>
          <w:p w14:paraId="2711FB35"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 xml:space="preserve"> DN 67 – str. Stadionului</w:t>
            </w:r>
          </w:p>
        </w:tc>
        <w:tc>
          <w:tcPr>
            <w:tcW w:w="1560" w:type="dxa"/>
            <w:tcBorders>
              <w:top w:val="nil"/>
              <w:left w:val="nil"/>
              <w:bottom w:val="single" w:sz="8" w:space="0" w:color="auto"/>
              <w:right w:val="single" w:sz="8" w:space="0" w:color="auto"/>
            </w:tcBorders>
            <w:shd w:val="clear" w:color="auto" w:fill="auto"/>
            <w:noWrap/>
            <w:vAlign w:val="center"/>
            <w:hideMark/>
          </w:tcPr>
          <w:p w14:paraId="77DEDA7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3B7032F7"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FFFF00"/>
            <w:noWrap/>
            <w:vAlign w:val="center"/>
            <w:hideMark/>
          </w:tcPr>
          <w:p w14:paraId="5A6013DB"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B</w:t>
            </w:r>
          </w:p>
        </w:tc>
        <w:tc>
          <w:tcPr>
            <w:tcW w:w="1134" w:type="dxa"/>
            <w:tcBorders>
              <w:top w:val="nil"/>
              <w:left w:val="nil"/>
              <w:bottom w:val="single" w:sz="8" w:space="0" w:color="auto"/>
              <w:right w:val="single" w:sz="8" w:space="0" w:color="auto"/>
            </w:tcBorders>
            <w:shd w:val="clear" w:color="000000" w:fill="C00000"/>
            <w:noWrap/>
            <w:vAlign w:val="center"/>
            <w:hideMark/>
          </w:tcPr>
          <w:p w14:paraId="32E6A881"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0ECB00BB"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5230D2B4"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14</w:t>
            </w:r>
          </w:p>
        </w:tc>
        <w:tc>
          <w:tcPr>
            <w:tcW w:w="663" w:type="dxa"/>
            <w:tcBorders>
              <w:top w:val="nil"/>
              <w:left w:val="nil"/>
              <w:bottom w:val="single" w:sz="8" w:space="0" w:color="auto"/>
              <w:right w:val="single" w:sz="8" w:space="0" w:color="auto"/>
            </w:tcBorders>
            <w:shd w:val="clear" w:color="auto" w:fill="auto"/>
            <w:noWrap/>
            <w:vAlign w:val="center"/>
            <w:hideMark/>
          </w:tcPr>
          <w:p w14:paraId="36103369"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162</w:t>
            </w:r>
          </w:p>
        </w:tc>
        <w:tc>
          <w:tcPr>
            <w:tcW w:w="3164" w:type="dxa"/>
            <w:tcBorders>
              <w:top w:val="nil"/>
              <w:left w:val="nil"/>
              <w:bottom w:val="single" w:sz="8" w:space="0" w:color="auto"/>
              <w:right w:val="single" w:sz="8" w:space="0" w:color="auto"/>
            </w:tcBorders>
            <w:shd w:val="clear" w:color="auto" w:fill="auto"/>
            <w:noWrap/>
            <w:vAlign w:val="center"/>
            <w:hideMark/>
          </w:tcPr>
          <w:p w14:paraId="26910BD4"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 xml:space="preserve"> DC 144 – str. spre Romanii de Sus (Stejarului)</w:t>
            </w:r>
          </w:p>
        </w:tc>
        <w:tc>
          <w:tcPr>
            <w:tcW w:w="1560" w:type="dxa"/>
            <w:tcBorders>
              <w:top w:val="nil"/>
              <w:left w:val="nil"/>
              <w:bottom w:val="single" w:sz="8" w:space="0" w:color="auto"/>
              <w:right w:val="single" w:sz="8" w:space="0" w:color="auto"/>
            </w:tcBorders>
            <w:shd w:val="clear" w:color="auto" w:fill="auto"/>
            <w:noWrap/>
            <w:vAlign w:val="center"/>
            <w:hideMark/>
          </w:tcPr>
          <w:p w14:paraId="257F7ED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2731A1C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3617EE17"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4F15B4EE"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r>
      <w:tr w:rsidR="0081394B" w:rsidRPr="0081394B" w14:paraId="0AEE0660"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1CE7B97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15</w:t>
            </w:r>
          </w:p>
        </w:tc>
        <w:tc>
          <w:tcPr>
            <w:tcW w:w="663" w:type="dxa"/>
            <w:tcBorders>
              <w:top w:val="nil"/>
              <w:left w:val="nil"/>
              <w:bottom w:val="single" w:sz="8" w:space="0" w:color="auto"/>
              <w:right w:val="single" w:sz="8" w:space="0" w:color="auto"/>
            </w:tcBorders>
            <w:shd w:val="clear" w:color="auto" w:fill="auto"/>
            <w:noWrap/>
            <w:vAlign w:val="center"/>
            <w:hideMark/>
          </w:tcPr>
          <w:p w14:paraId="00C3A2B1"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262</w:t>
            </w:r>
          </w:p>
        </w:tc>
        <w:tc>
          <w:tcPr>
            <w:tcW w:w="3164" w:type="dxa"/>
            <w:tcBorders>
              <w:top w:val="nil"/>
              <w:left w:val="nil"/>
              <w:bottom w:val="single" w:sz="8" w:space="0" w:color="auto"/>
              <w:right w:val="single" w:sz="8" w:space="0" w:color="auto"/>
            </w:tcBorders>
            <w:shd w:val="clear" w:color="auto" w:fill="auto"/>
            <w:noWrap/>
            <w:vAlign w:val="center"/>
            <w:hideMark/>
          </w:tcPr>
          <w:p w14:paraId="6C450F34"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DJ 669 – str. Manastirii</w:t>
            </w:r>
          </w:p>
        </w:tc>
        <w:tc>
          <w:tcPr>
            <w:tcW w:w="1560" w:type="dxa"/>
            <w:tcBorders>
              <w:top w:val="nil"/>
              <w:left w:val="nil"/>
              <w:bottom w:val="single" w:sz="8" w:space="0" w:color="auto"/>
              <w:right w:val="single" w:sz="8" w:space="0" w:color="auto"/>
            </w:tcBorders>
            <w:shd w:val="clear" w:color="auto" w:fill="auto"/>
            <w:noWrap/>
            <w:vAlign w:val="center"/>
            <w:hideMark/>
          </w:tcPr>
          <w:p w14:paraId="306532DB"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92D050"/>
            <w:noWrap/>
            <w:vAlign w:val="center"/>
            <w:hideMark/>
          </w:tcPr>
          <w:p w14:paraId="355CCF6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448D8613"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FFFF00"/>
            <w:noWrap/>
            <w:vAlign w:val="center"/>
            <w:hideMark/>
          </w:tcPr>
          <w:p w14:paraId="045D50B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B</w:t>
            </w:r>
          </w:p>
        </w:tc>
      </w:tr>
      <w:tr w:rsidR="0081394B" w:rsidRPr="0081394B" w14:paraId="3A5ADD9A"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68774373"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16</w:t>
            </w:r>
          </w:p>
        </w:tc>
        <w:tc>
          <w:tcPr>
            <w:tcW w:w="663" w:type="dxa"/>
            <w:tcBorders>
              <w:top w:val="nil"/>
              <w:left w:val="nil"/>
              <w:bottom w:val="single" w:sz="8" w:space="0" w:color="auto"/>
              <w:right w:val="single" w:sz="8" w:space="0" w:color="auto"/>
            </w:tcBorders>
            <w:shd w:val="clear" w:color="auto" w:fill="auto"/>
            <w:noWrap/>
            <w:vAlign w:val="center"/>
            <w:hideMark/>
          </w:tcPr>
          <w:p w14:paraId="426383EB"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932</w:t>
            </w:r>
          </w:p>
        </w:tc>
        <w:tc>
          <w:tcPr>
            <w:tcW w:w="3164" w:type="dxa"/>
            <w:tcBorders>
              <w:top w:val="nil"/>
              <w:left w:val="nil"/>
              <w:bottom w:val="single" w:sz="8" w:space="0" w:color="auto"/>
              <w:right w:val="single" w:sz="8" w:space="0" w:color="auto"/>
            </w:tcBorders>
            <w:shd w:val="clear" w:color="auto" w:fill="auto"/>
            <w:noWrap/>
            <w:vAlign w:val="center"/>
            <w:hideMark/>
          </w:tcPr>
          <w:p w14:paraId="7EC8B2D9"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11 - DN 67 – DN 65C</w:t>
            </w:r>
          </w:p>
        </w:tc>
        <w:tc>
          <w:tcPr>
            <w:tcW w:w="1560" w:type="dxa"/>
            <w:tcBorders>
              <w:top w:val="nil"/>
              <w:left w:val="nil"/>
              <w:bottom w:val="single" w:sz="8" w:space="0" w:color="auto"/>
              <w:right w:val="single" w:sz="8" w:space="0" w:color="auto"/>
            </w:tcBorders>
            <w:shd w:val="clear" w:color="auto" w:fill="auto"/>
            <w:noWrap/>
            <w:vAlign w:val="center"/>
            <w:hideMark/>
          </w:tcPr>
          <w:p w14:paraId="74821EEC"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BF8F00"/>
            <w:noWrap/>
            <w:vAlign w:val="center"/>
            <w:hideMark/>
          </w:tcPr>
          <w:p w14:paraId="3EE939BF"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D</w:t>
            </w:r>
          </w:p>
        </w:tc>
        <w:tc>
          <w:tcPr>
            <w:tcW w:w="1134" w:type="dxa"/>
            <w:tcBorders>
              <w:top w:val="nil"/>
              <w:left w:val="nil"/>
              <w:bottom w:val="single" w:sz="8" w:space="0" w:color="auto"/>
              <w:right w:val="single" w:sz="8" w:space="0" w:color="auto"/>
            </w:tcBorders>
            <w:shd w:val="clear" w:color="000000" w:fill="C00000"/>
            <w:noWrap/>
            <w:vAlign w:val="center"/>
            <w:hideMark/>
          </w:tcPr>
          <w:p w14:paraId="14593187"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C00000"/>
            <w:noWrap/>
            <w:vAlign w:val="center"/>
            <w:hideMark/>
          </w:tcPr>
          <w:p w14:paraId="3CCDB30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04CE1332"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4AF43BA8"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17</w:t>
            </w:r>
          </w:p>
        </w:tc>
        <w:tc>
          <w:tcPr>
            <w:tcW w:w="663" w:type="dxa"/>
            <w:tcBorders>
              <w:top w:val="nil"/>
              <w:left w:val="nil"/>
              <w:bottom w:val="single" w:sz="8" w:space="0" w:color="auto"/>
              <w:right w:val="single" w:sz="8" w:space="0" w:color="auto"/>
            </w:tcBorders>
            <w:shd w:val="clear" w:color="auto" w:fill="auto"/>
            <w:noWrap/>
            <w:vAlign w:val="center"/>
            <w:hideMark/>
          </w:tcPr>
          <w:p w14:paraId="16A1664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1095</w:t>
            </w:r>
          </w:p>
        </w:tc>
        <w:tc>
          <w:tcPr>
            <w:tcW w:w="3164" w:type="dxa"/>
            <w:tcBorders>
              <w:top w:val="nil"/>
              <w:left w:val="nil"/>
              <w:bottom w:val="single" w:sz="8" w:space="0" w:color="auto"/>
              <w:right w:val="single" w:sz="8" w:space="0" w:color="auto"/>
            </w:tcBorders>
            <w:shd w:val="clear" w:color="auto" w:fill="auto"/>
            <w:noWrap/>
            <w:vAlign w:val="center"/>
            <w:hideMark/>
          </w:tcPr>
          <w:p w14:paraId="48DDD895"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13 - DC 139 – DN 67 (A)</w:t>
            </w:r>
          </w:p>
        </w:tc>
        <w:tc>
          <w:tcPr>
            <w:tcW w:w="1560" w:type="dxa"/>
            <w:tcBorders>
              <w:top w:val="nil"/>
              <w:left w:val="nil"/>
              <w:bottom w:val="single" w:sz="8" w:space="0" w:color="auto"/>
              <w:right w:val="single" w:sz="8" w:space="0" w:color="auto"/>
            </w:tcBorders>
            <w:shd w:val="clear" w:color="auto" w:fill="auto"/>
            <w:noWrap/>
            <w:vAlign w:val="center"/>
            <w:hideMark/>
          </w:tcPr>
          <w:p w14:paraId="01CAB2B6"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Stop pe doua directii</w:t>
            </w:r>
          </w:p>
        </w:tc>
        <w:tc>
          <w:tcPr>
            <w:tcW w:w="1134" w:type="dxa"/>
            <w:tcBorders>
              <w:top w:val="nil"/>
              <w:left w:val="nil"/>
              <w:bottom w:val="single" w:sz="8" w:space="0" w:color="auto"/>
              <w:right w:val="single" w:sz="8" w:space="0" w:color="auto"/>
            </w:tcBorders>
            <w:shd w:val="clear" w:color="000000" w:fill="BF8F00"/>
            <w:noWrap/>
            <w:vAlign w:val="center"/>
            <w:hideMark/>
          </w:tcPr>
          <w:p w14:paraId="583696C7"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D</w:t>
            </w:r>
          </w:p>
        </w:tc>
        <w:tc>
          <w:tcPr>
            <w:tcW w:w="1134" w:type="dxa"/>
            <w:tcBorders>
              <w:top w:val="nil"/>
              <w:left w:val="nil"/>
              <w:bottom w:val="single" w:sz="8" w:space="0" w:color="auto"/>
              <w:right w:val="single" w:sz="8" w:space="0" w:color="auto"/>
            </w:tcBorders>
            <w:shd w:val="clear" w:color="000000" w:fill="C00000"/>
            <w:noWrap/>
            <w:vAlign w:val="center"/>
            <w:hideMark/>
          </w:tcPr>
          <w:p w14:paraId="41434602"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c>
          <w:tcPr>
            <w:tcW w:w="1134" w:type="dxa"/>
            <w:tcBorders>
              <w:top w:val="nil"/>
              <w:left w:val="nil"/>
              <w:bottom w:val="single" w:sz="8" w:space="0" w:color="auto"/>
              <w:right w:val="single" w:sz="8" w:space="0" w:color="auto"/>
            </w:tcBorders>
            <w:shd w:val="clear" w:color="000000" w:fill="C00000"/>
            <w:noWrap/>
            <w:vAlign w:val="center"/>
            <w:hideMark/>
          </w:tcPr>
          <w:p w14:paraId="4CE192EB"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F</w:t>
            </w:r>
          </w:p>
        </w:tc>
      </w:tr>
      <w:tr w:rsidR="0081394B" w:rsidRPr="0081394B" w14:paraId="3C5DEAD5"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0C32620"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18</w:t>
            </w:r>
          </w:p>
        </w:tc>
        <w:tc>
          <w:tcPr>
            <w:tcW w:w="663" w:type="dxa"/>
            <w:tcBorders>
              <w:top w:val="nil"/>
              <w:left w:val="nil"/>
              <w:bottom w:val="single" w:sz="8" w:space="0" w:color="auto"/>
              <w:right w:val="single" w:sz="8" w:space="0" w:color="auto"/>
            </w:tcBorders>
            <w:shd w:val="clear" w:color="auto" w:fill="auto"/>
            <w:noWrap/>
            <w:vAlign w:val="center"/>
            <w:hideMark/>
          </w:tcPr>
          <w:p w14:paraId="099A85FA"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3807</w:t>
            </w:r>
          </w:p>
        </w:tc>
        <w:tc>
          <w:tcPr>
            <w:tcW w:w="3164" w:type="dxa"/>
            <w:tcBorders>
              <w:top w:val="nil"/>
              <w:left w:val="nil"/>
              <w:bottom w:val="single" w:sz="8" w:space="0" w:color="auto"/>
              <w:right w:val="single" w:sz="8" w:space="0" w:color="auto"/>
            </w:tcBorders>
            <w:shd w:val="clear" w:color="auto" w:fill="auto"/>
            <w:noWrap/>
            <w:vAlign w:val="center"/>
            <w:hideMark/>
          </w:tcPr>
          <w:p w14:paraId="08126E1D"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10 - DC 144 – DC 146</w:t>
            </w:r>
          </w:p>
        </w:tc>
        <w:tc>
          <w:tcPr>
            <w:tcW w:w="1560" w:type="dxa"/>
            <w:tcBorders>
              <w:top w:val="nil"/>
              <w:left w:val="nil"/>
              <w:bottom w:val="single" w:sz="8" w:space="0" w:color="auto"/>
              <w:right w:val="single" w:sz="8" w:space="0" w:color="auto"/>
            </w:tcBorders>
            <w:shd w:val="clear" w:color="auto" w:fill="auto"/>
            <w:noWrap/>
            <w:vAlign w:val="center"/>
            <w:hideMark/>
          </w:tcPr>
          <w:p w14:paraId="4616FB0B"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7AA9AAC9"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5A09E065"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FFFF00"/>
            <w:noWrap/>
            <w:vAlign w:val="center"/>
            <w:hideMark/>
          </w:tcPr>
          <w:p w14:paraId="47F27ACD"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B</w:t>
            </w:r>
          </w:p>
        </w:tc>
      </w:tr>
      <w:tr w:rsidR="0081394B" w:rsidRPr="0081394B" w14:paraId="7F0A1ACB" w14:textId="77777777" w:rsidTr="00C36A80">
        <w:trPr>
          <w:trHeight w:val="300"/>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14:paraId="7A06B77B"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19</w:t>
            </w:r>
          </w:p>
        </w:tc>
        <w:tc>
          <w:tcPr>
            <w:tcW w:w="663" w:type="dxa"/>
            <w:tcBorders>
              <w:top w:val="nil"/>
              <w:left w:val="nil"/>
              <w:bottom w:val="single" w:sz="8" w:space="0" w:color="auto"/>
              <w:right w:val="single" w:sz="8" w:space="0" w:color="auto"/>
            </w:tcBorders>
            <w:shd w:val="clear" w:color="auto" w:fill="auto"/>
            <w:noWrap/>
            <w:vAlign w:val="center"/>
            <w:hideMark/>
          </w:tcPr>
          <w:p w14:paraId="6EB9DC2C"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3862</w:t>
            </w:r>
          </w:p>
        </w:tc>
        <w:tc>
          <w:tcPr>
            <w:tcW w:w="3164" w:type="dxa"/>
            <w:tcBorders>
              <w:top w:val="nil"/>
              <w:left w:val="nil"/>
              <w:bottom w:val="single" w:sz="8" w:space="0" w:color="auto"/>
              <w:right w:val="single" w:sz="8" w:space="0" w:color="auto"/>
            </w:tcBorders>
            <w:shd w:val="clear" w:color="auto" w:fill="auto"/>
            <w:noWrap/>
            <w:vAlign w:val="center"/>
            <w:hideMark/>
          </w:tcPr>
          <w:p w14:paraId="6B4072CD" w14:textId="77777777" w:rsidR="0081394B" w:rsidRPr="0081394B" w:rsidRDefault="0081394B" w:rsidP="0081394B">
            <w:pPr>
              <w:spacing w:after="0" w:line="240" w:lineRule="auto"/>
              <w:rPr>
                <w:rFonts w:ascii="Calibri" w:eastAsia="Times New Roman" w:hAnsi="Calibri" w:cs="Calibri"/>
                <w:color w:val="000000"/>
              </w:rPr>
            </w:pPr>
            <w:r w:rsidRPr="0081394B">
              <w:rPr>
                <w:rFonts w:ascii="Calibri" w:eastAsia="Times New Roman" w:hAnsi="Calibri" w:cs="Calibri"/>
                <w:color w:val="000000"/>
              </w:rPr>
              <w:t>16 - DJ 669 – DC 146</w:t>
            </w:r>
          </w:p>
        </w:tc>
        <w:tc>
          <w:tcPr>
            <w:tcW w:w="1560" w:type="dxa"/>
            <w:tcBorders>
              <w:top w:val="nil"/>
              <w:left w:val="nil"/>
              <w:bottom w:val="single" w:sz="8" w:space="0" w:color="auto"/>
              <w:right w:val="single" w:sz="8" w:space="0" w:color="auto"/>
            </w:tcBorders>
            <w:shd w:val="clear" w:color="auto" w:fill="auto"/>
            <w:noWrap/>
            <w:vAlign w:val="center"/>
            <w:hideMark/>
          </w:tcPr>
          <w:p w14:paraId="22811531"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Cedeaza trecerea</w:t>
            </w:r>
          </w:p>
        </w:tc>
        <w:tc>
          <w:tcPr>
            <w:tcW w:w="1134" w:type="dxa"/>
            <w:tcBorders>
              <w:top w:val="nil"/>
              <w:left w:val="nil"/>
              <w:bottom w:val="single" w:sz="8" w:space="0" w:color="auto"/>
              <w:right w:val="single" w:sz="8" w:space="0" w:color="auto"/>
            </w:tcBorders>
            <w:shd w:val="clear" w:color="000000" w:fill="92D050"/>
            <w:noWrap/>
            <w:vAlign w:val="center"/>
            <w:hideMark/>
          </w:tcPr>
          <w:p w14:paraId="4D16AFDF"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92D050"/>
            <w:noWrap/>
            <w:vAlign w:val="center"/>
            <w:hideMark/>
          </w:tcPr>
          <w:p w14:paraId="7A65EB41"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A</w:t>
            </w:r>
          </w:p>
        </w:tc>
        <w:tc>
          <w:tcPr>
            <w:tcW w:w="1134" w:type="dxa"/>
            <w:tcBorders>
              <w:top w:val="nil"/>
              <w:left w:val="nil"/>
              <w:bottom w:val="single" w:sz="8" w:space="0" w:color="auto"/>
              <w:right w:val="single" w:sz="8" w:space="0" w:color="auto"/>
            </w:tcBorders>
            <w:shd w:val="clear" w:color="000000" w:fill="FFC000"/>
            <w:noWrap/>
            <w:vAlign w:val="center"/>
            <w:hideMark/>
          </w:tcPr>
          <w:p w14:paraId="32FF165F" w14:textId="77777777" w:rsidR="0081394B" w:rsidRPr="0081394B" w:rsidRDefault="0081394B" w:rsidP="0081394B">
            <w:pPr>
              <w:spacing w:after="0" w:line="240" w:lineRule="auto"/>
              <w:jc w:val="center"/>
              <w:rPr>
                <w:rFonts w:ascii="Calibri" w:eastAsia="Times New Roman" w:hAnsi="Calibri" w:cs="Calibri"/>
                <w:color w:val="000000"/>
              </w:rPr>
            </w:pPr>
            <w:r w:rsidRPr="0081394B">
              <w:rPr>
                <w:rFonts w:ascii="Calibri" w:eastAsia="Times New Roman" w:hAnsi="Calibri" w:cs="Calibri"/>
                <w:color w:val="000000"/>
              </w:rPr>
              <w:t>C</w:t>
            </w:r>
          </w:p>
        </w:tc>
      </w:tr>
    </w:tbl>
    <w:p w14:paraId="353D872F" w14:textId="77777777" w:rsidR="0081394B" w:rsidRDefault="0081394B" w:rsidP="002538CB">
      <w:pPr>
        <w:suppressAutoHyphens/>
        <w:autoSpaceDE w:val="0"/>
        <w:spacing w:after="0" w:line="276" w:lineRule="auto"/>
        <w:jc w:val="both"/>
        <w:rPr>
          <w:rFonts w:ascii="Arial" w:eastAsia="Calibri" w:hAnsi="Arial" w:cs="Arial"/>
          <w:color w:val="000000"/>
          <w:lang w:eastAsia="zh-CN"/>
        </w:rPr>
      </w:pPr>
    </w:p>
    <w:p w14:paraId="0B938CBD" w14:textId="1846CB94" w:rsidR="003F5271" w:rsidRDefault="00A1048D" w:rsidP="003F5271">
      <w:pPr>
        <w:spacing w:after="0" w:line="276" w:lineRule="auto"/>
        <w:jc w:val="center"/>
        <w:rPr>
          <w:rFonts w:ascii="Arial" w:eastAsia="Arial" w:hAnsi="Arial" w:cs="Arial"/>
          <w:kern w:val="1"/>
          <w:lang w:val="ro-RO" w:eastAsia="hi-IN" w:bidi="hi-IN"/>
        </w:rPr>
      </w:pPr>
      <w:r w:rsidRPr="00A1048D">
        <w:rPr>
          <w:rFonts w:ascii="Arial" w:eastAsia="Arial" w:hAnsi="Arial" w:cs="Arial"/>
          <w:noProof/>
        </w:rPr>
        <w:drawing>
          <wp:inline distT="0" distB="0" distL="0" distR="0" wp14:anchorId="6EFCA974" wp14:editId="78971234">
            <wp:extent cx="6043895" cy="446722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noChangeArrowheads="1"/>
                    </pic:cNvPicPr>
                  </pic:nvPicPr>
                  <pic:blipFill>
                    <a:blip r:embed="rId154" cstate="print">
                      <a:extLst>
                        <a:ext uri="{28A0092B-C50C-407E-A947-70E740481C1C}">
                          <a14:useLocalDpi xmlns:a14="http://schemas.microsoft.com/office/drawing/2010/main" val="0"/>
                        </a:ext>
                      </a:extLst>
                    </a:blip>
                    <a:stretch>
                      <a:fillRect/>
                    </a:stretch>
                  </pic:blipFill>
                  <pic:spPr bwMode="auto">
                    <a:xfrm>
                      <a:off x="0" y="0"/>
                      <a:ext cx="6066059" cy="4483607"/>
                    </a:xfrm>
                    <a:prstGeom prst="rect">
                      <a:avLst/>
                    </a:prstGeom>
                    <a:noFill/>
                    <a:ln>
                      <a:noFill/>
                    </a:ln>
                  </pic:spPr>
                </pic:pic>
              </a:graphicData>
            </a:graphic>
          </wp:inline>
        </w:drawing>
      </w:r>
    </w:p>
    <w:p w14:paraId="368AE41F" w14:textId="5E8878D8" w:rsidR="003F5271" w:rsidRDefault="006D4DC5" w:rsidP="003F5271">
      <w:pPr>
        <w:pStyle w:val="Legend"/>
        <w:jc w:val="center"/>
        <w:rPr>
          <w:rFonts w:ascii="Arial" w:hAnsi="Arial" w:cs="Arial"/>
          <w:i w:val="0"/>
          <w:iCs w:val="0"/>
          <w:sz w:val="22"/>
          <w:szCs w:val="22"/>
        </w:rPr>
      </w:pPr>
      <w:bookmarkStart w:id="305" w:name="_Toc68361201"/>
      <w:bookmarkStart w:id="306" w:name="_Toc140744522"/>
      <w:r w:rsidRPr="00A1048D">
        <w:rPr>
          <w:rFonts w:ascii="Arial" w:hAnsi="Arial" w:cs="Arial"/>
          <w:sz w:val="22"/>
          <w:szCs w:val="22"/>
        </w:rPr>
        <w:t>Figura I.3.</w:t>
      </w:r>
      <w:r w:rsidR="003F5271" w:rsidRPr="00A1048D">
        <w:rPr>
          <w:rFonts w:ascii="Arial" w:hAnsi="Arial" w:cs="Arial"/>
          <w:sz w:val="22"/>
          <w:szCs w:val="22"/>
        </w:rPr>
        <w:t xml:space="preserve"> </w:t>
      </w:r>
      <w:r w:rsidRPr="00A1048D">
        <w:rPr>
          <w:rFonts w:ascii="Arial" w:hAnsi="Arial" w:cs="Arial"/>
          <w:sz w:val="22"/>
          <w:szCs w:val="22"/>
        </w:rPr>
        <w:fldChar w:fldCharType="begin"/>
      </w:r>
      <w:r w:rsidRPr="00A1048D">
        <w:rPr>
          <w:rFonts w:ascii="Arial" w:hAnsi="Arial" w:cs="Arial"/>
          <w:sz w:val="22"/>
          <w:szCs w:val="22"/>
        </w:rPr>
        <w:instrText xml:space="preserve"> SEQ Figura_I.3. \* ARABIC </w:instrText>
      </w:r>
      <w:r w:rsidRPr="00A1048D">
        <w:rPr>
          <w:rFonts w:ascii="Arial" w:hAnsi="Arial" w:cs="Arial"/>
          <w:sz w:val="22"/>
          <w:szCs w:val="22"/>
        </w:rPr>
        <w:fldChar w:fldCharType="separate"/>
      </w:r>
      <w:r w:rsidR="00BB181C">
        <w:rPr>
          <w:rFonts w:ascii="Arial" w:hAnsi="Arial" w:cs="Arial"/>
          <w:noProof/>
          <w:sz w:val="22"/>
          <w:szCs w:val="22"/>
        </w:rPr>
        <w:t>45</w:t>
      </w:r>
      <w:r w:rsidRPr="00A1048D">
        <w:rPr>
          <w:rFonts w:ascii="Arial" w:hAnsi="Arial" w:cs="Arial"/>
          <w:sz w:val="22"/>
          <w:szCs w:val="22"/>
        </w:rPr>
        <w:fldChar w:fldCharType="end"/>
      </w:r>
      <w:r w:rsidR="003F5271" w:rsidRPr="00A1048D">
        <w:rPr>
          <w:rFonts w:ascii="Arial" w:hAnsi="Arial" w:cs="Arial"/>
          <w:sz w:val="22"/>
          <w:szCs w:val="22"/>
        </w:rPr>
        <w:t xml:space="preserve"> - </w:t>
      </w:r>
      <w:r w:rsidR="003F5271" w:rsidRPr="00A1048D">
        <w:rPr>
          <w:rFonts w:ascii="Arial" w:hAnsi="Arial" w:cs="Arial"/>
          <w:i w:val="0"/>
          <w:iCs w:val="0"/>
          <w:sz w:val="22"/>
          <w:szCs w:val="22"/>
        </w:rPr>
        <w:t xml:space="preserve">Niveluri de serviciu intersecţii </w:t>
      </w:r>
      <w:r w:rsidR="00205E1D" w:rsidRPr="00A1048D">
        <w:rPr>
          <w:rFonts w:ascii="Arial" w:hAnsi="Arial" w:cs="Arial"/>
          <w:i w:val="0"/>
          <w:iCs w:val="0"/>
          <w:sz w:val="22"/>
          <w:szCs w:val="22"/>
        </w:rPr>
        <w:t>Horezu</w:t>
      </w:r>
      <w:r w:rsidR="003F5271" w:rsidRPr="00A1048D">
        <w:rPr>
          <w:rFonts w:ascii="Arial" w:hAnsi="Arial" w:cs="Arial"/>
          <w:i w:val="0"/>
          <w:iCs w:val="0"/>
          <w:sz w:val="22"/>
          <w:szCs w:val="22"/>
        </w:rPr>
        <w:t xml:space="preserve"> – PM 2027</w:t>
      </w:r>
      <w:bookmarkEnd w:id="305"/>
      <w:bookmarkEnd w:id="306"/>
    </w:p>
    <w:p w14:paraId="095E56F7" w14:textId="77777777" w:rsidR="003F5271" w:rsidRDefault="003F5271" w:rsidP="003F5271">
      <w:pPr>
        <w:pStyle w:val="Legend"/>
        <w:jc w:val="center"/>
        <w:rPr>
          <w:rFonts w:ascii="Arial" w:hAnsi="Arial" w:cs="Arial"/>
          <w:i w:val="0"/>
          <w:iCs w:val="0"/>
          <w:sz w:val="22"/>
          <w:szCs w:val="22"/>
        </w:rPr>
      </w:pPr>
    </w:p>
    <w:p w14:paraId="033AE780" w14:textId="67FCFC92" w:rsidR="003F5271" w:rsidRDefault="00A1048D" w:rsidP="003F5271">
      <w:pPr>
        <w:pStyle w:val="Legend"/>
        <w:jc w:val="center"/>
        <w:rPr>
          <w:rFonts w:ascii="Arial" w:eastAsia="Arial" w:hAnsi="Arial" w:cs="Arial"/>
          <w:kern w:val="1"/>
          <w:sz w:val="22"/>
          <w:szCs w:val="22"/>
          <w:lang w:val="ro-RO" w:eastAsia="hi-IN" w:bidi="hi-IN"/>
        </w:rPr>
      </w:pPr>
      <w:r w:rsidRPr="00A1048D">
        <w:rPr>
          <w:rFonts w:ascii="Arial" w:eastAsia="Arial" w:hAnsi="Arial" w:cs="Arial"/>
          <w:i w:val="0"/>
          <w:iCs w:val="0"/>
          <w:noProof/>
          <w:color w:val="auto"/>
          <w:sz w:val="22"/>
          <w:szCs w:val="22"/>
        </w:rPr>
        <w:drawing>
          <wp:inline distT="0" distB="0" distL="0" distR="0" wp14:anchorId="6F724EAB" wp14:editId="59E5BB04">
            <wp:extent cx="5734050" cy="4346999"/>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pic:cNvPicPr>
                      <a:picLocks noChangeAspect="1" noChangeArrowheads="1"/>
                    </pic:cNvPicPr>
                  </pic:nvPicPr>
                  <pic:blipFill>
                    <a:blip r:embed="rId155" cstate="print">
                      <a:extLst>
                        <a:ext uri="{28A0092B-C50C-407E-A947-70E740481C1C}">
                          <a14:useLocalDpi xmlns:a14="http://schemas.microsoft.com/office/drawing/2010/main" val="0"/>
                        </a:ext>
                      </a:extLst>
                    </a:blip>
                    <a:stretch>
                      <a:fillRect/>
                    </a:stretch>
                  </pic:blipFill>
                  <pic:spPr bwMode="auto">
                    <a:xfrm>
                      <a:off x="0" y="0"/>
                      <a:ext cx="5743653" cy="4354279"/>
                    </a:xfrm>
                    <a:prstGeom prst="rect">
                      <a:avLst/>
                    </a:prstGeom>
                    <a:noFill/>
                    <a:ln>
                      <a:noFill/>
                    </a:ln>
                  </pic:spPr>
                </pic:pic>
              </a:graphicData>
            </a:graphic>
          </wp:inline>
        </w:drawing>
      </w:r>
    </w:p>
    <w:p w14:paraId="05CFBB99" w14:textId="3F22A2C4" w:rsidR="003F5271" w:rsidRDefault="006D4DC5" w:rsidP="003F5271">
      <w:pPr>
        <w:pStyle w:val="Legend"/>
        <w:jc w:val="center"/>
        <w:rPr>
          <w:rFonts w:ascii="Arial" w:hAnsi="Arial" w:cs="Arial"/>
          <w:i w:val="0"/>
          <w:iCs w:val="0"/>
          <w:sz w:val="22"/>
          <w:szCs w:val="22"/>
        </w:rPr>
      </w:pPr>
      <w:bookmarkStart w:id="307" w:name="_Toc68361202"/>
      <w:bookmarkStart w:id="308" w:name="_Toc140744523"/>
      <w:r w:rsidRPr="00A1048D">
        <w:rPr>
          <w:rFonts w:ascii="Arial" w:hAnsi="Arial" w:cs="Arial"/>
          <w:sz w:val="22"/>
          <w:szCs w:val="22"/>
        </w:rPr>
        <w:t>Figura I.3.</w:t>
      </w:r>
      <w:r w:rsidR="003F5271" w:rsidRPr="00A1048D">
        <w:rPr>
          <w:rFonts w:ascii="Arial" w:hAnsi="Arial" w:cs="Arial"/>
          <w:sz w:val="22"/>
          <w:szCs w:val="22"/>
        </w:rPr>
        <w:t xml:space="preserve"> </w:t>
      </w:r>
      <w:r w:rsidRPr="00A1048D">
        <w:rPr>
          <w:rFonts w:ascii="Arial" w:hAnsi="Arial" w:cs="Arial"/>
          <w:sz w:val="22"/>
          <w:szCs w:val="22"/>
        </w:rPr>
        <w:fldChar w:fldCharType="begin"/>
      </w:r>
      <w:r w:rsidRPr="00A1048D">
        <w:rPr>
          <w:rFonts w:ascii="Arial" w:hAnsi="Arial" w:cs="Arial"/>
          <w:sz w:val="22"/>
          <w:szCs w:val="22"/>
        </w:rPr>
        <w:instrText xml:space="preserve"> SEQ Figura_I.3. \* ARABIC </w:instrText>
      </w:r>
      <w:r w:rsidRPr="00A1048D">
        <w:rPr>
          <w:rFonts w:ascii="Arial" w:hAnsi="Arial" w:cs="Arial"/>
          <w:sz w:val="22"/>
          <w:szCs w:val="22"/>
        </w:rPr>
        <w:fldChar w:fldCharType="separate"/>
      </w:r>
      <w:r w:rsidR="00BB181C">
        <w:rPr>
          <w:rFonts w:ascii="Arial" w:hAnsi="Arial" w:cs="Arial"/>
          <w:noProof/>
          <w:sz w:val="22"/>
          <w:szCs w:val="22"/>
        </w:rPr>
        <w:t>46</w:t>
      </w:r>
      <w:r w:rsidRPr="00A1048D">
        <w:rPr>
          <w:rFonts w:ascii="Arial" w:hAnsi="Arial" w:cs="Arial"/>
          <w:sz w:val="22"/>
          <w:szCs w:val="22"/>
        </w:rPr>
        <w:fldChar w:fldCharType="end"/>
      </w:r>
      <w:r w:rsidR="003F5271" w:rsidRPr="00A1048D">
        <w:rPr>
          <w:rFonts w:ascii="Arial" w:hAnsi="Arial" w:cs="Arial"/>
          <w:sz w:val="22"/>
          <w:szCs w:val="22"/>
        </w:rPr>
        <w:t xml:space="preserve"> - </w:t>
      </w:r>
      <w:r w:rsidR="003F5271" w:rsidRPr="00A1048D">
        <w:rPr>
          <w:rFonts w:ascii="Arial" w:hAnsi="Arial" w:cs="Arial"/>
          <w:i w:val="0"/>
          <w:iCs w:val="0"/>
          <w:sz w:val="22"/>
          <w:szCs w:val="22"/>
        </w:rPr>
        <w:t xml:space="preserve">Niveluri de serviciu intersecţii </w:t>
      </w:r>
      <w:r w:rsidR="00205E1D" w:rsidRPr="00A1048D">
        <w:rPr>
          <w:rFonts w:ascii="Arial" w:hAnsi="Arial" w:cs="Arial"/>
          <w:i w:val="0"/>
          <w:iCs w:val="0"/>
          <w:sz w:val="22"/>
          <w:szCs w:val="22"/>
        </w:rPr>
        <w:t xml:space="preserve">Horezu </w:t>
      </w:r>
      <w:r w:rsidR="003F5271" w:rsidRPr="00A1048D">
        <w:rPr>
          <w:rFonts w:ascii="Arial" w:hAnsi="Arial" w:cs="Arial"/>
          <w:i w:val="0"/>
          <w:iCs w:val="0"/>
          <w:sz w:val="22"/>
          <w:szCs w:val="22"/>
        </w:rPr>
        <w:t>– PM 2035</w:t>
      </w:r>
      <w:bookmarkEnd w:id="307"/>
      <w:bookmarkEnd w:id="308"/>
    </w:p>
    <w:p w14:paraId="0D5C8280" w14:textId="77777777" w:rsidR="003F5271" w:rsidRPr="003F5271" w:rsidRDefault="003F5271" w:rsidP="003F5271">
      <w:pPr>
        <w:suppressAutoHyphens/>
        <w:autoSpaceDE w:val="0"/>
        <w:spacing w:after="0" w:line="276" w:lineRule="auto"/>
        <w:jc w:val="both"/>
        <w:rPr>
          <w:rFonts w:ascii="Arial" w:eastAsia="Calibri" w:hAnsi="Arial" w:cs="Arial"/>
          <w:color w:val="000000"/>
          <w:lang w:eastAsia="zh-CN"/>
        </w:rPr>
      </w:pPr>
      <w:r w:rsidRPr="00A1048D">
        <w:rPr>
          <w:rFonts w:ascii="Arial" w:eastAsia="Calibri" w:hAnsi="Arial" w:cs="Arial"/>
          <w:color w:val="000000"/>
          <w:lang w:eastAsia="zh-CN"/>
        </w:rPr>
        <w:t>Din datele rezultate în tabelul anterior se poate concluziona o înrăutățire a fluenței traficului în marea majoritate a intersecțiilor.</w:t>
      </w:r>
    </w:p>
    <w:p w14:paraId="31072F86" w14:textId="77777777" w:rsidR="003F5271" w:rsidRPr="003F5271" w:rsidRDefault="003F5271" w:rsidP="003F5271">
      <w:pPr>
        <w:suppressAutoHyphens/>
        <w:autoSpaceDE w:val="0"/>
        <w:spacing w:after="0" w:line="276" w:lineRule="auto"/>
        <w:jc w:val="both"/>
        <w:rPr>
          <w:rFonts w:ascii="Arial" w:eastAsia="Arial" w:hAnsi="Arial" w:cs="Arial"/>
          <w:lang w:eastAsia="zh-CN"/>
        </w:rPr>
      </w:pPr>
    </w:p>
    <w:p w14:paraId="5DDA7BF2" w14:textId="77777777" w:rsidR="00A1048D" w:rsidRPr="00A1048D" w:rsidRDefault="00A1048D" w:rsidP="00A1048D">
      <w:pPr>
        <w:widowControl w:val="0"/>
        <w:spacing w:after="0" w:line="276" w:lineRule="auto"/>
        <w:jc w:val="both"/>
        <w:rPr>
          <w:rFonts w:ascii="Arial" w:hAnsi="Arial" w:cs="Arial"/>
          <w:kern w:val="1"/>
          <w:lang w:val="ro-RO" w:eastAsia="hi-IN" w:bidi="hi-IN"/>
        </w:rPr>
      </w:pPr>
      <w:r w:rsidRPr="00A1048D">
        <w:rPr>
          <w:rFonts w:ascii="Arial" w:hAnsi="Arial" w:cs="Arial"/>
          <w:kern w:val="1"/>
          <w:lang w:val="ro-RO" w:eastAsia="hi-IN" w:bidi="hi-IN"/>
        </w:rPr>
        <w:t>Aşadar, dacă se va merge de ideea „a face minimum” în ceea ce priveşte dezvoltarea urbană durabilă a oraşului, situaţia în care se va ajunge în anul 2035 la nivelul reţelei rutiere semnificative (pentru la ora de vârf PM) poate fi sintetizată astfel:</w:t>
      </w:r>
    </w:p>
    <w:p w14:paraId="21D1D238" w14:textId="77777777" w:rsidR="00A1048D" w:rsidRPr="00A1048D" w:rsidRDefault="00A1048D" w:rsidP="00A1048D">
      <w:pPr>
        <w:widowControl w:val="0"/>
        <w:numPr>
          <w:ilvl w:val="0"/>
          <w:numId w:val="113"/>
        </w:numPr>
        <w:suppressAutoHyphens/>
        <w:spacing w:after="0" w:line="276" w:lineRule="auto"/>
        <w:jc w:val="both"/>
        <w:rPr>
          <w:rFonts w:ascii="Arial" w:eastAsia="Times New Roman" w:hAnsi="Arial" w:cs="Arial"/>
          <w:lang w:val="ro-RO" w:eastAsia="zh-CN"/>
        </w:rPr>
      </w:pPr>
      <w:r w:rsidRPr="00A1048D">
        <w:rPr>
          <w:rFonts w:ascii="Arial" w:eastAsia="Times New Roman" w:hAnsi="Arial" w:cs="Arial"/>
          <w:lang w:val="ro-RO" w:eastAsia="zh-CN"/>
        </w:rPr>
        <w:t>o scădere a vitezei de circulație cu 9 %;</w:t>
      </w:r>
    </w:p>
    <w:p w14:paraId="097A8258" w14:textId="77777777" w:rsidR="00A1048D" w:rsidRPr="00A1048D" w:rsidRDefault="00A1048D" w:rsidP="00A1048D">
      <w:pPr>
        <w:widowControl w:val="0"/>
        <w:numPr>
          <w:ilvl w:val="0"/>
          <w:numId w:val="113"/>
        </w:numPr>
        <w:suppressAutoHyphens/>
        <w:spacing w:after="0" w:line="276" w:lineRule="auto"/>
        <w:jc w:val="both"/>
        <w:rPr>
          <w:rFonts w:ascii="Arial" w:eastAsia="Times New Roman" w:hAnsi="Arial" w:cs="Arial"/>
          <w:lang w:val="ro-RO" w:eastAsia="zh-CN"/>
        </w:rPr>
      </w:pPr>
      <w:r w:rsidRPr="00A1048D">
        <w:rPr>
          <w:rFonts w:ascii="Arial" w:eastAsia="Times New Roman" w:hAnsi="Arial" w:cs="Arial"/>
          <w:lang w:val="ro-RO" w:eastAsia="zh-CN"/>
        </w:rPr>
        <w:t>o creștere a întârzierii medii pe km cu 70 %;</w:t>
      </w:r>
    </w:p>
    <w:p w14:paraId="3BE70ED6" w14:textId="77777777" w:rsidR="00A1048D" w:rsidRPr="00A1048D" w:rsidRDefault="00A1048D" w:rsidP="00A1048D">
      <w:pPr>
        <w:widowControl w:val="0"/>
        <w:numPr>
          <w:ilvl w:val="0"/>
          <w:numId w:val="113"/>
        </w:numPr>
        <w:suppressAutoHyphens/>
        <w:spacing w:after="0" w:line="276" w:lineRule="auto"/>
        <w:jc w:val="both"/>
        <w:rPr>
          <w:rFonts w:ascii="Arial" w:eastAsia="Times New Roman" w:hAnsi="Arial" w:cs="Arial"/>
          <w:lang w:val="ro-RO" w:eastAsia="zh-CN"/>
        </w:rPr>
      </w:pPr>
      <w:r w:rsidRPr="00A1048D">
        <w:rPr>
          <w:rFonts w:ascii="Arial" w:eastAsia="Times New Roman" w:hAnsi="Arial" w:cs="Arial"/>
          <w:lang w:val="ro-RO" w:eastAsia="zh-CN"/>
        </w:rPr>
        <w:t>un consum de combustibil cu 116 % mai mare;</w:t>
      </w:r>
    </w:p>
    <w:p w14:paraId="2A30E94E" w14:textId="77777777" w:rsidR="00A1048D" w:rsidRPr="00A1048D" w:rsidRDefault="00A1048D" w:rsidP="00A1048D">
      <w:pPr>
        <w:widowControl w:val="0"/>
        <w:numPr>
          <w:ilvl w:val="0"/>
          <w:numId w:val="113"/>
        </w:numPr>
        <w:suppressAutoHyphens/>
        <w:spacing w:after="0" w:line="276" w:lineRule="auto"/>
        <w:jc w:val="both"/>
        <w:rPr>
          <w:rFonts w:ascii="Arial" w:eastAsia="Times New Roman" w:hAnsi="Arial" w:cs="Arial"/>
          <w:lang w:val="ro-RO" w:eastAsia="zh-CN"/>
        </w:rPr>
      </w:pPr>
      <w:r w:rsidRPr="00A1048D">
        <w:rPr>
          <w:rFonts w:ascii="Arial" w:eastAsia="Times New Roman" w:hAnsi="Arial" w:cs="Arial"/>
          <w:lang w:val="ro-RO" w:eastAsia="zh-CN"/>
        </w:rPr>
        <w:t>emisii de noxe (</w:t>
      </w:r>
      <w:r w:rsidRPr="00A1048D">
        <w:rPr>
          <w:rFonts w:ascii="Arial" w:hAnsi="Arial" w:cs="Arial"/>
          <w:lang w:val="ro-RO"/>
        </w:rPr>
        <w:t>CO</w:t>
      </w:r>
      <w:r w:rsidRPr="00A1048D">
        <w:rPr>
          <w:rFonts w:ascii="Arial" w:hAnsi="Arial" w:cs="Arial"/>
          <w:vertAlign w:val="subscript"/>
          <w:lang w:val="ro-RO"/>
        </w:rPr>
        <w:t>2</w:t>
      </w:r>
      <w:r w:rsidRPr="00A1048D">
        <w:rPr>
          <w:rFonts w:ascii="Arial" w:hAnsi="Arial" w:cs="Arial"/>
          <w:lang w:val="ro-RO"/>
        </w:rPr>
        <w:t>, NOx, PM si HC</w:t>
      </w:r>
      <w:r w:rsidRPr="00A1048D">
        <w:rPr>
          <w:rFonts w:ascii="Arial" w:eastAsia="Times New Roman" w:hAnsi="Arial" w:cs="Arial"/>
          <w:lang w:val="ro-RO" w:eastAsia="zh-CN"/>
        </w:rPr>
        <w:t>) cu 98 % până la 116 % mai mari.</w:t>
      </w:r>
    </w:p>
    <w:p w14:paraId="17E674A0" w14:textId="77777777" w:rsidR="003F5271" w:rsidRDefault="003F5271" w:rsidP="003F5271">
      <w:pPr>
        <w:pStyle w:val="Legend"/>
        <w:jc w:val="center"/>
        <w:rPr>
          <w:rFonts w:ascii="Arial" w:eastAsia="Arial" w:hAnsi="Arial" w:cs="Arial"/>
          <w:i w:val="0"/>
          <w:iCs w:val="0"/>
          <w:kern w:val="1"/>
          <w:sz w:val="22"/>
          <w:szCs w:val="22"/>
          <w:lang w:val="ro-RO" w:eastAsia="hi-IN" w:bidi="hi-IN"/>
        </w:rPr>
      </w:pPr>
    </w:p>
    <w:p w14:paraId="7F14D14C" w14:textId="77777777" w:rsidR="003F5271" w:rsidRDefault="003F5271" w:rsidP="003F5271">
      <w:pPr>
        <w:pStyle w:val="Legend"/>
        <w:jc w:val="center"/>
        <w:rPr>
          <w:rFonts w:ascii="Arial" w:eastAsia="Arial" w:hAnsi="Arial" w:cs="Arial"/>
          <w:i w:val="0"/>
          <w:iCs w:val="0"/>
          <w:kern w:val="1"/>
          <w:sz w:val="22"/>
          <w:szCs w:val="22"/>
          <w:lang w:val="ro-RO" w:eastAsia="hi-IN" w:bidi="hi-IN"/>
        </w:rPr>
      </w:pPr>
    </w:p>
    <w:p w14:paraId="5CAE5322" w14:textId="76DF2F28" w:rsidR="003F5271" w:rsidRDefault="003F5271" w:rsidP="003F5271">
      <w:pPr>
        <w:pStyle w:val="Legend"/>
        <w:jc w:val="center"/>
        <w:rPr>
          <w:rFonts w:ascii="Arial" w:eastAsia="Arial" w:hAnsi="Arial" w:cs="Arial"/>
          <w:i w:val="0"/>
          <w:iCs w:val="0"/>
          <w:kern w:val="1"/>
          <w:sz w:val="22"/>
          <w:szCs w:val="22"/>
          <w:lang w:val="ro-RO" w:eastAsia="hi-IN" w:bidi="hi-IN"/>
        </w:rPr>
      </w:pPr>
    </w:p>
    <w:p w14:paraId="6B20FA5B" w14:textId="6B315364" w:rsidR="00A1048D" w:rsidRDefault="00A1048D" w:rsidP="00A1048D">
      <w:pPr>
        <w:rPr>
          <w:lang w:val="ro-RO" w:eastAsia="hi-IN" w:bidi="hi-IN"/>
        </w:rPr>
      </w:pPr>
    </w:p>
    <w:p w14:paraId="5E59178A" w14:textId="1AE8FED9" w:rsidR="00A1048D" w:rsidRDefault="00A1048D" w:rsidP="00A1048D">
      <w:pPr>
        <w:rPr>
          <w:lang w:val="ro-RO" w:eastAsia="hi-IN" w:bidi="hi-IN"/>
        </w:rPr>
      </w:pPr>
    </w:p>
    <w:p w14:paraId="77858C04" w14:textId="595976B4" w:rsidR="00A1048D" w:rsidRDefault="00A1048D" w:rsidP="00A1048D">
      <w:pPr>
        <w:rPr>
          <w:lang w:val="ro-RO" w:eastAsia="hi-IN" w:bidi="hi-IN"/>
        </w:rPr>
      </w:pPr>
    </w:p>
    <w:p w14:paraId="582BBDF7" w14:textId="2123A01F" w:rsidR="00A1048D" w:rsidRDefault="00A1048D" w:rsidP="00A1048D">
      <w:pPr>
        <w:rPr>
          <w:lang w:val="ro-RO" w:eastAsia="hi-IN" w:bidi="hi-IN"/>
        </w:rPr>
      </w:pPr>
    </w:p>
    <w:p w14:paraId="6EC2949C" w14:textId="39CC0C39" w:rsidR="00A1048D" w:rsidRDefault="00A1048D" w:rsidP="00A1048D">
      <w:pPr>
        <w:rPr>
          <w:lang w:val="ro-RO" w:eastAsia="hi-IN" w:bidi="hi-IN"/>
        </w:rPr>
      </w:pPr>
    </w:p>
    <w:p w14:paraId="2A83E480" w14:textId="77777777" w:rsidR="00A1048D" w:rsidRPr="00A1048D" w:rsidRDefault="00A1048D" w:rsidP="00A1048D">
      <w:pPr>
        <w:spacing w:after="200" w:line="240" w:lineRule="auto"/>
        <w:jc w:val="center"/>
        <w:rPr>
          <w:rFonts w:ascii="Arial" w:eastAsia="Arial" w:hAnsi="Arial" w:cs="Arial"/>
          <w:color w:val="1F497D"/>
          <w:kern w:val="1"/>
          <w:lang w:val="ro-RO" w:eastAsia="hi-IN" w:bidi="hi-IN"/>
        </w:rPr>
      </w:pPr>
    </w:p>
    <w:p w14:paraId="20E1CBC8" w14:textId="77777777" w:rsidR="00A1048D" w:rsidRPr="00A1048D" w:rsidRDefault="00A1048D" w:rsidP="00A1048D">
      <w:pPr>
        <w:spacing w:after="200" w:line="240" w:lineRule="auto"/>
        <w:jc w:val="center"/>
        <w:rPr>
          <w:rFonts w:ascii="Arial" w:eastAsia="Arial" w:hAnsi="Arial" w:cs="Arial"/>
          <w:color w:val="1F497D"/>
          <w:kern w:val="1"/>
          <w:lang w:val="ro-RO" w:eastAsia="hi-IN" w:bidi="hi-IN"/>
        </w:rPr>
      </w:pPr>
      <w:r w:rsidRPr="00A1048D">
        <w:rPr>
          <w:rFonts w:ascii="Calibri" w:hAnsi="Calibri" w:cs="Times New Roman"/>
          <w:i/>
          <w:iCs/>
          <w:noProof/>
          <w:color w:val="1F497D"/>
          <w:sz w:val="18"/>
          <w:szCs w:val="18"/>
        </w:rPr>
        <w:drawing>
          <wp:inline distT="0" distB="0" distL="0" distR="0" wp14:anchorId="458E447D" wp14:editId="7DE6462C">
            <wp:extent cx="2755900" cy="1640205"/>
            <wp:effectExtent l="0" t="0" r="6350" b="0"/>
            <wp:docPr id="134" name="Graf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Grafic 67"/>
                    <pic:cNvPicPr/>
                  </pic:nvPicPr>
                  <pic:blipFill>
                    <a:blip r:embed="rId156" cstate="print">
                      <a:extLst>
                        <a:ext uri="{28A0092B-C50C-407E-A947-70E740481C1C}">
                          <a14:useLocalDpi xmlns:a14="http://schemas.microsoft.com/office/drawing/2010/main" val="0"/>
                        </a:ext>
                        <a:ext uri="{96DAC541-7B7A-43D3-8B79-37D633B846F1}">
                          <asvg:svgBlip xmlns:asvg="http://schemas.microsoft.com/office/drawing/2016/SVG/main" r:embed="rId157"/>
                        </a:ext>
                      </a:extLst>
                    </a:blip>
                    <a:stretch>
                      <a:fillRect/>
                    </a:stretch>
                  </pic:blipFill>
                  <pic:spPr>
                    <a:xfrm>
                      <a:off x="0" y="0"/>
                      <a:ext cx="2756938" cy="1640823"/>
                    </a:xfrm>
                    <a:prstGeom prst="rect">
                      <a:avLst/>
                    </a:prstGeom>
                  </pic:spPr>
                </pic:pic>
              </a:graphicData>
            </a:graphic>
          </wp:inline>
        </w:drawing>
      </w:r>
      <w:r w:rsidRPr="00A1048D">
        <w:rPr>
          <w:rFonts w:ascii="Calibri" w:hAnsi="Calibri" w:cs="Times New Roman"/>
          <w:i/>
          <w:iCs/>
          <w:noProof/>
          <w:color w:val="1F497D"/>
          <w:sz w:val="18"/>
          <w:szCs w:val="18"/>
        </w:rPr>
        <w:drawing>
          <wp:inline distT="0" distB="0" distL="0" distR="0" wp14:anchorId="061F133A" wp14:editId="71315AAE">
            <wp:extent cx="2666084" cy="1646555"/>
            <wp:effectExtent l="0" t="0" r="1270" b="0"/>
            <wp:docPr id="135" name="Grafic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Grafic 68"/>
                    <pic:cNvPicPr/>
                  </pic:nvPicPr>
                  <pic:blipFill>
                    <a:blip r:embed="rId158" cstate="print">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a:xfrm>
                      <a:off x="0" y="0"/>
                      <a:ext cx="2671938" cy="1650170"/>
                    </a:xfrm>
                    <a:prstGeom prst="rect">
                      <a:avLst/>
                    </a:prstGeom>
                  </pic:spPr>
                </pic:pic>
              </a:graphicData>
            </a:graphic>
          </wp:inline>
        </w:drawing>
      </w:r>
    </w:p>
    <w:p w14:paraId="115383DD" w14:textId="77777777" w:rsidR="00A1048D" w:rsidRPr="00A1048D" w:rsidRDefault="00A1048D" w:rsidP="00A1048D">
      <w:pPr>
        <w:widowControl w:val="0"/>
        <w:spacing w:after="0" w:line="360" w:lineRule="auto"/>
        <w:jc w:val="center"/>
        <w:rPr>
          <w:rFonts w:ascii="Arial" w:hAnsi="Arial" w:cs="Arial"/>
          <w:kern w:val="1"/>
          <w:lang w:val="ro-RO" w:eastAsia="hi-IN" w:bidi="hi-IN"/>
        </w:rPr>
      </w:pPr>
      <w:r w:rsidRPr="00A1048D">
        <w:rPr>
          <w:rFonts w:ascii="Calibri" w:hAnsi="Calibri" w:cs="Times New Roman"/>
          <w:noProof/>
        </w:rPr>
        <w:drawing>
          <wp:inline distT="0" distB="0" distL="0" distR="0" wp14:anchorId="0D70B169" wp14:editId="3752C7B6">
            <wp:extent cx="2795270" cy="1658355"/>
            <wp:effectExtent l="0" t="0" r="5080" b="0"/>
            <wp:docPr id="136" name="Graf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Grafic 73"/>
                    <pic:cNvPicPr/>
                  </pic:nvPicPr>
                  <pic:blipFill>
                    <a:blip r:embed="rId160" cstate="print">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0" y="0"/>
                      <a:ext cx="2799615" cy="1660933"/>
                    </a:xfrm>
                    <a:prstGeom prst="rect">
                      <a:avLst/>
                    </a:prstGeom>
                  </pic:spPr>
                </pic:pic>
              </a:graphicData>
            </a:graphic>
          </wp:inline>
        </w:drawing>
      </w:r>
      <w:r w:rsidRPr="00A1048D">
        <w:rPr>
          <w:rFonts w:ascii="Calibri" w:hAnsi="Calibri" w:cs="Times New Roman"/>
          <w:noProof/>
        </w:rPr>
        <w:drawing>
          <wp:inline distT="0" distB="0" distL="0" distR="0" wp14:anchorId="7DC45E4A" wp14:editId="71624087">
            <wp:extent cx="2692400" cy="1656080"/>
            <wp:effectExtent l="0" t="0" r="0" b="1270"/>
            <wp:docPr id="137" name="Grafic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Grafic 76"/>
                    <pic:cNvPicPr/>
                  </pic:nvPicPr>
                  <pic:blipFill>
                    <a:blip r:embed="rId162" cstate="print">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2702984" cy="1662590"/>
                    </a:xfrm>
                    <a:prstGeom prst="rect">
                      <a:avLst/>
                    </a:prstGeom>
                  </pic:spPr>
                </pic:pic>
              </a:graphicData>
            </a:graphic>
          </wp:inline>
        </w:drawing>
      </w:r>
    </w:p>
    <w:p w14:paraId="4BF65E58" w14:textId="77777777" w:rsidR="00A1048D" w:rsidRPr="00A1048D" w:rsidRDefault="00A1048D" w:rsidP="00A1048D">
      <w:pPr>
        <w:widowControl w:val="0"/>
        <w:spacing w:after="0" w:line="360" w:lineRule="auto"/>
        <w:jc w:val="center"/>
        <w:rPr>
          <w:rFonts w:ascii="Arial" w:hAnsi="Arial" w:cs="Arial"/>
          <w:kern w:val="1"/>
          <w:lang w:val="ro-RO" w:eastAsia="hi-IN" w:bidi="hi-IN"/>
        </w:rPr>
      </w:pPr>
      <w:r w:rsidRPr="00A1048D">
        <w:rPr>
          <w:rFonts w:ascii="Calibri" w:hAnsi="Calibri" w:cs="Times New Roman"/>
          <w:noProof/>
        </w:rPr>
        <w:drawing>
          <wp:inline distT="0" distB="0" distL="0" distR="0" wp14:anchorId="615280CA" wp14:editId="3523A810">
            <wp:extent cx="2781300" cy="1567815"/>
            <wp:effectExtent l="0" t="0" r="0" b="0"/>
            <wp:docPr id="138" name="Grafic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Grafic 79"/>
                    <pic:cNvPicPr/>
                  </pic:nvPicPr>
                  <pic:blipFill>
                    <a:blip r:embed="rId164" cstate="print">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0" y="0"/>
                      <a:ext cx="2788073" cy="1571633"/>
                    </a:xfrm>
                    <a:prstGeom prst="rect">
                      <a:avLst/>
                    </a:prstGeom>
                  </pic:spPr>
                </pic:pic>
              </a:graphicData>
            </a:graphic>
          </wp:inline>
        </w:drawing>
      </w:r>
      <w:r w:rsidRPr="00A1048D">
        <w:rPr>
          <w:rFonts w:ascii="Calibri" w:hAnsi="Calibri" w:cs="Times New Roman"/>
          <w:noProof/>
        </w:rPr>
        <w:drawing>
          <wp:inline distT="0" distB="0" distL="0" distR="0" wp14:anchorId="33F3501F" wp14:editId="185574BB">
            <wp:extent cx="2705100" cy="1569085"/>
            <wp:effectExtent l="0" t="0" r="0" b="0"/>
            <wp:docPr id="139" name="Grafic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Grafic 80"/>
                    <pic:cNvPicPr/>
                  </pic:nvPicPr>
                  <pic:blipFill>
                    <a:blip r:embed="rId166" cstate="print">
                      <a:extLst>
                        <a:ext uri="{28A0092B-C50C-407E-A947-70E740481C1C}">
                          <a14:useLocalDpi xmlns:a14="http://schemas.microsoft.com/office/drawing/2010/main" val="0"/>
                        </a:ext>
                        <a:ext uri="{96DAC541-7B7A-43D3-8B79-37D633B846F1}">
                          <asvg:svgBlip xmlns:asvg="http://schemas.microsoft.com/office/drawing/2016/SVG/main" r:embed="rId167"/>
                        </a:ext>
                      </a:extLst>
                    </a:blip>
                    <a:stretch>
                      <a:fillRect/>
                    </a:stretch>
                  </pic:blipFill>
                  <pic:spPr>
                    <a:xfrm>
                      <a:off x="0" y="0"/>
                      <a:ext cx="2705781" cy="1569480"/>
                    </a:xfrm>
                    <a:prstGeom prst="rect">
                      <a:avLst/>
                    </a:prstGeom>
                  </pic:spPr>
                </pic:pic>
              </a:graphicData>
            </a:graphic>
          </wp:inline>
        </w:drawing>
      </w:r>
    </w:p>
    <w:p w14:paraId="63FDC1BE" w14:textId="77777777" w:rsidR="00A1048D" w:rsidRPr="00A1048D" w:rsidRDefault="00A1048D" w:rsidP="00A1048D">
      <w:pPr>
        <w:rPr>
          <w:lang w:val="ro-RO" w:eastAsia="hi-IN" w:bidi="hi-IN"/>
        </w:rPr>
      </w:pPr>
    </w:p>
    <w:p w14:paraId="26B82961" w14:textId="24E233E4" w:rsidR="003F5271" w:rsidRDefault="00A1048D" w:rsidP="003F5271">
      <w:pPr>
        <w:pStyle w:val="Legend"/>
        <w:jc w:val="center"/>
        <w:rPr>
          <w:rFonts w:ascii="Arial" w:eastAsia="Arial" w:hAnsi="Arial" w:cs="Arial"/>
          <w:i w:val="0"/>
          <w:iCs w:val="0"/>
          <w:kern w:val="1"/>
          <w:sz w:val="22"/>
          <w:szCs w:val="22"/>
          <w:lang w:val="ro-RO" w:eastAsia="hi-IN" w:bidi="hi-IN"/>
        </w:rPr>
      </w:pPr>
      <w:r w:rsidRPr="00A1048D">
        <w:rPr>
          <w:rFonts w:ascii="Calibri" w:hAnsi="Calibri" w:cs="Times New Roman"/>
          <w:i w:val="0"/>
          <w:iCs w:val="0"/>
          <w:noProof/>
          <w:color w:val="auto"/>
          <w:sz w:val="22"/>
          <w:szCs w:val="22"/>
        </w:rPr>
        <w:drawing>
          <wp:inline distT="0" distB="0" distL="0" distR="0" wp14:anchorId="30749945" wp14:editId="0428AE15">
            <wp:extent cx="2767965" cy="1606550"/>
            <wp:effectExtent l="0" t="0" r="0" b="0"/>
            <wp:docPr id="140" name="Grafic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Grafic 90"/>
                    <pic:cNvPicPr/>
                  </pic:nvPicPr>
                  <pic:blipFill>
                    <a:blip r:embed="rId168" cstate="print">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2768526" cy="1606876"/>
                    </a:xfrm>
                    <a:prstGeom prst="rect">
                      <a:avLst/>
                    </a:prstGeom>
                  </pic:spPr>
                </pic:pic>
              </a:graphicData>
            </a:graphic>
          </wp:inline>
        </w:drawing>
      </w:r>
    </w:p>
    <w:p w14:paraId="0475F8F2" w14:textId="01E777C5" w:rsidR="003F5271" w:rsidRPr="00205E1D" w:rsidRDefault="006D4DC5" w:rsidP="00205E1D">
      <w:pPr>
        <w:pStyle w:val="Legend"/>
        <w:jc w:val="center"/>
        <w:rPr>
          <w:rFonts w:ascii="Arial" w:hAnsi="Arial" w:cs="Arial"/>
          <w:kern w:val="1"/>
          <w:sz w:val="22"/>
          <w:szCs w:val="22"/>
          <w:lang w:val="ro-RO" w:eastAsia="hi-IN" w:bidi="hi-IN"/>
        </w:rPr>
      </w:pPr>
      <w:bookmarkStart w:id="309" w:name="_Toc68361203"/>
      <w:bookmarkStart w:id="310" w:name="_Toc140744524"/>
      <w:r w:rsidRPr="00A1048D">
        <w:rPr>
          <w:rFonts w:ascii="Arial" w:hAnsi="Arial" w:cs="Arial"/>
          <w:kern w:val="1"/>
          <w:sz w:val="22"/>
          <w:szCs w:val="22"/>
          <w:lang w:val="ro-RO" w:eastAsia="hi-IN" w:bidi="hi-IN"/>
        </w:rPr>
        <w:t>Figura I.3.</w:t>
      </w:r>
      <w:r w:rsidR="00495B1E" w:rsidRPr="00A1048D">
        <w:rPr>
          <w:rFonts w:ascii="Arial" w:hAnsi="Arial" w:cs="Arial"/>
          <w:sz w:val="22"/>
          <w:szCs w:val="22"/>
        </w:rPr>
        <w:t xml:space="preserve"> </w:t>
      </w:r>
      <w:r w:rsidRPr="00A1048D">
        <w:rPr>
          <w:rFonts w:ascii="Arial" w:hAnsi="Arial" w:cs="Arial"/>
          <w:sz w:val="22"/>
          <w:szCs w:val="22"/>
        </w:rPr>
        <w:fldChar w:fldCharType="begin"/>
      </w:r>
      <w:r w:rsidRPr="00A1048D">
        <w:rPr>
          <w:rFonts w:ascii="Arial" w:hAnsi="Arial" w:cs="Arial"/>
          <w:sz w:val="22"/>
          <w:szCs w:val="22"/>
        </w:rPr>
        <w:instrText xml:space="preserve"> SEQ Figura_I.3. \* ARABIC </w:instrText>
      </w:r>
      <w:r w:rsidRPr="00A1048D">
        <w:rPr>
          <w:rFonts w:ascii="Arial" w:hAnsi="Arial" w:cs="Arial"/>
          <w:sz w:val="22"/>
          <w:szCs w:val="22"/>
        </w:rPr>
        <w:fldChar w:fldCharType="separate"/>
      </w:r>
      <w:r w:rsidR="00BB181C">
        <w:rPr>
          <w:rFonts w:ascii="Arial" w:hAnsi="Arial" w:cs="Arial"/>
          <w:noProof/>
          <w:sz w:val="22"/>
          <w:szCs w:val="22"/>
        </w:rPr>
        <w:t>47</w:t>
      </w:r>
      <w:r w:rsidRPr="00A1048D">
        <w:rPr>
          <w:rFonts w:ascii="Arial" w:hAnsi="Arial" w:cs="Arial"/>
          <w:sz w:val="22"/>
          <w:szCs w:val="22"/>
        </w:rPr>
        <w:fldChar w:fldCharType="end"/>
      </w:r>
      <w:r w:rsidR="00495B1E" w:rsidRPr="00A1048D">
        <w:rPr>
          <w:rFonts w:ascii="Arial" w:hAnsi="Arial" w:cs="Arial"/>
          <w:sz w:val="22"/>
          <w:szCs w:val="22"/>
        </w:rPr>
        <w:t xml:space="preserve"> </w:t>
      </w:r>
      <w:r w:rsidR="003F5271" w:rsidRPr="00A1048D">
        <w:rPr>
          <w:rFonts w:ascii="Arial" w:hAnsi="Arial" w:cs="Arial"/>
          <w:sz w:val="22"/>
          <w:szCs w:val="22"/>
        </w:rPr>
        <w:t xml:space="preserve">- </w:t>
      </w:r>
      <w:r w:rsidR="003F5271" w:rsidRPr="00A1048D">
        <w:rPr>
          <w:rFonts w:ascii="Arial" w:hAnsi="Arial" w:cs="Arial"/>
          <w:i w:val="0"/>
          <w:iCs w:val="0"/>
          <w:sz w:val="22"/>
          <w:szCs w:val="22"/>
        </w:rPr>
        <w:t>Analiza comparativ</w:t>
      </w:r>
      <w:r w:rsidR="00A1048D">
        <w:rPr>
          <w:rFonts w:ascii="Arial" w:hAnsi="Arial" w:cs="Arial"/>
          <w:i w:val="0"/>
          <w:iCs w:val="0"/>
          <w:sz w:val="22"/>
          <w:szCs w:val="22"/>
        </w:rPr>
        <w:t>ă</w:t>
      </w:r>
      <w:r w:rsidR="003F5271" w:rsidRPr="00A1048D">
        <w:rPr>
          <w:rFonts w:ascii="Arial" w:hAnsi="Arial" w:cs="Arial"/>
          <w:i w:val="0"/>
          <w:iCs w:val="0"/>
          <w:sz w:val="22"/>
          <w:szCs w:val="22"/>
        </w:rPr>
        <w:t xml:space="preserve"> a parametrilor de trafic (PM) pentru cele 3 orizonturi de timp</w:t>
      </w:r>
      <w:bookmarkEnd w:id="309"/>
      <w:bookmarkEnd w:id="310"/>
    </w:p>
    <w:p w14:paraId="70A19756" w14:textId="77777777" w:rsidR="00A1048D" w:rsidRDefault="00A1048D" w:rsidP="00BE6DA4">
      <w:pPr>
        <w:rPr>
          <w:rFonts w:ascii="Arial" w:hAnsi="Arial" w:cs="Arial"/>
          <w:b/>
          <w:bCs/>
        </w:rPr>
      </w:pPr>
    </w:p>
    <w:p w14:paraId="2AF1A272" w14:textId="77777777" w:rsidR="00A1048D" w:rsidRDefault="00A1048D" w:rsidP="00BE6DA4">
      <w:pPr>
        <w:rPr>
          <w:rFonts w:ascii="Arial" w:hAnsi="Arial" w:cs="Arial"/>
          <w:b/>
          <w:bCs/>
        </w:rPr>
      </w:pPr>
    </w:p>
    <w:p w14:paraId="5D78712E" w14:textId="77777777" w:rsidR="00A1048D" w:rsidRDefault="00A1048D" w:rsidP="00BE6DA4">
      <w:pPr>
        <w:rPr>
          <w:rFonts w:ascii="Arial" w:hAnsi="Arial" w:cs="Arial"/>
          <w:b/>
          <w:bCs/>
        </w:rPr>
      </w:pPr>
    </w:p>
    <w:p w14:paraId="7ECD22E4" w14:textId="77777777" w:rsidR="00A1048D" w:rsidRDefault="00A1048D" w:rsidP="00BE6DA4">
      <w:pPr>
        <w:rPr>
          <w:rFonts w:ascii="Arial" w:hAnsi="Arial" w:cs="Arial"/>
          <w:b/>
          <w:bCs/>
        </w:rPr>
      </w:pPr>
    </w:p>
    <w:p w14:paraId="3CDC0952" w14:textId="709AD43D" w:rsidR="00BE6DA4" w:rsidRPr="00495B1E" w:rsidRDefault="00495B1E" w:rsidP="00BE6DA4">
      <w:pPr>
        <w:rPr>
          <w:rFonts w:ascii="Arial" w:hAnsi="Arial" w:cs="Arial"/>
          <w:b/>
          <w:bCs/>
        </w:rPr>
      </w:pPr>
      <w:r>
        <w:rPr>
          <w:rFonts w:ascii="Arial" w:hAnsi="Arial" w:cs="Arial"/>
          <w:b/>
          <w:bCs/>
        </w:rPr>
        <w:t>Situatia actuala – an de bază</w:t>
      </w:r>
      <w:r w:rsidR="00BE6DA4" w:rsidRPr="00495B1E">
        <w:rPr>
          <w:rFonts w:ascii="Arial" w:hAnsi="Arial" w:cs="Arial"/>
          <w:b/>
          <w:bCs/>
        </w:rPr>
        <w:t xml:space="preserve"> 202</w:t>
      </w:r>
      <w:r w:rsidR="00887CA6">
        <w:rPr>
          <w:rFonts w:ascii="Arial" w:hAnsi="Arial" w:cs="Arial"/>
          <w:b/>
          <w:bCs/>
        </w:rPr>
        <w:t>1</w:t>
      </w:r>
    </w:p>
    <w:p w14:paraId="605E6B79" w14:textId="77777777" w:rsidR="00BE6DA4" w:rsidRDefault="00495B1E" w:rsidP="00495B1E">
      <w:pPr>
        <w:spacing w:line="276" w:lineRule="auto"/>
        <w:rPr>
          <w:rFonts w:ascii="Arial" w:eastAsia="Calibri" w:hAnsi="Arial" w:cs="Arial"/>
          <w:color w:val="000000"/>
        </w:rPr>
      </w:pPr>
      <w:r>
        <w:rPr>
          <w:rFonts w:ascii="Arial" w:eastAsia="Calibri" w:hAnsi="Arial" w:cs="Arial"/>
          <w:color w:val="000000"/>
        </w:rPr>
        <w:t>Viteza medie de deplasare şi durata medie a călătoriei pe întreaga reţea inclusiv călătoriile care întră în oraş de pe penetraţ</w:t>
      </w:r>
      <w:r w:rsidR="00BE6DA4" w:rsidRPr="00495B1E">
        <w:rPr>
          <w:rFonts w:ascii="Arial" w:eastAsia="Calibri" w:hAnsi="Arial" w:cs="Arial"/>
          <w:color w:val="000000"/>
        </w:rPr>
        <w:t xml:space="preserve">ii </w:t>
      </w:r>
      <w:r>
        <w:rPr>
          <w:rFonts w:ascii="Arial" w:eastAsia="Calibri" w:hAnsi="Arial" w:cs="Arial"/>
          <w:color w:val="000000"/>
        </w:rPr>
        <w:t>este urmă</w:t>
      </w:r>
      <w:r w:rsidR="00BE6DA4" w:rsidRPr="00495B1E">
        <w:rPr>
          <w:rFonts w:ascii="Arial" w:eastAsia="Calibri" w:hAnsi="Arial" w:cs="Arial"/>
          <w:color w:val="000000"/>
        </w:rPr>
        <w:t>toarea:</w:t>
      </w:r>
      <w:r w:rsidR="00BE6DA4" w:rsidRPr="00BE6DA4">
        <w:rPr>
          <w:rFonts w:ascii="Arial" w:eastAsia="Calibri" w:hAnsi="Arial" w:cs="Arial"/>
          <w:color w:val="000000"/>
        </w:rPr>
        <w:t xml:space="preserve"> </w:t>
      </w:r>
    </w:p>
    <w:p w14:paraId="214DF53F" w14:textId="0672D0B0" w:rsidR="00495B1E" w:rsidRPr="00E426F3" w:rsidRDefault="00205E1D" w:rsidP="00887CA6">
      <w:pPr>
        <w:pStyle w:val="Legend"/>
        <w:jc w:val="center"/>
        <w:rPr>
          <w:rFonts w:ascii="Arial" w:eastAsia="Calibri" w:hAnsi="Arial" w:cs="Arial"/>
          <w:i w:val="0"/>
          <w:color w:val="000000"/>
          <w:sz w:val="22"/>
          <w:szCs w:val="22"/>
        </w:rPr>
      </w:pPr>
      <w:bookmarkStart w:id="311" w:name="_Toc68361241"/>
      <w:bookmarkStart w:id="312" w:name="_Toc96447409"/>
      <w:r w:rsidRPr="00A1048D">
        <w:rPr>
          <w:rFonts w:ascii="Arial" w:hAnsi="Arial" w:cs="Arial"/>
          <w:sz w:val="22"/>
          <w:szCs w:val="22"/>
        </w:rPr>
        <w:t xml:space="preserve">Tabel I.3. </w:t>
      </w:r>
      <w:r w:rsidRPr="00A1048D">
        <w:rPr>
          <w:rFonts w:ascii="Arial" w:hAnsi="Arial" w:cs="Arial"/>
          <w:sz w:val="22"/>
          <w:szCs w:val="22"/>
        </w:rPr>
        <w:fldChar w:fldCharType="begin"/>
      </w:r>
      <w:r w:rsidRPr="00A1048D">
        <w:rPr>
          <w:rFonts w:ascii="Arial" w:hAnsi="Arial" w:cs="Arial"/>
          <w:sz w:val="22"/>
          <w:szCs w:val="22"/>
        </w:rPr>
        <w:instrText xml:space="preserve"> SEQ Tabel_I.3. \* ARABIC </w:instrText>
      </w:r>
      <w:r w:rsidRPr="00A1048D">
        <w:rPr>
          <w:rFonts w:ascii="Arial" w:hAnsi="Arial" w:cs="Arial"/>
          <w:sz w:val="22"/>
          <w:szCs w:val="22"/>
        </w:rPr>
        <w:fldChar w:fldCharType="separate"/>
      </w:r>
      <w:r w:rsidR="00BB181C">
        <w:rPr>
          <w:rFonts w:ascii="Arial" w:hAnsi="Arial" w:cs="Arial"/>
          <w:noProof/>
          <w:sz w:val="22"/>
          <w:szCs w:val="22"/>
        </w:rPr>
        <w:t>13</w:t>
      </w:r>
      <w:r w:rsidRPr="00A1048D">
        <w:rPr>
          <w:rFonts w:ascii="Arial" w:hAnsi="Arial" w:cs="Arial"/>
          <w:sz w:val="22"/>
          <w:szCs w:val="22"/>
        </w:rPr>
        <w:fldChar w:fldCharType="end"/>
      </w:r>
      <w:r w:rsidRPr="00A1048D">
        <w:rPr>
          <w:rFonts w:ascii="Arial" w:hAnsi="Arial" w:cs="Arial"/>
          <w:sz w:val="22"/>
          <w:szCs w:val="22"/>
        </w:rPr>
        <w:t xml:space="preserve"> </w:t>
      </w:r>
      <w:r w:rsidR="00495B1E" w:rsidRPr="00A1048D">
        <w:rPr>
          <w:rFonts w:ascii="Arial" w:hAnsi="Arial" w:cs="Arial"/>
          <w:sz w:val="22"/>
          <w:szCs w:val="22"/>
        </w:rPr>
        <w:t xml:space="preserve">- </w:t>
      </w:r>
      <w:r w:rsidR="00495B1E" w:rsidRPr="00A1048D">
        <w:rPr>
          <w:rFonts w:ascii="Arial" w:hAnsi="Arial" w:cs="Arial"/>
          <w:i w:val="0"/>
          <w:sz w:val="22"/>
          <w:szCs w:val="22"/>
        </w:rPr>
        <w:t>Viteza medie de deplasare şi durata medie a călătoriei pentru toată reţeaua inclusiv penetraţii</w:t>
      </w:r>
      <w:bookmarkEnd w:id="311"/>
      <w:bookmarkEnd w:id="312"/>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985"/>
        <w:gridCol w:w="1984"/>
      </w:tblGrid>
      <w:tr w:rsidR="00A1048D" w:rsidRPr="00A1048D" w14:paraId="3169B577" w14:textId="77777777" w:rsidTr="00CE76B6">
        <w:trPr>
          <w:trHeight w:val="620"/>
          <w:jc w:val="center"/>
        </w:trPr>
        <w:tc>
          <w:tcPr>
            <w:tcW w:w="4673" w:type="dxa"/>
            <w:tcBorders>
              <w:top w:val="nil"/>
              <w:left w:val="nil"/>
              <w:bottom w:val="single" w:sz="4" w:space="0" w:color="auto"/>
              <w:right w:val="single" w:sz="4" w:space="0" w:color="auto"/>
            </w:tcBorders>
            <w:shd w:val="clear" w:color="auto" w:fill="auto"/>
            <w:noWrap/>
            <w:vAlign w:val="center"/>
          </w:tcPr>
          <w:p w14:paraId="2C1C6A9B" w14:textId="77777777" w:rsidR="00A1048D" w:rsidRPr="00A1048D" w:rsidRDefault="00A1048D" w:rsidP="00A1048D">
            <w:pPr>
              <w:spacing w:after="0" w:line="240" w:lineRule="auto"/>
              <w:jc w:val="both"/>
              <w:rPr>
                <w:rFonts w:ascii="Arial" w:eastAsia="Times New Roman" w:hAnsi="Arial" w:cs="Arial"/>
                <w:lang w:val="ro-RO" w:eastAsia="ro-RO"/>
              </w:rPr>
            </w:pPr>
          </w:p>
        </w:tc>
        <w:tc>
          <w:tcPr>
            <w:tcW w:w="1985" w:type="dxa"/>
            <w:tcBorders>
              <w:left w:val="single" w:sz="4" w:space="0" w:color="auto"/>
            </w:tcBorders>
            <w:shd w:val="clear" w:color="auto" w:fill="auto"/>
            <w:noWrap/>
            <w:vAlign w:val="center"/>
          </w:tcPr>
          <w:p w14:paraId="59328271"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eastAsia="Times New Roman" w:hAnsi="Arial" w:cs="Arial"/>
                <w:lang w:val="ro-RO" w:eastAsia="ro-RO"/>
              </w:rPr>
              <w:t>AM peak</w:t>
            </w:r>
          </w:p>
        </w:tc>
        <w:tc>
          <w:tcPr>
            <w:tcW w:w="1984" w:type="dxa"/>
            <w:shd w:val="clear" w:color="auto" w:fill="auto"/>
            <w:noWrap/>
            <w:vAlign w:val="center"/>
          </w:tcPr>
          <w:p w14:paraId="01C3037E"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eastAsia="Times New Roman" w:hAnsi="Arial" w:cs="Arial"/>
                <w:lang w:val="ro-RO" w:eastAsia="ro-RO"/>
              </w:rPr>
              <w:t>PM peak</w:t>
            </w:r>
          </w:p>
        </w:tc>
      </w:tr>
      <w:tr w:rsidR="00A1048D" w:rsidRPr="00A1048D" w14:paraId="11A025C5" w14:textId="77777777" w:rsidTr="00CE76B6">
        <w:trPr>
          <w:trHeight w:val="620"/>
          <w:jc w:val="center"/>
        </w:trPr>
        <w:tc>
          <w:tcPr>
            <w:tcW w:w="4673" w:type="dxa"/>
            <w:tcBorders>
              <w:top w:val="single" w:sz="4" w:space="0" w:color="auto"/>
            </w:tcBorders>
            <w:shd w:val="clear" w:color="auto" w:fill="auto"/>
            <w:noWrap/>
            <w:vAlign w:val="center"/>
          </w:tcPr>
          <w:p w14:paraId="3F637504" w14:textId="77777777" w:rsidR="00A1048D" w:rsidRPr="00A1048D" w:rsidRDefault="00A1048D" w:rsidP="00A1048D">
            <w:pPr>
              <w:spacing w:after="0" w:line="240" w:lineRule="auto"/>
              <w:jc w:val="both"/>
              <w:rPr>
                <w:rFonts w:ascii="Arial" w:eastAsia="Times New Roman" w:hAnsi="Arial" w:cs="Arial"/>
                <w:lang w:val="ro-RO" w:eastAsia="ro-RO"/>
              </w:rPr>
            </w:pPr>
            <w:r w:rsidRPr="00A1048D">
              <w:rPr>
                <w:rFonts w:ascii="Arial" w:eastAsia="Times New Roman" w:hAnsi="Arial" w:cs="Arial"/>
                <w:lang w:val="ro-RO" w:eastAsia="ro-RO"/>
              </w:rPr>
              <w:t>Viteza medie de deplasare pe întreaga rețea inclusiv penetrații</w:t>
            </w:r>
          </w:p>
        </w:tc>
        <w:tc>
          <w:tcPr>
            <w:tcW w:w="1985" w:type="dxa"/>
            <w:shd w:val="clear" w:color="auto" w:fill="auto"/>
            <w:noWrap/>
            <w:vAlign w:val="center"/>
          </w:tcPr>
          <w:p w14:paraId="658D02AD"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hAnsi="Arial" w:cs="Arial"/>
              </w:rPr>
              <w:t>27.12km/h</w:t>
            </w:r>
          </w:p>
        </w:tc>
        <w:tc>
          <w:tcPr>
            <w:tcW w:w="1984" w:type="dxa"/>
            <w:shd w:val="clear" w:color="auto" w:fill="auto"/>
            <w:noWrap/>
            <w:vAlign w:val="center"/>
          </w:tcPr>
          <w:p w14:paraId="6DAC9A16"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hAnsi="Arial" w:cs="Arial"/>
              </w:rPr>
              <w:t>27.54 km/h</w:t>
            </w:r>
          </w:p>
        </w:tc>
      </w:tr>
      <w:tr w:rsidR="00A1048D" w:rsidRPr="00A1048D" w14:paraId="1EE74181" w14:textId="77777777" w:rsidTr="00CE76B6">
        <w:trPr>
          <w:trHeight w:val="620"/>
          <w:jc w:val="center"/>
        </w:trPr>
        <w:tc>
          <w:tcPr>
            <w:tcW w:w="4673" w:type="dxa"/>
            <w:shd w:val="clear" w:color="auto" w:fill="auto"/>
            <w:noWrap/>
            <w:vAlign w:val="center"/>
            <w:hideMark/>
          </w:tcPr>
          <w:p w14:paraId="47D5C012" w14:textId="77777777" w:rsidR="00A1048D" w:rsidRPr="00A1048D" w:rsidRDefault="00A1048D" w:rsidP="00A1048D">
            <w:pPr>
              <w:spacing w:after="0" w:line="240" w:lineRule="auto"/>
              <w:jc w:val="both"/>
              <w:rPr>
                <w:rFonts w:ascii="Arial" w:eastAsia="Times New Roman" w:hAnsi="Arial" w:cs="Arial"/>
                <w:lang w:val="ro-RO" w:eastAsia="ro-RO"/>
              </w:rPr>
            </w:pPr>
            <w:r w:rsidRPr="00A1048D">
              <w:rPr>
                <w:rFonts w:ascii="Arial" w:eastAsia="Times New Roman" w:hAnsi="Arial" w:cs="Arial"/>
                <w:lang w:val="ro-RO" w:eastAsia="ro-RO"/>
              </w:rPr>
              <w:t>Durata medie a călătoriei pe întreaga rețea inclusiv penetrații</w:t>
            </w:r>
          </w:p>
        </w:tc>
        <w:tc>
          <w:tcPr>
            <w:tcW w:w="1985" w:type="dxa"/>
            <w:shd w:val="clear" w:color="auto" w:fill="auto"/>
            <w:noWrap/>
            <w:vAlign w:val="center"/>
            <w:hideMark/>
          </w:tcPr>
          <w:p w14:paraId="6E3653A5"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hAnsi="Arial" w:cs="Arial"/>
              </w:rPr>
              <w:t>19min12s</w:t>
            </w:r>
          </w:p>
        </w:tc>
        <w:tc>
          <w:tcPr>
            <w:tcW w:w="1984" w:type="dxa"/>
            <w:shd w:val="clear" w:color="auto" w:fill="auto"/>
            <w:noWrap/>
            <w:vAlign w:val="center"/>
            <w:hideMark/>
          </w:tcPr>
          <w:p w14:paraId="3533CA5E"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hAnsi="Arial" w:cs="Arial"/>
              </w:rPr>
              <w:t>19min 10s</w:t>
            </w:r>
          </w:p>
        </w:tc>
      </w:tr>
    </w:tbl>
    <w:p w14:paraId="4C85BB4C" w14:textId="77777777" w:rsidR="00BE6DA4" w:rsidRPr="00BE6DA4" w:rsidRDefault="00BE6DA4" w:rsidP="00BE6DA4">
      <w:pPr>
        <w:tabs>
          <w:tab w:val="num" w:pos="0"/>
        </w:tabs>
        <w:autoSpaceDE w:val="0"/>
        <w:jc w:val="both"/>
        <w:rPr>
          <w:rFonts w:ascii="Arial" w:eastAsia="Calibri" w:hAnsi="Arial" w:cs="Arial"/>
          <w:color w:val="000000"/>
        </w:rPr>
      </w:pPr>
    </w:p>
    <w:p w14:paraId="416F3C09" w14:textId="77777777" w:rsidR="00BE6DA4" w:rsidRDefault="00495B1E" w:rsidP="00495B1E">
      <w:pPr>
        <w:tabs>
          <w:tab w:val="num" w:pos="0"/>
        </w:tabs>
        <w:autoSpaceDE w:val="0"/>
        <w:spacing w:line="276" w:lineRule="auto"/>
        <w:jc w:val="both"/>
        <w:rPr>
          <w:rFonts w:ascii="Arial" w:eastAsia="Calibri" w:hAnsi="Arial" w:cs="Arial"/>
          <w:color w:val="000000"/>
        </w:rPr>
      </w:pPr>
      <w:r w:rsidRPr="00495B1E">
        <w:rPr>
          <w:rFonts w:ascii="Arial" w:eastAsia="Calibri" w:hAnsi="Arial" w:cs="Arial"/>
          <w:color w:val="000000"/>
        </w:rPr>
        <w:t xml:space="preserve">Dacă luăm în considerare doar călătoriile care se desfășoară în interiorul </w:t>
      </w:r>
      <w:r w:rsidR="00887CA6">
        <w:rPr>
          <w:rFonts w:ascii="Arial" w:eastAsia="Calibri" w:hAnsi="Arial" w:cs="Arial"/>
          <w:color w:val="000000"/>
        </w:rPr>
        <w:t>orasului</w:t>
      </w:r>
      <w:r w:rsidRPr="00495B1E">
        <w:rPr>
          <w:rFonts w:ascii="Arial" w:eastAsia="Calibri" w:hAnsi="Arial" w:cs="Arial"/>
          <w:color w:val="000000"/>
        </w:rPr>
        <w:t>, exceptȃnd zonele de penetrație obținem următoarele medii pentru vieza de circulație și durata călătoriei:</w:t>
      </w:r>
    </w:p>
    <w:p w14:paraId="635EEE8C" w14:textId="153F058C" w:rsidR="00495B1E" w:rsidRPr="00205E1D" w:rsidRDefault="00205E1D" w:rsidP="00205E1D">
      <w:pPr>
        <w:pStyle w:val="Legend"/>
        <w:rPr>
          <w:rFonts w:ascii="Arial" w:eastAsia="Calibri" w:hAnsi="Arial" w:cs="Arial"/>
          <w:i w:val="0"/>
          <w:color w:val="000000"/>
          <w:sz w:val="22"/>
          <w:szCs w:val="22"/>
        </w:rPr>
      </w:pPr>
      <w:bookmarkStart w:id="313" w:name="_Toc68361242"/>
      <w:bookmarkStart w:id="314" w:name="_Toc96447410"/>
      <w:r w:rsidRPr="00A1048D">
        <w:rPr>
          <w:rFonts w:ascii="Arial" w:hAnsi="Arial" w:cs="Arial"/>
          <w:sz w:val="22"/>
          <w:szCs w:val="22"/>
        </w:rPr>
        <w:t xml:space="preserve">Tabel I.3. </w:t>
      </w:r>
      <w:r w:rsidRPr="00A1048D">
        <w:rPr>
          <w:rFonts w:ascii="Arial" w:hAnsi="Arial" w:cs="Arial"/>
          <w:sz w:val="22"/>
          <w:szCs w:val="22"/>
        </w:rPr>
        <w:fldChar w:fldCharType="begin"/>
      </w:r>
      <w:r w:rsidRPr="00A1048D">
        <w:rPr>
          <w:rFonts w:ascii="Arial" w:hAnsi="Arial" w:cs="Arial"/>
          <w:sz w:val="22"/>
          <w:szCs w:val="22"/>
        </w:rPr>
        <w:instrText xml:space="preserve"> SEQ Tabel_I.3. \* ARABIC </w:instrText>
      </w:r>
      <w:r w:rsidRPr="00A1048D">
        <w:rPr>
          <w:rFonts w:ascii="Arial" w:hAnsi="Arial" w:cs="Arial"/>
          <w:sz w:val="22"/>
          <w:szCs w:val="22"/>
        </w:rPr>
        <w:fldChar w:fldCharType="separate"/>
      </w:r>
      <w:r w:rsidR="00BB181C">
        <w:rPr>
          <w:rFonts w:ascii="Arial" w:hAnsi="Arial" w:cs="Arial"/>
          <w:noProof/>
          <w:sz w:val="22"/>
          <w:szCs w:val="22"/>
        </w:rPr>
        <w:t>14</w:t>
      </w:r>
      <w:r w:rsidRPr="00A1048D">
        <w:rPr>
          <w:rFonts w:ascii="Arial" w:hAnsi="Arial" w:cs="Arial"/>
          <w:sz w:val="22"/>
          <w:szCs w:val="22"/>
        </w:rPr>
        <w:fldChar w:fldCharType="end"/>
      </w:r>
      <w:r w:rsidRPr="00A1048D">
        <w:rPr>
          <w:rFonts w:ascii="Arial" w:hAnsi="Arial" w:cs="Arial"/>
          <w:sz w:val="22"/>
          <w:szCs w:val="22"/>
        </w:rPr>
        <w:t xml:space="preserve"> </w:t>
      </w:r>
      <w:r w:rsidR="00495B1E" w:rsidRPr="00A1048D">
        <w:rPr>
          <w:rFonts w:ascii="Arial" w:hAnsi="Arial" w:cs="Arial"/>
          <w:sz w:val="22"/>
          <w:szCs w:val="22"/>
        </w:rPr>
        <w:t xml:space="preserve">- </w:t>
      </w:r>
      <w:r w:rsidR="00495B1E" w:rsidRPr="00A1048D">
        <w:rPr>
          <w:rFonts w:ascii="Arial" w:hAnsi="Arial" w:cs="Arial"/>
          <w:i w:val="0"/>
          <w:sz w:val="22"/>
          <w:szCs w:val="22"/>
        </w:rPr>
        <w:t xml:space="preserve">Viteza medie de deplasare si durata medie a călătoriei în interiorul </w:t>
      </w:r>
      <w:bookmarkEnd w:id="313"/>
      <w:r w:rsidRPr="00A1048D">
        <w:rPr>
          <w:rFonts w:ascii="Arial" w:hAnsi="Arial" w:cs="Arial"/>
          <w:i w:val="0"/>
          <w:sz w:val="22"/>
          <w:szCs w:val="22"/>
        </w:rPr>
        <w:t>Orașului Horezu</w:t>
      </w:r>
      <w:bookmarkEnd w:id="314"/>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985"/>
        <w:gridCol w:w="1984"/>
      </w:tblGrid>
      <w:tr w:rsidR="00A1048D" w:rsidRPr="00A1048D" w14:paraId="5E568453" w14:textId="77777777" w:rsidTr="00CE76B6">
        <w:trPr>
          <w:trHeight w:val="620"/>
          <w:jc w:val="center"/>
        </w:trPr>
        <w:tc>
          <w:tcPr>
            <w:tcW w:w="4673" w:type="dxa"/>
            <w:tcBorders>
              <w:top w:val="nil"/>
              <w:left w:val="nil"/>
              <w:bottom w:val="single" w:sz="4" w:space="0" w:color="auto"/>
              <w:right w:val="single" w:sz="4" w:space="0" w:color="auto"/>
            </w:tcBorders>
            <w:shd w:val="clear" w:color="auto" w:fill="auto"/>
            <w:noWrap/>
            <w:vAlign w:val="center"/>
          </w:tcPr>
          <w:p w14:paraId="30A5FDA3" w14:textId="77777777" w:rsidR="00A1048D" w:rsidRPr="00A1048D" w:rsidRDefault="00A1048D" w:rsidP="00A1048D">
            <w:pPr>
              <w:spacing w:after="0" w:line="240" w:lineRule="auto"/>
              <w:jc w:val="both"/>
              <w:rPr>
                <w:rFonts w:ascii="Arial" w:eastAsia="Times New Roman" w:hAnsi="Arial" w:cs="Arial"/>
                <w:lang w:val="ro-RO" w:eastAsia="ro-RO"/>
              </w:rPr>
            </w:pPr>
          </w:p>
        </w:tc>
        <w:tc>
          <w:tcPr>
            <w:tcW w:w="1985" w:type="dxa"/>
            <w:tcBorders>
              <w:left w:val="single" w:sz="4" w:space="0" w:color="auto"/>
            </w:tcBorders>
            <w:shd w:val="clear" w:color="auto" w:fill="auto"/>
            <w:noWrap/>
            <w:vAlign w:val="center"/>
          </w:tcPr>
          <w:p w14:paraId="6B001DEB"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eastAsia="Times New Roman" w:hAnsi="Arial" w:cs="Arial"/>
                <w:lang w:val="ro-RO" w:eastAsia="ro-RO"/>
              </w:rPr>
              <w:t>AM peak</w:t>
            </w:r>
          </w:p>
        </w:tc>
        <w:tc>
          <w:tcPr>
            <w:tcW w:w="1984" w:type="dxa"/>
            <w:shd w:val="clear" w:color="auto" w:fill="auto"/>
            <w:noWrap/>
            <w:vAlign w:val="center"/>
          </w:tcPr>
          <w:p w14:paraId="7E88BA0D"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eastAsia="Times New Roman" w:hAnsi="Arial" w:cs="Arial"/>
                <w:lang w:val="ro-RO" w:eastAsia="ro-RO"/>
              </w:rPr>
              <w:t>PM peak</w:t>
            </w:r>
          </w:p>
        </w:tc>
      </w:tr>
      <w:tr w:rsidR="00A1048D" w:rsidRPr="00A1048D" w14:paraId="0ED7C471" w14:textId="77777777" w:rsidTr="00CE76B6">
        <w:trPr>
          <w:trHeight w:val="620"/>
          <w:jc w:val="center"/>
        </w:trPr>
        <w:tc>
          <w:tcPr>
            <w:tcW w:w="4673" w:type="dxa"/>
            <w:tcBorders>
              <w:top w:val="single" w:sz="4" w:space="0" w:color="auto"/>
            </w:tcBorders>
            <w:shd w:val="clear" w:color="auto" w:fill="auto"/>
            <w:noWrap/>
            <w:vAlign w:val="center"/>
          </w:tcPr>
          <w:p w14:paraId="381F4AE1" w14:textId="77777777" w:rsidR="00A1048D" w:rsidRPr="00A1048D" w:rsidRDefault="00A1048D" w:rsidP="00A1048D">
            <w:pPr>
              <w:spacing w:after="0" w:line="240" w:lineRule="auto"/>
              <w:jc w:val="both"/>
              <w:rPr>
                <w:rFonts w:ascii="Arial" w:eastAsia="Times New Roman" w:hAnsi="Arial" w:cs="Arial"/>
                <w:lang w:val="ro-RO" w:eastAsia="ro-RO"/>
              </w:rPr>
            </w:pPr>
            <w:r w:rsidRPr="00A1048D">
              <w:rPr>
                <w:rFonts w:ascii="Arial" w:hAnsi="Arial" w:cs="Arial"/>
                <w:color w:val="000000"/>
                <w:lang w:val="ro-RO"/>
              </w:rPr>
              <w:t>Viteza medie de deplasare pe teritoriul municipiului</w:t>
            </w:r>
          </w:p>
        </w:tc>
        <w:tc>
          <w:tcPr>
            <w:tcW w:w="1985" w:type="dxa"/>
            <w:shd w:val="clear" w:color="auto" w:fill="auto"/>
            <w:noWrap/>
            <w:vAlign w:val="center"/>
          </w:tcPr>
          <w:p w14:paraId="238874B4"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hAnsi="Arial" w:cs="Arial"/>
              </w:rPr>
              <w:t>28.99 km/h</w:t>
            </w:r>
          </w:p>
        </w:tc>
        <w:tc>
          <w:tcPr>
            <w:tcW w:w="1984" w:type="dxa"/>
            <w:shd w:val="clear" w:color="auto" w:fill="auto"/>
            <w:noWrap/>
            <w:vAlign w:val="center"/>
          </w:tcPr>
          <w:p w14:paraId="44F1E47F"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hAnsi="Arial" w:cs="Arial"/>
              </w:rPr>
              <w:t xml:space="preserve">29.22 km/h </w:t>
            </w:r>
          </w:p>
        </w:tc>
      </w:tr>
      <w:tr w:rsidR="00A1048D" w:rsidRPr="00A1048D" w14:paraId="3429D404" w14:textId="77777777" w:rsidTr="00CE76B6">
        <w:trPr>
          <w:trHeight w:val="620"/>
          <w:jc w:val="center"/>
        </w:trPr>
        <w:tc>
          <w:tcPr>
            <w:tcW w:w="4673" w:type="dxa"/>
            <w:shd w:val="clear" w:color="auto" w:fill="auto"/>
            <w:noWrap/>
            <w:vAlign w:val="center"/>
            <w:hideMark/>
          </w:tcPr>
          <w:p w14:paraId="0697D089" w14:textId="77777777" w:rsidR="00A1048D" w:rsidRPr="00A1048D" w:rsidRDefault="00A1048D" w:rsidP="00A1048D">
            <w:pPr>
              <w:spacing w:after="0" w:line="240" w:lineRule="auto"/>
              <w:jc w:val="both"/>
              <w:rPr>
                <w:rFonts w:ascii="Arial" w:eastAsia="Times New Roman" w:hAnsi="Arial" w:cs="Arial"/>
                <w:lang w:val="ro-RO" w:eastAsia="ro-RO"/>
              </w:rPr>
            </w:pPr>
            <w:r w:rsidRPr="00A1048D">
              <w:rPr>
                <w:rFonts w:ascii="Arial" w:hAnsi="Arial" w:cs="Arial"/>
                <w:color w:val="000000"/>
                <w:lang w:val="ro-RO"/>
              </w:rPr>
              <w:t>Durata medie a călătoriei pe teritoriul municipiului</w:t>
            </w:r>
          </w:p>
        </w:tc>
        <w:tc>
          <w:tcPr>
            <w:tcW w:w="1985" w:type="dxa"/>
            <w:shd w:val="clear" w:color="auto" w:fill="auto"/>
            <w:noWrap/>
            <w:vAlign w:val="center"/>
            <w:hideMark/>
          </w:tcPr>
          <w:p w14:paraId="0927D511"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hAnsi="Arial" w:cs="Arial"/>
              </w:rPr>
              <w:t>12min 4s</w:t>
            </w:r>
          </w:p>
        </w:tc>
        <w:tc>
          <w:tcPr>
            <w:tcW w:w="1984" w:type="dxa"/>
            <w:shd w:val="clear" w:color="auto" w:fill="auto"/>
            <w:noWrap/>
            <w:vAlign w:val="center"/>
            <w:hideMark/>
          </w:tcPr>
          <w:p w14:paraId="5825909E" w14:textId="77777777" w:rsidR="00A1048D" w:rsidRPr="00A1048D" w:rsidRDefault="00A1048D" w:rsidP="00A1048D">
            <w:pPr>
              <w:spacing w:after="0" w:line="240" w:lineRule="auto"/>
              <w:jc w:val="center"/>
              <w:rPr>
                <w:rFonts w:ascii="Arial" w:eastAsia="Times New Roman" w:hAnsi="Arial" w:cs="Arial"/>
                <w:lang w:val="ro-RO" w:eastAsia="ro-RO"/>
              </w:rPr>
            </w:pPr>
            <w:r w:rsidRPr="00A1048D">
              <w:rPr>
                <w:rFonts w:ascii="Arial" w:hAnsi="Arial" w:cs="Arial"/>
              </w:rPr>
              <w:t>13min 14s</w:t>
            </w:r>
          </w:p>
        </w:tc>
      </w:tr>
    </w:tbl>
    <w:p w14:paraId="0079AA50" w14:textId="77777777" w:rsidR="00BE6DA4" w:rsidRPr="00BE6DA4" w:rsidRDefault="00BE6DA4" w:rsidP="00BE6DA4">
      <w:pPr>
        <w:tabs>
          <w:tab w:val="num" w:pos="0"/>
        </w:tabs>
        <w:autoSpaceDE w:val="0"/>
        <w:jc w:val="both"/>
        <w:rPr>
          <w:rFonts w:ascii="Arial" w:eastAsia="Calibri" w:hAnsi="Arial" w:cs="Arial"/>
          <w:color w:val="000000"/>
        </w:rPr>
      </w:pPr>
    </w:p>
    <w:p w14:paraId="56877216" w14:textId="77777777" w:rsidR="00BE6DA4" w:rsidRPr="00BE6DA4" w:rsidRDefault="00BE6DA4" w:rsidP="00BE6DA4">
      <w:pPr>
        <w:tabs>
          <w:tab w:val="num" w:pos="0"/>
        </w:tabs>
        <w:autoSpaceDE w:val="0"/>
        <w:jc w:val="both"/>
        <w:rPr>
          <w:rFonts w:ascii="Arial" w:eastAsia="Calibri" w:hAnsi="Arial" w:cs="Arial"/>
          <w:b/>
          <w:bCs/>
          <w:color w:val="000000"/>
          <w:highlight w:val="cyan"/>
        </w:rPr>
      </w:pPr>
      <w:r w:rsidRPr="00DF3610">
        <w:rPr>
          <w:rFonts w:ascii="Arial" w:eastAsia="Calibri" w:hAnsi="Arial" w:cs="Arial"/>
          <w:b/>
          <w:bCs/>
          <w:color w:val="000000"/>
        </w:rPr>
        <w:t xml:space="preserve">Timpii de traversare a </w:t>
      </w:r>
      <w:r w:rsidR="00205E1D">
        <w:rPr>
          <w:rFonts w:ascii="Arial" w:eastAsia="Calibri" w:hAnsi="Arial" w:cs="Arial"/>
          <w:b/>
          <w:bCs/>
          <w:color w:val="000000"/>
        </w:rPr>
        <w:t>Orașului Horezu</w:t>
      </w:r>
    </w:p>
    <w:p w14:paraId="2530AA95" w14:textId="77777777" w:rsidR="00DF3610" w:rsidRPr="00DF3610" w:rsidRDefault="00DF3610" w:rsidP="00DF3610">
      <w:pPr>
        <w:tabs>
          <w:tab w:val="num" w:pos="0"/>
        </w:tabs>
        <w:autoSpaceDE w:val="0"/>
        <w:spacing w:line="276" w:lineRule="auto"/>
        <w:jc w:val="both"/>
        <w:rPr>
          <w:rFonts w:ascii="Arial" w:eastAsia="Calibri" w:hAnsi="Arial" w:cs="Arial"/>
          <w:color w:val="000000"/>
        </w:rPr>
      </w:pPr>
      <w:r w:rsidRPr="00DF3610">
        <w:rPr>
          <w:rFonts w:ascii="Arial" w:eastAsia="Calibri" w:hAnsi="Arial" w:cs="Arial"/>
          <w:color w:val="000000"/>
        </w:rPr>
        <w:t>Au fost calculați în cadrul modelului timpii de traversare a municipiului pe diferite direcții, și întârzierea pe aceste direcții calculată la ora de vârf de dimineață și cea de după-amiază.</w:t>
      </w:r>
    </w:p>
    <w:p w14:paraId="570CED58" w14:textId="31818735" w:rsidR="00BE6DA4" w:rsidRPr="00BE6DA4" w:rsidRDefault="00887CA6" w:rsidP="00DF3610">
      <w:pPr>
        <w:tabs>
          <w:tab w:val="num" w:pos="0"/>
        </w:tabs>
        <w:autoSpaceDE w:val="0"/>
        <w:spacing w:line="276" w:lineRule="auto"/>
        <w:jc w:val="both"/>
        <w:rPr>
          <w:rFonts w:ascii="Arial" w:eastAsia="Calibri" w:hAnsi="Arial" w:cs="Arial"/>
          <w:color w:val="000000"/>
        </w:rPr>
      </w:pPr>
      <w:r w:rsidRPr="005B6E1D">
        <w:rPr>
          <w:rFonts w:ascii="Arial" w:eastAsia="Calibri" w:hAnsi="Arial" w:cs="Arial"/>
          <w:color w:val="000000"/>
          <w:lang w:val="ro-RO"/>
        </w:rPr>
        <w:t>Timpii de traversare s-au calculat de la granița de intrare / ieșire care delimitează ora</w:t>
      </w:r>
      <w:r w:rsidR="00A1048D">
        <w:rPr>
          <w:rFonts w:ascii="Arial" w:eastAsia="Calibri" w:hAnsi="Arial" w:cs="Arial"/>
          <w:color w:val="000000"/>
          <w:lang w:val="ro-RO"/>
        </w:rPr>
        <w:t>ș</w:t>
      </w:r>
      <w:r w:rsidRPr="005B6E1D">
        <w:rPr>
          <w:rFonts w:ascii="Arial" w:eastAsia="Calibri" w:hAnsi="Arial" w:cs="Arial"/>
          <w:color w:val="000000"/>
          <w:lang w:val="ro-RO"/>
        </w:rPr>
        <w:t>ul Horezu. Traseele pe care s-au calculat timpii de tranzit sunt prezentați în figura următoare:</w:t>
      </w:r>
    </w:p>
    <w:p w14:paraId="25FA334B" w14:textId="3E3D7996" w:rsidR="00BE6DA4" w:rsidRPr="00BE6DA4" w:rsidRDefault="00BE6DA4" w:rsidP="00BE6DA4">
      <w:pPr>
        <w:tabs>
          <w:tab w:val="num" w:pos="0"/>
        </w:tabs>
        <w:autoSpaceDE w:val="0"/>
        <w:jc w:val="both"/>
        <w:rPr>
          <w:rFonts w:ascii="Arial" w:eastAsia="Calibri" w:hAnsi="Arial" w:cs="Arial"/>
          <w:color w:val="000000"/>
        </w:rPr>
      </w:pPr>
      <w:r w:rsidRPr="00BE6DA4">
        <w:rPr>
          <w:rFonts w:ascii="Arial" w:eastAsia="Calibri" w:hAnsi="Arial" w:cs="Arial"/>
          <w:color w:val="000000"/>
        </w:rPr>
        <w:t xml:space="preserve"> </w:t>
      </w:r>
    </w:p>
    <w:p w14:paraId="02C37B22" w14:textId="77777777" w:rsidR="00D70AEA" w:rsidRPr="002538CB" w:rsidRDefault="00D70AEA" w:rsidP="003430C5">
      <w:pPr>
        <w:pStyle w:val="Titlu2"/>
        <w:rPr>
          <w:rFonts w:ascii="Arial" w:eastAsia="Times New Roman" w:hAnsi="Arial" w:cs="Arial"/>
          <w:b/>
          <w:bCs/>
          <w:color w:val="auto"/>
          <w:lang w:val="it-IT" w:eastAsia="ro-RO"/>
        </w:rPr>
      </w:pPr>
      <w:bookmarkStart w:id="315" w:name="_Toc61264902"/>
      <w:bookmarkStart w:id="316" w:name="_Toc142039083"/>
      <w:r w:rsidRPr="002538CB">
        <w:rPr>
          <w:rFonts w:ascii="Arial" w:eastAsia="Times New Roman" w:hAnsi="Arial" w:cs="Arial"/>
          <w:b/>
          <w:bCs/>
          <w:color w:val="auto"/>
          <w:lang w:val="it-IT" w:eastAsia="ro-RO"/>
        </w:rPr>
        <w:t>I.3.7</w:t>
      </w:r>
      <w:r w:rsidR="003430C5" w:rsidRPr="002538CB">
        <w:rPr>
          <w:rFonts w:ascii="Arial" w:eastAsia="Times New Roman" w:hAnsi="Arial" w:cs="Arial"/>
          <w:b/>
          <w:bCs/>
          <w:color w:val="auto"/>
          <w:lang w:val="it-IT" w:eastAsia="ro-RO"/>
        </w:rPr>
        <w:t xml:space="preserve"> </w:t>
      </w:r>
      <w:r w:rsidRPr="003F5271">
        <w:rPr>
          <w:rFonts w:ascii="Arial" w:eastAsia="Times New Roman" w:hAnsi="Arial" w:cs="Arial"/>
          <w:b/>
          <w:bCs/>
          <w:color w:val="auto"/>
          <w:lang w:val="it-IT" w:eastAsia="ro-RO"/>
        </w:rPr>
        <w:t>Testarea modelului de transport în cadrul unui studiu de caz</w:t>
      </w:r>
      <w:bookmarkEnd w:id="315"/>
      <w:bookmarkEnd w:id="316"/>
    </w:p>
    <w:p w14:paraId="20576F24" w14:textId="77777777" w:rsidR="00556B9F" w:rsidRPr="002538CB" w:rsidRDefault="00556B9F" w:rsidP="002538CB">
      <w:pPr>
        <w:widowControl w:val="0"/>
        <w:suppressAutoHyphens/>
        <w:spacing w:after="0" w:line="276" w:lineRule="auto"/>
        <w:jc w:val="both"/>
        <w:rPr>
          <w:rFonts w:ascii="Arial" w:hAnsi="Arial" w:cs="Arial"/>
          <w:kern w:val="1"/>
          <w:lang w:val="ro-RO" w:eastAsia="hi-IN" w:bidi="hi-IN"/>
        </w:rPr>
      </w:pPr>
      <w:r w:rsidRPr="002538CB">
        <w:rPr>
          <w:rFonts w:ascii="Arial" w:hAnsi="Arial" w:cs="Mangal"/>
          <w:kern w:val="1"/>
          <w:lang w:val="ro-RO" w:eastAsia="hi-IN" w:bidi="hi-IN"/>
        </w:rPr>
        <w:t>Pentru testarea modelului a fost aleasă zona central</w:t>
      </w:r>
      <w:r w:rsidRPr="002538CB">
        <w:rPr>
          <w:rFonts w:ascii="Arial" w:hAnsi="Arial" w:cs="Arial"/>
          <w:kern w:val="1"/>
          <w:lang w:val="ro-RO" w:eastAsia="hi-IN" w:bidi="hi-IN"/>
        </w:rPr>
        <w:t>ă</w:t>
      </w:r>
      <w:r w:rsidRPr="002538CB">
        <w:rPr>
          <w:rFonts w:ascii="Arial" w:hAnsi="Arial" w:cs="Mangal"/>
          <w:kern w:val="1"/>
          <w:lang w:val="ro-RO" w:eastAsia="hi-IN" w:bidi="hi-IN"/>
        </w:rPr>
        <w:t xml:space="preserve"> cu risc crescut de congestie, respectiv proiectele avute în vedere pentru zona respectiv</w:t>
      </w:r>
      <w:r w:rsidRPr="002538CB">
        <w:rPr>
          <w:rFonts w:ascii="Arial" w:hAnsi="Arial" w:cs="Arial"/>
          <w:kern w:val="1"/>
          <w:lang w:val="ro-RO" w:eastAsia="hi-IN" w:bidi="hi-IN"/>
        </w:rPr>
        <w:t>ă</w:t>
      </w:r>
      <w:r w:rsidRPr="002538CB">
        <w:rPr>
          <w:rFonts w:ascii="Arial" w:hAnsi="Arial" w:cs="Mangal"/>
          <w:kern w:val="1"/>
          <w:lang w:val="ro-RO" w:eastAsia="hi-IN" w:bidi="hi-IN"/>
        </w:rPr>
        <w:t>.</w:t>
      </w:r>
    </w:p>
    <w:p w14:paraId="554F7CDD" w14:textId="77777777" w:rsidR="00556B9F" w:rsidRPr="002538CB" w:rsidRDefault="00556B9F" w:rsidP="002538CB">
      <w:pPr>
        <w:widowControl w:val="0"/>
        <w:suppressAutoHyphens/>
        <w:spacing w:after="0" w:line="276" w:lineRule="auto"/>
        <w:jc w:val="both"/>
        <w:rPr>
          <w:rFonts w:ascii="Arial" w:hAnsi="Arial" w:cs="Arial"/>
          <w:kern w:val="1"/>
          <w:lang w:val="ro-RO" w:eastAsia="hi-IN" w:bidi="hi-IN"/>
        </w:rPr>
      </w:pPr>
    </w:p>
    <w:p w14:paraId="65761162" w14:textId="77777777" w:rsidR="00556B9F" w:rsidRPr="002538CB" w:rsidRDefault="00556B9F" w:rsidP="002538CB">
      <w:pPr>
        <w:widowControl w:val="0"/>
        <w:suppressAutoHyphens/>
        <w:spacing w:after="0" w:line="276" w:lineRule="auto"/>
        <w:jc w:val="both"/>
        <w:rPr>
          <w:rFonts w:ascii="Arial" w:hAnsi="Arial" w:cs="Arial"/>
          <w:kern w:val="1"/>
          <w:lang w:val="ro-RO" w:eastAsia="hi-IN" w:bidi="hi-IN"/>
        </w:rPr>
      </w:pPr>
      <w:r w:rsidRPr="002538CB">
        <w:rPr>
          <w:rFonts w:ascii="Arial" w:hAnsi="Arial" w:cs="Arial"/>
          <w:kern w:val="1"/>
          <w:lang w:val="ro-RO" w:eastAsia="hi-IN" w:bidi="hi-IN"/>
        </w:rPr>
        <w:t xml:space="preserve">Micromodelarea pentru Zona Centrală a </w:t>
      </w:r>
      <w:r w:rsidR="00887CA6">
        <w:rPr>
          <w:rFonts w:ascii="Arial" w:hAnsi="Arial" w:cs="Arial"/>
          <w:kern w:val="1"/>
          <w:lang w:val="ro-RO" w:eastAsia="hi-IN" w:bidi="hi-IN"/>
        </w:rPr>
        <w:t>Orasului Horezu</w:t>
      </w:r>
      <w:r w:rsidRPr="002538CB">
        <w:rPr>
          <w:rFonts w:ascii="Arial" w:hAnsi="Arial" w:cs="Arial"/>
          <w:kern w:val="1"/>
          <w:lang w:val="ro-RO" w:eastAsia="hi-IN" w:bidi="hi-IN"/>
        </w:rPr>
        <w:t xml:space="preserve"> a fost realizată pentru anul 202</w:t>
      </w:r>
      <w:r w:rsidR="003F5271">
        <w:rPr>
          <w:rFonts w:ascii="Arial" w:hAnsi="Arial" w:cs="Arial"/>
          <w:kern w:val="1"/>
          <w:lang w:val="ro-RO" w:eastAsia="hi-IN" w:bidi="hi-IN"/>
        </w:rPr>
        <w:t>7</w:t>
      </w:r>
      <w:r w:rsidRPr="002538CB">
        <w:rPr>
          <w:rFonts w:ascii="Arial" w:hAnsi="Arial" w:cs="Arial"/>
          <w:kern w:val="1"/>
          <w:lang w:val="ro-RO" w:eastAsia="hi-IN" w:bidi="hi-IN"/>
        </w:rPr>
        <w:t>, pentru ora de vârf de dimineață.</w:t>
      </w:r>
    </w:p>
    <w:p w14:paraId="7D85DA67" w14:textId="77777777" w:rsidR="00556B9F" w:rsidRPr="002538CB" w:rsidRDefault="00556B9F" w:rsidP="002538CB">
      <w:pPr>
        <w:widowControl w:val="0"/>
        <w:suppressAutoHyphens/>
        <w:spacing w:after="0" w:line="276" w:lineRule="auto"/>
        <w:jc w:val="both"/>
        <w:rPr>
          <w:rFonts w:ascii="Arial" w:hAnsi="Arial" w:cs="Arial"/>
          <w:kern w:val="1"/>
          <w:lang w:val="ro-RO" w:eastAsia="hi-IN" w:bidi="hi-IN"/>
        </w:rPr>
      </w:pPr>
    </w:p>
    <w:p w14:paraId="1318A0A6" w14:textId="77777777" w:rsidR="00556B9F" w:rsidRPr="002538CB" w:rsidRDefault="00556B9F" w:rsidP="002538CB">
      <w:pPr>
        <w:widowControl w:val="0"/>
        <w:suppressAutoHyphens/>
        <w:spacing w:after="0" w:line="276" w:lineRule="auto"/>
        <w:jc w:val="both"/>
        <w:rPr>
          <w:rFonts w:ascii="Arial" w:hAnsi="Arial" w:cs="Arial"/>
          <w:kern w:val="1"/>
          <w:lang w:val="ro-RO" w:eastAsia="hi-IN" w:bidi="hi-IN"/>
        </w:rPr>
      </w:pPr>
      <w:r w:rsidRPr="002538CB">
        <w:rPr>
          <w:rFonts w:ascii="Arial" w:hAnsi="Arial" w:cs="Arial"/>
          <w:kern w:val="1"/>
          <w:lang w:val="ro-RO" w:eastAsia="hi-IN" w:bidi="hi-IN"/>
        </w:rPr>
        <w:t>Zona con</w:t>
      </w:r>
      <w:r w:rsidR="002538CB">
        <w:rPr>
          <w:rFonts w:ascii="Arial" w:hAnsi="Arial" w:cs="Arial"/>
          <w:kern w:val="1"/>
          <w:lang w:val="ro-RO" w:eastAsia="hi-IN" w:bidi="hi-IN"/>
        </w:rPr>
        <w:t>siderată este delimitată de stră</w:t>
      </w:r>
      <w:r w:rsidRPr="002538CB">
        <w:rPr>
          <w:rFonts w:ascii="Arial" w:hAnsi="Arial" w:cs="Arial"/>
          <w:kern w:val="1"/>
          <w:lang w:val="ro-RO" w:eastAsia="hi-IN" w:bidi="hi-IN"/>
        </w:rPr>
        <w:t xml:space="preserve">zile </w:t>
      </w:r>
      <w:r w:rsidR="00A67543">
        <w:rPr>
          <w:rFonts w:ascii="Arial" w:hAnsi="Arial" w:cs="Arial"/>
          <w:kern w:val="1"/>
          <w:lang w:val="ro-RO" w:eastAsia="hi-IN" w:bidi="hi-IN"/>
        </w:rPr>
        <w:t>București</w:t>
      </w:r>
      <w:r w:rsidR="002538CB">
        <w:rPr>
          <w:rFonts w:ascii="Arial" w:hAnsi="Arial" w:cs="Arial"/>
          <w:kern w:val="1"/>
          <w:lang w:val="ro-RO" w:eastAsia="hi-IN" w:bidi="hi-IN"/>
        </w:rPr>
        <w:t>, Negru Vodă, 1 Decembrie şi Cuza Vodă</w:t>
      </w:r>
      <w:r w:rsidRPr="002538CB">
        <w:rPr>
          <w:rFonts w:ascii="Arial" w:hAnsi="Arial" w:cs="Arial"/>
          <w:kern w:val="1"/>
          <w:lang w:val="ro-RO" w:eastAsia="hi-IN" w:bidi="hi-IN"/>
        </w:rPr>
        <w:t>.</w:t>
      </w:r>
    </w:p>
    <w:p w14:paraId="32D7C444" w14:textId="77777777" w:rsidR="00556B9F" w:rsidRPr="002538CB" w:rsidRDefault="00556B9F" w:rsidP="002538CB">
      <w:pPr>
        <w:widowControl w:val="0"/>
        <w:suppressAutoHyphens/>
        <w:spacing w:after="0" w:line="276" w:lineRule="auto"/>
        <w:jc w:val="both"/>
        <w:rPr>
          <w:rFonts w:ascii="Arial" w:hAnsi="Arial" w:cs="Arial"/>
          <w:kern w:val="1"/>
          <w:lang w:val="ro-RO" w:eastAsia="hi-IN" w:bidi="hi-IN"/>
        </w:rPr>
      </w:pPr>
    </w:p>
    <w:p w14:paraId="1A9134E1" w14:textId="77777777" w:rsidR="00556B9F" w:rsidRPr="002538CB" w:rsidRDefault="00556B9F" w:rsidP="002538CB">
      <w:pPr>
        <w:widowControl w:val="0"/>
        <w:suppressAutoHyphens/>
        <w:spacing w:after="0" w:line="276" w:lineRule="auto"/>
        <w:jc w:val="both"/>
        <w:rPr>
          <w:rFonts w:ascii="Arial" w:hAnsi="Arial" w:cs="Arial"/>
          <w:kern w:val="1"/>
          <w:lang w:val="ro-RO" w:eastAsia="hi-IN" w:bidi="hi-IN"/>
        </w:rPr>
      </w:pPr>
      <w:r w:rsidRPr="002538CB">
        <w:rPr>
          <w:rFonts w:ascii="Arial" w:hAnsi="Arial" w:cs="Arial"/>
          <w:kern w:val="1"/>
          <w:lang w:val="ro-RO" w:eastAsia="hi-IN" w:bidi="hi-IN"/>
        </w:rPr>
        <w:t>Scenariile evaluate sunt:</w:t>
      </w:r>
    </w:p>
    <w:p w14:paraId="4FA65CDA" w14:textId="77777777" w:rsidR="00887CA6" w:rsidRPr="005B6E1D" w:rsidRDefault="00887CA6" w:rsidP="00887CA6">
      <w:pPr>
        <w:numPr>
          <w:ilvl w:val="0"/>
          <w:numId w:val="67"/>
        </w:numPr>
        <w:spacing w:after="0" w:line="276" w:lineRule="auto"/>
        <w:ind w:left="720"/>
        <w:jc w:val="both"/>
        <w:rPr>
          <w:rFonts w:ascii="Arial" w:eastAsia="Times New Roman" w:hAnsi="Arial" w:cs="Arial"/>
          <w:lang w:val="ro-RO" w:eastAsia="zh-CN"/>
        </w:rPr>
      </w:pPr>
      <w:r w:rsidRPr="005B6E1D">
        <w:rPr>
          <w:rFonts w:ascii="Arial" w:eastAsia="Times New Roman" w:hAnsi="Arial" w:cs="Arial"/>
          <w:lang w:val="ro-RO" w:eastAsia="zh-CN"/>
        </w:rPr>
        <w:lastRenderedPageBreak/>
        <w:t>Scenariul 1: organizarea circulației în configurația actuală, cu volumele de trafic prognozate pentru anul 2027.</w:t>
      </w:r>
    </w:p>
    <w:p w14:paraId="3C44EB1E" w14:textId="77777777" w:rsidR="00887CA6" w:rsidRPr="005B6E1D" w:rsidRDefault="00887CA6" w:rsidP="00887CA6">
      <w:pPr>
        <w:numPr>
          <w:ilvl w:val="0"/>
          <w:numId w:val="67"/>
        </w:numPr>
        <w:spacing w:after="0" w:line="276" w:lineRule="auto"/>
        <w:ind w:left="720"/>
        <w:jc w:val="both"/>
        <w:rPr>
          <w:rFonts w:ascii="Arial" w:eastAsia="Times New Roman" w:hAnsi="Arial" w:cs="Arial"/>
          <w:lang w:val="ro-RO" w:eastAsia="zh-CN"/>
        </w:rPr>
      </w:pPr>
      <w:r w:rsidRPr="005B6E1D">
        <w:rPr>
          <w:rFonts w:ascii="Arial" w:eastAsia="Times New Roman" w:hAnsi="Arial" w:cs="Arial"/>
          <w:lang w:val="ro-RO" w:eastAsia="zh-CN"/>
        </w:rPr>
        <w:t>Scenariul 2: Cu implementarea urmatoarelor proiecte:</w:t>
      </w:r>
    </w:p>
    <w:p w14:paraId="3AFCA229" w14:textId="77777777" w:rsidR="00887CA6" w:rsidRPr="005B6E1D" w:rsidRDefault="00887CA6" w:rsidP="00887CA6">
      <w:pPr>
        <w:widowControl w:val="0"/>
        <w:numPr>
          <w:ilvl w:val="0"/>
          <w:numId w:val="118"/>
        </w:numPr>
        <w:suppressAutoHyphens/>
        <w:spacing w:after="0" w:line="276" w:lineRule="auto"/>
        <w:jc w:val="both"/>
        <w:rPr>
          <w:rFonts w:ascii="Arial" w:eastAsia="Times New Roman" w:hAnsi="Arial" w:cs="Arial"/>
          <w:lang w:val="ro-RO" w:eastAsia="zh-CN"/>
        </w:rPr>
      </w:pPr>
      <w:r w:rsidRPr="005B6E1D">
        <w:rPr>
          <w:rFonts w:ascii="Arial" w:eastAsia="Times New Roman" w:hAnsi="Arial" w:cs="Arial"/>
          <w:lang w:val="ro-RO" w:eastAsia="zh-CN"/>
        </w:rPr>
        <w:t>Construirea soselei de centura;</w:t>
      </w:r>
    </w:p>
    <w:p w14:paraId="08E5C495" w14:textId="77777777" w:rsidR="00887CA6" w:rsidRPr="005B6E1D" w:rsidRDefault="00887CA6" w:rsidP="00887CA6">
      <w:pPr>
        <w:widowControl w:val="0"/>
        <w:numPr>
          <w:ilvl w:val="0"/>
          <w:numId w:val="118"/>
        </w:numPr>
        <w:suppressAutoHyphens/>
        <w:spacing w:after="0" w:line="276" w:lineRule="auto"/>
        <w:jc w:val="both"/>
        <w:rPr>
          <w:rFonts w:ascii="Arial" w:eastAsia="Times New Roman" w:hAnsi="Arial" w:cs="Arial"/>
          <w:lang w:val="ro-RO" w:eastAsia="zh-CN"/>
        </w:rPr>
      </w:pPr>
      <w:r w:rsidRPr="005B6E1D">
        <w:rPr>
          <w:rFonts w:ascii="Arial" w:eastAsia="Times New Roman" w:hAnsi="Arial" w:cs="Arial"/>
          <w:lang w:val="ro-RO" w:eastAsia="zh-CN"/>
        </w:rPr>
        <w:t>Eliminarea unei treceri de pietoni de pe DN 67;</w:t>
      </w:r>
    </w:p>
    <w:p w14:paraId="71B338C1" w14:textId="77777777" w:rsidR="00887CA6" w:rsidRPr="005B6E1D" w:rsidRDefault="00887CA6" w:rsidP="00887CA6">
      <w:pPr>
        <w:widowControl w:val="0"/>
        <w:numPr>
          <w:ilvl w:val="0"/>
          <w:numId w:val="118"/>
        </w:numPr>
        <w:suppressAutoHyphens/>
        <w:spacing w:after="0" w:line="276" w:lineRule="auto"/>
        <w:jc w:val="both"/>
        <w:rPr>
          <w:rFonts w:ascii="Arial" w:eastAsia="Times New Roman" w:hAnsi="Arial" w:cs="Arial"/>
          <w:lang w:val="ro-RO" w:eastAsia="zh-CN"/>
        </w:rPr>
      </w:pPr>
      <w:r w:rsidRPr="005B6E1D">
        <w:rPr>
          <w:rFonts w:ascii="Arial" w:eastAsia="Times New Roman" w:hAnsi="Arial" w:cs="Arial"/>
          <w:lang w:val="ro-RO" w:eastAsia="zh-CN"/>
        </w:rPr>
        <w:t>Reabilitarea si extinderea zonei pietonale;</w:t>
      </w:r>
    </w:p>
    <w:p w14:paraId="03953FE6" w14:textId="77777777" w:rsidR="00556B9F" w:rsidRPr="002538CB" w:rsidRDefault="00556B9F" w:rsidP="00887CA6">
      <w:pPr>
        <w:widowControl w:val="0"/>
        <w:suppressAutoHyphens/>
        <w:spacing w:after="0" w:line="276" w:lineRule="auto"/>
        <w:ind w:left="1440"/>
        <w:jc w:val="both"/>
        <w:rPr>
          <w:rFonts w:ascii="Arial" w:eastAsia="Times New Roman" w:hAnsi="Arial" w:cs="Arial"/>
          <w:lang w:val="x-none" w:eastAsia="zh-CN"/>
        </w:rPr>
      </w:pPr>
    </w:p>
    <w:p w14:paraId="0FC110BB" w14:textId="77777777" w:rsidR="00887CA6" w:rsidRPr="005B6E1D" w:rsidRDefault="00887CA6" w:rsidP="00887CA6">
      <w:pPr>
        <w:keepNext/>
        <w:widowControl w:val="0"/>
        <w:spacing w:after="0" w:line="360" w:lineRule="auto"/>
        <w:jc w:val="center"/>
        <w:rPr>
          <w:rFonts w:ascii="Arial" w:hAnsi="Arial" w:cs="Mangal"/>
          <w:kern w:val="1"/>
          <w:sz w:val="20"/>
          <w:szCs w:val="24"/>
          <w:lang w:val="ro-RO" w:eastAsia="ro-RO"/>
        </w:rPr>
      </w:pPr>
      <w:r w:rsidRPr="005B6E1D">
        <w:rPr>
          <w:rFonts w:ascii="Arial" w:hAnsi="Arial" w:cs="Mangal"/>
          <w:noProof/>
          <w:kern w:val="1"/>
          <w:sz w:val="20"/>
          <w:szCs w:val="24"/>
        </w:rPr>
        <w:drawing>
          <wp:inline distT="0" distB="0" distL="0" distR="0" wp14:anchorId="506AA27E" wp14:editId="25E896E3">
            <wp:extent cx="6130925" cy="3476290"/>
            <wp:effectExtent l="0" t="0" r="3175" b="0"/>
            <wp:docPr id="191" name="Picture 191" descr="E:\Horezu\Materiale lucru\Cent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Horezu\Materiale lucru\Centru.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30925" cy="3476290"/>
                    </a:xfrm>
                    <a:prstGeom prst="rect">
                      <a:avLst/>
                    </a:prstGeom>
                    <a:noFill/>
                    <a:ln>
                      <a:noFill/>
                    </a:ln>
                  </pic:spPr>
                </pic:pic>
              </a:graphicData>
            </a:graphic>
          </wp:inline>
        </w:drawing>
      </w:r>
    </w:p>
    <w:p w14:paraId="7CAB95EB" w14:textId="61307630" w:rsidR="00887CA6" w:rsidRPr="00E426F3" w:rsidRDefault="00E426F3" w:rsidP="00E426F3">
      <w:pPr>
        <w:pStyle w:val="Legend"/>
        <w:jc w:val="center"/>
        <w:rPr>
          <w:rFonts w:ascii="Arial" w:hAnsi="Arial" w:cs="Arial"/>
          <w:iCs w:val="0"/>
          <w:kern w:val="1"/>
          <w:sz w:val="22"/>
          <w:szCs w:val="22"/>
          <w:lang w:val="ro-RO" w:eastAsia="hi-IN" w:bidi="hi-IN"/>
        </w:rPr>
      </w:pPr>
      <w:bookmarkStart w:id="317" w:name="_Toc140744525"/>
      <w:r w:rsidRPr="0001072E">
        <w:rPr>
          <w:rFonts w:ascii="Arial" w:hAnsi="Arial" w:cs="Arial"/>
          <w:sz w:val="22"/>
          <w:szCs w:val="22"/>
        </w:rPr>
        <w:t xml:space="preserve">Figura I.3. </w:t>
      </w:r>
      <w:r w:rsidRPr="0001072E">
        <w:rPr>
          <w:rFonts w:ascii="Arial" w:hAnsi="Arial" w:cs="Arial"/>
          <w:sz w:val="22"/>
          <w:szCs w:val="22"/>
        </w:rPr>
        <w:fldChar w:fldCharType="begin"/>
      </w:r>
      <w:r w:rsidRPr="0001072E">
        <w:rPr>
          <w:rFonts w:ascii="Arial" w:hAnsi="Arial" w:cs="Arial"/>
          <w:sz w:val="22"/>
          <w:szCs w:val="22"/>
        </w:rPr>
        <w:instrText xml:space="preserve"> SEQ Figura_I.3. \* ARABIC </w:instrText>
      </w:r>
      <w:r w:rsidRPr="0001072E">
        <w:rPr>
          <w:rFonts w:ascii="Arial" w:hAnsi="Arial" w:cs="Arial"/>
          <w:sz w:val="22"/>
          <w:szCs w:val="22"/>
        </w:rPr>
        <w:fldChar w:fldCharType="separate"/>
      </w:r>
      <w:r w:rsidR="00BB181C">
        <w:rPr>
          <w:rFonts w:ascii="Arial" w:hAnsi="Arial" w:cs="Arial"/>
          <w:noProof/>
          <w:sz w:val="22"/>
          <w:szCs w:val="22"/>
        </w:rPr>
        <w:t>48</w:t>
      </w:r>
      <w:r w:rsidRPr="0001072E">
        <w:rPr>
          <w:rFonts w:ascii="Arial" w:hAnsi="Arial" w:cs="Arial"/>
          <w:sz w:val="22"/>
          <w:szCs w:val="22"/>
        </w:rPr>
        <w:fldChar w:fldCharType="end"/>
      </w:r>
      <w:r w:rsidRPr="0001072E">
        <w:rPr>
          <w:rFonts w:ascii="Arial" w:hAnsi="Arial" w:cs="Arial"/>
          <w:sz w:val="22"/>
          <w:szCs w:val="22"/>
        </w:rPr>
        <w:t xml:space="preserve"> </w:t>
      </w:r>
      <w:r w:rsidR="00887CA6" w:rsidRPr="0001072E">
        <w:rPr>
          <w:rFonts w:ascii="Arial" w:hAnsi="Arial" w:cs="Arial"/>
          <w:sz w:val="22"/>
          <w:szCs w:val="22"/>
          <w:lang w:val="ro-RO"/>
        </w:rPr>
        <w:t xml:space="preserve">- </w:t>
      </w:r>
      <w:r w:rsidR="00887CA6" w:rsidRPr="0001072E">
        <w:rPr>
          <w:rFonts w:ascii="Arial" w:hAnsi="Arial" w:cs="Arial"/>
          <w:i w:val="0"/>
          <w:iCs w:val="0"/>
          <w:kern w:val="1"/>
          <w:sz w:val="22"/>
          <w:szCs w:val="22"/>
          <w:lang w:val="ro-RO" w:eastAsia="hi-IN" w:bidi="hi-IN"/>
        </w:rPr>
        <w:t>Delimitarea zonei centrale</w:t>
      </w:r>
      <w:bookmarkEnd w:id="317"/>
    </w:p>
    <w:p w14:paraId="7AC8DE4F" w14:textId="77777777" w:rsidR="003430C5" w:rsidRDefault="003430C5">
      <w:pPr>
        <w:rPr>
          <w:rFonts w:ascii="Arial" w:eastAsia="Times New Roman" w:hAnsi="Arial" w:cs="Arial"/>
          <w:b/>
          <w:sz w:val="24"/>
          <w:szCs w:val="24"/>
          <w:lang w:val="it-IT" w:eastAsia="ro-RO"/>
        </w:rPr>
      </w:pPr>
      <w:r>
        <w:rPr>
          <w:rFonts w:ascii="Arial" w:eastAsia="Times New Roman" w:hAnsi="Arial" w:cs="Arial"/>
          <w:b/>
          <w:sz w:val="24"/>
          <w:szCs w:val="24"/>
          <w:lang w:val="it-IT" w:eastAsia="ro-RO"/>
        </w:rPr>
        <w:br w:type="page"/>
      </w:r>
    </w:p>
    <w:p w14:paraId="07057A35" w14:textId="77777777" w:rsidR="00D70AEA" w:rsidRDefault="00EA79B2" w:rsidP="003430C5">
      <w:pPr>
        <w:pStyle w:val="Titlu1"/>
        <w:rPr>
          <w:rFonts w:ascii="Arial" w:eastAsia="Times New Roman" w:hAnsi="Arial" w:cs="Arial"/>
          <w:b/>
          <w:bCs/>
          <w:color w:val="auto"/>
          <w:sz w:val="28"/>
          <w:szCs w:val="28"/>
          <w:lang w:val="it-IT" w:eastAsia="ro-RO"/>
        </w:rPr>
      </w:pPr>
      <w:bookmarkStart w:id="318" w:name="_Toc61264903"/>
      <w:bookmarkStart w:id="319" w:name="_Toc142039084"/>
      <w:r w:rsidRPr="00EA79B2">
        <w:rPr>
          <w:rFonts w:asciiTheme="minorHAnsi" w:eastAsia="SimSun" w:hAnsiTheme="minorHAnsi" w:cstheme="minorBidi"/>
          <w:noProof/>
          <w:color w:val="auto"/>
          <w:sz w:val="22"/>
          <w:szCs w:val="22"/>
        </w:rPr>
        <w:lastRenderedPageBreak/>
        <mc:AlternateContent>
          <mc:Choice Requires="wps">
            <w:drawing>
              <wp:anchor distT="0" distB="0" distL="114300" distR="114300" simplePos="0" relativeHeight="251621888" behindDoc="0" locked="0" layoutInCell="1" allowOverlap="1" wp14:anchorId="73B9F06F" wp14:editId="3F49C052">
                <wp:simplePos x="0" y="0"/>
                <wp:positionH relativeFrom="column">
                  <wp:posOffset>6194130</wp:posOffset>
                </wp:positionH>
                <wp:positionV relativeFrom="paragraph">
                  <wp:posOffset>1270</wp:posOffset>
                </wp:positionV>
                <wp:extent cx="1828800" cy="182880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23AC701" w14:textId="77777777" w:rsidR="00C36A80" w:rsidRPr="00EA79B2" w:rsidRDefault="00C36A80" w:rsidP="00EA79B2">
                            <w:pPr>
                              <w:pStyle w:val="Titlu1"/>
                              <w:jc w:val="center"/>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pPr>
                            <w:bookmarkStart w:id="320" w:name="_Toc142039085"/>
                            <w:r w:rsidRPr="00EA79B2">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t>I.4</w:t>
                            </w:r>
                            <w:bookmarkEnd w:id="320"/>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3B9F06F" id="Text Box 51" o:spid="_x0000_s1054" type="#_x0000_t202" style="position:absolute;margin-left:487.75pt;margin-top:.1pt;width:2in;height:2in;z-index:251621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" filled="f" stroked="f">
                <v:textbox style="mso-fit-shape-to-text:t">
                  <w:txbxContent>
                    <w:p w14:paraId="123AC701" w14:textId="77777777" w:rsidR="00C36A80" w:rsidRPr="00EA79B2" w:rsidRDefault="00C36A80" w:rsidP="00EA79B2">
                      <w:pPr>
                        <w:pStyle w:val="Titlu1"/>
                        <w:jc w:val="center"/>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pPr>
                      <w:bookmarkStart w:id="321" w:name="_Toc142039085"/>
                      <w:r w:rsidRPr="00EA79B2">
                        <w:rPr>
                          <w:rFonts w:ascii="Arial" w:eastAsia="Times New Roman" w:hAnsi="Arial" w:cs="Arial"/>
                          <w:b/>
                          <w:bCs/>
                          <w:color w:val="F7CAAC" w:themeColor="accent2" w:themeTint="66"/>
                          <w:sz w:val="40"/>
                          <w:szCs w:val="40"/>
                          <w:lang w:val="ro-RO" w:eastAsia="ro-RO"/>
                          <w14:textOutline w14:w="11112" w14:cap="flat" w14:cmpd="sng" w14:algn="ctr">
                            <w14:solidFill>
                              <w14:schemeClr w14:val="accent2"/>
                            </w14:solidFill>
                            <w14:prstDash w14:val="solid"/>
                            <w14:round/>
                          </w14:textOutline>
                        </w:rPr>
                        <w:t>I.4</w:t>
                      </w:r>
                      <w:bookmarkEnd w:id="321"/>
                    </w:p>
                  </w:txbxContent>
                </v:textbox>
              </v:shape>
            </w:pict>
          </mc:Fallback>
        </mc:AlternateContent>
      </w:r>
      <w:r w:rsidR="00D70AEA" w:rsidRPr="003430C5">
        <w:rPr>
          <w:rFonts w:ascii="Arial" w:eastAsia="Times New Roman" w:hAnsi="Arial" w:cs="Arial"/>
          <w:b/>
          <w:bCs/>
          <w:color w:val="auto"/>
          <w:sz w:val="28"/>
          <w:szCs w:val="28"/>
          <w:lang w:val="it-IT" w:eastAsia="ro-RO"/>
        </w:rPr>
        <w:t>I.4 Evaluar</w:t>
      </w:r>
      <w:r w:rsidR="000F2BF1">
        <w:rPr>
          <w:rFonts w:ascii="Arial" w:eastAsia="Times New Roman" w:hAnsi="Arial" w:cs="Arial"/>
          <w:b/>
          <w:bCs/>
          <w:color w:val="auto"/>
          <w:sz w:val="28"/>
          <w:szCs w:val="28"/>
          <w:lang w:val="it-IT" w:eastAsia="ro-RO"/>
        </w:rPr>
        <w:t>ea impactului actual al mobilităţ</w:t>
      </w:r>
      <w:r w:rsidR="00D70AEA" w:rsidRPr="003430C5">
        <w:rPr>
          <w:rFonts w:ascii="Arial" w:eastAsia="Times New Roman" w:hAnsi="Arial" w:cs="Arial"/>
          <w:b/>
          <w:bCs/>
          <w:color w:val="auto"/>
          <w:sz w:val="28"/>
          <w:szCs w:val="28"/>
          <w:lang w:val="it-IT" w:eastAsia="ro-RO"/>
        </w:rPr>
        <w:t>ii</w:t>
      </w:r>
      <w:bookmarkEnd w:id="318"/>
      <w:bookmarkEnd w:id="319"/>
    </w:p>
    <w:p w14:paraId="782E0051" w14:textId="77777777" w:rsidR="0042088B" w:rsidRPr="002538CB" w:rsidRDefault="0042088B" w:rsidP="002538CB">
      <w:pPr>
        <w:widowControl w:val="0"/>
        <w:suppressAutoHyphens/>
        <w:spacing w:after="0" w:line="276" w:lineRule="auto"/>
        <w:jc w:val="both"/>
        <w:rPr>
          <w:rFonts w:ascii="Arial" w:eastAsia="Arial" w:hAnsi="Arial" w:cs="Mangal"/>
          <w:kern w:val="1"/>
          <w:lang w:val="ro-RO" w:eastAsia="hi-IN" w:bidi="hi-IN"/>
        </w:rPr>
      </w:pPr>
      <w:r w:rsidRPr="002538CB">
        <w:rPr>
          <w:rFonts w:ascii="Arial" w:eastAsia="Arial" w:hAnsi="Arial" w:cs="Mangal"/>
          <w:kern w:val="1"/>
          <w:lang w:val="es-ES" w:eastAsia="hi-IN" w:bidi="hi-IN"/>
        </w:rPr>
        <w:t>Conditiile aferente scenariului “a face minimum” (de referinţă) sunt date de</w:t>
      </w:r>
      <w:r w:rsidRPr="002538CB">
        <w:rPr>
          <w:rFonts w:ascii="Arial" w:hAnsi="Arial" w:cs="Mangal"/>
          <w:kern w:val="1"/>
          <w:lang w:val="es-ES" w:eastAsia="hi-IN" w:bidi="hi-IN"/>
        </w:rPr>
        <w:t xml:space="preserve"> creșterile prognozate ale traficului și ale altor parametri socio-economici, cărora li se adaugă proiectele de infrastructură care sunt în curs de realizare/finalizare.</w:t>
      </w:r>
      <w:r w:rsidRPr="002538CB">
        <w:rPr>
          <w:rFonts w:ascii="Arial" w:eastAsia="Arial" w:hAnsi="Arial" w:cs="Mangal"/>
          <w:kern w:val="1"/>
          <w:lang w:val="es-ES" w:eastAsia="hi-IN" w:bidi="hi-IN"/>
        </w:rPr>
        <w:t xml:space="preserve"> </w:t>
      </w:r>
      <w:r w:rsidRPr="002538CB">
        <w:rPr>
          <w:rFonts w:ascii="Arial" w:eastAsia="Arial" w:hAnsi="Arial" w:cs="Mangal"/>
          <w:kern w:val="1"/>
          <w:lang w:val="ro-RO" w:eastAsia="hi-IN" w:bidi="hi-IN"/>
        </w:rPr>
        <w:t xml:space="preserve">Aceste proiecte sunt cele prezentate </w:t>
      </w:r>
      <w:r w:rsidR="001D2129">
        <w:rPr>
          <w:rFonts w:ascii="Arial" w:eastAsia="Arial" w:hAnsi="Arial" w:cs="Mangal"/>
          <w:kern w:val="1"/>
          <w:lang w:val="ro-RO" w:eastAsia="hi-IN" w:bidi="hi-IN"/>
        </w:rPr>
        <w:t>î</w:t>
      </w:r>
      <w:r w:rsidRPr="002538CB">
        <w:rPr>
          <w:rFonts w:ascii="Arial" w:eastAsia="Arial" w:hAnsi="Arial" w:cs="Mangal"/>
          <w:kern w:val="1"/>
          <w:lang w:val="ro-RO" w:eastAsia="hi-IN" w:bidi="hi-IN"/>
        </w:rPr>
        <w:t xml:space="preserve">n </w:t>
      </w:r>
      <w:r w:rsidR="0073171D">
        <w:rPr>
          <w:rFonts w:ascii="Arial" w:hAnsi="Arial" w:cs="Mangal"/>
          <w:kern w:val="1"/>
          <w:lang w:val="es-ES" w:eastAsia="hi-IN" w:bidi="hi-IN"/>
        </w:rPr>
        <w:t>tabelul I.2.16</w:t>
      </w:r>
      <w:r w:rsidRPr="00C769D7">
        <w:rPr>
          <w:rFonts w:ascii="Arial" w:hAnsi="Arial" w:cs="Mangal"/>
          <w:kern w:val="1"/>
          <w:lang w:val="es-ES" w:eastAsia="hi-IN" w:bidi="hi-IN"/>
        </w:rPr>
        <w:t xml:space="preserve"> - Proiecte de mobilitate aflate i</w:t>
      </w:r>
      <w:r w:rsidR="000F2BF1">
        <w:rPr>
          <w:rFonts w:ascii="Arial" w:hAnsi="Arial" w:cs="Mangal"/>
          <w:kern w:val="1"/>
          <w:lang w:val="es-ES" w:eastAsia="hi-IN" w:bidi="hi-IN"/>
        </w:rPr>
        <w:t>n derulare care vor conduce la îmbunătăţ</w:t>
      </w:r>
      <w:r w:rsidRPr="00C769D7">
        <w:rPr>
          <w:rFonts w:ascii="Arial" w:hAnsi="Arial" w:cs="Mangal"/>
          <w:kern w:val="1"/>
          <w:lang w:val="es-ES" w:eastAsia="hi-IN" w:bidi="hi-IN"/>
        </w:rPr>
        <w:t>irea situatiei actuale</w:t>
      </w:r>
      <w:r w:rsidR="00C769D7">
        <w:rPr>
          <w:rFonts w:ascii="Arial" w:hAnsi="Arial" w:cs="Mangal"/>
          <w:kern w:val="1"/>
          <w:lang w:val="es-ES" w:eastAsia="hi-IN" w:bidi="hi-IN"/>
        </w:rPr>
        <w:t>.</w:t>
      </w:r>
      <w:r w:rsidRPr="002538CB">
        <w:rPr>
          <w:rFonts w:ascii="Arial" w:eastAsia="Arial" w:hAnsi="Arial" w:cs="Mangal"/>
          <w:kern w:val="1"/>
          <w:lang w:val="ro-RO" w:eastAsia="hi-IN" w:bidi="hi-IN"/>
        </w:rPr>
        <w:t xml:space="preserve"> </w:t>
      </w:r>
    </w:p>
    <w:p w14:paraId="17CF250E" w14:textId="77777777" w:rsidR="0042088B" w:rsidRPr="002538CB" w:rsidRDefault="0042088B" w:rsidP="002538CB">
      <w:pPr>
        <w:widowControl w:val="0"/>
        <w:suppressAutoHyphens/>
        <w:spacing w:after="0" w:line="276" w:lineRule="auto"/>
        <w:jc w:val="both"/>
        <w:rPr>
          <w:rFonts w:ascii="Arial" w:hAnsi="Arial" w:cs="Mangal"/>
          <w:kern w:val="1"/>
          <w:lang w:val="es-ES" w:eastAsia="hi-IN" w:bidi="hi-IN"/>
        </w:rPr>
      </w:pPr>
    </w:p>
    <w:p w14:paraId="00CD46DB" w14:textId="77777777" w:rsidR="0042088B" w:rsidRPr="002538CB" w:rsidRDefault="002538CB" w:rsidP="002538CB">
      <w:pPr>
        <w:widowControl w:val="0"/>
        <w:suppressAutoHyphens/>
        <w:spacing w:after="0" w:line="276" w:lineRule="auto"/>
        <w:jc w:val="both"/>
        <w:rPr>
          <w:rFonts w:ascii="Arial" w:hAnsi="Arial" w:cs="Mangal"/>
          <w:kern w:val="1"/>
          <w:lang w:val="es-ES" w:eastAsia="hi-IN" w:bidi="hi-IN"/>
        </w:rPr>
      </w:pPr>
      <w:r w:rsidRPr="002538CB">
        <w:rPr>
          <w:rFonts w:ascii="Arial" w:hAnsi="Arial" w:cs="Mangal"/>
          <w:kern w:val="1"/>
          <w:lang w:val="es-ES" w:eastAsia="hi-IN" w:bidi="hi-IN"/>
        </w:rPr>
        <w:t>Acestea reprezintă scenariul de referință care a fost avut în vedere pentru evaluarea impactului asupra mobilității atât din punct de vedere al eficienței economice, cât și al mediului, accesibilității, siguranței și calității mediului</w:t>
      </w:r>
      <w:r w:rsidR="0042088B" w:rsidRPr="002538CB">
        <w:rPr>
          <w:rFonts w:ascii="Arial" w:eastAsia="Arial" w:hAnsi="Arial" w:cs="Mangal"/>
          <w:kern w:val="1"/>
          <w:lang w:val="es-ES" w:eastAsia="hi-IN" w:bidi="hi-IN"/>
        </w:rPr>
        <w:t>.</w:t>
      </w:r>
    </w:p>
    <w:p w14:paraId="5E23FEF2" w14:textId="77777777" w:rsidR="0042088B" w:rsidRPr="0042088B" w:rsidRDefault="0042088B" w:rsidP="0042088B">
      <w:pPr>
        <w:rPr>
          <w:lang w:val="it-IT" w:eastAsia="ro-RO"/>
        </w:rPr>
      </w:pPr>
    </w:p>
    <w:p w14:paraId="25F87D62" w14:textId="77777777" w:rsidR="00D70AEA" w:rsidRDefault="00D70AEA" w:rsidP="003430C5">
      <w:pPr>
        <w:pStyle w:val="Titlu2"/>
        <w:rPr>
          <w:rFonts w:ascii="Arial" w:eastAsia="Times New Roman" w:hAnsi="Arial" w:cs="Arial"/>
          <w:b/>
          <w:bCs/>
          <w:color w:val="auto"/>
          <w:sz w:val="24"/>
          <w:szCs w:val="24"/>
          <w:lang w:val="it-IT" w:eastAsia="ro-RO"/>
        </w:rPr>
      </w:pPr>
      <w:bookmarkStart w:id="322" w:name="_Toc61264904"/>
      <w:bookmarkStart w:id="323" w:name="_Toc142039086"/>
      <w:r w:rsidRPr="003430C5">
        <w:rPr>
          <w:rFonts w:ascii="Arial" w:eastAsia="Times New Roman" w:hAnsi="Arial" w:cs="Arial"/>
          <w:b/>
          <w:bCs/>
          <w:color w:val="auto"/>
          <w:sz w:val="24"/>
          <w:szCs w:val="24"/>
          <w:lang w:val="it-IT" w:eastAsia="ro-RO"/>
        </w:rPr>
        <w:t>I.4.1</w:t>
      </w:r>
      <w:r w:rsidR="003430C5" w:rsidRP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Eficiența economic</w:t>
      </w:r>
      <w:bookmarkEnd w:id="322"/>
      <w:r w:rsidR="002538CB">
        <w:rPr>
          <w:rFonts w:ascii="Arial" w:eastAsia="Times New Roman" w:hAnsi="Arial" w:cs="Arial"/>
          <w:b/>
          <w:bCs/>
          <w:color w:val="auto"/>
          <w:sz w:val="24"/>
          <w:szCs w:val="24"/>
          <w:lang w:val="it-IT" w:eastAsia="ro-RO"/>
        </w:rPr>
        <w:t>ă</w:t>
      </w:r>
      <w:bookmarkEnd w:id="323"/>
    </w:p>
    <w:p w14:paraId="48EED405" w14:textId="77777777" w:rsidR="0073171D" w:rsidRPr="0073171D" w:rsidRDefault="0073171D" w:rsidP="0073171D">
      <w:pPr>
        <w:suppressAutoHyphens/>
        <w:autoSpaceDE w:val="0"/>
        <w:spacing w:after="0" w:line="276" w:lineRule="auto"/>
        <w:jc w:val="both"/>
        <w:rPr>
          <w:rFonts w:ascii="Arial" w:eastAsia="Arial" w:hAnsi="Arial" w:cs="Arial"/>
          <w:color w:val="000000"/>
          <w:lang w:val="es-ES" w:eastAsia="zh-CN"/>
        </w:rPr>
      </w:pPr>
      <w:r w:rsidRPr="0073171D">
        <w:rPr>
          <w:rFonts w:ascii="Arial" w:eastAsia="Arial" w:hAnsi="Arial" w:cs="Arial"/>
          <w:color w:val="000000"/>
          <w:lang w:val="es-ES" w:eastAsia="zh-CN"/>
        </w:rPr>
        <w:t>Pentru a analiza eficienţa economică a situaţiei actuale a mobilităţii în Orasul Horezu şi în zona sa de influenţă trebuie ţinut cont de proiectele care se află in derulare, pentru care există certitudinea implementării în perioada următoare, acestea având finanţarea asigurată. Acesta va reprezenta scenariul “ca până în prezent” sau scenariul “a face minimum” şi care va fi considerat ca scenariu de referinţă faţă de care vor fi comparate celelalte scenarii propuse pentru îmbunătăţirea situaţiei mobilităţii la nivelul localitatii.</w:t>
      </w:r>
    </w:p>
    <w:p w14:paraId="0D489F3B" w14:textId="77777777" w:rsidR="0073171D" w:rsidRPr="0073171D" w:rsidRDefault="0073171D" w:rsidP="0073171D">
      <w:pPr>
        <w:suppressAutoHyphens/>
        <w:autoSpaceDE w:val="0"/>
        <w:spacing w:after="0" w:line="360" w:lineRule="auto"/>
        <w:jc w:val="both"/>
        <w:rPr>
          <w:rFonts w:ascii="Arial" w:eastAsia="Arial" w:hAnsi="Arial" w:cs="Arial"/>
          <w:color w:val="000000"/>
          <w:sz w:val="24"/>
          <w:szCs w:val="24"/>
          <w:lang w:val="es-ES" w:eastAsia="zh-CN"/>
        </w:rPr>
      </w:pPr>
    </w:p>
    <w:p w14:paraId="361164FD" w14:textId="77777777" w:rsidR="0073171D" w:rsidRPr="0073171D" w:rsidRDefault="0073171D" w:rsidP="0073171D">
      <w:pPr>
        <w:spacing w:after="0"/>
        <w:jc w:val="both"/>
        <w:rPr>
          <w:rFonts w:ascii="Arial" w:hAnsi="Arial" w:cs="Arial"/>
        </w:rPr>
      </w:pPr>
      <w:r w:rsidRPr="0073171D">
        <w:rPr>
          <w:rFonts w:ascii="Arial" w:hAnsi="Arial" w:cs="Arial"/>
        </w:rPr>
        <w:t>Impactul actual al mobilității asupra eficienței economice este dat ȋn principal de durata deplasǎrii (ȋntȃrzierile ȋn cǎlǎtorie) sau, cu alte cuvinte de nivelul de serviciu al rețelei de transport.</w:t>
      </w:r>
    </w:p>
    <w:p w14:paraId="545C0D7C" w14:textId="77777777" w:rsidR="0073171D" w:rsidRPr="0073171D" w:rsidRDefault="0073171D" w:rsidP="0073171D">
      <w:pPr>
        <w:suppressAutoHyphens/>
        <w:autoSpaceDE w:val="0"/>
        <w:spacing w:after="0" w:line="360" w:lineRule="auto"/>
        <w:jc w:val="both"/>
        <w:rPr>
          <w:rFonts w:ascii="Arial" w:eastAsia="Arial" w:hAnsi="Arial" w:cs="Arial"/>
          <w:color w:val="000000"/>
          <w:sz w:val="24"/>
          <w:szCs w:val="24"/>
          <w:lang w:val="es-ES" w:eastAsia="zh-CN"/>
        </w:rPr>
      </w:pPr>
    </w:p>
    <w:p w14:paraId="6A7E2423" w14:textId="77777777" w:rsidR="0073171D" w:rsidRPr="0073171D" w:rsidRDefault="0073171D" w:rsidP="0073171D">
      <w:pPr>
        <w:suppressAutoHyphens/>
        <w:autoSpaceDE w:val="0"/>
        <w:spacing w:after="0" w:line="276" w:lineRule="auto"/>
        <w:jc w:val="both"/>
        <w:rPr>
          <w:rFonts w:ascii="Arial" w:eastAsia="Arial" w:hAnsi="Arial" w:cs="Arial"/>
          <w:color w:val="000000"/>
          <w:lang w:val="es-ES" w:eastAsia="zh-CN"/>
        </w:rPr>
      </w:pPr>
      <w:r w:rsidRPr="0073171D">
        <w:rPr>
          <w:rFonts w:ascii="Arial" w:eastAsia="Arial" w:hAnsi="Arial" w:cs="Arial"/>
          <w:color w:val="000000"/>
          <w:lang w:val="es-ES" w:eastAsia="zh-CN"/>
        </w:rPr>
        <w:t>Pentru evaluarea impactului actual al mobilitaţii din punct de vedere al eficienţei economice au fost aleşi următorii indicatori (din modelul de transport realizat) şi pentru a se putea compara scenariul de bază cu scenariile care vor fi propuse în capitolele următoare:</w:t>
      </w:r>
    </w:p>
    <w:p w14:paraId="043D479B" w14:textId="77777777" w:rsidR="0073171D" w:rsidRPr="0073171D" w:rsidRDefault="0073171D" w:rsidP="0073171D">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73171D">
        <w:rPr>
          <w:rFonts w:ascii="Arial" w:eastAsia="Arial" w:hAnsi="Arial" w:cs="Arial"/>
          <w:color w:val="000000"/>
          <w:lang w:val="es-ES" w:eastAsia="zh-CN"/>
        </w:rPr>
        <w:t>Viteza medie de circulaţie pe reţea (km/h);</w:t>
      </w:r>
    </w:p>
    <w:p w14:paraId="3DF0C692" w14:textId="77777777" w:rsidR="0073171D" w:rsidRPr="0073171D" w:rsidRDefault="0073171D" w:rsidP="0073171D">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73171D">
        <w:rPr>
          <w:rFonts w:ascii="Arial" w:eastAsia="Arial" w:hAnsi="Arial" w:cs="Arial"/>
          <w:color w:val="000000"/>
          <w:lang w:eastAsia="zh-CN"/>
        </w:rPr>
        <w:t>Întârzierea medie (s);</w:t>
      </w:r>
    </w:p>
    <w:p w14:paraId="58FEB0E5" w14:textId="77777777" w:rsidR="0073171D" w:rsidRPr="0073171D" w:rsidRDefault="0073171D" w:rsidP="0073171D">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73171D">
        <w:rPr>
          <w:rFonts w:ascii="Arial" w:eastAsia="Arial" w:hAnsi="Arial" w:cs="Arial"/>
          <w:color w:val="000000"/>
          <w:lang w:eastAsia="zh-CN"/>
        </w:rPr>
        <w:t>Consumul de combustibil (litri);</w:t>
      </w:r>
    </w:p>
    <w:p w14:paraId="3DD52393" w14:textId="77777777" w:rsidR="0073171D" w:rsidRPr="0073171D" w:rsidRDefault="0073171D" w:rsidP="0073171D">
      <w:pPr>
        <w:widowControl w:val="0"/>
        <w:numPr>
          <w:ilvl w:val="0"/>
          <w:numId w:val="72"/>
        </w:numPr>
        <w:suppressAutoHyphens/>
        <w:autoSpaceDE w:val="0"/>
        <w:spacing w:after="0" w:line="276" w:lineRule="auto"/>
        <w:jc w:val="both"/>
        <w:rPr>
          <w:rFonts w:ascii="Arial" w:eastAsia="Arial" w:hAnsi="Arial" w:cs="Arial"/>
          <w:color w:val="000000"/>
          <w:sz w:val="24"/>
          <w:szCs w:val="24"/>
          <w:lang w:eastAsia="zh-CN"/>
        </w:rPr>
      </w:pPr>
      <w:r w:rsidRPr="0073171D">
        <w:rPr>
          <w:rFonts w:ascii="Arial" w:eastAsia="Arial" w:hAnsi="Arial" w:cs="Arial"/>
          <w:color w:val="000000"/>
          <w:lang w:eastAsia="zh-CN"/>
        </w:rPr>
        <w:t>Nivelul de serviciu în intersecţii</w:t>
      </w:r>
      <w:r w:rsidRPr="0073171D">
        <w:rPr>
          <w:rFonts w:ascii="Arial" w:eastAsia="Arial" w:hAnsi="Arial" w:cs="Arial"/>
          <w:color w:val="000000"/>
          <w:sz w:val="24"/>
          <w:szCs w:val="24"/>
          <w:lang w:eastAsia="zh-CN"/>
        </w:rPr>
        <w:t>.</w:t>
      </w:r>
    </w:p>
    <w:p w14:paraId="34C284D6" w14:textId="77777777" w:rsidR="0073171D" w:rsidRPr="0073171D" w:rsidRDefault="0073171D" w:rsidP="0073171D">
      <w:pPr>
        <w:suppressAutoHyphens/>
        <w:autoSpaceDE w:val="0"/>
        <w:spacing w:after="0" w:line="360" w:lineRule="auto"/>
        <w:jc w:val="both"/>
        <w:rPr>
          <w:rFonts w:ascii="Arial" w:eastAsia="Arial" w:hAnsi="Arial" w:cs="Arial"/>
          <w:color w:val="000000"/>
          <w:sz w:val="24"/>
          <w:szCs w:val="24"/>
          <w:lang w:eastAsia="zh-CN"/>
        </w:rPr>
      </w:pPr>
    </w:p>
    <w:p w14:paraId="256ED5B1" w14:textId="77777777" w:rsidR="0073171D" w:rsidRPr="00E731FF" w:rsidRDefault="0073171D" w:rsidP="0073171D">
      <w:pPr>
        <w:widowControl w:val="0"/>
        <w:suppressAutoHyphens/>
        <w:spacing w:after="0" w:line="276" w:lineRule="auto"/>
        <w:jc w:val="both"/>
        <w:rPr>
          <w:rFonts w:ascii="Arial" w:eastAsia="Arial" w:hAnsi="Arial" w:cs="Arial"/>
          <w:kern w:val="1"/>
          <w:lang w:val="es-ES" w:eastAsia="hi-IN" w:bidi="hi-IN"/>
        </w:rPr>
      </w:pPr>
      <w:r w:rsidRPr="0073171D">
        <w:rPr>
          <w:rFonts w:ascii="Arial" w:eastAsia="Arial" w:hAnsi="Arial" w:cs="Arial"/>
          <w:kern w:val="1"/>
          <w:lang w:val="es-ES" w:eastAsia="hi-IN" w:bidi="hi-IN"/>
        </w:rPr>
        <w:t xml:space="preserve">În tabelele urmǎtoare sunt prezentate nivelurile de serviciu în intersecţiile reţelei semnificative a Orasului Horezu la nivelul anului 2021, la nivel de MZA, pentru vârful de dimineaţă (AM) şi vârful de după amiază (PM), în total vehicule/zi, pentru anul 2021 – rezultate finale ale calibrării modelului de trafic pentru anul de bază. De asemenea, în </w:t>
      </w:r>
      <w:r w:rsidRPr="00E731FF">
        <w:rPr>
          <w:rFonts w:ascii="Arial" w:eastAsia="Arial" w:hAnsi="Arial" w:cs="Arial"/>
          <w:kern w:val="1"/>
          <w:lang w:val="es-ES" w:eastAsia="hi-IN" w:bidi="hi-IN"/>
        </w:rPr>
        <w:t xml:space="preserve">Anexa </w:t>
      </w:r>
      <w:r w:rsidR="00B02385" w:rsidRPr="00E731FF">
        <w:rPr>
          <w:rFonts w:ascii="Arial" w:eastAsia="Arial" w:hAnsi="Arial" w:cs="Arial"/>
          <w:kern w:val="1"/>
          <w:lang w:val="es-ES" w:eastAsia="hi-IN" w:bidi="hi-IN"/>
        </w:rPr>
        <w:t xml:space="preserve">6 </w:t>
      </w:r>
      <w:r w:rsidRPr="00E731FF">
        <w:rPr>
          <w:rFonts w:ascii="Arial" w:eastAsia="Arial" w:hAnsi="Arial" w:cs="Arial"/>
          <w:kern w:val="1"/>
          <w:lang w:val="es-ES" w:eastAsia="hi-IN" w:bidi="hi-IN"/>
        </w:rPr>
        <w:t>sunt prezentate volumele totale ale fluxurilor de trafic înregistrate la orele de vârf de dimineaţă, după-amiază şi 24 h pe reţeaua rutieră semnificativă. Valoarea acestora influențeazǎ direct capacitatea de circulație a arterelor și nivelul de serviciu al intersecțiilor. Valori foarte ridicate ale fluxurilor de trafic conduc la crearea de blocaje, niveluri de serviciu scǎzute și durate de cǎlǎtorie mari, rezultȃnd o eficiențǎ scǎzutǎ.</w:t>
      </w:r>
    </w:p>
    <w:p w14:paraId="2808B9E0" w14:textId="77777777" w:rsidR="0073171D" w:rsidRPr="00E731FF" w:rsidRDefault="0073171D" w:rsidP="0073171D">
      <w:pPr>
        <w:widowControl w:val="0"/>
        <w:suppressAutoHyphens/>
        <w:spacing w:after="0" w:line="360" w:lineRule="auto"/>
        <w:jc w:val="both"/>
        <w:rPr>
          <w:rFonts w:ascii="Arial" w:eastAsia="Arial" w:hAnsi="Arial" w:cs="Arial"/>
          <w:kern w:val="1"/>
          <w:sz w:val="24"/>
          <w:szCs w:val="24"/>
          <w:lang w:val="es-ES" w:eastAsia="hi-IN" w:bidi="hi-IN"/>
        </w:rPr>
      </w:pPr>
    </w:p>
    <w:p w14:paraId="71CF804B" w14:textId="77777777" w:rsidR="0073171D" w:rsidRPr="0073171D" w:rsidRDefault="0073171D" w:rsidP="0073171D">
      <w:pPr>
        <w:widowControl w:val="0"/>
        <w:suppressAutoHyphens/>
        <w:spacing w:after="0" w:line="276" w:lineRule="auto"/>
        <w:jc w:val="both"/>
        <w:rPr>
          <w:rFonts w:ascii="Arial" w:eastAsia="Arial" w:hAnsi="Arial" w:cs="Arial"/>
          <w:kern w:val="1"/>
          <w:lang w:val="es-ES" w:eastAsia="hi-IN" w:bidi="hi-IN"/>
        </w:rPr>
      </w:pPr>
      <w:r w:rsidRPr="00E731FF">
        <w:rPr>
          <w:rFonts w:ascii="Arial" w:eastAsia="Arial" w:hAnsi="Arial" w:cs="Arial"/>
          <w:kern w:val="1"/>
          <w:lang w:val="es-ES" w:eastAsia="hi-IN" w:bidi="hi-IN"/>
        </w:rPr>
        <w:t>Mai jos, se prezintă grafic şi tabelar, fluxurile de circulaţie (în secţiune):</w:t>
      </w:r>
    </w:p>
    <w:p w14:paraId="4079A6BF" w14:textId="77777777" w:rsidR="0073171D" w:rsidRPr="0073171D" w:rsidRDefault="0073171D" w:rsidP="0073171D">
      <w:pPr>
        <w:widowControl w:val="0"/>
        <w:suppressAutoHyphens/>
        <w:spacing w:after="100" w:line="240" w:lineRule="auto"/>
        <w:rPr>
          <w:rFonts w:ascii="Arial" w:hAnsi="Arial" w:cs="Mangal"/>
          <w:i/>
          <w:kern w:val="1"/>
          <w:sz w:val="20"/>
          <w:szCs w:val="24"/>
          <w:lang w:val="es-ES" w:eastAsia="hi-IN" w:bidi="hi-IN"/>
        </w:rPr>
      </w:pPr>
    </w:p>
    <w:p w14:paraId="15FEBDA3" w14:textId="77777777" w:rsidR="0073171D" w:rsidRPr="0073171D" w:rsidRDefault="0073171D" w:rsidP="0073171D">
      <w:pPr>
        <w:widowControl w:val="0"/>
        <w:suppressAutoHyphens/>
        <w:spacing w:after="100" w:line="240" w:lineRule="auto"/>
        <w:rPr>
          <w:rFonts w:ascii="Arial" w:hAnsi="Arial" w:cs="Mangal"/>
          <w:i/>
          <w:kern w:val="1"/>
          <w:sz w:val="20"/>
          <w:szCs w:val="24"/>
          <w:lang w:val="es-ES" w:eastAsia="hi-IN" w:bidi="hi-IN"/>
        </w:rPr>
      </w:pPr>
    </w:p>
    <w:p w14:paraId="68BDDE4B" w14:textId="77777777" w:rsidR="0073171D" w:rsidRPr="0073171D" w:rsidRDefault="0073171D" w:rsidP="0073171D">
      <w:pPr>
        <w:widowControl w:val="0"/>
        <w:suppressAutoHyphens/>
        <w:spacing w:after="100" w:line="240" w:lineRule="auto"/>
        <w:rPr>
          <w:rFonts w:ascii="Arial" w:hAnsi="Arial" w:cs="Mangal"/>
          <w:i/>
          <w:kern w:val="1"/>
          <w:sz w:val="20"/>
          <w:szCs w:val="24"/>
          <w:lang w:val="es-ES" w:eastAsia="hi-IN" w:bidi="hi-IN"/>
        </w:rPr>
        <w:sectPr w:rsidR="0073171D" w:rsidRPr="0073171D" w:rsidSect="00D412F2">
          <w:headerReference w:type="default" r:id="rId171"/>
          <w:footerReference w:type="default" r:id="rId172"/>
          <w:footerReference w:type="first" r:id="rId173"/>
          <w:pgSz w:w="11906" w:h="16838"/>
          <w:pgMar w:top="1349" w:right="833" w:bottom="1259" w:left="1418" w:header="720" w:footer="720" w:gutter="0"/>
          <w:pgNumType w:chapStyle="1"/>
          <w:cols w:space="720"/>
          <w:titlePg/>
          <w:docGrid w:linePitch="272"/>
        </w:sectPr>
      </w:pPr>
    </w:p>
    <w:p w14:paraId="5705D968" w14:textId="7F334ACF" w:rsidR="0073171D" w:rsidRPr="0073171D" w:rsidRDefault="00E731FF" w:rsidP="0073171D">
      <w:pPr>
        <w:widowControl w:val="0"/>
        <w:tabs>
          <w:tab w:val="left" w:pos="8600"/>
        </w:tabs>
        <w:suppressAutoHyphens/>
        <w:spacing w:after="100" w:line="240" w:lineRule="auto"/>
        <w:jc w:val="center"/>
        <w:rPr>
          <w:rFonts w:ascii="Arial" w:hAnsi="Arial" w:cs="Mangal"/>
          <w:noProof/>
          <w:kern w:val="1"/>
          <w:sz w:val="20"/>
          <w:szCs w:val="24"/>
          <w:lang w:val="ro-RO" w:eastAsia="hi-IN" w:bidi="hi-IN"/>
        </w:rPr>
      </w:pPr>
      <w:r w:rsidRPr="00E731FF">
        <w:rPr>
          <w:rFonts w:ascii="Calibri" w:hAnsi="Calibri" w:cs="Times New Roman"/>
          <w:i/>
          <w:noProof/>
        </w:rPr>
        <w:lastRenderedPageBreak/>
        <w:drawing>
          <wp:inline distT="0" distB="0" distL="0" distR="0" wp14:anchorId="6DC9F3C3" wp14:editId="38ED32D0">
            <wp:extent cx="5362575" cy="3963643"/>
            <wp:effectExtent l="0" t="0" r="0" b="0"/>
            <wp:docPr id="14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ine 2"/>
                    <pic:cNvPicPr>
                      <a:picLocks noChangeAspect="1" noChangeArrowheads="1"/>
                    </pic:cNvPicPr>
                  </pic:nvPicPr>
                  <pic:blipFill>
                    <a:blip r:embed="rId174" cstate="print">
                      <a:extLst>
                        <a:ext uri="{28A0092B-C50C-407E-A947-70E740481C1C}">
                          <a14:useLocalDpi xmlns:a14="http://schemas.microsoft.com/office/drawing/2010/main" val="0"/>
                        </a:ext>
                      </a:extLst>
                    </a:blip>
                    <a:stretch>
                      <a:fillRect/>
                    </a:stretch>
                  </pic:blipFill>
                  <pic:spPr bwMode="auto">
                    <a:xfrm>
                      <a:off x="0" y="0"/>
                      <a:ext cx="5382381" cy="3978282"/>
                    </a:xfrm>
                    <a:prstGeom prst="rect">
                      <a:avLst/>
                    </a:prstGeom>
                    <a:noFill/>
                    <a:ln>
                      <a:noFill/>
                    </a:ln>
                  </pic:spPr>
                </pic:pic>
              </a:graphicData>
            </a:graphic>
          </wp:inline>
        </w:drawing>
      </w:r>
    </w:p>
    <w:p w14:paraId="167255C8" w14:textId="71AAC3D3" w:rsidR="0073171D" w:rsidRPr="00E731FF" w:rsidRDefault="00EC2132" w:rsidP="00EC2132">
      <w:pPr>
        <w:pStyle w:val="Legend"/>
        <w:jc w:val="center"/>
        <w:rPr>
          <w:rFonts w:ascii="Arial" w:hAnsi="Arial" w:cs="Arial"/>
          <w:i w:val="0"/>
          <w:iCs w:val="0"/>
          <w:noProof/>
          <w:color w:val="1F497D"/>
          <w:kern w:val="1"/>
          <w:sz w:val="22"/>
          <w:szCs w:val="22"/>
          <w:lang w:val="ro-RO" w:eastAsia="hi-IN" w:bidi="hi-IN"/>
        </w:rPr>
      </w:pPr>
      <w:bookmarkStart w:id="324" w:name="_Toc68361076"/>
      <w:bookmarkStart w:id="325" w:name="_Toc96447334"/>
      <w:r w:rsidRPr="00EC2132">
        <w:rPr>
          <w:rFonts w:ascii="Arial" w:hAnsi="Arial" w:cs="Arial"/>
          <w:sz w:val="22"/>
          <w:szCs w:val="22"/>
        </w:rPr>
        <w:t xml:space="preserve">Figura I.4. </w:t>
      </w:r>
      <w:r w:rsidRPr="00EC2132">
        <w:rPr>
          <w:rFonts w:ascii="Arial" w:hAnsi="Arial" w:cs="Arial"/>
          <w:sz w:val="22"/>
          <w:szCs w:val="22"/>
        </w:rPr>
        <w:fldChar w:fldCharType="begin"/>
      </w:r>
      <w:r w:rsidRPr="00EC2132">
        <w:rPr>
          <w:rFonts w:ascii="Arial" w:hAnsi="Arial" w:cs="Arial"/>
          <w:sz w:val="22"/>
          <w:szCs w:val="22"/>
        </w:rPr>
        <w:instrText xml:space="preserve"> SEQ Figura_I.4. \* ARABIC </w:instrText>
      </w:r>
      <w:r w:rsidRPr="00EC2132">
        <w:rPr>
          <w:rFonts w:ascii="Arial" w:hAnsi="Arial" w:cs="Arial"/>
          <w:sz w:val="22"/>
          <w:szCs w:val="22"/>
        </w:rPr>
        <w:fldChar w:fldCharType="separate"/>
      </w:r>
      <w:r w:rsidR="00BB181C">
        <w:rPr>
          <w:rFonts w:ascii="Arial" w:hAnsi="Arial" w:cs="Arial"/>
          <w:noProof/>
          <w:sz w:val="22"/>
          <w:szCs w:val="22"/>
        </w:rPr>
        <w:t>1</w:t>
      </w:r>
      <w:r w:rsidRPr="00EC2132">
        <w:rPr>
          <w:rFonts w:ascii="Arial" w:hAnsi="Arial" w:cs="Arial"/>
          <w:sz w:val="22"/>
          <w:szCs w:val="22"/>
        </w:rPr>
        <w:fldChar w:fldCharType="end"/>
      </w:r>
      <w:r w:rsidRPr="00EC2132">
        <w:rPr>
          <w:rFonts w:ascii="Arial" w:hAnsi="Arial" w:cs="Arial"/>
          <w:sz w:val="22"/>
          <w:szCs w:val="22"/>
        </w:rPr>
        <w:t xml:space="preserve"> </w:t>
      </w:r>
      <w:bookmarkEnd w:id="324"/>
      <w:r w:rsidR="00E731FF" w:rsidRPr="00E731FF">
        <w:rPr>
          <w:rFonts w:ascii="Arial" w:hAnsi="Arial" w:cs="Arial"/>
          <w:sz w:val="22"/>
          <w:szCs w:val="22"/>
        </w:rPr>
        <w:t xml:space="preserve">- </w:t>
      </w:r>
      <w:r w:rsidR="00E731FF" w:rsidRPr="00E731FF">
        <w:rPr>
          <w:rFonts w:ascii="Arial" w:hAnsi="Arial" w:cs="Arial"/>
          <w:i w:val="0"/>
          <w:iCs w:val="0"/>
          <w:sz w:val="22"/>
          <w:szCs w:val="22"/>
        </w:rPr>
        <w:t>Fluxuri de trafic la nivel de PM peak, în Total Veh/ora – An 2021</w:t>
      </w:r>
      <w:bookmarkEnd w:id="325"/>
    </w:p>
    <w:p w14:paraId="3B519BD2" w14:textId="77777777" w:rsidR="0073171D" w:rsidRPr="0073171D" w:rsidRDefault="0073171D" w:rsidP="0073171D">
      <w:pPr>
        <w:widowControl w:val="0"/>
        <w:suppressAutoHyphens/>
        <w:spacing w:after="0" w:line="240" w:lineRule="auto"/>
        <w:jc w:val="center"/>
        <w:rPr>
          <w:rFonts w:ascii="Arial" w:hAnsi="Arial" w:cs="Mangal"/>
          <w:i/>
          <w:kern w:val="1"/>
          <w:sz w:val="20"/>
          <w:szCs w:val="24"/>
          <w:lang w:val="ro-RO" w:eastAsia="hi-IN" w:bidi="hi-IN"/>
        </w:rPr>
      </w:pPr>
    </w:p>
    <w:p w14:paraId="44D389AD" w14:textId="77777777" w:rsidR="0073171D" w:rsidRPr="0073171D" w:rsidRDefault="0073171D" w:rsidP="0073171D">
      <w:pPr>
        <w:widowControl w:val="0"/>
        <w:suppressAutoHyphens/>
        <w:spacing w:after="0" w:line="276" w:lineRule="auto"/>
        <w:jc w:val="both"/>
        <w:rPr>
          <w:rFonts w:ascii="Arial" w:hAnsi="Arial" w:cs="Arial"/>
          <w:kern w:val="1"/>
          <w:lang w:val="it-IT" w:eastAsia="hi-IN" w:bidi="hi-IN"/>
        </w:rPr>
      </w:pPr>
      <w:r w:rsidRPr="0073171D">
        <w:rPr>
          <w:rFonts w:ascii="Arial" w:hAnsi="Arial" w:cs="Arial"/>
          <w:i/>
          <w:iCs/>
          <w:kern w:val="1"/>
          <w:lang w:val="it-IT" w:eastAsia="hi-IN" w:bidi="hi-IN"/>
        </w:rPr>
        <w:t>Nivelul de serviciu</w:t>
      </w:r>
      <w:r w:rsidRPr="0073171D">
        <w:rPr>
          <w:rFonts w:ascii="Arial" w:hAnsi="Arial" w:cs="Arial"/>
          <w:kern w:val="1"/>
          <w:lang w:val="it-IT" w:eastAsia="hi-IN" w:bidi="hi-IN"/>
        </w:rPr>
        <w:t xml:space="preserve"> reprezintă o estimare cantitativă a condițiilor operaționale de desfășurare a traficului exprimate prin viteza de circulație, durata deplasării, confortul și siguranța circulației. În practică se utilizează 6 niveluri de serviciu notate cu litere de la A la F.</w:t>
      </w:r>
    </w:p>
    <w:p w14:paraId="02558925" w14:textId="77777777" w:rsidR="0073171D" w:rsidRPr="0073171D" w:rsidRDefault="0073171D" w:rsidP="0073171D">
      <w:pPr>
        <w:widowControl w:val="0"/>
        <w:suppressAutoHyphens/>
        <w:spacing w:after="0" w:line="240" w:lineRule="auto"/>
        <w:ind w:firstLine="709"/>
        <w:jc w:val="both"/>
        <w:rPr>
          <w:rFonts w:ascii="Arial" w:hAnsi="Arial" w:cs="Arial"/>
          <w:kern w:val="1"/>
          <w:sz w:val="24"/>
          <w:szCs w:val="24"/>
          <w:lang w:val="it-IT" w:eastAsia="hi-IN" w:bidi="hi-IN"/>
        </w:rPr>
      </w:pPr>
    </w:p>
    <w:p w14:paraId="267AF502" w14:textId="77777777" w:rsidR="0073171D" w:rsidRPr="0073171D" w:rsidRDefault="0073171D" w:rsidP="0073171D">
      <w:pPr>
        <w:widowControl w:val="0"/>
        <w:suppressAutoHyphens/>
        <w:spacing w:after="0" w:line="240" w:lineRule="auto"/>
        <w:rPr>
          <w:rFonts w:ascii="Arial" w:hAnsi="Arial" w:cs="Arial"/>
          <w:kern w:val="1"/>
          <w:sz w:val="24"/>
          <w:szCs w:val="24"/>
          <w:lang w:val="it-IT" w:eastAsia="hi-IN" w:bidi="hi-IN"/>
        </w:rPr>
      </w:pPr>
    </w:p>
    <w:p w14:paraId="561619C8" w14:textId="1A22BEC7" w:rsidR="0073171D" w:rsidRPr="0073171D" w:rsidRDefault="007B4C14" w:rsidP="007B4C14">
      <w:pPr>
        <w:pStyle w:val="Legend"/>
        <w:jc w:val="center"/>
        <w:rPr>
          <w:rFonts w:ascii="Arial" w:hAnsi="Arial" w:cs="Arial"/>
          <w:bCs/>
          <w:i w:val="0"/>
          <w:iCs w:val="0"/>
          <w:color w:val="1F497D"/>
          <w:kern w:val="1"/>
          <w:sz w:val="22"/>
          <w:szCs w:val="22"/>
          <w:lang w:val="it-IT" w:eastAsia="x-none" w:bidi="hi-IN"/>
        </w:rPr>
      </w:pPr>
      <w:bookmarkStart w:id="326" w:name="_Toc68361245"/>
      <w:bookmarkStart w:id="327" w:name="_Toc96447411"/>
      <w:r w:rsidRPr="007B4C14">
        <w:rPr>
          <w:rFonts w:ascii="Arial" w:hAnsi="Arial" w:cs="Arial"/>
          <w:sz w:val="22"/>
          <w:szCs w:val="22"/>
        </w:rPr>
        <w:t xml:space="preserve">Tabel I.4. </w:t>
      </w:r>
      <w:r w:rsidRPr="007B4C14">
        <w:rPr>
          <w:rFonts w:ascii="Arial" w:hAnsi="Arial" w:cs="Arial"/>
          <w:sz w:val="22"/>
          <w:szCs w:val="22"/>
        </w:rPr>
        <w:fldChar w:fldCharType="begin"/>
      </w:r>
      <w:r w:rsidRPr="007B4C14">
        <w:rPr>
          <w:rFonts w:ascii="Arial" w:hAnsi="Arial" w:cs="Arial"/>
          <w:sz w:val="22"/>
          <w:szCs w:val="22"/>
        </w:rPr>
        <w:instrText xml:space="preserve"> SEQ Tabel_I.4. \* ARABIC </w:instrText>
      </w:r>
      <w:r w:rsidRPr="007B4C14">
        <w:rPr>
          <w:rFonts w:ascii="Arial" w:hAnsi="Arial" w:cs="Arial"/>
          <w:sz w:val="22"/>
          <w:szCs w:val="22"/>
        </w:rPr>
        <w:fldChar w:fldCharType="separate"/>
      </w:r>
      <w:r w:rsidR="00BB181C">
        <w:rPr>
          <w:rFonts w:ascii="Arial" w:hAnsi="Arial" w:cs="Arial"/>
          <w:noProof/>
          <w:sz w:val="22"/>
          <w:szCs w:val="22"/>
        </w:rPr>
        <w:t>1</w:t>
      </w:r>
      <w:r w:rsidRPr="007B4C14">
        <w:rPr>
          <w:rFonts w:ascii="Arial" w:hAnsi="Arial" w:cs="Arial"/>
          <w:sz w:val="22"/>
          <w:szCs w:val="22"/>
        </w:rPr>
        <w:fldChar w:fldCharType="end"/>
      </w:r>
      <w:r w:rsidRPr="007B4C14">
        <w:rPr>
          <w:rFonts w:ascii="Arial" w:hAnsi="Arial" w:cs="Arial"/>
          <w:sz w:val="22"/>
          <w:szCs w:val="22"/>
        </w:rPr>
        <w:t xml:space="preserve"> </w:t>
      </w:r>
      <w:r w:rsidR="0073171D" w:rsidRPr="0073171D">
        <w:rPr>
          <w:rFonts w:ascii="Arial" w:hAnsi="Arial" w:cs="Arial"/>
          <w:color w:val="1F497D"/>
          <w:sz w:val="22"/>
          <w:szCs w:val="22"/>
        </w:rPr>
        <w:t xml:space="preserve">- </w:t>
      </w:r>
      <w:r w:rsidR="0073171D" w:rsidRPr="0073171D">
        <w:rPr>
          <w:rFonts w:ascii="Arial" w:hAnsi="Arial" w:cs="Arial"/>
          <w:i w:val="0"/>
          <w:iCs w:val="0"/>
          <w:color w:val="1F497D"/>
          <w:sz w:val="22"/>
          <w:szCs w:val="22"/>
        </w:rPr>
        <w:t>Nivelurile de serviciu pe rețeaua de drumuri</w:t>
      </w:r>
      <w:bookmarkEnd w:id="326"/>
      <w:bookmarkEnd w:id="327"/>
    </w:p>
    <w:p w14:paraId="28E7E626" w14:textId="47CFCADE" w:rsidR="0073171D" w:rsidRDefault="0073171D" w:rsidP="0073171D">
      <w:pPr>
        <w:widowControl w:val="0"/>
        <w:suppressAutoHyphens/>
        <w:spacing w:after="0" w:line="240" w:lineRule="auto"/>
        <w:jc w:val="center"/>
        <w:rPr>
          <w:rFonts w:ascii="Arial" w:hAnsi="Arial" w:cs="Arial"/>
          <w:color w:val="FF0000"/>
          <w:kern w:val="1"/>
          <w:sz w:val="24"/>
          <w:szCs w:val="24"/>
          <w:lang w:val="ro-RO" w:eastAsia="hi-IN" w:bidi="hi-IN"/>
        </w:rPr>
      </w:pPr>
      <w:r w:rsidRPr="0073171D">
        <w:rPr>
          <w:rFonts w:ascii="Arial" w:hAnsi="Arial" w:cs="Arial"/>
          <w:noProof/>
          <w:color w:val="FF0000"/>
          <w:kern w:val="1"/>
          <w:sz w:val="24"/>
          <w:szCs w:val="24"/>
        </w:rPr>
        <w:drawing>
          <wp:inline distT="0" distB="0" distL="0" distR="0" wp14:anchorId="76ECAEF6" wp14:editId="7101113E">
            <wp:extent cx="5772150" cy="2895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
                      <a:extLst>
                        <a:ext uri="{28A0092B-C50C-407E-A947-70E740481C1C}">
                          <a14:useLocalDpi xmlns:a14="http://schemas.microsoft.com/office/drawing/2010/main" val="0"/>
                        </a:ext>
                      </a:extLst>
                    </a:blip>
                    <a:srcRect l="2043" r="1360"/>
                    <a:stretch>
                      <a:fillRect/>
                    </a:stretch>
                  </pic:blipFill>
                  <pic:spPr bwMode="auto">
                    <a:xfrm>
                      <a:off x="0" y="0"/>
                      <a:ext cx="5772150" cy="2895600"/>
                    </a:xfrm>
                    <a:prstGeom prst="rect">
                      <a:avLst/>
                    </a:prstGeom>
                    <a:noFill/>
                    <a:ln>
                      <a:noFill/>
                    </a:ln>
                  </pic:spPr>
                </pic:pic>
              </a:graphicData>
            </a:graphic>
          </wp:inline>
        </w:drawing>
      </w:r>
    </w:p>
    <w:p w14:paraId="09A66EF5" w14:textId="77777777" w:rsidR="00E731FF" w:rsidRPr="0073171D" w:rsidRDefault="00E731FF" w:rsidP="0073171D">
      <w:pPr>
        <w:widowControl w:val="0"/>
        <w:suppressAutoHyphens/>
        <w:spacing w:after="0" w:line="240" w:lineRule="auto"/>
        <w:jc w:val="center"/>
        <w:rPr>
          <w:rFonts w:ascii="Arial" w:hAnsi="Arial" w:cs="Arial"/>
          <w:color w:val="FF0000"/>
          <w:kern w:val="1"/>
          <w:sz w:val="24"/>
          <w:szCs w:val="24"/>
          <w:lang w:val="ro-RO" w:eastAsia="hi-IN" w:bidi="hi-IN"/>
        </w:rPr>
      </w:pPr>
    </w:p>
    <w:p w14:paraId="63750722" w14:textId="77777777" w:rsidR="0073171D" w:rsidRPr="0073171D" w:rsidRDefault="0073171D" w:rsidP="0073171D">
      <w:pPr>
        <w:widowControl w:val="0"/>
        <w:suppressAutoHyphens/>
        <w:spacing w:after="0" w:line="240" w:lineRule="auto"/>
        <w:jc w:val="both"/>
        <w:rPr>
          <w:rFonts w:ascii="Arial" w:hAnsi="Arial" w:cs="Arial"/>
          <w:color w:val="FF0000"/>
          <w:kern w:val="1"/>
          <w:sz w:val="24"/>
          <w:szCs w:val="24"/>
          <w:lang w:val="ro-RO" w:eastAsia="hi-IN" w:bidi="hi-IN"/>
        </w:rPr>
      </w:pPr>
    </w:p>
    <w:p w14:paraId="1B9FA08F" w14:textId="77777777" w:rsidR="0073171D" w:rsidRPr="0073171D" w:rsidRDefault="0073171D" w:rsidP="0073171D">
      <w:pPr>
        <w:widowControl w:val="0"/>
        <w:suppressAutoHyphens/>
        <w:spacing w:after="0" w:line="240" w:lineRule="auto"/>
        <w:ind w:left="360" w:right="84"/>
        <w:jc w:val="both"/>
        <w:rPr>
          <w:rFonts w:ascii="Arial" w:hAnsi="Arial" w:cs="Arial"/>
          <w:kern w:val="1"/>
          <w:sz w:val="24"/>
          <w:szCs w:val="24"/>
          <w:lang w:val="it-IT" w:eastAsia="hi-IN" w:bidi="hi-IN"/>
        </w:rPr>
      </w:pPr>
      <w:r w:rsidRPr="0073171D">
        <w:rPr>
          <w:rFonts w:ascii="Arial" w:hAnsi="Arial" w:cs="Arial"/>
          <w:noProof/>
          <w:kern w:val="1"/>
          <w:sz w:val="24"/>
          <w:szCs w:val="24"/>
        </w:rPr>
        <w:lastRenderedPageBreak/>
        <mc:AlternateContent>
          <mc:Choice Requires="wpg">
            <w:drawing>
              <wp:anchor distT="0" distB="0" distL="114300" distR="114300" simplePos="0" relativeHeight="251652608" behindDoc="1" locked="0" layoutInCell="1" allowOverlap="1" wp14:anchorId="50FF7DB8" wp14:editId="7486E1F8">
                <wp:simplePos x="0" y="0"/>
                <wp:positionH relativeFrom="column">
                  <wp:posOffset>27305</wp:posOffset>
                </wp:positionH>
                <wp:positionV relativeFrom="paragraph">
                  <wp:posOffset>179070</wp:posOffset>
                </wp:positionV>
                <wp:extent cx="5987415" cy="628015"/>
                <wp:effectExtent l="3810" t="0" r="0" b="635"/>
                <wp:wrapTopAndBottom/>
                <wp:docPr id="165"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7415" cy="628015"/>
                          <a:chOff x="1190" y="7087"/>
                          <a:chExt cx="9429" cy="989"/>
                        </a:xfrm>
                      </wpg:grpSpPr>
                      <pic:pic xmlns:pic="http://schemas.openxmlformats.org/drawingml/2006/picture">
                        <pic:nvPicPr>
                          <pic:cNvPr id="166" name="Picture 3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9179" y="7087"/>
                            <a:ext cx="1440" cy="9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7" name="Picture 3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1190" y="7188"/>
                            <a:ext cx="1352" cy="8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8" name="Picture 3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2817" y="7207"/>
                            <a:ext cx="1227" cy="8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9" name="Picture 4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4508" y="7188"/>
                            <a:ext cx="1177" cy="8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0" name="Picture 4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6108" y="7135"/>
                            <a:ext cx="1252" cy="9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 name="Picture 4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7751" y="7109"/>
                            <a:ext cx="1265" cy="9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D450769" id="Group 165" o:spid="_x0000_s1026" style="position:absolute;margin-left:2.15pt;margin-top:14.1pt;width:471.45pt;height:49.45pt;z-index:-251663872" coordorigin="1190,7087" coordsize="9429,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">
                <v:shape id="Picture 37" o:spid="_x0000_s1027" type="#_x0000_t75" style="position:absolute;left:9179;top:7087;width:1440;height: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">
                  <v:imagedata r:id="rId182" o:title=""/>
                </v:shape>
                <v:shape id="Picture 38" o:spid="_x0000_s1028" type="#_x0000_t75" style="position:absolute;left:1190;top:7188;width:1352;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">
                  <v:imagedata r:id="rId183" o:title=""/>
                </v:shape>
                <v:shape id="Picture 39" o:spid="_x0000_s1029" type="#_x0000_t75" style="position:absolute;left:2817;top:7207;width:1227;height: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">
                  <v:imagedata r:id="rId184" o:title=""/>
                </v:shape>
                <v:shape id="Picture 40" o:spid="_x0000_s1030" type="#_x0000_t75" style="position:absolute;left:4508;top:7188;width:1177;height: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">
                  <v:imagedata r:id="rId185" o:title=""/>
                </v:shape>
                <v:shape id="Picture 41" o:spid="_x0000_s1031" type="#_x0000_t75" style="position:absolute;left:6108;top:7135;width:1252;height: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">
                  <v:imagedata r:id="rId186" o:title=""/>
                </v:shape>
                <v:shape id="Picture 42" o:spid="_x0000_s1032" type="#_x0000_t75" style="position:absolute;left:7751;top:7109;width:1265;height: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">
                  <v:imagedata r:id="rId187" o:title=""/>
                </v:shape>
                <w10:wrap type="topAndBottom"/>
              </v:group>
            </w:pict>
          </mc:Fallback>
        </mc:AlternateContent>
      </w:r>
      <w:r w:rsidRPr="0073171D">
        <w:rPr>
          <w:rFonts w:ascii="Arial" w:hAnsi="Arial" w:cs="Arial"/>
          <w:kern w:val="1"/>
          <w:sz w:val="24"/>
          <w:szCs w:val="24"/>
          <w:lang w:val="it-IT" w:eastAsia="hi-IN" w:bidi="hi-IN"/>
        </w:rPr>
        <w:t xml:space="preserve"> Nivel A            Nivel B             Nivel C            Nivel D              Nivel E            Nivel F</w:t>
      </w:r>
    </w:p>
    <w:p w14:paraId="55DF556E" w14:textId="77777777" w:rsidR="0073171D" w:rsidRPr="0073171D" w:rsidRDefault="0073171D" w:rsidP="0073171D">
      <w:pPr>
        <w:widowControl w:val="0"/>
        <w:suppressAutoHyphens/>
        <w:spacing w:after="0" w:line="240" w:lineRule="auto"/>
        <w:jc w:val="both"/>
        <w:rPr>
          <w:rFonts w:ascii="Arial" w:hAnsi="Arial" w:cs="Arial"/>
          <w:kern w:val="1"/>
          <w:sz w:val="24"/>
          <w:szCs w:val="24"/>
          <w:lang w:val="it-IT" w:eastAsia="hi-IN" w:bidi="hi-IN"/>
        </w:rPr>
      </w:pPr>
      <w:r w:rsidRPr="0073171D">
        <w:rPr>
          <w:rFonts w:ascii="Arial" w:hAnsi="Arial" w:cs="Arial"/>
          <w:kern w:val="1"/>
          <w:sz w:val="24"/>
          <w:szCs w:val="24"/>
          <w:lang w:val="it-IT" w:eastAsia="hi-IN" w:bidi="hi-IN"/>
        </w:rPr>
        <w:t xml:space="preserve">                          </w:t>
      </w:r>
    </w:p>
    <w:p w14:paraId="73DD41BD" w14:textId="52FEBA70" w:rsidR="0073171D" w:rsidRPr="0073171D" w:rsidRDefault="007B4C14" w:rsidP="007B4C14">
      <w:pPr>
        <w:pStyle w:val="Legend"/>
        <w:jc w:val="center"/>
        <w:rPr>
          <w:rFonts w:ascii="Arial" w:hAnsi="Arial" w:cs="Arial"/>
          <w:bCs/>
          <w:i w:val="0"/>
          <w:iCs w:val="0"/>
          <w:color w:val="1F497D"/>
          <w:kern w:val="1"/>
          <w:sz w:val="22"/>
          <w:szCs w:val="22"/>
          <w:lang w:val="it-IT" w:eastAsia="x-none" w:bidi="hi-IN"/>
        </w:rPr>
      </w:pPr>
      <w:bookmarkStart w:id="328" w:name="_Toc417480554"/>
      <w:bookmarkStart w:id="329" w:name="_Toc68361077"/>
      <w:bookmarkStart w:id="330" w:name="_Toc96447335"/>
      <w:r w:rsidRPr="007B4C14">
        <w:rPr>
          <w:rFonts w:ascii="Arial" w:hAnsi="Arial" w:cs="Arial"/>
          <w:sz w:val="22"/>
          <w:szCs w:val="22"/>
        </w:rPr>
        <w:t xml:space="preserve">Figura I.4. </w:t>
      </w:r>
      <w:r w:rsidRPr="007B4C14">
        <w:rPr>
          <w:rFonts w:ascii="Arial" w:hAnsi="Arial" w:cs="Arial"/>
          <w:sz w:val="22"/>
          <w:szCs w:val="22"/>
        </w:rPr>
        <w:fldChar w:fldCharType="begin"/>
      </w:r>
      <w:r w:rsidRPr="007B4C14">
        <w:rPr>
          <w:rFonts w:ascii="Arial" w:hAnsi="Arial" w:cs="Arial"/>
          <w:sz w:val="22"/>
          <w:szCs w:val="22"/>
        </w:rPr>
        <w:instrText xml:space="preserve"> SEQ Figura_I.4. \* ARABIC </w:instrText>
      </w:r>
      <w:r w:rsidRPr="007B4C14">
        <w:rPr>
          <w:rFonts w:ascii="Arial" w:hAnsi="Arial" w:cs="Arial"/>
          <w:sz w:val="22"/>
          <w:szCs w:val="22"/>
        </w:rPr>
        <w:fldChar w:fldCharType="separate"/>
      </w:r>
      <w:r w:rsidR="00BB181C">
        <w:rPr>
          <w:rFonts w:ascii="Arial" w:hAnsi="Arial" w:cs="Arial"/>
          <w:noProof/>
          <w:sz w:val="22"/>
          <w:szCs w:val="22"/>
        </w:rPr>
        <w:t>2</w:t>
      </w:r>
      <w:r w:rsidRPr="007B4C14">
        <w:rPr>
          <w:rFonts w:ascii="Arial" w:hAnsi="Arial" w:cs="Arial"/>
          <w:sz w:val="22"/>
          <w:szCs w:val="22"/>
        </w:rPr>
        <w:fldChar w:fldCharType="end"/>
      </w:r>
      <w:r w:rsidRPr="007B4C14">
        <w:rPr>
          <w:rFonts w:ascii="Arial" w:hAnsi="Arial" w:cs="Arial"/>
          <w:sz w:val="22"/>
          <w:szCs w:val="22"/>
        </w:rPr>
        <w:t xml:space="preserve"> </w:t>
      </w:r>
      <w:r w:rsidR="0073171D" w:rsidRPr="0073171D">
        <w:rPr>
          <w:rFonts w:ascii="Arial" w:hAnsi="Arial" w:cs="Arial"/>
          <w:color w:val="1F497D"/>
          <w:sz w:val="22"/>
          <w:szCs w:val="22"/>
        </w:rPr>
        <w:t xml:space="preserve">- </w:t>
      </w:r>
      <w:bookmarkEnd w:id="328"/>
      <w:r w:rsidR="0073171D" w:rsidRPr="0073171D">
        <w:rPr>
          <w:rFonts w:ascii="Arial" w:hAnsi="Arial" w:cs="Arial"/>
          <w:i w:val="0"/>
          <w:iCs w:val="0"/>
          <w:color w:val="1F497D"/>
          <w:sz w:val="22"/>
          <w:szCs w:val="22"/>
        </w:rPr>
        <w:t>Niveluri de serviciu</w:t>
      </w:r>
      <w:bookmarkEnd w:id="329"/>
      <w:bookmarkEnd w:id="330"/>
    </w:p>
    <w:p w14:paraId="0A2FD544" w14:textId="77777777" w:rsidR="0073171D" w:rsidRPr="0073171D" w:rsidRDefault="0073171D" w:rsidP="0073171D">
      <w:pPr>
        <w:widowControl w:val="0"/>
        <w:suppressAutoHyphens/>
        <w:spacing w:after="0" w:line="276" w:lineRule="auto"/>
        <w:jc w:val="both"/>
        <w:rPr>
          <w:rFonts w:ascii="Arial" w:hAnsi="Arial" w:cs="Arial"/>
          <w:kern w:val="1"/>
          <w:lang w:val="it-IT" w:eastAsia="hi-IN" w:bidi="hi-IN"/>
        </w:rPr>
      </w:pPr>
      <w:r w:rsidRPr="0073171D">
        <w:rPr>
          <w:rFonts w:ascii="Arial" w:hAnsi="Arial" w:cs="Arial"/>
          <w:kern w:val="1"/>
          <w:lang w:val="it-IT" w:eastAsia="hi-IN" w:bidi="hi-IN"/>
        </w:rPr>
        <w:t>Legatura dintre întârzieri, gradul de saturare al unei intersecții și nivelul de serviciu este exprimată în tabelul de mai jos:</w:t>
      </w:r>
    </w:p>
    <w:p w14:paraId="681550DE" w14:textId="77777777" w:rsidR="0073171D" w:rsidRPr="0073171D" w:rsidRDefault="0073171D" w:rsidP="0073171D">
      <w:pPr>
        <w:spacing w:after="200" w:line="240" w:lineRule="auto"/>
        <w:rPr>
          <w:rFonts w:ascii="Arial" w:hAnsi="Arial" w:cs="Arial"/>
          <w:bCs/>
          <w:iCs/>
          <w:kern w:val="1"/>
          <w:sz w:val="24"/>
          <w:szCs w:val="24"/>
          <w:lang w:val="es-ES" w:eastAsia="x-none" w:bidi="hi-IN"/>
        </w:rPr>
      </w:pPr>
    </w:p>
    <w:p w14:paraId="14CC3336" w14:textId="796B97A9" w:rsidR="0073171D" w:rsidRPr="0073171D" w:rsidRDefault="00337AAA" w:rsidP="00337AAA">
      <w:pPr>
        <w:pStyle w:val="Legend"/>
        <w:jc w:val="center"/>
        <w:rPr>
          <w:rFonts w:ascii="Arial" w:hAnsi="Arial" w:cs="Arial"/>
          <w:bCs/>
          <w:color w:val="1F497D"/>
          <w:kern w:val="1"/>
          <w:sz w:val="22"/>
          <w:szCs w:val="22"/>
          <w:lang w:val="it-IT" w:eastAsia="x-none" w:bidi="hi-IN"/>
        </w:rPr>
      </w:pPr>
      <w:bookmarkStart w:id="331" w:name="_Toc68361246"/>
      <w:bookmarkStart w:id="332" w:name="_Toc96447412"/>
      <w:r w:rsidRPr="00337AAA">
        <w:rPr>
          <w:rFonts w:ascii="Arial" w:hAnsi="Arial" w:cs="Arial"/>
          <w:sz w:val="22"/>
          <w:szCs w:val="22"/>
        </w:rPr>
        <w:t xml:space="preserve">Tabel I.4. </w:t>
      </w:r>
      <w:r w:rsidRPr="00337AAA">
        <w:rPr>
          <w:rFonts w:ascii="Arial" w:hAnsi="Arial" w:cs="Arial"/>
          <w:sz w:val="22"/>
          <w:szCs w:val="22"/>
        </w:rPr>
        <w:fldChar w:fldCharType="begin"/>
      </w:r>
      <w:r w:rsidRPr="00337AAA">
        <w:rPr>
          <w:rFonts w:ascii="Arial" w:hAnsi="Arial" w:cs="Arial"/>
          <w:sz w:val="22"/>
          <w:szCs w:val="22"/>
        </w:rPr>
        <w:instrText xml:space="preserve"> SEQ Tabel_I.4. \* ARABIC </w:instrText>
      </w:r>
      <w:r w:rsidRPr="00337AAA">
        <w:rPr>
          <w:rFonts w:ascii="Arial" w:hAnsi="Arial" w:cs="Arial"/>
          <w:sz w:val="22"/>
          <w:szCs w:val="22"/>
        </w:rPr>
        <w:fldChar w:fldCharType="separate"/>
      </w:r>
      <w:r w:rsidR="00BB181C">
        <w:rPr>
          <w:rFonts w:ascii="Arial" w:hAnsi="Arial" w:cs="Arial"/>
          <w:noProof/>
          <w:sz w:val="22"/>
          <w:szCs w:val="22"/>
        </w:rPr>
        <w:t>2</w:t>
      </w:r>
      <w:r w:rsidRPr="00337AAA">
        <w:rPr>
          <w:rFonts w:ascii="Arial" w:hAnsi="Arial" w:cs="Arial"/>
          <w:sz w:val="22"/>
          <w:szCs w:val="22"/>
        </w:rPr>
        <w:fldChar w:fldCharType="end"/>
      </w:r>
      <w:r w:rsidRPr="00337AAA">
        <w:rPr>
          <w:rFonts w:ascii="Arial" w:hAnsi="Arial" w:cs="Arial"/>
          <w:sz w:val="22"/>
          <w:szCs w:val="22"/>
        </w:rPr>
        <w:t xml:space="preserve"> </w:t>
      </w:r>
      <w:r w:rsidR="0073171D" w:rsidRPr="0073171D">
        <w:rPr>
          <w:rFonts w:ascii="Arial" w:hAnsi="Arial" w:cs="Arial"/>
          <w:color w:val="1F497D"/>
          <w:sz w:val="22"/>
          <w:szCs w:val="22"/>
        </w:rPr>
        <w:t xml:space="preserve">- </w:t>
      </w:r>
      <w:r w:rsidR="0073171D" w:rsidRPr="0073171D">
        <w:rPr>
          <w:rFonts w:ascii="Arial" w:hAnsi="Arial" w:cs="Arial"/>
          <w:i w:val="0"/>
          <w:iCs w:val="0"/>
          <w:color w:val="1F497D"/>
          <w:sz w:val="22"/>
          <w:szCs w:val="22"/>
        </w:rPr>
        <w:t>Legătura dintre întârzieri, gradul de saturare al unei intersecții și nivelul de serviciu</w:t>
      </w:r>
      <w:bookmarkEnd w:id="331"/>
      <w:bookmarkEnd w:id="332"/>
    </w:p>
    <w:tbl>
      <w:tblPr>
        <w:tblW w:w="4890" w:type="pct"/>
        <w:jc w:val="center"/>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556"/>
        <w:gridCol w:w="3864"/>
        <w:gridCol w:w="4234"/>
      </w:tblGrid>
      <w:tr w:rsidR="0073171D" w:rsidRPr="0073171D" w14:paraId="37A741D5" w14:textId="77777777" w:rsidTr="0073171D">
        <w:trPr>
          <w:tblHeader/>
          <w:jc w:val="center"/>
        </w:trPr>
        <w:tc>
          <w:tcPr>
            <w:tcW w:w="806" w:type="pct"/>
            <w:tcBorders>
              <w:top w:val="single" w:sz="4" w:space="0" w:color="auto"/>
              <w:left w:val="single" w:sz="4"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8D55AEE"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b/>
                <w:bCs/>
                <w:sz w:val="20"/>
                <w:szCs w:val="20"/>
                <w:lang w:val="ro-RO"/>
              </w:rPr>
              <w:t>Nivel de serviciu</w:t>
            </w:r>
          </w:p>
        </w:tc>
        <w:tc>
          <w:tcPr>
            <w:tcW w:w="2001" w:type="pct"/>
            <w:tcBorders>
              <w:top w:val="single" w:sz="4"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C0E6522" w14:textId="77777777" w:rsidR="0073171D" w:rsidRPr="0073171D" w:rsidRDefault="0073171D" w:rsidP="0073171D">
            <w:pPr>
              <w:spacing w:before="60" w:after="60" w:line="276" w:lineRule="auto"/>
              <w:jc w:val="center"/>
              <w:rPr>
                <w:rFonts w:ascii="Arial" w:eastAsia="Times New Roman" w:hAnsi="Arial" w:cs="Arial"/>
                <w:b/>
                <w:bCs/>
                <w:sz w:val="20"/>
                <w:szCs w:val="20"/>
                <w:lang w:val="it-IT"/>
              </w:rPr>
            </w:pPr>
            <w:r w:rsidRPr="0073171D">
              <w:rPr>
                <w:rFonts w:ascii="Arial" w:eastAsia="Times New Roman" w:hAnsi="Arial" w:cs="Arial"/>
                <w:b/>
                <w:bCs/>
                <w:sz w:val="20"/>
                <w:szCs w:val="20"/>
                <w:lang w:val="it-IT"/>
              </w:rPr>
              <w:t xml:space="preserve">Întârzieri prognozate </w:t>
            </w:r>
          </w:p>
          <w:p w14:paraId="3F4A88D1" w14:textId="77777777" w:rsidR="0073171D" w:rsidRPr="0073171D" w:rsidRDefault="0073171D" w:rsidP="0073171D">
            <w:pPr>
              <w:spacing w:before="60" w:after="60" w:line="276" w:lineRule="auto"/>
              <w:jc w:val="center"/>
              <w:rPr>
                <w:rFonts w:ascii="Arial" w:eastAsia="Times New Roman" w:hAnsi="Arial" w:cs="Arial"/>
                <w:sz w:val="20"/>
                <w:szCs w:val="20"/>
                <w:lang w:val="it-IT"/>
              </w:rPr>
            </w:pPr>
            <w:r w:rsidRPr="0073171D">
              <w:rPr>
                <w:rFonts w:ascii="Arial" w:eastAsia="Times New Roman" w:hAnsi="Arial" w:cs="Arial"/>
                <w:sz w:val="20"/>
                <w:szCs w:val="20"/>
                <w:lang w:val="it-IT"/>
              </w:rPr>
              <w:t>(valoare medie pe vehicul)</w:t>
            </w:r>
          </w:p>
        </w:tc>
        <w:tc>
          <w:tcPr>
            <w:tcW w:w="2193" w:type="pct"/>
            <w:tcBorders>
              <w:top w:val="single" w:sz="4" w:space="0" w:color="auto"/>
              <w:left w:val="single" w:sz="8" w:space="0" w:color="auto"/>
              <w:bottom w:val="single" w:sz="8" w:space="0" w:color="auto"/>
              <w:right w:val="single" w:sz="4" w:space="0" w:color="auto"/>
            </w:tcBorders>
            <w:shd w:val="clear" w:color="auto" w:fill="D9D9D9"/>
            <w:tcMar>
              <w:top w:w="0" w:type="dxa"/>
              <w:left w:w="108" w:type="dxa"/>
              <w:bottom w:w="0" w:type="dxa"/>
              <w:right w:w="108" w:type="dxa"/>
            </w:tcMar>
            <w:vAlign w:val="center"/>
          </w:tcPr>
          <w:p w14:paraId="296F8DFF"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b/>
                <w:bCs/>
                <w:sz w:val="20"/>
                <w:szCs w:val="20"/>
                <w:lang w:val="ro-RO"/>
              </w:rPr>
              <w:t>Gradul de saturare (%)</w:t>
            </w:r>
          </w:p>
        </w:tc>
      </w:tr>
      <w:tr w:rsidR="0073171D" w:rsidRPr="0073171D" w14:paraId="16A191AA" w14:textId="77777777" w:rsidTr="00C735D2">
        <w:trPr>
          <w:jc w:val="center"/>
        </w:trPr>
        <w:tc>
          <w:tcPr>
            <w:tcW w:w="806"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26956C2F"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A</w:t>
            </w:r>
          </w:p>
        </w:tc>
        <w:tc>
          <w:tcPr>
            <w:tcW w:w="20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D641ED1"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Mai mic de  10 secunde.</w:t>
            </w:r>
          </w:p>
        </w:tc>
        <w:tc>
          <w:tcPr>
            <w:tcW w:w="219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14FF064E"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&lt;= 60%</w:t>
            </w:r>
          </w:p>
        </w:tc>
      </w:tr>
      <w:tr w:rsidR="0073171D" w:rsidRPr="0073171D" w14:paraId="30A55AC6" w14:textId="77777777" w:rsidTr="00C735D2">
        <w:trPr>
          <w:jc w:val="center"/>
        </w:trPr>
        <w:tc>
          <w:tcPr>
            <w:tcW w:w="806"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4F5DEA7E"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B</w:t>
            </w:r>
          </w:p>
        </w:tc>
        <w:tc>
          <w:tcPr>
            <w:tcW w:w="20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0F9C567"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10.1 până la  20 secunde</w:t>
            </w:r>
          </w:p>
        </w:tc>
        <w:tc>
          <w:tcPr>
            <w:tcW w:w="219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6916F441"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între 61 % și 69 %</w:t>
            </w:r>
          </w:p>
        </w:tc>
      </w:tr>
      <w:tr w:rsidR="0073171D" w:rsidRPr="0073171D" w14:paraId="2D452CA5" w14:textId="77777777" w:rsidTr="00C735D2">
        <w:trPr>
          <w:jc w:val="center"/>
        </w:trPr>
        <w:tc>
          <w:tcPr>
            <w:tcW w:w="806"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52982CC1"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C</w:t>
            </w:r>
          </w:p>
        </w:tc>
        <w:tc>
          <w:tcPr>
            <w:tcW w:w="20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F9C540"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20.1 până la 35 secunde;</w:t>
            </w:r>
          </w:p>
        </w:tc>
        <w:tc>
          <w:tcPr>
            <w:tcW w:w="219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3310F9A0"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între 70% și 79%</w:t>
            </w:r>
          </w:p>
        </w:tc>
      </w:tr>
      <w:tr w:rsidR="0073171D" w:rsidRPr="0073171D" w14:paraId="6F224004" w14:textId="77777777" w:rsidTr="00C735D2">
        <w:trPr>
          <w:jc w:val="center"/>
        </w:trPr>
        <w:tc>
          <w:tcPr>
            <w:tcW w:w="806"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51CE6E49"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D</w:t>
            </w:r>
          </w:p>
        </w:tc>
        <w:tc>
          <w:tcPr>
            <w:tcW w:w="20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769D722"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35.1 până la  55</w:t>
            </w:r>
          </w:p>
        </w:tc>
        <w:tc>
          <w:tcPr>
            <w:tcW w:w="219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326F33C8"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între 80% și 89%</w:t>
            </w:r>
          </w:p>
        </w:tc>
      </w:tr>
      <w:tr w:rsidR="0073171D" w:rsidRPr="0073171D" w14:paraId="13B042B5" w14:textId="77777777" w:rsidTr="00C735D2">
        <w:trPr>
          <w:jc w:val="center"/>
        </w:trPr>
        <w:tc>
          <w:tcPr>
            <w:tcW w:w="806"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0FFEDAC8"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E</w:t>
            </w:r>
          </w:p>
        </w:tc>
        <w:tc>
          <w:tcPr>
            <w:tcW w:w="200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F1BF1EA"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55.1 până la 80 secunde</w:t>
            </w:r>
          </w:p>
        </w:tc>
        <w:tc>
          <w:tcPr>
            <w:tcW w:w="219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14:paraId="2E1C6DE2"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între 90% și 100%</w:t>
            </w:r>
          </w:p>
        </w:tc>
      </w:tr>
      <w:tr w:rsidR="0073171D" w:rsidRPr="0073171D" w14:paraId="671A6236" w14:textId="77777777" w:rsidTr="00C735D2">
        <w:trPr>
          <w:jc w:val="center"/>
        </w:trPr>
        <w:tc>
          <w:tcPr>
            <w:tcW w:w="806"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14:paraId="6BFBD7CB"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F</w:t>
            </w:r>
          </w:p>
        </w:tc>
        <w:tc>
          <w:tcPr>
            <w:tcW w:w="2001"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7926FDF"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Mai mult de 80 secunde;</w:t>
            </w:r>
          </w:p>
        </w:tc>
        <w:tc>
          <w:tcPr>
            <w:tcW w:w="2193" w:type="pct"/>
            <w:tcBorders>
              <w:top w:val="single" w:sz="8" w:space="0" w:color="auto"/>
              <w:left w:val="single" w:sz="8" w:space="0" w:color="auto"/>
              <w:bottom w:val="single" w:sz="4" w:space="0" w:color="auto"/>
              <w:right w:val="single" w:sz="4" w:space="0" w:color="auto"/>
            </w:tcBorders>
            <w:tcMar>
              <w:top w:w="0" w:type="dxa"/>
              <w:left w:w="108" w:type="dxa"/>
              <w:bottom w:w="0" w:type="dxa"/>
              <w:right w:w="108" w:type="dxa"/>
            </w:tcMar>
            <w:vAlign w:val="center"/>
          </w:tcPr>
          <w:p w14:paraId="07DA91DC" w14:textId="77777777" w:rsidR="0073171D" w:rsidRPr="0073171D" w:rsidRDefault="0073171D" w:rsidP="0073171D">
            <w:pPr>
              <w:spacing w:before="60" w:after="60" w:line="276" w:lineRule="auto"/>
              <w:jc w:val="center"/>
              <w:rPr>
                <w:rFonts w:ascii="Arial" w:eastAsia="Times New Roman" w:hAnsi="Arial" w:cs="Arial"/>
                <w:sz w:val="20"/>
                <w:szCs w:val="20"/>
                <w:lang w:val="ro-RO"/>
              </w:rPr>
            </w:pPr>
            <w:r w:rsidRPr="0073171D">
              <w:rPr>
                <w:rFonts w:ascii="Arial" w:eastAsia="Times New Roman" w:hAnsi="Arial" w:cs="Arial"/>
                <w:sz w:val="20"/>
                <w:szCs w:val="20"/>
                <w:lang w:val="ro-RO"/>
              </w:rPr>
              <w:t>&gt;= 100%</w:t>
            </w:r>
          </w:p>
        </w:tc>
      </w:tr>
    </w:tbl>
    <w:p w14:paraId="7A36A1C8" w14:textId="77777777" w:rsidR="0073171D" w:rsidRPr="0073171D" w:rsidRDefault="0073171D" w:rsidP="0073171D">
      <w:pPr>
        <w:widowControl w:val="0"/>
        <w:suppressAutoHyphens/>
        <w:spacing w:after="0" w:line="276" w:lineRule="auto"/>
        <w:jc w:val="both"/>
        <w:rPr>
          <w:rFonts w:ascii="Arial" w:hAnsi="Arial" w:cs="Arial"/>
          <w:kern w:val="1"/>
          <w:sz w:val="24"/>
          <w:szCs w:val="24"/>
          <w:lang w:val="it-IT" w:eastAsia="hi-IN" w:bidi="hi-IN"/>
        </w:rPr>
      </w:pPr>
    </w:p>
    <w:p w14:paraId="1CE972A4" w14:textId="77777777" w:rsidR="0073171D" w:rsidRPr="0073171D" w:rsidRDefault="0073171D" w:rsidP="0073171D">
      <w:pPr>
        <w:widowControl w:val="0"/>
        <w:suppressAutoHyphens/>
        <w:spacing w:after="0" w:line="276" w:lineRule="auto"/>
        <w:jc w:val="both"/>
        <w:rPr>
          <w:rFonts w:ascii="Arial" w:hAnsi="Arial" w:cs="Arial"/>
          <w:color w:val="000000"/>
          <w:spacing w:val="3"/>
          <w:kern w:val="1"/>
          <w:lang w:val="it-IT" w:eastAsia="hi-IN" w:bidi="hi-IN"/>
        </w:rPr>
      </w:pPr>
      <w:r w:rsidRPr="0073171D">
        <w:rPr>
          <w:rFonts w:ascii="Arial" w:hAnsi="Arial" w:cs="Arial"/>
          <w:i/>
          <w:iCs/>
          <w:color w:val="000000"/>
          <w:spacing w:val="-1"/>
          <w:kern w:val="1"/>
          <w:lang w:val="it-IT" w:eastAsia="hi-IN" w:bidi="hi-IN"/>
        </w:rPr>
        <w:t xml:space="preserve">Nivelul de serviciu A </w:t>
      </w:r>
      <w:r w:rsidRPr="0073171D">
        <w:rPr>
          <w:rFonts w:ascii="Arial" w:hAnsi="Arial" w:cs="Arial"/>
          <w:color w:val="000000"/>
          <w:spacing w:val="-1"/>
          <w:kern w:val="1"/>
          <w:lang w:val="it-IT" w:eastAsia="hi-IN" w:bidi="hi-IN"/>
        </w:rPr>
        <w:t xml:space="preserve">descrie funcţionări cu întârziere foarte mică, adică mai puţin </w:t>
      </w:r>
      <w:r w:rsidRPr="0073171D">
        <w:rPr>
          <w:rFonts w:ascii="Arial" w:hAnsi="Arial" w:cs="Arial"/>
          <w:color w:val="000000"/>
          <w:spacing w:val="-5"/>
          <w:kern w:val="1"/>
          <w:lang w:val="it-IT" w:eastAsia="hi-IN" w:bidi="hi-IN"/>
        </w:rPr>
        <w:t xml:space="preserve">de 10 secunde pe vehicul. Acest lucru se întâmplă când progresia este extrem de </w:t>
      </w:r>
      <w:r w:rsidRPr="0073171D">
        <w:rPr>
          <w:rFonts w:ascii="Arial" w:hAnsi="Arial" w:cs="Arial"/>
          <w:color w:val="000000"/>
          <w:spacing w:val="-2"/>
          <w:kern w:val="1"/>
          <w:lang w:val="it-IT" w:eastAsia="hi-IN" w:bidi="hi-IN"/>
        </w:rPr>
        <w:t xml:space="preserve">favorabilă şi cele mai multe vehicule sosesc pe faza de verde. Cele mai multe </w:t>
      </w:r>
      <w:r w:rsidRPr="0073171D">
        <w:rPr>
          <w:rFonts w:ascii="Arial" w:hAnsi="Arial" w:cs="Arial"/>
          <w:color w:val="000000"/>
          <w:spacing w:val="3"/>
          <w:kern w:val="1"/>
          <w:lang w:val="it-IT" w:eastAsia="hi-IN" w:bidi="hi-IN"/>
        </w:rPr>
        <w:t xml:space="preserve">vehicule nu opresc deloc. De asemenea, la o întârziere mică pot contribui </w:t>
      </w:r>
      <w:r w:rsidRPr="0073171D">
        <w:rPr>
          <w:rFonts w:ascii="Arial" w:hAnsi="Arial" w:cs="Arial"/>
          <w:color w:val="000000"/>
          <w:kern w:val="1"/>
          <w:lang w:val="it-IT" w:eastAsia="hi-IN" w:bidi="hi-IN"/>
        </w:rPr>
        <w:t>ciclurile de scurtă durată.</w:t>
      </w:r>
    </w:p>
    <w:p w14:paraId="42DFB028" w14:textId="77777777" w:rsidR="0073171D" w:rsidRPr="0073171D" w:rsidRDefault="0073171D" w:rsidP="0073171D">
      <w:pPr>
        <w:widowControl w:val="0"/>
        <w:tabs>
          <w:tab w:val="decimal" w:pos="720"/>
        </w:tabs>
        <w:suppressAutoHyphens/>
        <w:spacing w:after="0" w:line="276" w:lineRule="auto"/>
        <w:jc w:val="both"/>
        <w:rPr>
          <w:rFonts w:ascii="Arial" w:hAnsi="Arial" w:cs="Arial"/>
          <w:i/>
          <w:iCs/>
          <w:color w:val="000000"/>
          <w:spacing w:val="-4"/>
          <w:kern w:val="1"/>
          <w:lang w:val="it-IT" w:eastAsia="hi-IN" w:bidi="hi-IN"/>
        </w:rPr>
      </w:pPr>
    </w:p>
    <w:p w14:paraId="1A75B950" w14:textId="77777777" w:rsidR="0073171D" w:rsidRPr="0073171D" w:rsidRDefault="0073171D" w:rsidP="0073171D">
      <w:pPr>
        <w:widowControl w:val="0"/>
        <w:tabs>
          <w:tab w:val="decimal" w:pos="720"/>
        </w:tabs>
        <w:suppressAutoHyphens/>
        <w:spacing w:after="0" w:line="276" w:lineRule="auto"/>
        <w:jc w:val="both"/>
        <w:rPr>
          <w:rFonts w:ascii="Arial" w:hAnsi="Arial" w:cs="Arial"/>
          <w:i/>
          <w:iCs/>
          <w:color w:val="000000"/>
          <w:spacing w:val="-4"/>
          <w:kern w:val="1"/>
          <w:lang w:val="de-DE" w:eastAsia="hi-IN" w:bidi="hi-IN"/>
        </w:rPr>
      </w:pPr>
      <w:r w:rsidRPr="0073171D">
        <w:rPr>
          <w:rFonts w:ascii="Arial" w:hAnsi="Arial" w:cs="Arial"/>
          <w:i/>
          <w:iCs/>
          <w:color w:val="000000"/>
          <w:spacing w:val="-4"/>
          <w:kern w:val="1"/>
          <w:lang w:val="it-IT" w:eastAsia="hi-IN" w:bidi="hi-IN"/>
        </w:rPr>
        <w:t xml:space="preserve">Nivelul de serviciu </w:t>
      </w:r>
      <w:r w:rsidRPr="0073171D">
        <w:rPr>
          <w:rFonts w:ascii="Arial" w:hAnsi="Arial" w:cs="Arial"/>
          <w:i/>
          <w:iCs/>
          <w:color w:val="000000"/>
          <w:spacing w:val="-4"/>
          <w:w w:val="105"/>
          <w:kern w:val="1"/>
          <w:lang w:val="it-IT" w:eastAsia="hi-IN" w:bidi="hi-IN"/>
        </w:rPr>
        <w:t xml:space="preserve">B  </w:t>
      </w:r>
      <w:r w:rsidRPr="0073171D">
        <w:rPr>
          <w:rFonts w:ascii="Arial" w:hAnsi="Arial" w:cs="Arial"/>
          <w:color w:val="000000"/>
          <w:spacing w:val="-4"/>
          <w:kern w:val="1"/>
          <w:lang w:val="it-IT" w:eastAsia="hi-IN" w:bidi="hi-IN"/>
        </w:rPr>
        <w:t xml:space="preserve">descrie funcţionări cu întârzieri în domeniul 10 până la 20 secunde pe vehicul. Acest lucru se produce în general în situaţia progresie bună şi/sau cicluri cu durate mici. </w:t>
      </w:r>
      <w:r w:rsidRPr="0073171D">
        <w:rPr>
          <w:rFonts w:ascii="Arial" w:hAnsi="Arial" w:cs="Arial"/>
          <w:color w:val="000000"/>
          <w:spacing w:val="-4"/>
          <w:kern w:val="1"/>
          <w:lang w:val="de-DE" w:eastAsia="hi-IN" w:bidi="hi-IN"/>
        </w:rPr>
        <w:t xml:space="preserve">Opresc mai multe vehicule ca în cazul A producând </w:t>
      </w:r>
      <w:r w:rsidRPr="0073171D">
        <w:rPr>
          <w:rFonts w:ascii="Arial" w:hAnsi="Arial" w:cs="Arial"/>
          <w:color w:val="000000"/>
          <w:spacing w:val="-2"/>
          <w:kern w:val="1"/>
          <w:lang w:val="de-DE" w:eastAsia="hi-IN" w:bidi="hi-IN"/>
        </w:rPr>
        <w:t>niveluri mai mari de întârziere medie.</w:t>
      </w:r>
    </w:p>
    <w:p w14:paraId="3152F02E" w14:textId="77777777" w:rsidR="0073171D" w:rsidRPr="0073171D" w:rsidRDefault="0073171D" w:rsidP="0073171D">
      <w:pPr>
        <w:widowControl w:val="0"/>
        <w:tabs>
          <w:tab w:val="decimal" w:pos="720"/>
        </w:tabs>
        <w:suppressAutoHyphens/>
        <w:spacing w:after="0" w:line="276" w:lineRule="auto"/>
        <w:jc w:val="both"/>
        <w:rPr>
          <w:rFonts w:ascii="Arial" w:hAnsi="Arial" w:cs="Arial"/>
          <w:i/>
          <w:iCs/>
          <w:color w:val="000000"/>
          <w:spacing w:val="-5"/>
          <w:kern w:val="1"/>
          <w:lang w:val="de-DE" w:eastAsia="hi-IN" w:bidi="hi-IN"/>
        </w:rPr>
      </w:pPr>
    </w:p>
    <w:p w14:paraId="55D4DE70" w14:textId="77777777" w:rsidR="0073171D" w:rsidRPr="0073171D" w:rsidRDefault="0073171D" w:rsidP="0073171D">
      <w:pPr>
        <w:widowControl w:val="0"/>
        <w:tabs>
          <w:tab w:val="decimal" w:pos="720"/>
        </w:tabs>
        <w:suppressAutoHyphens/>
        <w:spacing w:after="0" w:line="276" w:lineRule="auto"/>
        <w:jc w:val="both"/>
        <w:rPr>
          <w:rFonts w:ascii="Arial" w:hAnsi="Arial" w:cs="Arial"/>
          <w:color w:val="000000"/>
          <w:spacing w:val="-2"/>
          <w:kern w:val="1"/>
          <w:lang w:val="de-DE" w:eastAsia="hi-IN" w:bidi="hi-IN"/>
        </w:rPr>
      </w:pPr>
      <w:r w:rsidRPr="0073171D">
        <w:rPr>
          <w:rFonts w:ascii="Arial" w:hAnsi="Arial" w:cs="Arial"/>
          <w:i/>
          <w:iCs/>
          <w:color w:val="000000"/>
          <w:spacing w:val="-5"/>
          <w:kern w:val="1"/>
          <w:lang w:val="de-DE" w:eastAsia="hi-IN" w:bidi="hi-IN"/>
        </w:rPr>
        <w:t xml:space="preserve">Nivelul de serviciu C  </w:t>
      </w:r>
      <w:r w:rsidRPr="0073171D">
        <w:rPr>
          <w:rFonts w:ascii="Arial" w:hAnsi="Arial" w:cs="Arial"/>
          <w:color w:val="000000"/>
          <w:spacing w:val="-5"/>
          <w:kern w:val="1"/>
          <w:lang w:val="de-DE" w:eastAsia="hi-IN" w:bidi="hi-IN"/>
        </w:rPr>
        <w:t xml:space="preserve">descrie funcţionări cu întârzieri în domeniul 20,1 până la 35 </w:t>
      </w:r>
      <w:r w:rsidRPr="0073171D">
        <w:rPr>
          <w:rFonts w:ascii="Arial" w:hAnsi="Arial" w:cs="Arial"/>
          <w:color w:val="000000"/>
          <w:spacing w:val="1"/>
          <w:kern w:val="1"/>
          <w:lang w:val="de-DE" w:eastAsia="hi-IN" w:bidi="hi-IN"/>
        </w:rPr>
        <w:t xml:space="preserve">secunde pe vehicul. Aceste întârzieri mai mari pot rezulta dintr-o progresie </w:t>
      </w:r>
      <w:r w:rsidRPr="0073171D">
        <w:rPr>
          <w:rFonts w:ascii="Arial" w:hAnsi="Arial" w:cs="Arial"/>
          <w:color w:val="000000"/>
          <w:spacing w:val="-1"/>
          <w:kern w:val="1"/>
          <w:lang w:val="de-DE" w:eastAsia="hi-IN" w:bidi="hi-IN"/>
        </w:rPr>
        <w:t xml:space="preserve">proastă şi/sau cicluri cu durate mai mari. La acest nivel pot începe să apară </w:t>
      </w:r>
      <w:r w:rsidRPr="0073171D">
        <w:rPr>
          <w:rFonts w:ascii="Arial" w:hAnsi="Arial" w:cs="Arial"/>
          <w:color w:val="000000"/>
          <w:kern w:val="1"/>
          <w:lang w:val="de-DE" w:eastAsia="hi-IN" w:bidi="hi-IN"/>
        </w:rPr>
        <w:t xml:space="preserve">perturbări de ciclu. Numărul vehiculelor în aşteptare la stop este semnificativ la </w:t>
      </w:r>
      <w:r w:rsidRPr="0073171D">
        <w:rPr>
          <w:rFonts w:ascii="Arial" w:hAnsi="Arial" w:cs="Arial"/>
          <w:color w:val="000000"/>
          <w:spacing w:val="-2"/>
          <w:kern w:val="1"/>
          <w:lang w:val="de-DE" w:eastAsia="hi-IN" w:bidi="hi-IN"/>
        </w:rPr>
        <w:t>acest nivel, deşi sunt încă multe treceri fără oprire prin intersecţie.</w:t>
      </w:r>
    </w:p>
    <w:p w14:paraId="626664B3" w14:textId="77777777" w:rsidR="0073171D" w:rsidRPr="0073171D" w:rsidRDefault="0073171D" w:rsidP="0073171D">
      <w:pPr>
        <w:widowControl w:val="0"/>
        <w:tabs>
          <w:tab w:val="decimal" w:pos="720"/>
        </w:tabs>
        <w:suppressAutoHyphens/>
        <w:spacing w:after="0" w:line="276" w:lineRule="auto"/>
        <w:jc w:val="both"/>
        <w:rPr>
          <w:rFonts w:ascii="Arial" w:hAnsi="Arial" w:cs="Arial"/>
          <w:i/>
          <w:iCs/>
          <w:color w:val="000000"/>
          <w:spacing w:val="-2"/>
          <w:kern w:val="1"/>
          <w:lang w:val="de-DE" w:eastAsia="hi-IN" w:bidi="hi-IN"/>
        </w:rPr>
      </w:pPr>
    </w:p>
    <w:p w14:paraId="0D320417" w14:textId="77777777" w:rsidR="0073171D" w:rsidRPr="0073171D" w:rsidRDefault="0073171D" w:rsidP="0073171D">
      <w:pPr>
        <w:widowControl w:val="0"/>
        <w:tabs>
          <w:tab w:val="decimal" w:pos="720"/>
        </w:tabs>
        <w:suppressAutoHyphens/>
        <w:spacing w:after="0" w:line="276" w:lineRule="auto"/>
        <w:jc w:val="both"/>
        <w:rPr>
          <w:rFonts w:ascii="Arial" w:hAnsi="Arial" w:cs="Arial"/>
          <w:color w:val="000000"/>
          <w:kern w:val="1"/>
          <w:lang w:val="es-ES" w:eastAsia="hi-IN" w:bidi="hi-IN"/>
        </w:rPr>
      </w:pPr>
      <w:r w:rsidRPr="0073171D">
        <w:rPr>
          <w:rFonts w:ascii="Arial" w:hAnsi="Arial" w:cs="Arial"/>
          <w:i/>
          <w:iCs/>
          <w:color w:val="000000"/>
          <w:spacing w:val="-2"/>
          <w:kern w:val="1"/>
          <w:lang w:val="de-DE" w:eastAsia="hi-IN" w:bidi="hi-IN"/>
        </w:rPr>
        <w:t xml:space="preserve">Nivelul de serviciu </w:t>
      </w:r>
      <w:r w:rsidRPr="0073171D">
        <w:rPr>
          <w:rFonts w:ascii="Arial" w:hAnsi="Arial" w:cs="Arial"/>
          <w:i/>
          <w:iCs/>
          <w:color w:val="000000"/>
          <w:spacing w:val="-2"/>
          <w:w w:val="105"/>
          <w:kern w:val="1"/>
          <w:lang w:val="de-DE" w:eastAsia="hi-IN" w:bidi="hi-IN"/>
        </w:rPr>
        <w:t xml:space="preserve">D  </w:t>
      </w:r>
      <w:r w:rsidRPr="0073171D">
        <w:rPr>
          <w:rFonts w:ascii="Arial" w:hAnsi="Arial" w:cs="Arial"/>
          <w:color w:val="000000"/>
          <w:spacing w:val="-2"/>
          <w:kern w:val="1"/>
          <w:lang w:val="de-DE" w:eastAsia="hi-IN" w:bidi="hi-IN"/>
        </w:rPr>
        <w:t xml:space="preserve">descrie funcţionări cu întârzieri în domeniul 35,1 până la 55 </w:t>
      </w:r>
      <w:r w:rsidRPr="0073171D">
        <w:rPr>
          <w:rFonts w:ascii="Arial" w:hAnsi="Arial" w:cs="Arial"/>
          <w:color w:val="000000"/>
          <w:kern w:val="1"/>
          <w:lang w:val="de-DE" w:eastAsia="hi-IN" w:bidi="hi-IN"/>
        </w:rPr>
        <w:t xml:space="preserve">secunde. La nivelul D, influenţa congestiei devine mult mai vizibilă. Intârzierile </w:t>
      </w:r>
      <w:r w:rsidRPr="0073171D">
        <w:rPr>
          <w:rFonts w:ascii="Arial" w:hAnsi="Arial" w:cs="Arial"/>
          <w:color w:val="000000"/>
          <w:spacing w:val="-1"/>
          <w:kern w:val="1"/>
          <w:lang w:val="de-DE" w:eastAsia="hi-IN" w:bidi="hi-IN"/>
        </w:rPr>
        <w:t xml:space="preserve">mai mari pot rezulta din combinarea unei progresii nefavorabile, durate mai mari </w:t>
      </w:r>
      <w:r w:rsidRPr="0073171D">
        <w:rPr>
          <w:rFonts w:ascii="Arial" w:hAnsi="Arial" w:cs="Arial"/>
          <w:color w:val="000000"/>
          <w:spacing w:val="-3"/>
          <w:kern w:val="1"/>
          <w:lang w:val="de-DE" w:eastAsia="hi-IN" w:bidi="hi-IN"/>
        </w:rPr>
        <w:t xml:space="preserve">de ciclu, sau rapoarte mai mari v/c. Multe vehicule opresc la stop, iar proporţia </w:t>
      </w:r>
      <w:r w:rsidRPr="0073171D">
        <w:rPr>
          <w:rFonts w:ascii="Arial" w:hAnsi="Arial" w:cs="Arial"/>
          <w:color w:val="000000"/>
          <w:spacing w:val="1"/>
          <w:kern w:val="1"/>
          <w:lang w:val="de-DE" w:eastAsia="hi-IN" w:bidi="hi-IN"/>
        </w:rPr>
        <w:t xml:space="preserve">vehiculelor care nu opresc descreşte. </w:t>
      </w:r>
      <w:r w:rsidRPr="0073171D">
        <w:rPr>
          <w:rFonts w:ascii="Arial" w:hAnsi="Arial" w:cs="Arial"/>
          <w:color w:val="000000"/>
          <w:spacing w:val="1"/>
          <w:kern w:val="1"/>
          <w:lang w:val="es-ES" w:eastAsia="hi-IN" w:bidi="hi-IN"/>
        </w:rPr>
        <w:t xml:space="preserve">Eşecul ciclurilor individuale ajunge la un </w:t>
      </w:r>
      <w:r w:rsidRPr="0073171D">
        <w:rPr>
          <w:rFonts w:ascii="Arial" w:hAnsi="Arial" w:cs="Arial"/>
          <w:color w:val="000000"/>
          <w:kern w:val="1"/>
          <w:lang w:val="es-ES" w:eastAsia="hi-IN" w:bidi="hi-IN"/>
        </w:rPr>
        <w:t>nivel de luat în seamă.</w:t>
      </w:r>
    </w:p>
    <w:p w14:paraId="52D3B0C2" w14:textId="77777777" w:rsidR="0073171D" w:rsidRPr="0073171D" w:rsidRDefault="0073171D" w:rsidP="0073171D">
      <w:pPr>
        <w:widowControl w:val="0"/>
        <w:tabs>
          <w:tab w:val="decimal" w:pos="720"/>
        </w:tabs>
        <w:suppressAutoHyphens/>
        <w:spacing w:after="0" w:line="276" w:lineRule="auto"/>
        <w:jc w:val="both"/>
        <w:rPr>
          <w:rFonts w:ascii="Arial" w:hAnsi="Arial" w:cs="Arial"/>
          <w:i/>
          <w:iCs/>
          <w:color w:val="000000"/>
          <w:spacing w:val="1"/>
          <w:kern w:val="1"/>
          <w:lang w:val="es-ES" w:eastAsia="hi-IN" w:bidi="hi-IN"/>
        </w:rPr>
      </w:pPr>
    </w:p>
    <w:p w14:paraId="1E30EA7B" w14:textId="77777777" w:rsidR="0073171D" w:rsidRPr="0073171D" w:rsidRDefault="0073171D" w:rsidP="0073171D">
      <w:pPr>
        <w:widowControl w:val="0"/>
        <w:tabs>
          <w:tab w:val="decimal" w:pos="720"/>
        </w:tabs>
        <w:suppressAutoHyphens/>
        <w:spacing w:after="0" w:line="276" w:lineRule="auto"/>
        <w:jc w:val="both"/>
        <w:rPr>
          <w:rFonts w:ascii="Arial" w:hAnsi="Arial" w:cs="Arial"/>
          <w:color w:val="000000"/>
          <w:spacing w:val="1"/>
          <w:kern w:val="1"/>
          <w:lang w:val="es-ES" w:eastAsia="hi-IN" w:bidi="hi-IN"/>
        </w:rPr>
      </w:pPr>
      <w:r w:rsidRPr="0073171D">
        <w:rPr>
          <w:rFonts w:ascii="Arial" w:hAnsi="Arial" w:cs="Arial"/>
          <w:i/>
          <w:iCs/>
          <w:color w:val="000000"/>
          <w:spacing w:val="1"/>
          <w:kern w:val="1"/>
          <w:lang w:val="es-ES" w:eastAsia="hi-IN" w:bidi="hi-IN"/>
        </w:rPr>
        <w:t xml:space="preserve">Nivelul de serviciu </w:t>
      </w:r>
      <w:r w:rsidRPr="0073171D">
        <w:rPr>
          <w:rFonts w:ascii="Arial" w:hAnsi="Arial" w:cs="Arial"/>
          <w:i/>
          <w:iCs/>
          <w:color w:val="000000"/>
          <w:spacing w:val="1"/>
          <w:w w:val="105"/>
          <w:kern w:val="1"/>
          <w:lang w:val="es-ES" w:eastAsia="hi-IN" w:bidi="hi-IN"/>
        </w:rPr>
        <w:t xml:space="preserve">E </w:t>
      </w:r>
      <w:r w:rsidRPr="0073171D">
        <w:rPr>
          <w:rFonts w:ascii="Arial" w:hAnsi="Arial" w:cs="Arial"/>
          <w:color w:val="000000"/>
          <w:spacing w:val="1"/>
          <w:kern w:val="1"/>
          <w:lang w:val="es-ES" w:eastAsia="hi-IN" w:bidi="hi-IN"/>
        </w:rPr>
        <w:t xml:space="preserve">descrie funcţionări cu întârzieri în domeniul 55,1 până la 80,0 secunde. Aceasta se consideră a fi limita întârzierii acceptabile. Aceste </w:t>
      </w:r>
      <w:r w:rsidRPr="0073171D">
        <w:rPr>
          <w:rFonts w:ascii="Arial" w:hAnsi="Arial" w:cs="Arial"/>
          <w:color w:val="000000"/>
          <w:spacing w:val="-1"/>
          <w:kern w:val="1"/>
          <w:lang w:val="es-ES" w:eastAsia="hi-IN" w:bidi="hi-IN"/>
        </w:rPr>
        <w:t xml:space="preserve">valori mari indică în general o progresie lentă, durate de ciclu mari, şi valori mari ale gradului de saturare. Se produc frecvent </w:t>
      </w:r>
      <w:r w:rsidRPr="0073171D">
        <w:rPr>
          <w:rFonts w:ascii="Arial" w:hAnsi="Arial" w:cs="Arial"/>
          <w:color w:val="000000"/>
          <w:spacing w:val="-1"/>
          <w:kern w:val="1"/>
          <w:lang w:val="es-ES" w:eastAsia="hi-IN" w:bidi="hi-IN"/>
        </w:rPr>
        <w:lastRenderedPageBreak/>
        <w:t>eşecuri ale ciclurilor individuale.</w:t>
      </w:r>
    </w:p>
    <w:p w14:paraId="55A028A7" w14:textId="77777777" w:rsidR="0073171D" w:rsidRPr="0073171D" w:rsidRDefault="0073171D" w:rsidP="0073171D">
      <w:pPr>
        <w:widowControl w:val="0"/>
        <w:suppressAutoHyphens/>
        <w:spacing w:after="0" w:line="276" w:lineRule="auto"/>
        <w:jc w:val="both"/>
        <w:rPr>
          <w:rFonts w:ascii="Arial" w:hAnsi="Arial" w:cs="Arial"/>
          <w:i/>
          <w:iCs/>
          <w:color w:val="000000"/>
          <w:spacing w:val="-3"/>
          <w:kern w:val="1"/>
          <w:lang w:val="es-ES" w:eastAsia="hi-IN" w:bidi="hi-IN"/>
        </w:rPr>
      </w:pPr>
    </w:p>
    <w:p w14:paraId="7C4482CE" w14:textId="77777777" w:rsidR="0073171D" w:rsidRPr="0073171D" w:rsidRDefault="0073171D" w:rsidP="0073171D">
      <w:pPr>
        <w:widowControl w:val="0"/>
        <w:suppressAutoHyphens/>
        <w:spacing w:after="0" w:line="276" w:lineRule="auto"/>
        <w:jc w:val="both"/>
        <w:rPr>
          <w:rFonts w:ascii="Arial" w:hAnsi="Arial" w:cs="Arial"/>
          <w:color w:val="000000"/>
          <w:spacing w:val="-1"/>
          <w:kern w:val="1"/>
          <w:lang w:val="es-ES" w:eastAsia="hi-IN" w:bidi="hi-IN"/>
        </w:rPr>
      </w:pPr>
      <w:r w:rsidRPr="0073171D">
        <w:rPr>
          <w:rFonts w:ascii="Arial" w:hAnsi="Arial" w:cs="Arial"/>
          <w:i/>
          <w:iCs/>
          <w:color w:val="000000"/>
          <w:spacing w:val="-3"/>
          <w:kern w:val="1"/>
          <w:lang w:val="es-ES" w:eastAsia="hi-IN" w:bidi="hi-IN"/>
        </w:rPr>
        <w:t xml:space="preserve">Nivelul de serviciu F </w:t>
      </w:r>
      <w:r w:rsidRPr="0073171D">
        <w:rPr>
          <w:rFonts w:ascii="Arial" w:hAnsi="Arial" w:cs="Arial"/>
          <w:color w:val="000000"/>
          <w:spacing w:val="-3"/>
          <w:kern w:val="1"/>
          <w:lang w:val="es-ES" w:eastAsia="hi-IN" w:bidi="hi-IN"/>
        </w:rPr>
        <w:t xml:space="preserve">descrie funcţionări cu întârzieri depăşind 80,0 secunde pe </w:t>
      </w:r>
      <w:r w:rsidRPr="0073171D">
        <w:rPr>
          <w:rFonts w:ascii="Arial" w:hAnsi="Arial" w:cs="Arial"/>
          <w:color w:val="000000"/>
          <w:kern w:val="1"/>
          <w:lang w:val="es-ES" w:eastAsia="hi-IN" w:bidi="hi-IN"/>
        </w:rPr>
        <w:t xml:space="preserve">vehicul, lucru considerat a fi inacceptabil pentru cei mai mulţi şoferi. Această </w:t>
      </w:r>
      <w:r w:rsidRPr="0073171D">
        <w:rPr>
          <w:rFonts w:ascii="Arial" w:hAnsi="Arial" w:cs="Arial"/>
          <w:color w:val="000000"/>
          <w:spacing w:val="1"/>
          <w:kern w:val="1"/>
          <w:lang w:val="es-ES" w:eastAsia="hi-IN" w:bidi="hi-IN"/>
        </w:rPr>
        <w:t xml:space="preserve">condiţie se produce la suprasaturare, atunci când fluxurile sosite depăşesc </w:t>
      </w:r>
      <w:r w:rsidRPr="0073171D">
        <w:rPr>
          <w:rFonts w:ascii="Arial" w:hAnsi="Arial" w:cs="Arial"/>
          <w:color w:val="000000"/>
          <w:spacing w:val="-1"/>
          <w:kern w:val="1"/>
          <w:lang w:val="es-ES" w:eastAsia="hi-IN" w:bidi="hi-IN"/>
        </w:rPr>
        <w:t>capacitatea intersecţiei. De asemenea, pot să apară grade de saturare peste 1,00 cu multe eşecuri ale ciclurilor individuale. Progresia proastă şi duratele lungi de ciclu pot avea o contribuţie majoră la apariţia întârzierilor de acest nivel.</w:t>
      </w:r>
    </w:p>
    <w:p w14:paraId="6B5B0781" w14:textId="77777777" w:rsidR="0073171D" w:rsidRPr="0073171D" w:rsidRDefault="0073171D" w:rsidP="0073171D">
      <w:pPr>
        <w:widowControl w:val="0"/>
        <w:suppressAutoHyphens/>
        <w:spacing w:after="0" w:line="276" w:lineRule="auto"/>
        <w:jc w:val="both"/>
        <w:rPr>
          <w:rFonts w:ascii="Arial" w:hAnsi="Arial" w:cs="Arial"/>
          <w:kern w:val="1"/>
          <w:lang w:val="ro-RO" w:eastAsia="hi-IN" w:bidi="hi-IN"/>
        </w:rPr>
      </w:pPr>
      <w:r w:rsidRPr="0073171D">
        <w:rPr>
          <w:rFonts w:ascii="Arial" w:hAnsi="Arial" w:cs="Arial"/>
          <w:kern w:val="1"/>
          <w:lang w:val="ro-RO" w:eastAsia="hi-IN" w:bidi="hi-IN"/>
        </w:rPr>
        <w:t>Capacitatea de circulatie reprezintă numărul maxim de vehicule care pot trece într-o unitate de timp printr-o secțiune de drum pe o banda de circulație și depinde în principal de următorii factori:</w:t>
      </w:r>
    </w:p>
    <w:p w14:paraId="1E3BC4A5" w14:textId="77777777" w:rsidR="0073171D" w:rsidRPr="0073171D" w:rsidRDefault="0073171D" w:rsidP="0073171D">
      <w:pPr>
        <w:widowControl w:val="0"/>
        <w:numPr>
          <w:ilvl w:val="0"/>
          <w:numId w:val="112"/>
        </w:numPr>
        <w:suppressAutoHyphens/>
        <w:spacing w:after="0" w:line="276" w:lineRule="auto"/>
        <w:jc w:val="both"/>
        <w:rPr>
          <w:rFonts w:ascii="Arial" w:hAnsi="Arial" w:cs="Arial"/>
          <w:kern w:val="1"/>
          <w:lang w:val="ro-RO" w:eastAsia="hi-IN" w:bidi="hi-IN"/>
        </w:rPr>
      </w:pPr>
      <w:r w:rsidRPr="0073171D">
        <w:rPr>
          <w:rFonts w:ascii="Arial" w:hAnsi="Arial" w:cs="Arial"/>
          <w:kern w:val="1"/>
          <w:lang w:val="ro-RO" w:eastAsia="hi-IN" w:bidi="hi-IN"/>
        </w:rPr>
        <w:t>elementele geometrice ale drumului, distanța de vizibilitate pentru depășire și viteza de proiectare;</w:t>
      </w:r>
    </w:p>
    <w:p w14:paraId="75F3AD41" w14:textId="77777777" w:rsidR="0073171D" w:rsidRPr="0073171D" w:rsidRDefault="0073171D" w:rsidP="0073171D">
      <w:pPr>
        <w:widowControl w:val="0"/>
        <w:numPr>
          <w:ilvl w:val="0"/>
          <w:numId w:val="112"/>
        </w:numPr>
        <w:suppressAutoHyphens/>
        <w:spacing w:after="0" w:line="276" w:lineRule="auto"/>
        <w:jc w:val="both"/>
        <w:rPr>
          <w:rFonts w:ascii="Arial" w:hAnsi="Arial" w:cs="Arial"/>
          <w:kern w:val="1"/>
          <w:lang w:val="ro-RO" w:eastAsia="hi-IN" w:bidi="hi-IN"/>
        </w:rPr>
      </w:pPr>
      <w:r w:rsidRPr="0073171D">
        <w:rPr>
          <w:rFonts w:ascii="Arial" w:hAnsi="Arial" w:cs="Arial"/>
          <w:kern w:val="1"/>
          <w:lang w:val="ro-RO" w:eastAsia="hi-IN" w:bidi="hi-IN"/>
        </w:rPr>
        <w:t>condițiile de relief;</w:t>
      </w:r>
    </w:p>
    <w:p w14:paraId="204A831D" w14:textId="77777777" w:rsidR="0073171D" w:rsidRPr="0073171D" w:rsidRDefault="0073171D" w:rsidP="0073171D">
      <w:pPr>
        <w:widowControl w:val="0"/>
        <w:numPr>
          <w:ilvl w:val="0"/>
          <w:numId w:val="112"/>
        </w:numPr>
        <w:suppressAutoHyphens/>
        <w:spacing w:after="0" w:line="276" w:lineRule="auto"/>
        <w:jc w:val="both"/>
        <w:rPr>
          <w:rFonts w:ascii="Arial" w:hAnsi="Arial" w:cs="Arial"/>
          <w:kern w:val="1"/>
          <w:lang w:val="ro-RO" w:eastAsia="hi-IN" w:bidi="hi-IN"/>
        </w:rPr>
      </w:pPr>
      <w:r w:rsidRPr="0073171D">
        <w:rPr>
          <w:rFonts w:ascii="Arial" w:hAnsi="Arial" w:cs="Arial"/>
          <w:kern w:val="1"/>
          <w:lang w:val="ro-RO" w:eastAsia="hi-IN" w:bidi="hi-IN"/>
        </w:rPr>
        <w:t>relația debit - viteza pentru categoria de drum respectivă;</w:t>
      </w:r>
    </w:p>
    <w:p w14:paraId="6594A39C" w14:textId="77777777" w:rsidR="0073171D" w:rsidRPr="0073171D" w:rsidRDefault="0073171D" w:rsidP="0073171D">
      <w:pPr>
        <w:widowControl w:val="0"/>
        <w:numPr>
          <w:ilvl w:val="0"/>
          <w:numId w:val="112"/>
        </w:numPr>
        <w:suppressAutoHyphens/>
        <w:spacing w:after="0" w:line="276" w:lineRule="auto"/>
        <w:jc w:val="both"/>
        <w:rPr>
          <w:rFonts w:ascii="Arial" w:hAnsi="Arial" w:cs="Arial"/>
          <w:kern w:val="1"/>
          <w:lang w:val="ro-RO" w:eastAsia="hi-IN" w:bidi="hi-IN"/>
        </w:rPr>
      </w:pPr>
      <w:r w:rsidRPr="0073171D">
        <w:rPr>
          <w:rFonts w:ascii="Arial" w:hAnsi="Arial" w:cs="Arial"/>
          <w:kern w:val="1"/>
          <w:lang w:val="ro-RO" w:eastAsia="hi-IN" w:bidi="hi-IN"/>
        </w:rPr>
        <w:t>lungimea și caracteristicile de circulație ale sectorului de drum în traversarea localităților urbane și rurale.</w:t>
      </w:r>
    </w:p>
    <w:p w14:paraId="12557ABB" w14:textId="77777777" w:rsidR="0073171D" w:rsidRPr="0073171D" w:rsidRDefault="0073171D" w:rsidP="0073171D">
      <w:pPr>
        <w:widowControl w:val="0"/>
        <w:suppressAutoHyphens/>
        <w:spacing w:after="0" w:line="360" w:lineRule="auto"/>
        <w:jc w:val="both"/>
        <w:rPr>
          <w:rFonts w:ascii="Arial" w:hAnsi="Arial" w:cs="Arial"/>
          <w:kern w:val="1"/>
          <w:lang w:val="ro-RO" w:eastAsia="hi-IN" w:bidi="hi-IN"/>
        </w:rPr>
      </w:pPr>
      <w:r w:rsidRPr="0073171D">
        <w:rPr>
          <w:rFonts w:ascii="Arial" w:hAnsi="Arial" w:cs="Arial"/>
          <w:kern w:val="1"/>
          <w:lang w:val="ro-RO" w:eastAsia="hi-IN" w:bidi="hi-IN"/>
        </w:rPr>
        <w:t>Capacitatea de circulație se exprimă în debit orar de vehicule etalon (autoturisme).</w:t>
      </w:r>
    </w:p>
    <w:p w14:paraId="7452105A" w14:textId="77777777" w:rsidR="0073171D" w:rsidRPr="0073171D" w:rsidRDefault="0073171D" w:rsidP="0073171D">
      <w:pPr>
        <w:widowControl w:val="0"/>
        <w:suppressAutoHyphens/>
        <w:spacing w:after="0" w:line="360" w:lineRule="auto"/>
        <w:jc w:val="both"/>
        <w:rPr>
          <w:rFonts w:ascii="Arial" w:hAnsi="Arial" w:cs="Arial"/>
          <w:kern w:val="1"/>
          <w:sz w:val="24"/>
          <w:szCs w:val="24"/>
          <w:lang w:val="ro-RO" w:eastAsia="hi-IN" w:bidi="hi-IN"/>
        </w:rPr>
      </w:pPr>
    </w:p>
    <w:p w14:paraId="0B4A4449" w14:textId="77777777" w:rsidR="0073171D" w:rsidRPr="0073171D" w:rsidRDefault="0073171D" w:rsidP="0073171D">
      <w:pPr>
        <w:widowControl w:val="0"/>
        <w:suppressAutoHyphens/>
        <w:spacing w:after="0" w:line="276" w:lineRule="auto"/>
        <w:jc w:val="both"/>
        <w:rPr>
          <w:rFonts w:ascii="Arial" w:hAnsi="Arial" w:cs="Arial"/>
          <w:kern w:val="1"/>
          <w:lang w:val="ro-RO" w:eastAsia="hi-IN" w:bidi="hi-IN"/>
        </w:rPr>
      </w:pPr>
      <w:r w:rsidRPr="0073171D">
        <w:rPr>
          <w:rFonts w:ascii="Arial" w:hAnsi="Arial" w:cs="Arial"/>
          <w:kern w:val="1"/>
          <w:lang w:val="ro-RO" w:eastAsia="hi-IN" w:bidi="hi-IN"/>
        </w:rPr>
        <w:t>Factorii care influențează capacitatea de circulație, enumerați mai sus în corelație cu intensitatea circulației, determină condițiile de desfășurare a circulației rutiere, respectiv nivelul de serviciu, la un moment dat, al drumului sau sectorului de drum considerat.</w:t>
      </w:r>
    </w:p>
    <w:p w14:paraId="3B2A541A" w14:textId="77777777" w:rsidR="0073171D" w:rsidRPr="0073171D" w:rsidRDefault="0073171D" w:rsidP="0073171D">
      <w:pPr>
        <w:widowControl w:val="0"/>
        <w:suppressAutoHyphens/>
        <w:spacing w:after="0" w:line="360" w:lineRule="auto"/>
        <w:jc w:val="both"/>
        <w:rPr>
          <w:rFonts w:ascii="Arial" w:hAnsi="Arial" w:cs="Arial"/>
          <w:kern w:val="1"/>
          <w:sz w:val="24"/>
          <w:szCs w:val="24"/>
          <w:lang w:val="ro-RO" w:eastAsia="hi-IN" w:bidi="hi-IN"/>
        </w:rPr>
      </w:pPr>
    </w:p>
    <w:p w14:paraId="61E92A08" w14:textId="77777777" w:rsidR="0073171D" w:rsidRPr="0073171D" w:rsidRDefault="0073171D" w:rsidP="0073171D">
      <w:pPr>
        <w:widowControl w:val="0"/>
        <w:suppressAutoHyphens/>
        <w:spacing w:after="0" w:line="276" w:lineRule="auto"/>
        <w:jc w:val="both"/>
        <w:rPr>
          <w:rFonts w:ascii="Arial" w:hAnsi="Arial" w:cs="Arial"/>
          <w:kern w:val="1"/>
          <w:lang w:val="ro-RO" w:eastAsia="hi-IN" w:bidi="hi-IN"/>
        </w:rPr>
      </w:pPr>
      <w:r w:rsidRPr="0073171D">
        <w:rPr>
          <w:rFonts w:ascii="Arial" w:hAnsi="Arial" w:cs="Arial"/>
          <w:kern w:val="1"/>
          <w:lang w:val="ro-RO" w:eastAsia="hi-IN" w:bidi="hi-IN"/>
        </w:rPr>
        <w:t xml:space="preserve">Nivelul de serviciu reprezintă o estimare cantitativă a condițiilor operaționale de desfășurare a traficului exprimate prin viteză de circulație, durata deplasării, confortul și siguranță circulației. În practică se utilizează 6 niveluri de serviciu notate cu litere de la A la F. </w:t>
      </w:r>
    </w:p>
    <w:p w14:paraId="48FE64C6" w14:textId="77777777" w:rsidR="0073171D" w:rsidRPr="0073171D" w:rsidRDefault="0073171D" w:rsidP="0073171D">
      <w:pPr>
        <w:widowControl w:val="0"/>
        <w:suppressAutoHyphens/>
        <w:spacing w:after="0" w:line="360" w:lineRule="auto"/>
        <w:rPr>
          <w:rFonts w:ascii="Arial" w:hAnsi="Arial" w:cs="Mangal"/>
          <w:i/>
          <w:kern w:val="1"/>
          <w:sz w:val="20"/>
          <w:szCs w:val="24"/>
          <w:lang w:val="es-ES" w:eastAsia="hi-IN" w:bidi="hi-IN"/>
        </w:rPr>
      </w:pPr>
    </w:p>
    <w:p w14:paraId="626CE109" w14:textId="62CC1ACE" w:rsidR="0073171D" w:rsidRPr="0073171D" w:rsidRDefault="00337AAA" w:rsidP="00337AAA">
      <w:pPr>
        <w:pStyle w:val="Legend"/>
        <w:jc w:val="center"/>
        <w:rPr>
          <w:rFonts w:ascii="Arial" w:hAnsi="Arial" w:cs="Arial"/>
          <w:i w:val="0"/>
          <w:iCs w:val="0"/>
          <w:color w:val="1F497D"/>
          <w:kern w:val="1"/>
          <w:sz w:val="22"/>
          <w:szCs w:val="22"/>
          <w:lang w:val="es-ES" w:eastAsia="hi-IN" w:bidi="hi-IN"/>
        </w:rPr>
      </w:pPr>
      <w:bookmarkStart w:id="333" w:name="_Toc68361247"/>
      <w:bookmarkStart w:id="334" w:name="_Toc96447413"/>
      <w:r w:rsidRPr="00337AAA">
        <w:rPr>
          <w:rFonts w:ascii="Arial" w:hAnsi="Arial" w:cs="Arial"/>
          <w:sz w:val="22"/>
          <w:szCs w:val="22"/>
        </w:rPr>
        <w:t xml:space="preserve">Tabel I.4. </w:t>
      </w:r>
      <w:r w:rsidRPr="00337AAA">
        <w:rPr>
          <w:rFonts w:ascii="Arial" w:hAnsi="Arial" w:cs="Arial"/>
          <w:sz w:val="22"/>
          <w:szCs w:val="22"/>
        </w:rPr>
        <w:fldChar w:fldCharType="begin"/>
      </w:r>
      <w:r w:rsidRPr="00337AAA">
        <w:rPr>
          <w:rFonts w:ascii="Arial" w:hAnsi="Arial" w:cs="Arial"/>
          <w:sz w:val="22"/>
          <w:szCs w:val="22"/>
        </w:rPr>
        <w:instrText xml:space="preserve"> SEQ Tabel_I.4. \* ARABIC </w:instrText>
      </w:r>
      <w:r w:rsidRPr="00337AAA">
        <w:rPr>
          <w:rFonts w:ascii="Arial" w:hAnsi="Arial" w:cs="Arial"/>
          <w:sz w:val="22"/>
          <w:szCs w:val="22"/>
        </w:rPr>
        <w:fldChar w:fldCharType="separate"/>
      </w:r>
      <w:r w:rsidR="00BB181C">
        <w:rPr>
          <w:rFonts w:ascii="Arial" w:hAnsi="Arial" w:cs="Arial"/>
          <w:noProof/>
          <w:sz w:val="22"/>
          <w:szCs w:val="22"/>
        </w:rPr>
        <w:t>3</w:t>
      </w:r>
      <w:r w:rsidRPr="00337AAA">
        <w:rPr>
          <w:rFonts w:ascii="Arial" w:hAnsi="Arial" w:cs="Arial"/>
          <w:sz w:val="22"/>
          <w:szCs w:val="22"/>
        </w:rPr>
        <w:fldChar w:fldCharType="end"/>
      </w:r>
      <w:r w:rsidRPr="00337AAA">
        <w:rPr>
          <w:rFonts w:ascii="Arial" w:hAnsi="Arial" w:cs="Arial"/>
          <w:sz w:val="22"/>
          <w:szCs w:val="22"/>
        </w:rPr>
        <w:t xml:space="preserve"> </w:t>
      </w:r>
      <w:bookmarkEnd w:id="333"/>
      <w:r w:rsidR="00E731FF">
        <w:rPr>
          <w:rFonts w:ascii="Arial" w:hAnsi="Arial" w:cs="Arial"/>
          <w:sz w:val="22"/>
          <w:szCs w:val="22"/>
        </w:rPr>
        <w:t xml:space="preserve">- </w:t>
      </w:r>
      <w:r w:rsidR="00E731FF" w:rsidRPr="00E731FF">
        <w:rPr>
          <w:rFonts w:ascii="Arial" w:hAnsi="Arial" w:cs="Arial"/>
          <w:i w:val="0"/>
          <w:iCs w:val="0"/>
          <w:sz w:val="22"/>
          <w:szCs w:val="22"/>
        </w:rPr>
        <w:t>Întârzierile și nivelurile de serviciu înregistrate în intersecțiile studiate–2021 AM</w:t>
      </w:r>
      <w:bookmarkEnd w:id="334"/>
    </w:p>
    <w:tbl>
      <w:tblPr>
        <w:tblW w:w="9897" w:type="dxa"/>
        <w:tblLook w:val="04A0" w:firstRow="1" w:lastRow="0" w:firstColumn="1" w:lastColumn="0" w:noHBand="0" w:noVBand="1"/>
      </w:tblPr>
      <w:tblGrid>
        <w:gridCol w:w="483"/>
        <w:gridCol w:w="661"/>
        <w:gridCol w:w="2825"/>
        <w:gridCol w:w="1560"/>
        <w:gridCol w:w="1050"/>
        <w:gridCol w:w="1134"/>
        <w:gridCol w:w="1050"/>
        <w:gridCol w:w="1192"/>
      </w:tblGrid>
      <w:tr w:rsidR="00E731FF" w:rsidRPr="00E731FF" w14:paraId="1E80C49A" w14:textId="77777777" w:rsidTr="00F657B5">
        <w:trPr>
          <w:trHeight w:val="490"/>
          <w:tblHeader/>
        </w:trPr>
        <w:tc>
          <w:tcPr>
            <w:tcW w:w="483"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24A2F97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Nr.</w:t>
            </w:r>
          </w:p>
        </w:tc>
        <w:tc>
          <w:tcPr>
            <w:tcW w:w="661"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1B48943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ID</w:t>
            </w:r>
          </w:p>
        </w:tc>
        <w:tc>
          <w:tcPr>
            <w:tcW w:w="2825"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4A6A908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Intersectie</w:t>
            </w:r>
          </w:p>
        </w:tc>
        <w:tc>
          <w:tcPr>
            <w:tcW w:w="1560"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7536FAEE"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Tip Control intersecţie</w:t>
            </w:r>
          </w:p>
        </w:tc>
        <w:tc>
          <w:tcPr>
            <w:tcW w:w="992"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59457AA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Întârziere medie (s)</w:t>
            </w:r>
          </w:p>
        </w:tc>
        <w:tc>
          <w:tcPr>
            <w:tcW w:w="113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597EBAEC"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Nivelul de serviciu mediu (LOS)</w:t>
            </w:r>
          </w:p>
        </w:tc>
        <w:tc>
          <w:tcPr>
            <w:tcW w:w="1050"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6DD5C54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Întârziere maxima (s)</w:t>
            </w:r>
          </w:p>
        </w:tc>
        <w:tc>
          <w:tcPr>
            <w:tcW w:w="1192"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3CFF057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Nivelul de serviciu maxim (LOS)</w:t>
            </w:r>
          </w:p>
        </w:tc>
      </w:tr>
      <w:tr w:rsidR="00E731FF" w:rsidRPr="00E731FF" w14:paraId="117A1FFE" w14:textId="77777777" w:rsidTr="00CE76B6">
        <w:trPr>
          <w:trHeight w:val="250"/>
        </w:trPr>
        <w:tc>
          <w:tcPr>
            <w:tcW w:w="483" w:type="dxa"/>
            <w:tcBorders>
              <w:top w:val="single" w:sz="4" w:space="0" w:color="auto"/>
              <w:left w:val="single" w:sz="4" w:space="0" w:color="C0C0C0"/>
              <w:bottom w:val="single" w:sz="4" w:space="0" w:color="C0C0C0"/>
              <w:right w:val="nil"/>
            </w:tcBorders>
            <w:shd w:val="clear" w:color="000000" w:fill="CCFFFF"/>
            <w:noWrap/>
            <w:vAlign w:val="center"/>
            <w:hideMark/>
          </w:tcPr>
          <w:p w14:paraId="4D0307C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w:t>
            </w:r>
          </w:p>
        </w:tc>
        <w:tc>
          <w:tcPr>
            <w:tcW w:w="661" w:type="dxa"/>
            <w:tcBorders>
              <w:top w:val="single" w:sz="4" w:space="0" w:color="auto"/>
              <w:left w:val="single" w:sz="4" w:space="0" w:color="C0C0C0"/>
              <w:bottom w:val="single" w:sz="4" w:space="0" w:color="C0C0C0"/>
              <w:right w:val="single" w:sz="4" w:space="0" w:color="C0C0C0"/>
            </w:tcBorders>
            <w:shd w:val="clear" w:color="000000" w:fill="CCFFFF"/>
            <w:noWrap/>
            <w:vAlign w:val="center"/>
            <w:hideMark/>
          </w:tcPr>
          <w:p w14:paraId="084E7A9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64</w:t>
            </w:r>
          </w:p>
        </w:tc>
        <w:tc>
          <w:tcPr>
            <w:tcW w:w="2825" w:type="dxa"/>
            <w:tcBorders>
              <w:top w:val="single" w:sz="4" w:space="0" w:color="auto"/>
              <w:left w:val="nil"/>
              <w:bottom w:val="single" w:sz="4" w:space="0" w:color="C0C0C0"/>
              <w:right w:val="nil"/>
            </w:tcBorders>
            <w:shd w:val="clear" w:color="000000" w:fill="CCFFFF"/>
            <w:noWrap/>
            <w:vAlign w:val="center"/>
            <w:hideMark/>
          </w:tcPr>
          <w:p w14:paraId="45C0F0A1"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DN 67 – DJ 665 (str. Iancu Jianu)</w:t>
            </w:r>
          </w:p>
        </w:tc>
        <w:tc>
          <w:tcPr>
            <w:tcW w:w="1560" w:type="dxa"/>
            <w:tcBorders>
              <w:top w:val="single" w:sz="4" w:space="0" w:color="auto"/>
              <w:left w:val="single" w:sz="4" w:space="0" w:color="C0C0C0"/>
              <w:bottom w:val="single" w:sz="4" w:space="0" w:color="C0C0C0"/>
              <w:right w:val="nil"/>
            </w:tcBorders>
            <w:shd w:val="clear" w:color="000000" w:fill="CCFFFF"/>
            <w:noWrap/>
            <w:vAlign w:val="center"/>
            <w:hideMark/>
          </w:tcPr>
          <w:p w14:paraId="15DC362B"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Stop pe doua directii</w:t>
            </w:r>
          </w:p>
        </w:tc>
        <w:tc>
          <w:tcPr>
            <w:tcW w:w="992" w:type="dxa"/>
            <w:tcBorders>
              <w:top w:val="single" w:sz="4" w:space="0" w:color="auto"/>
              <w:left w:val="single" w:sz="4" w:space="0" w:color="C0C0C0"/>
              <w:bottom w:val="single" w:sz="4" w:space="0" w:color="C0C0C0"/>
              <w:right w:val="single" w:sz="4" w:space="0" w:color="C0C0C0"/>
            </w:tcBorders>
            <w:shd w:val="clear" w:color="000000" w:fill="CCFFFF"/>
            <w:noWrap/>
            <w:vAlign w:val="center"/>
            <w:hideMark/>
          </w:tcPr>
          <w:p w14:paraId="3C16D5C1"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1,56</w:t>
            </w:r>
          </w:p>
        </w:tc>
        <w:tc>
          <w:tcPr>
            <w:tcW w:w="1134" w:type="dxa"/>
            <w:tcBorders>
              <w:top w:val="single" w:sz="4" w:space="0" w:color="auto"/>
              <w:left w:val="nil"/>
              <w:bottom w:val="single" w:sz="4" w:space="0" w:color="C0C0C0"/>
              <w:right w:val="single" w:sz="4" w:space="0" w:color="C0C0C0"/>
            </w:tcBorders>
            <w:shd w:val="clear" w:color="000000" w:fill="CCFFFF"/>
            <w:noWrap/>
            <w:vAlign w:val="center"/>
            <w:hideMark/>
          </w:tcPr>
          <w:p w14:paraId="5313278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auto"/>
              <w:left w:val="nil"/>
              <w:bottom w:val="single" w:sz="4" w:space="0" w:color="C0C0C0"/>
              <w:right w:val="single" w:sz="4" w:space="0" w:color="C0C0C0"/>
            </w:tcBorders>
            <w:shd w:val="clear" w:color="000000" w:fill="CCFFFF"/>
            <w:noWrap/>
            <w:vAlign w:val="center"/>
            <w:hideMark/>
          </w:tcPr>
          <w:p w14:paraId="20E12F4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13,00</w:t>
            </w:r>
          </w:p>
        </w:tc>
        <w:tc>
          <w:tcPr>
            <w:tcW w:w="1192" w:type="dxa"/>
            <w:tcBorders>
              <w:top w:val="single" w:sz="4" w:space="0" w:color="auto"/>
              <w:left w:val="nil"/>
              <w:bottom w:val="single" w:sz="4" w:space="0" w:color="C0C0C0"/>
              <w:right w:val="single" w:sz="4" w:space="0" w:color="C0C0C0"/>
            </w:tcBorders>
            <w:shd w:val="clear" w:color="000000" w:fill="CCFFFF"/>
            <w:noWrap/>
            <w:vAlign w:val="center"/>
            <w:hideMark/>
          </w:tcPr>
          <w:p w14:paraId="79DF959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B</w:t>
            </w:r>
          </w:p>
        </w:tc>
      </w:tr>
      <w:tr w:rsidR="00E731FF" w:rsidRPr="00E731FF" w14:paraId="5C5E65A1" w14:textId="77777777" w:rsidTr="00CE76B6">
        <w:trPr>
          <w:trHeight w:val="250"/>
        </w:trPr>
        <w:tc>
          <w:tcPr>
            <w:tcW w:w="483" w:type="dxa"/>
            <w:tcBorders>
              <w:top w:val="nil"/>
              <w:left w:val="single" w:sz="4" w:space="0" w:color="C0C0C0"/>
              <w:bottom w:val="single" w:sz="4" w:space="0" w:color="C0C0C0"/>
              <w:right w:val="nil"/>
            </w:tcBorders>
            <w:shd w:val="clear" w:color="000000" w:fill="FFFFCC"/>
            <w:noWrap/>
            <w:vAlign w:val="center"/>
            <w:hideMark/>
          </w:tcPr>
          <w:p w14:paraId="152A02DB"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07BC4C27"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69</w:t>
            </w:r>
          </w:p>
        </w:tc>
        <w:tc>
          <w:tcPr>
            <w:tcW w:w="2825" w:type="dxa"/>
            <w:tcBorders>
              <w:top w:val="nil"/>
              <w:left w:val="nil"/>
              <w:bottom w:val="single" w:sz="4" w:space="0" w:color="C0C0C0"/>
              <w:right w:val="nil"/>
            </w:tcBorders>
            <w:shd w:val="clear" w:color="000000" w:fill="FFFFCC"/>
            <w:noWrap/>
            <w:vAlign w:val="center"/>
            <w:hideMark/>
          </w:tcPr>
          <w:p w14:paraId="5DC2174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DN67 - str. Anton Pann</w:t>
            </w:r>
          </w:p>
        </w:tc>
        <w:tc>
          <w:tcPr>
            <w:tcW w:w="1560" w:type="dxa"/>
            <w:tcBorders>
              <w:top w:val="nil"/>
              <w:left w:val="single" w:sz="4" w:space="0" w:color="C0C0C0"/>
              <w:bottom w:val="single" w:sz="4" w:space="0" w:color="C0C0C0"/>
              <w:right w:val="nil"/>
            </w:tcBorders>
            <w:shd w:val="clear" w:color="000000" w:fill="FFFFCC"/>
            <w:noWrap/>
            <w:vAlign w:val="center"/>
            <w:hideMark/>
          </w:tcPr>
          <w:p w14:paraId="7A0512CE"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2FAF524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0,34</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73F39DB1"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FFFFCC"/>
            <w:noWrap/>
            <w:vAlign w:val="center"/>
            <w:hideMark/>
          </w:tcPr>
          <w:p w14:paraId="63F588D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4,46</w:t>
            </w:r>
          </w:p>
        </w:tc>
        <w:tc>
          <w:tcPr>
            <w:tcW w:w="1192" w:type="dxa"/>
            <w:tcBorders>
              <w:top w:val="single" w:sz="4" w:space="0" w:color="C0C0C0"/>
              <w:left w:val="nil"/>
              <w:bottom w:val="single" w:sz="4" w:space="0" w:color="C0C0C0"/>
              <w:right w:val="single" w:sz="4" w:space="0" w:color="C0C0C0"/>
            </w:tcBorders>
            <w:shd w:val="clear" w:color="000000" w:fill="FFFFCC"/>
            <w:noWrap/>
            <w:vAlign w:val="center"/>
            <w:hideMark/>
          </w:tcPr>
          <w:p w14:paraId="5D8F453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r w:rsidR="00E731FF" w:rsidRPr="00E731FF" w14:paraId="05B840C6" w14:textId="77777777" w:rsidTr="00CE76B6">
        <w:trPr>
          <w:trHeight w:val="250"/>
        </w:trPr>
        <w:tc>
          <w:tcPr>
            <w:tcW w:w="483" w:type="dxa"/>
            <w:tcBorders>
              <w:top w:val="nil"/>
              <w:left w:val="single" w:sz="4" w:space="0" w:color="C0C0C0"/>
              <w:bottom w:val="single" w:sz="4" w:space="0" w:color="C0C0C0"/>
              <w:right w:val="nil"/>
            </w:tcBorders>
            <w:shd w:val="clear" w:color="000000" w:fill="CCFFFF"/>
            <w:noWrap/>
            <w:vAlign w:val="center"/>
            <w:hideMark/>
          </w:tcPr>
          <w:p w14:paraId="2C6DC2DB"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3</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09D91E9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75</w:t>
            </w:r>
          </w:p>
        </w:tc>
        <w:tc>
          <w:tcPr>
            <w:tcW w:w="2825" w:type="dxa"/>
            <w:tcBorders>
              <w:top w:val="nil"/>
              <w:left w:val="nil"/>
              <w:bottom w:val="single" w:sz="4" w:space="0" w:color="C0C0C0"/>
              <w:right w:val="nil"/>
            </w:tcBorders>
            <w:shd w:val="clear" w:color="000000" w:fill="CCFFFF"/>
            <w:noWrap/>
            <w:vAlign w:val="center"/>
            <w:hideMark/>
          </w:tcPr>
          <w:p w14:paraId="6976F77E"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DN67 - str. Eroilor</w:t>
            </w:r>
          </w:p>
        </w:tc>
        <w:tc>
          <w:tcPr>
            <w:tcW w:w="1560" w:type="dxa"/>
            <w:tcBorders>
              <w:top w:val="nil"/>
              <w:left w:val="single" w:sz="4" w:space="0" w:color="C0C0C0"/>
              <w:bottom w:val="single" w:sz="4" w:space="0" w:color="C0C0C0"/>
              <w:right w:val="nil"/>
            </w:tcBorders>
            <w:shd w:val="clear" w:color="000000" w:fill="CCFFFF"/>
            <w:noWrap/>
            <w:vAlign w:val="center"/>
            <w:hideMark/>
          </w:tcPr>
          <w:p w14:paraId="140193EA"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Stop pe doua directii</w:t>
            </w:r>
          </w:p>
        </w:tc>
        <w:tc>
          <w:tcPr>
            <w:tcW w:w="992"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1B94242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1,30</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1D3B526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CCFFFF"/>
            <w:noWrap/>
            <w:vAlign w:val="center"/>
            <w:hideMark/>
          </w:tcPr>
          <w:p w14:paraId="07D4B3F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12,53</w:t>
            </w:r>
          </w:p>
        </w:tc>
        <w:tc>
          <w:tcPr>
            <w:tcW w:w="1192" w:type="dxa"/>
            <w:tcBorders>
              <w:top w:val="single" w:sz="4" w:space="0" w:color="C0C0C0"/>
              <w:left w:val="nil"/>
              <w:bottom w:val="single" w:sz="4" w:space="0" w:color="C0C0C0"/>
              <w:right w:val="single" w:sz="4" w:space="0" w:color="C0C0C0"/>
            </w:tcBorders>
            <w:shd w:val="clear" w:color="000000" w:fill="CCFFFF"/>
            <w:noWrap/>
            <w:vAlign w:val="center"/>
            <w:hideMark/>
          </w:tcPr>
          <w:p w14:paraId="0608412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B</w:t>
            </w:r>
          </w:p>
        </w:tc>
      </w:tr>
      <w:tr w:rsidR="00E731FF" w:rsidRPr="00E731FF" w14:paraId="51C0C037" w14:textId="77777777" w:rsidTr="00CE76B6">
        <w:trPr>
          <w:trHeight w:val="250"/>
        </w:trPr>
        <w:tc>
          <w:tcPr>
            <w:tcW w:w="483" w:type="dxa"/>
            <w:tcBorders>
              <w:top w:val="nil"/>
              <w:left w:val="single" w:sz="4" w:space="0" w:color="C0C0C0"/>
              <w:bottom w:val="single" w:sz="4" w:space="0" w:color="C0C0C0"/>
              <w:right w:val="nil"/>
            </w:tcBorders>
            <w:shd w:val="clear" w:color="000000" w:fill="FFFFCC"/>
            <w:noWrap/>
            <w:vAlign w:val="center"/>
            <w:hideMark/>
          </w:tcPr>
          <w:p w14:paraId="0899A9F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4</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0A1A783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84</w:t>
            </w:r>
          </w:p>
        </w:tc>
        <w:tc>
          <w:tcPr>
            <w:tcW w:w="2825" w:type="dxa"/>
            <w:tcBorders>
              <w:top w:val="nil"/>
              <w:left w:val="nil"/>
              <w:bottom w:val="single" w:sz="4" w:space="0" w:color="C0C0C0"/>
              <w:right w:val="nil"/>
            </w:tcBorders>
            <w:shd w:val="clear" w:color="000000" w:fill="FFFFCC"/>
            <w:noWrap/>
            <w:vAlign w:val="center"/>
            <w:hideMark/>
          </w:tcPr>
          <w:p w14:paraId="3482D01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DC143 - str. Nicolae Iorga</w:t>
            </w:r>
          </w:p>
        </w:tc>
        <w:tc>
          <w:tcPr>
            <w:tcW w:w="1560" w:type="dxa"/>
            <w:tcBorders>
              <w:top w:val="nil"/>
              <w:left w:val="single" w:sz="4" w:space="0" w:color="C0C0C0"/>
              <w:bottom w:val="single" w:sz="4" w:space="0" w:color="C0C0C0"/>
              <w:right w:val="nil"/>
            </w:tcBorders>
            <w:shd w:val="clear" w:color="000000" w:fill="FFFFCC"/>
            <w:noWrap/>
            <w:vAlign w:val="center"/>
            <w:hideMark/>
          </w:tcPr>
          <w:p w14:paraId="1976C53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7C78E9A1"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0,11</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45A7C21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FFFFCC"/>
            <w:noWrap/>
            <w:vAlign w:val="center"/>
            <w:hideMark/>
          </w:tcPr>
          <w:p w14:paraId="4FCDEF41"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5,23</w:t>
            </w:r>
          </w:p>
        </w:tc>
        <w:tc>
          <w:tcPr>
            <w:tcW w:w="1192" w:type="dxa"/>
            <w:tcBorders>
              <w:top w:val="single" w:sz="4" w:space="0" w:color="C0C0C0"/>
              <w:left w:val="nil"/>
              <w:bottom w:val="single" w:sz="4" w:space="0" w:color="C0C0C0"/>
              <w:right w:val="single" w:sz="4" w:space="0" w:color="C0C0C0"/>
            </w:tcBorders>
            <w:shd w:val="clear" w:color="000000" w:fill="FFFFCC"/>
            <w:noWrap/>
            <w:vAlign w:val="center"/>
            <w:hideMark/>
          </w:tcPr>
          <w:p w14:paraId="2A6076F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r w:rsidR="00E731FF" w:rsidRPr="00E731FF" w14:paraId="769A2070" w14:textId="77777777" w:rsidTr="00CE76B6">
        <w:trPr>
          <w:trHeight w:val="250"/>
        </w:trPr>
        <w:tc>
          <w:tcPr>
            <w:tcW w:w="483" w:type="dxa"/>
            <w:tcBorders>
              <w:top w:val="nil"/>
              <w:left w:val="single" w:sz="4" w:space="0" w:color="C0C0C0"/>
              <w:bottom w:val="single" w:sz="4" w:space="0" w:color="C0C0C0"/>
              <w:right w:val="nil"/>
            </w:tcBorders>
            <w:shd w:val="clear" w:color="000000" w:fill="CCFFFF"/>
            <w:noWrap/>
            <w:vAlign w:val="center"/>
            <w:hideMark/>
          </w:tcPr>
          <w:p w14:paraId="6A9AD9B1"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5</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519E41BA"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85</w:t>
            </w:r>
          </w:p>
        </w:tc>
        <w:tc>
          <w:tcPr>
            <w:tcW w:w="2825" w:type="dxa"/>
            <w:tcBorders>
              <w:top w:val="nil"/>
              <w:left w:val="nil"/>
              <w:bottom w:val="single" w:sz="4" w:space="0" w:color="C0C0C0"/>
              <w:right w:val="nil"/>
            </w:tcBorders>
            <w:shd w:val="clear" w:color="000000" w:fill="CCFFFF"/>
            <w:noWrap/>
            <w:vAlign w:val="center"/>
            <w:hideMark/>
          </w:tcPr>
          <w:p w14:paraId="3F4C620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DC 143 – str. Mihai Viteazu</w:t>
            </w:r>
          </w:p>
        </w:tc>
        <w:tc>
          <w:tcPr>
            <w:tcW w:w="1560" w:type="dxa"/>
            <w:tcBorders>
              <w:top w:val="nil"/>
              <w:left w:val="single" w:sz="4" w:space="0" w:color="C0C0C0"/>
              <w:bottom w:val="single" w:sz="4" w:space="0" w:color="C0C0C0"/>
              <w:right w:val="nil"/>
            </w:tcBorders>
            <w:shd w:val="clear" w:color="000000" w:fill="CCFFFF"/>
            <w:noWrap/>
            <w:vAlign w:val="center"/>
            <w:hideMark/>
          </w:tcPr>
          <w:p w14:paraId="705957C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2E89075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1,94</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59EC831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CCFFFF"/>
            <w:noWrap/>
            <w:vAlign w:val="center"/>
            <w:hideMark/>
          </w:tcPr>
          <w:p w14:paraId="616D7F9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4,78</w:t>
            </w:r>
          </w:p>
        </w:tc>
        <w:tc>
          <w:tcPr>
            <w:tcW w:w="1192" w:type="dxa"/>
            <w:tcBorders>
              <w:top w:val="single" w:sz="4" w:space="0" w:color="C0C0C0"/>
              <w:left w:val="nil"/>
              <w:bottom w:val="single" w:sz="4" w:space="0" w:color="C0C0C0"/>
              <w:right w:val="single" w:sz="4" w:space="0" w:color="C0C0C0"/>
            </w:tcBorders>
            <w:shd w:val="clear" w:color="000000" w:fill="CCFFFF"/>
            <w:noWrap/>
            <w:vAlign w:val="center"/>
            <w:hideMark/>
          </w:tcPr>
          <w:p w14:paraId="40C592B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r w:rsidR="00E731FF" w:rsidRPr="00E731FF" w14:paraId="739A9CDA" w14:textId="77777777" w:rsidTr="00CE76B6">
        <w:trPr>
          <w:trHeight w:val="250"/>
        </w:trPr>
        <w:tc>
          <w:tcPr>
            <w:tcW w:w="483" w:type="dxa"/>
            <w:tcBorders>
              <w:top w:val="nil"/>
              <w:left w:val="single" w:sz="4" w:space="0" w:color="C0C0C0"/>
              <w:bottom w:val="single" w:sz="4" w:space="0" w:color="C0C0C0"/>
              <w:right w:val="nil"/>
            </w:tcBorders>
            <w:shd w:val="clear" w:color="000000" w:fill="FFFFCC"/>
            <w:noWrap/>
            <w:vAlign w:val="center"/>
            <w:hideMark/>
          </w:tcPr>
          <w:p w14:paraId="11DB5E1A"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6</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27B5D73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86</w:t>
            </w:r>
          </w:p>
        </w:tc>
        <w:tc>
          <w:tcPr>
            <w:tcW w:w="2825" w:type="dxa"/>
            <w:tcBorders>
              <w:top w:val="nil"/>
              <w:left w:val="nil"/>
              <w:bottom w:val="single" w:sz="4" w:space="0" w:color="C0C0C0"/>
              <w:right w:val="nil"/>
            </w:tcBorders>
            <w:shd w:val="clear" w:color="000000" w:fill="FFFFCC"/>
            <w:noWrap/>
            <w:vAlign w:val="center"/>
            <w:hideMark/>
          </w:tcPr>
          <w:p w14:paraId="060D8B8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DN67 - Str. Căpitan Maldăr</w:t>
            </w:r>
          </w:p>
        </w:tc>
        <w:tc>
          <w:tcPr>
            <w:tcW w:w="1560" w:type="dxa"/>
            <w:tcBorders>
              <w:top w:val="nil"/>
              <w:left w:val="single" w:sz="4" w:space="0" w:color="C0C0C0"/>
              <w:bottom w:val="single" w:sz="4" w:space="0" w:color="C0C0C0"/>
              <w:right w:val="nil"/>
            </w:tcBorders>
            <w:shd w:val="clear" w:color="000000" w:fill="FFFFCC"/>
            <w:noWrap/>
            <w:vAlign w:val="center"/>
            <w:hideMark/>
          </w:tcPr>
          <w:p w14:paraId="50ADB4B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Stop pe doua directii</w:t>
            </w:r>
          </w:p>
        </w:tc>
        <w:tc>
          <w:tcPr>
            <w:tcW w:w="992"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32FBD7E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2,60</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0296B4EE"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FFFFCC"/>
            <w:noWrap/>
            <w:vAlign w:val="center"/>
            <w:hideMark/>
          </w:tcPr>
          <w:p w14:paraId="6AA7B32C"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22,72</w:t>
            </w:r>
          </w:p>
        </w:tc>
        <w:tc>
          <w:tcPr>
            <w:tcW w:w="1192" w:type="dxa"/>
            <w:tcBorders>
              <w:top w:val="single" w:sz="4" w:space="0" w:color="C0C0C0"/>
              <w:left w:val="nil"/>
              <w:bottom w:val="single" w:sz="4" w:space="0" w:color="C0C0C0"/>
              <w:right w:val="single" w:sz="4" w:space="0" w:color="C0C0C0"/>
            </w:tcBorders>
            <w:shd w:val="clear" w:color="000000" w:fill="FFFFCC"/>
            <w:noWrap/>
            <w:vAlign w:val="center"/>
            <w:hideMark/>
          </w:tcPr>
          <w:p w14:paraId="3E919F57"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w:t>
            </w:r>
          </w:p>
        </w:tc>
      </w:tr>
      <w:tr w:rsidR="00E731FF" w:rsidRPr="00E731FF" w14:paraId="7A1A2712" w14:textId="77777777" w:rsidTr="00CE76B6">
        <w:trPr>
          <w:trHeight w:val="250"/>
        </w:trPr>
        <w:tc>
          <w:tcPr>
            <w:tcW w:w="483" w:type="dxa"/>
            <w:tcBorders>
              <w:top w:val="nil"/>
              <w:left w:val="single" w:sz="4" w:space="0" w:color="C0C0C0"/>
              <w:bottom w:val="single" w:sz="4" w:space="0" w:color="C0C0C0"/>
              <w:right w:val="nil"/>
            </w:tcBorders>
            <w:shd w:val="clear" w:color="000000" w:fill="CCFFFF"/>
            <w:noWrap/>
            <w:vAlign w:val="center"/>
            <w:hideMark/>
          </w:tcPr>
          <w:p w14:paraId="0D8045A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7</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0CFC748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88</w:t>
            </w:r>
          </w:p>
        </w:tc>
        <w:tc>
          <w:tcPr>
            <w:tcW w:w="2825" w:type="dxa"/>
            <w:tcBorders>
              <w:top w:val="nil"/>
              <w:left w:val="nil"/>
              <w:bottom w:val="single" w:sz="4" w:space="0" w:color="C0C0C0"/>
              <w:right w:val="nil"/>
            </w:tcBorders>
            <w:shd w:val="clear" w:color="000000" w:fill="CCFFFF"/>
            <w:noWrap/>
            <w:vAlign w:val="center"/>
            <w:hideMark/>
          </w:tcPr>
          <w:p w14:paraId="4C0F319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13 - DC 139 – DN 67 (A)</w:t>
            </w:r>
          </w:p>
        </w:tc>
        <w:tc>
          <w:tcPr>
            <w:tcW w:w="1560" w:type="dxa"/>
            <w:tcBorders>
              <w:top w:val="nil"/>
              <w:left w:val="single" w:sz="4" w:space="0" w:color="C0C0C0"/>
              <w:bottom w:val="single" w:sz="4" w:space="0" w:color="C0C0C0"/>
              <w:right w:val="nil"/>
            </w:tcBorders>
            <w:shd w:val="clear" w:color="000000" w:fill="CCFFFF"/>
            <w:noWrap/>
            <w:vAlign w:val="center"/>
            <w:hideMark/>
          </w:tcPr>
          <w:p w14:paraId="7DEF3451"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Stop pe doua directii</w:t>
            </w:r>
          </w:p>
        </w:tc>
        <w:tc>
          <w:tcPr>
            <w:tcW w:w="992"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5CB6F0EC"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2,82</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7145845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CCFFFF"/>
            <w:noWrap/>
            <w:vAlign w:val="center"/>
            <w:hideMark/>
          </w:tcPr>
          <w:p w14:paraId="12F3126B"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28,94</w:t>
            </w:r>
          </w:p>
        </w:tc>
        <w:tc>
          <w:tcPr>
            <w:tcW w:w="1192" w:type="dxa"/>
            <w:tcBorders>
              <w:top w:val="single" w:sz="4" w:space="0" w:color="C0C0C0"/>
              <w:left w:val="nil"/>
              <w:bottom w:val="single" w:sz="4" w:space="0" w:color="C0C0C0"/>
              <w:right w:val="single" w:sz="4" w:space="0" w:color="C0C0C0"/>
            </w:tcBorders>
            <w:shd w:val="clear" w:color="000000" w:fill="CCFFFF"/>
            <w:noWrap/>
            <w:vAlign w:val="center"/>
            <w:hideMark/>
          </w:tcPr>
          <w:p w14:paraId="12163C7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w:t>
            </w:r>
          </w:p>
        </w:tc>
      </w:tr>
      <w:tr w:rsidR="00E731FF" w:rsidRPr="00E731FF" w14:paraId="6B98C899" w14:textId="77777777" w:rsidTr="00CE76B6">
        <w:trPr>
          <w:trHeight w:val="250"/>
        </w:trPr>
        <w:tc>
          <w:tcPr>
            <w:tcW w:w="483" w:type="dxa"/>
            <w:tcBorders>
              <w:top w:val="nil"/>
              <w:left w:val="single" w:sz="4" w:space="0" w:color="C0C0C0"/>
              <w:bottom w:val="single" w:sz="4" w:space="0" w:color="C0C0C0"/>
              <w:right w:val="nil"/>
            </w:tcBorders>
            <w:shd w:val="clear" w:color="000000" w:fill="FFFFCC"/>
            <w:noWrap/>
            <w:vAlign w:val="center"/>
            <w:hideMark/>
          </w:tcPr>
          <w:p w14:paraId="5859E42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8</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0B93C8A7"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89</w:t>
            </w:r>
          </w:p>
        </w:tc>
        <w:tc>
          <w:tcPr>
            <w:tcW w:w="2825" w:type="dxa"/>
            <w:tcBorders>
              <w:top w:val="nil"/>
              <w:left w:val="nil"/>
              <w:bottom w:val="single" w:sz="4" w:space="0" w:color="C0C0C0"/>
              <w:right w:val="nil"/>
            </w:tcBorders>
            <w:shd w:val="clear" w:color="000000" w:fill="FFFFCC"/>
            <w:noWrap/>
            <w:vAlign w:val="center"/>
            <w:hideMark/>
          </w:tcPr>
          <w:p w14:paraId="3F855F8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13 - DC 139 – DN 67 (B)</w:t>
            </w:r>
          </w:p>
        </w:tc>
        <w:tc>
          <w:tcPr>
            <w:tcW w:w="1560" w:type="dxa"/>
            <w:tcBorders>
              <w:top w:val="nil"/>
              <w:left w:val="single" w:sz="4" w:space="0" w:color="C0C0C0"/>
              <w:bottom w:val="single" w:sz="4" w:space="0" w:color="C0C0C0"/>
              <w:right w:val="nil"/>
            </w:tcBorders>
            <w:shd w:val="clear" w:color="000000" w:fill="FFFFCC"/>
            <w:noWrap/>
            <w:vAlign w:val="center"/>
            <w:hideMark/>
          </w:tcPr>
          <w:p w14:paraId="7AAE5BA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Stop pe doua directii</w:t>
            </w:r>
          </w:p>
        </w:tc>
        <w:tc>
          <w:tcPr>
            <w:tcW w:w="992"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0DFE72C1"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0,52</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7585175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FFFFCC"/>
            <w:noWrap/>
            <w:vAlign w:val="center"/>
            <w:hideMark/>
          </w:tcPr>
          <w:p w14:paraId="0DDE9FBC"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17,33</w:t>
            </w:r>
          </w:p>
        </w:tc>
        <w:tc>
          <w:tcPr>
            <w:tcW w:w="1192" w:type="dxa"/>
            <w:tcBorders>
              <w:top w:val="single" w:sz="4" w:space="0" w:color="C0C0C0"/>
              <w:left w:val="nil"/>
              <w:bottom w:val="single" w:sz="4" w:space="0" w:color="C0C0C0"/>
              <w:right w:val="single" w:sz="4" w:space="0" w:color="C0C0C0"/>
            </w:tcBorders>
            <w:shd w:val="clear" w:color="000000" w:fill="FFFFCC"/>
            <w:noWrap/>
            <w:vAlign w:val="center"/>
            <w:hideMark/>
          </w:tcPr>
          <w:p w14:paraId="30A2AB77"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w:t>
            </w:r>
          </w:p>
        </w:tc>
      </w:tr>
      <w:tr w:rsidR="00E731FF" w:rsidRPr="00E731FF" w14:paraId="7456A216" w14:textId="77777777" w:rsidTr="00CE76B6">
        <w:trPr>
          <w:trHeight w:val="250"/>
        </w:trPr>
        <w:tc>
          <w:tcPr>
            <w:tcW w:w="483" w:type="dxa"/>
            <w:tcBorders>
              <w:top w:val="nil"/>
              <w:left w:val="single" w:sz="4" w:space="0" w:color="C0C0C0"/>
              <w:bottom w:val="single" w:sz="4" w:space="0" w:color="C0C0C0"/>
              <w:right w:val="nil"/>
            </w:tcBorders>
            <w:shd w:val="clear" w:color="000000" w:fill="CCFFFF"/>
            <w:noWrap/>
            <w:vAlign w:val="center"/>
            <w:hideMark/>
          </w:tcPr>
          <w:p w14:paraId="5F5483A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9</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484B7110"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90</w:t>
            </w:r>
          </w:p>
        </w:tc>
        <w:tc>
          <w:tcPr>
            <w:tcW w:w="2825" w:type="dxa"/>
            <w:tcBorders>
              <w:top w:val="nil"/>
              <w:left w:val="nil"/>
              <w:bottom w:val="single" w:sz="4" w:space="0" w:color="C0C0C0"/>
              <w:right w:val="nil"/>
            </w:tcBorders>
            <w:shd w:val="clear" w:color="000000" w:fill="CCFFFF"/>
            <w:noWrap/>
            <w:vAlign w:val="center"/>
            <w:hideMark/>
          </w:tcPr>
          <w:p w14:paraId="113D530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DN67 - Str. Zăvoiului</w:t>
            </w:r>
          </w:p>
        </w:tc>
        <w:tc>
          <w:tcPr>
            <w:tcW w:w="1560" w:type="dxa"/>
            <w:tcBorders>
              <w:top w:val="nil"/>
              <w:left w:val="single" w:sz="4" w:space="0" w:color="C0C0C0"/>
              <w:bottom w:val="single" w:sz="4" w:space="0" w:color="C0C0C0"/>
              <w:right w:val="nil"/>
            </w:tcBorders>
            <w:shd w:val="clear" w:color="000000" w:fill="CCFFFF"/>
            <w:noWrap/>
            <w:vAlign w:val="center"/>
            <w:hideMark/>
          </w:tcPr>
          <w:p w14:paraId="78A6C95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Stop pe doua directii</w:t>
            </w:r>
          </w:p>
        </w:tc>
        <w:tc>
          <w:tcPr>
            <w:tcW w:w="992"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31872FB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1,17</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2A3DD440"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CCFFFF"/>
            <w:noWrap/>
            <w:vAlign w:val="center"/>
            <w:hideMark/>
          </w:tcPr>
          <w:p w14:paraId="2104562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12,96</w:t>
            </w:r>
          </w:p>
        </w:tc>
        <w:tc>
          <w:tcPr>
            <w:tcW w:w="1192" w:type="dxa"/>
            <w:tcBorders>
              <w:top w:val="single" w:sz="4" w:space="0" w:color="C0C0C0"/>
              <w:left w:val="nil"/>
              <w:bottom w:val="single" w:sz="4" w:space="0" w:color="C0C0C0"/>
              <w:right w:val="single" w:sz="4" w:space="0" w:color="C0C0C0"/>
            </w:tcBorders>
            <w:shd w:val="clear" w:color="000000" w:fill="CCFFFF"/>
            <w:noWrap/>
            <w:vAlign w:val="center"/>
            <w:hideMark/>
          </w:tcPr>
          <w:p w14:paraId="3E699A70"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B</w:t>
            </w:r>
          </w:p>
        </w:tc>
      </w:tr>
      <w:tr w:rsidR="00E731FF" w:rsidRPr="00E731FF" w14:paraId="60194191" w14:textId="77777777" w:rsidTr="00CE76B6">
        <w:trPr>
          <w:trHeight w:val="250"/>
        </w:trPr>
        <w:tc>
          <w:tcPr>
            <w:tcW w:w="483" w:type="dxa"/>
            <w:tcBorders>
              <w:top w:val="nil"/>
              <w:left w:val="single" w:sz="4" w:space="0" w:color="C0C0C0"/>
              <w:bottom w:val="single" w:sz="4" w:space="0" w:color="C0C0C0"/>
              <w:right w:val="nil"/>
            </w:tcBorders>
            <w:shd w:val="clear" w:color="000000" w:fill="FFFFCC"/>
            <w:noWrap/>
            <w:vAlign w:val="center"/>
            <w:hideMark/>
          </w:tcPr>
          <w:p w14:paraId="3A95194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10</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04F8B42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91</w:t>
            </w:r>
          </w:p>
        </w:tc>
        <w:tc>
          <w:tcPr>
            <w:tcW w:w="2825" w:type="dxa"/>
            <w:tcBorders>
              <w:top w:val="nil"/>
              <w:left w:val="nil"/>
              <w:bottom w:val="single" w:sz="4" w:space="0" w:color="C0C0C0"/>
              <w:right w:val="nil"/>
            </w:tcBorders>
            <w:shd w:val="clear" w:color="000000" w:fill="FFFFCC"/>
            <w:noWrap/>
            <w:vAlign w:val="center"/>
            <w:hideMark/>
          </w:tcPr>
          <w:p w14:paraId="54242EC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 xml:space="preserve"> DC 142 – str. Matei Basarab</w:t>
            </w:r>
          </w:p>
        </w:tc>
        <w:tc>
          <w:tcPr>
            <w:tcW w:w="1560" w:type="dxa"/>
            <w:tcBorders>
              <w:top w:val="nil"/>
              <w:left w:val="single" w:sz="4" w:space="0" w:color="C0C0C0"/>
              <w:bottom w:val="single" w:sz="4" w:space="0" w:color="C0C0C0"/>
              <w:right w:val="nil"/>
            </w:tcBorders>
            <w:shd w:val="clear" w:color="000000" w:fill="FFFFCC"/>
            <w:noWrap/>
            <w:vAlign w:val="center"/>
            <w:hideMark/>
          </w:tcPr>
          <w:p w14:paraId="0B24919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14F2384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0,43</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2B64ECC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FFFFCC"/>
            <w:noWrap/>
            <w:vAlign w:val="center"/>
            <w:hideMark/>
          </w:tcPr>
          <w:p w14:paraId="59DB8B7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4,25</w:t>
            </w:r>
          </w:p>
        </w:tc>
        <w:tc>
          <w:tcPr>
            <w:tcW w:w="1192" w:type="dxa"/>
            <w:tcBorders>
              <w:top w:val="single" w:sz="4" w:space="0" w:color="C0C0C0"/>
              <w:left w:val="nil"/>
              <w:bottom w:val="single" w:sz="4" w:space="0" w:color="C0C0C0"/>
              <w:right w:val="single" w:sz="4" w:space="0" w:color="C0C0C0"/>
            </w:tcBorders>
            <w:shd w:val="clear" w:color="000000" w:fill="FFFFCC"/>
            <w:noWrap/>
            <w:vAlign w:val="center"/>
            <w:hideMark/>
          </w:tcPr>
          <w:p w14:paraId="56824EE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r w:rsidR="00E731FF" w:rsidRPr="00E731FF" w14:paraId="34506EC8" w14:textId="77777777" w:rsidTr="00CE76B6">
        <w:trPr>
          <w:trHeight w:val="250"/>
        </w:trPr>
        <w:tc>
          <w:tcPr>
            <w:tcW w:w="483" w:type="dxa"/>
            <w:tcBorders>
              <w:top w:val="nil"/>
              <w:left w:val="single" w:sz="4" w:space="0" w:color="C0C0C0"/>
              <w:bottom w:val="single" w:sz="4" w:space="0" w:color="C0C0C0"/>
              <w:right w:val="nil"/>
            </w:tcBorders>
            <w:shd w:val="clear" w:color="000000" w:fill="CCFFFF"/>
            <w:noWrap/>
            <w:vAlign w:val="center"/>
            <w:hideMark/>
          </w:tcPr>
          <w:p w14:paraId="43F52F1E"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lastRenderedPageBreak/>
              <w:t>11</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301D6AC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94</w:t>
            </w:r>
          </w:p>
        </w:tc>
        <w:tc>
          <w:tcPr>
            <w:tcW w:w="2825" w:type="dxa"/>
            <w:tcBorders>
              <w:top w:val="nil"/>
              <w:left w:val="nil"/>
              <w:bottom w:val="single" w:sz="4" w:space="0" w:color="C0C0C0"/>
              <w:right w:val="nil"/>
            </w:tcBorders>
            <w:shd w:val="clear" w:color="000000" w:fill="CCFFFF"/>
            <w:noWrap/>
            <w:vAlign w:val="center"/>
            <w:hideMark/>
          </w:tcPr>
          <w:p w14:paraId="7395A50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DN67 - George Coșbuc</w:t>
            </w:r>
          </w:p>
        </w:tc>
        <w:tc>
          <w:tcPr>
            <w:tcW w:w="1560" w:type="dxa"/>
            <w:tcBorders>
              <w:top w:val="nil"/>
              <w:left w:val="single" w:sz="4" w:space="0" w:color="C0C0C0"/>
              <w:bottom w:val="single" w:sz="4" w:space="0" w:color="C0C0C0"/>
              <w:right w:val="nil"/>
            </w:tcBorders>
            <w:shd w:val="clear" w:color="000000" w:fill="CCFFFF"/>
            <w:noWrap/>
            <w:vAlign w:val="center"/>
            <w:hideMark/>
          </w:tcPr>
          <w:p w14:paraId="4EE84CB0"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Stop pe doua directii</w:t>
            </w:r>
          </w:p>
        </w:tc>
        <w:tc>
          <w:tcPr>
            <w:tcW w:w="992"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40D2EBA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2,29</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76A75F3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CCFFFF"/>
            <w:noWrap/>
            <w:vAlign w:val="center"/>
            <w:hideMark/>
          </w:tcPr>
          <w:p w14:paraId="0DFC193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16,61</w:t>
            </w:r>
          </w:p>
        </w:tc>
        <w:tc>
          <w:tcPr>
            <w:tcW w:w="1192" w:type="dxa"/>
            <w:tcBorders>
              <w:top w:val="single" w:sz="4" w:space="0" w:color="C0C0C0"/>
              <w:left w:val="nil"/>
              <w:bottom w:val="single" w:sz="4" w:space="0" w:color="C0C0C0"/>
              <w:right w:val="single" w:sz="4" w:space="0" w:color="C0C0C0"/>
            </w:tcBorders>
            <w:shd w:val="clear" w:color="000000" w:fill="CCFFFF"/>
            <w:noWrap/>
            <w:vAlign w:val="center"/>
            <w:hideMark/>
          </w:tcPr>
          <w:p w14:paraId="1B5F5BC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w:t>
            </w:r>
          </w:p>
        </w:tc>
      </w:tr>
      <w:tr w:rsidR="00E731FF" w:rsidRPr="00E731FF" w14:paraId="62B4FBD5" w14:textId="77777777" w:rsidTr="00CE76B6">
        <w:trPr>
          <w:trHeight w:val="250"/>
        </w:trPr>
        <w:tc>
          <w:tcPr>
            <w:tcW w:w="483" w:type="dxa"/>
            <w:tcBorders>
              <w:top w:val="nil"/>
              <w:left w:val="single" w:sz="4" w:space="0" w:color="C0C0C0"/>
              <w:bottom w:val="single" w:sz="4" w:space="0" w:color="C0C0C0"/>
              <w:right w:val="nil"/>
            </w:tcBorders>
            <w:shd w:val="clear" w:color="000000" w:fill="FFFFCC"/>
            <w:noWrap/>
            <w:vAlign w:val="center"/>
            <w:hideMark/>
          </w:tcPr>
          <w:p w14:paraId="0CB6BCC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12</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597615FB"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98</w:t>
            </w:r>
          </w:p>
        </w:tc>
        <w:tc>
          <w:tcPr>
            <w:tcW w:w="2825" w:type="dxa"/>
            <w:tcBorders>
              <w:top w:val="nil"/>
              <w:left w:val="nil"/>
              <w:bottom w:val="single" w:sz="4" w:space="0" w:color="C0C0C0"/>
              <w:right w:val="nil"/>
            </w:tcBorders>
            <w:shd w:val="clear" w:color="000000" w:fill="FFFFCC"/>
            <w:noWrap/>
            <w:vAlign w:val="center"/>
            <w:hideMark/>
          </w:tcPr>
          <w:p w14:paraId="223634A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DC 143 – str. Mihai Viteazu</w:t>
            </w:r>
          </w:p>
        </w:tc>
        <w:tc>
          <w:tcPr>
            <w:tcW w:w="1560" w:type="dxa"/>
            <w:tcBorders>
              <w:top w:val="nil"/>
              <w:left w:val="single" w:sz="4" w:space="0" w:color="C0C0C0"/>
              <w:bottom w:val="single" w:sz="4" w:space="0" w:color="C0C0C0"/>
              <w:right w:val="nil"/>
            </w:tcBorders>
            <w:shd w:val="clear" w:color="000000" w:fill="FFFFCC"/>
            <w:noWrap/>
            <w:vAlign w:val="center"/>
            <w:hideMark/>
          </w:tcPr>
          <w:p w14:paraId="148E7E7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3995D9D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0,85</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44D2112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FFFFCC"/>
            <w:noWrap/>
            <w:vAlign w:val="center"/>
            <w:hideMark/>
          </w:tcPr>
          <w:p w14:paraId="49E9B48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3,71</w:t>
            </w:r>
          </w:p>
        </w:tc>
        <w:tc>
          <w:tcPr>
            <w:tcW w:w="1192" w:type="dxa"/>
            <w:tcBorders>
              <w:top w:val="single" w:sz="4" w:space="0" w:color="C0C0C0"/>
              <w:left w:val="nil"/>
              <w:bottom w:val="single" w:sz="4" w:space="0" w:color="C0C0C0"/>
              <w:right w:val="single" w:sz="4" w:space="0" w:color="C0C0C0"/>
            </w:tcBorders>
            <w:shd w:val="clear" w:color="000000" w:fill="FFFFCC"/>
            <w:noWrap/>
            <w:vAlign w:val="center"/>
            <w:hideMark/>
          </w:tcPr>
          <w:p w14:paraId="25C070D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r w:rsidR="00E731FF" w:rsidRPr="00E731FF" w14:paraId="1ECFDEDB" w14:textId="77777777" w:rsidTr="00CE76B6">
        <w:trPr>
          <w:trHeight w:val="250"/>
        </w:trPr>
        <w:tc>
          <w:tcPr>
            <w:tcW w:w="483" w:type="dxa"/>
            <w:tcBorders>
              <w:top w:val="nil"/>
              <w:left w:val="single" w:sz="4" w:space="0" w:color="C0C0C0"/>
              <w:bottom w:val="single" w:sz="4" w:space="0" w:color="C0C0C0"/>
              <w:right w:val="nil"/>
            </w:tcBorders>
            <w:shd w:val="clear" w:color="000000" w:fill="CCFFFF"/>
            <w:noWrap/>
            <w:vAlign w:val="center"/>
            <w:hideMark/>
          </w:tcPr>
          <w:p w14:paraId="542E088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13</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0509D6F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153</w:t>
            </w:r>
          </w:p>
        </w:tc>
        <w:tc>
          <w:tcPr>
            <w:tcW w:w="2825" w:type="dxa"/>
            <w:tcBorders>
              <w:top w:val="nil"/>
              <w:left w:val="nil"/>
              <w:bottom w:val="single" w:sz="4" w:space="0" w:color="C0C0C0"/>
              <w:right w:val="nil"/>
            </w:tcBorders>
            <w:shd w:val="clear" w:color="000000" w:fill="CCFFFF"/>
            <w:noWrap/>
            <w:vAlign w:val="center"/>
            <w:hideMark/>
          </w:tcPr>
          <w:p w14:paraId="6588BD3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 xml:space="preserve"> DN 67 – str. Stadionului</w:t>
            </w:r>
          </w:p>
        </w:tc>
        <w:tc>
          <w:tcPr>
            <w:tcW w:w="1560" w:type="dxa"/>
            <w:tcBorders>
              <w:top w:val="nil"/>
              <w:left w:val="single" w:sz="4" w:space="0" w:color="C0C0C0"/>
              <w:bottom w:val="single" w:sz="4" w:space="0" w:color="C0C0C0"/>
              <w:right w:val="nil"/>
            </w:tcBorders>
            <w:shd w:val="clear" w:color="000000" w:fill="CCFFFF"/>
            <w:noWrap/>
            <w:vAlign w:val="center"/>
            <w:hideMark/>
          </w:tcPr>
          <w:p w14:paraId="49CFA7A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3E5F356A"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0,12</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6591007E"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CCFFFF"/>
            <w:noWrap/>
            <w:vAlign w:val="center"/>
            <w:hideMark/>
          </w:tcPr>
          <w:p w14:paraId="06CCCB9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6,97</w:t>
            </w:r>
          </w:p>
        </w:tc>
        <w:tc>
          <w:tcPr>
            <w:tcW w:w="1192" w:type="dxa"/>
            <w:tcBorders>
              <w:top w:val="single" w:sz="4" w:space="0" w:color="C0C0C0"/>
              <w:left w:val="nil"/>
              <w:bottom w:val="single" w:sz="4" w:space="0" w:color="C0C0C0"/>
              <w:right w:val="single" w:sz="4" w:space="0" w:color="C0C0C0"/>
            </w:tcBorders>
            <w:shd w:val="clear" w:color="000000" w:fill="CCFFFF"/>
            <w:noWrap/>
            <w:vAlign w:val="center"/>
            <w:hideMark/>
          </w:tcPr>
          <w:p w14:paraId="79AA8C2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r w:rsidR="00E731FF" w:rsidRPr="00E731FF" w14:paraId="57827C37" w14:textId="77777777" w:rsidTr="00CE76B6">
        <w:trPr>
          <w:trHeight w:val="250"/>
        </w:trPr>
        <w:tc>
          <w:tcPr>
            <w:tcW w:w="483" w:type="dxa"/>
            <w:tcBorders>
              <w:top w:val="nil"/>
              <w:left w:val="single" w:sz="4" w:space="0" w:color="C0C0C0"/>
              <w:bottom w:val="single" w:sz="4" w:space="0" w:color="C0C0C0"/>
              <w:right w:val="nil"/>
            </w:tcBorders>
            <w:shd w:val="clear" w:color="000000" w:fill="FFFFCC"/>
            <w:noWrap/>
            <w:vAlign w:val="center"/>
            <w:hideMark/>
          </w:tcPr>
          <w:p w14:paraId="27A5490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14</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0AEE9637"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162</w:t>
            </w:r>
          </w:p>
        </w:tc>
        <w:tc>
          <w:tcPr>
            <w:tcW w:w="2825" w:type="dxa"/>
            <w:tcBorders>
              <w:top w:val="nil"/>
              <w:left w:val="nil"/>
              <w:bottom w:val="single" w:sz="4" w:space="0" w:color="C0C0C0"/>
              <w:right w:val="nil"/>
            </w:tcBorders>
            <w:shd w:val="clear" w:color="000000" w:fill="FFFFCC"/>
            <w:noWrap/>
            <w:vAlign w:val="center"/>
            <w:hideMark/>
          </w:tcPr>
          <w:p w14:paraId="7E05703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 xml:space="preserve"> DC 144 – str. spre Romanii de Sus (Stejarului)</w:t>
            </w:r>
          </w:p>
        </w:tc>
        <w:tc>
          <w:tcPr>
            <w:tcW w:w="1560" w:type="dxa"/>
            <w:tcBorders>
              <w:top w:val="nil"/>
              <w:left w:val="single" w:sz="4" w:space="0" w:color="C0C0C0"/>
              <w:bottom w:val="single" w:sz="4" w:space="0" w:color="C0C0C0"/>
              <w:right w:val="nil"/>
            </w:tcBorders>
            <w:shd w:val="clear" w:color="000000" w:fill="FFFFCC"/>
            <w:noWrap/>
            <w:vAlign w:val="center"/>
            <w:hideMark/>
          </w:tcPr>
          <w:p w14:paraId="31AE6BE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0B6D93A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1,38</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05C5F2EB"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FFFFCC"/>
            <w:noWrap/>
            <w:vAlign w:val="center"/>
            <w:hideMark/>
          </w:tcPr>
          <w:p w14:paraId="1604C9E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3,84</w:t>
            </w:r>
          </w:p>
        </w:tc>
        <w:tc>
          <w:tcPr>
            <w:tcW w:w="1192" w:type="dxa"/>
            <w:tcBorders>
              <w:top w:val="single" w:sz="4" w:space="0" w:color="C0C0C0"/>
              <w:left w:val="nil"/>
              <w:bottom w:val="single" w:sz="4" w:space="0" w:color="C0C0C0"/>
              <w:right w:val="single" w:sz="4" w:space="0" w:color="C0C0C0"/>
            </w:tcBorders>
            <w:shd w:val="clear" w:color="000000" w:fill="FFFFCC"/>
            <w:noWrap/>
            <w:vAlign w:val="center"/>
            <w:hideMark/>
          </w:tcPr>
          <w:p w14:paraId="50C2AD6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r w:rsidR="00E731FF" w:rsidRPr="00E731FF" w14:paraId="3B314178" w14:textId="77777777" w:rsidTr="00CE76B6">
        <w:trPr>
          <w:trHeight w:val="250"/>
        </w:trPr>
        <w:tc>
          <w:tcPr>
            <w:tcW w:w="483" w:type="dxa"/>
            <w:tcBorders>
              <w:top w:val="nil"/>
              <w:left w:val="single" w:sz="4" w:space="0" w:color="C0C0C0"/>
              <w:bottom w:val="single" w:sz="4" w:space="0" w:color="C0C0C0"/>
              <w:right w:val="nil"/>
            </w:tcBorders>
            <w:shd w:val="clear" w:color="000000" w:fill="CCFFFF"/>
            <w:noWrap/>
            <w:vAlign w:val="center"/>
            <w:hideMark/>
          </w:tcPr>
          <w:p w14:paraId="43E42E3C"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15</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23CE8EF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262</w:t>
            </w:r>
          </w:p>
        </w:tc>
        <w:tc>
          <w:tcPr>
            <w:tcW w:w="2825" w:type="dxa"/>
            <w:tcBorders>
              <w:top w:val="nil"/>
              <w:left w:val="nil"/>
              <w:bottom w:val="single" w:sz="4" w:space="0" w:color="C0C0C0"/>
              <w:right w:val="nil"/>
            </w:tcBorders>
            <w:shd w:val="clear" w:color="000000" w:fill="CCFFFF"/>
            <w:noWrap/>
            <w:vAlign w:val="center"/>
            <w:hideMark/>
          </w:tcPr>
          <w:p w14:paraId="4650358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DJ 669 – str. Manastirii</w:t>
            </w:r>
          </w:p>
        </w:tc>
        <w:tc>
          <w:tcPr>
            <w:tcW w:w="1560" w:type="dxa"/>
            <w:tcBorders>
              <w:top w:val="nil"/>
              <w:left w:val="single" w:sz="4" w:space="0" w:color="C0C0C0"/>
              <w:bottom w:val="single" w:sz="4" w:space="0" w:color="C0C0C0"/>
              <w:right w:val="nil"/>
            </w:tcBorders>
            <w:shd w:val="clear" w:color="000000" w:fill="CCFFFF"/>
            <w:noWrap/>
            <w:vAlign w:val="center"/>
            <w:hideMark/>
          </w:tcPr>
          <w:p w14:paraId="0E238AE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Stop pe doua directii</w:t>
            </w:r>
          </w:p>
        </w:tc>
        <w:tc>
          <w:tcPr>
            <w:tcW w:w="992"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0493FB70"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2,56</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3C21AA6A"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CCFFFF"/>
            <w:noWrap/>
            <w:vAlign w:val="center"/>
            <w:hideMark/>
          </w:tcPr>
          <w:p w14:paraId="72937D3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9,16</w:t>
            </w:r>
          </w:p>
        </w:tc>
        <w:tc>
          <w:tcPr>
            <w:tcW w:w="1192" w:type="dxa"/>
            <w:tcBorders>
              <w:top w:val="single" w:sz="4" w:space="0" w:color="C0C0C0"/>
              <w:left w:val="nil"/>
              <w:bottom w:val="single" w:sz="4" w:space="0" w:color="C0C0C0"/>
              <w:right w:val="single" w:sz="4" w:space="0" w:color="C0C0C0"/>
            </w:tcBorders>
            <w:shd w:val="clear" w:color="000000" w:fill="CCFFFF"/>
            <w:noWrap/>
            <w:vAlign w:val="center"/>
            <w:hideMark/>
          </w:tcPr>
          <w:p w14:paraId="1F37CFF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r w:rsidR="00E731FF" w:rsidRPr="00E731FF" w14:paraId="4A90A275" w14:textId="77777777" w:rsidTr="00CE76B6">
        <w:trPr>
          <w:trHeight w:val="250"/>
        </w:trPr>
        <w:tc>
          <w:tcPr>
            <w:tcW w:w="483" w:type="dxa"/>
            <w:tcBorders>
              <w:top w:val="nil"/>
              <w:left w:val="single" w:sz="4" w:space="0" w:color="C0C0C0"/>
              <w:bottom w:val="single" w:sz="4" w:space="0" w:color="C0C0C0"/>
              <w:right w:val="nil"/>
            </w:tcBorders>
            <w:shd w:val="clear" w:color="000000" w:fill="FFFFCC"/>
            <w:noWrap/>
            <w:vAlign w:val="center"/>
            <w:hideMark/>
          </w:tcPr>
          <w:p w14:paraId="6BA9682A"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16</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5D0E0FB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932</w:t>
            </w:r>
          </w:p>
        </w:tc>
        <w:tc>
          <w:tcPr>
            <w:tcW w:w="2825" w:type="dxa"/>
            <w:tcBorders>
              <w:top w:val="nil"/>
              <w:left w:val="nil"/>
              <w:bottom w:val="single" w:sz="4" w:space="0" w:color="C0C0C0"/>
              <w:right w:val="nil"/>
            </w:tcBorders>
            <w:shd w:val="clear" w:color="000000" w:fill="FFFFCC"/>
            <w:noWrap/>
            <w:vAlign w:val="center"/>
            <w:hideMark/>
          </w:tcPr>
          <w:p w14:paraId="7F7DAE1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11 - DN 67 – DN 65C</w:t>
            </w:r>
          </w:p>
        </w:tc>
        <w:tc>
          <w:tcPr>
            <w:tcW w:w="1560" w:type="dxa"/>
            <w:tcBorders>
              <w:top w:val="nil"/>
              <w:left w:val="single" w:sz="4" w:space="0" w:color="C0C0C0"/>
              <w:bottom w:val="single" w:sz="4" w:space="0" w:color="C0C0C0"/>
              <w:right w:val="nil"/>
            </w:tcBorders>
            <w:shd w:val="clear" w:color="000000" w:fill="FFFFCC"/>
            <w:noWrap/>
            <w:vAlign w:val="center"/>
            <w:hideMark/>
          </w:tcPr>
          <w:p w14:paraId="138C23D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02488CA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2,95</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3448EBCA"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FFFFCC"/>
            <w:noWrap/>
            <w:vAlign w:val="center"/>
            <w:hideMark/>
          </w:tcPr>
          <w:p w14:paraId="6C8A674B"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18,87</w:t>
            </w:r>
          </w:p>
        </w:tc>
        <w:tc>
          <w:tcPr>
            <w:tcW w:w="1192" w:type="dxa"/>
            <w:tcBorders>
              <w:top w:val="single" w:sz="4" w:space="0" w:color="C0C0C0"/>
              <w:left w:val="nil"/>
              <w:bottom w:val="single" w:sz="4" w:space="0" w:color="C0C0C0"/>
              <w:right w:val="single" w:sz="4" w:space="0" w:color="C0C0C0"/>
            </w:tcBorders>
            <w:shd w:val="clear" w:color="000000" w:fill="FFFFCC"/>
            <w:noWrap/>
            <w:vAlign w:val="center"/>
            <w:hideMark/>
          </w:tcPr>
          <w:p w14:paraId="14A9A0F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w:t>
            </w:r>
          </w:p>
        </w:tc>
      </w:tr>
      <w:tr w:rsidR="00E731FF" w:rsidRPr="00E731FF" w14:paraId="6E3392DD" w14:textId="77777777" w:rsidTr="00CE76B6">
        <w:trPr>
          <w:trHeight w:val="250"/>
        </w:trPr>
        <w:tc>
          <w:tcPr>
            <w:tcW w:w="483" w:type="dxa"/>
            <w:tcBorders>
              <w:top w:val="nil"/>
              <w:left w:val="single" w:sz="4" w:space="0" w:color="C0C0C0"/>
              <w:bottom w:val="single" w:sz="4" w:space="0" w:color="C0C0C0"/>
              <w:right w:val="nil"/>
            </w:tcBorders>
            <w:shd w:val="clear" w:color="000000" w:fill="CCFFFF"/>
            <w:noWrap/>
            <w:vAlign w:val="center"/>
            <w:hideMark/>
          </w:tcPr>
          <w:p w14:paraId="29B538F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17</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2857737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1095</w:t>
            </w:r>
          </w:p>
        </w:tc>
        <w:tc>
          <w:tcPr>
            <w:tcW w:w="2825" w:type="dxa"/>
            <w:tcBorders>
              <w:top w:val="nil"/>
              <w:left w:val="nil"/>
              <w:bottom w:val="single" w:sz="4" w:space="0" w:color="C0C0C0"/>
              <w:right w:val="nil"/>
            </w:tcBorders>
            <w:shd w:val="clear" w:color="000000" w:fill="CCFFFF"/>
            <w:noWrap/>
            <w:vAlign w:val="center"/>
            <w:hideMark/>
          </w:tcPr>
          <w:p w14:paraId="3DF548E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13 - DC 139 – DN 67 (A)</w:t>
            </w:r>
          </w:p>
        </w:tc>
        <w:tc>
          <w:tcPr>
            <w:tcW w:w="1560" w:type="dxa"/>
            <w:tcBorders>
              <w:top w:val="nil"/>
              <w:left w:val="single" w:sz="4" w:space="0" w:color="C0C0C0"/>
              <w:bottom w:val="single" w:sz="4" w:space="0" w:color="C0C0C0"/>
              <w:right w:val="nil"/>
            </w:tcBorders>
            <w:shd w:val="clear" w:color="000000" w:fill="CCFFFF"/>
            <w:noWrap/>
            <w:vAlign w:val="center"/>
            <w:hideMark/>
          </w:tcPr>
          <w:p w14:paraId="05FA103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Stop pe doua directii</w:t>
            </w:r>
          </w:p>
        </w:tc>
        <w:tc>
          <w:tcPr>
            <w:tcW w:w="992"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654C1EE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2,66</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344BAFA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CCFFFF"/>
            <w:noWrap/>
            <w:vAlign w:val="center"/>
            <w:hideMark/>
          </w:tcPr>
          <w:p w14:paraId="569FA5E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16,29</w:t>
            </w:r>
          </w:p>
        </w:tc>
        <w:tc>
          <w:tcPr>
            <w:tcW w:w="1192" w:type="dxa"/>
            <w:tcBorders>
              <w:top w:val="single" w:sz="4" w:space="0" w:color="C0C0C0"/>
              <w:left w:val="nil"/>
              <w:bottom w:val="single" w:sz="4" w:space="0" w:color="C0C0C0"/>
              <w:right w:val="single" w:sz="4" w:space="0" w:color="C0C0C0"/>
            </w:tcBorders>
            <w:shd w:val="clear" w:color="000000" w:fill="CCFFFF"/>
            <w:noWrap/>
            <w:vAlign w:val="center"/>
            <w:hideMark/>
          </w:tcPr>
          <w:p w14:paraId="45ABE316"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w:t>
            </w:r>
          </w:p>
        </w:tc>
      </w:tr>
      <w:tr w:rsidR="00E731FF" w:rsidRPr="00E731FF" w14:paraId="1635D260" w14:textId="77777777" w:rsidTr="00CE76B6">
        <w:trPr>
          <w:trHeight w:val="250"/>
        </w:trPr>
        <w:tc>
          <w:tcPr>
            <w:tcW w:w="483" w:type="dxa"/>
            <w:tcBorders>
              <w:top w:val="nil"/>
              <w:left w:val="single" w:sz="4" w:space="0" w:color="C0C0C0"/>
              <w:bottom w:val="single" w:sz="4" w:space="0" w:color="C0C0C0"/>
              <w:right w:val="nil"/>
            </w:tcBorders>
            <w:shd w:val="clear" w:color="000000" w:fill="FFFFCC"/>
            <w:noWrap/>
            <w:vAlign w:val="center"/>
            <w:hideMark/>
          </w:tcPr>
          <w:p w14:paraId="4B961A40"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18</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5879EDBA"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3807</w:t>
            </w:r>
          </w:p>
        </w:tc>
        <w:tc>
          <w:tcPr>
            <w:tcW w:w="2825" w:type="dxa"/>
            <w:tcBorders>
              <w:top w:val="nil"/>
              <w:left w:val="nil"/>
              <w:bottom w:val="single" w:sz="4" w:space="0" w:color="C0C0C0"/>
              <w:right w:val="nil"/>
            </w:tcBorders>
            <w:shd w:val="clear" w:color="000000" w:fill="FFFFCC"/>
            <w:noWrap/>
            <w:vAlign w:val="center"/>
            <w:hideMark/>
          </w:tcPr>
          <w:p w14:paraId="58A1E8A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10 - DC 144 – DC 146</w:t>
            </w:r>
          </w:p>
        </w:tc>
        <w:tc>
          <w:tcPr>
            <w:tcW w:w="1560" w:type="dxa"/>
            <w:tcBorders>
              <w:top w:val="nil"/>
              <w:left w:val="single" w:sz="4" w:space="0" w:color="C0C0C0"/>
              <w:bottom w:val="single" w:sz="4" w:space="0" w:color="C0C0C0"/>
              <w:right w:val="nil"/>
            </w:tcBorders>
            <w:shd w:val="clear" w:color="000000" w:fill="FFFFCC"/>
            <w:noWrap/>
            <w:vAlign w:val="center"/>
            <w:hideMark/>
          </w:tcPr>
          <w:p w14:paraId="5667916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5E421FD7"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1,55</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29CC6BE0"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FFFFCC"/>
            <w:noWrap/>
            <w:vAlign w:val="center"/>
            <w:hideMark/>
          </w:tcPr>
          <w:p w14:paraId="22533204"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5,60</w:t>
            </w:r>
          </w:p>
        </w:tc>
        <w:tc>
          <w:tcPr>
            <w:tcW w:w="1192" w:type="dxa"/>
            <w:tcBorders>
              <w:top w:val="single" w:sz="4" w:space="0" w:color="C0C0C0"/>
              <w:left w:val="nil"/>
              <w:bottom w:val="single" w:sz="4" w:space="0" w:color="C0C0C0"/>
              <w:right w:val="single" w:sz="4" w:space="0" w:color="C0C0C0"/>
            </w:tcBorders>
            <w:shd w:val="clear" w:color="000000" w:fill="FFFFCC"/>
            <w:noWrap/>
            <w:vAlign w:val="center"/>
            <w:hideMark/>
          </w:tcPr>
          <w:p w14:paraId="6CB27B6C"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r w:rsidR="00E731FF" w:rsidRPr="00E731FF" w14:paraId="78CCA46A" w14:textId="77777777" w:rsidTr="00CE76B6">
        <w:trPr>
          <w:trHeight w:val="250"/>
        </w:trPr>
        <w:tc>
          <w:tcPr>
            <w:tcW w:w="483" w:type="dxa"/>
            <w:tcBorders>
              <w:top w:val="nil"/>
              <w:left w:val="single" w:sz="4" w:space="0" w:color="C0C0C0"/>
              <w:bottom w:val="single" w:sz="4" w:space="0" w:color="C0C0C0"/>
              <w:right w:val="nil"/>
            </w:tcBorders>
            <w:shd w:val="clear" w:color="000000" w:fill="CCFFFF"/>
            <w:noWrap/>
            <w:vAlign w:val="center"/>
            <w:hideMark/>
          </w:tcPr>
          <w:p w14:paraId="29D47555"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19</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56A60A28"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3862</w:t>
            </w:r>
          </w:p>
        </w:tc>
        <w:tc>
          <w:tcPr>
            <w:tcW w:w="2825" w:type="dxa"/>
            <w:tcBorders>
              <w:top w:val="nil"/>
              <w:left w:val="nil"/>
              <w:bottom w:val="single" w:sz="4" w:space="0" w:color="C0C0C0"/>
              <w:right w:val="nil"/>
            </w:tcBorders>
            <w:shd w:val="clear" w:color="000000" w:fill="CCFFFF"/>
            <w:noWrap/>
            <w:vAlign w:val="center"/>
            <w:hideMark/>
          </w:tcPr>
          <w:p w14:paraId="3AE076ED"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16 - DJ 669 – DC 146</w:t>
            </w:r>
          </w:p>
        </w:tc>
        <w:tc>
          <w:tcPr>
            <w:tcW w:w="1560" w:type="dxa"/>
            <w:tcBorders>
              <w:top w:val="nil"/>
              <w:left w:val="single" w:sz="4" w:space="0" w:color="C0C0C0"/>
              <w:bottom w:val="single" w:sz="4" w:space="0" w:color="C0C0C0"/>
              <w:right w:val="nil"/>
            </w:tcBorders>
            <w:shd w:val="clear" w:color="000000" w:fill="CCFFFF"/>
            <w:noWrap/>
            <w:vAlign w:val="center"/>
            <w:hideMark/>
          </w:tcPr>
          <w:p w14:paraId="503F262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Cedeaza trecerea</w:t>
            </w:r>
          </w:p>
        </w:tc>
        <w:tc>
          <w:tcPr>
            <w:tcW w:w="992"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21A6BD7F"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1,11</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14C06E22"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c>
          <w:tcPr>
            <w:tcW w:w="1050" w:type="dxa"/>
            <w:tcBorders>
              <w:top w:val="single" w:sz="4" w:space="0" w:color="C0C0C0"/>
              <w:left w:val="nil"/>
              <w:bottom w:val="single" w:sz="4" w:space="0" w:color="C0C0C0"/>
              <w:right w:val="single" w:sz="4" w:space="0" w:color="C0C0C0"/>
            </w:tcBorders>
            <w:shd w:val="clear" w:color="000000" w:fill="CCFFFF"/>
            <w:noWrap/>
            <w:vAlign w:val="center"/>
            <w:hideMark/>
          </w:tcPr>
          <w:p w14:paraId="354DBC49"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4,34</w:t>
            </w:r>
          </w:p>
        </w:tc>
        <w:tc>
          <w:tcPr>
            <w:tcW w:w="1192" w:type="dxa"/>
            <w:tcBorders>
              <w:top w:val="single" w:sz="4" w:space="0" w:color="C0C0C0"/>
              <w:left w:val="nil"/>
              <w:bottom w:val="single" w:sz="4" w:space="0" w:color="C0C0C0"/>
              <w:right w:val="single" w:sz="4" w:space="0" w:color="C0C0C0"/>
            </w:tcBorders>
            <w:shd w:val="clear" w:color="000000" w:fill="CCFFFF"/>
            <w:noWrap/>
            <w:vAlign w:val="center"/>
            <w:hideMark/>
          </w:tcPr>
          <w:p w14:paraId="023CFD43" w14:textId="77777777" w:rsidR="00E731FF" w:rsidRPr="00E731FF" w:rsidRDefault="00E731FF" w:rsidP="00E731FF">
            <w:pPr>
              <w:spacing w:after="0" w:line="240" w:lineRule="auto"/>
              <w:jc w:val="center"/>
              <w:rPr>
                <w:rFonts w:ascii="Arial" w:eastAsia="Times New Roman" w:hAnsi="Arial" w:cs="Arial"/>
                <w:sz w:val="20"/>
                <w:szCs w:val="20"/>
              </w:rPr>
            </w:pPr>
            <w:r w:rsidRPr="00E731FF">
              <w:rPr>
                <w:rFonts w:ascii="Arial" w:eastAsia="Times New Roman" w:hAnsi="Arial" w:cs="Arial"/>
                <w:sz w:val="20"/>
                <w:szCs w:val="20"/>
              </w:rPr>
              <w:t>A</w:t>
            </w:r>
          </w:p>
        </w:tc>
      </w:tr>
    </w:tbl>
    <w:p w14:paraId="421B8F4B" w14:textId="77777777" w:rsidR="0073171D" w:rsidRPr="0073171D" w:rsidRDefault="0073171D" w:rsidP="0073171D">
      <w:pPr>
        <w:widowControl w:val="0"/>
        <w:suppressAutoHyphens/>
        <w:spacing w:after="0" w:line="240" w:lineRule="auto"/>
        <w:jc w:val="center"/>
        <w:rPr>
          <w:rFonts w:ascii="Arial" w:hAnsi="Arial" w:cs="Mangal"/>
          <w:i/>
          <w:kern w:val="1"/>
          <w:sz w:val="20"/>
          <w:szCs w:val="24"/>
          <w:lang w:val="ro-RO" w:eastAsia="hi-IN" w:bidi="hi-IN"/>
        </w:rPr>
      </w:pPr>
    </w:p>
    <w:p w14:paraId="36550C42" w14:textId="77777777" w:rsidR="0073171D" w:rsidRPr="0073171D" w:rsidRDefault="0073171D" w:rsidP="0073171D">
      <w:pPr>
        <w:widowControl w:val="0"/>
        <w:suppressAutoHyphens/>
        <w:spacing w:after="0" w:line="240" w:lineRule="auto"/>
        <w:rPr>
          <w:rFonts w:ascii="Arial" w:hAnsi="Arial" w:cs="Mangal"/>
          <w:i/>
          <w:kern w:val="1"/>
          <w:sz w:val="20"/>
          <w:szCs w:val="24"/>
          <w:lang w:val="ro-RO" w:eastAsia="hi-IN" w:bidi="hi-IN"/>
        </w:rPr>
      </w:pPr>
    </w:p>
    <w:p w14:paraId="77C41BE9" w14:textId="77777777" w:rsidR="0073171D" w:rsidRPr="0073171D" w:rsidRDefault="0073171D" w:rsidP="0073171D">
      <w:pPr>
        <w:widowControl w:val="0"/>
        <w:suppressAutoHyphens/>
        <w:spacing w:after="0" w:line="240" w:lineRule="auto"/>
        <w:rPr>
          <w:rFonts w:ascii="Arial" w:hAnsi="Arial" w:cs="Mangal"/>
          <w:i/>
          <w:kern w:val="1"/>
          <w:sz w:val="20"/>
          <w:szCs w:val="24"/>
          <w:lang w:val="ro-RO" w:eastAsia="hi-IN" w:bidi="hi-IN"/>
        </w:rPr>
      </w:pPr>
    </w:p>
    <w:p w14:paraId="396FB4FA" w14:textId="23A57229" w:rsidR="0073171D" w:rsidRPr="00D42F78" w:rsidRDefault="00337AAA" w:rsidP="00337AAA">
      <w:pPr>
        <w:pStyle w:val="Legend"/>
        <w:jc w:val="center"/>
        <w:rPr>
          <w:rFonts w:ascii="Arial" w:hAnsi="Arial" w:cs="Arial"/>
          <w:i w:val="0"/>
          <w:iCs w:val="0"/>
          <w:color w:val="1F497D"/>
          <w:kern w:val="1"/>
          <w:sz w:val="22"/>
          <w:szCs w:val="22"/>
          <w:lang w:val="es-ES" w:eastAsia="hi-IN" w:bidi="hi-IN"/>
        </w:rPr>
      </w:pPr>
      <w:bookmarkStart w:id="335" w:name="_Toc68361248"/>
      <w:bookmarkStart w:id="336" w:name="_Toc96447414"/>
      <w:r w:rsidRPr="00337AAA">
        <w:rPr>
          <w:rFonts w:ascii="Arial" w:hAnsi="Arial" w:cs="Arial"/>
          <w:sz w:val="22"/>
          <w:szCs w:val="22"/>
        </w:rPr>
        <w:t xml:space="preserve">Tabel I.4. </w:t>
      </w:r>
      <w:r w:rsidRPr="00337AAA">
        <w:rPr>
          <w:rFonts w:ascii="Arial" w:hAnsi="Arial" w:cs="Arial"/>
          <w:sz w:val="22"/>
          <w:szCs w:val="22"/>
        </w:rPr>
        <w:fldChar w:fldCharType="begin"/>
      </w:r>
      <w:r w:rsidRPr="00337AAA">
        <w:rPr>
          <w:rFonts w:ascii="Arial" w:hAnsi="Arial" w:cs="Arial"/>
          <w:sz w:val="22"/>
          <w:szCs w:val="22"/>
        </w:rPr>
        <w:instrText xml:space="preserve"> SEQ Tabel_I.4. \* ARABIC </w:instrText>
      </w:r>
      <w:r w:rsidRPr="00337AAA">
        <w:rPr>
          <w:rFonts w:ascii="Arial" w:hAnsi="Arial" w:cs="Arial"/>
          <w:sz w:val="22"/>
          <w:szCs w:val="22"/>
        </w:rPr>
        <w:fldChar w:fldCharType="separate"/>
      </w:r>
      <w:r w:rsidR="00BB181C">
        <w:rPr>
          <w:rFonts w:ascii="Arial" w:hAnsi="Arial" w:cs="Arial"/>
          <w:noProof/>
          <w:sz w:val="22"/>
          <w:szCs w:val="22"/>
        </w:rPr>
        <w:t>4</w:t>
      </w:r>
      <w:r w:rsidRPr="00337AAA">
        <w:rPr>
          <w:rFonts w:ascii="Arial" w:hAnsi="Arial" w:cs="Arial"/>
          <w:sz w:val="22"/>
          <w:szCs w:val="22"/>
        </w:rPr>
        <w:fldChar w:fldCharType="end"/>
      </w:r>
      <w:r w:rsidRPr="00337AAA">
        <w:rPr>
          <w:rFonts w:ascii="Arial" w:hAnsi="Arial" w:cs="Arial"/>
          <w:sz w:val="22"/>
          <w:szCs w:val="22"/>
        </w:rPr>
        <w:t xml:space="preserve"> </w:t>
      </w:r>
      <w:bookmarkEnd w:id="335"/>
      <w:r w:rsidR="00D42F78">
        <w:rPr>
          <w:rFonts w:ascii="Arial" w:hAnsi="Arial" w:cs="Arial"/>
          <w:sz w:val="22"/>
          <w:szCs w:val="22"/>
        </w:rPr>
        <w:t xml:space="preserve">- </w:t>
      </w:r>
      <w:r w:rsidR="00D42F78" w:rsidRPr="00D42F78">
        <w:rPr>
          <w:rFonts w:ascii="Arial" w:hAnsi="Arial" w:cs="Arial"/>
          <w:i w:val="0"/>
          <w:iCs w:val="0"/>
          <w:sz w:val="22"/>
          <w:szCs w:val="22"/>
        </w:rPr>
        <w:t>Întarzierile și nivelurile de serviciu înregistrate în intersecțiile studiate–2021 PM</w:t>
      </w:r>
      <w:bookmarkEnd w:id="336"/>
    </w:p>
    <w:tbl>
      <w:tblPr>
        <w:tblW w:w="9639" w:type="dxa"/>
        <w:tblLook w:val="04A0" w:firstRow="1" w:lastRow="0" w:firstColumn="1" w:lastColumn="0" w:noHBand="0" w:noVBand="1"/>
      </w:tblPr>
      <w:tblGrid>
        <w:gridCol w:w="567"/>
        <w:gridCol w:w="661"/>
        <w:gridCol w:w="2316"/>
        <w:gridCol w:w="1418"/>
        <w:gridCol w:w="1050"/>
        <w:gridCol w:w="1218"/>
        <w:gridCol w:w="1134"/>
        <w:gridCol w:w="1275"/>
      </w:tblGrid>
      <w:tr w:rsidR="00D42F78" w:rsidRPr="00D42F78" w14:paraId="27EB7EEA" w14:textId="77777777" w:rsidTr="00D42F78">
        <w:trPr>
          <w:trHeight w:val="670"/>
          <w:tblHeader/>
        </w:trPr>
        <w:tc>
          <w:tcPr>
            <w:tcW w:w="567"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3E6AD1BF"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Nr.</w:t>
            </w:r>
          </w:p>
        </w:tc>
        <w:tc>
          <w:tcPr>
            <w:tcW w:w="661"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22FD650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ID</w:t>
            </w:r>
          </w:p>
        </w:tc>
        <w:tc>
          <w:tcPr>
            <w:tcW w:w="2316"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6E1992CF"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Intersectie</w:t>
            </w:r>
          </w:p>
        </w:tc>
        <w:tc>
          <w:tcPr>
            <w:tcW w:w="1418"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6622042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Tip Control intersecţie</w:t>
            </w:r>
          </w:p>
        </w:tc>
        <w:tc>
          <w:tcPr>
            <w:tcW w:w="1050"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4206879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Întârziere medie (s)</w:t>
            </w:r>
          </w:p>
        </w:tc>
        <w:tc>
          <w:tcPr>
            <w:tcW w:w="1218"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0F8B8405"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Nivelul de serviciu mediu (LOS)</w:t>
            </w:r>
          </w:p>
        </w:tc>
        <w:tc>
          <w:tcPr>
            <w:tcW w:w="113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76546C1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Întârziere maxima (s)</w:t>
            </w:r>
          </w:p>
        </w:tc>
        <w:tc>
          <w:tcPr>
            <w:tcW w:w="1275"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1FC371A5"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Nivelul de serviciu maxim (LOS)</w:t>
            </w:r>
          </w:p>
        </w:tc>
      </w:tr>
      <w:tr w:rsidR="00D42F78" w:rsidRPr="00D42F78" w14:paraId="4A258F72" w14:textId="77777777" w:rsidTr="00CE76B6">
        <w:trPr>
          <w:trHeight w:val="250"/>
        </w:trPr>
        <w:tc>
          <w:tcPr>
            <w:tcW w:w="567" w:type="dxa"/>
            <w:tcBorders>
              <w:top w:val="single" w:sz="4" w:space="0" w:color="auto"/>
              <w:left w:val="single" w:sz="4" w:space="0" w:color="C0C0C0"/>
              <w:bottom w:val="single" w:sz="4" w:space="0" w:color="C0C0C0"/>
              <w:right w:val="nil"/>
            </w:tcBorders>
            <w:shd w:val="clear" w:color="000000" w:fill="CCFFFF"/>
            <w:noWrap/>
            <w:vAlign w:val="center"/>
            <w:hideMark/>
          </w:tcPr>
          <w:p w14:paraId="1070A4C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w:t>
            </w:r>
          </w:p>
        </w:tc>
        <w:tc>
          <w:tcPr>
            <w:tcW w:w="661" w:type="dxa"/>
            <w:tcBorders>
              <w:top w:val="single" w:sz="4" w:space="0" w:color="auto"/>
              <w:left w:val="single" w:sz="4" w:space="0" w:color="C0C0C0"/>
              <w:bottom w:val="single" w:sz="4" w:space="0" w:color="C0C0C0"/>
              <w:right w:val="single" w:sz="4" w:space="0" w:color="C0C0C0"/>
            </w:tcBorders>
            <w:shd w:val="clear" w:color="000000" w:fill="CCFFFF"/>
            <w:noWrap/>
            <w:vAlign w:val="center"/>
            <w:hideMark/>
          </w:tcPr>
          <w:p w14:paraId="4C6E7B5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64</w:t>
            </w:r>
          </w:p>
        </w:tc>
        <w:tc>
          <w:tcPr>
            <w:tcW w:w="2316" w:type="dxa"/>
            <w:tcBorders>
              <w:top w:val="single" w:sz="4" w:space="0" w:color="auto"/>
              <w:left w:val="nil"/>
              <w:bottom w:val="single" w:sz="4" w:space="0" w:color="C0C0C0"/>
              <w:right w:val="nil"/>
            </w:tcBorders>
            <w:shd w:val="clear" w:color="000000" w:fill="CCFFFF"/>
            <w:noWrap/>
            <w:vAlign w:val="center"/>
            <w:hideMark/>
          </w:tcPr>
          <w:p w14:paraId="457E03D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DN 67 – DJ 665 (str. Iancu Jianu)</w:t>
            </w:r>
          </w:p>
        </w:tc>
        <w:tc>
          <w:tcPr>
            <w:tcW w:w="1418" w:type="dxa"/>
            <w:tcBorders>
              <w:top w:val="single" w:sz="4" w:space="0" w:color="auto"/>
              <w:left w:val="single" w:sz="4" w:space="0" w:color="C0C0C0"/>
              <w:bottom w:val="single" w:sz="4" w:space="0" w:color="C0C0C0"/>
              <w:right w:val="nil"/>
            </w:tcBorders>
            <w:shd w:val="clear" w:color="000000" w:fill="CCFFFF"/>
            <w:noWrap/>
            <w:vAlign w:val="center"/>
            <w:hideMark/>
          </w:tcPr>
          <w:p w14:paraId="0E66C732"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Stop pe doua directii</w:t>
            </w:r>
          </w:p>
        </w:tc>
        <w:tc>
          <w:tcPr>
            <w:tcW w:w="1050" w:type="dxa"/>
            <w:tcBorders>
              <w:top w:val="single" w:sz="4" w:space="0" w:color="auto"/>
              <w:left w:val="single" w:sz="4" w:space="0" w:color="C0C0C0"/>
              <w:bottom w:val="single" w:sz="4" w:space="0" w:color="C0C0C0"/>
              <w:right w:val="single" w:sz="4" w:space="0" w:color="C0C0C0"/>
            </w:tcBorders>
            <w:shd w:val="clear" w:color="000000" w:fill="CCFFFF"/>
            <w:noWrap/>
            <w:vAlign w:val="center"/>
            <w:hideMark/>
          </w:tcPr>
          <w:p w14:paraId="17F48C74"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1,49</w:t>
            </w:r>
          </w:p>
        </w:tc>
        <w:tc>
          <w:tcPr>
            <w:tcW w:w="1218" w:type="dxa"/>
            <w:tcBorders>
              <w:top w:val="single" w:sz="4" w:space="0" w:color="auto"/>
              <w:left w:val="nil"/>
              <w:bottom w:val="single" w:sz="4" w:space="0" w:color="C0C0C0"/>
              <w:right w:val="single" w:sz="4" w:space="0" w:color="C0C0C0"/>
            </w:tcBorders>
            <w:shd w:val="clear" w:color="000000" w:fill="CCFFFF"/>
            <w:noWrap/>
            <w:vAlign w:val="center"/>
            <w:hideMark/>
          </w:tcPr>
          <w:p w14:paraId="1BBCF5F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auto"/>
              <w:left w:val="nil"/>
              <w:bottom w:val="single" w:sz="4" w:space="0" w:color="C0C0C0"/>
              <w:right w:val="single" w:sz="4" w:space="0" w:color="C0C0C0"/>
            </w:tcBorders>
            <w:shd w:val="clear" w:color="000000" w:fill="CCFFFF"/>
            <w:noWrap/>
            <w:vAlign w:val="center"/>
            <w:hideMark/>
          </w:tcPr>
          <w:p w14:paraId="3B34C492"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20,18</w:t>
            </w:r>
          </w:p>
        </w:tc>
        <w:tc>
          <w:tcPr>
            <w:tcW w:w="1275" w:type="dxa"/>
            <w:tcBorders>
              <w:top w:val="single" w:sz="4" w:space="0" w:color="auto"/>
              <w:left w:val="nil"/>
              <w:bottom w:val="single" w:sz="4" w:space="0" w:color="C0C0C0"/>
              <w:right w:val="single" w:sz="4" w:space="0" w:color="C0C0C0"/>
            </w:tcBorders>
            <w:shd w:val="clear" w:color="000000" w:fill="CCFFFF"/>
            <w:noWrap/>
            <w:vAlign w:val="center"/>
            <w:hideMark/>
          </w:tcPr>
          <w:p w14:paraId="7265E59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w:t>
            </w:r>
          </w:p>
        </w:tc>
      </w:tr>
      <w:tr w:rsidR="00D42F78" w:rsidRPr="00D42F78" w14:paraId="47315ABD" w14:textId="77777777" w:rsidTr="00CE76B6">
        <w:trPr>
          <w:trHeight w:val="250"/>
        </w:trPr>
        <w:tc>
          <w:tcPr>
            <w:tcW w:w="567" w:type="dxa"/>
            <w:tcBorders>
              <w:top w:val="nil"/>
              <w:left w:val="single" w:sz="4" w:space="0" w:color="C0C0C0"/>
              <w:bottom w:val="single" w:sz="4" w:space="0" w:color="C0C0C0"/>
              <w:right w:val="nil"/>
            </w:tcBorders>
            <w:shd w:val="clear" w:color="000000" w:fill="FFFFCC"/>
            <w:noWrap/>
            <w:vAlign w:val="center"/>
            <w:hideMark/>
          </w:tcPr>
          <w:p w14:paraId="1DFCEE3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0B4C949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69</w:t>
            </w:r>
          </w:p>
        </w:tc>
        <w:tc>
          <w:tcPr>
            <w:tcW w:w="2316" w:type="dxa"/>
            <w:tcBorders>
              <w:top w:val="nil"/>
              <w:left w:val="nil"/>
              <w:bottom w:val="single" w:sz="4" w:space="0" w:color="C0C0C0"/>
              <w:right w:val="nil"/>
            </w:tcBorders>
            <w:shd w:val="clear" w:color="000000" w:fill="FFFFCC"/>
            <w:noWrap/>
            <w:vAlign w:val="center"/>
            <w:hideMark/>
          </w:tcPr>
          <w:p w14:paraId="13ED5D6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DN67 - str. Anton Pann</w:t>
            </w:r>
          </w:p>
        </w:tc>
        <w:tc>
          <w:tcPr>
            <w:tcW w:w="1418" w:type="dxa"/>
            <w:tcBorders>
              <w:top w:val="nil"/>
              <w:left w:val="single" w:sz="4" w:space="0" w:color="C0C0C0"/>
              <w:bottom w:val="single" w:sz="4" w:space="0" w:color="C0C0C0"/>
              <w:right w:val="nil"/>
            </w:tcBorders>
            <w:shd w:val="clear" w:color="000000" w:fill="FFFFCC"/>
            <w:noWrap/>
            <w:vAlign w:val="center"/>
            <w:hideMark/>
          </w:tcPr>
          <w:p w14:paraId="14258F5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7FF7C7CD"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0,81</w:t>
            </w:r>
          </w:p>
        </w:tc>
        <w:tc>
          <w:tcPr>
            <w:tcW w:w="1218" w:type="dxa"/>
            <w:tcBorders>
              <w:top w:val="single" w:sz="4" w:space="0" w:color="C0C0C0"/>
              <w:left w:val="nil"/>
              <w:bottom w:val="single" w:sz="4" w:space="0" w:color="C0C0C0"/>
              <w:right w:val="single" w:sz="4" w:space="0" w:color="C0C0C0"/>
            </w:tcBorders>
            <w:shd w:val="clear" w:color="000000" w:fill="FFFFCC"/>
            <w:noWrap/>
            <w:vAlign w:val="center"/>
            <w:hideMark/>
          </w:tcPr>
          <w:p w14:paraId="5FB8F83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56170975"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5,00</w:t>
            </w:r>
          </w:p>
        </w:tc>
        <w:tc>
          <w:tcPr>
            <w:tcW w:w="1275" w:type="dxa"/>
            <w:tcBorders>
              <w:top w:val="single" w:sz="4" w:space="0" w:color="C0C0C0"/>
              <w:left w:val="nil"/>
              <w:bottom w:val="single" w:sz="4" w:space="0" w:color="C0C0C0"/>
              <w:right w:val="single" w:sz="4" w:space="0" w:color="C0C0C0"/>
            </w:tcBorders>
            <w:shd w:val="clear" w:color="000000" w:fill="FFFFCC"/>
            <w:noWrap/>
            <w:vAlign w:val="center"/>
            <w:hideMark/>
          </w:tcPr>
          <w:p w14:paraId="4CD29F2D"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r w:rsidR="00D42F78" w:rsidRPr="00D42F78" w14:paraId="558EDA19" w14:textId="77777777" w:rsidTr="00CE76B6">
        <w:trPr>
          <w:trHeight w:val="250"/>
        </w:trPr>
        <w:tc>
          <w:tcPr>
            <w:tcW w:w="567" w:type="dxa"/>
            <w:tcBorders>
              <w:top w:val="nil"/>
              <w:left w:val="single" w:sz="4" w:space="0" w:color="C0C0C0"/>
              <w:bottom w:val="single" w:sz="4" w:space="0" w:color="C0C0C0"/>
              <w:right w:val="nil"/>
            </w:tcBorders>
            <w:shd w:val="clear" w:color="000000" w:fill="CCFFFF"/>
            <w:noWrap/>
            <w:vAlign w:val="center"/>
            <w:hideMark/>
          </w:tcPr>
          <w:p w14:paraId="4B72D2E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3</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0F111A3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75</w:t>
            </w:r>
          </w:p>
        </w:tc>
        <w:tc>
          <w:tcPr>
            <w:tcW w:w="2316" w:type="dxa"/>
            <w:tcBorders>
              <w:top w:val="nil"/>
              <w:left w:val="nil"/>
              <w:bottom w:val="single" w:sz="4" w:space="0" w:color="C0C0C0"/>
              <w:right w:val="nil"/>
            </w:tcBorders>
            <w:shd w:val="clear" w:color="000000" w:fill="CCFFFF"/>
            <w:noWrap/>
            <w:vAlign w:val="center"/>
            <w:hideMark/>
          </w:tcPr>
          <w:p w14:paraId="1E27A25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DN67 - str. Eroilor</w:t>
            </w:r>
          </w:p>
        </w:tc>
        <w:tc>
          <w:tcPr>
            <w:tcW w:w="1418" w:type="dxa"/>
            <w:tcBorders>
              <w:top w:val="nil"/>
              <w:left w:val="single" w:sz="4" w:space="0" w:color="C0C0C0"/>
              <w:bottom w:val="single" w:sz="4" w:space="0" w:color="C0C0C0"/>
              <w:right w:val="nil"/>
            </w:tcBorders>
            <w:shd w:val="clear" w:color="000000" w:fill="CCFFFF"/>
            <w:noWrap/>
            <w:vAlign w:val="center"/>
            <w:hideMark/>
          </w:tcPr>
          <w:p w14:paraId="718B04A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Stop pe doua directii</w:t>
            </w:r>
          </w:p>
        </w:tc>
        <w:tc>
          <w:tcPr>
            <w:tcW w:w="1050"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7D3F0F0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1,77</w:t>
            </w:r>
          </w:p>
        </w:tc>
        <w:tc>
          <w:tcPr>
            <w:tcW w:w="1218" w:type="dxa"/>
            <w:tcBorders>
              <w:top w:val="single" w:sz="4" w:space="0" w:color="C0C0C0"/>
              <w:left w:val="nil"/>
              <w:bottom w:val="single" w:sz="4" w:space="0" w:color="C0C0C0"/>
              <w:right w:val="single" w:sz="4" w:space="0" w:color="C0C0C0"/>
            </w:tcBorders>
            <w:shd w:val="clear" w:color="000000" w:fill="CCFFFF"/>
            <w:noWrap/>
            <w:vAlign w:val="center"/>
            <w:hideMark/>
          </w:tcPr>
          <w:p w14:paraId="772F6F0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71C26AE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16,20</w:t>
            </w:r>
          </w:p>
        </w:tc>
        <w:tc>
          <w:tcPr>
            <w:tcW w:w="1275" w:type="dxa"/>
            <w:tcBorders>
              <w:top w:val="single" w:sz="4" w:space="0" w:color="C0C0C0"/>
              <w:left w:val="nil"/>
              <w:bottom w:val="single" w:sz="4" w:space="0" w:color="C0C0C0"/>
              <w:right w:val="single" w:sz="4" w:space="0" w:color="C0C0C0"/>
            </w:tcBorders>
            <w:shd w:val="clear" w:color="000000" w:fill="CCFFFF"/>
            <w:noWrap/>
            <w:vAlign w:val="center"/>
            <w:hideMark/>
          </w:tcPr>
          <w:p w14:paraId="4A8B1AC5"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w:t>
            </w:r>
          </w:p>
        </w:tc>
      </w:tr>
      <w:tr w:rsidR="00D42F78" w:rsidRPr="00D42F78" w14:paraId="248770F6" w14:textId="77777777" w:rsidTr="00CE76B6">
        <w:trPr>
          <w:trHeight w:val="250"/>
        </w:trPr>
        <w:tc>
          <w:tcPr>
            <w:tcW w:w="567" w:type="dxa"/>
            <w:tcBorders>
              <w:top w:val="nil"/>
              <w:left w:val="single" w:sz="4" w:space="0" w:color="C0C0C0"/>
              <w:bottom w:val="single" w:sz="4" w:space="0" w:color="C0C0C0"/>
              <w:right w:val="nil"/>
            </w:tcBorders>
            <w:shd w:val="clear" w:color="000000" w:fill="FFFFCC"/>
            <w:noWrap/>
            <w:vAlign w:val="center"/>
            <w:hideMark/>
          </w:tcPr>
          <w:p w14:paraId="6451C57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4</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3010BAD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84</w:t>
            </w:r>
          </w:p>
        </w:tc>
        <w:tc>
          <w:tcPr>
            <w:tcW w:w="2316" w:type="dxa"/>
            <w:tcBorders>
              <w:top w:val="nil"/>
              <w:left w:val="nil"/>
              <w:bottom w:val="single" w:sz="4" w:space="0" w:color="C0C0C0"/>
              <w:right w:val="nil"/>
            </w:tcBorders>
            <w:shd w:val="clear" w:color="000000" w:fill="FFFFCC"/>
            <w:noWrap/>
            <w:vAlign w:val="center"/>
            <w:hideMark/>
          </w:tcPr>
          <w:p w14:paraId="0CDCEA2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DC143 - str. Nicolae Iorga</w:t>
            </w:r>
          </w:p>
        </w:tc>
        <w:tc>
          <w:tcPr>
            <w:tcW w:w="1418" w:type="dxa"/>
            <w:tcBorders>
              <w:top w:val="nil"/>
              <w:left w:val="single" w:sz="4" w:space="0" w:color="C0C0C0"/>
              <w:bottom w:val="single" w:sz="4" w:space="0" w:color="C0C0C0"/>
              <w:right w:val="nil"/>
            </w:tcBorders>
            <w:shd w:val="clear" w:color="000000" w:fill="FFFFCC"/>
            <w:noWrap/>
            <w:vAlign w:val="center"/>
            <w:hideMark/>
          </w:tcPr>
          <w:p w14:paraId="120FB36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7F62836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0,54</w:t>
            </w:r>
          </w:p>
        </w:tc>
        <w:tc>
          <w:tcPr>
            <w:tcW w:w="1218" w:type="dxa"/>
            <w:tcBorders>
              <w:top w:val="single" w:sz="4" w:space="0" w:color="C0C0C0"/>
              <w:left w:val="nil"/>
              <w:bottom w:val="single" w:sz="4" w:space="0" w:color="C0C0C0"/>
              <w:right w:val="single" w:sz="4" w:space="0" w:color="C0C0C0"/>
            </w:tcBorders>
            <w:shd w:val="clear" w:color="000000" w:fill="FFFFCC"/>
            <w:noWrap/>
            <w:vAlign w:val="center"/>
            <w:hideMark/>
          </w:tcPr>
          <w:p w14:paraId="01590D5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5060CE1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6,18</w:t>
            </w:r>
          </w:p>
        </w:tc>
        <w:tc>
          <w:tcPr>
            <w:tcW w:w="1275" w:type="dxa"/>
            <w:tcBorders>
              <w:top w:val="single" w:sz="4" w:space="0" w:color="C0C0C0"/>
              <w:left w:val="nil"/>
              <w:bottom w:val="single" w:sz="4" w:space="0" w:color="C0C0C0"/>
              <w:right w:val="single" w:sz="4" w:space="0" w:color="C0C0C0"/>
            </w:tcBorders>
            <w:shd w:val="clear" w:color="000000" w:fill="FFFFCC"/>
            <w:noWrap/>
            <w:vAlign w:val="center"/>
            <w:hideMark/>
          </w:tcPr>
          <w:p w14:paraId="2CCF374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r w:rsidR="00D42F78" w:rsidRPr="00D42F78" w14:paraId="52A12F44" w14:textId="77777777" w:rsidTr="00CE76B6">
        <w:trPr>
          <w:trHeight w:val="250"/>
        </w:trPr>
        <w:tc>
          <w:tcPr>
            <w:tcW w:w="567" w:type="dxa"/>
            <w:tcBorders>
              <w:top w:val="nil"/>
              <w:left w:val="single" w:sz="4" w:space="0" w:color="C0C0C0"/>
              <w:bottom w:val="single" w:sz="4" w:space="0" w:color="C0C0C0"/>
              <w:right w:val="nil"/>
            </w:tcBorders>
            <w:shd w:val="clear" w:color="000000" w:fill="CCFFFF"/>
            <w:noWrap/>
            <w:vAlign w:val="center"/>
            <w:hideMark/>
          </w:tcPr>
          <w:p w14:paraId="7B05579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5</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16FF48D4"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85</w:t>
            </w:r>
          </w:p>
        </w:tc>
        <w:tc>
          <w:tcPr>
            <w:tcW w:w="2316" w:type="dxa"/>
            <w:tcBorders>
              <w:top w:val="nil"/>
              <w:left w:val="nil"/>
              <w:bottom w:val="single" w:sz="4" w:space="0" w:color="C0C0C0"/>
              <w:right w:val="nil"/>
            </w:tcBorders>
            <w:shd w:val="clear" w:color="000000" w:fill="CCFFFF"/>
            <w:noWrap/>
            <w:vAlign w:val="center"/>
            <w:hideMark/>
          </w:tcPr>
          <w:p w14:paraId="5A99AD6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DC 143 – str. Mihai Viteazu</w:t>
            </w:r>
          </w:p>
        </w:tc>
        <w:tc>
          <w:tcPr>
            <w:tcW w:w="1418" w:type="dxa"/>
            <w:tcBorders>
              <w:top w:val="nil"/>
              <w:left w:val="single" w:sz="4" w:space="0" w:color="C0C0C0"/>
              <w:bottom w:val="single" w:sz="4" w:space="0" w:color="C0C0C0"/>
              <w:right w:val="nil"/>
            </w:tcBorders>
            <w:shd w:val="clear" w:color="000000" w:fill="CCFFFF"/>
            <w:noWrap/>
            <w:vAlign w:val="center"/>
            <w:hideMark/>
          </w:tcPr>
          <w:p w14:paraId="549D3D3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2F41BB0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2,28</w:t>
            </w:r>
          </w:p>
        </w:tc>
        <w:tc>
          <w:tcPr>
            <w:tcW w:w="1218" w:type="dxa"/>
            <w:tcBorders>
              <w:top w:val="single" w:sz="4" w:space="0" w:color="C0C0C0"/>
              <w:left w:val="nil"/>
              <w:bottom w:val="single" w:sz="4" w:space="0" w:color="C0C0C0"/>
              <w:right w:val="single" w:sz="4" w:space="0" w:color="C0C0C0"/>
            </w:tcBorders>
            <w:shd w:val="clear" w:color="000000" w:fill="CCFFFF"/>
            <w:noWrap/>
            <w:vAlign w:val="center"/>
            <w:hideMark/>
          </w:tcPr>
          <w:p w14:paraId="07AFB0F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7A23BB0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5,27</w:t>
            </w:r>
          </w:p>
        </w:tc>
        <w:tc>
          <w:tcPr>
            <w:tcW w:w="1275" w:type="dxa"/>
            <w:tcBorders>
              <w:top w:val="single" w:sz="4" w:space="0" w:color="C0C0C0"/>
              <w:left w:val="nil"/>
              <w:bottom w:val="single" w:sz="4" w:space="0" w:color="C0C0C0"/>
              <w:right w:val="single" w:sz="4" w:space="0" w:color="C0C0C0"/>
            </w:tcBorders>
            <w:shd w:val="clear" w:color="000000" w:fill="CCFFFF"/>
            <w:noWrap/>
            <w:vAlign w:val="center"/>
            <w:hideMark/>
          </w:tcPr>
          <w:p w14:paraId="47CB059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r w:rsidR="00D42F78" w:rsidRPr="00D42F78" w14:paraId="5540FDEE" w14:textId="77777777" w:rsidTr="00CE76B6">
        <w:trPr>
          <w:trHeight w:val="250"/>
        </w:trPr>
        <w:tc>
          <w:tcPr>
            <w:tcW w:w="567" w:type="dxa"/>
            <w:tcBorders>
              <w:top w:val="nil"/>
              <w:left w:val="single" w:sz="4" w:space="0" w:color="C0C0C0"/>
              <w:bottom w:val="single" w:sz="4" w:space="0" w:color="C0C0C0"/>
              <w:right w:val="nil"/>
            </w:tcBorders>
            <w:shd w:val="clear" w:color="000000" w:fill="FFFFCC"/>
            <w:noWrap/>
            <w:vAlign w:val="center"/>
            <w:hideMark/>
          </w:tcPr>
          <w:p w14:paraId="0C9F284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6</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50D83CAC"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86</w:t>
            </w:r>
          </w:p>
        </w:tc>
        <w:tc>
          <w:tcPr>
            <w:tcW w:w="2316" w:type="dxa"/>
            <w:tcBorders>
              <w:top w:val="nil"/>
              <w:left w:val="nil"/>
              <w:bottom w:val="single" w:sz="4" w:space="0" w:color="C0C0C0"/>
              <w:right w:val="nil"/>
            </w:tcBorders>
            <w:shd w:val="clear" w:color="000000" w:fill="FFFFCC"/>
            <w:noWrap/>
            <w:vAlign w:val="center"/>
            <w:hideMark/>
          </w:tcPr>
          <w:p w14:paraId="129C846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DN67 - Str. Căpitan Maldăr</w:t>
            </w:r>
          </w:p>
        </w:tc>
        <w:tc>
          <w:tcPr>
            <w:tcW w:w="1418" w:type="dxa"/>
            <w:tcBorders>
              <w:top w:val="nil"/>
              <w:left w:val="single" w:sz="4" w:space="0" w:color="C0C0C0"/>
              <w:bottom w:val="single" w:sz="4" w:space="0" w:color="C0C0C0"/>
              <w:right w:val="nil"/>
            </w:tcBorders>
            <w:shd w:val="clear" w:color="000000" w:fill="FFFFCC"/>
            <w:noWrap/>
            <w:vAlign w:val="center"/>
            <w:hideMark/>
          </w:tcPr>
          <w:p w14:paraId="198F345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Stop pe doua directii</w:t>
            </w:r>
          </w:p>
        </w:tc>
        <w:tc>
          <w:tcPr>
            <w:tcW w:w="1050"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25D6A7F2"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1,88</w:t>
            </w:r>
          </w:p>
        </w:tc>
        <w:tc>
          <w:tcPr>
            <w:tcW w:w="1218" w:type="dxa"/>
            <w:tcBorders>
              <w:top w:val="single" w:sz="4" w:space="0" w:color="C0C0C0"/>
              <w:left w:val="nil"/>
              <w:bottom w:val="single" w:sz="4" w:space="0" w:color="C0C0C0"/>
              <w:right w:val="single" w:sz="4" w:space="0" w:color="C0C0C0"/>
            </w:tcBorders>
            <w:shd w:val="clear" w:color="000000" w:fill="FFFFCC"/>
            <w:noWrap/>
            <w:vAlign w:val="center"/>
            <w:hideMark/>
          </w:tcPr>
          <w:p w14:paraId="36F5C24F"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0D2C30E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24,22</w:t>
            </w:r>
          </w:p>
        </w:tc>
        <w:tc>
          <w:tcPr>
            <w:tcW w:w="1275" w:type="dxa"/>
            <w:tcBorders>
              <w:top w:val="single" w:sz="4" w:space="0" w:color="C0C0C0"/>
              <w:left w:val="nil"/>
              <w:bottom w:val="single" w:sz="4" w:space="0" w:color="C0C0C0"/>
              <w:right w:val="single" w:sz="4" w:space="0" w:color="C0C0C0"/>
            </w:tcBorders>
            <w:shd w:val="clear" w:color="000000" w:fill="FFFFCC"/>
            <w:noWrap/>
            <w:vAlign w:val="center"/>
            <w:hideMark/>
          </w:tcPr>
          <w:p w14:paraId="735D16CF"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w:t>
            </w:r>
          </w:p>
        </w:tc>
      </w:tr>
      <w:tr w:rsidR="00D42F78" w:rsidRPr="00D42F78" w14:paraId="019BA2DD" w14:textId="77777777" w:rsidTr="00CE76B6">
        <w:trPr>
          <w:trHeight w:val="250"/>
        </w:trPr>
        <w:tc>
          <w:tcPr>
            <w:tcW w:w="567" w:type="dxa"/>
            <w:tcBorders>
              <w:top w:val="nil"/>
              <w:left w:val="single" w:sz="4" w:space="0" w:color="C0C0C0"/>
              <w:bottom w:val="single" w:sz="4" w:space="0" w:color="C0C0C0"/>
              <w:right w:val="nil"/>
            </w:tcBorders>
            <w:shd w:val="clear" w:color="000000" w:fill="CCFFFF"/>
            <w:noWrap/>
            <w:vAlign w:val="center"/>
            <w:hideMark/>
          </w:tcPr>
          <w:p w14:paraId="395A81A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7</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602DD17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88</w:t>
            </w:r>
          </w:p>
        </w:tc>
        <w:tc>
          <w:tcPr>
            <w:tcW w:w="2316" w:type="dxa"/>
            <w:tcBorders>
              <w:top w:val="nil"/>
              <w:left w:val="nil"/>
              <w:bottom w:val="single" w:sz="4" w:space="0" w:color="C0C0C0"/>
              <w:right w:val="nil"/>
            </w:tcBorders>
            <w:shd w:val="clear" w:color="000000" w:fill="CCFFFF"/>
            <w:noWrap/>
            <w:vAlign w:val="center"/>
            <w:hideMark/>
          </w:tcPr>
          <w:p w14:paraId="58C9B99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13 - DC 139 – DN 67 (A)</w:t>
            </w:r>
          </w:p>
        </w:tc>
        <w:tc>
          <w:tcPr>
            <w:tcW w:w="1418" w:type="dxa"/>
            <w:tcBorders>
              <w:top w:val="nil"/>
              <w:left w:val="single" w:sz="4" w:space="0" w:color="C0C0C0"/>
              <w:bottom w:val="single" w:sz="4" w:space="0" w:color="C0C0C0"/>
              <w:right w:val="nil"/>
            </w:tcBorders>
            <w:shd w:val="clear" w:color="000000" w:fill="CCFFFF"/>
            <w:noWrap/>
            <w:vAlign w:val="center"/>
            <w:hideMark/>
          </w:tcPr>
          <w:p w14:paraId="4DE1BD42"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Stop pe doua directii</w:t>
            </w:r>
          </w:p>
        </w:tc>
        <w:tc>
          <w:tcPr>
            <w:tcW w:w="1050"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682659ED"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1,05</w:t>
            </w:r>
          </w:p>
        </w:tc>
        <w:tc>
          <w:tcPr>
            <w:tcW w:w="1218" w:type="dxa"/>
            <w:tcBorders>
              <w:top w:val="single" w:sz="4" w:space="0" w:color="C0C0C0"/>
              <w:left w:val="nil"/>
              <w:bottom w:val="single" w:sz="4" w:space="0" w:color="C0C0C0"/>
              <w:right w:val="single" w:sz="4" w:space="0" w:color="C0C0C0"/>
            </w:tcBorders>
            <w:shd w:val="clear" w:color="000000" w:fill="CCFFFF"/>
            <w:noWrap/>
            <w:vAlign w:val="center"/>
            <w:hideMark/>
          </w:tcPr>
          <w:p w14:paraId="2254C7D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29836EC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24,61</w:t>
            </w:r>
          </w:p>
        </w:tc>
        <w:tc>
          <w:tcPr>
            <w:tcW w:w="1275" w:type="dxa"/>
            <w:tcBorders>
              <w:top w:val="single" w:sz="4" w:space="0" w:color="C0C0C0"/>
              <w:left w:val="nil"/>
              <w:bottom w:val="single" w:sz="4" w:space="0" w:color="C0C0C0"/>
              <w:right w:val="single" w:sz="4" w:space="0" w:color="C0C0C0"/>
            </w:tcBorders>
            <w:shd w:val="clear" w:color="000000" w:fill="CCFFFF"/>
            <w:noWrap/>
            <w:vAlign w:val="center"/>
            <w:hideMark/>
          </w:tcPr>
          <w:p w14:paraId="323DA2CF"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w:t>
            </w:r>
          </w:p>
        </w:tc>
      </w:tr>
      <w:tr w:rsidR="00D42F78" w:rsidRPr="00D42F78" w14:paraId="7B360977" w14:textId="77777777" w:rsidTr="00CE76B6">
        <w:trPr>
          <w:trHeight w:val="250"/>
        </w:trPr>
        <w:tc>
          <w:tcPr>
            <w:tcW w:w="567" w:type="dxa"/>
            <w:tcBorders>
              <w:top w:val="nil"/>
              <w:left w:val="single" w:sz="4" w:space="0" w:color="C0C0C0"/>
              <w:bottom w:val="single" w:sz="4" w:space="0" w:color="C0C0C0"/>
              <w:right w:val="nil"/>
            </w:tcBorders>
            <w:shd w:val="clear" w:color="000000" w:fill="FFFFCC"/>
            <w:noWrap/>
            <w:vAlign w:val="center"/>
            <w:hideMark/>
          </w:tcPr>
          <w:p w14:paraId="4AC3AC9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8</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4FC0C81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89</w:t>
            </w:r>
          </w:p>
        </w:tc>
        <w:tc>
          <w:tcPr>
            <w:tcW w:w="2316" w:type="dxa"/>
            <w:tcBorders>
              <w:top w:val="nil"/>
              <w:left w:val="nil"/>
              <w:bottom w:val="single" w:sz="4" w:space="0" w:color="C0C0C0"/>
              <w:right w:val="nil"/>
            </w:tcBorders>
            <w:shd w:val="clear" w:color="000000" w:fill="FFFFCC"/>
            <w:noWrap/>
            <w:vAlign w:val="center"/>
            <w:hideMark/>
          </w:tcPr>
          <w:p w14:paraId="31C8F83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13 - DC 139 – DN 67 (B)</w:t>
            </w:r>
          </w:p>
        </w:tc>
        <w:tc>
          <w:tcPr>
            <w:tcW w:w="1418" w:type="dxa"/>
            <w:tcBorders>
              <w:top w:val="nil"/>
              <w:left w:val="single" w:sz="4" w:space="0" w:color="C0C0C0"/>
              <w:bottom w:val="single" w:sz="4" w:space="0" w:color="C0C0C0"/>
              <w:right w:val="nil"/>
            </w:tcBorders>
            <w:shd w:val="clear" w:color="000000" w:fill="FFFFCC"/>
            <w:noWrap/>
            <w:vAlign w:val="center"/>
            <w:hideMark/>
          </w:tcPr>
          <w:p w14:paraId="05E82CD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Stop pe doua directii</w:t>
            </w:r>
          </w:p>
        </w:tc>
        <w:tc>
          <w:tcPr>
            <w:tcW w:w="1050"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370D883A"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0,74</w:t>
            </w:r>
          </w:p>
        </w:tc>
        <w:tc>
          <w:tcPr>
            <w:tcW w:w="1218" w:type="dxa"/>
            <w:tcBorders>
              <w:top w:val="single" w:sz="4" w:space="0" w:color="C0C0C0"/>
              <w:left w:val="nil"/>
              <w:bottom w:val="single" w:sz="4" w:space="0" w:color="C0C0C0"/>
              <w:right w:val="single" w:sz="4" w:space="0" w:color="C0C0C0"/>
            </w:tcBorders>
            <w:shd w:val="clear" w:color="000000" w:fill="FFFFCC"/>
            <w:noWrap/>
            <w:vAlign w:val="center"/>
            <w:hideMark/>
          </w:tcPr>
          <w:p w14:paraId="1D2FFB8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54D1377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21,55</w:t>
            </w:r>
          </w:p>
        </w:tc>
        <w:tc>
          <w:tcPr>
            <w:tcW w:w="1275" w:type="dxa"/>
            <w:tcBorders>
              <w:top w:val="single" w:sz="4" w:space="0" w:color="C0C0C0"/>
              <w:left w:val="nil"/>
              <w:bottom w:val="single" w:sz="4" w:space="0" w:color="C0C0C0"/>
              <w:right w:val="single" w:sz="4" w:space="0" w:color="C0C0C0"/>
            </w:tcBorders>
            <w:shd w:val="clear" w:color="000000" w:fill="FFFFCC"/>
            <w:noWrap/>
            <w:vAlign w:val="center"/>
            <w:hideMark/>
          </w:tcPr>
          <w:p w14:paraId="7948DC3D"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w:t>
            </w:r>
          </w:p>
        </w:tc>
      </w:tr>
      <w:tr w:rsidR="00D42F78" w:rsidRPr="00D42F78" w14:paraId="2069A113" w14:textId="77777777" w:rsidTr="00CE76B6">
        <w:trPr>
          <w:trHeight w:val="250"/>
        </w:trPr>
        <w:tc>
          <w:tcPr>
            <w:tcW w:w="567" w:type="dxa"/>
            <w:tcBorders>
              <w:top w:val="nil"/>
              <w:left w:val="single" w:sz="4" w:space="0" w:color="C0C0C0"/>
              <w:bottom w:val="single" w:sz="4" w:space="0" w:color="C0C0C0"/>
              <w:right w:val="nil"/>
            </w:tcBorders>
            <w:shd w:val="clear" w:color="000000" w:fill="CCFFFF"/>
            <w:noWrap/>
            <w:vAlign w:val="center"/>
            <w:hideMark/>
          </w:tcPr>
          <w:p w14:paraId="63161D6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9</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6273E0E5"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90</w:t>
            </w:r>
          </w:p>
        </w:tc>
        <w:tc>
          <w:tcPr>
            <w:tcW w:w="2316" w:type="dxa"/>
            <w:tcBorders>
              <w:top w:val="nil"/>
              <w:left w:val="nil"/>
              <w:bottom w:val="single" w:sz="4" w:space="0" w:color="C0C0C0"/>
              <w:right w:val="nil"/>
            </w:tcBorders>
            <w:shd w:val="clear" w:color="000000" w:fill="CCFFFF"/>
            <w:noWrap/>
            <w:vAlign w:val="center"/>
            <w:hideMark/>
          </w:tcPr>
          <w:p w14:paraId="1287AC8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DN67 - Str. Zăvoiului</w:t>
            </w:r>
          </w:p>
        </w:tc>
        <w:tc>
          <w:tcPr>
            <w:tcW w:w="1418" w:type="dxa"/>
            <w:tcBorders>
              <w:top w:val="nil"/>
              <w:left w:val="single" w:sz="4" w:space="0" w:color="C0C0C0"/>
              <w:bottom w:val="single" w:sz="4" w:space="0" w:color="C0C0C0"/>
              <w:right w:val="nil"/>
            </w:tcBorders>
            <w:shd w:val="clear" w:color="000000" w:fill="CCFFFF"/>
            <w:noWrap/>
            <w:vAlign w:val="center"/>
            <w:hideMark/>
          </w:tcPr>
          <w:p w14:paraId="79F269C4"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Stop pe doua directii</w:t>
            </w:r>
          </w:p>
        </w:tc>
        <w:tc>
          <w:tcPr>
            <w:tcW w:w="1050"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63D0834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0,93</w:t>
            </w:r>
          </w:p>
        </w:tc>
        <w:tc>
          <w:tcPr>
            <w:tcW w:w="1218" w:type="dxa"/>
            <w:tcBorders>
              <w:top w:val="single" w:sz="4" w:space="0" w:color="C0C0C0"/>
              <w:left w:val="nil"/>
              <w:bottom w:val="single" w:sz="4" w:space="0" w:color="C0C0C0"/>
              <w:right w:val="single" w:sz="4" w:space="0" w:color="C0C0C0"/>
            </w:tcBorders>
            <w:shd w:val="clear" w:color="000000" w:fill="CCFFFF"/>
            <w:noWrap/>
            <w:vAlign w:val="center"/>
            <w:hideMark/>
          </w:tcPr>
          <w:p w14:paraId="51493D64"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F</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01C5162D"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15,55</w:t>
            </w:r>
          </w:p>
        </w:tc>
        <w:tc>
          <w:tcPr>
            <w:tcW w:w="1275" w:type="dxa"/>
            <w:tcBorders>
              <w:top w:val="single" w:sz="4" w:space="0" w:color="C0C0C0"/>
              <w:left w:val="nil"/>
              <w:bottom w:val="single" w:sz="4" w:space="0" w:color="C0C0C0"/>
              <w:right w:val="single" w:sz="4" w:space="0" w:color="C0C0C0"/>
            </w:tcBorders>
            <w:shd w:val="clear" w:color="000000" w:fill="CCFFFF"/>
            <w:noWrap/>
            <w:vAlign w:val="center"/>
            <w:hideMark/>
          </w:tcPr>
          <w:p w14:paraId="00F05E9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F</w:t>
            </w:r>
          </w:p>
        </w:tc>
      </w:tr>
      <w:tr w:rsidR="00D42F78" w:rsidRPr="00D42F78" w14:paraId="0DA840E0" w14:textId="77777777" w:rsidTr="00CE76B6">
        <w:trPr>
          <w:trHeight w:val="250"/>
        </w:trPr>
        <w:tc>
          <w:tcPr>
            <w:tcW w:w="567" w:type="dxa"/>
            <w:tcBorders>
              <w:top w:val="nil"/>
              <w:left w:val="single" w:sz="4" w:space="0" w:color="C0C0C0"/>
              <w:bottom w:val="single" w:sz="4" w:space="0" w:color="C0C0C0"/>
              <w:right w:val="nil"/>
            </w:tcBorders>
            <w:shd w:val="clear" w:color="000000" w:fill="FFFFCC"/>
            <w:noWrap/>
            <w:vAlign w:val="center"/>
            <w:hideMark/>
          </w:tcPr>
          <w:p w14:paraId="0F5514B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10</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4E0772E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91</w:t>
            </w:r>
          </w:p>
        </w:tc>
        <w:tc>
          <w:tcPr>
            <w:tcW w:w="2316" w:type="dxa"/>
            <w:tcBorders>
              <w:top w:val="nil"/>
              <w:left w:val="nil"/>
              <w:bottom w:val="single" w:sz="4" w:space="0" w:color="C0C0C0"/>
              <w:right w:val="nil"/>
            </w:tcBorders>
            <w:shd w:val="clear" w:color="000000" w:fill="FFFFCC"/>
            <w:noWrap/>
            <w:vAlign w:val="center"/>
            <w:hideMark/>
          </w:tcPr>
          <w:p w14:paraId="0ECECFC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 xml:space="preserve"> DC 142 – str. Matei Basarab</w:t>
            </w:r>
          </w:p>
        </w:tc>
        <w:tc>
          <w:tcPr>
            <w:tcW w:w="1418" w:type="dxa"/>
            <w:tcBorders>
              <w:top w:val="nil"/>
              <w:left w:val="single" w:sz="4" w:space="0" w:color="C0C0C0"/>
              <w:bottom w:val="single" w:sz="4" w:space="0" w:color="C0C0C0"/>
              <w:right w:val="nil"/>
            </w:tcBorders>
            <w:shd w:val="clear" w:color="000000" w:fill="FFFFCC"/>
            <w:noWrap/>
            <w:vAlign w:val="center"/>
            <w:hideMark/>
          </w:tcPr>
          <w:p w14:paraId="2F060A1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15BD02EC"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0,31</w:t>
            </w:r>
          </w:p>
        </w:tc>
        <w:tc>
          <w:tcPr>
            <w:tcW w:w="1218" w:type="dxa"/>
            <w:tcBorders>
              <w:top w:val="single" w:sz="4" w:space="0" w:color="C0C0C0"/>
              <w:left w:val="nil"/>
              <w:bottom w:val="single" w:sz="4" w:space="0" w:color="C0C0C0"/>
              <w:right w:val="single" w:sz="4" w:space="0" w:color="C0C0C0"/>
            </w:tcBorders>
            <w:shd w:val="clear" w:color="000000" w:fill="FFFFCC"/>
            <w:noWrap/>
            <w:vAlign w:val="center"/>
            <w:hideMark/>
          </w:tcPr>
          <w:p w14:paraId="0F25DBEC"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3A72AB7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4,92</w:t>
            </w:r>
          </w:p>
        </w:tc>
        <w:tc>
          <w:tcPr>
            <w:tcW w:w="1275" w:type="dxa"/>
            <w:tcBorders>
              <w:top w:val="single" w:sz="4" w:space="0" w:color="C0C0C0"/>
              <w:left w:val="nil"/>
              <w:bottom w:val="single" w:sz="4" w:space="0" w:color="C0C0C0"/>
              <w:right w:val="single" w:sz="4" w:space="0" w:color="C0C0C0"/>
            </w:tcBorders>
            <w:shd w:val="clear" w:color="000000" w:fill="FFFFCC"/>
            <w:noWrap/>
            <w:vAlign w:val="center"/>
            <w:hideMark/>
          </w:tcPr>
          <w:p w14:paraId="5C2835E4"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r w:rsidR="00D42F78" w:rsidRPr="00D42F78" w14:paraId="1D4BC2C0" w14:textId="77777777" w:rsidTr="00CE76B6">
        <w:trPr>
          <w:trHeight w:val="250"/>
        </w:trPr>
        <w:tc>
          <w:tcPr>
            <w:tcW w:w="567" w:type="dxa"/>
            <w:tcBorders>
              <w:top w:val="nil"/>
              <w:left w:val="single" w:sz="4" w:space="0" w:color="C0C0C0"/>
              <w:bottom w:val="single" w:sz="4" w:space="0" w:color="C0C0C0"/>
              <w:right w:val="nil"/>
            </w:tcBorders>
            <w:shd w:val="clear" w:color="000000" w:fill="CCFFFF"/>
            <w:noWrap/>
            <w:vAlign w:val="center"/>
            <w:hideMark/>
          </w:tcPr>
          <w:p w14:paraId="0ACD8B1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11</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0A5D062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94</w:t>
            </w:r>
          </w:p>
        </w:tc>
        <w:tc>
          <w:tcPr>
            <w:tcW w:w="2316" w:type="dxa"/>
            <w:tcBorders>
              <w:top w:val="nil"/>
              <w:left w:val="nil"/>
              <w:bottom w:val="single" w:sz="4" w:space="0" w:color="C0C0C0"/>
              <w:right w:val="nil"/>
            </w:tcBorders>
            <w:shd w:val="clear" w:color="000000" w:fill="CCFFFF"/>
            <w:noWrap/>
            <w:vAlign w:val="center"/>
            <w:hideMark/>
          </w:tcPr>
          <w:p w14:paraId="2DC122F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DN67 - George Coșbuc</w:t>
            </w:r>
          </w:p>
        </w:tc>
        <w:tc>
          <w:tcPr>
            <w:tcW w:w="1418" w:type="dxa"/>
            <w:tcBorders>
              <w:top w:val="nil"/>
              <w:left w:val="single" w:sz="4" w:space="0" w:color="C0C0C0"/>
              <w:bottom w:val="single" w:sz="4" w:space="0" w:color="C0C0C0"/>
              <w:right w:val="nil"/>
            </w:tcBorders>
            <w:shd w:val="clear" w:color="000000" w:fill="CCFFFF"/>
            <w:noWrap/>
            <w:vAlign w:val="center"/>
            <w:hideMark/>
          </w:tcPr>
          <w:p w14:paraId="656724B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Stop pe doua directii</w:t>
            </w:r>
          </w:p>
        </w:tc>
        <w:tc>
          <w:tcPr>
            <w:tcW w:w="1050"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40F74E4D"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2,40</w:t>
            </w:r>
          </w:p>
        </w:tc>
        <w:tc>
          <w:tcPr>
            <w:tcW w:w="1218" w:type="dxa"/>
            <w:tcBorders>
              <w:top w:val="single" w:sz="4" w:space="0" w:color="C0C0C0"/>
              <w:left w:val="nil"/>
              <w:bottom w:val="single" w:sz="4" w:space="0" w:color="C0C0C0"/>
              <w:right w:val="single" w:sz="4" w:space="0" w:color="C0C0C0"/>
            </w:tcBorders>
            <w:shd w:val="clear" w:color="000000" w:fill="CCFFFF"/>
            <w:noWrap/>
            <w:vAlign w:val="center"/>
            <w:hideMark/>
          </w:tcPr>
          <w:p w14:paraId="6A83BC0F"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F</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5AD26E5A"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24,98</w:t>
            </w:r>
          </w:p>
        </w:tc>
        <w:tc>
          <w:tcPr>
            <w:tcW w:w="1275" w:type="dxa"/>
            <w:tcBorders>
              <w:top w:val="single" w:sz="4" w:space="0" w:color="C0C0C0"/>
              <w:left w:val="nil"/>
              <w:bottom w:val="single" w:sz="4" w:space="0" w:color="C0C0C0"/>
              <w:right w:val="single" w:sz="4" w:space="0" w:color="C0C0C0"/>
            </w:tcBorders>
            <w:shd w:val="clear" w:color="000000" w:fill="CCFFFF"/>
            <w:noWrap/>
            <w:vAlign w:val="center"/>
            <w:hideMark/>
          </w:tcPr>
          <w:p w14:paraId="55E069E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F</w:t>
            </w:r>
          </w:p>
        </w:tc>
      </w:tr>
      <w:tr w:rsidR="00D42F78" w:rsidRPr="00D42F78" w14:paraId="6541046F" w14:textId="77777777" w:rsidTr="00CE76B6">
        <w:trPr>
          <w:trHeight w:val="250"/>
        </w:trPr>
        <w:tc>
          <w:tcPr>
            <w:tcW w:w="567" w:type="dxa"/>
            <w:tcBorders>
              <w:top w:val="nil"/>
              <w:left w:val="single" w:sz="4" w:space="0" w:color="C0C0C0"/>
              <w:bottom w:val="single" w:sz="4" w:space="0" w:color="C0C0C0"/>
              <w:right w:val="nil"/>
            </w:tcBorders>
            <w:shd w:val="clear" w:color="000000" w:fill="FFFFCC"/>
            <w:noWrap/>
            <w:vAlign w:val="center"/>
            <w:hideMark/>
          </w:tcPr>
          <w:p w14:paraId="7E7AEE94"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12</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4D1F91C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98</w:t>
            </w:r>
          </w:p>
        </w:tc>
        <w:tc>
          <w:tcPr>
            <w:tcW w:w="2316" w:type="dxa"/>
            <w:tcBorders>
              <w:top w:val="nil"/>
              <w:left w:val="nil"/>
              <w:bottom w:val="single" w:sz="4" w:space="0" w:color="C0C0C0"/>
              <w:right w:val="nil"/>
            </w:tcBorders>
            <w:shd w:val="clear" w:color="000000" w:fill="FFFFCC"/>
            <w:noWrap/>
            <w:vAlign w:val="center"/>
            <w:hideMark/>
          </w:tcPr>
          <w:p w14:paraId="4F27B23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DC 143 – str. Mihai Viteazu</w:t>
            </w:r>
          </w:p>
        </w:tc>
        <w:tc>
          <w:tcPr>
            <w:tcW w:w="1418" w:type="dxa"/>
            <w:tcBorders>
              <w:top w:val="nil"/>
              <w:left w:val="single" w:sz="4" w:space="0" w:color="C0C0C0"/>
              <w:bottom w:val="single" w:sz="4" w:space="0" w:color="C0C0C0"/>
              <w:right w:val="nil"/>
            </w:tcBorders>
            <w:shd w:val="clear" w:color="000000" w:fill="FFFFCC"/>
            <w:noWrap/>
            <w:vAlign w:val="center"/>
            <w:hideMark/>
          </w:tcPr>
          <w:p w14:paraId="40EBDF2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33DD0E2C"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2,39</w:t>
            </w:r>
          </w:p>
        </w:tc>
        <w:tc>
          <w:tcPr>
            <w:tcW w:w="1218" w:type="dxa"/>
            <w:tcBorders>
              <w:top w:val="single" w:sz="4" w:space="0" w:color="C0C0C0"/>
              <w:left w:val="nil"/>
              <w:bottom w:val="single" w:sz="4" w:space="0" w:color="C0C0C0"/>
              <w:right w:val="single" w:sz="4" w:space="0" w:color="C0C0C0"/>
            </w:tcBorders>
            <w:shd w:val="clear" w:color="000000" w:fill="FFFFCC"/>
            <w:noWrap/>
            <w:vAlign w:val="center"/>
            <w:hideMark/>
          </w:tcPr>
          <w:p w14:paraId="4275858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318F5F5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3,91</w:t>
            </w:r>
          </w:p>
        </w:tc>
        <w:tc>
          <w:tcPr>
            <w:tcW w:w="1275" w:type="dxa"/>
            <w:tcBorders>
              <w:top w:val="single" w:sz="4" w:space="0" w:color="C0C0C0"/>
              <w:left w:val="nil"/>
              <w:bottom w:val="single" w:sz="4" w:space="0" w:color="C0C0C0"/>
              <w:right w:val="single" w:sz="4" w:space="0" w:color="C0C0C0"/>
            </w:tcBorders>
            <w:shd w:val="clear" w:color="000000" w:fill="FFFFCC"/>
            <w:noWrap/>
            <w:vAlign w:val="center"/>
            <w:hideMark/>
          </w:tcPr>
          <w:p w14:paraId="644925E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r w:rsidR="00D42F78" w:rsidRPr="00D42F78" w14:paraId="2B9B02AD" w14:textId="77777777" w:rsidTr="00CE76B6">
        <w:trPr>
          <w:trHeight w:val="250"/>
        </w:trPr>
        <w:tc>
          <w:tcPr>
            <w:tcW w:w="567" w:type="dxa"/>
            <w:tcBorders>
              <w:top w:val="nil"/>
              <w:left w:val="single" w:sz="4" w:space="0" w:color="C0C0C0"/>
              <w:bottom w:val="single" w:sz="4" w:space="0" w:color="C0C0C0"/>
              <w:right w:val="nil"/>
            </w:tcBorders>
            <w:shd w:val="clear" w:color="000000" w:fill="CCFFFF"/>
            <w:noWrap/>
            <w:vAlign w:val="center"/>
            <w:hideMark/>
          </w:tcPr>
          <w:p w14:paraId="0A54028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13</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53F18D3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153</w:t>
            </w:r>
          </w:p>
        </w:tc>
        <w:tc>
          <w:tcPr>
            <w:tcW w:w="2316" w:type="dxa"/>
            <w:tcBorders>
              <w:top w:val="nil"/>
              <w:left w:val="nil"/>
              <w:bottom w:val="single" w:sz="4" w:space="0" w:color="C0C0C0"/>
              <w:right w:val="nil"/>
            </w:tcBorders>
            <w:shd w:val="clear" w:color="000000" w:fill="CCFFFF"/>
            <w:noWrap/>
            <w:vAlign w:val="center"/>
            <w:hideMark/>
          </w:tcPr>
          <w:p w14:paraId="74C4770F"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 xml:space="preserve"> DN 67 – str. Stadionului</w:t>
            </w:r>
          </w:p>
        </w:tc>
        <w:tc>
          <w:tcPr>
            <w:tcW w:w="1418" w:type="dxa"/>
            <w:tcBorders>
              <w:top w:val="nil"/>
              <w:left w:val="single" w:sz="4" w:space="0" w:color="C0C0C0"/>
              <w:bottom w:val="single" w:sz="4" w:space="0" w:color="C0C0C0"/>
              <w:right w:val="nil"/>
            </w:tcBorders>
            <w:shd w:val="clear" w:color="000000" w:fill="CCFFFF"/>
            <w:noWrap/>
            <w:vAlign w:val="center"/>
            <w:hideMark/>
          </w:tcPr>
          <w:p w14:paraId="30187E1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36AA647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0,53</w:t>
            </w:r>
          </w:p>
        </w:tc>
        <w:tc>
          <w:tcPr>
            <w:tcW w:w="1218" w:type="dxa"/>
            <w:tcBorders>
              <w:top w:val="single" w:sz="4" w:space="0" w:color="C0C0C0"/>
              <w:left w:val="nil"/>
              <w:bottom w:val="single" w:sz="4" w:space="0" w:color="C0C0C0"/>
              <w:right w:val="single" w:sz="4" w:space="0" w:color="C0C0C0"/>
            </w:tcBorders>
            <w:shd w:val="clear" w:color="000000" w:fill="CCFFFF"/>
            <w:noWrap/>
            <w:vAlign w:val="center"/>
            <w:hideMark/>
          </w:tcPr>
          <w:p w14:paraId="41DD0BD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581BEC14"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9,54</w:t>
            </w:r>
          </w:p>
        </w:tc>
        <w:tc>
          <w:tcPr>
            <w:tcW w:w="1275" w:type="dxa"/>
            <w:tcBorders>
              <w:top w:val="single" w:sz="4" w:space="0" w:color="C0C0C0"/>
              <w:left w:val="nil"/>
              <w:bottom w:val="single" w:sz="4" w:space="0" w:color="C0C0C0"/>
              <w:right w:val="single" w:sz="4" w:space="0" w:color="C0C0C0"/>
            </w:tcBorders>
            <w:shd w:val="clear" w:color="000000" w:fill="CCFFFF"/>
            <w:noWrap/>
            <w:vAlign w:val="center"/>
            <w:hideMark/>
          </w:tcPr>
          <w:p w14:paraId="423CA53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r w:rsidR="00D42F78" w:rsidRPr="00D42F78" w14:paraId="45419463" w14:textId="77777777" w:rsidTr="00CE76B6">
        <w:trPr>
          <w:trHeight w:val="250"/>
        </w:trPr>
        <w:tc>
          <w:tcPr>
            <w:tcW w:w="567" w:type="dxa"/>
            <w:tcBorders>
              <w:top w:val="nil"/>
              <w:left w:val="single" w:sz="4" w:space="0" w:color="C0C0C0"/>
              <w:bottom w:val="single" w:sz="4" w:space="0" w:color="C0C0C0"/>
              <w:right w:val="nil"/>
            </w:tcBorders>
            <w:shd w:val="clear" w:color="000000" w:fill="FFFFCC"/>
            <w:noWrap/>
            <w:vAlign w:val="center"/>
            <w:hideMark/>
          </w:tcPr>
          <w:p w14:paraId="74C27C9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14</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643198B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162</w:t>
            </w:r>
          </w:p>
        </w:tc>
        <w:tc>
          <w:tcPr>
            <w:tcW w:w="2316" w:type="dxa"/>
            <w:tcBorders>
              <w:top w:val="nil"/>
              <w:left w:val="nil"/>
              <w:bottom w:val="single" w:sz="4" w:space="0" w:color="C0C0C0"/>
              <w:right w:val="nil"/>
            </w:tcBorders>
            <w:shd w:val="clear" w:color="000000" w:fill="FFFFCC"/>
            <w:noWrap/>
            <w:vAlign w:val="center"/>
            <w:hideMark/>
          </w:tcPr>
          <w:p w14:paraId="5DBCC72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 xml:space="preserve"> DC 144 – str. spre Romanii de Sus </w:t>
            </w:r>
            <w:r w:rsidRPr="00D42F78">
              <w:rPr>
                <w:rFonts w:ascii="Arial" w:eastAsia="Times New Roman" w:hAnsi="Arial" w:cs="Arial"/>
                <w:sz w:val="20"/>
                <w:szCs w:val="20"/>
              </w:rPr>
              <w:lastRenderedPageBreak/>
              <w:t>(Stejarului)</w:t>
            </w:r>
          </w:p>
        </w:tc>
        <w:tc>
          <w:tcPr>
            <w:tcW w:w="1418" w:type="dxa"/>
            <w:tcBorders>
              <w:top w:val="nil"/>
              <w:left w:val="single" w:sz="4" w:space="0" w:color="C0C0C0"/>
              <w:bottom w:val="single" w:sz="4" w:space="0" w:color="C0C0C0"/>
              <w:right w:val="nil"/>
            </w:tcBorders>
            <w:shd w:val="clear" w:color="000000" w:fill="FFFFCC"/>
            <w:noWrap/>
            <w:vAlign w:val="center"/>
            <w:hideMark/>
          </w:tcPr>
          <w:p w14:paraId="2E30E3C2"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lastRenderedPageBreak/>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249E52FC"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1,18</w:t>
            </w:r>
          </w:p>
        </w:tc>
        <w:tc>
          <w:tcPr>
            <w:tcW w:w="1218" w:type="dxa"/>
            <w:tcBorders>
              <w:top w:val="single" w:sz="4" w:space="0" w:color="C0C0C0"/>
              <w:left w:val="nil"/>
              <w:bottom w:val="single" w:sz="4" w:space="0" w:color="C0C0C0"/>
              <w:right w:val="single" w:sz="4" w:space="0" w:color="C0C0C0"/>
            </w:tcBorders>
            <w:shd w:val="clear" w:color="000000" w:fill="FFFFCC"/>
            <w:noWrap/>
            <w:vAlign w:val="center"/>
            <w:hideMark/>
          </w:tcPr>
          <w:p w14:paraId="68E2484A"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4BFC284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3,86</w:t>
            </w:r>
          </w:p>
        </w:tc>
        <w:tc>
          <w:tcPr>
            <w:tcW w:w="1275" w:type="dxa"/>
            <w:tcBorders>
              <w:top w:val="single" w:sz="4" w:space="0" w:color="C0C0C0"/>
              <w:left w:val="nil"/>
              <w:bottom w:val="single" w:sz="4" w:space="0" w:color="C0C0C0"/>
              <w:right w:val="single" w:sz="4" w:space="0" w:color="C0C0C0"/>
            </w:tcBorders>
            <w:shd w:val="clear" w:color="000000" w:fill="FFFFCC"/>
            <w:noWrap/>
            <w:vAlign w:val="center"/>
            <w:hideMark/>
          </w:tcPr>
          <w:p w14:paraId="23A327F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r w:rsidR="00D42F78" w:rsidRPr="00D42F78" w14:paraId="523311F9" w14:textId="77777777" w:rsidTr="00CE76B6">
        <w:trPr>
          <w:trHeight w:val="250"/>
        </w:trPr>
        <w:tc>
          <w:tcPr>
            <w:tcW w:w="567" w:type="dxa"/>
            <w:tcBorders>
              <w:top w:val="nil"/>
              <w:left w:val="single" w:sz="4" w:space="0" w:color="C0C0C0"/>
              <w:bottom w:val="single" w:sz="4" w:space="0" w:color="C0C0C0"/>
              <w:right w:val="nil"/>
            </w:tcBorders>
            <w:shd w:val="clear" w:color="000000" w:fill="CCFFFF"/>
            <w:noWrap/>
            <w:vAlign w:val="center"/>
            <w:hideMark/>
          </w:tcPr>
          <w:p w14:paraId="7FE6696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15</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4565E97C"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262</w:t>
            </w:r>
          </w:p>
        </w:tc>
        <w:tc>
          <w:tcPr>
            <w:tcW w:w="2316" w:type="dxa"/>
            <w:tcBorders>
              <w:top w:val="nil"/>
              <w:left w:val="nil"/>
              <w:bottom w:val="single" w:sz="4" w:space="0" w:color="C0C0C0"/>
              <w:right w:val="nil"/>
            </w:tcBorders>
            <w:shd w:val="clear" w:color="000000" w:fill="CCFFFF"/>
            <w:noWrap/>
            <w:vAlign w:val="center"/>
            <w:hideMark/>
          </w:tcPr>
          <w:p w14:paraId="71BB10E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DJ 669 – str. Manastirii</w:t>
            </w:r>
          </w:p>
        </w:tc>
        <w:tc>
          <w:tcPr>
            <w:tcW w:w="1418" w:type="dxa"/>
            <w:tcBorders>
              <w:top w:val="nil"/>
              <w:left w:val="single" w:sz="4" w:space="0" w:color="C0C0C0"/>
              <w:bottom w:val="single" w:sz="4" w:space="0" w:color="C0C0C0"/>
              <w:right w:val="nil"/>
            </w:tcBorders>
            <w:shd w:val="clear" w:color="000000" w:fill="CCFFFF"/>
            <w:noWrap/>
            <w:vAlign w:val="center"/>
            <w:hideMark/>
          </w:tcPr>
          <w:p w14:paraId="3083C25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Stop pe doua directii</w:t>
            </w:r>
          </w:p>
        </w:tc>
        <w:tc>
          <w:tcPr>
            <w:tcW w:w="1050"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49C235A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2,92</w:t>
            </w:r>
          </w:p>
        </w:tc>
        <w:tc>
          <w:tcPr>
            <w:tcW w:w="1218" w:type="dxa"/>
            <w:tcBorders>
              <w:top w:val="single" w:sz="4" w:space="0" w:color="C0C0C0"/>
              <w:left w:val="nil"/>
              <w:bottom w:val="single" w:sz="4" w:space="0" w:color="C0C0C0"/>
              <w:right w:val="single" w:sz="4" w:space="0" w:color="C0C0C0"/>
            </w:tcBorders>
            <w:shd w:val="clear" w:color="000000" w:fill="CCFFFF"/>
            <w:noWrap/>
            <w:vAlign w:val="center"/>
            <w:hideMark/>
          </w:tcPr>
          <w:p w14:paraId="3A902EAA"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485B0D0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9,39</w:t>
            </w:r>
          </w:p>
        </w:tc>
        <w:tc>
          <w:tcPr>
            <w:tcW w:w="1275" w:type="dxa"/>
            <w:tcBorders>
              <w:top w:val="single" w:sz="4" w:space="0" w:color="C0C0C0"/>
              <w:left w:val="nil"/>
              <w:bottom w:val="single" w:sz="4" w:space="0" w:color="C0C0C0"/>
              <w:right w:val="single" w:sz="4" w:space="0" w:color="C0C0C0"/>
            </w:tcBorders>
            <w:shd w:val="clear" w:color="000000" w:fill="CCFFFF"/>
            <w:noWrap/>
            <w:vAlign w:val="center"/>
            <w:hideMark/>
          </w:tcPr>
          <w:p w14:paraId="68103E4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r w:rsidR="00D42F78" w:rsidRPr="00D42F78" w14:paraId="57F21E0F" w14:textId="77777777" w:rsidTr="00CE76B6">
        <w:trPr>
          <w:trHeight w:val="250"/>
        </w:trPr>
        <w:tc>
          <w:tcPr>
            <w:tcW w:w="567" w:type="dxa"/>
            <w:tcBorders>
              <w:top w:val="nil"/>
              <w:left w:val="single" w:sz="4" w:space="0" w:color="C0C0C0"/>
              <w:bottom w:val="single" w:sz="4" w:space="0" w:color="C0C0C0"/>
              <w:right w:val="nil"/>
            </w:tcBorders>
            <w:shd w:val="clear" w:color="000000" w:fill="FFFFCC"/>
            <w:noWrap/>
            <w:vAlign w:val="center"/>
            <w:hideMark/>
          </w:tcPr>
          <w:p w14:paraId="0C455CE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16</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5C0A6695"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932</w:t>
            </w:r>
          </w:p>
        </w:tc>
        <w:tc>
          <w:tcPr>
            <w:tcW w:w="2316" w:type="dxa"/>
            <w:tcBorders>
              <w:top w:val="nil"/>
              <w:left w:val="nil"/>
              <w:bottom w:val="single" w:sz="4" w:space="0" w:color="C0C0C0"/>
              <w:right w:val="nil"/>
            </w:tcBorders>
            <w:shd w:val="clear" w:color="000000" w:fill="FFFFCC"/>
            <w:noWrap/>
            <w:vAlign w:val="center"/>
            <w:hideMark/>
          </w:tcPr>
          <w:p w14:paraId="160E395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11 - DN 67 – DN 65C</w:t>
            </w:r>
          </w:p>
        </w:tc>
        <w:tc>
          <w:tcPr>
            <w:tcW w:w="1418" w:type="dxa"/>
            <w:tcBorders>
              <w:top w:val="nil"/>
              <w:left w:val="single" w:sz="4" w:space="0" w:color="C0C0C0"/>
              <w:bottom w:val="single" w:sz="4" w:space="0" w:color="C0C0C0"/>
              <w:right w:val="nil"/>
            </w:tcBorders>
            <w:shd w:val="clear" w:color="000000" w:fill="FFFFCC"/>
            <w:noWrap/>
            <w:vAlign w:val="center"/>
            <w:hideMark/>
          </w:tcPr>
          <w:p w14:paraId="3ABACF4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2BAF406C"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3,68</w:t>
            </w:r>
          </w:p>
        </w:tc>
        <w:tc>
          <w:tcPr>
            <w:tcW w:w="1218" w:type="dxa"/>
            <w:tcBorders>
              <w:top w:val="single" w:sz="4" w:space="0" w:color="C0C0C0"/>
              <w:left w:val="nil"/>
              <w:bottom w:val="single" w:sz="4" w:space="0" w:color="C0C0C0"/>
              <w:right w:val="single" w:sz="4" w:space="0" w:color="C0C0C0"/>
            </w:tcBorders>
            <w:shd w:val="clear" w:color="000000" w:fill="FFFFCC"/>
            <w:noWrap/>
            <w:vAlign w:val="center"/>
            <w:hideMark/>
          </w:tcPr>
          <w:p w14:paraId="7D47305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2F169A4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29,99</w:t>
            </w:r>
          </w:p>
        </w:tc>
        <w:tc>
          <w:tcPr>
            <w:tcW w:w="1275" w:type="dxa"/>
            <w:tcBorders>
              <w:top w:val="single" w:sz="4" w:space="0" w:color="C0C0C0"/>
              <w:left w:val="nil"/>
              <w:bottom w:val="single" w:sz="4" w:space="0" w:color="C0C0C0"/>
              <w:right w:val="single" w:sz="4" w:space="0" w:color="C0C0C0"/>
            </w:tcBorders>
            <w:shd w:val="clear" w:color="000000" w:fill="FFFFCC"/>
            <w:noWrap/>
            <w:vAlign w:val="center"/>
            <w:hideMark/>
          </w:tcPr>
          <w:p w14:paraId="112873E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w:t>
            </w:r>
          </w:p>
        </w:tc>
      </w:tr>
      <w:tr w:rsidR="00D42F78" w:rsidRPr="00D42F78" w14:paraId="5324F5D9" w14:textId="77777777" w:rsidTr="00CE76B6">
        <w:trPr>
          <w:trHeight w:val="250"/>
        </w:trPr>
        <w:tc>
          <w:tcPr>
            <w:tcW w:w="567" w:type="dxa"/>
            <w:tcBorders>
              <w:top w:val="nil"/>
              <w:left w:val="single" w:sz="4" w:space="0" w:color="C0C0C0"/>
              <w:bottom w:val="single" w:sz="4" w:space="0" w:color="C0C0C0"/>
              <w:right w:val="nil"/>
            </w:tcBorders>
            <w:shd w:val="clear" w:color="000000" w:fill="CCFFFF"/>
            <w:noWrap/>
            <w:vAlign w:val="center"/>
            <w:hideMark/>
          </w:tcPr>
          <w:p w14:paraId="7E77FC7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17</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5C1C507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1095</w:t>
            </w:r>
          </w:p>
        </w:tc>
        <w:tc>
          <w:tcPr>
            <w:tcW w:w="2316" w:type="dxa"/>
            <w:tcBorders>
              <w:top w:val="nil"/>
              <w:left w:val="nil"/>
              <w:bottom w:val="single" w:sz="4" w:space="0" w:color="C0C0C0"/>
              <w:right w:val="nil"/>
            </w:tcBorders>
            <w:shd w:val="clear" w:color="000000" w:fill="CCFFFF"/>
            <w:noWrap/>
            <w:vAlign w:val="center"/>
            <w:hideMark/>
          </w:tcPr>
          <w:p w14:paraId="4547E82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13 - DC 139 – DN 67 (A)</w:t>
            </w:r>
          </w:p>
        </w:tc>
        <w:tc>
          <w:tcPr>
            <w:tcW w:w="1418" w:type="dxa"/>
            <w:tcBorders>
              <w:top w:val="nil"/>
              <w:left w:val="single" w:sz="4" w:space="0" w:color="C0C0C0"/>
              <w:bottom w:val="single" w:sz="4" w:space="0" w:color="C0C0C0"/>
              <w:right w:val="nil"/>
            </w:tcBorders>
            <w:shd w:val="clear" w:color="000000" w:fill="CCFFFF"/>
            <w:noWrap/>
            <w:vAlign w:val="center"/>
            <w:hideMark/>
          </w:tcPr>
          <w:p w14:paraId="72A1205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Stop pe doua directii</w:t>
            </w:r>
          </w:p>
        </w:tc>
        <w:tc>
          <w:tcPr>
            <w:tcW w:w="1050"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2A628817"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4,69</w:t>
            </w:r>
          </w:p>
        </w:tc>
        <w:tc>
          <w:tcPr>
            <w:tcW w:w="1218" w:type="dxa"/>
            <w:tcBorders>
              <w:top w:val="single" w:sz="4" w:space="0" w:color="C0C0C0"/>
              <w:left w:val="nil"/>
              <w:bottom w:val="single" w:sz="4" w:space="0" w:color="C0C0C0"/>
              <w:right w:val="single" w:sz="4" w:space="0" w:color="C0C0C0"/>
            </w:tcBorders>
            <w:shd w:val="clear" w:color="000000" w:fill="CCFFFF"/>
            <w:noWrap/>
            <w:vAlign w:val="center"/>
            <w:hideMark/>
          </w:tcPr>
          <w:p w14:paraId="210BB625"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59577079"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33,06</w:t>
            </w:r>
          </w:p>
        </w:tc>
        <w:tc>
          <w:tcPr>
            <w:tcW w:w="1275" w:type="dxa"/>
            <w:tcBorders>
              <w:top w:val="single" w:sz="4" w:space="0" w:color="C0C0C0"/>
              <w:left w:val="nil"/>
              <w:bottom w:val="single" w:sz="4" w:space="0" w:color="C0C0C0"/>
              <w:right w:val="single" w:sz="4" w:space="0" w:color="C0C0C0"/>
            </w:tcBorders>
            <w:shd w:val="clear" w:color="000000" w:fill="CCFFFF"/>
            <w:noWrap/>
            <w:vAlign w:val="center"/>
            <w:hideMark/>
          </w:tcPr>
          <w:p w14:paraId="0A82B34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D</w:t>
            </w:r>
          </w:p>
        </w:tc>
      </w:tr>
      <w:tr w:rsidR="00D42F78" w:rsidRPr="00D42F78" w14:paraId="5A8009FE" w14:textId="77777777" w:rsidTr="00CE76B6">
        <w:trPr>
          <w:trHeight w:val="250"/>
        </w:trPr>
        <w:tc>
          <w:tcPr>
            <w:tcW w:w="567" w:type="dxa"/>
            <w:tcBorders>
              <w:top w:val="nil"/>
              <w:left w:val="single" w:sz="4" w:space="0" w:color="C0C0C0"/>
              <w:bottom w:val="single" w:sz="4" w:space="0" w:color="C0C0C0"/>
              <w:right w:val="nil"/>
            </w:tcBorders>
            <w:shd w:val="clear" w:color="000000" w:fill="FFFFCC"/>
            <w:noWrap/>
            <w:vAlign w:val="center"/>
            <w:hideMark/>
          </w:tcPr>
          <w:p w14:paraId="4BF8691D"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18</w:t>
            </w:r>
          </w:p>
        </w:tc>
        <w:tc>
          <w:tcPr>
            <w:tcW w:w="661"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13E54ADD"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3807</w:t>
            </w:r>
          </w:p>
        </w:tc>
        <w:tc>
          <w:tcPr>
            <w:tcW w:w="2316" w:type="dxa"/>
            <w:tcBorders>
              <w:top w:val="nil"/>
              <w:left w:val="nil"/>
              <w:bottom w:val="single" w:sz="4" w:space="0" w:color="C0C0C0"/>
              <w:right w:val="nil"/>
            </w:tcBorders>
            <w:shd w:val="clear" w:color="000000" w:fill="FFFFCC"/>
            <w:noWrap/>
            <w:vAlign w:val="center"/>
            <w:hideMark/>
          </w:tcPr>
          <w:p w14:paraId="5E75C525"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10 - DC 144 – DC 146</w:t>
            </w:r>
          </w:p>
        </w:tc>
        <w:tc>
          <w:tcPr>
            <w:tcW w:w="1418" w:type="dxa"/>
            <w:tcBorders>
              <w:top w:val="nil"/>
              <w:left w:val="single" w:sz="4" w:space="0" w:color="C0C0C0"/>
              <w:bottom w:val="single" w:sz="4" w:space="0" w:color="C0C0C0"/>
              <w:right w:val="nil"/>
            </w:tcBorders>
            <w:shd w:val="clear" w:color="000000" w:fill="FFFFCC"/>
            <w:noWrap/>
            <w:vAlign w:val="center"/>
            <w:hideMark/>
          </w:tcPr>
          <w:p w14:paraId="6718F382"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FFFFCC"/>
            <w:noWrap/>
            <w:vAlign w:val="center"/>
            <w:hideMark/>
          </w:tcPr>
          <w:p w14:paraId="43429E9D"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1,02</w:t>
            </w:r>
          </w:p>
        </w:tc>
        <w:tc>
          <w:tcPr>
            <w:tcW w:w="1218" w:type="dxa"/>
            <w:tcBorders>
              <w:top w:val="single" w:sz="4" w:space="0" w:color="C0C0C0"/>
              <w:left w:val="nil"/>
              <w:bottom w:val="single" w:sz="4" w:space="0" w:color="C0C0C0"/>
              <w:right w:val="single" w:sz="4" w:space="0" w:color="C0C0C0"/>
            </w:tcBorders>
            <w:shd w:val="clear" w:color="000000" w:fill="FFFFCC"/>
            <w:noWrap/>
            <w:vAlign w:val="center"/>
            <w:hideMark/>
          </w:tcPr>
          <w:p w14:paraId="6DCBC57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FFFFCC"/>
            <w:noWrap/>
            <w:vAlign w:val="center"/>
            <w:hideMark/>
          </w:tcPr>
          <w:p w14:paraId="3D62B381"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5,28</w:t>
            </w:r>
          </w:p>
        </w:tc>
        <w:tc>
          <w:tcPr>
            <w:tcW w:w="1275" w:type="dxa"/>
            <w:tcBorders>
              <w:top w:val="single" w:sz="4" w:space="0" w:color="C0C0C0"/>
              <w:left w:val="nil"/>
              <w:bottom w:val="single" w:sz="4" w:space="0" w:color="C0C0C0"/>
              <w:right w:val="single" w:sz="4" w:space="0" w:color="C0C0C0"/>
            </w:tcBorders>
            <w:shd w:val="clear" w:color="000000" w:fill="FFFFCC"/>
            <w:noWrap/>
            <w:vAlign w:val="center"/>
            <w:hideMark/>
          </w:tcPr>
          <w:p w14:paraId="0E8D36E8"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r w:rsidR="00D42F78" w:rsidRPr="00D42F78" w14:paraId="60A09DA2" w14:textId="77777777" w:rsidTr="00CE76B6">
        <w:trPr>
          <w:trHeight w:val="250"/>
        </w:trPr>
        <w:tc>
          <w:tcPr>
            <w:tcW w:w="567" w:type="dxa"/>
            <w:tcBorders>
              <w:top w:val="nil"/>
              <w:left w:val="single" w:sz="4" w:space="0" w:color="C0C0C0"/>
              <w:bottom w:val="single" w:sz="4" w:space="0" w:color="C0C0C0"/>
              <w:right w:val="nil"/>
            </w:tcBorders>
            <w:shd w:val="clear" w:color="000000" w:fill="CCFFFF"/>
            <w:noWrap/>
            <w:vAlign w:val="center"/>
            <w:hideMark/>
          </w:tcPr>
          <w:p w14:paraId="7D0C3973"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19</w:t>
            </w:r>
          </w:p>
        </w:tc>
        <w:tc>
          <w:tcPr>
            <w:tcW w:w="661"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5904EB5C"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3862</w:t>
            </w:r>
          </w:p>
        </w:tc>
        <w:tc>
          <w:tcPr>
            <w:tcW w:w="2316" w:type="dxa"/>
            <w:tcBorders>
              <w:top w:val="nil"/>
              <w:left w:val="nil"/>
              <w:bottom w:val="single" w:sz="4" w:space="0" w:color="C0C0C0"/>
              <w:right w:val="nil"/>
            </w:tcBorders>
            <w:shd w:val="clear" w:color="000000" w:fill="CCFFFF"/>
            <w:noWrap/>
            <w:vAlign w:val="center"/>
            <w:hideMark/>
          </w:tcPr>
          <w:p w14:paraId="2CC6088E"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16 - DJ 669 – DC 146</w:t>
            </w:r>
          </w:p>
        </w:tc>
        <w:tc>
          <w:tcPr>
            <w:tcW w:w="1418" w:type="dxa"/>
            <w:tcBorders>
              <w:top w:val="nil"/>
              <w:left w:val="single" w:sz="4" w:space="0" w:color="C0C0C0"/>
              <w:bottom w:val="single" w:sz="4" w:space="0" w:color="C0C0C0"/>
              <w:right w:val="nil"/>
            </w:tcBorders>
            <w:shd w:val="clear" w:color="000000" w:fill="CCFFFF"/>
            <w:noWrap/>
            <w:vAlign w:val="center"/>
            <w:hideMark/>
          </w:tcPr>
          <w:p w14:paraId="44430B26"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Cedeaza trecerea</w:t>
            </w:r>
          </w:p>
        </w:tc>
        <w:tc>
          <w:tcPr>
            <w:tcW w:w="1050" w:type="dxa"/>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5B0F894B"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1,96</w:t>
            </w:r>
          </w:p>
        </w:tc>
        <w:tc>
          <w:tcPr>
            <w:tcW w:w="1218" w:type="dxa"/>
            <w:tcBorders>
              <w:top w:val="single" w:sz="4" w:space="0" w:color="C0C0C0"/>
              <w:left w:val="nil"/>
              <w:bottom w:val="single" w:sz="4" w:space="0" w:color="C0C0C0"/>
              <w:right w:val="single" w:sz="4" w:space="0" w:color="C0C0C0"/>
            </w:tcBorders>
            <w:shd w:val="clear" w:color="000000" w:fill="CCFFFF"/>
            <w:noWrap/>
            <w:vAlign w:val="center"/>
            <w:hideMark/>
          </w:tcPr>
          <w:p w14:paraId="7E12EFF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c>
          <w:tcPr>
            <w:tcW w:w="1134" w:type="dxa"/>
            <w:tcBorders>
              <w:top w:val="single" w:sz="4" w:space="0" w:color="C0C0C0"/>
              <w:left w:val="nil"/>
              <w:bottom w:val="single" w:sz="4" w:space="0" w:color="C0C0C0"/>
              <w:right w:val="single" w:sz="4" w:space="0" w:color="C0C0C0"/>
            </w:tcBorders>
            <w:shd w:val="clear" w:color="000000" w:fill="CCFFFF"/>
            <w:noWrap/>
            <w:vAlign w:val="center"/>
            <w:hideMark/>
          </w:tcPr>
          <w:p w14:paraId="378BC765"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4,91</w:t>
            </w:r>
          </w:p>
        </w:tc>
        <w:tc>
          <w:tcPr>
            <w:tcW w:w="1275" w:type="dxa"/>
            <w:tcBorders>
              <w:top w:val="single" w:sz="4" w:space="0" w:color="C0C0C0"/>
              <w:left w:val="nil"/>
              <w:bottom w:val="single" w:sz="4" w:space="0" w:color="C0C0C0"/>
              <w:right w:val="single" w:sz="4" w:space="0" w:color="C0C0C0"/>
            </w:tcBorders>
            <w:shd w:val="clear" w:color="000000" w:fill="CCFFFF"/>
            <w:noWrap/>
            <w:vAlign w:val="center"/>
            <w:hideMark/>
          </w:tcPr>
          <w:p w14:paraId="086D3540" w14:textId="77777777" w:rsidR="00D42F78" w:rsidRPr="00D42F78" w:rsidRDefault="00D42F78" w:rsidP="00D42F78">
            <w:pPr>
              <w:spacing w:after="0" w:line="240" w:lineRule="auto"/>
              <w:jc w:val="center"/>
              <w:rPr>
                <w:rFonts w:ascii="Arial" w:eastAsia="Times New Roman" w:hAnsi="Arial" w:cs="Arial"/>
                <w:sz w:val="20"/>
                <w:szCs w:val="20"/>
              </w:rPr>
            </w:pPr>
            <w:r w:rsidRPr="00D42F78">
              <w:rPr>
                <w:rFonts w:ascii="Arial" w:eastAsia="Times New Roman" w:hAnsi="Arial" w:cs="Arial"/>
                <w:sz w:val="20"/>
                <w:szCs w:val="20"/>
              </w:rPr>
              <w:t>A</w:t>
            </w:r>
          </w:p>
        </w:tc>
      </w:tr>
    </w:tbl>
    <w:p w14:paraId="01945965" w14:textId="77777777" w:rsidR="0073171D" w:rsidRPr="0073171D" w:rsidRDefault="0073171D" w:rsidP="0073171D">
      <w:pPr>
        <w:widowControl w:val="0"/>
        <w:suppressAutoHyphens/>
        <w:spacing w:after="0" w:line="360" w:lineRule="auto"/>
        <w:jc w:val="center"/>
        <w:rPr>
          <w:rFonts w:ascii="Arial" w:eastAsia="Arial" w:hAnsi="Arial" w:cs="Arial"/>
          <w:kern w:val="1"/>
          <w:sz w:val="24"/>
          <w:szCs w:val="24"/>
          <w:lang w:val="es-ES" w:eastAsia="hi-IN" w:bidi="hi-IN"/>
        </w:rPr>
      </w:pPr>
    </w:p>
    <w:p w14:paraId="6B3B4016" w14:textId="77777777" w:rsidR="00D42F78" w:rsidRPr="00D42F78" w:rsidRDefault="00D42F78" w:rsidP="00D42F78">
      <w:pPr>
        <w:suppressAutoHyphens/>
        <w:autoSpaceDE w:val="0"/>
        <w:spacing w:after="0" w:line="276" w:lineRule="auto"/>
        <w:jc w:val="both"/>
        <w:rPr>
          <w:rFonts w:ascii="Arial" w:eastAsia="Arial" w:hAnsi="Arial" w:cs="Arial"/>
          <w:color w:val="000000"/>
          <w:lang w:eastAsia="zh-CN"/>
        </w:rPr>
      </w:pPr>
      <w:r w:rsidRPr="00D42F78">
        <w:rPr>
          <w:rFonts w:ascii="Arial" w:eastAsia="Arial" w:hAnsi="Arial" w:cs="Arial"/>
        </w:rPr>
        <w:t>După cum se poate constata, nivelul de serviciu cel mai defavorabil pentru ora de vârf de dimineaţă este D (circulaţie acceptabilă, cozi de aşteptare reduse, viteză redusă) se înregistrează într-o singura intersecţie, respectiv nivelul de serviciu cel mai defavorabil la ora de vârf de după-amiază este F (</w:t>
      </w:r>
      <w:r w:rsidRPr="00D42F78">
        <w:rPr>
          <w:rFonts w:ascii="Arial" w:hAnsi="Arial" w:cs="Arial"/>
          <w:color w:val="000000"/>
          <w:spacing w:val="-3"/>
          <w:kern w:val="1"/>
          <w:lang w:val="es-ES" w:eastAsia="hi-IN" w:bidi="hi-IN"/>
        </w:rPr>
        <w:t xml:space="preserve">funcţionări cu întârzieri depăşind 80,0 de secunde pe </w:t>
      </w:r>
      <w:r w:rsidRPr="00D42F78">
        <w:rPr>
          <w:rFonts w:ascii="Arial" w:hAnsi="Arial" w:cs="Arial"/>
          <w:color w:val="000000"/>
          <w:kern w:val="1"/>
          <w:lang w:val="es-ES" w:eastAsia="hi-IN" w:bidi="hi-IN"/>
        </w:rPr>
        <w:t>vehicul) pentru două intersecții</w:t>
      </w:r>
      <w:r w:rsidRPr="00D42F78">
        <w:rPr>
          <w:rFonts w:ascii="Arial" w:eastAsia="Arial" w:hAnsi="Arial" w:cs="Arial"/>
        </w:rPr>
        <w:t>.</w:t>
      </w:r>
    </w:p>
    <w:p w14:paraId="5B167C4F" w14:textId="77777777" w:rsidR="00D42F78" w:rsidRPr="00D42F78" w:rsidRDefault="00D42F78" w:rsidP="00D42F78">
      <w:pPr>
        <w:suppressAutoHyphens/>
        <w:autoSpaceDE w:val="0"/>
        <w:spacing w:after="0" w:line="276" w:lineRule="auto"/>
        <w:jc w:val="both"/>
        <w:rPr>
          <w:rFonts w:ascii="Arial" w:eastAsia="Calibri" w:hAnsi="Arial" w:cs="Arial"/>
          <w:color w:val="000000"/>
          <w:lang w:val="es-ES" w:eastAsia="zh-CN"/>
        </w:rPr>
      </w:pPr>
    </w:p>
    <w:p w14:paraId="08ABC755" w14:textId="77777777" w:rsidR="00D42F78" w:rsidRPr="00D42F78" w:rsidRDefault="00D42F78" w:rsidP="00D42F78">
      <w:pPr>
        <w:suppressAutoHyphens/>
        <w:autoSpaceDE w:val="0"/>
        <w:spacing w:after="0" w:line="276" w:lineRule="auto"/>
        <w:jc w:val="both"/>
        <w:rPr>
          <w:rFonts w:ascii="Arial" w:eastAsia="Calibri" w:hAnsi="Arial" w:cs="Arial"/>
          <w:color w:val="000000"/>
          <w:lang w:eastAsia="zh-CN"/>
        </w:rPr>
      </w:pPr>
      <w:r w:rsidRPr="00D42F78">
        <w:rPr>
          <w:rFonts w:ascii="Arial" w:eastAsia="Calibri" w:hAnsi="Arial" w:cs="Arial"/>
          <w:color w:val="000000"/>
          <w:lang w:eastAsia="zh-CN"/>
        </w:rPr>
        <w:t>Din analiza indicatorilor menţionaţi anterior şi care influenţează în mod direct eficienţa economică a sistemului şi infrastructurii de transport, se pot trage următoarele concluzii:</w:t>
      </w:r>
    </w:p>
    <w:p w14:paraId="410AB92F" w14:textId="77777777" w:rsidR="00D42F78" w:rsidRPr="00D42F78" w:rsidRDefault="00D42F78" w:rsidP="00D42F78">
      <w:pPr>
        <w:widowControl w:val="0"/>
        <w:numPr>
          <w:ilvl w:val="0"/>
          <w:numId w:val="114"/>
        </w:numPr>
        <w:suppressAutoHyphens/>
        <w:spacing w:after="0" w:line="276" w:lineRule="auto"/>
        <w:jc w:val="both"/>
        <w:rPr>
          <w:rFonts w:ascii="Arial" w:eastAsia="Times New Roman" w:hAnsi="Arial" w:cs="Arial"/>
          <w:lang w:val="x-none" w:eastAsia="zh-CN"/>
        </w:rPr>
      </w:pPr>
      <w:r w:rsidRPr="00D42F78">
        <w:rPr>
          <w:rFonts w:ascii="Arial" w:eastAsia="Times New Roman" w:hAnsi="Arial" w:cs="Arial"/>
          <w:lang w:val="x-none" w:eastAsia="zh-CN"/>
        </w:rPr>
        <w:t>pentru la ora de vârf AM, la nivelul anului 203</w:t>
      </w:r>
      <w:r w:rsidRPr="00D42F78">
        <w:rPr>
          <w:rFonts w:ascii="Arial" w:eastAsia="Times New Roman" w:hAnsi="Arial" w:cs="Arial"/>
          <w:lang w:eastAsia="zh-CN"/>
        </w:rPr>
        <w:t>5</w:t>
      </w:r>
      <w:r w:rsidRPr="00D42F78">
        <w:rPr>
          <w:rFonts w:ascii="Arial" w:eastAsia="Times New Roman" w:hAnsi="Arial" w:cs="Arial"/>
          <w:lang w:val="x-none" w:eastAsia="zh-CN"/>
        </w:rPr>
        <w:t xml:space="preserve"> situaţia se prezintă astfel:</w:t>
      </w:r>
    </w:p>
    <w:p w14:paraId="536F077B" w14:textId="77777777" w:rsidR="00D42F78" w:rsidRPr="00D42F78" w:rsidRDefault="00D42F78" w:rsidP="00D42F78">
      <w:pPr>
        <w:widowControl w:val="0"/>
        <w:numPr>
          <w:ilvl w:val="0"/>
          <w:numId w:val="113"/>
        </w:numPr>
        <w:suppressAutoHyphens/>
        <w:spacing w:after="0" w:line="276" w:lineRule="auto"/>
        <w:ind w:left="1440"/>
        <w:jc w:val="both"/>
        <w:rPr>
          <w:rFonts w:ascii="Arial" w:eastAsia="Times New Roman" w:hAnsi="Arial" w:cs="Arial"/>
          <w:lang w:val="x-none" w:eastAsia="zh-CN"/>
        </w:rPr>
      </w:pPr>
      <w:r w:rsidRPr="00D42F78">
        <w:rPr>
          <w:rFonts w:ascii="Arial" w:eastAsia="Times New Roman" w:hAnsi="Arial" w:cs="Arial"/>
          <w:lang w:val="x-none" w:eastAsia="zh-CN"/>
        </w:rPr>
        <w:t xml:space="preserve">viteza de circulaţie scade cu </w:t>
      </w:r>
      <w:r w:rsidRPr="00D42F78">
        <w:rPr>
          <w:rFonts w:ascii="Arial" w:eastAsia="Times New Roman" w:hAnsi="Arial" w:cs="Arial"/>
          <w:lang w:eastAsia="zh-CN"/>
        </w:rPr>
        <w:t>0,4</w:t>
      </w:r>
      <w:r w:rsidRPr="00D42F78">
        <w:rPr>
          <w:rFonts w:ascii="Arial" w:eastAsia="Times New Roman" w:hAnsi="Arial" w:cs="Arial"/>
          <w:lang w:val="x-none" w:eastAsia="zh-CN"/>
        </w:rPr>
        <w:t xml:space="preserve"> %;</w:t>
      </w:r>
    </w:p>
    <w:p w14:paraId="657ED77E" w14:textId="77777777" w:rsidR="00D42F78" w:rsidRPr="00D42F78" w:rsidRDefault="00D42F78" w:rsidP="00D42F78">
      <w:pPr>
        <w:widowControl w:val="0"/>
        <w:numPr>
          <w:ilvl w:val="0"/>
          <w:numId w:val="113"/>
        </w:numPr>
        <w:suppressAutoHyphens/>
        <w:spacing w:after="0" w:line="276" w:lineRule="auto"/>
        <w:ind w:left="1440"/>
        <w:jc w:val="both"/>
        <w:rPr>
          <w:rFonts w:ascii="Arial" w:eastAsia="Times New Roman" w:hAnsi="Arial" w:cs="Arial"/>
          <w:lang w:val="x-none" w:eastAsia="zh-CN"/>
        </w:rPr>
      </w:pPr>
      <w:r w:rsidRPr="00D42F78">
        <w:rPr>
          <w:rFonts w:ascii="Arial" w:eastAsia="Times New Roman" w:hAnsi="Arial" w:cs="Arial"/>
          <w:lang w:val="x-none" w:eastAsia="zh-CN"/>
        </w:rPr>
        <w:t xml:space="preserve">întârzierea medie creşte cu </w:t>
      </w:r>
      <w:r w:rsidRPr="00D42F78">
        <w:rPr>
          <w:rFonts w:ascii="Arial" w:eastAsia="Times New Roman" w:hAnsi="Arial" w:cs="Arial"/>
          <w:lang w:eastAsia="zh-CN"/>
        </w:rPr>
        <w:t>8</w:t>
      </w:r>
      <w:r w:rsidRPr="00D42F78">
        <w:rPr>
          <w:rFonts w:ascii="Arial" w:eastAsia="Times New Roman" w:hAnsi="Arial" w:cs="Arial"/>
          <w:lang w:val="x-none" w:eastAsia="zh-CN"/>
        </w:rPr>
        <w:t xml:space="preserve"> %;</w:t>
      </w:r>
    </w:p>
    <w:p w14:paraId="4E1DE67F" w14:textId="77777777" w:rsidR="00D42F78" w:rsidRPr="00D42F78" w:rsidRDefault="00D42F78" w:rsidP="00D42F78">
      <w:pPr>
        <w:widowControl w:val="0"/>
        <w:numPr>
          <w:ilvl w:val="0"/>
          <w:numId w:val="113"/>
        </w:numPr>
        <w:suppressAutoHyphens/>
        <w:spacing w:after="0" w:line="276" w:lineRule="auto"/>
        <w:ind w:left="1440"/>
        <w:jc w:val="both"/>
        <w:rPr>
          <w:rFonts w:ascii="Arial" w:eastAsia="Times New Roman" w:hAnsi="Arial" w:cs="Arial"/>
          <w:lang w:val="x-none" w:eastAsia="zh-CN"/>
        </w:rPr>
      </w:pPr>
      <w:r w:rsidRPr="00D42F78">
        <w:rPr>
          <w:rFonts w:ascii="Arial" w:eastAsia="Times New Roman" w:hAnsi="Arial" w:cs="Arial"/>
          <w:lang w:val="x-none" w:eastAsia="zh-CN"/>
        </w:rPr>
        <w:t xml:space="preserve">consumul de combustibil creşte cu </w:t>
      </w:r>
      <w:r w:rsidRPr="00D42F78">
        <w:rPr>
          <w:rFonts w:ascii="Arial" w:eastAsia="Times New Roman" w:hAnsi="Arial" w:cs="Arial"/>
          <w:lang w:eastAsia="zh-CN"/>
        </w:rPr>
        <w:t>97</w:t>
      </w:r>
      <w:r w:rsidRPr="00D42F78">
        <w:rPr>
          <w:rFonts w:ascii="Arial" w:eastAsia="Times New Roman" w:hAnsi="Arial" w:cs="Arial"/>
          <w:lang w:val="x-none" w:eastAsia="zh-CN"/>
        </w:rPr>
        <w:t xml:space="preserve"> %;</w:t>
      </w:r>
    </w:p>
    <w:p w14:paraId="6C207B4A" w14:textId="77777777" w:rsidR="00D42F78" w:rsidRPr="00D42F78" w:rsidRDefault="00D42F78" w:rsidP="00D42F78">
      <w:pPr>
        <w:widowControl w:val="0"/>
        <w:numPr>
          <w:ilvl w:val="0"/>
          <w:numId w:val="113"/>
        </w:numPr>
        <w:suppressAutoHyphens/>
        <w:spacing w:after="0" w:line="276" w:lineRule="auto"/>
        <w:ind w:left="1440"/>
        <w:jc w:val="both"/>
        <w:rPr>
          <w:rFonts w:ascii="Arial" w:eastAsia="Times New Roman" w:hAnsi="Arial" w:cs="Arial"/>
          <w:lang w:val="x-none" w:eastAsia="zh-CN"/>
        </w:rPr>
      </w:pPr>
      <w:r w:rsidRPr="00D42F78">
        <w:rPr>
          <w:rFonts w:ascii="Arial" w:eastAsia="Times New Roman" w:hAnsi="Arial" w:cs="Arial"/>
          <w:lang w:val="x-none" w:eastAsia="zh-CN"/>
        </w:rPr>
        <w:t>în marea majoritate a intersecţiilor reţelei semnificative nivelul de serviciu se înrăutăţeşte.</w:t>
      </w:r>
    </w:p>
    <w:p w14:paraId="3526A7F7" w14:textId="77777777" w:rsidR="00D42F78" w:rsidRPr="00D42F78" w:rsidRDefault="00D42F78" w:rsidP="00D42F78">
      <w:pPr>
        <w:widowControl w:val="0"/>
        <w:numPr>
          <w:ilvl w:val="0"/>
          <w:numId w:val="115"/>
        </w:numPr>
        <w:suppressAutoHyphens/>
        <w:spacing w:after="0" w:line="276" w:lineRule="auto"/>
        <w:jc w:val="both"/>
        <w:rPr>
          <w:rFonts w:ascii="Arial" w:eastAsia="Times New Roman" w:hAnsi="Arial" w:cs="Arial"/>
          <w:lang w:val="x-none" w:eastAsia="zh-CN"/>
        </w:rPr>
      </w:pPr>
      <w:r w:rsidRPr="00D42F78">
        <w:rPr>
          <w:rFonts w:ascii="Arial" w:eastAsia="Times New Roman" w:hAnsi="Arial" w:cs="Arial"/>
          <w:lang w:val="x-none" w:eastAsia="zh-CN"/>
        </w:rPr>
        <w:t>pentru la ora de vârf PM, la nivelul anului 203</w:t>
      </w:r>
      <w:r w:rsidRPr="00D42F78">
        <w:rPr>
          <w:rFonts w:ascii="Arial" w:eastAsia="Times New Roman" w:hAnsi="Arial" w:cs="Arial"/>
          <w:lang w:eastAsia="zh-CN"/>
        </w:rPr>
        <w:t>5</w:t>
      </w:r>
      <w:r w:rsidRPr="00D42F78">
        <w:rPr>
          <w:rFonts w:ascii="Arial" w:eastAsia="Times New Roman" w:hAnsi="Arial" w:cs="Arial"/>
          <w:lang w:val="x-none" w:eastAsia="zh-CN"/>
        </w:rPr>
        <w:t xml:space="preserve"> situaţia se prezintă astfel:</w:t>
      </w:r>
    </w:p>
    <w:p w14:paraId="27067FBB" w14:textId="77777777" w:rsidR="00D42F78" w:rsidRPr="00D42F78" w:rsidRDefault="00D42F78" w:rsidP="00D42F78">
      <w:pPr>
        <w:widowControl w:val="0"/>
        <w:numPr>
          <w:ilvl w:val="0"/>
          <w:numId w:val="113"/>
        </w:numPr>
        <w:suppressAutoHyphens/>
        <w:spacing w:after="0" w:line="276" w:lineRule="auto"/>
        <w:ind w:left="1440"/>
        <w:jc w:val="both"/>
        <w:rPr>
          <w:rFonts w:ascii="Arial" w:eastAsia="Times New Roman" w:hAnsi="Arial" w:cs="Arial"/>
          <w:lang w:val="x-none" w:eastAsia="zh-CN"/>
        </w:rPr>
      </w:pPr>
      <w:r w:rsidRPr="00D42F78">
        <w:rPr>
          <w:rFonts w:ascii="Arial" w:eastAsia="Times New Roman" w:hAnsi="Arial" w:cs="Arial"/>
          <w:lang w:val="x-none" w:eastAsia="zh-CN"/>
        </w:rPr>
        <w:t xml:space="preserve">viteza de circulaţie scade cu </w:t>
      </w:r>
      <w:r w:rsidRPr="00D42F78">
        <w:rPr>
          <w:rFonts w:ascii="Arial" w:eastAsia="Times New Roman" w:hAnsi="Arial" w:cs="Arial"/>
          <w:lang w:eastAsia="zh-CN"/>
        </w:rPr>
        <w:t>9</w:t>
      </w:r>
      <w:r w:rsidRPr="00D42F78">
        <w:rPr>
          <w:rFonts w:ascii="Arial" w:eastAsia="Times New Roman" w:hAnsi="Arial" w:cs="Arial"/>
          <w:lang w:val="x-none" w:eastAsia="zh-CN"/>
        </w:rPr>
        <w:t xml:space="preserve"> %;</w:t>
      </w:r>
    </w:p>
    <w:p w14:paraId="3F5EE9F9" w14:textId="77777777" w:rsidR="00D42F78" w:rsidRPr="00D42F78" w:rsidRDefault="00D42F78" w:rsidP="00D42F78">
      <w:pPr>
        <w:widowControl w:val="0"/>
        <w:numPr>
          <w:ilvl w:val="0"/>
          <w:numId w:val="113"/>
        </w:numPr>
        <w:suppressAutoHyphens/>
        <w:spacing w:after="0" w:line="276" w:lineRule="auto"/>
        <w:ind w:left="1440"/>
        <w:jc w:val="both"/>
        <w:rPr>
          <w:rFonts w:ascii="Arial" w:eastAsia="Times New Roman" w:hAnsi="Arial" w:cs="Arial"/>
          <w:lang w:val="x-none" w:eastAsia="zh-CN"/>
        </w:rPr>
      </w:pPr>
      <w:r w:rsidRPr="00D42F78">
        <w:rPr>
          <w:rFonts w:ascii="Arial" w:eastAsia="Times New Roman" w:hAnsi="Arial" w:cs="Arial"/>
          <w:lang w:val="x-none" w:eastAsia="zh-CN"/>
        </w:rPr>
        <w:t xml:space="preserve">întârzierea medie creşte cu </w:t>
      </w:r>
      <w:r w:rsidRPr="00D42F78">
        <w:rPr>
          <w:rFonts w:ascii="Arial" w:eastAsia="Times New Roman" w:hAnsi="Arial" w:cs="Arial"/>
          <w:lang w:eastAsia="zh-CN"/>
        </w:rPr>
        <w:t>70</w:t>
      </w:r>
      <w:r w:rsidRPr="00D42F78">
        <w:rPr>
          <w:rFonts w:ascii="Arial" w:eastAsia="Times New Roman" w:hAnsi="Arial" w:cs="Arial"/>
          <w:lang w:val="x-none" w:eastAsia="zh-CN"/>
        </w:rPr>
        <w:t xml:space="preserve"> %;</w:t>
      </w:r>
    </w:p>
    <w:p w14:paraId="3742C269" w14:textId="77777777" w:rsidR="00D42F78" w:rsidRPr="00D42F78" w:rsidRDefault="00D42F78" w:rsidP="00D42F78">
      <w:pPr>
        <w:widowControl w:val="0"/>
        <w:numPr>
          <w:ilvl w:val="0"/>
          <w:numId w:val="113"/>
        </w:numPr>
        <w:suppressAutoHyphens/>
        <w:spacing w:after="0" w:line="276" w:lineRule="auto"/>
        <w:ind w:left="1440"/>
        <w:jc w:val="both"/>
        <w:rPr>
          <w:rFonts w:ascii="Arial" w:eastAsia="Times New Roman" w:hAnsi="Arial" w:cs="Arial"/>
          <w:lang w:val="x-none" w:eastAsia="zh-CN"/>
        </w:rPr>
      </w:pPr>
      <w:r w:rsidRPr="00D42F78">
        <w:rPr>
          <w:rFonts w:ascii="Arial" w:eastAsia="Times New Roman" w:hAnsi="Arial" w:cs="Arial"/>
          <w:lang w:val="x-none" w:eastAsia="zh-CN"/>
        </w:rPr>
        <w:t xml:space="preserve">consumul de combustibil creşte cu </w:t>
      </w:r>
      <w:r w:rsidRPr="00D42F78">
        <w:rPr>
          <w:rFonts w:ascii="Arial" w:eastAsia="Times New Roman" w:hAnsi="Arial" w:cs="Arial"/>
          <w:lang w:eastAsia="zh-CN"/>
        </w:rPr>
        <w:t>116</w:t>
      </w:r>
      <w:r w:rsidRPr="00D42F78">
        <w:rPr>
          <w:rFonts w:ascii="Arial" w:eastAsia="Times New Roman" w:hAnsi="Arial" w:cs="Arial"/>
          <w:lang w:val="x-none" w:eastAsia="zh-CN"/>
        </w:rPr>
        <w:t xml:space="preserve"> %;</w:t>
      </w:r>
    </w:p>
    <w:p w14:paraId="1728FE87" w14:textId="77777777" w:rsidR="00D42F78" w:rsidRPr="00D42F78" w:rsidRDefault="00D42F78" w:rsidP="00D42F78">
      <w:pPr>
        <w:widowControl w:val="0"/>
        <w:numPr>
          <w:ilvl w:val="0"/>
          <w:numId w:val="113"/>
        </w:numPr>
        <w:suppressAutoHyphens/>
        <w:spacing w:after="0" w:line="276" w:lineRule="auto"/>
        <w:ind w:left="1440"/>
        <w:jc w:val="both"/>
        <w:rPr>
          <w:rFonts w:ascii="Arial" w:eastAsia="Times New Roman" w:hAnsi="Arial" w:cs="Arial"/>
          <w:lang w:val="x-none" w:eastAsia="zh-CN"/>
        </w:rPr>
      </w:pPr>
      <w:r w:rsidRPr="00D42F78">
        <w:rPr>
          <w:rFonts w:ascii="Arial" w:eastAsia="Times New Roman" w:hAnsi="Arial" w:cs="Arial"/>
          <w:lang w:val="x-none" w:eastAsia="zh-CN"/>
        </w:rPr>
        <w:t>în marea majoritate a intersecţiilor reţelei semnificative nivelul de serviciu se înrăutăţeşte.</w:t>
      </w:r>
    </w:p>
    <w:p w14:paraId="1A3DBC19" w14:textId="77777777" w:rsidR="00D42F78" w:rsidRDefault="00D42F78" w:rsidP="0073171D">
      <w:pPr>
        <w:suppressAutoHyphens/>
        <w:autoSpaceDE w:val="0"/>
        <w:spacing w:after="0" w:line="276" w:lineRule="auto"/>
        <w:jc w:val="both"/>
        <w:rPr>
          <w:rFonts w:ascii="Arial" w:eastAsia="Calibri" w:hAnsi="Arial" w:cs="Arial"/>
          <w:color w:val="000000"/>
          <w:lang w:eastAsia="zh-CN"/>
        </w:rPr>
      </w:pPr>
    </w:p>
    <w:p w14:paraId="1536A9EF" w14:textId="73AEC399" w:rsidR="0073171D" w:rsidRDefault="0073171D" w:rsidP="0073171D">
      <w:pPr>
        <w:suppressAutoHyphens/>
        <w:autoSpaceDE w:val="0"/>
        <w:spacing w:after="0" w:line="276" w:lineRule="auto"/>
        <w:jc w:val="both"/>
        <w:rPr>
          <w:rFonts w:ascii="Arial" w:eastAsia="Calibri" w:hAnsi="Arial" w:cs="Arial"/>
          <w:color w:val="000000"/>
          <w:lang w:eastAsia="zh-CN"/>
        </w:rPr>
      </w:pPr>
      <w:r w:rsidRPr="0073171D">
        <w:rPr>
          <w:rFonts w:ascii="Arial" w:eastAsia="Calibri" w:hAnsi="Arial" w:cs="Arial"/>
          <w:color w:val="000000"/>
          <w:lang w:eastAsia="zh-CN"/>
        </w:rPr>
        <w:t>Toate acestea conduc la creşterea costurilor de exploatare a sistemului de transport şi, implicit, la scăderea eficienţei economice a acestuia.</w:t>
      </w:r>
    </w:p>
    <w:p w14:paraId="1292BFC4" w14:textId="1D7A1DF1" w:rsidR="00D42F78" w:rsidRDefault="00D42F78" w:rsidP="0073171D">
      <w:pPr>
        <w:suppressAutoHyphens/>
        <w:autoSpaceDE w:val="0"/>
        <w:spacing w:after="0" w:line="276" w:lineRule="auto"/>
        <w:jc w:val="both"/>
        <w:rPr>
          <w:rFonts w:ascii="Arial" w:eastAsia="Calibri" w:hAnsi="Arial" w:cs="Arial"/>
          <w:color w:val="000000"/>
          <w:lang w:eastAsia="zh-CN"/>
        </w:rPr>
      </w:pPr>
    </w:p>
    <w:p w14:paraId="6BC263FA" w14:textId="77777777" w:rsidR="00D42F78" w:rsidRPr="00D42F78" w:rsidRDefault="00D42F78" w:rsidP="00D42F78">
      <w:pPr>
        <w:suppressAutoHyphens/>
        <w:autoSpaceDE w:val="0"/>
        <w:spacing w:after="0" w:line="360" w:lineRule="auto"/>
        <w:jc w:val="both"/>
        <w:rPr>
          <w:rFonts w:ascii="Arial" w:eastAsia="Calibri" w:hAnsi="Arial" w:cs="Arial"/>
          <w:color w:val="000000"/>
          <w:lang w:eastAsia="zh-CN"/>
        </w:rPr>
      </w:pPr>
      <w:r w:rsidRPr="00D42F78">
        <w:rPr>
          <w:rFonts w:ascii="Arial" w:eastAsia="Calibri" w:hAnsi="Arial" w:cs="Arial"/>
          <w:color w:val="000000"/>
          <w:lang w:eastAsia="zh-CN"/>
        </w:rPr>
        <w:t>În urma simulării în cadrul modelului de transport, pentru scenariul “ca până în prezent”, se obţin următoarele informaţii:</w:t>
      </w:r>
    </w:p>
    <w:p w14:paraId="6CFED22C" w14:textId="142631C0" w:rsidR="0073171D" w:rsidRPr="002B342A" w:rsidRDefault="00337AAA" w:rsidP="00337AAA">
      <w:pPr>
        <w:pStyle w:val="Legend"/>
        <w:jc w:val="center"/>
        <w:rPr>
          <w:rFonts w:ascii="Arial" w:eastAsia="Calibri" w:hAnsi="Arial" w:cs="Arial"/>
          <w:i w:val="0"/>
          <w:iCs w:val="0"/>
          <w:color w:val="000000"/>
          <w:sz w:val="22"/>
          <w:szCs w:val="22"/>
          <w:lang w:eastAsia="zh-CN"/>
        </w:rPr>
      </w:pPr>
      <w:bookmarkStart w:id="337" w:name="_Toc68361249"/>
      <w:bookmarkStart w:id="338" w:name="_Toc96447415"/>
      <w:r w:rsidRPr="00D42F78">
        <w:rPr>
          <w:rFonts w:ascii="Arial" w:hAnsi="Arial" w:cs="Arial"/>
          <w:sz w:val="22"/>
          <w:szCs w:val="22"/>
        </w:rPr>
        <w:t xml:space="preserve">Tabel I.4. </w:t>
      </w:r>
      <w:r w:rsidRPr="00D42F78">
        <w:rPr>
          <w:rFonts w:ascii="Arial" w:hAnsi="Arial" w:cs="Arial"/>
          <w:sz w:val="22"/>
          <w:szCs w:val="22"/>
        </w:rPr>
        <w:fldChar w:fldCharType="begin"/>
      </w:r>
      <w:r w:rsidRPr="00D42F78">
        <w:rPr>
          <w:rFonts w:ascii="Arial" w:hAnsi="Arial" w:cs="Arial"/>
          <w:sz w:val="22"/>
          <w:szCs w:val="22"/>
        </w:rPr>
        <w:instrText xml:space="preserve"> SEQ Tabel_I.4. \* ARABIC </w:instrText>
      </w:r>
      <w:r w:rsidRPr="00D42F78">
        <w:rPr>
          <w:rFonts w:ascii="Arial" w:hAnsi="Arial" w:cs="Arial"/>
          <w:sz w:val="22"/>
          <w:szCs w:val="22"/>
        </w:rPr>
        <w:fldChar w:fldCharType="separate"/>
      </w:r>
      <w:r w:rsidR="00BB181C">
        <w:rPr>
          <w:rFonts w:ascii="Arial" w:hAnsi="Arial" w:cs="Arial"/>
          <w:noProof/>
          <w:sz w:val="22"/>
          <w:szCs w:val="22"/>
        </w:rPr>
        <w:t>5</w:t>
      </w:r>
      <w:r w:rsidRPr="00D42F78">
        <w:rPr>
          <w:rFonts w:ascii="Arial" w:hAnsi="Arial" w:cs="Arial"/>
          <w:sz w:val="22"/>
          <w:szCs w:val="22"/>
        </w:rPr>
        <w:fldChar w:fldCharType="end"/>
      </w:r>
      <w:r w:rsidRPr="00D42F78">
        <w:rPr>
          <w:rFonts w:ascii="Arial" w:hAnsi="Arial" w:cs="Arial"/>
          <w:sz w:val="22"/>
          <w:szCs w:val="22"/>
        </w:rPr>
        <w:t xml:space="preserve"> </w:t>
      </w:r>
      <w:bookmarkEnd w:id="337"/>
      <w:r w:rsidR="00D42F78" w:rsidRPr="00D42F78">
        <w:rPr>
          <w:rFonts w:ascii="Arial" w:hAnsi="Arial" w:cs="Arial"/>
          <w:sz w:val="22"/>
          <w:szCs w:val="22"/>
        </w:rPr>
        <w:t xml:space="preserve">- </w:t>
      </w:r>
      <w:r w:rsidR="00D42F78" w:rsidRPr="002B342A">
        <w:rPr>
          <w:rFonts w:ascii="Arial" w:hAnsi="Arial" w:cs="Arial"/>
          <w:i w:val="0"/>
          <w:iCs w:val="0"/>
          <w:sz w:val="22"/>
          <w:szCs w:val="22"/>
        </w:rPr>
        <w:t>Parcursul vehiculelor - mii veh km / an</w:t>
      </w:r>
      <w:bookmarkEnd w:id="338"/>
    </w:p>
    <w:tbl>
      <w:tblPr>
        <w:tblW w:w="9409" w:type="dxa"/>
        <w:jc w:val="center"/>
        <w:tblLook w:val="04A0" w:firstRow="1" w:lastRow="0" w:firstColumn="1" w:lastColumn="0" w:noHBand="0" w:noVBand="1"/>
      </w:tblPr>
      <w:tblGrid>
        <w:gridCol w:w="2934"/>
        <w:gridCol w:w="1826"/>
        <w:gridCol w:w="2525"/>
        <w:gridCol w:w="1039"/>
        <w:gridCol w:w="1085"/>
      </w:tblGrid>
      <w:tr w:rsidR="002B342A" w:rsidRPr="002B342A" w14:paraId="5B4C521D" w14:textId="77777777" w:rsidTr="00CE76B6">
        <w:trPr>
          <w:trHeight w:val="343"/>
          <w:jc w:val="center"/>
        </w:trPr>
        <w:tc>
          <w:tcPr>
            <w:tcW w:w="2967"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63DEBF3F" w14:textId="77777777" w:rsidR="002B342A" w:rsidRPr="002B342A" w:rsidRDefault="002B342A" w:rsidP="002B342A">
            <w:pPr>
              <w:spacing w:after="0" w:line="240" w:lineRule="auto"/>
              <w:jc w:val="center"/>
              <w:rPr>
                <w:rFonts w:ascii="Arial" w:eastAsia="Times New Roman" w:hAnsi="Arial" w:cs="Arial"/>
                <w:b/>
                <w:bCs/>
                <w:sz w:val="20"/>
                <w:szCs w:val="20"/>
                <w:lang w:eastAsia="ro-RO"/>
              </w:rPr>
            </w:pPr>
            <w:r w:rsidRPr="002B342A">
              <w:rPr>
                <w:rFonts w:ascii="Arial" w:eastAsia="Times New Roman" w:hAnsi="Arial" w:cs="Arial"/>
                <w:b/>
                <w:bCs/>
                <w:sz w:val="20"/>
                <w:szCs w:val="20"/>
                <w:lang w:eastAsia="ro-RO"/>
              </w:rPr>
              <w:t>Sistem de transport</w:t>
            </w:r>
          </w:p>
        </w:tc>
        <w:tc>
          <w:tcPr>
            <w:tcW w:w="4396" w:type="dxa"/>
            <w:gridSpan w:val="2"/>
            <w:vMerge w:val="restart"/>
            <w:tcBorders>
              <w:top w:val="single" w:sz="8" w:space="0" w:color="auto"/>
              <w:left w:val="single" w:sz="8" w:space="0" w:color="auto"/>
              <w:bottom w:val="single" w:sz="8" w:space="0" w:color="000000"/>
              <w:right w:val="single" w:sz="8" w:space="0" w:color="000000"/>
            </w:tcBorders>
            <w:shd w:val="clear" w:color="000000" w:fill="D9D9D9"/>
            <w:vAlign w:val="center"/>
            <w:hideMark/>
          </w:tcPr>
          <w:p w14:paraId="735BD1FD" w14:textId="77777777" w:rsidR="002B342A" w:rsidRPr="002B342A" w:rsidRDefault="002B342A" w:rsidP="002B342A">
            <w:pPr>
              <w:spacing w:after="0" w:line="240" w:lineRule="auto"/>
              <w:jc w:val="center"/>
              <w:rPr>
                <w:rFonts w:ascii="Arial" w:eastAsia="Times New Roman" w:hAnsi="Arial" w:cs="Arial"/>
                <w:b/>
                <w:bCs/>
                <w:sz w:val="20"/>
                <w:szCs w:val="20"/>
                <w:lang w:eastAsia="ro-RO"/>
              </w:rPr>
            </w:pPr>
            <w:r w:rsidRPr="002B342A">
              <w:rPr>
                <w:rFonts w:ascii="Arial" w:eastAsia="Times New Roman" w:hAnsi="Arial" w:cs="Arial"/>
                <w:b/>
                <w:bCs/>
                <w:sz w:val="20"/>
                <w:szCs w:val="20"/>
                <w:lang w:eastAsia="ro-RO"/>
              </w:rPr>
              <w:t>Public</w:t>
            </w:r>
          </w:p>
        </w:tc>
        <w:tc>
          <w:tcPr>
            <w:tcW w:w="104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2493CBA7" w14:textId="77777777" w:rsidR="002B342A" w:rsidRPr="002B342A" w:rsidRDefault="002B342A" w:rsidP="002B342A">
            <w:pPr>
              <w:spacing w:after="0" w:line="240" w:lineRule="auto"/>
              <w:jc w:val="center"/>
              <w:rPr>
                <w:rFonts w:ascii="Arial" w:eastAsia="Times New Roman" w:hAnsi="Arial" w:cs="Arial"/>
                <w:b/>
                <w:bCs/>
                <w:sz w:val="20"/>
                <w:szCs w:val="20"/>
                <w:lang w:eastAsia="ro-RO"/>
              </w:rPr>
            </w:pPr>
            <w:r w:rsidRPr="002B342A">
              <w:rPr>
                <w:rFonts w:ascii="Arial" w:eastAsia="Times New Roman" w:hAnsi="Arial" w:cs="Arial"/>
                <w:b/>
                <w:bCs/>
                <w:sz w:val="20"/>
                <w:szCs w:val="20"/>
                <w:lang w:eastAsia="ro-RO"/>
              </w:rPr>
              <w:t>Privat</w:t>
            </w:r>
          </w:p>
        </w:tc>
        <w:tc>
          <w:tcPr>
            <w:tcW w:w="1006"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54F87925" w14:textId="77777777" w:rsidR="002B342A" w:rsidRPr="002B342A" w:rsidRDefault="002B342A" w:rsidP="002B342A">
            <w:pPr>
              <w:spacing w:after="0" w:line="240" w:lineRule="auto"/>
              <w:jc w:val="center"/>
              <w:rPr>
                <w:rFonts w:ascii="Arial" w:eastAsia="Times New Roman" w:hAnsi="Arial" w:cs="Arial"/>
                <w:b/>
                <w:bCs/>
                <w:sz w:val="20"/>
                <w:szCs w:val="20"/>
                <w:lang w:eastAsia="ro-RO"/>
              </w:rPr>
            </w:pPr>
            <w:r w:rsidRPr="002B342A">
              <w:rPr>
                <w:rFonts w:ascii="Arial" w:eastAsia="Times New Roman" w:hAnsi="Arial" w:cs="Arial"/>
                <w:b/>
                <w:bCs/>
                <w:sz w:val="20"/>
                <w:szCs w:val="20"/>
                <w:lang w:eastAsia="ro-RO"/>
              </w:rPr>
              <w:t>Marfă</w:t>
            </w:r>
          </w:p>
        </w:tc>
      </w:tr>
      <w:tr w:rsidR="002B342A" w:rsidRPr="002B342A" w14:paraId="46BDECDC" w14:textId="77777777" w:rsidTr="00CE76B6">
        <w:trPr>
          <w:trHeight w:val="300"/>
          <w:jc w:val="center"/>
        </w:trPr>
        <w:tc>
          <w:tcPr>
            <w:tcW w:w="2967" w:type="dxa"/>
            <w:tcBorders>
              <w:top w:val="nil"/>
              <w:left w:val="single" w:sz="8" w:space="0" w:color="auto"/>
              <w:bottom w:val="single" w:sz="8" w:space="0" w:color="auto"/>
              <w:right w:val="single" w:sz="8" w:space="0" w:color="auto"/>
            </w:tcBorders>
            <w:shd w:val="clear" w:color="000000" w:fill="D9D9D9"/>
            <w:vAlign w:val="center"/>
            <w:hideMark/>
          </w:tcPr>
          <w:p w14:paraId="19F6FBED" w14:textId="77777777" w:rsidR="002B342A" w:rsidRPr="002B342A" w:rsidRDefault="002B342A" w:rsidP="002B342A">
            <w:pPr>
              <w:spacing w:after="0" w:line="240" w:lineRule="auto"/>
              <w:jc w:val="center"/>
              <w:rPr>
                <w:rFonts w:ascii="Arial" w:eastAsia="Times New Roman" w:hAnsi="Arial" w:cs="Arial"/>
                <w:b/>
                <w:bCs/>
                <w:sz w:val="20"/>
                <w:szCs w:val="20"/>
                <w:lang w:eastAsia="ro-RO"/>
              </w:rPr>
            </w:pPr>
            <w:r w:rsidRPr="002B342A">
              <w:rPr>
                <w:rFonts w:ascii="Arial" w:eastAsia="Times New Roman" w:hAnsi="Arial" w:cs="Arial"/>
                <w:b/>
                <w:bCs/>
                <w:sz w:val="20"/>
                <w:szCs w:val="20"/>
                <w:lang w:eastAsia="ro-RO"/>
              </w:rPr>
              <w:t>An</w:t>
            </w:r>
          </w:p>
        </w:tc>
        <w:tc>
          <w:tcPr>
            <w:tcW w:w="4396" w:type="dxa"/>
            <w:gridSpan w:val="2"/>
            <w:vMerge/>
            <w:tcBorders>
              <w:top w:val="nil"/>
              <w:left w:val="single" w:sz="8" w:space="0" w:color="auto"/>
              <w:bottom w:val="single" w:sz="8" w:space="0" w:color="auto"/>
              <w:right w:val="single" w:sz="8" w:space="0" w:color="auto"/>
            </w:tcBorders>
            <w:vAlign w:val="center"/>
            <w:hideMark/>
          </w:tcPr>
          <w:p w14:paraId="332B8153" w14:textId="77777777" w:rsidR="002B342A" w:rsidRPr="002B342A" w:rsidRDefault="002B342A" w:rsidP="002B342A">
            <w:pPr>
              <w:spacing w:after="0" w:line="240" w:lineRule="auto"/>
              <w:rPr>
                <w:rFonts w:ascii="Arial" w:eastAsia="Times New Roman" w:hAnsi="Arial" w:cs="Arial"/>
                <w:b/>
                <w:bCs/>
                <w:sz w:val="20"/>
                <w:szCs w:val="20"/>
                <w:lang w:eastAsia="ro-RO"/>
              </w:rPr>
            </w:pPr>
          </w:p>
        </w:tc>
        <w:tc>
          <w:tcPr>
            <w:tcW w:w="1040" w:type="dxa"/>
            <w:vMerge/>
            <w:tcBorders>
              <w:top w:val="single" w:sz="8" w:space="0" w:color="auto"/>
              <w:left w:val="single" w:sz="8" w:space="0" w:color="auto"/>
              <w:bottom w:val="single" w:sz="8" w:space="0" w:color="000000"/>
              <w:right w:val="single" w:sz="8" w:space="0" w:color="auto"/>
            </w:tcBorders>
            <w:vAlign w:val="center"/>
            <w:hideMark/>
          </w:tcPr>
          <w:p w14:paraId="270D18E8" w14:textId="77777777" w:rsidR="002B342A" w:rsidRPr="002B342A" w:rsidRDefault="002B342A" w:rsidP="002B342A">
            <w:pPr>
              <w:spacing w:after="0" w:line="240" w:lineRule="auto"/>
              <w:rPr>
                <w:rFonts w:ascii="Arial" w:eastAsia="Times New Roman" w:hAnsi="Arial" w:cs="Arial"/>
                <w:b/>
                <w:bCs/>
                <w:sz w:val="20"/>
                <w:szCs w:val="20"/>
                <w:lang w:eastAsia="ro-RO"/>
              </w:rPr>
            </w:pPr>
          </w:p>
        </w:tc>
        <w:tc>
          <w:tcPr>
            <w:tcW w:w="1006" w:type="dxa"/>
            <w:vMerge/>
            <w:tcBorders>
              <w:top w:val="single" w:sz="8" w:space="0" w:color="auto"/>
              <w:left w:val="single" w:sz="8" w:space="0" w:color="auto"/>
              <w:bottom w:val="single" w:sz="8" w:space="0" w:color="000000"/>
              <w:right w:val="single" w:sz="8" w:space="0" w:color="auto"/>
            </w:tcBorders>
            <w:vAlign w:val="center"/>
            <w:hideMark/>
          </w:tcPr>
          <w:p w14:paraId="3C814842" w14:textId="77777777" w:rsidR="002B342A" w:rsidRPr="002B342A" w:rsidRDefault="002B342A" w:rsidP="002B342A">
            <w:pPr>
              <w:spacing w:after="0" w:line="240" w:lineRule="auto"/>
              <w:rPr>
                <w:rFonts w:ascii="Arial" w:eastAsia="Times New Roman" w:hAnsi="Arial" w:cs="Arial"/>
                <w:b/>
                <w:bCs/>
                <w:sz w:val="20"/>
                <w:szCs w:val="20"/>
                <w:lang w:eastAsia="ro-RO"/>
              </w:rPr>
            </w:pPr>
          </w:p>
        </w:tc>
      </w:tr>
      <w:tr w:rsidR="002B342A" w:rsidRPr="002B342A" w14:paraId="059833FF" w14:textId="77777777" w:rsidTr="00CE76B6">
        <w:trPr>
          <w:trHeight w:val="300"/>
          <w:jc w:val="center"/>
        </w:trPr>
        <w:tc>
          <w:tcPr>
            <w:tcW w:w="2967" w:type="dxa"/>
            <w:tcBorders>
              <w:top w:val="nil"/>
              <w:left w:val="single" w:sz="8" w:space="0" w:color="auto"/>
              <w:bottom w:val="single" w:sz="8" w:space="0" w:color="auto"/>
              <w:right w:val="single" w:sz="8" w:space="0" w:color="auto"/>
            </w:tcBorders>
            <w:shd w:val="clear" w:color="000000" w:fill="D9D9D9"/>
            <w:vAlign w:val="center"/>
            <w:hideMark/>
          </w:tcPr>
          <w:p w14:paraId="7F348870" w14:textId="77777777" w:rsidR="002B342A" w:rsidRPr="002B342A" w:rsidRDefault="002B342A" w:rsidP="002B342A">
            <w:pPr>
              <w:spacing w:after="0" w:line="240" w:lineRule="auto"/>
              <w:jc w:val="center"/>
              <w:rPr>
                <w:rFonts w:ascii="Arial" w:eastAsia="Times New Roman" w:hAnsi="Arial" w:cs="Arial"/>
                <w:b/>
                <w:bCs/>
                <w:sz w:val="20"/>
                <w:szCs w:val="20"/>
                <w:lang w:eastAsia="ro-RO"/>
              </w:rPr>
            </w:pPr>
            <w:r w:rsidRPr="002B342A">
              <w:rPr>
                <w:rFonts w:ascii="Arial" w:eastAsia="Times New Roman" w:hAnsi="Arial" w:cs="Arial"/>
                <w:b/>
                <w:bCs/>
                <w:sz w:val="20"/>
                <w:szCs w:val="20"/>
                <w:lang w:eastAsia="ro-RO"/>
              </w:rPr>
              <w:t>2021</w:t>
            </w:r>
          </w:p>
        </w:tc>
        <w:tc>
          <w:tcPr>
            <w:tcW w:w="1843" w:type="dxa"/>
            <w:tcBorders>
              <w:top w:val="nil"/>
              <w:left w:val="nil"/>
              <w:bottom w:val="single" w:sz="8" w:space="0" w:color="auto"/>
              <w:right w:val="single" w:sz="8" w:space="0" w:color="auto"/>
            </w:tcBorders>
            <w:shd w:val="clear" w:color="auto" w:fill="auto"/>
            <w:vAlign w:val="center"/>
            <w:hideMark/>
          </w:tcPr>
          <w:p w14:paraId="1D632CB2"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0,10</w:t>
            </w:r>
          </w:p>
        </w:tc>
        <w:tc>
          <w:tcPr>
            <w:tcW w:w="2553" w:type="dxa"/>
            <w:tcBorders>
              <w:top w:val="nil"/>
              <w:left w:val="nil"/>
              <w:bottom w:val="single" w:sz="8" w:space="0" w:color="auto"/>
              <w:right w:val="single" w:sz="8" w:space="0" w:color="auto"/>
            </w:tcBorders>
            <w:shd w:val="clear" w:color="auto" w:fill="auto"/>
            <w:vAlign w:val="center"/>
            <w:hideMark/>
          </w:tcPr>
          <w:p w14:paraId="00B673D2" w14:textId="77777777" w:rsidR="002B342A" w:rsidRPr="002B342A" w:rsidRDefault="002B342A" w:rsidP="002B342A">
            <w:pPr>
              <w:spacing w:after="0" w:line="240" w:lineRule="auto"/>
              <w:rPr>
                <w:rFonts w:ascii="Arial" w:eastAsia="Times New Roman" w:hAnsi="Arial" w:cs="Arial"/>
                <w:sz w:val="20"/>
                <w:szCs w:val="20"/>
                <w:lang w:eastAsia="ro-RO"/>
              </w:rPr>
            </w:pPr>
            <w:r w:rsidRPr="002B342A">
              <w:rPr>
                <w:rFonts w:ascii="Arial" w:eastAsia="Times New Roman" w:hAnsi="Arial" w:cs="Arial"/>
                <w:bCs/>
                <w:sz w:val="20"/>
                <w:szCs w:val="20"/>
                <w:lang w:eastAsia="ro-RO"/>
              </w:rPr>
              <w:t>pentru traseul Horezu – Romanii de Sus</w:t>
            </w:r>
          </w:p>
        </w:tc>
        <w:tc>
          <w:tcPr>
            <w:tcW w:w="1040" w:type="dxa"/>
            <w:tcBorders>
              <w:top w:val="nil"/>
              <w:left w:val="nil"/>
              <w:bottom w:val="single" w:sz="8" w:space="0" w:color="auto"/>
              <w:right w:val="single" w:sz="8" w:space="0" w:color="auto"/>
            </w:tcBorders>
            <w:shd w:val="clear" w:color="auto" w:fill="auto"/>
            <w:vAlign w:val="center"/>
            <w:hideMark/>
          </w:tcPr>
          <w:p w14:paraId="7285F9E1"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31,47</w:t>
            </w:r>
          </w:p>
        </w:tc>
        <w:tc>
          <w:tcPr>
            <w:tcW w:w="1006" w:type="dxa"/>
            <w:tcBorders>
              <w:top w:val="nil"/>
              <w:left w:val="nil"/>
              <w:bottom w:val="single" w:sz="8" w:space="0" w:color="auto"/>
              <w:right w:val="single" w:sz="8" w:space="0" w:color="auto"/>
            </w:tcBorders>
            <w:shd w:val="clear" w:color="auto" w:fill="auto"/>
            <w:vAlign w:val="center"/>
            <w:hideMark/>
          </w:tcPr>
          <w:p w14:paraId="18D02E98"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4,20</w:t>
            </w:r>
          </w:p>
        </w:tc>
      </w:tr>
      <w:tr w:rsidR="002B342A" w:rsidRPr="002B342A" w14:paraId="2B4B706D" w14:textId="77777777" w:rsidTr="00CE76B6">
        <w:trPr>
          <w:trHeight w:val="300"/>
          <w:jc w:val="center"/>
        </w:trPr>
        <w:tc>
          <w:tcPr>
            <w:tcW w:w="2967" w:type="dxa"/>
            <w:tcBorders>
              <w:top w:val="nil"/>
              <w:left w:val="single" w:sz="8" w:space="0" w:color="auto"/>
              <w:bottom w:val="single" w:sz="8" w:space="0" w:color="auto"/>
              <w:right w:val="single" w:sz="8" w:space="0" w:color="auto"/>
            </w:tcBorders>
            <w:shd w:val="clear" w:color="000000" w:fill="D9D9D9"/>
            <w:vAlign w:val="center"/>
            <w:hideMark/>
          </w:tcPr>
          <w:p w14:paraId="3B0F68A5" w14:textId="77777777" w:rsidR="002B342A" w:rsidRPr="002B342A" w:rsidRDefault="002B342A" w:rsidP="002B342A">
            <w:pPr>
              <w:spacing w:after="0" w:line="240" w:lineRule="auto"/>
              <w:jc w:val="center"/>
              <w:rPr>
                <w:rFonts w:ascii="Arial" w:eastAsia="Times New Roman" w:hAnsi="Arial" w:cs="Arial"/>
                <w:b/>
                <w:bCs/>
                <w:sz w:val="20"/>
                <w:szCs w:val="20"/>
                <w:lang w:eastAsia="ro-RO"/>
              </w:rPr>
            </w:pPr>
            <w:r w:rsidRPr="002B342A">
              <w:rPr>
                <w:rFonts w:ascii="Arial" w:eastAsia="Times New Roman" w:hAnsi="Arial" w:cs="Arial"/>
                <w:b/>
                <w:bCs/>
                <w:sz w:val="20"/>
                <w:szCs w:val="20"/>
                <w:lang w:eastAsia="ro-RO"/>
              </w:rPr>
              <w:t>2027</w:t>
            </w:r>
          </w:p>
        </w:tc>
        <w:tc>
          <w:tcPr>
            <w:tcW w:w="1843" w:type="dxa"/>
            <w:tcBorders>
              <w:top w:val="nil"/>
              <w:left w:val="nil"/>
              <w:bottom w:val="single" w:sz="8" w:space="0" w:color="auto"/>
              <w:right w:val="single" w:sz="8" w:space="0" w:color="auto"/>
            </w:tcBorders>
            <w:shd w:val="clear" w:color="auto" w:fill="auto"/>
            <w:vAlign w:val="center"/>
            <w:hideMark/>
          </w:tcPr>
          <w:p w14:paraId="592E65D2"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0,13</w:t>
            </w:r>
          </w:p>
        </w:tc>
        <w:tc>
          <w:tcPr>
            <w:tcW w:w="2553" w:type="dxa"/>
            <w:tcBorders>
              <w:top w:val="nil"/>
              <w:left w:val="nil"/>
              <w:bottom w:val="single" w:sz="8" w:space="0" w:color="auto"/>
              <w:right w:val="single" w:sz="8" w:space="0" w:color="auto"/>
            </w:tcBorders>
            <w:shd w:val="clear" w:color="auto" w:fill="auto"/>
            <w:vAlign w:val="center"/>
            <w:hideMark/>
          </w:tcPr>
          <w:p w14:paraId="640507FF" w14:textId="77777777" w:rsidR="002B342A" w:rsidRPr="002B342A" w:rsidRDefault="002B342A" w:rsidP="002B342A">
            <w:pPr>
              <w:spacing w:after="0" w:line="240" w:lineRule="auto"/>
              <w:rPr>
                <w:rFonts w:ascii="Arial" w:eastAsia="Times New Roman" w:hAnsi="Arial" w:cs="Arial"/>
                <w:sz w:val="20"/>
                <w:szCs w:val="20"/>
                <w:lang w:eastAsia="ro-RO"/>
              </w:rPr>
            </w:pPr>
            <w:r w:rsidRPr="002B342A">
              <w:rPr>
                <w:rFonts w:ascii="Arial" w:eastAsia="Times New Roman" w:hAnsi="Arial" w:cs="Arial"/>
                <w:bCs/>
                <w:sz w:val="20"/>
                <w:szCs w:val="20"/>
                <w:lang w:eastAsia="ro-RO"/>
              </w:rPr>
              <w:t>pentru traseul Horezu – Romanii de Sus</w:t>
            </w:r>
          </w:p>
        </w:tc>
        <w:tc>
          <w:tcPr>
            <w:tcW w:w="1040" w:type="dxa"/>
            <w:tcBorders>
              <w:top w:val="nil"/>
              <w:left w:val="nil"/>
              <w:bottom w:val="single" w:sz="8" w:space="0" w:color="auto"/>
              <w:right w:val="single" w:sz="8" w:space="0" w:color="auto"/>
            </w:tcBorders>
            <w:shd w:val="clear" w:color="auto" w:fill="auto"/>
            <w:vAlign w:val="center"/>
            <w:hideMark/>
          </w:tcPr>
          <w:p w14:paraId="3010B241"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43,64</w:t>
            </w:r>
          </w:p>
        </w:tc>
        <w:tc>
          <w:tcPr>
            <w:tcW w:w="1006" w:type="dxa"/>
            <w:tcBorders>
              <w:top w:val="nil"/>
              <w:left w:val="nil"/>
              <w:bottom w:val="single" w:sz="8" w:space="0" w:color="auto"/>
              <w:right w:val="single" w:sz="8" w:space="0" w:color="auto"/>
            </w:tcBorders>
            <w:shd w:val="clear" w:color="auto" w:fill="auto"/>
            <w:vAlign w:val="center"/>
            <w:hideMark/>
          </w:tcPr>
          <w:p w14:paraId="0B9341AE"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5,84</w:t>
            </w:r>
          </w:p>
        </w:tc>
      </w:tr>
      <w:tr w:rsidR="002B342A" w:rsidRPr="002B342A" w14:paraId="6D665EB1" w14:textId="77777777" w:rsidTr="00CE76B6">
        <w:trPr>
          <w:trHeight w:val="300"/>
          <w:jc w:val="center"/>
        </w:trPr>
        <w:tc>
          <w:tcPr>
            <w:tcW w:w="2967" w:type="dxa"/>
            <w:tcBorders>
              <w:top w:val="nil"/>
              <w:left w:val="single" w:sz="8" w:space="0" w:color="auto"/>
              <w:bottom w:val="single" w:sz="8" w:space="0" w:color="auto"/>
              <w:right w:val="single" w:sz="8" w:space="0" w:color="auto"/>
            </w:tcBorders>
            <w:shd w:val="clear" w:color="000000" w:fill="D9D9D9"/>
            <w:vAlign w:val="center"/>
            <w:hideMark/>
          </w:tcPr>
          <w:p w14:paraId="0824D2A1" w14:textId="77777777" w:rsidR="002B342A" w:rsidRPr="002B342A" w:rsidRDefault="002B342A" w:rsidP="002B342A">
            <w:pPr>
              <w:spacing w:after="0" w:line="240" w:lineRule="auto"/>
              <w:jc w:val="center"/>
              <w:rPr>
                <w:rFonts w:ascii="Arial" w:eastAsia="Times New Roman" w:hAnsi="Arial" w:cs="Arial"/>
                <w:b/>
                <w:bCs/>
                <w:sz w:val="20"/>
                <w:szCs w:val="20"/>
                <w:lang w:eastAsia="ro-RO"/>
              </w:rPr>
            </w:pPr>
            <w:r w:rsidRPr="002B342A">
              <w:rPr>
                <w:rFonts w:ascii="Arial" w:eastAsia="Times New Roman" w:hAnsi="Arial" w:cs="Arial"/>
                <w:b/>
                <w:bCs/>
                <w:sz w:val="20"/>
                <w:szCs w:val="20"/>
                <w:lang w:eastAsia="ro-RO"/>
              </w:rPr>
              <w:lastRenderedPageBreak/>
              <w:t>2035</w:t>
            </w:r>
          </w:p>
        </w:tc>
        <w:tc>
          <w:tcPr>
            <w:tcW w:w="1843" w:type="dxa"/>
            <w:tcBorders>
              <w:top w:val="nil"/>
              <w:left w:val="nil"/>
              <w:bottom w:val="single" w:sz="8" w:space="0" w:color="auto"/>
              <w:right w:val="single" w:sz="8" w:space="0" w:color="auto"/>
            </w:tcBorders>
            <w:shd w:val="clear" w:color="auto" w:fill="auto"/>
            <w:vAlign w:val="center"/>
            <w:hideMark/>
          </w:tcPr>
          <w:p w14:paraId="07B1137A"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0,18</w:t>
            </w:r>
          </w:p>
        </w:tc>
        <w:tc>
          <w:tcPr>
            <w:tcW w:w="2553" w:type="dxa"/>
            <w:tcBorders>
              <w:top w:val="nil"/>
              <w:left w:val="nil"/>
              <w:bottom w:val="single" w:sz="8" w:space="0" w:color="auto"/>
              <w:right w:val="single" w:sz="8" w:space="0" w:color="auto"/>
            </w:tcBorders>
            <w:shd w:val="clear" w:color="auto" w:fill="auto"/>
            <w:vAlign w:val="center"/>
            <w:hideMark/>
          </w:tcPr>
          <w:p w14:paraId="2F44F082" w14:textId="77777777" w:rsidR="002B342A" w:rsidRPr="002B342A" w:rsidRDefault="002B342A" w:rsidP="002B342A">
            <w:pPr>
              <w:spacing w:after="0" w:line="240" w:lineRule="auto"/>
              <w:rPr>
                <w:rFonts w:ascii="Arial" w:eastAsia="Times New Roman" w:hAnsi="Arial" w:cs="Arial"/>
                <w:sz w:val="20"/>
                <w:szCs w:val="20"/>
                <w:lang w:eastAsia="ro-RO"/>
              </w:rPr>
            </w:pPr>
            <w:r w:rsidRPr="002B342A">
              <w:rPr>
                <w:rFonts w:ascii="Arial" w:eastAsia="Times New Roman" w:hAnsi="Arial" w:cs="Arial"/>
                <w:bCs/>
                <w:sz w:val="20"/>
                <w:szCs w:val="20"/>
                <w:lang w:eastAsia="ro-RO"/>
              </w:rPr>
              <w:t>pentru traseul Horezu – Romanii de Sus</w:t>
            </w:r>
          </w:p>
        </w:tc>
        <w:tc>
          <w:tcPr>
            <w:tcW w:w="1040" w:type="dxa"/>
            <w:tcBorders>
              <w:top w:val="nil"/>
              <w:left w:val="nil"/>
              <w:bottom w:val="single" w:sz="8" w:space="0" w:color="auto"/>
              <w:right w:val="single" w:sz="8" w:space="0" w:color="auto"/>
            </w:tcBorders>
            <w:shd w:val="clear" w:color="auto" w:fill="auto"/>
            <w:vAlign w:val="center"/>
            <w:hideMark/>
          </w:tcPr>
          <w:p w14:paraId="02CB861E"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61,52</w:t>
            </w:r>
          </w:p>
        </w:tc>
        <w:tc>
          <w:tcPr>
            <w:tcW w:w="1006" w:type="dxa"/>
            <w:tcBorders>
              <w:top w:val="nil"/>
              <w:left w:val="nil"/>
              <w:bottom w:val="single" w:sz="8" w:space="0" w:color="auto"/>
              <w:right w:val="single" w:sz="8" w:space="0" w:color="auto"/>
            </w:tcBorders>
            <w:shd w:val="clear" w:color="auto" w:fill="auto"/>
            <w:vAlign w:val="center"/>
            <w:hideMark/>
          </w:tcPr>
          <w:p w14:paraId="54E4ED09"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8,47</w:t>
            </w:r>
          </w:p>
        </w:tc>
      </w:tr>
      <w:tr w:rsidR="002B342A" w:rsidRPr="002B342A" w14:paraId="689070EE" w14:textId="77777777" w:rsidTr="00CE76B6">
        <w:trPr>
          <w:trHeight w:val="300"/>
          <w:jc w:val="center"/>
        </w:trPr>
        <w:tc>
          <w:tcPr>
            <w:tcW w:w="2967" w:type="dxa"/>
            <w:tcBorders>
              <w:top w:val="nil"/>
              <w:left w:val="single" w:sz="8" w:space="0" w:color="auto"/>
              <w:bottom w:val="single" w:sz="8" w:space="0" w:color="auto"/>
              <w:right w:val="single" w:sz="8" w:space="0" w:color="auto"/>
            </w:tcBorders>
            <w:shd w:val="clear" w:color="000000" w:fill="D9D9D9"/>
            <w:vAlign w:val="center"/>
            <w:hideMark/>
          </w:tcPr>
          <w:p w14:paraId="0B4B96C7" w14:textId="77777777" w:rsidR="002B342A" w:rsidRPr="002B342A" w:rsidRDefault="002B342A" w:rsidP="002B342A">
            <w:pPr>
              <w:spacing w:after="0" w:line="240" w:lineRule="auto"/>
              <w:jc w:val="center"/>
              <w:rPr>
                <w:rFonts w:ascii="Arial" w:eastAsia="Times New Roman" w:hAnsi="Arial" w:cs="Arial"/>
                <w:b/>
                <w:bCs/>
                <w:sz w:val="20"/>
                <w:szCs w:val="20"/>
                <w:lang w:eastAsia="ro-RO"/>
              </w:rPr>
            </w:pPr>
            <w:r w:rsidRPr="002B342A">
              <w:rPr>
                <w:rFonts w:ascii="Arial" w:eastAsia="Times New Roman" w:hAnsi="Arial" w:cs="Arial"/>
                <w:b/>
                <w:bCs/>
                <w:sz w:val="20"/>
                <w:szCs w:val="20"/>
                <w:lang w:eastAsia="ro-RO"/>
              </w:rPr>
              <w:t>Evoluţie 2035 faţă de 2020</w:t>
            </w:r>
          </w:p>
        </w:tc>
        <w:tc>
          <w:tcPr>
            <w:tcW w:w="1843" w:type="dxa"/>
            <w:tcBorders>
              <w:top w:val="nil"/>
              <w:left w:val="nil"/>
              <w:bottom w:val="single" w:sz="8" w:space="0" w:color="auto"/>
              <w:right w:val="single" w:sz="8" w:space="0" w:color="auto"/>
            </w:tcBorders>
            <w:shd w:val="clear" w:color="auto" w:fill="auto"/>
            <w:vAlign w:val="center"/>
            <w:hideMark/>
          </w:tcPr>
          <w:p w14:paraId="6DE4081D" w14:textId="77777777" w:rsidR="002B342A" w:rsidRPr="002B342A" w:rsidRDefault="002B342A" w:rsidP="002B342A">
            <w:pPr>
              <w:spacing w:after="0" w:line="240" w:lineRule="auto"/>
              <w:jc w:val="center"/>
              <w:rPr>
                <w:rFonts w:ascii="Arial" w:eastAsia="Times New Roman" w:hAnsi="Arial" w:cs="Arial"/>
                <w:sz w:val="20"/>
                <w:szCs w:val="20"/>
              </w:rPr>
            </w:pPr>
            <w:r w:rsidRPr="002B342A">
              <w:rPr>
                <w:rFonts w:ascii="Arial" w:hAnsi="Arial" w:cs="Arial"/>
                <w:sz w:val="20"/>
                <w:szCs w:val="20"/>
              </w:rPr>
              <w:t>86,53%</w:t>
            </w:r>
          </w:p>
        </w:tc>
        <w:tc>
          <w:tcPr>
            <w:tcW w:w="2553" w:type="dxa"/>
            <w:tcBorders>
              <w:top w:val="nil"/>
              <w:left w:val="nil"/>
              <w:bottom w:val="single" w:sz="8" w:space="0" w:color="auto"/>
              <w:right w:val="single" w:sz="8" w:space="0" w:color="auto"/>
            </w:tcBorders>
            <w:shd w:val="clear" w:color="auto" w:fill="auto"/>
            <w:vAlign w:val="center"/>
            <w:hideMark/>
          </w:tcPr>
          <w:p w14:paraId="601826BC" w14:textId="77777777" w:rsidR="002B342A" w:rsidRPr="002B342A" w:rsidRDefault="002B342A" w:rsidP="002B342A">
            <w:pPr>
              <w:spacing w:after="0" w:line="240" w:lineRule="auto"/>
              <w:jc w:val="center"/>
              <w:rPr>
                <w:rFonts w:ascii="Arial" w:eastAsia="Times New Roman" w:hAnsi="Arial" w:cs="Arial"/>
                <w:sz w:val="20"/>
                <w:szCs w:val="20"/>
                <w:lang w:eastAsia="ro-RO"/>
              </w:rPr>
            </w:pPr>
            <w:r w:rsidRPr="002B342A">
              <w:rPr>
                <w:rFonts w:ascii="Arial" w:eastAsia="Times New Roman" w:hAnsi="Arial" w:cs="Arial"/>
                <w:sz w:val="20"/>
                <w:szCs w:val="20"/>
                <w:lang w:eastAsia="ro-RO"/>
              </w:rPr>
              <w:t> </w:t>
            </w:r>
          </w:p>
        </w:tc>
        <w:tc>
          <w:tcPr>
            <w:tcW w:w="1040" w:type="dxa"/>
            <w:tcBorders>
              <w:top w:val="nil"/>
              <w:left w:val="nil"/>
              <w:bottom w:val="single" w:sz="8" w:space="0" w:color="auto"/>
              <w:right w:val="single" w:sz="8" w:space="0" w:color="auto"/>
            </w:tcBorders>
            <w:shd w:val="clear" w:color="auto" w:fill="auto"/>
            <w:vAlign w:val="center"/>
            <w:hideMark/>
          </w:tcPr>
          <w:p w14:paraId="1992F136"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95,52%</w:t>
            </w:r>
          </w:p>
        </w:tc>
        <w:tc>
          <w:tcPr>
            <w:tcW w:w="1006" w:type="dxa"/>
            <w:tcBorders>
              <w:top w:val="nil"/>
              <w:left w:val="nil"/>
              <w:bottom w:val="single" w:sz="8" w:space="0" w:color="auto"/>
              <w:right w:val="single" w:sz="8" w:space="0" w:color="auto"/>
            </w:tcBorders>
            <w:shd w:val="clear" w:color="auto" w:fill="auto"/>
            <w:vAlign w:val="center"/>
            <w:hideMark/>
          </w:tcPr>
          <w:p w14:paraId="353C6236" w14:textId="77777777" w:rsidR="002B342A" w:rsidRPr="002B342A" w:rsidRDefault="002B342A" w:rsidP="002B342A">
            <w:pPr>
              <w:spacing w:after="0" w:line="240" w:lineRule="auto"/>
              <w:jc w:val="center"/>
              <w:rPr>
                <w:rFonts w:ascii="Arial" w:eastAsia="Times New Roman" w:hAnsi="Arial" w:cs="Arial"/>
                <w:sz w:val="20"/>
                <w:szCs w:val="20"/>
                <w:highlight w:val="red"/>
                <w:lang w:eastAsia="ro-RO"/>
              </w:rPr>
            </w:pPr>
            <w:r w:rsidRPr="002B342A">
              <w:rPr>
                <w:rFonts w:ascii="Arial" w:hAnsi="Arial" w:cs="Arial"/>
              </w:rPr>
              <w:t>101,45%</w:t>
            </w:r>
          </w:p>
        </w:tc>
      </w:tr>
    </w:tbl>
    <w:p w14:paraId="462AC932" w14:textId="77777777" w:rsidR="0073171D" w:rsidRPr="0073171D" w:rsidRDefault="0073171D" w:rsidP="0073171D">
      <w:pPr>
        <w:suppressAutoHyphens/>
        <w:autoSpaceDE w:val="0"/>
        <w:spacing w:after="0" w:line="360" w:lineRule="auto"/>
        <w:jc w:val="both"/>
        <w:rPr>
          <w:rFonts w:ascii="Arial" w:eastAsia="Calibri" w:hAnsi="Arial" w:cs="Arial"/>
          <w:color w:val="000000"/>
          <w:sz w:val="24"/>
          <w:szCs w:val="24"/>
          <w:highlight w:val="yellow"/>
          <w:lang w:eastAsia="zh-CN"/>
        </w:rPr>
      </w:pPr>
    </w:p>
    <w:p w14:paraId="77433D32" w14:textId="77777777" w:rsidR="002B342A" w:rsidRPr="002B342A" w:rsidRDefault="002B342A" w:rsidP="002B342A">
      <w:pPr>
        <w:suppressAutoHyphens/>
        <w:autoSpaceDE w:val="0"/>
        <w:spacing w:after="0" w:line="276" w:lineRule="auto"/>
        <w:jc w:val="both"/>
        <w:rPr>
          <w:rFonts w:ascii="Arial" w:eastAsia="Calibri" w:hAnsi="Arial" w:cs="Arial"/>
          <w:color w:val="000000"/>
          <w:lang w:eastAsia="zh-CN"/>
        </w:rPr>
      </w:pPr>
      <w:r w:rsidRPr="002B342A">
        <w:rPr>
          <w:rFonts w:ascii="Arial" w:eastAsia="Calibri" w:hAnsi="Arial" w:cs="Arial"/>
          <w:color w:val="000000"/>
          <w:lang w:eastAsia="zh-CN"/>
        </w:rPr>
        <w:t>Concluzii:</w:t>
      </w:r>
    </w:p>
    <w:p w14:paraId="698F9DB3" w14:textId="77777777" w:rsidR="002B342A" w:rsidRPr="002B342A" w:rsidRDefault="002B342A" w:rsidP="002B342A">
      <w:pPr>
        <w:numPr>
          <w:ilvl w:val="0"/>
          <w:numId w:val="72"/>
        </w:numPr>
        <w:suppressAutoHyphens/>
        <w:autoSpaceDE w:val="0"/>
        <w:spacing w:after="0" w:line="276" w:lineRule="auto"/>
        <w:ind w:left="567" w:hanging="207"/>
        <w:jc w:val="both"/>
        <w:rPr>
          <w:rFonts w:ascii="Arial" w:eastAsia="Calibri" w:hAnsi="Arial" w:cs="Arial"/>
          <w:color w:val="000000"/>
          <w:lang w:eastAsia="zh-CN"/>
        </w:rPr>
      </w:pPr>
      <w:r w:rsidRPr="002B342A">
        <w:rPr>
          <w:rFonts w:ascii="Arial" w:eastAsia="Calibri" w:hAnsi="Arial" w:cs="Arial"/>
          <w:color w:val="000000"/>
          <w:lang w:eastAsia="zh-CN"/>
        </w:rPr>
        <w:t>se observă o creştere mult mai mare a traficului (mii vehicule km pe an) pentru transportul privat şi de marfă decât cea a traficului aferent transportului public, ceea ce corespunde unei diminuări a numărului de călători care utilizează transportul public;</w:t>
      </w:r>
    </w:p>
    <w:p w14:paraId="45A1C3A7" w14:textId="77777777" w:rsidR="002B342A" w:rsidRPr="002B342A" w:rsidRDefault="002B342A" w:rsidP="002B342A">
      <w:pPr>
        <w:numPr>
          <w:ilvl w:val="0"/>
          <w:numId w:val="72"/>
        </w:numPr>
        <w:suppressAutoHyphens/>
        <w:autoSpaceDE w:val="0"/>
        <w:spacing w:after="0" w:line="276" w:lineRule="auto"/>
        <w:ind w:left="567" w:hanging="207"/>
        <w:jc w:val="both"/>
        <w:rPr>
          <w:rFonts w:ascii="Arial" w:eastAsia="Calibri" w:hAnsi="Arial" w:cs="Arial"/>
          <w:color w:val="000000"/>
          <w:lang w:eastAsia="zh-CN"/>
        </w:rPr>
      </w:pPr>
      <w:r w:rsidRPr="002B342A">
        <w:rPr>
          <w:rFonts w:ascii="Arial" w:eastAsia="Calibri" w:hAnsi="Arial" w:cs="Arial"/>
          <w:color w:val="000000"/>
          <w:lang w:eastAsia="zh-CN"/>
        </w:rPr>
        <w:t>creştere a întârzierilor (mii vehicule ore pe an) în transportul public pentru orizonturile de timp 2027 şi 2035 faţă de anul de bază;</w:t>
      </w:r>
    </w:p>
    <w:p w14:paraId="69DBBF86" w14:textId="77777777" w:rsidR="002B342A" w:rsidRPr="002B342A" w:rsidRDefault="002B342A" w:rsidP="002B342A">
      <w:pPr>
        <w:numPr>
          <w:ilvl w:val="0"/>
          <w:numId w:val="72"/>
        </w:numPr>
        <w:suppressAutoHyphens/>
        <w:autoSpaceDE w:val="0"/>
        <w:spacing w:after="0" w:line="276" w:lineRule="auto"/>
        <w:jc w:val="both"/>
        <w:rPr>
          <w:rFonts w:ascii="Arial" w:eastAsia="Calibri" w:hAnsi="Arial" w:cs="Arial"/>
          <w:color w:val="000000"/>
          <w:lang w:eastAsia="zh-CN"/>
        </w:rPr>
      </w:pPr>
      <w:r w:rsidRPr="002B342A">
        <w:rPr>
          <w:rFonts w:ascii="Arial" w:eastAsia="Calibri" w:hAnsi="Arial" w:cs="Arial"/>
          <w:color w:val="000000"/>
          <w:lang w:eastAsia="zh-CN"/>
        </w:rPr>
        <w:t>scăderea vitezei medii de circulaţie la orele de vârf cu 9 %;</w:t>
      </w:r>
    </w:p>
    <w:p w14:paraId="2E4F5A10" w14:textId="77777777" w:rsidR="002B342A" w:rsidRPr="002B342A" w:rsidRDefault="002B342A" w:rsidP="002B342A">
      <w:pPr>
        <w:numPr>
          <w:ilvl w:val="0"/>
          <w:numId w:val="72"/>
        </w:numPr>
        <w:suppressAutoHyphens/>
        <w:autoSpaceDE w:val="0"/>
        <w:spacing w:after="0" w:line="276" w:lineRule="auto"/>
        <w:jc w:val="both"/>
        <w:rPr>
          <w:rFonts w:ascii="Arial" w:eastAsia="Calibri" w:hAnsi="Arial" w:cs="Arial"/>
          <w:color w:val="000000"/>
          <w:lang w:eastAsia="zh-CN"/>
        </w:rPr>
      </w:pPr>
      <w:r w:rsidRPr="002B342A">
        <w:rPr>
          <w:rFonts w:ascii="Arial" w:eastAsia="Calibri" w:hAnsi="Arial" w:cs="Arial"/>
          <w:color w:val="000000"/>
          <w:lang w:eastAsia="zh-CN"/>
        </w:rPr>
        <w:t>creşterea întârzierilor medii la orele de vârf cu pana la 70 %;</w:t>
      </w:r>
    </w:p>
    <w:p w14:paraId="353EDE3F" w14:textId="77777777" w:rsidR="002B342A" w:rsidRPr="002B342A" w:rsidRDefault="002B342A" w:rsidP="002B342A">
      <w:pPr>
        <w:numPr>
          <w:ilvl w:val="0"/>
          <w:numId w:val="72"/>
        </w:numPr>
        <w:suppressAutoHyphens/>
        <w:autoSpaceDE w:val="0"/>
        <w:spacing w:after="0" w:line="276" w:lineRule="auto"/>
        <w:jc w:val="both"/>
        <w:rPr>
          <w:rFonts w:ascii="Arial" w:eastAsia="Calibri" w:hAnsi="Arial" w:cs="Arial"/>
          <w:color w:val="000000"/>
          <w:lang w:eastAsia="zh-CN"/>
        </w:rPr>
      </w:pPr>
      <w:r w:rsidRPr="002B342A">
        <w:rPr>
          <w:rFonts w:ascii="Arial" w:eastAsia="Calibri" w:hAnsi="Arial" w:cs="Arial"/>
          <w:color w:val="000000"/>
          <w:lang w:eastAsia="zh-CN"/>
        </w:rPr>
        <w:t>creşterea consumului de combustibil la orele de vârf cu 100-115 %;</w:t>
      </w:r>
    </w:p>
    <w:p w14:paraId="6753742F" w14:textId="77777777" w:rsidR="0073171D" w:rsidRPr="0073171D" w:rsidRDefault="0073171D" w:rsidP="0073171D">
      <w:pPr>
        <w:suppressAutoHyphens/>
        <w:autoSpaceDE w:val="0"/>
        <w:spacing w:after="0" w:line="360" w:lineRule="auto"/>
        <w:jc w:val="both"/>
        <w:rPr>
          <w:rFonts w:ascii="Arial" w:eastAsia="Arial" w:hAnsi="Arial" w:cs="Arial"/>
          <w:color w:val="000000"/>
          <w:sz w:val="24"/>
          <w:szCs w:val="24"/>
          <w:lang w:eastAsia="zh-CN"/>
        </w:rPr>
      </w:pPr>
    </w:p>
    <w:p w14:paraId="079D19A0" w14:textId="77777777" w:rsidR="0073171D" w:rsidRPr="0073171D" w:rsidRDefault="0073171D" w:rsidP="0073171D">
      <w:pPr>
        <w:suppressAutoHyphens/>
        <w:autoSpaceDE w:val="0"/>
        <w:spacing w:after="0" w:line="276" w:lineRule="auto"/>
        <w:jc w:val="both"/>
        <w:rPr>
          <w:rFonts w:ascii="Arial" w:eastAsia="Calibri" w:hAnsi="Arial" w:cs="Arial"/>
          <w:color w:val="000000"/>
          <w:lang w:val="es-ES" w:eastAsia="zh-CN"/>
        </w:rPr>
      </w:pPr>
      <w:r w:rsidRPr="0073171D">
        <w:rPr>
          <w:rFonts w:ascii="Arial" w:eastAsia="Calibri" w:hAnsi="Arial" w:cs="Arial"/>
          <w:color w:val="000000"/>
          <w:lang w:val="es-ES" w:eastAsia="zh-CN"/>
        </w:rPr>
        <w:t>Pentru a realiza un plan de mobilitate urbană care să fie sustenabil, este necesar că acesta să dezvolte un sistem de transport eficient din punct de vedere al costurilor, care să fie benefic atât pentru utilizatorii de servicii de transport (ce vor beneficia de servicii de calitate și eficiente la un preț rezonabil), cât și pentru autoritățile publice și operatorii privați (ce își pot gestiona mai bine bugetele pentru a întreține şi dezvolta sistemul). În acest scop trebuie identificate problemele cu care se confruntă în prezent sistemul de transport în ansamblul său și apoi găsite soluțiile viabile pentru rezolvarea acestor probleme. Un rezumat al problemelor identificate în cadrul analizei situației actuale, în ordinea importanței acestora este prezentat în tabelul următor:</w:t>
      </w:r>
    </w:p>
    <w:p w14:paraId="30ECCDD7" w14:textId="77777777" w:rsidR="0073171D" w:rsidRPr="0073171D" w:rsidRDefault="0073171D" w:rsidP="0073171D">
      <w:pPr>
        <w:suppressAutoHyphens/>
        <w:autoSpaceDE w:val="0"/>
        <w:spacing w:after="0" w:line="360" w:lineRule="auto"/>
        <w:jc w:val="both"/>
        <w:rPr>
          <w:rFonts w:ascii="Arial" w:eastAsia="Calibri" w:hAnsi="Arial" w:cs="Arial"/>
          <w:color w:val="000000"/>
          <w:sz w:val="24"/>
          <w:szCs w:val="24"/>
          <w:lang w:val="es-ES" w:eastAsia="zh-CN"/>
        </w:rPr>
      </w:pPr>
    </w:p>
    <w:tbl>
      <w:tblPr>
        <w:tblStyle w:val="ListTable4-Accent212"/>
        <w:tblW w:w="0" w:type="auto"/>
        <w:tblLook w:val="04A0" w:firstRow="1" w:lastRow="0" w:firstColumn="1" w:lastColumn="0" w:noHBand="0" w:noVBand="1"/>
      </w:tblPr>
      <w:tblGrid>
        <w:gridCol w:w="4935"/>
        <w:gridCol w:w="4934"/>
      </w:tblGrid>
      <w:tr w:rsidR="0073171D" w:rsidRPr="0073171D" w14:paraId="4E7A5706" w14:textId="77777777" w:rsidTr="0073171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07A18C39" w14:textId="77777777" w:rsidR="0073171D" w:rsidRPr="0073171D" w:rsidRDefault="0073171D" w:rsidP="0073171D">
            <w:pPr>
              <w:widowControl w:val="0"/>
              <w:autoSpaceDE w:val="0"/>
              <w:autoSpaceDN w:val="0"/>
              <w:adjustRightInd w:val="0"/>
              <w:spacing w:after="160" w:line="276" w:lineRule="auto"/>
              <w:jc w:val="center"/>
              <w:rPr>
                <w:rFonts w:ascii="Arial" w:hAnsi="Arial" w:cs="Arial"/>
                <w:b w:val="0"/>
                <w:kern w:val="1"/>
                <w:sz w:val="18"/>
                <w:szCs w:val="18"/>
                <w:lang w:val="ro-RO" w:eastAsia="hi-IN" w:bidi="hi-IN"/>
              </w:rPr>
            </w:pPr>
            <w:r w:rsidRPr="0073171D">
              <w:rPr>
                <w:rFonts w:ascii="Arial" w:hAnsi="Arial" w:cs="Arial"/>
                <w:b w:val="0"/>
                <w:kern w:val="1"/>
                <w:sz w:val="18"/>
                <w:szCs w:val="18"/>
                <w:lang w:val="ro-RO" w:eastAsia="hi-IN" w:bidi="hi-IN"/>
              </w:rPr>
              <w:t>Problema identificată</w:t>
            </w:r>
          </w:p>
        </w:tc>
        <w:tc>
          <w:tcPr>
            <w:tcW w:w="4934" w:type="dxa"/>
          </w:tcPr>
          <w:p w14:paraId="5B8D1563" w14:textId="77777777" w:rsidR="0073171D" w:rsidRPr="0073171D" w:rsidRDefault="0073171D" w:rsidP="0073171D">
            <w:pPr>
              <w:widowControl w:val="0"/>
              <w:autoSpaceDE w:val="0"/>
              <w:autoSpaceDN w:val="0"/>
              <w:adjustRightInd w:val="0"/>
              <w:spacing w:after="16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1"/>
                <w:sz w:val="18"/>
                <w:szCs w:val="18"/>
                <w:lang w:val="ro-RO" w:eastAsia="hi-IN" w:bidi="hi-IN"/>
              </w:rPr>
            </w:pPr>
            <w:r w:rsidRPr="0073171D">
              <w:rPr>
                <w:rFonts w:ascii="Arial" w:hAnsi="Arial" w:cs="Arial"/>
                <w:b w:val="0"/>
                <w:kern w:val="1"/>
                <w:sz w:val="18"/>
                <w:szCs w:val="18"/>
                <w:lang w:val="ro-RO" w:eastAsia="hi-IN" w:bidi="hi-IN"/>
              </w:rPr>
              <w:t>Soluție</w:t>
            </w:r>
          </w:p>
        </w:tc>
      </w:tr>
      <w:tr w:rsidR="0073171D" w:rsidRPr="0073171D" w14:paraId="4139C074"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466955C6"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Circulație excesiv directionata de-a lungul principalelor artere.</w:t>
            </w:r>
          </w:p>
        </w:tc>
        <w:tc>
          <w:tcPr>
            <w:tcW w:w="4934" w:type="dxa"/>
          </w:tcPr>
          <w:p w14:paraId="520C698A" w14:textId="7777777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Oferirea de rute alternative prin reabilitarea si modernizarea infrastructurii rutiere. Construirea soselei de centura.</w:t>
            </w:r>
          </w:p>
        </w:tc>
      </w:tr>
      <w:tr w:rsidR="0073171D" w:rsidRPr="0073171D" w14:paraId="422C992F"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5F98FC81"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Capacitate de circulație la limita în intersecții situate de-a lungul principalelor artere.</w:t>
            </w:r>
          </w:p>
        </w:tc>
        <w:tc>
          <w:tcPr>
            <w:tcW w:w="4934" w:type="dxa"/>
          </w:tcPr>
          <w:p w14:paraId="0B1BBCF4"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Solutii punctuale pentru cresterea capacitatii de circulatie. Construirea soselei de centura.</w:t>
            </w:r>
          </w:p>
        </w:tc>
      </w:tr>
      <w:tr w:rsidR="0073171D" w:rsidRPr="0073171D" w14:paraId="316F64B9"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43FD70EC"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Insuficienta exploatare a sistemului de organizare prin sensuri unice a circulației</w:t>
            </w:r>
          </w:p>
        </w:tc>
        <w:tc>
          <w:tcPr>
            <w:tcW w:w="4934" w:type="dxa"/>
          </w:tcPr>
          <w:p w14:paraId="6CE1E732" w14:textId="7777777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Regandirea sistemului de organizare a circulatiei prin sensuri unice.</w:t>
            </w:r>
          </w:p>
        </w:tc>
      </w:tr>
      <w:tr w:rsidR="0073171D" w:rsidRPr="0073171D" w14:paraId="39F0B7C2"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1977D4EB"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Lipsa unei politici de parcare pentru întreaga suprafață administrativă</w:t>
            </w:r>
          </w:p>
        </w:tc>
        <w:tc>
          <w:tcPr>
            <w:tcW w:w="4934" w:type="dxa"/>
          </w:tcPr>
          <w:p w14:paraId="252FE854"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Elaborarea unei politici de parcare la nivelul orasului in concordanta cu tendintele de pe plan european.</w:t>
            </w:r>
          </w:p>
        </w:tc>
      </w:tr>
      <w:tr w:rsidR="0073171D" w:rsidRPr="0073171D" w14:paraId="24866BC2"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62C64DC3"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Lipsa spațiilor de parcare amenajate, atât a celor de reședință cât și a celor de destinație</w:t>
            </w:r>
          </w:p>
        </w:tc>
        <w:tc>
          <w:tcPr>
            <w:tcW w:w="4934" w:type="dxa"/>
          </w:tcPr>
          <w:p w14:paraId="6CA22C32" w14:textId="7777777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Amenajare de parcari de resedinta si de destinatie.</w:t>
            </w:r>
          </w:p>
        </w:tc>
      </w:tr>
      <w:tr w:rsidR="0073171D" w:rsidRPr="0073171D" w14:paraId="5CBFF7E5"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53E0B30A"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Lipsa parcarilor P&amp;R.</w:t>
            </w:r>
          </w:p>
        </w:tc>
        <w:tc>
          <w:tcPr>
            <w:tcW w:w="4934" w:type="dxa"/>
          </w:tcPr>
          <w:p w14:paraId="6E415DFF"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Construirea de parcari P&amp;R.</w:t>
            </w:r>
          </w:p>
        </w:tc>
      </w:tr>
      <w:tr w:rsidR="0073171D" w:rsidRPr="0073171D" w14:paraId="28AF6733"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4B95FA8F"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ro-RO" w:eastAsia="hi-IN" w:bidi="hi-IN"/>
              </w:rPr>
              <w:t>Capacitate de circulatie redusă prin alocarea unor părți din carosabil staționărilor.</w:t>
            </w:r>
          </w:p>
        </w:tc>
        <w:tc>
          <w:tcPr>
            <w:tcW w:w="4934" w:type="dxa"/>
          </w:tcPr>
          <w:p w14:paraId="53BA2F24" w14:textId="7777777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Eliminarea parcarilor de pe partea carosabila, in special pe arterele pe care se va desfasura activitatea de transport public.</w:t>
            </w:r>
          </w:p>
        </w:tc>
      </w:tr>
      <w:tr w:rsidR="0073171D" w:rsidRPr="0073171D" w14:paraId="4AF366DA"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6C16D150"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Lipsa taxării spațiilor de parcare care să descurajeze deplasarea către centrul orașului cu automobilul propriu.</w:t>
            </w:r>
          </w:p>
        </w:tc>
        <w:tc>
          <w:tcPr>
            <w:tcW w:w="4934" w:type="dxa"/>
          </w:tcPr>
          <w:p w14:paraId="4268D656"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Introducerea sistemului de taxare a parcarilor.</w:t>
            </w:r>
          </w:p>
        </w:tc>
      </w:tr>
      <w:tr w:rsidR="0073171D" w:rsidRPr="0073171D" w14:paraId="78E97456"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76BD8937"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În aproape toate intersecțiile importante este permisă manevra la stânga.</w:t>
            </w:r>
          </w:p>
        </w:tc>
        <w:tc>
          <w:tcPr>
            <w:tcW w:w="4934" w:type="dxa"/>
          </w:tcPr>
          <w:p w14:paraId="604602E2" w14:textId="7777777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Studierea posibilităților punctuale de re-amenajare a intersecțiilor.</w:t>
            </w:r>
          </w:p>
        </w:tc>
      </w:tr>
      <w:tr w:rsidR="0073171D" w:rsidRPr="0073171D" w14:paraId="32F3838A"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2F20F816"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es-ES" w:eastAsia="hi-IN" w:bidi="hi-IN"/>
              </w:rPr>
              <w:lastRenderedPageBreak/>
              <w:t>Starea necorespunzătoare a infrastructurii rutiere.</w:t>
            </w:r>
          </w:p>
        </w:tc>
        <w:tc>
          <w:tcPr>
            <w:tcW w:w="4934" w:type="dxa"/>
          </w:tcPr>
          <w:p w14:paraId="1EDA2CC0"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Adoptarea unei politici coerente de intervenții asupra infrastrurii rutiere.</w:t>
            </w:r>
          </w:p>
        </w:tc>
      </w:tr>
      <w:tr w:rsidR="0073171D" w:rsidRPr="0073171D" w14:paraId="5541AC76"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430A0B0B"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73171D">
              <w:rPr>
                <w:rFonts w:ascii="Arial" w:hAnsi="Arial" w:cs="Arial"/>
                <w:kern w:val="1"/>
                <w:sz w:val="18"/>
                <w:szCs w:val="18"/>
                <w:lang w:val="ro-RO" w:eastAsia="hi-IN" w:bidi="hi-IN"/>
              </w:rPr>
              <w:t xml:space="preserve">Nu exista serviciu de transport public pe teritoriul orașului. </w:t>
            </w:r>
          </w:p>
        </w:tc>
        <w:tc>
          <w:tcPr>
            <w:tcW w:w="4934" w:type="dxa"/>
          </w:tcPr>
          <w:p w14:paraId="73566A87" w14:textId="7777777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Infiintarea serviciului de transport public local.</w:t>
            </w:r>
          </w:p>
        </w:tc>
      </w:tr>
      <w:tr w:rsidR="0073171D" w:rsidRPr="0073171D" w14:paraId="56BC624D"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5382089A"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Nu există trasee de transport public pentru zona periurbană (localitatile componente).</w:t>
            </w:r>
          </w:p>
        </w:tc>
        <w:tc>
          <w:tcPr>
            <w:tcW w:w="4934" w:type="dxa"/>
          </w:tcPr>
          <w:p w14:paraId="3E90DEB4"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Înființarea de linii de transport către localitățile componente.</w:t>
            </w:r>
          </w:p>
        </w:tc>
      </w:tr>
      <w:tr w:rsidR="0073171D" w:rsidRPr="0073171D" w14:paraId="04FAD3B6"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141405AF"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Nu exista parc de vehicule de transport public.</w:t>
            </w:r>
          </w:p>
        </w:tc>
        <w:tc>
          <w:tcPr>
            <w:tcW w:w="4934" w:type="dxa"/>
          </w:tcPr>
          <w:p w14:paraId="5F2AB8A7" w14:textId="7777777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Achizitionarea de vehicule de transport public nepoluante nepoluante, dotate cu sisteme de e-ticketing, sisteme GPS de urmărire și de informare a călătorilor.</w:t>
            </w:r>
          </w:p>
        </w:tc>
      </w:tr>
      <w:tr w:rsidR="0073171D" w:rsidRPr="0073171D" w14:paraId="27941FBF"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259895F4"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Lipsa unei autobaze dotate corespunzator, inclusiv cu puncte de încarcare pentru vehiculele electrice.</w:t>
            </w:r>
          </w:p>
        </w:tc>
        <w:tc>
          <w:tcPr>
            <w:tcW w:w="4934" w:type="dxa"/>
          </w:tcPr>
          <w:p w14:paraId="69BD8B41"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Construirea unei autobaze dotată corespunzător.</w:t>
            </w:r>
          </w:p>
        </w:tc>
      </w:tr>
      <w:tr w:rsidR="0073171D" w:rsidRPr="0073171D" w14:paraId="582F2515"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7892A1C6"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Statii de transport public neamenajate.</w:t>
            </w:r>
          </w:p>
        </w:tc>
        <w:tc>
          <w:tcPr>
            <w:tcW w:w="4934" w:type="dxa"/>
          </w:tcPr>
          <w:p w14:paraId="2C551C65" w14:textId="7777777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Amenajarea si dotarea cu sisteme de informare a calatorilor a statiilor de transport public.</w:t>
            </w:r>
          </w:p>
        </w:tc>
      </w:tr>
      <w:tr w:rsidR="0073171D" w:rsidRPr="0073171D" w14:paraId="1724DCEF"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23AE8107"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Lipsa conectivității dintre transportul public local și cele județean, interurban și feroviar.</w:t>
            </w:r>
          </w:p>
        </w:tc>
        <w:tc>
          <w:tcPr>
            <w:tcW w:w="4934" w:type="dxa"/>
          </w:tcPr>
          <w:p w14:paraId="7898C0AE"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Construirea unui terminal intermodal.</w:t>
            </w:r>
          </w:p>
        </w:tc>
      </w:tr>
      <w:tr w:rsidR="0073171D" w:rsidRPr="0073171D" w14:paraId="46D6CA5A"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7C3C6AE7" w14:textId="28791373"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 xml:space="preserve">Inexistența </w:t>
            </w:r>
            <w:r w:rsidR="006E163D">
              <w:rPr>
                <w:rFonts w:ascii="Arial" w:hAnsi="Arial" w:cs="Arial"/>
                <w:kern w:val="1"/>
                <w:sz w:val="18"/>
                <w:szCs w:val="18"/>
                <w:lang w:val="ro-RO" w:eastAsia="hi-IN" w:bidi="hi-IN"/>
              </w:rPr>
              <w:t>traseelor</w:t>
            </w:r>
            <w:r w:rsidRPr="0073171D">
              <w:rPr>
                <w:rFonts w:ascii="Arial" w:hAnsi="Arial" w:cs="Arial"/>
                <w:kern w:val="1"/>
                <w:sz w:val="18"/>
                <w:szCs w:val="18"/>
                <w:lang w:val="ro-RO" w:eastAsia="hi-IN" w:bidi="hi-IN"/>
              </w:rPr>
              <w:t xml:space="preserve"> pentru bicicl</w:t>
            </w:r>
            <w:r w:rsidR="006E163D">
              <w:rPr>
                <w:rFonts w:ascii="Arial" w:hAnsi="Arial" w:cs="Arial"/>
                <w:kern w:val="1"/>
                <w:sz w:val="18"/>
                <w:szCs w:val="18"/>
                <w:lang w:val="ro-RO" w:eastAsia="hi-IN" w:bidi="hi-IN"/>
              </w:rPr>
              <w:t>ete</w:t>
            </w:r>
            <w:r w:rsidRPr="0073171D">
              <w:rPr>
                <w:rFonts w:ascii="Arial" w:hAnsi="Arial" w:cs="Arial"/>
                <w:kern w:val="1"/>
                <w:sz w:val="18"/>
                <w:szCs w:val="18"/>
                <w:lang w:val="ro-RO" w:eastAsia="hi-IN" w:bidi="hi-IN"/>
              </w:rPr>
              <w:t xml:space="preserve"> și a sistemelor conexe (parcări pentru biciclete, bike-sharing etc.)</w:t>
            </w:r>
          </w:p>
        </w:tc>
        <w:tc>
          <w:tcPr>
            <w:tcW w:w="4934" w:type="dxa"/>
          </w:tcPr>
          <w:p w14:paraId="34DE14F5" w14:textId="2013865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 xml:space="preserve">Amenajarea de </w:t>
            </w:r>
            <w:r w:rsidR="006E163D">
              <w:rPr>
                <w:rFonts w:ascii="Arial" w:hAnsi="Arial" w:cs="Arial"/>
                <w:kern w:val="1"/>
                <w:sz w:val="18"/>
                <w:szCs w:val="18"/>
                <w:lang w:val="ro-RO" w:eastAsia="hi-IN" w:bidi="hi-IN"/>
              </w:rPr>
              <w:t>trasee</w:t>
            </w:r>
            <w:r w:rsidRPr="0073171D">
              <w:rPr>
                <w:rFonts w:ascii="Arial" w:hAnsi="Arial" w:cs="Arial"/>
                <w:kern w:val="1"/>
                <w:sz w:val="18"/>
                <w:szCs w:val="18"/>
                <w:lang w:val="ro-RO" w:eastAsia="hi-IN" w:bidi="hi-IN"/>
              </w:rPr>
              <w:t xml:space="preserve"> pentru bicicl</w:t>
            </w:r>
            <w:r w:rsidR="006E163D">
              <w:rPr>
                <w:rFonts w:ascii="Arial" w:hAnsi="Arial" w:cs="Arial"/>
                <w:kern w:val="1"/>
                <w:sz w:val="18"/>
                <w:szCs w:val="18"/>
                <w:lang w:val="ro-RO" w:eastAsia="hi-IN" w:bidi="hi-IN"/>
              </w:rPr>
              <w:t>ete</w:t>
            </w:r>
            <w:r w:rsidRPr="0073171D">
              <w:rPr>
                <w:rFonts w:ascii="Arial" w:hAnsi="Arial" w:cs="Arial"/>
                <w:kern w:val="1"/>
                <w:sz w:val="18"/>
                <w:szCs w:val="18"/>
                <w:lang w:val="ro-RO" w:eastAsia="hi-IN" w:bidi="hi-IN"/>
              </w:rPr>
              <w:t xml:space="preserve">, atat in interiorul orasului, cat si de conexiune cu satele componente si a sistemelor conexe. </w:t>
            </w:r>
            <w:r w:rsidRPr="007B577D">
              <w:rPr>
                <w:rFonts w:ascii="Arial" w:hAnsi="Arial" w:cs="Arial"/>
                <w:kern w:val="1"/>
                <w:sz w:val="18"/>
                <w:szCs w:val="18"/>
                <w:lang w:val="ro-RO" w:eastAsia="hi-IN" w:bidi="hi-IN"/>
              </w:rPr>
              <w:t>Amenajarea de trasee de cicloturism</w:t>
            </w:r>
            <w:r w:rsidRPr="0073171D">
              <w:rPr>
                <w:rFonts w:ascii="Arial" w:hAnsi="Arial" w:cs="Arial"/>
                <w:kern w:val="1"/>
                <w:sz w:val="18"/>
                <w:szCs w:val="18"/>
                <w:lang w:val="ro-RO" w:eastAsia="hi-IN" w:bidi="hi-IN"/>
              </w:rPr>
              <w:t>.</w:t>
            </w:r>
          </w:p>
        </w:tc>
      </w:tr>
      <w:tr w:rsidR="0073171D" w:rsidRPr="0073171D" w14:paraId="4EF4476E"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391DC63F"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Cvasi-inexistența zonelor exclusiv pietonale și starea necorespunzătoare a infrastructurii dedicate.</w:t>
            </w:r>
          </w:p>
        </w:tc>
        <w:tc>
          <w:tcPr>
            <w:tcW w:w="4934" w:type="dxa"/>
          </w:tcPr>
          <w:p w14:paraId="464B39C6"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Crearea de zone pietonale extinse, reabilitarea infrastructurii și implementarea conceptelor de „zone rezidențiale”</w:t>
            </w:r>
          </w:p>
        </w:tc>
      </w:tr>
      <w:tr w:rsidR="0073171D" w:rsidRPr="0073171D" w14:paraId="089C3BB8" w14:textId="77777777" w:rsidTr="007317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0C653363"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Lipsa infrastructurii pentru micromobilitate, inclusiv a celei pentru vehiculele electrice.</w:t>
            </w:r>
          </w:p>
        </w:tc>
        <w:tc>
          <w:tcPr>
            <w:tcW w:w="4934" w:type="dxa"/>
          </w:tcPr>
          <w:p w14:paraId="21710A13" w14:textId="77777777" w:rsidR="0073171D" w:rsidRPr="0073171D" w:rsidRDefault="0073171D" w:rsidP="0073171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Schimbarea paradigmei „infrastructura dedicata in special mașinilor” în „infrastructura care să pună accentul pe micromobilitate”.</w:t>
            </w:r>
          </w:p>
        </w:tc>
      </w:tr>
      <w:tr w:rsidR="0073171D" w:rsidRPr="0073171D" w14:paraId="1678AFAA" w14:textId="77777777" w:rsidTr="00C735D2">
        <w:tc>
          <w:tcPr>
            <w:cnfStyle w:val="001000000000" w:firstRow="0" w:lastRow="0" w:firstColumn="1" w:lastColumn="0" w:oddVBand="0" w:evenVBand="0" w:oddHBand="0" w:evenHBand="0" w:firstRowFirstColumn="0" w:firstRowLastColumn="0" w:lastRowFirstColumn="0" w:lastRowLastColumn="0"/>
            <w:tcW w:w="4935" w:type="dxa"/>
          </w:tcPr>
          <w:p w14:paraId="6CABB9E3" w14:textId="77777777" w:rsidR="0073171D" w:rsidRPr="0073171D" w:rsidRDefault="0073171D" w:rsidP="0073171D">
            <w:pPr>
              <w:widowControl w:val="0"/>
              <w:autoSpaceDE w:val="0"/>
              <w:autoSpaceDN w:val="0"/>
              <w:adjustRightInd w:val="0"/>
              <w:spacing w:after="160" w:line="276" w:lineRule="auto"/>
              <w:jc w:val="both"/>
              <w:rPr>
                <w:rFonts w:ascii="Arial" w:hAnsi="Arial" w:cs="Arial"/>
                <w:kern w:val="1"/>
                <w:sz w:val="18"/>
                <w:szCs w:val="18"/>
                <w:lang w:val="ro-RO" w:eastAsia="hi-IN" w:bidi="hi-IN"/>
              </w:rPr>
            </w:pPr>
            <w:r w:rsidRPr="0073171D">
              <w:rPr>
                <w:rFonts w:ascii="Arial" w:hAnsi="Arial" w:cs="Arial"/>
                <w:kern w:val="1"/>
                <w:sz w:val="18"/>
                <w:szCs w:val="18"/>
                <w:lang w:val="ro-RO" w:eastAsia="hi-IN" w:bidi="hi-IN"/>
              </w:rPr>
              <w:t>Transportul de aprovizionare cu mărfuri se face în timpul zilei.</w:t>
            </w:r>
          </w:p>
        </w:tc>
        <w:tc>
          <w:tcPr>
            <w:tcW w:w="4934" w:type="dxa"/>
          </w:tcPr>
          <w:p w14:paraId="13073493" w14:textId="77777777" w:rsidR="0073171D" w:rsidRPr="0073171D" w:rsidRDefault="0073171D" w:rsidP="0073171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es-ES" w:eastAsia="hi-IN" w:bidi="hi-IN"/>
              </w:rPr>
            </w:pPr>
            <w:r w:rsidRPr="0073171D">
              <w:rPr>
                <w:rFonts w:ascii="Arial" w:hAnsi="Arial" w:cs="Arial"/>
                <w:kern w:val="1"/>
                <w:sz w:val="18"/>
                <w:szCs w:val="18"/>
                <w:lang w:val="es-ES" w:eastAsia="hi-IN" w:bidi="hi-IN"/>
              </w:rPr>
              <w:t>Re-eșalonarea aprovizionării cu mărfuri pe intervale orare sau pe timpul nopții.</w:t>
            </w:r>
          </w:p>
        </w:tc>
      </w:tr>
    </w:tbl>
    <w:p w14:paraId="2EF7D271" w14:textId="77777777" w:rsidR="0073171D" w:rsidRPr="0073171D" w:rsidRDefault="0073171D" w:rsidP="0073171D">
      <w:pPr>
        <w:rPr>
          <w:rFonts w:ascii="Calibri" w:hAnsi="Calibri" w:cs="Times New Roman"/>
          <w:lang w:val="it-IT" w:eastAsia="ro-RO"/>
        </w:rPr>
      </w:pPr>
    </w:p>
    <w:p w14:paraId="7451100A" w14:textId="77777777" w:rsidR="0073171D" w:rsidRPr="0073171D" w:rsidRDefault="0073171D" w:rsidP="0073171D">
      <w:pPr>
        <w:rPr>
          <w:lang w:val="it-IT" w:eastAsia="ro-RO"/>
        </w:rPr>
      </w:pPr>
    </w:p>
    <w:p w14:paraId="64E14B6A" w14:textId="77777777" w:rsidR="00D70AEA" w:rsidRDefault="00D70AEA" w:rsidP="003430C5">
      <w:pPr>
        <w:pStyle w:val="Titlu2"/>
        <w:rPr>
          <w:rFonts w:ascii="Arial" w:eastAsia="Times New Roman" w:hAnsi="Arial" w:cs="Arial"/>
          <w:b/>
          <w:bCs/>
          <w:color w:val="auto"/>
          <w:sz w:val="24"/>
          <w:szCs w:val="24"/>
          <w:lang w:val="it-IT" w:eastAsia="ro-RO"/>
        </w:rPr>
      </w:pPr>
      <w:bookmarkStart w:id="339" w:name="_Toc61264905"/>
      <w:bookmarkStart w:id="340" w:name="_Toc142039087"/>
      <w:r w:rsidRPr="003430C5">
        <w:rPr>
          <w:rFonts w:ascii="Arial" w:eastAsia="Times New Roman" w:hAnsi="Arial" w:cs="Arial"/>
          <w:b/>
          <w:bCs/>
          <w:color w:val="auto"/>
          <w:sz w:val="24"/>
          <w:szCs w:val="24"/>
          <w:lang w:val="it-IT" w:eastAsia="ro-RO"/>
        </w:rPr>
        <w:t>I.4.2</w:t>
      </w:r>
      <w:r w:rsidR="003430C5" w:rsidRP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Impactul asupra mediului</w:t>
      </w:r>
      <w:bookmarkEnd w:id="339"/>
      <w:bookmarkEnd w:id="340"/>
    </w:p>
    <w:p w14:paraId="3216FE0C"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color w:val="000000"/>
          <w:lang w:val="es-ES" w:eastAsia="zh-CN"/>
        </w:rPr>
        <w:t>Principalele probleme de mediu se leagă de utilizarea predominantă a petrolului drept carburant, care generează CO</w:t>
      </w:r>
      <w:r w:rsidRPr="00337AAA">
        <w:rPr>
          <w:rFonts w:ascii="Arial" w:eastAsia="Calibri" w:hAnsi="Arial" w:cs="Arial"/>
          <w:color w:val="000000"/>
          <w:vertAlign w:val="subscript"/>
          <w:lang w:val="es-ES" w:eastAsia="zh-CN"/>
        </w:rPr>
        <w:t>2</w:t>
      </w:r>
      <w:r w:rsidRPr="00337AAA">
        <w:rPr>
          <w:rFonts w:ascii="Arial" w:eastAsia="Calibri" w:hAnsi="Arial" w:cs="Arial"/>
          <w:color w:val="000000"/>
          <w:lang w:val="es-ES" w:eastAsia="zh-CN"/>
        </w:rPr>
        <w:t>, poluanţi atmosferici şi zgomot. Transportul este sectorul cel mai dificil de gestionat din punct de vedere al emisiilor de CO</w:t>
      </w:r>
      <w:r w:rsidRPr="00337AAA">
        <w:rPr>
          <w:rFonts w:ascii="Arial" w:eastAsia="Calibri" w:hAnsi="Arial" w:cs="Arial"/>
          <w:color w:val="000000"/>
          <w:vertAlign w:val="subscript"/>
          <w:lang w:val="es-ES" w:eastAsia="zh-CN"/>
        </w:rPr>
        <w:t>2</w:t>
      </w:r>
      <w:r w:rsidRPr="00337AAA">
        <w:rPr>
          <w:rFonts w:ascii="Arial" w:eastAsia="Calibri" w:hAnsi="Arial" w:cs="Arial"/>
          <w:color w:val="000000"/>
          <w:lang w:val="es-ES" w:eastAsia="zh-CN"/>
        </w:rPr>
        <w:t>. În ciuda progreselor din tehnologia auto, creşterea traficului şi modul sacadat – „oprit-pornit” – de a conduce maşina în zonele urbane arată că oraşele reprezintă o sursă majoră şi în creştere de emisii CO</w:t>
      </w:r>
      <w:r w:rsidRPr="00337AAA">
        <w:rPr>
          <w:rFonts w:ascii="Arial" w:eastAsia="Calibri" w:hAnsi="Arial" w:cs="Arial"/>
          <w:color w:val="000000"/>
          <w:vertAlign w:val="subscript"/>
          <w:lang w:val="es-ES" w:eastAsia="zh-CN"/>
        </w:rPr>
        <w:t>2</w:t>
      </w:r>
      <w:r w:rsidRPr="00337AAA">
        <w:rPr>
          <w:rFonts w:ascii="Arial" w:eastAsia="Calibri" w:hAnsi="Arial" w:cs="Arial"/>
          <w:color w:val="000000"/>
          <w:lang w:val="es-ES" w:eastAsia="zh-CN"/>
        </w:rPr>
        <w:t xml:space="preserve">, care contribuie la schimbările climatice. Schimbările climatice provoacă schimbări dramatice în sistemul global şi se impune adoptarea unor măsuri urgente pentru a putea menţine consecinţele respective la un nivel gestionabil. </w:t>
      </w:r>
    </w:p>
    <w:p w14:paraId="371CD259"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67BE7ED1" w14:textId="77777777" w:rsidR="00337AAA" w:rsidRPr="00337AAA" w:rsidRDefault="00337AAA" w:rsidP="00337AAA">
      <w:pPr>
        <w:suppressAutoHyphens/>
        <w:autoSpaceDE w:val="0"/>
        <w:spacing w:after="0" w:line="276" w:lineRule="auto"/>
        <w:jc w:val="both"/>
        <w:rPr>
          <w:rFonts w:ascii="EUAlbertina" w:eastAsia="Calibri" w:hAnsi="EUAlbertina" w:cs="EUAlbertina"/>
          <w:color w:val="000000"/>
          <w:lang w:val="es-ES" w:eastAsia="zh-CN"/>
        </w:rPr>
      </w:pPr>
      <w:r w:rsidRPr="00337AAA">
        <w:rPr>
          <w:rFonts w:ascii="Arial" w:eastAsia="Calibri" w:hAnsi="Arial" w:cs="Arial"/>
          <w:color w:val="000000"/>
          <w:lang w:val="es-ES" w:eastAsia="zh-CN"/>
        </w:rPr>
        <w:t xml:space="preserve">Consiliul European a stabilit prin “Pactul Ecologic European” drept obiectiv </w:t>
      </w:r>
      <w:r w:rsidRPr="00337AAA">
        <w:rPr>
          <w:rFonts w:ascii="Arial" w:eastAsia="Calibri" w:hAnsi="Arial" w:cs="Arial"/>
          <w:b/>
          <w:noProof/>
          <w:color w:val="000000"/>
          <w:lang w:eastAsia="zh-CN"/>
        </w:rPr>
        <w:t>transformarea UE într-o</w:t>
      </w:r>
      <w:r w:rsidRPr="00337AAA">
        <w:rPr>
          <w:rFonts w:ascii="Arial" w:eastAsia="Calibri" w:hAnsi="Arial" w:cs="Arial"/>
          <w:noProof/>
          <w:color w:val="000000"/>
          <w:lang w:eastAsia="zh-CN"/>
        </w:rPr>
        <w:t xml:space="preserve"> </w:t>
      </w:r>
      <w:r w:rsidRPr="00337AAA">
        <w:rPr>
          <w:rFonts w:ascii="Arial" w:eastAsia="Calibri" w:hAnsi="Arial" w:cs="Arial"/>
          <w:b/>
          <w:noProof/>
          <w:color w:val="000000"/>
          <w:lang w:eastAsia="zh-CN"/>
        </w:rPr>
        <w:t xml:space="preserve"> societate echitabilă și prosperă, cu o economie modernă, competitivă și eficientă din punctul de vedere al utilizării resurselor</w:t>
      </w:r>
      <w:r w:rsidRPr="00337AAA">
        <w:rPr>
          <w:rFonts w:ascii="Arial" w:eastAsia="Calibri" w:hAnsi="Arial" w:cs="Arial"/>
          <w:noProof/>
          <w:color w:val="000000"/>
          <w:lang w:eastAsia="zh-CN"/>
        </w:rPr>
        <w:t xml:space="preserve">, în care să </w:t>
      </w:r>
      <w:r w:rsidRPr="00337AAA">
        <w:rPr>
          <w:rFonts w:ascii="Arial" w:eastAsia="Calibri" w:hAnsi="Arial" w:cs="Arial"/>
          <w:b/>
          <w:noProof/>
          <w:color w:val="000000"/>
          <w:lang w:eastAsia="zh-CN"/>
        </w:rPr>
        <w:t>nu existe emisii nete de gaze cu efect de seră în 2050 și în care creșterea economică să fie decuplată de utilizarea resurselor</w:t>
      </w:r>
      <w:r w:rsidRPr="00337AAA">
        <w:rPr>
          <w:rFonts w:ascii="Arial" w:eastAsia="Calibri" w:hAnsi="Arial" w:cs="Arial"/>
          <w:noProof/>
          <w:color w:val="000000"/>
          <w:lang w:eastAsia="zh-CN"/>
        </w:rPr>
        <w:t>.</w:t>
      </w:r>
      <w:r w:rsidRPr="00337AAA">
        <w:rPr>
          <w:rFonts w:ascii="Arial" w:eastAsia="Calibri" w:hAnsi="Arial" w:cs="Arial"/>
          <w:color w:val="000000"/>
          <w:lang w:val="es-ES" w:eastAsia="zh-CN"/>
        </w:rPr>
        <w:t xml:space="preserve"> </w:t>
      </w:r>
    </w:p>
    <w:p w14:paraId="1213F3A4" w14:textId="77777777" w:rsidR="00337AAA" w:rsidRPr="00337AAA" w:rsidRDefault="00337AAA" w:rsidP="00337AAA">
      <w:pPr>
        <w:suppressAutoHyphens/>
        <w:autoSpaceDE w:val="0"/>
        <w:spacing w:after="0" w:line="360" w:lineRule="auto"/>
        <w:rPr>
          <w:rFonts w:ascii="EUAlbertina" w:eastAsia="Calibri" w:hAnsi="EUAlbertina" w:cs="EUAlbertina"/>
          <w:color w:val="000000"/>
          <w:sz w:val="24"/>
          <w:szCs w:val="24"/>
          <w:lang w:val="es-ES" w:eastAsia="zh-CN"/>
        </w:rPr>
      </w:pPr>
    </w:p>
    <w:p w14:paraId="22769AA5"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noProof/>
          <w:color w:val="000000"/>
          <w:lang w:eastAsia="zh-CN"/>
        </w:rPr>
        <w:lastRenderedPageBreak/>
        <w:t xml:space="preserve">Pactul urmărește, de asemenea, </w:t>
      </w:r>
      <w:r w:rsidRPr="00337AAA">
        <w:rPr>
          <w:rFonts w:ascii="Arial" w:eastAsia="Calibri" w:hAnsi="Arial" w:cs="Arial"/>
          <w:b/>
          <w:noProof/>
          <w:color w:val="000000"/>
          <w:lang w:eastAsia="zh-CN"/>
        </w:rPr>
        <w:t>să protejeze, să conserve și să consolideze capitalul natural al UE, precum și să protejeze sănătatea și bunăstarea cetățenilor împotriva riscurilor legate de mediu</w:t>
      </w:r>
      <w:r w:rsidRPr="00337AAA">
        <w:rPr>
          <w:rFonts w:ascii="Arial" w:eastAsia="Calibri" w:hAnsi="Arial" w:cs="Arial"/>
          <w:noProof/>
          <w:color w:val="000000"/>
          <w:lang w:eastAsia="zh-CN"/>
        </w:rPr>
        <w:t xml:space="preserve"> și a impacturilor aferente. În același timp, tranziția trebuie să fie </w:t>
      </w:r>
      <w:r w:rsidRPr="00337AAA">
        <w:rPr>
          <w:rFonts w:ascii="Arial" w:eastAsia="Calibri" w:hAnsi="Arial" w:cs="Arial"/>
          <w:b/>
          <w:noProof/>
          <w:color w:val="000000"/>
          <w:lang w:eastAsia="zh-CN"/>
        </w:rPr>
        <w:t>echitabilă și favorabilă incluziunii</w:t>
      </w:r>
      <w:r w:rsidRPr="00337AAA">
        <w:rPr>
          <w:rFonts w:ascii="Arial" w:eastAsia="Calibri" w:hAnsi="Arial" w:cs="Arial"/>
          <w:noProof/>
          <w:color w:val="000000"/>
          <w:lang w:eastAsia="zh-CN"/>
        </w:rPr>
        <w:t>, trebuie să pună oamenii pe primul plan și să acorde atenție regiunilor, industriilor și lucrătorilor care se vor confrunta cu cele mai mari dificultăți. Întrucât va aduce schimbări substanțiale, participarea activă a cetățenilor și încrederea acestora în tranziție sunt de o importanță capitală dacă ne dorim ca politicile să funcționeze și să fie acceptate. Este necesar un nou pact pentru a aduce laolaltă cetățenii Europei, în deplina lor diversitate, și pentru ca autoritățile naționale, regionale, locale, societatea civilă și sectorul industrial să colaboreze strâns cu instituțiile și organismele consultative ale UE.</w:t>
      </w:r>
    </w:p>
    <w:p w14:paraId="3B176B08" w14:textId="77777777" w:rsidR="00337AAA" w:rsidRPr="00337AAA" w:rsidRDefault="00337AAA" w:rsidP="00337AAA">
      <w:pPr>
        <w:suppressAutoHyphens/>
        <w:autoSpaceDE w:val="0"/>
        <w:spacing w:after="0" w:line="276" w:lineRule="auto"/>
        <w:rPr>
          <w:rFonts w:ascii="Arial" w:eastAsia="Calibri" w:hAnsi="Arial" w:cs="Arial"/>
          <w:color w:val="000000"/>
          <w:lang w:val="es-ES" w:eastAsia="zh-CN"/>
        </w:rPr>
      </w:pPr>
    </w:p>
    <w:p w14:paraId="0C71E980" w14:textId="77777777" w:rsidR="00337AAA" w:rsidRPr="00337AAA" w:rsidRDefault="00337AAA" w:rsidP="00337AAA">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noProof/>
          <w:color w:val="000000"/>
          <w:lang w:eastAsia="zh-CN"/>
        </w:rPr>
        <w:t>Figura de mai jos ilustrează diferitele elemente ale Pactului ecologic.</w:t>
      </w:r>
    </w:p>
    <w:p w14:paraId="6893401E" w14:textId="77777777" w:rsidR="00337AAA" w:rsidRPr="00337AAA" w:rsidRDefault="00337AAA" w:rsidP="00337AAA">
      <w:pPr>
        <w:suppressAutoHyphens/>
        <w:autoSpaceDE w:val="0"/>
        <w:spacing w:after="0" w:line="360" w:lineRule="auto"/>
        <w:jc w:val="center"/>
        <w:rPr>
          <w:rFonts w:ascii="EUAlbertina" w:eastAsia="Calibri" w:hAnsi="EUAlbertina" w:cs="EUAlbertina"/>
          <w:noProof/>
          <w:color w:val="000000"/>
          <w:sz w:val="24"/>
          <w:szCs w:val="24"/>
          <w:lang w:val="ro-RO" w:eastAsia="ro-RO"/>
        </w:rPr>
      </w:pPr>
      <w:r w:rsidRPr="00337AAA">
        <w:rPr>
          <w:rFonts w:ascii="EUAlbertina" w:eastAsia="Calibri" w:hAnsi="EUAlbertina" w:cs="EUAlbertina"/>
          <w:noProof/>
          <w:color w:val="000000"/>
          <w:sz w:val="24"/>
          <w:szCs w:val="24"/>
        </w:rPr>
        <w:drawing>
          <wp:inline distT="0" distB="0" distL="0" distR="0" wp14:anchorId="7597D709" wp14:editId="5D215C7E">
            <wp:extent cx="5343525" cy="378142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343525" cy="3781425"/>
                    </a:xfrm>
                    <a:prstGeom prst="rect">
                      <a:avLst/>
                    </a:prstGeom>
                    <a:noFill/>
                    <a:ln>
                      <a:noFill/>
                    </a:ln>
                  </pic:spPr>
                </pic:pic>
              </a:graphicData>
            </a:graphic>
          </wp:inline>
        </w:drawing>
      </w:r>
    </w:p>
    <w:p w14:paraId="740FA83F" w14:textId="46FE272A" w:rsidR="00337AAA" w:rsidRPr="00D805CA" w:rsidRDefault="00D805CA" w:rsidP="00D805CA">
      <w:pPr>
        <w:pStyle w:val="Legend"/>
        <w:jc w:val="center"/>
        <w:rPr>
          <w:rFonts w:ascii="Arial" w:eastAsia="Calibri" w:hAnsi="Arial" w:cs="Arial"/>
          <w:i w:val="0"/>
          <w:iCs w:val="0"/>
          <w:color w:val="000000"/>
          <w:sz w:val="22"/>
          <w:szCs w:val="22"/>
          <w:lang w:val="es-ES" w:eastAsia="zh-CN"/>
        </w:rPr>
      </w:pPr>
      <w:bookmarkStart w:id="341" w:name="_Toc68361078"/>
      <w:bookmarkStart w:id="342" w:name="_Toc96447336"/>
      <w:r w:rsidRPr="00D805CA">
        <w:rPr>
          <w:rFonts w:ascii="Arial" w:hAnsi="Arial" w:cs="Arial"/>
          <w:sz w:val="22"/>
          <w:szCs w:val="22"/>
        </w:rPr>
        <w:t xml:space="preserve">Figura I.4. </w:t>
      </w:r>
      <w:r w:rsidRPr="00D805CA">
        <w:rPr>
          <w:rFonts w:ascii="Arial" w:hAnsi="Arial" w:cs="Arial"/>
          <w:sz w:val="22"/>
          <w:szCs w:val="22"/>
        </w:rPr>
        <w:fldChar w:fldCharType="begin"/>
      </w:r>
      <w:r w:rsidRPr="00D805CA">
        <w:rPr>
          <w:rFonts w:ascii="Arial" w:hAnsi="Arial" w:cs="Arial"/>
          <w:sz w:val="22"/>
          <w:szCs w:val="22"/>
        </w:rPr>
        <w:instrText xml:space="preserve"> SEQ Figura_I.4. \* ARABIC </w:instrText>
      </w:r>
      <w:r w:rsidRPr="00D805CA">
        <w:rPr>
          <w:rFonts w:ascii="Arial" w:hAnsi="Arial" w:cs="Arial"/>
          <w:sz w:val="22"/>
          <w:szCs w:val="22"/>
        </w:rPr>
        <w:fldChar w:fldCharType="separate"/>
      </w:r>
      <w:r w:rsidR="00BB181C">
        <w:rPr>
          <w:rFonts w:ascii="Arial" w:hAnsi="Arial" w:cs="Arial"/>
          <w:noProof/>
          <w:sz w:val="22"/>
          <w:szCs w:val="22"/>
        </w:rPr>
        <w:t>3</w:t>
      </w:r>
      <w:r w:rsidRPr="00D805CA">
        <w:rPr>
          <w:rFonts w:ascii="Arial" w:hAnsi="Arial" w:cs="Arial"/>
          <w:sz w:val="22"/>
          <w:szCs w:val="22"/>
        </w:rPr>
        <w:fldChar w:fldCharType="end"/>
      </w:r>
      <w:r w:rsidRPr="00D805CA">
        <w:rPr>
          <w:rFonts w:ascii="Arial" w:hAnsi="Arial" w:cs="Arial"/>
          <w:sz w:val="22"/>
          <w:szCs w:val="22"/>
        </w:rPr>
        <w:t xml:space="preserve"> </w:t>
      </w:r>
      <w:r w:rsidR="00337AAA" w:rsidRPr="00D805CA">
        <w:rPr>
          <w:rFonts w:ascii="Arial" w:hAnsi="Arial" w:cs="Arial"/>
          <w:color w:val="1F497D"/>
          <w:sz w:val="22"/>
          <w:szCs w:val="22"/>
        </w:rPr>
        <w:t xml:space="preserve">- </w:t>
      </w:r>
      <w:r w:rsidR="00337AAA" w:rsidRPr="00D805CA">
        <w:rPr>
          <w:rFonts w:ascii="Arial" w:hAnsi="Arial" w:cs="Arial"/>
          <w:i w:val="0"/>
          <w:iCs w:val="0"/>
          <w:color w:val="1F497D"/>
          <w:sz w:val="22"/>
          <w:szCs w:val="22"/>
        </w:rPr>
        <w:t>Pactul ecologic european</w:t>
      </w:r>
      <w:bookmarkEnd w:id="341"/>
      <w:bookmarkEnd w:id="342"/>
    </w:p>
    <w:p w14:paraId="17B66190" w14:textId="77777777" w:rsidR="00337AAA" w:rsidRPr="00337AAA" w:rsidRDefault="00337AAA" w:rsidP="00337AAA">
      <w:pPr>
        <w:suppressAutoHyphens/>
        <w:autoSpaceDE w:val="0"/>
        <w:spacing w:after="0" w:line="276" w:lineRule="auto"/>
        <w:jc w:val="both"/>
        <w:rPr>
          <w:rFonts w:ascii="Arial" w:eastAsia="Calibri" w:hAnsi="Arial" w:cs="Arial"/>
          <w:noProof/>
          <w:color w:val="000000"/>
          <w:lang w:eastAsia="zh-CN"/>
        </w:rPr>
      </w:pPr>
      <w:r w:rsidRPr="00337AAA">
        <w:rPr>
          <w:rFonts w:ascii="Arial" w:eastAsia="Calibri" w:hAnsi="Arial" w:cs="Arial"/>
          <w:noProof/>
          <w:color w:val="000000"/>
          <w:lang w:eastAsia="zh-CN"/>
        </w:rPr>
        <w:t xml:space="preserve">UE a început deja să modernizeze și </w:t>
      </w:r>
      <w:r w:rsidRPr="00337AAA">
        <w:rPr>
          <w:rFonts w:ascii="Arial" w:eastAsia="Calibri" w:hAnsi="Arial" w:cs="Arial"/>
          <w:b/>
          <w:bCs/>
          <w:noProof/>
          <w:color w:val="000000"/>
          <w:lang w:eastAsia="zh-CN"/>
        </w:rPr>
        <w:t>să transforme economia în scopul atingerii obiectivului neutralității climatice.</w:t>
      </w:r>
      <w:r w:rsidRPr="00337AAA">
        <w:rPr>
          <w:rFonts w:ascii="Arial" w:eastAsia="Calibri" w:hAnsi="Arial" w:cs="Arial"/>
          <w:noProof/>
          <w:color w:val="000000"/>
          <w:lang w:eastAsia="zh-CN"/>
        </w:rPr>
        <w:t xml:space="preserve"> Între 1990 și 2018, UE a redus emisiile de gaze cu efect de seră cu 23 %, în timp ce economia a crescut cu 61 %. Însă politicile actuale vor reduce emisiile de gaze cu efect de seră cu numai 60 % până în 2050. Mai rămân încă multe de făcut, începând cu unele acțiuni mai ambițioase în domeniul climei ce vor trebui realizate în deceniul următor.</w:t>
      </w:r>
    </w:p>
    <w:p w14:paraId="4AC9A1B6"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p>
    <w:p w14:paraId="344D9923" w14:textId="77777777" w:rsidR="00337AAA" w:rsidRPr="00337AAA" w:rsidRDefault="00337AAA" w:rsidP="00337AAA">
      <w:pPr>
        <w:spacing w:after="0" w:line="276" w:lineRule="auto"/>
        <w:jc w:val="both"/>
        <w:rPr>
          <w:rFonts w:ascii="Arial" w:eastAsia="Times New Roman" w:hAnsi="Arial" w:cs="Arial"/>
          <w:noProof/>
          <w:snapToGrid w:val="0"/>
          <w:lang w:val="ro-RO" w:eastAsia="en-GB"/>
        </w:rPr>
      </w:pPr>
      <w:r w:rsidRPr="00337AAA">
        <w:rPr>
          <w:rFonts w:ascii="Arial" w:eastAsia="Times New Roman" w:hAnsi="Arial" w:cs="Arial"/>
          <w:b/>
          <w:noProof/>
          <w:snapToGrid w:val="0"/>
          <w:lang w:val="ro-RO" w:eastAsia="en-GB"/>
        </w:rPr>
        <w:t xml:space="preserve">Sectorul transporturilor este responsabil pentru un sfert din emisiile de gaze cu efect de seră din Uniune </w:t>
      </w:r>
      <w:r w:rsidRPr="00337AAA">
        <w:rPr>
          <w:rFonts w:ascii="Arial" w:eastAsia="Times New Roman" w:hAnsi="Arial" w:cs="Arial"/>
          <w:noProof/>
          <w:snapToGrid w:val="0"/>
          <w:lang w:val="ro-RO" w:eastAsia="en-GB"/>
        </w:rPr>
        <w:t>și acest procent este în continuă creștere</w:t>
      </w:r>
      <w:r w:rsidRPr="00337AAA">
        <w:rPr>
          <w:rFonts w:ascii="Arial" w:eastAsia="Times New Roman" w:hAnsi="Arial" w:cs="Arial"/>
          <w:b/>
          <w:noProof/>
          <w:snapToGrid w:val="0"/>
          <w:lang w:val="ro-RO" w:eastAsia="en-GB"/>
        </w:rPr>
        <w:t xml:space="preserve">. </w:t>
      </w:r>
      <w:r w:rsidRPr="00337AAA">
        <w:rPr>
          <w:rFonts w:ascii="Arial" w:eastAsia="Times New Roman" w:hAnsi="Arial" w:cs="Arial"/>
          <w:noProof/>
          <w:snapToGrid w:val="0"/>
          <w:lang w:val="ro-RO" w:eastAsia="en-GB"/>
        </w:rPr>
        <w:t xml:space="preserve">Pentru a se asigura neutralitatea climatică, este necesară o reducere cu 90 % a emisiilor generate de transporturi până în 2050. Toate modurile de transport - rutier, feroviar, aerian și naval vor trebui să contribuie la această reducere. În vederea asigurării unui transport durabil, este necesar să se acorde prioritate utilizatorilor și să li se ofere alternative mai abordabile ca preț, mai ușor accesibile, mai sănătoase și mai puțin poluante, care să poată înlocui obiceiurile lor actuale în materie de mobilitate. </w:t>
      </w:r>
    </w:p>
    <w:p w14:paraId="1FF89B46" w14:textId="77777777" w:rsidR="00337AAA" w:rsidRPr="00337AAA" w:rsidRDefault="00337AAA" w:rsidP="00337AAA">
      <w:pPr>
        <w:spacing w:after="0" w:line="276" w:lineRule="auto"/>
        <w:jc w:val="both"/>
        <w:rPr>
          <w:rFonts w:ascii="Arial" w:eastAsia="Times New Roman" w:hAnsi="Arial" w:cs="Arial"/>
          <w:noProof/>
          <w:snapToGrid w:val="0"/>
          <w:color w:val="000000"/>
          <w:lang w:val="ro-RO" w:eastAsia="en-GB"/>
        </w:rPr>
      </w:pPr>
    </w:p>
    <w:p w14:paraId="1F6991D1" w14:textId="77777777" w:rsidR="00337AAA" w:rsidRPr="00337AAA" w:rsidRDefault="00337AAA" w:rsidP="00337AAA">
      <w:pPr>
        <w:widowControl w:val="0"/>
        <w:suppressAutoHyphens/>
        <w:spacing w:after="0" w:line="276" w:lineRule="auto"/>
        <w:jc w:val="both"/>
        <w:rPr>
          <w:rFonts w:ascii="Arial" w:hAnsi="Arial" w:cs="Arial"/>
          <w:noProof/>
          <w:kern w:val="1"/>
          <w:lang w:val="ro-RO" w:eastAsia="hi-IN" w:bidi="hi-IN"/>
        </w:rPr>
      </w:pPr>
      <w:r w:rsidRPr="00337AAA">
        <w:rPr>
          <w:rFonts w:ascii="Arial" w:hAnsi="Arial" w:cs="Arial"/>
          <w:b/>
          <w:bCs/>
          <w:noProof/>
          <w:kern w:val="1"/>
          <w:lang w:val="ro-RO" w:eastAsia="hi-IN" w:bidi="hi-IN"/>
        </w:rPr>
        <w:t xml:space="preserve">Transportul multimodal trebuie stimulat puternic </w:t>
      </w:r>
      <w:r w:rsidRPr="00337AAA">
        <w:rPr>
          <w:rFonts w:ascii="Arial" w:hAnsi="Arial" w:cs="Arial"/>
          <w:noProof/>
          <w:kern w:val="1"/>
          <w:lang w:val="ro-RO" w:eastAsia="hi-IN" w:bidi="hi-IN"/>
        </w:rPr>
        <w:t>în vederea asigurării unei eficiențe sporite a sistemului de transport.</w:t>
      </w:r>
      <w:r w:rsidRPr="00337AAA">
        <w:rPr>
          <w:rFonts w:ascii="Arial" w:hAnsi="Arial" w:cs="Arial"/>
          <w:b/>
          <w:bCs/>
          <w:noProof/>
          <w:kern w:val="1"/>
          <w:lang w:val="ro-RO" w:eastAsia="hi-IN" w:bidi="hi-IN"/>
        </w:rPr>
        <w:t xml:space="preserve"> </w:t>
      </w:r>
      <w:r w:rsidRPr="00337AAA">
        <w:rPr>
          <w:rFonts w:ascii="Arial" w:hAnsi="Arial" w:cs="Arial"/>
          <w:noProof/>
          <w:kern w:val="1"/>
          <w:lang w:val="ro-RO" w:eastAsia="hi-IN" w:bidi="hi-IN"/>
        </w:rPr>
        <w:t xml:space="preserve">În mod prioritar, o parte substanțială din transportul intern de mărfuri efectuat în prezent în proporție de 75 % pe cale rutieră ar trebui să se efectueze în viitor pe calea ferată și pe căile navigabile interioare. În acest sens, vor trebui adoptate măsuri pentru a asigura o mai bună administrare a căilor ferate și a căilor navigabile interioare și o sporire a capacității acestora. </w:t>
      </w:r>
    </w:p>
    <w:p w14:paraId="300BBA0C" w14:textId="77777777" w:rsidR="00337AAA" w:rsidRPr="00337AAA" w:rsidRDefault="00337AAA" w:rsidP="00337AAA">
      <w:pPr>
        <w:widowControl w:val="0"/>
        <w:suppressAutoHyphens/>
        <w:spacing w:after="0" w:line="276" w:lineRule="auto"/>
        <w:jc w:val="both"/>
        <w:rPr>
          <w:rFonts w:ascii="Arial" w:hAnsi="Arial" w:cs="Arial"/>
          <w:noProof/>
          <w:color w:val="000000"/>
          <w:kern w:val="1"/>
          <w:lang w:val="ro-RO" w:eastAsia="hi-IN" w:bidi="hi-IN"/>
        </w:rPr>
      </w:pPr>
    </w:p>
    <w:p w14:paraId="4CED1DE6" w14:textId="77777777" w:rsidR="00337AAA" w:rsidRPr="00337AAA" w:rsidRDefault="00337AAA" w:rsidP="00337AAA">
      <w:pPr>
        <w:widowControl w:val="0"/>
        <w:suppressAutoHyphens/>
        <w:spacing w:after="0" w:line="276" w:lineRule="auto"/>
        <w:jc w:val="both"/>
        <w:rPr>
          <w:rFonts w:ascii="Arial" w:hAnsi="Arial" w:cs="Arial"/>
          <w:noProof/>
          <w:color w:val="000000"/>
          <w:kern w:val="1"/>
          <w:lang w:val="ro-RO" w:eastAsia="hi-IN" w:bidi="hi-IN"/>
        </w:rPr>
      </w:pPr>
      <w:r w:rsidRPr="00337AAA">
        <w:rPr>
          <w:rFonts w:ascii="Arial" w:hAnsi="Arial" w:cs="Arial"/>
          <w:b/>
          <w:bCs/>
          <w:noProof/>
          <w:kern w:val="1"/>
          <w:lang w:val="ro-RO" w:eastAsia="hi-IN" w:bidi="hi-IN"/>
        </w:rPr>
        <w:t>Mobilitatea multimodală automatizată și conectată</w:t>
      </w:r>
      <w:r w:rsidRPr="00337AAA">
        <w:rPr>
          <w:rFonts w:ascii="Arial" w:hAnsi="Arial" w:cs="Arial"/>
          <w:noProof/>
          <w:kern w:val="1"/>
          <w:lang w:val="ro-RO" w:eastAsia="hi-IN" w:bidi="hi-IN"/>
        </w:rPr>
        <w:t xml:space="preserve"> va juca un rol din ce în ce mai important, alături de sistemele inteligente de gestionare a traficului apărute grație digitalizării.</w:t>
      </w:r>
      <w:r w:rsidRPr="00337AAA">
        <w:rPr>
          <w:rFonts w:ascii="Arial" w:hAnsi="Arial" w:cs="Arial"/>
          <w:b/>
          <w:bCs/>
          <w:noProof/>
          <w:kern w:val="1"/>
          <w:lang w:val="ro-RO" w:eastAsia="hi-IN" w:bidi="hi-IN"/>
        </w:rPr>
        <w:t xml:space="preserve"> </w:t>
      </w:r>
      <w:r w:rsidRPr="00337AAA">
        <w:rPr>
          <w:rFonts w:ascii="Arial" w:hAnsi="Arial" w:cs="Arial"/>
          <w:noProof/>
          <w:kern w:val="1"/>
          <w:lang w:val="ro-RO" w:eastAsia="hi-IN" w:bidi="hi-IN"/>
        </w:rPr>
        <w:t>Sistemele și infrastructurile de transport ale UE vor fi adaptate la noile servicii de mobilitate durabilă care pot reduce congestionarea traficului și poluarea, în special în zonele urbane. Comisia va contribui la dezvoltarea unor sisteme inteligente de gestionare a traficului și a unor soluții de „mobilitate la cerere”, prin intermediul instrumentelor sale de finanțare, cum ar fi Mecanismul pentru interconectarea Europei.</w:t>
      </w:r>
    </w:p>
    <w:p w14:paraId="3FA0DB98" w14:textId="77777777" w:rsidR="00337AAA" w:rsidRPr="00337AAA" w:rsidRDefault="00337AAA" w:rsidP="00337AAA">
      <w:pPr>
        <w:spacing w:after="0" w:line="276" w:lineRule="auto"/>
        <w:jc w:val="both"/>
        <w:rPr>
          <w:rFonts w:ascii="Arial" w:eastAsia="Times New Roman" w:hAnsi="Arial" w:cs="Arial"/>
          <w:b/>
          <w:noProof/>
          <w:snapToGrid w:val="0"/>
          <w:lang w:val="ro-RO" w:eastAsia="en-GB"/>
        </w:rPr>
      </w:pPr>
    </w:p>
    <w:p w14:paraId="1915244C" w14:textId="77777777" w:rsidR="00337AAA" w:rsidRPr="00337AAA" w:rsidRDefault="00337AAA" w:rsidP="00337AAA">
      <w:pPr>
        <w:spacing w:after="0" w:line="276" w:lineRule="auto"/>
        <w:jc w:val="both"/>
        <w:rPr>
          <w:rFonts w:ascii="Arial" w:eastAsia="Times New Roman" w:hAnsi="Arial" w:cs="Arial"/>
          <w:noProof/>
          <w:snapToGrid w:val="0"/>
          <w:lang w:val="ro-RO" w:eastAsia="en-GB"/>
        </w:rPr>
      </w:pPr>
      <w:r w:rsidRPr="00337AAA">
        <w:rPr>
          <w:rFonts w:ascii="Arial" w:eastAsia="Times New Roman" w:hAnsi="Arial" w:cs="Arial"/>
          <w:b/>
          <w:noProof/>
          <w:snapToGrid w:val="0"/>
          <w:lang w:val="ro-RO" w:eastAsia="en-GB"/>
        </w:rPr>
        <w:t>Prețurile serviciilor de transport trebuie să reflecte impactul pe care acestea îl au asupra mediului și a sănătății.</w:t>
      </w:r>
      <w:r w:rsidRPr="00337AAA">
        <w:rPr>
          <w:rFonts w:ascii="Arial" w:eastAsia="Times New Roman" w:hAnsi="Arial" w:cs="Arial"/>
          <w:noProof/>
          <w:snapToGrid w:val="0"/>
          <w:lang w:val="ro-RO" w:eastAsia="en-GB"/>
        </w:rPr>
        <w:t xml:space="preserve"> Ar trebui să se pună capăt subvențiilor pentru combustibilii fosili. </w:t>
      </w:r>
    </w:p>
    <w:p w14:paraId="5B1E356D" w14:textId="77777777" w:rsidR="00337AAA" w:rsidRPr="00337AAA" w:rsidRDefault="00337AAA" w:rsidP="00337AAA">
      <w:pPr>
        <w:spacing w:after="0" w:line="276" w:lineRule="auto"/>
        <w:jc w:val="both"/>
        <w:rPr>
          <w:rFonts w:ascii="Arial" w:eastAsia="Times New Roman" w:hAnsi="Arial" w:cs="Arial"/>
          <w:noProof/>
          <w:snapToGrid w:val="0"/>
          <w:color w:val="000000"/>
          <w:lang w:val="ro-RO" w:eastAsia="en-GB"/>
        </w:rPr>
      </w:pPr>
    </w:p>
    <w:p w14:paraId="30F46AD1" w14:textId="77777777" w:rsidR="00337AAA" w:rsidRPr="00337AAA" w:rsidRDefault="00337AAA" w:rsidP="00337AAA">
      <w:pPr>
        <w:widowControl w:val="0"/>
        <w:suppressAutoHyphens/>
        <w:spacing w:after="0" w:line="276" w:lineRule="auto"/>
        <w:jc w:val="both"/>
        <w:rPr>
          <w:rFonts w:ascii="Arial" w:hAnsi="Arial" w:cs="Arial"/>
          <w:noProof/>
          <w:color w:val="000000"/>
          <w:kern w:val="1"/>
          <w:lang w:val="ro-RO" w:eastAsia="hi-IN" w:bidi="hi-IN"/>
        </w:rPr>
      </w:pPr>
      <w:r w:rsidRPr="00337AAA">
        <w:rPr>
          <w:rFonts w:ascii="Arial" w:hAnsi="Arial" w:cs="Arial"/>
          <w:noProof/>
          <w:kern w:val="1"/>
          <w:lang w:val="ro-RO" w:eastAsia="hi-IN" w:bidi="hi-IN"/>
        </w:rPr>
        <w:t xml:space="preserve">În paralel, UE ar trebui </w:t>
      </w:r>
      <w:r w:rsidRPr="00337AAA">
        <w:rPr>
          <w:rFonts w:ascii="Arial" w:hAnsi="Arial" w:cs="Arial"/>
          <w:b/>
          <w:bCs/>
          <w:noProof/>
          <w:kern w:val="1"/>
          <w:lang w:val="ro-RO" w:eastAsia="hi-IN" w:bidi="hi-IN"/>
        </w:rPr>
        <w:t xml:space="preserve">să intensifice producția și utilizarea combustibililor alternativi durabili în domeniul transporturilor. </w:t>
      </w:r>
      <w:r w:rsidRPr="00337AAA">
        <w:rPr>
          <w:rFonts w:ascii="Arial" w:hAnsi="Arial" w:cs="Arial"/>
          <w:noProof/>
          <w:kern w:val="1"/>
          <w:lang w:val="ro-RO" w:eastAsia="hi-IN" w:bidi="hi-IN"/>
        </w:rPr>
        <w:t>Până în 2025, vor fi necesare aproximativ 1 milion de stații publice de reîncărcare și de realimentare pentru cele 13 milioane de vehicule cu emisii zero și cu emisii scăzute care se preconizează că vor circula pe drumurile europene. Comisia va sprijini instalarea de puncte publice de reîncărcare și realimentare acolo unde există lacune persistente din acest punct de vedere, în special pentru călătoriile pe distanțe lungi și în zonele cu o densitate mai mică a populației, și va lansa în acest scop, cât mai curând posibil, o nouă cerere de fonduri. Aceste măsuri vor completa măsurile luate la nivel național. Comisia va avea în vedere acte legislative care să stimuleze producția de combustibili alternativi durabili și utilizarea  acestora pentru diferitele moduri de transport. De asemenea, Comisia va revizui Directiva privind infrastructura pentru combustibili alternativi</w:t>
      </w:r>
      <w:r w:rsidRPr="00337AAA">
        <w:rPr>
          <w:rFonts w:ascii="Arial" w:hAnsi="Arial" w:cs="Arial"/>
          <w:noProof/>
          <w:kern w:val="1"/>
          <w:vertAlign w:val="superscript"/>
          <w:lang w:val="ro-RO" w:eastAsia="hi-IN" w:bidi="hi-IN"/>
        </w:rPr>
        <w:footnoteReference w:id="36"/>
      </w:r>
      <w:r w:rsidRPr="00337AAA">
        <w:rPr>
          <w:rFonts w:ascii="Arial" w:hAnsi="Arial" w:cs="Arial"/>
          <w:noProof/>
          <w:kern w:val="1"/>
          <w:lang w:val="ro-RO" w:eastAsia="hi-IN" w:bidi="hi-IN"/>
        </w:rPr>
        <w:t xml:space="preserve"> și Regulamentul TEN-T pentru a accelera utilizarea vehiculelor și a navelor cu emisii zero și cu emisii scăzute. </w:t>
      </w:r>
    </w:p>
    <w:p w14:paraId="2BB2B40F" w14:textId="77777777" w:rsidR="00337AAA" w:rsidRPr="00337AAA" w:rsidRDefault="00337AAA" w:rsidP="00337AAA">
      <w:pPr>
        <w:suppressAutoHyphens/>
        <w:autoSpaceDE w:val="0"/>
        <w:spacing w:after="0" w:line="276" w:lineRule="auto"/>
        <w:jc w:val="both"/>
        <w:rPr>
          <w:rFonts w:ascii="Arial" w:eastAsia="Calibri" w:hAnsi="Arial" w:cs="Arial"/>
          <w:b/>
          <w:bCs/>
          <w:noProof/>
          <w:color w:val="000000"/>
          <w:lang w:eastAsia="zh-CN"/>
        </w:rPr>
      </w:pPr>
    </w:p>
    <w:p w14:paraId="01B27F04"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b/>
          <w:bCs/>
          <w:noProof/>
          <w:color w:val="000000"/>
          <w:lang w:eastAsia="zh-CN"/>
        </w:rPr>
        <w:t>Transporturile ar trebui să devină mult mai puțin poluante, în special în orașe</w:t>
      </w:r>
      <w:r w:rsidRPr="00337AAA">
        <w:rPr>
          <w:rFonts w:ascii="Arial" w:eastAsia="Calibri" w:hAnsi="Arial" w:cs="Arial"/>
          <w:noProof/>
          <w:color w:val="000000"/>
          <w:lang w:eastAsia="zh-CN"/>
        </w:rPr>
        <w:t>. Ar trebui să se prevadă o combinație de măsuri care să abordeze problema emisiilor, a congestionării urbane și să asigure îmbunătățirea transportului public. Comisia va propune standarde mai stricte privind emisiile de poluanți atmosferici pentru vehiculele cu motor cu combustie internă. De asemenea, Comisia va propune revizuirea legislației referitoare la standardele de performanță privind emisiile de CO</w:t>
      </w:r>
      <w:r w:rsidRPr="00337AAA">
        <w:rPr>
          <w:rFonts w:ascii="Arial" w:eastAsia="Calibri" w:hAnsi="Arial" w:cs="Arial"/>
          <w:noProof/>
          <w:color w:val="000000"/>
          <w:vertAlign w:val="subscript"/>
          <w:lang w:eastAsia="zh-CN"/>
        </w:rPr>
        <w:t>2</w:t>
      </w:r>
      <w:r w:rsidRPr="00337AAA">
        <w:rPr>
          <w:rFonts w:ascii="Arial" w:eastAsia="Calibri" w:hAnsi="Arial" w:cs="Arial"/>
          <w:noProof/>
          <w:color w:val="000000"/>
          <w:lang w:eastAsia="zh-CN"/>
        </w:rPr>
        <w:t xml:space="preserve"> pentru autoturisme și camionete, pentru a asigura o traiectorie clară, începând cu anul 2025, către mobilitatea cu emisii zero. În același timp, Comisia va examina oportunitatea aplicării sistemului european de comercializare a emisiilor la transportul rutier, în completarea standardelor de performanță privind emisiile de CO</w:t>
      </w:r>
      <w:r w:rsidRPr="00337AAA">
        <w:rPr>
          <w:rFonts w:ascii="Arial" w:eastAsia="Calibri" w:hAnsi="Arial" w:cs="Arial"/>
          <w:noProof/>
          <w:color w:val="000000"/>
          <w:vertAlign w:val="subscript"/>
          <w:lang w:eastAsia="zh-CN"/>
        </w:rPr>
        <w:t xml:space="preserve">2 </w:t>
      </w:r>
      <w:r w:rsidRPr="00337AAA">
        <w:rPr>
          <w:rFonts w:ascii="Arial" w:eastAsia="Calibri" w:hAnsi="Arial" w:cs="Arial"/>
          <w:noProof/>
          <w:color w:val="000000"/>
          <w:lang w:eastAsia="zh-CN"/>
        </w:rPr>
        <w:t xml:space="preserve"> existente și viitoare aplicabile vehiculelor. </w:t>
      </w:r>
    </w:p>
    <w:p w14:paraId="37BF6E95"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p>
    <w:p w14:paraId="46021177" w14:textId="77777777" w:rsidR="00337AAA" w:rsidRPr="00337AAA" w:rsidRDefault="00337AAA" w:rsidP="00337AAA">
      <w:pPr>
        <w:suppressAutoHyphens/>
        <w:autoSpaceDE w:val="0"/>
        <w:spacing w:after="0" w:line="276" w:lineRule="auto"/>
        <w:jc w:val="both"/>
        <w:rPr>
          <w:rFonts w:ascii="EUAlbertina" w:eastAsia="Calibri" w:hAnsi="EUAlbertina" w:cs="EUAlbertina"/>
          <w:color w:val="000000"/>
          <w:lang w:val="es-ES" w:eastAsia="zh-CN"/>
        </w:rPr>
      </w:pPr>
      <w:r w:rsidRPr="00337AAA">
        <w:rPr>
          <w:rFonts w:ascii="Arial" w:eastAsia="Calibri" w:hAnsi="Arial" w:cs="Arial"/>
          <w:color w:val="000000"/>
          <w:lang w:val="es-ES" w:eastAsia="zh-CN"/>
        </w:rPr>
        <w:t xml:space="preserve">Măsurile de reducere a zgomotului au fost, de asemenea, încurajate prin directiva europeană privind cartografierea zgomotului. Pe baza informaţiilor culese în baza directivei privind zgomotul, autorităţile locale sunt acum în poziţia de a alcătui planul de reducere a zgomotului şi de a pune în aplicare măsuri concrete. Planul de reducere a zgomotului poate beneficia de un schimb de </w:t>
      </w:r>
      <w:r w:rsidRPr="00337AAA">
        <w:rPr>
          <w:rFonts w:ascii="Arial" w:eastAsia="Calibri" w:hAnsi="Arial" w:cs="Arial"/>
          <w:color w:val="000000"/>
          <w:lang w:val="es-ES" w:eastAsia="zh-CN"/>
        </w:rPr>
        <w:lastRenderedPageBreak/>
        <w:t xml:space="preserve">informaţii la nivelul UE. Conform părţilor interesate, reducerea zgomotului la sursă ar putea fi realizată prin consolidarea standardelor UE pentru emisiile de zgomot generate de vehiculele rutiere şi feroviare sau de pneuri. Extinderea, reabilitarea şi modernizarea unor mijloace de transport public urban curat, cum ar fi troleibuzele, tramvaiele, metrourile şi căile ferate suburbane, precum şi alte proiecte de transport urban durabil ar trebui să fie promovate şi susţinute în continuare de UE. </w:t>
      </w:r>
    </w:p>
    <w:p w14:paraId="5864C9B6" w14:textId="77777777" w:rsidR="00337AAA" w:rsidRPr="00337AAA" w:rsidRDefault="00337AAA" w:rsidP="00337AAA">
      <w:pPr>
        <w:suppressAutoHyphens/>
        <w:autoSpaceDE w:val="0"/>
        <w:spacing w:after="0" w:line="360" w:lineRule="auto"/>
        <w:rPr>
          <w:rFonts w:ascii="EUAlbertina" w:eastAsia="Calibri" w:hAnsi="EUAlbertina" w:cs="EUAlbertina"/>
          <w:color w:val="000000"/>
          <w:sz w:val="24"/>
          <w:szCs w:val="24"/>
          <w:lang w:val="es-ES" w:eastAsia="zh-CN"/>
        </w:rPr>
      </w:pPr>
    </w:p>
    <w:p w14:paraId="2D9B2FE6"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color w:val="000000"/>
          <w:lang w:val="es-ES" w:eastAsia="zh-CN"/>
        </w:rPr>
        <w:t xml:space="preserve">În România transporturile contribuie cu aproape 5% la crearea PIB şi asigură peste 5% din totalul locurilor de muncă din economia naţională, reprezentând un important consumator de energie, materiale şi produse finite; în acelaşi timp transporturile sunt un mare producător de deşeuri şi reziduuri. Adăugând şi efectul propagat al eficienţei transporturilor asupra celorlalte ramuri economice, respectiv luând în calcul şi eficienţa socială a acestuia, ca atribut al civilizaţiei în raport cu impactul asupra mediului, obiectivele strategice în domeniul transporturilor nu pot fi decât rezultatul unei analize a întregii activităţi sociale şi economice ce se desfăşoară în România. Pe cale de consecinţă, închiderea circuitului de valori fizice şi spirituale de la nivel global, atrage printr-un efect de feed-back, modificări voite sau impuse, în sferele serviciilor. Ca urmare, hotărârile referitoare la protecţia mediului atrag după sine decizii la nivelul sectorului terţiar al economiei, concretizate în domeniul construcţiei de mijloace mobile, în domeniul infrastructurilor şi evident în domeniul exploatării (tehnice şi comerciale) a sistemului de transport. </w:t>
      </w:r>
    </w:p>
    <w:p w14:paraId="358949CC" w14:textId="77777777" w:rsidR="00337AAA" w:rsidRPr="00337AAA" w:rsidRDefault="00337AAA" w:rsidP="00337AAA">
      <w:pPr>
        <w:suppressAutoHyphens/>
        <w:autoSpaceDE w:val="0"/>
        <w:spacing w:after="0" w:line="360" w:lineRule="auto"/>
        <w:rPr>
          <w:rFonts w:ascii="Arial" w:eastAsia="Calibri" w:hAnsi="Arial" w:cs="Arial"/>
          <w:color w:val="000000"/>
          <w:sz w:val="24"/>
          <w:szCs w:val="24"/>
          <w:lang w:val="es-ES" w:eastAsia="zh-CN"/>
        </w:rPr>
      </w:pPr>
    </w:p>
    <w:p w14:paraId="6EE0D645"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color w:val="000000"/>
          <w:lang w:val="es-ES" w:eastAsia="zh-CN"/>
        </w:rPr>
        <w:t xml:space="preserve">Obiectivele, proiectele şi programele prin care se realizează acţiuni concrete de protecţie a mediului în activitatea de transport reprezintă o parte semnificativă a cadrului general ce asigură condiţiile integrării sistemului naţional de transport, în sistemul european. Mai mult, disfuncţionalităţile care vor apărea ca urmare a decalajelor existente între starea tehnică şi managementul asigurat pe plan local şi cele asigurate la nivel continental, vor avea un impact sensibil negativ datorită fenomenelor de concurenţă, într-un mediu economic dominat de consum. De aceea este necesar să se insiste pe măsuri convergente de transpunere a coordonatelor binecunoscute (nouă) pe poziţiile care asigură compatibilitatea între procesele derulate în ţară, cu cele derulate în afara ei, în vederea alinierii la cerinţele lumii civilizate. </w:t>
      </w:r>
    </w:p>
    <w:p w14:paraId="428919FD" w14:textId="77777777" w:rsidR="00337AAA" w:rsidRPr="00337AAA" w:rsidRDefault="00337AAA" w:rsidP="00337AAA">
      <w:pPr>
        <w:suppressAutoHyphens/>
        <w:autoSpaceDE w:val="0"/>
        <w:spacing w:after="0" w:line="360" w:lineRule="auto"/>
        <w:rPr>
          <w:rFonts w:ascii="Arial" w:eastAsia="Calibri" w:hAnsi="Arial" w:cs="Arial"/>
          <w:color w:val="000000"/>
          <w:sz w:val="24"/>
          <w:szCs w:val="24"/>
          <w:lang w:val="es-ES" w:eastAsia="zh-CN"/>
        </w:rPr>
      </w:pPr>
    </w:p>
    <w:p w14:paraId="20B6E1BE" w14:textId="77777777" w:rsidR="00337AAA" w:rsidRPr="00337AAA" w:rsidRDefault="00337AAA" w:rsidP="00337AAA">
      <w:pPr>
        <w:suppressAutoHyphens/>
        <w:autoSpaceDE w:val="0"/>
        <w:spacing w:after="0" w:line="276" w:lineRule="auto"/>
        <w:jc w:val="both"/>
        <w:rPr>
          <w:rFonts w:ascii="Arial" w:eastAsia="Arial" w:hAnsi="Arial" w:cs="Arial"/>
          <w:color w:val="000000"/>
          <w:lang w:val="es-ES" w:eastAsia="zh-CN"/>
        </w:rPr>
      </w:pPr>
      <w:r w:rsidRPr="00337AAA">
        <w:rPr>
          <w:rFonts w:ascii="Arial" w:eastAsia="Arial" w:hAnsi="Arial" w:cs="Arial"/>
          <w:color w:val="000000"/>
          <w:lang w:val="es-ES" w:eastAsia="zh-CN"/>
        </w:rPr>
        <w:t>Pentru evaluarea impactului actual al mobilitatii din punct de vedere al mediului au fost aleși următorii indicatori (din modelul de transport realizat) și pentru a se putea compara scenariul de baza cu scenariile care vor fi propuse în capitolele următoare:</w:t>
      </w:r>
    </w:p>
    <w:p w14:paraId="22FEFFE8" w14:textId="77777777" w:rsidR="00337AAA" w:rsidRPr="00337AAA" w:rsidRDefault="00337AAA" w:rsidP="00337AAA">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337AAA">
        <w:rPr>
          <w:rFonts w:ascii="Arial" w:eastAsia="Arial" w:hAnsi="Arial" w:cs="Arial"/>
          <w:color w:val="000000"/>
          <w:lang w:eastAsia="zh-CN"/>
        </w:rPr>
        <w:t>Emisii CO (kg);</w:t>
      </w:r>
    </w:p>
    <w:p w14:paraId="2BAC1E81" w14:textId="77777777" w:rsidR="00337AAA" w:rsidRPr="00337AAA" w:rsidRDefault="00337AAA" w:rsidP="00337AAA">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337AAA">
        <w:rPr>
          <w:rFonts w:ascii="Arial" w:eastAsia="Arial" w:hAnsi="Arial" w:cs="Arial"/>
          <w:color w:val="000000"/>
          <w:lang w:eastAsia="zh-CN"/>
        </w:rPr>
        <w:t>Emisii Nox (kg);</w:t>
      </w:r>
    </w:p>
    <w:p w14:paraId="051B0FB0" w14:textId="77777777" w:rsidR="00337AAA" w:rsidRPr="00337AAA" w:rsidRDefault="00337AAA" w:rsidP="00337AAA">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337AAA">
        <w:rPr>
          <w:rFonts w:ascii="Arial" w:eastAsia="Arial" w:hAnsi="Arial" w:cs="Arial"/>
          <w:color w:val="000000"/>
          <w:lang w:eastAsia="zh-CN"/>
        </w:rPr>
        <w:t>Emisii PM (kg);</w:t>
      </w:r>
    </w:p>
    <w:p w14:paraId="7A3577B9" w14:textId="77777777" w:rsidR="00337AAA" w:rsidRPr="00337AAA" w:rsidRDefault="00337AAA" w:rsidP="00337AAA">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337AAA">
        <w:rPr>
          <w:rFonts w:ascii="Arial" w:eastAsia="Arial" w:hAnsi="Arial" w:cs="Arial"/>
          <w:color w:val="000000"/>
          <w:lang w:eastAsia="zh-CN"/>
        </w:rPr>
        <w:t>Emisii HC (kg).</w:t>
      </w:r>
    </w:p>
    <w:p w14:paraId="703EFB86" w14:textId="77777777" w:rsidR="00337AAA" w:rsidRPr="00337AAA" w:rsidRDefault="00337AAA" w:rsidP="00337AAA">
      <w:pPr>
        <w:suppressAutoHyphens/>
        <w:autoSpaceDE w:val="0"/>
        <w:spacing w:after="0" w:line="360" w:lineRule="auto"/>
        <w:rPr>
          <w:rFonts w:ascii="Arial" w:eastAsia="Calibri" w:hAnsi="Arial" w:cs="Arial"/>
          <w:color w:val="000000"/>
          <w:sz w:val="24"/>
          <w:szCs w:val="24"/>
          <w:lang w:eastAsia="zh-CN"/>
        </w:rPr>
      </w:pPr>
    </w:p>
    <w:p w14:paraId="3B4445AE"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b/>
          <w:color w:val="000000"/>
          <w:lang w:val="es-ES" w:eastAsia="zh-CN"/>
        </w:rPr>
        <w:t xml:space="preserve">Orasul Horezu </w:t>
      </w:r>
      <w:r w:rsidRPr="00337AAA">
        <w:rPr>
          <w:rFonts w:ascii="Arial" w:eastAsia="Calibri" w:hAnsi="Arial" w:cs="Arial"/>
          <w:color w:val="000000"/>
          <w:lang w:val="es-ES" w:eastAsia="zh-CN"/>
        </w:rPr>
        <w:t xml:space="preserve">se înscrie în categoria aglomerărilor urbane caracterizate printr-un mediu generat de propriile dezvoltări şi care se constituie în surse de poluare ale aerului, apei şi solului. Efectele acestui mediu antropizat îmbracă un întreg complex de aspecte care agresează în mod direct şi/sau subtil, prin fenomenul de bumerang pe însăşi creatorii lui – “beneficiarii” condiţiilor urbane de viaţă. Existenţa facilităţilor legate de desfăşurarea de zi cu zi a vieţii într-un oraş conduce la apariţia unei multitudini de surse de poluare a atmosferei – care se constituie în categoria surselor tipic urbane – şi dintre care se detaşează în primul rând chiar, traficul rutier. </w:t>
      </w:r>
    </w:p>
    <w:p w14:paraId="453203BF" w14:textId="77777777" w:rsidR="00337AAA" w:rsidRPr="00337AAA" w:rsidRDefault="00337AAA" w:rsidP="00337AAA">
      <w:pPr>
        <w:suppressAutoHyphens/>
        <w:autoSpaceDE w:val="0"/>
        <w:spacing w:after="0" w:line="360" w:lineRule="auto"/>
        <w:rPr>
          <w:rFonts w:ascii="Arial" w:eastAsia="Calibri" w:hAnsi="Arial" w:cs="Arial"/>
          <w:color w:val="000000"/>
          <w:sz w:val="24"/>
          <w:szCs w:val="24"/>
          <w:lang w:val="es-ES" w:eastAsia="zh-CN"/>
        </w:rPr>
      </w:pPr>
    </w:p>
    <w:p w14:paraId="2AC68091"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color w:val="000000"/>
          <w:lang w:val="es-ES" w:eastAsia="zh-CN"/>
        </w:rPr>
        <w:t xml:space="preserve">Agresiunea mediului poluat asupra entităţilor umane se manifestă sub multiple aspecte (fizice, psihice şi sociale) şi care conduc în principal la îndepărtarea individului de natură. În acest context, cea mai raţională abordare privind starea de calitate a atmosferei într-o aglomerare urbană poate fi materializată printr-o serie de acţiuni, cum ar fi: </w:t>
      </w:r>
    </w:p>
    <w:p w14:paraId="1C3F0DC6" w14:textId="77777777" w:rsidR="00337AAA" w:rsidRPr="00337AAA" w:rsidRDefault="00337AAA" w:rsidP="00337AAA">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 xml:space="preserve">1. supravegherea permanentă a nivelului de poluare; </w:t>
      </w:r>
    </w:p>
    <w:p w14:paraId="3A002944"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color w:val="000000"/>
          <w:lang w:val="es-ES" w:eastAsia="zh-CN"/>
        </w:rPr>
        <w:t xml:space="preserve">2. corelarea datelor experimentale cu procesele concrete generatoare de poluare (de tip industrial, din domeniul casnic şi din sfera transportului); </w:t>
      </w:r>
    </w:p>
    <w:p w14:paraId="333BE25B" w14:textId="77777777" w:rsidR="00337AAA" w:rsidRPr="00337AAA" w:rsidRDefault="00337AAA" w:rsidP="00337AAA">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 xml:space="preserve">3. modelarea matematică a fenomenului poluare; </w:t>
      </w:r>
    </w:p>
    <w:p w14:paraId="1B678FEF" w14:textId="77777777" w:rsidR="00337AAA" w:rsidRPr="00337AAA" w:rsidRDefault="00337AAA" w:rsidP="00337AAA">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 xml:space="preserve">4. dezvoltarea unei strategii privind calitatea mediului; </w:t>
      </w:r>
    </w:p>
    <w:p w14:paraId="6F097340" w14:textId="77777777" w:rsidR="00337AAA" w:rsidRPr="00337AAA" w:rsidRDefault="00337AAA" w:rsidP="00337AAA">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 xml:space="preserve">5. identificarea soluţiilor de protecţie a comunităţii umane din aria respectivă; </w:t>
      </w:r>
    </w:p>
    <w:p w14:paraId="58975DA0" w14:textId="77777777" w:rsidR="00337AAA" w:rsidRPr="00337AAA" w:rsidRDefault="00337AAA" w:rsidP="00337AAA">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 xml:space="preserve">6. elaborarea unui plan de acţiune privind reducerea emisiilor de poluanţi; </w:t>
      </w:r>
    </w:p>
    <w:p w14:paraId="41EFBB3C" w14:textId="77777777" w:rsidR="00337AAA" w:rsidRPr="00337AAA" w:rsidRDefault="00337AAA" w:rsidP="00337AAA">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 xml:space="preserve">7. implementarea măsurilor de protecţie şi autoprotecţie; </w:t>
      </w:r>
    </w:p>
    <w:p w14:paraId="24EECD28"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color w:val="000000"/>
          <w:lang w:val="es-ES" w:eastAsia="zh-CN"/>
        </w:rPr>
        <w:t xml:space="preserve">8. promovarea unei campanii educaţionale pe tema contribuţiei societăţii civile la micşorarea poluării mediului. </w:t>
      </w:r>
    </w:p>
    <w:p w14:paraId="784141A2" w14:textId="77777777" w:rsidR="00337AAA" w:rsidRPr="00337AAA" w:rsidRDefault="00337AAA" w:rsidP="00337AAA">
      <w:pPr>
        <w:suppressAutoHyphens/>
        <w:autoSpaceDE w:val="0"/>
        <w:spacing w:after="0" w:line="360" w:lineRule="auto"/>
        <w:rPr>
          <w:rFonts w:ascii="Arial" w:eastAsia="Calibri" w:hAnsi="Arial" w:cs="Arial"/>
          <w:color w:val="000000"/>
          <w:sz w:val="24"/>
          <w:szCs w:val="24"/>
          <w:lang w:val="es-ES" w:eastAsia="zh-CN"/>
        </w:rPr>
      </w:pPr>
    </w:p>
    <w:p w14:paraId="7A7FD657" w14:textId="77777777" w:rsidR="00E230D0" w:rsidRPr="00E230D0" w:rsidRDefault="00E230D0" w:rsidP="00E230D0">
      <w:pPr>
        <w:suppressAutoHyphens/>
        <w:autoSpaceDE w:val="0"/>
        <w:spacing w:after="0" w:line="276" w:lineRule="auto"/>
        <w:jc w:val="both"/>
        <w:rPr>
          <w:rFonts w:ascii="Arial" w:eastAsia="Calibri" w:hAnsi="Arial" w:cs="Arial"/>
          <w:color w:val="000000"/>
          <w:lang w:val="es-ES" w:eastAsia="zh-CN"/>
        </w:rPr>
      </w:pPr>
      <w:r w:rsidRPr="00E230D0">
        <w:rPr>
          <w:rFonts w:ascii="Arial" w:eastAsia="Calibri" w:hAnsi="Arial" w:cs="Arial"/>
          <w:color w:val="000000"/>
          <w:lang w:val="es-ES" w:eastAsia="zh-CN"/>
        </w:rPr>
        <w:t>În județul V</w:t>
      </w:r>
      <w:r>
        <w:rPr>
          <w:rFonts w:ascii="Arial" w:eastAsia="Calibri" w:hAnsi="Arial" w:cs="Arial"/>
          <w:color w:val="000000"/>
          <w:lang w:val="es-ES" w:eastAsia="zh-CN"/>
        </w:rPr>
        <w:t>â</w:t>
      </w:r>
      <w:r w:rsidRPr="00E230D0">
        <w:rPr>
          <w:rFonts w:ascii="Arial" w:eastAsia="Calibri" w:hAnsi="Arial" w:cs="Arial"/>
          <w:color w:val="000000"/>
          <w:lang w:val="es-ES" w:eastAsia="zh-CN"/>
        </w:rPr>
        <w:t>lcea calitatea aerului înconjurător este monitorizată de o rețea care</w:t>
      </w:r>
      <w:r w:rsidRPr="00E230D0">
        <w:rPr>
          <w:rFonts w:ascii="Arial" w:eastAsia="Calibri" w:hAnsi="Arial" w:cs="Arial"/>
          <w:color w:val="000000"/>
          <w:sz w:val="24"/>
          <w:szCs w:val="24"/>
          <w:lang w:val="es-ES" w:eastAsia="zh-CN"/>
        </w:rPr>
        <w:t xml:space="preserve"> </w:t>
      </w:r>
      <w:r w:rsidRPr="00E230D0">
        <w:rPr>
          <w:rFonts w:ascii="Arial" w:eastAsia="Calibri" w:hAnsi="Arial" w:cs="Arial"/>
          <w:color w:val="000000"/>
          <w:lang w:val="es-ES" w:eastAsia="zh-CN"/>
        </w:rPr>
        <w:t>cuprinde</w:t>
      </w:r>
      <w:r w:rsidRPr="00E230D0">
        <w:rPr>
          <w:rFonts w:ascii="Arial" w:eastAsia="Calibri" w:hAnsi="Arial" w:cs="Arial"/>
          <w:color w:val="000000"/>
          <w:vertAlign w:val="superscript"/>
          <w:lang w:eastAsia="zh-CN"/>
        </w:rPr>
        <w:footnoteReference w:id="37"/>
      </w:r>
      <w:r w:rsidRPr="00E230D0">
        <w:rPr>
          <w:rFonts w:ascii="Arial" w:eastAsia="Calibri" w:hAnsi="Arial" w:cs="Arial"/>
          <w:color w:val="000000"/>
          <w:lang w:val="es-ES" w:eastAsia="zh-CN"/>
        </w:rPr>
        <w:t xml:space="preserve"> 2 puncte de monitorizare a poluanților din aerul înconjurător prin stațiile automate de monitorizare din cadrul RNMCA: VL-1 Rm. V</w:t>
      </w:r>
      <w:r w:rsidR="008A1AFB">
        <w:rPr>
          <w:rFonts w:ascii="Arial" w:eastAsia="Calibri" w:hAnsi="Arial" w:cs="Arial"/>
          <w:color w:val="000000"/>
          <w:lang w:val="es-ES" w:eastAsia="zh-CN"/>
        </w:rPr>
        <w:t>â</w:t>
      </w:r>
      <w:r w:rsidRPr="00E230D0">
        <w:rPr>
          <w:rFonts w:ascii="Arial" w:eastAsia="Calibri" w:hAnsi="Arial" w:cs="Arial"/>
          <w:color w:val="000000"/>
          <w:lang w:val="es-ES" w:eastAsia="zh-CN"/>
        </w:rPr>
        <w:t>lcea (stație de fond urban, amplasat</w:t>
      </w:r>
      <w:r w:rsidR="008A1AFB">
        <w:rPr>
          <w:rFonts w:ascii="Arial" w:eastAsia="Calibri" w:hAnsi="Arial" w:cs="Arial"/>
          <w:color w:val="000000"/>
          <w:lang w:val="es-ES" w:eastAsia="zh-CN"/>
        </w:rPr>
        <w:t>ă</w:t>
      </w:r>
      <w:r w:rsidRPr="00E230D0">
        <w:rPr>
          <w:rFonts w:ascii="Arial" w:eastAsia="Calibri" w:hAnsi="Arial" w:cs="Arial"/>
          <w:color w:val="000000"/>
          <w:lang w:val="es-ES" w:eastAsia="zh-CN"/>
        </w:rPr>
        <w:t xml:space="preserve"> </w:t>
      </w:r>
      <w:r w:rsidR="008A1AFB">
        <w:rPr>
          <w:rFonts w:ascii="Arial" w:eastAsia="Calibri" w:hAnsi="Arial" w:cs="Arial"/>
          <w:color w:val="000000"/>
          <w:lang w:val="es-ES" w:eastAsia="zh-CN"/>
        </w:rPr>
        <w:t>î</w:t>
      </w:r>
      <w:r w:rsidRPr="00E230D0">
        <w:rPr>
          <w:rFonts w:ascii="Arial" w:eastAsia="Calibri" w:hAnsi="Arial" w:cs="Arial"/>
          <w:color w:val="000000"/>
          <w:lang w:val="es-ES" w:eastAsia="zh-CN"/>
        </w:rPr>
        <w:t>n Gr</w:t>
      </w:r>
      <w:r w:rsidR="008A1AFB">
        <w:rPr>
          <w:rFonts w:ascii="Arial" w:eastAsia="Calibri" w:hAnsi="Arial" w:cs="Arial"/>
          <w:color w:val="000000"/>
          <w:lang w:val="es-ES" w:eastAsia="zh-CN"/>
        </w:rPr>
        <w:t>ă</w:t>
      </w:r>
      <w:r w:rsidRPr="00E230D0">
        <w:rPr>
          <w:rFonts w:ascii="Arial" w:eastAsia="Calibri" w:hAnsi="Arial" w:cs="Arial"/>
          <w:color w:val="000000"/>
          <w:lang w:val="es-ES" w:eastAsia="zh-CN"/>
        </w:rPr>
        <w:t>dina Zoologica Rm. V</w:t>
      </w:r>
      <w:r w:rsidR="00931C3B">
        <w:rPr>
          <w:rFonts w:ascii="Arial" w:eastAsia="Calibri" w:hAnsi="Arial" w:cs="Arial"/>
          <w:color w:val="000000"/>
          <w:lang w:val="es-ES" w:eastAsia="zh-CN"/>
        </w:rPr>
        <w:t>â</w:t>
      </w:r>
      <w:r w:rsidRPr="00E230D0">
        <w:rPr>
          <w:rFonts w:ascii="Arial" w:eastAsia="Calibri" w:hAnsi="Arial" w:cs="Arial"/>
          <w:color w:val="000000"/>
          <w:lang w:val="es-ES" w:eastAsia="zh-CN"/>
        </w:rPr>
        <w:t>lcea), VL-2 Rm. V</w:t>
      </w:r>
      <w:r w:rsidR="007861B3">
        <w:rPr>
          <w:rFonts w:ascii="Arial" w:eastAsia="Calibri" w:hAnsi="Arial" w:cs="Arial"/>
          <w:color w:val="000000"/>
          <w:lang w:val="es-ES" w:eastAsia="zh-CN"/>
        </w:rPr>
        <w:t>â</w:t>
      </w:r>
      <w:r w:rsidRPr="00E230D0">
        <w:rPr>
          <w:rFonts w:ascii="Arial" w:eastAsia="Calibri" w:hAnsi="Arial" w:cs="Arial"/>
          <w:color w:val="000000"/>
          <w:lang w:val="es-ES" w:eastAsia="zh-CN"/>
        </w:rPr>
        <w:t>lcea (stație industrial</w:t>
      </w:r>
      <w:r w:rsidR="007861B3">
        <w:rPr>
          <w:rFonts w:ascii="Arial" w:eastAsia="Calibri" w:hAnsi="Arial" w:cs="Arial"/>
          <w:color w:val="000000"/>
          <w:lang w:val="es-ES" w:eastAsia="zh-CN"/>
        </w:rPr>
        <w:t>ă</w:t>
      </w:r>
      <w:r w:rsidRPr="00E230D0">
        <w:rPr>
          <w:rFonts w:ascii="Arial" w:eastAsia="Calibri" w:hAnsi="Arial" w:cs="Arial"/>
          <w:color w:val="000000"/>
          <w:lang w:val="es-ES" w:eastAsia="zh-CN"/>
        </w:rPr>
        <w:t>, amplasat</w:t>
      </w:r>
      <w:r w:rsidR="007861B3">
        <w:rPr>
          <w:rFonts w:ascii="Arial" w:eastAsia="Calibri" w:hAnsi="Arial" w:cs="Arial"/>
          <w:color w:val="000000"/>
          <w:lang w:val="es-ES" w:eastAsia="zh-CN"/>
        </w:rPr>
        <w:t>ă</w:t>
      </w:r>
      <w:r w:rsidRPr="00E230D0">
        <w:rPr>
          <w:rFonts w:ascii="Arial" w:eastAsia="Calibri" w:hAnsi="Arial" w:cs="Arial"/>
          <w:color w:val="000000"/>
          <w:lang w:val="es-ES" w:eastAsia="zh-CN"/>
        </w:rPr>
        <w:t xml:space="preserve"> pe platforma chimic</w:t>
      </w:r>
      <w:r w:rsidR="007861B3">
        <w:rPr>
          <w:rFonts w:ascii="Arial" w:eastAsia="Calibri" w:hAnsi="Arial" w:cs="Arial"/>
          <w:color w:val="000000"/>
          <w:lang w:val="es-ES" w:eastAsia="zh-CN"/>
        </w:rPr>
        <w:t>ă</w:t>
      </w:r>
      <w:r w:rsidRPr="00E230D0">
        <w:rPr>
          <w:rFonts w:ascii="Arial" w:eastAsia="Calibri" w:hAnsi="Arial" w:cs="Arial"/>
          <w:color w:val="000000"/>
          <w:lang w:val="es-ES" w:eastAsia="zh-CN"/>
        </w:rPr>
        <w:t xml:space="preserve"> Rm. V</w:t>
      </w:r>
      <w:r w:rsidR="007861B3">
        <w:rPr>
          <w:rFonts w:ascii="Arial" w:eastAsia="Calibri" w:hAnsi="Arial" w:cs="Arial"/>
          <w:color w:val="000000"/>
          <w:lang w:val="es-ES" w:eastAsia="zh-CN"/>
        </w:rPr>
        <w:t>â</w:t>
      </w:r>
      <w:r w:rsidRPr="00E230D0">
        <w:rPr>
          <w:rFonts w:ascii="Arial" w:eastAsia="Calibri" w:hAnsi="Arial" w:cs="Arial"/>
          <w:color w:val="000000"/>
          <w:lang w:val="es-ES" w:eastAsia="zh-CN"/>
        </w:rPr>
        <w:t>lcea)</w:t>
      </w:r>
    </w:p>
    <w:p w14:paraId="154EB66D" w14:textId="77777777" w:rsidR="00E230D0" w:rsidRPr="00E230D0" w:rsidRDefault="00E230D0" w:rsidP="00E230D0">
      <w:pPr>
        <w:suppressAutoHyphens/>
        <w:autoSpaceDE w:val="0"/>
        <w:spacing w:after="0" w:line="276" w:lineRule="auto"/>
        <w:jc w:val="both"/>
        <w:rPr>
          <w:rFonts w:ascii="Arial" w:eastAsia="Calibri" w:hAnsi="Arial" w:cs="Arial"/>
          <w:color w:val="000000"/>
          <w:lang w:val="es-ES" w:eastAsia="zh-CN"/>
        </w:rPr>
      </w:pPr>
    </w:p>
    <w:p w14:paraId="07B93FF4" w14:textId="77777777" w:rsidR="00E230D0" w:rsidRPr="00E230D0" w:rsidRDefault="00E230D0" w:rsidP="00E230D0">
      <w:pPr>
        <w:spacing w:after="0" w:line="276" w:lineRule="auto"/>
        <w:jc w:val="both"/>
        <w:rPr>
          <w:rFonts w:ascii="Arial" w:eastAsia="Times New Roman" w:hAnsi="Arial" w:cs="Arial"/>
          <w:lang w:val="es-ES"/>
        </w:rPr>
      </w:pPr>
      <w:r w:rsidRPr="00E230D0">
        <w:rPr>
          <w:rFonts w:ascii="Arial" w:eastAsia="Times New Roman" w:hAnsi="Arial" w:cs="Arial"/>
          <w:lang w:val="es-ES"/>
        </w:rPr>
        <w:t>Poluanţii atmosferici monitorizaţi, luaţi în considerare în evaluarea calităţii aerului înconjurător sunt în conformitate cu cerinţele impuse prin Legea nr.104/2011 “Legea privind calitatea aerului înconjurător”.</w:t>
      </w:r>
    </w:p>
    <w:p w14:paraId="68D72AA3" w14:textId="77777777" w:rsidR="00E230D0" w:rsidRPr="00E230D0" w:rsidRDefault="00E230D0" w:rsidP="00E230D0">
      <w:pPr>
        <w:spacing w:after="0" w:line="276" w:lineRule="auto"/>
        <w:jc w:val="both"/>
        <w:rPr>
          <w:rFonts w:ascii="Arial" w:eastAsia="Times New Roman" w:hAnsi="Arial" w:cs="Arial"/>
          <w:lang w:val="fr-FR"/>
        </w:rPr>
      </w:pPr>
    </w:p>
    <w:p w14:paraId="218B957F" w14:textId="77777777" w:rsidR="00E230D0" w:rsidRPr="00E230D0" w:rsidRDefault="00E230D0" w:rsidP="00E230D0">
      <w:pPr>
        <w:spacing w:after="0" w:line="276" w:lineRule="auto"/>
        <w:jc w:val="both"/>
        <w:rPr>
          <w:rFonts w:ascii="Arial" w:eastAsia="Times New Roman" w:hAnsi="Arial" w:cs="Arial"/>
          <w:lang w:val="fr-FR"/>
        </w:rPr>
      </w:pPr>
      <w:r w:rsidRPr="00E230D0">
        <w:rPr>
          <w:rFonts w:ascii="Arial" w:eastAsia="Times New Roman" w:hAnsi="Arial" w:cs="Arial"/>
          <w:lang w:val="fr-FR"/>
        </w:rPr>
        <w:t xml:space="preserve">Localizarea staţiilor de monitorizare a calităţii aerului </w:t>
      </w:r>
      <w:r w:rsidR="008A1AFB">
        <w:rPr>
          <w:rFonts w:ascii="Arial" w:eastAsia="Times New Roman" w:hAnsi="Arial" w:cs="Arial"/>
          <w:lang w:val="fr-FR"/>
        </w:rPr>
        <w:t>ș</w:t>
      </w:r>
      <w:r w:rsidRPr="00E230D0">
        <w:rPr>
          <w:rFonts w:ascii="Arial" w:eastAsia="Times New Roman" w:hAnsi="Arial" w:cs="Arial"/>
          <w:lang w:val="fr-FR"/>
        </w:rPr>
        <w:t>i poluan</w:t>
      </w:r>
      <w:r w:rsidR="008A1AFB">
        <w:rPr>
          <w:rFonts w:ascii="Arial" w:eastAsia="Times New Roman" w:hAnsi="Arial" w:cs="Arial"/>
          <w:lang w:val="fr-FR"/>
        </w:rPr>
        <w:t>ț</w:t>
      </w:r>
      <w:r w:rsidRPr="00E230D0">
        <w:rPr>
          <w:rFonts w:ascii="Arial" w:eastAsia="Times New Roman" w:hAnsi="Arial" w:cs="Arial"/>
          <w:lang w:val="fr-FR"/>
        </w:rPr>
        <w:t>ii monitoriza</w:t>
      </w:r>
      <w:r w:rsidR="008A1AFB">
        <w:rPr>
          <w:rFonts w:ascii="Arial" w:eastAsia="Times New Roman" w:hAnsi="Arial" w:cs="Arial"/>
          <w:lang w:val="fr-FR"/>
        </w:rPr>
        <w:t>ț</w:t>
      </w:r>
      <w:r w:rsidRPr="00E230D0">
        <w:rPr>
          <w:rFonts w:ascii="Arial" w:eastAsia="Times New Roman" w:hAnsi="Arial" w:cs="Arial"/>
          <w:lang w:val="fr-FR"/>
        </w:rPr>
        <w:t>i sunt reda</w:t>
      </w:r>
      <w:r w:rsidR="008A1AFB">
        <w:rPr>
          <w:rFonts w:ascii="Arial" w:eastAsia="Times New Roman" w:hAnsi="Arial" w:cs="Arial"/>
          <w:lang w:val="fr-FR"/>
        </w:rPr>
        <w:t>ț</w:t>
      </w:r>
      <w:r w:rsidRPr="00E230D0">
        <w:rPr>
          <w:rFonts w:ascii="Arial" w:eastAsia="Times New Roman" w:hAnsi="Arial" w:cs="Arial"/>
          <w:lang w:val="fr-FR"/>
        </w:rPr>
        <w:t xml:space="preserve">i </w:t>
      </w:r>
      <w:r w:rsidR="008A1AFB">
        <w:rPr>
          <w:rFonts w:ascii="Arial" w:eastAsia="Times New Roman" w:hAnsi="Arial" w:cs="Arial"/>
          <w:lang w:val="fr-FR"/>
        </w:rPr>
        <w:t>î</w:t>
      </w:r>
      <w:r w:rsidRPr="00E230D0">
        <w:rPr>
          <w:rFonts w:ascii="Arial" w:eastAsia="Times New Roman" w:hAnsi="Arial" w:cs="Arial"/>
          <w:lang w:val="fr-FR"/>
        </w:rPr>
        <w:t xml:space="preserve">n tabelul de mai jos: </w:t>
      </w:r>
    </w:p>
    <w:p w14:paraId="02F2DA4B" w14:textId="40F6A387" w:rsidR="00E230D0" w:rsidRPr="00E230D0" w:rsidRDefault="008A1AFB" w:rsidP="008A1AFB">
      <w:pPr>
        <w:pStyle w:val="Legend"/>
        <w:jc w:val="center"/>
        <w:rPr>
          <w:rFonts w:ascii="Arial" w:eastAsia="Calibri" w:hAnsi="Arial" w:cs="Arial"/>
          <w:i w:val="0"/>
          <w:iCs w:val="0"/>
          <w:color w:val="000000"/>
          <w:sz w:val="22"/>
          <w:szCs w:val="22"/>
          <w:lang w:val="es-ES" w:eastAsia="zh-CN"/>
        </w:rPr>
      </w:pPr>
      <w:bookmarkStart w:id="343" w:name="_Toc96447416"/>
      <w:r w:rsidRPr="008A1AFB">
        <w:rPr>
          <w:rFonts w:ascii="Arial" w:hAnsi="Arial" w:cs="Arial"/>
          <w:sz w:val="22"/>
          <w:szCs w:val="22"/>
        </w:rPr>
        <w:t xml:space="preserve">Tabel I.4. </w:t>
      </w:r>
      <w:r w:rsidRPr="008A1AFB">
        <w:rPr>
          <w:rFonts w:ascii="Arial" w:hAnsi="Arial" w:cs="Arial"/>
          <w:sz w:val="22"/>
          <w:szCs w:val="22"/>
        </w:rPr>
        <w:fldChar w:fldCharType="begin"/>
      </w:r>
      <w:r w:rsidRPr="008A1AFB">
        <w:rPr>
          <w:rFonts w:ascii="Arial" w:hAnsi="Arial" w:cs="Arial"/>
          <w:sz w:val="22"/>
          <w:szCs w:val="22"/>
        </w:rPr>
        <w:instrText xml:space="preserve"> SEQ Tabel_I.4. \* ARABIC </w:instrText>
      </w:r>
      <w:r w:rsidRPr="008A1AFB">
        <w:rPr>
          <w:rFonts w:ascii="Arial" w:hAnsi="Arial" w:cs="Arial"/>
          <w:sz w:val="22"/>
          <w:szCs w:val="22"/>
        </w:rPr>
        <w:fldChar w:fldCharType="separate"/>
      </w:r>
      <w:r w:rsidR="00BB181C">
        <w:rPr>
          <w:rFonts w:ascii="Arial" w:hAnsi="Arial" w:cs="Arial"/>
          <w:noProof/>
          <w:sz w:val="22"/>
          <w:szCs w:val="22"/>
        </w:rPr>
        <w:t>6</w:t>
      </w:r>
      <w:r w:rsidRPr="008A1AFB">
        <w:rPr>
          <w:rFonts w:ascii="Arial" w:hAnsi="Arial" w:cs="Arial"/>
          <w:sz w:val="22"/>
          <w:szCs w:val="22"/>
        </w:rPr>
        <w:fldChar w:fldCharType="end"/>
      </w:r>
      <w:r w:rsidRPr="008A1AFB">
        <w:rPr>
          <w:rFonts w:ascii="Arial" w:hAnsi="Arial" w:cs="Arial"/>
          <w:sz w:val="22"/>
          <w:szCs w:val="22"/>
        </w:rPr>
        <w:t xml:space="preserve"> - </w:t>
      </w:r>
      <w:r w:rsidRPr="008A1AFB">
        <w:rPr>
          <w:rFonts w:ascii="Arial" w:hAnsi="Arial" w:cs="Arial"/>
          <w:i w:val="0"/>
          <w:iCs w:val="0"/>
          <w:sz w:val="22"/>
          <w:szCs w:val="22"/>
        </w:rPr>
        <w:t>Puncte de monitorizare a calit</w:t>
      </w:r>
      <w:r>
        <w:rPr>
          <w:rFonts w:ascii="Arial" w:hAnsi="Arial" w:cs="Arial"/>
          <w:i w:val="0"/>
          <w:iCs w:val="0"/>
          <w:sz w:val="22"/>
          <w:szCs w:val="22"/>
        </w:rPr>
        <w:t>ăț</w:t>
      </w:r>
      <w:r w:rsidRPr="008A1AFB">
        <w:rPr>
          <w:rFonts w:ascii="Arial" w:hAnsi="Arial" w:cs="Arial"/>
          <w:i w:val="0"/>
          <w:iCs w:val="0"/>
          <w:sz w:val="22"/>
          <w:szCs w:val="22"/>
        </w:rPr>
        <w:t>ii aerului – jud. V</w:t>
      </w:r>
      <w:r>
        <w:rPr>
          <w:rFonts w:ascii="Arial" w:hAnsi="Arial" w:cs="Arial"/>
          <w:i w:val="0"/>
          <w:iCs w:val="0"/>
          <w:sz w:val="22"/>
          <w:szCs w:val="22"/>
        </w:rPr>
        <w:t>â</w:t>
      </w:r>
      <w:r w:rsidRPr="008A1AFB">
        <w:rPr>
          <w:rFonts w:ascii="Arial" w:hAnsi="Arial" w:cs="Arial"/>
          <w:i w:val="0"/>
          <w:iCs w:val="0"/>
          <w:sz w:val="22"/>
          <w:szCs w:val="22"/>
        </w:rPr>
        <w:t>lcea</w:t>
      </w:r>
      <w:bookmarkEnd w:id="343"/>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1385"/>
        <w:gridCol w:w="1275"/>
        <w:gridCol w:w="2835"/>
      </w:tblGrid>
      <w:tr w:rsidR="00E230D0" w:rsidRPr="00E230D0" w14:paraId="3BFA60C3" w14:textId="77777777" w:rsidTr="00E230D0">
        <w:trPr>
          <w:trHeight w:val="560"/>
          <w:jc w:val="center"/>
        </w:trPr>
        <w:tc>
          <w:tcPr>
            <w:tcW w:w="3685" w:type="dxa"/>
            <w:shd w:val="clear" w:color="auto" w:fill="D9D9D9"/>
            <w:vAlign w:val="center"/>
          </w:tcPr>
          <w:p w14:paraId="39AD28B8" w14:textId="77777777" w:rsidR="00E230D0" w:rsidRPr="00E230D0" w:rsidRDefault="00E230D0" w:rsidP="00E230D0">
            <w:pPr>
              <w:spacing w:after="0" w:line="276" w:lineRule="auto"/>
              <w:jc w:val="center"/>
              <w:rPr>
                <w:rFonts w:ascii="Arial" w:eastAsia="Times New Roman" w:hAnsi="Arial" w:cs="Arial"/>
                <w:lang w:val="ro-RO"/>
              </w:rPr>
            </w:pPr>
            <w:r w:rsidRPr="00E230D0">
              <w:rPr>
                <w:rFonts w:ascii="Arial" w:eastAsia="Times New Roman" w:hAnsi="Arial" w:cs="Arial"/>
                <w:lang w:val="ro-RO"/>
              </w:rPr>
              <w:t>Punct monitorizare</w:t>
            </w:r>
          </w:p>
        </w:tc>
        <w:tc>
          <w:tcPr>
            <w:tcW w:w="1385" w:type="dxa"/>
            <w:shd w:val="clear" w:color="auto" w:fill="D9D9D9"/>
            <w:vAlign w:val="center"/>
          </w:tcPr>
          <w:p w14:paraId="42FFDA89" w14:textId="77777777" w:rsidR="00E230D0" w:rsidRPr="00E230D0" w:rsidRDefault="00E230D0" w:rsidP="00E230D0">
            <w:pPr>
              <w:spacing w:after="0" w:line="276" w:lineRule="auto"/>
              <w:jc w:val="center"/>
              <w:rPr>
                <w:rFonts w:ascii="Arial" w:eastAsia="Times New Roman" w:hAnsi="Arial" w:cs="Arial"/>
                <w:lang w:val="ro-RO"/>
              </w:rPr>
            </w:pPr>
            <w:r w:rsidRPr="00E230D0">
              <w:rPr>
                <w:rFonts w:ascii="Arial" w:eastAsia="Times New Roman" w:hAnsi="Arial" w:cs="Arial"/>
                <w:lang w:val="ro-RO"/>
              </w:rPr>
              <w:t xml:space="preserve">Localizare </w:t>
            </w:r>
            <w:r w:rsidRPr="00E230D0">
              <w:rPr>
                <w:rFonts w:ascii="Arial" w:eastAsia="Times New Roman" w:hAnsi="Arial" w:cs="Arial"/>
                <w:lang w:val="ro-RO"/>
              </w:rPr>
              <w:br/>
              <w:t>Lat N/Long E</w:t>
            </w:r>
          </w:p>
        </w:tc>
        <w:tc>
          <w:tcPr>
            <w:tcW w:w="1275" w:type="dxa"/>
            <w:shd w:val="clear" w:color="auto" w:fill="D9D9D9"/>
            <w:vAlign w:val="center"/>
          </w:tcPr>
          <w:p w14:paraId="6C6F9362" w14:textId="77777777" w:rsidR="00E230D0" w:rsidRPr="00E230D0" w:rsidRDefault="00E230D0" w:rsidP="00E230D0">
            <w:pPr>
              <w:spacing w:after="0" w:line="276" w:lineRule="auto"/>
              <w:jc w:val="center"/>
              <w:rPr>
                <w:rFonts w:ascii="Arial" w:eastAsia="Times New Roman" w:hAnsi="Arial" w:cs="Arial"/>
                <w:lang w:val="ro-RO"/>
              </w:rPr>
            </w:pPr>
            <w:r w:rsidRPr="00E230D0">
              <w:rPr>
                <w:rFonts w:ascii="Arial" w:eastAsia="Times New Roman" w:hAnsi="Arial" w:cs="Arial"/>
                <w:lang w:val="ro-RO"/>
              </w:rPr>
              <w:t>Metoda</w:t>
            </w:r>
          </w:p>
        </w:tc>
        <w:tc>
          <w:tcPr>
            <w:tcW w:w="2835" w:type="dxa"/>
            <w:shd w:val="clear" w:color="auto" w:fill="D9D9D9"/>
            <w:vAlign w:val="center"/>
          </w:tcPr>
          <w:p w14:paraId="0F75F9BC" w14:textId="77777777" w:rsidR="00E230D0" w:rsidRPr="00E230D0" w:rsidRDefault="00E230D0" w:rsidP="00E230D0">
            <w:pPr>
              <w:spacing w:after="0" w:line="276" w:lineRule="auto"/>
              <w:jc w:val="center"/>
              <w:rPr>
                <w:rFonts w:ascii="Arial" w:eastAsia="Times New Roman" w:hAnsi="Arial" w:cs="Arial"/>
                <w:lang w:val="ro-RO"/>
              </w:rPr>
            </w:pPr>
            <w:r w:rsidRPr="00E230D0">
              <w:rPr>
                <w:rFonts w:ascii="Arial" w:eastAsia="Times New Roman" w:hAnsi="Arial" w:cs="Arial"/>
                <w:lang w:val="ro-RO"/>
              </w:rPr>
              <w:t>Poluanţi monitorizaţi</w:t>
            </w:r>
          </w:p>
        </w:tc>
      </w:tr>
      <w:tr w:rsidR="00E230D0" w:rsidRPr="00E230D0" w14:paraId="5EDBA957" w14:textId="77777777" w:rsidTr="00655DD6">
        <w:trPr>
          <w:trHeight w:val="560"/>
          <w:jc w:val="center"/>
        </w:trPr>
        <w:tc>
          <w:tcPr>
            <w:tcW w:w="3685" w:type="dxa"/>
            <w:vAlign w:val="center"/>
          </w:tcPr>
          <w:p w14:paraId="0F5EECEA" w14:textId="77777777" w:rsidR="00E230D0" w:rsidRPr="00E230D0" w:rsidRDefault="00E230D0" w:rsidP="00E230D0">
            <w:pPr>
              <w:spacing w:after="0" w:line="276" w:lineRule="auto"/>
              <w:rPr>
                <w:rFonts w:ascii="Arial" w:eastAsia="Times New Roman" w:hAnsi="Arial" w:cs="Arial"/>
                <w:lang w:val="ro-RO"/>
              </w:rPr>
            </w:pPr>
            <w:r w:rsidRPr="00E230D0">
              <w:rPr>
                <w:rFonts w:ascii="Arial" w:eastAsia="Times New Roman" w:hAnsi="Arial" w:cs="Arial"/>
                <w:lang w:val="ro-RO"/>
              </w:rPr>
              <w:t xml:space="preserve">Staţia VL1 Rm. Vâlcea </w:t>
            </w:r>
            <w:r w:rsidRPr="00E230D0">
              <w:rPr>
                <w:rFonts w:ascii="Arial" w:eastAsia="Times New Roman" w:hAnsi="Arial" w:cs="Arial"/>
                <w:lang w:val="ro-RO"/>
              </w:rPr>
              <w:br/>
              <w:t>(zona Grădina Zoologică)</w:t>
            </w:r>
          </w:p>
        </w:tc>
        <w:tc>
          <w:tcPr>
            <w:tcW w:w="1385" w:type="dxa"/>
            <w:vAlign w:val="center"/>
          </w:tcPr>
          <w:p w14:paraId="47B378D7" w14:textId="77777777" w:rsidR="00E230D0" w:rsidRPr="00E230D0" w:rsidRDefault="00E230D0" w:rsidP="00E230D0">
            <w:pPr>
              <w:spacing w:after="0" w:line="276" w:lineRule="auto"/>
              <w:jc w:val="center"/>
              <w:rPr>
                <w:rFonts w:ascii="Arial" w:eastAsia="Times New Roman" w:hAnsi="Arial" w:cs="Arial"/>
                <w:lang w:val="ro-RO"/>
              </w:rPr>
            </w:pPr>
            <w:r w:rsidRPr="00E230D0">
              <w:rPr>
                <w:rFonts w:ascii="Arial" w:eastAsia="Times New Roman" w:hAnsi="Arial" w:cs="Arial"/>
                <w:lang w:val="ro-RO"/>
              </w:rPr>
              <w:t>45°04'14"/ 24°22'38"</w:t>
            </w:r>
          </w:p>
        </w:tc>
        <w:tc>
          <w:tcPr>
            <w:tcW w:w="1275" w:type="dxa"/>
            <w:vAlign w:val="center"/>
          </w:tcPr>
          <w:p w14:paraId="4B2FB3E9" w14:textId="77777777" w:rsidR="00E230D0" w:rsidRPr="00E230D0" w:rsidRDefault="00E230D0" w:rsidP="00E230D0">
            <w:pPr>
              <w:spacing w:after="0" w:line="276" w:lineRule="auto"/>
              <w:jc w:val="center"/>
              <w:rPr>
                <w:rFonts w:ascii="Arial" w:eastAsia="Times New Roman" w:hAnsi="Arial" w:cs="Arial"/>
                <w:lang w:val="ro-RO"/>
              </w:rPr>
            </w:pPr>
            <w:r w:rsidRPr="00E230D0">
              <w:rPr>
                <w:rFonts w:ascii="Arial" w:eastAsia="Times New Roman" w:hAnsi="Arial" w:cs="Arial"/>
                <w:lang w:val="ro-RO"/>
              </w:rPr>
              <w:t>automată</w:t>
            </w:r>
          </w:p>
        </w:tc>
        <w:tc>
          <w:tcPr>
            <w:tcW w:w="2835" w:type="dxa"/>
            <w:vAlign w:val="center"/>
          </w:tcPr>
          <w:p w14:paraId="0015C964" w14:textId="77777777" w:rsidR="00E230D0" w:rsidRPr="00E230D0" w:rsidRDefault="00E230D0" w:rsidP="00E230D0">
            <w:pPr>
              <w:spacing w:after="0" w:line="276" w:lineRule="auto"/>
              <w:rPr>
                <w:rFonts w:ascii="Arial" w:eastAsia="Times New Roman" w:hAnsi="Arial" w:cs="Arial"/>
                <w:lang w:val="ro-RO"/>
              </w:rPr>
            </w:pPr>
            <w:r w:rsidRPr="00E230D0">
              <w:rPr>
                <w:rFonts w:ascii="Arial" w:eastAsia="Times New Roman" w:hAnsi="Arial" w:cs="Arial"/>
                <w:lang w:val="ro-RO"/>
              </w:rPr>
              <w:t>SO</w:t>
            </w:r>
            <w:r w:rsidRPr="00E230D0">
              <w:rPr>
                <w:rFonts w:ascii="Arial" w:eastAsia="Times New Roman" w:hAnsi="Arial" w:cs="Arial"/>
                <w:vertAlign w:val="subscript"/>
                <w:lang w:val="ro-RO"/>
              </w:rPr>
              <w:t>2</w:t>
            </w:r>
            <w:r w:rsidRPr="00E230D0">
              <w:rPr>
                <w:rFonts w:ascii="Arial" w:eastAsia="Times New Roman" w:hAnsi="Arial" w:cs="Arial"/>
                <w:lang w:val="ro-RO"/>
              </w:rPr>
              <w:t xml:space="preserve"> , NO</w:t>
            </w:r>
            <w:r w:rsidRPr="00E230D0">
              <w:rPr>
                <w:rFonts w:ascii="Arial" w:eastAsia="Times New Roman" w:hAnsi="Arial" w:cs="Arial"/>
                <w:vertAlign w:val="subscript"/>
                <w:lang w:val="ro-RO"/>
              </w:rPr>
              <w:t>x</w:t>
            </w:r>
            <w:r w:rsidRPr="00E230D0">
              <w:rPr>
                <w:rFonts w:ascii="Arial" w:eastAsia="Times New Roman" w:hAnsi="Arial" w:cs="Arial"/>
                <w:lang w:val="ro-RO"/>
              </w:rPr>
              <w:t>, NO</w:t>
            </w:r>
            <w:r w:rsidRPr="00E230D0">
              <w:rPr>
                <w:rFonts w:ascii="Arial" w:eastAsia="Times New Roman" w:hAnsi="Arial" w:cs="Arial"/>
                <w:vertAlign w:val="subscript"/>
                <w:lang w:val="ro-RO"/>
              </w:rPr>
              <w:t>2</w:t>
            </w:r>
            <w:r w:rsidRPr="00E230D0">
              <w:rPr>
                <w:rFonts w:ascii="Arial" w:eastAsia="Times New Roman" w:hAnsi="Arial" w:cs="Arial"/>
                <w:lang w:val="ro-RO"/>
              </w:rPr>
              <w:t>, NO, CO, O</w:t>
            </w:r>
            <w:r w:rsidRPr="00E230D0">
              <w:rPr>
                <w:rFonts w:ascii="Arial" w:eastAsia="Times New Roman" w:hAnsi="Arial" w:cs="Arial"/>
                <w:vertAlign w:val="subscript"/>
                <w:lang w:val="ro-RO"/>
              </w:rPr>
              <w:t>3</w:t>
            </w:r>
            <w:r w:rsidRPr="00E230D0">
              <w:rPr>
                <w:rFonts w:ascii="Arial" w:eastAsia="Times New Roman" w:hAnsi="Arial" w:cs="Arial"/>
                <w:lang w:val="ro-RO"/>
              </w:rPr>
              <w:t xml:space="preserve">,  BTX,  PM </w:t>
            </w:r>
            <w:r w:rsidRPr="00E230D0">
              <w:rPr>
                <w:rFonts w:ascii="Arial" w:eastAsia="Times New Roman" w:hAnsi="Arial" w:cs="Arial"/>
                <w:vertAlign w:val="subscript"/>
                <w:lang w:val="ro-RO"/>
              </w:rPr>
              <w:t>10</w:t>
            </w:r>
            <w:r w:rsidRPr="00E230D0">
              <w:rPr>
                <w:rFonts w:ascii="Arial" w:eastAsia="Times New Roman" w:hAnsi="Arial" w:cs="Arial"/>
                <w:lang w:val="ro-RO"/>
              </w:rPr>
              <w:t>,  PM</w:t>
            </w:r>
            <w:r w:rsidRPr="00E230D0">
              <w:rPr>
                <w:rFonts w:ascii="Arial" w:eastAsia="Times New Roman" w:hAnsi="Arial" w:cs="Arial"/>
                <w:vertAlign w:val="subscript"/>
                <w:lang w:val="ro-RO"/>
              </w:rPr>
              <w:t xml:space="preserve"> 2.5</w:t>
            </w:r>
          </w:p>
        </w:tc>
      </w:tr>
      <w:tr w:rsidR="00E230D0" w:rsidRPr="00E230D0" w14:paraId="4CB0A7EF" w14:textId="77777777" w:rsidTr="00655DD6">
        <w:trPr>
          <w:trHeight w:val="560"/>
          <w:jc w:val="center"/>
        </w:trPr>
        <w:tc>
          <w:tcPr>
            <w:tcW w:w="3685" w:type="dxa"/>
            <w:vAlign w:val="center"/>
          </w:tcPr>
          <w:p w14:paraId="2BFC484C" w14:textId="77777777" w:rsidR="00E230D0" w:rsidRPr="00E230D0" w:rsidRDefault="00E230D0" w:rsidP="00E230D0">
            <w:pPr>
              <w:spacing w:after="0" w:line="276" w:lineRule="auto"/>
              <w:rPr>
                <w:rFonts w:ascii="Arial" w:eastAsia="Times New Roman" w:hAnsi="Arial" w:cs="Arial"/>
                <w:lang w:val="ro-RO"/>
              </w:rPr>
            </w:pPr>
            <w:r w:rsidRPr="00E230D0">
              <w:rPr>
                <w:rFonts w:ascii="Arial" w:eastAsia="Times New Roman" w:hAnsi="Arial" w:cs="Arial"/>
                <w:lang w:val="ro-RO"/>
              </w:rPr>
              <w:t xml:space="preserve">Staţia VL2 Rm. Vâlcea  </w:t>
            </w:r>
            <w:r w:rsidRPr="00E230D0">
              <w:rPr>
                <w:rFonts w:ascii="Arial" w:eastAsia="Times New Roman" w:hAnsi="Arial" w:cs="Arial"/>
                <w:lang w:val="ro-RO"/>
              </w:rPr>
              <w:br/>
              <w:t>(zona Platforma Chimică Oltchim)</w:t>
            </w:r>
          </w:p>
        </w:tc>
        <w:tc>
          <w:tcPr>
            <w:tcW w:w="1385" w:type="dxa"/>
            <w:vAlign w:val="center"/>
          </w:tcPr>
          <w:p w14:paraId="086E5CFC" w14:textId="77777777" w:rsidR="00E230D0" w:rsidRPr="00E230D0" w:rsidRDefault="00E230D0" w:rsidP="00E230D0">
            <w:pPr>
              <w:spacing w:after="0" w:line="276" w:lineRule="auto"/>
              <w:jc w:val="center"/>
              <w:rPr>
                <w:rFonts w:ascii="Arial" w:eastAsia="Times New Roman" w:hAnsi="Arial" w:cs="Arial"/>
                <w:lang w:val="ro-RO"/>
              </w:rPr>
            </w:pPr>
            <w:r w:rsidRPr="00E230D0">
              <w:rPr>
                <w:rFonts w:ascii="Arial" w:eastAsia="Times New Roman" w:hAnsi="Arial" w:cs="Arial"/>
                <w:lang w:val="ro-RO"/>
              </w:rPr>
              <w:t>45°02'28"/ 24°17'41"</w:t>
            </w:r>
          </w:p>
        </w:tc>
        <w:tc>
          <w:tcPr>
            <w:tcW w:w="1275" w:type="dxa"/>
            <w:vAlign w:val="center"/>
          </w:tcPr>
          <w:p w14:paraId="0CF1ED11" w14:textId="77777777" w:rsidR="00E230D0" w:rsidRPr="00E230D0" w:rsidRDefault="00E230D0" w:rsidP="00E230D0">
            <w:pPr>
              <w:spacing w:after="0" w:line="276" w:lineRule="auto"/>
              <w:jc w:val="center"/>
              <w:rPr>
                <w:rFonts w:ascii="Arial" w:eastAsia="Times New Roman" w:hAnsi="Arial" w:cs="Arial"/>
                <w:lang w:val="ro-RO"/>
              </w:rPr>
            </w:pPr>
            <w:r w:rsidRPr="00E230D0">
              <w:rPr>
                <w:rFonts w:ascii="Arial" w:eastAsia="Times New Roman" w:hAnsi="Arial" w:cs="Arial"/>
                <w:lang w:val="ro-RO"/>
              </w:rPr>
              <w:t>automată</w:t>
            </w:r>
          </w:p>
        </w:tc>
        <w:tc>
          <w:tcPr>
            <w:tcW w:w="2835" w:type="dxa"/>
            <w:vAlign w:val="center"/>
          </w:tcPr>
          <w:p w14:paraId="38205D86" w14:textId="77777777" w:rsidR="00E230D0" w:rsidRPr="00E230D0" w:rsidRDefault="00E230D0" w:rsidP="00E230D0">
            <w:pPr>
              <w:spacing w:after="0" w:line="276" w:lineRule="auto"/>
              <w:rPr>
                <w:rFonts w:ascii="Arial" w:eastAsia="Times New Roman" w:hAnsi="Arial" w:cs="Arial"/>
                <w:lang w:val="ro-RO"/>
              </w:rPr>
            </w:pPr>
            <w:r w:rsidRPr="00E230D0">
              <w:rPr>
                <w:rFonts w:ascii="Arial" w:eastAsia="Times New Roman" w:hAnsi="Arial" w:cs="Arial"/>
                <w:lang w:val="ro-RO"/>
              </w:rPr>
              <w:t>SO</w:t>
            </w:r>
            <w:r w:rsidRPr="00E230D0">
              <w:rPr>
                <w:rFonts w:ascii="Arial" w:eastAsia="Times New Roman" w:hAnsi="Arial" w:cs="Arial"/>
                <w:vertAlign w:val="subscript"/>
                <w:lang w:val="ro-RO"/>
              </w:rPr>
              <w:t>2</w:t>
            </w:r>
            <w:r w:rsidRPr="00E230D0">
              <w:rPr>
                <w:rFonts w:ascii="Arial" w:eastAsia="Times New Roman" w:hAnsi="Arial" w:cs="Arial"/>
                <w:lang w:val="ro-RO"/>
              </w:rPr>
              <w:t xml:space="preserve"> , NO</w:t>
            </w:r>
            <w:r w:rsidRPr="00E230D0">
              <w:rPr>
                <w:rFonts w:ascii="Arial" w:eastAsia="Times New Roman" w:hAnsi="Arial" w:cs="Arial"/>
                <w:vertAlign w:val="subscript"/>
                <w:lang w:val="ro-RO"/>
              </w:rPr>
              <w:t>x</w:t>
            </w:r>
            <w:r w:rsidRPr="00E230D0">
              <w:rPr>
                <w:rFonts w:ascii="Arial" w:eastAsia="Times New Roman" w:hAnsi="Arial" w:cs="Arial"/>
                <w:lang w:val="ro-RO"/>
              </w:rPr>
              <w:t xml:space="preserve"> , NO</w:t>
            </w:r>
            <w:r w:rsidRPr="00E230D0">
              <w:rPr>
                <w:rFonts w:ascii="Arial" w:eastAsia="Times New Roman" w:hAnsi="Arial" w:cs="Arial"/>
                <w:vertAlign w:val="subscript"/>
                <w:lang w:val="ro-RO"/>
              </w:rPr>
              <w:t>2</w:t>
            </w:r>
            <w:r w:rsidRPr="00E230D0">
              <w:rPr>
                <w:rFonts w:ascii="Arial" w:eastAsia="Times New Roman" w:hAnsi="Arial" w:cs="Arial"/>
                <w:lang w:val="ro-RO"/>
              </w:rPr>
              <w:t xml:space="preserve"> , NO, CO, O</w:t>
            </w:r>
            <w:r w:rsidRPr="00E230D0">
              <w:rPr>
                <w:rFonts w:ascii="Arial" w:eastAsia="Times New Roman" w:hAnsi="Arial" w:cs="Arial"/>
                <w:vertAlign w:val="subscript"/>
                <w:lang w:val="ro-RO"/>
              </w:rPr>
              <w:t>3</w:t>
            </w:r>
            <w:r w:rsidRPr="00E230D0">
              <w:rPr>
                <w:rFonts w:ascii="Arial" w:eastAsia="Times New Roman" w:hAnsi="Arial" w:cs="Arial"/>
                <w:lang w:val="ro-RO"/>
              </w:rPr>
              <w:t>,  BTX, PM</w:t>
            </w:r>
            <w:r w:rsidRPr="00E230D0">
              <w:rPr>
                <w:rFonts w:ascii="Arial" w:eastAsia="Times New Roman" w:hAnsi="Arial" w:cs="Arial"/>
                <w:vertAlign w:val="subscript"/>
                <w:lang w:val="ro-RO"/>
              </w:rPr>
              <w:t>10</w:t>
            </w:r>
          </w:p>
        </w:tc>
      </w:tr>
    </w:tbl>
    <w:p w14:paraId="302755E4" w14:textId="77777777" w:rsidR="00E230D0" w:rsidRPr="00E230D0" w:rsidRDefault="00E230D0" w:rsidP="00E230D0">
      <w:pPr>
        <w:suppressAutoHyphens/>
        <w:autoSpaceDE w:val="0"/>
        <w:spacing w:after="0" w:line="360" w:lineRule="auto"/>
        <w:rPr>
          <w:rFonts w:ascii="Arial" w:eastAsia="Calibri" w:hAnsi="Arial" w:cs="Arial"/>
          <w:color w:val="000000"/>
          <w:sz w:val="24"/>
          <w:szCs w:val="24"/>
          <w:lang w:val="es-ES" w:eastAsia="zh-CN"/>
        </w:rPr>
      </w:pPr>
    </w:p>
    <w:p w14:paraId="7016CC0A" w14:textId="77777777" w:rsidR="00E230D0" w:rsidRPr="00E230D0" w:rsidRDefault="00E230D0" w:rsidP="00E230D0">
      <w:pPr>
        <w:spacing w:after="0" w:line="276" w:lineRule="auto"/>
        <w:jc w:val="both"/>
        <w:rPr>
          <w:rFonts w:ascii="Arial" w:eastAsia="Times New Roman" w:hAnsi="Arial" w:cs="Arial"/>
          <w:lang w:val="fr-FR"/>
        </w:rPr>
      </w:pPr>
      <w:r w:rsidRPr="00E230D0">
        <w:rPr>
          <w:rFonts w:ascii="Arial" w:eastAsia="Times New Roman" w:hAnsi="Arial" w:cs="Arial"/>
          <w:lang w:val="ro-RO"/>
        </w:rPr>
        <w:t xml:space="preserve">Poluanţii monitorizaţi, metodele de măsurare, valorile limită, pragurile de alertă şi de informare şi criteriile de amplasare a punctelor de monitorizare sunt stabilite de legislaţia naţională privind protecţia atmosferei şi sunt conforme cerinţelor prevăzute de reglementările europene. </w:t>
      </w:r>
      <w:r w:rsidRPr="00E230D0">
        <w:rPr>
          <w:rFonts w:ascii="Arial" w:eastAsia="Times New Roman" w:hAnsi="Arial" w:cs="Arial"/>
          <w:lang w:val="fr-FR"/>
        </w:rPr>
        <w:t xml:space="preserve">Datele furnizate de cele două staţii sunt colectate şi validate primar la centrul local din cadrul APM Vâlcea. </w:t>
      </w:r>
    </w:p>
    <w:p w14:paraId="359E8F06" w14:textId="77777777" w:rsidR="00E230D0" w:rsidRPr="00E230D0" w:rsidRDefault="00E230D0" w:rsidP="00E230D0">
      <w:pPr>
        <w:spacing w:after="0" w:line="276" w:lineRule="auto"/>
        <w:jc w:val="both"/>
        <w:rPr>
          <w:rFonts w:ascii="Arial" w:eastAsia="Times New Roman" w:hAnsi="Arial" w:cs="Arial"/>
          <w:lang w:val="fr-FR"/>
        </w:rPr>
      </w:pPr>
    </w:p>
    <w:p w14:paraId="1EE1A888" w14:textId="77777777" w:rsidR="00E230D0" w:rsidRPr="00E230D0" w:rsidRDefault="00E230D0" w:rsidP="00E230D0">
      <w:pPr>
        <w:spacing w:after="0" w:line="276" w:lineRule="auto"/>
        <w:jc w:val="both"/>
        <w:rPr>
          <w:rFonts w:ascii="Arial" w:eastAsia="Times New Roman" w:hAnsi="Arial" w:cs="Arial"/>
          <w:color w:val="000000"/>
          <w:lang w:val="fr-FR"/>
        </w:rPr>
      </w:pPr>
      <w:r w:rsidRPr="00E230D0">
        <w:rPr>
          <w:rFonts w:ascii="Arial" w:eastAsia="Times New Roman" w:hAnsi="Arial" w:cs="Arial"/>
          <w:lang w:val="fr-FR"/>
        </w:rPr>
        <w:t>Zilnic se calculează un indice general de calitate a aerului, pentru fiecare dintre staţiile automate de monitorizare,</w:t>
      </w:r>
      <w:r w:rsidRPr="00E230D0">
        <w:rPr>
          <w:rFonts w:ascii="Arial" w:eastAsia="Times New Roman" w:hAnsi="Arial" w:cs="Arial"/>
          <w:color w:val="000000"/>
          <w:lang w:val="fr-FR"/>
        </w:rPr>
        <w:t xml:space="preserve"> stabilit pe baza </w:t>
      </w:r>
      <w:r w:rsidRPr="00E230D0">
        <w:rPr>
          <w:rFonts w:ascii="Arial" w:eastAsia="Times New Roman" w:hAnsi="Arial" w:cs="Arial"/>
          <w:iCs/>
          <w:color w:val="000000"/>
          <w:lang w:val="fr-FR"/>
        </w:rPr>
        <w:t>indicilor specifici</w:t>
      </w:r>
      <w:r w:rsidRPr="00E230D0">
        <w:rPr>
          <w:rFonts w:ascii="Arial" w:eastAsia="Times New Roman" w:hAnsi="Arial" w:cs="Arial"/>
          <w:i/>
          <w:iCs/>
          <w:color w:val="000000"/>
          <w:lang w:val="fr-FR"/>
        </w:rPr>
        <w:t xml:space="preserve"> </w:t>
      </w:r>
      <w:r w:rsidRPr="00E230D0">
        <w:rPr>
          <w:rFonts w:ascii="Arial" w:eastAsia="Times New Roman" w:hAnsi="Arial" w:cs="Arial"/>
          <w:lang w:val="fr-FR"/>
        </w:rPr>
        <w:t>de c</w:t>
      </w:r>
      <w:r w:rsidRPr="00E230D0">
        <w:rPr>
          <w:rFonts w:ascii="Arial" w:eastAsia="Times New Roman" w:hAnsi="Arial" w:cs="Arial"/>
          <w:iCs/>
          <w:color w:val="000000"/>
          <w:lang w:val="fr-FR"/>
        </w:rPr>
        <w:t>alitate a aerului,</w:t>
      </w:r>
      <w:r w:rsidRPr="00E230D0">
        <w:rPr>
          <w:rFonts w:ascii="Arial" w:eastAsia="Times New Roman" w:hAnsi="Arial" w:cs="Arial"/>
          <w:i/>
          <w:iCs/>
          <w:color w:val="000000"/>
          <w:lang w:val="fr-FR"/>
        </w:rPr>
        <w:t xml:space="preserve"> </w:t>
      </w:r>
      <w:r w:rsidRPr="00E230D0">
        <w:rPr>
          <w:rFonts w:ascii="Arial" w:eastAsia="Times New Roman" w:hAnsi="Arial" w:cs="Arial"/>
          <w:color w:val="000000"/>
          <w:lang w:val="fr-FR"/>
        </w:rPr>
        <w:t xml:space="preserve">funcţie de concentraţiile </w:t>
      </w:r>
      <w:r w:rsidRPr="00E230D0">
        <w:rPr>
          <w:rFonts w:ascii="Arial" w:eastAsia="Times New Roman" w:hAnsi="Arial" w:cs="Arial"/>
          <w:color w:val="000000"/>
          <w:lang w:val="fr-FR"/>
        </w:rPr>
        <w:lastRenderedPageBreak/>
        <w:t xml:space="preserve">înregistrate pentru fiecare dintre poluanţi. Indicele general </w:t>
      </w:r>
      <w:r w:rsidRPr="00E230D0">
        <w:rPr>
          <w:rFonts w:ascii="Arial" w:eastAsia="Times New Roman" w:hAnsi="Arial" w:cs="Arial"/>
          <w:color w:val="000000"/>
          <w:lang w:val="ro-RO"/>
        </w:rPr>
        <w:t>ş</w:t>
      </w:r>
      <w:r w:rsidRPr="00E230D0">
        <w:rPr>
          <w:rFonts w:ascii="Arial" w:eastAsia="Times New Roman" w:hAnsi="Arial" w:cs="Arial"/>
          <w:color w:val="000000"/>
          <w:lang w:val="fr-FR"/>
        </w:rPr>
        <w:t>i indicii specifici sunt reprezentaţi prin numere întregi cuprinse între1 şi 6, mai precis pe o scară de la “excelent” la “foarte rău”.</w:t>
      </w:r>
    </w:p>
    <w:p w14:paraId="520B2A98" w14:textId="77777777" w:rsidR="00E230D0" w:rsidRPr="00E230D0" w:rsidRDefault="00E230D0" w:rsidP="00E230D0">
      <w:pPr>
        <w:spacing w:after="0" w:line="276" w:lineRule="auto"/>
        <w:jc w:val="both"/>
        <w:rPr>
          <w:rFonts w:ascii="Arial" w:eastAsia="Times New Roman" w:hAnsi="Arial" w:cs="Arial"/>
          <w:color w:val="000000"/>
          <w:lang w:val="fr-FR"/>
        </w:rPr>
      </w:pPr>
    </w:p>
    <w:p w14:paraId="116DE41C" w14:textId="77777777" w:rsidR="00E230D0" w:rsidRPr="00E230D0" w:rsidRDefault="00E230D0" w:rsidP="00E230D0">
      <w:pPr>
        <w:shd w:val="clear" w:color="auto" w:fill="FFFFFF"/>
        <w:spacing w:after="0" w:line="276" w:lineRule="auto"/>
        <w:jc w:val="center"/>
        <w:rPr>
          <w:rFonts w:ascii="Arial" w:hAnsi="Arial" w:cs="Arial"/>
          <w:b/>
          <w:sz w:val="20"/>
          <w:szCs w:val="20"/>
          <w:lang w:val="fr-FR"/>
        </w:rPr>
      </w:pPr>
      <w:r w:rsidRPr="00E230D0">
        <w:rPr>
          <w:rFonts w:ascii="Arial" w:hAnsi="Arial" w:cs="Arial"/>
          <w:b/>
          <w:sz w:val="20"/>
          <w:szCs w:val="20"/>
          <w:lang w:val="fr-FR"/>
        </w:rPr>
        <w:t>Buletin pentru informarea publicului</w:t>
      </w:r>
    </w:p>
    <w:p w14:paraId="3FD4C650" w14:textId="77777777" w:rsidR="00E230D0" w:rsidRPr="00E230D0" w:rsidRDefault="00E230D0" w:rsidP="00E230D0">
      <w:pPr>
        <w:shd w:val="clear" w:color="auto" w:fill="FFFFFF"/>
        <w:spacing w:after="0" w:line="276" w:lineRule="auto"/>
        <w:jc w:val="center"/>
        <w:rPr>
          <w:rFonts w:ascii="Arial" w:eastAsia="Times New Roman" w:hAnsi="Arial" w:cs="Arial"/>
          <w:color w:val="000000"/>
          <w:sz w:val="20"/>
          <w:szCs w:val="20"/>
          <w:lang w:val="fr-FR"/>
        </w:rPr>
      </w:pPr>
      <w:r w:rsidRPr="00E230D0">
        <w:rPr>
          <w:rFonts w:ascii="Arial" w:hAnsi="Arial" w:cs="Arial"/>
          <w:b/>
          <w:sz w:val="20"/>
          <w:szCs w:val="20"/>
          <w:lang w:val="fr-FR"/>
        </w:rPr>
        <w:t xml:space="preserve"> cu privire la calitatea aerului în judetul V</w:t>
      </w:r>
      <w:r>
        <w:rPr>
          <w:rFonts w:ascii="Arial" w:hAnsi="Arial" w:cs="Arial"/>
          <w:b/>
          <w:sz w:val="20"/>
          <w:szCs w:val="20"/>
          <w:lang w:val="fr-FR"/>
        </w:rPr>
        <w:t>Â</w:t>
      </w:r>
      <w:r w:rsidRPr="00E230D0">
        <w:rPr>
          <w:rFonts w:ascii="Arial" w:hAnsi="Arial" w:cs="Arial"/>
          <w:b/>
          <w:sz w:val="20"/>
          <w:szCs w:val="20"/>
          <w:lang w:val="fr-FR"/>
        </w:rPr>
        <w:t xml:space="preserve">LCEA </w:t>
      </w:r>
    </w:p>
    <w:p w14:paraId="60C8B11E" w14:textId="77777777" w:rsidR="00E230D0" w:rsidRPr="00E230D0" w:rsidRDefault="00E230D0" w:rsidP="00E230D0">
      <w:pPr>
        <w:spacing w:after="0" w:line="276" w:lineRule="auto"/>
        <w:ind w:firstLine="720"/>
        <w:jc w:val="both"/>
        <w:rPr>
          <w:rFonts w:ascii="Arial" w:eastAsia="Times New Roman" w:hAnsi="Arial" w:cs="Arial"/>
          <w:color w:val="000000"/>
          <w:lang w:val="fr-FR"/>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425"/>
        <w:gridCol w:w="425"/>
        <w:gridCol w:w="1252"/>
        <w:gridCol w:w="1252"/>
        <w:gridCol w:w="1252"/>
        <w:gridCol w:w="1252"/>
        <w:gridCol w:w="1252"/>
        <w:gridCol w:w="1253"/>
        <w:gridCol w:w="709"/>
      </w:tblGrid>
      <w:tr w:rsidR="00E230D0" w:rsidRPr="00E230D0" w14:paraId="498149A8" w14:textId="77777777" w:rsidTr="00931C3B">
        <w:trPr>
          <w:trHeight w:val="140"/>
          <w:jc w:val="center"/>
        </w:trPr>
        <w:tc>
          <w:tcPr>
            <w:tcW w:w="426" w:type="dxa"/>
            <w:vMerge w:val="restart"/>
            <w:textDirection w:val="btLr"/>
          </w:tcPr>
          <w:p w14:paraId="0E3FC5BC" w14:textId="77777777" w:rsidR="00E230D0" w:rsidRPr="00E230D0" w:rsidRDefault="00E230D0" w:rsidP="00E230D0">
            <w:pPr>
              <w:spacing w:after="0" w:line="276" w:lineRule="auto"/>
              <w:ind w:left="113" w:right="113"/>
              <w:jc w:val="center"/>
              <w:rPr>
                <w:rFonts w:ascii="Arial" w:hAnsi="Arial" w:cs="Arial"/>
                <w:b/>
                <w:sz w:val="20"/>
                <w:szCs w:val="20"/>
              </w:rPr>
            </w:pPr>
            <w:r w:rsidRPr="00E230D0">
              <w:rPr>
                <w:rFonts w:ascii="Arial" w:hAnsi="Arial" w:cs="Arial"/>
                <w:b/>
                <w:sz w:val="20"/>
                <w:szCs w:val="20"/>
              </w:rPr>
              <w:t>Nr. Crt.</w:t>
            </w:r>
          </w:p>
        </w:tc>
        <w:tc>
          <w:tcPr>
            <w:tcW w:w="425" w:type="dxa"/>
            <w:vMerge w:val="restart"/>
            <w:textDirection w:val="btLr"/>
          </w:tcPr>
          <w:p w14:paraId="3F917E1C" w14:textId="77777777" w:rsidR="00E230D0" w:rsidRPr="00E230D0" w:rsidRDefault="00E230D0" w:rsidP="00E230D0">
            <w:pPr>
              <w:spacing w:after="0" w:line="276" w:lineRule="auto"/>
              <w:ind w:left="113" w:right="113"/>
              <w:jc w:val="center"/>
              <w:rPr>
                <w:rFonts w:ascii="Arial" w:hAnsi="Arial" w:cs="Arial"/>
                <w:b/>
                <w:sz w:val="20"/>
                <w:szCs w:val="20"/>
              </w:rPr>
            </w:pPr>
            <w:r w:rsidRPr="00E230D0">
              <w:rPr>
                <w:rFonts w:ascii="Arial" w:hAnsi="Arial" w:cs="Arial"/>
                <w:b/>
                <w:sz w:val="20"/>
                <w:szCs w:val="20"/>
              </w:rPr>
              <w:t>Cod statie</w:t>
            </w:r>
          </w:p>
        </w:tc>
        <w:tc>
          <w:tcPr>
            <w:tcW w:w="425" w:type="dxa"/>
            <w:vMerge w:val="restart"/>
            <w:textDirection w:val="btLr"/>
          </w:tcPr>
          <w:p w14:paraId="4B9FD695" w14:textId="77777777" w:rsidR="00E230D0" w:rsidRPr="00E230D0" w:rsidRDefault="00E230D0" w:rsidP="00E230D0">
            <w:pPr>
              <w:spacing w:after="0" w:line="276" w:lineRule="auto"/>
              <w:ind w:left="113" w:right="113"/>
              <w:jc w:val="center"/>
              <w:rPr>
                <w:rFonts w:ascii="Arial" w:hAnsi="Arial" w:cs="Arial"/>
                <w:b/>
                <w:sz w:val="20"/>
                <w:szCs w:val="20"/>
              </w:rPr>
            </w:pPr>
            <w:r w:rsidRPr="00E230D0">
              <w:rPr>
                <w:rFonts w:ascii="Arial" w:hAnsi="Arial" w:cs="Arial"/>
                <w:b/>
                <w:sz w:val="20"/>
                <w:szCs w:val="20"/>
              </w:rPr>
              <w:t>Zona</w:t>
            </w:r>
          </w:p>
        </w:tc>
        <w:tc>
          <w:tcPr>
            <w:tcW w:w="7513" w:type="dxa"/>
            <w:gridSpan w:val="6"/>
          </w:tcPr>
          <w:p w14:paraId="4DF7E6DF" w14:textId="77777777" w:rsidR="00E230D0" w:rsidRPr="00E230D0" w:rsidRDefault="00E230D0" w:rsidP="00E230D0">
            <w:pPr>
              <w:spacing w:after="0" w:line="276" w:lineRule="auto"/>
              <w:jc w:val="center"/>
              <w:rPr>
                <w:rFonts w:ascii="Arial" w:hAnsi="Arial" w:cs="Arial"/>
                <w:b/>
                <w:sz w:val="20"/>
                <w:szCs w:val="20"/>
              </w:rPr>
            </w:pPr>
            <w:r w:rsidRPr="00E230D0">
              <w:rPr>
                <w:rFonts w:ascii="Arial" w:hAnsi="Arial" w:cs="Arial"/>
                <w:b/>
                <w:sz w:val="20"/>
                <w:szCs w:val="20"/>
              </w:rPr>
              <w:t xml:space="preserve">Indice general de </w:t>
            </w:r>
          </w:p>
          <w:p w14:paraId="3A60E38F" w14:textId="77777777" w:rsidR="00E230D0" w:rsidRPr="00E230D0" w:rsidRDefault="00E230D0" w:rsidP="00E230D0">
            <w:pPr>
              <w:spacing w:after="0" w:line="276" w:lineRule="auto"/>
              <w:jc w:val="center"/>
              <w:rPr>
                <w:rFonts w:ascii="Arial" w:hAnsi="Arial" w:cs="Arial"/>
                <w:b/>
                <w:sz w:val="20"/>
                <w:szCs w:val="20"/>
              </w:rPr>
            </w:pPr>
            <w:r w:rsidRPr="00E230D0">
              <w:rPr>
                <w:rFonts w:ascii="Arial" w:hAnsi="Arial" w:cs="Arial"/>
                <w:b/>
                <w:sz w:val="20"/>
                <w:szCs w:val="20"/>
              </w:rPr>
              <w:t xml:space="preserve">calitatea aerului </w:t>
            </w:r>
          </w:p>
        </w:tc>
        <w:tc>
          <w:tcPr>
            <w:tcW w:w="709" w:type="dxa"/>
          </w:tcPr>
          <w:p w14:paraId="3206CA07" w14:textId="77777777" w:rsidR="00E230D0" w:rsidRPr="00E230D0" w:rsidRDefault="00E230D0" w:rsidP="00E230D0">
            <w:pPr>
              <w:spacing w:after="0" w:line="276" w:lineRule="auto"/>
              <w:jc w:val="center"/>
              <w:rPr>
                <w:rFonts w:ascii="Arial" w:hAnsi="Arial" w:cs="Arial"/>
                <w:b/>
                <w:sz w:val="20"/>
                <w:szCs w:val="20"/>
              </w:rPr>
            </w:pPr>
            <w:r w:rsidRPr="00E230D0">
              <w:rPr>
                <w:rFonts w:ascii="Arial" w:hAnsi="Arial" w:cs="Arial"/>
                <w:b/>
                <w:sz w:val="20"/>
                <w:szCs w:val="20"/>
              </w:rPr>
              <w:t>Obs.</w:t>
            </w:r>
          </w:p>
        </w:tc>
      </w:tr>
      <w:tr w:rsidR="00E230D0" w:rsidRPr="00E230D0" w14:paraId="4F822271" w14:textId="77777777" w:rsidTr="00931C3B">
        <w:trPr>
          <w:trHeight w:val="858"/>
          <w:jc w:val="center"/>
        </w:trPr>
        <w:tc>
          <w:tcPr>
            <w:tcW w:w="426" w:type="dxa"/>
            <w:vMerge/>
          </w:tcPr>
          <w:p w14:paraId="7FF38712" w14:textId="77777777" w:rsidR="00E230D0" w:rsidRPr="00E230D0" w:rsidRDefault="00E230D0" w:rsidP="00E230D0">
            <w:pPr>
              <w:spacing w:after="0" w:line="276" w:lineRule="auto"/>
              <w:rPr>
                <w:rFonts w:ascii="Arial" w:hAnsi="Arial" w:cs="Arial"/>
                <w:b/>
                <w:sz w:val="20"/>
                <w:szCs w:val="20"/>
              </w:rPr>
            </w:pPr>
          </w:p>
        </w:tc>
        <w:tc>
          <w:tcPr>
            <w:tcW w:w="425" w:type="dxa"/>
            <w:vMerge/>
          </w:tcPr>
          <w:p w14:paraId="3C91C3F6" w14:textId="77777777" w:rsidR="00E230D0" w:rsidRPr="00E230D0" w:rsidRDefault="00E230D0" w:rsidP="00E230D0">
            <w:pPr>
              <w:spacing w:after="0" w:line="276" w:lineRule="auto"/>
              <w:rPr>
                <w:rFonts w:ascii="Arial" w:hAnsi="Arial" w:cs="Arial"/>
                <w:b/>
                <w:sz w:val="20"/>
                <w:szCs w:val="20"/>
              </w:rPr>
            </w:pPr>
          </w:p>
        </w:tc>
        <w:tc>
          <w:tcPr>
            <w:tcW w:w="425" w:type="dxa"/>
            <w:vMerge/>
          </w:tcPr>
          <w:p w14:paraId="3F17891D" w14:textId="77777777" w:rsidR="00E230D0" w:rsidRPr="00E230D0" w:rsidRDefault="00E230D0" w:rsidP="00E230D0">
            <w:pPr>
              <w:spacing w:after="0" w:line="276" w:lineRule="auto"/>
              <w:rPr>
                <w:rFonts w:ascii="Arial" w:hAnsi="Arial" w:cs="Arial"/>
                <w:b/>
                <w:sz w:val="20"/>
                <w:szCs w:val="20"/>
              </w:rPr>
            </w:pPr>
          </w:p>
        </w:tc>
        <w:tc>
          <w:tcPr>
            <w:tcW w:w="1252" w:type="dxa"/>
            <w:shd w:val="clear" w:color="auto" w:fill="00760E"/>
            <w:vAlign w:val="center"/>
          </w:tcPr>
          <w:p w14:paraId="04F3E1B9"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1</w:t>
            </w:r>
          </w:p>
          <w:p w14:paraId="1B2734ED"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EXCELENT</w:t>
            </w:r>
          </w:p>
        </w:tc>
        <w:tc>
          <w:tcPr>
            <w:tcW w:w="1252" w:type="dxa"/>
            <w:shd w:val="clear" w:color="auto" w:fill="009900"/>
            <w:vAlign w:val="center"/>
          </w:tcPr>
          <w:p w14:paraId="4A261CD9"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2</w:t>
            </w:r>
          </w:p>
          <w:p w14:paraId="332D85E0"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FOARTE</w:t>
            </w:r>
          </w:p>
          <w:p w14:paraId="7475C26E"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BUN</w:t>
            </w:r>
          </w:p>
        </w:tc>
        <w:tc>
          <w:tcPr>
            <w:tcW w:w="1252" w:type="dxa"/>
            <w:shd w:val="clear" w:color="auto" w:fill="92D050"/>
            <w:vAlign w:val="center"/>
          </w:tcPr>
          <w:p w14:paraId="64B0F0EB"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3</w:t>
            </w:r>
          </w:p>
          <w:p w14:paraId="7317440E"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BUN</w:t>
            </w:r>
          </w:p>
        </w:tc>
        <w:tc>
          <w:tcPr>
            <w:tcW w:w="1252" w:type="dxa"/>
            <w:shd w:val="clear" w:color="auto" w:fill="FBE06B"/>
            <w:vAlign w:val="center"/>
          </w:tcPr>
          <w:p w14:paraId="5E9AC160"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4</w:t>
            </w:r>
          </w:p>
          <w:p w14:paraId="71F9561D"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MEDIU</w:t>
            </w:r>
          </w:p>
        </w:tc>
        <w:tc>
          <w:tcPr>
            <w:tcW w:w="1252" w:type="dxa"/>
            <w:shd w:val="clear" w:color="auto" w:fill="DA6710"/>
            <w:vAlign w:val="center"/>
          </w:tcPr>
          <w:p w14:paraId="0569995D"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5</w:t>
            </w:r>
          </w:p>
          <w:p w14:paraId="3F2D3DF5"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RĂU</w:t>
            </w:r>
          </w:p>
        </w:tc>
        <w:tc>
          <w:tcPr>
            <w:tcW w:w="1253" w:type="dxa"/>
            <w:shd w:val="clear" w:color="auto" w:fill="B52144"/>
            <w:vAlign w:val="center"/>
          </w:tcPr>
          <w:p w14:paraId="45AEAA2F"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6</w:t>
            </w:r>
          </w:p>
          <w:p w14:paraId="58C3A02B" w14:textId="77777777" w:rsidR="00E230D0" w:rsidRPr="00E230D0" w:rsidRDefault="00E230D0" w:rsidP="00E230D0">
            <w:pPr>
              <w:spacing w:after="0" w:line="276" w:lineRule="auto"/>
              <w:jc w:val="center"/>
              <w:rPr>
                <w:rFonts w:ascii="Arial" w:hAnsi="Arial" w:cs="Arial"/>
                <w:b/>
                <w:sz w:val="18"/>
                <w:szCs w:val="18"/>
              </w:rPr>
            </w:pPr>
            <w:r w:rsidRPr="00E230D0">
              <w:rPr>
                <w:rFonts w:ascii="Arial" w:hAnsi="Arial" w:cs="Arial"/>
                <w:b/>
                <w:sz w:val="18"/>
                <w:szCs w:val="18"/>
              </w:rPr>
              <w:t>FOARTE RĂU</w:t>
            </w:r>
          </w:p>
        </w:tc>
        <w:tc>
          <w:tcPr>
            <w:tcW w:w="709" w:type="dxa"/>
            <w:shd w:val="clear" w:color="auto" w:fill="FFFFFF"/>
          </w:tcPr>
          <w:p w14:paraId="63E47C51" w14:textId="77777777" w:rsidR="00E230D0" w:rsidRPr="00E230D0" w:rsidRDefault="00E230D0" w:rsidP="00E230D0">
            <w:pPr>
              <w:spacing w:after="0" w:line="276" w:lineRule="auto"/>
              <w:jc w:val="center"/>
              <w:rPr>
                <w:rFonts w:ascii="Arial" w:hAnsi="Arial" w:cs="Arial"/>
                <w:b/>
                <w:sz w:val="20"/>
                <w:szCs w:val="20"/>
              </w:rPr>
            </w:pPr>
            <w:r w:rsidRPr="00E230D0">
              <w:rPr>
                <w:rFonts w:ascii="Arial" w:hAnsi="Arial" w:cs="Arial"/>
                <w:b/>
                <w:sz w:val="20"/>
                <w:szCs w:val="20"/>
              </w:rPr>
              <w:t xml:space="preserve"> </w:t>
            </w:r>
          </w:p>
        </w:tc>
      </w:tr>
    </w:tbl>
    <w:p w14:paraId="4E701BEC" w14:textId="77777777" w:rsidR="00E230D0" w:rsidRPr="00E230D0" w:rsidRDefault="00E230D0" w:rsidP="00E230D0">
      <w:pPr>
        <w:spacing w:after="0" w:line="276" w:lineRule="auto"/>
        <w:ind w:firstLine="720"/>
        <w:jc w:val="both"/>
        <w:rPr>
          <w:rFonts w:ascii="Arial" w:eastAsia="Times New Roman" w:hAnsi="Arial" w:cs="Arial"/>
          <w:color w:val="000000"/>
        </w:rPr>
      </w:pPr>
    </w:p>
    <w:p w14:paraId="3DEC0287" w14:textId="77777777" w:rsidR="00E230D0" w:rsidRPr="00E230D0" w:rsidRDefault="00E230D0" w:rsidP="00E230D0">
      <w:pPr>
        <w:spacing w:after="0" w:line="276" w:lineRule="auto"/>
        <w:ind w:firstLine="720"/>
        <w:jc w:val="both"/>
        <w:rPr>
          <w:rFonts w:ascii="Arial" w:eastAsia="Times New Roman" w:hAnsi="Arial" w:cs="Arial"/>
          <w:color w:val="000000"/>
        </w:rPr>
      </w:pPr>
    </w:p>
    <w:p w14:paraId="2229CE0F" w14:textId="77777777" w:rsidR="00E230D0" w:rsidRPr="00E230D0" w:rsidRDefault="00E230D0" w:rsidP="00E230D0">
      <w:pPr>
        <w:spacing w:after="0" w:line="276" w:lineRule="auto"/>
        <w:jc w:val="both"/>
        <w:rPr>
          <w:rFonts w:ascii="Arial" w:eastAsia="Times New Roman" w:hAnsi="Arial" w:cs="Arial"/>
          <w:lang w:val="fr-FR"/>
        </w:rPr>
      </w:pPr>
      <w:r w:rsidRPr="00E230D0">
        <w:rPr>
          <w:rFonts w:ascii="Arial" w:eastAsia="Times New Roman" w:hAnsi="Arial" w:cs="Arial"/>
          <w:color w:val="000000"/>
          <w:lang w:val="fr-FR"/>
        </w:rPr>
        <w:t>Indicii sunt</w:t>
      </w:r>
      <w:r w:rsidRPr="00E230D0">
        <w:rPr>
          <w:rFonts w:ascii="Arial" w:eastAsia="Times New Roman" w:hAnsi="Arial" w:cs="Arial"/>
          <w:lang w:val="fr-FR"/>
        </w:rPr>
        <w:t xml:space="preserve"> afişaţi din oră în oră pe panoul de informare a publicului amplasat în centrul municipiului. Datele validate sunt transmise spre certificare Centrului de Evaluare a Calităţii Aerului din cadrul ANPM Bucureşti.</w:t>
      </w:r>
    </w:p>
    <w:p w14:paraId="38D2E732" w14:textId="77777777" w:rsidR="00B86AB7" w:rsidRDefault="00B86AB7" w:rsidP="007861B3">
      <w:pPr>
        <w:suppressAutoHyphens/>
        <w:autoSpaceDE w:val="0"/>
        <w:spacing w:after="0" w:line="276" w:lineRule="auto"/>
        <w:jc w:val="both"/>
        <w:rPr>
          <w:rFonts w:ascii="Arial" w:eastAsia="Calibri" w:hAnsi="Arial" w:cs="Arial"/>
          <w:color w:val="000000"/>
          <w:lang w:val="es-ES" w:eastAsia="zh-CN"/>
        </w:rPr>
      </w:pPr>
    </w:p>
    <w:p w14:paraId="0DFC4986" w14:textId="77777777" w:rsidR="00337AAA" w:rsidRPr="00337AAA" w:rsidRDefault="00337AAA" w:rsidP="007861B3">
      <w:pPr>
        <w:suppressAutoHyphens/>
        <w:autoSpaceDE w:val="0"/>
        <w:spacing w:after="0" w:line="276" w:lineRule="auto"/>
        <w:jc w:val="both"/>
        <w:rPr>
          <w:rFonts w:ascii="Arial" w:eastAsia="Arial" w:hAnsi="Arial" w:cs="Arial"/>
          <w:color w:val="000000"/>
          <w:lang w:val="es-ES" w:eastAsia="zh-CN"/>
        </w:rPr>
      </w:pPr>
      <w:r w:rsidRPr="00337AAA">
        <w:rPr>
          <w:rFonts w:ascii="Arial" w:eastAsia="Calibri" w:hAnsi="Arial" w:cs="Arial"/>
          <w:color w:val="000000"/>
          <w:lang w:val="es-ES" w:eastAsia="zh-CN"/>
        </w:rPr>
        <w:t xml:space="preserve">Coroborarea acestor zone de mediu cu o serie de clasificări ale traficului conduce la detalierea necesară identificării contribuţiei componentei transport în ansamblul factorilor poluanţi. Criteriile de amplasare a zonelor de mediu </w:t>
      </w:r>
      <w:r w:rsidRPr="00337AAA">
        <w:rPr>
          <w:rFonts w:ascii="Arial" w:eastAsia="Calibri" w:hAnsi="Arial" w:cs="Arial"/>
          <w:b/>
          <w:color w:val="000000"/>
          <w:lang w:val="es-ES" w:eastAsia="zh-CN"/>
        </w:rPr>
        <w:t xml:space="preserve">recomandate </w:t>
      </w:r>
      <w:r w:rsidRPr="00337AAA">
        <w:rPr>
          <w:rFonts w:ascii="Arial" w:eastAsia="Calibri" w:hAnsi="Arial" w:cs="Arial"/>
          <w:color w:val="000000"/>
          <w:lang w:val="es-ES" w:eastAsia="zh-CN"/>
        </w:rPr>
        <w:t xml:space="preserve">pentru măsurători sunt: </w:t>
      </w:r>
    </w:p>
    <w:p w14:paraId="229D63C9" w14:textId="77777777" w:rsidR="00337AAA" w:rsidRPr="00337AAA" w:rsidRDefault="00337AAA" w:rsidP="000C6CB8">
      <w:pPr>
        <w:numPr>
          <w:ilvl w:val="0"/>
          <w:numId w:val="151"/>
        </w:num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 xml:space="preserve">după tipul arterei/străzii: </w:t>
      </w:r>
    </w:p>
    <w:p w14:paraId="0B09E226" w14:textId="77777777" w:rsidR="00337AAA" w:rsidRPr="00337AAA" w:rsidRDefault="00337AAA" w:rsidP="007861B3">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ab/>
        <w:t xml:space="preserve">- largă; </w:t>
      </w:r>
    </w:p>
    <w:p w14:paraId="15359443" w14:textId="77777777" w:rsidR="00337AAA" w:rsidRPr="00337AAA" w:rsidRDefault="00337AAA" w:rsidP="007861B3">
      <w:pPr>
        <w:suppressAutoHyphens/>
        <w:autoSpaceDE w:val="0"/>
        <w:spacing w:after="0" w:line="276" w:lineRule="auto"/>
        <w:rPr>
          <w:rFonts w:ascii="Arial" w:eastAsia="Arial" w:hAnsi="Arial" w:cs="Arial"/>
          <w:color w:val="000000"/>
          <w:lang w:val="es-ES" w:eastAsia="zh-CN"/>
        </w:rPr>
      </w:pPr>
      <w:r w:rsidRPr="00337AAA">
        <w:rPr>
          <w:rFonts w:ascii="Arial" w:eastAsia="Calibri" w:hAnsi="Arial" w:cs="Arial"/>
          <w:color w:val="000000"/>
          <w:lang w:val="es-ES" w:eastAsia="zh-CN"/>
        </w:rPr>
        <w:tab/>
        <w:t xml:space="preserve">- tip canion; </w:t>
      </w:r>
    </w:p>
    <w:p w14:paraId="43859A9E" w14:textId="77777777" w:rsidR="00337AAA" w:rsidRPr="00337AAA" w:rsidRDefault="00337AAA" w:rsidP="000C6CB8">
      <w:pPr>
        <w:numPr>
          <w:ilvl w:val="0"/>
          <w:numId w:val="151"/>
        </w:num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 xml:space="preserve">după volumul traficului: </w:t>
      </w:r>
    </w:p>
    <w:p w14:paraId="778975CA" w14:textId="77777777" w:rsidR="00337AAA" w:rsidRPr="00337AAA" w:rsidRDefault="00337AAA" w:rsidP="007861B3">
      <w:pPr>
        <w:suppressAutoHyphens/>
        <w:autoSpaceDE w:val="0"/>
        <w:spacing w:after="0" w:line="276" w:lineRule="auto"/>
        <w:rPr>
          <w:rFonts w:ascii="Arial" w:eastAsia="Calibri" w:hAnsi="Arial" w:cs="Arial"/>
          <w:color w:val="000000"/>
          <w:lang w:eastAsia="zh-CN"/>
        </w:rPr>
      </w:pPr>
      <w:r w:rsidRPr="00337AAA">
        <w:rPr>
          <w:rFonts w:ascii="Arial" w:eastAsia="Calibri" w:hAnsi="Arial" w:cs="Arial"/>
          <w:color w:val="000000"/>
          <w:lang w:val="es-ES" w:eastAsia="zh-CN"/>
        </w:rPr>
        <w:tab/>
      </w:r>
      <w:r w:rsidRPr="00337AAA">
        <w:rPr>
          <w:rFonts w:ascii="Arial" w:eastAsia="Calibri" w:hAnsi="Arial" w:cs="Arial"/>
          <w:color w:val="000000"/>
          <w:lang w:eastAsia="zh-CN"/>
        </w:rPr>
        <w:t xml:space="preserve">- mic: &lt;10000 veh/24 h; </w:t>
      </w:r>
    </w:p>
    <w:p w14:paraId="6F78B0C7" w14:textId="77777777" w:rsidR="00337AAA" w:rsidRPr="00337AAA" w:rsidRDefault="00337AAA" w:rsidP="007861B3">
      <w:pPr>
        <w:suppressAutoHyphens/>
        <w:autoSpaceDE w:val="0"/>
        <w:spacing w:after="0" w:line="276" w:lineRule="auto"/>
        <w:rPr>
          <w:rFonts w:ascii="Arial" w:eastAsia="Arial" w:hAnsi="Arial" w:cs="Arial"/>
          <w:color w:val="000000"/>
          <w:lang w:eastAsia="zh-CN"/>
        </w:rPr>
      </w:pPr>
      <w:r w:rsidRPr="00337AAA">
        <w:rPr>
          <w:rFonts w:ascii="Arial" w:eastAsia="Calibri" w:hAnsi="Arial" w:cs="Arial"/>
          <w:color w:val="000000"/>
          <w:lang w:eastAsia="zh-CN"/>
        </w:rPr>
        <w:tab/>
        <w:t xml:space="preserve">- intens: &gt; 10000 veh/24 h; </w:t>
      </w:r>
    </w:p>
    <w:p w14:paraId="0422BFCD" w14:textId="77777777" w:rsidR="00337AAA" w:rsidRPr="00337AAA" w:rsidRDefault="00337AAA" w:rsidP="000C6CB8">
      <w:pPr>
        <w:numPr>
          <w:ilvl w:val="0"/>
          <w:numId w:val="151"/>
        </w:num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 xml:space="preserve">după viteza de trafic: </w:t>
      </w:r>
    </w:p>
    <w:p w14:paraId="4424D88A" w14:textId="77777777" w:rsidR="00337AAA" w:rsidRPr="00337AAA" w:rsidRDefault="00337AAA" w:rsidP="007861B3">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ab/>
        <w:t xml:space="preserve">- viteza mică &lt; 30 km/h; </w:t>
      </w:r>
    </w:p>
    <w:p w14:paraId="54940165" w14:textId="77777777" w:rsidR="00337AAA" w:rsidRPr="00337AAA" w:rsidRDefault="00337AAA" w:rsidP="007861B3">
      <w:pPr>
        <w:suppressAutoHyphens/>
        <w:autoSpaceDE w:val="0"/>
        <w:spacing w:after="0" w:line="276" w:lineRule="auto"/>
        <w:rPr>
          <w:rFonts w:ascii="Arial" w:eastAsia="Calibri" w:hAnsi="Arial" w:cs="Arial"/>
          <w:color w:val="000000"/>
          <w:lang w:val="es-ES" w:eastAsia="zh-CN"/>
        </w:rPr>
      </w:pPr>
      <w:r w:rsidRPr="00337AAA">
        <w:rPr>
          <w:rFonts w:ascii="Arial" w:eastAsia="Calibri" w:hAnsi="Arial" w:cs="Arial"/>
          <w:color w:val="000000"/>
          <w:lang w:val="es-ES" w:eastAsia="zh-CN"/>
        </w:rPr>
        <w:tab/>
        <w:t xml:space="preserve">- viteza medie 30-60 km/h. </w:t>
      </w:r>
    </w:p>
    <w:p w14:paraId="4D0662AC"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0904384E" w14:textId="77777777" w:rsidR="00337AAA" w:rsidRPr="00337AAA" w:rsidRDefault="00337AAA" w:rsidP="00337AAA">
      <w:pPr>
        <w:suppressAutoHyphens/>
        <w:autoSpaceDE w:val="0"/>
        <w:spacing w:after="0" w:line="276" w:lineRule="auto"/>
        <w:jc w:val="both"/>
        <w:rPr>
          <w:rFonts w:ascii="Arial" w:eastAsia="Calibri" w:hAnsi="Arial" w:cs="Arial"/>
          <w:i/>
          <w:iCs/>
          <w:color w:val="000000"/>
          <w:lang w:val="es-ES" w:eastAsia="zh-CN"/>
        </w:rPr>
      </w:pPr>
      <w:r w:rsidRPr="00337AAA">
        <w:rPr>
          <w:rFonts w:ascii="Arial" w:eastAsia="Calibri" w:hAnsi="Arial" w:cs="Arial"/>
          <w:b/>
          <w:i/>
          <w:iCs/>
          <w:color w:val="000000"/>
          <w:lang w:val="es-ES" w:eastAsia="zh-CN"/>
        </w:rPr>
        <w:t xml:space="preserve">Concluzii pe baza nivelelor de poluare măsurate </w:t>
      </w:r>
    </w:p>
    <w:p w14:paraId="01F0B752" w14:textId="77777777" w:rsidR="007861B3" w:rsidRPr="007861B3" w:rsidRDefault="007861B3" w:rsidP="007861B3">
      <w:pPr>
        <w:suppressAutoHyphens/>
        <w:autoSpaceDE w:val="0"/>
        <w:spacing w:after="0" w:line="276" w:lineRule="auto"/>
        <w:jc w:val="both"/>
        <w:rPr>
          <w:rFonts w:ascii="Arial" w:eastAsia="Calibri" w:hAnsi="Arial" w:cs="Arial"/>
          <w:color w:val="000000"/>
          <w:lang w:val="es-ES" w:eastAsia="zh-CN"/>
        </w:rPr>
      </w:pPr>
      <w:r w:rsidRPr="007861B3">
        <w:rPr>
          <w:rFonts w:ascii="Arial" w:eastAsia="Calibri" w:hAnsi="Arial" w:cs="Arial"/>
          <w:color w:val="000000"/>
          <w:lang w:val="es-ES" w:eastAsia="zh-CN"/>
        </w:rPr>
        <w:t>Traficul rutier reprezintă una din sursele majore de poluare a atmosferei specifice marilor aglomerări urbane, cu efecte severe asupra sănătăţii şi condiţiilor de viaţă ale populaţiei. Deoarece emisiile de poluanţi de la autovehicule au loc în apropierea solului impactul maxim al acestora asupra calităţii aerului are loc (exceptând axa căii) în proximitatea arterei de trafic la nivelul respiraţiei umane. Cele mai frecvente situaţii datorate traficului care conduc la afectarea sănătăţii populaţiei sunt expunerile pe termen scurt (de ordinul zecilor de minute) la concentraţii mari. Zonele centrale ale oraşului reprezintă zone tipice de impact asupra calităţii aerului pentru surse caracteristice perimetrelor urbane (traficul rutier, încălzirea rezidenţială proprie). De</w:t>
      </w:r>
      <w:r>
        <w:rPr>
          <w:rFonts w:ascii="Arial" w:eastAsia="Calibri" w:hAnsi="Arial" w:cs="Arial"/>
          <w:color w:val="000000"/>
          <w:lang w:val="es-ES" w:eastAsia="zh-CN"/>
        </w:rPr>
        <w:t>ș</w:t>
      </w:r>
      <w:r w:rsidRPr="007861B3">
        <w:rPr>
          <w:rFonts w:ascii="Arial" w:eastAsia="Calibri" w:hAnsi="Arial" w:cs="Arial"/>
          <w:color w:val="000000"/>
          <w:lang w:val="es-ES" w:eastAsia="zh-CN"/>
        </w:rPr>
        <w:t xml:space="preserve">i </w:t>
      </w:r>
      <w:r>
        <w:rPr>
          <w:rFonts w:ascii="Arial" w:eastAsia="Calibri" w:hAnsi="Arial" w:cs="Arial"/>
          <w:color w:val="000000"/>
          <w:lang w:val="es-ES" w:eastAsia="zh-CN"/>
        </w:rPr>
        <w:t>î</w:t>
      </w:r>
      <w:r w:rsidRPr="007861B3">
        <w:rPr>
          <w:rFonts w:ascii="Arial" w:eastAsia="Calibri" w:hAnsi="Arial" w:cs="Arial"/>
          <w:color w:val="000000"/>
          <w:lang w:val="es-ES" w:eastAsia="zh-CN"/>
        </w:rPr>
        <w:t>n Ora</w:t>
      </w:r>
      <w:r>
        <w:rPr>
          <w:rFonts w:ascii="Arial" w:eastAsia="Calibri" w:hAnsi="Arial" w:cs="Arial"/>
          <w:color w:val="000000"/>
          <w:lang w:val="es-ES" w:eastAsia="zh-CN"/>
        </w:rPr>
        <w:t>ș</w:t>
      </w:r>
      <w:r w:rsidRPr="007861B3">
        <w:rPr>
          <w:rFonts w:ascii="Arial" w:eastAsia="Calibri" w:hAnsi="Arial" w:cs="Arial"/>
          <w:color w:val="000000"/>
          <w:lang w:val="es-ES" w:eastAsia="zh-CN"/>
        </w:rPr>
        <w:t>ul Horezu nu sunt amplasate sta</w:t>
      </w:r>
      <w:r>
        <w:rPr>
          <w:rFonts w:ascii="Arial" w:eastAsia="Calibri" w:hAnsi="Arial" w:cs="Arial"/>
          <w:color w:val="000000"/>
          <w:lang w:val="es-ES" w:eastAsia="zh-CN"/>
        </w:rPr>
        <w:t>ț</w:t>
      </w:r>
      <w:r w:rsidRPr="007861B3">
        <w:rPr>
          <w:rFonts w:ascii="Arial" w:eastAsia="Calibri" w:hAnsi="Arial" w:cs="Arial"/>
          <w:color w:val="000000"/>
          <w:lang w:val="es-ES" w:eastAsia="zh-CN"/>
        </w:rPr>
        <w:t>ii de monitorizare a calit</w:t>
      </w:r>
      <w:r>
        <w:rPr>
          <w:rFonts w:ascii="Arial" w:eastAsia="Calibri" w:hAnsi="Arial" w:cs="Arial"/>
          <w:color w:val="000000"/>
          <w:lang w:val="es-ES" w:eastAsia="zh-CN"/>
        </w:rPr>
        <w:t>ăț</w:t>
      </w:r>
      <w:r w:rsidRPr="007861B3">
        <w:rPr>
          <w:rFonts w:ascii="Arial" w:eastAsia="Calibri" w:hAnsi="Arial" w:cs="Arial"/>
          <w:color w:val="000000"/>
          <w:lang w:val="es-ES" w:eastAsia="zh-CN"/>
        </w:rPr>
        <w:t xml:space="preserve">ii aerului, concluziile prezentate mai sus sunt valabile, </w:t>
      </w:r>
      <w:r>
        <w:rPr>
          <w:rFonts w:ascii="Arial" w:eastAsia="Calibri" w:hAnsi="Arial" w:cs="Arial"/>
          <w:color w:val="000000"/>
          <w:lang w:val="es-ES" w:eastAsia="zh-CN"/>
        </w:rPr>
        <w:t>î</w:t>
      </w:r>
      <w:r w:rsidRPr="007861B3">
        <w:rPr>
          <w:rFonts w:ascii="Arial" w:eastAsia="Calibri" w:hAnsi="Arial" w:cs="Arial"/>
          <w:color w:val="000000"/>
          <w:lang w:val="es-ES" w:eastAsia="zh-CN"/>
        </w:rPr>
        <w:t xml:space="preserve">n special </w:t>
      </w:r>
      <w:r>
        <w:rPr>
          <w:rFonts w:ascii="Arial" w:eastAsia="Calibri" w:hAnsi="Arial" w:cs="Arial"/>
          <w:color w:val="000000"/>
          <w:lang w:val="es-ES" w:eastAsia="zh-CN"/>
        </w:rPr>
        <w:t>î</w:t>
      </w:r>
      <w:r w:rsidRPr="007861B3">
        <w:rPr>
          <w:rFonts w:ascii="Arial" w:eastAsia="Calibri" w:hAnsi="Arial" w:cs="Arial"/>
          <w:color w:val="000000"/>
          <w:lang w:val="es-ES" w:eastAsia="zh-CN"/>
        </w:rPr>
        <w:t>n zona principalelor artere pe care se desf</w:t>
      </w:r>
      <w:r>
        <w:rPr>
          <w:rFonts w:ascii="Arial" w:eastAsia="Calibri" w:hAnsi="Arial" w:cs="Arial"/>
          <w:color w:val="000000"/>
          <w:lang w:val="es-ES" w:eastAsia="zh-CN"/>
        </w:rPr>
        <w:t>ăș</w:t>
      </w:r>
      <w:r w:rsidRPr="007861B3">
        <w:rPr>
          <w:rFonts w:ascii="Arial" w:eastAsia="Calibri" w:hAnsi="Arial" w:cs="Arial"/>
          <w:color w:val="000000"/>
          <w:lang w:val="es-ES" w:eastAsia="zh-CN"/>
        </w:rPr>
        <w:t>oar</w:t>
      </w:r>
      <w:r>
        <w:rPr>
          <w:rFonts w:ascii="Arial" w:eastAsia="Calibri" w:hAnsi="Arial" w:cs="Arial"/>
          <w:color w:val="000000"/>
          <w:lang w:val="es-ES" w:eastAsia="zh-CN"/>
        </w:rPr>
        <w:t>ă</w:t>
      </w:r>
      <w:r w:rsidRPr="007861B3">
        <w:rPr>
          <w:rFonts w:ascii="Arial" w:eastAsia="Calibri" w:hAnsi="Arial" w:cs="Arial"/>
          <w:color w:val="000000"/>
          <w:lang w:val="es-ES" w:eastAsia="zh-CN"/>
        </w:rPr>
        <w:t xml:space="preserve"> traficul de tranzit (DN 67 </w:t>
      </w:r>
      <w:r>
        <w:rPr>
          <w:rFonts w:ascii="Arial" w:eastAsia="Calibri" w:hAnsi="Arial" w:cs="Arial"/>
          <w:color w:val="000000"/>
          <w:lang w:val="es-ES" w:eastAsia="zh-CN"/>
        </w:rPr>
        <w:t>ș</w:t>
      </w:r>
      <w:r w:rsidRPr="007861B3">
        <w:rPr>
          <w:rFonts w:ascii="Arial" w:eastAsia="Calibri" w:hAnsi="Arial" w:cs="Arial"/>
          <w:color w:val="000000"/>
          <w:lang w:val="es-ES" w:eastAsia="zh-CN"/>
        </w:rPr>
        <w:t>i DN 65C).</w:t>
      </w:r>
    </w:p>
    <w:p w14:paraId="0AB573FF" w14:textId="77777777" w:rsidR="00B86AB7" w:rsidRDefault="00B86AB7" w:rsidP="00337AAA">
      <w:pPr>
        <w:suppressAutoHyphens/>
        <w:autoSpaceDE w:val="0"/>
        <w:spacing w:after="0" w:line="276" w:lineRule="auto"/>
        <w:jc w:val="both"/>
        <w:rPr>
          <w:rFonts w:ascii="Arial" w:eastAsia="Calibri" w:hAnsi="Arial" w:cs="Arial"/>
          <w:color w:val="000000"/>
          <w:lang w:val="es-ES" w:eastAsia="zh-CN"/>
        </w:rPr>
      </w:pPr>
    </w:p>
    <w:p w14:paraId="6E2FC1BF" w14:textId="77777777" w:rsid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color w:val="000000"/>
          <w:lang w:val="es-ES" w:eastAsia="zh-CN"/>
        </w:rPr>
        <w:t>Redate sinoptic nivelele de concentraţie maximă acceptate în ţara noastră sunt:</w:t>
      </w:r>
    </w:p>
    <w:p w14:paraId="3928B17E" w14:textId="77777777" w:rsidR="00B86AB7" w:rsidRDefault="00B86AB7" w:rsidP="00337AAA">
      <w:pPr>
        <w:suppressAutoHyphens/>
        <w:autoSpaceDE w:val="0"/>
        <w:spacing w:after="0" w:line="276" w:lineRule="auto"/>
        <w:jc w:val="both"/>
        <w:rPr>
          <w:rFonts w:ascii="Arial" w:eastAsia="Calibri" w:hAnsi="Arial" w:cs="Arial"/>
          <w:color w:val="000000"/>
          <w:lang w:val="es-ES" w:eastAsia="zh-CN"/>
        </w:rPr>
      </w:pPr>
    </w:p>
    <w:p w14:paraId="692DF5BA" w14:textId="77777777" w:rsidR="00B86AB7" w:rsidRDefault="00B86AB7" w:rsidP="00337AAA">
      <w:pPr>
        <w:suppressAutoHyphens/>
        <w:autoSpaceDE w:val="0"/>
        <w:spacing w:after="0" w:line="276" w:lineRule="auto"/>
        <w:jc w:val="both"/>
        <w:rPr>
          <w:rFonts w:ascii="Arial" w:eastAsia="Calibri" w:hAnsi="Arial" w:cs="Arial"/>
          <w:color w:val="000000"/>
          <w:lang w:val="es-ES" w:eastAsia="zh-CN"/>
        </w:rPr>
      </w:pPr>
    </w:p>
    <w:p w14:paraId="2338E14D" w14:textId="77777777" w:rsidR="00B86AB7" w:rsidRDefault="00B86AB7" w:rsidP="00337AAA">
      <w:pPr>
        <w:suppressAutoHyphens/>
        <w:autoSpaceDE w:val="0"/>
        <w:spacing w:after="0" w:line="276" w:lineRule="auto"/>
        <w:jc w:val="both"/>
        <w:rPr>
          <w:rFonts w:ascii="Arial" w:eastAsia="Calibri" w:hAnsi="Arial" w:cs="Arial"/>
          <w:color w:val="000000"/>
          <w:lang w:val="es-ES" w:eastAsia="zh-CN"/>
        </w:rPr>
      </w:pPr>
    </w:p>
    <w:p w14:paraId="11161B93" w14:textId="77777777" w:rsidR="00B86AB7" w:rsidRDefault="00B86AB7" w:rsidP="00337AAA">
      <w:pPr>
        <w:suppressAutoHyphens/>
        <w:autoSpaceDE w:val="0"/>
        <w:spacing w:after="0" w:line="276" w:lineRule="auto"/>
        <w:jc w:val="both"/>
        <w:rPr>
          <w:rFonts w:ascii="Arial" w:eastAsia="Calibri" w:hAnsi="Arial" w:cs="Arial"/>
          <w:color w:val="000000"/>
          <w:lang w:val="es-ES" w:eastAsia="zh-CN"/>
        </w:rPr>
      </w:pPr>
    </w:p>
    <w:p w14:paraId="182C80E4" w14:textId="77777777" w:rsidR="00B86AB7" w:rsidRDefault="00B86AB7" w:rsidP="00337AAA">
      <w:pPr>
        <w:suppressAutoHyphens/>
        <w:autoSpaceDE w:val="0"/>
        <w:spacing w:after="0" w:line="276" w:lineRule="auto"/>
        <w:jc w:val="both"/>
        <w:rPr>
          <w:rFonts w:ascii="Arial" w:eastAsia="Calibri" w:hAnsi="Arial" w:cs="Arial"/>
          <w:color w:val="000000"/>
          <w:lang w:val="es-ES" w:eastAsia="zh-CN"/>
        </w:rPr>
      </w:pPr>
    </w:p>
    <w:p w14:paraId="7E595DED" w14:textId="77777777" w:rsidR="00B86AB7" w:rsidRDefault="00B86AB7" w:rsidP="00337AAA">
      <w:pPr>
        <w:suppressAutoHyphens/>
        <w:autoSpaceDE w:val="0"/>
        <w:spacing w:after="0" w:line="276" w:lineRule="auto"/>
        <w:jc w:val="both"/>
        <w:rPr>
          <w:rFonts w:ascii="Arial" w:eastAsia="Calibri" w:hAnsi="Arial" w:cs="Arial"/>
          <w:color w:val="000000"/>
          <w:lang w:val="es-ES" w:eastAsia="zh-CN"/>
        </w:rPr>
      </w:pPr>
    </w:p>
    <w:p w14:paraId="509AC368" w14:textId="08ADBBDE" w:rsidR="00337AAA" w:rsidRPr="00B86AB7" w:rsidRDefault="00B86AB7" w:rsidP="00B86AB7">
      <w:pPr>
        <w:pStyle w:val="Legend"/>
        <w:jc w:val="center"/>
        <w:rPr>
          <w:rFonts w:ascii="Arial" w:hAnsi="Arial" w:cs="Arial"/>
          <w:i w:val="0"/>
          <w:iCs w:val="0"/>
          <w:color w:val="1F497D"/>
          <w:sz w:val="22"/>
          <w:szCs w:val="22"/>
        </w:rPr>
      </w:pPr>
      <w:bookmarkStart w:id="344" w:name="_Toc68361250"/>
      <w:bookmarkStart w:id="345" w:name="_Toc96447417"/>
      <w:r w:rsidRPr="00B86AB7">
        <w:rPr>
          <w:rFonts w:ascii="Arial" w:hAnsi="Arial" w:cs="Arial"/>
          <w:sz w:val="22"/>
          <w:szCs w:val="22"/>
        </w:rPr>
        <w:t xml:space="preserve">Tabel I.4. </w:t>
      </w:r>
      <w:r w:rsidRPr="00B86AB7">
        <w:rPr>
          <w:rFonts w:ascii="Arial" w:hAnsi="Arial" w:cs="Arial"/>
          <w:sz w:val="22"/>
          <w:szCs w:val="22"/>
        </w:rPr>
        <w:fldChar w:fldCharType="begin"/>
      </w:r>
      <w:r w:rsidRPr="00B86AB7">
        <w:rPr>
          <w:rFonts w:ascii="Arial" w:hAnsi="Arial" w:cs="Arial"/>
          <w:sz w:val="22"/>
          <w:szCs w:val="22"/>
        </w:rPr>
        <w:instrText xml:space="preserve"> SEQ Tabel_I.4. \* ARABIC </w:instrText>
      </w:r>
      <w:r w:rsidRPr="00B86AB7">
        <w:rPr>
          <w:rFonts w:ascii="Arial" w:hAnsi="Arial" w:cs="Arial"/>
          <w:sz w:val="22"/>
          <w:szCs w:val="22"/>
        </w:rPr>
        <w:fldChar w:fldCharType="separate"/>
      </w:r>
      <w:r w:rsidR="00BB181C">
        <w:rPr>
          <w:rFonts w:ascii="Arial" w:hAnsi="Arial" w:cs="Arial"/>
          <w:noProof/>
          <w:sz w:val="22"/>
          <w:szCs w:val="22"/>
        </w:rPr>
        <w:t>7</w:t>
      </w:r>
      <w:r w:rsidRPr="00B86AB7">
        <w:rPr>
          <w:rFonts w:ascii="Arial" w:hAnsi="Arial" w:cs="Arial"/>
          <w:sz w:val="22"/>
          <w:szCs w:val="22"/>
        </w:rPr>
        <w:fldChar w:fldCharType="end"/>
      </w:r>
      <w:r w:rsidRPr="00B86AB7">
        <w:rPr>
          <w:rFonts w:ascii="Arial" w:hAnsi="Arial" w:cs="Arial"/>
          <w:sz w:val="22"/>
          <w:szCs w:val="22"/>
        </w:rPr>
        <w:t xml:space="preserve"> </w:t>
      </w:r>
      <w:r w:rsidR="00337AAA" w:rsidRPr="00B86AB7">
        <w:rPr>
          <w:rFonts w:ascii="Arial" w:hAnsi="Arial" w:cs="Arial"/>
          <w:color w:val="1F497D"/>
          <w:sz w:val="22"/>
          <w:szCs w:val="22"/>
        </w:rPr>
        <w:t xml:space="preserve">– </w:t>
      </w:r>
      <w:r w:rsidR="00337AAA" w:rsidRPr="00B86AB7">
        <w:rPr>
          <w:rFonts w:ascii="Arial" w:hAnsi="Arial" w:cs="Arial"/>
          <w:i w:val="0"/>
          <w:iCs w:val="0"/>
          <w:color w:val="1F497D"/>
          <w:sz w:val="22"/>
          <w:szCs w:val="22"/>
        </w:rPr>
        <w:t>Nivele maxim acceptabile ale unor noxe</w:t>
      </w:r>
      <w:bookmarkEnd w:id="344"/>
      <w:bookmarkEnd w:id="345"/>
    </w:p>
    <w:p w14:paraId="5C47408D" w14:textId="77777777" w:rsidR="00337AAA" w:rsidRPr="00337AAA" w:rsidRDefault="00337AAA" w:rsidP="00337AAA">
      <w:pPr>
        <w:spacing w:after="200" w:line="240" w:lineRule="auto"/>
        <w:jc w:val="center"/>
        <w:rPr>
          <w:rFonts w:ascii="Arial" w:eastAsia="Calibri" w:hAnsi="Arial" w:cs="Arial"/>
          <w:i/>
          <w:iCs/>
          <w:color w:val="000000"/>
          <w:sz w:val="24"/>
          <w:szCs w:val="24"/>
          <w:lang w:val="es-ES" w:eastAsia="zh-CN"/>
        </w:rPr>
      </w:pPr>
      <w:r w:rsidRPr="00337AAA">
        <w:rPr>
          <w:rFonts w:ascii="EUAlbertina" w:eastAsia="Calibri" w:hAnsi="EUAlbertina" w:cs="EUAlbertina"/>
          <w:i/>
          <w:iCs/>
          <w:noProof/>
          <w:color w:val="000000"/>
          <w:sz w:val="24"/>
          <w:szCs w:val="24"/>
        </w:rPr>
        <w:drawing>
          <wp:anchor distT="0" distB="0" distL="0" distR="0" simplePos="0" relativeHeight="251656704" behindDoc="0" locked="0" layoutInCell="1" allowOverlap="1" wp14:anchorId="63E64116" wp14:editId="135BD7BD">
            <wp:simplePos x="0" y="0"/>
            <wp:positionH relativeFrom="margin">
              <wp:align>center</wp:align>
            </wp:positionH>
            <wp:positionV relativeFrom="paragraph">
              <wp:posOffset>11550</wp:posOffset>
            </wp:positionV>
            <wp:extent cx="4746625" cy="3451860"/>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746625" cy="34518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337AAA">
        <w:rPr>
          <w:rFonts w:ascii="Arial" w:eastAsia="Calibri" w:hAnsi="Arial" w:cs="Arial"/>
          <w:i/>
          <w:iCs/>
          <w:color w:val="1F497D"/>
          <w:sz w:val="16"/>
          <w:szCs w:val="16"/>
          <w:lang w:val="es-ES" w:eastAsia="zh-CN"/>
        </w:rPr>
        <w:tab/>
      </w:r>
      <w:r w:rsidRPr="00337AAA">
        <w:rPr>
          <w:rFonts w:ascii="Arial" w:eastAsia="Calibri" w:hAnsi="Arial" w:cs="Arial"/>
          <w:i/>
          <w:iCs/>
          <w:color w:val="1F497D"/>
          <w:sz w:val="16"/>
          <w:szCs w:val="16"/>
          <w:lang w:val="es-ES" w:eastAsia="zh-CN"/>
        </w:rPr>
        <w:tab/>
      </w:r>
      <w:r w:rsidRPr="00337AAA">
        <w:rPr>
          <w:rFonts w:ascii="Arial" w:eastAsia="Calibri" w:hAnsi="Arial" w:cs="Arial"/>
          <w:i/>
          <w:iCs/>
          <w:color w:val="1F497D"/>
          <w:sz w:val="16"/>
          <w:szCs w:val="16"/>
          <w:lang w:val="es-ES" w:eastAsia="zh-CN"/>
        </w:rPr>
        <w:tab/>
      </w:r>
    </w:p>
    <w:p w14:paraId="34843DE9"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5047E192"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70A57447"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166ACA9F"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19EBEEEF"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0B3A1102"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4DAB2675"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39EF4134"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2AA5348B"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1EDD8B5E"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34386AF1"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736B7890"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7CFD246B" w14:textId="77777777" w:rsidR="00337AAA" w:rsidRPr="00337AAA" w:rsidRDefault="00337AAA" w:rsidP="00337AAA">
      <w:pPr>
        <w:spacing w:after="200" w:line="240" w:lineRule="auto"/>
        <w:ind w:left="720" w:firstLine="720"/>
        <w:rPr>
          <w:rFonts w:ascii="Arial" w:eastAsia="Calibri" w:hAnsi="Arial" w:cs="Arial"/>
          <w:sz w:val="18"/>
          <w:szCs w:val="18"/>
          <w:lang w:val="es-ES" w:eastAsia="zh-CN"/>
        </w:rPr>
      </w:pPr>
      <w:r w:rsidRPr="00337AAA">
        <w:rPr>
          <w:rFonts w:ascii="Arial" w:eastAsia="Calibri" w:hAnsi="Arial" w:cs="Arial"/>
          <w:sz w:val="18"/>
          <w:szCs w:val="18"/>
          <w:lang w:val="es-ES" w:eastAsia="zh-CN"/>
        </w:rPr>
        <w:t>Sursa: ANMP</w:t>
      </w:r>
    </w:p>
    <w:p w14:paraId="166B23AC"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27442845" w14:textId="77777777" w:rsidR="00337AAA" w:rsidRPr="00337AAA" w:rsidRDefault="00337AAA" w:rsidP="00337AAA">
      <w:pPr>
        <w:suppressAutoHyphens/>
        <w:autoSpaceDE w:val="0"/>
        <w:spacing w:after="0" w:line="276" w:lineRule="auto"/>
        <w:jc w:val="both"/>
        <w:rPr>
          <w:rFonts w:ascii="Arial" w:eastAsia="Calibri" w:hAnsi="Arial" w:cs="Arial"/>
          <w:color w:val="000000"/>
          <w:lang w:val="es-ES" w:eastAsia="zh-CN"/>
        </w:rPr>
      </w:pPr>
      <w:r w:rsidRPr="00337AAA">
        <w:rPr>
          <w:rFonts w:ascii="Arial" w:eastAsia="Calibri" w:hAnsi="Arial" w:cs="Arial"/>
          <w:color w:val="000000"/>
          <w:lang w:val="es-ES" w:eastAsia="zh-CN"/>
        </w:rPr>
        <w:t>Un rezumat al problemelor identificate în cadrul analizei situației actuale, în ordinea importanței acestora este prezentat în tabelul următor:</w:t>
      </w:r>
    </w:p>
    <w:tbl>
      <w:tblPr>
        <w:tblStyle w:val="ListTable4-Accent214"/>
        <w:tblW w:w="0" w:type="auto"/>
        <w:tblLook w:val="04A0" w:firstRow="1" w:lastRow="0" w:firstColumn="1" w:lastColumn="0" w:noHBand="0" w:noVBand="1"/>
      </w:tblPr>
      <w:tblGrid>
        <w:gridCol w:w="4935"/>
        <w:gridCol w:w="4934"/>
      </w:tblGrid>
      <w:tr w:rsidR="00B86AB7" w:rsidRPr="00B86AB7" w14:paraId="44F008F5" w14:textId="77777777" w:rsidTr="00B86A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7CC9AE0A" w14:textId="77777777" w:rsidR="00B86AB7" w:rsidRPr="00B86AB7" w:rsidRDefault="00B86AB7" w:rsidP="00B86AB7">
            <w:pPr>
              <w:widowControl w:val="0"/>
              <w:autoSpaceDE w:val="0"/>
              <w:autoSpaceDN w:val="0"/>
              <w:adjustRightInd w:val="0"/>
              <w:spacing w:after="160" w:line="276" w:lineRule="auto"/>
              <w:jc w:val="center"/>
              <w:rPr>
                <w:rFonts w:ascii="Arial" w:hAnsi="Arial" w:cs="Arial"/>
                <w:kern w:val="1"/>
                <w:lang w:val="ro-RO" w:eastAsia="hi-IN" w:bidi="hi-IN"/>
              </w:rPr>
            </w:pPr>
            <w:r w:rsidRPr="00B86AB7">
              <w:rPr>
                <w:rFonts w:ascii="Arial" w:hAnsi="Arial" w:cs="Arial"/>
                <w:kern w:val="1"/>
                <w:lang w:val="ro-RO" w:eastAsia="hi-IN" w:bidi="hi-IN"/>
              </w:rPr>
              <w:t>Problema identificată</w:t>
            </w:r>
          </w:p>
        </w:tc>
        <w:tc>
          <w:tcPr>
            <w:tcW w:w="4934" w:type="dxa"/>
          </w:tcPr>
          <w:p w14:paraId="6026A0B4" w14:textId="77777777" w:rsidR="00B86AB7" w:rsidRPr="00B86AB7" w:rsidRDefault="00B86AB7" w:rsidP="00B86AB7">
            <w:pPr>
              <w:widowControl w:val="0"/>
              <w:autoSpaceDE w:val="0"/>
              <w:autoSpaceDN w:val="0"/>
              <w:adjustRightInd w:val="0"/>
              <w:spacing w:after="16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kern w:val="1"/>
                <w:lang w:val="ro-RO" w:eastAsia="hi-IN" w:bidi="hi-IN"/>
              </w:rPr>
            </w:pPr>
            <w:r w:rsidRPr="00B86AB7">
              <w:rPr>
                <w:rFonts w:ascii="Arial" w:hAnsi="Arial" w:cs="Arial"/>
                <w:kern w:val="1"/>
                <w:lang w:val="ro-RO" w:eastAsia="hi-IN" w:bidi="hi-IN"/>
              </w:rPr>
              <w:t>Soluție</w:t>
            </w:r>
          </w:p>
        </w:tc>
      </w:tr>
      <w:tr w:rsidR="00B86AB7" w:rsidRPr="00B86AB7" w14:paraId="1EF6EE8F" w14:textId="77777777" w:rsidTr="00B86A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47948A9A" w14:textId="77777777" w:rsidR="00B86AB7" w:rsidRPr="00B86AB7" w:rsidRDefault="00B86AB7" w:rsidP="00B86AB7">
            <w:pPr>
              <w:widowControl w:val="0"/>
              <w:autoSpaceDE w:val="0"/>
              <w:autoSpaceDN w:val="0"/>
              <w:adjustRightInd w:val="0"/>
              <w:spacing w:after="160" w:line="276" w:lineRule="auto"/>
              <w:jc w:val="both"/>
              <w:rPr>
                <w:rFonts w:ascii="Arial" w:hAnsi="Arial" w:cs="Arial"/>
                <w:kern w:val="1"/>
                <w:lang w:val="es-ES" w:eastAsia="hi-IN" w:bidi="hi-IN"/>
              </w:rPr>
            </w:pPr>
            <w:r w:rsidRPr="00B86AB7">
              <w:rPr>
                <w:rFonts w:ascii="Arial" w:hAnsi="Arial" w:cs="Arial"/>
                <w:kern w:val="1"/>
                <w:lang w:val="es-ES" w:eastAsia="hi-IN" w:bidi="hi-IN"/>
              </w:rPr>
              <w:t>Traficul (de cele mai multe ori) desfăşurat, nu la întâmplare, dar cu o oarecare doza de neraţionalitate – implică o calitate scăzută a aerului şi niveluri ridicate de poluare fonică ambientală</w:t>
            </w:r>
          </w:p>
        </w:tc>
        <w:tc>
          <w:tcPr>
            <w:tcW w:w="4934" w:type="dxa"/>
          </w:tcPr>
          <w:p w14:paraId="2896097E" w14:textId="77777777" w:rsidR="00B86AB7" w:rsidRPr="00B86AB7" w:rsidRDefault="00B86AB7" w:rsidP="00B86AB7">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lang w:val="ro-RO" w:eastAsia="hi-IN" w:bidi="hi-IN"/>
              </w:rPr>
            </w:pPr>
            <w:r w:rsidRPr="00B86AB7">
              <w:rPr>
                <w:rFonts w:ascii="Arial" w:hAnsi="Arial" w:cs="Arial"/>
                <w:kern w:val="1"/>
                <w:lang w:val="ro-RO" w:eastAsia="hi-IN" w:bidi="hi-IN"/>
              </w:rPr>
              <w:t>Constructia soselei de centura si re-organizarea circulatiei rutiere.</w:t>
            </w:r>
          </w:p>
        </w:tc>
      </w:tr>
      <w:tr w:rsidR="00B86AB7" w:rsidRPr="00B86AB7" w14:paraId="2C0A65CE" w14:textId="77777777" w:rsidTr="00655DD6">
        <w:tc>
          <w:tcPr>
            <w:cnfStyle w:val="001000000000" w:firstRow="0" w:lastRow="0" w:firstColumn="1" w:lastColumn="0" w:oddVBand="0" w:evenVBand="0" w:oddHBand="0" w:evenHBand="0" w:firstRowFirstColumn="0" w:firstRowLastColumn="0" w:lastRowFirstColumn="0" w:lastRowLastColumn="0"/>
            <w:tcW w:w="4935" w:type="dxa"/>
          </w:tcPr>
          <w:p w14:paraId="022A97E1" w14:textId="15067309" w:rsidR="00B86AB7" w:rsidRPr="00B86AB7" w:rsidRDefault="00B86AB7" w:rsidP="00B86AB7">
            <w:pPr>
              <w:widowControl w:val="0"/>
              <w:autoSpaceDE w:val="0"/>
              <w:autoSpaceDN w:val="0"/>
              <w:adjustRightInd w:val="0"/>
              <w:spacing w:after="160" w:line="276" w:lineRule="auto"/>
              <w:jc w:val="both"/>
              <w:rPr>
                <w:rFonts w:ascii="Arial" w:hAnsi="Arial" w:cs="Arial"/>
                <w:kern w:val="1"/>
                <w:lang w:val="ro-RO" w:eastAsia="hi-IN" w:bidi="hi-IN"/>
              </w:rPr>
            </w:pPr>
            <w:r w:rsidRPr="00B86AB7">
              <w:rPr>
                <w:rFonts w:ascii="Arial" w:hAnsi="Arial" w:cs="Arial"/>
                <w:kern w:val="1"/>
                <w:lang w:val="ro-RO" w:eastAsia="hi-IN" w:bidi="hi-IN"/>
              </w:rPr>
              <w:t xml:space="preserve">Absența </w:t>
            </w:r>
            <w:r w:rsidR="006E163D">
              <w:rPr>
                <w:rFonts w:ascii="Arial" w:hAnsi="Arial" w:cs="Arial"/>
                <w:kern w:val="1"/>
                <w:lang w:val="ro-RO" w:eastAsia="hi-IN" w:bidi="hi-IN"/>
              </w:rPr>
              <w:t>infrastructurii</w:t>
            </w:r>
            <w:r w:rsidRPr="00B86AB7">
              <w:rPr>
                <w:rFonts w:ascii="Arial" w:hAnsi="Arial" w:cs="Arial"/>
                <w:kern w:val="1"/>
                <w:lang w:val="ro-RO" w:eastAsia="hi-IN" w:bidi="hi-IN"/>
              </w:rPr>
              <w:t xml:space="preserve"> pentru bicicl</w:t>
            </w:r>
            <w:r w:rsidR="006E163D">
              <w:rPr>
                <w:rFonts w:ascii="Arial" w:hAnsi="Arial" w:cs="Arial"/>
                <w:kern w:val="1"/>
                <w:lang w:val="ro-RO" w:eastAsia="hi-IN" w:bidi="hi-IN"/>
              </w:rPr>
              <w:t>ete</w:t>
            </w:r>
            <w:r w:rsidRPr="00B86AB7">
              <w:rPr>
                <w:rFonts w:ascii="Arial" w:hAnsi="Arial" w:cs="Arial"/>
                <w:kern w:val="1"/>
                <w:lang w:val="ro-RO" w:eastAsia="hi-IN" w:bidi="hi-IN"/>
              </w:rPr>
              <w:t>.</w:t>
            </w:r>
          </w:p>
        </w:tc>
        <w:tc>
          <w:tcPr>
            <w:tcW w:w="4934" w:type="dxa"/>
          </w:tcPr>
          <w:p w14:paraId="3711417F" w14:textId="6C26E4A9" w:rsidR="00B86AB7" w:rsidRPr="00B86AB7" w:rsidRDefault="00B86AB7" w:rsidP="00B86AB7">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lang w:val="es-ES" w:eastAsia="hi-IN" w:bidi="hi-IN"/>
              </w:rPr>
            </w:pPr>
            <w:r w:rsidRPr="00B86AB7">
              <w:rPr>
                <w:rFonts w:ascii="Arial" w:hAnsi="Arial" w:cs="Arial"/>
                <w:kern w:val="1"/>
                <w:lang w:val="es-ES" w:eastAsia="hi-IN" w:bidi="hi-IN"/>
              </w:rPr>
              <w:t xml:space="preserve">Realizarea unei retele de </w:t>
            </w:r>
            <w:r w:rsidR="006E163D">
              <w:rPr>
                <w:rFonts w:ascii="Arial" w:hAnsi="Arial" w:cs="Arial"/>
                <w:kern w:val="1"/>
                <w:lang w:val="es-ES" w:eastAsia="hi-IN" w:bidi="hi-IN"/>
              </w:rPr>
              <w:t>trasee</w:t>
            </w:r>
            <w:r w:rsidRPr="00B86AB7">
              <w:rPr>
                <w:rFonts w:ascii="Arial" w:hAnsi="Arial" w:cs="Arial"/>
                <w:kern w:val="1"/>
                <w:lang w:val="es-ES" w:eastAsia="hi-IN" w:bidi="hi-IN"/>
              </w:rPr>
              <w:t xml:space="preserve"> pentru biciclete.</w:t>
            </w:r>
          </w:p>
        </w:tc>
      </w:tr>
      <w:tr w:rsidR="00B86AB7" w:rsidRPr="00B86AB7" w14:paraId="2FEABECA" w14:textId="77777777" w:rsidTr="00B86A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35" w:type="dxa"/>
          </w:tcPr>
          <w:p w14:paraId="25F050F3" w14:textId="77777777" w:rsidR="00B86AB7" w:rsidRPr="00B86AB7" w:rsidRDefault="00B86AB7" w:rsidP="00B86AB7">
            <w:pPr>
              <w:widowControl w:val="0"/>
              <w:autoSpaceDE w:val="0"/>
              <w:autoSpaceDN w:val="0"/>
              <w:adjustRightInd w:val="0"/>
              <w:spacing w:after="160" w:line="276" w:lineRule="auto"/>
              <w:jc w:val="both"/>
              <w:rPr>
                <w:rFonts w:ascii="Arial" w:hAnsi="Arial" w:cs="Arial"/>
                <w:kern w:val="1"/>
                <w:lang w:val="es-ES" w:eastAsia="hi-IN" w:bidi="hi-IN"/>
              </w:rPr>
            </w:pPr>
            <w:r w:rsidRPr="00B86AB7">
              <w:rPr>
                <w:rFonts w:ascii="Arial" w:hAnsi="Arial" w:cs="Arial"/>
                <w:kern w:val="1"/>
                <w:lang w:val="es-ES" w:eastAsia="hi-IN" w:bidi="hi-IN"/>
              </w:rPr>
              <w:t>Cvasi-absenta infrastructurii pentru vehicule electrice.</w:t>
            </w:r>
          </w:p>
        </w:tc>
        <w:tc>
          <w:tcPr>
            <w:tcW w:w="4934" w:type="dxa"/>
          </w:tcPr>
          <w:p w14:paraId="0F5E4E33" w14:textId="77777777" w:rsidR="00B86AB7" w:rsidRPr="00B86AB7" w:rsidRDefault="00B86AB7" w:rsidP="00B86AB7">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lang w:val="es-ES" w:eastAsia="hi-IN" w:bidi="hi-IN"/>
              </w:rPr>
            </w:pPr>
            <w:r w:rsidRPr="00B86AB7">
              <w:rPr>
                <w:rFonts w:ascii="Arial" w:hAnsi="Arial" w:cs="Arial"/>
                <w:kern w:val="1"/>
                <w:lang w:val="es-ES" w:eastAsia="hi-IN" w:bidi="hi-IN"/>
              </w:rPr>
              <w:t>Amenajarea de puncte de incarcare pentru vehiculele electrice.</w:t>
            </w:r>
          </w:p>
        </w:tc>
      </w:tr>
    </w:tbl>
    <w:p w14:paraId="5BA61111" w14:textId="77777777" w:rsidR="00337AAA" w:rsidRPr="00337AAA" w:rsidRDefault="00337AAA" w:rsidP="00337AAA">
      <w:pPr>
        <w:suppressAutoHyphens/>
        <w:autoSpaceDE w:val="0"/>
        <w:spacing w:after="0" w:line="360" w:lineRule="auto"/>
        <w:jc w:val="both"/>
        <w:rPr>
          <w:rFonts w:ascii="Arial" w:eastAsia="Calibri" w:hAnsi="Arial" w:cs="Arial"/>
          <w:color w:val="000000"/>
          <w:sz w:val="24"/>
          <w:szCs w:val="24"/>
          <w:lang w:val="es-ES" w:eastAsia="zh-CN"/>
        </w:rPr>
      </w:pPr>
    </w:p>
    <w:p w14:paraId="0CE9902C" w14:textId="77777777" w:rsidR="00B86AB7" w:rsidRPr="00B86AB7" w:rsidRDefault="00B86AB7" w:rsidP="00B86AB7">
      <w:pPr>
        <w:widowControl w:val="0"/>
        <w:suppressAutoHyphens/>
        <w:spacing w:after="0" w:line="276" w:lineRule="auto"/>
        <w:jc w:val="both"/>
        <w:rPr>
          <w:rFonts w:ascii="Arial" w:hAnsi="Arial" w:cs="Arial"/>
          <w:kern w:val="1"/>
          <w:lang w:val="es-ES" w:eastAsia="hi-IN" w:bidi="hi-IN"/>
        </w:rPr>
      </w:pPr>
      <w:r w:rsidRPr="00B86AB7">
        <w:rPr>
          <w:rFonts w:ascii="Arial" w:hAnsi="Arial" w:cs="Arial"/>
          <w:kern w:val="1"/>
          <w:lang w:val="es-ES" w:eastAsia="hi-IN" w:bidi="hi-IN"/>
        </w:rPr>
        <w:t xml:space="preserve">Multe dintre problemele identificate pe parcursul </w:t>
      </w:r>
      <w:r w:rsidRPr="00B86AB7">
        <w:rPr>
          <w:rFonts w:ascii="Arial" w:hAnsi="Arial" w:cs="Arial"/>
          <w:b/>
          <w:kern w:val="1"/>
          <w:lang w:val="es-ES" w:eastAsia="hi-IN" w:bidi="hi-IN"/>
        </w:rPr>
        <w:t>Planului</w:t>
      </w:r>
      <w:r w:rsidRPr="00B86AB7">
        <w:rPr>
          <w:rFonts w:ascii="Arial" w:hAnsi="Arial" w:cs="Arial"/>
          <w:kern w:val="1"/>
          <w:lang w:val="es-ES" w:eastAsia="hi-IN" w:bidi="hi-IN"/>
        </w:rPr>
        <w:t xml:space="preserve"> și intervențiile dezvoltate pentru rezolvarea și îmbunătățirea lor pot avea efecte asupra mediului din Orasul Horezu,</w:t>
      </w:r>
      <w:r w:rsidRPr="00B86AB7">
        <w:rPr>
          <w:rFonts w:ascii="Arial" w:hAnsi="Arial" w:cs="Arial"/>
          <w:b/>
          <w:kern w:val="1"/>
          <w:lang w:val="es-ES" w:eastAsia="hi-IN" w:bidi="hi-IN"/>
        </w:rPr>
        <w:t xml:space="preserve"> </w:t>
      </w:r>
      <w:r w:rsidRPr="00B86AB7">
        <w:rPr>
          <w:rFonts w:ascii="Arial" w:hAnsi="Arial" w:cs="Arial"/>
          <w:kern w:val="1"/>
          <w:lang w:val="es-ES" w:eastAsia="hi-IN" w:bidi="hi-IN"/>
        </w:rPr>
        <w:t xml:space="preserve">inclusiv asupra ariilor naturale protejate / zonelor protejate. </w:t>
      </w:r>
    </w:p>
    <w:p w14:paraId="774C9709" w14:textId="77777777" w:rsidR="00B86AB7" w:rsidRPr="00B86AB7" w:rsidRDefault="00B86AB7" w:rsidP="00B86AB7">
      <w:pPr>
        <w:widowControl w:val="0"/>
        <w:suppressAutoHyphens/>
        <w:spacing w:after="0" w:line="360" w:lineRule="auto"/>
        <w:jc w:val="both"/>
        <w:rPr>
          <w:rFonts w:ascii="Arial" w:hAnsi="Arial" w:cs="Arial"/>
          <w:b/>
          <w:kern w:val="1"/>
          <w:sz w:val="24"/>
          <w:szCs w:val="24"/>
          <w:lang w:val="es-ES" w:eastAsia="hi-IN" w:bidi="hi-IN"/>
        </w:rPr>
      </w:pPr>
    </w:p>
    <w:p w14:paraId="504B372B" w14:textId="77777777" w:rsidR="00B86AB7" w:rsidRPr="00B86AB7" w:rsidRDefault="00B86AB7" w:rsidP="00B86AB7">
      <w:pPr>
        <w:widowControl w:val="0"/>
        <w:suppressAutoHyphens/>
        <w:spacing w:after="0" w:line="276" w:lineRule="auto"/>
        <w:jc w:val="both"/>
        <w:rPr>
          <w:rFonts w:ascii="Arial" w:hAnsi="Arial" w:cs="Arial"/>
          <w:kern w:val="1"/>
          <w:lang w:val="es-ES" w:eastAsia="hi-IN" w:bidi="hi-IN"/>
        </w:rPr>
      </w:pPr>
      <w:r w:rsidRPr="00B86AB7">
        <w:rPr>
          <w:rFonts w:ascii="Arial" w:hAnsi="Arial" w:cs="Arial"/>
          <w:kern w:val="1"/>
          <w:lang w:val="es-ES" w:eastAsia="hi-IN" w:bidi="hi-IN"/>
        </w:rPr>
        <w:t xml:space="preserve">Pentru </w:t>
      </w:r>
      <w:bookmarkStart w:id="346" w:name="_Hlk66435295"/>
      <w:r w:rsidRPr="00B86AB7">
        <w:rPr>
          <w:rFonts w:ascii="Arial" w:hAnsi="Arial" w:cs="Arial"/>
          <w:kern w:val="1"/>
          <w:lang w:val="es-ES" w:eastAsia="hi-IN" w:bidi="hi-IN"/>
        </w:rPr>
        <w:t xml:space="preserve">valorile detaliate ale noxelor rezultate în urma modelării traficului rutier din Horezu </w:t>
      </w:r>
      <w:bookmarkEnd w:id="346"/>
      <w:r w:rsidRPr="00B86AB7">
        <w:rPr>
          <w:rFonts w:ascii="Arial" w:hAnsi="Arial" w:cs="Arial"/>
          <w:kern w:val="1"/>
          <w:lang w:val="es-ES" w:eastAsia="hi-IN" w:bidi="hi-IN"/>
        </w:rPr>
        <w:t xml:space="preserve">a se </w:t>
      </w:r>
      <w:r w:rsidRPr="00B86AB7">
        <w:rPr>
          <w:rFonts w:ascii="Arial" w:hAnsi="Arial" w:cs="Arial"/>
          <w:kern w:val="1"/>
          <w:lang w:val="es-ES" w:eastAsia="hi-IN" w:bidi="hi-IN"/>
        </w:rPr>
        <w:lastRenderedPageBreak/>
        <w:t xml:space="preserve">vedea </w:t>
      </w:r>
      <w:r w:rsidRPr="00B02385">
        <w:rPr>
          <w:rFonts w:ascii="Arial" w:hAnsi="Arial" w:cs="Arial"/>
          <w:kern w:val="1"/>
          <w:lang w:val="es-ES" w:eastAsia="hi-IN" w:bidi="hi-IN"/>
        </w:rPr>
        <w:t xml:space="preserve">Anexa </w:t>
      </w:r>
      <w:r w:rsidR="00B02385" w:rsidRPr="00B02385">
        <w:rPr>
          <w:rFonts w:ascii="Arial" w:hAnsi="Arial" w:cs="Arial"/>
          <w:kern w:val="1"/>
          <w:lang w:val="es-ES" w:eastAsia="hi-IN" w:bidi="hi-IN"/>
        </w:rPr>
        <w:t>8</w:t>
      </w:r>
      <w:r w:rsidRPr="00B02385">
        <w:rPr>
          <w:rFonts w:ascii="Arial" w:hAnsi="Arial" w:cs="Arial"/>
          <w:kern w:val="1"/>
          <w:lang w:val="es-ES" w:eastAsia="hi-IN" w:bidi="hi-IN"/>
        </w:rPr>
        <w:t>.</w:t>
      </w:r>
    </w:p>
    <w:p w14:paraId="7090530C" w14:textId="77777777" w:rsidR="00337AAA" w:rsidRDefault="00337AAA" w:rsidP="00337AAA">
      <w:pPr>
        <w:widowControl w:val="0"/>
        <w:suppressAutoHyphens/>
        <w:spacing w:after="0" w:line="360" w:lineRule="auto"/>
        <w:jc w:val="both"/>
        <w:rPr>
          <w:rFonts w:ascii="Arial" w:hAnsi="Arial" w:cs="Arial"/>
          <w:kern w:val="1"/>
          <w:sz w:val="24"/>
          <w:szCs w:val="24"/>
          <w:lang w:val="es-ES" w:eastAsia="hi-IN" w:bidi="hi-IN"/>
        </w:rPr>
      </w:pPr>
    </w:p>
    <w:p w14:paraId="6BCED8CF" w14:textId="77777777" w:rsidR="00B86AB7" w:rsidRPr="00337AAA" w:rsidRDefault="00B86AB7" w:rsidP="00337AAA">
      <w:pPr>
        <w:widowControl w:val="0"/>
        <w:suppressAutoHyphens/>
        <w:spacing w:after="0" w:line="360" w:lineRule="auto"/>
        <w:jc w:val="both"/>
        <w:rPr>
          <w:rFonts w:ascii="Arial" w:hAnsi="Arial" w:cs="Arial"/>
          <w:kern w:val="1"/>
          <w:sz w:val="24"/>
          <w:szCs w:val="24"/>
          <w:lang w:val="es-ES" w:eastAsia="hi-IN" w:bidi="hi-IN"/>
        </w:rPr>
      </w:pPr>
    </w:p>
    <w:p w14:paraId="79607B4D" w14:textId="77777777" w:rsidR="00337AAA" w:rsidRPr="00337AAA" w:rsidRDefault="00337AAA" w:rsidP="00337AAA">
      <w:pPr>
        <w:widowControl w:val="0"/>
        <w:shd w:val="clear" w:color="auto" w:fill="D9D9D9"/>
        <w:suppressAutoHyphens/>
        <w:spacing w:after="0" w:line="360" w:lineRule="auto"/>
        <w:jc w:val="both"/>
        <w:rPr>
          <w:rFonts w:ascii="Arial" w:hAnsi="Arial" w:cs="Arial"/>
          <w:b/>
          <w:kern w:val="1"/>
          <w:lang w:val="es-ES" w:eastAsia="hi-IN" w:bidi="hi-IN"/>
        </w:rPr>
      </w:pPr>
      <w:r w:rsidRPr="00337AAA">
        <w:rPr>
          <w:rFonts w:ascii="Arial" w:hAnsi="Arial" w:cs="Arial"/>
          <w:b/>
          <w:kern w:val="1"/>
          <w:lang w:val="es-ES" w:eastAsia="hi-IN" w:bidi="hi-IN"/>
        </w:rPr>
        <w:t xml:space="preserve">Impactul asupra mediului </w:t>
      </w:r>
    </w:p>
    <w:p w14:paraId="05672DCA"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bookmarkStart w:id="347" w:name="_Toc61264906"/>
      <w:r w:rsidRPr="003B5F37">
        <w:rPr>
          <w:rFonts w:ascii="Arial" w:hAnsi="Arial" w:cs="Arial"/>
          <w:kern w:val="1"/>
          <w:lang w:val="es-ES" w:eastAsia="hi-IN" w:bidi="hi-IN"/>
        </w:rPr>
        <w:t xml:space="preserve">Sectorul transporturilor este unul dintre factorii cei mai generatori de poluare în zonele urbane, din punct de vedere al calității aerului și al zgomotului. </w:t>
      </w:r>
    </w:p>
    <w:p w14:paraId="625458C0" w14:textId="77777777" w:rsidR="003B5F37" w:rsidRPr="003B5F37" w:rsidRDefault="003B5F37" w:rsidP="003B5F37">
      <w:pPr>
        <w:widowControl w:val="0"/>
        <w:suppressAutoHyphens/>
        <w:spacing w:before="100" w:beforeAutospacing="1" w:after="100" w:afterAutospacing="1" w:line="276" w:lineRule="auto"/>
        <w:jc w:val="both"/>
        <w:rPr>
          <w:rFonts w:ascii="Arial" w:hAnsi="Arial" w:cs="Arial"/>
          <w:kern w:val="1"/>
          <w:lang w:val="es-ES" w:eastAsia="hi-IN" w:bidi="hi-IN"/>
        </w:rPr>
      </w:pPr>
      <w:r w:rsidRPr="003B5F37">
        <w:rPr>
          <w:rFonts w:ascii="Arial" w:hAnsi="Arial" w:cs="Arial"/>
          <w:b/>
          <w:kern w:val="1"/>
          <w:lang w:val="es-ES" w:eastAsia="hi-IN" w:bidi="hi-IN"/>
        </w:rPr>
        <w:t xml:space="preserve">Planul </w:t>
      </w:r>
      <w:r w:rsidRPr="003B5F37">
        <w:rPr>
          <w:rFonts w:ascii="Arial" w:hAnsi="Arial" w:cs="Arial"/>
          <w:kern w:val="1"/>
          <w:lang w:val="es-ES" w:eastAsia="hi-IN" w:bidi="hi-IN"/>
        </w:rPr>
        <w:t xml:space="preserve">propus și intervențiile dezvoltate în cadrul acestuia pot avea unele efecte asupra mediului din </w:t>
      </w:r>
      <w:r w:rsidRPr="003B5F37">
        <w:rPr>
          <w:rFonts w:ascii="Arial" w:hAnsi="Arial" w:cs="Arial"/>
          <w:b/>
          <w:kern w:val="1"/>
          <w:lang w:val="es-ES" w:eastAsia="hi-IN" w:bidi="hi-IN"/>
        </w:rPr>
        <w:t>Orasul Horezu.</w:t>
      </w:r>
      <w:r w:rsidRPr="003B5F37">
        <w:rPr>
          <w:rFonts w:ascii="Arial" w:hAnsi="Arial" w:cs="Arial"/>
          <w:kern w:val="1"/>
          <w:lang w:val="es-ES" w:eastAsia="hi-IN" w:bidi="hi-IN"/>
        </w:rPr>
        <w:t xml:space="preserve"> </w:t>
      </w:r>
    </w:p>
    <w:p w14:paraId="58DDAAB2" w14:textId="77777777" w:rsidR="003B5F37" w:rsidRPr="003B5F37" w:rsidRDefault="003B5F37" w:rsidP="003B5F37">
      <w:pPr>
        <w:widowControl w:val="0"/>
        <w:suppressAutoHyphens/>
        <w:spacing w:before="100" w:beforeAutospacing="1" w:after="100" w:afterAutospacing="1" w:line="276" w:lineRule="auto"/>
        <w:jc w:val="both"/>
        <w:rPr>
          <w:rFonts w:ascii="Arial" w:hAnsi="Arial" w:cs="Arial"/>
          <w:kern w:val="1"/>
          <w:lang w:val="ro-RO" w:eastAsia="hi-IN" w:bidi="hi-IN"/>
        </w:rPr>
      </w:pPr>
      <w:r w:rsidRPr="003B5F37">
        <w:rPr>
          <w:rFonts w:ascii="Arial" w:hAnsi="Arial" w:cs="Arial"/>
          <w:b/>
          <w:kern w:val="1"/>
          <w:lang w:val="es-ES" w:eastAsia="hi-IN" w:bidi="hi-IN"/>
        </w:rPr>
        <w:t>Ora</w:t>
      </w:r>
      <w:r w:rsidR="004C6240">
        <w:rPr>
          <w:rFonts w:ascii="Arial" w:hAnsi="Arial" w:cs="Arial"/>
          <w:b/>
          <w:kern w:val="1"/>
          <w:lang w:val="es-ES" w:eastAsia="hi-IN" w:bidi="hi-IN"/>
        </w:rPr>
        <w:t>ș</w:t>
      </w:r>
      <w:r w:rsidRPr="003B5F37">
        <w:rPr>
          <w:rFonts w:ascii="Arial" w:hAnsi="Arial" w:cs="Arial"/>
          <w:b/>
          <w:kern w:val="1"/>
          <w:lang w:val="es-ES" w:eastAsia="hi-IN" w:bidi="hi-IN"/>
        </w:rPr>
        <w:t xml:space="preserve">ul Horezu </w:t>
      </w:r>
      <w:r w:rsidRPr="003B5F37">
        <w:rPr>
          <w:rFonts w:ascii="Arial" w:hAnsi="Arial" w:cs="Arial"/>
          <w:kern w:val="1"/>
          <w:lang w:val="es-ES" w:eastAsia="hi-IN" w:bidi="hi-IN"/>
        </w:rPr>
        <w:t xml:space="preserve">este accesibil rutier prin </w:t>
      </w:r>
      <w:r w:rsidRPr="003B5F37">
        <w:rPr>
          <w:rFonts w:ascii="Arial" w:hAnsi="Arial" w:cs="Arial"/>
          <w:b/>
          <w:kern w:val="1"/>
          <w:lang w:val="es-ES" w:eastAsia="hi-IN" w:bidi="hi-IN"/>
        </w:rPr>
        <w:t>DN 67</w:t>
      </w:r>
      <w:r w:rsidRPr="003B5F37">
        <w:rPr>
          <w:rFonts w:ascii="Arial" w:hAnsi="Arial" w:cs="Arial"/>
          <w:kern w:val="1"/>
          <w:lang w:val="es-ES" w:eastAsia="hi-IN" w:bidi="hi-IN"/>
        </w:rPr>
        <w:t xml:space="preserve"> care</w:t>
      </w:r>
      <w:r w:rsidRPr="003B5F37">
        <w:rPr>
          <w:rFonts w:ascii="Arial" w:hAnsi="Arial" w:cs="Arial"/>
          <w:kern w:val="1"/>
          <w:shd w:val="clear" w:color="auto" w:fill="FFFFFF"/>
          <w:lang w:val="ro-RO" w:eastAsia="hi-IN" w:bidi="hi-IN"/>
        </w:rPr>
        <w:t> leagă Drobeta Turnu-Severin cu R</w:t>
      </w:r>
      <w:r w:rsidR="004C6240">
        <w:rPr>
          <w:rFonts w:ascii="Arial" w:hAnsi="Arial" w:cs="Arial"/>
          <w:kern w:val="1"/>
          <w:shd w:val="clear" w:color="auto" w:fill="FFFFFF"/>
          <w:lang w:val="ro-RO" w:eastAsia="hi-IN" w:bidi="hi-IN"/>
        </w:rPr>
        <w:t>â</w:t>
      </w:r>
      <w:r w:rsidRPr="003B5F37">
        <w:rPr>
          <w:rFonts w:ascii="Arial" w:hAnsi="Arial" w:cs="Arial"/>
          <w:kern w:val="1"/>
          <w:shd w:val="clear" w:color="auto" w:fill="FFFFFF"/>
          <w:lang w:val="ro-RO" w:eastAsia="hi-IN" w:bidi="hi-IN"/>
        </w:rPr>
        <w:t>mnicu V</w:t>
      </w:r>
      <w:r w:rsidR="004C6240">
        <w:rPr>
          <w:rFonts w:ascii="Arial" w:hAnsi="Arial" w:cs="Arial"/>
          <w:kern w:val="1"/>
          <w:shd w:val="clear" w:color="auto" w:fill="FFFFFF"/>
          <w:lang w:val="ro-RO" w:eastAsia="hi-IN" w:bidi="hi-IN"/>
        </w:rPr>
        <w:t>â</w:t>
      </w:r>
      <w:r w:rsidRPr="003B5F37">
        <w:rPr>
          <w:rFonts w:ascii="Arial" w:hAnsi="Arial" w:cs="Arial"/>
          <w:kern w:val="1"/>
          <w:shd w:val="clear" w:color="auto" w:fill="FFFFFF"/>
          <w:lang w:val="ro-RO" w:eastAsia="hi-IN" w:bidi="hi-IN"/>
        </w:rPr>
        <w:t>lcea (Goranu) prin T</w:t>
      </w:r>
      <w:r w:rsidR="004C6240">
        <w:rPr>
          <w:rFonts w:ascii="Arial" w:hAnsi="Arial" w:cs="Arial"/>
          <w:kern w:val="1"/>
          <w:shd w:val="clear" w:color="auto" w:fill="FFFFFF"/>
          <w:lang w:val="ro-RO" w:eastAsia="hi-IN" w:bidi="hi-IN"/>
        </w:rPr>
        <w:t>â</w:t>
      </w:r>
      <w:r w:rsidRPr="003B5F37">
        <w:rPr>
          <w:rFonts w:ascii="Arial" w:hAnsi="Arial" w:cs="Arial"/>
          <w:kern w:val="1"/>
          <w:shd w:val="clear" w:color="auto" w:fill="FFFFFF"/>
          <w:lang w:val="ro-RO" w:eastAsia="hi-IN" w:bidi="hi-IN"/>
        </w:rPr>
        <w:t>rgu-Jiu, Horezu, </w:t>
      </w:r>
      <w:r w:rsidRPr="003B5F37">
        <w:rPr>
          <w:rFonts w:ascii="Arial" w:hAnsi="Arial" w:cs="Arial"/>
          <w:b/>
          <w:kern w:val="1"/>
          <w:shd w:val="clear" w:color="auto" w:fill="FFFFFF"/>
          <w:lang w:val="ro-RO" w:eastAsia="hi-IN" w:bidi="hi-IN"/>
        </w:rPr>
        <w:t>DN65C</w:t>
      </w:r>
      <w:r w:rsidRPr="003B5F37">
        <w:rPr>
          <w:rFonts w:ascii="Arial" w:hAnsi="Arial" w:cs="Arial"/>
          <w:kern w:val="1"/>
          <w:shd w:val="clear" w:color="auto" w:fill="FFFFFF"/>
          <w:lang w:val="ro-RO" w:eastAsia="hi-IN" w:bidi="hi-IN"/>
        </w:rPr>
        <w:t> care leagă Craiova de Horezu</w:t>
      </w:r>
      <w:r w:rsidRPr="003B5F37">
        <w:rPr>
          <w:rFonts w:ascii="Arial" w:hAnsi="Arial" w:cs="Arial"/>
          <w:kern w:val="1"/>
          <w:lang w:val="ro-RO" w:eastAsia="hi-IN" w:bidi="hi-IN"/>
        </w:rPr>
        <w:t xml:space="preserve"> prin</w:t>
      </w:r>
      <w:r w:rsidRPr="003B5F37">
        <w:rPr>
          <w:rFonts w:ascii="Arial" w:hAnsi="Arial" w:cs="Arial"/>
          <w:kern w:val="1"/>
          <w:shd w:val="clear" w:color="auto" w:fill="FFFFFF"/>
          <w:lang w:val="ro-RO" w:eastAsia="hi-IN" w:bidi="hi-IN"/>
        </w:rPr>
        <w:t> B</w:t>
      </w:r>
      <w:r w:rsidR="004C6240">
        <w:rPr>
          <w:rFonts w:ascii="Arial" w:hAnsi="Arial" w:cs="Arial"/>
          <w:kern w:val="1"/>
          <w:shd w:val="clear" w:color="auto" w:fill="FFFFFF"/>
          <w:lang w:val="ro-RO" w:eastAsia="hi-IN" w:bidi="hi-IN"/>
        </w:rPr>
        <w:t>ă</w:t>
      </w:r>
      <w:r w:rsidRPr="003B5F37">
        <w:rPr>
          <w:rFonts w:ascii="Arial" w:hAnsi="Arial" w:cs="Arial"/>
          <w:kern w:val="1"/>
          <w:shd w:val="clear" w:color="auto" w:fill="FFFFFF"/>
          <w:lang w:val="ro-RO" w:eastAsia="hi-IN" w:bidi="hi-IN"/>
        </w:rPr>
        <w:t>lce</w:t>
      </w:r>
      <w:r w:rsidR="004C6240">
        <w:rPr>
          <w:rFonts w:ascii="Arial" w:hAnsi="Arial" w:cs="Arial"/>
          <w:kern w:val="1"/>
          <w:shd w:val="clear" w:color="auto" w:fill="FFFFFF"/>
          <w:lang w:val="ro-RO" w:eastAsia="hi-IN" w:bidi="hi-IN"/>
        </w:rPr>
        <w:t>ș</w:t>
      </w:r>
      <w:r w:rsidRPr="003B5F37">
        <w:rPr>
          <w:rFonts w:ascii="Arial" w:hAnsi="Arial" w:cs="Arial"/>
          <w:kern w:val="1"/>
          <w:shd w:val="clear" w:color="auto" w:fill="FFFFFF"/>
          <w:lang w:val="ro-RO" w:eastAsia="hi-IN" w:bidi="hi-IN"/>
        </w:rPr>
        <w:t>ti. De</w:t>
      </w:r>
      <w:r w:rsidR="004C6240">
        <w:rPr>
          <w:rFonts w:ascii="Arial" w:hAnsi="Arial" w:cs="Arial"/>
          <w:kern w:val="1"/>
          <w:shd w:val="clear" w:color="auto" w:fill="FFFFFF"/>
          <w:lang w:val="ro-RO" w:eastAsia="hi-IN" w:bidi="hi-IN"/>
        </w:rPr>
        <w:t xml:space="preserve"> </w:t>
      </w:r>
      <w:r w:rsidRPr="003B5F37">
        <w:rPr>
          <w:rFonts w:ascii="Arial" w:hAnsi="Arial" w:cs="Arial"/>
          <w:kern w:val="1"/>
          <w:shd w:val="clear" w:color="auto" w:fill="FFFFFF"/>
          <w:lang w:val="ro-RO" w:eastAsia="hi-IN" w:bidi="hi-IN"/>
        </w:rPr>
        <w:t>asemenea este accesibil rutier prin DJ665, drum jude</w:t>
      </w:r>
      <w:r w:rsidR="004C6240">
        <w:rPr>
          <w:rFonts w:ascii="Arial" w:hAnsi="Arial" w:cs="Arial"/>
          <w:kern w:val="1"/>
          <w:shd w:val="clear" w:color="auto" w:fill="FFFFFF"/>
          <w:lang w:val="ro-RO" w:eastAsia="hi-IN" w:bidi="hi-IN"/>
        </w:rPr>
        <w:t>ț</w:t>
      </w:r>
      <w:r w:rsidRPr="003B5F37">
        <w:rPr>
          <w:rFonts w:ascii="Arial" w:hAnsi="Arial" w:cs="Arial"/>
          <w:kern w:val="1"/>
          <w:shd w:val="clear" w:color="auto" w:fill="FFFFFF"/>
          <w:lang w:val="ro-RO" w:eastAsia="hi-IN" w:bidi="hi-IN"/>
        </w:rPr>
        <w:t>ean care are originea din DN66 Iezureni (Gorj), care str</w:t>
      </w:r>
      <w:r w:rsidR="004C6240">
        <w:rPr>
          <w:rFonts w:ascii="Arial" w:hAnsi="Arial" w:cs="Arial"/>
          <w:kern w:val="1"/>
          <w:shd w:val="clear" w:color="auto" w:fill="FFFFFF"/>
          <w:lang w:val="ro-RO" w:eastAsia="hi-IN" w:bidi="hi-IN"/>
        </w:rPr>
        <w:t>ă</w:t>
      </w:r>
      <w:r w:rsidRPr="003B5F37">
        <w:rPr>
          <w:rFonts w:ascii="Arial" w:hAnsi="Arial" w:cs="Arial"/>
          <w:kern w:val="1"/>
          <w:shd w:val="clear" w:color="auto" w:fill="FFFFFF"/>
          <w:lang w:val="ro-RO" w:eastAsia="hi-IN" w:bidi="hi-IN"/>
        </w:rPr>
        <w:t>bate jude</w:t>
      </w:r>
      <w:r w:rsidR="004C6240">
        <w:rPr>
          <w:rFonts w:ascii="Arial" w:hAnsi="Arial" w:cs="Arial"/>
          <w:kern w:val="1"/>
          <w:shd w:val="clear" w:color="auto" w:fill="FFFFFF"/>
          <w:lang w:val="ro-RO" w:eastAsia="hi-IN" w:bidi="hi-IN"/>
        </w:rPr>
        <w:t>ț</w:t>
      </w:r>
      <w:r w:rsidRPr="003B5F37">
        <w:rPr>
          <w:rFonts w:ascii="Arial" w:hAnsi="Arial" w:cs="Arial"/>
          <w:kern w:val="1"/>
          <w:shd w:val="clear" w:color="auto" w:fill="FFFFFF"/>
          <w:lang w:val="ro-RO" w:eastAsia="hi-IN" w:bidi="hi-IN"/>
        </w:rPr>
        <w:t xml:space="preserve">ele Gorj </w:t>
      </w:r>
      <w:r w:rsidR="004C6240">
        <w:rPr>
          <w:rFonts w:ascii="Arial" w:hAnsi="Arial" w:cs="Arial"/>
          <w:kern w:val="1"/>
          <w:shd w:val="clear" w:color="auto" w:fill="FFFFFF"/>
          <w:lang w:val="ro-RO" w:eastAsia="hi-IN" w:bidi="hi-IN"/>
        </w:rPr>
        <w:t>ș</w:t>
      </w:r>
      <w:r w:rsidRPr="003B5F37">
        <w:rPr>
          <w:rFonts w:ascii="Arial" w:hAnsi="Arial" w:cs="Arial"/>
          <w:kern w:val="1"/>
          <w:shd w:val="clear" w:color="auto" w:fill="FFFFFF"/>
          <w:lang w:val="ro-RO" w:eastAsia="hi-IN" w:bidi="hi-IN"/>
        </w:rPr>
        <w:t>i V</w:t>
      </w:r>
      <w:r w:rsidR="004C6240">
        <w:rPr>
          <w:rFonts w:ascii="Arial" w:hAnsi="Arial" w:cs="Arial"/>
          <w:kern w:val="1"/>
          <w:shd w:val="clear" w:color="auto" w:fill="FFFFFF"/>
          <w:lang w:val="ro-RO" w:eastAsia="hi-IN" w:bidi="hi-IN"/>
        </w:rPr>
        <w:t>â</w:t>
      </w:r>
      <w:r w:rsidRPr="003B5F37">
        <w:rPr>
          <w:rFonts w:ascii="Arial" w:hAnsi="Arial" w:cs="Arial"/>
          <w:kern w:val="1"/>
          <w:shd w:val="clear" w:color="auto" w:fill="FFFFFF"/>
          <w:lang w:val="ro-RO" w:eastAsia="hi-IN" w:bidi="hi-IN"/>
        </w:rPr>
        <w:t>lcea pe o rut</w:t>
      </w:r>
      <w:r w:rsidR="004C6240">
        <w:rPr>
          <w:rFonts w:ascii="Arial" w:hAnsi="Arial" w:cs="Arial"/>
          <w:kern w:val="1"/>
          <w:shd w:val="clear" w:color="auto" w:fill="FFFFFF"/>
          <w:lang w:val="ro-RO" w:eastAsia="hi-IN" w:bidi="hi-IN"/>
        </w:rPr>
        <w:t>ă</w:t>
      </w:r>
      <w:r w:rsidRPr="003B5F37">
        <w:rPr>
          <w:rFonts w:ascii="Arial" w:hAnsi="Arial" w:cs="Arial"/>
          <w:kern w:val="1"/>
          <w:shd w:val="clear" w:color="auto" w:fill="FFFFFF"/>
          <w:lang w:val="ro-RO" w:eastAsia="hi-IN" w:bidi="hi-IN"/>
        </w:rPr>
        <w:t xml:space="preserve"> paralel</w:t>
      </w:r>
      <w:r w:rsidR="004C6240">
        <w:rPr>
          <w:rFonts w:ascii="Arial" w:hAnsi="Arial" w:cs="Arial"/>
          <w:kern w:val="1"/>
          <w:shd w:val="clear" w:color="auto" w:fill="FFFFFF"/>
          <w:lang w:val="ro-RO" w:eastAsia="hi-IN" w:bidi="hi-IN"/>
        </w:rPr>
        <w:t>ă</w:t>
      </w:r>
      <w:r w:rsidRPr="003B5F37">
        <w:rPr>
          <w:rFonts w:ascii="Arial" w:hAnsi="Arial" w:cs="Arial"/>
          <w:kern w:val="1"/>
          <w:shd w:val="clear" w:color="auto" w:fill="FFFFFF"/>
          <w:lang w:val="ro-RO" w:eastAsia="hi-IN" w:bidi="hi-IN"/>
        </w:rPr>
        <w:t xml:space="preserve"> cu DN67, destina</w:t>
      </w:r>
      <w:r w:rsidR="004C6240">
        <w:rPr>
          <w:rFonts w:ascii="Arial" w:hAnsi="Arial" w:cs="Arial"/>
          <w:kern w:val="1"/>
          <w:shd w:val="clear" w:color="auto" w:fill="FFFFFF"/>
          <w:lang w:val="ro-RO" w:eastAsia="hi-IN" w:bidi="hi-IN"/>
        </w:rPr>
        <w:t>ț</w:t>
      </w:r>
      <w:r w:rsidRPr="003B5F37">
        <w:rPr>
          <w:rFonts w:ascii="Arial" w:hAnsi="Arial" w:cs="Arial"/>
          <w:kern w:val="1"/>
          <w:shd w:val="clear" w:color="auto" w:fill="FFFFFF"/>
          <w:lang w:val="ro-RO" w:eastAsia="hi-IN" w:bidi="hi-IN"/>
        </w:rPr>
        <w:t>ia final</w:t>
      </w:r>
      <w:r w:rsidR="004C6240">
        <w:rPr>
          <w:rFonts w:ascii="Arial" w:hAnsi="Arial" w:cs="Arial"/>
          <w:kern w:val="1"/>
          <w:shd w:val="clear" w:color="auto" w:fill="FFFFFF"/>
          <w:lang w:val="ro-RO" w:eastAsia="hi-IN" w:bidi="hi-IN"/>
        </w:rPr>
        <w:t>ă</w:t>
      </w:r>
      <w:r w:rsidRPr="003B5F37">
        <w:rPr>
          <w:rFonts w:ascii="Arial" w:hAnsi="Arial" w:cs="Arial"/>
          <w:kern w:val="1"/>
          <w:shd w:val="clear" w:color="auto" w:fill="FFFFFF"/>
          <w:lang w:val="ro-RO" w:eastAsia="hi-IN" w:bidi="hi-IN"/>
        </w:rPr>
        <w:t xml:space="preserve"> </w:t>
      </w:r>
      <w:r w:rsidR="004C6240">
        <w:rPr>
          <w:rFonts w:ascii="Arial" w:hAnsi="Arial" w:cs="Arial"/>
          <w:kern w:val="1"/>
          <w:shd w:val="clear" w:color="auto" w:fill="FFFFFF"/>
          <w:lang w:val="ro-RO" w:eastAsia="hi-IN" w:bidi="hi-IN"/>
        </w:rPr>
        <w:t>î</w:t>
      </w:r>
      <w:r w:rsidRPr="003B5F37">
        <w:rPr>
          <w:rFonts w:ascii="Arial" w:hAnsi="Arial" w:cs="Arial"/>
          <w:kern w:val="1"/>
          <w:shd w:val="clear" w:color="auto" w:fill="FFFFFF"/>
          <w:lang w:val="ro-RO" w:eastAsia="hi-IN" w:bidi="hi-IN"/>
        </w:rPr>
        <w:t xml:space="preserve">n DN67, </w:t>
      </w:r>
      <w:r w:rsidR="004C6240">
        <w:rPr>
          <w:rFonts w:ascii="Arial" w:hAnsi="Arial" w:cs="Arial"/>
          <w:kern w:val="1"/>
          <w:shd w:val="clear" w:color="auto" w:fill="FFFFFF"/>
          <w:lang w:val="ro-RO" w:eastAsia="hi-IN" w:bidi="hi-IN"/>
        </w:rPr>
        <w:t>î</w:t>
      </w:r>
      <w:r w:rsidRPr="003B5F37">
        <w:rPr>
          <w:rFonts w:ascii="Arial" w:hAnsi="Arial" w:cs="Arial"/>
          <w:kern w:val="1"/>
          <w:shd w:val="clear" w:color="auto" w:fill="FFFFFF"/>
          <w:lang w:val="ro-RO" w:eastAsia="hi-IN" w:bidi="hi-IN"/>
        </w:rPr>
        <w:t>n localitatea Horezu.</w:t>
      </w:r>
    </w:p>
    <w:p w14:paraId="4AEA4C8D" w14:textId="77777777" w:rsidR="003B5F37" w:rsidRPr="003B5F37" w:rsidRDefault="003B5F37" w:rsidP="003B5F37">
      <w:pPr>
        <w:widowControl w:val="0"/>
        <w:suppressAutoHyphens/>
        <w:spacing w:before="100" w:beforeAutospacing="1" w:after="100" w:afterAutospacing="1" w:line="276" w:lineRule="auto"/>
        <w:jc w:val="both"/>
        <w:rPr>
          <w:rFonts w:ascii="Arial" w:hAnsi="Arial" w:cs="Arial"/>
          <w:kern w:val="1"/>
          <w:lang w:val="ro-RO" w:eastAsia="hi-IN" w:bidi="hi-IN"/>
        </w:rPr>
      </w:pPr>
      <w:r w:rsidRPr="003B5F37">
        <w:rPr>
          <w:rFonts w:ascii="Arial" w:hAnsi="Arial" w:cs="Arial"/>
          <w:kern w:val="1"/>
          <w:lang w:val="ro-RO" w:eastAsia="hi-IN" w:bidi="hi-IN"/>
        </w:rPr>
        <w:t>Nu este accesibil feroviar</w:t>
      </w:r>
      <w:r w:rsidRPr="003B5F37">
        <w:rPr>
          <w:rFonts w:ascii="Arial" w:hAnsi="Arial" w:cs="Arial"/>
          <w:kern w:val="1"/>
          <w:shd w:val="clear" w:color="auto" w:fill="FFFFFF"/>
          <w:lang w:val="ro-RO" w:eastAsia="hi-IN" w:bidi="hi-IN"/>
        </w:rPr>
        <w:t>.</w:t>
      </w:r>
    </w:p>
    <w:p w14:paraId="1987878E" w14:textId="77777777" w:rsidR="003B5F37" w:rsidRPr="003B5F37" w:rsidRDefault="004C6240" w:rsidP="003B5F37">
      <w:pPr>
        <w:widowControl w:val="0"/>
        <w:suppressAutoHyphens/>
        <w:spacing w:before="100" w:beforeAutospacing="1" w:after="100" w:afterAutospacing="1" w:line="276" w:lineRule="auto"/>
        <w:jc w:val="both"/>
        <w:rPr>
          <w:rFonts w:ascii="Arial" w:hAnsi="Arial" w:cs="Arial"/>
          <w:kern w:val="1"/>
          <w:sz w:val="24"/>
          <w:szCs w:val="24"/>
          <w:lang w:val="es-ES" w:eastAsia="hi-IN" w:bidi="hi-IN"/>
        </w:rPr>
      </w:pPr>
      <w:r w:rsidRPr="004C6240">
        <w:rPr>
          <w:rFonts w:ascii="Arial" w:hAnsi="Arial" w:cs="Arial"/>
          <w:b/>
          <w:kern w:val="1"/>
          <w:lang w:val="es-ES" w:eastAsia="hi-IN" w:bidi="hi-IN"/>
        </w:rPr>
        <w:t xml:space="preserve">Orașul Horezu </w:t>
      </w:r>
      <w:r w:rsidRPr="004C6240">
        <w:rPr>
          <w:rFonts w:ascii="Arial" w:hAnsi="Arial" w:cs="Arial"/>
          <w:bCs/>
          <w:kern w:val="1"/>
          <w:lang w:val="es-ES" w:eastAsia="hi-IN" w:bidi="hi-IN"/>
        </w:rPr>
        <w:t>face parte din județul Vâlcea, primul județ atestat documentar pe teritoriul actual al României. Judeţul Vâlcea (371714 locuitori, 64 locuitori/kmp, conform Recensământului Populației și Locuințelor 2011) este format din 89 unităţi administrativ-teritoriale, din care două municipii (Râmnicu-Vâlcea 98776 locuitori și Drăgășani 17871 locuitori), nouă oraşe (Băbeni 8451 locuitori, Călimănești 7622 locuitori, Horezu 6263 locuitori, Brezoi 6022 locuitori, Bălcești 4864 locuitori, Berbe</w:t>
      </w:r>
      <w:r w:rsidR="003876D5">
        <w:rPr>
          <w:rFonts w:ascii="Arial" w:hAnsi="Arial" w:cs="Arial"/>
          <w:bCs/>
          <w:kern w:val="1"/>
          <w:lang w:val="es-ES" w:eastAsia="hi-IN" w:bidi="hi-IN"/>
        </w:rPr>
        <w:t>ș</w:t>
      </w:r>
      <w:r w:rsidRPr="004C6240">
        <w:rPr>
          <w:rFonts w:ascii="Arial" w:hAnsi="Arial" w:cs="Arial"/>
          <w:bCs/>
          <w:kern w:val="1"/>
          <w:lang w:val="es-ES" w:eastAsia="hi-IN" w:bidi="hi-IN"/>
        </w:rPr>
        <w:t>ti 4836 locuitori, Băile Olănești 4186 locuitori, Ocnele Mari 3309 locuitori și Băile Govora 2449 locuitori) şi 78 de comune. Reşedinţa judeţului este în municipiul Râmnicu-Vâlcea, localitate de rangul 2 în sistemul naţional de aşezări, conform Legii nr. 351/2001 privind aprobarea Planului de Amenajare a Teritoriului Naţional, secţiunea IV, Reţeaua de localităţi. Tot localitate de rangul 2 este şi municipiul Drăgășani, iar oraşele Călimănești, Băile Govora, Băile Olănești, Brezoi, Horezu și Ocnele Mari sunt localităţi de rang 3. Localitățile Băbeni, Bălcești și Berbesti au fost declarate orașe ulterior și clasificate că localități de rang 3. Dintre unităţile administrativ-teritoriale rurale, cea mai populată comună este Budești, având 5694 de locuitori</w:t>
      </w:r>
      <w:r w:rsidR="003B5F37" w:rsidRPr="003B5F37">
        <w:rPr>
          <w:rFonts w:ascii="Arial" w:hAnsi="Arial" w:cs="Arial"/>
          <w:kern w:val="1"/>
          <w:lang w:val="es-ES" w:eastAsia="hi-IN" w:bidi="hi-IN"/>
        </w:rPr>
        <w:t>.</w:t>
      </w:r>
      <w:r w:rsidR="003B5F37" w:rsidRPr="003B5F37">
        <w:rPr>
          <w:rFonts w:ascii="Arial" w:hAnsi="Arial" w:cs="Arial"/>
          <w:kern w:val="1"/>
          <w:sz w:val="24"/>
          <w:szCs w:val="24"/>
          <w:lang w:val="es-ES" w:eastAsia="hi-IN" w:bidi="hi-IN"/>
        </w:rPr>
        <w:t xml:space="preserve"> </w:t>
      </w:r>
    </w:p>
    <w:p w14:paraId="7F680D40" w14:textId="77777777" w:rsidR="003B5F37" w:rsidRPr="003B5F37" w:rsidRDefault="003B5F37" w:rsidP="003B5F37">
      <w:pPr>
        <w:shd w:val="clear" w:color="auto" w:fill="FFFFFF"/>
        <w:spacing w:after="0" w:line="276" w:lineRule="auto"/>
        <w:jc w:val="both"/>
        <w:rPr>
          <w:rFonts w:ascii="Arial" w:eastAsia="Times New Roman" w:hAnsi="Arial" w:cs="Arial"/>
          <w:color w:val="202122"/>
          <w:lang w:val="fr-FR" w:eastAsia="fr-FR"/>
        </w:rPr>
      </w:pPr>
      <w:r w:rsidRPr="003B5F37">
        <w:rPr>
          <w:rFonts w:ascii="Arial" w:eastAsia="Times New Roman" w:hAnsi="Arial" w:cs="Arial"/>
          <w:kern w:val="1"/>
          <w:lang w:val="es-ES" w:eastAsia="hi-IN" w:bidi="hi-IN"/>
        </w:rPr>
        <w:t>Judeţul V</w:t>
      </w:r>
      <w:r w:rsidR="003876D5">
        <w:rPr>
          <w:rFonts w:ascii="Arial" w:eastAsia="Times New Roman" w:hAnsi="Arial" w:cs="Arial"/>
          <w:kern w:val="1"/>
          <w:lang w:val="es-ES" w:eastAsia="hi-IN" w:bidi="hi-IN"/>
        </w:rPr>
        <w:t>â</w:t>
      </w:r>
      <w:r w:rsidRPr="003B5F37">
        <w:rPr>
          <w:rFonts w:ascii="Arial" w:eastAsia="Times New Roman" w:hAnsi="Arial" w:cs="Arial"/>
          <w:kern w:val="1"/>
          <w:lang w:val="es-ES" w:eastAsia="hi-IN" w:bidi="hi-IN"/>
        </w:rPr>
        <w:t>lcea are o suprafa</w:t>
      </w:r>
      <w:r w:rsidRPr="003B5F37">
        <w:rPr>
          <w:rFonts w:ascii="Arial" w:eastAsia="Times New Roman" w:hAnsi="Arial" w:cs="Arial"/>
          <w:kern w:val="1"/>
          <w:lang w:val="ro-RO" w:eastAsia="hi-IN" w:bidi="hi-IN"/>
        </w:rPr>
        <w:t>ţă de 5765 km</w:t>
      </w:r>
      <w:r w:rsidRPr="003B5F37">
        <w:rPr>
          <w:rFonts w:ascii="Arial" w:eastAsia="Times New Roman" w:hAnsi="Arial" w:cs="Arial"/>
          <w:kern w:val="1"/>
          <w:vertAlign w:val="superscript"/>
          <w:lang w:val="ro-RO" w:eastAsia="hi-IN" w:bidi="hi-IN"/>
        </w:rPr>
        <w:t>2</w:t>
      </w:r>
      <w:r w:rsidRPr="003B5F37">
        <w:rPr>
          <w:rFonts w:ascii="Arial" w:eastAsia="Times New Roman" w:hAnsi="Arial" w:cs="Arial"/>
          <w:kern w:val="1"/>
          <w:lang w:val="ro-RO" w:eastAsia="hi-IN" w:bidi="hi-IN"/>
        </w:rPr>
        <w:t xml:space="preserve"> (2,4% din suprafaţa României, locul 20 în ierarhia judeţelor după </w:t>
      </w:r>
      <w:r w:rsidRPr="003B5F37">
        <w:rPr>
          <w:rFonts w:ascii="Arial" w:eastAsia="Times New Roman" w:hAnsi="Arial" w:cs="Arial"/>
          <w:kern w:val="1"/>
          <w:lang w:val="es-ES" w:eastAsia="hi-IN" w:bidi="hi-IN"/>
        </w:rPr>
        <w:t>suprafa</w:t>
      </w:r>
      <w:r w:rsidRPr="003B5F37">
        <w:rPr>
          <w:rFonts w:ascii="Arial" w:eastAsia="Times New Roman" w:hAnsi="Arial" w:cs="Arial"/>
          <w:kern w:val="1"/>
          <w:lang w:val="ro-RO" w:eastAsia="hi-IN" w:bidi="hi-IN"/>
        </w:rPr>
        <w:t>ţă),</w:t>
      </w:r>
      <w:r w:rsidRPr="003B5F37">
        <w:rPr>
          <w:rFonts w:ascii="Arial" w:eastAsia="Times New Roman" w:hAnsi="Arial" w:cs="Arial"/>
          <w:kern w:val="1"/>
          <w:lang w:val="es-ES" w:eastAsia="hi-IN" w:bidi="hi-IN"/>
        </w:rPr>
        <w:t xml:space="preserve"> </w:t>
      </w:r>
      <w:r w:rsidRPr="003B5F37">
        <w:rPr>
          <w:rFonts w:ascii="Arial" w:eastAsia="Times New Roman" w:hAnsi="Arial" w:cs="Arial"/>
          <w:color w:val="202122"/>
          <w:lang w:val="es-ES" w:eastAsia="fr-FR"/>
        </w:rPr>
        <w:t xml:space="preserve">beneficiază de aproape toate formele majore de relief: munți, dealuri subcarpatice, podiș și lunci cu aspect de câmpie, dispuse în trepte de la nord la sud, întregite de defileele Oltului și Lotrului, străjuite de munții Cozia, Căpățânii, Făgăraș, Lotru și Parâng. </w:t>
      </w:r>
      <w:r w:rsidRPr="003B5F37">
        <w:rPr>
          <w:rFonts w:ascii="Arial" w:eastAsia="Times New Roman" w:hAnsi="Arial" w:cs="Arial"/>
          <w:color w:val="202122"/>
          <w:lang w:val="fr-FR" w:eastAsia="fr-FR"/>
        </w:rPr>
        <w:t>Aici între masivele de munți se află una din cele mai mari depresiuni intramontane din județ, cunoscută sub numele de </w:t>
      </w:r>
      <w:r w:rsidRPr="003B5F37">
        <w:rPr>
          <w:rFonts w:ascii="Arial" w:eastAsia="Times New Roman" w:hAnsi="Arial" w:cs="Arial"/>
          <w:i/>
          <w:iCs/>
          <w:color w:val="202122"/>
          <w:lang w:val="fr-FR" w:eastAsia="fr-FR"/>
        </w:rPr>
        <w:t>Țara Loviștei</w:t>
      </w:r>
      <w:r w:rsidRPr="003B5F37">
        <w:rPr>
          <w:rFonts w:ascii="Arial" w:eastAsia="Times New Roman" w:hAnsi="Arial" w:cs="Arial"/>
          <w:color w:val="202122"/>
          <w:lang w:val="fr-FR" w:eastAsia="fr-FR"/>
        </w:rPr>
        <w:t>.</w:t>
      </w:r>
    </w:p>
    <w:p w14:paraId="55D15911" w14:textId="77777777" w:rsidR="003B5F37" w:rsidRPr="003B5F37" w:rsidRDefault="003B5F37" w:rsidP="003B5F37">
      <w:pPr>
        <w:shd w:val="clear" w:color="auto" w:fill="FFFFFF"/>
        <w:spacing w:after="0" w:line="276" w:lineRule="auto"/>
        <w:jc w:val="both"/>
        <w:rPr>
          <w:rFonts w:ascii="Arial" w:eastAsia="Times New Roman" w:hAnsi="Arial" w:cs="Arial"/>
          <w:color w:val="202122"/>
          <w:lang w:val="fr-FR" w:eastAsia="fr-FR"/>
        </w:rPr>
      </w:pPr>
      <w:r w:rsidRPr="003B5F37">
        <w:rPr>
          <w:rFonts w:ascii="Arial" w:eastAsia="Times New Roman" w:hAnsi="Arial" w:cs="Arial"/>
          <w:color w:val="202122"/>
          <w:lang w:val="fr-FR" w:eastAsia="fr-FR"/>
        </w:rPr>
        <w:t>Două treimi din suprafața județului sunt ocupate de Podișul Getic și Subcarpații Getici, cu altitudini între 400–800 m.</w:t>
      </w:r>
    </w:p>
    <w:p w14:paraId="5B52D517" w14:textId="77777777" w:rsidR="003B5F37" w:rsidRPr="003B5F37" w:rsidRDefault="003B5F37" w:rsidP="003B5F37">
      <w:pPr>
        <w:widowControl w:val="0"/>
        <w:suppressAutoHyphens/>
        <w:spacing w:after="0" w:line="276" w:lineRule="auto"/>
        <w:jc w:val="both"/>
        <w:rPr>
          <w:rFonts w:ascii="Arial" w:hAnsi="Arial" w:cs="Arial"/>
          <w:kern w:val="1"/>
          <w:highlight w:val="yellow"/>
          <w:lang w:val="ro-RO" w:eastAsia="hi-IN" w:bidi="hi-IN"/>
        </w:rPr>
      </w:pPr>
    </w:p>
    <w:p w14:paraId="13C5AD1F" w14:textId="77777777" w:rsidR="003B5F37" w:rsidRPr="003B5F37" w:rsidRDefault="003B5F37" w:rsidP="003B5F37">
      <w:pPr>
        <w:widowControl w:val="0"/>
        <w:suppressAutoHyphens/>
        <w:spacing w:after="0" w:line="276" w:lineRule="auto"/>
        <w:jc w:val="both"/>
        <w:rPr>
          <w:rFonts w:ascii="Arial" w:hAnsi="Arial" w:cs="Arial"/>
          <w:kern w:val="1"/>
          <w:lang w:val="ro-RO" w:eastAsia="hi-IN" w:bidi="hi-IN"/>
        </w:rPr>
      </w:pPr>
      <w:r w:rsidRPr="003B5F37">
        <w:rPr>
          <w:rFonts w:ascii="Arial" w:hAnsi="Arial" w:cs="Arial"/>
          <w:kern w:val="1"/>
          <w:lang w:val="ro-RO" w:eastAsia="hi-IN" w:bidi="hi-IN"/>
        </w:rPr>
        <w:t>Clima este temperat continentală moderat</w:t>
      </w:r>
      <w:r w:rsidR="003876D5">
        <w:rPr>
          <w:rFonts w:ascii="Arial" w:hAnsi="Arial" w:cs="Arial"/>
          <w:kern w:val="1"/>
          <w:lang w:val="ro-RO" w:eastAsia="hi-IN" w:bidi="hi-IN"/>
        </w:rPr>
        <w:t>ă</w:t>
      </w:r>
      <w:r w:rsidRPr="003B5F37">
        <w:rPr>
          <w:rFonts w:ascii="Arial" w:hAnsi="Arial" w:cs="Arial"/>
          <w:kern w:val="1"/>
          <w:lang w:val="ro-RO" w:eastAsia="hi-IN" w:bidi="hi-IN"/>
        </w:rPr>
        <w:t>, cu u</w:t>
      </w:r>
      <w:r w:rsidR="003876D5">
        <w:rPr>
          <w:rFonts w:ascii="Arial" w:hAnsi="Arial" w:cs="Arial"/>
          <w:kern w:val="1"/>
          <w:lang w:val="ro-RO" w:eastAsia="hi-IN" w:bidi="hi-IN"/>
        </w:rPr>
        <w:t>ș</w:t>
      </w:r>
      <w:r w:rsidRPr="003B5F37">
        <w:rPr>
          <w:rFonts w:ascii="Arial" w:hAnsi="Arial" w:cs="Arial"/>
          <w:kern w:val="1"/>
          <w:lang w:val="ro-RO" w:eastAsia="hi-IN" w:bidi="hi-IN"/>
        </w:rPr>
        <w:t>oare influen</w:t>
      </w:r>
      <w:r w:rsidR="003876D5">
        <w:rPr>
          <w:rFonts w:ascii="Arial" w:hAnsi="Arial" w:cs="Arial"/>
          <w:kern w:val="1"/>
          <w:lang w:val="ro-RO" w:eastAsia="hi-IN" w:bidi="hi-IN"/>
        </w:rPr>
        <w:t>ț</w:t>
      </w:r>
      <w:r w:rsidRPr="003B5F37">
        <w:rPr>
          <w:rFonts w:ascii="Arial" w:hAnsi="Arial" w:cs="Arial"/>
          <w:kern w:val="1"/>
          <w:lang w:val="ro-RO" w:eastAsia="hi-IN" w:bidi="hi-IN"/>
        </w:rPr>
        <w:t xml:space="preserve">e mediteraneene </w:t>
      </w:r>
      <w:r w:rsidR="003876D5">
        <w:rPr>
          <w:rFonts w:ascii="Arial" w:hAnsi="Arial" w:cs="Arial"/>
          <w:kern w:val="1"/>
          <w:lang w:val="ro-RO" w:eastAsia="hi-IN" w:bidi="hi-IN"/>
        </w:rPr>
        <w:t>î</w:t>
      </w:r>
      <w:r w:rsidRPr="003B5F37">
        <w:rPr>
          <w:rFonts w:ascii="Arial" w:hAnsi="Arial" w:cs="Arial"/>
          <w:kern w:val="1"/>
          <w:lang w:val="ro-RO" w:eastAsia="hi-IN" w:bidi="hi-IN"/>
        </w:rPr>
        <w:t>n zona de deal. Volumul precipita</w:t>
      </w:r>
      <w:r w:rsidR="003876D5">
        <w:rPr>
          <w:rFonts w:ascii="Arial" w:hAnsi="Arial" w:cs="Arial"/>
          <w:kern w:val="1"/>
          <w:lang w:val="ro-RO" w:eastAsia="hi-IN" w:bidi="hi-IN"/>
        </w:rPr>
        <w:t>ț</w:t>
      </w:r>
      <w:r w:rsidRPr="003B5F37">
        <w:rPr>
          <w:rFonts w:ascii="Arial" w:hAnsi="Arial" w:cs="Arial"/>
          <w:kern w:val="1"/>
          <w:lang w:val="ro-RO" w:eastAsia="hi-IN" w:bidi="hi-IN"/>
        </w:rPr>
        <w:t>ii variaz</w:t>
      </w:r>
      <w:r w:rsidR="003876D5">
        <w:rPr>
          <w:rFonts w:ascii="Arial" w:hAnsi="Arial" w:cs="Arial"/>
          <w:kern w:val="1"/>
          <w:lang w:val="ro-RO" w:eastAsia="hi-IN" w:bidi="hi-IN"/>
        </w:rPr>
        <w:t>ă</w:t>
      </w:r>
      <w:r w:rsidRPr="003B5F37">
        <w:rPr>
          <w:rFonts w:ascii="Arial" w:hAnsi="Arial" w:cs="Arial"/>
          <w:color w:val="000000"/>
          <w:shd w:val="clear" w:color="auto" w:fill="FFFFFF"/>
          <w:lang w:val="ro-RO"/>
        </w:rPr>
        <w:t xml:space="preserve"> dup</w:t>
      </w:r>
      <w:r w:rsidR="003876D5">
        <w:rPr>
          <w:rFonts w:ascii="Arial" w:hAnsi="Arial" w:cs="Arial"/>
          <w:color w:val="000000"/>
          <w:shd w:val="clear" w:color="auto" w:fill="FFFFFF"/>
          <w:lang w:val="ro-RO"/>
        </w:rPr>
        <w:t>ă</w:t>
      </w:r>
      <w:r w:rsidRPr="003B5F37">
        <w:rPr>
          <w:rFonts w:ascii="Arial" w:hAnsi="Arial" w:cs="Arial"/>
          <w:color w:val="000000"/>
          <w:shd w:val="clear" w:color="auto" w:fill="FFFFFF"/>
          <w:lang w:val="ro-RO"/>
        </w:rPr>
        <w:t xml:space="preserve"> formele de relief, cu cantitati cuprinse intre 800 -1.000 mm anual in zonele de munte, 700-800 mm anual in zona de dealuri joase din sudul judetului. Astfel, nicăieri în acest judeţ precipitaţiunile nu scad sub 500 mm.</w:t>
      </w:r>
    </w:p>
    <w:p w14:paraId="218F48F8" w14:textId="77777777" w:rsidR="003B5F37" w:rsidRPr="003B5F37" w:rsidRDefault="003B5F37" w:rsidP="003B5F37">
      <w:pPr>
        <w:widowControl w:val="0"/>
        <w:suppressAutoHyphens/>
        <w:spacing w:after="0" w:line="276" w:lineRule="auto"/>
        <w:jc w:val="both"/>
        <w:rPr>
          <w:rFonts w:ascii="Arial" w:hAnsi="Arial" w:cs="Arial"/>
          <w:kern w:val="1"/>
          <w:lang w:val="ro-RO" w:eastAsia="hi-IN" w:bidi="hi-IN"/>
        </w:rPr>
      </w:pPr>
    </w:p>
    <w:p w14:paraId="10EF093F" w14:textId="77777777" w:rsidR="003B5F37" w:rsidRPr="003B5F37" w:rsidRDefault="00A545BB" w:rsidP="003B5F37">
      <w:pPr>
        <w:widowControl w:val="0"/>
        <w:suppressAutoHyphens/>
        <w:spacing w:after="0" w:line="276" w:lineRule="auto"/>
        <w:jc w:val="both"/>
        <w:rPr>
          <w:rFonts w:ascii="Arial" w:hAnsi="Arial" w:cs="Arial"/>
          <w:kern w:val="1"/>
          <w:lang w:val="ro-RO" w:eastAsia="hi-IN" w:bidi="hi-IN"/>
        </w:rPr>
      </w:pPr>
      <w:r w:rsidRPr="00A545BB">
        <w:rPr>
          <w:rFonts w:ascii="Arial" w:hAnsi="Arial" w:cs="Arial"/>
          <w:kern w:val="1"/>
          <w:lang w:val="ro-RO" w:eastAsia="hi-IN" w:bidi="hi-IN"/>
        </w:rPr>
        <w:lastRenderedPageBreak/>
        <w:t>Bogăția subsolurilor în sare, cărbune și petrol au stat la baza dezvoltării industriei chimice și extractivă din județ. Resursele subterane de ape minerale existente pe teritoriul județului au favorizat dezvoltarea turismului balnear. Calitatea terenurilor din zonele deluroase înalte din centrul județului că și cele deluroase joase din sudul județului au favorizat dezvoltarea industriei alimentare</w:t>
      </w:r>
      <w:r w:rsidR="003B5F37" w:rsidRPr="003B5F37">
        <w:rPr>
          <w:rFonts w:ascii="Arial" w:hAnsi="Arial" w:cs="Arial"/>
          <w:kern w:val="1"/>
          <w:lang w:val="ro-RO" w:eastAsia="hi-IN" w:bidi="hi-IN"/>
        </w:rPr>
        <w:t xml:space="preserve">. </w:t>
      </w:r>
      <w:r w:rsidRPr="00A545BB">
        <w:rPr>
          <w:rFonts w:ascii="Arial" w:hAnsi="Arial" w:cs="Arial"/>
          <w:kern w:val="1"/>
          <w:lang w:val="ro-RO" w:eastAsia="hi-IN" w:bidi="hi-IN"/>
        </w:rPr>
        <w:t>Potențialul energetic al Oltului și afluenților săi și suprafețele importante de pădure de pe teritoriul județului completează paleta de resurse naturale care contribuie la economia județului</w:t>
      </w:r>
      <w:r w:rsidR="003B5F37" w:rsidRPr="003B5F37">
        <w:rPr>
          <w:rFonts w:ascii="Arial" w:hAnsi="Arial" w:cs="Arial"/>
          <w:kern w:val="1"/>
          <w:lang w:val="ro-RO" w:eastAsia="hi-IN" w:bidi="hi-IN"/>
        </w:rPr>
        <w:t>.</w:t>
      </w:r>
    </w:p>
    <w:p w14:paraId="3D425D60" w14:textId="77777777" w:rsidR="003B5F37" w:rsidRPr="003B5F37" w:rsidRDefault="003B5F37" w:rsidP="003B5F37">
      <w:pPr>
        <w:widowControl w:val="0"/>
        <w:suppressAutoHyphens/>
        <w:spacing w:after="0" w:line="276" w:lineRule="auto"/>
        <w:jc w:val="both"/>
        <w:rPr>
          <w:rFonts w:ascii="Arial" w:hAnsi="Arial" w:cs="Arial"/>
          <w:kern w:val="1"/>
          <w:lang w:val="ro-RO" w:eastAsia="hi-IN" w:bidi="hi-IN"/>
        </w:rPr>
      </w:pPr>
      <w:r w:rsidRPr="003B5F37">
        <w:rPr>
          <w:rFonts w:ascii="Arial" w:hAnsi="Arial" w:cs="Arial"/>
          <w:kern w:val="1"/>
          <w:lang w:val="es-ES" w:eastAsia="hi-IN" w:bidi="hi-IN"/>
        </w:rPr>
        <w:t xml:space="preserve"> </w:t>
      </w:r>
    </w:p>
    <w:p w14:paraId="3604FB26" w14:textId="77777777" w:rsidR="003B5F37" w:rsidRPr="003B5F37" w:rsidRDefault="003B5F37" w:rsidP="003B5F37">
      <w:pPr>
        <w:widowControl w:val="0"/>
        <w:shd w:val="clear" w:color="auto" w:fill="FDE9D9"/>
        <w:suppressAutoHyphens/>
        <w:spacing w:after="0" w:line="360" w:lineRule="auto"/>
        <w:jc w:val="both"/>
        <w:rPr>
          <w:rFonts w:ascii="Arial" w:hAnsi="Arial" w:cs="Arial"/>
          <w:b/>
          <w:kern w:val="1"/>
          <w:lang w:val="ro-RO" w:eastAsia="hi-IN" w:bidi="hi-IN"/>
        </w:rPr>
      </w:pPr>
      <w:r w:rsidRPr="003B5F37">
        <w:rPr>
          <w:rFonts w:ascii="Arial" w:hAnsi="Arial" w:cs="Arial"/>
          <w:b/>
          <w:kern w:val="1"/>
          <w:lang w:val="ro-RO" w:eastAsia="hi-IN" w:bidi="hi-IN"/>
        </w:rPr>
        <w:t>Zone protejate şi biodiversitate</w:t>
      </w:r>
    </w:p>
    <w:p w14:paraId="7823C162" w14:textId="77777777" w:rsidR="003B5F37" w:rsidRPr="003B5F37" w:rsidRDefault="003B5F37" w:rsidP="003B5F37">
      <w:pPr>
        <w:widowControl w:val="0"/>
        <w:suppressAutoHyphens/>
        <w:spacing w:after="0" w:line="360" w:lineRule="auto"/>
        <w:jc w:val="both"/>
        <w:rPr>
          <w:rFonts w:ascii="Arial" w:hAnsi="Arial" w:cs="Arial"/>
          <w:kern w:val="1"/>
          <w:lang w:val="ro-RO" w:eastAsia="hi-IN" w:bidi="hi-IN"/>
        </w:rPr>
      </w:pPr>
      <w:r w:rsidRPr="003B5F37">
        <w:rPr>
          <w:rFonts w:ascii="Arial" w:hAnsi="Arial" w:cs="Arial"/>
          <w:kern w:val="1"/>
          <w:lang w:val="ro-RO" w:eastAsia="hi-IN" w:bidi="hi-IN"/>
        </w:rPr>
        <w:t>Judeţul V</w:t>
      </w:r>
      <w:r w:rsidR="00A545BB">
        <w:rPr>
          <w:rFonts w:ascii="Arial" w:hAnsi="Arial" w:cs="Arial"/>
          <w:kern w:val="1"/>
          <w:lang w:val="ro-RO" w:eastAsia="hi-IN" w:bidi="hi-IN"/>
        </w:rPr>
        <w:t>â</w:t>
      </w:r>
      <w:r w:rsidRPr="003B5F37">
        <w:rPr>
          <w:rFonts w:ascii="Arial" w:hAnsi="Arial" w:cs="Arial"/>
          <w:kern w:val="1"/>
          <w:lang w:val="ro-RO" w:eastAsia="hi-IN" w:bidi="hi-IN"/>
        </w:rPr>
        <w:t xml:space="preserve">lcea beneficiază de o mare diversitate atât din punct de vedere al reliefului cât și al varietăţii biologice. </w:t>
      </w:r>
    </w:p>
    <w:p w14:paraId="0EBED1FA" w14:textId="77777777" w:rsidR="003B5F37" w:rsidRPr="003B5F37" w:rsidRDefault="003B5F37" w:rsidP="003B5F37">
      <w:pPr>
        <w:widowControl w:val="0"/>
        <w:suppressAutoHyphens/>
        <w:spacing w:after="0" w:line="276" w:lineRule="auto"/>
        <w:jc w:val="both"/>
        <w:rPr>
          <w:rFonts w:ascii="Arial" w:hAnsi="Arial" w:cs="Arial"/>
          <w:kern w:val="1"/>
          <w:lang w:val="ro-RO" w:eastAsia="hi-IN" w:bidi="hi-IN"/>
        </w:rPr>
      </w:pPr>
      <w:r w:rsidRPr="003B5F37">
        <w:rPr>
          <w:rFonts w:ascii="Arial" w:hAnsi="Arial" w:cs="Arial"/>
          <w:kern w:val="1"/>
          <w:lang w:val="ro-RO" w:eastAsia="hi-IN" w:bidi="hi-IN"/>
        </w:rPr>
        <w:t>În judeţul V</w:t>
      </w:r>
      <w:r w:rsidR="00A545BB">
        <w:rPr>
          <w:rFonts w:ascii="Arial" w:hAnsi="Arial" w:cs="Arial"/>
          <w:kern w:val="1"/>
          <w:lang w:val="ro-RO" w:eastAsia="hi-IN" w:bidi="hi-IN"/>
        </w:rPr>
        <w:t>â</w:t>
      </w:r>
      <w:r w:rsidRPr="003B5F37">
        <w:rPr>
          <w:rFonts w:ascii="Arial" w:hAnsi="Arial" w:cs="Arial"/>
          <w:kern w:val="1"/>
          <w:lang w:val="ro-RO" w:eastAsia="hi-IN" w:bidi="hi-IN"/>
        </w:rPr>
        <w:t xml:space="preserve">lcea există, conform Legii nr. 5/2000, arii naturale protejate Natura 2000, parcuri naţionale, rezervaţii naturale şi monumente ale naturii (speologice). </w:t>
      </w:r>
    </w:p>
    <w:p w14:paraId="498A2396" w14:textId="77777777" w:rsidR="003B5F37" w:rsidRPr="003B5F37" w:rsidRDefault="003B5F37" w:rsidP="003B5F37">
      <w:pPr>
        <w:widowControl w:val="0"/>
        <w:suppressAutoHyphens/>
        <w:spacing w:before="100" w:beforeAutospacing="1" w:after="100" w:afterAutospacing="1" w:line="276" w:lineRule="auto"/>
        <w:jc w:val="both"/>
        <w:rPr>
          <w:rFonts w:ascii="Arial" w:hAnsi="Arial" w:cs="Arial"/>
          <w:kern w:val="1"/>
          <w:lang w:val="ro-RO" w:eastAsia="hi-IN" w:bidi="hi-IN"/>
        </w:rPr>
      </w:pPr>
      <w:r w:rsidRPr="003B5F37">
        <w:rPr>
          <w:rFonts w:ascii="Arial" w:hAnsi="Arial" w:cs="Arial"/>
          <w:b/>
          <w:kern w:val="1"/>
          <w:lang w:val="ro-RO" w:eastAsia="hi-IN" w:bidi="hi-IN"/>
        </w:rPr>
        <w:t>Ariile de Protecţie Specială Avifaunistică</w:t>
      </w:r>
      <w:r w:rsidRPr="003B5F37">
        <w:rPr>
          <w:rFonts w:ascii="Arial" w:hAnsi="Arial" w:cs="Arial"/>
          <w:kern w:val="1"/>
          <w:lang w:val="ro-RO" w:eastAsia="hi-IN" w:bidi="hi-IN"/>
        </w:rPr>
        <w:t>, ca parte integrantă a Reţelei Natura 2000, de pe teritoriul județului V</w:t>
      </w:r>
      <w:r w:rsidR="00A545BB">
        <w:rPr>
          <w:rFonts w:ascii="Arial" w:hAnsi="Arial" w:cs="Arial"/>
          <w:kern w:val="1"/>
          <w:lang w:val="ro-RO" w:eastAsia="hi-IN" w:bidi="hi-IN"/>
        </w:rPr>
        <w:t>â</w:t>
      </w:r>
      <w:r w:rsidRPr="003B5F37">
        <w:rPr>
          <w:rFonts w:ascii="Arial" w:hAnsi="Arial" w:cs="Arial"/>
          <w:kern w:val="1"/>
          <w:lang w:val="ro-RO" w:eastAsia="hi-IN" w:bidi="hi-IN"/>
        </w:rPr>
        <w:t>lcea:</w:t>
      </w:r>
    </w:p>
    <w:p w14:paraId="5383FB12" w14:textId="709CE3C2" w:rsidR="003B5F37" w:rsidRPr="003B5F37" w:rsidRDefault="00A545BB" w:rsidP="00A545BB">
      <w:pPr>
        <w:pStyle w:val="Legend"/>
        <w:jc w:val="center"/>
        <w:rPr>
          <w:rFonts w:ascii="Arial" w:hAnsi="Arial" w:cs="Arial"/>
          <w:color w:val="1F497D"/>
          <w:kern w:val="1"/>
          <w:sz w:val="22"/>
          <w:szCs w:val="22"/>
          <w:lang w:val="ro-RO" w:eastAsia="hi-IN" w:bidi="hi-IN"/>
        </w:rPr>
      </w:pPr>
      <w:bookmarkStart w:id="348" w:name="_Toc68361251"/>
      <w:bookmarkStart w:id="349" w:name="_Toc96447418"/>
      <w:r w:rsidRPr="00A545BB">
        <w:rPr>
          <w:rFonts w:ascii="Arial" w:hAnsi="Arial" w:cs="Arial"/>
          <w:sz w:val="22"/>
          <w:szCs w:val="22"/>
        </w:rPr>
        <w:t xml:space="preserve">Tabel I.4. </w:t>
      </w:r>
      <w:r w:rsidRPr="00A545BB">
        <w:rPr>
          <w:rFonts w:ascii="Arial" w:hAnsi="Arial" w:cs="Arial"/>
          <w:sz w:val="22"/>
          <w:szCs w:val="22"/>
        </w:rPr>
        <w:fldChar w:fldCharType="begin"/>
      </w:r>
      <w:r w:rsidRPr="00A545BB">
        <w:rPr>
          <w:rFonts w:ascii="Arial" w:hAnsi="Arial" w:cs="Arial"/>
          <w:sz w:val="22"/>
          <w:szCs w:val="22"/>
        </w:rPr>
        <w:instrText xml:space="preserve"> SEQ Tabel_I.4. \* ARABIC </w:instrText>
      </w:r>
      <w:r w:rsidRPr="00A545BB">
        <w:rPr>
          <w:rFonts w:ascii="Arial" w:hAnsi="Arial" w:cs="Arial"/>
          <w:sz w:val="22"/>
          <w:szCs w:val="22"/>
        </w:rPr>
        <w:fldChar w:fldCharType="separate"/>
      </w:r>
      <w:r w:rsidR="00BB181C">
        <w:rPr>
          <w:rFonts w:ascii="Arial" w:hAnsi="Arial" w:cs="Arial"/>
          <w:noProof/>
          <w:sz w:val="22"/>
          <w:szCs w:val="22"/>
        </w:rPr>
        <w:t>8</w:t>
      </w:r>
      <w:r w:rsidRPr="00A545BB">
        <w:rPr>
          <w:rFonts w:ascii="Arial" w:hAnsi="Arial" w:cs="Arial"/>
          <w:sz w:val="22"/>
          <w:szCs w:val="22"/>
        </w:rPr>
        <w:fldChar w:fldCharType="end"/>
      </w:r>
      <w:r w:rsidRPr="00A545BB">
        <w:rPr>
          <w:rFonts w:ascii="Arial" w:hAnsi="Arial" w:cs="Arial"/>
          <w:sz w:val="22"/>
          <w:szCs w:val="22"/>
        </w:rPr>
        <w:t xml:space="preserve"> </w:t>
      </w:r>
      <w:r w:rsidR="003B5F37" w:rsidRPr="003B5F37">
        <w:rPr>
          <w:rFonts w:ascii="Arial" w:hAnsi="Arial" w:cs="Arial"/>
          <w:color w:val="1F497D"/>
          <w:sz w:val="22"/>
          <w:szCs w:val="22"/>
          <w:lang w:val="fr-FR"/>
        </w:rPr>
        <w:t xml:space="preserve">– </w:t>
      </w:r>
      <w:r w:rsidR="003B5F37" w:rsidRPr="003B5F37">
        <w:rPr>
          <w:rFonts w:ascii="Arial" w:hAnsi="Arial" w:cs="Arial"/>
          <w:i w:val="0"/>
          <w:iCs w:val="0"/>
          <w:color w:val="1F497D"/>
          <w:sz w:val="22"/>
          <w:szCs w:val="22"/>
          <w:lang w:val="fr-FR"/>
        </w:rPr>
        <w:t xml:space="preserve">Arii de Protecție Specială Avifaunistică – Natura 2000 – județul </w:t>
      </w:r>
      <w:bookmarkEnd w:id="348"/>
      <w:r w:rsidR="003B5F37" w:rsidRPr="003B5F37">
        <w:rPr>
          <w:rFonts w:ascii="Arial" w:hAnsi="Arial" w:cs="Arial"/>
          <w:i w:val="0"/>
          <w:iCs w:val="0"/>
          <w:color w:val="1F497D"/>
          <w:sz w:val="22"/>
          <w:szCs w:val="22"/>
          <w:lang w:val="fr-FR"/>
        </w:rPr>
        <w:t>Valcea</w:t>
      </w:r>
      <w:bookmarkEnd w:id="349"/>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275"/>
        <w:gridCol w:w="1276"/>
        <w:gridCol w:w="1418"/>
        <w:gridCol w:w="3260"/>
      </w:tblGrid>
      <w:tr w:rsidR="003B5F37" w:rsidRPr="003B5F37" w14:paraId="677F5207" w14:textId="77777777" w:rsidTr="003B5F37">
        <w:tc>
          <w:tcPr>
            <w:tcW w:w="2235" w:type="dxa"/>
            <w:shd w:val="clear" w:color="auto" w:fill="FDE9D9"/>
          </w:tcPr>
          <w:p w14:paraId="0943C99E" w14:textId="77777777" w:rsidR="003B5F37" w:rsidRPr="003B5F37" w:rsidRDefault="003B5F37" w:rsidP="003B5F37">
            <w:pPr>
              <w:widowControl w:val="0"/>
              <w:suppressAutoHyphens/>
              <w:spacing w:after="0" w:line="240" w:lineRule="auto"/>
              <w:jc w:val="center"/>
              <w:rPr>
                <w:rFonts w:ascii="Arial" w:hAnsi="Arial" w:cs="Arial"/>
                <w:kern w:val="1"/>
                <w:sz w:val="20"/>
                <w:szCs w:val="20"/>
                <w:lang w:val="ro-RO" w:eastAsia="hi-IN" w:bidi="hi-IN"/>
              </w:rPr>
            </w:pPr>
            <w:r w:rsidRPr="003B5F37">
              <w:rPr>
                <w:rFonts w:ascii="Arial" w:eastAsia="Times New Roman" w:hAnsi="Arial" w:cs="Arial"/>
                <w:b/>
                <w:bCs/>
                <w:sz w:val="20"/>
                <w:szCs w:val="20"/>
                <w:lang w:val="fr-FR" w:eastAsia="fr-FR"/>
              </w:rPr>
              <w:t>Numele sitului</w:t>
            </w:r>
          </w:p>
        </w:tc>
        <w:tc>
          <w:tcPr>
            <w:tcW w:w="1275" w:type="dxa"/>
            <w:shd w:val="clear" w:color="auto" w:fill="FDE9D9"/>
          </w:tcPr>
          <w:p w14:paraId="089A7158" w14:textId="77777777" w:rsidR="003B5F37" w:rsidRPr="003B5F37" w:rsidRDefault="003B5F37" w:rsidP="003B5F37">
            <w:pPr>
              <w:widowControl w:val="0"/>
              <w:suppressAutoHyphens/>
              <w:spacing w:after="0" w:line="240" w:lineRule="auto"/>
              <w:jc w:val="center"/>
              <w:rPr>
                <w:rFonts w:ascii="Arial" w:hAnsi="Arial" w:cs="Arial"/>
                <w:kern w:val="1"/>
                <w:sz w:val="20"/>
                <w:szCs w:val="20"/>
                <w:lang w:val="ro-RO" w:eastAsia="hi-IN" w:bidi="hi-IN"/>
              </w:rPr>
            </w:pPr>
            <w:r w:rsidRPr="003B5F37">
              <w:rPr>
                <w:rFonts w:ascii="Arial" w:eastAsia="Times New Roman" w:hAnsi="Arial" w:cs="Arial"/>
                <w:b/>
                <w:bCs/>
                <w:sz w:val="20"/>
                <w:szCs w:val="20"/>
                <w:lang w:val="fr-FR" w:eastAsia="fr-FR"/>
              </w:rPr>
              <w:t>Localizare</w:t>
            </w:r>
            <w:r w:rsidRPr="003B5F37">
              <w:rPr>
                <w:rFonts w:ascii="Arial" w:eastAsia="Times New Roman" w:hAnsi="Arial" w:cs="Arial"/>
                <w:b/>
                <w:bCs/>
                <w:sz w:val="20"/>
                <w:szCs w:val="20"/>
                <w:lang w:val="fr-FR" w:eastAsia="fr-FR"/>
              </w:rPr>
              <w:br/>
              <w:t>(județ)</w:t>
            </w:r>
          </w:p>
        </w:tc>
        <w:tc>
          <w:tcPr>
            <w:tcW w:w="1276" w:type="dxa"/>
            <w:shd w:val="clear" w:color="auto" w:fill="FDE9D9"/>
          </w:tcPr>
          <w:p w14:paraId="27FAE043" w14:textId="77777777" w:rsidR="003B5F37" w:rsidRPr="003B5F37" w:rsidRDefault="003B5F37" w:rsidP="003B5F37">
            <w:pPr>
              <w:widowControl w:val="0"/>
              <w:suppressAutoHyphens/>
              <w:spacing w:after="0" w:line="240" w:lineRule="auto"/>
              <w:jc w:val="center"/>
              <w:rPr>
                <w:rFonts w:ascii="Arial" w:hAnsi="Arial" w:cs="Arial"/>
                <w:kern w:val="1"/>
                <w:sz w:val="20"/>
                <w:szCs w:val="20"/>
                <w:lang w:val="ro-RO" w:eastAsia="hi-IN" w:bidi="hi-IN"/>
              </w:rPr>
            </w:pPr>
            <w:r w:rsidRPr="003B5F37">
              <w:rPr>
                <w:rFonts w:ascii="Arial" w:eastAsia="Times New Roman" w:hAnsi="Arial" w:cs="Arial"/>
                <w:b/>
                <w:bCs/>
                <w:sz w:val="20"/>
                <w:szCs w:val="20"/>
                <w:lang w:val="fr-FR" w:eastAsia="fr-FR"/>
              </w:rPr>
              <w:t>Suprafață</w:t>
            </w:r>
            <w:r w:rsidRPr="003B5F37">
              <w:rPr>
                <w:rFonts w:ascii="Arial" w:eastAsia="Times New Roman" w:hAnsi="Arial" w:cs="Arial"/>
                <w:b/>
                <w:bCs/>
                <w:sz w:val="20"/>
                <w:szCs w:val="20"/>
                <w:lang w:val="fr-FR" w:eastAsia="fr-FR"/>
              </w:rPr>
              <w:br/>
              <w:t>(ha)</w:t>
            </w:r>
          </w:p>
        </w:tc>
        <w:tc>
          <w:tcPr>
            <w:tcW w:w="1418" w:type="dxa"/>
            <w:shd w:val="clear" w:color="auto" w:fill="FDE9D9"/>
          </w:tcPr>
          <w:p w14:paraId="5E7A3305" w14:textId="77777777" w:rsidR="003B5F37" w:rsidRPr="003B5F37" w:rsidRDefault="003B5F37" w:rsidP="003B5F37">
            <w:pPr>
              <w:widowControl w:val="0"/>
              <w:suppressAutoHyphens/>
              <w:spacing w:after="0" w:line="240" w:lineRule="auto"/>
              <w:jc w:val="center"/>
              <w:rPr>
                <w:rFonts w:ascii="Arial" w:hAnsi="Arial" w:cs="Arial"/>
                <w:kern w:val="1"/>
                <w:sz w:val="20"/>
                <w:szCs w:val="20"/>
                <w:lang w:val="ro-RO" w:eastAsia="hi-IN" w:bidi="hi-IN"/>
              </w:rPr>
            </w:pPr>
            <w:r w:rsidRPr="003B5F37">
              <w:rPr>
                <w:rFonts w:ascii="Arial" w:eastAsia="Times New Roman" w:hAnsi="Arial" w:cs="Arial"/>
                <w:b/>
                <w:bCs/>
                <w:sz w:val="20"/>
                <w:szCs w:val="20"/>
                <w:lang w:val="fr-FR" w:eastAsia="fr-FR"/>
              </w:rPr>
              <w:t>Cod SPA</w:t>
            </w:r>
            <w:r w:rsidRPr="003B5F37">
              <w:rPr>
                <w:rFonts w:ascii="Arial" w:eastAsia="Times New Roman" w:hAnsi="Arial" w:cs="Arial"/>
                <w:b/>
                <w:bCs/>
                <w:sz w:val="20"/>
                <w:szCs w:val="20"/>
                <w:lang w:val="fr-FR" w:eastAsia="fr-FR"/>
              </w:rPr>
              <w:br/>
            </w:r>
          </w:p>
        </w:tc>
        <w:tc>
          <w:tcPr>
            <w:tcW w:w="3260" w:type="dxa"/>
            <w:shd w:val="clear" w:color="auto" w:fill="FDE9D9"/>
          </w:tcPr>
          <w:p w14:paraId="11042800" w14:textId="77777777" w:rsidR="003B5F37" w:rsidRPr="003B5F37" w:rsidRDefault="003B5F37" w:rsidP="003B5F37">
            <w:pPr>
              <w:widowControl w:val="0"/>
              <w:suppressAutoHyphens/>
              <w:spacing w:after="0" w:line="240" w:lineRule="auto"/>
              <w:jc w:val="center"/>
              <w:rPr>
                <w:rFonts w:ascii="Arial" w:hAnsi="Arial" w:cs="Arial"/>
                <w:kern w:val="1"/>
                <w:sz w:val="20"/>
                <w:szCs w:val="20"/>
                <w:lang w:val="ro-RO" w:eastAsia="hi-IN" w:bidi="hi-IN"/>
              </w:rPr>
            </w:pPr>
            <w:r w:rsidRPr="003B5F37">
              <w:rPr>
                <w:rFonts w:ascii="Arial" w:eastAsia="Times New Roman" w:hAnsi="Arial" w:cs="Arial"/>
                <w:b/>
                <w:bCs/>
                <w:sz w:val="20"/>
                <w:szCs w:val="20"/>
                <w:lang w:val="fr-FR" w:eastAsia="fr-FR"/>
              </w:rPr>
              <w:t>Arii protejate suprapuse sitului</w:t>
            </w:r>
          </w:p>
        </w:tc>
      </w:tr>
      <w:tr w:rsidR="003B5F37" w:rsidRPr="003B5F37" w14:paraId="6BA14F8A" w14:textId="77777777" w:rsidTr="00655DD6">
        <w:tc>
          <w:tcPr>
            <w:tcW w:w="2235" w:type="dxa"/>
            <w:shd w:val="clear" w:color="auto" w:fill="auto"/>
          </w:tcPr>
          <w:p w14:paraId="1A7AC211" w14:textId="77777777" w:rsidR="003B5F37" w:rsidRPr="003B5F37" w:rsidRDefault="003B5F37" w:rsidP="003B5F37">
            <w:pPr>
              <w:widowControl w:val="0"/>
              <w:suppressAutoHyphens/>
              <w:spacing w:after="0" w:line="240" w:lineRule="auto"/>
              <w:rPr>
                <w:rFonts w:ascii="Arial" w:hAnsi="Arial" w:cs="Arial"/>
                <w:b/>
                <w:kern w:val="1"/>
                <w:sz w:val="20"/>
                <w:szCs w:val="20"/>
                <w:lang w:val="ro-RO" w:eastAsia="hi-IN" w:bidi="hi-IN"/>
              </w:rPr>
            </w:pPr>
            <w:r w:rsidRPr="003B5F37">
              <w:rPr>
                <w:rFonts w:ascii="Arial" w:hAnsi="Arial" w:cs="Arial"/>
                <w:b/>
                <w:kern w:val="1"/>
                <w:sz w:val="20"/>
                <w:szCs w:val="20"/>
                <w:lang w:val="ro-RO" w:eastAsia="hi-IN" w:bidi="hi-IN"/>
              </w:rPr>
              <w:t>Cozia - Buila Vânturarița</w:t>
            </w:r>
          </w:p>
        </w:tc>
        <w:tc>
          <w:tcPr>
            <w:tcW w:w="1275" w:type="dxa"/>
            <w:shd w:val="clear" w:color="auto" w:fill="auto"/>
          </w:tcPr>
          <w:p w14:paraId="7273D2C0"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Vâlcea</w:t>
            </w:r>
          </w:p>
        </w:tc>
        <w:tc>
          <w:tcPr>
            <w:tcW w:w="1276" w:type="dxa"/>
            <w:shd w:val="clear" w:color="auto" w:fill="auto"/>
          </w:tcPr>
          <w:p w14:paraId="60690204"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21.769</w:t>
            </w:r>
          </w:p>
        </w:tc>
        <w:tc>
          <w:tcPr>
            <w:tcW w:w="1418" w:type="dxa"/>
            <w:shd w:val="clear" w:color="auto" w:fill="auto"/>
          </w:tcPr>
          <w:p w14:paraId="377F2D71"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ROSPA0025</w:t>
            </w:r>
          </w:p>
        </w:tc>
        <w:tc>
          <w:tcPr>
            <w:tcW w:w="3260" w:type="dxa"/>
            <w:shd w:val="clear" w:color="auto" w:fill="auto"/>
          </w:tcPr>
          <w:p w14:paraId="24FF27A9"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Parcul Național Buila-Vânturarița, Parcul Național Cozia, Peștera Rac, Peștera Liliecilor, Peștera cu Perle, Peștera Valea Bistrița, Peștera Arnăuților, Peștera Clopot, Pădurea Călinești - Brezoi, Muntele Stogu, Pădurea Valea Cheii</w:t>
            </w:r>
          </w:p>
        </w:tc>
      </w:tr>
      <w:tr w:rsidR="003B5F37" w:rsidRPr="003B5F37" w14:paraId="11D8D6B6" w14:textId="77777777" w:rsidTr="00655DD6">
        <w:tc>
          <w:tcPr>
            <w:tcW w:w="2235" w:type="dxa"/>
            <w:tcBorders>
              <w:top w:val="single" w:sz="4" w:space="0" w:color="auto"/>
              <w:left w:val="single" w:sz="4" w:space="0" w:color="auto"/>
              <w:bottom w:val="single" w:sz="4" w:space="0" w:color="auto"/>
              <w:right w:val="single" w:sz="4" w:space="0" w:color="auto"/>
            </w:tcBorders>
            <w:shd w:val="clear" w:color="auto" w:fill="auto"/>
          </w:tcPr>
          <w:p w14:paraId="26755679" w14:textId="77777777" w:rsidR="003B5F37" w:rsidRPr="003B5F37" w:rsidRDefault="003B5F37" w:rsidP="003B5F37">
            <w:pPr>
              <w:widowControl w:val="0"/>
              <w:suppressAutoHyphens/>
              <w:spacing w:after="0" w:line="240" w:lineRule="auto"/>
              <w:rPr>
                <w:rFonts w:ascii="Arial" w:hAnsi="Arial" w:cs="Arial"/>
                <w:b/>
                <w:kern w:val="1"/>
                <w:sz w:val="20"/>
                <w:szCs w:val="20"/>
                <w:lang w:val="ro-RO" w:eastAsia="hi-IN" w:bidi="hi-IN"/>
              </w:rPr>
            </w:pPr>
            <w:r w:rsidRPr="003B5F37">
              <w:rPr>
                <w:rFonts w:ascii="Arial" w:hAnsi="Arial" w:cs="Arial"/>
                <w:b/>
                <w:kern w:val="1"/>
                <w:sz w:val="20"/>
                <w:szCs w:val="20"/>
                <w:lang w:val="ro-RO" w:eastAsia="hi-IN" w:bidi="hi-IN"/>
              </w:rPr>
              <w:t>Frumoasa (SPA)</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E8324D0"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Alba</w:t>
            </w:r>
            <w:r w:rsidRPr="003B5F37">
              <w:rPr>
                <w:rFonts w:ascii="Arial" w:hAnsi="Arial" w:cs="Arial"/>
                <w:kern w:val="1"/>
                <w:sz w:val="20"/>
                <w:szCs w:val="20"/>
                <w:lang w:val="ro-RO" w:eastAsia="hi-IN" w:bidi="hi-IN"/>
              </w:rPr>
              <w:br/>
              <w:t>Sibiu</w:t>
            </w:r>
            <w:r w:rsidRPr="003B5F37">
              <w:rPr>
                <w:rFonts w:ascii="Arial" w:hAnsi="Arial" w:cs="Arial"/>
                <w:kern w:val="1"/>
                <w:sz w:val="20"/>
                <w:szCs w:val="20"/>
                <w:lang w:val="ro-RO" w:eastAsia="hi-IN" w:bidi="hi-IN"/>
              </w:rPr>
              <w:br/>
              <w:t>Vâlcea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8283CFF"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130.980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AB8B8D0"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ROSPA0043</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6B96C38D"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Iezărele Cindrelului, Masa Jidovului, La Grumaji, Parcul Natural Cindrel, Jnepenișul Stricatul, Rezervația Sterpu-Dealul Negru, Rezervația Cristești</w:t>
            </w:r>
          </w:p>
        </w:tc>
      </w:tr>
      <w:tr w:rsidR="003B5F37" w:rsidRPr="003B5F37" w14:paraId="0E69584B" w14:textId="77777777" w:rsidTr="00655DD6">
        <w:tc>
          <w:tcPr>
            <w:tcW w:w="2235" w:type="dxa"/>
            <w:tcBorders>
              <w:top w:val="single" w:sz="4" w:space="0" w:color="auto"/>
              <w:left w:val="single" w:sz="4" w:space="0" w:color="auto"/>
              <w:bottom w:val="single" w:sz="4" w:space="0" w:color="auto"/>
              <w:right w:val="single" w:sz="4" w:space="0" w:color="auto"/>
            </w:tcBorders>
            <w:shd w:val="clear" w:color="auto" w:fill="auto"/>
          </w:tcPr>
          <w:p w14:paraId="46B1B98A" w14:textId="77777777" w:rsidR="003B5F37" w:rsidRPr="003B5F37" w:rsidRDefault="003B5F37" w:rsidP="003B5F37">
            <w:pPr>
              <w:widowControl w:val="0"/>
              <w:suppressAutoHyphens/>
              <w:spacing w:after="0" w:line="240" w:lineRule="auto"/>
              <w:rPr>
                <w:rFonts w:ascii="Arial" w:hAnsi="Arial" w:cs="Arial"/>
                <w:b/>
                <w:kern w:val="1"/>
                <w:sz w:val="20"/>
                <w:szCs w:val="20"/>
                <w:lang w:val="ro-RO" w:eastAsia="hi-IN" w:bidi="hi-IN"/>
              </w:rPr>
            </w:pPr>
            <w:r w:rsidRPr="003B5F37">
              <w:rPr>
                <w:rFonts w:ascii="Arial" w:hAnsi="Arial" w:cs="Arial"/>
                <w:b/>
                <w:kern w:val="1"/>
                <w:sz w:val="20"/>
                <w:szCs w:val="20"/>
                <w:lang w:val="ro-RO" w:eastAsia="hi-IN" w:bidi="hi-IN"/>
              </w:rPr>
              <w:t>Valea Oltului Inferior (SPA)</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B27D088"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Olt</w:t>
            </w:r>
            <w:r w:rsidRPr="003B5F37">
              <w:rPr>
                <w:rFonts w:ascii="Arial" w:hAnsi="Arial" w:cs="Arial"/>
                <w:kern w:val="1"/>
                <w:sz w:val="20"/>
                <w:szCs w:val="20"/>
                <w:lang w:val="ro-RO" w:eastAsia="hi-IN" w:bidi="hi-IN"/>
              </w:rPr>
              <w:br/>
              <w:t>Teleorman</w:t>
            </w:r>
            <w:r w:rsidRPr="003B5F37">
              <w:rPr>
                <w:rFonts w:ascii="Arial" w:hAnsi="Arial" w:cs="Arial"/>
                <w:kern w:val="1"/>
                <w:sz w:val="20"/>
                <w:szCs w:val="20"/>
                <w:lang w:val="ro-RO" w:eastAsia="hi-IN" w:bidi="hi-IN"/>
              </w:rPr>
              <w:br/>
              <w:t>Vâlcea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177AC60"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52.786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71CB6D7"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ROSPA0106</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039F3964"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Iris - Malu Roșu, Lacul Strejești</w:t>
            </w:r>
          </w:p>
        </w:tc>
      </w:tr>
    </w:tbl>
    <w:p w14:paraId="7A6CFA1A" w14:textId="77777777" w:rsidR="003B5F37" w:rsidRPr="003B5F37" w:rsidRDefault="003B5F37" w:rsidP="003B5F37">
      <w:pPr>
        <w:widowControl w:val="0"/>
        <w:suppressAutoHyphens/>
        <w:spacing w:before="100" w:beforeAutospacing="1" w:after="100" w:afterAutospacing="1" w:line="276" w:lineRule="auto"/>
        <w:jc w:val="both"/>
        <w:rPr>
          <w:rFonts w:ascii="Arial" w:hAnsi="Arial" w:cs="Arial"/>
          <w:kern w:val="1"/>
          <w:lang w:val="ro-RO" w:eastAsia="hi-IN" w:bidi="hi-IN"/>
        </w:rPr>
      </w:pPr>
      <w:r w:rsidRPr="003B5F37">
        <w:rPr>
          <w:rFonts w:ascii="Arial" w:hAnsi="Arial" w:cs="Arial"/>
          <w:b/>
          <w:kern w:val="1"/>
          <w:lang w:val="ro-RO" w:eastAsia="hi-IN" w:bidi="hi-IN"/>
        </w:rPr>
        <w:t>Situri de importanţă comunitară</w:t>
      </w:r>
      <w:r w:rsidRPr="003B5F37">
        <w:rPr>
          <w:rFonts w:ascii="Arial" w:hAnsi="Arial" w:cs="Arial"/>
          <w:kern w:val="1"/>
          <w:lang w:val="ro-RO" w:eastAsia="hi-IN" w:bidi="hi-IN"/>
        </w:rPr>
        <w:t>, ca parte integrantă a reţelei Natura 2000, de pe teritoriul județului V</w:t>
      </w:r>
      <w:r w:rsidR="00A545BB">
        <w:rPr>
          <w:rFonts w:ascii="Arial" w:hAnsi="Arial" w:cs="Arial"/>
          <w:kern w:val="1"/>
          <w:lang w:val="ro-RO" w:eastAsia="hi-IN" w:bidi="hi-IN"/>
        </w:rPr>
        <w:t>â</w:t>
      </w:r>
      <w:r w:rsidRPr="003B5F37">
        <w:rPr>
          <w:rFonts w:ascii="Arial" w:hAnsi="Arial" w:cs="Arial"/>
          <w:kern w:val="1"/>
          <w:lang w:val="ro-RO" w:eastAsia="hi-IN" w:bidi="hi-IN"/>
        </w:rPr>
        <w:t>lcea:</w:t>
      </w:r>
    </w:p>
    <w:p w14:paraId="41C3B4E0" w14:textId="22B086A1" w:rsidR="003B5F37" w:rsidRPr="003B5F37" w:rsidRDefault="00A545BB" w:rsidP="00A545BB">
      <w:pPr>
        <w:pStyle w:val="Legend"/>
        <w:jc w:val="center"/>
        <w:rPr>
          <w:rFonts w:ascii="Arial" w:hAnsi="Arial" w:cs="Arial"/>
          <w:i w:val="0"/>
          <w:iCs w:val="0"/>
          <w:color w:val="1F497D"/>
          <w:kern w:val="1"/>
          <w:sz w:val="22"/>
          <w:szCs w:val="22"/>
          <w:lang w:val="ro-RO" w:eastAsia="hi-IN" w:bidi="hi-IN"/>
        </w:rPr>
      </w:pPr>
      <w:bookmarkStart w:id="350" w:name="_Toc68361252"/>
      <w:bookmarkStart w:id="351" w:name="_Toc96447419"/>
      <w:r w:rsidRPr="00A545BB">
        <w:rPr>
          <w:rFonts w:ascii="Arial" w:hAnsi="Arial" w:cs="Arial"/>
          <w:sz w:val="22"/>
          <w:szCs w:val="22"/>
        </w:rPr>
        <w:t xml:space="preserve">Tabel I.4. </w:t>
      </w:r>
      <w:r w:rsidRPr="00A545BB">
        <w:rPr>
          <w:rFonts w:ascii="Arial" w:hAnsi="Arial" w:cs="Arial"/>
          <w:sz w:val="22"/>
          <w:szCs w:val="22"/>
        </w:rPr>
        <w:fldChar w:fldCharType="begin"/>
      </w:r>
      <w:r w:rsidRPr="00A545BB">
        <w:rPr>
          <w:rFonts w:ascii="Arial" w:hAnsi="Arial" w:cs="Arial"/>
          <w:sz w:val="22"/>
          <w:szCs w:val="22"/>
        </w:rPr>
        <w:instrText xml:space="preserve"> SEQ Tabel_I.4. \* ARABIC </w:instrText>
      </w:r>
      <w:r w:rsidRPr="00A545BB">
        <w:rPr>
          <w:rFonts w:ascii="Arial" w:hAnsi="Arial" w:cs="Arial"/>
          <w:sz w:val="22"/>
          <w:szCs w:val="22"/>
        </w:rPr>
        <w:fldChar w:fldCharType="separate"/>
      </w:r>
      <w:r w:rsidR="00BB181C">
        <w:rPr>
          <w:rFonts w:ascii="Arial" w:hAnsi="Arial" w:cs="Arial"/>
          <w:noProof/>
          <w:sz w:val="22"/>
          <w:szCs w:val="22"/>
        </w:rPr>
        <w:t>9</w:t>
      </w:r>
      <w:r w:rsidRPr="00A545BB">
        <w:rPr>
          <w:rFonts w:ascii="Arial" w:hAnsi="Arial" w:cs="Arial"/>
          <w:sz w:val="22"/>
          <w:szCs w:val="22"/>
        </w:rPr>
        <w:fldChar w:fldCharType="end"/>
      </w:r>
      <w:r w:rsidRPr="00A545BB">
        <w:rPr>
          <w:rFonts w:ascii="Arial" w:hAnsi="Arial" w:cs="Arial"/>
          <w:sz w:val="22"/>
          <w:szCs w:val="22"/>
        </w:rPr>
        <w:t xml:space="preserve"> </w:t>
      </w:r>
      <w:r w:rsidR="003B5F37" w:rsidRPr="003B5F37">
        <w:rPr>
          <w:rFonts w:ascii="Arial" w:hAnsi="Arial" w:cs="Arial"/>
          <w:color w:val="1F497D"/>
          <w:sz w:val="22"/>
          <w:szCs w:val="22"/>
          <w:lang w:val="fr-FR"/>
        </w:rPr>
        <w:t xml:space="preserve">– </w:t>
      </w:r>
      <w:r w:rsidR="003B5F37" w:rsidRPr="003B5F37">
        <w:rPr>
          <w:rFonts w:ascii="Arial" w:hAnsi="Arial" w:cs="Arial"/>
          <w:i w:val="0"/>
          <w:iCs w:val="0"/>
          <w:color w:val="1F497D"/>
          <w:sz w:val="22"/>
          <w:szCs w:val="22"/>
          <w:lang w:val="fr-FR"/>
        </w:rPr>
        <w:t xml:space="preserve">Situri de importanță comunitară – Natura 2000 – județul </w:t>
      </w:r>
      <w:bookmarkEnd w:id="350"/>
      <w:r w:rsidR="003B5F37" w:rsidRPr="003B5F37">
        <w:rPr>
          <w:rFonts w:ascii="Arial" w:hAnsi="Arial" w:cs="Arial"/>
          <w:i w:val="0"/>
          <w:iCs w:val="0"/>
          <w:color w:val="1F497D"/>
          <w:sz w:val="22"/>
          <w:szCs w:val="22"/>
          <w:lang w:val="fr-FR"/>
        </w:rPr>
        <w:t>V</w:t>
      </w:r>
      <w:r w:rsidR="00483C9F">
        <w:rPr>
          <w:rFonts w:ascii="Arial" w:hAnsi="Arial" w:cs="Arial"/>
          <w:i w:val="0"/>
          <w:iCs w:val="0"/>
          <w:color w:val="1F497D"/>
          <w:sz w:val="22"/>
          <w:szCs w:val="22"/>
          <w:lang w:val="fr-FR"/>
        </w:rPr>
        <w:t>â</w:t>
      </w:r>
      <w:r w:rsidR="003B5F37" w:rsidRPr="003B5F37">
        <w:rPr>
          <w:rFonts w:ascii="Arial" w:hAnsi="Arial" w:cs="Arial"/>
          <w:i w:val="0"/>
          <w:iCs w:val="0"/>
          <w:color w:val="1F497D"/>
          <w:sz w:val="22"/>
          <w:szCs w:val="22"/>
          <w:lang w:val="fr-FR"/>
        </w:rPr>
        <w:t>lcea</w:t>
      </w:r>
      <w:bookmarkEnd w:id="35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275"/>
        <w:gridCol w:w="1276"/>
        <w:gridCol w:w="1418"/>
        <w:gridCol w:w="3260"/>
      </w:tblGrid>
      <w:tr w:rsidR="003B5F37" w:rsidRPr="003B5F37" w14:paraId="153197A2" w14:textId="77777777" w:rsidTr="003B5F37">
        <w:tc>
          <w:tcPr>
            <w:tcW w:w="2235" w:type="dxa"/>
            <w:shd w:val="clear" w:color="auto" w:fill="FDE9D9"/>
          </w:tcPr>
          <w:p w14:paraId="0BFED1EA" w14:textId="77777777" w:rsidR="003B5F37" w:rsidRPr="003B5F37" w:rsidRDefault="003B5F37" w:rsidP="003B5F37">
            <w:pPr>
              <w:widowControl w:val="0"/>
              <w:suppressAutoHyphens/>
              <w:spacing w:after="0" w:line="240" w:lineRule="auto"/>
              <w:jc w:val="center"/>
              <w:rPr>
                <w:rFonts w:ascii="Arial" w:hAnsi="Arial" w:cs="Arial"/>
                <w:b/>
                <w:kern w:val="1"/>
                <w:sz w:val="20"/>
                <w:szCs w:val="20"/>
                <w:lang w:val="ro-RO" w:eastAsia="hi-IN" w:bidi="hi-IN"/>
              </w:rPr>
            </w:pPr>
            <w:r w:rsidRPr="003B5F37">
              <w:rPr>
                <w:rFonts w:ascii="Arial" w:eastAsia="Times New Roman" w:hAnsi="Arial" w:cs="Arial"/>
                <w:b/>
                <w:bCs/>
                <w:sz w:val="20"/>
                <w:szCs w:val="20"/>
                <w:lang w:val="fr-FR" w:eastAsia="fr-FR"/>
              </w:rPr>
              <w:t>Numele sitului</w:t>
            </w:r>
          </w:p>
        </w:tc>
        <w:tc>
          <w:tcPr>
            <w:tcW w:w="1275" w:type="dxa"/>
            <w:shd w:val="clear" w:color="auto" w:fill="FDE9D9"/>
          </w:tcPr>
          <w:p w14:paraId="49C7BDFF" w14:textId="77777777" w:rsidR="003B5F37" w:rsidRPr="003B5F37" w:rsidRDefault="003B5F37" w:rsidP="003B5F37">
            <w:pPr>
              <w:widowControl w:val="0"/>
              <w:suppressAutoHyphens/>
              <w:spacing w:after="0" w:line="240" w:lineRule="auto"/>
              <w:jc w:val="center"/>
              <w:rPr>
                <w:rFonts w:ascii="Arial" w:hAnsi="Arial" w:cs="Arial"/>
                <w:b/>
                <w:kern w:val="1"/>
                <w:sz w:val="20"/>
                <w:szCs w:val="20"/>
                <w:lang w:val="ro-RO" w:eastAsia="hi-IN" w:bidi="hi-IN"/>
              </w:rPr>
            </w:pPr>
            <w:r w:rsidRPr="003B5F37">
              <w:rPr>
                <w:rFonts w:ascii="Arial" w:eastAsia="Times New Roman" w:hAnsi="Arial" w:cs="Arial"/>
                <w:b/>
                <w:bCs/>
                <w:sz w:val="20"/>
                <w:szCs w:val="20"/>
                <w:lang w:val="fr-FR" w:eastAsia="fr-FR"/>
              </w:rPr>
              <w:t>Localizare</w:t>
            </w:r>
            <w:r w:rsidRPr="003B5F37">
              <w:rPr>
                <w:rFonts w:ascii="Arial" w:eastAsia="Times New Roman" w:hAnsi="Arial" w:cs="Arial"/>
                <w:b/>
                <w:bCs/>
                <w:sz w:val="20"/>
                <w:szCs w:val="20"/>
                <w:lang w:val="fr-FR" w:eastAsia="fr-FR"/>
              </w:rPr>
              <w:br/>
              <w:t>(județ)</w:t>
            </w:r>
          </w:p>
        </w:tc>
        <w:tc>
          <w:tcPr>
            <w:tcW w:w="1276" w:type="dxa"/>
            <w:shd w:val="clear" w:color="auto" w:fill="FDE9D9"/>
          </w:tcPr>
          <w:p w14:paraId="0ED0BE20" w14:textId="77777777" w:rsidR="003B5F37" w:rsidRPr="003B5F37" w:rsidRDefault="003B5F37" w:rsidP="003B5F37">
            <w:pPr>
              <w:widowControl w:val="0"/>
              <w:suppressAutoHyphens/>
              <w:spacing w:after="0" w:line="240" w:lineRule="auto"/>
              <w:jc w:val="center"/>
              <w:rPr>
                <w:rFonts w:ascii="Arial" w:hAnsi="Arial" w:cs="Arial"/>
                <w:b/>
                <w:kern w:val="1"/>
                <w:sz w:val="20"/>
                <w:szCs w:val="20"/>
                <w:lang w:val="ro-RO" w:eastAsia="hi-IN" w:bidi="hi-IN"/>
              </w:rPr>
            </w:pPr>
            <w:r w:rsidRPr="003B5F37">
              <w:rPr>
                <w:rFonts w:ascii="Arial" w:eastAsia="Times New Roman" w:hAnsi="Arial" w:cs="Arial"/>
                <w:b/>
                <w:bCs/>
                <w:sz w:val="20"/>
                <w:szCs w:val="20"/>
                <w:lang w:val="fr-FR" w:eastAsia="fr-FR"/>
              </w:rPr>
              <w:t>Suprafață</w:t>
            </w:r>
            <w:r w:rsidRPr="003B5F37">
              <w:rPr>
                <w:rFonts w:ascii="Arial" w:eastAsia="Times New Roman" w:hAnsi="Arial" w:cs="Arial"/>
                <w:b/>
                <w:bCs/>
                <w:sz w:val="20"/>
                <w:szCs w:val="20"/>
                <w:lang w:val="fr-FR" w:eastAsia="fr-FR"/>
              </w:rPr>
              <w:br/>
              <w:t>(ha)</w:t>
            </w:r>
          </w:p>
        </w:tc>
        <w:tc>
          <w:tcPr>
            <w:tcW w:w="1418" w:type="dxa"/>
            <w:shd w:val="clear" w:color="auto" w:fill="FDE9D9"/>
          </w:tcPr>
          <w:p w14:paraId="791A86F9" w14:textId="77777777" w:rsidR="003B5F37" w:rsidRPr="003B5F37" w:rsidRDefault="003B5F37" w:rsidP="003B5F37">
            <w:pPr>
              <w:widowControl w:val="0"/>
              <w:suppressAutoHyphens/>
              <w:spacing w:after="0" w:line="240" w:lineRule="auto"/>
              <w:jc w:val="center"/>
              <w:rPr>
                <w:rFonts w:ascii="Arial" w:hAnsi="Arial" w:cs="Arial"/>
                <w:b/>
                <w:kern w:val="1"/>
                <w:sz w:val="20"/>
                <w:szCs w:val="20"/>
                <w:lang w:val="ro-RO" w:eastAsia="hi-IN" w:bidi="hi-IN"/>
              </w:rPr>
            </w:pPr>
            <w:r w:rsidRPr="003B5F37">
              <w:rPr>
                <w:rFonts w:ascii="Arial" w:eastAsia="Times New Roman" w:hAnsi="Arial" w:cs="Arial"/>
                <w:b/>
                <w:bCs/>
                <w:sz w:val="20"/>
                <w:szCs w:val="20"/>
                <w:lang w:val="fr-FR" w:eastAsia="fr-FR"/>
              </w:rPr>
              <w:t>Cod SCI</w:t>
            </w:r>
            <w:r w:rsidRPr="003B5F37">
              <w:rPr>
                <w:rFonts w:ascii="Arial" w:eastAsia="Times New Roman" w:hAnsi="Arial" w:cs="Arial"/>
                <w:b/>
                <w:bCs/>
                <w:sz w:val="20"/>
                <w:szCs w:val="20"/>
                <w:lang w:val="fr-FR" w:eastAsia="fr-FR"/>
              </w:rPr>
              <w:br/>
            </w:r>
          </w:p>
        </w:tc>
        <w:tc>
          <w:tcPr>
            <w:tcW w:w="3260" w:type="dxa"/>
            <w:shd w:val="clear" w:color="auto" w:fill="FDE9D9"/>
          </w:tcPr>
          <w:p w14:paraId="09B8E4E3" w14:textId="77777777" w:rsidR="003B5F37" w:rsidRPr="003B5F37" w:rsidRDefault="003B5F37" w:rsidP="003B5F37">
            <w:pPr>
              <w:widowControl w:val="0"/>
              <w:suppressAutoHyphens/>
              <w:spacing w:after="0" w:line="240" w:lineRule="auto"/>
              <w:jc w:val="center"/>
              <w:rPr>
                <w:rFonts w:ascii="Arial" w:hAnsi="Arial" w:cs="Arial"/>
                <w:b/>
                <w:kern w:val="1"/>
                <w:sz w:val="20"/>
                <w:szCs w:val="20"/>
                <w:lang w:val="ro-RO" w:eastAsia="hi-IN" w:bidi="hi-IN"/>
              </w:rPr>
            </w:pPr>
            <w:r w:rsidRPr="003B5F37">
              <w:rPr>
                <w:rFonts w:ascii="Arial" w:eastAsia="Times New Roman" w:hAnsi="Arial" w:cs="Arial"/>
                <w:b/>
                <w:bCs/>
                <w:sz w:val="20"/>
                <w:szCs w:val="20"/>
                <w:lang w:val="fr-FR" w:eastAsia="fr-FR"/>
              </w:rPr>
              <w:t>Arii protejate suprapuse sitului</w:t>
            </w:r>
          </w:p>
        </w:tc>
      </w:tr>
      <w:tr w:rsidR="003B5F37" w:rsidRPr="003B5F37" w14:paraId="40379B07" w14:textId="77777777" w:rsidTr="00655DD6">
        <w:tc>
          <w:tcPr>
            <w:tcW w:w="2235" w:type="dxa"/>
            <w:shd w:val="clear" w:color="auto" w:fill="auto"/>
          </w:tcPr>
          <w:p w14:paraId="2A92DA0D" w14:textId="77777777" w:rsidR="003B5F37" w:rsidRPr="003B5F37" w:rsidRDefault="003B5F37" w:rsidP="003B5F37">
            <w:pPr>
              <w:widowControl w:val="0"/>
              <w:suppressAutoHyphens/>
              <w:spacing w:after="0" w:line="240" w:lineRule="auto"/>
              <w:rPr>
                <w:rFonts w:ascii="Arial" w:hAnsi="Arial" w:cs="Arial"/>
                <w:b/>
                <w:kern w:val="1"/>
                <w:sz w:val="20"/>
                <w:szCs w:val="20"/>
                <w:lang w:val="ro-RO" w:eastAsia="hi-IN" w:bidi="hi-IN"/>
              </w:rPr>
            </w:pPr>
            <w:r w:rsidRPr="003B5F37">
              <w:rPr>
                <w:rFonts w:ascii="Arial" w:hAnsi="Arial" w:cs="Arial"/>
                <w:b/>
                <w:kern w:val="1"/>
                <w:sz w:val="20"/>
                <w:szCs w:val="20"/>
                <w:lang w:val="ro-RO" w:eastAsia="hi-IN" w:bidi="hi-IN"/>
              </w:rPr>
              <w:t>Buila-Vânturarița</w:t>
            </w:r>
          </w:p>
        </w:tc>
        <w:tc>
          <w:tcPr>
            <w:tcW w:w="1275" w:type="dxa"/>
            <w:shd w:val="clear" w:color="auto" w:fill="auto"/>
          </w:tcPr>
          <w:p w14:paraId="5EC3E10A"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Vâlcea</w:t>
            </w:r>
          </w:p>
        </w:tc>
        <w:tc>
          <w:tcPr>
            <w:tcW w:w="1276" w:type="dxa"/>
            <w:shd w:val="clear" w:color="auto" w:fill="auto"/>
          </w:tcPr>
          <w:p w14:paraId="1B9D1EF1"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4.525</w:t>
            </w:r>
          </w:p>
        </w:tc>
        <w:tc>
          <w:tcPr>
            <w:tcW w:w="1418" w:type="dxa"/>
            <w:shd w:val="clear" w:color="auto" w:fill="auto"/>
          </w:tcPr>
          <w:p w14:paraId="75B8C303"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ROSCI0015</w:t>
            </w:r>
          </w:p>
        </w:tc>
        <w:tc>
          <w:tcPr>
            <w:tcW w:w="3260" w:type="dxa"/>
            <w:shd w:val="clear" w:color="auto" w:fill="auto"/>
          </w:tcPr>
          <w:p w14:paraId="4C1E4486"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 xml:space="preserve">Parcul Național Buila-Vânturarița, Muntele Stogu, Peștera Caprelor, Peștera Liliecilor, Peștera Munteanu - Murgoci, Peștera Pagodelor, Peștera Rac, Peștera cu Lac, Peștera Valea </w:t>
            </w:r>
            <w:r w:rsidRPr="003B5F37">
              <w:rPr>
                <w:rFonts w:ascii="Arial" w:hAnsi="Arial" w:cs="Arial"/>
                <w:kern w:val="1"/>
                <w:sz w:val="20"/>
                <w:szCs w:val="20"/>
                <w:lang w:val="ro-RO" w:eastAsia="hi-IN" w:bidi="hi-IN"/>
              </w:rPr>
              <w:lastRenderedPageBreak/>
              <w:t>Bistrița, Peștera Arnăuților, Peștera cu Perle, Peștera Clopot, Pădurea Valea Cheii</w:t>
            </w:r>
          </w:p>
        </w:tc>
      </w:tr>
      <w:tr w:rsidR="003B5F37" w:rsidRPr="003B5F37" w14:paraId="7C4EC7A8" w14:textId="77777777" w:rsidTr="00655DD6">
        <w:tc>
          <w:tcPr>
            <w:tcW w:w="2235" w:type="dxa"/>
            <w:tcBorders>
              <w:top w:val="single" w:sz="4" w:space="0" w:color="auto"/>
              <w:left w:val="single" w:sz="4" w:space="0" w:color="auto"/>
              <w:bottom w:val="single" w:sz="4" w:space="0" w:color="auto"/>
              <w:right w:val="single" w:sz="4" w:space="0" w:color="auto"/>
            </w:tcBorders>
            <w:shd w:val="clear" w:color="auto" w:fill="auto"/>
          </w:tcPr>
          <w:p w14:paraId="304326EC" w14:textId="77777777" w:rsidR="003B5F37" w:rsidRPr="003B5F37" w:rsidRDefault="003B5F37" w:rsidP="003B5F37">
            <w:pPr>
              <w:widowControl w:val="0"/>
              <w:suppressAutoHyphens/>
              <w:spacing w:after="0" w:line="240" w:lineRule="auto"/>
              <w:rPr>
                <w:rFonts w:ascii="Arial" w:hAnsi="Arial" w:cs="Arial"/>
                <w:b/>
                <w:kern w:val="1"/>
                <w:sz w:val="20"/>
                <w:szCs w:val="20"/>
                <w:lang w:val="ro-RO" w:eastAsia="hi-IN" w:bidi="hi-IN"/>
              </w:rPr>
            </w:pPr>
            <w:r w:rsidRPr="003B5F37">
              <w:rPr>
                <w:rFonts w:ascii="Arial" w:hAnsi="Arial" w:cs="Arial"/>
                <w:b/>
                <w:kern w:val="1"/>
                <w:sz w:val="20"/>
                <w:szCs w:val="20"/>
                <w:lang w:val="ro-RO" w:eastAsia="hi-IN" w:bidi="hi-IN"/>
              </w:rPr>
              <w:lastRenderedPageBreak/>
              <w:t>Cozia</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B38FB3C"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Vâlcea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0AFBEB"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16.760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6F5F61"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ROSCI0046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1FAAF391"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Parcul Național Cozia, Pădurea Călinești - Brezoi</w:t>
            </w:r>
          </w:p>
        </w:tc>
      </w:tr>
      <w:tr w:rsidR="003B5F37" w:rsidRPr="003B5F37" w14:paraId="3EE7F6DA" w14:textId="77777777" w:rsidTr="00655DD6">
        <w:tc>
          <w:tcPr>
            <w:tcW w:w="2235" w:type="dxa"/>
            <w:tcBorders>
              <w:top w:val="single" w:sz="4" w:space="0" w:color="auto"/>
              <w:left w:val="single" w:sz="4" w:space="0" w:color="auto"/>
              <w:bottom w:val="single" w:sz="4" w:space="0" w:color="auto"/>
              <w:right w:val="single" w:sz="4" w:space="0" w:color="auto"/>
            </w:tcBorders>
            <w:shd w:val="clear" w:color="auto" w:fill="auto"/>
          </w:tcPr>
          <w:p w14:paraId="754E6AE5" w14:textId="77777777" w:rsidR="003B5F37" w:rsidRPr="003B5F37" w:rsidRDefault="003B5F37" w:rsidP="003B5F37">
            <w:pPr>
              <w:widowControl w:val="0"/>
              <w:suppressAutoHyphens/>
              <w:spacing w:after="0" w:line="240" w:lineRule="auto"/>
              <w:rPr>
                <w:rFonts w:ascii="Arial" w:hAnsi="Arial" w:cs="Arial"/>
                <w:b/>
                <w:kern w:val="1"/>
                <w:sz w:val="20"/>
                <w:szCs w:val="20"/>
                <w:lang w:val="ro-RO" w:eastAsia="hi-IN" w:bidi="hi-IN"/>
              </w:rPr>
            </w:pPr>
            <w:r w:rsidRPr="003B5F37">
              <w:rPr>
                <w:rFonts w:ascii="Arial" w:hAnsi="Arial" w:cs="Arial"/>
                <w:b/>
                <w:kern w:val="1"/>
                <w:sz w:val="20"/>
                <w:szCs w:val="20"/>
                <w:lang w:val="ro-RO" w:eastAsia="hi-IN" w:bidi="hi-IN"/>
              </w:rPr>
              <w:t>Frumoasa (SCI)</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C67BE90"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Alba</w:t>
            </w:r>
            <w:r w:rsidRPr="003B5F37">
              <w:rPr>
                <w:rFonts w:ascii="Arial" w:hAnsi="Arial" w:cs="Arial"/>
                <w:kern w:val="1"/>
                <w:sz w:val="20"/>
                <w:szCs w:val="20"/>
                <w:lang w:val="ro-RO" w:eastAsia="hi-IN" w:bidi="hi-IN"/>
              </w:rPr>
              <w:br/>
              <w:t>Sibiu</w:t>
            </w:r>
            <w:r w:rsidRPr="003B5F37">
              <w:rPr>
                <w:rFonts w:ascii="Arial" w:hAnsi="Arial" w:cs="Arial"/>
                <w:kern w:val="1"/>
                <w:sz w:val="20"/>
                <w:szCs w:val="20"/>
                <w:lang w:val="ro-RO" w:eastAsia="hi-IN" w:bidi="hi-IN"/>
              </w:rPr>
              <w:br/>
              <w:t>Vâlcea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067F65"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137.359</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B51FA70"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ROSCI0085</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13019619"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Iezărele Cindrelului, Masa Jidovului, La Grumaji, Parcul Natural Cindrel, Jnepenișul Stricatul, Rezervația Sterpu-Dealul Negru, Rezervația Cristești, Parcul Natural Grădiștea Muncelului - Cioclovina, Șuvara Sașilor, Stânca Grunzii</w:t>
            </w:r>
          </w:p>
        </w:tc>
      </w:tr>
      <w:tr w:rsidR="003B5F37" w:rsidRPr="003B5F37" w14:paraId="1507C330" w14:textId="77777777" w:rsidTr="00655DD6">
        <w:tc>
          <w:tcPr>
            <w:tcW w:w="2235" w:type="dxa"/>
            <w:tcBorders>
              <w:top w:val="single" w:sz="4" w:space="0" w:color="auto"/>
              <w:left w:val="single" w:sz="4" w:space="0" w:color="auto"/>
              <w:bottom w:val="single" w:sz="4" w:space="0" w:color="auto"/>
              <w:right w:val="single" w:sz="4" w:space="0" w:color="auto"/>
            </w:tcBorders>
            <w:shd w:val="clear" w:color="auto" w:fill="auto"/>
          </w:tcPr>
          <w:p w14:paraId="63F5E4C1" w14:textId="77777777" w:rsidR="003B5F37" w:rsidRPr="003B5F37" w:rsidRDefault="003B5F37" w:rsidP="003B5F37">
            <w:pPr>
              <w:widowControl w:val="0"/>
              <w:suppressAutoHyphens/>
              <w:spacing w:after="0" w:line="240" w:lineRule="auto"/>
              <w:rPr>
                <w:rFonts w:ascii="Arial" w:hAnsi="Arial" w:cs="Arial"/>
                <w:b/>
                <w:kern w:val="1"/>
                <w:sz w:val="20"/>
                <w:szCs w:val="20"/>
                <w:lang w:val="ro-RO" w:eastAsia="hi-IN" w:bidi="hi-IN"/>
              </w:rPr>
            </w:pPr>
            <w:r w:rsidRPr="003B5F37">
              <w:rPr>
                <w:rFonts w:ascii="Arial" w:hAnsi="Arial" w:cs="Arial"/>
                <w:b/>
                <w:kern w:val="1"/>
                <w:sz w:val="20"/>
                <w:szCs w:val="20"/>
                <w:lang w:val="ro-RO" w:eastAsia="hi-IN" w:bidi="hi-IN"/>
              </w:rPr>
              <w:t>Munții Făgăraș</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B55BEF7"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Argeș</w:t>
            </w:r>
            <w:r w:rsidRPr="003B5F37">
              <w:rPr>
                <w:rFonts w:ascii="Arial" w:hAnsi="Arial" w:cs="Arial"/>
                <w:kern w:val="1"/>
                <w:sz w:val="20"/>
                <w:szCs w:val="20"/>
                <w:lang w:val="ro-RO" w:eastAsia="hi-IN" w:bidi="hi-IN"/>
              </w:rPr>
              <w:br/>
              <w:t>Brașov</w:t>
            </w:r>
            <w:r w:rsidRPr="003B5F37">
              <w:rPr>
                <w:rFonts w:ascii="Arial" w:hAnsi="Arial" w:cs="Arial"/>
                <w:kern w:val="1"/>
                <w:sz w:val="20"/>
                <w:szCs w:val="20"/>
                <w:lang w:val="ro-RO" w:eastAsia="hi-IN" w:bidi="hi-IN"/>
              </w:rPr>
              <w:br/>
              <w:t>Sibiu</w:t>
            </w:r>
            <w:r w:rsidRPr="003B5F37">
              <w:rPr>
                <w:rFonts w:ascii="Arial" w:hAnsi="Arial" w:cs="Arial"/>
                <w:kern w:val="1"/>
                <w:sz w:val="20"/>
                <w:szCs w:val="20"/>
                <w:lang w:val="ro-RO" w:eastAsia="hi-IN" w:bidi="hi-IN"/>
              </w:rPr>
              <w:br/>
              <w:t>Vâlcea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38BF76D"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198.618</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9FE771"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ROSCI0122</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007EA189"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Avenul Piciorul Boului, Golul alpin Valea Rea - Zârna, Golul alpin Moldoveanu - Capra, Golul Alpin al Munților Făgăraș între Podragu - Suru, Lacul Buda, Lacul Hârtop I, Lacul Hârtop II, Lacul Jgheburoasa, Lacul Mănăstirii, Lacul Iezer, Munții Făgăraș, Lacul Scărișoara Galbenă, Parcul Național Piatra Craiului, Peștera de la Piscul Negru, Valea Bâlii</w:t>
            </w:r>
          </w:p>
        </w:tc>
      </w:tr>
      <w:tr w:rsidR="003B5F37" w:rsidRPr="003B5F37" w14:paraId="58F1F80F" w14:textId="77777777" w:rsidTr="00655DD6">
        <w:tc>
          <w:tcPr>
            <w:tcW w:w="2235" w:type="dxa"/>
            <w:tcBorders>
              <w:top w:val="single" w:sz="4" w:space="0" w:color="auto"/>
              <w:left w:val="single" w:sz="4" w:space="0" w:color="auto"/>
              <w:bottom w:val="single" w:sz="4" w:space="0" w:color="auto"/>
              <w:right w:val="single" w:sz="4" w:space="0" w:color="auto"/>
            </w:tcBorders>
            <w:shd w:val="clear" w:color="auto" w:fill="auto"/>
          </w:tcPr>
          <w:p w14:paraId="65D7C7AD" w14:textId="77777777" w:rsidR="003B5F37" w:rsidRPr="003B5F37" w:rsidRDefault="003B5F37" w:rsidP="003B5F37">
            <w:pPr>
              <w:widowControl w:val="0"/>
              <w:suppressAutoHyphens/>
              <w:spacing w:after="0" w:line="240" w:lineRule="auto"/>
              <w:rPr>
                <w:rFonts w:ascii="Arial" w:hAnsi="Arial" w:cs="Arial"/>
                <w:b/>
                <w:kern w:val="1"/>
                <w:sz w:val="20"/>
                <w:szCs w:val="20"/>
                <w:lang w:val="ro-RO" w:eastAsia="hi-IN" w:bidi="hi-IN"/>
              </w:rPr>
            </w:pPr>
            <w:r w:rsidRPr="003B5F37">
              <w:rPr>
                <w:rFonts w:ascii="Arial" w:hAnsi="Arial" w:cs="Arial"/>
                <w:b/>
                <w:kern w:val="1"/>
                <w:sz w:val="20"/>
                <w:szCs w:val="20"/>
                <w:lang w:val="ro-RO" w:eastAsia="hi-IN" w:bidi="hi-IN"/>
              </w:rPr>
              <w:t>Nordul Gorjului de Est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21428E1"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Gorj</w:t>
            </w:r>
            <w:r w:rsidRPr="003B5F37">
              <w:rPr>
                <w:rFonts w:ascii="Arial" w:hAnsi="Arial" w:cs="Arial"/>
                <w:kern w:val="1"/>
                <w:sz w:val="20"/>
                <w:szCs w:val="20"/>
                <w:lang w:val="ro-RO" w:eastAsia="hi-IN" w:bidi="hi-IN"/>
              </w:rPr>
              <w:br/>
              <w:t>Vâlcea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71069E"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49.160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17D528"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ROSCI0128</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76593FD0"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Cheile Oltețului și Peștera Polovragi, Parcul Național Defileul Jiului, Pădurea Bărcului, Peștera Iedului, Peștera Muierilor</w:t>
            </w:r>
          </w:p>
        </w:tc>
      </w:tr>
      <w:tr w:rsidR="003B5F37" w:rsidRPr="003B5F37" w14:paraId="35BA4A96" w14:textId="77777777" w:rsidTr="00655DD6">
        <w:tc>
          <w:tcPr>
            <w:tcW w:w="2235" w:type="dxa"/>
            <w:tcBorders>
              <w:top w:val="single" w:sz="4" w:space="0" w:color="auto"/>
              <w:left w:val="single" w:sz="4" w:space="0" w:color="auto"/>
              <w:bottom w:val="single" w:sz="4" w:space="0" w:color="auto"/>
              <w:right w:val="single" w:sz="4" w:space="0" w:color="auto"/>
            </w:tcBorders>
            <w:shd w:val="clear" w:color="auto" w:fill="auto"/>
          </w:tcPr>
          <w:p w14:paraId="55C64E0F" w14:textId="77777777" w:rsidR="003B5F37" w:rsidRPr="003B5F37" w:rsidRDefault="003B5F37" w:rsidP="003B5F37">
            <w:pPr>
              <w:spacing w:after="0" w:line="240" w:lineRule="auto"/>
              <w:rPr>
                <w:rFonts w:ascii="Arial" w:hAnsi="Arial" w:cs="Arial"/>
                <w:b/>
                <w:sz w:val="20"/>
                <w:szCs w:val="20"/>
              </w:rPr>
            </w:pPr>
            <w:r w:rsidRPr="003B5F37">
              <w:rPr>
                <w:rFonts w:ascii="Arial" w:hAnsi="Arial" w:cs="Arial"/>
                <w:b/>
                <w:sz w:val="20"/>
                <w:szCs w:val="20"/>
              </w:rPr>
              <w:t>Oltul Mijlociu - Cibin - Hârtibaciu</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33AD83E5" w14:textId="77777777" w:rsidR="003B5F37" w:rsidRPr="003B5F37" w:rsidRDefault="003B5F37" w:rsidP="003B5F37">
            <w:pPr>
              <w:spacing w:after="0" w:line="240" w:lineRule="auto"/>
              <w:rPr>
                <w:rFonts w:ascii="Arial" w:hAnsi="Arial" w:cs="Arial"/>
                <w:sz w:val="20"/>
                <w:szCs w:val="20"/>
              </w:rPr>
            </w:pPr>
            <w:r w:rsidRPr="003B5F37">
              <w:rPr>
                <w:rFonts w:ascii="Arial" w:hAnsi="Arial" w:cs="Arial"/>
                <w:sz w:val="20"/>
                <w:szCs w:val="20"/>
              </w:rPr>
              <w:t>Brașov</w:t>
            </w:r>
            <w:r w:rsidRPr="003B5F37">
              <w:rPr>
                <w:rFonts w:ascii="Arial" w:hAnsi="Arial" w:cs="Arial"/>
                <w:sz w:val="20"/>
                <w:szCs w:val="20"/>
              </w:rPr>
              <w:br/>
              <w:t>Sibiu</w:t>
            </w:r>
            <w:r w:rsidRPr="003B5F37">
              <w:rPr>
                <w:rFonts w:ascii="Arial" w:hAnsi="Arial" w:cs="Arial"/>
                <w:sz w:val="20"/>
                <w:szCs w:val="20"/>
              </w:rPr>
              <w:br/>
              <w:t>Vâlcea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2A9B7FE" w14:textId="77777777" w:rsidR="003B5F37" w:rsidRPr="003B5F37" w:rsidRDefault="003B5F37" w:rsidP="003B5F37">
            <w:pPr>
              <w:spacing w:after="0" w:line="240" w:lineRule="auto"/>
              <w:rPr>
                <w:rFonts w:ascii="Arial" w:hAnsi="Arial" w:cs="Arial"/>
                <w:sz w:val="20"/>
                <w:szCs w:val="20"/>
              </w:rPr>
            </w:pPr>
            <w:r w:rsidRPr="003B5F37">
              <w:rPr>
                <w:rFonts w:ascii="Arial" w:hAnsi="Arial" w:cs="Arial"/>
                <w:sz w:val="20"/>
                <w:szCs w:val="20"/>
              </w:rPr>
              <w:t>2.826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044FE8" w14:textId="77777777" w:rsidR="003B5F37" w:rsidRPr="003B5F37" w:rsidRDefault="003B5F37" w:rsidP="003B5F37">
            <w:pPr>
              <w:spacing w:after="0" w:line="240" w:lineRule="auto"/>
              <w:rPr>
                <w:rFonts w:ascii="Arial" w:hAnsi="Arial" w:cs="Arial"/>
                <w:sz w:val="20"/>
                <w:szCs w:val="20"/>
              </w:rPr>
            </w:pPr>
            <w:r w:rsidRPr="003B5F37">
              <w:rPr>
                <w:rFonts w:ascii="Arial" w:hAnsi="Arial" w:cs="Arial"/>
                <w:sz w:val="20"/>
                <w:szCs w:val="20"/>
              </w:rPr>
              <w:t>ROSCI0132</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147A5FCF" w14:textId="77777777" w:rsidR="003B5F37" w:rsidRPr="003B5F37" w:rsidRDefault="003B5F37" w:rsidP="003B5F37">
            <w:pPr>
              <w:widowControl w:val="0"/>
              <w:suppressAutoHyphens/>
              <w:spacing w:after="0" w:line="240" w:lineRule="auto"/>
              <w:rPr>
                <w:rFonts w:ascii="Arial" w:hAnsi="Arial" w:cs="Arial"/>
                <w:kern w:val="1"/>
                <w:sz w:val="20"/>
                <w:szCs w:val="20"/>
                <w:u w:val="single"/>
                <w:lang w:val="ro-RO" w:eastAsia="hi-IN" w:bidi="hi-IN"/>
              </w:rPr>
            </w:pPr>
          </w:p>
        </w:tc>
      </w:tr>
      <w:tr w:rsidR="003B5F37" w:rsidRPr="003B5F37" w14:paraId="4581CAE1" w14:textId="77777777" w:rsidTr="00655DD6">
        <w:tc>
          <w:tcPr>
            <w:tcW w:w="2235" w:type="dxa"/>
            <w:tcBorders>
              <w:top w:val="single" w:sz="4" w:space="0" w:color="auto"/>
              <w:left w:val="single" w:sz="4" w:space="0" w:color="auto"/>
              <w:bottom w:val="single" w:sz="4" w:space="0" w:color="auto"/>
              <w:right w:val="single" w:sz="4" w:space="0" w:color="auto"/>
            </w:tcBorders>
            <w:shd w:val="clear" w:color="auto" w:fill="auto"/>
          </w:tcPr>
          <w:p w14:paraId="46CC33C9" w14:textId="77777777" w:rsidR="003B5F37" w:rsidRPr="003B5F37" w:rsidRDefault="003B5F37" w:rsidP="003B5F37">
            <w:pPr>
              <w:spacing w:after="0" w:line="240" w:lineRule="auto"/>
              <w:rPr>
                <w:rFonts w:ascii="Arial" w:hAnsi="Arial" w:cs="Arial"/>
                <w:b/>
                <w:sz w:val="20"/>
                <w:szCs w:val="20"/>
              </w:rPr>
            </w:pPr>
            <w:r w:rsidRPr="003B5F37">
              <w:rPr>
                <w:rFonts w:ascii="Arial" w:hAnsi="Arial" w:cs="Arial"/>
                <w:b/>
                <w:sz w:val="20"/>
                <w:szCs w:val="20"/>
              </w:rPr>
              <w:t>Parâng</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2EB70F3" w14:textId="77777777" w:rsidR="003B5F37" w:rsidRPr="003B5F37" w:rsidRDefault="003B5F37" w:rsidP="003B5F37">
            <w:pPr>
              <w:spacing w:after="0" w:line="240" w:lineRule="auto"/>
              <w:rPr>
                <w:rFonts w:ascii="Arial" w:hAnsi="Arial" w:cs="Arial"/>
                <w:sz w:val="20"/>
                <w:szCs w:val="20"/>
              </w:rPr>
            </w:pPr>
            <w:r w:rsidRPr="003B5F37">
              <w:rPr>
                <w:rFonts w:ascii="Arial" w:hAnsi="Arial" w:cs="Arial"/>
                <w:sz w:val="20"/>
                <w:szCs w:val="20"/>
              </w:rPr>
              <w:t>Gorj</w:t>
            </w:r>
            <w:r w:rsidRPr="003B5F37">
              <w:rPr>
                <w:rFonts w:ascii="Arial" w:hAnsi="Arial" w:cs="Arial"/>
                <w:sz w:val="20"/>
                <w:szCs w:val="20"/>
              </w:rPr>
              <w:br/>
              <w:t>Hunedoara</w:t>
            </w:r>
            <w:r w:rsidRPr="003B5F37">
              <w:rPr>
                <w:rFonts w:ascii="Arial" w:hAnsi="Arial" w:cs="Arial"/>
                <w:sz w:val="20"/>
                <w:szCs w:val="20"/>
              </w:rPr>
              <w:br/>
              <w:t>Vâlcea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58E654" w14:textId="77777777" w:rsidR="003B5F37" w:rsidRPr="003B5F37" w:rsidRDefault="003B5F37" w:rsidP="003B5F37">
            <w:pPr>
              <w:spacing w:after="0" w:line="240" w:lineRule="auto"/>
              <w:rPr>
                <w:rFonts w:ascii="Arial" w:hAnsi="Arial" w:cs="Arial"/>
                <w:sz w:val="20"/>
                <w:szCs w:val="20"/>
              </w:rPr>
            </w:pPr>
            <w:r w:rsidRPr="003B5F37">
              <w:rPr>
                <w:rFonts w:ascii="Arial" w:hAnsi="Arial" w:cs="Arial"/>
                <w:sz w:val="20"/>
                <w:szCs w:val="20"/>
              </w:rPr>
              <w:t>30.434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890C5E" w14:textId="77777777" w:rsidR="003B5F37" w:rsidRPr="003B5F37" w:rsidRDefault="003B5F37" w:rsidP="003B5F37">
            <w:pPr>
              <w:spacing w:after="0" w:line="240" w:lineRule="auto"/>
              <w:rPr>
                <w:rFonts w:ascii="Arial" w:hAnsi="Arial" w:cs="Arial"/>
                <w:sz w:val="20"/>
                <w:szCs w:val="20"/>
              </w:rPr>
            </w:pPr>
            <w:r w:rsidRPr="003B5F37">
              <w:rPr>
                <w:rFonts w:ascii="Arial" w:hAnsi="Arial" w:cs="Arial"/>
                <w:sz w:val="20"/>
                <w:szCs w:val="20"/>
              </w:rPr>
              <w:t>ROSCI0188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22AC428C"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Căldarea Gâlcescu, Cheile Jiețului, Iezerul Latorița, Piatra Crinului, Parcul Național Defileul Jiului, Piatra Crinului, Rezervația Miru-Bora</w:t>
            </w:r>
          </w:p>
        </w:tc>
      </w:tr>
      <w:tr w:rsidR="003B5F37" w:rsidRPr="003B5F37" w14:paraId="5D94C9BD" w14:textId="77777777" w:rsidTr="00655DD6">
        <w:tc>
          <w:tcPr>
            <w:tcW w:w="2235" w:type="dxa"/>
            <w:tcBorders>
              <w:top w:val="single" w:sz="4" w:space="0" w:color="auto"/>
              <w:left w:val="single" w:sz="4" w:space="0" w:color="auto"/>
              <w:bottom w:val="single" w:sz="4" w:space="0" w:color="auto"/>
              <w:right w:val="single" w:sz="4" w:space="0" w:color="auto"/>
            </w:tcBorders>
            <w:shd w:val="clear" w:color="auto" w:fill="auto"/>
          </w:tcPr>
          <w:p w14:paraId="1F50E14C" w14:textId="77777777" w:rsidR="003B5F37" w:rsidRPr="003B5F37" w:rsidRDefault="003B5F37" w:rsidP="003B5F37">
            <w:pPr>
              <w:spacing w:after="0" w:line="240" w:lineRule="auto"/>
              <w:rPr>
                <w:rFonts w:ascii="Arial" w:hAnsi="Arial" w:cs="Arial"/>
                <w:b/>
                <w:sz w:val="20"/>
                <w:szCs w:val="20"/>
              </w:rPr>
            </w:pPr>
            <w:r w:rsidRPr="003B5F37">
              <w:rPr>
                <w:rFonts w:ascii="Arial" w:hAnsi="Arial" w:cs="Arial"/>
                <w:b/>
                <w:sz w:val="20"/>
                <w:szCs w:val="20"/>
              </w:rPr>
              <w:t>Târnovu Mare - Latorița</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CDFE5FD" w14:textId="77777777" w:rsidR="003B5F37" w:rsidRPr="003B5F37" w:rsidRDefault="003B5F37" w:rsidP="003B5F37">
            <w:pPr>
              <w:spacing w:after="0" w:line="240" w:lineRule="auto"/>
              <w:rPr>
                <w:rFonts w:ascii="Arial" w:hAnsi="Arial" w:cs="Arial"/>
                <w:sz w:val="20"/>
                <w:szCs w:val="20"/>
              </w:rPr>
            </w:pPr>
            <w:r w:rsidRPr="003B5F37">
              <w:rPr>
                <w:rFonts w:ascii="Arial" w:hAnsi="Arial" w:cs="Arial"/>
                <w:sz w:val="20"/>
                <w:szCs w:val="20"/>
              </w:rPr>
              <w:t>Vâlcea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48722C2" w14:textId="77777777" w:rsidR="003B5F37" w:rsidRPr="003B5F37" w:rsidRDefault="003B5F37" w:rsidP="003B5F37">
            <w:pPr>
              <w:spacing w:after="0" w:line="240" w:lineRule="auto"/>
              <w:rPr>
                <w:rFonts w:ascii="Arial" w:hAnsi="Arial" w:cs="Arial"/>
                <w:sz w:val="20"/>
                <w:szCs w:val="20"/>
              </w:rPr>
            </w:pPr>
            <w:r w:rsidRPr="003B5F37">
              <w:rPr>
                <w:rFonts w:ascii="Arial" w:hAnsi="Arial" w:cs="Arial"/>
                <w:sz w:val="20"/>
                <w:szCs w:val="20"/>
              </w:rPr>
              <w:t>1.366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F4D2C17" w14:textId="77777777" w:rsidR="003B5F37" w:rsidRPr="003B5F37" w:rsidRDefault="003B5F37" w:rsidP="003B5F37">
            <w:pPr>
              <w:spacing w:after="0" w:line="240" w:lineRule="auto"/>
              <w:rPr>
                <w:rFonts w:ascii="Arial" w:hAnsi="Arial" w:cs="Arial"/>
                <w:sz w:val="20"/>
                <w:szCs w:val="20"/>
              </w:rPr>
            </w:pPr>
            <w:r w:rsidRPr="003B5F37">
              <w:rPr>
                <w:rFonts w:ascii="Arial" w:hAnsi="Arial" w:cs="Arial"/>
                <w:sz w:val="20"/>
                <w:szCs w:val="20"/>
              </w:rPr>
              <w:t>ROSCI0239</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0EA1505D" w14:textId="77777777" w:rsidR="003B5F37" w:rsidRPr="003B5F37" w:rsidRDefault="003B5F37" w:rsidP="003B5F37">
            <w:pPr>
              <w:widowControl w:val="0"/>
              <w:suppressAutoHyphens/>
              <w:spacing w:after="0" w:line="240" w:lineRule="auto"/>
              <w:rPr>
                <w:rFonts w:ascii="Arial" w:hAnsi="Arial" w:cs="Arial"/>
                <w:kern w:val="1"/>
                <w:sz w:val="20"/>
                <w:szCs w:val="20"/>
                <w:lang w:val="ro-RO" w:eastAsia="hi-IN" w:bidi="hi-IN"/>
              </w:rPr>
            </w:pPr>
            <w:r w:rsidRPr="003B5F37">
              <w:rPr>
                <w:rFonts w:ascii="Arial" w:hAnsi="Arial" w:cs="Arial"/>
                <w:kern w:val="1"/>
                <w:sz w:val="20"/>
                <w:szCs w:val="20"/>
                <w:lang w:val="ro-RO" w:eastAsia="hi-IN" w:bidi="hi-IN"/>
              </w:rPr>
              <w:t>Pădurea Latorița</w:t>
            </w:r>
          </w:p>
        </w:tc>
      </w:tr>
    </w:tbl>
    <w:p w14:paraId="300C3C37" w14:textId="77777777" w:rsidR="003B5F37" w:rsidRPr="003B5F37" w:rsidRDefault="003B5F37" w:rsidP="003B5F37">
      <w:pPr>
        <w:widowControl w:val="0"/>
        <w:suppressAutoHyphens/>
        <w:spacing w:before="100" w:beforeAutospacing="1" w:after="100" w:afterAutospacing="1" w:line="360" w:lineRule="auto"/>
        <w:jc w:val="both"/>
        <w:rPr>
          <w:rFonts w:ascii="Arial" w:hAnsi="Arial" w:cs="Arial"/>
          <w:kern w:val="1"/>
          <w:lang w:val="ro-RO" w:eastAsia="hi-IN" w:bidi="hi-IN"/>
        </w:rPr>
      </w:pPr>
      <w:r w:rsidRPr="003B5F37">
        <w:rPr>
          <w:rFonts w:ascii="Arial" w:hAnsi="Arial" w:cs="Arial"/>
          <w:b/>
          <w:kern w:val="1"/>
          <w:lang w:val="ro-RO" w:eastAsia="hi-IN" w:bidi="hi-IN"/>
        </w:rPr>
        <w:t>Arii naturale protejate de interes național</w:t>
      </w:r>
      <w:r w:rsidRPr="003B5F37">
        <w:rPr>
          <w:rFonts w:ascii="Arial" w:hAnsi="Arial" w:cs="Arial"/>
          <w:kern w:val="1"/>
          <w:lang w:val="ro-RO" w:eastAsia="hi-IN" w:bidi="hi-IN"/>
        </w:rPr>
        <w:t>, constituite la nivelul județului V</w:t>
      </w:r>
      <w:r w:rsidR="00483C9F">
        <w:rPr>
          <w:rFonts w:ascii="Arial" w:hAnsi="Arial" w:cs="Arial"/>
          <w:kern w:val="1"/>
          <w:lang w:val="ro-RO" w:eastAsia="hi-IN" w:bidi="hi-IN"/>
        </w:rPr>
        <w:t>â</w:t>
      </w:r>
      <w:r w:rsidRPr="003B5F37">
        <w:rPr>
          <w:rFonts w:ascii="Arial" w:hAnsi="Arial" w:cs="Arial"/>
          <w:kern w:val="1"/>
          <w:lang w:val="ro-RO" w:eastAsia="hi-IN" w:bidi="hi-IN"/>
        </w:rPr>
        <w:t>lcea:</w:t>
      </w:r>
    </w:p>
    <w:p w14:paraId="606EDAAD" w14:textId="62542AF9" w:rsidR="003B5F37" w:rsidRPr="003B5F37" w:rsidRDefault="00483C9F" w:rsidP="00483C9F">
      <w:pPr>
        <w:pStyle w:val="Legend"/>
        <w:jc w:val="center"/>
        <w:rPr>
          <w:rFonts w:ascii="Arial" w:hAnsi="Arial" w:cs="Arial"/>
          <w:i w:val="0"/>
          <w:iCs w:val="0"/>
          <w:color w:val="1F497D"/>
          <w:kern w:val="1"/>
          <w:sz w:val="22"/>
          <w:szCs w:val="22"/>
          <w:lang w:val="ro-RO" w:eastAsia="hi-IN" w:bidi="hi-IN"/>
        </w:rPr>
      </w:pPr>
      <w:bookmarkStart w:id="352" w:name="_Toc68361253"/>
      <w:bookmarkStart w:id="353" w:name="_Toc96447420"/>
      <w:r w:rsidRPr="00483C9F">
        <w:rPr>
          <w:rFonts w:ascii="Arial" w:hAnsi="Arial" w:cs="Arial"/>
          <w:sz w:val="22"/>
          <w:szCs w:val="22"/>
        </w:rPr>
        <w:t xml:space="preserve">Tabel I.4. </w:t>
      </w:r>
      <w:r w:rsidRPr="00483C9F">
        <w:rPr>
          <w:rFonts w:ascii="Arial" w:hAnsi="Arial" w:cs="Arial"/>
          <w:sz w:val="22"/>
          <w:szCs w:val="22"/>
        </w:rPr>
        <w:fldChar w:fldCharType="begin"/>
      </w:r>
      <w:r w:rsidRPr="00483C9F">
        <w:rPr>
          <w:rFonts w:ascii="Arial" w:hAnsi="Arial" w:cs="Arial"/>
          <w:sz w:val="22"/>
          <w:szCs w:val="22"/>
        </w:rPr>
        <w:instrText xml:space="preserve"> SEQ Tabel_I.4. \* ARABIC </w:instrText>
      </w:r>
      <w:r w:rsidRPr="00483C9F">
        <w:rPr>
          <w:rFonts w:ascii="Arial" w:hAnsi="Arial" w:cs="Arial"/>
          <w:sz w:val="22"/>
          <w:szCs w:val="22"/>
        </w:rPr>
        <w:fldChar w:fldCharType="separate"/>
      </w:r>
      <w:r w:rsidR="00BB181C">
        <w:rPr>
          <w:rFonts w:ascii="Arial" w:hAnsi="Arial" w:cs="Arial"/>
          <w:noProof/>
          <w:sz w:val="22"/>
          <w:szCs w:val="22"/>
        </w:rPr>
        <w:t>10</w:t>
      </w:r>
      <w:r w:rsidRPr="00483C9F">
        <w:rPr>
          <w:rFonts w:ascii="Arial" w:hAnsi="Arial" w:cs="Arial"/>
          <w:sz w:val="22"/>
          <w:szCs w:val="22"/>
        </w:rPr>
        <w:fldChar w:fldCharType="end"/>
      </w:r>
      <w:r w:rsidRPr="00483C9F">
        <w:rPr>
          <w:rFonts w:ascii="Arial" w:hAnsi="Arial" w:cs="Arial"/>
          <w:sz w:val="22"/>
          <w:szCs w:val="22"/>
        </w:rPr>
        <w:t xml:space="preserve"> </w:t>
      </w:r>
      <w:r w:rsidR="003B5F37" w:rsidRPr="003B5F37">
        <w:rPr>
          <w:rFonts w:ascii="Arial" w:hAnsi="Arial" w:cs="Arial"/>
          <w:color w:val="1F497D"/>
          <w:sz w:val="22"/>
          <w:szCs w:val="22"/>
          <w:lang w:val="fr-FR"/>
        </w:rPr>
        <w:t xml:space="preserve">– </w:t>
      </w:r>
      <w:r w:rsidR="003B5F37" w:rsidRPr="003B5F37">
        <w:rPr>
          <w:rFonts w:ascii="Arial" w:hAnsi="Arial" w:cs="Arial"/>
          <w:i w:val="0"/>
          <w:iCs w:val="0"/>
          <w:color w:val="1F497D"/>
          <w:sz w:val="22"/>
          <w:szCs w:val="22"/>
          <w:lang w:val="fr-FR"/>
        </w:rPr>
        <w:t xml:space="preserve">Arii naturale protejate de interes national  - județul </w:t>
      </w:r>
      <w:bookmarkEnd w:id="352"/>
      <w:r w:rsidR="003B5F37" w:rsidRPr="003B5F37">
        <w:rPr>
          <w:rFonts w:ascii="Arial" w:hAnsi="Arial" w:cs="Arial"/>
          <w:i w:val="0"/>
          <w:iCs w:val="0"/>
          <w:color w:val="1F497D"/>
          <w:sz w:val="22"/>
          <w:szCs w:val="22"/>
          <w:lang w:val="fr-FR"/>
        </w:rPr>
        <w:t>V</w:t>
      </w:r>
      <w:r>
        <w:rPr>
          <w:rFonts w:ascii="Arial" w:hAnsi="Arial" w:cs="Arial"/>
          <w:i w:val="0"/>
          <w:iCs w:val="0"/>
          <w:color w:val="1F497D"/>
          <w:sz w:val="22"/>
          <w:szCs w:val="22"/>
          <w:lang w:val="fr-FR"/>
        </w:rPr>
        <w:t>â</w:t>
      </w:r>
      <w:r w:rsidR="003B5F37" w:rsidRPr="003B5F37">
        <w:rPr>
          <w:rFonts w:ascii="Arial" w:hAnsi="Arial" w:cs="Arial"/>
          <w:i w:val="0"/>
          <w:iCs w:val="0"/>
          <w:color w:val="1F497D"/>
          <w:sz w:val="22"/>
          <w:szCs w:val="22"/>
          <w:lang w:val="fr-FR"/>
        </w:rPr>
        <w:t>lcea</w:t>
      </w:r>
      <w:bookmarkEnd w:id="353"/>
    </w:p>
    <w:tbl>
      <w:tblPr>
        <w:tblW w:w="9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417"/>
        <w:gridCol w:w="1529"/>
        <w:gridCol w:w="1164"/>
        <w:gridCol w:w="1418"/>
        <w:gridCol w:w="1139"/>
      </w:tblGrid>
      <w:tr w:rsidR="003B5F37" w:rsidRPr="003B5F37" w14:paraId="4776E36B" w14:textId="77777777" w:rsidTr="003B5F37">
        <w:trPr>
          <w:tblHeader/>
        </w:trPr>
        <w:tc>
          <w:tcPr>
            <w:tcW w:w="2802" w:type="dxa"/>
            <w:shd w:val="clear" w:color="auto" w:fill="FDE9D9"/>
            <w:vAlign w:val="center"/>
          </w:tcPr>
          <w:p w14:paraId="17C810BE" w14:textId="77777777" w:rsidR="003B5F37" w:rsidRPr="003B5F37" w:rsidRDefault="003B5F37" w:rsidP="003B5F37">
            <w:pPr>
              <w:spacing w:after="0" w:line="240" w:lineRule="auto"/>
              <w:jc w:val="center"/>
              <w:rPr>
                <w:rFonts w:ascii="Arial" w:eastAsia="Times New Roman" w:hAnsi="Arial" w:cs="Arial"/>
                <w:b/>
                <w:bCs/>
                <w:sz w:val="20"/>
                <w:szCs w:val="20"/>
                <w:lang w:val="fr-FR" w:eastAsia="fr-FR"/>
              </w:rPr>
            </w:pPr>
            <w:r w:rsidRPr="003B5F37">
              <w:rPr>
                <w:rFonts w:ascii="Arial" w:eastAsia="Times New Roman" w:hAnsi="Arial" w:cs="Arial"/>
                <w:b/>
                <w:bCs/>
                <w:sz w:val="20"/>
                <w:szCs w:val="20"/>
                <w:lang w:val="fr-FR" w:eastAsia="fr-FR"/>
              </w:rPr>
              <w:t>Denumirea ariei protejate</w:t>
            </w:r>
          </w:p>
        </w:tc>
        <w:tc>
          <w:tcPr>
            <w:tcW w:w="1417" w:type="dxa"/>
            <w:shd w:val="clear" w:color="auto" w:fill="FDE9D9"/>
            <w:vAlign w:val="center"/>
          </w:tcPr>
          <w:p w14:paraId="71370018" w14:textId="77777777" w:rsidR="003B5F37" w:rsidRPr="003B5F37" w:rsidRDefault="003B5F37" w:rsidP="003B5F37">
            <w:pPr>
              <w:spacing w:after="0" w:line="240" w:lineRule="auto"/>
              <w:jc w:val="center"/>
              <w:rPr>
                <w:rFonts w:ascii="Arial" w:eastAsia="Times New Roman" w:hAnsi="Arial" w:cs="Arial"/>
                <w:b/>
                <w:bCs/>
                <w:sz w:val="20"/>
                <w:szCs w:val="20"/>
                <w:lang w:val="fr-FR" w:eastAsia="fr-FR"/>
              </w:rPr>
            </w:pPr>
            <w:r w:rsidRPr="003B5F37">
              <w:rPr>
                <w:rFonts w:ascii="Arial" w:eastAsia="Times New Roman" w:hAnsi="Arial" w:cs="Arial"/>
                <w:b/>
                <w:bCs/>
                <w:sz w:val="20"/>
                <w:szCs w:val="20"/>
                <w:lang w:val="fr-FR" w:eastAsia="fr-FR"/>
              </w:rPr>
              <w:t>Cod</w:t>
            </w:r>
          </w:p>
        </w:tc>
        <w:tc>
          <w:tcPr>
            <w:tcW w:w="1529" w:type="dxa"/>
            <w:shd w:val="clear" w:color="auto" w:fill="FDE9D9"/>
            <w:vAlign w:val="center"/>
          </w:tcPr>
          <w:p w14:paraId="660B85F6" w14:textId="77777777" w:rsidR="003B5F37" w:rsidRPr="003B5F37" w:rsidRDefault="003B5F37" w:rsidP="003B5F37">
            <w:pPr>
              <w:spacing w:after="0" w:line="240" w:lineRule="auto"/>
              <w:jc w:val="center"/>
              <w:rPr>
                <w:rFonts w:ascii="Arial" w:eastAsia="Times New Roman" w:hAnsi="Arial" w:cs="Arial"/>
                <w:b/>
                <w:bCs/>
                <w:sz w:val="20"/>
                <w:szCs w:val="20"/>
                <w:lang w:val="fr-FR" w:eastAsia="fr-FR"/>
              </w:rPr>
            </w:pPr>
            <w:r w:rsidRPr="003B5F37">
              <w:rPr>
                <w:rFonts w:ascii="Arial" w:eastAsia="Times New Roman" w:hAnsi="Arial" w:cs="Arial"/>
                <w:b/>
                <w:bCs/>
                <w:sz w:val="20"/>
                <w:szCs w:val="20"/>
                <w:lang w:val="fr-FR" w:eastAsia="fr-FR"/>
              </w:rPr>
              <w:t>Localizare</w:t>
            </w:r>
          </w:p>
        </w:tc>
        <w:tc>
          <w:tcPr>
            <w:tcW w:w="1164" w:type="dxa"/>
            <w:shd w:val="clear" w:color="auto" w:fill="FDE9D9"/>
            <w:vAlign w:val="center"/>
          </w:tcPr>
          <w:p w14:paraId="631F2846" w14:textId="77777777" w:rsidR="003B5F37" w:rsidRPr="003B5F37" w:rsidRDefault="003B5F37" w:rsidP="003B5F37">
            <w:pPr>
              <w:spacing w:after="0" w:line="240" w:lineRule="auto"/>
              <w:jc w:val="center"/>
              <w:rPr>
                <w:rFonts w:ascii="Arial" w:eastAsia="Times New Roman" w:hAnsi="Arial" w:cs="Arial"/>
                <w:b/>
                <w:bCs/>
                <w:sz w:val="20"/>
                <w:szCs w:val="20"/>
                <w:lang w:val="fr-FR" w:eastAsia="fr-FR"/>
              </w:rPr>
            </w:pPr>
            <w:r w:rsidRPr="003B5F37">
              <w:rPr>
                <w:rFonts w:ascii="Arial" w:eastAsia="Times New Roman" w:hAnsi="Arial" w:cs="Arial"/>
                <w:b/>
                <w:bCs/>
                <w:sz w:val="20"/>
                <w:szCs w:val="20"/>
                <w:lang w:val="fr-FR" w:eastAsia="fr-FR"/>
              </w:rPr>
              <w:t>Categorie IUCN</w:t>
            </w:r>
          </w:p>
        </w:tc>
        <w:tc>
          <w:tcPr>
            <w:tcW w:w="1418" w:type="dxa"/>
            <w:shd w:val="clear" w:color="auto" w:fill="FDE9D9"/>
            <w:vAlign w:val="center"/>
          </w:tcPr>
          <w:p w14:paraId="3D58F393" w14:textId="77777777" w:rsidR="003B5F37" w:rsidRPr="003B5F37" w:rsidRDefault="003B5F37" w:rsidP="003B5F37">
            <w:pPr>
              <w:spacing w:after="0" w:line="240" w:lineRule="auto"/>
              <w:jc w:val="center"/>
              <w:rPr>
                <w:rFonts w:ascii="Arial" w:eastAsia="Times New Roman" w:hAnsi="Arial" w:cs="Arial"/>
                <w:b/>
                <w:bCs/>
                <w:sz w:val="20"/>
                <w:szCs w:val="20"/>
                <w:lang w:val="fr-FR" w:eastAsia="fr-FR"/>
              </w:rPr>
            </w:pPr>
            <w:r w:rsidRPr="003B5F37">
              <w:rPr>
                <w:rFonts w:ascii="Arial" w:eastAsia="Times New Roman" w:hAnsi="Arial" w:cs="Arial"/>
                <w:b/>
                <w:bCs/>
                <w:sz w:val="20"/>
                <w:szCs w:val="20"/>
                <w:lang w:val="fr-FR" w:eastAsia="fr-FR"/>
              </w:rPr>
              <w:t>Tip</w:t>
            </w:r>
          </w:p>
        </w:tc>
        <w:tc>
          <w:tcPr>
            <w:tcW w:w="1139" w:type="dxa"/>
            <w:shd w:val="clear" w:color="auto" w:fill="FDE9D9"/>
            <w:vAlign w:val="center"/>
          </w:tcPr>
          <w:p w14:paraId="188528B2" w14:textId="77777777" w:rsidR="003B5F37" w:rsidRPr="003B5F37" w:rsidRDefault="003B5F37" w:rsidP="003B5F37">
            <w:pPr>
              <w:spacing w:after="0" w:line="240" w:lineRule="auto"/>
              <w:jc w:val="center"/>
              <w:rPr>
                <w:rFonts w:ascii="Arial" w:eastAsia="Times New Roman" w:hAnsi="Arial" w:cs="Arial"/>
                <w:b/>
                <w:bCs/>
                <w:sz w:val="20"/>
                <w:szCs w:val="20"/>
                <w:lang w:val="fr-FR" w:eastAsia="fr-FR"/>
              </w:rPr>
            </w:pPr>
            <w:r w:rsidRPr="003B5F37">
              <w:rPr>
                <w:rFonts w:ascii="Arial" w:eastAsia="Times New Roman" w:hAnsi="Arial" w:cs="Arial"/>
                <w:b/>
                <w:bCs/>
                <w:sz w:val="20"/>
                <w:szCs w:val="20"/>
                <w:lang w:val="fr-FR" w:eastAsia="fr-FR"/>
              </w:rPr>
              <w:t>Suprafață</w:t>
            </w:r>
            <w:r w:rsidRPr="003B5F37">
              <w:rPr>
                <w:rFonts w:ascii="Arial" w:eastAsia="Times New Roman" w:hAnsi="Arial" w:cs="Arial"/>
                <w:b/>
                <w:bCs/>
                <w:sz w:val="20"/>
                <w:szCs w:val="20"/>
                <w:lang w:val="fr-FR" w:eastAsia="fr-FR"/>
              </w:rPr>
              <w:br/>
              <w:t>(ha)</w:t>
            </w:r>
          </w:p>
        </w:tc>
      </w:tr>
      <w:tr w:rsidR="003B5F37" w:rsidRPr="003B5F37" w14:paraId="48C5167B" w14:textId="77777777" w:rsidTr="00655DD6">
        <w:tc>
          <w:tcPr>
            <w:tcW w:w="2802" w:type="dxa"/>
            <w:shd w:val="clear" w:color="auto" w:fill="auto"/>
            <w:vAlign w:val="center"/>
          </w:tcPr>
          <w:p w14:paraId="36FF66E6"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Avenul Piciorul Boului</w:t>
            </w:r>
          </w:p>
        </w:tc>
        <w:tc>
          <w:tcPr>
            <w:tcW w:w="1417" w:type="dxa"/>
            <w:shd w:val="clear" w:color="auto" w:fill="auto"/>
            <w:vAlign w:val="center"/>
          </w:tcPr>
          <w:p w14:paraId="7F1B5606"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RONPA0801</w:t>
            </w:r>
          </w:p>
        </w:tc>
        <w:tc>
          <w:tcPr>
            <w:tcW w:w="1529" w:type="dxa"/>
            <w:shd w:val="clear" w:color="auto" w:fill="auto"/>
            <w:vAlign w:val="center"/>
          </w:tcPr>
          <w:p w14:paraId="56C02787"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Câineni</w:t>
            </w:r>
          </w:p>
        </w:tc>
        <w:tc>
          <w:tcPr>
            <w:tcW w:w="1164" w:type="dxa"/>
            <w:shd w:val="clear" w:color="auto" w:fill="auto"/>
            <w:vAlign w:val="center"/>
          </w:tcPr>
          <w:p w14:paraId="24B94FE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743BB718"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31EC13EC"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0,10</w:t>
            </w:r>
          </w:p>
        </w:tc>
      </w:tr>
      <w:tr w:rsidR="003B5F37" w:rsidRPr="003B5F37" w14:paraId="3EB76288" w14:textId="77777777" w:rsidTr="00655DD6">
        <w:tc>
          <w:tcPr>
            <w:tcW w:w="2802" w:type="dxa"/>
            <w:shd w:val="clear" w:color="auto" w:fill="auto"/>
            <w:vAlign w:val="center"/>
          </w:tcPr>
          <w:p w14:paraId="4BFC4D0A"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Căldarea Gâlcescu</w:t>
            </w:r>
          </w:p>
        </w:tc>
        <w:tc>
          <w:tcPr>
            <w:tcW w:w="1417" w:type="dxa"/>
            <w:shd w:val="clear" w:color="auto" w:fill="auto"/>
            <w:vAlign w:val="center"/>
          </w:tcPr>
          <w:p w14:paraId="2924691A"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RONPA0816</w:t>
            </w:r>
          </w:p>
        </w:tc>
        <w:tc>
          <w:tcPr>
            <w:tcW w:w="1529" w:type="dxa"/>
            <w:shd w:val="clear" w:color="auto" w:fill="auto"/>
            <w:vAlign w:val="center"/>
          </w:tcPr>
          <w:p w14:paraId="74E0D69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Voineasa</w:t>
            </w:r>
          </w:p>
        </w:tc>
        <w:tc>
          <w:tcPr>
            <w:tcW w:w="1164" w:type="dxa"/>
            <w:shd w:val="clear" w:color="auto" w:fill="auto"/>
            <w:vAlign w:val="center"/>
          </w:tcPr>
          <w:p w14:paraId="70948DD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0E12FD47"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098B43DE"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200</w:t>
            </w:r>
          </w:p>
        </w:tc>
      </w:tr>
      <w:tr w:rsidR="003B5F37" w:rsidRPr="003B5F37" w14:paraId="31407E1E" w14:textId="77777777" w:rsidTr="00655DD6">
        <w:tc>
          <w:tcPr>
            <w:tcW w:w="2802" w:type="dxa"/>
            <w:shd w:val="clear" w:color="auto" w:fill="auto"/>
            <w:vAlign w:val="center"/>
          </w:tcPr>
          <w:p w14:paraId="1C4BCECE"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Iezerul Latorița</w:t>
            </w:r>
          </w:p>
        </w:tc>
        <w:tc>
          <w:tcPr>
            <w:tcW w:w="1417" w:type="dxa"/>
            <w:shd w:val="clear" w:color="auto" w:fill="auto"/>
            <w:vAlign w:val="center"/>
          </w:tcPr>
          <w:p w14:paraId="23496EAF"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RONPA0820</w:t>
            </w:r>
          </w:p>
        </w:tc>
        <w:tc>
          <w:tcPr>
            <w:tcW w:w="1529" w:type="dxa"/>
            <w:shd w:val="clear" w:color="auto" w:fill="auto"/>
            <w:vAlign w:val="center"/>
          </w:tcPr>
          <w:p w14:paraId="5327EBBE"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Malaia</w:t>
            </w:r>
          </w:p>
        </w:tc>
        <w:tc>
          <w:tcPr>
            <w:tcW w:w="1164" w:type="dxa"/>
            <w:shd w:val="clear" w:color="auto" w:fill="auto"/>
            <w:vAlign w:val="center"/>
          </w:tcPr>
          <w:p w14:paraId="3D8BAC65"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32616666"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5DA22A60"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10</w:t>
            </w:r>
          </w:p>
        </w:tc>
      </w:tr>
      <w:tr w:rsidR="003B5F37" w:rsidRPr="003B5F37" w14:paraId="1D5D63C7" w14:textId="77777777" w:rsidTr="00655DD6">
        <w:tc>
          <w:tcPr>
            <w:tcW w:w="2802" w:type="dxa"/>
            <w:shd w:val="clear" w:color="auto" w:fill="auto"/>
            <w:vAlign w:val="center"/>
          </w:tcPr>
          <w:p w14:paraId="12330531"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Jnepenișul Stricatul</w:t>
            </w:r>
          </w:p>
        </w:tc>
        <w:tc>
          <w:tcPr>
            <w:tcW w:w="1417" w:type="dxa"/>
            <w:shd w:val="clear" w:color="auto" w:fill="auto"/>
            <w:vAlign w:val="center"/>
          </w:tcPr>
          <w:p w14:paraId="4A5AD66F"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RONPA0811</w:t>
            </w:r>
          </w:p>
        </w:tc>
        <w:tc>
          <w:tcPr>
            <w:tcW w:w="1529" w:type="dxa"/>
            <w:shd w:val="clear" w:color="auto" w:fill="auto"/>
            <w:vAlign w:val="center"/>
          </w:tcPr>
          <w:p w14:paraId="19E12B8E"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Voineasa</w:t>
            </w:r>
          </w:p>
        </w:tc>
        <w:tc>
          <w:tcPr>
            <w:tcW w:w="1164" w:type="dxa"/>
            <w:shd w:val="clear" w:color="auto" w:fill="auto"/>
            <w:vAlign w:val="center"/>
          </w:tcPr>
          <w:p w14:paraId="6E50A825"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274F912C"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32811708"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15</w:t>
            </w:r>
          </w:p>
        </w:tc>
      </w:tr>
      <w:tr w:rsidR="003B5F37" w:rsidRPr="003B5F37" w14:paraId="01DED427" w14:textId="77777777" w:rsidTr="00655DD6">
        <w:tc>
          <w:tcPr>
            <w:tcW w:w="2802" w:type="dxa"/>
            <w:shd w:val="clear" w:color="auto" w:fill="auto"/>
            <w:vAlign w:val="center"/>
          </w:tcPr>
          <w:p w14:paraId="22C982EA"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Lacul Strejești</w:t>
            </w:r>
          </w:p>
        </w:tc>
        <w:tc>
          <w:tcPr>
            <w:tcW w:w="1417" w:type="dxa"/>
            <w:shd w:val="clear" w:color="auto" w:fill="auto"/>
            <w:vAlign w:val="center"/>
          </w:tcPr>
          <w:p w14:paraId="27B018A3"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VI.22</w:t>
            </w:r>
          </w:p>
        </w:tc>
        <w:tc>
          <w:tcPr>
            <w:tcW w:w="1529" w:type="dxa"/>
            <w:shd w:val="clear" w:color="auto" w:fill="auto"/>
            <w:vAlign w:val="center"/>
          </w:tcPr>
          <w:p w14:paraId="29ADDF96"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Tighina</w:t>
            </w:r>
          </w:p>
        </w:tc>
        <w:tc>
          <w:tcPr>
            <w:tcW w:w="1164" w:type="dxa"/>
            <w:shd w:val="clear" w:color="auto" w:fill="auto"/>
            <w:vAlign w:val="center"/>
          </w:tcPr>
          <w:p w14:paraId="0E674414"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2AAB6ACA"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avifaunistic</w:t>
            </w:r>
          </w:p>
        </w:tc>
        <w:tc>
          <w:tcPr>
            <w:tcW w:w="1139" w:type="dxa"/>
            <w:shd w:val="clear" w:color="auto" w:fill="auto"/>
            <w:vAlign w:val="center"/>
          </w:tcPr>
          <w:p w14:paraId="0D2C91B7"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2.378</w:t>
            </w:r>
          </w:p>
        </w:tc>
      </w:tr>
      <w:tr w:rsidR="003B5F37" w:rsidRPr="003B5F37" w14:paraId="12B9B768" w14:textId="77777777" w:rsidTr="00655DD6">
        <w:tc>
          <w:tcPr>
            <w:tcW w:w="2802" w:type="dxa"/>
            <w:shd w:val="clear" w:color="auto" w:fill="auto"/>
            <w:vAlign w:val="center"/>
          </w:tcPr>
          <w:p w14:paraId="5C7D9842"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Mlaștina Mosoroasa</w:t>
            </w:r>
          </w:p>
        </w:tc>
        <w:tc>
          <w:tcPr>
            <w:tcW w:w="1417" w:type="dxa"/>
            <w:shd w:val="clear" w:color="auto" w:fill="auto"/>
            <w:vAlign w:val="center"/>
          </w:tcPr>
          <w:p w14:paraId="59470FBE"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RONPA0812</w:t>
            </w:r>
          </w:p>
        </w:tc>
        <w:tc>
          <w:tcPr>
            <w:tcW w:w="1529" w:type="dxa"/>
            <w:shd w:val="clear" w:color="auto" w:fill="auto"/>
            <w:vAlign w:val="center"/>
          </w:tcPr>
          <w:p w14:paraId="1633CEDB"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Mosoroasa</w:t>
            </w:r>
          </w:p>
        </w:tc>
        <w:tc>
          <w:tcPr>
            <w:tcW w:w="1164" w:type="dxa"/>
            <w:shd w:val="clear" w:color="auto" w:fill="auto"/>
            <w:vAlign w:val="center"/>
          </w:tcPr>
          <w:p w14:paraId="5C937170"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1F73B346"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botanic</w:t>
            </w:r>
          </w:p>
        </w:tc>
        <w:tc>
          <w:tcPr>
            <w:tcW w:w="1139" w:type="dxa"/>
            <w:shd w:val="clear" w:color="auto" w:fill="auto"/>
            <w:vAlign w:val="center"/>
          </w:tcPr>
          <w:p w14:paraId="34B15940"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1,40</w:t>
            </w:r>
          </w:p>
        </w:tc>
      </w:tr>
      <w:tr w:rsidR="003B5F37" w:rsidRPr="003B5F37" w14:paraId="1FA776F4" w14:textId="77777777" w:rsidTr="00655DD6">
        <w:tc>
          <w:tcPr>
            <w:tcW w:w="2802" w:type="dxa"/>
            <w:shd w:val="clear" w:color="auto" w:fill="auto"/>
            <w:vAlign w:val="center"/>
          </w:tcPr>
          <w:p w14:paraId="79BDCB5F"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Muntele Stogu</w:t>
            </w:r>
          </w:p>
        </w:tc>
        <w:tc>
          <w:tcPr>
            <w:tcW w:w="1417" w:type="dxa"/>
            <w:shd w:val="clear" w:color="auto" w:fill="auto"/>
            <w:vAlign w:val="center"/>
          </w:tcPr>
          <w:p w14:paraId="012FFD5E"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RONPA0821</w:t>
            </w:r>
          </w:p>
        </w:tc>
        <w:tc>
          <w:tcPr>
            <w:tcW w:w="1529" w:type="dxa"/>
            <w:shd w:val="clear" w:color="auto" w:fill="auto"/>
            <w:vAlign w:val="center"/>
          </w:tcPr>
          <w:p w14:paraId="2917AA6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0BF04407"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1B6E7808"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77FF7E91"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10</w:t>
            </w:r>
          </w:p>
        </w:tc>
      </w:tr>
      <w:tr w:rsidR="003B5F37" w:rsidRPr="003B5F37" w14:paraId="3BF54EC9" w14:textId="77777777" w:rsidTr="00655DD6">
        <w:tc>
          <w:tcPr>
            <w:tcW w:w="2802" w:type="dxa"/>
            <w:shd w:val="clear" w:color="auto" w:fill="auto"/>
            <w:vAlign w:val="center"/>
          </w:tcPr>
          <w:p w14:paraId="768B2AA8"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Pădurea Silea</w:t>
            </w:r>
          </w:p>
        </w:tc>
        <w:tc>
          <w:tcPr>
            <w:tcW w:w="1417" w:type="dxa"/>
            <w:shd w:val="clear" w:color="auto" w:fill="auto"/>
            <w:vAlign w:val="center"/>
          </w:tcPr>
          <w:p w14:paraId="53F05BD4"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RONPA0814</w:t>
            </w:r>
          </w:p>
        </w:tc>
        <w:tc>
          <w:tcPr>
            <w:tcW w:w="1529" w:type="dxa"/>
            <w:shd w:val="clear" w:color="auto" w:fill="auto"/>
            <w:vAlign w:val="center"/>
          </w:tcPr>
          <w:p w14:paraId="46FFA3F7"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Fumureni</w:t>
            </w:r>
          </w:p>
        </w:tc>
        <w:tc>
          <w:tcPr>
            <w:tcW w:w="1164" w:type="dxa"/>
            <w:shd w:val="clear" w:color="auto" w:fill="auto"/>
            <w:vAlign w:val="center"/>
          </w:tcPr>
          <w:p w14:paraId="58420D4D"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79052341"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55265E1D"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25</w:t>
            </w:r>
          </w:p>
        </w:tc>
      </w:tr>
      <w:tr w:rsidR="003B5F37" w:rsidRPr="003B5F37" w14:paraId="037F9721" w14:textId="77777777" w:rsidTr="00655DD6">
        <w:tc>
          <w:tcPr>
            <w:tcW w:w="2802" w:type="dxa"/>
            <w:shd w:val="clear" w:color="auto" w:fill="auto"/>
            <w:vAlign w:val="center"/>
          </w:tcPr>
          <w:p w14:paraId="4CDC3D1A"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Pădurea Călinești - Brezoi</w:t>
            </w:r>
          </w:p>
        </w:tc>
        <w:tc>
          <w:tcPr>
            <w:tcW w:w="1417" w:type="dxa"/>
            <w:shd w:val="clear" w:color="auto" w:fill="auto"/>
            <w:vAlign w:val="center"/>
          </w:tcPr>
          <w:p w14:paraId="3820DE3F"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RONPA0815</w:t>
            </w:r>
          </w:p>
        </w:tc>
        <w:tc>
          <w:tcPr>
            <w:tcW w:w="1529" w:type="dxa"/>
            <w:shd w:val="clear" w:color="auto" w:fill="auto"/>
            <w:vAlign w:val="center"/>
          </w:tcPr>
          <w:p w14:paraId="5FFADB85"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Brezoi</w:t>
            </w:r>
          </w:p>
        </w:tc>
        <w:tc>
          <w:tcPr>
            <w:tcW w:w="1164" w:type="dxa"/>
            <w:shd w:val="clear" w:color="auto" w:fill="auto"/>
            <w:vAlign w:val="center"/>
          </w:tcPr>
          <w:p w14:paraId="35C465D8"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4A83D1DB"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3E1695DA"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200</w:t>
            </w:r>
          </w:p>
        </w:tc>
      </w:tr>
      <w:tr w:rsidR="003B5F37" w:rsidRPr="003B5F37" w14:paraId="23F62773" w14:textId="77777777" w:rsidTr="00655DD6">
        <w:tc>
          <w:tcPr>
            <w:tcW w:w="2802" w:type="dxa"/>
            <w:shd w:val="clear" w:color="auto" w:fill="auto"/>
            <w:vAlign w:val="center"/>
          </w:tcPr>
          <w:p w14:paraId="50D572AD"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Pădurea Latorița</w:t>
            </w:r>
          </w:p>
        </w:tc>
        <w:tc>
          <w:tcPr>
            <w:tcW w:w="1417" w:type="dxa"/>
            <w:shd w:val="clear" w:color="auto" w:fill="auto"/>
            <w:vAlign w:val="center"/>
          </w:tcPr>
          <w:p w14:paraId="279D3EB3"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RONPA0822</w:t>
            </w:r>
          </w:p>
        </w:tc>
        <w:tc>
          <w:tcPr>
            <w:tcW w:w="1529" w:type="dxa"/>
            <w:shd w:val="clear" w:color="auto" w:fill="auto"/>
            <w:vAlign w:val="center"/>
          </w:tcPr>
          <w:p w14:paraId="567B296D"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Malaia</w:t>
            </w:r>
          </w:p>
        </w:tc>
        <w:tc>
          <w:tcPr>
            <w:tcW w:w="1164" w:type="dxa"/>
            <w:shd w:val="clear" w:color="auto" w:fill="auto"/>
            <w:vAlign w:val="center"/>
          </w:tcPr>
          <w:p w14:paraId="4DF1109D"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341744F5"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7BBD3062"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7,10</w:t>
            </w:r>
          </w:p>
        </w:tc>
      </w:tr>
      <w:tr w:rsidR="003B5F37" w:rsidRPr="003B5F37" w14:paraId="7AD7BBB5" w14:textId="77777777" w:rsidTr="00655DD6">
        <w:tc>
          <w:tcPr>
            <w:tcW w:w="2802" w:type="dxa"/>
            <w:shd w:val="clear" w:color="auto" w:fill="auto"/>
            <w:vAlign w:val="center"/>
          </w:tcPr>
          <w:p w14:paraId="35542664"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Pădurea Tisa Mare</w:t>
            </w:r>
          </w:p>
        </w:tc>
        <w:tc>
          <w:tcPr>
            <w:tcW w:w="1417" w:type="dxa"/>
            <w:shd w:val="clear" w:color="auto" w:fill="auto"/>
            <w:vAlign w:val="center"/>
          </w:tcPr>
          <w:p w14:paraId="7851AC55"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RONPA0813</w:t>
            </w:r>
          </w:p>
        </w:tc>
        <w:tc>
          <w:tcPr>
            <w:tcW w:w="1529" w:type="dxa"/>
            <w:shd w:val="clear" w:color="auto" w:fill="auto"/>
            <w:vAlign w:val="center"/>
          </w:tcPr>
          <w:p w14:paraId="704D293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Lungești</w:t>
            </w:r>
          </w:p>
        </w:tc>
        <w:tc>
          <w:tcPr>
            <w:tcW w:w="1164" w:type="dxa"/>
            <w:shd w:val="clear" w:color="auto" w:fill="auto"/>
            <w:vAlign w:val="center"/>
          </w:tcPr>
          <w:p w14:paraId="5B3247C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32F90E7D"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17AD9FCA"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50</w:t>
            </w:r>
          </w:p>
        </w:tc>
      </w:tr>
      <w:tr w:rsidR="003B5F37" w:rsidRPr="003B5F37" w14:paraId="147C20AF" w14:textId="77777777" w:rsidTr="00655DD6">
        <w:tc>
          <w:tcPr>
            <w:tcW w:w="2802" w:type="dxa"/>
            <w:shd w:val="clear" w:color="auto" w:fill="auto"/>
            <w:vAlign w:val="center"/>
          </w:tcPr>
          <w:p w14:paraId="4148F8DA"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lastRenderedPageBreak/>
              <w:t>Pădurea Valea Cheii</w:t>
            </w:r>
          </w:p>
        </w:tc>
        <w:tc>
          <w:tcPr>
            <w:tcW w:w="1417" w:type="dxa"/>
            <w:shd w:val="clear" w:color="auto" w:fill="auto"/>
            <w:vAlign w:val="center"/>
          </w:tcPr>
          <w:p w14:paraId="277FA4D4"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RONPA0825</w:t>
            </w:r>
          </w:p>
        </w:tc>
        <w:tc>
          <w:tcPr>
            <w:tcW w:w="1529" w:type="dxa"/>
            <w:shd w:val="clear" w:color="auto" w:fill="auto"/>
            <w:vAlign w:val="center"/>
          </w:tcPr>
          <w:p w14:paraId="66E3267D"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33488292"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7FC5E9DC"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66A9A06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1,50</w:t>
            </w:r>
          </w:p>
        </w:tc>
      </w:tr>
      <w:tr w:rsidR="003B5F37" w:rsidRPr="003B5F37" w14:paraId="1D1198F3" w14:textId="77777777" w:rsidTr="00655DD6">
        <w:tc>
          <w:tcPr>
            <w:tcW w:w="2802" w:type="dxa"/>
            <w:shd w:val="clear" w:color="auto" w:fill="auto"/>
            <w:vAlign w:val="center"/>
          </w:tcPr>
          <w:p w14:paraId="78FE9E0E"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Arnăuților</w:t>
            </w:r>
          </w:p>
        </w:tc>
        <w:tc>
          <w:tcPr>
            <w:tcW w:w="1417" w:type="dxa"/>
            <w:shd w:val="clear" w:color="auto" w:fill="auto"/>
            <w:vAlign w:val="center"/>
          </w:tcPr>
          <w:p w14:paraId="5B028009"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RONPA0809</w:t>
            </w:r>
          </w:p>
        </w:tc>
        <w:tc>
          <w:tcPr>
            <w:tcW w:w="1529" w:type="dxa"/>
            <w:shd w:val="clear" w:color="auto" w:fill="auto"/>
            <w:vAlign w:val="center"/>
          </w:tcPr>
          <w:p w14:paraId="09F6CA57"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5BBD22C0"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01EB13F8"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3269BA01"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0,40</w:t>
            </w:r>
          </w:p>
        </w:tc>
      </w:tr>
      <w:tr w:rsidR="003B5F37" w:rsidRPr="003B5F37" w14:paraId="409EB85D" w14:textId="77777777" w:rsidTr="00655DD6">
        <w:tc>
          <w:tcPr>
            <w:tcW w:w="2802" w:type="dxa"/>
            <w:shd w:val="clear" w:color="auto" w:fill="auto"/>
            <w:vAlign w:val="center"/>
          </w:tcPr>
          <w:p w14:paraId="472571ED"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Caprelor</w:t>
            </w:r>
          </w:p>
        </w:tc>
        <w:tc>
          <w:tcPr>
            <w:tcW w:w="1417" w:type="dxa"/>
            <w:shd w:val="clear" w:color="auto" w:fill="auto"/>
            <w:vAlign w:val="center"/>
          </w:tcPr>
          <w:p w14:paraId="02906E2A"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RONPA0800</w:t>
            </w:r>
          </w:p>
        </w:tc>
        <w:tc>
          <w:tcPr>
            <w:tcW w:w="1529" w:type="dxa"/>
            <w:shd w:val="clear" w:color="auto" w:fill="auto"/>
            <w:vAlign w:val="center"/>
          </w:tcPr>
          <w:p w14:paraId="79DEE54C"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770F7C9C"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282C6216"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49BBB1BF"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0,50</w:t>
            </w:r>
          </w:p>
        </w:tc>
      </w:tr>
      <w:tr w:rsidR="003B5F37" w:rsidRPr="003B5F37" w14:paraId="4ECE5F64" w14:textId="77777777" w:rsidTr="00655DD6">
        <w:tc>
          <w:tcPr>
            <w:tcW w:w="2802" w:type="dxa"/>
            <w:shd w:val="clear" w:color="auto" w:fill="auto"/>
            <w:vAlign w:val="center"/>
          </w:tcPr>
          <w:p w14:paraId="2413A8AB"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Clopot</w:t>
            </w:r>
          </w:p>
        </w:tc>
        <w:tc>
          <w:tcPr>
            <w:tcW w:w="1417" w:type="dxa"/>
            <w:shd w:val="clear" w:color="auto" w:fill="auto"/>
            <w:vAlign w:val="center"/>
          </w:tcPr>
          <w:p w14:paraId="213A7CA4"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RONPA0810</w:t>
            </w:r>
          </w:p>
        </w:tc>
        <w:tc>
          <w:tcPr>
            <w:tcW w:w="1529" w:type="dxa"/>
            <w:shd w:val="clear" w:color="auto" w:fill="auto"/>
            <w:vAlign w:val="center"/>
          </w:tcPr>
          <w:p w14:paraId="5BCC7538"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4DB9D6C9"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6D71B70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3E86A756"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0,10</w:t>
            </w:r>
          </w:p>
        </w:tc>
      </w:tr>
      <w:tr w:rsidR="003B5F37" w:rsidRPr="003B5F37" w14:paraId="6762D70C" w14:textId="77777777" w:rsidTr="00655DD6">
        <w:tc>
          <w:tcPr>
            <w:tcW w:w="2802" w:type="dxa"/>
            <w:shd w:val="clear" w:color="auto" w:fill="auto"/>
            <w:vAlign w:val="center"/>
          </w:tcPr>
          <w:p w14:paraId="5E2E4E4D"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cu Lac</w:t>
            </w:r>
          </w:p>
        </w:tc>
        <w:tc>
          <w:tcPr>
            <w:tcW w:w="1417" w:type="dxa"/>
            <w:shd w:val="clear" w:color="auto" w:fill="auto"/>
            <w:vAlign w:val="center"/>
          </w:tcPr>
          <w:p w14:paraId="317ECB0C"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RONPA0807</w:t>
            </w:r>
          </w:p>
        </w:tc>
        <w:tc>
          <w:tcPr>
            <w:tcW w:w="1529" w:type="dxa"/>
            <w:shd w:val="clear" w:color="auto" w:fill="auto"/>
            <w:vAlign w:val="center"/>
          </w:tcPr>
          <w:p w14:paraId="6840547D"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06F6240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2BD16B4D"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1C0E3062"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0,10</w:t>
            </w:r>
          </w:p>
        </w:tc>
      </w:tr>
      <w:tr w:rsidR="003B5F37" w:rsidRPr="003B5F37" w14:paraId="1C7056D8" w14:textId="77777777" w:rsidTr="00655DD6">
        <w:tc>
          <w:tcPr>
            <w:tcW w:w="2802" w:type="dxa"/>
            <w:shd w:val="clear" w:color="auto" w:fill="auto"/>
            <w:vAlign w:val="center"/>
          </w:tcPr>
          <w:p w14:paraId="55E0D115"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cu Perle</w:t>
            </w:r>
          </w:p>
        </w:tc>
        <w:tc>
          <w:tcPr>
            <w:tcW w:w="1417" w:type="dxa"/>
            <w:shd w:val="clear" w:color="auto" w:fill="auto"/>
            <w:vAlign w:val="center"/>
          </w:tcPr>
          <w:p w14:paraId="2CC1F7C9"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RONPA0808</w:t>
            </w:r>
          </w:p>
        </w:tc>
        <w:tc>
          <w:tcPr>
            <w:tcW w:w="1529" w:type="dxa"/>
            <w:shd w:val="clear" w:color="auto" w:fill="auto"/>
            <w:vAlign w:val="center"/>
          </w:tcPr>
          <w:p w14:paraId="284B95BD"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76BC4494"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2F9FE890"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24A9AD76"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0,50</w:t>
            </w:r>
          </w:p>
        </w:tc>
      </w:tr>
      <w:tr w:rsidR="003B5F37" w:rsidRPr="003B5F37" w14:paraId="30EE1A68" w14:textId="77777777" w:rsidTr="00655DD6">
        <w:tc>
          <w:tcPr>
            <w:tcW w:w="2802" w:type="dxa"/>
            <w:shd w:val="clear" w:color="auto" w:fill="auto"/>
            <w:vAlign w:val="center"/>
          </w:tcPr>
          <w:p w14:paraId="1CC0612E"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Munteanu - Murgoci</w:t>
            </w:r>
          </w:p>
        </w:tc>
        <w:tc>
          <w:tcPr>
            <w:tcW w:w="1417" w:type="dxa"/>
            <w:shd w:val="clear" w:color="auto" w:fill="auto"/>
            <w:vAlign w:val="center"/>
          </w:tcPr>
          <w:p w14:paraId="1B5CEAD8"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RONPA0803</w:t>
            </w:r>
          </w:p>
        </w:tc>
        <w:tc>
          <w:tcPr>
            <w:tcW w:w="1529" w:type="dxa"/>
            <w:shd w:val="clear" w:color="auto" w:fill="auto"/>
            <w:vAlign w:val="center"/>
          </w:tcPr>
          <w:p w14:paraId="56AA1EBC"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5769E9F6"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15417024"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0A77CC87"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w:t>
            </w:r>
          </w:p>
        </w:tc>
      </w:tr>
      <w:tr w:rsidR="003B5F37" w:rsidRPr="003B5F37" w14:paraId="0B314904" w14:textId="77777777" w:rsidTr="00655DD6">
        <w:tc>
          <w:tcPr>
            <w:tcW w:w="2802" w:type="dxa"/>
            <w:shd w:val="clear" w:color="auto" w:fill="auto"/>
            <w:vAlign w:val="center"/>
          </w:tcPr>
          <w:p w14:paraId="3977C692"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Liliecilor</w:t>
            </w:r>
          </w:p>
        </w:tc>
        <w:tc>
          <w:tcPr>
            <w:tcW w:w="1417" w:type="dxa"/>
            <w:shd w:val="clear" w:color="auto" w:fill="auto"/>
            <w:vAlign w:val="center"/>
          </w:tcPr>
          <w:p w14:paraId="4309B11F"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RONPA0802</w:t>
            </w:r>
          </w:p>
        </w:tc>
        <w:tc>
          <w:tcPr>
            <w:tcW w:w="1529" w:type="dxa"/>
            <w:shd w:val="clear" w:color="auto" w:fill="auto"/>
            <w:vAlign w:val="center"/>
          </w:tcPr>
          <w:p w14:paraId="65DCC32F"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Costești</w:t>
            </w:r>
          </w:p>
        </w:tc>
        <w:tc>
          <w:tcPr>
            <w:tcW w:w="1164" w:type="dxa"/>
            <w:shd w:val="clear" w:color="auto" w:fill="auto"/>
            <w:vAlign w:val="center"/>
          </w:tcPr>
          <w:p w14:paraId="6138C281"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598AC64C"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3BE63FF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w:t>
            </w:r>
          </w:p>
        </w:tc>
      </w:tr>
      <w:tr w:rsidR="003B5F37" w:rsidRPr="003B5F37" w14:paraId="771FC317" w14:textId="77777777" w:rsidTr="00655DD6">
        <w:tc>
          <w:tcPr>
            <w:tcW w:w="2802" w:type="dxa"/>
            <w:shd w:val="clear" w:color="auto" w:fill="auto"/>
            <w:vAlign w:val="center"/>
          </w:tcPr>
          <w:p w14:paraId="7CCAE735"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Pagodelor</w:t>
            </w:r>
          </w:p>
        </w:tc>
        <w:tc>
          <w:tcPr>
            <w:tcW w:w="1417" w:type="dxa"/>
            <w:shd w:val="clear" w:color="auto" w:fill="auto"/>
            <w:vAlign w:val="center"/>
          </w:tcPr>
          <w:p w14:paraId="0F14C468"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RONPA0804</w:t>
            </w:r>
          </w:p>
        </w:tc>
        <w:tc>
          <w:tcPr>
            <w:tcW w:w="1529" w:type="dxa"/>
            <w:shd w:val="clear" w:color="auto" w:fill="auto"/>
            <w:vAlign w:val="center"/>
          </w:tcPr>
          <w:p w14:paraId="2ABF8FD7"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11FDFE94"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581C3494"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4D19F02D"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0,30</w:t>
            </w:r>
          </w:p>
        </w:tc>
      </w:tr>
      <w:tr w:rsidR="003B5F37" w:rsidRPr="003B5F37" w14:paraId="56F50062" w14:textId="77777777" w:rsidTr="00655DD6">
        <w:tc>
          <w:tcPr>
            <w:tcW w:w="2802" w:type="dxa"/>
            <w:shd w:val="clear" w:color="auto" w:fill="auto"/>
            <w:vAlign w:val="center"/>
          </w:tcPr>
          <w:p w14:paraId="188C33E8"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Rac</w:t>
            </w:r>
          </w:p>
        </w:tc>
        <w:tc>
          <w:tcPr>
            <w:tcW w:w="1417" w:type="dxa"/>
            <w:shd w:val="clear" w:color="auto" w:fill="auto"/>
            <w:vAlign w:val="center"/>
          </w:tcPr>
          <w:p w14:paraId="55B00A25"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RONPA0805</w:t>
            </w:r>
          </w:p>
        </w:tc>
        <w:tc>
          <w:tcPr>
            <w:tcW w:w="1529" w:type="dxa"/>
            <w:shd w:val="clear" w:color="auto" w:fill="auto"/>
            <w:vAlign w:val="center"/>
          </w:tcPr>
          <w:p w14:paraId="5D82167D"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62A5AC93"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08DA6437"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3D43392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0,20</w:t>
            </w:r>
          </w:p>
        </w:tc>
      </w:tr>
      <w:tr w:rsidR="003B5F37" w:rsidRPr="003B5F37" w14:paraId="6D1DF429" w14:textId="77777777" w:rsidTr="00655DD6">
        <w:tc>
          <w:tcPr>
            <w:tcW w:w="2802" w:type="dxa"/>
            <w:shd w:val="clear" w:color="auto" w:fill="auto"/>
            <w:vAlign w:val="center"/>
          </w:tcPr>
          <w:p w14:paraId="101CA0AC"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Peștera Valea Bistrița</w:t>
            </w:r>
          </w:p>
        </w:tc>
        <w:tc>
          <w:tcPr>
            <w:tcW w:w="1417" w:type="dxa"/>
            <w:shd w:val="clear" w:color="auto" w:fill="auto"/>
            <w:vAlign w:val="center"/>
          </w:tcPr>
          <w:p w14:paraId="354C9DA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RONPA0806</w:t>
            </w:r>
          </w:p>
        </w:tc>
        <w:tc>
          <w:tcPr>
            <w:tcW w:w="1529" w:type="dxa"/>
            <w:shd w:val="clear" w:color="auto" w:fill="auto"/>
            <w:vAlign w:val="center"/>
          </w:tcPr>
          <w:p w14:paraId="57481DB3"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04A851A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4851C757"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speologic</w:t>
            </w:r>
          </w:p>
        </w:tc>
        <w:tc>
          <w:tcPr>
            <w:tcW w:w="1139" w:type="dxa"/>
            <w:shd w:val="clear" w:color="auto" w:fill="auto"/>
            <w:vAlign w:val="center"/>
          </w:tcPr>
          <w:p w14:paraId="0459339E"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0,25</w:t>
            </w:r>
          </w:p>
        </w:tc>
      </w:tr>
      <w:tr w:rsidR="003B5F37" w:rsidRPr="003B5F37" w14:paraId="180B4F9B" w14:textId="77777777" w:rsidTr="00655DD6">
        <w:tc>
          <w:tcPr>
            <w:tcW w:w="2802" w:type="dxa"/>
            <w:shd w:val="clear" w:color="auto" w:fill="auto"/>
            <w:vAlign w:val="center"/>
          </w:tcPr>
          <w:p w14:paraId="312CB8D7"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Piramidele de la Slătioara</w:t>
            </w:r>
          </w:p>
        </w:tc>
        <w:tc>
          <w:tcPr>
            <w:tcW w:w="1417" w:type="dxa"/>
            <w:shd w:val="clear" w:color="auto" w:fill="auto"/>
            <w:vAlign w:val="center"/>
          </w:tcPr>
          <w:p w14:paraId="1BBBD1F8"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RONPA0799</w:t>
            </w:r>
          </w:p>
        </w:tc>
        <w:tc>
          <w:tcPr>
            <w:tcW w:w="1529" w:type="dxa"/>
            <w:shd w:val="clear" w:color="auto" w:fill="auto"/>
            <w:vAlign w:val="center"/>
          </w:tcPr>
          <w:p w14:paraId="0F72E3F9"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Slătioara, </w:t>
            </w:r>
          </w:p>
          <w:p w14:paraId="45A088DF"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Stroiești</w:t>
            </w:r>
          </w:p>
        </w:tc>
        <w:tc>
          <w:tcPr>
            <w:tcW w:w="1164" w:type="dxa"/>
            <w:shd w:val="clear" w:color="auto" w:fill="auto"/>
            <w:vAlign w:val="center"/>
          </w:tcPr>
          <w:p w14:paraId="3AAF9C71"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7E117530"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geologic</w:t>
            </w:r>
          </w:p>
        </w:tc>
        <w:tc>
          <w:tcPr>
            <w:tcW w:w="1139" w:type="dxa"/>
            <w:shd w:val="clear" w:color="auto" w:fill="auto"/>
            <w:vAlign w:val="center"/>
          </w:tcPr>
          <w:p w14:paraId="7EC99FF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10,50</w:t>
            </w:r>
          </w:p>
        </w:tc>
      </w:tr>
      <w:tr w:rsidR="003B5F37" w:rsidRPr="003B5F37" w14:paraId="32C7641C" w14:textId="77777777" w:rsidTr="00655DD6">
        <w:tc>
          <w:tcPr>
            <w:tcW w:w="2802" w:type="dxa"/>
            <w:shd w:val="clear" w:color="auto" w:fill="auto"/>
            <w:vAlign w:val="center"/>
          </w:tcPr>
          <w:p w14:paraId="04F9A4AF"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Piramidele din Valea Stăncioiului</w:t>
            </w:r>
          </w:p>
        </w:tc>
        <w:tc>
          <w:tcPr>
            <w:tcW w:w="1417" w:type="dxa"/>
            <w:shd w:val="clear" w:color="auto" w:fill="auto"/>
            <w:vAlign w:val="center"/>
          </w:tcPr>
          <w:p w14:paraId="782F89F7"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RONPA0798</w:t>
            </w:r>
          </w:p>
        </w:tc>
        <w:tc>
          <w:tcPr>
            <w:tcW w:w="1529" w:type="dxa"/>
            <w:shd w:val="clear" w:color="auto" w:fill="auto"/>
            <w:vAlign w:val="center"/>
          </w:tcPr>
          <w:p w14:paraId="52CCB201"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Râmnicu Vâlcea</w:t>
            </w:r>
          </w:p>
        </w:tc>
        <w:tc>
          <w:tcPr>
            <w:tcW w:w="1164" w:type="dxa"/>
            <w:shd w:val="clear" w:color="auto" w:fill="auto"/>
            <w:vAlign w:val="center"/>
          </w:tcPr>
          <w:p w14:paraId="11D5B226"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III</w:t>
            </w:r>
          </w:p>
        </w:tc>
        <w:tc>
          <w:tcPr>
            <w:tcW w:w="1418" w:type="dxa"/>
            <w:shd w:val="clear" w:color="auto" w:fill="auto"/>
            <w:vAlign w:val="center"/>
          </w:tcPr>
          <w:p w14:paraId="4E2010DA"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geologic</w:t>
            </w:r>
          </w:p>
        </w:tc>
        <w:tc>
          <w:tcPr>
            <w:tcW w:w="1139" w:type="dxa"/>
            <w:shd w:val="clear" w:color="auto" w:fill="auto"/>
            <w:vAlign w:val="center"/>
          </w:tcPr>
          <w:p w14:paraId="3F336C1D"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12</w:t>
            </w:r>
          </w:p>
        </w:tc>
      </w:tr>
      <w:tr w:rsidR="003B5F37" w:rsidRPr="003B5F37" w14:paraId="73F850D0" w14:textId="77777777" w:rsidTr="00655DD6">
        <w:tc>
          <w:tcPr>
            <w:tcW w:w="2802" w:type="dxa"/>
            <w:shd w:val="clear" w:color="auto" w:fill="auto"/>
            <w:vAlign w:val="center"/>
          </w:tcPr>
          <w:p w14:paraId="26585C44"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Muzeul Trovanților</w:t>
            </w:r>
          </w:p>
        </w:tc>
        <w:tc>
          <w:tcPr>
            <w:tcW w:w="1417" w:type="dxa"/>
            <w:shd w:val="clear" w:color="auto" w:fill="auto"/>
            <w:vAlign w:val="center"/>
          </w:tcPr>
          <w:p w14:paraId="26D86B3B"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RONPA0936</w:t>
            </w:r>
          </w:p>
        </w:tc>
        <w:tc>
          <w:tcPr>
            <w:tcW w:w="1529" w:type="dxa"/>
            <w:shd w:val="clear" w:color="auto" w:fill="auto"/>
            <w:vAlign w:val="center"/>
          </w:tcPr>
          <w:p w14:paraId="579677B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Costești</w:t>
            </w:r>
          </w:p>
        </w:tc>
        <w:tc>
          <w:tcPr>
            <w:tcW w:w="1164" w:type="dxa"/>
            <w:shd w:val="clear" w:color="auto" w:fill="auto"/>
            <w:vAlign w:val="center"/>
          </w:tcPr>
          <w:p w14:paraId="427AC985"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7B91D5B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geologic</w:t>
            </w:r>
          </w:p>
        </w:tc>
        <w:tc>
          <w:tcPr>
            <w:tcW w:w="1139" w:type="dxa"/>
            <w:shd w:val="clear" w:color="auto" w:fill="auto"/>
            <w:vAlign w:val="center"/>
          </w:tcPr>
          <w:p w14:paraId="24BFFA76"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1,10</w:t>
            </w:r>
          </w:p>
        </w:tc>
      </w:tr>
      <w:tr w:rsidR="003B5F37" w:rsidRPr="003B5F37" w14:paraId="3584D54B" w14:textId="77777777" w:rsidTr="00655DD6">
        <w:tc>
          <w:tcPr>
            <w:tcW w:w="2802" w:type="dxa"/>
            <w:shd w:val="clear" w:color="auto" w:fill="auto"/>
            <w:vAlign w:val="center"/>
          </w:tcPr>
          <w:p w14:paraId="18413480"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Rezervația Cristești</w:t>
            </w:r>
          </w:p>
        </w:tc>
        <w:tc>
          <w:tcPr>
            <w:tcW w:w="1417" w:type="dxa"/>
            <w:shd w:val="clear" w:color="auto" w:fill="auto"/>
            <w:vAlign w:val="center"/>
          </w:tcPr>
          <w:p w14:paraId="1887CC9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RONPA0824</w:t>
            </w:r>
          </w:p>
        </w:tc>
        <w:tc>
          <w:tcPr>
            <w:tcW w:w="1529" w:type="dxa"/>
            <w:shd w:val="clear" w:color="auto" w:fill="auto"/>
            <w:vAlign w:val="center"/>
          </w:tcPr>
          <w:p w14:paraId="2CBFCE1D"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Voineasa</w:t>
            </w:r>
          </w:p>
        </w:tc>
        <w:tc>
          <w:tcPr>
            <w:tcW w:w="1164" w:type="dxa"/>
            <w:shd w:val="clear" w:color="auto" w:fill="auto"/>
            <w:vAlign w:val="center"/>
          </w:tcPr>
          <w:p w14:paraId="5552F68A"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6AC8FB53"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3B5E8E46"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3</w:t>
            </w:r>
          </w:p>
        </w:tc>
      </w:tr>
      <w:tr w:rsidR="003B5F37" w:rsidRPr="003B5F37" w14:paraId="1EF7C7AD" w14:textId="77777777" w:rsidTr="00655DD6">
        <w:tc>
          <w:tcPr>
            <w:tcW w:w="2802" w:type="dxa"/>
            <w:shd w:val="clear" w:color="auto" w:fill="auto"/>
            <w:vAlign w:val="center"/>
          </w:tcPr>
          <w:p w14:paraId="43F76B1F"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Rezervația Sterpu-Dealul Negru</w:t>
            </w:r>
          </w:p>
        </w:tc>
        <w:tc>
          <w:tcPr>
            <w:tcW w:w="1417" w:type="dxa"/>
            <w:shd w:val="clear" w:color="auto" w:fill="auto"/>
            <w:vAlign w:val="center"/>
          </w:tcPr>
          <w:p w14:paraId="05D56C0B"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RONPA0823</w:t>
            </w:r>
          </w:p>
        </w:tc>
        <w:tc>
          <w:tcPr>
            <w:tcW w:w="1529" w:type="dxa"/>
            <w:shd w:val="clear" w:color="auto" w:fill="auto"/>
            <w:vAlign w:val="center"/>
          </w:tcPr>
          <w:p w14:paraId="679E850F"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Voineasa</w:t>
            </w:r>
          </w:p>
        </w:tc>
        <w:tc>
          <w:tcPr>
            <w:tcW w:w="1164" w:type="dxa"/>
            <w:shd w:val="clear" w:color="auto" w:fill="auto"/>
            <w:vAlign w:val="center"/>
          </w:tcPr>
          <w:p w14:paraId="476390F3"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51BCA7D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4D7F128F"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5</w:t>
            </w:r>
          </w:p>
        </w:tc>
      </w:tr>
      <w:tr w:rsidR="003B5F37" w:rsidRPr="003B5F37" w14:paraId="0B09D890" w14:textId="77777777" w:rsidTr="00655DD6">
        <w:tc>
          <w:tcPr>
            <w:tcW w:w="2802" w:type="dxa"/>
            <w:shd w:val="clear" w:color="auto" w:fill="auto"/>
            <w:vAlign w:val="center"/>
          </w:tcPr>
          <w:p w14:paraId="22B3F584"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Rezervația Miru-Bora</w:t>
            </w:r>
          </w:p>
        </w:tc>
        <w:tc>
          <w:tcPr>
            <w:tcW w:w="1417" w:type="dxa"/>
            <w:shd w:val="clear" w:color="auto" w:fill="auto"/>
            <w:vAlign w:val="center"/>
          </w:tcPr>
          <w:p w14:paraId="6CDE8F3C"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RONPA0817</w:t>
            </w:r>
          </w:p>
        </w:tc>
        <w:tc>
          <w:tcPr>
            <w:tcW w:w="1529" w:type="dxa"/>
            <w:shd w:val="clear" w:color="auto" w:fill="auto"/>
            <w:vAlign w:val="center"/>
          </w:tcPr>
          <w:p w14:paraId="3129D92C"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Voineasa</w:t>
            </w:r>
          </w:p>
        </w:tc>
        <w:tc>
          <w:tcPr>
            <w:tcW w:w="1164" w:type="dxa"/>
            <w:shd w:val="clear" w:color="auto" w:fill="auto"/>
            <w:vAlign w:val="center"/>
          </w:tcPr>
          <w:p w14:paraId="2D7D47E0"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3A3B1C84"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08C1BA04"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25</w:t>
            </w:r>
          </w:p>
        </w:tc>
      </w:tr>
      <w:tr w:rsidR="003B5F37" w:rsidRPr="003B5F37" w14:paraId="76567E76" w14:textId="77777777" w:rsidTr="00655DD6">
        <w:tc>
          <w:tcPr>
            <w:tcW w:w="2802" w:type="dxa"/>
            <w:shd w:val="clear" w:color="auto" w:fill="auto"/>
            <w:vAlign w:val="center"/>
          </w:tcPr>
          <w:p w14:paraId="13C5CD21"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Rezervația Rădița - Mânzu</w:t>
            </w:r>
          </w:p>
        </w:tc>
        <w:tc>
          <w:tcPr>
            <w:tcW w:w="1417" w:type="dxa"/>
            <w:shd w:val="clear" w:color="auto" w:fill="auto"/>
            <w:vAlign w:val="center"/>
          </w:tcPr>
          <w:p w14:paraId="265B2309"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RONPA0819</w:t>
            </w:r>
          </w:p>
        </w:tc>
        <w:tc>
          <w:tcPr>
            <w:tcW w:w="1529" w:type="dxa"/>
            <w:shd w:val="clear" w:color="auto" w:fill="auto"/>
            <w:vAlign w:val="center"/>
          </w:tcPr>
          <w:p w14:paraId="115BE504"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Băile Olănești</w:t>
            </w:r>
          </w:p>
        </w:tc>
        <w:tc>
          <w:tcPr>
            <w:tcW w:w="1164" w:type="dxa"/>
            <w:shd w:val="clear" w:color="auto" w:fill="auto"/>
            <w:vAlign w:val="center"/>
          </w:tcPr>
          <w:p w14:paraId="0D6D8EA4"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3F05E84B"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60AD605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10</w:t>
            </w:r>
          </w:p>
        </w:tc>
      </w:tr>
      <w:tr w:rsidR="003B5F37" w:rsidRPr="003B5F37" w14:paraId="718CC101" w14:textId="77777777" w:rsidTr="00655DD6">
        <w:tc>
          <w:tcPr>
            <w:tcW w:w="2802" w:type="dxa"/>
            <w:shd w:val="clear" w:color="auto" w:fill="auto"/>
            <w:vAlign w:val="center"/>
          </w:tcPr>
          <w:p w14:paraId="6F3E7B49"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Rezervația paleontologică Golești</w:t>
            </w:r>
          </w:p>
        </w:tc>
        <w:tc>
          <w:tcPr>
            <w:tcW w:w="1417" w:type="dxa"/>
            <w:shd w:val="clear" w:color="auto" w:fill="auto"/>
            <w:vAlign w:val="center"/>
          </w:tcPr>
          <w:p w14:paraId="4B0C9AA0"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RONPA0826</w:t>
            </w:r>
          </w:p>
        </w:tc>
        <w:tc>
          <w:tcPr>
            <w:tcW w:w="1529" w:type="dxa"/>
            <w:shd w:val="clear" w:color="auto" w:fill="auto"/>
            <w:vAlign w:val="center"/>
          </w:tcPr>
          <w:p w14:paraId="3D94D6C0"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Golești</w:t>
            </w:r>
          </w:p>
        </w:tc>
        <w:tc>
          <w:tcPr>
            <w:tcW w:w="1164" w:type="dxa"/>
            <w:shd w:val="clear" w:color="auto" w:fill="auto"/>
            <w:vAlign w:val="center"/>
          </w:tcPr>
          <w:p w14:paraId="11FF4970"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09B0FE52"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paleontologic</w:t>
            </w:r>
          </w:p>
        </w:tc>
        <w:tc>
          <w:tcPr>
            <w:tcW w:w="1139" w:type="dxa"/>
            <w:shd w:val="clear" w:color="auto" w:fill="auto"/>
            <w:vAlign w:val="center"/>
          </w:tcPr>
          <w:p w14:paraId="66193ED8"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10</w:t>
            </w:r>
          </w:p>
        </w:tc>
      </w:tr>
      <w:tr w:rsidR="003B5F37" w:rsidRPr="003B5F37" w14:paraId="0D4FA26A" w14:textId="77777777" w:rsidTr="00655DD6">
        <w:tc>
          <w:tcPr>
            <w:tcW w:w="2802" w:type="dxa"/>
            <w:shd w:val="clear" w:color="auto" w:fill="auto"/>
            <w:vAlign w:val="center"/>
          </w:tcPr>
          <w:p w14:paraId="3FD529B7" w14:textId="77777777" w:rsidR="003B5F37" w:rsidRPr="003B5F37" w:rsidRDefault="003B5F37" w:rsidP="003B5F37">
            <w:pPr>
              <w:widowControl w:val="0"/>
              <w:suppressAutoHyphens/>
              <w:spacing w:after="0" w:line="240" w:lineRule="auto"/>
              <w:rPr>
                <w:rFonts w:ascii="Arial" w:hAnsi="Arial" w:cs="Arial"/>
                <w:b/>
                <w:kern w:val="36"/>
                <w:sz w:val="20"/>
                <w:szCs w:val="20"/>
                <w:lang w:val="fr-FR" w:eastAsia="hi-IN" w:bidi="hi-IN"/>
              </w:rPr>
            </w:pPr>
            <w:r w:rsidRPr="003B5F37">
              <w:rPr>
                <w:rFonts w:ascii="Arial" w:hAnsi="Arial" w:cs="Arial"/>
                <w:b/>
                <w:kern w:val="36"/>
                <w:sz w:val="20"/>
                <w:szCs w:val="20"/>
                <w:lang w:val="fr-FR" w:eastAsia="hi-IN" w:bidi="hi-IN"/>
              </w:rPr>
              <w:t>Rezervația Ocnele Mari</w:t>
            </w:r>
          </w:p>
        </w:tc>
        <w:tc>
          <w:tcPr>
            <w:tcW w:w="1417" w:type="dxa"/>
            <w:shd w:val="clear" w:color="auto" w:fill="auto"/>
            <w:vAlign w:val="center"/>
          </w:tcPr>
          <w:p w14:paraId="6FAE301D"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RONPA0818</w:t>
            </w:r>
          </w:p>
        </w:tc>
        <w:tc>
          <w:tcPr>
            <w:tcW w:w="1529" w:type="dxa"/>
            <w:shd w:val="clear" w:color="auto" w:fill="auto"/>
            <w:vAlign w:val="center"/>
          </w:tcPr>
          <w:p w14:paraId="0878B230"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Ocnele Mari</w:t>
            </w:r>
          </w:p>
        </w:tc>
        <w:tc>
          <w:tcPr>
            <w:tcW w:w="1164" w:type="dxa"/>
            <w:shd w:val="clear" w:color="auto" w:fill="auto"/>
            <w:vAlign w:val="center"/>
          </w:tcPr>
          <w:p w14:paraId="19589369"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IV</w:t>
            </w:r>
          </w:p>
        </w:tc>
        <w:tc>
          <w:tcPr>
            <w:tcW w:w="1418" w:type="dxa"/>
            <w:shd w:val="clear" w:color="auto" w:fill="auto"/>
            <w:vAlign w:val="center"/>
          </w:tcPr>
          <w:p w14:paraId="761BF0EB" w14:textId="77777777" w:rsidR="003B5F37" w:rsidRPr="003B5F37" w:rsidRDefault="003B5F37" w:rsidP="003B5F37">
            <w:pPr>
              <w:widowControl w:val="0"/>
              <w:suppressAutoHyphens/>
              <w:spacing w:after="0" w:line="240" w:lineRule="auto"/>
              <w:jc w:val="both"/>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mixt</w:t>
            </w:r>
          </w:p>
        </w:tc>
        <w:tc>
          <w:tcPr>
            <w:tcW w:w="1139" w:type="dxa"/>
            <w:shd w:val="clear" w:color="auto" w:fill="auto"/>
            <w:vAlign w:val="center"/>
          </w:tcPr>
          <w:p w14:paraId="28F6560B" w14:textId="77777777" w:rsidR="003B5F37" w:rsidRPr="003B5F37" w:rsidRDefault="003B5F37" w:rsidP="003B5F37">
            <w:pPr>
              <w:widowControl w:val="0"/>
              <w:suppressAutoHyphens/>
              <w:spacing w:after="0" w:line="240" w:lineRule="auto"/>
              <w:jc w:val="center"/>
              <w:rPr>
                <w:rFonts w:ascii="Arial" w:hAnsi="Arial" w:cs="Arial"/>
                <w:kern w:val="36"/>
                <w:sz w:val="20"/>
                <w:szCs w:val="20"/>
                <w:lang w:val="fr-FR" w:eastAsia="hi-IN" w:bidi="hi-IN"/>
              </w:rPr>
            </w:pPr>
            <w:r w:rsidRPr="003B5F37">
              <w:rPr>
                <w:rFonts w:ascii="Arial" w:hAnsi="Arial" w:cs="Arial"/>
                <w:kern w:val="36"/>
                <w:sz w:val="20"/>
                <w:szCs w:val="20"/>
                <w:lang w:val="fr-FR" w:eastAsia="hi-IN" w:bidi="hi-IN"/>
              </w:rPr>
              <w:t>15</w:t>
            </w:r>
          </w:p>
        </w:tc>
      </w:tr>
    </w:tbl>
    <w:p w14:paraId="43167BBF" w14:textId="77777777" w:rsidR="003B5F37" w:rsidRPr="003B5F37" w:rsidRDefault="003B5F37" w:rsidP="003B5F37">
      <w:pPr>
        <w:widowControl w:val="0"/>
        <w:suppressAutoHyphens/>
        <w:spacing w:before="100" w:beforeAutospacing="1" w:after="100" w:afterAutospacing="1" w:line="276" w:lineRule="auto"/>
        <w:jc w:val="both"/>
        <w:rPr>
          <w:rFonts w:ascii="Arial" w:hAnsi="Arial" w:cs="Arial"/>
          <w:b/>
          <w:kern w:val="36"/>
          <w:lang w:val="ro-RO" w:eastAsia="hi-IN" w:bidi="hi-IN"/>
        </w:rPr>
      </w:pPr>
    </w:p>
    <w:p w14:paraId="509633EA" w14:textId="77777777" w:rsidR="003B5F37" w:rsidRPr="003B5F37" w:rsidRDefault="003B5F37" w:rsidP="003B5F37">
      <w:pPr>
        <w:widowControl w:val="0"/>
        <w:suppressAutoHyphens/>
        <w:spacing w:after="0" w:line="276" w:lineRule="auto"/>
        <w:jc w:val="both"/>
        <w:rPr>
          <w:rFonts w:ascii="Arial" w:hAnsi="Arial" w:cs="Arial"/>
          <w:b/>
          <w:kern w:val="1"/>
          <w:lang w:val="ro-RO" w:eastAsia="hi-IN" w:bidi="hi-IN"/>
        </w:rPr>
      </w:pPr>
      <w:r w:rsidRPr="003B5F37">
        <w:rPr>
          <w:rFonts w:ascii="Arial" w:hAnsi="Arial" w:cs="Arial"/>
          <w:b/>
          <w:kern w:val="1"/>
          <w:lang w:val="ro-RO" w:eastAsia="hi-IN" w:bidi="hi-IN"/>
        </w:rPr>
        <w:t>Arii naturale protejate / Zone protejate în zona de influență a Ora</w:t>
      </w:r>
      <w:r w:rsidR="00483C9F">
        <w:rPr>
          <w:rFonts w:ascii="Arial" w:hAnsi="Arial" w:cs="Arial"/>
          <w:b/>
          <w:kern w:val="1"/>
          <w:lang w:val="ro-RO" w:eastAsia="hi-IN" w:bidi="hi-IN"/>
        </w:rPr>
        <w:t>ș</w:t>
      </w:r>
      <w:r w:rsidRPr="003B5F37">
        <w:rPr>
          <w:rFonts w:ascii="Arial" w:hAnsi="Arial" w:cs="Arial"/>
          <w:b/>
          <w:kern w:val="1"/>
          <w:lang w:val="ro-RO" w:eastAsia="hi-IN" w:bidi="hi-IN"/>
        </w:rPr>
        <w:t>ului Horezu</w:t>
      </w:r>
    </w:p>
    <w:p w14:paraId="2D527692" w14:textId="77777777" w:rsidR="003B5F37" w:rsidRPr="003B5F37" w:rsidRDefault="003B5F37" w:rsidP="003B5F37">
      <w:pPr>
        <w:widowControl w:val="0"/>
        <w:suppressAutoHyphens/>
        <w:spacing w:after="0" w:line="276" w:lineRule="auto"/>
        <w:jc w:val="both"/>
        <w:rPr>
          <w:rFonts w:ascii="Arial" w:hAnsi="Arial" w:cs="Arial"/>
          <w:kern w:val="1"/>
          <w:lang w:val="ro-RO" w:eastAsia="hi-IN" w:bidi="hi-IN"/>
        </w:rPr>
      </w:pPr>
      <w:r w:rsidRPr="003B5F37">
        <w:rPr>
          <w:rFonts w:ascii="Arial" w:hAnsi="Arial" w:cs="Arial"/>
          <w:kern w:val="1"/>
          <w:lang w:val="ro-RO" w:eastAsia="hi-IN" w:bidi="hi-IN"/>
        </w:rPr>
        <w:t>Pe teritoriul Ora</w:t>
      </w:r>
      <w:r w:rsidR="00483C9F">
        <w:rPr>
          <w:rFonts w:ascii="Arial" w:hAnsi="Arial" w:cs="Arial"/>
          <w:kern w:val="1"/>
          <w:lang w:val="ro-RO" w:eastAsia="hi-IN" w:bidi="hi-IN"/>
        </w:rPr>
        <w:t>ș</w:t>
      </w:r>
      <w:r w:rsidRPr="003B5F37">
        <w:rPr>
          <w:rFonts w:ascii="Arial" w:hAnsi="Arial" w:cs="Arial"/>
          <w:kern w:val="1"/>
          <w:lang w:val="ro-RO" w:eastAsia="hi-IN" w:bidi="hi-IN"/>
        </w:rPr>
        <w:t>ului Horezu nu exist</w:t>
      </w:r>
      <w:r w:rsidR="00483C9F">
        <w:rPr>
          <w:rFonts w:ascii="Arial" w:hAnsi="Arial" w:cs="Arial"/>
          <w:kern w:val="1"/>
          <w:lang w:val="ro-RO" w:eastAsia="hi-IN" w:bidi="hi-IN"/>
        </w:rPr>
        <w:t>ă</w:t>
      </w:r>
      <w:r w:rsidRPr="003B5F37">
        <w:rPr>
          <w:rFonts w:ascii="Arial" w:hAnsi="Arial" w:cs="Arial"/>
          <w:kern w:val="1"/>
          <w:lang w:val="ro-RO" w:eastAsia="hi-IN" w:bidi="hi-IN"/>
        </w:rPr>
        <w:t xml:space="preserve"> arii naturale sau zone protejate. Cele mai apropiate arii naturale/zone protejate sunt:</w:t>
      </w:r>
    </w:p>
    <w:p w14:paraId="4F9B7B5B" w14:textId="77777777" w:rsidR="003B5F37" w:rsidRPr="003B5F37" w:rsidRDefault="003B5F37" w:rsidP="000C6CB8">
      <w:pPr>
        <w:widowControl w:val="0"/>
        <w:numPr>
          <w:ilvl w:val="0"/>
          <w:numId w:val="121"/>
        </w:numPr>
        <w:suppressAutoHyphens/>
        <w:spacing w:after="0" w:line="276" w:lineRule="auto"/>
        <w:ind w:left="714" w:hanging="357"/>
        <w:jc w:val="both"/>
        <w:rPr>
          <w:rFonts w:ascii="Arial" w:eastAsia="Times New Roman" w:hAnsi="Arial" w:cs="Arial"/>
          <w:lang w:val="x-none" w:eastAsia="zh-CN"/>
        </w:rPr>
      </w:pPr>
      <w:r w:rsidRPr="003B5F37">
        <w:rPr>
          <w:rFonts w:ascii="Arial" w:hAnsi="Arial" w:cs="Arial"/>
          <w:b/>
          <w:kern w:val="1"/>
          <w:lang w:val="ro-RO" w:eastAsia="hi-IN" w:bidi="hi-IN"/>
        </w:rPr>
        <w:t>Cozia - Buila Vânturarița</w:t>
      </w:r>
      <w:r w:rsidRPr="003B5F37">
        <w:rPr>
          <w:rFonts w:ascii="Arial" w:eastAsia="Times New Roman" w:hAnsi="Arial" w:cs="Arial"/>
          <w:lang w:val="fr-FR" w:eastAsia="zh-CN"/>
        </w:rPr>
        <w:t xml:space="preserve"> - </w:t>
      </w:r>
      <w:r w:rsidRPr="003B5F37">
        <w:rPr>
          <w:rFonts w:ascii="Arial" w:hAnsi="Arial" w:cs="Arial"/>
          <w:kern w:val="1"/>
          <w:lang w:val="ro-RO" w:eastAsia="hi-IN" w:bidi="hi-IN"/>
        </w:rPr>
        <w:t>ROSPA0025</w:t>
      </w:r>
    </w:p>
    <w:p w14:paraId="1AD8345E" w14:textId="77777777" w:rsidR="003B5F37" w:rsidRPr="003B5F37" w:rsidRDefault="003B5F37" w:rsidP="000C6CB8">
      <w:pPr>
        <w:widowControl w:val="0"/>
        <w:numPr>
          <w:ilvl w:val="0"/>
          <w:numId w:val="121"/>
        </w:numPr>
        <w:suppressAutoHyphens/>
        <w:spacing w:after="0" w:line="276" w:lineRule="auto"/>
        <w:ind w:left="714" w:hanging="357"/>
        <w:jc w:val="both"/>
        <w:rPr>
          <w:rFonts w:ascii="Arial" w:eastAsia="Times New Roman" w:hAnsi="Arial" w:cs="Arial"/>
          <w:lang w:val="x-none" w:eastAsia="zh-CN"/>
        </w:rPr>
      </w:pPr>
      <w:r w:rsidRPr="003B5F37">
        <w:rPr>
          <w:rFonts w:ascii="Arial" w:hAnsi="Arial" w:cs="Arial"/>
          <w:b/>
          <w:kern w:val="1"/>
          <w:lang w:val="ro-RO" w:eastAsia="hi-IN" w:bidi="hi-IN"/>
        </w:rPr>
        <w:t>Buila-Vânturarița</w:t>
      </w:r>
      <w:r w:rsidRPr="003B5F37">
        <w:rPr>
          <w:rFonts w:ascii="Arial" w:hAnsi="Arial" w:cs="Arial"/>
          <w:kern w:val="1"/>
          <w:lang w:val="ro-RO" w:eastAsia="hi-IN" w:bidi="hi-IN"/>
        </w:rPr>
        <w:t xml:space="preserve"> - ROSCI0015</w:t>
      </w:r>
    </w:p>
    <w:p w14:paraId="735DB99C" w14:textId="77777777" w:rsidR="003B5F37" w:rsidRPr="003B5F37" w:rsidRDefault="003B5F37" w:rsidP="000C6CB8">
      <w:pPr>
        <w:widowControl w:val="0"/>
        <w:numPr>
          <w:ilvl w:val="0"/>
          <w:numId w:val="121"/>
        </w:numPr>
        <w:suppressAutoHyphens/>
        <w:spacing w:after="0" w:line="276" w:lineRule="auto"/>
        <w:ind w:left="714" w:hanging="357"/>
        <w:jc w:val="both"/>
        <w:rPr>
          <w:rFonts w:ascii="Arial" w:eastAsia="Times New Roman" w:hAnsi="Arial" w:cs="Arial"/>
          <w:lang w:val="x-none" w:eastAsia="zh-CN"/>
        </w:rPr>
      </w:pPr>
      <w:r w:rsidRPr="003B5F37">
        <w:rPr>
          <w:rFonts w:ascii="Arial" w:hAnsi="Arial" w:cs="Arial"/>
          <w:b/>
          <w:kern w:val="1"/>
          <w:lang w:val="ro-RO" w:eastAsia="hi-IN" w:bidi="hi-IN"/>
        </w:rPr>
        <w:t>Nordul Gorjului de Est</w:t>
      </w:r>
      <w:r w:rsidRPr="003B5F37">
        <w:rPr>
          <w:rFonts w:ascii="Arial" w:hAnsi="Arial" w:cs="Arial"/>
          <w:kern w:val="1"/>
          <w:lang w:val="ro-RO" w:eastAsia="hi-IN" w:bidi="hi-IN"/>
        </w:rPr>
        <w:t xml:space="preserve"> - ROSCI0128</w:t>
      </w:r>
    </w:p>
    <w:p w14:paraId="6DA6901A" w14:textId="77777777" w:rsidR="003B5F37" w:rsidRPr="003B5F37" w:rsidRDefault="003B5F37" w:rsidP="000C6CB8">
      <w:pPr>
        <w:widowControl w:val="0"/>
        <w:numPr>
          <w:ilvl w:val="0"/>
          <w:numId w:val="121"/>
        </w:numPr>
        <w:suppressAutoHyphens/>
        <w:spacing w:after="0" w:line="276" w:lineRule="auto"/>
        <w:ind w:left="714" w:hanging="357"/>
        <w:jc w:val="both"/>
        <w:rPr>
          <w:rFonts w:ascii="Arial" w:eastAsia="Times New Roman" w:hAnsi="Arial" w:cs="Arial"/>
          <w:lang w:val="x-none" w:eastAsia="zh-CN"/>
        </w:rPr>
      </w:pPr>
      <w:r w:rsidRPr="003B5F37">
        <w:rPr>
          <w:rFonts w:ascii="Arial" w:hAnsi="Arial" w:cs="Arial"/>
          <w:b/>
        </w:rPr>
        <w:t>Târnovu Mare - Latorița</w:t>
      </w:r>
      <w:r w:rsidRPr="003B5F37">
        <w:rPr>
          <w:rFonts w:ascii="Arial" w:hAnsi="Arial" w:cs="Arial"/>
        </w:rPr>
        <w:t xml:space="preserve"> - ROSCI0239</w:t>
      </w:r>
    </w:p>
    <w:p w14:paraId="29F32E28" w14:textId="77777777" w:rsidR="003B5F37" w:rsidRPr="003B5F37" w:rsidRDefault="003B5F37" w:rsidP="000C6CB8">
      <w:pPr>
        <w:widowControl w:val="0"/>
        <w:numPr>
          <w:ilvl w:val="0"/>
          <w:numId w:val="121"/>
        </w:numPr>
        <w:suppressAutoHyphens/>
        <w:spacing w:after="0" w:line="276" w:lineRule="auto"/>
        <w:ind w:left="714" w:hanging="357"/>
        <w:jc w:val="both"/>
        <w:rPr>
          <w:rFonts w:ascii="Arial" w:eastAsia="Times New Roman" w:hAnsi="Arial" w:cs="Arial"/>
          <w:lang w:val="x-none" w:eastAsia="zh-CN"/>
        </w:rPr>
      </w:pPr>
      <w:r w:rsidRPr="003B5F37">
        <w:rPr>
          <w:rFonts w:ascii="Arial" w:hAnsi="Arial" w:cs="Arial"/>
          <w:b/>
          <w:kern w:val="36"/>
          <w:lang w:val="fr-FR" w:eastAsia="hi-IN" w:bidi="hi-IN"/>
        </w:rPr>
        <w:t>Piramidele de la Slătioara</w:t>
      </w:r>
      <w:r w:rsidRPr="003B5F37">
        <w:rPr>
          <w:rFonts w:ascii="Arial" w:hAnsi="Arial" w:cs="Arial"/>
          <w:kern w:val="36"/>
          <w:lang w:val="fr-FR" w:eastAsia="hi-IN" w:bidi="hi-IN"/>
        </w:rPr>
        <w:t xml:space="preserve"> - RONPA0799</w:t>
      </w:r>
    </w:p>
    <w:p w14:paraId="713E7FFB" w14:textId="77777777" w:rsidR="003B5F37" w:rsidRPr="003B5F37" w:rsidRDefault="003B5F37" w:rsidP="003B5F37">
      <w:pPr>
        <w:rPr>
          <w:rFonts w:ascii="Arial" w:hAnsi="Arial" w:cs="Arial"/>
          <w:b/>
          <w:color w:val="FF0000"/>
          <w:kern w:val="1"/>
          <w:sz w:val="24"/>
          <w:szCs w:val="24"/>
          <w:lang w:val="ro-RO" w:eastAsia="hi-IN" w:bidi="hi-IN"/>
        </w:rPr>
      </w:pPr>
      <w:r w:rsidRPr="003B5F37">
        <w:rPr>
          <w:rFonts w:ascii="Arial" w:hAnsi="Arial" w:cs="Arial"/>
          <w:b/>
          <w:color w:val="FF0000"/>
          <w:kern w:val="1"/>
          <w:sz w:val="24"/>
          <w:szCs w:val="24"/>
          <w:lang w:val="ro-RO" w:eastAsia="hi-IN" w:bidi="hi-IN"/>
        </w:rPr>
        <w:br w:type="page"/>
      </w:r>
    </w:p>
    <w:p w14:paraId="05C0BD05" w14:textId="77777777" w:rsidR="003B5F37" w:rsidRPr="003B5F37" w:rsidRDefault="003B5F37" w:rsidP="003B5F37">
      <w:pPr>
        <w:widowControl w:val="0"/>
        <w:suppressAutoHyphens/>
        <w:spacing w:before="100" w:beforeAutospacing="1" w:after="100" w:afterAutospacing="1" w:line="360" w:lineRule="auto"/>
        <w:jc w:val="both"/>
        <w:rPr>
          <w:rFonts w:ascii="Arial" w:hAnsi="Arial" w:cs="Arial"/>
          <w:b/>
          <w:color w:val="FF0000"/>
          <w:kern w:val="1"/>
          <w:sz w:val="24"/>
          <w:szCs w:val="24"/>
          <w:lang w:val="ro-RO" w:eastAsia="hi-IN" w:bidi="hi-IN"/>
        </w:rPr>
      </w:pPr>
    </w:p>
    <w:p w14:paraId="4E200D9B" w14:textId="77777777" w:rsidR="003B5F37" w:rsidRPr="003B5F37" w:rsidRDefault="003B5F37" w:rsidP="003B5F37">
      <w:pPr>
        <w:widowControl w:val="0"/>
        <w:suppressAutoHyphens/>
        <w:spacing w:before="100" w:beforeAutospacing="1" w:after="100" w:afterAutospacing="1" w:line="360" w:lineRule="auto"/>
        <w:jc w:val="both"/>
        <w:rPr>
          <w:rFonts w:ascii="Arial" w:hAnsi="Arial" w:cs="Arial"/>
          <w:b/>
          <w:color w:val="FF0000"/>
          <w:kern w:val="1"/>
          <w:sz w:val="24"/>
          <w:szCs w:val="24"/>
          <w:lang w:val="ro-RO" w:eastAsia="hi-IN" w:bidi="hi-IN"/>
        </w:rPr>
      </w:pPr>
      <w:r w:rsidRPr="003B5F37">
        <w:rPr>
          <w:rFonts w:ascii="Arial" w:hAnsi="Arial" w:cs="Arial"/>
          <w:b/>
          <w:noProof/>
          <w:color w:val="FF0000"/>
          <w:kern w:val="1"/>
          <w:sz w:val="24"/>
          <w:szCs w:val="24"/>
        </w:rPr>
        <mc:AlternateContent>
          <mc:Choice Requires="wpg">
            <w:drawing>
              <wp:anchor distT="0" distB="0" distL="114300" distR="114300" simplePos="0" relativeHeight="251713024" behindDoc="0" locked="0" layoutInCell="1" allowOverlap="1" wp14:anchorId="457032F8" wp14:editId="7C602E9B">
                <wp:simplePos x="0" y="0"/>
                <wp:positionH relativeFrom="column">
                  <wp:posOffset>33655</wp:posOffset>
                </wp:positionH>
                <wp:positionV relativeFrom="paragraph">
                  <wp:posOffset>52705</wp:posOffset>
                </wp:positionV>
                <wp:extent cx="5737412" cy="5271247"/>
                <wp:effectExtent l="0" t="0" r="15875" b="24765"/>
                <wp:wrapNone/>
                <wp:docPr id="189" name="Group 189"/>
                <wp:cNvGraphicFramePr/>
                <a:graphic xmlns:a="http://schemas.openxmlformats.org/drawingml/2006/main">
                  <a:graphicData uri="http://schemas.microsoft.com/office/word/2010/wordprocessingGroup">
                    <wpg:wgp>
                      <wpg:cNvGrpSpPr/>
                      <wpg:grpSpPr>
                        <a:xfrm>
                          <a:off x="0" y="0"/>
                          <a:ext cx="5737412" cy="5271247"/>
                          <a:chOff x="0" y="0"/>
                          <a:chExt cx="5737412" cy="5271247"/>
                        </a:xfrm>
                      </wpg:grpSpPr>
                      <wps:wsp>
                        <wps:cNvPr id="203" name="Text Box 3"/>
                        <wps:cNvSpPr txBox="1"/>
                        <wps:spPr>
                          <a:xfrm>
                            <a:off x="0" y="0"/>
                            <a:ext cx="5737412" cy="5271247"/>
                          </a:xfrm>
                          <a:prstGeom prst="rect">
                            <a:avLst/>
                          </a:prstGeom>
                          <a:solidFill>
                            <a:sysClr val="window" lastClr="FFFFFF"/>
                          </a:solidFill>
                          <a:ln w="6350">
                            <a:solidFill>
                              <a:prstClr val="black"/>
                            </a:solidFill>
                          </a:ln>
                          <a:effectLst/>
                        </wps:spPr>
                        <wps:txbx>
                          <w:txbxContent>
                            <w:p w14:paraId="0492441E" w14:textId="77777777" w:rsidR="00C36A80" w:rsidRDefault="00C36A80" w:rsidP="003B5F37">
                              <w:r>
                                <w:rPr>
                                  <w:noProof/>
                                </w:rPr>
                                <w:drawing>
                                  <wp:inline distT="0" distB="0" distL="0" distR="0" wp14:anchorId="7CB35A70" wp14:editId="07A1889B">
                                    <wp:extent cx="5611675" cy="5151717"/>
                                    <wp:effectExtent l="0" t="0" r="825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e protejate.png"/>
                                            <pic:cNvPicPr/>
                                          </pic:nvPicPr>
                                          <pic:blipFill>
                                            <a:blip r:embed="rId190">
                                              <a:extLst>
                                                <a:ext uri="{28A0092B-C50C-407E-A947-70E740481C1C}">
                                                  <a14:useLocalDpi xmlns:a14="http://schemas.microsoft.com/office/drawing/2010/main" val="0"/>
                                                </a:ext>
                                              </a:extLst>
                                            </a:blip>
                                            <a:stretch>
                                              <a:fillRect/>
                                            </a:stretch>
                                          </pic:blipFill>
                                          <pic:spPr>
                                            <a:xfrm>
                                              <a:off x="0" y="0"/>
                                              <a:ext cx="5618095" cy="515761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4" name="Group 204"/>
                        <wpg:cNvGrpSpPr/>
                        <wpg:grpSpPr>
                          <a:xfrm>
                            <a:off x="190500" y="371475"/>
                            <a:ext cx="4505325" cy="4191000"/>
                            <a:chOff x="0" y="0"/>
                            <a:chExt cx="4505325" cy="4191000"/>
                          </a:xfrm>
                        </wpg:grpSpPr>
                        <wps:wsp>
                          <wps:cNvPr id="205" name="Text Box 4"/>
                          <wps:cNvSpPr txBox="1"/>
                          <wps:spPr>
                            <a:xfrm>
                              <a:off x="857250" y="3962400"/>
                              <a:ext cx="1085850" cy="228600"/>
                            </a:xfrm>
                            <a:prstGeom prst="rect">
                              <a:avLst/>
                            </a:prstGeom>
                            <a:noFill/>
                            <a:ln w="6350">
                              <a:noFill/>
                            </a:ln>
                            <a:effectLst/>
                          </wps:spPr>
                          <wps:txbx>
                            <w:txbxContent>
                              <w:p w14:paraId="4E4771BC" w14:textId="77777777" w:rsidR="00C36A80" w:rsidRPr="002D7A49" w:rsidRDefault="00C36A80" w:rsidP="003B5F37">
                                <w:pPr>
                                  <w:jc w:val="center"/>
                                  <w:rPr>
                                    <w:b/>
                                    <w:sz w:val="18"/>
                                    <w:szCs w:val="18"/>
                                    <w:lang w:val="fr-FR"/>
                                  </w:rPr>
                                </w:pPr>
                                <w:r w:rsidRPr="002D7A49">
                                  <w:rPr>
                                    <w:rFonts w:ascii="Arial" w:hAnsi="Arial" w:cs="Arial"/>
                                    <w:b/>
                                    <w:kern w:val="36"/>
                                    <w:sz w:val="18"/>
                                    <w:szCs w:val="18"/>
                                    <w:lang w:val="fr-FR" w:eastAsia="hi-IN" w:bidi="hi-IN"/>
                                  </w:rPr>
                                  <w:t>RONPA0799</w:t>
                                </w:r>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wps:wsp>
                          <wps:cNvPr id="206" name="Text Box 5"/>
                          <wps:cNvSpPr txBox="1"/>
                          <wps:spPr>
                            <a:xfrm>
                              <a:off x="714375" y="0"/>
                              <a:ext cx="1085850" cy="228600"/>
                            </a:xfrm>
                            <a:prstGeom prst="rect">
                              <a:avLst/>
                            </a:prstGeom>
                            <a:noFill/>
                            <a:ln w="6350">
                              <a:noFill/>
                            </a:ln>
                            <a:effectLst/>
                          </wps:spPr>
                          <wps:txbx>
                            <w:txbxContent>
                              <w:p w14:paraId="138475D6" w14:textId="77777777" w:rsidR="00C36A80" w:rsidRPr="002D7A49" w:rsidRDefault="00C36A80" w:rsidP="003B5F37">
                                <w:pPr>
                                  <w:jc w:val="center"/>
                                  <w:rPr>
                                    <w:b/>
                                    <w:sz w:val="18"/>
                                    <w:szCs w:val="18"/>
                                  </w:rPr>
                                </w:pPr>
                                <w:r w:rsidRPr="002D7A49">
                                  <w:rPr>
                                    <w:rFonts w:ascii="Arial" w:hAnsi="Arial" w:cs="Arial"/>
                                    <w:b/>
                                    <w:sz w:val="18"/>
                                    <w:szCs w:val="18"/>
                                  </w:rPr>
                                  <w:t>ROSCI0239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7" name="Text Box 6"/>
                          <wps:cNvSpPr txBox="1"/>
                          <wps:spPr>
                            <a:xfrm>
                              <a:off x="0" y="1076325"/>
                              <a:ext cx="1085850" cy="228600"/>
                            </a:xfrm>
                            <a:prstGeom prst="rect">
                              <a:avLst/>
                            </a:prstGeom>
                            <a:noFill/>
                            <a:ln w="6350">
                              <a:noFill/>
                            </a:ln>
                            <a:effectLst/>
                          </wps:spPr>
                          <wps:txbx>
                            <w:txbxContent>
                              <w:p w14:paraId="0BFCB5B8" w14:textId="77777777" w:rsidR="00C36A80" w:rsidRPr="002D7A49" w:rsidRDefault="00C36A80" w:rsidP="003B5F37">
                                <w:pPr>
                                  <w:jc w:val="center"/>
                                  <w:rPr>
                                    <w:b/>
                                    <w:sz w:val="18"/>
                                    <w:szCs w:val="18"/>
                                  </w:rPr>
                                </w:pPr>
                                <w:r w:rsidRPr="002D7A49">
                                  <w:rPr>
                                    <w:rFonts w:ascii="Arial" w:hAnsi="Arial" w:cs="Arial"/>
                                    <w:b/>
                                    <w:kern w:val="1"/>
                                    <w:sz w:val="18"/>
                                    <w:szCs w:val="18"/>
                                    <w:lang w:val="ro-RO" w:eastAsia="hi-IN" w:bidi="hi-IN"/>
                                  </w:rPr>
                                  <w:t>ROSCI0128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8" name="Text Box 6"/>
                          <wps:cNvSpPr txBox="1"/>
                          <wps:spPr>
                            <a:xfrm>
                              <a:off x="3419475" y="2419350"/>
                              <a:ext cx="1085850" cy="228600"/>
                            </a:xfrm>
                            <a:prstGeom prst="rect">
                              <a:avLst/>
                            </a:prstGeom>
                            <a:noFill/>
                            <a:ln w="6350">
                              <a:noFill/>
                            </a:ln>
                            <a:effectLst/>
                          </wps:spPr>
                          <wps:txbx>
                            <w:txbxContent>
                              <w:p w14:paraId="7C378348" w14:textId="77777777" w:rsidR="00C36A80" w:rsidRPr="002D7A49" w:rsidRDefault="00C36A80" w:rsidP="003B5F37">
                                <w:pPr>
                                  <w:jc w:val="center"/>
                                  <w:rPr>
                                    <w:b/>
                                    <w:sz w:val="18"/>
                                    <w:szCs w:val="18"/>
                                  </w:rPr>
                                </w:pPr>
                                <w:r w:rsidRPr="002D7A49">
                                  <w:rPr>
                                    <w:rFonts w:ascii="Arial" w:hAnsi="Arial" w:cs="Arial"/>
                                    <w:b/>
                                    <w:kern w:val="1"/>
                                    <w:sz w:val="18"/>
                                    <w:szCs w:val="18"/>
                                    <w:lang w:val="ro-RO" w:eastAsia="hi-IN" w:bidi="hi-IN"/>
                                  </w:rPr>
                                  <w:t>ROSCI0015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457032F8" id="Group 189" o:spid="_x0000_s1055" style="position:absolute;left:0;text-align:left;margin-left:2.65pt;margin-top:4.15pt;width:451.75pt;height:415.05pt;z-index:251713024" coordsize="57374,52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">
                <v:shape id="Text Box 3" o:spid="_x0000_s1056" type="#_x0000_t202" style="position:absolute;width:57374;height:5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" fillcolor="window" strokeweight=".5pt">
                  <v:textbox>
                    <w:txbxContent>
                      <w:p w14:paraId="0492441E" w14:textId="77777777" w:rsidR="00C36A80" w:rsidRDefault="00C36A80" w:rsidP="003B5F37">
                        <w:r>
                          <w:rPr>
                            <w:noProof/>
                          </w:rPr>
                          <w:drawing>
                            <wp:inline distT="0" distB="0" distL="0" distR="0" wp14:anchorId="7CB35A70" wp14:editId="07A1889B">
                              <wp:extent cx="5611675" cy="5151717"/>
                              <wp:effectExtent l="0" t="0" r="825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e protejate.png"/>
                                      <pic:cNvPicPr/>
                                    </pic:nvPicPr>
                                    <pic:blipFill>
                                      <a:blip r:embed="rId190">
                                        <a:extLst>
                                          <a:ext uri="{28A0092B-C50C-407E-A947-70E740481C1C}">
                                            <a14:useLocalDpi xmlns:a14="http://schemas.microsoft.com/office/drawing/2010/main" val="0"/>
                                          </a:ext>
                                        </a:extLst>
                                      </a:blip>
                                      <a:stretch>
                                        <a:fillRect/>
                                      </a:stretch>
                                    </pic:blipFill>
                                    <pic:spPr>
                                      <a:xfrm>
                                        <a:off x="0" y="0"/>
                                        <a:ext cx="5618095" cy="5157611"/>
                                      </a:xfrm>
                                      <a:prstGeom prst="rect">
                                        <a:avLst/>
                                      </a:prstGeom>
                                    </pic:spPr>
                                  </pic:pic>
                                </a:graphicData>
                              </a:graphic>
                            </wp:inline>
                          </w:drawing>
                        </w:r>
                      </w:p>
                    </w:txbxContent>
                  </v:textbox>
                </v:shape>
                <v:group id="Group 204" o:spid="_x0000_s1057" style="position:absolute;left:1905;top:3714;width:45053;height:41910" coordsize="45053,41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Text Box 4" o:spid="_x0000_s1058" type="#_x0000_t202" style="position:absolute;left:8572;top:39624;width:1085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" filled="f" stroked="f" strokeweight=".5pt">
                    <v:textbox inset="2mm,1mm,2mm,1mm">
                      <w:txbxContent>
                        <w:p w14:paraId="4E4771BC" w14:textId="77777777" w:rsidR="00C36A80" w:rsidRPr="002D7A49" w:rsidRDefault="00C36A80" w:rsidP="003B5F37">
                          <w:pPr>
                            <w:jc w:val="center"/>
                            <w:rPr>
                              <w:b/>
                              <w:sz w:val="18"/>
                              <w:szCs w:val="18"/>
                              <w:lang w:val="fr-FR"/>
                            </w:rPr>
                          </w:pPr>
                          <w:r w:rsidRPr="002D7A49">
                            <w:rPr>
                              <w:rFonts w:ascii="Arial" w:hAnsi="Arial" w:cs="Arial"/>
                              <w:b/>
                              <w:kern w:val="36"/>
                              <w:sz w:val="18"/>
                              <w:szCs w:val="18"/>
                              <w:lang w:val="fr-FR" w:eastAsia="hi-IN" w:bidi="hi-IN"/>
                            </w:rPr>
                            <w:t>RONPA0799</w:t>
                          </w:r>
                        </w:p>
                      </w:txbxContent>
                    </v:textbox>
                  </v:shape>
                  <v:shape id="Text Box 5" o:spid="_x0000_s1059" type="#_x0000_t202" style="position:absolute;left:7143;width:1085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138475D6" w14:textId="77777777" w:rsidR="00C36A80" w:rsidRPr="002D7A49" w:rsidRDefault="00C36A80" w:rsidP="003B5F37">
                          <w:pPr>
                            <w:jc w:val="center"/>
                            <w:rPr>
                              <w:b/>
                              <w:sz w:val="18"/>
                              <w:szCs w:val="18"/>
                            </w:rPr>
                          </w:pPr>
                          <w:r w:rsidRPr="002D7A49">
                            <w:rPr>
                              <w:rFonts w:ascii="Arial" w:hAnsi="Arial" w:cs="Arial"/>
                              <w:b/>
                              <w:sz w:val="18"/>
                              <w:szCs w:val="18"/>
                            </w:rPr>
                            <w:t>ROSCI0239</w:t>
                          </w:r>
                        </w:p>
                      </w:txbxContent>
                    </v:textbox>
                  </v:shape>
                  <v:shape id="_x0000_s1060" type="#_x0000_t202" style="position:absolute;top:10763;width:108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" filled="f" stroked="f" strokeweight=".5pt">
                    <v:textbox>
                      <w:txbxContent>
                        <w:p w14:paraId="0BFCB5B8" w14:textId="77777777" w:rsidR="00C36A80" w:rsidRPr="002D7A49" w:rsidRDefault="00C36A80" w:rsidP="003B5F37">
                          <w:pPr>
                            <w:jc w:val="center"/>
                            <w:rPr>
                              <w:b/>
                              <w:sz w:val="18"/>
                              <w:szCs w:val="18"/>
                            </w:rPr>
                          </w:pPr>
                          <w:r w:rsidRPr="002D7A49">
                            <w:rPr>
                              <w:rFonts w:ascii="Arial" w:hAnsi="Arial" w:cs="Arial"/>
                              <w:b/>
                              <w:kern w:val="1"/>
                              <w:sz w:val="18"/>
                              <w:szCs w:val="18"/>
                              <w:lang w:val="ro-RO" w:eastAsia="hi-IN" w:bidi="hi-IN"/>
                            </w:rPr>
                            <w:t>ROSCI0128</w:t>
                          </w:r>
                        </w:p>
                      </w:txbxContent>
                    </v:textbox>
                  </v:shape>
                  <v:shape id="_x0000_s1061" type="#_x0000_t202" style="position:absolute;left:34194;top:24193;width:1085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7C378348" w14:textId="77777777" w:rsidR="00C36A80" w:rsidRPr="002D7A49" w:rsidRDefault="00C36A80" w:rsidP="003B5F37">
                          <w:pPr>
                            <w:jc w:val="center"/>
                            <w:rPr>
                              <w:b/>
                              <w:sz w:val="18"/>
                              <w:szCs w:val="18"/>
                            </w:rPr>
                          </w:pPr>
                          <w:r w:rsidRPr="002D7A49">
                            <w:rPr>
                              <w:rFonts w:ascii="Arial" w:hAnsi="Arial" w:cs="Arial"/>
                              <w:b/>
                              <w:kern w:val="1"/>
                              <w:sz w:val="18"/>
                              <w:szCs w:val="18"/>
                              <w:lang w:val="ro-RO" w:eastAsia="hi-IN" w:bidi="hi-IN"/>
                            </w:rPr>
                            <w:t>ROSCI0015</w:t>
                          </w:r>
                        </w:p>
                      </w:txbxContent>
                    </v:textbox>
                  </v:shape>
                </v:group>
              </v:group>
            </w:pict>
          </mc:Fallback>
        </mc:AlternateContent>
      </w:r>
    </w:p>
    <w:p w14:paraId="3EB6D444" w14:textId="77777777" w:rsidR="003B5F37" w:rsidRPr="003B5F37" w:rsidRDefault="003B5F37" w:rsidP="003B5F37">
      <w:pPr>
        <w:widowControl w:val="0"/>
        <w:suppressAutoHyphens/>
        <w:spacing w:before="100" w:beforeAutospacing="1" w:after="100" w:afterAutospacing="1" w:line="360" w:lineRule="auto"/>
        <w:jc w:val="both"/>
        <w:rPr>
          <w:rFonts w:ascii="Arial" w:hAnsi="Arial" w:cs="Arial"/>
          <w:b/>
          <w:color w:val="FF0000"/>
          <w:kern w:val="1"/>
          <w:sz w:val="24"/>
          <w:szCs w:val="24"/>
          <w:lang w:val="ro-RO" w:eastAsia="hi-IN" w:bidi="hi-IN"/>
        </w:rPr>
      </w:pPr>
    </w:p>
    <w:p w14:paraId="06FA1032" w14:textId="77777777" w:rsidR="003B5F37" w:rsidRPr="003B5F37" w:rsidRDefault="003B5F37" w:rsidP="003B5F37">
      <w:pPr>
        <w:widowControl w:val="0"/>
        <w:suppressAutoHyphens/>
        <w:spacing w:before="100" w:beforeAutospacing="1" w:after="100" w:afterAutospacing="1" w:line="360" w:lineRule="auto"/>
        <w:jc w:val="both"/>
        <w:rPr>
          <w:rFonts w:ascii="Arial" w:hAnsi="Arial" w:cs="Arial"/>
          <w:b/>
          <w:color w:val="FF0000"/>
          <w:kern w:val="1"/>
          <w:sz w:val="24"/>
          <w:szCs w:val="24"/>
          <w:lang w:val="ro-RO" w:eastAsia="hi-IN" w:bidi="hi-IN"/>
        </w:rPr>
      </w:pPr>
    </w:p>
    <w:p w14:paraId="424BF953" w14:textId="77777777" w:rsidR="003B5F37" w:rsidRPr="003B5F37" w:rsidRDefault="003B5F37" w:rsidP="003B5F37">
      <w:pPr>
        <w:widowControl w:val="0"/>
        <w:suppressAutoHyphens/>
        <w:spacing w:before="100" w:beforeAutospacing="1" w:after="100" w:afterAutospacing="1" w:line="360" w:lineRule="auto"/>
        <w:jc w:val="both"/>
        <w:rPr>
          <w:rFonts w:ascii="Arial" w:hAnsi="Arial" w:cs="Arial"/>
          <w:b/>
          <w:color w:val="FF0000"/>
          <w:kern w:val="1"/>
          <w:sz w:val="24"/>
          <w:szCs w:val="24"/>
          <w:lang w:val="ro-RO" w:eastAsia="hi-IN" w:bidi="hi-IN"/>
        </w:rPr>
      </w:pPr>
    </w:p>
    <w:p w14:paraId="77A8B09A" w14:textId="77777777" w:rsidR="003B5F37" w:rsidRPr="003B5F37" w:rsidRDefault="003B5F37" w:rsidP="003B5F37">
      <w:pPr>
        <w:widowControl w:val="0"/>
        <w:suppressAutoHyphens/>
        <w:spacing w:before="100" w:beforeAutospacing="1" w:after="100" w:afterAutospacing="1" w:line="360" w:lineRule="auto"/>
        <w:jc w:val="both"/>
        <w:rPr>
          <w:rFonts w:ascii="Arial" w:hAnsi="Arial" w:cs="Arial"/>
          <w:b/>
          <w:color w:val="FF0000"/>
          <w:kern w:val="1"/>
          <w:sz w:val="24"/>
          <w:szCs w:val="24"/>
          <w:lang w:val="ro-RO" w:eastAsia="hi-IN" w:bidi="hi-IN"/>
        </w:rPr>
      </w:pPr>
    </w:p>
    <w:p w14:paraId="1D8C00C7" w14:textId="77777777" w:rsidR="003B5F37" w:rsidRPr="003B5F37" w:rsidRDefault="003B5F37" w:rsidP="003B5F37">
      <w:pPr>
        <w:widowControl w:val="0"/>
        <w:tabs>
          <w:tab w:val="left" w:pos="7088"/>
        </w:tabs>
        <w:suppressAutoHyphens/>
        <w:spacing w:before="100" w:beforeAutospacing="1" w:after="100" w:afterAutospacing="1" w:line="360" w:lineRule="auto"/>
        <w:jc w:val="both"/>
        <w:rPr>
          <w:rFonts w:ascii="Arial" w:hAnsi="Arial" w:cs="Arial"/>
          <w:b/>
          <w:color w:val="FF0000"/>
          <w:kern w:val="1"/>
          <w:sz w:val="24"/>
          <w:szCs w:val="24"/>
          <w:lang w:val="ro-RO" w:eastAsia="hi-IN" w:bidi="hi-IN"/>
        </w:rPr>
      </w:pPr>
      <w:r w:rsidRPr="003B5F37">
        <w:rPr>
          <w:rFonts w:ascii="Arial" w:hAnsi="Arial" w:cs="Arial"/>
          <w:b/>
          <w:noProof/>
          <w:color w:val="FF0000"/>
          <w:kern w:val="1"/>
          <w:sz w:val="24"/>
          <w:szCs w:val="24"/>
        </w:rPr>
        <mc:AlternateContent>
          <mc:Choice Requires="wps">
            <w:drawing>
              <wp:anchor distT="0" distB="0" distL="114300" distR="114300" simplePos="0" relativeHeight="251708928" behindDoc="0" locked="0" layoutInCell="1" allowOverlap="1" wp14:anchorId="10E8DA56" wp14:editId="500CC99E">
                <wp:simplePos x="0" y="0"/>
                <wp:positionH relativeFrom="column">
                  <wp:posOffset>3803202</wp:posOffset>
                </wp:positionH>
                <wp:positionV relativeFrom="paragraph">
                  <wp:posOffset>422387</wp:posOffset>
                </wp:positionV>
                <wp:extent cx="1085850" cy="228600"/>
                <wp:effectExtent l="0" t="0" r="0" b="0"/>
                <wp:wrapNone/>
                <wp:docPr id="209" name="Text Box 6"/>
                <wp:cNvGraphicFramePr/>
                <a:graphic xmlns:a="http://schemas.openxmlformats.org/drawingml/2006/main">
                  <a:graphicData uri="http://schemas.microsoft.com/office/word/2010/wordprocessingShape">
                    <wps:wsp>
                      <wps:cNvSpPr txBox="1"/>
                      <wps:spPr>
                        <a:xfrm>
                          <a:off x="0" y="0"/>
                          <a:ext cx="1085850" cy="228600"/>
                        </a:xfrm>
                        <a:prstGeom prst="rect">
                          <a:avLst/>
                        </a:prstGeom>
                        <a:noFill/>
                        <a:ln w="6350">
                          <a:noFill/>
                        </a:ln>
                        <a:effectLst/>
                      </wps:spPr>
                      <wps:txbx>
                        <w:txbxContent>
                          <w:p w14:paraId="39BA672C" w14:textId="77777777" w:rsidR="00C36A80" w:rsidRPr="002D7A49" w:rsidRDefault="00C36A80" w:rsidP="003B5F37">
                            <w:pPr>
                              <w:jc w:val="center"/>
                              <w:rPr>
                                <w:b/>
                                <w:sz w:val="18"/>
                                <w:szCs w:val="18"/>
                              </w:rPr>
                            </w:pPr>
                            <w:r w:rsidRPr="002D7A49">
                              <w:rPr>
                                <w:rFonts w:ascii="Arial" w:hAnsi="Arial" w:cs="Arial"/>
                                <w:b/>
                                <w:kern w:val="1"/>
                                <w:sz w:val="18"/>
                                <w:szCs w:val="18"/>
                                <w:lang w:val="ro-RO" w:eastAsia="hi-IN" w:bidi="hi-IN"/>
                              </w:rPr>
                              <w:t>ROSPA0025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0E8DA56" id="Text Box 6" o:spid="_x0000_s1062" type="#_x0000_t202" style="position:absolute;left:0;text-align:left;margin-left:299.45pt;margin-top:33.25pt;width:85.5pt;height:18pt;z-index:251708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" filled="f" stroked="f" strokeweight=".5pt">
                <v:textbox>
                  <w:txbxContent>
                    <w:p w14:paraId="39BA672C" w14:textId="77777777" w:rsidR="00C36A80" w:rsidRPr="002D7A49" w:rsidRDefault="00C36A80" w:rsidP="003B5F37">
                      <w:pPr>
                        <w:jc w:val="center"/>
                        <w:rPr>
                          <w:b/>
                          <w:sz w:val="18"/>
                          <w:szCs w:val="18"/>
                        </w:rPr>
                      </w:pPr>
                      <w:r w:rsidRPr="002D7A49">
                        <w:rPr>
                          <w:rFonts w:ascii="Arial" w:hAnsi="Arial" w:cs="Arial"/>
                          <w:b/>
                          <w:kern w:val="1"/>
                          <w:sz w:val="18"/>
                          <w:szCs w:val="18"/>
                          <w:lang w:val="ro-RO" w:eastAsia="hi-IN" w:bidi="hi-IN"/>
                        </w:rPr>
                        <w:t>ROSPA0025</w:t>
                      </w:r>
                    </w:p>
                  </w:txbxContent>
                </v:textbox>
              </v:shape>
            </w:pict>
          </mc:Fallback>
        </mc:AlternateContent>
      </w:r>
    </w:p>
    <w:p w14:paraId="1F069D73" w14:textId="77777777" w:rsidR="003B5F37" w:rsidRPr="003B5F37" w:rsidRDefault="003B5F37" w:rsidP="003B5F37">
      <w:pPr>
        <w:widowControl w:val="0"/>
        <w:suppressAutoHyphens/>
        <w:spacing w:before="100" w:beforeAutospacing="1" w:after="100" w:afterAutospacing="1" w:line="360" w:lineRule="auto"/>
        <w:jc w:val="both"/>
        <w:rPr>
          <w:rFonts w:ascii="Arial" w:hAnsi="Arial" w:cs="Arial"/>
          <w:b/>
          <w:color w:val="FF0000"/>
          <w:kern w:val="1"/>
          <w:sz w:val="24"/>
          <w:szCs w:val="24"/>
          <w:lang w:val="ro-RO" w:eastAsia="hi-IN" w:bidi="hi-IN"/>
        </w:rPr>
      </w:pPr>
    </w:p>
    <w:p w14:paraId="5BD2FF5F"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489BBB00"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1961C086"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5623A022"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2FC30ED2"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691C594A"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7F9A6543"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612BC56E"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6742042B"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6AA6E572"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1FBD41F9"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3A98B517"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0F67FFB6"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23C9A01E"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09105ED1"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p>
    <w:p w14:paraId="54122914"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r w:rsidRPr="003B5F37">
        <w:rPr>
          <w:rFonts w:ascii="Arial" w:hAnsi="Arial" w:cs="Arial"/>
          <w:b/>
          <w:kern w:val="1"/>
          <w:lang w:val="es-ES" w:eastAsia="hi-IN" w:bidi="hi-IN"/>
        </w:rPr>
        <w:t>Patrimoniu construit şi turism</w:t>
      </w:r>
      <w:r w:rsidRPr="003B5F37">
        <w:rPr>
          <w:rFonts w:ascii="Arial" w:hAnsi="Arial" w:cs="Arial"/>
          <w:kern w:val="1"/>
          <w:lang w:val="es-ES" w:eastAsia="hi-IN" w:bidi="hi-IN"/>
        </w:rPr>
        <w:t xml:space="preserve"> </w:t>
      </w:r>
      <w:r w:rsidRPr="003B5F37">
        <w:rPr>
          <w:rFonts w:ascii="Arial" w:hAnsi="Arial" w:cs="Arial"/>
          <w:b/>
          <w:kern w:val="1"/>
          <w:lang w:val="es-ES" w:eastAsia="hi-IN" w:bidi="hi-IN"/>
        </w:rPr>
        <w:t>în Orasul Horezu</w:t>
      </w:r>
    </w:p>
    <w:p w14:paraId="57BEC419"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r w:rsidRPr="003B5F37">
        <w:rPr>
          <w:rFonts w:ascii="Arial" w:hAnsi="Arial" w:cs="Arial"/>
          <w:kern w:val="1"/>
          <w:lang w:val="es-ES" w:eastAsia="hi-IN" w:bidi="hi-IN"/>
        </w:rPr>
        <w:t>Prin cadrul natural, contextul istoric si indeletnicirile localnicilor, Orasul Horezu dispune de un potențial turistic, bazat pe trei arii de interes, care ofera o baza solida dezvoltarii orasului:</w:t>
      </w:r>
    </w:p>
    <w:p w14:paraId="4C75D922"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p>
    <w:p w14:paraId="6017D653"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r w:rsidRPr="003B5F37">
        <w:rPr>
          <w:rFonts w:ascii="Arial" w:hAnsi="Arial" w:cs="Arial"/>
          <w:b/>
          <w:kern w:val="1"/>
          <w:lang w:val="es-ES" w:eastAsia="hi-IN" w:bidi="hi-IN"/>
        </w:rPr>
        <w:t>Mestesug si artizanat</w:t>
      </w:r>
    </w:p>
    <w:p w14:paraId="0D861A5A" w14:textId="77777777" w:rsidR="003B5F37" w:rsidRPr="003B5F37" w:rsidRDefault="003B5F37" w:rsidP="000C6CB8">
      <w:pPr>
        <w:widowControl w:val="0"/>
        <w:numPr>
          <w:ilvl w:val="0"/>
          <w:numId w:val="211"/>
        </w:numPr>
        <w:suppressAutoHyphens/>
        <w:spacing w:after="0" w:line="276" w:lineRule="auto"/>
        <w:jc w:val="both"/>
        <w:rPr>
          <w:rFonts w:ascii="Arial" w:eastAsia="Times New Roman" w:hAnsi="Arial" w:cs="Arial"/>
          <w:bCs/>
          <w:color w:val="000000"/>
          <w:shd w:val="clear" w:color="auto" w:fill="FFFFFF"/>
          <w:lang w:val="fr-FR" w:eastAsia="zh-CN"/>
        </w:rPr>
      </w:pPr>
      <w:r w:rsidRPr="003B5F37">
        <w:rPr>
          <w:rFonts w:ascii="Arial" w:eastAsia="Times New Roman" w:hAnsi="Arial" w:cs="Arial"/>
          <w:bCs/>
          <w:color w:val="000000"/>
          <w:shd w:val="clear" w:color="auto" w:fill="FFFFFF"/>
          <w:lang w:val="fr-FR" w:eastAsia="zh-CN"/>
        </w:rPr>
        <w:t>Centrul de Ceramica din Olari </w:t>
      </w:r>
    </w:p>
    <w:p w14:paraId="6CADAD42" w14:textId="77777777" w:rsidR="003B5F37" w:rsidRPr="003B5F37" w:rsidRDefault="003B5F37" w:rsidP="000C6CB8">
      <w:pPr>
        <w:widowControl w:val="0"/>
        <w:numPr>
          <w:ilvl w:val="0"/>
          <w:numId w:val="211"/>
        </w:numPr>
        <w:suppressAutoHyphens/>
        <w:spacing w:after="0" w:line="276" w:lineRule="auto"/>
        <w:jc w:val="both"/>
        <w:rPr>
          <w:rFonts w:ascii="Arial" w:eastAsia="Times New Roman" w:hAnsi="Arial" w:cs="Arial"/>
          <w:bCs/>
          <w:color w:val="000000"/>
          <w:shd w:val="clear" w:color="auto" w:fill="FFFFFF"/>
          <w:lang w:val="fr-FR" w:eastAsia="zh-CN"/>
        </w:rPr>
      </w:pPr>
      <w:r w:rsidRPr="003B5F37">
        <w:rPr>
          <w:rFonts w:ascii="Arial" w:eastAsia="Times New Roman" w:hAnsi="Arial" w:cs="Arial"/>
          <w:bCs/>
          <w:color w:val="000000"/>
          <w:shd w:val="clear" w:color="auto" w:fill="FFFFFF"/>
          <w:lang w:val="fr-FR" w:eastAsia="zh-CN"/>
        </w:rPr>
        <w:t>Ateliere de tesaturi si pictura</w:t>
      </w:r>
      <w:r w:rsidRPr="003B5F37">
        <w:rPr>
          <w:rFonts w:ascii="Arial" w:eastAsia="Times New Roman" w:hAnsi="Arial" w:cs="Arial"/>
          <w:color w:val="000000"/>
          <w:shd w:val="clear" w:color="auto" w:fill="FFFFFF"/>
          <w:lang w:val="fr-FR" w:eastAsia="zh-CN"/>
        </w:rPr>
        <w:t> la Manastirea Hurezi</w:t>
      </w:r>
    </w:p>
    <w:p w14:paraId="5DDCB084" w14:textId="77777777" w:rsidR="003B5F37" w:rsidRPr="003B5F37" w:rsidRDefault="003B5F37" w:rsidP="000C6CB8">
      <w:pPr>
        <w:widowControl w:val="0"/>
        <w:numPr>
          <w:ilvl w:val="0"/>
          <w:numId w:val="211"/>
        </w:numPr>
        <w:suppressAutoHyphens/>
        <w:spacing w:after="0" w:line="276" w:lineRule="auto"/>
        <w:jc w:val="both"/>
        <w:rPr>
          <w:rFonts w:ascii="Arial" w:eastAsia="Times New Roman" w:hAnsi="Arial" w:cs="Arial"/>
          <w:bCs/>
          <w:color w:val="000000"/>
          <w:shd w:val="clear" w:color="auto" w:fill="FFFFFF"/>
          <w:lang w:val="fr-FR" w:eastAsia="zh-CN"/>
        </w:rPr>
      </w:pPr>
      <w:r w:rsidRPr="003B5F37">
        <w:rPr>
          <w:rFonts w:ascii="Arial" w:eastAsia="Times New Roman" w:hAnsi="Arial" w:cs="Arial"/>
          <w:bCs/>
          <w:color w:val="000000"/>
          <w:shd w:val="clear" w:color="auto" w:fill="FFFFFF"/>
          <w:lang w:val="fr-FR" w:eastAsia="zh-CN"/>
        </w:rPr>
        <w:t>Expozitiile permanente gazduite de mesterii olari locali</w:t>
      </w:r>
    </w:p>
    <w:p w14:paraId="766C9563" w14:textId="77777777" w:rsidR="003B5F37" w:rsidRPr="003B5F37" w:rsidRDefault="003B5F37" w:rsidP="000C6CB8">
      <w:pPr>
        <w:widowControl w:val="0"/>
        <w:numPr>
          <w:ilvl w:val="0"/>
          <w:numId w:val="211"/>
        </w:numPr>
        <w:suppressAutoHyphens/>
        <w:spacing w:after="0" w:line="276" w:lineRule="auto"/>
        <w:jc w:val="both"/>
        <w:rPr>
          <w:rFonts w:ascii="Arial" w:eastAsia="Times New Roman" w:hAnsi="Arial" w:cs="Arial"/>
          <w:bCs/>
          <w:color w:val="000000"/>
          <w:shd w:val="clear" w:color="auto" w:fill="FFFFFF"/>
          <w:lang w:val="fr-FR" w:eastAsia="zh-CN"/>
        </w:rPr>
      </w:pPr>
      <w:r w:rsidRPr="003B5F37">
        <w:rPr>
          <w:rFonts w:ascii="Arial" w:eastAsia="Times New Roman" w:hAnsi="Arial" w:cs="Arial"/>
          <w:color w:val="000000"/>
          <w:shd w:val="clear" w:color="auto" w:fill="FFFFFF"/>
          <w:lang w:val="fr-FR" w:eastAsia="zh-CN"/>
        </w:rPr>
        <w:t>Târgului anual de ceramica “COCOSUL DE HUREZ”</w:t>
      </w:r>
    </w:p>
    <w:p w14:paraId="3EABE436" w14:textId="77777777" w:rsidR="003B5F37" w:rsidRPr="003B5F37" w:rsidRDefault="003B5F37" w:rsidP="003B5F37">
      <w:pPr>
        <w:widowControl w:val="0"/>
        <w:suppressAutoHyphens/>
        <w:spacing w:after="0" w:line="276" w:lineRule="auto"/>
        <w:jc w:val="both"/>
        <w:rPr>
          <w:rFonts w:ascii="Arial" w:hAnsi="Arial" w:cs="Arial"/>
          <w:kern w:val="1"/>
          <w:lang w:val="fr-FR" w:eastAsia="hi-IN" w:bidi="hi-IN"/>
        </w:rPr>
      </w:pPr>
    </w:p>
    <w:p w14:paraId="635EBF29"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r w:rsidRPr="003B5F37">
        <w:rPr>
          <w:rFonts w:ascii="Arial" w:hAnsi="Arial" w:cs="Arial"/>
          <w:b/>
          <w:kern w:val="1"/>
          <w:lang w:val="es-ES" w:eastAsia="hi-IN" w:bidi="hi-IN"/>
        </w:rPr>
        <w:t>Turism monahal</w:t>
      </w:r>
    </w:p>
    <w:p w14:paraId="44D8760A" w14:textId="77777777" w:rsidR="003B5F37" w:rsidRPr="003B5F37" w:rsidRDefault="003B5F37" w:rsidP="000C6CB8">
      <w:pPr>
        <w:widowControl w:val="0"/>
        <w:numPr>
          <w:ilvl w:val="0"/>
          <w:numId w:val="212"/>
        </w:numPr>
        <w:suppressAutoHyphens/>
        <w:spacing w:after="0" w:line="276" w:lineRule="auto"/>
        <w:jc w:val="both"/>
        <w:rPr>
          <w:rFonts w:ascii="Arial" w:eastAsia="Times New Roman" w:hAnsi="Arial" w:cs="Arial"/>
          <w:kern w:val="1"/>
          <w:lang w:val="es-ES" w:eastAsia="hi-IN" w:bidi="hi-IN"/>
        </w:rPr>
      </w:pPr>
      <w:r w:rsidRPr="003B5F37">
        <w:rPr>
          <w:rFonts w:ascii="Arial" w:eastAsia="Times New Roman" w:hAnsi="Arial" w:cs="Arial"/>
          <w:bCs/>
          <w:color w:val="000000"/>
          <w:shd w:val="clear" w:color="auto" w:fill="FFFFFF"/>
          <w:lang w:val="es-ES" w:eastAsia="zh-CN"/>
        </w:rPr>
        <w:t>Biserica Horezu</w:t>
      </w:r>
      <w:r w:rsidRPr="003B5F37">
        <w:rPr>
          <w:rFonts w:ascii="Arial" w:eastAsia="Times New Roman" w:hAnsi="Arial" w:cs="Arial"/>
          <w:color w:val="000000"/>
          <w:shd w:val="clear" w:color="auto" w:fill="FFFFFF"/>
          <w:lang w:val="es-ES" w:eastAsia="zh-CN"/>
        </w:rPr>
        <w:t> cu hramul " Intrarea Maicii Domnului in Biserica" (1800-1804)</w:t>
      </w:r>
    </w:p>
    <w:p w14:paraId="3F3537EC" w14:textId="77777777" w:rsidR="003B5F37" w:rsidRPr="003B5F37" w:rsidRDefault="003B5F37" w:rsidP="000C6CB8">
      <w:pPr>
        <w:widowControl w:val="0"/>
        <w:numPr>
          <w:ilvl w:val="0"/>
          <w:numId w:val="212"/>
        </w:numPr>
        <w:suppressAutoHyphens/>
        <w:spacing w:after="0" w:line="276" w:lineRule="auto"/>
        <w:jc w:val="both"/>
        <w:rPr>
          <w:rFonts w:ascii="Arial" w:eastAsia="Times New Roman" w:hAnsi="Arial" w:cs="Arial"/>
          <w:kern w:val="1"/>
          <w:lang w:val="es-ES" w:eastAsia="hi-IN" w:bidi="hi-IN"/>
        </w:rPr>
      </w:pPr>
      <w:r w:rsidRPr="003B5F37">
        <w:rPr>
          <w:rFonts w:ascii="Arial" w:eastAsia="Times New Roman" w:hAnsi="Arial" w:cs="Arial"/>
          <w:bCs/>
          <w:color w:val="000000"/>
          <w:shd w:val="clear" w:color="auto" w:fill="FFFFFF"/>
          <w:lang w:eastAsia="zh-CN"/>
        </w:rPr>
        <w:t>Biserica Balanesti</w:t>
      </w:r>
      <w:r w:rsidRPr="003B5F37">
        <w:rPr>
          <w:rFonts w:ascii="Arial" w:eastAsia="Times New Roman" w:hAnsi="Arial" w:cs="Arial"/>
          <w:color w:val="000000"/>
          <w:shd w:val="clear" w:color="auto" w:fill="FFFFFF"/>
          <w:lang w:eastAsia="zh-CN"/>
        </w:rPr>
        <w:t>, cu hramul "Toti Sfintii" (1658)</w:t>
      </w:r>
    </w:p>
    <w:p w14:paraId="77AF2DDA" w14:textId="77777777" w:rsidR="003B5F37" w:rsidRPr="003B5F37" w:rsidRDefault="003B5F37" w:rsidP="000C6CB8">
      <w:pPr>
        <w:widowControl w:val="0"/>
        <w:numPr>
          <w:ilvl w:val="0"/>
          <w:numId w:val="212"/>
        </w:numPr>
        <w:suppressAutoHyphens/>
        <w:spacing w:after="0" w:line="276" w:lineRule="auto"/>
        <w:jc w:val="both"/>
        <w:rPr>
          <w:rFonts w:ascii="Arial" w:eastAsia="Times New Roman" w:hAnsi="Arial" w:cs="Arial"/>
          <w:color w:val="000000"/>
          <w:shd w:val="clear" w:color="auto" w:fill="FFFFFF"/>
          <w:lang w:val="es-ES" w:eastAsia="zh-CN"/>
        </w:rPr>
      </w:pPr>
      <w:r w:rsidRPr="003B5F37">
        <w:rPr>
          <w:rFonts w:ascii="Arial" w:eastAsia="Times New Roman" w:hAnsi="Arial" w:cs="Arial"/>
          <w:bCs/>
          <w:color w:val="000000"/>
          <w:shd w:val="clear" w:color="auto" w:fill="FFFFFF"/>
          <w:lang w:val="es-ES" w:eastAsia="zh-CN"/>
        </w:rPr>
        <w:lastRenderedPageBreak/>
        <w:t>Biserica Ursani</w:t>
      </w:r>
      <w:r w:rsidRPr="003B5F37">
        <w:rPr>
          <w:rFonts w:ascii="Arial" w:eastAsia="Times New Roman" w:hAnsi="Arial" w:cs="Arial"/>
          <w:color w:val="000000"/>
          <w:shd w:val="clear" w:color="auto" w:fill="FFFFFF"/>
          <w:lang w:val="es-ES" w:eastAsia="zh-CN"/>
        </w:rPr>
        <w:t> cu hramul "Intrarea Maicii Domnului in Biserica" si "Sf. Ioan Botezatorul" (1800).</w:t>
      </w:r>
    </w:p>
    <w:p w14:paraId="167EEB39" w14:textId="77777777" w:rsidR="003B5F37" w:rsidRPr="003B5F37" w:rsidRDefault="003B5F37" w:rsidP="000C6CB8">
      <w:pPr>
        <w:widowControl w:val="0"/>
        <w:numPr>
          <w:ilvl w:val="0"/>
          <w:numId w:val="212"/>
        </w:numPr>
        <w:suppressAutoHyphens/>
        <w:spacing w:after="0" w:line="276" w:lineRule="auto"/>
        <w:jc w:val="both"/>
        <w:rPr>
          <w:rFonts w:ascii="Arial" w:eastAsia="Times New Roman" w:hAnsi="Arial" w:cs="Arial"/>
          <w:kern w:val="1"/>
          <w:lang w:val="es-ES" w:eastAsia="hi-IN" w:bidi="hi-IN"/>
        </w:rPr>
      </w:pPr>
      <w:r w:rsidRPr="003B5F37">
        <w:rPr>
          <w:rFonts w:ascii="Arial" w:eastAsia="Times New Roman" w:hAnsi="Arial" w:cs="Arial"/>
          <w:spacing w:val="3"/>
          <w:shd w:val="clear" w:color="auto" w:fill="FFFFFF"/>
          <w:lang w:val="es-ES" w:eastAsia="zh-CN"/>
        </w:rPr>
        <w:t>Biserica din Romanii de Jos cu hramul „Sfinții Îngeri” (1700)</w:t>
      </w:r>
    </w:p>
    <w:p w14:paraId="1E12BA42" w14:textId="77777777" w:rsidR="003B5F37" w:rsidRPr="003B5F37" w:rsidRDefault="003B5F37" w:rsidP="000C6CB8">
      <w:pPr>
        <w:widowControl w:val="0"/>
        <w:numPr>
          <w:ilvl w:val="0"/>
          <w:numId w:val="212"/>
        </w:numPr>
        <w:suppressAutoHyphens/>
        <w:spacing w:after="0" w:line="276" w:lineRule="auto"/>
        <w:jc w:val="both"/>
        <w:rPr>
          <w:rFonts w:ascii="Arial" w:eastAsia="Times New Roman" w:hAnsi="Arial" w:cs="Arial"/>
          <w:kern w:val="1"/>
          <w:lang w:val="fr-FR" w:eastAsia="hi-IN" w:bidi="hi-IN"/>
        </w:rPr>
      </w:pPr>
      <w:r w:rsidRPr="003B5F37">
        <w:rPr>
          <w:rFonts w:ascii="Arial" w:eastAsia="Times New Roman" w:hAnsi="Arial" w:cs="Arial"/>
          <w:kern w:val="1"/>
          <w:lang w:val="es-ES" w:eastAsia="hi-IN" w:bidi="hi-IN"/>
        </w:rPr>
        <w:t xml:space="preserve">Manastirea Hurez cu </w:t>
      </w:r>
      <w:r w:rsidRPr="003B5F37">
        <w:rPr>
          <w:rFonts w:ascii="Arial" w:eastAsia="Times New Roman" w:hAnsi="Arial" w:cs="Arial"/>
          <w:color w:val="000000"/>
          <w:shd w:val="clear" w:color="auto" w:fill="FFFFFF"/>
          <w:lang w:val="fr-FR" w:eastAsia="zh-CN"/>
        </w:rPr>
        <w:t>hramul "Sfintii Imparati Constantin si Elena" (1690-1693). Patrimoniul UNESCO</w:t>
      </w:r>
    </w:p>
    <w:p w14:paraId="4F803391" w14:textId="77777777" w:rsidR="003B5F37" w:rsidRPr="003B5F37" w:rsidRDefault="003B5F37" w:rsidP="000C6CB8">
      <w:pPr>
        <w:widowControl w:val="0"/>
        <w:numPr>
          <w:ilvl w:val="0"/>
          <w:numId w:val="212"/>
        </w:numPr>
        <w:suppressAutoHyphens/>
        <w:spacing w:after="0" w:line="276" w:lineRule="auto"/>
        <w:jc w:val="both"/>
        <w:rPr>
          <w:rFonts w:ascii="Arial" w:eastAsia="Times New Roman" w:hAnsi="Arial" w:cs="Arial"/>
          <w:kern w:val="1"/>
          <w:lang w:eastAsia="hi-IN" w:bidi="hi-IN"/>
        </w:rPr>
      </w:pPr>
      <w:r w:rsidRPr="003B5F37">
        <w:rPr>
          <w:rFonts w:ascii="Arial" w:eastAsia="Times New Roman" w:hAnsi="Arial" w:cs="Arial"/>
          <w:bCs/>
          <w:color w:val="000000"/>
          <w:shd w:val="clear" w:color="auto" w:fill="FFFFFF"/>
          <w:lang w:eastAsia="zh-CN"/>
        </w:rPr>
        <w:t>Biserica Covresti</w:t>
      </w:r>
      <w:r w:rsidRPr="003B5F37">
        <w:rPr>
          <w:rFonts w:ascii="Arial" w:eastAsia="Times New Roman" w:hAnsi="Arial" w:cs="Arial"/>
          <w:b/>
          <w:bCs/>
          <w:color w:val="000000"/>
          <w:shd w:val="clear" w:color="auto" w:fill="FFFFFF"/>
          <w:lang w:eastAsia="zh-CN"/>
        </w:rPr>
        <w:t> </w:t>
      </w:r>
      <w:r w:rsidRPr="003B5F37">
        <w:rPr>
          <w:rFonts w:ascii="Arial" w:eastAsia="Times New Roman" w:hAnsi="Arial" w:cs="Arial"/>
          <w:color w:val="000000"/>
          <w:shd w:val="clear" w:color="auto" w:fill="FFFFFF"/>
          <w:lang w:eastAsia="zh-CN"/>
        </w:rPr>
        <w:t>cu hramul "Sfantul Vasile" (1826)</w:t>
      </w:r>
    </w:p>
    <w:p w14:paraId="0447275C" w14:textId="77777777" w:rsidR="003B5F37" w:rsidRPr="003B5F37" w:rsidRDefault="003B5F37" w:rsidP="000C6CB8">
      <w:pPr>
        <w:widowControl w:val="0"/>
        <w:numPr>
          <w:ilvl w:val="0"/>
          <w:numId w:val="212"/>
        </w:numPr>
        <w:suppressAutoHyphens/>
        <w:spacing w:after="0" w:line="276" w:lineRule="auto"/>
        <w:jc w:val="both"/>
        <w:rPr>
          <w:rFonts w:ascii="Arial" w:eastAsia="Times New Roman" w:hAnsi="Arial" w:cs="Arial"/>
          <w:kern w:val="1"/>
          <w:lang w:val="fr-FR" w:eastAsia="hi-IN" w:bidi="hi-IN"/>
        </w:rPr>
      </w:pPr>
      <w:r w:rsidRPr="003B5F37">
        <w:rPr>
          <w:rFonts w:ascii="Arial" w:eastAsia="Times New Roman" w:hAnsi="Arial" w:cs="Arial"/>
          <w:bCs/>
          <w:color w:val="000000"/>
          <w:shd w:val="clear" w:color="auto" w:fill="FFFFFF"/>
          <w:lang w:val="fr-FR" w:eastAsia="zh-CN"/>
        </w:rPr>
        <w:t>Biserica Ceausu</w:t>
      </w:r>
      <w:r w:rsidRPr="003B5F37">
        <w:rPr>
          <w:rFonts w:ascii="Arial" w:eastAsia="Times New Roman" w:hAnsi="Arial" w:cs="Arial"/>
          <w:b/>
          <w:bCs/>
          <w:color w:val="000000"/>
          <w:shd w:val="clear" w:color="auto" w:fill="FFFFFF"/>
          <w:lang w:val="fr-FR" w:eastAsia="zh-CN"/>
        </w:rPr>
        <w:t> </w:t>
      </w:r>
      <w:r w:rsidRPr="003B5F37">
        <w:rPr>
          <w:rFonts w:ascii="Arial" w:eastAsia="Times New Roman" w:hAnsi="Arial" w:cs="Arial"/>
          <w:color w:val="000000"/>
          <w:shd w:val="clear" w:color="auto" w:fill="FFFFFF"/>
          <w:lang w:val="fr-FR" w:eastAsia="zh-CN"/>
        </w:rPr>
        <w:t>cu hramul "Sfintii Arhangheli Mihail si Gavril" (1821-1861)</w:t>
      </w:r>
    </w:p>
    <w:p w14:paraId="38BD9431" w14:textId="77777777" w:rsidR="003B5F37" w:rsidRPr="003B5F37" w:rsidRDefault="003B5F37" w:rsidP="003B5F37">
      <w:pPr>
        <w:widowControl w:val="0"/>
        <w:suppressAutoHyphens/>
        <w:spacing w:after="0" w:line="276" w:lineRule="auto"/>
        <w:ind w:left="720"/>
        <w:jc w:val="both"/>
        <w:rPr>
          <w:rFonts w:ascii="Arial" w:eastAsia="Times New Roman" w:hAnsi="Arial" w:cs="Arial"/>
          <w:kern w:val="1"/>
          <w:lang w:val="fr-FR" w:eastAsia="hi-IN" w:bidi="hi-IN"/>
        </w:rPr>
      </w:pPr>
    </w:p>
    <w:p w14:paraId="5BEAF63D"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p>
    <w:p w14:paraId="5FF56537" w14:textId="77777777" w:rsidR="003B5F37" w:rsidRPr="003B5F37" w:rsidRDefault="003B5F37" w:rsidP="003B5F37">
      <w:pPr>
        <w:widowControl w:val="0"/>
        <w:suppressAutoHyphens/>
        <w:spacing w:after="0" w:line="276" w:lineRule="auto"/>
        <w:jc w:val="both"/>
        <w:rPr>
          <w:rFonts w:ascii="Arial" w:hAnsi="Arial" w:cs="Arial"/>
          <w:b/>
          <w:kern w:val="1"/>
          <w:lang w:val="es-ES" w:eastAsia="hi-IN" w:bidi="hi-IN"/>
        </w:rPr>
      </w:pPr>
      <w:r w:rsidRPr="003B5F37">
        <w:rPr>
          <w:rFonts w:ascii="Arial" w:hAnsi="Arial" w:cs="Arial"/>
          <w:b/>
          <w:kern w:val="1"/>
          <w:lang w:val="es-ES" w:eastAsia="hi-IN" w:bidi="hi-IN"/>
        </w:rPr>
        <w:t>Sport si natura</w:t>
      </w:r>
    </w:p>
    <w:p w14:paraId="6438CDC3"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r w:rsidRPr="003B5F37">
        <w:rPr>
          <w:rFonts w:ascii="Arial" w:hAnsi="Arial" w:cs="Arial"/>
          <w:kern w:val="1"/>
          <w:lang w:val="es-ES" w:eastAsia="hi-IN" w:bidi="hi-IN"/>
        </w:rPr>
        <w:t xml:space="preserve">Orasul Horezu si imprejurimile sale ofera un cadru natural ce ofera suport atat plimbarilor de agrement cat si practicarii sporturilor pe tot parcursul anului. Infrastructura de agrement este in curs de imbunatatire prin continua marire a suprafetelor zonelor pietonale si prin proiectul in derulare de realizare a parcului de agrement si recreere Constantin Brancoveanu din zona sudica a orasului. </w:t>
      </w:r>
    </w:p>
    <w:p w14:paraId="723AA96C"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p>
    <w:p w14:paraId="4F82908A"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r w:rsidRPr="003B5F37">
        <w:rPr>
          <w:rFonts w:ascii="Arial" w:hAnsi="Arial" w:cs="Arial"/>
          <w:kern w:val="1"/>
          <w:lang w:val="es-ES" w:eastAsia="hi-IN" w:bidi="hi-IN"/>
        </w:rPr>
        <w:t xml:space="preserve">Prin dispunerea orasului intr-o zona cu multiple obiective turistice, coroborat cu oferta bogata de spatii de cazare, Horezu poate deveni </w:t>
      </w:r>
      <w:r w:rsidRPr="003B5F37">
        <w:rPr>
          <w:rFonts w:ascii="Arial" w:eastAsia="Times New Roman" w:hAnsi="Arial" w:cs="Arial"/>
          <w:lang w:val="es-ES"/>
        </w:rPr>
        <w:t>o placa turnantă a turismului zonal, cu acces facil către cele mai importante obiecte turistice din judet, printre care:</w:t>
      </w:r>
    </w:p>
    <w:p w14:paraId="5EEFE528"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p>
    <w:p w14:paraId="3437265E"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kern w:val="1"/>
          <w:lang w:val="fr-FR" w:eastAsia="hi-IN" w:bidi="hi-IN"/>
        </w:rPr>
      </w:pPr>
      <w:r w:rsidRPr="003B5F37">
        <w:rPr>
          <w:rFonts w:ascii="Arial" w:eastAsia="Times New Roman" w:hAnsi="Arial" w:cs="Arial"/>
          <w:bCs/>
          <w:color w:val="000000"/>
          <w:shd w:val="clear" w:color="auto" w:fill="FFFFFF"/>
          <w:lang w:val="fr-FR" w:eastAsia="zh-CN"/>
        </w:rPr>
        <w:t>Cula Greceanu</w:t>
      </w:r>
      <w:r w:rsidRPr="003B5F37">
        <w:rPr>
          <w:rFonts w:ascii="Arial" w:eastAsia="Times New Roman" w:hAnsi="Arial" w:cs="Arial"/>
          <w:color w:val="000000"/>
          <w:shd w:val="clear" w:color="auto" w:fill="FFFFFF"/>
          <w:lang w:val="fr-FR" w:eastAsia="zh-CN"/>
        </w:rPr>
        <w:t> (Maldaresti, 3Km) este monument de arhitectura populara din secolul al XVI-lea</w:t>
      </w:r>
    </w:p>
    <w:p w14:paraId="42C7C122"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color w:val="000000"/>
          <w:shd w:val="clear" w:color="auto" w:fill="FFFFFF"/>
          <w:lang w:eastAsia="zh-CN"/>
        </w:rPr>
      </w:pPr>
      <w:r w:rsidRPr="003B5F37">
        <w:rPr>
          <w:rFonts w:ascii="Arial" w:eastAsia="Times New Roman" w:hAnsi="Arial" w:cs="Arial"/>
          <w:bCs/>
          <w:color w:val="000000"/>
          <w:shd w:val="clear" w:color="auto" w:fill="FFFFFF"/>
          <w:lang w:eastAsia="zh-CN"/>
        </w:rPr>
        <w:t>Casa memoriala I. Gh. Duca</w:t>
      </w:r>
      <w:r w:rsidRPr="003B5F37">
        <w:rPr>
          <w:rFonts w:ascii="Arial" w:eastAsia="Times New Roman" w:hAnsi="Arial" w:cs="Arial"/>
          <w:color w:val="000000"/>
          <w:shd w:val="clear" w:color="auto" w:fill="FFFFFF"/>
          <w:lang w:eastAsia="zh-CN"/>
        </w:rPr>
        <w:t> (Maldaresti, 3Km)</w:t>
      </w:r>
    </w:p>
    <w:p w14:paraId="04491F27"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color w:val="000000"/>
          <w:shd w:val="clear" w:color="auto" w:fill="FFFFFF"/>
          <w:lang w:eastAsia="zh-CN"/>
        </w:rPr>
      </w:pPr>
      <w:r w:rsidRPr="003B5F37">
        <w:rPr>
          <w:rFonts w:ascii="Arial" w:eastAsia="Times New Roman" w:hAnsi="Arial" w:cs="Arial"/>
          <w:kern w:val="1"/>
          <w:lang w:val="es-ES" w:eastAsia="hi-IN" w:bidi="hi-IN"/>
        </w:rPr>
        <w:t>Manastirea Bistrita</w:t>
      </w:r>
      <w:r w:rsidRPr="003B5F37">
        <w:rPr>
          <w:rFonts w:ascii="Arial" w:eastAsia="Times New Roman" w:hAnsi="Arial" w:cs="Arial"/>
          <w:color w:val="000000"/>
          <w:shd w:val="clear" w:color="auto" w:fill="FFFFFF"/>
          <w:lang w:eastAsia="zh-CN"/>
        </w:rPr>
        <w:t xml:space="preserve"> (Bistrita, 13Km) cu hramul "Adormirea Maicii Domnului" (secolul al XV-lea) </w:t>
      </w:r>
    </w:p>
    <w:p w14:paraId="043CE0EE"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kern w:val="1"/>
          <w:lang w:eastAsia="hi-IN" w:bidi="hi-IN"/>
        </w:rPr>
      </w:pPr>
      <w:r w:rsidRPr="003B5F37">
        <w:rPr>
          <w:rFonts w:ascii="Arial" w:eastAsia="Times New Roman" w:hAnsi="Arial" w:cs="Arial"/>
          <w:color w:val="000000"/>
          <w:shd w:val="clear" w:color="auto" w:fill="FFFFFF"/>
          <w:lang w:eastAsia="zh-CN"/>
        </w:rPr>
        <w:t>Manastirea Arnota (Bistrita, 19Km) cu hramul "Adormirea Maicii Domnului" (secolul al XV-lea)</w:t>
      </w:r>
    </w:p>
    <w:p w14:paraId="2E8DC20F"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kern w:val="1"/>
          <w:lang w:val="es-ES" w:eastAsia="hi-IN" w:bidi="hi-IN"/>
        </w:rPr>
      </w:pPr>
      <w:r w:rsidRPr="003B5F37">
        <w:rPr>
          <w:rFonts w:ascii="Arial" w:eastAsia="Times New Roman" w:hAnsi="Arial" w:cs="Arial"/>
          <w:kern w:val="1"/>
          <w:lang w:val="es-ES" w:eastAsia="hi-IN" w:bidi="hi-IN"/>
        </w:rPr>
        <w:t>Biserica "Sf. Nicolae" (Pietreni,15Km) a fostului schit "De sub Piatra" (secolul al XVIII-lea)</w:t>
      </w:r>
    </w:p>
    <w:p w14:paraId="0F5A8AC0"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kern w:val="1"/>
          <w:lang w:val="es-ES" w:eastAsia="hi-IN" w:bidi="hi-IN"/>
        </w:rPr>
      </w:pPr>
      <w:r w:rsidRPr="003B5F37">
        <w:rPr>
          <w:rFonts w:ascii="Arial" w:eastAsia="Times New Roman" w:hAnsi="Arial" w:cs="Arial"/>
          <w:bCs/>
          <w:color w:val="000000"/>
          <w:shd w:val="clear" w:color="auto" w:fill="FFFFFF"/>
          <w:lang w:val="es-ES" w:eastAsia="zh-CN"/>
        </w:rPr>
        <w:t>Manastirea Surpatele</w:t>
      </w:r>
      <w:r w:rsidRPr="003B5F37">
        <w:rPr>
          <w:rFonts w:ascii="Arial" w:eastAsia="Times New Roman" w:hAnsi="Arial" w:cs="Arial"/>
          <w:color w:val="000000"/>
          <w:shd w:val="clear" w:color="auto" w:fill="FFFFFF"/>
          <w:lang w:val="es-ES" w:eastAsia="zh-CN"/>
        </w:rPr>
        <w:t> (Balutoaia, 24 km), cu hramul "Sf.Treime"</w:t>
      </w:r>
    </w:p>
    <w:p w14:paraId="1F899E4D"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color w:val="000000"/>
          <w:shd w:val="clear" w:color="auto" w:fill="FFFFFF"/>
          <w:lang w:val="es-ES" w:eastAsia="zh-CN"/>
        </w:rPr>
      </w:pPr>
      <w:r w:rsidRPr="003B5F37">
        <w:rPr>
          <w:rFonts w:ascii="Arial" w:eastAsia="Times New Roman" w:hAnsi="Arial" w:cs="Arial"/>
          <w:color w:val="000000"/>
          <w:shd w:val="clear" w:color="auto" w:fill="FFFFFF"/>
          <w:lang w:val="es-ES" w:eastAsia="zh-CN"/>
        </w:rPr>
        <w:t>Manastirea dintr-un lemn (Francesti, 26 km), cu hramul "Nasterea Maicii Domnului" (secolul al XVIII-lea)</w:t>
      </w:r>
    </w:p>
    <w:p w14:paraId="7D8AAC70"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color w:val="000000"/>
          <w:shd w:val="clear" w:color="auto" w:fill="FFFFFF"/>
          <w:lang w:val="es-ES" w:eastAsia="zh-CN"/>
        </w:rPr>
      </w:pPr>
      <w:r w:rsidRPr="003B5F37">
        <w:rPr>
          <w:rFonts w:ascii="Arial" w:eastAsia="Times New Roman" w:hAnsi="Arial" w:cs="Arial"/>
          <w:bCs/>
          <w:color w:val="000000"/>
          <w:shd w:val="clear" w:color="auto" w:fill="FFFFFF"/>
          <w:lang w:val="es-ES" w:eastAsia="zh-CN"/>
        </w:rPr>
        <w:t>Manastirea Jgheaburile</w:t>
      </w:r>
      <w:r w:rsidRPr="003B5F37">
        <w:rPr>
          <w:rFonts w:ascii="Arial" w:eastAsia="Times New Roman" w:hAnsi="Arial" w:cs="Arial"/>
          <w:b/>
          <w:bCs/>
          <w:color w:val="000000"/>
          <w:shd w:val="clear" w:color="auto" w:fill="FFFFFF"/>
          <w:lang w:val="es-ES" w:eastAsia="zh-CN"/>
        </w:rPr>
        <w:t xml:space="preserve"> </w:t>
      </w:r>
      <w:r w:rsidRPr="003B5F37">
        <w:rPr>
          <w:rFonts w:ascii="Arial" w:eastAsia="Times New Roman" w:hAnsi="Arial" w:cs="Arial"/>
          <w:color w:val="000000"/>
          <w:shd w:val="clear" w:color="auto" w:fill="FFFFFF"/>
          <w:lang w:val="es-ES" w:eastAsia="zh-CN"/>
        </w:rPr>
        <w:t>(Deleni, 27 km), cu hramul "Nasterea Maiciii Domnului" (secolul al XIV-lea)</w:t>
      </w:r>
    </w:p>
    <w:p w14:paraId="4C0634EE"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kern w:val="1"/>
          <w:lang w:val="es-ES" w:eastAsia="hi-IN" w:bidi="hi-IN"/>
        </w:rPr>
      </w:pPr>
      <w:r w:rsidRPr="003B5F37">
        <w:rPr>
          <w:rFonts w:ascii="Arial" w:eastAsia="Times New Roman" w:hAnsi="Arial" w:cs="Arial"/>
          <w:bCs/>
          <w:color w:val="000000"/>
          <w:shd w:val="clear" w:color="auto" w:fill="FFFFFF"/>
          <w:lang w:val="es-ES" w:eastAsia="zh-CN"/>
        </w:rPr>
        <w:t>Manastirea Polovragi</w:t>
      </w:r>
      <w:r w:rsidRPr="003B5F37">
        <w:rPr>
          <w:rFonts w:ascii="Arial" w:eastAsia="Times New Roman" w:hAnsi="Arial" w:cs="Arial"/>
          <w:b/>
          <w:bCs/>
          <w:color w:val="000000"/>
          <w:shd w:val="clear" w:color="auto" w:fill="FFFFFF"/>
          <w:lang w:val="es-ES" w:eastAsia="zh-CN"/>
        </w:rPr>
        <w:t xml:space="preserve"> </w:t>
      </w:r>
      <w:r w:rsidRPr="003B5F37">
        <w:rPr>
          <w:rFonts w:ascii="Arial" w:eastAsia="Times New Roman" w:hAnsi="Arial" w:cs="Arial"/>
          <w:color w:val="000000"/>
          <w:shd w:val="clear" w:color="auto" w:fill="FFFFFF"/>
          <w:lang w:val="es-ES" w:eastAsia="zh-CN"/>
        </w:rPr>
        <w:t>(Polovragi, 25 km), cu hramul "Adormirea Maicii Domnului" (secolul al XVIII-lea)</w:t>
      </w:r>
    </w:p>
    <w:p w14:paraId="25296C33"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color w:val="000000"/>
          <w:shd w:val="clear" w:color="auto" w:fill="FFFFFF"/>
          <w:lang w:eastAsia="zh-CN"/>
        </w:rPr>
      </w:pPr>
      <w:r w:rsidRPr="003B5F37">
        <w:rPr>
          <w:rFonts w:ascii="Arial" w:eastAsia="Times New Roman" w:hAnsi="Arial" w:cs="Arial"/>
          <w:kern w:val="1"/>
          <w:lang w:val="es-ES" w:eastAsia="hi-IN" w:bidi="hi-IN"/>
        </w:rPr>
        <w:t xml:space="preserve">Pestera Liliecilor </w:t>
      </w:r>
      <w:r w:rsidRPr="003B5F37">
        <w:rPr>
          <w:rFonts w:ascii="Arial" w:eastAsia="Times New Roman" w:hAnsi="Arial" w:cs="Arial"/>
          <w:color w:val="000000"/>
          <w:shd w:val="clear" w:color="auto" w:fill="FFFFFF"/>
          <w:lang w:eastAsia="zh-CN"/>
        </w:rPr>
        <w:t>(Bistrita, 14Km)</w:t>
      </w:r>
    </w:p>
    <w:p w14:paraId="41289CEB"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color w:val="000000"/>
          <w:shd w:val="clear" w:color="auto" w:fill="FFFFFF"/>
          <w:lang w:val="fr-FR" w:eastAsia="zh-CN"/>
        </w:rPr>
      </w:pPr>
      <w:r w:rsidRPr="003B5F37">
        <w:rPr>
          <w:rFonts w:ascii="Arial" w:eastAsia="Times New Roman" w:hAnsi="Arial" w:cs="Arial"/>
          <w:bCs/>
          <w:color w:val="000000"/>
          <w:shd w:val="clear" w:color="auto" w:fill="FFFFFF"/>
          <w:lang w:val="fr-FR" w:eastAsia="zh-CN"/>
        </w:rPr>
        <w:t xml:space="preserve">Pestera Polovragi si </w:t>
      </w:r>
      <w:r w:rsidRPr="003B5F37">
        <w:rPr>
          <w:rFonts w:ascii="Arial" w:eastAsia="Times New Roman" w:hAnsi="Arial" w:cs="Arial"/>
          <w:color w:val="000000"/>
          <w:shd w:val="clear" w:color="auto" w:fill="FFFFFF"/>
          <w:lang w:val="fr-FR" w:eastAsia="zh-CN"/>
        </w:rPr>
        <w:t> Cheile Oltetului (Polovragi, 25km) </w:t>
      </w:r>
    </w:p>
    <w:p w14:paraId="4E18CCA5" w14:textId="77777777" w:rsidR="003B5F37" w:rsidRPr="003B5F37" w:rsidRDefault="003B5F37" w:rsidP="000C6CB8">
      <w:pPr>
        <w:widowControl w:val="0"/>
        <w:numPr>
          <w:ilvl w:val="0"/>
          <w:numId w:val="213"/>
        </w:numPr>
        <w:suppressAutoHyphens/>
        <w:spacing w:after="0" w:line="276" w:lineRule="auto"/>
        <w:jc w:val="both"/>
        <w:rPr>
          <w:rFonts w:ascii="Arial" w:eastAsia="Times New Roman" w:hAnsi="Arial" w:cs="Arial"/>
          <w:kern w:val="1"/>
          <w:lang w:val="fr-FR" w:eastAsia="hi-IN" w:bidi="hi-IN"/>
        </w:rPr>
      </w:pPr>
      <w:r w:rsidRPr="003B5F37">
        <w:rPr>
          <w:rFonts w:ascii="Arial" w:eastAsia="Times New Roman" w:hAnsi="Arial" w:cs="Arial"/>
          <w:bCs/>
          <w:color w:val="000000"/>
          <w:shd w:val="clear" w:color="auto" w:fill="FFFFFF"/>
          <w:lang w:val="fr-FR" w:eastAsia="zh-CN"/>
        </w:rPr>
        <w:t>Pestera Muierilor</w:t>
      </w:r>
      <w:r w:rsidRPr="003B5F37">
        <w:rPr>
          <w:rFonts w:ascii="Arial" w:eastAsia="Times New Roman" w:hAnsi="Arial" w:cs="Arial"/>
          <w:color w:val="000000"/>
          <w:shd w:val="clear" w:color="auto" w:fill="FFFFFF"/>
          <w:lang w:val="fr-FR" w:eastAsia="zh-CN"/>
        </w:rPr>
        <w:t> (Baia de Fier, 29km)</w:t>
      </w:r>
    </w:p>
    <w:p w14:paraId="286FB7A6" w14:textId="77777777" w:rsidR="003B5F37" w:rsidRPr="003B5F37" w:rsidRDefault="003B5F37" w:rsidP="003B5F37">
      <w:pPr>
        <w:widowControl w:val="0"/>
        <w:suppressAutoHyphens/>
        <w:spacing w:before="100" w:beforeAutospacing="1" w:after="100" w:afterAutospacing="1" w:line="276" w:lineRule="auto"/>
        <w:jc w:val="both"/>
        <w:rPr>
          <w:rFonts w:ascii="Arial" w:hAnsi="Arial" w:cs="Arial"/>
          <w:kern w:val="1"/>
          <w:lang w:val="es-ES" w:eastAsia="hi-IN" w:bidi="hi-IN"/>
        </w:rPr>
      </w:pPr>
      <w:r w:rsidRPr="003B5F37">
        <w:rPr>
          <w:rFonts w:ascii="Arial" w:hAnsi="Arial" w:cs="Arial"/>
          <w:kern w:val="1"/>
          <w:lang w:val="es-ES" w:eastAsia="hi-IN" w:bidi="hi-IN"/>
        </w:rPr>
        <w:t xml:space="preserve">Multe dintre problemele identificate pe parcursul </w:t>
      </w:r>
      <w:r w:rsidRPr="003B5F37">
        <w:rPr>
          <w:rFonts w:ascii="Arial" w:hAnsi="Arial" w:cs="Arial"/>
          <w:b/>
          <w:kern w:val="1"/>
          <w:lang w:val="es-ES" w:eastAsia="hi-IN" w:bidi="hi-IN"/>
        </w:rPr>
        <w:t>Planului</w:t>
      </w:r>
      <w:r w:rsidRPr="003B5F37">
        <w:rPr>
          <w:rFonts w:ascii="Arial" w:hAnsi="Arial" w:cs="Arial"/>
          <w:kern w:val="1"/>
          <w:lang w:val="es-ES" w:eastAsia="hi-IN" w:bidi="hi-IN"/>
        </w:rPr>
        <w:t xml:space="preserve"> și intervențiile dezvoltate pentru rezolvarea și îmbunătățirea lor pot avea efecte asupra mediului din </w:t>
      </w:r>
      <w:r w:rsidRPr="003B5F37">
        <w:rPr>
          <w:rFonts w:ascii="Arial" w:hAnsi="Arial" w:cs="Arial"/>
          <w:b/>
          <w:kern w:val="1"/>
          <w:lang w:val="es-ES" w:eastAsia="hi-IN" w:bidi="hi-IN"/>
        </w:rPr>
        <w:t>Orasul Horezu.</w:t>
      </w:r>
    </w:p>
    <w:p w14:paraId="60E52FBF" w14:textId="77777777" w:rsidR="003B5F37" w:rsidRPr="003B5F37" w:rsidRDefault="003B5F37" w:rsidP="003B5F37">
      <w:pPr>
        <w:widowControl w:val="0"/>
        <w:suppressAutoHyphens/>
        <w:spacing w:after="0" w:line="276" w:lineRule="auto"/>
        <w:jc w:val="both"/>
        <w:rPr>
          <w:rFonts w:ascii="Arial" w:hAnsi="Arial" w:cs="Arial"/>
          <w:kern w:val="1"/>
          <w:lang w:val="es-ES" w:eastAsia="hi-IN" w:bidi="hi-IN"/>
        </w:rPr>
      </w:pPr>
      <w:r w:rsidRPr="003B5F37">
        <w:rPr>
          <w:rFonts w:ascii="Arial" w:hAnsi="Arial" w:cs="Arial"/>
          <w:b/>
          <w:kern w:val="1"/>
          <w:lang w:val="es-ES" w:eastAsia="hi-IN" w:bidi="hi-IN"/>
        </w:rPr>
        <w:t>Efectele potențiale rezultate din implementarea Planului pot fi pozitive sau negative, în funcție de:</w:t>
      </w:r>
      <w:r w:rsidRPr="003B5F37">
        <w:rPr>
          <w:rFonts w:ascii="Arial" w:hAnsi="Arial" w:cs="Arial"/>
          <w:kern w:val="1"/>
          <w:lang w:val="es-ES" w:eastAsia="hi-IN" w:bidi="hi-IN"/>
        </w:rPr>
        <w:t xml:space="preserve"> </w:t>
      </w:r>
    </w:p>
    <w:p w14:paraId="5365A76D" w14:textId="77777777" w:rsidR="003B5F37" w:rsidRPr="003B5F37" w:rsidRDefault="003B5F37" w:rsidP="000C6CB8">
      <w:pPr>
        <w:widowControl w:val="0"/>
        <w:numPr>
          <w:ilvl w:val="0"/>
          <w:numId w:val="152"/>
        </w:numPr>
        <w:suppressAutoHyphens/>
        <w:spacing w:after="0" w:line="276" w:lineRule="auto"/>
        <w:ind w:left="810" w:hanging="270"/>
        <w:contextualSpacing/>
        <w:jc w:val="both"/>
        <w:rPr>
          <w:rFonts w:ascii="Arial" w:hAnsi="Arial" w:cs="Arial"/>
          <w:kern w:val="1"/>
          <w:lang w:val="ro-RO" w:eastAsia="hi-IN" w:bidi="hi-IN"/>
        </w:rPr>
      </w:pPr>
      <w:r w:rsidRPr="003B5F37">
        <w:rPr>
          <w:rFonts w:ascii="Arial" w:hAnsi="Arial" w:cs="Arial"/>
          <w:kern w:val="1"/>
          <w:lang w:val="ro-RO" w:eastAsia="hi-IN" w:bidi="hi-IN"/>
        </w:rPr>
        <w:t xml:space="preserve">Modificări în calitatea aerului din cauza schimbării fluxului de trafic; </w:t>
      </w:r>
    </w:p>
    <w:p w14:paraId="7DD4CFCB" w14:textId="77777777" w:rsidR="003B5F37" w:rsidRPr="003B5F37" w:rsidRDefault="003B5F37" w:rsidP="000C6CB8">
      <w:pPr>
        <w:widowControl w:val="0"/>
        <w:numPr>
          <w:ilvl w:val="0"/>
          <w:numId w:val="152"/>
        </w:numPr>
        <w:suppressAutoHyphens/>
        <w:spacing w:after="0" w:line="276" w:lineRule="auto"/>
        <w:ind w:left="810" w:hanging="270"/>
        <w:contextualSpacing/>
        <w:jc w:val="both"/>
        <w:rPr>
          <w:rFonts w:ascii="Arial" w:hAnsi="Arial" w:cs="Arial"/>
          <w:kern w:val="1"/>
          <w:lang w:val="es-ES" w:eastAsia="hi-IN" w:bidi="hi-IN"/>
        </w:rPr>
      </w:pPr>
      <w:r w:rsidRPr="003B5F37">
        <w:rPr>
          <w:rFonts w:ascii="Arial" w:hAnsi="Arial" w:cs="Arial"/>
          <w:kern w:val="1"/>
          <w:lang w:val="es-ES" w:eastAsia="hi-IN" w:bidi="hi-IN"/>
        </w:rPr>
        <w:t xml:space="preserve">Modificări ale calității apei din cauza schimbării fluxului de trafic; </w:t>
      </w:r>
    </w:p>
    <w:p w14:paraId="68349EB9" w14:textId="77777777" w:rsidR="003B5F37" w:rsidRPr="003B5F37" w:rsidRDefault="003B5F37" w:rsidP="000C6CB8">
      <w:pPr>
        <w:widowControl w:val="0"/>
        <w:numPr>
          <w:ilvl w:val="0"/>
          <w:numId w:val="152"/>
        </w:numPr>
        <w:suppressAutoHyphens/>
        <w:spacing w:after="0" w:line="276" w:lineRule="auto"/>
        <w:ind w:left="810" w:hanging="270"/>
        <w:contextualSpacing/>
        <w:jc w:val="both"/>
        <w:rPr>
          <w:rFonts w:ascii="Arial" w:hAnsi="Arial" w:cs="Arial"/>
          <w:kern w:val="1"/>
          <w:lang w:val="es-ES" w:eastAsia="hi-IN" w:bidi="hi-IN"/>
        </w:rPr>
      </w:pPr>
      <w:r w:rsidRPr="003B5F37">
        <w:rPr>
          <w:rFonts w:ascii="Arial" w:hAnsi="Arial" w:cs="Arial"/>
          <w:kern w:val="1"/>
          <w:lang w:val="es-ES" w:eastAsia="hi-IN" w:bidi="hi-IN"/>
        </w:rPr>
        <w:lastRenderedPageBreak/>
        <w:t xml:space="preserve">Perturbări prin zgomot, vibrații și/sau iluminat, din cauza schimbării fluxului de trafic; </w:t>
      </w:r>
    </w:p>
    <w:p w14:paraId="45BA0256" w14:textId="77777777" w:rsidR="003B5F37" w:rsidRPr="003B5F37" w:rsidRDefault="003B5F37" w:rsidP="000C6CB8">
      <w:pPr>
        <w:widowControl w:val="0"/>
        <w:numPr>
          <w:ilvl w:val="0"/>
          <w:numId w:val="152"/>
        </w:numPr>
        <w:suppressAutoHyphens/>
        <w:spacing w:after="0" w:line="276" w:lineRule="auto"/>
        <w:ind w:left="810" w:hanging="270"/>
        <w:contextualSpacing/>
        <w:jc w:val="both"/>
        <w:rPr>
          <w:rFonts w:ascii="Arial" w:hAnsi="Arial" w:cs="Arial"/>
          <w:kern w:val="1"/>
          <w:lang w:val="es-ES" w:eastAsia="hi-IN" w:bidi="hi-IN"/>
        </w:rPr>
      </w:pPr>
      <w:r w:rsidRPr="003B5F37">
        <w:rPr>
          <w:rFonts w:ascii="Arial" w:hAnsi="Arial" w:cs="Arial"/>
          <w:kern w:val="1"/>
          <w:lang w:val="es-ES" w:eastAsia="hi-IN" w:bidi="hi-IN"/>
        </w:rPr>
        <w:t>Modificări ale numărului de vizitatori, provocate de îmbunătățirea traficului din zonă;</w:t>
      </w:r>
    </w:p>
    <w:p w14:paraId="0BF88300" w14:textId="77777777" w:rsidR="003B5F37" w:rsidRPr="003B5F37" w:rsidRDefault="003B5F37" w:rsidP="000C6CB8">
      <w:pPr>
        <w:widowControl w:val="0"/>
        <w:numPr>
          <w:ilvl w:val="0"/>
          <w:numId w:val="152"/>
        </w:numPr>
        <w:suppressAutoHyphens/>
        <w:spacing w:after="0" w:line="276" w:lineRule="auto"/>
        <w:ind w:left="810" w:hanging="270"/>
        <w:contextualSpacing/>
        <w:jc w:val="both"/>
        <w:rPr>
          <w:rFonts w:ascii="Arial" w:hAnsi="Arial" w:cs="Arial"/>
          <w:kern w:val="1"/>
          <w:lang w:val="es-ES" w:eastAsia="hi-IN" w:bidi="hi-IN"/>
        </w:rPr>
      </w:pPr>
      <w:r w:rsidRPr="003B5F37">
        <w:rPr>
          <w:rFonts w:ascii="Arial" w:hAnsi="Arial" w:cs="Arial"/>
          <w:kern w:val="1"/>
          <w:lang w:val="es-ES" w:eastAsia="hi-IN" w:bidi="hi-IN"/>
        </w:rPr>
        <w:t xml:space="preserve">Patrimoniul construit deasupra pământului (precum clădiri, străzi, grădini/pieţe istorice); </w:t>
      </w:r>
    </w:p>
    <w:p w14:paraId="57C63DBD" w14:textId="77777777" w:rsidR="003B5F37" w:rsidRPr="003B5F37" w:rsidRDefault="003B5F37" w:rsidP="000C6CB8">
      <w:pPr>
        <w:widowControl w:val="0"/>
        <w:numPr>
          <w:ilvl w:val="0"/>
          <w:numId w:val="152"/>
        </w:numPr>
        <w:suppressAutoHyphens/>
        <w:spacing w:after="0" w:line="276" w:lineRule="auto"/>
        <w:ind w:left="810" w:hanging="270"/>
        <w:contextualSpacing/>
        <w:jc w:val="both"/>
        <w:rPr>
          <w:rFonts w:ascii="Arial" w:eastAsia="Times New Roman" w:hAnsi="Arial" w:cs="Arial"/>
          <w:lang w:val="x-none" w:eastAsia="zh-CN"/>
        </w:rPr>
      </w:pPr>
      <w:r w:rsidRPr="003B5F37">
        <w:rPr>
          <w:rFonts w:ascii="Arial" w:eastAsia="Times New Roman" w:hAnsi="Arial" w:cs="Arial"/>
          <w:lang w:val="x-none" w:eastAsia="zh-CN"/>
        </w:rPr>
        <w:t xml:space="preserve">Peisaje stradale istorice (precum suprafeţele străzilor, infrastructură, pavaje); </w:t>
      </w:r>
    </w:p>
    <w:p w14:paraId="6B3B51FA" w14:textId="77777777" w:rsidR="003B5F37" w:rsidRPr="003B5F37" w:rsidRDefault="003B5F37" w:rsidP="000C6CB8">
      <w:pPr>
        <w:widowControl w:val="0"/>
        <w:numPr>
          <w:ilvl w:val="0"/>
          <w:numId w:val="152"/>
        </w:numPr>
        <w:suppressAutoHyphens/>
        <w:spacing w:after="0" w:line="276" w:lineRule="auto"/>
        <w:ind w:left="810" w:hanging="270"/>
        <w:contextualSpacing/>
        <w:jc w:val="both"/>
        <w:rPr>
          <w:rFonts w:ascii="Arial" w:eastAsia="Times New Roman" w:hAnsi="Arial" w:cs="Arial"/>
          <w:lang w:val="x-none" w:eastAsia="zh-CN"/>
        </w:rPr>
      </w:pPr>
      <w:r w:rsidRPr="003B5F37">
        <w:rPr>
          <w:rFonts w:ascii="Arial" w:eastAsia="Times New Roman" w:hAnsi="Arial" w:cs="Arial"/>
          <w:lang w:val="x-none" w:eastAsia="zh-CN"/>
        </w:rPr>
        <w:t>Arheologie (precum rămăşiţe subterane, beciuri, morminte);</w:t>
      </w:r>
    </w:p>
    <w:p w14:paraId="5DC4C740" w14:textId="77777777" w:rsidR="003B5F37" w:rsidRPr="003B5F37" w:rsidRDefault="003B5F37" w:rsidP="000C6CB8">
      <w:pPr>
        <w:widowControl w:val="0"/>
        <w:numPr>
          <w:ilvl w:val="0"/>
          <w:numId w:val="152"/>
        </w:numPr>
        <w:suppressAutoHyphens/>
        <w:spacing w:after="0" w:line="276" w:lineRule="auto"/>
        <w:ind w:left="810" w:hanging="270"/>
        <w:contextualSpacing/>
        <w:jc w:val="both"/>
        <w:rPr>
          <w:rFonts w:ascii="Arial" w:eastAsia="Times New Roman" w:hAnsi="Arial" w:cs="Arial"/>
          <w:lang w:val="x-none" w:eastAsia="zh-CN"/>
        </w:rPr>
      </w:pPr>
      <w:r w:rsidRPr="003B5F37">
        <w:rPr>
          <w:rFonts w:ascii="Arial" w:eastAsia="Times New Roman" w:hAnsi="Arial" w:cs="Arial"/>
          <w:lang w:val="x-none" w:eastAsia="zh-CN"/>
        </w:rPr>
        <w:t xml:space="preserve">Accesibilitate îmbunătăţită la punctele cheie de atracţie/turism zonal; </w:t>
      </w:r>
    </w:p>
    <w:p w14:paraId="611CBD96" w14:textId="77777777" w:rsidR="003B5F37" w:rsidRPr="003B5F37" w:rsidRDefault="003B5F37" w:rsidP="000C6CB8">
      <w:pPr>
        <w:widowControl w:val="0"/>
        <w:numPr>
          <w:ilvl w:val="0"/>
          <w:numId w:val="152"/>
        </w:numPr>
        <w:suppressAutoHyphens/>
        <w:spacing w:after="0" w:line="276" w:lineRule="auto"/>
        <w:ind w:left="810" w:hanging="270"/>
        <w:contextualSpacing/>
        <w:jc w:val="both"/>
        <w:rPr>
          <w:rFonts w:ascii="Arial" w:eastAsia="Times New Roman" w:hAnsi="Arial" w:cs="Arial"/>
          <w:lang w:val="x-none" w:eastAsia="zh-CN"/>
        </w:rPr>
      </w:pPr>
      <w:r w:rsidRPr="003B5F37">
        <w:rPr>
          <w:rFonts w:ascii="Arial" w:eastAsia="Times New Roman" w:hAnsi="Arial" w:cs="Arial"/>
          <w:lang w:val="x-none" w:eastAsia="zh-CN"/>
        </w:rPr>
        <w:t>Efectele asupra valorilor de patrimoniu şi turistice, ca urmare a necesităţii de integrare într-o oferta culturală şi de identitate mai largă.</w:t>
      </w:r>
    </w:p>
    <w:p w14:paraId="26A20D71" w14:textId="77777777" w:rsidR="003B5F37" w:rsidRPr="003B5F37" w:rsidRDefault="003B5F37" w:rsidP="003B5F37">
      <w:pPr>
        <w:rPr>
          <w:rFonts w:ascii="Calibri" w:hAnsi="Calibri" w:cs="Times New Roman"/>
          <w:lang w:val="fr-FR"/>
        </w:rPr>
      </w:pPr>
    </w:p>
    <w:p w14:paraId="0B9A241C" w14:textId="77777777" w:rsidR="003B5F37" w:rsidRPr="003B5F37" w:rsidRDefault="003B5F37" w:rsidP="003B5F37"/>
    <w:p w14:paraId="3367F1DB" w14:textId="77777777" w:rsidR="00D70AEA" w:rsidRDefault="00D70AEA" w:rsidP="003430C5">
      <w:pPr>
        <w:pStyle w:val="Titlu2"/>
        <w:rPr>
          <w:rFonts w:ascii="Arial" w:eastAsia="Times New Roman" w:hAnsi="Arial" w:cs="Arial"/>
          <w:b/>
          <w:bCs/>
          <w:color w:val="auto"/>
          <w:sz w:val="24"/>
          <w:szCs w:val="24"/>
          <w:lang w:val="it-IT" w:eastAsia="ro-RO"/>
        </w:rPr>
      </w:pPr>
      <w:bookmarkStart w:id="354" w:name="_Toc142039088"/>
      <w:r w:rsidRPr="003430C5">
        <w:rPr>
          <w:rFonts w:ascii="Arial" w:eastAsia="Times New Roman" w:hAnsi="Arial" w:cs="Arial"/>
          <w:b/>
          <w:bCs/>
          <w:color w:val="auto"/>
          <w:sz w:val="24"/>
          <w:szCs w:val="24"/>
          <w:lang w:val="it-IT" w:eastAsia="ro-RO"/>
        </w:rPr>
        <w:t>I.4.3</w:t>
      </w:r>
      <w:r w:rsidR="003430C5" w:rsidRP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Accesibilitate</w:t>
      </w:r>
      <w:bookmarkEnd w:id="347"/>
      <w:bookmarkEnd w:id="354"/>
    </w:p>
    <w:p w14:paraId="35B6346D"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În principiu, procesul de planificare a mobilităţii urbane durabile trebuie să fie adaptat la situaţia locală. Aceasta include ca pas esențial, definirea scopului geografic al planului, scop care în mod ideal ar trebui să vizeze o aglomerare urbanǎ funcţionalǎ. Ca regulǎ generalǎ, PMUD trebuie să facă referire la teritoriul specific pe care se va implementa. Orice definiţie s-ar utiliza pentru „aglomerarea urbanǎ” vor exista probabil obiecții mai mult sau mai puțin îndreptǎțite; mai mult: nu este postulat sau demonstrat undeva în literatura de specialitate cǎ teritoriul specific asupra cǎruia se vor exercita acțiunile cuprinse în planul de mobilitate este redus la „aglomerarea urbanǎ”.</w:t>
      </w:r>
    </w:p>
    <w:p w14:paraId="2A061995" w14:textId="77777777" w:rsidR="00FF62BD" w:rsidRPr="00FF62BD" w:rsidRDefault="00FF62BD" w:rsidP="00FF62BD">
      <w:pPr>
        <w:suppressAutoHyphens/>
        <w:autoSpaceDE w:val="0"/>
        <w:spacing w:after="0" w:line="360" w:lineRule="auto"/>
        <w:jc w:val="center"/>
        <w:rPr>
          <w:rFonts w:ascii="Arial" w:eastAsia="Calibri" w:hAnsi="Arial" w:cs="Arial"/>
          <w:color w:val="000000"/>
          <w:sz w:val="24"/>
          <w:szCs w:val="24"/>
          <w:lang w:val="es-ES" w:eastAsia="zh-CN"/>
        </w:rPr>
      </w:pPr>
    </w:p>
    <w:p w14:paraId="471036C1"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 xml:space="preserve">O justificare matematicǎ a necesitǎții extinderii ariei geografice poate fi adusǎ analizând pe rând centrul aglomerǎrii urbane și adiacenta aceleiași aglomerǎri urbane. </w:t>
      </w:r>
    </w:p>
    <w:p w14:paraId="54116AD8"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p>
    <w:p w14:paraId="3B3CCD6A" w14:textId="77777777" w:rsidR="00FF62BD" w:rsidRPr="00FF62BD" w:rsidRDefault="00FF62BD" w:rsidP="00FF62BD">
      <w:pPr>
        <w:widowControl w:val="0"/>
        <w:suppressAutoHyphens/>
        <w:spacing w:after="0" w:line="276" w:lineRule="auto"/>
        <w:jc w:val="both"/>
        <w:rPr>
          <w:rFonts w:ascii="Arial" w:hAnsi="Arial" w:cs="Arial"/>
          <w:kern w:val="1"/>
          <w:lang w:val="es-ES" w:eastAsia="zh-CN" w:bidi="hi-IN"/>
        </w:rPr>
      </w:pPr>
      <w:r w:rsidRPr="00FF62BD">
        <w:rPr>
          <w:rFonts w:ascii="Arial" w:hAnsi="Arial" w:cs="Arial"/>
          <w:kern w:val="1"/>
          <w:lang w:val="es-ES" w:eastAsia="zh-CN" w:bidi="hi-IN"/>
        </w:rPr>
        <w:t>Cele mai multe probleme pentru dezvoltarea unei mobilităţii urbane durabile la nivelul oricǎrui oras (inclusiv Horezu) rezidă din faptul că raportul ariei străzilor faţă de aria activă a oraşului este de câteva ori mai mic decât al altor metropole europene, în condiţiile absenţei cvasitotale a parcărilor în afara străzii şi a unui grad de motorizare în continuă creştere. Cu insistenţă trebuie relevată soluţia de protejare a centrului oraşului şi a arterelor pe care se manifestă efectul de canion de pe axele principale care se încrucişează în punctul zero al oraşului.</w:t>
      </w:r>
    </w:p>
    <w:p w14:paraId="26A13965" w14:textId="77777777" w:rsidR="00FF62BD" w:rsidRPr="00FF62BD" w:rsidRDefault="00FF62BD" w:rsidP="00FF62BD">
      <w:pPr>
        <w:widowControl w:val="0"/>
        <w:suppressAutoHyphens/>
        <w:spacing w:after="0" w:line="360" w:lineRule="auto"/>
        <w:jc w:val="both"/>
        <w:rPr>
          <w:rFonts w:ascii="Arial" w:hAnsi="Arial" w:cs="Arial"/>
          <w:color w:val="FF0000"/>
          <w:kern w:val="1"/>
          <w:sz w:val="24"/>
          <w:szCs w:val="24"/>
          <w:lang w:val="es-ES" w:eastAsia="zh-CN" w:bidi="hi-IN"/>
        </w:rPr>
      </w:pPr>
    </w:p>
    <w:p w14:paraId="1223A206" w14:textId="77777777" w:rsidR="00FF62BD" w:rsidRPr="00FF62BD" w:rsidRDefault="00FF62BD" w:rsidP="00FF62BD">
      <w:pPr>
        <w:widowControl w:val="0"/>
        <w:suppressAutoHyphens/>
        <w:spacing w:after="0" w:line="276" w:lineRule="auto"/>
        <w:jc w:val="both"/>
        <w:rPr>
          <w:rFonts w:ascii="Arial" w:hAnsi="Arial" w:cs="Arial"/>
          <w:kern w:val="1"/>
          <w:lang w:val="es-ES" w:eastAsia="hi-IN" w:bidi="hi-IN"/>
        </w:rPr>
      </w:pPr>
      <w:r w:rsidRPr="00FF62BD">
        <w:rPr>
          <w:rFonts w:ascii="Arial" w:hAnsi="Arial" w:cs="Arial"/>
          <w:kern w:val="1"/>
          <w:lang w:val="es-ES" w:eastAsia="hi-IN" w:bidi="hi-IN"/>
        </w:rPr>
        <w:t>Următoarea demonstraţie simplificatoare poate îndepărta neîncrederea fațǎ de afirmația de mai sus; fie trei zone concentrice pe care se încearcă păstrarea constantǎ a suprafeţelor alocate căilor (în fond, deplasării).</w:t>
      </w:r>
    </w:p>
    <w:p w14:paraId="7C0B7AD8" w14:textId="77777777" w:rsidR="00FF62BD" w:rsidRPr="00FF62BD" w:rsidRDefault="00FF62BD" w:rsidP="00FF62BD">
      <w:pPr>
        <w:widowControl w:val="0"/>
        <w:suppressAutoHyphens/>
        <w:spacing w:after="0" w:line="276" w:lineRule="auto"/>
        <w:jc w:val="both"/>
        <w:rPr>
          <w:rFonts w:ascii="Arial" w:hAnsi="Arial" w:cs="Arial"/>
          <w:kern w:val="1"/>
          <w:lang w:val="es-ES" w:eastAsia="hi-IN" w:bidi="hi-IN"/>
        </w:rPr>
      </w:pPr>
    </w:p>
    <w:p w14:paraId="5F74B949" w14:textId="77777777" w:rsidR="00FF62BD" w:rsidRPr="00FF62BD" w:rsidRDefault="00FF62BD" w:rsidP="00FF62BD">
      <w:pPr>
        <w:widowControl w:val="0"/>
        <w:suppressAutoHyphens/>
        <w:spacing w:after="0" w:line="276" w:lineRule="auto"/>
        <w:jc w:val="both"/>
        <w:rPr>
          <w:rFonts w:ascii="Arial" w:hAnsi="Arial" w:cs="Mangal"/>
          <w:kern w:val="1"/>
          <w:lang w:val="es-ES" w:eastAsia="hi-IN" w:bidi="hi-IN"/>
        </w:rPr>
      </w:pPr>
      <w:r w:rsidRPr="00FF62BD">
        <w:rPr>
          <w:rFonts w:ascii="Arial" w:hAnsi="Arial" w:cs="Arial"/>
          <w:kern w:val="1"/>
          <w:lang w:val="es-ES" w:eastAsia="hi-IN" w:bidi="hi-IN"/>
        </w:rPr>
        <w:t>Dacǎ în zona exterioară este alocată, de pildǎ, o cotă de 10% pentru căile de comunicaţie, această suprafaţă reprezintă matematic:</w:t>
      </w:r>
    </w:p>
    <w:p w14:paraId="1BF51970" w14:textId="77777777" w:rsidR="00FF62BD" w:rsidRPr="00FF62BD" w:rsidRDefault="00FF62BD" w:rsidP="00FF62BD">
      <w:pPr>
        <w:widowControl w:val="0"/>
        <w:suppressAutoHyphens/>
        <w:spacing w:after="0" w:line="360" w:lineRule="auto"/>
        <w:ind w:left="1440" w:firstLine="720"/>
        <w:jc w:val="both"/>
        <w:rPr>
          <w:rFonts w:ascii="Arial" w:hAnsi="Arial" w:cs="Arial"/>
          <w:kern w:val="1"/>
          <w:sz w:val="24"/>
          <w:szCs w:val="24"/>
          <w:lang w:val="ro-RO" w:eastAsia="hi-IN" w:bidi="hi-IN"/>
        </w:rPr>
      </w:pPr>
      <w:r w:rsidRPr="00FF62BD">
        <w:rPr>
          <w:rFonts w:ascii="Arial" w:hAnsi="Arial" w:cs="Mangal"/>
          <w:noProof/>
          <w:kern w:val="1"/>
          <w:position w:val="-3"/>
          <w:sz w:val="24"/>
          <w:szCs w:val="24"/>
        </w:rPr>
        <w:drawing>
          <wp:inline distT="0" distB="0" distL="0" distR="0" wp14:anchorId="159F8AF7" wp14:editId="24A2F408">
            <wp:extent cx="1605280" cy="19113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605280" cy="191135"/>
                    </a:xfrm>
                    <a:prstGeom prst="rect">
                      <a:avLst/>
                    </a:prstGeom>
                    <a:solidFill>
                      <a:srgbClr val="FFFFFF"/>
                    </a:solidFill>
                    <a:ln>
                      <a:noFill/>
                    </a:ln>
                  </pic:spPr>
                </pic:pic>
              </a:graphicData>
            </a:graphic>
          </wp:inline>
        </w:drawing>
      </w:r>
    </w:p>
    <w:p w14:paraId="24DD9117" w14:textId="77777777" w:rsidR="00FF62BD" w:rsidRPr="00FF62BD" w:rsidRDefault="00FF62BD" w:rsidP="00FF62BD">
      <w:pPr>
        <w:widowControl w:val="0"/>
        <w:suppressAutoHyphens/>
        <w:spacing w:after="0" w:line="276" w:lineRule="auto"/>
        <w:jc w:val="both"/>
        <w:rPr>
          <w:rFonts w:ascii="Arial" w:hAnsi="Arial" w:cs="Arial"/>
          <w:kern w:val="1"/>
          <w:lang w:val="ro-RO" w:eastAsia="hi-IN" w:bidi="hi-IN"/>
        </w:rPr>
      </w:pPr>
    </w:p>
    <w:p w14:paraId="6313EA0F" w14:textId="77777777" w:rsidR="00FF62BD" w:rsidRPr="00FF62BD" w:rsidRDefault="00FF62BD" w:rsidP="00FF62BD">
      <w:pPr>
        <w:widowControl w:val="0"/>
        <w:suppressAutoHyphens/>
        <w:spacing w:after="0" w:line="276" w:lineRule="auto"/>
        <w:jc w:val="both"/>
        <w:rPr>
          <w:rFonts w:ascii="Arial" w:hAnsi="Arial" w:cs="Arial"/>
          <w:kern w:val="1"/>
          <w:lang w:val="es-ES" w:eastAsia="hi-IN" w:bidi="hi-IN"/>
        </w:rPr>
      </w:pPr>
      <w:r w:rsidRPr="00FF62BD">
        <w:rPr>
          <w:rFonts w:ascii="Arial" w:hAnsi="Arial" w:cs="Arial"/>
          <w:kern w:val="1"/>
          <w:lang w:val="es-ES" w:eastAsia="hi-IN" w:bidi="hi-IN"/>
        </w:rPr>
        <w:t>La limitǎ, egalând valoarea de mai sus cu suprafaţa zonei centrale, se obţine:</w:t>
      </w:r>
    </w:p>
    <w:p w14:paraId="0E071EF7" w14:textId="77777777" w:rsidR="00FF62BD" w:rsidRPr="00FF62BD" w:rsidRDefault="00FF62BD" w:rsidP="00FF62BD">
      <w:pPr>
        <w:widowControl w:val="0"/>
        <w:suppressAutoHyphens/>
        <w:spacing w:after="0" w:line="360" w:lineRule="auto"/>
        <w:jc w:val="both"/>
        <w:rPr>
          <w:rFonts w:ascii="Arial" w:hAnsi="Arial" w:cs="Mangal"/>
          <w:kern w:val="1"/>
          <w:sz w:val="24"/>
          <w:szCs w:val="24"/>
          <w:lang w:eastAsia="hi-IN" w:bidi="hi-IN"/>
        </w:rPr>
      </w:pPr>
      <w:r w:rsidRPr="00FF62BD">
        <w:rPr>
          <w:rFonts w:ascii="Arial" w:hAnsi="Arial" w:cs="Mangal"/>
          <w:noProof/>
          <w:kern w:val="1"/>
          <w:sz w:val="20"/>
          <w:szCs w:val="24"/>
        </w:rPr>
        <w:lastRenderedPageBreak/>
        <mc:AlternateContent>
          <mc:Choice Requires="wpg">
            <w:drawing>
              <wp:anchor distT="0" distB="0" distL="0" distR="0" simplePos="0" relativeHeight="251664896" behindDoc="0" locked="0" layoutInCell="1" allowOverlap="1" wp14:anchorId="1A78A9A1" wp14:editId="22104D59">
                <wp:simplePos x="0" y="0"/>
                <wp:positionH relativeFrom="column">
                  <wp:posOffset>640715</wp:posOffset>
                </wp:positionH>
                <wp:positionV relativeFrom="paragraph">
                  <wp:posOffset>400050</wp:posOffset>
                </wp:positionV>
                <wp:extent cx="4552950" cy="3053080"/>
                <wp:effectExtent l="0" t="0" r="0" b="0"/>
                <wp:wrapTopAndBottom/>
                <wp:docPr id="286" name="Group 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52950" cy="3053080"/>
                          <a:chOff x="908" y="-393"/>
                          <a:chExt cx="8783" cy="5520"/>
                        </a:xfrm>
                      </wpg:grpSpPr>
                      <wps:wsp>
                        <wps:cNvPr id="2071" name="Oval 3"/>
                        <wps:cNvSpPr>
                          <a:spLocks noChangeArrowheads="1"/>
                        </wps:cNvSpPr>
                        <wps:spPr bwMode="auto">
                          <a:xfrm>
                            <a:off x="2492" y="-393"/>
                            <a:ext cx="5039" cy="4751"/>
                          </a:xfrm>
                          <a:prstGeom prst="ellipse">
                            <a:avLst/>
                          </a:prstGeom>
                          <a:solidFill>
                            <a:srgbClr val="FFFFFF"/>
                          </a:solidFill>
                          <a:ln w="1908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072" name="Oval 4"/>
                        <wps:cNvSpPr>
                          <a:spLocks noChangeArrowheads="1"/>
                        </wps:cNvSpPr>
                        <wps:spPr bwMode="auto">
                          <a:xfrm>
                            <a:off x="4220" y="1190"/>
                            <a:ext cx="1583" cy="1526"/>
                          </a:xfrm>
                          <a:prstGeom prst="ellipse">
                            <a:avLst/>
                          </a:prstGeom>
                          <a:solidFill>
                            <a:srgbClr val="C0C0C0"/>
                          </a:solidFill>
                          <a:ln w="1908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073" name="Freeform 5"/>
                        <wps:cNvSpPr>
                          <a:spLocks/>
                        </wps:cNvSpPr>
                        <wps:spPr bwMode="auto">
                          <a:xfrm>
                            <a:off x="5057" y="2037"/>
                            <a:ext cx="239" cy="584"/>
                          </a:xfrm>
                          <a:custGeom>
                            <a:avLst/>
                            <a:gdLst>
                              <a:gd name="T0" fmla="*/ 0 w 240"/>
                              <a:gd name="T1" fmla="*/ 0 h 585"/>
                              <a:gd name="T2" fmla="*/ 240 w 240"/>
                              <a:gd name="T3" fmla="*/ 585 h 585"/>
                            </a:gdLst>
                            <a:ahLst/>
                            <a:cxnLst>
                              <a:cxn ang="0">
                                <a:pos x="T0" y="T1"/>
                              </a:cxn>
                              <a:cxn ang="0">
                                <a:pos x="T2" y="T3"/>
                              </a:cxn>
                            </a:cxnLst>
                            <a:rect l="0" t="0" r="r" b="b"/>
                            <a:pathLst>
                              <a:path w="240" h="585">
                                <a:moveTo>
                                  <a:pt x="0" y="0"/>
                                </a:moveTo>
                                <a:lnTo>
                                  <a:pt x="240" y="585"/>
                                </a:lnTo>
                              </a:path>
                            </a:pathLst>
                          </a:custGeom>
                          <a:noFill/>
                          <a:ln w="19080" cap="sq">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074" name="Text Box 6"/>
                        <wps:cNvSpPr txBox="1">
                          <a:spLocks noChangeArrowheads="1"/>
                        </wps:cNvSpPr>
                        <wps:spPr bwMode="auto">
                          <a:xfrm>
                            <a:off x="7676" y="1622"/>
                            <a:ext cx="1580" cy="546"/>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4BF4A4" w14:textId="77777777" w:rsidR="00C36A80" w:rsidRDefault="00C36A80" w:rsidP="00FF62BD">
                              <w:pPr>
                                <w:rPr>
                                  <w:rFonts w:eastAsia="Times New Roman" w:cs="Arial"/>
                                  <w:szCs w:val="20"/>
                                </w:rPr>
                              </w:pPr>
                              <w:r>
                                <w:rPr>
                                  <w:rFonts w:eastAsia="Times New Roman" w:cs="Arial"/>
                                  <w:szCs w:val="20"/>
                                </w:rPr>
                                <w:t>R=1,6 km</w:t>
                              </w:r>
                            </w:p>
                          </w:txbxContent>
                        </wps:txbx>
                        <wps:bodyPr rot="0" vert="horz" wrap="square" lIns="91440" tIns="45720" rIns="91440" bIns="45720" anchor="t" anchorCtr="0">
                          <a:noAutofit/>
                        </wps:bodyPr>
                      </wps:wsp>
                      <wps:wsp>
                        <wps:cNvPr id="2075" name="Text Box 7"/>
                        <wps:cNvSpPr txBox="1">
                          <a:spLocks noChangeArrowheads="1"/>
                        </wps:cNvSpPr>
                        <wps:spPr bwMode="auto">
                          <a:xfrm>
                            <a:off x="2780" y="902"/>
                            <a:ext cx="1352" cy="480"/>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7F87D9A" w14:textId="77777777" w:rsidR="00C36A80" w:rsidRDefault="00C36A80" w:rsidP="00FF62BD">
                              <w:pPr>
                                <w:rPr>
                                  <w:rFonts w:eastAsia="Times New Roman" w:cs="Arial"/>
                                  <w:szCs w:val="20"/>
                                </w:rPr>
                              </w:pPr>
                              <w:r>
                                <w:rPr>
                                  <w:rFonts w:eastAsia="Times New Roman" w:cs="Arial"/>
                                  <w:szCs w:val="20"/>
                                </w:rPr>
                                <w:t>r=0,8 km</w:t>
                              </w:r>
                            </w:p>
                          </w:txbxContent>
                        </wps:txbx>
                        <wps:bodyPr rot="0" vert="horz" wrap="square" lIns="91440" tIns="45720" rIns="91440" bIns="45720" anchor="t" anchorCtr="0">
                          <a:noAutofit/>
                        </wps:bodyPr>
                      </wps:wsp>
                      <wps:wsp>
                        <wps:cNvPr id="2076" name="Text Box 8"/>
                        <wps:cNvSpPr txBox="1">
                          <a:spLocks noChangeArrowheads="1"/>
                        </wps:cNvSpPr>
                        <wps:spPr bwMode="auto">
                          <a:xfrm>
                            <a:off x="4508" y="2077"/>
                            <a:ext cx="431" cy="409"/>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2835F0" w14:textId="77777777" w:rsidR="00C36A80" w:rsidRPr="0038047E" w:rsidRDefault="00C36A80" w:rsidP="00FF62BD">
                              <w:pPr>
                                <w:rPr>
                                  <w:rFonts w:ascii="Symbol" w:eastAsia="Times New Roman" w:hAnsi="Symbol" w:cs="Times New Roman"/>
                                  <w:sz w:val="16"/>
                                  <w:szCs w:val="16"/>
                                  <w:lang w:val="ro-RO"/>
                                </w:rPr>
                              </w:pPr>
                              <w:r w:rsidRPr="0038047E">
                                <w:rPr>
                                  <w:rFonts w:ascii="Symbol" w:eastAsia="Times New Roman" w:hAnsi="Symbol" w:cs="Times New Roman"/>
                                  <w:sz w:val="16"/>
                                  <w:szCs w:val="16"/>
                                  <w:lang w:val="ro-RO"/>
                                </w:rPr>
                                <w:t></w:t>
                              </w:r>
                            </w:p>
                          </w:txbxContent>
                        </wps:txbx>
                        <wps:bodyPr rot="0" vert="horz" wrap="square" lIns="91440" tIns="45720" rIns="91440" bIns="45720" anchor="t" anchorCtr="0">
                          <a:noAutofit/>
                        </wps:bodyPr>
                      </wps:wsp>
                      <wps:wsp>
                        <wps:cNvPr id="2077" name="Text Box 9"/>
                        <wps:cNvSpPr txBox="1">
                          <a:spLocks noChangeArrowheads="1"/>
                        </wps:cNvSpPr>
                        <wps:spPr bwMode="auto">
                          <a:xfrm>
                            <a:off x="7820" y="544"/>
                            <a:ext cx="1871" cy="838"/>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CE29EA" w14:textId="77777777" w:rsidR="00C36A80" w:rsidRDefault="00C36A80" w:rsidP="00FF62BD">
                              <w:pPr>
                                <w:spacing w:after="0" w:line="240" w:lineRule="auto"/>
                                <w:rPr>
                                  <w:rFonts w:eastAsia="Times New Roman" w:cs="Arial"/>
                                  <w:szCs w:val="20"/>
                                </w:rPr>
                              </w:pPr>
                              <w:r>
                                <w:rPr>
                                  <w:rFonts w:eastAsia="Times New Roman" w:cs="Arial"/>
                                  <w:szCs w:val="20"/>
                                </w:rPr>
                                <w:t xml:space="preserve">Zona </w:t>
                              </w:r>
                            </w:p>
                            <w:p w14:paraId="7F2ABEE9" w14:textId="77777777" w:rsidR="00C36A80" w:rsidRDefault="00C36A80" w:rsidP="00FF62BD">
                              <w:pPr>
                                <w:spacing w:after="0"/>
                                <w:rPr>
                                  <w:rFonts w:eastAsia="Times New Roman" w:cs="Arial"/>
                                  <w:szCs w:val="20"/>
                                </w:rPr>
                              </w:pPr>
                              <w:r>
                                <w:rPr>
                                  <w:rFonts w:eastAsia="Times New Roman" w:cs="Arial"/>
                                  <w:szCs w:val="20"/>
                                </w:rPr>
                                <w:t>exterioarǎ</w:t>
                              </w:r>
                            </w:p>
                          </w:txbxContent>
                        </wps:txbx>
                        <wps:bodyPr rot="0" vert="horz" wrap="square" lIns="91440" tIns="45720" rIns="91440" bIns="45720" anchor="t" anchorCtr="0">
                          <a:noAutofit/>
                        </wps:bodyPr>
                      </wps:wsp>
                      <wps:wsp>
                        <wps:cNvPr id="2078" name="AutoShape 10"/>
                        <wps:cNvSpPr>
                          <a:spLocks noChangeArrowheads="1"/>
                        </wps:cNvSpPr>
                        <wps:spPr bwMode="auto">
                          <a:xfrm flipH="1">
                            <a:off x="4076" y="902"/>
                            <a:ext cx="1871" cy="1439"/>
                          </a:xfrm>
                          <a:custGeom>
                            <a:avLst/>
                            <a:gdLst>
                              <a:gd name="G0" fmla="+- 7316 0 0"/>
                              <a:gd name="G1" fmla="+- -10135394 0 0"/>
                              <a:gd name="G2" fmla="+- 0 0 -10135394"/>
                              <a:gd name="T0" fmla="*/ 0 256 1"/>
                              <a:gd name="T1" fmla="*/ 180 256 1"/>
                              <a:gd name="G3" fmla="+- -10135394 T0 T1"/>
                              <a:gd name="T2" fmla="*/ 0 256 1"/>
                              <a:gd name="T3" fmla="*/ 90 256 1"/>
                              <a:gd name="G4" fmla="+- -10135394 T2 T3"/>
                              <a:gd name="G5" fmla="*/ G4 2 1"/>
                              <a:gd name="T4" fmla="*/ 90 256 1"/>
                              <a:gd name="T5" fmla="*/ 0 256 1"/>
                              <a:gd name="G6" fmla="+- -10135394 T4 T5"/>
                              <a:gd name="G7" fmla="*/ G6 2 1"/>
                              <a:gd name="G8" fmla="abs -10135394"/>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7316"/>
                              <a:gd name="G18" fmla="*/ 7316 1 2"/>
                              <a:gd name="G19" fmla="+- G18 5400 0"/>
                              <a:gd name="G20" fmla="cos G19 -10135394"/>
                              <a:gd name="G21" fmla="sin G19 -10135394"/>
                              <a:gd name="G22" fmla="+- G20 10800 0"/>
                              <a:gd name="G23" fmla="+- G21 10800 0"/>
                              <a:gd name="G24" fmla="+- 10800 0 G20"/>
                              <a:gd name="G25" fmla="+- 7316 10800 0"/>
                              <a:gd name="G26" fmla="?: G9 G17 G25"/>
                              <a:gd name="G27" fmla="?: G9 0 21600"/>
                              <a:gd name="G28" fmla="cos 10800 -10135394"/>
                              <a:gd name="G29" fmla="sin 10800 -10135394"/>
                              <a:gd name="G30" fmla="sin 7316 -10135394"/>
                              <a:gd name="G31" fmla="+- G28 10800 0"/>
                              <a:gd name="G32" fmla="+- G29 10800 0"/>
                              <a:gd name="G33" fmla="+- G30 10800 0"/>
                              <a:gd name="G34" fmla="?: G4 0 G31"/>
                              <a:gd name="G35" fmla="?: -10135394 G34 0"/>
                              <a:gd name="G36" fmla="?: G6 G35 G31"/>
                              <a:gd name="G37" fmla="+- 21600 0 G36"/>
                              <a:gd name="G38" fmla="?: G4 0 G33"/>
                              <a:gd name="G39" fmla="?: -10135394 G38 G32"/>
                              <a:gd name="G40" fmla="?: G6 G39 0"/>
                              <a:gd name="G41" fmla="?: G4 G32 21600"/>
                              <a:gd name="G42" fmla="?: G6 G41 G33"/>
                              <a:gd name="T12" fmla="*/ 10800 w 21600"/>
                              <a:gd name="T13" fmla="*/ 0 h 21600"/>
                              <a:gd name="T14" fmla="*/ 2613 w 21600"/>
                              <a:gd name="T15" fmla="*/ 6922 h 21600"/>
                              <a:gd name="T16" fmla="*/ 10800 w 21600"/>
                              <a:gd name="T17" fmla="*/ 3484 h 21600"/>
                              <a:gd name="T18" fmla="*/ 18987 w 21600"/>
                              <a:gd name="T19" fmla="*/ 6922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188" y="7668"/>
                                </a:moveTo>
                                <a:cubicBezTo>
                                  <a:pt x="5398" y="5113"/>
                                  <a:pt x="7972" y="3483"/>
                                  <a:pt x="10800" y="3484"/>
                                </a:cubicBezTo>
                                <a:cubicBezTo>
                                  <a:pt x="13627" y="3484"/>
                                  <a:pt x="16201" y="5113"/>
                                  <a:pt x="17411" y="7668"/>
                                </a:cubicBezTo>
                                <a:lnTo>
                                  <a:pt x="20560" y="6176"/>
                                </a:lnTo>
                                <a:cubicBezTo>
                                  <a:pt x="18773" y="2404"/>
                                  <a:pt x="14973" y="-1"/>
                                  <a:pt x="10799" y="0"/>
                                </a:cubicBezTo>
                                <a:cubicBezTo>
                                  <a:pt x="6626" y="0"/>
                                  <a:pt x="2826" y="2404"/>
                                  <a:pt x="1039" y="6176"/>
                                </a:cubicBezTo>
                                <a:close/>
                              </a:path>
                            </a:pathLst>
                          </a:cu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079" name="AutoShape 11"/>
                        <wps:cNvSpPr>
                          <a:spLocks noChangeArrowheads="1"/>
                        </wps:cNvSpPr>
                        <wps:spPr bwMode="auto">
                          <a:xfrm flipH="1" flipV="1">
                            <a:off x="4076" y="1623"/>
                            <a:ext cx="1871" cy="1439"/>
                          </a:xfrm>
                          <a:custGeom>
                            <a:avLst/>
                            <a:gdLst>
                              <a:gd name="G0" fmla="+- 7316 0 0"/>
                              <a:gd name="G1" fmla="+- -10135394 0 0"/>
                              <a:gd name="G2" fmla="+- 0 0 -10135394"/>
                              <a:gd name="T0" fmla="*/ 0 256 1"/>
                              <a:gd name="T1" fmla="*/ 180 256 1"/>
                              <a:gd name="G3" fmla="+- -10135394 T0 T1"/>
                              <a:gd name="T2" fmla="*/ 0 256 1"/>
                              <a:gd name="T3" fmla="*/ 90 256 1"/>
                              <a:gd name="G4" fmla="+- -10135394 T2 T3"/>
                              <a:gd name="G5" fmla="*/ G4 2 1"/>
                              <a:gd name="T4" fmla="*/ 90 256 1"/>
                              <a:gd name="T5" fmla="*/ 0 256 1"/>
                              <a:gd name="G6" fmla="+- -10135394 T4 T5"/>
                              <a:gd name="G7" fmla="*/ G6 2 1"/>
                              <a:gd name="G8" fmla="abs -10135394"/>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7316"/>
                              <a:gd name="G18" fmla="*/ 7316 1 2"/>
                              <a:gd name="G19" fmla="+- G18 5400 0"/>
                              <a:gd name="G20" fmla="cos G19 -10135394"/>
                              <a:gd name="G21" fmla="sin G19 -10135394"/>
                              <a:gd name="G22" fmla="+- G20 10800 0"/>
                              <a:gd name="G23" fmla="+- G21 10800 0"/>
                              <a:gd name="G24" fmla="+- 10800 0 G20"/>
                              <a:gd name="G25" fmla="+- 7316 10800 0"/>
                              <a:gd name="G26" fmla="?: G9 G17 G25"/>
                              <a:gd name="G27" fmla="?: G9 0 21600"/>
                              <a:gd name="G28" fmla="cos 10800 -10135394"/>
                              <a:gd name="G29" fmla="sin 10800 -10135394"/>
                              <a:gd name="G30" fmla="sin 7316 -10135394"/>
                              <a:gd name="G31" fmla="+- G28 10800 0"/>
                              <a:gd name="G32" fmla="+- G29 10800 0"/>
                              <a:gd name="G33" fmla="+- G30 10800 0"/>
                              <a:gd name="G34" fmla="?: G4 0 G31"/>
                              <a:gd name="G35" fmla="?: -10135394 G34 0"/>
                              <a:gd name="G36" fmla="?: G6 G35 G31"/>
                              <a:gd name="G37" fmla="+- 21600 0 G36"/>
                              <a:gd name="G38" fmla="?: G4 0 G33"/>
                              <a:gd name="G39" fmla="?: -10135394 G38 G32"/>
                              <a:gd name="G40" fmla="?: G6 G39 0"/>
                              <a:gd name="G41" fmla="?: G4 G32 21600"/>
                              <a:gd name="G42" fmla="?: G6 G41 G33"/>
                              <a:gd name="T12" fmla="*/ 10800 w 21600"/>
                              <a:gd name="T13" fmla="*/ 0 h 21600"/>
                              <a:gd name="T14" fmla="*/ 2613 w 21600"/>
                              <a:gd name="T15" fmla="*/ 6922 h 21600"/>
                              <a:gd name="T16" fmla="*/ 10800 w 21600"/>
                              <a:gd name="T17" fmla="*/ 3484 h 21600"/>
                              <a:gd name="T18" fmla="*/ 18987 w 21600"/>
                              <a:gd name="T19" fmla="*/ 6922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188" y="7668"/>
                                </a:moveTo>
                                <a:cubicBezTo>
                                  <a:pt x="5398" y="5113"/>
                                  <a:pt x="7972" y="3483"/>
                                  <a:pt x="10800" y="3484"/>
                                </a:cubicBezTo>
                                <a:cubicBezTo>
                                  <a:pt x="13627" y="3484"/>
                                  <a:pt x="16201" y="5113"/>
                                  <a:pt x="17411" y="7668"/>
                                </a:cubicBezTo>
                                <a:lnTo>
                                  <a:pt x="20560" y="6176"/>
                                </a:lnTo>
                                <a:cubicBezTo>
                                  <a:pt x="18773" y="2404"/>
                                  <a:pt x="14973" y="-1"/>
                                  <a:pt x="10799" y="0"/>
                                </a:cubicBezTo>
                                <a:cubicBezTo>
                                  <a:pt x="6626" y="0"/>
                                  <a:pt x="2826" y="2404"/>
                                  <a:pt x="1039" y="6176"/>
                                </a:cubicBezTo>
                                <a:close/>
                              </a:path>
                            </a:pathLst>
                          </a:cu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99" name="AutoShape 12"/>
                        <wps:cNvSpPr>
                          <a:spLocks noChangeArrowheads="1"/>
                        </wps:cNvSpPr>
                        <wps:spPr bwMode="auto">
                          <a:xfrm rot="5400000" flipH="1">
                            <a:off x="4652" y="1046"/>
                            <a:ext cx="1439" cy="1871"/>
                          </a:xfrm>
                          <a:custGeom>
                            <a:avLst/>
                            <a:gdLst>
                              <a:gd name="G0" fmla="+- 7316 0 0"/>
                              <a:gd name="G1" fmla="+- -10135394 0 0"/>
                              <a:gd name="G2" fmla="+- 0 0 -10135394"/>
                              <a:gd name="T0" fmla="*/ 0 256 1"/>
                              <a:gd name="T1" fmla="*/ 180 256 1"/>
                              <a:gd name="G3" fmla="+- -10135394 T0 T1"/>
                              <a:gd name="T2" fmla="*/ 0 256 1"/>
                              <a:gd name="T3" fmla="*/ 90 256 1"/>
                              <a:gd name="G4" fmla="+- -10135394 T2 T3"/>
                              <a:gd name="G5" fmla="*/ G4 2 1"/>
                              <a:gd name="T4" fmla="*/ 90 256 1"/>
                              <a:gd name="T5" fmla="*/ 0 256 1"/>
                              <a:gd name="G6" fmla="+- -10135394 T4 T5"/>
                              <a:gd name="G7" fmla="*/ G6 2 1"/>
                              <a:gd name="G8" fmla="abs -10135394"/>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7316"/>
                              <a:gd name="G18" fmla="*/ 7316 1 2"/>
                              <a:gd name="G19" fmla="+- G18 5400 0"/>
                              <a:gd name="G20" fmla="cos G19 -10135394"/>
                              <a:gd name="G21" fmla="sin G19 -10135394"/>
                              <a:gd name="G22" fmla="+- G20 10800 0"/>
                              <a:gd name="G23" fmla="+- G21 10800 0"/>
                              <a:gd name="G24" fmla="+- 10800 0 G20"/>
                              <a:gd name="G25" fmla="+- 7316 10800 0"/>
                              <a:gd name="G26" fmla="?: G9 G17 G25"/>
                              <a:gd name="G27" fmla="?: G9 0 21600"/>
                              <a:gd name="G28" fmla="cos 10800 -10135394"/>
                              <a:gd name="G29" fmla="sin 10800 -10135394"/>
                              <a:gd name="G30" fmla="sin 7316 -10135394"/>
                              <a:gd name="G31" fmla="+- G28 10800 0"/>
                              <a:gd name="G32" fmla="+- G29 10800 0"/>
                              <a:gd name="G33" fmla="+- G30 10800 0"/>
                              <a:gd name="G34" fmla="?: G4 0 G31"/>
                              <a:gd name="G35" fmla="?: -10135394 G34 0"/>
                              <a:gd name="G36" fmla="?: G6 G35 G31"/>
                              <a:gd name="G37" fmla="+- 21600 0 G36"/>
                              <a:gd name="G38" fmla="?: G4 0 G33"/>
                              <a:gd name="G39" fmla="?: -10135394 G38 G32"/>
                              <a:gd name="G40" fmla="?: G6 G39 0"/>
                              <a:gd name="G41" fmla="?: G4 G32 21600"/>
                              <a:gd name="G42" fmla="?: G6 G41 G33"/>
                              <a:gd name="T12" fmla="*/ 10800 w 21600"/>
                              <a:gd name="T13" fmla="*/ 0 h 21600"/>
                              <a:gd name="T14" fmla="*/ 2613 w 21600"/>
                              <a:gd name="T15" fmla="*/ 6922 h 21600"/>
                              <a:gd name="T16" fmla="*/ 10800 w 21600"/>
                              <a:gd name="T17" fmla="*/ 3484 h 21600"/>
                              <a:gd name="T18" fmla="*/ 18987 w 21600"/>
                              <a:gd name="T19" fmla="*/ 6922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188" y="7668"/>
                                </a:moveTo>
                                <a:cubicBezTo>
                                  <a:pt x="5398" y="5113"/>
                                  <a:pt x="7972" y="3483"/>
                                  <a:pt x="10800" y="3484"/>
                                </a:cubicBezTo>
                                <a:cubicBezTo>
                                  <a:pt x="13627" y="3484"/>
                                  <a:pt x="16201" y="5113"/>
                                  <a:pt x="17411" y="7668"/>
                                </a:cubicBezTo>
                                <a:lnTo>
                                  <a:pt x="20560" y="6176"/>
                                </a:lnTo>
                                <a:cubicBezTo>
                                  <a:pt x="18773" y="2404"/>
                                  <a:pt x="14973" y="-1"/>
                                  <a:pt x="10799" y="0"/>
                                </a:cubicBezTo>
                                <a:cubicBezTo>
                                  <a:pt x="6626" y="0"/>
                                  <a:pt x="2826" y="2404"/>
                                  <a:pt x="1039" y="6176"/>
                                </a:cubicBezTo>
                                <a:close/>
                              </a:path>
                            </a:pathLst>
                          </a:cu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00" name="AutoShape 13"/>
                        <wps:cNvSpPr>
                          <a:spLocks noChangeArrowheads="1"/>
                        </wps:cNvSpPr>
                        <wps:spPr bwMode="auto">
                          <a:xfrm rot="16200000" flipH="1">
                            <a:off x="3933" y="1046"/>
                            <a:ext cx="1439" cy="1871"/>
                          </a:xfrm>
                          <a:custGeom>
                            <a:avLst/>
                            <a:gdLst>
                              <a:gd name="G0" fmla="+- 7316 0 0"/>
                              <a:gd name="G1" fmla="+- -10135394 0 0"/>
                              <a:gd name="G2" fmla="+- 0 0 -10135394"/>
                              <a:gd name="T0" fmla="*/ 0 256 1"/>
                              <a:gd name="T1" fmla="*/ 180 256 1"/>
                              <a:gd name="G3" fmla="+- -10135394 T0 T1"/>
                              <a:gd name="T2" fmla="*/ 0 256 1"/>
                              <a:gd name="T3" fmla="*/ 90 256 1"/>
                              <a:gd name="G4" fmla="+- -10135394 T2 T3"/>
                              <a:gd name="G5" fmla="*/ G4 2 1"/>
                              <a:gd name="T4" fmla="*/ 90 256 1"/>
                              <a:gd name="T5" fmla="*/ 0 256 1"/>
                              <a:gd name="G6" fmla="+- -10135394 T4 T5"/>
                              <a:gd name="G7" fmla="*/ G6 2 1"/>
                              <a:gd name="G8" fmla="abs -10135394"/>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7316"/>
                              <a:gd name="G18" fmla="*/ 7316 1 2"/>
                              <a:gd name="G19" fmla="+- G18 5400 0"/>
                              <a:gd name="G20" fmla="cos G19 -10135394"/>
                              <a:gd name="G21" fmla="sin G19 -10135394"/>
                              <a:gd name="G22" fmla="+- G20 10800 0"/>
                              <a:gd name="G23" fmla="+- G21 10800 0"/>
                              <a:gd name="G24" fmla="+- 10800 0 G20"/>
                              <a:gd name="G25" fmla="+- 7316 10800 0"/>
                              <a:gd name="G26" fmla="?: G9 G17 G25"/>
                              <a:gd name="G27" fmla="?: G9 0 21600"/>
                              <a:gd name="G28" fmla="cos 10800 -10135394"/>
                              <a:gd name="G29" fmla="sin 10800 -10135394"/>
                              <a:gd name="G30" fmla="sin 7316 -10135394"/>
                              <a:gd name="G31" fmla="+- G28 10800 0"/>
                              <a:gd name="G32" fmla="+- G29 10800 0"/>
                              <a:gd name="G33" fmla="+- G30 10800 0"/>
                              <a:gd name="G34" fmla="?: G4 0 G31"/>
                              <a:gd name="G35" fmla="?: -10135394 G34 0"/>
                              <a:gd name="G36" fmla="?: G6 G35 G31"/>
                              <a:gd name="G37" fmla="+- 21600 0 G36"/>
                              <a:gd name="G38" fmla="?: G4 0 G33"/>
                              <a:gd name="G39" fmla="?: -10135394 G38 G32"/>
                              <a:gd name="G40" fmla="?: G6 G39 0"/>
                              <a:gd name="G41" fmla="?: G4 G32 21600"/>
                              <a:gd name="G42" fmla="?: G6 G41 G33"/>
                              <a:gd name="T12" fmla="*/ 10800 w 21600"/>
                              <a:gd name="T13" fmla="*/ 0 h 21600"/>
                              <a:gd name="T14" fmla="*/ 2613 w 21600"/>
                              <a:gd name="T15" fmla="*/ 6922 h 21600"/>
                              <a:gd name="T16" fmla="*/ 10800 w 21600"/>
                              <a:gd name="T17" fmla="*/ 3484 h 21600"/>
                              <a:gd name="T18" fmla="*/ 18987 w 21600"/>
                              <a:gd name="T19" fmla="*/ 6922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4188" y="7668"/>
                                </a:moveTo>
                                <a:cubicBezTo>
                                  <a:pt x="5398" y="5113"/>
                                  <a:pt x="7972" y="3483"/>
                                  <a:pt x="10800" y="3484"/>
                                </a:cubicBezTo>
                                <a:cubicBezTo>
                                  <a:pt x="13627" y="3484"/>
                                  <a:pt x="16201" y="5113"/>
                                  <a:pt x="17411" y="7668"/>
                                </a:cubicBezTo>
                                <a:lnTo>
                                  <a:pt x="20560" y="6176"/>
                                </a:lnTo>
                                <a:cubicBezTo>
                                  <a:pt x="18773" y="2404"/>
                                  <a:pt x="14973" y="-1"/>
                                  <a:pt x="10799" y="0"/>
                                </a:cubicBezTo>
                                <a:cubicBezTo>
                                  <a:pt x="6626" y="0"/>
                                  <a:pt x="2826" y="2404"/>
                                  <a:pt x="1039" y="6176"/>
                                </a:cubicBezTo>
                                <a:close/>
                              </a:path>
                            </a:pathLst>
                          </a:cu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01" name="AutoShape 14"/>
                        <wps:cNvSpPr>
                          <a:spLocks noChangeArrowheads="1"/>
                        </wps:cNvSpPr>
                        <wps:spPr bwMode="auto">
                          <a:xfrm>
                            <a:off x="3500" y="470"/>
                            <a:ext cx="3023" cy="1583"/>
                          </a:xfrm>
                          <a:custGeom>
                            <a:avLst/>
                            <a:gdLst>
                              <a:gd name="G0" fmla="+- 5448 0 0"/>
                              <a:gd name="G1" fmla="+- -10041336 0 0"/>
                              <a:gd name="G2" fmla="+- 0 0 -10041336"/>
                              <a:gd name="T0" fmla="*/ 0 256 1"/>
                              <a:gd name="T1" fmla="*/ 180 256 1"/>
                              <a:gd name="G3" fmla="+- -10041336 T0 T1"/>
                              <a:gd name="T2" fmla="*/ 0 256 1"/>
                              <a:gd name="T3" fmla="*/ 90 256 1"/>
                              <a:gd name="G4" fmla="+- -10041336 T2 T3"/>
                              <a:gd name="G5" fmla="*/ G4 2 1"/>
                              <a:gd name="T4" fmla="*/ 90 256 1"/>
                              <a:gd name="T5" fmla="*/ 0 256 1"/>
                              <a:gd name="G6" fmla="+- -10041336 T4 T5"/>
                              <a:gd name="G7" fmla="*/ G6 2 1"/>
                              <a:gd name="G8" fmla="abs -10041336"/>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448"/>
                              <a:gd name="G18" fmla="*/ 5448 1 2"/>
                              <a:gd name="G19" fmla="+- G18 5400 0"/>
                              <a:gd name="G20" fmla="cos G19 -10041336"/>
                              <a:gd name="G21" fmla="sin G19 -10041336"/>
                              <a:gd name="G22" fmla="+- G20 10800 0"/>
                              <a:gd name="G23" fmla="+- G21 10800 0"/>
                              <a:gd name="G24" fmla="+- 10800 0 G20"/>
                              <a:gd name="G25" fmla="+- 5448 10800 0"/>
                              <a:gd name="G26" fmla="?: G9 G17 G25"/>
                              <a:gd name="G27" fmla="?: G9 0 21600"/>
                              <a:gd name="G28" fmla="cos 10800 -10041336"/>
                              <a:gd name="G29" fmla="sin 10800 -10041336"/>
                              <a:gd name="G30" fmla="sin 5448 -10041336"/>
                              <a:gd name="G31" fmla="+- G28 10800 0"/>
                              <a:gd name="G32" fmla="+- G29 10800 0"/>
                              <a:gd name="G33" fmla="+- G30 10800 0"/>
                              <a:gd name="G34" fmla="?: G4 0 G31"/>
                              <a:gd name="G35" fmla="?: -10041336 G34 0"/>
                              <a:gd name="G36" fmla="?: G6 G35 G31"/>
                              <a:gd name="G37" fmla="+- 21600 0 G36"/>
                              <a:gd name="G38" fmla="?: G4 0 G33"/>
                              <a:gd name="G39" fmla="?: -10041336 G38 G32"/>
                              <a:gd name="G40" fmla="?: G6 G39 0"/>
                              <a:gd name="G41" fmla="?: G4 G32 21600"/>
                              <a:gd name="G42" fmla="?: G6 G41 G33"/>
                              <a:gd name="T12" fmla="*/ 10800 w 21600"/>
                              <a:gd name="T13" fmla="*/ 0 h 21600"/>
                              <a:gd name="T14" fmla="*/ 3547 w 21600"/>
                              <a:gd name="T15" fmla="*/ 7139 h 21600"/>
                              <a:gd name="T16" fmla="*/ 10800 w 21600"/>
                              <a:gd name="T17" fmla="*/ 5352 h 21600"/>
                              <a:gd name="T18" fmla="*/ 18053 w 21600"/>
                              <a:gd name="T19" fmla="*/ 713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936" y="8345"/>
                                </a:moveTo>
                                <a:cubicBezTo>
                                  <a:pt x="6862" y="6509"/>
                                  <a:pt x="8743" y="5351"/>
                                  <a:pt x="10800" y="5352"/>
                                </a:cubicBezTo>
                                <a:cubicBezTo>
                                  <a:pt x="12856" y="5352"/>
                                  <a:pt x="14737" y="6509"/>
                                  <a:pt x="15663" y="8345"/>
                                </a:cubicBezTo>
                                <a:lnTo>
                                  <a:pt x="20441" y="5933"/>
                                </a:lnTo>
                                <a:cubicBezTo>
                                  <a:pt x="18604" y="2294"/>
                                  <a:pt x="14876" y="-1"/>
                                  <a:pt x="10799" y="0"/>
                                </a:cubicBezTo>
                                <a:cubicBezTo>
                                  <a:pt x="6723" y="0"/>
                                  <a:pt x="2995" y="2294"/>
                                  <a:pt x="1158" y="5933"/>
                                </a:cubicBezTo>
                                <a:close/>
                              </a:path>
                            </a:pathLst>
                          </a:cu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02" name="AutoShape 15"/>
                        <wps:cNvSpPr>
                          <a:spLocks noChangeArrowheads="1"/>
                        </wps:cNvSpPr>
                        <wps:spPr bwMode="auto">
                          <a:xfrm flipV="1">
                            <a:off x="3500" y="1911"/>
                            <a:ext cx="3023" cy="1583"/>
                          </a:xfrm>
                          <a:custGeom>
                            <a:avLst/>
                            <a:gdLst>
                              <a:gd name="G0" fmla="+- 5448 0 0"/>
                              <a:gd name="G1" fmla="+- -10041336 0 0"/>
                              <a:gd name="G2" fmla="+- 0 0 -10041336"/>
                              <a:gd name="T0" fmla="*/ 0 256 1"/>
                              <a:gd name="T1" fmla="*/ 180 256 1"/>
                              <a:gd name="G3" fmla="+- -10041336 T0 T1"/>
                              <a:gd name="T2" fmla="*/ 0 256 1"/>
                              <a:gd name="T3" fmla="*/ 90 256 1"/>
                              <a:gd name="G4" fmla="+- -10041336 T2 T3"/>
                              <a:gd name="G5" fmla="*/ G4 2 1"/>
                              <a:gd name="T4" fmla="*/ 90 256 1"/>
                              <a:gd name="T5" fmla="*/ 0 256 1"/>
                              <a:gd name="G6" fmla="+- -10041336 T4 T5"/>
                              <a:gd name="G7" fmla="*/ G6 2 1"/>
                              <a:gd name="G8" fmla="abs -10041336"/>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448"/>
                              <a:gd name="G18" fmla="*/ 5448 1 2"/>
                              <a:gd name="G19" fmla="+- G18 5400 0"/>
                              <a:gd name="G20" fmla="cos G19 -10041336"/>
                              <a:gd name="G21" fmla="sin G19 -10041336"/>
                              <a:gd name="G22" fmla="+- G20 10800 0"/>
                              <a:gd name="G23" fmla="+- G21 10800 0"/>
                              <a:gd name="G24" fmla="+- 10800 0 G20"/>
                              <a:gd name="G25" fmla="+- 5448 10800 0"/>
                              <a:gd name="G26" fmla="?: G9 G17 G25"/>
                              <a:gd name="G27" fmla="?: G9 0 21600"/>
                              <a:gd name="G28" fmla="cos 10800 -10041336"/>
                              <a:gd name="G29" fmla="sin 10800 -10041336"/>
                              <a:gd name="G30" fmla="sin 5448 -10041336"/>
                              <a:gd name="G31" fmla="+- G28 10800 0"/>
                              <a:gd name="G32" fmla="+- G29 10800 0"/>
                              <a:gd name="G33" fmla="+- G30 10800 0"/>
                              <a:gd name="G34" fmla="?: G4 0 G31"/>
                              <a:gd name="G35" fmla="?: -10041336 G34 0"/>
                              <a:gd name="G36" fmla="?: G6 G35 G31"/>
                              <a:gd name="G37" fmla="+- 21600 0 G36"/>
                              <a:gd name="G38" fmla="?: G4 0 G33"/>
                              <a:gd name="G39" fmla="?: -10041336 G38 G32"/>
                              <a:gd name="G40" fmla="?: G6 G39 0"/>
                              <a:gd name="G41" fmla="?: G4 G32 21600"/>
                              <a:gd name="G42" fmla="?: G6 G41 G33"/>
                              <a:gd name="T12" fmla="*/ 10800 w 21600"/>
                              <a:gd name="T13" fmla="*/ 0 h 21600"/>
                              <a:gd name="T14" fmla="*/ 3547 w 21600"/>
                              <a:gd name="T15" fmla="*/ 7139 h 21600"/>
                              <a:gd name="T16" fmla="*/ 10800 w 21600"/>
                              <a:gd name="T17" fmla="*/ 5352 h 21600"/>
                              <a:gd name="T18" fmla="*/ 18053 w 21600"/>
                              <a:gd name="T19" fmla="*/ 713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936" y="8345"/>
                                </a:moveTo>
                                <a:cubicBezTo>
                                  <a:pt x="6862" y="6509"/>
                                  <a:pt x="8743" y="5351"/>
                                  <a:pt x="10800" y="5352"/>
                                </a:cubicBezTo>
                                <a:cubicBezTo>
                                  <a:pt x="12856" y="5352"/>
                                  <a:pt x="14737" y="6509"/>
                                  <a:pt x="15663" y="8345"/>
                                </a:cubicBezTo>
                                <a:lnTo>
                                  <a:pt x="20441" y="5933"/>
                                </a:lnTo>
                                <a:cubicBezTo>
                                  <a:pt x="18604" y="2294"/>
                                  <a:pt x="14876" y="-1"/>
                                  <a:pt x="10799" y="0"/>
                                </a:cubicBezTo>
                                <a:cubicBezTo>
                                  <a:pt x="6723" y="0"/>
                                  <a:pt x="2995" y="2294"/>
                                  <a:pt x="1158" y="5933"/>
                                </a:cubicBezTo>
                                <a:close/>
                              </a:path>
                            </a:pathLst>
                          </a:cu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03" name="AutoShape 16"/>
                        <wps:cNvSpPr>
                          <a:spLocks noChangeArrowheads="1"/>
                        </wps:cNvSpPr>
                        <wps:spPr bwMode="auto">
                          <a:xfrm rot="5400000">
                            <a:off x="4941" y="326"/>
                            <a:ext cx="1583" cy="3023"/>
                          </a:xfrm>
                          <a:custGeom>
                            <a:avLst/>
                            <a:gdLst>
                              <a:gd name="G0" fmla="+- 5448 0 0"/>
                              <a:gd name="G1" fmla="+- -10041336 0 0"/>
                              <a:gd name="G2" fmla="+- 0 0 -10041336"/>
                              <a:gd name="T0" fmla="*/ 0 256 1"/>
                              <a:gd name="T1" fmla="*/ 180 256 1"/>
                              <a:gd name="G3" fmla="+- -10041336 T0 T1"/>
                              <a:gd name="T2" fmla="*/ 0 256 1"/>
                              <a:gd name="T3" fmla="*/ 90 256 1"/>
                              <a:gd name="G4" fmla="+- -10041336 T2 T3"/>
                              <a:gd name="G5" fmla="*/ G4 2 1"/>
                              <a:gd name="T4" fmla="*/ 90 256 1"/>
                              <a:gd name="T5" fmla="*/ 0 256 1"/>
                              <a:gd name="G6" fmla="+- -10041336 T4 T5"/>
                              <a:gd name="G7" fmla="*/ G6 2 1"/>
                              <a:gd name="G8" fmla="abs -10041336"/>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448"/>
                              <a:gd name="G18" fmla="*/ 5448 1 2"/>
                              <a:gd name="G19" fmla="+- G18 5400 0"/>
                              <a:gd name="G20" fmla="cos G19 -10041336"/>
                              <a:gd name="G21" fmla="sin G19 -10041336"/>
                              <a:gd name="G22" fmla="+- G20 10800 0"/>
                              <a:gd name="G23" fmla="+- G21 10800 0"/>
                              <a:gd name="G24" fmla="+- 10800 0 G20"/>
                              <a:gd name="G25" fmla="+- 5448 10800 0"/>
                              <a:gd name="G26" fmla="?: G9 G17 G25"/>
                              <a:gd name="G27" fmla="?: G9 0 21600"/>
                              <a:gd name="G28" fmla="cos 10800 -10041336"/>
                              <a:gd name="G29" fmla="sin 10800 -10041336"/>
                              <a:gd name="G30" fmla="sin 5448 -10041336"/>
                              <a:gd name="G31" fmla="+- G28 10800 0"/>
                              <a:gd name="G32" fmla="+- G29 10800 0"/>
                              <a:gd name="G33" fmla="+- G30 10800 0"/>
                              <a:gd name="G34" fmla="?: G4 0 G31"/>
                              <a:gd name="G35" fmla="?: -10041336 G34 0"/>
                              <a:gd name="G36" fmla="?: G6 G35 G31"/>
                              <a:gd name="G37" fmla="+- 21600 0 G36"/>
                              <a:gd name="G38" fmla="?: G4 0 G33"/>
                              <a:gd name="G39" fmla="?: -10041336 G38 G32"/>
                              <a:gd name="G40" fmla="?: G6 G39 0"/>
                              <a:gd name="G41" fmla="?: G4 G32 21600"/>
                              <a:gd name="G42" fmla="?: G6 G41 G33"/>
                              <a:gd name="T12" fmla="*/ 10800 w 21600"/>
                              <a:gd name="T13" fmla="*/ 0 h 21600"/>
                              <a:gd name="T14" fmla="*/ 3547 w 21600"/>
                              <a:gd name="T15" fmla="*/ 7139 h 21600"/>
                              <a:gd name="T16" fmla="*/ 10800 w 21600"/>
                              <a:gd name="T17" fmla="*/ 5352 h 21600"/>
                              <a:gd name="T18" fmla="*/ 18053 w 21600"/>
                              <a:gd name="T19" fmla="*/ 713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936" y="8345"/>
                                </a:moveTo>
                                <a:cubicBezTo>
                                  <a:pt x="6862" y="6509"/>
                                  <a:pt x="8743" y="5351"/>
                                  <a:pt x="10800" y="5352"/>
                                </a:cubicBezTo>
                                <a:cubicBezTo>
                                  <a:pt x="12856" y="5352"/>
                                  <a:pt x="14737" y="6509"/>
                                  <a:pt x="15663" y="8345"/>
                                </a:cubicBezTo>
                                <a:lnTo>
                                  <a:pt x="20441" y="5933"/>
                                </a:lnTo>
                                <a:cubicBezTo>
                                  <a:pt x="18604" y="2294"/>
                                  <a:pt x="14876" y="-1"/>
                                  <a:pt x="10799" y="0"/>
                                </a:cubicBezTo>
                                <a:cubicBezTo>
                                  <a:pt x="6723" y="0"/>
                                  <a:pt x="2995" y="2294"/>
                                  <a:pt x="1158" y="5933"/>
                                </a:cubicBezTo>
                                <a:close/>
                              </a:path>
                            </a:pathLst>
                          </a:cu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04" name="AutoShape 17"/>
                        <wps:cNvSpPr>
                          <a:spLocks noChangeArrowheads="1"/>
                        </wps:cNvSpPr>
                        <wps:spPr bwMode="auto">
                          <a:xfrm rot="16200000">
                            <a:off x="3500" y="470"/>
                            <a:ext cx="1583" cy="3023"/>
                          </a:xfrm>
                          <a:custGeom>
                            <a:avLst/>
                            <a:gdLst>
                              <a:gd name="G0" fmla="+- 5448 0 0"/>
                              <a:gd name="G1" fmla="+- -10041336 0 0"/>
                              <a:gd name="G2" fmla="+- 0 0 -10041336"/>
                              <a:gd name="T0" fmla="*/ 0 256 1"/>
                              <a:gd name="T1" fmla="*/ 180 256 1"/>
                              <a:gd name="G3" fmla="+- -10041336 T0 T1"/>
                              <a:gd name="T2" fmla="*/ 0 256 1"/>
                              <a:gd name="T3" fmla="*/ 90 256 1"/>
                              <a:gd name="G4" fmla="+- -10041336 T2 T3"/>
                              <a:gd name="G5" fmla="*/ G4 2 1"/>
                              <a:gd name="T4" fmla="*/ 90 256 1"/>
                              <a:gd name="T5" fmla="*/ 0 256 1"/>
                              <a:gd name="G6" fmla="+- -10041336 T4 T5"/>
                              <a:gd name="G7" fmla="*/ G6 2 1"/>
                              <a:gd name="G8" fmla="abs -10041336"/>
                              <a:gd name="T6" fmla="*/ 0 256 1"/>
                              <a:gd name="T7" fmla="*/ 90 256 1"/>
                              <a:gd name="G9" fmla="+- G8 T6 T7"/>
                              <a:gd name="G10" fmla="?: G9 G7 G5"/>
                              <a:gd name="T8" fmla="*/ 0 256 1"/>
                              <a:gd name="T9" fmla="*/ 360 256 1"/>
                              <a:gd name="G11" fmla="+- G10 T8 T9"/>
                              <a:gd name="G12" fmla="?: G10 G11 G10"/>
                              <a:gd name="T10" fmla="*/ 0 256 1"/>
                              <a:gd name="T11" fmla="*/ 360 256 1"/>
                              <a:gd name="G13" fmla="+- G12 T10 T11"/>
                              <a:gd name="G14" fmla="?: G12 G13 G12"/>
                              <a:gd name="G15" fmla="+- 0 0 G14"/>
                              <a:gd name="G16" fmla="+- 10800 0 0"/>
                              <a:gd name="G17" fmla="+- 10800 0 5448"/>
                              <a:gd name="G18" fmla="*/ 5448 1 2"/>
                              <a:gd name="G19" fmla="+- G18 5400 0"/>
                              <a:gd name="G20" fmla="cos G19 -10041336"/>
                              <a:gd name="G21" fmla="sin G19 -10041336"/>
                              <a:gd name="G22" fmla="+- G20 10800 0"/>
                              <a:gd name="G23" fmla="+- G21 10800 0"/>
                              <a:gd name="G24" fmla="+- 10800 0 G20"/>
                              <a:gd name="G25" fmla="+- 5448 10800 0"/>
                              <a:gd name="G26" fmla="?: G9 G17 G25"/>
                              <a:gd name="G27" fmla="?: G9 0 21600"/>
                              <a:gd name="G28" fmla="cos 10800 -10041336"/>
                              <a:gd name="G29" fmla="sin 10800 -10041336"/>
                              <a:gd name="G30" fmla="sin 5448 -10041336"/>
                              <a:gd name="G31" fmla="+- G28 10800 0"/>
                              <a:gd name="G32" fmla="+- G29 10800 0"/>
                              <a:gd name="G33" fmla="+- G30 10800 0"/>
                              <a:gd name="G34" fmla="?: G4 0 G31"/>
                              <a:gd name="G35" fmla="?: -10041336 G34 0"/>
                              <a:gd name="G36" fmla="?: G6 G35 G31"/>
                              <a:gd name="G37" fmla="+- 21600 0 G36"/>
                              <a:gd name="G38" fmla="?: G4 0 G33"/>
                              <a:gd name="G39" fmla="?: -10041336 G38 G32"/>
                              <a:gd name="G40" fmla="?: G6 G39 0"/>
                              <a:gd name="G41" fmla="?: G4 G32 21600"/>
                              <a:gd name="G42" fmla="?: G6 G41 G33"/>
                              <a:gd name="T12" fmla="*/ 10800 w 21600"/>
                              <a:gd name="T13" fmla="*/ 0 h 21600"/>
                              <a:gd name="T14" fmla="*/ 3547 w 21600"/>
                              <a:gd name="T15" fmla="*/ 7139 h 21600"/>
                              <a:gd name="T16" fmla="*/ 10800 w 21600"/>
                              <a:gd name="T17" fmla="*/ 5352 h 21600"/>
                              <a:gd name="T18" fmla="*/ 18053 w 21600"/>
                              <a:gd name="T19" fmla="*/ 7139 h 21600"/>
                              <a:gd name="T20" fmla="*/ G36 w 21600"/>
                              <a:gd name="T21" fmla="*/ G40 h 21600"/>
                              <a:gd name="T22" fmla="*/ G37 w 21600"/>
                              <a:gd name="T23" fmla="*/ G42 h 21600"/>
                            </a:gdLst>
                            <a:ahLst/>
                            <a:cxnLst>
                              <a:cxn ang="0">
                                <a:pos x="T12" y="T13"/>
                              </a:cxn>
                              <a:cxn ang="0">
                                <a:pos x="T14" y="T15"/>
                              </a:cxn>
                              <a:cxn ang="0">
                                <a:pos x="T16" y="T17"/>
                              </a:cxn>
                              <a:cxn ang="0">
                                <a:pos x="T18" y="T19"/>
                              </a:cxn>
                            </a:cxnLst>
                            <a:rect l="T20" t="T21" r="T22" b="T23"/>
                            <a:pathLst>
                              <a:path w="21600" h="21600">
                                <a:moveTo>
                                  <a:pt x="5936" y="8345"/>
                                </a:moveTo>
                                <a:cubicBezTo>
                                  <a:pt x="6862" y="6509"/>
                                  <a:pt x="8743" y="5351"/>
                                  <a:pt x="10800" y="5352"/>
                                </a:cubicBezTo>
                                <a:cubicBezTo>
                                  <a:pt x="12856" y="5352"/>
                                  <a:pt x="14737" y="6509"/>
                                  <a:pt x="15663" y="8345"/>
                                </a:cubicBezTo>
                                <a:lnTo>
                                  <a:pt x="20441" y="5933"/>
                                </a:lnTo>
                                <a:cubicBezTo>
                                  <a:pt x="18604" y="2294"/>
                                  <a:pt x="14876" y="-1"/>
                                  <a:pt x="10799" y="0"/>
                                </a:cubicBezTo>
                                <a:cubicBezTo>
                                  <a:pt x="6723" y="0"/>
                                  <a:pt x="2995" y="2294"/>
                                  <a:pt x="1158" y="5933"/>
                                </a:cubicBezTo>
                                <a:close/>
                              </a:path>
                            </a:pathLst>
                          </a:cu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05" name="Rectangle 18"/>
                        <wps:cNvSpPr>
                          <a:spLocks noChangeArrowheads="1"/>
                        </wps:cNvSpPr>
                        <wps:spPr bwMode="auto">
                          <a:xfrm rot="19380000">
                            <a:off x="3384" y="123"/>
                            <a:ext cx="575" cy="719"/>
                          </a:xfrm>
                          <a:prstGeom prst="rect">
                            <a:avLst/>
                          </a:pr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106" name="Rectangle 19"/>
                        <wps:cNvSpPr>
                          <a:spLocks noChangeArrowheads="1"/>
                        </wps:cNvSpPr>
                        <wps:spPr bwMode="auto">
                          <a:xfrm rot="13980000">
                            <a:off x="3212" y="3135"/>
                            <a:ext cx="719" cy="575"/>
                          </a:xfrm>
                          <a:prstGeom prst="rect">
                            <a:avLst/>
                          </a:pr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3" name="Rectangle 20"/>
                        <wps:cNvSpPr>
                          <a:spLocks noChangeArrowheads="1"/>
                        </wps:cNvSpPr>
                        <wps:spPr bwMode="auto">
                          <a:xfrm rot="13980000" flipH="1" flipV="1">
                            <a:off x="6092" y="182"/>
                            <a:ext cx="719" cy="575"/>
                          </a:xfrm>
                          <a:prstGeom prst="rect">
                            <a:avLst/>
                          </a:pr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4" name="Rectangle 21"/>
                        <wps:cNvSpPr>
                          <a:spLocks noChangeArrowheads="1"/>
                        </wps:cNvSpPr>
                        <wps:spPr bwMode="auto">
                          <a:xfrm rot="8580000">
                            <a:off x="6092" y="3208"/>
                            <a:ext cx="575" cy="719"/>
                          </a:xfrm>
                          <a:prstGeom prst="rect">
                            <a:avLst/>
                          </a:prstGeom>
                          <a:solidFill>
                            <a:srgbClr val="C0C0C0"/>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5" name="Freeform 22"/>
                        <wps:cNvSpPr>
                          <a:spLocks/>
                        </wps:cNvSpPr>
                        <wps:spPr bwMode="auto">
                          <a:xfrm>
                            <a:off x="3602" y="1451"/>
                            <a:ext cx="1481" cy="553"/>
                          </a:xfrm>
                          <a:custGeom>
                            <a:avLst/>
                            <a:gdLst>
                              <a:gd name="T0" fmla="*/ 1482 w 1482"/>
                              <a:gd name="T1" fmla="*/ 554 h 554"/>
                              <a:gd name="T2" fmla="*/ 0 w 1482"/>
                              <a:gd name="T3" fmla="*/ 0 h 554"/>
                            </a:gdLst>
                            <a:ahLst/>
                            <a:cxnLst>
                              <a:cxn ang="0">
                                <a:pos x="T0" y="T1"/>
                              </a:cxn>
                              <a:cxn ang="0">
                                <a:pos x="T2" y="T3"/>
                              </a:cxn>
                            </a:cxnLst>
                            <a:rect l="0" t="0" r="r" b="b"/>
                            <a:pathLst>
                              <a:path w="1482" h="554">
                                <a:moveTo>
                                  <a:pt x="1482" y="554"/>
                                </a:moveTo>
                                <a:lnTo>
                                  <a:pt x="0" y="0"/>
                                </a:lnTo>
                              </a:path>
                            </a:pathLst>
                          </a:custGeom>
                          <a:noFill/>
                          <a:ln w="19080" cap="sq">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6" name="Freeform 23"/>
                        <wps:cNvSpPr>
                          <a:spLocks/>
                        </wps:cNvSpPr>
                        <wps:spPr bwMode="auto">
                          <a:xfrm>
                            <a:off x="5084" y="1481"/>
                            <a:ext cx="2357" cy="542"/>
                          </a:xfrm>
                          <a:custGeom>
                            <a:avLst/>
                            <a:gdLst>
                              <a:gd name="T0" fmla="*/ 0 w 2358"/>
                              <a:gd name="T1" fmla="*/ 543 h 543"/>
                              <a:gd name="T2" fmla="*/ 2358 w 2358"/>
                              <a:gd name="T3" fmla="*/ 0 h 543"/>
                            </a:gdLst>
                            <a:ahLst/>
                            <a:cxnLst>
                              <a:cxn ang="0">
                                <a:pos x="T0" y="T1"/>
                              </a:cxn>
                              <a:cxn ang="0">
                                <a:pos x="T2" y="T3"/>
                              </a:cxn>
                            </a:cxnLst>
                            <a:rect l="0" t="0" r="r" b="b"/>
                            <a:pathLst>
                              <a:path w="2358" h="543">
                                <a:moveTo>
                                  <a:pt x="0" y="543"/>
                                </a:moveTo>
                                <a:lnTo>
                                  <a:pt x="2358" y="0"/>
                                </a:lnTo>
                              </a:path>
                            </a:pathLst>
                          </a:custGeom>
                          <a:noFill/>
                          <a:ln w="19080" cap="sq">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7" name="Text Box 24"/>
                        <wps:cNvSpPr txBox="1">
                          <a:spLocks noChangeArrowheads="1"/>
                        </wps:cNvSpPr>
                        <wps:spPr bwMode="auto">
                          <a:xfrm>
                            <a:off x="908" y="758"/>
                            <a:ext cx="1584" cy="683"/>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A277F7" w14:textId="77777777" w:rsidR="00C36A80" w:rsidRPr="00C540F4" w:rsidRDefault="00C36A80" w:rsidP="00FF62BD">
                              <w:pPr>
                                <w:spacing w:after="0" w:line="240" w:lineRule="auto"/>
                                <w:rPr>
                                  <w:rFonts w:eastAsia="Times New Roman" w:cs="Arial"/>
                                  <w:sz w:val="20"/>
                                  <w:szCs w:val="20"/>
                                </w:rPr>
                              </w:pPr>
                              <w:r w:rsidRPr="00C540F4">
                                <w:rPr>
                                  <w:rFonts w:eastAsia="Times New Roman" w:cs="Arial"/>
                                  <w:sz w:val="20"/>
                                  <w:szCs w:val="20"/>
                                </w:rPr>
                                <w:t>Zona intermediarǎ</w:t>
                              </w:r>
                            </w:p>
                          </w:txbxContent>
                        </wps:txbx>
                        <wps:bodyPr rot="0" vert="horz" wrap="square" lIns="18000" tIns="45720" rIns="18000" bIns="45720" anchor="t" anchorCtr="0">
                          <a:noAutofit/>
                        </wps:bodyPr>
                      </wps:wsp>
                      <wps:wsp>
                        <wps:cNvPr id="218" name="Text Box 25"/>
                        <wps:cNvSpPr txBox="1">
                          <a:spLocks noChangeArrowheads="1"/>
                        </wps:cNvSpPr>
                        <wps:spPr bwMode="auto">
                          <a:xfrm>
                            <a:off x="4940" y="4490"/>
                            <a:ext cx="1583" cy="637"/>
                          </a:xfrm>
                          <a:prstGeom prst="rect">
                            <a:avLst/>
                          </a:prstGeom>
                          <a:solidFill>
                            <a:srgbClr val="FFFFFF"/>
                          </a:solidFill>
                          <a:ln>
                            <a:noFill/>
                          </a:ln>
                          <a:effectLst/>
                          <a:extLst>
                            <a:ext uri="{91240B29-F687-4F45-9708-019B960494DF}">
                              <a14:hiddenLine xmlns:a14="http://schemas.microsoft.com/office/drawing/2010/main" w="9525">
                                <a:solidFill>
                                  <a:srgbClr val="3465A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8A2C78" w14:textId="77777777" w:rsidR="00C36A80" w:rsidRDefault="00C36A80" w:rsidP="00FF62BD">
                              <w:pPr>
                                <w:spacing w:after="0" w:line="240" w:lineRule="auto"/>
                                <w:rPr>
                                  <w:rFonts w:eastAsia="Times New Roman" w:cs="Arial"/>
                                  <w:szCs w:val="20"/>
                                </w:rPr>
                              </w:pPr>
                              <w:r>
                                <w:rPr>
                                  <w:rFonts w:eastAsia="Times New Roman" w:cs="Arial"/>
                                  <w:szCs w:val="20"/>
                                </w:rPr>
                                <w:t xml:space="preserve">Zona </w:t>
                              </w:r>
                            </w:p>
                            <w:p w14:paraId="7CD8AC0A" w14:textId="77777777" w:rsidR="00C36A80" w:rsidRDefault="00C36A80" w:rsidP="00FF62BD">
                              <w:pPr>
                                <w:spacing w:after="0" w:line="240" w:lineRule="auto"/>
                                <w:rPr>
                                  <w:rFonts w:eastAsia="Times New Roman" w:cs="Arial"/>
                                  <w:szCs w:val="20"/>
                                </w:rPr>
                              </w:pPr>
                              <w:r>
                                <w:rPr>
                                  <w:rFonts w:eastAsia="Times New Roman" w:cs="Arial"/>
                                  <w:szCs w:val="20"/>
                                </w:rPr>
                                <w:t>interioarǎ</w:t>
                              </w:r>
                            </w:p>
                          </w:txbxContent>
                        </wps:txbx>
                        <wps:bodyPr rot="0" vert="horz" wrap="square" lIns="91440" tIns="10800" rIns="91440" bIns="1080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A78A9A1" id="Group 286" o:spid="_x0000_s1063" style="position:absolute;left:0;text-align:left;margin-left:50.45pt;margin-top:31.5pt;width:358.5pt;height:240.4pt;z-index:251664896;mso-wrap-distance-left:0;mso-wrap-distance-right:0" coordorigin="908,-393" coordsize="8783,5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">
                <v:oval id="Oval 3" o:spid="_x0000_s1064" style="position:absolute;left:2492;top:-393;width:5039;height:475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" strokeweight=".53mm">
                  <v:stroke joinstyle="miter" endcap="square"/>
                </v:oval>
                <v:oval id="Oval 4" o:spid="_x0000_s1065" style="position:absolute;left:4220;top:1190;width:1583;height:152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" fillcolor="silver" strokeweight=".53mm">
                  <v:stroke joinstyle="miter" endcap="square"/>
                </v:oval>
                <v:shape id="Freeform 5" o:spid="_x0000_s1066" style="position:absolute;left:5057;top:2037;width:239;height:584;visibility:visible;mso-wrap-style:none;v-text-anchor:middle" coordsize="240,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" path="m,l240,585e" filled="f" strokeweight=".53mm">
                  <v:stroke endarrow="block" endcap="square"/>
                  <v:path arrowok="t" o:connecttype="custom" o:connectlocs="0,0;239,584" o:connectangles="0,0"/>
                </v:shape>
                <v:shape id="_x0000_s1067" type="#_x0000_t202" style="position:absolute;left:7676;top:1622;width:1580;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" stroked="f" strokecolor="#3465af">
                  <v:stroke joinstyle="round"/>
                  <v:textbox>
                    <w:txbxContent>
                      <w:p w14:paraId="1C4BF4A4" w14:textId="77777777" w:rsidR="00C36A80" w:rsidRDefault="00C36A80" w:rsidP="00FF62BD">
                        <w:pPr>
                          <w:rPr>
                            <w:rFonts w:eastAsia="Times New Roman" w:cs="Arial"/>
                            <w:szCs w:val="20"/>
                          </w:rPr>
                        </w:pPr>
                        <w:r>
                          <w:rPr>
                            <w:rFonts w:eastAsia="Times New Roman" w:cs="Arial"/>
                            <w:szCs w:val="20"/>
                          </w:rPr>
                          <w:t>R=1,6 km</w:t>
                        </w:r>
                      </w:p>
                    </w:txbxContent>
                  </v:textbox>
                </v:shape>
                <v:shape id="Text Box 7" o:spid="_x0000_s1068" type="#_x0000_t202" style="position:absolute;left:2780;top:902;width:1352;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" stroked="f" strokecolor="#3465af">
                  <v:stroke joinstyle="round"/>
                  <v:textbox>
                    <w:txbxContent>
                      <w:p w14:paraId="57F87D9A" w14:textId="77777777" w:rsidR="00C36A80" w:rsidRDefault="00C36A80" w:rsidP="00FF62BD">
                        <w:pPr>
                          <w:rPr>
                            <w:rFonts w:eastAsia="Times New Roman" w:cs="Arial"/>
                            <w:szCs w:val="20"/>
                          </w:rPr>
                        </w:pPr>
                        <w:r>
                          <w:rPr>
                            <w:rFonts w:eastAsia="Times New Roman" w:cs="Arial"/>
                            <w:szCs w:val="20"/>
                          </w:rPr>
                          <w:t>r=0,8 km</w:t>
                        </w:r>
                      </w:p>
                    </w:txbxContent>
                  </v:textbox>
                </v:shape>
                <v:shape id="Text Box 8" o:spid="_x0000_s1069" type="#_x0000_t202" style="position:absolute;left:4508;top:2077;width:431;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" stroked="f" strokecolor="#3465af">
                  <v:stroke joinstyle="round"/>
                  <v:textbox>
                    <w:txbxContent>
                      <w:p w14:paraId="152835F0" w14:textId="77777777" w:rsidR="00C36A80" w:rsidRPr="0038047E" w:rsidRDefault="00C36A80" w:rsidP="00FF62BD">
                        <w:pPr>
                          <w:rPr>
                            <w:rFonts w:ascii="Symbol" w:eastAsia="Times New Roman" w:hAnsi="Symbol" w:cs="Times New Roman"/>
                            <w:sz w:val="16"/>
                            <w:szCs w:val="16"/>
                            <w:lang w:val="ro-RO"/>
                          </w:rPr>
                        </w:pPr>
                        <w:r w:rsidRPr="0038047E">
                          <w:rPr>
                            <w:rFonts w:ascii="Symbol" w:eastAsia="Times New Roman" w:hAnsi="Symbol" w:cs="Times New Roman"/>
                            <w:sz w:val="16"/>
                            <w:szCs w:val="16"/>
                            <w:lang w:val="ro-RO"/>
                          </w:rPr>
                          <w:t></w:t>
                        </w:r>
                      </w:p>
                    </w:txbxContent>
                  </v:textbox>
                </v:shape>
                <v:shape id="Text Box 9" o:spid="_x0000_s1070" type="#_x0000_t202" style="position:absolute;left:7820;top:544;width:1871;height: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" stroked="f" strokecolor="#3465af">
                  <v:stroke joinstyle="round"/>
                  <v:textbox>
                    <w:txbxContent>
                      <w:p w14:paraId="0BCE29EA" w14:textId="77777777" w:rsidR="00C36A80" w:rsidRDefault="00C36A80" w:rsidP="00FF62BD">
                        <w:pPr>
                          <w:spacing w:after="0" w:line="240" w:lineRule="auto"/>
                          <w:rPr>
                            <w:rFonts w:eastAsia="Times New Roman" w:cs="Arial"/>
                            <w:szCs w:val="20"/>
                          </w:rPr>
                        </w:pPr>
                        <w:r>
                          <w:rPr>
                            <w:rFonts w:eastAsia="Times New Roman" w:cs="Arial"/>
                            <w:szCs w:val="20"/>
                          </w:rPr>
                          <w:t xml:space="preserve">Zona </w:t>
                        </w:r>
                      </w:p>
                      <w:p w14:paraId="7F2ABEE9" w14:textId="77777777" w:rsidR="00C36A80" w:rsidRDefault="00C36A80" w:rsidP="00FF62BD">
                        <w:pPr>
                          <w:spacing w:after="0"/>
                          <w:rPr>
                            <w:rFonts w:eastAsia="Times New Roman" w:cs="Arial"/>
                            <w:szCs w:val="20"/>
                          </w:rPr>
                        </w:pPr>
                        <w:r>
                          <w:rPr>
                            <w:rFonts w:eastAsia="Times New Roman" w:cs="Arial"/>
                            <w:szCs w:val="20"/>
                          </w:rPr>
                          <w:t>exterioarǎ</w:t>
                        </w:r>
                      </w:p>
                    </w:txbxContent>
                  </v:textbox>
                </v:shape>
                <v:shape id="AutoShape 10" o:spid="_x0000_s1071" style="position:absolute;left:4076;top:902;width:1871;height:1439;flip:x;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" path="m4188,7668c5398,5113,7972,3483,10800,3484v2827,,5401,1629,6611,4184l20560,6176c18773,2404,14973,-1,10799,,6626,,2826,2404,1039,6176l4188,7668xe" strokeweight=".26mm">
                  <v:stroke joinstyle="miter" endcap="square"/>
                  <v:path o:connecttype="custom" o:connectlocs="936,0;226,461;936,232;1645,461" o:connectangles="0,0,0,0" textboxrect="196,0,21404,9397"/>
                </v:shape>
                <v:shape id="AutoShape 11" o:spid="_x0000_s1072" style="position:absolute;left:4076;top:1623;width:1871;height:1439;flip:x 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" path="m4188,7668c5398,5113,7972,3483,10800,3484v2827,,5401,1629,6611,4184l20560,6176c18773,2404,14973,-1,10799,,6626,,2826,2404,1039,6176l4188,7668xe" strokeweight=".26mm">
                  <v:stroke joinstyle="miter" endcap="square"/>
                  <v:path o:connecttype="custom" o:connectlocs="936,0;226,461;936,232;1645,461" o:connectangles="0,0,0,0" textboxrect="196,0,21404,9397"/>
                </v:shape>
                <v:shape id="AutoShape 12" o:spid="_x0000_s1073" style="position:absolute;left:4652;top:1046;width:1439;height:1871;rotation:-90;flip:x;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" path="m4188,7668c5398,5113,7972,3483,10800,3484v2827,,5401,1629,6611,4184l20560,6176c18773,2404,14973,-1,10799,,6626,,2826,2404,1039,6176l4188,7668xe" fillcolor="silver" strokeweight=".26mm">
                  <v:stroke joinstyle="miter" endcap="square"/>
                  <v:path o:connecttype="custom" o:connectlocs="720,0;174,600;720,302;1265,600" o:connectangles="0,0,0,0" textboxrect="195,0,21405,9397"/>
                </v:shape>
                <v:shape id="AutoShape 13" o:spid="_x0000_s1074" style="position:absolute;left:3933;top:1046;width:1439;height:1871;rotation:90;flip:x;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" path="m4188,7668c5398,5113,7972,3483,10800,3484v2827,,5401,1629,6611,4184l20560,6176c18773,2404,14973,-1,10799,,6626,,2826,2404,1039,6176l4188,7668xe" fillcolor="silver" strokeweight=".26mm">
                  <v:stroke joinstyle="miter" endcap="square"/>
                  <v:path o:connecttype="custom" o:connectlocs="720,0;174,600;720,302;1265,600" o:connectangles="0,0,0,0" textboxrect="195,0,21405,9397"/>
                </v:shape>
                <v:shape id="AutoShape 14" o:spid="_x0000_s1075" style="position:absolute;left:3500;top:470;width:3023;height:1583;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" path="m5936,8345c6862,6509,8743,5351,10800,5352v2056,,3937,1157,4863,2993l20441,5933c18604,2294,14876,-1,10799,,6723,,2995,2294,1158,5933l5936,8345xe" fillcolor="silver" strokeweight=".26mm">
                  <v:stroke joinstyle="miter" endcap="square"/>
                  <v:path o:connecttype="custom" o:connectlocs="1511,0;496,523;1511,392;2527,523" o:connectangles="0,0,0,0" textboxrect="264,0,21336,9606"/>
                </v:shape>
                <v:shape id="AutoShape 15" o:spid="_x0000_s1076" style="position:absolute;left:3500;top:1911;width:3023;height:1583;flip:y;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" path="m5936,8345c6862,6509,8743,5351,10800,5352v2056,,3937,1157,4863,2993l20441,5933c18604,2294,14876,-1,10799,,6723,,2995,2294,1158,5933l5936,8345xe" fillcolor="silver" strokeweight=".26mm">
                  <v:stroke joinstyle="miter" endcap="square"/>
                  <v:path o:connecttype="custom" o:connectlocs="1511,0;496,523;1511,392;2527,523" o:connectangles="0,0,0,0" textboxrect="264,0,21336,9606"/>
                </v:shape>
                <v:shape id="AutoShape 16" o:spid="_x0000_s1077" style="position:absolute;left:4941;top:326;width:1583;height:3023;rotation:90;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" path="m5936,8345c6862,6509,8743,5351,10800,5352v2056,,3937,1157,4863,2993l20441,5933c18604,2294,14876,-1,10799,,6723,,2995,2294,1158,5933l5936,8345xe" strokeweight=".26mm">
                  <v:stroke joinstyle="miter" endcap="square"/>
                  <v:path o:connecttype="custom" o:connectlocs="792,0;260,999;792,749;1323,999" o:connectangles="0,0,0,0" textboxrect="259,0,21341,9610"/>
                </v:shape>
                <v:shape id="AutoShape 17" o:spid="_x0000_s1078" style="position:absolute;left:3500;top:470;width:1583;height:3023;rotation:-90;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" path="m5936,8345c6862,6509,8743,5351,10800,5352v2056,,3937,1157,4863,2993l20441,5933c18604,2294,14876,-1,10799,,6723,,2995,2294,1158,5933l5936,8345xe" strokeweight=".26mm">
                  <v:stroke joinstyle="miter" endcap="square"/>
                  <v:path o:connecttype="custom" o:connectlocs="792,0;260,999;792,749;1323,999" o:connectangles="0,0,0,0" textboxrect="259,0,21341,9610"/>
                </v:shape>
                <v:rect id="Rectangle 18" o:spid="_x0000_s1079" style="position:absolute;left:3384;top:123;width:575;height:719;rotation:-3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" fillcolor="silver" strokeweight=".26mm">
                  <v:stroke endcap="square"/>
                </v:rect>
                <v:rect id="Rectangle 19" o:spid="_x0000_s1080" style="position:absolute;left:3212;top:3135;width:719;height:575;rotation:-1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" fillcolor="silver" strokeweight=".26mm">
                  <v:stroke endcap="square"/>
                </v:rect>
                <v:rect id="Rectangle 20" o:spid="_x0000_s1081" style="position:absolute;left:6092;top:182;width:719;height:575;rotation:-127;flip:x 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" fillcolor="silver" strokeweight=".26mm">
                  <v:stroke endcap="square"/>
                </v:rect>
                <v:rect id="Rectangle 21" o:spid="_x0000_s1082" style="position:absolute;left:6092;top:3208;width:575;height:719;rotation:1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" fillcolor="silver" strokeweight=".26mm">
                  <v:stroke endcap="square"/>
                </v:rect>
                <v:shape id="Freeform 22" o:spid="_x0000_s1083" style="position:absolute;left:3602;top:1451;width:1481;height:553;visibility:visible;mso-wrap-style:none;v-text-anchor:middle" coordsize="1482,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" path="m1482,554l,e" filled="f" strokeweight=".53mm">
                  <v:stroke endarrow="block" endcap="square"/>
                  <v:path arrowok="t" o:connecttype="custom" o:connectlocs="1481,553;0,0" o:connectangles="0,0"/>
                </v:shape>
                <v:shape id="Freeform 23" o:spid="_x0000_s1084" style="position:absolute;left:5084;top:1481;width:2357;height:542;visibility:visible;mso-wrap-style:none;v-text-anchor:middle" coordsize="2358,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" path="m,543l2358,e" filled="f" strokeweight=".53mm">
                  <v:stroke endarrow="block" endcap="square"/>
                  <v:path arrowok="t" o:connecttype="custom" o:connectlocs="0,542;2357,0" o:connectangles="0,0"/>
                </v:shape>
                <v:shape id="Text Box 24" o:spid="_x0000_s1085" type="#_x0000_t202" style="position:absolute;left:908;top:758;width:1584;height: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" stroked="f" strokecolor="#3465af">
                  <v:stroke joinstyle="round"/>
                  <v:textbox inset=".5mm,,.5mm">
                    <w:txbxContent>
                      <w:p w14:paraId="3FA277F7" w14:textId="77777777" w:rsidR="00C36A80" w:rsidRPr="00C540F4" w:rsidRDefault="00C36A80" w:rsidP="00FF62BD">
                        <w:pPr>
                          <w:spacing w:after="0" w:line="240" w:lineRule="auto"/>
                          <w:rPr>
                            <w:rFonts w:eastAsia="Times New Roman" w:cs="Arial"/>
                            <w:sz w:val="20"/>
                            <w:szCs w:val="20"/>
                          </w:rPr>
                        </w:pPr>
                        <w:r w:rsidRPr="00C540F4">
                          <w:rPr>
                            <w:rFonts w:eastAsia="Times New Roman" w:cs="Arial"/>
                            <w:sz w:val="20"/>
                            <w:szCs w:val="20"/>
                          </w:rPr>
                          <w:t>Zona intermediarǎ</w:t>
                        </w:r>
                      </w:p>
                    </w:txbxContent>
                  </v:textbox>
                </v:shape>
                <v:shape id="Text Box 25" o:spid="_x0000_s1086" type="#_x0000_t202" style="position:absolute;left:4940;top:4490;width:1583;height: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" stroked="f" strokecolor="#3465af">
                  <v:stroke joinstyle="round"/>
                  <v:textbox inset=",.3mm,,.3mm">
                    <w:txbxContent>
                      <w:p w14:paraId="118A2C78" w14:textId="77777777" w:rsidR="00C36A80" w:rsidRDefault="00C36A80" w:rsidP="00FF62BD">
                        <w:pPr>
                          <w:spacing w:after="0" w:line="240" w:lineRule="auto"/>
                          <w:rPr>
                            <w:rFonts w:eastAsia="Times New Roman" w:cs="Arial"/>
                            <w:szCs w:val="20"/>
                          </w:rPr>
                        </w:pPr>
                        <w:r>
                          <w:rPr>
                            <w:rFonts w:eastAsia="Times New Roman" w:cs="Arial"/>
                            <w:szCs w:val="20"/>
                          </w:rPr>
                          <w:t xml:space="preserve">Zona </w:t>
                        </w:r>
                      </w:p>
                      <w:p w14:paraId="7CD8AC0A" w14:textId="77777777" w:rsidR="00C36A80" w:rsidRDefault="00C36A80" w:rsidP="00FF62BD">
                        <w:pPr>
                          <w:spacing w:after="0" w:line="240" w:lineRule="auto"/>
                          <w:rPr>
                            <w:rFonts w:eastAsia="Times New Roman" w:cs="Arial"/>
                            <w:szCs w:val="20"/>
                          </w:rPr>
                        </w:pPr>
                        <w:r>
                          <w:rPr>
                            <w:rFonts w:eastAsia="Times New Roman" w:cs="Arial"/>
                            <w:szCs w:val="20"/>
                          </w:rPr>
                          <w:t>interioarǎ</w:t>
                        </w:r>
                      </w:p>
                    </w:txbxContent>
                  </v:textbox>
                </v:shape>
                <w10:wrap type="topAndBottom"/>
              </v:group>
            </w:pict>
          </mc:Fallback>
        </mc:AlternateContent>
      </w:r>
      <w:r w:rsidRPr="00FF62BD">
        <w:rPr>
          <w:rFonts w:ascii="Arial" w:hAnsi="Arial" w:cs="Arial"/>
          <w:kern w:val="1"/>
          <w:sz w:val="24"/>
          <w:szCs w:val="24"/>
          <w:lang w:val="es-ES" w:eastAsia="hi-IN" w:bidi="hi-IN"/>
        </w:rPr>
        <w:tab/>
      </w:r>
      <w:r w:rsidRPr="00FF62BD">
        <w:rPr>
          <w:rFonts w:ascii="Arial" w:hAnsi="Arial" w:cs="Arial"/>
          <w:kern w:val="1"/>
          <w:sz w:val="24"/>
          <w:szCs w:val="24"/>
          <w:lang w:val="es-ES" w:eastAsia="hi-IN" w:bidi="hi-IN"/>
        </w:rPr>
        <w:tab/>
      </w:r>
      <w:r w:rsidRPr="00FF62BD">
        <w:rPr>
          <w:rFonts w:ascii="Arial" w:hAnsi="Arial" w:cs="Arial"/>
          <w:kern w:val="1"/>
          <w:sz w:val="24"/>
          <w:szCs w:val="24"/>
          <w:lang w:val="es-ES" w:eastAsia="hi-IN" w:bidi="hi-IN"/>
        </w:rPr>
        <w:tab/>
      </w:r>
      <w:r w:rsidRPr="00FF62BD">
        <w:rPr>
          <w:rFonts w:ascii="Arial" w:hAnsi="Arial" w:cs="Mangal"/>
          <w:kern w:val="1"/>
          <w:position w:val="-12"/>
          <w:sz w:val="24"/>
          <w:szCs w:val="24"/>
          <w:lang w:eastAsia="hi-IN" w:bidi="hi-IN"/>
        </w:rPr>
        <w:object w:dxaOrig="1880" w:dyaOrig="400" w14:anchorId="66740A39">
          <v:shape id="_x0000_i1029" type="#_x0000_t75" style="width:93.6pt;height:20.4pt" o:ole="" filled="t">
            <v:fill color2="black"/>
            <v:imagedata r:id="rId26" o:title=""/>
          </v:shape>
          <o:OLEObject Type="Embed" ProgID="Equation.3" ShapeID="_x0000_i1029" DrawAspect="Content" ObjectID="_1752652134" r:id="rId192"/>
        </w:object>
      </w:r>
    </w:p>
    <w:p w14:paraId="423B9138" w14:textId="28BEF114" w:rsidR="00FF62BD" w:rsidRPr="00205E1D" w:rsidRDefault="00205E1D" w:rsidP="00205E1D">
      <w:pPr>
        <w:pStyle w:val="Legend"/>
        <w:jc w:val="center"/>
        <w:rPr>
          <w:rFonts w:ascii="Arial" w:hAnsi="Arial" w:cs="Arial"/>
          <w:i w:val="0"/>
          <w:iCs w:val="0"/>
          <w:color w:val="1F497D"/>
          <w:kern w:val="1"/>
          <w:sz w:val="22"/>
          <w:szCs w:val="22"/>
          <w:lang w:val="es-ES" w:eastAsia="hi-IN" w:bidi="hi-IN"/>
        </w:rPr>
      </w:pPr>
      <w:bookmarkStart w:id="355" w:name="_Toc68361080"/>
      <w:bookmarkStart w:id="356" w:name="_Toc96447337"/>
      <w:r w:rsidRPr="00205E1D">
        <w:rPr>
          <w:rFonts w:ascii="Arial" w:hAnsi="Arial" w:cs="Arial"/>
          <w:sz w:val="22"/>
          <w:szCs w:val="22"/>
        </w:rPr>
        <w:t xml:space="preserve">Figura I.4. </w:t>
      </w:r>
      <w:r w:rsidRPr="00205E1D">
        <w:rPr>
          <w:rFonts w:ascii="Arial" w:hAnsi="Arial" w:cs="Arial"/>
          <w:sz w:val="22"/>
          <w:szCs w:val="22"/>
        </w:rPr>
        <w:fldChar w:fldCharType="begin"/>
      </w:r>
      <w:r w:rsidRPr="00205E1D">
        <w:rPr>
          <w:rFonts w:ascii="Arial" w:hAnsi="Arial" w:cs="Arial"/>
          <w:sz w:val="22"/>
          <w:szCs w:val="22"/>
        </w:rPr>
        <w:instrText xml:space="preserve"> SEQ Figura_I.4. \* ARABIC </w:instrText>
      </w:r>
      <w:r w:rsidRPr="00205E1D">
        <w:rPr>
          <w:rFonts w:ascii="Arial" w:hAnsi="Arial" w:cs="Arial"/>
          <w:sz w:val="22"/>
          <w:szCs w:val="22"/>
        </w:rPr>
        <w:fldChar w:fldCharType="separate"/>
      </w:r>
      <w:r w:rsidR="00BB181C">
        <w:rPr>
          <w:rFonts w:ascii="Arial" w:hAnsi="Arial" w:cs="Arial"/>
          <w:noProof/>
          <w:sz w:val="22"/>
          <w:szCs w:val="22"/>
        </w:rPr>
        <w:t>4</w:t>
      </w:r>
      <w:r w:rsidRPr="00205E1D">
        <w:rPr>
          <w:rFonts w:ascii="Arial" w:hAnsi="Arial" w:cs="Arial"/>
          <w:sz w:val="22"/>
          <w:szCs w:val="22"/>
        </w:rPr>
        <w:fldChar w:fldCharType="end"/>
      </w:r>
      <w:r w:rsidRPr="00205E1D">
        <w:rPr>
          <w:rFonts w:ascii="Arial" w:hAnsi="Arial" w:cs="Arial"/>
          <w:sz w:val="22"/>
          <w:szCs w:val="22"/>
        </w:rPr>
        <w:t xml:space="preserve"> </w:t>
      </w:r>
      <w:r w:rsidR="00FF62BD" w:rsidRPr="00205E1D">
        <w:rPr>
          <w:rFonts w:ascii="Arial" w:hAnsi="Arial" w:cs="Arial"/>
          <w:color w:val="1F497D"/>
          <w:sz w:val="22"/>
          <w:szCs w:val="22"/>
        </w:rPr>
        <w:t xml:space="preserve">- </w:t>
      </w:r>
      <w:r w:rsidR="00FF62BD" w:rsidRPr="00205E1D">
        <w:rPr>
          <w:rFonts w:ascii="Arial" w:hAnsi="Arial" w:cs="Arial"/>
          <w:i w:val="0"/>
          <w:iCs w:val="0"/>
          <w:color w:val="1F497D"/>
          <w:sz w:val="22"/>
          <w:szCs w:val="22"/>
        </w:rPr>
        <w:t>Imaginea simplificatǎ a unui oraș (cu evidențierea „penuriei” de cǎi de deplasare ȋn centrul orașului)</w:t>
      </w:r>
      <w:bookmarkEnd w:id="355"/>
      <w:bookmarkEnd w:id="356"/>
    </w:p>
    <w:p w14:paraId="023EE09F" w14:textId="77777777" w:rsidR="00FF62BD" w:rsidRPr="00FF62BD" w:rsidRDefault="00FF62BD" w:rsidP="00FF62BD">
      <w:pPr>
        <w:widowControl w:val="0"/>
        <w:suppressAutoHyphens/>
        <w:autoSpaceDE w:val="0"/>
        <w:spacing w:after="0" w:line="360" w:lineRule="auto"/>
        <w:jc w:val="both"/>
        <w:rPr>
          <w:rFonts w:ascii="Arial" w:hAnsi="Arial" w:cs="Arial"/>
          <w:kern w:val="1"/>
          <w:sz w:val="20"/>
          <w:szCs w:val="24"/>
          <w:lang w:val="es-ES" w:eastAsia="hi-IN" w:bidi="hi-IN"/>
        </w:rPr>
      </w:pPr>
    </w:p>
    <w:p w14:paraId="413BEDFB" w14:textId="77777777" w:rsidR="00FF62BD" w:rsidRPr="00FF62BD" w:rsidRDefault="00FF62BD" w:rsidP="00FF62BD">
      <w:pPr>
        <w:widowControl w:val="0"/>
        <w:suppressAutoHyphens/>
        <w:spacing w:after="0" w:line="276" w:lineRule="auto"/>
        <w:jc w:val="both"/>
        <w:rPr>
          <w:rFonts w:ascii="Arial" w:hAnsi="Arial" w:cs="Arial"/>
          <w:kern w:val="1"/>
          <w:lang w:val="ro-RO" w:eastAsia="hi-IN" w:bidi="hi-IN"/>
        </w:rPr>
      </w:pPr>
      <w:r w:rsidRPr="00FF62BD">
        <w:rPr>
          <w:rFonts w:ascii="Arial" w:hAnsi="Arial" w:cs="Arial"/>
          <w:kern w:val="1"/>
          <w:lang w:val="ro-RO" w:eastAsia="hi-IN" w:bidi="hi-IN"/>
        </w:rPr>
        <w:t>adică:</w:t>
      </w:r>
    </w:p>
    <w:p w14:paraId="33259532" w14:textId="77777777" w:rsidR="00FF62BD" w:rsidRPr="00FF62BD" w:rsidRDefault="00FF62BD" w:rsidP="00FF62BD">
      <w:pPr>
        <w:widowControl w:val="0"/>
        <w:numPr>
          <w:ilvl w:val="0"/>
          <w:numId w:val="9"/>
        </w:numPr>
        <w:suppressAutoHyphens/>
        <w:spacing w:after="0" w:line="276" w:lineRule="auto"/>
        <w:jc w:val="both"/>
        <w:rPr>
          <w:rFonts w:ascii="Arial" w:hAnsi="Arial" w:cs="Mangal"/>
          <w:kern w:val="1"/>
          <w:lang w:val="ro-RO" w:eastAsia="hi-IN" w:bidi="hi-IN"/>
        </w:rPr>
      </w:pPr>
      <w:r w:rsidRPr="00FF62BD">
        <w:rPr>
          <w:rFonts w:ascii="Arial" w:hAnsi="Arial" w:cs="Arial"/>
          <w:kern w:val="1"/>
          <w:lang w:val="ro-RO" w:eastAsia="hi-IN" w:bidi="hi-IN"/>
        </w:rPr>
        <w:t xml:space="preserve">dacă în zona exterioară 10%, respectiv 90% reprezintă o partajare acceptabilă a suprafeţelor oraşului între căi şi restul construcţiilor şi amenajărilor, atunci pe o rază de peste 1,5 km centrul oraşului ar trebui să fie gol: numai străzi şi locuri de parcare fără niciun alt fel de construcţie sau amenajare, dacă se doreşte eliminarea posibilităţii de apariţie a congestiei în trafic; concret: (ȋn termeni relativi) pe aproape toata suprafata sa, orașul ar trebui sǎ fie liber de orice construcție sau amenajare pentru ca deplasarea mijloacelor de transport sǎ nu fie ȋngrǎditǎ (sǎ se desfǎșoare cu aceeași vitezǎ ca pe arterele situate la marginea municipiului </w:t>
      </w:r>
      <w:r w:rsidRPr="00FF62BD">
        <w:rPr>
          <w:rFonts w:ascii="Arial" w:hAnsi="Arial" w:cs="Times New Roman"/>
          <w:kern w:val="1"/>
          <w:lang w:val="ro-RO" w:eastAsia="hi-IN" w:bidi="hi-IN"/>
        </w:rPr>
        <w:t>–</w:t>
      </w:r>
      <w:r w:rsidRPr="00FF62BD">
        <w:rPr>
          <w:rFonts w:ascii="Arial" w:hAnsi="Arial" w:cs="Arial"/>
          <w:kern w:val="1"/>
          <w:lang w:val="ro-RO" w:eastAsia="hi-IN" w:bidi="hi-IN"/>
        </w:rPr>
        <w:t xml:space="preserve"> fig. I….);  </w:t>
      </w:r>
    </w:p>
    <w:p w14:paraId="43D975EE" w14:textId="77777777" w:rsidR="00FF62BD" w:rsidRPr="00FF62BD" w:rsidRDefault="00FF62BD" w:rsidP="00FF62BD">
      <w:pPr>
        <w:widowControl w:val="0"/>
        <w:numPr>
          <w:ilvl w:val="0"/>
          <w:numId w:val="13"/>
        </w:numPr>
        <w:suppressAutoHyphens/>
        <w:spacing w:after="0" w:line="276" w:lineRule="auto"/>
        <w:jc w:val="both"/>
        <w:rPr>
          <w:rFonts w:ascii="Arial" w:eastAsia="Times New Roman" w:hAnsi="Arial" w:cs="Arial"/>
          <w:lang w:val="ro-RO" w:eastAsia="zh-CN"/>
        </w:rPr>
      </w:pPr>
      <w:r w:rsidRPr="00FF62BD">
        <w:rPr>
          <w:rFonts w:ascii="Arial" w:eastAsia="Times New Roman" w:hAnsi="Arial" w:cs="Arial"/>
          <w:lang w:val="ro-RO" w:eastAsia="zh-CN"/>
        </w:rPr>
        <w:t>pe zona intermediară păstrarea constantă a suprafeţei alocate căilor partajează aproximativ egalitarist suprafeţele: 40% pentru artere, 60% pentru restul utilităţilor.</w:t>
      </w:r>
    </w:p>
    <w:p w14:paraId="088E1257" w14:textId="77777777" w:rsidR="00FF62BD" w:rsidRPr="00FF62BD" w:rsidRDefault="00FF62BD" w:rsidP="00FF62BD">
      <w:pPr>
        <w:suppressAutoHyphens/>
        <w:spacing w:after="0" w:line="360" w:lineRule="auto"/>
        <w:jc w:val="center"/>
        <w:rPr>
          <w:rFonts w:ascii="Arial" w:eastAsia="Times New Roman" w:hAnsi="Arial" w:cs="Arial"/>
          <w:sz w:val="24"/>
          <w:szCs w:val="20"/>
          <w:lang w:val="ro-RO" w:eastAsia="zh-CN"/>
        </w:rPr>
      </w:pPr>
      <w:r w:rsidRPr="00FF62BD">
        <w:rPr>
          <w:rFonts w:ascii="Arial" w:eastAsia="Times New Roman" w:hAnsi="Arial" w:cs="Arial"/>
          <w:noProof/>
          <w:sz w:val="24"/>
          <w:szCs w:val="20"/>
        </w:rPr>
        <w:lastRenderedPageBreak/>
        <w:drawing>
          <wp:inline distT="0" distB="0" distL="0" distR="0" wp14:anchorId="0CB92412" wp14:editId="35A98794">
            <wp:extent cx="6129655" cy="3475570"/>
            <wp:effectExtent l="0" t="0" r="4445" b="0"/>
            <wp:docPr id="220" name="Picture 220" descr="E:\Horezu\Materiale lucru\Zone conges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Horezu\Materiale lucru\Zone congestie.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9655" cy="3475570"/>
                    </a:xfrm>
                    <a:prstGeom prst="rect">
                      <a:avLst/>
                    </a:prstGeom>
                    <a:noFill/>
                    <a:ln>
                      <a:noFill/>
                    </a:ln>
                  </pic:spPr>
                </pic:pic>
              </a:graphicData>
            </a:graphic>
          </wp:inline>
        </w:drawing>
      </w:r>
    </w:p>
    <w:p w14:paraId="4D625624" w14:textId="4EE7943B" w:rsidR="00FF62BD" w:rsidRPr="00205E1D" w:rsidRDefault="00205E1D" w:rsidP="00205E1D">
      <w:pPr>
        <w:pStyle w:val="Legend"/>
        <w:jc w:val="center"/>
        <w:rPr>
          <w:rFonts w:ascii="Arial" w:hAnsi="Arial" w:cs="Arial"/>
          <w:i w:val="0"/>
          <w:iCs w:val="0"/>
          <w:color w:val="1F497D"/>
          <w:kern w:val="1"/>
          <w:sz w:val="22"/>
          <w:szCs w:val="22"/>
          <w:lang w:val="es-ES" w:eastAsia="hi-IN" w:bidi="hi-IN"/>
        </w:rPr>
      </w:pPr>
      <w:bookmarkStart w:id="357" w:name="_Toc68361081"/>
      <w:bookmarkStart w:id="358" w:name="_Toc96447338"/>
      <w:r w:rsidRPr="00205E1D">
        <w:rPr>
          <w:rFonts w:ascii="Arial" w:hAnsi="Arial" w:cs="Arial"/>
          <w:sz w:val="22"/>
          <w:szCs w:val="22"/>
        </w:rPr>
        <w:t xml:space="preserve">Figura I.4. </w:t>
      </w:r>
      <w:r w:rsidRPr="00205E1D">
        <w:rPr>
          <w:rFonts w:ascii="Arial" w:hAnsi="Arial" w:cs="Arial"/>
          <w:sz w:val="22"/>
          <w:szCs w:val="22"/>
        </w:rPr>
        <w:fldChar w:fldCharType="begin"/>
      </w:r>
      <w:r w:rsidRPr="00205E1D">
        <w:rPr>
          <w:rFonts w:ascii="Arial" w:hAnsi="Arial" w:cs="Arial"/>
          <w:sz w:val="22"/>
          <w:szCs w:val="22"/>
        </w:rPr>
        <w:instrText xml:space="preserve"> SEQ Figura_I.4. \* ARABIC </w:instrText>
      </w:r>
      <w:r w:rsidRPr="00205E1D">
        <w:rPr>
          <w:rFonts w:ascii="Arial" w:hAnsi="Arial" w:cs="Arial"/>
          <w:sz w:val="22"/>
          <w:szCs w:val="22"/>
        </w:rPr>
        <w:fldChar w:fldCharType="separate"/>
      </w:r>
      <w:r w:rsidR="00BB181C">
        <w:rPr>
          <w:rFonts w:ascii="Arial" w:hAnsi="Arial" w:cs="Arial"/>
          <w:noProof/>
          <w:sz w:val="22"/>
          <w:szCs w:val="22"/>
        </w:rPr>
        <w:t>5</w:t>
      </w:r>
      <w:r w:rsidRPr="00205E1D">
        <w:rPr>
          <w:rFonts w:ascii="Arial" w:hAnsi="Arial" w:cs="Arial"/>
          <w:sz w:val="22"/>
          <w:szCs w:val="22"/>
        </w:rPr>
        <w:fldChar w:fldCharType="end"/>
      </w:r>
      <w:r w:rsidRPr="00205E1D">
        <w:rPr>
          <w:rFonts w:ascii="Arial" w:hAnsi="Arial" w:cs="Arial"/>
          <w:sz w:val="22"/>
          <w:szCs w:val="22"/>
        </w:rPr>
        <w:t xml:space="preserve"> </w:t>
      </w:r>
      <w:r w:rsidR="00FF62BD" w:rsidRPr="00205E1D">
        <w:rPr>
          <w:rFonts w:ascii="Arial" w:hAnsi="Arial" w:cs="Arial"/>
          <w:color w:val="1F497D"/>
          <w:sz w:val="22"/>
          <w:szCs w:val="22"/>
        </w:rPr>
        <w:t xml:space="preserve">- </w:t>
      </w:r>
      <w:r w:rsidR="00FF62BD" w:rsidRPr="00205E1D">
        <w:rPr>
          <w:rFonts w:ascii="Arial" w:hAnsi="Arial" w:cs="Arial"/>
          <w:i w:val="0"/>
          <w:iCs w:val="0"/>
          <w:color w:val="1F497D"/>
          <w:sz w:val="22"/>
          <w:szCs w:val="22"/>
        </w:rPr>
        <w:t>Repartizarea suprafețelor pentru un grad „constant” de congestie a circulației</w:t>
      </w:r>
      <w:bookmarkEnd w:id="357"/>
      <w:bookmarkEnd w:id="358"/>
    </w:p>
    <w:p w14:paraId="508F884E" w14:textId="77777777" w:rsidR="00FF62BD" w:rsidRPr="00FF62BD" w:rsidRDefault="00FF62BD" w:rsidP="00FF62BD">
      <w:pPr>
        <w:widowControl w:val="0"/>
        <w:suppressAutoHyphens/>
        <w:autoSpaceDE w:val="0"/>
        <w:spacing w:after="0" w:line="360" w:lineRule="auto"/>
        <w:jc w:val="both"/>
        <w:rPr>
          <w:rFonts w:ascii="Arial" w:hAnsi="Arial" w:cs="Arial"/>
          <w:kern w:val="1"/>
          <w:sz w:val="20"/>
          <w:szCs w:val="24"/>
          <w:lang w:val="es-ES" w:eastAsia="hi-IN" w:bidi="hi-IN"/>
        </w:rPr>
      </w:pPr>
    </w:p>
    <w:p w14:paraId="2D6D0163" w14:textId="77777777" w:rsidR="00FF62BD" w:rsidRPr="00FF62BD" w:rsidRDefault="00FF62BD" w:rsidP="00FF62BD">
      <w:pPr>
        <w:suppressAutoHyphens/>
        <w:spacing w:after="0" w:line="276" w:lineRule="auto"/>
        <w:jc w:val="both"/>
        <w:rPr>
          <w:rFonts w:ascii="Arial" w:eastAsia="Times New Roman" w:hAnsi="Arial" w:cs="Arial"/>
          <w:lang w:val="fr-FR" w:eastAsia="zh-CN"/>
        </w:rPr>
      </w:pPr>
      <w:r w:rsidRPr="00FF62BD">
        <w:rPr>
          <w:rFonts w:ascii="Arial" w:eastAsia="Times New Roman" w:hAnsi="Arial" w:cs="Arial"/>
          <w:lang w:val="ro-RO" w:eastAsia="zh-CN"/>
        </w:rPr>
        <w:t xml:space="preserve">Evident o atare ȋmpǎrțire a suprafeței orașului nu este realizabilǎ: ca urmare, </w:t>
      </w:r>
      <w:r w:rsidRPr="00FF62BD">
        <w:rPr>
          <w:rFonts w:ascii="Arial" w:eastAsia="Times New Roman" w:hAnsi="Arial" w:cs="Arial"/>
          <w:b/>
          <w:lang w:val="ro-RO" w:eastAsia="zh-CN"/>
        </w:rPr>
        <w:t>numai prin mǎsuri organizatorice dure, hotǎrȃte, se poate reduce congestia</w:t>
      </w:r>
      <w:r w:rsidRPr="00FF62BD">
        <w:rPr>
          <w:rFonts w:ascii="Arial" w:eastAsia="Times New Roman" w:hAnsi="Arial" w:cs="Arial"/>
          <w:lang w:val="ro-RO" w:eastAsia="zh-CN"/>
        </w:rPr>
        <w:t xml:space="preserve"> de pe cǎile de circulație distribuite ȋn centrul orașului, ȋn caz contrar rezolvarea problemelor de mobilitate pentru toți locuitorii orasului Horezu devine o țintǎ imposibil de atins – dacǎ evoluția economicǎ, demograficǎ, socialǎ, etc. ȋși pǎstreazǎ trendul actual. Ȋn concluzie: din moment ce rezolvarea congestiei este imposibilǎ acționȃnd numai ȋn centrul orașului, este necesarǎ o acțiune concertatǎ cu localizarea de origine „mai ȋn afara centrului” pentru a diminua efectele lipsei de spațiu.</w:t>
      </w:r>
    </w:p>
    <w:p w14:paraId="49DAFFC4" w14:textId="77777777" w:rsidR="00FF62BD" w:rsidRPr="00FF62BD" w:rsidRDefault="00FF62BD" w:rsidP="00FF62BD">
      <w:pPr>
        <w:widowControl w:val="0"/>
        <w:suppressAutoHyphens/>
        <w:spacing w:after="0" w:line="360" w:lineRule="auto"/>
        <w:jc w:val="both"/>
        <w:rPr>
          <w:rFonts w:ascii="Arial" w:hAnsi="Arial" w:cs="Arial"/>
          <w:kern w:val="1"/>
          <w:sz w:val="24"/>
          <w:szCs w:val="24"/>
          <w:lang w:val="fr-FR" w:eastAsia="hi-IN" w:bidi="hi-IN"/>
        </w:rPr>
      </w:pPr>
    </w:p>
    <w:p w14:paraId="7192E302" w14:textId="77777777" w:rsidR="00FF62BD" w:rsidRPr="00FF62BD" w:rsidRDefault="00FF62BD" w:rsidP="00FF62BD">
      <w:pPr>
        <w:widowControl w:val="0"/>
        <w:suppressAutoHyphens/>
        <w:spacing w:after="0" w:line="276" w:lineRule="auto"/>
        <w:jc w:val="both"/>
        <w:rPr>
          <w:rFonts w:ascii="Arial" w:hAnsi="Arial" w:cs="Arial"/>
          <w:kern w:val="1"/>
          <w:lang w:val="ro-RO" w:eastAsia="hi-IN" w:bidi="hi-IN"/>
        </w:rPr>
      </w:pPr>
      <w:r w:rsidRPr="00FF62BD">
        <w:rPr>
          <w:rFonts w:ascii="Arial" w:hAnsi="Arial" w:cs="Arial"/>
          <w:b/>
          <w:kern w:val="1"/>
          <w:lang w:val="fr-FR" w:eastAsia="hi-IN" w:bidi="hi-IN"/>
        </w:rPr>
        <w:t xml:space="preserve">Problema adiacentei aglomerǎrii urbane </w:t>
      </w:r>
    </w:p>
    <w:p w14:paraId="2B1BB7A4" w14:textId="77777777" w:rsidR="00FF62BD" w:rsidRPr="00FF62BD" w:rsidRDefault="00FF62BD" w:rsidP="00FF62BD">
      <w:pPr>
        <w:suppressAutoHyphens/>
        <w:spacing w:after="0" w:line="276" w:lineRule="auto"/>
        <w:jc w:val="both"/>
        <w:rPr>
          <w:rFonts w:ascii="Arial" w:eastAsia="Times New Roman" w:hAnsi="Arial" w:cs="Arial"/>
          <w:b/>
          <w:lang w:val="fr-FR" w:eastAsia="zh-CN"/>
        </w:rPr>
      </w:pPr>
      <w:r w:rsidRPr="00FF62BD">
        <w:rPr>
          <w:rFonts w:ascii="Arial" w:eastAsia="Times New Roman" w:hAnsi="Arial" w:cs="Arial"/>
          <w:lang w:val="ro-RO" w:eastAsia="zh-CN"/>
        </w:rPr>
        <w:t xml:space="preserve">Ȋntrebarea „cȃt de ȋn afara centrului” trebuie localizatǎ originea acțiunilor pentru delimitarea ariei geografice corespunzǎtoare PMUD poate primi rǎspuns analizȃnd </w:t>
      </w:r>
      <w:r w:rsidRPr="00FF62BD">
        <w:rPr>
          <w:rFonts w:ascii="Arial" w:eastAsia="Times New Roman" w:hAnsi="Arial" w:cs="Arial"/>
          <w:b/>
          <w:lang w:val="ro-RO" w:eastAsia="zh-CN"/>
        </w:rPr>
        <w:t>ȋntreaga suprafațǎ care genereazǎ deplasări</w:t>
      </w:r>
      <w:r w:rsidRPr="00FF62BD">
        <w:rPr>
          <w:rFonts w:ascii="Arial" w:eastAsia="Times New Roman" w:hAnsi="Arial" w:cs="Arial"/>
          <w:lang w:val="ro-RO" w:eastAsia="zh-CN"/>
        </w:rPr>
        <w:t>.</w:t>
      </w:r>
    </w:p>
    <w:p w14:paraId="6160E86A" w14:textId="77777777" w:rsidR="00FF62BD" w:rsidRPr="00FF62BD" w:rsidRDefault="00FF62BD" w:rsidP="00FF62BD">
      <w:pPr>
        <w:widowControl w:val="0"/>
        <w:suppressAutoHyphens/>
        <w:autoSpaceDE w:val="0"/>
        <w:spacing w:after="0" w:line="360" w:lineRule="auto"/>
        <w:jc w:val="both"/>
        <w:rPr>
          <w:rFonts w:ascii="Arial" w:hAnsi="Arial" w:cs="Arial"/>
          <w:b/>
          <w:kern w:val="1"/>
          <w:sz w:val="20"/>
          <w:szCs w:val="24"/>
          <w:lang w:val="fr-FR" w:eastAsia="hi-IN" w:bidi="hi-IN"/>
        </w:rPr>
      </w:pPr>
    </w:p>
    <w:p w14:paraId="5DC1228B" w14:textId="77777777" w:rsidR="00FF62BD" w:rsidRPr="00FF62BD" w:rsidRDefault="00FF62BD" w:rsidP="00FF62BD">
      <w:pPr>
        <w:widowControl w:val="0"/>
        <w:suppressAutoHyphens/>
        <w:autoSpaceDE w:val="0"/>
        <w:spacing w:after="0" w:line="276" w:lineRule="auto"/>
        <w:jc w:val="both"/>
        <w:rPr>
          <w:rFonts w:ascii="Arial" w:hAnsi="Arial" w:cs="Arial"/>
          <w:kern w:val="1"/>
          <w:lang w:val="es-ES" w:eastAsia="hi-IN" w:bidi="hi-IN"/>
        </w:rPr>
      </w:pPr>
      <w:r w:rsidRPr="00FF62BD">
        <w:rPr>
          <w:rFonts w:ascii="Arial" w:hAnsi="Arial" w:cs="Arial"/>
          <w:iCs/>
          <w:kern w:val="1"/>
          <w:lang w:val="fr-FR" w:eastAsia="hi-IN" w:bidi="hi-IN"/>
        </w:rPr>
        <w:t xml:space="preserve">Geografia urbană </w:t>
      </w:r>
      <w:r w:rsidRPr="00FF62BD">
        <w:rPr>
          <w:rFonts w:ascii="Arial" w:hAnsi="Arial" w:cs="Arial"/>
          <w:kern w:val="1"/>
          <w:lang w:val="fr-FR" w:eastAsia="hi-IN" w:bidi="hi-IN"/>
        </w:rPr>
        <w:t xml:space="preserve">studiază apariţia, structura internă şi dinamica oraşului, raportul său cu teritoriul adiacent, relaţiile cu alte aşezări, repartiţia geografică şi rolul oraşelor în structurarea spaţiului. </w:t>
      </w:r>
      <w:r w:rsidRPr="00FF62BD">
        <w:rPr>
          <w:rFonts w:ascii="Arial" w:hAnsi="Arial" w:cs="Arial"/>
          <w:iCs/>
          <w:kern w:val="1"/>
          <w:lang w:val="fr-FR" w:eastAsia="hi-IN" w:bidi="hi-IN"/>
        </w:rPr>
        <w:t xml:space="preserve">Oraşul </w:t>
      </w:r>
      <w:r w:rsidRPr="00FF62BD">
        <w:rPr>
          <w:rFonts w:ascii="Arial" w:hAnsi="Arial" w:cs="Arial"/>
          <w:kern w:val="1"/>
          <w:lang w:val="fr-FR" w:eastAsia="hi-IN" w:bidi="hi-IN"/>
        </w:rPr>
        <w:t xml:space="preserve">reprezintă principalul său obiect de studiu, la care se adaugă alte categorii de aşezări urbane (aşezări de tip proto-urban, comune suburbane, localităţi rurale asimilate urbanului, etc.), inclusiv aşezările rurale cu spaţiul lor de susţinere, aflate sub influenţa sa directă. </w:t>
      </w:r>
      <w:r w:rsidRPr="00FF62BD">
        <w:rPr>
          <w:rFonts w:ascii="Arial" w:hAnsi="Arial" w:cs="Arial"/>
          <w:kern w:val="1"/>
          <w:lang w:val="es-ES" w:eastAsia="hi-IN" w:bidi="hi-IN"/>
        </w:rPr>
        <w:t>În acest sens se poate afirma că g</w:t>
      </w:r>
      <w:r w:rsidRPr="00FF62BD">
        <w:rPr>
          <w:rFonts w:ascii="Arial" w:hAnsi="Arial" w:cs="Arial"/>
          <w:iCs/>
          <w:kern w:val="1"/>
          <w:lang w:val="es-ES" w:eastAsia="hi-IN" w:bidi="hi-IN"/>
        </w:rPr>
        <w:t xml:space="preserve">eografia urbană </w:t>
      </w:r>
      <w:r w:rsidRPr="00FF62BD">
        <w:rPr>
          <w:rFonts w:ascii="Arial" w:hAnsi="Arial" w:cs="Arial"/>
          <w:kern w:val="1"/>
          <w:lang w:val="es-ES" w:eastAsia="hi-IN" w:bidi="hi-IN"/>
        </w:rPr>
        <w:t xml:space="preserve">ca ştiinţă, se ocupă cu analiza dimensiunilor spaţiale ale fenomenului urban </w:t>
      </w:r>
      <w:r w:rsidRPr="00FF62BD">
        <w:rPr>
          <w:rFonts w:ascii="Arial" w:hAnsi="Arial" w:cs="Arial"/>
          <w:b/>
          <w:kern w:val="1"/>
          <w:lang w:val="es-ES" w:eastAsia="hi-IN" w:bidi="hi-IN"/>
        </w:rPr>
        <w:t>(distribuţie, structură şi proces).</w:t>
      </w:r>
    </w:p>
    <w:p w14:paraId="555707E2" w14:textId="77777777" w:rsidR="00FF62BD" w:rsidRPr="00FF62BD" w:rsidRDefault="00FF62BD" w:rsidP="00FF62BD">
      <w:pPr>
        <w:widowControl w:val="0"/>
        <w:suppressAutoHyphens/>
        <w:autoSpaceDE w:val="0"/>
        <w:spacing w:after="0" w:line="360" w:lineRule="auto"/>
        <w:jc w:val="both"/>
        <w:rPr>
          <w:rFonts w:ascii="Arial" w:hAnsi="Arial" w:cs="Arial"/>
          <w:kern w:val="1"/>
          <w:sz w:val="24"/>
          <w:szCs w:val="24"/>
          <w:lang w:val="es-ES" w:eastAsia="hi-IN" w:bidi="hi-IN"/>
        </w:rPr>
      </w:pPr>
    </w:p>
    <w:p w14:paraId="06D65DB2" w14:textId="77777777" w:rsidR="00FF62BD" w:rsidRPr="00FF62BD" w:rsidRDefault="00FF62BD" w:rsidP="00FF62BD">
      <w:pPr>
        <w:widowControl w:val="0"/>
        <w:suppressAutoHyphens/>
        <w:autoSpaceDE w:val="0"/>
        <w:spacing w:after="0" w:line="276" w:lineRule="auto"/>
        <w:jc w:val="both"/>
        <w:rPr>
          <w:rFonts w:ascii="Arial" w:hAnsi="Arial" w:cs="Arial"/>
          <w:kern w:val="1"/>
          <w:lang w:val="es-ES" w:eastAsia="hi-IN" w:bidi="hi-IN"/>
        </w:rPr>
      </w:pPr>
      <w:r w:rsidRPr="00FF62BD">
        <w:rPr>
          <w:rFonts w:ascii="Arial" w:hAnsi="Arial" w:cs="Arial"/>
          <w:kern w:val="1"/>
          <w:lang w:val="es-ES" w:eastAsia="hi-IN" w:bidi="hi-IN"/>
        </w:rPr>
        <w:t xml:space="preserve">Prin definiţie, </w:t>
      </w:r>
      <w:r w:rsidRPr="00FF62BD">
        <w:rPr>
          <w:rFonts w:ascii="Arial" w:hAnsi="Arial" w:cs="Arial"/>
          <w:iCs/>
          <w:kern w:val="1"/>
          <w:lang w:val="es-ES" w:eastAsia="hi-IN" w:bidi="hi-IN"/>
        </w:rPr>
        <w:t xml:space="preserve">spaţiul urban </w:t>
      </w:r>
      <w:r w:rsidRPr="00FF62BD">
        <w:rPr>
          <w:rFonts w:ascii="Arial" w:hAnsi="Arial" w:cs="Arial"/>
          <w:kern w:val="1"/>
          <w:lang w:val="es-ES" w:eastAsia="hi-IN" w:bidi="hi-IN"/>
        </w:rPr>
        <w:t xml:space="preserve">reprezintă un spaţiu cu un anumit conţinut, structură şi organizare specifică, fiind o manifestare concretă a efectului interacţiunii în timp a spaţiilor demografice, sociale şi economice, proiectate pe spaţiul fizic. </w:t>
      </w:r>
      <w:r w:rsidRPr="00FF62BD">
        <w:rPr>
          <w:rFonts w:ascii="Arial" w:hAnsi="Arial" w:cs="Arial"/>
          <w:iCs/>
          <w:kern w:val="1"/>
          <w:lang w:val="es-ES" w:eastAsia="hi-IN" w:bidi="hi-IN"/>
        </w:rPr>
        <w:t>Spaţiul geografic</w:t>
      </w:r>
      <w:r w:rsidRPr="00FF62BD">
        <w:rPr>
          <w:rFonts w:ascii="Arial" w:hAnsi="Arial" w:cs="Arial"/>
          <w:kern w:val="1"/>
          <w:lang w:val="es-ES" w:eastAsia="hi-IN" w:bidi="hi-IN"/>
        </w:rPr>
        <w:t xml:space="preserve">, ca entitate majoră de existenţă </w:t>
      </w:r>
      <w:r w:rsidRPr="00FF62BD">
        <w:rPr>
          <w:rFonts w:ascii="Arial" w:hAnsi="Arial" w:cs="Arial"/>
          <w:kern w:val="1"/>
          <w:lang w:val="es-ES" w:eastAsia="hi-IN" w:bidi="hi-IN"/>
        </w:rPr>
        <w:lastRenderedPageBreak/>
        <w:t>şi percepere a obiectelor şi structurilor geografice, aflate în cadrul învelişului geografic, este compus dintr-o multitudine de spaţii de rang inferior, de diferite dimensiuni, structuri, forme şi destinaţii.</w:t>
      </w:r>
    </w:p>
    <w:p w14:paraId="68D51B0D" w14:textId="77777777" w:rsidR="00FF62BD" w:rsidRPr="00FF62BD" w:rsidRDefault="00FF62BD" w:rsidP="00FF62BD">
      <w:pPr>
        <w:widowControl w:val="0"/>
        <w:suppressAutoHyphens/>
        <w:autoSpaceDE w:val="0"/>
        <w:spacing w:after="0" w:line="276" w:lineRule="auto"/>
        <w:jc w:val="both"/>
        <w:rPr>
          <w:rFonts w:ascii="Arial" w:hAnsi="Arial" w:cs="Arial"/>
          <w:kern w:val="1"/>
          <w:lang w:val="es-ES" w:eastAsia="hi-IN" w:bidi="hi-IN"/>
        </w:rPr>
      </w:pPr>
    </w:p>
    <w:p w14:paraId="527BB410" w14:textId="77777777" w:rsidR="00FF62BD" w:rsidRPr="00FF62BD" w:rsidRDefault="00FF62BD" w:rsidP="00FF62BD">
      <w:pPr>
        <w:widowControl w:val="0"/>
        <w:suppressAutoHyphens/>
        <w:autoSpaceDE w:val="0"/>
        <w:spacing w:after="0" w:line="276" w:lineRule="auto"/>
        <w:jc w:val="both"/>
        <w:rPr>
          <w:rFonts w:ascii="Arial" w:hAnsi="Arial" w:cs="Arial"/>
          <w:kern w:val="1"/>
          <w:lang w:val="es-ES" w:eastAsia="hi-IN" w:bidi="hi-IN"/>
        </w:rPr>
      </w:pPr>
      <w:r w:rsidRPr="00FF62BD">
        <w:rPr>
          <w:rFonts w:ascii="Arial" w:hAnsi="Arial" w:cs="Arial"/>
          <w:kern w:val="1"/>
          <w:lang w:val="es-ES" w:eastAsia="hi-IN" w:bidi="hi-IN"/>
        </w:rPr>
        <w:t xml:space="preserve">În stabilirea tipurilor de planificare teritorială trebuie să se ţină cont de criteriul metodei şi conţinutului folosit, dar şi a scopului de atins. </w:t>
      </w:r>
      <w:r w:rsidRPr="00FF62BD">
        <w:rPr>
          <w:rFonts w:ascii="Arial" w:hAnsi="Arial" w:cs="Arial"/>
          <w:b/>
          <w:kern w:val="1"/>
          <w:lang w:val="es-ES" w:eastAsia="hi-IN" w:bidi="hi-IN"/>
        </w:rPr>
        <w:t>Analiza geografică a sistemului de transport</w:t>
      </w:r>
      <w:r w:rsidRPr="00FF62BD">
        <w:rPr>
          <w:rFonts w:ascii="Arial" w:hAnsi="Arial" w:cs="Arial"/>
          <w:kern w:val="1"/>
          <w:lang w:val="es-ES" w:eastAsia="hi-IN" w:bidi="hi-IN"/>
        </w:rPr>
        <w:t xml:space="preserve"> trebuie să ia în considerare complexitatea clasificării acestuia, deoarece cuprinde o gamă largă de variable, precum: diferite căi de comunicaţie, obiective diverse, infrastructura completă sau incompletǎ de transport, multitudinea nivelurilor geografice, fără a se neglija şi alţi factori implicaţi. </w:t>
      </w:r>
      <w:r w:rsidRPr="00FF62BD">
        <w:rPr>
          <w:rFonts w:ascii="Arial" w:hAnsi="Arial" w:cs="Arial"/>
          <w:b/>
          <w:iCs/>
          <w:kern w:val="1"/>
          <w:lang w:val="es-ES" w:eastAsia="hi-IN" w:bidi="hi-IN"/>
        </w:rPr>
        <w:t xml:space="preserve">Transporturile </w:t>
      </w:r>
      <w:r w:rsidRPr="00FF62BD">
        <w:rPr>
          <w:rFonts w:ascii="Arial" w:hAnsi="Arial" w:cs="Arial"/>
          <w:b/>
          <w:kern w:val="1"/>
          <w:lang w:val="es-ES" w:eastAsia="hi-IN" w:bidi="hi-IN"/>
        </w:rPr>
        <w:t>constituie una dintre cele mai importante componente ale vieţii socio-economice</w:t>
      </w:r>
      <w:r w:rsidRPr="00FF62BD">
        <w:rPr>
          <w:rFonts w:ascii="Arial" w:hAnsi="Arial" w:cs="Arial"/>
          <w:kern w:val="1"/>
          <w:lang w:val="es-ES" w:eastAsia="hi-IN" w:bidi="hi-IN"/>
        </w:rPr>
        <w:t xml:space="preserve">, conexiunea zonelor funcţionale ale oraşelor realizându-se prin intermediul căilor şi mijloacelor de transport. Prin </w:t>
      </w:r>
      <w:r w:rsidRPr="00FF62BD">
        <w:rPr>
          <w:rFonts w:ascii="Arial" w:hAnsi="Arial" w:cs="Arial"/>
          <w:iCs/>
          <w:kern w:val="1"/>
          <w:lang w:val="es-ES" w:eastAsia="hi-IN" w:bidi="hi-IN"/>
        </w:rPr>
        <w:t xml:space="preserve">sistem de transport </w:t>
      </w:r>
      <w:r w:rsidRPr="00FF62BD">
        <w:rPr>
          <w:rFonts w:ascii="Arial" w:hAnsi="Arial" w:cs="Arial"/>
          <w:kern w:val="1"/>
          <w:lang w:val="es-ES" w:eastAsia="hi-IN" w:bidi="hi-IN"/>
        </w:rPr>
        <w:t xml:space="preserve">se înţelege totalitatea mijloacelor, instalaţiilor şi echipamentelor de transport, grupate după diverse criterii: tehnic, geografic, organizatoric, obiectului transportului, mǎsura integrării în procesul de producţie. Prin intermediul </w:t>
      </w:r>
      <w:r w:rsidRPr="00FF62BD">
        <w:rPr>
          <w:rFonts w:ascii="Arial" w:hAnsi="Arial" w:cs="Arial"/>
          <w:iCs/>
          <w:kern w:val="1"/>
          <w:lang w:val="es-ES" w:eastAsia="hi-IN" w:bidi="hi-IN"/>
        </w:rPr>
        <w:t>sistemelor de transport</w:t>
      </w:r>
      <w:r w:rsidRPr="00FF62BD">
        <w:rPr>
          <w:rFonts w:ascii="Arial" w:hAnsi="Arial" w:cs="Arial"/>
          <w:kern w:val="1"/>
          <w:lang w:val="es-ES" w:eastAsia="hi-IN" w:bidi="hi-IN"/>
        </w:rPr>
        <w:t xml:space="preserve">, operatorii prestează servicii de transport la cererea clienţilor. </w:t>
      </w:r>
      <w:r w:rsidRPr="00FF62BD">
        <w:rPr>
          <w:rFonts w:ascii="Arial" w:hAnsi="Arial" w:cs="Arial"/>
          <w:b/>
          <w:kern w:val="1"/>
          <w:lang w:val="es-ES" w:eastAsia="hi-IN" w:bidi="hi-IN"/>
        </w:rPr>
        <w:t xml:space="preserve">Definiţia </w:t>
      </w:r>
      <w:r w:rsidRPr="00FF62BD">
        <w:rPr>
          <w:rFonts w:ascii="Arial" w:hAnsi="Arial" w:cs="Arial"/>
          <w:b/>
          <w:iCs/>
          <w:kern w:val="1"/>
          <w:lang w:val="es-ES" w:eastAsia="hi-IN" w:bidi="hi-IN"/>
        </w:rPr>
        <w:t>sistemului de transport integrat</w:t>
      </w:r>
      <w:r w:rsidRPr="00FF62BD">
        <w:rPr>
          <w:rFonts w:ascii="Arial" w:hAnsi="Arial" w:cs="Arial"/>
          <w:iCs/>
          <w:kern w:val="1"/>
          <w:lang w:val="es-ES" w:eastAsia="hi-IN" w:bidi="hi-IN"/>
        </w:rPr>
        <w:t xml:space="preserve"> </w:t>
      </w:r>
      <w:r w:rsidRPr="00FF62BD">
        <w:rPr>
          <w:rFonts w:ascii="Arial" w:hAnsi="Arial" w:cs="Arial"/>
          <w:kern w:val="1"/>
          <w:lang w:val="es-ES" w:eastAsia="hi-IN" w:bidi="hi-IN"/>
        </w:rPr>
        <w:t>se referă la acel serviciu de transport accesibil, permiţând circulaţia liberă pe mai multe reţele, între care sunt posibile corespondenţe situate în interiorul unei amenajări urbane sau teritoriale, concepute într-o manieră globală.</w:t>
      </w:r>
    </w:p>
    <w:p w14:paraId="6EB7AAB1" w14:textId="77777777" w:rsidR="00FF62BD" w:rsidRPr="00FF62BD" w:rsidRDefault="00FF62BD" w:rsidP="00FF62BD">
      <w:pPr>
        <w:widowControl w:val="0"/>
        <w:suppressAutoHyphens/>
        <w:autoSpaceDE w:val="0"/>
        <w:spacing w:after="0" w:line="360" w:lineRule="auto"/>
        <w:jc w:val="both"/>
        <w:rPr>
          <w:rFonts w:ascii="Arial" w:hAnsi="Arial" w:cs="Arial"/>
          <w:kern w:val="1"/>
          <w:sz w:val="24"/>
          <w:szCs w:val="24"/>
          <w:lang w:val="es-ES" w:eastAsia="hi-IN" w:bidi="hi-IN"/>
        </w:rPr>
      </w:pPr>
    </w:p>
    <w:p w14:paraId="171C4330" w14:textId="77777777" w:rsidR="00FF62BD" w:rsidRPr="00FF62BD" w:rsidRDefault="00FF62BD" w:rsidP="00FF62BD">
      <w:pPr>
        <w:widowControl w:val="0"/>
        <w:suppressAutoHyphens/>
        <w:autoSpaceDE w:val="0"/>
        <w:spacing w:after="0" w:line="276" w:lineRule="auto"/>
        <w:jc w:val="both"/>
        <w:rPr>
          <w:rFonts w:ascii="Arial" w:hAnsi="Arial" w:cs="Arial"/>
          <w:b/>
          <w:kern w:val="1"/>
          <w:lang w:val="es-ES" w:eastAsia="hi-IN" w:bidi="hi-IN"/>
        </w:rPr>
      </w:pPr>
      <w:r w:rsidRPr="00FF62BD">
        <w:rPr>
          <w:rFonts w:ascii="Arial" w:hAnsi="Arial" w:cs="Arial"/>
          <w:kern w:val="1"/>
          <w:lang w:val="es-ES" w:eastAsia="hi-IN" w:bidi="hi-IN"/>
        </w:rPr>
        <w:t xml:space="preserve">În ceea ce priveşte </w:t>
      </w:r>
      <w:r w:rsidRPr="00FF62BD">
        <w:rPr>
          <w:rFonts w:ascii="Arial" w:hAnsi="Arial" w:cs="Arial"/>
          <w:iCs/>
          <w:kern w:val="1"/>
          <w:lang w:val="es-ES" w:eastAsia="hi-IN" w:bidi="hi-IN"/>
        </w:rPr>
        <w:t>serviciile de transport</w:t>
      </w:r>
      <w:r w:rsidRPr="00FF62BD">
        <w:rPr>
          <w:rFonts w:ascii="Arial" w:hAnsi="Arial" w:cs="Arial"/>
          <w:kern w:val="1"/>
          <w:lang w:val="es-ES" w:eastAsia="hi-IN" w:bidi="hi-IN"/>
        </w:rPr>
        <w:t xml:space="preserve">, există un concept ce defineşte bine legǎtura dintre aşteptările clienţilor şi prestaţia serviciului. Conceptul îl constituie </w:t>
      </w:r>
      <w:r w:rsidRPr="00FF62BD">
        <w:rPr>
          <w:rFonts w:ascii="Arial" w:hAnsi="Arial" w:cs="Arial"/>
          <w:iCs/>
          <w:kern w:val="1"/>
          <w:lang w:val="es-ES" w:eastAsia="hi-IN" w:bidi="hi-IN"/>
        </w:rPr>
        <w:t xml:space="preserve">nivelul serviciului </w:t>
      </w:r>
      <w:r w:rsidRPr="00FF62BD">
        <w:rPr>
          <w:rFonts w:ascii="Arial" w:hAnsi="Arial" w:cs="Arial"/>
          <w:kern w:val="1"/>
          <w:lang w:val="es-ES" w:eastAsia="hi-IN" w:bidi="hi-IN"/>
        </w:rPr>
        <w:t>(</w:t>
      </w:r>
      <w:r w:rsidRPr="00FF62BD">
        <w:rPr>
          <w:rFonts w:ascii="Arial" w:hAnsi="Arial" w:cs="Arial"/>
          <w:iCs/>
          <w:kern w:val="1"/>
          <w:lang w:val="es-ES" w:eastAsia="hi-IN" w:bidi="hi-IN"/>
        </w:rPr>
        <w:t>Level of Service</w:t>
      </w:r>
      <w:r w:rsidRPr="00FF62BD">
        <w:rPr>
          <w:rFonts w:ascii="Arial" w:hAnsi="Arial" w:cs="Arial"/>
          <w:kern w:val="1"/>
          <w:lang w:val="es-ES" w:eastAsia="hi-IN" w:bidi="hi-IN"/>
        </w:rPr>
        <w:t xml:space="preserve">). Variabilele LoS sunt pentru </w:t>
      </w:r>
      <w:r w:rsidRPr="00FF62BD">
        <w:rPr>
          <w:rFonts w:ascii="Arial" w:hAnsi="Arial" w:cs="Arial"/>
          <w:iCs/>
          <w:kern w:val="1"/>
          <w:lang w:val="es-ES" w:eastAsia="hi-IN" w:bidi="hi-IN"/>
        </w:rPr>
        <w:t xml:space="preserve">transportul de marfă </w:t>
      </w:r>
      <w:r w:rsidRPr="00FF62BD">
        <w:rPr>
          <w:rFonts w:ascii="Arial" w:hAnsi="Arial" w:cs="Arial"/>
          <w:kern w:val="1"/>
          <w:lang w:val="es-ES" w:eastAsia="hi-IN" w:bidi="hi-IN"/>
        </w:rPr>
        <w:t xml:space="preserve">(preţ, timp de transport, regularitatea serviciului, asigurarea unui efect minim al poluǎrii etc.), şi pentru </w:t>
      </w:r>
      <w:r w:rsidRPr="00FF62BD">
        <w:rPr>
          <w:rFonts w:ascii="Arial" w:hAnsi="Arial" w:cs="Arial"/>
          <w:iCs/>
          <w:kern w:val="1"/>
          <w:lang w:val="es-ES" w:eastAsia="hi-IN" w:bidi="hi-IN"/>
        </w:rPr>
        <w:t xml:space="preserve">transportul de călători </w:t>
      </w:r>
      <w:r w:rsidRPr="00FF62BD">
        <w:rPr>
          <w:rFonts w:ascii="Arial" w:hAnsi="Arial" w:cs="Arial"/>
          <w:kern w:val="1"/>
          <w:lang w:val="es-ES" w:eastAsia="hi-IN" w:bidi="hi-IN"/>
        </w:rPr>
        <w:t xml:space="preserve">(preţ, durata călătoriei, frecvenţa serviciului, regularitatea </w:t>
      </w:r>
      <w:r w:rsidRPr="00FF62BD">
        <w:rPr>
          <w:rFonts w:ascii="Arial" w:hAnsi="Arial" w:cs="Arial"/>
          <w:b/>
          <w:bCs/>
          <w:kern w:val="1"/>
          <w:lang w:val="es-ES" w:eastAsia="hi-IN" w:bidi="hi-IN"/>
        </w:rPr>
        <w:t>și nu ȋn ultimul rȃnd</w:t>
      </w:r>
      <w:r w:rsidRPr="00FF62BD">
        <w:rPr>
          <w:rFonts w:ascii="Arial" w:hAnsi="Arial" w:cs="Arial"/>
          <w:kern w:val="1"/>
          <w:lang w:val="es-ES" w:eastAsia="hi-IN" w:bidi="hi-IN"/>
        </w:rPr>
        <w:t xml:space="preserve"> protejarea mediului ȋnconjurǎtor ȋn limitele „umane” etc.)</w:t>
      </w:r>
    </w:p>
    <w:p w14:paraId="324A37B8" w14:textId="77777777" w:rsidR="00FF62BD" w:rsidRPr="00FF62BD" w:rsidRDefault="00FF62BD" w:rsidP="00FF62BD">
      <w:pPr>
        <w:widowControl w:val="0"/>
        <w:suppressAutoHyphens/>
        <w:autoSpaceDE w:val="0"/>
        <w:spacing w:after="0" w:line="276" w:lineRule="auto"/>
        <w:jc w:val="both"/>
        <w:rPr>
          <w:rFonts w:ascii="Arial" w:hAnsi="Arial" w:cs="Arial"/>
          <w:b/>
          <w:kern w:val="1"/>
          <w:lang w:val="es-ES" w:eastAsia="hi-IN" w:bidi="hi-IN"/>
        </w:rPr>
      </w:pPr>
    </w:p>
    <w:p w14:paraId="644858EC" w14:textId="77777777" w:rsidR="00FF62BD" w:rsidRPr="00FF62BD" w:rsidRDefault="00FF62BD" w:rsidP="00FF62BD">
      <w:pPr>
        <w:widowControl w:val="0"/>
        <w:suppressAutoHyphens/>
        <w:spacing w:after="120" w:line="276" w:lineRule="auto"/>
        <w:jc w:val="both"/>
        <w:rPr>
          <w:rFonts w:ascii="Arial" w:hAnsi="Arial" w:cs="Arial"/>
          <w:kern w:val="1"/>
          <w:lang w:val="sv-SE" w:eastAsia="hi-IN" w:bidi="hi-IN"/>
        </w:rPr>
      </w:pPr>
      <w:r w:rsidRPr="00FF62BD">
        <w:rPr>
          <w:rFonts w:ascii="Arial" w:hAnsi="Arial" w:cs="Arial"/>
          <w:kern w:val="1"/>
          <w:lang w:val="sv-SE" w:eastAsia="hi-IN" w:bidi="hi-IN"/>
        </w:rPr>
        <w:t xml:space="preserve">Câteva din temele abordate de </w:t>
      </w:r>
      <w:r w:rsidRPr="00FF62BD">
        <w:rPr>
          <w:rFonts w:ascii="Arial" w:hAnsi="Arial" w:cs="Arial"/>
          <w:kern w:val="1"/>
          <w:lang w:val="fr-FR" w:eastAsia="hi-IN" w:bidi="hi-IN"/>
        </w:rPr>
        <w:t xml:space="preserve">ecologia care vizeazǎ </w:t>
      </w:r>
      <w:r w:rsidRPr="00FF62BD">
        <w:rPr>
          <w:rFonts w:ascii="Arial" w:hAnsi="Arial" w:cs="Arial"/>
          <w:kern w:val="1"/>
          <w:lang w:val="es-ES" w:eastAsia="hi-IN" w:bidi="hi-IN"/>
        </w:rPr>
        <w:t xml:space="preserve">protejarea mediului ȋnconjurǎtor ȋn limitele „umane” </w:t>
      </w:r>
      <w:r w:rsidRPr="00FF62BD">
        <w:rPr>
          <w:rFonts w:ascii="Arial" w:hAnsi="Arial" w:cs="Arial"/>
          <w:kern w:val="1"/>
          <w:lang w:val="sv-SE" w:eastAsia="hi-IN" w:bidi="hi-IN"/>
        </w:rPr>
        <w:t>sunt urmǎtoarele:</w:t>
      </w:r>
    </w:p>
    <w:p w14:paraId="46882FB9" w14:textId="77777777" w:rsidR="00FF62BD" w:rsidRPr="00FF62BD" w:rsidRDefault="00FF62BD" w:rsidP="000C6CB8">
      <w:pPr>
        <w:widowControl w:val="0"/>
        <w:numPr>
          <w:ilvl w:val="0"/>
          <w:numId w:val="153"/>
        </w:numPr>
        <w:suppressAutoHyphens/>
        <w:spacing w:after="0" w:line="276" w:lineRule="auto"/>
        <w:jc w:val="both"/>
        <w:rPr>
          <w:rFonts w:ascii="Arial" w:eastAsia="Times New Roman" w:hAnsi="Arial" w:cs="Arial"/>
          <w:kern w:val="1"/>
          <w:lang w:val="sv-SE" w:eastAsia="hi-IN" w:bidi="hi-IN"/>
        </w:rPr>
      </w:pPr>
      <w:r w:rsidRPr="00FF62BD">
        <w:rPr>
          <w:rFonts w:ascii="Arial" w:eastAsia="Times New Roman" w:hAnsi="Arial" w:cs="Arial"/>
          <w:kern w:val="1"/>
          <w:lang w:val="sv-SE" w:eastAsia="hi-IN" w:bidi="hi-IN"/>
        </w:rPr>
        <w:t>stoparea distrugerii naturii şi subordonarea dezvoltării economice, posibilităţilor pe care le oferă natura, ca receptacul de deşeuri şi poluanţi;</w:t>
      </w:r>
    </w:p>
    <w:p w14:paraId="719BABD0" w14:textId="77777777" w:rsidR="00FF62BD" w:rsidRPr="00FF62BD" w:rsidRDefault="00FF62BD" w:rsidP="000C6CB8">
      <w:pPr>
        <w:widowControl w:val="0"/>
        <w:numPr>
          <w:ilvl w:val="0"/>
          <w:numId w:val="153"/>
        </w:numPr>
        <w:suppressAutoHyphens/>
        <w:spacing w:after="0" w:line="276" w:lineRule="auto"/>
        <w:jc w:val="both"/>
        <w:rPr>
          <w:rFonts w:ascii="Arial" w:eastAsia="Times New Roman" w:hAnsi="Arial" w:cs="Arial"/>
          <w:kern w:val="1"/>
          <w:lang w:val="sv-SE" w:eastAsia="hi-IN" w:bidi="hi-IN"/>
        </w:rPr>
      </w:pPr>
      <w:r w:rsidRPr="00FF62BD">
        <w:rPr>
          <w:rFonts w:ascii="Arial" w:eastAsia="Times New Roman" w:hAnsi="Arial" w:cs="Arial"/>
          <w:kern w:val="1"/>
          <w:lang w:val="sv-SE" w:eastAsia="hi-IN" w:bidi="hi-IN"/>
        </w:rPr>
        <w:t>temperarea creşterii tehnico-industriale doar pentru a domina concurenţa şi punerea accentului pe creşterea calităţii, nu a cantităţii;</w:t>
      </w:r>
    </w:p>
    <w:p w14:paraId="7C1B4212" w14:textId="77777777" w:rsidR="00FF62BD" w:rsidRPr="00FF62BD" w:rsidRDefault="00FF62BD" w:rsidP="000C6CB8">
      <w:pPr>
        <w:widowControl w:val="0"/>
        <w:numPr>
          <w:ilvl w:val="0"/>
          <w:numId w:val="153"/>
        </w:numPr>
        <w:suppressAutoHyphens/>
        <w:spacing w:after="0" w:line="276" w:lineRule="auto"/>
        <w:jc w:val="both"/>
        <w:rPr>
          <w:rFonts w:ascii="Arial" w:eastAsia="Times New Roman" w:hAnsi="Arial" w:cs="Arial"/>
          <w:kern w:val="1"/>
          <w:lang w:val="sv-SE" w:eastAsia="hi-IN" w:bidi="hi-IN"/>
        </w:rPr>
      </w:pPr>
      <w:r w:rsidRPr="00FF62BD">
        <w:rPr>
          <w:rFonts w:ascii="Arial" w:eastAsia="Times New Roman" w:hAnsi="Arial" w:cs="Arial"/>
          <w:kern w:val="1"/>
          <w:lang w:val="sv-SE" w:eastAsia="hi-IN" w:bidi="hi-IN"/>
        </w:rPr>
        <w:t>încurajarea producţiilor nepoluante şi fără riscuri majore pentru mediu;</w:t>
      </w:r>
    </w:p>
    <w:p w14:paraId="3CC2A1F4" w14:textId="77777777" w:rsidR="00FF62BD" w:rsidRPr="00FF62BD" w:rsidRDefault="00FF62BD" w:rsidP="000C6CB8">
      <w:pPr>
        <w:widowControl w:val="0"/>
        <w:numPr>
          <w:ilvl w:val="0"/>
          <w:numId w:val="153"/>
        </w:numPr>
        <w:suppressAutoHyphens/>
        <w:spacing w:after="0" w:line="276" w:lineRule="auto"/>
        <w:jc w:val="both"/>
        <w:rPr>
          <w:rFonts w:ascii="Arial" w:eastAsia="Times New Roman" w:hAnsi="Arial" w:cs="Arial"/>
          <w:kern w:val="1"/>
          <w:lang w:val="sv-SE" w:eastAsia="hi-IN" w:bidi="hi-IN"/>
        </w:rPr>
      </w:pPr>
      <w:r w:rsidRPr="00FF62BD">
        <w:rPr>
          <w:rFonts w:ascii="Arial" w:eastAsia="Times New Roman" w:hAnsi="Arial" w:cs="Arial"/>
          <w:kern w:val="1"/>
          <w:lang w:val="sv-SE" w:eastAsia="hi-IN" w:bidi="hi-IN"/>
        </w:rPr>
        <w:t>crearea unei societăţi bazate pe solidaritatea umană și convivialitate, în care să domine primatul valorilor spirituale, nu cele materiale şi care să facă posibilă dezvoltarea personalităţii umane.</w:t>
      </w:r>
    </w:p>
    <w:p w14:paraId="11CBD965" w14:textId="77777777" w:rsidR="00FF62BD" w:rsidRPr="00FF62BD" w:rsidRDefault="00FF62BD" w:rsidP="00FF62BD">
      <w:pPr>
        <w:widowControl w:val="0"/>
        <w:suppressAutoHyphens/>
        <w:spacing w:after="0" w:line="360" w:lineRule="auto"/>
        <w:jc w:val="both"/>
        <w:rPr>
          <w:rFonts w:ascii="Arial" w:hAnsi="Arial" w:cs="Arial"/>
          <w:kern w:val="1"/>
          <w:sz w:val="24"/>
          <w:szCs w:val="24"/>
          <w:lang w:val="sv-SE" w:eastAsia="hi-IN" w:bidi="hi-IN"/>
        </w:rPr>
      </w:pPr>
    </w:p>
    <w:p w14:paraId="545FC3AB" w14:textId="77777777" w:rsidR="00FF62BD" w:rsidRPr="00FF62BD" w:rsidRDefault="00FF62BD" w:rsidP="00FF62BD">
      <w:pPr>
        <w:widowControl w:val="0"/>
        <w:suppressAutoHyphens/>
        <w:spacing w:after="120" w:line="276" w:lineRule="auto"/>
        <w:jc w:val="both"/>
        <w:rPr>
          <w:rFonts w:ascii="Arial" w:hAnsi="Arial" w:cs="Arial"/>
          <w:kern w:val="1"/>
          <w:lang w:val="es-ES" w:eastAsia="hi-IN" w:bidi="hi-IN"/>
        </w:rPr>
      </w:pPr>
      <w:r w:rsidRPr="00FF62BD">
        <w:rPr>
          <w:rFonts w:ascii="Arial" w:hAnsi="Arial" w:cs="Arial"/>
          <w:kern w:val="1"/>
          <w:lang w:val="es-ES" w:eastAsia="hi-IN" w:bidi="hi-IN"/>
        </w:rPr>
        <w:t>La tratarea pragmaticǎ a temelor menționate mai sus ȋși poate aduce contribuția și particularizarea noțiunii de spațiu ecologic. Ȋn accepțiunea generalizatǎ datǎ noțiunii de spațiu ecologic, fiecare ţară are dreptul la o suprafațǎ care reprezintă o cotă parte din spaţiul Pǎmȃntului. Acest spaţiu se calculează prin înmulţirea spaţiului mondial unitar (suprafaţa uscatului împărţită la numărul locuitorilor săi) cu populaţia unei ţări; indicatorul obţinut astfel prilejuieşte următoarele observaţii:</w:t>
      </w:r>
    </w:p>
    <w:p w14:paraId="78E25800" w14:textId="77777777" w:rsidR="00FF62BD" w:rsidRPr="00FF62BD" w:rsidRDefault="00FF62BD" w:rsidP="00FF62BD">
      <w:pPr>
        <w:widowControl w:val="0"/>
        <w:numPr>
          <w:ilvl w:val="0"/>
          <w:numId w:val="16"/>
        </w:numPr>
        <w:suppressAutoHyphens/>
        <w:spacing w:after="0" w:line="276" w:lineRule="auto"/>
        <w:jc w:val="both"/>
        <w:rPr>
          <w:rFonts w:ascii="Arial" w:hAnsi="Arial" w:cs="Arial"/>
          <w:kern w:val="1"/>
          <w:lang w:val="es-ES" w:eastAsia="hi-IN" w:bidi="hi-IN"/>
        </w:rPr>
      </w:pPr>
      <w:r w:rsidRPr="00FF62BD">
        <w:rPr>
          <w:rFonts w:ascii="Arial" w:hAnsi="Arial" w:cs="Arial"/>
          <w:kern w:val="1"/>
          <w:lang w:val="es-ES" w:eastAsia="hi-IN" w:bidi="hi-IN"/>
        </w:rPr>
        <w:t>spaţiul ecologic nu se suprapune peste spaţiul geografic naţional;</w:t>
      </w:r>
    </w:p>
    <w:p w14:paraId="1E56F2E3" w14:textId="77777777" w:rsidR="00FF62BD" w:rsidRPr="00FF62BD" w:rsidRDefault="00FF62BD" w:rsidP="00FF62BD">
      <w:pPr>
        <w:widowControl w:val="0"/>
        <w:numPr>
          <w:ilvl w:val="0"/>
          <w:numId w:val="15"/>
        </w:numPr>
        <w:suppressAutoHyphens/>
        <w:spacing w:after="0" w:line="276" w:lineRule="auto"/>
        <w:jc w:val="both"/>
        <w:rPr>
          <w:rFonts w:ascii="Arial" w:hAnsi="Arial" w:cs="Arial"/>
          <w:kern w:val="1"/>
          <w:lang w:val="es-ES" w:eastAsia="hi-IN" w:bidi="hi-IN"/>
        </w:rPr>
      </w:pPr>
      <w:r w:rsidRPr="00FF62BD">
        <w:rPr>
          <w:rFonts w:ascii="Arial" w:hAnsi="Arial" w:cs="Arial"/>
          <w:kern w:val="1"/>
          <w:lang w:val="es-ES" w:eastAsia="hi-IN" w:bidi="hi-IN"/>
        </w:rPr>
        <w:t>există o corelaţie directă între dezvoltarea unei ţări şi realizarea unei echităţi globale în distribuirea spaţiului ecologic;</w:t>
      </w:r>
    </w:p>
    <w:p w14:paraId="08B09DC0" w14:textId="77777777" w:rsidR="00FF62BD" w:rsidRPr="00FF62BD" w:rsidRDefault="00FF62BD" w:rsidP="00FF62BD">
      <w:pPr>
        <w:widowControl w:val="0"/>
        <w:numPr>
          <w:ilvl w:val="0"/>
          <w:numId w:val="14"/>
        </w:numPr>
        <w:suppressAutoHyphens/>
        <w:spacing w:after="0" w:line="276" w:lineRule="auto"/>
        <w:jc w:val="both"/>
        <w:rPr>
          <w:rFonts w:ascii="Arial" w:hAnsi="Arial" w:cs="Mangal"/>
          <w:kern w:val="1"/>
          <w:lang w:val="es-ES" w:eastAsia="hi-IN" w:bidi="hi-IN"/>
        </w:rPr>
      </w:pPr>
      <w:r w:rsidRPr="00FF62BD">
        <w:rPr>
          <w:rFonts w:ascii="Arial" w:hAnsi="Arial" w:cs="Arial"/>
          <w:kern w:val="1"/>
          <w:lang w:val="es-ES" w:eastAsia="hi-IN" w:bidi="hi-IN"/>
        </w:rPr>
        <w:lastRenderedPageBreak/>
        <w:t>modul de utilizare a spaţiului ecologic disponibil este diferit de la o ţară la alta; ţările dezvoltate pot valorifica mai bine, fără deteriorări ireversibile ale calităţii mediului, resursele, în favoarea propriului popor; ţările sărace folosesc mai puţin spaţiul propriu şi adesea îl deteriorează (prin eroziuni, defrișǎri, etc.).</w:t>
      </w:r>
    </w:p>
    <w:p w14:paraId="7AA07376" w14:textId="77777777" w:rsidR="00FF62BD" w:rsidRPr="00FF62BD" w:rsidRDefault="00FF62BD" w:rsidP="00FF62BD">
      <w:pPr>
        <w:widowControl w:val="0"/>
        <w:suppressAutoHyphens/>
        <w:spacing w:after="120" w:line="276" w:lineRule="auto"/>
        <w:rPr>
          <w:rFonts w:ascii="Arial" w:hAnsi="Arial" w:cs="Mangal"/>
          <w:kern w:val="1"/>
          <w:lang w:val="es-ES" w:eastAsia="hi-IN" w:bidi="hi-IN"/>
        </w:rPr>
      </w:pPr>
    </w:p>
    <w:p w14:paraId="787A7637" w14:textId="77777777" w:rsidR="00FF62BD" w:rsidRPr="00FF62BD" w:rsidRDefault="00FF62BD" w:rsidP="00FF62BD">
      <w:pPr>
        <w:widowControl w:val="0"/>
        <w:suppressAutoHyphens/>
        <w:spacing w:after="0" w:line="276" w:lineRule="auto"/>
        <w:jc w:val="both"/>
        <w:rPr>
          <w:rFonts w:ascii="Arial" w:hAnsi="Arial" w:cs="Arial"/>
          <w:kern w:val="1"/>
          <w:lang w:val="es-ES" w:eastAsia="hi-IN" w:bidi="hi-IN"/>
        </w:rPr>
      </w:pPr>
      <w:r w:rsidRPr="00FF62BD">
        <w:rPr>
          <w:rFonts w:ascii="Arial" w:hAnsi="Arial" w:cs="Arial"/>
          <w:kern w:val="1"/>
          <w:lang w:val="es-ES" w:eastAsia="hi-IN" w:bidi="hi-IN"/>
        </w:rPr>
        <w:t>Libertatea ce o are fiecare ţară de a-şi valorifica propriul spaţiu ecologic este limitată de numărul şi dinamica locuitorilor, de tipul tehnologiilor de prelucrare, de descoperirile ştiinţei şi tehnicii, de intensitatea proceselor de degradare a calităţii factorilor de mediu şi, nu în ultimul rând, de modelele de consum ale populaţiei. Fiecare din aceşti factori trebuie să fie supus unei reconsiderări în sensul schimbării, în favoarea mediului, prin politici corespunzătoare.</w:t>
      </w:r>
    </w:p>
    <w:p w14:paraId="0D162208" w14:textId="77777777" w:rsidR="00FF62BD" w:rsidRPr="00FF62BD" w:rsidRDefault="00FF62BD" w:rsidP="00FF62BD">
      <w:pPr>
        <w:widowControl w:val="0"/>
        <w:suppressAutoHyphens/>
        <w:spacing w:after="0" w:line="276" w:lineRule="auto"/>
        <w:jc w:val="both"/>
        <w:rPr>
          <w:rFonts w:ascii="Arial" w:hAnsi="Arial" w:cs="Arial"/>
          <w:kern w:val="1"/>
          <w:lang w:val="es-ES" w:eastAsia="hi-IN" w:bidi="hi-IN"/>
        </w:rPr>
      </w:pPr>
    </w:p>
    <w:p w14:paraId="25243EBC" w14:textId="77777777" w:rsidR="00FF62BD" w:rsidRPr="00FF62BD" w:rsidRDefault="00FF62BD" w:rsidP="00FF62BD">
      <w:pPr>
        <w:widowControl w:val="0"/>
        <w:suppressAutoHyphens/>
        <w:spacing w:after="0" w:line="276" w:lineRule="auto"/>
        <w:jc w:val="both"/>
        <w:rPr>
          <w:rFonts w:ascii="Arial" w:hAnsi="Arial" w:cs="Arial"/>
          <w:kern w:val="1"/>
          <w:lang w:val="fr-FR" w:eastAsia="hi-IN" w:bidi="hi-IN"/>
        </w:rPr>
      </w:pPr>
      <w:r w:rsidRPr="00FF62BD">
        <w:rPr>
          <w:rFonts w:ascii="Arial" w:hAnsi="Arial" w:cs="Arial"/>
          <w:kern w:val="1"/>
          <w:lang w:val="es-ES" w:eastAsia="hi-IN" w:bidi="hi-IN"/>
        </w:rPr>
        <w:t xml:space="preserve">Noțiunea este pasibilǎ, ȋnsǎ, și de retroversiune: un derivat al indicatorului poate fi introdus ȋn legǎturǎ cu spațiul ecologic urban (acest tip de spaţiu s-ar putea calcula prin înmulţirea spaţiului național unitar – suprafaţa țǎrii împărţită la numărul locuitorilor săi – cu populaţia unei aglomerǎri urbane). </w:t>
      </w:r>
    </w:p>
    <w:p w14:paraId="7A87841E" w14:textId="77777777" w:rsidR="00FF62BD" w:rsidRPr="00FF62BD" w:rsidRDefault="00FF62BD" w:rsidP="00FF62BD">
      <w:pPr>
        <w:widowControl w:val="0"/>
        <w:suppressAutoHyphens/>
        <w:spacing w:after="120" w:line="276" w:lineRule="auto"/>
        <w:jc w:val="both"/>
        <w:rPr>
          <w:rFonts w:ascii="Arial" w:hAnsi="Arial" w:cs="Arial"/>
          <w:kern w:val="1"/>
          <w:lang w:val="fr-FR" w:eastAsia="hi-IN" w:bidi="hi-IN"/>
        </w:rPr>
      </w:pPr>
    </w:p>
    <w:p w14:paraId="3BE45A3A" w14:textId="77777777" w:rsidR="00FF62BD" w:rsidRPr="00FF62BD" w:rsidRDefault="00FF62BD" w:rsidP="00FF62BD">
      <w:pPr>
        <w:widowControl w:val="0"/>
        <w:suppressAutoHyphens/>
        <w:spacing w:after="120" w:line="276" w:lineRule="auto"/>
        <w:jc w:val="both"/>
        <w:rPr>
          <w:rFonts w:ascii="Arial" w:hAnsi="Arial" w:cs="Arial"/>
          <w:kern w:val="1"/>
          <w:lang w:val="fr-FR" w:eastAsia="hi-IN" w:bidi="hi-IN"/>
        </w:rPr>
      </w:pPr>
      <w:r w:rsidRPr="00FF62BD">
        <w:rPr>
          <w:rFonts w:ascii="Arial" w:hAnsi="Arial" w:cs="Arial"/>
          <w:kern w:val="1"/>
          <w:lang w:val="fr-FR" w:eastAsia="hi-IN" w:bidi="hi-IN"/>
        </w:rPr>
        <w:t xml:space="preserve">Astfel un indicator ce ar putea fi numit spațiu ecologic urban poate conduce la reconsiderarea raportului ȋntre suprafețele afectate construcțiilor industriale, construcțiilor locative, inclusiv grǎdinilor, suprafețele aferente centrelor educaționale și comerciale, etc. și suprafețele afectate cǎilor de deplasare liberǎ, incluzȃnd și cǎile de comunicație. </w:t>
      </w:r>
      <w:r w:rsidRPr="00FF62BD">
        <w:rPr>
          <w:rFonts w:ascii="Arial" w:hAnsi="Arial" w:cs="Arial"/>
          <w:kern w:val="1"/>
          <w:lang w:val="es-ES" w:eastAsia="hi-IN" w:bidi="hi-IN"/>
        </w:rPr>
        <w:t>Urmȃnd o metodologie relativ simplistǎ:</w:t>
      </w:r>
    </w:p>
    <w:p w14:paraId="42662921" w14:textId="77777777" w:rsidR="00FF62BD" w:rsidRPr="00FF62BD" w:rsidRDefault="00FF62BD" w:rsidP="00FF62BD">
      <w:pPr>
        <w:widowControl w:val="0"/>
        <w:numPr>
          <w:ilvl w:val="0"/>
          <w:numId w:val="11"/>
        </w:numPr>
        <w:suppressAutoHyphens/>
        <w:spacing w:after="0" w:line="276" w:lineRule="auto"/>
        <w:jc w:val="both"/>
        <w:rPr>
          <w:rFonts w:ascii="Arial" w:hAnsi="Arial" w:cs="Arial"/>
          <w:kern w:val="1"/>
          <w:lang w:val="fr-FR" w:eastAsia="hi-IN" w:bidi="hi-IN"/>
        </w:rPr>
      </w:pPr>
      <w:r w:rsidRPr="00FF62BD">
        <w:rPr>
          <w:rFonts w:ascii="Arial" w:hAnsi="Arial" w:cs="Arial"/>
          <w:kern w:val="1"/>
          <w:lang w:val="fr-FR" w:eastAsia="hi-IN" w:bidi="hi-IN"/>
        </w:rPr>
        <w:t>conform datelor INSSE, Romȃnia avea la 01.01.2021 o populație estimata de 22.089.211  locuitori  la  o  suprafațǎ de 237.500 kmp, ceea  ce revine la un spațiu ecologic disponibil (unitar) de 0,01075 kmp/loc;</w:t>
      </w:r>
    </w:p>
    <w:p w14:paraId="6444AA75" w14:textId="77777777" w:rsidR="00FF62BD" w:rsidRPr="00FF62BD" w:rsidRDefault="00FF62BD" w:rsidP="00FF62BD">
      <w:pPr>
        <w:widowControl w:val="0"/>
        <w:numPr>
          <w:ilvl w:val="0"/>
          <w:numId w:val="11"/>
        </w:numPr>
        <w:suppressAutoHyphens/>
        <w:spacing w:after="0" w:line="276" w:lineRule="auto"/>
        <w:jc w:val="both"/>
        <w:rPr>
          <w:rFonts w:ascii="Arial" w:hAnsi="Arial" w:cs="Arial"/>
          <w:kern w:val="1"/>
          <w:lang w:val="fr-FR" w:eastAsia="hi-IN" w:bidi="hi-IN"/>
        </w:rPr>
      </w:pPr>
      <w:r w:rsidRPr="00FF62BD">
        <w:rPr>
          <w:rFonts w:ascii="Arial" w:hAnsi="Arial" w:cs="Arial"/>
          <w:kern w:val="1"/>
          <w:lang w:val="fr-FR" w:eastAsia="hi-IN" w:bidi="hi-IN"/>
        </w:rPr>
        <w:t>orasul Horezu avea o populație estimata de 6.806 locuitori la o suprafațǎ de 117 kmp, ceea ce revine la un spațiu ecologic unitar de 0,01719 kmp/loc, adicǎ puțin mai mare decat cel national.</w:t>
      </w:r>
    </w:p>
    <w:p w14:paraId="394C31AE" w14:textId="77777777" w:rsidR="00FF62BD" w:rsidRPr="00FF62BD" w:rsidRDefault="00FF62BD" w:rsidP="00FF62BD">
      <w:pPr>
        <w:widowControl w:val="0"/>
        <w:suppressAutoHyphens/>
        <w:spacing w:after="0" w:line="276" w:lineRule="auto"/>
        <w:jc w:val="both"/>
        <w:rPr>
          <w:rFonts w:ascii="Arial" w:hAnsi="Arial" w:cs="Arial"/>
          <w:kern w:val="1"/>
          <w:lang w:val="fr-FR" w:eastAsia="hi-IN" w:bidi="hi-IN"/>
        </w:rPr>
      </w:pPr>
    </w:p>
    <w:p w14:paraId="3B1ABE9F" w14:textId="77777777" w:rsidR="00FF62BD" w:rsidRPr="00FF62BD" w:rsidRDefault="00FF62BD" w:rsidP="00FF62BD">
      <w:pPr>
        <w:widowControl w:val="0"/>
        <w:suppressAutoHyphens/>
        <w:spacing w:after="0" w:line="276" w:lineRule="auto"/>
        <w:jc w:val="both"/>
        <w:rPr>
          <w:rFonts w:ascii="Arial" w:hAnsi="Arial" w:cs="Arial"/>
          <w:kern w:val="1"/>
          <w:lang w:val="fr-FR" w:eastAsia="hi-IN" w:bidi="hi-IN"/>
        </w:rPr>
      </w:pPr>
      <w:r w:rsidRPr="00FF62BD">
        <w:rPr>
          <w:rFonts w:ascii="Arial" w:hAnsi="Arial" w:cs="Arial"/>
          <w:kern w:val="1"/>
          <w:lang w:val="fr-FR" w:eastAsia="hi-IN" w:bidi="hi-IN"/>
        </w:rPr>
        <w:t>Prin urmare, zona urbanǎ si periurbanǎ Horezu este bine proportionata din punct de vedere al spațiului adecvat populației din acest punct de vedere.</w:t>
      </w:r>
    </w:p>
    <w:p w14:paraId="0C0FAE82" w14:textId="77777777" w:rsidR="00FF62BD" w:rsidRPr="00FF62BD" w:rsidRDefault="00FF62BD" w:rsidP="00FF62BD">
      <w:pPr>
        <w:widowControl w:val="0"/>
        <w:suppressAutoHyphens/>
        <w:spacing w:after="0" w:line="276" w:lineRule="auto"/>
        <w:jc w:val="both"/>
        <w:rPr>
          <w:rFonts w:ascii="Arial" w:hAnsi="Arial" w:cs="Arial"/>
          <w:kern w:val="1"/>
          <w:lang w:val="fr-FR" w:eastAsia="hi-IN" w:bidi="hi-IN"/>
        </w:rPr>
      </w:pPr>
    </w:p>
    <w:p w14:paraId="50A67569" w14:textId="77777777" w:rsidR="00FF62BD" w:rsidRPr="00FF62BD" w:rsidRDefault="00FF62BD" w:rsidP="00FF62BD">
      <w:pPr>
        <w:widowControl w:val="0"/>
        <w:suppressAutoHyphens/>
        <w:spacing w:after="0" w:line="276" w:lineRule="auto"/>
        <w:jc w:val="both"/>
        <w:rPr>
          <w:rFonts w:ascii="Arial" w:eastAsia="Calibri" w:hAnsi="Arial" w:cs="Arial"/>
          <w:iCs/>
          <w:kern w:val="1"/>
          <w:lang w:bidi="hi-IN"/>
        </w:rPr>
      </w:pPr>
      <w:r w:rsidRPr="00FF62BD">
        <w:rPr>
          <w:rFonts w:ascii="Arial" w:hAnsi="Arial" w:cs="Arial"/>
          <w:kern w:val="1"/>
          <w:lang w:val="fr-FR" w:eastAsia="hi-IN" w:bidi="hi-IN"/>
        </w:rPr>
        <w:t xml:space="preserve">Revenind ȋn sfera realului, deplasǎrile sunt legate de o singurǎ dimensiune a spațiului (ȋn timp ce suprafețele au nevoie de douǎ dimensiuni). Aceastǎ dimensiune este distanța pȃnǎ la care trebuie sǎ fie analizate problemele de transport pornind de la centrul zonei analizate </w:t>
      </w:r>
      <w:r w:rsidRPr="00FF62BD">
        <w:rPr>
          <w:rFonts w:ascii="Arial" w:hAnsi="Arial" w:cs="Times New Roman"/>
          <w:kern w:val="1"/>
          <w:lang w:val="fr-FR" w:eastAsia="hi-IN" w:bidi="hi-IN"/>
        </w:rPr>
        <w:t>–</w:t>
      </w:r>
      <w:r w:rsidRPr="00FF62BD">
        <w:rPr>
          <w:rFonts w:ascii="Arial" w:hAnsi="Arial" w:cs="Arial"/>
          <w:kern w:val="1"/>
          <w:lang w:val="fr-FR" w:eastAsia="hi-IN" w:bidi="hi-IN"/>
        </w:rPr>
        <w:t xml:space="preserve"> adicǎ centrul orasului Horezu. </w:t>
      </w:r>
      <w:r w:rsidRPr="00FF62BD">
        <w:rPr>
          <w:rFonts w:ascii="Arial" w:eastAsia="Calibri" w:hAnsi="Arial" w:cs="Arial"/>
          <w:bCs/>
          <w:kern w:val="1"/>
          <w:lang w:val="es-ES" w:bidi="hi-IN"/>
        </w:rPr>
        <w:t xml:space="preserve">Interdependenţa dintre zonele urbane funcţionale şi spaţiul adiacent al localitatii este datǎ de </w:t>
      </w:r>
      <w:r w:rsidRPr="00FF62BD">
        <w:rPr>
          <w:rFonts w:ascii="Arial" w:eastAsia="Calibri" w:hAnsi="Arial" w:cs="Arial"/>
          <w:iCs/>
          <w:kern w:val="1"/>
          <w:lang w:val="es-ES" w:bidi="hi-IN"/>
        </w:rPr>
        <w:t xml:space="preserve">interdependenţele </w:t>
      </w:r>
      <w:r w:rsidRPr="00FF62BD">
        <w:rPr>
          <w:rFonts w:ascii="Arial" w:eastAsia="Calibri" w:hAnsi="Arial" w:cs="Arial"/>
          <w:kern w:val="1"/>
          <w:lang w:val="es-ES" w:bidi="hi-IN"/>
        </w:rPr>
        <w:t xml:space="preserve">economice și sociale. </w:t>
      </w:r>
      <w:r w:rsidRPr="00FF62BD">
        <w:rPr>
          <w:rFonts w:ascii="Arial" w:eastAsia="Calibri" w:hAnsi="Arial" w:cs="Arial"/>
          <w:kern w:val="1"/>
          <w:lang w:bidi="hi-IN"/>
        </w:rPr>
        <w:t>Acestea se materializează în cinci caracteristici:</w:t>
      </w:r>
    </w:p>
    <w:p w14:paraId="1CF3223A" w14:textId="77777777" w:rsidR="00FF62BD" w:rsidRPr="00FF62BD" w:rsidRDefault="00FF62BD" w:rsidP="00FF62BD">
      <w:pPr>
        <w:widowControl w:val="0"/>
        <w:numPr>
          <w:ilvl w:val="0"/>
          <w:numId w:val="10"/>
        </w:numPr>
        <w:suppressAutoHyphens/>
        <w:spacing w:after="0" w:line="276" w:lineRule="auto"/>
        <w:jc w:val="both"/>
        <w:rPr>
          <w:rFonts w:ascii="Arial" w:eastAsia="Calibri" w:hAnsi="Arial" w:cs="Arial"/>
          <w:iCs/>
          <w:kern w:val="1"/>
          <w:lang w:val="es-ES" w:bidi="hi-IN"/>
        </w:rPr>
      </w:pPr>
      <w:r w:rsidRPr="00FF62BD">
        <w:rPr>
          <w:rFonts w:ascii="Arial" w:eastAsia="Calibri" w:hAnsi="Arial" w:cs="Arial"/>
          <w:iCs/>
          <w:kern w:val="1"/>
          <w:lang w:val="es-ES" w:bidi="hi-IN"/>
        </w:rPr>
        <w:t xml:space="preserve">interdependenţe </w:t>
      </w:r>
      <w:r w:rsidRPr="00FF62BD">
        <w:rPr>
          <w:rFonts w:ascii="Arial" w:eastAsia="Calibri" w:hAnsi="Arial" w:cs="Arial"/>
          <w:kern w:val="1"/>
          <w:lang w:val="es-ES" w:bidi="hi-IN"/>
        </w:rPr>
        <w:t xml:space="preserve">între </w:t>
      </w:r>
      <w:r w:rsidRPr="00FF62BD">
        <w:rPr>
          <w:rFonts w:ascii="Arial" w:eastAsia="Calibri" w:hAnsi="Arial" w:cs="Arial"/>
          <w:b/>
          <w:kern w:val="1"/>
          <w:lang w:val="es-ES" w:bidi="hi-IN"/>
        </w:rPr>
        <w:t>amenajarea</w:t>
      </w:r>
      <w:r w:rsidRPr="00FF62BD">
        <w:rPr>
          <w:rFonts w:ascii="Arial" w:eastAsia="Calibri" w:hAnsi="Arial" w:cs="Arial"/>
          <w:kern w:val="1"/>
          <w:lang w:val="es-ES" w:bidi="hi-IN"/>
        </w:rPr>
        <w:t xml:space="preserve"> teritoriului urban (acţiuni de urbanism) şi serviciul de transporturi ȋn sfera cǎlǎtoriilor (cerere, flux de transport, flux de trafic);</w:t>
      </w:r>
    </w:p>
    <w:p w14:paraId="3674BFD2" w14:textId="77777777" w:rsidR="00FF62BD" w:rsidRPr="00FF62BD" w:rsidRDefault="00FF62BD" w:rsidP="00FF62BD">
      <w:pPr>
        <w:widowControl w:val="0"/>
        <w:numPr>
          <w:ilvl w:val="0"/>
          <w:numId w:val="17"/>
        </w:numPr>
        <w:suppressAutoHyphens/>
        <w:autoSpaceDE w:val="0"/>
        <w:spacing w:after="0" w:line="276" w:lineRule="auto"/>
        <w:jc w:val="both"/>
        <w:rPr>
          <w:rFonts w:ascii="Arial" w:eastAsia="Calibri" w:hAnsi="Arial" w:cs="Arial"/>
          <w:kern w:val="1"/>
          <w:lang w:bidi="hi-IN"/>
        </w:rPr>
      </w:pPr>
      <w:r w:rsidRPr="00FF62BD">
        <w:rPr>
          <w:rFonts w:ascii="Arial" w:eastAsia="Calibri" w:hAnsi="Arial" w:cs="Arial"/>
          <w:iCs/>
          <w:kern w:val="1"/>
          <w:lang w:bidi="hi-IN"/>
        </w:rPr>
        <w:t xml:space="preserve">interdependenţe pe termen scurt şi lung </w:t>
      </w:r>
      <w:r w:rsidRPr="00FF62BD">
        <w:rPr>
          <w:rFonts w:ascii="Arial" w:eastAsia="Calibri" w:hAnsi="Arial" w:cs="Arial"/>
          <w:kern w:val="1"/>
          <w:lang w:bidi="hi-IN"/>
        </w:rPr>
        <w:t xml:space="preserve">dintre </w:t>
      </w:r>
      <w:r w:rsidRPr="00FF62BD">
        <w:rPr>
          <w:rFonts w:ascii="Arial" w:eastAsia="Calibri" w:hAnsi="Arial" w:cs="Arial"/>
          <w:b/>
          <w:kern w:val="1"/>
          <w:lang w:bidi="hi-IN"/>
        </w:rPr>
        <w:t>amenajarea</w:t>
      </w:r>
      <w:r w:rsidRPr="00FF62BD">
        <w:rPr>
          <w:rFonts w:ascii="Arial" w:eastAsia="Calibri" w:hAnsi="Arial" w:cs="Arial"/>
          <w:kern w:val="1"/>
          <w:lang w:bidi="hi-IN"/>
        </w:rPr>
        <w:t xml:space="preserve"> teritoriului şi sistemele de transport pentru mărfuri;</w:t>
      </w:r>
    </w:p>
    <w:p w14:paraId="37EFB055" w14:textId="77777777" w:rsidR="00FF62BD" w:rsidRPr="00FF62BD" w:rsidRDefault="00FF62BD" w:rsidP="00FF62BD">
      <w:pPr>
        <w:widowControl w:val="0"/>
        <w:numPr>
          <w:ilvl w:val="0"/>
          <w:numId w:val="17"/>
        </w:numPr>
        <w:suppressAutoHyphens/>
        <w:autoSpaceDE w:val="0"/>
        <w:spacing w:after="0" w:line="276" w:lineRule="auto"/>
        <w:jc w:val="both"/>
        <w:rPr>
          <w:rFonts w:ascii="Arial" w:eastAsia="Calibri" w:hAnsi="Arial" w:cs="Arial"/>
          <w:kern w:val="1"/>
          <w:lang w:val="es-ES" w:bidi="hi-IN"/>
        </w:rPr>
      </w:pPr>
      <w:r w:rsidRPr="00FF62BD">
        <w:rPr>
          <w:rFonts w:ascii="Arial" w:eastAsia="Calibri" w:hAnsi="Arial" w:cs="Arial"/>
          <w:kern w:val="1"/>
          <w:lang w:val="es-ES" w:bidi="hi-IN"/>
        </w:rPr>
        <w:t xml:space="preserve">caracteristica de intercondiționalitate ȋntre domeniile de </w:t>
      </w:r>
      <w:r w:rsidRPr="00FF62BD">
        <w:rPr>
          <w:rFonts w:ascii="Arial" w:eastAsia="Calibri" w:hAnsi="Arial" w:cs="Arial"/>
          <w:b/>
          <w:iCs/>
          <w:kern w:val="1"/>
          <w:lang w:val="es-ES" w:bidi="hi-IN"/>
        </w:rPr>
        <w:t>planificare</w:t>
      </w:r>
      <w:r w:rsidRPr="00FF62BD">
        <w:rPr>
          <w:rFonts w:ascii="Arial" w:eastAsia="Calibri" w:hAnsi="Arial" w:cs="Arial"/>
          <w:iCs/>
          <w:kern w:val="1"/>
          <w:lang w:val="es-ES" w:bidi="hi-IN"/>
        </w:rPr>
        <w:t xml:space="preserve"> teritorială și domeniile de planificare a mobilitǎții umane și materiale (</w:t>
      </w:r>
      <w:r w:rsidRPr="00FF62BD">
        <w:rPr>
          <w:rFonts w:ascii="Arial" w:eastAsia="Calibri" w:hAnsi="Arial" w:cs="Arial"/>
          <w:kern w:val="1"/>
          <w:lang w:val="es-ES" w:bidi="hi-IN"/>
        </w:rPr>
        <w:t>o singurǎ viziune, de ansamblu pentru oraș, nu un amalgam de perspective independente);</w:t>
      </w:r>
    </w:p>
    <w:p w14:paraId="014C8CF1" w14:textId="77777777" w:rsidR="00FF62BD" w:rsidRPr="00FF62BD" w:rsidRDefault="00FF62BD" w:rsidP="00FF62BD">
      <w:pPr>
        <w:widowControl w:val="0"/>
        <w:numPr>
          <w:ilvl w:val="0"/>
          <w:numId w:val="17"/>
        </w:numPr>
        <w:suppressAutoHyphens/>
        <w:autoSpaceDE w:val="0"/>
        <w:spacing w:after="0" w:line="276" w:lineRule="auto"/>
        <w:jc w:val="both"/>
        <w:rPr>
          <w:rFonts w:ascii="Arial" w:eastAsia="Calibri" w:hAnsi="Arial" w:cs="Arial"/>
          <w:kern w:val="1"/>
          <w:lang w:val="es-ES" w:bidi="hi-IN"/>
        </w:rPr>
      </w:pPr>
      <w:r w:rsidRPr="00FF62BD">
        <w:rPr>
          <w:rFonts w:ascii="Arial" w:eastAsia="Calibri" w:hAnsi="Arial" w:cs="Arial"/>
          <w:kern w:val="1"/>
          <w:lang w:val="es-ES" w:bidi="hi-IN"/>
        </w:rPr>
        <w:t>caracteristica de putere: trebuie i</w:t>
      </w:r>
      <w:r w:rsidRPr="00FF62BD">
        <w:rPr>
          <w:rFonts w:ascii="Arial" w:eastAsia="Calibri" w:hAnsi="Arial" w:cs="Arial"/>
          <w:iCs/>
          <w:kern w:val="1"/>
          <w:lang w:val="es-ES" w:bidi="hi-IN"/>
        </w:rPr>
        <w:t xml:space="preserve">dentificați decidenţii publici </w:t>
      </w:r>
      <w:r w:rsidRPr="00FF62BD">
        <w:rPr>
          <w:rFonts w:ascii="Arial" w:eastAsia="Calibri" w:hAnsi="Arial" w:cs="Arial"/>
          <w:kern w:val="1"/>
          <w:lang w:val="es-ES" w:bidi="hi-IN"/>
        </w:rPr>
        <w:t>de la diferite niveluri de organizare teritorială;</w:t>
      </w:r>
    </w:p>
    <w:p w14:paraId="70C7A7C7" w14:textId="77777777" w:rsidR="00FF62BD" w:rsidRPr="00FF62BD" w:rsidRDefault="00FF62BD" w:rsidP="00FF62BD">
      <w:pPr>
        <w:widowControl w:val="0"/>
        <w:numPr>
          <w:ilvl w:val="0"/>
          <w:numId w:val="17"/>
        </w:numPr>
        <w:suppressAutoHyphens/>
        <w:autoSpaceDE w:val="0"/>
        <w:spacing w:after="0" w:line="276" w:lineRule="auto"/>
        <w:jc w:val="both"/>
        <w:rPr>
          <w:rFonts w:ascii="Arial" w:eastAsia="Calibri" w:hAnsi="Arial" w:cs="Arial"/>
          <w:kern w:val="1"/>
          <w:lang w:val="es-ES" w:bidi="hi-IN"/>
        </w:rPr>
      </w:pPr>
      <w:r w:rsidRPr="00FF62BD">
        <w:rPr>
          <w:rFonts w:ascii="Arial" w:eastAsia="Calibri" w:hAnsi="Arial" w:cs="Arial"/>
          <w:kern w:val="1"/>
          <w:lang w:val="es-ES" w:bidi="hi-IN"/>
        </w:rPr>
        <w:t xml:space="preserve">caracteristica de coerențǎ: finalizarea planurilor sǎ se facǎ prin elaborarea unor </w:t>
      </w:r>
      <w:r w:rsidRPr="00FF62BD">
        <w:rPr>
          <w:rFonts w:ascii="Arial" w:eastAsia="Calibri" w:hAnsi="Arial" w:cs="Arial"/>
          <w:iCs/>
          <w:kern w:val="1"/>
          <w:lang w:val="es-ES" w:bidi="hi-IN"/>
        </w:rPr>
        <w:t xml:space="preserve">scheme de </w:t>
      </w:r>
      <w:r w:rsidRPr="00FF62BD">
        <w:rPr>
          <w:rFonts w:ascii="Arial" w:eastAsia="Calibri" w:hAnsi="Arial" w:cs="Arial"/>
          <w:iCs/>
          <w:kern w:val="1"/>
          <w:lang w:val="es-ES" w:bidi="hi-IN"/>
        </w:rPr>
        <w:lastRenderedPageBreak/>
        <w:t xml:space="preserve">coerenţă teritorială </w:t>
      </w:r>
      <w:r w:rsidRPr="00FF62BD">
        <w:rPr>
          <w:rFonts w:ascii="Arial" w:eastAsia="Calibri" w:hAnsi="Arial" w:cs="Arial"/>
          <w:kern w:val="1"/>
          <w:lang w:val="es-ES" w:bidi="hi-IN"/>
        </w:rPr>
        <w:t xml:space="preserve">cuprinzând </w:t>
      </w:r>
      <w:r w:rsidRPr="00FF62BD">
        <w:rPr>
          <w:rFonts w:ascii="Arial" w:eastAsia="Calibri" w:hAnsi="Arial" w:cs="Arial"/>
          <w:iCs/>
          <w:kern w:val="1"/>
          <w:lang w:val="es-ES" w:bidi="hi-IN"/>
        </w:rPr>
        <w:t xml:space="preserve">planurile locale de urbanism </w:t>
      </w:r>
      <w:r w:rsidRPr="00FF62BD">
        <w:rPr>
          <w:rFonts w:ascii="Arial" w:eastAsia="Calibri" w:hAnsi="Arial" w:cs="Arial"/>
          <w:kern w:val="1"/>
          <w:lang w:val="es-ES" w:bidi="hi-IN"/>
        </w:rPr>
        <w:t xml:space="preserve">şi </w:t>
      </w:r>
      <w:r w:rsidRPr="00FF62BD">
        <w:rPr>
          <w:rFonts w:ascii="Arial" w:eastAsia="Calibri" w:hAnsi="Arial" w:cs="Arial"/>
          <w:iCs/>
          <w:kern w:val="1"/>
          <w:lang w:val="es-ES" w:bidi="hi-IN"/>
        </w:rPr>
        <w:t>planurile de deplasări urbane</w:t>
      </w:r>
      <w:r w:rsidRPr="00FF62BD">
        <w:rPr>
          <w:rFonts w:ascii="Arial" w:eastAsia="Calibri" w:hAnsi="Arial" w:cs="Arial"/>
          <w:kern w:val="1"/>
          <w:lang w:val="es-ES" w:bidi="hi-IN"/>
        </w:rPr>
        <w:t>.</w:t>
      </w:r>
    </w:p>
    <w:p w14:paraId="367C8045" w14:textId="77777777" w:rsidR="00FF62BD" w:rsidRPr="00FF62BD" w:rsidRDefault="00FF62BD" w:rsidP="00FF62BD">
      <w:pPr>
        <w:widowControl w:val="0"/>
        <w:suppressAutoHyphens/>
        <w:autoSpaceDE w:val="0"/>
        <w:spacing w:after="0" w:line="276" w:lineRule="auto"/>
        <w:ind w:left="360"/>
        <w:jc w:val="both"/>
        <w:rPr>
          <w:rFonts w:ascii="Arial" w:eastAsia="Calibri" w:hAnsi="Arial" w:cs="Arial"/>
          <w:kern w:val="1"/>
          <w:lang w:val="es-ES" w:bidi="hi-IN"/>
        </w:rPr>
      </w:pPr>
    </w:p>
    <w:p w14:paraId="6151A990" w14:textId="77777777" w:rsidR="00FF62BD" w:rsidRPr="00FF62BD" w:rsidRDefault="00FF62BD" w:rsidP="00FF62BD">
      <w:pPr>
        <w:widowControl w:val="0"/>
        <w:suppressAutoHyphens/>
        <w:autoSpaceDE w:val="0"/>
        <w:spacing w:after="0" w:line="276" w:lineRule="auto"/>
        <w:jc w:val="both"/>
        <w:rPr>
          <w:rFonts w:ascii="Arial" w:hAnsi="Arial" w:cs="Arial"/>
          <w:kern w:val="1"/>
          <w:lang w:val="es-ES" w:eastAsia="hi-IN" w:bidi="hi-IN"/>
        </w:rPr>
      </w:pPr>
      <w:r w:rsidRPr="00FF62BD">
        <w:rPr>
          <w:rFonts w:ascii="Arial" w:eastAsia="Calibri" w:hAnsi="Arial" w:cs="Arial"/>
          <w:kern w:val="1"/>
          <w:lang w:val="es-ES" w:bidi="hi-IN"/>
        </w:rPr>
        <w:t xml:space="preserve">Practic, </w:t>
      </w:r>
      <w:r w:rsidRPr="00FF62BD">
        <w:rPr>
          <w:rFonts w:ascii="Arial" w:eastAsia="Calibri" w:hAnsi="Arial" w:cs="Arial"/>
          <w:b/>
          <w:kern w:val="1"/>
          <w:lang w:val="es-ES" w:bidi="hi-IN"/>
        </w:rPr>
        <w:t>legătura dintre spaţiul urban şi cel rural</w:t>
      </w:r>
      <w:r w:rsidRPr="00FF62BD">
        <w:rPr>
          <w:rFonts w:ascii="Arial" w:eastAsia="Calibri" w:hAnsi="Arial" w:cs="Arial"/>
          <w:kern w:val="1"/>
          <w:lang w:val="es-ES" w:bidi="hi-IN"/>
        </w:rPr>
        <w:t xml:space="preserve"> este asigurată de </w:t>
      </w:r>
      <w:r w:rsidRPr="00FF62BD">
        <w:rPr>
          <w:rFonts w:ascii="Arial" w:eastAsia="Calibri" w:hAnsi="Arial" w:cs="Arial"/>
          <w:iCs/>
          <w:kern w:val="1"/>
          <w:lang w:val="es-ES" w:bidi="hi-IN"/>
        </w:rPr>
        <w:t xml:space="preserve">căile de transport, </w:t>
      </w:r>
      <w:r w:rsidRPr="00FF62BD">
        <w:rPr>
          <w:rFonts w:ascii="Arial" w:eastAsia="Calibri" w:hAnsi="Arial" w:cs="Arial"/>
          <w:kern w:val="1"/>
          <w:lang w:val="es-ES" w:bidi="hi-IN"/>
        </w:rPr>
        <w:t xml:space="preserve">care facilitează în mod direct relaţiile dintre acestea. De aceea, este necesară analiza de detaliu a căilor de comunicaţie existente şi măsura în care acestea satisfac nevoile ariei urbane, periurbane şi interurbane ale oraşului, gradul de corelare a mijloacelor de transport din teritoriu către oraş şi invers. Potrivit unor teorii dezvoltate de curȃnd </w:t>
      </w:r>
      <w:r w:rsidRPr="00FF62BD">
        <w:rPr>
          <w:rFonts w:ascii="Arial" w:eastAsia="Calibri" w:hAnsi="Arial" w:cs="Arial"/>
          <w:iCs/>
          <w:kern w:val="1"/>
          <w:lang w:val="es-ES" w:bidi="hi-IN"/>
        </w:rPr>
        <w:t>”aria de influenţă a două localitǎți apropiate se va extinde până la limita la care cele două localitǎți înregistrează aceeaşi intensitate a relaţiilor cu exteriorul sau până la limita la care influenţa uneia asupra celeilalte se apropie de zero”</w:t>
      </w:r>
      <w:r w:rsidRPr="00FF62BD">
        <w:rPr>
          <w:rFonts w:ascii="Arial" w:eastAsia="Calibri" w:hAnsi="Arial" w:cs="Arial"/>
          <w:kern w:val="1"/>
          <w:lang w:val="es-ES" w:bidi="hi-IN"/>
        </w:rPr>
        <w:t xml:space="preserve">. Plecând de la această definiţie, metoda propusă pentru determinarea zonelor de influenţă urbană a orasului Horezu va face apel la principiul ca </w:t>
      </w:r>
      <w:r w:rsidRPr="00FF62BD">
        <w:rPr>
          <w:rFonts w:ascii="Arial" w:eastAsia="Calibri" w:hAnsi="Arial" w:cs="Arial"/>
          <w:iCs/>
          <w:kern w:val="1"/>
          <w:lang w:val="es-ES" w:bidi="hi-IN"/>
        </w:rPr>
        <w:t xml:space="preserve">două localitǎți atrag </w:t>
      </w:r>
      <w:r w:rsidRPr="00FF62BD">
        <w:rPr>
          <w:rFonts w:ascii="Arial" w:eastAsia="Calibri" w:hAnsi="Arial" w:cs="Arial"/>
          <w:b/>
          <w:iCs/>
          <w:kern w:val="1"/>
          <w:lang w:val="es-ES" w:bidi="hi-IN"/>
        </w:rPr>
        <w:t>cumpărătorii de pe piața transporturilor</w:t>
      </w:r>
      <w:r w:rsidRPr="00FF62BD">
        <w:rPr>
          <w:rFonts w:ascii="Arial" w:eastAsia="Calibri" w:hAnsi="Arial" w:cs="Arial"/>
          <w:iCs/>
          <w:kern w:val="1"/>
          <w:lang w:val="es-ES" w:bidi="hi-IN"/>
        </w:rPr>
        <w:t xml:space="preserve"> dintr-un spaţiu direct proporţional cu masele şi invers proporţional cu pătratul distanţei. </w:t>
      </w:r>
      <w:r w:rsidRPr="00FF62BD">
        <w:rPr>
          <w:rFonts w:ascii="Arial" w:eastAsia="Calibri" w:hAnsi="Arial" w:cs="Arial"/>
          <w:kern w:val="1"/>
          <w:lang w:val="es-ES" w:bidi="hi-IN"/>
        </w:rPr>
        <w:t xml:space="preserve">Deoarece la nivel local şi judeţean nu există date centralizate privind volumul total al vânzărilor, pentru calcularea zonei de influenţă a orasului Horezu s-a utilizat formula propusă de </w:t>
      </w:r>
      <w:r w:rsidRPr="00FF62BD">
        <w:rPr>
          <w:rFonts w:ascii="Arial" w:eastAsia="Calibri" w:hAnsi="Arial" w:cs="Arial"/>
          <w:iCs/>
          <w:kern w:val="1"/>
          <w:lang w:val="es-ES" w:bidi="hi-IN"/>
        </w:rPr>
        <w:t xml:space="preserve">Reilly-Converse (J. Beaujeau - Garnier, 1997), </w:t>
      </w:r>
      <w:r w:rsidRPr="00FF62BD">
        <w:rPr>
          <w:rFonts w:ascii="Arial" w:eastAsia="Calibri" w:hAnsi="Arial" w:cs="Arial"/>
          <w:kern w:val="1"/>
          <w:lang w:val="es-ES" w:bidi="hi-IN"/>
        </w:rPr>
        <w:t>care are la bază raportul dintre distanţa măsurată pe căile de comunicaţie şi populaţie, ceea ce poate fi exprimat prin formula:</w:t>
      </w:r>
    </w:p>
    <w:p w14:paraId="14E2D2A1" w14:textId="77777777" w:rsidR="00FF62BD" w:rsidRPr="00FF62BD" w:rsidRDefault="00FF62BD" w:rsidP="00FF62BD">
      <w:pPr>
        <w:widowControl w:val="0"/>
        <w:suppressAutoHyphens/>
        <w:autoSpaceDE w:val="0"/>
        <w:spacing w:after="0" w:line="360" w:lineRule="auto"/>
        <w:ind w:left="720" w:firstLine="720"/>
        <w:jc w:val="both"/>
        <w:rPr>
          <w:rFonts w:ascii="Arial" w:hAnsi="Arial" w:cs="Arial"/>
          <w:kern w:val="1"/>
          <w:sz w:val="20"/>
          <w:szCs w:val="24"/>
          <w:lang w:val="fr-FR" w:eastAsia="hi-IN" w:bidi="hi-IN"/>
        </w:rPr>
      </w:pPr>
      <w:r w:rsidRPr="00FF62BD">
        <w:rPr>
          <w:rFonts w:ascii="Arial" w:hAnsi="Arial" w:cs="Mangal"/>
          <w:kern w:val="1"/>
          <w:position w:val="-42"/>
          <w:sz w:val="20"/>
          <w:szCs w:val="24"/>
          <w:lang w:eastAsia="hi-IN" w:bidi="hi-IN"/>
        </w:rPr>
        <w:object w:dxaOrig="1425" w:dyaOrig="1083" w14:anchorId="43C305B8">
          <v:shape id="_x0000_i1030" type="#_x0000_t75" style="width:71.4pt;height:53.4pt" o:ole="" filled="t">
            <v:fill color2="black"/>
            <v:imagedata r:id="rId29" o:title=""/>
          </v:shape>
          <o:OLEObject Type="Embed" ProgID="Equation.3" ShapeID="_x0000_i1030" DrawAspect="Content" ObjectID="_1752652135" r:id="rId193"/>
        </w:object>
      </w:r>
    </w:p>
    <w:p w14:paraId="5CB731BE" w14:textId="77777777" w:rsidR="00FF62BD" w:rsidRPr="00FF62BD" w:rsidRDefault="00FF62BD" w:rsidP="00FF62BD">
      <w:pPr>
        <w:widowControl w:val="0"/>
        <w:suppressAutoHyphens/>
        <w:spacing w:after="0" w:line="276" w:lineRule="auto"/>
        <w:jc w:val="both"/>
        <w:rPr>
          <w:rFonts w:ascii="Arial" w:eastAsia="Calibri" w:hAnsi="Arial" w:cs="Arial"/>
          <w:bCs/>
          <w:kern w:val="1"/>
          <w:lang w:val="es-ES" w:bidi="hi-IN"/>
        </w:rPr>
      </w:pPr>
      <w:r w:rsidRPr="00FF62BD">
        <w:rPr>
          <w:rFonts w:ascii="Arial" w:hAnsi="Arial" w:cs="Arial"/>
          <w:kern w:val="1"/>
          <w:lang w:val="fr-FR" w:eastAsia="hi-IN" w:bidi="hi-IN"/>
        </w:rPr>
        <w:t xml:space="preserve">unde: </w:t>
      </w:r>
    </w:p>
    <w:p w14:paraId="7AFC3C42" w14:textId="77777777" w:rsidR="00FF62BD" w:rsidRPr="00FF62BD" w:rsidRDefault="00FF62BD" w:rsidP="00FF62BD">
      <w:pPr>
        <w:widowControl w:val="0"/>
        <w:suppressAutoHyphens/>
        <w:spacing w:after="0" w:line="276" w:lineRule="auto"/>
        <w:jc w:val="both"/>
        <w:rPr>
          <w:rFonts w:ascii="Arial" w:eastAsia="Calibri" w:hAnsi="Arial" w:cs="Arial"/>
          <w:bCs/>
          <w:iCs/>
          <w:kern w:val="1"/>
          <w:lang w:val="es-ES" w:bidi="hi-IN"/>
        </w:rPr>
      </w:pPr>
      <w:r w:rsidRPr="00FF62BD">
        <w:rPr>
          <w:rFonts w:ascii="Arial" w:eastAsia="Calibri" w:hAnsi="Arial" w:cs="Arial"/>
          <w:bCs/>
          <w:kern w:val="1"/>
          <w:lang w:val="es-ES" w:bidi="hi-IN"/>
        </w:rPr>
        <w:t xml:space="preserve">d             </w:t>
      </w:r>
      <w:r w:rsidRPr="00FF62BD">
        <w:rPr>
          <w:rFonts w:ascii="Arial" w:eastAsia="Calibri" w:hAnsi="Arial" w:cs="Arial"/>
          <w:bCs/>
          <w:kern w:val="1"/>
          <w:lang w:val="es-ES" w:bidi="hi-IN"/>
        </w:rPr>
        <w:tab/>
      </w:r>
      <w:r w:rsidRPr="00FF62BD">
        <w:rPr>
          <w:rFonts w:ascii="Arial" w:eastAsia="Calibri" w:hAnsi="Arial" w:cs="Arial"/>
          <w:kern w:val="1"/>
          <w:lang w:val="es-ES" w:bidi="hi-IN"/>
        </w:rPr>
        <w:t xml:space="preserve">reprezintă distanţa măsurată pe căile de comunicaţie; </w:t>
      </w:r>
    </w:p>
    <w:p w14:paraId="39A0A1F1" w14:textId="77777777" w:rsidR="00FF62BD" w:rsidRPr="00FF62BD" w:rsidRDefault="00FF62BD" w:rsidP="00FF62BD">
      <w:pPr>
        <w:widowControl w:val="0"/>
        <w:suppressAutoHyphens/>
        <w:spacing w:after="0" w:line="276" w:lineRule="auto"/>
        <w:jc w:val="both"/>
        <w:rPr>
          <w:rFonts w:ascii="Arial" w:eastAsia="Calibri" w:hAnsi="Arial" w:cs="Arial"/>
          <w:bCs/>
          <w:kern w:val="1"/>
          <w:lang w:val="es-ES" w:bidi="hi-IN"/>
        </w:rPr>
      </w:pPr>
      <w:r w:rsidRPr="00FF62BD">
        <w:rPr>
          <w:rFonts w:ascii="Arial" w:eastAsia="Calibri" w:hAnsi="Arial" w:cs="Arial"/>
          <w:bCs/>
          <w:iCs/>
          <w:kern w:val="1"/>
          <w:lang w:val="es-ES" w:bidi="hi-IN"/>
        </w:rPr>
        <w:t xml:space="preserve">A </w:t>
      </w:r>
      <w:r w:rsidRPr="00FF62BD">
        <w:rPr>
          <w:rFonts w:ascii="Arial" w:eastAsia="Calibri" w:hAnsi="Arial" w:cs="Arial"/>
          <w:kern w:val="1"/>
          <w:lang w:val="es-ES" w:bidi="hi-IN"/>
        </w:rPr>
        <w:t xml:space="preserve">şi </w:t>
      </w:r>
      <w:r w:rsidRPr="00FF62BD">
        <w:rPr>
          <w:rFonts w:ascii="Arial" w:eastAsia="Calibri" w:hAnsi="Arial" w:cs="Arial"/>
          <w:bCs/>
          <w:iCs/>
          <w:kern w:val="1"/>
          <w:lang w:val="es-ES" w:bidi="hi-IN"/>
        </w:rPr>
        <w:t xml:space="preserve">B </w:t>
      </w:r>
      <w:r w:rsidRPr="00FF62BD">
        <w:rPr>
          <w:rFonts w:ascii="Arial" w:eastAsia="Calibri" w:hAnsi="Arial" w:cs="Arial"/>
          <w:bCs/>
          <w:iCs/>
          <w:kern w:val="1"/>
          <w:lang w:val="es-ES" w:bidi="hi-IN"/>
        </w:rPr>
        <w:tab/>
      </w:r>
      <w:r w:rsidRPr="00FF62BD">
        <w:rPr>
          <w:rFonts w:ascii="Arial" w:eastAsia="Calibri" w:hAnsi="Arial" w:cs="Arial"/>
          <w:kern w:val="1"/>
          <w:lang w:val="es-ES" w:bidi="hi-IN"/>
        </w:rPr>
        <w:t xml:space="preserve"> </w:t>
      </w:r>
      <w:r w:rsidRPr="00FF62BD">
        <w:rPr>
          <w:rFonts w:ascii="Arial" w:eastAsia="Calibri" w:hAnsi="Arial" w:cs="Arial"/>
          <w:kern w:val="1"/>
          <w:lang w:val="es-ES" w:bidi="hi-IN"/>
        </w:rPr>
        <w:tab/>
        <w:t xml:space="preserve">localitatile; </w:t>
      </w:r>
    </w:p>
    <w:p w14:paraId="62717F07" w14:textId="77777777" w:rsidR="00FF62BD" w:rsidRPr="00FF62BD" w:rsidRDefault="00FF62BD" w:rsidP="00FF62BD">
      <w:pPr>
        <w:widowControl w:val="0"/>
        <w:suppressAutoHyphens/>
        <w:spacing w:after="0" w:line="276" w:lineRule="auto"/>
        <w:jc w:val="both"/>
        <w:rPr>
          <w:rFonts w:ascii="Arial" w:hAnsi="Arial" w:cs="Arial"/>
          <w:kern w:val="1"/>
          <w:lang w:val="fr-FR" w:eastAsia="hi-IN" w:bidi="hi-IN"/>
        </w:rPr>
      </w:pPr>
      <w:r w:rsidRPr="00FF62BD">
        <w:rPr>
          <w:rFonts w:ascii="Arial" w:eastAsia="Calibri" w:hAnsi="Arial" w:cs="Arial"/>
          <w:bCs/>
          <w:kern w:val="1"/>
          <w:lang w:val="es-ES" w:bidi="hi-IN"/>
        </w:rPr>
        <w:t xml:space="preserve">P </w:t>
      </w:r>
      <w:r w:rsidRPr="00FF62BD">
        <w:rPr>
          <w:rFonts w:ascii="Arial" w:eastAsia="Calibri" w:hAnsi="Arial" w:cs="Arial"/>
          <w:bCs/>
          <w:kern w:val="1"/>
          <w:lang w:val="es-ES" w:bidi="hi-IN"/>
        </w:rPr>
        <w:tab/>
      </w:r>
      <w:r w:rsidRPr="00FF62BD">
        <w:rPr>
          <w:rFonts w:ascii="Arial" w:eastAsia="Calibri" w:hAnsi="Arial" w:cs="Arial"/>
          <w:kern w:val="1"/>
          <w:lang w:val="es-ES" w:bidi="hi-IN"/>
        </w:rPr>
        <w:t xml:space="preserve"> </w:t>
      </w:r>
      <w:r w:rsidRPr="00FF62BD">
        <w:rPr>
          <w:rFonts w:ascii="Arial" w:eastAsia="Calibri" w:hAnsi="Arial" w:cs="Arial"/>
          <w:kern w:val="1"/>
          <w:lang w:val="es-ES" w:bidi="hi-IN"/>
        </w:rPr>
        <w:tab/>
        <w:t>populaţia.</w:t>
      </w:r>
    </w:p>
    <w:p w14:paraId="37231FA3" w14:textId="77777777" w:rsidR="00FF62BD" w:rsidRPr="00FF62BD" w:rsidRDefault="00FF62BD" w:rsidP="00FF62BD">
      <w:pPr>
        <w:widowControl w:val="0"/>
        <w:suppressAutoHyphens/>
        <w:spacing w:after="0" w:line="276" w:lineRule="auto"/>
        <w:jc w:val="both"/>
        <w:rPr>
          <w:rFonts w:ascii="Arial" w:hAnsi="Arial" w:cs="Arial"/>
          <w:kern w:val="1"/>
          <w:lang w:val="fr-FR" w:eastAsia="hi-IN" w:bidi="hi-IN"/>
        </w:rPr>
      </w:pPr>
    </w:p>
    <w:p w14:paraId="59817FDD" w14:textId="77777777" w:rsidR="00FF62BD" w:rsidRPr="00FF62BD" w:rsidRDefault="00FF62BD" w:rsidP="00FF62BD">
      <w:pPr>
        <w:widowControl w:val="0"/>
        <w:suppressAutoHyphens/>
        <w:autoSpaceDE w:val="0"/>
        <w:spacing w:after="0" w:line="276" w:lineRule="auto"/>
        <w:jc w:val="both"/>
        <w:rPr>
          <w:rFonts w:ascii="Arial" w:hAnsi="Arial" w:cs="Arial"/>
          <w:color w:val="000000"/>
          <w:kern w:val="1"/>
          <w:lang w:val="es-ES" w:bidi="hi-IN"/>
        </w:rPr>
      </w:pPr>
      <w:r w:rsidRPr="00FF62BD">
        <w:rPr>
          <w:rFonts w:ascii="Arial" w:eastAsia="Calibri" w:hAnsi="Arial" w:cs="Arial"/>
          <w:kern w:val="1"/>
          <w:lang w:val="es-ES" w:bidi="hi-IN"/>
        </w:rPr>
        <w:t xml:space="preserve">Ca urmare, aria de influenţă a orasului Horezu (orașul </w:t>
      </w:r>
      <w:r w:rsidRPr="00FF62BD">
        <w:rPr>
          <w:rFonts w:ascii="Arial" w:eastAsia="Calibri" w:hAnsi="Arial" w:cs="Arial"/>
          <w:bCs/>
          <w:iCs/>
          <w:kern w:val="1"/>
          <w:lang w:val="es-ES" w:bidi="hi-IN"/>
        </w:rPr>
        <w:t>A) se manifestǎ ȋn mod diferit de la o comunǎ limitrofǎ la alta:</w:t>
      </w:r>
    </w:p>
    <w:tbl>
      <w:tblPr>
        <w:tblW w:w="6800" w:type="dxa"/>
        <w:jc w:val="center"/>
        <w:tblLook w:val="04A0" w:firstRow="1" w:lastRow="0" w:firstColumn="1" w:lastColumn="0" w:noHBand="0" w:noVBand="1"/>
      </w:tblPr>
      <w:tblGrid>
        <w:gridCol w:w="1180"/>
        <w:gridCol w:w="960"/>
        <w:gridCol w:w="960"/>
        <w:gridCol w:w="960"/>
        <w:gridCol w:w="1780"/>
        <w:gridCol w:w="1052"/>
      </w:tblGrid>
      <w:tr w:rsidR="00FF62BD" w:rsidRPr="00FF62BD" w14:paraId="7E1D5EE6" w14:textId="77777777" w:rsidTr="00C735D2">
        <w:trPr>
          <w:trHeight w:val="9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31E58" w14:textId="77777777" w:rsidR="00FF62BD" w:rsidRPr="00FF62BD" w:rsidRDefault="00FF62BD" w:rsidP="00FF62BD">
            <w:pPr>
              <w:spacing w:after="0" w:line="240" w:lineRule="auto"/>
              <w:jc w:val="center"/>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Localitate</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08006BC" w14:textId="77777777" w:rsidR="00FF62BD" w:rsidRPr="00FF62BD" w:rsidRDefault="00FF62BD" w:rsidP="00FF62BD">
            <w:pPr>
              <w:spacing w:after="0" w:line="240" w:lineRule="auto"/>
              <w:jc w:val="center"/>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pop</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A8F424B" w14:textId="77777777" w:rsidR="00FF62BD" w:rsidRPr="00FF62BD" w:rsidRDefault="00FF62BD" w:rsidP="00FF62BD">
            <w:pPr>
              <w:spacing w:after="0" w:line="240" w:lineRule="auto"/>
              <w:jc w:val="center"/>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dist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4EF3BF1" w14:textId="77777777" w:rsidR="00FF62BD" w:rsidRPr="00FF62BD" w:rsidRDefault="00FF62BD" w:rsidP="00FF62BD">
            <w:pPr>
              <w:spacing w:after="0" w:line="240" w:lineRule="auto"/>
              <w:jc w:val="center"/>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pop. Horezu</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48DB80C4" w14:textId="77777777" w:rsidR="00FF62BD" w:rsidRPr="00FF62BD" w:rsidRDefault="00FF62BD" w:rsidP="00FF62BD">
            <w:pPr>
              <w:spacing w:after="0" w:line="240" w:lineRule="auto"/>
              <w:jc w:val="center"/>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dist. pana la care se manifesta influenta orasului</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7E7AE7B" w14:textId="77777777" w:rsidR="00FF62BD" w:rsidRPr="00FF62BD" w:rsidRDefault="00FF62BD" w:rsidP="00FF62BD">
            <w:pPr>
              <w:spacing w:after="0" w:line="240" w:lineRule="auto"/>
              <w:jc w:val="center"/>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w:t>
            </w:r>
          </w:p>
        </w:tc>
      </w:tr>
      <w:tr w:rsidR="00FF62BD" w:rsidRPr="00FF62BD" w14:paraId="37D644BD" w14:textId="77777777" w:rsidTr="00C735D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7CEA2ED" w14:textId="77777777" w:rsidR="00FF62BD" w:rsidRPr="00FF62BD" w:rsidRDefault="00FF62BD" w:rsidP="00FF62BD">
            <w:pPr>
              <w:spacing w:after="0" w:line="240" w:lineRule="auto"/>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Maldaresti</w:t>
            </w:r>
          </w:p>
        </w:tc>
        <w:tc>
          <w:tcPr>
            <w:tcW w:w="960" w:type="dxa"/>
            <w:tcBorders>
              <w:top w:val="nil"/>
              <w:left w:val="nil"/>
              <w:bottom w:val="single" w:sz="4" w:space="0" w:color="auto"/>
              <w:right w:val="single" w:sz="4" w:space="0" w:color="auto"/>
            </w:tcBorders>
            <w:shd w:val="clear" w:color="auto" w:fill="auto"/>
            <w:noWrap/>
            <w:vAlign w:val="bottom"/>
            <w:hideMark/>
          </w:tcPr>
          <w:p w14:paraId="5D4D4439"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1946</w:t>
            </w:r>
          </w:p>
        </w:tc>
        <w:tc>
          <w:tcPr>
            <w:tcW w:w="960" w:type="dxa"/>
            <w:tcBorders>
              <w:top w:val="nil"/>
              <w:left w:val="nil"/>
              <w:bottom w:val="single" w:sz="4" w:space="0" w:color="auto"/>
              <w:right w:val="single" w:sz="4" w:space="0" w:color="auto"/>
            </w:tcBorders>
            <w:shd w:val="clear" w:color="auto" w:fill="auto"/>
            <w:noWrap/>
            <w:vAlign w:val="bottom"/>
            <w:hideMark/>
          </w:tcPr>
          <w:p w14:paraId="783F2EA6"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5</w:t>
            </w:r>
          </w:p>
        </w:tc>
        <w:tc>
          <w:tcPr>
            <w:tcW w:w="960" w:type="dxa"/>
            <w:tcBorders>
              <w:top w:val="nil"/>
              <w:left w:val="nil"/>
              <w:bottom w:val="single" w:sz="4" w:space="0" w:color="auto"/>
              <w:right w:val="single" w:sz="4" w:space="0" w:color="auto"/>
            </w:tcBorders>
            <w:shd w:val="clear" w:color="auto" w:fill="auto"/>
            <w:noWrap/>
            <w:vAlign w:val="bottom"/>
            <w:hideMark/>
          </w:tcPr>
          <w:p w14:paraId="2AED7E62"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6806</w:t>
            </w:r>
          </w:p>
        </w:tc>
        <w:tc>
          <w:tcPr>
            <w:tcW w:w="1780" w:type="dxa"/>
            <w:tcBorders>
              <w:top w:val="nil"/>
              <w:left w:val="nil"/>
              <w:bottom w:val="single" w:sz="4" w:space="0" w:color="auto"/>
              <w:right w:val="single" w:sz="4" w:space="0" w:color="auto"/>
            </w:tcBorders>
            <w:shd w:val="clear" w:color="auto" w:fill="auto"/>
            <w:noWrap/>
            <w:vAlign w:val="bottom"/>
            <w:hideMark/>
          </w:tcPr>
          <w:p w14:paraId="7416349D" w14:textId="77777777" w:rsidR="00FF62BD" w:rsidRPr="00FF62BD" w:rsidRDefault="00FF62BD" w:rsidP="00FF62BD">
            <w:pPr>
              <w:spacing w:after="0" w:line="240" w:lineRule="auto"/>
              <w:jc w:val="right"/>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3,257925838</w:t>
            </w:r>
          </w:p>
        </w:tc>
        <w:tc>
          <w:tcPr>
            <w:tcW w:w="960" w:type="dxa"/>
            <w:tcBorders>
              <w:top w:val="nil"/>
              <w:left w:val="nil"/>
              <w:bottom w:val="single" w:sz="4" w:space="0" w:color="auto"/>
              <w:right w:val="single" w:sz="4" w:space="0" w:color="auto"/>
            </w:tcBorders>
            <w:shd w:val="clear" w:color="auto" w:fill="auto"/>
            <w:noWrap/>
            <w:vAlign w:val="bottom"/>
            <w:hideMark/>
          </w:tcPr>
          <w:p w14:paraId="12ED6206" w14:textId="77777777" w:rsidR="00FF62BD" w:rsidRPr="00FF62BD" w:rsidRDefault="00FF62BD" w:rsidP="00FF62BD">
            <w:pPr>
              <w:spacing w:after="0" w:line="240" w:lineRule="auto"/>
              <w:jc w:val="right"/>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0,651585</w:t>
            </w:r>
          </w:p>
        </w:tc>
      </w:tr>
      <w:tr w:rsidR="00FF62BD" w:rsidRPr="00FF62BD" w14:paraId="1E6944A8" w14:textId="77777777" w:rsidTr="00C735D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217E838" w14:textId="77777777" w:rsidR="00FF62BD" w:rsidRPr="00FF62BD" w:rsidRDefault="00FF62BD" w:rsidP="00FF62BD">
            <w:pPr>
              <w:spacing w:after="0" w:line="240" w:lineRule="auto"/>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Slatioara</w:t>
            </w:r>
          </w:p>
        </w:tc>
        <w:tc>
          <w:tcPr>
            <w:tcW w:w="960" w:type="dxa"/>
            <w:tcBorders>
              <w:top w:val="nil"/>
              <w:left w:val="nil"/>
              <w:bottom w:val="single" w:sz="4" w:space="0" w:color="auto"/>
              <w:right w:val="single" w:sz="4" w:space="0" w:color="auto"/>
            </w:tcBorders>
            <w:shd w:val="clear" w:color="auto" w:fill="auto"/>
            <w:noWrap/>
            <w:vAlign w:val="bottom"/>
            <w:hideMark/>
          </w:tcPr>
          <w:p w14:paraId="5A3472DA"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3197</w:t>
            </w:r>
          </w:p>
        </w:tc>
        <w:tc>
          <w:tcPr>
            <w:tcW w:w="960" w:type="dxa"/>
            <w:tcBorders>
              <w:top w:val="nil"/>
              <w:left w:val="nil"/>
              <w:bottom w:val="single" w:sz="4" w:space="0" w:color="auto"/>
              <w:right w:val="single" w:sz="4" w:space="0" w:color="auto"/>
            </w:tcBorders>
            <w:shd w:val="clear" w:color="auto" w:fill="auto"/>
            <w:noWrap/>
            <w:vAlign w:val="bottom"/>
            <w:hideMark/>
          </w:tcPr>
          <w:p w14:paraId="2926EC1D"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9,5</w:t>
            </w:r>
          </w:p>
        </w:tc>
        <w:tc>
          <w:tcPr>
            <w:tcW w:w="960" w:type="dxa"/>
            <w:tcBorders>
              <w:top w:val="nil"/>
              <w:left w:val="nil"/>
              <w:bottom w:val="single" w:sz="4" w:space="0" w:color="auto"/>
              <w:right w:val="single" w:sz="4" w:space="0" w:color="auto"/>
            </w:tcBorders>
            <w:shd w:val="clear" w:color="auto" w:fill="auto"/>
            <w:noWrap/>
            <w:vAlign w:val="bottom"/>
            <w:hideMark/>
          </w:tcPr>
          <w:p w14:paraId="553CE2FC"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6806</w:t>
            </w:r>
          </w:p>
        </w:tc>
        <w:tc>
          <w:tcPr>
            <w:tcW w:w="1780" w:type="dxa"/>
            <w:tcBorders>
              <w:top w:val="nil"/>
              <w:left w:val="nil"/>
              <w:bottom w:val="single" w:sz="4" w:space="0" w:color="auto"/>
              <w:right w:val="single" w:sz="4" w:space="0" w:color="auto"/>
            </w:tcBorders>
            <w:shd w:val="clear" w:color="auto" w:fill="auto"/>
            <w:noWrap/>
            <w:vAlign w:val="bottom"/>
            <w:hideMark/>
          </w:tcPr>
          <w:p w14:paraId="1BDCBE35" w14:textId="77777777" w:rsidR="00FF62BD" w:rsidRPr="00FF62BD" w:rsidRDefault="00FF62BD" w:rsidP="00FF62BD">
            <w:pPr>
              <w:spacing w:after="0" w:line="240" w:lineRule="auto"/>
              <w:jc w:val="right"/>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5,636743107</w:t>
            </w:r>
          </w:p>
        </w:tc>
        <w:tc>
          <w:tcPr>
            <w:tcW w:w="960" w:type="dxa"/>
            <w:tcBorders>
              <w:top w:val="nil"/>
              <w:left w:val="nil"/>
              <w:bottom w:val="single" w:sz="4" w:space="0" w:color="auto"/>
              <w:right w:val="single" w:sz="4" w:space="0" w:color="auto"/>
            </w:tcBorders>
            <w:shd w:val="clear" w:color="auto" w:fill="auto"/>
            <w:noWrap/>
            <w:vAlign w:val="bottom"/>
            <w:hideMark/>
          </w:tcPr>
          <w:p w14:paraId="7E79B6DD" w14:textId="77777777" w:rsidR="00FF62BD" w:rsidRPr="00FF62BD" w:rsidRDefault="00FF62BD" w:rsidP="00FF62BD">
            <w:pPr>
              <w:spacing w:after="0" w:line="240" w:lineRule="auto"/>
              <w:jc w:val="right"/>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0,593341</w:t>
            </w:r>
          </w:p>
        </w:tc>
      </w:tr>
      <w:tr w:rsidR="00FF62BD" w:rsidRPr="00FF62BD" w14:paraId="0EB5A78F" w14:textId="77777777" w:rsidTr="00C735D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77BAAFC" w14:textId="77777777" w:rsidR="00FF62BD" w:rsidRPr="00FF62BD" w:rsidRDefault="00FF62BD" w:rsidP="00FF62BD">
            <w:pPr>
              <w:spacing w:after="0" w:line="240" w:lineRule="auto"/>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Vaideeni</w:t>
            </w:r>
          </w:p>
        </w:tc>
        <w:tc>
          <w:tcPr>
            <w:tcW w:w="960" w:type="dxa"/>
            <w:tcBorders>
              <w:top w:val="nil"/>
              <w:left w:val="nil"/>
              <w:bottom w:val="single" w:sz="4" w:space="0" w:color="auto"/>
              <w:right w:val="single" w:sz="4" w:space="0" w:color="auto"/>
            </w:tcBorders>
            <w:shd w:val="clear" w:color="auto" w:fill="auto"/>
            <w:noWrap/>
            <w:vAlign w:val="bottom"/>
            <w:hideMark/>
          </w:tcPr>
          <w:p w14:paraId="6E5B6A19"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3840</w:t>
            </w:r>
          </w:p>
        </w:tc>
        <w:tc>
          <w:tcPr>
            <w:tcW w:w="960" w:type="dxa"/>
            <w:tcBorders>
              <w:top w:val="nil"/>
              <w:left w:val="nil"/>
              <w:bottom w:val="single" w:sz="4" w:space="0" w:color="auto"/>
              <w:right w:val="single" w:sz="4" w:space="0" w:color="auto"/>
            </w:tcBorders>
            <w:shd w:val="clear" w:color="auto" w:fill="auto"/>
            <w:noWrap/>
            <w:vAlign w:val="bottom"/>
            <w:hideMark/>
          </w:tcPr>
          <w:p w14:paraId="44023825"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5</w:t>
            </w:r>
          </w:p>
        </w:tc>
        <w:tc>
          <w:tcPr>
            <w:tcW w:w="960" w:type="dxa"/>
            <w:tcBorders>
              <w:top w:val="nil"/>
              <w:left w:val="nil"/>
              <w:bottom w:val="single" w:sz="4" w:space="0" w:color="auto"/>
              <w:right w:val="single" w:sz="4" w:space="0" w:color="auto"/>
            </w:tcBorders>
            <w:shd w:val="clear" w:color="auto" w:fill="auto"/>
            <w:noWrap/>
            <w:vAlign w:val="bottom"/>
            <w:hideMark/>
          </w:tcPr>
          <w:p w14:paraId="2430AF0C"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6806</w:t>
            </w:r>
          </w:p>
        </w:tc>
        <w:tc>
          <w:tcPr>
            <w:tcW w:w="1780" w:type="dxa"/>
            <w:tcBorders>
              <w:top w:val="nil"/>
              <w:left w:val="nil"/>
              <w:bottom w:val="single" w:sz="4" w:space="0" w:color="auto"/>
              <w:right w:val="single" w:sz="4" w:space="0" w:color="auto"/>
            </w:tcBorders>
            <w:shd w:val="clear" w:color="auto" w:fill="auto"/>
            <w:noWrap/>
            <w:vAlign w:val="bottom"/>
            <w:hideMark/>
          </w:tcPr>
          <w:p w14:paraId="7AB81D66" w14:textId="77777777" w:rsidR="00FF62BD" w:rsidRPr="00FF62BD" w:rsidRDefault="00FF62BD" w:rsidP="00FF62BD">
            <w:pPr>
              <w:spacing w:after="0" w:line="240" w:lineRule="auto"/>
              <w:jc w:val="right"/>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2,855286369</w:t>
            </w:r>
          </w:p>
        </w:tc>
        <w:tc>
          <w:tcPr>
            <w:tcW w:w="960" w:type="dxa"/>
            <w:tcBorders>
              <w:top w:val="nil"/>
              <w:left w:val="nil"/>
              <w:bottom w:val="single" w:sz="4" w:space="0" w:color="auto"/>
              <w:right w:val="single" w:sz="4" w:space="0" w:color="auto"/>
            </w:tcBorders>
            <w:shd w:val="clear" w:color="auto" w:fill="auto"/>
            <w:noWrap/>
            <w:vAlign w:val="bottom"/>
            <w:hideMark/>
          </w:tcPr>
          <w:p w14:paraId="044CBB2F" w14:textId="77777777" w:rsidR="00FF62BD" w:rsidRPr="00FF62BD" w:rsidRDefault="00FF62BD" w:rsidP="00FF62BD">
            <w:pPr>
              <w:spacing w:after="0" w:line="240" w:lineRule="auto"/>
              <w:jc w:val="right"/>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0,571057</w:t>
            </w:r>
          </w:p>
        </w:tc>
      </w:tr>
      <w:tr w:rsidR="00FF62BD" w:rsidRPr="00FF62BD" w14:paraId="05FFE321" w14:textId="77777777" w:rsidTr="00C735D2">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9E9D63D" w14:textId="77777777" w:rsidR="00FF62BD" w:rsidRPr="00FF62BD" w:rsidRDefault="00FF62BD" w:rsidP="00FF62BD">
            <w:pPr>
              <w:spacing w:after="0" w:line="240" w:lineRule="auto"/>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Tomsani</w:t>
            </w:r>
          </w:p>
        </w:tc>
        <w:tc>
          <w:tcPr>
            <w:tcW w:w="960" w:type="dxa"/>
            <w:tcBorders>
              <w:top w:val="nil"/>
              <w:left w:val="nil"/>
              <w:bottom w:val="single" w:sz="4" w:space="0" w:color="auto"/>
              <w:right w:val="single" w:sz="4" w:space="0" w:color="auto"/>
            </w:tcBorders>
            <w:shd w:val="clear" w:color="auto" w:fill="auto"/>
            <w:noWrap/>
            <w:vAlign w:val="bottom"/>
            <w:hideMark/>
          </w:tcPr>
          <w:p w14:paraId="4ACCD254"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3570</w:t>
            </w:r>
          </w:p>
        </w:tc>
        <w:tc>
          <w:tcPr>
            <w:tcW w:w="960" w:type="dxa"/>
            <w:tcBorders>
              <w:top w:val="nil"/>
              <w:left w:val="nil"/>
              <w:bottom w:val="single" w:sz="4" w:space="0" w:color="auto"/>
              <w:right w:val="single" w:sz="4" w:space="0" w:color="auto"/>
            </w:tcBorders>
            <w:shd w:val="clear" w:color="auto" w:fill="auto"/>
            <w:noWrap/>
            <w:vAlign w:val="bottom"/>
            <w:hideMark/>
          </w:tcPr>
          <w:p w14:paraId="2EADB722"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6</w:t>
            </w:r>
          </w:p>
        </w:tc>
        <w:tc>
          <w:tcPr>
            <w:tcW w:w="960" w:type="dxa"/>
            <w:tcBorders>
              <w:top w:val="nil"/>
              <w:left w:val="nil"/>
              <w:bottom w:val="single" w:sz="4" w:space="0" w:color="auto"/>
              <w:right w:val="single" w:sz="4" w:space="0" w:color="auto"/>
            </w:tcBorders>
            <w:shd w:val="clear" w:color="auto" w:fill="auto"/>
            <w:noWrap/>
            <w:vAlign w:val="bottom"/>
            <w:hideMark/>
          </w:tcPr>
          <w:p w14:paraId="59576C4A" w14:textId="77777777" w:rsidR="00FF62BD" w:rsidRPr="00FF62BD" w:rsidRDefault="00FF62BD" w:rsidP="00FF62BD">
            <w:pPr>
              <w:spacing w:after="0" w:line="240" w:lineRule="auto"/>
              <w:jc w:val="right"/>
              <w:rPr>
                <w:rFonts w:ascii="Arial" w:eastAsia="Times New Roman" w:hAnsi="Arial" w:cs="Arial"/>
                <w:color w:val="000000"/>
                <w:sz w:val="20"/>
                <w:szCs w:val="20"/>
                <w:lang w:val="ro-RO" w:eastAsia="ro-RO"/>
              </w:rPr>
            </w:pPr>
            <w:r w:rsidRPr="00FF62BD">
              <w:rPr>
                <w:rFonts w:ascii="Arial" w:eastAsia="Times New Roman" w:hAnsi="Arial" w:cs="Arial"/>
                <w:color w:val="000000"/>
                <w:sz w:val="20"/>
                <w:szCs w:val="20"/>
                <w:lang w:val="ro-RO" w:eastAsia="ro-RO"/>
              </w:rPr>
              <w:t>6806</w:t>
            </w:r>
          </w:p>
        </w:tc>
        <w:tc>
          <w:tcPr>
            <w:tcW w:w="1780" w:type="dxa"/>
            <w:tcBorders>
              <w:top w:val="nil"/>
              <w:left w:val="nil"/>
              <w:bottom w:val="single" w:sz="4" w:space="0" w:color="auto"/>
              <w:right w:val="single" w:sz="4" w:space="0" w:color="auto"/>
            </w:tcBorders>
            <w:shd w:val="clear" w:color="auto" w:fill="auto"/>
            <w:noWrap/>
            <w:vAlign w:val="bottom"/>
            <w:hideMark/>
          </w:tcPr>
          <w:p w14:paraId="09E24407" w14:textId="77777777" w:rsidR="00FF62BD" w:rsidRPr="00FF62BD" w:rsidRDefault="00FF62BD" w:rsidP="00FF62BD">
            <w:pPr>
              <w:spacing w:after="0" w:line="240" w:lineRule="auto"/>
              <w:jc w:val="right"/>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3,479775054</w:t>
            </w:r>
          </w:p>
        </w:tc>
        <w:tc>
          <w:tcPr>
            <w:tcW w:w="960" w:type="dxa"/>
            <w:tcBorders>
              <w:top w:val="nil"/>
              <w:left w:val="nil"/>
              <w:bottom w:val="single" w:sz="4" w:space="0" w:color="auto"/>
              <w:right w:val="single" w:sz="4" w:space="0" w:color="auto"/>
            </w:tcBorders>
            <w:shd w:val="clear" w:color="auto" w:fill="auto"/>
            <w:noWrap/>
            <w:vAlign w:val="bottom"/>
            <w:hideMark/>
          </w:tcPr>
          <w:p w14:paraId="48587EA9" w14:textId="77777777" w:rsidR="00FF62BD" w:rsidRPr="00FF62BD" w:rsidRDefault="00FF62BD" w:rsidP="00FF62BD">
            <w:pPr>
              <w:spacing w:after="0" w:line="240" w:lineRule="auto"/>
              <w:jc w:val="right"/>
              <w:rPr>
                <w:rFonts w:ascii="Calibri" w:eastAsia="Times New Roman" w:hAnsi="Calibri" w:cs="Times New Roman"/>
                <w:color w:val="000000"/>
                <w:lang w:val="ro-RO" w:eastAsia="ro-RO"/>
              </w:rPr>
            </w:pPr>
            <w:r w:rsidRPr="00FF62BD">
              <w:rPr>
                <w:rFonts w:ascii="Calibri" w:eastAsia="Times New Roman" w:hAnsi="Calibri" w:cs="Times New Roman"/>
                <w:color w:val="000000"/>
                <w:lang w:val="ro-RO" w:eastAsia="ro-RO"/>
              </w:rPr>
              <w:t>0,579963</w:t>
            </w:r>
          </w:p>
        </w:tc>
      </w:tr>
    </w:tbl>
    <w:p w14:paraId="44B91246" w14:textId="77777777" w:rsidR="00FF62BD" w:rsidRPr="00FF62BD" w:rsidRDefault="00FF62BD" w:rsidP="00FF62BD">
      <w:pPr>
        <w:widowControl w:val="0"/>
        <w:suppressAutoHyphens/>
        <w:autoSpaceDE w:val="0"/>
        <w:spacing w:after="0" w:line="276" w:lineRule="auto"/>
        <w:jc w:val="both"/>
        <w:rPr>
          <w:rFonts w:ascii="Arial" w:hAnsi="Arial" w:cs="Arial"/>
          <w:kern w:val="1"/>
          <w:lang w:eastAsia="hi-IN" w:bidi="hi-IN"/>
        </w:rPr>
      </w:pPr>
    </w:p>
    <w:p w14:paraId="0AFEE47F" w14:textId="77777777" w:rsidR="00FF62BD" w:rsidRPr="00FF62BD" w:rsidRDefault="00FF62BD" w:rsidP="00FF62BD">
      <w:pPr>
        <w:widowControl w:val="0"/>
        <w:suppressAutoHyphens/>
        <w:autoSpaceDE w:val="0"/>
        <w:spacing w:after="0" w:line="276" w:lineRule="auto"/>
        <w:jc w:val="both"/>
        <w:rPr>
          <w:rFonts w:ascii="Arial" w:eastAsia="Calibri" w:hAnsi="Arial" w:cs="Arial"/>
          <w:kern w:val="1"/>
          <w:lang w:val="es-ES" w:bidi="hi-IN"/>
        </w:rPr>
      </w:pPr>
      <w:r w:rsidRPr="00FF62BD">
        <w:rPr>
          <w:rFonts w:ascii="Arial" w:eastAsia="Calibri" w:hAnsi="Arial" w:cs="Arial"/>
          <w:kern w:val="1"/>
          <w:lang w:val="es-ES" w:bidi="hi-IN"/>
        </w:rPr>
        <w:t>niciuna din comunele de mai sus (localitati limitrofe), neincadrandu-se intr-un procent de minim 75%.</w:t>
      </w:r>
    </w:p>
    <w:p w14:paraId="6F90802D" w14:textId="77777777" w:rsidR="00FF62BD" w:rsidRPr="00FF62BD" w:rsidRDefault="00FF62BD" w:rsidP="00FF62BD">
      <w:pPr>
        <w:widowControl w:val="0"/>
        <w:suppressAutoHyphens/>
        <w:autoSpaceDE w:val="0"/>
        <w:spacing w:after="0" w:line="276" w:lineRule="auto"/>
        <w:jc w:val="both"/>
        <w:rPr>
          <w:rFonts w:ascii="Arial" w:eastAsia="Calibri" w:hAnsi="Arial" w:cs="Arial"/>
          <w:kern w:val="1"/>
          <w:lang w:val="es-ES" w:bidi="hi-IN"/>
        </w:rPr>
      </w:pPr>
    </w:p>
    <w:p w14:paraId="1592265A" w14:textId="77777777" w:rsidR="00FF62BD" w:rsidRPr="00FF62BD" w:rsidRDefault="00FF62BD" w:rsidP="00FF62BD">
      <w:pPr>
        <w:widowControl w:val="0"/>
        <w:suppressAutoHyphens/>
        <w:autoSpaceDE w:val="0"/>
        <w:spacing w:after="0" w:line="276" w:lineRule="auto"/>
        <w:jc w:val="both"/>
        <w:rPr>
          <w:rFonts w:ascii="Arial" w:hAnsi="Arial" w:cs="Arial"/>
          <w:kern w:val="1"/>
          <w:lang w:eastAsia="hi-IN" w:bidi="hi-IN"/>
        </w:rPr>
      </w:pPr>
      <w:r w:rsidRPr="00FF62BD">
        <w:rPr>
          <w:rFonts w:ascii="Arial" w:hAnsi="Arial" w:cs="Arial"/>
          <w:kern w:val="1"/>
          <w:lang w:eastAsia="hi-IN" w:bidi="hi-IN"/>
        </w:rPr>
        <w:t xml:space="preserve">Concluzii: </w:t>
      </w:r>
    </w:p>
    <w:p w14:paraId="22D602AB" w14:textId="77777777" w:rsidR="00FF62BD" w:rsidRPr="00FF62BD" w:rsidRDefault="00FF62BD" w:rsidP="00FF62BD">
      <w:pPr>
        <w:widowControl w:val="0"/>
        <w:numPr>
          <w:ilvl w:val="0"/>
          <w:numId w:val="12"/>
        </w:numPr>
        <w:suppressAutoHyphens/>
        <w:autoSpaceDE w:val="0"/>
        <w:spacing w:after="0" w:line="276" w:lineRule="auto"/>
        <w:jc w:val="both"/>
        <w:rPr>
          <w:rFonts w:ascii="Arial" w:hAnsi="Arial" w:cs="Arial"/>
          <w:kern w:val="1"/>
          <w:lang w:val="es-ES" w:eastAsia="hi-IN" w:bidi="hi-IN"/>
        </w:rPr>
      </w:pPr>
      <w:r w:rsidRPr="00FF62BD">
        <w:rPr>
          <w:rFonts w:ascii="Arial" w:hAnsi="Arial" w:cs="Arial"/>
          <w:kern w:val="1"/>
          <w:lang w:val="es-ES" w:eastAsia="hi-IN" w:bidi="hi-IN"/>
        </w:rPr>
        <w:t>aria cea mai adecvatǎ pentru realizarea unui plan de mobilitate urbanǎ durabilǎ nu poate fi rezumatǎ la aria urbanǎ;</w:t>
      </w:r>
    </w:p>
    <w:p w14:paraId="073127E7" w14:textId="77777777" w:rsidR="00FF62BD" w:rsidRPr="00FF62BD" w:rsidRDefault="00FF62BD" w:rsidP="00FF62BD">
      <w:pPr>
        <w:widowControl w:val="0"/>
        <w:numPr>
          <w:ilvl w:val="0"/>
          <w:numId w:val="12"/>
        </w:numPr>
        <w:suppressAutoHyphens/>
        <w:autoSpaceDE w:val="0"/>
        <w:spacing w:after="0" w:line="276" w:lineRule="auto"/>
        <w:jc w:val="both"/>
        <w:rPr>
          <w:rFonts w:ascii="Arial" w:hAnsi="Arial" w:cs="Arial"/>
          <w:kern w:val="1"/>
          <w:lang w:val="es-ES" w:eastAsia="hi-IN" w:bidi="hi-IN"/>
        </w:rPr>
      </w:pPr>
      <w:r w:rsidRPr="00FF62BD">
        <w:rPr>
          <w:rFonts w:ascii="Arial" w:hAnsi="Arial" w:cs="Arial"/>
          <w:kern w:val="1"/>
          <w:lang w:val="es-ES" w:eastAsia="hi-IN" w:bidi="hi-IN"/>
        </w:rPr>
        <w:t>extinderea pȃnǎ la 5 km de centrul orasului nu are suficientǎ consistențǎ din cauza inexistenței unor localitǎți care sǎ graviteze economic ȋn jurul orasului.</w:t>
      </w:r>
    </w:p>
    <w:p w14:paraId="03D46ADD" w14:textId="77777777" w:rsidR="00FF62BD" w:rsidRPr="00FF62BD" w:rsidRDefault="00FF62BD" w:rsidP="00FF62BD">
      <w:pPr>
        <w:widowControl w:val="0"/>
        <w:suppressAutoHyphens/>
        <w:spacing w:after="0" w:line="276" w:lineRule="auto"/>
        <w:jc w:val="both"/>
        <w:rPr>
          <w:rFonts w:ascii="Arial" w:hAnsi="Arial" w:cs="Arial"/>
          <w:color w:val="FF0000"/>
          <w:kern w:val="1"/>
          <w:lang w:val="es-ES" w:eastAsia="zh-CN" w:bidi="hi-IN"/>
        </w:rPr>
      </w:pPr>
    </w:p>
    <w:p w14:paraId="07145EA1" w14:textId="77777777" w:rsidR="00FF62BD" w:rsidRPr="00FF62BD" w:rsidRDefault="00FF62BD" w:rsidP="00FF62BD">
      <w:pPr>
        <w:suppressAutoHyphens/>
        <w:autoSpaceDE w:val="0"/>
        <w:spacing w:after="0" w:line="360" w:lineRule="auto"/>
        <w:jc w:val="both"/>
        <w:rPr>
          <w:rFonts w:ascii="Arial" w:hAnsi="Arial" w:cs="Arial"/>
          <w:kern w:val="1"/>
          <w:lang w:val="es-ES" w:eastAsia="hi-IN" w:bidi="hi-IN"/>
        </w:rPr>
      </w:pPr>
    </w:p>
    <w:p w14:paraId="337EFEC3" w14:textId="77777777" w:rsidR="00FF62BD" w:rsidRPr="00FF62BD" w:rsidRDefault="00FF62BD" w:rsidP="00FF62BD">
      <w:pPr>
        <w:suppressAutoHyphens/>
        <w:autoSpaceDE w:val="0"/>
        <w:spacing w:after="0" w:line="360"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lastRenderedPageBreak/>
        <w:t xml:space="preserve">În ceea ce privește infrastructura rutierǎ a Orasului Horezu se desprind urmǎtoarele idei: </w:t>
      </w:r>
    </w:p>
    <w:p w14:paraId="2A004221" w14:textId="77777777" w:rsidR="00FF62BD" w:rsidRPr="00FF62BD" w:rsidRDefault="00FF62BD" w:rsidP="000C6CB8">
      <w:pPr>
        <w:numPr>
          <w:ilvl w:val="0"/>
          <w:numId w:val="191"/>
        </w:num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 xml:space="preserve">Schema după care este organizată reţeaua principală de trafic din Orasul Horezu este una de tip radial, cu 5 direcții principale (DN 67 - spre Ramnicu Valcea, respectiv Targu Jiu; DN 65C – spre Craiova; DJ 665 – spre Vaideeni; DC 142 – spre Ursani; DC 143 spre Tanasesti; DC 144 spre Ifrimesti; DC 146 + DJ 669 spre Romanii de Sus), iar circulaţia are tendinţa de a se concentra pe principala artera (DN 67) care traversează zona centrală a orasului. </w:t>
      </w:r>
    </w:p>
    <w:p w14:paraId="66F5A3CF" w14:textId="77777777" w:rsidR="00FF62BD" w:rsidRPr="00FF62BD" w:rsidRDefault="00FF62BD" w:rsidP="000C6CB8">
      <w:pPr>
        <w:numPr>
          <w:ilvl w:val="0"/>
          <w:numId w:val="191"/>
        </w:num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 xml:space="preserve">Raportul inadecvat între gradul de încărcare şi profilul transversal duce la suprasolicitare sau la neutilizarea la capacitate (stradă de importanţă redusă, fără trafic de tranzit dar cu profil supradimensionat). Întreruperea unor legături importante pentru reţeaua de trafic şi devierea traficului duce la suprasolicitarea unor legături şi intersecţii. </w:t>
      </w:r>
    </w:p>
    <w:p w14:paraId="789A2266" w14:textId="77777777" w:rsidR="00FF62BD" w:rsidRPr="00FF62BD" w:rsidRDefault="00FF62BD" w:rsidP="000C6CB8">
      <w:pPr>
        <w:numPr>
          <w:ilvl w:val="0"/>
          <w:numId w:val="191"/>
        </w:num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 xml:space="preserve">La orele de vârf există, mai ales în partea centrală a oraşului, zone în care se concentrează fluxuri mari de vehicule, generând o diminuare a fluenţei (viteze de circulaţie scăzute, timpi crescuţi de parcurgere a tronsoanelor, cozi de aşteptare, etc.) precum şi o creştere a consumului de combustibili şi al nivelului emisiilor poluante. </w:t>
      </w:r>
    </w:p>
    <w:p w14:paraId="4C2699F7" w14:textId="77777777" w:rsidR="00FF62BD" w:rsidRPr="00FF62BD" w:rsidRDefault="00FF62BD" w:rsidP="000C6CB8">
      <w:pPr>
        <w:numPr>
          <w:ilvl w:val="0"/>
          <w:numId w:val="191"/>
        </w:numPr>
        <w:suppressAutoHyphens/>
        <w:autoSpaceDE w:val="0"/>
        <w:spacing w:after="0" w:line="276" w:lineRule="auto"/>
        <w:jc w:val="both"/>
        <w:rPr>
          <w:rFonts w:ascii="EUAlbertina" w:eastAsia="Calibri" w:hAnsi="EUAlbertina" w:cs="EUAlbertina"/>
          <w:lang w:eastAsia="zh-CN"/>
        </w:rPr>
      </w:pPr>
      <w:r w:rsidRPr="00FF62BD">
        <w:rPr>
          <w:rFonts w:ascii="Arial" w:eastAsia="Calibri" w:hAnsi="Arial" w:cs="Arial"/>
          <w:lang w:eastAsia="zh-CN"/>
        </w:rPr>
        <w:t>Lipsa transportului public local.</w:t>
      </w:r>
    </w:p>
    <w:p w14:paraId="7FED7CC2" w14:textId="77777777" w:rsidR="00FF62BD" w:rsidRPr="00FF62BD" w:rsidRDefault="00FF62BD" w:rsidP="00FF62BD">
      <w:pPr>
        <w:suppressAutoHyphens/>
        <w:autoSpaceDE w:val="0"/>
        <w:spacing w:after="0" w:line="360" w:lineRule="auto"/>
        <w:jc w:val="both"/>
        <w:rPr>
          <w:rFonts w:ascii="EUAlbertina" w:eastAsia="Calibri" w:hAnsi="EUAlbertina" w:cs="EUAlbertina"/>
          <w:sz w:val="24"/>
          <w:szCs w:val="24"/>
          <w:lang w:val="es-ES" w:eastAsia="zh-CN"/>
        </w:rPr>
      </w:pPr>
    </w:p>
    <w:p w14:paraId="54D80B1F" w14:textId="77777777" w:rsidR="00FF62BD" w:rsidRPr="00FF62BD" w:rsidRDefault="00FF62BD" w:rsidP="00FF62BD">
      <w:pPr>
        <w:suppressAutoHyphens/>
        <w:autoSpaceDE w:val="0"/>
        <w:spacing w:after="0" w:line="276" w:lineRule="auto"/>
        <w:jc w:val="both"/>
        <w:rPr>
          <w:rFonts w:ascii="Arial" w:eastAsia="Arial" w:hAnsi="Arial" w:cs="Arial"/>
          <w:lang w:val="es-ES" w:eastAsia="zh-CN"/>
        </w:rPr>
      </w:pPr>
      <w:r w:rsidRPr="00FF62BD">
        <w:rPr>
          <w:rFonts w:ascii="Arial" w:eastAsia="Calibri" w:hAnsi="Arial" w:cs="Arial"/>
          <w:b/>
          <w:bCs/>
          <w:lang w:val="es-ES" w:eastAsia="zh-CN"/>
        </w:rPr>
        <w:t>Indicii de penetrabilitate şi permisivitate (ai cartierelor):</w:t>
      </w:r>
      <w:r w:rsidRPr="00FF62BD">
        <w:rPr>
          <w:rFonts w:ascii="Arial" w:eastAsia="Calibri" w:hAnsi="Arial" w:cs="Arial"/>
          <w:lang w:val="es-ES" w:eastAsia="zh-CN"/>
        </w:rPr>
        <w:t xml:space="preserve"> </w:t>
      </w:r>
    </w:p>
    <w:p w14:paraId="7F2F8CC8" w14:textId="77777777" w:rsidR="00FF62BD" w:rsidRPr="00FF62BD" w:rsidRDefault="00FF62BD" w:rsidP="000C6CB8">
      <w:pPr>
        <w:numPr>
          <w:ilvl w:val="0"/>
          <w:numId w:val="154"/>
        </w:numPr>
        <w:suppressAutoHyphens/>
        <w:autoSpaceDE w:val="0"/>
        <w:spacing w:after="0" w:line="276" w:lineRule="auto"/>
        <w:rPr>
          <w:rFonts w:ascii="Arial" w:eastAsia="Arial" w:hAnsi="Arial" w:cs="Arial"/>
          <w:lang w:val="es-ES" w:eastAsia="zh-CN"/>
        </w:rPr>
      </w:pPr>
      <w:r w:rsidRPr="00FF62BD">
        <w:rPr>
          <w:rFonts w:ascii="Arial" w:eastAsia="Calibri" w:hAnsi="Arial" w:cs="Arial"/>
          <w:lang w:val="es-ES" w:eastAsia="zh-CN"/>
        </w:rPr>
        <w:t xml:space="preserve">indicele de penetrabilitate se calculează ca raport între numărul de accese într-un cartier şi suprafaţa cartierului </w:t>
      </w:r>
    </w:p>
    <w:p w14:paraId="5E38E3C5" w14:textId="77777777" w:rsidR="00FF62BD" w:rsidRPr="00FF62BD" w:rsidRDefault="00FF62BD" w:rsidP="000C6CB8">
      <w:pPr>
        <w:numPr>
          <w:ilvl w:val="0"/>
          <w:numId w:val="154"/>
        </w:numPr>
        <w:suppressAutoHyphens/>
        <w:autoSpaceDE w:val="0"/>
        <w:spacing w:after="0" w:line="276" w:lineRule="auto"/>
        <w:rPr>
          <w:rFonts w:ascii="Arial" w:eastAsia="Calibri" w:hAnsi="Arial" w:cs="Arial"/>
          <w:lang w:val="es-ES" w:eastAsia="zh-CN"/>
        </w:rPr>
      </w:pPr>
      <w:r w:rsidRPr="00FF62BD">
        <w:rPr>
          <w:rFonts w:ascii="Arial" w:eastAsia="Calibri" w:hAnsi="Arial" w:cs="Arial"/>
          <w:lang w:val="es-ES" w:eastAsia="zh-CN"/>
        </w:rPr>
        <w:t xml:space="preserve">indicele de permisivitate se calculează ca raport între numărul de km reţea majoră de pe teritoriul cartierului şi numărul de locuitori ai cartierului. </w:t>
      </w:r>
    </w:p>
    <w:p w14:paraId="4786D402" w14:textId="77777777" w:rsidR="00FF62BD" w:rsidRPr="00FF62BD" w:rsidRDefault="00FF62BD" w:rsidP="00FF62BD">
      <w:pPr>
        <w:suppressAutoHyphens/>
        <w:autoSpaceDE w:val="0"/>
        <w:spacing w:after="0" w:line="360" w:lineRule="auto"/>
        <w:jc w:val="both"/>
        <w:rPr>
          <w:rFonts w:ascii="Arial" w:eastAsia="Calibri" w:hAnsi="Arial" w:cs="Arial"/>
          <w:color w:val="FF0000"/>
          <w:sz w:val="24"/>
          <w:szCs w:val="24"/>
          <w:lang w:val="es-ES" w:eastAsia="zh-CN"/>
        </w:rPr>
      </w:pPr>
    </w:p>
    <w:p w14:paraId="1A802998" w14:textId="77777777" w:rsidR="00FF62BD" w:rsidRPr="00FF62BD" w:rsidRDefault="00FF62BD" w:rsidP="00FF62BD">
      <w:pPr>
        <w:suppressAutoHyphens/>
        <w:autoSpaceDE w:val="0"/>
        <w:spacing w:after="0" w:line="276" w:lineRule="auto"/>
        <w:jc w:val="both"/>
        <w:rPr>
          <w:rFonts w:ascii="Arial" w:eastAsia="Arial" w:hAnsi="Arial" w:cs="Arial"/>
          <w:lang w:val="es-ES" w:eastAsia="zh-CN"/>
        </w:rPr>
      </w:pPr>
      <w:r w:rsidRPr="00FF62BD">
        <w:rPr>
          <w:rFonts w:ascii="Arial" w:eastAsia="Calibri" w:hAnsi="Arial" w:cs="Arial"/>
          <w:lang w:val="es-ES" w:eastAsia="zh-CN"/>
        </w:rPr>
        <w:t xml:space="preserve">Pentru ambii indici sunt agreate valorile mari: </w:t>
      </w:r>
    </w:p>
    <w:p w14:paraId="41C87007" w14:textId="77777777" w:rsidR="00FF62BD" w:rsidRPr="00FF62BD" w:rsidRDefault="00FF62BD" w:rsidP="000C6CB8">
      <w:pPr>
        <w:numPr>
          <w:ilvl w:val="0"/>
          <w:numId w:val="155"/>
        </w:numPr>
        <w:suppressAutoHyphens/>
        <w:autoSpaceDE w:val="0"/>
        <w:spacing w:after="0" w:line="276" w:lineRule="auto"/>
        <w:jc w:val="both"/>
        <w:rPr>
          <w:rFonts w:ascii="Arial" w:eastAsia="Arial" w:hAnsi="Arial" w:cs="Arial"/>
          <w:lang w:val="es-ES" w:eastAsia="zh-CN"/>
        </w:rPr>
      </w:pPr>
      <w:r w:rsidRPr="00FF62BD">
        <w:rPr>
          <w:rFonts w:ascii="Arial" w:eastAsia="Calibri" w:hAnsi="Arial" w:cs="Arial"/>
          <w:lang w:val="es-ES" w:eastAsia="zh-CN"/>
        </w:rPr>
        <w:t xml:space="preserve">penetrabilitatea mare arată că traficul se distribuie pe mai multe direcții, disiparea fluxului de vehicule contribuind la reducerea congestiei din trafic; </w:t>
      </w:r>
    </w:p>
    <w:p w14:paraId="417EA525" w14:textId="77777777" w:rsidR="00FF62BD" w:rsidRPr="00FF62BD" w:rsidRDefault="00FF62BD" w:rsidP="000C6CB8">
      <w:pPr>
        <w:numPr>
          <w:ilvl w:val="0"/>
          <w:numId w:val="155"/>
        </w:numPr>
        <w:suppressAutoHyphens/>
        <w:autoSpaceDE w:val="0"/>
        <w:spacing w:after="0" w:line="276" w:lineRule="auto"/>
        <w:jc w:val="both"/>
        <w:rPr>
          <w:rFonts w:ascii="Arial" w:eastAsia="Calibri" w:hAnsi="Arial" w:cs="Arial"/>
          <w:lang w:val="es-ES" w:eastAsia="zh-CN"/>
        </w:rPr>
      </w:pPr>
      <w:r w:rsidRPr="00FF62BD">
        <w:rPr>
          <w:rFonts w:ascii="Arial" w:eastAsia="Calibri" w:hAnsi="Arial" w:cs="Arial"/>
          <w:lang w:val="es-ES" w:eastAsia="zh-CN"/>
        </w:rPr>
        <w:t xml:space="preserve">permisivitatea mare arată că un cartier asigură locuitorilor posibilităţi multiple de deplasare, iar posesorilor de autoturisme le oferă o densitate mai redusă de vehicule în mişcare, pe căile de defluire ale cartierului. </w:t>
      </w:r>
    </w:p>
    <w:p w14:paraId="329245CC" w14:textId="77777777" w:rsidR="00FF62BD" w:rsidRPr="00FF62BD" w:rsidRDefault="00FF62BD" w:rsidP="00FF62BD">
      <w:pPr>
        <w:suppressAutoHyphens/>
        <w:autoSpaceDE w:val="0"/>
        <w:spacing w:after="0" w:line="276" w:lineRule="auto"/>
        <w:jc w:val="both"/>
        <w:rPr>
          <w:rFonts w:ascii="Arial" w:eastAsia="Calibri" w:hAnsi="Arial" w:cs="Arial"/>
          <w:sz w:val="24"/>
          <w:szCs w:val="24"/>
          <w:lang w:val="es-ES" w:eastAsia="zh-CN"/>
        </w:rPr>
      </w:pPr>
    </w:p>
    <w:p w14:paraId="308C7648" w14:textId="77777777" w:rsidR="00FF62BD" w:rsidRPr="00FF62BD" w:rsidRDefault="00FF62BD" w:rsidP="00FF62BD">
      <w:pPr>
        <w:suppressAutoHyphens/>
        <w:autoSpaceDE w:val="0"/>
        <w:spacing w:after="0" w:line="276" w:lineRule="auto"/>
        <w:jc w:val="both"/>
        <w:rPr>
          <w:rFonts w:ascii="Arial" w:eastAsia="Calibri" w:hAnsi="Arial" w:cs="Arial"/>
          <w:lang w:val="es-ES" w:eastAsia="zh-CN"/>
        </w:rPr>
      </w:pPr>
      <w:r w:rsidRPr="00FF62BD">
        <w:rPr>
          <w:rFonts w:ascii="Arial" w:eastAsia="Calibri" w:hAnsi="Arial" w:cs="Arial"/>
          <w:lang w:val="es-ES" w:eastAsia="zh-CN"/>
        </w:rPr>
        <w:t xml:space="preserve">În figurile următoare sunt prezentate penetrabilitatea şi, respectiv permisivitatea zonelor delimitate de elaborator in orasul Horezu: </w:t>
      </w:r>
    </w:p>
    <w:p w14:paraId="17A27376" w14:textId="77777777" w:rsidR="00FF62BD" w:rsidRPr="00FF62BD" w:rsidRDefault="00FF62BD" w:rsidP="00FF62BD">
      <w:pPr>
        <w:suppressAutoHyphens/>
        <w:autoSpaceDE w:val="0"/>
        <w:spacing w:after="0" w:line="276" w:lineRule="auto"/>
        <w:jc w:val="center"/>
        <w:rPr>
          <w:rFonts w:ascii="Arial" w:eastAsia="Calibri" w:hAnsi="Arial" w:cs="Arial"/>
          <w:lang w:val="es-ES" w:eastAsia="zh-CN"/>
        </w:rPr>
      </w:pPr>
    </w:p>
    <w:p w14:paraId="4E343E66" w14:textId="77777777" w:rsidR="00FF62BD" w:rsidRPr="00FF62BD" w:rsidRDefault="00FF62BD" w:rsidP="00FF62BD">
      <w:pPr>
        <w:tabs>
          <w:tab w:val="left" w:pos="580"/>
        </w:tabs>
        <w:suppressAutoHyphens/>
        <w:autoSpaceDE w:val="0"/>
        <w:spacing w:after="0" w:line="276" w:lineRule="auto"/>
        <w:rPr>
          <w:rFonts w:ascii="Arial" w:eastAsia="Calibri" w:hAnsi="Arial" w:cs="Arial"/>
          <w:sz w:val="24"/>
          <w:szCs w:val="24"/>
          <w:lang w:eastAsia="zh-CN"/>
        </w:rPr>
      </w:pPr>
      <w:r w:rsidRPr="00FF62BD">
        <w:rPr>
          <w:rFonts w:ascii="Arial" w:eastAsia="Calibri" w:hAnsi="Arial" w:cs="Arial"/>
          <w:lang w:val="es-ES" w:eastAsia="zh-CN"/>
        </w:rPr>
        <w:lastRenderedPageBreak/>
        <w:tab/>
      </w:r>
      <w:r w:rsidRPr="00FF62BD">
        <w:rPr>
          <w:rFonts w:ascii="Arial" w:hAnsi="Arial" w:cs="Arial"/>
          <w:noProof/>
          <w:kern w:val="1"/>
          <w:sz w:val="20"/>
          <w:szCs w:val="24"/>
        </w:rPr>
        <w:drawing>
          <wp:inline distT="0" distB="0" distL="0" distR="0" wp14:anchorId="2BBF2C3A" wp14:editId="60107261">
            <wp:extent cx="4846808" cy="6858000"/>
            <wp:effectExtent l="0" t="0" r="0" b="0"/>
            <wp:docPr id="221" name="Picture 221" descr="E:\Horezu\Materiale lucru\Florin_M\HorezuPe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Horezu\Materiale lucru\Florin_M\HorezuPene.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45131" cy="6855627"/>
                    </a:xfrm>
                    <a:prstGeom prst="rect">
                      <a:avLst/>
                    </a:prstGeom>
                    <a:noFill/>
                    <a:ln>
                      <a:noFill/>
                    </a:ln>
                  </pic:spPr>
                </pic:pic>
              </a:graphicData>
            </a:graphic>
          </wp:inline>
        </w:drawing>
      </w:r>
    </w:p>
    <w:p w14:paraId="454AA24D" w14:textId="77777777" w:rsidR="00FF62BD" w:rsidRPr="00FF62BD" w:rsidRDefault="00FF62BD" w:rsidP="00FF62BD">
      <w:pPr>
        <w:suppressAutoHyphens/>
        <w:autoSpaceDE w:val="0"/>
        <w:spacing w:after="0" w:line="360" w:lineRule="auto"/>
        <w:ind w:firstLine="567"/>
        <w:rPr>
          <w:rFonts w:ascii="Arial" w:eastAsia="Calibri" w:hAnsi="Arial" w:cs="Arial"/>
          <w:sz w:val="24"/>
          <w:szCs w:val="24"/>
          <w:lang w:val="es-ES" w:eastAsia="zh-CN"/>
        </w:rPr>
      </w:pPr>
      <w:r w:rsidRPr="00FF62BD">
        <w:rPr>
          <w:rFonts w:ascii="Arial" w:eastAsia="Calibri" w:hAnsi="Arial" w:cs="Arial"/>
          <w:color w:val="000000"/>
          <w:sz w:val="16"/>
          <w:szCs w:val="16"/>
          <w:lang w:val="es-ES" w:eastAsia="zh-CN"/>
        </w:rPr>
        <w:t>Sursa: Elaborator INCERTRANS SA</w:t>
      </w:r>
    </w:p>
    <w:p w14:paraId="5B41363E" w14:textId="41F00273" w:rsidR="00FF62BD" w:rsidRPr="00205E1D" w:rsidRDefault="00205E1D" w:rsidP="00205E1D">
      <w:pPr>
        <w:pStyle w:val="Legend"/>
        <w:jc w:val="center"/>
        <w:rPr>
          <w:rFonts w:ascii="Arial" w:hAnsi="Arial" w:cs="Arial"/>
          <w:i w:val="0"/>
          <w:iCs w:val="0"/>
          <w:color w:val="1F497D"/>
          <w:kern w:val="1"/>
          <w:sz w:val="22"/>
          <w:szCs w:val="22"/>
          <w:lang w:val="es-ES" w:eastAsia="hi-IN" w:bidi="hi-IN"/>
        </w:rPr>
      </w:pPr>
      <w:bookmarkStart w:id="359" w:name="_Toc68361082"/>
      <w:bookmarkStart w:id="360" w:name="_Toc96447339"/>
      <w:r w:rsidRPr="00205E1D">
        <w:rPr>
          <w:rFonts w:ascii="Arial" w:hAnsi="Arial" w:cs="Arial"/>
          <w:sz w:val="22"/>
          <w:szCs w:val="22"/>
        </w:rPr>
        <w:t xml:space="preserve">Figura I.4. </w:t>
      </w:r>
      <w:r w:rsidRPr="00205E1D">
        <w:rPr>
          <w:rFonts w:ascii="Arial" w:hAnsi="Arial" w:cs="Arial"/>
          <w:sz w:val="22"/>
          <w:szCs w:val="22"/>
        </w:rPr>
        <w:fldChar w:fldCharType="begin"/>
      </w:r>
      <w:r w:rsidRPr="00205E1D">
        <w:rPr>
          <w:rFonts w:ascii="Arial" w:hAnsi="Arial" w:cs="Arial"/>
          <w:sz w:val="22"/>
          <w:szCs w:val="22"/>
        </w:rPr>
        <w:instrText xml:space="preserve"> SEQ Figura_I.4. \* ARABIC </w:instrText>
      </w:r>
      <w:r w:rsidRPr="00205E1D">
        <w:rPr>
          <w:rFonts w:ascii="Arial" w:hAnsi="Arial" w:cs="Arial"/>
          <w:sz w:val="22"/>
          <w:szCs w:val="22"/>
        </w:rPr>
        <w:fldChar w:fldCharType="separate"/>
      </w:r>
      <w:r w:rsidR="00BB181C">
        <w:rPr>
          <w:rFonts w:ascii="Arial" w:hAnsi="Arial" w:cs="Arial"/>
          <w:noProof/>
          <w:sz w:val="22"/>
          <w:szCs w:val="22"/>
        </w:rPr>
        <w:t>6</w:t>
      </w:r>
      <w:r w:rsidRPr="00205E1D">
        <w:rPr>
          <w:rFonts w:ascii="Arial" w:hAnsi="Arial" w:cs="Arial"/>
          <w:sz w:val="22"/>
          <w:szCs w:val="22"/>
        </w:rPr>
        <w:fldChar w:fldCharType="end"/>
      </w:r>
      <w:r w:rsidRPr="00205E1D">
        <w:rPr>
          <w:rFonts w:ascii="Arial" w:hAnsi="Arial" w:cs="Arial"/>
          <w:sz w:val="22"/>
          <w:szCs w:val="22"/>
        </w:rPr>
        <w:t xml:space="preserve"> </w:t>
      </w:r>
      <w:r w:rsidR="00FF62BD" w:rsidRPr="00205E1D">
        <w:rPr>
          <w:rFonts w:ascii="Arial" w:hAnsi="Arial" w:cs="Arial"/>
          <w:color w:val="1F497D"/>
          <w:sz w:val="22"/>
          <w:szCs w:val="22"/>
        </w:rPr>
        <w:t xml:space="preserve">- </w:t>
      </w:r>
      <w:r w:rsidR="00FF62BD" w:rsidRPr="00205E1D">
        <w:rPr>
          <w:rFonts w:ascii="Arial" w:hAnsi="Arial" w:cs="Arial"/>
          <w:i w:val="0"/>
          <w:iCs w:val="0"/>
          <w:color w:val="1F497D"/>
          <w:sz w:val="22"/>
          <w:szCs w:val="22"/>
        </w:rPr>
        <w:t>Horezu – Penetrabilitatea relativă a zonelor (Număr intrări / ieşiri la 100 ha)</w:t>
      </w:r>
      <w:bookmarkEnd w:id="359"/>
      <w:bookmarkEnd w:id="360"/>
    </w:p>
    <w:p w14:paraId="6FCAD34B" w14:textId="77777777" w:rsidR="00FF62BD" w:rsidRPr="00FF62BD" w:rsidRDefault="00FF62BD" w:rsidP="00FF62BD">
      <w:pPr>
        <w:widowControl w:val="0"/>
        <w:suppressAutoHyphens/>
        <w:spacing w:after="0" w:line="360" w:lineRule="auto"/>
        <w:jc w:val="both"/>
        <w:rPr>
          <w:rFonts w:ascii="Arial" w:hAnsi="Arial" w:cs="Arial"/>
          <w:kern w:val="1"/>
          <w:sz w:val="20"/>
          <w:szCs w:val="24"/>
          <w:lang w:val="es-ES" w:eastAsia="hi-IN" w:bidi="hi-IN"/>
        </w:rPr>
      </w:pPr>
    </w:p>
    <w:p w14:paraId="5318DE3A" w14:textId="77777777" w:rsidR="00FF62BD" w:rsidRPr="00FF62BD" w:rsidRDefault="00FF62BD" w:rsidP="00FF62BD">
      <w:pPr>
        <w:widowControl w:val="0"/>
        <w:suppressAutoHyphens/>
        <w:spacing w:after="0" w:line="360" w:lineRule="auto"/>
        <w:jc w:val="center"/>
        <w:rPr>
          <w:rFonts w:ascii="Arial" w:hAnsi="Arial" w:cs="Arial"/>
          <w:kern w:val="1"/>
          <w:sz w:val="20"/>
          <w:szCs w:val="24"/>
          <w:lang w:val="ro-RO" w:eastAsia="hi-IN" w:bidi="hi-IN"/>
        </w:rPr>
      </w:pPr>
      <w:r w:rsidRPr="00FF62BD">
        <w:rPr>
          <w:rFonts w:ascii="Arial" w:eastAsia="Calibri" w:hAnsi="Arial" w:cs="Arial"/>
          <w:noProof/>
        </w:rPr>
        <w:lastRenderedPageBreak/>
        <w:drawing>
          <wp:inline distT="0" distB="0" distL="0" distR="0" wp14:anchorId="7200CDC0" wp14:editId="23E228C7">
            <wp:extent cx="4852637" cy="6866247"/>
            <wp:effectExtent l="0" t="0" r="5715" b="0"/>
            <wp:docPr id="222" name="Picture 222" descr="E:\Horezu\Materiale lucru\Florin_M\HorezuPe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Horezu\Materiale lucru\Florin_M\HorezuPerm.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54086" cy="6868298"/>
                    </a:xfrm>
                    <a:prstGeom prst="rect">
                      <a:avLst/>
                    </a:prstGeom>
                    <a:noFill/>
                    <a:ln>
                      <a:noFill/>
                    </a:ln>
                  </pic:spPr>
                </pic:pic>
              </a:graphicData>
            </a:graphic>
          </wp:inline>
        </w:drawing>
      </w:r>
    </w:p>
    <w:p w14:paraId="7C124C2E" w14:textId="77777777" w:rsidR="00FF62BD" w:rsidRPr="00FF62BD" w:rsidRDefault="00FF62BD" w:rsidP="00FF62BD">
      <w:pPr>
        <w:widowControl w:val="0"/>
        <w:suppressAutoHyphens/>
        <w:spacing w:after="0" w:line="360" w:lineRule="auto"/>
        <w:ind w:firstLine="567"/>
        <w:jc w:val="both"/>
        <w:rPr>
          <w:rFonts w:ascii="Arial" w:hAnsi="Arial" w:cs="Arial"/>
          <w:kern w:val="1"/>
          <w:sz w:val="20"/>
          <w:szCs w:val="24"/>
          <w:lang w:val="es-ES" w:eastAsia="hi-IN" w:bidi="hi-IN"/>
        </w:rPr>
      </w:pPr>
      <w:r w:rsidRPr="00FF62BD">
        <w:rPr>
          <w:rFonts w:ascii="Arial" w:hAnsi="Arial" w:cs="Mangal"/>
          <w:kern w:val="1"/>
          <w:sz w:val="16"/>
          <w:szCs w:val="16"/>
          <w:lang w:val="es-ES" w:eastAsia="hi-IN" w:bidi="hi-IN"/>
        </w:rPr>
        <w:t>Sursa: Elaborator INCERTRANS SA</w:t>
      </w:r>
    </w:p>
    <w:p w14:paraId="65017D3D" w14:textId="0DC84B88" w:rsidR="00FF62BD" w:rsidRPr="00205E1D" w:rsidRDefault="00205E1D" w:rsidP="00205E1D">
      <w:pPr>
        <w:pStyle w:val="Legend"/>
        <w:jc w:val="center"/>
        <w:rPr>
          <w:rFonts w:ascii="Arial" w:eastAsia="Calibri" w:hAnsi="Arial" w:cs="Arial"/>
          <w:i w:val="0"/>
          <w:iCs w:val="0"/>
          <w:color w:val="1F497D"/>
          <w:lang w:val="es-ES" w:eastAsia="zh-CN"/>
        </w:rPr>
      </w:pPr>
      <w:bookmarkStart w:id="361" w:name="_Toc68361083"/>
      <w:bookmarkStart w:id="362" w:name="_Toc96447340"/>
      <w:r w:rsidRPr="00205E1D">
        <w:rPr>
          <w:rFonts w:ascii="Arial" w:hAnsi="Arial" w:cs="Arial"/>
        </w:rPr>
        <w:t xml:space="preserve">Figura I.4. </w:t>
      </w:r>
      <w:r w:rsidRPr="00205E1D">
        <w:rPr>
          <w:rFonts w:ascii="Arial" w:hAnsi="Arial" w:cs="Arial"/>
        </w:rPr>
        <w:fldChar w:fldCharType="begin"/>
      </w:r>
      <w:r w:rsidRPr="00205E1D">
        <w:rPr>
          <w:rFonts w:ascii="Arial" w:hAnsi="Arial" w:cs="Arial"/>
        </w:rPr>
        <w:instrText xml:space="preserve"> SEQ Figura_I.4. \* ARABIC </w:instrText>
      </w:r>
      <w:r w:rsidRPr="00205E1D">
        <w:rPr>
          <w:rFonts w:ascii="Arial" w:hAnsi="Arial" w:cs="Arial"/>
        </w:rPr>
        <w:fldChar w:fldCharType="separate"/>
      </w:r>
      <w:r w:rsidR="00BB181C">
        <w:rPr>
          <w:rFonts w:ascii="Arial" w:hAnsi="Arial" w:cs="Arial"/>
          <w:noProof/>
        </w:rPr>
        <w:t>7</w:t>
      </w:r>
      <w:r w:rsidRPr="00205E1D">
        <w:rPr>
          <w:rFonts w:ascii="Arial" w:hAnsi="Arial" w:cs="Arial"/>
        </w:rPr>
        <w:fldChar w:fldCharType="end"/>
      </w:r>
      <w:r w:rsidRPr="00205E1D">
        <w:rPr>
          <w:rFonts w:ascii="Arial" w:hAnsi="Arial" w:cs="Arial"/>
        </w:rPr>
        <w:t xml:space="preserve"> </w:t>
      </w:r>
      <w:r w:rsidR="00FF62BD" w:rsidRPr="00205E1D">
        <w:rPr>
          <w:rFonts w:ascii="Arial" w:hAnsi="Arial" w:cs="Arial"/>
          <w:color w:val="1F497D"/>
        </w:rPr>
        <w:t xml:space="preserve">- </w:t>
      </w:r>
      <w:r w:rsidR="00FF62BD" w:rsidRPr="00205E1D">
        <w:rPr>
          <w:rFonts w:ascii="Arial" w:hAnsi="Arial" w:cs="Arial"/>
          <w:i w:val="0"/>
          <w:iCs w:val="0"/>
          <w:color w:val="1F497D"/>
        </w:rPr>
        <w:t>Horezu – Permisivitatea reţelei majore</w:t>
      </w:r>
      <w:bookmarkEnd w:id="361"/>
      <w:bookmarkEnd w:id="362"/>
    </w:p>
    <w:p w14:paraId="052E892C" w14:textId="77777777" w:rsidR="00FF62BD" w:rsidRPr="00FF62BD" w:rsidRDefault="00FF62BD" w:rsidP="00FF62BD">
      <w:pPr>
        <w:suppressAutoHyphens/>
        <w:autoSpaceDE w:val="0"/>
        <w:spacing w:after="0" w:line="276" w:lineRule="auto"/>
        <w:jc w:val="both"/>
        <w:rPr>
          <w:rFonts w:ascii="Arial" w:eastAsia="Calibri" w:hAnsi="Arial" w:cs="Arial"/>
          <w:lang w:val="es-ES" w:eastAsia="zh-CN"/>
        </w:rPr>
      </w:pPr>
      <w:r w:rsidRPr="00FF62BD">
        <w:rPr>
          <w:rFonts w:ascii="Arial" w:eastAsia="Calibri" w:hAnsi="Arial" w:cs="Arial"/>
          <w:lang w:val="es-ES" w:eastAsia="zh-CN"/>
        </w:rPr>
        <w:t xml:space="preserve">Problema care se pune în faţa factorilor de decizie ai orasului este aceea de a corela construcţia şi reparaţiile străzilor cu necesităţile concrete ale cartierelor (zonelor); reprezentările grafo-analitice din figurile de mai sus scot în evidenţă: </w:t>
      </w:r>
    </w:p>
    <w:p w14:paraId="655101B3" w14:textId="77777777" w:rsidR="00FF62BD" w:rsidRPr="00FF62BD" w:rsidRDefault="00FF62BD" w:rsidP="00FF62BD">
      <w:pPr>
        <w:suppressAutoHyphens/>
        <w:autoSpaceDE w:val="0"/>
        <w:spacing w:after="0" w:line="276" w:lineRule="auto"/>
        <w:jc w:val="both"/>
        <w:rPr>
          <w:rFonts w:ascii="Arial" w:eastAsia="Calibri" w:hAnsi="Arial" w:cs="Arial"/>
          <w:lang w:val="es-ES" w:eastAsia="zh-CN"/>
        </w:rPr>
      </w:pPr>
    </w:p>
    <w:p w14:paraId="6FBB0A03" w14:textId="77777777" w:rsidR="00FF62BD" w:rsidRPr="00FF62BD" w:rsidRDefault="00FF62BD" w:rsidP="00FF62BD">
      <w:pPr>
        <w:suppressAutoHyphens/>
        <w:autoSpaceDE w:val="0"/>
        <w:spacing w:after="0" w:line="276" w:lineRule="auto"/>
        <w:jc w:val="both"/>
        <w:rPr>
          <w:rFonts w:ascii="Arial" w:eastAsia="Arial" w:hAnsi="Arial" w:cs="Arial"/>
          <w:lang w:val="es-ES" w:eastAsia="zh-CN"/>
        </w:rPr>
      </w:pPr>
      <w:r w:rsidRPr="00FF62BD">
        <w:rPr>
          <w:rFonts w:ascii="Arial" w:eastAsia="Calibri" w:hAnsi="Arial" w:cs="Arial"/>
          <w:lang w:val="es-ES" w:eastAsia="zh-CN"/>
        </w:rPr>
        <w:t xml:space="preserve">Din perspectiva penetrabilităţii: </w:t>
      </w:r>
    </w:p>
    <w:p w14:paraId="757C1B0F" w14:textId="77777777" w:rsidR="00FF62BD" w:rsidRPr="00FF62BD" w:rsidRDefault="00FF62BD" w:rsidP="000C6CB8">
      <w:pPr>
        <w:numPr>
          <w:ilvl w:val="0"/>
          <w:numId w:val="157"/>
        </w:numPr>
        <w:suppressAutoHyphens/>
        <w:autoSpaceDE w:val="0"/>
        <w:spacing w:after="0" w:line="276" w:lineRule="auto"/>
        <w:jc w:val="both"/>
        <w:rPr>
          <w:rFonts w:ascii="Arial" w:eastAsia="Arial" w:hAnsi="Arial" w:cs="Arial"/>
          <w:lang w:val="es-ES" w:eastAsia="zh-CN"/>
        </w:rPr>
      </w:pPr>
      <w:r w:rsidRPr="00FF62BD">
        <w:rPr>
          <w:rFonts w:ascii="Arial" w:eastAsia="Calibri" w:hAnsi="Arial" w:cs="Arial"/>
          <w:lang w:val="es-ES" w:eastAsia="zh-CN"/>
        </w:rPr>
        <w:t xml:space="preserve">zonele Merilor, Olari, Tg. Jiu, Vest, dar si toate localitatile componente fac notă discordantă cu întreg ansamblul central al orasului; </w:t>
      </w:r>
      <w:r w:rsidRPr="00FF62BD">
        <w:rPr>
          <w:rFonts w:ascii="Arial" w:eastAsia="Calibri" w:hAnsi="Arial" w:cs="Arial"/>
          <w:b/>
          <w:lang w:val="es-ES" w:eastAsia="zh-CN"/>
        </w:rPr>
        <w:t xml:space="preserve">concluzia: </w:t>
      </w:r>
      <w:r w:rsidRPr="00FF62BD">
        <w:rPr>
          <w:rFonts w:ascii="Arial" w:eastAsia="Calibri" w:hAnsi="Arial" w:cs="Arial"/>
          <w:lang w:val="es-ES" w:eastAsia="zh-CN"/>
        </w:rPr>
        <w:t xml:space="preserve">cel puţin în primii doi ani de </w:t>
      </w:r>
      <w:r w:rsidRPr="00FF62BD">
        <w:rPr>
          <w:rFonts w:ascii="Arial" w:eastAsia="Calibri" w:hAnsi="Arial" w:cs="Arial"/>
          <w:lang w:val="es-ES" w:eastAsia="zh-CN"/>
        </w:rPr>
        <w:lastRenderedPageBreak/>
        <w:t xml:space="preserve">supraveghere PMUD eforturile de îmbunătăţire a penetrabilităţii trebuie concentrate în aceste cartiere (prin sporirea capacitatii unor artere de circulatie si eventual crearea unor noi accese pentru multiplicarea intrărilor-ieşirilor din cartier). </w:t>
      </w:r>
    </w:p>
    <w:p w14:paraId="352705F6" w14:textId="77777777" w:rsidR="00FF62BD" w:rsidRPr="00FF62BD" w:rsidRDefault="00FF62BD" w:rsidP="00FF62BD">
      <w:pPr>
        <w:widowControl w:val="0"/>
        <w:suppressAutoHyphens/>
        <w:autoSpaceDE w:val="0"/>
        <w:spacing w:after="0" w:line="276" w:lineRule="auto"/>
        <w:jc w:val="both"/>
        <w:rPr>
          <w:rFonts w:ascii="Arial" w:eastAsia="Calibri" w:hAnsi="Arial" w:cs="Arial"/>
          <w:color w:val="FF0000"/>
          <w:kern w:val="1"/>
          <w:lang w:val="es-ES" w:eastAsia="hi-IN" w:bidi="hi-IN"/>
        </w:rPr>
      </w:pPr>
    </w:p>
    <w:p w14:paraId="351C7D6B" w14:textId="77777777" w:rsidR="00FF62BD" w:rsidRPr="00FF62BD" w:rsidRDefault="00FF62BD" w:rsidP="00FF62BD">
      <w:pPr>
        <w:suppressAutoHyphens/>
        <w:autoSpaceDE w:val="0"/>
        <w:spacing w:after="0" w:line="276" w:lineRule="auto"/>
        <w:jc w:val="both"/>
        <w:rPr>
          <w:rFonts w:ascii="Arial" w:eastAsia="Arial" w:hAnsi="Arial" w:cs="Arial"/>
          <w:lang w:val="es-ES" w:eastAsia="zh-CN"/>
        </w:rPr>
      </w:pPr>
      <w:r w:rsidRPr="00FF62BD">
        <w:rPr>
          <w:rFonts w:ascii="Arial" w:eastAsia="Calibri" w:hAnsi="Arial" w:cs="Arial"/>
          <w:lang w:val="es-ES" w:eastAsia="zh-CN"/>
        </w:rPr>
        <w:t xml:space="preserve">Din perspectiva permisivităţii: </w:t>
      </w:r>
    </w:p>
    <w:p w14:paraId="21043D8D" w14:textId="77777777" w:rsidR="00FF62BD" w:rsidRPr="00FF62BD" w:rsidRDefault="00FF62BD" w:rsidP="000C6CB8">
      <w:pPr>
        <w:numPr>
          <w:ilvl w:val="0"/>
          <w:numId w:val="156"/>
        </w:numPr>
        <w:suppressAutoHyphens/>
        <w:autoSpaceDE w:val="0"/>
        <w:spacing w:after="0" w:line="276" w:lineRule="auto"/>
        <w:jc w:val="both"/>
        <w:rPr>
          <w:rFonts w:ascii="Arial" w:eastAsia="Calibri" w:hAnsi="Arial" w:cs="Arial"/>
          <w:lang w:val="es-ES" w:eastAsia="zh-CN"/>
        </w:rPr>
      </w:pPr>
      <w:r w:rsidRPr="00FF62BD">
        <w:rPr>
          <w:rFonts w:ascii="Arial" w:eastAsia="Calibri" w:hAnsi="Arial" w:cs="Arial"/>
          <w:lang w:val="es-ES" w:eastAsia="zh-CN"/>
        </w:rPr>
        <w:t>se poate constata că cea mai slaba permisivitate o are cartierul Centru, care este un pol major de concetrare a populaţiei: deci, în acest cartier trebuie intensificate eforturile pentru reparaţii şi chiar pentru noi drumuri – în ideea asigurării posibilităţilor de circulaţie lesnicioasă în perimetrul lor (noi drumuri înseamnă şi trecerea constructivă = lărgire şi asfaltare, a unor străzi în categoria superioară), dar si crearea de facilitati pentru micromobilitate, care sa creeze conditii propice pentru moduri alternative de deplasare.</w:t>
      </w:r>
    </w:p>
    <w:p w14:paraId="3ABA0F3B" w14:textId="77777777" w:rsidR="00FF62BD" w:rsidRPr="00FF62BD" w:rsidRDefault="00FF62BD" w:rsidP="00FF62BD">
      <w:pPr>
        <w:suppressAutoHyphens/>
        <w:autoSpaceDE w:val="0"/>
        <w:spacing w:after="0" w:line="360" w:lineRule="auto"/>
        <w:jc w:val="both"/>
        <w:rPr>
          <w:rFonts w:ascii="EUAlbertina" w:eastAsia="Calibri" w:hAnsi="EUAlbertina" w:cs="EUAlbertina"/>
          <w:sz w:val="24"/>
          <w:szCs w:val="24"/>
          <w:lang w:val="es-ES" w:eastAsia="zh-CN"/>
        </w:rPr>
      </w:pPr>
    </w:p>
    <w:p w14:paraId="5613AFD5" w14:textId="3FB631ED" w:rsidR="00FF62BD" w:rsidRDefault="0062376F" w:rsidP="0062376F">
      <w:pPr>
        <w:suppressAutoHyphens/>
        <w:autoSpaceDE w:val="0"/>
        <w:spacing w:after="0" w:line="276" w:lineRule="auto"/>
        <w:jc w:val="both"/>
        <w:rPr>
          <w:rFonts w:ascii="Arial" w:hAnsi="Arial" w:cs="Arial"/>
          <w:lang w:val="es-ES"/>
        </w:rPr>
      </w:pPr>
      <w:r w:rsidRPr="0062376F">
        <w:rPr>
          <w:rFonts w:ascii="Arial" w:hAnsi="Arial" w:cs="Arial"/>
          <w:lang w:val="es-ES"/>
        </w:rPr>
        <w:t>Conform simulărilor efectuate pe modelul de transport, nu se înregistreazǎ depăşiri ale capacităţii de circulaţie în reţeaua rutierǎ a orasului in AM peak, fluxurile cele mai mari fiind înregistrate pe artere cu două sau mai multe benzi, dar sunt tronsoane ale reţelei pe care la orele de vârf. Astfel, se observă un nivel ridicat de ocupare a capacităţii (volum/capacitate) de peste 50-80% in zona de AM peak cum ar fi tronsoane din DN67, dupa cum se vede in figura urmatoare</w:t>
      </w:r>
      <w:r>
        <w:rPr>
          <w:rFonts w:ascii="Arial" w:hAnsi="Arial" w:cs="Arial"/>
          <w:lang w:val="es-ES"/>
        </w:rPr>
        <w:t>:</w:t>
      </w:r>
    </w:p>
    <w:p w14:paraId="4BA6331A" w14:textId="77777777" w:rsidR="0062376F" w:rsidRPr="00FF62BD" w:rsidRDefault="0062376F" w:rsidP="0062376F">
      <w:pPr>
        <w:suppressAutoHyphens/>
        <w:autoSpaceDE w:val="0"/>
        <w:spacing w:after="0" w:line="276" w:lineRule="auto"/>
        <w:jc w:val="both"/>
        <w:rPr>
          <w:rFonts w:ascii="Arial" w:eastAsia="Calibri" w:hAnsi="Arial" w:cs="Arial"/>
          <w:sz w:val="24"/>
          <w:szCs w:val="24"/>
          <w:lang w:eastAsia="zh-CN"/>
        </w:rPr>
      </w:pPr>
    </w:p>
    <w:p w14:paraId="4C4D578B" w14:textId="790C8987" w:rsidR="00FF62BD" w:rsidRPr="00FF62BD" w:rsidRDefault="0062376F" w:rsidP="00FF62BD">
      <w:pPr>
        <w:suppressAutoHyphens/>
        <w:autoSpaceDE w:val="0"/>
        <w:spacing w:after="0" w:line="360" w:lineRule="auto"/>
        <w:jc w:val="center"/>
        <w:rPr>
          <w:rFonts w:ascii="Arial" w:eastAsia="Calibri" w:hAnsi="Arial" w:cs="Arial"/>
          <w:sz w:val="24"/>
          <w:szCs w:val="24"/>
          <w:lang w:eastAsia="zh-CN"/>
        </w:rPr>
      </w:pPr>
      <w:r w:rsidRPr="0062376F">
        <w:rPr>
          <w:rFonts w:ascii="Arial" w:hAnsi="Arial" w:cs="Arial"/>
          <w:noProof/>
        </w:rPr>
        <w:drawing>
          <wp:inline distT="0" distB="0" distL="0" distR="0" wp14:anchorId="7104F6CD" wp14:editId="6F3FF8C3">
            <wp:extent cx="5638800" cy="4211731"/>
            <wp:effectExtent l="0" t="0" r="0" b="0"/>
            <wp:docPr id="143"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ine 47"/>
                    <pic:cNvPicPr>
                      <a:picLocks noChangeAspect="1" noChangeArrowheads="1"/>
                    </pic:cNvPicPr>
                  </pic:nvPicPr>
                  <pic:blipFill>
                    <a:blip r:embed="rId194" cstate="print">
                      <a:extLst>
                        <a:ext uri="{28A0092B-C50C-407E-A947-70E740481C1C}">
                          <a14:useLocalDpi xmlns:a14="http://schemas.microsoft.com/office/drawing/2010/main" val="0"/>
                        </a:ext>
                      </a:extLst>
                    </a:blip>
                    <a:stretch>
                      <a:fillRect/>
                    </a:stretch>
                  </pic:blipFill>
                  <pic:spPr bwMode="auto">
                    <a:xfrm>
                      <a:off x="0" y="0"/>
                      <a:ext cx="5651121" cy="4220934"/>
                    </a:xfrm>
                    <a:prstGeom prst="rect">
                      <a:avLst/>
                    </a:prstGeom>
                    <a:noFill/>
                    <a:ln>
                      <a:noFill/>
                    </a:ln>
                  </pic:spPr>
                </pic:pic>
              </a:graphicData>
            </a:graphic>
          </wp:inline>
        </w:drawing>
      </w:r>
    </w:p>
    <w:p w14:paraId="4E244F2E" w14:textId="2DD364C9" w:rsidR="00FF62BD" w:rsidRPr="0062376F" w:rsidRDefault="00205E1D" w:rsidP="00205E1D">
      <w:pPr>
        <w:pStyle w:val="Legend"/>
        <w:jc w:val="center"/>
        <w:rPr>
          <w:rFonts w:ascii="Arial" w:eastAsia="Calibri" w:hAnsi="Arial" w:cs="Arial"/>
          <w:i w:val="0"/>
          <w:iCs w:val="0"/>
          <w:color w:val="1F497D"/>
          <w:sz w:val="22"/>
          <w:szCs w:val="22"/>
          <w:lang w:eastAsia="zh-CN"/>
        </w:rPr>
      </w:pPr>
      <w:bookmarkStart w:id="363" w:name="_Toc68361084"/>
      <w:bookmarkStart w:id="364" w:name="_Toc96447341"/>
      <w:r w:rsidRPr="00205E1D">
        <w:rPr>
          <w:rFonts w:ascii="Arial" w:hAnsi="Arial" w:cs="Arial"/>
          <w:sz w:val="22"/>
          <w:szCs w:val="22"/>
        </w:rPr>
        <w:t xml:space="preserve">Figura I.4. </w:t>
      </w:r>
      <w:r w:rsidRPr="0062376F">
        <w:rPr>
          <w:rFonts w:ascii="Arial" w:hAnsi="Arial" w:cs="Arial"/>
          <w:sz w:val="22"/>
          <w:szCs w:val="22"/>
        </w:rPr>
        <w:fldChar w:fldCharType="begin"/>
      </w:r>
      <w:r w:rsidRPr="0062376F">
        <w:rPr>
          <w:rFonts w:ascii="Arial" w:hAnsi="Arial" w:cs="Arial"/>
          <w:sz w:val="22"/>
          <w:szCs w:val="22"/>
        </w:rPr>
        <w:instrText xml:space="preserve"> SEQ Figura_I.4. \* ARABIC </w:instrText>
      </w:r>
      <w:r w:rsidRPr="0062376F">
        <w:rPr>
          <w:rFonts w:ascii="Arial" w:hAnsi="Arial" w:cs="Arial"/>
          <w:sz w:val="22"/>
          <w:szCs w:val="22"/>
        </w:rPr>
        <w:fldChar w:fldCharType="separate"/>
      </w:r>
      <w:r w:rsidR="00BB181C">
        <w:rPr>
          <w:rFonts w:ascii="Arial" w:hAnsi="Arial" w:cs="Arial"/>
          <w:noProof/>
          <w:sz w:val="22"/>
          <w:szCs w:val="22"/>
        </w:rPr>
        <w:t>8</w:t>
      </w:r>
      <w:r w:rsidRPr="0062376F">
        <w:rPr>
          <w:rFonts w:ascii="Arial" w:hAnsi="Arial" w:cs="Arial"/>
          <w:sz w:val="22"/>
          <w:szCs w:val="22"/>
        </w:rPr>
        <w:fldChar w:fldCharType="end"/>
      </w:r>
      <w:r w:rsidRPr="0062376F">
        <w:rPr>
          <w:rFonts w:ascii="Arial" w:hAnsi="Arial" w:cs="Arial"/>
          <w:sz w:val="22"/>
          <w:szCs w:val="22"/>
        </w:rPr>
        <w:t xml:space="preserve"> </w:t>
      </w:r>
      <w:r w:rsidR="00FF62BD" w:rsidRPr="0062376F">
        <w:rPr>
          <w:rFonts w:ascii="Arial" w:hAnsi="Arial" w:cs="Arial"/>
          <w:color w:val="1F497D"/>
          <w:sz w:val="22"/>
          <w:szCs w:val="22"/>
        </w:rPr>
        <w:t xml:space="preserve">- </w:t>
      </w:r>
      <w:r w:rsidR="00FF62BD" w:rsidRPr="0062376F">
        <w:rPr>
          <w:rFonts w:ascii="Arial" w:hAnsi="Arial" w:cs="Arial"/>
          <w:i w:val="0"/>
          <w:iCs w:val="0"/>
          <w:color w:val="1F497D"/>
          <w:sz w:val="22"/>
          <w:szCs w:val="22"/>
          <w:lang w:val="es-ES"/>
        </w:rPr>
        <w:t>Linkuri cu nivel ridicat de ocupare a capacităţii (volum/capacitate) AM peak</w:t>
      </w:r>
      <w:bookmarkEnd w:id="363"/>
      <w:bookmarkEnd w:id="364"/>
    </w:p>
    <w:p w14:paraId="61FE6FD3" w14:textId="0437455B" w:rsidR="00FF62BD" w:rsidRDefault="00FF62BD" w:rsidP="00FF62BD">
      <w:pPr>
        <w:suppressAutoHyphens/>
        <w:autoSpaceDE w:val="0"/>
        <w:spacing w:after="0" w:line="276" w:lineRule="auto"/>
        <w:jc w:val="both"/>
        <w:rPr>
          <w:rFonts w:ascii="Arial" w:eastAsia="Arial" w:hAnsi="Arial" w:cs="Arial"/>
          <w:color w:val="000000"/>
          <w:lang w:val="es-ES" w:eastAsia="zh-CN"/>
        </w:rPr>
      </w:pPr>
    </w:p>
    <w:p w14:paraId="576C78EB" w14:textId="7767A66F" w:rsidR="0062376F" w:rsidRDefault="0062376F" w:rsidP="00FF62BD">
      <w:pPr>
        <w:suppressAutoHyphens/>
        <w:autoSpaceDE w:val="0"/>
        <w:spacing w:after="0" w:line="276" w:lineRule="auto"/>
        <w:jc w:val="both"/>
        <w:rPr>
          <w:rFonts w:ascii="Arial" w:eastAsia="Arial" w:hAnsi="Arial" w:cs="Arial"/>
          <w:color w:val="000000"/>
          <w:lang w:val="es-ES" w:eastAsia="zh-CN"/>
        </w:rPr>
      </w:pPr>
    </w:p>
    <w:p w14:paraId="5E68F313" w14:textId="1BD17706" w:rsidR="0062376F" w:rsidRDefault="0062376F" w:rsidP="00FF62BD">
      <w:pPr>
        <w:suppressAutoHyphens/>
        <w:autoSpaceDE w:val="0"/>
        <w:spacing w:after="0" w:line="276" w:lineRule="auto"/>
        <w:jc w:val="both"/>
        <w:rPr>
          <w:rFonts w:ascii="Arial" w:eastAsia="Arial" w:hAnsi="Arial" w:cs="Arial"/>
          <w:color w:val="000000"/>
          <w:lang w:val="es-ES" w:eastAsia="zh-CN"/>
        </w:rPr>
      </w:pPr>
    </w:p>
    <w:p w14:paraId="55E91758" w14:textId="77777777" w:rsidR="0062376F" w:rsidRDefault="0062376F" w:rsidP="00FF62BD">
      <w:pPr>
        <w:suppressAutoHyphens/>
        <w:autoSpaceDE w:val="0"/>
        <w:spacing w:after="0" w:line="276" w:lineRule="auto"/>
        <w:jc w:val="both"/>
        <w:rPr>
          <w:rFonts w:ascii="Arial" w:eastAsia="Arial" w:hAnsi="Arial" w:cs="Arial"/>
          <w:color w:val="000000"/>
          <w:lang w:val="es-ES" w:eastAsia="zh-CN"/>
        </w:rPr>
      </w:pPr>
    </w:p>
    <w:p w14:paraId="45D63990" w14:textId="77777777" w:rsidR="0062376F" w:rsidRPr="0062376F" w:rsidRDefault="0062376F" w:rsidP="0062376F">
      <w:pPr>
        <w:suppressAutoHyphens/>
        <w:autoSpaceDE w:val="0"/>
        <w:spacing w:after="0" w:line="276" w:lineRule="auto"/>
        <w:jc w:val="both"/>
        <w:rPr>
          <w:rFonts w:ascii="Arial" w:eastAsia="Arial" w:hAnsi="Arial" w:cs="Arial"/>
          <w:color w:val="000000"/>
          <w:lang w:val="es-ES" w:eastAsia="zh-CN"/>
        </w:rPr>
      </w:pPr>
      <w:r w:rsidRPr="0062376F">
        <w:rPr>
          <w:rFonts w:ascii="Arial" w:hAnsi="Arial" w:cs="Arial"/>
          <w:lang w:val="es-ES"/>
        </w:rPr>
        <w:lastRenderedPageBreak/>
        <w:t>Pentru PM peak se observă un nivel mai ridicat de ocupare a capacităţii (volum/capacitate) de aproximativ 60% pe aproape toata lungimea DN67, după cum se vede in figura urmatoare:</w:t>
      </w:r>
    </w:p>
    <w:p w14:paraId="466B2ADE" w14:textId="77777777" w:rsidR="0062376F" w:rsidRPr="0062376F" w:rsidRDefault="0062376F" w:rsidP="0062376F">
      <w:pPr>
        <w:suppressAutoHyphens/>
        <w:autoSpaceDE w:val="0"/>
        <w:spacing w:after="0" w:line="276" w:lineRule="auto"/>
        <w:jc w:val="both"/>
        <w:rPr>
          <w:rFonts w:ascii="Arial" w:eastAsia="Arial" w:hAnsi="Arial" w:cs="Arial"/>
          <w:color w:val="000000"/>
          <w:lang w:val="es-ES" w:eastAsia="zh-CN"/>
        </w:rPr>
      </w:pPr>
    </w:p>
    <w:p w14:paraId="18587386" w14:textId="77777777" w:rsidR="0062376F" w:rsidRPr="0062376F" w:rsidRDefault="0062376F" w:rsidP="0062376F">
      <w:pPr>
        <w:suppressAutoHyphens/>
        <w:autoSpaceDE w:val="0"/>
        <w:spacing w:after="0" w:line="276" w:lineRule="auto"/>
        <w:jc w:val="center"/>
        <w:rPr>
          <w:rFonts w:ascii="Arial" w:eastAsia="Arial" w:hAnsi="Arial" w:cs="Arial"/>
          <w:color w:val="000000"/>
          <w:lang w:val="es-ES" w:eastAsia="zh-CN"/>
        </w:rPr>
      </w:pPr>
      <w:r w:rsidRPr="0062376F">
        <w:rPr>
          <w:rFonts w:ascii="Calibri" w:hAnsi="Calibri" w:cs="Times New Roman"/>
          <w:noProof/>
        </w:rPr>
        <w:t xml:space="preserve">- </w:t>
      </w:r>
      <w:r w:rsidRPr="0062376F">
        <w:rPr>
          <w:rFonts w:ascii="Calibri" w:hAnsi="Calibri" w:cs="Times New Roman"/>
          <w:noProof/>
        </w:rPr>
        <w:drawing>
          <wp:inline distT="0" distB="0" distL="0" distR="0" wp14:anchorId="0A94A840" wp14:editId="0407598C">
            <wp:extent cx="4990430" cy="3727450"/>
            <wp:effectExtent l="0" t="0" r="1270" b="6350"/>
            <wp:docPr id="144"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ine 48"/>
                    <pic:cNvPicPr>
                      <a:picLocks noChangeAspect="1" noChangeArrowheads="1"/>
                    </pic:cNvPicPr>
                  </pic:nvPicPr>
                  <pic:blipFill>
                    <a:blip r:embed="rId195" cstate="print">
                      <a:extLst>
                        <a:ext uri="{28A0092B-C50C-407E-A947-70E740481C1C}">
                          <a14:useLocalDpi xmlns:a14="http://schemas.microsoft.com/office/drawing/2010/main" val="0"/>
                        </a:ext>
                      </a:extLst>
                    </a:blip>
                    <a:stretch>
                      <a:fillRect/>
                    </a:stretch>
                  </pic:blipFill>
                  <pic:spPr bwMode="auto">
                    <a:xfrm>
                      <a:off x="0" y="0"/>
                      <a:ext cx="4995710" cy="3731393"/>
                    </a:xfrm>
                    <a:prstGeom prst="rect">
                      <a:avLst/>
                    </a:prstGeom>
                    <a:noFill/>
                    <a:ln>
                      <a:noFill/>
                    </a:ln>
                  </pic:spPr>
                </pic:pic>
              </a:graphicData>
            </a:graphic>
          </wp:inline>
        </w:drawing>
      </w:r>
    </w:p>
    <w:p w14:paraId="14548C3C" w14:textId="1FF7DFF3" w:rsidR="0062376F" w:rsidRPr="0062376F" w:rsidRDefault="0062376F" w:rsidP="0062376F">
      <w:pPr>
        <w:pStyle w:val="Legend"/>
        <w:jc w:val="center"/>
        <w:rPr>
          <w:rFonts w:ascii="Arial" w:hAnsi="Arial" w:cs="Arial"/>
          <w:i w:val="0"/>
          <w:iCs w:val="0"/>
          <w:color w:val="1F497D"/>
          <w:sz w:val="22"/>
          <w:szCs w:val="22"/>
          <w:lang w:val="es-ES"/>
        </w:rPr>
      </w:pPr>
      <w:bookmarkStart w:id="365" w:name="_Toc68361085"/>
      <w:bookmarkStart w:id="366" w:name="_Toc96447342"/>
      <w:r w:rsidRPr="0062376F">
        <w:rPr>
          <w:rFonts w:ascii="Arial" w:hAnsi="Arial" w:cs="Arial"/>
          <w:sz w:val="22"/>
          <w:szCs w:val="22"/>
        </w:rPr>
        <w:t xml:space="preserve">Figura I.4. </w:t>
      </w:r>
      <w:r w:rsidRPr="0062376F">
        <w:rPr>
          <w:rFonts w:ascii="Arial" w:hAnsi="Arial" w:cs="Arial"/>
          <w:sz w:val="22"/>
          <w:szCs w:val="22"/>
        </w:rPr>
        <w:fldChar w:fldCharType="begin"/>
      </w:r>
      <w:r w:rsidRPr="0062376F">
        <w:rPr>
          <w:rFonts w:ascii="Arial" w:hAnsi="Arial" w:cs="Arial"/>
          <w:sz w:val="22"/>
          <w:szCs w:val="22"/>
        </w:rPr>
        <w:instrText xml:space="preserve"> SEQ Figura_I.4. \* ARABIC </w:instrText>
      </w:r>
      <w:r w:rsidRPr="0062376F">
        <w:rPr>
          <w:rFonts w:ascii="Arial" w:hAnsi="Arial" w:cs="Arial"/>
          <w:sz w:val="22"/>
          <w:szCs w:val="22"/>
        </w:rPr>
        <w:fldChar w:fldCharType="separate"/>
      </w:r>
      <w:r w:rsidR="00BB181C">
        <w:rPr>
          <w:rFonts w:ascii="Arial" w:hAnsi="Arial" w:cs="Arial"/>
          <w:noProof/>
          <w:sz w:val="22"/>
          <w:szCs w:val="22"/>
        </w:rPr>
        <w:t>9</w:t>
      </w:r>
      <w:r w:rsidRPr="0062376F">
        <w:rPr>
          <w:rFonts w:ascii="Arial" w:hAnsi="Arial" w:cs="Arial"/>
          <w:sz w:val="22"/>
          <w:szCs w:val="22"/>
        </w:rPr>
        <w:fldChar w:fldCharType="end"/>
      </w:r>
      <w:r w:rsidRPr="0062376F">
        <w:rPr>
          <w:rFonts w:ascii="Arial" w:hAnsi="Arial" w:cs="Arial"/>
          <w:sz w:val="22"/>
          <w:szCs w:val="22"/>
        </w:rPr>
        <w:t xml:space="preserve"> </w:t>
      </w:r>
      <w:r w:rsidRPr="0062376F">
        <w:rPr>
          <w:rFonts w:ascii="Arial" w:hAnsi="Arial" w:cs="Arial"/>
          <w:color w:val="1F497D"/>
          <w:sz w:val="22"/>
          <w:szCs w:val="22"/>
        </w:rPr>
        <w:t xml:space="preserve">- </w:t>
      </w:r>
      <w:r w:rsidRPr="0062376F">
        <w:rPr>
          <w:rFonts w:ascii="Arial" w:hAnsi="Arial" w:cs="Arial"/>
          <w:i w:val="0"/>
          <w:iCs w:val="0"/>
          <w:color w:val="1F497D"/>
          <w:sz w:val="22"/>
          <w:szCs w:val="22"/>
          <w:lang w:val="es-ES"/>
        </w:rPr>
        <w:t>Linkuri cu nivel ridicat de ocupare a capacităţii (volum/capacitate) PM peak</w:t>
      </w:r>
      <w:bookmarkEnd w:id="365"/>
      <w:bookmarkEnd w:id="366"/>
    </w:p>
    <w:p w14:paraId="05AFD6F5" w14:textId="77777777" w:rsidR="0062376F" w:rsidRDefault="0062376F" w:rsidP="00FF62BD">
      <w:pPr>
        <w:suppressAutoHyphens/>
        <w:autoSpaceDE w:val="0"/>
        <w:spacing w:after="0" w:line="276" w:lineRule="auto"/>
        <w:jc w:val="both"/>
        <w:rPr>
          <w:rFonts w:ascii="Arial" w:eastAsia="Arial" w:hAnsi="Arial" w:cs="Arial"/>
          <w:color w:val="000000"/>
          <w:lang w:val="es-ES" w:eastAsia="zh-CN"/>
        </w:rPr>
      </w:pPr>
    </w:p>
    <w:p w14:paraId="4BBF0A0D" w14:textId="6A317058" w:rsidR="00FF62BD" w:rsidRPr="00FF62BD" w:rsidRDefault="00FF62BD" w:rsidP="00FF62BD">
      <w:pPr>
        <w:suppressAutoHyphens/>
        <w:autoSpaceDE w:val="0"/>
        <w:spacing w:after="0" w:line="276" w:lineRule="auto"/>
        <w:jc w:val="both"/>
        <w:rPr>
          <w:rFonts w:ascii="Arial" w:eastAsia="Arial" w:hAnsi="Arial" w:cs="Arial"/>
          <w:color w:val="000000"/>
          <w:lang w:val="es-ES" w:eastAsia="zh-CN"/>
        </w:rPr>
      </w:pPr>
      <w:r w:rsidRPr="00FF62BD">
        <w:rPr>
          <w:rFonts w:ascii="Arial" w:eastAsia="Arial" w:hAnsi="Arial" w:cs="Arial"/>
          <w:color w:val="000000"/>
          <w:lang w:val="es-ES" w:eastAsia="zh-CN"/>
        </w:rPr>
        <w:t>Pentru evaluarea impactului actual al mobilității din punct de vedere al accesibilității și pentru a se putea compara scenariul de bază cu scenariile care vor fi propuse în capitolele următoare au fost aleși următorii indicatori:</w:t>
      </w:r>
    </w:p>
    <w:p w14:paraId="7AF17A2C" w14:textId="77777777" w:rsidR="00FF62BD" w:rsidRPr="00FF62BD" w:rsidRDefault="00FF62BD" w:rsidP="00FF62BD">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FF62BD">
        <w:rPr>
          <w:rFonts w:ascii="Arial" w:eastAsia="Arial" w:hAnsi="Arial" w:cs="Arial"/>
          <w:color w:val="000000"/>
          <w:lang w:val="es-ES" w:eastAsia="zh-CN"/>
        </w:rPr>
        <w:t>Numărul total de kilometri de străzi reabilitate;</w:t>
      </w:r>
    </w:p>
    <w:p w14:paraId="1CE8E7F1" w14:textId="77777777" w:rsidR="00FF62BD" w:rsidRPr="00FF62BD" w:rsidRDefault="00FF62BD" w:rsidP="00FF62BD">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FF62BD">
        <w:rPr>
          <w:rFonts w:ascii="Arial" w:eastAsia="Arial" w:hAnsi="Arial" w:cs="Arial"/>
          <w:color w:val="000000"/>
          <w:lang w:eastAsia="zh-CN"/>
        </w:rPr>
        <w:t>Numărul total de călătorii în transportul public (repartiția modală);</w:t>
      </w:r>
    </w:p>
    <w:p w14:paraId="2E16C911" w14:textId="77777777" w:rsidR="00FF62BD" w:rsidRPr="00FF62BD" w:rsidRDefault="00FF62BD" w:rsidP="00FF62BD">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FF62BD">
        <w:rPr>
          <w:rFonts w:ascii="Arial" w:eastAsia="Arial" w:hAnsi="Arial" w:cs="Arial"/>
          <w:color w:val="000000"/>
          <w:lang w:eastAsia="zh-CN"/>
        </w:rPr>
        <w:t>Gradul de acoperire al serviciului de transport public.</w:t>
      </w:r>
    </w:p>
    <w:p w14:paraId="3B2C53B6" w14:textId="77777777" w:rsidR="00FF62BD" w:rsidRPr="00FF62BD" w:rsidRDefault="00FF62BD" w:rsidP="00FF62BD">
      <w:pPr>
        <w:suppressAutoHyphens/>
        <w:autoSpaceDE w:val="0"/>
        <w:spacing w:after="0" w:line="276" w:lineRule="auto"/>
        <w:jc w:val="both"/>
        <w:rPr>
          <w:rFonts w:ascii="EUAlbertina" w:eastAsia="Calibri" w:hAnsi="EUAlbertina" w:cs="EUAlbertina"/>
          <w:color w:val="000000"/>
          <w:lang w:val="es-ES" w:eastAsia="zh-CN"/>
        </w:rPr>
      </w:pPr>
    </w:p>
    <w:p w14:paraId="2E945259"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Un rezumat al problemelor identificate în cadrul analizei situației actuale, în ordinea importanței acestora este prezentat în tabelul urmator:</w:t>
      </w:r>
    </w:p>
    <w:p w14:paraId="0B27E306" w14:textId="77777777" w:rsidR="00FF62BD" w:rsidRPr="00FF62BD" w:rsidRDefault="00FF62BD" w:rsidP="00FF62BD">
      <w:pPr>
        <w:suppressAutoHyphens/>
        <w:autoSpaceDE w:val="0"/>
        <w:spacing w:after="0" w:line="360" w:lineRule="auto"/>
        <w:jc w:val="both"/>
        <w:rPr>
          <w:rFonts w:ascii="Arial" w:eastAsia="Calibri" w:hAnsi="Arial" w:cs="Arial"/>
          <w:color w:val="000000"/>
          <w:sz w:val="24"/>
          <w:szCs w:val="24"/>
          <w:lang w:val="es-E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1"/>
        <w:gridCol w:w="4938"/>
      </w:tblGrid>
      <w:tr w:rsidR="00FF62BD" w:rsidRPr="00FF62BD" w14:paraId="108EAFCF" w14:textId="77777777" w:rsidTr="00C735D2">
        <w:tc>
          <w:tcPr>
            <w:tcW w:w="4931" w:type="dxa"/>
            <w:shd w:val="clear" w:color="auto" w:fill="D9D9D9"/>
          </w:tcPr>
          <w:p w14:paraId="143D039F" w14:textId="77777777" w:rsidR="00FF62BD" w:rsidRPr="00FF62BD" w:rsidRDefault="00FF62BD" w:rsidP="00FF62BD">
            <w:pPr>
              <w:widowControl w:val="0"/>
              <w:autoSpaceDE w:val="0"/>
              <w:autoSpaceDN w:val="0"/>
              <w:adjustRightInd w:val="0"/>
              <w:spacing w:after="0" w:line="276" w:lineRule="auto"/>
              <w:jc w:val="center"/>
              <w:rPr>
                <w:rFonts w:ascii="Arial" w:hAnsi="Arial" w:cs="Arial"/>
                <w:b/>
                <w:kern w:val="1"/>
                <w:sz w:val="18"/>
                <w:szCs w:val="18"/>
                <w:lang w:val="ro-RO" w:eastAsia="hi-IN" w:bidi="hi-IN"/>
              </w:rPr>
            </w:pPr>
            <w:r w:rsidRPr="00FF62BD">
              <w:rPr>
                <w:rFonts w:ascii="Arial" w:hAnsi="Arial" w:cs="Arial"/>
                <w:b/>
                <w:kern w:val="1"/>
                <w:sz w:val="18"/>
                <w:szCs w:val="18"/>
                <w:lang w:val="ro-RO" w:eastAsia="hi-IN" w:bidi="hi-IN"/>
              </w:rPr>
              <w:t>Problema identificată</w:t>
            </w:r>
          </w:p>
        </w:tc>
        <w:tc>
          <w:tcPr>
            <w:tcW w:w="4938" w:type="dxa"/>
            <w:shd w:val="clear" w:color="auto" w:fill="D9D9D9"/>
          </w:tcPr>
          <w:p w14:paraId="03C0A536" w14:textId="77777777" w:rsidR="00FF62BD" w:rsidRPr="00FF62BD" w:rsidRDefault="00FF62BD" w:rsidP="00FF62BD">
            <w:pPr>
              <w:widowControl w:val="0"/>
              <w:autoSpaceDE w:val="0"/>
              <w:autoSpaceDN w:val="0"/>
              <w:adjustRightInd w:val="0"/>
              <w:spacing w:after="0" w:line="276" w:lineRule="auto"/>
              <w:jc w:val="center"/>
              <w:rPr>
                <w:rFonts w:ascii="Arial" w:hAnsi="Arial" w:cs="Arial"/>
                <w:b/>
                <w:kern w:val="1"/>
                <w:sz w:val="18"/>
                <w:szCs w:val="18"/>
                <w:lang w:val="ro-RO" w:eastAsia="hi-IN" w:bidi="hi-IN"/>
              </w:rPr>
            </w:pPr>
            <w:r w:rsidRPr="00FF62BD">
              <w:rPr>
                <w:rFonts w:ascii="Arial" w:hAnsi="Arial" w:cs="Arial"/>
                <w:b/>
                <w:kern w:val="1"/>
                <w:sz w:val="18"/>
                <w:szCs w:val="18"/>
                <w:lang w:val="ro-RO" w:eastAsia="hi-IN" w:bidi="hi-IN"/>
              </w:rPr>
              <w:t>Soluție</w:t>
            </w:r>
          </w:p>
        </w:tc>
      </w:tr>
      <w:tr w:rsidR="00FF62BD" w:rsidRPr="00FF62BD" w14:paraId="36CE46D1" w14:textId="77777777" w:rsidTr="00C735D2">
        <w:tc>
          <w:tcPr>
            <w:tcW w:w="4931" w:type="dxa"/>
          </w:tcPr>
          <w:p w14:paraId="4CFB4B99" w14:textId="77777777" w:rsidR="00FF62BD" w:rsidRPr="00FF62BD" w:rsidRDefault="00FF62BD" w:rsidP="00FF62BD">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FF62BD">
              <w:rPr>
                <w:rFonts w:ascii="Arial" w:hAnsi="Arial" w:cs="Arial"/>
                <w:kern w:val="1"/>
                <w:sz w:val="18"/>
                <w:szCs w:val="18"/>
                <w:lang w:val="ro-RO" w:eastAsia="hi-IN" w:bidi="hi-IN"/>
              </w:rPr>
              <w:t xml:space="preserve">Infrastructura rutieră în stare necorespunzătoare </w:t>
            </w:r>
          </w:p>
        </w:tc>
        <w:tc>
          <w:tcPr>
            <w:tcW w:w="4938" w:type="dxa"/>
          </w:tcPr>
          <w:p w14:paraId="5F901DA6" w14:textId="77777777" w:rsidR="00FF62BD" w:rsidRPr="00FF62BD" w:rsidRDefault="00FF62BD" w:rsidP="00FF62BD">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 xml:space="preserve">Necesitatea reabilitării/modernizării tuturor arterelor de circulaţie </w:t>
            </w:r>
          </w:p>
        </w:tc>
      </w:tr>
      <w:tr w:rsidR="00FF62BD" w:rsidRPr="00FF62BD" w14:paraId="41C3CD42" w14:textId="77777777" w:rsidTr="00C735D2">
        <w:tc>
          <w:tcPr>
            <w:tcW w:w="4931" w:type="dxa"/>
          </w:tcPr>
          <w:p w14:paraId="227F8DC7" w14:textId="77777777" w:rsidR="00FF62BD" w:rsidRPr="00FF62BD" w:rsidRDefault="00FF62BD" w:rsidP="00FF62BD">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FF62BD">
              <w:rPr>
                <w:rFonts w:ascii="Arial" w:eastAsia="Times New Roman" w:hAnsi="Arial" w:cs="Arial"/>
                <w:kern w:val="1"/>
                <w:sz w:val="18"/>
                <w:szCs w:val="18"/>
                <w:lang w:val="es-ES" w:eastAsia="ro-RO" w:bidi="hi-IN"/>
              </w:rPr>
              <w:t>Capacitate de circulaţie redusă pe străzile care alimentează zonele periferice si localitatile componente</w:t>
            </w:r>
          </w:p>
        </w:tc>
        <w:tc>
          <w:tcPr>
            <w:tcW w:w="4938" w:type="dxa"/>
          </w:tcPr>
          <w:p w14:paraId="126EDA92" w14:textId="77777777" w:rsidR="00FF62BD" w:rsidRPr="00FF62BD" w:rsidRDefault="00FF62BD" w:rsidP="00FF62BD">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 xml:space="preserve">Reabilitarea și modernizarea arterelor de circulație din aceste cartiere </w:t>
            </w:r>
            <w:r w:rsidRPr="00FF62BD">
              <w:rPr>
                <w:rFonts w:ascii="Arial" w:hAnsi="Arial" w:cs="Arial"/>
                <w:kern w:val="1"/>
                <w:sz w:val="18"/>
                <w:szCs w:val="18"/>
                <w:lang w:val="es-ES" w:eastAsia="ro-RO" w:bidi="hi-IN"/>
              </w:rPr>
              <w:t>î</w:t>
            </w:r>
            <w:r w:rsidRPr="00FF62BD">
              <w:rPr>
                <w:rFonts w:ascii="Arial" w:hAnsi="Arial" w:cs="Arial"/>
                <w:kern w:val="1"/>
                <w:sz w:val="18"/>
                <w:szCs w:val="18"/>
                <w:lang w:val="es-ES" w:eastAsia="hi-IN" w:bidi="hi-IN"/>
              </w:rPr>
              <w:t>n vederea creșterii capacității de circulație</w:t>
            </w:r>
          </w:p>
        </w:tc>
      </w:tr>
      <w:tr w:rsidR="00FF62BD" w:rsidRPr="00FF62BD" w14:paraId="09B76E6E" w14:textId="77777777" w:rsidTr="00C735D2">
        <w:tc>
          <w:tcPr>
            <w:tcW w:w="4931" w:type="dxa"/>
          </w:tcPr>
          <w:p w14:paraId="0FA63BFD" w14:textId="77777777" w:rsidR="00FF62BD" w:rsidRPr="00FF62BD" w:rsidRDefault="00FF62BD" w:rsidP="00FF62BD">
            <w:pPr>
              <w:widowControl w:val="0"/>
              <w:autoSpaceDE w:val="0"/>
              <w:autoSpaceDN w:val="0"/>
              <w:adjustRightInd w:val="0"/>
              <w:spacing w:after="0" w:line="276" w:lineRule="auto"/>
              <w:jc w:val="both"/>
              <w:rPr>
                <w:rFonts w:ascii="Arial" w:eastAsia="Times New Roman" w:hAnsi="Arial" w:cs="Arial"/>
                <w:kern w:val="1"/>
                <w:sz w:val="18"/>
                <w:szCs w:val="18"/>
                <w:lang w:val="es-ES" w:eastAsia="ro-RO" w:bidi="hi-IN"/>
              </w:rPr>
            </w:pPr>
            <w:r w:rsidRPr="00FF62BD">
              <w:rPr>
                <w:rFonts w:ascii="Arial" w:eastAsia="Times New Roman" w:hAnsi="Arial" w:cs="Arial"/>
                <w:kern w:val="1"/>
                <w:sz w:val="18"/>
                <w:szCs w:val="18"/>
                <w:lang w:val="es-ES" w:eastAsia="ro-RO" w:bidi="hi-IN"/>
              </w:rPr>
              <w:t>Legătură deficitară (/lipsă) între zonele mărginaşe</w:t>
            </w:r>
          </w:p>
        </w:tc>
        <w:tc>
          <w:tcPr>
            <w:tcW w:w="4938" w:type="dxa"/>
          </w:tcPr>
          <w:p w14:paraId="775818AC" w14:textId="77777777" w:rsidR="00FF62BD" w:rsidRPr="00FF62BD" w:rsidRDefault="00FF62BD" w:rsidP="00FF62BD">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Construirea de noi artere de legătură</w:t>
            </w:r>
          </w:p>
        </w:tc>
      </w:tr>
      <w:tr w:rsidR="00FF62BD" w:rsidRPr="00FF62BD" w14:paraId="1DA90CD2" w14:textId="77777777" w:rsidTr="00C735D2">
        <w:tc>
          <w:tcPr>
            <w:tcW w:w="4931" w:type="dxa"/>
          </w:tcPr>
          <w:p w14:paraId="5D1433D2" w14:textId="77777777" w:rsidR="00FF62BD" w:rsidRPr="00FF62BD" w:rsidRDefault="00FF62BD" w:rsidP="00FF62BD">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FF62BD">
              <w:rPr>
                <w:rFonts w:ascii="Arial" w:hAnsi="Arial" w:cs="Arial"/>
                <w:kern w:val="1"/>
                <w:sz w:val="18"/>
                <w:szCs w:val="18"/>
                <w:lang w:val="ro-RO" w:eastAsia="hi-IN" w:bidi="hi-IN"/>
              </w:rPr>
              <w:t>Dezvoltarea unei concentrări a activităților în anumite zone care a cauzat apariția unei mobilități “forțate” a cetăţenilor</w:t>
            </w:r>
          </w:p>
        </w:tc>
        <w:tc>
          <w:tcPr>
            <w:tcW w:w="4938" w:type="dxa"/>
          </w:tcPr>
          <w:p w14:paraId="6B14F287" w14:textId="594609CD" w:rsidR="00FF62BD" w:rsidRPr="00FF62BD" w:rsidRDefault="00FF62BD" w:rsidP="00FF62BD">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 xml:space="preserve">Proiecte coroborate pentru asigurarea </w:t>
            </w:r>
            <w:r w:rsidR="00431567">
              <w:rPr>
                <w:rFonts w:ascii="Arial" w:hAnsi="Arial" w:cs="Arial"/>
                <w:kern w:val="1"/>
                <w:sz w:val="18"/>
                <w:szCs w:val="18"/>
                <w:lang w:val="es-ES" w:eastAsia="hi-IN" w:bidi="hi-IN"/>
              </w:rPr>
              <w:t>dotărilor</w:t>
            </w:r>
            <w:r w:rsidRPr="00FF62BD">
              <w:rPr>
                <w:rFonts w:ascii="Arial" w:hAnsi="Arial" w:cs="Arial"/>
                <w:kern w:val="1"/>
                <w:sz w:val="18"/>
                <w:szCs w:val="18"/>
                <w:lang w:val="es-ES" w:eastAsia="hi-IN" w:bidi="hi-IN"/>
              </w:rPr>
              <w:t xml:space="preserve"> pentru fiecare zona în parte</w:t>
            </w:r>
          </w:p>
        </w:tc>
      </w:tr>
      <w:tr w:rsidR="00FF62BD" w:rsidRPr="00FF62BD" w14:paraId="7199759E" w14:textId="77777777" w:rsidTr="00C735D2">
        <w:tc>
          <w:tcPr>
            <w:tcW w:w="4931" w:type="dxa"/>
          </w:tcPr>
          <w:p w14:paraId="795D9DCA" w14:textId="77777777" w:rsidR="00FF62BD" w:rsidRPr="00FF62BD" w:rsidRDefault="00FF62BD" w:rsidP="00FF62BD">
            <w:pPr>
              <w:widowControl w:val="0"/>
              <w:tabs>
                <w:tab w:val="left" w:pos="1644"/>
              </w:tabs>
              <w:autoSpaceDE w:val="0"/>
              <w:autoSpaceDN w:val="0"/>
              <w:adjustRightInd w:val="0"/>
              <w:spacing w:after="0" w:line="276" w:lineRule="auto"/>
              <w:jc w:val="both"/>
              <w:rPr>
                <w:rFonts w:ascii="Arial" w:hAnsi="Arial" w:cs="Arial"/>
                <w:kern w:val="1"/>
                <w:sz w:val="18"/>
                <w:szCs w:val="18"/>
                <w:lang w:val="ro-RO" w:eastAsia="hi-IN" w:bidi="hi-IN"/>
              </w:rPr>
            </w:pPr>
            <w:r w:rsidRPr="00FF62BD">
              <w:rPr>
                <w:rFonts w:ascii="Arial" w:hAnsi="Arial" w:cs="Arial"/>
                <w:kern w:val="1"/>
                <w:sz w:val="18"/>
                <w:szCs w:val="18"/>
                <w:lang w:val="ro-RO" w:eastAsia="ro-RO" w:bidi="hi-IN"/>
              </w:rPr>
              <w:t>Lipsa transportului public.</w:t>
            </w:r>
          </w:p>
        </w:tc>
        <w:tc>
          <w:tcPr>
            <w:tcW w:w="4938" w:type="dxa"/>
          </w:tcPr>
          <w:p w14:paraId="177B55DB" w14:textId="77777777" w:rsidR="00FF62BD" w:rsidRPr="00FF62BD" w:rsidRDefault="00FF62BD" w:rsidP="00FF62BD">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FF62BD">
              <w:rPr>
                <w:rFonts w:ascii="Arial" w:hAnsi="Arial" w:cs="Arial"/>
                <w:kern w:val="1"/>
                <w:sz w:val="18"/>
                <w:szCs w:val="18"/>
                <w:lang w:val="ro-RO" w:eastAsia="hi-IN" w:bidi="hi-IN"/>
              </w:rPr>
              <w:t>Introducerea sistemului de transport public</w:t>
            </w:r>
          </w:p>
        </w:tc>
      </w:tr>
    </w:tbl>
    <w:p w14:paraId="27421E0B" w14:textId="77777777" w:rsidR="00FF62BD" w:rsidRPr="00FF62BD" w:rsidRDefault="00FF62BD" w:rsidP="00FF62BD">
      <w:pPr>
        <w:suppressAutoHyphens/>
        <w:autoSpaceDE w:val="0"/>
        <w:spacing w:after="0" w:line="360" w:lineRule="auto"/>
        <w:jc w:val="both"/>
        <w:rPr>
          <w:rFonts w:ascii="EUAlbertina" w:eastAsia="Calibri" w:hAnsi="EUAlbertina" w:cs="EUAlbertina"/>
          <w:color w:val="000000"/>
          <w:sz w:val="24"/>
          <w:szCs w:val="24"/>
          <w:lang w:val="es-ES" w:eastAsia="zh-CN"/>
        </w:rPr>
      </w:pPr>
    </w:p>
    <w:p w14:paraId="2E875859" w14:textId="77777777" w:rsidR="00FF62BD" w:rsidRPr="00FF62BD" w:rsidRDefault="00FF62BD" w:rsidP="00FF62BD">
      <w:pPr>
        <w:rPr>
          <w:lang w:val="it-IT" w:eastAsia="ro-RO"/>
        </w:rPr>
      </w:pPr>
    </w:p>
    <w:p w14:paraId="19552BB2" w14:textId="77777777" w:rsidR="00D70AEA" w:rsidRDefault="00D70AEA" w:rsidP="003430C5">
      <w:pPr>
        <w:pStyle w:val="Titlu2"/>
        <w:rPr>
          <w:rFonts w:ascii="Arial" w:eastAsia="Times New Roman" w:hAnsi="Arial" w:cs="Arial"/>
          <w:b/>
          <w:bCs/>
          <w:color w:val="auto"/>
          <w:sz w:val="24"/>
          <w:szCs w:val="24"/>
          <w:lang w:val="it-IT" w:eastAsia="ro-RO"/>
        </w:rPr>
      </w:pPr>
      <w:bookmarkStart w:id="367" w:name="_Toc61264907"/>
      <w:bookmarkStart w:id="368" w:name="_Toc142039089"/>
      <w:r w:rsidRPr="003430C5">
        <w:rPr>
          <w:rFonts w:ascii="Arial" w:eastAsia="Times New Roman" w:hAnsi="Arial" w:cs="Arial"/>
          <w:b/>
          <w:bCs/>
          <w:color w:val="auto"/>
          <w:sz w:val="24"/>
          <w:szCs w:val="24"/>
          <w:lang w:val="it-IT" w:eastAsia="ro-RO"/>
        </w:rPr>
        <w:lastRenderedPageBreak/>
        <w:t>I.4.4</w:t>
      </w:r>
      <w:r w:rsidR="003430C5" w:rsidRP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Siguranța</w:t>
      </w:r>
      <w:bookmarkEnd w:id="367"/>
      <w:bookmarkEnd w:id="368"/>
      <w:r w:rsidRPr="003430C5">
        <w:rPr>
          <w:rFonts w:ascii="Arial" w:eastAsia="Times New Roman" w:hAnsi="Arial" w:cs="Arial"/>
          <w:b/>
          <w:bCs/>
          <w:color w:val="auto"/>
          <w:sz w:val="24"/>
          <w:szCs w:val="24"/>
          <w:lang w:val="it-IT" w:eastAsia="ro-RO"/>
        </w:rPr>
        <w:t xml:space="preserve"> </w:t>
      </w:r>
    </w:p>
    <w:p w14:paraId="737A0B93" w14:textId="77777777" w:rsidR="00FF62BD" w:rsidRPr="00FF62BD" w:rsidRDefault="00FF62BD" w:rsidP="00FF62BD">
      <w:pPr>
        <w:suppressAutoHyphens/>
        <w:autoSpaceDE w:val="0"/>
        <w:spacing w:after="0" w:line="276" w:lineRule="auto"/>
        <w:jc w:val="both"/>
        <w:rPr>
          <w:rFonts w:ascii="Arial" w:eastAsia="Calibri" w:hAnsi="Arial" w:cs="Arial"/>
          <w:lang w:val="es-ES" w:eastAsia="zh-CN"/>
        </w:rPr>
      </w:pPr>
      <w:r w:rsidRPr="00FF62BD">
        <w:rPr>
          <w:rFonts w:ascii="Arial" w:eastAsia="Calibri" w:hAnsi="Arial" w:cs="Arial"/>
          <w:lang w:val="es-ES" w:eastAsia="zh-CN"/>
        </w:rPr>
        <w:t xml:space="preserve">Siguranţa rutieră este definită în legislaţie ca lipsa primejdiilor pe arterele terestre de circulaţie; siguranţa rutieră este sentimentul de linişte şi încredere pe care îl au participanţii la trafic, fie ei şoferi, călători sau simpli trecători, de a se şti la adăpost de pericole. Pentru a avea însă acest sentiment, fiecare trebuie să contribuie la împlinirea securităţii; fiecare trebuie să acţioneze atât în direcţia creşterii siguranţei proprii, cât şi la faptul că acţiunile proprii nu trebuie să pună în pericol siguranţa celorlalţi. </w:t>
      </w:r>
    </w:p>
    <w:p w14:paraId="2C1B0449" w14:textId="77777777" w:rsidR="00FF62BD" w:rsidRPr="00FF62BD" w:rsidRDefault="00FF62BD" w:rsidP="00FF62BD">
      <w:pPr>
        <w:suppressAutoHyphens/>
        <w:autoSpaceDE w:val="0"/>
        <w:spacing w:after="0" w:line="276" w:lineRule="auto"/>
        <w:rPr>
          <w:rFonts w:ascii="Arial" w:eastAsia="Calibri" w:hAnsi="Arial" w:cs="Arial"/>
          <w:color w:val="000000"/>
          <w:lang w:val="es-ES" w:eastAsia="zh-CN"/>
        </w:rPr>
      </w:pPr>
    </w:p>
    <w:p w14:paraId="23801DFE"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 xml:space="preserve">Orice eveniment rutier neplăcut implică cheltuieli, nu numai pentru cei care le provoacă şi le produc, dar şi pentru toţi ceilalţi care sunt implicaţi direct în eveniment şi chiar la nivelul autorităţilor locale sau a firmelor care au în administrare mobilierul stradal. Uneori evenimentele rutiere curmă vieţi omeneşti sau afectează sănătatea oamenilor. Aceste evenimente au şi alte consecinţe neplăcute în plan social: concedii medicale, invalidităţi, depresii, scăderea capacităţii de muncă. Iată deci, tot atâtea motive pentru a face totul pentru asigurarea securităţii rutiere. </w:t>
      </w:r>
    </w:p>
    <w:p w14:paraId="050B58F7" w14:textId="77777777" w:rsidR="00FF62BD" w:rsidRPr="00FF62BD" w:rsidRDefault="00FF62BD" w:rsidP="00FF62BD">
      <w:pPr>
        <w:suppressAutoHyphens/>
        <w:autoSpaceDE w:val="0"/>
        <w:spacing w:after="0" w:line="360" w:lineRule="auto"/>
        <w:jc w:val="both"/>
        <w:rPr>
          <w:rFonts w:ascii="Arial" w:eastAsia="Calibri" w:hAnsi="Arial" w:cs="Arial"/>
          <w:color w:val="000000"/>
          <w:sz w:val="24"/>
          <w:szCs w:val="24"/>
          <w:lang w:val="es-ES" w:eastAsia="zh-CN"/>
        </w:rPr>
      </w:pPr>
    </w:p>
    <w:p w14:paraId="1F60BE58"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 xml:space="preserve">În ultimii ani, UE s-a implicat în îmbunătăţirea siguranţei rutiere (mai ales) prin aşa numita siguranţă pasivă: amortizoare, centuri de siguranţă, frâne, iluminat. Obiectivul CE stipulat în "Road Safety Policy 2021-2030” este reducerea cu 50% a numărului de morți și răniți grav în accidente rutiere până în 2030, iar pe termen lung, până în 2050 – zero decedați și răniți grav până în 2050. </w:t>
      </w:r>
    </w:p>
    <w:p w14:paraId="5D72FBCD" w14:textId="77777777" w:rsidR="00FF62BD" w:rsidRPr="00FF62BD" w:rsidRDefault="00FF62BD" w:rsidP="00FF62BD">
      <w:pPr>
        <w:suppressAutoHyphens/>
        <w:autoSpaceDE w:val="0"/>
        <w:spacing w:after="0" w:line="276" w:lineRule="auto"/>
        <w:rPr>
          <w:rFonts w:ascii="Arial" w:eastAsia="Calibri" w:hAnsi="Arial" w:cs="Arial"/>
          <w:color w:val="000000"/>
          <w:lang w:val="es-ES" w:eastAsia="zh-CN"/>
        </w:rPr>
      </w:pPr>
    </w:p>
    <w:p w14:paraId="1F32CC67" w14:textId="77777777" w:rsidR="00FF62BD" w:rsidRPr="00FF62BD" w:rsidRDefault="00FF62BD" w:rsidP="00FF62BD">
      <w:pPr>
        <w:suppressAutoHyphens/>
        <w:autoSpaceDE w:val="0"/>
        <w:spacing w:after="0" w:line="276" w:lineRule="auto"/>
        <w:jc w:val="both"/>
        <w:rPr>
          <w:rFonts w:ascii="Arial" w:eastAsia="Calibri" w:hAnsi="Arial" w:cs="Arial"/>
          <w:color w:val="000000"/>
          <w:sz w:val="24"/>
          <w:szCs w:val="24"/>
          <w:lang w:val="es-ES" w:eastAsia="zh-CN"/>
        </w:rPr>
      </w:pPr>
      <w:r w:rsidRPr="00FF62BD">
        <w:rPr>
          <w:rFonts w:ascii="Arial" w:eastAsia="Calibri" w:hAnsi="Arial" w:cs="Arial"/>
          <w:color w:val="000000"/>
          <w:lang w:val="es-ES" w:eastAsia="zh-CN"/>
        </w:rPr>
        <w:t>Fiecare cetăţean UE ar trebui să poată locui şi să se poată deplasa în zone urbane în condiţii de siguranţă şi de securitate. Atunci când merg pe jos, cu bicicleta sau când conduc o maşină sau un camion, oamenii ar trebui să o poată face cu un risc minim. Acest lucru necesită o bună planificare a infrastructurii, în special la intersecţii. Cetăţenii devin din ce în ce mai conştienţi de faptul că trebuie să acţioneze în mod responsabil pentru a-şi proteja propria viaţă şi a proteja vieţile celorlalţi</w:t>
      </w:r>
      <w:r w:rsidRPr="00FF62BD">
        <w:rPr>
          <w:rFonts w:ascii="Arial" w:eastAsia="Calibri" w:hAnsi="Arial" w:cs="Arial"/>
          <w:color w:val="000000"/>
          <w:sz w:val="24"/>
          <w:szCs w:val="24"/>
          <w:lang w:val="es-ES" w:eastAsia="zh-CN"/>
        </w:rPr>
        <w:t xml:space="preserve">. </w:t>
      </w:r>
    </w:p>
    <w:p w14:paraId="7AD85897" w14:textId="77777777" w:rsidR="00FF62BD" w:rsidRPr="00FF62BD" w:rsidRDefault="00FF62BD" w:rsidP="00FF62BD">
      <w:pPr>
        <w:suppressAutoHyphens/>
        <w:autoSpaceDE w:val="0"/>
        <w:spacing w:after="0" w:line="360" w:lineRule="auto"/>
        <w:jc w:val="both"/>
        <w:rPr>
          <w:rFonts w:ascii="Arial" w:eastAsia="Calibri" w:hAnsi="Arial" w:cs="Arial"/>
          <w:color w:val="000000"/>
          <w:sz w:val="24"/>
          <w:szCs w:val="24"/>
          <w:lang w:val="es-ES" w:eastAsia="zh-CN"/>
        </w:rPr>
      </w:pPr>
    </w:p>
    <w:p w14:paraId="58CB9C81"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b/>
          <w:color w:val="000000"/>
          <w:lang w:val="es-ES" w:eastAsia="zh-CN"/>
        </w:rPr>
        <w:t xml:space="preserve">Modernizarea şi dezvoltarea infrastructurii rutiere </w:t>
      </w:r>
      <w:r w:rsidRPr="00FF62BD">
        <w:rPr>
          <w:rFonts w:ascii="Arial" w:eastAsia="Calibri" w:hAnsi="Arial" w:cs="Arial"/>
          <w:color w:val="000000"/>
          <w:lang w:val="es-ES" w:eastAsia="zh-CN"/>
        </w:rPr>
        <w:t xml:space="preserve">(marcaje, semnalizări, căi de rulare tramvaie, reţele de contact), respectiv implementarea unor sisteme ITS (Sisteme Inteligente pentru Transport) sunt măsuri obligatorii în acest stadiu al dezvoltării transportului rutier, în vederea reducerii riscului de producere a accidentelor. </w:t>
      </w:r>
    </w:p>
    <w:p w14:paraId="163FE040" w14:textId="77777777" w:rsidR="00FF62BD" w:rsidRPr="00FF62BD" w:rsidRDefault="00FF62BD" w:rsidP="00FF62BD">
      <w:pPr>
        <w:suppressAutoHyphens/>
        <w:autoSpaceDE w:val="0"/>
        <w:spacing w:after="0" w:line="276" w:lineRule="auto"/>
        <w:rPr>
          <w:rFonts w:ascii="Arial" w:eastAsia="Calibri" w:hAnsi="Arial" w:cs="Arial"/>
          <w:color w:val="000000"/>
          <w:lang w:val="es-ES" w:eastAsia="zh-CN"/>
        </w:rPr>
      </w:pPr>
    </w:p>
    <w:p w14:paraId="2B8AB37E"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 xml:space="preserve">Una din cauzele majore ale producerii evenimentelor rutiere nedorite este traficul intens, dar şi lipsa de informare prealabilă a conducătorilor de vehicule despre situaţia de-a lungul traseului pe care îl vor avea de parcurs. Aglomeraţiile de pe străzi crează blocaje, şoferii se enervează, se grăbesc, scade atenţia, iar rezultatul este creşterea semnificativă a numărului de accidente. </w:t>
      </w:r>
    </w:p>
    <w:p w14:paraId="0314C41D"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p>
    <w:p w14:paraId="4EB4501F"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 xml:space="preserve">Dintre toate evenimentele rutiere care se pot produce pe drumurile publice, accidentele de persoane sunt întotdeauna cele mai grave, chiar dacă accidentul s-a soldat "numai" cu leziuni uşoare. </w:t>
      </w:r>
    </w:p>
    <w:p w14:paraId="767288F5" w14:textId="77777777" w:rsidR="00FF62BD" w:rsidRPr="00FF62BD" w:rsidRDefault="00FF62BD" w:rsidP="00FF62BD">
      <w:pPr>
        <w:suppressAutoHyphens/>
        <w:autoSpaceDE w:val="0"/>
        <w:spacing w:after="0" w:line="360" w:lineRule="auto"/>
        <w:jc w:val="center"/>
        <w:rPr>
          <w:rFonts w:ascii="Arial" w:eastAsia="Calibri" w:hAnsi="Arial" w:cs="Arial"/>
          <w:color w:val="000000"/>
          <w:sz w:val="24"/>
          <w:szCs w:val="24"/>
          <w:lang w:val="es-ES" w:eastAsia="zh-CN"/>
        </w:rPr>
      </w:pPr>
    </w:p>
    <w:p w14:paraId="22FD0BBA" w14:textId="5F96618D" w:rsidR="00FF62BD" w:rsidRPr="00770D30" w:rsidRDefault="00770D30" w:rsidP="00770D30">
      <w:pPr>
        <w:pStyle w:val="Legend"/>
        <w:jc w:val="center"/>
        <w:rPr>
          <w:rFonts w:ascii="Arial" w:eastAsia="Calibri" w:hAnsi="Arial" w:cs="Arial"/>
          <w:b/>
          <w:bCs/>
          <w:i w:val="0"/>
          <w:iCs w:val="0"/>
          <w:color w:val="000000"/>
          <w:sz w:val="22"/>
          <w:szCs w:val="22"/>
          <w:lang w:val="es-ES" w:eastAsia="zh-CN"/>
        </w:rPr>
      </w:pPr>
      <w:bookmarkStart w:id="369" w:name="_Toc68361257"/>
      <w:bookmarkStart w:id="370" w:name="_Toc96447421"/>
      <w:r w:rsidRPr="00770D30">
        <w:rPr>
          <w:rFonts w:ascii="Arial" w:hAnsi="Arial" w:cs="Arial"/>
          <w:sz w:val="22"/>
          <w:szCs w:val="22"/>
        </w:rPr>
        <w:t xml:space="preserve">Tabel I.4. </w:t>
      </w:r>
      <w:r w:rsidRPr="00770D30">
        <w:rPr>
          <w:rFonts w:ascii="Arial" w:hAnsi="Arial" w:cs="Arial"/>
          <w:sz w:val="22"/>
          <w:szCs w:val="22"/>
        </w:rPr>
        <w:fldChar w:fldCharType="begin"/>
      </w:r>
      <w:r w:rsidRPr="00770D30">
        <w:rPr>
          <w:rFonts w:ascii="Arial" w:hAnsi="Arial" w:cs="Arial"/>
          <w:sz w:val="22"/>
          <w:szCs w:val="22"/>
        </w:rPr>
        <w:instrText xml:space="preserve"> SEQ Tabel_I.4. \* ARABIC </w:instrText>
      </w:r>
      <w:r w:rsidRPr="00770D30">
        <w:rPr>
          <w:rFonts w:ascii="Arial" w:hAnsi="Arial" w:cs="Arial"/>
          <w:sz w:val="22"/>
          <w:szCs w:val="22"/>
        </w:rPr>
        <w:fldChar w:fldCharType="separate"/>
      </w:r>
      <w:r w:rsidR="00BB181C">
        <w:rPr>
          <w:rFonts w:ascii="Arial" w:hAnsi="Arial" w:cs="Arial"/>
          <w:noProof/>
          <w:sz w:val="22"/>
          <w:szCs w:val="22"/>
        </w:rPr>
        <w:t>11</w:t>
      </w:r>
      <w:r w:rsidRPr="00770D30">
        <w:rPr>
          <w:rFonts w:ascii="Arial" w:hAnsi="Arial" w:cs="Arial"/>
          <w:sz w:val="22"/>
          <w:szCs w:val="22"/>
        </w:rPr>
        <w:fldChar w:fldCharType="end"/>
      </w:r>
      <w:r w:rsidRPr="00770D30">
        <w:rPr>
          <w:rFonts w:ascii="Arial" w:hAnsi="Arial" w:cs="Arial"/>
          <w:sz w:val="22"/>
          <w:szCs w:val="22"/>
        </w:rPr>
        <w:t xml:space="preserve"> </w:t>
      </w:r>
      <w:r w:rsidR="00FF62BD" w:rsidRPr="00770D30">
        <w:rPr>
          <w:rFonts w:ascii="Arial" w:hAnsi="Arial" w:cs="Arial"/>
          <w:color w:val="1F497D"/>
          <w:sz w:val="22"/>
          <w:szCs w:val="22"/>
        </w:rPr>
        <w:t xml:space="preserve">- </w:t>
      </w:r>
      <w:r w:rsidR="00FF62BD" w:rsidRPr="00770D30">
        <w:rPr>
          <w:rFonts w:ascii="Arial" w:hAnsi="Arial" w:cs="Arial"/>
          <w:i w:val="0"/>
          <w:iCs w:val="0"/>
          <w:color w:val="1F497D"/>
          <w:sz w:val="22"/>
          <w:szCs w:val="22"/>
        </w:rPr>
        <w:t>Situaţia accidentelor rutiere din zona urbana Horezu în perioada 2018-202</w:t>
      </w:r>
      <w:bookmarkEnd w:id="369"/>
      <w:r w:rsidR="00FF62BD" w:rsidRPr="00770D30">
        <w:rPr>
          <w:rFonts w:ascii="Arial" w:hAnsi="Arial" w:cs="Arial"/>
          <w:i w:val="0"/>
          <w:iCs w:val="0"/>
          <w:color w:val="1F497D"/>
          <w:sz w:val="22"/>
          <w:szCs w:val="22"/>
        </w:rPr>
        <w:t>1</w:t>
      </w:r>
      <w:bookmarkEnd w:id="370"/>
    </w:p>
    <w:tbl>
      <w:tblPr>
        <w:tblW w:w="6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990"/>
        <w:gridCol w:w="1956"/>
        <w:gridCol w:w="1956"/>
        <w:gridCol w:w="1300"/>
      </w:tblGrid>
      <w:tr w:rsidR="00FF62BD" w:rsidRPr="00FF62BD" w14:paraId="4E67B444" w14:textId="77777777" w:rsidTr="00C735D2">
        <w:trPr>
          <w:jc w:val="center"/>
        </w:trPr>
        <w:tc>
          <w:tcPr>
            <w:tcW w:w="990" w:type="dxa"/>
            <w:shd w:val="clear" w:color="auto" w:fill="CCCCCC"/>
            <w:vAlign w:val="center"/>
          </w:tcPr>
          <w:p w14:paraId="60B7A7A0" w14:textId="77777777" w:rsidR="00FF62BD" w:rsidRPr="00FF62BD" w:rsidRDefault="00FF62BD" w:rsidP="00FF62BD">
            <w:pPr>
              <w:widowControl w:val="0"/>
              <w:suppressLineNumbers/>
              <w:suppressAutoHyphens/>
              <w:spacing w:after="0" w:line="240" w:lineRule="auto"/>
              <w:jc w:val="center"/>
              <w:rPr>
                <w:rFonts w:ascii="Arial" w:hAnsi="Arial" w:cs="Arial"/>
                <w:b/>
                <w:bCs/>
                <w:kern w:val="1"/>
                <w:sz w:val="20"/>
                <w:szCs w:val="20"/>
                <w:lang w:val="ro-RO" w:eastAsia="zh-CN" w:bidi="hi-IN"/>
              </w:rPr>
            </w:pPr>
            <w:r w:rsidRPr="00FF62BD">
              <w:rPr>
                <w:rFonts w:ascii="Arial" w:hAnsi="Arial" w:cs="Arial"/>
                <w:b/>
                <w:bCs/>
                <w:kern w:val="1"/>
                <w:sz w:val="20"/>
                <w:szCs w:val="20"/>
                <w:lang w:val="ro-RO" w:eastAsia="zh-CN" w:bidi="hi-IN"/>
              </w:rPr>
              <w:t>Anul</w:t>
            </w:r>
          </w:p>
        </w:tc>
        <w:tc>
          <w:tcPr>
            <w:tcW w:w="1956" w:type="dxa"/>
            <w:shd w:val="clear" w:color="auto" w:fill="CCCCCC"/>
            <w:vAlign w:val="center"/>
          </w:tcPr>
          <w:p w14:paraId="00A682CA" w14:textId="77777777" w:rsidR="00FF62BD" w:rsidRPr="00FF62BD" w:rsidRDefault="00FF62BD" w:rsidP="00FF62BD">
            <w:pPr>
              <w:widowControl w:val="0"/>
              <w:suppressLineNumbers/>
              <w:suppressAutoHyphens/>
              <w:spacing w:after="0" w:line="240" w:lineRule="auto"/>
              <w:jc w:val="center"/>
              <w:rPr>
                <w:rFonts w:ascii="Arial" w:hAnsi="Arial" w:cs="Arial"/>
                <w:b/>
                <w:bCs/>
                <w:kern w:val="1"/>
                <w:sz w:val="20"/>
                <w:szCs w:val="20"/>
                <w:lang w:val="ro-RO" w:eastAsia="zh-CN" w:bidi="hi-IN"/>
              </w:rPr>
            </w:pPr>
            <w:r w:rsidRPr="00FF62BD">
              <w:rPr>
                <w:rFonts w:ascii="Arial" w:hAnsi="Arial" w:cs="Arial"/>
                <w:b/>
                <w:bCs/>
                <w:kern w:val="1"/>
                <w:sz w:val="20"/>
                <w:szCs w:val="20"/>
                <w:lang w:val="ro-RO" w:eastAsia="zh-CN" w:bidi="hi-IN"/>
              </w:rPr>
              <w:t>Nr. accidente rutiere soldate cu victime omenesti</w:t>
            </w:r>
          </w:p>
        </w:tc>
        <w:tc>
          <w:tcPr>
            <w:tcW w:w="1956" w:type="dxa"/>
            <w:shd w:val="clear" w:color="auto" w:fill="CCCCCC"/>
            <w:vAlign w:val="center"/>
          </w:tcPr>
          <w:p w14:paraId="0EF434CF" w14:textId="77777777" w:rsidR="00FF62BD" w:rsidRPr="00FF62BD" w:rsidRDefault="00FF62BD" w:rsidP="00FF62BD">
            <w:pPr>
              <w:widowControl w:val="0"/>
              <w:suppressLineNumbers/>
              <w:suppressAutoHyphens/>
              <w:spacing w:after="0" w:line="240" w:lineRule="auto"/>
              <w:jc w:val="center"/>
              <w:rPr>
                <w:rFonts w:ascii="Arial" w:hAnsi="Arial" w:cs="Arial"/>
                <w:b/>
                <w:bCs/>
                <w:kern w:val="1"/>
                <w:sz w:val="20"/>
                <w:szCs w:val="20"/>
                <w:lang w:val="ro-RO" w:eastAsia="zh-CN" w:bidi="hi-IN"/>
              </w:rPr>
            </w:pPr>
            <w:r w:rsidRPr="00FF62BD">
              <w:rPr>
                <w:rFonts w:ascii="Arial" w:hAnsi="Arial" w:cs="Arial"/>
                <w:b/>
                <w:bCs/>
                <w:kern w:val="1"/>
                <w:sz w:val="20"/>
                <w:szCs w:val="20"/>
                <w:lang w:val="ro-RO" w:eastAsia="zh-CN" w:bidi="hi-IN"/>
              </w:rPr>
              <w:t>Nr. accidente rutiere soldate cu pagube materiale</w:t>
            </w:r>
          </w:p>
        </w:tc>
        <w:tc>
          <w:tcPr>
            <w:tcW w:w="1300" w:type="dxa"/>
            <w:shd w:val="clear" w:color="auto" w:fill="CCCCCC"/>
            <w:vAlign w:val="center"/>
          </w:tcPr>
          <w:p w14:paraId="499AB03B" w14:textId="77777777" w:rsidR="00FF62BD" w:rsidRPr="00FF62BD" w:rsidRDefault="00FF62BD" w:rsidP="00FF62BD">
            <w:pPr>
              <w:widowControl w:val="0"/>
              <w:suppressLineNumbers/>
              <w:suppressAutoHyphens/>
              <w:spacing w:after="0" w:line="240" w:lineRule="auto"/>
              <w:jc w:val="center"/>
              <w:rPr>
                <w:rFonts w:ascii="Arial" w:hAnsi="Arial" w:cs="Arial"/>
                <w:b/>
                <w:bCs/>
                <w:kern w:val="1"/>
                <w:sz w:val="20"/>
                <w:szCs w:val="20"/>
                <w:lang w:val="ro-RO" w:eastAsia="zh-CN" w:bidi="hi-IN"/>
              </w:rPr>
            </w:pPr>
            <w:r w:rsidRPr="00FF62BD">
              <w:rPr>
                <w:rFonts w:ascii="Arial" w:hAnsi="Arial" w:cs="Arial"/>
                <w:b/>
                <w:bCs/>
                <w:kern w:val="1"/>
                <w:sz w:val="20"/>
                <w:szCs w:val="20"/>
                <w:lang w:val="ro-RO" w:eastAsia="zh-CN" w:bidi="hi-IN"/>
              </w:rPr>
              <w:t>Total</w:t>
            </w:r>
          </w:p>
        </w:tc>
      </w:tr>
      <w:tr w:rsidR="00FF62BD" w:rsidRPr="00FF62BD" w14:paraId="1429C12C" w14:textId="77777777" w:rsidTr="00C735D2">
        <w:trPr>
          <w:jc w:val="center"/>
        </w:trPr>
        <w:tc>
          <w:tcPr>
            <w:tcW w:w="990" w:type="dxa"/>
            <w:shd w:val="clear" w:color="auto" w:fill="CCCCCC"/>
          </w:tcPr>
          <w:p w14:paraId="7B7B7B5A" w14:textId="77777777" w:rsidR="00FF62BD" w:rsidRPr="00FF62BD" w:rsidRDefault="00FF62BD" w:rsidP="00FF62BD">
            <w:pPr>
              <w:widowControl w:val="0"/>
              <w:suppressLineNumbers/>
              <w:suppressAutoHyphens/>
              <w:spacing w:after="0" w:line="240" w:lineRule="auto"/>
              <w:jc w:val="center"/>
              <w:rPr>
                <w:rFonts w:ascii="Arial" w:hAnsi="Arial" w:cs="Arial"/>
                <w:kern w:val="1"/>
                <w:sz w:val="20"/>
                <w:szCs w:val="20"/>
                <w:lang w:val="ro-RO" w:eastAsia="zh-CN" w:bidi="hi-IN"/>
              </w:rPr>
            </w:pPr>
            <w:r w:rsidRPr="00FF62BD">
              <w:rPr>
                <w:rFonts w:ascii="Arial" w:hAnsi="Arial" w:cs="Arial"/>
                <w:kern w:val="1"/>
                <w:sz w:val="20"/>
                <w:szCs w:val="20"/>
                <w:lang w:val="ro-RO" w:eastAsia="zh-CN" w:bidi="hi-IN"/>
              </w:rPr>
              <w:t>2018</w:t>
            </w:r>
          </w:p>
        </w:tc>
        <w:tc>
          <w:tcPr>
            <w:tcW w:w="1956" w:type="dxa"/>
            <w:shd w:val="clear" w:color="auto" w:fill="auto"/>
            <w:vAlign w:val="bottom"/>
          </w:tcPr>
          <w:p w14:paraId="4B38260E" w14:textId="77777777" w:rsidR="00FF62BD" w:rsidRPr="00FF62BD" w:rsidRDefault="00FF62BD" w:rsidP="00FF62BD">
            <w:pPr>
              <w:widowControl w:val="0"/>
              <w:suppressAutoHyphens/>
              <w:spacing w:after="0" w:line="240" w:lineRule="auto"/>
              <w:jc w:val="center"/>
              <w:rPr>
                <w:rFonts w:ascii="Arial" w:hAnsi="Arial" w:cs="Arial"/>
                <w:color w:val="000000"/>
                <w:kern w:val="1"/>
                <w:sz w:val="20"/>
                <w:szCs w:val="20"/>
                <w:lang w:val="ro-RO" w:eastAsia="hi-IN" w:bidi="hi-IN"/>
              </w:rPr>
            </w:pPr>
            <w:r w:rsidRPr="00FF62BD">
              <w:rPr>
                <w:rFonts w:ascii="Arial" w:hAnsi="Arial" w:cs="Arial"/>
                <w:color w:val="000000"/>
                <w:kern w:val="1"/>
                <w:sz w:val="20"/>
                <w:szCs w:val="20"/>
                <w:lang w:val="ro-RO" w:eastAsia="hi-IN" w:bidi="hi-IN"/>
              </w:rPr>
              <w:t>7</w:t>
            </w:r>
          </w:p>
        </w:tc>
        <w:tc>
          <w:tcPr>
            <w:tcW w:w="1956" w:type="dxa"/>
            <w:shd w:val="clear" w:color="auto" w:fill="auto"/>
            <w:vAlign w:val="bottom"/>
          </w:tcPr>
          <w:p w14:paraId="4418B264" w14:textId="77777777" w:rsidR="00FF62BD" w:rsidRPr="00FF62BD" w:rsidRDefault="00FF62BD" w:rsidP="00FF62BD">
            <w:pPr>
              <w:widowControl w:val="0"/>
              <w:suppressAutoHyphens/>
              <w:spacing w:after="0" w:line="240" w:lineRule="auto"/>
              <w:jc w:val="center"/>
              <w:rPr>
                <w:rFonts w:ascii="Arial" w:hAnsi="Arial" w:cs="Arial"/>
                <w:color w:val="000000"/>
                <w:kern w:val="1"/>
                <w:sz w:val="20"/>
                <w:szCs w:val="20"/>
                <w:lang w:val="ro-RO" w:eastAsia="hi-IN" w:bidi="hi-IN"/>
              </w:rPr>
            </w:pPr>
            <w:r w:rsidRPr="00FF62BD">
              <w:rPr>
                <w:rFonts w:ascii="Arial" w:hAnsi="Arial" w:cs="Arial"/>
                <w:color w:val="000000"/>
                <w:kern w:val="1"/>
                <w:sz w:val="20"/>
                <w:szCs w:val="20"/>
                <w:lang w:val="ro-RO" w:eastAsia="hi-IN" w:bidi="hi-IN"/>
              </w:rPr>
              <w:t>65</w:t>
            </w:r>
          </w:p>
        </w:tc>
        <w:tc>
          <w:tcPr>
            <w:tcW w:w="1300" w:type="dxa"/>
            <w:vAlign w:val="bottom"/>
          </w:tcPr>
          <w:p w14:paraId="02806EDD" w14:textId="77777777" w:rsidR="00FF62BD" w:rsidRPr="00FF62BD" w:rsidRDefault="00FF62BD" w:rsidP="00FF62BD">
            <w:pPr>
              <w:widowControl w:val="0"/>
              <w:suppressAutoHyphens/>
              <w:spacing w:after="0" w:line="240" w:lineRule="auto"/>
              <w:jc w:val="center"/>
              <w:rPr>
                <w:rFonts w:ascii="Arial" w:hAnsi="Arial" w:cs="Arial"/>
                <w:b/>
                <w:color w:val="000000"/>
                <w:kern w:val="1"/>
                <w:sz w:val="20"/>
                <w:szCs w:val="20"/>
                <w:lang w:val="ro-RO" w:eastAsia="hi-IN" w:bidi="hi-IN"/>
              </w:rPr>
            </w:pPr>
            <w:r w:rsidRPr="00FF62BD">
              <w:rPr>
                <w:rFonts w:ascii="Arial" w:hAnsi="Arial" w:cs="Arial"/>
                <w:b/>
                <w:color w:val="000000"/>
                <w:kern w:val="1"/>
                <w:sz w:val="20"/>
                <w:szCs w:val="20"/>
                <w:lang w:val="ro-RO" w:eastAsia="hi-IN" w:bidi="hi-IN"/>
              </w:rPr>
              <w:t>72</w:t>
            </w:r>
          </w:p>
        </w:tc>
      </w:tr>
      <w:tr w:rsidR="00FF62BD" w:rsidRPr="00FF62BD" w14:paraId="11A726E3" w14:textId="77777777" w:rsidTr="00C735D2">
        <w:trPr>
          <w:jc w:val="center"/>
        </w:trPr>
        <w:tc>
          <w:tcPr>
            <w:tcW w:w="990" w:type="dxa"/>
            <w:shd w:val="clear" w:color="auto" w:fill="CCCCCC"/>
          </w:tcPr>
          <w:p w14:paraId="20E460E6" w14:textId="77777777" w:rsidR="00FF62BD" w:rsidRPr="00FF62BD" w:rsidRDefault="00FF62BD" w:rsidP="00FF62BD">
            <w:pPr>
              <w:widowControl w:val="0"/>
              <w:suppressLineNumbers/>
              <w:suppressAutoHyphens/>
              <w:spacing w:after="0" w:line="240" w:lineRule="auto"/>
              <w:jc w:val="center"/>
              <w:rPr>
                <w:rFonts w:ascii="Arial" w:hAnsi="Arial" w:cs="Arial"/>
                <w:kern w:val="1"/>
                <w:sz w:val="20"/>
                <w:szCs w:val="20"/>
                <w:lang w:val="ro-RO" w:eastAsia="zh-CN" w:bidi="hi-IN"/>
              </w:rPr>
            </w:pPr>
            <w:r w:rsidRPr="00FF62BD">
              <w:rPr>
                <w:rFonts w:ascii="Arial" w:hAnsi="Arial" w:cs="Arial"/>
                <w:kern w:val="1"/>
                <w:sz w:val="20"/>
                <w:szCs w:val="20"/>
                <w:lang w:val="ro-RO" w:eastAsia="zh-CN" w:bidi="hi-IN"/>
              </w:rPr>
              <w:lastRenderedPageBreak/>
              <w:t>2019</w:t>
            </w:r>
          </w:p>
        </w:tc>
        <w:tc>
          <w:tcPr>
            <w:tcW w:w="1956" w:type="dxa"/>
            <w:shd w:val="clear" w:color="auto" w:fill="auto"/>
            <w:vAlign w:val="bottom"/>
          </w:tcPr>
          <w:p w14:paraId="74660C9A" w14:textId="77777777" w:rsidR="00FF62BD" w:rsidRPr="00FF62BD" w:rsidRDefault="00FF62BD" w:rsidP="00FF62BD">
            <w:pPr>
              <w:widowControl w:val="0"/>
              <w:suppressAutoHyphens/>
              <w:spacing w:after="0" w:line="240" w:lineRule="auto"/>
              <w:jc w:val="center"/>
              <w:rPr>
                <w:rFonts w:ascii="Arial" w:hAnsi="Arial" w:cs="Arial"/>
                <w:color w:val="000000"/>
                <w:kern w:val="1"/>
                <w:sz w:val="20"/>
                <w:szCs w:val="20"/>
                <w:lang w:val="ro-RO" w:eastAsia="hi-IN" w:bidi="hi-IN"/>
              </w:rPr>
            </w:pPr>
            <w:r w:rsidRPr="00FF62BD">
              <w:rPr>
                <w:rFonts w:ascii="Arial" w:hAnsi="Arial" w:cs="Arial"/>
                <w:color w:val="000000"/>
                <w:kern w:val="1"/>
                <w:sz w:val="20"/>
                <w:szCs w:val="20"/>
                <w:lang w:val="ro-RO" w:eastAsia="hi-IN" w:bidi="hi-IN"/>
              </w:rPr>
              <w:t>11</w:t>
            </w:r>
          </w:p>
        </w:tc>
        <w:tc>
          <w:tcPr>
            <w:tcW w:w="1956" w:type="dxa"/>
            <w:shd w:val="clear" w:color="auto" w:fill="auto"/>
            <w:vAlign w:val="bottom"/>
          </w:tcPr>
          <w:p w14:paraId="09FE60DE" w14:textId="77777777" w:rsidR="00FF62BD" w:rsidRPr="00FF62BD" w:rsidRDefault="00FF62BD" w:rsidP="00FF62BD">
            <w:pPr>
              <w:widowControl w:val="0"/>
              <w:suppressAutoHyphens/>
              <w:spacing w:after="0" w:line="240" w:lineRule="auto"/>
              <w:jc w:val="center"/>
              <w:rPr>
                <w:rFonts w:ascii="Arial" w:hAnsi="Arial" w:cs="Arial"/>
                <w:color w:val="000000"/>
                <w:kern w:val="1"/>
                <w:sz w:val="20"/>
                <w:szCs w:val="20"/>
                <w:lang w:val="ro-RO" w:eastAsia="hi-IN" w:bidi="hi-IN"/>
              </w:rPr>
            </w:pPr>
            <w:r w:rsidRPr="00FF62BD">
              <w:rPr>
                <w:rFonts w:ascii="Arial" w:hAnsi="Arial" w:cs="Arial"/>
                <w:color w:val="000000"/>
                <w:kern w:val="1"/>
                <w:sz w:val="20"/>
                <w:szCs w:val="20"/>
                <w:lang w:val="ro-RO" w:eastAsia="hi-IN" w:bidi="hi-IN"/>
              </w:rPr>
              <w:t>71</w:t>
            </w:r>
          </w:p>
        </w:tc>
        <w:tc>
          <w:tcPr>
            <w:tcW w:w="1300" w:type="dxa"/>
            <w:vAlign w:val="bottom"/>
          </w:tcPr>
          <w:p w14:paraId="7ED6CDEE" w14:textId="77777777" w:rsidR="00FF62BD" w:rsidRPr="00FF62BD" w:rsidRDefault="00FF62BD" w:rsidP="00FF62BD">
            <w:pPr>
              <w:widowControl w:val="0"/>
              <w:suppressAutoHyphens/>
              <w:spacing w:after="0" w:line="240" w:lineRule="auto"/>
              <w:jc w:val="center"/>
              <w:rPr>
                <w:rFonts w:ascii="Arial" w:hAnsi="Arial" w:cs="Arial"/>
                <w:b/>
                <w:color w:val="000000"/>
                <w:kern w:val="1"/>
                <w:sz w:val="20"/>
                <w:szCs w:val="20"/>
                <w:lang w:val="ro-RO" w:eastAsia="hi-IN" w:bidi="hi-IN"/>
              </w:rPr>
            </w:pPr>
            <w:r w:rsidRPr="00FF62BD">
              <w:rPr>
                <w:rFonts w:ascii="Arial" w:hAnsi="Arial" w:cs="Arial"/>
                <w:b/>
                <w:color w:val="000000"/>
                <w:kern w:val="1"/>
                <w:sz w:val="20"/>
                <w:szCs w:val="20"/>
                <w:lang w:val="ro-RO" w:eastAsia="hi-IN" w:bidi="hi-IN"/>
              </w:rPr>
              <w:t>82</w:t>
            </w:r>
          </w:p>
        </w:tc>
      </w:tr>
      <w:tr w:rsidR="00FF62BD" w:rsidRPr="00FF62BD" w14:paraId="1143BD1B" w14:textId="77777777" w:rsidTr="00C735D2">
        <w:trPr>
          <w:jc w:val="center"/>
        </w:trPr>
        <w:tc>
          <w:tcPr>
            <w:tcW w:w="990" w:type="dxa"/>
            <w:shd w:val="clear" w:color="auto" w:fill="CCCCCC"/>
          </w:tcPr>
          <w:p w14:paraId="548B9D04" w14:textId="77777777" w:rsidR="00FF62BD" w:rsidRPr="00FF62BD" w:rsidRDefault="00FF62BD" w:rsidP="00FF62BD">
            <w:pPr>
              <w:widowControl w:val="0"/>
              <w:suppressLineNumbers/>
              <w:suppressAutoHyphens/>
              <w:spacing w:after="0" w:line="240" w:lineRule="auto"/>
              <w:jc w:val="center"/>
              <w:rPr>
                <w:rFonts w:ascii="Arial" w:hAnsi="Arial" w:cs="Arial"/>
                <w:kern w:val="1"/>
                <w:sz w:val="20"/>
                <w:szCs w:val="20"/>
                <w:lang w:val="ro-RO" w:eastAsia="zh-CN" w:bidi="hi-IN"/>
              </w:rPr>
            </w:pPr>
            <w:r w:rsidRPr="00FF62BD">
              <w:rPr>
                <w:rFonts w:ascii="Arial" w:hAnsi="Arial" w:cs="Arial"/>
                <w:kern w:val="1"/>
                <w:sz w:val="20"/>
                <w:szCs w:val="20"/>
                <w:lang w:val="ro-RO" w:eastAsia="zh-CN" w:bidi="hi-IN"/>
              </w:rPr>
              <w:t>2020</w:t>
            </w:r>
          </w:p>
        </w:tc>
        <w:tc>
          <w:tcPr>
            <w:tcW w:w="1956" w:type="dxa"/>
            <w:shd w:val="clear" w:color="auto" w:fill="auto"/>
            <w:vAlign w:val="bottom"/>
          </w:tcPr>
          <w:p w14:paraId="0B139865" w14:textId="77777777" w:rsidR="00FF62BD" w:rsidRPr="00FF62BD" w:rsidRDefault="00FF62BD" w:rsidP="00FF62BD">
            <w:pPr>
              <w:widowControl w:val="0"/>
              <w:suppressAutoHyphens/>
              <w:spacing w:after="0" w:line="240" w:lineRule="auto"/>
              <w:jc w:val="center"/>
              <w:rPr>
                <w:rFonts w:ascii="Arial" w:hAnsi="Arial" w:cs="Arial"/>
                <w:color w:val="000000"/>
                <w:kern w:val="1"/>
                <w:sz w:val="20"/>
                <w:szCs w:val="20"/>
                <w:lang w:val="ro-RO" w:eastAsia="hi-IN" w:bidi="hi-IN"/>
              </w:rPr>
            </w:pPr>
            <w:r w:rsidRPr="00FF62BD">
              <w:rPr>
                <w:rFonts w:ascii="Arial" w:hAnsi="Arial" w:cs="Arial"/>
                <w:color w:val="000000"/>
                <w:kern w:val="1"/>
                <w:sz w:val="20"/>
                <w:szCs w:val="20"/>
                <w:lang w:val="ro-RO" w:eastAsia="hi-IN" w:bidi="hi-IN"/>
              </w:rPr>
              <w:t>9</w:t>
            </w:r>
          </w:p>
        </w:tc>
        <w:tc>
          <w:tcPr>
            <w:tcW w:w="1956" w:type="dxa"/>
            <w:shd w:val="clear" w:color="auto" w:fill="auto"/>
            <w:vAlign w:val="bottom"/>
          </w:tcPr>
          <w:p w14:paraId="09CA0A6D" w14:textId="77777777" w:rsidR="00FF62BD" w:rsidRPr="00FF62BD" w:rsidRDefault="00FF62BD" w:rsidP="00FF62BD">
            <w:pPr>
              <w:widowControl w:val="0"/>
              <w:suppressAutoHyphens/>
              <w:spacing w:after="0" w:line="240" w:lineRule="auto"/>
              <w:jc w:val="center"/>
              <w:rPr>
                <w:rFonts w:ascii="Arial" w:hAnsi="Arial" w:cs="Arial"/>
                <w:color w:val="000000"/>
                <w:kern w:val="1"/>
                <w:sz w:val="20"/>
                <w:szCs w:val="20"/>
                <w:lang w:val="ro-RO" w:eastAsia="hi-IN" w:bidi="hi-IN"/>
              </w:rPr>
            </w:pPr>
            <w:r w:rsidRPr="00FF62BD">
              <w:rPr>
                <w:rFonts w:ascii="Arial" w:hAnsi="Arial" w:cs="Arial"/>
                <w:color w:val="000000"/>
                <w:kern w:val="1"/>
                <w:sz w:val="20"/>
                <w:szCs w:val="20"/>
                <w:lang w:val="ro-RO" w:eastAsia="hi-IN" w:bidi="hi-IN"/>
              </w:rPr>
              <w:t>66</w:t>
            </w:r>
          </w:p>
        </w:tc>
        <w:tc>
          <w:tcPr>
            <w:tcW w:w="1300" w:type="dxa"/>
            <w:vAlign w:val="bottom"/>
          </w:tcPr>
          <w:p w14:paraId="26FE9FC3" w14:textId="77777777" w:rsidR="00FF62BD" w:rsidRPr="00FF62BD" w:rsidRDefault="00FF62BD" w:rsidP="00FF62BD">
            <w:pPr>
              <w:widowControl w:val="0"/>
              <w:suppressAutoHyphens/>
              <w:spacing w:after="0" w:line="240" w:lineRule="auto"/>
              <w:jc w:val="center"/>
              <w:rPr>
                <w:rFonts w:ascii="Arial" w:hAnsi="Arial" w:cs="Arial"/>
                <w:b/>
                <w:color w:val="000000"/>
                <w:kern w:val="1"/>
                <w:sz w:val="20"/>
                <w:szCs w:val="20"/>
                <w:lang w:val="ro-RO" w:eastAsia="hi-IN" w:bidi="hi-IN"/>
              </w:rPr>
            </w:pPr>
            <w:r w:rsidRPr="00FF62BD">
              <w:rPr>
                <w:rFonts w:ascii="Arial" w:hAnsi="Arial" w:cs="Arial"/>
                <w:b/>
                <w:color w:val="000000"/>
                <w:kern w:val="1"/>
                <w:sz w:val="20"/>
                <w:szCs w:val="20"/>
                <w:lang w:val="ro-RO" w:eastAsia="hi-IN" w:bidi="hi-IN"/>
              </w:rPr>
              <w:t>75</w:t>
            </w:r>
          </w:p>
        </w:tc>
      </w:tr>
      <w:tr w:rsidR="00FF62BD" w:rsidRPr="00FF62BD" w14:paraId="3F994B22" w14:textId="77777777" w:rsidTr="00C735D2">
        <w:trPr>
          <w:jc w:val="center"/>
        </w:trPr>
        <w:tc>
          <w:tcPr>
            <w:tcW w:w="990" w:type="dxa"/>
            <w:shd w:val="clear" w:color="auto" w:fill="CCCCCC"/>
          </w:tcPr>
          <w:p w14:paraId="6EBA704D" w14:textId="77777777" w:rsidR="00FF62BD" w:rsidRPr="00FF62BD" w:rsidRDefault="00FF62BD" w:rsidP="00FF62BD">
            <w:pPr>
              <w:widowControl w:val="0"/>
              <w:suppressLineNumbers/>
              <w:suppressAutoHyphens/>
              <w:spacing w:after="0" w:line="240" w:lineRule="auto"/>
              <w:jc w:val="center"/>
              <w:rPr>
                <w:rFonts w:ascii="Arial" w:hAnsi="Arial" w:cs="Arial"/>
                <w:kern w:val="1"/>
                <w:sz w:val="20"/>
                <w:szCs w:val="20"/>
                <w:lang w:val="ro-RO" w:eastAsia="zh-CN" w:bidi="hi-IN"/>
              </w:rPr>
            </w:pPr>
            <w:r w:rsidRPr="00FF62BD">
              <w:rPr>
                <w:rFonts w:ascii="Arial" w:hAnsi="Arial" w:cs="Arial"/>
                <w:kern w:val="1"/>
                <w:sz w:val="20"/>
                <w:szCs w:val="20"/>
                <w:lang w:val="ro-RO" w:eastAsia="zh-CN" w:bidi="hi-IN"/>
              </w:rPr>
              <w:t>2021*</w:t>
            </w:r>
          </w:p>
        </w:tc>
        <w:tc>
          <w:tcPr>
            <w:tcW w:w="1956" w:type="dxa"/>
            <w:shd w:val="clear" w:color="auto" w:fill="auto"/>
            <w:vAlign w:val="bottom"/>
          </w:tcPr>
          <w:p w14:paraId="01731C5C" w14:textId="77777777" w:rsidR="00FF62BD" w:rsidRPr="00FF62BD" w:rsidRDefault="00FF62BD" w:rsidP="00FF62BD">
            <w:pPr>
              <w:widowControl w:val="0"/>
              <w:suppressAutoHyphens/>
              <w:spacing w:after="0" w:line="240" w:lineRule="auto"/>
              <w:jc w:val="center"/>
              <w:rPr>
                <w:rFonts w:ascii="Arial" w:hAnsi="Arial" w:cs="Arial"/>
                <w:color w:val="000000"/>
                <w:kern w:val="1"/>
                <w:sz w:val="20"/>
                <w:szCs w:val="20"/>
                <w:lang w:val="ro-RO" w:eastAsia="hi-IN" w:bidi="hi-IN"/>
              </w:rPr>
            </w:pPr>
            <w:r w:rsidRPr="00FF62BD">
              <w:rPr>
                <w:rFonts w:ascii="Arial" w:hAnsi="Arial" w:cs="Arial"/>
                <w:color w:val="000000"/>
                <w:kern w:val="1"/>
                <w:sz w:val="20"/>
                <w:szCs w:val="20"/>
                <w:lang w:val="ro-RO" w:eastAsia="hi-IN" w:bidi="hi-IN"/>
              </w:rPr>
              <w:t>11</w:t>
            </w:r>
          </w:p>
        </w:tc>
        <w:tc>
          <w:tcPr>
            <w:tcW w:w="1956" w:type="dxa"/>
            <w:shd w:val="clear" w:color="auto" w:fill="auto"/>
            <w:vAlign w:val="bottom"/>
          </w:tcPr>
          <w:p w14:paraId="38139591" w14:textId="77777777" w:rsidR="00FF62BD" w:rsidRPr="00FF62BD" w:rsidRDefault="00FF62BD" w:rsidP="00FF62BD">
            <w:pPr>
              <w:widowControl w:val="0"/>
              <w:suppressAutoHyphens/>
              <w:spacing w:after="0" w:line="240" w:lineRule="auto"/>
              <w:jc w:val="center"/>
              <w:rPr>
                <w:rFonts w:ascii="Arial" w:hAnsi="Arial" w:cs="Arial"/>
                <w:color w:val="000000"/>
                <w:kern w:val="1"/>
                <w:sz w:val="20"/>
                <w:szCs w:val="20"/>
                <w:lang w:val="ro-RO" w:eastAsia="hi-IN" w:bidi="hi-IN"/>
              </w:rPr>
            </w:pPr>
            <w:r w:rsidRPr="00FF62BD">
              <w:rPr>
                <w:rFonts w:ascii="Arial" w:hAnsi="Arial" w:cs="Arial"/>
                <w:color w:val="000000"/>
                <w:kern w:val="1"/>
                <w:sz w:val="20"/>
                <w:szCs w:val="20"/>
                <w:lang w:val="ro-RO" w:eastAsia="hi-IN" w:bidi="hi-IN"/>
              </w:rPr>
              <w:t>73</w:t>
            </w:r>
          </w:p>
        </w:tc>
        <w:tc>
          <w:tcPr>
            <w:tcW w:w="1300" w:type="dxa"/>
            <w:vAlign w:val="bottom"/>
          </w:tcPr>
          <w:p w14:paraId="625DB298" w14:textId="77777777" w:rsidR="00FF62BD" w:rsidRPr="00FF62BD" w:rsidRDefault="00FF62BD" w:rsidP="00FF62BD">
            <w:pPr>
              <w:widowControl w:val="0"/>
              <w:suppressAutoHyphens/>
              <w:spacing w:after="0" w:line="240" w:lineRule="auto"/>
              <w:jc w:val="center"/>
              <w:rPr>
                <w:rFonts w:ascii="Arial" w:hAnsi="Arial" w:cs="Arial"/>
                <w:b/>
                <w:color w:val="000000"/>
                <w:kern w:val="1"/>
                <w:sz w:val="20"/>
                <w:szCs w:val="20"/>
                <w:lang w:val="ro-RO" w:eastAsia="hi-IN" w:bidi="hi-IN"/>
              </w:rPr>
            </w:pPr>
            <w:r w:rsidRPr="00FF62BD">
              <w:rPr>
                <w:rFonts w:ascii="Arial" w:hAnsi="Arial" w:cs="Arial"/>
                <w:b/>
                <w:color w:val="000000"/>
                <w:kern w:val="1"/>
                <w:sz w:val="20"/>
                <w:szCs w:val="20"/>
                <w:lang w:val="ro-RO" w:eastAsia="hi-IN" w:bidi="hi-IN"/>
              </w:rPr>
              <w:t>84</w:t>
            </w:r>
          </w:p>
        </w:tc>
      </w:tr>
    </w:tbl>
    <w:p w14:paraId="76E42FFD" w14:textId="77777777" w:rsidR="00FF62BD" w:rsidRPr="00FF62BD" w:rsidRDefault="00FF62BD" w:rsidP="00FF62BD">
      <w:pPr>
        <w:suppressAutoHyphens/>
        <w:autoSpaceDE w:val="0"/>
        <w:spacing w:after="0" w:line="360" w:lineRule="auto"/>
        <w:ind w:left="1440" w:firstLine="720"/>
        <w:rPr>
          <w:rFonts w:ascii="Arial" w:eastAsia="Calibri" w:hAnsi="Arial" w:cs="Arial"/>
          <w:color w:val="000000"/>
          <w:sz w:val="16"/>
          <w:szCs w:val="16"/>
          <w:lang w:val="es-ES" w:eastAsia="zh-CN"/>
        </w:rPr>
      </w:pPr>
      <w:r w:rsidRPr="00FF62BD">
        <w:rPr>
          <w:rFonts w:ascii="Arial" w:eastAsia="Calibri" w:hAnsi="Arial" w:cs="Arial"/>
          <w:color w:val="000000"/>
          <w:sz w:val="16"/>
          <w:szCs w:val="16"/>
          <w:lang w:val="es-ES" w:eastAsia="zh-CN"/>
        </w:rPr>
        <w:t>* 01.01-31.10.2021</w:t>
      </w:r>
    </w:p>
    <w:p w14:paraId="2B11F88B" w14:textId="77777777" w:rsidR="00FF62BD" w:rsidRPr="00FF62BD" w:rsidRDefault="00FF62BD" w:rsidP="00FF62BD">
      <w:pPr>
        <w:suppressAutoHyphens/>
        <w:autoSpaceDE w:val="0"/>
        <w:spacing w:after="0" w:line="360" w:lineRule="auto"/>
        <w:ind w:left="1440" w:firstLine="720"/>
        <w:rPr>
          <w:rFonts w:ascii="Arial" w:eastAsia="Calibri" w:hAnsi="Arial" w:cs="Arial"/>
          <w:color w:val="000000"/>
          <w:sz w:val="24"/>
          <w:szCs w:val="24"/>
          <w:lang w:val="es-ES" w:eastAsia="zh-CN"/>
        </w:rPr>
      </w:pPr>
      <w:r w:rsidRPr="00FF62BD">
        <w:rPr>
          <w:rFonts w:ascii="Arial" w:eastAsia="Calibri" w:hAnsi="Arial" w:cs="Arial"/>
          <w:color w:val="000000"/>
          <w:sz w:val="16"/>
          <w:szCs w:val="16"/>
          <w:lang w:val="es-ES" w:eastAsia="zh-CN"/>
        </w:rPr>
        <w:t>Sursa: Poliția Orasului Horezu</w:t>
      </w:r>
    </w:p>
    <w:p w14:paraId="6B78BB3E" w14:textId="77777777" w:rsidR="00FF62BD" w:rsidRPr="00FF62BD" w:rsidRDefault="00FF62BD" w:rsidP="00FF62BD">
      <w:pPr>
        <w:suppressAutoHyphens/>
        <w:autoSpaceDE w:val="0"/>
        <w:spacing w:after="0" w:line="360" w:lineRule="auto"/>
        <w:jc w:val="both"/>
        <w:rPr>
          <w:rFonts w:ascii="Arial" w:eastAsia="Calibri" w:hAnsi="Arial" w:cs="Arial"/>
          <w:color w:val="000000"/>
          <w:sz w:val="24"/>
          <w:szCs w:val="24"/>
          <w:lang w:val="es-ES" w:eastAsia="zh-CN"/>
        </w:rPr>
      </w:pPr>
    </w:p>
    <w:p w14:paraId="11B4360F" w14:textId="77777777" w:rsidR="00FF62BD" w:rsidRPr="00FF62BD" w:rsidRDefault="00FF62BD" w:rsidP="00FF62BD">
      <w:pPr>
        <w:suppressAutoHyphens/>
        <w:autoSpaceDE w:val="0"/>
        <w:spacing w:after="0" w:line="360" w:lineRule="auto"/>
        <w:jc w:val="center"/>
        <w:rPr>
          <w:rFonts w:ascii="Arial" w:eastAsia="Calibri" w:hAnsi="Arial" w:cs="Arial"/>
          <w:color w:val="000000"/>
          <w:sz w:val="24"/>
          <w:szCs w:val="24"/>
          <w:lang w:eastAsia="zh-CN"/>
        </w:rPr>
      </w:pPr>
      <w:r w:rsidRPr="00FF62BD">
        <w:rPr>
          <w:rFonts w:ascii="Calibri" w:hAnsi="Calibri" w:cs="Times New Roman"/>
          <w:noProof/>
        </w:rPr>
        <w:drawing>
          <wp:inline distT="0" distB="0" distL="0" distR="0" wp14:anchorId="4A46E7F5" wp14:editId="4AD57E40">
            <wp:extent cx="4572000" cy="2743200"/>
            <wp:effectExtent l="0" t="0" r="0" b="0"/>
            <wp:docPr id="223" name="Chart 2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498A8CBB" w14:textId="77777777" w:rsidR="00FF62BD" w:rsidRPr="00FF62BD" w:rsidRDefault="00FF62BD" w:rsidP="00FF62BD">
      <w:pPr>
        <w:suppressAutoHyphens/>
        <w:autoSpaceDE w:val="0"/>
        <w:spacing w:after="0" w:line="360" w:lineRule="auto"/>
        <w:jc w:val="both"/>
        <w:rPr>
          <w:rFonts w:ascii="Arial" w:eastAsia="Calibri" w:hAnsi="Arial" w:cs="Arial"/>
          <w:color w:val="000000"/>
          <w:sz w:val="24"/>
          <w:szCs w:val="24"/>
          <w:lang w:eastAsia="zh-CN"/>
        </w:rPr>
      </w:pPr>
    </w:p>
    <w:p w14:paraId="6345AD03" w14:textId="77777777" w:rsidR="00FF62BD" w:rsidRPr="00FF62BD" w:rsidRDefault="00FF62BD" w:rsidP="00FF62BD">
      <w:pPr>
        <w:suppressAutoHyphens/>
        <w:autoSpaceDE w:val="0"/>
        <w:spacing w:after="0" w:line="360" w:lineRule="auto"/>
        <w:jc w:val="center"/>
        <w:rPr>
          <w:rFonts w:ascii="Arial" w:eastAsia="Calibri" w:hAnsi="Arial" w:cs="Arial"/>
          <w:color w:val="000000"/>
          <w:sz w:val="24"/>
          <w:szCs w:val="24"/>
          <w:lang w:eastAsia="zh-CN"/>
        </w:rPr>
      </w:pPr>
      <w:r w:rsidRPr="00FF62BD">
        <w:rPr>
          <w:rFonts w:ascii="Calibri" w:hAnsi="Calibri" w:cs="Times New Roman"/>
          <w:noProof/>
        </w:rPr>
        <w:drawing>
          <wp:inline distT="0" distB="0" distL="0" distR="0" wp14:anchorId="5BE17256" wp14:editId="2864CD90">
            <wp:extent cx="4572000" cy="2743200"/>
            <wp:effectExtent l="0" t="0" r="0" b="0"/>
            <wp:docPr id="2081" name="Chart 20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030B2615" w14:textId="77777777" w:rsidR="00FF62BD" w:rsidRPr="00FF62BD" w:rsidRDefault="00FF62BD" w:rsidP="00FF62BD">
      <w:pPr>
        <w:suppressAutoHyphens/>
        <w:autoSpaceDE w:val="0"/>
        <w:spacing w:after="0" w:line="360" w:lineRule="auto"/>
        <w:jc w:val="center"/>
        <w:rPr>
          <w:rFonts w:ascii="Arial" w:eastAsia="Calibri" w:hAnsi="Arial" w:cs="Arial"/>
          <w:color w:val="000000"/>
          <w:sz w:val="24"/>
          <w:szCs w:val="24"/>
          <w:lang w:eastAsia="zh-CN"/>
        </w:rPr>
      </w:pPr>
    </w:p>
    <w:p w14:paraId="5DC0ACDF" w14:textId="77777777" w:rsidR="00FF62BD" w:rsidRPr="00FF62BD" w:rsidRDefault="00FF62BD" w:rsidP="00FF62BD">
      <w:pPr>
        <w:suppressAutoHyphens/>
        <w:autoSpaceDE w:val="0"/>
        <w:spacing w:after="0" w:line="360" w:lineRule="auto"/>
        <w:jc w:val="center"/>
        <w:rPr>
          <w:rFonts w:ascii="Arial" w:eastAsia="Calibri" w:hAnsi="Arial" w:cs="Arial"/>
          <w:color w:val="000000"/>
          <w:sz w:val="24"/>
          <w:szCs w:val="24"/>
          <w:lang w:eastAsia="zh-CN"/>
        </w:rPr>
      </w:pPr>
      <w:r w:rsidRPr="00FF62BD">
        <w:rPr>
          <w:rFonts w:ascii="Calibri" w:hAnsi="Calibri" w:cs="Times New Roman"/>
          <w:noProof/>
        </w:rPr>
        <w:lastRenderedPageBreak/>
        <w:drawing>
          <wp:inline distT="0" distB="0" distL="0" distR="0" wp14:anchorId="6AAC6AE4" wp14:editId="738D9BA5">
            <wp:extent cx="4572000" cy="2743200"/>
            <wp:effectExtent l="0" t="0" r="19050" b="19050"/>
            <wp:docPr id="2080" name="Chart 20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43B4DE86" w14:textId="64734FAA" w:rsidR="00FF62BD" w:rsidRPr="00770D30" w:rsidRDefault="00770D30" w:rsidP="00770D30">
      <w:pPr>
        <w:pStyle w:val="Legend"/>
        <w:jc w:val="center"/>
        <w:rPr>
          <w:rFonts w:ascii="Arial" w:eastAsia="Calibri" w:hAnsi="Arial" w:cs="Arial"/>
          <w:i w:val="0"/>
          <w:iCs w:val="0"/>
          <w:color w:val="000000"/>
          <w:sz w:val="22"/>
          <w:szCs w:val="22"/>
          <w:lang w:val="es-ES" w:eastAsia="zh-CN"/>
        </w:rPr>
      </w:pPr>
      <w:bookmarkStart w:id="371" w:name="_Toc68361086"/>
      <w:bookmarkStart w:id="372" w:name="_Toc96447343"/>
      <w:r w:rsidRPr="00770D30">
        <w:rPr>
          <w:rFonts w:ascii="Arial" w:hAnsi="Arial" w:cs="Arial"/>
          <w:sz w:val="22"/>
          <w:szCs w:val="22"/>
        </w:rPr>
        <w:t xml:space="preserve">Figura I.4. </w:t>
      </w:r>
      <w:r w:rsidRPr="00770D30">
        <w:rPr>
          <w:rFonts w:ascii="Arial" w:hAnsi="Arial" w:cs="Arial"/>
          <w:sz w:val="22"/>
          <w:szCs w:val="22"/>
        </w:rPr>
        <w:fldChar w:fldCharType="begin"/>
      </w:r>
      <w:r w:rsidRPr="00770D30">
        <w:rPr>
          <w:rFonts w:ascii="Arial" w:hAnsi="Arial" w:cs="Arial"/>
          <w:sz w:val="22"/>
          <w:szCs w:val="22"/>
        </w:rPr>
        <w:instrText xml:space="preserve"> SEQ Figura_I.4. \* ARABIC </w:instrText>
      </w:r>
      <w:r w:rsidRPr="00770D30">
        <w:rPr>
          <w:rFonts w:ascii="Arial" w:hAnsi="Arial" w:cs="Arial"/>
          <w:sz w:val="22"/>
          <w:szCs w:val="22"/>
        </w:rPr>
        <w:fldChar w:fldCharType="separate"/>
      </w:r>
      <w:r w:rsidR="00BB181C">
        <w:rPr>
          <w:rFonts w:ascii="Arial" w:hAnsi="Arial" w:cs="Arial"/>
          <w:noProof/>
          <w:sz w:val="22"/>
          <w:szCs w:val="22"/>
        </w:rPr>
        <w:t>10</w:t>
      </w:r>
      <w:r w:rsidRPr="00770D30">
        <w:rPr>
          <w:rFonts w:ascii="Arial" w:hAnsi="Arial" w:cs="Arial"/>
          <w:sz w:val="22"/>
          <w:szCs w:val="22"/>
        </w:rPr>
        <w:fldChar w:fldCharType="end"/>
      </w:r>
      <w:r w:rsidRPr="00770D30">
        <w:rPr>
          <w:rFonts w:ascii="Arial" w:hAnsi="Arial" w:cs="Arial"/>
          <w:sz w:val="22"/>
          <w:szCs w:val="22"/>
        </w:rPr>
        <w:t xml:space="preserve"> </w:t>
      </w:r>
      <w:r w:rsidR="00FF62BD" w:rsidRPr="00770D30">
        <w:rPr>
          <w:rFonts w:ascii="Arial" w:hAnsi="Arial" w:cs="Arial"/>
          <w:color w:val="1F497D"/>
          <w:sz w:val="22"/>
          <w:szCs w:val="22"/>
        </w:rPr>
        <w:t xml:space="preserve">- </w:t>
      </w:r>
      <w:r w:rsidR="00FF62BD" w:rsidRPr="00770D30">
        <w:rPr>
          <w:rFonts w:ascii="Arial" w:hAnsi="Arial" w:cs="Arial"/>
          <w:i w:val="0"/>
          <w:iCs w:val="0"/>
          <w:color w:val="1F497D"/>
          <w:sz w:val="22"/>
          <w:szCs w:val="22"/>
        </w:rPr>
        <w:t xml:space="preserve">Evoluția numărului de accidente din zona urbană </w:t>
      </w:r>
      <w:bookmarkEnd w:id="371"/>
      <w:r w:rsidR="00FF62BD" w:rsidRPr="00770D30">
        <w:rPr>
          <w:rFonts w:ascii="Arial" w:hAnsi="Arial" w:cs="Arial"/>
          <w:i w:val="0"/>
          <w:iCs w:val="0"/>
          <w:color w:val="1F497D"/>
          <w:sz w:val="22"/>
          <w:szCs w:val="22"/>
        </w:rPr>
        <w:t>Horezu</w:t>
      </w:r>
      <w:bookmarkEnd w:id="372"/>
    </w:p>
    <w:p w14:paraId="0CC9A0A9" w14:textId="77777777" w:rsidR="00FF62BD" w:rsidRPr="00FF62BD" w:rsidRDefault="00FF62BD" w:rsidP="00FF62BD">
      <w:pPr>
        <w:suppressAutoHyphens/>
        <w:autoSpaceDE w:val="0"/>
        <w:spacing w:after="0" w:line="360" w:lineRule="auto"/>
        <w:rPr>
          <w:rFonts w:ascii="Arial" w:eastAsia="Calibri" w:hAnsi="Arial" w:cs="Arial"/>
          <w:color w:val="000000"/>
          <w:sz w:val="24"/>
          <w:szCs w:val="24"/>
          <w:lang w:val="es-ES" w:eastAsia="zh-CN"/>
        </w:rPr>
      </w:pPr>
    </w:p>
    <w:p w14:paraId="2E252F0A"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Pentru ultimii 4 ani se pot trage următoarele concluzii (a se vedea şi tabelul I.4.9):</w:t>
      </w:r>
    </w:p>
    <w:p w14:paraId="638A5C96" w14:textId="77777777" w:rsidR="00FF62BD" w:rsidRPr="00FF62BD" w:rsidRDefault="00FF62BD" w:rsidP="000C6CB8">
      <w:pPr>
        <w:numPr>
          <w:ilvl w:val="0"/>
          <w:numId w:val="158"/>
        </w:num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numărul total al accidentelor rutiere a avut o tendita oscilanta in perioada 2018-2021, lucru valabil si pentru accidentele cu victime omenesti si pentru cele soldate doar cu pagube materiale;</w:t>
      </w:r>
    </w:p>
    <w:p w14:paraId="4E0ECB0C" w14:textId="77777777" w:rsidR="00FF62BD" w:rsidRPr="00FF62BD" w:rsidRDefault="00FF62BD" w:rsidP="000C6CB8">
      <w:pPr>
        <w:numPr>
          <w:ilvl w:val="0"/>
          <w:numId w:val="158"/>
        </w:num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lucrul ingrijorator este ca numarul cel mai mare de accidente s-a inregistrat in anul 2021, chiar daca in statistica sunt luate in considerare doar primele 10 luni ale anului;</w:t>
      </w:r>
    </w:p>
    <w:p w14:paraId="28905C0F" w14:textId="77777777" w:rsidR="00FF62BD" w:rsidRPr="00FF62BD" w:rsidRDefault="00FF62BD" w:rsidP="000C6CB8">
      <w:pPr>
        <w:numPr>
          <w:ilvl w:val="0"/>
          <w:numId w:val="158"/>
        </w:numPr>
        <w:suppressAutoHyphens/>
        <w:autoSpaceDE w:val="0"/>
        <w:autoSpaceDN w:val="0"/>
        <w:adjustRightInd w:val="0"/>
        <w:spacing w:after="0" w:line="276" w:lineRule="auto"/>
        <w:jc w:val="both"/>
        <w:rPr>
          <w:rFonts w:ascii="Arial" w:eastAsia="Times New Roman" w:hAnsi="Arial" w:cs="Arial"/>
          <w:color w:val="000000"/>
          <w:lang w:val="es-ES" w:eastAsia="zh-CN"/>
        </w:rPr>
      </w:pPr>
      <w:r w:rsidRPr="00FF62BD">
        <w:rPr>
          <w:rFonts w:ascii="Arial" w:eastAsia="Times New Roman" w:hAnsi="Arial" w:cs="Arial"/>
          <w:color w:val="000000"/>
          <w:lang w:val="es-ES" w:eastAsia="zh-CN"/>
        </w:rPr>
        <w:t xml:space="preserve">principalele cauze de producere a accidentelor rutiere au fost: </w:t>
      </w:r>
    </w:p>
    <w:p w14:paraId="452876FA" w14:textId="77777777" w:rsidR="00FF62BD" w:rsidRPr="00FF62BD" w:rsidRDefault="00FF62BD" w:rsidP="000C6CB8">
      <w:pPr>
        <w:numPr>
          <w:ilvl w:val="0"/>
          <w:numId w:val="201"/>
        </w:numPr>
        <w:suppressAutoHyphens/>
        <w:autoSpaceDE w:val="0"/>
        <w:autoSpaceDN w:val="0"/>
        <w:adjustRightInd w:val="0"/>
        <w:spacing w:after="0" w:line="276" w:lineRule="auto"/>
        <w:jc w:val="both"/>
        <w:rPr>
          <w:rFonts w:ascii="Arial" w:eastAsia="Times New Roman" w:hAnsi="Arial" w:cs="Arial"/>
          <w:color w:val="000000"/>
          <w:lang w:val="es-ES" w:eastAsia="zh-CN"/>
        </w:rPr>
      </w:pPr>
      <w:r w:rsidRPr="00FF62BD">
        <w:rPr>
          <w:rFonts w:ascii="Arial" w:eastAsia="Times New Roman" w:hAnsi="Arial" w:cs="Arial"/>
          <w:bCs/>
          <w:color w:val="000000"/>
          <w:lang w:val="es-ES" w:eastAsia="zh-CN"/>
        </w:rPr>
        <w:t>Neacordare prioritate vehicule</w:t>
      </w:r>
      <w:r w:rsidRPr="00FF62BD">
        <w:rPr>
          <w:rFonts w:ascii="Arial" w:eastAsia="Times New Roman" w:hAnsi="Arial" w:cs="Arial"/>
          <w:color w:val="000000"/>
          <w:lang w:val="es-ES" w:eastAsia="zh-CN"/>
        </w:rPr>
        <w:t xml:space="preserve">; </w:t>
      </w:r>
    </w:p>
    <w:p w14:paraId="3C693242" w14:textId="77777777" w:rsidR="00FF62BD" w:rsidRPr="00FF62BD" w:rsidRDefault="00FF62BD" w:rsidP="000C6CB8">
      <w:pPr>
        <w:numPr>
          <w:ilvl w:val="0"/>
          <w:numId w:val="201"/>
        </w:numPr>
        <w:suppressAutoHyphens/>
        <w:autoSpaceDE w:val="0"/>
        <w:autoSpaceDN w:val="0"/>
        <w:adjustRightInd w:val="0"/>
        <w:spacing w:after="0" w:line="276" w:lineRule="auto"/>
        <w:jc w:val="both"/>
        <w:rPr>
          <w:rFonts w:ascii="Arial" w:eastAsia="Times New Roman" w:hAnsi="Arial" w:cs="Arial"/>
          <w:color w:val="000000"/>
          <w:lang w:val="es-ES" w:eastAsia="zh-CN"/>
        </w:rPr>
      </w:pPr>
      <w:r w:rsidRPr="00FF62BD">
        <w:rPr>
          <w:rFonts w:ascii="Arial" w:eastAsia="Times New Roman" w:hAnsi="Arial" w:cs="Arial"/>
          <w:color w:val="000000"/>
          <w:lang w:val="es-ES" w:eastAsia="zh-CN"/>
        </w:rPr>
        <w:t>Abateri biciclisti;</w:t>
      </w:r>
    </w:p>
    <w:p w14:paraId="2AB9D4DC" w14:textId="77777777" w:rsidR="00FF62BD" w:rsidRPr="00FF62BD" w:rsidRDefault="00FF62BD" w:rsidP="000C6CB8">
      <w:pPr>
        <w:numPr>
          <w:ilvl w:val="0"/>
          <w:numId w:val="201"/>
        </w:numPr>
        <w:suppressAutoHyphens/>
        <w:autoSpaceDE w:val="0"/>
        <w:autoSpaceDN w:val="0"/>
        <w:adjustRightInd w:val="0"/>
        <w:spacing w:after="0" w:line="276" w:lineRule="auto"/>
        <w:jc w:val="both"/>
        <w:rPr>
          <w:rFonts w:ascii="Arial" w:eastAsia="Times New Roman" w:hAnsi="Arial" w:cs="Arial"/>
          <w:color w:val="000000"/>
          <w:lang w:val="es-ES" w:eastAsia="zh-CN"/>
        </w:rPr>
      </w:pPr>
      <w:r w:rsidRPr="00FF62BD">
        <w:rPr>
          <w:rFonts w:ascii="Arial" w:eastAsia="Times New Roman" w:hAnsi="Arial" w:cs="Arial"/>
          <w:bCs/>
          <w:color w:val="000000"/>
          <w:lang w:val="es-ES" w:eastAsia="zh-CN"/>
        </w:rPr>
        <w:t>Nerespectare distanță între vehicule</w:t>
      </w:r>
      <w:r w:rsidRPr="00FF62BD">
        <w:rPr>
          <w:rFonts w:ascii="Arial" w:eastAsia="Times New Roman" w:hAnsi="Arial" w:cs="Arial"/>
          <w:color w:val="000000"/>
          <w:lang w:val="es-ES" w:eastAsia="zh-CN"/>
        </w:rPr>
        <w:t>;</w:t>
      </w:r>
    </w:p>
    <w:p w14:paraId="3627CF51" w14:textId="77777777" w:rsidR="00FF62BD" w:rsidRPr="00FF62BD" w:rsidRDefault="00FF62BD" w:rsidP="000C6CB8">
      <w:pPr>
        <w:numPr>
          <w:ilvl w:val="0"/>
          <w:numId w:val="201"/>
        </w:numPr>
        <w:suppressAutoHyphens/>
        <w:autoSpaceDE w:val="0"/>
        <w:autoSpaceDN w:val="0"/>
        <w:adjustRightInd w:val="0"/>
        <w:spacing w:after="0" w:line="276" w:lineRule="auto"/>
        <w:jc w:val="both"/>
        <w:rPr>
          <w:rFonts w:ascii="Arial" w:eastAsia="Times New Roman" w:hAnsi="Arial" w:cs="Arial"/>
          <w:color w:val="000000"/>
          <w:lang w:val="es-ES" w:eastAsia="zh-CN"/>
        </w:rPr>
      </w:pPr>
      <w:r w:rsidRPr="00FF62BD">
        <w:rPr>
          <w:rFonts w:ascii="Arial" w:eastAsia="Times New Roman" w:hAnsi="Arial" w:cs="Arial"/>
          <w:color w:val="000000"/>
          <w:lang w:val="es-ES" w:eastAsia="zh-CN"/>
        </w:rPr>
        <w:t>Viteza neadaptata la conditiile de drum;</w:t>
      </w:r>
    </w:p>
    <w:p w14:paraId="304936A3" w14:textId="77777777" w:rsidR="00FF62BD" w:rsidRPr="00FF62BD" w:rsidRDefault="00FF62BD" w:rsidP="000C6CB8">
      <w:pPr>
        <w:numPr>
          <w:ilvl w:val="0"/>
          <w:numId w:val="201"/>
        </w:numPr>
        <w:suppressAutoHyphens/>
        <w:autoSpaceDE w:val="0"/>
        <w:autoSpaceDN w:val="0"/>
        <w:adjustRightInd w:val="0"/>
        <w:spacing w:after="0" w:line="276" w:lineRule="auto"/>
        <w:jc w:val="both"/>
        <w:rPr>
          <w:rFonts w:ascii="Arial" w:eastAsia="Times New Roman" w:hAnsi="Arial" w:cs="Arial"/>
          <w:color w:val="000000"/>
          <w:lang w:val="es-ES" w:eastAsia="zh-CN"/>
        </w:rPr>
      </w:pPr>
      <w:r w:rsidRPr="00FF62BD">
        <w:rPr>
          <w:rFonts w:ascii="Arial" w:eastAsia="Times New Roman" w:hAnsi="Arial" w:cs="Arial"/>
          <w:color w:val="000000"/>
          <w:lang w:val="es-ES" w:eastAsia="zh-CN"/>
        </w:rPr>
        <w:t>Neasigurare la schimbarea directiei de mers;</w:t>
      </w:r>
    </w:p>
    <w:p w14:paraId="03C1C763" w14:textId="77777777" w:rsidR="00FF62BD" w:rsidRPr="00FF62BD" w:rsidRDefault="00FF62BD" w:rsidP="000C6CB8">
      <w:pPr>
        <w:numPr>
          <w:ilvl w:val="0"/>
          <w:numId w:val="201"/>
        </w:numPr>
        <w:suppressAutoHyphens/>
        <w:autoSpaceDE w:val="0"/>
        <w:autoSpaceDN w:val="0"/>
        <w:adjustRightInd w:val="0"/>
        <w:spacing w:after="0" w:line="276" w:lineRule="auto"/>
        <w:jc w:val="both"/>
        <w:rPr>
          <w:rFonts w:ascii="Arial" w:eastAsia="Times New Roman" w:hAnsi="Arial" w:cs="Arial"/>
          <w:color w:val="000000"/>
          <w:lang w:val="es-ES" w:eastAsia="zh-CN"/>
        </w:rPr>
      </w:pPr>
      <w:r w:rsidRPr="00FF62BD">
        <w:rPr>
          <w:rFonts w:ascii="Arial" w:eastAsia="Times New Roman" w:hAnsi="Arial" w:cs="Arial"/>
          <w:color w:val="000000"/>
          <w:lang w:val="es-ES" w:eastAsia="zh-CN"/>
        </w:rPr>
        <w:t>Traversare neregulamentară pietoni.</w:t>
      </w:r>
    </w:p>
    <w:p w14:paraId="3C0ACEF9" w14:textId="77777777" w:rsidR="00FF62BD" w:rsidRPr="00FF62BD" w:rsidRDefault="00FF62BD" w:rsidP="00FF62BD">
      <w:pPr>
        <w:suppressAutoHyphens/>
        <w:autoSpaceDE w:val="0"/>
        <w:spacing w:after="0" w:line="360" w:lineRule="auto"/>
        <w:jc w:val="center"/>
        <w:rPr>
          <w:rFonts w:ascii="Arial" w:eastAsia="Calibri" w:hAnsi="Arial" w:cs="Arial"/>
          <w:color w:val="000000"/>
          <w:sz w:val="24"/>
          <w:szCs w:val="24"/>
          <w:lang w:val="es-ES" w:eastAsia="zh-CN"/>
        </w:rPr>
      </w:pPr>
      <w:r w:rsidRPr="00FF62BD">
        <w:rPr>
          <w:rFonts w:ascii="Calibri" w:hAnsi="Calibri" w:cs="Times New Roman"/>
          <w:noProof/>
        </w:rPr>
        <w:lastRenderedPageBreak/>
        <w:drawing>
          <wp:inline distT="0" distB="0" distL="0" distR="0" wp14:anchorId="1A98FB96" wp14:editId="79F859AB">
            <wp:extent cx="4572000" cy="3267075"/>
            <wp:effectExtent l="0" t="0" r="19050" b="9525"/>
            <wp:docPr id="182" name="Chart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05B2EE2B" w14:textId="251127A9" w:rsidR="00FF62BD" w:rsidRPr="00770D30" w:rsidRDefault="00770D30" w:rsidP="00770D30">
      <w:pPr>
        <w:pStyle w:val="Legend"/>
        <w:jc w:val="center"/>
        <w:rPr>
          <w:rFonts w:ascii="Arial" w:eastAsia="Calibri" w:hAnsi="Arial" w:cs="Arial"/>
          <w:i w:val="0"/>
          <w:iCs w:val="0"/>
          <w:color w:val="000000"/>
          <w:sz w:val="22"/>
          <w:szCs w:val="22"/>
          <w:lang w:val="es-ES" w:eastAsia="zh-CN"/>
        </w:rPr>
      </w:pPr>
      <w:bookmarkStart w:id="373" w:name="_Toc96447344"/>
      <w:r w:rsidRPr="00770D30">
        <w:rPr>
          <w:rFonts w:ascii="Arial" w:hAnsi="Arial" w:cs="Arial"/>
          <w:sz w:val="22"/>
          <w:szCs w:val="22"/>
        </w:rPr>
        <w:t xml:space="preserve">Figura I.4. </w:t>
      </w:r>
      <w:r w:rsidRPr="00770D30">
        <w:rPr>
          <w:rFonts w:ascii="Arial" w:hAnsi="Arial" w:cs="Arial"/>
          <w:sz w:val="22"/>
          <w:szCs w:val="22"/>
        </w:rPr>
        <w:fldChar w:fldCharType="begin"/>
      </w:r>
      <w:r w:rsidRPr="00770D30">
        <w:rPr>
          <w:rFonts w:ascii="Arial" w:hAnsi="Arial" w:cs="Arial"/>
          <w:sz w:val="22"/>
          <w:szCs w:val="22"/>
        </w:rPr>
        <w:instrText xml:space="preserve"> SEQ Figura_I.4. \* ARABIC </w:instrText>
      </w:r>
      <w:r w:rsidRPr="00770D30">
        <w:rPr>
          <w:rFonts w:ascii="Arial" w:hAnsi="Arial" w:cs="Arial"/>
          <w:sz w:val="22"/>
          <w:szCs w:val="22"/>
        </w:rPr>
        <w:fldChar w:fldCharType="separate"/>
      </w:r>
      <w:r w:rsidR="00BB181C">
        <w:rPr>
          <w:rFonts w:ascii="Arial" w:hAnsi="Arial" w:cs="Arial"/>
          <w:noProof/>
          <w:sz w:val="22"/>
          <w:szCs w:val="22"/>
        </w:rPr>
        <w:t>11</w:t>
      </w:r>
      <w:r w:rsidRPr="00770D30">
        <w:rPr>
          <w:rFonts w:ascii="Arial" w:hAnsi="Arial" w:cs="Arial"/>
          <w:sz w:val="22"/>
          <w:szCs w:val="22"/>
        </w:rPr>
        <w:fldChar w:fldCharType="end"/>
      </w:r>
      <w:r w:rsidRPr="00770D30">
        <w:rPr>
          <w:rFonts w:ascii="Arial" w:hAnsi="Arial" w:cs="Arial"/>
          <w:sz w:val="22"/>
          <w:szCs w:val="22"/>
        </w:rPr>
        <w:t xml:space="preserve"> </w:t>
      </w:r>
      <w:r w:rsidR="00FF62BD" w:rsidRPr="00770D30">
        <w:rPr>
          <w:rFonts w:ascii="Arial" w:hAnsi="Arial" w:cs="Arial"/>
          <w:color w:val="1F497D"/>
          <w:sz w:val="22"/>
          <w:szCs w:val="22"/>
        </w:rPr>
        <w:t xml:space="preserve">– </w:t>
      </w:r>
      <w:r w:rsidR="00FF62BD" w:rsidRPr="00770D30">
        <w:rPr>
          <w:rFonts w:ascii="Arial" w:hAnsi="Arial" w:cs="Arial"/>
          <w:i w:val="0"/>
          <w:iCs w:val="0"/>
          <w:color w:val="1F497D"/>
          <w:sz w:val="22"/>
          <w:szCs w:val="22"/>
        </w:rPr>
        <w:t>Cauze de producere a accidentelor</w:t>
      </w:r>
      <w:bookmarkEnd w:id="373"/>
    </w:p>
    <w:p w14:paraId="3C679494"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p>
    <w:p w14:paraId="6CBBCB01"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Din graficul de mai sus se constată că printre principalele cauze de producere a accidentelor se regasesc cele in care sunt implicați participanți vulnerabili la fenomenul trafic (pietoni și bicicliști). Din aceste cauze, in perioada analizata s-au inregistrat 2 morti, 2 raniti grav si 8 raniti usor. Un motiv in plus pentru acordarea unei atentii suplimentare masurilor de construire, reabilitare si modernizare a infrastruturilor dedicate acestora.</w:t>
      </w:r>
    </w:p>
    <w:p w14:paraId="7B67CC03"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p>
    <w:p w14:paraId="580A8999" w14:textId="77777777" w:rsidR="00FF62BD" w:rsidRP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Principalele zone cu risc ridicat de producere a accidentelor (puncte negre) de pe teritoriul UAT Horezu sunt: DN 67 (pe sectorul cuprins intre km 150 si km 153+300), DJ 669, DJ 665 și DC 139. După cum se poate constata, aproape doua treimi din accidente s-au produs pe DN 67, DJ 669 și DJ 665 – cele mai importante artere de circulație din oraș, pe care se inregistreaza si cele mai mari valori de trafic.</w:t>
      </w:r>
    </w:p>
    <w:p w14:paraId="274D8BD3" w14:textId="77777777" w:rsidR="00FF62BD" w:rsidRPr="00FF62BD" w:rsidRDefault="00FF62BD" w:rsidP="00FF62BD">
      <w:pPr>
        <w:suppressAutoHyphens/>
        <w:autoSpaceDE w:val="0"/>
        <w:spacing w:after="0" w:line="360" w:lineRule="auto"/>
        <w:jc w:val="both"/>
        <w:rPr>
          <w:rFonts w:ascii="Arial" w:eastAsia="Calibri" w:hAnsi="Arial" w:cs="Arial"/>
          <w:color w:val="000000"/>
          <w:sz w:val="24"/>
          <w:szCs w:val="24"/>
          <w:lang w:val="es-ES" w:eastAsia="zh-CN"/>
        </w:rPr>
      </w:pPr>
    </w:p>
    <w:p w14:paraId="64F9DDF0" w14:textId="77777777" w:rsidR="00FF62BD" w:rsidRPr="00FF62BD" w:rsidRDefault="00FF62BD" w:rsidP="00FF62BD">
      <w:pPr>
        <w:suppressAutoHyphens/>
        <w:autoSpaceDE w:val="0"/>
        <w:spacing w:after="0" w:line="360" w:lineRule="auto"/>
        <w:jc w:val="center"/>
        <w:rPr>
          <w:rFonts w:ascii="EUAlbertina" w:eastAsia="Calibri" w:hAnsi="EUAlbertina" w:cs="EUAlbertina"/>
          <w:noProof/>
          <w:color w:val="000000"/>
          <w:sz w:val="24"/>
          <w:szCs w:val="24"/>
          <w:lang w:val="ro-RO" w:eastAsia="ro-RO"/>
        </w:rPr>
      </w:pPr>
      <w:r w:rsidRPr="00FF62BD">
        <w:rPr>
          <w:rFonts w:ascii="Calibri" w:hAnsi="Calibri" w:cs="Times New Roman"/>
          <w:noProof/>
        </w:rPr>
        <w:lastRenderedPageBreak/>
        <w:drawing>
          <wp:inline distT="0" distB="0" distL="0" distR="0" wp14:anchorId="4794ED75" wp14:editId="3766708E">
            <wp:extent cx="4572000" cy="2743200"/>
            <wp:effectExtent l="0" t="0" r="19050" b="19050"/>
            <wp:docPr id="184" name="Chart 1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60C43A8B" w14:textId="5B7E3691" w:rsidR="00FF62BD" w:rsidRPr="00770D30" w:rsidRDefault="00770D30" w:rsidP="00770D30">
      <w:pPr>
        <w:pStyle w:val="Legend"/>
        <w:jc w:val="center"/>
        <w:rPr>
          <w:rFonts w:ascii="Arial" w:eastAsia="Calibri" w:hAnsi="Arial" w:cs="Arial"/>
          <w:i w:val="0"/>
          <w:iCs w:val="0"/>
          <w:color w:val="000000"/>
          <w:sz w:val="22"/>
          <w:szCs w:val="22"/>
          <w:lang w:val="es-ES" w:eastAsia="zh-CN"/>
        </w:rPr>
      </w:pPr>
      <w:bookmarkStart w:id="374" w:name="_Toc96447345"/>
      <w:r w:rsidRPr="00770D30">
        <w:rPr>
          <w:rFonts w:ascii="Arial" w:hAnsi="Arial" w:cs="Arial"/>
          <w:sz w:val="22"/>
          <w:szCs w:val="22"/>
        </w:rPr>
        <w:t xml:space="preserve">Figura I.4. </w:t>
      </w:r>
      <w:r w:rsidRPr="00770D30">
        <w:rPr>
          <w:rFonts w:ascii="Arial" w:hAnsi="Arial" w:cs="Arial"/>
          <w:sz w:val="22"/>
          <w:szCs w:val="22"/>
        </w:rPr>
        <w:fldChar w:fldCharType="begin"/>
      </w:r>
      <w:r w:rsidRPr="00770D30">
        <w:rPr>
          <w:rFonts w:ascii="Arial" w:hAnsi="Arial" w:cs="Arial"/>
          <w:sz w:val="22"/>
          <w:szCs w:val="22"/>
        </w:rPr>
        <w:instrText xml:space="preserve"> SEQ Figura_I.4. \* ARABIC </w:instrText>
      </w:r>
      <w:r w:rsidRPr="00770D30">
        <w:rPr>
          <w:rFonts w:ascii="Arial" w:hAnsi="Arial" w:cs="Arial"/>
          <w:sz w:val="22"/>
          <w:szCs w:val="22"/>
        </w:rPr>
        <w:fldChar w:fldCharType="separate"/>
      </w:r>
      <w:r w:rsidR="00BB181C">
        <w:rPr>
          <w:rFonts w:ascii="Arial" w:hAnsi="Arial" w:cs="Arial"/>
          <w:noProof/>
          <w:sz w:val="22"/>
          <w:szCs w:val="22"/>
        </w:rPr>
        <w:t>12</w:t>
      </w:r>
      <w:r w:rsidRPr="00770D30">
        <w:rPr>
          <w:rFonts w:ascii="Arial" w:hAnsi="Arial" w:cs="Arial"/>
          <w:sz w:val="22"/>
          <w:szCs w:val="22"/>
        </w:rPr>
        <w:fldChar w:fldCharType="end"/>
      </w:r>
      <w:r w:rsidRPr="00770D30">
        <w:rPr>
          <w:rFonts w:ascii="Arial" w:hAnsi="Arial" w:cs="Arial"/>
          <w:sz w:val="22"/>
          <w:szCs w:val="22"/>
        </w:rPr>
        <w:t xml:space="preserve"> </w:t>
      </w:r>
      <w:r w:rsidR="00FF62BD" w:rsidRPr="00770D30">
        <w:rPr>
          <w:rFonts w:ascii="Arial" w:hAnsi="Arial" w:cs="Arial"/>
          <w:color w:val="1F497D"/>
          <w:sz w:val="22"/>
          <w:szCs w:val="22"/>
        </w:rPr>
        <w:t xml:space="preserve">– </w:t>
      </w:r>
      <w:r w:rsidR="00FF62BD" w:rsidRPr="00770D30">
        <w:rPr>
          <w:rFonts w:ascii="Arial" w:hAnsi="Arial" w:cs="Arial"/>
          <w:i w:val="0"/>
          <w:iCs w:val="0"/>
          <w:color w:val="1F497D"/>
          <w:sz w:val="22"/>
          <w:szCs w:val="22"/>
        </w:rPr>
        <w:t>Arterele de circulatie cu risc ridicat de producere a accidentelor din zona urbană Horezu</w:t>
      </w:r>
      <w:bookmarkEnd w:id="374"/>
    </w:p>
    <w:p w14:paraId="6306D816" w14:textId="77777777" w:rsidR="00FF62BD" w:rsidRPr="00FF62BD" w:rsidRDefault="00FF62BD" w:rsidP="00FF62BD">
      <w:pPr>
        <w:suppressAutoHyphens/>
        <w:autoSpaceDE w:val="0"/>
        <w:spacing w:after="0" w:line="360" w:lineRule="auto"/>
        <w:jc w:val="center"/>
        <w:rPr>
          <w:rFonts w:ascii="EUAlbertina" w:eastAsia="Calibri" w:hAnsi="EUAlbertina" w:cs="EUAlbertina"/>
          <w:noProof/>
          <w:color w:val="000000"/>
          <w:sz w:val="24"/>
          <w:szCs w:val="24"/>
          <w:lang w:val="ro-RO" w:eastAsia="ro-RO"/>
        </w:rPr>
      </w:pPr>
    </w:p>
    <w:p w14:paraId="189CABEC" w14:textId="77777777" w:rsidR="00FF62BD" w:rsidRPr="00FF62BD" w:rsidRDefault="00FF62BD" w:rsidP="00FF62BD">
      <w:pPr>
        <w:suppressAutoHyphens/>
        <w:autoSpaceDE w:val="0"/>
        <w:spacing w:after="0" w:line="360" w:lineRule="auto"/>
        <w:jc w:val="center"/>
        <w:rPr>
          <w:rFonts w:ascii="EUAlbertina" w:eastAsia="Calibri" w:hAnsi="EUAlbertina" w:cs="EUAlbertina"/>
          <w:noProof/>
          <w:color w:val="000000"/>
          <w:sz w:val="24"/>
          <w:szCs w:val="24"/>
          <w:lang w:val="ro-RO" w:eastAsia="ro-RO"/>
        </w:rPr>
      </w:pPr>
      <w:r w:rsidRPr="00FF62BD">
        <w:rPr>
          <w:rFonts w:ascii="EUAlbertina" w:eastAsia="Calibri" w:hAnsi="EUAlbertina" w:cs="EUAlbertina"/>
          <w:noProof/>
          <w:color w:val="000000"/>
          <w:sz w:val="24"/>
          <w:szCs w:val="24"/>
        </w:rPr>
        <w:drawing>
          <wp:inline distT="0" distB="0" distL="0" distR="0" wp14:anchorId="6FF8C343" wp14:editId="3567CCB7">
            <wp:extent cx="6130925" cy="2929605"/>
            <wp:effectExtent l="0" t="0" r="3175" b="444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30925" cy="2929605"/>
                    </a:xfrm>
                    <a:prstGeom prst="rect">
                      <a:avLst/>
                    </a:prstGeom>
                    <a:noFill/>
                    <a:ln>
                      <a:noFill/>
                    </a:ln>
                  </pic:spPr>
                </pic:pic>
              </a:graphicData>
            </a:graphic>
          </wp:inline>
        </w:drawing>
      </w:r>
    </w:p>
    <w:p w14:paraId="4D7C2DBD" w14:textId="77777777" w:rsidR="00770D30" w:rsidRDefault="00770D30" w:rsidP="00770D30">
      <w:pPr>
        <w:pStyle w:val="Legend"/>
        <w:jc w:val="center"/>
        <w:rPr>
          <w:rFonts w:ascii="Arial" w:hAnsi="Arial" w:cs="Arial"/>
        </w:rPr>
      </w:pPr>
    </w:p>
    <w:p w14:paraId="2FF37D8F" w14:textId="51C06ED7" w:rsidR="00FF62BD" w:rsidRPr="00770D30" w:rsidRDefault="00770D30" w:rsidP="00770D30">
      <w:pPr>
        <w:pStyle w:val="Legend"/>
        <w:jc w:val="center"/>
        <w:rPr>
          <w:rFonts w:ascii="Arial" w:eastAsia="Calibri" w:hAnsi="Arial" w:cs="Arial"/>
          <w:i w:val="0"/>
          <w:iCs w:val="0"/>
          <w:color w:val="000000"/>
          <w:sz w:val="22"/>
          <w:szCs w:val="22"/>
          <w:lang w:val="es-ES" w:eastAsia="zh-CN"/>
        </w:rPr>
      </w:pPr>
      <w:bookmarkStart w:id="375" w:name="_Toc96447346"/>
      <w:r w:rsidRPr="00770D30">
        <w:rPr>
          <w:rFonts w:ascii="Arial" w:hAnsi="Arial" w:cs="Arial"/>
          <w:sz w:val="22"/>
          <w:szCs w:val="22"/>
        </w:rPr>
        <w:t xml:space="preserve">Figura I.4. </w:t>
      </w:r>
      <w:r w:rsidRPr="00770D30">
        <w:rPr>
          <w:rFonts w:ascii="Arial" w:hAnsi="Arial" w:cs="Arial"/>
          <w:sz w:val="22"/>
          <w:szCs w:val="22"/>
        </w:rPr>
        <w:fldChar w:fldCharType="begin"/>
      </w:r>
      <w:r w:rsidRPr="00770D30">
        <w:rPr>
          <w:rFonts w:ascii="Arial" w:hAnsi="Arial" w:cs="Arial"/>
          <w:sz w:val="22"/>
          <w:szCs w:val="22"/>
        </w:rPr>
        <w:instrText xml:space="preserve"> SEQ Figura_I.4. \* ARABIC </w:instrText>
      </w:r>
      <w:r w:rsidRPr="00770D30">
        <w:rPr>
          <w:rFonts w:ascii="Arial" w:hAnsi="Arial" w:cs="Arial"/>
          <w:sz w:val="22"/>
          <w:szCs w:val="22"/>
        </w:rPr>
        <w:fldChar w:fldCharType="separate"/>
      </w:r>
      <w:r w:rsidR="00BB181C">
        <w:rPr>
          <w:rFonts w:ascii="Arial" w:hAnsi="Arial" w:cs="Arial"/>
          <w:noProof/>
          <w:sz w:val="22"/>
          <w:szCs w:val="22"/>
        </w:rPr>
        <w:t>13</w:t>
      </w:r>
      <w:r w:rsidRPr="00770D30">
        <w:rPr>
          <w:rFonts w:ascii="Arial" w:hAnsi="Arial" w:cs="Arial"/>
          <w:sz w:val="22"/>
          <w:szCs w:val="22"/>
        </w:rPr>
        <w:fldChar w:fldCharType="end"/>
      </w:r>
      <w:r w:rsidRPr="00770D30">
        <w:rPr>
          <w:rFonts w:ascii="Arial" w:hAnsi="Arial" w:cs="Arial"/>
          <w:sz w:val="22"/>
          <w:szCs w:val="22"/>
        </w:rPr>
        <w:t xml:space="preserve"> </w:t>
      </w:r>
      <w:r w:rsidR="00FF62BD" w:rsidRPr="00770D30">
        <w:rPr>
          <w:rFonts w:ascii="Arial" w:hAnsi="Arial" w:cs="Arial"/>
          <w:color w:val="1F497D"/>
          <w:sz w:val="22"/>
          <w:szCs w:val="22"/>
        </w:rPr>
        <w:t xml:space="preserve">– </w:t>
      </w:r>
      <w:r w:rsidR="00FF62BD" w:rsidRPr="00770D30">
        <w:rPr>
          <w:rFonts w:ascii="Arial" w:hAnsi="Arial" w:cs="Arial"/>
          <w:i w:val="0"/>
          <w:iCs w:val="0"/>
          <w:color w:val="1F497D"/>
          <w:sz w:val="22"/>
          <w:szCs w:val="22"/>
        </w:rPr>
        <w:t>Amplasarea spatiala a accidentelor din zona urbană Horezu – puncte negre</w:t>
      </w:r>
      <w:bookmarkEnd w:id="375"/>
    </w:p>
    <w:p w14:paraId="2B249EE2" w14:textId="77777777" w:rsidR="00FF62BD" w:rsidRPr="00FF62BD" w:rsidRDefault="00FF62BD" w:rsidP="00FF62BD">
      <w:pPr>
        <w:suppressAutoHyphens/>
        <w:autoSpaceDE w:val="0"/>
        <w:spacing w:after="0" w:line="276" w:lineRule="auto"/>
        <w:jc w:val="both"/>
        <w:rPr>
          <w:rFonts w:ascii="Arial" w:eastAsia="Arial" w:hAnsi="Arial" w:cs="Arial"/>
          <w:color w:val="000000"/>
          <w:lang w:val="es-ES" w:eastAsia="zh-CN"/>
        </w:rPr>
      </w:pPr>
      <w:r w:rsidRPr="00FF62BD">
        <w:rPr>
          <w:rFonts w:ascii="Arial" w:eastAsia="Arial" w:hAnsi="Arial" w:cs="Arial"/>
          <w:color w:val="000000"/>
          <w:lang w:val="es-ES" w:eastAsia="zh-CN"/>
        </w:rPr>
        <w:t>Pentru evaluarea impactului actual al mobilității din punct de vedere al siguranței în trafic și pentru a se putea compara scenariul de bază cu scenariile care vor fi propuse în capitolele următoare a fost ales următorul indicator:</w:t>
      </w:r>
    </w:p>
    <w:p w14:paraId="36F005F7" w14:textId="77777777" w:rsidR="00FF62BD" w:rsidRPr="00FF62BD" w:rsidRDefault="00FF62BD" w:rsidP="00FF62BD">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FF62BD">
        <w:rPr>
          <w:rFonts w:ascii="Arial" w:eastAsia="Arial" w:hAnsi="Arial" w:cs="Arial"/>
          <w:color w:val="000000"/>
          <w:lang w:val="es-ES" w:eastAsia="zh-CN"/>
        </w:rPr>
        <w:t>Numărul de accidente cu urmări grave în oraş.</w:t>
      </w:r>
    </w:p>
    <w:p w14:paraId="3121A19C" w14:textId="77777777" w:rsidR="00FF62BD" w:rsidRPr="00FF62BD" w:rsidRDefault="00FF62BD" w:rsidP="00FF62BD">
      <w:pPr>
        <w:suppressAutoHyphens/>
        <w:autoSpaceDE w:val="0"/>
        <w:spacing w:after="0" w:line="360" w:lineRule="auto"/>
        <w:jc w:val="both"/>
        <w:rPr>
          <w:rFonts w:ascii="Arial" w:eastAsia="Calibri" w:hAnsi="Arial" w:cs="Arial"/>
          <w:color w:val="000000"/>
          <w:sz w:val="20"/>
          <w:szCs w:val="28"/>
          <w:lang w:val="es-ES" w:eastAsia="zh-CN"/>
        </w:rPr>
      </w:pPr>
    </w:p>
    <w:p w14:paraId="72419F15" w14:textId="4DF7D957" w:rsidR="00FF62BD" w:rsidRDefault="00FF62BD" w:rsidP="00FF62BD">
      <w:pPr>
        <w:suppressAutoHyphens/>
        <w:autoSpaceDE w:val="0"/>
        <w:spacing w:after="0" w:line="276" w:lineRule="auto"/>
        <w:jc w:val="both"/>
        <w:rPr>
          <w:rFonts w:ascii="Arial" w:eastAsia="Calibri" w:hAnsi="Arial" w:cs="Arial"/>
          <w:color w:val="000000"/>
          <w:lang w:val="es-ES" w:eastAsia="zh-CN"/>
        </w:rPr>
      </w:pPr>
      <w:r w:rsidRPr="00FF62BD">
        <w:rPr>
          <w:rFonts w:ascii="Arial" w:eastAsia="Calibri" w:hAnsi="Arial" w:cs="Arial"/>
          <w:color w:val="000000"/>
          <w:lang w:val="es-ES" w:eastAsia="zh-CN"/>
        </w:rPr>
        <w:t>Un rezumat al problemelor identificate în cadrul analizei situaţiei actuale, în ordinea importanţei acestora este prezentat în tabelul următor:</w:t>
      </w:r>
    </w:p>
    <w:p w14:paraId="3859B11A" w14:textId="77777777" w:rsidR="0062376F" w:rsidRPr="00FF62BD" w:rsidRDefault="0062376F" w:rsidP="00FF62BD">
      <w:pPr>
        <w:suppressAutoHyphens/>
        <w:autoSpaceDE w:val="0"/>
        <w:spacing w:after="0" w:line="276" w:lineRule="auto"/>
        <w:jc w:val="both"/>
        <w:rPr>
          <w:rFonts w:ascii="Arial" w:eastAsia="Calibri" w:hAnsi="Arial" w:cs="Arial"/>
          <w:color w:val="000000"/>
          <w:lang w:val="es-ES" w:eastAsia="zh-CN"/>
        </w:rPr>
      </w:pPr>
    </w:p>
    <w:tbl>
      <w:tblPr>
        <w:tblStyle w:val="GridTable4-Accent212"/>
        <w:tblW w:w="0" w:type="auto"/>
        <w:tblLook w:val="04A0" w:firstRow="1" w:lastRow="0" w:firstColumn="1" w:lastColumn="0" w:noHBand="0" w:noVBand="1"/>
      </w:tblPr>
      <w:tblGrid>
        <w:gridCol w:w="4826"/>
        <w:gridCol w:w="4819"/>
      </w:tblGrid>
      <w:tr w:rsidR="00FF62BD" w:rsidRPr="00FF62BD" w14:paraId="1A9F070F" w14:textId="77777777" w:rsidTr="00FF62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6" w:type="dxa"/>
          </w:tcPr>
          <w:p w14:paraId="5A80D86C" w14:textId="77777777" w:rsidR="00FF62BD" w:rsidRPr="00FF62BD" w:rsidRDefault="00FF62BD" w:rsidP="00FF62BD">
            <w:pPr>
              <w:widowControl w:val="0"/>
              <w:autoSpaceDE w:val="0"/>
              <w:autoSpaceDN w:val="0"/>
              <w:adjustRightInd w:val="0"/>
              <w:spacing w:after="160" w:line="276" w:lineRule="auto"/>
              <w:jc w:val="center"/>
              <w:rPr>
                <w:rFonts w:ascii="Arial" w:hAnsi="Arial" w:cs="Arial"/>
                <w:b w:val="0"/>
                <w:kern w:val="1"/>
                <w:sz w:val="18"/>
                <w:szCs w:val="18"/>
                <w:lang w:val="ro-RO" w:eastAsia="hi-IN" w:bidi="hi-IN"/>
              </w:rPr>
            </w:pPr>
            <w:r w:rsidRPr="00FF62BD">
              <w:rPr>
                <w:rFonts w:ascii="Arial" w:hAnsi="Arial" w:cs="Arial"/>
                <w:b w:val="0"/>
                <w:kern w:val="1"/>
                <w:sz w:val="18"/>
                <w:szCs w:val="18"/>
                <w:lang w:val="ro-RO" w:eastAsia="hi-IN" w:bidi="hi-IN"/>
              </w:rPr>
              <w:lastRenderedPageBreak/>
              <w:t>Problema identificată</w:t>
            </w:r>
          </w:p>
        </w:tc>
        <w:tc>
          <w:tcPr>
            <w:tcW w:w="4819" w:type="dxa"/>
          </w:tcPr>
          <w:p w14:paraId="1BFB8160" w14:textId="77777777" w:rsidR="00FF62BD" w:rsidRPr="00FF62BD" w:rsidRDefault="00FF62BD" w:rsidP="00FF62BD">
            <w:pPr>
              <w:widowControl w:val="0"/>
              <w:autoSpaceDE w:val="0"/>
              <w:autoSpaceDN w:val="0"/>
              <w:adjustRightInd w:val="0"/>
              <w:spacing w:after="16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1"/>
                <w:sz w:val="18"/>
                <w:szCs w:val="18"/>
                <w:lang w:val="ro-RO" w:eastAsia="hi-IN" w:bidi="hi-IN"/>
              </w:rPr>
            </w:pPr>
            <w:r w:rsidRPr="00FF62BD">
              <w:rPr>
                <w:rFonts w:ascii="Arial" w:hAnsi="Arial" w:cs="Arial"/>
                <w:b w:val="0"/>
                <w:kern w:val="1"/>
                <w:sz w:val="18"/>
                <w:szCs w:val="18"/>
                <w:lang w:val="ro-RO" w:eastAsia="hi-IN" w:bidi="hi-IN"/>
              </w:rPr>
              <w:t>Soluție</w:t>
            </w:r>
          </w:p>
        </w:tc>
      </w:tr>
      <w:tr w:rsidR="00FF62BD" w:rsidRPr="00FF62BD" w14:paraId="37FAB1B0" w14:textId="77777777" w:rsidTr="00FF6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6" w:type="dxa"/>
          </w:tcPr>
          <w:p w14:paraId="61DE935A" w14:textId="77777777" w:rsidR="00FF62BD" w:rsidRPr="00FF62BD" w:rsidRDefault="00FF62BD" w:rsidP="00FF62B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Zone cu puncte de conflict între diferiți participanți la trafic (trafic rutier, pietoni, bicicliști)</w:t>
            </w:r>
          </w:p>
        </w:tc>
        <w:tc>
          <w:tcPr>
            <w:tcW w:w="4819" w:type="dxa"/>
          </w:tcPr>
          <w:p w14:paraId="32C7D9C9" w14:textId="77777777" w:rsidR="00FF62BD" w:rsidRPr="00FF62BD" w:rsidRDefault="00FF62BD" w:rsidP="00FF62B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 xml:space="preserve">Re-organizarea circulatiei rutiere prin separarea fluxurilor de pietoni si biciclisti de cele ale vehiculelor. </w:t>
            </w:r>
          </w:p>
        </w:tc>
      </w:tr>
      <w:tr w:rsidR="00FF62BD" w:rsidRPr="00FF62BD" w14:paraId="032554A9" w14:textId="77777777" w:rsidTr="00C735D2">
        <w:tc>
          <w:tcPr>
            <w:cnfStyle w:val="001000000000" w:firstRow="0" w:lastRow="0" w:firstColumn="1" w:lastColumn="0" w:oddVBand="0" w:evenVBand="0" w:oddHBand="0" w:evenHBand="0" w:firstRowFirstColumn="0" w:firstRowLastColumn="0" w:lastRowFirstColumn="0" w:lastRowLastColumn="0"/>
            <w:tcW w:w="4826" w:type="dxa"/>
          </w:tcPr>
          <w:p w14:paraId="277F7339" w14:textId="77777777" w:rsidR="00FF62BD" w:rsidRPr="00FF62BD" w:rsidRDefault="00FF62BD" w:rsidP="00FF62B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Lipsa indicatoarelor si marcajelor in multe zone ale orasului</w:t>
            </w:r>
          </w:p>
        </w:tc>
        <w:tc>
          <w:tcPr>
            <w:tcW w:w="4819" w:type="dxa"/>
          </w:tcPr>
          <w:p w14:paraId="5F7413B8" w14:textId="77777777" w:rsidR="00FF62BD" w:rsidRPr="00FF62BD" w:rsidRDefault="00FF62BD" w:rsidP="00FF62B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Amplasarea de indicatoare si realizarea de marcaje rutiere.</w:t>
            </w:r>
          </w:p>
        </w:tc>
      </w:tr>
      <w:tr w:rsidR="00FF62BD" w:rsidRPr="00FF62BD" w14:paraId="6765BFA8" w14:textId="77777777" w:rsidTr="00FF6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6" w:type="dxa"/>
          </w:tcPr>
          <w:p w14:paraId="4A2D9091" w14:textId="77777777" w:rsidR="00FF62BD" w:rsidRPr="00FF62BD" w:rsidRDefault="00FF62BD" w:rsidP="00FF62B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Starea necorespunzatoare a infrastructurii rutiere si pietonale</w:t>
            </w:r>
          </w:p>
        </w:tc>
        <w:tc>
          <w:tcPr>
            <w:tcW w:w="4819" w:type="dxa"/>
          </w:tcPr>
          <w:p w14:paraId="510FD4DB" w14:textId="77777777" w:rsidR="00FF62BD" w:rsidRPr="00FF62BD" w:rsidRDefault="00FF62BD" w:rsidP="00FF62B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Reabilitarea si modernizarea suprafetelor carosabile si pietonale.</w:t>
            </w:r>
          </w:p>
        </w:tc>
      </w:tr>
      <w:tr w:rsidR="00FF62BD" w:rsidRPr="00FF62BD" w14:paraId="70F35497" w14:textId="77777777" w:rsidTr="00C735D2">
        <w:tc>
          <w:tcPr>
            <w:cnfStyle w:val="001000000000" w:firstRow="0" w:lastRow="0" w:firstColumn="1" w:lastColumn="0" w:oddVBand="0" w:evenVBand="0" w:oddHBand="0" w:evenHBand="0" w:firstRowFirstColumn="0" w:firstRowLastColumn="0" w:lastRowFirstColumn="0" w:lastRowLastColumn="0"/>
            <w:tcW w:w="4826" w:type="dxa"/>
          </w:tcPr>
          <w:p w14:paraId="457671AA" w14:textId="77777777" w:rsidR="00FF62BD" w:rsidRPr="00FF62BD" w:rsidRDefault="00FF62BD" w:rsidP="00FF62B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Nerespectarea indicatoarelor și marcajelor de către conducătorii autovehiculelor.</w:t>
            </w:r>
          </w:p>
        </w:tc>
        <w:tc>
          <w:tcPr>
            <w:tcW w:w="4819" w:type="dxa"/>
          </w:tcPr>
          <w:p w14:paraId="6BF3543B" w14:textId="77777777" w:rsidR="00FF62BD" w:rsidRPr="00FF62BD" w:rsidRDefault="00FF62BD" w:rsidP="00FF62B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Masuri punitive contra celor care nu respecta legea.</w:t>
            </w:r>
          </w:p>
        </w:tc>
      </w:tr>
      <w:tr w:rsidR="00FF62BD" w:rsidRPr="00FF62BD" w14:paraId="0E22347D" w14:textId="77777777" w:rsidTr="00FF6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6" w:type="dxa"/>
          </w:tcPr>
          <w:p w14:paraId="42011A1E" w14:textId="77777777" w:rsidR="00FF62BD" w:rsidRPr="00FF62BD" w:rsidRDefault="00FF62BD" w:rsidP="00FF62B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Număr mare de accidente în care sunt implicați pietoni și bicicliști.</w:t>
            </w:r>
          </w:p>
        </w:tc>
        <w:tc>
          <w:tcPr>
            <w:tcW w:w="4819" w:type="dxa"/>
          </w:tcPr>
          <w:p w14:paraId="3F53D514" w14:textId="77777777" w:rsidR="00FF62BD" w:rsidRPr="00FF62BD" w:rsidRDefault="00FF62BD" w:rsidP="00FF62B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Soluții pentru protejarea participanților vulnerabili la trafic.</w:t>
            </w:r>
          </w:p>
        </w:tc>
      </w:tr>
      <w:tr w:rsidR="00FF62BD" w:rsidRPr="00FF62BD" w14:paraId="0B22F6EC" w14:textId="77777777" w:rsidTr="00C735D2">
        <w:tc>
          <w:tcPr>
            <w:cnfStyle w:val="001000000000" w:firstRow="0" w:lastRow="0" w:firstColumn="1" w:lastColumn="0" w:oddVBand="0" w:evenVBand="0" w:oddHBand="0" w:evenHBand="0" w:firstRowFirstColumn="0" w:firstRowLastColumn="0" w:lastRowFirstColumn="0" w:lastRowLastColumn="0"/>
            <w:tcW w:w="4826" w:type="dxa"/>
          </w:tcPr>
          <w:p w14:paraId="5144592E" w14:textId="77777777" w:rsidR="00FF62BD" w:rsidRPr="00FF62BD" w:rsidRDefault="00FF62BD" w:rsidP="00FF62B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Lipsa pavajului tactil și a semafoarelor cu avertizare acustică pentru persoanele cu deficiențe de vedere</w:t>
            </w:r>
          </w:p>
        </w:tc>
        <w:tc>
          <w:tcPr>
            <w:tcW w:w="4819" w:type="dxa"/>
          </w:tcPr>
          <w:p w14:paraId="461E1546" w14:textId="77777777" w:rsidR="00FF62BD" w:rsidRPr="00FF62BD" w:rsidRDefault="00FF62BD" w:rsidP="00FF62BD">
            <w:pPr>
              <w:widowControl w:val="0"/>
              <w:autoSpaceDE w:val="0"/>
              <w:autoSpaceDN w:val="0"/>
              <w:adjustRightInd w:val="0"/>
              <w:spacing w:after="160" w:line="276"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Montarea de astfel de dispozitive in principalele intersecții.</w:t>
            </w:r>
          </w:p>
        </w:tc>
      </w:tr>
      <w:tr w:rsidR="00FF62BD" w:rsidRPr="00FF62BD" w14:paraId="0153594D" w14:textId="77777777" w:rsidTr="00FF6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6" w:type="dxa"/>
          </w:tcPr>
          <w:p w14:paraId="57678311" w14:textId="77777777" w:rsidR="00FF62BD" w:rsidRPr="00FF62BD" w:rsidRDefault="00FF62BD" w:rsidP="00FF62BD">
            <w:pPr>
              <w:widowControl w:val="0"/>
              <w:autoSpaceDE w:val="0"/>
              <w:autoSpaceDN w:val="0"/>
              <w:adjustRightInd w:val="0"/>
              <w:spacing w:after="160" w:line="276" w:lineRule="auto"/>
              <w:jc w:val="both"/>
              <w:rPr>
                <w:rFonts w:ascii="Arial" w:hAnsi="Arial" w:cs="Arial"/>
                <w:kern w:val="1"/>
                <w:sz w:val="18"/>
                <w:szCs w:val="18"/>
                <w:lang w:val="es-ES" w:eastAsia="hi-IN" w:bidi="hi-IN"/>
              </w:rPr>
            </w:pPr>
            <w:r w:rsidRPr="00FF62BD">
              <w:rPr>
                <w:rFonts w:ascii="Arial" w:hAnsi="Arial" w:cs="Arial"/>
                <w:kern w:val="1"/>
                <w:sz w:val="18"/>
                <w:szCs w:val="18"/>
                <w:lang w:val="es-ES" w:eastAsia="hi-IN" w:bidi="hi-IN"/>
              </w:rPr>
              <w:t>Existența în multe situații a unei diferențe de nivel între trotuar și partea carosabilă care face dificil accesul persoanelor cu dizabilități.</w:t>
            </w:r>
          </w:p>
        </w:tc>
        <w:tc>
          <w:tcPr>
            <w:tcW w:w="4819" w:type="dxa"/>
          </w:tcPr>
          <w:p w14:paraId="391BFA05" w14:textId="77777777" w:rsidR="00FF62BD" w:rsidRPr="00FF62BD" w:rsidRDefault="00FF62BD" w:rsidP="00FF62BD">
            <w:pPr>
              <w:widowControl w:val="0"/>
              <w:autoSpaceDE w:val="0"/>
              <w:autoSpaceDN w:val="0"/>
              <w:adjustRightInd w:val="0"/>
              <w:spacing w:after="160"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kern w:val="1"/>
                <w:sz w:val="18"/>
                <w:szCs w:val="18"/>
                <w:lang w:val="ro-RO" w:eastAsia="hi-IN" w:bidi="hi-IN"/>
              </w:rPr>
            </w:pPr>
            <w:r w:rsidRPr="00FF62BD">
              <w:rPr>
                <w:rFonts w:ascii="Arial" w:hAnsi="Arial" w:cs="Arial"/>
                <w:kern w:val="1"/>
                <w:sz w:val="18"/>
                <w:szCs w:val="18"/>
                <w:lang w:val="ro-RO" w:eastAsia="hi-IN" w:bidi="hi-IN"/>
              </w:rPr>
              <w:t>Construirea de rampe.</w:t>
            </w:r>
          </w:p>
        </w:tc>
      </w:tr>
    </w:tbl>
    <w:p w14:paraId="75959D63" w14:textId="77777777" w:rsidR="00FF62BD" w:rsidRPr="00FF62BD" w:rsidRDefault="00FF62BD" w:rsidP="00FF62BD">
      <w:pPr>
        <w:widowControl w:val="0"/>
        <w:suppressAutoHyphens/>
        <w:spacing w:after="0" w:line="360" w:lineRule="auto"/>
        <w:jc w:val="both"/>
        <w:rPr>
          <w:rFonts w:ascii="Arial" w:hAnsi="Arial" w:cs="Arial"/>
          <w:kern w:val="1"/>
          <w:sz w:val="20"/>
          <w:szCs w:val="24"/>
          <w:lang w:val="ro-RO" w:eastAsia="hi-IN" w:bidi="hi-IN"/>
        </w:rPr>
      </w:pPr>
    </w:p>
    <w:p w14:paraId="07C3C493" w14:textId="77777777" w:rsidR="00D70AEA" w:rsidRDefault="00D70AEA" w:rsidP="003430C5">
      <w:pPr>
        <w:pStyle w:val="Titlu2"/>
        <w:rPr>
          <w:rFonts w:ascii="Arial" w:eastAsia="Times New Roman" w:hAnsi="Arial" w:cs="Arial"/>
          <w:b/>
          <w:bCs/>
          <w:color w:val="auto"/>
          <w:sz w:val="24"/>
          <w:szCs w:val="24"/>
          <w:lang w:val="it-IT" w:eastAsia="ro-RO"/>
        </w:rPr>
      </w:pPr>
      <w:bookmarkStart w:id="376" w:name="_Toc61264908"/>
      <w:bookmarkStart w:id="377" w:name="_Toc142039090"/>
      <w:r w:rsidRPr="003430C5">
        <w:rPr>
          <w:rFonts w:ascii="Arial" w:eastAsia="Times New Roman" w:hAnsi="Arial" w:cs="Arial"/>
          <w:b/>
          <w:bCs/>
          <w:color w:val="auto"/>
          <w:sz w:val="24"/>
          <w:szCs w:val="24"/>
          <w:lang w:val="it-IT" w:eastAsia="ro-RO"/>
        </w:rPr>
        <w:t>I.4.5</w:t>
      </w:r>
      <w:r w:rsidR="003430C5" w:rsidRPr="003430C5">
        <w:rPr>
          <w:rFonts w:ascii="Arial" w:eastAsia="Times New Roman" w:hAnsi="Arial" w:cs="Arial"/>
          <w:b/>
          <w:bCs/>
          <w:color w:val="auto"/>
          <w:sz w:val="24"/>
          <w:szCs w:val="24"/>
          <w:lang w:val="it-IT" w:eastAsia="ro-RO"/>
        </w:rPr>
        <w:t xml:space="preserve"> </w:t>
      </w:r>
      <w:r w:rsidRPr="003430C5">
        <w:rPr>
          <w:rFonts w:ascii="Arial" w:eastAsia="Times New Roman" w:hAnsi="Arial" w:cs="Arial"/>
          <w:b/>
          <w:bCs/>
          <w:color w:val="auto"/>
          <w:sz w:val="24"/>
          <w:szCs w:val="24"/>
          <w:lang w:val="it-IT" w:eastAsia="ro-RO"/>
        </w:rPr>
        <w:t>Calitatea vietii</w:t>
      </w:r>
      <w:bookmarkEnd w:id="376"/>
      <w:bookmarkEnd w:id="377"/>
    </w:p>
    <w:p w14:paraId="7C58DFBD" w14:textId="77777777" w:rsidR="00504D4E" w:rsidRPr="00504D4E" w:rsidRDefault="00504D4E" w:rsidP="00504D4E">
      <w:pPr>
        <w:spacing w:after="0" w:line="276" w:lineRule="auto"/>
        <w:jc w:val="both"/>
        <w:rPr>
          <w:rFonts w:ascii="Arial" w:hAnsi="Arial" w:cs="Arial"/>
        </w:rPr>
      </w:pPr>
      <w:r w:rsidRPr="00504D4E">
        <w:rPr>
          <w:rFonts w:ascii="Arial" w:hAnsi="Arial" w:cs="Arial"/>
        </w:rPr>
        <w:t>Conceptul de calitate a vieţii este relativ nou în vocabularul ştiinţelor socio-umane, acesta dobândindu-şi cetăţenia abia în a două jumătate a secolului. Calitatea vieţii este un concept evaluativ, fiind rezultanta raportării condiţiilor de viaţă şi a activităţilor care compun viaţa umană, la necesitatea, valorile, aspiraţiile umane. Se referǎ atât la evaluarea globalǎ a vieţii cȃt şi la evaluarea diferitelor condiţii sau sfere ale vieţii.</w:t>
      </w:r>
    </w:p>
    <w:p w14:paraId="788C5988" w14:textId="77777777" w:rsidR="00504D4E" w:rsidRPr="00504D4E" w:rsidRDefault="00504D4E" w:rsidP="00504D4E">
      <w:pPr>
        <w:suppressAutoHyphens/>
        <w:autoSpaceDE w:val="0"/>
        <w:spacing w:after="0" w:line="276" w:lineRule="auto"/>
        <w:jc w:val="both"/>
        <w:rPr>
          <w:rFonts w:ascii="EUAlbertina" w:eastAsia="Calibri" w:hAnsi="EUAlbertina" w:cs="EUAlbertina"/>
          <w:color w:val="000000"/>
          <w:lang w:val="es-ES" w:eastAsia="zh-CN"/>
        </w:rPr>
      </w:pPr>
    </w:p>
    <w:p w14:paraId="3B53AA9F" w14:textId="77777777" w:rsidR="00504D4E" w:rsidRPr="00504D4E" w:rsidRDefault="00504D4E" w:rsidP="00504D4E">
      <w:pPr>
        <w:suppressAutoHyphens/>
        <w:autoSpaceDE w:val="0"/>
        <w:spacing w:after="0" w:line="276" w:lineRule="auto"/>
        <w:jc w:val="both"/>
        <w:rPr>
          <w:rFonts w:ascii="Arial" w:eastAsia="Times New Roman" w:hAnsi="Arial" w:cs="Arial"/>
          <w:lang w:val="es-ES" w:eastAsia="ro-RO"/>
        </w:rPr>
      </w:pPr>
      <w:r w:rsidRPr="00504D4E">
        <w:rPr>
          <w:rFonts w:ascii="Arial" w:eastAsia="Times New Roman" w:hAnsi="Arial" w:cs="Arial"/>
          <w:lang w:val="es-ES" w:eastAsia="ro-RO"/>
        </w:rPr>
        <w:t xml:space="preserve">Unul din scopurile pe care le urmǎrește un Plan de Mobilitate Durabilǎ este acela de a ȋmbunǎtǎți condițiile de viațǎ ale locuitorilor din mediul urban supuși numeroaselor agresiuni datorate creșterii gradului de motorizare, a factorilor poluatori (ȋn special noxe și zgomot cauzate de traficul rutier), congestiilor de trafic etc. </w:t>
      </w:r>
    </w:p>
    <w:p w14:paraId="13C5651D" w14:textId="77777777" w:rsidR="00504D4E" w:rsidRPr="00504D4E" w:rsidRDefault="00504D4E" w:rsidP="00504D4E">
      <w:pPr>
        <w:suppressAutoHyphens/>
        <w:autoSpaceDE w:val="0"/>
        <w:spacing w:after="0" w:line="276" w:lineRule="auto"/>
        <w:jc w:val="both"/>
        <w:rPr>
          <w:rFonts w:ascii="Arial" w:eastAsia="Times New Roman" w:hAnsi="Arial" w:cs="Arial"/>
          <w:lang w:val="es-ES" w:eastAsia="ro-RO"/>
        </w:rPr>
      </w:pPr>
    </w:p>
    <w:p w14:paraId="16C4CABA" w14:textId="77777777" w:rsidR="00504D4E" w:rsidRPr="00504D4E" w:rsidRDefault="00504D4E" w:rsidP="00504D4E">
      <w:pPr>
        <w:suppressAutoHyphens/>
        <w:autoSpaceDE w:val="0"/>
        <w:spacing w:after="0" w:line="276" w:lineRule="auto"/>
        <w:jc w:val="both"/>
        <w:rPr>
          <w:rFonts w:ascii="Arial" w:eastAsia="Times New Roman" w:hAnsi="Arial" w:cs="Arial"/>
          <w:lang w:val="es-ES" w:eastAsia="ro-RO"/>
        </w:rPr>
      </w:pPr>
      <w:r w:rsidRPr="00504D4E">
        <w:rPr>
          <w:rFonts w:ascii="Arial" w:eastAsia="Times New Roman" w:hAnsi="Arial" w:cs="Arial"/>
          <w:lang w:val="es-ES" w:eastAsia="ro-RO"/>
        </w:rPr>
        <w:t>O bunǎ planificare a mobilitǎții urbane duce și la creșterea calitǎții vieții ȋn arealul urban. Mǎsurile care fac obiectul unui astfel de plan pot consta ȋn mai multe spații publice atractive, ȋmbunǎtǎțirea siguranței personale, atȃt ȋn trafic, cȃt și ȋn celelalte aspecte ale vieții, o mai bunǎ calitate a aerului, mai puține emisii poluante sau de zgomot.</w:t>
      </w:r>
    </w:p>
    <w:p w14:paraId="16A1F619" w14:textId="77777777" w:rsidR="00504D4E" w:rsidRPr="00504D4E" w:rsidRDefault="00504D4E" w:rsidP="00504D4E">
      <w:pPr>
        <w:suppressAutoHyphens/>
        <w:autoSpaceDE w:val="0"/>
        <w:spacing w:after="0" w:line="276" w:lineRule="auto"/>
        <w:jc w:val="both"/>
        <w:rPr>
          <w:rFonts w:ascii="Arial" w:eastAsia="Times New Roman" w:hAnsi="Arial" w:cs="Arial"/>
          <w:lang w:val="es-ES" w:eastAsia="ro-RO"/>
        </w:rPr>
      </w:pPr>
    </w:p>
    <w:p w14:paraId="5E6ADD38" w14:textId="77777777" w:rsidR="00504D4E" w:rsidRPr="00504D4E" w:rsidRDefault="00504D4E" w:rsidP="00504D4E">
      <w:pPr>
        <w:widowControl w:val="0"/>
        <w:suppressAutoHyphens/>
        <w:spacing w:after="0" w:line="276" w:lineRule="auto"/>
        <w:jc w:val="both"/>
        <w:rPr>
          <w:rFonts w:ascii="Arial" w:eastAsia="Times New Roman" w:hAnsi="Arial" w:cs="Arial"/>
          <w:kern w:val="1"/>
          <w:lang w:val="es-ES" w:eastAsia="ro-RO" w:bidi="hi-IN"/>
        </w:rPr>
      </w:pPr>
      <w:r w:rsidRPr="00504D4E">
        <w:rPr>
          <w:rFonts w:ascii="Arial" w:eastAsia="Times New Roman" w:hAnsi="Arial" w:cs="Arial"/>
          <w:kern w:val="1"/>
          <w:lang w:val="es-ES" w:eastAsia="ro-RO" w:bidi="hi-IN"/>
        </w:rPr>
        <w:t xml:space="preserve">In Horezu calitatea vieții este ȋn general bunǎ, ȋnsǎ se dorește o ȋmbunǎtǎțire a modurilor de deplasare alternative </w:t>
      </w:r>
      <w:r w:rsidRPr="00504D4E">
        <w:rPr>
          <w:rFonts w:ascii="Arial" w:eastAsia="Times New Roman" w:hAnsi="Arial" w:cs="Arial"/>
          <w:kern w:val="1"/>
          <w:lang w:val="ro-RO" w:eastAsia="ro-RO" w:bidi="hi-IN"/>
        </w:rPr>
        <w:t>(inclusiv cu transportul public)</w:t>
      </w:r>
      <w:r w:rsidRPr="00504D4E">
        <w:rPr>
          <w:rFonts w:ascii="Arial" w:eastAsia="Times New Roman" w:hAnsi="Arial" w:cs="Arial"/>
          <w:kern w:val="1"/>
          <w:lang w:val="es-ES" w:eastAsia="ro-RO" w:bidi="hi-IN"/>
        </w:rPr>
        <w:t>, a atractivitǎții spațiilor publice, a condițiilor de deplasare și a infrastructurii rutiere existente. Limitarea calitatii vietii in oras se datoreaza in principal gradului ridicat de utilizare a autovehiculului personal pentru toate genurile de deplasari (atat pentru munca si afaceri, cat si pentru cele in interes personal si de divertisment, indiferent de lungimea calatoriei) ceea ce conduce la congestii in trafic care au drept consecinta timp pierdut, nivel ridicat al noxelor, consum crescut de combustibil etc.</w:t>
      </w:r>
    </w:p>
    <w:p w14:paraId="44B599C4" w14:textId="77777777" w:rsidR="00504D4E" w:rsidRPr="00504D4E" w:rsidRDefault="00504D4E" w:rsidP="00504D4E">
      <w:pPr>
        <w:widowControl w:val="0"/>
        <w:suppressAutoHyphens/>
        <w:spacing w:after="0" w:line="276" w:lineRule="auto"/>
        <w:jc w:val="both"/>
        <w:rPr>
          <w:rFonts w:ascii="Arial" w:eastAsia="Times New Roman" w:hAnsi="Arial" w:cs="Arial"/>
          <w:kern w:val="1"/>
          <w:lang w:val="es-ES" w:eastAsia="ro-RO" w:bidi="hi-IN"/>
        </w:rPr>
      </w:pPr>
    </w:p>
    <w:p w14:paraId="05D8C7AD" w14:textId="77777777" w:rsidR="00504D4E" w:rsidRPr="00504D4E" w:rsidRDefault="00504D4E" w:rsidP="00504D4E">
      <w:pPr>
        <w:suppressAutoHyphens/>
        <w:autoSpaceDE w:val="0"/>
        <w:spacing w:after="0" w:line="276" w:lineRule="auto"/>
        <w:jc w:val="both"/>
        <w:rPr>
          <w:rFonts w:ascii="Arial" w:eastAsia="Arial" w:hAnsi="Arial" w:cs="Arial"/>
          <w:color w:val="000000"/>
          <w:lang w:val="es-ES" w:eastAsia="zh-CN"/>
        </w:rPr>
      </w:pPr>
      <w:r w:rsidRPr="00504D4E">
        <w:rPr>
          <w:rFonts w:ascii="Arial" w:eastAsia="Arial" w:hAnsi="Arial" w:cs="Arial"/>
          <w:color w:val="000000"/>
          <w:lang w:val="es-ES" w:eastAsia="zh-CN"/>
        </w:rPr>
        <w:t>Pentru evaluarea impactului actual al mobilitatii din punct de vedere al calitatii vietii si pentru a se putea compara scenariul de baza cu scenariile care vor fi propuse in capitolele urmatoare a fost ales urmatorul indicator:</w:t>
      </w:r>
    </w:p>
    <w:p w14:paraId="6870F8A9" w14:textId="77777777" w:rsidR="00504D4E" w:rsidRPr="00504D4E" w:rsidRDefault="00504D4E" w:rsidP="00504D4E">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504D4E">
        <w:rPr>
          <w:rFonts w:ascii="Arial" w:eastAsia="Arial" w:hAnsi="Arial" w:cs="Arial"/>
          <w:color w:val="000000"/>
          <w:lang w:eastAsia="zh-CN"/>
        </w:rPr>
        <w:lastRenderedPageBreak/>
        <w:t>Lungimea cozilor de asteptare.</w:t>
      </w:r>
    </w:p>
    <w:p w14:paraId="510049CE" w14:textId="77777777" w:rsidR="00504D4E" w:rsidRPr="00504D4E" w:rsidRDefault="00504D4E" w:rsidP="00504D4E">
      <w:pPr>
        <w:suppressAutoHyphens/>
        <w:autoSpaceDE w:val="0"/>
        <w:spacing w:after="0" w:line="360" w:lineRule="auto"/>
        <w:jc w:val="both"/>
        <w:rPr>
          <w:rFonts w:ascii="Arial" w:eastAsia="Calibri" w:hAnsi="Arial" w:cs="Arial"/>
          <w:color w:val="000000"/>
          <w:sz w:val="20"/>
          <w:szCs w:val="28"/>
          <w:lang w:eastAsia="zh-CN"/>
        </w:rPr>
      </w:pPr>
    </w:p>
    <w:p w14:paraId="131C3895" w14:textId="77777777" w:rsidR="00504D4E" w:rsidRPr="00504D4E" w:rsidRDefault="00504D4E" w:rsidP="00504D4E">
      <w:pPr>
        <w:suppressAutoHyphens/>
        <w:autoSpaceDE w:val="0"/>
        <w:spacing w:after="0" w:line="360" w:lineRule="auto"/>
        <w:jc w:val="both"/>
        <w:rPr>
          <w:rFonts w:ascii="Arial" w:eastAsia="Calibri" w:hAnsi="Arial" w:cs="Arial"/>
          <w:color w:val="000000"/>
          <w:lang w:eastAsia="zh-CN"/>
        </w:rPr>
      </w:pPr>
      <w:r w:rsidRPr="0062376F">
        <w:rPr>
          <w:rFonts w:ascii="Arial" w:eastAsia="Calibri" w:hAnsi="Arial" w:cs="Arial"/>
          <w:color w:val="000000"/>
          <w:lang w:eastAsia="zh-CN"/>
        </w:rPr>
        <w:t>Pentru anul de bază, lungimea cozilor de așteptare este prezentată în tabelul următor:</w:t>
      </w:r>
    </w:p>
    <w:p w14:paraId="3CB37050" w14:textId="77777777" w:rsidR="00504D4E" w:rsidRPr="00504D4E" w:rsidRDefault="00504D4E" w:rsidP="00504D4E">
      <w:pPr>
        <w:suppressAutoHyphens/>
        <w:autoSpaceDE w:val="0"/>
        <w:spacing w:after="0" w:line="360" w:lineRule="auto"/>
        <w:jc w:val="both"/>
        <w:rPr>
          <w:rFonts w:ascii="Arial" w:eastAsia="Calibri" w:hAnsi="Arial" w:cs="Arial"/>
          <w:color w:val="000000"/>
          <w:sz w:val="24"/>
          <w:szCs w:val="24"/>
          <w:highlight w:val="yellow"/>
          <w:lang w:eastAsia="zh-CN"/>
        </w:rPr>
      </w:pPr>
    </w:p>
    <w:p w14:paraId="4AE89224" w14:textId="796096A5" w:rsidR="00504D4E" w:rsidRPr="0062376F" w:rsidRDefault="00770D30" w:rsidP="00770D30">
      <w:pPr>
        <w:pStyle w:val="Legend"/>
        <w:jc w:val="center"/>
        <w:rPr>
          <w:rFonts w:ascii="Arial" w:eastAsia="Calibri" w:hAnsi="Arial" w:cs="Arial"/>
          <w:i w:val="0"/>
          <w:iCs w:val="0"/>
          <w:color w:val="000000"/>
          <w:sz w:val="22"/>
          <w:szCs w:val="22"/>
          <w:lang w:eastAsia="zh-CN"/>
        </w:rPr>
      </w:pPr>
      <w:bookmarkStart w:id="378" w:name="_Toc68361258"/>
      <w:bookmarkStart w:id="379" w:name="_Toc96447422"/>
      <w:r w:rsidRPr="00770D30">
        <w:rPr>
          <w:rFonts w:ascii="Arial" w:hAnsi="Arial" w:cs="Arial"/>
          <w:sz w:val="22"/>
          <w:szCs w:val="22"/>
        </w:rPr>
        <w:t xml:space="preserve">Tabel I.4. </w:t>
      </w:r>
      <w:r w:rsidRPr="00770D30">
        <w:rPr>
          <w:rFonts w:ascii="Arial" w:hAnsi="Arial" w:cs="Arial"/>
          <w:sz w:val="22"/>
          <w:szCs w:val="22"/>
        </w:rPr>
        <w:fldChar w:fldCharType="begin"/>
      </w:r>
      <w:r w:rsidRPr="00770D30">
        <w:rPr>
          <w:rFonts w:ascii="Arial" w:hAnsi="Arial" w:cs="Arial"/>
          <w:sz w:val="22"/>
          <w:szCs w:val="22"/>
        </w:rPr>
        <w:instrText xml:space="preserve"> SEQ Tabel_I.4. \* ARABIC </w:instrText>
      </w:r>
      <w:r w:rsidRPr="00770D30">
        <w:rPr>
          <w:rFonts w:ascii="Arial" w:hAnsi="Arial" w:cs="Arial"/>
          <w:sz w:val="22"/>
          <w:szCs w:val="22"/>
        </w:rPr>
        <w:fldChar w:fldCharType="separate"/>
      </w:r>
      <w:r w:rsidR="00BB181C">
        <w:rPr>
          <w:rFonts w:ascii="Arial" w:hAnsi="Arial" w:cs="Arial"/>
          <w:noProof/>
          <w:sz w:val="22"/>
          <w:szCs w:val="22"/>
        </w:rPr>
        <w:t>12</w:t>
      </w:r>
      <w:r w:rsidRPr="00770D30">
        <w:rPr>
          <w:rFonts w:ascii="Arial" w:hAnsi="Arial" w:cs="Arial"/>
          <w:sz w:val="22"/>
          <w:szCs w:val="22"/>
        </w:rPr>
        <w:fldChar w:fldCharType="end"/>
      </w:r>
      <w:r w:rsidRPr="00770D30">
        <w:rPr>
          <w:rFonts w:ascii="Arial" w:hAnsi="Arial" w:cs="Arial"/>
          <w:sz w:val="22"/>
          <w:szCs w:val="22"/>
        </w:rPr>
        <w:t xml:space="preserve"> </w:t>
      </w:r>
      <w:r w:rsidR="00504D4E" w:rsidRPr="0062376F">
        <w:rPr>
          <w:rFonts w:ascii="Arial" w:hAnsi="Arial" w:cs="Arial"/>
          <w:i w:val="0"/>
          <w:iCs w:val="0"/>
          <w:color w:val="1F497D"/>
          <w:sz w:val="22"/>
          <w:szCs w:val="22"/>
        </w:rPr>
        <w:t>- Lungimea cozilor de asteptare 2021 (veh)</w:t>
      </w:r>
      <w:bookmarkEnd w:id="378"/>
      <w:bookmarkEnd w:id="3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3292"/>
        <w:gridCol w:w="3292"/>
      </w:tblGrid>
      <w:tr w:rsidR="0062376F" w:rsidRPr="00BE6EE4" w14:paraId="22ECF924" w14:textId="77777777" w:rsidTr="00CE76B6">
        <w:trPr>
          <w:jc w:val="center"/>
        </w:trPr>
        <w:tc>
          <w:tcPr>
            <w:tcW w:w="1204" w:type="dxa"/>
            <w:shd w:val="clear" w:color="auto" w:fill="D9D9D9"/>
          </w:tcPr>
          <w:p w14:paraId="794E82C2" w14:textId="77777777" w:rsidR="0062376F" w:rsidRPr="00BE6EE4" w:rsidRDefault="0062376F" w:rsidP="00CE76B6">
            <w:pPr>
              <w:suppressAutoHyphens/>
              <w:autoSpaceDE w:val="0"/>
              <w:spacing w:before="60" w:after="60" w:line="240" w:lineRule="auto"/>
              <w:jc w:val="center"/>
              <w:rPr>
                <w:rFonts w:ascii="Arial" w:eastAsia="Calibri" w:hAnsi="Arial" w:cs="Arial"/>
                <w:b/>
                <w:color w:val="000000"/>
                <w:lang w:eastAsia="zh-CN"/>
              </w:rPr>
            </w:pPr>
            <w:r w:rsidRPr="00BE6EE4">
              <w:rPr>
                <w:rFonts w:ascii="Arial" w:eastAsia="Calibri" w:hAnsi="Arial" w:cs="Arial"/>
                <w:b/>
                <w:color w:val="000000"/>
                <w:lang w:eastAsia="zh-CN"/>
              </w:rPr>
              <w:t>2021</w:t>
            </w:r>
          </w:p>
        </w:tc>
        <w:tc>
          <w:tcPr>
            <w:tcW w:w="3292" w:type="dxa"/>
            <w:shd w:val="clear" w:color="auto" w:fill="D9D9D9"/>
          </w:tcPr>
          <w:p w14:paraId="53FB433D" w14:textId="77777777" w:rsidR="0062376F" w:rsidRPr="00BE6EE4" w:rsidRDefault="0062376F" w:rsidP="00CE76B6">
            <w:pPr>
              <w:suppressAutoHyphens/>
              <w:autoSpaceDE w:val="0"/>
              <w:spacing w:before="60" w:after="60" w:line="240" w:lineRule="auto"/>
              <w:jc w:val="center"/>
              <w:rPr>
                <w:rFonts w:ascii="Arial" w:eastAsia="Calibri" w:hAnsi="Arial" w:cs="Arial"/>
                <w:b/>
                <w:color w:val="000000"/>
                <w:lang w:eastAsia="zh-CN"/>
              </w:rPr>
            </w:pPr>
            <w:r w:rsidRPr="00BE6EE4">
              <w:rPr>
                <w:rFonts w:ascii="Arial" w:eastAsia="Calibri" w:hAnsi="Arial" w:cs="Arial"/>
                <w:b/>
                <w:color w:val="000000"/>
                <w:lang w:eastAsia="zh-CN"/>
              </w:rPr>
              <w:t>Lungimea cozii medii</w:t>
            </w:r>
          </w:p>
        </w:tc>
        <w:tc>
          <w:tcPr>
            <w:tcW w:w="3292" w:type="dxa"/>
            <w:shd w:val="clear" w:color="auto" w:fill="D9D9D9"/>
          </w:tcPr>
          <w:p w14:paraId="694F5140" w14:textId="77777777" w:rsidR="0062376F" w:rsidRPr="00BE6EE4" w:rsidRDefault="0062376F" w:rsidP="00CE76B6">
            <w:pPr>
              <w:suppressAutoHyphens/>
              <w:autoSpaceDE w:val="0"/>
              <w:spacing w:before="60" w:after="60" w:line="240" w:lineRule="auto"/>
              <w:jc w:val="center"/>
              <w:rPr>
                <w:rFonts w:ascii="Arial" w:eastAsia="Calibri" w:hAnsi="Arial" w:cs="Arial"/>
                <w:b/>
                <w:color w:val="000000"/>
                <w:lang w:eastAsia="zh-CN"/>
              </w:rPr>
            </w:pPr>
            <w:r w:rsidRPr="00BE6EE4">
              <w:rPr>
                <w:rFonts w:ascii="Arial" w:eastAsia="Calibri" w:hAnsi="Arial" w:cs="Arial"/>
                <w:b/>
                <w:color w:val="000000"/>
                <w:lang w:eastAsia="zh-CN"/>
              </w:rPr>
              <w:t>Lungimea cozii maxime</w:t>
            </w:r>
          </w:p>
        </w:tc>
      </w:tr>
      <w:tr w:rsidR="0062376F" w:rsidRPr="00BE6EE4" w14:paraId="4046546D" w14:textId="77777777" w:rsidTr="00CE76B6">
        <w:trPr>
          <w:jc w:val="center"/>
        </w:trPr>
        <w:tc>
          <w:tcPr>
            <w:tcW w:w="1204" w:type="dxa"/>
            <w:shd w:val="clear" w:color="auto" w:fill="D9D9D9"/>
          </w:tcPr>
          <w:p w14:paraId="781E9B56" w14:textId="77777777" w:rsidR="0062376F" w:rsidRPr="00BE6EE4" w:rsidRDefault="0062376F" w:rsidP="00CE76B6">
            <w:pPr>
              <w:suppressAutoHyphens/>
              <w:autoSpaceDE w:val="0"/>
              <w:spacing w:before="60" w:after="60" w:line="240" w:lineRule="auto"/>
              <w:jc w:val="center"/>
              <w:rPr>
                <w:rFonts w:ascii="Arial" w:eastAsia="Calibri" w:hAnsi="Arial" w:cs="Arial"/>
                <w:color w:val="000000"/>
                <w:lang w:eastAsia="zh-CN"/>
              </w:rPr>
            </w:pPr>
            <w:r w:rsidRPr="00BE6EE4">
              <w:rPr>
                <w:rFonts w:ascii="Arial" w:eastAsia="Calibri" w:hAnsi="Arial" w:cs="Arial"/>
                <w:color w:val="000000"/>
                <w:lang w:eastAsia="zh-CN"/>
              </w:rPr>
              <w:t>AM</w:t>
            </w:r>
          </w:p>
        </w:tc>
        <w:tc>
          <w:tcPr>
            <w:tcW w:w="3292" w:type="dxa"/>
            <w:shd w:val="clear" w:color="auto" w:fill="auto"/>
          </w:tcPr>
          <w:p w14:paraId="493A3A76" w14:textId="77777777" w:rsidR="0062376F" w:rsidRPr="00BE6EE4" w:rsidRDefault="0062376F" w:rsidP="00CE76B6">
            <w:pPr>
              <w:pStyle w:val="Default"/>
              <w:spacing w:before="60" w:after="60"/>
              <w:jc w:val="center"/>
              <w:rPr>
                <w:rFonts w:ascii="Arial" w:hAnsi="Arial" w:cs="Arial"/>
                <w:color w:val="auto"/>
                <w:sz w:val="22"/>
                <w:szCs w:val="22"/>
                <w:highlight w:val="red"/>
              </w:rPr>
            </w:pPr>
            <w:r w:rsidRPr="00BE6EE4">
              <w:rPr>
                <w:rFonts w:ascii="Arial" w:hAnsi="Arial" w:cs="Arial"/>
                <w:sz w:val="22"/>
                <w:szCs w:val="22"/>
              </w:rPr>
              <w:t>0,24</w:t>
            </w:r>
          </w:p>
        </w:tc>
        <w:tc>
          <w:tcPr>
            <w:tcW w:w="3292" w:type="dxa"/>
            <w:shd w:val="clear" w:color="auto" w:fill="auto"/>
          </w:tcPr>
          <w:p w14:paraId="59E1A366" w14:textId="77777777" w:rsidR="0062376F" w:rsidRPr="00BE6EE4" w:rsidRDefault="0062376F" w:rsidP="00CE76B6">
            <w:pPr>
              <w:pStyle w:val="Default"/>
              <w:spacing w:before="60" w:after="60"/>
              <w:jc w:val="center"/>
              <w:rPr>
                <w:rFonts w:ascii="Arial" w:hAnsi="Arial" w:cs="Arial"/>
                <w:color w:val="auto"/>
                <w:sz w:val="22"/>
                <w:szCs w:val="22"/>
                <w:highlight w:val="red"/>
              </w:rPr>
            </w:pPr>
            <w:r w:rsidRPr="00BE6EE4">
              <w:rPr>
                <w:rFonts w:ascii="Arial" w:hAnsi="Arial" w:cs="Arial"/>
                <w:sz w:val="22"/>
                <w:szCs w:val="22"/>
              </w:rPr>
              <w:t>1,39</w:t>
            </w:r>
          </w:p>
        </w:tc>
      </w:tr>
      <w:tr w:rsidR="0062376F" w:rsidRPr="00BE6EE4" w14:paraId="2B316BB8" w14:textId="77777777" w:rsidTr="00CE76B6">
        <w:trPr>
          <w:jc w:val="center"/>
        </w:trPr>
        <w:tc>
          <w:tcPr>
            <w:tcW w:w="1204" w:type="dxa"/>
            <w:shd w:val="clear" w:color="auto" w:fill="D9D9D9"/>
          </w:tcPr>
          <w:p w14:paraId="6521A14D" w14:textId="77777777" w:rsidR="0062376F" w:rsidRPr="00BE6EE4" w:rsidRDefault="0062376F" w:rsidP="00CE76B6">
            <w:pPr>
              <w:suppressAutoHyphens/>
              <w:autoSpaceDE w:val="0"/>
              <w:spacing w:before="60" w:after="60" w:line="240" w:lineRule="auto"/>
              <w:jc w:val="center"/>
              <w:rPr>
                <w:rFonts w:ascii="Arial" w:eastAsia="Calibri" w:hAnsi="Arial" w:cs="Arial"/>
                <w:color w:val="000000"/>
                <w:lang w:eastAsia="zh-CN"/>
              </w:rPr>
            </w:pPr>
            <w:r w:rsidRPr="00BE6EE4">
              <w:rPr>
                <w:rFonts w:ascii="Arial" w:eastAsia="Calibri" w:hAnsi="Arial" w:cs="Arial"/>
                <w:color w:val="000000"/>
                <w:lang w:eastAsia="zh-CN"/>
              </w:rPr>
              <w:t>PM</w:t>
            </w:r>
          </w:p>
        </w:tc>
        <w:tc>
          <w:tcPr>
            <w:tcW w:w="3292" w:type="dxa"/>
            <w:shd w:val="clear" w:color="auto" w:fill="auto"/>
          </w:tcPr>
          <w:p w14:paraId="563600A8" w14:textId="77777777" w:rsidR="0062376F" w:rsidRPr="00BE6EE4" w:rsidRDefault="0062376F" w:rsidP="00CE76B6">
            <w:pPr>
              <w:pStyle w:val="Default"/>
              <w:spacing w:before="60" w:after="60"/>
              <w:jc w:val="center"/>
              <w:rPr>
                <w:rFonts w:ascii="Arial" w:hAnsi="Arial" w:cs="Arial"/>
                <w:color w:val="auto"/>
                <w:sz w:val="22"/>
                <w:szCs w:val="22"/>
                <w:highlight w:val="red"/>
              </w:rPr>
            </w:pPr>
            <w:r w:rsidRPr="00BE6EE4">
              <w:rPr>
                <w:rFonts w:ascii="Arial" w:hAnsi="Arial" w:cs="Arial"/>
                <w:sz w:val="22"/>
                <w:szCs w:val="22"/>
              </w:rPr>
              <w:t>0,34</w:t>
            </w:r>
          </w:p>
        </w:tc>
        <w:tc>
          <w:tcPr>
            <w:tcW w:w="3292" w:type="dxa"/>
            <w:shd w:val="clear" w:color="auto" w:fill="auto"/>
          </w:tcPr>
          <w:p w14:paraId="70C40645" w14:textId="77777777" w:rsidR="0062376F" w:rsidRPr="00BE6EE4" w:rsidRDefault="0062376F" w:rsidP="00CE76B6">
            <w:pPr>
              <w:pStyle w:val="Default"/>
              <w:spacing w:before="60" w:after="60"/>
              <w:jc w:val="center"/>
              <w:rPr>
                <w:rFonts w:ascii="Arial" w:hAnsi="Arial" w:cs="Arial"/>
                <w:color w:val="auto"/>
                <w:sz w:val="22"/>
                <w:szCs w:val="22"/>
                <w:highlight w:val="red"/>
              </w:rPr>
            </w:pPr>
            <w:r w:rsidRPr="00BE6EE4">
              <w:rPr>
                <w:rFonts w:ascii="Arial" w:hAnsi="Arial" w:cs="Arial"/>
                <w:sz w:val="22"/>
                <w:szCs w:val="22"/>
              </w:rPr>
              <w:t>2,90</w:t>
            </w:r>
          </w:p>
        </w:tc>
      </w:tr>
      <w:tr w:rsidR="0062376F" w:rsidRPr="00BE6EE4" w14:paraId="45DA9E9C" w14:textId="77777777" w:rsidTr="00CE76B6">
        <w:trPr>
          <w:jc w:val="center"/>
        </w:trPr>
        <w:tc>
          <w:tcPr>
            <w:tcW w:w="1204" w:type="dxa"/>
            <w:shd w:val="clear" w:color="auto" w:fill="D9D9D9"/>
          </w:tcPr>
          <w:p w14:paraId="21FE45FE" w14:textId="77777777" w:rsidR="0062376F" w:rsidRPr="00BE6EE4" w:rsidRDefault="0062376F" w:rsidP="00CE76B6">
            <w:pPr>
              <w:suppressAutoHyphens/>
              <w:autoSpaceDE w:val="0"/>
              <w:spacing w:before="60" w:after="60" w:line="240" w:lineRule="auto"/>
              <w:jc w:val="center"/>
              <w:rPr>
                <w:rFonts w:ascii="Arial" w:eastAsia="Calibri" w:hAnsi="Arial" w:cs="Arial"/>
                <w:color w:val="000000"/>
                <w:lang w:eastAsia="zh-CN"/>
              </w:rPr>
            </w:pPr>
            <w:r w:rsidRPr="00BE6EE4">
              <w:rPr>
                <w:rFonts w:ascii="Arial" w:eastAsia="Calibri" w:hAnsi="Arial" w:cs="Arial"/>
                <w:color w:val="000000"/>
                <w:lang w:eastAsia="zh-CN"/>
              </w:rPr>
              <w:t>24 h</w:t>
            </w:r>
          </w:p>
        </w:tc>
        <w:tc>
          <w:tcPr>
            <w:tcW w:w="3292" w:type="dxa"/>
            <w:shd w:val="clear" w:color="auto" w:fill="auto"/>
          </w:tcPr>
          <w:p w14:paraId="32CFD413" w14:textId="77777777" w:rsidR="0062376F" w:rsidRPr="00BE6EE4" w:rsidRDefault="0062376F" w:rsidP="00CE76B6">
            <w:pPr>
              <w:pStyle w:val="Default"/>
              <w:spacing w:before="60" w:after="60"/>
              <w:jc w:val="center"/>
              <w:rPr>
                <w:rFonts w:ascii="Arial" w:hAnsi="Arial" w:cs="Arial"/>
                <w:sz w:val="22"/>
                <w:szCs w:val="22"/>
                <w:highlight w:val="red"/>
              </w:rPr>
            </w:pPr>
            <w:r w:rsidRPr="00BE6EE4">
              <w:rPr>
                <w:rFonts w:ascii="Arial" w:hAnsi="Arial" w:cs="Arial"/>
                <w:sz w:val="22"/>
                <w:szCs w:val="22"/>
              </w:rPr>
              <w:t>0,15</w:t>
            </w:r>
          </w:p>
        </w:tc>
        <w:tc>
          <w:tcPr>
            <w:tcW w:w="3292" w:type="dxa"/>
            <w:shd w:val="clear" w:color="auto" w:fill="auto"/>
          </w:tcPr>
          <w:p w14:paraId="6A07BC95" w14:textId="77777777" w:rsidR="0062376F" w:rsidRPr="00BE6EE4" w:rsidRDefault="0062376F" w:rsidP="00CE76B6">
            <w:pPr>
              <w:pStyle w:val="Default"/>
              <w:spacing w:before="60" w:after="60"/>
              <w:jc w:val="center"/>
              <w:rPr>
                <w:rFonts w:ascii="Arial" w:hAnsi="Arial" w:cs="Arial"/>
                <w:sz w:val="22"/>
                <w:szCs w:val="22"/>
                <w:highlight w:val="red"/>
              </w:rPr>
            </w:pPr>
            <w:r w:rsidRPr="00BE6EE4">
              <w:rPr>
                <w:rFonts w:ascii="Arial" w:hAnsi="Arial" w:cs="Arial"/>
                <w:sz w:val="22"/>
                <w:szCs w:val="22"/>
              </w:rPr>
              <w:t>2,90</w:t>
            </w:r>
          </w:p>
        </w:tc>
      </w:tr>
    </w:tbl>
    <w:p w14:paraId="587384F9" w14:textId="77777777" w:rsidR="00504D4E" w:rsidRPr="00504D4E" w:rsidRDefault="00504D4E" w:rsidP="00504D4E">
      <w:pPr>
        <w:suppressAutoHyphens/>
        <w:autoSpaceDE w:val="0"/>
        <w:spacing w:after="0" w:line="360" w:lineRule="auto"/>
        <w:jc w:val="center"/>
        <w:rPr>
          <w:rFonts w:ascii="Arial" w:eastAsia="Calibri" w:hAnsi="Arial" w:cs="Arial"/>
          <w:color w:val="000000"/>
          <w:sz w:val="24"/>
          <w:szCs w:val="24"/>
          <w:lang w:eastAsia="zh-CN"/>
        </w:rPr>
      </w:pPr>
    </w:p>
    <w:p w14:paraId="62C12676" w14:textId="77777777" w:rsidR="00504D4E" w:rsidRPr="00504D4E" w:rsidRDefault="00504D4E" w:rsidP="00504D4E">
      <w:pPr>
        <w:suppressAutoHyphens/>
        <w:autoSpaceDE w:val="0"/>
        <w:spacing w:after="0" w:line="276" w:lineRule="auto"/>
        <w:jc w:val="both"/>
        <w:rPr>
          <w:rFonts w:ascii="Arial" w:eastAsia="Calibri" w:hAnsi="Arial" w:cs="Arial"/>
          <w:color w:val="000000"/>
          <w:lang w:val="es-ES" w:eastAsia="zh-CN"/>
        </w:rPr>
      </w:pPr>
      <w:r w:rsidRPr="00504D4E">
        <w:rPr>
          <w:rFonts w:ascii="Arial" w:eastAsia="Calibri" w:hAnsi="Arial" w:cs="Arial"/>
          <w:color w:val="000000"/>
          <w:lang w:val="es-ES" w:eastAsia="zh-CN"/>
        </w:rPr>
        <w:t>Un rezumat al problemelor identificate în cadrul analizei situației actuale, în ordinea importanței acestora este prezentat în tabelul următor:</w:t>
      </w:r>
    </w:p>
    <w:p w14:paraId="26ED6D30" w14:textId="77777777" w:rsidR="00504D4E" w:rsidRPr="00504D4E" w:rsidRDefault="00504D4E" w:rsidP="00504D4E">
      <w:pPr>
        <w:suppressAutoHyphens/>
        <w:autoSpaceDE w:val="0"/>
        <w:spacing w:after="0" w:line="360" w:lineRule="auto"/>
        <w:jc w:val="both"/>
        <w:rPr>
          <w:rFonts w:ascii="Arial" w:eastAsia="Calibri" w:hAnsi="Arial" w:cs="Arial"/>
          <w:color w:val="000000"/>
          <w:sz w:val="24"/>
          <w:szCs w:val="24"/>
          <w:lang w:val="es-E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4"/>
        <w:gridCol w:w="4935"/>
      </w:tblGrid>
      <w:tr w:rsidR="00504D4E" w:rsidRPr="00504D4E" w14:paraId="552A520A" w14:textId="77777777" w:rsidTr="00C735D2">
        <w:tc>
          <w:tcPr>
            <w:tcW w:w="4934" w:type="dxa"/>
            <w:shd w:val="clear" w:color="auto" w:fill="D9D9D9"/>
          </w:tcPr>
          <w:p w14:paraId="7D8288A0" w14:textId="77777777" w:rsidR="00504D4E" w:rsidRPr="00504D4E" w:rsidRDefault="00504D4E" w:rsidP="00504D4E">
            <w:pPr>
              <w:widowControl w:val="0"/>
              <w:autoSpaceDE w:val="0"/>
              <w:autoSpaceDN w:val="0"/>
              <w:adjustRightInd w:val="0"/>
              <w:spacing w:after="0" w:line="276" w:lineRule="auto"/>
              <w:jc w:val="center"/>
              <w:rPr>
                <w:rFonts w:ascii="Arial" w:hAnsi="Arial" w:cs="Arial"/>
                <w:b/>
                <w:kern w:val="1"/>
                <w:sz w:val="18"/>
                <w:szCs w:val="18"/>
                <w:lang w:val="ro-RO" w:eastAsia="hi-IN" w:bidi="hi-IN"/>
              </w:rPr>
            </w:pPr>
            <w:r w:rsidRPr="00504D4E">
              <w:rPr>
                <w:rFonts w:ascii="Arial" w:hAnsi="Arial" w:cs="Arial"/>
                <w:b/>
                <w:kern w:val="1"/>
                <w:sz w:val="18"/>
                <w:szCs w:val="18"/>
                <w:lang w:val="ro-RO" w:eastAsia="hi-IN" w:bidi="hi-IN"/>
              </w:rPr>
              <w:t>Problema identificată</w:t>
            </w:r>
          </w:p>
        </w:tc>
        <w:tc>
          <w:tcPr>
            <w:tcW w:w="4935" w:type="dxa"/>
            <w:shd w:val="clear" w:color="auto" w:fill="D9D9D9"/>
          </w:tcPr>
          <w:p w14:paraId="13C05930" w14:textId="77777777" w:rsidR="00504D4E" w:rsidRPr="00504D4E" w:rsidRDefault="00504D4E" w:rsidP="00504D4E">
            <w:pPr>
              <w:widowControl w:val="0"/>
              <w:autoSpaceDE w:val="0"/>
              <w:autoSpaceDN w:val="0"/>
              <w:adjustRightInd w:val="0"/>
              <w:spacing w:after="0" w:line="276" w:lineRule="auto"/>
              <w:jc w:val="center"/>
              <w:rPr>
                <w:rFonts w:ascii="Arial" w:hAnsi="Arial" w:cs="Arial"/>
                <w:b/>
                <w:kern w:val="1"/>
                <w:sz w:val="18"/>
                <w:szCs w:val="18"/>
                <w:lang w:val="ro-RO" w:eastAsia="hi-IN" w:bidi="hi-IN"/>
              </w:rPr>
            </w:pPr>
            <w:r w:rsidRPr="00504D4E">
              <w:rPr>
                <w:rFonts w:ascii="Arial" w:hAnsi="Arial" w:cs="Arial"/>
                <w:b/>
                <w:kern w:val="1"/>
                <w:sz w:val="18"/>
                <w:szCs w:val="18"/>
                <w:lang w:val="ro-RO" w:eastAsia="hi-IN" w:bidi="hi-IN"/>
              </w:rPr>
              <w:t>Solutie</w:t>
            </w:r>
          </w:p>
        </w:tc>
      </w:tr>
      <w:tr w:rsidR="00504D4E" w:rsidRPr="00504D4E" w14:paraId="571A0E76" w14:textId="77777777" w:rsidTr="00C735D2">
        <w:tc>
          <w:tcPr>
            <w:tcW w:w="4934" w:type="dxa"/>
          </w:tcPr>
          <w:p w14:paraId="539A2E09"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Multe deplasări se efectuează cu automobilul personal.</w:t>
            </w:r>
          </w:p>
        </w:tc>
        <w:tc>
          <w:tcPr>
            <w:tcW w:w="4935" w:type="dxa"/>
          </w:tcPr>
          <w:p w14:paraId="5CE4F864"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Crearea condițiilor pentru dezvoltarea și promovarea modurilor alternative de deplasare</w:t>
            </w:r>
          </w:p>
        </w:tc>
      </w:tr>
      <w:tr w:rsidR="00504D4E" w:rsidRPr="00504D4E" w14:paraId="2AAC81D5" w14:textId="77777777" w:rsidTr="00C735D2">
        <w:tc>
          <w:tcPr>
            <w:tcW w:w="4934" w:type="dxa"/>
          </w:tcPr>
          <w:p w14:paraId="1DA9A18E" w14:textId="00A45D18"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 xml:space="preserve">Nu există </w:t>
            </w:r>
            <w:r w:rsidR="006E163D">
              <w:rPr>
                <w:rFonts w:ascii="Arial" w:hAnsi="Arial" w:cs="Arial"/>
                <w:kern w:val="1"/>
                <w:sz w:val="18"/>
                <w:szCs w:val="18"/>
                <w:lang w:val="es-ES" w:eastAsia="hi-IN" w:bidi="hi-IN"/>
              </w:rPr>
              <w:t>infrastructură</w:t>
            </w:r>
            <w:r w:rsidRPr="00504D4E">
              <w:rPr>
                <w:rFonts w:ascii="Arial" w:hAnsi="Arial" w:cs="Arial"/>
                <w:kern w:val="1"/>
                <w:sz w:val="18"/>
                <w:szCs w:val="18"/>
                <w:lang w:val="es-ES" w:eastAsia="hi-IN" w:bidi="hi-IN"/>
              </w:rPr>
              <w:t xml:space="preserve"> pentru bicicl</w:t>
            </w:r>
            <w:r w:rsidR="006E163D">
              <w:rPr>
                <w:rFonts w:ascii="Arial" w:hAnsi="Arial" w:cs="Arial"/>
                <w:kern w:val="1"/>
                <w:sz w:val="18"/>
                <w:szCs w:val="18"/>
                <w:lang w:val="es-ES" w:eastAsia="hi-IN" w:bidi="hi-IN"/>
              </w:rPr>
              <w:t>ete</w:t>
            </w:r>
            <w:r w:rsidRPr="00504D4E">
              <w:rPr>
                <w:rFonts w:ascii="Arial" w:hAnsi="Arial" w:cs="Arial"/>
                <w:kern w:val="1"/>
                <w:sz w:val="18"/>
                <w:szCs w:val="18"/>
                <w:lang w:val="es-ES" w:eastAsia="hi-IN" w:bidi="hi-IN"/>
              </w:rPr>
              <w:t>.</w:t>
            </w:r>
          </w:p>
        </w:tc>
        <w:tc>
          <w:tcPr>
            <w:tcW w:w="4935" w:type="dxa"/>
          </w:tcPr>
          <w:p w14:paraId="0FA79284" w14:textId="13DAF431"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 xml:space="preserve">Construirea retelei de </w:t>
            </w:r>
            <w:r w:rsidR="006E163D">
              <w:rPr>
                <w:rFonts w:ascii="Arial" w:hAnsi="Arial" w:cs="Arial"/>
                <w:kern w:val="1"/>
                <w:sz w:val="18"/>
                <w:szCs w:val="18"/>
                <w:lang w:val="es-ES" w:eastAsia="hi-IN" w:bidi="hi-IN"/>
              </w:rPr>
              <w:t>trasee</w:t>
            </w:r>
            <w:r w:rsidRPr="00504D4E">
              <w:rPr>
                <w:rFonts w:ascii="Arial" w:hAnsi="Arial" w:cs="Arial"/>
                <w:kern w:val="1"/>
                <w:sz w:val="18"/>
                <w:szCs w:val="18"/>
                <w:lang w:val="es-ES" w:eastAsia="hi-IN" w:bidi="hi-IN"/>
              </w:rPr>
              <w:t xml:space="preserve"> pentru biciclete.</w:t>
            </w:r>
          </w:p>
        </w:tc>
      </w:tr>
      <w:tr w:rsidR="00504D4E" w:rsidRPr="00504D4E" w14:paraId="7724BD03" w14:textId="77777777" w:rsidTr="00C735D2">
        <w:tc>
          <w:tcPr>
            <w:tcW w:w="4934" w:type="dxa"/>
          </w:tcPr>
          <w:p w14:paraId="36FDA4D7" w14:textId="35879786"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 xml:space="preserve">Nu există centre pentru </w:t>
            </w:r>
            <w:r w:rsidR="006E163D">
              <w:rPr>
                <w:rFonts w:ascii="Arial" w:hAnsi="Arial" w:cs="Arial"/>
                <w:kern w:val="1"/>
                <w:sz w:val="18"/>
                <w:szCs w:val="18"/>
                <w:lang w:val="es-ES" w:eastAsia="hi-IN" w:bidi="hi-IN"/>
              </w:rPr>
              <w:t>î</w:t>
            </w:r>
            <w:r w:rsidRPr="00504D4E">
              <w:rPr>
                <w:rFonts w:ascii="Arial" w:hAnsi="Arial" w:cs="Arial"/>
                <w:kern w:val="1"/>
                <w:sz w:val="18"/>
                <w:szCs w:val="18"/>
                <w:lang w:val="es-ES" w:eastAsia="hi-IN" w:bidi="hi-IN"/>
              </w:rPr>
              <w:t>nchirierea bicicletelor.</w:t>
            </w:r>
          </w:p>
        </w:tc>
        <w:tc>
          <w:tcPr>
            <w:tcW w:w="4935" w:type="dxa"/>
          </w:tcPr>
          <w:p w14:paraId="3BA9AB7D"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Înființarea de centre pentru închirierea bicicletelor.</w:t>
            </w:r>
          </w:p>
        </w:tc>
      </w:tr>
      <w:tr w:rsidR="00504D4E" w:rsidRPr="00504D4E" w14:paraId="695A4871" w14:textId="77777777" w:rsidTr="00C735D2">
        <w:tc>
          <w:tcPr>
            <w:tcW w:w="4934" w:type="dxa"/>
          </w:tcPr>
          <w:p w14:paraId="57741DCA"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Nu există parcări pentru biciclete.</w:t>
            </w:r>
          </w:p>
        </w:tc>
        <w:tc>
          <w:tcPr>
            <w:tcW w:w="4935" w:type="dxa"/>
          </w:tcPr>
          <w:p w14:paraId="1CA7B869"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Construirea de parcări pentru biciclete.</w:t>
            </w:r>
          </w:p>
        </w:tc>
      </w:tr>
      <w:tr w:rsidR="00504D4E" w:rsidRPr="00504D4E" w14:paraId="0D394BF1" w14:textId="77777777" w:rsidTr="00C735D2">
        <w:tc>
          <w:tcPr>
            <w:tcW w:w="4934" w:type="dxa"/>
          </w:tcPr>
          <w:p w14:paraId="479A0F03"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504D4E">
              <w:rPr>
                <w:rFonts w:ascii="Arial" w:hAnsi="Arial" w:cs="Arial"/>
                <w:kern w:val="1"/>
                <w:sz w:val="18"/>
                <w:szCs w:val="18"/>
                <w:lang w:val="ro-RO" w:eastAsia="hi-IN" w:bidi="hi-IN"/>
              </w:rPr>
              <w:t>Cvasi-absenta  zonelor pietonale.</w:t>
            </w:r>
          </w:p>
        </w:tc>
        <w:tc>
          <w:tcPr>
            <w:tcW w:w="4935" w:type="dxa"/>
          </w:tcPr>
          <w:p w14:paraId="7C3EB882"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504D4E">
              <w:rPr>
                <w:rFonts w:ascii="Arial" w:hAnsi="Arial" w:cs="Arial"/>
                <w:kern w:val="1"/>
                <w:sz w:val="18"/>
                <w:szCs w:val="18"/>
                <w:lang w:val="ro-RO" w:eastAsia="hi-IN" w:bidi="hi-IN"/>
              </w:rPr>
              <w:t>Crearea de noi zone pietonale.</w:t>
            </w:r>
          </w:p>
        </w:tc>
      </w:tr>
      <w:tr w:rsidR="00504D4E" w:rsidRPr="00504D4E" w14:paraId="719AE25C" w14:textId="77777777" w:rsidTr="00C735D2">
        <w:tc>
          <w:tcPr>
            <w:tcW w:w="4934" w:type="dxa"/>
          </w:tcPr>
          <w:p w14:paraId="6A2301A3"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504D4E">
              <w:rPr>
                <w:rFonts w:ascii="Arial" w:hAnsi="Arial" w:cs="Arial"/>
                <w:kern w:val="1"/>
                <w:sz w:val="18"/>
                <w:szCs w:val="18"/>
                <w:lang w:val="ro-RO" w:eastAsia="hi-IN" w:bidi="hi-IN"/>
              </w:rPr>
              <w:t>Spațiile pietonale existente (trotuare) sunt in marea majoritate in stare precara</w:t>
            </w:r>
          </w:p>
        </w:tc>
        <w:tc>
          <w:tcPr>
            <w:tcW w:w="4935" w:type="dxa"/>
          </w:tcPr>
          <w:p w14:paraId="5C02C70B"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Reabilitarea trotuarelor și eliminarea obstacolelor  de pe acestea.</w:t>
            </w:r>
          </w:p>
        </w:tc>
      </w:tr>
      <w:tr w:rsidR="00504D4E" w:rsidRPr="00504D4E" w14:paraId="3EA6C173" w14:textId="77777777" w:rsidTr="00C735D2">
        <w:tc>
          <w:tcPr>
            <w:tcW w:w="4934" w:type="dxa"/>
          </w:tcPr>
          <w:p w14:paraId="5DEADCCE"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504D4E">
              <w:rPr>
                <w:rFonts w:ascii="Arial" w:hAnsi="Arial" w:cs="Arial"/>
                <w:kern w:val="1"/>
                <w:sz w:val="18"/>
                <w:szCs w:val="18"/>
                <w:lang w:val="ro-RO" w:eastAsia="hi-IN" w:bidi="hi-IN"/>
              </w:rPr>
              <w:t>Nu exista un sistem de transport public .</w:t>
            </w:r>
          </w:p>
        </w:tc>
        <w:tc>
          <w:tcPr>
            <w:tcW w:w="4935" w:type="dxa"/>
          </w:tcPr>
          <w:p w14:paraId="1625AE92"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Introducerea serviciului de transport public atât în interiorul orașului, cât și catre localitatile componente.</w:t>
            </w:r>
          </w:p>
        </w:tc>
      </w:tr>
      <w:tr w:rsidR="00504D4E" w:rsidRPr="00504D4E" w14:paraId="696067A4" w14:textId="77777777" w:rsidTr="00C735D2">
        <w:tc>
          <w:tcPr>
            <w:tcW w:w="4934" w:type="dxa"/>
          </w:tcPr>
          <w:p w14:paraId="1E582B47"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504D4E">
              <w:rPr>
                <w:rFonts w:ascii="Arial" w:hAnsi="Arial" w:cs="Arial"/>
                <w:kern w:val="1"/>
                <w:sz w:val="18"/>
                <w:szCs w:val="18"/>
                <w:lang w:val="ro-RO" w:eastAsia="hi-IN" w:bidi="hi-IN"/>
              </w:rPr>
              <w:t>Lipsa unui parc de vehicule pentru transport public.</w:t>
            </w:r>
          </w:p>
        </w:tc>
        <w:tc>
          <w:tcPr>
            <w:tcW w:w="4935" w:type="dxa"/>
          </w:tcPr>
          <w:p w14:paraId="3780F5BF"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Achizitionarea de vehicule nepoluante pentru transport public.</w:t>
            </w:r>
          </w:p>
        </w:tc>
      </w:tr>
      <w:tr w:rsidR="00504D4E" w:rsidRPr="00504D4E" w14:paraId="086D3C73" w14:textId="77777777" w:rsidTr="00C735D2">
        <w:tc>
          <w:tcPr>
            <w:tcW w:w="4934" w:type="dxa"/>
          </w:tcPr>
          <w:p w14:paraId="3274F4D1"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ro-RO" w:bidi="hi-IN"/>
              </w:rPr>
              <w:t>Lipsa parcărilor colective de medie/mare capacitate în zonele intens solicitate de trafic staţionar (zona centrală şi cartiere de locuinţe colective, dar si in zonele cu potential turistic ridicat)</w:t>
            </w:r>
          </w:p>
        </w:tc>
        <w:tc>
          <w:tcPr>
            <w:tcW w:w="4935" w:type="dxa"/>
          </w:tcPr>
          <w:p w14:paraId="4BE0C187" w14:textId="77777777" w:rsidR="00504D4E" w:rsidRPr="00504D4E" w:rsidRDefault="00504D4E" w:rsidP="00504D4E">
            <w:pPr>
              <w:widowControl w:val="0"/>
              <w:tabs>
                <w:tab w:val="left" w:pos="1141"/>
              </w:tabs>
              <w:autoSpaceDE w:val="0"/>
              <w:autoSpaceDN w:val="0"/>
              <w:adjustRightInd w:val="0"/>
              <w:spacing w:after="0" w:line="276" w:lineRule="auto"/>
              <w:jc w:val="both"/>
              <w:rPr>
                <w:rFonts w:ascii="Arial" w:hAnsi="Arial" w:cs="Arial"/>
                <w:kern w:val="1"/>
                <w:sz w:val="18"/>
                <w:szCs w:val="18"/>
                <w:lang w:val="es-ES" w:eastAsia="hi-IN" w:bidi="hi-IN"/>
              </w:rPr>
            </w:pPr>
            <w:r w:rsidRPr="00504D4E">
              <w:rPr>
                <w:rFonts w:ascii="Arial" w:hAnsi="Arial" w:cs="Arial"/>
                <w:kern w:val="1"/>
                <w:sz w:val="18"/>
                <w:szCs w:val="18"/>
                <w:lang w:val="es-ES" w:eastAsia="hi-IN" w:bidi="hi-IN"/>
              </w:rPr>
              <w:t>Construirea de parcari colective de medie/mare capacitate.</w:t>
            </w:r>
          </w:p>
        </w:tc>
      </w:tr>
      <w:tr w:rsidR="00504D4E" w:rsidRPr="00504D4E" w14:paraId="5595F19A" w14:textId="77777777" w:rsidTr="00C735D2">
        <w:tc>
          <w:tcPr>
            <w:tcW w:w="4934" w:type="dxa"/>
          </w:tcPr>
          <w:p w14:paraId="61B4CA89"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504D4E">
              <w:rPr>
                <w:rFonts w:ascii="Arial" w:eastAsia="Calibri" w:hAnsi="Arial" w:cs="Arial"/>
                <w:color w:val="000000"/>
                <w:kern w:val="1"/>
                <w:sz w:val="18"/>
                <w:szCs w:val="18"/>
                <w:lang w:val="ro-RO" w:eastAsia="hi-IN" w:bidi="hi-IN"/>
              </w:rPr>
              <w:t>Lipsa parcărilor de tip park&amp;ride de la principalele penetraţii în oras</w:t>
            </w:r>
          </w:p>
        </w:tc>
        <w:tc>
          <w:tcPr>
            <w:tcW w:w="4935" w:type="dxa"/>
          </w:tcPr>
          <w:p w14:paraId="6FCAE3E6" w14:textId="77777777" w:rsidR="00504D4E" w:rsidRPr="00504D4E" w:rsidRDefault="00504D4E" w:rsidP="00504D4E">
            <w:pPr>
              <w:widowControl w:val="0"/>
              <w:autoSpaceDE w:val="0"/>
              <w:autoSpaceDN w:val="0"/>
              <w:adjustRightInd w:val="0"/>
              <w:spacing w:after="0" w:line="276" w:lineRule="auto"/>
              <w:jc w:val="both"/>
              <w:rPr>
                <w:rFonts w:ascii="Arial" w:hAnsi="Arial" w:cs="Arial"/>
                <w:kern w:val="1"/>
                <w:sz w:val="18"/>
                <w:szCs w:val="18"/>
                <w:lang w:val="ro-RO" w:eastAsia="hi-IN" w:bidi="hi-IN"/>
              </w:rPr>
            </w:pPr>
            <w:r w:rsidRPr="00504D4E">
              <w:rPr>
                <w:rFonts w:ascii="Arial" w:hAnsi="Arial" w:cs="Arial"/>
                <w:kern w:val="1"/>
                <w:sz w:val="18"/>
                <w:szCs w:val="18"/>
                <w:lang w:val="ro-RO" w:eastAsia="hi-IN" w:bidi="hi-IN"/>
              </w:rPr>
              <w:t>Construirea de parcari de tip park&amp;ride.</w:t>
            </w:r>
          </w:p>
        </w:tc>
      </w:tr>
    </w:tbl>
    <w:p w14:paraId="7462954E" w14:textId="77777777" w:rsidR="00504D4E" w:rsidRPr="00504D4E" w:rsidRDefault="00504D4E" w:rsidP="00504D4E">
      <w:pPr>
        <w:widowControl w:val="0"/>
        <w:suppressAutoHyphens/>
        <w:spacing w:after="0" w:line="360" w:lineRule="auto"/>
        <w:jc w:val="both"/>
        <w:rPr>
          <w:rFonts w:ascii="Arial" w:hAnsi="Arial" w:cs="Arial"/>
          <w:kern w:val="1"/>
          <w:sz w:val="24"/>
          <w:szCs w:val="24"/>
          <w:lang w:val="es-ES" w:eastAsia="hi-IN" w:bidi="hi-IN"/>
        </w:rPr>
      </w:pPr>
    </w:p>
    <w:p w14:paraId="0506D4EA" w14:textId="77777777" w:rsidR="00504D4E" w:rsidRPr="00504D4E" w:rsidRDefault="00504D4E" w:rsidP="00504D4E">
      <w:pPr>
        <w:rPr>
          <w:lang w:val="it-IT" w:eastAsia="ro-RO"/>
        </w:rPr>
      </w:pPr>
    </w:p>
    <w:p w14:paraId="7222C6FB" w14:textId="77777777" w:rsidR="00437AC6" w:rsidRDefault="00437AC6" w:rsidP="00BA181E">
      <w:pPr>
        <w:pStyle w:val="Titlu2"/>
        <w:rPr>
          <w:rFonts w:ascii="Arial" w:eastAsia="Times New Roman" w:hAnsi="Arial" w:cs="Arial"/>
          <w:b/>
          <w:color w:val="auto"/>
          <w:lang w:eastAsia="hi-IN" w:bidi="hi-IN"/>
        </w:rPr>
      </w:pPr>
      <w:bookmarkStart w:id="380" w:name="_Toc142039091"/>
      <w:r w:rsidRPr="00BA181E">
        <w:rPr>
          <w:rFonts w:ascii="Arial" w:eastAsia="Times New Roman" w:hAnsi="Arial" w:cs="Arial"/>
          <w:b/>
          <w:color w:val="auto"/>
          <w:lang w:val="x-none" w:eastAsia="hi-IN" w:bidi="hi-IN"/>
        </w:rPr>
        <w:t>I.4.</w:t>
      </w:r>
      <w:r w:rsidRPr="00BA181E">
        <w:rPr>
          <w:rFonts w:ascii="Arial" w:eastAsia="Times New Roman" w:hAnsi="Arial" w:cs="Arial"/>
          <w:b/>
          <w:color w:val="auto"/>
          <w:lang w:eastAsia="hi-IN" w:bidi="hi-IN"/>
        </w:rPr>
        <w:t>6</w:t>
      </w:r>
      <w:r w:rsidRPr="00BA181E">
        <w:rPr>
          <w:rFonts w:ascii="Arial" w:eastAsia="Times New Roman" w:hAnsi="Arial" w:cs="Arial"/>
          <w:b/>
          <w:color w:val="auto"/>
          <w:lang w:val="x-none" w:eastAsia="hi-IN" w:bidi="hi-IN"/>
        </w:rPr>
        <w:t xml:space="preserve"> </w:t>
      </w:r>
      <w:r w:rsidRPr="00BA181E">
        <w:rPr>
          <w:rFonts w:ascii="Arial" w:eastAsia="Times New Roman" w:hAnsi="Arial" w:cs="Arial"/>
          <w:b/>
          <w:color w:val="auto"/>
          <w:lang w:eastAsia="hi-IN" w:bidi="hi-IN"/>
        </w:rPr>
        <w:t>Concluzii referitoare la situatia actual</w:t>
      </w:r>
      <w:r w:rsidR="007C539E">
        <w:rPr>
          <w:rFonts w:ascii="Arial" w:eastAsia="Times New Roman" w:hAnsi="Arial" w:cs="Arial"/>
          <w:b/>
          <w:color w:val="auto"/>
          <w:lang w:eastAsia="hi-IN" w:bidi="hi-IN"/>
        </w:rPr>
        <w:t>ă</w:t>
      </w:r>
      <w:bookmarkEnd w:id="380"/>
    </w:p>
    <w:p w14:paraId="3B38914E" w14:textId="77777777" w:rsidR="00504D4E" w:rsidRPr="00504D4E" w:rsidRDefault="00504D4E" w:rsidP="00504D4E">
      <w:pPr>
        <w:spacing w:line="276" w:lineRule="auto"/>
        <w:rPr>
          <w:rFonts w:ascii="Arial" w:hAnsi="Arial" w:cs="Arial"/>
        </w:rPr>
      </w:pPr>
      <w:r w:rsidRPr="00504D4E">
        <w:rPr>
          <w:rFonts w:ascii="Arial" w:hAnsi="Arial" w:cs="Arial"/>
        </w:rPr>
        <w:t>Concluziile care au reieșit în urma analizelor efectuate asupra situației existente a mobilității la nivelul UAT Horezu și a zonei de influență sunt prezentate în tabelul următor.</w:t>
      </w:r>
    </w:p>
    <w:p w14:paraId="042B3C93" w14:textId="77777777" w:rsidR="00504D4E" w:rsidRPr="00504D4E" w:rsidRDefault="00504D4E" w:rsidP="00504D4E">
      <w:pPr>
        <w:widowControl w:val="0"/>
        <w:suppressAutoHyphens/>
        <w:spacing w:after="0" w:line="360" w:lineRule="auto"/>
        <w:jc w:val="both"/>
        <w:rPr>
          <w:rFonts w:ascii="Arial" w:hAnsi="Arial" w:cs="Arial"/>
          <w:kern w:val="1"/>
          <w:sz w:val="24"/>
          <w:szCs w:val="24"/>
          <w:lang w:val="es-ES" w:eastAsia="hi-IN" w:bidi="hi-IN"/>
        </w:rPr>
        <w:sectPr w:rsidR="00504D4E" w:rsidRPr="00504D4E" w:rsidSect="00437AC6">
          <w:footerReference w:type="default" r:id="rId202"/>
          <w:pgSz w:w="11906" w:h="16838"/>
          <w:pgMar w:top="1349" w:right="833" w:bottom="1259" w:left="1418" w:header="720" w:footer="720" w:gutter="0"/>
          <w:cols w:space="720"/>
          <w:titlePg/>
          <w:docGrid w:linePitch="272"/>
        </w:sectPr>
      </w:pPr>
    </w:p>
    <w:p w14:paraId="09BF81B6" w14:textId="77777777" w:rsidR="00770D30" w:rsidRDefault="00770D30" w:rsidP="00770D30">
      <w:pPr>
        <w:pStyle w:val="Legend"/>
        <w:jc w:val="center"/>
        <w:rPr>
          <w:rFonts w:ascii="Arial" w:hAnsi="Arial" w:cs="Arial"/>
          <w:sz w:val="22"/>
          <w:szCs w:val="22"/>
        </w:rPr>
      </w:pPr>
      <w:bookmarkStart w:id="381" w:name="_Toc68361259"/>
    </w:p>
    <w:p w14:paraId="12DFE056" w14:textId="1149284A" w:rsidR="00504D4E" w:rsidRPr="00770D30" w:rsidRDefault="00770D30" w:rsidP="00770D30">
      <w:pPr>
        <w:pStyle w:val="Legend"/>
        <w:jc w:val="center"/>
        <w:rPr>
          <w:rFonts w:ascii="Arial" w:hAnsi="Arial" w:cs="Arial"/>
          <w:i w:val="0"/>
          <w:iCs w:val="0"/>
          <w:color w:val="1F497D"/>
          <w:kern w:val="1"/>
          <w:sz w:val="22"/>
          <w:szCs w:val="22"/>
          <w:lang w:eastAsia="hi-IN" w:bidi="hi-IN"/>
        </w:rPr>
      </w:pPr>
      <w:bookmarkStart w:id="382" w:name="_Toc96447423"/>
      <w:r w:rsidRPr="00770D30">
        <w:rPr>
          <w:rFonts w:ascii="Arial" w:hAnsi="Arial" w:cs="Arial"/>
          <w:sz w:val="22"/>
          <w:szCs w:val="22"/>
        </w:rPr>
        <w:t xml:space="preserve">Tabel I.4. </w:t>
      </w:r>
      <w:r w:rsidRPr="00770D30">
        <w:rPr>
          <w:rFonts w:ascii="Arial" w:hAnsi="Arial" w:cs="Arial"/>
          <w:sz w:val="22"/>
          <w:szCs w:val="22"/>
        </w:rPr>
        <w:fldChar w:fldCharType="begin"/>
      </w:r>
      <w:r w:rsidRPr="00770D30">
        <w:rPr>
          <w:rFonts w:ascii="Arial" w:hAnsi="Arial" w:cs="Arial"/>
          <w:sz w:val="22"/>
          <w:szCs w:val="22"/>
        </w:rPr>
        <w:instrText xml:space="preserve"> SEQ Tabel_I.4. \* ARABIC </w:instrText>
      </w:r>
      <w:r w:rsidRPr="00770D30">
        <w:rPr>
          <w:rFonts w:ascii="Arial" w:hAnsi="Arial" w:cs="Arial"/>
          <w:sz w:val="22"/>
          <w:szCs w:val="22"/>
        </w:rPr>
        <w:fldChar w:fldCharType="separate"/>
      </w:r>
      <w:r w:rsidR="00BB181C">
        <w:rPr>
          <w:rFonts w:ascii="Arial" w:hAnsi="Arial" w:cs="Arial"/>
          <w:noProof/>
          <w:sz w:val="22"/>
          <w:szCs w:val="22"/>
        </w:rPr>
        <w:t>13</w:t>
      </w:r>
      <w:r w:rsidRPr="00770D30">
        <w:rPr>
          <w:rFonts w:ascii="Arial" w:hAnsi="Arial" w:cs="Arial"/>
          <w:sz w:val="22"/>
          <w:szCs w:val="22"/>
        </w:rPr>
        <w:fldChar w:fldCharType="end"/>
      </w:r>
      <w:r w:rsidRPr="00770D30">
        <w:rPr>
          <w:rFonts w:ascii="Arial" w:hAnsi="Arial" w:cs="Arial"/>
          <w:sz w:val="22"/>
          <w:szCs w:val="22"/>
        </w:rPr>
        <w:t xml:space="preserve"> </w:t>
      </w:r>
      <w:r w:rsidR="00504D4E" w:rsidRPr="00770D30">
        <w:rPr>
          <w:rFonts w:ascii="Arial" w:hAnsi="Arial" w:cs="Arial"/>
          <w:color w:val="1F497D"/>
          <w:sz w:val="22"/>
          <w:szCs w:val="22"/>
        </w:rPr>
        <w:t xml:space="preserve">- </w:t>
      </w:r>
      <w:r w:rsidR="00504D4E" w:rsidRPr="00770D30">
        <w:rPr>
          <w:rFonts w:ascii="Arial" w:hAnsi="Arial" w:cs="Arial"/>
          <w:i w:val="0"/>
          <w:iCs w:val="0"/>
          <w:color w:val="1F497D"/>
          <w:sz w:val="22"/>
          <w:szCs w:val="22"/>
        </w:rPr>
        <w:t>Concluzii referitoare la situația actuală</w:t>
      </w:r>
      <w:bookmarkEnd w:id="381"/>
      <w:bookmarkEnd w:id="3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053"/>
        <w:gridCol w:w="1103"/>
        <w:gridCol w:w="1380"/>
        <w:gridCol w:w="1036"/>
        <w:gridCol w:w="1221"/>
        <w:gridCol w:w="1170"/>
        <w:gridCol w:w="1337"/>
      </w:tblGrid>
      <w:tr w:rsidR="00CE0301" w:rsidRPr="00326E18" w14:paraId="06ED9A7F" w14:textId="77777777" w:rsidTr="00CE76B6">
        <w:trPr>
          <w:tblHeader/>
        </w:trPr>
        <w:tc>
          <w:tcPr>
            <w:tcW w:w="1002" w:type="dxa"/>
            <w:shd w:val="clear" w:color="auto" w:fill="BFBFBF"/>
            <w:vAlign w:val="center"/>
          </w:tcPr>
          <w:p w14:paraId="31AE0614" w14:textId="77777777" w:rsidR="00CE0301" w:rsidRPr="00326E18" w:rsidRDefault="00CE0301" w:rsidP="00CE76B6">
            <w:pPr>
              <w:widowControl w:val="0"/>
              <w:suppressAutoHyphens/>
              <w:spacing w:beforeLines="40" w:before="96" w:afterLines="40" w:after="96" w:line="240" w:lineRule="auto"/>
              <w:jc w:val="right"/>
              <w:rPr>
                <w:rFonts w:ascii="Arial" w:hAnsi="Arial" w:cs="Mangal"/>
                <w:kern w:val="1"/>
                <w:sz w:val="16"/>
                <w:szCs w:val="16"/>
                <w:lang w:eastAsia="hi-IN" w:bidi="hi-IN"/>
              </w:rPr>
            </w:pPr>
            <w:r w:rsidRPr="00326E18">
              <w:rPr>
                <w:rFonts w:ascii="Arial" w:hAnsi="Arial" w:cs="Mangal"/>
                <w:kern w:val="1"/>
                <w:sz w:val="16"/>
                <w:szCs w:val="16"/>
                <w:lang w:eastAsia="hi-IN" w:bidi="hi-IN"/>
              </w:rPr>
              <w:t>Criterii</w:t>
            </w:r>
          </w:p>
          <w:p w14:paraId="7C2C0800"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Mod de transport</w:t>
            </w:r>
          </w:p>
        </w:tc>
        <w:tc>
          <w:tcPr>
            <w:tcW w:w="1106" w:type="dxa"/>
            <w:shd w:val="clear" w:color="auto" w:fill="BFBFBF"/>
            <w:vAlign w:val="center"/>
          </w:tcPr>
          <w:p w14:paraId="403BE6EE"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Cota modală</w:t>
            </w:r>
          </w:p>
        </w:tc>
        <w:tc>
          <w:tcPr>
            <w:tcW w:w="1161" w:type="dxa"/>
            <w:shd w:val="clear" w:color="auto" w:fill="BFBFBF"/>
            <w:vAlign w:val="center"/>
          </w:tcPr>
          <w:p w14:paraId="551706E9"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Calitatea infrastructurii</w:t>
            </w:r>
          </w:p>
        </w:tc>
        <w:tc>
          <w:tcPr>
            <w:tcW w:w="1565" w:type="dxa"/>
            <w:shd w:val="clear" w:color="auto" w:fill="BFBFBF"/>
            <w:vAlign w:val="center"/>
          </w:tcPr>
          <w:p w14:paraId="6F70F94D"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Siguranţ</w:t>
            </w:r>
            <w:r>
              <w:rPr>
                <w:rFonts w:ascii="Arial" w:hAnsi="Arial" w:cs="Mangal"/>
                <w:kern w:val="1"/>
                <w:sz w:val="16"/>
                <w:szCs w:val="16"/>
                <w:lang w:eastAsia="hi-IN" w:bidi="hi-IN"/>
              </w:rPr>
              <w:t>ă</w:t>
            </w:r>
            <w:r w:rsidRPr="00326E18">
              <w:rPr>
                <w:rFonts w:ascii="Arial" w:hAnsi="Arial" w:cs="Mangal"/>
                <w:kern w:val="1"/>
                <w:sz w:val="16"/>
                <w:szCs w:val="16"/>
                <w:lang w:eastAsia="hi-IN" w:bidi="hi-IN"/>
              </w:rPr>
              <w:t xml:space="preserve"> si viabilitate</w:t>
            </w:r>
          </w:p>
        </w:tc>
        <w:tc>
          <w:tcPr>
            <w:tcW w:w="1088" w:type="dxa"/>
            <w:shd w:val="clear" w:color="auto" w:fill="BFBFBF"/>
            <w:vAlign w:val="center"/>
          </w:tcPr>
          <w:p w14:paraId="5C18E4F3"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Mediu şi sănă</w:t>
            </w:r>
            <w:r w:rsidRPr="00326E18">
              <w:rPr>
                <w:rFonts w:ascii="Arial" w:hAnsi="Arial" w:cs="Mangal"/>
                <w:kern w:val="1"/>
                <w:sz w:val="16"/>
                <w:szCs w:val="16"/>
                <w:lang w:eastAsia="hi-IN" w:bidi="hi-IN"/>
              </w:rPr>
              <w:t>tate</w:t>
            </w:r>
          </w:p>
        </w:tc>
        <w:tc>
          <w:tcPr>
            <w:tcW w:w="1297" w:type="dxa"/>
            <w:shd w:val="clear" w:color="auto" w:fill="BFBFBF"/>
            <w:vAlign w:val="center"/>
          </w:tcPr>
          <w:p w14:paraId="4214205C"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Accesibilitate</w:t>
            </w:r>
          </w:p>
        </w:tc>
        <w:tc>
          <w:tcPr>
            <w:tcW w:w="1244" w:type="dxa"/>
            <w:shd w:val="clear" w:color="auto" w:fill="BFBFBF"/>
            <w:vAlign w:val="center"/>
          </w:tcPr>
          <w:p w14:paraId="192A3A59"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Stadiul implementării măsurilor</w:t>
            </w:r>
          </w:p>
        </w:tc>
        <w:tc>
          <w:tcPr>
            <w:tcW w:w="1408" w:type="dxa"/>
            <w:shd w:val="clear" w:color="auto" w:fill="BFBFBF"/>
            <w:vAlign w:val="center"/>
          </w:tcPr>
          <w:p w14:paraId="040D2268"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Principalele recomandări</w:t>
            </w:r>
          </w:p>
        </w:tc>
      </w:tr>
      <w:tr w:rsidR="00CE0301" w:rsidRPr="00326E18" w14:paraId="275DC7C5" w14:textId="77777777" w:rsidTr="00CE76B6">
        <w:tc>
          <w:tcPr>
            <w:tcW w:w="1002" w:type="dxa"/>
            <w:shd w:val="clear" w:color="auto" w:fill="BFBFBF"/>
          </w:tcPr>
          <w:p w14:paraId="644C9BC7"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Pietonal</w:t>
            </w:r>
          </w:p>
        </w:tc>
        <w:tc>
          <w:tcPr>
            <w:tcW w:w="1106" w:type="dxa"/>
            <w:shd w:val="clear" w:color="auto" w:fill="auto"/>
          </w:tcPr>
          <w:p w14:paraId="6A01107C"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18,5</w:t>
            </w:r>
            <w:r w:rsidRPr="00326E18">
              <w:rPr>
                <w:rFonts w:ascii="Arial" w:hAnsi="Arial" w:cs="Mangal"/>
                <w:kern w:val="1"/>
                <w:sz w:val="16"/>
                <w:szCs w:val="16"/>
                <w:lang w:eastAsia="hi-IN" w:bidi="hi-IN"/>
              </w:rPr>
              <w:t xml:space="preserve"> %</w:t>
            </w:r>
          </w:p>
        </w:tc>
        <w:tc>
          <w:tcPr>
            <w:tcW w:w="1161" w:type="dxa"/>
            <w:shd w:val="clear" w:color="auto" w:fill="auto"/>
          </w:tcPr>
          <w:p w14:paraId="45E2542A"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Medie</w:t>
            </w:r>
            <w:r>
              <w:rPr>
                <w:rFonts w:ascii="Arial" w:hAnsi="Arial" w:cs="Mangal"/>
                <w:kern w:val="1"/>
                <w:sz w:val="16"/>
                <w:szCs w:val="16"/>
                <w:lang w:eastAsia="hi-IN" w:bidi="hi-IN"/>
              </w:rPr>
              <w:t xml:space="preserve"> în zona centrală</w:t>
            </w:r>
          </w:p>
          <w:p w14:paraId="16C3B769"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 in rest</w:t>
            </w:r>
          </w:p>
        </w:tc>
        <w:tc>
          <w:tcPr>
            <w:tcW w:w="1565" w:type="dxa"/>
            <w:shd w:val="clear" w:color="auto" w:fill="auto"/>
          </w:tcPr>
          <w:p w14:paraId="6D5FFD0D"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Lipsa </w:t>
            </w:r>
            <w:r>
              <w:rPr>
                <w:rFonts w:ascii="Arial" w:hAnsi="Arial" w:cs="Mangal"/>
                <w:kern w:val="1"/>
                <w:sz w:val="16"/>
                <w:szCs w:val="16"/>
                <w:lang w:eastAsia="hi-IN" w:bidi="hi-IN"/>
              </w:rPr>
              <w:t>facilităţ</w:t>
            </w:r>
            <w:r w:rsidRPr="00326E18">
              <w:rPr>
                <w:rFonts w:ascii="Arial" w:hAnsi="Arial" w:cs="Mangal"/>
                <w:kern w:val="1"/>
                <w:sz w:val="16"/>
                <w:szCs w:val="16"/>
                <w:lang w:eastAsia="hi-IN" w:bidi="hi-IN"/>
              </w:rPr>
              <w:t>ilor pentr</w:t>
            </w:r>
            <w:r>
              <w:rPr>
                <w:rFonts w:ascii="Arial" w:hAnsi="Arial" w:cs="Mangal"/>
                <w:kern w:val="1"/>
                <w:sz w:val="16"/>
                <w:szCs w:val="16"/>
                <w:lang w:eastAsia="hi-IN" w:bidi="hi-IN"/>
              </w:rPr>
              <w:t>u pietoni in multe zone din oraş pune în pericol siguranţ</w:t>
            </w:r>
            <w:r w:rsidRPr="00326E18">
              <w:rPr>
                <w:rFonts w:ascii="Arial" w:hAnsi="Arial" w:cs="Mangal"/>
                <w:kern w:val="1"/>
                <w:sz w:val="16"/>
                <w:szCs w:val="16"/>
                <w:lang w:eastAsia="hi-IN" w:bidi="hi-IN"/>
              </w:rPr>
              <w:t>a acestei categorii de participant la trafic.</w:t>
            </w:r>
          </w:p>
        </w:tc>
        <w:tc>
          <w:tcPr>
            <w:tcW w:w="1088" w:type="dxa"/>
            <w:shd w:val="clear" w:color="auto" w:fill="auto"/>
          </w:tcPr>
          <w:p w14:paraId="167BC79F"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Tot mai puţini oameni se deplasează pe jos pentru orice fel de deplasare.</w:t>
            </w:r>
          </w:p>
        </w:tc>
        <w:tc>
          <w:tcPr>
            <w:tcW w:w="1297" w:type="dxa"/>
            <w:shd w:val="clear" w:color="auto" w:fill="auto"/>
          </w:tcPr>
          <w:p w14:paraId="25A5E7D2"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Trotuare ocupate cu vehicule. Lipsă facilităţi pentru persoanele cu mobilitate redusă. Absenta din multe zone a trotuarelor.</w:t>
            </w:r>
          </w:p>
        </w:tc>
        <w:tc>
          <w:tcPr>
            <w:tcW w:w="1244" w:type="dxa"/>
            <w:shd w:val="clear" w:color="auto" w:fill="auto"/>
          </w:tcPr>
          <w:p w14:paraId="68BB1A96"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Proiectul </w:t>
            </w:r>
            <w:r w:rsidRPr="00326E18">
              <w:rPr>
                <w:rFonts w:ascii="Calibri" w:hAnsi="Calibri" w:cs="Tahoma"/>
                <w:sz w:val="16"/>
                <w:szCs w:val="16"/>
              </w:rPr>
              <w:t>Amenajarea zonei centrale pietonale a s</w:t>
            </w:r>
            <w:r>
              <w:rPr>
                <w:rFonts w:ascii="Calibri" w:hAnsi="Calibri" w:cs="Tahoma"/>
                <w:sz w:val="16"/>
                <w:szCs w:val="16"/>
              </w:rPr>
              <w:t>tatiunii turistice Horezu, judeţul Vâlcea, în vederea consolidării identităţii locale şi dezvoltă</w:t>
            </w:r>
            <w:r w:rsidRPr="00326E18">
              <w:rPr>
                <w:rFonts w:ascii="Calibri" w:hAnsi="Calibri" w:cs="Tahoma"/>
                <w:sz w:val="16"/>
                <w:szCs w:val="16"/>
              </w:rPr>
              <w:t>rii turismului,</w:t>
            </w:r>
            <w:r w:rsidRPr="00326E18">
              <w:rPr>
                <w:rFonts w:ascii="Calibri" w:hAnsi="Calibri" w:cs="Arial"/>
                <w:kern w:val="1"/>
                <w:sz w:val="16"/>
                <w:szCs w:val="16"/>
                <w:lang w:val="ro-RO" w:eastAsia="hi-IN" w:bidi="hi-IN"/>
              </w:rPr>
              <w:t xml:space="preserve"> </w:t>
            </w:r>
            <w:r>
              <w:rPr>
                <w:rFonts w:ascii="Arial" w:hAnsi="Arial" w:cs="Arial"/>
                <w:kern w:val="1"/>
                <w:sz w:val="16"/>
                <w:szCs w:val="16"/>
                <w:lang w:val="ro-RO" w:eastAsia="hi-IN" w:bidi="hi-IN"/>
              </w:rPr>
              <w:t>î</w:t>
            </w:r>
            <w:r w:rsidRPr="00326E18">
              <w:rPr>
                <w:rFonts w:ascii="Arial" w:hAnsi="Arial" w:cs="Arial"/>
                <w:kern w:val="1"/>
                <w:sz w:val="16"/>
                <w:szCs w:val="16"/>
                <w:lang w:val="ro-RO" w:eastAsia="hi-IN" w:bidi="hi-IN"/>
              </w:rPr>
              <w:t>n curs de implementare.</w:t>
            </w:r>
          </w:p>
        </w:tc>
        <w:tc>
          <w:tcPr>
            <w:tcW w:w="1408" w:type="dxa"/>
            <w:shd w:val="clear" w:color="auto" w:fill="auto"/>
          </w:tcPr>
          <w:p w14:paraId="6CF7C847"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Extinderea zonelor exclusiv pietonale. Creşterea măsurilor de siguranţă pentru pietoni. Reabilitarea suprafeţelor destinate pietonilor. Amenajarea de noi trotuare si alei.</w:t>
            </w:r>
          </w:p>
          <w:p w14:paraId="78CB392F"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p>
        </w:tc>
      </w:tr>
      <w:tr w:rsidR="00CE0301" w:rsidRPr="00326E18" w14:paraId="729524AE" w14:textId="77777777" w:rsidTr="00CE76B6">
        <w:tc>
          <w:tcPr>
            <w:tcW w:w="1002" w:type="dxa"/>
            <w:shd w:val="clear" w:color="auto" w:fill="BFBFBF"/>
          </w:tcPr>
          <w:p w14:paraId="53C5A89B"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Velo</w:t>
            </w:r>
          </w:p>
        </w:tc>
        <w:tc>
          <w:tcPr>
            <w:tcW w:w="1106" w:type="dxa"/>
            <w:shd w:val="clear" w:color="auto" w:fill="auto"/>
          </w:tcPr>
          <w:p w14:paraId="60E22C8E" w14:textId="77777777" w:rsidR="00CE0301" w:rsidRPr="00326E18" w:rsidRDefault="00CE0301" w:rsidP="00CE76B6">
            <w:pPr>
              <w:widowControl w:val="0"/>
              <w:tabs>
                <w:tab w:val="left" w:pos="234"/>
                <w:tab w:val="center" w:pos="445"/>
              </w:tabs>
              <w:suppressAutoHyphens/>
              <w:spacing w:beforeLines="40" w:before="96" w:afterLines="40" w:after="96" w:line="240" w:lineRule="auto"/>
              <w:rPr>
                <w:rFonts w:ascii="Arial" w:hAnsi="Arial" w:cs="Mangal"/>
                <w:kern w:val="1"/>
                <w:sz w:val="16"/>
                <w:szCs w:val="16"/>
                <w:lang w:eastAsia="hi-IN" w:bidi="hi-IN"/>
              </w:rPr>
            </w:pPr>
            <w:r>
              <w:rPr>
                <w:rFonts w:ascii="Arial" w:hAnsi="Arial" w:cs="Mangal"/>
                <w:kern w:val="1"/>
                <w:sz w:val="16"/>
                <w:szCs w:val="16"/>
                <w:lang w:eastAsia="hi-IN" w:bidi="hi-IN"/>
              </w:rPr>
              <w:tab/>
              <w:t>0,6</w:t>
            </w:r>
            <w:r w:rsidRPr="00326E18">
              <w:rPr>
                <w:rFonts w:ascii="Arial" w:hAnsi="Arial" w:cs="Mangal"/>
                <w:kern w:val="1"/>
                <w:sz w:val="16"/>
                <w:szCs w:val="16"/>
                <w:lang w:eastAsia="hi-IN" w:bidi="hi-IN"/>
              </w:rPr>
              <w:t xml:space="preserve"> %</w:t>
            </w:r>
          </w:p>
        </w:tc>
        <w:tc>
          <w:tcPr>
            <w:tcW w:w="1161" w:type="dxa"/>
            <w:shd w:val="clear" w:color="auto" w:fill="auto"/>
          </w:tcPr>
          <w:p w14:paraId="5FD43327"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w:t>
            </w:r>
          </w:p>
        </w:tc>
        <w:tc>
          <w:tcPr>
            <w:tcW w:w="1565" w:type="dxa"/>
            <w:shd w:val="clear" w:color="auto" w:fill="auto"/>
          </w:tcPr>
          <w:p w14:paraId="6ABB4AC3"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Cicliştii trebuie să împartă acelaşi spaţiu cu autovehiculele.</w:t>
            </w:r>
          </w:p>
        </w:tc>
        <w:tc>
          <w:tcPr>
            <w:tcW w:w="1088" w:type="dxa"/>
            <w:shd w:val="clear" w:color="auto" w:fill="auto"/>
          </w:tcPr>
          <w:p w14:paraId="2E3014C0"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Utilizarea limitată a bicicletei aduce beneficii reduse mediului. </w:t>
            </w:r>
          </w:p>
        </w:tc>
        <w:tc>
          <w:tcPr>
            <w:tcW w:w="1297" w:type="dxa"/>
            <w:shd w:val="clear" w:color="auto" w:fill="auto"/>
          </w:tcPr>
          <w:p w14:paraId="0598D189" w14:textId="3D80B69F"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Lipsa </w:t>
            </w:r>
            <w:r w:rsidR="006E163D">
              <w:rPr>
                <w:rFonts w:ascii="Arial" w:hAnsi="Arial" w:cs="Mangal"/>
                <w:kern w:val="1"/>
                <w:sz w:val="16"/>
                <w:szCs w:val="16"/>
                <w:lang w:eastAsia="hi-IN" w:bidi="hi-IN"/>
              </w:rPr>
              <w:t>infrastructurii</w:t>
            </w:r>
            <w:r>
              <w:rPr>
                <w:rFonts w:ascii="Arial" w:hAnsi="Arial" w:cs="Mangal"/>
                <w:kern w:val="1"/>
                <w:sz w:val="16"/>
                <w:szCs w:val="16"/>
                <w:lang w:eastAsia="hi-IN" w:bidi="hi-IN"/>
              </w:rPr>
              <w:t xml:space="preserve"> pentru biciclete, a parcărilor şi a sistemelor de î</w:t>
            </w:r>
            <w:r w:rsidRPr="00326E18">
              <w:rPr>
                <w:rFonts w:ascii="Arial" w:hAnsi="Arial" w:cs="Mangal"/>
                <w:kern w:val="1"/>
                <w:sz w:val="16"/>
                <w:szCs w:val="16"/>
                <w:lang w:eastAsia="hi-IN" w:bidi="hi-IN"/>
              </w:rPr>
              <w:t>nchiriere pentru acestea.</w:t>
            </w:r>
          </w:p>
        </w:tc>
        <w:tc>
          <w:tcPr>
            <w:tcW w:w="1244" w:type="dxa"/>
            <w:shd w:val="clear" w:color="auto" w:fill="auto"/>
          </w:tcPr>
          <w:p w14:paraId="52AB28B2"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Activitate redusă.</w:t>
            </w:r>
          </w:p>
        </w:tc>
        <w:tc>
          <w:tcPr>
            <w:tcW w:w="1408" w:type="dxa"/>
            <w:shd w:val="clear" w:color="auto" w:fill="auto"/>
          </w:tcPr>
          <w:p w14:paraId="0B4509C9" w14:textId="56C72616"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Amenajare </w:t>
            </w:r>
            <w:r w:rsidR="006E163D">
              <w:rPr>
                <w:rFonts w:ascii="Arial" w:hAnsi="Arial" w:cs="Mangal"/>
                <w:kern w:val="1"/>
                <w:sz w:val="16"/>
                <w:szCs w:val="16"/>
                <w:lang w:eastAsia="hi-IN" w:bidi="hi-IN"/>
              </w:rPr>
              <w:t>trasee</w:t>
            </w:r>
            <w:r w:rsidRPr="00326E18">
              <w:rPr>
                <w:rFonts w:ascii="Arial" w:hAnsi="Arial" w:cs="Mangal"/>
                <w:kern w:val="1"/>
                <w:sz w:val="16"/>
                <w:szCs w:val="16"/>
                <w:lang w:eastAsia="hi-IN" w:bidi="hi-IN"/>
              </w:rPr>
              <w:t xml:space="preserve"> pentru biciclete, staţii de închiriere şi parcări pentru biciclete.</w:t>
            </w:r>
          </w:p>
        </w:tc>
      </w:tr>
      <w:tr w:rsidR="00CE0301" w:rsidRPr="00326E18" w14:paraId="3B158D19" w14:textId="77777777" w:rsidTr="00CE76B6">
        <w:tc>
          <w:tcPr>
            <w:tcW w:w="1002" w:type="dxa"/>
            <w:shd w:val="clear" w:color="auto" w:fill="BFBFBF"/>
          </w:tcPr>
          <w:p w14:paraId="5EAD1E0C"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Transport public</w:t>
            </w:r>
            <w:r>
              <w:rPr>
                <w:rFonts w:ascii="Arial" w:hAnsi="Arial" w:cs="Mangal"/>
                <w:kern w:val="1"/>
                <w:sz w:val="16"/>
                <w:szCs w:val="16"/>
                <w:lang w:eastAsia="hi-IN" w:bidi="hi-IN"/>
              </w:rPr>
              <w:t xml:space="preserve"> local</w:t>
            </w:r>
          </w:p>
        </w:tc>
        <w:tc>
          <w:tcPr>
            <w:tcW w:w="1106" w:type="dxa"/>
            <w:shd w:val="clear" w:color="auto" w:fill="auto"/>
          </w:tcPr>
          <w:p w14:paraId="32668F7F"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0</w:t>
            </w:r>
            <w:r w:rsidRPr="00326E18">
              <w:rPr>
                <w:rFonts w:ascii="Arial" w:hAnsi="Arial" w:cs="Mangal"/>
                <w:kern w:val="1"/>
                <w:sz w:val="16"/>
                <w:szCs w:val="16"/>
                <w:lang w:eastAsia="hi-IN" w:bidi="hi-IN"/>
              </w:rPr>
              <w:t xml:space="preserve"> %</w:t>
            </w:r>
          </w:p>
        </w:tc>
        <w:tc>
          <w:tcPr>
            <w:tcW w:w="1161" w:type="dxa"/>
            <w:shd w:val="clear" w:color="auto" w:fill="auto"/>
          </w:tcPr>
          <w:p w14:paraId="239BCC83"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w:t>
            </w:r>
          </w:p>
        </w:tc>
        <w:tc>
          <w:tcPr>
            <w:tcW w:w="1565" w:type="dxa"/>
            <w:shd w:val="clear" w:color="auto" w:fill="auto"/>
          </w:tcPr>
          <w:p w14:paraId="2B017B1C"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transport public local.</w:t>
            </w:r>
          </w:p>
        </w:tc>
        <w:tc>
          <w:tcPr>
            <w:tcW w:w="1088" w:type="dxa"/>
            <w:shd w:val="clear" w:color="auto" w:fill="auto"/>
          </w:tcPr>
          <w:p w14:paraId="72DC9984"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transport public local.</w:t>
            </w:r>
          </w:p>
        </w:tc>
        <w:tc>
          <w:tcPr>
            <w:tcW w:w="1297" w:type="dxa"/>
            <w:shd w:val="clear" w:color="auto" w:fill="auto"/>
          </w:tcPr>
          <w:p w14:paraId="13FA4D93"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transport public local.</w:t>
            </w:r>
          </w:p>
        </w:tc>
        <w:tc>
          <w:tcPr>
            <w:tcW w:w="1244" w:type="dxa"/>
            <w:shd w:val="clear" w:color="auto" w:fill="auto"/>
          </w:tcPr>
          <w:p w14:paraId="047EB42F"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Activitate redusă.</w:t>
            </w:r>
          </w:p>
        </w:tc>
        <w:tc>
          <w:tcPr>
            <w:tcW w:w="1408" w:type="dxa"/>
            <w:shd w:val="clear" w:color="auto" w:fill="auto"/>
          </w:tcPr>
          <w:p w14:paraId="0BD30FE5"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Introducerea TP atât pe întreaga suprafaţă a oraşului, cât şi către </w:t>
            </w:r>
            <w:r>
              <w:rPr>
                <w:rFonts w:ascii="Arial" w:hAnsi="Arial" w:cs="Mangal"/>
                <w:kern w:val="1"/>
                <w:sz w:val="16"/>
                <w:szCs w:val="16"/>
                <w:lang w:eastAsia="hi-IN" w:bidi="hi-IN"/>
              </w:rPr>
              <w:t>localitatile componente. Achiziţ</w:t>
            </w:r>
            <w:r w:rsidRPr="00326E18">
              <w:rPr>
                <w:rFonts w:ascii="Arial" w:hAnsi="Arial" w:cs="Mangal"/>
                <w:kern w:val="1"/>
                <w:sz w:val="16"/>
                <w:szCs w:val="16"/>
                <w:lang w:eastAsia="hi-IN" w:bidi="hi-IN"/>
              </w:rPr>
              <w:t>ionarea unui parc de vehicu</w:t>
            </w:r>
            <w:r>
              <w:rPr>
                <w:rFonts w:ascii="Arial" w:hAnsi="Arial" w:cs="Mangal"/>
                <w:kern w:val="1"/>
                <w:sz w:val="16"/>
                <w:szCs w:val="16"/>
                <w:lang w:eastAsia="hi-IN" w:bidi="hi-IN"/>
              </w:rPr>
              <w:t>le nepoluant. Amenajare staţii şi dotarea corespunză</w:t>
            </w:r>
            <w:r w:rsidRPr="00326E18">
              <w:rPr>
                <w:rFonts w:ascii="Arial" w:hAnsi="Arial" w:cs="Mangal"/>
                <w:kern w:val="1"/>
                <w:sz w:val="16"/>
                <w:szCs w:val="16"/>
                <w:lang w:eastAsia="hi-IN" w:bidi="hi-IN"/>
              </w:rPr>
              <w:t>toare</w:t>
            </w:r>
          </w:p>
        </w:tc>
      </w:tr>
      <w:tr w:rsidR="00CE0301" w:rsidRPr="00326E18" w14:paraId="3C152508" w14:textId="77777777" w:rsidTr="00CE76B6">
        <w:tc>
          <w:tcPr>
            <w:tcW w:w="1002" w:type="dxa"/>
            <w:shd w:val="clear" w:color="auto" w:fill="BFBFBF"/>
          </w:tcPr>
          <w:p w14:paraId="44D2C7CE"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Vehicle-sharing</w:t>
            </w:r>
          </w:p>
        </w:tc>
        <w:tc>
          <w:tcPr>
            <w:tcW w:w="1106" w:type="dxa"/>
            <w:shd w:val="clear" w:color="auto" w:fill="auto"/>
          </w:tcPr>
          <w:p w14:paraId="65480DDD"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n/a</w:t>
            </w:r>
          </w:p>
        </w:tc>
        <w:tc>
          <w:tcPr>
            <w:tcW w:w="1161" w:type="dxa"/>
            <w:shd w:val="clear" w:color="auto" w:fill="auto"/>
          </w:tcPr>
          <w:p w14:paraId="1848C3EF"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w:t>
            </w:r>
          </w:p>
        </w:tc>
        <w:tc>
          <w:tcPr>
            <w:tcW w:w="1565" w:type="dxa"/>
            <w:shd w:val="clear" w:color="auto" w:fill="auto"/>
          </w:tcPr>
          <w:p w14:paraId="3A9169D6"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vehicle-sharing.</w:t>
            </w:r>
          </w:p>
        </w:tc>
        <w:tc>
          <w:tcPr>
            <w:tcW w:w="1088" w:type="dxa"/>
            <w:shd w:val="clear" w:color="auto" w:fill="auto"/>
          </w:tcPr>
          <w:p w14:paraId="7796118D"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vehicle-sharing.</w:t>
            </w:r>
          </w:p>
        </w:tc>
        <w:tc>
          <w:tcPr>
            <w:tcW w:w="1297" w:type="dxa"/>
            <w:shd w:val="clear" w:color="auto" w:fill="auto"/>
          </w:tcPr>
          <w:p w14:paraId="532C541E"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Nu există un sistem de vehicle-sharing.</w:t>
            </w:r>
          </w:p>
        </w:tc>
        <w:tc>
          <w:tcPr>
            <w:tcW w:w="1244" w:type="dxa"/>
            <w:shd w:val="clear" w:color="auto" w:fill="auto"/>
          </w:tcPr>
          <w:p w14:paraId="66A3F383"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Activitate redusă.</w:t>
            </w:r>
          </w:p>
        </w:tc>
        <w:tc>
          <w:tcPr>
            <w:tcW w:w="1408" w:type="dxa"/>
            <w:shd w:val="clear" w:color="auto" w:fill="auto"/>
          </w:tcPr>
          <w:p w14:paraId="3AC1E904"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Implementarea si promovarea sistemelor de vehicle-sharing.</w:t>
            </w:r>
          </w:p>
        </w:tc>
      </w:tr>
      <w:tr w:rsidR="00CE0301" w:rsidRPr="00326E18" w14:paraId="5146821E" w14:textId="77777777" w:rsidTr="00CE76B6">
        <w:tc>
          <w:tcPr>
            <w:tcW w:w="1002" w:type="dxa"/>
            <w:shd w:val="clear" w:color="auto" w:fill="BFBFBF"/>
          </w:tcPr>
          <w:p w14:paraId="123A70F0"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Transport privat motorizat</w:t>
            </w:r>
          </w:p>
        </w:tc>
        <w:tc>
          <w:tcPr>
            <w:tcW w:w="1106" w:type="dxa"/>
            <w:shd w:val="clear" w:color="auto" w:fill="auto"/>
          </w:tcPr>
          <w:p w14:paraId="670B502C"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55,4</w:t>
            </w:r>
            <w:r w:rsidRPr="00326E18">
              <w:rPr>
                <w:rFonts w:ascii="Arial" w:hAnsi="Arial" w:cs="Mangal"/>
                <w:kern w:val="1"/>
                <w:sz w:val="16"/>
                <w:szCs w:val="16"/>
                <w:lang w:eastAsia="hi-IN" w:bidi="hi-IN"/>
              </w:rPr>
              <w:t xml:space="preserve"> %</w:t>
            </w:r>
          </w:p>
        </w:tc>
        <w:tc>
          <w:tcPr>
            <w:tcW w:w="1161" w:type="dxa"/>
            <w:shd w:val="clear" w:color="auto" w:fill="auto"/>
          </w:tcPr>
          <w:p w14:paraId="380F8F89"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Medie</w:t>
            </w:r>
          </w:p>
        </w:tc>
        <w:tc>
          <w:tcPr>
            <w:tcW w:w="1565" w:type="dxa"/>
            <w:shd w:val="clear" w:color="auto" w:fill="auto"/>
          </w:tcPr>
          <w:p w14:paraId="480255A8"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Multe punct</w:t>
            </w:r>
            <w:r>
              <w:rPr>
                <w:rFonts w:ascii="Arial" w:hAnsi="Arial" w:cs="Mangal"/>
                <w:kern w:val="1"/>
                <w:sz w:val="16"/>
                <w:szCs w:val="16"/>
                <w:lang w:eastAsia="hi-IN" w:bidi="hi-IN"/>
              </w:rPr>
              <w:t>e</w:t>
            </w:r>
            <w:r w:rsidRPr="00326E18">
              <w:rPr>
                <w:rFonts w:ascii="Arial" w:hAnsi="Arial" w:cs="Mangal"/>
                <w:kern w:val="1"/>
                <w:sz w:val="16"/>
                <w:szCs w:val="16"/>
                <w:lang w:eastAsia="hi-IN" w:bidi="hi-IN"/>
              </w:rPr>
              <w:t xml:space="preserve"> de conflict pe principalele artere de circulaţie.</w:t>
            </w:r>
          </w:p>
        </w:tc>
        <w:tc>
          <w:tcPr>
            <w:tcW w:w="1088" w:type="dxa"/>
            <w:shd w:val="clear" w:color="auto" w:fill="auto"/>
          </w:tcPr>
          <w:p w14:paraId="1C9CF489"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Utilizarea excesivă a vehiculelor private are un impact negativ asupra mediului.</w:t>
            </w:r>
          </w:p>
        </w:tc>
        <w:tc>
          <w:tcPr>
            <w:tcW w:w="1297" w:type="dxa"/>
            <w:shd w:val="clear" w:color="auto" w:fill="auto"/>
          </w:tcPr>
          <w:p w14:paraId="4C5DF1D4"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Reţeaua rutieră acoperă întreaga suprafaţă a oraşului, însă exista zone cu penetrabilitate şi permisivate scăzute.</w:t>
            </w:r>
          </w:p>
        </w:tc>
        <w:tc>
          <w:tcPr>
            <w:tcW w:w="1244" w:type="dxa"/>
            <w:shd w:val="clear" w:color="auto" w:fill="auto"/>
          </w:tcPr>
          <w:p w14:paraId="4B13257C"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Proiectul “</w:t>
            </w:r>
            <w:r w:rsidRPr="00326E18">
              <w:rPr>
                <w:rFonts w:ascii="Arial" w:hAnsi="Arial" w:cs="Arial"/>
                <w:bCs/>
                <w:kern w:val="1"/>
                <w:sz w:val="16"/>
                <w:szCs w:val="16"/>
                <w:shd w:val="clear" w:color="auto" w:fill="FFFFFF"/>
                <w:lang w:val="ro-RO" w:eastAsia="hi-IN" w:bidi="hi-IN"/>
              </w:rPr>
              <w:t>Varianta de ocolire Horezu</w:t>
            </w:r>
            <w:r w:rsidRPr="00326E18">
              <w:rPr>
                <w:rFonts w:ascii="Arial" w:hAnsi="Arial" w:cs="Mangal"/>
                <w:kern w:val="1"/>
                <w:sz w:val="16"/>
                <w:szCs w:val="16"/>
                <w:lang w:eastAsia="hi-IN" w:bidi="hi-IN"/>
              </w:rPr>
              <w:t>” în curs de derulare (stadiu SF).</w:t>
            </w:r>
          </w:p>
        </w:tc>
        <w:tc>
          <w:tcPr>
            <w:tcW w:w="1408" w:type="dxa"/>
            <w:shd w:val="clear" w:color="auto" w:fill="auto"/>
          </w:tcPr>
          <w:p w14:paraId="3891ED39"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Implementarea de politici şi măsuri care să contribuie la scăderea utilizării autovehiculului personal.</w:t>
            </w:r>
          </w:p>
        </w:tc>
      </w:tr>
      <w:tr w:rsidR="00CE0301" w:rsidRPr="00326E18" w14:paraId="334F9A89" w14:textId="77777777" w:rsidTr="00CE76B6">
        <w:tc>
          <w:tcPr>
            <w:tcW w:w="1002" w:type="dxa"/>
            <w:shd w:val="clear" w:color="auto" w:fill="BFBFBF"/>
          </w:tcPr>
          <w:p w14:paraId="18FA8DA5"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Multimodal</w:t>
            </w:r>
          </w:p>
        </w:tc>
        <w:tc>
          <w:tcPr>
            <w:tcW w:w="1106" w:type="dxa"/>
            <w:shd w:val="clear" w:color="auto" w:fill="auto"/>
          </w:tcPr>
          <w:p w14:paraId="5F18B720"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Pr>
                <w:rFonts w:ascii="Arial" w:hAnsi="Arial" w:cs="Mangal"/>
                <w:kern w:val="1"/>
                <w:sz w:val="16"/>
                <w:szCs w:val="16"/>
                <w:lang w:eastAsia="hi-IN" w:bidi="hi-IN"/>
              </w:rPr>
              <w:t>25,5 %</w:t>
            </w:r>
          </w:p>
        </w:tc>
        <w:tc>
          <w:tcPr>
            <w:tcW w:w="1161" w:type="dxa"/>
            <w:shd w:val="clear" w:color="auto" w:fill="auto"/>
          </w:tcPr>
          <w:p w14:paraId="52362BB4"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Rea</w:t>
            </w:r>
          </w:p>
        </w:tc>
        <w:tc>
          <w:tcPr>
            <w:tcW w:w="1565" w:type="dxa"/>
            <w:shd w:val="clear" w:color="auto" w:fill="auto"/>
          </w:tcPr>
          <w:p w14:paraId="03377382"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Pr>
                <w:rFonts w:ascii="Arial" w:hAnsi="Arial" w:cs="Mangal"/>
                <w:kern w:val="1"/>
                <w:sz w:val="16"/>
                <w:szCs w:val="16"/>
                <w:lang w:eastAsia="hi-IN" w:bidi="hi-IN"/>
              </w:rPr>
              <w:t xml:space="preserve">Autogările existente aparţin </w:t>
            </w:r>
            <w:r>
              <w:rPr>
                <w:rFonts w:ascii="Arial" w:hAnsi="Arial" w:cs="Mangal"/>
                <w:kern w:val="1"/>
                <w:sz w:val="16"/>
                <w:szCs w:val="16"/>
                <w:lang w:eastAsia="hi-IN" w:bidi="hi-IN"/>
              </w:rPr>
              <w:lastRenderedPageBreak/>
              <w:t>operatorilor privaţi care nu au posibilităţi pentru dotarea ş</w:t>
            </w:r>
            <w:r w:rsidRPr="00326E18">
              <w:rPr>
                <w:rFonts w:ascii="Arial" w:hAnsi="Arial" w:cs="Mangal"/>
                <w:kern w:val="1"/>
                <w:sz w:val="16"/>
                <w:szCs w:val="16"/>
                <w:lang w:eastAsia="hi-IN" w:bidi="hi-IN"/>
              </w:rPr>
              <w:t>i amenajarea corespunzătoare. Lipsă informaţii pentru intermodalitate.</w:t>
            </w:r>
          </w:p>
        </w:tc>
        <w:tc>
          <w:tcPr>
            <w:tcW w:w="1088" w:type="dxa"/>
            <w:shd w:val="clear" w:color="auto" w:fill="auto"/>
          </w:tcPr>
          <w:p w14:paraId="0156F0E9"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Nu există o staţie intermodal</w:t>
            </w:r>
            <w:r w:rsidRPr="00326E18">
              <w:rPr>
                <w:rFonts w:ascii="Arial" w:hAnsi="Arial" w:cs="Mangal"/>
                <w:kern w:val="1"/>
                <w:sz w:val="16"/>
                <w:szCs w:val="16"/>
                <w:lang w:eastAsia="hi-IN" w:bidi="hi-IN"/>
              </w:rPr>
              <w:lastRenderedPageBreak/>
              <w:t>ă adm</w:t>
            </w:r>
            <w:r>
              <w:rPr>
                <w:rFonts w:ascii="Arial" w:hAnsi="Arial" w:cs="Mangal"/>
                <w:kern w:val="1"/>
                <w:sz w:val="16"/>
                <w:szCs w:val="16"/>
                <w:lang w:eastAsia="hi-IN" w:bidi="hi-IN"/>
              </w:rPr>
              <w:t>inistrata de autoritatea publică locală</w:t>
            </w:r>
            <w:r w:rsidRPr="00326E18">
              <w:rPr>
                <w:rFonts w:ascii="Arial" w:hAnsi="Arial" w:cs="Mangal"/>
                <w:kern w:val="1"/>
                <w:sz w:val="16"/>
                <w:szCs w:val="16"/>
                <w:lang w:eastAsia="hi-IN" w:bidi="hi-IN"/>
              </w:rPr>
              <w:t>.</w:t>
            </w:r>
          </w:p>
        </w:tc>
        <w:tc>
          <w:tcPr>
            <w:tcW w:w="1297" w:type="dxa"/>
            <w:shd w:val="clear" w:color="auto" w:fill="auto"/>
          </w:tcPr>
          <w:p w14:paraId="7F64D457"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 xml:space="preserve">Nu există parcări Park&amp;Ride. </w:t>
            </w:r>
            <w:r w:rsidRPr="00326E18">
              <w:rPr>
                <w:rFonts w:ascii="Arial" w:hAnsi="Arial" w:cs="Mangal"/>
                <w:kern w:val="1"/>
                <w:sz w:val="16"/>
                <w:szCs w:val="16"/>
                <w:lang w:eastAsia="hi-IN" w:bidi="hi-IN"/>
              </w:rPr>
              <w:lastRenderedPageBreak/>
              <w:t>Nu e</w:t>
            </w:r>
            <w:r>
              <w:rPr>
                <w:rFonts w:ascii="Arial" w:hAnsi="Arial" w:cs="Mangal"/>
                <w:kern w:val="1"/>
                <w:sz w:val="16"/>
                <w:szCs w:val="16"/>
                <w:lang w:eastAsia="hi-IN" w:bidi="hi-IN"/>
              </w:rPr>
              <w:t>xistă parcă</w:t>
            </w:r>
            <w:r w:rsidRPr="00326E18">
              <w:rPr>
                <w:rFonts w:ascii="Arial" w:hAnsi="Arial" w:cs="Mangal"/>
                <w:kern w:val="1"/>
                <w:sz w:val="16"/>
                <w:szCs w:val="16"/>
                <w:lang w:eastAsia="hi-IN" w:bidi="hi-IN"/>
              </w:rPr>
              <w:t xml:space="preserve">ri pentru biciclete în zonele de interschimb cu alte moduri de transport (autogări, staţii TP) </w:t>
            </w:r>
          </w:p>
        </w:tc>
        <w:tc>
          <w:tcPr>
            <w:tcW w:w="1244" w:type="dxa"/>
            <w:shd w:val="clear" w:color="auto" w:fill="auto"/>
          </w:tcPr>
          <w:p w14:paraId="5A32F932"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lastRenderedPageBreak/>
              <w:t>Activitate redusă.</w:t>
            </w:r>
          </w:p>
        </w:tc>
        <w:tc>
          <w:tcPr>
            <w:tcW w:w="1408" w:type="dxa"/>
            <w:shd w:val="clear" w:color="auto" w:fill="auto"/>
          </w:tcPr>
          <w:p w14:paraId="708EDA0A"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Construirea unui centru </w:t>
            </w:r>
            <w:r w:rsidRPr="00326E18">
              <w:rPr>
                <w:rFonts w:ascii="Arial" w:hAnsi="Arial" w:cs="Mangal"/>
                <w:kern w:val="1"/>
                <w:sz w:val="16"/>
                <w:szCs w:val="16"/>
                <w:lang w:eastAsia="hi-IN" w:bidi="hi-IN"/>
              </w:rPr>
              <w:lastRenderedPageBreak/>
              <w:t>intermodal.</w:t>
            </w:r>
          </w:p>
        </w:tc>
      </w:tr>
      <w:tr w:rsidR="00CE0301" w:rsidRPr="00326E18" w14:paraId="284BD251" w14:textId="77777777" w:rsidTr="00CE76B6">
        <w:tc>
          <w:tcPr>
            <w:tcW w:w="1002" w:type="dxa"/>
            <w:shd w:val="clear" w:color="auto" w:fill="BFBFBF"/>
          </w:tcPr>
          <w:p w14:paraId="0FE838A3"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Marfa</w:t>
            </w:r>
          </w:p>
        </w:tc>
        <w:tc>
          <w:tcPr>
            <w:tcW w:w="1106" w:type="dxa"/>
            <w:shd w:val="clear" w:color="auto" w:fill="auto"/>
          </w:tcPr>
          <w:p w14:paraId="5AD187E6"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r w:rsidRPr="00326E18">
              <w:rPr>
                <w:rFonts w:ascii="Arial" w:hAnsi="Arial" w:cs="Mangal"/>
                <w:kern w:val="1"/>
                <w:sz w:val="16"/>
                <w:szCs w:val="16"/>
                <w:lang w:eastAsia="hi-IN" w:bidi="hi-IN"/>
              </w:rPr>
              <w:t>n/a</w:t>
            </w:r>
          </w:p>
        </w:tc>
        <w:tc>
          <w:tcPr>
            <w:tcW w:w="1161" w:type="dxa"/>
            <w:shd w:val="clear" w:color="auto" w:fill="auto"/>
          </w:tcPr>
          <w:p w14:paraId="335775B8" w14:textId="77777777" w:rsidR="00CE0301" w:rsidRPr="00326E18" w:rsidRDefault="00CE0301" w:rsidP="00CE76B6">
            <w:pPr>
              <w:widowControl w:val="0"/>
              <w:tabs>
                <w:tab w:val="left" w:pos="218"/>
                <w:tab w:val="center" w:pos="472"/>
              </w:tabs>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ab/>
              <w:t>Rea</w:t>
            </w:r>
          </w:p>
        </w:tc>
        <w:tc>
          <w:tcPr>
            <w:tcW w:w="1565" w:type="dxa"/>
            <w:shd w:val="clear" w:color="auto" w:fill="auto"/>
          </w:tcPr>
          <w:p w14:paraId="3D4BF4A7"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Traficul greu tranziteaza oraşul.</w:t>
            </w:r>
          </w:p>
        </w:tc>
        <w:tc>
          <w:tcPr>
            <w:tcW w:w="1088" w:type="dxa"/>
            <w:shd w:val="clear" w:color="auto" w:fill="auto"/>
          </w:tcPr>
          <w:p w14:paraId="25F57838"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Existenta traficului greu in oraş are efecte negative asupra mediului şi sănătăţii oamenilor. </w:t>
            </w:r>
          </w:p>
        </w:tc>
        <w:tc>
          <w:tcPr>
            <w:tcW w:w="1297" w:type="dxa"/>
            <w:shd w:val="clear" w:color="auto" w:fill="auto"/>
          </w:tcPr>
          <w:p w14:paraId="5511D61B"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Zonele industriale sunt situate la marginea oraşului unde traficul de marfă ajunge prin intermediul drumurilor naţionale.</w:t>
            </w:r>
          </w:p>
        </w:tc>
        <w:tc>
          <w:tcPr>
            <w:tcW w:w="1244" w:type="dxa"/>
            <w:shd w:val="clear" w:color="auto" w:fill="auto"/>
          </w:tcPr>
          <w:p w14:paraId="284FBAE1"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Proiectul “</w:t>
            </w:r>
            <w:r w:rsidRPr="00326E18">
              <w:rPr>
                <w:rFonts w:ascii="Arial" w:hAnsi="Arial" w:cs="Arial"/>
                <w:bCs/>
                <w:kern w:val="1"/>
                <w:sz w:val="16"/>
                <w:szCs w:val="16"/>
                <w:shd w:val="clear" w:color="auto" w:fill="FFFFFF"/>
                <w:lang w:val="ro-RO" w:eastAsia="hi-IN" w:bidi="hi-IN"/>
              </w:rPr>
              <w:t>Varianta de ocolire Horezu</w:t>
            </w:r>
            <w:r w:rsidRPr="00326E18">
              <w:rPr>
                <w:rFonts w:ascii="Arial" w:hAnsi="Arial" w:cs="Mangal"/>
                <w:kern w:val="1"/>
                <w:sz w:val="16"/>
                <w:szCs w:val="16"/>
                <w:lang w:eastAsia="hi-IN" w:bidi="hi-IN"/>
              </w:rPr>
              <w:t>” în curs de derulare (stadiu SF).</w:t>
            </w:r>
          </w:p>
        </w:tc>
        <w:tc>
          <w:tcPr>
            <w:tcW w:w="1408" w:type="dxa"/>
            <w:shd w:val="clear" w:color="auto" w:fill="auto"/>
          </w:tcPr>
          <w:p w14:paraId="15C100E3"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Dezvoltarea unei strategii de aprovizionare cu mărfuri în interiorul oraşului în intervalele de timp cu trafic redus.</w:t>
            </w:r>
          </w:p>
        </w:tc>
      </w:tr>
      <w:tr w:rsidR="00CE0301" w:rsidRPr="00326E18" w14:paraId="5566B184" w14:textId="77777777" w:rsidTr="00CE76B6">
        <w:tc>
          <w:tcPr>
            <w:tcW w:w="1002" w:type="dxa"/>
            <w:shd w:val="clear" w:color="auto" w:fill="BFBFBF"/>
          </w:tcPr>
          <w:p w14:paraId="7FD03CB2" w14:textId="77777777" w:rsidR="00CE0301" w:rsidRPr="00326E18" w:rsidRDefault="00CE0301" w:rsidP="00CE76B6">
            <w:pPr>
              <w:widowControl w:val="0"/>
              <w:suppressAutoHyphens/>
              <w:spacing w:beforeLines="40" w:before="96" w:afterLines="40" w:after="96" w:line="240" w:lineRule="auto"/>
              <w:rPr>
                <w:rFonts w:ascii="Arial" w:hAnsi="Arial" w:cs="Mangal"/>
                <w:b/>
                <w:kern w:val="1"/>
                <w:sz w:val="16"/>
                <w:szCs w:val="16"/>
                <w:lang w:eastAsia="hi-IN" w:bidi="hi-IN"/>
              </w:rPr>
            </w:pPr>
            <w:r w:rsidRPr="00326E18">
              <w:rPr>
                <w:rFonts w:ascii="Arial" w:hAnsi="Arial" w:cs="Mangal"/>
                <w:b/>
                <w:kern w:val="1"/>
                <w:sz w:val="16"/>
                <w:szCs w:val="16"/>
                <w:lang w:eastAsia="hi-IN" w:bidi="hi-IN"/>
              </w:rPr>
              <w:t>ANALIZA</w:t>
            </w:r>
          </w:p>
        </w:tc>
        <w:tc>
          <w:tcPr>
            <w:tcW w:w="1106" w:type="dxa"/>
            <w:shd w:val="clear" w:color="auto" w:fill="auto"/>
          </w:tcPr>
          <w:p w14:paraId="72B57F9B"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Transportul privat motorizat este modul predominant</w:t>
            </w:r>
          </w:p>
        </w:tc>
        <w:tc>
          <w:tcPr>
            <w:tcW w:w="1161" w:type="dxa"/>
            <w:shd w:val="clear" w:color="auto" w:fill="auto"/>
          </w:tcPr>
          <w:p w14:paraId="37ED62C2"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Infrastructura pentru toate modurile de transport trebuie îmbunătăţită</w:t>
            </w:r>
          </w:p>
        </w:tc>
        <w:tc>
          <w:tcPr>
            <w:tcW w:w="1565" w:type="dxa"/>
            <w:shd w:val="clear" w:color="auto" w:fill="auto"/>
          </w:tcPr>
          <w:p w14:paraId="28F27349"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Siguranţa traficului şi, în special, a participanţilor vulnerabili trebuie să devină o prioritate.</w:t>
            </w:r>
          </w:p>
        </w:tc>
        <w:tc>
          <w:tcPr>
            <w:tcW w:w="1088" w:type="dxa"/>
            <w:shd w:val="clear" w:color="auto" w:fill="auto"/>
          </w:tcPr>
          <w:p w14:paraId="783D83F1"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Poluarea aerului si fonica ridicate din cauza traficului motorizat privat, dar si a celui de tranzit. </w:t>
            </w:r>
          </w:p>
        </w:tc>
        <w:tc>
          <w:tcPr>
            <w:tcW w:w="1297" w:type="dxa"/>
            <w:shd w:val="clear" w:color="auto" w:fill="auto"/>
          </w:tcPr>
          <w:p w14:paraId="6AFBBF3E" w14:textId="7EFEBB6D"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 xml:space="preserve">Extinderea zonelor  exclusiv pietonale. Amenajare </w:t>
            </w:r>
            <w:r w:rsidR="006E163D">
              <w:rPr>
                <w:rFonts w:ascii="Arial" w:hAnsi="Arial" w:cs="Mangal"/>
                <w:kern w:val="1"/>
                <w:sz w:val="16"/>
                <w:szCs w:val="16"/>
                <w:lang w:eastAsia="hi-IN" w:bidi="hi-IN"/>
              </w:rPr>
              <w:t>trasee</w:t>
            </w:r>
            <w:r w:rsidRPr="00326E18">
              <w:rPr>
                <w:rFonts w:ascii="Arial" w:hAnsi="Arial" w:cs="Mangal"/>
                <w:kern w:val="1"/>
                <w:sz w:val="16"/>
                <w:szCs w:val="16"/>
                <w:lang w:eastAsia="hi-IN" w:bidi="hi-IN"/>
              </w:rPr>
              <w:t xml:space="preserve"> pentru biciclete. Implementarea si promovarea sistemelor de vehicle-sharing. Introducerea sistemului de TP şi achizitionarea unui parc de vehicule nepoluant.</w:t>
            </w:r>
          </w:p>
        </w:tc>
        <w:tc>
          <w:tcPr>
            <w:tcW w:w="1244" w:type="dxa"/>
            <w:shd w:val="clear" w:color="auto" w:fill="auto"/>
          </w:tcPr>
          <w:p w14:paraId="56E48FC1" w14:textId="77777777" w:rsidR="00CE0301" w:rsidRPr="00326E18" w:rsidRDefault="00CE0301" w:rsidP="00CE76B6">
            <w:pPr>
              <w:widowControl w:val="0"/>
              <w:suppressAutoHyphens/>
              <w:spacing w:beforeLines="40" w:before="96" w:afterLines="40" w:after="96" w:line="240" w:lineRule="auto"/>
              <w:rPr>
                <w:rFonts w:ascii="Arial" w:hAnsi="Arial" w:cs="Mangal"/>
                <w:kern w:val="1"/>
                <w:sz w:val="16"/>
                <w:szCs w:val="16"/>
                <w:lang w:eastAsia="hi-IN" w:bidi="hi-IN"/>
              </w:rPr>
            </w:pPr>
            <w:r w:rsidRPr="00326E18">
              <w:rPr>
                <w:rFonts w:ascii="Arial" w:hAnsi="Arial" w:cs="Mangal"/>
                <w:kern w:val="1"/>
                <w:sz w:val="16"/>
                <w:szCs w:val="16"/>
                <w:lang w:eastAsia="hi-IN" w:bidi="hi-IN"/>
              </w:rPr>
              <w:t>Capacitatea de realizare a proiectelor din diferitele domenii trebuie întărită.</w:t>
            </w:r>
          </w:p>
        </w:tc>
        <w:tc>
          <w:tcPr>
            <w:tcW w:w="1408" w:type="dxa"/>
            <w:shd w:val="clear" w:color="auto" w:fill="auto"/>
          </w:tcPr>
          <w:p w14:paraId="196BBE0D" w14:textId="77777777" w:rsidR="00CE0301" w:rsidRPr="00326E18" w:rsidRDefault="00CE0301" w:rsidP="00CE76B6">
            <w:pPr>
              <w:widowControl w:val="0"/>
              <w:suppressAutoHyphens/>
              <w:spacing w:beforeLines="40" w:before="96" w:afterLines="40" w:after="96" w:line="240" w:lineRule="auto"/>
              <w:jc w:val="center"/>
              <w:rPr>
                <w:rFonts w:ascii="Arial" w:hAnsi="Arial" w:cs="Mangal"/>
                <w:kern w:val="1"/>
                <w:sz w:val="16"/>
                <w:szCs w:val="16"/>
                <w:lang w:eastAsia="hi-IN" w:bidi="hi-IN"/>
              </w:rPr>
            </w:pPr>
          </w:p>
        </w:tc>
      </w:tr>
    </w:tbl>
    <w:p w14:paraId="5FB50904" w14:textId="77777777" w:rsidR="00504D4E" w:rsidRPr="00504D4E" w:rsidRDefault="00504D4E" w:rsidP="00504D4E">
      <w:pPr>
        <w:widowControl w:val="0"/>
        <w:suppressAutoHyphens/>
        <w:spacing w:after="0" w:line="360" w:lineRule="auto"/>
        <w:jc w:val="both"/>
        <w:rPr>
          <w:rFonts w:ascii="Arial" w:hAnsi="Arial" w:cs="Arial"/>
          <w:kern w:val="1"/>
          <w:sz w:val="24"/>
          <w:szCs w:val="24"/>
          <w:lang w:val="es-ES" w:eastAsia="hi-IN" w:bidi="hi-IN"/>
        </w:rPr>
      </w:pPr>
    </w:p>
    <w:p w14:paraId="3F27C627" w14:textId="77777777" w:rsidR="00504D4E" w:rsidRDefault="00504D4E" w:rsidP="00504D4E">
      <w:pPr>
        <w:rPr>
          <w:rFonts w:ascii="Arial" w:eastAsia="Times New Roman" w:hAnsi="Arial" w:cs="Arial"/>
          <w:b/>
          <w:sz w:val="24"/>
          <w:szCs w:val="24"/>
          <w:lang w:val="it-IT" w:eastAsia="ro-RO"/>
        </w:rPr>
      </w:pPr>
    </w:p>
    <w:p w14:paraId="73E9AEFD" w14:textId="77777777" w:rsidR="00770D30" w:rsidRDefault="00770D30" w:rsidP="00504D4E">
      <w:pPr>
        <w:rPr>
          <w:rFonts w:ascii="Arial" w:eastAsia="Times New Roman" w:hAnsi="Arial" w:cs="Arial"/>
          <w:b/>
          <w:sz w:val="24"/>
          <w:szCs w:val="24"/>
          <w:lang w:val="it-IT" w:eastAsia="ro-RO"/>
        </w:rPr>
      </w:pPr>
    </w:p>
    <w:p w14:paraId="66EB2488" w14:textId="77777777" w:rsidR="00770D30" w:rsidRDefault="00770D30" w:rsidP="00504D4E">
      <w:pPr>
        <w:rPr>
          <w:rFonts w:ascii="Arial" w:eastAsia="Times New Roman" w:hAnsi="Arial" w:cs="Arial"/>
          <w:b/>
          <w:sz w:val="24"/>
          <w:szCs w:val="24"/>
          <w:lang w:val="it-IT" w:eastAsia="ro-RO"/>
        </w:rPr>
      </w:pPr>
    </w:p>
    <w:p w14:paraId="65E562BA" w14:textId="77777777" w:rsidR="00770D30" w:rsidRDefault="00770D30" w:rsidP="00504D4E">
      <w:pPr>
        <w:rPr>
          <w:rFonts w:ascii="Arial" w:eastAsia="Times New Roman" w:hAnsi="Arial" w:cs="Arial"/>
          <w:b/>
          <w:sz w:val="24"/>
          <w:szCs w:val="24"/>
          <w:lang w:val="it-IT" w:eastAsia="ro-RO"/>
        </w:rPr>
      </w:pPr>
    </w:p>
    <w:p w14:paraId="2C0953EF" w14:textId="77777777" w:rsidR="00770D30" w:rsidRDefault="00770D30" w:rsidP="00504D4E">
      <w:pPr>
        <w:rPr>
          <w:rFonts w:ascii="Arial" w:eastAsia="Times New Roman" w:hAnsi="Arial" w:cs="Arial"/>
          <w:b/>
          <w:sz w:val="24"/>
          <w:szCs w:val="24"/>
          <w:lang w:val="it-IT" w:eastAsia="ro-RO"/>
        </w:rPr>
      </w:pPr>
    </w:p>
    <w:p w14:paraId="7CE5D3E8" w14:textId="77777777" w:rsidR="00770D30" w:rsidRDefault="00770D30" w:rsidP="00504D4E">
      <w:pPr>
        <w:rPr>
          <w:rFonts w:ascii="Arial" w:eastAsia="Times New Roman" w:hAnsi="Arial" w:cs="Arial"/>
          <w:b/>
          <w:sz w:val="24"/>
          <w:szCs w:val="24"/>
          <w:lang w:val="it-IT" w:eastAsia="ro-RO"/>
        </w:rPr>
      </w:pPr>
    </w:p>
    <w:p w14:paraId="17FF748D" w14:textId="77777777" w:rsidR="00770D30" w:rsidRDefault="00770D30" w:rsidP="00504D4E">
      <w:pPr>
        <w:rPr>
          <w:rFonts w:ascii="Arial" w:eastAsia="Times New Roman" w:hAnsi="Arial" w:cs="Arial"/>
          <w:b/>
          <w:sz w:val="24"/>
          <w:szCs w:val="24"/>
          <w:lang w:val="it-IT" w:eastAsia="ro-RO"/>
        </w:rPr>
      </w:pPr>
    </w:p>
    <w:p w14:paraId="3E271612" w14:textId="77777777" w:rsidR="00770D30" w:rsidRDefault="00770D30" w:rsidP="00504D4E">
      <w:pPr>
        <w:rPr>
          <w:rFonts w:ascii="Arial" w:eastAsia="Times New Roman" w:hAnsi="Arial" w:cs="Arial"/>
          <w:b/>
          <w:sz w:val="24"/>
          <w:szCs w:val="24"/>
          <w:lang w:val="it-IT" w:eastAsia="ro-RO"/>
        </w:rPr>
      </w:pPr>
    </w:p>
    <w:p w14:paraId="7C868A00" w14:textId="77777777" w:rsidR="00770D30" w:rsidRDefault="00770D30" w:rsidP="00504D4E">
      <w:pPr>
        <w:rPr>
          <w:rFonts w:ascii="Arial" w:eastAsia="Times New Roman" w:hAnsi="Arial" w:cs="Arial"/>
          <w:b/>
          <w:sz w:val="24"/>
          <w:szCs w:val="24"/>
          <w:lang w:val="it-IT" w:eastAsia="ro-RO"/>
        </w:rPr>
      </w:pPr>
    </w:p>
    <w:p w14:paraId="50691D8E" w14:textId="77777777" w:rsidR="00770D30" w:rsidRDefault="00770D30" w:rsidP="00504D4E">
      <w:pPr>
        <w:rPr>
          <w:rFonts w:ascii="Arial" w:eastAsia="Times New Roman" w:hAnsi="Arial" w:cs="Arial"/>
          <w:b/>
          <w:sz w:val="24"/>
          <w:szCs w:val="24"/>
          <w:lang w:val="it-IT" w:eastAsia="ro-RO"/>
        </w:rPr>
      </w:pPr>
    </w:p>
    <w:p w14:paraId="6B9FBEA7" w14:textId="77777777" w:rsidR="00770D30" w:rsidRPr="00504D4E" w:rsidRDefault="00770D30" w:rsidP="00504D4E">
      <w:pPr>
        <w:rPr>
          <w:rFonts w:ascii="Arial" w:eastAsia="Times New Roman" w:hAnsi="Arial" w:cs="Arial"/>
          <w:b/>
          <w:sz w:val="24"/>
          <w:szCs w:val="24"/>
          <w:lang w:val="it-IT" w:eastAsia="ro-RO"/>
        </w:rPr>
      </w:pPr>
    </w:p>
    <w:p w14:paraId="6A620659" w14:textId="77777777" w:rsidR="00504D4E" w:rsidRPr="00504D4E" w:rsidRDefault="00504D4E" w:rsidP="00504D4E">
      <w:pPr>
        <w:rPr>
          <w:lang w:eastAsia="hi-IN" w:bidi="hi-IN"/>
        </w:rPr>
      </w:pPr>
    </w:p>
    <w:p w14:paraId="4D9A83EF" w14:textId="77777777" w:rsidR="00D70AEA" w:rsidRPr="00887626" w:rsidRDefault="00EA79B2" w:rsidP="00D70AEA">
      <w:pPr>
        <w:keepNext/>
        <w:keepLines/>
        <w:spacing w:before="240" w:after="0"/>
        <w:outlineLvl w:val="0"/>
        <w:rPr>
          <w:rFonts w:ascii="Arial" w:eastAsia="Times New Roman" w:hAnsi="Arial" w:cs="Arial"/>
          <w:b/>
          <w:bCs/>
          <w:sz w:val="28"/>
          <w:szCs w:val="28"/>
          <w:lang w:val="it-IT" w:eastAsia="ro-RO"/>
        </w:rPr>
      </w:pPr>
      <w:bookmarkStart w:id="383" w:name="_Toc61264909"/>
      <w:bookmarkStart w:id="384" w:name="_Toc142039092"/>
      <w:r w:rsidRPr="00887626">
        <w:rPr>
          <w:b/>
          <w:bCs/>
          <w:noProof/>
          <w:sz w:val="28"/>
          <w:szCs w:val="28"/>
        </w:rPr>
        <mc:AlternateContent>
          <mc:Choice Requires="wps">
            <w:drawing>
              <wp:anchor distT="0" distB="0" distL="114300" distR="114300" simplePos="0" relativeHeight="251636224" behindDoc="0" locked="0" layoutInCell="1" allowOverlap="1" wp14:anchorId="6A254731" wp14:editId="33292447">
                <wp:simplePos x="0" y="0"/>
                <wp:positionH relativeFrom="column">
                  <wp:posOffset>6153150</wp:posOffset>
                </wp:positionH>
                <wp:positionV relativeFrom="paragraph">
                  <wp:posOffset>9525</wp:posOffset>
                </wp:positionV>
                <wp:extent cx="1828800" cy="1828800"/>
                <wp:effectExtent l="0" t="0" r="0" b="0"/>
                <wp:wrapNone/>
                <wp:docPr id="52" name="Text Box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84088A8" w14:textId="77777777" w:rsidR="00C36A80" w:rsidRPr="00770D30" w:rsidRDefault="00C36A80" w:rsidP="00EA79B2">
                            <w:pPr>
                              <w:pStyle w:val="Titlu1"/>
                              <w:jc w:val="center"/>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pPr>
                            <w:bookmarkStart w:id="385" w:name="_Toc142039093"/>
                            <w:r w:rsidRPr="00770D30">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t>I.5</w:t>
                            </w:r>
                            <w:bookmarkEnd w:id="385"/>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A254731" id="Text Box 52" o:spid="_x0000_s1087" type="#_x0000_t202" style="position:absolute;margin-left:484.5pt;margin-top:.75pt;width:2in;height:2in;z-index:2516362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" filled="f" stroked="f">
                <v:textbox style="mso-fit-shape-to-text:t">
                  <w:txbxContent>
                    <w:p w14:paraId="684088A8" w14:textId="77777777" w:rsidR="00C36A80" w:rsidRPr="00770D30" w:rsidRDefault="00C36A80" w:rsidP="00EA79B2">
                      <w:pPr>
                        <w:pStyle w:val="Titlu1"/>
                        <w:jc w:val="center"/>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pPr>
                      <w:bookmarkStart w:id="386" w:name="_Toc142039093"/>
                      <w:r w:rsidRPr="00770D30">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t>I.5</w:t>
                      </w:r>
                      <w:bookmarkEnd w:id="386"/>
                    </w:p>
                  </w:txbxContent>
                </v:textbox>
              </v:shape>
            </w:pict>
          </mc:Fallback>
        </mc:AlternateContent>
      </w:r>
      <w:r w:rsidR="00D70AEA" w:rsidRPr="00887626">
        <w:rPr>
          <w:rFonts w:ascii="Arial" w:eastAsia="Times New Roman" w:hAnsi="Arial" w:cs="Arial"/>
          <w:b/>
          <w:bCs/>
          <w:sz w:val="28"/>
          <w:szCs w:val="28"/>
          <w:lang w:val="it-IT" w:eastAsia="ro-RO"/>
        </w:rPr>
        <w:t>I.5 V</w:t>
      </w:r>
      <w:r w:rsidR="00AA156A" w:rsidRPr="00887626">
        <w:rPr>
          <w:rFonts w:ascii="Arial" w:eastAsia="Times New Roman" w:hAnsi="Arial" w:cs="Arial"/>
          <w:b/>
          <w:bCs/>
          <w:sz w:val="28"/>
          <w:szCs w:val="28"/>
          <w:lang w:val="it-IT" w:eastAsia="ro-RO"/>
        </w:rPr>
        <w:t>iziunea de dezvoltare a mobilităţ</w:t>
      </w:r>
      <w:r w:rsidR="00D70AEA" w:rsidRPr="00887626">
        <w:rPr>
          <w:rFonts w:ascii="Arial" w:eastAsia="Times New Roman" w:hAnsi="Arial" w:cs="Arial"/>
          <w:b/>
          <w:bCs/>
          <w:sz w:val="28"/>
          <w:szCs w:val="28"/>
          <w:lang w:val="it-IT" w:eastAsia="ro-RO"/>
        </w:rPr>
        <w:t>ii urbane</w:t>
      </w:r>
      <w:bookmarkEnd w:id="383"/>
      <w:bookmarkEnd w:id="384"/>
    </w:p>
    <w:p w14:paraId="3BC44E7A" w14:textId="77777777" w:rsidR="00437AC6" w:rsidRPr="00437AC6" w:rsidRDefault="00437AC6" w:rsidP="00437AC6"/>
    <w:p w14:paraId="75037250" w14:textId="77777777" w:rsidR="00D70AEA" w:rsidRDefault="000A7EE2" w:rsidP="000A7EE2">
      <w:pPr>
        <w:pStyle w:val="Titlu2"/>
        <w:rPr>
          <w:rFonts w:ascii="Arial" w:eastAsia="Times New Roman" w:hAnsi="Arial" w:cs="Arial"/>
          <w:b/>
          <w:color w:val="auto"/>
          <w:lang w:val="it-IT" w:eastAsia="ro-RO"/>
        </w:rPr>
      </w:pPr>
      <w:bookmarkStart w:id="387" w:name="_Toc61264910"/>
      <w:bookmarkStart w:id="388" w:name="_Toc142039094"/>
      <w:r>
        <w:rPr>
          <w:rFonts w:ascii="Arial" w:eastAsia="Times New Roman" w:hAnsi="Arial" w:cs="Arial"/>
          <w:b/>
          <w:color w:val="auto"/>
          <w:lang w:val="it-IT" w:eastAsia="ro-RO"/>
        </w:rPr>
        <w:t xml:space="preserve">I.5.1 </w:t>
      </w:r>
      <w:r w:rsidR="00D70AEA" w:rsidRPr="000A7EE2">
        <w:rPr>
          <w:rFonts w:ascii="Arial" w:eastAsia="Times New Roman" w:hAnsi="Arial" w:cs="Arial"/>
          <w:b/>
          <w:color w:val="auto"/>
          <w:lang w:val="it-IT" w:eastAsia="ro-RO"/>
        </w:rPr>
        <w:t>Viziunea prezentata pentru cele trei nivele teritoriale</w:t>
      </w:r>
      <w:bookmarkEnd w:id="387"/>
      <w:bookmarkEnd w:id="388"/>
    </w:p>
    <w:p w14:paraId="204558A8" w14:textId="77777777" w:rsidR="00426696" w:rsidRPr="00426696" w:rsidRDefault="00426696" w:rsidP="00426696">
      <w:pPr>
        <w:suppressAutoHyphens/>
        <w:autoSpaceDE w:val="0"/>
        <w:spacing w:after="0" w:line="276" w:lineRule="auto"/>
        <w:jc w:val="both"/>
        <w:rPr>
          <w:rFonts w:ascii="Arial" w:eastAsia="Arial" w:hAnsi="Arial" w:cs="Arial"/>
          <w:i/>
          <w:iCs/>
          <w:color w:val="000000"/>
          <w:lang w:val="es-ES" w:eastAsia="ro-RO"/>
        </w:rPr>
      </w:pPr>
      <w:r w:rsidRPr="00426696">
        <w:rPr>
          <w:rFonts w:ascii="Arial" w:eastAsia="Times New Roman" w:hAnsi="Arial" w:cs="Arial"/>
          <w:color w:val="000000"/>
          <w:lang w:val="es-ES" w:eastAsia="ro-RO"/>
        </w:rPr>
        <w:t>Viziunea privind un Plan de Mobilitate Urbană Durabilă este definită ca fiind:</w:t>
      </w:r>
    </w:p>
    <w:p w14:paraId="1F66E699" w14:textId="77777777" w:rsidR="00426696" w:rsidRPr="00426696" w:rsidRDefault="00426696" w:rsidP="00426696">
      <w:pPr>
        <w:suppressAutoHyphens/>
        <w:autoSpaceDE w:val="0"/>
        <w:spacing w:after="0" w:line="276" w:lineRule="auto"/>
        <w:jc w:val="both"/>
        <w:rPr>
          <w:rFonts w:ascii="Arial" w:eastAsia="Times New Roman" w:hAnsi="Arial" w:cs="Arial"/>
          <w:lang w:val="es-ES" w:eastAsia="ro-RO"/>
        </w:rPr>
      </w:pPr>
      <w:r w:rsidRPr="00426696">
        <w:rPr>
          <w:rFonts w:ascii="Arial" w:eastAsia="Arial" w:hAnsi="Arial" w:cs="Arial"/>
          <w:i/>
          <w:iCs/>
          <w:color w:val="000000"/>
          <w:lang w:val="es-ES" w:eastAsia="ro-RO"/>
        </w:rPr>
        <w:t>“</w:t>
      </w:r>
      <w:r w:rsidRPr="00426696">
        <w:rPr>
          <w:rFonts w:ascii="Arial" w:eastAsia="Times New Roman" w:hAnsi="Arial" w:cs="Arial"/>
          <w:i/>
          <w:iCs/>
          <w:lang w:val="es-ES" w:eastAsia="ro-RO"/>
        </w:rPr>
        <w:t>Realizarea</w:t>
      </w:r>
      <w:r w:rsidRPr="00426696">
        <w:rPr>
          <w:rFonts w:ascii="Arial" w:eastAsia="Calibri" w:hAnsi="Arial" w:cs="Arial"/>
          <w:i/>
          <w:iCs/>
          <w:lang w:val="es-ES" w:eastAsia="zh-CN"/>
        </w:rPr>
        <w:t xml:space="preserve"> unui sistem de transport eficient, integrat, durabil şi sigur, care să promoveze dezvoltarea economică, socială şi teritorială şi care să asigure o bună calitate a vieţii în arealul Orasului Horezu”.</w:t>
      </w:r>
    </w:p>
    <w:p w14:paraId="49A92C96" w14:textId="77777777" w:rsidR="00426696" w:rsidRPr="00426696" w:rsidRDefault="00426696" w:rsidP="00426696">
      <w:pPr>
        <w:suppressAutoHyphens/>
        <w:autoSpaceDE w:val="0"/>
        <w:spacing w:after="0" w:line="276" w:lineRule="auto"/>
        <w:jc w:val="both"/>
        <w:rPr>
          <w:rFonts w:ascii="Arial" w:eastAsia="Times New Roman" w:hAnsi="Arial" w:cs="Arial"/>
          <w:lang w:val="es-ES" w:eastAsia="ro-RO"/>
        </w:rPr>
      </w:pPr>
    </w:p>
    <w:p w14:paraId="7A204863" w14:textId="77777777" w:rsidR="00426696" w:rsidRPr="00426696" w:rsidRDefault="00426696" w:rsidP="00426696">
      <w:pPr>
        <w:suppressAutoHyphens/>
        <w:autoSpaceDE w:val="0"/>
        <w:spacing w:after="0" w:line="276" w:lineRule="auto"/>
        <w:jc w:val="both"/>
        <w:rPr>
          <w:rFonts w:ascii="Arial" w:eastAsia="Arial" w:hAnsi="Arial" w:cs="Arial"/>
          <w:color w:val="000000"/>
          <w:lang w:val="es-ES" w:eastAsia="zh-CN"/>
        </w:rPr>
      </w:pPr>
      <w:r w:rsidRPr="00426696">
        <w:rPr>
          <w:rFonts w:ascii="Arial" w:eastAsia="Times New Roman" w:hAnsi="Arial" w:cs="Arial"/>
          <w:color w:val="000000"/>
          <w:lang w:val="es-ES" w:eastAsia="ro-RO"/>
        </w:rPr>
        <w:t xml:space="preserve">Viziunea oferă baza pentru toți pașii intermediari între prezent și momentul materializǎrii viziunii, permițând: </w:t>
      </w:r>
    </w:p>
    <w:p w14:paraId="4385EC42" w14:textId="77777777" w:rsidR="00426696" w:rsidRPr="00426696" w:rsidRDefault="00426696" w:rsidP="000C6CB8">
      <w:pPr>
        <w:numPr>
          <w:ilvl w:val="0"/>
          <w:numId w:val="159"/>
        </w:numPr>
        <w:suppressAutoHyphens/>
        <w:autoSpaceDE w:val="0"/>
        <w:spacing w:after="0" w:line="276" w:lineRule="auto"/>
        <w:jc w:val="both"/>
        <w:rPr>
          <w:rFonts w:ascii="Arial" w:eastAsia="Arial" w:hAnsi="Arial" w:cs="Arial"/>
          <w:color w:val="000000"/>
          <w:lang w:val="es-ES" w:eastAsia="zh-CN"/>
        </w:rPr>
      </w:pPr>
      <w:r w:rsidRPr="00426696">
        <w:rPr>
          <w:rFonts w:ascii="Arial" w:eastAsia="Calibri" w:hAnsi="Arial" w:cs="Arial"/>
          <w:color w:val="000000"/>
          <w:lang w:val="es-ES" w:eastAsia="zh-CN"/>
        </w:rPr>
        <w:t xml:space="preserve">definirea obiectivelor parțiale și a mijloacelor potențiale, respectiv </w:t>
      </w:r>
    </w:p>
    <w:p w14:paraId="03C58835" w14:textId="77777777" w:rsidR="00426696" w:rsidRPr="00426696" w:rsidRDefault="00426696" w:rsidP="000C6CB8">
      <w:pPr>
        <w:numPr>
          <w:ilvl w:val="0"/>
          <w:numId w:val="159"/>
        </w:numPr>
        <w:suppressAutoHyphens/>
        <w:autoSpaceDE w:val="0"/>
        <w:spacing w:after="0" w:line="276" w:lineRule="auto"/>
        <w:jc w:val="both"/>
        <w:rPr>
          <w:rFonts w:ascii="Arial" w:eastAsia="Arial" w:hAnsi="Arial" w:cs="Arial"/>
          <w:color w:val="000000"/>
          <w:lang w:val="es-ES" w:eastAsia="zh-CN"/>
        </w:rPr>
      </w:pPr>
      <w:r w:rsidRPr="00426696">
        <w:rPr>
          <w:rFonts w:ascii="Arial" w:eastAsia="Calibri" w:hAnsi="Arial" w:cs="Arial"/>
          <w:color w:val="000000"/>
          <w:lang w:val="es-ES" w:eastAsia="zh-CN"/>
        </w:rPr>
        <w:t xml:space="preserve">luarea măsurilor fezabile, iar în final </w:t>
      </w:r>
    </w:p>
    <w:p w14:paraId="4C06FFC4" w14:textId="77777777" w:rsidR="00426696" w:rsidRPr="00426696" w:rsidRDefault="00426696" w:rsidP="000C6CB8">
      <w:pPr>
        <w:numPr>
          <w:ilvl w:val="0"/>
          <w:numId w:val="159"/>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executarea activitǎților concrete și a acțiunilor specifice, </w:t>
      </w:r>
    </w:p>
    <w:p w14:paraId="438EE9FB" w14:textId="77777777" w:rsidR="00426696" w:rsidRPr="00426696" w:rsidRDefault="00426696" w:rsidP="000C6CB8">
      <w:pPr>
        <w:numPr>
          <w:ilvl w:val="0"/>
          <w:numId w:val="159"/>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care sǎ suprapunǎ cât se poate de exact situația viitoare peste structura estimatǎ. </w:t>
      </w:r>
    </w:p>
    <w:p w14:paraId="5CB30B9D" w14:textId="77777777" w:rsidR="00426696" w:rsidRPr="00426696" w:rsidRDefault="00426696" w:rsidP="00426696">
      <w:pPr>
        <w:suppressAutoHyphens/>
        <w:autoSpaceDE w:val="0"/>
        <w:spacing w:after="0" w:line="276" w:lineRule="auto"/>
        <w:jc w:val="both"/>
        <w:rPr>
          <w:rFonts w:ascii="Arial" w:eastAsia="Calibri" w:hAnsi="Arial" w:cs="Arial"/>
          <w:color w:val="000000"/>
          <w:lang w:val="es-ES" w:eastAsia="zh-CN"/>
        </w:rPr>
      </w:pPr>
    </w:p>
    <w:p w14:paraId="5BD1602C" w14:textId="77777777" w:rsidR="00426696" w:rsidRPr="00426696" w:rsidRDefault="00426696" w:rsidP="00426696">
      <w:pPr>
        <w:suppressAutoHyphens/>
        <w:autoSpaceDE w:val="0"/>
        <w:spacing w:after="0" w:line="276" w:lineRule="auto"/>
        <w:jc w:val="both"/>
        <w:rPr>
          <w:rFonts w:ascii="Arial" w:eastAsia="Calibri" w:hAnsi="Arial" w:cs="Arial"/>
          <w:color w:val="000000"/>
          <w:lang w:val="es-ES" w:eastAsia="ro-RO"/>
        </w:rPr>
      </w:pPr>
      <w:r w:rsidRPr="00426696">
        <w:rPr>
          <w:rFonts w:ascii="Arial" w:eastAsia="Calibri" w:hAnsi="Arial" w:cs="Arial"/>
          <w:b/>
          <w:color w:val="000000"/>
          <w:lang w:val="es-ES" w:eastAsia="zh-CN"/>
        </w:rPr>
        <w:t xml:space="preserve">Viziunea oferă o descriere calitativă </w:t>
      </w:r>
      <w:r w:rsidRPr="00426696">
        <w:rPr>
          <w:rFonts w:ascii="Arial" w:eastAsia="Calibri" w:hAnsi="Arial" w:cs="Arial"/>
          <w:color w:val="000000"/>
          <w:lang w:val="es-ES" w:eastAsia="zh-CN"/>
        </w:rPr>
        <w:t xml:space="preserve">a unui mediu urban dorit în viitor și a serviciilor aferente, oferind orientarea dezvoltǎrii corespunzătoare prin măsuri de planificare oportune, raționale și eficiente. În contextul în care este abordatǎ viziunea în prezentul material, ipoteza de bazǎ pentru viziune este alcǎtuitǎ din obligativitatea plasǎrii mobilitǎții „în fundal”, în contextul mai larg al dezvoltării urbane și sociale. De asemenea, viziunea trebuie pregătită luând în considerare toate perspectivele de politică urbanǎ și nu în ultimul rând de politică generală în oraș. Dar, viziunea poate fi un </w:t>
      </w:r>
      <w:r w:rsidRPr="00426696">
        <w:rPr>
          <w:rFonts w:ascii="Arial" w:eastAsia="Calibri" w:hAnsi="Arial" w:cs="Arial"/>
          <w:b/>
          <w:color w:val="000000"/>
          <w:lang w:val="es-ES" w:eastAsia="zh-CN"/>
        </w:rPr>
        <w:t xml:space="preserve">element de ghidare </w:t>
      </w:r>
      <w:r w:rsidRPr="00426696">
        <w:rPr>
          <w:rFonts w:ascii="Arial" w:eastAsia="Calibri" w:hAnsi="Arial" w:cs="Arial"/>
          <w:color w:val="000000"/>
          <w:lang w:val="es-ES" w:eastAsia="zh-CN"/>
        </w:rPr>
        <w:t xml:space="preserve">doar în cazul în care este unanim acceptată în rândul părților interesate și al cetățenilor; prin urmare, este esențial să se creeze o proprietate comună asupra viziunii. În diagrama urmǎtoare este înfǎțișatǎ imaginea unui mod de abordare a </w:t>
      </w:r>
      <w:r w:rsidRPr="00426696">
        <w:rPr>
          <w:rFonts w:ascii="Arial" w:eastAsia="Calibri" w:hAnsi="Arial" w:cs="Arial"/>
          <w:b/>
          <w:color w:val="000000"/>
          <w:lang w:val="es-ES" w:eastAsia="zh-CN"/>
        </w:rPr>
        <w:t xml:space="preserve">constituirii în cooperare </w:t>
      </w:r>
      <w:r w:rsidRPr="00426696">
        <w:rPr>
          <w:rFonts w:ascii="Arial" w:eastAsia="Calibri" w:hAnsi="Arial" w:cs="Arial"/>
          <w:color w:val="000000"/>
          <w:lang w:val="es-ES" w:eastAsia="zh-CN"/>
        </w:rPr>
        <w:t xml:space="preserve">a viziunii comune cu privire la mobilitate în </w:t>
      </w:r>
      <w:r>
        <w:rPr>
          <w:rFonts w:ascii="Arial" w:eastAsia="Calibri" w:hAnsi="Arial" w:cs="Arial"/>
          <w:color w:val="000000"/>
          <w:lang w:val="es-ES" w:eastAsia="zh-CN"/>
        </w:rPr>
        <w:t>Oraş</w:t>
      </w:r>
      <w:r w:rsidRPr="00426696">
        <w:rPr>
          <w:rFonts w:ascii="Arial" w:eastAsia="Calibri" w:hAnsi="Arial" w:cs="Arial"/>
          <w:color w:val="000000"/>
          <w:lang w:val="es-ES" w:eastAsia="zh-CN"/>
        </w:rPr>
        <w:t>ul Horezu.</w:t>
      </w:r>
    </w:p>
    <w:p w14:paraId="0A636588" w14:textId="77777777" w:rsidR="00426696" w:rsidRPr="00426696" w:rsidRDefault="00426696" w:rsidP="00426696">
      <w:pPr>
        <w:widowControl w:val="0"/>
        <w:suppressAutoHyphens/>
        <w:autoSpaceDE w:val="0"/>
        <w:spacing w:after="0" w:line="360" w:lineRule="auto"/>
        <w:jc w:val="both"/>
        <w:rPr>
          <w:rFonts w:ascii="Arial" w:hAnsi="Arial" w:cs="Arial"/>
          <w:kern w:val="1"/>
          <w:sz w:val="20"/>
          <w:szCs w:val="24"/>
          <w:lang w:val="es-ES" w:eastAsia="ro-RO" w:bidi="hi-IN"/>
        </w:rPr>
      </w:pPr>
    </w:p>
    <w:p w14:paraId="223ADB50" w14:textId="77777777" w:rsidR="00426696" w:rsidRPr="00426696" w:rsidRDefault="00426696" w:rsidP="00426696">
      <w:pPr>
        <w:widowControl w:val="0"/>
        <w:suppressAutoHyphens/>
        <w:autoSpaceDE w:val="0"/>
        <w:spacing w:after="0" w:line="360" w:lineRule="auto"/>
        <w:jc w:val="both"/>
        <w:rPr>
          <w:rFonts w:ascii="Arial" w:hAnsi="Arial" w:cs="Arial"/>
          <w:kern w:val="1"/>
          <w:sz w:val="20"/>
          <w:szCs w:val="24"/>
          <w:lang w:val="es-ES" w:eastAsia="ro-RO" w:bidi="hi-IN"/>
        </w:rPr>
      </w:pPr>
    </w:p>
    <w:p w14:paraId="46FC5BC9" w14:textId="77777777" w:rsidR="00426696" w:rsidRPr="00426696" w:rsidRDefault="00426696" w:rsidP="00426696">
      <w:pPr>
        <w:suppressAutoHyphens/>
        <w:autoSpaceDE w:val="0"/>
        <w:spacing w:after="0" w:line="360" w:lineRule="auto"/>
        <w:jc w:val="both"/>
        <w:rPr>
          <w:rFonts w:ascii="Arial" w:eastAsia="Times New Roman" w:hAnsi="Arial" w:cs="Arial"/>
          <w:sz w:val="24"/>
          <w:szCs w:val="24"/>
          <w:lang w:val="es-ES" w:eastAsia="ro-RO"/>
        </w:rPr>
      </w:pPr>
    </w:p>
    <w:p w14:paraId="5A5A120C" w14:textId="77777777" w:rsidR="00426696" w:rsidRPr="00426696" w:rsidRDefault="00426696" w:rsidP="00426696">
      <w:pPr>
        <w:widowControl w:val="0"/>
        <w:suppressAutoHyphens/>
        <w:autoSpaceDE w:val="0"/>
        <w:spacing w:after="0" w:line="360" w:lineRule="auto"/>
        <w:jc w:val="both"/>
        <w:rPr>
          <w:rFonts w:ascii="Arial" w:hAnsi="Arial" w:cs="Arial"/>
          <w:kern w:val="1"/>
          <w:sz w:val="20"/>
          <w:szCs w:val="24"/>
          <w:lang w:val="es-ES" w:eastAsia="ro-RO" w:bidi="hi-IN"/>
        </w:rPr>
      </w:pPr>
      <w:r w:rsidRPr="00426696">
        <w:rPr>
          <w:rFonts w:ascii="Arial" w:hAnsi="Arial" w:cs="Mangal"/>
          <w:noProof/>
          <w:kern w:val="1"/>
          <w:sz w:val="20"/>
          <w:szCs w:val="24"/>
        </w:rPr>
        <w:lastRenderedPageBreak/>
        <w:drawing>
          <wp:anchor distT="0" distB="0" distL="0" distR="0" simplePos="0" relativeHeight="251632128" behindDoc="0" locked="0" layoutInCell="1" allowOverlap="1" wp14:anchorId="4C618CD6" wp14:editId="5564CDCD">
            <wp:simplePos x="0" y="0"/>
            <wp:positionH relativeFrom="column">
              <wp:align>center</wp:align>
            </wp:positionH>
            <wp:positionV relativeFrom="paragraph">
              <wp:posOffset>87630</wp:posOffset>
            </wp:positionV>
            <wp:extent cx="3830320" cy="5182870"/>
            <wp:effectExtent l="0" t="0" r="0" b="0"/>
            <wp:wrapTopAndBottom/>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830320" cy="51828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C734301" w14:textId="475B4A82" w:rsidR="00426696" w:rsidRPr="00426696" w:rsidRDefault="00426696" w:rsidP="00426696">
      <w:pPr>
        <w:pStyle w:val="Legend"/>
        <w:jc w:val="center"/>
        <w:rPr>
          <w:rFonts w:ascii="Arial" w:hAnsi="Arial" w:cs="Arial"/>
          <w:i w:val="0"/>
          <w:color w:val="1F497D"/>
          <w:kern w:val="1"/>
          <w:sz w:val="22"/>
          <w:szCs w:val="22"/>
          <w:lang w:val="es-ES" w:eastAsia="ro-RO" w:bidi="hi-IN"/>
        </w:rPr>
      </w:pPr>
      <w:bookmarkStart w:id="389" w:name="_Toc68361070"/>
      <w:bookmarkStart w:id="390" w:name="_Toc142039128"/>
      <w:r w:rsidRPr="00426696">
        <w:rPr>
          <w:rFonts w:ascii="Arial" w:hAnsi="Arial" w:cs="Arial"/>
          <w:sz w:val="22"/>
          <w:szCs w:val="22"/>
        </w:rPr>
        <w:t xml:space="preserve">Figura I.5. </w:t>
      </w:r>
      <w:r w:rsidRPr="00426696">
        <w:rPr>
          <w:rFonts w:ascii="Arial" w:hAnsi="Arial" w:cs="Arial"/>
          <w:sz w:val="22"/>
          <w:szCs w:val="22"/>
        </w:rPr>
        <w:fldChar w:fldCharType="begin"/>
      </w:r>
      <w:r w:rsidRPr="00426696">
        <w:rPr>
          <w:rFonts w:ascii="Arial" w:hAnsi="Arial" w:cs="Arial"/>
          <w:sz w:val="22"/>
          <w:szCs w:val="22"/>
        </w:rPr>
        <w:instrText xml:space="preserve"> SEQ Figura_I.5. \* ARABIC </w:instrText>
      </w:r>
      <w:r w:rsidRPr="00426696">
        <w:rPr>
          <w:rFonts w:ascii="Arial" w:hAnsi="Arial" w:cs="Arial"/>
          <w:sz w:val="22"/>
          <w:szCs w:val="22"/>
        </w:rPr>
        <w:fldChar w:fldCharType="separate"/>
      </w:r>
      <w:r w:rsidR="00BB181C">
        <w:rPr>
          <w:rFonts w:ascii="Arial" w:hAnsi="Arial" w:cs="Arial"/>
          <w:noProof/>
          <w:sz w:val="22"/>
          <w:szCs w:val="22"/>
        </w:rPr>
        <w:t>1</w:t>
      </w:r>
      <w:r w:rsidRPr="00426696">
        <w:rPr>
          <w:rFonts w:ascii="Arial" w:hAnsi="Arial" w:cs="Arial"/>
          <w:sz w:val="22"/>
          <w:szCs w:val="22"/>
        </w:rPr>
        <w:fldChar w:fldCharType="end"/>
      </w:r>
      <w:r w:rsidRPr="00426696">
        <w:rPr>
          <w:rFonts w:ascii="Arial" w:hAnsi="Arial" w:cs="Arial"/>
          <w:sz w:val="22"/>
          <w:szCs w:val="22"/>
        </w:rPr>
        <w:t xml:space="preserve"> </w:t>
      </w:r>
      <w:r w:rsidRPr="00426696">
        <w:rPr>
          <w:rFonts w:ascii="Arial" w:hAnsi="Arial" w:cs="Arial"/>
          <w:color w:val="1F497D"/>
          <w:sz w:val="22"/>
          <w:szCs w:val="22"/>
        </w:rPr>
        <w:t xml:space="preserve">- </w:t>
      </w:r>
      <w:r w:rsidRPr="00426696">
        <w:rPr>
          <w:rFonts w:ascii="Arial" w:hAnsi="Arial" w:cs="Arial"/>
          <w:i w:val="0"/>
          <w:color w:val="1F497D"/>
          <w:sz w:val="22"/>
          <w:szCs w:val="22"/>
        </w:rPr>
        <w:t>Organigrama elaborării PMUD</w:t>
      </w:r>
      <w:bookmarkEnd w:id="389"/>
      <w:bookmarkEnd w:id="390"/>
    </w:p>
    <w:p w14:paraId="7CDE65BC" w14:textId="77777777" w:rsidR="00426696" w:rsidRPr="00426696" w:rsidRDefault="00426696" w:rsidP="00426696">
      <w:pPr>
        <w:widowControl w:val="0"/>
        <w:suppressAutoHyphens/>
        <w:autoSpaceDE w:val="0"/>
        <w:spacing w:after="0" w:line="360" w:lineRule="auto"/>
        <w:jc w:val="both"/>
        <w:rPr>
          <w:rFonts w:ascii="Arial" w:hAnsi="Arial" w:cs="Arial"/>
          <w:kern w:val="1"/>
          <w:sz w:val="20"/>
          <w:szCs w:val="24"/>
          <w:lang w:val="es-ES" w:eastAsia="ro-RO" w:bidi="hi-IN"/>
        </w:rPr>
      </w:pPr>
    </w:p>
    <w:p w14:paraId="7AF1DE78" w14:textId="77777777" w:rsidR="00426696" w:rsidRPr="00426696" w:rsidRDefault="00426696" w:rsidP="00426696">
      <w:pPr>
        <w:suppressAutoHyphens/>
        <w:autoSpaceDE w:val="0"/>
        <w:spacing w:after="0" w:line="276" w:lineRule="auto"/>
        <w:jc w:val="both"/>
        <w:rPr>
          <w:rFonts w:ascii="Arial" w:eastAsia="Calibri" w:hAnsi="Arial" w:cs="Arial"/>
          <w:color w:val="000000"/>
          <w:lang w:val="es-ES" w:eastAsia="zh-CN"/>
        </w:rPr>
      </w:pPr>
      <w:r w:rsidRPr="00426696">
        <w:rPr>
          <w:rFonts w:ascii="Arial" w:eastAsia="Times New Roman" w:hAnsi="Arial" w:cs="Arial"/>
          <w:color w:val="000000"/>
          <w:lang w:val="es-ES" w:eastAsia="ro-RO"/>
        </w:rPr>
        <w:t xml:space="preserve">Modelul de evaluare a dezvoltării durabile – la nivelul aglomerărilor urbane în România – conține un set de indicatori şi mai multe dimensiuni (sau piloni ai dezvoltării) </w:t>
      </w:r>
      <w:r w:rsidRPr="00426696">
        <w:rPr>
          <w:rFonts w:ascii="Arial" w:eastAsia="Times New Roman" w:hAnsi="Arial" w:cs="Arial"/>
          <w:b/>
          <w:color w:val="000000"/>
          <w:lang w:val="es-ES" w:eastAsia="ro-RO"/>
        </w:rPr>
        <w:t>agregați într-un indicator compozit</w:t>
      </w:r>
      <w:r w:rsidRPr="00426696">
        <w:rPr>
          <w:rFonts w:ascii="Arial" w:eastAsia="Times New Roman" w:hAnsi="Arial" w:cs="Arial"/>
          <w:color w:val="000000"/>
          <w:lang w:val="es-ES" w:eastAsia="ro-RO"/>
        </w:rPr>
        <w:t xml:space="preserve">. </w:t>
      </w:r>
    </w:p>
    <w:p w14:paraId="2BF0A77E" w14:textId="77777777" w:rsidR="00426696" w:rsidRPr="00426696" w:rsidRDefault="00426696" w:rsidP="00426696">
      <w:pPr>
        <w:suppressAutoHyphens/>
        <w:autoSpaceDE w:val="0"/>
        <w:spacing w:after="0" w:line="276" w:lineRule="auto"/>
        <w:jc w:val="both"/>
        <w:rPr>
          <w:rFonts w:ascii="Arial" w:eastAsia="Calibri" w:hAnsi="Arial" w:cs="Arial"/>
          <w:color w:val="000000"/>
          <w:lang w:val="es-ES" w:eastAsia="zh-CN"/>
        </w:rPr>
      </w:pPr>
    </w:p>
    <w:p w14:paraId="4A565707" w14:textId="77777777" w:rsidR="00426696" w:rsidRPr="00426696" w:rsidRDefault="00426696" w:rsidP="00426696">
      <w:pPr>
        <w:suppressAutoHyphens/>
        <w:autoSpaceDE w:val="0"/>
        <w:spacing w:after="0" w:line="276" w:lineRule="auto"/>
        <w:jc w:val="both"/>
        <w:rPr>
          <w:rFonts w:ascii="Arial" w:eastAsia="Times New Roman" w:hAnsi="Arial" w:cs="Arial"/>
          <w:color w:val="000000"/>
          <w:lang w:val="es-ES" w:eastAsia="ro-RO"/>
        </w:rPr>
      </w:pPr>
      <w:r w:rsidRPr="00426696">
        <w:rPr>
          <w:rFonts w:ascii="Arial" w:eastAsia="Calibri" w:hAnsi="Arial" w:cs="Arial"/>
          <w:color w:val="000000"/>
          <w:lang w:val="es-ES" w:eastAsia="zh-CN"/>
        </w:rPr>
        <w:t>Metodologia de realizare a setului de indicatori ai dezvoltării durabile aparține Comisiei pentru Dezvoltare Durabilă a Națiunilor Unite: “cadrul dezvoltării durabile” este format din cele patru dimensiuni principale menționate şi din multiple teme şi subteme aferente acestor dimensiuni:</w:t>
      </w:r>
    </w:p>
    <w:p w14:paraId="6D55819B" w14:textId="1D2C01BC" w:rsidR="00426696" w:rsidRDefault="00426696" w:rsidP="00426696">
      <w:pPr>
        <w:pStyle w:val="Legend"/>
        <w:jc w:val="center"/>
        <w:rPr>
          <w:rFonts w:ascii="Arial" w:eastAsia="Calibri" w:hAnsi="Arial" w:cs="Arial"/>
          <w:i w:val="0"/>
          <w:color w:val="000000"/>
          <w:sz w:val="22"/>
          <w:szCs w:val="22"/>
          <w:lang w:val="es-ES" w:eastAsia="zh-CN"/>
        </w:rPr>
      </w:pPr>
      <w:r w:rsidRPr="00426696">
        <w:rPr>
          <w:rFonts w:ascii="Arial" w:eastAsia="Times New Roman" w:hAnsi="Arial" w:cs="Arial"/>
          <w:color w:val="000000"/>
          <w:sz w:val="24"/>
          <w:szCs w:val="24"/>
          <w:lang w:val="es-ES" w:eastAsia="ro-RO"/>
        </w:rPr>
        <w:br w:type="page"/>
      </w:r>
      <w:bookmarkStart w:id="391" w:name="_Toc68361260"/>
      <w:bookmarkStart w:id="392" w:name="_Toc96447424"/>
      <w:r w:rsidRPr="00426696">
        <w:rPr>
          <w:rFonts w:ascii="Arial" w:hAnsi="Arial" w:cs="Arial"/>
          <w:sz w:val="22"/>
          <w:szCs w:val="22"/>
        </w:rPr>
        <w:lastRenderedPageBreak/>
        <w:t xml:space="preserve">Tabel I.5. </w:t>
      </w:r>
      <w:r w:rsidRPr="00426696">
        <w:rPr>
          <w:rFonts w:ascii="Arial" w:hAnsi="Arial" w:cs="Arial"/>
          <w:sz w:val="22"/>
          <w:szCs w:val="22"/>
        </w:rPr>
        <w:fldChar w:fldCharType="begin"/>
      </w:r>
      <w:r w:rsidRPr="00426696">
        <w:rPr>
          <w:rFonts w:ascii="Arial" w:hAnsi="Arial" w:cs="Arial"/>
          <w:sz w:val="22"/>
          <w:szCs w:val="22"/>
        </w:rPr>
        <w:instrText xml:space="preserve"> SEQ Tabel_I.5. \* ARABIC </w:instrText>
      </w:r>
      <w:r w:rsidRPr="00426696">
        <w:rPr>
          <w:rFonts w:ascii="Arial" w:hAnsi="Arial" w:cs="Arial"/>
          <w:sz w:val="22"/>
          <w:szCs w:val="22"/>
        </w:rPr>
        <w:fldChar w:fldCharType="separate"/>
      </w:r>
      <w:r w:rsidR="00BB181C">
        <w:rPr>
          <w:rFonts w:ascii="Arial" w:hAnsi="Arial" w:cs="Arial"/>
          <w:noProof/>
          <w:sz w:val="22"/>
          <w:szCs w:val="22"/>
        </w:rPr>
        <w:t>1</w:t>
      </w:r>
      <w:r w:rsidRPr="00426696">
        <w:rPr>
          <w:rFonts w:ascii="Arial" w:hAnsi="Arial" w:cs="Arial"/>
          <w:sz w:val="22"/>
          <w:szCs w:val="22"/>
        </w:rPr>
        <w:fldChar w:fldCharType="end"/>
      </w:r>
      <w:r w:rsidRPr="00426696">
        <w:rPr>
          <w:rFonts w:ascii="Arial" w:hAnsi="Arial" w:cs="Arial"/>
          <w:sz w:val="22"/>
          <w:szCs w:val="22"/>
        </w:rPr>
        <w:t xml:space="preserve"> </w:t>
      </w:r>
      <w:r w:rsidRPr="00426696">
        <w:rPr>
          <w:rFonts w:ascii="Arial" w:hAnsi="Arial" w:cs="Arial"/>
          <w:color w:val="1F497D"/>
          <w:sz w:val="22"/>
          <w:szCs w:val="22"/>
        </w:rPr>
        <w:t xml:space="preserve"> - </w:t>
      </w:r>
      <w:r w:rsidRPr="00426696">
        <w:rPr>
          <w:rFonts w:ascii="Arial" w:hAnsi="Arial" w:cs="Arial"/>
          <w:i w:val="0"/>
          <w:color w:val="1F497D"/>
          <w:sz w:val="22"/>
          <w:szCs w:val="22"/>
        </w:rPr>
        <w:t>Dimensiunea economică</w:t>
      </w:r>
      <w:bookmarkEnd w:id="391"/>
      <w:bookmarkEnd w:id="392"/>
    </w:p>
    <w:p w14:paraId="0459FDE4" w14:textId="77777777" w:rsidR="00426696" w:rsidRPr="00426696" w:rsidRDefault="00426696" w:rsidP="00426696">
      <w:pPr>
        <w:widowControl w:val="0"/>
        <w:suppressAutoHyphens/>
        <w:autoSpaceDE w:val="0"/>
        <w:spacing w:after="0" w:line="360" w:lineRule="auto"/>
        <w:jc w:val="both"/>
        <w:rPr>
          <w:rFonts w:ascii="Arial" w:hAnsi="Arial" w:cs="Arial"/>
          <w:kern w:val="1"/>
          <w:sz w:val="20"/>
          <w:szCs w:val="24"/>
          <w:lang w:val="es-ES" w:eastAsia="ro-RO" w:bidi="hi-IN"/>
        </w:rPr>
      </w:pPr>
      <w:r w:rsidRPr="00426696">
        <w:rPr>
          <w:rFonts w:ascii="Arial" w:hAnsi="Arial" w:cs="Mangal"/>
          <w:noProof/>
          <w:kern w:val="1"/>
          <w:sz w:val="20"/>
          <w:szCs w:val="24"/>
        </w:rPr>
        <w:drawing>
          <wp:anchor distT="0" distB="0" distL="0" distR="0" simplePos="0" relativeHeight="251644416" behindDoc="0" locked="0" layoutInCell="1" allowOverlap="1" wp14:anchorId="17380612" wp14:editId="5B4D96C9">
            <wp:simplePos x="0" y="0"/>
            <wp:positionH relativeFrom="column">
              <wp:posOffset>429260</wp:posOffset>
            </wp:positionH>
            <wp:positionV relativeFrom="paragraph">
              <wp:posOffset>43815</wp:posOffset>
            </wp:positionV>
            <wp:extent cx="4839970" cy="1868170"/>
            <wp:effectExtent l="0" t="0" r="0" b="0"/>
            <wp:wrapTopAndBottom/>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39970" cy="18681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0B6DBA92" w14:textId="6612E067" w:rsidR="00426696" w:rsidRPr="00426696" w:rsidRDefault="00426696" w:rsidP="00426696">
      <w:pPr>
        <w:pStyle w:val="Legend"/>
        <w:jc w:val="center"/>
        <w:rPr>
          <w:rFonts w:ascii="Arial" w:hAnsi="Arial" w:cs="Arial"/>
          <w:i w:val="0"/>
          <w:sz w:val="22"/>
          <w:szCs w:val="22"/>
        </w:rPr>
      </w:pPr>
      <w:bookmarkStart w:id="393" w:name="_Toc96447425"/>
      <w:bookmarkStart w:id="394" w:name="_Toc68361261"/>
      <w:r w:rsidRPr="00426696">
        <w:rPr>
          <w:rFonts w:ascii="Arial" w:eastAsia="Calibri" w:hAnsi="Arial" w:cs="Arial"/>
          <w:noProof/>
          <w:color w:val="000000"/>
        </w:rPr>
        <w:drawing>
          <wp:anchor distT="0" distB="0" distL="0" distR="0" simplePos="0" relativeHeight="251688448" behindDoc="0" locked="0" layoutInCell="1" allowOverlap="1" wp14:anchorId="4A9E8A57" wp14:editId="3F2E05F8">
            <wp:simplePos x="0" y="0"/>
            <wp:positionH relativeFrom="column">
              <wp:posOffset>486410</wp:posOffset>
            </wp:positionH>
            <wp:positionV relativeFrom="paragraph">
              <wp:posOffset>415925</wp:posOffset>
            </wp:positionV>
            <wp:extent cx="4820920" cy="2820670"/>
            <wp:effectExtent l="0" t="0" r="0" b="0"/>
            <wp:wrapTopAndBottom/>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820920" cy="28206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426696">
        <w:rPr>
          <w:rFonts w:ascii="Arial" w:hAnsi="Arial" w:cs="Arial"/>
          <w:sz w:val="22"/>
          <w:szCs w:val="22"/>
        </w:rPr>
        <w:t xml:space="preserve">Tabel I.5. </w:t>
      </w:r>
      <w:r w:rsidRPr="00426696">
        <w:rPr>
          <w:rFonts w:ascii="Arial" w:hAnsi="Arial" w:cs="Arial"/>
          <w:sz w:val="22"/>
          <w:szCs w:val="22"/>
        </w:rPr>
        <w:fldChar w:fldCharType="begin"/>
      </w:r>
      <w:r w:rsidRPr="00426696">
        <w:rPr>
          <w:rFonts w:ascii="Arial" w:hAnsi="Arial" w:cs="Arial"/>
          <w:sz w:val="22"/>
          <w:szCs w:val="22"/>
        </w:rPr>
        <w:instrText xml:space="preserve"> SEQ Tabel_I.5. \* ARABIC </w:instrText>
      </w:r>
      <w:r w:rsidRPr="00426696">
        <w:rPr>
          <w:rFonts w:ascii="Arial" w:hAnsi="Arial" w:cs="Arial"/>
          <w:sz w:val="22"/>
          <w:szCs w:val="22"/>
        </w:rPr>
        <w:fldChar w:fldCharType="separate"/>
      </w:r>
      <w:r w:rsidR="00BB181C">
        <w:rPr>
          <w:rFonts w:ascii="Arial" w:hAnsi="Arial" w:cs="Arial"/>
          <w:noProof/>
          <w:sz w:val="22"/>
          <w:szCs w:val="22"/>
        </w:rPr>
        <w:t>2</w:t>
      </w:r>
      <w:r w:rsidRPr="00426696">
        <w:rPr>
          <w:rFonts w:ascii="Arial" w:hAnsi="Arial" w:cs="Arial"/>
          <w:sz w:val="22"/>
          <w:szCs w:val="22"/>
        </w:rPr>
        <w:fldChar w:fldCharType="end"/>
      </w:r>
      <w:r w:rsidRPr="00426696">
        <w:rPr>
          <w:rFonts w:ascii="Arial" w:hAnsi="Arial" w:cs="Arial"/>
          <w:sz w:val="22"/>
          <w:szCs w:val="22"/>
        </w:rPr>
        <w:t xml:space="preserve"> – </w:t>
      </w:r>
      <w:r w:rsidRPr="00426696">
        <w:rPr>
          <w:rFonts w:ascii="Arial" w:hAnsi="Arial" w:cs="Arial"/>
          <w:i w:val="0"/>
          <w:sz w:val="22"/>
          <w:szCs w:val="22"/>
        </w:rPr>
        <w:t>Dimensiunea socială</w:t>
      </w:r>
      <w:bookmarkEnd w:id="393"/>
    </w:p>
    <w:bookmarkEnd w:id="394"/>
    <w:p w14:paraId="0B9B22FF" w14:textId="77777777" w:rsidR="00426696" w:rsidRPr="00426696" w:rsidRDefault="00426696" w:rsidP="00426696">
      <w:pPr>
        <w:pStyle w:val="Legend"/>
      </w:pPr>
    </w:p>
    <w:p w14:paraId="599A4DB4" w14:textId="39FF9C72" w:rsidR="00426696" w:rsidRPr="00426696" w:rsidRDefault="00426696" w:rsidP="00426696">
      <w:pPr>
        <w:pStyle w:val="Legend"/>
        <w:jc w:val="center"/>
        <w:rPr>
          <w:rFonts w:ascii="Arial" w:eastAsia="Calibri" w:hAnsi="Arial" w:cs="Arial"/>
          <w:color w:val="000000"/>
          <w:sz w:val="22"/>
          <w:szCs w:val="22"/>
          <w:lang w:val="es-ES" w:eastAsia="zh-CN"/>
        </w:rPr>
      </w:pPr>
      <w:bookmarkStart w:id="395" w:name="_Toc68361262"/>
      <w:bookmarkStart w:id="396" w:name="_Toc96447426"/>
      <w:r w:rsidRPr="00426696">
        <w:rPr>
          <w:rFonts w:ascii="Arial" w:hAnsi="Arial" w:cs="Arial"/>
          <w:sz w:val="22"/>
          <w:szCs w:val="22"/>
        </w:rPr>
        <w:t xml:space="preserve">Tabel I.5. </w:t>
      </w:r>
      <w:r w:rsidRPr="00426696">
        <w:rPr>
          <w:rFonts w:ascii="Arial" w:hAnsi="Arial" w:cs="Arial"/>
          <w:sz w:val="22"/>
          <w:szCs w:val="22"/>
        </w:rPr>
        <w:fldChar w:fldCharType="begin"/>
      </w:r>
      <w:r w:rsidRPr="00426696">
        <w:rPr>
          <w:rFonts w:ascii="Arial" w:hAnsi="Arial" w:cs="Arial"/>
          <w:sz w:val="22"/>
          <w:szCs w:val="22"/>
        </w:rPr>
        <w:instrText xml:space="preserve"> SEQ Tabel_I.5. \* ARABIC </w:instrText>
      </w:r>
      <w:r w:rsidRPr="00426696">
        <w:rPr>
          <w:rFonts w:ascii="Arial" w:hAnsi="Arial" w:cs="Arial"/>
          <w:sz w:val="22"/>
          <w:szCs w:val="22"/>
        </w:rPr>
        <w:fldChar w:fldCharType="separate"/>
      </w:r>
      <w:r w:rsidR="00BB181C">
        <w:rPr>
          <w:rFonts w:ascii="Arial" w:hAnsi="Arial" w:cs="Arial"/>
          <w:noProof/>
          <w:sz w:val="22"/>
          <w:szCs w:val="22"/>
        </w:rPr>
        <w:t>3</w:t>
      </w:r>
      <w:r w:rsidRPr="00426696">
        <w:rPr>
          <w:rFonts w:ascii="Arial" w:hAnsi="Arial" w:cs="Arial"/>
          <w:sz w:val="22"/>
          <w:szCs w:val="22"/>
        </w:rPr>
        <w:fldChar w:fldCharType="end"/>
      </w:r>
      <w:r w:rsidRPr="00426696">
        <w:rPr>
          <w:rFonts w:ascii="Arial" w:hAnsi="Arial" w:cs="Arial"/>
          <w:sz w:val="22"/>
          <w:szCs w:val="22"/>
        </w:rPr>
        <w:t xml:space="preserve"> </w:t>
      </w:r>
      <w:r w:rsidRPr="00426696">
        <w:rPr>
          <w:rFonts w:ascii="Arial" w:hAnsi="Arial" w:cs="Arial"/>
          <w:color w:val="1F497D"/>
          <w:sz w:val="22"/>
          <w:szCs w:val="22"/>
        </w:rPr>
        <w:t xml:space="preserve">- </w:t>
      </w:r>
      <w:r w:rsidRPr="00426696">
        <w:rPr>
          <w:rFonts w:ascii="Arial" w:hAnsi="Arial" w:cs="Arial"/>
          <w:i w:val="0"/>
          <w:color w:val="1F497D"/>
          <w:sz w:val="22"/>
          <w:szCs w:val="22"/>
        </w:rPr>
        <w:t>Dimensiunea instituţională</w:t>
      </w:r>
      <w:bookmarkEnd w:id="395"/>
      <w:bookmarkEnd w:id="396"/>
    </w:p>
    <w:p w14:paraId="0FA3CDA8" w14:textId="77777777" w:rsidR="00426696" w:rsidRPr="00426696" w:rsidRDefault="00426696" w:rsidP="00426696">
      <w:pPr>
        <w:widowControl w:val="0"/>
        <w:suppressAutoHyphens/>
        <w:autoSpaceDE w:val="0"/>
        <w:spacing w:after="0" w:line="360" w:lineRule="auto"/>
        <w:jc w:val="both"/>
        <w:rPr>
          <w:rFonts w:ascii="Arial" w:hAnsi="Arial" w:cs="Arial"/>
          <w:kern w:val="1"/>
          <w:sz w:val="20"/>
          <w:szCs w:val="24"/>
          <w:lang w:val="es-ES" w:eastAsia="ro-RO" w:bidi="hi-IN"/>
        </w:rPr>
      </w:pPr>
      <w:r w:rsidRPr="00426696">
        <w:rPr>
          <w:rFonts w:ascii="Arial" w:hAnsi="Arial" w:cs="Mangal"/>
          <w:noProof/>
          <w:kern w:val="1"/>
          <w:sz w:val="20"/>
          <w:szCs w:val="24"/>
        </w:rPr>
        <w:drawing>
          <wp:anchor distT="0" distB="0" distL="0" distR="0" simplePos="0" relativeHeight="251692544" behindDoc="0" locked="0" layoutInCell="1" allowOverlap="1" wp14:anchorId="63A7D72E" wp14:editId="38F6E29E">
            <wp:simplePos x="0" y="0"/>
            <wp:positionH relativeFrom="column">
              <wp:align>center</wp:align>
            </wp:positionH>
            <wp:positionV relativeFrom="paragraph">
              <wp:posOffset>87630</wp:posOffset>
            </wp:positionV>
            <wp:extent cx="4801870" cy="1229995"/>
            <wp:effectExtent l="0" t="0" r="0" b="8255"/>
            <wp:wrapTopAndBottom/>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801870" cy="12299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1A1562A7" w14:textId="00935FCA" w:rsidR="00426696" w:rsidRPr="00426696" w:rsidRDefault="00426696" w:rsidP="00426696">
      <w:pPr>
        <w:pStyle w:val="Legend"/>
        <w:jc w:val="center"/>
        <w:rPr>
          <w:rFonts w:ascii="Arial" w:eastAsia="Calibri" w:hAnsi="Arial" w:cs="Arial"/>
          <w:i w:val="0"/>
          <w:color w:val="000000"/>
          <w:sz w:val="22"/>
          <w:szCs w:val="22"/>
          <w:lang w:val="es-ES" w:eastAsia="zh-CN"/>
        </w:rPr>
      </w:pPr>
      <w:r w:rsidRPr="00426696">
        <w:rPr>
          <w:rFonts w:ascii="Arial" w:eastAsia="Times New Roman" w:hAnsi="Arial" w:cs="Arial"/>
          <w:color w:val="000000"/>
          <w:sz w:val="24"/>
          <w:szCs w:val="24"/>
          <w:lang w:val="es-ES" w:eastAsia="ro-RO"/>
        </w:rPr>
        <w:br w:type="page"/>
      </w:r>
      <w:bookmarkStart w:id="397" w:name="_Toc68361263"/>
      <w:bookmarkStart w:id="398" w:name="_Toc96447427"/>
      <w:r w:rsidRPr="00426696">
        <w:rPr>
          <w:rFonts w:ascii="Arial" w:hAnsi="Arial" w:cs="Arial"/>
          <w:sz w:val="22"/>
          <w:szCs w:val="22"/>
        </w:rPr>
        <w:lastRenderedPageBreak/>
        <w:t xml:space="preserve">Tabel I.5. </w:t>
      </w:r>
      <w:r w:rsidRPr="00426696">
        <w:rPr>
          <w:rFonts w:ascii="Arial" w:hAnsi="Arial" w:cs="Arial"/>
          <w:sz w:val="22"/>
          <w:szCs w:val="22"/>
        </w:rPr>
        <w:fldChar w:fldCharType="begin"/>
      </w:r>
      <w:r w:rsidRPr="00426696">
        <w:rPr>
          <w:rFonts w:ascii="Arial" w:hAnsi="Arial" w:cs="Arial"/>
          <w:sz w:val="22"/>
          <w:szCs w:val="22"/>
        </w:rPr>
        <w:instrText xml:space="preserve"> SEQ Tabel_I.5. \* ARABIC </w:instrText>
      </w:r>
      <w:r w:rsidRPr="00426696">
        <w:rPr>
          <w:rFonts w:ascii="Arial" w:hAnsi="Arial" w:cs="Arial"/>
          <w:sz w:val="22"/>
          <w:szCs w:val="22"/>
        </w:rPr>
        <w:fldChar w:fldCharType="separate"/>
      </w:r>
      <w:r w:rsidR="00BB181C">
        <w:rPr>
          <w:rFonts w:ascii="Arial" w:hAnsi="Arial" w:cs="Arial"/>
          <w:noProof/>
          <w:sz w:val="22"/>
          <w:szCs w:val="22"/>
        </w:rPr>
        <w:t>4</w:t>
      </w:r>
      <w:r w:rsidRPr="00426696">
        <w:rPr>
          <w:rFonts w:ascii="Arial" w:hAnsi="Arial" w:cs="Arial"/>
          <w:sz w:val="22"/>
          <w:szCs w:val="22"/>
        </w:rPr>
        <w:fldChar w:fldCharType="end"/>
      </w:r>
      <w:r w:rsidRPr="00426696">
        <w:rPr>
          <w:rFonts w:ascii="Arial" w:hAnsi="Arial" w:cs="Arial"/>
          <w:sz w:val="22"/>
          <w:szCs w:val="22"/>
        </w:rPr>
        <w:t xml:space="preserve"> </w:t>
      </w:r>
      <w:r w:rsidRPr="00426696">
        <w:rPr>
          <w:rFonts w:ascii="Arial" w:hAnsi="Arial" w:cs="Arial"/>
          <w:color w:val="1F497D"/>
          <w:sz w:val="22"/>
          <w:szCs w:val="22"/>
        </w:rPr>
        <w:t xml:space="preserve"> - </w:t>
      </w:r>
      <w:r w:rsidRPr="00426696">
        <w:rPr>
          <w:rFonts w:ascii="Arial" w:hAnsi="Arial" w:cs="Arial"/>
          <w:i w:val="0"/>
          <w:color w:val="1F497D"/>
          <w:sz w:val="22"/>
          <w:szCs w:val="22"/>
        </w:rPr>
        <w:t>Dimensiunea de mediu</w:t>
      </w:r>
      <w:bookmarkEnd w:id="397"/>
      <w:bookmarkEnd w:id="398"/>
    </w:p>
    <w:p w14:paraId="4176521F" w14:textId="77777777" w:rsidR="00426696" w:rsidRPr="00426696" w:rsidRDefault="00426696" w:rsidP="00426696">
      <w:pPr>
        <w:widowControl w:val="0"/>
        <w:suppressAutoHyphens/>
        <w:autoSpaceDE w:val="0"/>
        <w:spacing w:after="0" w:line="360" w:lineRule="auto"/>
        <w:jc w:val="both"/>
        <w:rPr>
          <w:rFonts w:ascii="Arial" w:hAnsi="Arial" w:cs="Arial"/>
          <w:kern w:val="1"/>
          <w:sz w:val="20"/>
          <w:szCs w:val="24"/>
          <w:lang w:val="es-ES" w:eastAsia="ro-RO" w:bidi="hi-IN"/>
        </w:rPr>
      </w:pPr>
      <w:r w:rsidRPr="00426696">
        <w:rPr>
          <w:rFonts w:ascii="Arial" w:hAnsi="Arial" w:cs="Mangal"/>
          <w:noProof/>
          <w:kern w:val="1"/>
          <w:sz w:val="20"/>
          <w:szCs w:val="24"/>
        </w:rPr>
        <w:drawing>
          <wp:anchor distT="0" distB="0" distL="0" distR="0" simplePos="0" relativeHeight="251696640" behindDoc="0" locked="0" layoutInCell="1" allowOverlap="1" wp14:anchorId="7260983E" wp14:editId="7EBD8259">
            <wp:simplePos x="0" y="0"/>
            <wp:positionH relativeFrom="column">
              <wp:align>center</wp:align>
            </wp:positionH>
            <wp:positionV relativeFrom="paragraph">
              <wp:posOffset>87630</wp:posOffset>
            </wp:positionV>
            <wp:extent cx="4801870" cy="2811145"/>
            <wp:effectExtent l="0" t="0" r="0" b="8255"/>
            <wp:wrapTopAndBottom/>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01870" cy="28111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339449A" w14:textId="77777777" w:rsidR="00426696" w:rsidRPr="00426696" w:rsidRDefault="00426696" w:rsidP="00426696">
      <w:pPr>
        <w:suppressAutoHyphens/>
        <w:autoSpaceDE w:val="0"/>
        <w:spacing w:after="0" w:line="276" w:lineRule="auto"/>
        <w:jc w:val="both"/>
        <w:rPr>
          <w:rFonts w:ascii="Arial" w:eastAsia="Calibri" w:hAnsi="Arial" w:cs="Arial"/>
          <w:color w:val="000000"/>
          <w:lang w:val="es-ES" w:eastAsia="zh-CN"/>
        </w:rPr>
      </w:pPr>
      <w:r w:rsidRPr="00426696">
        <w:rPr>
          <w:rFonts w:ascii="Arial" w:eastAsia="Times New Roman" w:hAnsi="Arial" w:cs="Arial"/>
          <w:b/>
          <w:color w:val="000000"/>
          <w:lang w:val="es-ES" w:eastAsia="ro-RO"/>
        </w:rPr>
        <w:t>Care este scopul PMUD</w:t>
      </w:r>
      <w:r w:rsidRPr="00426696">
        <w:rPr>
          <w:rFonts w:ascii="Arial" w:eastAsia="Times New Roman" w:hAnsi="Arial" w:cs="Arial"/>
          <w:color w:val="000000"/>
          <w:lang w:val="es-ES" w:eastAsia="ro-RO"/>
        </w:rPr>
        <w:t xml:space="preserve">: PMUD își propune sǎ realizeze un sistem de transport urban durabil (așa cum este acesta definit în 2001 de Consiliul pentru Transport al UE), prin abordarea a cel puțin urmǎtoarelor obiective: </w:t>
      </w:r>
    </w:p>
    <w:p w14:paraId="7709C3E0" w14:textId="77777777" w:rsidR="00426696" w:rsidRPr="00426696" w:rsidRDefault="00426696" w:rsidP="000C6CB8">
      <w:pPr>
        <w:widowControl w:val="0"/>
        <w:numPr>
          <w:ilvl w:val="0"/>
          <w:numId w:val="160"/>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Asigurarea accesibilitǎții tuturor, oferitǎ de sistemul de transport, în spiritul obiectivelor de mai jos; </w:t>
      </w:r>
    </w:p>
    <w:p w14:paraId="4CAC52FF" w14:textId="77777777" w:rsidR="00426696" w:rsidRPr="00426696" w:rsidRDefault="00426696" w:rsidP="000C6CB8">
      <w:pPr>
        <w:widowControl w:val="0"/>
        <w:numPr>
          <w:ilvl w:val="0"/>
          <w:numId w:val="160"/>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Reducerea impactului negativ al sistemului de transport asupra sǎnǎtǎții, siguranței și securitǎții cetǎțenilor, îndeosebi a celor mai vulnerabili; </w:t>
      </w:r>
    </w:p>
    <w:p w14:paraId="09F8ECC3" w14:textId="77777777" w:rsidR="00426696" w:rsidRPr="00426696" w:rsidRDefault="00426696" w:rsidP="000C6CB8">
      <w:pPr>
        <w:widowControl w:val="0"/>
        <w:numPr>
          <w:ilvl w:val="0"/>
          <w:numId w:val="160"/>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Reducerea poluǎrii aerului și a emisiilor fonice, a emisiilor de gaze cu efect de serǎ și a consumului energetic; </w:t>
      </w:r>
    </w:p>
    <w:p w14:paraId="2D9FAC70" w14:textId="77777777" w:rsidR="00426696" w:rsidRPr="00426696" w:rsidRDefault="00426696" w:rsidP="000C6CB8">
      <w:pPr>
        <w:widowControl w:val="0"/>
        <w:numPr>
          <w:ilvl w:val="0"/>
          <w:numId w:val="160"/>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Îmbunǎtǎțirea eficienței și a raportului cost-eficiențǎ a transportului de persoane și de marfǎ, luând în considerare costurile externe; </w:t>
      </w:r>
    </w:p>
    <w:p w14:paraId="61A715FC" w14:textId="77777777" w:rsidR="00426696" w:rsidRPr="00426696" w:rsidRDefault="00426696" w:rsidP="000C6CB8">
      <w:pPr>
        <w:widowControl w:val="0"/>
        <w:numPr>
          <w:ilvl w:val="0"/>
          <w:numId w:val="160"/>
        </w:numPr>
        <w:suppressAutoHyphens/>
        <w:autoSpaceDE w:val="0"/>
        <w:spacing w:after="0" w:line="276" w:lineRule="auto"/>
        <w:jc w:val="both"/>
        <w:rPr>
          <w:rFonts w:ascii="Arial" w:eastAsia="Calibri" w:hAnsi="Arial" w:cs="Arial"/>
          <w:color w:val="000000"/>
          <w:lang w:val="es-ES" w:eastAsia="ro-RO"/>
        </w:rPr>
      </w:pPr>
      <w:r w:rsidRPr="00426696">
        <w:rPr>
          <w:rFonts w:ascii="Arial" w:eastAsia="Calibri" w:hAnsi="Arial" w:cs="Arial"/>
          <w:color w:val="000000"/>
          <w:lang w:val="es-ES" w:eastAsia="zh-CN"/>
        </w:rPr>
        <w:t xml:space="preserve">Contribuirea la înfrumusețarea atractivitǎții și calitǎții mediului și aspectului urban. </w:t>
      </w:r>
    </w:p>
    <w:p w14:paraId="62034175" w14:textId="77777777" w:rsidR="00426696" w:rsidRPr="00426696" w:rsidRDefault="00426696" w:rsidP="00426696">
      <w:pPr>
        <w:widowControl w:val="0"/>
        <w:suppressAutoHyphens/>
        <w:autoSpaceDE w:val="0"/>
        <w:spacing w:after="0" w:line="360" w:lineRule="auto"/>
        <w:jc w:val="both"/>
        <w:rPr>
          <w:rFonts w:ascii="Arial" w:hAnsi="Arial" w:cs="Arial"/>
          <w:kern w:val="1"/>
          <w:sz w:val="20"/>
          <w:szCs w:val="24"/>
          <w:lang w:val="es-ES" w:eastAsia="ro-RO" w:bidi="hi-IN"/>
        </w:rPr>
      </w:pPr>
    </w:p>
    <w:p w14:paraId="31F30856" w14:textId="77777777" w:rsidR="00426696" w:rsidRPr="00426696" w:rsidRDefault="00426696" w:rsidP="00426696">
      <w:pPr>
        <w:suppressAutoHyphens/>
        <w:autoSpaceDE w:val="0"/>
        <w:spacing w:after="0" w:line="276" w:lineRule="auto"/>
        <w:jc w:val="both"/>
        <w:rPr>
          <w:rFonts w:ascii="Arial" w:eastAsia="Calibri" w:hAnsi="Arial" w:cs="Arial"/>
          <w:color w:val="000000"/>
          <w:lang w:eastAsia="zh-CN"/>
        </w:rPr>
      </w:pPr>
      <w:r w:rsidRPr="00426696">
        <w:rPr>
          <w:rFonts w:ascii="Arial" w:eastAsia="Times New Roman" w:hAnsi="Arial" w:cs="Arial"/>
          <w:b/>
          <w:color w:val="000000"/>
          <w:lang w:val="es-ES" w:eastAsia="ro-RO"/>
        </w:rPr>
        <w:t>Cum acționeazǎ PMUD</w:t>
      </w:r>
      <w:r w:rsidRPr="00426696">
        <w:rPr>
          <w:rFonts w:ascii="Arial" w:eastAsia="Times New Roman" w:hAnsi="Arial" w:cs="Arial"/>
          <w:color w:val="000000"/>
          <w:lang w:val="es-ES" w:eastAsia="ro-RO"/>
        </w:rPr>
        <w:t xml:space="preserve">: PMUD este o modalitate de abordare mai eficientǎ și efectivǎ a problemelor legate de transportul din zonele urbane. Se realizeazǎ în baza unor practici existente și a unor cadre de reglementare din statele membre, realizându-se prin interacțiunea dintre factorii de mobilitate localǎ. </w:t>
      </w:r>
      <w:r w:rsidRPr="00426696">
        <w:rPr>
          <w:rFonts w:ascii="Arial" w:eastAsia="Times New Roman" w:hAnsi="Arial" w:cs="Arial"/>
          <w:color w:val="000000"/>
          <w:lang w:eastAsia="ro-RO"/>
        </w:rPr>
        <w:t xml:space="preserve">Caracteristicile esențiale ale PMUD sunt: </w:t>
      </w:r>
    </w:p>
    <w:p w14:paraId="5393951F" w14:textId="77777777" w:rsidR="00426696" w:rsidRPr="00426696" w:rsidRDefault="00426696" w:rsidP="000C6CB8">
      <w:pPr>
        <w:widowControl w:val="0"/>
        <w:numPr>
          <w:ilvl w:val="0"/>
          <w:numId w:val="161"/>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i/>
          <w:iCs/>
          <w:color w:val="000000"/>
          <w:lang w:eastAsia="zh-CN"/>
        </w:rPr>
        <w:t>Abordare participativǎ</w:t>
      </w:r>
      <w:r w:rsidRPr="00426696">
        <w:rPr>
          <w:rFonts w:ascii="Arial" w:eastAsia="Calibri" w:hAnsi="Arial" w:cs="Arial"/>
          <w:color w:val="000000"/>
          <w:lang w:eastAsia="zh-CN"/>
        </w:rPr>
        <w:t xml:space="preserve"> – implicarea cetǎțenilor și a factorilor interesați înainte și în timpul procesului decizional, al implementǎrii și evaluǎrii, construirii capacitǎților locale pentru a face fațǎ problemelor complexe ale planificǎrii, asigurând echitatea sexelor; </w:t>
      </w:r>
    </w:p>
    <w:p w14:paraId="5FCCA3D8" w14:textId="77777777" w:rsidR="00426696" w:rsidRPr="00426696" w:rsidRDefault="00426696" w:rsidP="000C6CB8">
      <w:pPr>
        <w:widowControl w:val="0"/>
        <w:numPr>
          <w:ilvl w:val="0"/>
          <w:numId w:val="161"/>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i/>
          <w:iCs/>
          <w:color w:val="000000"/>
          <w:lang w:val="es-ES" w:eastAsia="zh-CN"/>
        </w:rPr>
        <w:t>Garanție a durabilitǎții</w:t>
      </w:r>
      <w:r w:rsidRPr="00426696">
        <w:rPr>
          <w:rFonts w:ascii="Arial" w:eastAsia="Calibri" w:hAnsi="Arial" w:cs="Arial"/>
          <w:color w:val="000000"/>
          <w:lang w:val="es-ES" w:eastAsia="zh-CN"/>
        </w:rPr>
        <w:t xml:space="preserve"> – echilibrul între echitatea socialǎ, calitatea mediului și dezvoltarea economicǎ; </w:t>
      </w:r>
    </w:p>
    <w:p w14:paraId="48B690A7" w14:textId="77777777" w:rsidR="00426696" w:rsidRPr="00426696" w:rsidRDefault="00426696" w:rsidP="000C6CB8">
      <w:pPr>
        <w:widowControl w:val="0"/>
        <w:numPr>
          <w:ilvl w:val="0"/>
          <w:numId w:val="161"/>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i/>
          <w:iCs/>
          <w:color w:val="000000"/>
          <w:lang w:val="es-ES" w:eastAsia="zh-CN"/>
        </w:rPr>
        <w:t>Abordare integratǎ</w:t>
      </w:r>
      <w:r w:rsidRPr="00426696">
        <w:rPr>
          <w:rFonts w:ascii="Arial" w:eastAsia="Calibri" w:hAnsi="Arial" w:cs="Arial"/>
          <w:color w:val="000000"/>
          <w:lang w:val="es-ES" w:eastAsia="zh-CN"/>
        </w:rPr>
        <w:t xml:space="preserve"> – a practicilor și politicilor între mijloacele de transport, a politicii sectoarelor (ex. planificarea spațialǎ și urbanǎ, mediu, dezvoltarea economicǎ, includerea socialǎ, sǎnǎtate, siguranțǎ), agenții publice și private, nivele ale autoritǎții, precum și între autoritǎțile vecine;</w:t>
      </w:r>
    </w:p>
    <w:p w14:paraId="1ED821D3" w14:textId="77777777" w:rsidR="00426696" w:rsidRPr="00426696" w:rsidRDefault="00426696" w:rsidP="000C6CB8">
      <w:pPr>
        <w:widowControl w:val="0"/>
        <w:numPr>
          <w:ilvl w:val="0"/>
          <w:numId w:val="161"/>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i/>
          <w:iCs/>
          <w:color w:val="000000"/>
          <w:lang w:val="es-ES" w:eastAsia="zh-CN"/>
        </w:rPr>
        <w:t>Concentrare asupra realizǎrii sarcinilor mǎsurabile</w:t>
      </w:r>
      <w:r w:rsidRPr="00426696">
        <w:rPr>
          <w:rFonts w:ascii="Arial" w:eastAsia="Calibri" w:hAnsi="Arial" w:cs="Arial"/>
          <w:color w:val="000000"/>
          <w:lang w:val="es-ES" w:eastAsia="zh-CN"/>
        </w:rPr>
        <w:t xml:space="preserve"> – derivat din obiectivele pe </w:t>
      </w:r>
      <w:r w:rsidRPr="00426696">
        <w:rPr>
          <w:rFonts w:ascii="Arial" w:eastAsia="Calibri" w:hAnsi="Arial" w:cs="Arial"/>
          <w:color w:val="000000"/>
          <w:lang w:val="es-ES" w:eastAsia="zh-CN"/>
        </w:rPr>
        <w:lastRenderedPageBreak/>
        <w:t>termen scurt, aliniat cu viziunea pentru transport și cu rǎdǎcini în strategia generalǎ de dezvoltare durabilǎ;</w:t>
      </w:r>
    </w:p>
    <w:p w14:paraId="6496563F" w14:textId="77777777" w:rsidR="00426696" w:rsidRPr="00426696" w:rsidRDefault="00426696" w:rsidP="000C6CB8">
      <w:pPr>
        <w:widowControl w:val="0"/>
        <w:numPr>
          <w:ilvl w:val="0"/>
          <w:numId w:val="161"/>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i/>
          <w:iCs/>
          <w:color w:val="000000"/>
          <w:lang w:val="es-ES" w:eastAsia="zh-CN"/>
        </w:rPr>
        <w:t xml:space="preserve">Orientare cǎtre internalizarea costurilor </w:t>
      </w:r>
      <w:r w:rsidRPr="00426696">
        <w:rPr>
          <w:rFonts w:ascii="Arial" w:eastAsia="Calibri" w:hAnsi="Arial" w:cs="Arial"/>
          <w:color w:val="000000"/>
          <w:lang w:val="es-ES" w:eastAsia="zh-CN"/>
        </w:rPr>
        <w:t xml:space="preserve">– revizuirea costurilor pentru transport și de asemenea a beneficiilor în sectoarele politicii, adicǎ luarea în considerare a costurilor și beneficiilor sociale mai complexe. </w:t>
      </w:r>
    </w:p>
    <w:p w14:paraId="76778A5F" w14:textId="77777777" w:rsidR="00426696" w:rsidRPr="00426696" w:rsidRDefault="00426696" w:rsidP="00426696">
      <w:pPr>
        <w:suppressAutoHyphens/>
        <w:autoSpaceDE w:val="0"/>
        <w:spacing w:after="0" w:line="360" w:lineRule="auto"/>
        <w:rPr>
          <w:rFonts w:ascii="Arial" w:eastAsia="Calibri" w:hAnsi="Arial" w:cs="Arial"/>
          <w:color w:val="000000"/>
          <w:sz w:val="24"/>
          <w:szCs w:val="24"/>
          <w:lang w:val="es-ES" w:eastAsia="zh-CN"/>
        </w:rPr>
      </w:pPr>
    </w:p>
    <w:p w14:paraId="63045665" w14:textId="77777777" w:rsidR="00426696" w:rsidRPr="00426696" w:rsidRDefault="00426696" w:rsidP="00426696">
      <w:pPr>
        <w:suppressAutoHyphens/>
        <w:autoSpaceDE w:val="0"/>
        <w:spacing w:after="0" w:line="360" w:lineRule="auto"/>
        <w:rPr>
          <w:rFonts w:ascii="Arial" w:eastAsia="Calibri" w:hAnsi="Arial" w:cs="Arial"/>
          <w:b/>
          <w:color w:val="000000"/>
          <w:lang w:eastAsia="zh-CN"/>
        </w:rPr>
      </w:pPr>
      <w:r w:rsidRPr="00426696">
        <w:rPr>
          <w:rFonts w:ascii="Arial" w:eastAsia="Calibri" w:hAnsi="Arial" w:cs="Arial"/>
          <w:b/>
          <w:color w:val="000000"/>
          <w:lang w:eastAsia="zh-CN"/>
        </w:rPr>
        <w:t xml:space="preserve">Care probleme s-au dovedit acute (cu referire directǎ la transport)? </w:t>
      </w:r>
    </w:p>
    <w:p w14:paraId="38735282" w14:textId="77777777" w:rsidR="00426696" w:rsidRPr="00426696" w:rsidRDefault="00426696" w:rsidP="00426696">
      <w:pPr>
        <w:suppressAutoHyphens/>
        <w:autoSpaceDE w:val="0"/>
        <w:spacing w:after="0" w:line="360" w:lineRule="auto"/>
        <w:rPr>
          <w:rFonts w:ascii="Arial" w:eastAsia="Calibri" w:hAnsi="Arial" w:cs="Arial"/>
          <w:color w:val="000000"/>
          <w:sz w:val="24"/>
          <w:szCs w:val="24"/>
          <w:lang w:eastAsia="zh-CN"/>
        </w:rPr>
      </w:pPr>
    </w:p>
    <w:p w14:paraId="3B311BB2" w14:textId="0C0D0C99" w:rsidR="00426696" w:rsidRPr="00426696" w:rsidRDefault="00426696" w:rsidP="00426696">
      <w:pPr>
        <w:pStyle w:val="Legend"/>
        <w:jc w:val="center"/>
        <w:rPr>
          <w:rFonts w:ascii="Arial" w:eastAsia="Calibri" w:hAnsi="Arial" w:cs="Arial"/>
          <w:i w:val="0"/>
          <w:color w:val="000000"/>
          <w:sz w:val="22"/>
          <w:szCs w:val="22"/>
          <w:lang w:eastAsia="zh-CN"/>
        </w:rPr>
      </w:pPr>
      <w:bookmarkStart w:id="399" w:name="_Toc68361264"/>
      <w:bookmarkStart w:id="400" w:name="_Toc96447428"/>
      <w:r w:rsidRPr="00426696">
        <w:rPr>
          <w:rFonts w:ascii="Arial" w:hAnsi="Arial" w:cs="Arial"/>
          <w:sz w:val="22"/>
          <w:szCs w:val="22"/>
        </w:rPr>
        <w:t xml:space="preserve">Tabel I.5. </w:t>
      </w:r>
      <w:r w:rsidRPr="00426696">
        <w:rPr>
          <w:rFonts w:ascii="Arial" w:hAnsi="Arial" w:cs="Arial"/>
          <w:sz w:val="22"/>
          <w:szCs w:val="22"/>
        </w:rPr>
        <w:fldChar w:fldCharType="begin"/>
      </w:r>
      <w:r w:rsidRPr="00426696">
        <w:rPr>
          <w:rFonts w:ascii="Arial" w:hAnsi="Arial" w:cs="Arial"/>
          <w:sz w:val="22"/>
          <w:szCs w:val="22"/>
        </w:rPr>
        <w:instrText xml:space="preserve"> SEQ Tabel_I.5. \* ARABIC </w:instrText>
      </w:r>
      <w:r w:rsidRPr="00426696">
        <w:rPr>
          <w:rFonts w:ascii="Arial" w:hAnsi="Arial" w:cs="Arial"/>
          <w:sz w:val="22"/>
          <w:szCs w:val="22"/>
        </w:rPr>
        <w:fldChar w:fldCharType="separate"/>
      </w:r>
      <w:r w:rsidR="00BB181C">
        <w:rPr>
          <w:rFonts w:ascii="Arial" w:hAnsi="Arial" w:cs="Arial"/>
          <w:noProof/>
          <w:sz w:val="22"/>
          <w:szCs w:val="22"/>
        </w:rPr>
        <w:t>5</w:t>
      </w:r>
      <w:r w:rsidRPr="00426696">
        <w:rPr>
          <w:rFonts w:ascii="Arial" w:hAnsi="Arial" w:cs="Arial"/>
          <w:sz w:val="22"/>
          <w:szCs w:val="22"/>
        </w:rPr>
        <w:fldChar w:fldCharType="end"/>
      </w:r>
      <w:r w:rsidRPr="00426696">
        <w:rPr>
          <w:rFonts w:ascii="Arial" w:hAnsi="Arial" w:cs="Arial"/>
          <w:sz w:val="22"/>
          <w:szCs w:val="22"/>
        </w:rPr>
        <w:t xml:space="preserve"> </w:t>
      </w:r>
      <w:r w:rsidRPr="00426696">
        <w:rPr>
          <w:rFonts w:ascii="Arial" w:hAnsi="Arial" w:cs="Arial"/>
          <w:color w:val="1F497D"/>
          <w:sz w:val="22"/>
          <w:szCs w:val="22"/>
        </w:rPr>
        <w:t xml:space="preserve">- </w:t>
      </w:r>
      <w:r w:rsidRPr="00426696">
        <w:rPr>
          <w:rFonts w:ascii="Arial" w:hAnsi="Arial" w:cs="Arial"/>
          <w:i w:val="0"/>
          <w:color w:val="1F497D"/>
          <w:sz w:val="22"/>
          <w:szCs w:val="22"/>
        </w:rPr>
        <w:t>Probleme ridicate de grupurile angrenate în evoluția transportului urban</w:t>
      </w:r>
      <w:bookmarkEnd w:id="399"/>
      <w:bookmarkEnd w:id="400"/>
    </w:p>
    <w:p w14:paraId="660046AA" w14:textId="77777777" w:rsidR="00426696" w:rsidRPr="00426696" w:rsidRDefault="00426696" w:rsidP="00426696">
      <w:pPr>
        <w:suppressAutoHyphens/>
        <w:autoSpaceDE w:val="0"/>
        <w:spacing w:after="0" w:line="360" w:lineRule="auto"/>
        <w:rPr>
          <w:rFonts w:ascii="Arial" w:eastAsia="Calibri" w:hAnsi="Arial" w:cs="Arial"/>
          <w:color w:val="000000"/>
          <w:sz w:val="24"/>
          <w:szCs w:val="24"/>
          <w:lang w:eastAsia="zh-CN"/>
        </w:rPr>
      </w:pPr>
      <w:r w:rsidRPr="00426696">
        <w:rPr>
          <w:rFonts w:ascii="EUAlbertina" w:eastAsia="Calibri" w:hAnsi="EUAlbertina" w:cs="EUAlbertina"/>
          <w:noProof/>
          <w:color w:val="000000"/>
          <w:sz w:val="24"/>
          <w:szCs w:val="24"/>
        </w:rPr>
        <w:drawing>
          <wp:anchor distT="0" distB="0" distL="0" distR="0" simplePos="0" relativeHeight="251700736" behindDoc="0" locked="0" layoutInCell="1" allowOverlap="1" wp14:anchorId="473E8C0A" wp14:editId="458F3147">
            <wp:simplePos x="0" y="0"/>
            <wp:positionH relativeFrom="column">
              <wp:align>center</wp:align>
            </wp:positionH>
            <wp:positionV relativeFrom="paragraph">
              <wp:posOffset>87630</wp:posOffset>
            </wp:positionV>
            <wp:extent cx="5335270" cy="3696970"/>
            <wp:effectExtent l="0" t="0" r="0" b="0"/>
            <wp:wrapTopAndBottom/>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335270" cy="36969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3A3E125" w14:textId="77777777" w:rsidR="00426696" w:rsidRPr="00426696" w:rsidRDefault="00426696" w:rsidP="00426696">
      <w:pPr>
        <w:suppressAutoHyphens/>
        <w:autoSpaceDE w:val="0"/>
        <w:spacing w:after="0" w:line="276" w:lineRule="auto"/>
        <w:jc w:val="both"/>
        <w:rPr>
          <w:rFonts w:ascii="Arial" w:eastAsia="Arial" w:hAnsi="Arial" w:cs="Arial"/>
          <w:color w:val="000000"/>
          <w:lang w:eastAsia="zh-CN"/>
        </w:rPr>
      </w:pPr>
      <w:r w:rsidRPr="00426696">
        <w:rPr>
          <w:rFonts w:ascii="Arial" w:eastAsia="Times New Roman" w:hAnsi="Arial" w:cs="Arial"/>
          <w:b/>
          <w:color w:val="000000"/>
          <w:lang w:eastAsia="ro-RO"/>
        </w:rPr>
        <w:t xml:space="preserve">Ce mǎsuri s-au dovedit adecvate (cu referire directǎ la transportul public)? </w:t>
      </w:r>
      <w:r w:rsidRPr="00426696">
        <w:rPr>
          <w:rFonts w:ascii="Arial" w:eastAsia="Times New Roman" w:hAnsi="Arial" w:cs="Arial"/>
          <w:color w:val="000000"/>
          <w:lang w:eastAsia="ro-RO"/>
        </w:rPr>
        <w:t xml:space="preserve">Aceste mǎsuri, pe scurt, includ, în ordinea succesului: </w:t>
      </w:r>
    </w:p>
    <w:p w14:paraId="310105CF" w14:textId="77777777" w:rsidR="00426696" w:rsidRPr="00426696" w:rsidRDefault="00426696" w:rsidP="000C6CB8">
      <w:pPr>
        <w:numPr>
          <w:ilvl w:val="0"/>
          <w:numId w:val="162"/>
        </w:numPr>
        <w:suppressAutoHyphens/>
        <w:autoSpaceDE w:val="0"/>
        <w:spacing w:after="0" w:line="276" w:lineRule="auto"/>
        <w:rPr>
          <w:rFonts w:ascii="Arial" w:eastAsia="Arial" w:hAnsi="Arial" w:cs="Arial"/>
          <w:color w:val="000000"/>
          <w:lang w:eastAsia="zh-CN"/>
        </w:rPr>
      </w:pPr>
      <w:r w:rsidRPr="00426696">
        <w:rPr>
          <w:rFonts w:ascii="Arial" w:eastAsia="Calibri" w:hAnsi="Arial" w:cs="Arial"/>
          <w:color w:val="000000"/>
          <w:lang w:eastAsia="zh-CN"/>
        </w:rPr>
        <w:t xml:space="preserve">Promovarea activă a transportului public în cartierele mǎrginașe; </w:t>
      </w:r>
    </w:p>
    <w:p w14:paraId="0F48A6FA" w14:textId="77777777" w:rsidR="00426696" w:rsidRPr="00426696" w:rsidRDefault="00426696" w:rsidP="000C6CB8">
      <w:pPr>
        <w:numPr>
          <w:ilvl w:val="0"/>
          <w:numId w:val="162"/>
        </w:numPr>
        <w:suppressAutoHyphens/>
        <w:autoSpaceDE w:val="0"/>
        <w:spacing w:after="0" w:line="276" w:lineRule="auto"/>
        <w:rPr>
          <w:rFonts w:ascii="Arial" w:eastAsia="Arial" w:hAnsi="Arial" w:cs="Arial"/>
          <w:color w:val="000000"/>
          <w:lang w:eastAsia="zh-CN"/>
        </w:rPr>
      </w:pPr>
      <w:r w:rsidRPr="00426696">
        <w:rPr>
          <w:rFonts w:ascii="Arial" w:eastAsia="Calibri" w:hAnsi="Arial" w:cs="Arial"/>
          <w:color w:val="000000"/>
          <w:lang w:eastAsia="zh-CN"/>
        </w:rPr>
        <w:t xml:space="preserve">Furnizarea de benzi dedicate transportului public; </w:t>
      </w:r>
    </w:p>
    <w:p w14:paraId="713A70F3" w14:textId="77777777" w:rsidR="00426696" w:rsidRPr="00426696" w:rsidRDefault="00426696" w:rsidP="000C6CB8">
      <w:pPr>
        <w:numPr>
          <w:ilvl w:val="0"/>
          <w:numId w:val="162"/>
        </w:numPr>
        <w:suppressAutoHyphens/>
        <w:autoSpaceDE w:val="0"/>
        <w:spacing w:after="0" w:line="276" w:lineRule="auto"/>
        <w:rPr>
          <w:rFonts w:ascii="Arial" w:eastAsia="Arial" w:hAnsi="Arial" w:cs="Arial"/>
          <w:color w:val="000000"/>
          <w:lang w:eastAsia="zh-CN"/>
        </w:rPr>
      </w:pPr>
      <w:r w:rsidRPr="00426696">
        <w:rPr>
          <w:rFonts w:ascii="Arial" w:eastAsia="Calibri" w:hAnsi="Arial" w:cs="Arial"/>
          <w:color w:val="000000"/>
          <w:lang w:eastAsia="zh-CN"/>
        </w:rPr>
        <w:t xml:space="preserve">Prioritate pentru transportul public la semafoarele din trafic; </w:t>
      </w:r>
    </w:p>
    <w:p w14:paraId="6A0C19F4" w14:textId="77777777" w:rsidR="00426696" w:rsidRPr="00426696" w:rsidRDefault="00426696" w:rsidP="000C6CB8">
      <w:pPr>
        <w:numPr>
          <w:ilvl w:val="0"/>
          <w:numId w:val="162"/>
        </w:numPr>
        <w:suppressAutoHyphens/>
        <w:autoSpaceDE w:val="0"/>
        <w:spacing w:after="0" w:line="276" w:lineRule="auto"/>
        <w:jc w:val="both"/>
        <w:rPr>
          <w:rFonts w:ascii="Arial" w:eastAsia="Arial" w:hAnsi="Arial" w:cs="Arial"/>
          <w:color w:val="000000"/>
          <w:lang w:eastAsia="zh-CN"/>
        </w:rPr>
      </w:pPr>
      <w:r w:rsidRPr="00426696">
        <w:rPr>
          <w:rFonts w:ascii="Arial" w:eastAsia="Calibri" w:hAnsi="Arial" w:cs="Arial"/>
          <w:color w:val="000000"/>
          <w:lang w:eastAsia="zh-CN"/>
        </w:rPr>
        <w:t xml:space="preserve">Intervale medii de urmǎrire între vehicule, dar respectarea cu strictețe a punctualitǎții declarate; </w:t>
      </w:r>
    </w:p>
    <w:p w14:paraId="6D4C9342" w14:textId="77777777" w:rsidR="00426696" w:rsidRPr="00426696" w:rsidRDefault="00426696" w:rsidP="000C6CB8">
      <w:pPr>
        <w:numPr>
          <w:ilvl w:val="0"/>
          <w:numId w:val="162"/>
        </w:numPr>
        <w:suppressAutoHyphens/>
        <w:autoSpaceDE w:val="0"/>
        <w:spacing w:after="0" w:line="276" w:lineRule="auto"/>
        <w:rPr>
          <w:rFonts w:ascii="Arial" w:eastAsia="Arial" w:hAnsi="Arial" w:cs="Arial"/>
          <w:color w:val="000000"/>
          <w:lang w:eastAsia="zh-CN"/>
        </w:rPr>
      </w:pPr>
      <w:r w:rsidRPr="00426696">
        <w:rPr>
          <w:rFonts w:ascii="Arial" w:eastAsia="Arial" w:hAnsi="Arial" w:cs="Arial"/>
          <w:color w:val="000000"/>
          <w:lang w:eastAsia="zh-CN"/>
        </w:rPr>
        <w:t>T</w:t>
      </w:r>
      <w:r w:rsidRPr="00426696">
        <w:rPr>
          <w:rFonts w:ascii="Arial" w:eastAsia="Calibri" w:hAnsi="Arial" w:cs="Arial"/>
          <w:color w:val="000000"/>
          <w:lang w:eastAsia="zh-CN"/>
        </w:rPr>
        <w:t xml:space="preserve">icketing integrat; </w:t>
      </w:r>
    </w:p>
    <w:p w14:paraId="2DBA4137" w14:textId="77777777" w:rsidR="00426696" w:rsidRPr="00426696" w:rsidRDefault="00426696" w:rsidP="000C6CB8">
      <w:pPr>
        <w:numPr>
          <w:ilvl w:val="0"/>
          <w:numId w:val="162"/>
        </w:numPr>
        <w:suppressAutoHyphens/>
        <w:autoSpaceDE w:val="0"/>
        <w:spacing w:after="0" w:line="276" w:lineRule="auto"/>
        <w:rPr>
          <w:rFonts w:ascii="Arial" w:eastAsia="Arial" w:hAnsi="Arial" w:cs="Arial"/>
          <w:color w:val="000000"/>
          <w:lang w:eastAsia="zh-CN"/>
        </w:rPr>
      </w:pPr>
      <w:r w:rsidRPr="00426696">
        <w:rPr>
          <w:rFonts w:ascii="Arial" w:eastAsia="Calibri" w:hAnsi="Arial" w:cs="Arial"/>
          <w:color w:val="000000"/>
          <w:lang w:eastAsia="zh-CN"/>
        </w:rPr>
        <w:t xml:space="preserve">Vehicule nepoluante; </w:t>
      </w:r>
    </w:p>
    <w:p w14:paraId="5D64A6BB" w14:textId="77777777" w:rsidR="00426696" w:rsidRPr="00426696" w:rsidRDefault="00426696" w:rsidP="000C6CB8">
      <w:pPr>
        <w:numPr>
          <w:ilvl w:val="0"/>
          <w:numId w:val="162"/>
        </w:numPr>
        <w:suppressAutoHyphens/>
        <w:autoSpaceDE w:val="0"/>
        <w:spacing w:after="0" w:line="276" w:lineRule="auto"/>
        <w:jc w:val="both"/>
        <w:rPr>
          <w:rFonts w:ascii="Arial" w:eastAsia="Arial" w:hAnsi="Arial" w:cs="Arial"/>
          <w:color w:val="000000"/>
          <w:lang w:eastAsia="zh-CN"/>
        </w:rPr>
      </w:pPr>
      <w:r w:rsidRPr="00426696">
        <w:rPr>
          <w:rFonts w:ascii="Arial" w:eastAsia="Calibri" w:hAnsi="Arial" w:cs="Arial"/>
          <w:color w:val="000000"/>
          <w:lang w:eastAsia="zh-CN"/>
        </w:rPr>
        <w:t xml:space="preserve">Utilizarea datelor în timp real pentru controlul operațiilor de transport public și pentru îmbunătățirea planificării; </w:t>
      </w:r>
    </w:p>
    <w:p w14:paraId="795D4645" w14:textId="77777777" w:rsidR="00426696" w:rsidRPr="00426696" w:rsidRDefault="00426696" w:rsidP="000C6CB8">
      <w:pPr>
        <w:numPr>
          <w:ilvl w:val="0"/>
          <w:numId w:val="162"/>
        </w:numPr>
        <w:suppressAutoHyphens/>
        <w:autoSpaceDE w:val="0"/>
        <w:spacing w:after="0" w:line="276" w:lineRule="auto"/>
        <w:rPr>
          <w:rFonts w:ascii="Arial" w:eastAsia="Arial" w:hAnsi="Arial" w:cs="Arial"/>
          <w:color w:val="000000"/>
          <w:lang w:eastAsia="zh-CN"/>
        </w:rPr>
      </w:pPr>
      <w:r w:rsidRPr="00426696">
        <w:rPr>
          <w:rFonts w:ascii="Arial" w:eastAsia="Calibri" w:hAnsi="Arial" w:cs="Arial"/>
          <w:color w:val="000000"/>
          <w:lang w:eastAsia="zh-CN"/>
        </w:rPr>
        <w:t xml:space="preserve">Taxarea parcǎrilor pe întreg teritoriul orașelor; </w:t>
      </w:r>
    </w:p>
    <w:p w14:paraId="0A5DCC51" w14:textId="77777777" w:rsidR="00426696" w:rsidRPr="00426696" w:rsidRDefault="00426696" w:rsidP="000C6CB8">
      <w:pPr>
        <w:numPr>
          <w:ilvl w:val="0"/>
          <w:numId w:val="162"/>
        </w:numPr>
        <w:suppressAutoHyphens/>
        <w:autoSpaceDE w:val="0"/>
        <w:spacing w:after="0" w:line="276" w:lineRule="auto"/>
        <w:rPr>
          <w:rFonts w:ascii="Arial" w:eastAsia="Arial" w:hAnsi="Arial" w:cs="Arial"/>
          <w:color w:val="000000"/>
          <w:lang w:eastAsia="zh-CN"/>
        </w:rPr>
      </w:pPr>
      <w:r w:rsidRPr="00426696">
        <w:rPr>
          <w:rFonts w:ascii="Arial" w:eastAsia="Calibri" w:hAnsi="Arial" w:cs="Arial"/>
          <w:color w:val="000000"/>
          <w:lang w:eastAsia="zh-CN"/>
        </w:rPr>
        <w:t xml:space="preserve">Îmbunătățirea siguranței la bordul vehiculelor și în stații; </w:t>
      </w:r>
    </w:p>
    <w:p w14:paraId="4B73EDA8" w14:textId="77777777" w:rsidR="00426696" w:rsidRPr="00426696" w:rsidRDefault="00426696" w:rsidP="000C6CB8">
      <w:pPr>
        <w:numPr>
          <w:ilvl w:val="0"/>
          <w:numId w:val="162"/>
        </w:numPr>
        <w:suppressAutoHyphens/>
        <w:autoSpaceDE w:val="0"/>
        <w:spacing w:after="0" w:line="276" w:lineRule="auto"/>
        <w:rPr>
          <w:rFonts w:ascii="Arial" w:eastAsia="Arial" w:hAnsi="Arial" w:cs="Arial"/>
          <w:color w:val="000000"/>
          <w:lang w:eastAsia="zh-CN"/>
        </w:rPr>
      </w:pPr>
      <w:r w:rsidRPr="00426696">
        <w:rPr>
          <w:rFonts w:ascii="Arial" w:eastAsia="Calibri" w:hAnsi="Arial" w:cs="Arial"/>
          <w:color w:val="000000"/>
          <w:lang w:eastAsia="zh-CN"/>
        </w:rPr>
        <w:t xml:space="preserve">Furnizarea unei pagini web cu informații detaliate; </w:t>
      </w:r>
    </w:p>
    <w:p w14:paraId="397122A5" w14:textId="77777777" w:rsidR="00426696" w:rsidRPr="00426696" w:rsidRDefault="00426696" w:rsidP="000C6CB8">
      <w:pPr>
        <w:numPr>
          <w:ilvl w:val="0"/>
          <w:numId w:val="162"/>
        </w:numPr>
        <w:suppressAutoHyphens/>
        <w:autoSpaceDE w:val="0"/>
        <w:spacing w:after="0" w:line="276" w:lineRule="auto"/>
        <w:rPr>
          <w:rFonts w:ascii="Arial" w:eastAsia="Calibri" w:hAnsi="Arial" w:cs="Arial"/>
          <w:color w:val="000000"/>
          <w:lang w:eastAsia="zh-CN"/>
        </w:rPr>
      </w:pPr>
      <w:r w:rsidRPr="00426696">
        <w:rPr>
          <w:rFonts w:ascii="Arial" w:eastAsia="Calibri" w:hAnsi="Arial" w:cs="Arial"/>
          <w:color w:val="000000"/>
          <w:lang w:eastAsia="zh-CN"/>
        </w:rPr>
        <w:lastRenderedPageBreak/>
        <w:t xml:space="preserve">Integrarea transportului public cu mersul pe bicicletă. </w:t>
      </w:r>
    </w:p>
    <w:p w14:paraId="444ADAE6" w14:textId="77777777" w:rsidR="00426696" w:rsidRPr="00426696" w:rsidRDefault="00426696" w:rsidP="00426696">
      <w:pPr>
        <w:suppressAutoHyphens/>
        <w:autoSpaceDE w:val="0"/>
        <w:spacing w:after="0" w:line="360" w:lineRule="auto"/>
        <w:rPr>
          <w:rFonts w:ascii="Arial" w:eastAsia="Calibri" w:hAnsi="Arial" w:cs="Arial"/>
          <w:color w:val="000000"/>
          <w:sz w:val="24"/>
          <w:szCs w:val="24"/>
          <w:lang w:eastAsia="zh-CN"/>
        </w:rPr>
      </w:pPr>
    </w:p>
    <w:p w14:paraId="06BC83EC" w14:textId="77777777" w:rsidR="00426696" w:rsidRPr="00426696" w:rsidRDefault="00426696" w:rsidP="00426696">
      <w:p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 xml:space="preserve">Atât cetăţenii, cât şi politicienii sunt conştienţi de problemele cauzate de extinderea zonelor urbane şi de dependenţa crescândă de automobil, dar limitele şi evoluţia acestora sunt mai puţin cunoscute. În general oamenii nu conştientizează faptul că serviciul de transport pentru comunitate se face în mod evident cu costuri mai mici în oraşele cu densitate medie şi ridicată, acolo unde acest serviciu este bine organizat. </w:t>
      </w:r>
    </w:p>
    <w:p w14:paraId="091DAA76" w14:textId="77777777" w:rsidR="00426696" w:rsidRPr="00426696" w:rsidRDefault="00426696" w:rsidP="00426696">
      <w:pPr>
        <w:widowControl w:val="0"/>
        <w:suppressAutoHyphens/>
        <w:autoSpaceDE w:val="0"/>
        <w:spacing w:after="0" w:line="276" w:lineRule="auto"/>
        <w:jc w:val="both"/>
        <w:rPr>
          <w:rFonts w:ascii="Arial" w:hAnsi="Arial" w:cs="Arial"/>
          <w:kern w:val="1"/>
          <w:lang w:val="ro-RO" w:eastAsia="hi-IN" w:bidi="hi-IN"/>
        </w:rPr>
      </w:pPr>
    </w:p>
    <w:p w14:paraId="52212D69" w14:textId="77777777" w:rsidR="00426696" w:rsidRPr="00426696" w:rsidRDefault="00426696" w:rsidP="00426696">
      <w:pPr>
        <w:suppressAutoHyphens/>
        <w:autoSpaceDE w:val="0"/>
        <w:spacing w:after="0" w:line="276" w:lineRule="auto"/>
        <w:jc w:val="both"/>
        <w:rPr>
          <w:rFonts w:ascii="Arial" w:eastAsia="Arial" w:hAnsi="Arial" w:cs="Arial"/>
          <w:color w:val="000000"/>
          <w:lang w:eastAsia="zh-CN"/>
        </w:rPr>
      </w:pPr>
      <w:r w:rsidRPr="00426696">
        <w:rPr>
          <w:rFonts w:ascii="Arial" w:eastAsia="Times New Roman" w:hAnsi="Arial" w:cs="Arial"/>
          <w:color w:val="000000"/>
          <w:lang w:eastAsia="ro-RO"/>
        </w:rPr>
        <w:t xml:space="preserve">O serie de materiale: </w:t>
      </w:r>
    </w:p>
    <w:p w14:paraId="5DD7E5FE" w14:textId="77777777" w:rsidR="00426696" w:rsidRPr="00426696" w:rsidRDefault="00426696" w:rsidP="000C6CB8">
      <w:pPr>
        <w:numPr>
          <w:ilvl w:val="0"/>
          <w:numId w:val="163"/>
        </w:numPr>
        <w:suppressAutoHyphens/>
        <w:autoSpaceDE w:val="0"/>
        <w:spacing w:after="0" w:line="276" w:lineRule="auto"/>
        <w:jc w:val="both"/>
        <w:rPr>
          <w:rFonts w:ascii="Arial" w:eastAsia="Arial" w:hAnsi="Arial" w:cs="Arial"/>
          <w:color w:val="000000"/>
          <w:lang w:eastAsia="zh-CN"/>
        </w:rPr>
      </w:pPr>
      <w:r w:rsidRPr="00426696">
        <w:rPr>
          <w:rFonts w:ascii="Arial" w:eastAsia="Calibri" w:hAnsi="Arial" w:cs="Arial"/>
          <w:color w:val="000000"/>
          <w:lang w:eastAsia="zh-CN"/>
        </w:rPr>
        <w:t xml:space="preserve">apǎrute ca urmare a diseminǎrii experienței (unor instituții și organisme aparținând unor orașe care au introdus sub o formǎ sau alta PMUD), </w:t>
      </w:r>
    </w:p>
    <w:p w14:paraId="3E9F1ABD" w14:textId="77777777" w:rsidR="00426696" w:rsidRPr="00426696" w:rsidRDefault="00426696" w:rsidP="000C6CB8">
      <w:pPr>
        <w:numPr>
          <w:ilvl w:val="0"/>
          <w:numId w:val="163"/>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 xml:space="preserve">respectiv a unor considerații inserate deja în cadrul proiectului sau care sunt în curs de elaborare pentru capitolele ce vor urma, conduc la constatarea cǎ </w:t>
      </w:r>
      <w:r w:rsidRPr="00426696">
        <w:rPr>
          <w:rFonts w:ascii="Arial" w:eastAsia="Calibri" w:hAnsi="Arial" w:cs="Arial"/>
          <w:b/>
          <w:color w:val="000000"/>
          <w:lang w:eastAsia="zh-CN"/>
        </w:rPr>
        <w:t xml:space="preserve">transportul de orice fel în orașe este un subsidiar al dezvoltǎrii economice și al evoluției demografice. </w:t>
      </w:r>
    </w:p>
    <w:p w14:paraId="78D199DA" w14:textId="77777777" w:rsidR="00426696" w:rsidRPr="00426696" w:rsidRDefault="00426696" w:rsidP="00426696">
      <w:pPr>
        <w:suppressAutoHyphens/>
        <w:autoSpaceDE w:val="0"/>
        <w:spacing w:after="0" w:line="276" w:lineRule="auto"/>
        <w:rPr>
          <w:rFonts w:ascii="Arial" w:eastAsia="Calibri" w:hAnsi="Arial" w:cs="Arial"/>
          <w:color w:val="000000"/>
          <w:lang w:val="es-ES" w:eastAsia="zh-CN"/>
        </w:rPr>
      </w:pPr>
    </w:p>
    <w:p w14:paraId="1C082E31" w14:textId="77777777" w:rsidR="00426696" w:rsidRPr="00426696" w:rsidRDefault="00426696" w:rsidP="00426696">
      <w:pPr>
        <w:suppressAutoHyphens/>
        <w:autoSpaceDE w:val="0"/>
        <w:spacing w:after="0" w:line="276" w:lineRule="auto"/>
        <w:jc w:val="both"/>
        <w:rPr>
          <w:rFonts w:ascii="EUAlbertina" w:eastAsia="Calibri" w:hAnsi="EUAlbertina" w:cs="EUAlbertina"/>
          <w:color w:val="000000"/>
          <w:lang w:val="es-ES" w:eastAsia="zh-CN"/>
        </w:rPr>
      </w:pPr>
      <w:r w:rsidRPr="00426696">
        <w:rPr>
          <w:rFonts w:ascii="Arial" w:eastAsia="Calibri" w:hAnsi="Arial" w:cs="Arial"/>
          <w:color w:val="000000"/>
          <w:lang w:val="es-ES" w:eastAsia="zh-CN"/>
        </w:rPr>
        <w:t>Ceea ce leagǎ dezvoltarea economicǎ și evoluția demograficǎ de un sistem integrat de transport</w:t>
      </w:r>
      <w:r w:rsidRPr="00426696">
        <w:rPr>
          <w:rFonts w:ascii="Arial" w:eastAsia="Calibri" w:hAnsi="Arial" w:cs="Arial"/>
          <w:color w:val="000000"/>
          <w:vertAlign w:val="superscript"/>
          <w:lang w:eastAsia="zh-CN"/>
        </w:rPr>
        <w:footnoteReference w:id="38"/>
      </w:r>
      <w:r w:rsidRPr="00426696">
        <w:rPr>
          <w:rFonts w:ascii="Arial" w:eastAsia="Calibri" w:hAnsi="Arial" w:cs="Arial"/>
          <w:color w:val="000000"/>
          <w:lang w:val="es-ES" w:eastAsia="zh-CN"/>
        </w:rPr>
        <w:t xml:space="preserve"> este </w:t>
      </w:r>
      <w:r w:rsidRPr="00426696">
        <w:rPr>
          <w:rFonts w:ascii="Arial" w:eastAsia="Calibri" w:hAnsi="Arial" w:cs="Arial"/>
          <w:b/>
          <w:color w:val="000000"/>
          <w:lang w:val="es-ES" w:eastAsia="zh-CN"/>
        </w:rPr>
        <w:t>modul de utilizare a spațiului urban</w:t>
      </w:r>
      <w:r w:rsidRPr="00426696">
        <w:rPr>
          <w:rFonts w:ascii="Arial" w:eastAsia="Calibri" w:hAnsi="Arial" w:cs="Arial"/>
          <w:color w:val="000000"/>
          <w:lang w:val="es-ES" w:eastAsia="zh-CN"/>
        </w:rPr>
        <w:t xml:space="preserve">: cunoașterea parametrilor dupǎ care se efectueazǎ planificarea și managementul suprafeței urbane permite sistemului de transport sǎ realizeze echilibrul între nivelul cererii și volumul ofertei, atât în exploatarea curentǎ, cât și în cea de perspectivǎ. Pe de altǎ parte „viața” a demonstrat că un PMUD este din start nerealist dacă nu este însoţit de un program de intervenție continuă constând în </w:t>
      </w:r>
      <w:r w:rsidRPr="00426696">
        <w:rPr>
          <w:rFonts w:ascii="Arial" w:eastAsia="Calibri" w:hAnsi="Arial" w:cs="Arial"/>
          <w:b/>
          <w:color w:val="000000"/>
          <w:lang w:val="es-ES" w:eastAsia="zh-CN"/>
        </w:rPr>
        <w:t xml:space="preserve">acţiuni de conştientizare şi de schimbare a comportamentului. </w:t>
      </w:r>
      <w:r w:rsidRPr="00426696">
        <w:rPr>
          <w:rFonts w:ascii="Arial" w:eastAsia="Calibri" w:hAnsi="Arial" w:cs="Arial"/>
          <w:color w:val="000000"/>
          <w:lang w:val="es-ES" w:eastAsia="zh-CN"/>
        </w:rPr>
        <w:t xml:space="preserve">Împreună, aceste acţiuni vor transforma acumularea de cunoştinţe teoretice referitoare la transportul durabil, în măsuri efective, care va duce la un transfer modal către sisteme de transport mai durabile. </w:t>
      </w:r>
    </w:p>
    <w:p w14:paraId="00E0DA28" w14:textId="77777777" w:rsidR="00426696" w:rsidRPr="00426696" w:rsidRDefault="00426696" w:rsidP="00426696">
      <w:pPr>
        <w:suppressAutoHyphens/>
        <w:autoSpaceDE w:val="0"/>
        <w:spacing w:after="0" w:line="276" w:lineRule="auto"/>
        <w:jc w:val="both"/>
        <w:rPr>
          <w:rFonts w:ascii="EUAlbertina" w:eastAsia="Calibri" w:hAnsi="EUAlbertina" w:cs="EUAlbertina"/>
          <w:color w:val="000000"/>
          <w:lang w:val="es-ES" w:eastAsia="zh-CN"/>
        </w:rPr>
      </w:pPr>
    </w:p>
    <w:p w14:paraId="4D1DE787" w14:textId="77777777" w:rsidR="00426696" w:rsidRPr="00426696" w:rsidRDefault="00426696" w:rsidP="00426696">
      <w:pPr>
        <w:suppressAutoHyphens/>
        <w:autoSpaceDE w:val="0"/>
        <w:spacing w:after="0" w:line="276" w:lineRule="auto"/>
        <w:jc w:val="both"/>
        <w:rPr>
          <w:rFonts w:ascii="Arial" w:eastAsia="Calibri" w:hAnsi="Arial" w:cs="Arial"/>
          <w:b/>
          <w:bCs/>
          <w:color w:val="000000"/>
          <w:lang w:val="es-ES" w:eastAsia="zh-CN"/>
        </w:rPr>
      </w:pPr>
      <w:r w:rsidRPr="00426696">
        <w:rPr>
          <w:rFonts w:ascii="Arial" w:eastAsia="Calibri" w:hAnsi="Arial" w:cs="Arial"/>
          <w:color w:val="000000"/>
          <w:lang w:val="es-ES" w:eastAsia="zh-CN"/>
        </w:rPr>
        <w:t xml:space="preserve">În concluzie, prin elaborarea Planului de Mobilitate Urbană Durabilă pentru </w:t>
      </w:r>
      <w:r>
        <w:rPr>
          <w:rFonts w:ascii="Arial" w:eastAsia="Calibri" w:hAnsi="Arial" w:cs="Arial"/>
          <w:color w:val="000000"/>
          <w:lang w:val="es-ES" w:eastAsia="zh-CN"/>
        </w:rPr>
        <w:t>Oraş</w:t>
      </w:r>
      <w:r w:rsidRPr="00426696">
        <w:rPr>
          <w:rFonts w:ascii="Arial" w:eastAsia="Calibri" w:hAnsi="Arial" w:cs="Arial"/>
          <w:color w:val="000000"/>
          <w:lang w:val="es-ES" w:eastAsia="zh-CN"/>
        </w:rPr>
        <w:t>ul Horezu se doreşte atingerea următoarelor cinci obiective principale:</w:t>
      </w:r>
    </w:p>
    <w:p w14:paraId="0F480C53" w14:textId="77777777" w:rsidR="00426696" w:rsidRPr="00426696" w:rsidRDefault="00426696" w:rsidP="00426696">
      <w:pPr>
        <w:suppressAutoHyphens/>
        <w:autoSpaceDE w:val="0"/>
        <w:spacing w:after="0" w:line="276" w:lineRule="auto"/>
        <w:jc w:val="both"/>
        <w:rPr>
          <w:rFonts w:ascii="Arial" w:eastAsia="Calibri" w:hAnsi="Arial" w:cs="Arial"/>
          <w:b/>
          <w:bCs/>
          <w:color w:val="000000"/>
          <w:lang w:val="es-ES" w:eastAsia="zh-CN"/>
        </w:rPr>
      </w:pPr>
      <w:r w:rsidRPr="00426696">
        <w:rPr>
          <w:rFonts w:ascii="Arial" w:eastAsia="Calibri" w:hAnsi="Arial" w:cs="Arial"/>
          <w:b/>
          <w:bCs/>
          <w:color w:val="000000"/>
          <w:lang w:val="es-ES" w:eastAsia="zh-CN"/>
        </w:rPr>
        <w:t>A. Accesibilitate</w:t>
      </w:r>
      <w:r w:rsidRPr="00426696">
        <w:rPr>
          <w:rFonts w:ascii="Arial" w:eastAsia="Calibri" w:hAnsi="Arial" w:cs="Arial"/>
          <w:color w:val="000000"/>
          <w:lang w:val="es-ES" w:eastAsia="zh-CN"/>
        </w:rPr>
        <w:t xml:space="preserve"> = Asigurarea accesibilitǎții tuturor, oferitǎ de sistemul de transport; </w:t>
      </w:r>
    </w:p>
    <w:p w14:paraId="5A0D88C5" w14:textId="77777777" w:rsidR="00426696" w:rsidRPr="00426696" w:rsidRDefault="00426696" w:rsidP="00426696">
      <w:pPr>
        <w:suppressAutoHyphens/>
        <w:autoSpaceDE w:val="0"/>
        <w:spacing w:after="0" w:line="276" w:lineRule="auto"/>
        <w:jc w:val="both"/>
        <w:rPr>
          <w:rFonts w:ascii="Arial" w:eastAsia="Calibri" w:hAnsi="Arial" w:cs="Arial"/>
          <w:b/>
          <w:bCs/>
          <w:color w:val="000000"/>
          <w:lang w:val="es-ES" w:eastAsia="zh-CN"/>
        </w:rPr>
      </w:pPr>
      <w:r w:rsidRPr="00426696">
        <w:rPr>
          <w:rFonts w:ascii="Arial" w:eastAsia="Calibri" w:hAnsi="Arial" w:cs="Arial"/>
          <w:b/>
          <w:bCs/>
          <w:color w:val="000000"/>
          <w:lang w:val="es-ES" w:eastAsia="zh-CN"/>
        </w:rPr>
        <w:t>B. Siguranţă şi securitate</w:t>
      </w:r>
      <w:r w:rsidRPr="00426696">
        <w:rPr>
          <w:rFonts w:ascii="Arial" w:eastAsia="Calibri" w:hAnsi="Arial" w:cs="Arial"/>
          <w:color w:val="000000"/>
          <w:lang w:val="es-ES" w:eastAsia="zh-CN"/>
        </w:rPr>
        <w:t xml:space="preserve"> = Reducerea impactului negativ al sistemului de transport asupra sǎnǎtǎții, siguranței și securitǎții cetǎțenilor, îndeosebi a celor mai vulnerabili; </w:t>
      </w:r>
    </w:p>
    <w:p w14:paraId="5444C562" w14:textId="77777777" w:rsidR="00426696" w:rsidRPr="00426696" w:rsidRDefault="00426696" w:rsidP="00426696">
      <w:pPr>
        <w:suppressAutoHyphens/>
        <w:autoSpaceDE w:val="0"/>
        <w:spacing w:after="0" w:line="276" w:lineRule="auto"/>
        <w:jc w:val="both"/>
        <w:rPr>
          <w:rFonts w:ascii="Arial" w:eastAsia="Calibri" w:hAnsi="Arial" w:cs="Arial"/>
          <w:b/>
          <w:bCs/>
          <w:color w:val="000000"/>
          <w:lang w:val="es-ES" w:eastAsia="zh-CN"/>
        </w:rPr>
      </w:pPr>
      <w:r w:rsidRPr="00426696">
        <w:rPr>
          <w:rFonts w:ascii="Arial" w:eastAsia="Calibri" w:hAnsi="Arial" w:cs="Arial"/>
          <w:b/>
          <w:bCs/>
          <w:color w:val="000000"/>
          <w:lang w:val="es-ES" w:eastAsia="zh-CN"/>
        </w:rPr>
        <w:t>C. Mediu</w:t>
      </w:r>
      <w:r w:rsidRPr="00426696">
        <w:rPr>
          <w:rFonts w:ascii="Arial" w:eastAsia="Calibri" w:hAnsi="Arial" w:cs="Arial"/>
          <w:color w:val="000000"/>
          <w:lang w:val="es-ES" w:eastAsia="zh-CN"/>
        </w:rPr>
        <w:t xml:space="preserve"> = Reducerea poluǎrii aerului și a emisiilor fonice, a emisiilor de gaze cu efect de serǎ și a consumului energetic; </w:t>
      </w:r>
    </w:p>
    <w:p w14:paraId="6D5515F1" w14:textId="77777777" w:rsidR="00426696" w:rsidRPr="00426696" w:rsidRDefault="00426696" w:rsidP="00426696">
      <w:pPr>
        <w:suppressAutoHyphens/>
        <w:autoSpaceDE w:val="0"/>
        <w:spacing w:after="0" w:line="276" w:lineRule="auto"/>
        <w:jc w:val="both"/>
        <w:rPr>
          <w:rFonts w:ascii="Arial" w:eastAsia="Calibri" w:hAnsi="Arial" w:cs="Arial"/>
          <w:b/>
          <w:bCs/>
          <w:color w:val="000000"/>
          <w:lang w:val="es-ES" w:eastAsia="zh-CN"/>
        </w:rPr>
      </w:pPr>
      <w:r w:rsidRPr="00426696">
        <w:rPr>
          <w:rFonts w:ascii="Arial" w:eastAsia="Calibri" w:hAnsi="Arial" w:cs="Arial"/>
          <w:b/>
          <w:bCs/>
          <w:color w:val="000000"/>
          <w:lang w:val="es-ES" w:eastAsia="zh-CN"/>
        </w:rPr>
        <w:t>D. Eficienţa economică</w:t>
      </w:r>
      <w:r w:rsidRPr="00426696">
        <w:rPr>
          <w:rFonts w:ascii="Arial" w:eastAsia="Calibri" w:hAnsi="Arial" w:cs="Arial"/>
          <w:color w:val="000000"/>
          <w:lang w:val="es-ES" w:eastAsia="zh-CN"/>
        </w:rPr>
        <w:t xml:space="preserve"> = Îmbunǎtǎțirea eficienței și a raportului cost-eficiențǎ a transportului de persoane și de marfǎ, luând în considerare costurile externe; </w:t>
      </w:r>
    </w:p>
    <w:p w14:paraId="7437BA7B" w14:textId="77777777" w:rsidR="00426696" w:rsidRPr="00426696" w:rsidRDefault="00426696" w:rsidP="00426696">
      <w:pPr>
        <w:suppressAutoHyphens/>
        <w:autoSpaceDE w:val="0"/>
        <w:spacing w:after="0" w:line="276" w:lineRule="auto"/>
        <w:jc w:val="both"/>
        <w:rPr>
          <w:rFonts w:ascii="Arial" w:eastAsia="Calibri" w:hAnsi="Arial" w:cs="Arial"/>
          <w:color w:val="000000"/>
          <w:sz w:val="24"/>
          <w:szCs w:val="24"/>
          <w:lang w:val="es-ES" w:eastAsia="zh-CN"/>
        </w:rPr>
      </w:pPr>
      <w:r w:rsidRPr="00426696">
        <w:rPr>
          <w:rFonts w:ascii="Arial" w:eastAsia="Calibri" w:hAnsi="Arial" w:cs="Arial"/>
          <w:b/>
          <w:bCs/>
          <w:color w:val="000000"/>
          <w:lang w:val="es-ES" w:eastAsia="zh-CN"/>
        </w:rPr>
        <w:t>E. Calitatea mediului urban</w:t>
      </w:r>
      <w:r w:rsidRPr="00426696">
        <w:rPr>
          <w:rFonts w:ascii="Arial" w:eastAsia="Calibri" w:hAnsi="Arial" w:cs="Arial"/>
          <w:color w:val="000000"/>
          <w:lang w:val="es-ES" w:eastAsia="zh-CN"/>
        </w:rPr>
        <w:t xml:space="preserve"> = Contribuirea la înfrumusețarea atractivitǎții și calitǎții mediului și aspectului urban.</w:t>
      </w:r>
      <w:r w:rsidRPr="00426696">
        <w:rPr>
          <w:rFonts w:ascii="Arial" w:eastAsia="Calibri" w:hAnsi="Arial" w:cs="Arial"/>
          <w:color w:val="000000"/>
          <w:sz w:val="24"/>
          <w:szCs w:val="24"/>
          <w:lang w:val="es-ES" w:eastAsia="zh-CN"/>
        </w:rPr>
        <w:t xml:space="preserve">  </w:t>
      </w:r>
    </w:p>
    <w:p w14:paraId="18F9EB4F" w14:textId="77777777" w:rsidR="00426696" w:rsidRPr="00426696" w:rsidRDefault="00426696" w:rsidP="00426696">
      <w:pPr>
        <w:widowControl w:val="0"/>
        <w:suppressAutoHyphens/>
        <w:autoSpaceDE w:val="0"/>
        <w:spacing w:after="0" w:line="360" w:lineRule="auto"/>
        <w:jc w:val="both"/>
        <w:rPr>
          <w:rFonts w:ascii="Arial" w:hAnsi="Arial" w:cs="Arial"/>
          <w:color w:val="000000"/>
          <w:kern w:val="1"/>
          <w:sz w:val="20"/>
          <w:szCs w:val="24"/>
          <w:lang w:val="es-ES" w:eastAsia="hi-IN" w:bidi="hi-IN"/>
        </w:rPr>
      </w:pPr>
    </w:p>
    <w:p w14:paraId="46C4FB75" w14:textId="77777777" w:rsidR="00426696" w:rsidRPr="00426696" w:rsidRDefault="00426696" w:rsidP="00426696">
      <w:pPr>
        <w:autoSpaceDE w:val="0"/>
        <w:autoSpaceDN w:val="0"/>
        <w:adjustRightInd w:val="0"/>
        <w:spacing w:after="0" w:line="276" w:lineRule="auto"/>
        <w:jc w:val="both"/>
        <w:rPr>
          <w:rFonts w:ascii="Arial" w:eastAsia="Times New Roman" w:hAnsi="Arial" w:cs="Arial"/>
          <w:lang w:val="es-ES"/>
        </w:rPr>
      </w:pPr>
      <w:r w:rsidRPr="00426696">
        <w:rPr>
          <w:rFonts w:ascii="Arial" w:eastAsia="Times New Roman" w:hAnsi="Arial" w:cs="Arial"/>
          <w:lang w:val="es-ES"/>
        </w:rPr>
        <w:t xml:space="preserve">Cei mai importanți indicatori de impact propuși spre rezolvare de către toți actorii sociali din cadrul orasului și ai celorlalte localități sunt în strânsa relație cu Strategia de dezvoltare a </w:t>
      </w:r>
      <w:r w:rsidRPr="00426696">
        <w:rPr>
          <w:rFonts w:ascii="Arial" w:eastAsia="Times New Roman" w:hAnsi="Arial" w:cs="Arial"/>
          <w:lang w:val="es-ES"/>
        </w:rPr>
        <w:lastRenderedPageBreak/>
        <w:t>regiunii Sud-Vest Oltenia, Planul Național de Dezvoltare, Cadrul Național Strategic de Referință, Strategia loc</w:t>
      </w:r>
      <w:r w:rsidR="00E76C39">
        <w:rPr>
          <w:rFonts w:ascii="Arial" w:eastAsia="Times New Roman" w:hAnsi="Arial" w:cs="Arial"/>
          <w:lang w:val="es-ES"/>
        </w:rPr>
        <w:t>ală de dezvoltare prin importanţa</w:t>
      </w:r>
      <w:r w:rsidRPr="00426696">
        <w:rPr>
          <w:rFonts w:ascii="Arial" w:eastAsia="Times New Roman" w:hAnsi="Arial" w:cs="Arial"/>
          <w:lang w:val="es-ES"/>
        </w:rPr>
        <w:t xml:space="preserve"> lor:</w:t>
      </w:r>
    </w:p>
    <w:p w14:paraId="0DEF9578" w14:textId="77777777" w:rsidR="00426696" w:rsidRPr="00426696" w:rsidRDefault="00426696" w:rsidP="000C6CB8">
      <w:pPr>
        <w:numPr>
          <w:ilvl w:val="0"/>
          <w:numId w:val="164"/>
        </w:numPr>
        <w:suppressAutoHyphens/>
        <w:spacing w:after="0" w:line="276" w:lineRule="auto"/>
        <w:rPr>
          <w:rFonts w:ascii="Segoe UI" w:eastAsia="Times New Roman" w:hAnsi="Segoe UI" w:cs="Segoe UI"/>
          <w:color w:val="000000"/>
          <w:lang w:eastAsia="zh-CN"/>
        </w:rPr>
      </w:pPr>
      <w:r w:rsidRPr="00426696">
        <w:rPr>
          <w:rFonts w:ascii="Arial" w:eastAsia="Times New Roman" w:hAnsi="Arial" w:cs="Arial"/>
          <w:color w:val="000000"/>
          <w:lang w:val="es-ES" w:eastAsia="zh-CN"/>
        </w:rPr>
        <w:t>Protecția sănătății populației</w:t>
      </w:r>
    </w:p>
    <w:p w14:paraId="3B45C787" w14:textId="77777777" w:rsidR="00426696" w:rsidRPr="00426696" w:rsidRDefault="00426696" w:rsidP="000C6CB8">
      <w:pPr>
        <w:numPr>
          <w:ilvl w:val="0"/>
          <w:numId w:val="164"/>
        </w:numPr>
        <w:suppressAutoHyphens/>
        <w:spacing w:after="0" w:line="276" w:lineRule="auto"/>
        <w:rPr>
          <w:rFonts w:ascii="Segoe UI" w:eastAsia="Times New Roman" w:hAnsi="Segoe UI" w:cs="Segoe UI"/>
          <w:color w:val="000000"/>
          <w:lang w:eastAsia="zh-CN"/>
        </w:rPr>
      </w:pPr>
      <w:r w:rsidRPr="00426696">
        <w:rPr>
          <w:rFonts w:ascii="Arial" w:eastAsia="Times New Roman" w:hAnsi="Arial" w:cs="Arial"/>
          <w:b/>
          <w:bCs/>
          <w:color w:val="000000"/>
          <w:lang w:val="es-ES" w:eastAsia="zh-CN"/>
        </w:rPr>
        <w:t>Rezolvarea problemelor legate de infrastructură</w:t>
      </w:r>
    </w:p>
    <w:p w14:paraId="7F0462F3" w14:textId="77777777" w:rsidR="00426696" w:rsidRPr="00426696" w:rsidRDefault="00426696" w:rsidP="000C6CB8">
      <w:pPr>
        <w:numPr>
          <w:ilvl w:val="0"/>
          <w:numId w:val="164"/>
        </w:numPr>
        <w:suppressAutoHyphens/>
        <w:spacing w:after="0" w:line="276" w:lineRule="auto"/>
        <w:rPr>
          <w:rFonts w:ascii="Segoe UI" w:eastAsia="Times New Roman" w:hAnsi="Segoe UI" w:cs="Segoe UI"/>
          <w:color w:val="000000"/>
          <w:lang w:eastAsia="zh-CN"/>
        </w:rPr>
      </w:pPr>
      <w:r w:rsidRPr="00426696">
        <w:rPr>
          <w:rFonts w:ascii="Arial" w:eastAsia="Times New Roman" w:hAnsi="Arial" w:cs="Arial"/>
          <w:color w:val="000000"/>
          <w:lang w:val="es-ES" w:eastAsia="zh-CN"/>
        </w:rPr>
        <w:t>Realizarea independenței energetice</w:t>
      </w:r>
    </w:p>
    <w:p w14:paraId="66550D78" w14:textId="77777777" w:rsidR="00426696" w:rsidRPr="00426696" w:rsidRDefault="00426696" w:rsidP="000C6CB8">
      <w:pPr>
        <w:numPr>
          <w:ilvl w:val="0"/>
          <w:numId w:val="164"/>
        </w:numPr>
        <w:suppressAutoHyphens/>
        <w:spacing w:after="0" w:line="276" w:lineRule="auto"/>
        <w:rPr>
          <w:rFonts w:ascii="Segoe UI" w:eastAsia="Times New Roman" w:hAnsi="Segoe UI" w:cs="Segoe UI"/>
          <w:color w:val="000000"/>
          <w:lang w:eastAsia="zh-CN"/>
        </w:rPr>
      </w:pPr>
      <w:r w:rsidRPr="00426696">
        <w:rPr>
          <w:rFonts w:ascii="Arial" w:eastAsia="Times New Roman" w:hAnsi="Arial" w:cs="Arial"/>
          <w:b/>
          <w:bCs/>
          <w:color w:val="000000"/>
          <w:lang w:val="es-ES" w:eastAsia="zh-CN"/>
        </w:rPr>
        <w:t>Protecția mediului</w:t>
      </w:r>
    </w:p>
    <w:p w14:paraId="67F2A4E9" w14:textId="77777777" w:rsidR="00426696" w:rsidRPr="00426696" w:rsidRDefault="00426696" w:rsidP="000C6CB8">
      <w:pPr>
        <w:numPr>
          <w:ilvl w:val="0"/>
          <w:numId w:val="164"/>
        </w:numPr>
        <w:suppressAutoHyphens/>
        <w:spacing w:after="0" w:line="276" w:lineRule="auto"/>
        <w:rPr>
          <w:rFonts w:ascii="Segoe UI" w:eastAsia="Times New Roman" w:hAnsi="Segoe UI" w:cs="Segoe UI"/>
          <w:color w:val="000000"/>
          <w:lang w:eastAsia="zh-CN"/>
        </w:rPr>
      </w:pPr>
      <w:r w:rsidRPr="00426696">
        <w:rPr>
          <w:rFonts w:ascii="Arial" w:eastAsia="Times New Roman" w:hAnsi="Arial" w:cs="Arial"/>
          <w:color w:val="000000"/>
          <w:lang w:val="es-ES" w:eastAsia="zh-CN"/>
        </w:rPr>
        <w:t>Crearea de noi locuri de muncă</w:t>
      </w:r>
    </w:p>
    <w:p w14:paraId="62AD6332" w14:textId="77777777" w:rsidR="00426696" w:rsidRPr="00426696" w:rsidRDefault="00426696" w:rsidP="000C6CB8">
      <w:pPr>
        <w:numPr>
          <w:ilvl w:val="0"/>
          <w:numId w:val="164"/>
        </w:numPr>
        <w:suppressAutoHyphens/>
        <w:spacing w:after="0" w:line="276" w:lineRule="auto"/>
        <w:rPr>
          <w:rFonts w:ascii="Segoe UI" w:eastAsia="Times New Roman" w:hAnsi="Segoe UI" w:cs="Segoe UI"/>
          <w:color w:val="000000"/>
          <w:lang w:eastAsia="zh-CN"/>
        </w:rPr>
      </w:pPr>
      <w:r w:rsidRPr="00426696">
        <w:rPr>
          <w:rFonts w:ascii="Arial" w:eastAsia="Times New Roman" w:hAnsi="Arial" w:cs="Arial"/>
          <w:color w:val="000000"/>
          <w:lang w:val="es-ES" w:eastAsia="zh-CN"/>
        </w:rPr>
        <w:t>Creșterea capacității capitalului uman</w:t>
      </w:r>
    </w:p>
    <w:p w14:paraId="30C36C3A" w14:textId="77777777" w:rsidR="00426696" w:rsidRPr="00426696" w:rsidRDefault="00426696" w:rsidP="000C6CB8">
      <w:pPr>
        <w:numPr>
          <w:ilvl w:val="0"/>
          <w:numId w:val="164"/>
        </w:numPr>
        <w:suppressAutoHyphens/>
        <w:spacing w:after="0" w:line="276" w:lineRule="auto"/>
        <w:rPr>
          <w:rFonts w:ascii="Segoe UI" w:eastAsia="Times New Roman" w:hAnsi="Segoe UI" w:cs="Segoe UI"/>
          <w:color w:val="000000"/>
          <w:lang w:eastAsia="zh-CN"/>
        </w:rPr>
      </w:pPr>
      <w:r w:rsidRPr="00426696">
        <w:rPr>
          <w:rFonts w:ascii="Arial" w:eastAsia="Times New Roman" w:hAnsi="Arial" w:cs="Arial"/>
          <w:color w:val="000000"/>
          <w:lang w:val="es-ES" w:eastAsia="zh-CN"/>
        </w:rPr>
        <w:t>Protecția persoanelor aflate în situații de risc</w:t>
      </w:r>
    </w:p>
    <w:p w14:paraId="541BB899" w14:textId="77777777" w:rsidR="00426696" w:rsidRPr="00426696" w:rsidRDefault="00426696" w:rsidP="000C6CB8">
      <w:pPr>
        <w:numPr>
          <w:ilvl w:val="0"/>
          <w:numId w:val="164"/>
        </w:numPr>
        <w:suppressAutoHyphens/>
        <w:spacing w:after="0" w:line="276" w:lineRule="auto"/>
        <w:rPr>
          <w:rFonts w:ascii="Segoe UI" w:eastAsia="Times New Roman" w:hAnsi="Segoe UI" w:cs="Segoe UI"/>
          <w:color w:val="000000"/>
          <w:lang w:eastAsia="zh-CN"/>
        </w:rPr>
      </w:pPr>
      <w:r w:rsidRPr="00426696">
        <w:rPr>
          <w:rFonts w:ascii="Arial" w:eastAsia="Times New Roman" w:hAnsi="Arial" w:cs="Arial"/>
          <w:color w:val="000000"/>
          <w:lang w:val="es-ES" w:eastAsia="zh-CN"/>
        </w:rPr>
        <w:t>Păstrarea tradițiilor</w:t>
      </w:r>
    </w:p>
    <w:p w14:paraId="4685A304" w14:textId="77777777" w:rsidR="00426696" w:rsidRPr="00426696" w:rsidRDefault="00426696" w:rsidP="000C6CB8">
      <w:pPr>
        <w:numPr>
          <w:ilvl w:val="0"/>
          <w:numId w:val="164"/>
        </w:numPr>
        <w:suppressAutoHyphens/>
        <w:spacing w:after="0" w:line="276" w:lineRule="auto"/>
        <w:jc w:val="both"/>
        <w:rPr>
          <w:rFonts w:ascii="Segoe UI" w:eastAsia="Times New Roman" w:hAnsi="Segoe UI" w:cs="Segoe UI"/>
          <w:color w:val="000000"/>
          <w:lang w:eastAsia="zh-CN"/>
        </w:rPr>
      </w:pPr>
      <w:r w:rsidRPr="00426696">
        <w:rPr>
          <w:rFonts w:ascii="Arial" w:eastAsia="Times New Roman" w:hAnsi="Arial" w:cs="Arial"/>
          <w:color w:val="000000"/>
          <w:lang w:val="es-ES" w:eastAsia="zh-CN"/>
        </w:rPr>
        <w:t>Îmbunatatirea relațiilor interetnice.</w:t>
      </w:r>
    </w:p>
    <w:p w14:paraId="0FCBBDB4" w14:textId="77777777" w:rsidR="00426696" w:rsidRPr="00426696" w:rsidRDefault="00426696" w:rsidP="00426696">
      <w:pPr>
        <w:widowControl w:val="0"/>
        <w:suppressAutoHyphens/>
        <w:autoSpaceDE w:val="0"/>
        <w:spacing w:after="0" w:line="360" w:lineRule="auto"/>
        <w:jc w:val="both"/>
        <w:rPr>
          <w:rFonts w:ascii="Arial" w:eastAsia="Times New Roman" w:hAnsi="Arial" w:cs="Arial"/>
          <w:sz w:val="24"/>
          <w:szCs w:val="24"/>
          <w:lang w:val="es-ES"/>
        </w:rPr>
      </w:pPr>
    </w:p>
    <w:p w14:paraId="16394F6D" w14:textId="77777777" w:rsidR="00426696" w:rsidRPr="00426696" w:rsidRDefault="00426696" w:rsidP="00426696">
      <w:pPr>
        <w:suppressAutoHyphens/>
        <w:autoSpaceDE w:val="0"/>
        <w:spacing w:after="0" w:line="276" w:lineRule="auto"/>
        <w:jc w:val="both"/>
        <w:rPr>
          <w:rFonts w:ascii="Arial" w:eastAsia="Calibri" w:hAnsi="Arial" w:cs="Arial"/>
          <w:color w:val="000000"/>
          <w:lang w:val="es-ES" w:eastAsia="zh-CN"/>
        </w:rPr>
      </w:pPr>
      <w:r w:rsidRPr="00426696">
        <w:rPr>
          <w:rFonts w:ascii="Arial" w:eastAsia="Times New Roman" w:hAnsi="Arial" w:cs="Arial"/>
          <w:color w:val="000000"/>
          <w:lang w:val="es-ES" w:eastAsia="ro-RO"/>
        </w:rPr>
        <w:t xml:space="preserve">Viziunea este o </w:t>
      </w:r>
      <w:r w:rsidRPr="00426696">
        <w:rPr>
          <w:rFonts w:ascii="Arial" w:eastAsia="Times New Roman" w:hAnsi="Arial" w:cs="Arial"/>
          <w:b/>
          <w:color w:val="000000"/>
          <w:lang w:val="es-ES" w:eastAsia="ro-RO"/>
        </w:rPr>
        <w:t xml:space="preserve">descriere calitativă </w:t>
      </w:r>
      <w:r w:rsidRPr="00426696">
        <w:rPr>
          <w:rFonts w:ascii="Arial" w:eastAsia="Times New Roman" w:hAnsi="Arial" w:cs="Arial"/>
          <w:color w:val="000000"/>
          <w:lang w:val="es-ES" w:eastAsia="ro-RO"/>
        </w:rPr>
        <w:t xml:space="preserve">a unui viitor dorit; această abordare nu este însă suficientă pentru consistenţa PMUD – care nu poate fi o construcţie calitativă; PMUD va fi implementat: </w:t>
      </w:r>
    </w:p>
    <w:p w14:paraId="2FA8C272" w14:textId="77777777" w:rsidR="00426696" w:rsidRPr="00426696" w:rsidRDefault="00426696" w:rsidP="000C6CB8">
      <w:pPr>
        <w:widowControl w:val="0"/>
        <w:numPr>
          <w:ilvl w:val="0"/>
          <w:numId w:val="165"/>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în contextul unor estimări pertinente, </w:t>
      </w:r>
    </w:p>
    <w:p w14:paraId="78384B94" w14:textId="77777777" w:rsidR="00426696" w:rsidRPr="00426696" w:rsidRDefault="00426696" w:rsidP="000C6CB8">
      <w:pPr>
        <w:widowControl w:val="0"/>
        <w:numPr>
          <w:ilvl w:val="0"/>
          <w:numId w:val="165"/>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cu valori de impact diferenţiate pentru zone specifice ale oraşului, </w:t>
      </w:r>
    </w:p>
    <w:p w14:paraId="22B86780" w14:textId="77777777" w:rsidR="00426696" w:rsidRPr="00426696" w:rsidRDefault="00426696" w:rsidP="000C6CB8">
      <w:pPr>
        <w:widowControl w:val="0"/>
        <w:numPr>
          <w:ilvl w:val="0"/>
          <w:numId w:val="165"/>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 xml:space="preserve">efectuate în domenii precizate, </w:t>
      </w:r>
    </w:p>
    <w:p w14:paraId="1767615C" w14:textId="77777777" w:rsidR="00426696" w:rsidRPr="00426696" w:rsidRDefault="00426696" w:rsidP="000C6CB8">
      <w:pPr>
        <w:widowControl w:val="0"/>
        <w:numPr>
          <w:ilvl w:val="0"/>
          <w:numId w:val="165"/>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cu intensităţi adecvate, adaptate ţintelor identificate ca lucrative, </w:t>
      </w:r>
    </w:p>
    <w:p w14:paraId="740EC150" w14:textId="77777777" w:rsidR="00426696" w:rsidRPr="00426696" w:rsidRDefault="00426696" w:rsidP="000C6CB8">
      <w:pPr>
        <w:widowControl w:val="0"/>
        <w:numPr>
          <w:ilvl w:val="0"/>
          <w:numId w:val="165"/>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pe baza unor resurse identificate, </w:t>
      </w:r>
    </w:p>
    <w:p w14:paraId="751B116C" w14:textId="77777777" w:rsidR="00426696" w:rsidRPr="00426696" w:rsidRDefault="00426696" w:rsidP="000C6CB8">
      <w:pPr>
        <w:widowControl w:val="0"/>
        <w:numPr>
          <w:ilvl w:val="0"/>
          <w:numId w:val="165"/>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în funcţie de căile care pot transforma situaţia mobilităţii către una în concordanţă cu dezvoltarea sustenabilă</w:t>
      </w:r>
    </w:p>
    <w:p w14:paraId="2A7843B6" w14:textId="77777777" w:rsidR="00426696" w:rsidRPr="00426696" w:rsidRDefault="00426696" w:rsidP="000C6CB8">
      <w:pPr>
        <w:widowControl w:val="0"/>
        <w:numPr>
          <w:ilvl w:val="0"/>
          <w:numId w:val="165"/>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 xml:space="preserve">etc., </w:t>
      </w:r>
    </w:p>
    <w:p w14:paraId="62CA711C" w14:textId="77777777" w:rsidR="00426696" w:rsidRPr="00426696" w:rsidRDefault="00426696" w:rsidP="00426696">
      <w:pPr>
        <w:suppressAutoHyphens/>
        <w:autoSpaceDE w:val="0"/>
        <w:spacing w:after="0" w:line="360"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însă </w:t>
      </w:r>
      <w:r w:rsidRPr="00426696">
        <w:rPr>
          <w:rFonts w:ascii="Arial" w:eastAsia="Calibri" w:hAnsi="Arial" w:cs="Arial"/>
          <w:b/>
          <w:color w:val="000000"/>
          <w:lang w:val="es-ES" w:eastAsia="zh-CN"/>
        </w:rPr>
        <w:t xml:space="preserve">explicitările trebuie să fie cantitative </w:t>
      </w:r>
      <w:r w:rsidRPr="00426696">
        <w:rPr>
          <w:rFonts w:ascii="Arial" w:eastAsia="Calibri" w:hAnsi="Arial" w:cs="Arial"/>
          <w:color w:val="000000"/>
          <w:lang w:val="es-ES" w:eastAsia="zh-CN"/>
        </w:rPr>
        <w:t xml:space="preserve">– chiar dacă asupra acţiunilor planează un oarecare grad de incertitudine. </w:t>
      </w:r>
    </w:p>
    <w:p w14:paraId="0B6230C4" w14:textId="77777777" w:rsidR="00426696" w:rsidRPr="00426696" w:rsidRDefault="00426696" w:rsidP="00426696">
      <w:pPr>
        <w:suppressAutoHyphens/>
        <w:autoSpaceDE w:val="0"/>
        <w:spacing w:after="0" w:line="360" w:lineRule="auto"/>
        <w:jc w:val="both"/>
        <w:rPr>
          <w:rFonts w:ascii="Arial" w:eastAsia="Calibri" w:hAnsi="Arial" w:cs="Arial"/>
          <w:color w:val="000000"/>
          <w:lang w:val="es-ES" w:eastAsia="zh-CN"/>
        </w:rPr>
      </w:pPr>
    </w:p>
    <w:p w14:paraId="50F590C4" w14:textId="77777777" w:rsidR="00426696" w:rsidRPr="00426696" w:rsidRDefault="00426696" w:rsidP="00E76C39">
      <w:p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Viziunea trebuie să fie privită ca un ansamblu „LEGISLATIV” al mobilităţii sustenabile pentru Horezu; continuarea naturală a viziunii trebuie să fie „REGLEMENTĂRILE DE APLICARE” pe teritoriul analizat, adică acel cadru care </w:t>
      </w:r>
      <w:r w:rsidRPr="00426696">
        <w:rPr>
          <w:rFonts w:ascii="Arial" w:eastAsia="Calibri" w:hAnsi="Arial" w:cs="Arial"/>
          <w:b/>
          <w:color w:val="000000"/>
          <w:lang w:val="es-ES" w:eastAsia="zh-CN"/>
        </w:rPr>
        <w:t xml:space="preserve">specificând priorităţile, să evidenţieze rezultatele </w:t>
      </w:r>
      <w:r w:rsidRPr="00426696">
        <w:rPr>
          <w:rFonts w:ascii="Arial" w:eastAsia="Calibri" w:hAnsi="Arial" w:cs="Arial"/>
          <w:color w:val="000000"/>
          <w:lang w:val="es-ES" w:eastAsia="zh-CN"/>
        </w:rPr>
        <w:t xml:space="preserve">ce caracterizează transpunerea viziunii în realitate (într-o marjă de eroare acceptabilă): obiectivelor generice, care indică tipul schimbărilor dorite – iar în cele din urmă, a schimbărilor realizate – trebuie să le fie măsuraţi parametrii, astfel constituindu-se posibilitatea corectării / dirijării procesului. </w:t>
      </w:r>
    </w:p>
    <w:p w14:paraId="77BF8691" w14:textId="77777777" w:rsidR="00426696" w:rsidRPr="00426696" w:rsidRDefault="00426696" w:rsidP="00426696">
      <w:pPr>
        <w:suppressAutoHyphens/>
        <w:autoSpaceDE w:val="0"/>
        <w:spacing w:after="0" w:line="360" w:lineRule="auto"/>
        <w:jc w:val="both"/>
        <w:rPr>
          <w:rFonts w:ascii="EUAlbertina" w:eastAsia="Calibri" w:hAnsi="EUAlbertina" w:cs="EUAlbertina"/>
          <w:color w:val="000000"/>
          <w:sz w:val="24"/>
          <w:szCs w:val="24"/>
          <w:lang w:val="es-ES" w:eastAsia="zh-CN"/>
        </w:rPr>
      </w:pPr>
    </w:p>
    <w:p w14:paraId="099A60F0" w14:textId="77777777" w:rsidR="00426696" w:rsidRPr="00426696" w:rsidRDefault="00426696" w:rsidP="00426696">
      <w:pPr>
        <w:suppressAutoHyphens/>
        <w:autoSpaceDE w:val="0"/>
        <w:spacing w:after="0" w:line="276" w:lineRule="auto"/>
        <w:jc w:val="both"/>
        <w:rPr>
          <w:rFonts w:ascii="EUAlbertina" w:eastAsia="Calibri" w:hAnsi="EUAlbertina" w:cs="EUAlbertina"/>
          <w:color w:val="000000"/>
          <w:lang w:val="es-ES" w:eastAsia="zh-CN"/>
        </w:rPr>
      </w:pPr>
      <w:r w:rsidRPr="00426696">
        <w:rPr>
          <w:rFonts w:ascii="Arial" w:eastAsia="Calibri" w:hAnsi="Arial" w:cs="Arial"/>
          <w:color w:val="000000"/>
          <w:lang w:val="es-ES" w:eastAsia="zh-CN"/>
        </w:rPr>
        <w:t>Definirea obiectivelor înseamnă specificarea acelor domenii sociale, de mediu sau economice necesare dezvoltării mobilităţii.</w:t>
      </w:r>
      <w:r w:rsidRPr="00426696">
        <w:rPr>
          <w:rFonts w:ascii="Arial" w:eastAsia="Calibri" w:hAnsi="Arial" w:cs="Arial"/>
          <w:b/>
          <w:color w:val="000000"/>
          <w:lang w:val="es-ES" w:eastAsia="zh-CN"/>
        </w:rPr>
        <w:t xml:space="preserve"> </w:t>
      </w:r>
    </w:p>
    <w:p w14:paraId="02859F33" w14:textId="77777777" w:rsidR="00426696" w:rsidRPr="00426696" w:rsidRDefault="00426696" w:rsidP="00426696">
      <w:pPr>
        <w:suppressAutoHyphens/>
        <w:autoSpaceDE w:val="0"/>
        <w:spacing w:after="0" w:line="276" w:lineRule="auto"/>
        <w:jc w:val="both"/>
        <w:rPr>
          <w:rFonts w:ascii="EUAlbertina" w:eastAsia="Calibri" w:hAnsi="EUAlbertina" w:cs="EUAlbertina"/>
          <w:color w:val="000000"/>
          <w:lang w:val="es-ES" w:eastAsia="zh-CN"/>
        </w:rPr>
      </w:pPr>
    </w:p>
    <w:p w14:paraId="5B3909FE" w14:textId="77777777" w:rsidR="00426696" w:rsidRPr="00426696" w:rsidRDefault="00426696" w:rsidP="00426696">
      <w:pPr>
        <w:suppressAutoHyphens/>
        <w:autoSpaceDE w:val="0"/>
        <w:spacing w:after="0" w:line="276" w:lineRule="auto"/>
        <w:jc w:val="both"/>
        <w:rPr>
          <w:rFonts w:ascii="EUAlbertina" w:eastAsia="Calibri" w:hAnsi="EUAlbertina" w:cs="EUAlbertina"/>
          <w:color w:val="000000"/>
          <w:lang w:val="es-ES" w:eastAsia="zh-CN"/>
        </w:rPr>
      </w:pPr>
      <w:r w:rsidRPr="00426696">
        <w:rPr>
          <w:rFonts w:ascii="Arial" w:eastAsia="Calibri" w:hAnsi="Arial" w:cs="Arial"/>
          <w:color w:val="000000"/>
          <w:lang w:val="es-ES" w:eastAsia="zh-CN"/>
        </w:rPr>
        <w:t xml:space="preserve">Obiectivele sunt scopurile de nivel superior ale PMUD (de exemplu, reducerea congestionării cauzate de autovehicule), în timp ce măsurile (de exemplu, construirea unei noi străzi) sunt mijloacele de a le realiza; în plus: măsurile trebuie fixate temporal, obiectivele nu. </w:t>
      </w:r>
    </w:p>
    <w:p w14:paraId="36414465" w14:textId="77777777" w:rsidR="00426696" w:rsidRPr="00426696" w:rsidRDefault="00426696" w:rsidP="00426696">
      <w:pPr>
        <w:suppressAutoHyphens/>
        <w:autoSpaceDE w:val="0"/>
        <w:spacing w:after="0" w:line="276" w:lineRule="auto"/>
        <w:jc w:val="both"/>
        <w:rPr>
          <w:rFonts w:ascii="EUAlbertina" w:eastAsia="Calibri" w:hAnsi="EUAlbertina" w:cs="EUAlbertina"/>
          <w:color w:val="000000"/>
          <w:sz w:val="24"/>
          <w:szCs w:val="24"/>
          <w:lang w:val="es-ES" w:eastAsia="zh-CN"/>
        </w:rPr>
      </w:pPr>
    </w:p>
    <w:p w14:paraId="00E9AF7C" w14:textId="77777777" w:rsidR="00426696" w:rsidRPr="00426696" w:rsidRDefault="00426696" w:rsidP="00426696">
      <w:pPr>
        <w:suppressAutoHyphens/>
        <w:autoSpaceDE w:val="0"/>
        <w:spacing w:after="0" w:line="276" w:lineRule="auto"/>
        <w:jc w:val="both"/>
        <w:rPr>
          <w:rFonts w:ascii="Arial" w:eastAsia="Arial" w:hAnsi="Arial" w:cs="Arial"/>
          <w:color w:val="000000"/>
          <w:lang w:val="es-ES" w:eastAsia="zh-CN"/>
        </w:rPr>
      </w:pPr>
      <w:r w:rsidRPr="00426696">
        <w:rPr>
          <w:rFonts w:ascii="Arial" w:eastAsia="Calibri" w:hAnsi="Arial" w:cs="Arial"/>
          <w:color w:val="000000"/>
          <w:lang w:val="es-ES" w:eastAsia="zh-CN"/>
        </w:rPr>
        <w:t xml:space="preserve">Reanalizând obiectivele principale ale viziunii echipa de cercetare INCERTRANS a concluzionat că pot fi încadrate între OBIECTIVELE OPERATIONALE următoarele 12 domenii: </w:t>
      </w:r>
    </w:p>
    <w:p w14:paraId="1FFDE4E4" w14:textId="77777777" w:rsidR="00426696" w:rsidRPr="00426696" w:rsidRDefault="00426696" w:rsidP="00426696">
      <w:pPr>
        <w:suppressAutoHyphens/>
        <w:autoSpaceDE w:val="0"/>
        <w:spacing w:after="0" w:line="360" w:lineRule="auto"/>
        <w:jc w:val="both"/>
        <w:rPr>
          <w:rFonts w:ascii="Arial" w:eastAsia="Calibri" w:hAnsi="Arial" w:cs="Arial"/>
          <w:strike/>
          <w:color w:val="000000"/>
          <w:lang w:val="es-ES" w:eastAsia="zh-CN"/>
        </w:rPr>
      </w:pPr>
      <w:r w:rsidRPr="00426696">
        <w:rPr>
          <w:rFonts w:ascii="Arial" w:eastAsia="Arial" w:hAnsi="Arial" w:cs="Arial"/>
          <w:color w:val="000000"/>
          <w:lang w:val="es-ES" w:eastAsia="zh-CN"/>
        </w:rPr>
        <w:lastRenderedPageBreak/>
        <w:t xml:space="preserve">I. </w:t>
      </w:r>
      <w:r w:rsidRPr="00426696">
        <w:rPr>
          <w:rFonts w:ascii="Arial" w:eastAsia="Calibri" w:hAnsi="Arial" w:cs="Arial"/>
          <w:color w:val="000000"/>
          <w:lang w:val="es-ES"/>
        </w:rPr>
        <w:t>Consolidarea capacităţii instituţionale</w:t>
      </w:r>
      <w:r w:rsidRPr="00426696">
        <w:rPr>
          <w:rFonts w:ascii="Arial" w:eastAsia="Calibri" w:hAnsi="Arial" w:cs="Arial"/>
          <w:color w:val="000000"/>
          <w:lang w:val="es-ES" w:eastAsia="zh-CN"/>
        </w:rPr>
        <w:t xml:space="preserve">; </w:t>
      </w:r>
    </w:p>
    <w:p w14:paraId="6A42C52F" w14:textId="77777777" w:rsidR="00426696" w:rsidRPr="00426696" w:rsidRDefault="00426696" w:rsidP="00426696">
      <w:pPr>
        <w:suppressAutoHyphens/>
        <w:autoSpaceDE w:val="0"/>
        <w:spacing w:after="0" w:line="360" w:lineRule="auto"/>
        <w:jc w:val="both"/>
        <w:rPr>
          <w:rFonts w:ascii="Arial" w:eastAsia="Arial" w:hAnsi="Arial" w:cs="Arial"/>
          <w:color w:val="000000"/>
          <w:lang w:val="es-ES" w:eastAsia="zh-CN"/>
        </w:rPr>
      </w:pPr>
      <w:r w:rsidRPr="00426696">
        <w:rPr>
          <w:rFonts w:ascii="Arial" w:eastAsia="Calibri" w:hAnsi="Arial" w:cs="Arial"/>
          <w:color w:val="000000"/>
          <w:lang w:val="es-ES"/>
        </w:rPr>
        <w:t>II. Transport rutier – utilizarea eficientă a spaţiului de drum</w:t>
      </w:r>
      <w:r w:rsidRPr="00426696">
        <w:rPr>
          <w:rFonts w:ascii="Arial" w:eastAsia="Calibri" w:hAnsi="Arial" w:cs="Arial"/>
          <w:color w:val="000000"/>
          <w:lang w:val="es-ES" w:eastAsia="zh-CN"/>
        </w:rPr>
        <w:t xml:space="preserve">; </w:t>
      </w:r>
    </w:p>
    <w:p w14:paraId="1E9396EC" w14:textId="77777777" w:rsidR="00426696" w:rsidRPr="00426696" w:rsidRDefault="00426696" w:rsidP="00426696">
      <w:pPr>
        <w:suppressAutoHyphens/>
        <w:autoSpaceDE w:val="0"/>
        <w:spacing w:after="0" w:line="360" w:lineRule="auto"/>
        <w:jc w:val="both"/>
        <w:rPr>
          <w:rFonts w:ascii="Arial" w:eastAsia="Arial" w:hAnsi="Arial" w:cs="Arial"/>
          <w:color w:val="000000"/>
          <w:lang w:eastAsia="zh-CN"/>
        </w:rPr>
      </w:pPr>
      <w:r w:rsidRPr="00426696">
        <w:rPr>
          <w:rFonts w:ascii="Arial" w:eastAsia="Calibri" w:hAnsi="Arial" w:cs="Arial"/>
          <w:color w:val="000000"/>
        </w:rPr>
        <w:t>III. ITS (Intelligent Transport Systems)</w:t>
      </w:r>
      <w:r w:rsidRPr="00426696">
        <w:rPr>
          <w:rFonts w:ascii="Arial" w:eastAsia="Calibri" w:hAnsi="Arial" w:cs="Arial"/>
          <w:color w:val="000000"/>
          <w:lang w:eastAsia="zh-CN"/>
        </w:rPr>
        <w:t xml:space="preserve">; </w:t>
      </w:r>
    </w:p>
    <w:p w14:paraId="1F119AAD" w14:textId="77777777" w:rsidR="00426696" w:rsidRPr="00426696" w:rsidRDefault="00426696" w:rsidP="00426696">
      <w:pPr>
        <w:suppressAutoHyphens/>
        <w:autoSpaceDE w:val="0"/>
        <w:spacing w:after="0" w:line="360" w:lineRule="auto"/>
        <w:jc w:val="both"/>
        <w:rPr>
          <w:rFonts w:ascii="Arial" w:eastAsia="Arial" w:hAnsi="Arial" w:cs="Arial"/>
          <w:color w:val="000000"/>
          <w:lang w:val="es-ES" w:eastAsia="zh-CN"/>
        </w:rPr>
      </w:pPr>
      <w:r w:rsidRPr="00426696">
        <w:rPr>
          <w:rFonts w:ascii="Arial" w:eastAsia="Calibri" w:hAnsi="Arial" w:cs="Arial"/>
          <w:color w:val="000000"/>
          <w:lang w:val="es-ES" w:eastAsia="zh-CN"/>
        </w:rPr>
        <w:t xml:space="preserve">IV. Dezvoltarea formelor de transport durabil (mai puţin poluante) </w:t>
      </w:r>
      <w:r w:rsidRPr="00426696">
        <w:rPr>
          <w:rFonts w:ascii="Arial" w:eastAsia="Calibri" w:hAnsi="Arial" w:cs="Arial"/>
          <w:color w:val="000000"/>
          <w:lang w:val="es-ES"/>
        </w:rPr>
        <w:t>– micromobilitatea, mersul pe jos / cu bicicleta pentru crearea unui mediu urban de calitate</w:t>
      </w:r>
      <w:r w:rsidRPr="00426696">
        <w:rPr>
          <w:rFonts w:ascii="Arial" w:eastAsia="Calibri" w:hAnsi="Arial" w:cs="Arial"/>
          <w:color w:val="000000"/>
          <w:lang w:val="es-ES" w:eastAsia="zh-CN"/>
        </w:rPr>
        <w:t xml:space="preserve">; </w:t>
      </w:r>
    </w:p>
    <w:p w14:paraId="0167A882" w14:textId="77777777" w:rsidR="00426696" w:rsidRPr="00426696" w:rsidRDefault="00426696" w:rsidP="00426696">
      <w:pPr>
        <w:suppressAutoHyphens/>
        <w:autoSpaceDE w:val="0"/>
        <w:spacing w:after="0" w:line="360" w:lineRule="auto"/>
        <w:jc w:val="both"/>
        <w:rPr>
          <w:rFonts w:ascii="Arial" w:eastAsia="Arial" w:hAnsi="Arial" w:cs="Arial"/>
          <w:color w:val="000000"/>
          <w:lang w:val="es-ES" w:eastAsia="zh-CN"/>
        </w:rPr>
      </w:pPr>
      <w:r w:rsidRPr="00426696">
        <w:rPr>
          <w:rFonts w:ascii="Arial" w:eastAsia="Calibri" w:hAnsi="Arial" w:cs="Arial"/>
          <w:color w:val="000000"/>
          <w:lang w:val="es-ES"/>
        </w:rPr>
        <w:t>V. Managementul mobilităţii;</w:t>
      </w:r>
      <w:r w:rsidRPr="00426696">
        <w:rPr>
          <w:rFonts w:ascii="Arial" w:eastAsia="Calibri" w:hAnsi="Arial" w:cs="Arial"/>
          <w:color w:val="000000"/>
          <w:lang w:val="es-ES" w:eastAsia="zh-CN"/>
        </w:rPr>
        <w:t xml:space="preserve"> </w:t>
      </w:r>
    </w:p>
    <w:p w14:paraId="00B8258C" w14:textId="77777777" w:rsidR="00426696" w:rsidRPr="00426696" w:rsidRDefault="00426696" w:rsidP="00426696">
      <w:pPr>
        <w:suppressAutoHyphens/>
        <w:autoSpaceDE w:val="0"/>
        <w:spacing w:after="0" w:line="360" w:lineRule="auto"/>
        <w:jc w:val="both"/>
        <w:rPr>
          <w:rFonts w:ascii="Arial" w:eastAsia="Arial" w:hAnsi="Arial" w:cs="Arial"/>
          <w:color w:val="000000"/>
          <w:lang w:val="es-ES" w:eastAsia="zh-CN"/>
        </w:rPr>
      </w:pPr>
      <w:r w:rsidRPr="00426696">
        <w:rPr>
          <w:rFonts w:ascii="Arial" w:eastAsia="Calibri" w:hAnsi="Arial" w:cs="Arial"/>
          <w:color w:val="000000"/>
          <w:lang w:val="es-ES"/>
        </w:rPr>
        <w:t>VI. Îmbunătăţirea integrării dintre transport şi planificarea urbană</w:t>
      </w:r>
      <w:r w:rsidRPr="00426696">
        <w:rPr>
          <w:rFonts w:ascii="Arial" w:eastAsia="Calibri" w:hAnsi="Arial" w:cs="Arial"/>
          <w:color w:val="000000"/>
          <w:lang w:val="es-ES" w:eastAsia="zh-CN"/>
        </w:rPr>
        <w:t xml:space="preserve">; </w:t>
      </w:r>
    </w:p>
    <w:p w14:paraId="338526AE" w14:textId="77777777" w:rsidR="00426696" w:rsidRPr="00426696" w:rsidRDefault="00426696" w:rsidP="00426696">
      <w:pPr>
        <w:suppressAutoHyphens/>
        <w:autoSpaceDE w:val="0"/>
        <w:spacing w:after="0" w:line="360" w:lineRule="auto"/>
        <w:jc w:val="both"/>
        <w:rPr>
          <w:rFonts w:ascii="Arial" w:eastAsia="Arial" w:hAnsi="Arial" w:cs="Arial"/>
          <w:color w:val="000000"/>
          <w:lang w:val="es-ES" w:eastAsia="zh-CN"/>
        </w:rPr>
      </w:pPr>
      <w:r w:rsidRPr="00426696">
        <w:rPr>
          <w:rFonts w:ascii="Arial" w:eastAsia="Calibri" w:hAnsi="Arial" w:cs="Arial"/>
          <w:color w:val="000000"/>
          <w:lang w:val="es-ES" w:eastAsia="zh-CN"/>
        </w:rPr>
        <w:t xml:space="preserve">VII. Inovarea managementului parcărilor; </w:t>
      </w:r>
    </w:p>
    <w:p w14:paraId="1629B6BE" w14:textId="77777777" w:rsidR="00426696" w:rsidRPr="00426696" w:rsidRDefault="00426696" w:rsidP="00426696">
      <w:pPr>
        <w:suppressAutoHyphens/>
        <w:autoSpaceDE w:val="0"/>
        <w:spacing w:after="0" w:line="360" w:lineRule="auto"/>
        <w:jc w:val="both"/>
        <w:rPr>
          <w:rFonts w:ascii="Arial" w:eastAsia="Arial" w:hAnsi="Arial" w:cs="Arial"/>
          <w:color w:val="000000"/>
          <w:lang w:val="es-ES" w:eastAsia="zh-CN"/>
        </w:rPr>
      </w:pPr>
      <w:r w:rsidRPr="00426696">
        <w:rPr>
          <w:rFonts w:ascii="Arial" w:eastAsia="Calibri" w:hAnsi="Arial" w:cs="Arial"/>
          <w:color w:val="000000"/>
          <w:lang w:val="es-ES" w:eastAsia="zh-CN"/>
        </w:rPr>
        <w:t xml:space="preserve">VIII. Îmbunătăţirea siguranţei rutiere </w:t>
      </w:r>
      <w:r w:rsidRPr="00426696">
        <w:rPr>
          <w:rFonts w:ascii="Arial" w:eastAsia="Calibri" w:hAnsi="Arial" w:cs="Arial"/>
          <w:color w:val="000000"/>
          <w:lang w:val="es-ES"/>
        </w:rPr>
        <w:t>cu accent pe utilizatorii vulnerabili ai drumurilor</w:t>
      </w:r>
      <w:r w:rsidRPr="00426696">
        <w:rPr>
          <w:rFonts w:ascii="Arial" w:eastAsia="Calibri" w:hAnsi="Arial" w:cs="Arial"/>
          <w:color w:val="000000"/>
          <w:lang w:val="es-ES" w:eastAsia="zh-CN"/>
        </w:rPr>
        <w:t xml:space="preserve">; </w:t>
      </w:r>
    </w:p>
    <w:p w14:paraId="595453D4" w14:textId="77777777" w:rsidR="00426696" w:rsidRPr="00426696" w:rsidRDefault="00426696" w:rsidP="00426696">
      <w:pPr>
        <w:suppressAutoHyphens/>
        <w:autoSpaceDE w:val="0"/>
        <w:spacing w:after="0" w:line="360" w:lineRule="auto"/>
        <w:jc w:val="both"/>
        <w:rPr>
          <w:rFonts w:ascii="Arial" w:eastAsia="Arial" w:hAnsi="Arial" w:cs="Arial"/>
          <w:color w:val="000000"/>
          <w:lang w:val="es-ES" w:eastAsia="zh-CN"/>
        </w:rPr>
      </w:pPr>
      <w:r w:rsidRPr="00426696">
        <w:rPr>
          <w:rFonts w:ascii="Arial" w:eastAsia="Calibri" w:hAnsi="Arial" w:cs="Arial"/>
          <w:color w:val="000000"/>
          <w:lang w:val="es-ES" w:eastAsia="zh-CN"/>
        </w:rPr>
        <w:t xml:space="preserve">IX. Îmbunătăţirea infrastructurii rutiere a oraşului; </w:t>
      </w:r>
    </w:p>
    <w:p w14:paraId="1320C213" w14:textId="77777777" w:rsidR="00426696" w:rsidRPr="00426696" w:rsidRDefault="00426696" w:rsidP="00426696">
      <w:pPr>
        <w:suppressAutoHyphens/>
        <w:autoSpaceDE w:val="0"/>
        <w:spacing w:after="0" w:line="360"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X. Dezvoltarea sistemului local de transport public: </w:t>
      </w:r>
    </w:p>
    <w:p w14:paraId="6AC20ACC" w14:textId="77777777" w:rsidR="00426696" w:rsidRPr="00426696" w:rsidRDefault="00426696" w:rsidP="00426696">
      <w:pPr>
        <w:suppressAutoHyphens/>
        <w:autoSpaceDE w:val="0"/>
        <w:spacing w:after="0" w:line="360" w:lineRule="auto"/>
        <w:jc w:val="both"/>
        <w:rPr>
          <w:rFonts w:ascii="Arial" w:eastAsia="Arial" w:hAnsi="Arial" w:cs="Arial"/>
          <w:color w:val="000000"/>
          <w:lang w:val="es-ES" w:eastAsia="zh-CN"/>
        </w:rPr>
      </w:pPr>
      <w:r w:rsidRPr="00426696">
        <w:rPr>
          <w:rFonts w:ascii="Arial" w:eastAsia="Calibri" w:hAnsi="Arial" w:cs="Arial"/>
          <w:color w:val="000000"/>
          <w:lang w:val="es-ES"/>
        </w:rPr>
        <w:t>XI. Logistica urbană;</w:t>
      </w:r>
      <w:r w:rsidRPr="00426696">
        <w:rPr>
          <w:rFonts w:ascii="Arial" w:eastAsia="Calibri" w:hAnsi="Arial" w:cs="Arial"/>
          <w:color w:val="000000"/>
          <w:lang w:val="es-ES" w:eastAsia="zh-CN"/>
        </w:rPr>
        <w:t xml:space="preserve"> </w:t>
      </w:r>
    </w:p>
    <w:p w14:paraId="31252148" w14:textId="77777777" w:rsidR="00426696" w:rsidRPr="00426696" w:rsidRDefault="00426696" w:rsidP="00426696">
      <w:pPr>
        <w:suppressAutoHyphens/>
        <w:autoSpaceDE w:val="0"/>
        <w:spacing w:after="0" w:line="360"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XII. Asigurarea condiţiilor pentru o intermodalitate superioară a serviciilor de transport prin care se efectuează prestaţia pe teritoriul oraşului (respectiv interoperaţionalitatea cu transportul judeţean și cel interurban). </w:t>
      </w:r>
    </w:p>
    <w:p w14:paraId="787A9394" w14:textId="77777777" w:rsidR="00426696" w:rsidRPr="00426696" w:rsidRDefault="00426696" w:rsidP="00426696">
      <w:pPr>
        <w:suppressAutoHyphens/>
        <w:autoSpaceDE w:val="0"/>
        <w:spacing w:after="0" w:line="360" w:lineRule="auto"/>
        <w:rPr>
          <w:rFonts w:ascii="Arial" w:eastAsia="Calibri" w:hAnsi="Arial" w:cs="Arial"/>
          <w:color w:val="000000"/>
          <w:sz w:val="24"/>
          <w:szCs w:val="24"/>
          <w:lang w:val="es-ES" w:eastAsia="zh-CN"/>
        </w:rPr>
      </w:pPr>
    </w:p>
    <w:p w14:paraId="117C9F76" w14:textId="77777777" w:rsidR="00426696" w:rsidRPr="00426696" w:rsidRDefault="00426696" w:rsidP="00426696">
      <w:p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La nivel urban,</w:t>
      </w:r>
      <w:r w:rsidR="00E76C39">
        <w:rPr>
          <w:rFonts w:ascii="Arial" w:eastAsia="Calibri" w:hAnsi="Arial" w:cs="Arial"/>
          <w:color w:val="000000"/>
          <w:lang w:val="es-ES" w:eastAsia="zh-CN"/>
        </w:rPr>
        <w:t xml:space="preserve"> prin implementarea PMUD se urmăresc următoarele obiective operaţionale care să conducă</w:t>
      </w:r>
      <w:r w:rsidRPr="00426696">
        <w:rPr>
          <w:rFonts w:ascii="Arial" w:eastAsia="Calibri" w:hAnsi="Arial" w:cs="Arial"/>
          <w:color w:val="000000"/>
          <w:lang w:val="es-ES" w:eastAsia="zh-CN"/>
        </w:rPr>
        <w:t xml:space="preserve"> la atingerea obiectivelor principale:</w:t>
      </w:r>
    </w:p>
    <w:p w14:paraId="74FE2DBB"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reducerea congestiei;</w:t>
      </w:r>
    </w:p>
    <w:p w14:paraId="562D6428"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introducerea sistemului de transport public;</w:t>
      </w:r>
    </w:p>
    <w:p w14:paraId="26682AE0" w14:textId="77777777" w:rsidR="00426696" w:rsidRPr="00426696" w:rsidRDefault="00E76C39" w:rsidP="00426696">
      <w:pPr>
        <w:widowControl w:val="0"/>
        <w:numPr>
          <w:ilvl w:val="0"/>
          <w:numId w:val="72"/>
        </w:numPr>
        <w:suppressAutoHyphens/>
        <w:autoSpaceDE w:val="0"/>
        <w:spacing w:after="0" w:line="276" w:lineRule="auto"/>
        <w:jc w:val="both"/>
        <w:rPr>
          <w:rFonts w:ascii="Arial" w:eastAsia="Calibri" w:hAnsi="Arial" w:cs="Arial"/>
          <w:color w:val="000000"/>
          <w:lang w:eastAsia="zh-CN"/>
        </w:rPr>
      </w:pPr>
      <w:r>
        <w:rPr>
          <w:rFonts w:ascii="Arial" w:eastAsia="Calibri" w:hAnsi="Arial" w:cs="Arial"/>
          <w:color w:val="000000"/>
          <w:lang w:eastAsia="zh-CN"/>
        </w:rPr>
        <w:t>conectivitate crescută î</w:t>
      </w:r>
      <w:r w:rsidR="00426696" w:rsidRPr="00426696">
        <w:rPr>
          <w:rFonts w:ascii="Arial" w:eastAsia="Calibri" w:hAnsi="Arial" w:cs="Arial"/>
          <w:color w:val="000000"/>
          <w:lang w:eastAsia="zh-CN"/>
        </w:rPr>
        <w:t xml:space="preserve">ntre </w:t>
      </w:r>
      <w:r>
        <w:rPr>
          <w:rFonts w:ascii="Arial" w:eastAsia="Calibri" w:hAnsi="Arial" w:cs="Arial"/>
          <w:color w:val="000000"/>
          <w:lang w:eastAsia="zh-CN"/>
        </w:rPr>
        <w:t>zone şi localităţ</w:t>
      </w:r>
      <w:r w:rsidR="00426696" w:rsidRPr="00426696">
        <w:rPr>
          <w:rFonts w:ascii="Arial" w:eastAsia="Calibri" w:hAnsi="Arial" w:cs="Arial"/>
          <w:color w:val="000000"/>
          <w:lang w:eastAsia="zh-CN"/>
        </w:rPr>
        <w:t>ile componente;</w:t>
      </w:r>
    </w:p>
    <w:p w14:paraId="05418CC6"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dezvoltarea modurilor alternative de transport;</w:t>
      </w:r>
    </w:p>
    <w:p w14:paraId="3EC240A7"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reducerea nevoii de deplasare;</w:t>
      </w:r>
    </w:p>
    <w:p w14:paraId="3D370D67"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reducerea impactului negativ asupra mediului;</w:t>
      </w:r>
    </w:p>
    <w:p w14:paraId="0409EDE1" w14:textId="77777777" w:rsidR="00426696" w:rsidRPr="00426696" w:rsidRDefault="00E76C39" w:rsidP="00426696">
      <w:pPr>
        <w:widowControl w:val="0"/>
        <w:numPr>
          <w:ilvl w:val="0"/>
          <w:numId w:val="72"/>
        </w:numPr>
        <w:suppressAutoHyphens/>
        <w:autoSpaceDE w:val="0"/>
        <w:spacing w:after="0" w:line="276" w:lineRule="auto"/>
        <w:jc w:val="both"/>
        <w:rPr>
          <w:rFonts w:ascii="Arial" w:eastAsia="Calibri" w:hAnsi="Arial" w:cs="Arial"/>
          <w:color w:val="000000"/>
          <w:lang w:val="es-ES" w:eastAsia="zh-CN"/>
        </w:rPr>
      </w:pPr>
      <w:r>
        <w:rPr>
          <w:rFonts w:ascii="Arial" w:eastAsia="Calibri" w:hAnsi="Arial" w:cs="Arial"/>
          <w:color w:val="000000"/>
          <w:lang w:val="es-ES" w:eastAsia="zh-CN"/>
        </w:rPr>
        <w:t>îmbunatăţirea siguranţei şi securităţ</w:t>
      </w:r>
      <w:r w:rsidR="00426696" w:rsidRPr="00426696">
        <w:rPr>
          <w:rFonts w:ascii="Arial" w:eastAsia="Calibri" w:hAnsi="Arial" w:cs="Arial"/>
          <w:color w:val="000000"/>
          <w:lang w:val="es-ES" w:eastAsia="zh-CN"/>
        </w:rPr>
        <w:t>ii rutiere;</w:t>
      </w:r>
    </w:p>
    <w:p w14:paraId="0BF792D4" w14:textId="77777777" w:rsidR="00426696" w:rsidRPr="00426696" w:rsidRDefault="00426696" w:rsidP="00426696">
      <w:pPr>
        <w:widowControl w:val="0"/>
        <w:numPr>
          <w:ilvl w:val="0"/>
          <w:numId w:val="72"/>
        </w:numPr>
        <w:suppressAutoHyphens/>
        <w:autoSpaceDE w:val="0"/>
        <w:spacing w:after="0" w:line="276" w:lineRule="auto"/>
        <w:ind w:left="567" w:hanging="218"/>
        <w:jc w:val="both"/>
        <w:rPr>
          <w:rFonts w:ascii="Arial" w:eastAsia="Calibri" w:hAnsi="Arial" w:cs="Arial"/>
          <w:color w:val="000000"/>
          <w:lang w:val="es-ES" w:eastAsia="zh-CN"/>
        </w:rPr>
      </w:pPr>
      <w:r w:rsidRPr="00426696">
        <w:rPr>
          <w:rFonts w:ascii="Arial" w:eastAsia="Calibri" w:hAnsi="Arial" w:cs="Arial"/>
          <w:color w:val="000000"/>
          <w:lang w:val="es-ES" w:eastAsia="zh-CN"/>
        </w:rPr>
        <w:t>asigurarea condiţiilor pentru o intermodalitate superioară a serviciilor de transport prin care se efectuează prestaţia pe teritoriul oraşului.</w:t>
      </w:r>
    </w:p>
    <w:p w14:paraId="33C88A6F" w14:textId="77777777" w:rsidR="00426696" w:rsidRPr="00426696" w:rsidRDefault="00426696" w:rsidP="00426696">
      <w:pPr>
        <w:suppressAutoHyphens/>
        <w:autoSpaceDE w:val="0"/>
        <w:spacing w:after="0" w:line="360" w:lineRule="auto"/>
        <w:rPr>
          <w:rFonts w:ascii="Arial" w:eastAsia="Calibri" w:hAnsi="Arial" w:cs="Arial"/>
          <w:color w:val="000000"/>
          <w:sz w:val="24"/>
          <w:szCs w:val="24"/>
          <w:lang w:val="es-ES" w:eastAsia="zh-CN"/>
        </w:rPr>
      </w:pPr>
    </w:p>
    <w:p w14:paraId="2F739FBD" w14:textId="77777777" w:rsidR="00426696" w:rsidRPr="00426696" w:rsidRDefault="00426696" w:rsidP="00426696">
      <w:p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La nivel periurban,</w:t>
      </w:r>
      <w:r w:rsidR="00E76C39">
        <w:rPr>
          <w:rFonts w:ascii="Arial" w:eastAsia="Calibri" w:hAnsi="Arial" w:cs="Arial"/>
          <w:color w:val="000000"/>
          <w:lang w:val="es-ES" w:eastAsia="zh-CN"/>
        </w:rPr>
        <w:t xml:space="preserve"> prin implementarea PMUD se urmă</w:t>
      </w:r>
      <w:r w:rsidRPr="00426696">
        <w:rPr>
          <w:rFonts w:ascii="Arial" w:eastAsia="Calibri" w:hAnsi="Arial" w:cs="Arial"/>
          <w:color w:val="000000"/>
          <w:lang w:val="es-ES" w:eastAsia="zh-CN"/>
        </w:rPr>
        <w:t>r</w:t>
      </w:r>
      <w:r w:rsidR="00E76C39">
        <w:rPr>
          <w:rFonts w:ascii="Arial" w:eastAsia="Calibri" w:hAnsi="Arial" w:cs="Arial"/>
          <w:color w:val="000000"/>
          <w:lang w:val="es-ES" w:eastAsia="zh-CN"/>
        </w:rPr>
        <w:t>esc urmatoarele obiective operaţionale care să conducă</w:t>
      </w:r>
      <w:r w:rsidRPr="00426696">
        <w:rPr>
          <w:rFonts w:ascii="Arial" w:eastAsia="Calibri" w:hAnsi="Arial" w:cs="Arial"/>
          <w:color w:val="000000"/>
          <w:lang w:val="es-ES" w:eastAsia="zh-CN"/>
        </w:rPr>
        <w:t xml:space="preserve"> la atingerea obiectivelor principale:</w:t>
      </w:r>
    </w:p>
    <w:p w14:paraId="01C3E038"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extinderea transportului public urban către localitățile din zona periurbană;</w:t>
      </w:r>
    </w:p>
    <w:p w14:paraId="527D6D8E"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conectivitate sporită între localitățile limitrofe și Orasul Horezu;</w:t>
      </w:r>
    </w:p>
    <w:p w14:paraId="30E0B6AF"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dezvoltarea modurilor alternative de transport;</w:t>
      </w:r>
    </w:p>
    <w:p w14:paraId="37CD16BD"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reducerea impactului negativ asupra mediului.</w:t>
      </w:r>
    </w:p>
    <w:p w14:paraId="51EE2F38" w14:textId="77777777" w:rsidR="00426696" w:rsidRPr="00426696" w:rsidRDefault="00426696" w:rsidP="00426696">
      <w:pPr>
        <w:suppressAutoHyphens/>
        <w:autoSpaceDE w:val="0"/>
        <w:spacing w:after="0" w:line="360" w:lineRule="auto"/>
        <w:rPr>
          <w:rFonts w:ascii="Arial" w:eastAsia="Calibri" w:hAnsi="Arial" w:cs="Arial"/>
          <w:color w:val="000000"/>
          <w:sz w:val="24"/>
          <w:szCs w:val="24"/>
          <w:lang w:val="es-ES" w:eastAsia="zh-CN"/>
        </w:rPr>
      </w:pPr>
    </w:p>
    <w:p w14:paraId="39965A06" w14:textId="77777777" w:rsidR="00426696" w:rsidRPr="00426696" w:rsidRDefault="00426696" w:rsidP="00426696">
      <w:p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 xml:space="preserve">La nivelul zonelor, prin implementarea PMUD se </w:t>
      </w:r>
      <w:r w:rsidR="00E76C39">
        <w:rPr>
          <w:rFonts w:ascii="Arial" w:eastAsia="Calibri" w:hAnsi="Arial" w:cs="Arial"/>
          <w:color w:val="000000"/>
          <w:lang w:val="es-ES" w:eastAsia="zh-CN"/>
        </w:rPr>
        <w:t>vizează</w:t>
      </w:r>
      <w:r w:rsidRPr="00426696">
        <w:rPr>
          <w:rFonts w:ascii="Arial" w:eastAsia="Calibri" w:hAnsi="Arial" w:cs="Arial"/>
          <w:color w:val="000000"/>
          <w:lang w:val="es-ES" w:eastAsia="zh-CN"/>
        </w:rPr>
        <w:t xml:space="preserve"> următoarele obiective operaționale care să conducă la atingerea obiectivelor principale:</w:t>
      </w:r>
    </w:p>
    <w:p w14:paraId="58087A7C"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reducerea congestiei;</w:t>
      </w:r>
    </w:p>
    <w:p w14:paraId="584FCCE0"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t>dezvoltarea modurilor alternative de transport;</w:t>
      </w:r>
    </w:p>
    <w:p w14:paraId="08738173"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eastAsia="zh-CN"/>
        </w:rPr>
      </w:pPr>
      <w:r w:rsidRPr="00426696">
        <w:rPr>
          <w:rFonts w:ascii="Arial" w:eastAsia="Calibri" w:hAnsi="Arial" w:cs="Arial"/>
          <w:color w:val="000000"/>
          <w:lang w:eastAsia="zh-CN"/>
        </w:rPr>
        <w:t>reducerea nevoii de deplasare;</w:t>
      </w:r>
    </w:p>
    <w:p w14:paraId="5239C49C" w14:textId="77777777" w:rsidR="00426696" w:rsidRPr="00426696" w:rsidRDefault="00426696" w:rsidP="00426696">
      <w:pPr>
        <w:widowControl w:val="0"/>
        <w:numPr>
          <w:ilvl w:val="0"/>
          <w:numId w:val="72"/>
        </w:numPr>
        <w:suppressAutoHyphens/>
        <w:autoSpaceDE w:val="0"/>
        <w:spacing w:after="0" w:line="276" w:lineRule="auto"/>
        <w:jc w:val="both"/>
        <w:rPr>
          <w:rFonts w:ascii="Arial" w:eastAsia="Calibri" w:hAnsi="Arial" w:cs="Arial"/>
          <w:color w:val="000000"/>
          <w:lang w:val="es-ES" w:eastAsia="zh-CN"/>
        </w:rPr>
      </w:pPr>
      <w:r w:rsidRPr="00426696">
        <w:rPr>
          <w:rFonts w:ascii="Arial" w:eastAsia="Calibri" w:hAnsi="Arial" w:cs="Arial"/>
          <w:color w:val="000000"/>
          <w:lang w:val="es-ES" w:eastAsia="zh-CN"/>
        </w:rPr>
        <w:lastRenderedPageBreak/>
        <w:t>reducerea impactului negativ asupra mediului.</w:t>
      </w:r>
    </w:p>
    <w:p w14:paraId="0D38787B" w14:textId="77777777" w:rsidR="00426696" w:rsidRPr="00426696" w:rsidRDefault="00426696" w:rsidP="00426696">
      <w:pPr>
        <w:rPr>
          <w:lang w:val="it-IT" w:eastAsia="ro-RO"/>
        </w:rPr>
      </w:pPr>
    </w:p>
    <w:p w14:paraId="4A72B810" w14:textId="77777777" w:rsidR="00D70AEA" w:rsidRPr="00CD09EA" w:rsidRDefault="00D70AEA" w:rsidP="00CD09EA">
      <w:pPr>
        <w:pStyle w:val="Titlu2"/>
        <w:rPr>
          <w:rFonts w:ascii="Arial" w:eastAsia="Times New Roman" w:hAnsi="Arial" w:cs="Arial"/>
          <w:b/>
          <w:bCs/>
          <w:color w:val="auto"/>
          <w:lang w:val="it-IT" w:eastAsia="ro-RO"/>
        </w:rPr>
      </w:pPr>
      <w:bookmarkStart w:id="401" w:name="_Toc61264911"/>
      <w:bookmarkStart w:id="402" w:name="_Toc142039095"/>
      <w:r w:rsidRPr="00CD09EA">
        <w:rPr>
          <w:rFonts w:ascii="Arial" w:eastAsia="Times New Roman" w:hAnsi="Arial" w:cs="Arial"/>
          <w:b/>
          <w:bCs/>
          <w:color w:val="auto"/>
          <w:lang w:val="it-IT" w:eastAsia="ro-RO"/>
        </w:rPr>
        <w:t>I.5.2</w:t>
      </w:r>
      <w:r w:rsidR="00CD09EA" w:rsidRPr="00CD09EA">
        <w:rPr>
          <w:rFonts w:ascii="Arial" w:eastAsia="Times New Roman" w:hAnsi="Arial" w:cs="Arial"/>
          <w:b/>
          <w:bCs/>
          <w:color w:val="auto"/>
          <w:lang w:val="it-IT" w:eastAsia="ro-RO"/>
        </w:rPr>
        <w:t xml:space="preserve"> </w:t>
      </w:r>
      <w:r w:rsidRPr="00CD09EA">
        <w:rPr>
          <w:rFonts w:ascii="Arial" w:eastAsia="Times New Roman" w:hAnsi="Arial" w:cs="Arial"/>
          <w:b/>
          <w:bCs/>
          <w:color w:val="auto"/>
          <w:lang w:val="it-IT" w:eastAsia="ro-RO"/>
        </w:rPr>
        <w:t>Cadrul/metodologia de selectare a proiectelor</w:t>
      </w:r>
      <w:bookmarkEnd w:id="401"/>
      <w:bookmarkEnd w:id="402"/>
    </w:p>
    <w:p w14:paraId="2E0C0C30" w14:textId="77777777" w:rsidR="004E14B7" w:rsidRPr="004E14B7" w:rsidRDefault="004E14B7" w:rsidP="004E14B7">
      <w:pPr>
        <w:widowControl w:val="0"/>
        <w:suppressAutoHyphens/>
        <w:autoSpaceDE w:val="0"/>
        <w:spacing w:after="0" w:line="276" w:lineRule="auto"/>
        <w:jc w:val="both"/>
        <w:rPr>
          <w:rFonts w:ascii="Arial" w:hAnsi="Arial" w:cs="Arial"/>
          <w:kern w:val="1"/>
          <w:lang w:val="es-ES" w:eastAsia="ro-RO" w:bidi="hi-IN"/>
        </w:rPr>
      </w:pPr>
      <w:bookmarkStart w:id="403" w:name="_Toc458599433"/>
      <w:bookmarkStart w:id="404" w:name="_Toc491868840"/>
      <w:r w:rsidRPr="004E14B7">
        <w:rPr>
          <w:rFonts w:ascii="Arial" w:hAnsi="Arial" w:cs="Arial"/>
          <w:color w:val="000000"/>
          <w:kern w:val="1"/>
          <w:lang w:val="es-ES" w:eastAsia="ro-RO" w:bidi="hi-IN"/>
        </w:rPr>
        <w:t xml:space="preserve">Identificarea și testarea măsurilor are rolul de a defini setul optim de soluții pentru obiectivele care au fost identificate anterior. Pentru fiecare obiectiv, sunt luate în considerare și testate mai multe soluții posibile folosind instrumentele de analiză sau alți indicatori, după caz. Cadrul în care se desfășoară procesul de selectare a proiectelor a luat în considerare impactul tehnic, economic, social și de mediu al acestora. </w:t>
      </w:r>
    </w:p>
    <w:p w14:paraId="1F3C6721" w14:textId="77777777" w:rsidR="004E14B7" w:rsidRPr="004E14B7" w:rsidRDefault="004E14B7" w:rsidP="004E14B7">
      <w:pPr>
        <w:widowControl w:val="0"/>
        <w:suppressAutoHyphens/>
        <w:autoSpaceDE w:val="0"/>
        <w:spacing w:after="0" w:line="276" w:lineRule="auto"/>
        <w:jc w:val="both"/>
        <w:rPr>
          <w:rFonts w:ascii="Arial" w:hAnsi="Arial" w:cs="Arial"/>
          <w:kern w:val="1"/>
          <w:lang w:val="es-ES" w:eastAsia="ro-RO" w:bidi="hi-IN"/>
        </w:rPr>
      </w:pPr>
    </w:p>
    <w:p w14:paraId="6B4D20B9" w14:textId="77777777" w:rsidR="004E14B7" w:rsidRPr="004E14B7" w:rsidRDefault="004E14B7" w:rsidP="004E14B7">
      <w:pPr>
        <w:suppressAutoHyphens/>
        <w:autoSpaceDE w:val="0"/>
        <w:spacing w:after="0" w:line="276" w:lineRule="auto"/>
        <w:jc w:val="both"/>
        <w:rPr>
          <w:rFonts w:ascii="Arial" w:eastAsia="Arial" w:hAnsi="Arial" w:cs="Arial"/>
          <w:color w:val="000000"/>
          <w:lang w:val="es-ES" w:eastAsia="zh-CN"/>
        </w:rPr>
      </w:pPr>
      <w:r w:rsidRPr="004E14B7">
        <w:rPr>
          <w:rFonts w:ascii="Arial" w:eastAsia="Calibri" w:hAnsi="Arial" w:cs="Arial"/>
          <w:color w:val="000000"/>
          <w:lang w:val="es-ES" w:eastAsia="zh-CN"/>
        </w:rPr>
        <w:t xml:space="preserve">Obiectivele reprezintă forme concrete de angajament într-un PMUD, dar </w:t>
      </w:r>
      <w:r w:rsidRPr="004E14B7">
        <w:rPr>
          <w:rFonts w:ascii="Arial" w:eastAsia="Calibri" w:hAnsi="Arial" w:cs="Arial"/>
          <w:b/>
          <w:color w:val="000000"/>
          <w:lang w:val="es-ES" w:eastAsia="zh-CN"/>
        </w:rPr>
        <w:t xml:space="preserve">neprecizând </w:t>
      </w:r>
      <w:r w:rsidRPr="004E14B7">
        <w:rPr>
          <w:rFonts w:ascii="Arial" w:eastAsia="Calibri" w:hAnsi="Arial" w:cs="Arial"/>
          <w:color w:val="000000"/>
          <w:lang w:val="es-ES" w:eastAsia="zh-CN"/>
        </w:rPr>
        <w:t xml:space="preserve">gradul dorit de schimbare într-un interval de timp dat. Ţintele sunt formele necesare pentru a evalua dacă o măsură realizează într-adevăr rezultatele aşteptate. În amănunt: </w:t>
      </w:r>
    </w:p>
    <w:p w14:paraId="08ED3AD8" w14:textId="77777777" w:rsidR="004E14B7" w:rsidRPr="004E14B7" w:rsidRDefault="004E14B7" w:rsidP="000C6CB8">
      <w:pPr>
        <w:numPr>
          <w:ilvl w:val="0"/>
          <w:numId w:val="166"/>
        </w:numPr>
        <w:suppressAutoHyphens/>
        <w:autoSpaceDE w:val="0"/>
        <w:spacing w:after="0" w:line="276" w:lineRule="auto"/>
        <w:ind w:left="180" w:hanging="180"/>
        <w:jc w:val="both"/>
        <w:rPr>
          <w:rFonts w:ascii="Arial" w:eastAsia="Arial" w:hAnsi="Arial" w:cs="Arial"/>
          <w:color w:val="000000"/>
          <w:lang w:val="es-ES" w:eastAsia="zh-CN"/>
        </w:rPr>
      </w:pPr>
      <w:r w:rsidRPr="004E14B7">
        <w:rPr>
          <w:rFonts w:ascii="Arial" w:eastAsia="Calibri" w:hAnsi="Arial" w:cs="Arial"/>
          <w:color w:val="000000"/>
          <w:lang w:val="es-ES" w:eastAsia="zh-CN"/>
        </w:rPr>
        <w:t xml:space="preserve">Specific = care este particularizabil </w:t>
      </w:r>
      <w:r>
        <w:rPr>
          <w:rFonts w:ascii="Arial" w:eastAsia="Calibri" w:hAnsi="Arial" w:cs="Arial"/>
          <w:color w:val="000000"/>
          <w:lang w:val="es-ES" w:eastAsia="zh-CN"/>
        </w:rPr>
        <w:t>Oraş</w:t>
      </w:r>
      <w:r w:rsidRPr="004E14B7">
        <w:rPr>
          <w:rFonts w:ascii="Arial" w:eastAsia="Calibri" w:hAnsi="Arial" w:cs="Arial"/>
          <w:color w:val="000000"/>
          <w:lang w:val="es-ES" w:eastAsia="zh-CN"/>
        </w:rPr>
        <w:t xml:space="preserve">ului Horezu şi concordant caracterisiticilor date de infrastructură şi de organizarea instituţională, dar mai ales în concordanţă cu reacţiile populaţiei la schimbarea într-o anumită proporţie a modului de viaţă. Ţintele trebuie descrise cu precizie folosind termeni cantitativi și/sau calitativi, care sunt înțeleşi de către toate părțile interesate. </w:t>
      </w:r>
    </w:p>
    <w:p w14:paraId="0FF717A9" w14:textId="77777777" w:rsidR="004E14B7" w:rsidRPr="004E14B7" w:rsidRDefault="004E14B7" w:rsidP="000C6CB8">
      <w:pPr>
        <w:numPr>
          <w:ilvl w:val="0"/>
          <w:numId w:val="166"/>
        </w:numPr>
        <w:suppressAutoHyphens/>
        <w:autoSpaceDE w:val="0"/>
        <w:spacing w:after="0" w:line="276" w:lineRule="auto"/>
        <w:ind w:left="180" w:hanging="180"/>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Măsurabil = căruia i se poate determina sau aprecia valoarea – în ansamblu sau doar a uneia dintre mărimile de relevanţă, în raport de interesul urmărit. În principiu, toţi parametrii raţional imaginabili referitori la fenomenele generate de deplasare pot fi măsuraţi; totuşi în mod concret: </w:t>
      </w:r>
    </w:p>
    <w:p w14:paraId="155361CC" w14:textId="77777777" w:rsidR="004E14B7" w:rsidRPr="004E14B7" w:rsidRDefault="004E14B7" w:rsidP="004E14B7">
      <w:pPr>
        <w:widowControl w:val="0"/>
        <w:suppressAutoHyphens/>
        <w:autoSpaceDE w:val="0"/>
        <w:spacing w:after="0" w:line="276" w:lineRule="auto"/>
        <w:ind w:left="720"/>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 unii parametri nu sunt incluşi în lista celor urmăriţi metodic de către resortul statistică; de exemplu, numărul de tone*km efectuate pe teritoriul oraşului; </w:t>
      </w:r>
    </w:p>
    <w:p w14:paraId="3ADB99D0" w14:textId="77777777" w:rsidR="004E14B7" w:rsidRPr="004E14B7" w:rsidRDefault="004E14B7" w:rsidP="004E14B7">
      <w:pPr>
        <w:widowControl w:val="0"/>
        <w:suppressAutoHyphens/>
        <w:autoSpaceDE w:val="0"/>
        <w:spacing w:after="0" w:line="276" w:lineRule="auto"/>
        <w:ind w:left="720"/>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 alţi parametri nu au unitate de măsură (obiectivă); de exemplu nivelul mirosului de la emanaţiile de gaze de motor cu ardere internă nu este măsurabil. </w:t>
      </w:r>
    </w:p>
    <w:p w14:paraId="15A89E13" w14:textId="77777777" w:rsidR="004E14B7" w:rsidRPr="004E14B7" w:rsidRDefault="004E14B7" w:rsidP="004E14B7">
      <w:pPr>
        <w:suppressAutoHyphens/>
        <w:autoSpaceDE w:val="0"/>
        <w:spacing w:after="0" w:line="276" w:lineRule="auto"/>
        <w:jc w:val="both"/>
        <w:rPr>
          <w:rFonts w:ascii="Arial" w:eastAsia="Arial" w:hAnsi="Arial" w:cs="Arial"/>
          <w:color w:val="000000"/>
          <w:lang w:val="es-ES" w:eastAsia="zh-CN"/>
        </w:rPr>
      </w:pPr>
      <w:r w:rsidRPr="004E14B7">
        <w:rPr>
          <w:rFonts w:ascii="Arial" w:eastAsia="Calibri" w:hAnsi="Arial" w:cs="Arial"/>
          <w:color w:val="000000"/>
          <w:lang w:val="es-ES" w:eastAsia="zh-CN"/>
        </w:rPr>
        <w:t xml:space="preserve">(de subliniat că </w:t>
      </w:r>
      <w:r w:rsidRPr="004E14B7">
        <w:rPr>
          <w:rFonts w:ascii="Arial" w:eastAsia="Calibri" w:hAnsi="Arial" w:cs="Arial"/>
          <w:b/>
          <w:color w:val="000000"/>
          <w:lang w:val="es-ES" w:eastAsia="zh-CN"/>
        </w:rPr>
        <w:t xml:space="preserve">resursele sunt, de asemenea, capabile să măsoare </w:t>
      </w:r>
      <w:r w:rsidRPr="004E14B7">
        <w:rPr>
          <w:rFonts w:ascii="Arial" w:eastAsia="Calibri" w:hAnsi="Arial" w:cs="Arial"/>
          <w:color w:val="000000"/>
          <w:lang w:val="es-ES" w:eastAsia="zh-CN"/>
        </w:rPr>
        <w:t xml:space="preserve">schimbările prezumate – calitative/cantitative care au loc). </w:t>
      </w:r>
    </w:p>
    <w:p w14:paraId="00C50CC2" w14:textId="77777777" w:rsidR="004E14B7" w:rsidRPr="004E14B7" w:rsidRDefault="004E14B7" w:rsidP="000C6CB8">
      <w:pPr>
        <w:numPr>
          <w:ilvl w:val="0"/>
          <w:numId w:val="167"/>
        </w:numPr>
        <w:suppressAutoHyphens/>
        <w:autoSpaceDE w:val="0"/>
        <w:spacing w:after="0" w:line="276" w:lineRule="auto"/>
        <w:ind w:left="180" w:hanging="180"/>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Aplicabil = care poate fi pus în practică (cu şanse certe de realizare); pentru ca ceva să fie aplicabil – în spaţiul raţionalităţii – trebuie: </w:t>
      </w:r>
    </w:p>
    <w:p w14:paraId="22871764" w14:textId="77777777" w:rsidR="004E14B7" w:rsidRPr="004E14B7" w:rsidRDefault="004E14B7" w:rsidP="004E14B7">
      <w:pPr>
        <w:widowControl w:val="0"/>
        <w:suppressAutoHyphens/>
        <w:autoSpaceDE w:val="0"/>
        <w:spacing w:after="0" w:line="276" w:lineRule="auto"/>
        <w:ind w:left="720"/>
        <w:rPr>
          <w:rFonts w:ascii="Arial" w:eastAsia="Calibri" w:hAnsi="Arial" w:cs="Arial"/>
          <w:color w:val="000000"/>
          <w:lang w:eastAsia="zh-CN"/>
        </w:rPr>
      </w:pPr>
      <w:r w:rsidRPr="004E14B7">
        <w:rPr>
          <w:rFonts w:ascii="Arial" w:eastAsia="Calibri" w:hAnsi="Arial" w:cs="Arial"/>
          <w:color w:val="000000"/>
          <w:lang w:eastAsia="zh-CN"/>
        </w:rPr>
        <w:t xml:space="preserve">- să fie necesar </w:t>
      </w:r>
    </w:p>
    <w:p w14:paraId="3399118D" w14:textId="77777777" w:rsidR="004E14B7" w:rsidRPr="004E14B7" w:rsidRDefault="004E14B7" w:rsidP="004E14B7">
      <w:pPr>
        <w:widowControl w:val="0"/>
        <w:suppressAutoHyphens/>
        <w:autoSpaceDE w:val="0"/>
        <w:spacing w:after="0" w:line="276" w:lineRule="auto"/>
        <w:ind w:left="720"/>
        <w:jc w:val="both"/>
        <w:rPr>
          <w:rFonts w:ascii="Arial" w:eastAsia="Arial" w:hAnsi="Arial" w:cs="Arial"/>
          <w:color w:val="000000"/>
          <w:lang w:eastAsia="zh-CN"/>
        </w:rPr>
      </w:pPr>
      <w:r w:rsidRPr="004E14B7">
        <w:rPr>
          <w:rFonts w:ascii="Arial" w:eastAsia="Calibri" w:hAnsi="Arial" w:cs="Arial"/>
          <w:color w:val="000000"/>
          <w:lang w:eastAsia="zh-CN"/>
        </w:rPr>
        <w:t xml:space="preserve">- să existe </w:t>
      </w:r>
      <w:r w:rsidRPr="004E14B7">
        <w:rPr>
          <w:rFonts w:ascii="Arial" w:eastAsia="Calibri" w:hAnsi="Arial" w:cs="Arial"/>
          <w:b/>
          <w:color w:val="000000"/>
          <w:lang w:eastAsia="zh-CN"/>
        </w:rPr>
        <w:t xml:space="preserve">procedeul, mijloacele, cadrul şi oportunitatea </w:t>
      </w:r>
      <w:r w:rsidRPr="004E14B7">
        <w:rPr>
          <w:rFonts w:ascii="Arial" w:eastAsia="Calibri" w:hAnsi="Arial" w:cs="Arial"/>
          <w:color w:val="000000"/>
          <w:lang w:eastAsia="zh-CN"/>
        </w:rPr>
        <w:t xml:space="preserve">(ansamblul fiind întrunit după eforturi conjugate de lungă şi intensă perioadă): punerea în practică implică abilităţi tehnice, operaționale și financiare, dar mai ales </w:t>
      </w:r>
      <w:r w:rsidRPr="004E14B7">
        <w:rPr>
          <w:rFonts w:ascii="Arial" w:eastAsia="Calibri" w:hAnsi="Arial" w:cs="Arial"/>
          <w:b/>
          <w:bCs/>
          <w:color w:val="000000"/>
          <w:lang w:eastAsia="zh-CN"/>
        </w:rPr>
        <w:t>acorduri între părțile interesate, respectiv angajamente şi răspunderi</w:t>
      </w:r>
      <w:r w:rsidRPr="004E14B7">
        <w:rPr>
          <w:rFonts w:ascii="Arial" w:eastAsia="Calibri" w:hAnsi="Arial" w:cs="Arial"/>
          <w:color w:val="000000"/>
          <w:lang w:eastAsia="zh-CN"/>
        </w:rPr>
        <w:t xml:space="preserve">. </w:t>
      </w:r>
    </w:p>
    <w:p w14:paraId="12431260" w14:textId="77777777" w:rsidR="004E14B7" w:rsidRPr="004E14B7" w:rsidRDefault="004E14B7" w:rsidP="000C6CB8">
      <w:pPr>
        <w:numPr>
          <w:ilvl w:val="0"/>
          <w:numId w:val="167"/>
        </w:numPr>
        <w:suppressAutoHyphens/>
        <w:autoSpaceDE w:val="0"/>
        <w:spacing w:after="0" w:line="276" w:lineRule="auto"/>
        <w:ind w:left="180" w:hanging="180"/>
        <w:jc w:val="both"/>
        <w:rPr>
          <w:rFonts w:ascii="Arial" w:eastAsia="Arial" w:hAnsi="Arial" w:cs="Arial"/>
          <w:color w:val="000000"/>
          <w:lang w:eastAsia="zh-CN"/>
        </w:rPr>
      </w:pPr>
      <w:r w:rsidRPr="004E14B7">
        <w:rPr>
          <w:rFonts w:ascii="Arial" w:eastAsia="Calibri" w:hAnsi="Arial" w:cs="Arial"/>
          <w:color w:val="000000"/>
          <w:lang w:eastAsia="zh-CN"/>
        </w:rPr>
        <w:t xml:space="preserve">Realist = care este bazat pe reflectarea completă a realităţii prin informaţii esenţiale obiective (în orice viitor există riscuri, dar în acest caz, realist înseamnă „în condiţiile unor marje de eroare care asigură şi pentru valoarea de minim atingerea parţială a ţintei”). </w:t>
      </w:r>
    </w:p>
    <w:p w14:paraId="322494ED" w14:textId="77777777" w:rsidR="004E14B7" w:rsidRPr="004E14B7" w:rsidRDefault="004E14B7" w:rsidP="000C6CB8">
      <w:pPr>
        <w:numPr>
          <w:ilvl w:val="0"/>
          <w:numId w:val="167"/>
        </w:numPr>
        <w:suppressAutoHyphens/>
        <w:autoSpaceDE w:val="0"/>
        <w:spacing w:after="0" w:line="276" w:lineRule="auto"/>
        <w:ind w:left="180" w:hanging="180"/>
        <w:jc w:val="both"/>
        <w:rPr>
          <w:rFonts w:ascii="Arial" w:eastAsia="Calibri" w:hAnsi="Arial" w:cs="Arial"/>
          <w:color w:val="000000"/>
          <w:lang w:eastAsia="zh-CN"/>
        </w:rPr>
      </w:pPr>
      <w:r w:rsidRPr="004E14B7">
        <w:rPr>
          <w:rFonts w:ascii="Arial" w:eastAsia="Calibri" w:hAnsi="Arial" w:cs="Arial"/>
          <w:color w:val="000000"/>
          <w:lang w:eastAsia="zh-CN"/>
        </w:rPr>
        <w:t xml:space="preserve">Temporale = care indică timpul sub două aspecte: momentul de iniţiere, respectiv durata pe care se întinde acţiunea (care poate fi şi nelimitată); cu alte cuvinte, datele calendaristice cheie pentru realizarea obiectivelor sunt exact precizate. </w:t>
      </w:r>
    </w:p>
    <w:p w14:paraId="40721217" w14:textId="77777777" w:rsidR="004E14B7" w:rsidRPr="004E14B7" w:rsidRDefault="004E14B7" w:rsidP="004E14B7">
      <w:pPr>
        <w:suppressAutoHyphens/>
        <w:autoSpaceDE w:val="0"/>
        <w:spacing w:after="0" w:line="360" w:lineRule="auto"/>
        <w:jc w:val="both"/>
        <w:rPr>
          <w:rFonts w:ascii="Arial" w:eastAsia="Calibri" w:hAnsi="Arial" w:cs="Arial"/>
          <w:color w:val="000000"/>
          <w:sz w:val="24"/>
          <w:szCs w:val="24"/>
          <w:lang w:eastAsia="zh-CN"/>
        </w:rPr>
      </w:pPr>
    </w:p>
    <w:p w14:paraId="732CD135" w14:textId="77777777" w:rsidR="004E14B7" w:rsidRPr="004E14B7" w:rsidRDefault="004E14B7" w:rsidP="004E14B7">
      <w:p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b/>
          <w:color w:val="000000"/>
          <w:lang w:val="es-ES" w:eastAsia="zh-CN"/>
        </w:rPr>
        <w:t xml:space="preserve">Ţintele </w:t>
      </w:r>
      <w:r w:rsidRPr="004E14B7">
        <w:rPr>
          <w:rFonts w:ascii="Arial" w:eastAsia="Calibri" w:hAnsi="Arial" w:cs="Arial"/>
          <w:color w:val="000000"/>
          <w:lang w:val="es-ES" w:eastAsia="zh-CN"/>
        </w:rPr>
        <w:t xml:space="preserve">sunt esențiale pentru acţiunea de organizare a monitorizării și evaluării PMUD (adică o activitate aflată la finele actualului proiect) şi nu pot fi separate de </w:t>
      </w:r>
      <w:r w:rsidRPr="004E14B7">
        <w:rPr>
          <w:rFonts w:ascii="Arial" w:eastAsia="Calibri" w:hAnsi="Arial" w:cs="Arial"/>
          <w:b/>
          <w:color w:val="000000"/>
          <w:lang w:val="es-ES" w:eastAsia="zh-CN"/>
        </w:rPr>
        <w:t xml:space="preserve">selectarea indicatorilor </w:t>
      </w:r>
      <w:r w:rsidRPr="004E14B7">
        <w:rPr>
          <w:rFonts w:ascii="Arial" w:eastAsia="Calibri" w:hAnsi="Arial" w:cs="Arial"/>
          <w:color w:val="000000"/>
          <w:lang w:val="es-ES" w:eastAsia="zh-CN"/>
        </w:rPr>
        <w:t xml:space="preserve">cu ajutorul cărora se va putea face monitorizarea şi evaluarea. Mai mult, stabilirea ţintelor şi a indicatorilor aferenţi asigură transparență și claritate asupra a ceea ce se intenționează să se realizeze, în ceea ce privește schimbarea (mobilității în oraș). </w:t>
      </w:r>
    </w:p>
    <w:p w14:paraId="1962E67A" w14:textId="77777777" w:rsidR="004E14B7" w:rsidRPr="004E14B7" w:rsidRDefault="004E14B7" w:rsidP="004E14B7">
      <w:p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lastRenderedPageBreak/>
        <w:t xml:space="preserve">Scopul elaborării prezentei activităţi este: </w:t>
      </w:r>
    </w:p>
    <w:p w14:paraId="0230927E" w14:textId="77777777" w:rsidR="004E14B7" w:rsidRPr="004E14B7" w:rsidRDefault="004E14B7" w:rsidP="000C6CB8">
      <w:pPr>
        <w:widowControl w:val="0"/>
        <w:numPr>
          <w:ilvl w:val="0"/>
          <w:numId w:val="168"/>
        </w:numPr>
        <w:suppressAutoHyphens/>
        <w:autoSpaceDE w:val="0"/>
        <w:spacing w:after="0" w:line="276" w:lineRule="auto"/>
        <w:jc w:val="both"/>
        <w:rPr>
          <w:rFonts w:ascii="Arial" w:eastAsia="Calibri" w:hAnsi="Arial" w:cs="Arial"/>
          <w:color w:val="000000"/>
          <w:lang w:eastAsia="zh-CN"/>
        </w:rPr>
      </w:pPr>
      <w:r w:rsidRPr="004E14B7">
        <w:rPr>
          <w:rFonts w:ascii="Arial" w:eastAsia="Calibri" w:hAnsi="Arial" w:cs="Arial"/>
          <w:color w:val="000000"/>
          <w:lang w:eastAsia="zh-CN"/>
        </w:rPr>
        <w:t>Definirea unui set de rezultate intermediare şi finale care să permită monitorizarea progresului în atingerea obiectivelor.</w:t>
      </w:r>
    </w:p>
    <w:p w14:paraId="1C7099C8" w14:textId="77777777" w:rsidR="004E14B7" w:rsidRPr="004E14B7" w:rsidRDefault="004E14B7" w:rsidP="000C6CB8">
      <w:pPr>
        <w:widowControl w:val="0"/>
        <w:numPr>
          <w:ilvl w:val="0"/>
          <w:numId w:val="168"/>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Detalierea unei metodologii care permite monitorizarea progresului în realizarea obiectivelor. </w:t>
      </w:r>
    </w:p>
    <w:p w14:paraId="26C8555E" w14:textId="77777777" w:rsidR="004E14B7" w:rsidRPr="004E14B7" w:rsidRDefault="004E14B7" w:rsidP="000C6CB8">
      <w:pPr>
        <w:widowControl w:val="0"/>
        <w:numPr>
          <w:ilvl w:val="0"/>
          <w:numId w:val="168"/>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Stabilirea unor referințe cheie pentru evaluarea eficienței și eficacității măsurilor. </w:t>
      </w:r>
    </w:p>
    <w:p w14:paraId="6E7FBB1B" w14:textId="77777777" w:rsidR="004E14B7" w:rsidRPr="004E14B7" w:rsidRDefault="004E14B7" w:rsidP="004E14B7">
      <w:pPr>
        <w:suppressAutoHyphens/>
        <w:autoSpaceDE w:val="0"/>
        <w:spacing w:after="0" w:line="276" w:lineRule="auto"/>
        <w:jc w:val="both"/>
        <w:rPr>
          <w:rFonts w:ascii="Arial" w:eastAsia="Calibri" w:hAnsi="Arial" w:cs="Arial"/>
          <w:color w:val="000000"/>
          <w:lang w:val="es-ES" w:eastAsia="zh-CN"/>
        </w:rPr>
      </w:pPr>
    </w:p>
    <w:p w14:paraId="3539F159" w14:textId="77777777" w:rsidR="004E14B7" w:rsidRPr="004E14B7" w:rsidRDefault="004E14B7" w:rsidP="004E14B7">
      <w:pPr>
        <w:suppressAutoHyphens/>
        <w:autoSpaceDE w:val="0"/>
        <w:spacing w:after="0" w:line="276" w:lineRule="auto"/>
        <w:jc w:val="both"/>
        <w:rPr>
          <w:rFonts w:ascii="Arial" w:eastAsia="Calibri" w:hAnsi="Arial" w:cs="Arial"/>
          <w:b/>
          <w:color w:val="000000"/>
          <w:lang w:val="es-ES" w:eastAsia="zh-CN"/>
        </w:rPr>
      </w:pPr>
      <w:r w:rsidRPr="004E14B7">
        <w:rPr>
          <w:rFonts w:ascii="Arial" w:eastAsia="Calibri" w:hAnsi="Arial" w:cs="Arial"/>
          <w:b/>
          <w:color w:val="000000"/>
          <w:lang w:val="es-ES" w:eastAsia="zh-CN"/>
        </w:rPr>
        <w:t>Mai jos sunt insera</w:t>
      </w:r>
      <w:r w:rsidRPr="004E14B7">
        <w:rPr>
          <w:rFonts w:ascii="Arial" w:eastAsia="Calibri" w:hAnsi="Arial" w:cs="Arial"/>
          <w:color w:val="000000"/>
          <w:lang w:val="es-ES" w:eastAsia="zh-CN"/>
        </w:rPr>
        <w:t>ț</w:t>
      </w:r>
      <w:r w:rsidRPr="004E14B7">
        <w:rPr>
          <w:rFonts w:ascii="Arial" w:eastAsia="Calibri" w:hAnsi="Arial" w:cs="Arial"/>
          <w:b/>
          <w:color w:val="000000"/>
          <w:lang w:val="es-ES" w:eastAsia="zh-CN"/>
        </w:rPr>
        <w:t>i cei 11 indicatori de urm</w:t>
      </w:r>
      <w:r w:rsidRPr="004E14B7">
        <w:rPr>
          <w:rFonts w:ascii="Arial" w:eastAsia="Calibri" w:hAnsi="Arial" w:cs="Arial"/>
          <w:b/>
          <w:bCs/>
          <w:color w:val="000000"/>
          <w:lang w:val="es-ES" w:eastAsia="zh-CN"/>
        </w:rPr>
        <w:t>ă</w:t>
      </w:r>
      <w:r w:rsidRPr="004E14B7">
        <w:rPr>
          <w:rFonts w:ascii="Arial" w:eastAsia="Calibri" w:hAnsi="Arial" w:cs="Arial"/>
          <w:b/>
          <w:color w:val="000000"/>
          <w:lang w:val="es-ES" w:eastAsia="zh-CN"/>
        </w:rPr>
        <w:t xml:space="preserve">rit </w:t>
      </w:r>
      <w:r w:rsidRPr="004E14B7">
        <w:rPr>
          <w:rFonts w:ascii="Arial" w:eastAsia="Calibri" w:hAnsi="Arial" w:cs="Arial"/>
          <w:color w:val="000000"/>
          <w:lang w:val="es-ES" w:eastAsia="zh-CN"/>
        </w:rPr>
        <w:t>î</w:t>
      </w:r>
      <w:r w:rsidRPr="004E14B7">
        <w:rPr>
          <w:rFonts w:ascii="Arial" w:eastAsia="Calibri" w:hAnsi="Arial" w:cs="Arial"/>
          <w:b/>
          <w:color w:val="000000"/>
          <w:lang w:val="es-ES" w:eastAsia="zh-CN"/>
        </w:rPr>
        <w:t xml:space="preserve">n cadrul procesului de implementare a PMUD: </w:t>
      </w:r>
    </w:p>
    <w:p w14:paraId="0AECA499" w14:textId="77777777" w:rsidR="004E14B7" w:rsidRPr="004E14B7" w:rsidRDefault="004E14B7" w:rsidP="004E14B7">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color w:val="000000"/>
          <w:lang w:val="es-ES" w:eastAsia="zh-CN"/>
        </w:rPr>
        <w:t>Viteza medie de circulație pe re</w:t>
      </w:r>
      <w:r w:rsidR="006161F5">
        <w:rPr>
          <w:rFonts w:ascii="Arial" w:eastAsia="Arial" w:hAnsi="Arial" w:cs="Arial"/>
          <w:color w:val="000000"/>
          <w:lang w:val="es-ES" w:eastAsia="zh-CN"/>
        </w:rPr>
        <w:t>ţ</w:t>
      </w:r>
      <w:r w:rsidRPr="004E14B7">
        <w:rPr>
          <w:rFonts w:ascii="Arial" w:eastAsia="Arial" w:hAnsi="Arial" w:cs="Arial"/>
          <w:color w:val="000000"/>
          <w:lang w:val="es-ES" w:eastAsia="zh-CN"/>
        </w:rPr>
        <w:t>ea (km/h);</w:t>
      </w:r>
    </w:p>
    <w:p w14:paraId="33733D14" w14:textId="77777777" w:rsidR="004E14B7" w:rsidRPr="004E14B7" w:rsidRDefault="004E14B7" w:rsidP="004E14B7">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4E14B7">
        <w:rPr>
          <w:rFonts w:ascii="Arial" w:eastAsia="Arial" w:hAnsi="Arial" w:cs="Arial"/>
          <w:color w:val="000000"/>
          <w:lang w:eastAsia="zh-CN"/>
        </w:rPr>
        <w:t>Întârzierea medie (s);</w:t>
      </w:r>
    </w:p>
    <w:p w14:paraId="66FAE448" w14:textId="77777777" w:rsidR="004E14B7" w:rsidRPr="004E14B7" w:rsidRDefault="004E14B7" w:rsidP="004E14B7">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4E14B7">
        <w:rPr>
          <w:rFonts w:ascii="Arial" w:eastAsia="Arial" w:hAnsi="Arial" w:cs="Arial"/>
          <w:color w:val="000000"/>
          <w:lang w:eastAsia="zh-CN"/>
        </w:rPr>
        <w:t>Consumul de combustibil (litri);</w:t>
      </w:r>
    </w:p>
    <w:p w14:paraId="42148AF4" w14:textId="77777777" w:rsidR="004E14B7" w:rsidRPr="004E14B7" w:rsidRDefault="004E14B7" w:rsidP="004E14B7">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color w:val="000000"/>
          <w:lang w:val="es-ES" w:eastAsia="zh-CN"/>
        </w:rPr>
        <w:t>Nivelul de serviciu în intersecții;</w:t>
      </w:r>
    </w:p>
    <w:p w14:paraId="29238297" w14:textId="77777777" w:rsidR="004E14B7" w:rsidRPr="004E14B7" w:rsidRDefault="006161F5" w:rsidP="006161F5">
      <w:pPr>
        <w:widowControl w:val="0"/>
        <w:numPr>
          <w:ilvl w:val="0"/>
          <w:numId w:val="72"/>
        </w:numPr>
        <w:suppressAutoHyphens/>
        <w:autoSpaceDE w:val="0"/>
        <w:spacing w:after="0" w:line="276" w:lineRule="auto"/>
        <w:jc w:val="both"/>
        <w:rPr>
          <w:rFonts w:ascii="Arial" w:eastAsia="Arial" w:hAnsi="Arial" w:cs="Arial"/>
          <w:color w:val="000000"/>
          <w:lang w:eastAsia="zh-CN"/>
        </w:rPr>
      </w:pPr>
      <w:r>
        <w:rPr>
          <w:rFonts w:ascii="Arial" w:eastAsia="Arial" w:hAnsi="Arial" w:cs="Arial"/>
          <w:color w:val="000000"/>
          <w:lang w:eastAsia="zh-CN"/>
        </w:rPr>
        <w:t>Nivelul noxelor şi al conţ</w:t>
      </w:r>
      <w:r w:rsidR="004E14B7" w:rsidRPr="004E14B7">
        <w:rPr>
          <w:rFonts w:ascii="Arial" w:eastAsia="Arial" w:hAnsi="Arial" w:cs="Arial"/>
          <w:color w:val="000000"/>
          <w:lang w:eastAsia="zh-CN"/>
        </w:rPr>
        <w:t>inutului de praf din aer - emisii CO (kg), emisii Nox (kg), emisii VOC (kg);</w:t>
      </w:r>
    </w:p>
    <w:p w14:paraId="5255AD6D" w14:textId="77777777" w:rsidR="004E14B7" w:rsidRPr="004E14B7" w:rsidRDefault="004E14B7" w:rsidP="004E14B7">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color w:val="000000"/>
          <w:lang w:val="es-ES" w:eastAsia="zh-CN"/>
        </w:rPr>
        <w:t>Nu</w:t>
      </w:r>
      <w:r w:rsidR="006161F5">
        <w:rPr>
          <w:rFonts w:ascii="Arial" w:eastAsia="Arial" w:hAnsi="Arial" w:cs="Arial"/>
          <w:color w:val="000000"/>
          <w:lang w:val="es-ES" w:eastAsia="zh-CN"/>
        </w:rPr>
        <w:t>mărul total de kilometri de stră</w:t>
      </w:r>
      <w:r w:rsidRPr="004E14B7">
        <w:rPr>
          <w:rFonts w:ascii="Arial" w:eastAsia="Arial" w:hAnsi="Arial" w:cs="Arial"/>
          <w:color w:val="000000"/>
          <w:lang w:val="es-ES" w:eastAsia="zh-CN"/>
        </w:rPr>
        <w:t>zi reabilitate;</w:t>
      </w:r>
    </w:p>
    <w:p w14:paraId="3BEB0EE2" w14:textId="77777777" w:rsidR="004E14B7" w:rsidRPr="004E14B7" w:rsidRDefault="004E14B7" w:rsidP="004E14B7">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4E14B7">
        <w:rPr>
          <w:rFonts w:ascii="Arial" w:eastAsia="Arial" w:hAnsi="Arial" w:cs="Arial"/>
          <w:color w:val="000000"/>
          <w:lang w:eastAsia="zh-CN"/>
        </w:rPr>
        <w:t>Numărul total de călătorii în transportul public (repartiția modală);</w:t>
      </w:r>
    </w:p>
    <w:p w14:paraId="43A6B73D" w14:textId="77777777" w:rsidR="004E14B7" w:rsidRPr="004E14B7" w:rsidRDefault="004E14B7" w:rsidP="004E14B7">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4E14B7">
        <w:rPr>
          <w:rFonts w:ascii="Arial" w:eastAsia="Arial" w:hAnsi="Arial" w:cs="Arial"/>
          <w:color w:val="000000"/>
          <w:lang w:eastAsia="zh-CN"/>
        </w:rPr>
        <w:t>Gradul de acoperire al serviciului de transport public;</w:t>
      </w:r>
    </w:p>
    <w:p w14:paraId="6DD06F68" w14:textId="77777777" w:rsidR="004E14B7" w:rsidRPr="004E14B7" w:rsidRDefault="004E14B7" w:rsidP="004E14B7">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color w:val="000000"/>
          <w:lang w:val="es-ES" w:eastAsia="zh-CN"/>
        </w:rPr>
        <w:t>Numărul de accidente cu urmări grave în oraș;</w:t>
      </w:r>
    </w:p>
    <w:p w14:paraId="704ED739" w14:textId="77777777" w:rsidR="004E14B7" w:rsidRPr="004E14B7" w:rsidRDefault="004E14B7" w:rsidP="004E14B7">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4E14B7">
        <w:rPr>
          <w:rFonts w:ascii="Arial" w:eastAsia="Arial" w:hAnsi="Arial" w:cs="Arial"/>
          <w:color w:val="000000"/>
          <w:lang w:eastAsia="zh-CN"/>
        </w:rPr>
        <w:t>Lungimea cozilor de asteptare.</w:t>
      </w:r>
    </w:p>
    <w:p w14:paraId="1BA39C05" w14:textId="77777777" w:rsidR="004E14B7" w:rsidRPr="004E14B7" w:rsidRDefault="004E14B7" w:rsidP="004E14B7">
      <w:pPr>
        <w:suppressAutoHyphens/>
        <w:autoSpaceDE w:val="0"/>
        <w:spacing w:after="0" w:line="360" w:lineRule="auto"/>
        <w:jc w:val="both"/>
        <w:rPr>
          <w:rFonts w:ascii="Arial" w:eastAsia="Calibri" w:hAnsi="Arial" w:cs="Arial"/>
          <w:color w:val="000000"/>
          <w:sz w:val="24"/>
          <w:szCs w:val="24"/>
          <w:lang w:eastAsia="zh-CN"/>
        </w:rPr>
      </w:pPr>
    </w:p>
    <w:p w14:paraId="6EA53E76" w14:textId="77777777" w:rsidR="004E14B7" w:rsidRPr="004E14B7" w:rsidRDefault="006161F5" w:rsidP="004E14B7">
      <w:pPr>
        <w:suppressAutoHyphens/>
        <w:autoSpaceDE w:val="0"/>
        <w:spacing w:after="0" w:line="276" w:lineRule="auto"/>
        <w:jc w:val="both"/>
        <w:rPr>
          <w:rFonts w:ascii="Arial" w:eastAsia="Calibri" w:hAnsi="Arial" w:cs="Arial"/>
          <w:color w:val="000000"/>
          <w:lang w:val="es-ES" w:eastAsia="zh-CN"/>
        </w:rPr>
      </w:pPr>
      <w:r>
        <w:rPr>
          <w:rFonts w:ascii="Arial" w:hAnsi="Arial" w:cs="Arial"/>
          <w:color w:val="000000"/>
          <w:shd w:val="clear" w:color="auto" w:fill="FFFFFF"/>
          <w:lang w:val="es-ES"/>
        </w:rPr>
        <w:t>În urma</w:t>
      </w:r>
      <w:r w:rsidR="004E14B7" w:rsidRPr="004E14B7">
        <w:rPr>
          <w:rFonts w:ascii="Arial" w:hAnsi="Arial" w:cs="Arial"/>
          <w:color w:val="000000"/>
          <w:shd w:val="clear" w:color="auto" w:fill="FFFFFF"/>
          <w:lang w:val="es-ES"/>
        </w:rPr>
        <w:t xml:space="preserve"> analizării sit</w:t>
      </w:r>
      <w:r>
        <w:rPr>
          <w:rFonts w:ascii="Arial" w:hAnsi="Arial" w:cs="Arial"/>
          <w:color w:val="000000"/>
          <w:shd w:val="clear" w:color="auto" w:fill="FFFFFF"/>
          <w:lang w:val="es-ES"/>
        </w:rPr>
        <w:t>uaţiei existente la nivelul Oraş</w:t>
      </w:r>
      <w:r w:rsidR="004E14B7" w:rsidRPr="004E14B7">
        <w:rPr>
          <w:rFonts w:ascii="Arial" w:hAnsi="Arial" w:cs="Arial"/>
          <w:color w:val="000000"/>
          <w:shd w:val="clear" w:color="auto" w:fill="FFFFFF"/>
          <w:lang w:val="es-ES"/>
        </w:rPr>
        <w:t>ului Horezu şi a ariei sale de influenţă şi a identificării problemelor legate de mobilitate cu care se confruntă, au fost definite măsurile şi proiectele ce vor fi testate cu ajutorul modelului de transport pentru a se construi scenariile de dezvoltare ale oraşului. </w:t>
      </w:r>
      <w:r w:rsidR="004E14B7" w:rsidRPr="004E14B7">
        <w:rPr>
          <w:rFonts w:ascii="Arial" w:hAnsi="Arial" w:cs="Arial"/>
          <w:color w:val="000000"/>
          <w:shd w:val="clear" w:color="auto" w:fill="FFFFFF"/>
        </w:rPr>
        <w:t>Măsurile fezabile pentru Horezu au rezultat în urma analizei situației actuale și răspund problemelor identificate în cadrul cap. 4, fiind prezentate în </w:t>
      </w:r>
      <w:r w:rsidR="004E14B7" w:rsidRPr="00B02385">
        <w:rPr>
          <w:rFonts w:ascii="Arial" w:hAnsi="Arial" w:cs="Arial"/>
          <w:color w:val="000000"/>
        </w:rPr>
        <w:t xml:space="preserve">Anexa </w:t>
      </w:r>
      <w:r w:rsidR="00B02385" w:rsidRPr="00B02385">
        <w:rPr>
          <w:rFonts w:ascii="Arial" w:hAnsi="Arial" w:cs="Arial"/>
          <w:color w:val="000000"/>
        </w:rPr>
        <w:t>9</w:t>
      </w:r>
      <w:r w:rsidR="004E14B7" w:rsidRPr="00B02385">
        <w:rPr>
          <w:rFonts w:ascii="Arial" w:hAnsi="Arial" w:cs="Arial"/>
          <w:color w:val="000000"/>
        </w:rPr>
        <w:t>. </w:t>
      </w:r>
      <w:r w:rsidR="004E14B7" w:rsidRPr="00B02385">
        <w:rPr>
          <w:rFonts w:ascii="Arial" w:hAnsi="Arial" w:cs="Arial"/>
          <w:color w:val="000000"/>
          <w:lang w:val="es-ES"/>
        </w:rPr>
        <w:t>Principala</w:t>
      </w:r>
      <w:r w:rsidR="004E14B7" w:rsidRPr="00B02385">
        <w:rPr>
          <w:rFonts w:ascii="Arial" w:hAnsi="Arial" w:cs="Arial"/>
          <w:color w:val="000000"/>
          <w:shd w:val="clear" w:color="auto" w:fill="FFFFFF"/>
          <w:lang w:val="es-ES"/>
        </w:rPr>
        <w:t xml:space="preserve"> problemă care se pune în momentul de faţă este realizarea unei sinteze care să aducă ansamblul „măsuri-indicatori-ţinte”</w:t>
      </w:r>
      <w:r w:rsidR="004E14B7" w:rsidRPr="00B02385">
        <w:rPr>
          <w:rFonts w:ascii="Arial" w:eastAsia="Times New Roman" w:hAnsi="Arial" w:cs="Arial"/>
          <w:color w:val="000000"/>
          <w:lang w:val="es-ES" w:eastAsia="ro-RO"/>
        </w:rPr>
        <w:t xml:space="preserve"> la un grad de agregare încât </w:t>
      </w:r>
      <w:r w:rsidR="004E14B7" w:rsidRPr="00B02385">
        <w:rPr>
          <w:rFonts w:ascii="Arial" w:eastAsia="Times New Roman" w:hAnsi="Arial" w:cs="Arial"/>
          <w:b/>
          <w:color w:val="000000"/>
          <w:lang w:val="es-ES" w:eastAsia="ro-RO"/>
        </w:rPr>
        <w:t>să se permită</w:t>
      </w:r>
      <w:r w:rsidR="004E14B7" w:rsidRPr="004E14B7">
        <w:rPr>
          <w:rFonts w:ascii="Arial" w:eastAsia="Times New Roman" w:hAnsi="Arial" w:cs="Arial"/>
          <w:b/>
          <w:color w:val="000000"/>
          <w:lang w:val="es-ES" w:eastAsia="ro-RO"/>
        </w:rPr>
        <w:t xml:space="preserve"> măsurilor să conducă planul geografic, demografic, social şi economic – analizabil prin indicatori, la nivelul ţintelor (doar dacă există resurse). </w:t>
      </w:r>
    </w:p>
    <w:p w14:paraId="545A1C1E" w14:textId="77777777" w:rsidR="004E14B7" w:rsidRPr="004E14B7" w:rsidRDefault="004E14B7" w:rsidP="004E14B7">
      <w:pPr>
        <w:suppressAutoHyphens/>
        <w:autoSpaceDE w:val="0"/>
        <w:spacing w:after="0" w:line="276" w:lineRule="auto"/>
        <w:jc w:val="both"/>
        <w:rPr>
          <w:rFonts w:ascii="Arial" w:eastAsia="Calibri" w:hAnsi="Arial" w:cs="Arial"/>
          <w:color w:val="000000"/>
          <w:lang w:val="es-ES" w:eastAsia="zh-CN"/>
        </w:rPr>
      </w:pPr>
    </w:p>
    <w:p w14:paraId="1FF5906E" w14:textId="77777777" w:rsidR="004E14B7" w:rsidRPr="004E14B7" w:rsidRDefault="004E14B7" w:rsidP="004E14B7">
      <w:pPr>
        <w:suppressAutoHyphens/>
        <w:autoSpaceDE w:val="0"/>
        <w:spacing w:after="0" w:line="360"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Aceste măsuri sunt prezentate în continuare:</w:t>
      </w:r>
    </w:p>
    <w:p w14:paraId="2AB28429" w14:textId="77777777" w:rsidR="004E14B7" w:rsidRPr="004E14B7" w:rsidRDefault="004E14B7" w:rsidP="004E14B7">
      <w:pPr>
        <w:suppressAutoHyphens/>
        <w:autoSpaceDE w:val="0"/>
        <w:spacing w:after="0" w:line="360" w:lineRule="auto"/>
        <w:jc w:val="both"/>
        <w:rPr>
          <w:rFonts w:ascii="Arial" w:eastAsia="Calibri" w:hAnsi="Arial" w:cs="Arial"/>
          <w:color w:val="000000"/>
          <w:sz w:val="24"/>
          <w:szCs w:val="24"/>
          <w:lang w:val="es-ES" w:eastAsia="zh-CN"/>
        </w:rPr>
      </w:pPr>
    </w:p>
    <w:p w14:paraId="1D84D537" w14:textId="77777777" w:rsidR="004E14B7" w:rsidRPr="004E14B7" w:rsidRDefault="004E14B7" w:rsidP="004E14B7">
      <w:pPr>
        <w:suppressAutoHyphens/>
        <w:autoSpaceDE w:val="0"/>
        <w:spacing w:after="0" w:line="276" w:lineRule="auto"/>
        <w:jc w:val="both"/>
        <w:rPr>
          <w:rFonts w:ascii="Arial" w:eastAsia="Calibri" w:hAnsi="Arial" w:cs="Arial"/>
          <w:b/>
          <w:strike/>
          <w:color w:val="000000"/>
          <w:lang w:val="es-ES" w:eastAsia="zh-CN"/>
        </w:rPr>
      </w:pPr>
      <w:r w:rsidRPr="004E14B7">
        <w:rPr>
          <w:rFonts w:ascii="Arial" w:eastAsia="Arial" w:hAnsi="Arial" w:cs="Arial"/>
          <w:b/>
          <w:color w:val="000000"/>
          <w:lang w:val="es-ES" w:eastAsia="zh-CN"/>
        </w:rPr>
        <w:t xml:space="preserve">I. </w:t>
      </w:r>
      <w:r w:rsidRPr="004E14B7">
        <w:rPr>
          <w:rFonts w:ascii="Arial" w:eastAsia="Calibri" w:hAnsi="Arial" w:cs="Arial"/>
          <w:b/>
          <w:color w:val="000000"/>
          <w:lang w:val="es-ES"/>
        </w:rPr>
        <w:t>Consolidarea capacităţii instituţionale</w:t>
      </w:r>
    </w:p>
    <w:p w14:paraId="0BF45AED" w14:textId="77777777" w:rsidR="004E14B7" w:rsidRPr="004E14B7" w:rsidRDefault="004E14B7" w:rsidP="004E14B7">
      <w:pPr>
        <w:widowControl w:val="0"/>
        <w:numPr>
          <w:ilvl w:val="0"/>
          <w:numId w:val="73"/>
        </w:numPr>
        <w:suppressAutoHyphens/>
        <w:autoSpaceDE w:val="0"/>
        <w:spacing w:after="0" w:line="276" w:lineRule="auto"/>
        <w:jc w:val="both"/>
        <w:rPr>
          <w:rFonts w:ascii="Arial" w:eastAsia="Arial" w:hAnsi="Arial" w:cs="Arial"/>
          <w:color w:val="000000"/>
          <w:lang w:val="es-ES" w:eastAsia="zh-CN"/>
        </w:rPr>
      </w:pPr>
      <w:r w:rsidRPr="004E14B7">
        <w:rPr>
          <w:rFonts w:ascii="Arial" w:eastAsia="Calibri" w:hAnsi="Arial" w:cs="Arial"/>
          <w:color w:val="000000"/>
          <w:lang w:val="es-ES" w:eastAsia="zh-CN"/>
        </w:rPr>
        <w:t xml:space="preserve">I.1 = măsuri de educare sistematică în şcoli – în ideea formării unei culturi a dezvoltării durabile; </w:t>
      </w:r>
    </w:p>
    <w:p w14:paraId="3850F590" w14:textId="77777777" w:rsidR="004E14B7" w:rsidRPr="004E14B7" w:rsidRDefault="004E14B7" w:rsidP="004E14B7">
      <w:pPr>
        <w:widowControl w:val="0"/>
        <w:numPr>
          <w:ilvl w:val="0"/>
          <w:numId w:val="73"/>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I.2 = inovări în domeniul admistrativ care să reducă numărul necesar de deplasări ale cetăţeanului la instituţia respectivă = introducerea semnăturii electronice ca formă de reprezentare simbolică a cetăţeanului fără a fi necesară prezenţa fizică; </w:t>
      </w:r>
    </w:p>
    <w:p w14:paraId="14E96963" w14:textId="77777777" w:rsidR="004E14B7" w:rsidRPr="004E14B7" w:rsidRDefault="004E14B7" w:rsidP="004E14B7">
      <w:pPr>
        <w:widowControl w:val="0"/>
        <w:numPr>
          <w:ilvl w:val="0"/>
          <w:numId w:val="73"/>
        </w:numPr>
        <w:suppressAutoHyphens/>
        <w:autoSpaceDE w:val="0"/>
        <w:spacing w:after="0" w:line="276" w:lineRule="auto"/>
        <w:jc w:val="both"/>
        <w:rPr>
          <w:rFonts w:ascii="Arial" w:eastAsia="Arial" w:hAnsi="Arial" w:cs="Arial"/>
          <w:color w:val="000000"/>
          <w:lang w:eastAsia="zh-CN"/>
        </w:rPr>
      </w:pPr>
      <w:r w:rsidRPr="004E14B7">
        <w:rPr>
          <w:rFonts w:ascii="Arial" w:eastAsia="Calibri" w:hAnsi="Arial" w:cs="Arial"/>
          <w:color w:val="000000"/>
          <w:lang w:eastAsia="zh-CN"/>
        </w:rPr>
        <w:t>I.3 = înfiinţarea unei structuri organizaţionale şi de planificare a activităţii</w:t>
      </w:r>
      <w:r w:rsidR="006161F5">
        <w:rPr>
          <w:rFonts w:ascii="Arial" w:eastAsia="Calibri" w:hAnsi="Arial" w:cs="Arial"/>
          <w:color w:val="000000"/>
          <w:lang w:eastAsia="zh-CN"/>
        </w:rPr>
        <w:t xml:space="preserve"> de transport public pentru Oraş</w:t>
      </w:r>
      <w:r w:rsidRPr="004E14B7">
        <w:rPr>
          <w:rFonts w:ascii="Arial" w:eastAsia="Calibri" w:hAnsi="Arial" w:cs="Arial"/>
          <w:color w:val="000000"/>
          <w:lang w:eastAsia="zh-CN"/>
        </w:rPr>
        <w:t xml:space="preserve">ul Horezu </w:t>
      </w:r>
    </w:p>
    <w:p w14:paraId="597CA6CC" w14:textId="77777777" w:rsidR="004E14B7" w:rsidRPr="004E14B7" w:rsidRDefault="004E14B7" w:rsidP="004E14B7">
      <w:pPr>
        <w:widowControl w:val="0"/>
        <w:numPr>
          <w:ilvl w:val="0"/>
          <w:numId w:val="73"/>
        </w:numPr>
        <w:suppressAutoHyphens/>
        <w:autoSpaceDE w:val="0"/>
        <w:spacing w:after="0" w:line="276" w:lineRule="auto"/>
        <w:jc w:val="both"/>
        <w:rPr>
          <w:rFonts w:ascii="Arial" w:eastAsia="Arial" w:hAnsi="Arial" w:cs="Arial"/>
          <w:color w:val="000000"/>
          <w:lang w:val="es-ES" w:eastAsia="zh-CN"/>
        </w:rPr>
      </w:pPr>
      <w:r w:rsidRPr="004E14B7">
        <w:rPr>
          <w:rFonts w:ascii="Arial" w:eastAsia="Calibri" w:hAnsi="Arial" w:cs="Arial"/>
          <w:color w:val="000000"/>
          <w:lang w:val="es-ES" w:eastAsia="zh-CN"/>
        </w:rPr>
        <w:t>I.4 = modificarea orelor de începere a activităţii agenţilor economici de pe o aceeaşi arteră sau acelaşi punct – marginal – de destinaţie = este o măsură legată de progresul economic înregistra</w:t>
      </w:r>
      <w:r w:rsidR="006161F5">
        <w:rPr>
          <w:rFonts w:ascii="Arial" w:eastAsia="Calibri" w:hAnsi="Arial" w:cs="Arial"/>
          <w:color w:val="000000"/>
          <w:lang w:val="es-ES" w:eastAsia="zh-CN"/>
        </w:rPr>
        <w:t>t de zonele industriale ale oraş</w:t>
      </w:r>
      <w:r w:rsidRPr="004E14B7">
        <w:rPr>
          <w:rFonts w:ascii="Arial" w:eastAsia="Calibri" w:hAnsi="Arial" w:cs="Arial"/>
          <w:color w:val="000000"/>
          <w:lang w:val="es-ES" w:eastAsia="zh-CN"/>
        </w:rPr>
        <w:t>ului;</w:t>
      </w:r>
    </w:p>
    <w:p w14:paraId="1E17C3EB" w14:textId="77777777" w:rsidR="004E14B7" w:rsidRPr="004E14B7" w:rsidRDefault="004E14B7" w:rsidP="004E14B7">
      <w:pPr>
        <w:widowControl w:val="0"/>
        <w:numPr>
          <w:ilvl w:val="0"/>
          <w:numId w:val="73"/>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I.5 = crearea cadrului pentru dezvoltarea de teleactivităţi şi telelucru, inclusiv găsirea </w:t>
      </w:r>
      <w:r w:rsidRPr="004E14B7">
        <w:rPr>
          <w:rFonts w:ascii="Arial" w:eastAsia="Calibri" w:hAnsi="Arial" w:cs="Arial"/>
          <w:color w:val="000000"/>
          <w:lang w:val="es-ES" w:eastAsia="zh-CN"/>
        </w:rPr>
        <w:lastRenderedPageBreak/>
        <w:t xml:space="preserve">de modalităţi de reducere a fiscalităţii pentru firmele care practică teleactivităţile si telelucrul = În ultimii ani, s-au dezvoltat rapid noi tehnologii informaţionale şi de comunicare, astfel încât în centrul dezbaterilor ştiinţifice, politice şi economice din ultima perioadă a stat apariţia şi dezvoltarea Societăţii Informaţionale, generatoare de noi oportunităţi de muncă, dar şi de schimbări esenţiale în ceea ce priveşte natura muncii şi modul de lucru, schimbări comparabile cu cele petrecute în revoluţia industrială. </w:t>
      </w:r>
      <w:r w:rsidRPr="004E14B7">
        <w:rPr>
          <w:rFonts w:ascii="Arial" w:eastAsia="Calibri" w:hAnsi="Arial" w:cs="Arial"/>
          <w:b/>
          <w:color w:val="000000"/>
          <w:lang w:val="es-ES" w:eastAsia="zh-CN"/>
        </w:rPr>
        <w:t xml:space="preserve">Telelucrul </w:t>
      </w:r>
      <w:r w:rsidRPr="004E14B7">
        <w:rPr>
          <w:rFonts w:ascii="Arial" w:eastAsia="Calibri" w:hAnsi="Arial" w:cs="Arial"/>
          <w:color w:val="000000"/>
          <w:lang w:val="es-ES" w:eastAsia="zh-CN"/>
        </w:rPr>
        <w:t xml:space="preserve">se referă la o activitate unde angajaţii îşi pot alege locaţia de unde să lucreze şi orele în care să lucreze. </w:t>
      </w:r>
      <w:r w:rsidRPr="004E14B7">
        <w:rPr>
          <w:rFonts w:ascii="Arial" w:eastAsia="Calibri" w:hAnsi="Arial" w:cs="Arial"/>
          <w:b/>
          <w:color w:val="000000"/>
          <w:lang w:val="es-ES" w:eastAsia="zh-CN"/>
        </w:rPr>
        <w:t xml:space="preserve">Telelucrul </w:t>
      </w:r>
      <w:r w:rsidRPr="004E14B7">
        <w:rPr>
          <w:rFonts w:ascii="Arial" w:eastAsia="Calibri" w:hAnsi="Arial" w:cs="Arial"/>
          <w:color w:val="000000"/>
          <w:lang w:val="es-ES" w:eastAsia="zh-CN"/>
        </w:rPr>
        <w:t xml:space="preserve">este, prin definiţie, </w:t>
      </w:r>
      <w:r w:rsidRPr="004E14B7">
        <w:rPr>
          <w:rFonts w:ascii="Arial" w:eastAsia="Calibri" w:hAnsi="Arial" w:cs="Arial"/>
          <w:b/>
          <w:color w:val="000000"/>
          <w:lang w:val="es-ES" w:eastAsia="zh-CN"/>
        </w:rPr>
        <w:t xml:space="preserve">activitatea prin care se utilizează calculatoarele şi telecomunicaţiile pentru a schimba geografia de lucru acceptată: </w:t>
      </w:r>
      <w:r w:rsidRPr="004E14B7">
        <w:rPr>
          <w:rFonts w:ascii="Arial" w:eastAsia="Calibri" w:hAnsi="Arial" w:cs="Arial"/>
          <w:color w:val="000000"/>
          <w:lang w:val="es-ES" w:eastAsia="zh-CN"/>
        </w:rPr>
        <w:t xml:space="preserve">telelucrul este activitatea prin care se utilizează tehnologia informaţiei şi comunicaţiilor pentru realizarea unei activităţi lucrative la distanţă de locul unde este nevoie de rezultatul muncii sau de locul unde s-ar fi desfăşurat munca în mod normal. </w:t>
      </w:r>
      <w:r w:rsidRPr="004E14B7">
        <w:rPr>
          <w:rFonts w:ascii="Arial" w:eastAsia="Calibri" w:hAnsi="Arial" w:cs="Arial"/>
          <w:b/>
          <w:color w:val="000000"/>
          <w:lang w:val="es-ES" w:eastAsia="zh-CN"/>
        </w:rPr>
        <w:t xml:space="preserve">Domeniile </w:t>
      </w:r>
      <w:r w:rsidRPr="004E14B7">
        <w:rPr>
          <w:rFonts w:ascii="Arial" w:eastAsia="Calibri" w:hAnsi="Arial" w:cs="Arial"/>
          <w:color w:val="000000"/>
          <w:lang w:val="es-ES" w:eastAsia="zh-CN"/>
        </w:rPr>
        <w:t xml:space="preserve">în care – deocamdată – s-au creat deja nişe pentru TELECOMUTATORI = firme care pot delega activităţi în afara sediului oficial, sunt comerţul, marketingul, educaţia, programarea (soft pentru computere). </w:t>
      </w:r>
    </w:p>
    <w:p w14:paraId="10C3BFC1" w14:textId="77777777" w:rsidR="004E14B7" w:rsidRPr="004E14B7" w:rsidRDefault="004E14B7" w:rsidP="004E14B7">
      <w:pPr>
        <w:widowControl w:val="0"/>
        <w:numPr>
          <w:ilvl w:val="0"/>
          <w:numId w:val="73"/>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eastAsia="zh-CN"/>
        </w:rPr>
        <w:t>I.6 = înfiinţarea in cadrul Primariei Horezu a unei structuri organizaţi</w:t>
      </w:r>
      <w:r w:rsidR="006161F5">
        <w:rPr>
          <w:rFonts w:ascii="Arial" w:eastAsia="Calibri" w:hAnsi="Arial" w:cs="Arial"/>
          <w:color w:val="000000"/>
          <w:lang w:eastAsia="zh-CN"/>
        </w:rPr>
        <w:t>onale şi de administrare a parcă</w:t>
      </w:r>
      <w:r w:rsidRPr="004E14B7">
        <w:rPr>
          <w:rFonts w:ascii="Arial" w:eastAsia="Calibri" w:hAnsi="Arial" w:cs="Arial"/>
          <w:color w:val="000000"/>
          <w:lang w:eastAsia="zh-CN"/>
        </w:rPr>
        <w:t>rilor.</w:t>
      </w:r>
    </w:p>
    <w:p w14:paraId="409FF720" w14:textId="77777777" w:rsidR="004E14B7" w:rsidRPr="004E14B7" w:rsidRDefault="004E14B7" w:rsidP="004E14B7">
      <w:pPr>
        <w:suppressAutoHyphens/>
        <w:autoSpaceDE w:val="0"/>
        <w:spacing w:after="0" w:line="360" w:lineRule="auto"/>
        <w:jc w:val="both"/>
        <w:rPr>
          <w:rFonts w:ascii="Arial" w:eastAsia="Arial" w:hAnsi="Arial" w:cs="Arial"/>
          <w:color w:val="000000"/>
          <w:sz w:val="24"/>
          <w:szCs w:val="24"/>
          <w:lang w:val="es-ES" w:eastAsia="zh-CN"/>
        </w:rPr>
      </w:pPr>
    </w:p>
    <w:p w14:paraId="53D86050" w14:textId="77777777" w:rsidR="004E14B7" w:rsidRPr="004E14B7" w:rsidRDefault="004E14B7" w:rsidP="004E14B7">
      <w:pPr>
        <w:widowControl w:val="0"/>
        <w:suppressAutoHyphens/>
        <w:autoSpaceDE w:val="0"/>
        <w:autoSpaceDN w:val="0"/>
        <w:adjustRightInd w:val="0"/>
        <w:spacing w:after="0" w:line="276" w:lineRule="auto"/>
        <w:rPr>
          <w:rFonts w:ascii="Arial" w:eastAsia="Calibri" w:hAnsi="Arial" w:cs="Arial"/>
          <w:b/>
          <w:color w:val="000000"/>
          <w:kern w:val="1"/>
          <w:lang w:val="es-ES" w:eastAsia="hi-IN" w:bidi="hi-IN"/>
        </w:rPr>
      </w:pPr>
      <w:r w:rsidRPr="004E14B7">
        <w:rPr>
          <w:rFonts w:ascii="Arial" w:eastAsia="Calibri" w:hAnsi="Arial" w:cs="Arial"/>
          <w:b/>
          <w:color w:val="000000"/>
          <w:kern w:val="1"/>
          <w:sz w:val="24"/>
          <w:szCs w:val="24"/>
          <w:lang w:val="es-ES" w:eastAsia="hi-IN" w:bidi="hi-IN"/>
        </w:rPr>
        <w:t xml:space="preserve">II. </w:t>
      </w:r>
      <w:r w:rsidRPr="004E14B7">
        <w:rPr>
          <w:rFonts w:ascii="Arial" w:eastAsia="Calibri" w:hAnsi="Arial" w:cs="Arial"/>
          <w:b/>
          <w:color w:val="000000"/>
          <w:kern w:val="1"/>
          <w:lang w:val="es-ES" w:eastAsia="hi-IN" w:bidi="hi-IN"/>
        </w:rPr>
        <w:t>Transport rutier – utilizarea eficientă a spaţiului de drum</w:t>
      </w:r>
    </w:p>
    <w:p w14:paraId="2EF3C72A" w14:textId="77777777" w:rsidR="004E14B7" w:rsidRPr="004E14B7" w:rsidRDefault="004E14B7" w:rsidP="004E14B7">
      <w:pPr>
        <w:widowControl w:val="0"/>
        <w:numPr>
          <w:ilvl w:val="0"/>
          <w:numId w:val="74"/>
        </w:numPr>
        <w:suppressAutoHyphens/>
        <w:autoSpaceDE w:val="0"/>
        <w:spacing w:after="0" w:line="276" w:lineRule="auto"/>
        <w:jc w:val="both"/>
        <w:rPr>
          <w:rFonts w:ascii="Arial" w:eastAsia="Calibri" w:hAnsi="Arial" w:cs="Arial"/>
          <w:color w:val="000000"/>
          <w:lang w:eastAsia="zh-CN"/>
        </w:rPr>
      </w:pPr>
      <w:r w:rsidRPr="004E14B7">
        <w:rPr>
          <w:rFonts w:ascii="Arial" w:eastAsia="Calibri" w:hAnsi="Arial" w:cs="Arial"/>
          <w:color w:val="000000"/>
          <w:lang w:eastAsia="zh-CN"/>
        </w:rPr>
        <w:t>II.1 = proceduri de creştere a densităţii urbane;</w:t>
      </w:r>
    </w:p>
    <w:p w14:paraId="592C5186" w14:textId="77777777" w:rsidR="004E14B7" w:rsidRPr="004E14B7" w:rsidRDefault="004E14B7" w:rsidP="004E14B7">
      <w:pPr>
        <w:suppressAutoHyphens/>
        <w:autoSpaceDE w:val="0"/>
        <w:spacing w:after="0" w:line="360" w:lineRule="auto"/>
        <w:jc w:val="both"/>
        <w:rPr>
          <w:rFonts w:ascii="Arial" w:eastAsia="Calibri" w:hAnsi="Arial" w:cs="Arial"/>
          <w:color w:val="000000"/>
          <w:sz w:val="24"/>
          <w:szCs w:val="24"/>
          <w:lang w:eastAsia="zh-CN"/>
        </w:rPr>
      </w:pPr>
    </w:p>
    <w:p w14:paraId="14407586" w14:textId="77777777" w:rsidR="004E14B7" w:rsidRPr="004E14B7" w:rsidRDefault="004E14B7" w:rsidP="004E14B7">
      <w:pPr>
        <w:suppressAutoHyphens/>
        <w:autoSpaceDE w:val="0"/>
        <w:spacing w:after="0" w:line="276" w:lineRule="auto"/>
        <w:jc w:val="both"/>
        <w:rPr>
          <w:rFonts w:ascii="Arial" w:eastAsia="Calibri" w:hAnsi="Arial" w:cs="Arial"/>
          <w:b/>
          <w:color w:val="000000"/>
          <w:sz w:val="24"/>
          <w:szCs w:val="24"/>
        </w:rPr>
      </w:pPr>
      <w:r w:rsidRPr="004E14B7">
        <w:rPr>
          <w:rFonts w:ascii="Arial" w:eastAsia="Calibri" w:hAnsi="Arial" w:cs="Arial"/>
          <w:b/>
          <w:color w:val="000000"/>
          <w:sz w:val="24"/>
          <w:szCs w:val="24"/>
        </w:rPr>
        <w:t>III. ITS (Intelligent Transport Systems)</w:t>
      </w:r>
    </w:p>
    <w:p w14:paraId="07E9421E" w14:textId="77777777" w:rsidR="004E14B7" w:rsidRPr="004E14B7" w:rsidRDefault="004E14B7" w:rsidP="004E14B7">
      <w:pPr>
        <w:widowControl w:val="0"/>
        <w:numPr>
          <w:ilvl w:val="0"/>
          <w:numId w:val="75"/>
        </w:numPr>
        <w:suppressAutoHyphens/>
        <w:autoSpaceDE w:val="0"/>
        <w:autoSpaceDN w:val="0"/>
        <w:adjustRightInd w:val="0"/>
        <w:spacing w:after="0" w:line="276" w:lineRule="auto"/>
        <w:contextualSpacing/>
        <w:jc w:val="both"/>
        <w:rPr>
          <w:rFonts w:ascii="Arial" w:eastAsia="Calibri" w:hAnsi="Arial" w:cs="Arial"/>
          <w:lang w:val="x-none"/>
        </w:rPr>
      </w:pPr>
      <w:r w:rsidRPr="004E14B7">
        <w:rPr>
          <w:rFonts w:ascii="Arial" w:eastAsia="Calibri" w:hAnsi="Arial" w:cs="Arial"/>
          <w:lang w:val="x-none"/>
        </w:rPr>
        <w:t>III.</w:t>
      </w:r>
      <w:r w:rsidRPr="004E14B7">
        <w:rPr>
          <w:rFonts w:ascii="Arial" w:eastAsia="Calibri" w:hAnsi="Arial" w:cs="Arial"/>
        </w:rPr>
        <w:t>1</w:t>
      </w:r>
      <w:r w:rsidRPr="004E14B7">
        <w:rPr>
          <w:rFonts w:ascii="Arial" w:eastAsia="Calibri" w:hAnsi="Arial" w:cs="Arial"/>
          <w:lang w:val="x-none"/>
        </w:rPr>
        <w:t xml:space="preserve"> = realizarea unei aplicaţii pentru telefonul mobil pentru achitarea contravalorii călătoriei cu transportul public.</w:t>
      </w:r>
    </w:p>
    <w:p w14:paraId="1A9A215D" w14:textId="77777777" w:rsidR="004E14B7" w:rsidRPr="004E14B7" w:rsidRDefault="004E14B7" w:rsidP="004E14B7">
      <w:pPr>
        <w:widowControl w:val="0"/>
        <w:numPr>
          <w:ilvl w:val="0"/>
          <w:numId w:val="75"/>
        </w:numPr>
        <w:suppressAutoHyphens/>
        <w:autoSpaceDE w:val="0"/>
        <w:autoSpaceDN w:val="0"/>
        <w:adjustRightInd w:val="0"/>
        <w:spacing w:after="0" w:line="276" w:lineRule="auto"/>
        <w:contextualSpacing/>
        <w:jc w:val="both"/>
        <w:rPr>
          <w:rFonts w:ascii="Arial" w:eastAsia="Calibri" w:hAnsi="Arial" w:cs="Arial"/>
          <w:b/>
          <w:lang w:val="x-none"/>
        </w:rPr>
      </w:pPr>
      <w:r w:rsidRPr="004E14B7">
        <w:rPr>
          <w:rFonts w:ascii="Arial" w:eastAsia="Calibri" w:hAnsi="Arial" w:cs="Arial"/>
          <w:lang w:val="x-none"/>
        </w:rPr>
        <w:t>III.</w:t>
      </w:r>
      <w:r w:rsidRPr="004E14B7">
        <w:rPr>
          <w:rFonts w:ascii="Arial" w:eastAsia="Calibri" w:hAnsi="Arial" w:cs="Arial"/>
        </w:rPr>
        <w:t>2</w:t>
      </w:r>
      <w:r w:rsidRPr="004E14B7">
        <w:rPr>
          <w:rFonts w:ascii="Arial" w:eastAsia="Calibri" w:hAnsi="Arial" w:cs="Arial"/>
          <w:lang w:val="x-none"/>
        </w:rPr>
        <w:t xml:space="preserve"> = realizarea unui website cu informaţii referitoare la traficul din oraş.</w:t>
      </w:r>
      <w:r w:rsidRPr="004E14B7">
        <w:rPr>
          <w:rFonts w:ascii="Arial" w:eastAsia="Calibri" w:hAnsi="Arial" w:cs="Arial"/>
          <w:b/>
        </w:rPr>
        <w:t xml:space="preserve"> </w:t>
      </w:r>
      <w:r w:rsidRPr="004E14B7">
        <w:rPr>
          <w:rFonts w:ascii="Arial" w:eastAsia="Times New Roman" w:hAnsi="Arial" w:cs="Arial"/>
          <w:color w:val="000000"/>
          <w:lang w:val="ro-RO" w:eastAsia="ro-RO"/>
        </w:rPr>
        <w:t>Sistemele de planificare a rutelor sau informațiile referitoare la starea retelei stradale pot încorpora o serie de informații, de la descrieri simple ale opțiunilor de călătorie disponibile prin diferite moduri, eventual legate de hărți care indică rutele de urmat, până la informații referitoare la străzi închise din diverse motive sau artere în lucru etc.</w:t>
      </w:r>
    </w:p>
    <w:p w14:paraId="25FEA38F" w14:textId="77777777" w:rsidR="004E14B7" w:rsidRPr="004E14B7" w:rsidRDefault="004E14B7" w:rsidP="004E14B7">
      <w:pPr>
        <w:widowControl w:val="0"/>
        <w:suppressAutoHyphens/>
        <w:autoSpaceDE w:val="0"/>
        <w:autoSpaceDN w:val="0"/>
        <w:adjustRightInd w:val="0"/>
        <w:spacing w:after="0" w:line="276" w:lineRule="auto"/>
        <w:contextualSpacing/>
        <w:jc w:val="both"/>
        <w:rPr>
          <w:rFonts w:ascii="Arial" w:eastAsia="Calibri" w:hAnsi="Arial" w:cs="Arial"/>
          <w:b/>
        </w:rPr>
      </w:pPr>
    </w:p>
    <w:p w14:paraId="34D57653" w14:textId="77777777" w:rsidR="004E14B7" w:rsidRPr="004E14B7" w:rsidRDefault="004E14B7" w:rsidP="004E14B7">
      <w:pPr>
        <w:suppressAutoHyphens/>
        <w:autoSpaceDE w:val="0"/>
        <w:spacing w:after="0" w:line="276" w:lineRule="auto"/>
        <w:jc w:val="both"/>
        <w:rPr>
          <w:rFonts w:ascii="Arial" w:eastAsia="Calibri" w:hAnsi="Arial" w:cs="Arial"/>
          <w:b/>
          <w:strike/>
          <w:lang w:val="es-ES" w:eastAsia="zh-CN"/>
        </w:rPr>
      </w:pPr>
      <w:r w:rsidRPr="004E14B7">
        <w:rPr>
          <w:rFonts w:ascii="Arial" w:eastAsia="Calibri" w:hAnsi="Arial" w:cs="Arial"/>
          <w:b/>
          <w:lang w:val="es-ES" w:eastAsia="zh-CN"/>
        </w:rPr>
        <w:t xml:space="preserve">IV. dezvoltarea formelor de transport durabil (mai puţin poluante) </w:t>
      </w:r>
      <w:r w:rsidRPr="004E14B7">
        <w:rPr>
          <w:rFonts w:ascii="Arial" w:eastAsia="Calibri" w:hAnsi="Arial" w:cs="Arial"/>
          <w:b/>
          <w:lang w:val="es-ES"/>
        </w:rPr>
        <w:t>- mersul pe jos / cu bicicleta pentru crearea unui mediu urban de calitate</w:t>
      </w:r>
    </w:p>
    <w:p w14:paraId="7C290BAA" w14:textId="446CD4CF" w:rsidR="004E14B7" w:rsidRPr="004E14B7" w:rsidRDefault="004E14B7" w:rsidP="004E14B7">
      <w:pPr>
        <w:widowControl w:val="0"/>
        <w:numPr>
          <w:ilvl w:val="0"/>
          <w:numId w:val="76"/>
        </w:numPr>
        <w:suppressAutoHyphens/>
        <w:autoSpaceDE w:val="0"/>
        <w:spacing w:after="0" w:line="276" w:lineRule="auto"/>
        <w:jc w:val="both"/>
        <w:rPr>
          <w:rFonts w:ascii="Arial" w:eastAsia="Calibri" w:hAnsi="Arial" w:cs="Arial"/>
          <w:b/>
          <w:color w:val="000000"/>
          <w:lang w:val="es-ES" w:eastAsia="zh-CN"/>
        </w:rPr>
      </w:pPr>
      <w:r w:rsidRPr="004E14B7">
        <w:rPr>
          <w:rFonts w:ascii="Arial" w:eastAsia="Arial" w:hAnsi="Arial" w:cs="Arial"/>
          <w:color w:val="000000"/>
          <w:lang w:val="es-ES" w:eastAsia="zh-CN"/>
        </w:rPr>
        <w:t xml:space="preserve">IV.1 = amenajarea unei retelei de </w:t>
      </w:r>
      <w:r w:rsidR="006E163D">
        <w:rPr>
          <w:rFonts w:ascii="Arial" w:eastAsia="Arial" w:hAnsi="Arial" w:cs="Arial"/>
          <w:color w:val="000000"/>
          <w:lang w:val="es-ES" w:eastAsia="zh-CN"/>
        </w:rPr>
        <w:t>trasee</w:t>
      </w:r>
      <w:r w:rsidRPr="004E14B7">
        <w:rPr>
          <w:rFonts w:ascii="Arial" w:eastAsia="Arial" w:hAnsi="Arial" w:cs="Arial"/>
          <w:color w:val="000000"/>
          <w:lang w:val="es-ES" w:eastAsia="zh-CN"/>
        </w:rPr>
        <w:t xml:space="preserve"> pentru biciclete = </w:t>
      </w:r>
      <w:r w:rsidR="006E163D">
        <w:rPr>
          <w:rFonts w:ascii="Arial" w:eastAsia="Arial" w:hAnsi="Arial" w:cs="Arial"/>
          <w:color w:val="000000"/>
          <w:lang w:val="es-ES" w:eastAsia="zh-CN"/>
        </w:rPr>
        <w:t>trasee</w:t>
      </w:r>
      <w:r w:rsidRPr="004E14B7">
        <w:rPr>
          <w:rFonts w:ascii="Arial" w:eastAsia="Arial" w:hAnsi="Arial" w:cs="Arial"/>
          <w:color w:val="000000"/>
          <w:lang w:val="es-ES" w:eastAsia="zh-CN"/>
        </w:rPr>
        <w:t xml:space="preserve"> city-tour – </w:t>
      </w:r>
      <w:r w:rsidRPr="004E14B7">
        <w:rPr>
          <w:rFonts w:ascii="Arial" w:hAnsi="Arial" w:cs="Arial"/>
        </w:rPr>
        <w:t xml:space="preserve">pentru tururi de vizitare a </w:t>
      </w:r>
      <w:r w:rsidR="006E163D">
        <w:rPr>
          <w:rFonts w:ascii="Arial" w:hAnsi="Arial" w:cs="Arial"/>
        </w:rPr>
        <w:t>î</w:t>
      </w:r>
      <w:r w:rsidRPr="004E14B7">
        <w:rPr>
          <w:rFonts w:ascii="Arial" w:hAnsi="Arial" w:cs="Arial"/>
        </w:rPr>
        <w:t>mprejurimilor, cu biciclete de ora</w:t>
      </w:r>
      <w:r w:rsidR="006E163D">
        <w:rPr>
          <w:rFonts w:ascii="Arial" w:hAnsi="Arial" w:cs="Arial"/>
        </w:rPr>
        <w:t>ș</w:t>
      </w:r>
      <w:r w:rsidRPr="004E14B7">
        <w:rPr>
          <w:rFonts w:ascii="Arial" w:hAnsi="Arial" w:cs="Arial"/>
        </w:rPr>
        <w:t xml:space="preserve"> (fara schimbatoare de viteze, fara sisteme de suspensie, cu sisteme de franare normale) proprii sau inchiria</w:t>
      </w:r>
      <w:r w:rsidR="006161F5">
        <w:rPr>
          <w:rFonts w:ascii="Arial" w:hAnsi="Arial" w:cs="Arial"/>
        </w:rPr>
        <w:t xml:space="preserve">te prin sistem de taxare la oră; </w:t>
      </w:r>
      <w:r w:rsidRPr="004E14B7">
        <w:rPr>
          <w:rFonts w:ascii="Arial" w:eastAsia="Arial" w:hAnsi="Arial" w:cs="Arial"/>
          <w:color w:val="000000"/>
          <w:lang w:val="es-ES" w:eastAsia="zh-CN"/>
        </w:rPr>
        <w:t>o propunere este prezentată mai jos (16,57 km):</w:t>
      </w:r>
    </w:p>
    <w:p w14:paraId="4DB17DD4" w14:textId="77777777" w:rsidR="004E14B7" w:rsidRPr="004E14B7" w:rsidRDefault="004E14B7" w:rsidP="004E14B7">
      <w:pPr>
        <w:suppressAutoHyphens/>
        <w:autoSpaceDE w:val="0"/>
        <w:spacing w:after="0" w:line="360" w:lineRule="auto"/>
        <w:jc w:val="center"/>
        <w:rPr>
          <w:rFonts w:ascii="Arial" w:eastAsia="Calibri" w:hAnsi="Arial" w:cs="Arial"/>
          <w:b/>
          <w:color w:val="000000"/>
          <w:sz w:val="20"/>
          <w:szCs w:val="20"/>
          <w:lang w:eastAsia="zh-CN"/>
        </w:rPr>
      </w:pPr>
      <w:r w:rsidRPr="004E14B7">
        <w:rPr>
          <w:rFonts w:ascii="Calibri" w:hAnsi="Calibri" w:cs="Times New Roman"/>
          <w:noProof/>
        </w:rPr>
        <w:lastRenderedPageBreak/>
        <w:drawing>
          <wp:inline distT="0" distB="0" distL="0" distR="0" wp14:anchorId="21623BE0" wp14:editId="509FB400">
            <wp:extent cx="3093017" cy="3835001"/>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093912" cy="3836111"/>
                    </a:xfrm>
                    <a:prstGeom prst="rect">
                      <a:avLst/>
                    </a:prstGeom>
                    <a:noFill/>
                    <a:ln>
                      <a:noFill/>
                    </a:ln>
                  </pic:spPr>
                </pic:pic>
              </a:graphicData>
            </a:graphic>
          </wp:inline>
        </w:drawing>
      </w:r>
    </w:p>
    <w:p w14:paraId="2D351EA2" w14:textId="01C9C54A" w:rsidR="004E14B7" w:rsidRPr="006161F5" w:rsidRDefault="006161F5" w:rsidP="006161F5">
      <w:pPr>
        <w:pStyle w:val="Legend"/>
        <w:jc w:val="center"/>
        <w:rPr>
          <w:rFonts w:ascii="Arial" w:eastAsia="Calibri" w:hAnsi="Arial" w:cs="Arial"/>
          <w:color w:val="000000"/>
          <w:sz w:val="22"/>
          <w:szCs w:val="22"/>
          <w:lang w:val="es-ES" w:eastAsia="zh-CN"/>
        </w:rPr>
      </w:pPr>
      <w:bookmarkStart w:id="405" w:name="_Toc68361071"/>
      <w:bookmarkStart w:id="406" w:name="_Toc142039129"/>
      <w:r w:rsidRPr="006161F5">
        <w:rPr>
          <w:rFonts w:ascii="Arial" w:hAnsi="Arial" w:cs="Arial"/>
          <w:sz w:val="22"/>
          <w:szCs w:val="22"/>
        </w:rPr>
        <w:t xml:space="preserve">Figura I.5. </w:t>
      </w:r>
      <w:r w:rsidRPr="006161F5">
        <w:rPr>
          <w:rFonts w:ascii="Arial" w:hAnsi="Arial" w:cs="Arial"/>
          <w:sz w:val="22"/>
          <w:szCs w:val="22"/>
        </w:rPr>
        <w:fldChar w:fldCharType="begin"/>
      </w:r>
      <w:r w:rsidRPr="006161F5">
        <w:rPr>
          <w:rFonts w:ascii="Arial" w:hAnsi="Arial" w:cs="Arial"/>
          <w:sz w:val="22"/>
          <w:szCs w:val="22"/>
        </w:rPr>
        <w:instrText xml:space="preserve"> SEQ Figura_I.5. \* ARABIC </w:instrText>
      </w:r>
      <w:r w:rsidRPr="006161F5">
        <w:rPr>
          <w:rFonts w:ascii="Arial" w:hAnsi="Arial" w:cs="Arial"/>
          <w:sz w:val="22"/>
          <w:szCs w:val="22"/>
        </w:rPr>
        <w:fldChar w:fldCharType="separate"/>
      </w:r>
      <w:r w:rsidR="00BB181C">
        <w:rPr>
          <w:rFonts w:ascii="Arial" w:hAnsi="Arial" w:cs="Arial"/>
          <w:noProof/>
          <w:sz w:val="22"/>
          <w:szCs w:val="22"/>
        </w:rPr>
        <w:t>2</w:t>
      </w:r>
      <w:r w:rsidRPr="006161F5">
        <w:rPr>
          <w:rFonts w:ascii="Arial" w:hAnsi="Arial" w:cs="Arial"/>
          <w:sz w:val="22"/>
          <w:szCs w:val="22"/>
        </w:rPr>
        <w:fldChar w:fldCharType="end"/>
      </w:r>
      <w:r w:rsidRPr="006161F5">
        <w:rPr>
          <w:rFonts w:ascii="Arial" w:hAnsi="Arial" w:cs="Arial"/>
          <w:sz w:val="22"/>
          <w:szCs w:val="22"/>
        </w:rPr>
        <w:t xml:space="preserve"> </w:t>
      </w:r>
      <w:r w:rsidR="004E14B7" w:rsidRPr="006161F5">
        <w:rPr>
          <w:rFonts w:ascii="Arial" w:hAnsi="Arial" w:cs="Arial"/>
          <w:i w:val="0"/>
          <w:iCs w:val="0"/>
          <w:color w:val="1F497D"/>
          <w:sz w:val="22"/>
          <w:szCs w:val="22"/>
        </w:rPr>
        <w:t xml:space="preserve">- </w:t>
      </w:r>
      <w:r w:rsidR="004E14B7" w:rsidRPr="006161F5">
        <w:rPr>
          <w:rFonts w:ascii="Arial" w:hAnsi="Arial" w:cs="Arial"/>
          <w:i w:val="0"/>
          <w:color w:val="1F497D"/>
          <w:sz w:val="22"/>
          <w:szCs w:val="22"/>
        </w:rPr>
        <w:t xml:space="preserve">Rețea </w:t>
      </w:r>
      <w:r w:rsidR="006E163D">
        <w:rPr>
          <w:rFonts w:ascii="Arial" w:hAnsi="Arial" w:cs="Arial"/>
          <w:i w:val="0"/>
          <w:color w:val="1F497D"/>
          <w:sz w:val="22"/>
          <w:szCs w:val="22"/>
        </w:rPr>
        <w:t>trasee pentru</w:t>
      </w:r>
      <w:r w:rsidR="004E14B7" w:rsidRPr="006161F5">
        <w:rPr>
          <w:rFonts w:ascii="Arial" w:hAnsi="Arial" w:cs="Arial"/>
          <w:i w:val="0"/>
          <w:color w:val="1F497D"/>
          <w:sz w:val="22"/>
          <w:szCs w:val="22"/>
        </w:rPr>
        <w:t xml:space="preserve"> biciclete </w:t>
      </w:r>
      <w:bookmarkEnd w:id="405"/>
      <w:r w:rsidR="004E14B7" w:rsidRPr="006161F5">
        <w:rPr>
          <w:rFonts w:ascii="Arial" w:hAnsi="Arial" w:cs="Arial"/>
          <w:i w:val="0"/>
          <w:color w:val="1F497D"/>
          <w:sz w:val="22"/>
          <w:szCs w:val="22"/>
        </w:rPr>
        <w:t>Horezu</w:t>
      </w:r>
      <w:bookmarkEnd w:id="406"/>
    </w:p>
    <w:p w14:paraId="69E506EA" w14:textId="762616B4" w:rsidR="004E14B7" w:rsidRPr="004E14B7" w:rsidRDefault="004E14B7" w:rsidP="004E14B7">
      <w:pPr>
        <w:widowControl w:val="0"/>
        <w:numPr>
          <w:ilvl w:val="0"/>
          <w:numId w:val="76"/>
        </w:numPr>
        <w:suppressAutoHyphens/>
        <w:autoSpaceDE w:val="0"/>
        <w:spacing w:after="0" w:line="276" w:lineRule="auto"/>
        <w:jc w:val="both"/>
        <w:rPr>
          <w:rFonts w:ascii="Arial" w:eastAsia="Calibri" w:hAnsi="Arial" w:cs="Arial"/>
          <w:color w:val="000000"/>
          <w:lang w:eastAsia="zh-CN"/>
        </w:rPr>
      </w:pPr>
      <w:r w:rsidRPr="004E14B7">
        <w:rPr>
          <w:rFonts w:ascii="Arial" w:eastAsia="Calibri" w:hAnsi="Arial" w:cs="Arial"/>
          <w:color w:val="000000"/>
          <w:lang w:val="es-ES" w:eastAsia="zh-CN"/>
        </w:rPr>
        <w:t xml:space="preserve">IV.2 = crearea de puncte pentru închirierea bicicletelor (pool bikes) = o dată cu definitivarea reţelei de </w:t>
      </w:r>
      <w:r w:rsidR="00A27348">
        <w:rPr>
          <w:rFonts w:ascii="Arial" w:eastAsia="Calibri" w:hAnsi="Arial" w:cs="Arial"/>
          <w:color w:val="000000"/>
          <w:lang w:val="es-ES" w:eastAsia="zh-CN"/>
        </w:rPr>
        <w:t>trasee</w:t>
      </w:r>
      <w:r w:rsidRPr="004E14B7">
        <w:rPr>
          <w:rFonts w:ascii="Arial" w:eastAsia="Calibri" w:hAnsi="Arial" w:cs="Arial"/>
          <w:color w:val="000000"/>
          <w:lang w:val="es-ES" w:eastAsia="zh-CN"/>
        </w:rPr>
        <w:t xml:space="preserve"> pentru biciclete se pot prevedea în punc</w:t>
      </w:r>
      <w:r w:rsidR="006161F5">
        <w:rPr>
          <w:rFonts w:ascii="Arial" w:eastAsia="Calibri" w:hAnsi="Arial" w:cs="Arial"/>
          <w:color w:val="000000"/>
          <w:lang w:val="es-ES" w:eastAsia="zh-CN"/>
        </w:rPr>
        <w:t>tele importante cum ar fi: Primă</w:t>
      </w:r>
      <w:r w:rsidRPr="004E14B7">
        <w:rPr>
          <w:rFonts w:ascii="Arial" w:eastAsia="Calibri" w:hAnsi="Arial" w:cs="Arial"/>
          <w:color w:val="000000"/>
          <w:lang w:val="es-ES" w:eastAsia="zh-CN"/>
        </w:rPr>
        <w:t xml:space="preserve">ria Horezu, Autogara Siva Trans, Piața, str. </w:t>
      </w:r>
      <w:r w:rsidR="006161F5">
        <w:rPr>
          <w:rFonts w:ascii="Arial" w:eastAsia="Calibri" w:hAnsi="Arial" w:cs="Arial"/>
          <w:color w:val="000000"/>
          <w:lang w:eastAsia="zh-CN"/>
        </w:rPr>
        <w:t>Mircea cel Bătrâ</w:t>
      </w:r>
      <w:r w:rsidRPr="004E14B7">
        <w:rPr>
          <w:rFonts w:ascii="Arial" w:eastAsia="Calibri" w:hAnsi="Arial" w:cs="Arial"/>
          <w:color w:val="000000"/>
          <w:lang w:eastAsia="zh-CN"/>
        </w:rPr>
        <w:t>n, P</w:t>
      </w:r>
      <w:r w:rsidR="006161F5">
        <w:rPr>
          <w:rFonts w:ascii="Arial" w:hAnsi="Arial" w:cs="Arial"/>
        </w:rPr>
        <w:t>arcul de agrement şi recreere “Constantin Brâ</w:t>
      </w:r>
      <w:r w:rsidRPr="004E14B7">
        <w:rPr>
          <w:rFonts w:ascii="Arial" w:hAnsi="Arial" w:cs="Arial"/>
        </w:rPr>
        <w:t xml:space="preserve">ncoveanu”, </w:t>
      </w:r>
      <w:r w:rsidR="006161F5">
        <w:rPr>
          <w:rFonts w:ascii="Arial" w:eastAsia="Calibri" w:hAnsi="Arial" w:cs="Arial"/>
          <w:color w:val="000000"/>
          <w:lang w:eastAsia="zh-CN"/>
        </w:rPr>
        <w:t>Staţiunea turistică Vâ</w:t>
      </w:r>
      <w:r w:rsidRPr="004E14B7">
        <w:rPr>
          <w:rFonts w:ascii="Arial" w:eastAsia="Calibri" w:hAnsi="Arial" w:cs="Arial"/>
          <w:color w:val="000000"/>
          <w:lang w:eastAsia="zh-CN"/>
        </w:rPr>
        <w:t xml:space="preserve">rful lui Roman etc. </w:t>
      </w:r>
    </w:p>
    <w:p w14:paraId="12472596" w14:textId="77777777" w:rsidR="004E14B7" w:rsidRPr="004E14B7" w:rsidRDefault="004E14B7" w:rsidP="004E14B7">
      <w:pPr>
        <w:widowControl w:val="0"/>
        <w:numPr>
          <w:ilvl w:val="0"/>
          <w:numId w:val="76"/>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IV.3 = construirea de parcări pentru biciclete = la principalele instituții și zone de interes: Primăria Horezu, Autogara Siva Trans, Piața, str. </w:t>
      </w:r>
      <w:r w:rsidR="006161F5">
        <w:rPr>
          <w:rFonts w:ascii="Arial" w:eastAsia="Calibri" w:hAnsi="Arial" w:cs="Arial"/>
          <w:color w:val="000000"/>
          <w:lang w:eastAsia="zh-CN"/>
        </w:rPr>
        <w:t>Mircea cel Bătrâ</w:t>
      </w:r>
      <w:r w:rsidRPr="004E14B7">
        <w:rPr>
          <w:rFonts w:ascii="Arial" w:eastAsia="Calibri" w:hAnsi="Arial" w:cs="Arial"/>
          <w:color w:val="000000"/>
          <w:lang w:eastAsia="zh-CN"/>
        </w:rPr>
        <w:t>n, P</w:t>
      </w:r>
      <w:r w:rsidR="006161F5">
        <w:rPr>
          <w:rFonts w:ascii="Arial" w:hAnsi="Arial" w:cs="Arial"/>
        </w:rPr>
        <w:t>arcul de agrement şi recreere “Constantin Brâ</w:t>
      </w:r>
      <w:r w:rsidRPr="004E14B7">
        <w:rPr>
          <w:rFonts w:ascii="Arial" w:hAnsi="Arial" w:cs="Arial"/>
        </w:rPr>
        <w:t xml:space="preserve">ncoveanu”, </w:t>
      </w:r>
      <w:r w:rsidR="006161F5">
        <w:rPr>
          <w:rFonts w:ascii="Arial" w:eastAsia="Calibri" w:hAnsi="Arial" w:cs="Arial"/>
          <w:color w:val="000000"/>
          <w:lang w:eastAsia="zh-CN"/>
        </w:rPr>
        <w:t>Staţiunea turistică Vâ</w:t>
      </w:r>
      <w:r w:rsidRPr="004E14B7">
        <w:rPr>
          <w:rFonts w:ascii="Arial" w:eastAsia="Calibri" w:hAnsi="Arial" w:cs="Arial"/>
          <w:color w:val="000000"/>
          <w:lang w:eastAsia="zh-CN"/>
        </w:rPr>
        <w:t>rful lui Roman</w:t>
      </w:r>
      <w:r w:rsidRPr="004E14B7">
        <w:rPr>
          <w:rFonts w:ascii="Arial" w:eastAsia="Calibri" w:hAnsi="Arial" w:cs="Arial"/>
          <w:color w:val="000000"/>
          <w:lang w:val="es-ES" w:eastAsia="zh-CN"/>
        </w:rPr>
        <w:t>, dotate cu stații de încărcare pentru bicicletele, trotinetele și alte vehicule de micromobilitate electrice.</w:t>
      </w:r>
    </w:p>
    <w:p w14:paraId="4E79B885" w14:textId="77777777" w:rsidR="004E14B7" w:rsidRPr="004E14B7" w:rsidRDefault="004E14B7" w:rsidP="004E14B7">
      <w:pPr>
        <w:suppressAutoHyphens/>
        <w:autoSpaceDE w:val="0"/>
        <w:spacing w:after="0" w:line="276" w:lineRule="auto"/>
        <w:ind w:left="720"/>
        <w:jc w:val="both"/>
        <w:rPr>
          <w:rFonts w:ascii="Arial" w:eastAsia="Arial" w:hAnsi="Arial" w:cs="Arial"/>
          <w:color w:val="000000"/>
          <w:lang w:eastAsia="zh-CN"/>
        </w:rPr>
      </w:pPr>
      <w:r w:rsidRPr="004E14B7">
        <w:rPr>
          <w:rFonts w:ascii="Arial" w:eastAsia="Calibri" w:hAnsi="Arial" w:cs="Arial"/>
          <w:color w:val="000000"/>
          <w:lang w:eastAsia="zh-CN"/>
        </w:rPr>
        <w:t>Aceste puncte pot constitui un sistem “Bike-sharing” integrat transportului public local și pot fi accesate cu un card dedicat eliberat de operatorul de transport public.</w:t>
      </w:r>
    </w:p>
    <w:p w14:paraId="2EA895AB" w14:textId="77777777" w:rsidR="004E14B7" w:rsidRPr="004E14B7" w:rsidRDefault="004E14B7" w:rsidP="004E14B7">
      <w:pPr>
        <w:widowControl w:val="0"/>
        <w:numPr>
          <w:ilvl w:val="0"/>
          <w:numId w:val="77"/>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IV.4 = campanii promoţionale pentru utilizarea bicicletei = organizarea de co</w:t>
      </w:r>
      <w:r w:rsidR="006161F5">
        <w:rPr>
          <w:rFonts w:ascii="Arial" w:eastAsia="Calibri" w:hAnsi="Arial" w:cs="Arial"/>
          <w:color w:val="000000"/>
          <w:lang w:val="es-ES" w:eastAsia="zh-CN"/>
        </w:rPr>
        <w:t>ncursuri de ciclism la nivel orăş</w:t>
      </w:r>
      <w:r w:rsidRPr="004E14B7">
        <w:rPr>
          <w:rFonts w:ascii="Arial" w:eastAsia="Calibri" w:hAnsi="Arial" w:cs="Arial"/>
          <w:color w:val="000000"/>
          <w:lang w:val="es-ES" w:eastAsia="zh-CN"/>
        </w:rPr>
        <w:t>enesc – eventual cu premii – de genul „sunt cel mai rapid” sau „sunt cel mai rezistent” pe grupe de vârste (3...80 ani) poate deschide apetitul pentru utilizarea bicicletei; efectuate insistent şi cu închiderea într-o sâmbătă sau duminică a unei artere importante – pentru pista concursului, poate avea un impact neaşteptat, benefic mobilităţii;</w:t>
      </w:r>
    </w:p>
    <w:p w14:paraId="14828250" w14:textId="673DA43A" w:rsidR="004E14B7" w:rsidRPr="004E14B7" w:rsidRDefault="004E14B7" w:rsidP="004E14B7">
      <w:pPr>
        <w:widowControl w:val="0"/>
        <w:numPr>
          <w:ilvl w:val="0"/>
          <w:numId w:val="77"/>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IV.5 = amenajarea un</w:t>
      </w:r>
      <w:r w:rsidR="00A27348">
        <w:rPr>
          <w:rFonts w:ascii="Arial" w:eastAsia="Calibri" w:hAnsi="Arial" w:cs="Arial"/>
          <w:color w:val="000000"/>
          <w:lang w:val="es-ES" w:eastAsia="zh-CN"/>
        </w:rPr>
        <w:t>u</w:t>
      </w:r>
      <w:r w:rsidRPr="004E14B7">
        <w:rPr>
          <w:rFonts w:ascii="Arial" w:eastAsia="Calibri" w:hAnsi="Arial" w:cs="Arial"/>
          <w:color w:val="000000"/>
          <w:lang w:val="es-ES" w:eastAsia="zh-CN"/>
        </w:rPr>
        <w:t xml:space="preserve">i </w:t>
      </w:r>
      <w:r w:rsidR="00A27348">
        <w:rPr>
          <w:rFonts w:ascii="Arial" w:eastAsia="Calibri" w:hAnsi="Arial" w:cs="Arial"/>
          <w:color w:val="000000"/>
          <w:lang w:val="es-ES" w:eastAsia="zh-CN"/>
        </w:rPr>
        <w:t>traseu</w:t>
      </w:r>
      <w:r w:rsidRPr="004E14B7">
        <w:rPr>
          <w:rFonts w:ascii="Arial" w:eastAsia="Calibri" w:hAnsi="Arial" w:cs="Arial"/>
          <w:color w:val="000000"/>
          <w:lang w:val="es-ES" w:eastAsia="zh-CN"/>
        </w:rPr>
        <w:t xml:space="preserve"> cross-country -  </w:t>
      </w:r>
      <w:r w:rsidR="006161F5">
        <w:rPr>
          <w:rFonts w:ascii="Arial" w:hAnsi="Arial" w:cs="Arial"/>
        </w:rPr>
        <w:t>Pentru tururi în natură</w:t>
      </w:r>
      <w:r w:rsidRPr="004E14B7">
        <w:rPr>
          <w:rFonts w:ascii="Arial" w:hAnsi="Arial" w:cs="Arial"/>
        </w:rPr>
        <w:t>, cu biciclete cross-country pentru</w:t>
      </w:r>
      <w:r w:rsidR="006161F5">
        <w:rPr>
          <w:rFonts w:ascii="Arial" w:hAnsi="Arial" w:cs="Arial"/>
        </w:rPr>
        <w:t xml:space="preserve"> terenuri denivelate (cu schimbă</w:t>
      </w:r>
      <w:r w:rsidRPr="004E14B7">
        <w:rPr>
          <w:rFonts w:ascii="Arial" w:hAnsi="Arial" w:cs="Arial"/>
        </w:rPr>
        <w:t>toare de viteze, minim sistem de su</w:t>
      </w:r>
      <w:r w:rsidR="006161F5">
        <w:rPr>
          <w:rFonts w:ascii="Arial" w:hAnsi="Arial" w:cs="Arial"/>
        </w:rPr>
        <w:t>spensie spate, cu sisteme de frânare pe disc de frână</w:t>
      </w:r>
      <w:r w:rsidRPr="004E14B7">
        <w:rPr>
          <w:rFonts w:ascii="Arial" w:hAnsi="Arial" w:cs="Arial"/>
        </w:rPr>
        <w:t xml:space="preserve">) proprii sau inchiriate prin sistem de taxare la zi. </w:t>
      </w:r>
      <w:r w:rsidR="00A27348">
        <w:rPr>
          <w:rFonts w:ascii="Arial" w:hAnsi="Arial" w:cs="Arial"/>
        </w:rPr>
        <w:t>Traseul</w:t>
      </w:r>
      <w:r w:rsidRPr="004E14B7">
        <w:rPr>
          <w:rFonts w:ascii="Arial" w:hAnsi="Arial" w:cs="Arial"/>
        </w:rPr>
        <w:t xml:space="preserve"> amenaj</w:t>
      </w:r>
      <w:r w:rsidR="006161F5">
        <w:rPr>
          <w:rFonts w:ascii="Arial" w:hAnsi="Arial" w:cs="Arial"/>
        </w:rPr>
        <w:t>at pe drumul de acces î</w:t>
      </w:r>
      <w:r w:rsidRPr="004E14B7">
        <w:rPr>
          <w:rFonts w:ascii="Arial" w:hAnsi="Arial" w:cs="Arial"/>
        </w:rPr>
        <w:t>n</w:t>
      </w:r>
      <w:r w:rsidR="006161F5">
        <w:rPr>
          <w:rFonts w:ascii="Arial" w:hAnsi="Arial" w:cs="Arial"/>
        </w:rPr>
        <w:t>tre Romanii de Sus (alt. 580m) şi Domeniul Schiabil Vâ</w:t>
      </w:r>
      <w:r w:rsidRPr="004E14B7">
        <w:rPr>
          <w:rFonts w:ascii="Arial" w:hAnsi="Arial" w:cs="Arial"/>
        </w:rPr>
        <w:t>rful lui Roman (alt.</w:t>
      </w:r>
      <w:r w:rsidR="006161F5">
        <w:rPr>
          <w:rFonts w:ascii="Arial" w:hAnsi="Arial" w:cs="Arial"/>
        </w:rPr>
        <w:t xml:space="preserve"> 1700m) are o lungime de 13 km şi o diferenţ</w:t>
      </w:r>
      <w:r w:rsidRPr="004E14B7">
        <w:rPr>
          <w:rFonts w:ascii="Arial" w:hAnsi="Arial" w:cs="Arial"/>
        </w:rPr>
        <w:t>a de nivel de 1120m.</w:t>
      </w:r>
    </w:p>
    <w:p w14:paraId="6DCDEB96" w14:textId="77777777" w:rsidR="004E14B7" w:rsidRPr="004E14B7" w:rsidRDefault="004E14B7" w:rsidP="004E14B7">
      <w:pPr>
        <w:widowControl w:val="0"/>
        <w:suppressAutoHyphens/>
        <w:autoSpaceDE w:val="0"/>
        <w:spacing w:after="0" w:line="276" w:lineRule="auto"/>
        <w:jc w:val="center"/>
        <w:rPr>
          <w:rFonts w:ascii="Arial" w:eastAsia="Calibri" w:hAnsi="Arial" w:cs="Arial"/>
          <w:color w:val="000000"/>
          <w:lang w:val="es-ES" w:eastAsia="zh-CN"/>
        </w:rPr>
      </w:pPr>
      <w:r w:rsidRPr="004E14B7">
        <w:rPr>
          <w:rFonts w:ascii="Calibri" w:hAnsi="Calibri" w:cs="Times New Roman"/>
          <w:noProof/>
        </w:rPr>
        <w:lastRenderedPageBreak/>
        <w:drawing>
          <wp:inline distT="0" distB="0" distL="0" distR="0" wp14:anchorId="19C9439C" wp14:editId="593388D1">
            <wp:extent cx="3094075" cy="3733688"/>
            <wp:effectExtent l="0" t="0" r="0"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094160" cy="3733791"/>
                    </a:xfrm>
                    <a:prstGeom prst="rect">
                      <a:avLst/>
                    </a:prstGeom>
                    <a:noFill/>
                    <a:ln>
                      <a:noFill/>
                    </a:ln>
                  </pic:spPr>
                </pic:pic>
              </a:graphicData>
            </a:graphic>
          </wp:inline>
        </w:drawing>
      </w:r>
    </w:p>
    <w:p w14:paraId="0FD3BFFF" w14:textId="3158225F" w:rsidR="004E14B7" w:rsidRPr="00770D30" w:rsidRDefault="006161F5" w:rsidP="006161F5">
      <w:pPr>
        <w:pStyle w:val="Legend"/>
        <w:jc w:val="center"/>
        <w:rPr>
          <w:rFonts w:ascii="Arial" w:hAnsi="Arial" w:cs="Arial"/>
          <w:i w:val="0"/>
          <w:iCs w:val="0"/>
          <w:color w:val="1F497D"/>
          <w:sz w:val="22"/>
          <w:szCs w:val="22"/>
        </w:rPr>
      </w:pPr>
      <w:bookmarkStart w:id="407" w:name="_Toc142039130"/>
      <w:r w:rsidRPr="006161F5">
        <w:rPr>
          <w:rFonts w:ascii="Arial" w:hAnsi="Arial" w:cs="Arial"/>
          <w:sz w:val="22"/>
          <w:szCs w:val="22"/>
        </w:rPr>
        <w:t xml:space="preserve">Figura I.5. </w:t>
      </w:r>
      <w:r w:rsidRPr="006161F5">
        <w:rPr>
          <w:rFonts w:ascii="Arial" w:hAnsi="Arial" w:cs="Arial"/>
          <w:sz w:val="22"/>
          <w:szCs w:val="22"/>
        </w:rPr>
        <w:fldChar w:fldCharType="begin"/>
      </w:r>
      <w:r w:rsidRPr="006161F5">
        <w:rPr>
          <w:rFonts w:ascii="Arial" w:hAnsi="Arial" w:cs="Arial"/>
          <w:sz w:val="22"/>
          <w:szCs w:val="22"/>
        </w:rPr>
        <w:instrText xml:space="preserve"> SEQ Figura_I.5. \* ARABIC </w:instrText>
      </w:r>
      <w:r w:rsidRPr="006161F5">
        <w:rPr>
          <w:rFonts w:ascii="Arial" w:hAnsi="Arial" w:cs="Arial"/>
          <w:sz w:val="22"/>
          <w:szCs w:val="22"/>
        </w:rPr>
        <w:fldChar w:fldCharType="separate"/>
      </w:r>
      <w:r w:rsidR="00BB181C">
        <w:rPr>
          <w:rFonts w:ascii="Arial" w:hAnsi="Arial" w:cs="Arial"/>
          <w:noProof/>
          <w:sz w:val="22"/>
          <w:szCs w:val="22"/>
        </w:rPr>
        <w:t>3</w:t>
      </w:r>
      <w:r w:rsidRPr="006161F5">
        <w:rPr>
          <w:rFonts w:ascii="Arial" w:hAnsi="Arial" w:cs="Arial"/>
          <w:sz w:val="22"/>
          <w:szCs w:val="22"/>
        </w:rPr>
        <w:fldChar w:fldCharType="end"/>
      </w:r>
      <w:r w:rsidRPr="006161F5">
        <w:rPr>
          <w:rFonts w:ascii="Arial" w:hAnsi="Arial" w:cs="Arial"/>
          <w:sz w:val="22"/>
          <w:szCs w:val="22"/>
        </w:rPr>
        <w:t xml:space="preserve"> </w:t>
      </w:r>
      <w:r w:rsidR="004E14B7" w:rsidRPr="006161F5">
        <w:rPr>
          <w:rFonts w:ascii="Arial" w:hAnsi="Arial" w:cs="Arial"/>
          <w:i w:val="0"/>
          <w:iCs w:val="0"/>
          <w:color w:val="1F497D"/>
          <w:sz w:val="22"/>
          <w:szCs w:val="22"/>
        </w:rPr>
        <w:t xml:space="preserve">- </w:t>
      </w:r>
      <w:r w:rsidR="004E14B7" w:rsidRPr="00770D30">
        <w:rPr>
          <w:rFonts w:ascii="Arial" w:hAnsi="Arial" w:cs="Arial"/>
          <w:i w:val="0"/>
          <w:iCs w:val="0"/>
          <w:color w:val="1F497D"/>
          <w:sz w:val="22"/>
          <w:szCs w:val="22"/>
        </w:rPr>
        <w:t xml:space="preserve">Rețea </w:t>
      </w:r>
      <w:r w:rsidR="00A27348">
        <w:rPr>
          <w:rFonts w:ascii="Arial" w:hAnsi="Arial" w:cs="Arial"/>
          <w:i w:val="0"/>
          <w:iCs w:val="0"/>
          <w:color w:val="1F497D"/>
          <w:sz w:val="22"/>
          <w:szCs w:val="22"/>
        </w:rPr>
        <w:t>trasee</w:t>
      </w:r>
      <w:r w:rsidR="004E14B7" w:rsidRPr="00770D30">
        <w:rPr>
          <w:rFonts w:ascii="Arial" w:hAnsi="Arial" w:cs="Arial"/>
          <w:i w:val="0"/>
          <w:iCs w:val="0"/>
          <w:color w:val="1F497D"/>
          <w:sz w:val="22"/>
          <w:szCs w:val="22"/>
        </w:rPr>
        <w:t xml:space="preserve"> cross-country Horezu</w:t>
      </w:r>
      <w:bookmarkEnd w:id="407"/>
    </w:p>
    <w:p w14:paraId="49795FB2" w14:textId="77777777" w:rsidR="004E14B7" w:rsidRPr="004E14B7" w:rsidRDefault="004E14B7" w:rsidP="004E14B7">
      <w:pPr>
        <w:rPr>
          <w:rFonts w:ascii="Calibri" w:hAnsi="Calibri" w:cs="Times New Roman"/>
        </w:rPr>
      </w:pPr>
    </w:p>
    <w:p w14:paraId="50590322" w14:textId="776FDD44" w:rsidR="004E14B7" w:rsidRPr="004E14B7" w:rsidRDefault="00A27348" w:rsidP="004E14B7">
      <w:pPr>
        <w:keepNext/>
        <w:spacing w:after="0"/>
        <w:jc w:val="both"/>
        <w:rPr>
          <w:rFonts w:ascii="Arial" w:hAnsi="Arial" w:cs="Arial"/>
        </w:rPr>
      </w:pPr>
      <w:r>
        <w:rPr>
          <w:rFonts w:ascii="Arial" w:hAnsi="Arial" w:cs="Arial"/>
          <w:b/>
        </w:rPr>
        <w:t>Traseu</w:t>
      </w:r>
      <w:r w:rsidR="004E14B7" w:rsidRPr="004E14B7">
        <w:rPr>
          <w:rFonts w:ascii="Arial" w:hAnsi="Arial" w:cs="Arial"/>
          <w:b/>
        </w:rPr>
        <w:t xml:space="preserve"> down-hill = </w:t>
      </w:r>
      <w:r w:rsidR="00960A66" w:rsidRPr="00960A66">
        <w:rPr>
          <w:rFonts w:ascii="Arial" w:hAnsi="Arial" w:cs="Arial"/>
        </w:rPr>
        <w:t>Alternativ</w:t>
      </w:r>
      <w:r w:rsidR="00960A66">
        <w:rPr>
          <w:rFonts w:ascii="Arial" w:hAnsi="Arial" w:cs="Arial"/>
        </w:rPr>
        <w:t>a</w:t>
      </w:r>
      <w:r w:rsidR="00960A66" w:rsidRPr="00960A66">
        <w:rPr>
          <w:rFonts w:ascii="Arial" w:hAnsi="Arial" w:cs="Arial"/>
        </w:rPr>
        <w:t xml:space="preserve"> pentru petrecerea ti</w:t>
      </w:r>
      <w:r w:rsidR="00960A66">
        <w:rPr>
          <w:rFonts w:ascii="Arial" w:hAnsi="Arial" w:cs="Arial"/>
        </w:rPr>
        <w:t>mpului liber în perioada de vară-toamnă</w:t>
      </w:r>
      <w:r w:rsidR="00960A66" w:rsidRPr="00960A66">
        <w:rPr>
          <w:rFonts w:ascii="Arial" w:hAnsi="Arial" w:cs="Arial"/>
        </w:rPr>
        <w:t xml:space="preserve">, pentru zonele amenajate cu predilecție pentru sporturi de iarnă, pentru coborâri pe </w:t>
      </w:r>
      <w:r>
        <w:rPr>
          <w:rFonts w:ascii="Arial" w:hAnsi="Arial" w:cs="Arial"/>
        </w:rPr>
        <w:t>trasee pentru biciclete</w:t>
      </w:r>
      <w:r w:rsidR="00960A66" w:rsidRPr="00960A66">
        <w:rPr>
          <w:rFonts w:ascii="Arial" w:hAnsi="Arial" w:cs="Arial"/>
        </w:rPr>
        <w:t xml:space="preserve"> minim amenajate în apropierea pârtiilor de ski, cu biciclete down-hill (pentru terenuri denivelate, fără schimbătoare de viteze, sisteme de suspensie față și spate, cu sisteme de frânare pe disc de frână) proprii sau închiriate prin sistem de taxare la coborâre, cartele puncte cu un număr limitat de coborâri sau cartele de o zi. Varianta de </w:t>
      </w:r>
      <w:r>
        <w:rPr>
          <w:rFonts w:ascii="Arial" w:hAnsi="Arial" w:cs="Arial"/>
        </w:rPr>
        <w:t>traseu</w:t>
      </w:r>
      <w:r w:rsidR="00960A66" w:rsidRPr="00960A66">
        <w:rPr>
          <w:rFonts w:ascii="Arial" w:hAnsi="Arial" w:cs="Arial"/>
        </w:rPr>
        <w:t xml:space="preserve"> prezentată are lungimea de 1,4 km și o diferența de nivel de 80m</w:t>
      </w:r>
      <w:r w:rsidR="004E14B7" w:rsidRPr="004E14B7">
        <w:rPr>
          <w:rFonts w:ascii="Arial" w:hAnsi="Arial" w:cs="Arial"/>
        </w:rPr>
        <w:t>.</w:t>
      </w:r>
    </w:p>
    <w:p w14:paraId="01DA1688" w14:textId="77777777" w:rsidR="004E14B7" w:rsidRPr="004E14B7" w:rsidRDefault="004E14B7" w:rsidP="004E14B7">
      <w:pPr>
        <w:keepNext/>
        <w:spacing w:after="0"/>
        <w:jc w:val="both"/>
        <w:rPr>
          <w:rFonts w:ascii="Arial" w:hAnsi="Arial" w:cs="Arial"/>
        </w:rPr>
      </w:pPr>
    </w:p>
    <w:p w14:paraId="269F1774" w14:textId="77777777" w:rsidR="004E14B7" w:rsidRPr="004E14B7" w:rsidRDefault="004E14B7" w:rsidP="004E14B7">
      <w:pPr>
        <w:keepNext/>
        <w:spacing w:after="0"/>
        <w:jc w:val="center"/>
        <w:rPr>
          <w:rFonts w:ascii="Arial" w:hAnsi="Arial" w:cs="Arial"/>
        </w:rPr>
      </w:pPr>
      <w:r w:rsidRPr="004E14B7">
        <w:rPr>
          <w:rFonts w:ascii="Calibri" w:hAnsi="Calibri" w:cs="Times New Roman"/>
          <w:noProof/>
        </w:rPr>
        <w:drawing>
          <wp:inline distT="0" distB="0" distL="0" distR="0" wp14:anchorId="2914AF44" wp14:editId="1994886A">
            <wp:extent cx="5733415" cy="2331593"/>
            <wp:effectExtent l="0" t="0" r="63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33415" cy="2331593"/>
                    </a:xfrm>
                    <a:prstGeom prst="rect">
                      <a:avLst/>
                    </a:prstGeom>
                    <a:noFill/>
                    <a:ln>
                      <a:noFill/>
                    </a:ln>
                  </pic:spPr>
                </pic:pic>
              </a:graphicData>
            </a:graphic>
          </wp:inline>
        </w:drawing>
      </w:r>
    </w:p>
    <w:p w14:paraId="405391E3" w14:textId="77777777" w:rsidR="004E14B7" w:rsidRPr="004E14B7" w:rsidRDefault="004E14B7" w:rsidP="004E14B7">
      <w:pPr>
        <w:widowControl w:val="0"/>
        <w:suppressAutoHyphens/>
        <w:autoSpaceDE w:val="0"/>
        <w:spacing w:after="0" w:line="276" w:lineRule="auto"/>
        <w:jc w:val="center"/>
        <w:rPr>
          <w:rFonts w:ascii="Arial" w:eastAsia="Calibri" w:hAnsi="Arial" w:cs="Arial"/>
          <w:color w:val="000000"/>
          <w:lang w:val="es-ES" w:eastAsia="zh-CN"/>
        </w:rPr>
      </w:pPr>
    </w:p>
    <w:p w14:paraId="61108CA7" w14:textId="37CC3614" w:rsidR="004E14B7" w:rsidRPr="00960A66" w:rsidRDefault="00960A66" w:rsidP="00960A66">
      <w:pPr>
        <w:pStyle w:val="Legend"/>
        <w:jc w:val="center"/>
        <w:rPr>
          <w:rFonts w:ascii="Arial" w:hAnsi="Arial" w:cs="Arial"/>
          <w:i w:val="0"/>
          <w:color w:val="1F497D"/>
          <w:sz w:val="22"/>
          <w:szCs w:val="22"/>
        </w:rPr>
      </w:pPr>
      <w:bookmarkStart w:id="408" w:name="_Toc142039131"/>
      <w:r w:rsidRPr="00960A66">
        <w:rPr>
          <w:rFonts w:ascii="Arial" w:hAnsi="Arial" w:cs="Arial"/>
          <w:sz w:val="22"/>
          <w:szCs w:val="22"/>
        </w:rPr>
        <w:t xml:space="preserve">Figura I.5. </w:t>
      </w:r>
      <w:r w:rsidRPr="00960A66">
        <w:rPr>
          <w:rFonts w:ascii="Arial" w:hAnsi="Arial" w:cs="Arial"/>
          <w:sz w:val="22"/>
          <w:szCs w:val="22"/>
        </w:rPr>
        <w:fldChar w:fldCharType="begin"/>
      </w:r>
      <w:r w:rsidRPr="00960A66">
        <w:rPr>
          <w:rFonts w:ascii="Arial" w:hAnsi="Arial" w:cs="Arial"/>
          <w:sz w:val="22"/>
          <w:szCs w:val="22"/>
        </w:rPr>
        <w:instrText xml:space="preserve"> SEQ Figura_I.5. \* ARABIC </w:instrText>
      </w:r>
      <w:r w:rsidRPr="00960A66">
        <w:rPr>
          <w:rFonts w:ascii="Arial" w:hAnsi="Arial" w:cs="Arial"/>
          <w:sz w:val="22"/>
          <w:szCs w:val="22"/>
        </w:rPr>
        <w:fldChar w:fldCharType="separate"/>
      </w:r>
      <w:r w:rsidR="00BB181C">
        <w:rPr>
          <w:rFonts w:ascii="Arial" w:hAnsi="Arial" w:cs="Arial"/>
          <w:noProof/>
          <w:sz w:val="22"/>
          <w:szCs w:val="22"/>
        </w:rPr>
        <w:t>4</w:t>
      </w:r>
      <w:r w:rsidRPr="00960A66">
        <w:rPr>
          <w:rFonts w:ascii="Arial" w:hAnsi="Arial" w:cs="Arial"/>
          <w:sz w:val="22"/>
          <w:szCs w:val="22"/>
        </w:rPr>
        <w:fldChar w:fldCharType="end"/>
      </w:r>
      <w:r w:rsidRPr="00960A66">
        <w:rPr>
          <w:rFonts w:ascii="Arial" w:hAnsi="Arial" w:cs="Arial"/>
          <w:sz w:val="22"/>
          <w:szCs w:val="22"/>
        </w:rPr>
        <w:t xml:space="preserve"> </w:t>
      </w:r>
      <w:r w:rsidR="00A27348">
        <w:rPr>
          <w:rFonts w:ascii="Arial" w:hAnsi="Arial" w:cs="Arial"/>
          <w:i w:val="0"/>
          <w:iCs w:val="0"/>
          <w:color w:val="1F497D"/>
          <w:sz w:val="22"/>
          <w:szCs w:val="22"/>
        </w:rPr>
        <w:t>–</w:t>
      </w:r>
      <w:r w:rsidR="004E14B7" w:rsidRPr="00960A66">
        <w:rPr>
          <w:rFonts w:ascii="Arial" w:hAnsi="Arial" w:cs="Arial"/>
          <w:i w:val="0"/>
          <w:iCs w:val="0"/>
          <w:color w:val="1F497D"/>
          <w:sz w:val="22"/>
          <w:szCs w:val="22"/>
        </w:rPr>
        <w:t xml:space="preserve"> </w:t>
      </w:r>
      <w:r w:rsidR="00A27348">
        <w:rPr>
          <w:rFonts w:ascii="Arial" w:hAnsi="Arial" w:cs="Arial"/>
          <w:i w:val="0"/>
          <w:color w:val="1F497D"/>
          <w:sz w:val="22"/>
          <w:szCs w:val="22"/>
        </w:rPr>
        <w:t>Traseu pentru biciclete</w:t>
      </w:r>
      <w:r w:rsidRPr="00960A66">
        <w:rPr>
          <w:rFonts w:ascii="Arial" w:hAnsi="Arial" w:cs="Arial"/>
          <w:i w:val="0"/>
          <w:color w:val="1F497D"/>
          <w:sz w:val="22"/>
          <w:szCs w:val="22"/>
        </w:rPr>
        <w:t xml:space="preserve"> down-hill Vâ</w:t>
      </w:r>
      <w:r w:rsidR="004E14B7" w:rsidRPr="00960A66">
        <w:rPr>
          <w:rFonts w:ascii="Arial" w:hAnsi="Arial" w:cs="Arial"/>
          <w:i w:val="0"/>
          <w:color w:val="1F497D"/>
          <w:sz w:val="22"/>
          <w:szCs w:val="22"/>
        </w:rPr>
        <w:t>rful lui Roman</w:t>
      </w:r>
      <w:bookmarkEnd w:id="408"/>
    </w:p>
    <w:p w14:paraId="52F0BEAE" w14:textId="77777777" w:rsidR="004E14B7" w:rsidRPr="004E14B7" w:rsidRDefault="004E14B7" w:rsidP="004E14B7">
      <w:pPr>
        <w:widowControl w:val="0"/>
        <w:suppressAutoHyphens/>
        <w:autoSpaceDE w:val="0"/>
        <w:spacing w:after="0" w:line="276" w:lineRule="auto"/>
        <w:jc w:val="both"/>
        <w:rPr>
          <w:rFonts w:ascii="Arial" w:eastAsia="Calibri" w:hAnsi="Arial" w:cs="Arial"/>
          <w:color w:val="000000"/>
          <w:lang w:val="es-ES" w:eastAsia="zh-CN"/>
        </w:rPr>
      </w:pPr>
    </w:p>
    <w:p w14:paraId="78CFF525" w14:textId="77777777" w:rsidR="004E14B7" w:rsidRPr="004E14B7" w:rsidRDefault="004E14B7" w:rsidP="004E14B7">
      <w:pPr>
        <w:widowControl w:val="0"/>
        <w:numPr>
          <w:ilvl w:val="0"/>
          <w:numId w:val="78"/>
        </w:numPr>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color w:val="000000"/>
          <w:lang w:val="es-ES" w:eastAsia="zh-CN"/>
        </w:rPr>
        <w:lastRenderedPageBreak/>
        <w:t>I</w:t>
      </w:r>
      <w:r w:rsidRPr="004E14B7">
        <w:rPr>
          <w:rFonts w:ascii="Arial" w:eastAsia="Calibri" w:hAnsi="Arial" w:cs="Arial"/>
          <w:color w:val="000000"/>
          <w:lang w:val="es-ES" w:eastAsia="zh-CN"/>
        </w:rPr>
        <w:t xml:space="preserve">V.6 = extinderea zonei pietonale = </w:t>
      </w:r>
      <w:r w:rsidRPr="004E14B7">
        <w:rPr>
          <w:rFonts w:ascii="Arial" w:eastAsia="Calibri" w:hAnsi="Arial" w:cs="Arial"/>
          <w:color w:val="000000"/>
          <w:lang w:eastAsia="zh-CN"/>
        </w:rPr>
        <w:t>extinderea zonei pietona</w:t>
      </w:r>
      <w:r w:rsidR="00960A66">
        <w:rPr>
          <w:rFonts w:ascii="Arial" w:eastAsia="Calibri" w:hAnsi="Arial" w:cs="Arial"/>
          <w:color w:val="000000"/>
          <w:lang w:eastAsia="zh-CN"/>
        </w:rPr>
        <w:t>le existente cu urmatoarele stră</w:t>
      </w:r>
      <w:r w:rsidRPr="004E14B7">
        <w:rPr>
          <w:rFonts w:ascii="Arial" w:eastAsia="Calibri" w:hAnsi="Arial" w:cs="Arial"/>
          <w:color w:val="000000"/>
          <w:lang w:eastAsia="zh-CN"/>
        </w:rPr>
        <w:t>zi:</w:t>
      </w:r>
    </w:p>
    <w:p w14:paraId="5CFC87C6" w14:textId="77777777" w:rsidR="004E14B7" w:rsidRPr="004E14B7" w:rsidRDefault="004E14B7" w:rsidP="004E14B7">
      <w:pPr>
        <w:numPr>
          <w:ilvl w:val="0"/>
          <w:numId w:val="72"/>
        </w:numPr>
        <w:shd w:val="clear" w:color="auto" w:fill="FFFFFF"/>
        <w:suppressAutoHyphens/>
        <w:spacing w:after="0" w:line="240" w:lineRule="auto"/>
        <w:ind w:left="1418"/>
        <w:rPr>
          <w:rFonts w:ascii="Arial" w:eastAsia="Times New Roman" w:hAnsi="Arial" w:cs="Arial"/>
          <w:lang w:val="ro-RO" w:eastAsia="ro-RO"/>
        </w:rPr>
      </w:pPr>
      <w:r w:rsidRPr="004E14B7">
        <w:rPr>
          <w:rFonts w:ascii="Arial" w:eastAsia="Times New Roman" w:hAnsi="Arial" w:cs="Arial"/>
          <w:lang w:val="ro-RO" w:eastAsia="ro-RO"/>
        </w:rPr>
        <w:t>str. Indep</w:t>
      </w:r>
      <w:r w:rsidR="00960A66">
        <w:rPr>
          <w:rFonts w:ascii="Arial" w:eastAsia="Times New Roman" w:hAnsi="Arial" w:cs="Arial"/>
          <w:lang w:val="ro-RO" w:eastAsia="ro-RO"/>
        </w:rPr>
        <w:t>endenţ</w:t>
      </w:r>
      <w:r w:rsidRPr="004E14B7">
        <w:rPr>
          <w:rFonts w:ascii="Arial" w:eastAsia="Times New Roman" w:hAnsi="Arial" w:cs="Arial"/>
          <w:lang w:val="ro-RO" w:eastAsia="ro-RO"/>
        </w:rPr>
        <w:t>ei;</w:t>
      </w:r>
    </w:p>
    <w:p w14:paraId="5EF1902B" w14:textId="77777777" w:rsidR="004E14B7" w:rsidRPr="004E14B7" w:rsidRDefault="004E14B7" w:rsidP="004E14B7">
      <w:pPr>
        <w:numPr>
          <w:ilvl w:val="0"/>
          <w:numId w:val="72"/>
        </w:numPr>
        <w:shd w:val="clear" w:color="auto" w:fill="FFFFFF"/>
        <w:suppressAutoHyphens/>
        <w:spacing w:after="0" w:line="240" w:lineRule="auto"/>
        <w:ind w:left="1418"/>
        <w:jc w:val="both"/>
        <w:rPr>
          <w:rFonts w:ascii="Arial" w:eastAsia="Times New Roman" w:hAnsi="Arial" w:cs="Arial"/>
          <w:lang w:val="ro-RO" w:eastAsia="ro-RO"/>
        </w:rPr>
      </w:pPr>
      <w:r w:rsidRPr="004E14B7">
        <w:rPr>
          <w:rFonts w:ascii="Arial" w:eastAsia="Times New Roman" w:hAnsi="Arial" w:cs="Arial"/>
          <w:lang w:val="ro-RO" w:eastAsia="ro-RO"/>
        </w:rPr>
        <w:t>st</w:t>
      </w:r>
      <w:r w:rsidR="00960A66">
        <w:rPr>
          <w:rFonts w:ascii="Arial" w:eastAsia="Times New Roman" w:hAnsi="Arial" w:cs="Arial"/>
          <w:lang w:val="ro-RO" w:eastAsia="ro-RO"/>
        </w:rPr>
        <w:t>r. N. Iorga, segmentul cuprins între străzile Mircea cel Bătrân şi Independenţ</w:t>
      </w:r>
      <w:r w:rsidRPr="004E14B7">
        <w:rPr>
          <w:rFonts w:ascii="Arial" w:eastAsia="Times New Roman" w:hAnsi="Arial" w:cs="Arial"/>
          <w:lang w:val="ro-RO" w:eastAsia="ro-RO"/>
        </w:rPr>
        <w:t>ei;</w:t>
      </w:r>
    </w:p>
    <w:p w14:paraId="7434A845" w14:textId="77777777" w:rsidR="004E14B7" w:rsidRPr="004E14B7" w:rsidRDefault="00960A66" w:rsidP="004E14B7">
      <w:pPr>
        <w:numPr>
          <w:ilvl w:val="0"/>
          <w:numId w:val="72"/>
        </w:numPr>
        <w:shd w:val="clear" w:color="auto" w:fill="FFFFFF"/>
        <w:suppressAutoHyphens/>
        <w:spacing w:after="0" w:line="240" w:lineRule="auto"/>
        <w:ind w:left="1418"/>
        <w:jc w:val="both"/>
        <w:rPr>
          <w:rFonts w:ascii="Arial" w:eastAsia="Times New Roman" w:hAnsi="Arial" w:cs="Arial"/>
          <w:lang w:val="ro-RO" w:eastAsia="ro-RO"/>
        </w:rPr>
      </w:pPr>
      <w:r>
        <w:rPr>
          <w:rFonts w:ascii="Arial" w:eastAsia="Times New Roman" w:hAnsi="Arial" w:cs="Arial"/>
          <w:lang w:val="ro-RO" w:eastAsia="ro-RO"/>
        </w:rPr>
        <w:t>str. Constantin Brâncoveanu, segmentul cuprins între străzile George Coşbuc şi Independenţ</w:t>
      </w:r>
      <w:r w:rsidR="004E14B7" w:rsidRPr="004E14B7">
        <w:rPr>
          <w:rFonts w:ascii="Arial" w:eastAsia="Times New Roman" w:hAnsi="Arial" w:cs="Arial"/>
          <w:lang w:val="ro-RO" w:eastAsia="ro-RO"/>
        </w:rPr>
        <w:t>ei;</w:t>
      </w:r>
    </w:p>
    <w:p w14:paraId="2328596D" w14:textId="77777777" w:rsidR="004E14B7" w:rsidRPr="004E14B7" w:rsidRDefault="00960A66" w:rsidP="004E14B7">
      <w:pPr>
        <w:numPr>
          <w:ilvl w:val="0"/>
          <w:numId w:val="72"/>
        </w:numPr>
        <w:shd w:val="clear" w:color="auto" w:fill="FFFFFF"/>
        <w:suppressAutoHyphens/>
        <w:spacing w:after="0" w:line="240" w:lineRule="auto"/>
        <w:ind w:left="1418"/>
        <w:jc w:val="both"/>
        <w:rPr>
          <w:rFonts w:ascii="Arial" w:eastAsia="Times New Roman" w:hAnsi="Arial" w:cs="Arial"/>
          <w:lang w:val="ro-RO" w:eastAsia="ro-RO"/>
        </w:rPr>
      </w:pPr>
      <w:r>
        <w:rPr>
          <w:rFonts w:ascii="Arial" w:eastAsia="Times New Roman" w:hAnsi="Arial" w:cs="Arial"/>
          <w:lang w:val="ro-RO" w:eastAsia="ro-RO"/>
        </w:rPr>
        <w:t>terenul rezultat în urma demolării clă</w:t>
      </w:r>
      <w:r w:rsidR="004E14B7" w:rsidRPr="004E14B7">
        <w:rPr>
          <w:rFonts w:ascii="Arial" w:eastAsia="Times New Roman" w:hAnsi="Arial" w:cs="Arial"/>
          <w:lang w:val="ro-RO" w:eastAsia="ro-RO"/>
        </w:rPr>
        <w:t>dirii Clubul Pensionarilor;</w:t>
      </w:r>
    </w:p>
    <w:p w14:paraId="5DFB75E6" w14:textId="77777777" w:rsidR="004E14B7" w:rsidRPr="004E14B7" w:rsidRDefault="004E14B7" w:rsidP="004E14B7">
      <w:pPr>
        <w:numPr>
          <w:ilvl w:val="0"/>
          <w:numId w:val="72"/>
        </w:numPr>
        <w:shd w:val="clear" w:color="auto" w:fill="FFFFFF"/>
        <w:suppressAutoHyphens/>
        <w:spacing w:after="0" w:line="240" w:lineRule="auto"/>
        <w:ind w:left="1418"/>
        <w:jc w:val="both"/>
        <w:rPr>
          <w:rFonts w:ascii="Arial" w:eastAsia="Times New Roman" w:hAnsi="Arial" w:cs="Arial"/>
          <w:color w:val="222222"/>
          <w:lang w:val="ro-RO" w:eastAsia="ro-RO"/>
        </w:rPr>
      </w:pPr>
      <w:r w:rsidRPr="004E14B7">
        <w:rPr>
          <w:rFonts w:ascii="Arial" w:eastAsia="Calibri" w:hAnsi="Arial" w:cs="Arial"/>
          <w:color w:val="000000"/>
          <w:lang w:eastAsia="zh-CN"/>
        </w:rPr>
        <w:t>va</w:t>
      </w:r>
      <w:r w:rsidR="00960A66">
        <w:rPr>
          <w:rFonts w:ascii="Arial" w:eastAsia="Calibri" w:hAnsi="Arial" w:cs="Arial"/>
          <w:color w:val="000000"/>
          <w:lang w:eastAsia="zh-CN"/>
        </w:rPr>
        <w:t>lorificarea malurilor râului Urş</w:t>
      </w:r>
      <w:r w:rsidRPr="004E14B7">
        <w:rPr>
          <w:rFonts w:ascii="Arial" w:eastAsia="Calibri" w:hAnsi="Arial" w:cs="Arial"/>
          <w:color w:val="000000"/>
          <w:lang w:eastAsia="zh-CN"/>
        </w:rPr>
        <w:t xml:space="preserve">ani prin crearea </w:t>
      </w:r>
      <w:r w:rsidR="00960A66">
        <w:rPr>
          <w:rFonts w:ascii="Arial" w:eastAsia="Calibri" w:hAnsi="Arial" w:cs="Arial"/>
          <w:color w:val="000000"/>
          <w:lang w:eastAsia="zh-CN"/>
        </w:rPr>
        <w:t>de promenade (pietoni + biciclişti), pe sectorul cuprins între str. 9 Mai 1871 şi str. C. Brâ</w:t>
      </w:r>
      <w:r w:rsidRPr="004E14B7">
        <w:rPr>
          <w:rFonts w:ascii="Arial" w:eastAsia="Calibri" w:hAnsi="Arial" w:cs="Arial"/>
          <w:color w:val="000000"/>
          <w:lang w:eastAsia="zh-CN"/>
        </w:rPr>
        <w:t>ncoveanu.</w:t>
      </w:r>
    </w:p>
    <w:p w14:paraId="12E6E774" w14:textId="77777777" w:rsidR="004E14B7" w:rsidRPr="004E14B7" w:rsidRDefault="004E14B7" w:rsidP="004E14B7">
      <w:pPr>
        <w:autoSpaceDE w:val="0"/>
        <w:autoSpaceDN w:val="0"/>
        <w:adjustRightInd w:val="0"/>
        <w:spacing w:after="0" w:line="276" w:lineRule="auto"/>
        <w:jc w:val="both"/>
        <w:rPr>
          <w:rFonts w:ascii="Arial" w:eastAsia="Calibri" w:hAnsi="Arial" w:cs="Arial"/>
          <w:color w:val="000000"/>
          <w:lang w:eastAsia="zh-CN"/>
        </w:rPr>
      </w:pPr>
    </w:p>
    <w:p w14:paraId="3F49FA06" w14:textId="77777777" w:rsidR="004E14B7" w:rsidRPr="004E14B7" w:rsidRDefault="00CA22A1" w:rsidP="004E14B7">
      <w:pPr>
        <w:autoSpaceDE w:val="0"/>
        <w:autoSpaceDN w:val="0"/>
        <w:adjustRightInd w:val="0"/>
        <w:spacing w:after="0" w:line="276" w:lineRule="auto"/>
        <w:jc w:val="center"/>
        <w:rPr>
          <w:rFonts w:ascii="Arial" w:eastAsia="Calibri" w:hAnsi="Arial" w:cs="Arial"/>
          <w:color w:val="000000"/>
          <w:lang w:eastAsia="zh-CN"/>
        </w:rPr>
      </w:pPr>
      <w:r>
        <w:rPr>
          <w:noProof/>
        </w:rPr>
        <w:drawing>
          <wp:inline distT="0" distB="0" distL="0" distR="0" wp14:anchorId="724213A3" wp14:editId="6BF838D7">
            <wp:extent cx="5535002" cy="3743325"/>
            <wp:effectExtent l="0" t="0" r="889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541330" cy="3747605"/>
                    </a:xfrm>
                    <a:prstGeom prst="rect">
                      <a:avLst/>
                    </a:prstGeom>
                    <a:noFill/>
                    <a:ln>
                      <a:noFill/>
                    </a:ln>
                  </pic:spPr>
                </pic:pic>
              </a:graphicData>
            </a:graphic>
          </wp:inline>
        </w:drawing>
      </w:r>
    </w:p>
    <w:p w14:paraId="14098A74" w14:textId="77777777" w:rsidR="004E14B7" w:rsidRPr="004E14B7" w:rsidRDefault="006764E0" w:rsidP="004E14B7">
      <w:pPr>
        <w:suppressAutoHyphens/>
        <w:autoSpaceDE w:val="0"/>
        <w:spacing w:after="0" w:line="276" w:lineRule="auto"/>
        <w:rPr>
          <w:rFonts w:ascii="Arial" w:eastAsia="Calibri" w:hAnsi="Arial" w:cs="Arial"/>
          <w:color w:val="000000"/>
          <w:sz w:val="18"/>
          <w:szCs w:val="18"/>
          <w:lang w:val="es-ES" w:eastAsia="zh-CN"/>
        </w:rPr>
      </w:pPr>
      <w:r>
        <w:rPr>
          <w:rFonts w:ascii="Arial" w:eastAsia="Calibri" w:hAnsi="Arial" w:cs="Arial"/>
          <w:color w:val="000000"/>
          <w:sz w:val="20"/>
          <w:szCs w:val="20"/>
          <w:lang w:eastAsia="zh-CN"/>
        </w:rPr>
        <w:tab/>
      </w:r>
      <w:r w:rsidR="004E14B7" w:rsidRPr="004E14B7">
        <w:rPr>
          <w:rFonts w:ascii="Arial" w:eastAsia="Calibri" w:hAnsi="Arial" w:cs="Arial"/>
          <w:color w:val="000000"/>
          <w:sz w:val="18"/>
          <w:szCs w:val="18"/>
          <w:lang w:val="es-ES" w:eastAsia="zh-CN"/>
        </w:rPr>
        <w:t>Sursa: Elaborator INCERTRANS SA</w:t>
      </w:r>
    </w:p>
    <w:p w14:paraId="4D11488D" w14:textId="58CE367B" w:rsidR="004E14B7" w:rsidRPr="00960A66" w:rsidRDefault="00960A66" w:rsidP="00960A66">
      <w:pPr>
        <w:pStyle w:val="Legend"/>
        <w:jc w:val="center"/>
        <w:rPr>
          <w:rFonts w:ascii="Arial" w:eastAsia="Calibri" w:hAnsi="Arial" w:cs="Arial"/>
          <w:i w:val="0"/>
          <w:color w:val="000000"/>
          <w:sz w:val="22"/>
          <w:szCs w:val="22"/>
          <w:lang w:val="es-ES" w:eastAsia="zh-CN"/>
        </w:rPr>
      </w:pPr>
      <w:bookmarkStart w:id="409" w:name="_Toc68361072"/>
      <w:bookmarkStart w:id="410" w:name="_Toc142039132"/>
      <w:r w:rsidRPr="00960A66">
        <w:rPr>
          <w:rFonts w:ascii="Arial" w:hAnsi="Arial" w:cs="Arial"/>
          <w:sz w:val="22"/>
          <w:szCs w:val="22"/>
        </w:rPr>
        <w:t xml:space="preserve">Figura I.5. </w:t>
      </w:r>
      <w:r w:rsidRPr="00960A66">
        <w:rPr>
          <w:rFonts w:ascii="Arial" w:hAnsi="Arial" w:cs="Arial"/>
          <w:sz w:val="22"/>
          <w:szCs w:val="22"/>
        </w:rPr>
        <w:fldChar w:fldCharType="begin"/>
      </w:r>
      <w:r w:rsidRPr="00960A66">
        <w:rPr>
          <w:rFonts w:ascii="Arial" w:hAnsi="Arial" w:cs="Arial"/>
          <w:sz w:val="22"/>
          <w:szCs w:val="22"/>
        </w:rPr>
        <w:instrText xml:space="preserve"> SEQ Figura_I.5. \* ARABIC </w:instrText>
      </w:r>
      <w:r w:rsidRPr="00960A66">
        <w:rPr>
          <w:rFonts w:ascii="Arial" w:hAnsi="Arial" w:cs="Arial"/>
          <w:sz w:val="22"/>
          <w:szCs w:val="22"/>
        </w:rPr>
        <w:fldChar w:fldCharType="separate"/>
      </w:r>
      <w:r w:rsidR="00BB181C">
        <w:rPr>
          <w:rFonts w:ascii="Arial" w:hAnsi="Arial" w:cs="Arial"/>
          <w:noProof/>
          <w:sz w:val="22"/>
          <w:szCs w:val="22"/>
        </w:rPr>
        <w:t>5</w:t>
      </w:r>
      <w:r w:rsidRPr="00960A66">
        <w:rPr>
          <w:rFonts w:ascii="Arial" w:hAnsi="Arial" w:cs="Arial"/>
          <w:sz w:val="22"/>
          <w:szCs w:val="22"/>
        </w:rPr>
        <w:fldChar w:fldCharType="end"/>
      </w:r>
      <w:r w:rsidRPr="00960A66">
        <w:rPr>
          <w:rFonts w:ascii="Arial" w:hAnsi="Arial" w:cs="Arial"/>
          <w:sz w:val="22"/>
          <w:szCs w:val="22"/>
        </w:rPr>
        <w:t xml:space="preserve"> </w:t>
      </w:r>
      <w:r w:rsidR="004E14B7" w:rsidRPr="00960A66">
        <w:rPr>
          <w:rFonts w:ascii="Arial" w:hAnsi="Arial" w:cs="Arial"/>
          <w:i w:val="0"/>
          <w:iCs w:val="0"/>
          <w:color w:val="1F497D"/>
          <w:sz w:val="22"/>
          <w:szCs w:val="22"/>
        </w:rPr>
        <w:t xml:space="preserve">- </w:t>
      </w:r>
      <w:r w:rsidR="004E14B7" w:rsidRPr="00960A66">
        <w:rPr>
          <w:rFonts w:ascii="Arial" w:hAnsi="Arial" w:cs="Arial"/>
          <w:i w:val="0"/>
          <w:color w:val="1F497D"/>
          <w:sz w:val="22"/>
          <w:szCs w:val="22"/>
        </w:rPr>
        <w:t>Zone pietonale propuse</w:t>
      </w:r>
      <w:bookmarkEnd w:id="409"/>
      <w:bookmarkEnd w:id="410"/>
    </w:p>
    <w:p w14:paraId="2B191CD8" w14:textId="77777777" w:rsidR="004E14B7" w:rsidRPr="004E14B7" w:rsidRDefault="004E14B7" w:rsidP="004E14B7">
      <w:pPr>
        <w:suppressAutoHyphens/>
        <w:autoSpaceDE w:val="0"/>
        <w:spacing w:after="0" w:line="360" w:lineRule="auto"/>
        <w:jc w:val="center"/>
        <w:rPr>
          <w:rFonts w:ascii="Arial" w:eastAsia="Arial" w:hAnsi="Arial" w:cs="Arial"/>
          <w:color w:val="000000"/>
          <w:sz w:val="24"/>
          <w:szCs w:val="24"/>
          <w:lang w:val="es-ES" w:eastAsia="zh-CN"/>
        </w:rPr>
      </w:pPr>
    </w:p>
    <w:p w14:paraId="7D745937" w14:textId="77777777" w:rsidR="004E14B7" w:rsidRPr="004E14B7" w:rsidRDefault="004E14B7" w:rsidP="004E14B7">
      <w:pPr>
        <w:widowControl w:val="0"/>
        <w:numPr>
          <w:ilvl w:val="0"/>
          <w:numId w:val="119"/>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IV.7 = </w:t>
      </w:r>
      <w:r w:rsidRPr="004E14B7">
        <w:rPr>
          <w:rFonts w:ascii="Arial" w:eastAsia="Calibri" w:hAnsi="Arial" w:cs="Arial"/>
          <w:color w:val="000000"/>
          <w:lang w:eastAsia="zh-CN"/>
        </w:rPr>
        <w:t>creșterea accesibilității pentru persoanele în vârstă sau cele cu dizabilități = reabilitarea suprafețelor pietonale prin asigurarea unui pavaj neted, uniform, cu marginea pavajului scufundat, amplasarea de suprafețe tactile în zonele de traversare, dar și separarea fizică a trotuarelor prin bolarzi sau garduri de traficul rutier, în special în zona unităților de învățământ</w:t>
      </w:r>
      <w:r w:rsidRPr="004E14B7">
        <w:rPr>
          <w:rFonts w:ascii="Arial" w:eastAsia="Calibri" w:hAnsi="Arial" w:cs="Arial"/>
          <w:color w:val="000000"/>
          <w:lang w:val="es-ES" w:eastAsia="zh-CN"/>
        </w:rPr>
        <w:t>.</w:t>
      </w:r>
    </w:p>
    <w:p w14:paraId="738F8F82" w14:textId="77777777" w:rsidR="004E14B7" w:rsidRPr="004E14B7" w:rsidRDefault="004E14B7" w:rsidP="004E14B7">
      <w:pPr>
        <w:widowControl w:val="0"/>
        <w:numPr>
          <w:ilvl w:val="0"/>
          <w:numId w:val="119"/>
        </w:numPr>
        <w:suppressAutoHyphens/>
        <w:autoSpaceDE w:val="0"/>
        <w:autoSpaceDN w:val="0"/>
        <w:adjustRightInd w:val="0"/>
        <w:spacing w:after="0" w:line="276" w:lineRule="auto"/>
        <w:jc w:val="both"/>
        <w:rPr>
          <w:rFonts w:ascii="Minion Pro" w:eastAsia="Times New Roman" w:hAnsi="Minion Pro" w:cs="Minion Pro"/>
          <w:color w:val="000000"/>
          <w:lang w:val="ro-RO" w:eastAsia="ro-RO"/>
        </w:rPr>
      </w:pPr>
      <w:r w:rsidRPr="004E14B7">
        <w:rPr>
          <w:rFonts w:ascii="Arial" w:eastAsia="Arial" w:hAnsi="Arial" w:cs="Arial"/>
          <w:lang w:val="es-ES" w:eastAsia="ro-RO"/>
        </w:rPr>
        <w:t>IV</w:t>
      </w:r>
      <w:r w:rsidRPr="004E14B7">
        <w:rPr>
          <w:rFonts w:ascii="Arial" w:eastAsia="Times New Roman" w:hAnsi="Arial" w:cs="Arial"/>
          <w:lang w:val="es-ES" w:eastAsia="ro-RO"/>
        </w:rPr>
        <w:t xml:space="preserve">.8 = introducerea în municipiu a „zilei fără autoturisme” (lunar) = </w:t>
      </w:r>
      <w:r w:rsidRPr="004E14B7">
        <w:rPr>
          <w:rFonts w:ascii="Arial" w:eastAsia="Times New Roman" w:hAnsi="Arial" w:cs="Arial"/>
          <w:color w:val="000000"/>
          <w:lang w:val="ro-RO" w:eastAsia="ro-RO"/>
        </w:rPr>
        <w:t>pentru a limita volumele de trafic din centrul orașului, pot fi stabilite restricții de acces și o strategie clară de încurajare a rețelelor pietonale intr-o zi d</w:t>
      </w:r>
      <w:r w:rsidR="00960A66">
        <w:rPr>
          <w:rFonts w:ascii="Arial" w:eastAsia="Times New Roman" w:hAnsi="Arial" w:cs="Arial"/>
          <w:color w:val="000000"/>
          <w:lang w:val="ro-RO" w:eastAsia="ro-RO"/>
        </w:rPr>
        <w:t>e weekend din fiecare lună (după apariţia şoselei de centură</w:t>
      </w:r>
      <w:r w:rsidRPr="004E14B7">
        <w:rPr>
          <w:rFonts w:ascii="Arial" w:eastAsia="Times New Roman" w:hAnsi="Arial" w:cs="Arial"/>
          <w:color w:val="000000"/>
          <w:lang w:val="ro-RO" w:eastAsia="ro-RO"/>
        </w:rPr>
        <w:t>).</w:t>
      </w:r>
      <w:r w:rsidRPr="004E14B7">
        <w:rPr>
          <w:rFonts w:ascii="Minion Pro" w:eastAsia="Times New Roman" w:hAnsi="Minion Pro" w:cs="Minion Pro"/>
          <w:color w:val="000000"/>
          <w:lang w:val="ro-RO" w:eastAsia="ro-RO"/>
        </w:rPr>
        <w:t xml:space="preserve"> </w:t>
      </w:r>
    </w:p>
    <w:p w14:paraId="65816A3B" w14:textId="77777777" w:rsidR="004E14B7" w:rsidRPr="004E14B7" w:rsidRDefault="00960A66" w:rsidP="004E14B7">
      <w:pPr>
        <w:widowControl w:val="0"/>
        <w:numPr>
          <w:ilvl w:val="0"/>
          <w:numId w:val="119"/>
        </w:numPr>
        <w:suppressAutoHyphens/>
        <w:autoSpaceDE w:val="0"/>
        <w:autoSpaceDN w:val="0"/>
        <w:adjustRightInd w:val="0"/>
        <w:spacing w:after="0" w:line="276" w:lineRule="auto"/>
        <w:jc w:val="both"/>
        <w:rPr>
          <w:rFonts w:ascii="Minion Pro" w:eastAsia="Times New Roman" w:hAnsi="Minion Pro" w:cs="Minion Pro"/>
          <w:color w:val="000000"/>
          <w:lang w:val="ro-RO" w:eastAsia="ro-RO"/>
        </w:rPr>
      </w:pPr>
      <w:r>
        <w:rPr>
          <w:rFonts w:ascii="Arial" w:eastAsia="Arial" w:hAnsi="Arial" w:cs="Arial"/>
          <w:lang w:val="es-ES" w:eastAsia="ro-RO"/>
        </w:rPr>
        <w:t>IV.9 = achiziţia de staţii de încă</w:t>
      </w:r>
      <w:r w:rsidR="004E14B7" w:rsidRPr="004E14B7">
        <w:rPr>
          <w:rFonts w:ascii="Arial" w:eastAsia="Arial" w:hAnsi="Arial" w:cs="Arial"/>
          <w:lang w:val="es-ES" w:eastAsia="ro-RO"/>
        </w:rPr>
        <w:t>rcare p</w:t>
      </w:r>
      <w:r>
        <w:rPr>
          <w:rFonts w:ascii="Arial" w:eastAsia="Arial" w:hAnsi="Arial" w:cs="Arial"/>
          <w:lang w:val="es-ES" w:eastAsia="ro-RO"/>
        </w:rPr>
        <w:t>entru autovehiculele electrice ş</w:t>
      </w:r>
      <w:r w:rsidR="004E14B7" w:rsidRPr="004E14B7">
        <w:rPr>
          <w:rFonts w:ascii="Arial" w:eastAsia="Arial" w:hAnsi="Arial" w:cs="Arial"/>
          <w:lang w:val="es-ES" w:eastAsia="ro-RO"/>
        </w:rPr>
        <w:t>i amplasarea a</w:t>
      </w:r>
      <w:r>
        <w:rPr>
          <w:rFonts w:ascii="Arial" w:eastAsia="Arial" w:hAnsi="Arial" w:cs="Arial"/>
          <w:lang w:val="es-ES" w:eastAsia="ro-RO"/>
        </w:rPr>
        <w:t>cestora î</w:t>
      </w:r>
      <w:r w:rsidR="004E14B7" w:rsidRPr="004E14B7">
        <w:rPr>
          <w:rFonts w:ascii="Arial" w:eastAsia="Arial" w:hAnsi="Arial" w:cs="Arial"/>
          <w:lang w:val="es-ES" w:eastAsia="ro-RO"/>
        </w:rPr>
        <w:t>n principalele zone ale orasului.</w:t>
      </w:r>
    </w:p>
    <w:p w14:paraId="30D54AF4" w14:textId="77777777" w:rsidR="004E14B7" w:rsidRPr="004E14B7" w:rsidRDefault="004E14B7" w:rsidP="004E14B7">
      <w:pPr>
        <w:suppressAutoHyphens/>
        <w:autoSpaceDE w:val="0"/>
        <w:spacing w:after="0" w:line="360" w:lineRule="auto"/>
        <w:jc w:val="both"/>
        <w:rPr>
          <w:rFonts w:ascii="Arial" w:eastAsia="Calibri" w:hAnsi="Arial" w:cs="Arial"/>
          <w:color w:val="000000"/>
          <w:sz w:val="24"/>
          <w:szCs w:val="24"/>
          <w:lang w:val="es-ES" w:eastAsia="zh-CN"/>
        </w:rPr>
      </w:pPr>
    </w:p>
    <w:p w14:paraId="01A92D3D" w14:textId="77777777" w:rsidR="004E14B7" w:rsidRPr="004E14B7" w:rsidRDefault="004E14B7" w:rsidP="004E14B7">
      <w:pPr>
        <w:widowControl w:val="0"/>
        <w:suppressAutoHyphens/>
        <w:autoSpaceDE w:val="0"/>
        <w:autoSpaceDN w:val="0"/>
        <w:adjustRightInd w:val="0"/>
        <w:spacing w:after="0" w:line="276" w:lineRule="auto"/>
        <w:ind w:left="360"/>
        <w:rPr>
          <w:rFonts w:ascii="Arial" w:eastAsia="Calibri" w:hAnsi="Arial" w:cs="Arial"/>
          <w:b/>
          <w:color w:val="000000"/>
          <w:kern w:val="1"/>
          <w:lang w:val="ro-RO" w:eastAsia="hi-IN" w:bidi="hi-IN"/>
        </w:rPr>
      </w:pPr>
      <w:r w:rsidRPr="004E14B7">
        <w:rPr>
          <w:rFonts w:ascii="Arial" w:eastAsia="Calibri" w:hAnsi="Arial" w:cs="Arial"/>
          <w:b/>
          <w:color w:val="000000"/>
          <w:kern w:val="1"/>
          <w:lang w:val="ro-RO" w:eastAsia="hi-IN" w:bidi="hi-IN"/>
        </w:rPr>
        <w:lastRenderedPageBreak/>
        <w:t>V. Managementul mobilităţii</w:t>
      </w:r>
    </w:p>
    <w:p w14:paraId="52393249" w14:textId="77777777" w:rsidR="004E14B7" w:rsidRPr="004E14B7" w:rsidRDefault="004E14B7" w:rsidP="004E14B7">
      <w:pPr>
        <w:widowControl w:val="0"/>
        <w:numPr>
          <w:ilvl w:val="0"/>
          <w:numId w:val="79"/>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V.1 = derularea unor acţiuni de popularizare referitoare la sistemele de utilizare a autoturismelor proprietate personală: car-sharing, car-pooling, bike-sharing etc. Vehicle-sharing reprezintă un serviciu de închiriere a vehiculelor pentru perioade scurte de timp. Acest serviciu poate fi oferit de o societate comercială sau de o asociere de utilizatori. Car-pooling reprezintă un serviciu prin care un autoturism este utilizat în comun de către persoane care au aceeaşi destinaţie şi care sunt dispuse să împartă o maşină pentru a ajunge acolo.</w:t>
      </w:r>
    </w:p>
    <w:p w14:paraId="774AEC0A" w14:textId="77777777" w:rsidR="004E14B7" w:rsidRPr="004E14B7" w:rsidRDefault="004E14B7" w:rsidP="004E14B7">
      <w:pPr>
        <w:widowControl w:val="0"/>
        <w:numPr>
          <w:ilvl w:val="0"/>
          <w:numId w:val="79"/>
        </w:numPr>
        <w:suppressAutoHyphens/>
        <w:autoSpaceDE w:val="0"/>
        <w:spacing w:after="0" w:line="276" w:lineRule="auto"/>
        <w:rPr>
          <w:rFonts w:ascii="Arial" w:eastAsia="Calibri" w:hAnsi="Arial" w:cs="Arial"/>
          <w:color w:val="000000"/>
          <w:lang w:val="ro-RO" w:eastAsia="zh-CN"/>
        </w:rPr>
      </w:pPr>
      <w:r w:rsidRPr="004E14B7">
        <w:rPr>
          <w:rFonts w:ascii="Arial" w:eastAsia="Calibri" w:hAnsi="Arial" w:cs="Arial"/>
          <w:color w:val="000000"/>
          <w:lang w:val="es-ES" w:eastAsia="zh-CN"/>
        </w:rPr>
        <w:t>V.2 = i</w:t>
      </w:r>
      <w:r w:rsidRPr="004E14B7">
        <w:rPr>
          <w:rFonts w:ascii="Arial" w:eastAsia="Calibri" w:hAnsi="Arial" w:cs="Arial"/>
          <w:color w:val="000000"/>
          <w:lang w:val="ro-RO" w:eastAsia="zh-CN"/>
        </w:rPr>
        <w:t>mplementarea conceptului de zone rezidenţiale. Codul Rutier defineşte “</w:t>
      </w:r>
      <w:r w:rsidRPr="004E14B7">
        <w:rPr>
          <w:rFonts w:ascii="Arial" w:eastAsia="Calibri" w:hAnsi="Arial" w:cs="Arial"/>
          <w:b/>
          <w:bCs/>
          <w:color w:val="000000"/>
          <w:lang w:val="ro-RO" w:eastAsia="zh-CN"/>
        </w:rPr>
        <w:t>zonele rezidenţiale</w:t>
      </w:r>
      <w:r w:rsidRPr="004E14B7">
        <w:rPr>
          <w:rFonts w:ascii="Arial" w:eastAsia="Calibri" w:hAnsi="Arial" w:cs="Arial"/>
          <w:color w:val="000000"/>
          <w:lang w:val="ro-RO" w:eastAsia="zh-CN"/>
        </w:rPr>
        <w:t xml:space="preserve">” după cum urmează: </w:t>
      </w:r>
    </w:p>
    <w:p w14:paraId="104E38EB" w14:textId="77777777" w:rsidR="004E14B7" w:rsidRPr="004E14B7" w:rsidRDefault="004E14B7" w:rsidP="004E14B7">
      <w:pPr>
        <w:suppressAutoHyphens/>
        <w:autoSpaceDE w:val="0"/>
        <w:spacing w:after="0" w:line="276" w:lineRule="auto"/>
        <w:ind w:left="720"/>
        <w:jc w:val="both"/>
        <w:rPr>
          <w:rFonts w:ascii="Arial" w:eastAsia="Calibri" w:hAnsi="Arial" w:cs="Arial"/>
          <w:color w:val="000000"/>
          <w:lang w:val="ro-RO" w:eastAsia="zh-CN"/>
        </w:rPr>
      </w:pPr>
      <w:r w:rsidRPr="004E14B7">
        <w:rPr>
          <w:rFonts w:ascii="Arial" w:eastAsia="Calibri" w:hAnsi="Arial" w:cs="Arial"/>
          <w:color w:val="000000"/>
          <w:lang w:val="ro-RO" w:eastAsia="zh-CN"/>
        </w:rPr>
        <w:t>“Art. 158 - (HG 1391/2006)</w:t>
      </w:r>
    </w:p>
    <w:p w14:paraId="23EA3776" w14:textId="77777777" w:rsidR="004E14B7" w:rsidRPr="004E14B7" w:rsidRDefault="004E14B7" w:rsidP="004E14B7">
      <w:pPr>
        <w:suppressAutoHyphens/>
        <w:autoSpaceDE w:val="0"/>
        <w:spacing w:after="0" w:line="276" w:lineRule="auto"/>
        <w:ind w:left="720"/>
        <w:jc w:val="both"/>
        <w:rPr>
          <w:rFonts w:ascii="Arial" w:eastAsia="Calibri" w:hAnsi="Arial" w:cs="Arial"/>
          <w:color w:val="000000"/>
          <w:lang w:val="ro-RO" w:eastAsia="zh-CN"/>
        </w:rPr>
      </w:pPr>
      <w:r w:rsidRPr="004E14B7">
        <w:rPr>
          <w:rFonts w:ascii="Arial" w:eastAsia="Calibri" w:hAnsi="Arial" w:cs="Arial"/>
          <w:color w:val="000000"/>
          <w:lang w:val="ro-RO" w:eastAsia="zh-CN"/>
        </w:rPr>
        <w:t xml:space="preserve">(1) În zona rezidențială, semnalizată ca atare, pietonii pot folosi toată lățimea părții carosabile, iar jocul copiilor este permis. </w:t>
      </w:r>
    </w:p>
    <w:p w14:paraId="6B5E6429" w14:textId="77777777" w:rsidR="004E14B7" w:rsidRPr="004E14B7" w:rsidRDefault="004E14B7" w:rsidP="004E14B7">
      <w:pPr>
        <w:suppressAutoHyphens/>
        <w:autoSpaceDE w:val="0"/>
        <w:spacing w:after="0" w:line="276" w:lineRule="auto"/>
        <w:ind w:left="720"/>
        <w:jc w:val="both"/>
        <w:rPr>
          <w:rFonts w:ascii="Arial" w:eastAsia="Calibri" w:hAnsi="Arial" w:cs="Arial"/>
          <w:color w:val="000000"/>
          <w:lang w:val="ro-RO" w:eastAsia="zh-CN"/>
        </w:rPr>
      </w:pPr>
      <w:r w:rsidRPr="004E14B7">
        <w:rPr>
          <w:rFonts w:ascii="Arial" w:eastAsia="Calibri" w:hAnsi="Arial" w:cs="Arial"/>
          <w:color w:val="000000"/>
          <w:lang w:val="ro-RO" w:eastAsia="zh-CN"/>
        </w:rPr>
        <w:t>(2) Conducătorii de vehicule sunt obligați să circule cu o viteză maximă de 20 km/h, să nu staționeze sau să parcheze vehiculul în afara spațiilor anume destinate și semnalizate ca atare, să nu stânjenească sau să împiedice circulaţia pietonilor chiar dacă, în acest scop, trebuie să oprească.”;</w:t>
      </w:r>
    </w:p>
    <w:p w14:paraId="1F355EE0" w14:textId="77777777" w:rsidR="004E14B7" w:rsidRPr="004E14B7" w:rsidRDefault="004E14B7" w:rsidP="000C6CB8">
      <w:pPr>
        <w:numPr>
          <w:ilvl w:val="0"/>
          <w:numId w:val="200"/>
        </w:numPr>
        <w:suppressAutoHyphens/>
        <w:autoSpaceDE w:val="0"/>
        <w:spacing w:after="0" w:line="276" w:lineRule="auto"/>
        <w:ind w:left="709"/>
        <w:jc w:val="both"/>
        <w:rPr>
          <w:rFonts w:ascii="Arial" w:eastAsia="Calibri" w:hAnsi="Arial" w:cs="Arial"/>
          <w:color w:val="000000"/>
          <w:lang w:val="ro-RO" w:eastAsia="zh-CN"/>
        </w:rPr>
      </w:pPr>
      <w:r w:rsidRPr="004E14B7">
        <w:rPr>
          <w:rFonts w:ascii="Arial" w:eastAsia="Calibri" w:hAnsi="Arial" w:cs="Arial"/>
          <w:color w:val="000000"/>
          <w:lang w:val="ro-RO" w:eastAsia="zh-CN"/>
        </w:rPr>
        <w:t>V.3 = restrictionarea accesului vehiculelor cu masa autorizata mai mare de 7,5 t pe t</w:t>
      </w:r>
      <w:r w:rsidR="00960A66">
        <w:rPr>
          <w:rFonts w:ascii="Arial" w:eastAsia="Calibri" w:hAnsi="Arial" w:cs="Arial"/>
          <w:color w:val="000000"/>
          <w:lang w:val="ro-RO" w:eastAsia="zh-CN"/>
        </w:rPr>
        <w:t>eritoriul orasului, după apariţia şoselei de centură</w:t>
      </w:r>
      <w:r w:rsidRPr="004E14B7">
        <w:rPr>
          <w:rFonts w:ascii="Arial" w:eastAsia="Calibri" w:hAnsi="Arial" w:cs="Arial"/>
          <w:color w:val="000000"/>
          <w:lang w:val="ro-RO" w:eastAsia="zh-CN"/>
        </w:rPr>
        <w:t>.</w:t>
      </w:r>
    </w:p>
    <w:p w14:paraId="5D857317" w14:textId="77777777" w:rsidR="004E14B7" w:rsidRPr="004E14B7" w:rsidRDefault="004E14B7" w:rsidP="004E14B7">
      <w:pPr>
        <w:autoSpaceDE w:val="0"/>
        <w:autoSpaceDN w:val="0"/>
        <w:adjustRightInd w:val="0"/>
        <w:spacing w:after="0" w:line="360" w:lineRule="auto"/>
        <w:ind w:left="720"/>
        <w:contextualSpacing/>
        <w:jc w:val="both"/>
        <w:rPr>
          <w:rFonts w:ascii="Arial" w:eastAsia="Calibri" w:hAnsi="Arial" w:cs="Arial"/>
          <w:sz w:val="24"/>
          <w:szCs w:val="24"/>
          <w:lang w:val="x-none"/>
        </w:rPr>
      </w:pPr>
    </w:p>
    <w:p w14:paraId="639D30A4" w14:textId="77777777" w:rsidR="004E14B7" w:rsidRPr="004E14B7" w:rsidRDefault="004E14B7" w:rsidP="004E14B7">
      <w:pPr>
        <w:widowControl w:val="0"/>
        <w:suppressAutoHyphens/>
        <w:autoSpaceDE w:val="0"/>
        <w:autoSpaceDN w:val="0"/>
        <w:adjustRightInd w:val="0"/>
        <w:spacing w:after="0" w:line="276" w:lineRule="auto"/>
        <w:ind w:left="360"/>
        <w:rPr>
          <w:rFonts w:ascii="Arial" w:eastAsia="Calibri" w:hAnsi="Arial" w:cs="Arial"/>
          <w:b/>
          <w:color w:val="000000"/>
          <w:kern w:val="1"/>
          <w:lang w:val="es-ES" w:eastAsia="hi-IN" w:bidi="hi-IN"/>
        </w:rPr>
      </w:pPr>
      <w:r w:rsidRPr="004E14B7">
        <w:rPr>
          <w:rFonts w:ascii="Arial" w:eastAsia="Calibri" w:hAnsi="Arial" w:cs="Arial"/>
          <w:b/>
          <w:color w:val="000000"/>
          <w:kern w:val="1"/>
          <w:lang w:val="es-ES" w:eastAsia="hi-IN" w:bidi="hi-IN"/>
        </w:rPr>
        <w:t>VI. Îmbunătăţirea integrării dintre transport şi planificarea urbană</w:t>
      </w:r>
    </w:p>
    <w:p w14:paraId="205FE403" w14:textId="1C61C55F" w:rsidR="004E14B7" w:rsidRPr="004E14B7" w:rsidRDefault="004E14B7" w:rsidP="004E14B7">
      <w:pPr>
        <w:widowControl w:val="0"/>
        <w:numPr>
          <w:ilvl w:val="0"/>
          <w:numId w:val="80"/>
        </w:numPr>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lang w:val="es-ES"/>
        </w:rPr>
        <w:t>V</w:t>
      </w:r>
      <w:r w:rsidRPr="004E14B7">
        <w:rPr>
          <w:rFonts w:ascii="Arial" w:hAnsi="Arial" w:cs="Arial"/>
          <w:lang w:val="es-ES"/>
        </w:rPr>
        <w:t xml:space="preserve">I.1 = întocmirea de hărţi de răspândire a </w:t>
      </w:r>
      <w:r w:rsidR="00431567">
        <w:rPr>
          <w:rFonts w:ascii="Arial" w:hAnsi="Arial" w:cs="Arial"/>
          <w:lang w:val="es-ES"/>
        </w:rPr>
        <w:t>dotărilor</w:t>
      </w:r>
      <w:r w:rsidRPr="004E14B7">
        <w:rPr>
          <w:rFonts w:ascii="Arial" w:hAnsi="Arial" w:cs="Arial"/>
          <w:lang w:val="es-ES"/>
        </w:rPr>
        <w:t xml:space="preserve"> de primă necesitate (următoarele implanturi se vor face numai pe principiul egalei răspândiri în teritoriu) = este necesar să se completeze PUG cu prevederi de acest tip. Din punct de vedere al mobilităţii</w:t>
      </w:r>
      <w:r w:rsidRPr="004E14B7">
        <w:rPr>
          <w:rFonts w:ascii="Arial" w:hAnsi="Arial" w:cs="Arial"/>
          <w:b/>
          <w:lang w:val="es-ES"/>
        </w:rPr>
        <w:t xml:space="preserve"> </w:t>
      </w:r>
      <w:r w:rsidRPr="004E14B7">
        <w:rPr>
          <w:rFonts w:ascii="Arial" w:hAnsi="Arial" w:cs="Arial"/>
          <w:lang w:val="es-ES"/>
        </w:rPr>
        <w:t xml:space="preserve">prin </w:t>
      </w:r>
      <w:r w:rsidR="00431567">
        <w:rPr>
          <w:rFonts w:ascii="Arial" w:hAnsi="Arial" w:cs="Arial"/>
          <w:lang w:val="es-ES"/>
        </w:rPr>
        <w:t>dotări</w:t>
      </w:r>
      <w:r w:rsidR="00960A66">
        <w:rPr>
          <w:rFonts w:ascii="Arial" w:hAnsi="Arial" w:cs="Arial"/>
          <w:lang w:val="es-ES"/>
        </w:rPr>
        <w:t xml:space="preserve"> de primă necesitate se înţeleg: unităţi de învăţământ preşcolar, primar şi gimnazial, unităţi sanitare, pieţ</w:t>
      </w:r>
      <w:r w:rsidRPr="004E14B7">
        <w:rPr>
          <w:rFonts w:ascii="Arial" w:hAnsi="Arial" w:cs="Arial"/>
          <w:lang w:val="es-ES"/>
        </w:rPr>
        <w:t>e a</w:t>
      </w:r>
      <w:r w:rsidR="00960A66">
        <w:rPr>
          <w:rFonts w:ascii="Arial" w:hAnsi="Arial" w:cs="Arial"/>
          <w:lang w:val="es-ES"/>
        </w:rPr>
        <w:t>gro-alimentare, unităţ</w:t>
      </w:r>
      <w:r w:rsidRPr="004E14B7">
        <w:rPr>
          <w:rFonts w:ascii="Arial" w:hAnsi="Arial" w:cs="Arial"/>
          <w:lang w:val="es-ES"/>
        </w:rPr>
        <w:t>i</w:t>
      </w:r>
      <w:r w:rsidR="00960A66">
        <w:rPr>
          <w:rFonts w:ascii="Arial" w:hAnsi="Arial" w:cs="Arial"/>
          <w:lang w:val="es-ES"/>
        </w:rPr>
        <w:t xml:space="preserve"> comerciale etc. Acest tip de hărţ</w:t>
      </w:r>
      <w:r w:rsidRPr="004E14B7">
        <w:rPr>
          <w:rFonts w:ascii="Arial" w:hAnsi="Arial" w:cs="Arial"/>
          <w:lang w:val="es-ES"/>
        </w:rPr>
        <w:t>i sunt necesare pentru a putea determina unde trebuie amplasate astfel de puncte de interes ale populaţiei – amplasarea raţională fiind benefică pentru mobil</w:t>
      </w:r>
      <w:r w:rsidR="00960A66">
        <w:rPr>
          <w:rFonts w:ascii="Arial" w:hAnsi="Arial" w:cs="Arial"/>
          <w:lang w:val="es-ES"/>
        </w:rPr>
        <w:t>itate. De asemenea, sunt utile ş</w:t>
      </w:r>
      <w:r w:rsidRPr="004E14B7">
        <w:rPr>
          <w:rFonts w:ascii="Arial" w:hAnsi="Arial" w:cs="Arial"/>
          <w:lang w:val="es-ES"/>
        </w:rPr>
        <w:t>i pentru i</w:t>
      </w:r>
      <w:r w:rsidR="00960A66">
        <w:rPr>
          <w:rFonts w:ascii="Arial" w:hAnsi="Arial" w:cs="Arial"/>
          <w:lang w:val="es-ES"/>
        </w:rPr>
        <w:t>nformarea cetăţenilor care doresc să-şi stabilească sau să-şi mute reşedinţa într-o anumită zonă</w:t>
      </w:r>
      <w:r w:rsidRPr="004E14B7">
        <w:rPr>
          <w:rFonts w:ascii="Arial" w:eastAsia="Calibri" w:hAnsi="Arial" w:cs="Arial"/>
          <w:color w:val="000000"/>
          <w:lang w:val="es-ES" w:eastAsia="zh-CN"/>
        </w:rPr>
        <w:t xml:space="preserve">; </w:t>
      </w:r>
    </w:p>
    <w:p w14:paraId="19BB182A" w14:textId="77777777" w:rsidR="004E14B7" w:rsidRPr="004E14B7" w:rsidRDefault="004E14B7" w:rsidP="004E14B7">
      <w:pPr>
        <w:widowControl w:val="0"/>
        <w:numPr>
          <w:ilvl w:val="0"/>
          <w:numId w:val="81"/>
        </w:numPr>
        <w:suppressAutoHyphens/>
        <w:autoSpaceDE w:val="0"/>
        <w:spacing w:after="0" w:line="276" w:lineRule="auto"/>
        <w:jc w:val="both"/>
        <w:rPr>
          <w:rFonts w:ascii="Arial" w:eastAsia="Arial" w:hAnsi="Arial" w:cs="Arial"/>
          <w:color w:val="000000"/>
          <w:lang w:eastAsia="zh-CN"/>
        </w:rPr>
      </w:pPr>
      <w:r w:rsidRPr="004E14B7">
        <w:rPr>
          <w:rFonts w:ascii="Arial" w:eastAsia="Calibri" w:hAnsi="Arial" w:cs="Arial"/>
          <w:color w:val="000000"/>
          <w:lang w:eastAsia="zh-CN"/>
        </w:rPr>
        <w:t xml:space="preserve">VI.2 = obligativitatea constituirii unui tandem construcţie - infrastructură pentru acces motorizat, nemotorizat şi spaţiu verde (pentru orice nouă construcţie); </w:t>
      </w:r>
    </w:p>
    <w:p w14:paraId="399ACB44" w14:textId="0345656B" w:rsidR="004E14B7" w:rsidRPr="004E14B7" w:rsidRDefault="004E14B7" w:rsidP="004E14B7">
      <w:pPr>
        <w:widowControl w:val="0"/>
        <w:numPr>
          <w:ilvl w:val="0"/>
          <w:numId w:val="81"/>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VI.3 = sistem de stimulente pentru amplasarea noilor şcoli, centre de sănătate, centre comerciale, etc. în interiorul sau aproape de cartierele rezidenţiale = este necesar să se întocmească hărţi amănunţite ale fiecărui cartier, urmărindu-se stăruitor ca densitatea </w:t>
      </w:r>
      <w:r w:rsidR="00431567">
        <w:rPr>
          <w:rFonts w:ascii="Arial" w:eastAsia="Calibri" w:hAnsi="Arial" w:cs="Arial"/>
          <w:color w:val="000000"/>
          <w:lang w:val="es-ES" w:eastAsia="zh-CN"/>
        </w:rPr>
        <w:t>dotărilor</w:t>
      </w:r>
      <w:r w:rsidRPr="004E14B7">
        <w:rPr>
          <w:rFonts w:ascii="Arial" w:eastAsia="Calibri" w:hAnsi="Arial" w:cs="Arial"/>
          <w:color w:val="000000"/>
          <w:lang w:val="es-ES" w:eastAsia="zh-CN"/>
        </w:rPr>
        <w:t xml:space="preserve"> care conduc – dacă amplasarea este neuniformă – la călătorii suplimentare nenecesare, să fie uniformă pe întreaga suprafaţă a oraşului.</w:t>
      </w:r>
    </w:p>
    <w:p w14:paraId="0274B88A" w14:textId="77777777" w:rsidR="004E14B7" w:rsidRPr="004E14B7" w:rsidRDefault="004E14B7" w:rsidP="004E14B7">
      <w:pPr>
        <w:suppressAutoHyphens/>
        <w:autoSpaceDE w:val="0"/>
        <w:spacing w:after="0" w:line="360" w:lineRule="auto"/>
        <w:jc w:val="both"/>
        <w:rPr>
          <w:rFonts w:ascii="Arial" w:eastAsia="Calibri" w:hAnsi="Arial" w:cs="Arial"/>
          <w:b/>
          <w:color w:val="000000"/>
          <w:sz w:val="20"/>
          <w:szCs w:val="20"/>
          <w:lang w:val="es-ES" w:eastAsia="zh-CN"/>
        </w:rPr>
      </w:pPr>
    </w:p>
    <w:p w14:paraId="52D82886" w14:textId="77777777" w:rsidR="004E14B7" w:rsidRPr="004E14B7" w:rsidRDefault="004E14B7" w:rsidP="004E14B7">
      <w:pPr>
        <w:suppressAutoHyphens/>
        <w:autoSpaceDE w:val="0"/>
        <w:spacing w:after="0" w:line="276" w:lineRule="auto"/>
        <w:jc w:val="both"/>
        <w:rPr>
          <w:rFonts w:ascii="Arial" w:eastAsia="Calibri" w:hAnsi="Arial" w:cs="Arial"/>
          <w:b/>
          <w:color w:val="000000"/>
          <w:lang w:eastAsia="zh-CN"/>
        </w:rPr>
      </w:pPr>
      <w:r w:rsidRPr="004E14B7">
        <w:rPr>
          <w:rFonts w:ascii="Arial" w:eastAsia="Calibri" w:hAnsi="Arial" w:cs="Arial"/>
          <w:b/>
          <w:color w:val="000000"/>
          <w:lang w:eastAsia="zh-CN"/>
        </w:rPr>
        <w:t>VII. Inovarea managementului parcărilor</w:t>
      </w:r>
    </w:p>
    <w:p w14:paraId="499784D5" w14:textId="77777777" w:rsidR="004E14B7" w:rsidRPr="004E14B7" w:rsidRDefault="004E14B7" w:rsidP="004E14B7">
      <w:pPr>
        <w:widowControl w:val="0"/>
        <w:numPr>
          <w:ilvl w:val="0"/>
          <w:numId w:val="82"/>
        </w:numPr>
        <w:suppressAutoHyphens/>
        <w:autoSpaceDE w:val="0"/>
        <w:spacing w:after="0" w:line="276" w:lineRule="auto"/>
        <w:jc w:val="both"/>
        <w:rPr>
          <w:rFonts w:ascii="Arial" w:eastAsia="Arial" w:hAnsi="Arial" w:cs="Arial"/>
          <w:color w:val="000000"/>
          <w:lang w:val="es-ES" w:eastAsia="zh-CN"/>
        </w:rPr>
      </w:pPr>
      <w:r w:rsidRPr="004E14B7">
        <w:rPr>
          <w:rFonts w:ascii="Arial" w:eastAsia="Calibri" w:hAnsi="Arial" w:cs="Arial"/>
          <w:color w:val="000000"/>
          <w:lang w:val="es-ES" w:eastAsia="zh-CN"/>
        </w:rPr>
        <w:t>VII.1 = elaborarea unei politici de parcare pentru</w:t>
      </w:r>
      <w:r w:rsidR="00960A66">
        <w:rPr>
          <w:rFonts w:ascii="Arial" w:eastAsia="Calibri" w:hAnsi="Arial" w:cs="Arial"/>
          <w:color w:val="000000"/>
          <w:lang w:val="es-ES" w:eastAsia="zh-CN"/>
        </w:rPr>
        <w:t xml:space="preserve"> mobilitate urbană durabilă</w:t>
      </w:r>
      <w:r w:rsidRPr="004E14B7">
        <w:rPr>
          <w:rFonts w:ascii="Arial" w:eastAsia="Calibri" w:hAnsi="Arial" w:cs="Arial"/>
          <w:color w:val="000000"/>
          <w:lang w:val="es-ES" w:eastAsia="zh-CN"/>
        </w:rPr>
        <w:t xml:space="preserve"> = </w:t>
      </w:r>
      <w:r w:rsidRPr="004E14B7">
        <w:rPr>
          <w:rFonts w:ascii="Arial" w:eastAsia="Calibri" w:hAnsi="Arial" w:cs="Arial"/>
          <w:color w:val="000000"/>
          <w:lang w:eastAsia="zh-CN"/>
        </w:rPr>
        <w:t>politica de gestionare a parcării urbane este unul dintre cele mai puternice instrumente aflate la dispoziția primăriilor pentru a influența tiparele de mobilitate urbană, pentru a controla amenajarea și utilizarea spațiului urban și, în ultimă instanță, pentru a determina calitatea vieții urbane</w:t>
      </w:r>
      <w:r w:rsidRPr="004E14B7">
        <w:rPr>
          <w:rFonts w:ascii="Arial" w:eastAsia="Calibri" w:hAnsi="Arial" w:cs="Arial"/>
          <w:color w:val="000000"/>
          <w:lang w:val="es-ES" w:eastAsia="zh-CN"/>
        </w:rPr>
        <w:t xml:space="preserve">; </w:t>
      </w:r>
    </w:p>
    <w:p w14:paraId="54CFBC4A" w14:textId="77777777" w:rsidR="004E14B7" w:rsidRPr="004E14B7" w:rsidRDefault="004E14B7" w:rsidP="004E14B7">
      <w:pPr>
        <w:widowControl w:val="0"/>
        <w:numPr>
          <w:ilvl w:val="0"/>
          <w:numId w:val="82"/>
        </w:numPr>
        <w:suppressAutoHyphens/>
        <w:autoSpaceDE w:val="0"/>
        <w:spacing w:after="0" w:line="276" w:lineRule="auto"/>
        <w:jc w:val="both"/>
        <w:rPr>
          <w:rFonts w:ascii="Arial" w:eastAsia="Arial" w:hAnsi="Arial" w:cs="Arial"/>
          <w:color w:val="000000"/>
          <w:lang w:val="es-ES" w:eastAsia="zh-CN"/>
        </w:rPr>
      </w:pPr>
      <w:r w:rsidRPr="004E14B7">
        <w:rPr>
          <w:rFonts w:ascii="Arial" w:eastAsia="Calibri" w:hAnsi="Arial" w:cs="Arial"/>
          <w:color w:val="000000"/>
          <w:lang w:val="es-ES" w:eastAsia="zh-CN"/>
        </w:rPr>
        <w:t xml:space="preserve">VII.2 = </w:t>
      </w:r>
      <w:r w:rsidR="00E20840" w:rsidRPr="00E20840">
        <w:rPr>
          <w:rFonts w:ascii="Arial" w:hAnsi="Arial" w:cs="Arial"/>
          <w:lang w:val="es-ES"/>
        </w:rPr>
        <w:t xml:space="preserve">introducerea sistemului de taxare a parcării (inclusiv prin introducerea unui tip de plată progresivă pe măsura trecerii timpului, diferenţiat pe ore de vârf şi în afara </w:t>
      </w:r>
      <w:r w:rsidR="00E20840" w:rsidRPr="00E20840">
        <w:rPr>
          <w:rFonts w:ascii="Arial" w:hAnsi="Arial" w:cs="Arial"/>
          <w:lang w:val="es-ES"/>
        </w:rPr>
        <w:lastRenderedPageBreak/>
        <w:t>orelor de vârf şi chiar pe grupuri ţintă – de exemplu pentru vehiculele electrice sau hibrid taxa poate fi mai redusă) = m</w:t>
      </w:r>
      <w:r w:rsidR="00E20840">
        <w:rPr>
          <w:rFonts w:ascii="Arial" w:hAnsi="Arial" w:cs="Arial"/>
          <w:lang w:val="es-ES"/>
        </w:rPr>
        <w:t>ă</w:t>
      </w:r>
      <w:r w:rsidR="00E20840" w:rsidRPr="00E20840">
        <w:rPr>
          <w:rFonts w:ascii="Arial" w:hAnsi="Arial" w:cs="Arial"/>
          <w:lang w:val="es-ES"/>
        </w:rPr>
        <w:t xml:space="preserve">sura include </w:t>
      </w:r>
      <w:r w:rsidR="00E20840">
        <w:rPr>
          <w:rFonts w:ascii="Arial" w:hAnsi="Arial" w:cs="Arial"/>
          <w:lang w:val="es-ES"/>
        </w:rPr>
        <w:t>ș</w:t>
      </w:r>
      <w:r w:rsidR="00E20840" w:rsidRPr="00E20840">
        <w:rPr>
          <w:rFonts w:ascii="Arial" w:hAnsi="Arial" w:cs="Arial"/>
          <w:lang w:val="es-ES"/>
        </w:rPr>
        <w:t>i achizi</w:t>
      </w:r>
      <w:r w:rsidR="00E20840">
        <w:rPr>
          <w:rFonts w:ascii="Arial" w:hAnsi="Arial" w:cs="Arial"/>
          <w:lang w:val="es-ES"/>
        </w:rPr>
        <w:t>ț</w:t>
      </w:r>
      <w:r w:rsidR="00E20840" w:rsidRPr="00E20840">
        <w:rPr>
          <w:rFonts w:ascii="Arial" w:hAnsi="Arial" w:cs="Arial"/>
          <w:lang w:val="es-ES"/>
        </w:rPr>
        <w:t>ia de automate de plat</w:t>
      </w:r>
      <w:r w:rsidR="00E20840">
        <w:rPr>
          <w:rFonts w:ascii="Arial" w:hAnsi="Arial" w:cs="Arial"/>
          <w:lang w:val="es-ES"/>
        </w:rPr>
        <w:t>ă</w:t>
      </w:r>
      <w:r w:rsidR="00E20840" w:rsidRPr="00E20840">
        <w:rPr>
          <w:rFonts w:ascii="Arial" w:hAnsi="Arial" w:cs="Arial"/>
          <w:lang w:val="es-ES"/>
        </w:rPr>
        <w:t xml:space="preserve"> </w:t>
      </w:r>
      <w:r w:rsidR="00E20840">
        <w:rPr>
          <w:rFonts w:ascii="Arial" w:hAnsi="Arial" w:cs="Arial"/>
          <w:lang w:val="es-ES"/>
        </w:rPr>
        <w:t>ș</w:t>
      </w:r>
      <w:r w:rsidR="00E20840" w:rsidRPr="00E20840">
        <w:rPr>
          <w:rFonts w:ascii="Arial" w:hAnsi="Arial" w:cs="Arial"/>
          <w:lang w:val="es-ES"/>
        </w:rPr>
        <w:t xml:space="preserve">i sisteme de acces </w:t>
      </w:r>
      <w:r w:rsidR="00E20840">
        <w:rPr>
          <w:rFonts w:ascii="Arial" w:hAnsi="Arial" w:cs="Arial"/>
          <w:lang w:val="es-ES"/>
        </w:rPr>
        <w:t>ș</w:t>
      </w:r>
      <w:r w:rsidR="00E20840" w:rsidRPr="00E20840">
        <w:rPr>
          <w:rFonts w:ascii="Arial" w:hAnsi="Arial" w:cs="Arial"/>
          <w:lang w:val="es-ES"/>
        </w:rPr>
        <w:t>i gestiune a locurilor de parcare</w:t>
      </w:r>
      <w:r w:rsidRPr="004E14B7">
        <w:rPr>
          <w:rFonts w:ascii="Arial" w:hAnsi="Arial" w:cs="Arial"/>
          <w:lang w:val="es-ES"/>
        </w:rPr>
        <w:t>;</w:t>
      </w:r>
      <w:r w:rsidRPr="004E14B7">
        <w:rPr>
          <w:rFonts w:ascii="Arial" w:eastAsia="Calibri" w:hAnsi="Arial" w:cs="Arial"/>
          <w:color w:val="000000"/>
          <w:lang w:val="es-ES" w:eastAsia="zh-CN"/>
        </w:rPr>
        <w:t xml:space="preserve"> </w:t>
      </w:r>
    </w:p>
    <w:p w14:paraId="407745B7" w14:textId="77777777" w:rsidR="004E14B7" w:rsidRPr="004E14B7" w:rsidRDefault="004E14B7" w:rsidP="004E14B7">
      <w:pPr>
        <w:widowControl w:val="0"/>
        <w:numPr>
          <w:ilvl w:val="0"/>
          <w:numId w:val="82"/>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VII.3 = construirea de parcări de mare capacitate (supra </w:t>
      </w:r>
      <w:r w:rsidR="00960A66">
        <w:rPr>
          <w:rFonts w:ascii="Arial" w:eastAsia="Calibri" w:hAnsi="Arial" w:cs="Arial"/>
          <w:color w:val="000000"/>
          <w:lang w:val="es-ES" w:eastAsia="zh-CN"/>
        </w:rPr>
        <w:t>şi subterane) si dotarea cu staţii de încă</w:t>
      </w:r>
      <w:r w:rsidRPr="004E14B7">
        <w:rPr>
          <w:rFonts w:ascii="Arial" w:eastAsia="Calibri" w:hAnsi="Arial" w:cs="Arial"/>
          <w:color w:val="000000"/>
          <w:lang w:val="es-ES" w:eastAsia="zh-CN"/>
        </w:rPr>
        <w:t>rcare a vehiculelor electrice = aceste parcări de mare capacitate trebuie să fie amplasate în zonele cu potenţial ridicat de atragere a călătoriilor, cum ar fi:</w:t>
      </w:r>
    </w:p>
    <w:p w14:paraId="3ABA475C" w14:textId="77777777" w:rsidR="004E14B7" w:rsidRPr="004E14B7" w:rsidRDefault="00960A66" w:rsidP="004E14B7">
      <w:pPr>
        <w:suppressAutoHyphens/>
        <w:autoSpaceDE w:val="0"/>
        <w:spacing w:after="0" w:line="276" w:lineRule="auto"/>
        <w:ind w:left="720"/>
        <w:jc w:val="both"/>
        <w:rPr>
          <w:rFonts w:ascii="Arial" w:eastAsia="Calibri" w:hAnsi="Arial" w:cs="Arial"/>
          <w:color w:val="000000"/>
          <w:lang w:val="es-ES" w:eastAsia="zh-CN"/>
        </w:rPr>
      </w:pPr>
      <w:r>
        <w:rPr>
          <w:rFonts w:ascii="Arial" w:eastAsia="Calibri" w:hAnsi="Arial" w:cs="Arial"/>
          <w:color w:val="000000"/>
          <w:lang w:val="es-ES" w:eastAsia="zh-CN"/>
        </w:rPr>
        <w:t>- parcare supraterană</w:t>
      </w:r>
      <w:r w:rsidR="004E14B7" w:rsidRPr="004E14B7">
        <w:rPr>
          <w:rFonts w:ascii="Arial" w:eastAsia="Calibri" w:hAnsi="Arial" w:cs="Arial"/>
          <w:color w:val="000000"/>
          <w:lang w:val="es-ES" w:eastAsia="zh-CN"/>
        </w:rPr>
        <w:t xml:space="preserve"> str. Tudor Vladi</w:t>
      </w:r>
      <w:r>
        <w:rPr>
          <w:rFonts w:ascii="Arial" w:eastAsia="Calibri" w:hAnsi="Arial" w:cs="Arial"/>
          <w:color w:val="000000"/>
          <w:lang w:val="es-ES" w:eastAsia="zh-CN"/>
        </w:rPr>
        <w:t>mirescu (zona centrală</w:t>
      </w:r>
      <w:r w:rsidR="004E14B7" w:rsidRPr="004E14B7">
        <w:rPr>
          <w:rFonts w:ascii="Arial" w:eastAsia="Calibri" w:hAnsi="Arial" w:cs="Arial"/>
          <w:color w:val="000000"/>
          <w:lang w:val="es-ES" w:eastAsia="zh-CN"/>
        </w:rPr>
        <w:t>);</w:t>
      </w:r>
    </w:p>
    <w:p w14:paraId="17507203" w14:textId="77777777" w:rsidR="004E14B7" w:rsidRPr="004E14B7" w:rsidRDefault="00960A66" w:rsidP="004E14B7">
      <w:pPr>
        <w:suppressAutoHyphens/>
        <w:autoSpaceDE w:val="0"/>
        <w:spacing w:after="0" w:line="276" w:lineRule="auto"/>
        <w:ind w:left="720"/>
        <w:jc w:val="both"/>
        <w:rPr>
          <w:rFonts w:ascii="Arial" w:eastAsia="Calibri" w:hAnsi="Arial" w:cs="Arial"/>
          <w:color w:val="000000"/>
          <w:lang w:val="es-ES" w:eastAsia="zh-CN"/>
        </w:rPr>
      </w:pPr>
      <w:r>
        <w:rPr>
          <w:rFonts w:ascii="Arial" w:eastAsia="Calibri" w:hAnsi="Arial" w:cs="Arial"/>
          <w:color w:val="000000"/>
          <w:lang w:val="es-ES" w:eastAsia="zh-CN"/>
        </w:rPr>
        <w:t>- parcare supraterană Piaţ</w:t>
      </w:r>
      <w:r w:rsidR="004E14B7" w:rsidRPr="004E14B7">
        <w:rPr>
          <w:rFonts w:ascii="Arial" w:eastAsia="Calibri" w:hAnsi="Arial" w:cs="Arial"/>
          <w:color w:val="000000"/>
          <w:lang w:val="es-ES" w:eastAsia="zh-CN"/>
        </w:rPr>
        <w:t>a Horezu;</w:t>
      </w:r>
    </w:p>
    <w:p w14:paraId="04328B8D" w14:textId="77777777" w:rsidR="004E14B7" w:rsidRPr="004E14B7" w:rsidRDefault="004E14B7" w:rsidP="004E14B7">
      <w:pPr>
        <w:suppressAutoHyphens/>
        <w:autoSpaceDE w:val="0"/>
        <w:spacing w:after="0" w:line="276" w:lineRule="auto"/>
        <w:ind w:left="720"/>
        <w:jc w:val="both"/>
        <w:rPr>
          <w:rFonts w:ascii="Arial" w:eastAsia="Calibri" w:hAnsi="Arial" w:cs="Arial"/>
          <w:color w:val="000000"/>
          <w:lang w:val="es-ES" w:eastAsia="zh-CN"/>
        </w:rPr>
      </w:pPr>
      <w:r w:rsidRPr="004E14B7">
        <w:rPr>
          <w:rFonts w:ascii="Arial" w:eastAsia="Calibri" w:hAnsi="Arial" w:cs="Arial"/>
          <w:color w:val="000000"/>
          <w:lang w:val="es-ES" w:eastAsia="zh-CN"/>
        </w:rPr>
        <w:t>- parcare supraterană zona Olari (inclusiv pentru autocare);</w:t>
      </w:r>
    </w:p>
    <w:p w14:paraId="22204504" w14:textId="77777777" w:rsidR="004E14B7" w:rsidRPr="004E14B7" w:rsidRDefault="00960A66" w:rsidP="004E14B7">
      <w:pPr>
        <w:suppressAutoHyphens/>
        <w:autoSpaceDE w:val="0"/>
        <w:spacing w:after="0" w:line="276" w:lineRule="auto"/>
        <w:ind w:left="720"/>
        <w:jc w:val="both"/>
        <w:rPr>
          <w:rFonts w:ascii="Arial" w:eastAsia="Calibri" w:hAnsi="Arial" w:cs="Arial"/>
          <w:color w:val="000000"/>
          <w:lang w:val="es-ES" w:eastAsia="zh-CN"/>
        </w:rPr>
      </w:pPr>
      <w:r>
        <w:rPr>
          <w:rFonts w:ascii="Arial" w:eastAsia="Calibri" w:hAnsi="Arial" w:cs="Arial"/>
          <w:color w:val="000000"/>
          <w:lang w:val="es-ES" w:eastAsia="zh-CN"/>
        </w:rPr>
        <w:t>- parcare supraterană Staţiunea Turistică Vâ</w:t>
      </w:r>
      <w:r w:rsidR="004E14B7" w:rsidRPr="004E14B7">
        <w:rPr>
          <w:rFonts w:ascii="Arial" w:eastAsia="Calibri" w:hAnsi="Arial" w:cs="Arial"/>
          <w:color w:val="000000"/>
          <w:lang w:val="es-ES" w:eastAsia="zh-CN"/>
        </w:rPr>
        <w:t>rful lui Roman;</w:t>
      </w:r>
    </w:p>
    <w:p w14:paraId="4B04650C" w14:textId="77777777" w:rsidR="004E14B7" w:rsidRPr="004E14B7" w:rsidRDefault="004E14B7" w:rsidP="004E14B7">
      <w:pPr>
        <w:widowControl w:val="0"/>
        <w:numPr>
          <w:ilvl w:val="0"/>
          <w:numId w:val="82"/>
        </w:numPr>
        <w:suppressAutoHyphens/>
        <w:autoSpaceDE w:val="0"/>
        <w:spacing w:after="0" w:line="276" w:lineRule="auto"/>
        <w:jc w:val="both"/>
        <w:rPr>
          <w:rFonts w:ascii="Arial" w:eastAsia="Arial" w:hAnsi="Arial" w:cs="Arial"/>
          <w:color w:val="000000"/>
          <w:lang w:eastAsia="zh-CN"/>
        </w:rPr>
      </w:pPr>
      <w:r w:rsidRPr="004E14B7">
        <w:rPr>
          <w:rFonts w:ascii="Arial" w:eastAsia="Calibri" w:hAnsi="Arial" w:cs="Arial"/>
          <w:color w:val="000000"/>
          <w:lang w:eastAsia="zh-CN"/>
        </w:rPr>
        <w:t xml:space="preserve">VII.4 = reglementarea sistemului de transport "park and ride" = se poate introduce numai în urma unui </w:t>
      </w:r>
      <w:r w:rsidRPr="004E14B7">
        <w:rPr>
          <w:rFonts w:ascii="Arial" w:eastAsia="Calibri" w:hAnsi="Arial" w:cs="Arial"/>
          <w:b/>
          <w:color w:val="000000"/>
          <w:lang w:eastAsia="zh-CN"/>
        </w:rPr>
        <w:t xml:space="preserve">studiu </w:t>
      </w:r>
      <w:r w:rsidRPr="004E14B7">
        <w:rPr>
          <w:rFonts w:ascii="Arial" w:eastAsia="Calibri" w:hAnsi="Arial" w:cs="Arial"/>
          <w:color w:val="000000"/>
          <w:lang w:eastAsia="zh-CN"/>
        </w:rPr>
        <w:t xml:space="preserve">care va stabili care este perimetrul protejat (la limitele căruia se va face schimbul între autoturismul personal şi mijloacele de transport în comun), dar cel puţin la principalele </w:t>
      </w:r>
      <w:r w:rsidR="00960A66">
        <w:rPr>
          <w:rFonts w:ascii="Arial" w:eastAsia="Calibri" w:hAnsi="Arial" w:cs="Arial"/>
          <w:color w:val="000000"/>
          <w:lang w:eastAsia="zh-CN"/>
        </w:rPr>
        <w:t>penetraţii în oraş. Se recomandă</w:t>
      </w:r>
      <w:r w:rsidRPr="004E14B7">
        <w:rPr>
          <w:rFonts w:ascii="Arial" w:eastAsia="Calibri" w:hAnsi="Arial" w:cs="Arial"/>
          <w:color w:val="000000"/>
          <w:lang w:eastAsia="zh-CN"/>
        </w:rPr>
        <w:t xml:space="preserve"> c</w:t>
      </w:r>
      <w:r w:rsidR="00960A66">
        <w:rPr>
          <w:rFonts w:ascii="Arial" w:eastAsia="Calibri" w:hAnsi="Arial" w:cs="Arial"/>
          <w:color w:val="000000"/>
          <w:lang w:eastAsia="zh-CN"/>
        </w:rPr>
        <w:t>onstruirea unei astfel de parcări la intrarea dinspre Râmnicu Vâlcea, dar numai după</w:t>
      </w:r>
      <w:r w:rsidRPr="004E14B7">
        <w:rPr>
          <w:rFonts w:ascii="Arial" w:eastAsia="Calibri" w:hAnsi="Arial" w:cs="Arial"/>
          <w:color w:val="000000"/>
          <w:lang w:eastAsia="zh-CN"/>
        </w:rPr>
        <w:t xml:space="preserve"> introducerea transportului public local.</w:t>
      </w:r>
    </w:p>
    <w:p w14:paraId="02A558DA" w14:textId="77777777" w:rsidR="004E14B7" w:rsidRPr="004E14B7" w:rsidRDefault="004E14B7" w:rsidP="004E14B7">
      <w:pPr>
        <w:widowControl w:val="0"/>
        <w:numPr>
          <w:ilvl w:val="0"/>
          <w:numId w:val="82"/>
        </w:numPr>
        <w:suppressAutoHyphens/>
        <w:autoSpaceDE w:val="0"/>
        <w:spacing w:after="0" w:line="276" w:lineRule="auto"/>
        <w:jc w:val="both"/>
        <w:rPr>
          <w:rFonts w:ascii="Arial" w:eastAsia="Arial" w:hAnsi="Arial" w:cs="Arial"/>
          <w:color w:val="000000"/>
          <w:lang w:eastAsia="zh-CN"/>
        </w:rPr>
      </w:pPr>
      <w:r w:rsidRPr="004E14B7">
        <w:rPr>
          <w:rFonts w:ascii="Arial" w:eastAsia="Calibri" w:hAnsi="Arial" w:cs="Arial"/>
          <w:color w:val="000000"/>
          <w:lang w:eastAsia="zh-CN"/>
        </w:rPr>
        <w:t>VII.5 = crearea unei baze de date GIS a tutur</w:t>
      </w:r>
      <w:r w:rsidR="00960A66">
        <w:rPr>
          <w:rFonts w:ascii="Arial" w:eastAsia="Calibri" w:hAnsi="Arial" w:cs="Arial"/>
          <w:color w:val="000000"/>
          <w:lang w:eastAsia="zh-CN"/>
        </w:rPr>
        <w:t>or locurilor de parcare din oraş</w:t>
      </w:r>
      <w:r w:rsidRPr="004E14B7">
        <w:rPr>
          <w:rFonts w:ascii="Arial" w:eastAsia="Calibri" w:hAnsi="Arial" w:cs="Arial"/>
          <w:color w:val="000000"/>
          <w:lang w:eastAsia="zh-CN"/>
        </w:rPr>
        <w:t xml:space="preserve"> = o bază de date cu stocul de locuri de parcare este esențială pentru ca administrația locală să poată planifica și urmări implementarea diverselor politici de mobilitate urbană. O asemenea bază de date ar trebui să conțină numărul și tipul (regimul) locurilor (sau zonelor) de parcare precum și locația exactă a acestora (georeferențiată pe u</w:t>
      </w:r>
      <w:r w:rsidR="00E612B3">
        <w:rPr>
          <w:rFonts w:ascii="Arial" w:eastAsia="Calibri" w:hAnsi="Arial" w:cs="Arial"/>
          <w:color w:val="000000"/>
          <w:lang w:eastAsia="zh-CN"/>
        </w:rPr>
        <w:t>n suport cartografic adecvat). În acest scop, acţiunea ar trebui demarată prin realizarea marcajelor şi semnalizării corespunzătoare atâ</w:t>
      </w:r>
      <w:r w:rsidRPr="004E14B7">
        <w:rPr>
          <w:rFonts w:ascii="Arial" w:eastAsia="Calibri" w:hAnsi="Arial" w:cs="Arial"/>
          <w:color w:val="000000"/>
          <w:lang w:eastAsia="zh-CN"/>
        </w:rPr>
        <w:t>t a lo</w:t>
      </w:r>
      <w:r w:rsidR="00E612B3">
        <w:rPr>
          <w:rFonts w:ascii="Arial" w:eastAsia="Calibri" w:hAnsi="Arial" w:cs="Arial"/>
          <w:color w:val="000000"/>
          <w:lang w:eastAsia="zh-CN"/>
        </w:rPr>
        <w:t>curilor de parcare existente, cât ş</w:t>
      </w:r>
      <w:r w:rsidRPr="004E14B7">
        <w:rPr>
          <w:rFonts w:ascii="Arial" w:eastAsia="Calibri" w:hAnsi="Arial" w:cs="Arial"/>
          <w:color w:val="000000"/>
          <w:lang w:eastAsia="zh-CN"/>
        </w:rPr>
        <w:t>i a celor propuse.</w:t>
      </w:r>
    </w:p>
    <w:p w14:paraId="1C4E4E5B" w14:textId="77777777" w:rsidR="004E14B7" w:rsidRPr="004E14B7" w:rsidRDefault="004E14B7" w:rsidP="004E14B7">
      <w:pPr>
        <w:widowControl w:val="0"/>
        <w:suppressAutoHyphens/>
        <w:autoSpaceDE w:val="0"/>
        <w:spacing w:after="0" w:line="276" w:lineRule="auto"/>
        <w:jc w:val="both"/>
        <w:rPr>
          <w:rFonts w:ascii="Arial" w:eastAsia="Arial" w:hAnsi="Arial" w:cs="Arial"/>
          <w:color w:val="000000"/>
          <w:lang w:eastAsia="zh-CN"/>
        </w:rPr>
      </w:pPr>
    </w:p>
    <w:p w14:paraId="0320C485" w14:textId="77777777" w:rsidR="004E14B7" w:rsidRPr="004E14B7" w:rsidRDefault="004E14B7" w:rsidP="004E14B7">
      <w:pPr>
        <w:suppressAutoHyphens/>
        <w:autoSpaceDE w:val="0"/>
        <w:spacing w:after="0" w:line="276" w:lineRule="auto"/>
        <w:jc w:val="both"/>
        <w:rPr>
          <w:rFonts w:ascii="Arial" w:eastAsia="Calibri" w:hAnsi="Arial" w:cs="Arial"/>
          <w:b/>
          <w:color w:val="000000"/>
          <w:lang w:val="es-ES" w:eastAsia="zh-CN"/>
        </w:rPr>
      </w:pPr>
      <w:r w:rsidRPr="004E14B7">
        <w:rPr>
          <w:rFonts w:ascii="Arial" w:eastAsia="Calibri" w:hAnsi="Arial" w:cs="Arial"/>
          <w:b/>
          <w:color w:val="000000"/>
          <w:sz w:val="24"/>
          <w:szCs w:val="24"/>
          <w:lang w:val="es-ES" w:eastAsia="zh-CN"/>
        </w:rPr>
        <w:t xml:space="preserve">VIII. </w:t>
      </w:r>
      <w:r w:rsidRPr="004E14B7">
        <w:rPr>
          <w:rFonts w:ascii="Arial" w:eastAsia="Calibri" w:hAnsi="Arial" w:cs="Arial"/>
          <w:b/>
          <w:color w:val="000000"/>
          <w:lang w:val="es-ES" w:eastAsia="zh-CN"/>
        </w:rPr>
        <w:t xml:space="preserve">Îmbunătăţirea siguranţei rutiere </w:t>
      </w:r>
      <w:r w:rsidRPr="004E14B7">
        <w:rPr>
          <w:rFonts w:ascii="Arial" w:eastAsia="Calibri" w:hAnsi="Arial" w:cs="Arial"/>
          <w:b/>
          <w:color w:val="000000"/>
          <w:lang w:val="es-ES"/>
        </w:rPr>
        <w:t>cu accent pe utilizatorii vulnerabili ai drumurilor</w:t>
      </w:r>
    </w:p>
    <w:p w14:paraId="1B1FC310" w14:textId="77777777" w:rsidR="004E14B7" w:rsidRPr="004E14B7" w:rsidRDefault="004E14B7" w:rsidP="004E14B7">
      <w:pPr>
        <w:widowControl w:val="0"/>
        <w:numPr>
          <w:ilvl w:val="0"/>
          <w:numId w:val="83"/>
        </w:numPr>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color w:val="000000"/>
          <w:lang w:val="es-ES" w:eastAsia="zh-CN"/>
        </w:rPr>
        <w:t>VIII.1 = eliminarea punctelor negre – pietoni = se propune găsirea de soluţii pentru eliminarea a minim 3 puncte negre din interiorul oraşului (zone cu potenţial ridicat de producere a accidentelor) în care sunt implicaţi pietoni.</w:t>
      </w:r>
    </w:p>
    <w:p w14:paraId="2C8AFEC1" w14:textId="77777777" w:rsidR="004E14B7" w:rsidRPr="004E14B7" w:rsidRDefault="004E14B7" w:rsidP="004E14B7">
      <w:pPr>
        <w:widowControl w:val="0"/>
        <w:numPr>
          <w:ilvl w:val="0"/>
          <w:numId w:val="83"/>
        </w:numPr>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color w:val="000000"/>
          <w:lang w:val="es-ES" w:eastAsia="zh-CN"/>
        </w:rPr>
        <w:t>VIII.2 = eliminarea punctelor negre – vehicule = se propune găsirea de soluţii pentru eliminarea a minim 3 puncte negre din interiorul oraşului (zone cu potenţial ridicat de producere a accidentelor) în care sunt implicate vehicule.</w:t>
      </w:r>
    </w:p>
    <w:p w14:paraId="6B5BF698" w14:textId="77777777" w:rsidR="004E14B7" w:rsidRPr="004E14B7" w:rsidRDefault="004E14B7" w:rsidP="004E14B7">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VIII.3 = reabilitarea marcajelor şi a semnalizării pentru pietoni;</w:t>
      </w:r>
    </w:p>
    <w:p w14:paraId="4210262C" w14:textId="77777777" w:rsidR="004E14B7" w:rsidRPr="004E14B7" w:rsidRDefault="004E14B7" w:rsidP="004E14B7">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VIII.4 = amplasarea marcajelor tactile pentru persoanele cu dizabilităţi de vedere la trecerile pentru pietoni;</w:t>
      </w:r>
    </w:p>
    <w:p w14:paraId="009530B1" w14:textId="77777777" w:rsidR="004E14B7" w:rsidRPr="004E14B7" w:rsidRDefault="004E14B7" w:rsidP="004E14B7">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VIII.5 = amplasarea de indicatoare rutiere si realizarea d</w:t>
      </w:r>
      <w:r w:rsidR="00E612B3">
        <w:rPr>
          <w:rFonts w:ascii="Arial" w:eastAsia="Calibri" w:hAnsi="Arial" w:cs="Arial"/>
          <w:color w:val="000000"/>
          <w:lang w:val="es-ES" w:eastAsia="zh-CN"/>
        </w:rPr>
        <w:t>e marcaje rutiere î</w:t>
      </w:r>
      <w:r w:rsidRPr="004E14B7">
        <w:rPr>
          <w:rFonts w:ascii="Arial" w:eastAsia="Calibri" w:hAnsi="Arial" w:cs="Arial"/>
          <w:color w:val="000000"/>
          <w:lang w:val="es-ES" w:eastAsia="zh-CN"/>
        </w:rPr>
        <w:t>n zonele din care acestea lipsesc;</w:t>
      </w:r>
    </w:p>
    <w:p w14:paraId="7679AD72" w14:textId="77777777" w:rsidR="004E14B7" w:rsidRPr="004E14B7" w:rsidRDefault="004E14B7" w:rsidP="004E14B7">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VIII.</w:t>
      </w:r>
      <w:r w:rsidR="00E612B3">
        <w:rPr>
          <w:rFonts w:ascii="Arial" w:eastAsia="Calibri" w:hAnsi="Arial" w:cs="Arial"/>
          <w:color w:val="000000"/>
          <w:lang w:val="es-ES" w:eastAsia="zh-CN"/>
        </w:rPr>
        <w:t>6 = campanii de educatie rutieră în ş</w:t>
      </w:r>
      <w:r w:rsidRPr="004E14B7">
        <w:rPr>
          <w:rFonts w:ascii="Arial" w:eastAsia="Calibri" w:hAnsi="Arial" w:cs="Arial"/>
          <w:color w:val="000000"/>
          <w:lang w:val="es-ES" w:eastAsia="zh-CN"/>
        </w:rPr>
        <w:t>coli;</w:t>
      </w:r>
    </w:p>
    <w:p w14:paraId="34FFE2A1" w14:textId="77777777" w:rsidR="004E14B7" w:rsidRPr="004E14B7" w:rsidRDefault="00E612B3" w:rsidP="004E14B7">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Pr>
          <w:rFonts w:ascii="Arial" w:eastAsia="Calibri" w:hAnsi="Arial" w:cs="Arial"/>
          <w:color w:val="000000"/>
          <w:lang w:val="es-ES" w:eastAsia="zh-CN"/>
        </w:rPr>
        <w:t>VIII.7 = mobilitate fără bariere = măsuri pentru îmbunătăţirea accesibilităţ</w:t>
      </w:r>
      <w:r w:rsidR="004E14B7" w:rsidRPr="004E14B7">
        <w:rPr>
          <w:rFonts w:ascii="Arial" w:eastAsia="Calibri" w:hAnsi="Arial" w:cs="Arial"/>
          <w:color w:val="000000"/>
          <w:lang w:val="es-ES" w:eastAsia="zh-CN"/>
        </w:rPr>
        <w:t>ii p</w:t>
      </w:r>
      <w:r>
        <w:rPr>
          <w:rFonts w:ascii="Arial" w:eastAsia="Calibri" w:hAnsi="Arial" w:cs="Arial"/>
          <w:color w:val="000000"/>
          <w:lang w:val="es-ES" w:eastAsia="zh-CN"/>
        </w:rPr>
        <w:t>rin sisteme de orientare vizuală</w:t>
      </w:r>
      <w:r w:rsidR="004E14B7" w:rsidRPr="004E14B7">
        <w:rPr>
          <w:rFonts w:ascii="Arial" w:eastAsia="Calibri" w:hAnsi="Arial" w:cs="Arial"/>
          <w:color w:val="000000"/>
          <w:lang w:val="es-ES" w:eastAsia="zh-CN"/>
        </w:rPr>
        <w:t>.</w:t>
      </w:r>
    </w:p>
    <w:p w14:paraId="57A61560" w14:textId="77777777" w:rsidR="004E14B7" w:rsidRPr="004E14B7" w:rsidRDefault="004E14B7" w:rsidP="004E14B7">
      <w:pPr>
        <w:suppressAutoHyphens/>
        <w:autoSpaceDE w:val="0"/>
        <w:spacing w:after="0" w:line="276" w:lineRule="auto"/>
        <w:jc w:val="both"/>
        <w:rPr>
          <w:rFonts w:ascii="Arial" w:eastAsia="Calibri" w:hAnsi="Arial" w:cs="Arial"/>
          <w:color w:val="000000"/>
          <w:lang w:val="es-ES" w:eastAsia="zh-CN"/>
        </w:rPr>
      </w:pPr>
    </w:p>
    <w:p w14:paraId="198EEA61" w14:textId="77777777" w:rsidR="004E14B7" w:rsidRPr="004E14B7" w:rsidRDefault="004E14B7" w:rsidP="004E14B7">
      <w:pPr>
        <w:suppressAutoHyphens/>
        <w:autoSpaceDE w:val="0"/>
        <w:spacing w:after="0" w:line="276" w:lineRule="auto"/>
        <w:jc w:val="both"/>
        <w:rPr>
          <w:rFonts w:ascii="Arial" w:eastAsia="Calibri" w:hAnsi="Arial" w:cs="Arial"/>
          <w:b/>
          <w:lang w:val="es-ES" w:eastAsia="zh-CN"/>
        </w:rPr>
      </w:pPr>
      <w:r w:rsidRPr="004E14B7">
        <w:rPr>
          <w:rFonts w:ascii="Arial" w:eastAsia="Calibri" w:hAnsi="Arial" w:cs="Arial"/>
          <w:b/>
          <w:lang w:val="es-ES" w:eastAsia="zh-CN"/>
        </w:rPr>
        <w:t>IX. Îmbunătăţirea infrastructurii rutiere a oraşului</w:t>
      </w:r>
    </w:p>
    <w:p w14:paraId="1AC2514D" w14:textId="77777777" w:rsidR="004E14B7" w:rsidRPr="004E14B7" w:rsidRDefault="004E14B7" w:rsidP="004E14B7">
      <w:pPr>
        <w:widowControl w:val="0"/>
        <w:numPr>
          <w:ilvl w:val="0"/>
          <w:numId w:val="84"/>
        </w:numPr>
        <w:suppressAutoHyphens/>
        <w:autoSpaceDE w:val="0"/>
        <w:spacing w:after="0" w:line="276" w:lineRule="auto"/>
        <w:jc w:val="both"/>
        <w:rPr>
          <w:rFonts w:ascii="Arial" w:eastAsia="Calibri" w:hAnsi="Arial" w:cs="Arial"/>
          <w:b/>
          <w:lang w:val="es-ES" w:eastAsia="zh-CN"/>
        </w:rPr>
      </w:pPr>
      <w:r w:rsidRPr="004E14B7">
        <w:rPr>
          <w:rFonts w:ascii="Arial" w:hAnsi="Arial" w:cs="Arial"/>
          <w:lang w:val="es-ES"/>
        </w:rPr>
        <w:t>IX.1 = construirea centurii ocolitoare a oraşului = este necesară construirea inelului ocolitor care să scoată traficul de tranzit, în special traficul greu, din interiorul ora</w:t>
      </w:r>
      <w:r w:rsidR="00E612B3">
        <w:rPr>
          <w:rFonts w:ascii="Arial" w:hAnsi="Arial" w:cs="Arial"/>
          <w:lang w:val="es-ES"/>
        </w:rPr>
        <w:t>şului (studiul de fezabilitate î</w:t>
      </w:r>
      <w:r w:rsidRPr="004E14B7">
        <w:rPr>
          <w:rFonts w:ascii="Arial" w:hAnsi="Arial" w:cs="Arial"/>
          <w:lang w:val="es-ES"/>
        </w:rPr>
        <w:t>n curs de elaborare);</w:t>
      </w:r>
    </w:p>
    <w:p w14:paraId="2BB5A415" w14:textId="77777777" w:rsidR="004E14B7" w:rsidRPr="004E14B7" w:rsidRDefault="003D3559" w:rsidP="004E14B7">
      <w:pPr>
        <w:suppressAutoHyphens/>
        <w:autoSpaceDE w:val="0"/>
        <w:spacing w:after="0" w:line="360" w:lineRule="auto"/>
        <w:jc w:val="center"/>
        <w:rPr>
          <w:rFonts w:ascii="Arial" w:eastAsia="Calibri" w:hAnsi="Arial" w:cs="Arial"/>
          <w:b/>
          <w:sz w:val="24"/>
          <w:szCs w:val="24"/>
          <w:lang w:val="es-ES" w:eastAsia="zh-CN"/>
        </w:rPr>
      </w:pPr>
      <w:r>
        <w:rPr>
          <w:noProof/>
        </w:rPr>
        <w:lastRenderedPageBreak/>
        <w:drawing>
          <wp:inline distT="0" distB="0" distL="0" distR="0" wp14:anchorId="2CA98E36" wp14:editId="7FC17C10">
            <wp:extent cx="5733415" cy="4516755"/>
            <wp:effectExtent l="0" t="0" r="63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33415" cy="4516755"/>
                    </a:xfrm>
                    <a:prstGeom prst="rect">
                      <a:avLst/>
                    </a:prstGeom>
                    <a:noFill/>
                    <a:ln>
                      <a:noFill/>
                    </a:ln>
                  </pic:spPr>
                </pic:pic>
              </a:graphicData>
            </a:graphic>
          </wp:inline>
        </w:drawing>
      </w:r>
    </w:p>
    <w:p w14:paraId="72647A70" w14:textId="77777777" w:rsidR="004E14B7" w:rsidRPr="004E14B7" w:rsidRDefault="004E14B7" w:rsidP="004E14B7">
      <w:pPr>
        <w:suppressAutoHyphens/>
        <w:autoSpaceDE w:val="0"/>
        <w:spacing w:after="0" w:line="360" w:lineRule="auto"/>
        <w:rPr>
          <w:rFonts w:ascii="Arial" w:eastAsia="Calibri" w:hAnsi="Arial" w:cs="Arial"/>
          <w:color w:val="000000"/>
          <w:sz w:val="20"/>
          <w:szCs w:val="20"/>
          <w:lang w:eastAsia="zh-CN"/>
        </w:rPr>
      </w:pPr>
      <w:r w:rsidRPr="004E14B7">
        <w:rPr>
          <w:rFonts w:ascii="Arial" w:eastAsia="Calibri" w:hAnsi="Arial" w:cs="Arial"/>
          <w:color w:val="000000"/>
          <w:sz w:val="20"/>
          <w:szCs w:val="20"/>
          <w:lang w:eastAsia="zh-CN"/>
        </w:rPr>
        <w:tab/>
        <w:t>Sursa: Primaria Horezu</w:t>
      </w:r>
    </w:p>
    <w:p w14:paraId="13BA1F77" w14:textId="4CE166DF" w:rsidR="004E14B7" w:rsidRPr="00E612B3" w:rsidRDefault="00E612B3" w:rsidP="00E612B3">
      <w:pPr>
        <w:pStyle w:val="Legend"/>
        <w:jc w:val="center"/>
        <w:rPr>
          <w:rFonts w:ascii="Arial" w:eastAsia="Calibri" w:hAnsi="Arial" w:cs="Arial"/>
          <w:i w:val="0"/>
          <w:color w:val="000000"/>
          <w:sz w:val="22"/>
          <w:szCs w:val="22"/>
          <w:lang w:eastAsia="zh-CN"/>
        </w:rPr>
      </w:pPr>
      <w:bookmarkStart w:id="411" w:name="_Toc68361074"/>
      <w:bookmarkStart w:id="412" w:name="_Toc142039133"/>
      <w:r w:rsidRPr="00E612B3">
        <w:rPr>
          <w:rFonts w:ascii="Arial" w:hAnsi="Arial" w:cs="Arial"/>
          <w:sz w:val="22"/>
          <w:szCs w:val="22"/>
        </w:rPr>
        <w:t xml:space="preserve">Figura I.5. </w:t>
      </w:r>
      <w:r w:rsidRPr="00E612B3">
        <w:rPr>
          <w:rFonts w:ascii="Arial" w:hAnsi="Arial" w:cs="Arial"/>
          <w:sz w:val="22"/>
          <w:szCs w:val="22"/>
        </w:rPr>
        <w:fldChar w:fldCharType="begin"/>
      </w:r>
      <w:r w:rsidRPr="00E612B3">
        <w:rPr>
          <w:rFonts w:ascii="Arial" w:hAnsi="Arial" w:cs="Arial"/>
          <w:sz w:val="22"/>
          <w:szCs w:val="22"/>
        </w:rPr>
        <w:instrText xml:space="preserve"> SEQ Figura_I.5. \* ARABIC </w:instrText>
      </w:r>
      <w:r w:rsidRPr="00E612B3">
        <w:rPr>
          <w:rFonts w:ascii="Arial" w:hAnsi="Arial" w:cs="Arial"/>
          <w:sz w:val="22"/>
          <w:szCs w:val="22"/>
        </w:rPr>
        <w:fldChar w:fldCharType="separate"/>
      </w:r>
      <w:r w:rsidR="00BB181C">
        <w:rPr>
          <w:rFonts w:ascii="Arial" w:hAnsi="Arial" w:cs="Arial"/>
          <w:noProof/>
          <w:sz w:val="22"/>
          <w:szCs w:val="22"/>
        </w:rPr>
        <w:t>6</w:t>
      </w:r>
      <w:r w:rsidRPr="00E612B3">
        <w:rPr>
          <w:rFonts w:ascii="Arial" w:hAnsi="Arial" w:cs="Arial"/>
          <w:sz w:val="22"/>
          <w:szCs w:val="22"/>
        </w:rPr>
        <w:fldChar w:fldCharType="end"/>
      </w:r>
      <w:r w:rsidRPr="00E612B3">
        <w:rPr>
          <w:rFonts w:ascii="Arial" w:hAnsi="Arial" w:cs="Arial"/>
          <w:sz w:val="22"/>
          <w:szCs w:val="22"/>
        </w:rPr>
        <w:t xml:space="preserve"> </w:t>
      </w:r>
      <w:r w:rsidR="004E14B7" w:rsidRPr="00E612B3">
        <w:rPr>
          <w:rFonts w:ascii="Arial" w:hAnsi="Arial" w:cs="Arial"/>
          <w:i w:val="0"/>
          <w:iCs w:val="0"/>
          <w:color w:val="1F497D"/>
          <w:sz w:val="22"/>
          <w:szCs w:val="22"/>
        </w:rPr>
        <w:t xml:space="preserve">- </w:t>
      </w:r>
      <w:r w:rsidR="004E14B7" w:rsidRPr="00E612B3">
        <w:rPr>
          <w:rFonts w:ascii="Arial" w:hAnsi="Arial" w:cs="Arial"/>
          <w:i w:val="0"/>
          <w:color w:val="1F497D"/>
          <w:sz w:val="22"/>
          <w:szCs w:val="22"/>
        </w:rPr>
        <w:t xml:space="preserve">Centura ocolitoare </w:t>
      </w:r>
      <w:bookmarkEnd w:id="411"/>
      <w:r w:rsidR="004E14B7" w:rsidRPr="00E612B3">
        <w:rPr>
          <w:rFonts w:ascii="Arial" w:hAnsi="Arial" w:cs="Arial"/>
          <w:i w:val="0"/>
          <w:color w:val="1F497D"/>
          <w:sz w:val="22"/>
          <w:szCs w:val="22"/>
        </w:rPr>
        <w:t>Horezu</w:t>
      </w:r>
      <w:bookmarkEnd w:id="412"/>
    </w:p>
    <w:p w14:paraId="6655C69C" w14:textId="77777777" w:rsidR="004E14B7" w:rsidRPr="004E14B7" w:rsidRDefault="004E14B7" w:rsidP="004E14B7">
      <w:pPr>
        <w:widowControl w:val="0"/>
        <w:numPr>
          <w:ilvl w:val="0"/>
          <w:numId w:val="85"/>
        </w:numPr>
        <w:suppressAutoHyphens/>
        <w:autoSpaceDE w:val="0"/>
        <w:spacing w:after="0" w:line="276" w:lineRule="auto"/>
        <w:jc w:val="both"/>
        <w:rPr>
          <w:rFonts w:ascii="Arial" w:eastAsia="Calibri" w:hAnsi="Arial" w:cs="Arial"/>
          <w:color w:val="000000"/>
          <w:lang w:val="es-ES" w:eastAsia="zh-CN"/>
        </w:rPr>
      </w:pPr>
      <w:r w:rsidRPr="004E14B7">
        <w:rPr>
          <w:rFonts w:ascii="Arial" w:eastAsia="Arial" w:hAnsi="Arial" w:cs="Arial"/>
          <w:color w:val="000000"/>
          <w:lang w:val="es-ES" w:eastAsia="zh-CN"/>
        </w:rPr>
        <w:t>IX</w:t>
      </w:r>
      <w:r w:rsidRPr="004E14B7">
        <w:rPr>
          <w:rFonts w:ascii="Arial" w:eastAsia="Calibri" w:hAnsi="Arial" w:cs="Arial"/>
          <w:color w:val="000000"/>
          <w:lang w:val="es-ES" w:eastAsia="zh-CN"/>
        </w:rPr>
        <w:t>.2 = reabilitarea şi modernizarea infrastructurii rutiere = starea necorespunzătoare a suprafețelor rutiere impune un program de reabilitare și modernizare, în vederea creșterii siguranței rutiere, a reducerii timpilor de călătorie și a poluării, pe întreaga rețea de artere de circulație din oras.</w:t>
      </w:r>
    </w:p>
    <w:p w14:paraId="03B13939" w14:textId="77777777" w:rsidR="004E14B7" w:rsidRPr="004E14B7" w:rsidRDefault="004E14B7" w:rsidP="004E14B7">
      <w:pPr>
        <w:widowControl w:val="0"/>
        <w:numPr>
          <w:ilvl w:val="0"/>
          <w:numId w:val="85"/>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IX.3 = reamenajarea intersecțiilor cu nivel de serviciu scăzut:  </w:t>
      </w:r>
    </w:p>
    <w:p w14:paraId="40ECFE6C" w14:textId="77777777" w:rsidR="004E14B7" w:rsidRPr="004E14B7" w:rsidRDefault="004E14B7" w:rsidP="004E14B7">
      <w:pPr>
        <w:suppressAutoHyphens/>
        <w:autoSpaceDE w:val="0"/>
        <w:spacing w:after="0" w:line="276" w:lineRule="auto"/>
        <w:ind w:left="1440"/>
        <w:jc w:val="both"/>
        <w:rPr>
          <w:rFonts w:ascii="Arial" w:eastAsia="Calibri" w:hAnsi="Arial" w:cs="Arial"/>
          <w:color w:val="000000"/>
          <w:lang w:val="es-ES" w:eastAsia="zh-CN"/>
        </w:rPr>
      </w:pPr>
      <w:r w:rsidRPr="004E14B7">
        <w:rPr>
          <w:rFonts w:ascii="Arial" w:eastAsia="Calibri" w:hAnsi="Arial" w:cs="Arial"/>
          <w:color w:val="000000"/>
          <w:lang w:val="es-ES" w:eastAsia="zh-CN"/>
        </w:rPr>
        <w:t>- DN 67 cu DN 65C = sens giratoriu;</w:t>
      </w:r>
    </w:p>
    <w:p w14:paraId="5EE95058" w14:textId="77777777" w:rsidR="004E14B7" w:rsidRPr="004E14B7" w:rsidRDefault="004E14B7" w:rsidP="004E14B7">
      <w:pPr>
        <w:suppressAutoHyphens/>
        <w:autoSpaceDE w:val="0"/>
        <w:spacing w:after="0" w:line="276" w:lineRule="auto"/>
        <w:ind w:left="1440"/>
        <w:jc w:val="both"/>
        <w:rPr>
          <w:rFonts w:ascii="Arial" w:eastAsia="Calibri" w:hAnsi="Arial" w:cs="Arial"/>
          <w:color w:val="000000"/>
          <w:lang w:val="es-ES" w:eastAsia="zh-CN"/>
        </w:rPr>
      </w:pPr>
      <w:r w:rsidRPr="004E14B7">
        <w:rPr>
          <w:rFonts w:ascii="Arial" w:eastAsia="Calibri" w:hAnsi="Arial" w:cs="Arial"/>
          <w:color w:val="000000"/>
          <w:lang w:val="es-ES" w:eastAsia="zh-CN"/>
        </w:rPr>
        <w:t>- str. Tudor Vladimirescu cu DJ 665 = sens giratoriu;</w:t>
      </w:r>
    </w:p>
    <w:p w14:paraId="37BC3B60" w14:textId="77777777" w:rsidR="004E14B7" w:rsidRPr="004E14B7" w:rsidRDefault="004E14B7" w:rsidP="004E14B7">
      <w:pPr>
        <w:suppressAutoHyphens/>
        <w:autoSpaceDE w:val="0"/>
        <w:spacing w:after="0" w:line="276" w:lineRule="auto"/>
        <w:ind w:left="1440"/>
        <w:jc w:val="both"/>
        <w:rPr>
          <w:rFonts w:ascii="Arial" w:eastAsia="Calibri" w:hAnsi="Arial" w:cs="Arial"/>
          <w:color w:val="000000"/>
          <w:lang w:val="es-ES" w:eastAsia="zh-CN"/>
        </w:rPr>
      </w:pPr>
      <w:r w:rsidRPr="004E14B7">
        <w:rPr>
          <w:rFonts w:ascii="Arial" w:eastAsia="Calibri" w:hAnsi="Arial" w:cs="Arial"/>
          <w:color w:val="000000"/>
          <w:lang w:val="es-ES" w:eastAsia="zh-CN"/>
        </w:rPr>
        <w:t>- str. Tudor Vladimirescu cu str. 1 Decembrie si DC 139 = semaforizare;</w:t>
      </w:r>
    </w:p>
    <w:p w14:paraId="4B3EB1EF" w14:textId="28375D65" w:rsidR="004E14B7" w:rsidRPr="004E14B7" w:rsidRDefault="004E14B7" w:rsidP="004E14B7">
      <w:pPr>
        <w:widowControl w:val="0"/>
        <w:numPr>
          <w:ilvl w:val="0"/>
          <w:numId w:val="85"/>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IX.4 = introducerea de sensuri unice = prin extinderea acestui sistem de organizare se pot obține beneficii atât din punct de vedere al fluenței traficului, cât și din punct de vedere al amenajărilor pentru micromobilitate (</w:t>
      </w:r>
      <w:r w:rsidR="00A27348">
        <w:rPr>
          <w:rFonts w:ascii="Arial" w:eastAsia="Calibri" w:hAnsi="Arial" w:cs="Arial"/>
          <w:color w:val="000000"/>
          <w:lang w:val="es-ES" w:eastAsia="zh-CN"/>
        </w:rPr>
        <w:t>trasee pentru</w:t>
      </w:r>
      <w:r w:rsidRPr="004E14B7">
        <w:rPr>
          <w:rFonts w:ascii="Arial" w:eastAsia="Calibri" w:hAnsi="Arial" w:cs="Arial"/>
          <w:color w:val="000000"/>
          <w:lang w:val="es-ES" w:eastAsia="zh-CN"/>
        </w:rPr>
        <w:t xml:space="preserve"> biciclete, zone pietonale mai generoase) și nu în ultimul rând al creării de spații pentru amenajarea de parcări.</w:t>
      </w:r>
    </w:p>
    <w:p w14:paraId="3F3CF26B" w14:textId="77777777" w:rsidR="004E14B7" w:rsidRPr="004E14B7" w:rsidRDefault="004E14B7" w:rsidP="004E14B7">
      <w:pPr>
        <w:widowControl w:val="0"/>
        <w:suppressAutoHyphens/>
        <w:autoSpaceDE w:val="0"/>
        <w:spacing w:after="0" w:line="276" w:lineRule="auto"/>
        <w:jc w:val="both"/>
        <w:rPr>
          <w:rFonts w:ascii="Arial" w:eastAsia="Calibri" w:hAnsi="Arial" w:cs="Arial"/>
          <w:color w:val="000000"/>
          <w:lang w:val="es-ES" w:eastAsia="zh-CN"/>
        </w:rPr>
      </w:pPr>
    </w:p>
    <w:p w14:paraId="202CCF7C" w14:textId="77777777" w:rsidR="004E14B7" w:rsidRPr="004E14B7" w:rsidRDefault="004E14B7" w:rsidP="004E14B7">
      <w:pPr>
        <w:widowControl w:val="0"/>
        <w:suppressAutoHyphens/>
        <w:autoSpaceDE w:val="0"/>
        <w:spacing w:after="0" w:line="276" w:lineRule="auto"/>
        <w:jc w:val="center"/>
        <w:rPr>
          <w:rFonts w:ascii="Arial" w:eastAsia="Calibri" w:hAnsi="Arial" w:cs="Arial"/>
          <w:color w:val="000000"/>
          <w:lang w:val="es-ES" w:eastAsia="zh-CN"/>
        </w:rPr>
      </w:pPr>
      <w:r w:rsidRPr="004E14B7">
        <w:rPr>
          <w:rFonts w:ascii="Arial" w:eastAsia="Calibri" w:hAnsi="Arial" w:cs="Arial"/>
          <w:noProof/>
          <w:color w:val="000000"/>
        </w:rPr>
        <w:lastRenderedPageBreak/>
        <w:drawing>
          <wp:inline distT="0" distB="0" distL="0" distR="0" wp14:anchorId="3CC178D5" wp14:editId="65456981">
            <wp:extent cx="5018405" cy="4220845"/>
            <wp:effectExtent l="0" t="0" r="0" b="825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018405" cy="4220845"/>
                    </a:xfrm>
                    <a:prstGeom prst="rect">
                      <a:avLst/>
                    </a:prstGeom>
                    <a:noFill/>
                    <a:ln>
                      <a:noFill/>
                    </a:ln>
                  </pic:spPr>
                </pic:pic>
              </a:graphicData>
            </a:graphic>
          </wp:inline>
        </w:drawing>
      </w:r>
    </w:p>
    <w:p w14:paraId="72208F00" w14:textId="3779F9D2" w:rsidR="004E14B7" w:rsidRPr="00E612B3" w:rsidRDefault="00E612B3" w:rsidP="00E612B3">
      <w:pPr>
        <w:pStyle w:val="Legend"/>
        <w:jc w:val="center"/>
        <w:rPr>
          <w:rFonts w:ascii="Arial" w:eastAsia="Calibri" w:hAnsi="Arial" w:cs="Arial"/>
          <w:i w:val="0"/>
          <w:color w:val="000000"/>
          <w:sz w:val="22"/>
          <w:szCs w:val="22"/>
          <w:lang w:eastAsia="zh-CN"/>
        </w:rPr>
      </w:pPr>
      <w:bookmarkStart w:id="413" w:name="_Toc142039134"/>
      <w:r w:rsidRPr="00E612B3">
        <w:rPr>
          <w:rFonts w:ascii="Arial" w:hAnsi="Arial" w:cs="Arial"/>
          <w:sz w:val="22"/>
          <w:szCs w:val="22"/>
        </w:rPr>
        <w:t xml:space="preserve">Figura I.5. </w:t>
      </w:r>
      <w:r w:rsidRPr="00E612B3">
        <w:rPr>
          <w:rFonts w:ascii="Arial" w:hAnsi="Arial" w:cs="Arial"/>
          <w:sz w:val="22"/>
          <w:szCs w:val="22"/>
        </w:rPr>
        <w:fldChar w:fldCharType="begin"/>
      </w:r>
      <w:r w:rsidRPr="00E612B3">
        <w:rPr>
          <w:rFonts w:ascii="Arial" w:hAnsi="Arial" w:cs="Arial"/>
          <w:sz w:val="22"/>
          <w:szCs w:val="22"/>
        </w:rPr>
        <w:instrText xml:space="preserve"> SEQ Figura_I.5. \* ARABIC </w:instrText>
      </w:r>
      <w:r w:rsidRPr="00E612B3">
        <w:rPr>
          <w:rFonts w:ascii="Arial" w:hAnsi="Arial" w:cs="Arial"/>
          <w:sz w:val="22"/>
          <w:szCs w:val="22"/>
        </w:rPr>
        <w:fldChar w:fldCharType="separate"/>
      </w:r>
      <w:r w:rsidR="00BB181C">
        <w:rPr>
          <w:rFonts w:ascii="Arial" w:hAnsi="Arial" w:cs="Arial"/>
          <w:noProof/>
          <w:sz w:val="22"/>
          <w:szCs w:val="22"/>
        </w:rPr>
        <w:t>7</w:t>
      </w:r>
      <w:r w:rsidRPr="00E612B3">
        <w:rPr>
          <w:rFonts w:ascii="Arial" w:hAnsi="Arial" w:cs="Arial"/>
          <w:sz w:val="22"/>
          <w:szCs w:val="22"/>
        </w:rPr>
        <w:fldChar w:fldCharType="end"/>
      </w:r>
      <w:r w:rsidRPr="00E612B3">
        <w:rPr>
          <w:rFonts w:ascii="Arial" w:hAnsi="Arial" w:cs="Arial"/>
          <w:sz w:val="22"/>
          <w:szCs w:val="22"/>
        </w:rPr>
        <w:t xml:space="preserve"> </w:t>
      </w:r>
      <w:r w:rsidR="004E14B7" w:rsidRPr="00E612B3">
        <w:rPr>
          <w:rFonts w:ascii="Arial" w:hAnsi="Arial" w:cs="Arial"/>
          <w:i w:val="0"/>
          <w:iCs w:val="0"/>
          <w:color w:val="1F497D"/>
          <w:sz w:val="22"/>
          <w:szCs w:val="22"/>
        </w:rPr>
        <w:t xml:space="preserve">– </w:t>
      </w:r>
      <w:r w:rsidR="004E14B7" w:rsidRPr="00E612B3">
        <w:rPr>
          <w:rFonts w:ascii="Arial" w:hAnsi="Arial" w:cs="Arial"/>
          <w:i w:val="0"/>
          <w:color w:val="1F497D"/>
          <w:sz w:val="22"/>
          <w:szCs w:val="22"/>
        </w:rPr>
        <w:t>Sensuri unice Horezu</w:t>
      </w:r>
      <w:bookmarkEnd w:id="413"/>
    </w:p>
    <w:p w14:paraId="661AF3BA" w14:textId="77777777" w:rsidR="004E14B7" w:rsidRPr="004E14B7" w:rsidRDefault="00E612B3" w:rsidP="004E14B7">
      <w:pPr>
        <w:widowControl w:val="0"/>
        <w:numPr>
          <w:ilvl w:val="0"/>
          <w:numId w:val="85"/>
        </w:numPr>
        <w:suppressAutoHyphens/>
        <w:autoSpaceDE w:val="0"/>
        <w:spacing w:after="0" w:line="276" w:lineRule="auto"/>
        <w:jc w:val="both"/>
        <w:rPr>
          <w:rFonts w:ascii="Arial" w:eastAsia="Calibri" w:hAnsi="Arial" w:cs="Arial"/>
          <w:color w:val="000000"/>
          <w:lang w:val="es-ES" w:eastAsia="zh-CN"/>
        </w:rPr>
      </w:pPr>
      <w:r>
        <w:rPr>
          <w:rFonts w:ascii="Arial" w:eastAsia="Calibri" w:hAnsi="Arial" w:cs="Arial"/>
          <w:color w:val="000000"/>
          <w:lang w:val="es-ES" w:eastAsia="zh-CN"/>
        </w:rPr>
        <w:t>IX.5 = Realizare străpungere între str. Zăvoiului ş</w:t>
      </w:r>
      <w:r w:rsidR="004E14B7" w:rsidRPr="004E14B7">
        <w:rPr>
          <w:rFonts w:ascii="Arial" w:eastAsia="Calibri" w:hAnsi="Arial" w:cs="Arial"/>
          <w:color w:val="000000"/>
          <w:lang w:val="es-ES" w:eastAsia="zh-CN"/>
        </w:rPr>
        <w:t>i str. Alex. Ioan Cuza, pen</w:t>
      </w:r>
      <w:r>
        <w:rPr>
          <w:rFonts w:ascii="Arial" w:eastAsia="Calibri" w:hAnsi="Arial" w:cs="Arial"/>
          <w:color w:val="000000"/>
          <w:lang w:val="es-ES" w:eastAsia="zh-CN"/>
        </w:rPr>
        <w:t>tru a se putea organiza circulaţia în sistem de sensuri unice în zona spitalului ş</w:t>
      </w:r>
      <w:r w:rsidR="004E14B7" w:rsidRPr="004E14B7">
        <w:rPr>
          <w:rFonts w:ascii="Arial" w:eastAsia="Calibri" w:hAnsi="Arial" w:cs="Arial"/>
          <w:color w:val="000000"/>
          <w:lang w:val="es-ES" w:eastAsia="zh-CN"/>
        </w:rPr>
        <w:t>i a se elimina blocajele care apa</w:t>
      </w:r>
      <w:r>
        <w:rPr>
          <w:rFonts w:ascii="Arial" w:eastAsia="Calibri" w:hAnsi="Arial" w:cs="Arial"/>
          <w:color w:val="000000"/>
          <w:lang w:val="es-ES" w:eastAsia="zh-CN"/>
        </w:rPr>
        <w:t>r. Propunerea trebuie completată</w:t>
      </w:r>
      <w:r w:rsidR="004E14B7" w:rsidRPr="004E14B7">
        <w:rPr>
          <w:rFonts w:ascii="Arial" w:eastAsia="Calibri" w:hAnsi="Arial" w:cs="Arial"/>
          <w:color w:val="000000"/>
          <w:lang w:val="es-ES" w:eastAsia="zh-CN"/>
        </w:rPr>
        <w:t xml:space="preserve"> cu asigurarea unui al doilea </w:t>
      </w:r>
      <w:r>
        <w:rPr>
          <w:rFonts w:ascii="Arial" w:eastAsia="Calibri" w:hAnsi="Arial" w:cs="Arial"/>
          <w:color w:val="000000"/>
          <w:lang w:val="es-ES" w:eastAsia="zh-CN"/>
        </w:rPr>
        <w:t>acces pentru ieşirea ambulanţelor direct în str. Ză</w:t>
      </w:r>
      <w:r w:rsidR="004E14B7" w:rsidRPr="004E14B7">
        <w:rPr>
          <w:rFonts w:ascii="Arial" w:eastAsia="Calibri" w:hAnsi="Arial" w:cs="Arial"/>
          <w:color w:val="000000"/>
          <w:lang w:val="es-ES" w:eastAsia="zh-CN"/>
        </w:rPr>
        <w:t>voiului.</w:t>
      </w:r>
    </w:p>
    <w:p w14:paraId="330502CF" w14:textId="77777777" w:rsidR="004E14B7" w:rsidRPr="004E14B7" w:rsidRDefault="004E14B7" w:rsidP="004E14B7">
      <w:pPr>
        <w:suppressAutoHyphens/>
        <w:autoSpaceDE w:val="0"/>
        <w:spacing w:after="0" w:line="360" w:lineRule="auto"/>
        <w:jc w:val="both"/>
        <w:rPr>
          <w:rFonts w:ascii="Arial" w:eastAsia="Calibri" w:hAnsi="Arial" w:cs="Arial"/>
          <w:color w:val="000000"/>
          <w:sz w:val="24"/>
          <w:szCs w:val="24"/>
          <w:lang w:eastAsia="zh-CN"/>
        </w:rPr>
      </w:pPr>
    </w:p>
    <w:p w14:paraId="624989AD" w14:textId="77777777" w:rsidR="004E14B7" w:rsidRPr="004E14B7" w:rsidRDefault="004E14B7" w:rsidP="004E14B7">
      <w:pPr>
        <w:suppressAutoHyphens/>
        <w:autoSpaceDE w:val="0"/>
        <w:spacing w:after="0" w:line="276" w:lineRule="auto"/>
        <w:jc w:val="both"/>
        <w:rPr>
          <w:rFonts w:ascii="Arial" w:eastAsia="Calibri" w:hAnsi="Arial" w:cs="Arial"/>
          <w:b/>
          <w:color w:val="000000"/>
          <w:lang w:eastAsia="zh-CN"/>
        </w:rPr>
      </w:pPr>
      <w:r w:rsidRPr="004E14B7">
        <w:rPr>
          <w:rFonts w:ascii="Arial" w:eastAsia="Calibri" w:hAnsi="Arial" w:cs="Arial"/>
          <w:b/>
          <w:color w:val="000000"/>
          <w:sz w:val="24"/>
          <w:szCs w:val="24"/>
          <w:lang w:eastAsia="zh-CN"/>
        </w:rPr>
        <w:t xml:space="preserve">X. </w:t>
      </w:r>
      <w:r w:rsidRPr="004E14B7">
        <w:rPr>
          <w:rFonts w:ascii="Arial" w:eastAsia="Calibri" w:hAnsi="Arial" w:cs="Arial"/>
          <w:b/>
          <w:color w:val="000000"/>
          <w:lang w:eastAsia="zh-CN"/>
        </w:rPr>
        <w:t>Dezvoltarea sistemului local de transport public</w:t>
      </w:r>
    </w:p>
    <w:p w14:paraId="3A33A0D1" w14:textId="77777777" w:rsidR="004E14B7" w:rsidRPr="004E14B7" w:rsidRDefault="004E14B7" w:rsidP="004E14B7">
      <w:pPr>
        <w:widowControl w:val="0"/>
        <w:numPr>
          <w:ilvl w:val="0"/>
          <w:numId w:val="86"/>
        </w:numPr>
        <w:suppressAutoHyphens/>
        <w:autoSpaceDE w:val="0"/>
        <w:spacing w:after="0" w:line="276" w:lineRule="auto"/>
        <w:jc w:val="both"/>
        <w:rPr>
          <w:rFonts w:ascii="Arial" w:eastAsia="Arial" w:hAnsi="Arial" w:cs="Arial"/>
          <w:color w:val="000000"/>
          <w:lang w:eastAsia="zh-CN"/>
        </w:rPr>
      </w:pPr>
      <w:r w:rsidRPr="004E14B7">
        <w:rPr>
          <w:rFonts w:ascii="Arial" w:eastAsia="Arial" w:hAnsi="Arial" w:cs="Arial"/>
          <w:color w:val="000000"/>
          <w:lang w:eastAsia="zh-CN"/>
        </w:rPr>
        <w:t>X</w:t>
      </w:r>
      <w:r w:rsidRPr="004E14B7">
        <w:rPr>
          <w:rFonts w:ascii="Arial" w:eastAsia="Calibri" w:hAnsi="Arial" w:cs="Arial"/>
          <w:color w:val="000000"/>
          <w:lang w:eastAsia="zh-CN"/>
        </w:rPr>
        <w:t>.1 = introducerea sistemului de tra</w:t>
      </w:r>
      <w:r w:rsidR="00E612B3">
        <w:rPr>
          <w:rFonts w:ascii="Arial" w:eastAsia="Calibri" w:hAnsi="Arial" w:cs="Arial"/>
          <w:color w:val="000000"/>
          <w:lang w:eastAsia="zh-CN"/>
        </w:rPr>
        <w:t>nsport public local, inclusiv către localităţile componente ale oraşului = î</w:t>
      </w:r>
      <w:r w:rsidRPr="004E14B7">
        <w:rPr>
          <w:rFonts w:ascii="Arial" w:eastAsia="Calibri" w:hAnsi="Arial" w:cs="Arial"/>
          <w:color w:val="000000"/>
          <w:lang w:eastAsia="zh-CN"/>
        </w:rPr>
        <w:t>n scopul reducerii ponderii uti</w:t>
      </w:r>
      <w:r w:rsidR="00E612B3">
        <w:rPr>
          <w:rFonts w:ascii="Arial" w:eastAsia="Calibri" w:hAnsi="Arial" w:cs="Arial"/>
          <w:color w:val="000000"/>
          <w:lang w:eastAsia="zh-CN"/>
        </w:rPr>
        <w:t>liză</w:t>
      </w:r>
      <w:r w:rsidRPr="004E14B7">
        <w:rPr>
          <w:rFonts w:ascii="Arial" w:eastAsia="Calibri" w:hAnsi="Arial" w:cs="Arial"/>
          <w:color w:val="000000"/>
          <w:lang w:eastAsia="zh-CN"/>
        </w:rPr>
        <w:t>rii autoturismului personal, trebuie oferite alternativ</w:t>
      </w:r>
      <w:r w:rsidR="00E612B3">
        <w:rPr>
          <w:rFonts w:ascii="Arial" w:eastAsia="Calibri" w:hAnsi="Arial" w:cs="Arial"/>
          <w:color w:val="000000"/>
          <w:lang w:eastAsia="zh-CN"/>
        </w:rPr>
        <w:t>e de deplasare locuitorilor oraş</w:t>
      </w:r>
      <w:r w:rsidRPr="004E14B7">
        <w:rPr>
          <w:rFonts w:ascii="Arial" w:eastAsia="Calibri" w:hAnsi="Arial" w:cs="Arial"/>
          <w:color w:val="000000"/>
          <w:lang w:eastAsia="zh-CN"/>
        </w:rPr>
        <w:t>ulu</w:t>
      </w:r>
      <w:r w:rsidR="00E612B3">
        <w:rPr>
          <w:rFonts w:ascii="Arial" w:eastAsia="Calibri" w:hAnsi="Arial" w:cs="Arial"/>
          <w:color w:val="000000"/>
          <w:lang w:eastAsia="zh-CN"/>
        </w:rPr>
        <w:t>i. Transportul public reprezintă, pe lângă</w:t>
      </w:r>
      <w:r w:rsidRPr="004E14B7">
        <w:rPr>
          <w:rFonts w:ascii="Arial" w:eastAsia="Calibri" w:hAnsi="Arial" w:cs="Arial"/>
          <w:color w:val="000000"/>
          <w:lang w:eastAsia="zh-CN"/>
        </w:rPr>
        <w:t xml:space="preserve"> modurile a</w:t>
      </w:r>
      <w:r w:rsidR="00E612B3">
        <w:rPr>
          <w:rFonts w:ascii="Arial" w:eastAsia="Calibri" w:hAnsi="Arial" w:cs="Arial"/>
          <w:color w:val="000000"/>
          <w:lang w:eastAsia="zh-CN"/>
        </w:rPr>
        <w:t>lternative de transport, o soluţie viabilă care să</w:t>
      </w:r>
      <w:r w:rsidRPr="004E14B7">
        <w:rPr>
          <w:rFonts w:ascii="Arial" w:eastAsia="Calibri" w:hAnsi="Arial" w:cs="Arial"/>
          <w:color w:val="000000"/>
          <w:lang w:eastAsia="zh-CN"/>
        </w:rPr>
        <w:t xml:space="preserve"> contribuie nu numai la reducerea fluxurilor de vehicule generatoa</w:t>
      </w:r>
      <w:r w:rsidR="00E612B3">
        <w:rPr>
          <w:rFonts w:ascii="Arial" w:eastAsia="Calibri" w:hAnsi="Arial" w:cs="Arial"/>
          <w:color w:val="000000"/>
          <w:lang w:eastAsia="zh-CN"/>
        </w:rPr>
        <w:t>re de congestii de trafic, dar şi la reducerea  poluării atmosferice şi fonice. O propunere de reţ</w:t>
      </w:r>
      <w:r w:rsidRPr="004E14B7">
        <w:rPr>
          <w:rFonts w:ascii="Arial" w:eastAsia="Calibri" w:hAnsi="Arial" w:cs="Arial"/>
          <w:color w:val="000000"/>
          <w:lang w:eastAsia="zh-CN"/>
        </w:rPr>
        <w:t xml:space="preserve">ea de </w:t>
      </w:r>
      <w:r w:rsidR="00E612B3">
        <w:rPr>
          <w:rFonts w:ascii="Arial" w:eastAsia="Calibri" w:hAnsi="Arial" w:cs="Arial"/>
          <w:color w:val="000000"/>
          <w:lang w:eastAsia="zh-CN"/>
        </w:rPr>
        <w:t>transport public este prezentată în figura urmă</w:t>
      </w:r>
      <w:r w:rsidRPr="004E14B7">
        <w:rPr>
          <w:rFonts w:ascii="Arial" w:eastAsia="Calibri" w:hAnsi="Arial" w:cs="Arial"/>
          <w:color w:val="000000"/>
          <w:lang w:eastAsia="zh-CN"/>
        </w:rPr>
        <w:t>toare.</w:t>
      </w:r>
    </w:p>
    <w:p w14:paraId="69AD4C23" w14:textId="77777777" w:rsidR="004E14B7" w:rsidRPr="004E14B7" w:rsidRDefault="004E14B7" w:rsidP="004E14B7">
      <w:pPr>
        <w:suppressAutoHyphens/>
        <w:autoSpaceDE w:val="0"/>
        <w:spacing w:after="0" w:line="360" w:lineRule="auto"/>
        <w:jc w:val="center"/>
        <w:rPr>
          <w:rFonts w:ascii="Arial" w:eastAsia="Arial" w:hAnsi="Arial" w:cs="Arial"/>
          <w:color w:val="000000"/>
          <w:sz w:val="24"/>
          <w:szCs w:val="24"/>
          <w:lang w:eastAsia="zh-CN"/>
        </w:rPr>
      </w:pPr>
      <w:r w:rsidRPr="004E14B7">
        <w:rPr>
          <w:rFonts w:ascii="Arial" w:eastAsia="Arial" w:hAnsi="Arial" w:cs="Arial"/>
          <w:noProof/>
          <w:color w:val="000000"/>
          <w:sz w:val="24"/>
          <w:szCs w:val="24"/>
        </w:rPr>
        <w:lastRenderedPageBreak/>
        <w:drawing>
          <wp:inline distT="0" distB="0" distL="0" distR="0" wp14:anchorId="32ED69CF" wp14:editId="5900EBE9">
            <wp:extent cx="5733415" cy="3250898"/>
            <wp:effectExtent l="0" t="0" r="635" b="6985"/>
            <wp:docPr id="93" name="Picture 93" descr="E:\Horezu\Materiale lucru\Retea TP prop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Horezu\Materiale lucru\Retea TP propusa.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3415" cy="3250898"/>
                    </a:xfrm>
                    <a:prstGeom prst="rect">
                      <a:avLst/>
                    </a:prstGeom>
                    <a:noFill/>
                    <a:ln>
                      <a:noFill/>
                    </a:ln>
                  </pic:spPr>
                </pic:pic>
              </a:graphicData>
            </a:graphic>
          </wp:inline>
        </w:drawing>
      </w:r>
    </w:p>
    <w:p w14:paraId="384ECF3B" w14:textId="77777777" w:rsidR="004E14B7" w:rsidRPr="004E14B7" w:rsidRDefault="004E14B7" w:rsidP="004E14B7">
      <w:pPr>
        <w:suppressAutoHyphens/>
        <w:autoSpaceDE w:val="0"/>
        <w:spacing w:after="0" w:line="360" w:lineRule="auto"/>
        <w:rPr>
          <w:rFonts w:ascii="Arial" w:eastAsia="Calibri" w:hAnsi="Arial" w:cs="Arial"/>
          <w:color w:val="000000"/>
          <w:sz w:val="20"/>
          <w:szCs w:val="20"/>
          <w:lang w:eastAsia="zh-CN"/>
        </w:rPr>
      </w:pPr>
      <w:r w:rsidRPr="004E14B7">
        <w:rPr>
          <w:rFonts w:ascii="Arial" w:eastAsia="Calibri" w:hAnsi="Arial" w:cs="Arial"/>
          <w:color w:val="000000"/>
          <w:sz w:val="20"/>
          <w:szCs w:val="20"/>
          <w:lang w:eastAsia="zh-CN"/>
        </w:rPr>
        <w:t>Sursa: Elaborator INCERTRANS SA</w:t>
      </w:r>
    </w:p>
    <w:p w14:paraId="4270CF38" w14:textId="367ECF07" w:rsidR="004E14B7" w:rsidRPr="00E612B3" w:rsidRDefault="00E612B3" w:rsidP="00E612B3">
      <w:pPr>
        <w:pStyle w:val="Legend"/>
        <w:jc w:val="center"/>
        <w:rPr>
          <w:rFonts w:ascii="Arial" w:eastAsia="Calibri" w:hAnsi="Arial" w:cs="Arial"/>
          <w:i w:val="0"/>
          <w:color w:val="000000"/>
          <w:sz w:val="22"/>
          <w:szCs w:val="22"/>
          <w:lang w:eastAsia="zh-CN"/>
        </w:rPr>
      </w:pPr>
      <w:bookmarkStart w:id="414" w:name="_Toc68361075"/>
      <w:bookmarkStart w:id="415" w:name="_Toc142039135"/>
      <w:r w:rsidRPr="00E612B3">
        <w:rPr>
          <w:rFonts w:ascii="Arial" w:hAnsi="Arial" w:cs="Arial"/>
          <w:sz w:val="22"/>
          <w:szCs w:val="22"/>
        </w:rPr>
        <w:t xml:space="preserve">Figura I.5. </w:t>
      </w:r>
      <w:r w:rsidRPr="00E612B3">
        <w:rPr>
          <w:rFonts w:ascii="Arial" w:hAnsi="Arial" w:cs="Arial"/>
          <w:sz w:val="22"/>
          <w:szCs w:val="22"/>
        </w:rPr>
        <w:fldChar w:fldCharType="begin"/>
      </w:r>
      <w:r w:rsidRPr="00E612B3">
        <w:rPr>
          <w:rFonts w:ascii="Arial" w:hAnsi="Arial" w:cs="Arial"/>
          <w:sz w:val="22"/>
          <w:szCs w:val="22"/>
        </w:rPr>
        <w:instrText xml:space="preserve"> SEQ Figura_I.5. \* ARABIC </w:instrText>
      </w:r>
      <w:r w:rsidRPr="00E612B3">
        <w:rPr>
          <w:rFonts w:ascii="Arial" w:hAnsi="Arial" w:cs="Arial"/>
          <w:sz w:val="22"/>
          <w:szCs w:val="22"/>
        </w:rPr>
        <w:fldChar w:fldCharType="separate"/>
      </w:r>
      <w:r w:rsidR="00BB181C">
        <w:rPr>
          <w:rFonts w:ascii="Arial" w:hAnsi="Arial" w:cs="Arial"/>
          <w:noProof/>
          <w:sz w:val="22"/>
          <w:szCs w:val="22"/>
        </w:rPr>
        <w:t>8</w:t>
      </w:r>
      <w:r w:rsidRPr="00E612B3">
        <w:rPr>
          <w:rFonts w:ascii="Arial" w:hAnsi="Arial" w:cs="Arial"/>
          <w:sz w:val="22"/>
          <w:szCs w:val="22"/>
        </w:rPr>
        <w:fldChar w:fldCharType="end"/>
      </w:r>
      <w:r w:rsidRPr="00E612B3">
        <w:rPr>
          <w:rFonts w:ascii="Arial" w:hAnsi="Arial" w:cs="Arial"/>
          <w:sz w:val="22"/>
          <w:szCs w:val="22"/>
        </w:rPr>
        <w:t xml:space="preserve"> </w:t>
      </w:r>
      <w:r w:rsidR="004E14B7" w:rsidRPr="00E612B3">
        <w:rPr>
          <w:rFonts w:ascii="Arial" w:hAnsi="Arial" w:cs="Arial"/>
          <w:i w:val="0"/>
          <w:iCs w:val="0"/>
          <w:color w:val="1F497D"/>
          <w:sz w:val="22"/>
          <w:szCs w:val="22"/>
        </w:rPr>
        <w:t xml:space="preserve">- </w:t>
      </w:r>
      <w:r w:rsidR="004E14B7" w:rsidRPr="00E612B3">
        <w:rPr>
          <w:rFonts w:ascii="Arial" w:hAnsi="Arial" w:cs="Arial"/>
          <w:i w:val="0"/>
          <w:color w:val="1F497D"/>
          <w:sz w:val="22"/>
          <w:szCs w:val="22"/>
        </w:rPr>
        <w:t>Rețea de transport public propusă</w:t>
      </w:r>
      <w:bookmarkEnd w:id="414"/>
      <w:bookmarkEnd w:id="415"/>
    </w:p>
    <w:p w14:paraId="7CCA6770" w14:textId="77777777" w:rsidR="004E14B7" w:rsidRPr="004E14B7" w:rsidRDefault="004E14B7" w:rsidP="004E14B7">
      <w:pPr>
        <w:suppressAutoHyphens/>
        <w:autoSpaceDE w:val="0"/>
        <w:spacing w:after="0" w:line="360" w:lineRule="auto"/>
        <w:jc w:val="center"/>
        <w:rPr>
          <w:rFonts w:ascii="Arial" w:eastAsia="Arial" w:hAnsi="Arial" w:cs="Arial"/>
          <w:color w:val="000000"/>
          <w:sz w:val="24"/>
          <w:szCs w:val="24"/>
          <w:lang w:eastAsia="zh-CN"/>
        </w:rPr>
      </w:pPr>
      <w:r w:rsidRPr="004E14B7">
        <w:rPr>
          <w:rFonts w:ascii="Arial" w:eastAsia="Arial" w:hAnsi="Arial" w:cs="Arial"/>
          <w:noProof/>
          <w:color w:val="000000"/>
          <w:sz w:val="24"/>
          <w:szCs w:val="24"/>
        </w:rPr>
        <w:drawing>
          <wp:inline distT="0" distB="0" distL="0" distR="0" wp14:anchorId="13672EF3" wp14:editId="7880E9EE">
            <wp:extent cx="5733415" cy="3250898"/>
            <wp:effectExtent l="0" t="0" r="635" b="6985"/>
            <wp:docPr id="94" name="Picture 94" descr="E:\Horezu\Materiale lucru\Retea TP propusa - detaliu Horez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Horezu\Materiale lucru\Retea TP propusa - detaliu Horezu.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33415" cy="3250898"/>
                    </a:xfrm>
                    <a:prstGeom prst="rect">
                      <a:avLst/>
                    </a:prstGeom>
                    <a:noFill/>
                    <a:ln>
                      <a:noFill/>
                    </a:ln>
                  </pic:spPr>
                </pic:pic>
              </a:graphicData>
            </a:graphic>
          </wp:inline>
        </w:drawing>
      </w:r>
    </w:p>
    <w:p w14:paraId="7BEF3A8E" w14:textId="77777777" w:rsidR="004E14B7" w:rsidRPr="004E14B7" w:rsidRDefault="004E14B7" w:rsidP="004E14B7">
      <w:pPr>
        <w:suppressAutoHyphens/>
        <w:autoSpaceDE w:val="0"/>
        <w:spacing w:after="0" w:line="360" w:lineRule="auto"/>
        <w:rPr>
          <w:rFonts w:ascii="Arial" w:eastAsia="Calibri" w:hAnsi="Arial" w:cs="Arial"/>
          <w:color w:val="000000"/>
          <w:sz w:val="20"/>
          <w:szCs w:val="20"/>
          <w:lang w:eastAsia="zh-CN"/>
        </w:rPr>
      </w:pPr>
      <w:r w:rsidRPr="004E14B7">
        <w:rPr>
          <w:rFonts w:ascii="Arial" w:eastAsia="Calibri" w:hAnsi="Arial" w:cs="Arial"/>
          <w:color w:val="000000"/>
          <w:sz w:val="20"/>
          <w:szCs w:val="20"/>
          <w:lang w:eastAsia="zh-CN"/>
        </w:rPr>
        <w:t>Sursa: Elaborator INCERTRANS SA</w:t>
      </w:r>
    </w:p>
    <w:p w14:paraId="23A657FE" w14:textId="252D3490" w:rsidR="004E14B7" w:rsidRPr="00E612B3" w:rsidRDefault="00E612B3" w:rsidP="00E612B3">
      <w:pPr>
        <w:pStyle w:val="Legend"/>
        <w:jc w:val="center"/>
        <w:rPr>
          <w:rFonts w:ascii="Arial" w:eastAsia="Calibri" w:hAnsi="Arial" w:cs="Arial"/>
          <w:i w:val="0"/>
          <w:color w:val="000000"/>
          <w:sz w:val="22"/>
          <w:szCs w:val="22"/>
          <w:lang w:eastAsia="zh-CN"/>
        </w:rPr>
      </w:pPr>
      <w:bookmarkStart w:id="416" w:name="_Toc142039136"/>
      <w:r w:rsidRPr="00E612B3">
        <w:rPr>
          <w:rFonts w:ascii="Arial" w:hAnsi="Arial" w:cs="Arial"/>
          <w:sz w:val="22"/>
          <w:szCs w:val="22"/>
        </w:rPr>
        <w:t xml:space="preserve">Figura I.5. </w:t>
      </w:r>
      <w:r w:rsidRPr="00E612B3">
        <w:rPr>
          <w:rFonts w:ascii="Arial" w:hAnsi="Arial" w:cs="Arial"/>
          <w:sz w:val="22"/>
          <w:szCs w:val="22"/>
        </w:rPr>
        <w:fldChar w:fldCharType="begin"/>
      </w:r>
      <w:r w:rsidRPr="00E612B3">
        <w:rPr>
          <w:rFonts w:ascii="Arial" w:hAnsi="Arial" w:cs="Arial"/>
          <w:sz w:val="22"/>
          <w:szCs w:val="22"/>
        </w:rPr>
        <w:instrText xml:space="preserve"> SEQ Figura_I.5. \* ARABIC </w:instrText>
      </w:r>
      <w:r w:rsidRPr="00E612B3">
        <w:rPr>
          <w:rFonts w:ascii="Arial" w:hAnsi="Arial" w:cs="Arial"/>
          <w:sz w:val="22"/>
          <w:szCs w:val="22"/>
        </w:rPr>
        <w:fldChar w:fldCharType="separate"/>
      </w:r>
      <w:r w:rsidR="00BB181C">
        <w:rPr>
          <w:rFonts w:ascii="Arial" w:hAnsi="Arial" w:cs="Arial"/>
          <w:noProof/>
          <w:sz w:val="22"/>
          <w:szCs w:val="22"/>
        </w:rPr>
        <w:t>9</w:t>
      </w:r>
      <w:r w:rsidRPr="00E612B3">
        <w:rPr>
          <w:rFonts w:ascii="Arial" w:hAnsi="Arial" w:cs="Arial"/>
          <w:sz w:val="22"/>
          <w:szCs w:val="22"/>
        </w:rPr>
        <w:fldChar w:fldCharType="end"/>
      </w:r>
      <w:r w:rsidRPr="00E612B3">
        <w:rPr>
          <w:rFonts w:ascii="Arial" w:hAnsi="Arial" w:cs="Arial"/>
          <w:sz w:val="22"/>
          <w:szCs w:val="22"/>
        </w:rPr>
        <w:t xml:space="preserve"> </w:t>
      </w:r>
      <w:r w:rsidR="004E14B7" w:rsidRPr="00E612B3">
        <w:rPr>
          <w:rFonts w:ascii="Arial" w:hAnsi="Arial" w:cs="Arial"/>
          <w:i w:val="0"/>
          <w:iCs w:val="0"/>
          <w:color w:val="1F497D"/>
          <w:sz w:val="22"/>
          <w:szCs w:val="22"/>
        </w:rPr>
        <w:t xml:space="preserve">- </w:t>
      </w:r>
      <w:r w:rsidR="004E14B7" w:rsidRPr="00E612B3">
        <w:rPr>
          <w:rFonts w:ascii="Arial" w:hAnsi="Arial" w:cs="Arial"/>
          <w:i w:val="0"/>
          <w:color w:val="1F497D"/>
          <w:sz w:val="22"/>
          <w:szCs w:val="22"/>
        </w:rPr>
        <w:t>Rețea de transpo</w:t>
      </w:r>
      <w:r>
        <w:rPr>
          <w:rFonts w:ascii="Arial" w:hAnsi="Arial" w:cs="Arial"/>
          <w:i w:val="0"/>
          <w:color w:val="1F497D"/>
          <w:sz w:val="22"/>
          <w:szCs w:val="22"/>
        </w:rPr>
        <w:t>rt public propusă – detaliu oraş</w:t>
      </w:r>
      <w:bookmarkEnd w:id="416"/>
    </w:p>
    <w:p w14:paraId="3F8A6F3C" w14:textId="77777777" w:rsidR="004E14B7" w:rsidRPr="004E14B7" w:rsidRDefault="004E14B7" w:rsidP="004E14B7">
      <w:pPr>
        <w:widowControl w:val="0"/>
        <w:numPr>
          <w:ilvl w:val="0"/>
          <w:numId w:val="86"/>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X.2 = </w:t>
      </w:r>
      <w:r w:rsidRPr="004E14B7">
        <w:rPr>
          <w:rFonts w:ascii="Arial" w:hAnsi="Arial" w:cs="Arial"/>
          <w:color w:val="000000"/>
          <w:shd w:val="clear" w:color="auto" w:fill="FFFFFF"/>
        </w:rPr>
        <w:t>amenajarea și dotarea corespunzătoare a noilor stații pentru îmbarcarea-debarcarea călătorilor (și uniformizarea-personalizarea acestor puncte de contact între operator și public), inclusiv cu sisteme de informare a călătorilor în timp real</w:t>
      </w:r>
      <w:r w:rsidRPr="004E14B7">
        <w:rPr>
          <w:rFonts w:ascii="Arial" w:eastAsia="Calibri" w:hAnsi="Arial" w:cs="Arial"/>
          <w:color w:val="000000"/>
          <w:lang w:val="es-ES" w:eastAsia="zh-CN"/>
        </w:rPr>
        <w:t xml:space="preserve">; </w:t>
      </w:r>
    </w:p>
    <w:p w14:paraId="3CDA20F8" w14:textId="77777777" w:rsidR="004E14B7" w:rsidRPr="004E14B7" w:rsidRDefault="00E612B3" w:rsidP="004E14B7">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Pr>
          <w:rFonts w:ascii="Arial" w:eastAsia="Calibri" w:hAnsi="Arial" w:cs="Arial"/>
          <w:color w:val="000000"/>
          <w:lang w:val="es-ES" w:eastAsia="zh-CN"/>
        </w:rPr>
        <w:t>X.3 = achiziţ</w:t>
      </w:r>
      <w:r w:rsidR="004E14B7" w:rsidRPr="004E14B7">
        <w:rPr>
          <w:rFonts w:ascii="Arial" w:eastAsia="Calibri" w:hAnsi="Arial" w:cs="Arial"/>
          <w:color w:val="000000"/>
          <w:lang w:val="es-ES" w:eastAsia="zh-CN"/>
        </w:rPr>
        <w:t>ia unui parc de mijloace de transport în comun cu combustibili alternativi sau electrice pentru serviciul de transport public.</w:t>
      </w:r>
    </w:p>
    <w:p w14:paraId="172FB193" w14:textId="77777777" w:rsidR="004E14B7" w:rsidRPr="004E14B7" w:rsidRDefault="004E14B7" w:rsidP="004E14B7">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4E14B7">
        <w:rPr>
          <w:rFonts w:ascii="Arial" w:eastAsia="Calibri" w:hAnsi="Arial" w:cs="Arial"/>
          <w:color w:val="000000"/>
          <w:lang w:val="es-ES" w:eastAsia="zh-CN"/>
        </w:rPr>
        <w:lastRenderedPageBreak/>
        <w:t>X.4 = construirea unei autobaze, inclusiv dotarea cu stație de alimentare cu combustibili alternativi sau stație de încărcare cu energie electrică.</w:t>
      </w:r>
    </w:p>
    <w:p w14:paraId="1BBC01F6" w14:textId="77777777" w:rsidR="004E14B7" w:rsidRPr="004E14B7" w:rsidRDefault="004E14B7" w:rsidP="004E14B7">
      <w:pPr>
        <w:widowControl w:val="0"/>
        <w:numPr>
          <w:ilvl w:val="0"/>
          <w:numId w:val="86"/>
        </w:numPr>
        <w:suppressAutoHyphens/>
        <w:autoSpaceDE w:val="0"/>
        <w:spacing w:after="0" w:line="276" w:lineRule="auto"/>
        <w:jc w:val="both"/>
        <w:rPr>
          <w:rFonts w:ascii="Arial" w:eastAsia="Calibri" w:hAnsi="Arial" w:cs="Arial"/>
          <w:color w:val="000000"/>
          <w:lang w:val="es-ES" w:eastAsia="zh-CN"/>
        </w:rPr>
      </w:pPr>
      <w:r w:rsidRPr="004E14B7">
        <w:rPr>
          <w:rFonts w:ascii="Arial" w:eastAsia="Calibri" w:hAnsi="Arial" w:cs="Arial"/>
          <w:color w:val="000000"/>
          <w:lang w:val="es-ES" w:eastAsia="zh-CN"/>
        </w:rPr>
        <w:t xml:space="preserve">X.5 = </w:t>
      </w:r>
      <w:r w:rsidRPr="004E14B7">
        <w:rPr>
          <w:rFonts w:ascii="Arial" w:eastAsia="Calibri" w:hAnsi="Arial" w:cs="Arial"/>
          <w:color w:val="000000"/>
          <w:lang w:eastAsia="zh-CN"/>
        </w:rPr>
        <w:t>elaborarea unui studiu de oportunitate pentru stabilirea  modului de organizare a serviciului de transport public local, determinarea pe baze matematice a viitoarelor t</w:t>
      </w:r>
      <w:r w:rsidR="00C958AD">
        <w:rPr>
          <w:rFonts w:ascii="Arial" w:eastAsia="Calibri" w:hAnsi="Arial" w:cs="Arial"/>
          <w:color w:val="000000"/>
          <w:lang w:eastAsia="zh-CN"/>
        </w:rPr>
        <w:t>rasee, a programelor de circulaţie, amplasarea staţ</w:t>
      </w:r>
      <w:r w:rsidRPr="004E14B7">
        <w:rPr>
          <w:rFonts w:ascii="Arial" w:eastAsia="Calibri" w:hAnsi="Arial" w:cs="Arial"/>
          <w:color w:val="000000"/>
          <w:lang w:eastAsia="zh-CN"/>
        </w:rPr>
        <w:t>iilor etc.</w:t>
      </w:r>
      <w:r w:rsidRPr="004E14B7">
        <w:rPr>
          <w:rFonts w:ascii="Arial" w:eastAsia="Calibri" w:hAnsi="Arial" w:cs="Arial"/>
          <w:color w:val="000000"/>
          <w:lang w:val="es-ES" w:eastAsia="zh-CN"/>
        </w:rPr>
        <w:t>;</w:t>
      </w:r>
    </w:p>
    <w:p w14:paraId="16A3FEA1" w14:textId="77777777" w:rsidR="004E14B7" w:rsidRPr="004E14B7" w:rsidRDefault="004E14B7" w:rsidP="00C958AD">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4E14B7">
        <w:rPr>
          <w:rFonts w:ascii="Arial" w:eastAsia="Calibri" w:hAnsi="Arial" w:cs="Arial"/>
          <w:color w:val="000000"/>
          <w:lang w:val="es-ES" w:eastAsia="zh-CN"/>
        </w:rPr>
        <w:t xml:space="preserve">X.6 = </w:t>
      </w:r>
      <w:r w:rsidR="00C958AD" w:rsidRPr="00C958AD">
        <w:rPr>
          <w:rFonts w:ascii="Arial" w:eastAsia="Calibri" w:hAnsi="Arial" w:cs="Arial"/>
          <w:color w:val="000000"/>
          <w:lang w:val="es-ES" w:eastAsia="zh-CN"/>
        </w:rPr>
        <w:t>realizarea unui website al operatorului de transport public local și unei aplicații pentru planificarea călătoriei cu transportul public = Sistemele de planificare a călătoriilor sau informațiile de călătorie multimodale pot încorpora o serie de informații, de la descrieri simple ale opțiunilor de călătorie disponibile prin diferite moduri, eventual legate de hărți care indică rutele și orare, până la sisteme interactive de baze de date care permit utilizatorilor să caute informații specifice</w:t>
      </w:r>
      <w:r w:rsidRPr="004E14B7">
        <w:rPr>
          <w:rFonts w:ascii="Arial" w:eastAsia="Calibri" w:hAnsi="Arial" w:cs="Arial"/>
          <w:color w:val="000000"/>
          <w:lang w:eastAsia="zh-CN"/>
        </w:rPr>
        <w:t>;</w:t>
      </w:r>
    </w:p>
    <w:p w14:paraId="2C6C2C2C" w14:textId="77777777" w:rsidR="004E14B7" w:rsidRPr="004E14B7" w:rsidRDefault="00C958AD" w:rsidP="004E14B7">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Pr>
          <w:rFonts w:ascii="Arial" w:eastAsia="Calibri" w:hAnsi="Arial" w:cs="Arial"/>
          <w:color w:val="000000"/>
          <w:lang w:eastAsia="zh-CN"/>
        </w:rPr>
        <w:t>X.7 = infiinţ</w:t>
      </w:r>
      <w:r w:rsidR="004E14B7" w:rsidRPr="004E14B7">
        <w:rPr>
          <w:rFonts w:ascii="Arial" w:eastAsia="Calibri" w:hAnsi="Arial" w:cs="Arial"/>
          <w:color w:val="000000"/>
          <w:lang w:eastAsia="zh-CN"/>
        </w:rPr>
        <w:t>area unui trase</w:t>
      </w:r>
      <w:r>
        <w:rPr>
          <w:rFonts w:ascii="Arial" w:eastAsia="Calibri" w:hAnsi="Arial" w:cs="Arial"/>
          <w:color w:val="000000"/>
          <w:lang w:eastAsia="zh-CN"/>
        </w:rPr>
        <w:t>u turistic Horezu – Statiunea Vâ</w:t>
      </w:r>
      <w:r w:rsidR="004E14B7" w:rsidRPr="004E14B7">
        <w:rPr>
          <w:rFonts w:ascii="Arial" w:eastAsia="Calibri" w:hAnsi="Arial" w:cs="Arial"/>
          <w:color w:val="000000"/>
          <w:lang w:eastAsia="zh-CN"/>
        </w:rPr>
        <w:t>rful lui Roman.</w:t>
      </w:r>
    </w:p>
    <w:p w14:paraId="4CE76AFA" w14:textId="77777777" w:rsidR="004E14B7" w:rsidRPr="004E14B7" w:rsidRDefault="004E14B7" w:rsidP="004E14B7">
      <w:pPr>
        <w:widowControl w:val="0"/>
        <w:suppressAutoHyphens/>
        <w:autoSpaceDE w:val="0"/>
        <w:spacing w:after="0" w:line="276" w:lineRule="auto"/>
        <w:jc w:val="both"/>
        <w:rPr>
          <w:rFonts w:ascii="Arial" w:eastAsia="Calibri" w:hAnsi="Arial" w:cs="Arial"/>
          <w:color w:val="000000"/>
          <w:lang w:eastAsia="zh-CN"/>
        </w:rPr>
      </w:pPr>
    </w:p>
    <w:p w14:paraId="64FFCE3D" w14:textId="77777777" w:rsidR="004E14B7" w:rsidRPr="004E14B7" w:rsidRDefault="004E14B7" w:rsidP="004E14B7">
      <w:pPr>
        <w:widowControl w:val="0"/>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noProof/>
          <w:color w:val="000000"/>
        </w:rPr>
        <w:drawing>
          <wp:inline distT="0" distB="0" distL="0" distR="0" wp14:anchorId="049B3E82" wp14:editId="52B9BC32">
            <wp:extent cx="5733415" cy="3250898"/>
            <wp:effectExtent l="0" t="0" r="635" b="6985"/>
            <wp:docPr id="95" name="Picture 95" descr="E:\Horezu\Materiale lucru\Traseu turi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Horezu\Materiale lucru\Traseu turistic.jp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33415" cy="3250898"/>
                    </a:xfrm>
                    <a:prstGeom prst="rect">
                      <a:avLst/>
                    </a:prstGeom>
                    <a:noFill/>
                    <a:ln>
                      <a:noFill/>
                    </a:ln>
                  </pic:spPr>
                </pic:pic>
              </a:graphicData>
            </a:graphic>
          </wp:inline>
        </w:drawing>
      </w:r>
    </w:p>
    <w:p w14:paraId="4497D6B2" w14:textId="77777777" w:rsidR="004E14B7" w:rsidRPr="004E14B7" w:rsidRDefault="004E14B7" w:rsidP="004E14B7">
      <w:pPr>
        <w:suppressAutoHyphens/>
        <w:autoSpaceDE w:val="0"/>
        <w:spacing w:after="0" w:line="360" w:lineRule="auto"/>
        <w:rPr>
          <w:rFonts w:ascii="Arial" w:eastAsia="Calibri" w:hAnsi="Arial" w:cs="Arial"/>
          <w:color w:val="000000"/>
          <w:sz w:val="20"/>
          <w:szCs w:val="20"/>
          <w:lang w:eastAsia="zh-CN"/>
        </w:rPr>
      </w:pPr>
      <w:r w:rsidRPr="004E14B7">
        <w:rPr>
          <w:rFonts w:ascii="Arial" w:eastAsia="Calibri" w:hAnsi="Arial" w:cs="Arial"/>
          <w:color w:val="000000"/>
          <w:sz w:val="20"/>
          <w:szCs w:val="20"/>
          <w:lang w:eastAsia="zh-CN"/>
        </w:rPr>
        <w:t>Sursa: Elaborator INCERTRANS SA</w:t>
      </w:r>
    </w:p>
    <w:p w14:paraId="10145105" w14:textId="527475F9" w:rsidR="004E14B7" w:rsidRPr="00C958AD" w:rsidRDefault="00C958AD" w:rsidP="00C958AD">
      <w:pPr>
        <w:pStyle w:val="Legend"/>
        <w:jc w:val="center"/>
        <w:rPr>
          <w:rFonts w:ascii="Arial" w:eastAsia="Calibri" w:hAnsi="Arial" w:cs="Arial"/>
          <w:i w:val="0"/>
          <w:color w:val="000000"/>
          <w:sz w:val="22"/>
          <w:szCs w:val="22"/>
          <w:lang w:eastAsia="zh-CN"/>
        </w:rPr>
      </w:pPr>
      <w:bookmarkStart w:id="417" w:name="_Toc142039137"/>
      <w:r w:rsidRPr="00C958AD">
        <w:rPr>
          <w:rFonts w:ascii="Arial" w:hAnsi="Arial" w:cs="Arial"/>
          <w:sz w:val="22"/>
          <w:szCs w:val="22"/>
        </w:rPr>
        <w:t xml:space="preserve">Figura I.5. </w:t>
      </w:r>
      <w:r w:rsidRPr="00C958AD">
        <w:rPr>
          <w:rFonts w:ascii="Arial" w:hAnsi="Arial" w:cs="Arial"/>
          <w:sz w:val="22"/>
          <w:szCs w:val="22"/>
        </w:rPr>
        <w:fldChar w:fldCharType="begin"/>
      </w:r>
      <w:r w:rsidRPr="00C958AD">
        <w:rPr>
          <w:rFonts w:ascii="Arial" w:hAnsi="Arial" w:cs="Arial"/>
          <w:sz w:val="22"/>
          <w:szCs w:val="22"/>
        </w:rPr>
        <w:instrText xml:space="preserve"> SEQ Figura_I.5. \* ARABIC </w:instrText>
      </w:r>
      <w:r w:rsidRPr="00C958AD">
        <w:rPr>
          <w:rFonts w:ascii="Arial" w:hAnsi="Arial" w:cs="Arial"/>
          <w:sz w:val="22"/>
          <w:szCs w:val="22"/>
        </w:rPr>
        <w:fldChar w:fldCharType="separate"/>
      </w:r>
      <w:r w:rsidR="00BB181C">
        <w:rPr>
          <w:rFonts w:ascii="Arial" w:hAnsi="Arial" w:cs="Arial"/>
          <w:noProof/>
          <w:sz w:val="22"/>
          <w:szCs w:val="22"/>
        </w:rPr>
        <w:t>10</w:t>
      </w:r>
      <w:r w:rsidRPr="00C958AD">
        <w:rPr>
          <w:rFonts w:ascii="Arial" w:hAnsi="Arial" w:cs="Arial"/>
          <w:sz w:val="22"/>
          <w:szCs w:val="22"/>
        </w:rPr>
        <w:fldChar w:fldCharType="end"/>
      </w:r>
      <w:r w:rsidRPr="00C958AD">
        <w:rPr>
          <w:rFonts w:ascii="Arial" w:hAnsi="Arial" w:cs="Arial"/>
          <w:sz w:val="22"/>
          <w:szCs w:val="22"/>
        </w:rPr>
        <w:t xml:space="preserve"> </w:t>
      </w:r>
      <w:r w:rsidR="004E14B7" w:rsidRPr="00C958AD">
        <w:rPr>
          <w:rFonts w:ascii="Arial" w:hAnsi="Arial" w:cs="Arial"/>
          <w:i w:val="0"/>
          <w:iCs w:val="0"/>
          <w:color w:val="1F497D"/>
          <w:sz w:val="22"/>
          <w:szCs w:val="22"/>
        </w:rPr>
        <w:t xml:space="preserve">– </w:t>
      </w:r>
      <w:r w:rsidR="004E14B7" w:rsidRPr="00C958AD">
        <w:rPr>
          <w:rFonts w:ascii="Arial" w:hAnsi="Arial" w:cs="Arial"/>
          <w:i w:val="0"/>
          <w:color w:val="1F497D"/>
          <w:sz w:val="22"/>
          <w:szCs w:val="22"/>
        </w:rPr>
        <w:t>Traseu turistic propus</w:t>
      </w:r>
      <w:bookmarkEnd w:id="417"/>
    </w:p>
    <w:p w14:paraId="7674E4EF" w14:textId="77777777" w:rsidR="004E14B7" w:rsidRPr="004E14B7" w:rsidRDefault="004E14B7" w:rsidP="004E14B7">
      <w:pPr>
        <w:suppressAutoHyphens/>
        <w:autoSpaceDE w:val="0"/>
        <w:spacing w:after="0" w:line="360" w:lineRule="auto"/>
        <w:jc w:val="both"/>
        <w:rPr>
          <w:rFonts w:ascii="Arial" w:eastAsia="Calibri" w:hAnsi="Arial" w:cs="Arial"/>
          <w:b/>
          <w:strike/>
          <w:color w:val="000000"/>
          <w:sz w:val="24"/>
          <w:szCs w:val="24"/>
          <w:lang w:val="es-ES" w:eastAsia="zh-CN"/>
        </w:rPr>
      </w:pPr>
    </w:p>
    <w:p w14:paraId="7D7FA6E5" w14:textId="77777777" w:rsidR="004E14B7" w:rsidRPr="004E14B7" w:rsidRDefault="004E14B7" w:rsidP="004E14B7">
      <w:pPr>
        <w:widowControl w:val="0"/>
        <w:suppressAutoHyphens/>
        <w:autoSpaceDE w:val="0"/>
        <w:autoSpaceDN w:val="0"/>
        <w:adjustRightInd w:val="0"/>
        <w:spacing w:after="0" w:line="276" w:lineRule="auto"/>
        <w:ind w:left="360"/>
        <w:rPr>
          <w:rFonts w:ascii="Arial" w:hAnsi="Arial" w:cs="Arial"/>
          <w:b/>
          <w:kern w:val="1"/>
          <w:lang w:val="ro-RO" w:eastAsia="hi-IN" w:bidi="hi-IN"/>
        </w:rPr>
      </w:pPr>
      <w:r w:rsidRPr="004E14B7">
        <w:rPr>
          <w:rFonts w:ascii="Arial" w:eastAsia="Calibri" w:hAnsi="Arial" w:cs="Arial"/>
          <w:b/>
          <w:color w:val="000000"/>
          <w:kern w:val="1"/>
          <w:sz w:val="24"/>
          <w:szCs w:val="24"/>
          <w:lang w:val="ro-RO" w:eastAsia="hi-IN" w:bidi="hi-IN"/>
        </w:rPr>
        <w:t xml:space="preserve">XI. </w:t>
      </w:r>
      <w:r w:rsidRPr="004E14B7">
        <w:rPr>
          <w:rFonts w:ascii="Arial" w:eastAsia="Calibri" w:hAnsi="Arial" w:cs="Arial"/>
          <w:b/>
          <w:color w:val="000000"/>
          <w:kern w:val="1"/>
          <w:lang w:val="ro-RO" w:eastAsia="hi-IN" w:bidi="hi-IN"/>
        </w:rPr>
        <w:t>Logistica urbană</w:t>
      </w:r>
    </w:p>
    <w:p w14:paraId="2532ABFC" w14:textId="77777777" w:rsidR="004E14B7" w:rsidRPr="004E14B7" w:rsidRDefault="004E14B7" w:rsidP="004E14B7">
      <w:pPr>
        <w:widowControl w:val="0"/>
        <w:numPr>
          <w:ilvl w:val="0"/>
          <w:numId w:val="87"/>
        </w:numPr>
        <w:suppressAutoHyphens/>
        <w:autoSpaceDE w:val="0"/>
        <w:spacing w:after="0" w:line="276" w:lineRule="auto"/>
        <w:jc w:val="both"/>
        <w:rPr>
          <w:rFonts w:ascii="Arial" w:eastAsia="Arial" w:hAnsi="Arial" w:cs="Arial"/>
          <w:color w:val="000000"/>
          <w:lang w:val="es-ES" w:eastAsia="zh-CN"/>
        </w:rPr>
      </w:pPr>
      <w:r w:rsidRPr="004E14B7">
        <w:rPr>
          <w:rFonts w:ascii="Arial" w:eastAsia="Arial" w:hAnsi="Arial" w:cs="Arial"/>
          <w:color w:val="000000"/>
          <w:lang w:val="es-ES" w:eastAsia="zh-CN"/>
        </w:rPr>
        <w:t>XI.1 = traficul – rutier – de marfă în interiorul oraşului trebuie să fie limitat spaţial şi temporal;</w:t>
      </w:r>
    </w:p>
    <w:p w14:paraId="23FCA1B7" w14:textId="77777777" w:rsidR="004E14B7" w:rsidRPr="004E14B7" w:rsidRDefault="004E14B7" w:rsidP="000C6CB8">
      <w:pPr>
        <w:widowControl w:val="0"/>
        <w:numPr>
          <w:ilvl w:val="0"/>
          <w:numId w:val="120"/>
        </w:numPr>
        <w:suppressAutoHyphens/>
        <w:autoSpaceDE w:val="0"/>
        <w:autoSpaceDN w:val="0"/>
        <w:adjustRightInd w:val="0"/>
        <w:spacing w:after="0" w:line="276" w:lineRule="auto"/>
        <w:jc w:val="both"/>
        <w:rPr>
          <w:rFonts w:ascii="Arial" w:eastAsia="Times New Roman" w:hAnsi="Arial" w:cs="Arial"/>
          <w:color w:val="000000"/>
          <w:lang w:val="ro-RO" w:eastAsia="ro-RO"/>
        </w:rPr>
      </w:pPr>
      <w:r w:rsidRPr="004E14B7">
        <w:rPr>
          <w:rFonts w:ascii="Arial" w:eastAsia="Arial" w:hAnsi="Arial" w:cs="Arial"/>
          <w:lang w:val="es-ES" w:eastAsia="ro-RO"/>
        </w:rPr>
        <w:t>X</w:t>
      </w:r>
      <w:r w:rsidRPr="004E14B7">
        <w:rPr>
          <w:rFonts w:ascii="Arial" w:eastAsia="Times New Roman" w:hAnsi="Arial" w:cs="Arial"/>
          <w:lang w:val="es-ES" w:eastAsia="ro-RO"/>
        </w:rPr>
        <w:t>I.2 = constitu</w:t>
      </w:r>
      <w:r w:rsidR="00C958AD">
        <w:rPr>
          <w:rFonts w:ascii="Arial" w:eastAsia="Times New Roman" w:hAnsi="Arial" w:cs="Arial"/>
          <w:lang w:val="es-ES" w:eastAsia="ro-RO"/>
        </w:rPr>
        <w:t>irea unui consiliu de consultanţă ş</w:t>
      </w:r>
      <w:r w:rsidRPr="004E14B7">
        <w:rPr>
          <w:rFonts w:ascii="Arial" w:eastAsia="Times New Roman" w:hAnsi="Arial" w:cs="Arial"/>
          <w:lang w:val="es-ES" w:eastAsia="ro-RO"/>
        </w:rPr>
        <w:t>i a unui forum pen</w:t>
      </w:r>
      <w:r w:rsidR="00C958AD">
        <w:rPr>
          <w:rFonts w:ascii="Arial" w:eastAsia="Times New Roman" w:hAnsi="Arial" w:cs="Arial"/>
          <w:lang w:val="es-ES" w:eastAsia="ro-RO"/>
        </w:rPr>
        <w:t>tru transportul de marfă</w:t>
      </w:r>
      <w:r w:rsidRPr="004E14B7">
        <w:rPr>
          <w:rFonts w:ascii="Arial" w:eastAsia="Times New Roman" w:hAnsi="Arial" w:cs="Arial"/>
          <w:lang w:val="es-ES" w:eastAsia="ro-RO"/>
        </w:rPr>
        <w:t xml:space="preserve"> = </w:t>
      </w:r>
      <w:r w:rsidRPr="004E14B7">
        <w:rPr>
          <w:rFonts w:ascii="Arial" w:eastAsia="Times New Roman" w:hAnsi="Arial" w:cs="Arial"/>
          <w:color w:val="000000"/>
          <w:lang w:val="ro-RO" w:eastAsia="ro-RO"/>
        </w:rPr>
        <w:t xml:space="preserve">înființarea unor comisii, consilii și forumuri care să ofere o oportunitate părților interesate de a întâmpina și discuta provocările și oportunitățile sistemului de transport de marfă este cea mai directă modalitate de implicare a tuturor actorilor. Aceste forumuri pot fi constituite sub forma unor comisii consultative tehnice care reunesc personal din sectorul public din diferite organisme și agenții administrative, cu scopul de a cerceta probleme, de a realiza studii de context și analize pentru a coordona acțiunile și deciziile pentru o politică de transport de marfă urbană, solidă și eficientă. O astfel de decizie poate fi </w:t>
      </w:r>
      <w:r w:rsidRPr="004E14B7">
        <w:rPr>
          <w:rFonts w:ascii="Arial" w:hAnsi="Arial" w:cs="Arial"/>
        </w:rPr>
        <w:t xml:space="preserve">eşalonarea pe zile şi zone a activităţii de </w:t>
      </w:r>
      <w:r w:rsidRPr="004E14B7">
        <w:rPr>
          <w:rFonts w:ascii="Arial" w:hAnsi="Arial" w:cs="Arial"/>
        </w:rPr>
        <w:lastRenderedPageBreak/>
        <w:t>aprovizion</w:t>
      </w:r>
      <w:r w:rsidR="00C958AD">
        <w:rPr>
          <w:rFonts w:ascii="Arial" w:hAnsi="Arial" w:cs="Arial"/>
        </w:rPr>
        <w:t>are cu bunuri pe teritoriul oraş</w:t>
      </w:r>
      <w:r w:rsidRPr="004E14B7">
        <w:rPr>
          <w:rFonts w:ascii="Arial" w:hAnsi="Arial" w:cs="Arial"/>
        </w:rPr>
        <w:t>ului.</w:t>
      </w:r>
    </w:p>
    <w:p w14:paraId="2DD4A1AE" w14:textId="77777777" w:rsidR="004E14B7" w:rsidRPr="004E14B7" w:rsidRDefault="004E14B7" w:rsidP="004E14B7">
      <w:pPr>
        <w:suppressAutoHyphens/>
        <w:autoSpaceDE w:val="0"/>
        <w:spacing w:after="0" w:line="240" w:lineRule="auto"/>
        <w:rPr>
          <w:rFonts w:ascii="EUAlbertina" w:eastAsia="Calibri" w:hAnsi="EUAlbertina" w:cs="EUAlbertina"/>
          <w:color w:val="000000"/>
          <w:sz w:val="24"/>
          <w:szCs w:val="24"/>
          <w:lang w:val="ro-RO" w:eastAsia="ro-RO"/>
        </w:rPr>
      </w:pPr>
    </w:p>
    <w:p w14:paraId="514B4C87" w14:textId="77777777" w:rsidR="004E14B7" w:rsidRPr="004E14B7" w:rsidRDefault="004E14B7" w:rsidP="004E14B7">
      <w:pPr>
        <w:suppressAutoHyphens/>
        <w:autoSpaceDE w:val="0"/>
        <w:spacing w:after="0" w:line="276" w:lineRule="auto"/>
        <w:jc w:val="both"/>
        <w:rPr>
          <w:rFonts w:ascii="Arial" w:eastAsia="Calibri" w:hAnsi="Arial" w:cs="Arial"/>
          <w:b/>
          <w:color w:val="000000"/>
          <w:lang w:val="es-ES" w:eastAsia="zh-CN"/>
        </w:rPr>
      </w:pPr>
      <w:r w:rsidRPr="004E14B7">
        <w:rPr>
          <w:rFonts w:ascii="Arial" w:eastAsia="Calibri" w:hAnsi="Arial" w:cs="Arial"/>
          <w:b/>
          <w:color w:val="000000"/>
          <w:lang w:val="es-ES" w:eastAsia="zh-CN"/>
        </w:rPr>
        <w:t xml:space="preserve">XII. Asigurarea condiţiilor pentru o intermodalitate superioară a serviciilor de transport prin care se efectuează prestaţia pe teritoriul oraşului (respectiv interoperaţionalitatea cu transportul judeţean si cel feroviar) </w:t>
      </w:r>
    </w:p>
    <w:p w14:paraId="50C3B959" w14:textId="77777777" w:rsidR="004E14B7" w:rsidRPr="004E14B7" w:rsidRDefault="004E14B7" w:rsidP="004E14B7">
      <w:pPr>
        <w:widowControl w:val="0"/>
        <w:numPr>
          <w:ilvl w:val="0"/>
          <w:numId w:val="88"/>
        </w:numPr>
        <w:suppressAutoHyphens/>
        <w:autoSpaceDE w:val="0"/>
        <w:autoSpaceDN w:val="0"/>
        <w:adjustRightInd w:val="0"/>
        <w:spacing w:after="0" w:line="276" w:lineRule="auto"/>
        <w:contextualSpacing/>
        <w:jc w:val="both"/>
        <w:rPr>
          <w:rFonts w:ascii="Arial" w:eastAsia="Times New Roman" w:hAnsi="Arial" w:cs="Arial"/>
          <w:lang w:val="x-none" w:eastAsia="zh-CN"/>
        </w:rPr>
      </w:pPr>
      <w:r w:rsidRPr="004E14B7">
        <w:rPr>
          <w:rFonts w:ascii="Arial" w:eastAsia="Times New Roman" w:hAnsi="Arial" w:cs="Arial"/>
          <w:lang w:val="x-none" w:eastAsia="zh-CN"/>
        </w:rPr>
        <w:t xml:space="preserve">XII.1 = </w:t>
      </w:r>
      <w:r w:rsidRPr="004E14B7">
        <w:rPr>
          <w:rFonts w:ascii="Arial" w:eastAsia="Times New Roman" w:hAnsi="Arial" w:cs="Arial"/>
          <w:lang w:eastAsia="zh-CN"/>
        </w:rPr>
        <w:t>Construirea unui c</w:t>
      </w:r>
      <w:r w:rsidRPr="004E14B7">
        <w:rPr>
          <w:rFonts w:ascii="Arial" w:eastAsia="Times New Roman" w:hAnsi="Arial" w:cs="Arial"/>
          <w:lang w:val="x-none" w:eastAsia="zh-CN"/>
        </w:rPr>
        <w:t xml:space="preserve">entru intermodal de transport destinat interconectării transportului </w:t>
      </w:r>
      <w:r w:rsidR="00C958AD">
        <w:rPr>
          <w:rFonts w:ascii="Arial" w:eastAsia="Times New Roman" w:hAnsi="Arial" w:cs="Arial"/>
          <w:lang w:eastAsia="zh-CN"/>
        </w:rPr>
        <w:t>public local cu cel judeţ</w:t>
      </w:r>
      <w:r w:rsidRPr="004E14B7">
        <w:rPr>
          <w:rFonts w:ascii="Arial" w:eastAsia="Times New Roman" w:hAnsi="Arial" w:cs="Arial"/>
          <w:lang w:eastAsia="zh-CN"/>
        </w:rPr>
        <w:t xml:space="preserve">ean </w:t>
      </w:r>
      <w:r w:rsidRPr="004E14B7">
        <w:rPr>
          <w:rFonts w:ascii="Arial" w:eastAsia="Times New Roman" w:hAnsi="Arial" w:cs="Arial"/>
          <w:lang w:val="x-none" w:eastAsia="zh-CN"/>
        </w:rPr>
        <w:t xml:space="preserve">şi interurban = construirea unui terminal intermodal în zona </w:t>
      </w:r>
      <w:r w:rsidR="00C958AD">
        <w:rPr>
          <w:rFonts w:ascii="Arial" w:eastAsia="Times New Roman" w:hAnsi="Arial" w:cs="Arial"/>
          <w:lang w:eastAsia="zh-CN"/>
        </w:rPr>
        <w:t>unei autogă</w:t>
      </w:r>
      <w:r w:rsidRPr="004E14B7">
        <w:rPr>
          <w:rFonts w:ascii="Arial" w:eastAsia="Times New Roman" w:hAnsi="Arial" w:cs="Arial"/>
          <w:lang w:eastAsia="zh-CN"/>
        </w:rPr>
        <w:t xml:space="preserve">ri </w:t>
      </w:r>
      <w:r w:rsidRPr="004E14B7">
        <w:rPr>
          <w:rFonts w:ascii="Arial" w:eastAsia="Times New Roman" w:hAnsi="Arial" w:cs="Arial"/>
          <w:lang w:val="x-none" w:eastAsia="zh-CN"/>
        </w:rPr>
        <w:t xml:space="preserve">astfel încât trecerea de la sistemul </w:t>
      </w:r>
      <w:r w:rsidR="00C958AD">
        <w:rPr>
          <w:rFonts w:ascii="Arial" w:eastAsia="Times New Roman" w:hAnsi="Arial" w:cs="Arial"/>
          <w:lang w:eastAsia="zh-CN"/>
        </w:rPr>
        <w:t>de transport judeţ</w:t>
      </w:r>
      <w:r w:rsidRPr="004E14B7">
        <w:rPr>
          <w:rFonts w:ascii="Arial" w:eastAsia="Times New Roman" w:hAnsi="Arial" w:cs="Arial"/>
          <w:lang w:eastAsia="zh-CN"/>
        </w:rPr>
        <w:t>ean</w:t>
      </w:r>
      <w:r w:rsidRPr="004E14B7">
        <w:rPr>
          <w:rFonts w:ascii="Arial" w:eastAsia="Times New Roman" w:hAnsi="Arial" w:cs="Arial"/>
          <w:lang w:val="x-none" w:eastAsia="zh-CN"/>
        </w:rPr>
        <w:t xml:space="preserve"> la cel </w:t>
      </w:r>
      <w:r w:rsidRPr="004E14B7">
        <w:rPr>
          <w:rFonts w:ascii="Arial" w:eastAsia="Times New Roman" w:hAnsi="Arial" w:cs="Arial"/>
          <w:lang w:eastAsia="zh-CN"/>
        </w:rPr>
        <w:t>local</w:t>
      </w:r>
      <w:r w:rsidRPr="004E14B7">
        <w:rPr>
          <w:rFonts w:ascii="Arial" w:eastAsia="Times New Roman" w:hAnsi="Arial" w:cs="Arial"/>
          <w:lang w:val="x-none" w:eastAsia="zh-CN"/>
        </w:rPr>
        <w:t xml:space="preserve"> sǎ constituie o acțiune de formare a unui nod intermodal de maximǎ importanțǎ. </w:t>
      </w:r>
    </w:p>
    <w:p w14:paraId="7FAA7128" w14:textId="77777777" w:rsidR="004E14B7" w:rsidRPr="004E14B7" w:rsidRDefault="004E14B7" w:rsidP="004E14B7">
      <w:pPr>
        <w:widowControl w:val="0"/>
        <w:numPr>
          <w:ilvl w:val="0"/>
          <w:numId w:val="88"/>
        </w:numPr>
        <w:suppressAutoHyphens/>
        <w:spacing w:after="0" w:line="276" w:lineRule="auto"/>
        <w:contextualSpacing/>
        <w:jc w:val="both"/>
        <w:rPr>
          <w:rFonts w:ascii="Arial" w:eastAsia="Times New Roman" w:hAnsi="Arial" w:cs="Arial"/>
          <w:lang w:val="x-none" w:eastAsia="zh-CN"/>
        </w:rPr>
      </w:pPr>
      <w:r w:rsidRPr="004E14B7">
        <w:rPr>
          <w:rFonts w:ascii="Arial" w:eastAsia="Times New Roman" w:hAnsi="Arial" w:cs="Arial"/>
          <w:lang w:val="x-none" w:eastAsia="zh-CN"/>
        </w:rPr>
        <w:t xml:space="preserve">XII.2 = organizarea programului de circulație susținut de operatorul de transport urban în concordanțǎ cu programul transportului </w:t>
      </w:r>
      <w:r w:rsidR="00C958AD">
        <w:rPr>
          <w:rFonts w:ascii="Arial" w:eastAsia="Times New Roman" w:hAnsi="Arial" w:cs="Arial"/>
          <w:lang w:eastAsia="zh-CN"/>
        </w:rPr>
        <w:t>judeţean ş</w:t>
      </w:r>
      <w:r w:rsidRPr="004E14B7">
        <w:rPr>
          <w:rFonts w:ascii="Arial" w:eastAsia="Times New Roman" w:hAnsi="Arial" w:cs="Arial"/>
          <w:lang w:eastAsia="zh-CN"/>
        </w:rPr>
        <w:t>i interurban.</w:t>
      </w:r>
    </w:p>
    <w:p w14:paraId="48C405F7" w14:textId="77777777" w:rsidR="004E14B7" w:rsidRPr="004E14B7" w:rsidRDefault="004E14B7" w:rsidP="004E14B7">
      <w:pPr>
        <w:suppressAutoHyphens/>
        <w:autoSpaceDE w:val="0"/>
        <w:spacing w:after="0" w:line="360" w:lineRule="auto"/>
        <w:jc w:val="both"/>
        <w:rPr>
          <w:rFonts w:ascii="Arial" w:eastAsia="Calibri" w:hAnsi="Arial" w:cs="Arial"/>
          <w:color w:val="000000"/>
          <w:sz w:val="24"/>
          <w:szCs w:val="24"/>
          <w:lang w:val="es-ES" w:eastAsia="zh-CN"/>
        </w:rPr>
      </w:pPr>
    </w:p>
    <w:p w14:paraId="2325A714" w14:textId="77777777" w:rsidR="004E14B7" w:rsidRPr="004E14B7" w:rsidRDefault="004E14B7" w:rsidP="004E14B7">
      <w:pPr>
        <w:widowControl w:val="0"/>
        <w:suppressAutoHyphens/>
        <w:spacing w:after="0" w:line="276" w:lineRule="auto"/>
        <w:rPr>
          <w:rFonts w:ascii="Arial" w:eastAsia="Times New Roman" w:hAnsi="Arial" w:cs="Arial"/>
          <w:b/>
          <w:kern w:val="1"/>
          <w:lang w:val="es-ES" w:eastAsia="hi-IN" w:bidi="hi-IN"/>
        </w:rPr>
      </w:pPr>
      <w:r w:rsidRPr="004E14B7">
        <w:rPr>
          <w:rFonts w:ascii="Arial" w:eastAsia="Times New Roman" w:hAnsi="Arial" w:cs="Arial"/>
          <w:b/>
          <w:kern w:val="1"/>
          <w:lang w:val="es-ES" w:eastAsia="hi-IN" w:bidi="hi-IN"/>
        </w:rPr>
        <w:t>Identificarea posibilelor riscuri</w:t>
      </w:r>
    </w:p>
    <w:p w14:paraId="768775A4" w14:textId="77777777" w:rsidR="004E14B7" w:rsidRPr="004E14B7" w:rsidRDefault="004E14B7" w:rsidP="004E14B7">
      <w:pPr>
        <w:widowControl w:val="0"/>
        <w:suppressAutoHyphens/>
        <w:spacing w:after="0" w:line="276" w:lineRule="auto"/>
        <w:jc w:val="both"/>
        <w:rPr>
          <w:rFonts w:ascii="Arial" w:hAnsi="Arial" w:cs="Arial"/>
          <w:kern w:val="1"/>
          <w:lang w:val="ro-RO" w:eastAsia="hi-IN" w:bidi="hi-IN"/>
        </w:rPr>
      </w:pPr>
      <w:r w:rsidRPr="004E14B7">
        <w:rPr>
          <w:rFonts w:ascii="Arial" w:hAnsi="Arial" w:cs="Arial"/>
          <w:kern w:val="1"/>
          <w:lang w:val="es-ES" w:eastAsia="hi-IN" w:bidi="hi-IN"/>
        </w:rPr>
        <w:t xml:space="preserve">Acest proces presupune identificarea acelor riscuri care, prin apariţia lor pot influenţa într-o măsură mai mică sau mai mare, atingerea obiectivelor proiectului. </w:t>
      </w:r>
      <w:r w:rsidRPr="004E14B7">
        <w:rPr>
          <w:rFonts w:ascii="Arial" w:hAnsi="Arial" w:cs="Arial"/>
          <w:kern w:val="1"/>
          <w:lang w:val="ro-RO" w:eastAsia="hi-IN" w:bidi="hi-IN"/>
        </w:rPr>
        <w:t>Pentru PMUD Horezu riscurile au fost identificate în urma culegerii de informaţii prin tehnicile:</w:t>
      </w:r>
    </w:p>
    <w:p w14:paraId="45B90A71" w14:textId="77777777" w:rsidR="004E14B7" w:rsidRPr="004E14B7" w:rsidRDefault="004E14B7" w:rsidP="004E14B7">
      <w:pPr>
        <w:widowControl w:val="0"/>
        <w:numPr>
          <w:ilvl w:val="0"/>
          <w:numId w:val="89"/>
        </w:numPr>
        <w:suppressAutoHyphens/>
        <w:spacing w:after="0" w:line="276" w:lineRule="auto"/>
        <w:contextualSpacing/>
        <w:jc w:val="both"/>
        <w:rPr>
          <w:rFonts w:ascii="Arial" w:hAnsi="Arial" w:cs="Arial"/>
          <w:kern w:val="1"/>
          <w:lang w:val="ro-RO" w:eastAsia="hi-IN" w:bidi="hi-IN"/>
        </w:rPr>
      </w:pPr>
      <w:r w:rsidRPr="004E14B7">
        <w:rPr>
          <w:rFonts w:ascii="Arial" w:hAnsi="Arial" w:cs="Arial"/>
          <w:kern w:val="1"/>
          <w:lang w:val="ro-RO" w:eastAsia="hi-IN" w:bidi="hi-IN"/>
        </w:rPr>
        <w:t>interviu cu manageri de proiect şi cu specialişti în diverse domenii</w:t>
      </w:r>
    </w:p>
    <w:p w14:paraId="66D2603F" w14:textId="77777777" w:rsidR="004E14B7" w:rsidRPr="004E14B7" w:rsidRDefault="004E14B7" w:rsidP="004E14B7">
      <w:pPr>
        <w:widowControl w:val="0"/>
        <w:numPr>
          <w:ilvl w:val="0"/>
          <w:numId w:val="89"/>
        </w:numPr>
        <w:suppressAutoHyphens/>
        <w:spacing w:after="0" w:line="276" w:lineRule="auto"/>
        <w:contextualSpacing/>
        <w:jc w:val="both"/>
        <w:rPr>
          <w:rFonts w:ascii="Arial" w:hAnsi="Arial" w:cs="Arial"/>
          <w:kern w:val="1"/>
          <w:lang w:val="ro-RO" w:eastAsia="hi-IN" w:bidi="hi-IN"/>
        </w:rPr>
      </w:pPr>
      <w:r w:rsidRPr="004E14B7">
        <w:rPr>
          <w:rFonts w:ascii="Arial" w:hAnsi="Arial" w:cs="Arial"/>
          <w:kern w:val="1"/>
          <w:lang w:val="ro-RO" w:eastAsia="hi-IN" w:bidi="hi-IN"/>
        </w:rPr>
        <w:t>listă de verificare pe baza informaţiilor istorice şi cunoştinţelor acumulate din proiecte similare anterioare.</w:t>
      </w:r>
    </w:p>
    <w:p w14:paraId="2FC350DE" w14:textId="77777777" w:rsidR="004E14B7" w:rsidRPr="004E14B7" w:rsidRDefault="004E14B7" w:rsidP="004E14B7">
      <w:pPr>
        <w:widowControl w:val="0"/>
        <w:suppressAutoHyphens/>
        <w:spacing w:after="0" w:line="276" w:lineRule="auto"/>
        <w:rPr>
          <w:rFonts w:ascii="Arial" w:hAnsi="Arial" w:cs="Mangal"/>
          <w:kern w:val="1"/>
          <w:lang w:val="ro-RO" w:eastAsia="hi-IN" w:bidi="hi-IN"/>
        </w:rPr>
      </w:pPr>
    </w:p>
    <w:p w14:paraId="7302116A" w14:textId="77777777" w:rsidR="004E14B7" w:rsidRPr="004E14B7" w:rsidRDefault="004E14B7" w:rsidP="004E14B7">
      <w:pPr>
        <w:widowControl w:val="0"/>
        <w:suppressAutoHyphens/>
        <w:spacing w:after="0" w:line="276" w:lineRule="auto"/>
        <w:jc w:val="both"/>
        <w:rPr>
          <w:rFonts w:ascii="Arial" w:hAnsi="Arial" w:cs="Arial"/>
          <w:kern w:val="1"/>
          <w:lang w:val="ro-RO" w:eastAsia="hi-IN" w:bidi="hi-IN"/>
        </w:rPr>
      </w:pPr>
      <w:r w:rsidRPr="004E14B7">
        <w:rPr>
          <w:rFonts w:ascii="Arial" w:hAnsi="Arial" w:cs="Arial"/>
          <w:kern w:val="1"/>
          <w:lang w:val="ro-RO" w:eastAsia="hi-IN" w:bidi="hi-IN"/>
        </w:rPr>
        <w:t>Au fost identificate următoarele riscuri care pot interveni în cadrul procesului de implementare a proiectelor/măsurilor propuse de PMUD:</w:t>
      </w:r>
    </w:p>
    <w:p w14:paraId="3162F543" w14:textId="77777777" w:rsidR="004E14B7" w:rsidRPr="004E14B7" w:rsidRDefault="004E14B7" w:rsidP="004E14B7">
      <w:pPr>
        <w:widowControl w:val="0"/>
        <w:suppressAutoHyphens/>
        <w:spacing w:after="0" w:line="360" w:lineRule="auto"/>
        <w:jc w:val="both"/>
        <w:rPr>
          <w:rFonts w:ascii="Arial" w:hAnsi="Arial" w:cs="Arial"/>
          <w:b/>
          <w:kern w:val="1"/>
          <w:sz w:val="24"/>
          <w:szCs w:val="24"/>
          <w:lang w:val="ro-RO" w:eastAsia="hi-IN" w:bidi="hi-IN"/>
        </w:rPr>
      </w:pPr>
    </w:p>
    <w:p w14:paraId="3C67D897" w14:textId="77777777" w:rsidR="004E14B7" w:rsidRPr="004E14B7" w:rsidRDefault="004E14B7" w:rsidP="004E14B7">
      <w:pPr>
        <w:widowControl w:val="0"/>
        <w:suppressAutoHyphens/>
        <w:spacing w:after="0" w:line="276" w:lineRule="auto"/>
        <w:jc w:val="both"/>
        <w:rPr>
          <w:rFonts w:ascii="Arial" w:hAnsi="Arial" w:cs="Arial"/>
          <w:b/>
          <w:kern w:val="1"/>
          <w:lang w:val="ro-RO" w:eastAsia="hi-IN" w:bidi="hi-IN"/>
        </w:rPr>
      </w:pPr>
      <w:r w:rsidRPr="004E14B7">
        <w:rPr>
          <w:rFonts w:ascii="Arial" w:hAnsi="Arial" w:cs="Arial"/>
          <w:b/>
          <w:kern w:val="1"/>
          <w:lang w:val="ro-RO" w:eastAsia="hi-IN" w:bidi="hi-IN"/>
        </w:rPr>
        <w:t>Riscuri financiare</w:t>
      </w:r>
    </w:p>
    <w:p w14:paraId="76ECFD1B" w14:textId="77777777" w:rsidR="004E14B7" w:rsidRPr="004E14B7" w:rsidRDefault="004E14B7" w:rsidP="004E14B7">
      <w:pPr>
        <w:widowControl w:val="0"/>
        <w:suppressAutoHyphens/>
        <w:spacing w:after="0" w:line="276" w:lineRule="auto"/>
        <w:jc w:val="both"/>
        <w:rPr>
          <w:rFonts w:ascii="Arial" w:hAnsi="Arial" w:cs="Arial"/>
          <w:kern w:val="1"/>
          <w:lang w:val="es-ES" w:eastAsia="hi-IN" w:bidi="hi-IN"/>
        </w:rPr>
      </w:pPr>
      <w:r w:rsidRPr="004E14B7">
        <w:rPr>
          <w:rFonts w:ascii="Arial" w:hAnsi="Arial" w:cs="Arial"/>
          <w:kern w:val="1"/>
          <w:lang w:val="es-ES" w:eastAsia="hi-IN" w:bidi="hi-IN"/>
        </w:rPr>
        <w:t xml:space="preserve">- </w:t>
      </w:r>
      <w:r w:rsidRPr="004E14B7">
        <w:rPr>
          <w:rFonts w:ascii="Arial" w:hAnsi="Arial" w:cs="Arial"/>
          <w:i/>
          <w:kern w:val="1"/>
          <w:lang w:val="es-ES" w:eastAsia="hi-IN" w:bidi="hi-IN"/>
        </w:rPr>
        <w:t>riscul de preţ</w:t>
      </w:r>
      <w:r w:rsidRPr="004E14B7">
        <w:rPr>
          <w:rFonts w:ascii="Arial" w:hAnsi="Arial" w:cs="Arial"/>
          <w:kern w:val="1"/>
          <w:lang w:val="es-ES" w:eastAsia="hi-IN" w:bidi="hi-IN"/>
        </w:rPr>
        <w:t xml:space="preserve"> – preţurile luate în calcul la estimarea valorii investiţiei şi a lucrărilor de întreţinere pot avea variaţii care să ducă la o diferenţă a costurilor reale mai mare faţă de cele luate in calcul;</w:t>
      </w:r>
    </w:p>
    <w:p w14:paraId="7CB6F65B" w14:textId="77777777" w:rsidR="004E14B7" w:rsidRPr="004E14B7" w:rsidRDefault="004E14B7" w:rsidP="004E14B7">
      <w:pPr>
        <w:widowControl w:val="0"/>
        <w:suppressAutoHyphens/>
        <w:spacing w:after="0" w:line="276" w:lineRule="auto"/>
        <w:jc w:val="both"/>
        <w:rPr>
          <w:rFonts w:ascii="Arial" w:hAnsi="Arial" w:cs="Arial"/>
          <w:kern w:val="1"/>
          <w:lang w:val="es-ES" w:eastAsia="hi-IN" w:bidi="hi-IN"/>
        </w:rPr>
      </w:pPr>
      <w:r w:rsidRPr="004E14B7">
        <w:rPr>
          <w:rFonts w:ascii="Arial" w:hAnsi="Arial" w:cs="Arial"/>
          <w:kern w:val="1"/>
          <w:lang w:val="es-ES" w:eastAsia="hi-IN" w:bidi="hi-IN"/>
        </w:rPr>
        <w:t xml:space="preserve">- </w:t>
      </w:r>
      <w:r w:rsidRPr="004E14B7">
        <w:rPr>
          <w:rFonts w:ascii="Arial" w:hAnsi="Arial" w:cs="Arial"/>
          <w:i/>
          <w:kern w:val="1"/>
          <w:lang w:val="es-ES" w:eastAsia="hi-IN" w:bidi="hi-IN"/>
        </w:rPr>
        <w:t>riscul privind obţinerea finanţării</w:t>
      </w:r>
      <w:r w:rsidRPr="004E14B7">
        <w:rPr>
          <w:rFonts w:ascii="Arial" w:hAnsi="Arial" w:cs="Arial"/>
          <w:kern w:val="1"/>
          <w:lang w:val="es-ES" w:eastAsia="hi-IN" w:bidi="hi-IN"/>
        </w:rPr>
        <w:t xml:space="preserve"> – suma necesară realizării investiţiei provine în proporţie de maxim 85% din fondurile nerambursabile din partea Uniunii Europene.</w:t>
      </w:r>
    </w:p>
    <w:p w14:paraId="12160383" w14:textId="77777777" w:rsidR="004E14B7" w:rsidRPr="004E14B7" w:rsidRDefault="004E14B7" w:rsidP="004E14B7">
      <w:pPr>
        <w:widowControl w:val="0"/>
        <w:suppressAutoHyphens/>
        <w:spacing w:after="0" w:line="276" w:lineRule="auto"/>
        <w:jc w:val="both"/>
        <w:rPr>
          <w:rFonts w:ascii="Arial" w:hAnsi="Arial" w:cs="Arial"/>
          <w:kern w:val="1"/>
          <w:lang w:val="es-ES" w:eastAsia="hi-IN" w:bidi="hi-IN"/>
        </w:rPr>
      </w:pPr>
      <w:r w:rsidRPr="004E14B7">
        <w:rPr>
          <w:rFonts w:ascii="Arial" w:hAnsi="Arial" w:cs="Arial"/>
          <w:kern w:val="1"/>
          <w:lang w:val="es-ES" w:eastAsia="hi-IN" w:bidi="hi-IN"/>
        </w:rPr>
        <w:t xml:space="preserve">- </w:t>
      </w:r>
      <w:r w:rsidRPr="004E14B7">
        <w:rPr>
          <w:rFonts w:ascii="Arial" w:hAnsi="Arial" w:cs="Arial"/>
          <w:i/>
          <w:kern w:val="1"/>
          <w:lang w:val="es-ES" w:eastAsia="hi-IN" w:bidi="hi-IN"/>
        </w:rPr>
        <w:t>riscul privind asigurarea cofinanţării de la bugetul local (încadrarea în anvelopa bugetară)</w:t>
      </w:r>
      <w:r w:rsidRPr="004E14B7">
        <w:rPr>
          <w:rFonts w:ascii="Arial" w:hAnsi="Arial" w:cs="Arial"/>
          <w:kern w:val="1"/>
          <w:lang w:val="es-ES" w:eastAsia="hi-IN" w:bidi="hi-IN"/>
        </w:rPr>
        <w:t xml:space="preserve"> – procentul de minim 2% din valoarea invesţiei care trebuie asigurat de autoritatea locală.</w:t>
      </w:r>
    </w:p>
    <w:p w14:paraId="71917534" w14:textId="77777777" w:rsidR="004E14B7" w:rsidRPr="004E14B7" w:rsidRDefault="004E14B7" w:rsidP="004E14B7">
      <w:pPr>
        <w:widowControl w:val="0"/>
        <w:suppressAutoHyphens/>
        <w:spacing w:after="0" w:line="360" w:lineRule="auto"/>
        <w:jc w:val="both"/>
        <w:rPr>
          <w:rFonts w:ascii="Arial" w:hAnsi="Arial" w:cs="Arial"/>
          <w:b/>
          <w:kern w:val="1"/>
          <w:sz w:val="24"/>
          <w:szCs w:val="24"/>
          <w:lang w:val="es-ES" w:eastAsia="hi-IN" w:bidi="hi-IN"/>
        </w:rPr>
      </w:pPr>
    </w:p>
    <w:p w14:paraId="744A4A11" w14:textId="77777777" w:rsidR="004E14B7" w:rsidRPr="004E14B7" w:rsidRDefault="004E14B7" w:rsidP="004E14B7">
      <w:pPr>
        <w:widowControl w:val="0"/>
        <w:suppressAutoHyphens/>
        <w:spacing w:after="0" w:line="276" w:lineRule="auto"/>
        <w:jc w:val="both"/>
        <w:rPr>
          <w:rFonts w:ascii="Arial" w:hAnsi="Arial" w:cs="Arial"/>
          <w:b/>
          <w:kern w:val="1"/>
          <w:lang w:val="es-ES" w:eastAsia="hi-IN" w:bidi="hi-IN"/>
        </w:rPr>
      </w:pPr>
      <w:r w:rsidRPr="004E14B7">
        <w:rPr>
          <w:rFonts w:ascii="Arial" w:hAnsi="Arial" w:cs="Arial"/>
          <w:b/>
          <w:kern w:val="1"/>
          <w:lang w:val="es-ES" w:eastAsia="hi-IN" w:bidi="hi-IN"/>
        </w:rPr>
        <w:t>Riscuri tehnice</w:t>
      </w:r>
    </w:p>
    <w:p w14:paraId="610869E1" w14:textId="77777777" w:rsidR="004E14B7" w:rsidRPr="004E14B7" w:rsidRDefault="004E14B7" w:rsidP="004E14B7">
      <w:pPr>
        <w:widowControl w:val="0"/>
        <w:suppressAutoHyphens/>
        <w:spacing w:after="0" w:line="276" w:lineRule="auto"/>
        <w:jc w:val="both"/>
        <w:rPr>
          <w:rFonts w:ascii="Arial" w:hAnsi="Arial" w:cs="Arial"/>
          <w:kern w:val="1"/>
          <w:lang w:val="es-ES" w:eastAsia="hi-IN" w:bidi="hi-IN"/>
        </w:rPr>
      </w:pPr>
      <w:r w:rsidRPr="004E14B7">
        <w:rPr>
          <w:rFonts w:ascii="Arial" w:hAnsi="Arial" w:cs="Arial"/>
          <w:kern w:val="1"/>
          <w:lang w:val="es-ES" w:eastAsia="hi-IN" w:bidi="hi-IN"/>
        </w:rPr>
        <w:t xml:space="preserve">- </w:t>
      </w:r>
      <w:r w:rsidRPr="004E14B7">
        <w:rPr>
          <w:rFonts w:ascii="Arial" w:hAnsi="Arial" w:cs="Arial"/>
          <w:i/>
          <w:kern w:val="1"/>
          <w:lang w:val="es-ES" w:eastAsia="hi-IN" w:bidi="hi-IN"/>
        </w:rPr>
        <w:t>riscul privind graficul de timp</w:t>
      </w:r>
      <w:r w:rsidRPr="004E14B7">
        <w:rPr>
          <w:rFonts w:ascii="Arial" w:hAnsi="Arial" w:cs="Arial"/>
          <w:kern w:val="1"/>
          <w:lang w:val="es-ES" w:eastAsia="hi-IN" w:bidi="hi-IN"/>
        </w:rPr>
        <w:t xml:space="preserve"> – nerespectarea graficului de execuţie a lucrărilor poate conduce la depăşirea termenelor contractuale.</w:t>
      </w:r>
    </w:p>
    <w:p w14:paraId="1AD2D8BF" w14:textId="77777777" w:rsidR="004E14B7" w:rsidRPr="004E14B7" w:rsidRDefault="004E14B7" w:rsidP="004E14B7">
      <w:pPr>
        <w:widowControl w:val="0"/>
        <w:suppressAutoHyphens/>
        <w:spacing w:after="0" w:line="276" w:lineRule="auto"/>
        <w:jc w:val="both"/>
        <w:rPr>
          <w:rFonts w:ascii="Arial" w:hAnsi="Arial" w:cs="Arial"/>
          <w:kern w:val="1"/>
          <w:lang w:val="es-ES" w:eastAsia="hi-IN" w:bidi="hi-IN"/>
        </w:rPr>
      </w:pPr>
      <w:r w:rsidRPr="004E14B7">
        <w:rPr>
          <w:rFonts w:ascii="Arial" w:hAnsi="Arial" w:cs="Arial"/>
          <w:kern w:val="1"/>
          <w:lang w:val="es-ES" w:eastAsia="hi-IN" w:bidi="hi-IN"/>
        </w:rPr>
        <w:t xml:space="preserve">- </w:t>
      </w:r>
      <w:r w:rsidRPr="004E14B7">
        <w:rPr>
          <w:rFonts w:ascii="Arial" w:hAnsi="Arial" w:cs="Arial"/>
          <w:i/>
          <w:kern w:val="1"/>
          <w:lang w:val="es-ES" w:eastAsia="hi-IN" w:bidi="hi-IN"/>
        </w:rPr>
        <w:t>riscul neîndeplinirii indicatorilor stabiliți pentru un anumit termen</w:t>
      </w:r>
      <w:r w:rsidRPr="004E14B7">
        <w:rPr>
          <w:rFonts w:ascii="Arial" w:hAnsi="Arial" w:cs="Arial"/>
          <w:kern w:val="1"/>
          <w:lang w:val="es-ES" w:eastAsia="hi-IN" w:bidi="hi-IN"/>
        </w:rPr>
        <w:t xml:space="preserve"> – în situația în care nu se îndeplinesc indicatorii stabiliți, contravaloarea lucrărilor aferentă acestor indicatori va deveni neeligibilă și va fi suportată de la bugetul local.</w:t>
      </w:r>
    </w:p>
    <w:p w14:paraId="25D1E277" w14:textId="77777777" w:rsidR="004E14B7" w:rsidRPr="004E14B7" w:rsidRDefault="004E14B7" w:rsidP="004E14B7">
      <w:pPr>
        <w:widowControl w:val="0"/>
        <w:suppressAutoHyphens/>
        <w:spacing w:after="0" w:line="360" w:lineRule="auto"/>
        <w:jc w:val="both"/>
        <w:rPr>
          <w:rFonts w:ascii="Arial" w:hAnsi="Arial" w:cs="Arial"/>
          <w:b/>
          <w:kern w:val="1"/>
          <w:sz w:val="24"/>
          <w:szCs w:val="24"/>
          <w:lang w:val="es-ES" w:eastAsia="hi-IN" w:bidi="hi-IN"/>
        </w:rPr>
      </w:pPr>
    </w:p>
    <w:p w14:paraId="7FE9C937" w14:textId="77777777" w:rsidR="004E14B7" w:rsidRPr="004E14B7" w:rsidRDefault="004E14B7" w:rsidP="004E14B7">
      <w:pPr>
        <w:widowControl w:val="0"/>
        <w:suppressAutoHyphens/>
        <w:spacing w:after="0" w:line="276" w:lineRule="auto"/>
        <w:jc w:val="both"/>
        <w:rPr>
          <w:rFonts w:ascii="Arial" w:hAnsi="Arial" w:cs="Arial"/>
          <w:b/>
          <w:kern w:val="1"/>
          <w:lang w:val="es-ES" w:eastAsia="hi-IN" w:bidi="hi-IN"/>
        </w:rPr>
      </w:pPr>
      <w:r w:rsidRPr="004E14B7">
        <w:rPr>
          <w:rFonts w:ascii="Arial" w:hAnsi="Arial" w:cs="Arial"/>
          <w:b/>
          <w:kern w:val="1"/>
          <w:lang w:val="es-ES" w:eastAsia="hi-IN" w:bidi="hi-IN"/>
        </w:rPr>
        <w:t>Riscuri instituţionale şi legale</w:t>
      </w:r>
    </w:p>
    <w:p w14:paraId="46D948F4" w14:textId="77777777" w:rsidR="004E14B7" w:rsidRDefault="004E14B7" w:rsidP="004E14B7">
      <w:pPr>
        <w:widowControl w:val="0"/>
        <w:suppressAutoHyphens/>
        <w:spacing w:after="0" w:line="276" w:lineRule="auto"/>
        <w:jc w:val="both"/>
        <w:rPr>
          <w:rFonts w:ascii="Arial" w:hAnsi="Arial" w:cs="Arial"/>
          <w:kern w:val="1"/>
          <w:lang w:val="es-ES" w:eastAsia="hi-IN" w:bidi="hi-IN"/>
        </w:rPr>
      </w:pPr>
      <w:r w:rsidRPr="004E14B7">
        <w:rPr>
          <w:rFonts w:ascii="Arial" w:hAnsi="Arial" w:cs="Arial"/>
          <w:kern w:val="1"/>
          <w:lang w:val="es-ES" w:eastAsia="hi-IN" w:bidi="hi-IN"/>
        </w:rPr>
        <w:t xml:space="preserve">- </w:t>
      </w:r>
      <w:r w:rsidRPr="004E14B7">
        <w:rPr>
          <w:rFonts w:ascii="Arial" w:hAnsi="Arial" w:cs="Arial"/>
          <w:i/>
          <w:kern w:val="1"/>
          <w:lang w:val="es-ES" w:eastAsia="hi-IN" w:bidi="hi-IN"/>
        </w:rPr>
        <w:t>riscul de modificare a legislaţiei aplicabile proiectului</w:t>
      </w:r>
      <w:r w:rsidRPr="004E14B7">
        <w:rPr>
          <w:rFonts w:ascii="Arial" w:hAnsi="Arial" w:cs="Arial"/>
          <w:kern w:val="1"/>
          <w:lang w:val="es-ES" w:eastAsia="hi-IN" w:bidi="hi-IN"/>
        </w:rPr>
        <w:t xml:space="preserve"> – în perioada de timp de la data elaborării proiectului până la data implementării acestuia pot apărea modificări legislative.</w:t>
      </w:r>
    </w:p>
    <w:p w14:paraId="18D089CA" w14:textId="77777777" w:rsidR="00C958AD" w:rsidRPr="004E14B7" w:rsidRDefault="00C958AD" w:rsidP="004E14B7">
      <w:pPr>
        <w:widowControl w:val="0"/>
        <w:suppressAutoHyphens/>
        <w:spacing w:after="0" w:line="276" w:lineRule="auto"/>
        <w:jc w:val="both"/>
        <w:rPr>
          <w:rFonts w:ascii="Arial" w:hAnsi="Arial" w:cs="Arial"/>
          <w:kern w:val="1"/>
          <w:lang w:val="es-ES" w:eastAsia="hi-IN" w:bidi="hi-IN"/>
        </w:rPr>
      </w:pPr>
    </w:p>
    <w:p w14:paraId="1342D95C" w14:textId="77777777" w:rsidR="004E14B7" w:rsidRPr="004E14B7" w:rsidRDefault="004E14B7" w:rsidP="004E14B7">
      <w:pPr>
        <w:widowControl w:val="0"/>
        <w:suppressAutoHyphens/>
        <w:spacing w:after="0" w:line="276" w:lineRule="auto"/>
        <w:jc w:val="both"/>
        <w:rPr>
          <w:rFonts w:ascii="Arial" w:hAnsi="Arial" w:cs="Arial"/>
          <w:kern w:val="1"/>
          <w:lang w:val="es-ES" w:eastAsia="hi-IN" w:bidi="hi-IN"/>
        </w:rPr>
      </w:pPr>
    </w:p>
    <w:p w14:paraId="06996323" w14:textId="77777777" w:rsidR="004E14B7" w:rsidRPr="004E14B7" w:rsidRDefault="004E14B7" w:rsidP="004E14B7">
      <w:pPr>
        <w:widowControl w:val="0"/>
        <w:shd w:val="clear" w:color="auto" w:fill="FDB29D"/>
        <w:suppressAutoHyphens/>
        <w:spacing w:after="0" w:line="360" w:lineRule="auto"/>
        <w:jc w:val="both"/>
        <w:rPr>
          <w:rFonts w:ascii="Arial" w:hAnsi="Arial" w:cs="Arial"/>
          <w:b/>
          <w:kern w:val="1"/>
          <w:lang w:val="es-ES" w:eastAsia="hi-IN" w:bidi="hi-IN"/>
        </w:rPr>
      </w:pPr>
      <w:r w:rsidRPr="004E14B7">
        <w:rPr>
          <w:rFonts w:ascii="Arial" w:hAnsi="Arial" w:cs="Arial"/>
          <w:b/>
          <w:kern w:val="1"/>
          <w:lang w:val="es-ES" w:eastAsia="hi-IN" w:bidi="hi-IN"/>
        </w:rPr>
        <w:lastRenderedPageBreak/>
        <w:t>Evaluarea riscurilor identificate şi posibile măsuri de atenuare</w:t>
      </w:r>
    </w:p>
    <w:tbl>
      <w:tblPr>
        <w:tblW w:w="971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070"/>
        <w:gridCol w:w="990"/>
        <w:gridCol w:w="990"/>
        <w:gridCol w:w="1350"/>
        <w:gridCol w:w="1114"/>
        <w:gridCol w:w="1784"/>
      </w:tblGrid>
      <w:tr w:rsidR="004E14B7" w:rsidRPr="004E14B7" w14:paraId="2B4A1BC7" w14:textId="77777777" w:rsidTr="00770D30">
        <w:trPr>
          <w:tblHeader/>
        </w:trPr>
        <w:tc>
          <w:tcPr>
            <w:tcW w:w="1417" w:type="dxa"/>
            <w:shd w:val="clear" w:color="auto" w:fill="D9D9D9"/>
          </w:tcPr>
          <w:p w14:paraId="457CD87B" w14:textId="77777777" w:rsidR="004E14B7" w:rsidRPr="004E14B7" w:rsidRDefault="004E14B7" w:rsidP="004E14B7">
            <w:pPr>
              <w:widowControl w:val="0"/>
              <w:suppressAutoHyphens/>
              <w:spacing w:after="0" w:line="240" w:lineRule="auto"/>
              <w:jc w:val="center"/>
              <w:rPr>
                <w:rFonts w:ascii="Arial" w:hAnsi="Arial" w:cs="Arial"/>
                <w:b/>
                <w:kern w:val="1"/>
                <w:sz w:val="16"/>
                <w:szCs w:val="16"/>
                <w:lang w:val="ro-RO" w:eastAsia="hi-IN" w:bidi="hi-IN"/>
              </w:rPr>
            </w:pPr>
            <w:r w:rsidRPr="004E14B7">
              <w:rPr>
                <w:rFonts w:ascii="Arial" w:hAnsi="Arial" w:cs="Arial"/>
                <w:b/>
                <w:kern w:val="1"/>
                <w:sz w:val="16"/>
                <w:szCs w:val="16"/>
                <w:lang w:val="ro-RO" w:eastAsia="hi-IN" w:bidi="hi-IN"/>
              </w:rPr>
              <w:t>Risc identificat</w:t>
            </w:r>
          </w:p>
        </w:tc>
        <w:tc>
          <w:tcPr>
            <w:tcW w:w="2070" w:type="dxa"/>
            <w:shd w:val="clear" w:color="auto" w:fill="D9D9D9"/>
          </w:tcPr>
          <w:p w14:paraId="6189CB50" w14:textId="77777777" w:rsidR="004E14B7" w:rsidRPr="004E14B7" w:rsidRDefault="004E14B7" w:rsidP="004E14B7">
            <w:pPr>
              <w:widowControl w:val="0"/>
              <w:suppressAutoHyphens/>
              <w:spacing w:after="0" w:line="240" w:lineRule="auto"/>
              <w:jc w:val="center"/>
              <w:rPr>
                <w:rFonts w:ascii="Arial" w:hAnsi="Arial" w:cs="Arial"/>
                <w:b/>
                <w:kern w:val="1"/>
                <w:sz w:val="16"/>
                <w:szCs w:val="16"/>
                <w:lang w:val="ro-RO" w:eastAsia="hi-IN" w:bidi="hi-IN"/>
              </w:rPr>
            </w:pPr>
            <w:r w:rsidRPr="004E14B7">
              <w:rPr>
                <w:rFonts w:ascii="Arial" w:hAnsi="Arial" w:cs="Arial"/>
                <w:b/>
                <w:kern w:val="1"/>
                <w:sz w:val="16"/>
                <w:szCs w:val="16"/>
                <w:lang w:val="ro-RO" w:eastAsia="hi-IN" w:bidi="hi-IN"/>
              </w:rPr>
              <w:t>Descriere</w:t>
            </w:r>
          </w:p>
        </w:tc>
        <w:tc>
          <w:tcPr>
            <w:tcW w:w="990" w:type="dxa"/>
            <w:shd w:val="clear" w:color="auto" w:fill="D9D9D9"/>
          </w:tcPr>
          <w:p w14:paraId="7E4993BA" w14:textId="77777777" w:rsidR="004E14B7" w:rsidRPr="004E14B7" w:rsidRDefault="004E14B7" w:rsidP="004E14B7">
            <w:pPr>
              <w:widowControl w:val="0"/>
              <w:suppressAutoHyphens/>
              <w:spacing w:after="0" w:line="240" w:lineRule="auto"/>
              <w:jc w:val="center"/>
              <w:rPr>
                <w:rFonts w:ascii="Arial" w:hAnsi="Arial" w:cs="Arial"/>
                <w:b/>
                <w:kern w:val="1"/>
                <w:sz w:val="16"/>
                <w:szCs w:val="16"/>
                <w:lang w:val="ro-RO" w:eastAsia="hi-IN" w:bidi="hi-IN"/>
              </w:rPr>
            </w:pPr>
            <w:r w:rsidRPr="004E14B7">
              <w:rPr>
                <w:rFonts w:ascii="Arial" w:hAnsi="Arial" w:cs="Arial"/>
                <w:b/>
                <w:kern w:val="1"/>
                <w:sz w:val="16"/>
                <w:szCs w:val="16"/>
                <w:lang w:val="ro-RO" w:eastAsia="hi-IN" w:bidi="hi-IN"/>
              </w:rPr>
              <w:t>Efecte</w:t>
            </w:r>
          </w:p>
        </w:tc>
        <w:tc>
          <w:tcPr>
            <w:tcW w:w="990" w:type="dxa"/>
            <w:shd w:val="clear" w:color="auto" w:fill="D9D9D9"/>
          </w:tcPr>
          <w:p w14:paraId="67B53457" w14:textId="77777777" w:rsidR="004E14B7" w:rsidRPr="004E14B7" w:rsidRDefault="004E14B7" w:rsidP="004E14B7">
            <w:pPr>
              <w:widowControl w:val="0"/>
              <w:suppressAutoHyphens/>
              <w:spacing w:after="0" w:line="240" w:lineRule="auto"/>
              <w:jc w:val="center"/>
              <w:rPr>
                <w:rFonts w:ascii="Arial" w:hAnsi="Arial" w:cs="Arial"/>
                <w:b/>
                <w:kern w:val="1"/>
                <w:sz w:val="16"/>
                <w:szCs w:val="16"/>
                <w:lang w:val="ro-RO" w:eastAsia="hi-IN" w:bidi="hi-IN"/>
              </w:rPr>
            </w:pPr>
            <w:r w:rsidRPr="004E14B7">
              <w:rPr>
                <w:rFonts w:ascii="Arial" w:hAnsi="Arial" w:cs="Arial"/>
                <w:b/>
                <w:kern w:val="1"/>
                <w:sz w:val="16"/>
                <w:szCs w:val="16"/>
                <w:lang w:val="ro-RO" w:eastAsia="hi-IN" w:bidi="hi-IN"/>
              </w:rPr>
              <w:t>Frecvenţa</w:t>
            </w:r>
          </w:p>
        </w:tc>
        <w:tc>
          <w:tcPr>
            <w:tcW w:w="1350" w:type="dxa"/>
            <w:shd w:val="clear" w:color="auto" w:fill="D9D9D9"/>
          </w:tcPr>
          <w:p w14:paraId="2DA5CB7E" w14:textId="77777777" w:rsidR="004E14B7" w:rsidRPr="004E14B7" w:rsidRDefault="004E14B7" w:rsidP="004E14B7">
            <w:pPr>
              <w:widowControl w:val="0"/>
              <w:suppressAutoHyphens/>
              <w:spacing w:after="0" w:line="240" w:lineRule="auto"/>
              <w:jc w:val="center"/>
              <w:rPr>
                <w:rFonts w:ascii="Arial" w:hAnsi="Arial" w:cs="Arial"/>
                <w:b/>
                <w:kern w:val="1"/>
                <w:sz w:val="16"/>
                <w:szCs w:val="16"/>
                <w:lang w:val="ro-RO" w:eastAsia="hi-IN" w:bidi="hi-IN"/>
              </w:rPr>
            </w:pPr>
            <w:r w:rsidRPr="004E14B7">
              <w:rPr>
                <w:rFonts w:ascii="Arial" w:hAnsi="Arial" w:cs="Arial"/>
                <w:b/>
                <w:kern w:val="1"/>
                <w:sz w:val="16"/>
                <w:szCs w:val="16"/>
                <w:lang w:val="ro-RO" w:eastAsia="hi-IN" w:bidi="hi-IN"/>
              </w:rPr>
              <w:t>Consecinţa</w:t>
            </w:r>
          </w:p>
        </w:tc>
        <w:tc>
          <w:tcPr>
            <w:tcW w:w="1114" w:type="dxa"/>
            <w:shd w:val="clear" w:color="auto" w:fill="D9D9D9"/>
          </w:tcPr>
          <w:p w14:paraId="4C7C6B1A" w14:textId="77777777" w:rsidR="004E14B7" w:rsidRPr="004E14B7" w:rsidRDefault="004E14B7" w:rsidP="004E14B7">
            <w:pPr>
              <w:widowControl w:val="0"/>
              <w:suppressAutoHyphens/>
              <w:spacing w:after="0" w:line="240" w:lineRule="auto"/>
              <w:jc w:val="center"/>
              <w:rPr>
                <w:rFonts w:ascii="Arial" w:hAnsi="Arial" w:cs="Arial"/>
                <w:b/>
                <w:kern w:val="1"/>
                <w:sz w:val="16"/>
                <w:szCs w:val="16"/>
                <w:lang w:val="ro-RO" w:eastAsia="hi-IN" w:bidi="hi-IN"/>
              </w:rPr>
            </w:pPr>
            <w:r w:rsidRPr="004E14B7">
              <w:rPr>
                <w:rFonts w:ascii="Arial" w:hAnsi="Arial" w:cs="Arial"/>
                <w:b/>
                <w:kern w:val="1"/>
                <w:sz w:val="16"/>
                <w:szCs w:val="16"/>
                <w:lang w:val="ro-RO" w:eastAsia="hi-IN" w:bidi="hi-IN"/>
              </w:rPr>
              <w:t>Evaluarea</w:t>
            </w:r>
          </w:p>
        </w:tc>
        <w:tc>
          <w:tcPr>
            <w:tcW w:w="1784" w:type="dxa"/>
            <w:shd w:val="clear" w:color="auto" w:fill="D9D9D9"/>
          </w:tcPr>
          <w:p w14:paraId="5C25A57A" w14:textId="77777777" w:rsidR="004E14B7" w:rsidRPr="004E14B7" w:rsidRDefault="004E14B7" w:rsidP="004E14B7">
            <w:pPr>
              <w:widowControl w:val="0"/>
              <w:suppressAutoHyphens/>
              <w:spacing w:after="0" w:line="240" w:lineRule="auto"/>
              <w:jc w:val="center"/>
              <w:rPr>
                <w:rFonts w:ascii="Arial" w:hAnsi="Arial" w:cs="Arial"/>
                <w:b/>
                <w:kern w:val="1"/>
                <w:sz w:val="16"/>
                <w:szCs w:val="16"/>
                <w:lang w:val="ro-RO" w:eastAsia="hi-IN" w:bidi="hi-IN"/>
              </w:rPr>
            </w:pPr>
            <w:r w:rsidRPr="004E14B7">
              <w:rPr>
                <w:rFonts w:ascii="Arial" w:hAnsi="Arial" w:cs="Arial"/>
                <w:b/>
                <w:kern w:val="1"/>
                <w:sz w:val="16"/>
                <w:szCs w:val="16"/>
                <w:lang w:val="ro-RO" w:eastAsia="hi-IN" w:bidi="hi-IN"/>
              </w:rPr>
              <w:t>Măsuri de atenuare</w:t>
            </w:r>
          </w:p>
        </w:tc>
      </w:tr>
      <w:tr w:rsidR="004E14B7" w:rsidRPr="004E14B7" w14:paraId="39C7A3F6" w14:textId="77777777" w:rsidTr="00770D30">
        <w:tc>
          <w:tcPr>
            <w:tcW w:w="1417" w:type="dxa"/>
          </w:tcPr>
          <w:p w14:paraId="55186EB1"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Riscul de pret</w:t>
            </w:r>
          </w:p>
        </w:tc>
        <w:tc>
          <w:tcPr>
            <w:tcW w:w="2070" w:type="dxa"/>
          </w:tcPr>
          <w:p w14:paraId="255B6E7E"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Din cauza posibilelor variatii ale preturilor in timp costurile de implementare a proiectelor pot fi mai mari decat cele estimate initial</w:t>
            </w:r>
          </w:p>
        </w:tc>
        <w:tc>
          <w:tcPr>
            <w:tcW w:w="990" w:type="dxa"/>
          </w:tcPr>
          <w:p w14:paraId="3FAAAAB8"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Blocarea proiectului</w:t>
            </w:r>
          </w:p>
        </w:tc>
        <w:tc>
          <w:tcPr>
            <w:tcW w:w="990" w:type="dxa"/>
          </w:tcPr>
          <w:p w14:paraId="1164319C"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 xml:space="preserve">Ocazional </w:t>
            </w:r>
          </w:p>
        </w:tc>
        <w:tc>
          <w:tcPr>
            <w:tcW w:w="1350" w:type="dxa"/>
          </w:tcPr>
          <w:p w14:paraId="4BCFDC34"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Dezastruoasă</w:t>
            </w:r>
          </w:p>
        </w:tc>
        <w:tc>
          <w:tcPr>
            <w:tcW w:w="1114" w:type="dxa"/>
          </w:tcPr>
          <w:p w14:paraId="003F8904"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Inacceptabil</w:t>
            </w:r>
          </w:p>
        </w:tc>
        <w:tc>
          <w:tcPr>
            <w:tcW w:w="1784" w:type="dxa"/>
          </w:tcPr>
          <w:p w14:paraId="207814EE"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Estimarea costurilor trebuie facuta in euro, deoarece fluctuatiile acestei monede sunt mai reduse</w:t>
            </w:r>
          </w:p>
        </w:tc>
      </w:tr>
      <w:tr w:rsidR="004E14B7" w:rsidRPr="004E14B7" w14:paraId="70F14649" w14:textId="77777777" w:rsidTr="00770D30">
        <w:tc>
          <w:tcPr>
            <w:tcW w:w="1417" w:type="dxa"/>
          </w:tcPr>
          <w:p w14:paraId="3AE9F0C1"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Aprobarea cererii de finanţare</w:t>
            </w:r>
          </w:p>
        </w:tc>
        <w:tc>
          <w:tcPr>
            <w:tcW w:w="2070" w:type="dxa"/>
          </w:tcPr>
          <w:p w14:paraId="3BC5F487" w14:textId="77777777" w:rsidR="004E14B7" w:rsidRPr="004E14B7" w:rsidRDefault="004E14B7" w:rsidP="004E14B7">
            <w:pPr>
              <w:widowControl w:val="0"/>
              <w:suppressAutoHyphens/>
              <w:spacing w:after="0" w:line="240" w:lineRule="auto"/>
              <w:rPr>
                <w:rFonts w:ascii="Arial" w:hAnsi="Arial" w:cs="Arial"/>
                <w:kern w:val="1"/>
                <w:sz w:val="16"/>
                <w:szCs w:val="16"/>
                <w:lang w:val="es-ES" w:eastAsia="hi-IN" w:bidi="hi-IN"/>
              </w:rPr>
            </w:pPr>
            <w:r w:rsidRPr="004E14B7">
              <w:rPr>
                <w:rFonts w:ascii="Arial" w:hAnsi="Arial" w:cs="Arial"/>
                <w:kern w:val="1"/>
                <w:sz w:val="16"/>
                <w:szCs w:val="16"/>
                <w:lang w:val="es-ES" w:eastAsia="hi-IN" w:bidi="hi-IN"/>
              </w:rPr>
              <w:t>Finanţarea nerambursabilă în cadrul POR 2021-2027 nu va fi obţinută</w:t>
            </w:r>
          </w:p>
        </w:tc>
        <w:tc>
          <w:tcPr>
            <w:tcW w:w="990" w:type="dxa"/>
          </w:tcPr>
          <w:p w14:paraId="3442C5C5"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Blocarea proiectului</w:t>
            </w:r>
          </w:p>
        </w:tc>
        <w:tc>
          <w:tcPr>
            <w:tcW w:w="990" w:type="dxa"/>
          </w:tcPr>
          <w:p w14:paraId="00A9F189"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 xml:space="preserve">Ocazional </w:t>
            </w:r>
          </w:p>
        </w:tc>
        <w:tc>
          <w:tcPr>
            <w:tcW w:w="1350" w:type="dxa"/>
          </w:tcPr>
          <w:p w14:paraId="12A3B584"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Dezastruoasă</w:t>
            </w:r>
          </w:p>
        </w:tc>
        <w:tc>
          <w:tcPr>
            <w:tcW w:w="1114" w:type="dxa"/>
          </w:tcPr>
          <w:p w14:paraId="2D774AE5"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Inacceptabil</w:t>
            </w:r>
          </w:p>
        </w:tc>
        <w:tc>
          <w:tcPr>
            <w:tcW w:w="1784" w:type="dxa"/>
          </w:tcPr>
          <w:p w14:paraId="5480EC2C" w14:textId="77777777" w:rsidR="004E14B7" w:rsidRPr="004E14B7" w:rsidRDefault="004E14B7" w:rsidP="004E14B7">
            <w:pPr>
              <w:widowControl w:val="0"/>
              <w:suppressAutoHyphens/>
              <w:spacing w:after="0" w:line="240" w:lineRule="auto"/>
              <w:rPr>
                <w:rFonts w:ascii="Arial" w:hAnsi="Arial" w:cs="Arial"/>
                <w:kern w:val="1"/>
                <w:sz w:val="16"/>
                <w:szCs w:val="16"/>
                <w:lang w:val="es-ES" w:eastAsia="hi-IN" w:bidi="hi-IN"/>
              </w:rPr>
            </w:pPr>
            <w:r w:rsidRPr="004E14B7">
              <w:rPr>
                <w:rFonts w:ascii="Arial" w:hAnsi="Arial" w:cs="Arial"/>
                <w:kern w:val="1"/>
                <w:sz w:val="16"/>
                <w:szCs w:val="16"/>
                <w:lang w:val="es-ES" w:eastAsia="hi-IN" w:bidi="hi-IN"/>
              </w:rPr>
              <w:t>Colaborarea strânsă între părţile interesate (Beneficiar, Autoritatea de Management, Proiectant). Organizare de întâlniri de progres prin care să se prevină eventualul risc ca cererea de finanţare să nu fie aprobată de către Comisia Europeană</w:t>
            </w:r>
          </w:p>
        </w:tc>
      </w:tr>
      <w:tr w:rsidR="004E14B7" w:rsidRPr="004E14B7" w14:paraId="5B409FDE" w14:textId="77777777" w:rsidTr="00770D30">
        <w:tc>
          <w:tcPr>
            <w:tcW w:w="1417" w:type="dxa"/>
          </w:tcPr>
          <w:p w14:paraId="73224F0F" w14:textId="77777777" w:rsidR="004E14B7" w:rsidRPr="004E14B7" w:rsidRDefault="004E14B7" w:rsidP="004E14B7">
            <w:pPr>
              <w:widowControl w:val="0"/>
              <w:suppressAutoHyphens/>
              <w:spacing w:after="0" w:line="240" w:lineRule="auto"/>
              <w:rPr>
                <w:rFonts w:ascii="Arial" w:hAnsi="Arial" w:cs="Arial"/>
                <w:kern w:val="1"/>
                <w:sz w:val="16"/>
                <w:szCs w:val="16"/>
                <w:lang w:val="es-ES" w:eastAsia="hi-IN" w:bidi="hi-IN"/>
              </w:rPr>
            </w:pPr>
            <w:r w:rsidRPr="004E14B7">
              <w:rPr>
                <w:rFonts w:ascii="Arial" w:hAnsi="Arial" w:cs="Arial"/>
                <w:kern w:val="1"/>
                <w:sz w:val="16"/>
                <w:szCs w:val="16"/>
                <w:lang w:val="es-ES" w:eastAsia="hi-IN" w:bidi="hi-IN"/>
              </w:rPr>
              <w:t>Riscul privind asigurarea cofinanţării de la bugetul local</w:t>
            </w:r>
          </w:p>
        </w:tc>
        <w:tc>
          <w:tcPr>
            <w:tcW w:w="2070" w:type="dxa"/>
          </w:tcPr>
          <w:p w14:paraId="063FEC10" w14:textId="77777777" w:rsidR="004E14B7" w:rsidRPr="004E14B7" w:rsidRDefault="00C958AD" w:rsidP="004E14B7">
            <w:pPr>
              <w:widowControl w:val="0"/>
              <w:suppressAutoHyphens/>
              <w:spacing w:after="0" w:line="240" w:lineRule="auto"/>
              <w:rPr>
                <w:rFonts w:ascii="Arial" w:hAnsi="Arial" w:cs="Arial"/>
                <w:kern w:val="1"/>
                <w:sz w:val="16"/>
                <w:szCs w:val="16"/>
                <w:lang w:val="es-ES" w:eastAsia="hi-IN" w:bidi="hi-IN"/>
              </w:rPr>
            </w:pPr>
            <w:r>
              <w:rPr>
                <w:rFonts w:ascii="Arial" w:hAnsi="Arial" w:cs="Arial"/>
                <w:kern w:val="1"/>
                <w:sz w:val="16"/>
                <w:szCs w:val="16"/>
                <w:lang w:val="es-ES" w:eastAsia="hi-IN" w:bidi="hi-IN"/>
              </w:rPr>
              <w:t>Autoritatea locală trebuie să aigure o cotă de cofinanţ</w:t>
            </w:r>
            <w:r w:rsidR="004E14B7" w:rsidRPr="004E14B7">
              <w:rPr>
                <w:rFonts w:ascii="Arial" w:hAnsi="Arial" w:cs="Arial"/>
                <w:kern w:val="1"/>
                <w:sz w:val="16"/>
                <w:szCs w:val="16"/>
                <w:lang w:val="es-ES" w:eastAsia="hi-IN" w:bidi="hi-IN"/>
              </w:rPr>
              <w:t>are a proiectelor de minim 2 %</w:t>
            </w:r>
          </w:p>
        </w:tc>
        <w:tc>
          <w:tcPr>
            <w:tcW w:w="990" w:type="dxa"/>
          </w:tcPr>
          <w:p w14:paraId="5D4FCDCB"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Blocarea proiectului</w:t>
            </w:r>
          </w:p>
        </w:tc>
        <w:tc>
          <w:tcPr>
            <w:tcW w:w="990" w:type="dxa"/>
          </w:tcPr>
          <w:p w14:paraId="5996D67C"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 xml:space="preserve">Ocazional </w:t>
            </w:r>
          </w:p>
        </w:tc>
        <w:tc>
          <w:tcPr>
            <w:tcW w:w="1350" w:type="dxa"/>
          </w:tcPr>
          <w:p w14:paraId="0AAF48EA"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Dezastruoasă</w:t>
            </w:r>
          </w:p>
        </w:tc>
        <w:tc>
          <w:tcPr>
            <w:tcW w:w="1114" w:type="dxa"/>
          </w:tcPr>
          <w:p w14:paraId="018CE1C6"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Inacceptabil</w:t>
            </w:r>
          </w:p>
        </w:tc>
        <w:tc>
          <w:tcPr>
            <w:tcW w:w="1784" w:type="dxa"/>
          </w:tcPr>
          <w:p w14:paraId="14BE1537" w14:textId="77777777" w:rsidR="004E14B7" w:rsidRPr="004E14B7" w:rsidRDefault="00C958AD" w:rsidP="004E14B7">
            <w:pPr>
              <w:widowControl w:val="0"/>
              <w:suppressAutoHyphens/>
              <w:spacing w:after="0" w:line="240" w:lineRule="auto"/>
              <w:rPr>
                <w:rFonts w:ascii="Arial" w:hAnsi="Arial" w:cs="Arial"/>
                <w:kern w:val="1"/>
                <w:sz w:val="16"/>
                <w:szCs w:val="16"/>
                <w:lang w:val="es-ES" w:eastAsia="hi-IN" w:bidi="hi-IN"/>
              </w:rPr>
            </w:pPr>
            <w:r>
              <w:rPr>
                <w:rFonts w:ascii="Arial" w:hAnsi="Arial" w:cs="Arial"/>
                <w:kern w:val="1"/>
                <w:sz w:val="16"/>
                <w:szCs w:val="16"/>
                <w:lang w:val="es-ES" w:eastAsia="hi-IN" w:bidi="hi-IN"/>
              </w:rPr>
              <w:t>Autoritatea locală trebuie să prevadă</w:t>
            </w:r>
            <w:r w:rsidR="004E14B7" w:rsidRPr="004E14B7">
              <w:rPr>
                <w:rFonts w:ascii="Arial" w:hAnsi="Arial" w:cs="Arial"/>
                <w:kern w:val="1"/>
                <w:sz w:val="16"/>
                <w:szCs w:val="16"/>
                <w:lang w:val="es-ES" w:eastAsia="hi-IN" w:bidi="hi-IN"/>
              </w:rPr>
              <w:t xml:space="preserve"> in</w:t>
            </w:r>
            <w:r>
              <w:rPr>
                <w:rFonts w:ascii="Arial" w:hAnsi="Arial" w:cs="Arial"/>
                <w:kern w:val="1"/>
                <w:sz w:val="16"/>
                <w:szCs w:val="16"/>
                <w:lang w:val="es-ES" w:eastAsia="hi-IN" w:bidi="hi-IN"/>
              </w:rPr>
              <w:t xml:space="preserve"> bugetele anuale suma corespunzătoare cotei de cofinanţ</w:t>
            </w:r>
            <w:r w:rsidR="004E14B7" w:rsidRPr="004E14B7">
              <w:rPr>
                <w:rFonts w:ascii="Arial" w:hAnsi="Arial" w:cs="Arial"/>
                <w:kern w:val="1"/>
                <w:sz w:val="16"/>
                <w:szCs w:val="16"/>
                <w:lang w:val="es-ES" w:eastAsia="hi-IN" w:bidi="hi-IN"/>
              </w:rPr>
              <w:t>are</w:t>
            </w:r>
          </w:p>
        </w:tc>
      </w:tr>
      <w:tr w:rsidR="004E14B7" w:rsidRPr="004E14B7" w14:paraId="6B4BD597" w14:textId="77777777" w:rsidTr="00770D30">
        <w:tc>
          <w:tcPr>
            <w:tcW w:w="1417" w:type="dxa"/>
          </w:tcPr>
          <w:p w14:paraId="5941F887"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Riscul privind graficul de timp</w:t>
            </w:r>
          </w:p>
        </w:tc>
        <w:tc>
          <w:tcPr>
            <w:tcW w:w="2070" w:type="dxa"/>
          </w:tcPr>
          <w:p w14:paraId="52E8325A" w14:textId="77777777" w:rsidR="004E14B7" w:rsidRPr="004E14B7" w:rsidRDefault="004E14B7" w:rsidP="004E14B7">
            <w:pPr>
              <w:widowControl w:val="0"/>
              <w:suppressAutoHyphens/>
              <w:spacing w:after="0" w:line="240" w:lineRule="auto"/>
              <w:rPr>
                <w:rFonts w:ascii="Arial" w:hAnsi="Arial" w:cs="Arial"/>
                <w:kern w:val="1"/>
                <w:sz w:val="16"/>
                <w:szCs w:val="16"/>
                <w:lang w:val="es-ES" w:eastAsia="hi-IN" w:bidi="hi-IN"/>
              </w:rPr>
            </w:pPr>
            <w:r w:rsidRPr="004E14B7">
              <w:rPr>
                <w:rFonts w:ascii="Arial" w:hAnsi="Arial" w:cs="Arial"/>
                <w:kern w:val="1"/>
                <w:sz w:val="16"/>
                <w:szCs w:val="16"/>
                <w:lang w:val="es-ES" w:eastAsia="hi-IN" w:bidi="hi-IN"/>
              </w:rPr>
              <w:t>Nerespectarea graficului de timp pentru implementarea proiectelor</w:t>
            </w:r>
          </w:p>
        </w:tc>
        <w:tc>
          <w:tcPr>
            <w:tcW w:w="990" w:type="dxa"/>
          </w:tcPr>
          <w:p w14:paraId="30E08255"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Întârzieri</w:t>
            </w:r>
          </w:p>
        </w:tc>
        <w:tc>
          <w:tcPr>
            <w:tcW w:w="990" w:type="dxa"/>
          </w:tcPr>
          <w:p w14:paraId="2FF4D657"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 xml:space="preserve">Ocazional </w:t>
            </w:r>
          </w:p>
        </w:tc>
        <w:tc>
          <w:tcPr>
            <w:tcW w:w="1350" w:type="dxa"/>
          </w:tcPr>
          <w:p w14:paraId="5ECF8AD1" w14:textId="77777777" w:rsidR="004E14B7" w:rsidRPr="004E14B7" w:rsidRDefault="00C958AD" w:rsidP="004E14B7">
            <w:pPr>
              <w:widowControl w:val="0"/>
              <w:suppressAutoHyphens/>
              <w:spacing w:after="0" w:line="240" w:lineRule="auto"/>
              <w:rPr>
                <w:rFonts w:ascii="Arial" w:hAnsi="Arial" w:cs="Arial"/>
                <w:kern w:val="1"/>
                <w:sz w:val="16"/>
                <w:szCs w:val="16"/>
                <w:lang w:val="ro-RO" w:eastAsia="hi-IN" w:bidi="hi-IN"/>
              </w:rPr>
            </w:pPr>
            <w:r>
              <w:rPr>
                <w:rFonts w:ascii="Arial" w:hAnsi="Arial" w:cs="Arial"/>
                <w:kern w:val="1"/>
                <w:sz w:val="16"/>
                <w:szCs w:val="16"/>
                <w:lang w:val="ro-RO" w:eastAsia="hi-IN" w:bidi="hi-IN"/>
              </w:rPr>
              <w:t>Pierderea finanţă</w:t>
            </w:r>
            <w:r w:rsidR="004E14B7" w:rsidRPr="004E14B7">
              <w:rPr>
                <w:rFonts w:ascii="Arial" w:hAnsi="Arial" w:cs="Arial"/>
                <w:kern w:val="1"/>
                <w:sz w:val="16"/>
                <w:szCs w:val="16"/>
                <w:lang w:val="ro-RO" w:eastAsia="hi-IN" w:bidi="hi-IN"/>
              </w:rPr>
              <w:t>rii europene</w:t>
            </w:r>
          </w:p>
        </w:tc>
        <w:tc>
          <w:tcPr>
            <w:tcW w:w="1114" w:type="dxa"/>
          </w:tcPr>
          <w:p w14:paraId="5B0D4B24"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Inacceptabil</w:t>
            </w:r>
          </w:p>
        </w:tc>
        <w:tc>
          <w:tcPr>
            <w:tcW w:w="1784" w:type="dxa"/>
          </w:tcPr>
          <w:p w14:paraId="28088E67" w14:textId="77777777" w:rsidR="004E14B7" w:rsidRPr="004E14B7" w:rsidRDefault="00C958AD" w:rsidP="004E14B7">
            <w:pPr>
              <w:widowControl w:val="0"/>
              <w:suppressAutoHyphens/>
              <w:spacing w:after="0" w:line="240" w:lineRule="auto"/>
              <w:rPr>
                <w:rFonts w:ascii="Arial" w:hAnsi="Arial" w:cs="Arial"/>
                <w:kern w:val="1"/>
                <w:sz w:val="16"/>
                <w:szCs w:val="16"/>
                <w:lang w:val="es-ES" w:eastAsia="hi-IN" w:bidi="hi-IN"/>
              </w:rPr>
            </w:pPr>
            <w:r>
              <w:rPr>
                <w:rFonts w:ascii="Arial" w:hAnsi="Arial" w:cs="Arial"/>
                <w:kern w:val="1"/>
                <w:sz w:val="16"/>
                <w:szCs w:val="16"/>
                <w:lang w:val="es-ES" w:eastAsia="hi-IN" w:bidi="hi-IN"/>
              </w:rPr>
              <w:t>Monitorizarea continuă a stadiului implementării proiectelor şi colaborarea strânsă între toţi factorii implicaţ</w:t>
            </w:r>
            <w:r w:rsidR="004E14B7" w:rsidRPr="004E14B7">
              <w:rPr>
                <w:rFonts w:ascii="Arial" w:hAnsi="Arial" w:cs="Arial"/>
                <w:kern w:val="1"/>
                <w:sz w:val="16"/>
                <w:szCs w:val="16"/>
                <w:lang w:val="es-ES" w:eastAsia="hi-IN" w:bidi="hi-IN"/>
              </w:rPr>
              <w:t>i</w:t>
            </w:r>
          </w:p>
        </w:tc>
      </w:tr>
      <w:tr w:rsidR="004E14B7" w:rsidRPr="004E14B7" w14:paraId="3D5BB10A" w14:textId="77777777" w:rsidTr="00770D30">
        <w:tc>
          <w:tcPr>
            <w:tcW w:w="1417" w:type="dxa"/>
          </w:tcPr>
          <w:p w14:paraId="574DE955" w14:textId="77777777" w:rsidR="004E14B7" w:rsidRPr="004E14B7" w:rsidRDefault="004E14B7" w:rsidP="004E14B7">
            <w:pPr>
              <w:widowControl w:val="0"/>
              <w:suppressAutoHyphens/>
              <w:spacing w:after="0" w:line="240" w:lineRule="auto"/>
              <w:rPr>
                <w:rFonts w:ascii="Arial" w:hAnsi="Arial" w:cs="Arial"/>
                <w:kern w:val="1"/>
                <w:sz w:val="16"/>
                <w:szCs w:val="16"/>
                <w:lang w:val="es-ES" w:eastAsia="hi-IN" w:bidi="hi-IN"/>
              </w:rPr>
            </w:pPr>
            <w:r w:rsidRPr="004E14B7">
              <w:rPr>
                <w:rFonts w:ascii="Arial" w:hAnsi="Arial" w:cs="Arial"/>
                <w:kern w:val="1"/>
                <w:sz w:val="16"/>
                <w:szCs w:val="16"/>
                <w:lang w:val="es-ES" w:eastAsia="hi-IN" w:bidi="hi-IN"/>
              </w:rPr>
              <w:t>Riscul neîndeplinirii indicatorilor stabiliți pentru un anumit termen</w:t>
            </w:r>
          </w:p>
        </w:tc>
        <w:tc>
          <w:tcPr>
            <w:tcW w:w="2070" w:type="dxa"/>
          </w:tcPr>
          <w:p w14:paraId="62FD35DF" w14:textId="77777777" w:rsidR="004E14B7" w:rsidRPr="004E14B7" w:rsidRDefault="00C958AD" w:rsidP="004E14B7">
            <w:pPr>
              <w:widowControl w:val="0"/>
              <w:suppressAutoHyphens/>
              <w:spacing w:after="0" w:line="240" w:lineRule="auto"/>
              <w:rPr>
                <w:rFonts w:ascii="Arial" w:hAnsi="Arial" w:cs="Arial"/>
                <w:kern w:val="1"/>
                <w:sz w:val="16"/>
                <w:szCs w:val="16"/>
                <w:lang w:val="ro-RO" w:eastAsia="hi-IN" w:bidi="hi-IN"/>
              </w:rPr>
            </w:pPr>
            <w:r>
              <w:rPr>
                <w:rFonts w:ascii="Arial" w:hAnsi="Arial" w:cs="Arial"/>
                <w:kern w:val="1"/>
                <w:sz w:val="16"/>
                <w:szCs w:val="16"/>
                <w:lang w:val="ro-RO" w:eastAsia="hi-IN" w:bidi="hi-IN"/>
              </w:rPr>
              <w:t>Neatingerea ţ</w:t>
            </w:r>
            <w:r w:rsidR="004E14B7" w:rsidRPr="004E14B7">
              <w:rPr>
                <w:rFonts w:ascii="Arial" w:hAnsi="Arial" w:cs="Arial"/>
                <w:kern w:val="1"/>
                <w:sz w:val="16"/>
                <w:szCs w:val="16"/>
                <w:lang w:val="ro-RO" w:eastAsia="hi-IN" w:bidi="hi-IN"/>
              </w:rPr>
              <w:t>intelor propuse pentru indicatorii de monitorizare ai proiectelor</w:t>
            </w:r>
          </w:p>
        </w:tc>
        <w:tc>
          <w:tcPr>
            <w:tcW w:w="990" w:type="dxa"/>
          </w:tcPr>
          <w:p w14:paraId="27089D9B"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Întîrzieri</w:t>
            </w:r>
          </w:p>
        </w:tc>
        <w:tc>
          <w:tcPr>
            <w:tcW w:w="990" w:type="dxa"/>
          </w:tcPr>
          <w:p w14:paraId="109304E0"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 xml:space="preserve">Ocazional </w:t>
            </w:r>
          </w:p>
        </w:tc>
        <w:tc>
          <w:tcPr>
            <w:tcW w:w="1350" w:type="dxa"/>
          </w:tcPr>
          <w:p w14:paraId="732EB660" w14:textId="77777777" w:rsidR="004E14B7" w:rsidRPr="004E14B7" w:rsidRDefault="00C958AD" w:rsidP="004E14B7">
            <w:pPr>
              <w:widowControl w:val="0"/>
              <w:suppressAutoHyphens/>
              <w:spacing w:after="0" w:line="240" w:lineRule="auto"/>
              <w:rPr>
                <w:rFonts w:ascii="Arial" w:hAnsi="Arial" w:cs="Arial"/>
                <w:kern w:val="1"/>
                <w:sz w:val="16"/>
                <w:szCs w:val="16"/>
                <w:lang w:val="ro-RO" w:eastAsia="hi-IN" w:bidi="hi-IN"/>
              </w:rPr>
            </w:pPr>
            <w:r>
              <w:rPr>
                <w:rFonts w:ascii="Arial" w:hAnsi="Arial" w:cs="Arial"/>
                <w:kern w:val="1"/>
                <w:sz w:val="16"/>
                <w:szCs w:val="16"/>
                <w:lang w:val="ro-RO" w:eastAsia="hi-IN" w:bidi="hi-IN"/>
              </w:rPr>
              <w:t>Pierderea finanţă</w:t>
            </w:r>
            <w:r w:rsidR="004E14B7" w:rsidRPr="004E14B7">
              <w:rPr>
                <w:rFonts w:ascii="Arial" w:hAnsi="Arial" w:cs="Arial"/>
                <w:kern w:val="1"/>
                <w:sz w:val="16"/>
                <w:szCs w:val="16"/>
                <w:lang w:val="ro-RO" w:eastAsia="hi-IN" w:bidi="hi-IN"/>
              </w:rPr>
              <w:t>rii europene</w:t>
            </w:r>
          </w:p>
        </w:tc>
        <w:tc>
          <w:tcPr>
            <w:tcW w:w="1114" w:type="dxa"/>
          </w:tcPr>
          <w:p w14:paraId="62177922"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Inacceptabil</w:t>
            </w:r>
          </w:p>
        </w:tc>
        <w:tc>
          <w:tcPr>
            <w:tcW w:w="1784" w:type="dxa"/>
          </w:tcPr>
          <w:p w14:paraId="398EFBB9" w14:textId="77777777" w:rsidR="004E14B7" w:rsidRPr="004E14B7" w:rsidRDefault="004E14B7" w:rsidP="004E14B7">
            <w:pPr>
              <w:widowControl w:val="0"/>
              <w:suppressAutoHyphens/>
              <w:spacing w:after="0" w:line="240" w:lineRule="auto"/>
              <w:rPr>
                <w:rFonts w:ascii="Arial" w:hAnsi="Arial" w:cs="Arial"/>
                <w:kern w:val="1"/>
                <w:sz w:val="16"/>
                <w:szCs w:val="16"/>
                <w:lang w:val="ro-RO" w:eastAsia="hi-IN" w:bidi="hi-IN"/>
              </w:rPr>
            </w:pPr>
            <w:r w:rsidRPr="004E14B7">
              <w:rPr>
                <w:rFonts w:ascii="Arial" w:hAnsi="Arial" w:cs="Arial"/>
                <w:kern w:val="1"/>
                <w:sz w:val="16"/>
                <w:szCs w:val="16"/>
                <w:lang w:val="ro-RO" w:eastAsia="hi-IN" w:bidi="hi-IN"/>
              </w:rPr>
              <w:t>Colaborarea strânsă între părţile interesate (Beneficiar, Autoritatea de Management, Proiectant, Executant). Organizare de întâlniri de pro</w:t>
            </w:r>
            <w:r w:rsidR="00C958AD">
              <w:rPr>
                <w:rFonts w:ascii="Arial" w:hAnsi="Arial" w:cs="Arial"/>
                <w:kern w:val="1"/>
                <w:sz w:val="16"/>
                <w:szCs w:val="16"/>
                <w:lang w:val="ro-RO" w:eastAsia="hi-IN" w:bidi="hi-IN"/>
              </w:rPr>
              <w:t>gres prin care să se urmărească evoluţ</w:t>
            </w:r>
            <w:r w:rsidRPr="004E14B7">
              <w:rPr>
                <w:rFonts w:ascii="Arial" w:hAnsi="Arial" w:cs="Arial"/>
                <w:kern w:val="1"/>
                <w:sz w:val="16"/>
                <w:szCs w:val="16"/>
                <w:lang w:val="ro-RO" w:eastAsia="hi-IN" w:bidi="hi-IN"/>
              </w:rPr>
              <w:t>ia indicatorilor.</w:t>
            </w:r>
          </w:p>
        </w:tc>
      </w:tr>
    </w:tbl>
    <w:p w14:paraId="01A39564" w14:textId="77777777" w:rsidR="004E14B7" w:rsidRPr="004E14B7" w:rsidRDefault="004E14B7" w:rsidP="004E14B7">
      <w:pPr>
        <w:widowControl w:val="0"/>
        <w:suppressAutoHyphens/>
        <w:spacing w:after="0" w:line="360" w:lineRule="auto"/>
        <w:jc w:val="both"/>
        <w:rPr>
          <w:rFonts w:ascii="Arial" w:hAnsi="Arial" w:cs="Arial"/>
          <w:b/>
          <w:kern w:val="1"/>
          <w:sz w:val="24"/>
          <w:szCs w:val="24"/>
          <w:lang w:val="ro-RO" w:eastAsia="hi-IN" w:bidi="hi-IN"/>
        </w:rPr>
      </w:pPr>
    </w:p>
    <w:p w14:paraId="7BA6DF1D" w14:textId="77777777" w:rsidR="004E14B7" w:rsidRPr="004E14B7" w:rsidRDefault="004E14B7" w:rsidP="004E14B7">
      <w:pPr>
        <w:widowControl w:val="0"/>
        <w:suppressAutoHyphens/>
        <w:spacing w:after="0" w:line="276" w:lineRule="auto"/>
        <w:jc w:val="both"/>
        <w:rPr>
          <w:rFonts w:ascii="Arial" w:hAnsi="Arial" w:cs="Arial"/>
          <w:kern w:val="1"/>
          <w:lang w:val="es-ES" w:eastAsia="hi-IN" w:bidi="hi-IN"/>
        </w:rPr>
      </w:pPr>
      <w:r w:rsidRPr="004E14B7">
        <w:rPr>
          <w:rFonts w:ascii="Arial" w:hAnsi="Arial" w:cs="Arial"/>
          <w:kern w:val="1"/>
          <w:lang w:val="es-ES" w:eastAsia="hi-IN" w:bidi="hi-IN"/>
        </w:rPr>
        <w:t>Obţinerea finanţării nerambursabile în cadrul unor programe cu finanţare externă nerambursabilă este crucial pentru implementarea proiectelor propuse prin PMUD. În cazul în care această finanţare nu s-ar obţine, atragerea unei alte surse alternative de finanţare pentru o valoare de 85% din costul investiţional ar reclama fie un efort financiar considerabil de la bugetul central (care în acest caz ar trebui să acopere 98% din costul investiţional), fie atragerea unui împrumut pentru o valoare mai ridicată, datorită suportării costurilor suplimentare de finanţare (dobânzi, comisioane, garanţii).</w:t>
      </w:r>
    </w:p>
    <w:p w14:paraId="4BCA47CF" w14:textId="77777777" w:rsidR="004E14B7" w:rsidRPr="004E14B7" w:rsidRDefault="004E14B7" w:rsidP="004E14B7">
      <w:pPr>
        <w:widowControl w:val="0"/>
        <w:suppressAutoHyphens/>
        <w:spacing w:after="0" w:line="276" w:lineRule="auto"/>
        <w:jc w:val="both"/>
        <w:rPr>
          <w:rFonts w:ascii="Arial" w:hAnsi="Arial" w:cs="Arial"/>
          <w:kern w:val="1"/>
          <w:lang w:val="es-ES" w:eastAsia="hi-IN" w:bidi="hi-IN"/>
        </w:rPr>
      </w:pPr>
    </w:p>
    <w:p w14:paraId="2A31A159" w14:textId="77777777" w:rsidR="004E14B7" w:rsidRPr="004E14B7" w:rsidRDefault="004E14B7" w:rsidP="004E14B7">
      <w:pPr>
        <w:widowControl w:val="0"/>
        <w:suppressAutoHyphens/>
        <w:spacing w:after="0" w:line="276" w:lineRule="auto"/>
        <w:jc w:val="both"/>
        <w:rPr>
          <w:rFonts w:ascii="Arial" w:hAnsi="Arial" w:cs="Arial"/>
          <w:kern w:val="1"/>
          <w:lang w:val="es-ES" w:eastAsia="hi-IN" w:bidi="hi-IN"/>
        </w:rPr>
      </w:pPr>
      <w:r w:rsidRPr="004E14B7">
        <w:rPr>
          <w:rFonts w:ascii="Arial" w:hAnsi="Arial" w:cs="Arial"/>
          <w:kern w:val="1"/>
          <w:lang w:val="es-ES" w:eastAsia="hi-IN" w:bidi="hi-IN"/>
        </w:rPr>
        <w:t>În plus, neobţinerea finanţării în cadrul unor programe cu finanţare externă nerambursabilă va genera întârzieri care vor conduce la alte costuri suplimentare, asociate actualizării proiectului (recalcularea valorii devizului general şi pe obiecte, repetarea expertizei, actualizarea valorii avizelor/autorizaţiilor) şi atragerii finanţării (consultanţă pentru atragerea de surse de finanţare a proiectului).</w:t>
      </w:r>
    </w:p>
    <w:p w14:paraId="4D07A24E" w14:textId="77777777" w:rsidR="004E14B7" w:rsidRPr="004E14B7" w:rsidRDefault="004E14B7" w:rsidP="004E14B7">
      <w:pPr>
        <w:suppressAutoHyphens/>
        <w:autoSpaceDE w:val="0"/>
        <w:spacing w:after="0" w:line="276" w:lineRule="auto"/>
        <w:jc w:val="both"/>
        <w:rPr>
          <w:rFonts w:ascii="Arial" w:eastAsia="Calibri" w:hAnsi="Arial" w:cs="Arial"/>
          <w:color w:val="000000"/>
          <w:lang w:val="es-ES" w:eastAsia="zh-CN"/>
        </w:rPr>
      </w:pPr>
    </w:p>
    <w:p w14:paraId="38EA7569" w14:textId="77777777" w:rsidR="004E14B7" w:rsidRPr="004E14B7" w:rsidRDefault="004E14B7" w:rsidP="004E14B7">
      <w:pPr>
        <w:suppressAutoHyphens/>
        <w:autoSpaceDE w:val="0"/>
        <w:spacing w:after="0" w:line="276" w:lineRule="auto"/>
        <w:jc w:val="both"/>
        <w:rPr>
          <w:rFonts w:ascii="EUAlbertina" w:eastAsia="Calibri" w:hAnsi="EUAlbertina" w:cs="EUAlbertina"/>
          <w:color w:val="000000"/>
          <w:lang w:val="es-ES" w:eastAsia="ro-RO"/>
        </w:rPr>
      </w:pPr>
      <w:r w:rsidRPr="004E14B7">
        <w:rPr>
          <w:rFonts w:ascii="Arial" w:eastAsia="Calibri" w:hAnsi="Arial" w:cs="Arial"/>
          <w:color w:val="000000"/>
          <w:lang w:val="es-ES" w:eastAsia="zh-CN"/>
        </w:rPr>
        <w:lastRenderedPageBreak/>
        <w:t>După această etapă, se va utiliza un proces de analiză multicriterială şi o analiză cost beneficiu pentru evaluarea proiectelor şi a măsurilor, în vederea stabilirii listei finale a acţiunilor care trebuie incluse în PMUD. Aceasta aborda</w:t>
      </w:r>
      <w:r w:rsidR="00C958AD">
        <w:rPr>
          <w:rFonts w:ascii="Arial" w:eastAsia="Calibri" w:hAnsi="Arial" w:cs="Arial"/>
          <w:color w:val="000000"/>
          <w:lang w:val="es-ES" w:eastAsia="zh-CN"/>
        </w:rPr>
        <w:t>re permite evaluarea individuală</w:t>
      </w:r>
      <w:r w:rsidRPr="004E14B7">
        <w:rPr>
          <w:rFonts w:ascii="Arial" w:eastAsia="Calibri" w:hAnsi="Arial" w:cs="Arial"/>
          <w:color w:val="000000"/>
          <w:lang w:val="es-ES" w:eastAsia="zh-CN"/>
        </w:rPr>
        <w:t xml:space="preserve"> a tuturor măsurilor şi proiectelor aflate pe lista extinsă.</w:t>
      </w:r>
    </w:p>
    <w:p w14:paraId="15A70647" w14:textId="77777777" w:rsidR="00437AC6" w:rsidRPr="00224338" w:rsidRDefault="00437AC6" w:rsidP="00224338"/>
    <w:p w14:paraId="43A8900F" w14:textId="77777777" w:rsidR="00437AC6" w:rsidRPr="006A35E9" w:rsidRDefault="00437AC6" w:rsidP="006A35E9">
      <w:pPr>
        <w:pStyle w:val="Titlu2"/>
        <w:rPr>
          <w:rFonts w:ascii="Arial" w:eastAsia="Times New Roman" w:hAnsi="Arial" w:cs="Arial"/>
          <w:b/>
          <w:bCs/>
          <w:color w:val="auto"/>
          <w:lang w:eastAsia="ro-RO" w:bidi="hi-IN"/>
        </w:rPr>
      </w:pPr>
      <w:bookmarkStart w:id="418" w:name="_Toc499657561"/>
      <w:bookmarkStart w:id="419" w:name="_Toc142039096"/>
      <w:r w:rsidRPr="006A35E9">
        <w:rPr>
          <w:rFonts w:ascii="Arial" w:eastAsia="Times New Roman" w:hAnsi="Arial" w:cs="Arial"/>
          <w:b/>
          <w:bCs/>
          <w:color w:val="auto"/>
          <w:lang w:eastAsia="ro-RO" w:bidi="hi-IN"/>
        </w:rPr>
        <w:t>I.5.3 Analiza multicriterială și analiza cost beneficiu</w:t>
      </w:r>
      <w:bookmarkEnd w:id="403"/>
      <w:bookmarkEnd w:id="404"/>
      <w:bookmarkEnd w:id="418"/>
      <w:bookmarkEnd w:id="419"/>
    </w:p>
    <w:p w14:paraId="34AB671E" w14:textId="77777777" w:rsidR="00C958AD" w:rsidRPr="00C958AD" w:rsidRDefault="00C958AD" w:rsidP="00C958AD">
      <w:pPr>
        <w:widowControl w:val="0"/>
        <w:suppressAutoHyphens/>
        <w:autoSpaceDE w:val="0"/>
        <w:spacing w:after="0" w:line="276" w:lineRule="auto"/>
        <w:jc w:val="both"/>
        <w:rPr>
          <w:rFonts w:ascii="Arial" w:hAnsi="Arial" w:cs="VOELHG+HelveticaNeue"/>
          <w:color w:val="000000"/>
          <w:kern w:val="1"/>
          <w:lang w:val="ro-RO" w:eastAsia="hi-IN" w:bidi="hi-IN"/>
        </w:rPr>
      </w:pPr>
      <w:r w:rsidRPr="00C958AD">
        <w:rPr>
          <w:rFonts w:ascii="Arial" w:hAnsi="Arial" w:cs="Arial"/>
          <w:color w:val="000000"/>
          <w:kern w:val="1"/>
          <w:lang w:val="es-ES" w:eastAsia="ro-RO" w:bidi="hi-IN"/>
        </w:rPr>
        <w:t xml:space="preserve">Pentru selectarea și prioritizarea proiectelor și măsurilor propuse în cadrul PMUD, trebuie utilizate analiza cost beneficiu și o analiză multicriterială. Măsurile rămase sunt elaborate în detaliu pentru a înțelege costurile și impactul acestora. Costurile au fost estimate prin aplicarea unor rate unitare sau cunoaștere a prețurilor pieței. Beneficiile proiectului au fost evaluate prin cercetări empirice sau prin modelul de transport. Manualul privind integrarea măsurilor și a pachetelor de măsuri într-un PMUD elaborat în cadrul CIVITAS 2020 recomandă, pentru a evita ACB-uri costisitoare, utilizarea unor instrumente simplificate de evaluare a impactului. Un astfel de instrument de evaluare provine din proiectul Urban Nodes și este un mix între ACB și Analiza pe Criterii Multiple. </w:t>
      </w:r>
      <w:r w:rsidRPr="00C958AD">
        <w:rPr>
          <w:rFonts w:ascii="Arial" w:hAnsi="Arial" w:cs="VOELHG+HelveticaNeue"/>
          <w:color w:val="000000"/>
          <w:kern w:val="1"/>
          <w:lang w:val="ro-RO" w:eastAsia="hi-IN" w:bidi="hi-IN"/>
        </w:rPr>
        <w:t>Avantajul utilizării acestui instrument ușor este faptul că nu este necesară nicio altă informație statistică în afară de costul preconizat al măsurii.</w:t>
      </w:r>
    </w:p>
    <w:p w14:paraId="2E9FB14E" w14:textId="77777777" w:rsidR="00C958AD" w:rsidRPr="00C958AD" w:rsidRDefault="00C958AD" w:rsidP="00C958AD">
      <w:pPr>
        <w:widowControl w:val="0"/>
        <w:suppressAutoHyphens/>
        <w:autoSpaceDE w:val="0"/>
        <w:spacing w:after="0" w:line="276" w:lineRule="auto"/>
        <w:jc w:val="both"/>
        <w:rPr>
          <w:rFonts w:ascii="Arial" w:hAnsi="Arial" w:cs="VOELHG+HelveticaNeue"/>
          <w:color w:val="000000"/>
          <w:kern w:val="1"/>
          <w:highlight w:val="yellow"/>
          <w:lang w:val="ro-RO" w:eastAsia="hi-IN" w:bidi="hi-IN"/>
        </w:rPr>
      </w:pPr>
    </w:p>
    <w:p w14:paraId="3F61DB26" w14:textId="77777777" w:rsidR="00C958AD" w:rsidRPr="00C958AD" w:rsidRDefault="00C958AD" w:rsidP="00C958AD">
      <w:pPr>
        <w:widowControl w:val="0"/>
        <w:suppressAutoHyphens/>
        <w:autoSpaceDE w:val="0"/>
        <w:spacing w:after="0" w:line="276" w:lineRule="auto"/>
        <w:jc w:val="both"/>
        <w:rPr>
          <w:rFonts w:ascii="Arial" w:hAnsi="Arial" w:cs="VOELHG+HelveticaNeue"/>
          <w:color w:val="000000"/>
          <w:kern w:val="1"/>
          <w:lang w:val="ro-RO" w:eastAsia="hi-IN" w:bidi="hi-IN"/>
        </w:rPr>
      </w:pPr>
      <w:r w:rsidRPr="00C958AD">
        <w:rPr>
          <w:rFonts w:ascii="Arial" w:hAnsi="Arial" w:cs="VOELHG+HelveticaNeue"/>
          <w:color w:val="000000"/>
          <w:kern w:val="1"/>
          <w:lang w:val="ro-RO" w:eastAsia="hi-IN" w:bidi="hi-IN"/>
        </w:rPr>
        <w:t xml:space="preserve">Instrumentul are în vedere varietatea de perspective ale diferiților actori implicați în dezvoltarea rețelei de transport. Punctul său forte este acela de a combina două abordări utilizate frecvent (ACM, Analiza Criteriilor Multiple și ACB, Analiza Cost- Beneficiu) pentru a evalua impactul unei măsuri (atât cantitativ, cât și calitativ). În plus, se aplică atât măsurilor ”hard” și cât și celor ”soft” de la nivel local la nivel regional. Se introduce un set inițial de măsuri sau proiecte planificate sau în curs de desfășurare, identificate de părțile interesate ca fiind relevante pentru dezvoltarea rețelei de transport. Cu ajutorul metodologiei, poate fi identificat un pachet optim de măsuri bazate pe o problemă definită și bazate pe obiective de politici de nivel înalt. Instrumentul de evaluare a nodurilor urbane a fost dezvoltat de Panteia, împreună cu Rupprecht Consult și Pricewaterhouse Coopers Italia în proiectul Urban Nodes. </w:t>
      </w:r>
    </w:p>
    <w:p w14:paraId="2821042B" w14:textId="77777777" w:rsidR="00C958AD" w:rsidRPr="00C958AD" w:rsidRDefault="00C958AD" w:rsidP="00C958AD">
      <w:pPr>
        <w:widowControl w:val="0"/>
        <w:suppressAutoHyphens/>
        <w:autoSpaceDE w:val="0"/>
        <w:spacing w:after="0" w:line="276" w:lineRule="auto"/>
        <w:jc w:val="both"/>
        <w:rPr>
          <w:rFonts w:ascii="Arial" w:hAnsi="Arial" w:cs="VOELHG+HelveticaNeue"/>
          <w:color w:val="000000"/>
          <w:kern w:val="1"/>
          <w:lang w:val="ro-RO" w:eastAsia="hi-IN" w:bidi="hi-IN"/>
        </w:rPr>
      </w:pPr>
    </w:p>
    <w:p w14:paraId="15A9A46A" w14:textId="77777777" w:rsidR="00C958AD" w:rsidRPr="00C958AD" w:rsidRDefault="00C958AD" w:rsidP="00C958AD">
      <w:pPr>
        <w:widowControl w:val="0"/>
        <w:suppressAutoHyphens/>
        <w:autoSpaceDE w:val="0"/>
        <w:spacing w:after="0" w:line="276" w:lineRule="auto"/>
        <w:jc w:val="both"/>
        <w:rPr>
          <w:rFonts w:ascii="Arial" w:hAnsi="Arial" w:cs="Arial"/>
          <w:kern w:val="1"/>
          <w:lang w:val="es-ES" w:eastAsia="ro-RO" w:bidi="hi-IN"/>
        </w:rPr>
      </w:pPr>
      <w:r w:rsidRPr="00C958AD">
        <w:rPr>
          <w:rFonts w:ascii="Arial" w:hAnsi="Arial" w:cs="VOELHG+HelveticaNeue"/>
          <w:color w:val="000000"/>
          <w:kern w:val="1"/>
          <w:lang w:val="ro-RO" w:eastAsia="hi-IN" w:bidi="hi-IN"/>
        </w:rPr>
        <w:t xml:space="preserve">Instrumentul va fi utilizat pentru evaluarea scenariilor, iar rezultatele analizelor sunt prezentate </w:t>
      </w:r>
      <w:r w:rsidRPr="00B02385">
        <w:rPr>
          <w:rFonts w:ascii="Arial" w:hAnsi="Arial" w:cs="VOELHG+HelveticaNeue"/>
          <w:color w:val="000000"/>
          <w:kern w:val="1"/>
          <w:lang w:val="ro-RO" w:eastAsia="hi-IN" w:bidi="hi-IN"/>
        </w:rPr>
        <w:t>în Anexa 1</w:t>
      </w:r>
      <w:r w:rsidR="00B02385" w:rsidRPr="00B02385">
        <w:rPr>
          <w:rFonts w:ascii="Arial" w:hAnsi="Arial" w:cs="VOELHG+HelveticaNeue"/>
          <w:color w:val="000000"/>
          <w:kern w:val="1"/>
          <w:lang w:val="ro-RO" w:eastAsia="hi-IN" w:bidi="hi-IN"/>
        </w:rPr>
        <w:t>1</w:t>
      </w:r>
      <w:r w:rsidRPr="00B02385">
        <w:rPr>
          <w:rFonts w:ascii="Arial" w:hAnsi="Arial" w:cs="VOELHG+HelveticaNeue"/>
          <w:color w:val="000000"/>
          <w:kern w:val="1"/>
          <w:lang w:val="ro-RO" w:eastAsia="hi-IN" w:bidi="hi-IN"/>
        </w:rPr>
        <w:t>.</w:t>
      </w:r>
    </w:p>
    <w:p w14:paraId="2815323A" w14:textId="77777777" w:rsidR="00C958AD" w:rsidRPr="00C958AD" w:rsidRDefault="00C958AD" w:rsidP="00C958AD">
      <w:pPr>
        <w:widowControl w:val="0"/>
        <w:suppressAutoHyphens/>
        <w:autoSpaceDE w:val="0"/>
        <w:spacing w:after="0" w:line="276" w:lineRule="auto"/>
        <w:jc w:val="both"/>
        <w:rPr>
          <w:rFonts w:ascii="Arial" w:hAnsi="Arial" w:cs="Arial"/>
          <w:kern w:val="1"/>
          <w:lang w:val="es-ES" w:eastAsia="ro-RO" w:bidi="hi-IN"/>
        </w:rPr>
      </w:pPr>
    </w:p>
    <w:p w14:paraId="5034ABFE" w14:textId="77777777" w:rsidR="00C958AD" w:rsidRPr="00C958AD" w:rsidRDefault="00C958AD" w:rsidP="00C958AD">
      <w:pPr>
        <w:widowControl w:val="0"/>
        <w:suppressAutoHyphens/>
        <w:autoSpaceDE w:val="0"/>
        <w:spacing w:after="0" w:line="276" w:lineRule="auto"/>
        <w:jc w:val="both"/>
        <w:rPr>
          <w:rFonts w:ascii="Arial" w:hAnsi="Arial" w:cs="Arial"/>
          <w:color w:val="000000"/>
          <w:kern w:val="1"/>
          <w:lang w:val="es-ES" w:eastAsia="ro-RO" w:bidi="hi-IN"/>
        </w:rPr>
      </w:pPr>
      <w:r w:rsidRPr="00C958AD">
        <w:rPr>
          <w:rFonts w:ascii="Arial" w:hAnsi="Arial" w:cs="Arial"/>
          <w:b/>
          <w:bCs/>
          <w:color w:val="000000"/>
          <w:kern w:val="1"/>
          <w:lang w:val="es-ES" w:eastAsia="ro-RO" w:bidi="hi-IN"/>
        </w:rPr>
        <w:t>Analiza multicriterială</w:t>
      </w:r>
    </w:p>
    <w:p w14:paraId="0FB70FB6" w14:textId="77777777" w:rsidR="00C958AD" w:rsidRPr="00C958AD" w:rsidRDefault="00C958AD" w:rsidP="00C958AD">
      <w:pPr>
        <w:widowControl w:val="0"/>
        <w:suppressAutoHyphens/>
        <w:autoSpaceDE w:val="0"/>
        <w:spacing w:after="0" w:line="276" w:lineRule="auto"/>
        <w:jc w:val="both"/>
        <w:rPr>
          <w:rFonts w:ascii="Arial" w:hAnsi="Arial" w:cs="Arial"/>
          <w:kern w:val="1"/>
          <w:lang w:val="es-ES" w:eastAsia="ro-RO" w:bidi="hi-IN"/>
        </w:rPr>
      </w:pPr>
      <w:r w:rsidRPr="00C958AD">
        <w:rPr>
          <w:rFonts w:ascii="Arial" w:hAnsi="Arial" w:cs="Arial"/>
          <w:color w:val="000000"/>
          <w:kern w:val="1"/>
          <w:lang w:val="es-ES" w:eastAsia="ro-RO" w:bidi="hi-IN"/>
        </w:rPr>
        <w:t>Analiza multicriterială (AMC) compară diferitele măsuri sau soluții în funcție de mai multe criterii sau politici, prin intermediul unor medii ponderate. Această analiză ajută la ierarhizarea măsurilor propuse și, împreună cu ACB, la prioritizarea acestora.</w:t>
      </w:r>
    </w:p>
    <w:p w14:paraId="7CE263D3" w14:textId="77777777" w:rsidR="00C958AD" w:rsidRPr="00C958AD" w:rsidRDefault="00C958AD" w:rsidP="00C958AD">
      <w:pPr>
        <w:widowControl w:val="0"/>
        <w:suppressAutoHyphens/>
        <w:autoSpaceDE w:val="0"/>
        <w:spacing w:after="0" w:line="276" w:lineRule="auto"/>
        <w:jc w:val="both"/>
        <w:rPr>
          <w:rFonts w:ascii="Arial" w:hAnsi="Arial" w:cs="Arial"/>
          <w:kern w:val="1"/>
          <w:lang w:val="es-ES" w:eastAsia="ro-RO" w:bidi="hi-IN"/>
        </w:rPr>
      </w:pPr>
    </w:p>
    <w:p w14:paraId="141C8406" w14:textId="77777777" w:rsidR="00C958AD" w:rsidRPr="00C958AD" w:rsidRDefault="00C958AD" w:rsidP="00C958AD">
      <w:pPr>
        <w:widowControl w:val="0"/>
        <w:suppressAutoHyphens/>
        <w:autoSpaceDE w:val="0"/>
        <w:spacing w:after="0" w:line="276" w:lineRule="auto"/>
        <w:jc w:val="both"/>
        <w:rPr>
          <w:rFonts w:ascii="Arial" w:hAnsi="Arial" w:cs="Arial"/>
          <w:color w:val="000000"/>
          <w:kern w:val="1"/>
          <w:lang w:val="es-ES" w:eastAsia="ro-RO" w:bidi="hi-IN"/>
        </w:rPr>
      </w:pPr>
      <w:r w:rsidRPr="00C958AD">
        <w:rPr>
          <w:rFonts w:ascii="Arial" w:hAnsi="Arial" w:cs="Arial"/>
          <w:color w:val="000000"/>
          <w:kern w:val="1"/>
          <w:lang w:val="es-ES" w:eastAsia="ro-RO" w:bidi="hi-IN"/>
        </w:rPr>
        <w:t>Pentru elaborarea unei analize multicriteriale este necesară:</w:t>
      </w:r>
    </w:p>
    <w:p w14:paraId="2501A316" w14:textId="77777777" w:rsidR="00C958AD" w:rsidRPr="00C958AD" w:rsidRDefault="00C958AD" w:rsidP="00C958AD">
      <w:pPr>
        <w:widowControl w:val="0"/>
        <w:suppressAutoHyphens/>
        <w:autoSpaceDE w:val="0"/>
        <w:spacing w:after="0" w:line="276" w:lineRule="auto"/>
        <w:jc w:val="both"/>
        <w:rPr>
          <w:rFonts w:ascii="Arial" w:hAnsi="Arial" w:cs="Arial"/>
          <w:color w:val="000000"/>
          <w:kern w:val="1"/>
          <w:lang w:val="es-ES" w:eastAsia="ro-RO" w:bidi="hi-IN"/>
        </w:rPr>
      </w:pPr>
      <w:r w:rsidRPr="00C958AD">
        <w:rPr>
          <w:rFonts w:ascii="Arial" w:hAnsi="Arial" w:cs="Arial"/>
          <w:color w:val="000000"/>
          <w:kern w:val="1"/>
          <w:lang w:val="es-ES" w:eastAsia="ro-RO" w:bidi="hi-IN"/>
        </w:rPr>
        <w:t>- stabilirea unui set de criterii;</w:t>
      </w:r>
    </w:p>
    <w:p w14:paraId="4ADA52B7" w14:textId="77777777" w:rsidR="00C958AD" w:rsidRPr="00C958AD" w:rsidRDefault="00C958AD" w:rsidP="00C958AD">
      <w:pPr>
        <w:widowControl w:val="0"/>
        <w:suppressAutoHyphens/>
        <w:autoSpaceDE w:val="0"/>
        <w:spacing w:after="0" w:line="276" w:lineRule="auto"/>
        <w:jc w:val="both"/>
        <w:rPr>
          <w:rFonts w:ascii="Arial" w:hAnsi="Arial" w:cs="Arial"/>
          <w:color w:val="000000"/>
          <w:kern w:val="1"/>
          <w:lang w:val="es-ES" w:eastAsia="ro-RO" w:bidi="hi-IN"/>
        </w:rPr>
      </w:pPr>
      <w:r w:rsidRPr="00C958AD">
        <w:rPr>
          <w:rFonts w:ascii="Arial" w:hAnsi="Arial" w:cs="Arial"/>
          <w:color w:val="000000"/>
          <w:kern w:val="1"/>
          <w:lang w:val="es-ES" w:eastAsia="ro-RO" w:bidi="hi-IN"/>
        </w:rPr>
        <w:t>- alocarea de ponderi pentru fiecare criteriu;</w:t>
      </w:r>
    </w:p>
    <w:p w14:paraId="34A41A83" w14:textId="77777777" w:rsidR="00C958AD" w:rsidRPr="00C958AD" w:rsidRDefault="00C958AD" w:rsidP="00C958AD">
      <w:pPr>
        <w:widowControl w:val="0"/>
        <w:suppressAutoHyphens/>
        <w:autoSpaceDE w:val="0"/>
        <w:spacing w:after="0" w:line="276" w:lineRule="auto"/>
        <w:jc w:val="both"/>
        <w:rPr>
          <w:rFonts w:ascii="Arial" w:hAnsi="Arial" w:cs="Arial"/>
          <w:color w:val="000000"/>
          <w:kern w:val="1"/>
          <w:lang w:val="es-ES" w:eastAsia="ro-RO" w:bidi="hi-IN"/>
        </w:rPr>
      </w:pPr>
      <w:r w:rsidRPr="00C958AD">
        <w:rPr>
          <w:rFonts w:ascii="Arial" w:hAnsi="Arial" w:cs="Arial"/>
          <w:color w:val="000000"/>
          <w:kern w:val="1"/>
          <w:lang w:val="es-ES" w:eastAsia="ro-RO" w:bidi="hi-IN"/>
        </w:rPr>
        <w:t>- stabilirea unei matrici AMC;</w:t>
      </w:r>
    </w:p>
    <w:p w14:paraId="1699D9E0" w14:textId="77777777" w:rsidR="00C958AD" w:rsidRPr="00C958AD" w:rsidRDefault="00C958AD" w:rsidP="00C958AD">
      <w:pPr>
        <w:widowControl w:val="0"/>
        <w:suppressAutoHyphens/>
        <w:autoSpaceDE w:val="0"/>
        <w:spacing w:after="0" w:line="276" w:lineRule="auto"/>
        <w:jc w:val="both"/>
        <w:rPr>
          <w:rFonts w:ascii="Arial" w:hAnsi="Arial" w:cs="Arial"/>
          <w:color w:val="000000"/>
          <w:kern w:val="1"/>
          <w:lang w:val="es-ES" w:eastAsia="ro-RO" w:bidi="hi-IN"/>
        </w:rPr>
      </w:pPr>
      <w:r w:rsidRPr="00C958AD">
        <w:rPr>
          <w:rFonts w:ascii="Arial" w:hAnsi="Arial" w:cs="Arial"/>
          <w:color w:val="000000"/>
          <w:kern w:val="1"/>
          <w:lang w:val="es-ES" w:eastAsia="ro-RO" w:bidi="hi-IN"/>
        </w:rPr>
        <w:t>- atribuirea scorului pentru fiecare criteriu;</w:t>
      </w:r>
    </w:p>
    <w:p w14:paraId="27482863" w14:textId="77777777" w:rsidR="00C958AD" w:rsidRPr="00C958AD" w:rsidRDefault="00C958AD" w:rsidP="00C958AD">
      <w:pPr>
        <w:widowControl w:val="0"/>
        <w:suppressAutoHyphens/>
        <w:autoSpaceDE w:val="0"/>
        <w:spacing w:after="0" w:line="276" w:lineRule="auto"/>
        <w:jc w:val="both"/>
        <w:rPr>
          <w:rFonts w:ascii="Arial" w:hAnsi="Arial" w:cs="Arial"/>
          <w:color w:val="000000"/>
          <w:kern w:val="1"/>
          <w:lang w:val="es-ES" w:eastAsia="ro-RO" w:bidi="hi-IN"/>
        </w:rPr>
      </w:pPr>
      <w:r w:rsidRPr="00C958AD">
        <w:rPr>
          <w:rFonts w:ascii="Arial" w:hAnsi="Arial" w:cs="Arial"/>
          <w:color w:val="000000"/>
          <w:kern w:val="1"/>
          <w:lang w:val="es-ES" w:eastAsia="ro-RO" w:bidi="hi-IN"/>
        </w:rPr>
        <w:t>- calcularea scorului mediu pentru fiecare măsură, prin înmulţirea notei obţinute de fiecare măsură cu ponderea alocată fiecărui criteriu. Scorul final se obţine prin însumarea tuturor liniilor (indicatorilor).</w:t>
      </w:r>
    </w:p>
    <w:p w14:paraId="164238C8" w14:textId="77777777" w:rsidR="00C958AD" w:rsidRPr="00C958AD" w:rsidRDefault="00C958AD" w:rsidP="00C958AD">
      <w:pPr>
        <w:widowControl w:val="0"/>
        <w:suppressAutoHyphens/>
        <w:autoSpaceDE w:val="0"/>
        <w:spacing w:after="0" w:line="276" w:lineRule="auto"/>
        <w:jc w:val="both"/>
        <w:rPr>
          <w:rFonts w:ascii="Arial" w:hAnsi="Arial" w:cs="Arial"/>
          <w:color w:val="000000"/>
          <w:kern w:val="1"/>
          <w:highlight w:val="red"/>
          <w:lang w:val="es-ES" w:eastAsia="ro-RO" w:bidi="hi-IN"/>
        </w:rPr>
      </w:pPr>
    </w:p>
    <w:p w14:paraId="058909D5" w14:textId="77777777" w:rsidR="00C958AD" w:rsidRPr="00C958AD" w:rsidRDefault="00C958AD" w:rsidP="00C958AD">
      <w:pPr>
        <w:widowControl w:val="0"/>
        <w:suppressAutoHyphens/>
        <w:autoSpaceDE w:val="0"/>
        <w:spacing w:after="0" w:line="276" w:lineRule="auto"/>
        <w:jc w:val="both"/>
        <w:rPr>
          <w:rFonts w:ascii="Arial" w:eastAsia="Times New Roman" w:hAnsi="Arial" w:cs="Arial"/>
          <w:kern w:val="1"/>
          <w:lang w:val="es-ES" w:eastAsia="ro-RO" w:bidi="hi-IN"/>
        </w:rPr>
      </w:pPr>
      <w:r w:rsidRPr="00C958AD">
        <w:rPr>
          <w:rFonts w:ascii="Arial" w:eastAsia="Times New Roman" w:hAnsi="Arial" w:cs="Arial"/>
          <w:kern w:val="1"/>
          <w:lang w:val="es-ES" w:eastAsia="ro-RO" w:bidi="hi-IN"/>
        </w:rPr>
        <w:t xml:space="preserve">În cadrul evaluării măsurilor și proiectelor și în vederea prioritizării acestora, fiecărei măsuri i </w:t>
      </w:r>
      <w:r w:rsidRPr="00C958AD">
        <w:rPr>
          <w:rFonts w:ascii="Arial" w:eastAsia="Times New Roman" w:hAnsi="Arial" w:cs="Arial"/>
          <w:kern w:val="1"/>
          <w:lang w:val="es-ES" w:eastAsia="ro-RO" w:bidi="hi-IN"/>
        </w:rPr>
        <w:lastRenderedPageBreak/>
        <w:t xml:space="preserve">s-a alocat o notă de la 1 la 10, în funcție de impactul pe care îl are asupra indicatorului respectiv, impact rezultat din modelul de transport pentru 9 din cei 11 indicatori de evaluare. </w:t>
      </w:r>
    </w:p>
    <w:p w14:paraId="754AD431" w14:textId="77777777" w:rsidR="00C958AD" w:rsidRPr="00C958AD" w:rsidRDefault="00C958AD" w:rsidP="00C958AD">
      <w:pPr>
        <w:widowControl w:val="0"/>
        <w:suppressAutoHyphens/>
        <w:autoSpaceDE w:val="0"/>
        <w:spacing w:after="0" w:line="276" w:lineRule="auto"/>
        <w:jc w:val="both"/>
        <w:rPr>
          <w:rFonts w:ascii="Arial" w:hAnsi="Arial" w:cs="Arial"/>
          <w:color w:val="000000"/>
          <w:kern w:val="1"/>
          <w:lang w:val="es-ES" w:eastAsia="ro-RO" w:bidi="hi-IN"/>
        </w:rPr>
      </w:pPr>
    </w:p>
    <w:p w14:paraId="52BB5542" w14:textId="1A3B2DD5" w:rsidR="00C958AD" w:rsidRPr="00C958AD" w:rsidRDefault="00C958AD" w:rsidP="00C958AD">
      <w:pPr>
        <w:pStyle w:val="Legend"/>
        <w:jc w:val="center"/>
        <w:rPr>
          <w:rFonts w:ascii="Arial" w:hAnsi="Arial" w:cs="Arial"/>
          <w:b/>
          <w:bCs/>
          <w:i w:val="0"/>
          <w:color w:val="1F497D"/>
          <w:kern w:val="1"/>
          <w:sz w:val="22"/>
          <w:szCs w:val="22"/>
          <w:lang w:val="ro-RO" w:eastAsia="hi-IN" w:bidi="hi-IN"/>
        </w:rPr>
      </w:pPr>
      <w:bookmarkStart w:id="420" w:name="_Toc68361265"/>
      <w:bookmarkStart w:id="421" w:name="_Toc142039138"/>
      <w:r w:rsidRPr="00C958AD">
        <w:rPr>
          <w:rFonts w:ascii="Arial" w:hAnsi="Arial" w:cs="Arial"/>
          <w:sz w:val="22"/>
          <w:szCs w:val="22"/>
        </w:rPr>
        <w:t xml:space="preserve">Figura I.5. </w:t>
      </w:r>
      <w:r w:rsidRPr="00C958AD">
        <w:rPr>
          <w:rFonts w:ascii="Arial" w:hAnsi="Arial" w:cs="Arial"/>
          <w:sz w:val="22"/>
          <w:szCs w:val="22"/>
        </w:rPr>
        <w:fldChar w:fldCharType="begin"/>
      </w:r>
      <w:r w:rsidRPr="00C958AD">
        <w:rPr>
          <w:rFonts w:ascii="Arial" w:hAnsi="Arial" w:cs="Arial"/>
          <w:sz w:val="22"/>
          <w:szCs w:val="22"/>
        </w:rPr>
        <w:instrText xml:space="preserve"> SEQ Figura_I.5. \* ARABIC </w:instrText>
      </w:r>
      <w:r w:rsidRPr="00C958AD">
        <w:rPr>
          <w:rFonts w:ascii="Arial" w:hAnsi="Arial" w:cs="Arial"/>
          <w:sz w:val="22"/>
          <w:szCs w:val="22"/>
        </w:rPr>
        <w:fldChar w:fldCharType="separate"/>
      </w:r>
      <w:r w:rsidR="00BB181C">
        <w:rPr>
          <w:rFonts w:ascii="Arial" w:hAnsi="Arial" w:cs="Arial"/>
          <w:noProof/>
          <w:sz w:val="22"/>
          <w:szCs w:val="22"/>
        </w:rPr>
        <w:t>11</w:t>
      </w:r>
      <w:r w:rsidRPr="00C958AD">
        <w:rPr>
          <w:rFonts w:ascii="Arial" w:hAnsi="Arial" w:cs="Arial"/>
          <w:sz w:val="22"/>
          <w:szCs w:val="22"/>
        </w:rPr>
        <w:fldChar w:fldCharType="end"/>
      </w:r>
      <w:r w:rsidRPr="00C958AD">
        <w:rPr>
          <w:rFonts w:ascii="Arial" w:hAnsi="Arial" w:cs="Arial"/>
          <w:sz w:val="22"/>
          <w:szCs w:val="22"/>
        </w:rPr>
        <w:t xml:space="preserve"> </w:t>
      </w:r>
      <w:r w:rsidRPr="00C958AD">
        <w:rPr>
          <w:rFonts w:ascii="Arial" w:hAnsi="Arial" w:cs="Arial"/>
          <w:color w:val="1F497D"/>
          <w:sz w:val="22"/>
          <w:szCs w:val="22"/>
        </w:rPr>
        <w:t xml:space="preserve">- </w:t>
      </w:r>
      <w:r w:rsidRPr="00C958AD">
        <w:rPr>
          <w:rFonts w:ascii="Arial" w:hAnsi="Arial" w:cs="Arial"/>
          <w:i w:val="0"/>
          <w:color w:val="1F497D"/>
          <w:sz w:val="22"/>
          <w:szCs w:val="22"/>
        </w:rPr>
        <w:t>Indicatori evaluare</w:t>
      </w:r>
      <w:bookmarkEnd w:id="420"/>
      <w:bookmarkEnd w:id="421"/>
    </w:p>
    <w:tbl>
      <w:tblPr>
        <w:tblW w:w="10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350"/>
        <w:gridCol w:w="1350"/>
        <w:gridCol w:w="3870"/>
        <w:gridCol w:w="1350"/>
        <w:gridCol w:w="1196"/>
        <w:gridCol w:w="1196"/>
      </w:tblGrid>
      <w:tr w:rsidR="00C958AD" w:rsidRPr="00C958AD" w14:paraId="627C63E3" w14:textId="77777777" w:rsidTr="00C958AD">
        <w:trPr>
          <w:tblHeader/>
          <w:jc w:val="center"/>
        </w:trPr>
        <w:tc>
          <w:tcPr>
            <w:tcW w:w="1350" w:type="dxa"/>
            <w:shd w:val="clear" w:color="auto" w:fill="D9D9D9"/>
          </w:tcPr>
          <w:p w14:paraId="77C2AFBF" w14:textId="77777777" w:rsidR="00C958AD" w:rsidRPr="00C958AD" w:rsidRDefault="00C958AD" w:rsidP="00C958AD">
            <w:pPr>
              <w:widowControl w:val="0"/>
              <w:suppressLineNumbers/>
              <w:suppressAutoHyphens/>
              <w:spacing w:after="0" w:line="240" w:lineRule="auto"/>
              <w:jc w:val="center"/>
              <w:rPr>
                <w:rFonts w:ascii="Arial" w:hAnsi="Arial" w:cs="Arial"/>
                <w:b/>
                <w:bCs/>
                <w:kern w:val="1"/>
                <w:sz w:val="20"/>
                <w:szCs w:val="20"/>
                <w:lang w:val="ro-RO" w:eastAsia="zh-CN" w:bidi="hi-IN"/>
              </w:rPr>
            </w:pPr>
            <w:r w:rsidRPr="00C958AD">
              <w:rPr>
                <w:rFonts w:ascii="Arial" w:hAnsi="Arial" w:cs="Arial"/>
                <w:b/>
                <w:bCs/>
                <w:kern w:val="1"/>
                <w:sz w:val="20"/>
                <w:szCs w:val="20"/>
                <w:lang w:val="ro-RO" w:eastAsia="zh-CN" w:bidi="hi-IN"/>
              </w:rPr>
              <w:t>Obiectiv</w:t>
            </w:r>
          </w:p>
        </w:tc>
        <w:tc>
          <w:tcPr>
            <w:tcW w:w="1350" w:type="dxa"/>
            <w:shd w:val="clear" w:color="auto" w:fill="D9D9D9"/>
          </w:tcPr>
          <w:p w14:paraId="02DD2C60" w14:textId="77777777" w:rsidR="00C958AD" w:rsidRPr="00C958AD" w:rsidRDefault="00C958AD" w:rsidP="00C958AD">
            <w:pPr>
              <w:widowControl w:val="0"/>
              <w:suppressLineNumbers/>
              <w:suppressAutoHyphens/>
              <w:spacing w:after="0" w:line="240" w:lineRule="auto"/>
              <w:jc w:val="center"/>
              <w:rPr>
                <w:rFonts w:ascii="Arial" w:hAnsi="Arial" w:cs="Arial"/>
                <w:b/>
                <w:bCs/>
                <w:kern w:val="1"/>
                <w:sz w:val="20"/>
                <w:szCs w:val="20"/>
                <w:lang w:val="ro-RO" w:eastAsia="zh-CN" w:bidi="hi-IN"/>
              </w:rPr>
            </w:pPr>
            <w:r w:rsidRPr="00C958AD">
              <w:rPr>
                <w:rFonts w:ascii="Arial" w:hAnsi="Arial" w:cs="Arial"/>
                <w:b/>
                <w:bCs/>
                <w:kern w:val="1"/>
                <w:sz w:val="20"/>
                <w:szCs w:val="20"/>
                <w:lang w:val="ro-RO" w:eastAsia="zh-CN" w:bidi="hi-IN"/>
              </w:rPr>
              <w:t>Ponderea obiectivului</w:t>
            </w:r>
          </w:p>
        </w:tc>
        <w:tc>
          <w:tcPr>
            <w:tcW w:w="3870" w:type="dxa"/>
            <w:shd w:val="clear" w:color="auto" w:fill="D9D9D9"/>
          </w:tcPr>
          <w:p w14:paraId="79FC0742" w14:textId="77777777" w:rsidR="00C958AD" w:rsidRPr="00C958AD" w:rsidRDefault="00C958AD" w:rsidP="00C958AD">
            <w:pPr>
              <w:widowControl w:val="0"/>
              <w:suppressLineNumbers/>
              <w:suppressAutoHyphens/>
              <w:spacing w:after="0" w:line="240" w:lineRule="auto"/>
              <w:jc w:val="center"/>
              <w:rPr>
                <w:rFonts w:ascii="Arial" w:hAnsi="Arial" w:cs="Arial"/>
                <w:b/>
                <w:bCs/>
                <w:kern w:val="1"/>
                <w:sz w:val="20"/>
                <w:szCs w:val="20"/>
                <w:lang w:val="ro-RO" w:eastAsia="zh-CN" w:bidi="hi-IN"/>
              </w:rPr>
            </w:pPr>
            <w:r w:rsidRPr="00C958AD">
              <w:rPr>
                <w:rFonts w:ascii="Arial" w:hAnsi="Arial" w:cs="Arial"/>
                <w:b/>
                <w:bCs/>
                <w:kern w:val="1"/>
                <w:sz w:val="20"/>
                <w:szCs w:val="20"/>
                <w:lang w:val="ro-RO" w:eastAsia="zh-CN" w:bidi="hi-IN"/>
              </w:rPr>
              <w:t>Indicator</w:t>
            </w:r>
          </w:p>
        </w:tc>
        <w:tc>
          <w:tcPr>
            <w:tcW w:w="1350" w:type="dxa"/>
            <w:shd w:val="clear" w:color="auto" w:fill="D9D9D9"/>
          </w:tcPr>
          <w:p w14:paraId="54AF6B82" w14:textId="77777777" w:rsidR="00C958AD" w:rsidRPr="00C958AD" w:rsidRDefault="00C958AD" w:rsidP="00C958AD">
            <w:pPr>
              <w:widowControl w:val="0"/>
              <w:suppressLineNumbers/>
              <w:suppressAutoHyphens/>
              <w:spacing w:after="0" w:line="240" w:lineRule="auto"/>
              <w:jc w:val="center"/>
              <w:rPr>
                <w:rFonts w:ascii="Arial" w:hAnsi="Arial" w:cs="Arial"/>
                <w:b/>
                <w:bCs/>
                <w:kern w:val="1"/>
                <w:sz w:val="20"/>
                <w:szCs w:val="20"/>
                <w:lang w:val="es-ES" w:eastAsia="zh-CN" w:bidi="hi-IN"/>
              </w:rPr>
            </w:pPr>
            <w:r w:rsidRPr="00C958AD">
              <w:rPr>
                <w:rFonts w:ascii="Arial" w:hAnsi="Arial" w:cs="Arial"/>
                <w:b/>
                <w:bCs/>
                <w:kern w:val="1"/>
                <w:sz w:val="20"/>
                <w:szCs w:val="20"/>
                <w:lang w:val="es-ES" w:eastAsia="zh-CN" w:bidi="hi-IN"/>
              </w:rPr>
              <w:t>Ponderea indicatorului în cadrul obiectivului</w:t>
            </w:r>
          </w:p>
        </w:tc>
        <w:tc>
          <w:tcPr>
            <w:tcW w:w="1196" w:type="dxa"/>
            <w:shd w:val="clear" w:color="auto" w:fill="D9D9D9"/>
          </w:tcPr>
          <w:p w14:paraId="68BC46CC" w14:textId="77777777" w:rsidR="00C958AD" w:rsidRPr="00C958AD" w:rsidRDefault="00C958AD" w:rsidP="00C958AD">
            <w:pPr>
              <w:widowControl w:val="0"/>
              <w:suppressLineNumbers/>
              <w:suppressAutoHyphens/>
              <w:spacing w:after="0" w:line="240" w:lineRule="auto"/>
              <w:jc w:val="center"/>
              <w:rPr>
                <w:rFonts w:ascii="Arial" w:hAnsi="Arial" w:cs="Mangal"/>
                <w:kern w:val="1"/>
                <w:sz w:val="20"/>
                <w:szCs w:val="24"/>
                <w:lang w:val="ro-RO" w:eastAsia="zh-CN" w:bidi="hi-IN"/>
              </w:rPr>
            </w:pPr>
            <w:r w:rsidRPr="00C958AD">
              <w:rPr>
                <w:rFonts w:ascii="Arial" w:hAnsi="Arial" w:cs="Arial"/>
                <w:b/>
                <w:bCs/>
                <w:kern w:val="1"/>
                <w:sz w:val="20"/>
                <w:szCs w:val="20"/>
                <w:lang w:val="ro-RO" w:eastAsia="zh-CN" w:bidi="hi-IN"/>
              </w:rPr>
              <w:t>Ponderea per indicator</w:t>
            </w:r>
          </w:p>
        </w:tc>
        <w:tc>
          <w:tcPr>
            <w:tcW w:w="1196" w:type="dxa"/>
            <w:shd w:val="clear" w:color="auto" w:fill="D9D9D9"/>
          </w:tcPr>
          <w:p w14:paraId="19F4E185" w14:textId="77777777" w:rsidR="00C958AD" w:rsidRPr="00C958AD" w:rsidRDefault="00620BC5" w:rsidP="00C958AD">
            <w:pPr>
              <w:widowControl w:val="0"/>
              <w:suppressLineNumbers/>
              <w:suppressAutoHyphens/>
              <w:spacing w:after="0" w:line="240" w:lineRule="auto"/>
              <w:jc w:val="center"/>
              <w:rPr>
                <w:rFonts w:ascii="Arial" w:hAnsi="Arial" w:cs="Arial"/>
                <w:b/>
                <w:bCs/>
                <w:kern w:val="1"/>
                <w:sz w:val="20"/>
                <w:szCs w:val="20"/>
                <w:lang w:val="es-ES" w:eastAsia="zh-CN" w:bidi="hi-IN"/>
              </w:rPr>
            </w:pPr>
            <w:r>
              <w:rPr>
                <w:rFonts w:ascii="Arial" w:hAnsi="Arial" w:cs="Arial"/>
                <w:b/>
                <w:bCs/>
                <w:kern w:val="1"/>
                <w:sz w:val="20"/>
                <w:szCs w:val="20"/>
                <w:lang w:val="es-ES" w:eastAsia="zh-CN" w:bidi="hi-IN"/>
              </w:rPr>
              <w:t>Impact pozitiv asupra măsurii dacă</w:t>
            </w:r>
            <w:r w:rsidR="00C958AD" w:rsidRPr="00C958AD">
              <w:rPr>
                <w:rFonts w:ascii="Arial" w:hAnsi="Arial" w:cs="Arial"/>
                <w:b/>
                <w:bCs/>
                <w:kern w:val="1"/>
                <w:sz w:val="20"/>
                <w:szCs w:val="20"/>
                <w:lang w:val="es-ES" w:eastAsia="zh-CN" w:bidi="hi-IN"/>
              </w:rPr>
              <w:t>:</w:t>
            </w:r>
          </w:p>
        </w:tc>
      </w:tr>
      <w:tr w:rsidR="00C958AD" w:rsidRPr="00C958AD" w14:paraId="1654F1B9" w14:textId="77777777" w:rsidTr="00C958AD">
        <w:trPr>
          <w:cantSplit/>
          <w:jc w:val="center"/>
        </w:trPr>
        <w:tc>
          <w:tcPr>
            <w:tcW w:w="1350" w:type="dxa"/>
            <w:vMerge w:val="restart"/>
            <w:shd w:val="clear" w:color="auto" w:fill="D9D9D9"/>
            <w:vAlign w:val="center"/>
          </w:tcPr>
          <w:p w14:paraId="5910DA9F" w14:textId="77777777" w:rsidR="00C958AD" w:rsidRPr="00C958AD" w:rsidRDefault="00C958AD" w:rsidP="00C958AD">
            <w:pPr>
              <w:widowControl w:val="0"/>
              <w:suppressLineNumbers/>
              <w:suppressAutoHyphens/>
              <w:spacing w:after="0" w:line="240" w:lineRule="auto"/>
              <w:jc w:val="both"/>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Accesibilitate</w:t>
            </w:r>
          </w:p>
        </w:tc>
        <w:tc>
          <w:tcPr>
            <w:tcW w:w="1350" w:type="dxa"/>
            <w:vMerge w:val="restart"/>
            <w:shd w:val="clear" w:color="auto" w:fill="auto"/>
            <w:vAlign w:val="center"/>
          </w:tcPr>
          <w:p w14:paraId="769FF9D3" w14:textId="77777777" w:rsidR="00C958AD" w:rsidRPr="00C958AD" w:rsidRDefault="00C958AD" w:rsidP="00C958AD">
            <w:pPr>
              <w:widowControl w:val="0"/>
              <w:suppressLineNumbers/>
              <w:suppressAutoHyphens/>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30 %</w:t>
            </w:r>
          </w:p>
        </w:tc>
        <w:tc>
          <w:tcPr>
            <w:tcW w:w="3870" w:type="dxa"/>
            <w:shd w:val="clear" w:color="auto" w:fill="auto"/>
          </w:tcPr>
          <w:p w14:paraId="723FFB5A" w14:textId="77777777" w:rsidR="00C958AD" w:rsidRPr="00C958AD" w:rsidRDefault="00C958AD" w:rsidP="00C958AD">
            <w:pPr>
              <w:suppressAutoHyphens/>
              <w:autoSpaceDE w:val="0"/>
              <w:spacing w:after="0" w:line="240" w:lineRule="auto"/>
              <w:jc w:val="both"/>
              <w:rPr>
                <w:rFonts w:ascii="Arial" w:eastAsia="Calibri" w:hAnsi="Arial" w:cs="Arial"/>
                <w:strike/>
                <w:color w:val="000000"/>
                <w:sz w:val="20"/>
                <w:szCs w:val="20"/>
                <w:lang w:eastAsia="zh-CN"/>
              </w:rPr>
            </w:pPr>
            <w:r w:rsidRPr="00C958AD">
              <w:rPr>
                <w:rFonts w:ascii="Arial" w:eastAsia="Calibri" w:hAnsi="Arial" w:cs="Arial"/>
                <w:color w:val="000000"/>
                <w:sz w:val="20"/>
                <w:szCs w:val="20"/>
                <w:lang w:eastAsia="zh-CN"/>
              </w:rPr>
              <w:t>km de străzi construite sau reabilitate</w:t>
            </w:r>
          </w:p>
        </w:tc>
        <w:tc>
          <w:tcPr>
            <w:tcW w:w="1350" w:type="dxa"/>
            <w:shd w:val="clear" w:color="auto" w:fill="auto"/>
          </w:tcPr>
          <w:p w14:paraId="1B9A9486"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30 %</w:t>
            </w:r>
          </w:p>
        </w:tc>
        <w:tc>
          <w:tcPr>
            <w:tcW w:w="1196" w:type="dxa"/>
            <w:shd w:val="clear" w:color="auto" w:fill="auto"/>
          </w:tcPr>
          <w:p w14:paraId="144090A7"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9 %</w:t>
            </w:r>
          </w:p>
        </w:tc>
        <w:tc>
          <w:tcPr>
            <w:tcW w:w="1196" w:type="dxa"/>
          </w:tcPr>
          <w:p w14:paraId="0BFA2472" w14:textId="77777777" w:rsidR="00C958AD" w:rsidRPr="00C958AD" w:rsidRDefault="00620BC5"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Pr>
                <w:rFonts w:ascii="Arial" w:hAnsi="Arial" w:cs="Arial"/>
                <w:kern w:val="1"/>
                <w:sz w:val="20"/>
                <w:szCs w:val="20"/>
                <w:lang w:val="ro-RO" w:eastAsia="zh-CN" w:bidi="hi-IN"/>
              </w:rPr>
              <w:t>Creş</w:t>
            </w:r>
            <w:r w:rsidR="00C958AD" w:rsidRPr="00C958AD">
              <w:rPr>
                <w:rFonts w:ascii="Arial" w:hAnsi="Arial" w:cs="Arial"/>
                <w:kern w:val="1"/>
                <w:sz w:val="20"/>
                <w:szCs w:val="20"/>
                <w:lang w:val="ro-RO" w:eastAsia="zh-CN" w:bidi="hi-IN"/>
              </w:rPr>
              <w:t>te</w:t>
            </w:r>
          </w:p>
        </w:tc>
      </w:tr>
      <w:tr w:rsidR="00C958AD" w:rsidRPr="00C958AD" w14:paraId="581670BC" w14:textId="77777777" w:rsidTr="00C958AD">
        <w:trPr>
          <w:cantSplit/>
          <w:jc w:val="center"/>
        </w:trPr>
        <w:tc>
          <w:tcPr>
            <w:tcW w:w="1350" w:type="dxa"/>
            <w:vMerge/>
            <w:shd w:val="clear" w:color="auto" w:fill="D9D9D9"/>
            <w:vAlign w:val="center"/>
          </w:tcPr>
          <w:p w14:paraId="53CA048C" w14:textId="77777777" w:rsidR="00C958AD" w:rsidRPr="00C958AD" w:rsidRDefault="00C958AD" w:rsidP="00C958AD">
            <w:pPr>
              <w:widowControl w:val="0"/>
              <w:suppressLineNumbers/>
              <w:suppressAutoHyphens/>
              <w:snapToGrid w:val="0"/>
              <w:spacing w:after="0" w:line="240" w:lineRule="auto"/>
              <w:jc w:val="both"/>
              <w:rPr>
                <w:rFonts w:ascii="Arial" w:hAnsi="Arial" w:cs="Arial"/>
                <w:kern w:val="1"/>
                <w:sz w:val="20"/>
                <w:szCs w:val="20"/>
                <w:lang w:val="ro-RO" w:eastAsia="zh-CN" w:bidi="hi-IN"/>
              </w:rPr>
            </w:pPr>
          </w:p>
        </w:tc>
        <w:tc>
          <w:tcPr>
            <w:tcW w:w="1350" w:type="dxa"/>
            <w:vMerge/>
            <w:shd w:val="clear" w:color="auto" w:fill="auto"/>
          </w:tcPr>
          <w:p w14:paraId="081D4D7F"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p>
        </w:tc>
        <w:tc>
          <w:tcPr>
            <w:tcW w:w="3870" w:type="dxa"/>
            <w:shd w:val="clear" w:color="auto" w:fill="auto"/>
          </w:tcPr>
          <w:p w14:paraId="6732C46C" w14:textId="77777777" w:rsidR="00C958AD" w:rsidRPr="00C958AD" w:rsidRDefault="00C958AD" w:rsidP="00C958AD">
            <w:pPr>
              <w:suppressAutoHyphens/>
              <w:autoSpaceDE w:val="0"/>
              <w:spacing w:after="0" w:line="240" w:lineRule="auto"/>
              <w:jc w:val="both"/>
              <w:rPr>
                <w:rFonts w:ascii="Arial" w:eastAsia="Calibri" w:hAnsi="Arial" w:cs="Arial"/>
                <w:color w:val="000000"/>
                <w:sz w:val="20"/>
                <w:szCs w:val="20"/>
                <w:lang w:val="es-ES" w:eastAsia="zh-CN"/>
              </w:rPr>
            </w:pPr>
            <w:r w:rsidRPr="00C958AD">
              <w:rPr>
                <w:rFonts w:ascii="Arial" w:eastAsia="Calibri" w:hAnsi="Arial" w:cs="Arial"/>
                <w:color w:val="000000"/>
                <w:sz w:val="20"/>
                <w:szCs w:val="20"/>
                <w:lang w:val="es-ES" w:eastAsia="zh-CN"/>
              </w:rPr>
              <w:t>trasee de TP (număr, lungime, densitate, grad de acoperire)</w:t>
            </w:r>
          </w:p>
        </w:tc>
        <w:tc>
          <w:tcPr>
            <w:tcW w:w="1350" w:type="dxa"/>
            <w:shd w:val="clear" w:color="auto" w:fill="auto"/>
          </w:tcPr>
          <w:p w14:paraId="21A6416C"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40 %</w:t>
            </w:r>
          </w:p>
        </w:tc>
        <w:tc>
          <w:tcPr>
            <w:tcW w:w="1196" w:type="dxa"/>
            <w:shd w:val="clear" w:color="auto" w:fill="auto"/>
          </w:tcPr>
          <w:p w14:paraId="02288C14"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12 %</w:t>
            </w:r>
          </w:p>
        </w:tc>
        <w:tc>
          <w:tcPr>
            <w:tcW w:w="1196" w:type="dxa"/>
          </w:tcPr>
          <w:p w14:paraId="68928573" w14:textId="77777777" w:rsidR="00C958AD" w:rsidRPr="00C958AD" w:rsidRDefault="00620BC5"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Pr>
                <w:rFonts w:ascii="Arial" w:hAnsi="Arial" w:cs="Arial"/>
                <w:kern w:val="1"/>
                <w:sz w:val="20"/>
                <w:szCs w:val="20"/>
                <w:lang w:val="ro-RO" w:eastAsia="zh-CN" w:bidi="hi-IN"/>
              </w:rPr>
              <w:t>Creş</w:t>
            </w:r>
            <w:r w:rsidR="00C958AD" w:rsidRPr="00C958AD">
              <w:rPr>
                <w:rFonts w:ascii="Arial" w:hAnsi="Arial" w:cs="Arial"/>
                <w:kern w:val="1"/>
                <w:sz w:val="20"/>
                <w:szCs w:val="20"/>
                <w:lang w:val="ro-RO" w:eastAsia="zh-CN" w:bidi="hi-IN"/>
              </w:rPr>
              <w:t>te</w:t>
            </w:r>
          </w:p>
        </w:tc>
      </w:tr>
      <w:tr w:rsidR="00C958AD" w:rsidRPr="00C958AD" w14:paraId="503BB1A5" w14:textId="77777777" w:rsidTr="00C958AD">
        <w:trPr>
          <w:cantSplit/>
          <w:jc w:val="center"/>
        </w:trPr>
        <w:tc>
          <w:tcPr>
            <w:tcW w:w="1350" w:type="dxa"/>
            <w:vMerge/>
            <w:shd w:val="clear" w:color="auto" w:fill="D9D9D9"/>
            <w:vAlign w:val="center"/>
          </w:tcPr>
          <w:p w14:paraId="6FEFB29D" w14:textId="77777777" w:rsidR="00C958AD" w:rsidRPr="00C958AD" w:rsidRDefault="00C958AD" w:rsidP="00C958AD">
            <w:pPr>
              <w:widowControl w:val="0"/>
              <w:suppressLineNumbers/>
              <w:suppressAutoHyphens/>
              <w:snapToGrid w:val="0"/>
              <w:spacing w:after="0" w:line="240" w:lineRule="auto"/>
              <w:jc w:val="both"/>
              <w:rPr>
                <w:rFonts w:ascii="Arial" w:hAnsi="Arial" w:cs="Arial"/>
                <w:kern w:val="1"/>
                <w:sz w:val="20"/>
                <w:szCs w:val="20"/>
                <w:lang w:val="ro-RO" w:eastAsia="zh-CN" w:bidi="hi-IN"/>
              </w:rPr>
            </w:pPr>
          </w:p>
        </w:tc>
        <w:tc>
          <w:tcPr>
            <w:tcW w:w="1350" w:type="dxa"/>
            <w:vMerge/>
            <w:shd w:val="clear" w:color="auto" w:fill="auto"/>
          </w:tcPr>
          <w:p w14:paraId="59A41477"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p>
        </w:tc>
        <w:tc>
          <w:tcPr>
            <w:tcW w:w="3870" w:type="dxa"/>
            <w:shd w:val="clear" w:color="auto" w:fill="auto"/>
          </w:tcPr>
          <w:p w14:paraId="06B1F492" w14:textId="77777777" w:rsidR="00C958AD" w:rsidRPr="00C958AD" w:rsidRDefault="00620BC5" w:rsidP="00C958AD">
            <w:pPr>
              <w:suppressAutoHyphens/>
              <w:autoSpaceDE w:val="0"/>
              <w:spacing w:after="0" w:line="240" w:lineRule="auto"/>
              <w:jc w:val="both"/>
              <w:rPr>
                <w:rFonts w:ascii="Arial" w:eastAsia="Calibri" w:hAnsi="Arial" w:cs="Arial"/>
                <w:color w:val="000000"/>
                <w:sz w:val="20"/>
                <w:szCs w:val="20"/>
                <w:lang w:val="es-ES" w:eastAsia="zh-CN"/>
              </w:rPr>
            </w:pPr>
            <w:r>
              <w:rPr>
                <w:rFonts w:ascii="Arial" w:eastAsia="Calibri" w:hAnsi="Arial" w:cs="Arial"/>
                <w:color w:val="000000"/>
                <w:sz w:val="20"/>
                <w:szCs w:val="20"/>
                <w:lang w:val="es-ES" w:eastAsia="zh-CN"/>
              </w:rPr>
              <w:t>număr total de călatorii î</w:t>
            </w:r>
            <w:r w:rsidR="00C958AD" w:rsidRPr="00C958AD">
              <w:rPr>
                <w:rFonts w:ascii="Arial" w:eastAsia="Calibri" w:hAnsi="Arial" w:cs="Arial"/>
                <w:color w:val="000000"/>
                <w:sz w:val="20"/>
                <w:szCs w:val="20"/>
                <w:lang w:val="es-ES" w:eastAsia="zh-CN"/>
              </w:rPr>
              <w:t>n transportul public</w:t>
            </w:r>
          </w:p>
        </w:tc>
        <w:tc>
          <w:tcPr>
            <w:tcW w:w="1350" w:type="dxa"/>
            <w:shd w:val="clear" w:color="auto" w:fill="auto"/>
          </w:tcPr>
          <w:p w14:paraId="7400489F"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30 %</w:t>
            </w:r>
          </w:p>
        </w:tc>
        <w:tc>
          <w:tcPr>
            <w:tcW w:w="1196" w:type="dxa"/>
            <w:shd w:val="clear" w:color="auto" w:fill="auto"/>
          </w:tcPr>
          <w:p w14:paraId="49EEF5D2"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9 %</w:t>
            </w:r>
          </w:p>
        </w:tc>
        <w:tc>
          <w:tcPr>
            <w:tcW w:w="1196" w:type="dxa"/>
          </w:tcPr>
          <w:p w14:paraId="6F594F14" w14:textId="77777777" w:rsidR="00C958AD" w:rsidRPr="00C958AD" w:rsidRDefault="00620BC5"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Pr>
                <w:rFonts w:ascii="Arial" w:hAnsi="Arial" w:cs="Arial"/>
                <w:kern w:val="1"/>
                <w:sz w:val="20"/>
                <w:szCs w:val="20"/>
                <w:lang w:val="ro-RO" w:eastAsia="zh-CN" w:bidi="hi-IN"/>
              </w:rPr>
              <w:t>Creş</w:t>
            </w:r>
            <w:r w:rsidR="00C958AD" w:rsidRPr="00C958AD">
              <w:rPr>
                <w:rFonts w:ascii="Arial" w:hAnsi="Arial" w:cs="Arial"/>
                <w:kern w:val="1"/>
                <w:sz w:val="20"/>
                <w:szCs w:val="20"/>
                <w:lang w:val="ro-RO" w:eastAsia="zh-CN" w:bidi="hi-IN"/>
              </w:rPr>
              <w:t>te</w:t>
            </w:r>
          </w:p>
        </w:tc>
      </w:tr>
      <w:tr w:rsidR="00C958AD" w:rsidRPr="00C958AD" w14:paraId="153C6B19" w14:textId="77777777" w:rsidTr="00C958AD">
        <w:trPr>
          <w:jc w:val="center"/>
        </w:trPr>
        <w:tc>
          <w:tcPr>
            <w:tcW w:w="1350" w:type="dxa"/>
            <w:shd w:val="clear" w:color="auto" w:fill="D9D9D9"/>
          </w:tcPr>
          <w:p w14:paraId="1D1AD8B1" w14:textId="77777777" w:rsidR="00C958AD" w:rsidRPr="00C958AD" w:rsidRDefault="00C958AD" w:rsidP="00C958AD">
            <w:pPr>
              <w:widowControl w:val="0"/>
              <w:suppressLineNumbers/>
              <w:suppressAutoHyphens/>
              <w:spacing w:after="0" w:line="240" w:lineRule="auto"/>
              <w:jc w:val="both"/>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Siguranță și securitate</w:t>
            </w:r>
          </w:p>
        </w:tc>
        <w:tc>
          <w:tcPr>
            <w:tcW w:w="1350" w:type="dxa"/>
            <w:shd w:val="clear" w:color="auto" w:fill="auto"/>
          </w:tcPr>
          <w:p w14:paraId="29F7B84C" w14:textId="77777777" w:rsidR="00C958AD" w:rsidRPr="00C958AD" w:rsidRDefault="00C958AD" w:rsidP="00C958AD">
            <w:pPr>
              <w:widowControl w:val="0"/>
              <w:suppressLineNumbers/>
              <w:suppressAutoHyphens/>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10 %</w:t>
            </w:r>
          </w:p>
        </w:tc>
        <w:tc>
          <w:tcPr>
            <w:tcW w:w="3870" w:type="dxa"/>
            <w:shd w:val="clear" w:color="auto" w:fill="auto"/>
          </w:tcPr>
          <w:p w14:paraId="1F6605B7" w14:textId="77777777" w:rsidR="00C958AD" w:rsidRPr="00C958AD" w:rsidRDefault="00C958AD" w:rsidP="00C958AD">
            <w:pPr>
              <w:widowControl w:val="0"/>
              <w:suppressLineNumbers/>
              <w:suppressAutoHyphens/>
              <w:spacing w:after="0" w:line="240" w:lineRule="auto"/>
              <w:jc w:val="both"/>
              <w:rPr>
                <w:rFonts w:ascii="Arial" w:hAnsi="Arial" w:cs="Arial"/>
                <w:kern w:val="1"/>
                <w:sz w:val="20"/>
                <w:szCs w:val="20"/>
                <w:lang w:val="es-ES" w:eastAsia="zh-CN" w:bidi="hi-IN"/>
              </w:rPr>
            </w:pPr>
            <w:r w:rsidRPr="00C958AD">
              <w:rPr>
                <w:rFonts w:ascii="Arial" w:hAnsi="Arial" w:cs="Arial"/>
                <w:kern w:val="1"/>
                <w:sz w:val="20"/>
                <w:szCs w:val="20"/>
                <w:lang w:val="es-ES" w:eastAsia="zh-CN" w:bidi="hi-IN"/>
              </w:rPr>
              <w:t>numărul de accidente rutiere cu urmări grave în oraş</w:t>
            </w:r>
          </w:p>
        </w:tc>
        <w:tc>
          <w:tcPr>
            <w:tcW w:w="1350" w:type="dxa"/>
            <w:shd w:val="clear" w:color="auto" w:fill="auto"/>
          </w:tcPr>
          <w:p w14:paraId="27F6099C" w14:textId="77777777" w:rsidR="00C958AD" w:rsidRPr="00C958AD" w:rsidRDefault="00C958AD" w:rsidP="00C958AD">
            <w:pPr>
              <w:widowControl w:val="0"/>
              <w:suppressLineNumbers/>
              <w:suppressAutoHyphens/>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100 %</w:t>
            </w:r>
          </w:p>
        </w:tc>
        <w:tc>
          <w:tcPr>
            <w:tcW w:w="1196" w:type="dxa"/>
            <w:shd w:val="clear" w:color="auto" w:fill="auto"/>
          </w:tcPr>
          <w:p w14:paraId="24DB6E21"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10 %</w:t>
            </w:r>
          </w:p>
        </w:tc>
        <w:tc>
          <w:tcPr>
            <w:tcW w:w="1196" w:type="dxa"/>
          </w:tcPr>
          <w:p w14:paraId="111CB445"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Scade</w:t>
            </w:r>
          </w:p>
        </w:tc>
      </w:tr>
      <w:tr w:rsidR="00C958AD" w:rsidRPr="00C958AD" w14:paraId="3E901BA4" w14:textId="77777777" w:rsidTr="00C958AD">
        <w:trPr>
          <w:jc w:val="center"/>
        </w:trPr>
        <w:tc>
          <w:tcPr>
            <w:tcW w:w="1350" w:type="dxa"/>
            <w:shd w:val="clear" w:color="auto" w:fill="D9D9D9"/>
            <w:vAlign w:val="center"/>
          </w:tcPr>
          <w:p w14:paraId="49E5621E" w14:textId="77777777" w:rsidR="00C958AD" w:rsidRPr="00C958AD" w:rsidRDefault="00C958AD" w:rsidP="00C958AD">
            <w:pPr>
              <w:widowControl w:val="0"/>
              <w:suppressLineNumbers/>
              <w:suppressAutoHyphens/>
              <w:spacing w:after="0" w:line="240" w:lineRule="auto"/>
              <w:jc w:val="both"/>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Mediu</w:t>
            </w:r>
          </w:p>
        </w:tc>
        <w:tc>
          <w:tcPr>
            <w:tcW w:w="1350" w:type="dxa"/>
            <w:shd w:val="clear" w:color="auto" w:fill="auto"/>
            <w:vAlign w:val="center"/>
          </w:tcPr>
          <w:p w14:paraId="7FF1F009" w14:textId="77777777" w:rsidR="00C958AD" w:rsidRPr="00C958AD" w:rsidRDefault="00C958AD" w:rsidP="00C958AD">
            <w:pPr>
              <w:widowControl w:val="0"/>
              <w:suppressLineNumbers/>
              <w:suppressAutoHyphens/>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10 %</w:t>
            </w:r>
          </w:p>
        </w:tc>
        <w:tc>
          <w:tcPr>
            <w:tcW w:w="3870" w:type="dxa"/>
            <w:shd w:val="clear" w:color="auto" w:fill="auto"/>
          </w:tcPr>
          <w:p w14:paraId="7F9292FC" w14:textId="77777777" w:rsidR="00C958AD" w:rsidRPr="00C958AD" w:rsidRDefault="00C958AD" w:rsidP="00C958AD">
            <w:pPr>
              <w:suppressAutoHyphens/>
              <w:autoSpaceDE w:val="0"/>
              <w:spacing w:after="0" w:line="240" w:lineRule="auto"/>
              <w:jc w:val="both"/>
              <w:rPr>
                <w:rFonts w:ascii="Arial" w:eastAsia="Calibri" w:hAnsi="Arial" w:cs="Arial"/>
                <w:color w:val="000000"/>
                <w:sz w:val="20"/>
                <w:szCs w:val="20"/>
                <w:lang w:val="es-ES" w:eastAsia="zh-CN"/>
              </w:rPr>
            </w:pPr>
            <w:r w:rsidRPr="00C958AD">
              <w:rPr>
                <w:rFonts w:ascii="Arial" w:eastAsia="Calibri" w:hAnsi="Arial" w:cs="Arial"/>
                <w:color w:val="000000"/>
                <w:sz w:val="20"/>
                <w:szCs w:val="20"/>
                <w:lang w:val="es-ES" w:eastAsia="zh-CN"/>
              </w:rPr>
              <w:t>nivelul noxelor și a conținutului de praf din aer</w:t>
            </w:r>
          </w:p>
        </w:tc>
        <w:tc>
          <w:tcPr>
            <w:tcW w:w="1350" w:type="dxa"/>
            <w:shd w:val="clear" w:color="auto" w:fill="auto"/>
          </w:tcPr>
          <w:p w14:paraId="351DC85B" w14:textId="77777777" w:rsidR="00C958AD" w:rsidRPr="00C958AD" w:rsidRDefault="00C958AD" w:rsidP="00C958AD">
            <w:pPr>
              <w:widowControl w:val="0"/>
              <w:suppressLineNumbers/>
              <w:suppressAutoHyphens/>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100 %</w:t>
            </w:r>
          </w:p>
        </w:tc>
        <w:tc>
          <w:tcPr>
            <w:tcW w:w="1196" w:type="dxa"/>
            <w:shd w:val="clear" w:color="auto" w:fill="auto"/>
          </w:tcPr>
          <w:p w14:paraId="529C19CF"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10 %</w:t>
            </w:r>
          </w:p>
        </w:tc>
        <w:tc>
          <w:tcPr>
            <w:tcW w:w="1196" w:type="dxa"/>
          </w:tcPr>
          <w:p w14:paraId="4996F05E"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Scade</w:t>
            </w:r>
          </w:p>
        </w:tc>
      </w:tr>
      <w:tr w:rsidR="00C958AD" w:rsidRPr="00C958AD" w14:paraId="7794B29E" w14:textId="77777777" w:rsidTr="00C958AD">
        <w:trPr>
          <w:cantSplit/>
          <w:jc w:val="center"/>
        </w:trPr>
        <w:tc>
          <w:tcPr>
            <w:tcW w:w="1350" w:type="dxa"/>
            <w:vMerge w:val="restart"/>
            <w:shd w:val="clear" w:color="auto" w:fill="D9D9D9"/>
            <w:vAlign w:val="center"/>
          </w:tcPr>
          <w:p w14:paraId="39814615" w14:textId="77777777" w:rsidR="00C958AD" w:rsidRPr="00C958AD" w:rsidRDefault="00C958AD" w:rsidP="00C958AD">
            <w:pPr>
              <w:widowControl w:val="0"/>
              <w:suppressLineNumbers/>
              <w:suppressAutoHyphens/>
              <w:spacing w:after="0" w:line="240" w:lineRule="auto"/>
              <w:jc w:val="both"/>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Eficiența economică</w:t>
            </w:r>
          </w:p>
        </w:tc>
        <w:tc>
          <w:tcPr>
            <w:tcW w:w="1350" w:type="dxa"/>
            <w:vMerge w:val="restart"/>
            <w:shd w:val="clear" w:color="auto" w:fill="auto"/>
            <w:vAlign w:val="center"/>
          </w:tcPr>
          <w:p w14:paraId="2F6A75DC" w14:textId="77777777" w:rsidR="00C958AD" w:rsidRPr="00C958AD" w:rsidRDefault="00C958AD" w:rsidP="00C958AD">
            <w:pPr>
              <w:widowControl w:val="0"/>
              <w:suppressLineNumbers/>
              <w:suppressAutoHyphens/>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30 %</w:t>
            </w:r>
          </w:p>
        </w:tc>
        <w:tc>
          <w:tcPr>
            <w:tcW w:w="3870" w:type="dxa"/>
            <w:shd w:val="clear" w:color="auto" w:fill="auto"/>
          </w:tcPr>
          <w:p w14:paraId="223857C9" w14:textId="77777777" w:rsidR="00C958AD" w:rsidRPr="00C958AD" w:rsidRDefault="00C958AD" w:rsidP="00C958AD">
            <w:pPr>
              <w:suppressAutoHyphens/>
              <w:autoSpaceDE w:val="0"/>
              <w:spacing w:after="0" w:line="240" w:lineRule="auto"/>
              <w:jc w:val="both"/>
              <w:rPr>
                <w:rFonts w:ascii="Arial" w:eastAsia="Calibri" w:hAnsi="Arial" w:cs="Arial"/>
                <w:color w:val="000000"/>
                <w:sz w:val="20"/>
                <w:szCs w:val="20"/>
                <w:lang w:eastAsia="zh-CN"/>
              </w:rPr>
            </w:pPr>
            <w:r w:rsidRPr="00C958AD">
              <w:rPr>
                <w:rFonts w:ascii="Arial" w:eastAsia="Calibri" w:hAnsi="Arial" w:cs="Arial"/>
                <w:color w:val="000000"/>
                <w:sz w:val="20"/>
                <w:szCs w:val="20"/>
                <w:lang w:eastAsia="zh-CN"/>
              </w:rPr>
              <w:t>consum de combustibili</w:t>
            </w:r>
          </w:p>
        </w:tc>
        <w:tc>
          <w:tcPr>
            <w:tcW w:w="1350" w:type="dxa"/>
            <w:shd w:val="clear" w:color="auto" w:fill="auto"/>
          </w:tcPr>
          <w:p w14:paraId="668C6BD8"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40 %</w:t>
            </w:r>
          </w:p>
        </w:tc>
        <w:tc>
          <w:tcPr>
            <w:tcW w:w="1196" w:type="dxa"/>
            <w:shd w:val="clear" w:color="auto" w:fill="auto"/>
          </w:tcPr>
          <w:p w14:paraId="341235A8"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12 %</w:t>
            </w:r>
          </w:p>
        </w:tc>
        <w:tc>
          <w:tcPr>
            <w:tcW w:w="1196" w:type="dxa"/>
          </w:tcPr>
          <w:p w14:paraId="39A12EFF"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Scade</w:t>
            </w:r>
          </w:p>
        </w:tc>
      </w:tr>
      <w:tr w:rsidR="00C958AD" w:rsidRPr="00C958AD" w14:paraId="6E905DB2" w14:textId="77777777" w:rsidTr="00C958AD">
        <w:trPr>
          <w:cantSplit/>
          <w:jc w:val="center"/>
        </w:trPr>
        <w:tc>
          <w:tcPr>
            <w:tcW w:w="1350" w:type="dxa"/>
            <w:vMerge/>
            <w:shd w:val="clear" w:color="auto" w:fill="D9D9D9"/>
          </w:tcPr>
          <w:p w14:paraId="1E954A44" w14:textId="77777777" w:rsidR="00C958AD" w:rsidRPr="00C958AD" w:rsidRDefault="00C958AD" w:rsidP="00C958AD">
            <w:pPr>
              <w:widowControl w:val="0"/>
              <w:suppressLineNumbers/>
              <w:suppressAutoHyphens/>
              <w:snapToGrid w:val="0"/>
              <w:spacing w:after="0" w:line="240" w:lineRule="auto"/>
              <w:jc w:val="both"/>
              <w:rPr>
                <w:rFonts w:ascii="Arial" w:hAnsi="Arial" w:cs="Arial"/>
                <w:kern w:val="1"/>
                <w:sz w:val="20"/>
                <w:szCs w:val="20"/>
                <w:lang w:val="ro-RO" w:eastAsia="zh-CN" w:bidi="hi-IN"/>
              </w:rPr>
            </w:pPr>
          </w:p>
        </w:tc>
        <w:tc>
          <w:tcPr>
            <w:tcW w:w="1350" w:type="dxa"/>
            <w:vMerge/>
            <w:shd w:val="clear" w:color="auto" w:fill="auto"/>
          </w:tcPr>
          <w:p w14:paraId="604ED7B6"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p>
        </w:tc>
        <w:tc>
          <w:tcPr>
            <w:tcW w:w="3870" w:type="dxa"/>
            <w:shd w:val="clear" w:color="auto" w:fill="auto"/>
          </w:tcPr>
          <w:p w14:paraId="4BB6461F" w14:textId="77777777" w:rsidR="00C958AD" w:rsidRPr="00C958AD" w:rsidRDefault="00620BC5" w:rsidP="00C958AD">
            <w:pPr>
              <w:suppressAutoHyphens/>
              <w:autoSpaceDE w:val="0"/>
              <w:spacing w:after="0" w:line="240" w:lineRule="auto"/>
              <w:jc w:val="both"/>
              <w:rPr>
                <w:rFonts w:ascii="Arial" w:eastAsia="Calibri" w:hAnsi="Arial" w:cs="Arial"/>
                <w:color w:val="000000"/>
                <w:sz w:val="20"/>
                <w:szCs w:val="20"/>
                <w:lang w:val="es-ES" w:eastAsia="zh-CN"/>
              </w:rPr>
            </w:pPr>
            <w:r>
              <w:rPr>
                <w:rFonts w:ascii="Arial" w:eastAsia="Calibri" w:hAnsi="Arial" w:cs="Arial"/>
                <w:color w:val="000000"/>
                <w:sz w:val="20"/>
                <w:szCs w:val="20"/>
                <w:lang w:val="es-ES" w:eastAsia="zh-CN"/>
              </w:rPr>
              <w:t>viteza medie de circulaţie pe reţ</w:t>
            </w:r>
            <w:r w:rsidR="00C958AD" w:rsidRPr="00C958AD">
              <w:rPr>
                <w:rFonts w:ascii="Arial" w:eastAsia="Calibri" w:hAnsi="Arial" w:cs="Arial"/>
                <w:color w:val="000000"/>
                <w:sz w:val="20"/>
                <w:szCs w:val="20"/>
                <w:lang w:val="es-ES" w:eastAsia="zh-CN"/>
              </w:rPr>
              <w:t>ea</w:t>
            </w:r>
          </w:p>
        </w:tc>
        <w:tc>
          <w:tcPr>
            <w:tcW w:w="1350" w:type="dxa"/>
            <w:shd w:val="clear" w:color="auto" w:fill="auto"/>
          </w:tcPr>
          <w:p w14:paraId="2AACE768"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30 %</w:t>
            </w:r>
          </w:p>
        </w:tc>
        <w:tc>
          <w:tcPr>
            <w:tcW w:w="1196" w:type="dxa"/>
            <w:shd w:val="clear" w:color="auto" w:fill="auto"/>
          </w:tcPr>
          <w:p w14:paraId="463659F2"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9 %</w:t>
            </w:r>
          </w:p>
        </w:tc>
        <w:tc>
          <w:tcPr>
            <w:tcW w:w="1196" w:type="dxa"/>
          </w:tcPr>
          <w:p w14:paraId="2E257899" w14:textId="77777777" w:rsidR="00C958AD" w:rsidRPr="00C958AD" w:rsidRDefault="00620BC5"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Pr>
                <w:rFonts w:ascii="Arial" w:hAnsi="Arial" w:cs="Arial"/>
                <w:kern w:val="1"/>
                <w:sz w:val="20"/>
                <w:szCs w:val="20"/>
                <w:lang w:val="ro-RO" w:eastAsia="zh-CN" w:bidi="hi-IN"/>
              </w:rPr>
              <w:t>Creş</w:t>
            </w:r>
            <w:r w:rsidR="00C958AD" w:rsidRPr="00C958AD">
              <w:rPr>
                <w:rFonts w:ascii="Arial" w:hAnsi="Arial" w:cs="Arial"/>
                <w:kern w:val="1"/>
                <w:sz w:val="20"/>
                <w:szCs w:val="20"/>
                <w:lang w:val="ro-RO" w:eastAsia="zh-CN" w:bidi="hi-IN"/>
              </w:rPr>
              <w:t>te</w:t>
            </w:r>
          </w:p>
        </w:tc>
      </w:tr>
      <w:tr w:rsidR="00C958AD" w:rsidRPr="00C958AD" w14:paraId="05380EF2" w14:textId="77777777" w:rsidTr="00C958AD">
        <w:trPr>
          <w:cantSplit/>
          <w:jc w:val="center"/>
        </w:trPr>
        <w:tc>
          <w:tcPr>
            <w:tcW w:w="1350" w:type="dxa"/>
            <w:vMerge/>
            <w:shd w:val="clear" w:color="auto" w:fill="D9D9D9"/>
          </w:tcPr>
          <w:p w14:paraId="336766E2" w14:textId="77777777" w:rsidR="00C958AD" w:rsidRPr="00C958AD" w:rsidRDefault="00C958AD" w:rsidP="00C958AD">
            <w:pPr>
              <w:widowControl w:val="0"/>
              <w:suppressLineNumbers/>
              <w:suppressAutoHyphens/>
              <w:snapToGrid w:val="0"/>
              <w:spacing w:after="0" w:line="240" w:lineRule="auto"/>
              <w:jc w:val="both"/>
              <w:rPr>
                <w:rFonts w:ascii="Arial" w:hAnsi="Arial" w:cs="Arial"/>
                <w:kern w:val="1"/>
                <w:sz w:val="20"/>
                <w:szCs w:val="20"/>
                <w:lang w:val="ro-RO" w:eastAsia="zh-CN" w:bidi="hi-IN"/>
              </w:rPr>
            </w:pPr>
          </w:p>
        </w:tc>
        <w:tc>
          <w:tcPr>
            <w:tcW w:w="1350" w:type="dxa"/>
            <w:vMerge/>
            <w:shd w:val="clear" w:color="auto" w:fill="auto"/>
          </w:tcPr>
          <w:p w14:paraId="20E2B143"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p>
        </w:tc>
        <w:tc>
          <w:tcPr>
            <w:tcW w:w="3870" w:type="dxa"/>
            <w:shd w:val="clear" w:color="auto" w:fill="auto"/>
          </w:tcPr>
          <w:p w14:paraId="33B723EB" w14:textId="77777777" w:rsidR="00C958AD" w:rsidRPr="00C958AD" w:rsidRDefault="00620BC5" w:rsidP="00C958AD">
            <w:pPr>
              <w:suppressAutoHyphens/>
              <w:autoSpaceDE w:val="0"/>
              <w:spacing w:after="0" w:line="240" w:lineRule="auto"/>
              <w:jc w:val="both"/>
              <w:rPr>
                <w:rFonts w:ascii="Arial" w:eastAsia="Calibri" w:hAnsi="Arial" w:cs="Arial"/>
                <w:color w:val="000000"/>
                <w:sz w:val="20"/>
                <w:szCs w:val="20"/>
                <w:lang w:eastAsia="zh-CN"/>
              </w:rPr>
            </w:pPr>
            <w:r>
              <w:rPr>
                <w:rFonts w:ascii="Arial" w:eastAsia="Calibri" w:hAnsi="Arial" w:cs="Arial"/>
                <w:color w:val="000000"/>
                <w:sz w:val="20"/>
                <w:szCs w:val="20"/>
                <w:lang w:eastAsia="zh-CN"/>
              </w:rPr>
              <w:t>întâ</w:t>
            </w:r>
            <w:r w:rsidR="00C958AD" w:rsidRPr="00C958AD">
              <w:rPr>
                <w:rFonts w:ascii="Arial" w:eastAsia="Calibri" w:hAnsi="Arial" w:cs="Arial"/>
                <w:color w:val="000000"/>
                <w:sz w:val="20"/>
                <w:szCs w:val="20"/>
                <w:lang w:eastAsia="zh-CN"/>
              </w:rPr>
              <w:t>rzierea medie</w:t>
            </w:r>
          </w:p>
        </w:tc>
        <w:tc>
          <w:tcPr>
            <w:tcW w:w="1350" w:type="dxa"/>
            <w:shd w:val="clear" w:color="auto" w:fill="auto"/>
          </w:tcPr>
          <w:p w14:paraId="13E9BA47"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30 %</w:t>
            </w:r>
          </w:p>
        </w:tc>
        <w:tc>
          <w:tcPr>
            <w:tcW w:w="1196" w:type="dxa"/>
            <w:shd w:val="clear" w:color="auto" w:fill="auto"/>
          </w:tcPr>
          <w:p w14:paraId="089BE959"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9 %</w:t>
            </w:r>
          </w:p>
        </w:tc>
        <w:tc>
          <w:tcPr>
            <w:tcW w:w="1196" w:type="dxa"/>
          </w:tcPr>
          <w:p w14:paraId="6053AD9B"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Scade</w:t>
            </w:r>
          </w:p>
        </w:tc>
      </w:tr>
      <w:tr w:rsidR="00C958AD" w:rsidRPr="00C958AD" w14:paraId="6F52FFD7" w14:textId="77777777" w:rsidTr="00C958AD">
        <w:trPr>
          <w:cantSplit/>
          <w:jc w:val="center"/>
        </w:trPr>
        <w:tc>
          <w:tcPr>
            <w:tcW w:w="1350" w:type="dxa"/>
            <w:vMerge w:val="restart"/>
            <w:shd w:val="clear" w:color="auto" w:fill="D9D9D9"/>
            <w:vAlign w:val="center"/>
          </w:tcPr>
          <w:p w14:paraId="52A20226" w14:textId="77777777" w:rsidR="00C958AD" w:rsidRPr="00C958AD" w:rsidRDefault="00C958AD" w:rsidP="00C958AD">
            <w:pPr>
              <w:widowControl w:val="0"/>
              <w:suppressLineNumbers/>
              <w:suppressAutoHyphens/>
              <w:spacing w:after="0" w:line="240" w:lineRule="auto"/>
              <w:jc w:val="both"/>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Calitatea mediului urban</w:t>
            </w:r>
          </w:p>
        </w:tc>
        <w:tc>
          <w:tcPr>
            <w:tcW w:w="1350" w:type="dxa"/>
            <w:vMerge w:val="restart"/>
            <w:shd w:val="clear" w:color="auto" w:fill="auto"/>
            <w:vAlign w:val="center"/>
          </w:tcPr>
          <w:p w14:paraId="2C395A66" w14:textId="77777777" w:rsidR="00C958AD" w:rsidRPr="00C958AD" w:rsidRDefault="00C958AD" w:rsidP="00C958AD">
            <w:pPr>
              <w:widowControl w:val="0"/>
              <w:suppressLineNumbers/>
              <w:suppressAutoHyphens/>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20 %</w:t>
            </w:r>
          </w:p>
        </w:tc>
        <w:tc>
          <w:tcPr>
            <w:tcW w:w="3870" w:type="dxa"/>
            <w:shd w:val="clear" w:color="auto" w:fill="auto"/>
          </w:tcPr>
          <w:p w14:paraId="2F4DD8CB" w14:textId="77777777" w:rsidR="00C958AD" w:rsidRPr="00C958AD" w:rsidRDefault="00620BC5" w:rsidP="00C958AD">
            <w:pPr>
              <w:suppressAutoHyphens/>
              <w:autoSpaceDE w:val="0"/>
              <w:spacing w:after="0" w:line="240" w:lineRule="auto"/>
              <w:jc w:val="both"/>
              <w:rPr>
                <w:rFonts w:ascii="Arial" w:eastAsia="Calibri" w:hAnsi="Arial" w:cs="Arial"/>
                <w:color w:val="000000"/>
                <w:sz w:val="20"/>
                <w:szCs w:val="20"/>
                <w:lang w:val="es-ES" w:eastAsia="zh-CN"/>
              </w:rPr>
            </w:pPr>
            <w:r>
              <w:rPr>
                <w:rFonts w:ascii="Arial" w:eastAsia="Calibri" w:hAnsi="Arial" w:cs="Arial"/>
                <w:color w:val="000000"/>
                <w:sz w:val="20"/>
                <w:szCs w:val="20"/>
                <w:lang w:val="es-ES" w:eastAsia="zh-CN"/>
              </w:rPr>
              <w:t>nivel de serviciu în intersecţ</w:t>
            </w:r>
            <w:r w:rsidR="00C958AD" w:rsidRPr="00C958AD">
              <w:rPr>
                <w:rFonts w:ascii="Arial" w:eastAsia="Calibri" w:hAnsi="Arial" w:cs="Arial"/>
                <w:color w:val="000000"/>
                <w:sz w:val="20"/>
                <w:szCs w:val="20"/>
                <w:lang w:val="es-ES" w:eastAsia="zh-CN"/>
              </w:rPr>
              <w:t>ii</w:t>
            </w:r>
          </w:p>
        </w:tc>
        <w:tc>
          <w:tcPr>
            <w:tcW w:w="1350" w:type="dxa"/>
            <w:shd w:val="clear" w:color="auto" w:fill="auto"/>
          </w:tcPr>
          <w:p w14:paraId="5882A023"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30 %</w:t>
            </w:r>
          </w:p>
        </w:tc>
        <w:tc>
          <w:tcPr>
            <w:tcW w:w="1196" w:type="dxa"/>
            <w:shd w:val="clear" w:color="auto" w:fill="auto"/>
          </w:tcPr>
          <w:p w14:paraId="264647FE"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6 %</w:t>
            </w:r>
          </w:p>
        </w:tc>
        <w:tc>
          <w:tcPr>
            <w:tcW w:w="1196" w:type="dxa"/>
          </w:tcPr>
          <w:p w14:paraId="7144969D" w14:textId="77777777" w:rsidR="00C958AD" w:rsidRPr="00C958AD" w:rsidRDefault="00620BC5"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Pr>
                <w:rFonts w:ascii="Arial" w:hAnsi="Arial" w:cs="Arial"/>
                <w:kern w:val="1"/>
                <w:sz w:val="20"/>
                <w:szCs w:val="20"/>
                <w:lang w:val="ro-RO" w:eastAsia="zh-CN" w:bidi="hi-IN"/>
              </w:rPr>
              <w:t>Creş</w:t>
            </w:r>
            <w:r w:rsidR="00C958AD" w:rsidRPr="00C958AD">
              <w:rPr>
                <w:rFonts w:ascii="Arial" w:hAnsi="Arial" w:cs="Arial"/>
                <w:kern w:val="1"/>
                <w:sz w:val="20"/>
                <w:szCs w:val="20"/>
                <w:lang w:val="ro-RO" w:eastAsia="zh-CN" w:bidi="hi-IN"/>
              </w:rPr>
              <w:t>te</w:t>
            </w:r>
          </w:p>
        </w:tc>
      </w:tr>
      <w:tr w:rsidR="00C958AD" w:rsidRPr="00C958AD" w14:paraId="24EFCF02" w14:textId="77777777" w:rsidTr="00C958AD">
        <w:trPr>
          <w:cantSplit/>
          <w:jc w:val="center"/>
        </w:trPr>
        <w:tc>
          <w:tcPr>
            <w:tcW w:w="1350" w:type="dxa"/>
            <w:vMerge/>
            <w:shd w:val="clear" w:color="auto" w:fill="D9D9D9"/>
          </w:tcPr>
          <w:p w14:paraId="5E2DD038" w14:textId="77777777" w:rsidR="00C958AD" w:rsidRPr="00C958AD" w:rsidRDefault="00C958AD" w:rsidP="00C958AD">
            <w:pPr>
              <w:widowControl w:val="0"/>
              <w:suppressLineNumbers/>
              <w:suppressAutoHyphens/>
              <w:snapToGrid w:val="0"/>
              <w:spacing w:after="0" w:line="240" w:lineRule="auto"/>
              <w:jc w:val="both"/>
              <w:rPr>
                <w:rFonts w:ascii="Arial" w:hAnsi="Arial" w:cs="Arial"/>
                <w:kern w:val="1"/>
                <w:sz w:val="20"/>
                <w:szCs w:val="20"/>
                <w:lang w:val="ro-RO" w:eastAsia="zh-CN" w:bidi="hi-IN"/>
              </w:rPr>
            </w:pPr>
          </w:p>
        </w:tc>
        <w:tc>
          <w:tcPr>
            <w:tcW w:w="1350" w:type="dxa"/>
            <w:vMerge/>
            <w:shd w:val="clear" w:color="auto" w:fill="auto"/>
          </w:tcPr>
          <w:p w14:paraId="1E99CA97"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p>
        </w:tc>
        <w:tc>
          <w:tcPr>
            <w:tcW w:w="3870" w:type="dxa"/>
            <w:shd w:val="clear" w:color="auto" w:fill="auto"/>
          </w:tcPr>
          <w:p w14:paraId="0CFDB8F5" w14:textId="0C7F9D9E" w:rsidR="00C958AD" w:rsidRPr="00C958AD" w:rsidRDefault="00C958AD" w:rsidP="00C958AD">
            <w:pPr>
              <w:suppressAutoHyphens/>
              <w:autoSpaceDE w:val="0"/>
              <w:spacing w:after="0" w:line="240" w:lineRule="auto"/>
              <w:jc w:val="both"/>
              <w:rPr>
                <w:rFonts w:ascii="Arial" w:eastAsia="Calibri" w:hAnsi="Arial" w:cs="Arial"/>
                <w:color w:val="000000"/>
                <w:sz w:val="20"/>
                <w:szCs w:val="20"/>
                <w:lang w:eastAsia="zh-CN"/>
              </w:rPr>
            </w:pPr>
            <w:r w:rsidRPr="00C958AD">
              <w:rPr>
                <w:rFonts w:ascii="Arial" w:eastAsia="Calibri" w:hAnsi="Arial" w:cs="Arial"/>
                <w:color w:val="000000"/>
                <w:sz w:val="20"/>
                <w:szCs w:val="20"/>
                <w:lang w:eastAsia="zh-CN"/>
              </w:rPr>
              <w:t xml:space="preserve">rețea </w:t>
            </w:r>
            <w:r w:rsidR="00A27348">
              <w:rPr>
                <w:rFonts w:ascii="Arial" w:eastAsia="Calibri" w:hAnsi="Arial" w:cs="Arial"/>
                <w:color w:val="000000"/>
                <w:sz w:val="20"/>
                <w:szCs w:val="20"/>
                <w:lang w:eastAsia="zh-CN"/>
              </w:rPr>
              <w:t>trasee pentru</w:t>
            </w:r>
            <w:r w:rsidRPr="00C958AD">
              <w:rPr>
                <w:rFonts w:ascii="Arial" w:eastAsia="Calibri" w:hAnsi="Arial" w:cs="Arial"/>
                <w:color w:val="000000"/>
                <w:sz w:val="20"/>
                <w:szCs w:val="20"/>
                <w:lang w:eastAsia="zh-CN"/>
              </w:rPr>
              <w:t xml:space="preserve"> biciclete (lungime, densitate, procent din total rețea rutieră)</w:t>
            </w:r>
          </w:p>
        </w:tc>
        <w:tc>
          <w:tcPr>
            <w:tcW w:w="1350" w:type="dxa"/>
            <w:shd w:val="clear" w:color="auto" w:fill="auto"/>
          </w:tcPr>
          <w:p w14:paraId="7CAD4805"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40 %</w:t>
            </w:r>
          </w:p>
        </w:tc>
        <w:tc>
          <w:tcPr>
            <w:tcW w:w="1196" w:type="dxa"/>
            <w:shd w:val="clear" w:color="auto" w:fill="auto"/>
          </w:tcPr>
          <w:p w14:paraId="1EB0F0CA"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8 %</w:t>
            </w:r>
          </w:p>
        </w:tc>
        <w:tc>
          <w:tcPr>
            <w:tcW w:w="1196" w:type="dxa"/>
          </w:tcPr>
          <w:p w14:paraId="05122A5C" w14:textId="77777777" w:rsidR="00C958AD" w:rsidRPr="00C958AD" w:rsidRDefault="00620BC5"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Pr>
                <w:rFonts w:ascii="Arial" w:hAnsi="Arial" w:cs="Arial"/>
                <w:kern w:val="1"/>
                <w:sz w:val="20"/>
                <w:szCs w:val="20"/>
                <w:lang w:val="ro-RO" w:eastAsia="zh-CN" w:bidi="hi-IN"/>
              </w:rPr>
              <w:t>Creş</w:t>
            </w:r>
            <w:r w:rsidR="00C958AD" w:rsidRPr="00C958AD">
              <w:rPr>
                <w:rFonts w:ascii="Arial" w:hAnsi="Arial" w:cs="Arial"/>
                <w:kern w:val="1"/>
                <w:sz w:val="20"/>
                <w:szCs w:val="20"/>
                <w:lang w:val="ro-RO" w:eastAsia="zh-CN" w:bidi="hi-IN"/>
              </w:rPr>
              <w:t>te</w:t>
            </w:r>
          </w:p>
        </w:tc>
      </w:tr>
      <w:tr w:rsidR="00C958AD" w:rsidRPr="00C958AD" w14:paraId="30AE0ABE" w14:textId="77777777" w:rsidTr="00C958AD">
        <w:trPr>
          <w:cantSplit/>
          <w:jc w:val="center"/>
        </w:trPr>
        <w:tc>
          <w:tcPr>
            <w:tcW w:w="1350" w:type="dxa"/>
            <w:vMerge/>
            <w:shd w:val="clear" w:color="auto" w:fill="D9D9D9"/>
          </w:tcPr>
          <w:p w14:paraId="1EE5536C" w14:textId="77777777" w:rsidR="00C958AD" w:rsidRPr="00C958AD" w:rsidRDefault="00C958AD" w:rsidP="00C958AD">
            <w:pPr>
              <w:widowControl w:val="0"/>
              <w:suppressLineNumbers/>
              <w:suppressAutoHyphens/>
              <w:snapToGrid w:val="0"/>
              <w:spacing w:after="0" w:line="240" w:lineRule="auto"/>
              <w:jc w:val="both"/>
              <w:rPr>
                <w:rFonts w:ascii="Arial" w:hAnsi="Arial" w:cs="Arial"/>
                <w:kern w:val="1"/>
                <w:sz w:val="20"/>
                <w:szCs w:val="20"/>
                <w:lang w:val="ro-RO" w:eastAsia="zh-CN" w:bidi="hi-IN"/>
              </w:rPr>
            </w:pPr>
          </w:p>
        </w:tc>
        <w:tc>
          <w:tcPr>
            <w:tcW w:w="1350" w:type="dxa"/>
            <w:vMerge/>
            <w:shd w:val="clear" w:color="auto" w:fill="auto"/>
          </w:tcPr>
          <w:p w14:paraId="5EBE2BF3"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p>
        </w:tc>
        <w:tc>
          <w:tcPr>
            <w:tcW w:w="3870" w:type="dxa"/>
            <w:shd w:val="clear" w:color="auto" w:fill="auto"/>
          </w:tcPr>
          <w:p w14:paraId="40A901B0" w14:textId="77777777" w:rsidR="00C958AD" w:rsidRPr="00C958AD" w:rsidRDefault="00620BC5" w:rsidP="00C958AD">
            <w:pPr>
              <w:suppressAutoHyphens/>
              <w:autoSpaceDE w:val="0"/>
              <w:spacing w:after="0" w:line="240" w:lineRule="auto"/>
              <w:jc w:val="both"/>
              <w:rPr>
                <w:rFonts w:ascii="Arial" w:eastAsia="Calibri" w:hAnsi="Arial" w:cs="Arial"/>
                <w:color w:val="000000"/>
                <w:sz w:val="20"/>
                <w:szCs w:val="20"/>
                <w:lang w:eastAsia="zh-CN"/>
              </w:rPr>
            </w:pPr>
            <w:r>
              <w:rPr>
                <w:rFonts w:ascii="Arial" w:eastAsia="Calibri" w:hAnsi="Arial" w:cs="Arial"/>
                <w:color w:val="000000"/>
                <w:sz w:val="20"/>
                <w:szCs w:val="20"/>
                <w:lang w:eastAsia="zh-CN"/>
              </w:rPr>
              <w:t>lungimea cozilor de aş</w:t>
            </w:r>
            <w:r w:rsidR="00C958AD" w:rsidRPr="00C958AD">
              <w:rPr>
                <w:rFonts w:ascii="Arial" w:eastAsia="Calibri" w:hAnsi="Arial" w:cs="Arial"/>
                <w:color w:val="000000"/>
                <w:sz w:val="20"/>
                <w:szCs w:val="20"/>
                <w:lang w:eastAsia="zh-CN"/>
              </w:rPr>
              <w:t>teptare</w:t>
            </w:r>
          </w:p>
        </w:tc>
        <w:tc>
          <w:tcPr>
            <w:tcW w:w="1350" w:type="dxa"/>
            <w:shd w:val="clear" w:color="auto" w:fill="auto"/>
          </w:tcPr>
          <w:p w14:paraId="2EB292CF"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30 %</w:t>
            </w:r>
          </w:p>
        </w:tc>
        <w:tc>
          <w:tcPr>
            <w:tcW w:w="1196" w:type="dxa"/>
            <w:shd w:val="clear" w:color="auto" w:fill="auto"/>
          </w:tcPr>
          <w:p w14:paraId="13B6C8D2" w14:textId="77777777" w:rsidR="00C958AD" w:rsidRPr="00C958AD" w:rsidRDefault="00C958AD" w:rsidP="00C958AD">
            <w:pPr>
              <w:widowControl w:val="0"/>
              <w:suppressLineNumbers/>
              <w:suppressAutoHyphens/>
              <w:snapToGrid w:val="0"/>
              <w:spacing w:after="0" w:line="240" w:lineRule="auto"/>
              <w:jc w:val="center"/>
              <w:rPr>
                <w:rFonts w:ascii="Arial" w:hAnsi="Arial" w:cs="Mangal"/>
                <w:kern w:val="1"/>
                <w:sz w:val="20"/>
                <w:szCs w:val="24"/>
                <w:lang w:val="ro-RO" w:eastAsia="zh-CN" w:bidi="hi-IN"/>
              </w:rPr>
            </w:pPr>
            <w:r w:rsidRPr="00C958AD">
              <w:rPr>
                <w:rFonts w:ascii="Arial" w:hAnsi="Arial" w:cs="Mangal"/>
                <w:kern w:val="1"/>
                <w:sz w:val="20"/>
                <w:szCs w:val="24"/>
                <w:lang w:val="ro-RO" w:eastAsia="zh-CN" w:bidi="hi-IN"/>
              </w:rPr>
              <w:t>6 %</w:t>
            </w:r>
          </w:p>
        </w:tc>
        <w:tc>
          <w:tcPr>
            <w:tcW w:w="1196" w:type="dxa"/>
          </w:tcPr>
          <w:p w14:paraId="6642EDEA" w14:textId="77777777" w:rsidR="00C958AD" w:rsidRPr="00C958AD" w:rsidRDefault="00C958AD" w:rsidP="00C958AD">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C958AD">
              <w:rPr>
                <w:rFonts w:ascii="Arial" w:hAnsi="Arial" w:cs="Arial"/>
                <w:kern w:val="1"/>
                <w:sz w:val="20"/>
                <w:szCs w:val="20"/>
                <w:lang w:val="ro-RO" w:eastAsia="zh-CN" w:bidi="hi-IN"/>
              </w:rPr>
              <w:t>Scade</w:t>
            </w:r>
          </w:p>
        </w:tc>
      </w:tr>
      <w:tr w:rsidR="00C958AD" w:rsidRPr="00C958AD" w14:paraId="32889A35" w14:textId="77777777" w:rsidTr="00C958AD">
        <w:trPr>
          <w:jc w:val="center"/>
        </w:trPr>
        <w:tc>
          <w:tcPr>
            <w:tcW w:w="1350" w:type="dxa"/>
            <w:shd w:val="clear" w:color="auto" w:fill="92D050"/>
          </w:tcPr>
          <w:p w14:paraId="1FDEE19C" w14:textId="77777777" w:rsidR="00C958AD" w:rsidRPr="00C958AD" w:rsidRDefault="00C958AD" w:rsidP="00C958AD">
            <w:pPr>
              <w:widowControl w:val="0"/>
              <w:suppressLineNumbers/>
              <w:suppressAutoHyphens/>
              <w:spacing w:after="0" w:line="240" w:lineRule="auto"/>
              <w:jc w:val="both"/>
              <w:rPr>
                <w:rFonts w:ascii="Arial" w:hAnsi="Arial" w:cs="Arial"/>
                <w:b/>
                <w:bCs/>
                <w:kern w:val="1"/>
                <w:sz w:val="20"/>
                <w:szCs w:val="20"/>
                <w:lang w:val="ro-RO" w:eastAsia="zh-CN" w:bidi="hi-IN"/>
              </w:rPr>
            </w:pPr>
            <w:r w:rsidRPr="00C958AD">
              <w:rPr>
                <w:rFonts w:ascii="Arial" w:hAnsi="Arial" w:cs="Arial"/>
                <w:b/>
                <w:bCs/>
                <w:kern w:val="1"/>
                <w:sz w:val="20"/>
                <w:szCs w:val="20"/>
                <w:lang w:val="ro-RO" w:eastAsia="zh-CN" w:bidi="hi-IN"/>
              </w:rPr>
              <w:t>Total</w:t>
            </w:r>
          </w:p>
        </w:tc>
        <w:tc>
          <w:tcPr>
            <w:tcW w:w="1350" w:type="dxa"/>
            <w:shd w:val="clear" w:color="auto" w:fill="92D050"/>
          </w:tcPr>
          <w:p w14:paraId="4481D532" w14:textId="77777777" w:rsidR="00C958AD" w:rsidRPr="00C958AD" w:rsidRDefault="00C958AD" w:rsidP="00C958AD">
            <w:pPr>
              <w:widowControl w:val="0"/>
              <w:suppressLineNumbers/>
              <w:suppressAutoHyphens/>
              <w:spacing w:after="0" w:line="240" w:lineRule="auto"/>
              <w:jc w:val="center"/>
              <w:rPr>
                <w:rFonts w:ascii="Arial" w:hAnsi="Arial" w:cs="Arial"/>
                <w:b/>
                <w:bCs/>
                <w:kern w:val="1"/>
                <w:sz w:val="20"/>
                <w:szCs w:val="20"/>
                <w:lang w:val="ro-RO" w:eastAsia="zh-CN" w:bidi="hi-IN"/>
              </w:rPr>
            </w:pPr>
            <w:r w:rsidRPr="00C958AD">
              <w:rPr>
                <w:rFonts w:ascii="Arial" w:hAnsi="Arial" w:cs="Arial"/>
                <w:b/>
                <w:bCs/>
                <w:kern w:val="1"/>
                <w:sz w:val="20"/>
                <w:szCs w:val="20"/>
                <w:lang w:val="ro-RO" w:eastAsia="zh-CN" w:bidi="hi-IN"/>
              </w:rPr>
              <w:t>100 %</w:t>
            </w:r>
          </w:p>
        </w:tc>
        <w:tc>
          <w:tcPr>
            <w:tcW w:w="3870" w:type="dxa"/>
            <w:shd w:val="clear" w:color="auto" w:fill="92D050"/>
          </w:tcPr>
          <w:p w14:paraId="43DCA97E" w14:textId="77777777" w:rsidR="00C958AD" w:rsidRPr="00C958AD" w:rsidRDefault="00C958AD" w:rsidP="00C958AD">
            <w:pPr>
              <w:widowControl w:val="0"/>
              <w:suppressLineNumbers/>
              <w:suppressAutoHyphens/>
              <w:snapToGrid w:val="0"/>
              <w:spacing w:after="0" w:line="240" w:lineRule="auto"/>
              <w:jc w:val="both"/>
              <w:rPr>
                <w:rFonts w:ascii="Arial" w:hAnsi="Arial" w:cs="Arial"/>
                <w:b/>
                <w:bCs/>
                <w:kern w:val="1"/>
                <w:sz w:val="20"/>
                <w:szCs w:val="20"/>
                <w:lang w:val="ro-RO" w:eastAsia="zh-CN" w:bidi="hi-IN"/>
              </w:rPr>
            </w:pPr>
          </w:p>
        </w:tc>
        <w:tc>
          <w:tcPr>
            <w:tcW w:w="1350" w:type="dxa"/>
            <w:shd w:val="clear" w:color="auto" w:fill="92D050"/>
          </w:tcPr>
          <w:p w14:paraId="035F27CF" w14:textId="77777777" w:rsidR="00C958AD" w:rsidRPr="00C958AD" w:rsidRDefault="00C958AD" w:rsidP="00C958AD">
            <w:pPr>
              <w:widowControl w:val="0"/>
              <w:suppressLineNumbers/>
              <w:suppressAutoHyphens/>
              <w:snapToGrid w:val="0"/>
              <w:spacing w:after="0" w:line="240" w:lineRule="auto"/>
              <w:jc w:val="center"/>
              <w:rPr>
                <w:rFonts w:ascii="Arial" w:hAnsi="Arial" w:cs="Arial"/>
                <w:b/>
                <w:bCs/>
                <w:kern w:val="1"/>
                <w:sz w:val="20"/>
                <w:szCs w:val="20"/>
                <w:lang w:val="ro-RO" w:eastAsia="zh-CN" w:bidi="hi-IN"/>
              </w:rPr>
            </w:pPr>
          </w:p>
        </w:tc>
        <w:tc>
          <w:tcPr>
            <w:tcW w:w="1196" w:type="dxa"/>
            <w:shd w:val="clear" w:color="auto" w:fill="92D050"/>
          </w:tcPr>
          <w:p w14:paraId="7486EC4A" w14:textId="77777777" w:rsidR="00C958AD" w:rsidRPr="00C958AD" w:rsidRDefault="00C958AD" w:rsidP="00C958AD">
            <w:pPr>
              <w:widowControl w:val="0"/>
              <w:suppressLineNumbers/>
              <w:suppressAutoHyphens/>
              <w:spacing w:after="0" w:line="240" w:lineRule="auto"/>
              <w:jc w:val="center"/>
              <w:rPr>
                <w:rFonts w:ascii="Arial" w:hAnsi="Arial" w:cs="Mangal"/>
                <w:kern w:val="1"/>
                <w:sz w:val="20"/>
                <w:szCs w:val="24"/>
                <w:lang w:val="ro-RO" w:eastAsia="zh-CN" w:bidi="hi-IN"/>
              </w:rPr>
            </w:pPr>
            <w:r w:rsidRPr="00C958AD">
              <w:rPr>
                <w:rFonts w:ascii="Arial" w:hAnsi="Arial" w:cs="Arial"/>
                <w:b/>
                <w:bCs/>
                <w:kern w:val="1"/>
                <w:sz w:val="20"/>
                <w:szCs w:val="20"/>
                <w:lang w:val="ro-RO" w:eastAsia="zh-CN" w:bidi="hi-IN"/>
              </w:rPr>
              <w:t>100 %</w:t>
            </w:r>
          </w:p>
        </w:tc>
        <w:tc>
          <w:tcPr>
            <w:tcW w:w="1196" w:type="dxa"/>
            <w:shd w:val="clear" w:color="auto" w:fill="92D050"/>
          </w:tcPr>
          <w:p w14:paraId="7723C6A5" w14:textId="77777777" w:rsidR="00C958AD" w:rsidRPr="00C958AD" w:rsidRDefault="00C958AD" w:rsidP="00C958AD">
            <w:pPr>
              <w:widowControl w:val="0"/>
              <w:suppressLineNumbers/>
              <w:suppressAutoHyphens/>
              <w:spacing w:after="0" w:line="240" w:lineRule="auto"/>
              <w:jc w:val="center"/>
              <w:rPr>
                <w:rFonts w:ascii="Arial" w:hAnsi="Arial" w:cs="Arial"/>
                <w:b/>
                <w:bCs/>
                <w:kern w:val="1"/>
                <w:sz w:val="20"/>
                <w:szCs w:val="20"/>
                <w:lang w:val="ro-RO" w:eastAsia="zh-CN" w:bidi="hi-IN"/>
              </w:rPr>
            </w:pPr>
          </w:p>
        </w:tc>
      </w:tr>
    </w:tbl>
    <w:p w14:paraId="3D90BD3E" w14:textId="77777777" w:rsidR="00C958AD" w:rsidRPr="00C958AD" w:rsidRDefault="00C958AD" w:rsidP="00C958AD">
      <w:pPr>
        <w:rPr>
          <w:rFonts w:ascii="Calibri" w:hAnsi="Calibri" w:cs="Times New Roman"/>
        </w:rPr>
      </w:pPr>
    </w:p>
    <w:p w14:paraId="74B8D321" w14:textId="77777777" w:rsidR="00C958AD" w:rsidRPr="00C958AD" w:rsidRDefault="00C958AD" w:rsidP="00C958AD">
      <w:pPr>
        <w:widowControl w:val="0"/>
        <w:suppressAutoHyphens/>
        <w:spacing w:after="0" w:line="276" w:lineRule="auto"/>
        <w:jc w:val="both"/>
        <w:rPr>
          <w:rFonts w:ascii="Arial" w:hAnsi="Arial" w:cs="Mangal"/>
          <w:kern w:val="1"/>
          <w:lang w:val="ro-RO" w:eastAsia="hi-IN" w:bidi="hi-IN"/>
        </w:rPr>
      </w:pPr>
      <w:bookmarkStart w:id="422" w:name="_Hlk66435507"/>
      <w:r w:rsidRPr="00C958AD">
        <w:rPr>
          <w:rFonts w:ascii="Arial" w:hAnsi="Arial" w:cs="Mangal"/>
          <w:kern w:val="1"/>
          <w:lang w:val="ro-RO" w:eastAsia="hi-IN" w:bidi="hi-IN"/>
        </w:rPr>
        <w:t xml:space="preserve">Rezultatele obţinute de fiecare proiect în urma analizei multicriteriale </w:t>
      </w:r>
      <w:bookmarkEnd w:id="422"/>
      <w:r w:rsidRPr="00C958AD">
        <w:rPr>
          <w:rFonts w:ascii="Arial" w:hAnsi="Arial" w:cs="Mangal"/>
          <w:kern w:val="1"/>
          <w:lang w:val="ro-RO" w:eastAsia="hi-IN" w:bidi="hi-IN"/>
        </w:rPr>
        <w:t xml:space="preserve">sunt prezentate în </w:t>
      </w:r>
      <w:r w:rsidRPr="00D45675">
        <w:rPr>
          <w:rFonts w:ascii="Arial" w:hAnsi="Arial" w:cs="Mangal"/>
          <w:kern w:val="1"/>
          <w:lang w:val="ro-RO" w:eastAsia="hi-IN" w:bidi="hi-IN"/>
        </w:rPr>
        <w:t xml:space="preserve">Anexa </w:t>
      </w:r>
      <w:r w:rsidR="00D45675" w:rsidRPr="00D45675">
        <w:rPr>
          <w:rFonts w:ascii="Arial" w:hAnsi="Arial" w:cs="Mangal"/>
          <w:kern w:val="1"/>
          <w:lang w:val="ro-RO" w:eastAsia="hi-IN" w:bidi="hi-IN"/>
        </w:rPr>
        <w:t>10</w:t>
      </w:r>
      <w:r w:rsidRPr="00D45675">
        <w:rPr>
          <w:rFonts w:ascii="Arial" w:hAnsi="Arial" w:cs="Mangal"/>
          <w:kern w:val="1"/>
          <w:lang w:val="ro-RO" w:eastAsia="hi-IN" w:bidi="hi-IN"/>
        </w:rPr>
        <w:t>.</w:t>
      </w:r>
    </w:p>
    <w:p w14:paraId="7188907F" w14:textId="77777777" w:rsidR="00C958AD" w:rsidRPr="00C958AD" w:rsidRDefault="00C958AD" w:rsidP="00C958AD">
      <w:pPr>
        <w:rPr>
          <w:rFonts w:ascii="Calibri" w:hAnsi="Calibri" w:cs="Times New Roman"/>
        </w:rPr>
      </w:pPr>
    </w:p>
    <w:p w14:paraId="1F1C4D8D" w14:textId="77777777" w:rsidR="003430C5" w:rsidRDefault="003430C5">
      <w:pPr>
        <w:rPr>
          <w:rFonts w:ascii="Arial" w:eastAsia="Times New Roman" w:hAnsi="Arial" w:cs="Arial"/>
          <w:b/>
          <w:sz w:val="24"/>
          <w:szCs w:val="24"/>
          <w:lang w:val="it-IT" w:eastAsia="ro-RO"/>
        </w:rPr>
      </w:pPr>
      <w:r>
        <w:rPr>
          <w:rFonts w:ascii="Arial" w:eastAsia="Times New Roman" w:hAnsi="Arial" w:cs="Arial"/>
          <w:b/>
          <w:sz w:val="24"/>
          <w:szCs w:val="24"/>
          <w:lang w:val="it-IT" w:eastAsia="ro-RO"/>
        </w:rPr>
        <w:br w:type="page"/>
      </w:r>
    </w:p>
    <w:p w14:paraId="1BD7E5FA" w14:textId="77777777" w:rsidR="00D70AEA" w:rsidRDefault="00EA79B2" w:rsidP="003430C5">
      <w:pPr>
        <w:pStyle w:val="Titlu1"/>
        <w:rPr>
          <w:rFonts w:ascii="Arial" w:eastAsia="Times New Roman" w:hAnsi="Arial" w:cs="Arial"/>
          <w:b/>
          <w:bCs/>
          <w:color w:val="auto"/>
          <w:sz w:val="28"/>
          <w:szCs w:val="28"/>
          <w:lang w:val="it-IT" w:eastAsia="ro-RO"/>
        </w:rPr>
      </w:pPr>
      <w:bookmarkStart w:id="423" w:name="_Toc61264912"/>
      <w:bookmarkStart w:id="424" w:name="_Toc142039097"/>
      <w:r w:rsidRPr="00EA79B2">
        <w:rPr>
          <w:rFonts w:asciiTheme="minorHAnsi" w:eastAsia="SimSun" w:hAnsiTheme="minorHAnsi" w:cstheme="minorBidi"/>
          <w:noProof/>
          <w:color w:val="auto"/>
          <w:sz w:val="22"/>
          <w:szCs w:val="22"/>
        </w:rPr>
        <w:lastRenderedPageBreak/>
        <mc:AlternateContent>
          <mc:Choice Requires="wps">
            <w:drawing>
              <wp:anchor distT="0" distB="0" distL="114300" distR="114300" simplePos="0" relativeHeight="251624960" behindDoc="0" locked="0" layoutInCell="1" allowOverlap="1" wp14:anchorId="3A75A221" wp14:editId="4DD9AF45">
                <wp:simplePos x="0" y="0"/>
                <wp:positionH relativeFrom="column">
                  <wp:posOffset>6210300</wp:posOffset>
                </wp:positionH>
                <wp:positionV relativeFrom="paragraph">
                  <wp:posOffset>19050</wp:posOffset>
                </wp:positionV>
                <wp:extent cx="1828800" cy="1828800"/>
                <wp:effectExtent l="0" t="0" r="0" b="0"/>
                <wp:wrapNone/>
                <wp:docPr id="53" name="Text Box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9BD9015" w14:textId="77777777" w:rsidR="00C36A80" w:rsidRPr="00770D30" w:rsidRDefault="00C36A80" w:rsidP="00EA79B2">
                            <w:pPr>
                              <w:pStyle w:val="Titlu1"/>
                              <w:jc w:val="center"/>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pPr>
                            <w:bookmarkStart w:id="425" w:name="_Toc142039098"/>
                            <w:r w:rsidRPr="00770D30">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t>I.6</w:t>
                            </w:r>
                            <w:bookmarkEnd w:id="425"/>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A75A221" id="Text Box 53" o:spid="_x0000_s1088" type="#_x0000_t202" style="position:absolute;margin-left:489pt;margin-top:1.5pt;width:2in;height:2in;z-index:2516249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" filled="f" stroked="f">
                <v:textbox style="mso-fit-shape-to-text:t">
                  <w:txbxContent>
                    <w:p w14:paraId="19BD9015" w14:textId="77777777" w:rsidR="00C36A80" w:rsidRPr="00770D30" w:rsidRDefault="00C36A80" w:rsidP="00EA79B2">
                      <w:pPr>
                        <w:pStyle w:val="Titlu1"/>
                        <w:jc w:val="center"/>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pPr>
                      <w:bookmarkStart w:id="426" w:name="_Toc142039098"/>
                      <w:r w:rsidRPr="00770D30">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t>I.6</w:t>
                      </w:r>
                      <w:bookmarkEnd w:id="426"/>
                    </w:p>
                  </w:txbxContent>
                </v:textbox>
              </v:shape>
            </w:pict>
          </mc:Fallback>
        </mc:AlternateContent>
      </w:r>
      <w:r w:rsidR="00D70AEA" w:rsidRPr="003430C5">
        <w:rPr>
          <w:rFonts w:ascii="Arial" w:eastAsia="Times New Roman" w:hAnsi="Arial" w:cs="Arial"/>
          <w:b/>
          <w:bCs/>
          <w:color w:val="auto"/>
          <w:sz w:val="28"/>
          <w:szCs w:val="28"/>
          <w:lang w:val="it-IT" w:eastAsia="ro-RO"/>
        </w:rPr>
        <w:t xml:space="preserve">I.6 </w:t>
      </w:r>
      <w:r w:rsidR="007A73C2">
        <w:rPr>
          <w:rFonts w:ascii="Arial" w:eastAsia="Times New Roman" w:hAnsi="Arial" w:cs="Arial"/>
          <w:b/>
          <w:bCs/>
          <w:color w:val="auto"/>
          <w:sz w:val="28"/>
          <w:szCs w:val="28"/>
          <w:lang w:val="it-IT" w:eastAsia="ro-RO"/>
        </w:rPr>
        <w:t>Direcții</w:t>
      </w:r>
      <w:r w:rsidR="00D70AEA" w:rsidRPr="003430C5">
        <w:rPr>
          <w:rFonts w:ascii="Arial" w:eastAsia="Times New Roman" w:hAnsi="Arial" w:cs="Arial"/>
          <w:b/>
          <w:bCs/>
          <w:color w:val="auto"/>
          <w:sz w:val="28"/>
          <w:szCs w:val="28"/>
          <w:lang w:val="it-IT" w:eastAsia="ro-RO"/>
        </w:rPr>
        <w:t xml:space="preserve"> de acțiune și proiecte de dezvoltare a mobilitatii urbane</w:t>
      </w:r>
      <w:bookmarkEnd w:id="423"/>
      <w:bookmarkEnd w:id="424"/>
    </w:p>
    <w:p w14:paraId="449E73CC" w14:textId="77777777" w:rsidR="00620BC5" w:rsidRPr="00620BC5" w:rsidRDefault="00620BC5" w:rsidP="00620BC5">
      <w:pPr>
        <w:suppressAutoHyphens/>
        <w:autoSpaceDE w:val="0"/>
        <w:spacing w:after="0" w:line="276" w:lineRule="auto"/>
        <w:jc w:val="both"/>
        <w:rPr>
          <w:rFonts w:ascii="Arial" w:eastAsia="Arial" w:hAnsi="Arial" w:cs="Arial"/>
          <w:color w:val="000000"/>
          <w:lang w:val="es-ES" w:eastAsia="zh-CN"/>
        </w:rPr>
      </w:pPr>
      <w:r w:rsidRPr="00620BC5">
        <w:rPr>
          <w:rFonts w:ascii="Arial" w:eastAsia="Times New Roman" w:hAnsi="Arial" w:cs="Arial"/>
          <w:color w:val="000000"/>
          <w:lang w:val="es-ES" w:eastAsia="ro-RO"/>
        </w:rPr>
        <w:t xml:space="preserve">Elaborarea scenariilor este o acțiune premergǎtoare cristalizǎrii unei viziuni asupra evoluției mobilitǎții în perimetrul </w:t>
      </w:r>
      <w:r w:rsidRPr="00620BC5">
        <w:rPr>
          <w:rFonts w:ascii="Arial" w:eastAsia="Calibri" w:hAnsi="Arial" w:cs="Arial"/>
          <w:color w:val="000000"/>
          <w:lang w:val="es-ES" w:eastAsia="zh-CN"/>
        </w:rPr>
        <w:t>Orasului Horezu</w:t>
      </w:r>
      <w:r w:rsidRPr="00620BC5">
        <w:rPr>
          <w:rFonts w:ascii="Arial" w:eastAsia="Times New Roman" w:hAnsi="Arial" w:cs="Arial"/>
          <w:color w:val="000000"/>
          <w:lang w:val="es-ES" w:eastAsia="ro-RO"/>
        </w:rPr>
        <w:t xml:space="preserve">; prezenta componentǎ urmǎrește sintetizarea informațiilor acumulate în cadrul activitǎții de pregǎtire și elaborare a documentelor </w:t>
      </w:r>
      <w:r w:rsidRPr="00620BC5">
        <w:rPr>
          <w:rFonts w:ascii="Arial" w:eastAsia="Calibri" w:hAnsi="Arial" w:cs="Arial"/>
          <w:color w:val="000000"/>
          <w:lang w:val="es-ES" w:eastAsia="zh-CN"/>
        </w:rPr>
        <w:t xml:space="preserve">și este menitǎ sǎ descrie contextul dinamic de perspectivǎ, astfel încât acesta sǎ ofere posibilitatea </w:t>
      </w:r>
      <w:r w:rsidRPr="00620BC5">
        <w:rPr>
          <w:rFonts w:ascii="Arial" w:eastAsia="Calibri" w:hAnsi="Arial" w:cs="Arial"/>
          <w:b/>
          <w:color w:val="000000"/>
          <w:lang w:val="es-ES" w:eastAsia="zh-CN"/>
        </w:rPr>
        <w:t xml:space="preserve">alegerilor </w:t>
      </w:r>
      <w:r w:rsidRPr="00620BC5">
        <w:rPr>
          <w:rFonts w:ascii="Arial" w:eastAsia="Calibri" w:hAnsi="Arial" w:cs="Arial"/>
          <w:color w:val="000000"/>
          <w:lang w:val="es-ES" w:eastAsia="zh-CN"/>
        </w:rPr>
        <w:t>care sǎ ducǎ la dezvoltarea emergent</w:t>
      </w:r>
      <w:r w:rsidRPr="00620BC5">
        <w:rPr>
          <w:rFonts w:ascii="Arial" w:eastAsia="Times New Roman" w:hAnsi="Arial" w:cs="Arial"/>
          <w:color w:val="000000"/>
          <w:lang w:val="es-ES" w:eastAsia="ro-RO"/>
        </w:rPr>
        <w:t>ǎ</w:t>
      </w:r>
      <w:r w:rsidRPr="00620BC5">
        <w:rPr>
          <w:rFonts w:ascii="Arial" w:eastAsia="Calibri" w:hAnsi="Arial" w:cs="Arial"/>
          <w:color w:val="000000"/>
          <w:lang w:val="es-ES" w:eastAsia="zh-CN"/>
        </w:rPr>
        <w:t xml:space="preserve"> în arealul analizat, între douǎ situații: </w:t>
      </w:r>
    </w:p>
    <w:p w14:paraId="0DCD39FF" w14:textId="77777777" w:rsidR="00620BC5" w:rsidRPr="00620BC5" w:rsidRDefault="00620BC5" w:rsidP="000C6CB8">
      <w:pPr>
        <w:numPr>
          <w:ilvl w:val="0"/>
          <w:numId w:val="174"/>
        </w:numPr>
        <w:suppressAutoHyphens/>
        <w:autoSpaceDE w:val="0"/>
        <w:spacing w:after="0" w:line="276" w:lineRule="auto"/>
        <w:rPr>
          <w:rFonts w:ascii="Arial" w:eastAsia="Arial" w:hAnsi="Arial" w:cs="Arial"/>
          <w:color w:val="000000"/>
          <w:lang w:val="es-ES" w:eastAsia="zh-CN"/>
        </w:rPr>
      </w:pPr>
      <w:r w:rsidRPr="00620BC5">
        <w:rPr>
          <w:rFonts w:ascii="Arial" w:eastAsia="Calibri" w:hAnsi="Arial" w:cs="Arial"/>
          <w:color w:val="000000"/>
          <w:lang w:val="es-ES" w:eastAsia="zh-CN"/>
        </w:rPr>
        <w:t xml:space="preserve">Una care ține cont de punctul  de plecare: aspectul de disponibilitate a datelor. </w:t>
      </w:r>
    </w:p>
    <w:p w14:paraId="153699CC" w14:textId="77777777" w:rsidR="00620BC5" w:rsidRPr="00620BC5" w:rsidRDefault="00620BC5" w:rsidP="000C6CB8">
      <w:pPr>
        <w:numPr>
          <w:ilvl w:val="0"/>
          <w:numId w:val="174"/>
        </w:numPr>
        <w:suppressAutoHyphens/>
        <w:autoSpaceDE w:val="0"/>
        <w:spacing w:after="0" w:line="276" w:lineRule="auto"/>
        <w:rPr>
          <w:rFonts w:ascii="Arial" w:eastAsia="Times New Roman" w:hAnsi="Arial" w:cs="Arial"/>
          <w:lang w:val="es-ES" w:eastAsia="ro-RO"/>
        </w:rPr>
      </w:pPr>
      <w:r w:rsidRPr="00620BC5">
        <w:rPr>
          <w:rFonts w:ascii="Arial" w:eastAsia="Calibri" w:hAnsi="Arial" w:cs="Arial"/>
          <w:color w:val="000000"/>
          <w:lang w:val="es-ES" w:eastAsia="zh-CN"/>
        </w:rPr>
        <w:t xml:space="preserve">Alta care ține cont de traiectoria pânǎ la punctul de destinație: atitudinea fațǎ de viitor. </w:t>
      </w:r>
    </w:p>
    <w:p w14:paraId="6AB6D663" w14:textId="77777777" w:rsidR="00620BC5" w:rsidRPr="00620BC5" w:rsidRDefault="00620BC5" w:rsidP="00620BC5">
      <w:pPr>
        <w:suppressAutoHyphens/>
        <w:autoSpaceDE w:val="0"/>
        <w:spacing w:after="0" w:line="360" w:lineRule="auto"/>
        <w:jc w:val="both"/>
        <w:rPr>
          <w:rFonts w:ascii="Arial" w:eastAsia="Times New Roman" w:hAnsi="Arial" w:cs="Arial"/>
          <w:sz w:val="24"/>
          <w:szCs w:val="24"/>
          <w:lang w:val="es-ES" w:eastAsia="ro-RO"/>
        </w:rPr>
      </w:pPr>
    </w:p>
    <w:p w14:paraId="034B8569" w14:textId="65A011CF" w:rsidR="00620BC5" w:rsidRPr="00774C94" w:rsidRDefault="00774C94" w:rsidP="00774C94">
      <w:pPr>
        <w:pStyle w:val="Legend"/>
        <w:jc w:val="center"/>
        <w:rPr>
          <w:rFonts w:ascii="Arial" w:eastAsia="Calibri" w:hAnsi="Arial" w:cs="Arial"/>
          <w:color w:val="000000"/>
          <w:sz w:val="22"/>
          <w:szCs w:val="22"/>
          <w:lang w:eastAsia="zh-CN"/>
        </w:rPr>
      </w:pPr>
      <w:bookmarkStart w:id="427" w:name="_Toc68361266"/>
      <w:bookmarkStart w:id="428" w:name="_Toc96447429"/>
      <w:r w:rsidRPr="00774C94">
        <w:rPr>
          <w:rFonts w:ascii="Arial" w:hAnsi="Arial" w:cs="Arial"/>
          <w:sz w:val="22"/>
          <w:szCs w:val="22"/>
        </w:rPr>
        <w:t xml:space="preserve">Tabel I.6. </w:t>
      </w:r>
      <w:r w:rsidRPr="00774C94">
        <w:rPr>
          <w:rFonts w:ascii="Arial" w:hAnsi="Arial" w:cs="Arial"/>
          <w:sz w:val="22"/>
          <w:szCs w:val="22"/>
        </w:rPr>
        <w:fldChar w:fldCharType="begin"/>
      </w:r>
      <w:r w:rsidRPr="00774C94">
        <w:rPr>
          <w:rFonts w:ascii="Arial" w:hAnsi="Arial" w:cs="Arial"/>
          <w:sz w:val="22"/>
          <w:szCs w:val="22"/>
        </w:rPr>
        <w:instrText xml:space="preserve"> SEQ Tabel_I.6. \* ARABIC </w:instrText>
      </w:r>
      <w:r w:rsidRPr="00774C94">
        <w:rPr>
          <w:rFonts w:ascii="Arial" w:hAnsi="Arial" w:cs="Arial"/>
          <w:sz w:val="22"/>
          <w:szCs w:val="22"/>
        </w:rPr>
        <w:fldChar w:fldCharType="separate"/>
      </w:r>
      <w:r w:rsidR="00BB181C">
        <w:rPr>
          <w:rFonts w:ascii="Arial" w:hAnsi="Arial" w:cs="Arial"/>
          <w:noProof/>
          <w:sz w:val="22"/>
          <w:szCs w:val="22"/>
        </w:rPr>
        <w:t>1</w:t>
      </w:r>
      <w:r w:rsidRPr="00774C94">
        <w:rPr>
          <w:rFonts w:ascii="Arial" w:hAnsi="Arial" w:cs="Arial"/>
          <w:sz w:val="22"/>
          <w:szCs w:val="22"/>
        </w:rPr>
        <w:fldChar w:fldCharType="end"/>
      </w:r>
      <w:r w:rsidRPr="00774C94">
        <w:rPr>
          <w:rFonts w:ascii="Arial" w:hAnsi="Arial" w:cs="Arial"/>
          <w:sz w:val="22"/>
          <w:szCs w:val="22"/>
        </w:rPr>
        <w:t xml:space="preserve"> </w:t>
      </w:r>
      <w:r w:rsidR="00620BC5" w:rsidRPr="00774C94">
        <w:rPr>
          <w:rFonts w:ascii="Arial" w:hAnsi="Arial" w:cs="Arial"/>
          <w:i w:val="0"/>
          <w:iCs w:val="0"/>
          <w:color w:val="1F497D"/>
          <w:sz w:val="22"/>
          <w:szCs w:val="22"/>
        </w:rPr>
        <w:t xml:space="preserve">- </w:t>
      </w:r>
      <w:r w:rsidR="00620BC5" w:rsidRPr="00774C94">
        <w:rPr>
          <w:rFonts w:ascii="Arial" w:hAnsi="Arial" w:cs="Arial"/>
          <w:i w:val="0"/>
          <w:color w:val="1F497D"/>
          <w:sz w:val="22"/>
          <w:szCs w:val="22"/>
        </w:rPr>
        <w:t>Puncte de vedere care jaloneazǎ constituirea scenariilor</w:t>
      </w:r>
      <w:bookmarkEnd w:id="427"/>
      <w:bookmarkEnd w:id="428"/>
    </w:p>
    <w:tbl>
      <w:tblPr>
        <w:tblW w:w="0" w:type="auto"/>
        <w:tblInd w:w="-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527"/>
        <w:gridCol w:w="4678"/>
        <w:gridCol w:w="2795"/>
        <w:gridCol w:w="1563"/>
      </w:tblGrid>
      <w:tr w:rsidR="00620BC5" w:rsidRPr="00620BC5" w14:paraId="0C384416" w14:textId="77777777" w:rsidTr="000A5845">
        <w:tc>
          <w:tcPr>
            <w:tcW w:w="1527" w:type="dxa"/>
            <w:shd w:val="clear" w:color="auto" w:fill="D9D9D9"/>
            <w:vAlign w:val="center"/>
          </w:tcPr>
          <w:p w14:paraId="0349C0C6" w14:textId="77777777" w:rsidR="00620BC5" w:rsidRPr="00620BC5" w:rsidRDefault="00620BC5" w:rsidP="00620BC5">
            <w:pPr>
              <w:suppressLineNumbers/>
              <w:suppressAutoHyphens/>
              <w:spacing w:after="0" w:line="240" w:lineRule="auto"/>
              <w:jc w:val="center"/>
              <w:rPr>
                <w:rFonts w:ascii="Arial" w:hAnsi="Arial" w:cs="Arial"/>
                <w:kern w:val="1"/>
                <w:sz w:val="20"/>
                <w:szCs w:val="20"/>
                <w:lang w:val="ro-RO" w:eastAsia="zh-CN" w:bidi="hi-IN"/>
              </w:rPr>
            </w:pPr>
            <w:r w:rsidRPr="00620BC5">
              <w:rPr>
                <w:rFonts w:ascii="Arial" w:hAnsi="Arial" w:cs="Arial"/>
                <w:kern w:val="1"/>
                <w:sz w:val="20"/>
                <w:szCs w:val="20"/>
                <w:lang w:val="ro-RO" w:eastAsia="zh-CN" w:bidi="hi-IN"/>
              </w:rPr>
              <w:t>Durata</w:t>
            </w:r>
          </w:p>
        </w:tc>
        <w:tc>
          <w:tcPr>
            <w:tcW w:w="4678" w:type="dxa"/>
            <w:shd w:val="clear" w:color="auto" w:fill="D9D9D9"/>
            <w:vAlign w:val="center"/>
          </w:tcPr>
          <w:p w14:paraId="3F75252D" w14:textId="77777777" w:rsidR="00620BC5" w:rsidRPr="00620BC5" w:rsidRDefault="00620BC5" w:rsidP="00620BC5">
            <w:pPr>
              <w:suppressLineNumbers/>
              <w:suppressAutoHyphens/>
              <w:spacing w:after="0" w:line="240" w:lineRule="auto"/>
              <w:jc w:val="center"/>
              <w:rPr>
                <w:rFonts w:ascii="Arial" w:hAnsi="Arial" w:cs="Arial"/>
                <w:kern w:val="1"/>
                <w:sz w:val="20"/>
                <w:szCs w:val="20"/>
                <w:lang w:val="ro-RO" w:eastAsia="zh-CN" w:bidi="hi-IN"/>
              </w:rPr>
            </w:pPr>
            <w:r w:rsidRPr="00620BC5">
              <w:rPr>
                <w:rFonts w:ascii="Arial" w:hAnsi="Arial" w:cs="Arial"/>
                <w:kern w:val="1"/>
                <w:sz w:val="20"/>
                <w:szCs w:val="20"/>
                <w:lang w:val="ro-RO" w:eastAsia="zh-CN" w:bidi="hi-IN"/>
              </w:rPr>
              <w:t>Conduita (caracteristica dezvoltării)</w:t>
            </w:r>
          </w:p>
        </w:tc>
        <w:tc>
          <w:tcPr>
            <w:tcW w:w="2795" w:type="dxa"/>
            <w:shd w:val="clear" w:color="auto" w:fill="D9D9D9"/>
            <w:vAlign w:val="center"/>
          </w:tcPr>
          <w:p w14:paraId="0C20177F" w14:textId="77777777" w:rsidR="00620BC5" w:rsidRPr="00620BC5" w:rsidRDefault="00620BC5" w:rsidP="00620BC5">
            <w:pPr>
              <w:suppressLineNumbers/>
              <w:suppressAutoHyphens/>
              <w:spacing w:after="0" w:line="240" w:lineRule="auto"/>
              <w:jc w:val="center"/>
              <w:rPr>
                <w:rFonts w:ascii="Arial" w:hAnsi="Arial" w:cs="Arial"/>
                <w:kern w:val="1"/>
                <w:sz w:val="20"/>
                <w:szCs w:val="20"/>
                <w:lang w:val="ro-RO" w:eastAsia="zh-CN" w:bidi="hi-IN"/>
              </w:rPr>
            </w:pPr>
            <w:r w:rsidRPr="00620BC5">
              <w:rPr>
                <w:rFonts w:ascii="Arial" w:hAnsi="Arial" w:cs="Arial"/>
                <w:kern w:val="1"/>
                <w:sz w:val="20"/>
                <w:szCs w:val="20"/>
                <w:lang w:val="ro-RO" w:eastAsia="zh-CN" w:bidi="hi-IN"/>
              </w:rPr>
              <w:t>Scopul</w:t>
            </w:r>
          </w:p>
        </w:tc>
        <w:tc>
          <w:tcPr>
            <w:tcW w:w="1563" w:type="dxa"/>
            <w:shd w:val="clear" w:color="auto" w:fill="D9D9D9"/>
            <w:vAlign w:val="center"/>
          </w:tcPr>
          <w:p w14:paraId="46322167" w14:textId="77777777" w:rsidR="00620BC5" w:rsidRPr="00620BC5" w:rsidRDefault="00620BC5" w:rsidP="00620BC5">
            <w:pPr>
              <w:suppressLineNumbers/>
              <w:suppressAutoHyphens/>
              <w:spacing w:after="0" w:line="240" w:lineRule="auto"/>
              <w:jc w:val="center"/>
              <w:rPr>
                <w:rFonts w:ascii="Arial" w:hAnsi="Arial" w:cs="Mangal"/>
                <w:kern w:val="1"/>
                <w:sz w:val="20"/>
                <w:szCs w:val="24"/>
                <w:lang w:val="es-ES" w:eastAsia="zh-CN" w:bidi="hi-IN"/>
              </w:rPr>
            </w:pPr>
            <w:r w:rsidRPr="00620BC5">
              <w:rPr>
                <w:rFonts w:ascii="Arial" w:hAnsi="Arial" w:cs="Arial"/>
                <w:kern w:val="1"/>
                <w:sz w:val="20"/>
                <w:szCs w:val="20"/>
                <w:lang w:val="es-ES" w:eastAsia="zh-CN" w:bidi="hi-IN"/>
              </w:rPr>
              <w:t>Specificitatea sociala și economica a măsurilor</w:t>
            </w:r>
          </w:p>
        </w:tc>
      </w:tr>
      <w:tr w:rsidR="00620BC5" w:rsidRPr="00620BC5" w14:paraId="64EF18CD" w14:textId="77777777" w:rsidTr="000A5845">
        <w:tc>
          <w:tcPr>
            <w:tcW w:w="1527" w:type="dxa"/>
            <w:shd w:val="clear" w:color="auto" w:fill="auto"/>
          </w:tcPr>
          <w:p w14:paraId="6598C766" w14:textId="77777777" w:rsidR="00620BC5" w:rsidRPr="00620BC5" w:rsidRDefault="00620BC5" w:rsidP="00620BC5">
            <w:pPr>
              <w:suppressLineNumbers/>
              <w:suppressAutoHyphens/>
              <w:spacing w:after="0" w:line="240" w:lineRule="auto"/>
              <w:rPr>
                <w:rFonts w:ascii="Arial" w:hAnsi="Arial" w:cs="Arial"/>
                <w:kern w:val="1"/>
                <w:sz w:val="20"/>
                <w:szCs w:val="20"/>
                <w:lang w:val="ro-RO" w:eastAsia="zh-CN" w:bidi="hi-IN"/>
              </w:rPr>
            </w:pPr>
            <w:r w:rsidRPr="00620BC5">
              <w:rPr>
                <w:rFonts w:ascii="Arial" w:hAnsi="Arial" w:cs="Arial"/>
                <w:kern w:val="1"/>
                <w:sz w:val="20"/>
                <w:szCs w:val="20"/>
                <w:lang w:val="ro-RO" w:eastAsia="zh-CN" w:bidi="hi-IN"/>
              </w:rPr>
              <w:t xml:space="preserve">2023 </w:t>
            </w:r>
          </w:p>
          <w:p w14:paraId="312671DE" w14:textId="77777777" w:rsidR="00620BC5" w:rsidRPr="00620BC5" w:rsidRDefault="00620BC5" w:rsidP="00620BC5">
            <w:pPr>
              <w:suppressLineNumbers/>
              <w:suppressAutoHyphens/>
              <w:spacing w:after="0" w:line="240" w:lineRule="auto"/>
              <w:rPr>
                <w:rFonts w:ascii="Arial" w:hAnsi="Arial" w:cs="Arial"/>
                <w:kern w:val="1"/>
                <w:sz w:val="20"/>
                <w:szCs w:val="20"/>
                <w:lang w:val="ro-RO" w:eastAsia="zh-CN" w:bidi="hi-IN"/>
              </w:rPr>
            </w:pPr>
            <w:r w:rsidRPr="00620BC5">
              <w:rPr>
                <w:rFonts w:ascii="Arial" w:hAnsi="Arial" w:cs="Arial"/>
                <w:kern w:val="1"/>
                <w:sz w:val="20"/>
                <w:szCs w:val="20"/>
                <w:lang w:val="ro-RO" w:eastAsia="zh-CN" w:bidi="hi-IN"/>
              </w:rPr>
              <w:t>(termen scurt)</w:t>
            </w:r>
          </w:p>
          <w:p w14:paraId="2AEB1503" w14:textId="77777777" w:rsidR="00620BC5" w:rsidRPr="00620BC5" w:rsidRDefault="00620BC5" w:rsidP="00620BC5">
            <w:pPr>
              <w:suppressLineNumbers/>
              <w:suppressAutoHyphens/>
              <w:spacing w:after="0" w:line="240" w:lineRule="auto"/>
              <w:rPr>
                <w:rFonts w:ascii="Arial" w:hAnsi="Arial" w:cs="Arial"/>
                <w:kern w:val="1"/>
                <w:sz w:val="20"/>
                <w:szCs w:val="20"/>
                <w:lang w:val="ro-RO" w:eastAsia="zh-CN" w:bidi="hi-IN"/>
              </w:rPr>
            </w:pPr>
          </w:p>
          <w:p w14:paraId="1791D2E2" w14:textId="77777777" w:rsidR="00620BC5" w:rsidRPr="00620BC5" w:rsidRDefault="00620BC5" w:rsidP="00620BC5">
            <w:pPr>
              <w:suppressLineNumbers/>
              <w:suppressAutoHyphens/>
              <w:spacing w:after="0" w:line="240" w:lineRule="auto"/>
              <w:rPr>
                <w:rFonts w:ascii="Arial" w:hAnsi="Arial" w:cs="Arial"/>
                <w:kern w:val="1"/>
                <w:sz w:val="20"/>
                <w:szCs w:val="20"/>
                <w:lang w:val="ro-RO" w:eastAsia="zh-CN" w:bidi="hi-IN"/>
              </w:rPr>
            </w:pPr>
            <w:r w:rsidRPr="00620BC5">
              <w:rPr>
                <w:rFonts w:ascii="Arial" w:hAnsi="Arial" w:cs="Arial"/>
                <w:kern w:val="1"/>
                <w:sz w:val="20"/>
                <w:szCs w:val="20"/>
                <w:lang w:val="ro-RO" w:eastAsia="zh-CN" w:bidi="hi-IN"/>
              </w:rPr>
              <w:t>2027</w:t>
            </w:r>
          </w:p>
          <w:p w14:paraId="5053E3D2" w14:textId="77777777" w:rsidR="00620BC5" w:rsidRPr="00620BC5" w:rsidRDefault="00620BC5" w:rsidP="00620BC5">
            <w:pPr>
              <w:suppressLineNumbers/>
              <w:suppressAutoHyphens/>
              <w:spacing w:after="0" w:line="240" w:lineRule="auto"/>
              <w:rPr>
                <w:rFonts w:ascii="Arial" w:hAnsi="Arial" w:cs="Arial"/>
                <w:kern w:val="1"/>
                <w:sz w:val="20"/>
                <w:szCs w:val="20"/>
                <w:lang w:val="ro-RO" w:eastAsia="zh-CN" w:bidi="hi-IN"/>
              </w:rPr>
            </w:pPr>
            <w:r w:rsidRPr="00620BC5">
              <w:rPr>
                <w:rFonts w:ascii="Arial" w:hAnsi="Arial" w:cs="Arial"/>
                <w:kern w:val="1"/>
                <w:sz w:val="20"/>
                <w:szCs w:val="20"/>
                <w:lang w:val="ro-RO" w:eastAsia="zh-CN" w:bidi="hi-IN"/>
              </w:rPr>
              <w:t>(termen mediu)</w:t>
            </w:r>
          </w:p>
          <w:p w14:paraId="3D57C036" w14:textId="77777777" w:rsidR="00620BC5" w:rsidRPr="00620BC5" w:rsidRDefault="00620BC5" w:rsidP="00620BC5">
            <w:pPr>
              <w:suppressLineNumbers/>
              <w:suppressAutoHyphens/>
              <w:spacing w:after="0" w:line="240" w:lineRule="auto"/>
              <w:rPr>
                <w:rFonts w:ascii="Arial" w:hAnsi="Arial" w:cs="Arial"/>
                <w:kern w:val="1"/>
                <w:sz w:val="20"/>
                <w:szCs w:val="20"/>
                <w:lang w:val="ro-RO" w:eastAsia="zh-CN" w:bidi="hi-IN"/>
              </w:rPr>
            </w:pPr>
          </w:p>
          <w:p w14:paraId="6A75B80C" w14:textId="77777777" w:rsidR="00620BC5" w:rsidRPr="00620BC5" w:rsidRDefault="00620BC5" w:rsidP="00620BC5">
            <w:pPr>
              <w:suppressLineNumbers/>
              <w:suppressAutoHyphens/>
              <w:spacing w:after="0" w:line="240" w:lineRule="auto"/>
              <w:rPr>
                <w:rFonts w:ascii="Arial" w:hAnsi="Arial" w:cs="Arial"/>
                <w:kern w:val="1"/>
                <w:sz w:val="20"/>
                <w:szCs w:val="20"/>
                <w:lang w:val="ro-RO" w:eastAsia="zh-CN" w:bidi="hi-IN"/>
              </w:rPr>
            </w:pPr>
            <w:r w:rsidRPr="00620BC5">
              <w:rPr>
                <w:rFonts w:ascii="Arial" w:hAnsi="Arial" w:cs="Arial"/>
                <w:kern w:val="1"/>
                <w:sz w:val="20"/>
                <w:szCs w:val="20"/>
                <w:lang w:val="ro-RO" w:eastAsia="zh-CN" w:bidi="hi-IN"/>
              </w:rPr>
              <w:t>2035</w:t>
            </w:r>
          </w:p>
          <w:p w14:paraId="41229BCC" w14:textId="77777777" w:rsidR="00620BC5" w:rsidRPr="00620BC5" w:rsidRDefault="00620BC5" w:rsidP="00620BC5">
            <w:pPr>
              <w:suppressLineNumbers/>
              <w:suppressAutoHyphens/>
              <w:spacing w:after="0" w:line="240" w:lineRule="auto"/>
              <w:rPr>
                <w:rFonts w:ascii="Arial" w:hAnsi="Arial" w:cs="Arial"/>
                <w:kern w:val="1"/>
                <w:sz w:val="20"/>
                <w:szCs w:val="20"/>
                <w:lang w:val="ro-RO" w:eastAsia="zh-CN" w:bidi="hi-IN"/>
              </w:rPr>
            </w:pPr>
            <w:r w:rsidRPr="00620BC5">
              <w:rPr>
                <w:rFonts w:ascii="Arial" w:hAnsi="Arial" w:cs="Arial"/>
                <w:kern w:val="1"/>
                <w:sz w:val="20"/>
                <w:szCs w:val="20"/>
                <w:lang w:val="ro-RO" w:eastAsia="zh-CN" w:bidi="hi-IN"/>
              </w:rPr>
              <w:t>(termen lung)</w:t>
            </w:r>
          </w:p>
        </w:tc>
        <w:tc>
          <w:tcPr>
            <w:tcW w:w="4678" w:type="dxa"/>
            <w:shd w:val="clear" w:color="auto" w:fill="auto"/>
          </w:tcPr>
          <w:p w14:paraId="67BFA91D" w14:textId="77777777" w:rsidR="00620BC5" w:rsidRPr="00620BC5" w:rsidRDefault="00620BC5" w:rsidP="00620BC5">
            <w:pPr>
              <w:suppressLineNumbers/>
              <w:suppressAutoHyphens/>
              <w:spacing w:after="0" w:line="240" w:lineRule="auto"/>
              <w:rPr>
                <w:rFonts w:ascii="Arial" w:hAnsi="Arial" w:cs="Arial"/>
                <w:i/>
                <w:iCs/>
                <w:kern w:val="1"/>
                <w:sz w:val="20"/>
                <w:szCs w:val="20"/>
                <w:lang w:val="es-ES" w:eastAsia="zh-CN" w:bidi="hi-IN"/>
              </w:rPr>
            </w:pPr>
            <w:r w:rsidRPr="00620BC5">
              <w:rPr>
                <w:rFonts w:ascii="Arial" w:hAnsi="Arial" w:cs="Arial"/>
                <w:kern w:val="1"/>
                <w:sz w:val="20"/>
                <w:szCs w:val="20"/>
                <w:lang w:val="es-ES" w:eastAsia="zh-CN" w:bidi="hi-IN"/>
              </w:rPr>
              <w:t>Acțiuni independente = dezvoltare necoordonată</w:t>
            </w:r>
          </w:p>
          <w:p w14:paraId="3EC7ACBB" w14:textId="77777777" w:rsidR="00620BC5" w:rsidRPr="00620BC5" w:rsidRDefault="00620BC5" w:rsidP="00620BC5">
            <w:pPr>
              <w:suppressLineNumbers/>
              <w:suppressAutoHyphens/>
              <w:spacing w:after="0" w:line="240" w:lineRule="auto"/>
              <w:jc w:val="right"/>
              <w:rPr>
                <w:rFonts w:ascii="Arial" w:hAnsi="Arial" w:cs="Arial"/>
                <w:kern w:val="1"/>
                <w:sz w:val="20"/>
                <w:szCs w:val="20"/>
                <w:lang w:val="es-ES" w:eastAsia="zh-CN" w:bidi="hi-IN"/>
              </w:rPr>
            </w:pPr>
            <w:r w:rsidRPr="00620BC5">
              <w:rPr>
                <w:rFonts w:ascii="Arial" w:hAnsi="Arial" w:cs="Arial"/>
                <w:i/>
                <w:iCs/>
                <w:kern w:val="1"/>
                <w:sz w:val="20"/>
                <w:szCs w:val="20"/>
                <w:lang w:val="es-ES" w:eastAsia="zh-CN" w:bidi="hi-IN"/>
              </w:rPr>
              <w:t>(„ca până în prezent”)</w:t>
            </w:r>
          </w:p>
          <w:p w14:paraId="0D3A4AB1" w14:textId="77777777" w:rsidR="00620BC5" w:rsidRPr="00620BC5" w:rsidRDefault="00620BC5" w:rsidP="00620BC5">
            <w:pPr>
              <w:suppressLineNumbers/>
              <w:suppressAutoHyphens/>
              <w:spacing w:after="0" w:line="240" w:lineRule="auto"/>
              <w:rPr>
                <w:rFonts w:ascii="Arial" w:hAnsi="Arial" w:cs="Arial"/>
                <w:kern w:val="1"/>
                <w:sz w:val="20"/>
                <w:szCs w:val="20"/>
                <w:lang w:val="es-ES" w:eastAsia="zh-CN" w:bidi="hi-IN"/>
              </w:rPr>
            </w:pPr>
          </w:p>
          <w:p w14:paraId="10502A17" w14:textId="77777777" w:rsidR="00620BC5" w:rsidRPr="00620BC5" w:rsidRDefault="00620BC5" w:rsidP="00620BC5">
            <w:pPr>
              <w:suppressLineNumbers/>
              <w:suppressAutoHyphens/>
              <w:spacing w:after="0" w:line="240" w:lineRule="auto"/>
              <w:rPr>
                <w:rFonts w:ascii="Arial" w:hAnsi="Arial" w:cs="Arial"/>
                <w:i/>
                <w:iCs/>
                <w:kern w:val="1"/>
                <w:sz w:val="20"/>
                <w:szCs w:val="20"/>
                <w:lang w:val="es-ES" w:eastAsia="zh-CN" w:bidi="hi-IN"/>
              </w:rPr>
            </w:pPr>
            <w:r w:rsidRPr="00620BC5">
              <w:rPr>
                <w:rFonts w:ascii="Arial" w:hAnsi="Arial" w:cs="Arial"/>
                <w:kern w:val="1"/>
                <w:sz w:val="20"/>
                <w:szCs w:val="20"/>
                <w:lang w:val="es-ES" w:eastAsia="zh-CN" w:bidi="hi-IN"/>
              </w:rPr>
              <w:t>Acțiuni intensive/extensive = dezvoltare coordonată</w:t>
            </w:r>
          </w:p>
          <w:p w14:paraId="6E6B7A43" w14:textId="77777777" w:rsidR="00620BC5" w:rsidRPr="00620BC5" w:rsidRDefault="00620BC5" w:rsidP="00620BC5">
            <w:pPr>
              <w:suppressLineNumbers/>
              <w:suppressAutoHyphens/>
              <w:spacing w:after="0" w:line="240" w:lineRule="auto"/>
              <w:jc w:val="right"/>
              <w:rPr>
                <w:rFonts w:ascii="Arial" w:hAnsi="Arial" w:cs="Arial"/>
                <w:kern w:val="1"/>
                <w:sz w:val="20"/>
                <w:szCs w:val="20"/>
                <w:lang w:val="es-ES" w:eastAsia="zh-CN" w:bidi="hi-IN"/>
              </w:rPr>
            </w:pPr>
            <w:r w:rsidRPr="00620BC5">
              <w:rPr>
                <w:rFonts w:ascii="Arial" w:hAnsi="Arial" w:cs="Arial"/>
                <w:i/>
                <w:iCs/>
                <w:kern w:val="1"/>
                <w:sz w:val="20"/>
                <w:szCs w:val="20"/>
                <w:lang w:val="es-ES" w:eastAsia="zh-CN" w:bidi="hi-IN"/>
              </w:rPr>
              <w:t>(„politica minimalista”)</w:t>
            </w:r>
          </w:p>
          <w:p w14:paraId="2C3E483D" w14:textId="77777777" w:rsidR="00620BC5" w:rsidRPr="00620BC5" w:rsidRDefault="00620BC5" w:rsidP="00620BC5">
            <w:pPr>
              <w:suppressLineNumbers/>
              <w:suppressAutoHyphens/>
              <w:spacing w:after="0" w:line="240" w:lineRule="auto"/>
              <w:rPr>
                <w:rFonts w:ascii="Arial" w:hAnsi="Arial" w:cs="Arial"/>
                <w:kern w:val="1"/>
                <w:sz w:val="20"/>
                <w:szCs w:val="20"/>
                <w:lang w:val="es-ES" w:eastAsia="zh-CN" w:bidi="hi-IN"/>
              </w:rPr>
            </w:pPr>
          </w:p>
          <w:p w14:paraId="6C661536" w14:textId="77777777" w:rsidR="00620BC5" w:rsidRPr="00620BC5" w:rsidRDefault="00620BC5" w:rsidP="00620BC5">
            <w:pPr>
              <w:suppressLineNumbers/>
              <w:suppressAutoHyphens/>
              <w:spacing w:after="0" w:line="240" w:lineRule="auto"/>
              <w:rPr>
                <w:rFonts w:ascii="Arial" w:hAnsi="Arial" w:cs="Arial"/>
                <w:i/>
                <w:iCs/>
                <w:kern w:val="1"/>
                <w:sz w:val="20"/>
                <w:szCs w:val="20"/>
                <w:lang w:val="es-ES" w:eastAsia="zh-CN" w:bidi="hi-IN"/>
              </w:rPr>
            </w:pPr>
            <w:r w:rsidRPr="00620BC5">
              <w:rPr>
                <w:rFonts w:ascii="Arial" w:hAnsi="Arial" w:cs="Arial"/>
                <w:kern w:val="1"/>
                <w:sz w:val="20"/>
                <w:szCs w:val="20"/>
                <w:lang w:val="es-ES" w:eastAsia="zh-CN" w:bidi="hi-IN"/>
              </w:rPr>
              <w:t>Acțiuni concentrate = dezvoltare durabilă</w:t>
            </w:r>
          </w:p>
          <w:p w14:paraId="2348BCA5" w14:textId="77777777" w:rsidR="00620BC5" w:rsidRPr="00620BC5" w:rsidRDefault="00620BC5" w:rsidP="00620BC5">
            <w:pPr>
              <w:suppressLineNumbers/>
              <w:suppressAutoHyphens/>
              <w:spacing w:after="0" w:line="240" w:lineRule="auto"/>
              <w:jc w:val="right"/>
              <w:rPr>
                <w:rFonts w:ascii="Arial" w:hAnsi="Arial" w:cs="Arial"/>
                <w:kern w:val="1"/>
                <w:sz w:val="20"/>
                <w:szCs w:val="20"/>
                <w:lang w:val="es-ES" w:eastAsia="zh-CN" w:bidi="hi-IN"/>
              </w:rPr>
            </w:pPr>
            <w:r w:rsidRPr="00620BC5">
              <w:rPr>
                <w:rFonts w:ascii="Arial" w:hAnsi="Arial" w:cs="Arial"/>
                <w:i/>
                <w:iCs/>
                <w:kern w:val="1"/>
                <w:sz w:val="20"/>
                <w:szCs w:val="20"/>
                <w:lang w:val="es-ES" w:eastAsia="zh-CN" w:bidi="hi-IN"/>
              </w:rPr>
              <w:t>(„politica angajantă”)</w:t>
            </w:r>
          </w:p>
        </w:tc>
        <w:tc>
          <w:tcPr>
            <w:tcW w:w="2795" w:type="dxa"/>
            <w:shd w:val="clear" w:color="auto" w:fill="auto"/>
          </w:tcPr>
          <w:p w14:paraId="3879BB84" w14:textId="77777777" w:rsidR="00620BC5" w:rsidRPr="00620BC5" w:rsidRDefault="00620BC5" w:rsidP="00620BC5">
            <w:pPr>
              <w:suppressLineNumbers/>
              <w:suppressAutoHyphens/>
              <w:spacing w:after="0" w:line="240" w:lineRule="auto"/>
              <w:rPr>
                <w:rFonts w:ascii="Arial" w:hAnsi="Arial" w:cs="Arial"/>
                <w:kern w:val="1"/>
                <w:sz w:val="20"/>
                <w:szCs w:val="20"/>
                <w:lang w:val="es-ES" w:eastAsia="zh-CN" w:bidi="hi-IN"/>
              </w:rPr>
            </w:pPr>
            <w:r w:rsidRPr="00620BC5">
              <w:rPr>
                <w:rFonts w:ascii="Arial" w:hAnsi="Arial" w:cs="Arial"/>
                <w:kern w:val="1"/>
                <w:sz w:val="20"/>
                <w:szCs w:val="20"/>
                <w:lang w:val="es-ES" w:eastAsia="zh-CN" w:bidi="hi-IN"/>
              </w:rPr>
              <w:t>Mobilitate prin stabilizarea sistemului de transport.</w:t>
            </w:r>
          </w:p>
          <w:p w14:paraId="311B8BEC" w14:textId="77777777" w:rsidR="00620BC5" w:rsidRPr="00620BC5" w:rsidRDefault="00620BC5" w:rsidP="00620BC5">
            <w:pPr>
              <w:suppressLineNumbers/>
              <w:suppressAutoHyphens/>
              <w:spacing w:after="0" w:line="240" w:lineRule="auto"/>
              <w:rPr>
                <w:rFonts w:ascii="Arial" w:hAnsi="Arial" w:cs="Arial"/>
                <w:kern w:val="1"/>
                <w:sz w:val="20"/>
                <w:szCs w:val="20"/>
                <w:lang w:val="es-ES" w:eastAsia="zh-CN" w:bidi="hi-IN"/>
              </w:rPr>
            </w:pPr>
          </w:p>
          <w:p w14:paraId="08D3B5D4" w14:textId="77777777" w:rsidR="00620BC5" w:rsidRPr="00620BC5" w:rsidRDefault="00620BC5" w:rsidP="00620BC5">
            <w:pPr>
              <w:suppressLineNumbers/>
              <w:suppressAutoHyphens/>
              <w:spacing w:after="0" w:line="240" w:lineRule="auto"/>
              <w:rPr>
                <w:rFonts w:ascii="Arial" w:hAnsi="Arial" w:cs="Arial"/>
                <w:kern w:val="1"/>
                <w:sz w:val="20"/>
                <w:szCs w:val="20"/>
                <w:lang w:val="es-ES" w:eastAsia="zh-CN" w:bidi="hi-IN"/>
              </w:rPr>
            </w:pPr>
          </w:p>
          <w:p w14:paraId="3CF3385E" w14:textId="77777777" w:rsidR="00620BC5" w:rsidRPr="00620BC5" w:rsidRDefault="00620BC5" w:rsidP="00620BC5">
            <w:pPr>
              <w:suppressLineNumbers/>
              <w:suppressAutoHyphens/>
              <w:spacing w:after="0" w:line="240" w:lineRule="auto"/>
              <w:rPr>
                <w:rFonts w:ascii="Arial" w:hAnsi="Arial" w:cs="Arial"/>
                <w:kern w:val="1"/>
                <w:sz w:val="20"/>
                <w:szCs w:val="20"/>
                <w:lang w:val="es-ES" w:eastAsia="zh-CN" w:bidi="hi-IN"/>
              </w:rPr>
            </w:pPr>
          </w:p>
          <w:p w14:paraId="59C64A62" w14:textId="77777777" w:rsidR="00620BC5" w:rsidRPr="00620BC5" w:rsidRDefault="00620BC5" w:rsidP="00620BC5">
            <w:pPr>
              <w:suppressLineNumbers/>
              <w:suppressAutoHyphens/>
              <w:spacing w:after="0" w:line="240" w:lineRule="auto"/>
              <w:rPr>
                <w:rFonts w:ascii="Arial" w:hAnsi="Arial" w:cs="Arial"/>
                <w:kern w:val="1"/>
                <w:sz w:val="20"/>
                <w:szCs w:val="20"/>
                <w:lang w:val="es-ES" w:eastAsia="zh-CN" w:bidi="hi-IN"/>
              </w:rPr>
            </w:pPr>
          </w:p>
          <w:p w14:paraId="27208272" w14:textId="77777777" w:rsidR="00620BC5" w:rsidRPr="00620BC5" w:rsidRDefault="00620BC5" w:rsidP="00620BC5">
            <w:pPr>
              <w:suppressLineNumbers/>
              <w:suppressAutoHyphens/>
              <w:spacing w:after="0" w:line="240" w:lineRule="auto"/>
              <w:rPr>
                <w:rFonts w:ascii="Arial" w:hAnsi="Arial" w:cs="Arial"/>
                <w:kern w:val="1"/>
                <w:sz w:val="20"/>
                <w:szCs w:val="20"/>
                <w:lang w:val="es-ES" w:eastAsia="zh-CN" w:bidi="hi-IN"/>
              </w:rPr>
            </w:pPr>
            <w:r w:rsidRPr="00620BC5">
              <w:rPr>
                <w:rFonts w:ascii="Arial" w:hAnsi="Arial" w:cs="Arial"/>
                <w:kern w:val="1"/>
                <w:sz w:val="20"/>
                <w:szCs w:val="20"/>
                <w:lang w:val="es-ES" w:eastAsia="zh-CN" w:bidi="hi-IN"/>
              </w:rPr>
              <w:t>Mobilitate prin echilibrarea sistemului de transport.</w:t>
            </w:r>
          </w:p>
        </w:tc>
        <w:tc>
          <w:tcPr>
            <w:tcW w:w="1563" w:type="dxa"/>
            <w:shd w:val="clear" w:color="auto" w:fill="auto"/>
          </w:tcPr>
          <w:p w14:paraId="25391806" w14:textId="77777777" w:rsidR="00620BC5" w:rsidRPr="00620BC5" w:rsidRDefault="00620BC5" w:rsidP="00620BC5">
            <w:pPr>
              <w:suppressLineNumbers/>
              <w:suppressAutoHyphens/>
              <w:spacing w:after="0" w:line="240" w:lineRule="auto"/>
              <w:jc w:val="center"/>
              <w:rPr>
                <w:rFonts w:ascii="Arial" w:hAnsi="Arial" w:cs="Arial"/>
                <w:i/>
                <w:iCs/>
                <w:kern w:val="1"/>
                <w:sz w:val="20"/>
                <w:szCs w:val="20"/>
                <w:lang w:val="ro-RO" w:eastAsia="zh-CN" w:bidi="hi-IN"/>
              </w:rPr>
            </w:pPr>
            <w:r w:rsidRPr="00620BC5">
              <w:rPr>
                <w:rFonts w:ascii="Arial" w:hAnsi="Arial" w:cs="Arial"/>
                <w:kern w:val="1"/>
                <w:sz w:val="20"/>
                <w:szCs w:val="20"/>
                <w:lang w:val="ro-RO" w:eastAsia="zh-CN" w:bidi="hi-IN"/>
              </w:rPr>
              <w:t>Pesimistă</w:t>
            </w:r>
          </w:p>
          <w:p w14:paraId="1A5B5208" w14:textId="77777777" w:rsidR="00620BC5" w:rsidRPr="00620BC5" w:rsidRDefault="00620BC5" w:rsidP="00620BC5">
            <w:pPr>
              <w:suppressLineNumbers/>
              <w:suppressAutoHyphens/>
              <w:spacing w:after="0" w:line="240" w:lineRule="auto"/>
              <w:jc w:val="center"/>
              <w:rPr>
                <w:rFonts w:ascii="Arial" w:hAnsi="Arial" w:cs="Arial"/>
                <w:kern w:val="1"/>
                <w:sz w:val="20"/>
                <w:szCs w:val="20"/>
                <w:lang w:val="ro-RO" w:eastAsia="zh-CN" w:bidi="hi-IN"/>
              </w:rPr>
            </w:pPr>
            <w:r w:rsidRPr="00620BC5">
              <w:rPr>
                <w:rFonts w:ascii="Arial" w:hAnsi="Arial" w:cs="Arial"/>
                <w:i/>
                <w:iCs/>
                <w:kern w:val="1"/>
                <w:sz w:val="20"/>
                <w:szCs w:val="20"/>
                <w:lang w:val="ro-RO" w:eastAsia="zh-CN" w:bidi="hi-IN"/>
              </w:rPr>
              <w:t>(declin)</w:t>
            </w:r>
          </w:p>
          <w:p w14:paraId="3C66CB0F" w14:textId="77777777" w:rsidR="00620BC5" w:rsidRPr="00620BC5" w:rsidRDefault="00620BC5" w:rsidP="00620BC5">
            <w:pPr>
              <w:suppressLineNumbers/>
              <w:suppressAutoHyphens/>
              <w:spacing w:after="0" w:line="240" w:lineRule="auto"/>
              <w:jc w:val="center"/>
              <w:rPr>
                <w:rFonts w:ascii="Arial" w:hAnsi="Arial" w:cs="Arial"/>
                <w:kern w:val="1"/>
                <w:sz w:val="20"/>
                <w:szCs w:val="20"/>
                <w:lang w:val="ro-RO" w:eastAsia="zh-CN" w:bidi="hi-IN"/>
              </w:rPr>
            </w:pPr>
          </w:p>
          <w:p w14:paraId="4E88C33C" w14:textId="77777777" w:rsidR="00620BC5" w:rsidRPr="00620BC5" w:rsidRDefault="00620BC5" w:rsidP="00620BC5">
            <w:pPr>
              <w:suppressLineNumbers/>
              <w:suppressAutoHyphens/>
              <w:spacing w:after="0" w:line="240" w:lineRule="auto"/>
              <w:jc w:val="center"/>
              <w:rPr>
                <w:rFonts w:ascii="Arial" w:hAnsi="Arial" w:cs="Arial"/>
                <w:i/>
                <w:iCs/>
                <w:kern w:val="1"/>
                <w:sz w:val="20"/>
                <w:szCs w:val="20"/>
                <w:lang w:val="ro-RO" w:eastAsia="zh-CN" w:bidi="hi-IN"/>
              </w:rPr>
            </w:pPr>
            <w:r w:rsidRPr="00620BC5">
              <w:rPr>
                <w:rFonts w:ascii="Arial" w:hAnsi="Arial" w:cs="Arial"/>
                <w:kern w:val="1"/>
                <w:sz w:val="20"/>
                <w:szCs w:val="20"/>
                <w:lang w:val="ro-RO" w:eastAsia="zh-CN" w:bidi="hi-IN"/>
              </w:rPr>
              <w:t>Realistă</w:t>
            </w:r>
          </w:p>
          <w:p w14:paraId="6FB6A4E5" w14:textId="77777777" w:rsidR="00620BC5" w:rsidRPr="00620BC5" w:rsidRDefault="00620BC5" w:rsidP="00620BC5">
            <w:pPr>
              <w:suppressLineNumbers/>
              <w:suppressAutoHyphens/>
              <w:spacing w:after="0" w:line="240" w:lineRule="auto"/>
              <w:jc w:val="center"/>
              <w:rPr>
                <w:rFonts w:ascii="Arial" w:hAnsi="Arial" w:cs="Arial"/>
                <w:kern w:val="1"/>
                <w:sz w:val="20"/>
                <w:szCs w:val="20"/>
                <w:lang w:val="ro-RO" w:eastAsia="zh-CN" w:bidi="hi-IN"/>
              </w:rPr>
            </w:pPr>
            <w:r w:rsidRPr="00620BC5">
              <w:rPr>
                <w:rFonts w:ascii="Arial" w:hAnsi="Arial" w:cs="Arial"/>
                <w:i/>
                <w:iCs/>
                <w:kern w:val="1"/>
                <w:sz w:val="20"/>
                <w:szCs w:val="20"/>
                <w:lang w:val="ro-RO" w:eastAsia="zh-CN" w:bidi="hi-IN"/>
              </w:rPr>
              <w:t>(neutra)</w:t>
            </w:r>
          </w:p>
          <w:p w14:paraId="4CE0C5B3" w14:textId="77777777" w:rsidR="00620BC5" w:rsidRPr="00620BC5" w:rsidRDefault="00620BC5" w:rsidP="00620BC5">
            <w:pPr>
              <w:suppressLineNumbers/>
              <w:suppressAutoHyphens/>
              <w:spacing w:after="0" w:line="240" w:lineRule="auto"/>
              <w:jc w:val="center"/>
              <w:rPr>
                <w:rFonts w:ascii="Arial" w:hAnsi="Arial" w:cs="Arial"/>
                <w:kern w:val="1"/>
                <w:sz w:val="20"/>
                <w:szCs w:val="20"/>
                <w:lang w:val="ro-RO" w:eastAsia="zh-CN" w:bidi="hi-IN"/>
              </w:rPr>
            </w:pPr>
          </w:p>
          <w:p w14:paraId="660D3C11" w14:textId="77777777" w:rsidR="00620BC5" w:rsidRPr="00620BC5" w:rsidRDefault="00620BC5" w:rsidP="00620BC5">
            <w:pPr>
              <w:suppressLineNumbers/>
              <w:suppressAutoHyphens/>
              <w:spacing w:after="0" w:line="240" w:lineRule="auto"/>
              <w:jc w:val="center"/>
              <w:rPr>
                <w:rFonts w:ascii="Arial" w:hAnsi="Arial" w:cs="Arial"/>
                <w:i/>
                <w:iCs/>
                <w:kern w:val="1"/>
                <w:sz w:val="20"/>
                <w:szCs w:val="20"/>
                <w:lang w:val="ro-RO" w:eastAsia="zh-CN" w:bidi="hi-IN"/>
              </w:rPr>
            </w:pPr>
            <w:r w:rsidRPr="00620BC5">
              <w:rPr>
                <w:rFonts w:ascii="Arial" w:hAnsi="Arial" w:cs="Arial"/>
                <w:kern w:val="1"/>
                <w:sz w:val="20"/>
                <w:szCs w:val="20"/>
                <w:lang w:val="ro-RO" w:eastAsia="zh-CN" w:bidi="hi-IN"/>
              </w:rPr>
              <w:t>Optimistă</w:t>
            </w:r>
          </w:p>
          <w:p w14:paraId="24C6426D" w14:textId="77777777" w:rsidR="00620BC5" w:rsidRPr="00620BC5" w:rsidRDefault="00620BC5" w:rsidP="00620BC5">
            <w:pPr>
              <w:suppressLineNumbers/>
              <w:suppressAutoHyphens/>
              <w:spacing w:after="0" w:line="240" w:lineRule="auto"/>
              <w:jc w:val="center"/>
              <w:rPr>
                <w:rFonts w:ascii="Arial" w:hAnsi="Arial" w:cs="Mangal"/>
                <w:kern w:val="1"/>
                <w:sz w:val="20"/>
                <w:szCs w:val="24"/>
                <w:lang w:val="ro-RO" w:eastAsia="zh-CN" w:bidi="hi-IN"/>
              </w:rPr>
            </w:pPr>
            <w:r w:rsidRPr="00620BC5">
              <w:rPr>
                <w:rFonts w:ascii="Arial" w:hAnsi="Arial" w:cs="Arial"/>
                <w:i/>
                <w:iCs/>
                <w:kern w:val="1"/>
                <w:sz w:val="20"/>
                <w:szCs w:val="20"/>
                <w:lang w:val="ro-RO" w:eastAsia="zh-CN" w:bidi="hi-IN"/>
              </w:rPr>
              <w:t>(creştere)</w:t>
            </w:r>
          </w:p>
        </w:tc>
      </w:tr>
    </w:tbl>
    <w:p w14:paraId="43975C12" w14:textId="77777777" w:rsidR="00620BC5" w:rsidRPr="00620BC5" w:rsidRDefault="00620BC5" w:rsidP="00620BC5">
      <w:pPr>
        <w:suppressAutoHyphens/>
        <w:autoSpaceDE w:val="0"/>
        <w:spacing w:after="0" w:line="360" w:lineRule="auto"/>
        <w:jc w:val="center"/>
        <w:rPr>
          <w:rFonts w:ascii="Arial" w:eastAsia="Times New Roman" w:hAnsi="Arial" w:cs="Arial"/>
          <w:sz w:val="24"/>
          <w:szCs w:val="24"/>
          <w:lang w:eastAsia="ro-RO"/>
        </w:rPr>
      </w:pPr>
    </w:p>
    <w:p w14:paraId="20B3F216"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Times New Roman" w:hAnsi="Arial" w:cs="Arial"/>
          <w:color w:val="000000"/>
          <w:lang w:val="es-ES" w:eastAsia="ro-RO"/>
        </w:rPr>
        <w:t xml:space="preserve">La modul general pot fi elaborate scenarii combinând elementele prezentate în următoarea selecție (se constatǎ cǎ sunt posibile 3*3*2*3 = 54 de scenarii): </w:t>
      </w:r>
    </w:p>
    <w:p w14:paraId="325AFDC6"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p>
    <w:p w14:paraId="67C66F37"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b/>
          <w:color w:val="000000"/>
          <w:lang w:val="es-ES" w:eastAsia="zh-CN"/>
        </w:rPr>
        <w:t xml:space="preserve">Scenariul 1 </w:t>
      </w:r>
      <w:r w:rsidRPr="00620BC5">
        <w:rPr>
          <w:rFonts w:ascii="Arial" w:eastAsia="Calibri" w:hAnsi="Arial" w:cs="Arial"/>
          <w:b/>
          <w:bCs/>
          <w:color w:val="000000"/>
          <w:lang w:val="es-ES" w:eastAsia="zh-CN"/>
        </w:rPr>
        <w:t>– “ca până în prezent”</w:t>
      </w:r>
      <w:r w:rsidRPr="00620BC5">
        <w:rPr>
          <w:rFonts w:ascii="Arial" w:eastAsia="Calibri" w:hAnsi="Arial" w:cs="Arial"/>
          <w:color w:val="000000"/>
          <w:lang w:val="es-ES" w:eastAsia="zh-CN"/>
        </w:rPr>
        <w:t xml:space="preserve"> </w:t>
      </w:r>
    </w:p>
    <w:p w14:paraId="42A58C76"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durata vizatǎ: pe termen SCURT (2023) </w:t>
      </w:r>
    </w:p>
    <w:p w14:paraId="640A71E4"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specificitatea socio-economicǎ: într-un cadru dominat de OPTIMISM </w:t>
      </w:r>
    </w:p>
    <w:p w14:paraId="7FC02EA9"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caracteristica dezvoltǎrii: ACȚIUNI INDEPENDENTE </w:t>
      </w:r>
    </w:p>
    <w:p w14:paraId="0ACB0CBF" w14:textId="77777777" w:rsidR="00620BC5" w:rsidRPr="00620BC5" w:rsidRDefault="00620BC5" w:rsidP="00620BC5">
      <w:pPr>
        <w:suppressAutoHyphens/>
        <w:autoSpaceDE w:val="0"/>
        <w:spacing w:after="0" w:line="276" w:lineRule="auto"/>
        <w:jc w:val="both"/>
        <w:rPr>
          <w:rFonts w:ascii="Arial" w:eastAsia="Times New Roman" w:hAnsi="Arial" w:cs="Arial"/>
          <w:lang w:val="es-ES" w:eastAsia="ro-RO"/>
        </w:rPr>
      </w:pPr>
      <w:r w:rsidRPr="00620BC5">
        <w:rPr>
          <w:rFonts w:ascii="Arial" w:eastAsia="Calibri" w:hAnsi="Arial" w:cs="Arial"/>
          <w:color w:val="000000"/>
          <w:lang w:val="es-ES" w:eastAsia="zh-CN"/>
        </w:rPr>
        <w:t xml:space="preserve">scop: mobilitate prin STABILIZAREA sistemului de transport și a traficului în interiorul orașului. </w:t>
      </w:r>
    </w:p>
    <w:p w14:paraId="2AB4BEE6" w14:textId="77777777" w:rsidR="00620BC5" w:rsidRPr="00620BC5" w:rsidRDefault="00620BC5" w:rsidP="00620BC5">
      <w:pPr>
        <w:suppressAutoHyphens/>
        <w:autoSpaceDE w:val="0"/>
        <w:spacing w:after="0" w:line="276" w:lineRule="auto"/>
        <w:jc w:val="both"/>
        <w:rPr>
          <w:rFonts w:ascii="Arial" w:eastAsia="Times New Roman" w:hAnsi="Arial" w:cs="Arial"/>
          <w:lang w:val="es-ES" w:eastAsia="ro-RO"/>
        </w:rPr>
      </w:pPr>
      <w:r w:rsidRPr="00620BC5">
        <w:rPr>
          <w:rFonts w:ascii="Arial" w:eastAsia="Calibri" w:hAnsi="Arial" w:cs="Arial"/>
          <w:color w:val="000000"/>
          <w:lang w:val="es-ES" w:eastAsia="zh-CN"/>
        </w:rPr>
        <w:t>conţinut: proiecte/măsuri care sunt în curs de realizare/finalizare.</w:t>
      </w:r>
    </w:p>
    <w:p w14:paraId="730C4A47" w14:textId="77777777" w:rsidR="00620BC5" w:rsidRPr="00620BC5" w:rsidRDefault="00620BC5" w:rsidP="00620BC5">
      <w:pPr>
        <w:suppressAutoHyphens/>
        <w:autoSpaceDE w:val="0"/>
        <w:spacing w:after="0" w:line="276" w:lineRule="auto"/>
        <w:jc w:val="both"/>
        <w:rPr>
          <w:rFonts w:ascii="Arial" w:eastAsia="Times New Roman" w:hAnsi="Arial" w:cs="Arial"/>
          <w:b/>
          <w:color w:val="000000"/>
          <w:lang w:val="es-ES" w:eastAsia="ro-RO"/>
        </w:rPr>
      </w:pPr>
    </w:p>
    <w:p w14:paraId="398A85FF"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Times New Roman" w:hAnsi="Arial" w:cs="Arial"/>
          <w:b/>
          <w:color w:val="000000"/>
          <w:lang w:val="es-ES" w:eastAsia="ro-RO"/>
        </w:rPr>
        <w:t xml:space="preserve">Scenariul 2 </w:t>
      </w:r>
      <w:r w:rsidRPr="00620BC5">
        <w:rPr>
          <w:rFonts w:ascii="Arial" w:eastAsia="Times New Roman" w:hAnsi="Arial" w:cs="Arial"/>
          <w:b/>
          <w:bCs/>
          <w:color w:val="000000"/>
          <w:lang w:val="es-ES" w:eastAsia="ro-RO"/>
        </w:rPr>
        <w:t>– “politica minimalistă”</w:t>
      </w:r>
      <w:r w:rsidRPr="00620BC5">
        <w:rPr>
          <w:rFonts w:ascii="Arial" w:eastAsia="Times New Roman" w:hAnsi="Arial" w:cs="Arial"/>
          <w:color w:val="000000"/>
          <w:lang w:val="es-ES" w:eastAsia="ro-RO"/>
        </w:rPr>
        <w:t xml:space="preserve">  </w:t>
      </w:r>
    </w:p>
    <w:p w14:paraId="12435963"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durata vizatǎ: pe termen MEDIU (2027) </w:t>
      </w:r>
    </w:p>
    <w:p w14:paraId="3CC8E4F6"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specificitatea socio-economicǎ: într-un cadru dominat de REALISM </w:t>
      </w:r>
    </w:p>
    <w:p w14:paraId="02047B7A"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caracteristica dezvoltǎrii: ACȚIUNI COORDONATE </w:t>
      </w:r>
    </w:p>
    <w:p w14:paraId="01019D17"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scop: mobilitate prin ECHILIBRAREA sistemului de transport privat și de marfǎ în interiorul orașului. </w:t>
      </w:r>
    </w:p>
    <w:p w14:paraId="35F41D73"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conţinut: proiecte/măsuri cu costuri şi/sau durate de execuţie reduse si medii.</w:t>
      </w:r>
    </w:p>
    <w:p w14:paraId="711AA80C" w14:textId="77777777" w:rsidR="00620BC5" w:rsidRPr="00620BC5" w:rsidRDefault="00620BC5" w:rsidP="00620BC5">
      <w:pPr>
        <w:suppressAutoHyphens/>
        <w:autoSpaceDE w:val="0"/>
        <w:spacing w:after="0" w:line="276" w:lineRule="auto"/>
        <w:jc w:val="both"/>
        <w:rPr>
          <w:rFonts w:ascii="Arial" w:eastAsia="Calibri" w:hAnsi="Arial" w:cs="Arial"/>
          <w:b/>
          <w:color w:val="000000"/>
          <w:lang w:val="es-ES" w:eastAsia="zh-CN"/>
        </w:rPr>
      </w:pPr>
    </w:p>
    <w:p w14:paraId="26ADDB4F"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b/>
          <w:color w:val="000000"/>
          <w:lang w:val="es-ES" w:eastAsia="zh-CN"/>
        </w:rPr>
        <w:t xml:space="preserve">Scenariul 3 </w:t>
      </w:r>
      <w:r w:rsidRPr="00620BC5">
        <w:rPr>
          <w:rFonts w:ascii="Arial" w:eastAsia="Calibri" w:hAnsi="Arial" w:cs="Arial"/>
          <w:b/>
          <w:bCs/>
          <w:color w:val="000000"/>
          <w:lang w:val="es-ES" w:eastAsia="zh-CN"/>
        </w:rPr>
        <w:t>– “politica angajantă”</w:t>
      </w:r>
      <w:r w:rsidRPr="00620BC5">
        <w:rPr>
          <w:rFonts w:ascii="Arial" w:eastAsia="Calibri" w:hAnsi="Arial" w:cs="Arial"/>
          <w:color w:val="000000"/>
          <w:lang w:val="es-ES" w:eastAsia="zh-CN"/>
        </w:rPr>
        <w:t xml:space="preserve"> </w:t>
      </w:r>
    </w:p>
    <w:p w14:paraId="76C31E6B"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durata vizatǎ: pe termen LUNG (2035) </w:t>
      </w:r>
    </w:p>
    <w:p w14:paraId="3672DBF8"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specificitatea socio-economicǎ: într-un cadru dominat de REALISM </w:t>
      </w:r>
    </w:p>
    <w:p w14:paraId="6F6D7E8D"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 xml:space="preserve">caracteristica dezvoltǎrii: ACȚIUNI COORDONATE </w:t>
      </w:r>
    </w:p>
    <w:p w14:paraId="569CCFAC"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ro-RO"/>
        </w:rPr>
      </w:pPr>
      <w:r w:rsidRPr="00620BC5">
        <w:rPr>
          <w:rFonts w:ascii="Arial" w:eastAsia="Calibri" w:hAnsi="Arial" w:cs="Arial"/>
          <w:color w:val="000000"/>
          <w:lang w:val="es-ES" w:eastAsia="zh-CN"/>
        </w:rPr>
        <w:lastRenderedPageBreak/>
        <w:t xml:space="preserve">scop: mobilitate prin ECHILIBRAREA sistemului de transport și a traficului în interiorul orașului, în condițiile în care politicile de utilizare a spațiului sunt convergente cu obiectivele dezvoltǎrii durabile. </w:t>
      </w:r>
    </w:p>
    <w:p w14:paraId="58D7DB6A" w14:textId="77777777" w:rsidR="00620BC5" w:rsidRPr="00620BC5" w:rsidRDefault="00620BC5" w:rsidP="00620BC5">
      <w:pPr>
        <w:suppressAutoHyphens/>
        <w:autoSpaceDE w:val="0"/>
        <w:spacing w:after="0" w:line="276" w:lineRule="auto"/>
        <w:jc w:val="both"/>
        <w:rPr>
          <w:rFonts w:ascii="Arial" w:eastAsia="Calibri" w:hAnsi="Arial" w:cs="Arial"/>
          <w:color w:val="000000"/>
          <w:lang w:val="es-ES" w:eastAsia="zh-CN"/>
        </w:rPr>
      </w:pPr>
      <w:r w:rsidRPr="00620BC5">
        <w:rPr>
          <w:rFonts w:ascii="Arial" w:eastAsia="Calibri" w:hAnsi="Arial" w:cs="Arial"/>
          <w:color w:val="000000"/>
          <w:lang w:val="es-ES" w:eastAsia="zh-CN"/>
        </w:rPr>
        <w:t>conţinut: proiecte/măsuri cu costuri şi/sau durate de execuţie mari (de anvergură).</w:t>
      </w:r>
    </w:p>
    <w:p w14:paraId="6C095ADB" w14:textId="77777777" w:rsidR="00620BC5" w:rsidRPr="00620BC5" w:rsidRDefault="00620BC5" w:rsidP="00620BC5">
      <w:pPr>
        <w:suppressAutoHyphens/>
        <w:autoSpaceDE w:val="0"/>
        <w:spacing w:after="0" w:line="360" w:lineRule="auto"/>
        <w:jc w:val="both"/>
        <w:rPr>
          <w:rFonts w:ascii="Arial" w:hAnsi="Arial" w:cs="Arial"/>
          <w:kern w:val="1"/>
          <w:sz w:val="24"/>
          <w:szCs w:val="24"/>
          <w:lang w:val="es-ES" w:eastAsia="ro-RO" w:bidi="hi-IN"/>
        </w:rPr>
      </w:pPr>
    </w:p>
    <w:p w14:paraId="3DEF6C3C" w14:textId="77777777" w:rsidR="00620BC5" w:rsidRPr="00620BC5" w:rsidRDefault="00620BC5" w:rsidP="00620BC5">
      <w:pPr>
        <w:suppressAutoHyphens/>
        <w:autoSpaceDE w:val="0"/>
        <w:spacing w:after="0" w:line="276" w:lineRule="auto"/>
        <w:jc w:val="both"/>
        <w:rPr>
          <w:rFonts w:ascii="Arial" w:hAnsi="Arial" w:cs="Arial"/>
          <w:kern w:val="1"/>
          <w:lang w:val="es-ES" w:eastAsia="ro-RO" w:bidi="hi-IN"/>
        </w:rPr>
      </w:pPr>
      <w:r w:rsidRPr="00620BC5">
        <w:rPr>
          <w:rFonts w:ascii="Arial" w:eastAsia="Times New Roman" w:hAnsi="Arial" w:cs="Arial"/>
          <w:kern w:val="1"/>
          <w:lang w:val="es-ES" w:eastAsia="ro-RO" w:bidi="hi-IN"/>
        </w:rPr>
        <w:t>În urma analizării situaţiei existente la nivelul Orasului Horezu</w:t>
      </w:r>
      <w:r w:rsidRPr="00620BC5">
        <w:rPr>
          <w:rFonts w:ascii="Arial" w:hAnsi="Arial" w:cs="Arial"/>
          <w:kern w:val="1"/>
          <w:lang w:val="es-ES" w:eastAsia="hi-IN" w:bidi="hi-IN"/>
        </w:rPr>
        <w:t xml:space="preserve"> </w:t>
      </w:r>
      <w:r w:rsidRPr="00620BC5">
        <w:rPr>
          <w:rFonts w:ascii="Arial" w:eastAsia="Times New Roman" w:hAnsi="Arial" w:cs="Arial"/>
          <w:kern w:val="1"/>
          <w:lang w:val="es-ES" w:eastAsia="ro-RO" w:bidi="hi-IN"/>
        </w:rPr>
        <w:t xml:space="preserve">şi a ariei sale de influenţă şi a identificării problemelor legate de mobilitate cu care se confruntă, au fost definite măsurile şi proiectele ce vor fi testate cu ajutorul modelului de transport pentru a se construi scenariile de dezvoltare ale oraşului. </w:t>
      </w:r>
      <w:r w:rsidRPr="00620BC5">
        <w:rPr>
          <w:rFonts w:ascii="Arial" w:hAnsi="Arial" w:cs="Arial"/>
          <w:kern w:val="1"/>
          <w:lang w:val="es-ES" w:eastAsia="ro-RO" w:bidi="hi-IN"/>
        </w:rPr>
        <w:t>Scenariile vor conține măsurile cele mai potrivite pentru atingerea obiectivelor stabilite identificate de echipa de cercetare, dar și propunerile prezentate de autoritățile locale în cadrul întâlnirilor de lucru din cadrul grupului de coordonare.</w:t>
      </w:r>
    </w:p>
    <w:p w14:paraId="25180A32" w14:textId="77777777" w:rsidR="00620BC5" w:rsidRPr="00620BC5" w:rsidRDefault="00620BC5" w:rsidP="00620BC5">
      <w:pPr>
        <w:suppressAutoHyphens/>
        <w:autoSpaceDE w:val="0"/>
        <w:spacing w:after="0" w:line="360" w:lineRule="auto"/>
        <w:jc w:val="both"/>
        <w:rPr>
          <w:rFonts w:ascii="Arial" w:hAnsi="Arial" w:cs="Arial"/>
          <w:kern w:val="1"/>
          <w:sz w:val="24"/>
          <w:szCs w:val="24"/>
          <w:lang w:val="es-ES" w:eastAsia="ro-RO" w:bidi="hi-IN"/>
        </w:rPr>
      </w:pPr>
    </w:p>
    <w:p w14:paraId="264BF62F" w14:textId="77777777" w:rsidR="00620BC5" w:rsidRPr="00620BC5" w:rsidRDefault="00620BC5" w:rsidP="00620BC5">
      <w:pPr>
        <w:widowControl w:val="0"/>
        <w:suppressAutoHyphens/>
        <w:spacing w:after="0" w:line="276" w:lineRule="auto"/>
        <w:jc w:val="both"/>
        <w:rPr>
          <w:rFonts w:ascii="Arial" w:hAnsi="Arial" w:cs="Arial"/>
          <w:kern w:val="1"/>
          <w:lang w:val="es-ES" w:eastAsia="ro-RO" w:bidi="hi-IN"/>
        </w:rPr>
      </w:pPr>
      <w:r w:rsidRPr="00620BC5">
        <w:rPr>
          <w:rFonts w:ascii="Arial" w:hAnsi="Arial" w:cs="Arial"/>
          <w:kern w:val="1"/>
          <w:lang w:val="es-ES" w:eastAsia="ro-RO" w:bidi="hi-IN"/>
        </w:rPr>
        <w:t xml:space="preserve">In cadrul evaluării măsurilor şi proiectelor şi în vederea prioritizării acestora, fiecărei măsuri i s-a alocat o notă de la 1 la 10, în funcţie de impactul pe care îl are asupra indicatorului respectiv, impact rezultat din modelul de transport pentru 9 din cei 11 indicatori de evaluare. </w:t>
      </w:r>
      <w:r w:rsidRPr="00620BC5">
        <w:rPr>
          <w:rFonts w:ascii="Arial" w:hAnsi="Arial" w:cs="Arial"/>
          <w:kern w:val="1"/>
          <w:lang w:val="ro-RO" w:eastAsia="ro-RO" w:bidi="hi-IN"/>
        </w:rPr>
        <w:t xml:space="preserve">In vederea stabilirii măsurilor şi proiectelor care vor face parte din scenariul preferat (ales) s-a fixat ca prag de admisibilitate scorul AMC = 5. </w:t>
      </w:r>
      <w:r w:rsidRPr="00620BC5">
        <w:rPr>
          <w:rFonts w:ascii="Arial" w:hAnsi="Arial" w:cs="Arial"/>
          <w:kern w:val="1"/>
          <w:lang w:val="es-ES" w:eastAsia="ro-RO" w:bidi="hi-IN"/>
        </w:rPr>
        <w:t xml:space="preserve">Proiectele/măsurile al căror scor AMC nu depăşeşte acest prag nu vor fi selectate în scenariul ales, cu alte cuvinte acestea vor constitui lista proiectelor de rezervă (împreună cu acele proiecte care depășesc acest prag, dar nu au o sursă de finanțare certă în momentul actual – POR sau fonduri de la buget) şi a celor care nu vor fi implementate, în ordinea punctajelor obţinute. Calculul punctajelor pentru fiecare proiect/măsură este prezentat în </w:t>
      </w:r>
      <w:r w:rsidRPr="00D45675">
        <w:rPr>
          <w:rFonts w:ascii="Arial" w:hAnsi="Arial" w:cs="Arial"/>
          <w:kern w:val="1"/>
          <w:lang w:val="es-ES" w:eastAsia="ro-RO" w:bidi="hi-IN"/>
        </w:rPr>
        <w:t xml:space="preserve">Anexa </w:t>
      </w:r>
      <w:r w:rsidR="00D45675" w:rsidRPr="00D45675">
        <w:rPr>
          <w:rFonts w:ascii="Arial" w:hAnsi="Arial" w:cs="Arial"/>
          <w:kern w:val="1"/>
          <w:lang w:val="es-ES" w:eastAsia="ro-RO" w:bidi="hi-IN"/>
        </w:rPr>
        <w:t>10</w:t>
      </w:r>
      <w:r w:rsidRPr="00D45675">
        <w:rPr>
          <w:rFonts w:ascii="Arial" w:hAnsi="Arial" w:cs="Arial"/>
          <w:kern w:val="1"/>
          <w:lang w:val="es-ES" w:eastAsia="ro-RO" w:bidi="hi-IN"/>
        </w:rPr>
        <w:t>.</w:t>
      </w:r>
    </w:p>
    <w:p w14:paraId="4B3030A1" w14:textId="77777777" w:rsidR="00437AC6" w:rsidRPr="00437AC6" w:rsidRDefault="00437AC6" w:rsidP="00437AC6">
      <w:pPr>
        <w:rPr>
          <w:lang w:val="it-IT" w:eastAsia="ro-RO"/>
        </w:rPr>
      </w:pPr>
    </w:p>
    <w:p w14:paraId="12C67C3D" w14:textId="77777777" w:rsidR="00D70AEA" w:rsidRDefault="00D70AEA" w:rsidP="003430C5">
      <w:pPr>
        <w:pStyle w:val="Titlu2"/>
        <w:rPr>
          <w:rFonts w:ascii="Arial" w:eastAsia="Times New Roman" w:hAnsi="Arial" w:cs="Arial"/>
          <w:b/>
          <w:bCs/>
          <w:color w:val="auto"/>
          <w:sz w:val="24"/>
          <w:szCs w:val="24"/>
          <w:lang w:val="it-IT" w:eastAsia="ro-RO"/>
        </w:rPr>
      </w:pPr>
      <w:bookmarkStart w:id="429" w:name="_Toc61264913"/>
      <w:bookmarkStart w:id="430" w:name="_Toc142039099"/>
      <w:r w:rsidRPr="00EA79B2">
        <w:rPr>
          <w:rFonts w:ascii="Arial" w:eastAsia="Times New Roman" w:hAnsi="Arial" w:cs="Arial"/>
          <w:b/>
          <w:bCs/>
          <w:color w:val="auto"/>
          <w:sz w:val="24"/>
          <w:szCs w:val="24"/>
          <w:lang w:val="it-IT" w:eastAsia="ro-RO"/>
        </w:rPr>
        <w:t>I.6.1</w:t>
      </w:r>
      <w:r w:rsidR="00BB3030">
        <w:rPr>
          <w:rFonts w:ascii="Arial" w:eastAsia="Times New Roman" w:hAnsi="Arial" w:cs="Arial"/>
          <w:b/>
          <w:bCs/>
          <w:color w:val="auto"/>
          <w:sz w:val="24"/>
          <w:szCs w:val="24"/>
          <w:lang w:val="it-IT" w:eastAsia="ro-RO"/>
        </w:rPr>
        <w:t xml:space="preserve"> </w:t>
      </w:r>
      <w:r w:rsidR="008969BE">
        <w:rPr>
          <w:rFonts w:ascii="Arial" w:eastAsia="Times New Roman" w:hAnsi="Arial" w:cs="Arial"/>
          <w:b/>
          <w:bCs/>
          <w:color w:val="auto"/>
          <w:sz w:val="24"/>
          <w:szCs w:val="24"/>
          <w:lang w:val="it-IT" w:eastAsia="ro-RO"/>
        </w:rPr>
        <w:t>Direcții</w:t>
      </w:r>
      <w:r w:rsidRPr="00EA79B2">
        <w:rPr>
          <w:rFonts w:ascii="Arial" w:eastAsia="Times New Roman" w:hAnsi="Arial" w:cs="Arial"/>
          <w:b/>
          <w:bCs/>
          <w:color w:val="auto"/>
          <w:sz w:val="24"/>
          <w:szCs w:val="24"/>
          <w:lang w:val="it-IT" w:eastAsia="ro-RO"/>
        </w:rPr>
        <w:t xml:space="preserve"> de acțiune și proiecte pentru infrastructura de transport</w:t>
      </w:r>
      <w:bookmarkEnd w:id="429"/>
      <w:bookmarkEnd w:id="430"/>
    </w:p>
    <w:p w14:paraId="6398EB47"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La începutul secolului XXI omenirea se confruntă nu numai cu problemele rezultate din creşterea populaţiei, ci şi cu problemele rezultate ca urmare a procesului de urbanizare şi activităţilor socio-economice din zonele urbane. Una din principalele consecinţe ale fenomenului o constituie creşterea necesităţilor de transporturi de bunuri şi persoane. </w:t>
      </w:r>
    </w:p>
    <w:p w14:paraId="7C86E8B1"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5E99CFB3" w14:textId="77777777" w:rsidR="000A5845" w:rsidRPr="000A5845" w:rsidRDefault="000A5845" w:rsidP="000A5845">
      <w:p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Problema transporturilor în ziua de azi se pune sub forme noi datorită dorinţelor fireşti de satisfacere a necesităţilor de deplasare în condiţii de siguranţă, rapiditate, confort, economicitate şi protecţie a mediului înconjurător. Satisfacerea acestor necesităţi de deplasare vine în contradicţie, în principal, cu: </w:t>
      </w:r>
    </w:p>
    <w:p w14:paraId="4DC1FA8A" w14:textId="77777777" w:rsidR="000A5845" w:rsidRPr="000A5845" w:rsidRDefault="000A5845" w:rsidP="000C6CB8">
      <w:pPr>
        <w:numPr>
          <w:ilvl w:val="0"/>
          <w:numId w:val="175"/>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infrastructura, concepută şi realizată în trecut la standarde care nu mai corespund momentului actual şi cu atât mai mult perioadei viitoare; </w:t>
      </w:r>
    </w:p>
    <w:p w14:paraId="25B56B48" w14:textId="77777777" w:rsidR="000A5845" w:rsidRPr="000A5845" w:rsidRDefault="000A5845" w:rsidP="000C6CB8">
      <w:pPr>
        <w:numPr>
          <w:ilvl w:val="0"/>
          <w:numId w:val="175"/>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lipsa de fonduri, datorată, în momentul de faţă, situaţiei grele a economiei; </w:t>
      </w:r>
    </w:p>
    <w:p w14:paraId="3BE17941" w14:textId="77777777" w:rsidR="000A5845" w:rsidRPr="000A5845" w:rsidRDefault="000A5845" w:rsidP="000C6CB8">
      <w:pPr>
        <w:numPr>
          <w:ilvl w:val="0"/>
          <w:numId w:val="175"/>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dorinţa de păstrare a unor construcţii şi imposibilitatea lărgirii prospectelor unor străzi dispuse pe direcţia fluxurilor importante de circulaţie. </w:t>
      </w:r>
    </w:p>
    <w:p w14:paraId="53F5931F" w14:textId="77777777" w:rsidR="000A5845" w:rsidRPr="000A5845" w:rsidRDefault="000A5845" w:rsidP="000A5845">
      <w:pPr>
        <w:suppressAutoHyphens/>
        <w:autoSpaceDE w:val="0"/>
        <w:spacing w:after="0" w:line="360" w:lineRule="auto"/>
        <w:jc w:val="both"/>
        <w:rPr>
          <w:rFonts w:ascii="Arial" w:eastAsia="Calibri" w:hAnsi="Arial" w:cs="Arial"/>
          <w:color w:val="000000"/>
          <w:sz w:val="24"/>
          <w:szCs w:val="24"/>
          <w:lang w:val="es-ES" w:eastAsia="zh-CN"/>
        </w:rPr>
      </w:pPr>
    </w:p>
    <w:p w14:paraId="0F19E44E" w14:textId="77777777" w:rsidR="000A5845" w:rsidRPr="000A5845" w:rsidRDefault="000A5845" w:rsidP="000A5845">
      <w:p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În perspectivă este de aşteptat ca necesităţile de circulaţie ale circulaţiei rutiere şi de transport în comun, să crească datorită a doi factori importanţi: </w:t>
      </w:r>
    </w:p>
    <w:p w14:paraId="6F584838" w14:textId="77777777" w:rsidR="000A5845" w:rsidRPr="000A5845" w:rsidRDefault="000A5845" w:rsidP="000C6CB8">
      <w:pPr>
        <w:numPr>
          <w:ilvl w:val="0"/>
          <w:numId w:val="176"/>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sporirea indicelui de motorizare; </w:t>
      </w:r>
    </w:p>
    <w:p w14:paraId="28D77BEA" w14:textId="77777777" w:rsidR="000A5845" w:rsidRPr="000A5845" w:rsidRDefault="000A5845" w:rsidP="000C6CB8">
      <w:pPr>
        <w:numPr>
          <w:ilvl w:val="0"/>
          <w:numId w:val="176"/>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sporirea mobilităţii. </w:t>
      </w:r>
    </w:p>
    <w:p w14:paraId="6DB98550" w14:textId="77777777" w:rsidR="000A5845" w:rsidRPr="000A5845" w:rsidRDefault="000A5845" w:rsidP="000A5845">
      <w:pPr>
        <w:suppressAutoHyphens/>
        <w:autoSpaceDE w:val="0"/>
        <w:spacing w:after="0" w:line="360" w:lineRule="auto"/>
        <w:jc w:val="both"/>
        <w:rPr>
          <w:rFonts w:ascii="Arial" w:eastAsia="Calibri" w:hAnsi="Arial" w:cs="Arial"/>
          <w:color w:val="000000"/>
          <w:sz w:val="24"/>
          <w:szCs w:val="24"/>
          <w:lang w:val="es-ES" w:eastAsia="zh-CN"/>
        </w:rPr>
      </w:pPr>
    </w:p>
    <w:p w14:paraId="013C4EF1" w14:textId="77777777" w:rsidR="000A5845" w:rsidRPr="000A5845" w:rsidRDefault="000A5845" w:rsidP="000A5845">
      <w:p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lastRenderedPageBreak/>
        <w:t xml:space="preserve">Ţinând seama de necesitatea de satisfacere a nevoilor actuale, dar mai ales a celor de perspectivă, organizarea circulaţiei urbane, care are rolul de a asigura funcţiunile de transport de bunuri şi persoane, devine prioritară, deoarece: </w:t>
      </w:r>
    </w:p>
    <w:p w14:paraId="01AD3737" w14:textId="77777777" w:rsidR="000A5845" w:rsidRPr="000A5845" w:rsidRDefault="000A5845" w:rsidP="000C6CB8">
      <w:pPr>
        <w:numPr>
          <w:ilvl w:val="0"/>
          <w:numId w:val="177"/>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transporturile de bunuri sunt necesare atât pentru activitatea de producţie şi de servicii, cât şi pentru aprovizionarea oraşului cu bunuri de consum necesare populaţiei; </w:t>
      </w:r>
    </w:p>
    <w:p w14:paraId="6D2BED47" w14:textId="77777777" w:rsidR="000A5845" w:rsidRPr="000A5845" w:rsidRDefault="000A5845" w:rsidP="000C6CB8">
      <w:pPr>
        <w:numPr>
          <w:ilvl w:val="0"/>
          <w:numId w:val="177"/>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transportul de persoane trebuie să constituie o prioritate, în special pentru satisfacerea necesităţilor de deplasare în relaţia locuinţă-loc de muncă, întrucât greutăţile întâmpinate în acest domeniu au repercusiuni asupra activităţii de producţie şi deci a economiei în general. </w:t>
      </w:r>
    </w:p>
    <w:p w14:paraId="493AC041"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6DEE47B7"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Transporturile şi urbanizarea constituie un sistem interactiv în care cele două elemente se influenţează reciproc. Acest lucru pare evident, dar datorită interacţiunii dintre transporturi şi dezvoltarea urbană este dificil să se facă cuantificări datorită complexităţii mecanismelor urbane, care nu permit să se izoleze cauzele şi efectele lor. </w:t>
      </w:r>
    </w:p>
    <w:p w14:paraId="694229F8" w14:textId="77777777" w:rsidR="000A5845" w:rsidRPr="000A5845" w:rsidRDefault="000A5845" w:rsidP="000A5845">
      <w:pPr>
        <w:suppressAutoHyphens/>
        <w:autoSpaceDE w:val="0"/>
        <w:spacing w:after="0" w:line="360" w:lineRule="auto"/>
        <w:jc w:val="both"/>
        <w:rPr>
          <w:rFonts w:ascii="Arial" w:eastAsia="Calibri" w:hAnsi="Arial" w:cs="Arial"/>
          <w:color w:val="000000"/>
          <w:sz w:val="24"/>
          <w:szCs w:val="24"/>
          <w:lang w:val="es-ES" w:eastAsia="zh-CN"/>
        </w:rPr>
      </w:pPr>
    </w:p>
    <w:p w14:paraId="2A50FDEA"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Procesul poate fi descris simplificat prin trei considerente principale: </w:t>
      </w:r>
    </w:p>
    <w:p w14:paraId="0029C64A"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1). </w:t>
      </w:r>
      <w:r w:rsidRPr="000A5845">
        <w:rPr>
          <w:rFonts w:ascii="Arial" w:eastAsia="Calibri" w:hAnsi="Arial" w:cs="Arial"/>
          <w:i/>
          <w:color w:val="000000"/>
          <w:lang w:val="es-ES" w:eastAsia="zh-CN"/>
        </w:rPr>
        <w:t xml:space="preserve">Transformările structurilor spaţiale </w:t>
      </w:r>
      <w:r w:rsidRPr="000A5845">
        <w:rPr>
          <w:rFonts w:ascii="Arial" w:eastAsia="Calibri" w:hAnsi="Arial" w:cs="Arial"/>
          <w:color w:val="000000"/>
          <w:lang w:val="es-ES" w:eastAsia="zh-CN"/>
        </w:rPr>
        <w:t xml:space="preserve">realizate fie prin extindere (dezvoltare de-a lungul unor axe sau prin crearea unor zone de locuinţe periferice), fie prin îndesirea ţesutului urban (se modifică volumul şi repartiţia necesităţilor de deplasări); </w:t>
      </w:r>
    </w:p>
    <w:p w14:paraId="5DA8B4E9"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2). </w:t>
      </w:r>
      <w:r w:rsidRPr="000A5845">
        <w:rPr>
          <w:rFonts w:ascii="Arial" w:eastAsia="Calibri" w:hAnsi="Arial" w:cs="Arial"/>
          <w:i/>
          <w:color w:val="000000"/>
          <w:lang w:val="es-ES" w:eastAsia="zh-CN"/>
        </w:rPr>
        <w:t xml:space="preserve">Satisfacerea necesităţilor de circulaţie </w:t>
      </w:r>
      <w:r w:rsidRPr="000A5845">
        <w:rPr>
          <w:rFonts w:ascii="Arial" w:eastAsia="Calibri" w:hAnsi="Arial" w:cs="Arial"/>
          <w:color w:val="000000"/>
          <w:lang w:val="es-ES" w:eastAsia="zh-CN"/>
        </w:rPr>
        <w:t xml:space="preserve">presupune crearea unei infrastructuri de circulaţie pentru a face mai accesibile şi mai atractive anumite zone din spaţiul urban; </w:t>
      </w:r>
    </w:p>
    <w:p w14:paraId="2C31390C"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3). </w:t>
      </w:r>
      <w:r w:rsidRPr="000A5845">
        <w:rPr>
          <w:rFonts w:ascii="Arial" w:eastAsia="Calibri" w:hAnsi="Arial" w:cs="Arial"/>
          <w:i/>
          <w:color w:val="000000"/>
          <w:lang w:val="es-ES" w:eastAsia="zh-CN"/>
        </w:rPr>
        <w:t xml:space="preserve">Fiecare acţiune </w:t>
      </w:r>
      <w:r w:rsidRPr="000A5845">
        <w:rPr>
          <w:rFonts w:ascii="Arial" w:eastAsia="Calibri" w:hAnsi="Arial" w:cs="Arial"/>
          <w:color w:val="000000"/>
          <w:lang w:val="es-ES" w:eastAsia="zh-CN"/>
        </w:rPr>
        <w:t>(localizarea funcţiilor urbane sau crearea unei infrastructuri rutiere) declanşează efecte care modifică starea sistemului, satisfăcând o necesitate, sau crearea unei noi necesităţi, sau revigorarea unei situaţii existente.</w:t>
      </w:r>
    </w:p>
    <w:p w14:paraId="77664085"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28C6333E"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Transformările rapide ale repartiţiei spaţiale a zonelor de locuinţe şi a celor cu activităţi de producţie şi servicii antrenează modificări în geografia originilor şi destinaţiilor deplasărilor, în intensitatea fluxurilor de circulaţie şi în lungimea parcursurilor. </w:t>
      </w:r>
    </w:p>
    <w:p w14:paraId="56A88DFD"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1B5C1328"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În principiu, administraţiile caută să creeze infrastructuri şi mijloace de transport pentru a face faţă la creşterea necesităţilor de circulaţie, dar creşterea cererilor de transport de persoane şi bunuri nu este, în general, însoţită de o adaptare imediată a sistemului de transport în sectoarele cele mai solicitate ale sistemului urban. Constrângerile care apar sunt cauzate de: resurse limitate, costuri ridicate pentru realizarea infrastructurii de transport urban, obstacole politice, administrative şi instituţionale, precum opoziţia colectivităţilor învecinate. </w:t>
      </w:r>
    </w:p>
    <w:p w14:paraId="36579CC1"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5A256CEE"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Considerentele arătate mai sus conduc la necesitatea corelării acţiunilor de sistematizare urbană cu cele de modernizare a reţelelor de circulaţie, ambele trebuind să se bazeze pe studii aprofundate. </w:t>
      </w:r>
    </w:p>
    <w:p w14:paraId="68D0D7FA"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2EFA72C7" w14:textId="77777777" w:rsidR="000A5845" w:rsidRPr="000A5845" w:rsidRDefault="000A5845" w:rsidP="000A5845">
      <w:pPr>
        <w:suppressAutoHyphens/>
        <w:autoSpaceDE w:val="0"/>
        <w:spacing w:after="0" w:line="276" w:lineRule="auto"/>
        <w:jc w:val="both"/>
        <w:rPr>
          <w:rFonts w:ascii="Arial" w:eastAsia="Calibri" w:hAnsi="Arial" w:cs="Arial"/>
          <w:color w:val="FF0000"/>
          <w:lang w:val="es-ES" w:eastAsia="zh-CN"/>
        </w:rPr>
      </w:pPr>
      <w:r w:rsidRPr="000A5845">
        <w:rPr>
          <w:rFonts w:ascii="Arial" w:eastAsia="Calibri" w:hAnsi="Arial" w:cs="Arial"/>
          <w:color w:val="000000"/>
          <w:lang w:val="es-ES" w:eastAsia="zh-CN"/>
        </w:rPr>
        <w:t xml:space="preserve">Datorită acestui lucru apare necesitatea unei reţele stradale majore pentru asigurarea circulaţiei orăşeneşti de mare volum şi viteză corespunzătoare, amplasată în vecinătatea marilor unităţi urbanistice şi al unei reţele de penetraţie-difuziune situată în interiorul acestor unităţi pentru asigurarea circulaţiei locale şi de acces caracterizată prin mărime şi viteze reduse. Astfel apare necesitatea unei noi organizări a oraşelor faţă de aceste probleme ale </w:t>
      </w:r>
      <w:r w:rsidRPr="000A5845">
        <w:rPr>
          <w:rFonts w:ascii="Arial" w:eastAsia="Calibri" w:hAnsi="Arial" w:cs="Arial"/>
          <w:color w:val="000000"/>
          <w:lang w:val="es-ES" w:eastAsia="zh-CN"/>
        </w:rPr>
        <w:lastRenderedPageBreak/>
        <w:t xml:space="preserve">diferitelor categorii de transporturi. În aceste condiţii se pune problema executării unor noi artere de circulaţie, a sistematizării intersecţiilor, a executării unor poduri, pasaje, etc. </w:t>
      </w:r>
    </w:p>
    <w:p w14:paraId="591217C7" w14:textId="77777777" w:rsidR="000A5845" w:rsidRPr="000A5845" w:rsidRDefault="000A5845" w:rsidP="000A5845">
      <w:pPr>
        <w:widowControl w:val="0"/>
        <w:suppressAutoHyphens/>
        <w:spacing w:after="0" w:line="276" w:lineRule="auto"/>
        <w:jc w:val="both"/>
        <w:rPr>
          <w:rFonts w:ascii="Arial" w:hAnsi="Arial" w:cs="Arial"/>
          <w:color w:val="FF0000"/>
          <w:kern w:val="1"/>
          <w:lang w:val="es-ES" w:eastAsia="hi-IN" w:bidi="hi-IN"/>
        </w:rPr>
      </w:pPr>
    </w:p>
    <w:p w14:paraId="2627252E"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Măsurile care pot fi aplicate pentru îmbunătăţirea infrastructurii constau în: </w:t>
      </w:r>
    </w:p>
    <w:p w14:paraId="46CA212A"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construirea de noi artere de circulaţie; </w:t>
      </w:r>
    </w:p>
    <w:p w14:paraId="53671EB9"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lărgiri străzi, modificări ale razelor curbelor, etc.; </w:t>
      </w:r>
    </w:p>
    <w:p w14:paraId="36129093"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modificarea geometriei intersecţiilor pentru creşterea nivelului de serviciu; </w:t>
      </w:r>
    </w:p>
    <w:p w14:paraId="01412A6D"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construirea de pasaje denivelate; </w:t>
      </w:r>
    </w:p>
    <w:p w14:paraId="3C0554F7" w14:textId="28ADBB1B"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construirea de </w:t>
      </w:r>
      <w:r w:rsidR="00A27348">
        <w:rPr>
          <w:rFonts w:ascii="Arial" w:eastAsia="Calibri" w:hAnsi="Arial" w:cs="Arial"/>
          <w:color w:val="000000"/>
          <w:lang w:val="es-ES" w:eastAsia="zh-CN"/>
        </w:rPr>
        <w:t>infrastructuri</w:t>
      </w:r>
      <w:r w:rsidRPr="000A5845">
        <w:rPr>
          <w:rFonts w:ascii="Arial" w:eastAsia="Calibri" w:hAnsi="Arial" w:cs="Arial"/>
          <w:color w:val="000000"/>
          <w:lang w:val="es-ES" w:eastAsia="zh-CN"/>
        </w:rPr>
        <w:t xml:space="preserve"> pentru biciclete şi zone pietonale; </w:t>
      </w:r>
    </w:p>
    <w:p w14:paraId="33995881" w14:textId="77777777" w:rsidR="000A5845" w:rsidRPr="000A5845" w:rsidRDefault="000A5845" w:rsidP="000A5845">
      <w:pPr>
        <w:suppressAutoHyphens/>
        <w:autoSpaceDE w:val="0"/>
        <w:spacing w:after="0" w:line="276" w:lineRule="auto"/>
        <w:jc w:val="both"/>
        <w:rPr>
          <w:rFonts w:ascii="Arial" w:eastAsia="Calibri" w:hAnsi="Arial" w:cs="Arial"/>
          <w:color w:val="FF0000"/>
          <w:lang w:val="es-ES" w:eastAsia="zh-CN"/>
        </w:rPr>
      </w:pPr>
      <w:r w:rsidRPr="000A5845">
        <w:rPr>
          <w:rFonts w:ascii="Arial" w:eastAsia="Calibri" w:hAnsi="Arial" w:cs="Arial"/>
          <w:color w:val="000000"/>
          <w:lang w:val="es-ES" w:eastAsia="zh-CN"/>
        </w:rPr>
        <w:t>- construirea de pasaje pietonale.</w:t>
      </w:r>
    </w:p>
    <w:p w14:paraId="1CE52AD3" w14:textId="77777777" w:rsidR="000A5845" w:rsidRPr="000A5845" w:rsidRDefault="000A5845" w:rsidP="000A5845">
      <w:pPr>
        <w:widowControl w:val="0"/>
        <w:suppressAutoHyphens/>
        <w:spacing w:after="0" w:line="360" w:lineRule="auto"/>
        <w:jc w:val="both"/>
        <w:rPr>
          <w:rFonts w:ascii="Arial" w:hAnsi="Arial" w:cs="Arial"/>
          <w:color w:val="FF0000"/>
          <w:kern w:val="1"/>
          <w:sz w:val="24"/>
          <w:szCs w:val="24"/>
          <w:lang w:val="es-ES" w:eastAsia="hi-IN" w:bidi="hi-IN"/>
        </w:rPr>
      </w:pPr>
    </w:p>
    <w:p w14:paraId="1EA8B1F4" w14:textId="77777777" w:rsidR="000A5845" w:rsidRPr="000A5845" w:rsidRDefault="000A5845" w:rsidP="000A5845">
      <w:pPr>
        <w:widowControl w:val="0"/>
        <w:suppressAutoHyphens/>
        <w:spacing w:after="0" w:line="240" w:lineRule="auto"/>
        <w:jc w:val="both"/>
        <w:rPr>
          <w:rFonts w:ascii="Arial" w:hAnsi="Arial" w:cs="Arial"/>
          <w:kern w:val="1"/>
          <w:lang w:val="es-ES" w:eastAsia="hi-IN" w:bidi="hi-IN"/>
        </w:rPr>
      </w:pPr>
      <w:r w:rsidRPr="000A5845">
        <w:rPr>
          <w:rFonts w:ascii="Arial" w:hAnsi="Arial" w:cs="Arial"/>
          <w:kern w:val="1"/>
          <w:lang w:val="es-ES" w:eastAsia="hi-IN" w:bidi="hi-IN"/>
        </w:rPr>
        <w:t>Proiectele/măsurile referitoare la infrastructura de transport, repartizate pe scenarii sunt prezentate în continuare:</w:t>
      </w:r>
    </w:p>
    <w:p w14:paraId="48BF9430" w14:textId="77777777" w:rsidR="000A5845" w:rsidRPr="000A5845" w:rsidRDefault="000A5845" w:rsidP="000A5845">
      <w:pPr>
        <w:widowControl w:val="0"/>
        <w:numPr>
          <w:ilvl w:val="0"/>
          <w:numId w:val="71"/>
        </w:numPr>
        <w:suppressAutoHyphens/>
        <w:spacing w:after="0" w:line="240" w:lineRule="auto"/>
        <w:jc w:val="both"/>
        <w:rPr>
          <w:rFonts w:ascii="Arial" w:eastAsia="Times New Roman" w:hAnsi="Arial" w:cs="Arial"/>
          <w:lang w:val="x-none" w:eastAsia="zh-CN"/>
        </w:rPr>
      </w:pPr>
      <w:r w:rsidRPr="000A5845">
        <w:rPr>
          <w:rFonts w:ascii="Arial" w:eastAsia="Times New Roman" w:hAnsi="Arial" w:cs="Arial"/>
          <w:lang w:val="x-none" w:eastAsia="zh-CN"/>
        </w:rPr>
        <w:t xml:space="preserve">Scenariul </w:t>
      </w:r>
      <w:r w:rsidRPr="000A5845">
        <w:rPr>
          <w:rFonts w:ascii="Arial" w:eastAsia="Times New Roman" w:hAnsi="Arial" w:cs="Arial"/>
          <w:lang w:eastAsia="zh-CN"/>
        </w:rPr>
        <w:t>2</w:t>
      </w:r>
      <w:r w:rsidRPr="000A5845">
        <w:rPr>
          <w:rFonts w:ascii="Arial" w:eastAsia="Times New Roman" w:hAnsi="Arial" w:cs="Arial"/>
          <w:lang w:val="x-none" w:eastAsia="zh-CN"/>
        </w:rPr>
        <w:t>:</w:t>
      </w:r>
    </w:p>
    <w:p w14:paraId="78A4D844" w14:textId="77777777" w:rsidR="000A5845" w:rsidRPr="000A5845" w:rsidRDefault="000A5845" w:rsidP="000A5845">
      <w:pPr>
        <w:widowControl w:val="0"/>
        <w:numPr>
          <w:ilvl w:val="0"/>
          <w:numId w:val="92"/>
        </w:numPr>
        <w:suppressAutoHyphens/>
        <w:spacing w:after="0" w:line="240" w:lineRule="auto"/>
        <w:jc w:val="both"/>
        <w:rPr>
          <w:rFonts w:ascii="Arial" w:eastAsia="Times New Roman" w:hAnsi="Arial" w:cs="Arial"/>
          <w:lang w:val="x-none" w:eastAsia="zh-CN"/>
        </w:rPr>
      </w:pPr>
      <w:r w:rsidRPr="000A5845">
        <w:rPr>
          <w:rFonts w:ascii="Arial" w:eastAsia="Arial" w:hAnsi="Arial" w:cs="Arial"/>
          <w:lang w:val="es-ES" w:eastAsia="zh-CN"/>
        </w:rPr>
        <w:t>IX</w:t>
      </w:r>
      <w:r w:rsidRPr="000A5845">
        <w:rPr>
          <w:rFonts w:ascii="Arial" w:eastAsia="Times New Roman" w:hAnsi="Arial" w:cs="Arial"/>
          <w:lang w:val="es-ES" w:eastAsia="zh-CN"/>
        </w:rPr>
        <w:t xml:space="preserve">.2 = reabilitarea şi modernizarea infrastructurii rutiere </w:t>
      </w:r>
      <w:r w:rsidRPr="000A5845">
        <w:rPr>
          <w:rFonts w:ascii="Arial" w:eastAsia="Times New Roman" w:hAnsi="Arial" w:cs="Arial"/>
          <w:lang w:val="x-none" w:eastAsia="zh-CN"/>
        </w:rPr>
        <w:t>– scor AMC = 6,</w:t>
      </w:r>
      <w:r w:rsidRPr="000A5845">
        <w:rPr>
          <w:rFonts w:ascii="Arial" w:eastAsia="Times New Roman" w:hAnsi="Arial" w:cs="Arial"/>
          <w:lang w:eastAsia="zh-CN"/>
        </w:rPr>
        <w:t>22</w:t>
      </w:r>
      <w:r w:rsidRPr="000A5845">
        <w:rPr>
          <w:rFonts w:ascii="Arial" w:eastAsia="Times New Roman" w:hAnsi="Arial" w:cs="Arial"/>
          <w:lang w:val="x-none" w:eastAsia="zh-CN"/>
        </w:rPr>
        <w:t>.</w:t>
      </w:r>
    </w:p>
    <w:p w14:paraId="670998F2" w14:textId="77777777" w:rsidR="000A5845" w:rsidRPr="000A5845" w:rsidRDefault="000A5845" w:rsidP="000A5845">
      <w:pPr>
        <w:widowControl w:val="0"/>
        <w:numPr>
          <w:ilvl w:val="0"/>
          <w:numId w:val="93"/>
        </w:numPr>
        <w:suppressAutoHyphens/>
        <w:spacing w:after="0" w:line="240" w:lineRule="auto"/>
        <w:jc w:val="both"/>
        <w:rPr>
          <w:rFonts w:ascii="Arial" w:eastAsia="Times New Roman" w:hAnsi="Arial" w:cs="Arial"/>
          <w:lang w:val="x-none" w:eastAsia="zh-CN"/>
        </w:rPr>
      </w:pPr>
      <w:r w:rsidRPr="000A5845">
        <w:rPr>
          <w:rFonts w:ascii="Arial" w:eastAsia="Times New Roman" w:hAnsi="Arial" w:cs="Arial"/>
          <w:lang w:val="es-ES" w:eastAsia="zh-CN"/>
        </w:rPr>
        <w:t>IX.3 = reamenajarea intersecțiilor cu nivel de serviciu scăzut</w:t>
      </w:r>
      <w:r w:rsidRPr="000A5845">
        <w:rPr>
          <w:rFonts w:ascii="Arial" w:eastAsia="Times New Roman" w:hAnsi="Arial" w:cs="Arial"/>
          <w:lang w:val="x-none" w:eastAsia="zh-CN"/>
        </w:rPr>
        <w:t xml:space="preserve"> – scor AMC = </w:t>
      </w:r>
      <w:r w:rsidRPr="000A5845">
        <w:rPr>
          <w:rFonts w:ascii="Arial" w:eastAsia="Times New Roman" w:hAnsi="Arial" w:cs="Arial"/>
          <w:lang w:val="es-ES" w:eastAsia="zh-CN"/>
        </w:rPr>
        <w:t>6,12</w:t>
      </w:r>
      <w:r w:rsidRPr="000A5845">
        <w:rPr>
          <w:rFonts w:ascii="Arial" w:eastAsia="Times New Roman" w:hAnsi="Arial" w:cs="Arial"/>
          <w:lang w:val="x-none" w:eastAsia="zh-CN"/>
        </w:rPr>
        <w:t>.</w:t>
      </w:r>
    </w:p>
    <w:p w14:paraId="763D59A5" w14:textId="77777777" w:rsidR="000A5845" w:rsidRPr="000A5845" w:rsidRDefault="000A5845" w:rsidP="000A5845">
      <w:pPr>
        <w:widowControl w:val="0"/>
        <w:numPr>
          <w:ilvl w:val="0"/>
          <w:numId w:val="93"/>
        </w:numPr>
        <w:suppressAutoHyphens/>
        <w:spacing w:after="0" w:line="240" w:lineRule="auto"/>
        <w:jc w:val="both"/>
        <w:rPr>
          <w:rFonts w:ascii="Arial" w:eastAsia="Times New Roman" w:hAnsi="Arial" w:cs="Arial"/>
          <w:lang w:val="x-none" w:eastAsia="zh-CN"/>
        </w:rPr>
      </w:pPr>
      <w:r w:rsidRPr="000A5845">
        <w:rPr>
          <w:rFonts w:ascii="Arial" w:eastAsia="Times New Roman" w:hAnsi="Arial" w:cs="Arial"/>
          <w:lang w:val="x-none" w:eastAsia="zh-CN"/>
        </w:rPr>
        <w:t>IX.</w:t>
      </w:r>
      <w:r w:rsidRPr="000A5845">
        <w:rPr>
          <w:rFonts w:ascii="Arial" w:eastAsia="Times New Roman" w:hAnsi="Arial" w:cs="Arial"/>
          <w:lang w:eastAsia="zh-CN"/>
        </w:rPr>
        <w:t>4</w:t>
      </w:r>
      <w:r w:rsidRPr="000A5845">
        <w:rPr>
          <w:rFonts w:ascii="Arial" w:eastAsia="Times New Roman" w:hAnsi="Arial" w:cs="Arial"/>
          <w:lang w:val="x-none" w:eastAsia="zh-CN"/>
        </w:rPr>
        <w:t xml:space="preserve"> = introducerea de sensuri unice – scor AMC = </w:t>
      </w:r>
      <w:r w:rsidRPr="000A5845">
        <w:rPr>
          <w:rFonts w:ascii="Arial" w:eastAsia="Times New Roman" w:hAnsi="Arial" w:cs="Arial"/>
          <w:lang w:eastAsia="zh-CN"/>
        </w:rPr>
        <w:t>5,54</w:t>
      </w:r>
      <w:r w:rsidRPr="000A5845">
        <w:rPr>
          <w:rFonts w:ascii="Arial" w:eastAsia="Times New Roman" w:hAnsi="Arial" w:cs="Arial"/>
          <w:lang w:val="x-none" w:eastAsia="zh-CN"/>
        </w:rPr>
        <w:t>.</w:t>
      </w:r>
    </w:p>
    <w:p w14:paraId="2AA51810" w14:textId="77777777" w:rsidR="000A5845" w:rsidRPr="000A5845" w:rsidRDefault="000A5845" w:rsidP="000A5845">
      <w:pPr>
        <w:widowControl w:val="0"/>
        <w:numPr>
          <w:ilvl w:val="0"/>
          <w:numId w:val="93"/>
        </w:numPr>
        <w:suppressAutoHyphens/>
        <w:spacing w:after="0" w:line="240" w:lineRule="auto"/>
        <w:jc w:val="both"/>
        <w:rPr>
          <w:rFonts w:ascii="Arial" w:eastAsia="Times New Roman" w:hAnsi="Arial" w:cs="Arial"/>
          <w:lang w:val="x-none" w:eastAsia="zh-CN"/>
        </w:rPr>
      </w:pPr>
      <w:r w:rsidRPr="000A5845">
        <w:rPr>
          <w:rFonts w:ascii="Arial" w:eastAsia="Times New Roman" w:hAnsi="Arial" w:cs="Arial"/>
          <w:lang w:eastAsia="zh-CN"/>
        </w:rPr>
        <w:t xml:space="preserve">IX.5 = </w:t>
      </w:r>
      <w:r>
        <w:rPr>
          <w:rFonts w:ascii="Arial" w:eastAsia="Times New Roman" w:hAnsi="Arial" w:cs="Arial"/>
          <w:lang w:eastAsia="zh-CN"/>
        </w:rPr>
        <w:t>realizare străpungere între str. Zăvoiului ş</w:t>
      </w:r>
      <w:r w:rsidRPr="000A5845">
        <w:rPr>
          <w:rFonts w:ascii="Arial" w:eastAsia="Times New Roman" w:hAnsi="Arial" w:cs="Arial"/>
          <w:lang w:eastAsia="zh-CN"/>
        </w:rPr>
        <w:t>i str. Alex. Ioan Cuza – scor AMC = 5,11.</w:t>
      </w:r>
    </w:p>
    <w:p w14:paraId="1A98E0E0" w14:textId="77777777" w:rsidR="000A5845" w:rsidRPr="000A5845" w:rsidRDefault="000A5845" w:rsidP="000A5845">
      <w:pPr>
        <w:widowControl w:val="0"/>
        <w:suppressAutoHyphens/>
        <w:spacing w:after="0" w:line="240" w:lineRule="auto"/>
        <w:jc w:val="both"/>
        <w:rPr>
          <w:rFonts w:ascii="Arial" w:hAnsi="Arial" w:cs="Arial"/>
          <w:color w:val="FF0000"/>
          <w:kern w:val="1"/>
          <w:lang w:val="ro-RO" w:eastAsia="hi-IN" w:bidi="hi-IN"/>
        </w:rPr>
      </w:pPr>
    </w:p>
    <w:p w14:paraId="75F7BAA7" w14:textId="77777777" w:rsidR="000A5845" w:rsidRPr="000A5845" w:rsidRDefault="000A5845" w:rsidP="000A5845">
      <w:pPr>
        <w:widowControl w:val="0"/>
        <w:numPr>
          <w:ilvl w:val="0"/>
          <w:numId w:val="71"/>
        </w:numPr>
        <w:suppressAutoHyphens/>
        <w:spacing w:after="0" w:line="240" w:lineRule="auto"/>
        <w:jc w:val="both"/>
        <w:rPr>
          <w:rFonts w:ascii="Arial" w:eastAsia="Times New Roman" w:hAnsi="Arial" w:cs="Arial"/>
          <w:lang w:val="x-none" w:eastAsia="zh-CN"/>
        </w:rPr>
      </w:pPr>
      <w:r w:rsidRPr="000A5845">
        <w:rPr>
          <w:rFonts w:ascii="Arial" w:eastAsia="Times New Roman" w:hAnsi="Arial" w:cs="Arial"/>
          <w:lang w:val="x-none" w:eastAsia="zh-CN"/>
        </w:rPr>
        <w:t xml:space="preserve">Scenariul </w:t>
      </w:r>
      <w:r w:rsidRPr="000A5845">
        <w:rPr>
          <w:rFonts w:ascii="Arial" w:eastAsia="Times New Roman" w:hAnsi="Arial" w:cs="Arial"/>
          <w:lang w:eastAsia="zh-CN"/>
        </w:rPr>
        <w:t>3</w:t>
      </w:r>
      <w:r w:rsidRPr="000A5845">
        <w:rPr>
          <w:rFonts w:ascii="Arial" w:eastAsia="Times New Roman" w:hAnsi="Arial" w:cs="Arial"/>
          <w:lang w:val="x-none" w:eastAsia="zh-CN"/>
        </w:rPr>
        <w:t>:</w:t>
      </w:r>
    </w:p>
    <w:p w14:paraId="3BC08B3C" w14:textId="77777777" w:rsidR="000A5845" w:rsidRPr="000A5845" w:rsidRDefault="000A5845" w:rsidP="000A5845">
      <w:pPr>
        <w:widowControl w:val="0"/>
        <w:numPr>
          <w:ilvl w:val="0"/>
          <w:numId w:val="91"/>
        </w:numPr>
        <w:suppressAutoHyphens/>
        <w:spacing w:after="0" w:line="240" w:lineRule="auto"/>
        <w:jc w:val="both"/>
        <w:rPr>
          <w:rFonts w:ascii="Arial" w:eastAsia="Times New Roman" w:hAnsi="Arial" w:cs="Arial"/>
          <w:lang w:val="x-none" w:eastAsia="zh-CN"/>
        </w:rPr>
      </w:pPr>
      <w:r w:rsidRPr="000A5845">
        <w:rPr>
          <w:rFonts w:ascii="Arial" w:eastAsia="Times New Roman" w:hAnsi="Arial" w:cs="Arial"/>
          <w:lang w:val="es-ES" w:eastAsia="zh-CN"/>
        </w:rPr>
        <w:t xml:space="preserve">IX.1 = construirea centurii ocolitoare a oraşului </w:t>
      </w:r>
      <w:r w:rsidRPr="000A5845">
        <w:rPr>
          <w:rFonts w:ascii="Arial" w:eastAsia="Times New Roman" w:hAnsi="Arial" w:cs="Arial"/>
          <w:lang w:val="x-none" w:eastAsia="zh-CN"/>
        </w:rPr>
        <w:t xml:space="preserve">– scor AMC = </w:t>
      </w:r>
      <w:r w:rsidRPr="000A5845">
        <w:rPr>
          <w:rFonts w:ascii="Arial" w:eastAsia="Times New Roman" w:hAnsi="Arial" w:cs="Arial"/>
          <w:lang w:eastAsia="zh-CN"/>
        </w:rPr>
        <w:t>6,01</w:t>
      </w:r>
      <w:r w:rsidRPr="000A5845">
        <w:rPr>
          <w:rFonts w:ascii="Arial" w:eastAsia="Times New Roman" w:hAnsi="Arial" w:cs="Arial"/>
          <w:lang w:val="x-none" w:eastAsia="zh-CN"/>
        </w:rPr>
        <w:t>.</w:t>
      </w:r>
    </w:p>
    <w:p w14:paraId="64AA4C4B" w14:textId="77777777" w:rsidR="000A5845" w:rsidRPr="000A5845" w:rsidRDefault="000A5845" w:rsidP="000A5845">
      <w:pPr>
        <w:widowControl w:val="0"/>
        <w:suppressAutoHyphens/>
        <w:spacing w:after="0" w:line="360" w:lineRule="auto"/>
        <w:jc w:val="both"/>
        <w:rPr>
          <w:rFonts w:ascii="Arial" w:hAnsi="Arial" w:cs="Arial"/>
          <w:kern w:val="1"/>
          <w:sz w:val="24"/>
          <w:szCs w:val="24"/>
          <w:lang w:val="es-ES" w:eastAsia="hi-IN" w:bidi="hi-IN"/>
        </w:rPr>
      </w:pPr>
    </w:p>
    <w:p w14:paraId="743DCEBB" w14:textId="77777777" w:rsidR="000A5845" w:rsidRPr="000A5845" w:rsidRDefault="000A5845" w:rsidP="000A5845">
      <w:pPr>
        <w:widowControl w:val="0"/>
        <w:suppressAutoHyphens/>
        <w:spacing w:after="0" w:line="360" w:lineRule="auto"/>
        <w:jc w:val="both"/>
        <w:rPr>
          <w:rFonts w:ascii="Arial" w:hAnsi="Arial" w:cs="Arial"/>
          <w:kern w:val="1"/>
          <w:sz w:val="24"/>
          <w:szCs w:val="24"/>
          <w:lang w:val="es-ES" w:eastAsia="hi-IN" w:bidi="hi-IN"/>
        </w:rPr>
      </w:pPr>
      <w:r w:rsidRPr="000A5845">
        <w:rPr>
          <w:rFonts w:ascii="Arial" w:hAnsi="Arial" w:cs="Arial"/>
          <w:b/>
          <w:kern w:val="1"/>
          <w:sz w:val="24"/>
          <w:szCs w:val="24"/>
          <w:lang w:val="es-ES" w:eastAsia="hi-IN" w:bidi="hi-IN"/>
        </w:rPr>
        <w:t>Dezvoltarea transportului public</w:t>
      </w:r>
    </w:p>
    <w:p w14:paraId="0230D4F2" w14:textId="77777777" w:rsidR="000A5845" w:rsidRPr="000A5845" w:rsidRDefault="000A5845" w:rsidP="000A5845">
      <w:pPr>
        <w:widowControl w:val="0"/>
        <w:suppressAutoHyphens/>
        <w:spacing w:after="0" w:line="276" w:lineRule="auto"/>
        <w:jc w:val="both"/>
        <w:rPr>
          <w:rFonts w:ascii="Arial" w:hAnsi="Arial" w:cs="Arial"/>
          <w:kern w:val="1"/>
          <w:lang w:val="es-ES" w:eastAsia="hi-IN" w:bidi="hi-IN"/>
        </w:rPr>
      </w:pPr>
      <w:r w:rsidRPr="000A5845">
        <w:rPr>
          <w:rFonts w:ascii="Arial" w:hAnsi="Arial" w:cs="Arial"/>
          <w:kern w:val="1"/>
          <w:lang w:val="es-ES" w:eastAsia="hi-IN" w:bidi="hi-IN"/>
        </w:rPr>
        <w:t>Un obiectiv important al oricărei politici de transport îl reprezintă creșterea atractivității transportului public, atât din punct de vedere al mijloacelor de transport cât și din punct de vedere al rețelei și al gradului de acoperire al acestui serviciu, astfel încât să contribuie la determinarea schimbării modului de deplasare predominant cu autovehicule personale către cel public. Totodată, trebuie avută în vedere și eficientizarea serviciilor de transport public din punct de vedere al costurilor.</w:t>
      </w:r>
    </w:p>
    <w:p w14:paraId="266608E1" w14:textId="77777777" w:rsidR="000A5845" w:rsidRPr="000A5845" w:rsidRDefault="000A5845" w:rsidP="000A5845">
      <w:pPr>
        <w:widowControl w:val="0"/>
        <w:suppressAutoHyphens/>
        <w:spacing w:after="0" w:line="276" w:lineRule="auto"/>
        <w:jc w:val="both"/>
        <w:rPr>
          <w:rFonts w:ascii="Arial" w:hAnsi="Arial" w:cs="Arial"/>
          <w:kern w:val="1"/>
          <w:lang w:val="es-ES" w:eastAsia="hi-IN" w:bidi="hi-IN"/>
        </w:rPr>
      </w:pPr>
    </w:p>
    <w:p w14:paraId="336F65BA" w14:textId="77777777" w:rsidR="000A5845" w:rsidRPr="000A5845" w:rsidRDefault="000A5845" w:rsidP="000A5845">
      <w:pPr>
        <w:widowControl w:val="0"/>
        <w:suppressAutoHyphens/>
        <w:spacing w:after="0" w:line="276" w:lineRule="auto"/>
        <w:jc w:val="both"/>
        <w:rPr>
          <w:rFonts w:ascii="Arial" w:hAnsi="Arial" w:cs="Arial"/>
          <w:color w:val="FF0000"/>
          <w:kern w:val="1"/>
          <w:lang w:val="es-ES" w:eastAsia="hi-IN" w:bidi="hi-IN"/>
        </w:rPr>
      </w:pPr>
      <w:r w:rsidRPr="000A5845">
        <w:rPr>
          <w:rFonts w:ascii="Arial" w:hAnsi="Arial" w:cs="Arial"/>
          <w:kern w:val="1"/>
          <w:lang w:val="es-ES" w:eastAsia="hi-IN" w:bidi="hi-IN"/>
        </w:rPr>
        <w:t>Planul de mobilitate are rolul de a crea un sistem de transport multimodal integrat care</w:t>
      </w:r>
      <w:r>
        <w:rPr>
          <w:rFonts w:ascii="Arial" w:hAnsi="Arial" w:cs="Arial"/>
          <w:kern w:val="1"/>
          <w:lang w:val="es-ES" w:eastAsia="hi-IN" w:bidi="hi-IN"/>
        </w:rPr>
        <w:t xml:space="preserve"> să valorifice rețeaua existentă</w:t>
      </w:r>
      <w:r w:rsidRPr="000A5845">
        <w:rPr>
          <w:rFonts w:ascii="Arial" w:hAnsi="Arial" w:cs="Arial"/>
          <w:kern w:val="1"/>
          <w:lang w:val="es-ES" w:eastAsia="hi-IN" w:bidi="hi-IN"/>
        </w:rPr>
        <w:t>, dar, în aceelași timp să îmbunătățească celelalte moduri complementare pentru a oferi servicii de transport public de înaltă calitate pentru toate categoriile de călători.</w:t>
      </w:r>
      <w:r w:rsidRPr="000A5845">
        <w:rPr>
          <w:rFonts w:ascii="Arial" w:hAnsi="Arial" w:cs="Arial"/>
          <w:color w:val="FF0000"/>
          <w:kern w:val="1"/>
          <w:lang w:val="es-ES" w:eastAsia="hi-IN" w:bidi="hi-IN"/>
        </w:rPr>
        <w:t xml:space="preserve"> </w:t>
      </w:r>
    </w:p>
    <w:p w14:paraId="539E4DB6" w14:textId="77777777" w:rsidR="000A5845" w:rsidRPr="000A5845" w:rsidRDefault="000A5845" w:rsidP="000A5845">
      <w:pPr>
        <w:suppressAutoHyphens/>
        <w:autoSpaceDE w:val="0"/>
        <w:spacing w:after="0" w:line="276" w:lineRule="auto"/>
        <w:jc w:val="both"/>
        <w:rPr>
          <w:rFonts w:ascii="Arial" w:eastAsia="Calibri" w:hAnsi="Arial" w:cs="Arial"/>
          <w:lang w:val="es-ES" w:eastAsia="zh-CN"/>
        </w:rPr>
      </w:pPr>
    </w:p>
    <w:p w14:paraId="7B182158"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lang w:val="es-ES" w:eastAsia="zh-CN"/>
        </w:rPr>
        <w:t>Astfel, c</w:t>
      </w:r>
      <w:r w:rsidRPr="000A5845">
        <w:rPr>
          <w:rFonts w:ascii="Arial" w:eastAsia="Calibri" w:hAnsi="Arial" w:cs="Arial"/>
          <w:color w:val="000000"/>
          <w:lang w:val="es-ES" w:eastAsia="zh-CN"/>
        </w:rPr>
        <w:t>â</w:t>
      </w:r>
      <w:r w:rsidRPr="000A5845">
        <w:rPr>
          <w:rFonts w:ascii="Arial" w:eastAsia="Calibri" w:hAnsi="Arial" w:cs="Arial"/>
          <w:lang w:val="es-ES" w:eastAsia="zh-CN"/>
        </w:rPr>
        <w:t>nd se vorbe</w:t>
      </w:r>
      <w:r w:rsidRPr="000A5845">
        <w:rPr>
          <w:rFonts w:ascii="Arial" w:eastAsia="Calibri" w:hAnsi="Arial" w:cs="Arial"/>
          <w:color w:val="000000"/>
          <w:lang w:val="es-ES" w:eastAsia="zh-CN"/>
        </w:rPr>
        <w:t>ş</w:t>
      </w:r>
      <w:r w:rsidRPr="000A5845">
        <w:rPr>
          <w:rFonts w:ascii="Arial" w:eastAsia="Calibri" w:hAnsi="Arial" w:cs="Arial"/>
          <w:lang w:val="es-ES" w:eastAsia="zh-CN"/>
        </w:rPr>
        <w:t xml:space="preserve">te de </w:t>
      </w:r>
      <w:r w:rsidRPr="000A5845">
        <w:rPr>
          <w:rFonts w:ascii="Arial" w:eastAsia="Calibri" w:hAnsi="Arial" w:cs="Arial"/>
          <w:color w:val="000000"/>
          <w:lang w:val="es-ES" w:eastAsia="zh-CN"/>
        </w:rPr>
        <w:t>dezvoltarea</w:t>
      </w:r>
      <w:r w:rsidRPr="000A5845">
        <w:rPr>
          <w:rFonts w:ascii="Arial" w:eastAsia="Calibri" w:hAnsi="Arial" w:cs="Arial"/>
          <w:lang w:val="es-ES" w:eastAsia="zh-CN"/>
        </w:rPr>
        <w:t xml:space="preserve"> infrastructurii de transport public trebuie avute </w:t>
      </w:r>
      <w:r w:rsidRPr="000A5845">
        <w:rPr>
          <w:rFonts w:ascii="Arial" w:eastAsia="Calibri" w:hAnsi="Arial" w:cs="Arial"/>
          <w:color w:val="000000"/>
          <w:lang w:val="es-ES" w:eastAsia="zh-CN"/>
        </w:rPr>
        <w:t>î</w:t>
      </w:r>
      <w:r w:rsidRPr="000A5845">
        <w:rPr>
          <w:rFonts w:ascii="Arial" w:eastAsia="Calibri" w:hAnsi="Arial" w:cs="Arial"/>
          <w:lang w:val="es-ES" w:eastAsia="zh-CN"/>
        </w:rPr>
        <w:t>n vedere:</w:t>
      </w:r>
    </w:p>
    <w:p w14:paraId="67C43230" w14:textId="77777777" w:rsidR="000A5845" w:rsidRPr="000A5845" w:rsidRDefault="000A5845" w:rsidP="000C6CB8">
      <w:pPr>
        <w:numPr>
          <w:ilvl w:val="0"/>
          <w:numId w:val="178"/>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b/>
          <w:color w:val="000000"/>
          <w:lang w:val="es-ES" w:eastAsia="zh-CN"/>
        </w:rPr>
        <w:t xml:space="preserve">suport concentrat (autobaze-depouri) </w:t>
      </w:r>
    </w:p>
    <w:p w14:paraId="6CC65A24" w14:textId="77777777" w:rsidR="000A5845" w:rsidRPr="000A5845" w:rsidRDefault="000A5845" w:rsidP="000A5845">
      <w:p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Pregătirea mijloacelor (sau numai parcarea lor pe perioada de întrerupere a activităţii) nu se face – în transportul public urban – printr-o distribuire a ’’sarcinilor’’ de-a lungul reţelei. Pentru pregătirea mijloacelor este necesară existenţa unor centre de concentrare a activităţii. Ideea de activitate nedisipată implică probleme de organizare internă a unităţilor prestatoare de servicii de transport, întrucât </w:t>
      </w:r>
      <w:r w:rsidRPr="000A5845">
        <w:rPr>
          <w:rFonts w:ascii="Arial" w:eastAsia="Calibri" w:hAnsi="Arial" w:cs="Arial"/>
          <w:b/>
          <w:color w:val="000000"/>
          <w:lang w:val="es-ES" w:eastAsia="zh-CN"/>
        </w:rPr>
        <w:t>trebuie alese locaţiile în care se va face concentrarea</w:t>
      </w:r>
      <w:r w:rsidRPr="000A5845">
        <w:rPr>
          <w:rFonts w:ascii="Arial" w:eastAsia="Calibri" w:hAnsi="Arial" w:cs="Arial"/>
          <w:color w:val="000000"/>
          <w:lang w:val="es-ES" w:eastAsia="zh-CN"/>
        </w:rPr>
        <w:t xml:space="preserve">, cât şi structura acestor locaţii. În eficientizarea transportului, un rol important îl are amplasarea tuturor obiectivelor din activitatea de transport, amplasare ce se face în funcţie de următoarele considerente: </w:t>
      </w:r>
    </w:p>
    <w:p w14:paraId="107CF6D7" w14:textId="77777777" w:rsidR="000A5845" w:rsidRPr="000A5845" w:rsidRDefault="000A5845" w:rsidP="000A5845">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lastRenderedPageBreak/>
        <w:t xml:space="preserve">tehnice (căile de acces, existenţa reţelei electrice, de canalizare şi de apă); </w:t>
      </w:r>
    </w:p>
    <w:p w14:paraId="25164EFA" w14:textId="77777777" w:rsidR="000A5845" w:rsidRPr="000A5845" w:rsidRDefault="000A5845" w:rsidP="000A5845">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economice, care au la bază reducerea distanţei între punctele de parcare şi de îmbarcare-debarcare ale călătorilor; </w:t>
      </w:r>
    </w:p>
    <w:p w14:paraId="63E0A17D" w14:textId="77777777" w:rsidR="000A5845" w:rsidRPr="000A5845" w:rsidRDefault="000A5845" w:rsidP="000A5845">
      <w:pPr>
        <w:widowControl w:val="0"/>
        <w:numPr>
          <w:ilvl w:val="0"/>
          <w:numId w:val="72"/>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urbanistice şi sanitare, ce ţin seama de poluarea sonoră şi chimică şi asigurarea unei circulaţii corespunzătoare a pietonilor. </w:t>
      </w:r>
    </w:p>
    <w:p w14:paraId="3BA01BFE"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085EA21D" w14:textId="77777777" w:rsidR="000A5845" w:rsidRPr="000A5845" w:rsidRDefault="000A5845" w:rsidP="000C6CB8">
      <w:pPr>
        <w:numPr>
          <w:ilvl w:val="0"/>
          <w:numId w:val="178"/>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b/>
          <w:color w:val="000000"/>
          <w:lang w:val="es-ES" w:eastAsia="zh-CN"/>
        </w:rPr>
        <w:t xml:space="preserve">suport răspândit (staţii de îmbarcare-debarcare) </w:t>
      </w:r>
    </w:p>
    <w:p w14:paraId="317DE6E9" w14:textId="77777777" w:rsidR="000A5845" w:rsidRPr="000A5845" w:rsidRDefault="000A5845" w:rsidP="000A5845">
      <w:p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O oprire-pornire a unui autobuz (cu staționarea aferentǎ de cca. 1 min.) induce în mediu aceleași noxe ca și deplasarea pe mai mult de 5 km în mers economic a aceluiași autobuz. De aceea, </w:t>
      </w:r>
      <w:r w:rsidRPr="000A5845">
        <w:rPr>
          <w:rFonts w:ascii="Arial" w:eastAsia="Calibri" w:hAnsi="Arial" w:cs="Arial"/>
          <w:b/>
          <w:color w:val="000000"/>
          <w:lang w:val="es-ES" w:eastAsia="zh-CN"/>
        </w:rPr>
        <w:t xml:space="preserve">înființarea unei stații de îmbarcare-debarcare este o operație mult mai complexa </w:t>
      </w:r>
      <w:r w:rsidRPr="000A5845">
        <w:rPr>
          <w:rFonts w:ascii="Arial" w:eastAsia="Calibri" w:hAnsi="Arial" w:cs="Arial"/>
          <w:color w:val="000000"/>
          <w:lang w:val="es-ES" w:eastAsia="zh-CN"/>
        </w:rPr>
        <w:t xml:space="preserve">decât înscrierea pe o plǎcuțǎ a numǎrului liniei de autobuze. Se poate imagina un model de tratare de pe poziţii calitative, a determinării intervalului dintre vehicule, tratare care, pe baza teoriei aşteptării, să ofere o analiză de detaliu a fenomenelor care au loc într-o staţie de urcare-coborâre. Se constată că într-o staţie de urcare-coborâre sunt îndeplinite aproape toate condiţiile dintr-un sistem de așteptare: </w:t>
      </w:r>
    </w:p>
    <w:p w14:paraId="46105136" w14:textId="77777777" w:rsidR="000A5845" w:rsidRPr="000A5845" w:rsidRDefault="000A5845" w:rsidP="000A5845">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intensitatea sosirii clienţilor se poate controla prin multiplicarea sau reducerea numărului de staţii de urcare-coborâre (dacă fluxul pentru staţia de dinaintea unei intersecţii este prea mare, se înfiinţează încă o staţie după intersecţie; de asemenea, intensitatea servirii se poate modifica prin utilizarea de vehicule cu mai multe sau mai puţine uşi); </w:t>
      </w:r>
    </w:p>
    <w:p w14:paraId="7B0852EA" w14:textId="77777777" w:rsidR="000A5845" w:rsidRPr="000A5845" w:rsidRDefault="000A5845" w:rsidP="000A5845">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dacă nu ar exista costuri ale aşteptării, orice operator de transport urban ar organiza procesul de transport pe liniile sale cu vehicule foarte încăpătoare care ar circula la intervale mari; se constată însă, că tocmai costul aşteptării potenţialilor călători obligă operatorul de transport să ridice nivelul calitativ, prin deservire la intervale raţionale, care să nu aducă pierderea clientelei. </w:t>
      </w:r>
    </w:p>
    <w:p w14:paraId="0961D418" w14:textId="77777777" w:rsidR="000A5845" w:rsidRPr="000A5845" w:rsidRDefault="000A5845" w:rsidP="000A5845">
      <w:pPr>
        <w:widowControl w:val="0"/>
        <w:suppressAutoHyphens/>
        <w:spacing w:after="0" w:line="360" w:lineRule="auto"/>
        <w:jc w:val="both"/>
        <w:rPr>
          <w:rFonts w:ascii="Arial" w:hAnsi="Arial" w:cs="Arial"/>
          <w:color w:val="FF0000"/>
          <w:kern w:val="1"/>
          <w:sz w:val="20"/>
          <w:szCs w:val="24"/>
          <w:lang w:val="es-ES" w:eastAsia="hi-IN" w:bidi="hi-IN"/>
        </w:rPr>
      </w:pPr>
    </w:p>
    <w:p w14:paraId="09126494" w14:textId="77777777" w:rsidR="000A5845" w:rsidRPr="000A5845" w:rsidRDefault="000A5845" w:rsidP="000C6CB8">
      <w:pPr>
        <w:numPr>
          <w:ilvl w:val="0"/>
          <w:numId w:val="178"/>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b/>
          <w:color w:val="000000"/>
          <w:lang w:val="es-ES" w:eastAsia="zh-CN"/>
        </w:rPr>
        <w:t xml:space="preserve">rețea </w:t>
      </w:r>
    </w:p>
    <w:p w14:paraId="21A93CA9" w14:textId="77777777" w:rsidR="000A5845" w:rsidRPr="000A5845" w:rsidRDefault="00A47CC4" w:rsidP="000A5845">
      <w:pPr>
        <w:suppressAutoHyphens/>
        <w:autoSpaceDE w:val="0"/>
        <w:spacing w:after="0" w:line="276" w:lineRule="auto"/>
        <w:jc w:val="both"/>
        <w:rPr>
          <w:rFonts w:ascii="Arial" w:eastAsia="Calibri" w:hAnsi="Arial" w:cs="Arial"/>
          <w:color w:val="FF0000"/>
          <w:lang w:val="es-ES" w:eastAsia="zh-CN"/>
        </w:rPr>
      </w:pPr>
      <w:r>
        <w:rPr>
          <w:rFonts w:ascii="Arial" w:eastAsia="Calibri" w:hAnsi="Arial" w:cs="Arial"/>
          <w:color w:val="000000"/>
          <w:lang w:val="es-ES" w:eastAsia="zh-CN"/>
        </w:rPr>
        <w:t>Pentru stabilirea reţ</w:t>
      </w:r>
      <w:r w:rsidR="000A5845" w:rsidRPr="000A5845">
        <w:rPr>
          <w:rFonts w:ascii="Arial" w:eastAsia="Calibri" w:hAnsi="Arial" w:cs="Arial"/>
          <w:color w:val="000000"/>
          <w:lang w:val="es-ES" w:eastAsia="zh-CN"/>
        </w:rPr>
        <w:t xml:space="preserve">elei de transport </w:t>
      </w:r>
      <w:r>
        <w:rPr>
          <w:rFonts w:ascii="Arial" w:eastAsia="Calibri" w:hAnsi="Arial" w:cs="Arial"/>
          <w:color w:val="000000"/>
          <w:lang w:val="es-ES" w:eastAsia="zh-CN"/>
        </w:rPr>
        <w:t>public de calatori este necesară efectuarea unui studiu care să ţină</w:t>
      </w:r>
      <w:r w:rsidR="000A5845" w:rsidRPr="000A5845">
        <w:rPr>
          <w:rFonts w:ascii="Arial" w:eastAsia="Calibri" w:hAnsi="Arial" w:cs="Arial"/>
          <w:color w:val="000000"/>
          <w:lang w:val="es-ES" w:eastAsia="zh-CN"/>
        </w:rPr>
        <w:t xml:space="preserve"> cont de direcțiile </w:t>
      </w:r>
      <w:r>
        <w:rPr>
          <w:rFonts w:ascii="Arial" w:eastAsia="Calibri" w:hAnsi="Arial" w:cs="Arial"/>
          <w:color w:val="000000"/>
          <w:lang w:val="es-ES" w:eastAsia="zh-CN"/>
        </w:rPr>
        <w:t>prioritare de deplasare ale cetăţ</w:t>
      </w:r>
      <w:r w:rsidR="000A5845" w:rsidRPr="000A5845">
        <w:rPr>
          <w:rFonts w:ascii="Arial" w:eastAsia="Calibri" w:hAnsi="Arial" w:cs="Arial"/>
          <w:color w:val="000000"/>
          <w:lang w:val="es-ES" w:eastAsia="zh-CN"/>
        </w:rPr>
        <w:t>enilor o</w:t>
      </w:r>
      <w:r>
        <w:rPr>
          <w:rFonts w:ascii="Arial" w:eastAsia="Calibri" w:hAnsi="Arial" w:cs="Arial"/>
          <w:color w:val="000000"/>
          <w:lang w:val="es-ES" w:eastAsia="zh-CN"/>
        </w:rPr>
        <w:t>raţului, atât pentru muncă</w:t>
      </w:r>
      <w:r w:rsidR="000A5845" w:rsidRPr="000A5845">
        <w:rPr>
          <w:rFonts w:ascii="Arial" w:eastAsia="Calibri" w:hAnsi="Arial" w:cs="Arial"/>
          <w:color w:val="000000"/>
          <w:lang w:val="es-ES" w:eastAsia="zh-CN"/>
        </w:rPr>
        <w:t xml:space="preserve"> - dinspre </w:t>
      </w:r>
      <w:r>
        <w:rPr>
          <w:rFonts w:ascii="Arial" w:eastAsia="Calibri" w:hAnsi="Arial" w:cs="Arial"/>
          <w:color w:val="000000"/>
          <w:lang w:val="es-ES" w:eastAsia="zh-CN"/>
        </w:rPr>
        <w:t>cartierele preponderant rezidenţiale către cele industriale, cât şi în alte scopuri (cumpără</w:t>
      </w:r>
      <w:r w:rsidR="000A5845" w:rsidRPr="000A5845">
        <w:rPr>
          <w:rFonts w:ascii="Arial" w:eastAsia="Calibri" w:hAnsi="Arial" w:cs="Arial"/>
          <w:color w:val="000000"/>
          <w:lang w:val="es-ES" w:eastAsia="zh-CN"/>
        </w:rPr>
        <w:t xml:space="preserve">turi, divertisment/agreement etc.). </w:t>
      </w:r>
    </w:p>
    <w:p w14:paraId="7488F064" w14:textId="77777777" w:rsidR="000A5845" w:rsidRPr="000A5845" w:rsidRDefault="000A5845" w:rsidP="000A5845">
      <w:pPr>
        <w:widowControl w:val="0"/>
        <w:suppressAutoHyphens/>
        <w:spacing w:after="0" w:line="360" w:lineRule="auto"/>
        <w:jc w:val="both"/>
        <w:rPr>
          <w:rFonts w:ascii="Arial" w:hAnsi="Arial" w:cs="Arial"/>
          <w:color w:val="FF0000"/>
          <w:kern w:val="1"/>
          <w:sz w:val="20"/>
          <w:szCs w:val="24"/>
          <w:lang w:val="es-ES" w:eastAsia="hi-IN" w:bidi="hi-IN"/>
        </w:rPr>
      </w:pPr>
    </w:p>
    <w:p w14:paraId="447B13BB" w14:textId="77777777" w:rsidR="000A5845" w:rsidRPr="000A5845" w:rsidRDefault="000A5845" w:rsidP="000C6CB8">
      <w:pPr>
        <w:numPr>
          <w:ilvl w:val="0"/>
          <w:numId w:val="178"/>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b/>
          <w:color w:val="000000"/>
          <w:lang w:val="es-ES" w:eastAsia="zh-CN"/>
        </w:rPr>
        <w:t xml:space="preserve">mijloace </w:t>
      </w:r>
    </w:p>
    <w:p w14:paraId="40B0B9E3" w14:textId="77777777" w:rsidR="000A5845" w:rsidRPr="000A5845" w:rsidRDefault="000A5845" w:rsidP="000A5845">
      <w:p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În transportul urban de cǎlǎtori, stabilirea necesarului de material rulant se face în douǎ ipoteze: </w:t>
      </w:r>
    </w:p>
    <w:p w14:paraId="56D801D8" w14:textId="77777777" w:rsidR="000A5845" w:rsidRPr="000A5845" w:rsidRDefault="000A5845" w:rsidP="000A5845">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pentru proiectarea exploatǎrii într-un context general de organizare a procesului de deservire; </w:t>
      </w:r>
    </w:p>
    <w:p w14:paraId="37CBA724" w14:textId="77777777" w:rsidR="000A5845" w:rsidRPr="000A5845" w:rsidRDefault="000A5845" w:rsidP="000A5845">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pentru repartizarea exactǎ a materialului rulant pe fiecare traseu și autobazǎ în parte. </w:t>
      </w:r>
    </w:p>
    <w:p w14:paraId="1AD7EA98" w14:textId="77777777" w:rsidR="000A5845" w:rsidRPr="000A5845" w:rsidRDefault="000A5845" w:rsidP="000A5845">
      <w:pPr>
        <w:widowControl w:val="0"/>
        <w:suppressAutoHyphens/>
        <w:spacing w:after="0" w:line="360" w:lineRule="auto"/>
        <w:jc w:val="both"/>
        <w:rPr>
          <w:rFonts w:ascii="Arial" w:hAnsi="Arial" w:cs="Arial"/>
          <w:color w:val="FF0000"/>
          <w:kern w:val="1"/>
          <w:sz w:val="20"/>
          <w:szCs w:val="24"/>
          <w:lang w:val="es-ES" w:eastAsia="hi-IN" w:bidi="hi-IN"/>
        </w:rPr>
      </w:pPr>
    </w:p>
    <w:p w14:paraId="684F8CE0" w14:textId="77777777" w:rsidR="000A5845" w:rsidRPr="000A5845" w:rsidRDefault="000A5845" w:rsidP="000C6CB8">
      <w:pPr>
        <w:numPr>
          <w:ilvl w:val="0"/>
          <w:numId w:val="178"/>
        </w:numPr>
        <w:suppressAutoHyphens/>
        <w:autoSpaceDE w:val="0"/>
        <w:spacing w:after="0" w:line="360" w:lineRule="auto"/>
        <w:jc w:val="both"/>
        <w:rPr>
          <w:rFonts w:ascii="Arial" w:eastAsia="Calibri" w:hAnsi="Arial" w:cs="Arial"/>
          <w:color w:val="000000"/>
          <w:sz w:val="24"/>
          <w:szCs w:val="24"/>
          <w:lang w:val="es-ES" w:eastAsia="zh-CN"/>
        </w:rPr>
      </w:pPr>
      <w:r w:rsidRPr="000A5845">
        <w:rPr>
          <w:rFonts w:ascii="Arial" w:eastAsia="Calibri" w:hAnsi="Arial" w:cs="Arial"/>
          <w:b/>
          <w:color w:val="000000"/>
          <w:sz w:val="24"/>
          <w:szCs w:val="24"/>
          <w:lang w:val="es-ES" w:eastAsia="zh-CN"/>
        </w:rPr>
        <w:t xml:space="preserve">program de circulație </w:t>
      </w:r>
    </w:p>
    <w:p w14:paraId="4EDC6E67"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Programul de circulație al mijloacelor de transport în comun trebuie gândit astfel încât fiecare decizie sǎ aibǎ la bazǎ un model matematic – condiție a oricǎror discuții referitoare la propunerile ulterioare de adaptare – de cele mai multe ori forțatǎ, la solicitǎrile ’’de sus’’ sau ’’de jos’’. Una din problemele ridicate de publicul cǎlǎtor (’’clientul nostru, stǎpânul nostru’’ dar cǎruia – de cele mai multe ori îi sunt strǎine considerentele legate de banii </w:t>
      </w:r>
      <w:r w:rsidRPr="000A5845">
        <w:rPr>
          <w:rFonts w:ascii="Arial" w:eastAsia="Calibri" w:hAnsi="Arial" w:cs="Arial"/>
          <w:color w:val="000000"/>
          <w:lang w:val="es-ES" w:eastAsia="zh-CN"/>
        </w:rPr>
        <w:lastRenderedPageBreak/>
        <w:t xml:space="preserve">necesari punerii în operǎ a propunerilor sale) este cea referitoare la intervalul de succedare a vehiculelor. </w:t>
      </w:r>
    </w:p>
    <w:p w14:paraId="79843703"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603F66DF"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b/>
          <w:lang w:val="es-ES" w:eastAsia="zh-CN"/>
        </w:rPr>
        <w:t xml:space="preserve">Extinderea operaționalǎ a pieței transporturilor locale (planul pentru navetişti) </w:t>
      </w:r>
    </w:p>
    <w:p w14:paraId="7B5A71B8" w14:textId="77777777" w:rsidR="000A5845" w:rsidRPr="000A5845" w:rsidRDefault="000A5845" w:rsidP="000A5845">
      <w:p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La nivel formal, analiza asupra „bazinului” din care apare fenomenul de navetǎ a condus la constatarea cǎ dispersia urbană de la n</w:t>
      </w:r>
      <w:r w:rsidR="00A47CC4">
        <w:rPr>
          <w:rFonts w:ascii="Arial" w:eastAsia="Calibri" w:hAnsi="Arial" w:cs="Arial"/>
          <w:color w:val="000000"/>
          <w:lang w:val="es-ES" w:eastAsia="zh-CN"/>
        </w:rPr>
        <w:t>ivelul Oraş</w:t>
      </w:r>
      <w:r w:rsidRPr="000A5845">
        <w:rPr>
          <w:rFonts w:ascii="Arial" w:eastAsia="Calibri" w:hAnsi="Arial" w:cs="Arial"/>
          <w:color w:val="000000"/>
          <w:lang w:val="es-ES" w:eastAsia="zh-CN"/>
        </w:rPr>
        <w:t xml:space="preserve">ului Horezu înspre comunele situate în proximitate a cauzat: </w:t>
      </w:r>
    </w:p>
    <w:p w14:paraId="57C99195" w14:textId="77777777" w:rsidR="000A5845" w:rsidRPr="000A5845" w:rsidRDefault="000A5845" w:rsidP="000C6CB8">
      <w:pPr>
        <w:numPr>
          <w:ilvl w:val="0"/>
          <w:numId w:val="179"/>
        </w:numPr>
        <w:suppressAutoHyphens/>
        <w:autoSpaceDE w:val="0"/>
        <w:spacing w:after="0" w:line="276" w:lineRule="auto"/>
        <w:jc w:val="both"/>
        <w:rPr>
          <w:rFonts w:ascii="Arial" w:eastAsia="Arial" w:hAnsi="Arial" w:cs="Arial"/>
          <w:color w:val="000000"/>
          <w:lang w:val="es-ES" w:eastAsia="zh-CN"/>
        </w:rPr>
      </w:pPr>
      <w:r w:rsidRPr="000A5845">
        <w:rPr>
          <w:rFonts w:ascii="Arial" w:eastAsia="Calibri" w:hAnsi="Arial" w:cs="Arial"/>
          <w:color w:val="000000"/>
          <w:lang w:val="es-ES" w:eastAsia="zh-CN"/>
        </w:rPr>
        <w:t xml:space="preserve">apariția unei mobilități “forțate”, </w:t>
      </w:r>
    </w:p>
    <w:p w14:paraId="6AE2F723" w14:textId="77777777" w:rsidR="000A5845" w:rsidRPr="000A5845" w:rsidRDefault="000A5845" w:rsidP="000C6CB8">
      <w:pPr>
        <w:numPr>
          <w:ilvl w:val="0"/>
          <w:numId w:val="179"/>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inexistența unei rețele de transport public local,</w:t>
      </w:r>
    </w:p>
    <w:p w14:paraId="202FFD24" w14:textId="77777777" w:rsidR="000A5845" w:rsidRPr="000A5845" w:rsidRDefault="000A5845" w:rsidP="000C6CB8">
      <w:pPr>
        <w:numPr>
          <w:ilvl w:val="0"/>
          <w:numId w:val="179"/>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inexistența unei rețele integrate de transport periurban,</w:t>
      </w:r>
    </w:p>
    <w:p w14:paraId="6C0F18A1" w14:textId="77777777" w:rsidR="000A5845" w:rsidRPr="000A5845" w:rsidRDefault="000A5845" w:rsidP="000C6CB8">
      <w:pPr>
        <w:numPr>
          <w:ilvl w:val="0"/>
          <w:numId w:val="179"/>
        </w:numPr>
        <w:suppressAutoHyphens/>
        <w:autoSpaceDE w:val="0"/>
        <w:spacing w:after="0" w:line="276" w:lineRule="auto"/>
        <w:jc w:val="both"/>
        <w:rPr>
          <w:rFonts w:ascii="Arial" w:eastAsia="Calibri" w:hAnsi="Arial" w:cs="Arial"/>
          <w:color w:val="FF0000"/>
          <w:lang w:eastAsia="zh-CN"/>
        </w:rPr>
      </w:pPr>
      <w:r w:rsidRPr="000A5845">
        <w:rPr>
          <w:rFonts w:ascii="Arial" w:eastAsia="Calibri" w:hAnsi="Arial" w:cs="Arial"/>
          <w:color w:val="000000"/>
          <w:lang w:eastAsia="zh-CN"/>
        </w:rPr>
        <w:t xml:space="preserve">lipsa unei coordonări la nivel de date, politici și planuri între transportul local și cel judetean. </w:t>
      </w:r>
    </w:p>
    <w:p w14:paraId="1A30CE6E" w14:textId="77777777" w:rsidR="000A5845" w:rsidRPr="000A5845" w:rsidRDefault="000A5845" w:rsidP="000A5845">
      <w:pPr>
        <w:suppressAutoHyphens/>
        <w:autoSpaceDE w:val="0"/>
        <w:spacing w:after="0" w:line="360" w:lineRule="auto"/>
        <w:jc w:val="both"/>
        <w:rPr>
          <w:rFonts w:ascii="Arial" w:eastAsia="Arial" w:hAnsi="Arial" w:cs="Arial"/>
          <w:color w:val="000000"/>
          <w:sz w:val="24"/>
          <w:szCs w:val="24"/>
          <w:lang w:val="es-ES" w:eastAsia="zh-CN"/>
        </w:rPr>
      </w:pPr>
    </w:p>
    <w:p w14:paraId="5D6C01D7" w14:textId="77777777" w:rsidR="000A5845" w:rsidRPr="000A5845" w:rsidRDefault="000A5845" w:rsidP="000A5845">
      <w:pPr>
        <w:widowControl w:val="0"/>
        <w:suppressAutoHyphens/>
        <w:spacing w:after="0" w:line="276" w:lineRule="auto"/>
        <w:jc w:val="both"/>
        <w:rPr>
          <w:rFonts w:ascii="Arial" w:hAnsi="Arial" w:cs="Arial"/>
          <w:kern w:val="1"/>
          <w:lang w:val="es-ES" w:eastAsia="hi-IN" w:bidi="hi-IN"/>
        </w:rPr>
      </w:pPr>
      <w:r w:rsidRPr="000A5845">
        <w:rPr>
          <w:rFonts w:ascii="Arial" w:hAnsi="Arial" w:cs="Arial"/>
          <w:kern w:val="1"/>
          <w:lang w:val="es-ES" w:eastAsia="hi-IN" w:bidi="hi-IN"/>
        </w:rPr>
        <w:t>Proiectele/măsurile care se adresează transportului public, repartizate pe scenarii sunt prezentate în continuare:</w:t>
      </w:r>
    </w:p>
    <w:p w14:paraId="138F7192" w14:textId="77777777" w:rsidR="000A5845" w:rsidRPr="000A5845" w:rsidRDefault="000A5845" w:rsidP="000A5845">
      <w:pPr>
        <w:widowControl w:val="0"/>
        <w:numPr>
          <w:ilvl w:val="0"/>
          <w:numId w:val="71"/>
        </w:numPr>
        <w:suppressAutoHyphens/>
        <w:spacing w:after="0" w:line="276" w:lineRule="auto"/>
        <w:jc w:val="both"/>
        <w:rPr>
          <w:rFonts w:ascii="Arial" w:eastAsia="Times New Roman" w:hAnsi="Arial" w:cs="Arial"/>
          <w:lang w:val="x-none" w:eastAsia="zh-CN"/>
        </w:rPr>
      </w:pPr>
      <w:r w:rsidRPr="000A5845">
        <w:rPr>
          <w:rFonts w:ascii="Arial" w:eastAsia="Times New Roman" w:hAnsi="Arial" w:cs="Arial"/>
          <w:lang w:val="x-none" w:eastAsia="zh-CN"/>
        </w:rPr>
        <w:t xml:space="preserve">Scenariul </w:t>
      </w:r>
      <w:r w:rsidRPr="000A5845">
        <w:rPr>
          <w:rFonts w:ascii="Arial" w:eastAsia="Times New Roman" w:hAnsi="Arial" w:cs="Arial"/>
          <w:lang w:eastAsia="zh-CN"/>
        </w:rPr>
        <w:t>2</w:t>
      </w:r>
      <w:r w:rsidRPr="000A5845">
        <w:rPr>
          <w:rFonts w:ascii="Arial" w:eastAsia="Times New Roman" w:hAnsi="Arial" w:cs="Arial"/>
          <w:lang w:val="x-none" w:eastAsia="zh-CN"/>
        </w:rPr>
        <w:t>:</w:t>
      </w:r>
    </w:p>
    <w:p w14:paraId="0104A710" w14:textId="77777777" w:rsidR="000A5845" w:rsidRPr="000A5845" w:rsidRDefault="000A5845" w:rsidP="000A5845">
      <w:pPr>
        <w:widowControl w:val="0"/>
        <w:numPr>
          <w:ilvl w:val="0"/>
          <w:numId w:val="94"/>
        </w:numPr>
        <w:suppressAutoHyphens/>
        <w:autoSpaceDE w:val="0"/>
        <w:spacing w:after="0" w:line="276" w:lineRule="auto"/>
        <w:jc w:val="both"/>
        <w:rPr>
          <w:rFonts w:ascii="Arial" w:eastAsia="Calibri" w:hAnsi="Arial" w:cs="Arial"/>
          <w:color w:val="000000"/>
          <w:lang w:eastAsia="zh-CN"/>
        </w:rPr>
      </w:pPr>
      <w:r w:rsidRPr="000A5845">
        <w:rPr>
          <w:rFonts w:ascii="Arial" w:eastAsia="Arial" w:hAnsi="Arial" w:cs="Arial"/>
          <w:color w:val="000000"/>
          <w:lang w:eastAsia="zh-CN"/>
        </w:rPr>
        <w:t>X</w:t>
      </w:r>
      <w:r w:rsidRPr="000A5845">
        <w:rPr>
          <w:rFonts w:ascii="Arial" w:eastAsia="Calibri" w:hAnsi="Arial" w:cs="Arial"/>
          <w:color w:val="000000"/>
          <w:lang w:eastAsia="zh-CN"/>
        </w:rPr>
        <w:t>.1 = introducerea sistemului de transport public local, inclu</w:t>
      </w:r>
      <w:r w:rsidR="00A47CC4">
        <w:rPr>
          <w:rFonts w:ascii="Arial" w:eastAsia="Calibri" w:hAnsi="Arial" w:cs="Arial"/>
          <w:color w:val="000000"/>
          <w:lang w:eastAsia="zh-CN"/>
        </w:rPr>
        <w:t>siv către localităţile componente ale oraş</w:t>
      </w:r>
      <w:r w:rsidRPr="000A5845">
        <w:rPr>
          <w:rFonts w:ascii="Arial" w:eastAsia="Calibri" w:hAnsi="Arial" w:cs="Arial"/>
          <w:color w:val="000000"/>
          <w:lang w:eastAsia="zh-CN"/>
        </w:rPr>
        <w:t>ului – scor AMC = 5,51.</w:t>
      </w:r>
    </w:p>
    <w:p w14:paraId="2A89CD0E" w14:textId="77777777" w:rsidR="000A5845" w:rsidRPr="000A5845" w:rsidRDefault="000A5845" w:rsidP="000A5845">
      <w:pPr>
        <w:widowControl w:val="0"/>
        <w:numPr>
          <w:ilvl w:val="0"/>
          <w:numId w:val="94"/>
        </w:numPr>
        <w:suppressAutoHyphens/>
        <w:autoSpaceDE w:val="0"/>
        <w:spacing w:after="0" w:line="276" w:lineRule="auto"/>
        <w:jc w:val="both"/>
        <w:rPr>
          <w:rFonts w:ascii="Arial" w:eastAsia="Calibri" w:hAnsi="Arial" w:cs="Arial"/>
          <w:color w:val="000000"/>
          <w:lang w:eastAsia="zh-CN"/>
        </w:rPr>
      </w:pPr>
      <w:r w:rsidRPr="000A5845">
        <w:rPr>
          <w:rFonts w:ascii="Arial" w:eastAsia="Calibri" w:hAnsi="Arial" w:cs="Arial"/>
          <w:color w:val="000000"/>
          <w:lang w:val="es-ES" w:eastAsia="zh-CN"/>
        </w:rPr>
        <w:t>X.2 = amenajarea și dotarea corespunzătoare a stațiilor pentru îmbarcarea-debarcarea călătorilor (și uniformizarea-personalizarea acestor puncte de contact între operator și public), inclusiv cu sisteme de informare a călătorilor în timp real</w:t>
      </w:r>
      <w:r w:rsidRPr="000A5845">
        <w:rPr>
          <w:rFonts w:ascii="Arial" w:eastAsia="Calibri" w:hAnsi="Arial" w:cs="Arial"/>
          <w:color w:val="000000"/>
          <w:lang w:eastAsia="zh-CN"/>
        </w:rPr>
        <w:t xml:space="preserve"> – scor AMC = 5,49.</w:t>
      </w:r>
    </w:p>
    <w:p w14:paraId="038C6D6E" w14:textId="77777777" w:rsidR="000A5845" w:rsidRPr="000A5845" w:rsidRDefault="006011EB" w:rsidP="000A5845">
      <w:pPr>
        <w:widowControl w:val="0"/>
        <w:numPr>
          <w:ilvl w:val="0"/>
          <w:numId w:val="94"/>
        </w:numPr>
        <w:suppressAutoHyphens/>
        <w:autoSpaceDE w:val="0"/>
        <w:spacing w:after="0" w:line="276" w:lineRule="auto"/>
        <w:jc w:val="both"/>
        <w:rPr>
          <w:rFonts w:ascii="Arial" w:eastAsia="Calibri" w:hAnsi="Arial" w:cs="Arial"/>
          <w:color w:val="000000"/>
          <w:lang w:eastAsia="zh-CN"/>
        </w:rPr>
      </w:pPr>
      <w:r>
        <w:rPr>
          <w:rFonts w:ascii="Arial" w:eastAsia="Calibri" w:hAnsi="Arial" w:cs="Arial"/>
          <w:color w:val="000000"/>
          <w:lang w:eastAsia="zh-CN"/>
        </w:rPr>
        <w:t>X.3 = achiziţ</w:t>
      </w:r>
      <w:r w:rsidR="000A5845" w:rsidRPr="000A5845">
        <w:rPr>
          <w:rFonts w:ascii="Arial" w:eastAsia="Calibri" w:hAnsi="Arial" w:cs="Arial"/>
          <w:color w:val="000000"/>
          <w:lang w:eastAsia="zh-CN"/>
        </w:rPr>
        <w:t>ia unui parc de mijloace de transport în comun cu combustibili alternativi sau electrice pentru serviciul de transport public – scor AMC = 6,07;</w:t>
      </w:r>
    </w:p>
    <w:p w14:paraId="3D4EBDAF" w14:textId="77777777" w:rsidR="000A5845" w:rsidRPr="000A5845" w:rsidRDefault="000A5845" w:rsidP="000A5845">
      <w:pPr>
        <w:widowControl w:val="0"/>
        <w:numPr>
          <w:ilvl w:val="0"/>
          <w:numId w:val="94"/>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X.4 = construirea unei autobaze, inclusiv dotarea cu stație de alimentare cu combustibili alternativi sau stație de încărcare cu energie electrică – scor AMC = 5,00.</w:t>
      </w:r>
    </w:p>
    <w:p w14:paraId="10CFC4EC" w14:textId="77777777" w:rsidR="000A5845" w:rsidRPr="000A5845" w:rsidRDefault="000A5845" w:rsidP="000A5845">
      <w:pPr>
        <w:widowControl w:val="0"/>
        <w:numPr>
          <w:ilvl w:val="0"/>
          <w:numId w:val="94"/>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X.5 = </w:t>
      </w:r>
      <w:r w:rsidRPr="000A5845">
        <w:rPr>
          <w:rFonts w:ascii="Arial" w:eastAsia="Calibri" w:hAnsi="Arial" w:cs="Arial"/>
          <w:color w:val="000000"/>
          <w:lang w:eastAsia="zh-CN"/>
        </w:rPr>
        <w:t>elaborarea unui studiu de oportunitate pentru stabilirea  modului de organizare a serviciului de transport public local, determinarea pe baze matematice a viitoarelor trasee, a programelo</w:t>
      </w:r>
      <w:r w:rsidR="00A47CC4">
        <w:rPr>
          <w:rFonts w:ascii="Arial" w:eastAsia="Calibri" w:hAnsi="Arial" w:cs="Arial"/>
          <w:color w:val="000000"/>
          <w:lang w:eastAsia="zh-CN"/>
        </w:rPr>
        <w:t>r de circulatie, amplasarea staţ</w:t>
      </w:r>
      <w:r w:rsidRPr="000A5845">
        <w:rPr>
          <w:rFonts w:ascii="Arial" w:eastAsia="Calibri" w:hAnsi="Arial" w:cs="Arial"/>
          <w:color w:val="000000"/>
          <w:lang w:eastAsia="zh-CN"/>
        </w:rPr>
        <w:t xml:space="preserve">iilor etc. </w:t>
      </w:r>
      <w:r w:rsidRPr="000A5845">
        <w:rPr>
          <w:rFonts w:ascii="Arial" w:eastAsia="Calibri" w:hAnsi="Arial" w:cs="Arial"/>
          <w:color w:val="000000"/>
          <w:lang w:val="es-ES" w:eastAsia="zh-CN"/>
        </w:rPr>
        <w:t>– scor AMC = 5,07.</w:t>
      </w:r>
    </w:p>
    <w:p w14:paraId="0DC2418B" w14:textId="77777777" w:rsidR="000A5845" w:rsidRPr="000A5845" w:rsidRDefault="00A47CC4" w:rsidP="000A5845">
      <w:pPr>
        <w:widowControl w:val="0"/>
        <w:numPr>
          <w:ilvl w:val="0"/>
          <w:numId w:val="94"/>
        </w:numPr>
        <w:suppressAutoHyphens/>
        <w:autoSpaceDE w:val="0"/>
        <w:spacing w:after="0" w:line="276" w:lineRule="auto"/>
        <w:jc w:val="both"/>
        <w:rPr>
          <w:rFonts w:ascii="Arial" w:eastAsia="Calibri" w:hAnsi="Arial" w:cs="Arial"/>
          <w:color w:val="000000"/>
          <w:lang w:val="es-ES" w:eastAsia="zh-CN"/>
        </w:rPr>
      </w:pPr>
      <w:r>
        <w:rPr>
          <w:rFonts w:ascii="Arial" w:eastAsia="Calibri" w:hAnsi="Arial" w:cs="Arial"/>
          <w:color w:val="000000"/>
          <w:lang w:val="es-ES" w:eastAsia="zh-CN"/>
        </w:rPr>
        <w:t>X.6 = înfiinţ</w:t>
      </w:r>
      <w:r w:rsidR="000A5845" w:rsidRPr="000A5845">
        <w:rPr>
          <w:rFonts w:ascii="Arial" w:eastAsia="Calibri" w:hAnsi="Arial" w:cs="Arial"/>
          <w:color w:val="000000"/>
          <w:lang w:val="es-ES" w:eastAsia="zh-CN"/>
        </w:rPr>
        <w:t>area un</w:t>
      </w:r>
      <w:r>
        <w:rPr>
          <w:rFonts w:ascii="Arial" w:eastAsia="Calibri" w:hAnsi="Arial" w:cs="Arial"/>
          <w:color w:val="000000"/>
          <w:lang w:val="es-ES" w:eastAsia="zh-CN"/>
        </w:rPr>
        <w:t>ui traseu turistic Horezu – Staţiunea Vâ</w:t>
      </w:r>
      <w:r w:rsidR="000A5845" w:rsidRPr="000A5845">
        <w:rPr>
          <w:rFonts w:ascii="Arial" w:eastAsia="Calibri" w:hAnsi="Arial" w:cs="Arial"/>
          <w:color w:val="000000"/>
          <w:lang w:val="es-ES" w:eastAsia="zh-CN"/>
        </w:rPr>
        <w:t>rful lui Roman – scor AMC = 5,99.</w:t>
      </w:r>
    </w:p>
    <w:p w14:paraId="705920A0" w14:textId="77777777" w:rsidR="000A5845" w:rsidRPr="000A5845" w:rsidRDefault="000A5845" w:rsidP="000A5845">
      <w:pPr>
        <w:widowControl w:val="0"/>
        <w:numPr>
          <w:ilvl w:val="0"/>
          <w:numId w:val="94"/>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eastAsia="zh-CN"/>
        </w:rPr>
        <w:t>XII.2 = organizarea programului de circulație susținut de operatorul de transport urban în concordanț</w:t>
      </w:r>
      <w:r w:rsidR="006011EB" w:rsidRPr="006011EB">
        <w:rPr>
          <w:rFonts w:ascii="Arial" w:eastAsia="Calibri" w:hAnsi="Arial" w:cs="Arial"/>
          <w:color w:val="000000"/>
          <w:lang w:eastAsia="zh-CN"/>
        </w:rPr>
        <w:t>ă</w:t>
      </w:r>
      <w:r w:rsidRPr="000A5845">
        <w:rPr>
          <w:rFonts w:ascii="Arial" w:eastAsia="Calibri" w:hAnsi="Arial" w:cs="Arial"/>
          <w:color w:val="000000"/>
          <w:lang w:eastAsia="zh-CN"/>
        </w:rPr>
        <w:t xml:space="preserve"> </w:t>
      </w:r>
      <w:r w:rsidR="006011EB">
        <w:rPr>
          <w:rFonts w:ascii="Arial" w:eastAsia="Calibri" w:hAnsi="Arial" w:cs="Arial"/>
          <w:color w:val="000000"/>
          <w:lang w:eastAsia="zh-CN"/>
        </w:rPr>
        <w:t>cu programul transportului judeţean ş</w:t>
      </w:r>
      <w:r w:rsidRPr="000A5845">
        <w:rPr>
          <w:rFonts w:ascii="Arial" w:eastAsia="Calibri" w:hAnsi="Arial" w:cs="Arial"/>
          <w:color w:val="000000"/>
          <w:lang w:eastAsia="zh-CN"/>
        </w:rPr>
        <w:t xml:space="preserve">i interurban </w:t>
      </w:r>
      <w:r w:rsidRPr="000A5845">
        <w:rPr>
          <w:rFonts w:ascii="Arial" w:eastAsia="Calibri" w:hAnsi="Arial" w:cs="Arial"/>
          <w:color w:val="000000"/>
          <w:lang w:val="es-ES" w:eastAsia="zh-CN"/>
        </w:rPr>
        <w:t>– scor AMC = 5,08.</w:t>
      </w:r>
    </w:p>
    <w:p w14:paraId="26457DA2" w14:textId="77777777" w:rsidR="000A5845" w:rsidRPr="000A5845" w:rsidRDefault="000A5845" w:rsidP="000A5845">
      <w:pPr>
        <w:suppressAutoHyphens/>
        <w:autoSpaceDE w:val="0"/>
        <w:spacing w:after="0" w:line="360" w:lineRule="auto"/>
        <w:jc w:val="both"/>
        <w:rPr>
          <w:rFonts w:ascii="Arial" w:eastAsia="Calibri" w:hAnsi="Arial" w:cs="Arial"/>
          <w:color w:val="FF0000"/>
          <w:sz w:val="24"/>
          <w:szCs w:val="24"/>
          <w:lang w:val="es-ES" w:eastAsia="zh-CN"/>
        </w:rPr>
      </w:pPr>
    </w:p>
    <w:p w14:paraId="52F16BB8" w14:textId="77777777" w:rsidR="000A5845" w:rsidRPr="000A5845" w:rsidRDefault="000A5845" w:rsidP="000A5845">
      <w:pPr>
        <w:widowControl w:val="0"/>
        <w:numPr>
          <w:ilvl w:val="0"/>
          <w:numId w:val="71"/>
        </w:numPr>
        <w:suppressAutoHyphens/>
        <w:spacing w:after="0" w:line="276" w:lineRule="auto"/>
        <w:jc w:val="both"/>
        <w:rPr>
          <w:rFonts w:ascii="Arial" w:eastAsia="Times New Roman" w:hAnsi="Arial" w:cs="Arial"/>
          <w:lang w:val="x-none" w:eastAsia="zh-CN"/>
        </w:rPr>
      </w:pPr>
      <w:r w:rsidRPr="000A5845">
        <w:rPr>
          <w:rFonts w:ascii="Arial" w:eastAsia="Times New Roman" w:hAnsi="Arial" w:cs="Arial"/>
          <w:lang w:val="x-none" w:eastAsia="zh-CN"/>
        </w:rPr>
        <w:t xml:space="preserve">Scenariul </w:t>
      </w:r>
      <w:r w:rsidRPr="000A5845">
        <w:rPr>
          <w:rFonts w:ascii="Arial" w:eastAsia="Times New Roman" w:hAnsi="Arial" w:cs="Arial"/>
          <w:lang w:eastAsia="zh-CN"/>
        </w:rPr>
        <w:t>3</w:t>
      </w:r>
      <w:r w:rsidRPr="000A5845">
        <w:rPr>
          <w:rFonts w:ascii="Arial" w:eastAsia="Times New Roman" w:hAnsi="Arial" w:cs="Arial"/>
          <w:lang w:val="x-none" w:eastAsia="zh-CN"/>
        </w:rPr>
        <w:t>:</w:t>
      </w:r>
    </w:p>
    <w:p w14:paraId="12BE50B5" w14:textId="77777777" w:rsidR="000A5845" w:rsidRPr="000A5845" w:rsidRDefault="000A5845" w:rsidP="000A5845">
      <w:pPr>
        <w:widowControl w:val="0"/>
        <w:numPr>
          <w:ilvl w:val="0"/>
          <w:numId w:val="90"/>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X.6 = realizarea unui website al operator</w:t>
      </w:r>
      <w:r w:rsidR="006011EB">
        <w:rPr>
          <w:rFonts w:ascii="Arial" w:eastAsia="Calibri" w:hAnsi="Arial" w:cs="Arial"/>
          <w:color w:val="000000"/>
          <w:lang w:val="es-ES" w:eastAsia="zh-CN"/>
        </w:rPr>
        <w:t>ului de transport public local şi unei aplicaţ</w:t>
      </w:r>
      <w:r w:rsidRPr="000A5845">
        <w:rPr>
          <w:rFonts w:ascii="Arial" w:eastAsia="Calibri" w:hAnsi="Arial" w:cs="Arial"/>
          <w:color w:val="000000"/>
          <w:lang w:val="es-ES" w:eastAsia="zh-CN"/>
        </w:rPr>
        <w:t>ii pen</w:t>
      </w:r>
      <w:r w:rsidR="006011EB">
        <w:rPr>
          <w:rFonts w:ascii="Arial" w:eastAsia="Calibri" w:hAnsi="Arial" w:cs="Arial"/>
          <w:color w:val="000000"/>
          <w:lang w:val="es-ES" w:eastAsia="zh-CN"/>
        </w:rPr>
        <w:t>tru planificarea călă</w:t>
      </w:r>
      <w:r w:rsidRPr="000A5845">
        <w:rPr>
          <w:rFonts w:ascii="Arial" w:eastAsia="Calibri" w:hAnsi="Arial" w:cs="Arial"/>
          <w:color w:val="000000"/>
          <w:lang w:val="es-ES" w:eastAsia="zh-CN"/>
        </w:rPr>
        <w:t>toriei cu transportul public – scor AMC = 5,04.</w:t>
      </w:r>
    </w:p>
    <w:p w14:paraId="2A2AE195" w14:textId="77777777" w:rsidR="000A5845" w:rsidRPr="000A5845" w:rsidRDefault="000A5845" w:rsidP="000A5845">
      <w:pPr>
        <w:widowControl w:val="0"/>
        <w:numPr>
          <w:ilvl w:val="0"/>
          <w:numId w:val="95"/>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eastAsia="zh-CN"/>
        </w:rPr>
        <w:t>XII.1 = construirea unui centru intermodal de transport destinat interconectării transpo</w:t>
      </w:r>
      <w:r w:rsidR="006011EB">
        <w:rPr>
          <w:rFonts w:ascii="Arial" w:eastAsia="Calibri" w:hAnsi="Arial" w:cs="Arial"/>
          <w:color w:val="000000"/>
          <w:lang w:eastAsia="zh-CN"/>
        </w:rPr>
        <w:t>rtului public local cu cel judeţ</w:t>
      </w:r>
      <w:r w:rsidRPr="000A5845">
        <w:rPr>
          <w:rFonts w:ascii="Arial" w:eastAsia="Calibri" w:hAnsi="Arial" w:cs="Arial"/>
          <w:color w:val="000000"/>
          <w:lang w:eastAsia="zh-CN"/>
        </w:rPr>
        <w:t>ean şi interurban</w:t>
      </w:r>
      <w:r w:rsidRPr="000A5845">
        <w:rPr>
          <w:rFonts w:ascii="Arial" w:eastAsia="Calibri" w:hAnsi="Arial" w:cs="Arial"/>
          <w:color w:val="000000"/>
          <w:lang w:val="es-ES" w:eastAsia="zh-CN"/>
        </w:rPr>
        <w:t xml:space="preserve"> – scor AMC = 5,1.</w:t>
      </w:r>
    </w:p>
    <w:p w14:paraId="4A1CE2F3"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513B6B9A" w14:textId="77777777" w:rsidR="000A5845" w:rsidRPr="007B577D" w:rsidRDefault="000A5845" w:rsidP="000A5845">
      <w:pPr>
        <w:widowControl w:val="0"/>
        <w:suppressAutoHyphens/>
        <w:spacing w:after="0" w:line="276" w:lineRule="auto"/>
        <w:jc w:val="both"/>
        <w:rPr>
          <w:rFonts w:ascii="Arial" w:hAnsi="Arial" w:cs="Arial"/>
          <w:kern w:val="1"/>
          <w:lang w:val="es-ES" w:eastAsia="hi-IN" w:bidi="hi-IN"/>
        </w:rPr>
      </w:pPr>
      <w:r w:rsidRPr="007B577D">
        <w:rPr>
          <w:rFonts w:ascii="Arial" w:hAnsi="Arial" w:cs="Arial"/>
          <w:kern w:val="1"/>
          <w:lang w:val="es-ES" w:eastAsia="hi-IN" w:bidi="hi-IN"/>
        </w:rPr>
        <w:t>Dintre proiectele enumerate mai sus, conform criteriilor stabilite, pe lista proiectelor de rezervă sau a celor care nu vor fi implementate vor intra:</w:t>
      </w:r>
    </w:p>
    <w:p w14:paraId="6F9BDF4A" w14:textId="77777777" w:rsidR="000A5845" w:rsidRPr="007B577D" w:rsidRDefault="000A5845" w:rsidP="000A5845">
      <w:pPr>
        <w:widowControl w:val="0"/>
        <w:numPr>
          <w:ilvl w:val="0"/>
          <w:numId w:val="90"/>
        </w:numPr>
        <w:suppressAutoHyphens/>
        <w:autoSpaceDE w:val="0"/>
        <w:spacing w:after="0" w:line="276" w:lineRule="auto"/>
        <w:jc w:val="both"/>
        <w:rPr>
          <w:rFonts w:ascii="Arial" w:eastAsia="Calibri" w:hAnsi="Arial" w:cs="Arial"/>
          <w:color w:val="000000"/>
          <w:lang w:val="es-ES" w:eastAsia="zh-CN"/>
        </w:rPr>
      </w:pPr>
      <w:r w:rsidRPr="007B577D">
        <w:rPr>
          <w:rFonts w:ascii="Arial" w:eastAsia="Calibri" w:hAnsi="Arial" w:cs="Arial"/>
          <w:color w:val="000000"/>
          <w:lang w:val="es-ES" w:eastAsia="zh-CN"/>
        </w:rPr>
        <w:t>X.6 = realizarea unui website al operator</w:t>
      </w:r>
      <w:r w:rsidR="006011EB" w:rsidRPr="007B577D">
        <w:rPr>
          <w:rFonts w:ascii="Arial" w:eastAsia="Calibri" w:hAnsi="Arial" w:cs="Arial"/>
          <w:color w:val="000000"/>
          <w:lang w:val="es-ES" w:eastAsia="zh-CN"/>
        </w:rPr>
        <w:t>ului de transport public local şi unei aplicaţii pentru planificarea călă</w:t>
      </w:r>
      <w:r w:rsidRPr="007B577D">
        <w:rPr>
          <w:rFonts w:ascii="Arial" w:eastAsia="Calibri" w:hAnsi="Arial" w:cs="Arial"/>
          <w:color w:val="000000"/>
          <w:lang w:val="es-ES" w:eastAsia="zh-CN"/>
        </w:rPr>
        <w:t>toriei cu transportul public – scor AMC = 5,04.</w:t>
      </w:r>
    </w:p>
    <w:p w14:paraId="49D20CBF" w14:textId="77777777" w:rsidR="000A5845" w:rsidRPr="007B577D" w:rsidRDefault="000A5845" w:rsidP="000A5845">
      <w:pPr>
        <w:widowControl w:val="0"/>
        <w:numPr>
          <w:ilvl w:val="0"/>
          <w:numId w:val="95"/>
        </w:numPr>
        <w:suppressAutoHyphens/>
        <w:autoSpaceDE w:val="0"/>
        <w:spacing w:after="0" w:line="276" w:lineRule="auto"/>
        <w:jc w:val="both"/>
        <w:rPr>
          <w:rFonts w:ascii="Arial" w:eastAsia="Calibri" w:hAnsi="Arial" w:cs="Arial"/>
          <w:color w:val="000000"/>
          <w:lang w:val="es-ES" w:eastAsia="zh-CN"/>
        </w:rPr>
      </w:pPr>
      <w:r w:rsidRPr="007B577D">
        <w:rPr>
          <w:rFonts w:ascii="Arial" w:eastAsia="Calibri" w:hAnsi="Arial" w:cs="Arial"/>
          <w:color w:val="000000"/>
          <w:lang w:eastAsia="zh-CN"/>
        </w:rPr>
        <w:t xml:space="preserve">XII.1 = construirea unui centru intermodal de transport destinat interconectării </w:t>
      </w:r>
      <w:r w:rsidRPr="007B577D">
        <w:rPr>
          <w:rFonts w:ascii="Arial" w:eastAsia="Calibri" w:hAnsi="Arial" w:cs="Arial"/>
          <w:color w:val="000000"/>
          <w:lang w:eastAsia="zh-CN"/>
        </w:rPr>
        <w:lastRenderedPageBreak/>
        <w:t>transportului public local cu cel judetean şi interurban</w:t>
      </w:r>
      <w:r w:rsidRPr="007B577D">
        <w:rPr>
          <w:rFonts w:ascii="Arial" w:eastAsia="Calibri" w:hAnsi="Arial" w:cs="Arial"/>
          <w:color w:val="000000"/>
          <w:lang w:val="es-ES" w:eastAsia="zh-CN"/>
        </w:rPr>
        <w:t xml:space="preserve"> – scor AMC = 5,1.</w:t>
      </w:r>
    </w:p>
    <w:p w14:paraId="1A3FE6C3" w14:textId="77777777" w:rsidR="000A5845" w:rsidRPr="000A5845" w:rsidRDefault="000A5845" w:rsidP="000A5845">
      <w:pPr>
        <w:suppressAutoHyphens/>
        <w:autoSpaceDE w:val="0"/>
        <w:spacing w:after="0" w:line="360" w:lineRule="auto"/>
        <w:jc w:val="both"/>
        <w:rPr>
          <w:rFonts w:ascii="Arial" w:eastAsia="Calibri" w:hAnsi="Arial" w:cs="Arial"/>
          <w:color w:val="FF0000"/>
          <w:sz w:val="24"/>
          <w:szCs w:val="24"/>
          <w:lang w:val="es-ES" w:eastAsia="zh-CN"/>
        </w:rPr>
      </w:pPr>
    </w:p>
    <w:p w14:paraId="2084857B" w14:textId="77777777" w:rsidR="000A5845" w:rsidRPr="000A5845" w:rsidRDefault="000A5845" w:rsidP="000A5845">
      <w:pPr>
        <w:widowControl w:val="0"/>
        <w:suppressAutoHyphens/>
        <w:spacing w:after="0" w:line="276" w:lineRule="auto"/>
        <w:jc w:val="both"/>
        <w:rPr>
          <w:rFonts w:ascii="Arial" w:hAnsi="Arial" w:cs="Arial"/>
          <w:kern w:val="1"/>
          <w:lang w:val="es-ES" w:eastAsia="hi-IN" w:bidi="hi-IN"/>
        </w:rPr>
      </w:pPr>
      <w:r w:rsidRPr="000A5845">
        <w:rPr>
          <w:rFonts w:ascii="Arial" w:hAnsi="Arial" w:cs="Arial"/>
          <w:b/>
          <w:kern w:val="1"/>
          <w:lang w:val="es-ES" w:eastAsia="hi-IN" w:bidi="hi-IN"/>
        </w:rPr>
        <w:t>Promovarea transportului nemotorizat</w:t>
      </w:r>
    </w:p>
    <w:p w14:paraId="170193D5" w14:textId="77777777" w:rsidR="000A5845" w:rsidRPr="000A5845" w:rsidRDefault="000A5845" w:rsidP="000A5845">
      <w:pPr>
        <w:widowControl w:val="0"/>
        <w:suppressAutoHyphens/>
        <w:spacing w:after="0" w:line="276" w:lineRule="auto"/>
        <w:jc w:val="both"/>
        <w:rPr>
          <w:rFonts w:ascii="Arial" w:hAnsi="Arial" w:cs="Arial"/>
          <w:color w:val="FF0000"/>
          <w:kern w:val="1"/>
          <w:lang w:val="es-ES" w:eastAsia="hi-IN" w:bidi="hi-IN"/>
        </w:rPr>
      </w:pPr>
      <w:r w:rsidRPr="000A5845">
        <w:rPr>
          <w:rFonts w:ascii="Arial" w:hAnsi="Arial" w:cs="Arial"/>
          <w:kern w:val="1"/>
          <w:lang w:val="es-ES" w:eastAsia="hi-IN" w:bidi="hi-IN"/>
        </w:rPr>
        <w:t xml:space="preserve">Promovarea mai multor zone pietonale pot crea spații urbane mai accesibile, sigure și atractive pentru toți locuitorii. </w:t>
      </w:r>
    </w:p>
    <w:p w14:paraId="3291052E" w14:textId="77777777" w:rsidR="000A5845" w:rsidRPr="000A5845" w:rsidRDefault="000A5845" w:rsidP="000A5845">
      <w:pPr>
        <w:widowControl w:val="0"/>
        <w:suppressAutoHyphens/>
        <w:spacing w:after="0" w:line="276" w:lineRule="auto"/>
        <w:jc w:val="both"/>
        <w:rPr>
          <w:rFonts w:ascii="Arial" w:hAnsi="Arial" w:cs="Arial"/>
          <w:color w:val="FF0000"/>
          <w:kern w:val="1"/>
          <w:lang w:val="es-ES" w:eastAsia="hi-IN" w:bidi="hi-IN"/>
        </w:rPr>
      </w:pPr>
    </w:p>
    <w:p w14:paraId="00809566"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Una din soluţiile de descongestionare a traficului este şi încurajarea deplasărilor cu bicicleta sau cu alte vehicule electrice de micromobilitate cu efecte benefice atât asupra mediului, cât şi asupra infrastructurii rutiere. O comunitate viabilă este aceea care oferă cetăţenilor săi posibilităţi multiple de deplasare: transportului public, deplasărilor pe jos sau cu bicicleta trebuie să li se acorde aceeaşi importanţă, ca şi deplasării cu autoturismul. Chiar dacă valorile traficului rutier nu sunt foarte ridicate şi nu conduc la ambuteiaje, totuşi acestea trebuie minimizate pe cât posibil pentru creşterea calităţii aerului, conservării energiei, accesibilităţii şi calităţii vieţii în aglomerările urbane.</w:t>
      </w:r>
    </w:p>
    <w:p w14:paraId="5FF01BCE" w14:textId="77777777" w:rsidR="000A5845" w:rsidRPr="000A5845" w:rsidRDefault="000A5845" w:rsidP="000A5845">
      <w:pPr>
        <w:suppressAutoHyphens/>
        <w:autoSpaceDE w:val="0"/>
        <w:spacing w:after="0" w:line="360" w:lineRule="auto"/>
        <w:jc w:val="both"/>
        <w:rPr>
          <w:rFonts w:ascii="Arial" w:eastAsia="Calibri" w:hAnsi="Arial" w:cs="Arial"/>
          <w:color w:val="000000"/>
          <w:sz w:val="24"/>
          <w:szCs w:val="24"/>
          <w:lang w:val="es-ES" w:eastAsia="zh-CN"/>
        </w:rPr>
      </w:pPr>
    </w:p>
    <w:p w14:paraId="19679F0E" w14:textId="77777777" w:rsidR="000A5845" w:rsidRPr="000A5845" w:rsidRDefault="000A5845" w:rsidP="000A5845">
      <w:pPr>
        <w:suppressAutoHyphens/>
        <w:autoSpaceDE w:val="0"/>
        <w:spacing w:after="0" w:line="276" w:lineRule="auto"/>
        <w:jc w:val="both"/>
        <w:rPr>
          <w:rFonts w:ascii="Arial" w:eastAsia="Calibri" w:hAnsi="Arial" w:cs="Arial"/>
          <w:color w:val="000000"/>
          <w:sz w:val="24"/>
          <w:szCs w:val="24"/>
          <w:lang w:val="es-ES" w:eastAsia="zh-CN"/>
        </w:rPr>
      </w:pPr>
      <w:r w:rsidRPr="000A5845">
        <w:rPr>
          <w:rFonts w:ascii="Arial" w:eastAsia="Calibri" w:hAnsi="Arial" w:cs="Arial"/>
          <w:color w:val="000000"/>
          <w:lang w:val="es-ES" w:eastAsia="zh-CN"/>
        </w:rPr>
        <w:t>Prin combinarea măsurilor de promovare a mersului pe jos, a micromobilității şi a transportului public oraşele pot obţine o reducere a traficului motorizat. Deplasările pe distanţe scurte se pretează foarte bine pentru aceste moduri de deplasare (mers pe jos şi cu bicicleta), atât timp cât sunt asigurate toate condiţiile pentru acestea. Mersul cu bicicleta poate îmbunătăţii siguranţa rutieră, având totodată efecte benefice asupra sănătăţii. Utilizarea tot mai mare a bicicletelor si a celorlalte vehicule electrice de micromobilitate conduce şi la crearea de spaţii – pe un singur loc de parcare necesar pentru un autoturism încap 7-9 biciclete (sau trotinete electrice), cu costuri evident mai scăzute</w:t>
      </w:r>
      <w:r w:rsidRPr="000A5845">
        <w:rPr>
          <w:rFonts w:ascii="Arial" w:eastAsia="Calibri" w:hAnsi="Arial" w:cs="Arial"/>
          <w:color w:val="000000"/>
          <w:sz w:val="24"/>
          <w:szCs w:val="24"/>
          <w:lang w:val="es-ES" w:eastAsia="zh-CN"/>
        </w:rPr>
        <w:t xml:space="preserve">. </w:t>
      </w:r>
    </w:p>
    <w:p w14:paraId="374DACA2" w14:textId="77777777" w:rsidR="000A5845" w:rsidRPr="000A5845" w:rsidRDefault="000A5845" w:rsidP="000A5845">
      <w:pPr>
        <w:suppressAutoHyphens/>
        <w:autoSpaceDE w:val="0"/>
        <w:spacing w:after="0" w:line="360" w:lineRule="auto"/>
        <w:jc w:val="both"/>
        <w:rPr>
          <w:rFonts w:ascii="Arial" w:eastAsia="Calibri" w:hAnsi="Arial" w:cs="Arial"/>
          <w:color w:val="000000"/>
          <w:sz w:val="24"/>
          <w:szCs w:val="24"/>
          <w:lang w:val="es-ES" w:eastAsia="zh-CN"/>
        </w:rPr>
      </w:pPr>
    </w:p>
    <w:p w14:paraId="39E4A6CE" w14:textId="3F31C3E4"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Avantajele pe care le-ar putea obţine administratia publica locala odată cu dezvoltarea unei reţele de </w:t>
      </w:r>
      <w:r w:rsidR="00A27348">
        <w:rPr>
          <w:rFonts w:ascii="Arial" w:eastAsia="Calibri" w:hAnsi="Arial" w:cs="Arial"/>
          <w:color w:val="000000"/>
          <w:lang w:val="es-ES" w:eastAsia="zh-CN"/>
        </w:rPr>
        <w:t>trasee</w:t>
      </w:r>
      <w:r w:rsidRPr="000A5845">
        <w:rPr>
          <w:rFonts w:ascii="Arial" w:eastAsia="Calibri" w:hAnsi="Arial" w:cs="Arial"/>
          <w:color w:val="000000"/>
          <w:lang w:val="es-ES" w:eastAsia="zh-CN"/>
        </w:rPr>
        <w:t xml:space="preserve"> pentru biciclete bine pusă la punct ar fi: </w:t>
      </w:r>
    </w:p>
    <w:p w14:paraId="13E01284"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reducerea numărului de autovehicule din circulaţia generala; </w:t>
      </w:r>
    </w:p>
    <w:p w14:paraId="16331817"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creşterea atractivităţii transportului în comun pentru navetişti; </w:t>
      </w:r>
    </w:p>
    <w:p w14:paraId="412FDE6E"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îmbunătăţirea calităţii vieţii (reducerea poluării aerului, zgomotului etc.); </w:t>
      </w:r>
    </w:p>
    <w:p w14:paraId="64750504"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noi posibilităţi de utilizare a spaţiului; </w:t>
      </w:r>
    </w:p>
    <w:p w14:paraId="784E493C"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creşterea atractivităţii zonei centrale datorită reducerii traficului; </w:t>
      </w:r>
    </w:p>
    <w:p w14:paraId="6E5C7A61"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 prezervarea monumentelor istorice şi reducerea costurilor de întreţinere ale acestora; </w:t>
      </w:r>
    </w:p>
    <w:p w14:paraId="6CCFD78B"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reducerea costurilor şi investiţiilor în infrastructura rutieră.</w:t>
      </w:r>
    </w:p>
    <w:p w14:paraId="7C8CD685"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420EA33A" w14:textId="3CA6244F"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Campaniile de promovare şi investiţiile în infrastructura pentru biciclete sunt strâns legate şi totodată complementare. Totuşi, înainte de a se face orice investiţie într-o astfel de infrastructură, trebuie să se analizeze situaţia locală pentru o utilizare cât mai eficientă a resurselor. Astfel, o reţea de </w:t>
      </w:r>
      <w:r w:rsidR="00A27348">
        <w:rPr>
          <w:rFonts w:ascii="Arial" w:eastAsia="Calibri" w:hAnsi="Arial" w:cs="Arial"/>
          <w:color w:val="000000"/>
          <w:lang w:val="es-ES" w:eastAsia="zh-CN"/>
        </w:rPr>
        <w:t>trasee</w:t>
      </w:r>
      <w:r w:rsidRPr="000A5845">
        <w:rPr>
          <w:rFonts w:ascii="Arial" w:eastAsia="Calibri" w:hAnsi="Arial" w:cs="Arial"/>
          <w:color w:val="000000"/>
          <w:lang w:val="es-ES" w:eastAsia="zh-CN"/>
        </w:rPr>
        <w:t xml:space="preserve"> pentru biciclete interconectată şi funcţională promovează prin ea însăşi mersul pe bicicletă, contribuind la atragerea de noi utilizatori ai acestui mijloc de transport. </w:t>
      </w:r>
    </w:p>
    <w:p w14:paraId="4698CC19" w14:textId="77777777" w:rsidR="000A5845" w:rsidRPr="000A5845" w:rsidRDefault="000A5845" w:rsidP="000A5845">
      <w:pPr>
        <w:suppressAutoHyphens/>
        <w:autoSpaceDE w:val="0"/>
        <w:spacing w:after="0" w:line="360" w:lineRule="auto"/>
        <w:jc w:val="both"/>
        <w:rPr>
          <w:rFonts w:ascii="Arial" w:eastAsia="Calibri" w:hAnsi="Arial" w:cs="Arial"/>
          <w:color w:val="000000"/>
          <w:sz w:val="24"/>
          <w:szCs w:val="24"/>
          <w:lang w:val="es-ES" w:eastAsia="zh-CN"/>
        </w:rPr>
      </w:pPr>
    </w:p>
    <w:p w14:paraId="6EDAC7BA"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Trebuie încurajata cu prioritate micromobilitatea către locul de muncă şi către şcoală, mai ales că pentru schimbarea atitudinii faţă de mobilitate a angajaţilor sau a elevilor nu sunt necesare investiţii financiare mari, ci mai degrabă mici stimuli care să aibă un impact pozitiv </w:t>
      </w:r>
      <w:r w:rsidRPr="000A5845">
        <w:rPr>
          <w:rFonts w:ascii="Arial" w:eastAsia="Calibri" w:hAnsi="Arial" w:cs="Arial"/>
          <w:color w:val="000000"/>
          <w:lang w:val="es-ES" w:eastAsia="zh-CN"/>
        </w:rPr>
        <w:lastRenderedPageBreak/>
        <w:t xml:space="preserve">şi, în cele mai multe cazuri, efecte mari – de ex. asigurarea de locuri de parcare pentru biciclete la locul de muncă, vestiare pentru echipamentul specific pe timp de iarnă etc. </w:t>
      </w:r>
    </w:p>
    <w:p w14:paraId="5A2D12F2" w14:textId="77777777" w:rsidR="000A5845" w:rsidRPr="000A5845" w:rsidRDefault="000A5845" w:rsidP="000A5845">
      <w:pPr>
        <w:suppressAutoHyphens/>
        <w:autoSpaceDE w:val="0"/>
        <w:spacing w:after="0" w:line="360" w:lineRule="auto"/>
        <w:jc w:val="both"/>
        <w:rPr>
          <w:rFonts w:ascii="Arial" w:eastAsia="Calibri" w:hAnsi="Arial" w:cs="Arial"/>
          <w:color w:val="000000"/>
          <w:sz w:val="24"/>
          <w:szCs w:val="24"/>
          <w:lang w:val="es-ES" w:eastAsia="zh-CN"/>
        </w:rPr>
      </w:pPr>
    </w:p>
    <w:p w14:paraId="0E3CA8CE"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Micromobilitatea trebuie să devină parte componenta a transportului intermodal. Astfel, când lungimea călătoriei este ceva mai mare se poate vorbi despre “bike&amp;ride” sau “ride&amp;bike” prin utilizarea atât a bicicletei pentru o parte a călătoriei, cât şi a transportului public pentru cealaltă parte. Luate separat cele două moduri de transport nu sunt eficiente datorită limitărilor la care sunt supuse, însă împreună pot concura cu succes autoturismul personal, permiţând călătoria “din uşă în uşă” pe distanţe</w:t>
      </w:r>
      <w:r w:rsidR="006011EB">
        <w:rPr>
          <w:rFonts w:ascii="Arial" w:eastAsia="Calibri" w:hAnsi="Arial" w:cs="Arial"/>
          <w:color w:val="000000"/>
          <w:lang w:val="es-ES" w:eastAsia="zh-CN"/>
        </w:rPr>
        <w:t xml:space="preserve"> lungi. Promovarea micromobilităţ</w:t>
      </w:r>
      <w:r w:rsidRPr="000A5845">
        <w:rPr>
          <w:rFonts w:ascii="Arial" w:eastAsia="Calibri" w:hAnsi="Arial" w:cs="Arial"/>
          <w:color w:val="000000"/>
          <w:lang w:val="es-ES" w:eastAsia="zh-CN"/>
        </w:rPr>
        <w:t>ii ca un mod de transport în oraşe înseamnă şi crearea de facilităţi pentru acest tip de vehicule electrice. De exemplu, serviciile pentru biciclişti includ o gamă largă, cum ar fi broşuri de informare şi hărţi, integrarea cu transportul public, scheme de închiriere şi partajare a bicicletelor, parcări pentru biciclete, servicii on-line şi pe telefonul mobil. Dar conceptul se poate extinde catre toate vehiculele de micromobilitate.</w:t>
      </w:r>
    </w:p>
    <w:p w14:paraId="4824A6F9"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41268AE1"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i/>
          <w:iCs/>
          <w:color w:val="000000"/>
          <w:lang w:val="es-ES" w:eastAsia="zh-CN"/>
        </w:rPr>
        <w:t>Sisteme publice de închiriere a bicicletelor</w:t>
      </w:r>
      <w:r w:rsidRPr="000A5845">
        <w:rPr>
          <w:rFonts w:ascii="Arial" w:eastAsia="Calibri" w:hAnsi="Arial" w:cs="Arial"/>
          <w:color w:val="000000"/>
          <w:lang w:val="es-ES" w:eastAsia="zh-CN"/>
        </w:rPr>
        <w:t xml:space="preserve">. Există o varietate mare de sisteme de închiriere a bicicletelor cu diferite soluţii tehnice şi instituţionale. Pentru oraşe, sistemul de închiriere a bicicletelor poate servi ca un punct de sprijin pentru dezvoltarea acestui mod de transport (inclusiv ca parte a intermodalităţii) care să conducă la necesitatea investirii în infrastructura corespunzătoare. Pentru utilizatori, posibilitatea de a închiria o bicicletă oferă oportunitatea de a încerca mersul cu bicicleta şi datorită avantajelor: disponibilitate 24/7, flexibilitate spaţială, accesibilitate şi întreţinere uşoară. </w:t>
      </w:r>
    </w:p>
    <w:p w14:paraId="7EAAAD34"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74C3B16D" w14:textId="77777777" w:rsidR="000A5845" w:rsidRPr="000A5845" w:rsidRDefault="000A5845" w:rsidP="000A5845">
      <w:pPr>
        <w:suppressAutoHyphens/>
        <w:autoSpaceDE w:val="0"/>
        <w:spacing w:after="0" w:line="276" w:lineRule="auto"/>
        <w:jc w:val="both"/>
        <w:rPr>
          <w:rFonts w:ascii="Arial" w:eastAsia="Calibri" w:hAnsi="Arial" w:cs="Arial"/>
          <w:color w:val="FF0000"/>
          <w:lang w:val="es-ES" w:eastAsia="zh-CN"/>
        </w:rPr>
      </w:pPr>
      <w:r w:rsidRPr="000A5845">
        <w:rPr>
          <w:rFonts w:ascii="Arial" w:eastAsia="Calibri" w:hAnsi="Arial" w:cs="Arial"/>
          <w:i/>
          <w:iCs/>
          <w:color w:val="000000"/>
          <w:lang w:val="es-ES" w:eastAsia="zh-CN"/>
        </w:rPr>
        <w:t>Servicii de parcare pentru biciclete.</w:t>
      </w:r>
      <w:r w:rsidRPr="000A5845">
        <w:rPr>
          <w:rFonts w:ascii="Arial" w:eastAsia="Calibri" w:hAnsi="Arial" w:cs="Arial"/>
          <w:b/>
          <w:color w:val="000000"/>
          <w:lang w:val="es-ES" w:eastAsia="zh-CN"/>
        </w:rPr>
        <w:t xml:space="preserve"> </w:t>
      </w:r>
      <w:r w:rsidRPr="000A5845">
        <w:rPr>
          <w:rFonts w:ascii="Arial" w:eastAsia="Calibri" w:hAnsi="Arial" w:cs="Arial"/>
          <w:color w:val="000000"/>
          <w:lang w:val="es-ES" w:eastAsia="zh-CN"/>
        </w:rPr>
        <w:t xml:space="preserve">Facilităţile de parcare a bicicletelor trebuie să se găsească în zonele rezidenţiale, la locurile de muncă, unităţi de invatamant, alte puncte de interes, dar mai ales în nodurile intermodale. Facilităţile oferite bicicliştilor precum existenţa unei parcări de biciclete supravegheate şi posibilitatea de a transporta bicicletele pe tren, tramvai sau metrou pentru o taxă redusă sunt elemente care pot uşura decizia de a utiliza transportul public şi schimbarea de la modul individual de transport la cel public. Facilităţile pentru transportul bicicletelor trebuie de asemenea să fie furnizate pe autovehicule; spre exemplu, o parte a autovehiculului poate fi prevăzută cu cleme / suporturi simple pentru biciclete, astfel încât pasagerii să nu fie nevoiţi să-şi ţină cu mâna bicicletele când autovehiculul ia o curbă. </w:t>
      </w:r>
    </w:p>
    <w:p w14:paraId="127AA773" w14:textId="77777777" w:rsidR="000A5845" w:rsidRPr="000A5845" w:rsidRDefault="000A5845" w:rsidP="000A5845">
      <w:pPr>
        <w:suppressAutoHyphens/>
        <w:autoSpaceDE w:val="0"/>
        <w:spacing w:after="0" w:line="276" w:lineRule="auto"/>
        <w:jc w:val="both"/>
        <w:rPr>
          <w:rFonts w:ascii="Arial" w:eastAsia="Calibri" w:hAnsi="Arial" w:cs="Arial"/>
          <w:color w:val="FF0000"/>
          <w:lang w:val="es-ES" w:eastAsia="zh-CN"/>
        </w:rPr>
      </w:pPr>
    </w:p>
    <w:p w14:paraId="06769C34" w14:textId="77777777" w:rsidR="000A5845" w:rsidRPr="000A5845" w:rsidRDefault="000A5845" w:rsidP="000A5845">
      <w:pPr>
        <w:widowControl w:val="0"/>
        <w:suppressAutoHyphens/>
        <w:spacing w:after="0" w:line="276" w:lineRule="auto"/>
        <w:jc w:val="both"/>
        <w:rPr>
          <w:rFonts w:ascii="Arial" w:hAnsi="Arial" w:cs="Arial"/>
          <w:kern w:val="1"/>
          <w:lang w:val="ro-RO" w:eastAsia="hi-IN" w:bidi="hi-IN"/>
        </w:rPr>
      </w:pPr>
      <w:r w:rsidRPr="000A5845">
        <w:rPr>
          <w:rFonts w:ascii="Arial" w:hAnsi="Arial" w:cs="Arial"/>
          <w:kern w:val="1"/>
          <w:lang w:val="ro-RO" w:eastAsia="hi-IN" w:bidi="hi-IN"/>
        </w:rPr>
        <w:t>Proiectele/măsurile care se adresează transportului nemotorizat, repartizate pe scenarii sunt prezentate în continuare:</w:t>
      </w:r>
    </w:p>
    <w:p w14:paraId="0F533DED" w14:textId="77777777" w:rsidR="000A5845" w:rsidRPr="000A5845" w:rsidRDefault="000A5845" w:rsidP="000A5845">
      <w:pPr>
        <w:widowControl w:val="0"/>
        <w:numPr>
          <w:ilvl w:val="0"/>
          <w:numId w:val="71"/>
        </w:numPr>
        <w:suppressAutoHyphens/>
        <w:spacing w:after="0" w:line="276" w:lineRule="auto"/>
        <w:jc w:val="both"/>
        <w:rPr>
          <w:rFonts w:ascii="Arial" w:eastAsia="Times New Roman" w:hAnsi="Arial" w:cs="Arial"/>
          <w:lang w:val="x-none" w:eastAsia="zh-CN"/>
        </w:rPr>
      </w:pPr>
      <w:r w:rsidRPr="000A5845">
        <w:rPr>
          <w:rFonts w:ascii="Arial" w:eastAsia="Times New Roman" w:hAnsi="Arial" w:cs="Arial"/>
          <w:lang w:val="x-none" w:eastAsia="zh-CN"/>
        </w:rPr>
        <w:t xml:space="preserve">Scenariul </w:t>
      </w:r>
      <w:r w:rsidRPr="000A5845">
        <w:rPr>
          <w:rFonts w:ascii="Arial" w:eastAsia="Times New Roman" w:hAnsi="Arial" w:cs="Arial"/>
          <w:lang w:eastAsia="zh-CN"/>
        </w:rPr>
        <w:t>2</w:t>
      </w:r>
      <w:r w:rsidRPr="000A5845">
        <w:rPr>
          <w:rFonts w:ascii="Arial" w:eastAsia="Times New Roman" w:hAnsi="Arial" w:cs="Arial"/>
          <w:lang w:val="x-none" w:eastAsia="zh-CN"/>
        </w:rPr>
        <w:t>:</w:t>
      </w:r>
    </w:p>
    <w:p w14:paraId="077B6812" w14:textId="4C5DDB58" w:rsidR="000A5845" w:rsidRPr="000A5845" w:rsidRDefault="000A5845" w:rsidP="000A5845">
      <w:pPr>
        <w:widowControl w:val="0"/>
        <w:numPr>
          <w:ilvl w:val="0"/>
          <w:numId w:val="96"/>
        </w:numPr>
        <w:suppressAutoHyphens/>
        <w:autoSpaceDE w:val="0"/>
        <w:spacing w:after="0" w:line="276" w:lineRule="auto"/>
        <w:jc w:val="both"/>
        <w:rPr>
          <w:rFonts w:ascii="Arial" w:eastAsia="Arial" w:hAnsi="Arial" w:cs="Arial"/>
          <w:color w:val="000000"/>
          <w:lang w:val="es-ES" w:eastAsia="zh-CN"/>
        </w:rPr>
      </w:pPr>
      <w:r w:rsidRPr="000A5845">
        <w:rPr>
          <w:rFonts w:ascii="Arial" w:eastAsia="Arial" w:hAnsi="Arial" w:cs="Arial"/>
          <w:color w:val="000000"/>
          <w:lang w:val="es-ES" w:eastAsia="zh-CN"/>
        </w:rPr>
        <w:t xml:space="preserve">IV.1 = amenajarea unei retele de </w:t>
      </w:r>
      <w:r w:rsidR="00A27348">
        <w:rPr>
          <w:rFonts w:ascii="Arial" w:eastAsia="Arial" w:hAnsi="Arial" w:cs="Arial"/>
          <w:color w:val="000000"/>
          <w:lang w:val="es-ES" w:eastAsia="zh-CN"/>
        </w:rPr>
        <w:t>trasee</w:t>
      </w:r>
      <w:r w:rsidRPr="000A5845">
        <w:rPr>
          <w:rFonts w:ascii="Arial" w:eastAsia="Arial" w:hAnsi="Arial" w:cs="Arial"/>
          <w:color w:val="000000"/>
          <w:lang w:val="es-ES" w:eastAsia="zh-CN"/>
        </w:rPr>
        <w:t xml:space="preserve"> pentru biciclete – scor AMC = 6,52.</w:t>
      </w:r>
    </w:p>
    <w:p w14:paraId="24542C25" w14:textId="77777777" w:rsidR="000A5845" w:rsidRPr="000A5845" w:rsidRDefault="000A5845" w:rsidP="000A5845">
      <w:pPr>
        <w:widowControl w:val="0"/>
        <w:numPr>
          <w:ilvl w:val="0"/>
          <w:numId w:val="96"/>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IV.2 = crearea de puncte pentru închirierea bicicletelor (pool bikes and bike-sharing) – scor AMC = 5,31.</w:t>
      </w:r>
    </w:p>
    <w:p w14:paraId="4C2E445C" w14:textId="77777777" w:rsidR="000A5845" w:rsidRPr="000A5845" w:rsidRDefault="000A5845" w:rsidP="000A5845">
      <w:pPr>
        <w:widowControl w:val="0"/>
        <w:numPr>
          <w:ilvl w:val="0"/>
          <w:numId w:val="96"/>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IV.3 = construirea de parcări pentru biciclete – scor AMC = 5,1.</w:t>
      </w:r>
    </w:p>
    <w:p w14:paraId="26014AC0" w14:textId="77777777" w:rsidR="000A5845" w:rsidRPr="000A5845" w:rsidRDefault="000A5845" w:rsidP="000A5845">
      <w:pPr>
        <w:widowControl w:val="0"/>
        <w:numPr>
          <w:ilvl w:val="0"/>
          <w:numId w:val="96"/>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IV.6 = extinderea zonei pietonale – scor AMC = 6,78.</w:t>
      </w:r>
    </w:p>
    <w:p w14:paraId="1A9D6C9D" w14:textId="77777777" w:rsidR="000A5845" w:rsidRPr="000A5845" w:rsidRDefault="000A5845" w:rsidP="000A5845">
      <w:pPr>
        <w:widowControl w:val="0"/>
        <w:numPr>
          <w:ilvl w:val="0"/>
          <w:numId w:val="96"/>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IV.7 = cresterea accesibilității pentru persoanele în vârstă sau cele cu dizabilități – scor AMC = 5,11.</w:t>
      </w:r>
    </w:p>
    <w:p w14:paraId="245C73BE" w14:textId="77777777" w:rsidR="000A5845" w:rsidRPr="000A5845" w:rsidRDefault="000A5845" w:rsidP="000A5845">
      <w:pPr>
        <w:widowControl w:val="0"/>
        <w:numPr>
          <w:ilvl w:val="0"/>
          <w:numId w:val="71"/>
        </w:numPr>
        <w:suppressAutoHyphens/>
        <w:spacing w:after="0" w:line="276" w:lineRule="auto"/>
        <w:jc w:val="both"/>
        <w:rPr>
          <w:rFonts w:ascii="Arial" w:eastAsia="Times New Roman" w:hAnsi="Arial" w:cs="Arial"/>
          <w:lang w:val="x-none" w:eastAsia="zh-CN"/>
        </w:rPr>
      </w:pPr>
      <w:r w:rsidRPr="000A5845">
        <w:rPr>
          <w:rFonts w:ascii="Arial" w:eastAsia="Times New Roman" w:hAnsi="Arial" w:cs="Arial"/>
          <w:lang w:val="x-none" w:eastAsia="zh-CN"/>
        </w:rPr>
        <w:t xml:space="preserve">Scenariul </w:t>
      </w:r>
      <w:r w:rsidRPr="000A5845">
        <w:rPr>
          <w:rFonts w:ascii="Arial" w:eastAsia="Times New Roman" w:hAnsi="Arial" w:cs="Arial"/>
          <w:lang w:eastAsia="zh-CN"/>
        </w:rPr>
        <w:t>3</w:t>
      </w:r>
      <w:r w:rsidRPr="000A5845">
        <w:rPr>
          <w:rFonts w:ascii="Arial" w:eastAsia="Times New Roman" w:hAnsi="Arial" w:cs="Arial"/>
          <w:lang w:val="x-none" w:eastAsia="zh-CN"/>
        </w:rPr>
        <w:t>:</w:t>
      </w:r>
    </w:p>
    <w:p w14:paraId="09D0F60D" w14:textId="2B31E35B" w:rsidR="000A5845" w:rsidRPr="000A5845" w:rsidRDefault="000A5845" w:rsidP="000A5845">
      <w:pPr>
        <w:widowControl w:val="0"/>
        <w:numPr>
          <w:ilvl w:val="0"/>
          <w:numId w:val="97"/>
        </w:num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IV.5 = amenajare</w:t>
      </w:r>
      <w:r w:rsidR="006011EB">
        <w:rPr>
          <w:rFonts w:ascii="Arial" w:eastAsia="Calibri" w:hAnsi="Arial" w:cs="Arial"/>
          <w:color w:val="000000"/>
          <w:lang w:val="es-ES" w:eastAsia="zh-CN"/>
        </w:rPr>
        <w:t>a un</w:t>
      </w:r>
      <w:r w:rsidR="00A27348">
        <w:rPr>
          <w:rFonts w:ascii="Arial" w:eastAsia="Calibri" w:hAnsi="Arial" w:cs="Arial"/>
          <w:color w:val="000000"/>
          <w:lang w:val="es-ES" w:eastAsia="zh-CN"/>
        </w:rPr>
        <w:t>u</w:t>
      </w:r>
      <w:r w:rsidR="006011EB">
        <w:rPr>
          <w:rFonts w:ascii="Arial" w:eastAsia="Calibri" w:hAnsi="Arial" w:cs="Arial"/>
          <w:color w:val="000000"/>
          <w:lang w:val="es-ES" w:eastAsia="zh-CN"/>
        </w:rPr>
        <w:t xml:space="preserve">i </w:t>
      </w:r>
      <w:r w:rsidR="00A27348">
        <w:rPr>
          <w:rFonts w:ascii="Arial" w:eastAsia="Calibri" w:hAnsi="Arial" w:cs="Arial"/>
          <w:color w:val="000000"/>
          <w:lang w:val="es-ES" w:eastAsia="zh-CN"/>
        </w:rPr>
        <w:t>traseu pentru biciclete</w:t>
      </w:r>
      <w:r w:rsidR="006011EB">
        <w:rPr>
          <w:rFonts w:ascii="Arial" w:eastAsia="Calibri" w:hAnsi="Arial" w:cs="Arial"/>
          <w:color w:val="000000"/>
          <w:lang w:val="es-ES" w:eastAsia="zh-CN"/>
        </w:rPr>
        <w:t xml:space="preserve"> cross-country ş</w:t>
      </w:r>
      <w:r w:rsidRPr="000A5845">
        <w:rPr>
          <w:rFonts w:ascii="Arial" w:eastAsia="Calibri" w:hAnsi="Arial" w:cs="Arial"/>
          <w:color w:val="000000"/>
          <w:lang w:val="es-ES" w:eastAsia="zh-CN"/>
        </w:rPr>
        <w:t>i a un</w:t>
      </w:r>
      <w:r w:rsidR="00A27348">
        <w:rPr>
          <w:rFonts w:ascii="Arial" w:eastAsia="Calibri" w:hAnsi="Arial" w:cs="Arial"/>
          <w:color w:val="000000"/>
          <w:lang w:val="es-ES" w:eastAsia="zh-CN"/>
        </w:rPr>
        <w:t>u</w:t>
      </w:r>
      <w:r w:rsidRPr="000A5845">
        <w:rPr>
          <w:rFonts w:ascii="Arial" w:eastAsia="Calibri" w:hAnsi="Arial" w:cs="Arial"/>
          <w:color w:val="000000"/>
          <w:lang w:val="es-ES" w:eastAsia="zh-CN"/>
        </w:rPr>
        <w:t xml:space="preserve">i </w:t>
      </w:r>
      <w:r w:rsidR="00A27348">
        <w:rPr>
          <w:rFonts w:ascii="Arial" w:eastAsia="Calibri" w:hAnsi="Arial" w:cs="Arial"/>
          <w:color w:val="000000"/>
          <w:lang w:val="es-ES" w:eastAsia="zh-CN"/>
        </w:rPr>
        <w:t>traseu</w:t>
      </w:r>
      <w:r w:rsidRPr="000A5845">
        <w:rPr>
          <w:rFonts w:ascii="Arial" w:eastAsia="Calibri" w:hAnsi="Arial" w:cs="Arial"/>
          <w:color w:val="000000"/>
          <w:lang w:val="es-ES" w:eastAsia="zh-CN"/>
        </w:rPr>
        <w:t xml:space="preserve"> down-</w:t>
      </w:r>
      <w:r w:rsidRPr="000A5845">
        <w:rPr>
          <w:rFonts w:ascii="Arial" w:eastAsia="Calibri" w:hAnsi="Arial" w:cs="Arial"/>
          <w:color w:val="000000"/>
          <w:lang w:val="es-ES" w:eastAsia="zh-CN"/>
        </w:rPr>
        <w:lastRenderedPageBreak/>
        <w:t>hill – scor AMC = 5,01.</w:t>
      </w:r>
    </w:p>
    <w:p w14:paraId="307C02C7" w14:textId="77777777" w:rsidR="000A5845" w:rsidRPr="000A5845" w:rsidRDefault="006011EB" w:rsidP="000A5845">
      <w:pPr>
        <w:widowControl w:val="0"/>
        <w:numPr>
          <w:ilvl w:val="0"/>
          <w:numId w:val="97"/>
        </w:numPr>
        <w:suppressAutoHyphens/>
        <w:autoSpaceDE w:val="0"/>
        <w:spacing w:after="0" w:line="276" w:lineRule="auto"/>
        <w:jc w:val="both"/>
        <w:rPr>
          <w:rFonts w:ascii="Arial" w:eastAsia="Calibri" w:hAnsi="Arial" w:cs="Arial"/>
          <w:color w:val="000000"/>
          <w:lang w:val="es-ES" w:eastAsia="zh-CN"/>
        </w:rPr>
      </w:pPr>
      <w:r>
        <w:rPr>
          <w:rFonts w:ascii="Arial" w:eastAsia="Calibri" w:hAnsi="Arial" w:cs="Arial"/>
          <w:color w:val="000000"/>
          <w:lang w:val="es-ES" w:eastAsia="zh-CN"/>
        </w:rPr>
        <w:t>IV.9 = achiziţia de staţii de încă</w:t>
      </w:r>
      <w:r w:rsidR="000A5845" w:rsidRPr="000A5845">
        <w:rPr>
          <w:rFonts w:ascii="Arial" w:eastAsia="Calibri" w:hAnsi="Arial" w:cs="Arial"/>
          <w:color w:val="000000"/>
          <w:lang w:val="es-ES" w:eastAsia="zh-CN"/>
        </w:rPr>
        <w:t>rcare p</w:t>
      </w:r>
      <w:r>
        <w:rPr>
          <w:rFonts w:ascii="Arial" w:eastAsia="Calibri" w:hAnsi="Arial" w:cs="Arial"/>
          <w:color w:val="000000"/>
          <w:lang w:val="es-ES" w:eastAsia="zh-CN"/>
        </w:rPr>
        <w:t>entru autovehiculele electrice şi amplasarea acestora în principalele zone ale oraş</w:t>
      </w:r>
      <w:r w:rsidR="000A5845" w:rsidRPr="000A5845">
        <w:rPr>
          <w:rFonts w:ascii="Arial" w:eastAsia="Calibri" w:hAnsi="Arial" w:cs="Arial"/>
          <w:color w:val="000000"/>
          <w:lang w:val="es-ES" w:eastAsia="zh-CN"/>
        </w:rPr>
        <w:t>ului – scor AMC = 5,03.</w:t>
      </w:r>
    </w:p>
    <w:p w14:paraId="20834CA9" w14:textId="77777777" w:rsidR="000A5845" w:rsidRPr="000A5845" w:rsidRDefault="000A5845" w:rsidP="000A5845">
      <w:pPr>
        <w:suppressAutoHyphens/>
        <w:autoSpaceDE w:val="0"/>
        <w:spacing w:after="0" w:line="276" w:lineRule="auto"/>
        <w:jc w:val="both"/>
        <w:rPr>
          <w:rFonts w:ascii="Arial" w:eastAsia="Calibri" w:hAnsi="Arial" w:cs="Arial"/>
          <w:color w:val="FF0000"/>
          <w:lang w:val="es-ES" w:eastAsia="zh-CN"/>
        </w:rPr>
      </w:pPr>
    </w:p>
    <w:p w14:paraId="6820A3FE" w14:textId="77777777" w:rsidR="000A5845" w:rsidRPr="007B577D" w:rsidRDefault="000A5845" w:rsidP="000A5845">
      <w:pPr>
        <w:widowControl w:val="0"/>
        <w:suppressAutoHyphens/>
        <w:spacing w:after="0" w:line="276" w:lineRule="auto"/>
        <w:jc w:val="both"/>
        <w:rPr>
          <w:rFonts w:ascii="Arial" w:hAnsi="Arial" w:cs="Arial"/>
          <w:kern w:val="1"/>
          <w:lang w:val="es-ES" w:eastAsia="hi-IN" w:bidi="hi-IN"/>
        </w:rPr>
      </w:pPr>
      <w:r w:rsidRPr="007B577D">
        <w:rPr>
          <w:rFonts w:ascii="Arial" w:hAnsi="Arial" w:cs="Arial"/>
          <w:kern w:val="1"/>
          <w:lang w:val="es-ES" w:eastAsia="hi-IN" w:bidi="hi-IN"/>
        </w:rPr>
        <w:t>Dintre proiectele enumerate mai sus, conform criteriilor stabilite, pe lista proiectelor de rezervă sau a celor care nu vor fi implementate vor intra:</w:t>
      </w:r>
    </w:p>
    <w:p w14:paraId="474034BE" w14:textId="77777777" w:rsidR="000A5845" w:rsidRPr="007B577D" w:rsidRDefault="000A5845" w:rsidP="000A5845">
      <w:pPr>
        <w:widowControl w:val="0"/>
        <w:numPr>
          <w:ilvl w:val="0"/>
          <w:numId w:val="97"/>
        </w:numPr>
        <w:suppressAutoHyphens/>
        <w:autoSpaceDE w:val="0"/>
        <w:spacing w:after="0" w:line="276" w:lineRule="auto"/>
        <w:jc w:val="both"/>
        <w:rPr>
          <w:rFonts w:ascii="Arial" w:eastAsia="Calibri" w:hAnsi="Arial" w:cs="Arial"/>
          <w:color w:val="000000"/>
          <w:lang w:val="es-ES" w:eastAsia="zh-CN"/>
        </w:rPr>
      </w:pPr>
      <w:r w:rsidRPr="007B577D">
        <w:rPr>
          <w:rFonts w:ascii="Arial" w:eastAsia="Calibri" w:hAnsi="Arial" w:cs="Arial"/>
          <w:color w:val="000000"/>
          <w:lang w:val="es-ES" w:eastAsia="zh-CN"/>
        </w:rPr>
        <w:t>IV.4 = campanii promoţionale pentru utilizarea bicicletei – scor AMC = 4,29.</w:t>
      </w:r>
    </w:p>
    <w:p w14:paraId="05344554" w14:textId="77777777" w:rsidR="000A5845" w:rsidRPr="007B577D" w:rsidRDefault="007B577D" w:rsidP="000A5845">
      <w:pPr>
        <w:widowControl w:val="0"/>
        <w:numPr>
          <w:ilvl w:val="0"/>
          <w:numId w:val="97"/>
        </w:numPr>
        <w:suppressAutoHyphens/>
        <w:autoSpaceDE w:val="0"/>
        <w:spacing w:after="0" w:line="276" w:lineRule="auto"/>
        <w:jc w:val="both"/>
        <w:rPr>
          <w:rFonts w:ascii="Arial" w:eastAsia="Calibri" w:hAnsi="Arial" w:cs="Arial"/>
          <w:color w:val="000000"/>
          <w:lang w:val="es-ES" w:eastAsia="zh-CN"/>
        </w:rPr>
      </w:pPr>
      <w:r w:rsidRPr="007B577D">
        <w:rPr>
          <w:rFonts w:ascii="Arial" w:eastAsia="Calibri" w:hAnsi="Arial" w:cs="Arial"/>
          <w:color w:val="000000"/>
          <w:lang w:val="es-ES" w:eastAsia="zh-CN"/>
        </w:rPr>
        <w:t>IV.9 = achiziţia de staţii de încărcare pentru autovehiculele electrice şi amplasarea acestora în principalele zone ale oraşului – scor AMC = 5,03</w:t>
      </w:r>
      <w:r w:rsidR="000A5845" w:rsidRPr="007B577D">
        <w:rPr>
          <w:rFonts w:ascii="Arial" w:eastAsia="Calibri" w:hAnsi="Arial" w:cs="Arial"/>
          <w:color w:val="000000"/>
          <w:lang w:val="es-ES" w:eastAsia="zh-CN"/>
        </w:rPr>
        <w:t>.</w:t>
      </w:r>
    </w:p>
    <w:p w14:paraId="415454FF" w14:textId="77777777" w:rsidR="000A5845" w:rsidRPr="000A5845" w:rsidRDefault="000A5845" w:rsidP="000A5845">
      <w:pPr>
        <w:suppressAutoHyphens/>
        <w:autoSpaceDE w:val="0"/>
        <w:spacing w:after="0" w:line="360" w:lineRule="auto"/>
        <w:jc w:val="both"/>
        <w:rPr>
          <w:rFonts w:ascii="Arial" w:eastAsia="Arial" w:hAnsi="Arial" w:cs="Arial"/>
          <w:color w:val="000000"/>
          <w:sz w:val="24"/>
          <w:szCs w:val="24"/>
          <w:lang w:val="es-ES" w:eastAsia="zh-CN"/>
        </w:rPr>
      </w:pPr>
    </w:p>
    <w:p w14:paraId="5B4D9E4A" w14:textId="77777777" w:rsidR="000A5845" w:rsidRPr="000A5845" w:rsidRDefault="000A5845" w:rsidP="000A5845">
      <w:pPr>
        <w:widowControl w:val="0"/>
        <w:suppressAutoHyphens/>
        <w:spacing w:after="0" w:line="276" w:lineRule="auto"/>
        <w:jc w:val="both"/>
        <w:rPr>
          <w:rFonts w:ascii="Arial" w:hAnsi="Arial" w:cs="Arial"/>
          <w:kern w:val="1"/>
          <w:lang w:val="es-ES" w:eastAsia="hi-IN" w:bidi="hi-IN"/>
        </w:rPr>
      </w:pPr>
      <w:r w:rsidRPr="000A5845">
        <w:rPr>
          <w:rFonts w:ascii="Arial" w:hAnsi="Arial" w:cs="Arial"/>
          <w:b/>
          <w:kern w:val="1"/>
          <w:lang w:val="es-ES" w:eastAsia="hi-IN" w:bidi="hi-IN"/>
        </w:rPr>
        <w:t>Siguranță rutieră</w:t>
      </w:r>
    </w:p>
    <w:p w14:paraId="4BBE6D0D"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Siguranţa rutieră este definită în legislaţie ca lipsa primejdiilor pe arterele terestre de circulaţie; siguranţa rutieră este sentimentul de linişte şi încredere pe care îl au participanţii la trafic, fie ei şoferi, călători sau simpli trecători, de a se şti la adăpost de pericole. Pentru a avea însă acest sentiment, fiecare trebuie să contribuie la împlinirea securităţii; fiecare trebuie să acţioneze atât în direcţia creşterii siguranţei proprii, cât şi la faptul că acţiunile proprii nu trebuie să pună în pericol siguranţa celorlalţi. </w:t>
      </w:r>
    </w:p>
    <w:p w14:paraId="636A6257"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034B7C8D"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Orice eveniment rutier neplăcut implică cheltuieli, nu numai pentru cei care le provoacă şi le produc, dar şi pentru toţi ceilalţi care sunt implicaţi direct în eveniment şi chiar la nivelul autorităţilor locale sau a firmelor care au în administrare mobilierul stradal. De asemenea operatorii de transport public local suferă pagube materiale pe care trebuie să le acopere (la vehicule, la stâlpii de reţea de contact, la refugii, la infrastructură, la indicatoarele de staţii, etc.). Uneori evenimentele rutiere curmă vieţi omeneşti sau afectează sănătatea oamenilor. Aceste evenimente au şi alte consecinţe neplăcute în plan social: concedii medicale, invalidităţi, depresii, scăderea capacităţii de muncă. Iată deci, tot atâtea motive pentru a face totul pentru asigurarea securităţii rutiere. </w:t>
      </w:r>
    </w:p>
    <w:p w14:paraId="01F5D1A4"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4E783EB2"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În ultimii ani, UE s-a implicat în îmbunătăţirea siguranţei rutiere (mai ales) prin aşa numita siguranţă pasivă: amortizoare, centuri de siguranţă, frâne, iluminat. Obiectivul CE stipulat in "Road Safety Policy 2021-20</w:t>
      </w:r>
      <w:r w:rsidR="006011EB">
        <w:rPr>
          <w:rFonts w:ascii="Arial" w:eastAsia="Calibri" w:hAnsi="Arial" w:cs="Arial"/>
          <w:color w:val="000000"/>
          <w:lang w:val="es-ES" w:eastAsia="zh-CN"/>
        </w:rPr>
        <w:t>30” este reducerea cu 50% a numărului de morţi şi răniţi grav în accidente rutiere până în 2030, iar pe termen lung, până în 2050 – zero decedaţi şi răniţi grav până î</w:t>
      </w:r>
      <w:r w:rsidRPr="000A5845">
        <w:rPr>
          <w:rFonts w:ascii="Arial" w:eastAsia="Calibri" w:hAnsi="Arial" w:cs="Arial"/>
          <w:color w:val="000000"/>
          <w:lang w:val="es-ES" w:eastAsia="zh-CN"/>
        </w:rPr>
        <w:t>n 2050.</w:t>
      </w:r>
    </w:p>
    <w:p w14:paraId="760A1364"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7B96C8A1"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Fiecare cetăţean UE ar trebui să poată locui şi să se poată deplasa în zone urbane în condiţii de siguranţă şi de securitate. Atunci când merg pe jos, cu bicicleta sau când conduc o maşină sau un camion, oamenii ar trebui să o poată face cu un risc minim. Acest lucru necesită o bună planificare a infrastructurii, în special la intersecţii. Cetăţenii devin din ce în ce mai conştienţi de faptul că trebuie să acţioneze în mod responsabil pentru a-şi proteja propria viaţă şi a proteja vieţile celorlalţi. </w:t>
      </w:r>
    </w:p>
    <w:p w14:paraId="629BB881" w14:textId="77777777" w:rsidR="000A5845" w:rsidRPr="000A5845" w:rsidRDefault="000A5845" w:rsidP="000A5845">
      <w:pPr>
        <w:widowControl w:val="0"/>
        <w:suppressAutoHyphens/>
        <w:spacing w:after="0" w:line="276" w:lineRule="auto"/>
        <w:jc w:val="both"/>
        <w:rPr>
          <w:rFonts w:ascii="Arial" w:hAnsi="Arial" w:cs="Arial"/>
          <w:kern w:val="1"/>
          <w:lang w:val="es-ES" w:eastAsia="hi-IN" w:bidi="hi-IN"/>
        </w:rPr>
      </w:pPr>
    </w:p>
    <w:p w14:paraId="0B021BFC"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Modernizarea şi dezvoltarea infrastructurii rutiere</w:t>
      </w:r>
      <w:r w:rsidRPr="000A5845">
        <w:rPr>
          <w:rFonts w:ascii="Arial" w:eastAsia="Calibri" w:hAnsi="Arial" w:cs="Arial"/>
          <w:b/>
          <w:color w:val="000000"/>
          <w:lang w:val="es-ES" w:eastAsia="zh-CN"/>
        </w:rPr>
        <w:t xml:space="preserve"> </w:t>
      </w:r>
      <w:r w:rsidRPr="000A5845">
        <w:rPr>
          <w:rFonts w:ascii="Arial" w:eastAsia="Calibri" w:hAnsi="Arial" w:cs="Arial"/>
          <w:color w:val="000000"/>
          <w:lang w:val="es-ES" w:eastAsia="zh-CN"/>
        </w:rPr>
        <w:t xml:space="preserve">(marcaje, semnalizări, căi de rulare tramvaie, reţele de contact), respectiv implementarea unor sisteme ITS (Sisteme Inteligente pentru Transport) sunt măsuri obligatorii în acest stadiu al dezvoltării transportului rutier, în vederea reducerii riscului de producere a accidentelor. </w:t>
      </w:r>
    </w:p>
    <w:p w14:paraId="6AF85455"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r w:rsidRPr="000A5845">
        <w:rPr>
          <w:rFonts w:ascii="Arial" w:eastAsia="Calibri" w:hAnsi="Arial" w:cs="Arial"/>
          <w:color w:val="000000"/>
          <w:lang w:val="es-ES" w:eastAsia="zh-CN"/>
        </w:rPr>
        <w:t xml:space="preserve">Uneori evenimente nedorite au loc datorită stării tehnice necorespunzătoare a infrastructurii (gropi în asfalt, marcaje şterse, semafoare defecte). Responsabilii tehnici ai administratiilor </w:t>
      </w:r>
      <w:r w:rsidRPr="000A5845">
        <w:rPr>
          <w:rFonts w:ascii="Arial" w:eastAsia="Calibri" w:hAnsi="Arial" w:cs="Arial"/>
          <w:color w:val="000000"/>
          <w:lang w:val="es-ES" w:eastAsia="zh-CN"/>
        </w:rPr>
        <w:lastRenderedPageBreak/>
        <w:t xml:space="preserve">publice locale, trebuie să efectueze toate demersurile necesare pentru convingerea factorilor de decizie asupra necesităţii modernizării infrastructurii rutiere, a înzestrării stradale în general. </w:t>
      </w:r>
    </w:p>
    <w:p w14:paraId="53C82D26" w14:textId="77777777" w:rsidR="000A5845" w:rsidRPr="000A5845" w:rsidRDefault="000A5845" w:rsidP="000A5845">
      <w:pPr>
        <w:suppressAutoHyphens/>
        <w:autoSpaceDE w:val="0"/>
        <w:spacing w:after="0" w:line="276" w:lineRule="auto"/>
        <w:jc w:val="both"/>
        <w:rPr>
          <w:rFonts w:ascii="Arial" w:eastAsia="Calibri" w:hAnsi="Arial" w:cs="Arial"/>
          <w:color w:val="000000"/>
          <w:lang w:val="es-ES" w:eastAsia="zh-CN"/>
        </w:rPr>
      </w:pPr>
    </w:p>
    <w:p w14:paraId="4178F6C7" w14:textId="77777777" w:rsidR="000A5845" w:rsidRPr="000A5845" w:rsidRDefault="000A5845" w:rsidP="000A5845">
      <w:pPr>
        <w:widowControl w:val="0"/>
        <w:suppressAutoHyphens/>
        <w:spacing w:after="0" w:line="276" w:lineRule="auto"/>
        <w:jc w:val="both"/>
        <w:rPr>
          <w:rFonts w:ascii="Arial" w:hAnsi="Arial" w:cs="Arial"/>
          <w:kern w:val="1"/>
          <w:lang w:val="es-ES" w:eastAsia="hi-IN" w:bidi="hi-IN"/>
        </w:rPr>
      </w:pPr>
      <w:r w:rsidRPr="000A5845">
        <w:rPr>
          <w:rFonts w:ascii="Arial" w:hAnsi="Arial" w:cs="Arial"/>
          <w:kern w:val="1"/>
          <w:lang w:val="es-ES" w:eastAsia="hi-IN" w:bidi="hi-IN"/>
        </w:rPr>
        <w:t>Una din cauzele majore ale producerii evenimentelor rutiere nedorite este traficul intens, dar şi lipsa de informare prealabilă a conducătorilor de vehicule despre situaţia de-a lungul traseului pe care îl vor avea de parcurs. Aglomeraţiile de pe străzi crează blocaje, şoferii se enervează, se grăbesc, scade atenţia, iar rezultatul este creşterea semnificativă a numărului de accidente.</w:t>
      </w:r>
    </w:p>
    <w:p w14:paraId="58A00051" w14:textId="77777777" w:rsidR="000A5845" w:rsidRPr="000A5845" w:rsidRDefault="000A5845" w:rsidP="000A5845">
      <w:pPr>
        <w:widowControl w:val="0"/>
        <w:suppressAutoHyphens/>
        <w:spacing w:after="0" w:line="276" w:lineRule="auto"/>
        <w:jc w:val="both"/>
        <w:rPr>
          <w:rFonts w:ascii="Arial" w:hAnsi="Arial" w:cs="Arial"/>
          <w:kern w:val="1"/>
          <w:lang w:val="es-ES" w:eastAsia="hi-IN" w:bidi="hi-IN"/>
        </w:rPr>
      </w:pPr>
    </w:p>
    <w:p w14:paraId="0D38FCF8" w14:textId="77777777" w:rsidR="000A5845" w:rsidRPr="000A5845" w:rsidRDefault="000A5845" w:rsidP="000A5845">
      <w:pPr>
        <w:widowControl w:val="0"/>
        <w:suppressAutoHyphens/>
        <w:spacing w:after="0" w:line="276" w:lineRule="auto"/>
        <w:jc w:val="both"/>
        <w:rPr>
          <w:rFonts w:ascii="Arial" w:hAnsi="Arial" w:cs="Arial"/>
          <w:kern w:val="1"/>
          <w:lang w:val="ro-RO" w:eastAsia="hi-IN" w:bidi="hi-IN"/>
        </w:rPr>
      </w:pPr>
      <w:r w:rsidRPr="000A5845">
        <w:rPr>
          <w:rFonts w:ascii="Arial" w:hAnsi="Arial" w:cs="Arial"/>
          <w:kern w:val="1"/>
          <w:lang w:val="ro-RO" w:eastAsia="hi-IN" w:bidi="hi-IN"/>
        </w:rPr>
        <w:t>Proiectele/măsurile cu impact asupra siguranţei, repartizate pe scenarii sunt prezentate în continuare:</w:t>
      </w:r>
    </w:p>
    <w:p w14:paraId="5E4D6BE4" w14:textId="77777777" w:rsidR="000A5845" w:rsidRPr="000A5845" w:rsidRDefault="000A5845" w:rsidP="000A5845">
      <w:pPr>
        <w:widowControl w:val="0"/>
        <w:numPr>
          <w:ilvl w:val="0"/>
          <w:numId w:val="71"/>
        </w:numPr>
        <w:suppressAutoHyphens/>
        <w:spacing w:after="0" w:line="276" w:lineRule="auto"/>
        <w:jc w:val="both"/>
        <w:rPr>
          <w:rFonts w:ascii="Arial" w:eastAsia="Times New Roman" w:hAnsi="Arial" w:cs="Arial"/>
          <w:lang w:val="x-none" w:eastAsia="zh-CN"/>
        </w:rPr>
      </w:pPr>
      <w:r w:rsidRPr="000A5845">
        <w:rPr>
          <w:rFonts w:ascii="Arial" w:eastAsia="Times New Roman" w:hAnsi="Arial" w:cs="Arial"/>
          <w:lang w:val="x-none" w:eastAsia="zh-CN"/>
        </w:rPr>
        <w:t xml:space="preserve">Scenariul </w:t>
      </w:r>
      <w:r w:rsidRPr="000A5845">
        <w:rPr>
          <w:rFonts w:ascii="Arial" w:eastAsia="Times New Roman" w:hAnsi="Arial" w:cs="Arial"/>
          <w:lang w:eastAsia="zh-CN"/>
        </w:rPr>
        <w:t>2</w:t>
      </w:r>
      <w:r w:rsidRPr="000A5845">
        <w:rPr>
          <w:rFonts w:ascii="Arial" w:eastAsia="Times New Roman" w:hAnsi="Arial" w:cs="Arial"/>
          <w:lang w:val="x-none" w:eastAsia="zh-CN"/>
        </w:rPr>
        <w:t>:</w:t>
      </w:r>
    </w:p>
    <w:p w14:paraId="5B30F3B3" w14:textId="77777777" w:rsidR="000A5845" w:rsidRPr="000A5845" w:rsidRDefault="000A5845" w:rsidP="000A5845">
      <w:pPr>
        <w:widowControl w:val="0"/>
        <w:numPr>
          <w:ilvl w:val="0"/>
          <w:numId w:val="98"/>
        </w:numPr>
        <w:suppressAutoHyphens/>
        <w:spacing w:after="0" w:line="276" w:lineRule="auto"/>
        <w:jc w:val="both"/>
        <w:rPr>
          <w:rFonts w:ascii="Arial" w:eastAsia="Arial" w:hAnsi="Arial" w:cs="Arial"/>
          <w:lang w:val="x-none" w:eastAsia="zh-CN"/>
        </w:rPr>
      </w:pPr>
      <w:r w:rsidRPr="000A5845">
        <w:rPr>
          <w:rFonts w:ascii="Arial" w:eastAsia="Arial" w:hAnsi="Arial" w:cs="Arial"/>
          <w:lang w:val="x-none" w:eastAsia="zh-CN"/>
        </w:rPr>
        <w:t>VIII.1 = eliminarea punctelor negre – pietoni – scor AMC = 4,</w:t>
      </w:r>
      <w:r w:rsidRPr="000A5845">
        <w:rPr>
          <w:rFonts w:ascii="Arial" w:eastAsia="Arial" w:hAnsi="Arial" w:cs="Arial"/>
          <w:lang w:eastAsia="zh-CN"/>
        </w:rPr>
        <w:t>18</w:t>
      </w:r>
      <w:r w:rsidRPr="000A5845">
        <w:rPr>
          <w:rFonts w:ascii="Arial" w:eastAsia="Arial" w:hAnsi="Arial" w:cs="Arial"/>
          <w:lang w:val="x-none" w:eastAsia="zh-CN"/>
        </w:rPr>
        <w:t>.</w:t>
      </w:r>
    </w:p>
    <w:p w14:paraId="00020D1F" w14:textId="77777777" w:rsidR="000A5845" w:rsidRPr="000A5845" w:rsidRDefault="000A5845" w:rsidP="000A5845">
      <w:pPr>
        <w:widowControl w:val="0"/>
        <w:numPr>
          <w:ilvl w:val="0"/>
          <w:numId w:val="98"/>
        </w:numPr>
        <w:suppressAutoHyphens/>
        <w:spacing w:after="0" w:line="276" w:lineRule="auto"/>
        <w:jc w:val="both"/>
        <w:rPr>
          <w:rFonts w:ascii="Arial" w:eastAsia="Arial" w:hAnsi="Arial" w:cs="Arial"/>
          <w:lang w:val="x-none" w:eastAsia="zh-CN"/>
        </w:rPr>
      </w:pPr>
      <w:r w:rsidRPr="000A5845">
        <w:rPr>
          <w:rFonts w:ascii="Arial" w:eastAsia="Arial" w:hAnsi="Arial" w:cs="Arial"/>
          <w:lang w:val="x-none" w:eastAsia="zh-CN"/>
        </w:rPr>
        <w:t>VIII.2 = eliminarea punctelor negre – vehicule – scor AMC = 4,</w:t>
      </w:r>
      <w:r w:rsidRPr="000A5845">
        <w:rPr>
          <w:rFonts w:ascii="Arial" w:eastAsia="Arial" w:hAnsi="Arial" w:cs="Arial"/>
          <w:lang w:eastAsia="zh-CN"/>
        </w:rPr>
        <w:t>18</w:t>
      </w:r>
      <w:r w:rsidRPr="000A5845">
        <w:rPr>
          <w:rFonts w:ascii="Arial" w:eastAsia="Arial" w:hAnsi="Arial" w:cs="Arial"/>
          <w:lang w:val="x-none" w:eastAsia="zh-CN"/>
        </w:rPr>
        <w:t>.</w:t>
      </w:r>
    </w:p>
    <w:p w14:paraId="69BE11BC" w14:textId="77777777" w:rsidR="000A5845" w:rsidRPr="000A5845" w:rsidRDefault="000A5845" w:rsidP="000A5845">
      <w:pPr>
        <w:widowControl w:val="0"/>
        <w:numPr>
          <w:ilvl w:val="0"/>
          <w:numId w:val="98"/>
        </w:numPr>
        <w:suppressAutoHyphens/>
        <w:spacing w:after="0" w:line="276" w:lineRule="auto"/>
        <w:jc w:val="both"/>
        <w:rPr>
          <w:rFonts w:ascii="Arial" w:eastAsia="Times New Roman" w:hAnsi="Arial" w:cs="Arial"/>
          <w:lang w:val="x-none" w:eastAsia="zh-CN"/>
        </w:rPr>
      </w:pPr>
      <w:r w:rsidRPr="000A5845">
        <w:rPr>
          <w:rFonts w:ascii="Arial" w:eastAsia="Times New Roman" w:hAnsi="Arial" w:cs="Arial"/>
          <w:lang w:val="x-none" w:eastAsia="zh-CN"/>
        </w:rPr>
        <w:t>VIII.</w:t>
      </w:r>
      <w:r w:rsidRPr="000A5845">
        <w:rPr>
          <w:rFonts w:ascii="Arial" w:eastAsia="Times New Roman" w:hAnsi="Arial" w:cs="Arial"/>
          <w:lang w:val="es-ES" w:eastAsia="zh-CN"/>
        </w:rPr>
        <w:t>3</w:t>
      </w:r>
      <w:r w:rsidRPr="000A5845">
        <w:rPr>
          <w:rFonts w:ascii="Arial" w:eastAsia="Times New Roman" w:hAnsi="Arial" w:cs="Arial"/>
          <w:lang w:val="x-none" w:eastAsia="zh-CN"/>
        </w:rPr>
        <w:t xml:space="preserve"> = reabilitarea marcajelor şi a semnalizării pentru pietoni – scor AMC = </w:t>
      </w:r>
      <w:r w:rsidRPr="000A5845">
        <w:rPr>
          <w:rFonts w:ascii="Arial" w:eastAsia="Times New Roman" w:hAnsi="Arial" w:cs="Arial"/>
          <w:lang w:val="es-ES" w:eastAsia="zh-CN"/>
        </w:rPr>
        <w:t>4,73</w:t>
      </w:r>
      <w:r w:rsidRPr="000A5845">
        <w:rPr>
          <w:rFonts w:ascii="Arial" w:eastAsia="Times New Roman" w:hAnsi="Arial" w:cs="Arial"/>
          <w:lang w:val="x-none" w:eastAsia="zh-CN"/>
        </w:rPr>
        <w:t>.</w:t>
      </w:r>
    </w:p>
    <w:p w14:paraId="3BBB5156" w14:textId="77777777" w:rsidR="000A5845" w:rsidRPr="000A5845" w:rsidRDefault="000A5845" w:rsidP="000A5845">
      <w:pPr>
        <w:widowControl w:val="0"/>
        <w:numPr>
          <w:ilvl w:val="0"/>
          <w:numId w:val="98"/>
        </w:numPr>
        <w:suppressAutoHyphens/>
        <w:spacing w:after="0" w:line="276" w:lineRule="auto"/>
        <w:jc w:val="both"/>
        <w:rPr>
          <w:rFonts w:ascii="Arial" w:eastAsia="Times New Roman" w:hAnsi="Arial" w:cs="Arial"/>
          <w:lang w:val="x-none" w:eastAsia="zh-CN"/>
        </w:rPr>
      </w:pPr>
      <w:r w:rsidRPr="000A5845">
        <w:rPr>
          <w:rFonts w:ascii="Arial" w:eastAsia="Times New Roman" w:hAnsi="Arial" w:cs="Arial"/>
          <w:lang w:val="x-none" w:eastAsia="zh-CN"/>
        </w:rPr>
        <w:t>VIII.</w:t>
      </w:r>
      <w:r w:rsidRPr="000A5845">
        <w:rPr>
          <w:rFonts w:ascii="Arial" w:eastAsia="Times New Roman" w:hAnsi="Arial" w:cs="Arial"/>
          <w:lang w:val="es-ES" w:eastAsia="zh-CN"/>
        </w:rPr>
        <w:t>4</w:t>
      </w:r>
      <w:r w:rsidRPr="000A5845">
        <w:rPr>
          <w:rFonts w:ascii="Arial" w:eastAsia="Times New Roman" w:hAnsi="Arial" w:cs="Arial"/>
          <w:lang w:val="x-none" w:eastAsia="zh-CN"/>
        </w:rPr>
        <w:t xml:space="preserve"> = amplasarea marcajelor tactile pentru persoanele cu dizabilităţi de vedere la trecerile pentru pietoni – scor AMC = </w:t>
      </w:r>
      <w:r w:rsidRPr="000A5845">
        <w:rPr>
          <w:rFonts w:ascii="Arial" w:eastAsia="Times New Roman" w:hAnsi="Arial" w:cs="Arial"/>
          <w:lang w:val="es-ES" w:eastAsia="zh-CN"/>
        </w:rPr>
        <w:t>4,45</w:t>
      </w:r>
      <w:r w:rsidRPr="000A5845">
        <w:rPr>
          <w:rFonts w:ascii="Arial" w:eastAsia="Times New Roman" w:hAnsi="Arial" w:cs="Arial"/>
          <w:lang w:val="x-none" w:eastAsia="zh-CN"/>
        </w:rPr>
        <w:t>.</w:t>
      </w:r>
    </w:p>
    <w:p w14:paraId="1C2C1122" w14:textId="77777777" w:rsidR="000A5845" w:rsidRPr="000A5845" w:rsidRDefault="000A5845" w:rsidP="000A5845">
      <w:pPr>
        <w:widowControl w:val="0"/>
        <w:numPr>
          <w:ilvl w:val="0"/>
          <w:numId w:val="98"/>
        </w:numPr>
        <w:suppressAutoHyphens/>
        <w:spacing w:after="0" w:line="276" w:lineRule="auto"/>
        <w:jc w:val="both"/>
        <w:rPr>
          <w:rFonts w:ascii="Arial" w:eastAsia="Times New Roman" w:hAnsi="Arial" w:cs="Arial"/>
          <w:lang w:val="x-none" w:eastAsia="zh-CN"/>
        </w:rPr>
      </w:pPr>
      <w:r w:rsidRPr="000A5845">
        <w:rPr>
          <w:rFonts w:ascii="Arial" w:eastAsia="Times New Roman" w:hAnsi="Arial" w:cs="Arial"/>
          <w:lang w:val="x-none" w:eastAsia="zh-CN"/>
        </w:rPr>
        <w:t>VIII.</w:t>
      </w:r>
      <w:r w:rsidRPr="000A5845">
        <w:rPr>
          <w:rFonts w:ascii="Arial" w:eastAsia="Times New Roman" w:hAnsi="Arial" w:cs="Arial"/>
          <w:lang w:eastAsia="zh-CN"/>
        </w:rPr>
        <w:t>5</w:t>
      </w:r>
      <w:r w:rsidRPr="000A5845">
        <w:rPr>
          <w:rFonts w:ascii="Arial" w:eastAsia="Times New Roman" w:hAnsi="Arial" w:cs="Arial"/>
          <w:lang w:val="x-none" w:eastAsia="zh-CN"/>
        </w:rPr>
        <w:t xml:space="preserve"> = amp</w:t>
      </w:r>
      <w:r w:rsidR="006011EB">
        <w:rPr>
          <w:rFonts w:ascii="Arial" w:eastAsia="Times New Roman" w:hAnsi="Arial" w:cs="Arial"/>
          <w:lang w:val="x-none" w:eastAsia="zh-CN"/>
        </w:rPr>
        <w:t>lasarea de indicatoare rutiere ş</w:t>
      </w:r>
      <w:r w:rsidRPr="000A5845">
        <w:rPr>
          <w:rFonts w:ascii="Arial" w:eastAsia="Times New Roman" w:hAnsi="Arial" w:cs="Arial"/>
          <w:lang w:val="x-none" w:eastAsia="zh-CN"/>
        </w:rPr>
        <w:t>i</w:t>
      </w:r>
      <w:r w:rsidR="006011EB">
        <w:rPr>
          <w:rFonts w:ascii="Arial" w:eastAsia="Times New Roman" w:hAnsi="Arial" w:cs="Arial"/>
          <w:lang w:val="x-none" w:eastAsia="zh-CN"/>
        </w:rPr>
        <w:t xml:space="preserve"> realizarea de marcaje rutiere î</w:t>
      </w:r>
      <w:r w:rsidRPr="000A5845">
        <w:rPr>
          <w:rFonts w:ascii="Arial" w:eastAsia="Times New Roman" w:hAnsi="Arial" w:cs="Arial"/>
          <w:lang w:val="x-none" w:eastAsia="zh-CN"/>
        </w:rPr>
        <w:t xml:space="preserve">n zonele din care acestea lipsesc – scor AMC = </w:t>
      </w:r>
      <w:r w:rsidRPr="000A5845">
        <w:rPr>
          <w:rFonts w:ascii="Arial" w:eastAsia="Times New Roman" w:hAnsi="Arial" w:cs="Arial"/>
          <w:lang w:eastAsia="zh-CN"/>
        </w:rPr>
        <w:t>5,15</w:t>
      </w:r>
      <w:r w:rsidRPr="000A5845">
        <w:rPr>
          <w:rFonts w:ascii="Arial" w:eastAsia="Times New Roman" w:hAnsi="Arial" w:cs="Arial"/>
          <w:lang w:val="x-none" w:eastAsia="zh-CN"/>
        </w:rPr>
        <w:t>.</w:t>
      </w:r>
    </w:p>
    <w:p w14:paraId="619A045D" w14:textId="77777777" w:rsidR="000A5845" w:rsidRPr="000A5845" w:rsidRDefault="000A5845" w:rsidP="000A5845">
      <w:pPr>
        <w:widowControl w:val="0"/>
        <w:numPr>
          <w:ilvl w:val="0"/>
          <w:numId w:val="98"/>
        </w:numPr>
        <w:suppressAutoHyphens/>
        <w:spacing w:after="0" w:line="276" w:lineRule="auto"/>
        <w:jc w:val="both"/>
        <w:rPr>
          <w:rFonts w:ascii="Arial" w:eastAsia="Arial" w:hAnsi="Arial" w:cs="Arial"/>
          <w:lang w:val="x-none" w:eastAsia="zh-CN"/>
        </w:rPr>
      </w:pPr>
      <w:r w:rsidRPr="000A5845">
        <w:rPr>
          <w:rFonts w:ascii="Arial" w:eastAsia="Arial" w:hAnsi="Arial" w:cs="Arial"/>
          <w:lang w:val="x-none" w:eastAsia="zh-CN"/>
        </w:rPr>
        <w:t>VIII.</w:t>
      </w:r>
      <w:r w:rsidRPr="000A5845">
        <w:rPr>
          <w:rFonts w:ascii="Arial" w:eastAsia="Arial" w:hAnsi="Arial" w:cs="Arial"/>
          <w:lang w:eastAsia="zh-CN"/>
        </w:rPr>
        <w:t>7</w:t>
      </w:r>
      <w:r w:rsidRPr="000A5845">
        <w:rPr>
          <w:rFonts w:ascii="Arial" w:eastAsia="Arial" w:hAnsi="Arial" w:cs="Arial"/>
          <w:lang w:val="x-none" w:eastAsia="zh-CN"/>
        </w:rPr>
        <w:t xml:space="preserve"> = </w:t>
      </w:r>
      <w:r w:rsidR="006011EB">
        <w:rPr>
          <w:rFonts w:ascii="Arial" w:eastAsia="Arial" w:hAnsi="Arial" w:cs="Arial"/>
          <w:lang w:eastAsia="zh-CN"/>
        </w:rPr>
        <w:t>mobilitate fără</w:t>
      </w:r>
      <w:r w:rsidRPr="000A5845">
        <w:rPr>
          <w:rFonts w:ascii="Arial" w:eastAsia="Arial" w:hAnsi="Arial" w:cs="Arial"/>
          <w:lang w:eastAsia="zh-CN"/>
        </w:rPr>
        <w:t xml:space="preserve"> bariere</w:t>
      </w:r>
      <w:r w:rsidRPr="000A5845">
        <w:rPr>
          <w:rFonts w:ascii="Arial" w:eastAsia="Arial" w:hAnsi="Arial" w:cs="Arial"/>
          <w:lang w:val="x-none" w:eastAsia="zh-CN"/>
        </w:rPr>
        <w:t xml:space="preserve"> – scor AMC = 4,</w:t>
      </w:r>
      <w:r w:rsidRPr="000A5845">
        <w:rPr>
          <w:rFonts w:ascii="Arial" w:eastAsia="Arial" w:hAnsi="Arial" w:cs="Arial"/>
          <w:lang w:eastAsia="zh-CN"/>
        </w:rPr>
        <w:t>92</w:t>
      </w:r>
      <w:r w:rsidRPr="000A5845">
        <w:rPr>
          <w:rFonts w:ascii="Arial" w:eastAsia="Arial" w:hAnsi="Arial" w:cs="Arial"/>
          <w:lang w:val="x-none" w:eastAsia="zh-CN"/>
        </w:rPr>
        <w:t>.</w:t>
      </w:r>
    </w:p>
    <w:p w14:paraId="6CA65AC5" w14:textId="77777777" w:rsidR="000A5845" w:rsidRPr="000A5845" w:rsidRDefault="000A5845" w:rsidP="000A5845">
      <w:pPr>
        <w:widowControl w:val="0"/>
        <w:suppressAutoHyphens/>
        <w:spacing w:after="0" w:line="360" w:lineRule="auto"/>
        <w:jc w:val="both"/>
        <w:rPr>
          <w:rFonts w:ascii="Arial" w:hAnsi="Arial" w:cs="Arial"/>
          <w:color w:val="FF0000"/>
          <w:kern w:val="1"/>
          <w:sz w:val="24"/>
          <w:szCs w:val="24"/>
          <w:lang w:val="ro-RO" w:eastAsia="hi-IN" w:bidi="hi-IN"/>
        </w:rPr>
      </w:pPr>
    </w:p>
    <w:p w14:paraId="44F5227D" w14:textId="77777777" w:rsidR="000A5845" w:rsidRPr="007B577D" w:rsidRDefault="000A5845" w:rsidP="000A5845">
      <w:pPr>
        <w:widowControl w:val="0"/>
        <w:suppressAutoHyphens/>
        <w:spacing w:after="0" w:line="276" w:lineRule="auto"/>
        <w:jc w:val="both"/>
        <w:rPr>
          <w:rFonts w:ascii="Arial" w:hAnsi="Arial" w:cs="Arial"/>
          <w:kern w:val="1"/>
          <w:lang w:val="es-ES" w:eastAsia="hi-IN" w:bidi="hi-IN"/>
        </w:rPr>
      </w:pPr>
      <w:r w:rsidRPr="007B577D">
        <w:rPr>
          <w:rFonts w:ascii="Arial" w:hAnsi="Arial" w:cs="Arial"/>
          <w:kern w:val="1"/>
          <w:lang w:val="es-ES" w:eastAsia="hi-IN" w:bidi="hi-IN"/>
        </w:rPr>
        <w:t>Dintre proiectele enumerate mai sus, conform criteriilor stabilite, pe lista proiectelor de rezervă sau a celor care nu vor fi implementate vor intra:</w:t>
      </w:r>
    </w:p>
    <w:p w14:paraId="0B38F70C" w14:textId="77777777" w:rsidR="000A5845" w:rsidRPr="007B577D" w:rsidRDefault="000A5845" w:rsidP="000A5845">
      <w:pPr>
        <w:widowControl w:val="0"/>
        <w:numPr>
          <w:ilvl w:val="0"/>
          <w:numId w:val="98"/>
        </w:numPr>
        <w:suppressAutoHyphens/>
        <w:spacing w:after="0" w:line="276" w:lineRule="auto"/>
        <w:jc w:val="both"/>
        <w:rPr>
          <w:rFonts w:ascii="Arial" w:eastAsia="Arial" w:hAnsi="Arial" w:cs="Arial"/>
          <w:lang w:val="x-none" w:eastAsia="zh-CN"/>
        </w:rPr>
      </w:pPr>
      <w:r w:rsidRPr="007B577D">
        <w:rPr>
          <w:rFonts w:ascii="Arial" w:eastAsia="Arial" w:hAnsi="Arial" w:cs="Arial"/>
          <w:lang w:val="x-none" w:eastAsia="zh-CN"/>
        </w:rPr>
        <w:t>VIII.1 = eliminarea punctelor negre – pietoni – scor AMC = 4,</w:t>
      </w:r>
      <w:r w:rsidRPr="007B577D">
        <w:rPr>
          <w:rFonts w:ascii="Arial" w:eastAsia="Arial" w:hAnsi="Arial" w:cs="Arial"/>
          <w:lang w:eastAsia="zh-CN"/>
        </w:rPr>
        <w:t>18</w:t>
      </w:r>
      <w:r w:rsidRPr="007B577D">
        <w:rPr>
          <w:rFonts w:ascii="Arial" w:eastAsia="Arial" w:hAnsi="Arial" w:cs="Arial"/>
          <w:lang w:val="x-none" w:eastAsia="zh-CN"/>
        </w:rPr>
        <w:t>.</w:t>
      </w:r>
    </w:p>
    <w:p w14:paraId="236A2E79" w14:textId="77777777" w:rsidR="000A5845" w:rsidRPr="007B577D" w:rsidRDefault="000A5845" w:rsidP="000A5845">
      <w:pPr>
        <w:widowControl w:val="0"/>
        <w:numPr>
          <w:ilvl w:val="0"/>
          <w:numId w:val="98"/>
        </w:numPr>
        <w:suppressAutoHyphens/>
        <w:spacing w:after="0" w:line="276" w:lineRule="auto"/>
        <w:jc w:val="both"/>
        <w:rPr>
          <w:rFonts w:ascii="Arial" w:eastAsia="Arial" w:hAnsi="Arial" w:cs="Arial"/>
          <w:lang w:val="x-none" w:eastAsia="zh-CN"/>
        </w:rPr>
      </w:pPr>
      <w:r w:rsidRPr="007B577D">
        <w:rPr>
          <w:rFonts w:ascii="Arial" w:eastAsia="Arial" w:hAnsi="Arial" w:cs="Arial"/>
          <w:lang w:val="x-none" w:eastAsia="zh-CN"/>
        </w:rPr>
        <w:t>VIII.2 = eliminarea punctelor negre – vehicule – scor AMC = 4,</w:t>
      </w:r>
      <w:r w:rsidRPr="007B577D">
        <w:rPr>
          <w:rFonts w:ascii="Arial" w:eastAsia="Arial" w:hAnsi="Arial" w:cs="Arial"/>
          <w:lang w:eastAsia="zh-CN"/>
        </w:rPr>
        <w:t>18</w:t>
      </w:r>
      <w:r w:rsidRPr="007B577D">
        <w:rPr>
          <w:rFonts w:ascii="Arial" w:eastAsia="Arial" w:hAnsi="Arial" w:cs="Arial"/>
          <w:lang w:val="x-none" w:eastAsia="zh-CN"/>
        </w:rPr>
        <w:t>.</w:t>
      </w:r>
    </w:p>
    <w:p w14:paraId="3B85AAC1" w14:textId="77777777" w:rsidR="000A5845" w:rsidRPr="007B577D" w:rsidRDefault="000A5845" w:rsidP="000A5845">
      <w:pPr>
        <w:widowControl w:val="0"/>
        <w:numPr>
          <w:ilvl w:val="0"/>
          <w:numId w:val="98"/>
        </w:numPr>
        <w:suppressAutoHyphens/>
        <w:spacing w:after="0" w:line="276" w:lineRule="auto"/>
        <w:jc w:val="both"/>
        <w:rPr>
          <w:rFonts w:ascii="Arial" w:eastAsia="Times New Roman" w:hAnsi="Arial" w:cs="Arial"/>
          <w:lang w:val="x-none" w:eastAsia="zh-CN"/>
        </w:rPr>
      </w:pPr>
      <w:r w:rsidRPr="007B577D">
        <w:rPr>
          <w:rFonts w:ascii="Arial" w:eastAsia="Times New Roman" w:hAnsi="Arial" w:cs="Arial"/>
          <w:lang w:val="x-none" w:eastAsia="zh-CN"/>
        </w:rPr>
        <w:t>VIII.</w:t>
      </w:r>
      <w:r w:rsidRPr="007B577D">
        <w:rPr>
          <w:rFonts w:ascii="Arial" w:eastAsia="Times New Roman" w:hAnsi="Arial" w:cs="Arial"/>
          <w:lang w:val="es-ES" w:eastAsia="zh-CN"/>
        </w:rPr>
        <w:t>3</w:t>
      </w:r>
      <w:r w:rsidRPr="007B577D">
        <w:rPr>
          <w:rFonts w:ascii="Arial" w:eastAsia="Times New Roman" w:hAnsi="Arial" w:cs="Arial"/>
          <w:lang w:val="x-none" w:eastAsia="zh-CN"/>
        </w:rPr>
        <w:t xml:space="preserve"> = reabilitarea marcajelor şi a semnalizării pentru pietoni – scor AMC = </w:t>
      </w:r>
      <w:r w:rsidRPr="007B577D">
        <w:rPr>
          <w:rFonts w:ascii="Arial" w:eastAsia="Times New Roman" w:hAnsi="Arial" w:cs="Arial"/>
          <w:lang w:val="es-ES" w:eastAsia="zh-CN"/>
        </w:rPr>
        <w:t>4,73</w:t>
      </w:r>
      <w:r w:rsidRPr="007B577D">
        <w:rPr>
          <w:rFonts w:ascii="Arial" w:eastAsia="Times New Roman" w:hAnsi="Arial" w:cs="Arial"/>
          <w:lang w:val="x-none" w:eastAsia="zh-CN"/>
        </w:rPr>
        <w:t>.</w:t>
      </w:r>
    </w:p>
    <w:p w14:paraId="11F47CF1" w14:textId="77777777" w:rsidR="000A5845" w:rsidRPr="007B577D" w:rsidRDefault="000A5845" w:rsidP="000A5845">
      <w:pPr>
        <w:widowControl w:val="0"/>
        <w:numPr>
          <w:ilvl w:val="0"/>
          <w:numId w:val="98"/>
        </w:numPr>
        <w:suppressAutoHyphens/>
        <w:spacing w:after="0" w:line="276" w:lineRule="auto"/>
        <w:jc w:val="both"/>
        <w:rPr>
          <w:rFonts w:ascii="Arial" w:eastAsia="Times New Roman" w:hAnsi="Arial" w:cs="Arial"/>
          <w:lang w:val="x-none" w:eastAsia="zh-CN"/>
        </w:rPr>
      </w:pPr>
      <w:r w:rsidRPr="007B577D">
        <w:rPr>
          <w:rFonts w:ascii="Arial" w:eastAsia="Times New Roman" w:hAnsi="Arial" w:cs="Arial"/>
          <w:lang w:val="x-none" w:eastAsia="zh-CN"/>
        </w:rPr>
        <w:t>VIII.</w:t>
      </w:r>
      <w:r w:rsidRPr="007B577D">
        <w:rPr>
          <w:rFonts w:ascii="Arial" w:eastAsia="Times New Roman" w:hAnsi="Arial" w:cs="Arial"/>
          <w:lang w:val="es-ES" w:eastAsia="zh-CN"/>
        </w:rPr>
        <w:t>4</w:t>
      </w:r>
      <w:r w:rsidRPr="007B577D">
        <w:rPr>
          <w:rFonts w:ascii="Arial" w:eastAsia="Times New Roman" w:hAnsi="Arial" w:cs="Arial"/>
          <w:lang w:val="x-none" w:eastAsia="zh-CN"/>
        </w:rPr>
        <w:t xml:space="preserve"> = amplasarea marcajelor tactile pentru persoanele cu dizabilităţi de vedere la trecerile pentru pietoni – scor AMC = </w:t>
      </w:r>
      <w:r w:rsidRPr="007B577D">
        <w:rPr>
          <w:rFonts w:ascii="Arial" w:eastAsia="Times New Roman" w:hAnsi="Arial" w:cs="Arial"/>
          <w:lang w:val="es-ES" w:eastAsia="zh-CN"/>
        </w:rPr>
        <w:t>4,45</w:t>
      </w:r>
      <w:r w:rsidRPr="007B577D">
        <w:rPr>
          <w:rFonts w:ascii="Arial" w:eastAsia="Times New Roman" w:hAnsi="Arial" w:cs="Arial"/>
          <w:lang w:val="x-none" w:eastAsia="zh-CN"/>
        </w:rPr>
        <w:t>.</w:t>
      </w:r>
    </w:p>
    <w:p w14:paraId="6B69E052" w14:textId="77777777" w:rsidR="000A5845" w:rsidRPr="007B577D" w:rsidRDefault="000A5845" w:rsidP="000A5845">
      <w:pPr>
        <w:widowControl w:val="0"/>
        <w:numPr>
          <w:ilvl w:val="0"/>
          <w:numId w:val="98"/>
        </w:numPr>
        <w:suppressAutoHyphens/>
        <w:spacing w:after="0" w:line="276" w:lineRule="auto"/>
        <w:jc w:val="both"/>
        <w:rPr>
          <w:rFonts w:ascii="Arial" w:eastAsia="Times New Roman" w:hAnsi="Arial" w:cs="Arial"/>
          <w:lang w:val="x-none" w:eastAsia="zh-CN"/>
        </w:rPr>
      </w:pPr>
      <w:r w:rsidRPr="007B577D">
        <w:rPr>
          <w:rFonts w:ascii="Arial" w:eastAsia="Arial" w:hAnsi="Arial" w:cs="Arial"/>
          <w:lang w:val="x-none" w:eastAsia="zh-CN"/>
        </w:rPr>
        <w:t>VIII.</w:t>
      </w:r>
      <w:r w:rsidRPr="007B577D">
        <w:rPr>
          <w:rFonts w:ascii="Arial" w:eastAsia="Arial" w:hAnsi="Arial" w:cs="Arial"/>
          <w:lang w:eastAsia="zh-CN"/>
        </w:rPr>
        <w:t>7</w:t>
      </w:r>
      <w:r w:rsidRPr="007B577D">
        <w:rPr>
          <w:rFonts w:ascii="Arial" w:eastAsia="Arial" w:hAnsi="Arial" w:cs="Arial"/>
          <w:lang w:val="x-none" w:eastAsia="zh-CN"/>
        </w:rPr>
        <w:t xml:space="preserve"> = </w:t>
      </w:r>
      <w:r w:rsidR="006011EB" w:rsidRPr="007B577D">
        <w:rPr>
          <w:rFonts w:ascii="Arial" w:eastAsia="Arial" w:hAnsi="Arial" w:cs="Arial"/>
          <w:lang w:eastAsia="zh-CN"/>
        </w:rPr>
        <w:t>mobilitate fără</w:t>
      </w:r>
      <w:r w:rsidRPr="007B577D">
        <w:rPr>
          <w:rFonts w:ascii="Arial" w:eastAsia="Arial" w:hAnsi="Arial" w:cs="Arial"/>
          <w:lang w:eastAsia="zh-CN"/>
        </w:rPr>
        <w:t xml:space="preserve"> bariere</w:t>
      </w:r>
      <w:r w:rsidRPr="007B577D">
        <w:rPr>
          <w:rFonts w:ascii="Arial" w:eastAsia="Arial" w:hAnsi="Arial" w:cs="Arial"/>
          <w:lang w:val="x-none" w:eastAsia="zh-CN"/>
        </w:rPr>
        <w:t xml:space="preserve"> – scor AMC = 4,</w:t>
      </w:r>
      <w:r w:rsidRPr="007B577D">
        <w:rPr>
          <w:rFonts w:ascii="Arial" w:eastAsia="Arial" w:hAnsi="Arial" w:cs="Arial"/>
          <w:lang w:eastAsia="zh-CN"/>
        </w:rPr>
        <w:t>92</w:t>
      </w:r>
      <w:r w:rsidRPr="007B577D">
        <w:rPr>
          <w:rFonts w:ascii="Arial" w:eastAsia="Arial" w:hAnsi="Arial" w:cs="Arial"/>
          <w:lang w:val="x-none" w:eastAsia="zh-CN"/>
        </w:rPr>
        <w:t>.</w:t>
      </w:r>
    </w:p>
    <w:p w14:paraId="57CFA186" w14:textId="77777777" w:rsidR="000A5845" w:rsidRPr="000A5845" w:rsidRDefault="000A5845" w:rsidP="000A5845">
      <w:pPr>
        <w:rPr>
          <w:lang w:val="it-IT" w:eastAsia="ro-RO"/>
        </w:rPr>
      </w:pPr>
    </w:p>
    <w:p w14:paraId="537475B5" w14:textId="77777777" w:rsidR="00D70AEA" w:rsidRDefault="00D70AEA" w:rsidP="003430C5">
      <w:pPr>
        <w:pStyle w:val="Titlu2"/>
        <w:rPr>
          <w:rFonts w:ascii="Arial" w:eastAsia="Times New Roman" w:hAnsi="Arial" w:cs="Arial"/>
          <w:b/>
          <w:bCs/>
          <w:color w:val="auto"/>
          <w:sz w:val="24"/>
          <w:szCs w:val="24"/>
          <w:lang w:val="it-IT" w:eastAsia="ro-RO"/>
        </w:rPr>
      </w:pPr>
      <w:bookmarkStart w:id="431" w:name="_Toc61264914"/>
      <w:bookmarkStart w:id="432" w:name="_Toc142039100"/>
      <w:r w:rsidRPr="00EA79B2">
        <w:rPr>
          <w:rFonts w:ascii="Arial" w:eastAsia="Times New Roman" w:hAnsi="Arial" w:cs="Arial"/>
          <w:b/>
          <w:bCs/>
          <w:color w:val="auto"/>
          <w:sz w:val="24"/>
          <w:szCs w:val="24"/>
          <w:lang w:val="it-IT" w:eastAsia="ro-RO"/>
        </w:rPr>
        <w:t>I.6.2</w:t>
      </w:r>
      <w:r w:rsidR="007040A9">
        <w:rPr>
          <w:rFonts w:ascii="Arial" w:eastAsia="Times New Roman" w:hAnsi="Arial" w:cs="Arial"/>
          <w:b/>
          <w:bCs/>
          <w:color w:val="auto"/>
          <w:sz w:val="24"/>
          <w:szCs w:val="24"/>
          <w:lang w:val="it-IT" w:eastAsia="ro-RO"/>
        </w:rPr>
        <w:t xml:space="preserve"> </w:t>
      </w:r>
      <w:r w:rsidR="007A73C2">
        <w:rPr>
          <w:rFonts w:ascii="Arial" w:eastAsia="Times New Roman" w:hAnsi="Arial" w:cs="Arial"/>
          <w:b/>
          <w:bCs/>
          <w:color w:val="auto"/>
          <w:sz w:val="24"/>
          <w:szCs w:val="24"/>
          <w:lang w:val="it-IT" w:eastAsia="ro-RO"/>
        </w:rPr>
        <w:t>Direcții</w:t>
      </w:r>
      <w:r w:rsidRPr="00EA79B2">
        <w:rPr>
          <w:rFonts w:ascii="Arial" w:eastAsia="Times New Roman" w:hAnsi="Arial" w:cs="Arial"/>
          <w:b/>
          <w:bCs/>
          <w:color w:val="auto"/>
          <w:sz w:val="24"/>
          <w:szCs w:val="24"/>
          <w:lang w:val="it-IT" w:eastAsia="ro-RO"/>
        </w:rPr>
        <w:t xml:space="preserve"> de acțiune și proiecte operationale</w:t>
      </w:r>
      <w:bookmarkEnd w:id="431"/>
      <w:bookmarkEnd w:id="432"/>
    </w:p>
    <w:p w14:paraId="35D48D67" w14:textId="77777777" w:rsidR="006011EB" w:rsidRPr="006011EB" w:rsidRDefault="006011EB" w:rsidP="006011EB">
      <w:pPr>
        <w:widowControl w:val="0"/>
        <w:suppressAutoHyphens/>
        <w:spacing w:after="0" w:line="360" w:lineRule="auto"/>
        <w:jc w:val="both"/>
        <w:rPr>
          <w:rFonts w:ascii="Arial" w:hAnsi="Arial" w:cs="Arial"/>
          <w:kern w:val="1"/>
          <w:lang w:val="es-ES" w:eastAsia="hi-IN" w:bidi="hi-IN"/>
        </w:rPr>
      </w:pPr>
      <w:r w:rsidRPr="006011EB">
        <w:rPr>
          <w:rFonts w:ascii="Arial" w:hAnsi="Arial" w:cs="Arial"/>
          <w:b/>
          <w:kern w:val="1"/>
          <w:lang w:val="es-ES" w:eastAsia="hi-IN" w:bidi="hi-IN"/>
        </w:rPr>
        <w:t>Managementul drumurilor și parcărilor</w:t>
      </w:r>
    </w:p>
    <w:p w14:paraId="36416A6E" w14:textId="77777777" w:rsidR="006011EB" w:rsidRPr="006011EB" w:rsidRDefault="006011EB" w:rsidP="006011EB">
      <w:pPr>
        <w:widowControl w:val="0"/>
        <w:suppressAutoHyphens/>
        <w:spacing w:after="0" w:line="276" w:lineRule="auto"/>
        <w:jc w:val="both"/>
        <w:rPr>
          <w:rFonts w:ascii="Arial" w:hAnsi="Arial" w:cs="Arial"/>
          <w:color w:val="FF0000"/>
          <w:kern w:val="1"/>
          <w:lang w:val="es-ES" w:eastAsia="hi-IN" w:bidi="hi-IN"/>
        </w:rPr>
      </w:pPr>
      <w:r w:rsidRPr="006011EB">
        <w:rPr>
          <w:rFonts w:ascii="Arial" w:hAnsi="Arial" w:cs="Arial"/>
          <w:kern w:val="1"/>
          <w:lang w:val="es-ES" w:eastAsia="hi-IN" w:bidi="hi-IN"/>
        </w:rPr>
        <w:t>Managementul arterelor de circula</w:t>
      </w:r>
      <w:r w:rsidRPr="006011EB">
        <w:rPr>
          <w:rFonts w:ascii="Arial" w:hAnsi="Arial" w:cs="Arial"/>
          <w:color w:val="000000"/>
          <w:kern w:val="1"/>
          <w:lang w:val="es-ES" w:eastAsia="hi-IN" w:bidi="hi-IN"/>
        </w:rPr>
        <w:t>ţ</w:t>
      </w:r>
      <w:r w:rsidRPr="006011EB">
        <w:rPr>
          <w:rFonts w:ascii="Arial" w:hAnsi="Arial" w:cs="Arial"/>
          <w:kern w:val="1"/>
          <w:lang w:val="es-ES" w:eastAsia="hi-IN" w:bidi="hi-IN"/>
        </w:rPr>
        <w:t>ie reprezintă o componenta foarte importanta a oricărui plan de mobilitate. Astfel, trebuie oferite alternative pentru tranzitarea orașului fără atingerea zonei centrale și a altor zone cu trafic ridicat.</w:t>
      </w:r>
    </w:p>
    <w:p w14:paraId="069CD8C7" w14:textId="77777777" w:rsidR="006011EB" w:rsidRPr="006011EB" w:rsidRDefault="006011EB" w:rsidP="006011EB">
      <w:pPr>
        <w:widowControl w:val="0"/>
        <w:suppressAutoHyphens/>
        <w:spacing w:after="0" w:line="276" w:lineRule="auto"/>
        <w:jc w:val="both"/>
        <w:rPr>
          <w:rFonts w:ascii="Arial" w:hAnsi="Arial" w:cs="Arial"/>
          <w:color w:val="FF0000"/>
          <w:kern w:val="1"/>
          <w:lang w:val="es-ES" w:eastAsia="hi-IN" w:bidi="hi-IN"/>
        </w:rPr>
      </w:pPr>
    </w:p>
    <w:p w14:paraId="4A350377"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Transportul călătorilor şi al mărfurilor în interiorul aglomerărilor urbane este o activitate foarte importanta pentru viabilitatea oraşelor, iar parcările reprezintă o consecinţă inevitabilă. Managementul parcărilor este influenţat şi de politica de urbanism, deoarece funcţiunile diferitelor zone afectează volumul traficului, repartiţia modală şi cererea pentru locuri de parcare. Politica de parcare în zonele suburbane se caracterizează prin existenţa unui număr suficient de locuri de parcare, în timp ce în zonele centrale acestea sunt, în majoritatea cazurilor, limitate în special pentru cei aflaţi în tranzit. </w:t>
      </w:r>
    </w:p>
    <w:p w14:paraId="6ED2B668"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24ACAD3E"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lastRenderedPageBreak/>
        <w:t xml:space="preserve">Problemele de parcare sunt cauzate, în principal, de diferenţa dintre cerere şi ofertă. Cererea este influenţată de funcţiunea clădirilor, tipul zonei şi calitatea serviciului de transport public oferit. </w:t>
      </w:r>
    </w:p>
    <w:p w14:paraId="0F7EE7F0"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12948F73" w14:textId="77777777" w:rsidR="006011EB" w:rsidRPr="006011EB" w:rsidRDefault="006011EB" w:rsidP="006011EB">
      <w:pPr>
        <w:suppressAutoHyphens/>
        <w:autoSpaceDE w:val="0"/>
        <w:spacing w:after="0" w:line="276" w:lineRule="auto"/>
        <w:jc w:val="both"/>
        <w:rPr>
          <w:rFonts w:ascii="Arial" w:eastAsia="Calibri" w:hAnsi="Arial" w:cs="Arial"/>
          <w:b/>
          <w:color w:val="000000"/>
          <w:lang w:val="es-ES" w:eastAsia="zh-CN"/>
        </w:rPr>
      </w:pPr>
      <w:r w:rsidRPr="006011EB">
        <w:rPr>
          <w:rFonts w:ascii="Arial" w:eastAsia="Calibri" w:hAnsi="Arial" w:cs="Arial"/>
          <w:color w:val="000000"/>
          <w:lang w:val="es-ES" w:eastAsia="zh-CN"/>
        </w:rPr>
        <w:t xml:space="preserve">Cele mai importante obiective ale politicii parcărilor sunt: </w:t>
      </w:r>
    </w:p>
    <w:p w14:paraId="684FD729"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b/>
          <w:color w:val="000000"/>
          <w:lang w:val="es-ES" w:eastAsia="zh-CN"/>
        </w:rPr>
        <w:t xml:space="preserve">- </w:t>
      </w:r>
      <w:r w:rsidRPr="006011EB">
        <w:rPr>
          <w:rFonts w:ascii="Arial" w:eastAsia="Calibri" w:hAnsi="Arial" w:cs="Arial"/>
          <w:color w:val="000000"/>
          <w:lang w:val="es-ES" w:eastAsia="zh-CN"/>
        </w:rPr>
        <w:t xml:space="preserve">reducerea diferenţei dintre oferta şi cererea pentru locuri de parcare. Acest lucru se poate realiza fie prin construirea de facilităţi pentru parcare (în special în afara spaţiului carosabil), fie prin modificarea repartiţiei modale, în favoarea transportului public, astfel încât cererea de locuri de parcare să scadă; </w:t>
      </w:r>
    </w:p>
    <w:p w14:paraId="59FE3C6D"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reducerea diferenţei dintre oferta şi cererea pentru locuri de parcare prin concentrarea pe anumite grupuri ţintă. La asigurarea de locuri de parcare se acordă prioritate unor grupuri de utilizatori cum ar fi rezidenţii sau vehiculele de aprovizionare. Acest lucru înseamnă că celelalte grupuri (cum ar fi cei aflaţi în tranzit) vor găsi cu dificultate un loc de parcare sau vor fi nevoite să plătească mai mult; </w:t>
      </w:r>
    </w:p>
    <w:p w14:paraId="0960F718"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în plus, politicile de parcare trebuie să tindă către modificarea repartiţiei modale pentru asigurarea unei dezvoltări sustenabile şi îmbunătăţirea calităţii vieţii pentru generaţiile viitoare.</w:t>
      </w:r>
    </w:p>
    <w:p w14:paraId="67F410DC"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1937AA28" w14:textId="77777777" w:rsidR="006011EB" w:rsidRPr="006011EB" w:rsidRDefault="006011EB" w:rsidP="006011EB">
      <w:pPr>
        <w:suppressAutoHyphens/>
        <w:autoSpaceDE w:val="0"/>
        <w:spacing w:after="0" w:line="276" w:lineRule="auto"/>
        <w:jc w:val="both"/>
        <w:rPr>
          <w:rFonts w:ascii="Arial" w:eastAsia="Calibri" w:hAnsi="Arial" w:cs="Arial"/>
          <w:color w:val="000000"/>
          <w:lang w:eastAsia="zh-CN"/>
        </w:rPr>
      </w:pPr>
      <w:r w:rsidRPr="006011EB">
        <w:rPr>
          <w:rFonts w:ascii="Arial" w:eastAsia="Calibri" w:hAnsi="Arial" w:cs="Arial"/>
          <w:color w:val="000000"/>
          <w:lang w:eastAsia="zh-CN"/>
        </w:rPr>
        <w:t xml:space="preserve">Pentru atingerea acestor obiective pot fi implementate următoarele măsuri: </w:t>
      </w:r>
    </w:p>
    <w:p w14:paraId="07877908"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controlul parcărilor – de exemplu prin introducerea de standarde care definesc numărul minim/maxim de locuri de parcare în funcţie de localizarea şi funcţiunea zonei; </w:t>
      </w:r>
    </w:p>
    <w:p w14:paraId="733AD9BB"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măsuri pentru grupuri prioritare – fără restricţii de timp şi/sau cu tarife mai scăzute pentru rezidenţi sau vehicule electrice/hibrid; </w:t>
      </w:r>
    </w:p>
    <w:p w14:paraId="33BFD31F"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încurajarea limitării ca durată de timp a parcării în zonele centrale ale oraşului; parcarea pe o durată mai mare să se poată face doar în parcări situate în afara carosabilului sau în zonele suburbane; </w:t>
      </w:r>
    </w:p>
    <w:p w14:paraId="61130D39"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sisteme de tarifare diferenţiate în funcţie de zonă, cu posibilităţi de plată multiple; </w:t>
      </w:r>
    </w:p>
    <w:p w14:paraId="32EF300E"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amenzi mari pentru încălcarea reglementărilor referitoare la parcare, imobilizarea vehiculului sau chiar ridicarea acestuia; </w:t>
      </w:r>
    </w:p>
    <w:p w14:paraId="1D135597"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managementul locurilor de parcare (cost, număr, limite, încasare) cu scopul de a reduce disponibilitatea parcărilor şi astfel a reduce numărul de oameni care aleg să călătorească spre destinaţie cu maşina. </w:t>
      </w:r>
    </w:p>
    <w:p w14:paraId="09C746CB"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3CF3916B"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Gestionarea locurilor de parcare</w:t>
      </w:r>
      <w:r w:rsidRPr="006011EB">
        <w:rPr>
          <w:rFonts w:ascii="Arial" w:eastAsia="Calibri" w:hAnsi="Arial" w:cs="Arial"/>
          <w:b/>
          <w:color w:val="000000"/>
          <w:lang w:val="es-ES" w:eastAsia="zh-CN"/>
        </w:rPr>
        <w:t xml:space="preserve"> </w:t>
      </w:r>
      <w:r w:rsidRPr="006011EB">
        <w:rPr>
          <w:rFonts w:ascii="Arial" w:eastAsia="Calibri" w:hAnsi="Arial" w:cs="Arial"/>
          <w:color w:val="000000"/>
          <w:lang w:val="es-ES" w:eastAsia="zh-CN"/>
        </w:rPr>
        <w:t xml:space="preserve">este un mecanism puternic prin care se poate influenţa modul oamenilor de a călători către o locaţie. În cazul în care locurile de parcare sunt mai puţine decât locurile necesare, sunt disponibile următoarele soluţii: </w:t>
      </w:r>
    </w:p>
    <w:p w14:paraId="671E8E22"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toţi sau o anumită parte din utilizatori pot fi taxaţi pentru utilizare, cu ziua, săptămâna, luna sau anul, cu taxă fixă sau stabilită în funcţie de criterii precum: salariu, calitatea locului de parcare etc. </w:t>
      </w:r>
    </w:p>
    <w:p w14:paraId="1A3FAD82"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accesul poate fi limitat. </w:t>
      </w:r>
    </w:p>
    <w:p w14:paraId="17F01112"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cele mai bune locuri pot fi rezervate pentru maşinile “împărţite”, pentru a-i stimula pe angajaţi să călătorească în grup. </w:t>
      </w:r>
    </w:p>
    <w:p w14:paraId="6FCBA5E5"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spaţiile de parcare pot fi acordate în funcţie de anumite criterii precum: vechime, durata transportului cu maşina la serviciu în comparaţie cu cel cu mijloacele de transport în comun etc. </w:t>
      </w:r>
    </w:p>
    <w:p w14:paraId="72A83188"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 accesul poate fi limitat (ex. parcarea funcţionează numai după ora 10 pentru a împiedica folosirea ei de către navetişti). </w:t>
      </w:r>
    </w:p>
    <w:p w14:paraId="39812B9D"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2B72ED98"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În plus, o locaţie cu număr limitat de locuri de parcare care se confruntă cu o cerere în exces poate fi nevoită să colaboreze cu autorităţile locale în ceea ce priveşte gestionarea parcării pe stradă în preajma locaţiei pentru a evita supra-aglomerarea acestora. </w:t>
      </w:r>
    </w:p>
    <w:p w14:paraId="7311A599"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070AE66E" w14:textId="77777777" w:rsidR="006011EB" w:rsidRPr="006011EB" w:rsidRDefault="006011EB" w:rsidP="006011EB">
      <w:pPr>
        <w:suppressAutoHyphens/>
        <w:autoSpaceDE w:val="0"/>
        <w:spacing w:after="0" w:line="276" w:lineRule="auto"/>
        <w:jc w:val="both"/>
        <w:rPr>
          <w:rFonts w:ascii="Arial" w:eastAsia="Calibri" w:hAnsi="Arial" w:cs="Arial"/>
          <w:color w:val="FF0000"/>
          <w:lang w:val="es-ES" w:eastAsia="zh-CN"/>
        </w:rPr>
      </w:pPr>
      <w:r w:rsidRPr="006011EB">
        <w:rPr>
          <w:rFonts w:ascii="Arial" w:eastAsia="Calibri" w:hAnsi="Arial" w:cs="Arial"/>
          <w:color w:val="000000"/>
          <w:lang w:val="es-ES" w:eastAsia="zh-CN"/>
        </w:rPr>
        <w:t xml:space="preserve">Dacă peste tot şi în orice moment ar exista la dispoziţie suficiente suprafeţe pentru circulaţie şi parcare, atunci automobilul personal ar fi superior oricărui sistem de transport public în comun din punctul de vedere al vitezei, comodităţii şi posibilităţii de a varia traseul şi a ocupa singur un vehicul. Aceste considerente nu trebuie neglijate atunci când prin sistematizarea urbană sau planificarea circulaţiei se intenţionează introducerea sistemului de transport “park and ride” (parchează şi călătoreşte). Sistemul constă, pentru călător, în permiterea deplasării de la domiciliul său cu automobilul propriu la un punct de îmbarcare în transportul în comun (unde există posibilitatea de a-şi parca maşina până la revenire), deplasarea asigurându-se pe restul parcursului cu vehicule de transport colectiv pe drumul spre serviciu şi înapoi la locul de parcare. Oportunitatea introducerii unui astfel de sistem, care comporta trecerea de la automobilul propriu la un vehicul public, este de foarte multe ori, nesigură. În situaţia în care călătorul va crede că obţine un avantaj – chiar subiectiv prin utilizarea până la capăt a propriului său vehicul, el va încerca să evite restricţiile care îi sunt impuse şi nu va utiliza mijlocul comun de transport. Acesta constituie şi principalul motiv pentru care acţiunea de găsire a unor reguli şi criterii generale pentru luarea deciziei, dacă este cazul să se introducă sistemul “park and ride” sau nu, întâmpină reale dificultăţi. Totuşi, în timp, restricţiile de parcare şi circulaţia vehiculelor particulare în centrul oraşelor mari, vor deveni din ce în ce mai grele, ceea ce va face ca acest sistem să devină – la un moment dat – o necesitate pentru asemenea oraşe. </w:t>
      </w:r>
    </w:p>
    <w:p w14:paraId="4836C993" w14:textId="77777777" w:rsidR="006011EB" w:rsidRPr="006011EB" w:rsidRDefault="006011EB" w:rsidP="006011EB">
      <w:pPr>
        <w:widowControl w:val="0"/>
        <w:suppressAutoHyphens/>
        <w:spacing w:after="0" w:line="276" w:lineRule="auto"/>
        <w:jc w:val="both"/>
        <w:rPr>
          <w:rFonts w:ascii="Arial" w:hAnsi="Arial" w:cs="Arial"/>
          <w:color w:val="FF0000"/>
          <w:kern w:val="1"/>
          <w:lang w:val="es-ES" w:eastAsia="hi-IN" w:bidi="hi-IN"/>
        </w:rPr>
      </w:pPr>
    </w:p>
    <w:p w14:paraId="78DFEE68" w14:textId="77777777" w:rsidR="006011EB" w:rsidRPr="006011EB" w:rsidRDefault="006011EB" w:rsidP="006011EB">
      <w:pPr>
        <w:widowControl w:val="0"/>
        <w:suppressAutoHyphens/>
        <w:spacing w:after="0" w:line="276" w:lineRule="auto"/>
        <w:jc w:val="both"/>
        <w:rPr>
          <w:rFonts w:ascii="Arial" w:hAnsi="Arial" w:cs="Arial"/>
          <w:kern w:val="1"/>
          <w:lang w:val="ro-RO" w:eastAsia="hi-IN" w:bidi="hi-IN"/>
        </w:rPr>
      </w:pPr>
      <w:r w:rsidRPr="006011EB">
        <w:rPr>
          <w:rFonts w:ascii="Arial" w:hAnsi="Arial" w:cs="Arial"/>
          <w:kern w:val="1"/>
          <w:lang w:val="ro-RO" w:eastAsia="hi-IN" w:bidi="hi-IN"/>
        </w:rPr>
        <w:t>Proiectele/măsurile referitoare la managementul drumurilor si parcărilor, repartizate pe scenarii sunt prezentate în continuare:</w:t>
      </w:r>
    </w:p>
    <w:p w14:paraId="41C9FC19" w14:textId="77777777" w:rsidR="006011EB" w:rsidRPr="006011EB" w:rsidRDefault="006011EB" w:rsidP="006011EB">
      <w:pPr>
        <w:widowControl w:val="0"/>
        <w:numPr>
          <w:ilvl w:val="0"/>
          <w:numId w:val="71"/>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x-none" w:eastAsia="zh-CN"/>
        </w:rPr>
        <w:t xml:space="preserve">Scenariul </w:t>
      </w:r>
      <w:r w:rsidRPr="006011EB">
        <w:rPr>
          <w:rFonts w:ascii="Arial" w:eastAsia="Times New Roman" w:hAnsi="Arial" w:cs="Arial"/>
          <w:lang w:eastAsia="zh-CN"/>
        </w:rPr>
        <w:t>2</w:t>
      </w:r>
      <w:r w:rsidRPr="006011EB">
        <w:rPr>
          <w:rFonts w:ascii="Arial" w:eastAsia="Times New Roman" w:hAnsi="Arial" w:cs="Arial"/>
          <w:lang w:val="x-none" w:eastAsia="zh-CN"/>
        </w:rPr>
        <w:t>:</w:t>
      </w:r>
    </w:p>
    <w:p w14:paraId="7CD92FB5" w14:textId="77777777" w:rsidR="006011EB" w:rsidRPr="006011EB" w:rsidRDefault="006011EB" w:rsidP="006011EB">
      <w:pPr>
        <w:widowControl w:val="0"/>
        <w:numPr>
          <w:ilvl w:val="0"/>
          <w:numId w:val="99"/>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x-none" w:eastAsia="zh-CN"/>
        </w:rPr>
        <w:t>I.</w:t>
      </w:r>
      <w:r w:rsidRPr="006011EB">
        <w:rPr>
          <w:rFonts w:ascii="Arial" w:eastAsia="Times New Roman" w:hAnsi="Arial" w:cs="Arial"/>
          <w:lang w:eastAsia="zh-CN"/>
        </w:rPr>
        <w:t>6</w:t>
      </w:r>
      <w:r w:rsidR="00CC6B73">
        <w:rPr>
          <w:rFonts w:ascii="Arial" w:eastAsia="Times New Roman" w:hAnsi="Arial" w:cs="Arial"/>
          <w:lang w:val="x-none" w:eastAsia="zh-CN"/>
        </w:rPr>
        <w:t xml:space="preserve"> = înfiinţarea î</w:t>
      </w:r>
      <w:r w:rsidRPr="006011EB">
        <w:rPr>
          <w:rFonts w:ascii="Arial" w:eastAsia="Times New Roman" w:hAnsi="Arial" w:cs="Arial"/>
          <w:lang w:val="x-none" w:eastAsia="zh-CN"/>
        </w:rPr>
        <w:t>n cadrul Primariei Horezu a unei structuri organizaţi</w:t>
      </w:r>
      <w:r w:rsidR="00CC6B73">
        <w:rPr>
          <w:rFonts w:ascii="Arial" w:eastAsia="Times New Roman" w:hAnsi="Arial" w:cs="Arial"/>
          <w:lang w:val="x-none" w:eastAsia="zh-CN"/>
        </w:rPr>
        <w:t>onale şi de administrare a parcă</w:t>
      </w:r>
      <w:r w:rsidRPr="006011EB">
        <w:rPr>
          <w:rFonts w:ascii="Arial" w:eastAsia="Times New Roman" w:hAnsi="Arial" w:cs="Arial"/>
          <w:lang w:val="x-none" w:eastAsia="zh-CN"/>
        </w:rPr>
        <w:t xml:space="preserve">rilor – scor AMC = </w:t>
      </w:r>
      <w:r w:rsidRPr="006011EB">
        <w:rPr>
          <w:rFonts w:ascii="Arial" w:eastAsia="Times New Roman" w:hAnsi="Arial" w:cs="Arial"/>
          <w:lang w:val="es-ES" w:eastAsia="zh-CN"/>
        </w:rPr>
        <w:t>5</w:t>
      </w:r>
      <w:r w:rsidRPr="006011EB">
        <w:rPr>
          <w:rFonts w:ascii="Arial" w:eastAsia="Times New Roman" w:hAnsi="Arial" w:cs="Arial"/>
          <w:lang w:val="x-none" w:eastAsia="zh-CN"/>
        </w:rPr>
        <w:t>,</w:t>
      </w:r>
      <w:r w:rsidRPr="006011EB">
        <w:rPr>
          <w:rFonts w:ascii="Arial" w:eastAsia="Times New Roman" w:hAnsi="Arial" w:cs="Arial"/>
          <w:lang w:eastAsia="zh-CN"/>
        </w:rPr>
        <w:t>12</w:t>
      </w:r>
      <w:r w:rsidRPr="006011EB">
        <w:rPr>
          <w:rFonts w:ascii="Arial" w:eastAsia="Times New Roman" w:hAnsi="Arial" w:cs="Arial"/>
          <w:lang w:val="x-none" w:eastAsia="zh-CN"/>
        </w:rPr>
        <w:t>.</w:t>
      </w:r>
    </w:p>
    <w:p w14:paraId="330830C9" w14:textId="5B18465D" w:rsidR="006011EB" w:rsidRPr="006011EB" w:rsidRDefault="006011EB" w:rsidP="006011EB">
      <w:pPr>
        <w:widowControl w:val="0"/>
        <w:numPr>
          <w:ilvl w:val="0"/>
          <w:numId w:val="99"/>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es-ES" w:eastAsia="zh-CN"/>
        </w:rPr>
        <w:t xml:space="preserve">V.2 = </w:t>
      </w:r>
      <w:r w:rsidRPr="006011EB">
        <w:rPr>
          <w:rFonts w:ascii="Arial" w:eastAsia="Times New Roman" w:hAnsi="Arial" w:cs="Arial"/>
          <w:lang w:val="ro-RO" w:eastAsia="zh-CN"/>
        </w:rPr>
        <w:t xml:space="preserve">implementarea conceptului de zone rezidenţiale </w:t>
      </w:r>
      <w:r w:rsidRPr="006011EB">
        <w:rPr>
          <w:rFonts w:ascii="Arial" w:eastAsia="Times New Roman" w:hAnsi="Arial" w:cs="Arial"/>
          <w:lang w:val="x-none" w:eastAsia="zh-CN"/>
        </w:rPr>
        <w:t xml:space="preserve">– scor AMC = </w:t>
      </w:r>
      <w:r w:rsidRPr="006011EB">
        <w:rPr>
          <w:rFonts w:ascii="Arial" w:eastAsia="Times New Roman" w:hAnsi="Arial" w:cs="Arial"/>
          <w:lang w:eastAsia="zh-CN"/>
        </w:rPr>
        <w:t>5</w:t>
      </w:r>
      <w:r w:rsidRPr="006011EB">
        <w:rPr>
          <w:rFonts w:ascii="Arial" w:eastAsia="Times New Roman" w:hAnsi="Arial" w:cs="Arial"/>
          <w:lang w:val="x-none" w:eastAsia="zh-CN"/>
        </w:rPr>
        <w:t>,</w:t>
      </w:r>
      <w:r w:rsidRPr="006011EB">
        <w:rPr>
          <w:rFonts w:ascii="Arial" w:eastAsia="Times New Roman" w:hAnsi="Arial" w:cs="Arial"/>
          <w:lang w:eastAsia="zh-CN"/>
        </w:rPr>
        <w:t>05</w:t>
      </w:r>
      <w:r w:rsidRPr="006011EB">
        <w:rPr>
          <w:rFonts w:ascii="Arial" w:eastAsia="Times New Roman" w:hAnsi="Arial" w:cs="Arial"/>
          <w:lang w:val="ro-RO" w:eastAsia="zh-CN"/>
        </w:rPr>
        <w:t>.</w:t>
      </w:r>
    </w:p>
    <w:p w14:paraId="5C445693" w14:textId="77777777" w:rsidR="006011EB" w:rsidRPr="006011EB" w:rsidRDefault="006011EB" w:rsidP="006011EB">
      <w:pPr>
        <w:widowControl w:val="0"/>
        <w:numPr>
          <w:ilvl w:val="0"/>
          <w:numId w:val="99"/>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es-ES" w:eastAsia="zh-CN"/>
        </w:rPr>
        <w:t xml:space="preserve">VII.1 = elaborarea unei politici de parcare pentru mobilitate urbană durabilă </w:t>
      </w:r>
      <w:r w:rsidRPr="006011EB">
        <w:rPr>
          <w:rFonts w:ascii="Arial" w:eastAsia="Times New Roman" w:hAnsi="Arial" w:cs="Arial"/>
          <w:lang w:val="x-none" w:eastAsia="zh-CN"/>
        </w:rPr>
        <w:t xml:space="preserve">– scor AMC = </w:t>
      </w:r>
      <w:r w:rsidRPr="006011EB">
        <w:rPr>
          <w:rFonts w:ascii="Arial" w:eastAsia="Times New Roman" w:hAnsi="Arial" w:cs="Arial"/>
          <w:lang w:eastAsia="zh-CN"/>
        </w:rPr>
        <w:t>5</w:t>
      </w:r>
      <w:r w:rsidRPr="006011EB">
        <w:rPr>
          <w:rFonts w:ascii="Arial" w:eastAsia="Times New Roman" w:hAnsi="Arial" w:cs="Arial"/>
          <w:lang w:val="x-none" w:eastAsia="zh-CN"/>
        </w:rPr>
        <w:t>,</w:t>
      </w:r>
      <w:r w:rsidRPr="006011EB">
        <w:rPr>
          <w:rFonts w:ascii="Arial" w:eastAsia="Times New Roman" w:hAnsi="Arial" w:cs="Arial"/>
          <w:lang w:eastAsia="zh-CN"/>
        </w:rPr>
        <w:t>68</w:t>
      </w:r>
      <w:r w:rsidRPr="006011EB">
        <w:rPr>
          <w:rFonts w:ascii="Arial" w:eastAsia="Times New Roman" w:hAnsi="Arial" w:cs="Arial"/>
          <w:lang w:val="x-none" w:eastAsia="zh-CN"/>
        </w:rPr>
        <w:t>.</w:t>
      </w:r>
    </w:p>
    <w:p w14:paraId="44BA3126" w14:textId="77777777" w:rsidR="006011EB" w:rsidRPr="006011EB" w:rsidRDefault="006011EB" w:rsidP="006011EB">
      <w:pPr>
        <w:widowControl w:val="0"/>
        <w:numPr>
          <w:ilvl w:val="0"/>
          <w:numId w:val="99"/>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es-ES" w:eastAsia="zh-CN"/>
        </w:rPr>
        <w:t xml:space="preserve">VII.2 = </w:t>
      </w:r>
      <w:r w:rsidRPr="006011EB">
        <w:rPr>
          <w:rFonts w:ascii="Arial" w:eastAsia="Times New Roman" w:hAnsi="Arial" w:cs="Arial"/>
          <w:lang w:val="x-none" w:eastAsia="zh-CN"/>
        </w:rPr>
        <w:t>introducerea sistemului de taxare a parcării</w:t>
      </w:r>
      <w:r w:rsidRPr="006011EB">
        <w:rPr>
          <w:rFonts w:ascii="Arial" w:eastAsia="Times New Roman" w:hAnsi="Arial" w:cs="Arial"/>
          <w:lang w:eastAsia="zh-CN"/>
        </w:rPr>
        <w:t xml:space="preserve"> </w:t>
      </w:r>
      <w:r w:rsidRPr="006011EB">
        <w:rPr>
          <w:rFonts w:ascii="Arial" w:eastAsia="Times New Roman" w:hAnsi="Arial" w:cs="Arial"/>
          <w:lang w:val="x-none" w:eastAsia="zh-CN"/>
        </w:rPr>
        <w:t xml:space="preserve">– scor AMC = </w:t>
      </w:r>
      <w:r w:rsidRPr="006011EB">
        <w:rPr>
          <w:rFonts w:ascii="Arial" w:eastAsia="Times New Roman" w:hAnsi="Arial" w:cs="Arial"/>
          <w:lang w:eastAsia="zh-CN"/>
        </w:rPr>
        <w:t>5</w:t>
      </w:r>
      <w:r w:rsidRPr="006011EB">
        <w:rPr>
          <w:rFonts w:ascii="Arial" w:eastAsia="Times New Roman" w:hAnsi="Arial" w:cs="Arial"/>
          <w:lang w:val="x-none" w:eastAsia="zh-CN"/>
        </w:rPr>
        <w:t>,</w:t>
      </w:r>
      <w:r w:rsidRPr="006011EB">
        <w:rPr>
          <w:rFonts w:ascii="Arial" w:eastAsia="Times New Roman" w:hAnsi="Arial" w:cs="Arial"/>
          <w:lang w:eastAsia="zh-CN"/>
        </w:rPr>
        <w:t>1</w:t>
      </w:r>
      <w:r w:rsidRPr="006011EB">
        <w:rPr>
          <w:rFonts w:ascii="Arial" w:eastAsia="Times New Roman" w:hAnsi="Arial" w:cs="Arial"/>
          <w:lang w:val="x-none" w:eastAsia="zh-CN"/>
        </w:rPr>
        <w:t>.</w:t>
      </w:r>
    </w:p>
    <w:p w14:paraId="35FC604A" w14:textId="77777777" w:rsidR="006011EB" w:rsidRPr="006011EB" w:rsidRDefault="006011EB" w:rsidP="006011EB">
      <w:pPr>
        <w:widowControl w:val="0"/>
        <w:numPr>
          <w:ilvl w:val="0"/>
          <w:numId w:val="99"/>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x-none" w:eastAsia="zh-CN"/>
        </w:rPr>
        <w:t>VII.5 = crearea unei baze de date GIS a tutur</w:t>
      </w:r>
      <w:r w:rsidR="00CC6B73">
        <w:rPr>
          <w:rFonts w:ascii="Arial" w:eastAsia="Times New Roman" w:hAnsi="Arial" w:cs="Arial"/>
          <w:lang w:val="x-none" w:eastAsia="zh-CN"/>
        </w:rPr>
        <w:t>or locurilor de parcare din oraş</w:t>
      </w:r>
      <w:r w:rsidRPr="006011EB">
        <w:rPr>
          <w:rFonts w:ascii="Arial" w:eastAsia="Times New Roman" w:hAnsi="Arial" w:cs="Arial"/>
          <w:lang w:eastAsia="zh-CN"/>
        </w:rPr>
        <w:t xml:space="preserve"> </w:t>
      </w:r>
      <w:r w:rsidRPr="006011EB">
        <w:rPr>
          <w:rFonts w:ascii="Arial" w:eastAsia="Times New Roman" w:hAnsi="Arial" w:cs="Arial"/>
          <w:lang w:val="x-none" w:eastAsia="zh-CN"/>
        </w:rPr>
        <w:t xml:space="preserve">– scor AMC = </w:t>
      </w:r>
      <w:r w:rsidRPr="006011EB">
        <w:rPr>
          <w:rFonts w:ascii="Arial" w:eastAsia="Times New Roman" w:hAnsi="Arial" w:cs="Arial"/>
          <w:lang w:eastAsia="zh-CN"/>
        </w:rPr>
        <w:t>4</w:t>
      </w:r>
      <w:r w:rsidRPr="006011EB">
        <w:rPr>
          <w:rFonts w:ascii="Arial" w:eastAsia="Times New Roman" w:hAnsi="Arial" w:cs="Arial"/>
          <w:lang w:val="x-none" w:eastAsia="zh-CN"/>
        </w:rPr>
        <w:t>,</w:t>
      </w:r>
      <w:r w:rsidRPr="006011EB">
        <w:rPr>
          <w:rFonts w:ascii="Arial" w:eastAsia="Times New Roman" w:hAnsi="Arial" w:cs="Arial"/>
          <w:lang w:eastAsia="zh-CN"/>
        </w:rPr>
        <w:t>99</w:t>
      </w:r>
      <w:r w:rsidRPr="006011EB">
        <w:rPr>
          <w:rFonts w:ascii="Arial" w:eastAsia="Times New Roman" w:hAnsi="Arial" w:cs="Arial"/>
          <w:lang w:val="x-none" w:eastAsia="zh-CN"/>
        </w:rPr>
        <w:t>.</w:t>
      </w:r>
    </w:p>
    <w:p w14:paraId="2E06B66C" w14:textId="77777777" w:rsidR="006011EB" w:rsidRPr="006011EB" w:rsidRDefault="006011EB" w:rsidP="006011EB">
      <w:pPr>
        <w:widowControl w:val="0"/>
        <w:suppressAutoHyphens/>
        <w:spacing w:after="0" w:line="276" w:lineRule="auto"/>
        <w:jc w:val="both"/>
        <w:rPr>
          <w:rFonts w:ascii="Arial" w:hAnsi="Arial" w:cs="Arial"/>
          <w:b/>
          <w:kern w:val="1"/>
          <w:lang w:val="es-ES" w:eastAsia="hi-IN" w:bidi="hi-IN"/>
        </w:rPr>
      </w:pPr>
    </w:p>
    <w:p w14:paraId="52912845" w14:textId="77777777" w:rsidR="006011EB" w:rsidRPr="006011EB" w:rsidRDefault="006011EB" w:rsidP="006011EB">
      <w:pPr>
        <w:widowControl w:val="0"/>
        <w:numPr>
          <w:ilvl w:val="0"/>
          <w:numId w:val="90"/>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x-none" w:eastAsia="zh-CN"/>
        </w:rPr>
        <w:t xml:space="preserve">Scenariul </w:t>
      </w:r>
      <w:r w:rsidRPr="006011EB">
        <w:rPr>
          <w:rFonts w:ascii="Arial" w:eastAsia="Times New Roman" w:hAnsi="Arial" w:cs="Arial"/>
          <w:lang w:eastAsia="zh-CN"/>
        </w:rPr>
        <w:t>3</w:t>
      </w:r>
      <w:r w:rsidRPr="006011EB">
        <w:rPr>
          <w:rFonts w:ascii="Arial" w:eastAsia="Times New Roman" w:hAnsi="Arial" w:cs="Arial"/>
          <w:lang w:val="x-none" w:eastAsia="zh-CN"/>
        </w:rPr>
        <w:t>:</w:t>
      </w:r>
    </w:p>
    <w:p w14:paraId="25C2D382" w14:textId="77777777" w:rsidR="006011EB" w:rsidRPr="006011EB" w:rsidRDefault="006011EB" w:rsidP="006011EB">
      <w:pPr>
        <w:widowControl w:val="0"/>
        <w:numPr>
          <w:ilvl w:val="0"/>
          <w:numId w:val="100"/>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x-none" w:eastAsia="zh-CN"/>
        </w:rPr>
        <w:t xml:space="preserve">VII.3 = construirea de parcări de mare capacitate (supra şi subterane) </w:t>
      </w:r>
      <w:r w:rsidRPr="006011EB">
        <w:rPr>
          <w:rFonts w:ascii="Arial" w:eastAsia="Times New Roman" w:hAnsi="Arial" w:cs="Arial"/>
          <w:lang w:val="ro-RO" w:eastAsia="zh-CN"/>
        </w:rPr>
        <w:t>ș</w:t>
      </w:r>
      <w:r w:rsidRPr="006011EB">
        <w:rPr>
          <w:rFonts w:ascii="Arial" w:eastAsia="Times New Roman" w:hAnsi="Arial" w:cs="Arial"/>
          <w:lang w:val="x-none" w:eastAsia="zh-CN"/>
        </w:rPr>
        <w:t>i dotarea cu sta</w:t>
      </w:r>
      <w:r w:rsidRPr="006011EB">
        <w:rPr>
          <w:rFonts w:ascii="Arial" w:eastAsia="Times New Roman" w:hAnsi="Arial" w:cs="Arial"/>
          <w:lang w:val="ro-RO" w:eastAsia="zh-CN"/>
        </w:rPr>
        <w:t>ț</w:t>
      </w:r>
      <w:r w:rsidRPr="006011EB">
        <w:rPr>
          <w:rFonts w:ascii="Arial" w:eastAsia="Times New Roman" w:hAnsi="Arial" w:cs="Arial"/>
          <w:lang w:val="x-none" w:eastAsia="zh-CN"/>
        </w:rPr>
        <w:t xml:space="preserve">ii de </w:t>
      </w:r>
      <w:r w:rsidRPr="006011EB">
        <w:rPr>
          <w:rFonts w:ascii="Arial" w:eastAsia="Times New Roman" w:hAnsi="Arial" w:cs="Arial"/>
          <w:lang w:val="ro-RO" w:eastAsia="zh-CN"/>
        </w:rPr>
        <w:t>î</w:t>
      </w:r>
      <w:r w:rsidRPr="006011EB">
        <w:rPr>
          <w:rFonts w:ascii="Arial" w:eastAsia="Times New Roman" w:hAnsi="Arial" w:cs="Arial"/>
          <w:lang w:val="x-none" w:eastAsia="zh-CN"/>
        </w:rPr>
        <w:t>nc</w:t>
      </w:r>
      <w:r w:rsidRPr="006011EB">
        <w:rPr>
          <w:rFonts w:ascii="Arial" w:eastAsia="Times New Roman" w:hAnsi="Arial" w:cs="Arial"/>
          <w:lang w:val="ro-RO" w:eastAsia="zh-CN"/>
        </w:rPr>
        <w:t>ă</w:t>
      </w:r>
      <w:r w:rsidRPr="006011EB">
        <w:rPr>
          <w:rFonts w:ascii="Arial" w:eastAsia="Times New Roman" w:hAnsi="Arial" w:cs="Arial"/>
          <w:lang w:val="x-none" w:eastAsia="zh-CN"/>
        </w:rPr>
        <w:t>rcare a vehiculelor electrice</w:t>
      </w:r>
      <w:r w:rsidRPr="006011EB">
        <w:rPr>
          <w:rFonts w:ascii="Arial" w:eastAsia="Times New Roman" w:hAnsi="Arial" w:cs="Arial"/>
          <w:lang w:eastAsia="zh-CN"/>
        </w:rPr>
        <w:t xml:space="preserve"> </w:t>
      </w:r>
      <w:r w:rsidRPr="006011EB">
        <w:rPr>
          <w:rFonts w:ascii="Arial" w:eastAsia="Times New Roman" w:hAnsi="Arial" w:cs="Arial"/>
          <w:lang w:val="x-none" w:eastAsia="zh-CN"/>
        </w:rPr>
        <w:t xml:space="preserve">– scor AMC = </w:t>
      </w:r>
      <w:r w:rsidRPr="006011EB">
        <w:rPr>
          <w:rFonts w:ascii="Arial" w:eastAsia="Times New Roman" w:hAnsi="Arial" w:cs="Arial"/>
          <w:lang w:eastAsia="zh-CN"/>
        </w:rPr>
        <w:t>5</w:t>
      </w:r>
      <w:r w:rsidRPr="006011EB">
        <w:rPr>
          <w:rFonts w:ascii="Arial" w:eastAsia="Times New Roman" w:hAnsi="Arial" w:cs="Arial"/>
          <w:lang w:val="x-none" w:eastAsia="zh-CN"/>
        </w:rPr>
        <w:t>,</w:t>
      </w:r>
      <w:r w:rsidRPr="006011EB">
        <w:rPr>
          <w:rFonts w:ascii="Arial" w:eastAsia="Times New Roman" w:hAnsi="Arial" w:cs="Arial"/>
          <w:lang w:eastAsia="zh-CN"/>
        </w:rPr>
        <w:t>07</w:t>
      </w:r>
      <w:r w:rsidRPr="006011EB">
        <w:rPr>
          <w:rFonts w:ascii="Arial" w:eastAsia="Times New Roman" w:hAnsi="Arial" w:cs="Arial"/>
          <w:lang w:val="x-none" w:eastAsia="zh-CN"/>
        </w:rPr>
        <w:t>.</w:t>
      </w:r>
    </w:p>
    <w:p w14:paraId="3E38E00B" w14:textId="77777777" w:rsidR="006011EB" w:rsidRPr="006011EB" w:rsidRDefault="006011EB" w:rsidP="006011EB">
      <w:pPr>
        <w:widowControl w:val="0"/>
        <w:numPr>
          <w:ilvl w:val="0"/>
          <w:numId w:val="100"/>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x-none" w:eastAsia="zh-CN"/>
        </w:rPr>
        <w:t>VII.4 = reglementarea sistemului de transport "park and ride"</w:t>
      </w:r>
      <w:r w:rsidRPr="006011EB">
        <w:rPr>
          <w:rFonts w:ascii="Arial" w:eastAsia="Times New Roman" w:hAnsi="Arial" w:cs="Arial"/>
          <w:lang w:eastAsia="zh-CN"/>
        </w:rPr>
        <w:t xml:space="preserve"> </w:t>
      </w:r>
      <w:r w:rsidRPr="006011EB">
        <w:rPr>
          <w:rFonts w:ascii="Arial" w:eastAsia="Times New Roman" w:hAnsi="Arial" w:cs="Arial"/>
          <w:lang w:val="x-none" w:eastAsia="zh-CN"/>
        </w:rPr>
        <w:t xml:space="preserve">– scor AMC = </w:t>
      </w:r>
      <w:r w:rsidRPr="006011EB">
        <w:rPr>
          <w:rFonts w:ascii="Arial" w:eastAsia="Times New Roman" w:hAnsi="Arial" w:cs="Arial"/>
          <w:lang w:eastAsia="zh-CN"/>
        </w:rPr>
        <w:t>6</w:t>
      </w:r>
      <w:r w:rsidRPr="006011EB">
        <w:rPr>
          <w:rFonts w:ascii="Arial" w:eastAsia="Times New Roman" w:hAnsi="Arial" w:cs="Arial"/>
          <w:lang w:val="x-none" w:eastAsia="zh-CN"/>
        </w:rPr>
        <w:t>,</w:t>
      </w:r>
      <w:r w:rsidRPr="006011EB">
        <w:rPr>
          <w:rFonts w:ascii="Arial" w:eastAsia="Times New Roman" w:hAnsi="Arial" w:cs="Arial"/>
          <w:lang w:eastAsia="zh-CN"/>
        </w:rPr>
        <w:t>74</w:t>
      </w:r>
      <w:r w:rsidRPr="006011EB">
        <w:rPr>
          <w:rFonts w:ascii="Arial" w:eastAsia="Times New Roman" w:hAnsi="Arial" w:cs="Arial"/>
          <w:lang w:val="x-none" w:eastAsia="zh-CN"/>
        </w:rPr>
        <w:t>.</w:t>
      </w:r>
    </w:p>
    <w:p w14:paraId="26F7DA38" w14:textId="77777777" w:rsidR="006011EB" w:rsidRPr="007B577D" w:rsidRDefault="006011EB" w:rsidP="006011EB">
      <w:pPr>
        <w:widowControl w:val="0"/>
        <w:suppressAutoHyphens/>
        <w:spacing w:after="0" w:line="276" w:lineRule="auto"/>
        <w:jc w:val="both"/>
        <w:rPr>
          <w:rFonts w:ascii="Arial" w:hAnsi="Arial" w:cs="Arial"/>
          <w:kern w:val="1"/>
          <w:lang w:val="es-ES" w:eastAsia="hi-IN" w:bidi="hi-IN"/>
        </w:rPr>
      </w:pPr>
      <w:r w:rsidRPr="007B577D">
        <w:rPr>
          <w:rFonts w:ascii="Arial" w:hAnsi="Arial" w:cs="Arial"/>
          <w:kern w:val="1"/>
          <w:lang w:val="es-ES" w:eastAsia="hi-IN" w:bidi="hi-IN"/>
        </w:rPr>
        <w:t>Dintre proiectele enumerate mai sus, conform criteriilor stabilite, pe lista proiectelor de rezervă sau a celor care nu vor fi implementate vor intra:</w:t>
      </w:r>
    </w:p>
    <w:p w14:paraId="0D7B501E" w14:textId="77777777" w:rsidR="006011EB" w:rsidRPr="007B577D" w:rsidRDefault="006011EB" w:rsidP="006011EB">
      <w:pPr>
        <w:widowControl w:val="0"/>
        <w:numPr>
          <w:ilvl w:val="0"/>
          <w:numId w:val="99"/>
        </w:numPr>
        <w:suppressAutoHyphens/>
        <w:spacing w:after="0" w:line="276" w:lineRule="auto"/>
        <w:jc w:val="both"/>
        <w:rPr>
          <w:rFonts w:ascii="Arial" w:eastAsia="Times New Roman" w:hAnsi="Arial" w:cs="Arial"/>
          <w:lang w:val="x-none" w:eastAsia="zh-CN"/>
        </w:rPr>
      </w:pPr>
      <w:r w:rsidRPr="007B577D">
        <w:rPr>
          <w:rFonts w:ascii="Arial" w:eastAsia="Times New Roman" w:hAnsi="Arial" w:cs="Arial"/>
          <w:lang w:val="x-none" w:eastAsia="zh-CN"/>
        </w:rPr>
        <w:t>VII.5 = crearea unei baze de date GIS a tuturor locurilor de parcare din oras</w:t>
      </w:r>
      <w:r w:rsidRPr="007B577D">
        <w:rPr>
          <w:rFonts w:ascii="Arial" w:eastAsia="Times New Roman" w:hAnsi="Arial" w:cs="Arial"/>
          <w:lang w:eastAsia="zh-CN"/>
        </w:rPr>
        <w:t xml:space="preserve"> </w:t>
      </w:r>
      <w:r w:rsidRPr="007B577D">
        <w:rPr>
          <w:rFonts w:ascii="Arial" w:eastAsia="Times New Roman" w:hAnsi="Arial" w:cs="Arial"/>
          <w:lang w:val="x-none" w:eastAsia="zh-CN"/>
        </w:rPr>
        <w:t xml:space="preserve">– scor AMC = </w:t>
      </w:r>
      <w:r w:rsidRPr="007B577D">
        <w:rPr>
          <w:rFonts w:ascii="Arial" w:eastAsia="Times New Roman" w:hAnsi="Arial" w:cs="Arial"/>
          <w:lang w:eastAsia="zh-CN"/>
        </w:rPr>
        <w:t>4</w:t>
      </w:r>
      <w:r w:rsidRPr="007B577D">
        <w:rPr>
          <w:rFonts w:ascii="Arial" w:eastAsia="Times New Roman" w:hAnsi="Arial" w:cs="Arial"/>
          <w:lang w:val="x-none" w:eastAsia="zh-CN"/>
        </w:rPr>
        <w:t>,</w:t>
      </w:r>
      <w:r w:rsidRPr="007B577D">
        <w:rPr>
          <w:rFonts w:ascii="Arial" w:eastAsia="Times New Roman" w:hAnsi="Arial" w:cs="Arial"/>
          <w:lang w:eastAsia="zh-CN"/>
        </w:rPr>
        <w:t>99</w:t>
      </w:r>
      <w:r w:rsidRPr="007B577D">
        <w:rPr>
          <w:rFonts w:ascii="Arial" w:eastAsia="Times New Roman" w:hAnsi="Arial" w:cs="Arial"/>
          <w:lang w:val="x-none" w:eastAsia="zh-CN"/>
        </w:rPr>
        <w:t>.</w:t>
      </w:r>
    </w:p>
    <w:p w14:paraId="4EBD4419" w14:textId="77777777" w:rsidR="007B577D" w:rsidRDefault="007B577D" w:rsidP="006011EB">
      <w:pPr>
        <w:widowControl w:val="0"/>
        <w:suppressAutoHyphens/>
        <w:spacing w:after="0" w:line="276" w:lineRule="auto"/>
        <w:jc w:val="both"/>
        <w:rPr>
          <w:rFonts w:ascii="Arial" w:hAnsi="Arial" w:cs="Arial"/>
          <w:b/>
          <w:kern w:val="1"/>
          <w:lang w:val="es-ES" w:eastAsia="hi-IN" w:bidi="hi-IN"/>
        </w:rPr>
      </w:pPr>
    </w:p>
    <w:p w14:paraId="4DEA4B92" w14:textId="77777777" w:rsidR="006011EB" w:rsidRPr="006011EB" w:rsidRDefault="006011EB" w:rsidP="006011EB">
      <w:pPr>
        <w:widowControl w:val="0"/>
        <w:suppressAutoHyphens/>
        <w:spacing w:after="0" w:line="276" w:lineRule="auto"/>
        <w:jc w:val="both"/>
        <w:rPr>
          <w:rFonts w:ascii="Arial" w:eastAsia="Arial" w:hAnsi="Arial" w:cs="Arial"/>
          <w:kern w:val="1"/>
          <w:lang w:val="es-ES" w:eastAsia="hi-IN" w:bidi="hi-IN"/>
        </w:rPr>
      </w:pPr>
      <w:r w:rsidRPr="006011EB">
        <w:rPr>
          <w:rFonts w:ascii="Arial" w:hAnsi="Arial" w:cs="Arial"/>
          <w:b/>
          <w:kern w:val="1"/>
          <w:lang w:val="es-ES" w:eastAsia="hi-IN" w:bidi="hi-IN"/>
        </w:rPr>
        <w:t>Managementul mobilității și ITS</w:t>
      </w:r>
    </w:p>
    <w:p w14:paraId="30620DBC" w14:textId="4A75825F" w:rsidR="006011EB" w:rsidRPr="006011EB" w:rsidRDefault="006011EB" w:rsidP="006011EB">
      <w:pPr>
        <w:suppressAutoHyphens/>
        <w:autoSpaceDE w:val="0"/>
        <w:spacing w:after="0" w:line="276" w:lineRule="auto"/>
        <w:jc w:val="both"/>
        <w:rPr>
          <w:rFonts w:ascii="Arial" w:eastAsia="Arial" w:hAnsi="Arial" w:cs="Arial"/>
          <w:color w:val="000000"/>
          <w:lang w:val="es-ES" w:eastAsia="zh-CN"/>
        </w:rPr>
      </w:pPr>
      <w:r w:rsidRPr="006011EB">
        <w:rPr>
          <w:rFonts w:ascii="Arial" w:eastAsia="Arial" w:hAnsi="Arial" w:cs="Arial"/>
          <w:color w:val="000000"/>
          <w:lang w:val="es-ES" w:eastAsia="zh-CN"/>
        </w:rPr>
        <w:lastRenderedPageBreak/>
        <w:t>”M</w:t>
      </w:r>
      <w:r w:rsidRPr="006011EB">
        <w:rPr>
          <w:rFonts w:ascii="Arial" w:eastAsia="Calibri" w:hAnsi="Arial" w:cs="Arial"/>
          <w:color w:val="000000"/>
          <w:lang w:val="es-ES" w:eastAsia="zh-CN"/>
        </w:rPr>
        <w:t xml:space="preserve">anagementul mobilităţii” (MM) este un concept care promovează transportul durabil şi tratează problema cererii de maşini prin schimbarea atitudinii şi a comportamentului individului. În centrul unui proiect de MM stau măsurile “soft”, cum ar fi: informarea şi comunicarea, organizarea serviciilor şi coordonarea activităţilor diverşilor parteneri. Aceste tipuri de măsuri intensifică adesea eficacitatea acţiunilor legate de infrastructura transportului urban (ex. noi linii de transport în comun, noi drumuri şi </w:t>
      </w:r>
      <w:r w:rsidR="00A27348">
        <w:rPr>
          <w:rFonts w:ascii="Arial" w:eastAsia="Calibri" w:hAnsi="Arial" w:cs="Arial"/>
          <w:color w:val="000000"/>
          <w:lang w:val="es-ES" w:eastAsia="zh-CN"/>
        </w:rPr>
        <w:t>infrastructuri pentru</w:t>
      </w:r>
      <w:r w:rsidRPr="006011EB">
        <w:rPr>
          <w:rFonts w:ascii="Arial" w:eastAsia="Calibri" w:hAnsi="Arial" w:cs="Arial"/>
          <w:color w:val="000000"/>
          <w:lang w:val="es-ES" w:eastAsia="zh-CN"/>
        </w:rPr>
        <w:t xml:space="preserve"> biciclete). Măsurile pentru Managementul Mobilităţii (în comparaţie cu măsurile de infrastructură) nu necesită neaparat investiţii financiare ridicate şi pot avea un raport favorabil cost-beneficiu. Pentru a-şi atinge scopul, MM pune în practică: </w:t>
      </w:r>
    </w:p>
    <w:p w14:paraId="3CB5BC24" w14:textId="77777777" w:rsidR="006011EB" w:rsidRPr="006011EB" w:rsidRDefault="006011EB" w:rsidP="000C6CB8">
      <w:pPr>
        <w:numPr>
          <w:ilvl w:val="0"/>
          <w:numId w:val="180"/>
        </w:numPr>
        <w:suppressAutoHyphens/>
        <w:autoSpaceDE w:val="0"/>
        <w:spacing w:after="0" w:line="276" w:lineRule="auto"/>
        <w:ind w:left="45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Campanii şi promoţii care susţin mersul pe jos, cu bicicleta sau cu transportul public. </w:t>
      </w:r>
    </w:p>
    <w:p w14:paraId="22FF7890" w14:textId="77777777" w:rsidR="006011EB" w:rsidRPr="006011EB" w:rsidRDefault="006011EB" w:rsidP="000C6CB8">
      <w:pPr>
        <w:numPr>
          <w:ilvl w:val="0"/>
          <w:numId w:val="180"/>
        </w:numPr>
        <w:suppressAutoHyphens/>
        <w:autoSpaceDE w:val="0"/>
        <w:spacing w:after="0" w:line="276" w:lineRule="auto"/>
        <w:ind w:left="45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Este oferită consultanţă de călătorie dacă doreşti să afli unde eşti şi cum poţi reduce utilizarea autoturismului. </w:t>
      </w:r>
    </w:p>
    <w:p w14:paraId="3DC0EABA" w14:textId="77777777" w:rsidR="006011EB" w:rsidRPr="006011EB" w:rsidRDefault="006011EB" w:rsidP="000C6CB8">
      <w:pPr>
        <w:numPr>
          <w:ilvl w:val="0"/>
          <w:numId w:val="180"/>
        </w:numPr>
        <w:suppressAutoHyphens/>
        <w:autoSpaceDE w:val="0"/>
        <w:spacing w:after="0" w:line="276" w:lineRule="auto"/>
        <w:ind w:left="45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La locul de muncă: angajatorul îţi va plăti costurile călătoriei cu transportul public pentru a te încuraja să nu foloseşti autoturismul personal pentru a te deplasa la serviciu. </w:t>
      </w:r>
    </w:p>
    <w:p w14:paraId="2CF9C72D" w14:textId="77777777" w:rsidR="006011EB" w:rsidRPr="006011EB" w:rsidRDefault="006011EB" w:rsidP="000C6CB8">
      <w:pPr>
        <w:numPr>
          <w:ilvl w:val="0"/>
          <w:numId w:val="180"/>
        </w:numPr>
        <w:suppressAutoHyphens/>
        <w:autoSpaceDE w:val="0"/>
        <w:spacing w:after="0" w:line="276" w:lineRule="auto"/>
        <w:ind w:left="45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Acasă: poţi beneficia de un serviciu de “car sharing”, disponibil pe strada pe care locuieşti. </w:t>
      </w:r>
    </w:p>
    <w:p w14:paraId="055AC884" w14:textId="77777777" w:rsidR="006011EB" w:rsidRPr="006011EB" w:rsidRDefault="006011EB" w:rsidP="000C6CB8">
      <w:pPr>
        <w:numPr>
          <w:ilvl w:val="0"/>
          <w:numId w:val="180"/>
        </w:numPr>
        <w:suppressAutoHyphens/>
        <w:autoSpaceDE w:val="0"/>
        <w:spacing w:after="0" w:line="276" w:lineRule="auto"/>
        <w:ind w:left="45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La şcoala copiilor tăi: dacă utilizezi transportul public în călătorii ai putea avea acces la serviciile de consultanţă oferite de centrul regional de transport.</w:t>
      </w:r>
    </w:p>
    <w:p w14:paraId="06CB2827" w14:textId="77777777" w:rsidR="006011EB" w:rsidRPr="006011EB" w:rsidRDefault="006011EB" w:rsidP="000C6CB8">
      <w:pPr>
        <w:numPr>
          <w:ilvl w:val="0"/>
          <w:numId w:val="180"/>
        </w:numPr>
        <w:suppressAutoHyphens/>
        <w:autoSpaceDE w:val="0"/>
        <w:spacing w:after="0" w:line="276" w:lineRule="auto"/>
        <w:ind w:left="45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Autorizaţiile de construcţie ar putea fi conectate după anumite norme astfel încât să permita minimizarea transportului la noua locaţie, de exemplu: dezvoltarea unui plan de transport durabil pentru deplasarea angajaţilor, vizitatorilor, prin promovarea utilizării mijloacelor ecologice de transport sau prin limitarea numărului locurilor de parcare alocate. </w:t>
      </w:r>
    </w:p>
    <w:p w14:paraId="3AD01C7C" w14:textId="77777777" w:rsidR="006011EB" w:rsidRPr="006011EB" w:rsidRDefault="006011EB" w:rsidP="000C6CB8">
      <w:pPr>
        <w:numPr>
          <w:ilvl w:val="0"/>
          <w:numId w:val="180"/>
        </w:numPr>
        <w:suppressAutoHyphens/>
        <w:autoSpaceDE w:val="0"/>
        <w:spacing w:after="0" w:line="276" w:lineRule="auto"/>
        <w:ind w:left="450" w:hanging="270"/>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În mod obişnuit, măsurile MM sunt rareori implementate izolat, ele fiind structurate mai mult în pachete de măsuri (măsuri combinate cu proiecte de infrastructură, norme financiare sau reglementări). </w:t>
      </w:r>
    </w:p>
    <w:p w14:paraId="5CE1A35A" w14:textId="77777777" w:rsidR="006011EB" w:rsidRPr="006011EB" w:rsidRDefault="006011EB" w:rsidP="006011EB">
      <w:pPr>
        <w:suppressAutoHyphens/>
        <w:autoSpaceDE w:val="0"/>
        <w:spacing w:after="0" w:line="360" w:lineRule="auto"/>
        <w:ind w:left="450" w:hanging="270"/>
        <w:jc w:val="both"/>
        <w:rPr>
          <w:rFonts w:ascii="Arial" w:eastAsia="Calibri" w:hAnsi="Arial" w:cs="Arial"/>
          <w:color w:val="000000"/>
          <w:sz w:val="24"/>
          <w:szCs w:val="24"/>
          <w:lang w:val="es-ES" w:eastAsia="zh-CN"/>
        </w:rPr>
      </w:pPr>
    </w:p>
    <w:p w14:paraId="57449986" w14:textId="2978EC63"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i/>
          <w:iCs/>
          <w:color w:val="000000"/>
          <w:lang w:val="es-ES" w:eastAsia="zh-CN"/>
        </w:rPr>
        <w:t>MM este orientat pe cerere – şi nu pe resurse.</w:t>
      </w:r>
      <w:r w:rsidRPr="006011EB">
        <w:rPr>
          <w:rFonts w:ascii="Arial" w:eastAsia="Calibri" w:hAnsi="Arial" w:cs="Arial"/>
          <w:b/>
          <w:color w:val="000000"/>
          <w:lang w:val="es-ES" w:eastAsia="zh-CN"/>
        </w:rPr>
        <w:t xml:space="preserve"> </w:t>
      </w:r>
      <w:r w:rsidRPr="006011EB">
        <w:rPr>
          <w:rFonts w:ascii="Arial" w:eastAsia="Calibri" w:hAnsi="Arial" w:cs="Arial"/>
          <w:color w:val="000000"/>
          <w:lang w:val="es-ES" w:eastAsia="zh-CN"/>
        </w:rPr>
        <w:t xml:space="preserve">Aceasta înseamnă că realizarea de noi linii de transport public, </w:t>
      </w:r>
      <w:r w:rsidR="00A27348">
        <w:rPr>
          <w:rFonts w:ascii="Arial" w:eastAsia="Calibri" w:hAnsi="Arial" w:cs="Arial"/>
          <w:color w:val="000000"/>
          <w:lang w:val="es-ES" w:eastAsia="zh-CN"/>
        </w:rPr>
        <w:t>infrastructuri</w:t>
      </w:r>
      <w:r w:rsidRPr="006011EB">
        <w:rPr>
          <w:rFonts w:ascii="Arial" w:eastAsia="Calibri" w:hAnsi="Arial" w:cs="Arial"/>
          <w:color w:val="000000"/>
          <w:lang w:val="es-ES" w:eastAsia="zh-CN"/>
        </w:rPr>
        <w:t xml:space="preserve"> pentru biciclete, drumuri etc. nu sunt considerate ca fiind măsuri MM, toate acestea fiind măsuri care ţin de resurse. </w:t>
      </w:r>
    </w:p>
    <w:p w14:paraId="7DC27DBF"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295F00F3"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i/>
          <w:iCs/>
          <w:color w:val="000000"/>
          <w:lang w:val="es-ES" w:eastAsia="zh-CN"/>
        </w:rPr>
        <w:t>Măsurile pentru infrastructură pot susţine măsurile pentru MM.</w:t>
      </w:r>
      <w:r w:rsidRPr="006011EB">
        <w:rPr>
          <w:rFonts w:ascii="Arial" w:eastAsia="Calibri" w:hAnsi="Arial" w:cs="Arial"/>
          <w:b/>
          <w:color w:val="000000"/>
          <w:lang w:val="es-ES" w:eastAsia="zh-CN"/>
        </w:rPr>
        <w:t xml:space="preserve"> </w:t>
      </w:r>
      <w:r w:rsidRPr="006011EB">
        <w:rPr>
          <w:rFonts w:ascii="Arial" w:eastAsia="Calibri" w:hAnsi="Arial" w:cs="Arial"/>
          <w:color w:val="000000"/>
          <w:lang w:val="es-ES" w:eastAsia="zh-CN"/>
        </w:rPr>
        <w:t xml:space="preserve">În mai multe ţări, MM este văzut precum o măsură bazată pe o locaţie-conectată pereche la o locaţie generatorare de trafic, precum o companie, o şcoală, un loc de atracţie locală. Pentru un spital sau un complex de afaceri un pachet de măsuri pentru MM poate include coroborat infrastructurii: parcări de biciclete, staţii de TP, parcări pentru automobile. </w:t>
      </w:r>
    </w:p>
    <w:p w14:paraId="3CB427CB"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66677574"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i/>
          <w:iCs/>
          <w:color w:val="000000"/>
          <w:lang w:val="es-ES" w:eastAsia="zh-CN"/>
        </w:rPr>
        <w:t>Legislaţia, stimulentele financiare sau măsurile pentru reducerea costurilor sunt parte MM,</w:t>
      </w:r>
      <w:r w:rsidRPr="006011EB">
        <w:rPr>
          <w:rFonts w:ascii="Arial" w:eastAsia="Calibri" w:hAnsi="Arial" w:cs="Arial"/>
          <w:b/>
          <w:color w:val="000000"/>
          <w:lang w:val="es-ES" w:eastAsia="zh-CN"/>
        </w:rPr>
        <w:t xml:space="preserve"> </w:t>
      </w:r>
      <w:r w:rsidRPr="006011EB">
        <w:rPr>
          <w:rFonts w:ascii="Arial" w:eastAsia="Calibri" w:hAnsi="Arial" w:cs="Arial"/>
          <w:color w:val="000000"/>
          <w:lang w:val="es-ES" w:eastAsia="zh-CN"/>
        </w:rPr>
        <w:t xml:space="preserve">în cazul în care susţin măsuri concrete MM care se încadrează în condiţiile descrise mai sus. </w:t>
      </w:r>
    </w:p>
    <w:p w14:paraId="2A11D3C2"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08F5938B" w14:textId="77777777" w:rsidR="006011EB" w:rsidRPr="006011EB" w:rsidRDefault="006011EB" w:rsidP="006011EB">
      <w:pPr>
        <w:suppressAutoHyphens/>
        <w:autoSpaceDE w:val="0"/>
        <w:spacing w:after="0" w:line="276" w:lineRule="auto"/>
        <w:jc w:val="both"/>
        <w:rPr>
          <w:rFonts w:ascii="Arial" w:eastAsia="Calibri" w:hAnsi="Arial" w:cs="Arial"/>
          <w:b/>
          <w:color w:val="000000"/>
          <w:lang w:val="es-ES" w:eastAsia="zh-CN"/>
        </w:rPr>
      </w:pPr>
      <w:r w:rsidRPr="006011EB">
        <w:rPr>
          <w:rFonts w:ascii="Arial" w:eastAsia="Calibri" w:hAnsi="Arial" w:cs="Arial"/>
          <w:color w:val="000000"/>
          <w:lang w:val="es-ES" w:eastAsia="zh-CN"/>
        </w:rPr>
        <w:t xml:space="preserve">În continuare se încearcă o listare accesibilă şi o împărţire în categorii a acestor măsuri, care pot conduce la reducerea congestiei. </w:t>
      </w:r>
    </w:p>
    <w:p w14:paraId="5029FBB5" w14:textId="3E2ED252" w:rsidR="006011EB" w:rsidRDefault="006011EB" w:rsidP="006011EB">
      <w:pPr>
        <w:suppressAutoHyphens/>
        <w:autoSpaceDE w:val="0"/>
        <w:spacing w:after="0" w:line="360" w:lineRule="auto"/>
        <w:jc w:val="both"/>
        <w:rPr>
          <w:rFonts w:ascii="Arial" w:eastAsia="Calibri" w:hAnsi="Arial" w:cs="Arial"/>
          <w:b/>
          <w:color w:val="000000"/>
          <w:sz w:val="24"/>
          <w:szCs w:val="24"/>
          <w:lang w:val="es-ES" w:eastAsia="zh-CN"/>
        </w:rPr>
      </w:pPr>
    </w:p>
    <w:p w14:paraId="254778CB" w14:textId="41F1D7E4" w:rsidR="00F657B5" w:rsidRDefault="00F657B5" w:rsidP="006011EB">
      <w:pPr>
        <w:suppressAutoHyphens/>
        <w:autoSpaceDE w:val="0"/>
        <w:spacing w:after="0" w:line="360" w:lineRule="auto"/>
        <w:jc w:val="both"/>
        <w:rPr>
          <w:rFonts w:ascii="Arial" w:eastAsia="Calibri" w:hAnsi="Arial" w:cs="Arial"/>
          <w:b/>
          <w:color w:val="000000"/>
          <w:sz w:val="24"/>
          <w:szCs w:val="24"/>
          <w:lang w:val="es-ES" w:eastAsia="zh-CN"/>
        </w:rPr>
      </w:pPr>
    </w:p>
    <w:p w14:paraId="75F41EFD" w14:textId="77777777" w:rsidR="00F657B5" w:rsidRPr="006011EB" w:rsidRDefault="00F657B5" w:rsidP="006011EB">
      <w:pPr>
        <w:suppressAutoHyphens/>
        <w:autoSpaceDE w:val="0"/>
        <w:spacing w:after="0" w:line="360" w:lineRule="auto"/>
        <w:jc w:val="both"/>
        <w:rPr>
          <w:rFonts w:ascii="Arial" w:eastAsia="Calibri" w:hAnsi="Arial" w:cs="Arial"/>
          <w:b/>
          <w:color w:val="000000"/>
          <w:sz w:val="24"/>
          <w:szCs w:val="24"/>
          <w:lang w:val="es-ES" w:eastAsia="zh-CN"/>
        </w:rPr>
      </w:pPr>
    </w:p>
    <w:p w14:paraId="75AA4224" w14:textId="77777777" w:rsidR="006011EB" w:rsidRPr="006011EB" w:rsidRDefault="006011EB" w:rsidP="006011EB">
      <w:pPr>
        <w:suppressAutoHyphens/>
        <w:autoSpaceDE w:val="0"/>
        <w:spacing w:after="0" w:line="360" w:lineRule="auto"/>
        <w:jc w:val="both"/>
        <w:rPr>
          <w:rFonts w:ascii="Arial" w:eastAsia="Calibri" w:hAnsi="Arial" w:cs="Arial"/>
          <w:color w:val="000000"/>
          <w:lang w:val="es-ES" w:eastAsia="zh-CN"/>
        </w:rPr>
      </w:pPr>
      <w:r w:rsidRPr="006011EB">
        <w:rPr>
          <w:rFonts w:ascii="Arial" w:eastAsia="Calibri" w:hAnsi="Arial" w:cs="Arial"/>
          <w:b/>
          <w:color w:val="000000"/>
          <w:lang w:val="es-ES" w:eastAsia="zh-CN"/>
        </w:rPr>
        <w:lastRenderedPageBreak/>
        <w:t xml:space="preserve">a) Măsuri de informare </w:t>
      </w:r>
    </w:p>
    <w:p w14:paraId="1FB854CB" w14:textId="77777777" w:rsidR="006011EB" w:rsidRPr="006011EB" w:rsidRDefault="006011EB" w:rsidP="006011EB">
      <w:pPr>
        <w:suppressAutoHyphens/>
        <w:autoSpaceDE w:val="0"/>
        <w:spacing w:after="0" w:line="276" w:lineRule="auto"/>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Aceste măsuri se bazează în principal pe cererile călătorilor şi asigură informaţiile cerute de (potenţialul) călător prin orice mijloc media posibil. Exemplele includ: </w:t>
      </w:r>
    </w:p>
    <w:p w14:paraId="7D99B101" w14:textId="77777777" w:rsidR="006011EB" w:rsidRPr="006011EB" w:rsidRDefault="006011EB" w:rsidP="000C6CB8">
      <w:pPr>
        <w:numPr>
          <w:ilvl w:val="0"/>
          <w:numId w:val="181"/>
        </w:numPr>
        <w:suppressAutoHyphens/>
        <w:autoSpaceDE w:val="0"/>
        <w:spacing w:after="0" w:line="276" w:lineRule="auto"/>
        <w:ind w:left="270" w:hanging="18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Informaţiile şi sfaturile de călătorie ale centrului local de transport. </w:t>
      </w:r>
    </w:p>
    <w:p w14:paraId="0C287B96" w14:textId="77777777" w:rsidR="006011EB" w:rsidRPr="006011EB" w:rsidRDefault="006011EB" w:rsidP="000C6CB8">
      <w:pPr>
        <w:numPr>
          <w:ilvl w:val="0"/>
          <w:numId w:val="181"/>
        </w:numPr>
        <w:suppressAutoHyphens/>
        <w:autoSpaceDE w:val="0"/>
        <w:spacing w:after="0" w:line="276" w:lineRule="auto"/>
        <w:ind w:left="270" w:hanging="18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Informaţii de călătorie transmise prin mijloace tehnologice, înainte şi în timpul călătoriei. </w:t>
      </w:r>
    </w:p>
    <w:p w14:paraId="0819E5AA" w14:textId="77777777" w:rsidR="006011EB" w:rsidRPr="006011EB" w:rsidRDefault="006011EB" w:rsidP="000C6CB8">
      <w:pPr>
        <w:numPr>
          <w:ilvl w:val="0"/>
          <w:numId w:val="181"/>
        </w:numPr>
        <w:suppressAutoHyphens/>
        <w:autoSpaceDE w:val="0"/>
        <w:spacing w:after="0" w:line="276" w:lineRule="auto"/>
        <w:ind w:left="270" w:hanging="180"/>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Marketingul metodelor durabile prin publicitate sau prin folosirea tehnicilor alternative de promovare, cum ar fi împărţirea de pliante din uşă în uşă. </w:t>
      </w:r>
    </w:p>
    <w:p w14:paraId="648C58C3" w14:textId="77777777" w:rsidR="006011EB" w:rsidRPr="006011EB" w:rsidRDefault="006011EB" w:rsidP="006011EB">
      <w:pPr>
        <w:suppressAutoHyphens/>
        <w:autoSpaceDE w:val="0"/>
        <w:spacing w:after="0" w:line="360" w:lineRule="auto"/>
        <w:jc w:val="both"/>
        <w:rPr>
          <w:rFonts w:ascii="Arial" w:eastAsia="Calibri" w:hAnsi="Arial" w:cs="Arial"/>
          <w:color w:val="000000"/>
          <w:lang w:val="es-ES" w:eastAsia="zh-CN"/>
        </w:rPr>
      </w:pPr>
    </w:p>
    <w:p w14:paraId="77361EE8"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b/>
          <w:color w:val="000000"/>
          <w:lang w:val="es-ES" w:eastAsia="zh-CN"/>
        </w:rPr>
        <w:t xml:space="preserve">b) Măsuri promoţionale </w:t>
      </w:r>
    </w:p>
    <w:p w14:paraId="724CA3F6" w14:textId="77777777" w:rsidR="006011EB" w:rsidRPr="006011EB" w:rsidRDefault="006011EB" w:rsidP="006011EB">
      <w:pPr>
        <w:suppressAutoHyphens/>
        <w:autoSpaceDE w:val="0"/>
        <w:spacing w:after="0" w:line="276" w:lineRule="auto"/>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Această categorie de măsuri are în centru ideea încurajării voluntare a schimbării comportamentului prin creşterea nivelului de conştientizare, promovarea alternativelor ecologice la folosirea autoturismului şi furnizarea de informaţii. Aşadar, acest grup de măsuri nu propune niciun nou mijloc alternativ de transport, ci încearcă mai degrabă să încurajeze folosirea mijloacelor alternative deja existente. Măsurile sunt: </w:t>
      </w:r>
    </w:p>
    <w:p w14:paraId="013B13F9" w14:textId="77777777" w:rsidR="006011EB" w:rsidRPr="006011EB" w:rsidRDefault="006011EB" w:rsidP="000C6CB8">
      <w:pPr>
        <w:numPr>
          <w:ilvl w:val="0"/>
          <w:numId w:val="182"/>
        </w:numPr>
        <w:suppressAutoHyphens/>
        <w:autoSpaceDE w:val="0"/>
        <w:spacing w:after="0" w:line="276" w:lineRule="auto"/>
        <w:ind w:left="36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Asistenţă de călătorie personalizată: ajută călătorul să afle cum poate să reducă utilizarea autoturismului pe ruta sa de călătorie. </w:t>
      </w:r>
    </w:p>
    <w:p w14:paraId="5279F7D2" w14:textId="77777777" w:rsidR="006011EB" w:rsidRPr="006011EB" w:rsidRDefault="006011EB" w:rsidP="000C6CB8">
      <w:pPr>
        <w:numPr>
          <w:ilvl w:val="0"/>
          <w:numId w:val="182"/>
        </w:numPr>
        <w:suppressAutoHyphens/>
        <w:autoSpaceDE w:val="0"/>
        <w:spacing w:after="0" w:line="276" w:lineRule="auto"/>
        <w:ind w:left="36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Campanii publicitare şi alte tipuri de promovare (ex. ziua fără maşini) ajută la încurajarea oamenilor să încerce mersul pe jos, pe bicicletă sau cu transportul public (uneori asociate cu promovarea sănătăţii). </w:t>
      </w:r>
    </w:p>
    <w:p w14:paraId="2C250E41" w14:textId="77777777" w:rsidR="006011EB" w:rsidRPr="006011EB" w:rsidRDefault="006011EB" w:rsidP="000C6CB8">
      <w:pPr>
        <w:numPr>
          <w:ilvl w:val="0"/>
          <w:numId w:val="182"/>
        </w:numPr>
        <w:suppressAutoHyphens/>
        <w:autoSpaceDE w:val="0"/>
        <w:spacing w:after="0" w:line="276" w:lineRule="auto"/>
        <w:ind w:left="360" w:hanging="270"/>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Promovarea mijloacelor de transport alternative şi a reducerii folosirii individuale a autoturismului, în medii specializate. Această măsură poate include proiecte de colaborare între agenţiile de transport şi elevi sau de abordare a cartierelor rezidenţiale prin punerea la dispoziţia acestora de resurse precum: ghiduri de transport, de cumpărături, încurajând astfel locuitorii să-şi schimbe modul obişnuit de transport. </w:t>
      </w:r>
    </w:p>
    <w:p w14:paraId="24A0A630"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4214395B"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b/>
          <w:color w:val="000000"/>
          <w:lang w:val="es-ES" w:eastAsia="zh-CN"/>
        </w:rPr>
        <w:t xml:space="preserve">c) Măsuri de organizare şi coordonare </w:t>
      </w:r>
    </w:p>
    <w:p w14:paraId="1CE9418F" w14:textId="77777777" w:rsidR="006011EB" w:rsidRPr="006011EB" w:rsidRDefault="006011EB" w:rsidP="006011EB">
      <w:pPr>
        <w:suppressAutoHyphens/>
        <w:autoSpaceDE w:val="0"/>
        <w:spacing w:after="0" w:line="276" w:lineRule="auto"/>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După cum sugerează şi numele, această categorie oferă, organizează şi coordonează diverse tipuri de servicii ale Managementului Mobilităţii care oferă alternative la utilizarea individuala a unui autoturism: </w:t>
      </w:r>
    </w:p>
    <w:p w14:paraId="3B84DB33" w14:textId="77777777" w:rsidR="006011EB" w:rsidRPr="006011EB" w:rsidRDefault="006011EB" w:rsidP="000C6CB8">
      <w:pPr>
        <w:numPr>
          <w:ilvl w:val="0"/>
          <w:numId w:val="183"/>
        </w:numPr>
        <w:suppressAutoHyphens/>
        <w:autoSpaceDE w:val="0"/>
        <w:spacing w:after="0" w:line="276" w:lineRule="auto"/>
        <w:ind w:left="36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Servicii la nivel regional sau zonal care facilitează împărţirea unui autoturism de către persoane care au aceeaşi destinaţie şi care sunt dispuse să împartă o maşină pentru a ajunge acolo. </w:t>
      </w:r>
    </w:p>
    <w:p w14:paraId="72D9FB9B" w14:textId="77777777" w:rsidR="006011EB" w:rsidRPr="006011EB" w:rsidRDefault="006011EB" w:rsidP="000C6CB8">
      <w:pPr>
        <w:numPr>
          <w:ilvl w:val="0"/>
          <w:numId w:val="183"/>
        </w:numPr>
        <w:suppressAutoHyphens/>
        <w:autoSpaceDE w:val="0"/>
        <w:spacing w:after="0" w:line="276" w:lineRule="auto"/>
        <w:ind w:left="360" w:hanging="270"/>
        <w:jc w:val="both"/>
        <w:rPr>
          <w:rFonts w:ascii="Arial" w:eastAsia="Arial" w:hAnsi="Arial" w:cs="Arial"/>
          <w:color w:val="000000"/>
          <w:lang w:val="es-ES" w:eastAsia="zh-CN"/>
        </w:rPr>
      </w:pPr>
      <w:r w:rsidRPr="006011EB">
        <w:rPr>
          <w:rFonts w:ascii="Arial" w:eastAsia="Calibri" w:hAnsi="Arial" w:cs="Arial"/>
          <w:color w:val="000000"/>
          <w:lang w:val="es-ES" w:eastAsia="zh-CN"/>
        </w:rPr>
        <w:t>Servicii de închiriere zonală. Acestea pot reprezenta o alternativă la autoturismele (sau bicicletele) personale prin punerea la dispoziţie a unor vehicule care se pot închiria din mai multe centre zonale. Necesitând înregistrare sau carduri de membru aceste servicii de închiriere reprezintă o alternativă rapidă fiindcă se realizează de cele mai multe ori online, iar accesul la maşină se face prin intermediul mijloacelor moderne de acces prin utilizarea la distanţă (telecomenzi, cipuri).</w:t>
      </w:r>
    </w:p>
    <w:p w14:paraId="2F965F79" w14:textId="77777777" w:rsidR="006011EB" w:rsidRPr="006011EB" w:rsidRDefault="006011EB" w:rsidP="000C6CB8">
      <w:pPr>
        <w:numPr>
          <w:ilvl w:val="0"/>
          <w:numId w:val="183"/>
        </w:numPr>
        <w:suppressAutoHyphens/>
        <w:autoSpaceDE w:val="0"/>
        <w:spacing w:after="0" w:line="276" w:lineRule="auto"/>
        <w:ind w:left="360" w:hanging="270"/>
        <w:jc w:val="both"/>
        <w:rPr>
          <w:rFonts w:ascii="Arial" w:eastAsia="Calibri" w:hAnsi="Arial" w:cs="Arial"/>
          <w:b/>
          <w:color w:val="000000"/>
          <w:lang w:val="es-ES" w:eastAsia="zh-CN"/>
        </w:rPr>
      </w:pPr>
      <w:r w:rsidRPr="006011EB">
        <w:rPr>
          <w:rFonts w:ascii="Arial" w:eastAsia="Calibri" w:hAnsi="Arial" w:cs="Arial"/>
          <w:color w:val="000000"/>
          <w:lang w:val="es-ES" w:eastAsia="zh-CN"/>
        </w:rPr>
        <w:t xml:space="preserve">La cerere, regiile de transport în comun pot pune la dispoziţie aşa numitele vehicule „paratransit” (ex. în Germania, Austria, Elveţia poartă denumirea de Anrufsammeltaxi, în Olanda Treintaxi-taxi pe calea ferată). </w:t>
      </w:r>
    </w:p>
    <w:p w14:paraId="5F9C8FDF" w14:textId="77777777" w:rsidR="00357856" w:rsidRPr="006011EB" w:rsidRDefault="00357856" w:rsidP="006011EB">
      <w:pPr>
        <w:suppressAutoHyphens/>
        <w:autoSpaceDE w:val="0"/>
        <w:spacing w:after="0" w:line="360" w:lineRule="auto"/>
        <w:jc w:val="both"/>
        <w:rPr>
          <w:rFonts w:ascii="Arial" w:eastAsia="Calibri" w:hAnsi="Arial" w:cs="Arial"/>
          <w:b/>
          <w:color w:val="000000"/>
          <w:sz w:val="24"/>
          <w:szCs w:val="24"/>
          <w:lang w:val="es-ES" w:eastAsia="zh-CN"/>
        </w:rPr>
      </w:pPr>
    </w:p>
    <w:p w14:paraId="4DB78E40" w14:textId="77777777" w:rsidR="006011EB" w:rsidRPr="006011EB" w:rsidRDefault="006011EB" w:rsidP="006011EB">
      <w:pPr>
        <w:suppressAutoHyphens/>
        <w:autoSpaceDE w:val="0"/>
        <w:spacing w:after="0" w:line="360" w:lineRule="auto"/>
        <w:jc w:val="both"/>
        <w:rPr>
          <w:rFonts w:ascii="Arial" w:eastAsia="Calibri" w:hAnsi="Arial" w:cs="Arial"/>
          <w:color w:val="000000"/>
          <w:sz w:val="24"/>
          <w:szCs w:val="24"/>
          <w:lang w:val="es-ES" w:eastAsia="zh-CN"/>
        </w:rPr>
      </w:pPr>
      <w:r w:rsidRPr="006011EB">
        <w:rPr>
          <w:rFonts w:ascii="Arial" w:eastAsia="Calibri" w:hAnsi="Arial" w:cs="Arial"/>
          <w:b/>
          <w:color w:val="000000"/>
          <w:sz w:val="24"/>
          <w:szCs w:val="24"/>
          <w:lang w:val="es-ES" w:eastAsia="zh-CN"/>
        </w:rPr>
        <w:t xml:space="preserve">d) Măsuri pentru educare şi formare </w:t>
      </w:r>
    </w:p>
    <w:p w14:paraId="15D911E2" w14:textId="77777777" w:rsidR="006011EB" w:rsidRPr="006011EB" w:rsidRDefault="006011EB" w:rsidP="006011EB">
      <w:pPr>
        <w:suppressAutoHyphens/>
        <w:autoSpaceDE w:val="0"/>
        <w:spacing w:after="0" w:line="276" w:lineRule="auto"/>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Această categorie de măsuri se referă la introducerea MM în educaţie sau în formarea personalului cu privire la aspectele MM. Exemplele includ: </w:t>
      </w:r>
    </w:p>
    <w:p w14:paraId="438FBC68" w14:textId="77777777" w:rsidR="006011EB" w:rsidRPr="006011EB" w:rsidRDefault="006011EB" w:rsidP="000C6CB8">
      <w:pPr>
        <w:numPr>
          <w:ilvl w:val="0"/>
          <w:numId w:val="184"/>
        </w:numPr>
        <w:suppressAutoHyphens/>
        <w:autoSpaceDE w:val="0"/>
        <w:spacing w:after="0" w:line="276" w:lineRule="auto"/>
        <w:ind w:left="270" w:hanging="180"/>
        <w:jc w:val="both"/>
        <w:rPr>
          <w:rFonts w:ascii="Arial" w:eastAsia="Arial" w:hAnsi="Arial" w:cs="Arial"/>
          <w:color w:val="000000"/>
          <w:lang w:val="es-ES" w:eastAsia="zh-CN"/>
        </w:rPr>
      </w:pPr>
      <w:r w:rsidRPr="006011EB">
        <w:rPr>
          <w:rFonts w:ascii="Arial" w:eastAsia="Calibri" w:hAnsi="Arial" w:cs="Arial"/>
          <w:color w:val="000000"/>
          <w:lang w:val="es-ES" w:eastAsia="zh-CN"/>
        </w:rPr>
        <w:lastRenderedPageBreak/>
        <w:t xml:space="preserve">Formarea personalului din hoteluri sau centre de cumpărături pentru a putea oferi clienţilor informaţii despre alternativele de mobilitate. </w:t>
      </w:r>
    </w:p>
    <w:p w14:paraId="7C3BA92F" w14:textId="77777777" w:rsidR="006011EB" w:rsidRPr="006011EB" w:rsidRDefault="006011EB" w:rsidP="000C6CB8">
      <w:pPr>
        <w:numPr>
          <w:ilvl w:val="0"/>
          <w:numId w:val="184"/>
        </w:numPr>
        <w:suppressAutoHyphens/>
        <w:autoSpaceDE w:val="0"/>
        <w:spacing w:after="0" w:line="276" w:lineRule="auto"/>
        <w:ind w:left="270" w:hanging="18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Cursuri de MM pentru grupuri specializate cum ar fi personalul sau coordonatorii din Centrele de Mobilitate. </w:t>
      </w:r>
    </w:p>
    <w:p w14:paraId="17D67440" w14:textId="77777777" w:rsidR="006011EB" w:rsidRPr="006011EB" w:rsidRDefault="006011EB" w:rsidP="000C6CB8">
      <w:pPr>
        <w:numPr>
          <w:ilvl w:val="0"/>
          <w:numId w:val="184"/>
        </w:numPr>
        <w:suppressAutoHyphens/>
        <w:autoSpaceDE w:val="0"/>
        <w:spacing w:after="0" w:line="276" w:lineRule="auto"/>
        <w:ind w:left="270" w:hanging="180"/>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Educaţie pentru mobilitate, unde mobilitatea şi felul în care se poate reduce utilizarea autoturismelor, devin părţi integrante ale programelor educaţionale predate în şcoli. </w:t>
      </w:r>
    </w:p>
    <w:p w14:paraId="19367E9D" w14:textId="77777777" w:rsidR="006011EB" w:rsidRPr="006011EB" w:rsidRDefault="006011EB" w:rsidP="006011EB">
      <w:pPr>
        <w:suppressAutoHyphens/>
        <w:autoSpaceDE w:val="0"/>
        <w:spacing w:after="0" w:line="360" w:lineRule="auto"/>
        <w:jc w:val="both"/>
        <w:rPr>
          <w:rFonts w:ascii="Arial" w:eastAsia="Calibri" w:hAnsi="Arial" w:cs="Arial"/>
          <w:b/>
          <w:color w:val="000000"/>
          <w:sz w:val="24"/>
          <w:szCs w:val="24"/>
          <w:lang w:val="es-ES" w:eastAsia="zh-CN"/>
        </w:rPr>
      </w:pPr>
    </w:p>
    <w:p w14:paraId="5AA40BD3" w14:textId="77777777" w:rsidR="006011EB" w:rsidRPr="006011EB" w:rsidRDefault="006011EB" w:rsidP="006011EB">
      <w:pPr>
        <w:suppressAutoHyphens/>
        <w:autoSpaceDE w:val="0"/>
        <w:spacing w:after="0" w:line="360" w:lineRule="auto"/>
        <w:jc w:val="both"/>
        <w:rPr>
          <w:rFonts w:ascii="Arial" w:eastAsia="Calibri" w:hAnsi="Arial" w:cs="Arial"/>
          <w:color w:val="000000"/>
          <w:sz w:val="24"/>
          <w:szCs w:val="24"/>
          <w:lang w:val="es-ES" w:eastAsia="zh-CN"/>
        </w:rPr>
      </w:pPr>
      <w:r w:rsidRPr="006011EB">
        <w:rPr>
          <w:rFonts w:ascii="Arial" w:eastAsia="Calibri" w:hAnsi="Arial" w:cs="Arial"/>
          <w:b/>
          <w:color w:val="000000"/>
          <w:sz w:val="24"/>
          <w:szCs w:val="24"/>
          <w:lang w:val="es-ES" w:eastAsia="zh-CN"/>
        </w:rPr>
        <w:t xml:space="preserve">e) Măsuri locale </w:t>
      </w:r>
    </w:p>
    <w:p w14:paraId="62667FBB" w14:textId="77777777" w:rsidR="006011EB" w:rsidRPr="006011EB" w:rsidRDefault="006011EB" w:rsidP="006011EB">
      <w:pPr>
        <w:suppressAutoHyphens/>
        <w:autoSpaceDE w:val="0"/>
        <w:spacing w:after="0" w:line="276" w:lineRule="auto"/>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În mai multe ţări, MM este în principal o activitate punctuala legată de un centru generator de trafic, cum ar fi o companie, şcoală, concert, stadion, târg, spital, centre administrative, locuri de agrement etc. În aceste cazuri MM are ca scop gestionarea modului în care oamenii aleg să călătorească spre locul respectiv. Această categorie cuprinde o serie extinsă de măsuri: </w:t>
      </w:r>
    </w:p>
    <w:p w14:paraId="113F2039" w14:textId="77777777" w:rsidR="006011EB" w:rsidRPr="006011EB" w:rsidRDefault="006011EB" w:rsidP="000C6CB8">
      <w:pPr>
        <w:numPr>
          <w:ilvl w:val="0"/>
          <w:numId w:val="185"/>
        </w:numPr>
        <w:suppressAutoHyphens/>
        <w:autoSpaceDE w:val="0"/>
        <w:spacing w:after="0" w:line="276" w:lineRule="auto"/>
        <w:ind w:left="360" w:hanging="18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Un plan de mobilitate pentru o şcoală este similar cu orice plan MM, doar că în mod obişnuit presupune un nivel mai mare de implicare a copilului şi a părintelui/angajaţilor şi a angajatorilor atât în ceea ce priveşte planificarea, cât şi în ceea ce priveşte implementarea. </w:t>
      </w:r>
    </w:p>
    <w:p w14:paraId="3DC3E4C7" w14:textId="77777777" w:rsidR="006011EB" w:rsidRPr="006011EB" w:rsidRDefault="006011EB" w:rsidP="000C6CB8">
      <w:pPr>
        <w:numPr>
          <w:ilvl w:val="0"/>
          <w:numId w:val="185"/>
        </w:numPr>
        <w:suppressAutoHyphens/>
        <w:autoSpaceDE w:val="0"/>
        <w:spacing w:after="0" w:line="276" w:lineRule="auto"/>
        <w:ind w:left="360" w:hanging="180"/>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Servicii de infrastructură locale – alese pentru a se potrivi naturii destinaţiei şi oamenilor care călătoresc spre aceasta – cum ar fi parcări de biciclete, facilităţi pentru pietoni, staţii de TP, linii de legătură, microbuze. </w:t>
      </w:r>
    </w:p>
    <w:p w14:paraId="1F2C775E"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07EC1929" w14:textId="77777777" w:rsidR="006011EB" w:rsidRPr="006011EB" w:rsidRDefault="006011EB" w:rsidP="006011EB">
      <w:pPr>
        <w:suppressAutoHyphens/>
        <w:autoSpaceDE w:val="0"/>
        <w:spacing w:after="0" w:line="360" w:lineRule="auto"/>
        <w:jc w:val="both"/>
        <w:rPr>
          <w:rFonts w:ascii="Arial" w:eastAsia="Calibri" w:hAnsi="Arial" w:cs="Arial"/>
          <w:color w:val="000000"/>
          <w:lang w:val="es-ES" w:eastAsia="zh-CN"/>
        </w:rPr>
      </w:pPr>
      <w:r w:rsidRPr="006011EB">
        <w:rPr>
          <w:rFonts w:ascii="Arial" w:eastAsia="Calibri" w:hAnsi="Arial" w:cs="Arial"/>
          <w:b/>
          <w:color w:val="000000"/>
          <w:lang w:val="es-ES" w:eastAsia="zh-CN"/>
        </w:rPr>
        <w:t xml:space="preserve">f) Telecomunicaţiile şi organizarea flexibilă a timpului </w:t>
      </w:r>
    </w:p>
    <w:p w14:paraId="078DDC5E" w14:textId="77777777" w:rsidR="006011EB" w:rsidRPr="006011EB" w:rsidRDefault="006011EB" w:rsidP="006011EB">
      <w:pPr>
        <w:suppressAutoHyphens/>
        <w:autoSpaceDE w:val="0"/>
        <w:spacing w:after="0" w:line="360" w:lineRule="auto"/>
        <w:jc w:val="both"/>
        <w:rPr>
          <w:rFonts w:ascii="Arial" w:eastAsia="Arial" w:hAnsi="Arial" w:cs="Arial"/>
          <w:color w:val="000000"/>
          <w:lang w:val="es-ES" w:eastAsia="zh-CN"/>
        </w:rPr>
      </w:pPr>
      <w:r w:rsidRPr="006011EB">
        <w:rPr>
          <w:rFonts w:ascii="Arial" w:eastAsia="Calibri" w:hAnsi="Arial" w:cs="Arial"/>
          <w:color w:val="000000"/>
          <w:lang w:val="es-ES" w:eastAsia="zh-CN"/>
        </w:rPr>
        <w:t>Anumite măsuri pot fi luate de organizaţii, dar nu numai pentru a reduce nevoia de deplasare prin înlocuirea călătoriilor cu mijloace de telecomunicaţie sau prin reorganizarea practicilor de lucru. Printre exemple se numără:</w:t>
      </w:r>
    </w:p>
    <w:p w14:paraId="684BA48A" w14:textId="77777777" w:rsidR="006011EB" w:rsidRPr="006011EB" w:rsidRDefault="006011EB" w:rsidP="000C6CB8">
      <w:pPr>
        <w:numPr>
          <w:ilvl w:val="0"/>
          <w:numId w:val="186"/>
        </w:numPr>
        <w:suppressAutoHyphens/>
        <w:autoSpaceDE w:val="0"/>
        <w:spacing w:after="0" w:line="276" w:lineRule="auto"/>
        <w:ind w:left="360" w:hanging="18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Modificarea numărului de vizite pe care pacientul trebuie să le facă la spital pentru o anumită procedură. Măsura a fost deja încercată cu succes la Gelre Hospitals din Olanda. </w:t>
      </w:r>
    </w:p>
    <w:p w14:paraId="38F42A49" w14:textId="77777777" w:rsidR="006011EB" w:rsidRPr="006011EB" w:rsidRDefault="006011EB" w:rsidP="000C6CB8">
      <w:pPr>
        <w:numPr>
          <w:ilvl w:val="0"/>
          <w:numId w:val="186"/>
        </w:numPr>
        <w:suppressAutoHyphens/>
        <w:autoSpaceDE w:val="0"/>
        <w:spacing w:after="0" w:line="276" w:lineRule="auto"/>
        <w:ind w:left="360" w:hanging="18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Modificarea numărului de drumuri pe care cetăţenii trebuie să le facă spre clădirile administrative pentru a efectua anumite proceduri cum ar fi: obţinerea certificatelor de naştere, a actelor de proprietate etc. </w:t>
      </w:r>
    </w:p>
    <w:p w14:paraId="0A06F86E" w14:textId="77777777" w:rsidR="006011EB" w:rsidRPr="006011EB" w:rsidRDefault="006011EB" w:rsidP="000C6CB8">
      <w:pPr>
        <w:numPr>
          <w:ilvl w:val="0"/>
          <w:numId w:val="186"/>
        </w:numPr>
        <w:suppressAutoHyphens/>
        <w:autoSpaceDE w:val="0"/>
        <w:spacing w:after="0" w:line="276" w:lineRule="auto"/>
        <w:ind w:left="360" w:hanging="18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Cumpărături, lucru, socializare, sau rezolvare a problemelor diverse prin telefonie sau internet de acasă, nemaifiind astfel nevoie de deplasare pentru ele. În Grecia de exemplu, certificatele de naştere pot fi obţinute prin poştă în timp ce în urmă cu 10 ani era nevoie de trei drumuri la Primăria din Atena pentru a obţine acelaşi serviciu. </w:t>
      </w:r>
    </w:p>
    <w:p w14:paraId="4875597F" w14:textId="77777777" w:rsidR="006011EB" w:rsidRPr="006011EB" w:rsidRDefault="006011EB" w:rsidP="000C6CB8">
      <w:pPr>
        <w:numPr>
          <w:ilvl w:val="0"/>
          <w:numId w:val="186"/>
        </w:numPr>
        <w:suppressAutoHyphens/>
        <w:autoSpaceDE w:val="0"/>
        <w:spacing w:after="0" w:line="276" w:lineRule="auto"/>
        <w:ind w:left="360" w:hanging="180"/>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Modificarea programului anumitor instituţii pentru a reduce aglomeraţia excesivă la orele de vârf, prin introducerea de programe flexibile sau a săptămânilor de lucru reduse. În acest caz angajaţii ar trebui să lucreze mai multe ore într-un număr redus de zile, reducându-se astfel totalul de călătorii efectuate. </w:t>
      </w:r>
    </w:p>
    <w:p w14:paraId="58F72631" w14:textId="77777777" w:rsidR="006011EB" w:rsidRPr="006011EB" w:rsidRDefault="006011EB" w:rsidP="000C6CB8">
      <w:pPr>
        <w:numPr>
          <w:ilvl w:val="0"/>
          <w:numId w:val="186"/>
        </w:numPr>
        <w:suppressAutoHyphens/>
        <w:autoSpaceDE w:val="0"/>
        <w:spacing w:after="0" w:line="276" w:lineRule="auto"/>
        <w:ind w:left="360" w:hanging="180"/>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De altfel, pandemia de </w:t>
      </w:r>
      <w:r w:rsidR="00774C94">
        <w:rPr>
          <w:rFonts w:ascii="Arial" w:eastAsia="Calibri" w:hAnsi="Arial" w:cs="Arial"/>
          <w:color w:val="000000"/>
          <w:lang w:val="es-ES" w:eastAsia="zh-CN"/>
        </w:rPr>
        <w:t>Covid-19 a facut ca multe din măsurile prezentate mai sus să fie puse î</w:t>
      </w:r>
      <w:r w:rsidRPr="006011EB">
        <w:rPr>
          <w:rFonts w:ascii="Arial" w:eastAsia="Calibri" w:hAnsi="Arial" w:cs="Arial"/>
          <w:color w:val="000000"/>
          <w:lang w:val="es-ES" w:eastAsia="zh-CN"/>
        </w:rPr>
        <w:t>n p</w:t>
      </w:r>
      <w:r w:rsidR="00774C94">
        <w:rPr>
          <w:rFonts w:ascii="Arial" w:eastAsia="Calibri" w:hAnsi="Arial" w:cs="Arial"/>
          <w:color w:val="000000"/>
          <w:lang w:val="es-ES" w:eastAsia="zh-CN"/>
        </w:rPr>
        <w:t>ractică ca unică posibilitate de interacţ</w:t>
      </w:r>
      <w:r w:rsidRPr="006011EB">
        <w:rPr>
          <w:rFonts w:ascii="Arial" w:eastAsia="Calibri" w:hAnsi="Arial" w:cs="Arial"/>
          <w:color w:val="000000"/>
          <w:lang w:val="es-ES" w:eastAsia="zh-CN"/>
        </w:rPr>
        <w:t>iune.</w:t>
      </w:r>
    </w:p>
    <w:p w14:paraId="1C810377" w14:textId="77777777" w:rsidR="006011EB" w:rsidRPr="006011EB" w:rsidRDefault="006011EB" w:rsidP="006011EB">
      <w:pPr>
        <w:suppressAutoHyphens/>
        <w:autoSpaceDE w:val="0"/>
        <w:spacing w:after="0" w:line="360" w:lineRule="auto"/>
        <w:jc w:val="both"/>
        <w:rPr>
          <w:rFonts w:ascii="Arial" w:eastAsia="Calibri" w:hAnsi="Arial" w:cs="Arial"/>
          <w:color w:val="000000"/>
          <w:lang w:val="es-ES" w:eastAsia="zh-CN"/>
        </w:rPr>
      </w:pPr>
    </w:p>
    <w:p w14:paraId="1C6EA1A8"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b/>
          <w:color w:val="000000"/>
          <w:lang w:val="es-ES" w:eastAsia="zh-CN"/>
        </w:rPr>
        <w:t xml:space="preserve">Modernizarea şi dezvoltarea infrastructurii rutiere </w:t>
      </w:r>
      <w:r w:rsidRPr="006011EB">
        <w:rPr>
          <w:rFonts w:ascii="Arial" w:eastAsia="Calibri" w:hAnsi="Arial" w:cs="Arial"/>
          <w:color w:val="000000"/>
          <w:lang w:val="es-ES" w:eastAsia="zh-CN"/>
        </w:rPr>
        <w:t xml:space="preserve">(marcaje, semnalizări, căi de rulare, reţele de contact), respectiv implementarea unor </w:t>
      </w:r>
      <w:r w:rsidRPr="006011EB">
        <w:rPr>
          <w:rFonts w:ascii="Arial" w:eastAsia="Calibri" w:hAnsi="Arial" w:cs="Arial"/>
          <w:b/>
          <w:bCs/>
          <w:color w:val="000000"/>
          <w:lang w:val="es-ES" w:eastAsia="zh-CN"/>
        </w:rPr>
        <w:t>sisteme ITS</w:t>
      </w:r>
      <w:r w:rsidRPr="006011EB">
        <w:rPr>
          <w:rFonts w:ascii="Arial" w:eastAsia="Calibri" w:hAnsi="Arial" w:cs="Arial"/>
          <w:color w:val="000000"/>
          <w:lang w:val="es-ES" w:eastAsia="zh-CN"/>
        </w:rPr>
        <w:t xml:space="preserve"> (Sisteme Inteligente pentru </w:t>
      </w:r>
      <w:r w:rsidRPr="006011EB">
        <w:rPr>
          <w:rFonts w:ascii="Arial" w:eastAsia="Calibri" w:hAnsi="Arial" w:cs="Arial"/>
          <w:color w:val="000000"/>
          <w:lang w:val="es-ES" w:eastAsia="zh-CN"/>
        </w:rPr>
        <w:lastRenderedPageBreak/>
        <w:t xml:space="preserve">Transport) sunt măsuri obligatorii în acest stadiu al dezvoltării transportului rutier, în vederea reducerii riscului de producere a accidentelor. </w:t>
      </w:r>
    </w:p>
    <w:p w14:paraId="5B3C7110" w14:textId="77777777" w:rsidR="006011EB" w:rsidRPr="006011EB" w:rsidRDefault="006011EB" w:rsidP="006011EB">
      <w:pPr>
        <w:suppressAutoHyphens/>
        <w:autoSpaceDE w:val="0"/>
        <w:spacing w:after="0" w:line="276" w:lineRule="auto"/>
        <w:jc w:val="both"/>
        <w:rPr>
          <w:rFonts w:ascii="Arial" w:eastAsia="Calibri" w:hAnsi="Arial" w:cs="Arial"/>
          <w:color w:val="000000"/>
          <w:lang w:val="es-ES" w:eastAsia="zh-CN"/>
        </w:rPr>
      </w:pPr>
    </w:p>
    <w:p w14:paraId="38CA5425" w14:textId="77777777" w:rsidR="006011EB" w:rsidRPr="006011EB" w:rsidRDefault="006011EB" w:rsidP="006011EB">
      <w:pPr>
        <w:suppressAutoHyphens/>
        <w:autoSpaceDE w:val="0"/>
        <w:spacing w:after="0" w:line="276" w:lineRule="auto"/>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Domeniul ITS este vast şi încă îşi găseşte noi şi noi aplicaţii în sfera transportului. Unul din subcapitolele ITS care, prin implementare poate reduce substanţial numărul evenimentelor rutiere nedorite este managementul parcului de maşini: </w:t>
      </w:r>
    </w:p>
    <w:p w14:paraId="450AE768" w14:textId="77777777" w:rsidR="006011EB" w:rsidRPr="006011EB" w:rsidRDefault="006011EB" w:rsidP="000C6CB8">
      <w:pPr>
        <w:numPr>
          <w:ilvl w:val="0"/>
          <w:numId w:val="187"/>
        </w:numPr>
        <w:suppressAutoHyphens/>
        <w:autoSpaceDE w:val="0"/>
        <w:spacing w:after="0" w:line="276" w:lineRule="auto"/>
        <w:ind w:left="360" w:hanging="180"/>
        <w:jc w:val="both"/>
        <w:rPr>
          <w:rFonts w:ascii="Arial" w:eastAsia="Arial" w:hAnsi="Arial" w:cs="Arial"/>
          <w:color w:val="000000"/>
          <w:lang w:val="es-ES" w:eastAsia="zh-CN"/>
        </w:rPr>
      </w:pPr>
      <w:r w:rsidRPr="006011EB">
        <w:rPr>
          <w:rFonts w:ascii="Arial" w:eastAsia="Calibri" w:hAnsi="Arial" w:cs="Arial"/>
          <w:color w:val="000000"/>
          <w:lang w:val="es-ES" w:eastAsia="zh-CN"/>
        </w:rPr>
        <w:t xml:space="preserve">sisteme de informaţie geografică prin GIS (Sisteme Inteligente Globale). Un exemplu este localizarea tuturor vehiculelor aflate la cel mult 800 m de o anumită poziţie geografică. </w:t>
      </w:r>
    </w:p>
    <w:p w14:paraId="4E5C6410" w14:textId="77777777" w:rsidR="006011EB" w:rsidRPr="006011EB" w:rsidRDefault="006011EB" w:rsidP="000C6CB8">
      <w:pPr>
        <w:numPr>
          <w:ilvl w:val="0"/>
          <w:numId w:val="187"/>
        </w:numPr>
        <w:suppressAutoHyphens/>
        <w:autoSpaceDE w:val="0"/>
        <w:spacing w:after="0" w:line="276" w:lineRule="auto"/>
        <w:ind w:left="360" w:hanging="180"/>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software pentru operaţiunile de transbordare. Astfel de programe permit călătorilor să ştie exact ce posibilităţi de transbordare au, care este ruta cea mai indicată pentru a ajunge la destinaţia dorită, pe unde se ajunge, ce trebuie să facă, etc. Deservind călătorii cu informaţii, aceştia vor fi mulţumiţi, vor fi calmi, mai atenţi, nu o vor lua prin locurile periculoase şi în final se vor expune mult mai puţin riscului producerii accidentelor. </w:t>
      </w:r>
    </w:p>
    <w:p w14:paraId="49778723" w14:textId="77777777" w:rsidR="006011EB" w:rsidRPr="006011EB" w:rsidRDefault="006011EB" w:rsidP="006011EB">
      <w:pPr>
        <w:suppressAutoHyphens/>
        <w:autoSpaceDE w:val="0"/>
        <w:spacing w:after="0" w:line="360" w:lineRule="auto"/>
        <w:jc w:val="both"/>
        <w:rPr>
          <w:rFonts w:ascii="Arial" w:eastAsia="Calibri" w:hAnsi="Arial" w:cs="Arial"/>
          <w:color w:val="000000"/>
          <w:lang w:val="es-ES" w:eastAsia="zh-CN"/>
        </w:rPr>
      </w:pPr>
    </w:p>
    <w:p w14:paraId="098834F1" w14:textId="77777777" w:rsidR="006011EB" w:rsidRPr="006011EB" w:rsidRDefault="006011EB" w:rsidP="006011EB">
      <w:pPr>
        <w:widowControl w:val="0"/>
        <w:suppressAutoHyphens/>
        <w:spacing w:after="0" w:line="276" w:lineRule="auto"/>
        <w:jc w:val="both"/>
        <w:rPr>
          <w:rFonts w:ascii="Arial" w:hAnsi="Arial" w:cs="Arial"/>
          <w:kern w:val="1"/>
          <w:lang w:val="ro-RO" w:eastAsia="hi-IN" w:bidi="hi-IN"/>
        </w:rPr>
      </w:pPr>
      <w:r w:rsidRPr="006011EB">
        <w:rPr>
          <w:rFonts w:ascii="Arial" w:hAnsi="Arial" w:cs="Arial"/>
          <w:kern w:val="1"/>
          <w:lang w:val="ro-RO" w:eastAsia="hi-IN" w:bidi="hi-IN"/>
        </w:rPr>
        <w:t>Proiectele/măsurile referitoare la managementul mobilităţii şi ITS, repartizate pe scenarii sunt prezentate în continuare:</w:t>
      </w:r>
    </w:p>
    <w:p w14:paraId="4963B241" w14:textId="77777777" w:rsidR="006011EB" w:rsidRPr="006011EB" w:rsidRDefault="006011EB" w:rsidP="006011EB">
      <w:pPr>
        <w:widowControl w:val="0"/>
        <w:numPr>
          <w:ilvl w:val="0"/>
          <w:numId w:val="71"/>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x-none" w:eastAsia="zh-CN"/>
        </w:rPr>
        <w:t xml:space="preserve">Scenariul </w:t>
      </w:r>
      <w:r w:rsidRPr="006011EB">
        <w:rPr>
          <w:rFonts w:ascii="Arial" w:eastAsia="Times New Roman" w:hAnsi="Arial" w:cs="Arial"/>
          <w:lang w:eastAsia="zh-CN"/>
        </w:rPr>
        <w:t>2</w:t>
      </w:r>
      <w:r w:rsidRPr="006011EB">
        <w:rPr>
          <w:rFonts w:ascii="Arial" w:eastAsia="Times New Roman" w:hAnsi="Arial" w:cs="Arial"/>
          <w:lang w:val="x-none" w:eastAsia="zh-CN"/>
        </w:rPr>
        <w:t>:</w:t>
      </w:r>
    </w:p>
    <w:p w14:paraId="10BA4401"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eastAsia="zh-CN"/>
        </w:rPr>
      </w:pPr>
      <w:r w:rsidRPr="006011EB">
        <w:rPr>
          <w:rFonts w:ascii="Arial" w:eastAsia="Calibri" w:hAnsi="Arial" w:cs="Arial"/>
          <w:color w:val="000000"/>
          <w:lang w:eastAsia="zh-CN"/>
        </w:rPr>
        <w:t>I.1 = măsuri de educare sistematică în şcoli – în ideea formării unei culturi a dezvoltării durabile – scor AMC = 4,86.</w:t>
      </w:r>
    </w:p>
    <w:p w14:paraId="54CF8C6A"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eastAsia="zh-CN"/>
        </w:rPr>
      </w:pPr>
      <w:r w:rsidRPr="006011EB">
        <w:rPr>
          <w:rFonts w:ascii="Arial" w:eastAsia="Calibri" w:hAnsi="Arial" w:cs="Arial"/>
          <w:color w:val="000000"/>
          <w:lang w:val="es-ES" w:eastAsia="zh-CN"/>
        </w:rPr>
        <w:t xml:space="preserve">I.2 = inovări în domeniul administrativ care să reducă numărul necesar de deplasări ale cetăţeanului la instituţia respectivă </w:t>
      </w:r>
      <w:r w:rsidRPr="006011EB">
        <w:rPr>
          <w:rFonts w:ascii="Arial" w:eastAsia="Calibri" w:hAnsi="Arial" w:cs="Arial"/>
          <w:color w:val="000000"/>
          <w:lang w:eastAsia="zh-CN"/>
        </w:rPr>
        <w:t>– scor AMC = 3,78.</w:t>
      </w:r>
    </w:p>
    <w:p w14:paraId="394AA53C"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eastAsia="zh-CN"/>
        </w:rPr>
      </w:pPr>
      <w:r w:rsidRPr="006011EB">
        <w:rPr>
          <w:rFonts w:ascii="Arial" w:eastAsia="Calibri" w:hAnsi="Arial" w:cs="Arial"/>
          <w:color w:val="000000"/>
          <w:lang w:val="es-ES" w:eastAsia="zh-CN"/>
        </w:rPr>
        <w:t xml:space="preserve">I.4 = modificarea orelor de începere a activităţii agenţilor economici de pe o aceeaşi arteră sau acelaşi punct – marginal – de destinaţie </w:t>
      </w:r>
      <w:r w:rsidRPr="006011EB">
        <w:rPr>
          <w:rFonts w:ascii="Arial" w:eastAsia="Calibri" w:hAnsi="Arial" w:cs="Arial"/>
          <w:color w:val="000000"/>
          <w:lang w:eastAsia="zh-CN"/>
        </w:rPr>
        <w:t>– scor AMC = 4,02.</w:t>
      </w:r>
    </w:p>
    <w:p w14:paraId="7FB1C9C2"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I.5 = crearea cadrului pentru dezvoltarea de teleactivităţi şi telelucru – scor AMC = 4,5.</w:t>
      </w:r>
    </w:p>
    <w:p w14:paraId="629604F2"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eastAsia="zh-CN"/>
        </w:rPr>
      </w:pPr>
      <w:r w:rsidRPr="006011EB">
        <w:rPr>
          <w:rFonts w:ascii="Arial" w:eastAsia="Calibri" w:hAnsi="Arial" w:cs="Arial"/>
          <w:color w:val="000000"/>
          <w:lang w:eastAsia="zh-CN"/>
        </w:rPr>
        <w:t>II.1 = proceduri de creştere a densităţii urbane – scor AMC = 4,94.</w:t>
      </w:r>
    </w:p>
    <w:p w14:paraId="3048A04A"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rPr>
      </w:pPr>
      <w:r w:rsidRPr="006011EB">
        <w:rPr>
          <w:rFonts w:ascii="Arial" w:eastAsia="Calibri" w:hAnsi="Arial" w:cs="Arial"/>
          <w:color w:val="000000"/>
        </w:rPr>
        <w:t>III.1 = realizarea unei aplicaţii pentru telefonul mobil pentru achitarea contravalorii călătoriei cu transportul public</w:t>
      </w:r>
      <w:r w:rsidRPr="006011EB">
        <w:rPr>
          <w:rFonts w:ascii="Arial" w:eastAsia="Calibri" w:hAnsi="Arial" w:cs="Arial"/>
          <w:color w:val="000000"/>
          <w:lang w:val="es-ES"/>
        </w:rPr>
        <w:t xml:space="preserve"> – scor AMC = 5,03.</w:t>
      </w:r>
    </w:p>
    <w:p w14:paraId="6D3A11B2"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rPr>
      </w:pPr>
      <w:r w:rsidRPr="006011EB">
        <w:rPr>
          <w:rFonts w:ascii="Arial" w:eastAsia="Calibri" w:hAnsi="Arial" w:cs="Arial"/>
          <w:color w:val="000000"/>
        </w:rPr>
        <w:t xml:space="preserve">III.2 = realizarea unui website cu informaţii referitoare la traficul din oraş </w:t>
      </w:r>
      <w:r w:rsidRPr="006011EB">
        <w:rPr>
          <w:rFonts w:ascii="Arial" w:eastAsia="Calibri" w:hAnsi="Arial" w:cs="Arial"/>
          <w:color w:val="000000"/>
          <w:lang w:val="es-ES"/>
        </w:rPr>
        <w:t>– scor AMC = 5,3.</w:t>
      </w:r>
    </w:p>
    <w:p w14:paraId="67C5B932"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IV.4 = campanii promoţionale pentru utilizarea bicicletei – scor AMC = 4,29.</w:t>
      </w:r>
    </w:p>
    <w:p w14:paraId="275EA3C8"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IV.8 = introducerea în municipiu a „zilei fără autoturisme” (lunar) – scor AMC = 5,05.</w:t>
      </w:r>
    </w:p>
    <w:p w14:paraId="74BE09B8"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V.1 = derularea unor acţiuni de popularizare referitoare la sistemele de utilizare a autoturismelor proprietate personală: car-sharing, car-pooling, bike-sharing;</w:t>
      </w:r>
    </w:p>
    <w:p w14:paraId="3987BE6C"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rPr>
        <w:t>V.3 = restrictionarea accesulu</w:t>
      </w:r>
      <w:r w:rsidR="00774C94">
        <w:rPr>
          <w:rFonts w:ascii="Arial" w:eastAsia="Calibri" w:hAnsi="Arial" w:cs="Arial"/>
          <w:color w:val="000000"/>
        </w:rPr>
        <w:t>i vehiculelor cu masa autorizată</w:t>
      </w:r>
      <w:r w:rsidRPr="006011EB">
        <w:rPr>
          <w:rFonts w:ascii="Arial" w:eastAsia="Calibri" w:hAnsi="Arial" w:cs="Arial"/>
          <w:color w:val="000000"/>
        </w:rPr>
        <w:t xml:space="preserve"> mai mare de 7,</w:t>
      </w:r>
      <w:r w:rsidR="00774C94">
        <w:rPr>
          <w:rFonts w:ascii="Arial" w:eastAsia="Calibri" w:hAnsi="Arial" w:cs="Arial"/>
          <w:color w:val="000000"/>
        </w:rPr>
        <w:t>5 t pe teritoriul orasului, după apariţia şoselei de centură</w:t>
      </w:r>
      <w:r w:rsidRPr="006011EB">
        <w:rPr>
          <w:rFonts w:ascii="Arial" w:eastAsia="Calibri" w:hAnsi="Arial" w:cs="Arial"/>
          <w:color w:val="000000"/>
          <w:lang w:val="es-ES" w:eastAsia="zh-CN"/>
        </w:rPr>
        <w:t xml:space="preserve"> – scor AMC = 6,59.</w:t>
      </w:r>
    </w:p>
    <w:p w14:paraId="27A10256" w14:textId="41028EE8"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6011EB">
        <w:rPr>
          <w:rFonts w:ascii="Arial" w:eastAsia="Arial" w:hAnsi="Arial" w:cs="Arial"/>
          <w:color w:val="000000"/>
          <w:lang w:val="es-ES" w:eastAsia="zh-CN"/>
        </w:rPr>
        <w:t>V</w:t>
      </w:r>
      <w:r w:rsidRPr="006011EB">
        <w:rPr>
          <w:rFonts w:ascii="Arial" w:eastAsia="Calibri" w:hAnsi="Arial" w:cs="Arial"/>
          <w:color w:val="000000"/>
          <w:lang w:val="es-ES" w:eastAsia="zh-CN"/>
        </w:rPr>
        <w:t xml:space="preserve">I.1 = întocmirea de hărţi de răspândire a </w:t>
      </w:r>
      <w:r w:rsidR="00431567">
        <w:rPr>
          <w:rFonts w:ascii="Arial" w:eastAsia="Calibri" w:hAnsi="Arial" w:cs="Arial"/>
          <w:color w:val="000000"/>
          <w:lang w:val="es-ES" w:eastAsia="zh-CN"/>
        </w:rPr>
        <w:t>dotărilor</w:t>
      </w:r>
      <w:r w:rsidRPr="006011EB">
        <w:rPr>
          <w:rFonts w:ascii="Arial" w:eastAsia="Calibri" w:hAnsi="Arial" w:cs="Arial"/>
          <w:color w:val="000000"/>
          <w:lang w:val="es-ES" w:eastAsia="zh-CN"/>
        </w:rPr>
        <w:t xml:space="preserve"> de primă necesitate (următoarele implanturi se vor face numai pe principiul egalei răspândiri în teritoriu) – scor AMC = 3,99.</w:t>
      </w:r>
    </w:p>
    <w:p w14:paraId="66E3738F"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 xml:space="preserve">VIII.6 = campanii de educație rutieră în școli </w:t>
      </w:r>
      <w:r w:rsidRPr="006011EB">
        <w:rPr>
          <w:rFonts w:ascii="Arial" w:eastAsia="Calibri" w:hAnsi="Arial" w:cs="Arial"/>
          <w:color w:val="000000"/>
          <w:lang w:val="es-ES"/>
        </w:rPr>
        <w:t>– scor AMC = 4,45.</w:t>
      </w:r>
    </w:p>
    <w:p w14:paraId="3ED51861"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Arial" w:hAnsi="Arial" w:cs="Arial"/>
          <w:color w:val="000000"/>
          <w:lang w:eastAsia="zh-CN"/>
        </w:rPr>
      </w:pPr>
      <w:r w:rsidRPr="006011EB">
        <w:rPr>
          <w:rFonts w:ascii="Arial" w:eastAsia="Arial" w:hAnsi="Arial" w:cs="Arial"/>
          <w:color w:val="000000"/>
          <w:lang w:eastAsia="zh-CN"/>
        </w:rPr>
        <w:t>XI.1 = traficul – rutier – de marfă în interiorul oraşului trebuie să fie limitat spaţial şi temporal – scor AMC = 4,64.</w:t>
      </w:r>
    </w:p>
    <w:p w14:paraId="10151C81" w14:textId="77777777" w:rsidR="006011EB" w:rsidRPr="006011EB" w:rsidRDefault="006011EB" w:rsidP="006011EB">
      <w:pPr>
        <w:widowControl w:val="0"/>
        <w:numPr>
          <w:ilvl w:val="0"/>
          <w:numId w:val="102"/>
        </w:numPr>
        <w:suppressAutoHyphens/>
        <w:autoSpaceDE w:val="0"/>
        <w:spacing w:after="0" w:line="276" w:lineRule="auto"/>
        <w:jc w:val="both"/>
        <w:rPr>
          <w:rFonts w:ascii="Arial" w:eastAsia="Arial" w:hAnsi="Arial" w:cs="Arial"/>
          <w:color w:val="000000"/>
          <w:lang w:val="es-ES" w:eastAsia="zh-CN"/>
        </w:rPr>
      </w:pPr>
      <w:r w:rsidRPr="006011EB">
        <w:rPr>
          <w:rFonts w:ascii="Arial" w:eastAsia="Arial" w:hAnsi="Arial" w:cs="Arial"/>
          <w:color w:val="000000"/>
          <w:lang w:val="es-ES" w:eastAsia="zh-CN"/>
        </w:rPr>
        <w:t>X</w:t>
      </w:r>
      <w:r w:rsidRPr="006011EB">
        <w:rPr>
          <w:rFonts w:ascii="Arial" w:eastAsia="Calibri" w:hAnsi="Arial" w:cs="Arial"/>
          <w:color w:val="000000"/>
          <w:lang w:val="es-ES" w:eastAsia="zh-CN"/>
        </w:rPr>
        <w:t xml:space="preserve">I.2 = constituirea unui consiliu de consultanță și a unui forum pentru transportul de marfă </w:t>
      </w:r>
      <w:r w:rsidRPr="006011EB">
        <w:rPr>
          <w:rFonts w:ascii="Arial" w:eastAsia="Arial" w:hAnsi="Arial" w:cs="Arial"/>
          <w:color w:val="000000"/>
          <w:lang w:val="es-ES" w:eastAsia="zh-CN"/>
        </w:rPr>
        <w:t>– scor AMC = 4,98.</w:t>
      </w:r>
    </w:p>
    <w:p w14:paraId="14F33D7C" w14:textId="77777777" w:rsidR="006011EB" w:rsidRPr="006011EB" w:rsidRDefault="006011EB" w:rsidP="006011EB">
      <w:pPr>
        <w:suppressAutoHyphens/>
        <w:autoSpaceDE w:val="0"/>
        <w:spacing w:after="0" w:line="276" w:lineRule="auto"/>
        <w:jc w:val="both"/>
        <w:rPr>
          <w:rFonts w:ascii="EUAlbertina" w:eastAsia="Calibri" w:hAnsi="EUAlbertina" w:cs="EUAlbertina"/>
          <w:color w:val="000000"/>
          <w:lang w:val="es-ES" w:eastAsia="zh-CN"/>
        </w:rPr>
      </w:pPr>
    </w:p>
    <w:p w14:paraId="528A6F80" w14:textId="77777777" w:rsidR="006011EB" w:rsidRPr="006011EB" w:rsidRDefault="006011EB" w:rsidP="006011EB">
      <w:pPr>
        <w:widowControl w:val="0"/>
        <w:numPr>
          <w:ilvl w:val="0"/>
          <w:numId w:val="71"/>
        </w:numPr>
        <w:suppressAutoHyphens/>
        <w:spacing w:after="0" w:line="276" w:lineRule="auto"/>
        <w:jc w:val="both"/>
        <w:rPr>
          <w:rFonts w:ascii="Arial" w:eastAsia="Times New Roman" w:hAnsi="Arial" w:cs="Arial"/>
          <w:lang w:val="x-none" w:eastAsia="zh-CN"/>
        </w:rPr>
      </w:pPr>
      <w:r w:rsidRPr="006011EB">
        <w:rPr>
          <w:rFonts w:ascii="Arial" w:eastAsia="Times New Roman" w:hAnsi="Arial" w:cs="Arial"/>
          <w:lang w:val="x-none" w:eastAsia="zh-CN"/>
        </w:rPr>
        <w:lastRenderedPageBreak/>
        <w:t xml:space="preserve">Scenariul </w:t>
      </w:r>
      <w:r w:rsidRPr="006011EB">
        <w:rPr>
          <w:rFonts w:ascii="Arial" w:eastAsia="Times New Roman" w:hAnsi="Arial" w:cs="Arial"/>
          <w:lang w:eastAsia="zh-CN"/>
        </w:rPr>
        <w:t>3</w:t>
      </w:r>
      <w:r w:rsidRPr="006011EB">
        <w:rPr>
          <w:rFonts w:ascii="Arial" w:eastAsia="Times New Roman" w:hAnsi="Arial" w:cs="Arial"/>
          <w:lang w:val="x-none" w:eastAsia="zh-CN"/>
        </w:rPr>
        <w:t>:</w:t>
      </w:r>
    </w:p>
    <w:p w14:paraId="23E456D8" w14:textId="77777777" w:rsidR="006011EB" w:rsidRPr="006011EB" w:rsidRDefault="006011EB" w:rsidP="006011EB">
      <w:pPr>
        <w:widowControl w:val="0"/>
        <w:numPr>
          <w:ilvl w:val="0"/>
          <w:numId w:val="101"/>
        </w:num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VI.2 = obligativitatea constituirii unui tandem construcţie - infrastructură pentru acces motorizat, nemotorizat şi spaţiu verde (pentru orice nouă construcţie) – scor AMC = 3,72.</w:t>
      </w:r>
    </w:p>
    <w:p w14:paraId="09E4720A" w14:textId="77777777" w:rsidR="006011EB" w:rsidRPr="006011EB" w:rsidRDefault="006011EB" w:rsidP="006011EB">
      <w:pPr>
        <w:widowControl w:val="0"/>
        <w:numPr>
          <w:ilvl w:val="0"/>
          <w:numId w:val="101"/>
        </w:numPr>
        <w:suppressAutoHyphens/>
        <w:autoSpaceDE w:val="0"/>
        <w:spacing w:after="0" w:line="276" w:lineRule="auto"/>
        <w:jc w:val="both"/>
        <w:rPr>
          <w:rFonts w:ascii="Arial" w:eastAsia="Calibri" w:hAnsi="Arial" w:cs="Arial"/>
          <w:color w:val="000000"/>
          <w:lang w:val="es-ES" w:eastAsia="zh-CN"/>
        </w:rPr>
      </w:pPr>
      <w:r w:rsidRPr="006011EB">
        <w:rPr>
          <w:rFonts w:ascii="Arial" w:eastAsia="Calibri" w:hAnsi="Arial" w:cs="Arial"/>
          <w:color w:val="000000"/>
          <w:lang w:val="es-ES" w:eastAsia="zh-CN"/>
        </w:rPr>
        <w:t>VI.3 = sistem de stimulente pentru amplasarea noilor şcoli, centre de sănătate, centre comerciale, etc. în interiorul sau aproape de cartierele rezidenţiale – scor AMC = 4,39.</w:t>
      </w:r>
    </w:p>
    <w:p w14:paraId="1BF7ADBF" w14:textId="77777777" w:rsidR="006011EB" w:rsidRPr="006011EB" w:rsidRDefault="006011EB" w:rsidP="006011EB">
      <w:pPr>
        <w:suppressAutoHyphens/>
        <w:autoSpaceDE w:val="0"/>
        <w:spacing w:after="0" w:line="276" w:lineRule="auto"/>
        <w:jc w:val="both"/>
        <w:rPr>
          <w:rFonts w:ascii="EUAlbertina" w:eastAsia="Calibri" w:hAnsi="EUAlbertina" w:cs="EUAlbertina"/>
          <w:color w:val="000000"/>
          <w:lang w:val="es-ES" w:eastAsia="zh-CN"/>
        </w:rPr>
      </w:pPr>
    </w:p>
    <w:p w14:paraId="07D13023" w14:textId="77777777" w:rsidR="006011EB" w:rsidRPr="00707B70" w:rsidRDefault="006011EB" w:rsidP="006011EB">
      <w:pPr>
        <w:widowControl w:val="0"/>
        <w:suppressAutoHyphens/>
        <w:spacing w:after="0" w:line="276" w:lineRule="auto"/>
        <w:jc w:val="both"/>
        <w:rPr>
          <w:rFonts w:ascii="Arial" w:hAnsi="Arial" w:cs="Arial"/>
          <w:kern w:val="1"/>
          <w:lang w:val="es-ES" w:eastAsia="hi-IN" w:bidi="hi-IN"/>
        </w:rPr>
      </w:pPr>
      <w:r w:rsidRPr="00707B70">
        <w:rPr>
          <w:rFonts w:ascii="Arial" w:hAnsi="Arial" w:cs="Arial"/>
          <w:kern w:val="1"/>
          <w:lang w:val="es-ES" w:eastAsia="hi-IN" w:bidi="hi-IN"/>
        </w:rPr>
        <w:t>Dintre proiectele enumerate mai sus, conform criteriilor stabilite, pe lista proiectelor de rezervă sau a celor care nu vor fi implementate vor intra:</w:t>
      </w:r>
    </w:p>
    <w:p w14:paraId="7F306795"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eastAsia="zh-CN"/>
        </w:rPr>
      </w:pPr>
      <w:r w:rsidRPr="00707B70">
        <w:rPr>
          <w:rFonts w:ascii="Arial" w:eastAsia="Calibri" w:hAnsi="Arial" w:cs="Arial"/>
          <w:color w:val="000000"/>
          <w:lang w:eastAsia="zh-CN"/>
        </w:rPr>
        <w:t>I.1 = măsuri de educare sistematică în şcoli – în ideea formării unei culturi a dezvoltării durabile – scor AMC = 4,86.</w:t>
      </w:r>
    </w:p>
    <w:p w14:paraId="7F02BA28"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eastAsia="zh-CN"/>
        </w:rPr>
      </w:pPr>
      <w:r w:rsidRPr="00707B70">
        <w:rPr>
          <w:rFonts w:ascii="Arial" w:eastAsia="Calibri" w:hAnsi="Arial" w:cs="Arial"/>
          <w:color w:val="000000"/>
          <w:lang w:val="es-ES" w:eastAsia="zh-CN"/>
        </w:rPr>
        <w:t xml:space="preserve">I.2 = inovări în domeniul administrativ care să reducă numărul necesar de deplasări ale cetăţeanului la instituţia respectivă </w:t>
      </w:r>
      <w:r w:rsidRPr="00707B70">
        <w:rPr>
          <w:rFonts w:ascii="Arial" w:eastAsia="Calibri" w:hAnsi="Arial" w:cs="Arial"/>
          <w:color w:val="000000"/>
          <w:lang w:eastAsia="zh-CN"/>
        </w:rPr>
        <w:t>– scor AMC = 3,78.</w:t>
      </w:r>
    </w:p>
    <w:p w14:paraId="26AC9AA0"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eastAsia="zh-CN"/>
        </w:rPr>
      </w:pPr>
      <w:r w:rsidRPr="00707B70">
        <w:rPr>
          <w:rFonts w:ascii="Arial" w:eastAsia="Calibri" w:hAnsi="Arial" w:cs="Arial"/>
          <w:color w:val="000000"/>
          <w:lang w:val="es-ES" w:eastAsia="zh-CN"/>
        </w:rPr>
        <w:t xml:space="preserve">I.4 = modificarea orelor de începere a activităţii agenţilor economici de pe o aceeaşi arteră sau acelaşi punct – marginal – de destinaţie </w:t>
      </w:r>
      <w:r w:rsidRPr="00707B70">
        <w:rPr>
          <w:rFonts w:ascii="Arial" w:eastAsia="Calibri" w:hAnsi="Arial" w:cs="Arial"/>
          <w:color w:val="000000"/>
          <w:lang w:eastAsia="zh-CN"/>
        </w:rPr>
        <w:t>– scor AMC = 4,02.</w:t>
      </w:r>
    </w:p>
    <w:p w14:paraId="46B4BCF9"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707B70">
        <w:rPr>
          <w:rFonts w:ascii="Arial" w:eastAsia="Calibri" w:hAnsi="Arial" w:cs="Arial"/>
          <w:color w:val="000000"/>
          <w:lang w:val="es-ES" w:eastAsia="zh-CN"/>
        </w:rPr>
        <w:t>I.5 = crearea cadrului pentru dezvoltarea de teleactivităţi şi telelucru – scor AMC = 4,5.</w:t>
      </w:r>
    </w:p>
    <w:p w14:paraId="1EC275EC"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eastAsia="zh-CN"/>
        </w:rPr>
      </w:pPr>
      <w:r w:rsidRPr="00707B70">
        <w:rPr>
          <w:rFonts w:ascii="Arial" w:eastAsia="Calibri" w:hAnsi="Arial" w:cs="Arial"/>
          <w:color w:val="000000"/>
          <w:lang w:eastAsia="zh-CN"/>
        </w:rPr>
        <w:t>II.1 = proceduri de creştere a densităţii urbane – scor AMC = 4,94.</w:t>
      </w:r>
    </w:p>
    <w:p w14:paraId="2532B3EE"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707B70">
        <w:rPr>
          <w:rFonts w:ascii="Arial" w:eastAsia="Calibri" w:hAnsi="Arial" w:cs="Arial"/>
          <w:color w:val="000000"/>
          <w:lang w:val="es-ES" w:eastAsia="zh-CN"/>
        </w:rPr>
        <w:t>IV.4 = campanii promoţionale pentru utilizarea bicicletei – scor AMC = 4,29.</w:t>
      </w:r>
    </w:p>
    <w:p w14:paraId="252D7918" w14:textId="716639F5"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707B70">
        <w:rPr>
          <w:rFonts w:ascii="Arial" w:eastAsia="Arial" w:hAnsi="Arial" w:cs="Arial"/>
          <w:color w:val="000000"/>
          <w:lang w:val="es-ES" w:eastAsia="zh-CN"/>
        </w:rPr>
        <w:t>V</w:t>
      </w:r>
      <w:r w:rsidRPr="00707B70">
        <w:rPr>
          <w:rFonts w:ascii="Arial" w:eastAsia="Calibri" w:hAnsi="Arial" w:cs="Arial"/>
          <w:color w:val="000000"/>
          <w:lang w:val="es-ES" w:eastAsia="zh-CN"/>
        </w:rPr>
        <w:t xml:space="preserve">I.1 = întocmirea de hărţi de răspândire a </w:t>
      </w:r>
      <w:r w:rsidR="00431567">
        <w:rPr>
          <w:rFonts w:ascii="Arial" w:eastAsia="Calibri" w:hAnsi="Arial" w:cs="Arial"/>
          <w:color w:val="000000"/>
          <w:lang w:val="es-ES" w:eastAsia="zh-CN"/>
        </w:rPr>
        <w:t>dotărilor</w:t>
      </w:r>
      <w:r w:rsidRPr="00707B70">
        <w:rPr>
          <w:rFonts w:ascii="Arial" w:eastAsia="Calibri" w:hAnsi="Arial" w:cs="Arial"/>
          <w:color w:val="000000"/>
          <w:lang w:val="es-ES" w:eastAsia="zh-CN"/>
        </w:rPr>
        <w:t xml:space="preserve"> de primă necesitate (următoarele implanturi se vor face numai pe principiul egalei răspândiri în teritoriu) – scor AMC = 3,99.</w:t>
      </w:r>
    </w:p>
    <w:p w14:paraId="5C8B5A12"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707B70">
        <w:rPr>
          <w:rFonts w:ascii="Arial" w:eastAsia="Calibri" w:hAnsi="Arial" w:cs="Arial"/>
          <w:color w:val="000000"/>
          <w:lang w:val="es-ES" w:eastAsia="zh-CN"/>
        </w:rPr>
        <w:t xml:space="preserve">VIII.6 = campanii de educatie rutiera in scoli </w:t>
      </w:r>
      <w:r w:rsidRPr="00707B70">
        <w:rPr>
          <w:rFonts w:ascii="Arial" w:eastAsia="Calibri" w:hAnsi="Arial" w:cs="Arial"/>
          <w:color w:val="000000"/>
          <w:lang w:val="es-ES"/>
        </w:rPr>
        <w:t>– scor AMC = 4,45.</w:t>
      </w:r>
    </w:p>
    <w:p w14:paraId="690B41E6"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Arial" w:hAnsi="Arial" w:cs="Arial"/>
          <w:color w:val="000000"/>
          <w:lang w:eastAsia="zh-CN"/>
        </w:rPr>
      </w:pPr>
      <w:r w:rsidRPr="00707B70">
        <w:rPr>
          <w:rFonts w:ascii="Arial" w:eastAsia="Arial" w:hAnsi="Arial" w:cs="Arial"/>
          <w:color w:val="000000"/>
          <w:lang w:eastAsia="zh-CN"/>
        </w:rPr>
        <w:t>XI.1 = traficul – rutier – de marfă în interiorul oraşului trebuie să fie limitat spaţial şi temporal – scor AMC = 4,64.</w:t>
      </w:r>
    </w:p>
    <w:p w14:paraId="6FEBFAD4"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Arial" w:hAnsi="Arial" w:cs="Arial"/>
          <w:color w:val="000000"/>
          <w:lang w:val="es-ES" w:eastAsia="zh-CN"/>
        </w:rPr>
      </w:pPr>
      <w:r w:rsidRPr="00707B70">
        <w:rPr>
          <w:rFonts w:ascii="Arial" w:eastAsia="Arial" w:hAnsi="Arial" w:cs="Arial"/>
          <w:color w:val="000000"/>
          <w:lang w:val="es-ES" w:eastAsia="zh-CN"/>
        </w:rPr>
        <w:t>X</w:t>
      </w:r>
      <w:r w:rsidRPr="00707B70">
        <w:rPr>
          <w:rFonts w:ascii="Arial" w:eastAsia="Calibri" w:hAnsi="Arial" w:cs="Arial"/>
          <w:color w:val="000000"/>
          <w:lang w:val="es-ES" w:eastAsia="zh-CN"/>
        </w:rPr>
        <w:t>I.2 = constitu</w:t>
      </w:r>
      <w:r w:rsidR="00774C94" w:rsidRPr="00707B70">
        <w:rPr>
          <w:rFonts w:ascii="Arial" w:eastAsia="Calibri" w:hAnsi="Arial" w:cs="Arial"/>
          <w:color w:val="000000"/>
          <w:lang w:val="es-ES" w:eastAsia="zh-CN"/>
        </w:rPr>
        <w:t>irea unui consiliu de consultanţă ş</w:t>
      </w:r>
      <w:r w:rsidRPr="00707B70">
        <w:rPr>
          <w:rFonts w:ascii="Arial" w:eastAsia="Calibri" w:hAnsi="Arial" w:cs="Arial"/>
          <w:color w:val="000000"/>
          <w:lang w:val="es-ES" w:eastAsia="zh-CN"/>
        </w:rPr>
        <w:t>i a unui f</w:t>
      </w:r>
      <w:r w:rsidR="00774C94" w:rsidRPr="00707B70">
        <w:rPr>
          <w:rFonts w:ascii="Arial" w:eastAsia="Calibri" w:hAnsi="Arial" w:cs="Arial"/>
          <w:color w:val="000000"/>
          <w:lang w:val="es-ES" w:eastAsia="zh-CN"/>
        </w:rPr>
        <w:t>orum pentru transportul de marfă</w:t>
      </w:r>
      <w:r w:rsidRPr="00707B70">
        <w:rPr>
          <w:rFonts w:ascii="Arial" w:eastAsia="Calibri" w:hAnsi="Arial" w:cs="Arial"/>
          <w:color w:val="000000"/>
          <w:lang w:val="es-ES" w:eastAsia="zh-CN"/>
        </w:rPr>
        <w:t xml:space="preserve"> </w:t>
      </w:r>
      <w:r w:rsidRPr="00707B70">
        <w:rPr>
          <w:rFonts w:ascii="Arial" w:eastAsia="Arial" w:hAnsi="Arial" w:cs="Arial"/>
          <w:color w:val="000000"/>
          <w:lang w:val="es-ES" w:eastAsia="zh-CN"/>
        </w:rPr>
        <w:t>– scor AMC = 4,98.</w:t>
      </w:r>
    </w:p>
    <w:p w14:paraId="4B0294E5"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707B70">
        <w:rPr>
          <w:rFonts w:ascii="Arial" w:eastAsia="Calibri" w:hAnsi="Arial" w:cs="Arial"/>
          <w:color w:val="000000"/>
          <w:lang w:val="es-ES" w:eastAsia="zh-CN"/>
        </w:rPr>
        <w:t>VI.2 = obligativitatea constituirii unui tandem construcţie - infrastructură pentru acces motorizat, nemotorizat şi spaţiu verde (pentru orice nouă construcţie) – scor AMC = 3,72.</w:t>
      </w:r>
    </w:p>
    <w:p w14:paraId="3D16F506" w14:textId="77777777" w:rsidR="006011EB" w:rsidRPr="00707B70" w:rsidRDefault="006011EB" w:rsidP="006011EB">
      <w:pPr>
        <w:widowControl w:val="0"/>
        <w:numPr>
          <w:ilvl w:val="0"/>
          <w:numId w:val="102"/>
        </w:numPr>
        <w:suppressAutoHyphens/>
        <w:autoSpaceDE w:val="0"/>
        <w:spacing w:after="0" w:line="276" w:lineRule="auto"/>
        <w:jc w:val="both"/>
        <w:rPr>
          <w:rFonts w:ascii="Arial" w:eastAsia="Calibri" w:hAnsi="Arial" w:cs="Arial"/>
          <w:color w:val="000000"/>
          <w:lang w:val="es-ES" w:eastAsia="zh-CN"/>
        </w:rPr>
      </w:pPr>
      <w:r w:rsidRPr="00707B70">
        <w:rPr>
          <w:rFonts w:ascii="Arial" w:eastAsia="Calibri" w:hAnsi="Arial" w:cs="Arial"/>
          <w:color w:val="000000"/>
          <w:lang w:val="es-ES" w:eastAsia="zh-CN"/>
        </w:rPr>
        <w:t>VI.3 = sistem de stimulente pentru amplasarea noilor şcoli, centre de sănătate, centre comerciale, etc. în interiorul sau aproape de cartierele rezidenţiale – scor AMC = 4,39.</w:t>
      </w:r>
    </w:p>
    <w:p w14:paraId="34C2CD3C" w14:textId="77777777" w:rsidR="00437AC6" w:rsidRPr="00437AC6" w:rsidRDefault="00437AC6" w:rsidP="00437AC6">
      <w:pPr>
        <w:rPr>
          <w:lang w:val="it-IT" w:eastAsia="ro-RO"/>
        </w:rPr>
      </w:pPr>
    </w:p>
    <w:p w14:paraId="30483969" w14:textId="77777777" w:rsidR="00D70AEA" w:rsidRDefault="00D70AEA" w:rsidP="003430C5">
      <w:pPr>
        <w:pStyle w:val="Titlu2"/>
        <w:rPr>
          <w:rFonts w:ascii="Arial" w:eastAsia="Times New Roman" w:hAnsi="Arial" w:cs="Arial"/>
          <w:b/>
          <w:bCs/>
          <w:color w:val="auto"/>
          <w:sz w:val="24"/>
          <w:szCs w:val="24"/>
          <w:lang w:val="it-IT" w:eastAsia="ro-RO"/>
        </w:rPr>
      </w:pPr>
      <w:bookmarkStart w:id="433" w:name="_Toc61264915"/>
      <w:bookmarkStart w:id="434" w:name="_Toc142039101"/>
      <w:r w:rsidRPr="00EA79B2">
        <w:rPr>
          <w:rFonts w:ascii="Arial" w:eastAsia="Times New Roman" w:hAnsi="Arial" w:cs="Arial"/>
          <w:b/>
          <w:bCs/>
          <w:color w:val="auto"/>
          <w:sz w:val="24"/>
          <w:szCs w:val="24"/>
          <w:lang w:val="it-IT" w:eastAsia="ro-RO"/>
        </w:rPr>
        <w:t>I.6.3</w:t>
      </w:r>
      <w:r w:rsidR="00713B65">
        <w:rPr>
          <w:rFonts w:ascii="Arial" w:eastAsia="Times New Roman" w:hAnsi="Arial" w:cs="Arial"/>
          <w:b/>
          <w:bCs/>
          <w:color w:val="auto"/>
          <w:sz w:val="24"/>
          <w:szCs w:val="24"/>
          <w:lang w:val="it-IT" w:eastAsia="ro-RO"/>
        </w:rPr>
        <w:t xml:space="preserve"> </w:t>
      </w:r>
      <w:r w:rsidR="007A73C2">
        <w:rPr>
          <w:rFonts w:ascii="Arial" w:eastAsia="Times New Roman" w:hAnsi="Arial" w:cs="Arial"/>
          <w:b/>
          <w:bCs/>
          <w:color w:val="auto"/>
          <w:sz w:val="24"/>
          <w:szCs w:val="24"/>
          <w:lang w:val="it-IT" w:eastAsia="ro-RO"/>
        </w:rPr>
        <w:t>Direcții</w:t>
      </w:r>
      <w:r w:rsidRPr="00EA79B2">
        <w:rPr>
          <w:rFonts w:ascii="Arial" w:eastAsia="Times New Roman" w:hAnsi="Arial" w:cs="Arial"/>
          <w:b/>
          <w:bCs/>
          <w:color w:val="auto"/>
          <w:sz w:val="24"/>
          <w:szCs w:val="24"/>
          <w:lang w:val="it-IT" w:eastAsia="ro-RO"/>
        </w:rPr>
        <w:t xml:space="preserve"> de acțiune și proiecte organizationale</w:t>
      </w:r>
      <w:bookmarkEnd w:id="433"/>
      <w:bookmarkEnd w:id="434"/>
    </w:p>
    <w:p w14:paraId="5DCF36FA" w14:textId="77777777" w:rsidR="00774C94" w:rsidRPr="00774C94" w:rsidRDefault="00774C94" w:rsidP="00774C94">
      <w:pPr>
        <w:suppressAutoHyphens/>
        <w:spacing w:after="0" w:line="276" w:lineRule="auto"/>
        <w:jc w:val="both"/>
        <w:rPr>
          <w:rFonts w:ascii="Arial" w:hAnsi="Arial" w:cs="Arial"/>
          <w:kern w:val="1"/>
          <w:lang w:val="es-ES" w:eastAsia="hi-IN" w:bidi="hi-IN"/>
        </w:rPr>
      </w:pPr>
      <w:r w:rsidRPr="00774C94">
        <w:rPr>
          <w:rFonts w:ascii="Arial" w:hAnsi="Arial" w:cs="Arial"/>
          <w:b/>
          <w:kern w:val="1"/>
          <w:lang w:val="es-ES" w:eastAsia="hi-IN" w:bidi="hi-IN"/>
        </w:rPr>
        <w:t>Consolidare instituțională și dezvoltarea capacității administrative</w:t>
      </w:r>
    </w:p>
    <w:p w14:paraId="717CF9BF" w14:textId="77777777" w:rsidR="00774C94" w:rsidRPr="00774C94" w:rsidRDefault="00774C94" w:rsidP="00774C94">
      <w:pPr>
        <w:suppressAutoHyphens/>
        <w:spacing w:after="0" w:line="276" w:lineRule="auto"/>
        <w:jc w:val="both"/>
        <w:rPr>
          <w:rFonts w:ascii="Arial" w:hAnsi="Arial" w:cs="Arial"/>
          <w:kern w:val="1"/>
          <w:lang w:val="es-ES" w:eastAsia="hi-IN" w:bidi="hi-IN"/>
        </w:rPr>
      </w:pPr>
      <w:r w:rsidRPr="00774C94">
        <w:rPr>
          <w:rFonts w:ascii="Arial" w:hAnsi="Arial" w:cs="Arial"/>
          <w:kern w:val="1"/>
          <w:lang w:val="es-ES" w:eastAsia="hi-IN" w:bidi="hi-IN"/>
        </w:rPr>
        <w:t>Acest set de politici se referă la modul de operare și definirea clară a sarcinilor care revin instituțiilor și organizațiilor direct responsabile de administrarea, coordonarea și proiectarea activităților din  transporturi și a celor conexe. Totodată, definesc jurisdicția și autoritatea fiecărei instituții pentru eficientizarea sistemului. Acestea trebuie să fie diferențiate și să funcționeze în ariile lor de competență. De asemenea, trebuie creată legislația adecvată, care să vină în sprijinul îndeplinirii sarcinilor definite pentru toate aceste instituții, inclusiv asigurarea fondurilor și autoritatea operațională necesare.</w:t>
      </w:r>
    </w:p>
    <w:p w14:paraId="628607ED" w14:textId="77777777" w:rsidR="00774C94" w:rsidRPr="00774C94" w:rsidRDefault="00774C94" w:rsidP="00774C94">
      <w:pPr>
        <w:suppressAutoHyphens/>
        <w:spacing w:after="0" w:line="276" w:lineRule="auto"/>
        <w:jc w:val="both"/>
        <w:rPr>
          <w:rFonts w:ascii="Arial" w:hAnsi="Arial" w:cs="Arial"/>
          <w:kern w:val="1"/>
          <w:lang w:val="es-ES" w:eastAsia="hi-IN" w:bidi="hi-IN"/>
        </w:rPr>
      </w:pPr>
    </w:p>
    <w:p w14:paraId="4AEAEC88" w14:textId="77777777" w:rsidR="00774C94" w:rsidRPr="00774C94" w:rsidRDefault="00774C94" w:rsidP="00774C94">
      <w:pPr>
        <w:suppressAutoHyphens/>
        <w:spacing w:after="0" w:line="276" w:lineRule="auto"/>
        <w:jc w:val="both"/>
        <w:rPr>
          <w:rFonts w:ascii="Arial" w:hAnsi="Arial" w:cs="Arial"/>
          <w:kern w:val="1"/>
          <w:lang w:val="es-ES" w:eastAsia="hi-IN" w:bidi="hi-IN"/>
        </w:rPr>
      </w:pPr>
      <w:r w:rsidRPr="00774C94">
        <w:rPr>
          <w:rFonts w:ascii="Arial" w:hAnsi="Arial" w:cs="Arial"/>
          <w:b/>
          <w:kern w:val="1"/>
          <w:lang w:val="es-ES" w:eastAsia="hi-IN" w:bidi="hi-IN"/>
        </w:rPr>
        <w:t>Integrarea mobilității cu planificarea urbană</w:t>
      </w:r>
    </w:p>
    <w:p w14:paraId="31810AA7"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r w:rsidRPr="00774C94">
        <w:rPr>
          <w:rFonts w:ascii="Arial" w:eastAsia="Calibri" w:hAnsi="Arial" w:cs="Arial"/>
          <w:color w:val="000000"/>
          <w:lang w:val="es-ES" w:eastAsia="zh-CN"/>
        </w:rPr>
        <w:lastRenderedPageBreak/>
        <w:t xml:space="preserve">O modalitate de diminuare a mobilităţii este </w:t>
      </w:r>
      <w:r w:rsidRPr="00774C94">
        <w:rPr>
          <w:rFonts w:ascii="Arial" w:eastAsia="Calibri" w:hAnsi="Arial" w:cs="Arial"/>
          <w:b/>
          <w:color w:val="000000"/>
          <w:lang w:val="es-ES" w:eastAsia="zh-CN"/>
        </w:rPr>
        <w:t xml:space="preserve">folosirea tehnologiilor de amenajare a teritoriului </w:t>
      </w:r>
      <w:r w:rsidRPr="00774C94">
        <w:rPr>
          <w:rFonts w:ascii="Arial" w:eastAsia="Calibri" w:hAnsi="Arial" w:cs="Arial"/>
          <w:color w:val="000000"/>
          <w:lang w:val="es-ES" w:eastAsia="zh-CN"/>
        </w:rPr>
        <w:t xml:space="preserve">care înlesnesc corelarea deplasărilor astfel încât să fie atinse mai multe obiective sau planificarea schemei urbane pentru a încuraja călătoriile pe distanţe scurte (acestea pot fi realizate convenabil pe jos sau folosind bicicleta). În continuare este prezentată o serie de măsuri pentru reducerea necesităţii de deplasare, care pot fi împărţite formal în măsuri tradiţionale, respectiv măsuri neconvenţionale. </w:t>
      </w:r>
    </w:p>
    <w:p w14:paraId="3E827C10" w14:textId="77777777" w:rsidR="00774C94" w:rsidRPr="00774C94" w:rsidRDefault="00774C94" w:rsidP="00774C94">
      <w:pPr>
        <w:suppressAutoHyphens/>
        <w:autoSpaceDE w:val="0"/>
        <w:spacing w:after="0" w:line="360" w:lineRule="auto"/>
        <w:jc w:val="both"/>
        <w:rPr>
          <w:rFonts w:ascii="Arial" w:eastAsia="Calibri" w:hAnsi="Arial" w:cs="Arial"/>
          <w:color w:val="000000"/>
          <w:sz w:val="24"/>
          <w:szCs w:val="24"/>
          <w:lang w:val="es-ES" w:eastAsia="zh-CN"/>
        </w:rPr>
      </w:pPr>
    </w:p>
    <w:p w14:paraId="2EDE5206"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Calibri" w:hAnsi="Arial" w:cs="Arial"/>
          <w:color w:val="000000"/>
          <w:lang w:val="es-ES" w:eastAsia="zh-CN"/>
        </w:rPr>
        <w:t xml:space="preserve">Unele din măsurile tradiţionale cunoscute, care vizează transportul sunt: </w:t>
      </w:r>
    </w:p>
    <w:p w14:paraId="21FD6C59"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ameliorarea capacităţii rutiere; </w:t>
      </w:r>
    </w:p>
    <w:p w14:paraId="123266B4"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investiţii în capacităţile de transport public; </w:t>
      </w:r>
    </w:p>
    <w:p w14:paraId="329ACF19"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priorităţi în transportul public şi amenajarea teritoriului; </w:t>
      </w:r>
    </w:p>
    <w:p w14:paraId="7807C566"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controlul accesului în anumite zone;</w:t>
      </w:r>
    </w:p>
    <w:p w14:paraId="5D2CD9A8"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taxe de parcare şi restricţii de parcare; </w:t>
      </w:r>
    </w:p>
    <w:p w14:paraId="1CA6E8C3"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introducerea de taxe în transportul rutier; </w:t>
      </w:r>
    </w:p>
    <w:p w14:paraId="4A3C3570"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politica de programare eşalonată a orelor de începere a serviciului la companii; </w:t>
      </w:r>
    </w:p>
    <w:p w14:paraId="02DAF729"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priorităţi pentru transportul nemotorizat. </w:t>
      </w:r>
    </w:p>
    <w:p w14:paraId="2548A1D5" w14:textId="77777777" w:rsidR="00774C94" w:rsidRPr="00774C94" w:rsidRDefault="00774C94" w:rsidP="00774C94">
      <w:pPr>
        <w:suppressAutoHyphens/>
        <w:autoSpaceDE w:val="0"/>
        <w:spacing w:after="0" w:line="360" w:lineRule="auto"/>
        <w:jc w:val="both"/>
        <w:rPr>
          <w:rFonts w:ascii="Arial" w:eastAsia="Calibri" w:hAnsi="Arial" w:cs="Arial"/>
          <w:color w:val="000000"/>
          <w:sz w:val="24"/>
          <w:szCs w:val="24"/>
          <w:lang w:val="es-ES" w:eastAsia="zh-CN"/>
        </w:rPr>
      </w:pPr>
    </w:p>
    <w:p w14:paraId="6E753C39"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Calibri" w:hAnsi="Arial" w:cs="Arial"/>
          <w:color w:val="000000"/>
          <w:lang w:val="es-ES" w:eastAsia="zh-CN"/>
        </w:rPr>
        <w:t xml:space="preserve">Măsurile neconvenţionale se clasifică la rândul lor în două categorii: </w:t>
      </w:r>
    </w:p>
    <w:p w14:paraId="2294515E"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unele măsuri de amenajarea teritoriului – care folosesc planificarea spaţială şi alte instrumente uzuale ale urbanismului: </w:t>
      </w:r>
    </w:p>
    <w:p w14:paraId="2F0243F6" w14:textId="77777777" w:rsidR="00774C94" w:rsidRPr="00774C94" w:rsidRDefault="00774C94" w:rsidP="00774C94">
      <w:pPr>
        <w:suppressAutoHyphens/>
        <w:autoSpaceDE w:val="0"/>
        <w:spacing w:after="0" w:line="276" w:lineRule="auto"/>
        <w:ind w:left="991"/>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dezvoltarea transporturilor în comun până la renunţarea la folosirea autoturismului individual; </w:t>
      </w:r>
    </w:p>
    <w:p w14:paraId="04F612C8" w14:textId="77777777" w:rsidR="00774C94" w:rsidRPr="00774C94" w:rsidRDefault="00774C94" w:rsidP="00774C94">
      <w:pPr>
        <w:suppressAutoHyphens/>
        <w:autoSpaceDE w:val="0"/>
        <w:spacing w:after="0" w:line="276" w:lineRule="auto"/>
        <w:ind w:left="991"/>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concentrarea urbană. </w:t>
      </w:r>
    </w:p>
    <w:p w14:paraId="6F3B3109"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unele măsuri tehnologice – care folosesc tehnologii avansate de comunicaţii şi prelucrarea informaţiei: </w:t>
      </w:r>
    </w:p>
    <w:p w14:paraId="4CD510D1" w14:textId="77777777" w:rsidR="00774C94" w:rsidRPr="00774C94" w:rsidRDefault="00774C94" w:rsidP="00774C94">
      <w:pPr>
        <w:suppressAutoHyphens/>
        <w:autoSpaceDE w:val="0"/>
        <w:spacing w:after="0" w:line="276" w:lineRule="auto"/>
        <w:ind w:left="991"/>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desfacerea la domiciliu a mărfurilor şi serviciilor; </w:t>
      </w:r>
    </w:p>
    <w:p w14:paraId="24F30728" w14:textId="77777777" w:rsidR="00774C94" w:rsidRPr="00774C94" w:rsidRDefault="00774C94" w:rsidP="00774C94">
      <w:pPr>
        <w:suppressAutoHyphens/>
        <w:autoSpaceDE w:val="0"/>
        <w:spacing w:after="0" w:line="276" w:lineRule="auto"/>
        <w:ind w:left="991"/>
        <w:jc w:val="both"/>
        <w:rPr>
          <w:rFonts w:ascii="Arial" w:eastAsia="Calibri"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teleactivităţi şi telelucrul. </w:t>
      </w:r>
    </w:p>
    <w:p w14:paraId="1A664C38"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p>
    <w:p w14:paraId="6186CD25"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r w:rsidRPr="00774C94">
        <w:rPr>
          <w:rFonts w:ascii="Arial" w:eastAsia="Calibri" w:hAnsi="Arial" w:cs="Arial"/>
          <w:color w:val="000000"/>
          <w:lang w:val="es-ES" w:eastAsia="zh-CN"/>
        </w:rPr>
        <w:t xml:space="preserve">Progresul în tehnicile de calcul şi comunicaţii a făcut posibilă introducerea teleworkingului şi a telecommutingului, pentru a elimina nevoia de deplasare. Studiile şi analizele efectuate au condus la ideea că teleactivităţile şi telelucrul aduc beneficii pentru toate părţile implicate şi deci, inclusiv pentru societate. </w:t>
      </w:r>
    </w:p>
    <w:p w14:paraId="0B78E541"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p>
    <w:p w14:paraId="37FF95CD"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r w:rsidRPr="00774C94">
        <w:rPr>
          <w:rFonts w:ascii="Arial" w:eastAsia="Calibri" w:hAnsi="Arial" w:cs="Arial"/>
          <w:color w:val="000000"/>
          <w:lang w:val="es-ES" w:eastAsia="zh-CN"/>
        </w:rPr>
        <w:t xml:space="preserve">Există deci, o multitudine de măsuri pentru reducerea potenţială a nevoii de călătorie. Aceste soluţii constau în mecanisme implicite de </w:t>
      </w:r>
      <w:r w:rsidRPr="00774C94">
        <w:rPr>
          <w:rFonts w:ascii="Arial" w:eastAsia="Calibri" w:hAnsi="Arial" w:cs="Arial"/>
          <w:b/>
          <w:color w:val="000000"/>
          <w:lang w:val="es-ES" w:eastAsia="zh-CN"/>
        </w:rPr>
        <w:t>schimbare şi substituţie</w:t>
      </w:r>
      <w:r w:rsidRPr="00774C94">
        <w:rPr>
          <w:rFonts w:ascii="Arial" w:eastAsia="Calibri" w:hAnsi="Arial" w:cs="Arial"/>
          <w:color w:val="000000"/>
          <w:lang w:val="es-ES" w:eastAsia="zh-CN"/>
        </w:rPr>
        <w:t xml:space="preserve">, prin intermediul cărora deplasarea este modificată şi redusă. Mecanismul de schimbare a atributelor deplasării reformulează anumite componente ale oricărei deplasări, fără a o elimina (modificări modale, temporale şi de localizare). </w:t>
      </w:r>
    </w:p>
    <w:p w14:paraId="6322B33C"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p>
    <w:p w14:paraId="4542F5DD"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r w:rsidRPr="00774C94">
        <w:rPr>
          <w:rFonts w:ascii="Arial" w:eastAsia="Calibri" w:hAnsi="Arial" w:cs="Arial"/>
          <w:color w:val="000000"/>
          <w:lang w:val="es-ES" w:eastAsia="zh-CN"/>
        </w:rPr>
        <w:t xml:space="preserve">Soluţiile care apelează la substituţie au impact asupra numărului de călătorii efectuate, înlocuind o mulţime de deplasări cu o altă mulţime, care presupune micşorarea mobilităţii, precum şi folosirea de noi forme de comunicaţii pentru a exclude complet nevoia de călătorie. </w:t>
      </w:r>
    </w:p>
    <w:p w14:paraId="34DEFCCC"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p>
    <w:p w14:paraId="6994EBF5" w14:textId="77777777" w:rsidR="00774C94" w:rsidRPr="00774C94" w:rsidRDefault="00774C94" w:rsidP="00774C94">
      <w:pPr>
        <w:suppressAutoHyphens/>
        <w:autoSpaceDE w:val="0"/>
        <w:spacing w:after="0" w:line="276" w:lineRule="auto"/>
        <w:jc w:val="both"/>
        <w:rPr>
          <w:rFonts w:ascii="Arial" w:eastAsia="Calibri" w:hAnsi="Arial" w:cs="Arial"/>
          <w:color w:val="FF0000"/>
          <w:lang w:val="es-ES" w:eastAsia="zh-CN"/>
        </w:rPr>
      </w:pPr>
      <w:r w:rsidRPr="00774C94">
        <w:rPr>
          <w:rFonts w:ascii="Arial" w:eastAsia="Calibri" w:hAnsi="Arial" w:cs="Arial"/>
          <w:color w:val="000000"/>
          <w:lang w:val="es-ES" w:eastAsia="zh-CN"/>
        </w:rPr>
        <w:t xml:space="preserve">Una din modalităţile de modificare a comportamentului individual poate fi legată de ciclicitatea deplasărilor care ţin de activităţile de cumpărături. Concret activitatea de cumpărături pentru aprovizionare a unei familii poate fi orientată către sfârşitul de </w:t>
      </w:r>
      <w:r w:rsidRPr="00774C94">
        <w:rPr>
          <w:rFonts w:ascii="Arial" w:eastAsia="Calibri" w:hAnsi="Arial" w:cs="Arial"/>
          <w:color w:val="000000"/>
          <w:lang w:val="es-ES" w:eastAsia="zh-CN"/>
        </w:rPr>
        <w:lastRenderedPageBreak/>
        <w:t xml:space="preserve">săptămână prin analizarea caracteristicilor comportamentale ale indivizilor şi prin adoptarea unui program adecvat al magazinelor – cu predilecţie pentru cele care îşi au sediul în zona centrala a oraşului. În valori relative, numărul celor care fac cumpărături în ambele zile ale sfârşitului de săptămână este de trei ori mai mare, decât al celor care fac cumpărături în fiecare zi lucrătoare, ceea ce conduce la concluzia că partajarea actuala este aproximativ egală între zilele de lucru, pe de o parte şi week-end, pe de altă parte. În acest context, se poate constata că există un cadru favorabil care nu aşteaptă decât o intervenţie punctuala care ar putea deplasa o parte din călătoriile din timpul săptămânii de lucru către zilele de sâmbătă şi duminică cu repercusiuni favorabile asupra fluenţei traficului în oraşe. </w:t>
      </w:r>
    </w:p>
    <w:p w14:paraId="112D0BA5" w14:textId="77777777" w:rsidR="00774C94" w:rsidRPr="00774C94" w:rsidRDefault="00774C94" w:rsidP="00774C94">
      <w:pPr>
        <w:suppressAutoHyphens/>
        <w:spacing w:after="0" w:line="276" w:lineRule="auto"/>
        <w:jc w:val="both"/>
        <w:rPr>
          <w:rFonts w:ascii="Arial" w:hAnsi="Arial" w:cs="Arial"/>
          <w:color w:val="FF0000"/>
          <w:kern w:val="1"/>
          <w:lang w:val="es-ES" w:eastAsia="hi-IN" w:bidi="hi-IN"/>
        </w:rPr>
      </w:pPr>
    </w:p>
    <w:p w14:paraId="0824732A" w14:textId="77777777" w:rsidR="00774C94" w:rsidRPr="00774C94" w:rsidRDefault="00774C94" w:rsidP="00774C94">
      <w:pPr>
        <w:suppressAutoHyphens/>
        <w:autoSpaceDE w:val="0"/>
        <w:spacing w:after="0" w:line="276" w:lineRule="auto"/>
        <w:jc w:val="both"/>
        <w:rPr>
          <w:rFonts w:ascii="Arial" w:eastAsia="Arial" w:hAnsi="Arial" w:cs="Arial"/>
          <w:color w:val="000000"/>
          <w:lang w:eastAsia="zh-CN"/>
        </w:rPr>
      </w:pPr>
      <w:r w:rsidRPr="00774C94">
        <w:rPr>
          <w:rFonts w:ascii="Arial" w:eastAsia="Calibri" w:hAnsi="Arial" w:cs="Arial"/>
          <w:i/>
          <w:iCs/>
          <w:color w:val="000000"/>
          <w:lang w:eastAsia="zh-CN"/>
        </w:rPr>
        <w:t>a) Managementul expansiunii urbane</w:t>
      </w:r>
      <w:r w:rsidRPr="00774C94">
        <w:rPr>
          <w:rFonts w:ascii="Arial" w:eastAsia="Calibri" w:hAnsi="Arial" w:cs="Arial"/>
          <w:color w:val="000000"/>
          <w:lang w:eastAsia="zh-CN"/>
        </w:rPr>
        <w:t xml:space="preserve"> – în ce mod trebuie manageriat ansamblul constructiv al oraşului. </w:t>
      </w:r>
    </w:p>
    <w:p w14:paraId="7962CAE7" w14:textId="77777777" w:rsidR="00774C94" w:rsidRPr="00774C94" w:rsidRDefault="00774C94" w:rsidP="00774C94">
      <w:pPr>
        <w:suppressAutoHyphens/>
        <w:autoSpaceDE w:val="0"/>
        <w:spacing w:after="0" w:line="276" w:lineRule="auto"/>
        <w:ind w:left="449"/>
        <w:jc w:val="both"/>
        <w:rPr>
          <w:rFonts w:ascii="Arial" w:eastAsia="Arial" w:hAnsi="Arial" w:cs="Arial"/>
          <w:color w:val="000000"/>
          <w:lang w:eastAsia="zh-CN"/>
        </w:rPr>
      </w:pPr>
      <w:r w:rsidRPr="00774C94">
        <w:rPr>
          <w:rFonts w:ascii="Arial" w:eastAsia="Arial" w:hAnsi="Arial" w:cs="Arial"/>
          <w:color w:val="000000"/>
          <w:lang w:eastAsia="zh-CN"/>
        </w:rPr>
        <w:t xml:space="preserve">• </w:t>
      </w:r>
      <w:r w:rsidRPr="00774C94">
        <w:rPr>
          <w:rFonts w:ascii="Arial" w:eastAsia="Calibri" w:hAnsi="Arial" w:cs="Arial"/>
          <w:color w:val="000000"/>
          <w:lang w:eastAsia="zh-CN"/>
        </w:rPr>
        <w:t xml:space="preserve">Este recomandabilă limitarea expansiunii urbane: trebuie fixată „centura” care înconjoară oraşul spre a-l delimita de spaţiul rural, centură care nu mai poate fi depăşită nici pe motive demografice, nici pe motive economice (decât în cazuri a căror soluţii conţin în sine dezvoltarea durabilă). </w:t>
      </w:r>
    </w:p>
    <w:p w14:paraId="5E0EE60B" w14:textId="77777777" w:rsidR="00774C94" w:rsidRPr="00774C94" w:rsidRDefault="00774C94" w:rsidP="00774C94">
      <w:pPr>
        <w:suppressAutoHyphens/>
        <w:autoSpaceDE w:val="0"/>
        <w:spacing w:after="0" w:line="276" w:lineRule="auto"/>
        <w:ind w:left="449"/>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Este necesară delimitarea stricta a cartierelor oraşului (pe categorii de tipul: rezidenţiale, industriale, comerciale, culturale, recreere, eventual agricole). </w:t>
      </w:r>
    </w:p>
    <w:p w14:paraId="7C9C2403" w14:textId="77777777" w:rsidR="00774C94" w:rsidRPr="00774C94" w:rsidRDefault="00774C94" w:rsidP="00774C94">
      <w:pPr>
        <w:suppressAutoHyphens/>
        <w:autoSpaceDE w:val="0"/>
        <w:spacing w:after="0" w:line="276" w:lineRule="auto"/>
        <w:ind w:left="449"/>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Se impune ca orice construcţie de tip infrastructură să înglobeze nu numai suprafeţele destinate căilor de acces motorizate, ci şi suprafeţele destinate bicicletelor, mersului pe jos şi spaţiilor verzi. </w:t>
      </w:r>
    </w:p>
    <w:p w14:paraId="0D1E7623" w14:textId="77777777" w:rsidR="00774C94" w:rsidRPr="00774C94" w:rsidRDefault="00774C94" w:rsidP="00774C94">
      <w:pPr>
        <w:suppressAutoHyphens/>
        <w:autoSpaceDE w:val="0"/>
        <w:spacing w:after="0" w:line="276" w:lineRule="auto"/>
        <w:ind w:left="449"/>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Pentru transparentizarea procesului de decizie este necesar să se stabilească fără dubiu zonele în care autorităţile locale vor asigura infrastructură şi utilităţi (administratia publica locala nu va furniza servicii publice şi nici reţele de utilităţi în afara graniţelor desemnate). </w:t>
      </w:r>
    </w:p>
    <w:p w14:paraId="64A6D7AE" w14:textId="77777777" w:rsidR="00774C94" w:rsidRPr="00774C94" w:rsidRDefault="00774C94" w:rsidP="00774C94">
      <w:pPr>
        <w:suppressAutoHyphens/>
        <w:autoSpaceDE w:val="0"/>
        <w:spacing w:after="0" w:line="276" w:lineRule="auto"/>
        <w:ind w:left="449"/>
        <w:jc w:val="both"/>
        <w:rPr>
          <w:rFonts w:ascii="Arial" w:eastAsia="Calibri"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Administratia publica locala îşi va stabili o rată de creştere urbană exprimată procentual, care determină câte noi locuinţe sau câţi metri pătraţi de spaţii comerciale / industriale vor fi permise în intervalul unui an calendaristic (în funcţie de această rată de dezvoltare va fi stabilit numărul de autorizaţii de construcţii care se vor acorda); dacă realităţile conduc la apariţia unui număr mai mare de cereri de autorizaţii de construcţii decât rata stabilită, se va elabora un sistem multicriterial în care se acordă puncte pentru design, spaţii verzi adiacente, conectarea construcţiei la reţeaua stradală etc. </w:t>
      </w:r>
    </w:p>
    <w:p w14:paraId="6FAD2C8A"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p>
    <w:p w14:paraId="61928D69" w14:textId="77777777" w:rsidR="00774C94" w:rsidRPr="00774C94" w:rsidRDefault="00774C94" w:rsidP="00774C94">
      <w:pPr>
        <w:suppressAutoHyphens/>
        <w:autoSpaceDE w:val="0"/>
        <w:spacing w:after="0" w:line="276" w:lineRule="auto"/>
        <w:jc w:val="both"/>
        <w:rPr>
          <w:rFonts w:ascii="Arial" w:eastAsia="Arial" w:hAnsi="Arial" w:cs="Arial"/>
          <w:color w:val="000000"/>
          <w:lang w:val="es-ES" w:eastAsia="zh-CN"/>
        </w:rPr>
      </w:pPr>
      <w:r w:rsidRPr="00774C94">
        <w:rPr>
          <w:rFonts w:ascii="Arial" w:eastAsia="Calibri" w:hAnsi="Arial" w:cs="Arial"/>
          <w:i/>
          <w:color w:val="000000"/>
          <w:lang w:val="es-ES" w:eastAsia="zh-CN"/>
        </w:rPr>
        <w:t xml:space="preserve">b) Atitudine vizând conservarea mediului </w:t>
      </w:r>
      <w:r w:rsidRPr="00774C94">
        <w:rPr>
          <w:rFonts w:ascii="Arial" w:eastAsia="Calibri" w:hAnsi="Arial" w:cs="Arial"/>
          <w:color w:val="000000"/>
          <w:lang w:val="es-ES" w:eastAsia="zh-CN"/>
        </w:rPr>
        <w:t xml:space="preserve">înconjurător – spre ce zone nu trebuie acceptată extinderea oraşului. </w:t>
      </w:r>
    </w:p>
    <w:p w14:paraId="4E47E8E8" w14:textId="77777777" w:rsidR="00774C94" w:rsidRPr="00774C94" w:rsidRDefault="00774C94" w:rsidP="00774C94">
      <w:pPr>
        <w:suppressAutoHyphens/>
        <w:autoSpaceDE w:val="0"/>
        <w:spacing w:after="0" w:line="276" w:lineRule="auto"/>
        <w:ind w:left="449"/>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Primăria ar putea să aloce resurse financiare pentru achiziţionarea unor terenuri intravilane importante din punctul de vedere al protecţiei mediului înconjurător. </w:t>
      </w:r>
    </w:p>
    <w:p w14:paraId="37BEFE79" w14:textId="77777777" w:rsidR="00774C94" w:rsidRPr="00774C94" w:rsidRDefault="00774C94" w:rsidP="00774C94">
      <w:pPr>
        <w:suppressAutoHyphens/>
        <w:autoSpaceDE w:val="0"/>
        <w:spacing w:after="0" w:line="276" w:lineRule="auto"/>
        <w:ind w:left="449"/>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O varianta a acestei acţiuni ar fi să nu se achiziţioneze terenurile în cauză, ci să se creeze condiţii pentru un tip de parteneriat public-privat: autorităţile locale şi proprietarii semnează un contract în care se prevede că proprietarul continuă să deţină terenul, dar cedează, în schimbul unei compensaţii, dreptul autorităţii locale de a dezvolta acel teren în beneficiul mediului. </w:t>
      </w:r>
    </w:p>
    <w:p w14:paraId="35353AE7" w14:textId="752502CD" w:rsidR="00774C94" w:rsidRPr="00774C94" w:rsidRDefault="00774C94" w:rsidP="00774C94">
      <w:pPr>
        <w:suppressAutoHyphens/>
        <w:autoSpaceDE w:val="0"/>
        <w:spacing w:after="0" w:line="276" w:lineRule="auto"/>
        <w:ind w:left="449"/>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Aproape nu ar trebui să fie pusă în discuţie constituirea reţelelor formate din arii naturale – cursuri de ape prin Horezu – care să fie destinate plimbărilor perpedes şi </w:t>
      </w:r>
      <w:r w:rsidR="00A27348">
        <w:rPr>
          <w:rFonts w:ascii="Arial" w:eastAsia="Calibri" w:hAnsi="Arial" w:cs="Arial"/>
          <w:color w:val="000000"/>
          <w:lang w:val="es-ES" w:eastAsia="zh-CN"/>
        </w:rPr>
        <w:t>traseelor pentru</w:t>
      </w:r>
      <w:r w:rsidRPr="00774C94">
        <w:rPr>
          <w:rFonts w:ascii="Arial" w:eastAsia="Calibri" w:hAnsi="Arial" w:cs="Arial"/>
          <w:color w:val="000000"/>
          <w:lang w:val="es-ES" w:eastAsia="zh-CN"/>
        </w:rPr>
        <w:t xml:space="preserve"> biciclete (aceste reţele, ca sisteme de infrastructură nemotorizată sunt un izvor de oxigen pentru locuitorii oraşului, aşa cum s-a împământenit în campusurile universitare). </w:t>
      </w:r>
    </w:p>
    <w:p w14:paraId="56218CAE" w14:textId="77777777" w:rsidR="00774C94" w:rsidRPr="00774C94" w:rsidRDefault="00774C94" w:rsidP="00774C94">
      <w:pPr>
        <w:suppressAutoHyphens/>
        <w:autoSpaceDE w:val="0"/>
        <w:spacing w:after="0" w:line="276" w:lineRule="auto"/>
        <w:ind w:left="449"/>
        <w:jc w:val="both"/>
        <w:rPr>
          <w:rFonts w:ascii="Arial" w:eastAsia="Calibri" w:hAnsi="Arial" w:cs="Arial"/>
          <w:color w:val="FF0000"/>
          <w:lang w:val="es-ES" w:eastAsia="zh-CN"/>
        </w:rPr>
      </w:pPr>
      <w:r w:rsidRPr="00774C94">
        <w:rPr>
          <w:rFonts w:ascii="Arial" w:eastAsia="Arial" w:hAnsi="Arial" w:cs="Arial"/>
          <w:color w:val="000000"/>
          <w:lang w:val="es-ES" w:eastAsia="zh-CN"/>
        </w:rPr>
        <w:lastRenderedPageBreak/>
        <w:t xml:space="preserve">• </w:t>
      </w:r>
      <w:r w:rsidRPr="00774C94">
        <w:rPr>
          <w:rFonts w:ascii="Arial" w:eastAsia="Calibri" w:hAnsi="Arial" w:cs="Arial"/>
          <w:color w:val="000000"/>
          <w:lang w:val="es-ES" w:eastAsia="zh-CN"/>
        </w:rPr>
        <w:t xml:space="preserve">Este recomandată întocmirea de standarde privind poluarea aerului şi a mediului cu aplicare „de aici înainte”: cu alte cuvinte, dacă un potenţial proiect are un impact negativ asupra acestor standarde, el nu va fi aprobat decât dacă există componente care demonstrează că se vor lua măsuri prin care să corecteze situaţia (exemplu: cel care construieşte peste 100 de noi locuinţe trebuie să contribuie la amplasarea unei staţii de autobuz în interiorul comunităţii – cu resurse financiare, printr-un design adecvat al străzilor, prin modul de amplasare a locuinţelor etc. – asigurându-se astfel conectarea cvartalului la reţeaua de transport în comun). </w:t>
      </w:r>
    </w:p>
    <w:p w14:paraId="601EC41A" w14:textId="77777777" w:rsidR="00774C94" w:rsidRPr="00774C94" w:rsidRDefault="00774C94" w:rsidP="00774C94">
      <w:pPr>
        <w:suppressAutoHyphens/>
        <w:autoSpaceDE w:val="0"/>
        <w:spacing w:after="0" w:line="276" w:lineRule="auto"/>
        <w:jc w:val="both"/>
        <w:rPr>
          <w:rFonts w:ascii="Arial" w:eastAsia="Calibri" w:hAnsi="Arial" w:cs="Arial"/>
          <w:color w:val="FF0000"/>
          <w:lang w:val="es-ES" w:eastAsia="zh-CN"/>
        </w:rPr>
      </w:pPr>
    </w:p>
    <w:p w14:paraId="175611EF" w14:textId="77777777" w:rsidR="00774C94" w:rsidRPr="00774C94" w:rsidRDefault="00774C94" w:rsidP="00774C94">
      <w:pPr>
        <w:suppressAutoHyphens/>
        <w:autoSpaceDE w:val="0"/>
        <w:spacing w:after="0" w:line="276" w:lineRule="auto"/>
        <w:jc w:val="both"/>
        <w:rPr>
          <w:rFonts w:ascii="Arial" w:eastAsia="Arial" w:hAnsi="Arial" w:cs="Arial"/>
          <w:i/>
          <w:color w:val="000000"/>
          <w:lang w:val="es-ES" w:eastAsia="zh-CN"/>
        </w:rPr>
      </w:pPr>
      <w:r w:rsidRPr="00774C94">
        <w:rPr>
          <w:rFonts w:ascii="Arial" w:eastAsia="Calibri" w:hAnsi="Arial" w:cs="Arial"/>
          <w:i/>
          <w:color w:val="000000"/>
          <w:lang w:val="es-ES" w:eastAsia="zh-CN"/>
        </w:rPr>
        <w:t xml:space="preserve">c) Modalităţi de cuplare a infrastructurii de noile cartiere/comunităţi </w:t>
      </w:r>
    </w:p>
    <w:p w14:paraId="5BFAB44C" w14:textId="77777777" w:rsidR="00774C94" w:rsidRPr="00774C94" w:rsidRDefault="00774C94" w:rsidP="00774C94">
      <w:pPr>
        <w:suppressAutoHyphens/>
        <w:autoSpaceDE w:val="0"/>
        <w:spacing w:after="0" w:line="276" w:lineRule="auto"/>
        <w:ind w:left="449"/>
        <w:jc w:val="both"/>
        <w:rPr>
          <w:rFonts w:ascii="Arial" w:eastAsia="Arial" w:hAnsi="Arial" w:cs="Arial"/>
          <w:color w:val="00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Primăria este în măsură să condiţioneze eliberarea de noi autorizaţii de construcţii de existenţa infrastructurii necesare: dacă o zonă nu este deservită de infrastructura necesară atunci nu vor fi aprobate autorizaţii de construcţii în acea zonă până când </w:t>
      </w:r>
      <w:r>
        <w:rPr>
          <w:rFonts w:ascii="Arial" w:eastAsia="Calibri" w:hAnsi="Arial" w:cs="Arial"/>
          <w:color w:val="000000"/>
          <w:lang w:val="es-ES" w:eastAsia="zh-CN"/>
        </w:rPr>
        <w:t>administraţia publică locală</w:t>
      </w:r>
      <w:r w:rsidRPr="00774C94">
        <w:rPr>
          <w:rFonts w:ascii="Arial" w:eastAsia="Calibri" w:hAnsi="Arial" w:cs="Arial"/>
          <w:color w:val="000000"/>
          <w:lang w:val="es-ES" w:eastAsia="zh-CN"/>
        </w:rPr>
        <w:t xml:space="preserve"> nu va avea fondurile necesare sau vor fi aprobate cu condiţia ca cei care realizează proiectul să plătească cote părţi pentru ele. </w:t>
      </w:r>
    </w:p>
    <w:p w14:paraId="3BE3A379" w14:textId="77777777" w:rsidR="00774C94" w:rsidRPr="00774C94" w:rsidRDefault="00774C94" w:rsidP="00774C94">
      <w:pPr>
        <w:suppressAutoHyphens/>
        <w:autoSpaceDE w:val="0"/>
        <w:spacing w:after="0" w:line="276" w:lineRule="auto"/>
        <w:ind w:left="449"/>
        <w:jc w:val="both"/>
        <w:rPr>
          <w:rFonts w:ascii="Arial" w:eastAsia="Calibri" w:hAnsi="Arial" w:cs="Arial"/>
          <w:color w:val="FF0000"/>
          <w:lang w:val="es-ES" w:eastAsia="zh-CN"/>
        </w:rPr>
      </w:pPr>
      <w:r w:rsidRPr="00774C94">
        <w:rPr>
          <w:rFonts w:ascii="Arial" w:eastAsia="Arial" w:hAnsi="Arial" w:cs="Arial"/>
          <w:color w:val="000000"/>
          <w:lang w:val="es-ES" w:eastAsia="zh-CN"/>
        </w:rPr>
        <w:t xml:space="preserve">• </w:t>
      </w:r>
      <w:r w:rsidRPr="00774C94">
        <w:rPr>
          <w:rFonts w:ascii="Arial" w:eastAsia="Calibri" w:hAnsi="Arial" w:cs="Arial"/>
          <w:color w:val="000000"/>
          <w:lang w:val="es-ES" w:eastAsia="zh-CN"/>
        </w:rPr>
        <w:t xml:space="preserve">Este posibil să se organizeze un sistem de stimulente pentru amplasarea noilor şcoli, centre comerciale, etc. aproape de cartierele rezidenţiale astfel încât acestea să fie accesibile fără folosirea maşinii. </w:t>
      </w:r>
    </w:p>
    <w:p w14:paraId="270326F6" w14:textId="77777777" w:rsidR="00774C94" w:rsidRPr="00774C94" w:rsidRDefault="00774C94" w:rsidP="00774C94">
      <w:pPr>
        <w:suppressAutoHyphens/>
        <w:spacing w:after="0" w:line="276" w:lineRule="auto"/>
        <w:jc w:val="both"/>
        <w:rPr>
          <w:rFonts w:ascii="Arial" w:hAnsi="Arial" w:cs="Arial"/>
          <w:color w:val="FF0000"/>
          <w:kern w:val="1"/>
          <w:lang w:val="es-ES" w:eastAsia="hi-IN" w:bidi="hi-IN"/>
        </w:rPr>
      </w:pPr>
    </w:p>
    <w:p w14:paraId="3EFA6237"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r w:rsidRPr="00774C94">
        <w:rPr>
          <w:rFonts w:ascii="Arial" w:eastAsia="Calibri" w:hAnsi="Arial" w:cs="Arial"/>
          <w:i/>
          <w:color w:val="000000"/>
          <w:lang w:val="es-ES" w:eastAsia="zh-CN"/>
        </w:rPr>
        <w:t>d) Încurajarea acţiunilor în care noile construcţii respecta standarde de calitate</w:t>
      </w:r>
      <w:r w:rsidRPr="00774C94">
        <w:rPr>
          <w:rFonts w:ascii="Arial" w:eastAsia="Calibri" w:hAnsi="Arial" w:cs="Arial"/>
          <w:color w:val="000000"/>
          <w:lang w:val="es-ES" w:eastAsia="zh-CN"/>
        </w:rPr>
        <w:t xml:space="preserve">. </w:t>
      </w:r>
    </w:p>
    <w:p w14:paraId="2696B053" w14:textId="77777777" w:rsidR="00774C94" w:rsidRPr="00774C94" w:rsidRDefault="00774C94" w:rsidP="00774C94">
      <w:pPr>
        <w:suppressAutoHyphens/>
        <w:autoSpaceDE w:val="0"/>
        <w:spacing w:after="0" w:line="276" w:lineRule="auto"/>
        <w:jc w:val="both"/>
        <w:rPr>
          <w:rFonts w:ascii="Arial" w:eastAsia="Calibri" w:hAnsi="Arial" w:cs="Arial"/>
          <w:color w:val="FF0000"/>
          <w:lang w:val="es-ES" w:eastAsia="zh-CN"/>
        </w:rPr>
      </w:pPr>
      <w:r>
        <w:rPr>
          <w:rFonts w:ascii="Arial" w:eastAsia="Calibri" w:hAnsi="Arial" w:cs="Arial"/>
          <w:color w:val="000000"/>
          <w:lang w:val="es-ES" w:eastAsia="zh-CN"/>
        </w:rPr>
        <w:t>Administraţia publică locală</w:t>
      </w:r>
      <w:r w:rsidRPr="00774C94">
        <w:rPr>
          <w:rFonts w:ascii="Arial" w:eastAsia="Calibri" w:hAnsi="Arial" w:cs="Arial"/>
          <w:color w:val="000000"/>
          <w:lang w:val="es-ES" w:eastAsia="zh-CN"/>
        </w:rPr>
        <w:t xml:space="preserve"> trebuie să incurajeze</w:t>
      </w:r>
      <w:r>
        <w:rPr>
          <w:rFonts w:ascii="Arial" w:eastAsia="Calibri" w:hAnsi="Arial" w:cs="Arial"/>
          <w:color w:val="000000"/>
          <w:lang w:val="es-ES" w:eastAsia="zh-CN"/>
        </w:rPr>
        <w:t xml:space="preserve"> respectarea unei idei unitare în ceea ce priveşte arhitectura noilor clădiri ce urmează a fi construite, care să</w:t>
      </w:r>
      <w:r w:rsidRPr="00774C94">
        <w:rPr>
          <w:rFonts w:ascii="Arial" w:eastAsia="Calibri" w:hAnsi="Arial" w:cs="Arial"/>
          <w:color w:val="000000"/>
          <w:lang w:val="es-ES" w:eastAsia="zh-CN"/>
        </w:rPr>
        <w:t xml:space="preserve"> se integreze p</w:t>
      </w:r>
      <w:r>
        <w:rPr>
          <w:rFonts w:ascii="Arial" w:eastAsia="Calibri" w:hAnsi="Arial" w:cs="Arial"/>
          <w:color w:val="000000"/>
          <w:lang w:val="es-ES" w:eastAsia="zh-CN"/>
        </w:rPr>
        <w:t>eisagisticii din zona respectivă, dar şi să</w:t>
      </w:r>
      <w:r w:rsidRPr="00774C94">
        <w:rPr>
          <w:rFonts w:ascii="Arial" w:eastAsia="Calibri" w:hAnsi="Arial" w:cs="Arial"/>
          <w:color w:val="000000"/>
          <w:lang w:val="es-ES" w:eastAsia="zh-CN"/>
        </w:rPr>
        <w:t xml:space="preserve"> stimuleze reabilitar</w:t>
      </w:r>
      <w:r>
        <w:rPr>
          <w:rFonts w:ascii="Arial" w:eastAsia="Calibri" w:hAnsi="Arial" w:cs="Arial"/>
          <w:color w:val="000000"/>
          <w:lang w:val="es-ES" w:eastAsia="zh-CN"/>
        </w:rPr>
        <w:t>ea clădirilor aflate î</w:t>
      </w:r>
      <w:r w:rsidRPr="00774C94">
        <w:rPr>
          <w:rFonts w:ascii="Arial" w:eastAsia="Calibri" w:hAnsi="Arial" w:cs="Arial"/>
          <w:color w:val="000000"/>
          <w:lang w:val="es-ES" w:eastAsia="zh-CN"/>
        </w:rPr>
        <w:t xml:space="preserve">n diferite stadii de degradare (se pot acorda o varietate de subvenţii proprietarilor din aceste zone pentru a se asigura că aceste clădiri nu se vor degrada – de exemplu bani pentru pictarea/recondiţionarea faţadelor, credite fără dobândă sau cu dobândă mică pentru renovări/reabilitări). </w:t>
      </w:r>
    </w:p>
    <w:p w14:paraId="7DF7198B" w14:textId="77777777" w:rsidR="00774C94" w:rsidRPr="00774C94" w:rsidRDefault="00774C94" w:rsidP="00774C94">
      <w:pPr>
        <w:suppressAutoHyphens/>
        <w:spacing w:after="0" w:line="276" w:lineRule="auto"/>
        <w:jc w:val="both"/>
        <w:rPr>
          <w:rFonts w:ascii="Arial" w:hAnsi="Arial" w:cs="Arial"/>
          <w:color w:val="FF0000"/>
          <w:kern w:val="1"/>
          <w:lang w:val="es-ES" w:eastAsia="hi-IN" w:bidi="hi-IN"/>
        </w:rPr>
      </w:pPr>
    </w:p>
    <w:p w14:paraId="0B9BEEF2" w14:textId="77777777" w:rsidR="00774C94" w:rsidRPr="00774C94" w:rsidRDefault="00774C94" w:rsidP="00774C94">
      <w:pPr>
        <w:suppressAutoHyphens/>
        <w:autoSpaceDE w:val="0"/>
        <w:spacing w:after="0" w:line="276" w:lineRule="auto"/>
        <w:jc w:val="both"/>
        <w:rPr>
          <w:rFonts w:ascii="Arial" w:eastAsia="Calibri" w:hAnsi="Arial" w:cs="Arial"/>
          <w:i/>
          <w:color w:val="000000"/>
          <w:lang w:val="es-ES" w:eastAsia="zh-CN"/>
        </w:rPr>
      </w:pPr>
      <w:r w:rsidRPr="00774C94">
        <w:rPr>
          <w:rFonts w:ascii="Arial" w:eastAsia="Calibri" w:hAnsi="Arial" w:cs="Arial"/>
          <w:i/>
          <w:color w:val="000000"/>
          <w:lang w:val="es-ES" w:eastAsia="zh-CN"/>
        </w:rPr>
        <w:t>e) Tehnici care încearc</w:t>
      </w:r>
      <w:r>
        <w:rPr>
          <w:rFonts w:ascii="Arial" w:eastAsia="Calibri" w:hAnsi="Arial" w:cs="Arial"/>
          <w:i/>
          <w:color w:val="000000"/>
          <w:lang w:val="es-ES" w:eastAsia="zh-CN"/>
        </w:rPr>
        <w:t>ă să promoveze echitatea socială</w:t>
      </w:r>
      <w:r w:rsidRPr="00774C94">
        <w:rPr>
          <w:rFonts w:ascii="Arial" w:eastAsia="Calibri" w:hAnsi="Arial" w:cs="Arial"/>
          <w:i/>
          <w:color w:val="000000"/>
          <w:lang w:val="es-ES" w:eastAsia="zh-CN"/>
        </w:rPr>
        <w:t xml:space="preserve">. </w:t>
      </w:r>
    </w:p>
    <w:p w14:paraId="782A80B8" w14:textId="77777777" w:rsidR="00774C94" w:rsidRPr="00774C94" w:rsidRDefault="00774C94" w:rsidP="00774C94">
      <w:pPr>
        <w:suppressAutoHyphens/>
        <w:autoSpaceDE w:val="0"/>
        <w:spacing w:after="0" w:line="276" w:lineRule="auto"/>
        <w:jc w:val="both"/>
        <w:rPr>
          <w:rFonts w:ascii="Arial" w:eastAsia="Calibri" w:hAnsi="Arial" w:cs="Arial"/>
          <w:color w:val="000000"/>
          <w:lang w:val="es-ES" w:eastAsia="zh-CN"/>
        </w:rPr>
      </w:pPr>
      <w:r w:rsidRPr="00774C94">
        <w:rPr>
          <w:rFonts w:ascii="Arial" w:eastAsia="Calibri" w:hAnsi="Arial" w:cs="Arial"/>
          <w:color w:val="000000"/>
          <w:lang w:val="es-ES" w:eastAsia="zh-CN"/>
        </w:rPr>
        <w:t>Primăria ar trebui să rezerve sume de bani pentru ca investitorii să includă, de exemplu în cadrul cartierelor rezidenţiale un număr de locuinţe cu preţ redus pentru cei aparţinând unor grupuri sociale defavorizate.</w:t>
      </w:r>
    </w:p>
    <w:p w14:paraId="119905A3" w14:textId="77777777" w:rsidR="00774C94" w:rsidRPr="00774C94" w:rsidRDefault="00774C94" w:rsidP="00774C94">
      <w:pPr>
        <w:suppressAutoHyphens/>
        <w:autoSpaceDE w:val="0"/>
        <w:spacing w:after="0" w:line="360" w:lineRule="auto"/>
        <w:jc w:val="both"/>
        <w:rPr>
          <w:rFonts w:ascii="Arial" w:eastAsia="Calibri" w:hAnsi="Arial" w:cs="Arial"/>
          <w:color w:val="000000"/>
          <w:sz w:val="24"/>
          <w:szCs w:val="24"/>
          <w:lang w:val="es-ES" w:eastAsia="zh-CN"/>
        </w:rPr>
      </w:pPr>
    </w:p>
    <w:p w14:paraId="3679FC2E" w14:textId="77777777" w:rsidR="00774C94" w:rsidRPr="00774C94" w:rsidRDefault="00774C94" w:rsidP="00774C94">
      <w:pPr>
        <w:widowControl w:val="0"/>
        <w:suppressAutoHyphens/>
        <w:spacing w:after="0" w:line="276" w:lineRule="auto"/>
        <w:jc w:val="both"/>
        <w:rPr>
          <w:rFonts w:ascii="Arial" w:hAnsi="Arial" w:cs="Arial"/>
          <w:kern w:val="1"/>
          <w:lang w:val="ro-RO" w:eastAsia="hi-IN" w:bidi="hi-IN"/>
        </w:rPr>
      </w:pPr>
      <w:r w:rsidRPr="00774C94">
        <w:rPr>
          <w:rFonts w:ascii="Arial" w:hAnsi="Arial" w:cs="Arial"/>
          <w:kern w:val="1"/>
          <w:lang w:val="ro-RO" w:eastAsia="hi-IN" w:bidi="hi-IN"/>
        </w:rPr>
        <w:t>Proiectele/măsurile organizaţionale, repartizate pe scenarii sunt prezentate în continuare:</w:t>
      </w:r>
    </w:p>
    <w:p w14:paraId="00CC52DF" w14:textId="77777777" w:rsidR="00774C94" w:rsidRPr="00774C94" w:rsidRDefault="00774C94" w:rsidP="00774C94">
      <w:pPr>
        <w:widowControl w:val="0"/>
        <w:numPr>
          <w:ilvl w:val="0"/>
          <w:numId w:val="71"/>
        </w:numPr>
        <w:suppressAutoHyphens/>
        <w:spacing w:after="0" w:line="276" w:lineRule="auto"/>
        <w:jc w:val="both"/>
        <w:rPr>
          <w:rFonts w:ascii="Arial" w:eastAsia="Times New Roman" w:hAnsi="Arial" w:cs="Arial"/>
          <w:lang w:val="x-none" w:eastAsia="zh-CN"/>
        </w:rPr>
      </w:pPr>
      <w:r w:rsidRPr="00774C94">
        <w:rPr>
          <w:rFonts w:ascii="Arial" w:eastAsia="Times New Roman" w:hAnsi="Arial" w:cs="Arial"/>
          <w:lang w:val="x-none" w:eastAsia="zh-CN"/>
        </w:rPr>
        <w:t xml:space="preserve">Scenariul </w:t>
      </w:r>
      <w:r w:rsidRPr="00774C94">
        <w:rPr>
          <w:rFonts w:ascii="Arial" w:eastAsia="Times New Roman" w:hAnsi="Arial" w:cs="Arial"/>
          <w:lang w:eastAsia="zh-CN"/>
        </w:rPr>
        <w:t>2</w:t>
      </w:r>
      <w:r w:rsidRPr="00774C94">
        <w:rPr>
          <w:rFonts w:ascii="Arial" w:eastAsia="Times New Roman" w:hAnsi="Arial" w:cs="Arial"/>
          <w:lang w:val="x-none" w:eastAsia="zh-CN"/>
        </w:rPr>
        <w:t>:</w:t>
      </w:r>
    </w:p>
    <w:p w14:paraId="3993E68A" w14:textId="77777777" w:rsidR="00774C94" w:rsidRPr="00774C94"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val="es-ES" w:eastAsia="zh-CN"/>
        </w:rPr>
      </w:pPr>
      <w:r w:rsidRPr="00774C94">
        <w:rPr>
          <w:rFonts w:ascii="Arial" w:eastAsia="Calibri" w:hAnsi="Arial" w:cs="Arial"/>
          <w:color w:val="000000"/>
          <w:lang w:val="es-ES" w:eastAsia="zh-CN"/>
        </w:rPr>
        <w:t>I.2 = inovări în domeniul administrativ care să reducă numărul necesar de deplasări ale cetăţeanului la instituţia respectivă – scor AMC = 3,78.</w:t>
      </w:r>
    </w:p>
    <w:p w14:paraId="7A001871" w14:textId="77777777" w:rsidR="00774C94" w:rsidRPr="00774C94"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val="es-ES" w:eastAsia="zh-CN"/>
        </w:rPr>
      </w:pPr>
      <w:r w:rsidRPr="00774C94">
        <w:rPr>
          <w:rFonts w:ascii="Arial" w:eastAsia="Calibri" w:hAnsi="Arial" w:cs="Arial"/>
          <w:color w:val="000000"/>
          <w:lang w:val="es-ES" w:eastAsia="zh-CN"/>
        </w:rPr>
        <w:t xml:space="preserve">I.3 = </w:t>
      </w:r>
      <w:r w:rsidRPr="00774C94">
        <w:rPr>
          <w:rFonts w:ascii="Arial" w:eastAsia="Calibri" w:hAnsi="Arial" w:cs="Arial"/>
          <w:color w:val="000000"/>
          <w:lang w:eastAsia="zh-CN"/>
        </w:rPr>
        <w:t>înfiinţarea unei structuri organizaţionale şi de planificare a activităţii</w:t>
      </w:r>
      <w:r>
        <w:rPr>
          <w:rFonts w:ascii="Arial" w:eastAsia="Calibri" w:hAnsi="Arial" w:cs="Arial"/>
          <w:color w:val="000000"/>
          <w:lang w:eastAsia="zh-CN"/>
        </w:rPr>
        <w:t xml:space="preserve"> de transport public pentru Oraş</w:t>
      </w:r>
      <w:r w:rsidRPr="00774C94">
        <w:rPr>
          <w:rFonts w:ascii="Arial" w:eastAsia="Calibri" w:hAnsi="Arial" w:cs="Arial"/>
          <w:color w:val="000000"/>
          <w:lang w:eastAsia="zh-CN"/>
        </w:rPr>
        <w:t>ul Horezu</w:t>
      </w:r>
      <w:r w:rsidRPr="00774C94">
        <w:rPr>
          <w:rFonts w:ascii="Arial" w:eastAsia="Calibri" w:hAnsi="Arial" w:cs="Arial"/>
          <w:color w:val="000000"/>
          <w:lang w:val="es-ES" w:eastAsia="zh-CN"/>
        </w:rPr>
        <w:t xml:space="preserve"> – scor AMC = 6,08.</w:t>
      </w:r>
    </w:p>
    <w:p w14:paraId="70B6AA53" w14:textId="77777777" w:rsidR="00774C94" w:rsidRPr="00774C94"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val="es-ES" w:eastAsia="zh-CN"/>
        </w:rPr>
      </w:pPr>
      <w:r w:rsidRPr="00774C94">
        <w:rPr>
          <w:rFonts w:ascii="Arial" w:eastAsia="Calibri" w:hAnsi="Arial" w:cs="Arial"/>
          <w:color w:val="000000"/>
          <w:lang w:val="es-ES" w:eastAsia="zh-CN"/>
        </w:rPr>
        <w:t>I.4 = modificarea orelor de începere a activităţii agenţilor economici de pe o aceeaşi arteră sau acelaşi punct – marginal – de destinaţie – scor AMC = 4,02.</w:t>
      </w:r>
    </w:p>
    <w:p w14:paraId="2AB114FC" w14:textId="77777777" w:rsidR="00774C94" w:rsidRPr="00774C94"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eastAsia="zh-CN"/>
        </w:rPr>
      </w:pPr>
      <w:r w:rsidRPr="00774C94">
        <w:rPr>
          <w:rFonts w:ascii="Arial" w:eastAsia="Calibri" w:hAnsi="Arial" w:cs="Arial"/>
          <w:color w:val="000000"/>
          <w:lang w:val="es-ES" w:eastAsia="zh-CN"/>
        </w:rPr>
        <w:t xml:space="preserve">I.6 = </w:t>
      </w:r>
      <w:r w:rsidRPr="00774C94">
        <w:rPr>
          <w:rFonts w:ascii="Arial" w:eastAsia="Calibri" w:hAnsi="Arial" w:cs="Arial"/>
          <w:color w:val="000000"/>
          <w:lang w:eastAsia="zh-CN"/>
        </w:rPr>
        <w:t>înfiinţarea in cadrul Primariei Horezu a unei structuri organizaţi</w:t>
      </w:r>
      <w:r>
        <w:rPr>
          <w:rFonts w:ascii="Arial" w:eastAsia="Calibri" w:hAnsi="Arial" w:cs="Arial"/>
          <w:color w:val="000000"/>
          <w:lang w:eastAsia="zh-CN"/>
        </w:rPr>
        <w:t>onale şi de administrare a parcă</w:t>
      </w:r>
      <w:r w:rsidRPr="00774C94">
        <w:rPr>
          <w:rFonts w:ascii="Arial" w:eastAsia="Calibri" w:hAnsi="Arial" w:cs="Arial"/>
          <w:color w:val="000000"/>
          <w:lang w:eastAsia="zh-CN"/>
        </w:rPr>
        <w:t>rilor – scor AMC = 5,12.</w:t>
      </w:r>
    </w:p>
    <w:p w14:paraId="667ED180" w14:textId="77777777" w:rsidR="00774C94" w:rsidRPr="00774C94"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eastAsia="zh-CN"/>
        </w:rPr>
      </w:pPr>
      <w:r w:rsidRPr="00774C94">
        <w:rPr>
          <w:rFonts w:ascii="Arial" w:eastAsia="Arial" w:hAnsi="Arial" w:cs="Arial"/>
          <w:color w:val="000000"/>
          <w:lang w:val="es-ES" w:eastAsia="zh-CN"/>
        </w:rPr>
        <w:t>X</w:t>
      </w:r>
      <w:r w:rsidRPr="00774C94">
        <w:rPr>
          <w:rFonts w:ascii="Arial" w:eastAsia="Calibri" w:hAnsi="Arial" w:cs="Arial"/>
          <w:color w:val="000000"/>
          <w:lang w:val="es-ES" w:eastAsia="zh-CN"/>
        </w:rPr>
        <w:t>I.2 = constituirea unui consiliu de consultanță și a unui forum pentru transportul de marfă – scor AMC = 4,98.</w:t>
      </w:r>
    </w:p>
    <w:p w14:paraId="2A38000E" w14:textId="77777777" w:rsidR="00774C94" w:rsidRPr="00774C94" w:rsidRDefault="00774C94" w:rsidP="00774C94">
      <w:pPr>
        <w:suppressAutoHyphens/>
        <w:autoSpaceDE w:val="0"/>
        <w:spacing w:after="0" w:line="276" w:lineRule="auto"/>
        <w:jc w:val="both"/>
        <w:rPr>
          <w:rFonts w:ascii="EUAlbertina" w:eastAsia="Calibri" w:hAnsi="EUAlbertina" w:cs="EUAlbertina"/>
          <w:color w:val="000000"/>
          <w:lang w:eastAsia="zh-CN"/>
        </w:rPr>
      </w:pPr>
    </w:p>
    <w:p w14:paraId="4166E9C9" w14:textId="77777777" w:rsidR="00774C94" w:rsidRPr="00774C94" w:rsidRDefault="00774C94" w:rsidP="00774C94">
      <w:pPr>
        <w:numPr>
          <w:ilvl w:val="0"/>
          <w:numId w:val="71"/>
        </w:numPr>
        <w:suppressAutoHyphens/>
        <w:autoSpaceDE w:val="0"/>
        <w:spacing w:after="0" w:line="276" w:lineRule="auto"/>
        <w:jc w:val="both"/>
        <w:rPr>
          <w:rFonts w:ascii="EUAlbertina" w:eastAsia="Calibri" w:hAnsi="EUAlbertina" w:cs="EUAlbertina"/>
          <w:color w:val="000000"/>
          <w:lang w:eastAsia="zh-CN"/>
        </w:rPr>
      </w:pPr>
      <w:r w:rsidRPr="00774C94">
        <w:rPr>
          <w:rFonts w:ascii="Arial" w:eastAsia="Times New Roman" w:hAnsi="Arial" w:cs="Arial"/>
          <w:lang w:val="x-none" w:eastAsia="zh-CN"/>
        </w:rPr>
        <w:t xml:space="preserve">Scenariul </w:t>
      </w:r>
      <w:r w:rsidRPr="00774C94">
        <w:rPr>
          <w:rFonts w:ascii="Arial" w:eastAsia="Times New Roman" w:hAnsi="Arial" w:cs="Arial"/>
          <w:lang w:eastAsia="zh-CN"/>
        </w:rPr>
        <w:t>3</w:t>
      </w:r>
      <w:r w:rsidRPr="00774C94">
        <w:rPr>
          <w:rFonts w:ascii="Arial" w:eastAsia="Times New Roman" w:hAnsi="Arial" w:cs="Arial"/>
          <w:lang w:val="x-none" w:eastAsia="zh-CN"/>
        </w:rPr>
        <w:t>:</w:t>
      </w:r>
    </w:p>
    <w:p w14:paraId="24238F8D" w14:textId="77777777" w:rsidR="00774C94" w:rsidRPr="00774C94"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eastAsia="zh-CN"/>
        </w:rPr>
      </w:pPr>
      <w:r w:rsidRPr="00774C94">
        <w:rPr>
          <w:rFonts w:ascii="Arial" w:eastAsia="Calibri" w:hAnsi="Arial" w:cs="Arial"/>
          <w:color w:val="000000"/>
          <w:lang w:val="es-ES" w:eastAsia="zh-CN"/>
        </w:rPr>
        <w:lastRenderedPageBreak/>
        <w:t xml:space="preserve">VI.3 = sistem de stimulente pentru amplasarea noilor şcoli, centre de sănătate, centre comerciale, etc. în interiorul sau aproape de cartierele rezidenţiale </w:t>
      </w:r>
      <w:r w:rsidRPr="00774C94">
        <w:rPr>
          <w:rFonts w:ascii="Arial" w:eastAsia="Calibri" w:hAnsi="Arial" w:cs="Arial"/>
          <w:color w:val="000000"/>
          <w:lang w:eastAsia="zh-CN"/>
        </w:rPr>
        <w:t>– scor AMC = 4,39.</w:t>
      </w:r>
    </w:p>
    <w:p w14:paraId="0346CB4D" w14:textId="77777777" w:rsidR="00774C94" w:rsidRPr="00774C94" w:rsidRDefault="00774C94" w:rsidP="00774C94">
      <w:pPr>
        <w:suppressAutoHyphens/>
        <w:autoSpaceDE w:val="0"/>
        <w:spacing w:after="0" w:line="276" w:lineRule="auto"/>
        <w:jc w:val="both"/>
        <w:rPr>
          <w:rFonts w:ascii="EUAlbertina" w:eastAsia="Calibri" w:hAnsi="EUAlbertina" w:cs="EUAlbertina"/>
          <w:color w:val="000000"/>
          <w:lang w:eastAsia="zh-CN"/>
        </w:rPr>
      </w:pPr>
    </w:p>
    <w:p w14:paraId="4DF1E97E" w14:textId="77777777" w:rsidR="00774C94" w:rsidRPr="00707B70" w:rsidRDefault="00774C94" w:rsidP="00774C94">
      <w:pPr>
        <w:widowControl w:val="0"/>
        <w:suppressAutoHyphens/>
        <w:spacing w:after="0" w:line="276" w:lineRule="auto"/>
        <w:jc w:val="both"/>
        <w:rPr>
          <w:rFonts w:ascii="Arial" w:hAnsi="Arial" w:cs="Arial"/>
          <w:kern w:val="1"/>
          <w:lang w:val="es-ES" w:eastAsia="hi-IN" w:bidi="hi-IN"/>
        </w:rPr>
      </w:pPr>
      <w:r w:rsidRPr="00707B70">
        <w:rPr>
          <w:rFonts w:ascii="Arial" w:hAnsi="Arial" w:cs="Arial"/>
          <w:kern w:val="1"/>
          <w:lang w:val="es-ES" w:eastAsia="hi-IN" w:bidi="hi-IN"/>
        </w:rPr>
        <w:t>Dintre proiectele enumerate mai sus, conform criteriilor stabilite, pe lista proiectelor de rezervă sau a celor care nu vor fi implementate vor intra:</w:t>
      </w:r>
    </w:p>
    <w:p w14:paraId="54975A2C" w14:textId="77777777" w:rsidR="00774C94" w:rsidRPr="00707B70"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val="es-ES" w:eastAsia="zh-CN"/>
        </w:rPr>
      </w:pPr>
      <w:r w:rsidRPr="00707B70">
        <w:rPr>
          <w:rFonts w:ascii="Arial" w:eastAsia="Calibri" w:hAnsi="Arial" w:cs="Arial"/>
          <w:color w:val="000000"/>
          <w:lang w:val="es-ES" w:eastAsia="zh-CN"/>
        </w:rPr>
        <w:t>I.2 = inovări în domeniul administrativ care să reducă numărul necesar de deplasări ale cetăţeanului la instituţia respectivă – scor AMC = 3,78.</w:t>
      </w:r>
    </w:p>
    <w:p w14:paraId="4D6B1AD5" w14:textId="77777777" w:rsidR="00774C94" w:rsidRPr="00707B70"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val="es-ES" w:eastAsia="zh-CN"/>
        </w:rPr>
      </w:pPr>
      <w:r w:rsidRPr="00707B70">
        <w:rPr>
          <w:rFonts w:ascii="Arial" w:eastAsia="Calibri" w:hAnsi="Arial" w:cs="Arial"/>
          <w:color w:val="000000"/>
          <w:lang w:val="es-ES" w:eastAsia="zh-CN"/>
        </w:rPr>
        <w:t>I.4 = modificarea orelor de începere a activităţii agenţilor economici de pe o aceeaşi arteră sau acelaşi punct – marginal – de destinaţie – scor AMC = 4,02.</w:t>
      </w:r>
    </w:p>
    <w:p w14:paraId="20F136D8" w14:textId="77777777" w:rsidR="00774C94" w:rsidRPr="00707B70"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eastAsia="zh-CN"/>
        </w:rPr>
      </w:pPr>
      <w:r w:rsidRPr="00707B70">
        <w:rPr>
          <w:rFonts w:ascii="Arial" w:eastAsia="Calibri" w:hAnsi="Arial" w:cs="Arial"/>
          <w:color w:val="000000"/>
          <w:lang w:val="es-ES" w:eastAsia="zh-CN"/>
        </w:rPr>
        <w:t xml:space="preserve">VI.3 = sistem de stimulente pentru amplasarea noilor şcoli, centre de sănătate, centre comerciale, etc. în interiorul sau aproape de cartierele rezidenţiale </w:t>
      </w:r>
      <w:r w:rsidRPr="00707B70">
        <w:rPr>
          <w:rFonts w:ascii="Arial" w:eastAsia="Calibri" w:hAnsi="Arial" w:cs="Arial"/>
          <w:color w:val="000000"/>
          <w:lang w:eastAsia="zh-CN"/>
        </w:rPr>
        <w:t>– scor AMC = 4,39.</w:t>
      </w:r>
    </w:p>
    <w:p w14:paraId="60D1D1A9" w14:textId="77777777" w:rsidR="00774C94" w:rsidRPr="00707B70" w:rsidRDefault="00774C94" w:rsidP="00774C94">
      <w:pPr>
        <w:widowControl w:val="0"/>
        <w:numPr>
          <w:ilvl w:val="0"/>
          <w:numId w:val="103"/>
        </w:numPr>
        <w:suppressAutoHyphens/>
        <w:autoSpaceDE w:val="0"/>
        <w:spacing w:after="0" w:line="276" w:lineRule="auto"/>
        <w:jc w:val="both"/>
        <w:rPr>
          <w:rFonts w:ascii="Arial" w:eastAsia="Calibri" w:hAnsi="Arial" w:cs="Arial"/>
          <w:color w:val="000000"/>
          <w:lang w:eastAsia="zh-CN"/>
        </w:rPr>
      </w:pPr>
      <w:r w:rsidRPr="00707B70">
        <w:rPr>
          <w:rFonts w:ascii="Arial" w:eastAsia="Arial" w:hAnsi="Arial" w:cs="Arial"/>
          <w:color w:val="000000"/>
          <w:lang w:val="es-ES" w:eastAsia="zh-CN"/>
        </w:rPr>
        <w:t>X</w:t>
      </w:r>
      <w:r w:rsidRPr="00707B70">
        <w:rPr>
          <w:rFonts w:ascii="Arial" w:eastAsia="Calibri" w:hAnsi="Arial" w:cs="Arial"/>
          <w:color w:val="000000"/>
          <w:lang w:val="es-ES" w:eastAsia="zh-CN"/>
        </w:rPr>
        <w:t>I.2 = constituirea unui consiliu de consultanță și a unui forum pentru transportul de marfă – scor AMC = 4,98.</w:t>
      </w:r>
    </w:p>
    <w:p w14:paraId="6C652E63" w14:textId="77777777" w:rsidR="00437AC6" w:rsidRPr="00437AC6" w:rsidRDefault="00437AC6" w:rsidP="00437AC6">
      <w:pPr>
        <w:rPr>
          <w:lang w:val="it-IT" w:eastAsia="ro-RO"/>
        </w:rPr>
      </w:pPr>
    </w:p>
    <w:p w14:paraId="00B17EAF" w14:textId="77777777" w:rsidR="00D70AEA" w:rsidRPr="00EA79B2" w:rsidRDefault="00D70AEA" w:rsidP="003430C5">
      <w:pPr>
        <w:pStyle w:val="Titlu2"/>
        <w:rPr>
          <w:rFonts w:ascii="Arial" w:eastAsia="Times New Roman" w:hAnsi="Arial" w:cs="Arial"/>
          <w:b/>
          <w:bCs/>
          <w:color w:val="auto"/>
          <w:sz w:val="24"/>
          <w:szCs w:val="24"/>
          <w:lang w:val="it-IT" w:eastAsia="ro-RO"/>
        </w:rPr>
      </w:pPr>
      <w:bookmarkStart w:id="435" w:name="_Toc61264916"/>
      <w:bookmarkStart w:id="436" w:name="_Toc142039102"/>
      <w:r w:rsidRPr="00EA79B2">
        <w:rPr>
          <w:rFonts w:ascii="Arial" w:eastAsia="Times New Roman" w:hAnsi="Arial" w:cs="Arial"/>
          <w:b/>
          <w:bCs/>
          <w:color w:val="auto"/>
          <w:sz w:val="24"/>
          <w:szCs w:val="24"/>
          <w:lang w:val="it-IT" w:eastAsia="ro-RO"/>
        </w:rPr>
        <w:t>I.6.4</w:t>
      </w:r>
      <w:r w:rsidR="00713B65">
        <w:rPr>
          <w:rFonts w:ascii="Arial" w:eastAsia="Times New Roman" w:hAnsi="Arial" w:cs="Arial"/>
          <w:b/>
          <w:bCs/>
          <w:color w:val="auto"/>
          <w:sz w:val="24"/>
          <w:szCs w:val="24"/>
          <w:lang w:val="it-IT" w:eastAsia="ro-RO"/>
        </w:rPr>
        <w:t xml:space="preserve"> </w:t>
      </w:r>
      <w:r w:rsidR="007A73C2">
        <w:rPr>
          <w:rFonts w:ascii="Arial" w:eastAsia="Times New Roman" w:hAnsi="Arial" w:cs="Arial"/>
          <w:b/>
          <w:bCs/>
          <w:color w:val="auto"/>
          <w:sz w:val="24"/>
          <w:szCs w:val="24"/>
          <w:lang w:val="it-IT" w:eastAsia="ro-RO"/>
        </w:rPr>
        <w:t>Direcții</w:t>
      </w:r>
      <w:r w:rsidRPr="00EA79B2">
        <w:rPr>
          <w:rFonts w:ascii="Arial" w:eastAsia="Times New Roman" w:hAnsi="Arial" w:cs="Arial"/>
          <w:b/>
          <w:bCs/>
          <w:color w:val="auto"/>
          <w:sz w:val="24"/>
          <w:szCs w:val="24"/>
          <w:lang w:val="it-IT" w:eastAsia="ro-RO"/>
        </w:rPr>
        <w:t xml:space="preserve"> de acțiune și proiecte partajate pe nivele teritoriale</w:t>
      </w:r>
      <w:bookmarkEnd w:id="435"/>
      <w:bookmarkEnd w:id="436"/>
    </w:p>
    <w:p w14:paraId="3455B6A6" w14:textId="77777777" w:rsidR="00D70AEA" w:rsidRDefault="00D70AEA" w:rsidP="00EA79B2">
      <w:pPr>
        <w:pStyle w:val="Titlu3"/>
        <w:rPr>
          <w:rFonts w:ascii="Arial" w:hAnsi="Arial" w:cs="Arial"/>
          <w:b w:val="0"/>
          <w:bCs w:val="0"/>
          <w:sz w:val="24"/>
          <w:szCs w:val="24"/>
        </w:rPr>
      </w:pPr>
      <w:bookmarkStart w:id="437" w:name="_Toc61264917"/>
      <w:bookmarkStart w:id="438" w:name="_Toc142039103"/>
      <w:r w:rsidRPr="00EA79B2">
        <w:rPr>
          <w:rFonts w:ascii="Arial" w:hAnsi="Arial" w:cs="Arial"/>
          <w:b w:val="0"/>
          <w:bCs w:val="0"/>
          <w:sz w:val="24"/>
          <w:szCs w:val="24"/>
        </w:rPr>
        <w:t>I.6.4.1</w:t>
      </w:r>
      <w:r w:rsidR="00774C94">
        <w:rPr>
          <w:rFonts w:ascii="Arial" w:hAnsi="Arial" w:cs="Arial"/>
          <w:b w:val="0"/>
          <w:bCs w:val="0"/>
          <w:sz w:val="24"/>
          <w:szCs w:val="24"/>
        </w:rPr>
        <w:t>. la scara periurbană</w:t>
      </w:r>
      <w:r w:rsidRPr="00EA79B2">
        <w:rPr>
          <w:rFonts w:ascii="Arial" w:hAnsi="Arial" w:cs="Arial"/>
          <w:b w:val="0"/>
          <w:bCs w:val="0"/>
          <w:sz w:val="24"/>
          <w:szCs w:val="24"/>
        </w:rPr>
        <w:t>/metropolitan</w:t>
      </w:r>
      <w:bookmarkEnd w:id="437"/>
      <w:r w:rsidR="00774C94">
        <w:rPr>
          <w:rFonts w:ascii="Arial" w:hAnsi="Arial" w:cs="Arial"/>
          <w:b w:val="0"/>
          <w:bCs w:val="0"/>
          <w:sz w:val="24"/>
          <w:szCs w:val="24"/>
        </w:rPr>
        <w:t>ă</w:t>
      </w:r>
      <w:bookmarkEnd w:id="438"/>
    </w:p>
    <w:p w14:paraId="574CC530" w14:textId="77777777" w:rsidR="00437AC6" w:rsidRDefault="004F5666" w:rsidP="00437AC6">
      <w:pPr>
        <w:rPr>
          <w:rFonts w:ascii="Arial" w:hAnsi="Arial" w:cs="Arial"/>
          <w:lang w:eastAsia="zh-CN" w:bidi="hi-IN"/>
        </w:rPr>
      </w:pPr>
      <w:r w:rsidRPr="004F5666">
        <w:rPr>
          <w:rFonts w:ascii="Arial" w:hAnsi="Arial" w:cs="Arial"/>
          <w:lang w:eastAsia="zh-CN" w:bidi="hi-IN"/>
        </w:rPr>
        <w:t>Proiectele/măsurile cu impact la scară periurbană/metropolitana sunt prezentate în tabelul I.6.2.</w:t>
      </w:r>
    </w:p>
    <w:p w14:paraId="3735A156" w14:textId="77777777" w:rsidR="004F5666" w:rsidRDefault="004F5666" w:rsidP="00437AC6">
      <w:pPr>
        <w:rPr>
          <w:rFonts w:ascii="Arial" w:hAnsi="Arial" w:cs="Arial"/>
          <w:lang w:eastAsia="zh-CN" w:bidi="hi-IN"/>
        </w:rPr>
        <w:sectPr w:rsidR="004F5666" w:rsidSect="00EE6C3B">
          <w:headerReference w:type="default" r:id="rId218"/>
          <w:footerReference w:type="default" r:id="rId219"/>
          <w:headerReference w:type="first" r:id="rId220"/>
          <w:pgSz w:w="11909" w:h="16834" w:code="9"/>
          <w:pgMar w:top="720" w:right="1440" w:bottom="1440" w:left="1440" w:header="706" w:footer="720" w:gutter="0"/>
          <w:cols w:space="720"/>
          <w:titlePg/>
          <w:docGrid w:linePitch="360"/>
        </w:sectPr>
      </w:pPr>
    </w:p>
    <w:p w14:paraId="1F7B28C6" w14:textId="4BE06597" w:rsidR="004F5666" w:rsidRPr="00774C94" w:rsidRDefault="00774C94" w:rsidP="00774C94">
      <w:pPr>
        <w:pStyle w:val="Legend"/>
        <w:jc w:val="center"/>
        <w:rPr>
          <w:rFonts w:ascii="Arial" w:hAnsi="Arial" w:cs="Arial"/>
          <w:b/>
          <w:i w:val="0"/>
          <w:iCs w:val="0"/>
          <w:kern w:val="1"/>
          <w:sz w:val="22"/>
          <w:szCs w:val="22"/>
          <w:lang w:val="es-ES" w:eastAsia="hi-IN" w:bidi="hi-IN"/>
        </w:rPr>
      </w:pPr>
      <w:bookmarkStart w:id="439" w:name="_Toc68361267"/>
      <w:bookmarkStart w:id="440" w:name="_Toc96447430"/>
      <w:r w:rsidRPr="00774C94">
        <w:rPr>
          <w:rFonts w:ascii="Arial" w:hAnsi="Arial" w:cs="Arial"/>
          <w:sz w:val="22"/>
          <w:szCs w:val="22"/>
        </w:rPr>
        <w:lastRenderedPageBreak/>
        <w:t xml:space="preserve">Tabel I.6. </w:t>
      </w:r>
      <w:r w:rsidRPr="00774C94">
        <w:rPr>
          <w:rFonts w:ascii="Arial" w:hAnsi="Arial" w:cs="Arial"/>
          <w:sz w:val="22"/>
          <w:szCs w:val="22"/>
        </w:rPr>
        <w:fldChar w:fldCharType="begin"/>
      </w:r>
      <w:r w:rsidRPr="00774C94">
        <w:rPr>
          <w:rFonts w:ascii="Arial" w:hAnsi="Arial" w:cs="Arial"/>
          <w:sz w:val="22"/>
          <w:szCs w:val="22"/>
        </w:rPr>
        <w:instrText xml:space="preserve"> SEQ Tabel_I.6. \* ARABIC </w:instrText>
      </w:r>
      <w:r w:rsidRPr="00774C94">
        <w:rPr>
          <w:rFonts w:ascii="Arial" w:hAnsi="Arial" w:cs="Arial"/>
          <w:sz w:val="22"/>
          <w:szCs w:val="22"/>
        </w:rPr>
        <w:fldChar w:fldCharType="separate"/>
      </w:r>
      <w:r w:rsidR="00BB181C">
        <w:rPr>
          <w:rFonts w:ascii="Arial" w:hAnsi="Arial" w:cs="Arial"/>
          <w:noProof/>
          <w:sz w:val="22"/>
          <w:szCs w:val="22"/>
        </w:rPr>
        <w:t>2</w:t>
      </w:r>
      <w:r w:rsidRPr="00774C94">
        <w:rPr>
          <w:rFonts w:ascii="Arial" w:hAnsi="Arial" w:cs="Arial"/>
          <w:sz w:val="22"/>
          <w:szCs w:val="22"/>
        </w:rPr>
        <w:fldChar w:fldCharType="end"/>
      </w:r>
      <w:r w:rsidR="00713B65" w:rsidRPr="00774C94">
        <w:rPr>
          <w:rFonts w:ascii="Arial" w:hAnsi="Arial" w:cs="Arial"/>
          <w:sz w:val="22"/>
          <w:szCs w:val="22"/>
        </w:rPr>
        <w:t xml:space="preserve">- </w:t>
      </w:r>
      <w:r w:rsidR="00713B65" w:rsidRPr="00774C94">
        <w:rPr>
          <w:rFonts w:ascii="Arial" w:hAnsi="Arial" w:cs="Arial"/>
          <w:i w:val="0"/>
          <w:iCs w:val="0"/>
          <w:sz w:val="22"/>
          <w:szCs w:val="22"/>
        </w:rPr>
        <w:t>Proiecte/măsuri la scară periurbană/metropolitană</w:t>
      </w:r>
      <w:bookmarkEnd w:id="439"/>
      <w:bookmarkEnd w:id="440"/>
    </w:p>
    <w:tbl>
      <w:tblPr>
        <w:tblW w:w="14445"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718"/>
        <w:gridCol w:w="5946"/>
        <w:gridCol w:w="1492"/>
        <w:gridCol w:w="1492"/>
        <w:gridCol w:w="1492"/>
        <w:gridCol w:w="1492"/>
        <w:gridCol w:w="359"/>
        <w:gridCol w:w="359"/>
        <w:gridCol w:w="359"/>
        <w:gridCol w:w="359"/>
        <w:gridCol w:w="377"/>
      </w:tblGrid>
      <w:tr w:rsidR="00774C94" w:rsidRPr="00774C94" w14:paraId="74A47AE3" w14:textId="77777777" w:rsidTr="00774C94">
        <w:trPr>
          <w:cantSplit/>
          <w:tblHeader/>
        </w:trPr>
        <w:tc>
          <w:tcPr>
            <w:tcW w:w="718" w:type="dxa"/>
            <w:vMerge w:val="restart"/>
            <w:shd w:val="clear" w:color="auto" w:fill="auto"/>
          </w:tcPr>
          <w:p w14:paraId="52D8072D"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Cod măsură</w:t>
            </w:r>
          </w:p>
        </w:tc>
        <w:tc>
          <w:tcPr>
            <w:tcW w:w="5946" w:type="dxa"/>
            <w:vMerge w:val="restart"/>
            <w:shd w:val="clear" w:color="auto" w:fill="auto"/>
          </w:tcPr>
          <w:p w14:paraId="44981B9E"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Măsură</w:t>
            </w:r>
          </w:p>
        </w:tc>
        <w:tc>
          <w:tcPr>
            <w:tcW w:w="1492" w:type="dxa"/>
            <w:vMerge w:val="restart"/>
            <w:shd w:val="clear" w:color="auto" w:fill="auto"/>
          </w:tcPr>
          <w:p w14:paraId="1A68672D"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Unităţi fizice</w:t>
            </w:r>
          </w:p>
        </w:tc>
        <w:tc>
          <w:tcPr>
            <w:tcW w:w="1492" w:type="dxa"/>
            <w:vMerge w:val="restart"/>
            <w:shd w:val="clear" w:color="auto" w:fill="auto"/>
          </w:tcPr>
          <w:p w14:paraId="324AD69B"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Cost unitar</w:t>
            </w:r>
          </w:p>
          <w:p w14:paraId="7C17C70E"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p>
        </w:tc>
        <w:tc>
          <w:tcPr>
            <w:tcW w:w="1492" w:type="dxa"/>
            <w:vMerge w:val="restart"/>
            <w:shd w:val="clear" w:color="auto" w:fill="auto"/>
          </w:tcPr>
          <w:p w14:paraId="373C609E"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Cost total</w:t>
            </w:r>
          </w:p>
        </w:tc>
        <w:tc>
          <w:tcPr>
            <w:tcW w:w="1492" w:type="dxa"/>
            <w:vMerge w:val="restart"/>
            <w:shd w:val="clear" w:color="auto" w:fill="auto"/>
          </w:tcPr>
          <w:p w14:paraId="2253630B"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Venituri</w:t>
            </w:r>
          </w:p>
        </w:tc>
        <w:tc>
          <w:tcPr>
            <w:tcW w:w="1813" w:type="dxa"/>
            <w:gridSpan w:val="5"/>
            <w:shd w:val="clear" w:color="auto" w:fill="auto"/>
          </w:tcPr>
          <w:p w14:paraId="740B6812" w14:textId="77777777" w:rsidR="00774C94" w:rsidRPr="00774C94" w:rsidRDefault="00774C94" w:rsidP="00774C94">
            <w:pPr>
              <w:widowControl w:val="0"/>
              <w:suppressAutoHyphens/>
              <w:spacing w:after="0" w:line="100" w:lineRule="atLeast"/>
              <w:jc w:val="center"/>
              <w:rPr>
                <w:rFonts w:ascii="Arial" w:hAnsi="Arial" w:cs="Mangal"/>
                <w:kern w:val="1"/>
                <w:sz w:val="20"/>
                <w:szCs w:val="24"/>
                <w:lang w:val="ro-RO" w:eastAsia="hi-IN" w:bidi="hi-IN"/>
              </w:rPr>
            </w:pPr>
            <w:r w:rsidRPr="00774C94">
              <w:rPr>
                <w:rFonts w:ascii="Arial" w:hAnsi="Arial" w:cs="Arial"/>
                <w:b/>
                <w:kern w:val="1"/>
                <w:sz w:val="16"/>
                <w:szCs w:val="16"/>
                <w:lang w:val="ro-RO" w:eastAsia="hi-IN" w:bidi="hi-IN"/>
              </w:rPr>
              <w:t>Obiectiv strategic</w:t>
            </w:r>
          </w:p>
        </w:tc>
      </w:tr>
      <w:tr w:rsidR="00774C94" w:rsidRPr="00774C94" w14:paraId="538C14C2" w14:textId="77777777" w:rsidTr="00774C94">
        <w:trPr>
          <w:cantSplit/>
          <w:trHeight w:val="2040"/>
          <w:tblHeader/>
        </w:trPr>
        <w:tc>
          <w:tcPr>
            <w:tcW w:w="718" w:type="dxa"/>
            <w:vMerge/>
            <w:shd w:val="clear" w:color="auto" w:fill="auto"/>
          </w:tcPr>
          <w:p w14:paraId="650B5C82"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5946" w:type="dxa"/>
            <w:vMerge/>
            <w:shd w:val="clear" w:color="auto" w:fill="auto"/>
          </w:tcPr>
          <w:p w14:paraId="7FE8E5C7"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1492" w:type="dxa"/>
            <w:vMerge/>
            <w:shd w:val="clear" w:color="auto" w:fill="auto"/>
          </w:tcPr>
          <w:p w14:paraId="24C3FB7B"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1492" w:type="dxa"/>
            <w:vMerge/>
            <w:shd w:val="clear" w:color="auto" w:fill="auto"/>
          </w:tcPr>
          <w:p w14:paraId="0D935EA6"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1492" w:type="dxa"/>
            <w:vMerge/>
            <w:shd w:val="clear" w:color="auto" w:fill="auto"/>
          </w:tcPr>
          <w:p w14:paraId="69A2CC49"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1492" w:type="dxa"/>
            <w:vMerge/>
            <w:shd w:val="clear" w:color="auto" w:fill="auto"/>
          </w:tcPr>
          <w:p w14:paraId="2583FF63"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359" w:type="dxa"/>
            <w:shd w:val="clear" w:color="auto" w:fill="auto"/>
            <w:textDirection w:val="tbRlV"/>
          </w:tcPr>
          <w:p w14:paraId="53E93DE6"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Accesibilitate</w:t>
            </w:r>
          </w:p>
          <w:p w14:paraId="35F87E97"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p>
        </w:tc>
        <w:tc>
          <w:tcPr>
            <w:tcW w:w="359" w:type="dxa"/>
            <w:shd w:val="clear" w:color="auto" w:fill="auto"/>
            <w:textDirection w:val="tbRlV"/>
          </w:tcPr>
          <w:p w14:paraId="191D3F20" w14:textId="77777777" w:rsidR="00774C94" w:rsidRPr="00774C94" w:rsidRDefault="00971732" w:rsidP="00774C94">
            <w:pPr>
              <w:widowControl w:val="0"/>
              <w:suppressAutoHyphens/>
              <w:spacing w:after="0" w:line="100" w:lineRule="atLeast"/>
              <w:jc w:val="center"/>
              <w:rPr>
                <w:rFonts w:ascii="Arial" w:hAnsi="Arial" w:cs="Arial"/>
                <w:b/>
                <w:kern w:val="1"/>
                <w:sz w:val="16"/>
                <w:szCs w:val="16"/>
                <w:lang w:val="ro-RO" w:eastAsia="hi-IN" w:bidi="hi-IN"/>
              </w:rPr>
            </w:pPr>
            <w:r>
              <w:rPr>
                <w:rFonts w:ascii="Arial" w:hAnsi="Arial" w:cs="Arial"/>
                <w:b/>
                <w:kern w:val="1"/>
                <w:sz w:val="16"/>
                <w:szCs w:val="16"/>
                <w:lang w:val="ro-RO" w:eastAsia="hi-IN" w:bidi="hi-IN"/>
              </w:rPr>
              <w:t>Eficienţă economică</w:t>
            </w:r>
          </w:p>
        </w:tc>
        <w:tc>
          <w:tcPr>
            <w:tcW w:w="359" w:type="dxa"/>
            <w:shd w:val="clear" w:color="auto" w:fill="auto"/>
            <w:textDirection w:val="tbRlV"/>
          </w:tcPr>
          <w:p w14:paraId="120B610E"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Mediu</w:t>
            </w:r>
          </w:p>
        </w:tc>
        <w:tc>
          <w:tcPr>
            <w:tcW w:w="359" w:type="dxa"/>
            <w:shd w:val="clear" w:color="auto" w:fill="auto"/>
            <w:textDirection w:val="tbRlV"/>
          </w:tcPr>
          <w:p w14:paraId="599712ED" w14:textId="77777777" w:rsidR="00774C94" w:rsidRPr="00774C94" w:rsidRDefault="00971732" w:rsidP="00774C94">
            <w:pPr>
              <w:widowControl w:val="0"/>
              <w:suppressAutoHyphens/>
              <w:spacing w:after="0" w:line="100" w:lineRule="atLeast"/>
              <w:jc w:val="center"/>
              <w:rPr>
                <w:rFonts w:ascii="Arial" w:hAnsi="Arial" w:cs="Arial"/>
                <w:b/>
                <w:kern w:val="1"/>
                <w:sz w:val="16"/>
                <w:szCs w:val="16"/>
                <w:lang w:val="ro-RO" w:eastAsia="hi-IN" w:bidi="hi-IN"/>
              </w:rPr>
            </w:pPr>
            <w:r>
              <w:rPr>
                <w:rFonts w:ascii="Arial" w:hAnsi="Arial" w:cs="Arial"/>
                <w:b/>
                <w:kern w:val="1"/>
                <w:sz w:val="16"/>
                <w:szCs w:val="16"/>
                <w:lang w:val="ro-RO" w:eastAsia="hi-IN" w:bidi="hi-IN"/>
              </w:rPr>
              <w:t>Siguranţă</w:t>
            </w:r>
          </w:p>
        </w:tc>
        <w:tc>
          <w:tcPr>
            <w:tcW w:w="377" w:type="dxa"/>
            <w:shd w:val="clear" w:color="auto" w:fill="auto"/>
            <w:textDirection w:val="tbRlV"/>
          </w:tcPr>
          <w:p w14:paraId="13BDFAD2"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Calitatea mediului urban</w:t>
            </w:r>
          </w:p>
          <w:p w14:paraId="7A4C1344"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p>
        </w:tc>
      </w:tr>
      <w:tr w:rsidR="00774C94" w:rsidRPr="00774C94" w14:paraId="13A47B4F" w14:textId="77777777" w:rsidTr="00774C94">
        <w:tc>
          <w:tcPr>
            <w:tcW w:w="718" w:type="dxa"/>
            <w:shd w:val="clear" w:color="auto" w:fill="auto"/>
          </w:tcPr>
          <w:p w14:paraId="4005367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IV.5</w:t>
            </w:r>
          </w:p>
        </w:tc>
        <w:tc>
          <w:tcPr>
            <w:tcW w:w="5946" w:type="dxa"/>
            <w:shd w:val="clear" w:color="auto" w:fill="auto"/>
          </w:tcPr>
          <w:p w14:paraId="23071A7F" w14:textId="47408E02" w:rsidR="00774C94" w:rsidRPr="00774C94" w:rsidRDefault="00774C94" w:rsidP="00774C94">
            <w:pPr>
              <w:widowControl w:val="0"/>
              <w:suppressLineNumbers/>
              <w:suppressAutoHyphens/>
              <w:spacing w:after="0" w:line="240" w:lineRule="auto"/>
              <w:rPr>
                <w:rFonts w:ascii="Arial" w:hAnsi="Arial" w:cs="Arial"/>
                <w:kern w:val="1"/>
                <w:sz w:val="16"/>
                <w:szCs w:val="16"/>
                <w:lang w:eastAsia="zh-CN" w:bidi="hi-IN"/>
              </w:rPr>
            </w:pPr>
            <w:r w:rsidRPr="00774C94">
              <w:rPr>
                <w:rFonts w:ascii="Arial" w:hAnsi="Arial" w:cs="Arial"/>
                <w:kern w:val="1"/>
                <w:sz w:val="16"/>
                <w:szCs w:val="16"/>
                <w:lang w:val="es-ES" w:eastAsia="zh-CN" w:bidi="hi-IN"/>
              </w:rPr>
              <w:t>Amena</w:t>
            </w:r>
            <w:r w:rsidR="00971732">
              <w:rPr>
                <w:rFonts w:ascii="Arial" w:hAnsi="Arial" w:cs="Arial"/>
                <w:kern w:val="1"/>
                <w:sz w:val="16"/>
                <w:szCs w:val="16"/>
                <w:lang w:val="es-ES" w:eastAsia="zh-CN" w:bidi="hi-IN"/>
              </w:rPr>
              <w:t>jarea un</w:t>
            </w:r>
            <w:r w:rsidR="00A27348">
              <w:rPr>
                <w:rFonts w:ascii="Arial" w:hAnsi="Arial" w:cs="Arial"/>
                <w:kern w:val="1"/>
                <w:sz w:val="16"/>
                <w:szCs w:val="16"/>
                <w:lang w:val="es-ES" w:eastAsia="zh-CN" w:bidi="hi-IN"/>
              </w:rPr>
              <w:t>u</w:t>
            </w:r>
            <w:r w:rsidR="00971732">
              <w:rPr>
                <w:rFonts w:ascii="Arial" w:hAnsi="Arial" w:cs="Arial"/>
                <w:kern w:val="1"/>
                <w:sz w:val="16"/>
                <w:szCs w:val="16"/>
                <w:lang w:val="es-ES" w:eastAsia="zh-CN" w:bidi="hi-IN"/>
              </w:rPr>
              <w:t xml:space="preserve">i </w:t>
            </w:r>
            <w:r w:rsidR="00A27348">
              <w:rPr>
                <w:rFonts w:ascii="Arial" w:hAnsi="Arial" w:cs="Arial"/>
                <w:kern w:val="1"/>
                <w:sz w:val="16"/>
                <w:szCs w:val="16"/>
                <w:lang w:val="es-ES" w:eastAsia="zh-CN" w:bidi="hi-IN"/>
              </w:rPr>
              <w:t>traseu pentru biciclete</w:t>
            </w:r>
            <w:r w:rsidR="00971732">
              <w:rPr>
                <w:rFonts w:ascii="Arial" w:hAnsi="Arial" w:cs="Arial"/>
                <w:kern w:val="1"/>
                <w:sz w:val="16"/>
                <w:szCs w:val="16"/>
                <w:lang w:val="es-ES" w:eastAsia="zh-CN" w:bidi="hi-IN"/>
              </w:rPr>
              <w:t xml:space="preserve"> cross-country ş</w:t>
            </w:r>
            <w:r w:rsidRPr="00774C94">
              <w:rPr>
                <w:rFonts w:ascii="Arial" w:hAnsi="Arial" w:cs="Arial"/>
                <w:kern w:val="1"/>
                <w:sz w:val="16"/>
                <w:szCs w:val="16"/>
                <w:lang w:val="es-ES" w:eastAsia="zh-CN" w:bidi="hi-IN"/>
              </w:rPr>
              <w:t>i a un</w:t>
            </w:r>
            <w:r w:rsidR="00A27348">
              <w:rPr>
                <w:rFonts w:ascii="Arial" w:hAnsi="Arial" w:cs="Arial"/>
                <w:kern w:val="1"/>
                <w:sz w:val="16"/>
                <w:szCs w:val="16"/>
                <w:lang w:val="es-ES" w:eastAsia="zh-CN" w:bidi="hi-IN"/>
              </w:rPr>
              <w:t>u</w:t>
            </w:r>
            <w:r w:rsidRPr="00774C94">
              <w:rPr>
                <w:rFonts w:ascii="Arial" w:hAnsi="Arial" w:cs="Arial"/>
                <w:kern w:val="1"/>
                <w:sz w:val="16"/>
                <w:szCs w:val="16"/>
                <w:lang w:val="es-ES" w:eastAsia="zh-CN" w:bidi="hi-IN"/>
              </w:rPr>
              <w:t xml:space="preserve">i </w:t>
            </w:r>
            <w:r w:rsidR="00A27348">
              <w:rPr>
                <w:rFonts w:ascii="Arial" w:hAnsi="Arial" w:cs="Arial"/>
                <w:kern w:val="1"/>
                <w:sz w:val="16"/>
                <w:szCs w:val="16"/>
                <w:lang w:val="es-ES" w:eastAsia="zh-CN" w:bidi="hi-IN"/>
              </w:rPr>
              <w:t>traseu</w:t>
            </w:r>
            <w:r w:rsidRPr="00774C94">
              <w:rPr>
                <w:rFonts w:ascii="Arial" w:hAnsi="Arial" w:cs="Arial"/>
                <w:kern w:val="1"/>
                <w:sz w:val="16"/>
                <w:szCs w:val="16"/>
                <w:lang w:val="es-ES" w:eastAsia="zh-CN" w:bidi="hi-IN"/>
              </w:rPr>
              <w:t xml:space="preserve"> down-hill</w:t>
            </w:r>
          </w:p>
        </w:tc>
        <w:tc>
          <w:tcPr>
            <w:tcW w:w="1492" w:type="dxa"/>
            <w:shd w:val="clear" w:color="auto" w:fill="auto"/>
          </w:tcPr>
          <w:p w14:paraId="6290348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r w:rsidRPr="00774C94">
              <w:rPr>
                <w:rFonts w:ascii="Arial" w:hAnsi="Arial" w:cs="Arial"/>
                <w:kern w:val="1"/>
                <w:sz w:val="16"/>
                <w:szCs w:val="16"/>
                <w:lang w:eastAsia="zh-CN" w:bidi="hi-IN"/>
              </w:rPr>
              <w:t>14,4 km</w:t>
            </w:r>
          </w:p>
          <w:p w14:paraId="513B25C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p>
        </w:tc>
        <w:tc>
          <w:tcPr>
            <w:tcW w:w="1492" w:type="dxa"/>
            <w:shd w:val="clear" w:color="auto" w:fill="auto"/>
          </w:tcPr>
          <w:p w14:paraId="6526541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r w:rsidRPr="00774C94">
              <w:rPr>
                <w:rFonts w:ascii="Arial" w:hAnsi="Arial" w:cs="Arial"/>
                <w:kern w:val="1"/>
                <w:sz w:val="16"/>
                <w:szCs w:val="16"/>
                <w:lang w:eastAsia="zh-CN" w:bidi="hi-IN"/>
              </w:rPr>
              <w:t>50.000 euro</w:t>
            </w:r>
          </w:p>
          <w:p w14:paraId="0A749A5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p>
        </w:tc>
        <w:tc>
          <w:tcPr>
            <w:tcW w:w="1492" w:type="dxa"/>
            <w:shd w:val="clear" w:color="auto" w:fill="auto"/>
          </w:tcPr>
          <w:p w14:paraId="36511CD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r w:rsidRPr="00774C94">
              <w:rPr>
                <w:rFonts w:ascii="Arial" w:hAnsi="Arial" w:cs="Arial"/>
                <w:kern w:val="1"/>
                <w:sz w:val="16"/>
                <w:szCs w:val="16"/>
                <w:lang w:eastAsia="zh-CN" w:bidi="hi-IN"/>
              </w:rPr>
              <w:t>720.000 euro</w:t>
            </w:r>
          </w:p>
        </w:tc>
        <w:tc>
          <w:tcPr>
            <w:tcW w:w="1492" w:type="dxa"/>
            <w:shd w:val="clear" w:color="auto" w:fill="auto"/>
          </w:tcPr>
          <w:p w14:paraId="60CB86B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7AFD1AC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5AF9833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312B819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D164E1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77" w:type="dxa"/>
            <w:shd w:val="clear" w:color="auto" w:fill="auto"/>
          </w:tcPr>
          <w:p w14:paraId="0BBE03CD"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6B611E93" w14:textId="77777777" w:rsidTr="00774C94">
        <w:tc>
          <w:tcPr>
            <w:tcW w:w="718" w:type="dxa"/>
            <w:shd w:val="clear" w:color="auto" w:fill="auto"/>
          </w:tcPr>
          <w:p w14:paraId="281B432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IX.1</w:t>
            </w:r>
          </w:p>
        </w:tc>
        <w:tc>
          <w:tcPr>
            <w:tcW w:w="5946" w:type="dxa"/>
            <w:shd w:val="clear" w:color="auto" w:fill="auto"/>
          </w:tcPr>
          <w:p w14:paraId="38EB93D2"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eastAsia="zh-CN" w:bidi="hi-IN"/>
              </w:rPr>
            </w:pPr>
            <w:r w:rsidRPr="00774C94">
              <w:rPr>
                <w:rFonts w:ascii="Arial" w:hAnsi="Arial" w:cs="Arial"/>
                <w:kern w:val="1"/>
                <w:sz w:val="16"/>
                <w:szCs w:val="16"/>
                <w:lang w:val="es-ES" w:eastAsia="zh-CN" w:bidi="hi-IN"/>
              </w:rPr>
              <w:t>Construirea centurii ocolitoare a oraşului</w:t>
            </w:r>
          </w:p>
        </w:tc>
        <w:tc>
          <w:tcPr>
            <w:tcW w:w="1492" w:type="dxa"/>
            <w:shd w:val="clear" w:color="auto" w:fill="auto"/>
          </w:tcPr>
          <w:p w14:paraId="4092ADA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r w:rsidRPr="00774C94">
              <w:rPr>
                <w:rFonts w:ascii="Arial" w:hAnsi="Arial" w:cs="Arial"/>
                <w:kern w:val="1"/>
                <w:sz w:val="16"/>
                <w:szCs w:val="16"/>
                <w:lang w:eastAsia="zh-CN" w:bidi="hi-IN"/>
              </w:rPr>
              <w:t>5 km</w:t>
            </w:r>
          </w:p>
          <w:p w14:paraId="561D2C7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p>
        </w:tc>
        <w:tc>
          <w:tcPr>
            <w:tcW w:w="1492" w:type="dxa"/>
            <w:shd w:val="clear" w:color="auto" w:fill="auto"/>
          </w:tcPr>
          <w:p w14:paraId="383EFB8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r w:rsidRPr="00774C94">
              <w:rPr>
                <w:rFonts w:ascii="Arial" w:hAnsi="Arial" w:cs="Arial"/>
                <w:kern w:val="1"/>
                <w:sz w:val="16"/>
                <w:szCs w:val="16"/>
                <w:lang w:eastAsia="zh-CN" w:bidi="hi-IN"/>
              </w:rPr>
              <w:t>800.000 euro</w:t>
            </w:r>
          </w:p>
          <w:p w14:paraId="6343B23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p>
        </w:tc>
        <w:tc>
          <w:tcPr>
            <w:tcW w:w="1492" w:type="dxa"/>
            <w:shd w:val="clear" w:color="auto" w:fill="auto"/>
          </w:tcPr>
          <w:p w14:paraId="3719022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r w:rsidRPr="00774C94">
              <w:rPr>
                <w:rFonts w:ascii="Arial" w:hAnsi="Arial" w:cs="Arial"/>
                <w:kern w:val="1"/>
                <w:sz w:val="16"/>
                <w:szCs w:val="16"/>
                <w:lang w:eastAsia="zh-CN" w:bidi="hi-IN"/>
              </w:rPr>
              <w:t>4.000.000 euro</w:t>
            </w:r>
          </w:p>
        </w:tc>
        <w:tc>
          <w:tcPr>
            <w:tcW w:w="1492" w:type="dxa"/>
            <w:shd w:val="clear" w:color="auto" w:fill="auto"/>
          </w:tcPr>
          <w:p w14:paraId="557597D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1B5014D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A3C32E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278B31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0B7C1D0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33735A6F"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1C4161DF" w14:textId="77777777" w:rsidTr="00774C94">
        <w:tc>
          <w:tcPr>
            <w:tcW w:w="718" w:type="dxa"/>
            <w:shd w:val="clear" w:color="auto" w:fill="auto"/>
          </w:tcPr>
          <w:p w14:paraId="07DEEDD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X.7</w:t>
            </w:r>
          </w:p>
        </w:tc>
        <w:tc>
          <w:tcPr>
            <w:tcW w:w="5946" w:type="dxa"/>
            <w:shd w:val="clear" w:color="auto" w:fill="auto"/>
          </w:tcPr>
          <w:p w14:paraId="0E56C4BF" w14:textId="77777777" w:rsidR="00774C94" w:rsidRPr="00774C94" w:rsidRDefault="00971732" w:rsidP="00971732">
            <w:pPr>
              <w:widowControl w:val="0"/>
              <w:suppressLineNumbers/>
              <w:suppressAutoHyphens/>
              <w:spacing w:after="0" w:line="240" w:lineRule="auto"/>
              <w:rPr>
                <w:rFonts w:ascii="Arial" w:hAnsi="Arial" w:cs="Arial"/>
                <w:kern w:val="1"/>
                <w:sz w:val="16"/>
                <w:szCs w:val="16"/>
                <w:lang w:val="es-ES" w:eastAsia="zh-CN" w:bidi="hi-IN"/>
              </w:rPr>
            </w:pPr>
            <w:r>
              <w:rPr>
                <w:rFonts w:ascii="Arial" w:hAnsi="Arial" w:cs="Arial"/>
                <w:kern w:val="1"/>
                <w:sz w:val="16"/>
                <w:szCs w:val="16"/>
                <w:lang w:val="es-ES" w:eastAsia="zh-CN" w:bidi="hi-IN"/>
              </w:rPr>
              <w:t>Infiinţ</w:t>
            </w:r>
            <w:r w:rsidR="00774C94" w:rsidRPr="00774C94">
              <w:rPr>
                <w:rFonts w:ascii="Arial" w:hAnsi="Arial" w:cs="Arial"/>
                <w:kern w:val="1"/>
                <w:sz w:val="16"/>
                <w:szCs w:val="16"/>
                <w:lang w:val="es-ES" w:eastAsia="zh-CN" w:bidi="hi-IN"/>
              </w:rPr>
              <w:t>area unui traseu turistic Horezu – Sta</w:t>
            </w:r>
            <w:r>
              <w:rPr>
                <w:rFonts w:ascii="Arial" w:hAnsi="Arial" w:cs="Arial"/>
                <w:kern w:val="1"/>
                <w:sz w:val="16"/>
                <w:szCs w:val="16"/>
                <w:lang w:val="es-ES" w:eastAsia="zh-CN" w:bidi="hi-IN"/>
              </w:rPr>
              <w:t>ţiunea Vâ</w:t>
            </w:r>
            <w:r w:rsidR="00774C94" w:rsidRPr="00774C94">
              <w:rPr>
                <w:rFonts w:ascii="Arial" w:hAnsi="Arial" w:cs="Arial"/>
                <w:kern w:val="1"/>
                <w:sz w:val="16"/>
                <w:szCs w:val="16"/>
                <w:lang w:val="es-ES" w:eastAsia="zh-CN" w:bidi="hi-IN"/>
              </w:rPr>
              <w:t>rful lui Roman</w:t>
            </w:r>
          </w:p>
        </w:tc>
        <w:tc>
          <w:tcPr>
            <w:tcW w:w="1492" w:type="dxa"/>
            <w:shd w:val="clear" w:color="auto" w:fill="auto"/>
          </w:tcPr>
          <w:p w14:paraId="31C687F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r w:rsidRPr="00774C94">
              <w:rPr>
                <w:rFonts w:ascii="Arial" w:hAnsi="Arial" w:cs="Arial"/>
                <w:kern w:val="1"/>
                <w:sz w:val="16"/>
                <w:szCs w:val="16"/>
                <w:lang w:eastAsia="zh-CN" w:bidi="hi-IN"/>
              </w:rPr>
              <w:t>-</w:t>
            </w:r>
          </w:p>
        </w:tc>
        <w:tc>
          <w:tcPr>
            <w:tcW w:w="1492" w:type="dxa"/>
            <w:shd w:val="clear" w:color="auto" w:fill="auto"/>
          </w:tcPr>
          <w:p w14:paraId="285BBC0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r w:rsidRPr="00774C94">
              <w:rPr>
                <w:rFonts w:ascii="Arial" w:hAnsi="Arial" w:cs="Arial"/>
                <w:kern w:val="1"/>
                <w:sz w:val="16"/>
                <w:szCs w:val="16"/>
                <w:lang w:eastAsia="zh-CN" w:bidi="hi-IN"/>
              </w:rPr>
              <w:t>-</w:t>
            </w:r>
          </w:p>
        </w:tc>
        <w:tc>
          <w:tcPr>
            <w:tcW w:w="1492" w:type="dxa"/>
            <w:shd w:val="clear" w:color="auto" w:fill="auto"/>
          </w:tcPr>
          <w:p w14:paraId="6248CDC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eastAsia="zh-CN" w:bidi="hi-IN"/>
              </w:rPr>
            </w:pPr>
            <w:r w:rsidRPr="00774C94">
              <w:rPr>
                <w:rFonts w:ascii="Arial" w:hAnsi="Arial" w:cs="Arial"/>
                <w:kern w:val="1"/>
                <w:sz w:val="16"/>
                <w:szCs w:val="16"/>
                <w:lang w:eastAsia="zh-CN" w:bidi="hi-IN"/>
              </w:rPr>
              <w:t>-</w:t>
            </w:r>
          </w:p>
        </w:tc>
        <w:tc>
          <w:tcPr>
            <w:tcW w:w="1492" w:type="dxa"/>
            <w:shd w:val="clear" w:color="auto" w:fill="auto"/>
          </w:tcPr>
          <w:p w14:paraId="1E0A38F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200.000 euro/an</w:t>
            </w:r>
          </w:p>
        </w:tc>
        <w:tc>
          <w:tcPr>
            <w:tcW w:w="359" w:type="dxa"/>
            <w:shd w:val="clear" w:color="auto" w:fill="auto"/>
          </w:tcPr>
          <w:p w14:paraId="0937F2A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265073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38D2062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C42926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77" w:type="dxa"/>
            <w:shd w:val="clear" w:color="auto" w:fill="auto"/>
          </w:tcPr>
          <w:p w14:paraId="50F6846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1A4810B2" w14:textId="77777777" w:rsidTr="00774C94">
        <w:tc>
          <w:tcPr>
            <w:tcW w:w="718" w:type="dxa"/>
            <w:shd w:val="clear" w:color="auto" w:fill="auto"/>
          </w:tcPr>
          <w:p w14:paraId="1354595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XII.1</w:t>
            </w:r>
          </w:p>
        </w:tc>
        <w:tc>
          <w:tcPr>
            <w:tcW w:w="5946" w:type="dxa"/>
            <w:shd w:val="clear" w:color="auto" w:fill="auto"/>
          </w:tcPr>
          <w:p w14:paraId="25F33FD6"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Construirea unui centru intermodal de transport destinat interconectării transpo</w:t>
            </w:r>
            <w:r w:rsidR="00971732">
              <w:rPr>
                <w:rFonts w:ascii="Arial" w:hAnsi="Arial" w:cs="Arial"/>
                <w:kern w:val="1"/>
                <w:sz w:val="16"/>
                <w:szCs w:val="16"/>
                <w:lang w:val="es-ES" w:eastAsia="zh-CN" w:bidi="hi-IN"/>
              </w:rPr>
              <w:t>rtului public local cu cel judeţ</w:t>
            </w:r>
            <w:r w:rsidRPr="00774C94">
              <w:rPr>
                <w:rFonts w:ascii="Arial" w:hAnsi="Arial" w:cs="Arial"/>
                <w:kern w:val="1"/>
                <w:sz w:val="16"/>
                <w:szCs w:val="16"/>
                <w:lang w:val="es-ES" w:eastAsia="zh-CN" w:bidi="hi-IN"/>
              </w:rPr>
              <w:t>ean şi interurban</w:t>
            </w:r>
          </w:p>
        </w:tc>
        <w:tc>
          <w:tcPr>
            <w:tcW w:w="1492" w:type="dxa"/>
            <w:shd w:val="clear" w:color="auto" w:fill="auto"/>
          </w:tcPr>
          <w:p w14:paraId="7FE4AC3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 staţie intermodalǎ</w:t>
            </w:r>
          </w:p>
        </w:tc>
        <w:tc>
          <w:tcPr>
            <w:tcW w:w="1492" w:type="dxa"/>
            <w:shd w:val="clear" w:color="auto" w:fill="auto"/>
          </w:tcPr>
          <w:p w14:paraId="02AE972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5.000.000 euro</w:t>
            </w:r>
          </w:p>
        </w:tc>
        <w:tc>
          <w:tcPr>
            <w:tcW w:w="1492" w:type="dxa"/>
            <w:shd w:val="clear" w:color="auto" w:fill="auto"/>
          </w:tcPr>
          <w:p w14:paraId="7EE9E51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5.000.000 euro</w:t>
            </w:r>
          </w:p>
        </w:tc>
        <w:tc>
          <w:tcPr>
            <w:tcW w:w="1492" w:type="dxa"/>
            <w:shd w:val="clear" w:color="auto" w:fill="auto"/>
          </w:tcPr>
          <w:p w14:paraId="6E07BF5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3A4343F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192535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593DB77"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34573A2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115F90F0"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6246F140" w14:textId="77777777" w:rsidTr="00774C94">
        <w:tc>
          <w:tcPr>
            <w:tcW w:w="718" w:type="dxa"/>
            <w:shd w:val="clear" w:color="auto" w:fill="auto"/>
          </w:tcPr>
          <w:p w14:paraId="59B5376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XII.2</w:t>
            </w:r>
          </w:p>
        </w:tc>
        <w:tc>
          <w:tcPr>
            <w:tcW w:w="5946" w:type="dxa"/>
            <w:shd w:val="clear" w:color="auto" w:fill="auto"/>
          </w:tcPr>
          <w:p w14:paraId="181B7A35"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Organizarea programului de circulație susținut de operatorul de transport urban în concordanț</w:t>
            </w:r>
            <w:r w:rsidR="00971732">
              <w:rPr>
                <w:rFonts w:ascii="Arial" w:hAnsi="Arial" w:cs="Arial"/>
                <w:kern w:val="1"/>
                <w:sz w:val="16"/>
                <w:szCs w:val="16"/>
                <w:lang w:val="es-ES" w:eastAsia="zh-CN" w:bidi="hi-IN"/>
              </w:rPr>
              <w:t>ă</w:t>
            </w:r>
            <w:r w:rsidRPr="00774C94">
              <w:rPr>
                <w:rFonts w:ascii="Arial" w:hAnsi="Arial" w:cs="Arial"/>
                <w:kern w:val="1"/>
                <w:sz w:val="16"/>
                <w:szCs w:val="16"/>
                <w:lang w:val="es-ES" w:eastAsia="zh-CN" w:bidi="hi-IN"/>
              </w:rPr>
              <w:t xml:space="preserve"> c</w:t>
            </w:r>
            <w:r w:rsidR="00971732">
              <w:rPr>
                <w:rFonts w:ascii="Arial" w:hAnsi="Arial" w:cs="Arial"/>
                <w:kern w:val="1"/>
                <w:sz w:val="16"/>
                <w:szCs w:val="16"/>
                <w:lang w:val="es-ES" w:eastAsia="zh-CN" w:bidi="hi-IN"/>
              </w:rPr>
              <w:t>u programul transportului judeţean ş</w:t>
            </w:r>
            <w:r w:rsidRPr="00774C94">
              <w:rPr>
                <w:rFonts w:ascii="Arial" w:hAnsi="Arial" w:cs="Arial"/>
                <w:kern w:val="1"/>
                <w:sz w:val="16"/>
                <w:szCs w:val="16"/>
                <w:lang w:val="es-ES" w:eastAsia="zh-CN" w:bidi="hi-IN"/>
              </w:rPr>
              <w:t>i interurban</w:t>
            </w:r>
          </w:p>
        </w:tc>
        <w:tc>
          <w:tcPr>
            <w:tcW w:w="1492" w:type="dxa"/>
            <w:shd w:val="clear" w:color="auto" w:fill="auto"/>
          </w:tcPr>
          <w:p w14:paraId="712C0C8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1E9AFF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D10B2F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4AE302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697934A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9E5121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3F454D4"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F66F347"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4B8FAF5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r>
    </w:tbl>
    <w:p w14:paraId="56A2111F" w14:textId="77777777" w:rsidR="004F5666" w:rsidRPr="004F5666" w:rsidRDefault="004F5666" w:rsidP="004F5666">
      <w:pPr>
        <w:widowControl w:val="0"/>
        <w:suppressAutoHyphens/>
        <w:spacing w:after="0" w:line="240" w:lineRule="auto"/>
        <w:rPr>
          <w:rFonts w:ascii="Arial" w:hAnsi="Arial" w:cs="Mangal"/>
          <w:kern w:val="1"/>
          <w:sz w:val="20"/>
          <w:szCs w:val="24"/>
          <w:lang w:val="ro-RO" w:eastAsia="hi-IN" w:bidi="hi-IN"/>
        </w:rPr>
      </w:pPr>
    </w:p>
    <w:p w14:paraId="2277A92E" w14:textId="77777777" w:rsidR="00D70AEA" w:rsidRDefault="00D70AEA" w:rsidP="00EA79B2">
      <w:pPr>
        <w:pStyle w:val="Titlu3"/>
        <w:rPr>
          <w:rFonts w:ascii="Arial" w:hAnsi="Arial" w:cs="Arial"/>
          <w:b w:val="0"/>
          <w:bCs w:val="0"/>
          <w:sz w:val="24"/>
          <w:szCs w:val="24"/>
          <w:lang w:val="it-IT" w:eastAsia="ro-RO"/>
        </w:rPr>
      </w:pPr>
      <w:bookmarkStart w:id="441" w:name="_Toc61264918"/>
      <w:bookmarkStart w:id="442" w:name="_Toc142039104"/>
      <w:r w:rsidRPr="00EA79B2">
        <w:rPr>
          <w:rFonts w:ascii="Arial" w:hAnsi="Arial" w:cs="Arial"/>
          <w:b w:val="0"/>
          <w:bCs w:val="0"/>
          <w:sz w:val="24"/>
          <w:szCs w:val="24"/>
          <w:lang w:val="it-IT" w:eastAsia="ro-RO"/>
        </w:rPr>
        <w:t>I.6.4.2. la scara localit</w:t>
      </w:r>
      <w:r w:rsidR="00DF44FD">
        <w:rPr>
          <w:rFonts w:ascii="Arial" w:hAnsi="Arial" w:cs="Arial"/>
          <w:b w:val="0"/>
          <w:bCs w:val="0"/>
          <w:sz w:val="24"/>
          <w:szCs w:val="24"/>
          <w:lang w:val="it-IT" w:eastAsia="ro-RO"/>
        </w:rPr>
        <w:t>ăț</w:t>
      </w:r>
      <w:r w:rsidRPr="00EA79B2">
        <w:rPr>
          <w:rFonts w:ascii="Arial" w:hAnsi="Arial" w:cs="Arial"/>
          <w:b w:val="0"/>
          <w:bCs w:val="0"/>
          <w:sz w:val="24"/>
          <w:szCs w:val="24"/>
          <w:lang w:val="it-IT" w:eastAsia="ro-RO"/>
        </w:rPr>
        <w:t>ilor de referin</w:t>
      </w:r>
      <w:r w:rsidR="00DF44FD">
        <w:rPr>
          <w:rFonts w:ascii="Arial" w:hAnsi="Arial" w:cs="Arial"/>
          <w:b w:val="0"/>
          <w:bCs w:val="0"/>
          <w:sz w:val="24"/>
          <w:szCs w:val="24"/>
          <w:lang w:val="it-IT" w:eastAsia="ro-RO"/>
        </w:rPr>
        <w:t>ț</w:t>
      </w:r>
      <w:bookmarkEnd w:id="441"/>
      <w:r w:rsidR="00DF44FD">
        <w:rPr>
          <w:rFonts w:ascii="Arial" w:hAnsi="Arial" w:cs="Arial"/>
          <w:b w:val="0"/>
          <w:bCs w:val="0"/>
          <w:sz w:val="24"/>
          <w:szCs w:val="24"/>
          <w:lang w:val="it-IT" w:eastAsia="ro-RO"/>
        </w:rPr>
        <w:t>ă</w:t>
      </w:r>
      <w:bookmarkEnd w:id="442"/>
    </w:p>
    <w:p w14:paraId="63A21829" w14:textId="77777777" w:rsidR="00A46DBF" w:rsidRPr="00A46DBF" w:rsidRDefault="00A46DBF" w:rsidP="00A46DBF">
      <w:pPr>
        <w:rPr>
          <w:lang w:val="it-IT" w:eastAsia="ro-RO" w:bidi="hi-IN"/>
        </w:rPr>
      </w:pPr>
    </w:p>
    <w:p w14:paraId="5C85BD8D" w14:textId="77777777" w:rsidR="004F5666" w:rsidRDefault="004F5666" w:rsidP="004F5666">
      <w:pPr>
        <w:suppressAutoHyphens/>
        <w:spacing w:after="0" w:line="360" w:lineRule="auto"/>
        <w:jc w:val="both"/>
        <w:rPr>
          <w:rFonts w:ascii="Arial" w:hAnsi="Arial" w:cs="Arial"/>
          <w:kern w:val="1"/>
          <w:lang w:val="ro-RO" w:eastAsia="hi-IN" w:bidi="hi-IN"/>
        </w:rPr>
      </w:pPr>
      <w:r w:rsidRPr="004F5666">
        <w:rPr>
          <w:rFonts w:ascii="Arial" w:hAnsi="Arial" w:cs="Arial"/>
          <w:kern w:val="1"/>
          <w:lang w:val="es-ES" w:eastAsia="hi-IN" w:bidi="hi-IN"/>
        </w:rPr>
        <w:t xml:space="preserve">Proiectele/măsurile cu impact la nivelul </w:t>
      </w:r>
      <w:r w:rsidR="00774C94">
        <w:rPr>
          <w:rFonts w:ascii="Arial" w:hAnsi="Arial" w:cs="Arial"/>
          <w:kern w:val="1"/>
          <w:lang w:val="es-ES" w:eastAsia="hi-IN" w:bidi="hi-IN"/>
        </w:rPr>
        <w:t>oraşului Horezu</w:t>
      </w:r>
      <w:r w:rsidRPr="004F5666">
        <w:rPr>
          <w:rFonts w:ascii="Arial" w:hAnsi="Arial" w:cs="Arial"/>
          <w:kern w:val="1"/>
          <w:lang w:val="ro-RO" w:eastAsia="hi-IN" w:bidi="hi-IN"/>
        </w:rPr>
        <w:t xml:space="preserve"> sunt prezentate în tabelul I.6.3.</w:t>
      </w:r>
    </w:p>
    <w:p w14:paraId="11C5B034" w14:textId="77777777" w:rsidR="00A46DBF" w:rsidRDefault="00A46DBF" w:rsidP="004F5666">
      <w:pPr>
        <w:suppressAutoHyphens/>
        <w:spacing w:after="0" w:line="360" w:lineRule="auto"/>
        <w:jc w:val="both"/>
        <w:rPr>
          <w:rFonts w:ascii="Arial" w:hAnsi="Arial" w:cs="Arial"/>
          <w:kern w:val="1"/>
          <w:lang w:val="ro-RO" w:eastAsia="hi-IN" w:bidi="hi-IN"/>
        </w:rPr>
      </w:pPr>
    </w:p>
    <w:p w14:paraId="68057688" w14:textId="77777777" w:rsidR="00A46DBF" w:rsidRDefault="00A46DBF" w:rsidP="004F5666">
      <w:pPr>
        <w:suppressAutoHyphens/>
        <w:spacing w:after="0" w:line="360" w:lineRule="auto"/>
        <w:jc w:val="both"/>
        <w:rPr>
          <w:rFonts w:ascii="Arial" w:hAnsi="Arial" w:cs="Arial"/>
          <w:kern w:val="1"/>
          <w:lang w:val="ro-RO" w:eastAsia="hi-IN" w:bidi="hi-IN"/>
        </w:rPr>
      </w:pPr>
    </w:p>
    <w:p w14:paraId="34A12FBA" w14:textId="77777777" w:rsidR="00A46DBF" w:rsidRDefault="00A46DBF" w:rsidP="004F5666">
      <w:pPr>
        <w:suppressAutoHyphens/>
        <w:spacing w:after="0" w:line="360" w:lineRule="auto"/>
        <w:jc w:val="both"/>
        <w:rPr>
          <w:rFonts w:ascii="Arial" w:hAnsi="Arial" w:cs="Arial"/>
          <w:kern w:val="1"/>
          <w:lang w:val="ro-RO" w:eastAsia="hi-IN" w:bidi="hi-IN"/>
        </w:rPr>
      </w:pPr>
    </w:p>
    <w:p w14:paraId="26B0B0C3" w14:textId="77777777" w:rsidR="00A46DBF" w:rsidRDefault="00A46DBF" w:rsidP="004F5666">
      <w:pPr>
        <w:suppressAutoHyphens/>
        <w:spacing w:after="0" w:line="360" w:lineRule="auto"/>
        <w:jc w:val="both"/>
        <w:rPr>
          <w:rFonts w:ascii="Arial" w:hAnsi="Arial" w:cs="Arial"/>
          <w:kern w:val="1"/>
          <w:lang w:val="ro-RO" w:eastAsia="hi-IN" w:bidi="hi-IN"/>
        </w:rPr>
      </w:pPr>
    </w:p>
    <w:p w14:paraId="6379F989" w14:textId="77777777" w:rsidR="00971732" w:rsidRDefault="00971732" w:rsidP="004F5666">
      <w:pPr>
        <w:suppressAutoHyphens/>
        <w:spacing w:after="0" w:line="360" w:lineRule="auto"/>
        <w:jc w:val="both"/>
        <w:rPr>
          <w:rFonts w:ascii="Arial" w:hAnsi="Arial" w:cs="Arial"/>
          <w:kern w:val="1"/>
          <w:lang w:val="ro-RO" w:eastAsia="hi-IN" w:bidi="hi-IN"/>
        </w:rPr>
      </w:pPr>
    </w:p>
    <w:p w14:paraId="5966EEA9" w14:textId="77777777" w:rsidR="00A46DBF" w:rsidRDefault="00A46DBF" w:rsidP="004F5666">
      <w:pPr>
        <w:suppressAutoHyphens/>
        <w:spacing w:after="0" w:line="360" w:lineRule="auto"/>
        <w:jc w:val="both"/>
        <w:rPr>
          <w:rFonts w:ascii="Arial" w:hAnsi="Arial" w:cs="Arial"/>
          <w:kern w:val="1"/>
          <w:lang w:val="ro-RO" w:eastAsia="hi-IN" w:bidi="hi-IN"/>
        </w:rPr>
      </w:pPr>
    </w:p>
    <w:p w14:paraId="5CDEA6D4" w14:textId="77777777" w:rsidR="00A46DBF" w:rsidRDefault="00A46DBF" w:rsidP="004F5666">
      <w:pPr>
        <w:suppressAutoHyphens/>
        <w:spacing w:after="0" w:line="360" w:lineRule="auto"/>
        <w:jc w:val="both"/>
        <w:rPr>
          <w:rFonts w:ascii="Arial" w:hAnsi="Arial" w:cs="Arial"/>
          <w:kern w:val="1"/>
          <w:lang w:val="ro-RO" w:eastAsia="hi-IN" w:bidi="hi-IN"/>
        </w:rPr>
      </w:pPr>
    </w:p>
    <w:p w14:paraId="64B30042" w14:textId="42F172F1" w:rsidR="004F5666" w:rsidRPr="00774C94" w:rsidRDefault="00774C94" w:rsidP="00774C94">
      <w:pPr>
        <w:pStyle w:val="Legend"/>
        <w:jc w:val="center"/>
        <w:rPr>
          <w:rFonts w:ascii="Arial" w:hAnsi="Arial" w:cs="Arial"/>
          <w:i w:val="0"/>
          <w:iCs w:val="0"/>
          <w:kern w:val="1"/>
          <w:sz w:val="22"/>
          <w:szCs w:val="22"/>
          <w:lang w:val="es-ES" w:eastAsia="hi-IN" w:bidi="hi-IN"/>
        </w:rPr>
      </w:pPr>
      <w:bookmarkStart w:id="443" w:name="_Toc68361268"/>
      <w:bookmarkStart w:id="444" w:name="_Toc96447431"/>
      <w:r w:rsidRPr="00774C94">
        <w:rPr>
          <w:rFonts w:ascii="Arial" w:hAnsi="Arial" w:cs="Arial"/>
          <w:sz w:val="22"/>
          <w:szCs w:val="22"/>
        </w:rPr>
        <w:lastRenderedPageBreak/>
        <w:t xml:space="preserve">Tabel I.6. </w:t>
      </w:r>
      <w:r w:rsidRPr="00774C94">
        <w:rPr>
          <w:rFonts w:ascii="Arial" w:hAnsi="Arial" w:cs="Arial"/>
          <w:sz w:val="22"/>
          <w:szCs w:val="22"/>
        </w:rPr>
        <w:fldChar w:fldCharType="begin"/>
      </w:r>
      <w:r w:rsidRPr="00774C94">
        <w:rPr>
          <w:rFonts w:ascii="Arial" w:hAnsi="Arial" w:cs="Arial"/>
          <w:sz w:val="22"/>
          <w:szCs w:val="22"/>
        </w:rPr>
        <w:instrText xml:space="preserve"> SEQ Tabel_I.6. \* ARABIC </w:instrText>
      </w:r>
      <w:r w:rsidRPr="00774C94">
        <w:rPr>
          <w:rFonts w:ascii="Arial" w:hAnsi="Arial" w:cs="Arial"/>
          <w:sz w:val="22"/>
          <w:szCs w:val="22"/>
        </w:rPr>
        <w:fldChar w:fldCharType="separate"/>
      </w:r>
      <w:r w:rsidR="00BB181C">
        <w:rPr>
          <w:rFonts w:ascii="Arial" w:hAnsi="Arial" w:cs="Arial"/>
          <w:noProof/>
          <w:sz w:val="22"/>
          <w:szCs w:val="22"/>
        </w:rPr>
        <w:t>3</w:t>
      </w:r>
      <w:r w:rsidRPr="00774C94">
        <w:rPr>
          <w:rFonts w:ascii="Arial" w:hAnsi="Arial" w:cs="Arial"/>
          <w:sz w:val="22"/>
          <w:szCs w:val="22"/>
        </w:rPr>
        <w:fldChar w:fldCharType="end"/>
      </w:r>
      <w:r w:rsidRPr="00774C94">
        <w:rPr>
          <w:rFonts w:ascii="Arial" w:hAnsi="Arial" w:cs="Arial"/>
          <w:sz w:val="22"/>
          <w:szCs w:val="22"/>
        </w:rPr>
        <w:t xml:space="preserve"> </w:t>
      </w:r>
      <w:r w:rsidR="00DF44FD" w:rsidRPr="00774C94">
        <w:rPr>
          <w:rFonts w:ascii="Arial" w:hAnsi="Arial" w:cs="Arial"/>
          <w:sz w:val="22"/>
          <w:szCs w:val="22"/>
        </w:rPr>
        <w:t xml:space="preserve">- </w:t>
      </w:r>
      <w:r w:rsidR="00DF44FD" w:rsidRPr="00774C94">
        <w:rPr>
          <w:rFonts w:ascii="Arial" w:hAnsi="Arial" w:cs="Arial"/>
          <w:i w:val="0"/>
          <w:iCs w:val="0"/>
          <w:sz w:val="22"/>
          <w:szCs w:val="22"/>
        </w:rPr>
        <w:t>Proiecte/măsuri la scara localităţilor de referinţă</w:t>
      </w:r>
      <w:bookmarkEnd w:id="443"/>
      <w:bookmarkEnd w:id="444"/>
    </w:p>
    <w:tbl>
      <w:tblPr>
        <w:tblW w:w="14445" w:type="dxa"/>
        <w:tblInd w:w="-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718"/>
        <w:gridCol w:w="5946"/>
        <w:gridCol w:w="1492"/>
        <w:gridCol w:w="1492"/>
        <w:gridCol w:w="1492"/>
        <w:gridCol w:w="1492"/>
        <w:gridCol w:w="359"/>
        <w:gridCol w:w="359"/>
        <w:gridCol w:w="359"/>
        <w:gridCol w:w="359"/>
        <w:gridCol w:w="377"/>
      </w:tblGrid>
      <w:tr w:rsidR="00774C94" w:rsidRPr="00774C94" w14:paraId="7229C29C" w14:textId="77777777" w:rsidTr="00774C94">
        <w:trPr>
          <w:cantSplit/>
          <w:tblHeader/>
        </w:trPr>
        <w:tc>
          <w:tcPr>
            <w:tcW w:w="718" w:type="dxa"/>
            <w:vMerge w:val="restart"/>
            <w:shd w:val="clear" w:color="auto" w:fill="auto"/>
          </w:tcPr>
          <w:p w14:paraId="421DDDBC"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Cod măsură</w:t>
            </w:r>
          </w:p>
        </w:tc>
        <w:tc>
          <w:tcPr>
            <w:tcW w:w="5946" w:type="dxa"/>
            <w:vMerge w:val="restart"/>
            <w:shd w:val="clear" w:color="auto" w:fill="auto"/>
          </w:tcPr>
          <w:p w14:paraId="0ED05582"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Măsură</w:t>
            </w:r>
          </w:p>
        </w:tc>
        <w:tc>
          <w:tcPr>
            <w:tcW w:w="1492" w:type="dxa"/>
            <w:vMerge w:val="restart"/>
            <w:shd w:val="clear" w:color="auto" w:fill="auto"/>
          </w:tcPr>
          <w:p w14:paraId="696D1864"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Unităţi fizice</w:t>
            </w:r>
          </w:p>
        </w:tc>
        <w:tc>
          <w:tcPr>
            <w:tcW w:w="1492" w:type="dxa"/>
            <w:vMerge w:val="restart"/>
            <w:shd w:val="clear" w:color="auto" w:fill="auto"/>
          </w:tcPr>
          <w:p w14:paraId="194DAF10"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Cost unitar</w:t>
            </w:r>
          </w:p>
          <w:p w14:paraId="5441C085"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p>
        </w:tc>
        <w:tc>
          <w:tcPr>
            <w:tcW w:w="1492" w:type="dxa"/>
            <w:vMerge w:val="restart"/>
            <w:shd w:val="clear" w:color="auto" w:fill="auto"/>
          </w:tcPr>
          <w:p w14:paraId="798381A2"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Cost total</w:t>
            </w:r>
          </w:p>
        </w:tc>
        <w:tc>
          <w:tcPr>
            <w:tcW w:w="1492" w:type="dxa"/>
            <w:vMerge w:val="restart"/>
            <w:shd w:val="clear" w:color="auto" w:fill="auto"/>
          </w:tcPr>
          <w:p w14:paraId="45112374"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Venituri</w:t>
            </w:r>
          </w:p>
        </w:tc>
        <w:tc>
          <w:tcPr>
            <w:tcW w:w="1813" w:type="dxa"/>
            <w:gridSpan w:val="5"/>
            <w:shd w:val="clear" w:color="auto" w:fill="auto"/>
          </w:tcPr>
          <w:p w14:paraId="3D89FFDE" w14:textId="77777777" w:rsidR="00774C94" w:rsidRPr="00774C94" w:rsidRDefault="00774C94" w:rsidP="00774C94">
            <w:pPr>
              <w:widowControl w:val="0"/>
              <w:suppressAutoHyphens/>
              <w:spacing w:after="0" w:line="100" w:lineRule="atLeast"/>
              <w:jc w:val="center"/>
              <w:rPr>
                <w:rFonts w:ascii="Arial" w:hAnsi="Arial" w:cs="Mangal"/>
                <w:kern w:val="1"/>
                <w:sz w:val="20"/>
                <w:szCs w:val="24"/>
                <w:lang w:val="ro-RO" w:eastAsia="hi-IN" w:bidi="hi-IN"/>
              </w:rPr>
            </w:pPr>
            <w:r w:rsidRPr="00774C94">
              <w:rPr>
                <w:rFonts w:ascii="Arial" w:hAnsi="Arial" w:cs="Arial"/>
                <w:b/>
                <w:kern w:val="1"/>
                <w:sz w:val="16"/>
                <w:szCs w:val="16"/>
                <w:lang w:val="ro-RO" w:eastAsia="hi-IN" w:bidi="hi-IN"/>
              </w:rPr>
              <w:t>Obiectiv strategic</w:t>
            </w:r>
          </w:p>
        </w:tc>
      </w:tr>
      <w:tr w:rsidR="00774C94" w:rsidRPr="00774C94" w14:paraId="2992F5C1" w14:textId="77777777" w:rsidTr="00774C94">
        <w:trPr>
          <w:cantSplit/>
          <w:trHeight w:val="2040"/>
          <w:tblHeader/>
        </w:trPr>
        <w:tc>
          <w:tcPr>
            <w:tcW w:w="718" w:type="dxa"/>
            <w:vMerge/>
            <w:shd w:val="clear" w:color="auto" w:fill="auto"/>
          </w:tcPr>
          <w:p w14:paraId="471BC824"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5946" w:type="dxa"/>
            <w:vMerge/>
            <w:shd w:val="clear" w:color="auto" w:fill="auto"/>
          </w:tcPr>
          <w:p w14:paraId="0FD9F575"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1492" w:type="dxa"/>
            <w:vMerge/>
            <w:shd w:val="clear" w:color="auto" w:fill="auto"/>
          </w:tcPr>
          <w:p w14:paraId="37AA3DF4"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1492" w:type="dxa"/>
            <w:vMerge/>
            <w:shd w:val="clear" w:color="auto" w:fill="auto"/>
          </w:tcPr>
          <w:p w14:paraId="1917992D"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1492" w:type="dxa"/>
            <w:vMerge/>
            <w:shd w:val="clear" w:color="auto" w:fill="auto"/>
          </w:tcPr>
          <w:p w14:paraId="395C1D87"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1492" w:type="dxa"/>
            <w:vMerge/>
            <w:shd w:val="clear" w:color="auto" w:fill="auto"/>
          </w:tcPr>
          <w:p w14:paraId="1DE59724" w14:textId="77777777" w:rsidR="00774C94" w:rsidRPr="00774C94" w:rsidRDefault="00774C94" w:rsidP="00774C94">
            <w:pPr>
              <w:widowControl w:val="0"/>
              <w:suppressAutoHyphens/>
              <w:snapToGrid w:val="0"/>
              <w:spacing w:after="0" w:line="100" w:lineRule="atLeast"/>
              <w:jc w:val="center"/>
              <w:rPr>
                <w:rFonts w:ascii="Arial" w:hAnsi="Arial" w:cs="Arial"/>
                <w:b/>
                <w:kern w:val="1"/>
                <w:sz w:val="16"/>
                <w:szCs w:val="16"/>
                <w:lang w:val="ro-RO" w:eastAsia="hi-IN" w:bidi="hi-IN"/>
              </w:rPr>
            </w:pPr>
          </w:p>
        </w:tc>
        <w:tc>
          <w:tcPr>
            <w:tcW w:w="359" w:type="dxa"/>
            <w:shd w:val="clear" w:color="auto" w:fill="auto"/>
            <w:textDirection w:val="tbRlV"/>
          </w:tcPr>
          <w:p w14:paraId="0BE4046B"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Accesibilitate</w:t>
            </w:r>
          </w:p>
          <w:p w14:paraId="458A2329"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p>
        </w:tc>
        <w:tc>
          <w:tcPr>
            <w:tcW w:w="359" w:type="dxa"/>
            <w:shd w:val="clear" w:color="auto" w:fill="auto"/>
            <w:textDirection w:val="tbRlV"/>
          </w:tcPr>
          <w:p w14:paraId="5F73AEC3" w14:textId="77777777" w:rsidR="00774C94" w:rsidRPr="00774C94" w:rsidRDefault="00971732" w:rsidP="00774C94">
            <w:pPr>
              <w:widowControl w:val="0"/>
              <w:suppressAutoHyphens/>
              <w:spacing w:after="0" w:line="100" w:lineRule="atLeast"/>
              <w:jc w:val="center"/>
              <w:rPr>
                <w:rFonts w:ascii="Arial" w:hAnsi="Arial" w:cs="Arial"/>
                <w:b/>
                <w:kern w:val="1"/>
                <w:sz w:val="16"/>
                <w:szCs w:val="16"/>
                <w:lang w:val="ro-RO" w:eastAsia="hi-IN" w:bidi="hi-IN"/>
              </w:rPr>
            </w:pPr>
            <w:r>
              <w:rPr>
                <w:rFonts w:ascii="Arial" w:hAnsi="Arial" w:cs="Arial"/>
                <w:b/>
                <w:kern w:val="1"/>
                <w:sz w:val="16"/>
                <w:szCs w:val="16"/>
                <w:lang w:val="ro-RO" w:eastAsia="hi-IN" w:bidi="hi-IN"/>
              </w:rPr>
              <w:t>Eficienţă economică</w:t>
            </w:r>
          </w:p>
        </w:tc>
        <w:tc>
          <w:tcPr>
            <w:tcW w:w="359" w:type="dxa"/>
            <w:shd w:val="clear" w:color="auto" w:fill="auto"/>
            <w:textDirection w:val="tbRlV"/>
          </w:tcPr>
          <w:p w14:paraId="74046AFE"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Mediu</w:t>
            </w:r>
          </w:p>
        </w:tc>
        <w:tc>
          <w:tcPr>
            <w:tcW w:w="359" w:type="dxa"/>
            <w:shd w:val="clear" w:color="auto" w:fill="auto"/>
            <w:textDirection w:val="tbRlV"/>
          </w:tcPr>
          <w:p w14:paraId="688991A6" w14:textId="77777777" w:rsidR="00774C94" w:rsidRPr="00774C94" w:rsidRDefault="00971732" w:rsidP="00774C94">
            <w:pPr>
              <w:widowControl w:val="0"/>
              <w:suppressAutoHyphens/>
              <w:spacing w:after="0" w:line="100" w:lineRule="atLeast"/>
              <w:jc w:val="center"/>
              <w:rPr>
                <w:rFonts w:ascii="Arial" w:hAnsi="Arial" w:cs="Arial"/>
                <w:b/>
                <w:kern w:val="1"/>
                <w:sz w:val="16"/>
                <w:szCs w:val="16"/>
                <w:lang w:val="ro-RO" w:eastAsia="hi-IN" w:bidi="hi-IN"/>
              </w:rPr>
            </w:pPr>
            <w:r>
              <w:rPr>
                <w:rFonts w:ascii="Arial" w:hAnsi="Arial" w:cs="Arial"/>
                <w:b/>
                <w:kern w:val="1"/>
                <w:sz w:val="16"/>
                <w:szCs w:val="16"/>
                <w:lang w:val="ro-RO" w:eastAsia="hi-IN" w:bidi="hi-IN"/>
              </w:rPr>
              <w:t>Siguranţă</w:t>
            </w:r>
          </w:p>
        </w:tc>
        <w:tc>
          <w:tcPr>
            <w:tcW w:w="377" w:type="dxa"/>
            <w:shd w:val="clear" w:color="auto" w:fill="auto"/>
            <w:textDirection w:val="tbRlV"/>
          </w:tcPr>
          <w:p w14:paraId="00A5856B"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r w:rsidRPr="00774C94">
              <w:rPr>
                <w:rFonts w:ascii="Arial" w:hAnsi="Arial" w:cs="Arial"/>
                <w:b/>
                <w:kern w:val="1"/>
                <w:sz w:val="16"/>
                <w:szCs w:val="16"/>
                <w:lang w:val="ro-RO" w:eastAsia="hi-IN" w:bidi="hi-IN"/>
              </w:rPr>
              <w:t>Calitatea mediului urban</w:t>
            </w:r>
          </w:p>
          <w:p w14:paraId="68FC13DD" w14:textId="77777777" w:rsidR="00774C94" w:rsidRPr="00774C94" w:rsidRDefault="00774C94" w:rsidP="00774C94">
            <w:pPr>
              <w:widowControl w:val="0"/>
              <w:suppressAutoHyphens/>
              <w:spacing w:after="0" w:line="100" w:lineRule="atLeast"/>
              <w:jc w:val="center"/>
              <w:rPr>
                <w:rFonts w:ascii="Arial" w:hAnsi="Arial" w:cs="Arial"/>
                <w:b/>
                <w:kern w:val="1"/>
                <w:sz w:val="16"/>
                <w:szCs w:val="16"/>
                <w:lang w:val="ro-RO" w:eastAsia="hi-IN" w:bidi="hi-IN"/>
              </w:rPr>
            </w:pPr>
          </w:p>
        </w:tc>
      </w:tr>
      <w:tr w:rsidR="00774C94" w:rsidRPr="00774C94" w14:paraId="4D104077" w14:textId="77777777" w:rsidTr="00774C94">
        <w:tc>
          <w:tcPr>
            <w:tcW w:w="718" w:type="dxa"/>
            <w:shd w:val="clear" w:color="auto" w:fill="auto"/>
          </w:tcPr>
          <w:p w14:paraId="05EAC4B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I.1</w:t>
            </w:r>
          </w:p>
        </w:tc>
        <w:tc>
          <w:tcPr>
            <w:tcW w:w="5946" w:type="dxa"/>
            <w:shd w:val="clear" w:color="auto" w:fill="auto"/>
          </w:tcPr>
          <w:p w14:paraId="1A891432" w14:textId="77777777" w:rsidR="00774C94" w:rsidRPr="00774C94" w:rsidRDefault="00774C94" w:rsidP="00774C94">
            <w:pPr>
              <w:widowControl w:val="0"/>
              <w:suppressLineNumbers/>
              <w:suppressAutoHyphens/>
              <w:spacing w:after="0" w:line="100" w:lineRule="atLeast"/>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Măsuri de educare sistematică în şcoli – în ideea formării unei culturi a dezvoltării durabile</w:t>
            </w:r>
          </w:p>
        </w:tc>
        <w:tc>
          <w:tcPr>
            <w:tcW w:w="1492" w:type="dxa"/>
            <w:shd w:val="clear" w:color="auto" w:fill="auto"/>
          </w:tcPr>
          <w:p w14:paraId="17D87DB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675C584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5CB3AAD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73AD7DB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61BC3170"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0BC187CF"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A83B5D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9E2CD7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1CF062F0"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34F5C613" w14:textId="77777777" w:rsidTr="00774C94">
        <w:tc>
          <w:tcPr>
            <w:tcW w:w="718" w:type="dxa"/>
            <w:shd w:val="clear" w:color="auto" w:fill="auto"/>
          </w:tcPr>
          <w:p w14:paraId="038606A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I.2</w:t>
            </w:r>
          </w:p>
        </w:tc>
        <w:tc>
          <w:tcPr>
            <w:tcW w:w="5946" w:type="dxa"/>
            <w:shd w:val="clear" w:color="auto" w:fill="auto"/>
          </w:tcPr>
          <w:p w14:paraId="47BACE79"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Inovări în domeniul admistrativ care să reducă numărul necesar de deplasări ale cetăţeanului la instituţia respectivă</w:t>
            </w:r>
          </w:p>
        </w:tc>
        <w:tc>
          <w:tcPr>
            <w:tcW w:w="1492" w:type="dxa"/>
            <w:shd w:val="clear" w:color="auto" w:fill="auto"/>
          </w:tcPr>
          <w:p w14:paraId="648FD79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7D4DA6D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2705BBA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400.000 euro</w:t>
            </w:r>
          </w:p>
        </w:tc>
        <w:tc>
          <w:tcPr>
            <w:tcW w:w="1492" w:type="dxa"/>
            <w:shd w:val="clear" w:color="auto" w:fill="auto"/>
          </w:tcPr>
          <w:p w14:paraId="21FBD45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550E3166"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C89F27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326B17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E7308F5"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0E2B7A0C"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6EDAFE99" w14:textId="77777777" w:rsidTr="00774C94">
        <w:tc>
          <w:tcPr>
            <w:tcW w:w="718" w:type="dxa"/>
            <w:shd w:val="clear" w:color="auto" w:fill="auto"/>
          </w:tcPr>
          <w:p w14:paraId="53BC84B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I.3</w:t>
            </w:r>
          </w:p>
        </w:tc>
        <w:tc>
          <w:tcPr>
            <w:tcW w:w="5946" w:type="dxa"/>
            <w:shd w:val="clear" w:color="auto" w:fill="auto"/>
          </w:tcPr>
          <w:p w14:paraId="023C5B11"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Infiinţarea unei structuri organizaţionale şi de planificare a activităţii</w:t>
            </w:r>
            <w:r w:rsidR="00971732">
              <w:rPr>
                <w:rFonts w:ascii="Arial" w:hAnsi="Arial" w:cs="Arial"/>
                <w:kern w:val="1"/>
                <w:sz w:val="16"/>
                <w:szCs w:val="16"/>
                <w:lang w:val="ro-RO" w:eastAsia="zh-CN" w:bidi="hi-IN"/>
              </w:rPr>
              <w:t xml:space="preserve"> de transport public pentru Oraş</w:t>
            </w:r>
            <w:r w:rsidRPr="00774C94">
              <w:rPr>
                <w:rFonts w:ascii="Arial" w:hAnsi="Arial" w:cs="Arial"/>
                <w:kern w:val="1"/>
                <w:sz w:val="16"/>
                <w:szCs w:val="16"/>
                <w:lang w:val="ro-RO" w:eastAsia="zh-CN" w:bidi="hi-IN"/>
              </w:rPr>
              <w:t>ul Horezu</w:t>
            </w:r>
          </w:p>
        </w:tc>
        <w:tc>
          <w:tcPr>
            <w:tcW w:w="1492" w:type="dxa"/>
            <w:shd w:val="clear" w:color="auto" w:fill="auto"/>
          </w:tcPr>
          <w:p w14:paraId="607E54F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698DA37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79C56EC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2639063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74AF5D8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06A46BE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CCB23D9"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482B33DE"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3C71A530"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08366882" w14:textId="77777777" w:rsidTr="00774C94">
        <w:tc>
          <w:tcPr>
            <w:tcW w:w="718" w:type="dxa"/>
            <w:shd w:val="clear" w:color="auto" w:fill="auto"/>
          </w:tcPr>
          <w:p w14:paraId="62661D7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I.4</w:t>
            </w:r>
          </w:p>
        </w:tc>
        <w:tc>
          <w:tcPr>
            <w:tcW w:w="5946" w:type="dxa"/>
            <w:shd w:val="clear" w:color="auto" w:fill="auto"/>
          </w:tcPr>
          <w:p w14:paraId="0284DE4F"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Modificarea orelor de începere a activităţii agenţilor economici de pe o aceeaşi arteră sau acelaşi punct – marginal – de destinaţie</w:t>
            </w:r>
          </w:p>
        </w:tc>
        <w:tc>
          <w:tcPr>
            <w:tcW w:w="1492" w:type="dxa"/>
            <w:shd w:val="clear" w:color="auto" w:fill="auto"/>
          </w:tcPr>
          <w:p w14:paraId="3E51372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CBD53F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164C280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02A8EFA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25FDF830"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B27173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5B2784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6ABD8A85"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0477EFC7"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591884DB" w14:textId="77777777" w:rsidTr="00774C94">
        <w:tc>
          <w:tcPr>
            <w:tcW w:w="718" w:type="dxa"/>
            <w:shd w:val="clear" w:color="auto" w:fill="auto"/>
          </w:tcPr>
          <w:p w14:paraId="2A53F41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I.5</w:t>
            </w:r>
          </w:p>
        </w:tc>
        <w:tc>
          <w:tcPr>
            <w:tcW w:w="5946" w:type="dxa"/>
            <w:shd w:val="clear" w:color="auto" w:fill="auto"/>
          </w:tcPr>
          <w:p w14:paraId="71C78D96"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Crearea cadrului pentru dezvoltarea de teleactivităţi şi telelucru</w:t>
            </w:r>
          </w:p>
        </w:tc>
        <w:tc>
          <w:tcPr>
            <w:tcW w:w="1492" w:type="dxa"/>
            <w:shd w:val="clear" w:color="auto" w:fill="auto"/>
          </w:tcPr>
          <w:p w14:paraId="0F8FAA0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157AB62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1FAB717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0F2D37B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54BEBAD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412009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1ADE68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771363C"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4D3A854C"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r>
      <w:tr w:rsidR="00774C94" w:rsidRPr="00774C94" w14:paraId="44ECFD1F" w14:textId="77777777" w:rsidTr="00774C94">
        <w:tc>
          <w:tcPr>
            <w:tcW w:w="718" w:type="dxa"/>
            <w:shd w:val="clear" w:color="auto" w:fill="auto"/>
          </w:tcPr>
          <w:p w14:paraId="1CADB40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I.6</w:t>
            </w:r>
          </w:p>
        </w:tc>
        <w:tc>
          <w:tcPr>
            <w:tcW w:w="5946" w:type="dxa"/>
            <w:shd w:val="clear" w:color="auto" w:fill="auto"/>
          </w:tcPr>
          <w:p w14:paraId="4EDF5A29"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es-ES" w:eastAsia="zh-CN" w:bidi="hi-IN"/>
              </w:rPr>
            </w:pPr>
            <w:r>
              <w:rPr>
                <w:rFonts w:ascii="Arial" w:hAnsi="Arial" w:cs="Arial"/>
                <w:kern w:val="1"/>
                <w:sz w:val="16"/>
                <w:szCs w:val="16"/>
                <w:lang w:val="ro-RO" w:eastAsia="zh-CN" w:bidi="hi-IN"/>
              </w:rPr>
              <w:t>Infiinţarea în cadrul Primă</w:t>
            </w:r>
            <w:r w:rsidR="00774C94" w:rsidRPr="00774C94">
              <w:rPr>
                <w:rFonts w:ascii="Arial" w:hAnsi="Arial" w:cs="Arial"/>
                <w:kern w:val="1"/>
                <w:sz w:val="16"/>
                <w:szCs w:val="16"/>
                <w:lang w:val="ro-RO" w:eastAsia="zh-CN" w:bidi="hi-IN"/>
              </w:rPr>
              <w:t>riei Horezu a unei structuri organizaţi</w:t>
            </w:r>
            <w:r>
              <w:rPr>
                <w:rFonts w:ascii="Arial" w:hAnsi="Arial" w:cs="Arial"/>
                <w:kern w:val="1"/>
                <w:sz w:val="16"/>
                <w:szCs w:val="16"/>
                <w:lang w:val="ro-RO" w:eastAsia="zh-CN" w:bidi="hi-IN"/>
              </w:rPr>
              <w:t>onale şi de administrare a parcă</w:t>
            </w:r>
            <w:r w:rsidR="00774C94" w:rsidRPr="00774C94">
              <w:rPr>
                <w:rFonts w:ascii="Arial" w:hAnsi="Arial" w:cs="Arial"/>
                <w:kern w:val="1"/>
                <w:sz w:val="16"/>
                <w:szCs w:val="16"/>
                <w:lang w:val="ro-RO" w:eastAsia="zh-CN" w:bidi="hi-IN"/>
              </w:rPr>
              <w:t>rilor</w:t>
            </w:r>
          </w:p>
        </w:tc>
        <w:tc>
          <w:tcPr>
            <w:tcW w:w="1492" w:type="dxa"/>
            <w:shd w:val="clear" w:color="auto" w:fill="auto"/>
          </w:tcPr>
          <w:p w14:paraId="6992C1E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E25305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3BCD57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6E554DB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5992E3A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73357CA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5FAEDF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6688605E"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18E5DA1B"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2BCB851C" w14:textId="77777777" w:rsidTr="00774C94">
        <w:tc>
          <w:tcPr>
            <w:tcW w:w="718" w:type="dxa"/>
            <w:shd w:val="clear" w:color="auto" w:fill="auto"/>
          </w:tcPr>
          <w:p w14:paraId="52B77AC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II.1</w:t>
            </w:r>
          </w:p>
        </w:tc>
        <w:tc>
          <w:tcPr>
            <w:tcW w:w="5946" w:type="dxa"/>
            <w:shd w:val="clear" w:color="auto" w:fill="auto"/>
          </w:tcPr>
          <w:p w14:paraId="63ED3EEA"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ro-RO" w:eastAsia="zh-CN" w:bidi="hi-IN"/>
              </w:rPr>
            </w:pPr>
            <w:r>
              <w:rPr>
                <w:rFonts w:ascii="Arial" w:hAnsi="Arial" w:cs="Arial"/>
                <w:kern w:val="1"/>
                <w:sz w:val="16"/>
                <w:szCs w:val="16"/>
                <w:lang w:val="ro-RO" w:eastAsia="zh-CN" w:bidi="hi-IN"/>
              </w:rPr>
              <w:t>Proceduri de creş</w:t>
            </w:r>
            <w:r w:rsidR="00774C94" w:rsidRPr="00774C94">
              <w:rPr>
                <w:rFonts w:ascii="Arial" w:hAnsi="Arial" w:cs="Arial"/>
                <w:kern w:val="1"/>
                <w:sz w:val="16"/>
                <w:szCs w:val="16"/>
                <w:lang w:val="ro-RO" w:eastAsia="zh-CN" w:bidi="hi-IN"/>
              </w:rPr>
              <w:t>tere a densității urbane</w:t>
            </w:r>
          </w:p>
        </w:tc>
        <w:tc>
          <w:tcPr>
            <w:tcW w:w="1492" w:type="dxa"/>
            <w:shd w:val="clear" w:color="auto" w:fill="auto"/>
          </w:tcPr>
          <w:p w14:paraId="1F937A1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77BE969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65A43CC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68BD80C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4902393F"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55AEF6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C9EB070"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2EE37BC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77" w:type="dxa"/>
            <w:shd w:val="clear" w:color="auto" w:fill="auto"/>
          </w:tcPr>
          <w:p w14:paraId="680F3E0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r>
      <w:tr w:rsidR="00774C94" w:rsidRPr="00774C94" w14:paraId="04DD66B0" w14:textId="77777777" w:rsidTr="00774C94">
        <w:tc>
          <w:tcPr>
            <w:tcW w:w="718" w:type="dxa"/>
            <w:shd w:val="clear" w:color="auto" w:fill="auto"/>
          </w:tcPr>
          <w:p w14:paraId="39BE529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III.1</w:t>
            </w:r>
          </w:p>
        </w:tc>
        <w:tc>
          <w:tcPr>
            <w:tcW w:w="5946" w:type="dxa"/>
            <w:shd w:val="clear" w:color="auto" w:fill="auto"/>
          </w:tcPr>
          <w:p w14:paraId="55737FBD" w14:textId="77777777" w:rsidR="00774C94" w:rsidRPr="00774C94" w:rsidRDefault="00774C94" w:rsidP="00774C94">
            <w:pPr>
              <w:widowControl w:val="0"/>
              <w:suppressLineNumbers/>
              <w:suppressAutoHyphens/>
              <w:spacing w:after="0" w:line="240" w:lineRule="auto"/>
              <w:rPr>
                <w:rFonts w:ascii="Arial" w:eastAsia="Calibri" w:hAnsi="Arial" w:cs="Arial"/>
                <w:kern w:val="1"/>
                <w:sz w:val="16"/>
                <w:szCs w:val="16"/>
                <w:lang w:val="es-ES" w:bidi="hi-IN"/>
              </w:rPr>
            </w:pPr>
            <w:r w:rsidRPr="00774C94">
              <w:rPr>
                <w:rFonts w:ascii="Arial" w:eastAsia="Calibri" w:hAnsi="Arial" w:cs="Arial"/>
                <w:kern w:val="1"/>
                <w:sz w:val="16"/>
                <w:szCs w:val="16"/>
                <w:lang w:val="ro-RO" w:bidi="hi-IN"/>
              </w:rPr>
              <w:t>Realizarea unei aplicaţii pentru telefonul mobil pentru achitarea contravalorii călătoriei cu transportul public</w:t>
            </w:r>
          </w:p>
        </w:tc>
        <w:tc>
          <w:tcPr>
            <w:tcW w:w="1492" w:type="dxa"/>
            <w:shd w:val="clear" w:color="auto" w:fill="auto"/>
          </w:tcPr>
          <w:p w14:paraId="4AF84C6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 aplicatie</w:t>
            </w:r>
          </w:p>
        </w:tc>
        <w:tc>
          <w:tcPr>
            <w:tcW w:w="1492" w:type="dxa"/>
            <w:shd w:val="clear" w:color="auto" w:fill="auto"/>
          </w:tcPr>
          <w:p w14:paraId="3298D87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2CB582D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4A69F0C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5D47381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03ED75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55D8056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5B54810F"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53E7F63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2FC09617" w14:textId="77777777" w:rsidTr="00774C94">
        <w:tc>
          <w:tcPr>
            <w:tcW w:w="718" w:type="dxa"/>
            <w:shd w:val="clear" w:color="auto" w:fill="auto"/>
          </w:tcPr>
          <w:p w14:paraId="3CB9251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III.2</w:t>
            </w:r>
          </w:p>
        </w:tc>
        <w:tc>
          <w:tcPr>
            <w:tcW w:w="5946" w:type="dxa"/>
            <w:shd w:val="clear" w:color="auto" w:fill="auto"/>
          </w:tcPr>
          <w:p w14:paraId="25D08AD8"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eastAsia="Calibri" w:hAnsi="Arial" w:cs="Arial"/>
                <w:kern w:val="1"/>
                <w:sz w:val="16"/>
                <w:szCs w:val="16"/>
                <w:lang w:val="es-ES" w:bidi="hi-IN"/>
              </w:rPr>
              <w:t>Rea</w:t>
            </w:r>
            <w:r w:rsidR="00971732">
              <w:rPr>
                <w:rFonts w:ascii="Arial" w:eastAsia="Calibri" w:hAnsi="Arial" w:cs="Arial"/>
                <w:kern w:val="1"/>
                <w:sz w:val="16"/>
                <w:szCs w:val="16"/>
                <w:lang w:val="es-ES" w:bidi="hi-IN"/>
              </w:rPr>
              <w:t>lizarea unui website cu informaţ</w:t>
            </w:r>
            <w:r w:rsidRPr="00774C94">
              <w:rPr>
                <w:rFonts w:ascii="Arial" w:eastAsia="Calibri" w:hAnsi="Arial" w:cs="Arial"/>
                <w:kern w:val="1"/>
                <w:sz w:val="16"/>
                <w:szCs w:val="16"/>
                <w:lang w:val="es-ES" w:bidi="hi-IN"/>
              </w:rPr>
              <w:t>ii referitoare la trafi</w:t>
            </w:r>
            <w:r w:rsidR="00971732">
              <w:rPr>
                <w:rFonts w:ascii="Arial" w:eastAsia="Calibri" w:hAnsi="Arial" w:cs="Arial"/>
                <w:kern w:val="1"/>
                <w:sz w:val="16"/>
                <w:szCs w:val="16"/>
                <w:lang w:val="es-ES" w:bidi="hi-IN"/>
              </w:rPr>
              <w:t>cul din oraş</w:t>
            </w:r>
          </w:p>
        </w:tc>
        <w:tc>
          <w:tcPr>
            <w:tcW w:w="1492" w:type="dxa"/>
            <w:shd w:val="clear" w:color="auto" w:fill="auto"/>
          </w:tcPr>
          <w:p w14:paraId="4C6B4FB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 aplicatie</w:t>
            </w:r>
          </w:p>
        </w:tc>
        <w:tc>
          <w:tcPr>
            <w:tcW w:w="1492" w:type="dxa"/>
            <w:shd w:val="clear" w:color="auto" w:fill="auto"/>
          </w:tcPr>
          <w:p w14:paraId="4BDF0C9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46F3755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04E88A8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6818332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036FBA5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704C342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367AB8BB"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1D0DA6B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7CDCDA2E" w14:textId="77777777" w:rsidTr="00774C94">
        <w:tc>
          <w:tcPr>
            <w:tcW w:w="718" w:type="dxa"/>
            <w:shd w:val="clear" w:color="auto" w:fill="auto"/>
          </w:tcPr>
          <w:p w14:paraId="0A4AB64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IV.1</w:t>
            </w:r>
          </w:p>
        </w:tc>
        <w:tc>
          <w:tcPr>
            <w:tcW w:w="5946" w:type="dxa"/>
            <w:shd w:val="clear" w:color="auto" w:fill="auto"/>
          </w:tcPr>
          <w:p w14:paraId="6F3F143C" w14:textId="7210EA4D" w:rsidR="00774C94" w:rsidRPr="00774C94" w:rsidRDefault="00971732" w:rsidP="00774C94">
            <w:pPr>
              <w:widowControl w:val="0"/>
              <w:suppressLineNumbers/>
              <w:suppressAutoHyphens/>
              <w:spacing w:after="0" w:line="240" w:lineRule="auto"/>
              <w:rPr>
                <w:rFonts w:ascii="Arial" w:hAnsi="Arial" w:cs="Arial"/>
                <w:kern w:val="1"/>
                <w:sz w:val="16"/>
                <w:szCs w:val="16"/>
                <w:lang w:val="es-ES" w:eastAsia="zh-CN" w:bidi="hi-IN"/>
              </w:rPr>
            </w:pPr>
            <w:r>
              <w:rPr>
                <w:rFonts w:ascii="Arial" w:eastAsia="Arial" w:hAnsi="Arial" w:cs="Arial"/>
                <w:kern w:val="1"/>
                <w:sz w:val="16"/>
                <w:szCs w:val="16"/>
                <w:lang w:val="es-ES" w:eastAsia="zh-CN" w:bidi="hi-IN"/>
              </w:rPr>
              <w:t>Amenajarea unei reţele</w:t>
            </w:r>
            <w:r w:rsidR="00774C94" w:rsidRPr="00774C94">
              <w:rPr>
                <w:rFonts w:ascii="Arial" w:eastAsia="Arial" w:hAnsi="Arial" w:cs="Arial"/>
                <w:kern w:val="1"/>
                <w:sz w:val="16"/>
                <w:szCs w:val="16"/>
                <w:lang w:val="es-ES" w:eastAsia="zh-CN" w:bidi="hi-IN"/>
              </w:rPr>
              <w:t xml:space="preserve"> de </w:t>
            </w:r>
            <w:r w:rsidR="00A27348">
              <w:rPr>
                <w:rFonts w:ascii="Arial" w:eastAsia="Arial" w:hAnsi="Arial" w:cs="Arial"/>
                <w:kern w:val="1"/>
                <w:sz w:val="16"/>
                <w:szCs w:val="16"/>
                <w:lang w:val="es-ES" w:eastAsia="zh-CN" w:bidi="hi-IN"/>
              </w:rPr>
              <w:t>trasee</w:t>
            </w:r>
            <w:r w:rsidR="00774C94" w:rsidRPr="00774C94">
              <w:rPr>
                <w:rFonts w:ascii="Arial" w:eastAsia="Arial" w:hAnsi="Arial" w:cs="Arial"/>
                <w:kern w:val="1"/>
                <w:sz w:val="16"/>
                <w:szCs w:val="16"/>
                <w:lang w:val="es-ES" w:eastAsia="zh-CN" w:bidi="hi-IN"/>
              </w:rPr>
              <w:t xml:space="preserve"> pentru biciclete</w:t>
            </w:r>
          </w:p>
        </w:tc>
        <w:tc>
          <w:tcPr>
            <w:tcW w:w="1492" w:type="dxa"/>
            <w:shd w:val="clear" w:color="auto" w:fill="auto"/>
          </w:tcPr>
          <w:p w14:paraId="61F8313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16,6 km</w:t>
            </w:r>
          </w:p>
        </w:tc>
        <w:tc>
          <w:tcPr>
            <w:tcW w:w="1492" w:type="dxa"/>
            <w:shd w:val="clear" w:color="auto" w:fill="auto"/>
          </w:tcPr>
          <w:p w14:paraId="0984E8B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4AE0973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830.000 euro</w:t>
            </w:r>
          </w:p>
        </w:tc>
        <w:tc>
          <w:tcPr>
            <w:tcW w:w="1492" w:type="dxa"/>
            <w:shd w:val="clear" w:color="auto" w:fill="auto"/>
          </w:tcPr>
          <w:p w14:paraId="2516C21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75200E3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9CF5B54"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52EF9AA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D0BE8A8"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5CE94A86"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2750CDB7" w14:textId="77777777" w:rsidTr="00774C94">
        <w:tc>
          <w:tcPr>
            <w:tcW w:w="718" w:type="dxa"/>
            <w:shd w:val="clear" w:color="auto" w:fill="auto"/>
          </w:tcPr>
          <w:p w14:paraId="3FAB1F4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IV.2</w:t>
            </w:r>
          </w:p>
        </w:tc>
        <w:tc>
          <w:tcPr>
            <w:tcW w:w="5946" w:type="dxa"/>
            <w:shd w:val="clear" w:color="auto" w:fill="auto"/>
          </w:tcPr>
          <w:p w14:paraId="22DCD246"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Crearea de puncte pentru închirierea bicicletelor</w:t>
            </w:r>
          </w:p>
        </w:tc>
        <w:tc>
          <w:tcPr>
            <w:tcW w:w="1492" w:type="dxa"/>
            <w:shd w:val="clear" w:color="auto" w:fill="auto"/>
          </w:tcPr>
          <w:p w14:paraId="0C7B803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6 puncte</w:t>
            </w:r>
          </w:p>
        </w:tc>
        <w:tc>
          <w:tcPr>
            <w:tcW w:w="1492" w:type="dxa"/>
            <w:shd w:val="clear" w:color="auto" w:fill="auto"/>
          </w:tcPr>
          <w:p w14:paraId="78F2FEC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30.000 euro</w:t>
            </w:r>
          </w:p>
        </w:tc>
        <w:tc>
          <w:tcPr>
            <w:tcW w:w="1492" w:type="dxa"/>
            <w:shd w:val="clear" w:color="auto" w:fill="auto"/>
          </w:tcPr>
          <w:p w14:paraId="1D24B34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180.000 euro</w:t>
            </w:r>
          </w:p>
        </w:tc>
        <w:tc>
          <w:tcPr>
            <w:tcW w:w="1492" w:type="dxa"/>
            <w:shd w:val="clear" w:color="auto" w:fill="auto"/>
          </w:tcPr>
          <w:p w14:paraId="23FE208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180.000 euro/an</w:t>
            </w:r>
          </w:p>
        </w:tc>
        <w:tc>
          <w:tcPr>
            <w:tcW w:w="359" w:type="dxa"/>
            <w:shd w:val="clear" w:color="auto" w:fill="auto"/>
          </w:tcPr>
          <w:p w14:paraId="6732B94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FFBAC25"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507D3D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857CFF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0BD28BFB"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35053628" w14:textId="77777777" w:rsidTr="00774C94">
        <w:tc>
          <w:tcPr>
            <w:tcW w:w="718" w:type="dxa"/>
            <w:shd w:val="clear" w:color="auto" w:fill="auto"/>
          </w:tcPr>
          <w:p w14:paraId="61F09B6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IV.3</w:t>
            </w:r>
          </w:p>
        </w:tc>
        <w:tc>
          <w:tcPr>
            <w:tcW w:w="5946" w:type="dxa"/>
            <w:shd w:val="clear" w:color="auto" w:fill="auto"/>
          </w:tcPr>
          <w:p w14:paraId="66879C68"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Construirea de parcări pentru biciclete</w:t>
            </w:r>
          </w:p>
        </w:tc>
        <w:tc>
          <w:tcPr>
            <w:tcW w:w="1492" w:type="dxa"/>
            <w:shd w:val="clear" w:color="auto" w:fill="auto"/>
          </w:tcPr>
          <w:p w14:paraId="7B882CA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6 parcări</w:t>
            </w:r>
          </w:p>
        </w:tc>
        <w:tc>
          <w:tcPr>
            <w:tcW w:w="1492" w:type="dxa"/>
            <w:shd w:val="clear" w:color="auto" w:fill="auto"/>
          </w:tcPr>
          <w:p w14:paraId="3224F71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30.000 euro</w:t>
            </w:r>
          </w:p>
        </w:tc>
        <w:tc>
          <w:tcPr>
            <w:tcW w:w="1492" w:type="dxa"/>
            <w:shd w:val="clear" w:color="auto" w:fill="auto"/>
          </w:tcPr>
          <w:p w14:paraId="4F2784F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180.000 euro</w:t>
            </w:r>
          </w:p>
        </w:tc>
        <w:tc>
          <w:tcPr>
            <w:tcW w:w="1492" w:type="dxa"/>
            <w:shd w:val="clear" w:color="auto" w:fill="auto"/>
          </w:tcPr>
          <w:p w14:paraId="3A24FB9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37D5372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09B1EF2C"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0A31253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A6D1AE7"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66ADCFAE"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16F029B9" w14:textId="77777777" w:rsidTr="00774C94">
        <w:tc>
          <w:tcPr>
            <w:tcW w:w="718" w:type="dxa"/>
            <w:shd w:val="clear" w:color="auto" w:fill="auto"/>
          </w:tcPr>
          <w:p w14:paraId="23FB5E3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IV.4</w:t>
            </w:r>
          </w:p>
        </w:tc>
        <w:tc>
          <w:tcPr>
            <w:tcW w:w="5946" w:type="dxa"/>
            <w:shd w:val="clear" w:color="auto" w:fill="auto"/>
          </w:tcPr>
          <w:p w14:paraId="7D5B55D3"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Campanii promoţionale pentru utilizarea bicicletei</w:t>
            </w:r>
          </w:p>
        </w:tc>
        <w:tc>
          <w:tcPr>
            <w:tcW w:w="1492" w:type="dxa"/>
            <w:shd w:val="clear" w:color="auto" w:fill="auto"/>
          </w:tcPr>
          <w:p w14:paraId="33F86FA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6 campanii publicitare</w:t>
            </w:r>
          </w:p>
        </w:tc>
        <w:tc>
          <w:tcPr>
            <w:tcW w:w="1492" w:type="dxa"/>
            <w:shd w:val="clear" w:color="auto" w:fill="auto"/>
          </w:tcPr>
          <w:p w14:paraId="5CE0E23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 euro</w:t>
            </w:r>
          </w:p>
        </w:tc>
        <w:tc>
          <w:tcPr>
            <w:tcW w:w="1492" w:type="dxa"/>
            <w:shd w:val="clear" w:color="auto" w:fill="auto"/>
          </w:tcPr>
          <w:p w14:paraId="3A54265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60.000 euro</w:t>
            </w:r>
          </w:p>
        </w:tc>
        <w:tc>
          <w:tcPr>
            <w:tcW w:w="1492" w:type="dxa"/>
            <w:shd w:val="clear" w:color="auto" w:fill="auto"/>
          </w:tcPr>
          <w:p w14:paraId="494E90F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661C65F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A818A54"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06A4962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3221822"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7E04BDBE"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08750F1C" w14:textId="77777777" w:rsidTr="00774C94">
        <w:tc>
          <w:tcPr>
            <w:tcW w:w="718" w:type="dxa"/>
            <w:shd w:val="clear" w:color="auto" w:fill="auto"/>
          </w:tcPr>
          <w:p w14:paraId="167D4FE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IV.6</w:t>
            </w:r>
          </w:p>
        </w:tc>
        <w:tc>
          <w:tcPr>
            <w:tcW w:w="5946" w:type="dxa"/>
            <w:shd w:val="clear" w:color="auto" w:fill="auto"/>
          </w:tcPr>
          <w:p w14:paraId="606E7B59"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Extinderea zonei pietonale</w:t>
            </w:r>
          </w:p>
        </w:tc>
        <w:tc>
          <w:tcPr>
            <w:tcW w:w="1492" w:type="dxa"/>
            <w:shd w:val="clear" w:color="auto" w:fill="auto"/>
          </w:tcPr>
          <w:p w14:paraId="097EF4E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1,72 km</w:t>
            </w:r>
          </w:p>
        </w:tc>
        <w:tc>
          <w:tcPr>
            <w:tcW w:w="1492" w:type="dxa"/>
            <w:shd w:val="clear" w:color="auto" w:fill="auto"/>
          </w:tcPr>
          <w:p w14:paraId="6686072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3ECD36B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86.000 euro</w:t>
            </w:r>
          </w:p>
        </w:tc>
        <w:tc>
          <w:tcPr>
            <w:tcW w:w="1492" w:type="dxa"/>
            <w:shd w:val="clear" w:color="auto" w:fill="auto"/>
          </w:tcPr>
          <w:p w14:paraId="61B8D24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0A672EA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374AB9C"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DE8405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1F8F3B6"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76AA9077"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09E03A08" w14:textId="77777777" w:rsidTr="00774C94">
        <w:tc>
          <w:tcPr>
            <w:tcW w:w="718" w:type="dxa"/>
            <w:shd w:val="clear" w:color="auto" w:fill="auto"/>
          </w:tcPr>
          <w:p w14:paraId="0DD14B9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IV.7</w:t>
            </w:r>
          </w:p>
        </w:tc>
        <w:tc>
          <w:tcPr>
            <w:tcW w:w="5946" w:type="dxa"/>
            <w:shd w:val="clear" w:color="auto" w:fill="auto"/>
          </w:tcPr>
          <w:p w14:paraId="314E807B"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Creșterea accesibilitatii pentru persoanele in varsta sau cele cu dizabilitati</w:t>
            </w:r>
          </w:p>
        </w:tc>
        <w:tc>
          <w:tcPr>
            <w:tcW w:w="1492" w:type="dxa"/>
            <w:shd w:val="clear" w:color="auto" w:fill="auto"/>
          </w:tcPr>
          <w:p w14:paraId="2BA3BC3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 xml:space="preserve">10 km </w:t>
            </w:r>
          </w:p>
        </w:tc>
        <w:tc>
          <w:tcPr>
            <w:tcW w:w="1492" w:type="dxa"/>
            <w:shd w:val="clear" w:color="auto" w:fill="auto"/>
          </w:tcPr>
          <w:p w14:paraId="4379239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1956160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500.000 euro</w:t>
            </w:r>
          </w:p>
        </w:tc>
        <w:tc>
          <w:tcPr>
            <w:tcW w:w="1492" w:type="dxa"/>
            <w:shd w:val="clear" w:color="auto" w:fill="auto"/>
          </w:tcPr>
          <w:p w14:paraId="169774F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4B6EF59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AD0246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1E11640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1C36331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665299B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23A35CDC" w14:textId="77777777" w:rsidTr="00774C94">
        <w:tc>
          <w:tcPr>
            <w:tcW w:w="718" w:type="dxa"/>
            <w:shd w:val="clear" w:color="auto" w:fill="auto"/>
          </w:tcPr>
          <w:p w14:paraId="7A1F06F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IV.8</w:t>
            </w:r>
          </w:p>
        </w:tc>
        <w:tc>
          <w:tcPr>
            <w:tcW w:w="5946" w:type="dxa"/>
            <w:shd w:val="clear" w:color="auto" w:fill="auto"/>
          </w:tcPr>
          <w:p w14:paraId="135C200F"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Introducerea în municipiu a „zilei fără autoturisme” (lunar)</w:t>
            </w:r>
          </w:p>
        </w:tc>
        <w:tc>
          <w:tcPr>
            <w:tcW w:w="1492" w:type="dxa"/>
            <w:shd w:val="clear" w:color="auto" w:fill="auto"/>
          </w:tcPr>
          <w:p w14:paraId="5046949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EBE9CE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196FB8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083D26B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2D021F4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577C65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F0174C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5EA3A2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55C5E30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773128CC" w14:textId="77777777" w:rsidTr="00774C94">
        <w:tc>
          <w:tcPr>
            <w:tcW w:w="718" w:type="dxa"/>
            <w:shd w:val="clear" w:color="auto" w:fill="auto"/>
          </w:tcPr>
          <w:p w14:paraId="4D2E2B2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lastRenderedPageBreak/>
              <w:t>IV.9</w:t>
            </w:r>
          </w:p>
        </w:tc>
        <w:tc>
          <w:tcPr>
            <w:tcW w:w="5946" w:type="dxa"/>
            <w:shd w:val="clear" w:color="auto" w:fill="auto"/>
          </w:tcPr>
          <w:p w14:paraId="7F3B5395"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es-ES" w:eastAsia="zh-CN" w:bidi="hi-IN"/>
              </w:rPr>
            </w:pPr>
            <w:r>
              <w:rPr>
                <w:rFonts w:ascii="Arial" w:hAnsi="Arial" w:cs="Arial"/>
                <w:kern w:val="1"/>
                <w:sz w:val="16"/>
                <w:szCs w:val="16"/>
                <w:lang w:val="es-ES" w:eastAsia="zh-CN" w:bidi="hi-IN"/>
              </w:rPr>
              <w:t>Achiziţia de staţii de încă</w:t>
            </w:r>
            <w:r w:rsidR="00774C94" w:rsidRPr="00774C94">
              <w:rPr>
                <w:rFonts w:ascii="Arial" w:hAnsi="Arial" w:cs="Arial"/>
                <w:kern w:val="1"/>
                <w:sz w:val="16"/>
                <w:szCs w:val="16"/>
                <w:lang w:val="es-ES" w:eastAsia="zh-CN" w:bidi="hi-IN"/>
              </w:rPr>
              <w:t>rcare p</w:t>
            </w:r>
            <w:r>
              <w:rPr>
                <w:rFonts w:ascii="Arial" w:hAnsi="Arial" w:cs="Arial"/>
                <w:kern w:val="1"/>
                <w:sz w:val="16"/>
                <w:szCs w:val="16"/>
                <w:lang w:val="es-ES" w:eastAsia="zh-CN" w:bidi="hi-IN"/>
              </w:rPr>
              <w:t>entru autovehiculele electrice şi amplasarea acestora în principalele zone ale oraş</w:t>
            </w:r>
            <w:r w:rsidR="00774C94" w:rsidRPr="00774C94">
              <w:rPr>
                <w:rFonts w:ascii="Arial" w:hAnsi="Arial" w:cs="Arial"/>
                <w:kern w:val="1"/>
                <w:sz w:val="16"/>
                <w:szCs w:val="16"/>
                <w:lang w:val="es-ES" w:eastAsia="zh-CN" w:bidi="hi-IN"/>
              </w:rPr>
              <w:t>ului</w:t>
            </w:r>
          </w:p>
        </w:tc>
        <w:tc>
          <w:tcPr>
            <w:tcW w:w="1492" w:type="dxa"/>
            <w:shd w:val="clear" w:color="auto" w:fill="auto"/>
          </w:tcPr>
          <w:p w14:paraId="22026D1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 statii</w:t>
            </w:r>
          </w:p>
        </w:tc>
        <w:tc>
          <w:tcPr>
            <w:tcW w:w="1492" w:type="dxa"/>
            <w:shd w:val="clear" w:color="auto" w:fill="auto"/>
          </w:tcPr>
          <w:p w14:paraId="5220163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 euro</w:t>
            </w:r>
          </w:p>
        </w:tc>
        <w:tc>
          <w:tcPr>
            <w:tcW w:w="1492" w:type="dxa"/>
            <w:shd w:val="clear" w:color="auto" w:fill="auto"/>
          </w:tcPr>
          <w:p w14:paraId="34006C4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0F45EFA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0906AA3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5FBBBDD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406EC91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525EF2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77" w:type="dxa"/>
            <w:shd w:val="clear" w:color="auto" w:fill="auto"/>
          </w:tcPr>
          <w:p w14:paraId="4B542C37"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496D8371" w14:textId="77777777" w:rsidTr="00774C94">
        <w:tc>
          <w:tcPr>
            <w:tcW w:w="718" w:type="dxa"/>
            <w:shd w:val="clear" w:color="auto" w:fill="auto"/>
          </w:tcPr>
          <w:p w14:paraId="33F70CC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V.1</w:t>
            </w:r>
          </w:p>
        </w:tc>
        <w:tc>
          <w:tcPr>
            <w:tcW w:w="5946" w:type="dxa"/>
            <w:shd w:val="clear" w:color="auto" w:fill="auto"/>
          </w:tcPr>
          <w:p w14:paraId="27B0F84B"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Derularea unor acţiuni de popularizare referitoare la sistemele de utilizare a autoturismelor proprietate personală: car-sharing, car-pooling, bike-sharing etc.</w:t>
            </w:r>
          </w:p>
        </w:tc>
        <w:tc>
          <w:tcPr>
            <w:tcW w:w="1492" w:type="dxa"/>
            <w:shd w:val="clear" w:color="auto" w:fill="auto"/>
          </w:tcPr>
          <w:p w14:paraId="4B32273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6 campanii publicitare</w:t>
            </w:r>
          </w:p>
        </w:tc>
        <w:tc>
          <w:tcPr>
            <w:tcW w:w="1492" w:type="dxa"/>
            <w:shd w:val="clear" w:color="auto" w:fill="auto"/>
          </w:tcPr>
          <w:p w14:paraId="5E175E3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 euro</w:t>
            </w:r>
          </w:p>
        </w:tc>
        <w:tc>
          <w:tcPr>
            <w:tcW w:w="1492" w:type="dxa"/>
            <w:shd w:val="clear" w:color="auto" w:fill="auto"/>
          </w:tcPr>
          <w:p w14:paraId="418754A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60.000 euro</w:t>
            </w:r>
          </w:p>
        </w:tc>
        <w:tc>
          <w:tcPr>
            <w:tcW w:w="1492" w:type="dxa"/>
            <w:shd w:val="clear" w:color="auto" w:fill="auto"/>
          </w:tcPr>
          <w:p w14:paraId="7FC671B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7B0643E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A68435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CEC70F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5B79AF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0FBFBAC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r>
      <w:tr w:rsidR="00774C94" w:rsidRPr="00774C94" w14:paraId="1B7057BC" w14:textId="77777777" w:rsidTr="00774C94">
        <w:tc>
          <w:tcPr>
            <w:tcW w:w="718" w:type="dxa"/>
            <w:shd w:val="clear" w:color="auto" w:fill="auto"/>
          </w:tcPr>
          <w:p w14:paraId="0958586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V.2</w:t>
            </w:r>
          </w:p>
        </w:tc>
        <w:tc>
          <w:tcPr>
            <w:tcW w:w="5946" w:type="dxa"/>
            <w:shd w:val="clear" w:color="auto" w:fill="auto"/>
          </w:tcPr>
          <w:p w14:paraId="1D440C6F"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ro-RO" w:eastAsia="zh-CN" w:bidi="hi-IN"/>
              </w:rPr>
              <w:t>Implementarea conceptului de zone rezidenţiale</w:t>
            </w:r>
          </w:p>
        </w:tc>
        <w:tc>
          <w:tcPr>
            <w:tcW w:w="1492" w:type="dxa"/>
            <w:shd w:val="clear" w:color="auto" w:fill="auto"/>
          </w:tcPr>
          <w:p w14:paraId="569DCDD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7EEDE6C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07BB32F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39E088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50B975E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5EE44B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50CDFF3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09C57ED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789F89A4"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4D99827A" w14:textId="77777777" w:rsidTr="00774C94">
        <w:tc>
          <w:tcPr>
            <w:tcW w:w="718" w:type="dxa"/>
            <w:shd w:val="clear" w:color="auto" w:fill="auto"/>
          </w:tcPr>
          <w:p w14:paraId="3FE2843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V.3</w:t>
            </w:r>
          </w:p>
        </w:tc>
        <w:tc>
          <w:tcPr>
            <w:tcW w:w="5946" w:type="dxa"/>
            <w:shd w:val="clear" w:color="auto" w:fill="auto"/>
          </w:tcPr>
          <w:p w14:paraId="6FF6FF4E"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es-ES" w:eastAsia="zh-CN" w:bidi="hi-IN"/>
              </w:rPr>
            </w:pPr>
            <w:r>
              <w:rPr>
                <w:rFonts w:ascii="Arial" w:hAnsi="Arial" w:cs="Arial"/>
                <w:kern w:val="1"/>
                <w:sz w:val="16"/>
                <w:szCs w:val="16"/>
                <w:lang w:val="es-ES" w:eastAsia="zh-CN" w:bidi="hi-IN"/>
              </w:rPr>
              <w:t>Restricţ</w:t>
            </w:r>
            <w:r w:rsidR="00774C94" w:rsidRPr="00774C94">
              <w:rPr>
                <w:rFonts w:ascii="Arial" w:hAnsi="Arial" w:cs="Arial"/>
                <w:kern w:val="1"/>
                <w:sz w:val="16"/>
                <w:szCs w:val="16"/>
                <w:lang w:val="es-ES" w:eastAsia="zh-CN" w:bidi="hi-IN"/>
              </w:rPr>
              <w:t>ionarea accesului vehiculelor cu masa au</w:t>
            </w:r>
            <w:r>
              <w:rPr>
                <w:rFonts w:ascii="Arial" w:hAnsi="Arial" w:cs="Arial"/>
                <w:kern w:val="1"/>
                <w:sz w:val="16"/>
                <w:szCs w:val="16"/>
                <w:lang w:val="es-ES" w:eastAsia="zh-CN" w:bidi="hi-IN"/>
              </w:rPr>
              <w:t>torizată</w:t>
            </w:r>
            <w:r w:rsidR="00774C94" w:rsidRPr="00774C94">
              <w:rPr>
                <w:rFonts w:ascii="Arial" w:hAnsi="Arial" w:cs="Arial"/>
                <w:kern w:val="1"/>
                <w:sz w:val="16"/>
                <w:szCs w:val="16"/>
                <w:lang w:val="es-ES" w:eastAsia="zh-CN" w:bidi="hi-IN"/>
              </w:rPr>
              <w:t xml:space="preserve"> mai </w:t>
            </w:r>
            <w:r>
              <w:rPr>
                <w:rFonts w:ascii="Arial" w:hAnsi="Arial" w:cs="Arial"/>
                <w:kern w:val="1"/>
                <w:sz w:val="16"/>
                <w:szCs w:val="16"/>
                <w:lang w:val="es-ES" w:eastAsia="zh-CN" w:bidi="hi-IN"/>
              </w:rPr>
              <w:t>mare de 7,5 t pe teritoriul oraşului, după apariţia şoselei de centură</w:t>
            </w:r>
          </w:p>
        </w:tc>
        <w:tc>
          <w:tcPr>
            <w:tcW w:w="1492" w:type="dxa"/>
            <w:shd w:val="clear" w:color="auto" w:fill="auto"/>
          </w:tcPr>
          <w:p w14:paraId="71AD3E8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1E45CB1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768D14C8" w14:textId="77777777" w:rsidR="00774C94" w:rsidRPr="00774C94" w:rsidRDefault="00774C94" w:rsidP="00774C94">
            <w:pPr>
              <w:widowControl w:val="0"/>
              <w:suppressLineNumbers/>
              <w:tabs>
                <w:tab w:val="left" w:pos="617"/>
                <w:tab w:val="center" w:pos="691"/>
              </w:tab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1D633E4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0359334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0115D47"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0534138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9DE1EB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194D82A4"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50198177" w14:textId="77777777" w:rsidTr="00774C94">
        <w:tc>
          <w:tcPr>
            <w:tcW w:w="718" w:type="dxa"/>
            <w:shd w:val="clear" w:color="auto" w:fill="auto"/>
          </w:tcPr>
          <w:p w14:paraId="152F654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VI.1</w:t>
            </w:r>
          </w:p>
        </w:tc>
        <w:tc>
          <w:tcPr>
            <w:tcW w:w="5946" w:type="dxa"/>
            <w:shd w:val="clear" w:color="auto" w:fill="auto"/>
          </w:tcPr>
          <w:p w14:paraId="564E12CA" w14:textId="62D1AD32"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 xml:space="preserve">Intocmirea de hărţi de răspândire a </w:t>
            </w:r>
            <w:r w:rsidR="00431567">
              <w:rPr>
                <w:rFonts w:ascii="Arial" w:hAnsi="Arial" w:cs="Arial"/>
                <w:kern w:val="1"/>
                <w:sz w:val="16"/>
                <w:szCs w:val="16"/>
                <w:lang w:val="es-ES" w:eastAsia="zh-CN" w:bidi="hi-IN"/>
              </w:rPr>
              <w:t>dotărilor</w:t>
            </w:r>
            <w:r w:rsidRPr="00774C94">
              <w:rPr>
                <w:rFonts w:ascii="Arial" w:hAnsi="Arial" w:cs="Arial"/>
                <w:kern w:val="1"/>
                <w:sz w:val="16"/>
                <w:szCs w:val="16"/>
                <w:lang w:val="es-ES" w:eastAsia="zh-CN" w:bidi="hi-IN"/>
              </w:rPr>
              <w:t xml:space="preserve"> de primă necesitate (următoarele implanturi se vor face numai pe principiul egalei răspândiri în teritoriu)</w:t>
            </w:r>
          </w:p>
        </w:tc>
        <w:tc>
          <w:tcPr>
            <w:tcW w:w="1492" w:type="dxa"/>
            <w:shd w:val="clear" w:color="auto" w:fill="auto"/>
          </w:tcPr>
          <w:p w14:paraId="0C33A4B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443492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1459AE3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F7C458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6D84EB1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F3BCC6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541CD5B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13EDE6F"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13E84130"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0EE1FA7C" w14:textId="77777777" w:rsidTr="00774C94">
        <w:tc>
          <w:tcPr>
            <w:tcW w:w="718" w:type="dxa"/>
            <w:shd w:val="clear" w:color="auto" w:fill="auto"/>
          </w:tcPr>
          <w:p w14:paraId="7D88807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VI.2</w:t>
            </w:r>
          </w:p>
        </w:tc>
        <w:tc>
          <w:tcPr>
            <w:tcW w:w="5946" w:type="dxa"/>
            <w:shd w:val="clear" w:color="auto" w:fill="auto"/>
          </w:tcPr>
          <w:p w14:paraId="78B4D441"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Obligativitatea constituirii unui tandem construcţie – infrastructură pentru acces motorizat, nemotorizat şi spaţiu verde (pentru orice nouă construcţie)</w:t>
            </w:r>
          </w:p>
        </w:tc>
        <w:tc>
          <w:tcPr>
            <w:tcW w:w="1492" w:type="dxa"/>
            <w:shd w:val="clear" w:color="auto" w:fill="auto"/>
          </w:tcPr>
          <w:p w14:paraId="4C3FB40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2EA587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350CAF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D87114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01AE25A3"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0E6A014"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7A97EC2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14B1FDC"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2A11FB49"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6ABBF3D7" w14:textId="77777777" w:rsidTr="00774C94">
        <w:trPr>
          <w:trHeight w:val="379"/>
        </w:trPr>
        <w:tc>
          <w:tcPr>
            <w:tcW w:w="718" w:type="dxa"/>
            <w:shd w:val="clear" w:color="auto" w:fill="auto"/>
          </w:tcPr>
          <w:p w14:paraId="0E532E2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VI.3</w:t>
            </w:r>
          </w:p>
        </w:tc>
        <w:tc>
          <w:tcPr>
            <w:tcW w:w="5946" w:type="dxa"/>
            <w:shd w:val="clear" w:color="auto" w:fill="auto"/>
          </w:tcPr>
          <w:p w14:paraId="281E7678"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Sistem de stimulente pentru amplasarea noilor şcoli, centre de sănătate, centre comerciale, etc. în interiorul sau aproape de cartierele rezidenţiale</w:t>
            </w:r>
          </w:p>
        </w:tc>
        <w:tc>
          <w:tcPr>
            <w:tcW w:w="1492" w:type="dxa"/>
            <w:shd w:val="clear" w:color="auto" w:fill="auto"/>
          </w:tcPr>
          <w:p w14:paraId="33B3AD7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0F11855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2E354AC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D82648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1E5827C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6FBAE41"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7058B1B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5A71CA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47037568"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34A4D7D1" w14:textId="77777777" w:rsidTr="00774C94">
        <w:tc>
          <w:tcPr>
            <w:tcW w:w="718" w:type="dxa"/>
            <w:shd w:val="clear" w:color="auto" w:fill="auto"/>
          </w:tcPr>
          <w:p w14:paraId="47866FD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VII.1</w:t>
            </w:r>
          </w:p>
        </w:tc>
        <w:tc>
          <w:tcPr>
            <w:tcW w:w="5946" w:type="dxa"/>
            <w:shd w:val="clear" w:color="auto" w:fill="auto"/>
          </w:tcPr>
          <w:p w14:paraId="0B7EA604"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 xml:space="preserve">Elaborarea unei politici de </w:t>
            </w:r>
            <w:r w:rsidR="00971732">
              <w:rPr>
                <w:rFonts w:ascii="Arial" w:hAnsi="Arial" w:cs="Arial"/>
                <w:kern w:val="1"/>
                <w:sz w:val="16"/>
                <w:szCs w:val="16"/>
                <w:lang w:val="es-ES" w:eastAsia="zh-CN" w:bidi="hi-IN"/>
              </w:rPr>
              <w:t>parcare pentru mobilitate urbană durabilă</w:t>
            </w:r>
          </w:p>
        </w:tc>
        <w:tc>
          <w:tcPr>
            <w:tcW w:w="1492" w:type="dxa"/>
            <w:shd w:val="clear" w:color="auto" w:fill="auto"/>
          </w:tcPr>
          <w:p w14:paraId="14B39F6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9F7E65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64DB92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100.000 euro</w:t>
            </w:r>
          </w:p>
        </w:tc>
        <w:tc>
          <w:tcPr>
            <w:tcW w:w="1492" w:type="dxa"/>
            <w:shd w:val="clear" w:color="auto" w:fill="auto"/>
          </w:tcPr>
          <w:p w14:paraId="2EC5FE6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500.000 euro</w:t>
            </w:r>
          </w:p>
        </w:tc>
        <w:tc>
          <w:tcPr>
            <w:tcW w:w="359" w:type="dxa"/>
            <w:shd w:val="clear" w:color="auto" w:fill="auto"/>
          </w:tcPr>
          <w:p w14:paraId="7CBE0724"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124D9BB"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DC192E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62D9C0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3EC8B3C1"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623A93C8" w14:textId="77777777" w:rsidTr="00774C94">
        <w:tc>
          <w:tcPr>
            <w:tcW w:w="718" w:type="dxa"/>
            <w:shd w:val="clear" w:color="auto" w:fill="auto"/>
          </w:tcPr>
          <w:p w14:paraId="32F84B9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VII.2</w:t>
            </w:r>
          </w:p>
        </w:tc>
        <w:tc>
          <w:tcPr>
            <w:tcW w:w="5946" w:type="dxa"/>
            <w:shd w:val="clear" w:color="auto" w:fill="auto"/>
          </w:tcPr>
          <w:p w14:paraId="7A779698"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ro-RO" w:eastAsia="zh-CN" w:bidi="hi-IN"/>
              </w:rPr>
              <w:t>Introducerea sistemului de taxare a parcării</w:t>
            </w:r>
          </w:p>
        </w:tc>
        <w:tc>
          <w:tcPr>
            <w:tcW w:w="1492" w:type="dxa"/>
            <w:shd w:val="clear" w:color="auto" w:fill="auto"/>
          </w:tcPr>
          <w:p w14:paraId="58D949C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20 parcometre</w:t>
            </w:r>
          </w:p>
        </w:tc>
        <w:tc>
          <w:tcPr>
            <w:tcW w:w="1492" w:type="dxa"/>
            <w:shd w:val="clear" w:color="auto" w:fill="auto"/>
          </w:tcPr>
          <w:p w14:paraId="22EFCA7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4.000 euro</w:t>
            </w:r>
          </w:p>
        </w:tc>
        <w:tc>
          <w:tcPr>
            <w:tcW w:w="1492" w:type="dxa"/>
            <w:shd w:val="clear" w:color="auto" w:fill="auto"/>
          </w:tcPr>
          <w:p w14:paraId="6437A83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80.000 euro</w:t>
            </w:r>
          </w:p>
        </w:tc>
        <w:tc>
          <w:tcPr>
            <w:tcW w:w="1492" w:type="dxa"/>
            <w:shd w:val="clear" w:color="auto" w:fill="auto"/>
          </w:tcPr>
          <w:p w14:paraId="463C8C5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876.000 euro/an</w:t>
            </w:r>
          </w:p>
        </w:tc>
        <w:tc>
          <w:tcPr>
            <w:tcW w:w="359" w:type="dxa"/>
            <w:shd w:val="clear" w:color="auto" w:fill="auto"/>
          </w:tcPr>
          <w:p w14:paraId="1BE18B7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36B089EF"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2DA85BA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ED120F6"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27EA4A8C"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333AD692" w14:textId="77777777" w:rsidTr="00774C94">
        <w:tc>
          <w:tcPr>
            <w:tcW w:w="718" w:type="dxa"/>
            <w:shd w:val="clear" w:color="auto" w:fill="auto"/>
          </w:tcPr>
          <w:p w14:paraId="7C443EF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VII.3</w:t>
            </w:r>
          </w:p>
        </w:tc>
        <w:tc>
          <w:tcPr>
            <w:tcW w:w="5946" w:type="dxa"/>
            <w:shd w:val="clear" w:color="auto" w:fill="auto"/>
          </w:tcPr>
          <w:p w14:paraId="6130655E"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Construirea de parcări de mare c</w:t>
            </w:r>
            <w:r w:rsidR="00971732">
              <w:rPr>
                <w:rFonts w:ascii="Arial" w:hAnsi="Arial" w:cs="Arial"/>
                <w:kern w:val="1"/>
                <w:sz w:val="16"/>
                <w:szCs w:val="16"/>
                <w:lang w:val="es-ES" w:eastAsia="zh-CN" w:bidi="hi-IN"/>
              </w:rPr>
              <w:t>apacitate (supra şi subterane) şi dotarea cu staţii de încă</w:t>
            </w:r>
            <w:r w:rsidRPr="00774C94">
              <w:rPr>
                <w:rFonts w:ascii="Arial" w:hAnsi="Arial" w:cs="Arial"/>
                <w:kern w:val="1"/>
                <w:sz w:val="16"/>
                <w:szCs w:val="16"/>
                <w:lang w:val="es-ES" w:eastAsia="zh-CN" w:bidi="hi-IN"/>
              </w:rPr>
              <w:t>rcare a vehiculelor electrice</w:t>
            </w:r>
          </w:p>
        </w:tc>
        <w:tc>
          <w:tcPr>
            <w:tcW w:w="1492" w:type="dxa"/>
            <w:shd w:val="clear" w:color="auto" w:fill="auto"/>
          </w:tcPr>
          <w:p w14:paraId="18ADA6A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4 buc.</w:t>
            </w:r>
          </w:p>
          <w:p w14:paraId="58E051C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8 statii</w:t>
            </w:r>
          </w:p>
        </w:tc>
        <w:tc>
          <w:tcPr>
            <w:tcW w:w="1492" w:type="dxa"/>
            <w:shd w:val="clear" w:color="auto" w:fill="auto"/>
          </w:tcPr>
          <w:p w14:paraId="30AD2C3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300.000 euro</w:t>
            </w:r>
          </w:p>
          <w:p w14:paraId="7E85D7F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 euro</w:t>
            </w:r>
          </w:p>
        </w:tc>
        <w:tc>
          <w:tcPr>
            <w:tcW w:w="1492" w:type="dxa"/>
            <w:shd w:val="clear" w:color="auto" w:fill="auto"/>
          </w:tcPr>
          <w:p w14:paraId="6FBA784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1.280.000 euro</w:t>
            </w:r>
          </w:p>
        </w:tc>
        <w:tc>
          <w:tcPr>
            <w:tcW w:w="1492" w:type="dxa"/>
            <w:shd w:val="clear" w:color="auto" w:fill="auto"/>
          </w:tcPr>
          <w:p w14:paraId="5FA5A83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292.000 euro/an</w:t>
            </w:r>
          </w:p>
        </w:tc>
        <w:tc>
          <w:tcPr>
            <w:tcW w:w="359" w:type="dxa"/>
            <w:shd w:val="clear" w:color="auto" w:fill="auto"/>
          </w:tcPr>
          <w:p w14:paraId="71323CA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F4D1514"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3B2E6E6B"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7F4EC3A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0BB4D422"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3AE3CEAF" w14:textId="77777777" w:rsidTr="00774C94">
        <w:tc>
          <w:tcPr>
            <w:tcW w:w="718" w:type="dxa"/>
            <w:shd w:val="clear" w:color="auto" w:fill="auto"/>
          </w:tcPr>
          <w:p w14:paraId="73467E0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VII.4</w:t>
            </w:r>
          </w:p>
        </w:tc>
        <w:tc>
          <w:tcPr>
            <w:tcW w:w="5946" w:type="dxa"/>
            <w:shd w:val="clear" w:color="auto" w:fill="auto"/>
          </w:tcPr>
          <w:p w14:paraId="725E787C" w14:textId="77777777" w:rsidR="00774C94" w:rsidRPr="00774C94" w:rsidRDefault="00774C94" w:rsidP="00774C94">
            <w:pPr>
              <w:widowControl w:val="0"/>
              <w:suppressLineNumbers/>
              <w:suppressAutoHyphens/>
              <w:spacing w:after="0" w:line="240" w:lineRule="auto"/>
              <w:rPr>
                <w:rFonts w:ascii="Arial" w:eastAsia="Arial" w:hAnsi="Arial" w:cs="Arial"/>
                <w:kern w:val="1"/>
                <w:sz w:val="16"/>
                <w:szCs w:val="16"/>
                <w:lang w:val="ro-RO" w:eastAsia="zh-CN" w:bidi="hi-IN"/>
              </w:rPr>
            </w:pPr>
            <w:r w:rsidRPr="00774C94">
              <w:rPr>
                <w:rFonts w:ascii="Arial" w:hAnsi="Arial" w:cs="Arial"/>
                <w:kern w:val="1"/>
                <w:sz w:val="16"/>
                <w:szCs w:val="16"/>
                <w:lang w:val="ro-RO" w:eastAsia="zh-CN" w:bidi="hi-IN"/>
              </w:rPr>
              <w:t>Reglementarea sistemului de transport "park and ride"</w:t>
            </w:r>
          </w:p>
        </w:tc>
        <w:tc>
          <w:tcPr>
            <w:tcW w:w="1492" w:type="dxa"/>
            <w:shd w:val="clear" w:color="auto" w:fill="auto"/>
          </w:tcPr>
          <w:p w14:paraId="2D411D1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 buc.</w:t>
            </w:r>
          </w:p>
        </w:tc>
        <w:tc>
          <w:tcPr>
            <w:tcW w:w="1492" w:type="dxa"/>
            <w:shd w:val="clear" w:color="auto" w:fill="auto"/>
          </w:tcPr>
          <w:p w14:paraId="3604DDE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1.000.000 euro</w:t>
            </w:r>
          </w:p>
        </w:tc>
        <w:tc>
          <w:tcPr>
            <w:tcW w:w="1492" w:type="dxa"/>
            <w:shd w:val="clear" w:color="auto" w:fill="auto"/>
          </w:tcPr>
          <w:p w14:paraId="73C2DB9C" w14:textId="77777777" w:rsidR="00774C94" w:rsidRPr="00774C94" w:rsidRDefault="00774C94" w:rsidP="00774C94">
            <w:pPr>
              <w:widowControl w:val="0"/>
              <w:suppressLineNumbers/>
              <w:tabs>
                <w:tab w:val="left" w:pos="634"/>
                <w:tab w:val="center" w:pos="691"/>
              </w:tab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1.000.000 euro</w:t>
            </w:r>
          </w:p>
        </w:tc>
        <w:tc>
          <w:tcPr>
            <w:tcW w:w="1492" w:type="dxa"/>
            <w:shd w:val="clear" w:color="auto" w:fill="auto"/>
          </w:tcPr>
          <w:p w14:paraId="156FDBF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7F55988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11C91CB5"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B5EFEED"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666CCA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20C4D9C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33DBFCDF" w14:textId="77777777" w:rsidTr="00774C94">
        <w:tc>
          <w:tcPr>
            <w:tcW w:w="718" w:type="dxa"/>
            <w:shd w:val="clear" w:color="auto" w:fill="auto"/>
          </w:tcPr>
          <w:p w14:paraId="507CE12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VII.5</w:t>
            </w:r>
          </w:p>
        </w:tc>
        <w:tc>
          <w:tcPr>
            <w:tcW w:w="5946" w:type="dxa"/>
            <w:shd w:val="clear" w:color="auto" w:fill="auto"/>
          </w:tcPr>
          <w:p w14:paraId="61D72767" w14:textId="77777777" w:rsidR="00774C94" w:rsidRPr="00774C94" w:rsidRDefault="00774C94" w:rsidP="00774C94">
            <w:pPr>
              <w:widowControl w:val="0"/>
              <w:suppressLineNumbers/>
              <w:suppressAutoHyphens/>
              <w:spacing w:after="0" w:line="240" w:lineRule="auto"/>
              <w:rPr>
                <w:rFonts w:ascii="Arial" w:eastAsia="Arial" w:hAnsi="Arial" w:cs="Arial"/>
                <w:kern w:val="1"/>
                <w:sz w:val="16"/>
                <w:szCs w:val="16"/>
                <w:lang w:val="ro-RO" w:eastAsia="zh-CN" w:bidi="hi-IN"/>
              </w:rPr>
            </w:pPr>
            <w:r w:rsidRPr="00774C94">
              <w:rPr>
                <w:rFonts w:ascii="Arial" w:hAnsi="Arial" w:cs="Arial"/>
                <w:kern w:val="1"/>
                <w:sz w:val="16"/>
                <w:szCs w:val="16"/>
                <w:lang w:val="ro-RO" w:eastAsia="zh-CN" w:bidi="hi-IN"/>
              </w:rPr>
              <w:t>Crearea unei baze de date GIS a tutur</w:t>
            </w:r>
            <w:r w:rsidR="00971732">
              <w:rPr>
                <w:rFonts w:ascii="Arial" w:hAnsi="Arial" w:cs="Arial"/>
                <w:kern w:val="1"/>
                <w:sz w:val="16"/>
                <w:szCs w:val="16"/>
                <w:lang w:val="ro-RO" w:eastAsia="zh-CN" w:bidi="hi-IN"/>
              </w:rPr>
              <w:t>or locurilor de parcare din oraş</w:t>
            </w:r>
          </w:p>
        </w:tc>
        <w:tc>
          <w:tcPr>
            <w:tcW w:w="1492" w:type="dxa"/>
            <w:shd w:val="clear" w:color="auto" w:fill="auto"/>
          </w:tcPr>
          <w:p w14:paraId="160F932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6E8C245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115BF9A7" w14:textId="77777777" w:rsidR="00774C94" w:rsidRPr="00774C94" w:rsidRDefault="00774C94" w:rsidP="00774C94">
            <w:pPr>
              <w:widowControl w:val="0"/>
              <w:suppressLineNumbers/>
              <w:tabs>
                <w:tab w:val="left" w:pos="634"/>
                <w:tab w:val="center" w:pos="691"/>
              </w:tab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1085248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5ED6427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5CC12573"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8C69287"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74F0388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77" w:type="dxa"/>
            <w:shd w:val="clear" w:color="auto" w:fill="auto"/>
          </w:tcPr>
          <w:p w14:paraId="3EB4A99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267B07BE" w14:textId="77777777" w:rsidTr="00774C94">
        <w:tc>
          <w:tcPr>
            <w:tcW w:w="718" w:type="dxa"/>
            <w:shd w:val="clear" w:color="auto" w:fill="auto"/>
          </w:tcPr>
          <w:p w14:paraId="1980D52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VIII.1</w:t>
            </w:r>
          </w:p>
        </w:tc>
        <w:tc>
          <w:tcPr>
            <w:tcW w:w="5946" w:type="dxa"/>
            <w:shd w:val="clear" w:color="auto" w:fill="auto"/>
          </w:tcPr>
          <w:p w14:paraId="7E7CE57E" w14:textId="77777777" w:rsidR="00774C94" w:rsidRPr="00774C94" w:rsidRDefault="00774C94" w:rsidP="00774C94">
            <w:pPr>
              <w:widowControl w:val="0"/>
              <w:suppressLineNumbers/>
              <w:suppressAutoHyphens/>
              <w:spacing w:after="0" w:line="240" w:lineRule="auto"/>
              <w:rPr>
                <w:rFonts w:ascii="Arial" w:eastAsia="Arial" w:hAnsi="Arial" w:cs="Arial"/>
                <w:kern w:val="1"/>
                <w:sz w:val="16"/>
                <w:szCs w:val="16"/>
                <w:lang w:val="ro-RO" w:eastAsia="zh-CN" w:bidi="hi-IN"/>
              </w:rPr>
            </w:pPr>
            <w:r w:rsidRPr="00774C94">
              <w:rPr>
                <w:rFonts w:ascii="Arial" w:eastAsia="Arial" w:hAnsi="Arial" w:cs="Arial"/>
                <w:kern w:val="1"/>
                <w:sz w:val="16"/>
                <w:szCs w:val="16"/>
                <w:lang w:val="ro-RO" w:eastAsia="zh-CN" w:bidi="hi-IN"/>
              </w:rPr>
              <w:t>Eliminarea punctelor negre – pietoni</w:t>
            </w:r>
          </w:p>
        </w:tc>
        <w:tc>
          <w:tcPr>
            <w:tcW w:w="1492" w:type="dxa"/>
            <w:shd w:val="clear" w:color="auto" w:fill="auto"/>
          </w:tcPr>
          <w:p w14:paraId="187D0DC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 puncte</w:t>
            </w:r>
          </w:p>
        </w:tc>
        <w:tc>
          <w:tcPr>
            <w:tcW w:w="1492" w:type="dxa"/>
            <w:shd w:val="clear" w:color="auto" w:fill="auto"/>
          </w:tcPr>
          <w:p w14:paraId="10877B9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100.000 euro</w:t>
            </w:r>
          </w:p>
        </w:tc>
        <w:tc>
          <w:tcPr>
            <w:tcW w:w="1492" w:type="dxa"/>
            <w:shd w:val="clear" w:color="auto" w:fill="auto"/>
          </w:tcPr>
          <w:p w14:paraId="389C3A73" w14:textId="77777777" w:rsidR="00774C94" w:rsidRPr="00774C94" w:rsidRDefault="00774C94" w:rsidP="00774C94">
            <w:pPr>
              <w:widowControl w:val="0"/>
              <w:suppressLineNumbers/>
              <w:tabs>
                <w:tab w:val="left" w:pos="634"/>
                <w:tab w:val="center" w:pos="691"/>
              </w:tab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300.000 euro</w:t>
            </w:r>
          </w:p>
        </w:tc>
        <w:tc>
          <w:tcPr>
            <w:tcW w:w="1492" w:type="dxa"/>
            <w:shd w:val="clear" w:color="auto" w:fill="auto"/>
          </w:tcPr>
          <w:p w14:paraId="5C7B204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7A91F6B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4CB3C4A5"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278BBDE4"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3700A66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2EFC775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4EED155B" w14:textId="77777777" w:rsidTr="00774C94">
        <w:tc>
          <w:tcPr>
            <w:tcW w:w="718" w:type="dxa"/>
            <w:shd w:val="clear" w:color="auto" w:fill="auto"/>
          </w:tcPr>
          <w:p w14:paraId="58E4D44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VIII.2</w:t>
            </w:r>
          </w:p>
        </w:tc>
        <w:tc>
          <w:tcPr>
            <w:tcW w:w="5946" w:type="dxa"/>
            <w:shd w:val="clear" w:color="auto" w:fill="auto"/>
          </w:tcPr>
          <w:p w14:paraId="5DB04982" w14:textId="77777777" w:rsidR="00774C94" w:rsidRPr="00774C94" w:rsidRDefault="00774C94" w:rsidP="00774C94">
            <w:pPr>
              <w:widowControl w:val="0"/>
              <w:suppressLineNumbers/>
              <w:suppressAutoHyphens/>
              <w:spacing w:after="0" w:line="240" w:lineRule="auto"/>
              <w:rPr>
                <w:rFonts w:ascii="Arial" w:eastAsia="Arial" w:hAnsi="Arial" w:cs="Arial"/>
                <w:kern w:val="1"/>
                <w:sz w:val="16"/>
                <w:szCs w:val="16"/>
                <w:lang w:val="ro-RO" w:eastAsia="zh-CN" w:bidi="hi-IN"/>
              </w:rPr>
            </w:pPr>
            <w:r w:rsidRPr="00774C94">
              <w:rPr>
                <w:rFonts w:ascii="Arial" w:eastAsia="Arial" w:hAnsi="Arial" w:cs="Arial"/>
                <w:kern w:val="1"/>
                <w:sz w:val="16"/>
                <w:szCs w:val="16"/>
                <w:lang w:val="ro-RO" w:eastAsia="zh-CN" w:bidi="hi-IN"/>
              </w:rPr>
              <w:t>Eliminarea punctelor negre – vehicule</w:t>
            </w:r>
          </w:p>
        </w:tc>
        <w:tc>
          <w:tcPr>
            <w:tcW w:w="1492" w:type="dxa"/>
            <w:shd w:val="clear" w:color="auto" w:fill="auto"/>
          </w:tcPr>
          <w:p w14:paraId="4F00F66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 puncte</w:t>
            </w:r>
          </w:p>
        </w:tc>
        <w:tc>
          <w:tcPr>
            <w:tcW w:w="1492" w:type="dxa"/>
            <w:shd w:val="clear" w:color="auto" w:fill="auto"/>
          </w:tcPr>
          <w:p w14:paraId="72F91EF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100.000 euro</w:t>
            </w:r>
          </w:p>
        </w:tc>
        <w:tc>
          <w:tcPr>
            <w:tcW w:w="1492" w:type="dxa"/>
            <w:shd w:val="clear" w:color="auto" w:fill="auto"/>
          </w:tcPr>
          <w:p w14:paraId="5A25ABE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300.000 euro</w:t>
            </w:r>
          </w:p>
        </w:tc>
        <w:tc>
          <w:tcPr>
            <w:tcW w:w="1492" w:type="dxa"/>
            <w:shd w:val="clear" w:color="auto" w:fill="auto"/>
          </w:tcPr>
          <w:p w14:paraId="724032A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23E40EE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7F1D876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2AE0EE3C"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220500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7CAB33B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1A3A1722" w14:textId="77777777" w:rsidTr="00774C94">
        <w:tc>
          <w:tcPr>
            <w:tcW w:w="718" w:type="dxa"/>
            <w:shd w:val="clear" w:color="auto" w:fill="auto"/>
          </w:tcPr>
          <w:p w14:paraId="78591E5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VIII.3</w:t>
            </w:r>
          </w:p>
        </w:tc>
        <w:tc>
          <w:tcPr>
            <w:tcW w:w="5946" w:type="dxa"/>
            <w:shd w:val="clear" w:color="auto" w:fill="auto"/>
          </w:tcPr>
          <w:p w14:paraId="0DEE1174"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Reabilitarea marcajelor si a semnalizarii pentru pietoni</w:t>
            </w:r>
          </w:p>
        </w:tc>
        <w:tc>
          <w:tcPr>
            <w:tcW w:w="1492" w:type="dxa"/>
            <w:shd w:val="clear" w:color="auto" w:fill="auto"/>
          </w:tcPr>
          <w:p w14:paraId="01204FC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 m</w:t>
            </w:r>
            <w:r w:rsidRPr="00774C94">
              <w:rPr>
                <w:rFonts w:ascii="Arial" w:hAnsi="Arial" w:cs="Arial"/>
                <w:kern w:val="1"/>
                <w:sz w:val="16"/>
                <w:szCs w:val="16"/>
                <w:vertAlign w:val="superscript"/>
                <w:lang w:val="ro-RO" w:eastAsia="zh-CN" w:bidi="hi-IN"/>
              </w:rPr>
              <w:t>2</w:t>
            </w:r>
          </w:p>
        </w:tc>
        <w:tc>
          <w:tcPr>
            <w:tcW w:w="1492" w:type="dxa"/>
            <w:shd w:val="clear" w:color="auto" w:fill="auto"/>
          </w:tcPr>
          <w:p w14:paraId="4FA2624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16 euro/m</w:t>
            </w:r>
            <w:r w:rsidRPr="00774C94">
              <w:rPr>
                <w:rFonts w:ascii="Arial" w:hAnsi="Arial" w:cs="Arial"/>
                <w:kern w:val="1"/>
                <w:sz w:val="16"/>
                <w:szCs w:val="16"/>
                <w:vertAlign w:val="superscript"/>
                <w:lang w:val="ro-RO" w:eastAsia="zh-CN" w:bidi="hi-IN"/>
              </w:rPr>
              <w:t>2</w:t>
            </w:r>
          </w:p>
        </w:tc>
        <w:tc>
          <w:tcPr>
            <w:tcW w:w="1492" w:type="dxa"/>
            <w:shd w:val="clear" w:color="auto" w:fill="auto"/>
          </w:tcPr>
          <w:p w14:paraId="23A24DB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16.000 euro</w:t>
            </w:r>
          </w:p>
        </w:tc>
        <w:tc>
          <w:tcPr>
            <w:tcW w:w="1492" w:type="dxa"/>
            <w:shd w:val="clear" w:color="auto" w:fill="auto"/>
          </w:tcPr>
          <w:p w14:paraId="248B27D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098420D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2CECF216"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90FF3E3"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40C004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2B73F2E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23155693" w14:textId="77777777" w:rsidTr="00774C94">
        <w:tc>
          <w:tcPr>
            <w:tcW w:w="718" w:type="dxa"/>
            <w:shd w:val="clear" w:color="auto" w:fill="auto"/>
          </w:tcPr>
          <w:p w14:paraId="419621F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VIII.4</w:t>
            </w:r>
          </w:p>
        </w:tc>
        <w:tc>
          <w:tcPr>
            <w:tcW w:w="5946" w:type="dxa"/>
            <w:shd w:val="clear" w:color="auto" w:fill="auto"/>
          </w:tcPr>
          <w:p w14:paraId="37A18D18"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Amplasarea marcajelor tactile pentru persoanele cu dizabilitati de vedere la trecerile pentru pietoni</w:t>
            </w:r>
          </w:p>
        </w:tc>
        <w:tc>
          <w:tcPr>
            <w:tcW w:w="1492" w:type="dxa"/>
            <w:shd w:val="clear" w:color="auto" w:fill="auto"/>
          </w:tcPr>
          <w:p w14:paraId="4BAEAA6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 m</w:t>
            </w:r>
            <w:r w:rsidRPr="00774C94">
              <w:rPr>
                <w:rFonts w:ascii="Arial" w:hAnsi="Arial" w:cs="Arial"/>
                <w:kern w:val="1"/>
                <w:sz w:val="16"/>
                <w:szCs w:val="16"/>
                <w:vertAlign w:val="superscript"/>
                <w:lang w:val="ro-RO" w:eastAsia="zh-CN" w:bidi="hi-IN"/>
              </w:rPr>
              <w:t>2</w:t>
            </w:r>
          </w:p>
        </w:tc>
        <w:tc>
          <w:tcPr>
            <w:tcW w:w="1492" w:type="dxa"/>
            <w:shd w:val="clear" w:color="auto" w:fill="auto"/>
          </w:tcPr>
          <w:p w14:paraId="06CD409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90 euro/m</w:t>
            </w:r>
            <w:r w:rsidRPr="00774C94">
              <w:rPr>
                <w:rFonts w:ascii="Arial" w:hAnsi="Arial" w:cs="Arial"/>
                <w:kern w:val="1"/>
                <w:sz w:val="16"/>
                <w:szCs w:val="16"/>
                <w:vertAlign w:val="superscript"/>
                <w:lang w:val="ro-RO" w:eastAsia="zh-CN" w:bidi="hi-IN"/>
              </w:rPr>
              <w:t>2</w:t>
            </w:r>
          </w:p>
        </w:tc>
        <w:tc>
          <w:tcPr>
            <w:tcW w:w="1492" w:type="dxa"/>
            <w:shd w:val="clear" w:color="auto" w:fill="auto"/>
          </w:tcPr>
          <w:p w14:paraId="0B329EC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9.000 euro</w:t>
            </w:r>
          </w:p>
        </w:tc>
        <w:tc>
          <w:tcPr>
            <w:tcW w:w="1492" w:type="dxa"/>
            <w:shd w:val="clear" w:color="auto" w:fill="auto"/>
          </w:tcPr>
          <w:p w14:paraId="30029A5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6EE848E8"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6041E0CB"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5A59B6F8"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3ECD1F2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5E31444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7DB6AFC1" w14:textId="77777777" w:rsidTr="00774C94">
        <w:tc>
          <w:tcPr>
            <w:tcW w:w="718" w:type="dxa"/>
            <w:shd w:val="clear" w:color="auto" w:fill="auto"/>
          </w:tcPr>
          <w:p w14:paraId="04A705C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VIII.5</w:t>
            </w:r>
          </w:p>
        </w:tc>
        <w:tc>
          <w:tcPr>
            <w:tcW w:w="5946" w:type="dxa"/>
            <w:shd w:val="clear" w:color="auto" w:fill="auto"/>
          </w:tcPr>
          <w:p w14:paraId="16950B2B"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Amp</w:t>
            </w:r>
            <w:r w:rsidR="00971732">
              <w:rPr>
                <w:rFonts w:ascii="Arial" w:hAnsi="Arial" w:cs="Arial"/>
                <w:kern w:val="1"/>
                <w:sz w:val="16"/>
                <w:szCs w:val="16"/>
                <w:lang w:val="es-ES" w:eastAsia="zh-CN" w:bidi="hi-IN"/>
              </w:rPr>
              <w:t>lasarea de indicatoare rutiere ş</w:t>
            </w:r>
            <w:r w:rsidRPr="00774C94">
              <w:rPr>
                <w:rFonts w:ascii="Arial" w:hAnsi="Arial" w:cs="Arial"/>
                <w:kern w:val="1"/>
                <w:sz w:val="16"/>
                <w:szCs w:val="16"/>
                <w:lang w:val="es-ES" w:eastAsia="zh-CN" w:bidi="hi-IN"/>
              </w:rPr>
              <w:t>i</w:t>
            </w:r>
            <w:r w:rsidR="00971732">
              <w:rPr>
                <w:rFonts w:ascii="Arial" w:hAnsi="Arial" w:cs="Arial"/>
                <w:kern w:val="1"/>
                <w:sz w:val="16"/>
                <w:szCs w:val="16"/>
                <w:lang w:val="es-ES" w:eastAsia="zh-CN" w:bidi="hi-IN"/>
              </w:rPr>
              <w:t xml:space="preserve"> realizarea de marcaje rutiere î</w:t>
            </w:r>
            <w:r w:rsidRPr="00774C94">
              <w:rPr>
                <w:rFonts w:ascii="Arial" w:hAnsi="Arial" w:cs="Arial"/>
                <w:kern w:val="1"/>
                <w:sz w:val="16"/>
                <w:szCs w:val="16"/>
                <w:lang w:val="es-ES" w:eastAsia="zh-CN" w:bidi="hi-IN"/>
              </w:rPr>
              <w:t xml:space="preserve">n zonele din </w:t>
            </w:r>
            <w:r w:rsidRPr="00774C94">
              <w:rPr>
                <w:rFonts w:ascii="Arial" w:hAnsi="Arial" w:cs="Arial"/>
                <w:kern w:val="1"/>
                <w:sz w:val="16"/>
                <w:szCs w:val="16"/>
                <w:lang w:val="es-ES" w:eastAsia="zh-CN" w:bidi="hi-IN"/>
              </w:rPr>
              <w:lastRenderedPageBreak/>
              <w:t>care acestea lipsesc</w:t>
            </w:r>
          </w:p>
        </w:tc>
        <w:tc>
          <w:tcPr>
            <w:tcW w:w="1492" w:type="dxa"/>
            <w:shd w:val="clear" w:color="auto" w:fill="auto"/>
          </w:tcPr>
          <w:p w14:paraId="6EDA37B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lastRenderedPageBreak/>
              <w:t>100 buc.</w:t>
            </w:r>
          </w:p>
          <w:p w14:paraId="4498C2D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vertAlign w:val="superscript"/>
                <w:lang w:val="ro-RO" w:eastAsia="zh-CN" w:bidi="hi-IN"/>
              </w:rPr>
            </w:pPr>
            <w:r w:rsidRPr="00774C94">
              <w:rPr>
                <w:rFonts w:ascii="Arial" w:hAnsi="Arial" w:cs="Arial"/>
                <w:kern w:val="1"/>
                <w:sz w:val="16"/>
                <w:szCs w:val="16"/>
                <w:lang w:val="ro-RO" w:eastAsia="zh-CN" w:bidi="hi-IN"/>
              </w:rPr>
              <w:lastRenderedPageBreak/>
              <w:t>5.000 m</w:t>
            </w:r>
            <w:r w:rsidRPr="00774C94">
              <w:rPr>
                <w:rFonts w:ascii="Arial" w:hAnsi="Arial" w:cs="Arial"/>
                <w:kern w:val="1"/>
                <w:sz w:val="16"/>
                <w:szCs w:val="16"/>
                <w:vertAlign w:val="superscript"/>
                <w:lang w:val="ro-RO" w:eastAsia="zh-CN" w:bidi="hi-IN"/>
              </w:rPr>
              <w:t>2</w:t>
            </w:r>
          </w:p>
        </w:tc>
        <w:tc>
          <w:tcPr>
            <w:tcW w:w="1492" w:type="dxa"/>
            <w:shd w:val="clear" w:color="auto" w:fill="auto"/>
          </w:tcPr>
          <w:p w14:paraId="3378B8D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lastRenderedPageBreak/>
              <w:t>100 euro</w:t>
            </w:r>
          </w:p>
          <w:p w14:paraId="39588D3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lastRenderedPageBreak/>
              <w:t>16 euro/m</w:t>
            </w:r>
            <w:r w:rsidRPr="00774C94">
              <w:rPr>
                <w:rFonts w:ascii="Arial" w:hAnsi="Arial" w:cs="Arial"/>
                <w:kern w:val="1"/>
                <w:sz w:val="16"/>
                <w:szCs w:val="16"/>
                <w:vertAlign w:val="superscript"/>
                <w:lang w:val="ro-RO" w:eastAsia="zh-CN" w:bidi="hi-IN"/>
              </w:rPr>
              <w:t>2</w:t>
            </w:r>
          </w:p>
        </w:tc>
        <w:tc>
          <w:tcPr>
            <w:tcW w:w="1492" w:type="dxa"/>
            <w:shd w:val="clear" w:color="auto" w:fill="auto"/>
          </w:tcPr>
          <w:p w14:paraId="152E40C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lastRenderedPageBreak/>
              <w:t>10.000 euro</w:t>
            </w:r>
          </w:p>
          <w:p w14:paraId="2A7835A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lastRenderedPageBreak/>
              <w:t>80.000 euro</w:t>
            </w:r>
          </w:p>
        </w:tc>
        <w:tc>
          <w:tcPr>
            <w:tcW w:w="1492" w:type="dxa"/>
            <w:shd w:val="clear" w:color="auto" w:fill="auto"/>
          </w:tcPr>
          <w:p w14:paraId="60AE872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lastRenderedPageBreak/>
              <w:t>-</w:t>
            </w:r>
          </w:p>
        </w:tc>
        <w:tc>
          <w:tcPr>
            <w:tcW w:w="359" w:type="dxa"/>
            <w:shd w:val="clear" w:color="auto" w:fill="auto"/>
          </w:tcPr>
          <w:p w14:paraId="2283D450"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3674BF2E"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37D71171"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50C4EBB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2D930F1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669955E4" w14:textId="77777777" w:rsidTr="00774C94">
        <w:tc>
          <w:tcPr>
            <w:tcW w:w="718" w:type="dxa"/>
            <w:shd w:val="clear" w:color="auto" w:fill="auto"/>
          </w:tcPr>
          <w:p w14:paraId="64818D7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VIII.6</w:t>
            </w:r>
          </w:p>
        </w:tc>
        <w:tc>
          <w:tcPr>
            <w:tcW w:w="5946" w:type="dxa"/>
            <w:shd w:val="clear" w:color="auto" w:fill="auto"/>
          </w:tcPr>
          <w:p w14:paraId="591D5FA7"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es-ES" w:eastAsia="zh-CN" w:bidi="hi-IN"/>
              </w:rPr>
            </w:pPr>
            <w:r>
              <w:rPr>
                <w:rFonts w:ascii="Arial" w:hAnsi="Arial" w:cs="Arial"/>
                <w:kern w:val="1"/>
                <w:sz w:val="16"/>
                <w:szCs w:val="16"/>
                <w:lang w:val="es-ES" w:eastAsia="zh-CN" w:bidi="hi-IN"/>
              </w:rPr>
              <w:t>Campanii de educaţie rutieră în ş</w:t>
            </w:r>
            <w:r w:rsidR="00774C94" w:rsidRPr="00774C94">
              <w:rPr>
                <w:rFonts w:ascii="Arial" w:hAnsi="Arial" w:cs="Arial"/>
                <w:kern w:val="1"/>
                <w:sz w:val="16"/>
                <w:szCs w:val="16"/>
                <w:lang w:val="es-ES" w:eastAsia="zh-CN" w:bidi="hi-IN"/>
              </w:rPr>
              <w:t>coli</w:t>
            </w:r>
          </w:p>
        </w:tc>
        <w:tc>
          <w:tcPr>
            <w:tcW w:w="1492" w:type="dxa"/>
            <w:shd w:val="clear" w:color="auto" w:fill="auto"/>
          </w:tcPr>
          <w:p w14:paraId="56EB7DC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2346368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57A5D79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104BB45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43512459"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AEC4885"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75A6D627"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C728D1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719B1C4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10564841" w14:textId="77777777" w:rsidTr="00774C94">
        <w:tc>
          <w:tcPr>
            <w:tcW w:w="718" w:type="dxa"/>
            <w:shd w:val="clear" w:color="auto" w:fill="auto"/>
          </w:tcPr>
          <w:p w14:paraId="2380F45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VIII.7</w:t>
            </w:r>
          </w:p>
        </w:tc>
        <w:tc>
          <w:tcPr>
            <w:tcW w:w="5946" w:type="dxa"/>
            <w:shd w:val="clear" w:color="auto" w:fill="auto"/>
          </w:tcPr>
          <w:p w14:paraId="252B0972"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es-ES" w:eastAsia="zh-CN" w:bidi="hi-IN"/>
              </w:rPr>
            </w:pPr>
            <w:r>
              <w:rPr>
                <w:rFonts w:ascii="Arial" w:hAnsi="Arial" w:cs="Arial"/>
                <w:kern w:val="1"/>
                <w:sz w:val="16"/>
                <w:szCs w:val="16"/>
                <w:lang w:val="es-ES" w:eastAsia="zh-CN" w:bidi="hi-IN"/>
              </w:rPr>
              <w:t>Mobilitate fără</w:t>
            </w:r>
            <w:r w:rsidR="00774C94" w:rsidRPr="00774C94">
              <w:rPr>
                <w:rFonts w:ascii="Arial" w:hAnsi="Arial" w:cs="Arial"/>
                <w:kern w:val="1"/>
                <w:sz w:val="16"/>
                <w:szCs w:val="16"/>
                <w:lang w:val="es-ES" w:eastAsia="zh-CN" w:bidi="hi-IN"/>
              </w:rPr>
              <w:t xml:space="preserve"> bariere</w:t>
            </w:r>
          </w:p>
        </w:tc>
        <w:tc>
          <w:tcPr>
            <w:tcW w:w="1492" w:type="dxa"/>
            <w:shd w:val="clear" w:color="auto" w:fill="auto"/>
          </w:tcPr>
          <w:p w14:paraId="7F1631B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 sisteme</w:t>
            </w:r>
          </w:p>
        </w:tc>
        <w:tc>
          <w:tcPr>
            <w:tcW w:w="1492" w:type="dxa"/>
            <w:shd w:val="clear" w:color="auto" w:fill="auto"/>
          </w:tcPr>
          <w:p w14:paraId="117DB7A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 euro</w:t>
            </w:r>
          </w:p>
        </w:tc>
        <w:tc>
          <w:tcPr>
            <w:tcW w:w="1492" w:type="dxa"/>
            <w:shd w:val="clear" w:color="auto" w:fill="auto"/>
          </w:tcPr>
          <w:p w14:paraId="1EFC80A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 euro</w:t>
            </w:r>
          </w:p>
        </w:tc>
        <w:tc>
          <w:tcPr>
            <w:tcW w:w="1492" w:type="dxa"/>
            <w:shd w:val="clear" w:color="auto" w:fill="auto"/>
          </w:tcPr>
          <w:p w14:paraId="57DF61F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2FBE8438"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AE32E5D"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8766D58"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324D8E5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645AF42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584ABAB4" w14:textId="77777777" w:rsidTr="00774C94">
        <w:trPr>
          <w:trHeight w:val="343"/>
        </w:trPr>
        <w:tc>
          <w:tcPr>
            <w:tcW w:w="718" w:type="dxa"/>
            <w:shd w:val="clear" w:color="auto" w:fill="auto"/>
          </w:tcPr>
          <w:p w14:paraId="591E9A4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IX.2</w:t>
            </w:r>
          </w:p>
        </w:tc>
        <w:tc>
          <w:tcPr>
            <w:tcW w:w="5946" w:type="dxa"/>
            <w:shd w:val="clear" w:color="auto" w:fill="auto"/>
          </w:tcPr>
          <w:p w14:paraId="0611D6F6"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Reabilitarea şi modernizarea infrastructurii rutiere</w:t>
            </w:r>
          </w:p>
        </w:tc>
        <w:tc>
          <w:tcPr>
            <w:tcW w:w="1492" w:type="dxa"/>
            <w:shd w:val="clear" w:color="auto" w:fill="auto"/>
          </w:tcPr>
          <w:p w14:paraId="7570592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36 km</w:t>
            </w:r>
          </w:p>
        </w:tc>
        <w:tc>
          <w:tcPr>
            <w:tcW w:w="1492" w:type="dxa"/>
            <w:shd w:val="clear" w:color="auto" w:fill="auto"/>
          </w:tcPr>
          <w:p w14:paraId="721A344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400.000 euro</w:t>
            </w:r>
          </w:p>
        </w:tc>
        <w:tc>
          <w:tcPr>
            <w:tcW w:w="1492" w:type="dxa"/>
            <w:shd w:val="clear" w:color="auto" w:fill="auto"/>
          </w:tcPr>
          <w:p w14:paraId="7255016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14.400.000 euro</w:t>
            </w:r>
          </w:p>
        </w:tc>
        <w:tc>
          <w:tcPr>
            <w:tcW w:w="1492" w:type="dxa"/>
            <w:shd w:val="clear" w:color="auto" w:fill="auto"/>
          </w:tcPr>
          <w:p w14:paraId="4222C1E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4A748DE9"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474EDD2"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4D48ABF"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28DBAC2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0E68748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75063546" w14:textId="77777777" w:rsidTr="00774C94">
        <w:trPr>
          <w:trHeight w:val="397"/>
        </w:trPr>
        <w:tc>
          <w:tcPr>
            <w:tcW w:w="718" w:type="dxa"/>
            <w:shd w:val="clear" w:color="auto" w:fill="auto"/>
          </w:tcPr>
          <w:p w14:paraId="45E9618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IX.3</w:t>
            </w:r>
          </w:p>
        </w:tc>
        <w:tc>
          <w:tcPr>
            <w:tcW w:w="5946" w:type="dxa"/>
            <w:shd w:val="clear" w:color="auto" w:fill="auto"/>
          </w:tcPr>
          <w:p w14:paraId="25508072"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es-ES" w:eastAsia="zh-CN" w:bidi="hi-IN"/>
              </w:rPr>
            </w:pPr>
            <w:r>
              <w:rPr>
                <w:rFonts w:ascii="Arial" w:hAnsi="Arial" w:cs="Arial"/>
                <w:kern w:val="1"/>
                <w:sz w:val="16"/>
                <w:szCs w:val="16"/>
                <w:lang w:val="es-ES" w:eastAsia="zh-CN" w:bidi="hi-IN"/>
              </w:rPr>
              <w:t>Reamenajarea intersecţiilor cu nivel de serviciu scă</w:t>
            </w:r>
            <w:r w:rsidR="00774C94" w:rsidRPr="00774C94">
              <w:rPr>
                <w:rFonts w:ascii="Arial" w:hAnsi="Arial" w:cs="Arial"/>
                <w:kern w:val="1"/>
                <w:sz w:val="16"/>
                <w:szCs w:val="16"/>
                <w:lang w:val="es-ES" w:eastAsia="zh-CN" w:bidi="hi-IN"/>
              </w:rPr>
              <w:t>zut</w:t>
            </w:r>
          </w:p>
        </w:tc>
        <w:tc>
          <w:tcPr>
            <w:tcW w:w="1492" w:type="dxa"/>
            <w:shd w:val="clear" w:color="auto" w:fill="auto"/>
          </w:tcPr>
          <w:p w14:paraId="1C5C528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 intersectii</w:t>
            </w:r>
          </w:p>
        </w:tc>
        <w:tc>
          <w:tcPr>
            <w:tcW w:w="1492" w:type="dxa"/>
            <w:shd w:val="clear" w:color="auto" w:fill="auto"/>
          </w:tcPr>
          <w:p w14:paraId="1CD7F3D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300.000 euro</w:t>
            </w:r>
          </w:p>
        </w:tc>
        <w:tc>
          <w:tcPr>
            <w:tcW w:w="1492" w:type="dxa"/>
            <w:shd w:val="clear" w:color="auto" w:fill="auto"/>
          </w:tcPr>
          <w:p w14:paraId="23B177C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900.000 euro</w:t>
            </w:r>
          </w:p>
        </w:tc>
        <w:tc>
          <w:tcPr>
            <w:tcW w:w="1492" w:type="dxa"/>
            <w:shd w:val="clear" w:color="auto" w:fill="auto"/>
          </w:tcPr>
          <w:p w14:paraId="6A4D323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2E8C137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ED29703"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7FF83A6F"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0E6A73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5BA8C7C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5CC465AD" w14:textId="77777777" w:rsidTr="00774C94">
        <w:tc>
          <w:tcPr>
            <w:tcW w:w="718" w:type="dxa"/>
            <w:shd w:val="clear" w:color="auto" w:fill="auto"/>
          </w:tcPr>
          <w:p w14:paraId="0A36BFE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IX.4</w:t>
            </w:r>
          </w:p>
        </w:tc>
        <w:tc>
          <w:tcPr>
            <w:tcW w:w="5946" w:type="dxa"/>
            <w:shd w:val="clear" w:color="auto" w:fill="auto"/>
          </w:tcPr>
          <w:p w14:paraId="716CFC52"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Introducerea de sensuri unice</w:t>
            </w:r>
          </w:p>
        </w:tc>
        <w:tc>
          <w:tcPr>
            <w:tcW w:w="1492" w:type="dxa"/>
            <w:shd w:val="clear" w:color="auto" w:fill="auto"/>
          </w:tcPr>
          <w:p w14:paraId="7D18DC3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DC4D85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3AD2C0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657F8E0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697912F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4DA4954"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53BF80E"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08A7F11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2DD8446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1CE00BD7" w14:textId="77777777" w:rsidTr="00774C94">
        <w:tc>
          <w:tcPr>
            <w:tcW w:w="718" w:type="dxa"/>
            <w:shd w:val="clear" w:color="auto" w:fill="auto"/>
          </w:tcPr>
          <w:p w14:paraId="757D844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IX.5</w:t>
            </w:r>
          </w:p>
        </w:tc>
        <w:tc>
          <w:tcPr>
            <w:tcW w:w="5946" w:type="dxa"/>
            <w:shd w:val="clear" w:color="auto" w:fill="auto"/>
          </w:tcPr>
          <w:p w14:paraId="6B4856E1"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ro-RO" w:eastAsia="zh-CN" w:bidi="hi-IN"/>
              </w:rPr>
            </w:pPr>
            <w:r>
              <w:rPr>
                <w:rFonts w:ascii="Arial" w:hAnsi="Arial" w:cs="Arial"/>
                <w:kern w:val="1"/>
                <w:sz w:val="16"/>
                <w:szCs w:val="16"/>
                <w:lang w:val="ro-RO" w:eastAsia="zh-CN" w:bidi="hi-IN"/>
              </w:rPr>
              <w:t>Realizare străpungere între str. Zăvoiului ş</w:t>
            </w:r>
            <w:r w:rsidR="00774C94" w:rsidRPr="00774C94">
              <w:rPr>
                <w:rFonts w:ascii="Arial" w:hAnsi="Arial" w:cs="Arial"/>
                <w:kern w:val="1"/>
                <w:sz w:val="16"/>
                <w:szCs w:val="16"/>
                <w:lang w:val="ro-RO" w:eastAsia="zh-CN" w:bidi="hi-IN"/>
              </w:rPr>
              <w:t>i str. Alex. Ioan Cuza</w:t>
            </w:r>
          </w:p>
        </w:tc>
        <w:tc>
          <w:tcPr>
            <w:tcW w:w="1492" w:type="dxa"/>
            <w:shd w:val="clear" w:color="auto" w:fill="auto"/>
          </w:tcPr>
          <w:p w14:paraId="5139F3D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0,200 km</w:t>
            </w:r>
          </w:p>
        </w:tc>
        <w:tc>
          <w:tcPr>
            <w:tcW w:w="1492" w:type="dxa"/>
            <w:shd w:val="clear" w:color="auto" w:fill="auto"/>
          </w:tcPr>
          <w:p w14:paraId="374C73E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400.000 euro</w:t>
            </w:r>
          </w:p>
        </w:tc>
        <w:tc>
          <w:tcPr>
            <w:tcW w:w="1492" w:type="dxa"/>
            <w:shd w:val="clear" w:color="auto" w:fill="auto"/>
          </w:tcPr>
          <w:p w14:paraId="0B07DF0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80.000 euro</w:t>
            </w:r>
          </w:p>
        </w:tc>
        <w:tc>
          <w:tcPr>
            <w:tcW w:w="1492" w:type="dxa"/>
            <w:shd w:val="clear" w:color="auto" w:fill="auto"/>
          </w:tcPr>
          <w:p w14:paraId="4803F585" w14:textId="77777777" w:rsidR="00774C94" w:rsidRPr="00774C94" w:rsidRDefault="00774C94" w:rsidP="00774C94">
            <w:pPr>
              <w:widowControl w:val="0"/>
              <w:suppressLineNumbers/>
              <w:suppressAutoHyphens/>
              <w:spacing w:after="0" w:line="240" w:lineRule="auto"/>
              <w:jc w:val="center"/>
              <w:rPr>
                <w:rFonts w:ascii="Arial" w:hAnsi="Arial" w:cs="Arial"/>
                <w:color w:val="FF0000"/>
                <w:kern w:val="1"/>
                <w:sz w:val="16"/>
                <w:szCs w:val="16"/>
                <w:lang w:val="ro-RO" w:eastAsia="zh-CN" w:bidi="hi-IN"/>
              </w:rPr>
            </w:pPr>
            <w:r w:rsidRPr="00774C94">
              <w:rPr>
                <w:rFonts w:ascii="Arial" w:hAnsi="Arial" w:cs="Arial"/>
                <w:color w:val="FF0000"/>
                <w:kern w:val="1"/>
                <w:sz w:val="16"/>
                <w:szCs w:val="16"/>
                <w:lang w:val="ro-RO" w:eastAsia="zh-CN" w:bidi="hi-IN"/>
              </w:rPr>
              <w:t>-</w:t>
            </w:r>
          </w:p>
        </w:tc>
        <w:tc>
          <w:tcPr>
            <w:tcW w:w="359" w:type="dxa"/>
            <w:shd w:val="clear" w:color="auto" w:fill="auto"/>
          </w:tcPr>
          <w:p w14:paraId="5AEED15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6E1271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56A61B5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3D748F7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3BB1539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r>
      <w:tr w:rsidR="00774C94" w:rsidRPr="00774C94" w14:paraId="12A6CF57" w14:textId="77777777" w:rsidTr="00774C94">
        <w:tc>
          <w:tcPr>
            <w:tcW w:w="718" w:type="dxa"/>
            <w:shd w:val="clear" w:color="auto" w:fill="auto"/>
          </w:tcPr>
          <w:p w14:paraId="5A32FDF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X.1</w:t>
            </w:r>
          </w:p>
        </w:tc>
        <w:tc>
          <w:tcPr>
            <w:tcW w:w="5946" w:type="dxa"/>
            <w:shd w:val="clear" w:color="auto" w:fill="auto"/>
          </w:tcPr>
          <w:p w14:paraId="7146A64D"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Introducerea sistemului de tra</w:t>
            </w:r>
            <w:r w:rsidR="00971732">
              <w:rPr>
                <w:rFonts w:ascii="Arial" w:hAnsi="Arial" w:cs="Arial"/>
                <w:kern w:val="1"/>
                <w:sz w:val="16"/>
                <w:szCs w:val="16"/>
                <w:lang w:val="ro-RO" w:eastAsia="zh-CN" w:bidi="hi-IN"/>
              </w:rPr>
              <w:t>nsport public local, inclusiv către localităţile componente ale oraş</w:t>
            </w:r>
            <w:r w:rsidRPr="00774C94">
              <w:rPr>
                <w:rFonts w:ascii="Arial" w:hAnsi="Arial" w:cs="Arial"/>
                <w:kern w:val="1"/>
                <w:sz w:val="16"/>
                <w:szCs w:val="16"/>
                <w:lang w:val="ro-RO" w:eastAsia="zh-CN" w:bidi="hi-IN"/>
              </w:rPr>
              <w:t>ului</w:t>
            </w:r>
          </w:p>
        </w:tc>
        <w:tc>
          <w:tcPr>
            <w:tcW w:w="1492" w:type="dxa"/>
            <w:shd w:val="clear" w:color="auto" w:fill="auto"/>
          </w:tcPr>
          <w:p w14:paraId="3E66DE8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0B745D0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0A21A9E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8803DB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color w:val="FF0000"/>
                <w:kern w:val="1"/>
                <w:sz w:val="16"/>
                <w:szCs w:val="16"/>
                <w:lang w:val="ro-RO" w:eastAsia="zh-CN" w:bidi="hi-IN"/>
              </w:rPr>
              <w:t>-</w:t>
            </w:r>
          </w:p>
        </w:tc>
        <w:tc>
          <w:tcPr>
            <w:tcW w:w="359" w:type="dxa"/>
            <w:shd w:val="clear" w:color="auto" w:fill="auto"/>
          </w:tcPr>
          <w:p w14:paraId="7ACC68C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0EDD59B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5CC781D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CCD166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12E2676F"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11B645A6" w14:textId="77777777" w:rsidTr="00774C94">
        <w:tc>
          <w:tcPr>
            <w:tcW w:w="718" w:type="dxa"/>
            <w:shd w:val="clear" w:color="auto" w:fill="auto"/>
          </w:tcPr>
          <w:p w14:paraId="246CF10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X.2</w:t>
            </w:r>
          </w:p>
        </w:tc>
        <w:tc>
          <w:tcPr>
            <w:tcW w:w="5946" w:type="dxa"/>
            <w:shd w:val="clear" w:color="auto" w:fill="auto"/>
          </w:tcPr>
          <w:p w14:paraId="026885A0" w14:textId="77777777" w:rsidR="00774C94" w:rsidRPr="00774C94" w:rsidRDefault="00774C94" w:rsidP="00774C94">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 xml:space="preserve">Amenajarea </w:t>
            </w:r>
            <w:r w:rsidR="00971732">
              <w:rPr>
                <w:rFonts w:ascii="Arial" w:hAnsi="Arial" w:cs="Arial"/>
                <w:kern w:val="1"/>
                <w:sz w:val="16"/>
                <w:szCs w:val="16"/>
                <w:lang w:val="es-ES" w:eastAsia="zh-CN" w:bidi="hi-IN"/>
              </w:rPr>
              <w:t>şi dotarea corespunză</w:t>
            </w:r>
            <w:r w:rsidRPr="00774C94">
              <w:rPr>
                <w:rFonts w:ascii="Arial" w:hAnsi="Arial" w:cs="Arial"/>
                <w:kern w:val="1"/>
                <w:sz w:val="16"/>
                <w:szCs w:val="16"/>
                <w:lang w:val="es-ES" w:eastAsia="zh-CN" w:bidi="hi-IN"/>
              </w:rPr>
              <w:t>toare a noilor stații pentru îmbarcarea-debarcarea calatorilor (și uniformizarea-personalizarea acestor puncte de contact între operator și public), inclu</w:t>
            </w:r>
            <w:r w:rsidR="00971732">
              <w:rPr>
                <w:rFonts w:ascii="Arial" w:hAnsi="Arial" w:cs="Arial"/>
                <w:kern w:val="1"/>
                <w:sz w:val="16"/>
                <w:szCs w:val="16"/>
                <w:lang w:val="es-ES" w:eastAsia="zh-CN" w:bidi="hi-IN"/>
              </w:rPr>
              <w:t>siv cu sisteme de informare a călătorilor î</w:t>
            </w:r>
            <w:r w:rsidRPr="00774C94">
              <w:rPr>
                <w:rFonts w:ascii="Arial" w:hAnsi="Arial" w:cs="Arial"/>
                <w:kern w:val="1"/>
                <w:sz w:val="16"/>
                <w:szCs w:val="16"/>
                <w:lang w:val="es-ES" w:eastAsia="zh-CN" w:bidi="hi-IN"/>
              </w:rPr>
              <w:t>n timp real</w:t>
            </w:r>
          </w:p>
        </w:tc>
        <w:tc>
          <w:tcPr>
            <w:tcW w:w="1492" w:type="dxa"/>
            <w:shd w:val="clear" w:color="auto" w:fill="auto"/>
          </w:tcPr>
          <w:p w14:paraId="7EDAEEF0"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 buc.</w:t>
            </w:r>
          </w:p>
        </w:tc>
        <w:tc>
          <w:tcPr>
            <w:tcW w:w="1492" w:type="dxa"/>
            <w:shd w:val="clear" w:color="auto" w:fill="auto"/>
          </w:tcPr>
          <w:p w14:paraId="300D66A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25.000 euro</w:t>
            </w:r>
          </w:p>
        </w:tc>
        <w:tc>
          <w:tcPr>
            <w:tcW w:w="1492" w:type="dxa"/>
            <w:shd w:val="clear" w:color="auto" w:fill="auto"/>
          </w:tcPr>
          <w:p w14:paraId="0D27C9A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1.250.000 euro</w:t>
            </w:r>
          </w:p>
        </w:tc>
        <w:tc>
          <w:tcPr>
            <w:tcW w:w="1492" w:type="dxa"/>
            <w:shd w:val="clear" w:color="auto" w:fill="auto"/>
          </w:tcPr>
          <w:p w14:paraId="4A6F828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32EF48B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0C65061"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73066B4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584EA56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5C2BA719"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1FAE89D2" w14:textId="77777777" w:rsidTr="00774C94">
        <w:tc>
          <w:tcPr>
            <w:tcW w:w="718" w:type="dxa"/>
            <w:shd w:val="clear" w:color="auto" w:fill="auto"/>
          </w:tcPr>
          <w:p w14:paraId="189AA36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X.3</w:t>
            </w:r>
          </w:p>
        </w:tc>
        <w:tc>
          <w:tcPr>
            <w:tcW w:w="5946" w:type="dxa"/>
            <w:shd w:val="clear" w:color="auto" w:fill="auto"/>
          </w:tcPr>
          <w:p w14:paraId="7F7CA0A7"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es-ES" w:eastAsia="zh-CN" w:bidi="hi-IN"/>
              </w:rPr>
            </w:pPr>
            <w:r>
              <w:rPr>
                <w:rFonts w:ascii="Arial" w:hAnsi="Arial" w:cs="Arial"/>
                <w:kern w:val="1"/>
                <w:sz w:val="16"/>
                <w:szCs w:val="16"/>
                <w:lang w:val="es-ES" w:eastAsia="zh-CN" w:bidi="hi-IN"/>
              </w:rPr>
              <w:t>achiziţ</w:t>
            </w:r>
            <w:r w:rsidR="00774C94" w:rsidRPr="00774C94">
              <w:rPr>
                <w:rFonts w:ascii="Arial" w:hAnsi="Arial" w:cs="Arial"/>
                <w:kern w:val="1"/>
                <w:sz w:val="16"/>
                <w:szCs w:val="16"/>
                <w:lang w:val="es-ES" w:eastAsia="zh-CN" w:bidi="hi-IN"/>
              </w:rPr>
              <w:t>ia unui parc de mijloace de transport în comun cu combustibili alternativi sau electrice pentru serviciul de transport public</w:t>
            </w:r>
          </w:p>
        </w:tc>
        <w:tc>
          <w:tcPr>
            <w:tcW w:w="1492" w:type="dxa"/>
            <w:shd w:val="clear" w:color="auto" w:fill="auto"/>
          </w:tcPr>
          <w:p w14:paraId="6B2C23D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7 midibuze</w:t>
            </w:r>
          </w:p>
          <w:p w14:paraId="17690FE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electrice</w:t>
            </w:r>
          </w:p>
        </w:tc>
        <w:tc>
          <w:tcPr>
            <w:tcW w:w="1492" w:type="dxa"/>
            <w:shd w:val="clear" w:color="auto" w:fill="auto"/>
          </w:tcPr>
          <w:p w14:paraId="3495094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300.000 euro</w:t>
            </w:r>
          </w:p>
          <w:p w14:paraId="5491F79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1492" w:type="dxa"/>
            <w:shd w:val="clear" w:color="auto" w:fill="auto"/>
          </w:tcPr>
          <w:p w14:paraId="7ED4D71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2.100.000 euro</w:t>
            </w:r>
          </w:p>
        </w:tc>
        <w:tc>
          <w:tcPr>
            <w:tcW w:w="1492" w:type="dxa"/>
            <w:shd w:val="clear" w:color="auto" w:fill="auto"/>
          </w:tcPr>
          <w:p w14:paraId="464C68C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7C5C181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4162CD5"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1C2E3F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CB1171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30CF66FB" w14:textId="77777777" w:rsidR="00774C94" w:rsidRPr="00774C94" w:rsidRDefault="00774C94" w:rsidP="00774C94">
            <w:pPr>
              <w:widowControl w:val="0"/>
              <w:suppressLineNumbers/>
              <w:suppressAutoHyphens/>
              <w:spacing w:after="0" w:line="240" w:lineRule="auto"/>
              <w:jc w:val="center"/>
              <w:rPr>
                <w:rFonts w:ascii="Arial" w:hAnsi="Arial" w:cs="Mangal"/>
                <w:kern w:val="1"/>
                <w:sz w:val="20"/>
                <w:szCs w:val="24"/>
                <w:lang w:val="ro-RO" w:eastAsia="zh-CN" w:bidi="hi-IN"/>
              </w:rPr>
            </w:pPr>
            <w:r w:rsidRPr="00774C94">
              <w:rPr>
                <w:rFonts w:ascii="Arial" w:hAnsi="Arial" w:cs="Arial"/>
                <w:kern w:val="1"/>
                <w:sz w:val="16"/>
                <w:szCs w:val="16"/>
                <w:lang w:val="ro-RO" w:eastAsia="zh-CN" w:bidi="hi-IN"/>
              </w:rPr>
              <w:t>x</w:t>
            </w:r>
          </w:p>
        </w:tc>
      </w:tr>
      <w:tr w:rsidR="00774C94" w:rsidRPr="00774C94" w14:paraId="31AEC0FC" w14:textId="77777777" w:rsidTr="00774C94">
        <w:tc>
          <w:tcPr>
            <w:tcW w:w="718" w:type="dxa"/>
            <w:shd w:val="clear" w:color="auto" w:fill="auto"/>
          </w:tcPr>
          <w:p w14:paraId="05EA009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X.4</w:t>
            </w:r>
          </w:p>
        </w:tc>
        <w:tc>
          <w:tcPr>
            <w:tcW w:w="5946" w:type="dxa"/>
            <w:shd w:val="clear" w:color="auto" w:fill="auto"/>
          </w:tcPr>
          <w:p w14:paraId="7D24E595" w14:textId="77777777" w:rsidR="00774C94" w:rsidRPr="00774C94" w:rsidRDefault="00774C94" w:rsidP="00774C94">
            <w:pPr>
              <w:widowControl w:val="0"/>
              <w:suppressLineNumbers/>
              <w:suppressAutoHyphens/>
              <w:spacing w:after="0" w:line="240" w:lineRule="auto"/>
              <w:rPr>
                <w:rFonts w:ascii="Arial" w:eastAsia="Arial" w:hAnsi="Arial" w:cs="Arial"/>
                <w:kern w:val="1"/>
                <w:sz w:val="16"/>
                <w:szCs w:val="16"/>
                <w:lang w:val="es-ES" w:eastAsia="zh-CN" w:bidi="hi-IN"/>
              </w:rPr>
            </w:pPr>
            <w:r w:rsidRPr="00774C94">
              <w:rPr>
                <w:rFonts w:ascii="Arial" w:hAnsi="Arial" w:cs="Arial"/>
                <w:kern w:val="1"/>
                <w:sz w:val="16"/>
                <w:szCs w:val="16"/>
                <w:lang w:val="es-ES" w:eastAsia="zh-CN" w:bidi="hi-IN"/>
              </w:rPr>
              <w:t>Construirea unei autobaze, inclusiv dotarea cu stație de alimentare cu combustibili alternativi sau stație de încărcare cu energie electrică</w:t>
            </w:r>
          </w:p>
        </w:tc>
        <w:tc>
          <w:tcPr>
            <w:tcW w:w="1492" w:type="dxa"/>
            <w:shd w:val="clear" w:color="auto" w:fill="auto"/>
          </w:tcPr>
          <w:p w14:paraId="0B8891B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 buc.</w:t>
            </w:r>
          </w:p>
          <w:p w14:paraId="114A2A3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 statie</w:t>
            </w:r>
          </w:p>
        </w:tc>
        <w:tc>
          <w:tcPr>
            <w:tcW w:w="1492" w:type="dxa"/>
            <w:shd w:val="clear" w:color="auto" w:fill="auto"/>
          </w:tcPr>
          <w:p w14:paraId="65423D9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700.000 euro</w:t>
            </w:r>
          </w:p>
          <w:p w14:paraId="3940EFB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300.000 euro</w:t>
            </w:r>
          </w:p>
        </w:tc>
        <w:tc>
          <w:tcPr>
            <w:tcW w:w="1492" w:type="dxa"/>
            <w:shd w:val="clear" w:color="auto" w:fill="auto"/>
          </w:tcPr>
          <w:p w14:paraId="0B392BFB"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1.000.000 euro</w:t>
            </w:r>
          </w:p>
        </w:tc>
        <w:tc>
          <w:tcPr>
            <w:tcW w:w="1492" w:type="dxa"/>
            <w:shd w:val="clear" w:color="auto" w:fill="auto"/>
          </w:tcPr>
          <w:p w14:paraId="2B58F04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0E05F709"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15E2CCB2"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38D3738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2303B1A0"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5FC207B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6520386E" w14:textId="77777777" w:rsidTr="00774C94">
        <w:tc>
          <w:tcPr>
            <w:tcW w:w="718" w:type="dxa"/>
            <w:shd w:val="clear" w:color="auto" w:fill="auto"/>
          </w:tcPr>
          <w:p w14:paraId="182E64A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X.5</w:t>
            </w:r>
          </w:p>
        </w:tc>
        <w:tc>
          <w:tcPr>
            <w:tcW w:w="5946" w:type="dxa"/>
            <w:shd w:val="clear" w:color="auto" w:fill="auto"/>
          </w:tcPr>
          <w:p w14:paraId="46D84418" w14:textId="77777777" w:rsidR="00774C94" w:rsidRPr="00774C94" w:rsidRDefault="00774C94" w:rsidP="00774C94">
            <w:pPr>
              <w:widowControl w:val="0"/>
              <w:suppressLineNumbers/>
              <w:suppressAutoHyphens/>
              <w:spacing w:after="0" w:line="240" w:lineRule="auto"/>
              <w:rPr>
                <w:rFonts w:ascii="Arial" w:eastAsia="Arial" w:hAnsi="Arial" w:cs="Arial"/>
                <w:kern w:val="1"/>
                <w:sz w:val="16"/>
                <w:szCs w:val="16"/>
                <w:lang w:val="es-ES" w:eastAsia="zh-CN" w:bidi="hi-IN"/>
              </w:rPr>
            </w:pPr>
            <w:r w:rsidRPr="00774C94">
              <w:rPr>
                <w:rFonts w:ascii="Arial" w:hAnsi="Arial" w:cs="Arial"/>
                <w:kern w:val="1"/>
                <w:sz w:val="16"/>
                <w:szCs w:val="16"/>
                <w:lang w:val="ro-RO" w:eastAsia="zh-CN" w:bidi="hi-IN"/>
              </w:rPr>
              <w:t>Elaborarea unui studiu de oportunitate pentru stabilirea  modului de organizare a serviciului de transport public local, determinarea pe baze matematice a viitoarelor t</w:t>
            </w:r>
            <w:r w:rsidR="00971732">
              <w:rPr>
                <w:rFonts w:ascii="Arial" w:hAnsi="Arial" w:cs="Arial"/>
                <w:kern w:val="1"/>
                <w:sz w:val="16"/>
                <w:szCs w:val="16"/>
                <w:lang w:val="ro-RO" w:eastAsia="zh-CN" w:bidi="hi-IN"/>
              </w:rPr>
              <w:t>rasee, a programelor de circulaţie, amplasarea staţ</w:t>
            </w:r>
            <w:r w:rsidRPr="00774C94">
              <w:rPr>
                <w:rFonts w:ascii="Arial" w:hAnsi="Arial" w:cs="Arial"/>
                <w:kern w:val="1"/>
                <w:sz w:val="16"/>
                <w:szCs w:val="16"/>
                <w:lang w:val="ro-RO" w:eastAsia="zh-CN" w:bidi="hi-IN"/>
              </w:rPr>
              <w:t>iilor etc.</w:t>
            </w:r>
          </w:p>
        </w:tc>
        <w:tc>
          <w:tcPr>
            <w:tcW w:w="1492" w:type="dxa"/>
            <w:shd w:val="clear" w:color="auto" w:fill="auto"/>
          </w:tcPr>
          <w:p w14:paraId="71B915F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648DCA33"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2E92FC6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60.000 euro</w:t>
            </w:r>
          </w:p>
        </w:tc>
        <w:tc>
          <w:tcPr>
            <w:tcW w:w="1492" w:type="dxa"/>
            <w:shd w:val="clear" w:color="auto" w:fill="auto"/>
          </w:tcPr>
          <w:p w14:paraId="57E9577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2DCCCFC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254C3946"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83DF17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7B647309"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579E0B3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70405212" w14:textId="77777777" w:rsidTr="00774C94">
        <w:tc>
          <w:tcPr>
            <w:tcW w:w="718" w:type="dxa"/>
            <w:shd w:val="clear" w:color="auto" w:fill="auto"/>
          </w:tcPr>
          <w:p w14:paraId="2021C7C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X.6</w:t>
            </w:r>
          </w:p>
        </w:tc>
        <w:tc>
          <w:tcPr>
            <w:tcW w:w="5946" w:type="dxa"/>
            <w:shd w:val="clear" w:color="auto" w:fill="auto"/>
          </w:tcPr>
          <w:p w14:paraId="4AFAD645" w14:textId="77777777" w:rsidR="00774C94" w:rsidRPr="00774C94" w:rsidRDefault="00774C94" w:rsidP="00774C94">
            <w:pPr>
              <w:widowControl w:val="0"/>
              <w:suppressLineNumbers/>
              <w:suppressAutoHyphens/>
              <w:spacing w:after="0" w:line="240" w:lineRule="auto"/>
              <w:rPr>
                <w:rFonts w:ascii="Arial" w:eastAsia="Arial" w:hAnsi="Arial" w:cs="Arial"/>
                <w:kern w:val="1"/>
                <w:sz w:val="16"/>
                <w:szCs w:val="16"/>
                <w:lang w:val="es-ES" w:eastAsia="zh-CN" w:bidi="hi-IN"/>
              </w:rPr>
            </w:pPr>
            <w:r w:rsidRPr="00774C94">
              <w:rPr>
                <w:rFonts w:ascii="Arial" w:hAnsi="Arial" w:cs="Arial"/>
                <w:kern w:val="1"/>
                <w:sz w:val="16"/>
                <w:szCs w:val="16"/>
                <w:lang w:val="es-ES" w:eastAsia="zh-CN" w:bidi="hi-IN"/>
              </w:rPr>
              <w:t>Realizarea unui website al operator</w:t>
            </w:r>
            <w:r w:rsidR="00971732">
              <w:rPr>
                <w:rFonts w:ascii="Arial" w:hAnsi="Arial" w:cs="Arial"/>
                <w:kern w:val="1"/>
                <w:sz w:val="16"/>
                <w:szCs w:val="16"/>
                <w:lang w:val="es-ES" w:eastAsia="zh-CN" w:bidi="hi-IN"/>
              </w:rPr>
              <w:t>ului de transport public local ş</w:t>
            </w:r>
            <w:r w:rsidRPr="00774C94">
              <w:rPr>
                <w:rFonts w:ascii="Arial" w:hAnsi="Arial" w:cs="Arial"/>
                <w:kern w:val="1"/>
                <w:sz w:val="16"/>
                <w:szCs w:val="16"/>
                <w:lang w:val="es-ES" w:eastAsia="zh-CN" w:bidi="hi-IN"/>
              </w:rPr>
              <w:t>i une</w:t>
            </w:r>
            <w:r w:rsidR="00971732">
              <w:rPr>
                <w:rFonts w:ascii="Arial" w:hAnsi="Arial" w:cs="Arial"/>
                <w:kern w:val="1"/>
                <w:sz w:val="16"/>
                <w:szCs w:val="16"/>
                <w:lang w:val="es-ES" w:eastAsia="zh-CN" w:bidi="hi-IN"/>
              </w:rPr>
              <w:t>i aplicaţii pentru planificarea călă</w:t>
            </w:r>
            <w:r w:rsidRPr="00774C94">
              <w:rPr>
                <w:rFonts w:ascii="Arial" w:hAnsi="Arial" w:cs="Arial"/>
                <w:kern w:val="1"/>
                <w:sz w:val="16"/>
                <w:szCs w:val="16"/>
                <w:lang w:val="es-ES" w:eastAsia="zh-CN" w:bidi="hi-IN"/>
              </w:rPr>
              <w:t>toriei cu transportul public</w:t>
            </w:r>
          </w:p>
        </w:tc>
        <w:tc>
          <w:tcPr>
            <w:tcW w:w="1492" w:type="dxa"/>
            <w:shd w:val="clear" w:color="auto" w:fill="auto"/>
          </w:tcPr>
          <w:p w14:paraId="13FAE3E5"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1B057EF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3CE49B1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50.000 euro</w:t>
            </w:r>
          </w:p>
        </w:tc>
        <w:tc>
          <w:tcPr>
            <w:tcW w:w="1492" w:type="dxa"/>
            <w:shd w:val="clear" w:color="auto" w:fill="auto"/>
          </w:tcPr>
          <w:p w14:paraId="291F1854"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28F506D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5B15168A"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530E863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6F3F12BD"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61BED00C"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51BED1FE" w14:textId="77777777" w:rsidTr="00774C94">
        <w:tc>
          <w:tcPr>
            <w:tcW w:w="718" w:type="dxa"/>
            <w:shd w:val="clear" w:color="auto" w:fill="auto"/>
          </w:tcPr>
          <w:p w14:paraId="6E99641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XI.1</w:t>
            </w:r>
          </w:p>
        </w:tc>
        <w:tc>
          <w:tcPr>
            <w:tcW w:w="5946" w:type="dxa"/>
            <w:shd w:val="clear" w:color="auto" w:fill="auto"/>
          </w:tcPr>
          <w:p w14:paraId="0DA1A166" w14:textId="77777777" w:rsidR="00774C94" w:rsidRPr="00774C94" w:rsidRDefault="00971732" w:rsidP="00774C94">
            <w:pPr>
              <w:widowControl w:val="0"/>
              <w:suppressLineNumbers/>
              <w:suppressAutoHyphens/>
              <w:spacing w:after="0" w:line="240" w:lineRule="auto"/>
              <w:rPr>
                <w:rFonts w:ascii="Arial" w:hAnsi="Arial" w:cs="Arial"/>
                <w:kern w:val="1"/>
                <w:sz w:val="16"/>
                <w:szCs w:val="16"/>
                <w:lang w:val="es-ES" w:eastAsia="zh-CN" w:bidi="hi-IN"/>
              </w:rPr>
            </w:pPr>
            <w:r>
              <w:rPr>
                <w:rFonts w:ascii="Arial" w:eastAsia="Arial" w:hAnsi="Arial" w:cs="Arial"/>
                <w:kern w:val="1"/>
                <w:sz w:val="16"/>
                <w:szCs w:val="16"/>
                <w:lang w:val="es-ES" w:eastAsia="zh-CN" w:bidi="hi-IN"/>
              </w:rPr>
              <w:t>Traficul – rutier – de marfă în interiorul oraşului trebuie să fie limitat spaţial ş</w:t>
            </w:r>
            <w:r w:rsidR="00774C94" w:rsidRPr="00774C94">
              <w:rPr>
                <w:rFonts w:ascii="Arial" w:eastAsia="Arial" w:hAnsi="Arial" w:cs="Arial"/>
                <w:kern w:val="1"/>
                <w:sz w:val="16"/>
                <w:szCs w:val="16"/>
                <w:lang w:val="es-ES" w:eastAsia="zh-CN" w:bidi="hi-IN"/>
              </w:rPr>
              <w:t>i temporal</w:t>
            </w:r>
          </w:p>
        </w:tc>
        <w:tc>
          <w:tcPr>
            <w:tcW w:w="1492" w:type="dxa"/>
            <w:shd w:val="clear" w:color="auto" w:fill="auto"/>
          </w:tcPr>
          <w:p w14:paraId="0CB96DD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0B7BC4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63BDD9B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0555FBA1"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4EA3012A"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p>
        </w:tc>
        <w:tc>
          <w:tcPr>
            <w:tcW w:w="359" w:type="dxa"/>
            <w:shd w:val="clear" w:color="auto" w:fill="auto"/>
          </w:tcPr>
          <w:p w14:paraId="5E709281"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59" w:type="dxa"/>
            <w:shd w:val="clear" w:color="auto" w:fill="auto"/>
          </w:tcPr>
          <w:p w14:paraId="1FB14E6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701ABD8E"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77" w:type="dxa"/>
            <w:shd w:val="clear" w:color="auto" w:fill="auto"/>
          </w:tcPr>
          <w:p w14:paraId="4CE6EA7E"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r>
      <w:tr w:rsidR="00774C94" w:rsidRPr="00774C94" w14:paraId="5DEA73F3" w14:textId="77777777" w:rsidTr="00774C94">
        <w:tc>
          <w:tcPr>
            <w:tcW w:w="718" w:type="dxa"/>
            <w:shd w:val="clear" w:color="auto" w:fill="auto"/>
          </w:tcPr>
          <w:p w14:paraId="208ADE8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XI.2</w:t>
            </w:r>
          </w:p>
        </w:tc>
        <w:tc>
          <w:tcPr>
            <w:tcW w:w="5946" w:type="dxa"/>
            <w:shd w:val="clear" w:color="auto" w:fill="auto"/>
          </w:tcPr>
          <w:p w14:paraId="0A87D868" w14:textId="77777777" w:rsidR="00774C94" w:rsidRPr="00774C94" w:rsidRDefault="00774C94" w:rsidP="00971732">
            <w:pPr>
              <w:widowControl w:val="0"/>
              <w:suppressLineNumbers/>
              <w:suppressAutoHyphens/>
              <w:spacing w:after="0" w:line="240" w:lineRule="auto"/>
              <w:rPr>
                <w:rFonts w:ascii="Arial" w:hAnsi="Arial" w:cs="Arial"/>
                <w:kern w:val="1"/>
                <w:sz w:val="16"/>
                <w:szCs w:val="16"/>
                <w:lang w:val="es-ES" w:eastAsia="zh-CN" w:bidi="hi-IN"/>
              </w:rPr>
            </w:pPr>
            <w:r w:rsidRPr="00774C94">
              <w:rPr>
                <w:rFonts w:ascii="Arial" w:hAnsi="Arial" w:cs="Arial"/>
                <w:kern w:val="1"/>
                <w:sz w:val="16"/>
                <w:szCs w:val="16"/>
                <w:lang w:val="es-ES" w:eastAsia="zh-CN" w:bidi="hi-IN"/>
              </w:rPr>
              <w:t>Constitu</w:t>
            </w:r>
            <w:r w:rsidR="00971732">
              <w:rPr>
                <w:rFonts w:ascii="Arial" w:hAnsi="Arial" w:cs="Arial"/>
                <w:kern w:val="1"/>
                <w:sz w:val="16"/>
                <w:szCs w:val="16"/>
                <w:lang w:val="es-ES" w:eastAsia="zh-CN" w:bidi="hi-IN"/>
              </w:rPr>
              <w:t>irea unui consiliu de consultanţă ş</w:t>
            </w:r>
            <w:r w:rsidRPr="00774C94">
              <w:rPr>
                <w:rFonts w:ascii="Arial" w:hAnsi="Arial" w:cs="Arial"/>
                <w:kern w:val="1"/>
                <w:sz w:val="16"/>
                <w:szCs w:val="16"/>
                <w:lang w:val="es-ES" w:eastAsia="zh-CN" w:bidi="hi-IN"/>
              </w:rPr>
              <w:t xml:space="preserve">i a unui forum pentru transportul de </w:t>
            </w:r>
            <w:r w:rsidRPr="00774C94">
              <w:rPr>
                <w:rFonts w:ascii="Arial" w:hAnsi="Arial" w:cs="Arial"/>
                <w:kern w:val="1"/>
                <w:sz w:val="16"/>
                <w:szCs w:val="16"/>
                <w:lang w:val="es-ES" w:eastAsia="zh-CN" w:bidi="hi-IN"/>
              </w:rPr>
              <w:lastRenderedPageBreak/>
              <w:t>marf</w:t>
            </w:r>
            <w:r w:rsidR="00971732">
              <w:rPr>
                <w:rFonts w:ascii="Arial" w:hAnsi="Arial" w:cs="Arial"/>
                <w:kern w:val="1"/>
                <w:sz w:val="16"/>
                <w:szCs w:val="16"/>
                <w:lang w:val="es-ES" w:eastAsia="zh-CN" w:bidi="hi-IN"/>
              </w:rPr>
              <w:t>ă</w:t>
            </w:r>
          </w:p>
        </w:tc>
        <w:tc>
          <w:tcPr>
            <w:tcW w:w="1492" w:type="dxa"/>
            <w:shd w:val="clear" w:color="auto" w:fill="auto"/>
          </w:tcPr>
          <w:p w14:paraId="1885CED2"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lastRenderedPageBreak/>
              <w:t>-</w:t>
            </w:r>
          </w:p>
        </w:tc>
        <w:tc>
          <w:tcPr>
            <w:tcW w:w="1492" w:type="dxa"/>
            <w:shd w:val="clear" w:color="auto" w:fill="auto"/>
          </w:tcPr>
          <w:p w14:paraId="605C1B3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488DE1E7"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1492" w:type="dxa"/>
            <w:shd w:val="clear" w:color="auto" w:fill="auto"/>
          </w:tcPr>
          <w:p w14:paraId="06204698"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w:t>
            </w:r>
          </w:p>
        </w:tc>
        <w:tc>
          <w:tcPr>
            <w:tcW w:w="359" w:type="dxa"/>
            <w:shd w:val="clear" w:color="auto" w:fill="auto"/>
          </w:tcPr>
          <w:p w14:paraId="1F40E95F"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1845A52D"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42DE63A6" w14:textId="77777777" w:rsidR="00774C94" w:rsidRPr="00774C94" w:rsidRDefault="00774C94" w:rsidP="00774C94">
            <w:pPr>
              <w:widowControl w:val="0"/>
              <w:suppressLineNumbers/>
              <w:suppressAutoHyphens/>
              <w:spacing w:after="0" w:line="240" w:lineRule="auto"/>
              <w:jc w:val="center"/>
              <w:rPr>
                <w:rFonts w:ascii="Arial" w:hAnsi="Arial" w:cs="Arial"/>
                <w:kern w:val="1"/>
                <w:sz w:val="16"/>
                <w:szCs w:val="16"/>
                <w:lang w:val="ro-RO" w:eastAsia="zh-CN" w:bidi="hi-IN"/>
              </w:rPr>
            </w:pPr>
            <w:r w:rsidRPr="00774C94">
              <w:rPr>
                <w:rFonts w:ascii="Arial" w:hAnsi="Arial" w:cs="Arial"/>
                <w:kern w:val="1"/>
                <w:sz w:val="16"/>
                <w:szCs w:val="16"/>
                <w:lang w:val="ro-RO" w:eastAsia="zh-CN" w:bidi="hi-IN"/>
              </w:rPr>
              <w:t>x</w:t>
            </w:r>
          </w:p>
        </w:tc>
        <w:tc>
          <w:tcPr>
            <w:tcW w:w="359" w:type="dxa"/>
            <w:shd w:val="clear" w:color="auto" w:fill="auto"/>
          </w:tcPr>
          <w:p w14:paraId="68A1A8E6"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c>
          <w:tcPr>
            <w:tcW w:w="377" w:type="dxa"/>
            <w:shd w:val="clear" w:color="auto" w:fill="auto"/>
          </w:tcPr>
          <w:p w14:paraId="1CD97857" w14:textId="77777777" w:rsidR="00774C94" w:rsidRPr="00774C94" w:rsidRDefault="00774C94" w:rsidP="00774C94">
            <w:pPr>
              <w:widowControl w:val="0"/>
              <w:suppressLineNumbers/>
              <w:suppressAutoHyphens/>
              <w:snapToGrid w:val="0"/>
              <w:spacing w:after="0" w:line="240" w:lineRule="auto"/>
              <w:jc w:val="center"/>
              <w:rPr>
                <w:rFonts w:ascii="Arial" w:hAnsi="Arial" w:cs="Arial"/>
                <w:kern w:val="1"/>
                <w:sz w:val="16"/>
                <w:szCs w:val="16"/>
                <w:lang w:val="ro-RO" w:eastAsia="zh-CN" w:bidi="hi-IN"/>
              </w:rPr>
            </w:pPr>
          </w:p>
        </w:tc>
      </w:tr>
    </w:tbl>
    <w:p w14:paraId="066F2306" w14:textId="77777777" w:rsidR="004F5666" w:rsidRPr="004F5666" w:rsidRDefault="004F5666" w:rsidP="004F5666">
      <w:pPr>
        <w:widowControl w:val="0"/>
        <w:suppressAutoHyphens/>
        <w:spacing w:after="0" w:line="360" w:lineRule="auto"/>
        <w:jc w:val="both"/>
        <w:rPr>
          <w:rFonts w:ascii="Arial" w:hAnsi="Arial" w:cs="Mangal"/>
          <w:kern w:val="1"/>
          <w:sz w:val="24"/>
          <w:szCs w:val="24"/>
          <w:lang w:val="ro-RO" w:eastAsia="hi-IN" w:bidi="hi-IN"/>
        </w:rPr>
      </w:pPr>
    </w:p>
    <w:p w14:paraId="709F4650" w14:textId="77777777" w:rsidR="00971732" w:rsidRPr="00EA79B2" w:rsidRDefault="00971732" w:rsidP="00971732">
      <w:pPr>
        <w:pStyle w:val="Titlu3"/>
        <w:rPr>
          <w:rFonts w:ascii="Arial" w:hAnsi="Arial" w:cs="Arial"/>
          <w:b w:val="0"/>
          <w:bCs w:val="0"/>
          <w:sz w:val="24"/>
          <w:szCs w:val="24"/>
          <w:lang w:val="it-IT" w:eastAsia="ro-RO"/>
        </w:rPr>
      </w:pPr>
      <w:bookmarkStart w:id="445" w:name="_Toc142039105"/>
      <w:r w:rsidRPr="00EA79B2">
        <w:rPr>
          <w:rFonts w:ascii="Arial" w:hAnsi="Arial" w:cs="Arial"/>
          <w:b w:val="0"/>
          <w:bCs w:val="0"/>
          <w:sz w:val="24"/>
          <w:szCs w:val="24"/>
          <w:lang w:val="it-IT" w:eastAsia="ro-RO"/>
        </w:rPr>
        <w:t>I.6.4.3. la nivelul cartierelor/zonelor cu nivel ridicat de complexitate</w:t>
      </w:r>
      <w:bookmarkEnd w:id="445"/>
    </w:p>
    <w:p w14:paraId="2959608D" w14:textId="66BE21C7" w:rsidR="00971732" w:rsidRPr="00774C94" w:rsidRDefault="00971732" w:rsidP="00971732">
      <w:pPr>
        <w:suppressAutoHyphens/>
        <w:spacing w:after="0" w:line="276" w:lineRule="auto"/>
        <w:jc w:val="both"/>
        <w:rPr>
          <w:rFonts w:ascii="Arial" w:hAnsi="Arial" w:cs="Mangal"/>
          <w:kern w:val="1"/>
          <w:lang w:val="es-ES" w:eastAsia="hi-IN" w:bidi="hi-IN"/>
        </w:rPr>
      </w:pPr>
      <w:r w:rsidRPr="00774C94">
        <w:rPr>
          <w:rFonts w:ascii="Arial" w:hAnsi="Arial" w:cs="Arial"/>
          <w:kern w:val="1"/>
          <w:lang w:val="es-ES" w:eastAsia="hi-IN" w:bidi="hi-IN"/>
        </w:rPr>
        <w:t xml:space="preserve">Proiectele/măsurile propuse la nivelul cartierelor/zonelor cu nivel ridicat de dificultate de regăsesc în tabelele prezentate anterior și rolul acestora este de a crea un mediu urban mai sigur și prietenos cu locuitorii. Aceste proiecte se referă la o accesibilitate mai crescută, în condiții de siguranță, facilităti pentru pietoni și bicicliști, creșterea calității vieții urbane prin asigurarea </w:t>
      </w:r>
      <w:r w:rsidR="00431567">
        <w:rPr>
          <w:rFonts w:ascii="Arial" w:hAnsi="Arial" w:cs="Arial"/>
          <w:kern w:val="1"/>
          <w:lang w:val="es-ES" w:eastAsia="hi-IN" w:bidi="hi-IN"/>
        </w:rPr>
        <w:t>dotărilor</w:t>
      </w:r>
      <w:r w:rsidRPr="00774C94">
        <w:rPr>
          <w:rFonts w:ascii="Arial" w:hAnsi="Arial" w:cs="Arial"/>
          <w:kern w:val="1"/>
          <w:lang w:val="es-ES" w:eastAsia="hi-IN" w:bidi="hi-IN"/>
        </w:rPr>
        <w:t xml:space="preserve"> (unități sanitare și de învățământ, piețe și zone comerciale </w:t>
      </w:r>
      <w:r>
        <w:rPr>
          <w:rFonts w:ascii="Arial" w:hAnsi="Arial" w:cs="Arial"/>
          <w:kern w:val="1"/>
          <w:lang w:val="es-ES" w:eastAsia="hi-IN" w:bidi="hi-IN"/>
        </w:rPr>
        <w:t>etc.) în fiecare din zonele OraŞ</w:t>
      </w:r>
      <w:r w:rsidRPr="00774C94">
        <w:rPr>
          <w:rFonts w:ascii="Arial" w:hAnsi="Arial" w:cs="Arial"/>
          <w:kern w:val="1"/>
          <w:lang w:val="es-ES" w:eastAsia="hi-IN" w:bidi="hi-IN"/>
        </w:rPr>
        <w:t>ului Horezu. Toate aceste proiecte care vor fi implementate la nivelul zonelor vor conduce la creșterea securității și confortului în zonele respective.</w:t>
      </w:r>
    </w:p>
    <w:p w14:paraId="64D9D3DE" w14:textId="77777777" w:rsidR="00971732" w:rsidRPr="00774C94" w:rsidRDefault="00971732" w:rsidP="00971732">
      <w:pPr>
        <w:widowControl w:val="0"/>
        <w:suppressAutoHyphens/>
        <w:spacing w:after="0" w:line="276" w:lineRule="auto"/>
        <w:jc w:val="both"/>
        <w:rPr>
          <w:rFonts w:ascii="Arial" w:hAnsi="Arial" w:cs="Mangal"/>
          <w:kern w:val="1"/>
          <w:lang w:val="es-ES" w:eastAsia="hi-IN" w:bidi="hi-IN"/>
        </w:rPr>
      </w:pPr>
    </w:p>
    <w:p w14:paraId="13A1D2E7" w14:textId="77777777" w:rsidR="00971732" w:rsidRPr="00774C94" w:rsidRDefault="00971732" w:rsidP="00971732">
      <w:pPr>
        <w:widowControl w:val="0"/>
        <w:suppressAutoHyphens/>
        <w:spacing w:after="0" w:line="276" w:lineRule="auto"/>
        <w:jc w:val="both"/>
        <w:rPr>
          <w:rFonts w:ascii="Arial" w:hAnsi="Arial" w:cs="Arial"/>
          <w:kern w:val="1"/>
          <w:lang w:val="es-ES" w:eastAsia="hi-IN" w:bidi="hi-IN"/>
        </w:rPr>
      </w:pPr>
      <w:r w:rsidRPr="00774C94">
        <w:rPr>
          <w:rFonts w:ascii="Arial" w:hAnsi="Arial" w:cs="Arial"/>
          <w:kern w:val="1"/>
          <w:lang w:val="es-ES" w:eastAsia="hi-IN" w:bidi="hi-IN"/>
        </w:rPr>
        <w:t>Pentru zonele cu comp</w:t>
      </w:r>
      <w:r>
        <w:rPr>
          <w:rFonts w:ascii="Arial" w:hAnsi="Arial" w:cs="Arial"/>
          <w:kern w:val="1"/>
          <w:lang w:val="es-ES" w:eastAsia="hi-IN" w:bidi="hi-IN"/>
        </w:rPr>
        <w:t>lexitate ridicată (zona centrală</w:t>
      </w:r>
      <w:r w:rsidRPr="00774C94">
        <w:rPr>
          <w:rFonts w:ascii="Arial" w:hAnsi="Arial" w:cs="Arial"/>
          <w:kern w:val="1"/>
          <w:lang w:val="es-ES" w:eastAsia="hi-IN" w:bidi="hi-IN"/>
        </w:rPr>
        <w:t>) au fost propuse proiecte pentru creșterea capacității de circulație a arterelor, pentru eliminarea blocajelor în trafic, pentru dezvoltarea zonelor pietonale și creșterea siguranței participanților vulnerabili la trafic.</w:t>
      </w:r>
    </w:p>
    <w:p w14:paraId="4224A6EF" w14:textId="77777777" w:rsidR="00971732" w:rsidRPr="00774C94" w:rsidRDefault="00971732" w:rsidP="00971732">
      <w:pPr>
        <w:widowControl w:val="0"/>
        <w:suppressAutoHyphens/>
        <w:spacing w:after="0" w:line="276" w:lineRule="auto"/>
        <w:jc w:val="both"/>
        <w:rPr>
          <w:rFonts w:ascii="Arial" w:hAnsi="Arial" w:cs="Arial"/>
          <w:kern w:val="1"/>
          <w:lang w:val="es-ES" w:eastAsia="hi-IN" w:bidi="hi-IN"/>
        </w:rPr>
      </w:pPr>
    </w:p>
    <w:p w14:paraId="1324EF73" w14:textId="77777777" w:rsidR="00971732" w:rsidRDefault="00971732" w:rsidP="00BB0D72">
      <w:pPr>
        <w:widowControl w:val="0"/>
        <w:suppressAutoHyphens/>
        <w:spacing w:after="0" w:line="276" w:lineRule="auto"/>
        <w:jc w:val="both"/>
        <w:rPr>
          <w:lang w:val="it-IT" w:eastAsia="ro-RO" w:bidi="hi-IN"/>
        </w:rPr>
      </w:pPr>
      <w:r w:rsidRPr="00774C94">
        <w:rPr>
          <w:rFonts w:ascii="Arial" w:hAnsi="Arial" w:cs="Arial"/>
          <w:kern w:val="1"/>
          <w:lang w:val="es-ES" w:eastAsia="hi-IN" w:bidi="hi-IN"/>
        </w:rPr>
        <w:t>Consolidarea capacității autorităților locale competente de a impune respectarea reglementărilor, atât în ceea ce privește parcarea vehiculelor, cât și în ceea ce privește implementarea măsurilor de siguranță rutieră (traversări neregulamentare, respectarea normelor privind transportul motorizat și nemotorizat), reprezintă un alt segment prin care se va îmbunătăți calitatea vieții la nivelul cartierelor.</w:t>
      </w:r>
      <w:r>
        <w:rPr>
          <w:lang w:val="it-IT" w:eastAsia="ro-RO" w:bidi="hi-IN"/>
        </w:rPr>
        <w:br w:type="page"/>
      </w:r>
    </w:p>
    <w:p w14:paraId="0B02D357" w14:textId="77777777" w:rsidR="004F5666" w:rsidRDefault="004F5666" w:rsidP="004F5666">
      <w:pPr>
        <w:rPr>
          <w:lang w:val="it-IT" w:eastAsia="ro-RO" w:bidi="hi-IN"/>
        </w:rPr>
        <w:sectPr w:rsidR="004F5666" w:rsidSect="004F5666">
          <w:pgSz w:w="15840" w:h="12240" w:orient="landscape"/>
          <w:pgMar w:top="1440" w:right="720" w:bottom="1440" w:left="1440" w:header="706" w:footer="720" w:gutter="0"/>
          <w:cols w:space="720"/>
          <w:titlePg/>
          <w:docGrid w:linePitch="360"/>
        </w:sectPr>
      </w:pPr>
    </w:p>
    <w:p w14:paraId="06726BCD" w14:textId="77777777" w:rsidR="00D70AEA" w:rsidRPr="00EA79B2" w:rsidRDefault="00D70AEA" w:rsidP="00EA79B2">
      <w:pPr>
        <w:pStyle w:val="Titlu3"/>
        <w:rPr>
          <w:rFonts w:ascii="Arial" w:hAnsi="Arial" w:cs="Arial"/>
          <w:b w:val="0"/>
          <w:bCs w:val="0"/>
          <w:sz w:val="24"/>
          <w:szCs w:val="24"/>
          <w:lang w:val="it-IT" w:eastAsia="ro-RO"/>
        </w:rPr>
      </w:pPr>
      <w:bookmarkStart w:id="446" w:name="_Toc61264919"/>
      <w:bookmarkStart w:id="447" w:name="_Toc142039106"/>
      <w:r w:rsidRPr="00EA79B2">
        <w:rPr>
          <w:rFonts w:ascii="Arial" w:hAnsi="Arial" w:cs="Arial"/>
          <w:b w:val="0"/>
          <w:bCs w:val="0"/>
          <w:sz w:val="24"/>
          <w:szCs w:val="24"/>
          <w:lang w:val="it-IT" w:eastAsia="ro-RO"/>
        </w:rPr>
        <w:lastRenderedPageBreak/>
        <w:t>I.6.4.3. la nivelul cartierelor/zonelor cu nivel ridicat de complexitate</w:t>
      </w:r>
      <w:bookmarkEnd w:id="446"/>
      <w:bookmarkEnd w:id="447"/>
    </w:p>
    <w:p w14:paraId="6E9E5DFA" w14:textId="23E9B3FE" w:rsidR="00774C94" w:rsidRPr="00774C94" w:rsidRDefault="00774C94" w:rsidP="00774C94">
      <w:pPr>
        <w:suppressAutoHyphens/>
        <w:spacing w:after="0" w:line="276" w:lineRule="auto"/>
        <w:jc w:val="both"/>
        <w:rPr>
          <w:rFonts w:ascii="Arial" w:hAnsi="Arial" w:cs="Mangal"/>
          <w:kern w:val="1"/>
          <w:lang w:val="es-ES" w:eastAsia="hi-IN" w:bidi="hi-IN"/>
        </w:rPr>
      </w:pPr>
      <w:r w:rsidRPr="00774C94">
        <w:rPr>
          <w:rFonts w:ascii="Arial" w:hAnsi="Arial" w:cs="Arial"/>
          <w:kern w:val="1"/>
          <w:lang w:val="es-ES" w:eastAsia="hi-IN" w:bidi="hi-IN"/>
        </w:rPr>
        <w:t xml:space="preserve">Proiectele/măsurile propuse la nivelul cartierelor/zonelor cu nivel ridicat de dificultate de regăsesc în tabelele prezentate anterior și rolul acestora este de a crea un mediu urban mai sigur și prietenos cu locuitorii. Aceste proiecte se referă la o accesibilitate mai crescută, în condiții de siguranță, facilităti pentru pietoni și bicicliști, creșterea calității vieții urbane prin asigurarea </w:t>
      </w:r>
      <w:r w:rsidR="00431567">
        <w:rPr>
          <w:rFonts w:ascii="Arial" w:hAnsi="Arial" w:cs="Arial"/>
          <w:kern w:val="1"/>
          <w:lang w:val="es-ES" w:eastAsia="hi-IN" w:bidi="hi-IN"/>
        </w:rPr>
        <w:t>dotărilor</w:t>
      </w:r>
      <w:r w:rsidRPr="00774C94">
        <w:rPr>
          <w:rFonts w:ascii="Arial" w:hAnsi="Arial" w:cs="Arial"/>
          <w:kern w:val="1"/>
          <w:lang w:val="es-ES" w:eastAsia="hi-IN" w:bidi="hi-IN"/>
        </w:rPr>
        <w:t xml:space="preserve"> (unități sanitare și de învățământ, piețe și zone comerciale </w:t>
      </w:r>
      <w:r w:rsidR="00971732">
        <w:rPr>
          <w:rFonts w:ascii="Arial" w:hAnsi="Arial" w:cs="Arial"/>
          <w:kern w:val="1"/>
          <w:lang w:val="es-ES" w:eastAsia="hi-IN" w:bidi="hi-IN"/>
        </w:rPr>
        <w:t>etc.) în fiecare din zonele Ora</w:t>
      </w:r>
      <w:r w:rsidR="00431567">
        <w:rPr>
          <w:rFonts w:ascii="Arial" w:hAnsi="Arial" w:cs="Arial"/>
          <w:kern w:val="1"/>
          <w:lang w:val="es-ES" w:eastAsia="hi-IN" w:bidi="hi-IN"/>
        </w:rPr>
        <w:t>ș</w:t>
      </w:r>
      <w:r w:rsidRPr="00774C94">
        <w:rPr>
          <w:rFonts w:ascii="Arial" w:hAnsi="Arial" w:cs="Arial"/>
          <w:kern w:val="1"/>
          <w:lang w:val="es-ES" w:eastAsia="hi-IN" w:bidi="hi-IN"/>
        </w:rPr>
        <w:t>ului Horezu. Toate aceste proiecte care vor fi implementate la nivelul zonelor vor conduce la creșterea securității și confortului în zonele respective.</w:t>
      </w:r>
    </w:p>
    <w:p w14:paraId="4C883D1A" w14:textId="77777777" w:rsidR="00774C94" w:rsidRPr="00774C94" w:rsidRDefault="00774C94" w:rsidP="00774C94">
      <w:pPr>
        <w:widowControl w:val="0"/>
        <w:suppressAutoHyphens/>
        <w:spacing w:after="0" w:line="276" w:lineRule="auto"/>
        <w:jc w:val="both"/>
        <w:rPr>
          <w:rFonts w:ascii="Arial" w:hAnsi="Arial" w:cs="Mangal"/>
          <w:kern w:val="1"/>
          <w:lang w:val="es-ES" w:eastAsia="hi-IN" w:bidi="hi-IN"/>
        </w:rPr>
      </w:pPr>
    </w:p>
    <w:p w14:paraId="219CDCE6" w14:textId="77777777" w:rsidR="00774C94" w:rsidRPr="00774C94" w:rsidRDefault="00774C94" w:rsidP="00774C94">
      <w:pPr>
        <w:widowControl w:val="0"/>
        <w:suppressAutoHyphens/>
        <w:spacing w:after="0" w:line="276" w:lineRule="auto"/>
        <w:jc w:val="both"/>
        <w:rPr>
          <w:rFonts w:ascii="Arial" w:hAnsi="Arial" w:cs="Arial"/>
          <w:kern w:val="1"/>
          <w:lang w:val="es-ES" w:eastAsia="hi-IN" w:bidi="hi-IN"/>
        </w:rPr>
      </w:pPr>
      <w:r w:rsidRPr="00774C94">
        <w:rPr>
          <w:rFonts w:ascii="Arial" w:hAnsi="Arial" w:cs="Arial"/>
          <w:kern w:val="1"/>
          <w:lang w:val="es-ES" w:eastAsia="hi-IN" w:bidi="hi-IN"/>
        </w:rPr>
        <w:t>Pentru zonele cu comp</w:t>
      </w:r>
      <w:r w:rsidR="00971732">
        <w:rPr>
          <w:rFonts w:ascii="Arial" w:hAnsi="Arial" w:cs="Arial"/>
          <w:kern w:val="1"/>
          <w:lang w:val="es-ES" w:eastAsia="hi-IN" w:bidi="hi-IN"/>
        </w:rPr>
        <w:t>lexitate ridicată (zona centrală</w:t>
      </w:r>
      <w:r w:rsidRPr="00774C94">
        <w:rPr>
          <w:rFonts w:ascii="Arial" w:hAnsi="Arial" w:cs="Arial"/>
          <w:kern w:val="1"/>
          <w:lang w:val="es-ES" w:eastAsia="hi-IN" w:bidi="hi-IN"/>
        </w:rPr>
        <w:t>) au fost propuse proiecte pentru creșterea capacității de circulație a arterelor, pentru eliminarea blocajelor în trafic, pentru dezvoltarea zonelor pietonale și creșterea siguranței participanților vulnerabili la trafic.</w:t>
      </w:r>
    </w:p>
    <w:p w14:paraId="19D31DDA" w14:textId="77777777" w:rsidR="00774C94" w:rsidRPr="00774C94" w:rsidRDefault="00774C94" w:rsidP="00774C94">
      <w:pPr>
        <w:widowControl w:val="0"/>
        <w:suppressAutoHyphens/>
        <w:spacing w:after="0" w:line="276" w:lineRule="auto"/>
        <w:jc w:val="both"/>
        <w:rPr>
          <w:rFonts w:ascii="Arial" w:hAnsi="Arial" w:cs="Arial"/>
          <w:kern w:val="1"/>
          <w:lang w:val="es-ES" w:eastAsia="hi-IN" w:bidi="hi-IN"/>
        </w:rPr>
      </w:pPr>
    </w:p>
    <w:p w14:paraId="532CF3CF" w14:textId="77777777" w:rsidR="00774C94" w:rsidRPr="00774C94" w:rsidRDefault="00774C94" w:rsidP="00774C94">
      <w:pPr>
        <w:widowControl w:val="0"/>
        <w:suppressAutoHyphens/>
        <w:spacing w:after="0" w:line="276" w:lineRule="auto"/>
        <w:jc w:val="both"/>
        <w:rPr>
          <w:rFonts w:ascii="Arial" w:hAnsi="Arial" w:cs="Arial"/>
          <w:kern w:val="1"/>
          <w:lang w:val="es-ES" w:eastAsia="hi-IN" w:bidi="hi-IN"/>
        </w:rPr>
      </w:pPr>
      <w:r w:rsidRPr="00774C94">
        <w:rPr>
          <w:rFonts w:ascii="Arial" w:hAnsi="Arial" w:cs="Arial"/>
          <w:kern w:val="1"/>
          <w:lang w:val="es-ES" w:eastAsia="hi-IN" w:bidi="hi-IN"/>
        </w:rPr>
        <w:t>Consolidarea capacității autorităților locale competente de a impune respectarea reglementărilor, atât în ceea ce privește parcarea vehiculelor, cât și în ceea ce privește implementarea măsurilor de siguranță rutieră (traversări neregulamentare, respectarea normelor privind transportul motorizat și nemotorizat), reprezintă un alt segment prin care se va îmbunătăți calitatea vieții la nivelul cartierelor.</w:t>
      </w:r>
    </w:p>
    <w:p w14:paraId="7E922E34" w14:textId="77777777" w:rsidR="003430C5" w:rsidRDefault="003430C5" w:rsidP="00DF44FD">
      <w:pPr>
        <w:spacing w:line="276" w:lineRule="auto"/>
        <w:rPr>
          <w:rFonts w:ascii="Arial" w:eastAsia="Times New Roman" w:hAnsi="Arial" w:cs="Arial"/>
          <w:b/>
          <w:sz w:val="24"/>
          <w:szCs w:val="24"/>
          <w:lang w:val="it-IT" w:eastAsia="ro-RO"/>
        </w:rPr>
      </w:pPr>
      <w:r>
        <w:rPr>
          <w:rFonts w:ascii="Arial" w:eastAsia="Times New Roman" w:hAnsi="Arial" w:cs="Arial"/>
          <w:b/>
          <w:sz w:val="24"/>
          <w:szCs w:val="24"/>
          <w:lang w:val="it-IT" w:eastAsia="ro-RO"/>
        </w:rPr>
        <w:br w:type="page"/>
      </w:r>
    </w:p>
    <w:p w14:paraId="49037135" w14:textId="77777777" w:rsidR="00D70AEA" w:rsidRDefault="00EA79B2" w:rsidP="00EA79B2">
      <w:pPr>
        <w:pStyle w:val="Titlu1"/>
        <w:rPr>
          <w:rFonts w:ascii="Arial" w:eastAsia="Times New Roman" w:hAnsi="Arial" w:cs="Arial"/>
          <w:b/>
          <w:bCs/>
          <w:color w:val="auto"/>
          <w:sz w:val="28"/>
          <w:szCs w:val="28"/>
          <w:lang w:val="it-IT" w:eastAsia="ro-RO"/>
        </w:rPr>
      </w:pPr>
      <w:bookmarkStart w:id="448" w:name="_Toc61264920"/>
      <w:bookmarkStart w:id="449" w:name="_Toc142039107"/>
      <w:r w:rsidRPr="00EA79B2">
        <w:rPr>
          <w:rFonts w:asciiTheme="minorHAnsi" w:eastAsia="SimSun" w:hAnsiTheme="minorHAnsi" w:cstheme="minorBidi"/>
          <w:noProof/>
          <w:color w:val="auto"/>
          <w:sz w:val="22"/>
          <w:szCs w:val="22"/>
        </w:rPr>
        <w:lastRenderedPageBreak/>
        <mc:AlternateContent>
          <mc:Choice Requires="wps">
            <w:drawing>
              <wp:anchor distT="0" distB="0" distL="114300" distR="114300" simplePos="0" relativeHeight="251628032" behindDoc="0" locked="0" layoutInCell="1" allowOverlap="1" wp14:anchorId="3325B765" wp14:editId="48F9628D">
                <wp:simplePos x="0" y="0"/>
                <wp:positionH relativeFrom="column">
                  <wp:posOffset>6200775</wp:posOffset>
                </wp:positionH>
                <wp:positionV relativeFrom="paragraph">
                  <wp:posOffset>-28575</wp:posOffset>
                </wp:positionV>
                <wp:extent cx="1828800" cy="1828800"/>
                <wp:effectExtent l="0" t="0" r="0" b="0"/>
                <wp:wrapNone/>
                <wp:docPr id="54" name="Text Box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702F661" w14:textId="77777777" w:rsidR="00C36A80" w:rsidRPr="00BB0D72" w:rsidRDefault="00C36A80" w:rsidP="00EA79B2">
                            <w:pPr>
                              <w:pStyle w:val="Titlu1"/>
                              <w:jc w:val="center"/>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pPr>
                            <w:bookmarkStart w:id="450" w:name="_Toc142039108"/>
                            <w:r w:rsidRPr="00BB0D72">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t>I.7</w:t>
                            </w:r>
                            <w:bookmarkEnd w:id="450"/>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325B765" id="Text Box 54" o:spid="_x0000_s1089" type="#_x0000_t202" style="position:absolute;margin-left:488.25pt;margin-top:-2.25pt;width:2in;height:2in;z-index:251628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" filled="f" stroked="f">
                <v:textbox style="mso-fit-shape-to-text:t">
                  <w:txbxContent>
                    <w:p w14:paraId="6702F661" w14:textId="77777777" w:rsidR="00C36A80" w:rsidRPr="00BB0D72" w:rsidRDefault="00C36A80" w:rsidP="00EA79B2">
                      <w:pPr>
                        <w:pStyle w:val="Titlu1"/>
                        <w:jc w:val="center"/>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pPr>
                      <w:bookmarkStart w:id="451" w:name="_Toc142039108"/>
                      <w:r w:rsidRPr="00BB0D72">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t>I.7</w:t>
                      </w:r>
                      <w:bookmarkEnd w:id="451"/>
                    </w:p>
                  </w:txbxContent>
                </v:textbox>
              </v:shape>
            </w:pict>
          </mc:Fallback>
        </mc:AlternateContent>
      </w:r>
      <w:r w:rsidR="00D70AEA" w:rsidRPr="00EA79B2">
        <w:rPr>
          <w:rFonts w:ascii="Arial" w:eastAsia="Times New Roman" w:hAnsi="Arial" w:cs="Arial"/>
          <w:b/>
          <w:bCs/>
          <w:color w:val="auto"/>
          <w:sz w:val="28"/>
          <w:szCs w:val="28"/>
          <w:lang w:val="it-IT" w:eastAsia="ro-RO"/>
        </w:rPr>
        <w:t>I.7 Evaluarea impactului mobilitatii în cadrul celor 3 scenarii</w:t>
      </w:r>
      <w:bookmarkEnd w:id="448"/>
      <w:bookmarkEnd w:id="449"/>
    </w:p>
    <w:p w14:paraId="241AE2E2" w14:textId="77777777" w:rsidR="0060531A" w:rsidRPr="0060531A" w:rsidRDefault="0060531A" w:rsidP="0060531A">
      <w:pPr>
        <w:widowControl w:val="0"/>
        <w:suppressAutoHyphens/>
        <w:spacing w:after="0" w:line="276" w:lineRule="auto"/>
        <w:jc w:val="both"/>
        <w:rPr>
          <w:rFonts w:ascii="Arial" w:hAnsi="Arial" w:cs="Arial"/>
          <w:kern w:val="1"/>
          <w:lang w:val="ro-RO" w:eastAsia="hi-IN" w:bidi="hi-IN"/>
        </w:rPr>
      </w:pPr>
      <w:r w:rsidRPr="0060531A">
        <w:rPr>
          <w:rFonts w:ascii="Arial" w:hAnsi="Arial" w:cs="Arial"/>
          <w:kern w:val="1"/>
          <w:lang w:val="ro-RO" w:eastAsia="hi-IN" w:bidi="hi-IN"/>
        </w:rPr>
        <w:t>Așa cum s-a prezentat și în cadrul capitolului 5, au fost luate în considerare următoarele scenarii:</w:t>
      </w:r>
    </w:p>
    <w:p w14:paraId="367ECFC5" w14:textId="77777777" w:rsidR="0060531A" w:rsidRPr="0060531A" w:rsidRDefault="0060531A" w:rsidP="0060531A">
      <w:pPr>
        <w:widowControl w:val="0"/>
        <w:suppressAutoHyphens/>
        <w:spacing w:after="0" w:line="276" w:lineRule="auto"/>
        <w:jc w:val="center"/>
        <w:rPr>
          <w:rFonts w:ascii="Arial" w:hAnsi="Arial" w:cs="Arial"/>
          <w:kern w:val="1"/>
          <w:lang w:val="ro-RO" w:eastAsia="hi-IN" w:bidi="hi-IN"/>
        </w:rPr>
      </w:pPr>
    </w:p>
    <w:p w14:paraId="39F57FF9" w14:textId="77777777" w:rsidR="0060531A" w:rsidRPr="0060531A" w:rsidRDefault="0060531A" w:rsidP="0060531A">
      <w:pPr>
        <w:suppressAutoHyphens/>
        <w:autoSpaceDE w:val="0"/>
        <w:spacing w:after="0" w:line="276" w:lineRule="auto"/>
        <w:jc w:val="both"/>
        <w:rPr>
          <w:rFonts w:ascii="Arial" w:eastAsia="Calibri" w:hAnsi="Arial" w:cs="Arial"/>
          <w:color w:val="000000"/>
          <w:lang w:eastAsia="zh-CN"/>
        </w:rPr>
      </w:pPr>
      <w:r w:rsidRPr="0060531A">
        <w:rPr>
          <w:rFonts w:ascii="Arial" w:eastAsia="Calibri" w:hAnsi="Arial" w:cs="Arial"/>
          <w:b/>
          <w:color w:val="000000"/>
          <w:lang w:eastAsia="zh-CN"/>
        </w:rPr>
        <w:t xml:space="preserve">Scenariul 1 </w:t>
      </w:r>
      <w:r w:rsidRPr="0060531A">
        <w:rPr>
          <w:rFonts w:ascii="Arial" w:eastAsia="Calibri" w:hAnsi="Arial" w:cs="Arial"/>
          <w:b/>
          <w:bCs/>
          <w:color w:val="000000"/>
          <w:lang w:eastAsia="zh-CN"/>
        </w:rPr>
        <w:t>– “ca până în prezent”</w:t>
      </w:r>
      <w:r w:rsidRPr="0060531A">
        <w:rPr>
          <w:rFonts w:ascii="Arial" w:eastAsia="Calibri" w:hAnsi="Arial" w:cs="Arial"/>
          <w:color w:val="000000"/>
          <w:lang w:eastAsia="zh-CN"/>
        </w:rPr>
        <w:t xml:space="preserve"> </w:t>
      </w:r>
    </w:p>
    <w:p w14:paraId="1A3B5145" w14:textId="77777777" w:rsidR="0060531A" w:rsidRPr="0060531A" w:rsidRDefault="0060531A" w:rsidP="0060531A">
      <w:pPr>
        <w:widowControl w:val="0"/>
        <w:numPr>
          <w:ilvl w:val="0"/>
          <w:numId w:val="104"/>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durata vizatǎ: pe termen SCURT (2023) </w:t>
      </w:r>
    </w:p>
    <w:p w14:paraId="70A9876D" w14:textId="77777777" w:rsidR="0060531A" w:rsidRPr="0060531A" w:rsidRDefault="0060531A" w:rsidP="0060531A">
      <w:pPr>
        <w:widowControl w:val="0"/>
        <w:numPr>
          <w:ilvl w:val="0"/>
          <w:numId w:val="104"/>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specificitatea socio-economicǎ: într-un cadru dominat de OPTIMISM </w:t>
      </w:r>
    </w:p>
    <w:p w14:paraId="32BD45C1" w14:textId="77777777" w:rsidR="0060531A" w:rsidRPr="0060531A" w:rsidRDefault="0060531A" w:rsidP="0060531A">
      <w:pPr>
        <w:widowControl w:val="0"/>
        <w:numPr>
          <w:ilvl w:val="0"/>
          <w:numId w:val="104"/>
        </w:numPr>
        <w:suppressAutoHyphens/>
        <w:autoSpaceDE w:val="0"/>
        <w:spacing w:after="0" w:line="276" w:lineRule="auto"/>
        <w:jc w:val="both"/>
        <w:rPr>
          <w:rFonts w:ascii="Arial" w:eastAsia="Calibri" w:hAnsi="Arial" w:cs="Arial"/>
          <w:color w:val="000000"/>
          <w:lang w:eastAsia="zh-CN"/>
        </w:rPr>
      </w:pPr>
      <w:r w:rsidRPr="0060531A">
        <w:rPr>
          <w:rFonts w:ascii="Arial" w:eastAsia="Calibri" w:hAnsi="Arial" w:cs="Arial"/>
          <w:color w:val="000000"/>
          <w:lang w:eastAsia="zh-CN"/>
        </w:rPr>
        <w:t xml:space="preserve">caracteristica dezvoltǎrii: ACȚIUNI INDEPENDENTE </w:t>
      </w:r>
    </w:p>
    <w:p w14:paraId="2229B8FC" w14:textId="77777777" w:rsidR="0060531A" w:rsidRPr="0060531A" w:rsidRDefault="0060531A" w:rsidP="0060531A">
      <w:pPr>
        <w:widowControl w:val="0"/>
        <w:numPr>
          <w:ilvl w:val="0"/>
          <w:numId w:val="104"/>
        </w:numPr>
        <w:suppressAutoHyphens/>
        <w:autoSpaceDE w:val="0"/>
        <w:spacing w:after="0" w:line="276" w:lineRule="auto"/>
        <w:jc w:val="both"/>
        <w:rPr>
          <w:rFonts w:ascii="Arial" w:eastAsia="Times New Roman" w:hAnsi="Arial" w:cs="Arial"/>
          <w:lang w:val="es-ES" w:eastAsia="ro-RO"/>
        </w:rPr>
      </w:pPr>
      <w:r w:rsidRPr="0060531A">
        <w:rPr>
          <w:rFonts w:ascii="Arial" w:eastAsia="Calibri" w:hAnsi="Arial" w:cs="Arial"/>
          <w:color w:val="000000"/>
          <w:lang w:val="es-ES" w:eastAsia="zh-CN"/>
        </w:rPr>
        <w:t xml:space="preserve">scop: mobilitate prin STABILIZAREA sistemului de transport și a traficului în interiorul orașului. </w:t>
      </w:r>
    </w:p>
    <w:p w14:paraId="35AA540B" w14:textId="77777777" w:rsidR="0060531A" w:rsidRPr="0060531A" w:rsidRDefault="0060531A" w:rsidP="0060531A">
      <w:pPr>
        <w:widowControl w:val="0"/>
        <w:numPr>
          <w:ilvl w:val="0"/>
          <w:numId w:val="104"/>
        </w:numPr>
        <w:suppressAutoHyphens/>
        <w:autoSpaceDE w:val="0"/>
        <w:spacing w:after="0" w:line="276" w:lineRule="auto"/>
        <w:jc w:val="both"/>
        <w:rPr>
          <w:rFonts w:ascii="Arial" w:eastAsia="Times New Roman" w:hAnsi="Arial" w:cs="Arial"/>
          <w:lang w:eastAsia="ro-RO"/>
        </w:rPr>
      </w:pPr>
      <w:r w:rsidRPr="0060531A">
        <w:rPr>
          <w:rFonts w:ascii="Arial" w:eastAsia="Calibri" w:hAnsi="Arial" w:cs="Arial"/>
          <w:color w:val="000000"/>
          <w:lang w:eastAsia="zh-CN"/>
        </w:rPr>
        <w:t>conţinut: proiecte/măsuri care sunt în curs de realizare/finalizare.</w:t>
      </w:r>
    </w:p>
    <w:p w14:paraId="6267022F" w14:textId="77777777" w:rsidR="0060531A" w:rsidRPr="0060531A" w:rsidRDefault="0060531A" w:rsidP="0060531A">
      <w:pPr>
        <w:suppressAutoHyphens/>
        <w:autoSpaceDE w:val="0"/>
        <w:spacing w:after="0" w:line="276" w:lineRule="auto"/>
        <w:jc w:val="both"/>
        <w:rPr>
          <w:rFonts w:ascii="Arial" w:eastAsia="Times New Roman" w:hAnsi="Arial" w:cs="Arial"/>
          <w:lang w:eastAsia="ro-RO"/>
        </w:rPr>
      </w:pPr>
    </w:p>
    <w:p w14:paraId="24CBBD43" w14:textId="77777777" w:rsidR="0060531A" w:rsidRPr="0060531A" w:rsidRDefault="0060531A" w:rsidP="0060531A">
      <w:pPr>
        <w:suppressAutoHyphens/>
        <w:autoSpaceDE w:val="0"/>
        <w:spacing w:after="0" w:line="276" w:lineRule="auto"/>
        <w:jc w:val="both"/>
        <w:rPr>
          <w:rFonts w:ascii="Arial" w:eastAsia="Calibri" w:hAnsi="Arial" w:cs="Arial"/>
          <w:color w:val="000000"/>
          <w:lang w:eastAsia="zh-CN"/>
        </w:rPr>
      </w:pPr>
      <w:r w:rsidRPr="0060531A">
        <w:rPr>
          <w:rFonts w:ascii="Arial" w:eastAsia="Times New Roman" w:hAnsi="Arial" w:cs="Arial"/>
          <w:b/>
          <w:color w:val="000000"/>
          <w:lang w:eastAsia="ro-RO"/>
        </w:rPr>
        <w:t xml:space="preserve">Scenariul 2 </w:t>
      </w:r>
      <w:r w:rsidRPr="0060531A">
        <w:rPr>
          <w:rFonts w:ascii="Arial" w:eastAsia="Times New Roman" w:hAnsi="Arial" w:cs="Arial"/>
          <w:b/>
          <w:bCs/>
          <w:color w:val="000000"/>
          <w:lang w:eastAsia="ro-RO"/>
        </w:rPr>
        <w:t>– “politica minimalista”</w:t>
      </w:r>
      <w:r w:rsidRPr="0060531A">
        <w:rPr>
          <w:rFonts w:ascii="Arial" w:eastAsia="Times New Roman" w:hAnsi="Arial" w:cs="Arial"/>
          <w:color w:val="000000"/>
          <w:lang w:eastAsia="ro-RO"/>
        </w:rPr>
        <w:t xml:space="preserve">  </w:t>
      </w:r>
    </w:p>
    <w:p w14:paraId="3728744E" w14:textId="77777777" w:rsidR="0060531A" w:rsidRPr="0060531A" w:rsidRDefault="0060531A" w:rsidP="0060531A">
      <w:pPr>
        <w:widowControl w:val="0"/>
        <w:numPr>
          <w:ilvl w:val="0"/>
          <w:numId w:val="105"/>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durata vizatǎ: pe termen MEDIU (2027) </w:t>
      </w:r>
    </w:p>
    <w:p w14:paraId="26029A52" w14:textId="77777777" w:rsidR="0060531A" w:rsidRPr="0060531A" w:rsidRDefault="0060531A" w:rsidP="0060531A">
      <w:pPr>
        <w:widowControl w:val="0"/>
        <w:numPr>
          <w:ilvl w:val="0"/>
          <w:numId w:val="105"/>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specificitatea socio-economicǎ: într-un cadru dominat de REALISM </w:t>
      </w:r>
    </w:p>
    <w:p w14:paraId="4CE7084A" w14:textId="77777777" w:rsidR="0060531A" w:rsidRPr="0060531A" w:rsidRDefault="0060531A" w:rsidP="0060531A">
      <w:pPr>
        <w:widowControl w:val="0"/>
        <w:numPr>
          <w:ilvl w:val="0"/>
          <w:numId w:val="105"/>
        </w:numPr>
        <w:suppressAutoHyphens/>
        <w:autoSpaceDE w:val="0"/>
        <w:spacing w:after="0" w:line="276" w:lineRule="auto"/>
        <w:jc w:val="both"/>
        <w:rPr>
          <w:rFonts w:ascii="Arial" w:eastAsia="Calibri" w:hAnsi="Arial" w:cs="Arial"/>
          <w:color w:val="000000"/>
          <w:lang w:eastAsia="zh-CN"/>
        </w:rPr>
      </w:pPr>
      <w:r w:rsidRPr="0060531A">
        <w:rPr>
          <w:rFonts w:ascii="Arial" w:eastAsia="Calibri" w:hAnsi="Arial" w:cs="Arial"/>
          <w:color w:val="000000"/>
          <w:lang w:eastAsia="zh-CN"/>
        </w:rPr>
        <w:t xml:space="preserve">caracteristica dezvoltǎrii: ACȚIUNI INTENSIVE/EXTENSIVE </w:t>
      </w:r>
    </w:p>
    <w:p w14:paraId="5635EA2E" w14:textId="77777777" w:rsidR="0060531A" w:rsidRPr="0060531A" w:rsidRDefault="0060531A" w:rsidP="0060531A">
      <w:pPr>
        <w:widowControl w:val="0"/>
        <w:numPr>
          <w:ilvl w:val="0"/>
          <w:numId w:val="105"/>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scop: mobilitate prin ECHILIBRAREA sistemului de transport privat și de marfǎ în interiorul orașului. </w:t>
      </w:r>
    </w:p>
    <w:p w14:paraId="6D65C4BE" w14:textId="77777777" w:rsidR="0060531A" w:rsidRPr="0060531A" w:rsidRDefault="0060531A" w:rsidP="0060531A">
      <w:pPr>
        <w:widowControl w:val="0"/>
        <w:numPr>
          <w:ilvl w:val="0"/>
          <w:numId w:val="105"/>
        </w:numPr>
        <w:suppressAutoHyphens/>
        <w:autoSpaceDE w:val="0"/>
        <w:spacing w:after="0" w:line="276" w:lineRule="auto"/>
        <w:jc w:val="both"/>
        <w:rPr>
          <w:rFonts w:ascii="Arial" w:eastAsia="Calibri" w:hAnsi="Arial" w:cs="Arial"/>
          <w:color w:val="000000"/>
          <w:lang w:eastAsia="zh-CN"/>
        </w:rPr>
      </w:pPr>
      <w:r w:rsidRPr="0060531A">
        <w:rPr>
          <w:rFonts w:ascii="Arial" w:eastAsia="Calibri" w:hAnsi="Arial" w:cs="Arial"/>
          <w:color w:val="000000"/>
          <w:lang w:eastAsia="zh-CN"/>
        </w:rPr>
        <w:t>conţinut: proiecte/măsuri cu costuri şi/sau durate de execuţie reduse si medii.</w:t>
      </w:r>
    </w:p>
    <w:p w14:paraId="7439ABA6" w14:textId="77777777" w:rsidR="0060531A" w:rsidRPr="0060531A" w:rsidRDefault="0060531A" w:rsidP="0060531A">
      <w:pPr>
        <w:suppressAutoHyphens/>
        <w:autoSpaceDE w:val="0"/>
        <w:spacing w:after="0" w:line="276" w:lineRule="auto"/>
        <w:jc w:val="both"/>
        <w:rPr>
          <w:rFonts w:ascii="Arial" w:eastAsia="Calibri" w:hAnsi="Arial" w:cs="Arial"/>
          <w:color w:val="000000"/>
          <w:lang w:eastAsia="zh-CN"/>
        </w:rPr>
      </w:pPr>
    </w:p>
    <w:p w14:paraId="637AFE9B" w14:textId="77777777" w:rsidR="0060531A" w:rsidRPr="0060531A" w:rsidRDefault="0060531A" w:rsidP="0060531A">
      <w:pPr>
        <w:suppressAutoHyphens/>
        <w:autoSpaceDE w:val="0"/>
        <w:spacing w:after="0" w:line="276" w:lineRule="auto"/>
        <w:jc w:val="both"/>
        <w:rPr>
          <w:rFonts w:ascii="Arial" w:eastAsia="Calibri" w:hAnsi="Arial" w:cs="Arial"/>
          <w:color w:val="000000"/>
          <w:lang w:eastAsia="zh-CN"/>
        </w:rPr>
      </w:pPr>
      <w:r w:rsidRPr="0060531A">
        <w:rPr>
          <w:rFonts w:ascii="Arial" w:eastAsia="Calibri" w:hAnsi="Arial" w:cs="Arial"/>
          <w:b/>
          <w:color w:val="000000"/>
          <w:lang w:eastAsia="zh-CN"/>
        </w:rPr>
        <w:t xml:space="preserve">Scenariul 3 </w:t>
      </w:r>
      <w:r w:rsidRPr="0060531A">
        <w:rPr>
          <w:rFonts w:ascii="Arial" w:eastAsia="Calibri" w:hAnsi="Arial" w:cs="Arial"/>
          <w:b/>
          <w:bCs/>
          <w:color w:val="000000"/>
          <w:lang w:eastAsia="zh-CN"/>
        </w:rPr>
        <w:t>– “politica angajantă”</w:t>
      </w:r>
      <w:r w:rsidRPr="0060531A">
        <w:rPr>
          <w:rFonts w:ascii="Arial" w:eastAsia="Calibri" w:hAnsi="Arial" w:cs="Arial"/>
          <w:color w:val="000000"/>
          <w:lang w:eastAsia="zh-CN"/>
        </w:rPr>
        <w:t xml:space="preserve"> </w:t>
      </w:r>
    </w:p>
    <w:p w14:paraId="00867188" w14:textId="77777777" w:rsidR="0060531A" w:rsidRPr="0060531A" w:rsidRDefault="0060531A" w:rsidP="0060531A">
      <w:pPr>
        <w:widowControl w:val="0"/>
        <w:numPr>
          <w:ilvl w:val="0"/>
          <w:numId w:val="106"/>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durata vizatǎ: pe termen LUNG (2035) </w:t>
      </w:r>
    </w:p>
    <w:p w14:paraId="40BE0D21" w14:textId="77777777" w:rsidR="0060531A" w:rsidRPr="0060531A" w:rsidRDefault="0060531A" w:rsidP="0060531A">
      <w:pPr>
        <w:widowControl w:val="0"/>
        <w:numPr>
          <w:ilvl w:val="0"/>
          <w:numId w:val="106"/>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specificitatea socio-economicǎ: într-un cadru dominat de REALISM </w:t>
      </w:r>
    </w:p>
    <w:p w14:paraId="560A7099" w14:textId="77777777" w:rsidR="0060531A" w:rsidRPr="0060531A" w:rsidRDefault="0060531A" w:rsidP="0060531A">
      <w:pPr>
        <w:widowControl w:val="0"/>
        <w:numPr>
          <w:ilvl w:val="0"/>
          <w:numId w:val="106"/>
        </w:numPr>
        <w:suppressAutoHyphens/>
        <w:autoSpaceDE w:val="0"/>
        <w:spacing w:after="0" w:line="276" w:lineRule="auto"/>
        <w:jc w:val="both"/>
        <w:rPr>
          <w:rFonts w:ascii="Arial" w:eastAsia="Calibri" w:hAnsi="Arial" w:cs="Arial"/>
          <w:color w:val="000000"/>
          <w:lang w:eastAsia="zh-CN"/>
        </w:rPr>
      </w:pPr>
      <w:r w:rsidRPr="0060531A">
        <w:rPr>
          <w:rFonts w:ascii="Arial" w:eastAsia="Calibri" w:hAnsi="Arial" w:cs="Arial"/>
          <w:color w:val="000000"/>
          <w:lang w:eastAsia="zh-CN"/>
        </w:rPr>
        <w:t xml:space="preserve">caracteristica dezvoltǎrii: ACȚIUNI COORDONATE </w:t>
      </w:r>
    </w:p>
    <w:p w14:paraId="698E7911" w14:textId="77777777" w:rsidR="0060531A" w:rsidRPr="0060531A" w:rsidRDefault="0060531A" w:rsidP="0060531A">
      <w:pPr>
        <w:widowControl w:val="0"/>
        <w:numPr>
          <w:ilvl w:val="0"/>
          <w:numId w:val="106"/>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scop: mobilitate prin ECHILIBRAREA sistemului de transport și a traficului în interiorul orașului, în condițiile în care politicile de utilizare a spațiului sunt convergente cu obiectivele dezvoltǎrii durabile. </w:t>
      </w:r>
    </w:p>
    <w:p w14:paraId="19C77910" w14:textId="77777777" w:rsidR="0060531A" w:rsidRPr="0060531A" w:rsidRDefault="0060531A" w:rsidP="0060531A">
      <w:pPr>
        <w:widowControl w:val="0"/>
        <w:numPr>
          <w:ilvl w:val="0"/>
          <w:numId w:val="106"/>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conţinut: proiecte/măsuri cu costuri şi/sau durate de execuţie mari (de anvergură).</w:t>
      </w:r>
    </w:p>
    <w:p w14:paraId="147C2645"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79D4D52B" w14:textId="77777777" w:rsidR="0060531A" w:rsidRPr="0060531A" w:rsidRDefault="0060531A" w:rsidP="0060531A">
      <w:pPr>
        <w:suppressAutoHyphens/>
        <w:autoSpaceDE w:val="0"/>
        <w:spacing w:after="0" w:line="276" w:lineRule="auto"/>
        <w:jc w:val="both"/>
        <w:rPr>
          <w:rFonts w:ascii="Arial" w:eastAsia="Calibri" w:hAnsi="Arial" w:cs="Arial"/>
          <w:i/>
          <w:color w:val="000000"/>
          <w:lang w:val="es-ES" w:eastAsia="zh-CN"/>
        </w:rPr>
      </w:pPr>
      <w:r w:rsidRPr="0060531A">
        <w:rPr>
          <w:rFonts w:ascii="Arial" w:eastAsia="Calibri" w:hAnsi="Arial" w:cs="Arial"/>
          <w:i/>
          <w:color w:val="000000"/>
          <w:lang w:val="es-ES" w:eastAsia="zh-CN"/>
        </w:rPr>
        <w:t>Repartizarea măsurilor pe scenarii:</w:t>
      </w:r>
    </w:p>
    <w:p w14:paraId="7502C3FC"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06259402"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b/>
          <w:color w:val="000000"/>
          <w:lang w:val="es-ES" w:eastAsia="zh-CN"/>
        </w:rPr>
        <w:t xml:space="preserve">Scenariul 1 </w:t>
      </w:r>
      <w:r w:rsidRPr="0060531A">
        <w:rPr>
          <w:rFonts w:ascii="Arial" w:eastAsia="Calibri" w:hAnsi="Arial" w:cs="Arial"/>
          <w:b/>
          <w:bCs/>
          <w:color w:val="000000"/>
          <w:lang w:val="es-ES" w:eastAsia="zh-CN"/>
        </w:rPr>
        <w:t>– “ca până în prezent”</w:t>
      </w:r>
      <w:r w:rsidRPr="0060531A">
        <w:rPr>
          <w:rFonts w:ascii="Arial" w:eastAsia="Calibri" w:hAnsi="Arial" w:cs="Arial"/>
          <w:color w:val="000000"/>
          <w:lang w:val="es-ES" w:eastAsia="zh-CN"/>
        </w:rPr>
        <w:t xml:space="preserve"> </w:t>
      </w:r>
    </w:p>
    <w:p w14:paraId="6AABD522"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r w:rsidRPr="0060531A">
        <w:rPr>
          <w:rFonts w:ascii="Arial" w:hAnsi="Arial" w:cs="Arial"/>
          <w:kern w:val="1"/>
          <w:lang w:val="es-ES" w:eastAsia="hi-IN" w:bidi="hi-IN"/>
        </w:rPr>
        <w:t xml:space="preserve">Pe lângă creșterile prognozate ale traficului și ale altor parametri socio-economici se introduc și proiectele de infrastructură care sunt în curs de realizare/finalizare. </w:t>
      </w:r>
    </w:p>
    <w:p w14:paraId="5D1C7355" w14:textId="77777777" w:rsidR="0060531A" w:rsidRPr="0060531A" w:rsidRDefault="0060531A" w:rsidP="0060531A">
      <w:pPr>
        <w:widowControl w:val="0"/>
        <w:suppressAutoHyphens/>
        <w:spacing w:after="0" w:line="360" w:lineRule="auto"/>
        <w:jc w:val="both"/>
        <w:rPr>
          <w:rFonts w:ascii="Arial" w:hAnsi="Arial" w:cs="Arial"/>
          <w:kern w:val="1"/>
          <w:sz w:val="24"/>
          <w:szCs w:val="24"/>
          <w:lang w:val="es-ES" w:eastAsia="hi-IN" w:bidi="hi-IN"/>
        </w:rPr>
      </w:pPr>
    </w:p>
    <w:p w14:paraId="278178FE" w14:textId="203F8C12" w:rsidR="0060531A" w:rsidRPr="0040078C" w:rsidRDefault="0040078C" w:rsidP="0040078C">
      <w:pPr>
        <w:pStyle w:val="Legend"/>
        <w:jc w:val="center"/>
        <w:rPr>
          <w:rFonts w:ascii="Arial" w:hAnsi="Arial" w:cs="Arial"/>
          <w:i w:val="0"/>
          <w:iCs w:val="0"/>
          <w:color w:val="1F497D"/>
          <w:kern w:val="1"/>
          <w:sz w:val="22"/>
          <w:szCs w:val="22"/>
          <w:lang w:val="es-ES" w:eastAsia="hi-IN" w:bidi="hi-IN"/>
        </w:rPr>
      </w:pPr>
      <w:bookmarkStart w:id="452" w:name="_Toc96463897"/>
      <w:r w:rsidRPr="0040078C">
        <w:rPr>
          <w:rFonts w:ascii="Arial" w:hAnsi="Arial" w:cs="Arial"/>
          <w:sz w:val="22"/>
          <w:szCs w:val="22"/>
        </w:rPr>
        <w:t xml:space="preserve">Tabel I.7. </w:t>
      </w:r>
      <w:r w:rsidRPr="0040078C">
        <w:rPr>
          <w:rFonts w:ascii="Arial" w:hAnsi="Arial" w:cs="Arial"/>
          <w:sz w:val="22"/>
          <w:szCs w:val="22"/>
        </w:rPr>
        <w:fldChar w:fldCharType="begin"/>
      </w:r>
      <w:r w:rsidRPr="0040078C">
        <w:rPr>
          <w:rFonts w:ascii="Arial" w:hAnsi="Arial" w:cs="Arial"/>
          <w:sz w:val="22"/>
          <w:szCs w:val="22"/>
        </w:rPr>
        <w:instrText xml:space="preserve"> SEQ Tabel_I.7. \* ARABIC </w:instrText>
      </w:r>
      <w:r w:rsidRPr="0040078C">
        <w:rPr>
          <w:rFonts w:ascii="Arial" w:hAnsi="Arial" w:cs="Arial"/>
          <w:sz w:val="22"/>
          <w:szCs w:val="22"/>
        </w:rPr>
        <w:fldChar w:fldCharType="separate"/>
      </w:r>
      <w:r w:rsidR="00BB181C">
        <w:rPr>
          <w:rFonts w:ascii="Arial" w:hAnsi="Arial" w:cs="Arial"/>
          <w:noProof/>
          <w:sz w:val="22"/>
          <w:szCs w:val="22"/>
        </w:rPr>
        <w:t>1</w:t>
      </w:r>
      <w:r w:rsidRPr="0040078C">
        <w:rPr>
          <w:rFonts w:ascii="Arial" w:hAnsi="Arial" w:cs="Arial"/>
          <w:sz w:val="22"/>
          <w:szCs w:val="22"/>
        </w:rPr>
        <w:fldChar w:fldCharType="end"/>
      </w:r>
      <w:r w:rsidRPr="0040078C">
        <w:rPr>
          <w:rFonts w:ascii="Arial" w:hAnsi="Arial" w:cs="Arial"/>
          <w:sz w:val="22"/>
          <w:szCs w:val="22"/>
        </w:rPr>
        <w:t xml:space="preserve"> - </w:t>
      </w:r>
      <w:r w:rsidRPr="0040078C">
        <w:rPr>
          <w:rFonts w:ascii="Arial" w:hAnsi="Arial" w:cs="Arial"/>
          <w:i w:val="0"/>
          <w:iCs w:val="0"/>
          <w:sz w:val="22"/>
          <w:szCs w:val="22"/>
        </w:rPr>
        <w:t>Proiecte de mobilitate aflate în derulare și care vor fi incluse în Scenariul 1</w:t>
      </w:r>
      <w:bookmarkEnd w:id="452"/>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E0" w:firstRow="1" w:lastRow="1" w:firstColumn="1" w:lastColumn="0" w:noHBand="0" w:noVBand="1"/>
      </w:tblPr>
      <w:tblGrid>
        <w:gridCol w:w="567"/>
        <w:gridCol w:w="3969"/>
        <w:gridCol w:w="1315"/>
        <w:gridCol w:w="1530"/>
      </w:tblGrid>
      <w:tr w:rsidR="00FB34DC" w:rsidRPr="00FB34DC" w14:paraId="75B3E76F" w14:textId="77777777" w:rsidTr="00655DD6">
        <w:trPr>
          <w:trHeight w:val="846"/>
          <w:jc w:val="center"/>
        </w:trPr>
        <w:tc>
          <w:tcPr>
            <w:tcW w:w="567" w:type="dxa"/>
            <w:tcBorders>
              <w:top w:val="single" w:sz="4" w:space="0" w:color="auto"/>
              <w:left w:val="single" w:sz="4" w:space="0" w:color="auto"/>
              <w:bottom w:val="single" w:sz="4" w:space="0" w:color="auto"/>
              <w:right w:val="single" w:sz="4" w:space="0" w:color="auto"/>
            </w:tcBorders>
            <w:shd w:val="clear" w:color="auto" w:fill="BFBFBF"/>
            <w:vAlign w:val="center"/>
          </w:tcPr>
          <w:p w14:paraId="2D0B7E71" w14:textId="77777777" w:rsidR="00FB34DC" w:rsidRPr="00FB34DC" w:rsidRDefault="00FB34DC" w:rsidP="00FB34DC">
            <w:pPr>
              <w:spacing w:after="0" w:line="276" w:lineRule="auto"/>
              <w:jc w:val="center"/>
              <w:rPr>
                <w:rFonts w:ascii="Arial Narrow" w:eastAsia="Calibri" w:hAnsi="Arial Narrow" w:cs="Arial"/>
                <w:b/>
                <w:szCs w:val="20"/>
              </w:rPr>
            </w:pPr>
            <w:r w:rsidRPr="00FB34DC">
              <w:rPr>
                <w:rFonts w:ascii="Arial Narrow" w:eastAsia="Calibri" w:hAnsi="Arial Narrow" w:cs="Arial"/>
                <w:b/>
                <w:szCs w:val="20"/>
              </w:rPr>
              <w:t>Nr.</w:t>
            </w:r>
          </w:p>
          <w:p w14:paraId="2CFE8A8C" w14:textId="77777777" w:rsidR="00FB34DC" w:rsidRPr="00FB34DC" w:rsidRDefault="00FB34DC" w:rsidP="00FB34DC">
            <w:pPr>
              <w:spacing w:after="0" w:line="276" w:lineRule="auto"/>
              <w:jc w:val="center"/>
              <w:rPr>
                <w:rFonts w:ascii="Arial Narrow" w:eastAsia="Calibri" w:hAnsi="Arial Narrow" w:cs="Arial"/>
                <w:b/>
                <w:szCs w:val="20"/>
              </w:rPr>
            </w:pPr>
            <w:r w:rsidRPr="00FB34DC">
              <w:rPr>
                <w:rFonts w:ascii="Arial Narrow" w:eastAsia="Calibri" w:hAnsi="Arial Narrow" w:cs="Arial"/>
                <w:b/>
                <w:szCs w:val="20"/>
              </w:rPr>
              <w:t>crt.</w:t>
            </w:r>
          </w:p>
        </w:tc>
        <w:tc>
          <w:tcPr>
            <w:tcW w:w="3969" w:type="dxa"/>
            <w:tcBorders>
              <w:top w:val="single" w:sz="4" w:space="0" w:color="auto"/>
              <w:left w:val="single" w:sz="4" w:space="0" w:color="auto"/>
              <w:bottom w:val="single" w:sz="4" w:space="0" w:color="auto"/>
              <w:right w:val="single" w:sz="4" w:space="0" w:color="auto"/>
            </w:tcBorders>
            <w:shd w:val="clear" w:color="auto" w:fill="BFBFBF"/>
            <w:vAlign w:val="center"/>
          </w:tcPr>
          <w:p w14:paraId="3C15DA00" w14:textId="77777777" w:rsidR="00FB34DC" w:rsidRPr="00FB34DC" w:rsidRDefault="00FB34DC" w:rsidP="00FB34DC">
            <w:pPr>
              <w:spacing w:after="0" w:line="276" w:lineRule="auto"/>
              <w:jc w:val="center"/>
              <w:rPr>
                <w:rFonts w:ascii="Arial Narrow" w:eastAsia="Calibri" w:hAnsi="Arial Narrow" w:cs="Arial"/>
                <w:b/>
                <w:szCs w:val="20"/>
              </w:rPr>
            </w:pPr>
            <w:r w:rsidRPr="00FB34DC">
              <w:rPr>
                <w:rFonts w:ascii="Arial Narrow" w:eastAsia="Calibri" w:hAnsi="Arial Narrow" w:cs="Arial"/>
                <w:b/>
                <w:szCs w:val="20"/>
              </w:rPr>
              <w:t>Denumire obiectiv</w:t>
            </w:r>
          </w:p>
        </w:tc>
        <w:tc>
          <w:tcPr>
            <w:tcW w:w="1315" w:type="dxa"/>
            <w:tcBorders>
              <w:top w:val="single" w:sz="4" w:space="0" w:color="auto"/>
              <w:left w:val="single" w:sz="4" w:space="0" w:color="auto"/>
              <w:bottom w:val="single" w:sz="4" w:space="0" w:color="auto"/>
              <w:right w:val="single" w:sz="4" w:space="0" w:color="auto"/>
            </w:tcBorders>
            <w:shd w:val="clear" w:color="auto" w:fill="BFBFBF"/>
            <w:vAlign w:val="center"/>
          </w:tcPr>
          <w:p w14:paraId="2D59143C" w14:textId="77777777" w:rsidR="00FB34DC" w:rsidRPr="00FB34DC" w:rsidRDefault="00FB34DC" w:rsidP="00FB34DC">
            <w:pPr>
              <w:spacing w:after="0" w:line="276" w:lineRule="auto"/>
              <w:jc w:val="center"/>
              <w:rPr>
                <w:rFonts w:ascii="Arial Narrow" w:eastAsia="Calibri" w:hAnsi="Arial Narrow" w:cs="Arial"/>
                <w:b/>
                <w:szCs w:val="20"/>
              </w:rPr>
            </w:pPr>
            <w:r w:rsidRPr="00FB34DC">
              <w:rPr>
                <w:rFonts w:ascii="Arial Narrow" w:eastAsia="Calibri" w:hAnsi="Arial Narrow" w:cs="Arial"/>
                <w:b/>
                <w:szCs w:val="20"/>
              </w:rPr>
              <w:t>Categorie</w:t>
            </w:r>
          </w:p>
        </w:tc>
        <w:tc>
          <w:tcPr>
            <w:tcW w:w="1530" w:type="dxa"/>
            <w:tcBorders>
              <w:top w:val="single" w:sz="4" w:space="0" w:color="auto"/>
              <w:left w:val="single" w:sz="4" w:space="0" w:color="auto"/>
              <w:bottom w:val="single" w:sz="4" w:space="0" w:color="auto"/>
              <w:right w:val="single" w:sz="4" w:space="0" w:color="auto"/>
            </w:tcBorders>
            <w:shd w:val="clear" w:color="auto" w:fill="BFBFBF"/>
            <w:vAlign w:val="center"/>
          </w:tcPr>
          <w:p w14:paraId="4D69FA4B" w14:textId="77777777" w:rsidR="00FB34DC" w:rsidRPr="00FB34DC" w:rsidRDefault="00FB34DC" w:rsidP="00FB34DC">
            <w:pPr>
              <w:spacing w:after="0" w:line="276" w:lineRule="auto"/>
              <w:jc w:val="center"/>
              <w:rPr>
                <w:rFonts w:ascii="Arial Narrow" w:eastAsia="Calibri" w:hAnsi="Arial Narrow" w:cs="Arial"/>
                <w:b/>
                <w:szCs w:val="20"/>
              </w:rPr>
            </w:pPr>
            <w:r w:rsidRPr="00FB34DC">
              <w:rPr>
                <w:rFonts w:ascii="Arial Narrow" w:eastAsia="Calibri" w:hAnsi="Arial Narrow" w:cs="Arial"/>
                <w:b/>
                <w:szCs w:val="20"/>
              </w:rPr>
              <w:t>Data estimativa de finalizare a proiectului</w:t>
            </w:r>
          </w:p>
        </w:tc>
      </w:tr>
      <w:tr w:rsidR="00FB34DC" w:rsidRPr="00FB34DC" w14:paraId="3E46E62C" w14:textId="77777777" w:rsidTr="00655DD6">
        <w:trPr>
          <w:trHeight w:val="418"/>
          <w:jc w:val="center"/>
        </w:trPr>
        <w:tc>
          <w:tcPr>
            <w:tcW w:w="567" w:type="dxa"/>
            <w:tcBorders>
              <w:top w:val="single" w:sz="4" w:space="0" w:color="auto"/>
              <w:left w:val="single" w:sz="4" w:space="0" w:color="auto"/>
              <w:bottom w:val="single" w:sz="4" w:space="0" w:color="auto"/>
              <w:right w:val="single" w:sz="4" w:space="0" w:color="auto"/>
            </w:tcBorders>
          </w:tcPr>
          <w:p w14:paraId="11C28583"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1.</w:t>
            </w:r>
          </w:p>
        </w:tc>
        <w:tc>
          <w:tcPr>
            <w:tcW w:w="3969" w:type="dxa"/>
            <w:tcBorders>
              <w:top w:val="single" w:sz="4" w:space="0" w:color="auto"/>
              <w:left w:val="single" w:sz="4" w:space="0" w:color="auto"/>
              <w:bottom w:val="single" w:sz="4" w:space="0" w:color="auto"/>
              <w:right w:val="single" w:sz="4" w:space="0" w:color="auto"/>
            </w:tcBorders>
          </w:tcPr>
          <w:p w14:paraId="6E88B38D" w14:textId="77777777" w:rsidR="00FB34DC" w:rsidRPr="00FB34DC" w:rsidRDefault="00FB34DC" w:rsidP="00FB34DC">
            <w:pPr>
              <w:widowControl w:val="0"/>
              <w:suppressAutoHyphens/>
              <w:spacing w:after="0" w:line="240" w:lineRule="auto"/>
              <w:rPr>
                <w:rFonts w:ascii="Arial Narrow" w:eastAsia="Calibri" w:hAnsi="Arial Narrow" w:cs="Arial"/>
                <w:kern w:val="1"/>
                <w:sz w:val="20"/>
                <w:szCs w:val="20"/>
                <w:lang w:val="ro-RO" w:eastAsia="hi-IN" w:bidi="hi-IN"/>
              </w:rPr>
            </w:pPr>
            <w:r w:rsidRPr="00FB34DC">
              <w:rPr>
                <w:rFonts w:ascii="Arial Narrow" w:hAnsi="Arial Narrow" w:cs="Tahoma"/>
              </w:rPr>
              <w:t xml:space="preserve">Amenajarea zonei centrale pietonale a stațiunii turistice Horezu, județul Vâlcea, în vederea </w:t>
            </w:r>
            <w:r w:rsidRPr="00FB34DC">
              <w:rPr>
                <w:rFonts w:ascii="Arial Narrow" w:hAnsi="Arial Narrow" w:cs="Tahoma"/>
              </w:rPr>
              <w:lastRenderedPageBreak/>
              <w:t>consolidării identității locale și dezvoltării turismului</w:t>
            </w:r>
          </w:p>
        </w:tc>
        <w:tc>
          <w:tcPr>
            <w:tcW w:w="1315" w:type="dxa"/>
            <w:tcBorders>
              <w:top w:val="single" w:sz="4" w:space="0" w:color="auto"/>
              <w:left w:val="single" w:sz="4" w:space="0" w:color="auto"/>
              <w:bottom w:val="single" w:sz="4" w:space="0" w:color="auto"/>
              <w:right w:val="single" w:sz="4" w:space="0" w:color="auto"/>
            </w:tcBorders>
          </w:tcPr>
          <w:p w14:paraId="0D5D1493" w14:textId="77777777" w:rsidR="00FB34DC" w:rsidRPr="00FB34DC" w:rsidRDefault="00FB34DC" w:rsidP="00FB34DC">
            <w:pPr>
              <w:jc w:val="center"/>
              <w:rPr>
                <w:rFonts w:ascii="Arial Narrow" w:hAnsi="Arial Narrow" w:cs="Arial"/>
                <w:szCs w:val="20"/>
              </w:rPr>
            </w:pPr>
            <w:r w:rsidRPr="00FB34DC">
              <w:rPr>
                <w:rFonts w:ascii="Arial Narrow" w:hAnsi="Arial Narrow" w:cs="Arial"/>
                <w:szCs w:val="20"/>
              </w:rPr>
              <w:lastRenderedPageBreak/>
              <w:t xml:space="preserve">Mijloace alternative de </w:t>
            </w:r>
            <w:r w:rsidRPr="00FB34DC">
              <w:rPr>
                <w:rFonts w:ascii="Arial Narrow" w:hAnsi="Arial Narrow" w:cs="Arial"/>
                <w:szCs w:val="20"/>
              </w:rPr>
              <w:lastRenderedPageBreak/>
              <w:t>mobilitate</w:t>
            </w:r>
          </w:p>
        </w:tc>
        <w:tc>
          <w:tcPr>
            <w:tcW w:w="1530" w:type="dxa"/>
            <w:tcBorders>
              <w:top w:val="single" w:sz="4" w:space="0" w:color="auto"/>
              <w:left w:val="single" w:sz="4" w:space="0" w:color="auto"/>
              <w:bottom w:val="single" w:sz="4" w:space="0" w:color="auto"/>
              <w:right w:val="single" w:sz="4" w:space="0" w:color="auto"/>
            </w:tcBorders>
          </w:tcPr>
          <w:p w14:paraId="46EAF1B1" w14:textId="77777777" w:rsidR="00FB34DC" w:rsidRPr="00FB34DC" w:rsidRDefault="00FB34DC" w:rsidP="00FB34DC">
            <w:pPr>
              <w:jc w:val="center"/>
              <w:rPr>
                <w:rFonts w:ascii="Arial Narrow" w:hAnsi="Arial Narrow" w:cs="Arial"/>
                <w:color w:val="000000"/>
                <w:szCs w:val="20"/>
                <w:lang w:eastAsia="ro-RO"/>
              </w:rPr>
            </w:pPr>
            <w:r w:rsidRPr="00FB34DC">
              <w:rPr>
                <w:rFonts w:ascii="Arial Narrow" w:hAnsi="Arial Narrow" w:cs="Arial"/>
                <w:color w:val="000000"/>
                <w:szCs w:val="20"/>
                <w:lang w:eastAsia="ro-RO"/>
              </w:rPr>
              <w:lastRenderedPageBreak/>
              <w:t>2022</w:t>
            </w:r>
          </w:p>
        </w:tc>
      </w:tr>
      <w:tr w:rsidR="00FB34DC" w:rsidRPr="00FB34DC" w14:paraId="207DA109" w14:textId="77777777" w:rsidTr="00655DD6">
        <w:trPr>
          <w:trHeight w:val="1127"/>
          <w:jc w:val="center"/>
        </w:trPr>
        <w:tc>
          <w:tcPr>
            <w:tcW w:w="567" w:type="dxa"/>
            <w:tcBorders>
              <w:top w:val="single" w:sz="4" w:space="0" w:color="auto"/>
              <w:left w:val="single" w:sz="4" w:space="0" w:color="auto"/>
              <w:bottom w:val="single" w:sz="4" w:space="0" w:color="auto"/>
              <w:right w:val="single" w:sz="4" w:space="0" w:color="auto"/>
            </w:tcBorders>
          </w:tcPr>
          <w:p w14:paraId="40F8FBC7"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2.</w:t>
            </w:r>
          </w:p>
        </w:tc>
        <w:tc>
          <w:tcPr>
            <w:tcW w:w="3969" w:type="dxa"/>
            <w:tcBorders>
              <w:top w:val="single" w:sz="4" w:space="0" w:color="auto"/>
              <w:left w:val="single" w:sz="4" w:space="0" w:color="auto"/>
              <w:bottom w:val="single" w:sz="4" w:space="0" w:color="auto"/>
              <w:right w:val="single" w:sz="4" w:space="0" w:color="auto"/>
            </w:tcBorders>
          </w:tcPr>
          <w:p w14:paraId="2ADFDA4F" w14:textId="77777777" w:rsidR="00FB34DC" w:rsidRPr="00FB34DC" w:rsidRDefault="00FB34DC" w:rsidP="00FB34DC">
            <w:pPr>
              <w:widowControl w:val="0"/>
              <w:suppressAutoHyphens/>
              <w:autoSpaceDE w:val="0"/>
              <w:autoSpaceDN w:val="0"/>
              <w:adjustRightInd w:val="0"/>
              <w:spacing w:after="0" w:line="240" w:lineRule="auto"/>
              <w:rPr>
                <w:rFonts w:ascii="Arial Narrow" w:eastAsia="Calibri" w:hAnsi="Arial Narrow" w:cs="Arial"/>
                <w:kern w:val="1"/>
                <w:sz w:val="20"/>
                <w:szCs w:val="20"/>
                <w:lang w:val="ro-RO" w:eastAsia="hi-IN" w:bidi="hi-IN"/>
              </w:rPr>
            </w:pPr>
            <w:r w:rsidRPr="00FB34DC">
              <w:rPr>
                <w:rFonts w:ascii="Arial Narrow" w:hAnsi="Arial Narrow" w:cs="Tahoma"/>
              </w:rPr>
              <w:t>Înființarea parcului de agrement și recreere “Constantin Brâncoveanu” în orașul Horezu, județul Vâlcea</w:t>
            </w:r>
          </w:p>
        </w:tc>
        <w:tc>
          <w:tcPr>
            <w:tcW w:w="1315" w:type="dxa"/>
            <w:tcBorders>
              <w:top w:val="single" w:sz="4" w:space="0" w:color="auto"/>
              <w:left w:val="single" w:sz="4" w:space="0" w:color="auto"/>
              <w:bottom w:val="single" w:sz="4" w:space="0" w:color="auto"/>
              <w:right w:val="single" w:sz="4" w:space="0" w:color="auto"/>
            </w:tcBorders>
          </w:tcPr>
          <w:p w14:paraId="68C6DA72" w14:textId="77777777" w:rsidR="00FB34DC" w:rsidRPr="00FB34DC" w:rsidRDefault="00FB34DC" w:rsidP="00FB34DC">
            <w:pPr>
              <w:jc w:val="center"/>
              <w:rPr>
                <w:rFonts w:ascii="Arial Narrow" w:hAnsi="Arial Narrow" w:cs="Arial"/>
                <w:szCs w:val="20"/>
              </w:rPr>
            </w:pPr>
            <w:r w:rsidRPr="00FB34DC">
              <w:rPr>
                <w:rFonts w:ascii="Arial Narrow" w:hAnsi="Arial Narrow" w:cs="Arial"/>
                <w:szCs w:val="20"/>
              </w:rPr>
              <w:t>Mijloace alternative de mobilitate</w:t>
            </w:r>
          </w:p>
        </w:tc>
        <w:tc>
          <w:tcPr>
            <w:tcW w:w="1530" w:type="dxa"/>
            <w:tcBorders>
              <w:top w:val="single" w:sz="4" w:space="0" w:color="auto"/>
              <w:left w:val="single" w:sz="4" w:space="0" w:color="auto"/>
              <w:bottom w:val="single" w:sz="4" w:space="0" w:color="auto"/>
              <w:right w:val="single" w:sz="4" w:space="0" w:color="auto"/>
            </w:tcBorders>
          </w:tcPr>
          <w:p w14:paraId="2FB727C6" w14:textId="77777777" w:rsidR="00FB34DC" w:rsidRPr="00FB34DC" w:rsidRDefault="00FB34DC" w:rsidP="00FB34DC">
            <w:pPr>
              <w:autoSpaceDE w:val="0"/>
              <w:autoSpaceDN w:val="0"/>
              <w:adjustRightInd w:val="0"/>
              <w:jc w:val="center"/>
              <w:rPr>
                <w:rFonts w:ascii="Arial Narrow" w:eastAsia="Calibri" w:hAnsi="Arial Narrow" w:cs="Arial"/>
                <w:szCs w:val="20"/>
              </w:rPr>
            </w:pPr>
            <w:r w:rsidRPr="00FB34DC">
              <w:rPr>
                <w:rFonts w:ascii="Arial Narrow" w:eastAsia="Calibri" w:hAnsi="Arial Narrow" w:cs="Arial"/>
                <w:szCs w:val="20"/>
              </w:rPr>
              <w:t>2023</w:t>
            </w:r>
          </w:p>
        </w:tc>
      </w:tr>
      <w:tr w:rsidR="00FB34DC" w:rsidRPr="00FB34DC" w14:paraId="068C6509" w14:textId="77777777" w:rsidTr="00655DD6">
        <w:trPr>
          <w:trHeight w:val="1127"/>
          <w:jc w:val="center"/>
        </w:trPr>
        <w:tc>
          <w:tcPr>
            <w:tcW w:w="567" w:type="dxa"/>
            <w:tcBorders>
              <w:top w:val="single" w:sz="4" w:space="0" w:color="auto"/>
              <w:left w:val="single" w:sz="4" w:space="0" w:color="auto"/>
              <w:bottom w:val="single" w:sz="4" w:space="0" w:color="auto"/>
              <w:right w:val="single" w:sz="4" w:space="0" w:color="auto"/>
            </w:tcBorders>
          </w:tcPr>
          <w:p w14:paraId="0E97A266"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3.</w:t>
            </w:r>
          </w:p>
        </w:tc>
        <w:tc>
          <w:tcPr>
            <w:tcW w:w="3969" w:type="dxa"/>
            <w:tcBorders>
              <w:top w:val="single" w:sz="4" w:space="0" w:color="auto"/>
              <w:left w:val="single" w:sz="4" w:space="0" w:color="auto"/>
              <w:bottom w:val="single" w:sz="4" w:space="0" w:color="auto"/>
              <w:right w:val="single" w:sz="4" w:space="0" w:color="auto"/>
            </w:tcBorders>
          </w:tcPr>
          <w:p w14:paraId="6A3DEB82" w14:textId="77777777" w:rsidR="00FB34DC" w:rsidRPr="00FB34DC" w:rsidRDefault="00FB34DC" w:rsidP="00FB34DC">
            <w:pPr>
              <w:widowControl w:val="0"/>
              <w:suppressAutoHyphens/>
              <w:autoSpaceDE w:val="0"/>
              <w:autoSpaceDN w:val="0"/>
              <w:adjustRightInd w:val="0"/>
              <w:spacing w:after="0" w:line="240" w:lineRule="auto"/>
              <w:rPr>
                <w:rFonts w:ascii="Arial Narrow" w:hAnsi="Arial Narrow" w:cs="Tahoma"/>
              </w:rPr>
            </w:pPr>
            <w:r w:rsidRPr="00FB34DC">
              <w:rPr>
                <w:rFonts w:ascii="Arial Narrow" w:hAnsi="Arial Narrow" w:cs="Tahoma"/>
              </w:rPr>
              <w:t>Reabilitarea, modernizarea și extinderea zonei centrale pietonale, a spațiului verde și a trotuarelor în Stațiunea Turistică Horezu, jud. Vâlcea</w:t>
            </w:r>
          </w:p>
        </w:tc>
        <w:tc>
          <w:tcPr>
            <w:tcW w:w="1315" w:type="dxa"/>
            <w:tcBorders>
              <w:top w:val="single" w:sz="4" w:space="0" w:color="auto"/>
              <w:left w:val="single" w:sz="4" w:space="0" w:color="auto"/>
              <w:bottom w:val="single" w:sz="4" w:space="0" w:color="auto"/>
              <w:right w:val="single" w:sz="4" w:space="0" w:color="auto"/>
            </w:tcBorders>
          </w:tcPr>
          <w:p w14:paraId="6480CCDD" w14:textId="77777777" w:rsidR="00FB34DC" w:rsidRPr="00FB34DC" w:rsidRDefault="00FB34DC" w:rsidP="00FB34DC">
            <w:pPr>
              <w:jc w:val="center"/>
              <w:rPr>
                <w:rFonts w:ascii="Arial Narrow" w:hAnsi="Arial Narrow" w:cs="Arial"/>
                <w:szCs w:val="20"/>
              </w:rPr>
            </w:pPr>
            <w:r w:rsidRPr="00FB34DC">
              <w:rPr>
                <w:rFonts w:ascii="Arial Narrow" w:hAnsi="Arial Narrow" w:cs="Arial"/>
                <w:szCs w:val="20"/>
              </w:rPr>
              <w:t>Mijloace alternative de mobilitate</w:t>
            </w:r>
          </w:p>
        </w:tc>
        <w:tc>
          <w:tcPr>
            <w:tcW w:w="1530" w:type="dxa"/>
            <w:tcBorders>
              <w:top w:val="single" w:sz="4" w:space="0" w:color="auto"/>
              <w:left w:val="single" w:sz="4" w:space="0" w:color="auto"/>
              <w:bottom w:val="single" w:sz="4" w:space="0" w:color="auto"/>
              <w:right w:val="single" w:sz="4" w:space="0" w:color="auto"/>
            </w:tcBorders>
          </w:tcPr>
          <w:p w14:paraId="3C40370B" w14:textId="77777777" w:rsidR="00FB34DC" w:rsidRPr="00FB34DC" w:rsidRDefault="00FB34DC" w:rsidP="00FB34DC">
            <w:pPr>
              <w:autoSpaceDE w:val="0"/>
              <w:autoSpaceDN w:val="0"/>
              <w:adjustRightInd w:val="0"/>
              <w:jc w:val="center"/>
              <w:rPr>
                <w:rFonts w:ascii="Arial Narrow" w:eastAsia="Calibri" w:hAnsi="Arial Narrow" w:cs="Arial"/>
                <w:szCs w:val="20"/>
              </w:rPr>
            </w:pPr>
            <w:r w:rsidRPr="00FB34DC">
              <w:rPr>
                <w:rFonts w:ascii="Arial Narrow" w:eastAsia="Calibri" w:hAnsi="Arial Narrow" w:cs="Arial"/>
                <w:szCs w:val="20"/>
              </w:rPr>
              <w:t>2025</w:t>
            </w:r>
          </w:p>
        </w:tc>
      </w:tr>
      <w:tr w:rsidR="00FB34DC" w:rsidRPr="00FB34DC" w14:paraId="1ED4C75A" w14:textId="77777777" w:rsidTr="00655DD6">
        <w:trPr>
          <w:trHeight w:val="703"/>
          <w:jc w:val="center"/>
        </w:trPr>
        <w:tc>
          <w:tcPr>
            <w:tcW w:w="567" w:type="dxa"/>
            <w:tcBorders>
              <w:top w:val="single" w:sz="4" w:space="0" w:color="auto"/>
              <w:left w:val="single" w:sz="4" w:space="0" w:color="auto"/>
              <w:bottom w:val="single" w:sz="4" w:space="0" w:color="auto"/>
              <w:right w:val="single" w:sz="4" w:space="0" w:color="auto"/>
            </w:tcBorders>
          </w:tcPr>
          <w:p w14:paraId="530CBB0C"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4.</w:t>
            </w:r>
          </w:p>
        </w:tc>
        <w:tc>
          <w:tcPr>
            <w:tcW w:w="3969" w:type="dxa"/>
            <w:tcBorders>
              <w:top w:val="single" w:sz="4" w:space="0" w:color="auto"/>
              <w:left w:val="single" w:sz="4" w:space="0" w:color="auto"/>
              <w:bottom w:val="single" w:sz="4" w:space="0" w:color="auto"/>
              <w:right w:val="single" w:sz="4" w:space="0" w:color="auto"/>
            </w:tcBorders>
          </w:tcPr>
          <w:p w14:paraId="2A709EB7" w14:textId="77777777" w:rsidR="00FB34DC" w:rsidRPr="00FB34DC" w:rsidRDefault="00FB34DC" w:rsidP="00FB34DC">
            <w:pPr>
              <w:widowControl w:val="0"/>
              <w:suppressAutoHyphens/>
              <w:autoSpaceDE w:val="0"/>
              <w:autoSpaceDN w:val="0"/>
              <w:adjustRightInd w:val="0"/>
              <w:spacing w:after="0" w:line="240" w:lineRule="auto"/>
              <w:rPr>
                <w:rFonts w:ascii="Arial Narrow" w:hAnsi="Arial Narrow" w:cs="Tahoma"/>
              </w:rPr>
            </w:pPr>
            <w:r w:rsidRPr="00FB34DC">
              <w:rPr>
                <w:rFonts w:ascii="Arial Narrow" w:hAnsi="Arial Narrow" w:cs="Tahoma"/>
              </w:rPr>
              <w:t>Reabilitare străzi în Orașul Horezu, jud. Vâlcea: Nicolae Bălcescu, Roamni, Căpitan Maldăr, Ion Creangă, Z</w:t>
            </w:r>
            <w:r>
              <w:rPr>
                <w:rFonts w:ascii="Arial Narrow" w:hAnsi="Arial Narrow" w:cs="Tahoma"/>
              </w:rPr>
              <w:t>ă</w:t>
            </w:r>
            <w:r w:rsidRPr="00FB34DC">
              <w:rPr>
                <w:rFonts w:ascii="Arial Narrow" w:hAnsi="Arial Narrow" w:cs="Tahoma"/>
              </w:rPr>
              <w:t>voiului, Florilor, Stadionului, Parcul Industrial, Eroilor, Iancu Jianu, Anton Pann, Unirii, Olari, George Coșbuc, Moc</w:t>
            </w:r>
            <w:r>
              <w:rPr>
                <w:rFonts w:ascii="Arial Narrow" w:hAnsi="Arial Narrow" w:cs="Tahoma"/>
              </w:rPr>
              <w:t>ă</w:t>
            </w:r>
            <w:r w:rsidRPr="00FB34DC">
              <w:rPr>
                <w:rFonts w:ascii="Arial Narrow" w:hAnsi="Arial Narrow" w:cs="Tahoma"/>
              </w:rPr>
              <w:t>nitei, Constantin Brâncoveanu</w:t>
            </w:r>
          </w:p>
        </w:tc>
        <w:tc>
          <w:tcPr>
            <w:tcW w:w="1315" w:type="dxa"/>
            <w:tcBorders>
              <w:top w:val="single" w:sz="4" w:space="0" w:color="auto"/>
              <w:left w:val="single" w:sz="4" w:space="0" w:color="auto"/>
              <w:bottom w:val="single" w:sz="4" w:space="0" w:color="auto"/>
              <w:right w:val="single" w:sz="4" w:space="0" w:color="auto"/>
            </w:tcBorders>
          </w:tcPr>
          <w:p w14:paraId="3D85A6C6"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Infrastructura rutier</w:t>
            </w:r>
            <w:r w:rsidR="00C92086">
              <w:rPr>
                <w:rFonts w:ascii="Arial Narrow" w:eastAsia="Calibri" w:hAnsi="Arial Narrow" w:cs="Arial"/>
                <w:szCs w:val="20"/>
              </w:rPr>
              <w:t>ă</w:t>
            </w:r>
          </w:p>
        </w:tc>
        <w:tc>
          <w:tcPr>
            <w:tcW w:w="1530" w:type="dxa"/>
            <w:tcBorders>
              <w:top w:val="single" w:sz="4" w:space="0" w:color="auto"/>
              <w:left w:val="single" w:sz="4" w:space="0" w:color="auto"/>
              <w:bottom w:val="single" w:sz="4" w:space="0" w:color="auto"/>
              <w:right w:val="single" w:sz="4" w:space="0" w:color="auto"/>
            </w:tcBorders>
          </w:tcPr>
          <w:p w14:paraId="4B5BE108"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2025</w:t>
            </w:r>
          </w:p>
        </w:tc>
      </w:tr>
      <w:tr w:rsidR="00FB34DC" w:rsidRPr="00FB34DC" w14:paraId="3E8CA1D3" w14:textId="77777777" w:rsidTr="00655DD6">
        <w:trPr>
          <w:trHeight w:val="719"/>
          <w:jc w:val="center"/>
        </w:trPr>
        <w:tc>
          <w:tcPr>
            <w:tcW w:w="567" w:type="dxa"/>
            <w:tcBorders>
              <w:top w:val="single" w:sz="4" w:space="0" w:color="auto"/>
              <w:left w:val="single" w:sz="4" w:space="0" w:color="auto"/>
              <w:bottom w:val="single" w:sz="4" w:space="0" w:color="auto"/>
              <w:right w:val="single" w:sz="4" w:space="0" w:color="auto"/>
            </w:tcBorders>
          </w:tcPr>
          <w:p w14:paraId="63F07A32"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5.</w:t>
            </w:r>
          </w:p>
        </w:tc>
        <w:tc>
          <w:tcPr>
            <w:tcW w:w="3969" w:type="dxa"/>
            <w:tcBorders>
              <w:top w:val="single" w:sz="4" w:space="0" w:color="auto"/>
              <w:left w:val="single" w:sz="4" w:space="0" w:color="auto"/>
              <w:bottom w:val="single" w:sz="4" w:space="0" w:color="auto"/>
              <w:right w:val="single" w:sz="4" w:space="0" w:color="auto"/>
            </w:tcBorders>
          </w:tcPr>
          <w:p w14:paraId="1B8CBA57" w14:textId="77777777" w:rsidR="00FB34DC" w:rsidRPr="00FB34DC" w:rsidRDefault="00FB34DC" w:rsidP="00FB34DC">
            <w:pPr>
              <w:widowControl w:val="0"/>
              <w:suppressAutoHyphens/>
              <w:autoSpaceDE w:val="0"/>
              <w:autoSpaceDN w:val="0"/>
              <w:adjustRightInd w:val="0"/>
              <w:spacing w:after="0" w:line="240" w:lineRule="auto"/>
              <w:rPr>
                <w:rFonts w:ascii="Arial Narrow" w:hAnsi="Arial Narrow" w:cs="Tahoma"/>
              </w:rPr>
            </w:pPr>
            <w:r w:rsidRPr="00FB34DC">
              <w:rPr>
                <w:rFonts w:ascii="Arial Narrow" w:hAnsi="Arial Narrow" w:cs="Tahoma"/>
              </w:rPr>
              <w:t>Reabilitare și modernizare străzi în Orașul Horezu, jud. Vâlcea: I. Gh. Duc</w:t>
            </w:r>
            <w:r>
              <w:rPr>
                <w:rFonts w:ascii="Arial Narrow" w:hAnsi="Arial Narrow" w:cs="Tahoma"/>
              </w:rPr>
              <w:t>a</w:t>
            </w:r>
            <w:r w:rsidRPr="00FB34DC">
              <w:rPr>
                <w:rFonts w:ascii="Arial Narrow" w:hAnsi="Arial Narrow" w:cs="Tahoma"/>
              </w:rPr>
              <w:t>, Ur</w:t>
            </w:r>
            <w:r>
              <w:rPr>
                <w:rFonts w:ascii="Arial Narrow" w:hAnsi="Arial Narrow" w:cs="Tahoma"/>
              </w:rPr>
              <w:t>ș</w:t>
            </w:r>
            <w:r w:rsidRPr="00FB34DC">
              <w:rPr>
                <w:rFonts w:ascii="Arial Narrow" w:hAnsi="Arial Narrow" w:cs="Tahoma"/>
              </w:rPr>
              <w:t>ani, Mihai Eminescu, Al. Vlahuță, Matei Basarab, 9 Mai 1877, Valea Ursului și Arice</w:t>
            </w:r>
            <w:r>
              <w:rPr>
                <w:rFonts w:ascii="Arial Narrow" w:hAnsi="Arial Narrow" w:cs="Tahoma"/>
              </w:rPr>
              <w:t>ș</w:t>
            </w:r>
            <w:r w:rsidRPr="00FB34DC">
              <w:rPr>
                <w:rFonts w:ascii="Arial Narrow" w:hAnsi="Arial Narrow" w:cs="Tahoma"/>
              </w:rPr>
              <w:t>ti</w:t>
            </w:r>
          </w:p>
        </w:tc>
        <w:tc>
          <w:tcPr>
            <w:tcW w:w="1315" w:type="dxa"/>
            <w:tcBorders>
              <w:top w:val="single" w:sz="4" w:space="0" w:color="auto"/>
              <w:left w:val="single" w:sz="4" w:space="0" w:color="auto"/>
              <w:bottom w:val="single" w:sz="4" w:space="0" w:color="auto"/>
              <w:right w:val="single" w:sz="4" w:space="0" w:color="auto"/>
            </w:tcBorders>
          </w:tcPr>
          <w:p w14:paraId="00D55DD9"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Infrastructura rutier</w:t>
            </w:r>
            <w:r w:rsidR="00C92086">
              <w:rPr>
                <w:rFonts w:ascii="Arial Narrow" w:eastAsia="Calibri" w:hAnsi="Arial Narrow" w:cs="Arial"/>
                <w:szCs w:val="20"/>
              </w:rPr>
              <w:t>ă</w:t>
            </w:r>
          </w:p>
        </w:tc>
        <w:tc>
          <w:tcPr>
            <w:tcW w:w="1530" w:type="dxa"/>
            <w:tcBorders>
              <w:top w:val="single" w:sz="4" w:space="0" w:color="auto"/>
              <w:left w:val="single" w:sz="4" w:space="0" w:color="auto"/>
              <w:bottom w:val="single" w:sz="4" w:space="0" w:color="auto"/>
              <w:right w:val="single" w:sz="4" w:space="0" w:color="auto"/>
            </w:tcBorders>
          </w:tcPr>
          <w:p w14:paraId="147DF0D4" w14:textId="77777777" w:rsidR="00FB34DC" w:rsidRPr="00FB34DC" w:rsidRDefault="00FB34DC" w:rsidP="00FB34DC">
            <w:pPr>
              <w:jc w:val="center"/>
              <w:rPr>
                <w:rFonts w:ascii="Arial Narrow" w:hAnsi="Arial Narrow" w:cs="Arial"/>
                <w:szCs w:val="20"/>
              </w:rPr>
            </w:pPr>
            <w:r w:rsidRPr="00FB34DC">
              <w:rPr>
                <w:rFonts w:ascii="Arial Narrow" w:hAnsi="Arial Narrow" w:cs="Arial"/>
                <w:szCs w:val="20"/>
              </w:rPr>
              <w:t>2024</w:t>
            </w:r>
          </w:p>
        </w:tc>
      </w:tr>
      <w:tr w:rsidR="00FB34DC" w:rsidRPr="00FB34DC" w14:paraId="247E8239" w14:textId="77777777" w:rsidTr="00655DD6">
        <w:trPr>
          <w:trHeight w:val="719"/>
          <w:jc w:val="center"/>
        </w:trPr>
        <w:tc>
          <w:tcPr>
            <w:tcW w:w="567" w:type="dxa"/>
            <w:tcBorders>
              <w:top w:val="single" w:sz="4" w:space="0" w:color="auto"/>
              <w:left w:val="single" w:sz="4" w:space="0" w:color="auto"/>
              <w:bottom w:val="single" w:sz="4" w:space="0" w:color="auto"/>
              <w:right w:val="single" w:sz="4" w:space="0" w:color="auto"/>
            </w:tcBorders>
          </w:tcPr>
          <w:p w14:paraId="3428F275"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6.</w:t>
            </w:r>
          </w:p>
        </w:tc>
        <w:tc>
          <w:tcPr>
            <w:tcW w:w="3969" w:type="dxa"/>
            <w:tcBorders>
              <w:top w:val="single" w:sz="4" w:space="0" w:color="auto"/>
              <w:left w:val="single" w:sz="4" w:space="0" w:color="auto"/>
              <w:bottom w:val="single" w:sz="4" w:space="0" w:color="auto"/>
              <w:right w:val="single" w:sz="4" w:space="0" w:color="auto"/>
            </w:tcBorders>
          </w:tcPr>
          <w:p w14:paraId="21EA49B9" w14:textId="77777777" w:rsidR="00FB34DC" w:rsidRPr="00FB34DC" w:rsidRDefault="00C92086" w:rsidP="00FB34DC">
            <w:pPr>
              <w:widowControl w:val="0"/>
              <w:suppressAutoHyphens/>
              <w:autoSpaceDE w:val="0"/>
              <w:autoSpaceDN w:val="0"/>
              <w:adjustRightInd w:val="0"/>
              <w:spacing w:after="0" w:line="240" w:lineRule="auto"/>
              <w:rPr>
                <w:rFonts w:ascii="Arial Narrow" w:hAnsi="Arial Narrow" w:cs="Tahoma"/>
              </w:rPr>
            </w:pPr>
            <w:r w:rsidRPr="00C92086">
              <w:rPr>
                <w:rFonts w:ascii="Arial Narrow" w:hAnsi="Arial Narrow" w:cs="Tahoma"/>
              </w:rPr>
              <w:t>Lucrări de punere în siguranță a străzii Lungă – Varfu’ lu’ Român, pe o lungime de 10 km, Orașul Horezu, Județul Vâlcea</w:t>
            </w:r>
            <w:r w:rsidR="00FB34DC" w:rsidRPr="00FB34DC">
              <w:rPr>
                <w:rFonts w:ascii="Arial Narrow" w:hAnsi="Arial Narrow" w:cs="Tahoma"/>
              </w:rPr>
              <w:t>.</w:t>
            </w:r>
          </w:p>
        </w:tc>
        <w:tc>
          <w:tcPr>
            <w:tcW w:w="1315" w:type="dxa"/>
            <w:tcBorders>
              <w:top w:val="single" w:sz="4" w:space="0" w:color="auto"/>
              <w:left w:val="single" w:sz="4" w:space="0" w:color="auto"/>
              <w:bottom w:val="single" w:sz="4" w:space="0" w:color="auto"/>
              <w:right w:val="single" w:sz="4" w:space="0" w:color="auto"/>
            </w:tcBorders>
          </w:tcPr>
          <w:p w14:paraId="341B022B"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Infrastructura rutier</w:t>
            </w:r>
            <w:r w:rsidR="00C92086">
              <w:rPr>
                <w:rFonts w:ascii="Arial Narrow" w:eastAsia="Calibri" w:hAnsi="Arial Narrow" w:cs="Arial"/>
                <w:szCs w:val="20"/>
              </w:rPr>
              <w:t>ă</w:t>
            </w:r>
          </w:p>
        </w:tc>
        <w:tc>
          <w:tcPr>
            <w:tcW w:w="1530" w:type="dxa"/>
            <w:tcBorders>
              <w:top w:val="single" w:sz="4" w:space="0" w:color="auto"/>
              <w:left w:val="single" w:sz="4" w:space="0" w:color="auto"/>
              <w:bottom w:val="single" w:sz="4" w:space="0" w:color="auto"/>
              <w:right w:val="single" w:sz="4" w:space="0" w:color="auto"/>
            </w:tcBorders>
          </w:tcPr>
          <w:p w14:paraId="0B2EFBCC" w14:textId="77777777" w:rsidR="00FB34DC" w:rsidRPr="00FB34DC" w:rsidRDefault="00FB34DC" w:rsidP="00FB34DC">
            <w:pPr>
              <w:jc w:val="center"/>
              <w:rPr>
                <w:rFonts w:ascii="Arial Narrow" w:hAnsi="Arial Narrow" w:cs="Arial"/>
                <w:szCs w:val="20"/>
              </w:rPr>
            </w:pPr>
            <w:r w:rsidRPr="00FB34DC">
              <w:rPr>
                <w:rFonts w:ascii="Arial Narrow" w:hAnsi="Arial Narrow" w:cs="Arial"/>
                <w:szCs w:val="20"/>
              </w:rPr>
              <w:t>2026</w:t>
            </w:r>
          </w:p>
        </w:tc>
      </w:tr>
      <w:tr w:rsidR="00FB34DC" w:rsidRPr="00FB34DC" w14:paraId="50B39CD8" w14:textId="77777777" w:rsidTr="00655DD6">
        <w:trPr>
          <w:trHeight w:val="719"/>
          <w:jc w:val="center"/>
        </w:trPr>
        <w:tc>
          <w:tcPr>
            <w:tcW w:w="567" w:type="dxa"/>
            <w:tcBorders>
              <w:top w:val="single" w:sz="4" w:space="0" w:color="auto"/>
              <w:left w:val="single" w:sz="4" w:space="0" w:color="auto"/>
              <w:bottom w:val="single" w:sz="4" w:space="0" w:color="auto"/>
              <w:right w:val="single" w:sz="4" w:space="0" w:color="auto"/>
            </w:tcBorders>
          </w:tcPr>
          <w:p w14:paraId="245698A1"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7</w:t>
            </w:r>
          </w:p>
        </w:tc>
        <w:tc>
          <w:tcPr>
            <w:tcW w:w="3969" w:type="dxa"/>
            <w:tcBorders>
              <w:top w:val="single" w:sz="4" w:space="0" w:color="auto"/>
              <w:left w:val="single" w:sz="4" w:space="0" w:color="auto"/>
              <w:bottom w:val="single" w:sz="4" w:space="0" w:color="auto"/>
              <w:right w:val="single" w:sz="4" w:space="0" w:color="auto"/>
            </w:tcBorders>
          </w:tcPr>
          <w:p w14:paraId="292A1CC0" w14:textId="77777777" w:rsidR="00FB34DC" w:rsidRPr="00FB34DC" w:rsidRDefault="00FB34DC" w:rsidP="00FB34DC">
            <w:pPr>
              <w:widowControl w:val="0"/>
              <w:suppressAutoHyphens/>
              <w:autoSpaceDE w:val="0"/>
              <w:autoSpaceDN w:val="0"/>
              <w:adjustRightInd w:val="0"/>
              <w:spacing w:after="0" w:line="240" w:lineRule="auto"/>
              <w:rPr>
                <w:rFonts w:ascii="Arial Narrow" w:hAnsi="Arial Narrow" w:cs="Tahoma"/>
              </w:rPr>
            </w:pPr>
            <w:r w:rsidRPr="00FB34DC">
              <w:rPr>
                <w:rFonts w:ascii="Arial Narrow" w:hAnsi="Arial Narrow" w:cs="Times New Roman"/>
                <w:sz w:val="24"/>
                <w:szCs w:val="24"/>
                <w:lang w:val="ro-RO"/>
              </w:rPr>
              <w:t>Construire stații de încărcare pentru vehicule electrice în orașul Horezu, jud. V</w:t>
            </w:r>
            <w:r w:rsidR="00C92086">
              <w:rPr>
                <w:rFonts w:ascii="Arial Narrow" w:hAnsi="Arial Narrow" w:cs="Times New Roman"/>
                <w:sz w:val="24"/>
                <w:szCs w:val="24"/>
                <w:lang w:val="ro-RO"/>
              </w:rPr>
              <w:t>â</w:t>
            </w:r>
            <w:r w:rsidRPr="00FB34DC">
              <w:rPr>
                <w:rFonts w:ascii="Arial Narrow" w:hAnsi="Arial Narrow" w:cs="Times New Roman"/>
                <w:sz w:val="24"/>
                <w:szCs w:val="24"/>
                <w:lang w:val="ro-RO"/>
              </w:rPr>
              <w:t>lcea</w:t>
            </w:r>
          </w:p>
        </w:tc>
        <w:tc>
          <w:tcPr>
            <w:tcW w:w="1315" w:type="dxa"/>
            <w:tcBorders>
              <w:top w:val="single" w:sz="4" w:space="0" w:color="auto"/>
              <w:left w:val="single" w:sz="4" w:space="0" w:color="auto"/>
              <w:bottom w:val="single" w:sz="4" w:space="0" w:color="auto"/>
              <w:right w:val="single" w:sz="4" w:space="0" w:color="auto"/>
            </w:tcBorders>
          </w:tcPr>
          <w:p w14:paraId="4F9DB76F" w14:textId="77777777" w:rsidR="00FB34DC" w:rsidRPr="00FB34DC" w:rsidRDefault="00FB34DC" w:rsidP="00FB34DC">
            <w:pPr>
              <w:jc w:val="center"/>
              <w:rPr>
                <w:rFonts w:ascii="Arial Narrow" w:eastAsia="Calibri" w:hAnsi="Arial Narrow" w:cs="Arial"/>
                <w:szCs w:val="20"/>
              </w:rPr>
            </w:pPr>
            <w:r w:rsidRPr="00FB34DC">
              <w:rPr>
                <w:rFonts w:ascii="Arial Narrow" w:eastAsia="Calibri" w:hAnsi="Arial Narrow" w:cs="Arial"/>
                <w:szCs w:val="20"/>
              </w:rPr>
              <w:t>Infrastructura rutier</w:t>
            </w:r>
            <w:r w:rsidR="00C92086">
              <w:rPr>
                <w:rFonts w:ascii="Arial Narrow" w:eastAsia="Calibri" w:hAnsi="Arial Narrow" w:cs="Arial"/>
                <w:szCs w:val="20"/>
              </w:rPr>
              <w:t>ă</w:t>
            </w:r>
          </w:p>
        </w:tc>
        <w:tc>
          <w:tcPr>
            <w:tcW w:w="1530" w:type="dxa"/>
            <w:tcBorders>
              <w:top w:val="single" w:sz="4" w:space="0" w:color="auto"/>
              <w:left w:val="single" w:sz="4" w:space="0" w:color="auto"/>
              <w:bottom w:val="single" w:sz="4" w:space="0" w:color="auto"/>
              <w:right w:val="single" w:sz="4" w:space="0" w:color="auto"/>
            </w:tcBorders>
          </w:tcPr>
          <w:p w14:paraId="7092F450" w14:textId="77777777" w:rsidR="00FB34DC" w:rsidRPr="00FB34DC" w:rsidRDefault="00FB34DC" w:rsidP="00FB34DC">
            <w:pPr>
              <w:jc w:val="center"/>
              <w:rPr>
                <w:rFonts w:ascii="Arial Narrow" w:hAnsi="Arial Narrow" w:cs="Arial"/>
                <w:szCs w:val="20"/>
              </w:rPr>
            </w:pPr>
            <w:r w:rsidRPr="00FB34DC">
              <w:rPr>
                <w:rFonts w:ascii="Arial Narrow" w:hAnsi="Arial Narrow" w:cs="Arial"/>
                <w:szCs w:val="20"/>
              </w:rPr>
              <w:t>2023</w:t>
            </w:r>
          </w:p>
        </w:tc>
      </w:tr>
    </w:tbl>
    <w:p w14:paraId="1594E702" w14:textId="77777777" w:rsidR="0060531A" w:rsidRPr="0060531A" w:rsidRDefault="0060531A" w:rsidP="0060531A">
      <w:pPr>
        <w:widowControl w:val="0"/>
        <w:suppressAutoHyphens/>
        <w:spacing w:after="0" w:line="360" w:lineRule="auto"/>
        <w:jc w:val="both"/>
        <w:rPr>
          <w:rFonts w:ascii="Arial" w:hAnsi="Arial" w:cs="Arial"/>
          <w:kern w:val="1"/>
          <w:sz w:val="24"/>
          <w:szCs w:val="24"/>
          <w:lang w:val="es-ES" w:eastAsia="hi-IN" w:bidi="hi-IN"/>
        </w:rPr>
      </w:pPr>
    </w:p>
    <w:p w14:paraId="0C6EF7B8"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r w:rsidRPr="0060531A">
        <w:rPr>
          <w:rFonts w:ascii="Arial" w:eastAsia="Times New Roman" w:hAnsi="Arial" w:cs="Arial"/>
          <w:b/>
          <w:color w:val="000000"/>
          <w:lang w:val="es-ES" w:eastAsia="ro-RO"/>
        </w:rPr>
        <w:t xml:space="preserve">Scenariul 2 </w:t>
      </w:r>
      <w:r w:rsidRPr="0060531A">
        <w:rPr>
          <w:rFonts w:ascii="Arial" w:eastAsia="Times New Roman" w:hAnsi="Arial" w:cs="Arial"/>
          <w:b/>
          <w:bCs/>
          <w:color w:val="000000"/>
          <w:lang w:val="es-ES" w:eastAsia="ro-RO"/>
        </w:rPr>
        <w:t>– “politica minimalistă”</w:t>
      </w:r>
      <w:r w:rsidRPr="0060531A">
        <w:rPr>
          <w:rFonts w:ascii="Arial" w:eastAsia="Times New Roman" w:hAnsi="Arial" w:cs="Arial"/>
          <w:color w:val="000000"/>
          <w:lang w:val="es-ES" w:eastAsia="ro-RO"/>
        </w:rPr>
        <w:t xml:space="preserve">  </w:t>
      </w:r>
    </w:p>
    <w:p w14:paraId="182205F8"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În plus fata de primul scenariu, va conține următoarele măsuri (cu costuri reduse și medii):</w:t>
      </w:r>
    </w:p>
    <w:p w14:paraId="6C4BB071" w14:textId="77777777" w:rsidR="0060531A" w:rsidRPr="0060531A" w:rsidRDefault="0060531A" w:rsidP="0060531A">
      <w:pPr>
        <w:suppressAutoHyphens/>
        <w:autoSpaceDE w:val="0"/>
        <w:spacing w:after="0" w:line="276" w:lineRule="auto"/>
        <w:jc w:val="both"/>
        <w:rPr>
          <w:rFonts w:ascii="Arial" w:eastAsia="Calibri" w:hAnsi="Arial" w:cs="Arial"/>
          <w:b/>
          <w:strike/>
          <w:color w:val="000000"/>
          <w:lang w:eastAsia="zh-CN"/>
        </w:rPr>
      </w:pPr>
      <w:r w:rsidRPr="0060531A">
        <w:rPr>
          <w:rFonts w:ascii="Arial" w:eastAsia="Arial" w:hAnsi="Arial" w:cs="Arial"/>
          <w:b/>
          <w:color w:val="000000"/>
          <w:lang w:eastAsia="zh-CN"/>
        </w:rPr>
        <w:t xml:space="preserve">I. </w:t>
      </w:r>
      <w:r w:rsidRPr="0060531A">
        <w:rPr>
          <w:rFonts w:ascii="Arial" w:eastAsia="Calibri" w:hAnsi="Arial" w:cs="Arial"/>
          <w:b/>
          <w:color w:val="000000"/>
        </w:rPr>
        <w:t>Consolidarea capacității instituționale</w:t>
      </w:r>
    </w:p>
    <w:p w14:paraId="2EBCC57B" w14:textId="77777777" w:rsidR="0060531A" w:rsidRPr="0060531A" w:rsidRDefault="0060531A" w:rsidP="0060531A">
      <w:pPr>
        <w:widowControl w:val="0"/>
        <w:numPr>
          <w:ilvl w:val="0"/>
          <w:numId w:val="107"/>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 xml:space="preserve">I.1 = măsuri de educare sistematică în şcoli – în ideea formării unei culturi a dezvoltării durabile – termen mediu; </w:t>
      </w:r>
    </w:p>
    <w:p w14:paraId="1AF0BEDA" w14:textId="77777777" w:rsidR="0060531A" w:rsidRPr="0060531A" w:rsidRDefault="0060531A" w:rsidP="0060531A">
      <w:pPr>
        <w:widowControl w:val="0"/>
        <w:numPr>
          <w:ilvl w:val="0"/>
          <w:numId w:val="107"/>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I.2 = inovări în domeniul admistrativ care să reducă numărul necesar de deplasări ale cetăţeanului la instituţia respectivă = introducerea semnăturii electronice ca formă de reprezentare simbolică a cetăţeanului fără a fi necesară prezenţa fizică – termen mediu; </w:t>
      </w:r>
    </w:p>
    <w:p w14:paraId="20D66965" w14:textId="77777777" w:rsidR="0060531A" w:rsidRPr="0060531A" w:rsidRDefault="0060531A" w:rsidP="0060531A">
      <w:pPr>
        <w:widowControl w:val="0"/>
        <w:numPr>
          <w:ilvl w:val="0"/>
          <w:numId w:val="73"/>
        </w:numPr>
        <w:suppressAutoHyphens/>
        <w:autoSpaceDE w:val="0"/>
        <w:spacing w:after="0" w:line="276" w:lineRule="auto"/>
        <w:jc w:val="both"/>
        <w:rPr>
          <w:rFonts w:ascii="Arial" w:eastAsia="Arial" w:hAnsi="Arial" w:cs="Arial"/>
          <w:color w:val="000000"/>
          <w:lang w:eastAsia="zh-CN"/>
        </w:rPr>
      </w:pPr>
      <w:r w:rsidRPr="0060531A">
        <w:rPr>
          <w:rFonts w:ascii="Arial" w:eastAsia="Calibri" w:hAnsi="Arial" w:cs="Arial"/>
          <w:color w:val="000000"/>
          <w:lang w:eastAsia="zh-CN"/>
        </w:rPr>
        <w:t>I.3 = înfiinţarea unei structuri organizaţionale şi de planificare a activităţii de transport public pentru Orasul Horezu</w:t>
      </w:r>
      <w:r w:rsidRPr="0060531A">
        <w:rPr>
          <w:rFonts w:ascii="Arial" w:eastAsia="Calibri" w:hAnsi="Arial" w:cs="Arial"/>
          <w:color w:val="000000"/>
          <w:lang w:val="es-ES" w:eastAsia="zh-CN"/>
        </w:rPr>
        <w:t xml:space="preserve"> – </w:t>
      </w:r>
      <w:r w:rsidRPr="0060531A">
        <w:rPr>
          <w:rFonts w:ascii="Arial" w:eastAsia="Calibri" w:hAnsi="Arial" w:cs="Arial"/>
          <w:color w:val="000000"/>
          <w:lang w:eastAsia="zh-CN"/>
        </w:rPr>
        <w:t>termen scurt;</w:t>
      </w:r>
    </w:p>
    <w:p w14:paraId="5C960402" w14:textId="77777777" w:rsidR="0060531A" w:rsidRPr="0060531A" w:rsidRDefault="0060531A" w:rsidP="0060531A">
      <w:pPr>
        <w:widowControl w:val="0"/>
        <w:numPr>
          <w:ilvl w:val="0"/>
          <w:numId w:val="73"/>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I.4 = modificarea orelor de începere a activităţii agenţilor economici de pe o aceeaşi arteră sau acelaşi punct – marginal – de destinaţie = este o măsură legată de progresul economic înregistrat de zonele industriale ale orasului – termen mediu;</w:t>
      </w:r>
    </w:p>
    <w:p w14:paraId="0224A309" w14:textId="77777777" w:rsidR="0060531A" w:rsidRPr="0060531A" w:rsidRDefault="0060531A" w:rsidP="0060531A">
      <w:pPr>
        <w:widowControl w:val="0"/>
        <w:numPr>
          <w:ilvl w:val="0"/>
          <w:numId w:val="108"/>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I.5 = crearea cadrului pentru dezvoltarea de teleactivităţi şi telelucru – termen lung</w:t>
      </w:r>
    </w:p>
    <w:p w14:paraId="528F4FBC" w14:textId="77777777" w:rsidR="0060531A" w:rsidRPr="0060531A" w:rsidRDefault="0060531A" w:rsidP="0060531A">
      <w:pPr>
        <w:widowControl w:val="0"/>
        <w:numPr>
          <w:ilvl w:val="0"/>
          <w:numId w:val="108"/>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I.6 = </w:t>
      </w:r>
      <w:r w:rsidRPr="0060531A">
        <w:rPr>
          <w:rFonts w:ascii="Arial" w:eastAsia="Calibri" w:hAnsi="Arial" w:cs="Arial"/>
          <w:color w:val="000000"/>
          <w:lang w:eastAsia="zh-CN"/>
        </w:rPr>
        <w:t>înfiinţarea in cadrul Primariei Horezu a unei structuri organizaţionale şi de administrare a parcarilor</w:t>
      </w:r>
      <w:r w:rsidRPr="0060531A">
        <w:rPr>
          <w:rFonts w:ascii="Arial" w:eastAsia="Calibri" w:hAnsi="Arial" w:cs="Arial"/>
          <w:color w:val="000000"/>
          <w:lang w:val="es-ES" w:eastAsia="zh-CN"/>
        </w:rPr>
        <w:t xml:space="preserve"> – termen scurt.</w:t>
      </w:r>
    </w:p>
    <w:p w14:paraId="5EF2B35E" w14:textId="5C0CF6E3" w:rsid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78683A5A" w14:textId="77777777" w:rsidR="00593EEF" w:rsidRPr="0060531A" w:rsidRDefault="00593EEF" w:rsidP="0060531A">
      <w:pPr>
        <w:suppressAutoHyphens/>
        <w:autoSpaceDE w:val="0"/>
        <w:spacing w:after="0" w:line="276" w:lineRule="auto"/>
        <w:jc w:val="both"/>
        <w:rPr>
          <w:rFonts w:ascii="Arial" w:eastAsia="Calibri" w:hAnsi="Arial" w:cs="Arial"/>
          <w:color w:val="000000"/>
          <w:lang w:val="es-ES" w:eastAsia="zh-CN"/>
        </w:rPr>
      </w:pPr>
    </w:p>
    <w:p w14:paraId="1FD8065A" w14:textId="77777777" w:rsidR="0060531A" w:rsidRPr="0060531A" w:rsidRDefault="0060531A" w:rsidP="0060531A">
      <w:pPr>
        <w:widowControl w:val="0"/>
        <w:autoSpaceDE w:val="0"/>
        <w:autoSpaceDN w:val="0"/>
        <w:adjustRightInd w:val="0"/>
        <w:spacing w:after="0" w:line="276" w:lineRule="auto"/>
        <w:rPr>
          <w:rFonts w:ascii="Arial" w:eastAsia="Calibri" w:hAnsi="Arial" w:cs="Arial"/>
          <w:b/>
          <w:color w:val="000000"/>
          <w:kern w:val="1"/>
          <w:lang w:val="es-ES" w:bidi="hi-IN"/>
        </w:rPr>
      </w:pPr>
      <w:r w:rsidRPr="0060531A">
        <w:rPr>
          <w:rFonts w:ascii="Arial" w:eastAsia="Calibri" w:hAnsi="Arial" w:cs="Arial"/>
          <w:b/>
          <w:color w:val="000000"/>
          <w:kern w:val="1"/>
          <w:lang w:val="es-ES" w:bidi="hi-IN"/>
        </w:rPr>
        <w:lastRenderedPageBreak/>
        <w:t>II. Transport rutier – utilizarea eficienta a spatiului de drum</w:t>
      </w:r>
    </w:p>
    <w:p w14:paraId="3D785F12" w14:textId="77777777" w:rsidR="0060531A" w:rsidRPr="0060531A" w:rsidRDefault="0060531A" w:rsidP="0060531A">
      <w:pPr>
        <w:widowControl w:val="0"/>
        <w:numPr>
          <w:ilvl w:val="0"/>
          <w:numId w:val="109"/>
        </w:numPr>
        <w:suppressAutoHyphens/>
        <w:autoSpaceDE w:val="0"/>
        <w:spacing w:after="0" w:line="276" w:lineRule="auto"/>
        <w:jc w:val="both"/>
        <w:rPr>
          <w:rFonts w:ascii="Arial" w:eastAsia="Calibri" w:hAnsi="Arial" w:cs="Arial"/>
          <w:color w:val="000000"/>
          <w:lang w:eastAsia="zh-CN"/>
        </w:rPr>
      </w:pPr>
      <w:r w:rsidRPr="0060531A">
        <w:rPr>
          <w:rFonts w:ascii="Arial" w:eastAsia="Calibri" w:hAnsi="Arial" w:cs="Arial"/>
          <w:color w:val="000000"/>
          <w:lang w:eastAsia="zh-CN"/>
        </w:rPr>
        <w:t>II.1 = proceduri de creştere a densităţii urbane – termen mediu;</w:t>
      </w:r>
    </w:p>
    <w:p w14:paraId="4DE40E1B" w14:textId="77777777" w:rsidR="0060531A" w:rsidRPr="0060531A" w:rsidRDefault="0060531A" w:rsidP="0060531A">
      <w:pPr>
        <w:suppressAutoHyphens/>
        <w:autoSpaceDE w:val="0"/>
        <w:spacing w:after="0" w:line="276" w:lineRule="auto"/>
        <w:jc w:val="both"/>
        <w:rPr>
          <w:rFonts w:ascii="Arial" w:eastAsia="Calibri" w:hAnsi="Arial" w:cs="Arial"/>
          <w:b/>
          <w:color w:val="000000"/>
        </w:rPr>
      </w:pPr>
    </w:p>
    <w:p w14:paraId="40FDF01C" w14:textId="77777777" w:rsidR="0060531A" w:rsidRPr="0060531A" w:rsidRDefault="0060531A" w:rsidP="0060531A">
      <w:pPr>
        <w:suppressAutoHyphens/>
        <w:autoSpaceDE w:val="0"/>
        <w:spacing w:after="0" w:line="276" w:lineRule="auto"/>
        <w:jc w:val="both"/>
        <w:rPr>
          <w:rFonts w:ascii="Arial" w:eastAsia="Calibri" w:hAnsi="Arial" w:cs="Arial"/>
          <w:b/>
          <w:color w:val="000000"/>
        </w:rPr>
      </w:pPr>
      <w:r w:rsidRPr="0060531A">
        <w:rPr>
          <w:rFonts w:ascii="Arial" w:eastAsia="Calibri" w:hAnsi="Arial" w:cs="Arial"/>
          <w:b/>
          <w:color w:val="000000"/>
        </w:rPr>
        <w:t>III. ITS (Intelligent Transport Systems)</w:t>
      </w:r>
    </w:p>
    <w:p w14:paraId="68F134E4" w14:textId="77777777" w:rsidR="0060531A" w:rsidRPr="0060531A" w:rsidRDefault="0060531A" w:rsidP="0060531A">
      <w:pPr>
        <w:widowControl w:val="0"/>
        <w:numPr>
          <w:ilvl w:val="0"/>
          <w:numId w:val="75"/>
        </w:numPr>
        <w:suppressAutoHyphens/>
        <w:autoSpaceDE w:val="0"/>
        <w:autoSpaceDN w:val="0"/>
        <w:adjustRightInd w:val="0"/>
        <w:spacing w:after="0" w:line="276" w:lineRule="auto"/>
        <w:contextualSpacing/>
        <w:jc w:val="both"/>
        <w:rPr>
          <w:rFonts w:ascii="Arial" w:eastAsia="Calibri" w:hAnsi="Arial" w:cs="Arial"/>
          <w:b/>
          <w:lang w:val="x-none"/>
        </w:rPr>
      </w:pPr>
      <w:r w:rsidRPr="0060531A">
        <w:rPr>
          <w:rFonts w:ascii="Arial" w:eastAsia="Calibri" w:hAnsi="Arial" w:cs="Arial"/>
          <w:lang w:val="x-none"/>
        </w:rPr>
        <w:t>III.</w:t>
      </w:r>
      <w:r w:rsidRPr="0060531A">
        <w:rPr>
          <w:rFonts w:ascii="Arial" w:eastAsia="Calibri" w:hAnsi="Arial" w:cs="Arial"/>
        </w:rPr>
        <w:t>1</w:t>
      </w:r>
      <w:r w:rsidRPr="0060531A">
        <w:rPr>
          <w:rFonts w:ascii="Arial" w:eastAsia="Calibri" w:hAnsi="Arial" w:cs="Arial"/>
          <w:lang w:val="x-none"/>
        </w:rPr>
        <w:t xml:space="preserve"> = realizarea unei aplicaţii pentru telefonul mobil pentru achitarea contravalorii călătoriei cu transportul public – termen mediu.</w:t>
      </w:r>
    </w:p>
    <w:p w14:paraId="0886FD0D" w14:textId="77777777" w:rsidR="0060531A" w:rsidRPr="0060531A" w:rsidRDefault="0060531A" w:rsidP="0060531A">
      <w:pPr>
        <w:widowControl w:val="0"/>
        <w:numPr>
          <w:ilvl w:val="0"/>
          <w:numId w:val="75"/>
        </w:numPr>
        <w:suppressAutoHyphens/>
        <w:autoSpaceDE w:val="0"/>
        <w:autoSpaceDN w:val="0"/>
        <w:adjustRightInd w:val="0"/>
        <w:spacing w:after="0" w:line="276" w:lineRule="auto"/>
        <w:contextualSpacing/>
        <w:jc w:val="both"/>
        <w:rPr>
          <w:rFonts w:ascii="Arial" w:eastAsia="Calibri" w:hAnsi="Arial" w:cs="Arial"/>
          <w:b/>
          <w:lang w:val="x-none"/>
        </w:rPr>
      </w:pPr>
      <w:r w:rsidRPr="0060531A">
        <w:rPr>
          <w:rFonts w:ascii="Arial" w:eastAsia="Calibri" w:hAnsi="Arial" w:cs="Arial"/>
          <w:lang w:val="x-none"/>
        </w:rPr>
        <w:t>III.</w:t>
      </w:r>
      <w:r w:rsidRPr="0060531A">
        <w:rPr>
          <w:rFonts w:ascii="Arial" w:eastAsia="Calibri" w:hAnsi="Arial" w:cs="Arial"/>
        </w:rPr>
        <w:t>2</w:t>
      </w:r>
      <w:r w:rsidRPr="0060531A">
        <w:rPr>
          <w:rFonts w:ascii="Arial" w:eastAsia="Calibri" w:hAnsi="Arial" w:cs="Arial"/>
          <w:lang w:val="x-none"/>
        </w:rPr>
        <w:t xml:space="preserve"> = realizarea unui website cu informaţii referitoare la traficul din oraş</w:t>
      </w:r>
      <w:r w:rsidRPr="0060531A">
        <w:rPr>
          <w:rFonts w:ascii="Arial" w:eastAsia="Calibri" w:hAnsi="Arial" w:cs="Arial"/>
        </w:rPr>
        <w:t xml:space="preserve"> </w:t>
      </w:r>
      <w:r w:rsidRPr="0060531A">
        <w:rPr>
          <w:rFonts w:ascii="Arial" w:eastAsia="Calibri" w:hAnsi="Arial" w:cs="Arial"/>
          <w:lang w:val="x-none"/>
        </w:rPr>
        <w:t>– termen mediu.</w:t>
      </w:r>
    </w:p>
    <w:p w14:paraId="3DA6969E"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3AECFC66" w14:textId="77777777" w:rsidR="0060531A" w:rsidRPr="0060531A" w:rsidRDefault="0060531A" w:rsidP="0060531A">
      <w:pPr>
        <w:suppressAutoHyphens/>
        <w:autoSpaceDE w:val="0"/>
        <w:spacing w:after="0" w:line="276" w:lineRule="auto"/>
        <w:jc w:val="both"/>
        <w:rPr>
          <w:rFonts w:ascii="Arial" w:eastAsia="Calibri" w:hAnsi="Arial" w:cs="Arial"/>
          <w:b/>
          <w:strike/>
          <w:color w:val="000000"/>
          <w:lang w:val="es-ES" w:eastAsia="zh-CN"/>
        </w:rPr>
      </w:pPr>
      <w:r w:rsidRPr="0060531A">
        <w:rPr>
          <w:rFonts w:ascii="Arial" w:eastAsia="Calibri" w:hAnsi="Arial" w:cs="Arial"/>
          <w:b/>
          <w:color w:val="000000"/>
          <w:lang w:val="es-ES" w:eastAsia="zh-CN"/>
        </w:rPr>
        <w:t xml:space="preserve">IV. dezvoltarea formelor de transport durabil (mai puţin poluante) </w:t>
      </w:r>
      <w:r w:rsidRPr="0060531A">
        <w:rPr>
          <w:rFonts w:ascii="Arial" w:eastAsia="Calibri" w:hAnsi="Arial" w:cs="Arial"/>
          <w:b/>
          <w:color w:val="000000"/>
          <w:lang w:val="es-ES"/>
        </w:rPr>
        <w:t>- mersul pe jos / cu bicicleta pentru crearea unui mediu urban de calitate</w:t>
      </w:r>
    </w:p>
    <w:p w14:paraId="309B9618" w14:textId="35BBB4CD" w:rsidR="0060531A" w:rsidRPr="0060531A" w:rsidRDefault="0060531A" w:rsidP="0060531A">
      <w:pPr>
        <w:widowControl w:val="0"/>
        <w:numPr>
          <w:ilvl w:val="0"/>
          <w:numId w:val="76"/>
        </w:numPr>
        <w:suppressAutoHyphens/>
        <w:autoSpaceDE w:val="0"/>
        <w:spacing w:after="0" w:line="276" w:lineRule="auto"/>
        <w:jc w:val="both"/>
        <w:rPr>
          <w:rFonts w:ascii="Arial" w:eastAsia="Calibri" w:hAnsi="Arial" w:cs="Arial"/>
          <w:b/>
          <w:color w:val="000000"/>
          <w:lang w:val="es-ES" w:eastAsia="zh-CN"/>
        </w:rPr>
      </w:pPr>
      <w:r w:rsidRPr="0060531A">
        <w:rPr>
          <w:rFonts w:ascii="Arial" w:eastAsia="Arial" w:hAnsi="Arial" w:cs="Arial"/>
          <w:color w:val="000000"/>
          <w:lang w:val="es-ES" w:eastAsia="zh-CN"/>
        </w:rPr>
        <w:t xml:space="preserve">IV.1 = amenajarea unei retelei de </w:t>
      </w:r>
      <w:r w:rsidR="005B68FD">
        <w:rPr>
          <w:rFonts w:ascii="Arial" w:eastAsia="Arial" w:hAnsi="Arial" w:cs="Arial"/>
          <w:color w:val="000000"/>
          <w:lang w:val="es-ES" w:eastAsia="zh-CN"/>
        </w:rPr>
        <w:t>trasee</w:t>
      </w:r>
      <w:r w:rsidRPr="0060531A">
        <w:rPr>
          <w:rFonts w:ascii="Arial" w:eastAsia="Arial" w:hAnsi="Arial" w:cs="Arial"/>
          <w:color w:val="000000"/>
          <w:lang w:val="es-ES" w:eastAsia="zh-CN"/>
        </w:rPr>
        <w:t xml:space="preserve"> pentru biciclete – termen mediu</w:t>
      </w:r>
    </w:p>
    <w:p w14:paraId="5BD9E3AB" w14:textId="7F923D75" w:rsidR="0060531A" w:rsidRPr="0060531A" w:rsidRDefault="0060531A" w:rsidP="0060531A">
      <w:pPr>
        <w:widowControl w:val="0"/>
        <w:numPr>
          <w:ilvl w:val="0"/>
          <w:numId w:val="76"/>
        </w:numPr>
        <w:suppressAutoHyphens/>
        <w:autoSpaceDE w:val="0"/>
        <w:spacing w:after="0" w:line="276" w:lineRule="auto"/>
        <w:jc w:val="both"/>
        <w:rPr>
          <w:rFonts w:ascii="Arial" w:eastAsia="Calibri" w:hAnsi="Arial" w:cs="Arial"/>
          <w:color w:val="000000"/>
          <w:lang w:eastAsia="zh-CN"/>
        </w:rPr>
      </w:pPr>
      <w:r w:rsidRPr="0060531A">
        <w:rPr>
          <w:rFonts w:ascii="Arial" w:eastAsia="Calibri" w:hAnsi="Arial" w:cs="Arial"/>
          <w:color w:val="000000"/>
          <w:lang w:val="es-ES" w:eastAsia="zh-CN"/>
        </w:rPr>
        <w:t xml:space="preserve">IV.2 = crearea de puncte pentru închirierea bicicletelor (pool bikes and bike-sharing) = o dată cu definitivarea reţelei de </w:t>
      </w:r>
      <w:r w:rsidR="005B68FD">
        <w:rPr>
          <w:rFonts w:ascii="Arial" w:eastAsia="Calibri" w:hAnsi="Arial" w:cs="Arial"/>
          <w:color w:val="000000"/>
          <w:lang w:val="es-ES" w:eastAsia="zh-CN"/>
        </w:rPr>
        <w:t>trasee</w:t>
      </w:r>
      <w:r w:rsidRPr="0060531A">
        <w:rPr>
          <w:rFonts w:ascii="Arial" w:eastAsia="Calibri" w:hAnsi="Arial" w:cs="Arial"/>
          <w:color w:val="000000"/>
          <w:lang w:val="es-ES" w:eastAsia="zh-CN"/>
        </w:rPr>
        <w:t xml:space="preserve"> pentru biciclete se pot prevedea în punctele importante cum ar fi: Primaria Horezu, Autogara Siva Trans, Piața, str. </w:t>
      </w:r>
      <w:r w:rsidRPr="0060531A">
        <w:rPr>
          <w:rFonts w:ascii="Arial" w:eastAsia="Calibri" w:hAnsi="Arial" w:cs="Arial"/>
          <w:color w:val="000000"/>
          <w:lang w:eastAsia="zh-CN"/>
        </w:rPr>
        <w:t>Mircea cel Batran, P</w:t>
      </w:r>
      <w:r w:rsidRPr="0060531A">
        <w:rPr>
          <w:rFonts w:ascii="Arial" w:hAnsi="Arial" w:cs="Arial"/>
        </w:rPr>
        <w:t xml:space="preserve">arcul de agrement si recreere “Constantin Brancoveanu”, </w:t>
      </w:r>
      <w:r w:rsidRPr="0060531A">
        <w:rPr>
          <w:rFonts w:ascii="Arial" w:eastAsia="Calibri" w:hAnsi="Arial" w:cs="Arial"/>
          <w:color w:val="000000"/>
          <w:lang w:eastAsia="zh-CN"/>
        </w:rPr>
        <w:t xml:space="preserve">Statiunea turistica Varful lui Roman etc. – termen mediu. </w:t>
      </w:r>
    </w:p>
    <w:p w14:paraId="510005DD" w14:textId="77777777" w:rsidR="0060531A" w:rsidRPr="0060531A" w:rsidRDefault="0060531A" w:rsidP="0060531A">
      <w:pPr>
        <w:widowControl w:val="0"/>
        <w:numPr>
          <w:ilvl w:val="0"/>
          <w:numId w:val="76"/>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IV.3 = construirea de parcări pentru biciclete = la principalele instituții și zone de interes: Primăria Horezu, Autogara Siva Trans, Piața, str. </w:t>
      </w:r>
      <w:r w:rsidRPr="0060531A">
        <w:rPr>
          <w:rFonts w:ascii="Arial" w:eastAsia="Calibri" w:hAnsi="Arial" w:cs="Arial"/>
          <w:color w:val="000000"/>
          <w:lang w:eastAsia="zh-CN"/>
        </w:rPr>
        <w:t>Mircea cel Batran, P</w:t>
      </w:r>
      <w:r w:rsidRPr="0060531A">
        <w:rPr>
          <w:rFonts w:ascii="Arial" w:hAnsi="Arial" w:cs="Arial"/>
        </w:rPr>
        <w:t xml:space="preserve">arcul de agrement si recreere “Constantin Brancoveanu”, </w:t>
      </w:r>
      <w:r w:rsidRPr="0060531A">
        <w:rPr>
          <w:rFonts w:ascii="Arial" w:eastAsia="Calibri" w:hAnsi="Arial" w:cs="Arial"/>
          <w:color w:val="000000"/>
          <w:lang w:eastAsia="zh-CN"/>
        </w:rPr>
        <w:t>Statiunea turistica Varful lui Roman</w:t>
      </w:r>
      <w:r w:rsidRPr="0060531A">
        <w:rPr>
          <w:rFonts w:ascii="Arial" w:eastAsia="Calibri" w:hAnsi="Arial" w:cs="Arial"/>
          <w:color w:val="000000"/>
          <w:lang w:val="es-ES" w:eastAsia="zh-CN"/>
        </w:rPr>
        <w:t>, dotate cu stații de încărcare pentru bicicletele, trotinetele și alte vehicule de micromobilitate electrice – termen mediu.</w:t>
      </w:r>
    </w:p>
    <w:p w14:paraId="08EDDAF6" w14:textId="77777777" w:rsidR="0060531A" w:rsidRPr="0060531A" w:rsidRDefault="0060531A" w:rsidP="0060531A">
      <w:pPr>
        <w:widowControl w:val="0"/>
        <w:numPr>
          <w:ilvl w:val="0"/>
          <w:numId w:val="77"/>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IV.4 = campanii promoţionale pentru utilizarea bicicletei = organizarea de concursuri de ciclism la nivel municipal – eventual cu premii – de genul „sunt cel mai rapid” sau „sunt cel mai rezistent” pe grupe de vârste (3...80 ani) poate deschide apetitul pentru utlilizarea bicicletei; efectuate insistent şi cu închiderea într-o sâmbătă sau duminică a unei artere importante – pentru pista concursului, poate avea un impact neaşteptat, benefic mobilităţii – termen mediu;</w:t>
      </w:r>
    </w:p>
    <w:p w14:paraId="27F5C385" w14:textId="77777777" w:rsidR="0060531A" w:rsidRPr="0060531A" w:rsidRDefault="0060531A" w:rsidP="0060531A">
      <w:pPr>
        <w:widowControl w:val="0"/>
        <w:numPr>
          <w:ilvl w:val="0"/>
          <w:numId w:val="77"/>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IV.6 = extinderea zonei pietonale – termen mediu;</w:t>
      </w:r>
    </w:p>
    <w:p w14:paraId="1A5A88FB" w14:textId="77777777" w:rsidR="0060531A" w:rsidRPr="0060531A" w:rsidRDefault="0060531A" w:rsidP="0060531A">
      <w:pPr>
        <w:widowControl w:val="0"/>
        <w:numPr>
          <w:ilvl w:val="0"/>
          <w:numId w:val="77"/>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IV.7 = creșterea accesibilității pentru persoanele în vârstă sau cele cu dizabilități = reabilitarea suprafețelor pietonale prin asigurarea unui pavaj neted, uniform, cu marginea pavajului scufundat, amplasarea de suprafete tactile in zonele de traversare, dar și separarea fizică a trotuarelor prin bolarzi sau garduri de traficul rutier, în special în zona unităților de învățământ – termen mediu;</w:t>
      </w:r>
    </w:p>
    <w:p w14:paraId="1E45B97C" w14:textId="77777777" w:rsidR="0060531A" w:rsidRPr="0060531A" w:rsidRDefault="0060531A" w:rsidP="0060531A">
      <w:pPr>
        <w:widowControl w:val="0"/>
        <w:numPr>
          <w:ilvl w:val="0"/>
          <w:numId w:val="77"/>
        </w:numPr>
        <w:suppressAutoHyphens/>
        <w:autoSpaceDE w:val="0"/>
        <w:spacing w:after="0" w:line="276" w:lineRule="auto"/>
        <w:jc w:val="both"/>
        <w:rPr>
          <w:rFonts w:ascii="Arial" w:eastAsia="Calibri" w:hAnsi="Arial" w:cs="Arial"/>
          <w:color w:val="000000"/>
          <w:lang w:val="es-ES" w:eastAsia="zh-CN"/>
        </w:rPr>
      </w:pPr>
      <w:r w:rsidRPr="0060531A">
        <w:rPr>
          <w:rFonts w:ascii="Arial" w:eastAsia="Arial" w:hAnsi="Arial" w:cs="Arial"/>
          <w:color w:val="000000"/>
          <w:lang w:val="es-ES" w:eastAsia="zh-CN"/>
        </w:rPr>
        <w:t>IV</w:t>
      </w:r>
      <w:r w:rsidRPr="0060531A">
        <w:rPr>
          <w:rFonts w:ascii="Arial" w:eastAsia="Calibri" w:hAnsi="Arial" w:cs="Arial"/>
          <w:color w:val="000000"/>
          <w:lang w:val="es-ES" w:eastAsia="zh-CN"/>
        </w:rPr>
        <w:t>.8 = introducerea în municipiu a „zilei fără autoturisme” (lunar) – termen lung.</w:t>
      </w:r>
    </w:p>
    <w:p w14:paraId="73E99BA4" w14:textId="77777777" w:rsidR="0060531A" w:rsidRPr="0060531A" w:rsidRDefault="0060531A" w:rsidP="0060531A">
      <w:pPr>
        <w:suppressAutoHyphens/>
        <w:autoSpaceDE w:val="0"/>
        <w:spacing w:after="0" w:line="276" w:lineRule="auto"/>
        <w:jc w:val="both"/>
        <w:rPr>
          <w:rFonts w:ascii="Arial" w:eastAsia="Arial" w:hAnsi="Arial" w:cs="Arial"/>
          <w:color w:val="000000"/>
          <w:lang w:val="es-ES" w:eastAsia="zh-CN"/>
        </w:rPr>
      </w:pPr>
    </w:p>
    <w:p w14:paraId="6404DB5C" w14:textId="77777777" w:rsidR="0060531A" w:rsidRPr="0060531A" w:rsidRDefault="0060531A" w:rsidP="0060531A">
      <w:pPr>
        <w:widowControl w:val="0"/>
        <w:autoSpaceDE w:val="0"/>
        <w:autoSpaceDN w:val="0"/>
        <w:adjustRightInd w:val="0"/>
        <w:spacing w:after="0" w:line="276" w:lineRule="auto"/>
        <w:rPr>
          <w:rFonts w:ascii="Arial" w:eastAsia="Calibri" w:hAnsi="Arial" w:cs="Arial"/>
          <w:b/>
          <w:color w:val="000000"/>
          <w:kern w:val="1"/>
          <w:lang w:val="ro-RO" w:bidi="hi-IN"/>
        </w:rPr>
      </w:pPr>
      <w:r w:rsidRPr="0060531A">
        <w:rPr>
          <w:rFonts w:ascii="Arial" w:eastAsia="Calibri" w:hAnsi="Arial" w:cs="Arial"/>
          <w:b/>
          <w:color w:val="000000"/>
          <w:kern w:val="1"/>
          <w:lang w:val="ro-RO" w:bidi="hi-IN"/>
        </w:rPr>
        <w:t>V. Managementul mobilitatii</w:t>
      </w:r>
    </w:p>
    <w:p w14:paraId="29605122" w14:textId="77777777" w:rsidR="0060531A" w:rsidRPr="0060531A" w:rsidRDefault="0060531A" w:rsidP="0060531A">
      <w:pPr>
        <w:widowControl w:val="0"/>
        <w:numPr>
          <w:ilvl w:val="0"/>
          <w:numId w:val="79"/>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V.1 = derularea unor acţiuni de popularizare referitoare la sistemele de utilizare a autoturismelor proprietate personală: car-sharing, car-pooling, bike-sharing – termen lung;</w:t>
      </w:r>
    </w:p>
    <w:p w14:paraId="6F1550BA" w14:textId="77777777" w:rsidR="0060531A" w:rsidRPr="0060531A" w:rsidRDefault="0060531A" w:rsidP="0060531A">
      <w:pPr>
        <w:widowControl w:val="0"/>
        <w:numPr>
          <w:ilvl w:val="0"/>
          <w:numId w:val="79"/>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V.2 = </w:t>
      </w:r>
      <w:r w:rsidRPr="0060531A">
        <w:rPr>
          <w:rFonts w:ascii="Arial" w:eastAsia="Calibri" w:hAnsi="Arial" w:cs="Arial"/>
          <w:color w:val="000000"/>
          <w:lang w:val="ro-RO" w:eastAsia="zh-CN"/>
        </w:rPr>
        <w:t>Implementarea conceptului de zone rezidenţiale</w:t>
      </w:r>
      <w:r w:rsidRPr="0060531A">
        <w:rPr>
          <w:rFonts w:ascii="Arial" w:eastAsia="Calibri" w:hAnsi="Arial" w:cs="Arial"/>
          <w:color w:val="000000"/>
          <w:lang w:val="es-ES" w:eastAsia="zh-CN"/>
        </w:rPr>
        <w:t xml:space="preserve"> – termen mediu;</w:t>
      </w:r>
    </w:p>
    <w:p w14:paraId="1FC6E56F" w14:textId="77777777" w:rsidR="0060531A" w:rsidRPr="0060531A" w:rsidRDefault="0060531A" w:rsidP="0060531A">
      <w:pPr>
        <w:widowControl w:val="0"/>
        <w:numPr>
          <w:ilvl w:val="0"/>
          <w:numId w:val="79"/>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rPr>
        <w:t xml:space="preserve">V.3 = restrictionarea accesului vehiculelor cu masa autorizata mai mare de 7,5 t pe teritoriul orasului, dupa aparitia soselei de centura </w:t>
      </w:r>
      <w:r w:rsidRPr="0060531A">
        <w:rPr>
          <w:rFonts w:ascii="Arial" w:eastAsia="Calibri" w:hAnsi="Arial" w:cs="Arial"/>
          <w:color w:val="000000"/>
          <w:lang w:val="es-ES" w:eastAsia="zh-CN"/>
        </w:rPr>
        <w:t>– termen lung.</w:t>
      </w:r>
    </w:p>
    <w:p w14:paraId="2C5CA286"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78D3C84A" w14:textId="77777777" w:rsidR="0060531A" w:rsidRPr="0060531A" w:rsidRDefault="0060531A" w:rsidP="0060531A">
      <w:pPr>
        <w:widowControl w:val="0"/>
        <w:autoSpaceDE w:val="0"/>
        <w:autoSpaceDN w:val="0"/>
        <w:adjustRightInd w:val="0"/>
        <w:spacing w:after="0" w:line="276" w:lineRule="auto"/>
        <w:rPr>
          <w:rFonts w:ascii="Arial" w:eastAsia="Calibri" w:hAnsi="Arial" w:cs="Arial"/>
          <w:b/>
          <w:color w:val="000000"/>
          <w:kern w:val="1"/>
          <w:lang w:val="es-ES" w:bidi="hi-IN"/>
        </w:rPr>
      </w:pPr>
      <w:r w:rsidRPr="0060531A">
        <w:rPr>
          <w:rFonts w:ascii="Arial" w:eastAsia="Calibri" w:hAnsi="Arial" w:cs="Arial"/>
          <w:b/>
          <w:color w:val="000000"/>
          <w:kern w:val="1"/>
          <w:lang w:val="es-ES" w:bidi="hi-IN"/>
        </w:rPr>
        <w:lastRenderedPageBreak/>
        <w:t>VI. Îmbunătățirea integrării dintre transport și planificarea urbană</w:t>
      </w:r>
    </w:p>
    <w:p w14:paraId="6FB7C860" w14:textId="2DEB925F" w:rsidR="0060531A" w:rsidRPr="0060531A" w:rsidRDefault="0060531A" w:rsidP="0060531A">
      <w:pPr>
        <w:widowControl w:val="0"/>
        <w:numPr>
          <w:ilvl w:val="0"/>
          <w:numId w:val="80"/>
        </w:numPr>
        <w:suppressAutoHyphens/>
        <w:autoSpaceDE w:val="0"/>
        <w:spacing w:after="0" w:line="276" w:lineRule="auto"/>
        <w:jc w:val="both"/>
        <w:rPr>
          <w:rFonts w:ascii="Arial" w:eastAsia="Arial" w:hAnsi="Arial" w:cs="Arial"/>
          <w:color w:val="000000"/>
          <w:lang w:val="es-ES" w:eastAsia="zh-CN"/>
        </w:rPr>
      </w:pPr>
      <w:r w:rsidRPr="0060531A">
        <w:rPr>
          <w:rFonts w:ascii="Arial" w:eastAsia="Arial" w:hAnsi="Arial" w:cs="Arial"/>
          <w:color w:val="000000"/>
          <w:lang w:val="es-ES" w:eastAsia="zh-CN"/>
        </w:rPr>
        <w:t>V</w:t>
      </w:r>
      <w:r w:rsidRPr="0060531A">
        <w:rPr>
          <w:rFonts w:ascii="Arial" w:eastAsia="Calibri" w:hAnsi="Arial" w:cs="Arial"/>
          <w:color w:val="000000"/>
          <w:lang w:val="es-ES" w:eastAsia="zh-CN"/>
        </w:rPr>
        <w:t xml:space="preserve">I.1 = </w:t>
      </w:r>
      <w:r w:rsidRPr="0060531A">
        <w:rPr>
          <w:rFonts w:ascii="Arial" w:hAnsi="Arial" w:cs="Arial"/>
          <w:lang w:val="es-ES"/>
        </w:rPr>
        <w:t xml:space="preserve">întocmirea de hărţi de răspândire a </w:t>
      </w:r>
      <w:r w:rsidR="00431567">
        <w:rPr>
          <w:rFonts w:ascii="Arial" w:hAnsi="Arial" w:cs="Arial"/>
          <w:lang w:val="es-ES"/>
        </w:rPr>
        <w:t>dotărilor</w:t>
      </w:r>
      <w:r w:rsidRPr="0060531A">
        <w:rPr>
          <w:rFonts w:ascii="Arial" w:hAnsi="Arial" w:cs="Arial"/>
          <w:lang w:val="es-ES"/>
        </w:rPr>
        <w:t xml:space="preserve"> de primă necesitate (următoarele implanturi se vor face numai pe principiul egalei răspândiri în teritoriu) = este necesar să se completeze PUG cu prevederi de acest tip. Din punct de vedere al mobilităţii</w:t>
      </w:r>
      <w:r w:rsidRPr="0060531A">
        <w:rPr>
          <w:rFonts w:ascii="Arial" w:hAnsi="Arial" w:cs="Arial"/>
          <w:b/>
          <w:lang w:val="es-ES"/>
        </w:rPr>
        <w:t xml:space="preserve"> </w:t>
      </w:r>
      <w:r w:rsidRPr="0060531A">
        <w:rPr>
          <w:rFonts w:ascii="Arial" w:hAnsi="Arial" w:cs="Arial"/>
          <w:lang w:val="es-ES"/>
        </w:rPr>
        <w:t xml:space="preserve">prin </w:t>
      </w:r>
      <w:r w:rsidR="00431567">
        <w:rPr>
          <w:rFonts w:ascii="Arial" w:hAnsi="Arial" w:cs="Arial"/>
          <w:lang w:val="es-ES"/>
        </w:rPr>
        <w:t>dotări</w:t>
      </w:r>
      <w:r w:rsidRPr="0060531A">
        <w:rPr>
          <w:rFonts w:ascii="Arial" w:hAnsi="Arial" w:cs="Arial"/>
          <w:lang w:val="es-ES"/>
        </w:rPr>
        <w:t xml:space="preserve"> de primă necesitate se </w:t>
      </w:r>
      <w:r w:rsidR="00431567">
        <w:rPr>
          <w:rFonts w:ascii="Arial" w:hAnsi="Arial" w:cs="Arial"/>
          <w:lang w:val="es-ES"/>
        </w:rPr>
        <w:t>î</w:t>
      </w:r>
      <w:r w:rsidRPr="0060531A">
        <w:rPr>
          <w:rFonts w:ascii="Arial" w:hAnsi="Arial" w:cs="Arial"/>
          <w:lang w:val="es-ES"/>
        </w:rPr>
        <w:t>n</w:t>
      </w:r>
      <w:r w:rsidR="00431567">
        <w:rPr>
          <w:rFonts w:ascii="Arial" w:hAnsi="Arial" w:cs="Arial"/>
          <w:lang w:val="es-ES"/>
        </w:rPr>
        <w:t>ț</w:t>
      </w:r>
      <w:r w:rsidRPr="0060531A">
        <w:rPr>
          <w:rFonts w:ascii="Arial" w:hAnsi="Arial" w:cs="Arial"/>
          <w:lang w:val="es-ES"/>
        </w:rPr>
        <w:t>eleg: unit</w:t>
      </w:r>
      <w:r w:rsidR="00431567">
        <w:rPr>
          <w:rFonts w:ascii="Arial" w:hAnsi="Arial" w:cs="Arial"/>
          <w:lang w:val="es-ES"/>
        </w:rPr>
        <w:t>ăț</w:t>
      </w:r>
      <w:r w:rsidRPr="0060531A">
        <w:rPr>
          <w:rFonts w:ascii="Arial" w:hAnsi="Arial" w:cs="Arial"/>
          <w:lang w:val="es-ES"/>
        </w:rPr>
        <w:t xml:space="preserve">i de </w:t>
      </w:r>
      <w:r w:rsidR="00431567">
        <w:rPr>
          <w:rFonts w:ascii="Arial" w:hAnsi="Arial" w:cs="Arial"/>
          <w:lang w:val="es-ES"/>
        </w:rPr>
        <w:t>î</w:t>
      </w:r>
      <w:r w:rsidRPr="0060531A">
        <w:rPr>
          <w:rFonts w:ascii="Arial" w:hAnsi="Arial" w:cs="Arial"/>
          <w:lang w:val="es-ES"/>
        </w:rPr>
        <w:t>nv</w:t>
      </w:r>
      <w:r w:rsidR="00431567">
        <w:rPr>
          <w:rFonts w:ascii="Arial" w:hAnsi="Arial" w:cs="Arial"/>
          <w:lang w:val="es-ES"/>
        </w:rPr>
        <w:t>ăță</w:t>
      </w:r>
      <w:r w:rsidRPr="0060531A">
        <w:rPr>
          <w:rFonts w:ascii="Arial" w:hAnsi="Arial" w:cs="Arial"/>
          <w:lang w:val="es-ES"/>
        </w:rPr>
        <w:t>m</w:t>
      </w:r>
      <w:r w:rsidR="00431567">
        <w:rPr>
          <w:rFonts w:ascii="Arial" w:hAnsi="Arial" w:cs="Arial"/>
          <w:lang w:val="es-ES"/>
        </w:rPr>
        <w:t>â</w:t>
      </w:r>
      <w:r w:rsidRPr="0060531A">
        <w:rPr>
          <w:rFonts w:ascii="Arial" w:hAnsi="Arial" w:cs="Arial"/>
          <w:lang w:val="es-ES"/>
        </w:rPr>
        <w:t>nt pre</w:t>
      </w:r>
      <w:r w:rsidR="00431567">
        <w:rPr>
          <w:rFonts w:ascii="Arial" w:hAnsi="Arial" w:cs="Arial"/>
          <w:lang w:val="es-ES"/>
        </w:rPr>
        <w:t>ș</w:t>
      </w:r>
      <w:r w:rsidRPr="0060531A">
        <w:rPr>
          <w:rFonts w:ascii="Arial" w:hAnsi="Arial" w:cs="Arial"/>
          <w:lang w:val="es-ES"/>
        </w:rPr>
        <w:t xml:space="preserve">colar, primar </w:t>
      </w:r>
      <w:r w:rsidR="00431567">
        <w:rPr>
          <w:rFonts w:ascii="Arial" w:hAnsi="Arial" w:cs="Arial"/>
          <w:lang w:val="es-ES"/>
        </w:rPr>
        <w:t>ș</w:t>
      </w:r>
      <w:r w:rsidRPr="0060531A">
        <w:rPr>
          <w:rFonts w:ascii="Arial" w:hAnsi="Arial" w:cs="Arial"/>
          <w:lang w:val="es-ES"/>
        </w:rPr>
        <w:t>i gimnazial, unit</w:t>
      </w:r>
      <w:r w:rsidR="00400C28">
        <w:rPr>
          <w:rFonts w:ascii="Arial" w:hAnsi="Arial" w:cs="Arial"/>
          <w:lang w:val="es-ES"/>
        </w:rPr>
        <w:t>ăț</w:t>
      </w:r>
      <w:r w:rsidRPr="0060531A">
        <w:rPr>
          <w:rFonts w:ascii="Arial" w:hAnsi="Arial" w:cs="Arial"/>
          <w:lang w:val="es-ES"/>
        </w:rPr>
        <w:t>i sanitare, pie</w:t>
      </w:r>
      <w:r w:rsidR="00400C28">
        <w:rPr>
          <w:rFonts w:ascii="Arial" w:hAnsi="Arial" w:cs="Arial"/>
          <w:lang w:val="es-ES"/>
        </w:rPr>
        <w:t>ț</w:t>
      </w:r>
      <w:r w:rsidRPr="0060531A">
        <w:rPr>
          <w:rFonts w:ascii="Arial" w:hAnsi="Arial" w:cs="Arial"/>
          <w:lang w:val="es-ES"/>
        </w:rPr>
        <w:t>e agro-alimentare, unit</w:t>
      </w:r>
      <w:r w:rsidR="00400C28">
        <w:rPr>
          <w:rFonts w:ascii="Arial" w:hAnsi="Arial" w:cs="Arial"/>
          <w:lang w:val="es-ES"/>
        </w:rPr>
        <w:t>ăț</w:t>
      </w:r>
      <w:r w:rsidRPr="0060531A">
        <w:rPr>
          <w:rFonts w:ascii="Arial" w:hAnsi="Arial" w:cs="Arial"/>
          <w:lang w:val="es-ES"/>
        </w:rPr>
        <w:t>i comerciale etc. Acest tip de h</w:t>
      </w:r>
      <w:r w:rsidR="00400C28">
        <w:rPr>
          <w:rFonts w:ascii="Arial" w:hAnsi="Arial" w:cs="Arial"/>
          <w:lang w:val="es-ES"/>
        </w:rPr>
        <w:t>ă</w:t>
      </w:r>
      <w:r w:rsidRPr="0060531A">
        <w:rPr>
          <w:rFonts w:ascii="Arial" w:hAnsi="Arial" w:cs="Arial"/>
          <w:lang w:val="es-ES"/>
        </w:rPr>
        <w:t>r</w:t>
      </w:r>
      <w:r w:rsidR="00400C28">
        <w:rPr>
          <w:rFonts w:ascii="Arial" w:hAnsi="Arial" w:cs="Arial"/>
          <w:lang w:val="es-ES"/>
        </w:rPr>
        <w:t>ț</w:t>
      </w:r>
      <w:r w:rsidRPr="0060531A">
        <w:rPr>
          <w:rFonts w:ascii="Arial" w:hAnsi="Arial" w:cs="Arial"/>
          <w:lang w:val="es-ES"/>
        </w:rPr>
        <w:t>i sunt necesare pentru a putea determina unde trebuie amplasate astfel de puncte de interes ale populaţiei – amplasarea raţională fiind benefică pentru mobilitate. De asemenea, sunt utile si pentru informarea cetatenilor care doresc sa-si stabileasca sau sa-si mute resedinta intr-o anumita zona – termen mediu</w:t>
      </w:r>
      <w:r w:rsidRPr="0060531A">
        <w:rPr>
          <w:rFonts w:ascii="Arial" w:eastAsia="Calibri" w:hAnsi="Arial" w:cs="Arial"/>
          <w:color w:val="000000"/>
          <w:lang w:val="es-ES" w:eastAsia="zh-CN"/>
        </w:rPr>
        <w:t xml:space="preserve">; </w:t>
      </w:r>
    </w:p>
    <w:p w14:paraId="788EF0B3"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1EB4FD8A" w14:textId="77777777" w:rsidR="0060531A" w:rsidRPr="0060531A" w:rsidRDefault="0060531A" w:rsidP="0060531A">
      <w:pPr>
        <w:suppressAutoHyphens/>
        <w:autoSpaceDE w:val="0"/>
        <w:spacing w:after="0" w:line="276" w:lineRule="auto"/>
        <w:jc w:val="both"/>
        <w:rPr>
          <w:rFonts w:ascii="Arial" w:eastAsia="Calibri" w:hAnsi="Arial" w:cs="Arial"/>
          <w:b/>
          <w:color w:val="000000"/>
          <w:lang w:eastAsia="zh-CN"/>
        </w:rPr>
      </w:pPr>
      <w:r w:rsidRPr="0060531A">
        <w:rPr>
          <w:rFonts w:ascii="Arial" w:eastAsia="Calibri" w:hAnsi="Arial" w:cs="Arial"/>
          <w:b/>
          <w:color w:val="000000"/>
          <w:lang w:eastAsia="zh-CN"/>
        </w:rPr>
        <w:t>VII. inovarea managementului parcărilor</w:t>
      </w:r>
    </w:p>
    <w:p w14:paraId="206F4A03" w14:textId="77777777" w:rsidR="0060531A" w:rsidRPr="0060531A" w:rsidRDefault="0060531A" w:rsidP="0060531A">
      <w:pPr>
        <w:widowControl w:val="0"/>
        <w:numPr>
          <w:ilvl w:val="0"/>
          <w:numId w:val="82"/>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 xml:space="preserve">VII.1 = elaborarea unei politici de parcare pentru mobilitate urbana durabila = </w:t>
      </w:r>
      <w:r w:rsidRPr="0060531A">
        <w:rPr>
          <w:rFonts w:ascii="Arial" w:eastAsia="Calibri" w:hAnsi="Arial" w:cs="Arial"/>
          <w:color w:val="000000"/>
          <w:lang w:eastAsia="zh-CN"/>
        </w:rPr>
        <w:t xml:space="preserve">politica de gestionare a parcării urbane este unul dintre cele mai puternice instrumente aflate la dispoziția primăriilor pentru a influența tiparele de mobilitate urbană, pentru a controla amenajarea și utilizarea spațiului urban și, în ultimă instanță, pentru a determina calitatea vieții urbane </w:t>
      </w:r>
      <w:r w:rsidRPr="0060531A">
        <w:rPr>
          <w:rFonts w:ascii="Arial" w:eastAsia="Calibri" w:hAnsi="Arial" w:cs="Arial"/>
          <w:color w:val="000000"/>
          <w:lang w:val="es-ES" w:eastAsia="zh-CN"/>
        </w:rPr>
        <w:t xml:space="preserve">– termen scurt; </w:t>
      </w:r>
    </w:p>
    <w:p w14:paraId="68771560" w14:textId="77777777" w:rsidR="0060531A" w:rsidRPr="0060531A" w:rsidRDefault="0060531A" w:rsidP="0060531A">
      <w:pPr>
        <w:widowControl w:val="0"/>
        <w:numPr>
          <w:ilvl w:val="0"/>
          <w:numId w:val="82"/>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 xml:space="preserve">VII.2 = </w:t>
      </w:r>
      <w:r w:rsidRPr="0060531A">
        <w:rPr>
          <w:rFonts w:ascii="Arial" w:eastAsia="Times New Roman" w:hAnsi="Arial" w:cs="Arial"/>
          <w:lang w:val="x-none" w:eastAsia="zh-CN"/>
        </w:rPr>
        <w:t>introducerea sistemului de taxare a parcării</w:t>
      </w:r>
      <w:r w:rsidRPr="0060531A">
        <w:rPr>
          <w:rFonts w:ascii="Arial" w:eastAsia="Calibri" w:hAnsi="Arial" w:cs="Arial"/>
          <w:color w:val="000000"/>
          <w:lang w:eastAsia="zh-CN"/>
        </w:rPr>
        <w:t xml:space="preserve"> </w:t>
      </w:r>
      <w:r w:rsidRPr="0060531A">
        <w:rPr>
          <w:rFonts w:ascii="Arial" w:eastAsia="Calibri" w:hAnsi="Arial" w:cs="Arial"/>
          <w:color w:val="000000"/>
          <w:lang w:val="es-ES" w:eastAsia="zh-CN"/>
        </w:rPr>
        <w:t>– termen mediu;</w:t>
      </w:r>
    </w:p>
    <w:p w14:paraId="3B7BFE3C" w14:textId="77777777" w:rsidR="0060531A" w:rsidRPr="0060531A" w:rsidRDefault="0060531A" w:rsidP="0060531A">
      <w:pPr>
        <w:widowControl w:val="0"/>
        <w:numPr>
          <w:ilvl w:val="0"/>
          <w:numId w:val="82"/>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eastAsia="zh-CN"/>
        </w:rPr>
        <w:t xml:space="preserve">VII.5 = crearea unei baze de date GIS a tuturor locurilor de parcare din oras </w:t>
      </w:r>
      <w:r w:rsidRPr="0060531A">
        <w:rPr>
          <w:rFonts w:ascii="Arial" w:eastAsia="Calibri" w:hAnsi="Arial" w:cs="Arial"/>
          <w:color w:val="000000"/>
          <w:lang w:val="es-ES" w:eastAsia="zh-CN"/>
        </w:rPr>
        <w:t xml:space="preserve">– termen mediu. </w:t>
      </w:r>
    </w:p>
    <w:p w14:paraId="1ED50F07"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6EAE411A" w14:textId="77777777" w:rsidR="0060531A" w:rsidRPr="0060531A" w:rsidRDefault="0060531A" w:rsidP="0060531A">
      <w:pPr>
        <w:suppressAutoHyphens/>
        <w:autoSpaceDE w:val="0"/>
        <w:spacing w:after="0" w:line="276" w:lineRule="auto"/>
        <w:jc w:val="both"/>
        <w:rPr>
          <w:rFonts w:ascii="Arial" w:eastAsia="Calibri" w:hAnsi="Arial" w:cs="Arial"/>
          <w:b/>
          <w:color w:val="000000"/>
          <w:lang w:val="es-ES" w:eastAsia="zh-CN"/>
        </w:rPr>
      </w:pPr>
      <w:r w:rsidRPr="0060531A">
        <w:rPr>
          <w:rFonts w:ascii="Arial" w:eastAsia="Calibri" w:hAnsi="Arial" w:cs="Arial"/>
          <w:b/>
          <w:color w:val="000000"/>
          <w:lang w:val="es-ES" w:eastAsia="zh-CN"/>
        </w:rPr>
        <w:t xml:space="preserve">VIII. îmbunătăţirea siguranţei rutiere </w:t>
      </w:r>
      <w:r w:rsidRPr="0060531A">
        <w:rPr>
          <w:rFonts w:ascii="Arial" w:eastAsia="Calibri" w:hAnsi="Arial" w:cs="Arial"/>
          <w:b/>
          <w:color w:val="000000"/>
          <w:lang w:val="es-ES"/>
        </w:rPr>
        <w:t>cu accent pe utilizatorii vulnerabili ai drumurilor</w:t>
      </w:r>
    </w:p>
    <w:p w14:paraId="2E04802D" w14:textId="77777777" w:rsidR="0060531A" w:rsidRPr="0060531A" w:rsidRDefault="0060531A" w:rsidP="0060531A">
      <w:pPr>
        <w:widowControl w:val="0"/>
        <w:numPr>
          <w:ilvl w:val="0"/>
          <w:numId w:val="83"/>
        </w:numPr>
        <w:suppressAutoHyphens/>
        <w:autoSpaceDE w:val="0"/>
        <w:spacing w:after="0" w:line="276" w:lineRule="auto"/>
        <w:jc w:val="both"/>
        <w:rPr>
          <w:rFonts w:ascii="Arial" w:eastAsia="Arial" w:hAnsi="Arial" w:cs="Arial"/>
          <w:color w:val="000000"/>
          <w:lang w:val="es-ES" w:eastAsia="zh-CN"/>
        </w:rPr>
      </w:pPr>
      <w:r w:rsidRPr="0060531A">
        <w:rPr>
          <w:rFonts w:ascii="Arial" w:eastAsia="Arial" w:hAnsi="Arial" w:cs="Arial"/>
          <w:color w:val="000000"/>
          <w:lang w:val="es-ES" w:eastAsia="zh-CN"/>
        </w:rPr>
        <w:t>VIII.1 = eliminarea punctelor negre – pietoni = se propune găsirea de soluţii pentru eliminarea a minim 3 puncte negre din interiorul oraşului (zone cu potenţial ridicat de producere a accidentelor) în care sunt implicaţi pietoni – termen mediu.</w:t>
      </w:r>
    </w:p>
    <w:p w14:paraId="7DB61064" w14:textId="77777777" w:rsidR="0060531A" w:rsidRPr="0060531A" w:rsidRDefault="0060531A" w:rsidP="0060531A">
      <w:pPr>
        <w:widowControl w:val="0"/>
        <w:numPr>
          <w:ilvl w:val="0"/>
          <w:numId w:val="83"/>
        </w:numPr>
        <w:suppressAutoHyphens/>
        <w:autoSpaceDE w:val="0"/>
        <w:spacing w:after="0" w:line="276" w:lineRule="auto"/>
        <w:jc w:val="both"/>
        <w:rPr>
          <w:rFonts w:ascii="Arial" w:eastAsia="Arial" w:hAnsi="Arial" w:cs="Arial"/>
          <w:color w:val="000000"/>
          <w:lang w:val="es-ES" w:eastAsia="zh-CN"/>
        </w:rPr>
      </w:pPr>
      <w:r w:rsidRPr="0060531A">
        <w:rPr>
          <w:rFonts w:ascii="Arial" w:eastAsia="Arial" w:hAnsi="Arial" w:cs="Arial"/>
          <w:color w:val="000000"/>
          <w:lang w:val="es-ES" w:eastAsia="zh-CN"/>
        </w:rPr>
        <w:t>VIII.2 = eliminarea punctelor negre – vehicule = se propune găsirea de soluţii pentru eliminarea a minim 3 puncte negre din interiorul oraşului (zone cu potenţial ridicat de producere a accidentelor) în care sunt implicate vehicule – termen mediu.</w:t>
      </w:r>
    </w:p>
    <w:p w14:paraId="4C9FC88F" w14:textId="77777777" w:rsidR="0060531A" w:rsidRPr="0060531A" w:rsidRDefault="0060531A" w:rsidP="0060531A">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VIII.3 = reabilitarea marcajelor şi a semnalizării pentru pietoni – termen mediu;</w:t>
      </w:r>
    </w:p>
    <w:p w14:paraId="28DDF615" w14:textId="77777777" w:rsidR="0060531A" w:rsidRPr="0060531A" w:rsidRDefault="0060531A" w:rsidP="0060531A">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VIII.4 = amplasarea marcajelor tactile pentru persoanele cu dizabilităţi de vedere la trecerile pentru pietoni – termen mediu;</w:t>
      </w:r>
    </w:p>
    <w:p w14:paraId="66365F30" w14:textId="77777777" w:rsidR="0060531A" w:rsidRPr="0060531A" w:rsidRDefault="0060531A" w:rsidP="0060531A">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VIII.5 = </w:t>
      </w:r>
      <w:r w:rsidRPr="0060531A">
        <w:rPr>
          <w:rFonts w:ascii="Arial" w:eastAsia="Times New Roman" w:hAnsi="Arial" w:cs="Arial"/>
          <w:lang w:val="x-none" w:eastAsia="zh-CN"/>
        </w:rPr>
        <w:t>amplasarea de indicatoare rutiere si realizarea de marcaje rutiere in zonele din care acestea lipsesc</w:t>
      </w:r>
      <w:r w:rsidRPr="0060531A">
        <w:rPr>
          <w:rFonts w:ascii="Arial" w:eastAsia="Calibri" w:hAnsi="Arial" w:cs="Arial"/>
          <w:color w:val="000000"/>
          <w:lang w:val="es-ES" w:eastAsia="zh-CN"/>
        </w:rPr>
        <w:t xml:space="preserve"> – termen mediu;</w:t>
      </w:r>
    </w:p>
    <w:p w14:paraId="4EEEB34A" w14:textId="77777777" w:rsidR="0060531A" w:rsidRPr="0060531A" w:rsidRDefault="0060531A" w:rsidP="0060531A">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VIII.6 = campanii de educație rutieră în școli – termen mediu;</w:t>
      </w:r>
    </w:p>
    <w:p w14:paraId="36610B94" w14:textId="77777777" w:rsidR="0060531A" w:rsidRPr="0060531A" w:rsidRDefault="0060531A" w:rsidP="0060531A">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60531A">
        <w:rPr>
          <w:rFonts w:ascii="Arial" w:eastAsia="Arial" w:hAnsi="Arial" w:cs="Arial"/>
          <w:lang w:val="x-none" w:eastAsia="zh-CN"/>
        </w:rPr>
        <w:t>VIII.</w:t>
      </w:r>
      <w:r w:rsidRPr="0060531A">
        <w:rPr>
          <w:rFonts w:ascii="Arial" w:eastAsia="Arial" w:hAnsi="Arial" w:cs="Arial"/>
          <w:lang w:eastAsia="zh-CN"/>
        </w:rPr>
        <w:t>7</w:t>
      </w:r>
      <w:r w:rsidRPr="0060531A">
        <w:rPr>
          <w:rFonts w:ascii="Arial" w:eastAsia="Arial" w:hAnsi="Arial" w:cs="Arial"/>
          <w:lang w:val="x-none" w:eastAsia="zh-CN"/>
        </w:rPr>
        <w:t xml:space="preserve"> = </w:t>
      </w:r>
      <w:r w:rsidRPr="0060531A">
        <w:rPr>
          <w:rFonts w:ascii="Arial" w:eastAsia="Arial" w:hAnsi="Arial" w:cs="Arial"/>
          <w:lang w:eastAsia="zh-CN"/>
        </w:rPr>
        <w:t>mobilitate fara bariere</w:t>
      </w:r>
      <w:r w:rsidRPr="0060531A">
        <w:rPr>
          <w:rFonts w:ascii="Arial" w:eastAsia="Arial" w:hAnsi="Arial" w:cs="Arial"/>
          <w:lang w:val="x-none" w:eastAsia="zh-CN"/>
        </w:rPr>
        <w:t xml:space="preserve"> – </w:t>
      </w:r>
      <w:r w:rsidRPr="0060531A">
        <w:rPr>
          <w:rFonts w:ascii="Arial" w:eastAsia="Calibri" w:hAnsi="Arial" w:cs="Arial"/>
          <w:color w:val="000000"/>
          <w:lang w:val="es-ES" w:eastAsia="zh-CN"/>
        </w:rPr>
        <w:t>termen mediu.</w:t>
      </w:r>
    </w:p>
    <w:p w14:paraId="4406039C"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35C53F28"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b/>
          <w:color w:val="000000"/>
          <w:lang w:val="es-ES" w:eastAsia="zh-CN"/>
        </w:rPr>
        <w:t>IX. îmbunătăţirea infrastructurii rutiere a oraşului</w:t>
      </w:r>
    </w:p>
    <w:p w14:paraId="6B149FF2" w14:textId="77777777" w:rsidR="0060531A" w:rsidRPr="0060531A" w:rsidRDefault="0060531A" w:rsidP="0060531A">
      <w:pPr>
        <w:widowControl w:val="0"/>
        <w:numPr>
          <w:ilvl w:val="0"/>
          <w:numId w:val="84"/>
        </w:numPr>
        <w:suppressAutoHyphens/>
        <w:autoSpaceDE w:val="0"/>
        <w:spacing w:after="0" w:line="276" w:lineRule="auto"/>
        <w:jc w:val="both"/>
        <w:rPr>
          <w:rFonts w:ascii="Arial" w:eastAsia="Calibri" w:hAnsi="Arial" w:cs="Arial"/>
          <w:lang w:val="es-ES" w:eastAsia="zh-CN"/>
        </w:rPr>
      </w:pPr>
      <w:r w:rsidRPr="0060531A">
        <w:rPr>
          <w:rFonts w:ascii="Arial" w:eastAsia="Arial" w:hAnsi="Arial" w:cs="Arial"/>
          <w:color w:val="000000"/>
          <w:lang w:val="es-ES" w:eastAsia="zh-CN"/>
        </w:rPr>
        <w:t>IX</w:t>
      </w:r>
      <w:r w:rsidRPr="0060531A">
        <w:rPr>
          <w:rFonts w:ascii="Arial" w:eastAsia="Calibri" w:hAnsi="Arial" w:cs="Arial"/>
          <w:color w:val="000000"/>
          <w:lang w:val="es-ES" w:eastAsia="zh-CN"/>
        </w:rPr>
        <w:t>.2 = reabilitarea şi modernizarea infrastructurii rutiere</w:t>
      </w:r>
      <w:r w:rsidRPr="0060531A">
        <w:rPr>
          <w:rFonts w:ascii="Arial" w:eastAsia="Calibri" w:hAnsi="Arial" w:cs="Arial"/>
          <w:lang w:val="es-ES" w:eastAsia="zh-CN"/>
        </w:rPr>
        <w:t xml:space="preserve"> – termen mediu;</w:t>
      </w:r>
    </w:p>
    <w:p w14:paraId="1148EC85" w14:textId="77777777" w:rsidR="0060531A" w:rsidRPr="0060531A" w:rsidRDefault="0060531A" w:rsidP="0060531A">
      <w:pPr>
        <w:widowControl w:val="0"/>
        <w:numPr>
          <w:ilvl w:val="0"/>
          <w:numId w:val="84"/>
        </w:numPr>
        <w:suppressAutoHyphens/>
        <w:autoSpaceDE w:val="0"/>
        <w:spacing w:after="0" w:line="276" w:lineRule="auto"/>
        <w:jc w:val="both"/>
        <w:rPr>
          <w:rFonts w:ascii="Arial" w:eastAsia="Calibri" w:hAnsi="Arial" w:cs="Arial"/>
          <w:lang w:val="es-ES" w:eastAsia="zh-CN"/>
        </w:rPr>
      </w:pPr>
      <w:r w:rsidRPr="0060531A">
        <w:rPr>
          <w:rFonts w:ascii="Arial" w:eastAsia="Times New Roman" w:hAnsi="Arial" w:cs="Arial"/>
          <w:lang w:val="es-ES" w:eastAsia="zh-CN"/>
        </w:rPr>
        <w:t>IX.3 = reamenajarea intersecțiilor cu nivel de serviciu scăzut</w:t>
      </w:r>
      <w:r w:rsidRPr="0060531A">
        <w:rPr>
          <w:rFonts w:ascii="Arial" w:eastAsia="Times New Roman" w:hAnsi="Arial" w:cs="Arial"/>
          <w:lang w:val="x-none" w:eastAsia="zh-CN"/>
        </w:rPr>
        <w:t xml:space="preserve"> – </w:t>
      </w:r>
      <w:r w:rsidRPr="0060531A">
        <w:rPr>
          <w:rFonts w:ascii="Arial" w:eastAsia="Calibri" w:hAnsi="Arial" w:cs="Arial"/>
          <w:lang w:val="es-ES" w:eastAsia="zh-CN"/>
        </w:rPr>
        <w:t>termen mediu;</w:t>
      </w:r>
    </w:p>
    <w:p w14:paraId="35A6697B" w14:textId="77777777" w:rsidR="0060531A" w:rsidRPr="0060531A" w:rsidRDefault="0060531A" w:rsidP="0060531A">
      <w:pPr>
        <w:widowControl w:val="0"/>
        <w:numPr>
          <w:ilvl w:val="0"/>
          <w:numId w:val="84"/>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 xml:space="preserve">IX.4 = introducerea de sensuri unice </w:t>
      </w:r>
      <w:r w:rsidRPr="0060531A">
        <w:rPr>
          <w:rFonts w:ascii="Arial" w:eastAsia="Calibri" w:hAnsi="Arial" w:cs="Arial"/>
          <w:lang w:val="es-ES" w:eastAsia="zh-CN"/>
        </w:rPr>
        <w:t>– termen mediu;</w:t>
      </w:r>
    </w:p>
    <w:p w14:paraId="4C29723E" w14:textId="77777777" w:rsidR="0060531A" w:rsidRPr="0060531A" w:rsidRDefault="0060531A" w:rsidP="0060531A">
      <w:pPr>
        <w:widowControl w:val="0"/>
        <w:numPr>
          <w:ilvl w:val="0"/>
          <w:numId w:val="84"/>
        </w:numPr>
        <w:suppressAutoHyphens/>
        <w:spacing w:after="0" w:line="240" w:lineRule="auto"/>
        <w:jc w:val="both"/>
        <w:rPr>
          <w:rFonts w:ascii="Arial" w:eastAsia="Times New Roman" w:hAnsi="Arial" w:cs="Arial"/>
          <w:lang w:val="x-none" w:eastAsia="zh-CN"/>
        </w:rPr>
      </w:pPr>
      <w:r w:rsidRPr="0060531A">
        <w:rPr>
          <w:rFonts w:ascii="Arial" w:eastAsia="Times New Roman" w:hAnsi="Arial" w:cs="Arial"/>
          <w:lang w:eastAsia="zh-CN"/>
        </w:rPr>
        <w:t xml:space="preserve">IX.5 = realizare strapungere intre str. Zavoiului si str. Alex. Ioan Cuza – </w:t>
      </w:r>
      <w:r w:rsidRPr="0060531A">
        <w:rPr>
          <w:rFonts w:ascii="Arial" w:eastAsia="Calibri" w:hAnsi="Arial" w:cs="Arial"/>
          <w:lang w:val="es-ES" w:eastAsia="zh-CN"/>
        </w:rPr>
        <w:t>termen mediu</w:t>
      </w:r>
      <w:r w:rsidRPr="0060531A">
        <w:rPr>
          <w:rFonts w:ascii="Arial" w:eastAsia="Times New Roman" w:hAnsi="Arial" w:cs="Arial"/>
          <w:lang w:eastAsia="zh-CN"/>
        </w:rPr>
        <w:t>.</w:t>
      </w:r>
    </w:p>
    <w:p w14:paraId="6D109734"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30858833" w14:textId="77777777" w:rsidR="0060531A" w:rsidRPr="0060531A" w:rsidRDefault="0060531A" w:rsidP="0060531A">
      <w:pPr>
        <w:suppressAutoHyphens/>
        <w:autoSpaceDE w:val="0"/>
        <w:spacing w:after="0" w:line="276" w:lineRule="auto"/>
        <w:jc w:val="both"/>
        <w:rPr>
          <w:rFonts w:ascii="Arial" w:eastAsia="Calibri" w:hAnsi="Arial" w:cs="Arial"/>
          <w:b/>
          <w:color w:val="000000"/>
          <w:lang w:val="es-ES" w:eastAsia="zh-CN"/>
        </w:rPr>
      </w:pPr>
      <w:r w:rsidRPr="0060531A">
        <w:rPr>
          <w:rFonts w:ascii="Arial" w:eastAsia="Calibri" w:hAnsi="Arial" w:cs="Arial"/>
          <w:b/>
          <w:color w:val="000000"/>
          <w:lang w:val="es-ES" w:eastAsia="zh-CN"/>
        </w:rPr>
        <w:t>X. dezvoltarea sistemului local de transport public</w:t>
      </w:r>
    </w:p>
    <w:p w14:paraId="0DC6CBFF" w14:textId="77777777" w:rsidR="0060531A" w:rsidRPr="0060531A" w:rsidRDefault="0060531A" w:rsidP="0060531A">
      <w:pPr>
        <w:widowControl w:val="0"/>
        <w:numPr>
          <w:ilvl w:val="0"/>
          <w:numId w:val="86"/>
        </w:numPr>
        <w:suppressAutoHyphens/>
        <w:autoSpaceDE w:val="0"/>
        <w:spacing w:after="0" w:line="276" w:lineRule="auto"/>
        <w:jc w:val="both"/>
        <w:rPr>
          <w:rFonts w:ascii="Arial" w:eastAsia="Calibri" w:hAnsi="Arial" w:cs="Arial"/>
          <w:color w:val="000000"/>
          <w:lang w:val="es-ES" w:eastAsia="zh-CN"/>
        </w:rPr>
      </w:pPr>
      <w:r w:rsidRPr="0060531A">
        <w:rPr>
          <w:rFonts w:ascii="Arial" w:eastAsia="Arial" w:hAnsi="Arial" w:cs="Arial"/>
          <w:color w:val="000000"/>
          <w:lang w:eastAsia="zh-CN"/>
        </w:rPr>
        <w:lastRenderedPageBreak/>
        <w:t>X</w:t>
      </w:r>
      <w:r w:rsidRPr="0060531A">
        <w:rPr>
          <w:rFonts w:ascii="Arial" w:eastAsia="Calibri" w:hAnsi="Arial" w:cs="Arial"/>
          <w:color w:val="000000"/>
          <w:lang w:eastAsia="zh-CN"/>
        </w:rPr>
        <w:t>.1 = introducerea sistemului de transport public local, inclusiv catre localitatile componente ale orasului – termen mediu</w:t>
      </w:r>
      <w:r w:rsidRPr="0060531A">
        <w:rPr>
          <w:rFonts w:ascii="Arial" w:eastAsia="Calibri" w:hAnsi="Arial" w:cs="Arial"/>
          <w:color w:val="000000"/>
          <w:lang w:val="es-ES" w:eastAsia="zh-CN"/>
        </w:rPr>
        <w:t>;</w:t>
      </w:r>
    </w:p>
    <w:p w14:paraId="1E8CA358" w14:textId="77777777" w:rsidR="0060531A" w:rsidRPr="0060531A" w:rsidRDefault="0060531A" w:rsidP="0060531A">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 xml:space="preserve">X.2 = amenajarea și dotarea corespunzatoare a noilor stații pentru îmbarcarea-debarcarea călătorilor (și uniformizarea-personalizarea acestor puncte de contact între operator și public), inclusiv cu sisteme de informare a calatorilor în timp real </w:t>
      </w:r>
      <w:r w:rsidRPr="0060531A">
        <w:rPr>
          <w:rFonts w:ascii="Arial" w:eastAsia="Calibri" w:hAnsi="Arial" w:cs="Arial"/>
          <w:color w:val="000000"/>
          <w:lang w:eastAsia="zh-CN"/>
        </w:rPr>
        <w:t>– termen mediu</w:t>
      </w:r>
      <w:r w:rsidRPr="0060531A">
        <w:rPr>
          <w:rFonts w:ascii="Arial" w:eastAsia="Calibri" w:hAnsi="Arial" w:cs="Arial"/>
          <w:color w:val="000000"/>
          <w:lang w:val="es-ES" w:eastAsia="zh-CN"/>
        </w:rPr>
        <w:t>;</w:t>
      </w:r>
    </w:p>
    <w:p w14:paraId="1463392B" w14:textId="77777777" w:rsidR="0060531A" w:rsidRPr="0060531A" w:rsidRDefault="0060531A" w:rsidP="0060531A">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eastAsia="zh-CN"/>
        </w:rPr>
        <w:t>X.3 = achizitia unui parc de mijloace de transport în comun cu combustibili alternativi sau electrice pentru serviciul de transport public – termen mediu;</w:t>
      </w:r>
    </w:p>
    <w:p w14:paraId="3D94E410" w14:textId="77777777" w:rsidR="0060531A" w:rsidRPr="0060531A" w:rsidRDefault="0060531A" w:rsidP="0060531A">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X.4 = construirea unei autobaze, inclusiv dotarea cu stație de alimentare cu combustibili alternativi sau stație de încărcare cu energie electrică</w:t>
      </w:r>
      <w:r w:rsidRPr="0060531A">
        <w:rPr>
          <w:rFonts w:ascii="Arial" w:eastAsia="Calibri" w:hAnsi="Arial" w:cs="Arial"/>
          <w:color w:val="000000"/>
          <w:lang w:eastAsia="zh-CN"/>
        </w:rPr>
        <w:t xml:space="preserve"> – termen mediu</w:t>
      </w:r>
      <w:r w:rsidRPr="0060531A">
        <w:rPr>
          <w:rFonts w:ascii="Arial" w:eastAsia="Calibri" w:hAnsi="Arial" w:cs="Arial"/>
          <w:color w:val="000000"/>
          <w:lang w:val="es-ES" w:eastAsia="zh-CN"/>
        </w:rPr>
        <w:t>;</w:t>
      </w:r>
    </w:p>
    <w:p w14:paraId="13FE118E" w14:textId="77777777" w:rsidR="0060531A" w:rsidRPr="0060531A" w:rsidRDefault="0060531A" w:rsidP="0060531A">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 xml:space="preserve">X.5 = </w:t>
      </w:r>
      <w:r w:rsidRPr="0060531A">
        <w:rPr>
          <w:rFonts w:ascii="Arial" w:eastAsia="Calibri" w:hAnsi="Arial" w:cs="Arial"/>
          <w:color w:val="000000"/>
          <w:lang w:eastAsia="zh-CN"/>
        </w:rPr>
        <w:t>elaborarea unui studiu de oportunitate pentru stabilirea  modului de organizare a serviciului de transport public local, determinarea pe baze matematice a viitoarelor trasee, a programelor de circulatie, amplasarea statiilor etc. – termen scurt</w:t>
      </w:r>
      <w:r w:rsidRPr="0060531A">
        <w:rPr>
          <w:rFonts w:ascii="Arial" w:eastAsia="Calibri" w:hAnsi="Arial" w:cs="Arial"/>
          <w:color w:val="000000"/>
          <w:lang w:val="es-ES" w:eastAsia="zh-CN"/>
        </w:rPr>
        <w:t>;</w:t>
      </w:r>
    </w:p>
    <w:p w14:paraId="14F442F7" w14:textId="77777777" w:rsidR="0060531A" w:rsidRPr="0060531A" w:rsidRDefault="0060531A" w:rsidP="0060531A">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 xml:space="preserve">X.6 = pregǎtirea unui program circulație pentru zona periurbană (în special spre localitățile Nanov si Poroschia) </w:t>
      </w:r>
      <w:r w:rsidRPr="0060531A">
        <w:rPr>
          <w:rFonts w:ascii="Arial" w:eastAsia="Calibri" w:hAnsi="Arial" w:cs="Arial"/>
          <w:color w:val="000000"/>
          <w:lang w:eastAsia="zh-CN"/>
        </w:rPr>
        <w:t>– termen scurt</w:t>
      </w:r>
      <w:r w:rsidRPr="0060531A">
        <w:rPr>
          <w:rFonts w:ascii="Arial" w:eastAsia="Calibri" w:hAnsi="Arial" w:cs="Arial"/>
          <w:color w:val="000000"/>
          <w:lang w:val="es-ES" w:eastAsia="zh-CN"/>
        </w:rPr>
        <w:t>;</w:t>
      </w:r>
    </w:p>
    <w:p w14:paraId="79B9B10E" w14:textId="77777777" w:rsidR="0060531A" w:rsidRPr="0060531A" w:rsidRDefault="0060531A" w:rsidP="0060531A">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 xml:space="preserve">X.7 = infiintarea unui traseu turistic Horezu – Statiunea Varful lui Roman </w:t>
      </w:r>
      <w:r w:rsidRPr="0060531A">
        <w:rPr>
          <w:rFonts w:ascii="Arial" w:eastAsia="Calibri" w:hAnsi="Arial" w:cs="Arial"/>
          <w:color w:val="000000"/>
          <w:lang w:eastAsia="zh-CN"/>
        </w:rPr>
        <w:t>– termen mediu</w:t>
      </w:r>
      <w:r w:rsidRPr="0060531A">
        <w:rPr>
          <w:rFonts w:ascii="Arial" w:eastAsia="Calibri" w:hAnsi="Arial" w:cs="Arial"/>
          <w:color w:val="000000"/>
          <w:lang w:val="es-ES" w:eastAsia="zh-CN"/>
        </w:rPr>
        <w:t>.</w:t>
      </w:r>
    </w:p>
    <w:p w14:paraId="63CA502F"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6372FCB4" w14:textId="77777777" w:rsidR="0060531A" w:rsidRPr="0060531A" w:rsidRDefault="0060531A" w:rsidP="0060531A">
      <w:pPr>
        <w:widowControl w:val="0"/>
        <w:autoSpaceDE w:val="0"/>
        <w:autoSpaceDN w:val="0"/>
        <w:adjustRightInd w:val="0"/>
        <w:spacing w:after="0" w:line="276" w:lineRule="auto"/>
        <w:jc w:val="both"/>
        <w:rPr>
          <w:rFonts w:ascii="Arial" w:hAnsi="Arial" w:cs="Arial"/>
          <w:b/>
          <w:kern w:val="1"/>
          <w:lang w:val="ro-RO" w:eastAsia="hi-IN" w:bidi="hi-IN"/>
        </w:rPr>
      </w:pPr>
      <w:r w:rsidRPr="0060531A">
        <w:rPr>
          <w:rFonts w:ascii="Arial" w:eastAsia="Calibri" w:hAnsi="Arial" w:cs="Arial"/>
          <w:b/>
          <w:color w:val="000000"/>
          <w:kern w:val="1"/>
          <w:lang w:val="ro-RO" w:bidi="hi-IN"/>
        </w:rPr>
        <w:t>XI. Logistica urbana</w:t>
      </w:r>
    </w:p>
    <w:p w14:paraId="4D55793B" w14:textId="77777777" w:rsidR="0060531A" w:rsidRPr="0060531A" w:rsidRDefault="0060531A" w:rsidP="0060531A">
      <w:pPr>
        <w:widowControl w:val="0"/>
        <w:numPr>
          <w:ilvl w:val="0"/>
          <w:numId w:val="87"/>
        </w:numPr>
        <w:suppressAutoHyphens/>
        <w:autoSpaceDE w:val="0"/>
        <w:spacing w:after="0" w:line="276" w:lineRule="auto"/>
        <w:jc w:val="both"/>
        <w:rPr>
          <w:rFonts w:ascii="Arial" w:eastAsia="Arial" w:hAnsi="Arial" w:cs="Arial"/>
          <w:color w:val="000000"/>
          <w:lang w:val="es-ES" w:eastAsia="zh-CN"/>
        </w:rPr>
      </w:pPr>
      <w:r w:rsidRPr="0060531A">
        <w:rPr>
          <w:rFonts w:ascii="Arial" w:eastAsia="Arial" w:hAnsi="Arial" w:cs="Arial"/>
          <w:color w:val="000000"/>
          <w:lang w:val="es-ES" w:eastAsia="zh-CN"/>
        </w:rPr>
        <w:t>XI.1 = traficul – rutier – de marfă în interiorul oraşului trebuie să fie limitat spaţial şi temporal – termen mediu;</w:t>
      </w:r>
    </w:p>
    <w:p w14:paraId="63189F3A" w14:textId="77777777" w:rsidR="0060531A" w:rsidRPr="0060531A" w:rsidRDefault="0060531A" w:rsidP="0060531A">
      <w:pPr>
        <w:widowControl w:val="0"/>
        <w:numPr>
          <w:ilvl w:val="0"/>
          <w:numId w:val="87"/>
        </w:numPr>
        <w:suppressAutoHyphens/>
        <w:autoSpaceDE w:val="0"/>
        <w:spacing w:after="0" w:line="276" w:lineRule="auto"/>
        <w:jc w:val="both"/>
        <w:rPr>
          <w:rFonts w:ascii="Arial" w:eastAsia="Calibri" w:hAnsi="Arial" w:cs="Arial"/>
          <w:color w:val="000000"/>
          <w:lang w:val="es-ES" w:eastAsia="zh-CN"/>
        </w:rPr>
      </w:pPr>
      <w:r w:rsidRPr="0060531A">
        <w:rPr>
          <w:rFonts w:ascii="Arial" w:eastAsia="Arial" w:hAnsi="Arial" w:cs="Arial"/>
          <w:color w:val="000000"/>
          <w:lang w:val="es-ES" w:eastAsia="zh-CN"/>
        </w:rPr>
        <w:t>X</w:t>
      </w:r>
      <w:r w:rsidRPr="0060531A">
        <w:rPr>
          <w:rFonts w:ascii="Arial" w:eastAsia="Calibri" w:hAnsi="Arial" w:cs="Arial"/>
          <w:color w:val="000000"/>
          <w:lang w:val="es-ES" w:eastAsia="zh-CN"/>
        </w:rPr>
        <w:t xml:space="preserve">I.2 = constituirea unui consiliu de consultanța și a unui forum pentru transportul de marfă – termen mediu; </w:t>
      </w:r>
    </w:p>
    <w:p w14:paraId="42A16942"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454FE61D" w14:textId="77777777" w:rsidR="0060531A" w:rsidRPr="0060531A" w:rsidRDefault="0060531A" w:rsidP="0060531A">
      <w:pPr>
        <w:suppressAutoHyphens/>
        <w:autoSpaceDE w:val="0"/>
        <w:spacing w:after="0" w:line="276" w:lineRule="auto"/>
        <w:jc w:val="both"/>
        <w:rPr>
          <w:rFonts w:ascii="Arial" w:eastAsia="Calibri" w:hAnsi="Arial" w:cs="Arial"/>
          <w:b/>
          <w:color w:val="000000"/>
          <w:lang w:val="es-ES" w:eastAsia="zh-CN"/>
        </w:rPr>
      </w:pPr>
      <w:r w:rsidRPr="0060531A">
        <w:rPr>
          <w:rFonts w:ascii="Arial" w:eastAsia="Calibri" w:hAnsi="Arial" w:cs="Arial"/>
          <w:b/>
          <w:color w:val="000000"/>
          <w:lang w:val="es-ES" w:eastAsia="zh-CN"/>
        </w:rPr>
        <w:t>XII. asigurarea condiţiilor pentru o intermodalitate superioară a serviciilor de transport prin care se efectuează prestaţia pe teritoriul oraşului (respectiv interoperaţionalitatea cu transportul metropolitan, eventual judeţean)</w:t>
      </w:r>
    </w:p>
    <w:p w14:paraId="253BB7E9" w14:textId="77777777" w:rsidR="0060531A" w:rsidRPr="0060531A" w:rsidRDefault="0060531A" w:rsidP="0060531A">
      <w:pPr>
        <w:widowControl w:val="0"/>
        <w:numPr>
          <w:ilvl w:val="0"/>
          <w:numId w:val="110"/>
        </w:numPr>
        <w:suppressAutoHyphens/>
        <w:spacing w:after="0" w:line="276" w:lineRule="auto"/>
        <w:contextualSpacing/>
        <w:jc w:val="both"/>
        <w:rPr>
          <w:rFonts w:ascii="Arial" w:eastAsia="Times New Roman" w:hAnsi="Arial" w:cs="Arial"/>
          <w:lang w:val="x-none" w:eastAsia="zh-CN"/>
        </w:rPr>
      </w:pPr>
      <w:r w:rsidRPr="0060531A">
        <w:rPr>
          <w:rFonts w:ascii="Arial" w:eastAsia="Times New Roman" w:hAnsi="Arial" w:cs="Arial"/>
          <w:lang w:val="x-none" w:eastAsia="zh-CN"/>
        </w:rPr>
        <w:t xml:space="preserve">XII.2 = </w:t>
      </w:r>
      <w:r w:rsidRPr="0060531A">
        <w:rPr>
          <w:rFonts w:ascii="Arial" w:eastAsia="Calibri" w:hAnsi="Arial" w:cs="Arial"/>
          <w:color w:val="000000"/>
          <w:lang w:eastAsia="zh-CN"/>
        </w:rPr>
        <w:t>organizarea programului de circulație susținut de operatorul de transport urban în concordanț</w:t>
      </w:r>
      <w:r w:rsidRPr="0060531A">
        <w:rPr>
          <w:rFonts w:ascii="Arial" w:eastAsia="Calibri" w:hAnsi="Arial" w:cs="Arial" w:hint="eastAsia"/>
          <w:color w:val="000000"/>
          <w:lang w:eastAsia="zh-CN"/>
        </w:rPr>
        <w:t>ǎ</w:t>
      </w:r>
      <w:r w:rsidRPr="0060531A">
        <w:rPr>
          <w:rFonts w:ascii="Arial" w:eastAsia="Calibri" w:hAnsi="Arial" w:cs="Arial"/>
          <w:color w:val="000000"/>
          <w:lang w:eastAsia="zh-CN"/>
        </w:rPr>
        <w:t xml:space="preserve"> cu programul transportului judetean si interurban</w:t>
      </w:r>
      <w:r w:rsidRPr="0060531A">
        <w:rPr>
          <w:rFonts w:ascii="Arial" w:eastAsia="Times New Roman" w:hAnsi="Arial" w:cs="Arial"/>
          <w:lang w:val="x-none" w:eastAsia="zh-CN"/>
        </w:rPr>
        <w:t xml:space="preserve"> – termen mediu.</w:t>
      </w:r>
    </w:p>
    <w:p w14:paraId="7F0B2328"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6950BA9A"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b/>
          <w:color w:val="000000"/>
          <w:lang w:val="es-ES" w:eastAsia="zh-CN"/>
        </w:rPr>
        <w:t xml:space="preserve">Scenariul 3 </w:t>
      </w:r>
      <w:r w:rsidRPr="0060531A">
        <w:rPr>
          <w:rFonts w:ascii="Arial" w:eastAsia="Calibri" w:hAnsi="Arial" w:cs="Arial"/>
          <w:b/>
          <w:bCs/>
          <w:color w:val="000000"/>
          <w:lang w:val="es-ES" w:eastAsia="zh-CN"/>
        </w:rPr>
        <w:t>– “politica angajantă”</w:t>
      </w:r>
      <w:r w:rsidRPr="0060531A">
        <w:rPr>
          <w:rFonts w:ascii="Arial" w:eastAsia="Calibri" w:hAnsi="Arial" w:cs="Arial"/>
          <w:color w:val="000000"/>
          <w:lang w:val="es-ES" w:eastAsia="zh-CN"/>
        </w:rPr>
        <w:t xml:space="preserve"> </w:t>
      </w:r>
    </w:p>
    <w:p w14:paraId="59139690"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În plus față de primele 2 scenarii, va conține și următoarele măsuri (cu costuri mari sau care depind de implementarea altor masuri):</w:t>
      </w:r>
    </w:p>
    <w:p w14:paraId="5F83EC60" w14:textId="77777777" w:rsidR="0060531A" w:rsidRPr="0060531A" w:rsidRDefault="0060531A" w:rsidP="0060531A">
      <w:pPr>
        <w:widowControl w:val="0"/>
        <w:autoSpaceDE w:val="0"/>
        <w:autoSpaceDN w:val="0"/>
        <w:adjustRightInd w:val="0"/>
        <w:spacing w:after="0" w:line="276" w:lineRule="auto"/>
        <w:rPr>
          <w:rFonts w:ascii="Arial" w:eastAsia="Calibri" w:hAnsi="Arial" w:cs="Arial"/>
          <w:b/>
          <w:color w:val="000000"/>
          <w:kern w:val="1"/>
          <w:lang w:val="es-ES" w:bidi="hi-IN"/>
        </w:rPr>
      </w:pPr>
    </w:p>
    <w:p w14:paraId="63100573" w14:textId="77777777" w:rsidR="0060531A" w:rsidRPr="0060531A" w:rsidRDefault="0060531A" w:rsidP="0060531A">
      <w:pPr>
        <w:suppressAutoHyphens/>
        <w:autoSpaceDE w:val="0"/>
        <w:spacing w:after="0" w:line="276" w:lineRule="auto"/>
        <w:jc w:val="both"/>
        <w:rPr>
          <w:rFonts w:ascii="Arial" w:eastAsia="Calibri" w:hAnsi="Arial" w:cs="Arial"/>
          <w:b/>
          <w:strike/>
          <w:color w:val="000000"/>
          <w:lang w:val="es-ES" w:eastAsia="zh-CN"/>
        </w:rPr>
      </w:pPr>
      <w:r w:rsidRPr="0060531A">
        <w:rPr>
          <w:rFonts w:ascii="Arial" w:eastAsia="Calibri" w:hAnsi="Arial" w:cs="Arial"/>
          <w:b/>
          <w:color w:val="000000"/>
          <w:lang w:val="es-ES" w:eastAsia="zh-CN"/>
        </w:rPr>
        <w:t xml:space="preserve">IV. dezvoltarea formelor de transport durabil (mai puţin poluante) </w:t>
      </w:r>
      <w:r w:rsidRPr="0060531A">
        <w:rPr>
          <w:rFonts w:ascii="Arial" w:eastAsia="Calibri" w:hAnsi="Arial" w:cs="Arial"/>
          <w:b/>
          <w:color w:val="000000"/>
          <w:lang w:val="es-ES"/>
        </w:rPr>
        <w:t>- mersul pe jos / cu bicicleta pentru crearea unui mediu urban de calitate</w:t>
      </w:r>
    </w:p>
    <w:p w14:paraId="78AE002A" w14:textId="56430E72" w:rsidR="0060531A" w:rsidRPr="0060531A" w:rsidRDefault="0060531A" w:rsidP="0060531A">
      <w:pPr>
        <w:widowControl w:val="0"/>
        <w:numPr>
          <w:ilvl w:val="0"/>
          <w:numId w:val="77"/>
        </w:numPr>
        <w:suppressAutoHyphens/>
        <w:autoSpaceDE w:val="0"/>
        <w:spacing w:after="0" w:line="276" w:lineRule="auto"/>
        <w:jc w:val="both"/>
        <w:rPr>
          <w:rFonts w:ascii="Arial" w:eastAsia="Arial" w:hAnsi="Arial" w:cs="Arial"/>
          <w:color w:val="000000"/>
          <w:lang w:val="es-ES" w:eastAsia="zh-CN"/>
        </w:rPr>
      </w:pPr>
      <w:r w:rsidRPr="0060531A">
        <w:rPr>
          <w:rFonts w:ascii="Arial" w:eastAsia="Arial" w:hAnsi="Arial" w:cs="Arial"/>
          <w:color w:val="000000"/>
          <w:lang w:val="es-ES" w:eastAsia="zh-CN"/>
        </w:rPr>
        <w:t>I</w:t>
      </w:r>
      <w:r w:rsidRPr="0060531A">
        <w:rPr>
          <w:rFonts w:ascii="Arial" w:eastAsia="Calibri" w:hAnsi="Arial" w:cs="Arial"/>
          <w:color w:val="000000"/>
          <w:lang w:val="es-ES" w:eastAsia="zh-CN"/>
        </w:rPr>
        <w:t>V.5 = amenajarea un</w:t>
      </w:r>
      <w:r w:rsidR="005B68FD">
        <w:rPr>
          <w:rFonts w:ascii="Arial" w:eastAsia="Calibri" w:hAnsi="Arial" w:cs="Arial"/>
          <w:color w:val="000000"/>
          <w:lang w:val="es-ES" w:eastAsia="zh-CN"/>
        </w:rPr>
        <w:t>u</w:t>
      </w:r>
      <w:r w:rsidRPr="0060531A">
        <w:rPr>
          <w:rFonts w:ascii="Arial" w:eastAsia="Calibri" w:hAnsi="Arial" w:cs="Arial"/>
          <w:color w:val="000000"/>
          <w:lang w:val="es-ES" w:eastAsia="zh-CN"/>
        </w:rPr>
        <w:t xml:space="preserve">i </w:t>
      </w:r>
      <w:r w:rsidR="005B68FD">
        <w:rPr>
          <w:rFonts w:ascii="Arial" w:eastAsia="Calibri" w:hAnsi="Arial" w:cs="Arial"/>
          <w:color w:val="000000"/>
          <w:lang w:val="es-ES" w:eastAsia="zh-CN"/>
        </w:rPr>
        <w:t>traseu pentru biciclete</w:t>
      </w:r>
      <w:r w:rsidRPr="0060531A">
        <w:rPr>
          <w:rFonts w:ascii="Arial" w:eastAsia="Calibri" w:hAnsi="Arial" w:cs="Arial"/>
          <w:color w:val="000000"/>
          <w:lang w:val="es-ES" w:eastAsia="zh-CN"/>
        </w:rPr>
        <w:t xml:space="preserve"> cross-country si a un</w:t>
      </w:r>
      <w:r w:rsidR="005B68FD">
        <w:rPr>
          <w:rFonts w:ascii="Arial" w:eastAsia="Calibri" w:hAnsi="Arial" w:cs="Arial"/>
          <w:color w:val="000000"/>
          <w:lang w:val="es-ES" w:eastAsia="zh-CN"/>
        </w:rPr>
        <w:t>u</w:t>
      </w:r>
      <w:r w:rsidRPr="0060531A">
        <w:rPr>
          <w:rFonts w:ascii="Arial" w:eastAsia="Calibri" w:hAnsi="Arial" w:cs="Arial"/>
          <w:color w:val="000000"/>
          <w:lang w:val="es-ES" w:eastAsia="zh-CN"/>
        </w:rPr>
        <w:t xml:space="preserve">i </w:t>
      </w:r>
      <w:r w:rsidR="005B68FD">
        <w:rPr>
          <w:rFonts w:ascii="Arial" w:eastAsia="Calibri" w:hAnsi="Arial" w:cs="Arial"/>
          <w:color w:val="000000"/>
          <w:lang w:val="es-ES" w:eastAsia="zh-CN"/>
        </w:rPr>
        <w:t>traseu</w:t>
      </w:r>
      <w:r w:rsidRPr="0060531A">
        <w:rPr>
          <w:rFonts w:ascii="Arial" w:eastAsia="Calibri" w:hAnsi="Arial" w:cs="Arial"/>
          <w:color w:val="000000"/>
          <w:lang w:val="es-ES" w:eastAsia="zh-CN"/>
        </w:rPr>
        <w:t xml:space="preserve"> down-hill</w:t>
      </w:r>
      <w:r w:rsidRPr="0060531A">
        <w:rPr>
          <w:rFonts w:ascii="Arial" w:eastAsia="Calibri" w:hAnsi="Arial" w:cs="Arial"/>
          <w:color w:val="000000"/>
          <w:lang w:eastAsia="zh-CN"/>
        </w:rPr>
        <w:t xml:space="preserve"> – </w:t>
      </w:r>
      <w:r w:rsidRPr="0060531A">
        <w:rPr>
          <w:rFonts w:ascii="Arial" w:eastAsia="Calibri" w:hAnsi="Arial" w:cs="Arial"/>
          <w:color w:val="000000"/>
          <w:lang w:val="es-ES" w:eastAsia="zh-CN"/>
        </w:rPr>
        <w:t xml:space="preserve">termen lung; </w:t>
      </w:r>
    </w:p>
    <w:p w14:paraId="464940F8" w14:textId="77777777" w:rsidR="0060531A" w:rsidRPr="0060531A" w:rsidRDefault="0060531A" w:rsidP="0060531A">
      <w:pPr>
        <w:widowControl w:val="0"/>
        <w:numPr>
          <w:ilvl w:val="0"/>
          <w:numId w:val="77"/>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IV.9 = achizitia de statii de incarcare pentru autovehiculele electrice si amplasarea acestora in principalele zone ale orasului – termen lung.</w:t>
      </w:r>
    </w:p>
    <w:p w14:paraId="034E51B9" w14:textId="77777777" w:rsidR="0060531A" w:rsidRPr="0060531A" w:rsidRDefault="0060531A" w:rsidP="0060531A">
      <w:pPr>
        <w:widowControl w:val="0"/>
        <w:autoSpaceDE w:val="0"/>
        <w:autoSpaceDN w:val="0"/>
        <w:adjustRightInd w:val="0"/>
        <w:spacing w:after="0" w:line="276" w:lineRule="auto"/>
        <w:rPr>
          <w:rFonts w:ascii="Arial" w:eastAsia="Calibri" w:hAnsi="Arial" w:cs="Arial"/>
          <w:b/>
          <w:color w:val="000000"/>
          <w:kern w:val="1"/>
          <w:lang w:val="es-ES" w:bidi="hi-IN"/>
        </w:rPr>
      </w:pPr>
    </w:p>
    <w:p w14:paraId="6EA1E1B3" w14:textId="77777777" w:rsidR="0060531A" w:rsidRPr="0060531A" w:rsidRDefault="0060531A" w:rsidP="0060531A">
      <w:pPr>
        <w:widowControl w:val="0"/>
        <w:autoSpaceDE w:val="0"/>
        <w:autoSpaceDN w:val="0"/>
        <w:adjustRightInd w:val="0"/>
        <w:spacing w:after="0" w:line="276" w:lineRule="auto"/>
        <w:rPr>
          <w:rFonts w:ascii="Arial" w:eastAsia="Calibri" w:hAnsi="Arial" w:cs="Arial"/>
          <w:b/>
          <w:color w:val="000000"/>
          <w:kern w:val="1"/>
          <w:lang w:val="es-ES" w:bidi="hi-IN"/>
        </w:rPr>
      </w:pPr>
      <w:r w:rsidRPr="0060531A">
        <w:rPr>
          <w:rFonts w:ascii="Arial" w:eastAsia="Calibri" w:hAnsi="Arial" w:cs="Arial"/>
          <w:b/>
          <w:color w:val="000000"/>
          <w:kern w:val="1"/>
          <w:lang w:val="es-ES" w:bidi="hi-IN"/>
        </w:rPr>
        <w:t>VI. Îmbunatatirea integrării dintre transport și planificarea urbană</w:t>
      </w:r>
    </w:p>
    <w:p w14:paraId="535C7269" w14:textId="77777777" w:rsidR="0060531A" w:rsidRPr="0060531A" w:rsidRDefault="0060531A" w:rsidP="0060531A">
      <w:pPr>
        <w:widowControl w:val="0"/>
        <w:numPr>
          <w:ilvl w:val="0"/>
          <w:numId w:val="80"/>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VI.2 = obligativitatea constituirii unui tandem construcţie - infrastructură pentru acces motorizat, nemotorizat şi spaţiu verde (pentru orice nouă construcţie) – termen lung.</w:t>
      </w:r>
    </w:p>
    <w:p w14:paraId="1C9E0395" w14:textId="77777777" w:rsidR="0060531A" w:rsidRPr="0060531A" w:rsidRDefault="0060531A" w:rsidP="0060531A">
      <w:pPr>
        <w:widowControl w:val="0"/>
        <w:numPr>
          <w:ilvl w:val="0"/>
          <w:numId w:val="80"/>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lastRenderedPageBreak/>
        <w:t>VI.3 = sistem de stimulente pentru amplasarea noilor şcoli, centre de sănătate, centre comerciale, etc. în interiorul sau aproape de cartierele rezidenţiale – termen lung.</w:t>
      </w:r>
    </w:p>
    <w:p w14:paraId="74FC3202"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p>
    <w:p w14:paraId="0A17707D" w14:textId="77777777" w:rsidR="0060531A" w:rsidRPr="0060531A" w:rsidRDefault="0060531A" w:rsidP="0060531A">
      <w:pPr>
        <w:suppressAutoHyphens/>
        <w:autoSpaceDE w:val="0"/>
        <w:spacing w:after="0" w:line="276" w:lineRule="auto"/>
        <w:jc w:val="both"/>
        <w:rPr>
          <w:rFonts w:ascii="Arial" w:eastAsia="Calibri" w:hAnsi="Arial" w:cs="Arial"/>
          <w:b/>
          <w:color w:val="000000"/>
          <w:lang w:eastAsia="zh-CN"/>
        </w:rPr>
      </w:pPr>
      <w:r w:rsidRPr="0060531A">
        <w:rPr>
          <w:rFonts w:ascii="Arial" w:eastAsia="Calibri" w:hAnsi="Arial" w:cs="Arial"/>
          <w:b/>
          <w:color w:val="000000"/>
          <w:lang w:eastAsia="zh-CN"/>
        </w:rPr>
        <w:t>VII. inovarea managementului parcărilor</w:t>
      </w:r>
    </w:p>
    <w:p w14:paraId="40432554" w14:textId="77777777" w:rsidR="0060531A" w:rsidRPr="0060531A" w:rsidRDefault="0060531A" w:rsidP="0060531A">
      <w:pPr>
        <w:widowControl w:val="0"/>
        <w:numPr>
          <w:ilvl w:val="0"/>
          <w:numId w:val="82"/>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val="es-ES" w:eastAsia="zh-CN"/>
        </w:rPr>
        <w:t>VII.3 = construirea de parcări de mare capacitate (supra şi subterane) si dotarea cu stații de încarcare pentru vehicule electrice = aceste parcări de mare capacitate trebuie să fie amplasate în zonele cu potenţial ridicat de atragere a călătoriilor, cum ar fi:</w:t>
      </w:r>
    </w:p>
    <w:p w14:paraId="6AFBF103" w14:textId="77777777" w:rsidR="0060531A" w:rsidRPr="0060531A" w:rsidRDefault="0060531A" w:rsidP="0060531A">
      <w:pPr>
        <w:autoSpaceDE w:val="0"/>
        <w:spacing w:after="0"/>
        <w:ind w:left="851"/>
        <w:jc w:val="both"/>
        <w:rPr>
          <w:rFonts w:ascii="Arial" w:eastAsia="Calibri" w:hAnsi="Arial" w:cs="Arial"/>
          <w:color w:val="000000"/>
          <w:lang w:val="es-ES"/>
        </w:rPr>
      </w:pPr>
      <w:r w:rsidRPr="0060531A">
        <w:rPr>
          <w:rFonts w:ascii="Arial" w:eastAsia="Calibri" w:hAnsi="Arial" w:cs="Arial"/>
          <w:color w:val="000000"/>
          <w:lang w:val="es-ES"/>
        </w:rPr>
        <w:t>- parcare supraterana str. Tudor Vladimirescu (zona centrala);</w:t>
      </w:r>
    </w:p>
    <w:p w14:paraId="5E59F6B3" w14:textId="77777777" w:rsidR="0060531A" w:rsidRPr="0060531A" w:rsidRDefault="0060531A" w:rsidP="0060531A">
      <w:pPr>
        <w:autoSpaceDE w:val="0"/>
        <w:spacing w:after="0"/>
        <w:ind w:left="851"/>
        <w:jc w:val="both"/>
        <w:rPr>
          <w:rFonts w:ascii="Arial" w:eastAsia="Calibri" w:hAnsi="Arial" w:cs="Arial"/>
          <w:color w:val="000000"/>
          <w:lang w:val="es-ES"/>
        </w:rPr>
      </w:pPr>
      <w:r w:rsidRPr="0060531A">
        <w:rPr>
          <w:rFonts w:ascii="Arial" w:eastAsia="Calibri" w:hAnsi="Arial" w:cs="Arial"/>
          <w:color w:val="000000"/>
          <w:lang w:val="es-ES"/>
        </w:rPr>
        <w:t>- parcare supraterană Piata Horezu;</w:t>
      </w:r>
    </w:p>
    <w:p w14:paraId="3C5A1F8C" w14:textId="77777777" w:rsidR="0060531A" w:rsidRPr="0060531A" w:rsidRDefault="0060531A" w:rsidP="0060531A">
      <w:pPr>
        <w:autoSpaceDE w:val="0"/>
        <w:spacing w:after="0"/>
        <w:ind w:left="851"/>
        <w:jc w:val="both"/>
        <w:rPr>
          <w:rFonts w:ascii="Arial" w:eastAsia="Calibri" w:hAnsi="Arial" w:cs="Arial"/>
          <w:color w:val="000000"/>
          <w:lang w:val="es-ES"/>
        </w:rPr>
      </w:pPr>
      <w:r w:rsidRPr="0060531A">
        <w:rPr>
          <w:rFonts w:ascii="Arial" w:eastAsia="Calibri" w:hAnsi="Arial" w:cs="Arial"/>
          <w:color w:val="000000"/>
          <w:lang w:val="es-ES"/>
        </w:rPr>
        <w:t>- parcare supraterană zona Olari (inclusiv pentru autocare);</w:t>
      </w:r>
    </w:p>
    <w:p w14:paraId="687914A0" w14:textId="77777777" w:rsidR="0060531A" w:rsidRPr="0060531A" w:rsidRDefault="0060531A" w:rsidP="0060531A">
      <w:pPr>
        <w:autoSpaceDE w:val="0"/>
        <w:spacing w:after="0"/>
        <w:ind w:left="851"/>
        <w:jc w:val="both"/>
        <w:rPr>
          <w:rFonts w:ascii="Arial" w:eastAsia="Calibri" w:hAnsi="Arial" w:cs="Arial"/>
          <w:color w:val="000000"/>
          <w:lang w:val="es-ES"/>
        </w:rPr>
      </w:pPr>
      <w:r w:rsidRPr="0060531A">
        <w:rPr>
          <w:rFonts w:ascii="Arial" w:eastAsia="Calibri" w:hAnsi="Arial" w:cs="Arial"/>
          <w:color w:val="000000"/>
          <w:lang w:val="es-ES"/>
        </w:rPr>
        <w:t>- parcare supraterană Statiunea Turistica Varful lui Roman;</w:t>
      </w:r>
    </w:p>
    <w:p w14:paraId="08192501" w14:textId="77777777" w:rsidR="0060531A" w:rsidRPr="0060531A" w:rsidRDefault="0060531A" w:rsidP="0060531A">
      <w:pPr>
        <w:suppressAutoHyphens/>
        <w:autoSpaceDE w:val="0"/>
        <w:spacing w:after="0" w:line="276" w:lineRule="auto"/>
        <w:ind w:left="720"/>
        <w:jc w:val="both"/>
        <w:rPr>
          <w:rFonts w:ascii="Arial" w:eastAsia="Calibri" w:hAnsi="Arial" w:cs="Arial"/>
          <w:color w:val="000000"/>
          <w:lang w:val="es-ES" w:eastAsia="zh-CN"/>
        </w:rPr>
      </w:pPr>
      <w:r w:rsidRPr="0060531A">
        <w:rPr>
          <w:rFonts w:ascii="Arial" w:eastAsia="Calibri" w:hAnsi="Arial" w:cs="Arial"/>
          <w:color w:val="000000"/>
          <w:lang w:val="es-ES" w:eastAsia="zh-CN"/>
        </w:rPr>
        <w:t xml:space="preserve"> – termen lung.</w:t>
      </w:r>
    </w:p>
    <w:p w14:paraId="47AD59E6" w14:textId="77777777" w:rsidR="0060531A" w:rsidRPr="0060531A" w:rsidRDefault="0060531A" w:rsidP="000C6CB8">
      <w:pPr>
        <w:widowControl w:val="0"/>
        <w:numPr>
          <w:ilvl w:val="0"/>
          <w:numId w:val="122"/>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color w:val="000000"/>
          <w:lang w:eastAsia="zh-CN"/>
        </w:rPr>
        <w:t>VII.4 = reglementarea sistemului de transport "park and ride" – construirea unei parcări la intrarea în municipiu dinspre Ramnicu Valcea, dar numai dupa introducerea transportului public local – termen lung.</w:t>
      </w:r>
    </w:p>
    <w:p w14:paraId="605EB1C8" w14:textId="77777777" w:rsidR="0060531A" w:rsidRPr="0060531A" w:rsidRDefault="0060531A" w:rsidP="0060531A">
      <w:pPr>
        <w:widowControl w:val="0"/>
        <w:suppressAutoHyphens/>
        <w:autoSpaceDE w:val="0"/>
        <w:spacing w:after="0" w:line="276" w:lineRule="auto"/>
        <w:jc w:val="both"/>
        <w:rPr>
          <w:rFonts w:ascii="Arial" w:eastAsia="Calibri" w:hAnsi="Arial" w:cs="Arial"/>
          <w:color w:val="000000"/>
          <w:lang w:val="es-ES" w:eastAsia="zh-CN"/>
        </w:rPr>
      </w:pPr>
    </w:p>
    <w:p w14:paraId="2BD72EB5" w14:textId="77777777" w:rsidR="0060531A" w:rsidRPr="0060531A" w:rsidRDefault="0060531A" w:rsidP="0060531A">
      <w:pPr>
        <w:widowControl w:val="0"/>
        <w:suppressAutoHyphens/>
        <w:spacing w:after="0" w:line="276" w:lineRule="auto"/>
        <w:jc w:val="both"/>
        <w:rPr>
          <w:rFonts w:ascii="Arial" w:hAnsi="Arial" w:cs="Arial"/>
          <w:b/>
          <w:kern w:val="1"/>
          <w:lang w:val="es-ES" w:eastAsia="hi-IN" w:bidi="hi-IN"/>
        </w:rPr>
      </w:pPr>
      <w:r w:rsidRPr="0060531A">
        <w:rPr>
          <w:rFonts w:ascii="Arial" w:hAnsi="Arial" w:cs="Arial"/>
          <w:b/>
          <w:kern w:val="1"/>
          <w:lang w:val="es-ES" w:eastAsia="hi-IN" w:bidi="hi-IN"/>
        </w:rPr>
        <w:t>IX. îmbunătăţirea infrastructurii rutiere a oraşului</w:t>
      </w:r>
    </w:p>
    <w:p w14:paraId="7927A28D" w14:textId="77777777" w:rsidR="0060531A" w:rsidRPr="0060531A" w:rsidRDefault="0060531A" w:rsidP="0060531A">
      <w:pPr>
        <w:widowControl w:val="0"/>
        <w:numPr>
          <w:ilvl w:val="0"/>
          <w:numId w:val="85"/>
        </w:numPr>
        <w:suppressAutoHyphens/>
        <w:autoSpaceDE w:val="0"/>
        <w:spacing w:after="0" w:line="276" w:lineRule="auto"/>
        <w:jc w:val="both"/>
        <w:rPr>
          <w:rFonts w:ascii="Arial" w:eastAsia="Calibri" w:hAnsi="Arial" w:cs="Arial"/>
          <w:color w:val="000000"/>
          <w:lang w:val="es-ES" w:eastAsia="zh-CN"/>
        </w:rPr>
      </w:pPr>
      <w:r w:rsidRPr="0060531A">
        <w:rPr>
          <w:rFonts w:ascii="Arial" w:eastAsia="Calibri" w:hAnsi="Arial" w:cs="Arial"/>
          <w:lang w:val="es-ES" w:eastAsia="zh-CN"/>
        </w:rPr>
        <w:t xml:space="preserve">IX.1 = </w:t>
      </w:r>
      <w:r w:rsidRPr="0060531A">
        <w:rPr>
          <w:rFonts w:ascii="Arial" w:hAnsi="Arial" w:cs="Arial"/>
          <w:lang w:val="es-ES"/>
        </w:rPr>
        <w:t xml:space="preserve">completarea centurii ocolitoare </w:t>
      </w:r>
      <w:r w:rsidRPr="0060531A">
        <w:rPr>
          <w:rFonts w:ascii="Arial" w:eastAsia="Times New Roman" w:hAnsi="Arial" w:cs="Arial"/>
          <w:lang w:val="es-ES" w:eastAsia="zh-CN"/>
        </w:rPr>
        <w:t xml:space="preserve">a oraşului </w:t>
      </w:r>
      <w:r w:rsidRPr="0060531A">
        <w:rPr>
          <w:rFonts w:ascii="Arial" w:hAnsi="Arial" w:cs="Arial"/>
        </w:rPr>
        <w:t>– termen lung</w:t>
      </w:r>
      <w:r w:rsidRPr="0060531A">
        <w:rPr>
          <w:rFonts w:ascii="Arial" w:eastAsia="Calibri" w:hAnsi="Arial" w:cs="Arial"/>
          <w:color w:val="000000"/>
          <w:lang w:eastAsia="zh-CN"/>
        </w:rPr>
        <w:t>;</w:t>
      </w:r>
    </w:p>
    <w:p w14:paraId="00940266" w14:textId="77777777" w:rsidR="0060531A" w:rsidRPr="0060531A" w:rsidRDefault="0060531A" w:rsidP="0060531A">
      <w:pPr>
        <w:suppressAutoHyphens/>
        <w:autoSpaceDE w:val="0"/>
        <w:spacing w:after="0" w:line="276" w:lineRule="auto"/>
        <w:jc w:val="both"/>
        <w:rPr>
          <w:rFonts w:ascii="Arial" w:eastAsia="Calibri" w:hAnsi="Arial" w:cs="Arial"/>
          <w:color w:val="000000"/>
          <w:lang w:val="es-ES" w:eastAsia="zh-CN"/>
        </w:rPr>
      </w:pPr>
    </w:p>
    <w:p w14:paraId="492CAA3E" w14:textId="77777777" w:rsidR="0060531A" w:rsidRPr="0060531A" w:rsidRDefault="0060531A" w:rsidP="0060531A">
      <w:pPr>
        <w:suppressAutoHyphens/>
        <w:autoSpaceDE w:val="0"/>
        <w:spacing w:after="0" w:line="276" w:lineRule="auto"/>
        <w:jc w:val="both"/>
        <w:rPr>
          <w:rFonts w:ascii="Arial" w:eastAsia="Calibri" w:hAnsi="Arial" w:cs="Arial"/>
          <w:b/>
          <w:color w:val="000000"/>
          <w:lang w:val="es-ES" w:eastAsia="zh-CN"/>
        </w:rPr>
      </w:pPr>
      <w:r w:rsidRPr="0060531A">
        <w:rPr>
          <w:rFonts w:ascii="Arial" w:eastAsia="Calibri" w:hAnsi="Arial" w:cs="Arial"/>
          <w:b/>
          <w:color w:val="000000"/>
          <w:lang w:val="es-ES" w:eastAsia="zh-CN"/>
        </w:rPr>
        <w:t>X. dezvoltarea sistemului local de transport public</w:t>
      </w:r>
    </w:p>
    <w:p w14:paraId="518BE64A" w14:textId="77777777" w:rsidR="0060531A" w:rsidRPr="0060531A" w:rsidRDefault="0060531A" w:rsidP="0060531A">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60531A">
        <w:rPr>
          <w:rFonts w:ascii="Arial" w:eastAsia="Calibri" w:hAnsi="Arial" w:cs="Arial"/>
          <w:color w:val="000000"/>
          <w:lang w:val="es-ES" w:eastAsia="zh-CN"/>
        </w:rPr>
        <w:t>X.6 = realizarea unui website al operatorului de transport public local si unei aplicatii pentru planificarea calatoriei cu transportul public – termen lung.</w:t>
      </w:r>
    </w:p>
    <w:p w14:paraId="7F0E7B0C"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p>
    <w:p w14:paraId="69937737" w14:textId="77777777" w:rsidR="0060531A" w:rsidRPr="0060531A" w:rsidRDefault="0060531A" w:rsidP="0060531A">
      <w:pPr>
        <w:widowControl w:val="0"/>
        <w:suppressAutoHyphens/>
        <w:spacing w:after="0" w:line="276" w:lineRule="auto"/>
        <w:jc w:val="both"/>
        <w:rPr>
          <w:rFonts w:ascii="Arial" w:hAnsi="Arial" w:cs="Arial"/>
          <w:b/>
          <w:kern w:val="1"/>
          <w:lang w:val="es-ES" w:eastAsia="hi-IN" w:bidi="hi-IN"/>
        </w:rPr>
      </w:pPr>
      <w:r w:rsidRPr="0060531A">
        <w:rPr>
          <w:rFonts w:ascii="Arial" w:hAnsi="Arial" w:cs="Arial"/>
          <w:b/>
          <w:kern w:val="1"/>
          <w:lang w:val="es-ES" w:eastAsia="hi-IN" w:bidi="hi-IN"/>
        </w:rPr>
        <w:t>XII. asigurarea condiţiilor pentru o intermodalitate superioară a serviciilor de transport prin care se efectuează prestaţia pe teritoriul oraşului (respectiv interoperaţionalitatea cu transportul metropolitan, eventual judeţean)</w:t>
      </w:r>
    </w:p>
    <w:p w14:paraId="59515C8F" w14:textId="77777777" w:rsidR="0060531A" w:rsidRPr="0060531A" w:rsidRDefault="0060531A" w:rsidP="0060531A">
      <w:pPr>
        <w:widowControl w:val="0"/>
        <w:numPr>
          <w:ilvl w:val="0"/>
          <w:numId w:val="110"/>
        </w:numPr>
        <w:suppressAutoHyphens/>
        <w:autoSpaceDE w:val="0"/>
        <w:autoSpaceDN w:val="0"/>
        <w:adjustRightInd w:val="0"/>
        <w:spacing w:after="0" w:line="276" w:lineRule="auto"/>
        <w:contextualSpacing/>
        <w:jc w:val="both"/>
        <w:rPr>
          <w:rFonts w:ascii="Arial" w:eastAsia="Times New Roman" w:hAnsi="Arial" w:cs="Arial"/>
          <w:lang w:val="x-none" w:eastAsia="zh-CN"/>
        </w:rPr>
      </w:pPr>
      <w:r w:rsidRPr="0060531A">
        <w:rPr>
          <w:rFonts w:ascii="Arial" w:eastAsia="Times New Roman" w:hAnsi="Arial" w:cs="Arial"/>
          <w:lang w:val="x-none" w:eastAsia="zh-CN"/>
        </w:rPr>
        <w:t xml:space="preserve">XII.1 = </w:t>
      </w:r>
      <w:r w:rsidRPr="0060531A">
        <w:rPr>
          <w:rFonts w:ascii="Arial" w:eastAsia="Calibri" w:hAnsi="Arial" w:cs="Arial"/>
          <w:color w:val="000000"/>
          <w:lang w:eastAsia="zh-CN"/>
        </w:rPr>
        <w:t>construirea unui centru intermodal de transport destinat interconectării transportului public local cu cel judetean şi interurban</w:t>
      </w:r>
      <w:r w:rsidRPr="0060531A">
        <w:rPr>
          <w:rFonts w:ascii="Arial" w:eastAsia="Times New Roman" w:hAnsi="Arial" w:cs="Arial"/>
          <w:lang w:val="x-none" w:eastAsia="zh-CN"/>
        </w:rPr>
        <w:t xml:space="preserve"> – termen lung. </w:t>
      </w:r>
    </w:p>
    <w:p w14:paraId="2158C327"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p>
    <w:p w14:paraId="6543638A"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r w:rsidRPr="0060531A">
        <w:rPr>
          <w:rFonts w:ascii="Arial" w:hAnsi="Arial" w:cs="Arial"/>
          <w:kern w:val="1"/>
          <w:lang w:val="es-ES" w:eastAsia="hi-IN" w:bidi="hi-IN"/>
        </w:rPr>
        <w:t>Evaluarea scenariilor pentru cele 2 orizonturi de timp (2027, respectiv 2035) s-a realizat astfel:</w:t>
      </w:r>
    </w:p>
    <w:p w14:paraId="654EA40F"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r w:rsidRPr="0060531A">
        <w:rPr>
          <w:rFonts w:ascii="Arial" w:hAnsi="Arial" w:cs="Arial"/>
          <w:kern w:val="1"/>
          <w:lang w:val="es-ES" w:eastAsia="hi-IN" w:bidi="hi-IN"/>
        </w:rPr>
        <w:t>- pentru orizontul 2027 s-au comparat scenariile 1 şi 2, cu şanse mai mari de implementare având ȋn vedere costurile de investitie mai reduse;</w:t>
      </w:r>
    </w:p>
    <w:p w14:paraId="14F8C81E"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r w:rsidRPr="0060531A">
        <w:rPr>
          <w:rFonts w:ascii="Arial" w:hAnsi="Arial" w:cs="Arial"/>
          <w:kern w:val="1"/>
          <w:lang w:val="es-ES" w:eastAsia="hi-IN" w:bidi="hi-IN"/>
        </w:rPr>
        <w:t>- pentru orizontul 2035 s-au comparat scenariile 1, 2 şi 3.</w:t>
      </w:r>
    </w:p>
    <w:p w14:paraId="2721D342" w14:textId="77777777" w:rsidR="004F5666" w:rsidRPr="00224338" w:rsidRDefault="004F5666" w:rsidP="00224338">
      <w:pPr>
        <w:spacing w:line="276" w:lineRule="auto"/>
        <w:rPr>
          <w:rFonts w:ascii="Arial" w:hAnsi="Arial" w:cs="Arial"/>
          <w:lang w:val="it-IT" w:eastAsia="ro-RO"/>
        </w:rPr>
      </w:pPr>
    </w:p>
    <w:p w14:paraId="57B252D5" w14:textId="77777777" w:rsidR="00D70AEA" w:rsidRPr="008F3FB4" w:rsidRDefault="00D70AEA" w:rsidP="00224338">
      <w:pPr>
        <w:pStyle w:val="Titlu2"/>
        <w:spacing w:line="276" w:lineRule="auto"/>
        <w:rPr>
          <w:rFonts w:ascii="Arial" w:eastAsia="Times New Roman" w:hAnsi="Arial" w:cs="Arial"/>
          <w:b/>
          <w:bCs/>
          <w:color w:val="auto"/>
          <w:lang w:val="it-IT" w:eastAsia="ro-RO"/>
        </w:rPr>
      </w:pPr>
      <w:bookmarkStart w:id="453" w:name="_Toc61264921"/>
      <w:bookmarkStart w:id="454" w:name="_Toc142039109"/>
      <w:r w:rsidRPr="008F3FB4">
        <w:rPr>
          <w:rFonts w:ascii="Arial" w:eastAsia="Times New Roman" w:hAnsi="Arial" w:cs="Arial"/>
          <w:b/>
          <w:bCs/>
          <w:color w:val="auto"/>
          <w:lang w:val="it-IT" w:eastAsia="ro-RO"/>
        </w:rPr>
        <w:t>I.7.1</w:t>
      </w:r>
      <w:r w:rsidR="008F3FB4" w:rsidRPr="008F3FB4">
        <w:rPr>
          <w:rFonts w:ascii="Arial" w:eastAsia="Times New Roman" w:hAnsi="Arial" w:cs="Arial"/>
          <w:b/>
          <w:bCs/>
          <w:color w:val="auto"/>
          <w:lang w:val="it-IT" w:eastAsia="ro-RO"/>
        </w:rPr>
        <w:t xml:space="preserve"> </w:t>
      </w:r>
      <w:r w:rsidRPr="008F3FB4">
        <w:rPr>
          <w:rFonts w:ascii="Arial" w:eastAsia="Times New Roman" w:hAnsi="Arial" w:cs="Arial"/>
          <w:b/>
          <w:bCs/>
          <w:color w:val="auto"/>
          <w:lang w:val="it-IT" w:eastAsia="ro-RO"/>
        </w:rPr>
        <w:t>Eficiența economic</w:t>
      </w:r>
      <w:bookmarkEnd w:id="453"/>
      <w:r w:rsidR="008F3FB4" w:rsidRPr="008F3FB4">
        <w:rPr>
          <w:rFonts w:ascii="Arial" w:eastAsia="Times New Roman" w:hAnsi="Arial" w:cs="Arial"/>
          <w:b/>
          <w:bCs/>
          <w:color w:val="auto"/>
          <w:lang w:val="it-IT" w:eastAsia="ro-RO"/>
        </w:rPr>
        <w:t>ă</w:t>
      </w:r>
      <w:bookmarkEnd w:id="454"/>
    </w:p>
    <w:p w14:paraId="6F2096A2"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r w:rsidRPr="0060531A">
        <w:rPr>
          <w:rFonts w:ascii="Arial" w:hAnsi="Arial" w:cs="Arial"/>
          <w:kern w:val="1"/>
          <w:lang w:val="es-ES" w:eastAsia="hi-IN" w:bidi="hi-IN"/>
        </w:rPr>
        <w:t>Impactul implementǎrii diferitelor scenarii pentru creşterea mobilitǎții asupra eficienței economice este dat ȋn principal de durata deplasǎrii (ȋntȃrzierile ȋn cǎlǎtorie) sau, cu alte cuvinte de nivelul de serviciu al rețelei de transport.</w:t>
      </w:r>
    </w:p>
    <w:p w14:paraId="503FBC36"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p>
    <w:p w14:paraId="38244B18" w14:textId="77777777" w:rsidR="0060531A" w:rsidRPr="0060531A" w:rsidRDefault="0060531A" w:rsidP="0060531A">
      <w:pPr>
        <w:suppressAutoHyphens/>
        <w:autoSpaceDE w:val="0"/>
        <w:spacing w:after="0" w:line="276" w:lineRule="auto"/>
        <w:jc w:val="both"/>
        <w:rPr>
          <w:rFonts w:ascii="Arial" w:eastAsia="Arial" w:hAnsi="Arial" w:cs="Arial"/>
          <w:color w:val="000000"/>
          <w:lang w:val="es-ES" w:eastAsia="zh-CN"/>
        </w:rPr>
      </w:pPr>
      <w:r w:rsidRPr="0060531A">
        <w:rPr>
          <w:rFonts w:ascii="Arial" w:eastAsia="Arial" w:hAnsi="Arial" w:cs="Arial"/>
          <w:color w:val="000000"/>
          <w:lang w:val="es-ES" w:eastAsia="zh-CN"/>
        </w:rPr>
        <w:t>Pentru evaluarea impactului mobilităţii din punct de vedere al eficienţei economice pe care îl au scenariile considerate au fost aleşi următorii indicatori (din modelul de transport realizat):</w:t>
      </w:r>
    </w:p>
    <w:p w14:paraId="6361ABA3" w14:textId="77777777" w:rsidR="0060531A" w:rsidRPr="0060531A" w:rsidRDefault="0060531A" w:rsidP="0060531A">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60531A">
        <w:rPr>
          <w:rFonts w:ascii="Arial" w:eastAsia="Arial" w:hAnsi="Arial" w:cs="Arial"/>
          <w:color w:val="000000"/>
          <w:lang w:val="es-ES" w:eastAsia="zh-CN"/>
        </w:rPr>
        <w:t>Viteza medie de circulaţie pe reţea (km/h);</w:t>
      </w:r>
    </w:p>
    <w:p w14:paraId="350276D7" w14:textId="77777777" w:rsidR="0060531A" w:rsidRPr="0060531A" w:rsidRDefault="0060531A" w:rsidP="0060531A">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60531A">
        <w:rPr>
          <w:rFonts w:ascii="Arial" w:eastAsia="Arial" w:hAnsi="Arial" w:cs="Arial"/>
          <w:color w:val="000000"/>
          <w:lang w:eastAsia="zh-CN"/>
        </w:rPr>
        <w:t>Întârzierea medie (s);</w:t>
      </w:r>
    </w:p>
    <w:p w14:paraId="3A95DBCA" w14:textId="77777777" w:rsidR="0060531A" w:rsidRPr="0060531A" w:rsidRDefault="0060531A" w:rsidP="0060531A">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60531A">
        <w:rPr>
          <w:rFonts w:ascii="Arial" w:eastAsia="Arial" w:hAnsi="Arial" w:cs="Arial"/>
          <w:color w:val="000000"/>
          <w:lang w:eastAsia="zh-CN"/>
        </w:rPr>
        <w:lastRenderedPageBreak/>
        <w:t>Consumul de combustibil (litri);</w:t>
      </w:r>
    </w:p>
    <w:p w14:paraId="221DAB60" w14:textId="77777777" w:rsidR="0060531A" w:rsidRPr="0060531A" w:rsidRDefault="0060531A" w:rsidP="0060531A">
      <w:pPr>
        <w:widowControl w:val="0"/>
        <w:numPr>
          <w:ilvl w:val="0"/>
          <w:numId w:val="72"/>
        </w:numPr>
        <w:suppressAutoHyphens/>
        <w:autoSpaceDE w:val="0"/>
        <w:spacing w:after="0" w:line="276" w:lineRule="auto"/>
        <w:jc w:val="both"/>
        <w:rPr>
          <w:rFonts w:ascii="Arial" w:eastAsia="Arial" w:hAnsi="Arial" w:cs="Arial"/>
          <w:color w:val="000000"/>
          <w:lang w:val="es-ES" w:eastAsia="zh-CN"/>
        </w:rPr>
      </w:pPr>
      <w:r w:rsidRPr="0060531A">
        <w:rPr>
          <w:rFonts w:ascii="Arial" w:eastAsia="Arial" w:hAnsi="Arial" w:cs="Arial"/>
          <w:color w:val="000000"/>
          <w:lang w:val="es-ES" w:eastAsia="zh-CN"/>
        </w:rPr>
        <w:t>Nivelul de serviciu in intersecţii.</w:t>
      </w:r>
    </w:p>
    <w:p w14:paraId="6744574B" w14:textId="77777777" w:rsidR="004F5666" w:rsidRPr="004F5666" w:rsidRDefault="004F5666" w:rsidP="004F5666">
      <w:pPr>
        <w:widowControl w:val="0"/>
        <w:suppressAutoHyphens/>
        <w:spacing w:after="0" w:line="360" w:lineRule="auto"/>
        <w:jc w:val="both"/>
        <w:rPr>
          <w:rFonts w:ascii="Arial" w:hAnsi="Arial" w:cs="Arial"/>
          <w:kern w:val="1"/>
          <w:sz w:val="24"/>
          <w:szCs w:val="24"/>
          <w:lang w:val="es-ES" w:eastAsia="hi-IN" w:bidi="hi-IN"/>
        </w:rPr>
      </w:pPr>
    </w:p>
    <w:p w14:paraId="43D5B4C8" w14:textId="77777777" w:rsidR="004F5666" w:rsidRPr="008F3FB4" w:rsidRDefault="004F5666" w:rsidP="008F3FB4">
      <w:pPr>
        <w:pStyle w:val="Titlu3"/>
        <w:rPr>
          <w:rFonts w:ascii="Arial" w:hAnsi="Arial" w:cs="Arial"/>
          <w:sz w:val="24"/>
          <w:szCs w:val="24"/>
          <w:lang w:val="ro-RO"/>
        </w:rPr>
      </w:pPr>
      <w:bookmarkStart w:id="455" w:name="_Toc142039110"/>
      <w:r w:rsidRPr="008F3FB4">
        <w:rPr>
          <w:rFonts w:ascii="Arial" w:hAnsi="Arial" w:cs="Arial"/>
          <w:sz w:val="24"/>
          <w:szCs w:val="24"/>
          <w:lang w:val="ro-RO"/>
        </w:rPr>
        <w:t>I.7.1.1 Orizont 2027</w:t>
      </w:r>
      <w:bookmarkEnd w:id="455"/>
    </w:p>
    <w:p w14:paraId="78854301" w14:textId="77777777" w:rsidR="004F5666" w:rsidRPr="0028563B" w:rsidRDefault="004F5666" w:rsidP="008F3FB4">
      <w:pPr>
        <w:pStyle w:val="Titlu4"/>
        <w:numPr>
          <w:ilvl w:val="0"/>
          <w:numId w:val="0"/>
        </w:numPr>
        <w:rPr>
          <w:rFonts w:ascii="Arial" w:hAnsi="Arial" w:cs="Arial"/>
          <w:sz w:val="22"/>
          <w:szCs w:val="22"/>
          <w:lang w:bidi="hi-IN"/>
        </w:rPr>
      </w:pPr>
      <w:r w:rsidRPr="0028563B">
        <w:rPr>
          <w:rFonts w:ascii="Arial" w:hAnsi="Arial" w:cs="Arial"/>
          <w:sz w:val="22"/>
          <w:szCs w:val="22"/>
          <w:lang w:bidi="hi-IN"/>
        </w:rPr>
        <w:t>I.7.1.1.1 Parametri ora de vârf AM orizont 2027</w:t>
      </w:r>
    </w:p>
    <w:p w14:paraId="2B688236" w14:textId="77777777" w:rsidR="0060531A" w:rsidRPr="0060531A" w:rsidRDefault="0060531A" w:rsidP="0060531A">
      <w:pPr>
        <w:widowControl w:val="0"/>
        <w:suppressAutoHyphens/>
        <w:spacing w:after="0" w:line="240" w:lineRule="auto"/>
        <w:rPr>
          <w:rFonts w:ascii="Arial" w:hAnsi="Arial" w:cs="Mangal"/>
          <w:kern w:val="1"/>
          <w:lang w:val="ro-RO" w:eastAsia="hi-IN" w:bidi="hi-IN"/>
        </w:rPr>
      </w:pPr>
      <w:r w:rsidRPr="0060531A">
        <w:rPr>
          <w:rFonts w:ascii="Arial" w:hAnsi="Arial" w:cs="Mangal"/>
          <w:kern w:val="1"/>
          <w:lang w:val="ro-RO" w:eastAsia="hi-IN" w:bidi="hi-IN"/>
        </w:rPr>
        <w:t>La nivel de rețea se obțin următoarele date:</w:t>
      </w:r>
    </w:p>
    <w:p w14:paraId="63582D67" w14:textId="77777777" w:rsidR="0060531A" w:rsidRPr="0060531A" w:rsidRDefault="0060531A" w:rsidP="0060531A">
      <w:pPr>
        <w:widowControl w:val="0"/>
        <w:suppressAutoHyphens/>
        <w:spacing w:after="0" w:line="360" w:lineRule="auto"/>
        <w:jc w:val="center"/>
        <w:rPr>
          <w:rFonts w:ascii="Arial" w:hAnsi="Arial" w:cs="Mangal"/>
          <w:kern w:val="1"/>
          <w:sz w:val="24"/>
          <w:szCs w:val="24"/>
          <w:lang w:val="ro-RO" w:eastAsia="hi-IN" w:bidi="hi-IN"/>
        </w:rPr>
      </w:pPr>
    </w:p>
    <w:p w14:paraId="48D2B5D0" w14:textId="1CC6DA7E" w:rsidR="0060531A" w:rsidRPr="0040078C" w:rsidRDefault="0040078C" w:rsidP="0040078C">
      <w:pPr>
        <w:pStyle w:val="Legend"/>
        <w:jc w:val="center"/>
        <w:rPr>
          <w:rFonts w:ascii="Arial" w:hAnsi="Arial" w:cs="Arial"/>
          <w:i w:val="0"/>
          <w:iCs w:val="0"/>
          <w:color w:val="1F497D"/>
          <w:kern w:val="1"/>
          <w:sz w:val="22"/>
          <w:szCs w:val="22"/>
          <w:lang w:val="ro-RO" w:eastAsia="hi-IN" w:bidi="hi-IN"/>
        </w:rPr>
      </w:pPr>
      <w:bookmarkStart w:id="456" w:name="_Toc96463898"/>
      <w:r w:rsidRPr="0040078C">
        <w:rPr>
          <w:rFonts w:ascii="Arial" w:hAnsi="Arial" w:cs="Arial"/>
          <w:sz w:val="22"/>
          <w:szCs w:val="22"/>
        </w:rPr>
        <w:t xml:space="preserve">Tabel I.7. </w:t>
      </w:r>
      <w:r w:rsidRPr="0040078C">
        <w:rPr>
          <w:rFonts w:ascii="Arial" w:hAnsi="Arial" w:cs="Arial"/>
          <w:sz w:val="22"/>
          <w:szCs w:val="22"/>
        </w:rPr>
        <w:fldChar w:fldCharType="begin"/>
      </w:r>
      <w:r w:rsidRPr="0040078C">
        <w:rPr>
          <w:rFonts w:ascii="Arial" w:hAnsi="Arial" w:cs="Arial"/>
          <w:sz w:val="22"/>
          <w:szCs w:val="22"/>
        </w:rPr>
        <w:instrText xml:space="preserve"> SEQ Tabel_I.7. \* ARABIC </w:instrText>
      </w:r>
      <w:r w:rsidRPr="0040078C">
        <w:rPr>
          <w:rFonts w:ascii="Arial" w:hAnsi="Arial" w:cs="Arial"/>
          <w:sz w:val="22"/>
          <w:szCs w:val="22"/>
        </w:rPr>
        <w:fldChar w:fldCharType="separate"/>
      </w:r>
      <w:r w:rsidR="00BB181C">
        <w:rPr>
          <w:rFonts w:ascii="Arial" w:hAnsi="Arial" w:cs="Arial"/>
          <w:noProof/>
          <w:sz w:val="22"/>
          <w:szCs w:val="22"/>
        </w:rPr>
        <w:t>2</w:t>
      </w:r>
      <w:r w:rsidRPr="0040078C">
        <w:rPr>
          <w:rFonts w:ascii="Arial" w:hAnsi="Arial" w:cs="Arial"/>
          <w:sz w:val="22"/>
          <w:szCs w:val="22"/>
        </w:rPr>
        <w:fldChar w:fldCharType="end"/>
      </w:r>
      <w:r w:rsidRPr="0040078C">
        <w:rPr>
          <w:rFonts w:ascii="Arial" w:hAnsi="Arial" w:cs="Arial"/>
          <w:sz w:val="22"/>
          <w:szCs w:val="22"/>
        </w:rPr>
        <w:t xml:space="preserve"> </w:t>
      </w:r>
      <w:r w:rsidRPr="0040078C">
        <w:rPr>
          <w:rFonts w:ascii="Arial" w:hAnsi="Arial" w:cs="Arial"/>
          <w:i w:val="0"/>
          <w:iCs w:val="0"/>
          <w:sz w:val="22"/>
          <w:szCs w:val="22"/>
        </w:rPr>
        <w:t>- Parametri ora de vârf AM orizont 2027</w:t>
      </w:r>
      <w:bookmarkEnd w:id="456"/>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1915"/>
        <w:gridCol w:w="1915"/>
        <w:gridCol w:w="1915"/>
      </w:tblGrid>
      <w:tr w:rsidR="00593EEF" w:rsidRPr="00593EEF" w14:paraId="740547E1" w14:textId="77777777" w:rsidTr="00CE76B6">
        <w:trPr>
          <w:jc w:val="center"/>
        </w:trPr>
        <w:tc>
          <w:tcPr>
            <w:tcW w:w="1250" w:type="pct"/>
            <w:shd w:val="clear" w:color="auto" w:fill="auto"/>
            <w:vAlign w:val="center"/>
          </w:tcPr>
          <w:p w14:paraId="56BE1F0D"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Parametru</w:t>
            </w:r>
          </w:p>
        </w:tc>
        <w:tc>
          <w:tcPr>
            <w:tcW w:w="1250" w:type="pct"/>
            <w:shd w:val="clear" w:color="auto" w:fill="auto"/>
            <w:vAlign w:val="center"/>
          </w:tcPr>
          <w:p w14:paraId="56BA2C8F"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1</w:t>
            </w:r>
          </w:p>
        </w:tc>
        <w:tc>
          <w:tcPr>
            <w:tcW w:w="1250" w:type="pct"/>
            <w:shd w:val="clear" w:color="auto" w:fill="auto"/>
            <w:vAlign w:val="center"/>
          </w:tcPr>
          <w:p w14:paraId="3F4C46F0"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2</w:t>
            </w:r>
          </w:p>
        </w:tc>
        <w:tc>
          <w:tcPr>
            <w:tcW w:w="1250" w:type="pct"/>
            <w:shd w:val="clear" w:color="auto" w:fill="auto"/>
            <w:vAlign w:val="center"/>
          </w:tcPr>
          <w:p w14:paraId="6C4A289F"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3</w:t>
            </w:r>
          </w:p>
        </w:tc>
      </w:tr>
      <w:tr w:rsidR="00593EEF" w:rsidRPr="00593EEF" w14:paraId="2D9C9952" w14:textId="77777777" w:rsidTr="00CE76B6">
        <w:trPr>
          <w:jc w:val="center"/>
        </w:trPr>
        <w:tc>
          <w:tcPr>
            <w:tcW w:w="1250" w:type="pct"/>
            <w:shd w:val="clear" w:color="auto" w:fill="auto"/>
            <w:vAlign w:val="center"/>
          </w:tcPr>
          <w:p w14:paraId="09A38724"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Viteza medie de circulație (km/h)</w:t>
            </w:r>
          </w:p>
        </w:tc>
        <w:tc>
          <w:tcPr>
            <w:tcW w:w="1250" w:type="pct"/>
            <w:shd w:val="clear" w:color="auto" w:fill="auto"/>
            <w:vAlign w:val="center"/>
          </w:tcPr>
          <w:p w14:paraId="6184220E"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29,53</w:t>
            </w:r>
          </w:p>
        </w:tc>
        <w:tc>
          <w:tcPr>
            <w:tcW w:w="1250" w:type="pct"/>
            <w:shd w:val="clear" w:color="auto" w:fill="auto"/>
            <w:vAlign w:val="center"/>
          </w:tcPr>
          <w:p w14:paraId="251B52D9"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31,64</w:t>
            </w:r>
          </w:p>
        </w:tc>
        <w:tc>
          <w:tcPr>
            <w:tcW w:w="1250" w:type="pct"/>
            <w:shd w:val="clear" w:color="auto" w:fill="auto"/>
            <w:vAlign w:val="center"/>
          </w:tcPr>
          <w:p w14:paraId="2446078E"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Arial"/>
                <w:color w:val="000000"/>
              </w:rPr>
              <w:t>-</w:t>
            </w:r>
          </w:p>
        </w:tc>
      </w:tr>
      <w:tr w:rsidR="00593EEF" w:rsidRPr="00593EEF" w14:paraId="43CDD08E" w14:textId="77777777" w:rsidTr="00CE76B6">
        <w:trPr>
          <w:jc w:val="center"/>
        </w:trPr>
        <w:tc>
          <w:tcPr>
            <w:tcW w:w="1250" w:type="pct"/>
            <w:shd w:val="clear" w:color="auto" w:fill="auto"/>
            <w:vAlign w:val="center"/>
          </w:tcPr>
          <w:p w14:paraId="6BB2A43F"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Întârzierea medie (sec)</w:t>
            </w:r>
          </w:p>
        </w:tc>
        <w:tc>
          <w:tcPr>
            <w:tcW w:w="1250" w:type="pct"/>
            <w:shd w:val="clear" w:color="auto" w:fill="auto"/>
            <w:vAlign w:val="center"/>
          </w:tcPr>
          <w:p w14:paraId="3F53ED56"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43,44</w:t>
            </w:r>
          </w:p>
        </w:tc>
        <w:tc>
          <w:tcPr>
            <w:tcW w:w="1250" w:type="pct"/>
            <w:shd w:val="clear" w:color="auto" w:fill="auto"/>
            <w:vAlign w:val="center"/>
          </w:tcPr>
          <w:p w14:paraId="11C4DE2D"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38,05</w:t>
            </w:r>
          </w:p>
        </w:tc>
        <w:tc>
          <w:tcPr>
            <w:tcW w:w="1250" w:type="pct"/>
            <w:shd w:val="clear" w:color="auto" w:fill="auto"/>
            <w:vAlign w:val="center"/>
          </w:tcPr>
          <w:p w14:paraId="488C2755"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Arial"/>
                <w:color w:val="000000"/>
              </w:rPr>
              <w:t>-</w:t>
            </w:r>
          </w:p>
        </w:tc>
      </w:tr>
      <w:tr w:rsidR="00593EEF" w:rsidRPr="00593EEF" w14:paraId="1F432BD3" w14:textId="77777777" w:rsidTr="00CE76B6">
        <w:trPr>
          <w:jc w:val="center"/>
        </w:trPr>
        <w:tc>
          <w:tcPr>
            <w:tcW w:w="1250" w:type="pct"/>
            <w:shd w:val="clear" w:color="auto" w:fill="auto"/>
            <w:vAlign w:val="center"/>
          </w:tcPr>
          <w:p w14:paraId="49C6A7E9"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Consum de combustibil (litri)</w:t>
            </w:r>
          </w:p>
        </w:tc>
        <w:tc>
          <w:tcPr>
            <w:tcW w:w="1250" w:type="pct"/>
            <w:shd w:val="clear" w:color="auto" w:fill="auto"/>
            <w:vAlign w:val="center"/>
          </w:tcPr>
          <w:p w14:paraId="652464B1"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335,54</w:t>
            </w:r>
          </w:p>
        </w:tc>
        <w:tc>
          <w:tcPr>
            <w:tcW w:w="1250" w:type="pct"/>
            <w:shd w:val="clear" w:color="auto" w:fill="auto"/>
            <w:vAlign w:val="center"/>
          </w:tcPr>
          <w:p w14:paraId="4037CC58"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313,90</w:t>
            </w:r>
          </w:p>
        </w:tc>
        <w:tc>
          <w:tcPr>
            <w:tcW w:w="1250" w:type="pct"/>
            <w:shd w:val="clear" w:color="auto" w:fill="auto"/>
            <w:vAlign w:val="center"/>
          </w:tcPr>
          <w:p w14:paraId="37A710FB"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Arial"/>
                <w:color w:val="000000"/>
              </w:rPr>
              <w:t>-</w:t>
            </w:r>
          </w:p>
        </w:tc>
      </w:tr>
    </w:tbl>
    <w:p w14:paraId="2EDBDD9C" w14:textId="77777777" w:rsidR="0060531A" w:rsidRPr="0060531A" w:rsidRDefault="0060531A" w:rsidP="0060531A">
      <w:pPr>
        <w:widowControl w:val="0"/>
        <w:suppressAutoHyphens/>
        <w:spacing w:after="0" w:line="240" w:lineRule="auto"/>
        <w:ind w:left="360"/>
        <w:rPr>
          <w:rFonts w:ascii="Arial" w:hAnsi="Arial" w:cs="Mangal"/>
          <w:kern w:val="1"/>
          <w:sz w:val="20"/>
          <w:szCs w:val="24"/>
          <w:lang w:val="x-none" w:eastAsia="hi-IN" w:bidi="hi-IN"/>
        </w:rPr>
      </w:pPr>
    </w:p>
    <w:p w14:paraId="43D18742" w14:textId="77777777" w:rsidR="0060531A" w:rsidRPr="0060531A" w:rsidRDefault="0060531A" w:rsidP="0060531A">
      <w:pPr>
        <w:widowControl w:val="0"/>
        <w:suppressAutoHyphens/>
        <w:spacing w:after="0" w:line="240" w:lineRule="auto"/>
        <w:rPr>
          <w:rFonts w:ascii="Arial" w:hAnsi="Arial" w:cs="Mangal"/>
          <w:kern w:val="1"/>
          <w:sz w:val="20"/>
          <w:szCs w:val="24"/>
          <w:lang w:val="x-none" w:eastAsia="hi-IN" w:bidi="hi-IN"/>
        </w:rPr>
      </w:pPr>
    </w:p>
    <w:p w14:paraId="583EC3CB" w14:textId="77777777" w:rsidR="0060531A" w:rsidRPr="0060531A" w:rsidRDefault="0060531A" w:rsidP="0060531A">
      <w:pPr>
        <w:widowControl w:val="0"/>
        <w:suppressAutoHyphens/>
        <w:spacing w:after="0" w:line="276" w:lineRule="auto"/>
        <w:jc w:val="both"/>
        <w:rPr>
          <w:rFonts w:ascii="Arial" w:hAnsi="Arial" w:cs="Arial"/>
          <w:kern w:val="1"/>
          <w:lang w:val="es-ES" w:eastAsia="hi-IN" w:bidi="hi-IN"/>
        </w:rPr>
      </w:pPr>
      <w:r w:rsidRPr="0060531A">
        <w:rPr>
          <w:rFonts w:ascii="Arial" w:hAnsi="Arial" w:cs="Arial"/>
          <w:kern w:val="1"/>
          <w:lang w:val="es-ES" w:eastAsia="hi-IN" w:bidi="hi-IN"/>
        </w:rPr>
        <w:t>Analiza comparativǎ a nivelurilor de serviciu ale principalelor intersecții din Horezu este prezentatǎ ȋn tabelul urmǎtor:</w:t>
      </w:r>
    </w:p>
    <w:p w14:paraId="7AEA3442" w14:textId="15F46D81" w:rsidR="0060531A" w:rsidRPr="0040078C" w:rsidRDefault="00BB0D72" w:rsidP="0060531A">
      <w:pPr>
        <w:spacing w:after="200" w:line="240" w:lineRule="auto"/>
        <w:jc w:val="center"/>
        <w:rPr>
          <w:rFonts w:ascii="Arial" w:hAnsi="Arial" w:cs="Arial"/>
          <w:color w:val="1F497D"/>
        </w:rPr>
      </w:pPr>
      <w:bookmarkStart w:id="457" w:name="_Toc68361271"/>
      <w:bookmarkStart w:id="458" w:name="_Toc96463899"/>
      <w:r w:rsidRPr="00593EEF">
        <w:rPr>
          <w:rFonts w:ascii="Arial" w:hAnsi="Arial" w:cs="Arial"/>
          <w:i/>
          <w:iCs/>
          <w:color w:val="1F497D"/>
        </w:rPr>
        <w:t>Tabel I.7.</w:t>
      </w:r>
      <w:r w:rsidR="0060531A" w:rsidRPr="00593EEF">
        <w:rPr>
          <w:rFonts w:ascii="Arial" w:hAnsi="Arial" w:cs="Arial"/>
          <w:i/>
          <w:iCs/>
          <w:color w:val="1F497D"/>
        </w:rPr>
        <w:t xml:space="preserve"> </w:t>
      </w:r>
      <w:r w:rsidRPr="00593EEF">
        <w:rPr>
          <w:rFonts w:ascii="Arial" w:hAnsi="Arial" w:cs="Arial"/>
          <w:i/>
          <w:iCs/>
          <w:color w:val="1F497D"/>
        </w:rPr>
        <w:fldChar w:fldCharType="begin"/>
      </w:r>
      <w:r w:rsidRPr="00593EEF">
        <w:rPr>
          <w:rFonts w:ascii="Arial" w:hAnsi="Arial" w:cs="Arial"/>
          <w:i/>
          <w:iCs/>
          <w:color w:val="1F497D"/>
        </w:rPr>
        <w:instrText xml:space="preserve"> SEQ Tabel_I.7. \* ARABIC </w:instrText>
      </w:r>
      <w:r w:rsidRPr="00593EEF">
        <w:rPr>
          <w:rFonts w:ascii="Arial" w:hAnsi="Arial" w:cs="Arial"/>
          <w:i/>
          <w:iCs/>
          <w:color w:val="1F497D"/>
        </w:rPr>
        <w:fldChar w:fldCharType="separate"/>
      </w:r>
      <w:r w:rsidR="00BB181C">
        <w:rPr>
          <w:rFonts w:ascii="Arial" w:hAnsi="Arial" w:cs="Arial"/>
          <w:i/>
          <w:iCs/>
          <w:noProof/>
          <w:color w:val="1F497D"/>
        </w:rPr>
        <w:t>3</w:t>
      </w:r>
      <w:r w:rsidRPr="00593EEF">
        <w:rPr>
          <w:rFonts w:ascii="Arial" w:hAnsi="Arial" w:cs="Arial"/>
          <w:i/>
          <w:iCs/>
          <w:color w:val="1F497D"/>
        </w:rPr>
        <w:fldChar w:fldCharType="end"/>
      </w:r>
      <w:r w:rsidR="0040078C">
        <w:rPr>
          <w:rFonts w:ascii="Arial" w:hAnsi="Arial" w:cs="Arial"/>
          <w:i/>
          <w:iCs/>
          <w:color w:val="1F497D"/>
        </w:rPr>
        <w:t xml:space="preserve"> </w:t>
      </w:r>
      <w:bookmarkEnd w:id="457"/>
      <w:r w:rsidR="0040078C" w:rsidRPr="0040078C">
        <w:rPr>
          <w:rFonts w:ascii="Arial" w:hAnsi="Arial" w:cs="Arial"/>
          <w:color w:val="1F497D"/>
        </w:rPr>
        <w:t>- Niveluri de serviciu ora de vârf AM orizont 2027</w:t>
      </w:r>
      <w:bookmarkEnd w:id="458"/>
    </w:p>
    <w:tbl>
      <w:tblPr>
        <w:tblW w:w="8733" w:type="dxa"/>
        <w:jc w:val="center"/>
        <w:tblLook w:val="04A0" w:firstRow="1" w:lastRow="0" w:firstColumn="1" w:lastColumn="0" w:noHBand="0" w:noVBand="1"/>
      </w:tblPr>
      <w:tblGrid>
        <w:gridCol w:w="983"/>
        <w:gridCol w:w="2835"/>
        <w:gridCol w:w="1754"/>
        <w:gridCol w:w="1701"/>
        <w:gridCol w:w="1460"/>
      </w:tblGrid>
      <w:tr w:rsidR="00593EEF" w:rsidRPr="00593EEF" w14:paraId="2141FA64" w14:textId="77777777" w:rsidTr="00593EEF">
        <w:trPr>
          <w:trHeight w:hRule="exact" w:val="350"/>
          <w:tblHeader/>
          <w:jc w:val="center"/>
        </w:trPr>
        <w:tc>
          <w:tcPr>
            <w:tcW w:w="983" w:type="dxa"/>
            <w:tcBorders>
              <w:top w:val="single" w:sz="8" w:space="0" w:color="000000"/>
              <w:left w:val="single" w:sz="8" w:space="0" w:color="000000"/>
              <w:bottom w:val="single" w:sz="8" w:space="0" w:color="000000"/>
              <w:right w:val="single" w:sz="8" w:space="0" w:color="000000"/>
            </w:tcBorders>
            <w:shd w:val="clear" w:color="000000" w:fill="F1F1F1"/>
            <w:hideMark/>
          </w:tcPr>
          <w:p w14:paraId="009C136C" w14:textId="79DF4B7F" w:rsidR="00593EEF" w:rsidRPr="00593EEF" w:rsidRDefault="00593EEF" w:rsidP="00593EEF">
            <w:pPr>
              <w:jc w:val="center"/>
              <w:rPr>
                <w:rFonts w:ascii="Calibri" w:eastAsia="Times New Roman" w:hAnsi="Calibri" w:cs="Arial"/>
                <w:b/>
                <w:bCs/>
                <w:color w:val="000000"/>
                <w:sz w:val="19"/>
                <w:szCs w:val="19"/>
                <w:lang w:val="ro-RO" w:eastAsia="ro-RO"/>
              </w:rPr>
            </w:pPr>
            <w:r w:rsidRPr="00593EEF">
              <w:rPr>
                <w:rFonts w:ascii="Calibri" w:hAnsi="Calibri" w:cs="Arial"/>
                <w:b/>
                <w:bCs/>
                <w:color w:val="000000"/>
                <w:sz w:val="19"/>
                <w:szCs w:val="19"/>
                <w:lang w:val="ro-RO"/>
              </w:rPr>
              <w:t>Nr.</w:t>
            </w:r>
            <w:r>
              <w:rPr>
                <w:rFonts w:ascii="Calibri" w:hAnsi="Calibri" w:cs="Arial"/>
                <w:b/>
                <w:bCs/>
                <w:color w:val="000000"/>
                <w:sz w:val="19"/>
                <w:szCs w:val="19"/>
                <w:lang w:val="ro-RO"/>
              </w:rPr>
              <w:t xml:space="preserve"> </w:t>
            </w:r>
            <w:r w:rsidRPr="00593EEF">
              <w:rPr>
                <w:rFonts w:ascii="Calibri" w:hAnsi="Calibri" w:cs="Arial"/>
                <w:b/>
                <w:bCs/>
                <w:color w:val="000000"/>
                <w:sz w:val="19"/>
                <w:szCs w:val="19"/>
                <w:lang w:val="ro-RO"/>
              </w:rPr>
              <w:t>Crt</w:t>
            </w:r>
          </w:p>
        </w:tc>
        <w:tc>
          <w:tcPr>
            <w:tcW w:w="2835" w:type="dxa"/>
            <w:tcBorders>
              <w:top w:val="single" w:sz="8" w:space="0" w:color="000000"/>
              <w:left w:val="nil"/>
              <w:bottom w:val="single" w:sz="8" w:space="0" w:color="000000"/>
              <w:right w:val="single" w:sz="8" w:space="0" w:color="000000"/>
            </w:tcBorders>
            <w:shd w:val="clear" w:color="000000" w:fill="F1F1F1"/>
            <w:hideMark/>
          </w:tcPr>
          <w:p w14:paraId="7EA1D6E5" w14:textId="77777777" w:rsidR="00593EEF" w:rsidRPr="00593EEF" w:rsidRDefault="00593EEF" w:rsidP="00593EEF">
            <w:pPr>
              <w:jc w:val="center"/>
              <w:rPr>
                <w:rFonts w:ascii="Calibri" w:eastAsia="Times New Roman" w:hAnsi="Calibri" w:cs="Arial"/>
                <w:b/>
                <w:bCs/>
                <w:color w:val="000000"/>
                <w:sz w:val="19"/>
                <w:szCs w:val="19"/>
                <w:lang w:val="ro-RO" w:eastAsia="ro-RO"/>
              </w:rPr>
            </w:pPr>
            <w:r w:rsidRPr="00593EEF">
              <w:rPr>
                <w:rFonts w:ascii="Calibri" w:hAnsi="Calibri" w:cs="Arial"/>
                <w:b/>
                <w:bCs/>
                <w:color w:val="000000"/>
                <w:sz w:val="19"/>
                <w:szCs w:val="19"/>
                <w:lang w:val="ro-RO"/>
              </w:rPr>
              <w:t>Intersectie</w:t>
            </w:r>
          </w:p>
        </w:tc>
        <w:tc>
          <w:tcPr>
            <w:tcW w:w="1754" w:type="dxa"/>
            <w:tcBorders>
              <w:top w:val="single" w:sz="8" w:space="0" w:color="000000"/>
              <w:left w:val="nil"/>
              <w:bottom w:val="single" w:sz="8" w:space="0" w:color="000000"/>
              <w:right w:val="single" w:sz="8" w:space="0" w:color="000000"/>
            </w:tcBorders>
            <w:shd w:val="clear" w:color="000000" w:fill="F1F1F1"/>
            <w:hideMark/>
          </w:tcPr>
          <w:p w14:paraId="21BE0608" w14:textId="77777777" w:rsidR="00593EEF" w:rsidRPr="00593EEF" w:rsidRDefault="00593EEF" w:rsidP="00593EEF">
            <w:pPr>
              <w:jc w:val="center"/>
              <w:rPr>
                <w:rFonts w:ascii="Calibri" w:eastAsia="Times New Roman" w:hAnsi="Calibri" w:cs="Arial"/>
                <w:b/>
                <w:bCs/>
                <w:color w:val="000000"/>
                <w:sz w:val="19"/>
                <w:szCs w:val="19"/>
                <w:lang w:val="ro-RO" w:eastAsia="ro-RO"/>
              </w:rPr>
            </w:pPr>
            <w:r w:rsidRPr="00593EEF">
              <w:rPr>
                <w:rFonts w:ascii="Calibri" w:hAnsi="Calibri" w:cs="Arial"/>
                <w:b/>
                <w:bCs/>
                <w:color w:val="000000"/>
                <w:sz w:val="19"/>
                <w:szCs w:val="19"/>
                <w:lang w:val="ro-RO"/>
              </w:rPr>
              <w:t>Scenariul 1</w:t>
            </w:r>
          </w:p>
        </w:tc>
        <w:tc>
          <w:tcPr>
            <w:tcW w:w="1701" w:type="dxa"/>
            <w:tcBorders>
              <w:top w:val="single" w:sz="8" w:space="0" w:color="000000"/>
              <w:left w:val="nil"/>
              <w:bottom w:val="single" w:sz="8" w:space="0" w:color="000000"/>
              <w:right w:val="single" w:sz="8" w:space="0" w:color="000000"/>
            </w:tcBorders>
            <w:shd w:val="clear" w:color="000000" w:fill="F1F1F1"/>
            <w:hideMark/>
          </w:tcPr>
          <w:p w14:paraId="11FA2312" w14:textId="77777777" w:rsidR="00593EEF" w:rsidRPr="00593EEF" w:rsidRDefault="00593EEF" w:rsidP="00593EEF">
            <w:pPr>
              <w:jc w:val="center"/>
              <w:rPr>
                <w:rFonts w:ascii="Calibri" w:eastAsia="Times New Roman" w:hAnsi="Calibri" w:cs="Arial"/>
                <w:b/>
                <w:bCs/>
                <w:color w:val="000000"/>
                <w:sz w:val="19"/>
                <w:szCs w:val="19"/>
                <w:lang w:val="ro-RO" w:eastAsia="ro-RO"/>
              </w:rPr>
            </w:pPr>
            <w:r w:rsidRPr="00593EEF">
              <w:rPr>
                <w:rFonts w:ascii="Calibri" w:hAnsi="Calibri" w:cs="Arial"/>
                <w:b/>
                <w:bCs/>
                <w:color w:val="000000"/>
                <w:sz w:val="19"/>
                <w:szCs w:val="19"/>
                <w:lang w:val="ro-RO"/>
              </w:rPr>
              <w:t>Scenariul 2</w:t>
            </w:r>
          </w:p>
        </w:tc>
        <w:tc>
          <w:tcPr>
            <w:tcW w:w="1460" w:type="dxa"/>
            <w:tcBorders>
              <w:top w:val="single" w:sz="8" w:space="0" w:color="000000"/>
              <w:left w:val="nil"/>
              <w:bottom w:val="single" w:sz="8" w:space="0" w:color="000000"/>
              <w:right w:val="single" w:sz="8" w:space="0" w:color="000000"/>
            </w:tcBorders>
            <w:shd w:val="clear" w:color="000000" w:fill="F1F1F1"/>
            <w:hideMark/>
          </w:tcPr>
          <w:p w14:paraId="44202BED" w14:textId="77777777" w:rsidR="00593EEF" w:rsidRPr="00593EEF" w:rsidRDefault="00593EEF" w:rsidP="00593EEF">
            <w:pPr>
              <w:spacing w:after="0" w:line="240" w:lineRule="auto"/>
              <w:jc w:val="center"/>
              <w:rPr>
                <w:rFonts w:ascii="Calibri" w:hAnsi="Calibri" w:cs="Arial"/>
                <w:b/>
                <w:bCs/>
                <w:color w:val="000000"/>
                <w:sz w:val="19"/>
                <w:szCs w:val="19"/>
                <w:lang w:val="ro-RO"/>
              </w:rPr>
            </w:pPr>
            <w:r w:rsidRPr="00593EEF">
              <w:rPr>
                <w:rFonts w:ascii="Calibri" w:hAnsi="Calibri" w:cs="Arial"/>
                <w:b/>
                <w:bCs/>
                <w:color w:val="000000"/>
                <w:sz w:val="19"/>
                <w:szCs w:val="19"/>
                <w:lang w:val="ro-RO"/>
              </w:rPr>
              <w:t>Scenariul 3</w:t>
            </w:r>
          </w:p>
        </w:tc>
      </w:tr>
      <w:tr w:rsidR="00593EEF" w:rsidRPr="00593EEF" w14:paraId="6B402D47"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7B2F994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w:t>
            </w:r>
          </w:p>
        </w:tc>
        <w:tc>
          <w:tcPr>
            <w:tcW w:w="2835" w:type="dxa"/>
            <w:tcBorders>
              <w:top w:val="nil"/>
              <w:left w:val="nil"/>
              <w:bottom w:val="single" w:sz="8" w:space="0" w:color="000000"/>
              <w:right w:val="single" w:sz="8" w:space="0" w:color="000000"/>
            </w:tcBorders>
            <w:shd w:val="clear" w:color="000000" w:fill="DCE6F1"/>
            <w:vAlign w:val="center"/>
            <w:hideMark/>
          </w:tcPr>
          <w:p w14:paraId="6C174507"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 67 – DJ 665 (str. Iancu Jianu)</w:t>
            </w:r>
          </w:p>
        </w:tc>
        <w:tc>
          <w:tcPr>
            <w:tcW w:w="1754" w:type="dxa"/>
            <w:tcBorders>
              <w:top w:val="nil"/>
              <w:left w:val="nil"/>
              <w:bottom w:val="single" w:sz="8" w:space="0" w:color="000000"/>
              <w:right w:val="single" w:sz="8" w:space="0" w:color="000000"/>
            </w:tcBorders>
            <w:shd w:val="clear" w:color="000000" w:fill="DCE6F1"/>
            <w:vAlign w:val="center"/>
            <w:hideMark/>
          </w:tcPr>
          <w:p w14:paraId="53C00578"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C</w:t>
            </w:r>
          </w:p>
        </w:tc>
        <w:tc>
          <w:tcPr>
            <w:tcW w:w="1701" w:type="dxa"/>
            <w:tcBorders>
              <w:top w:val="nil"/>
              <w:left w:val="nil"/>
              <w:bottom w:val="single" w:sz="8" w:space="0" w:color="000000"/>
              <w:right w:val="single" w:sz="8" w:space="0" w:color="000000"/>
            </w:tcBorders>
            <w:shd w:val="clear" w:color="000000" w:fill="DCE6F1"/>
            <w:vAlign w:val="center"/>
            <w:hideMark/>
          </w:tcPr>
          <w:p w14:paraId="089EA40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000000" w:fill="DCE6F1"/>
            <w:vAlign w:val="center"/>
            <w:hideMark/>
          </w:tcPr>
          <w:p w14:paraId="4907C622" w14:textId="77777777" w:rsidR="00593EEF" w:rsidRPr="00593EEF" w:rsidRDefault="00593EEF" w:rsidP="00593EEF">
            <w:pPr>
              <w:jc w:val="center"/>
              <w:rPr>
                <w:rFonts w:ascii="Arial" w:hAnsi="Arial" w:cs="Arial"/>
                <w:color w:val="000000"/>
                <w:sz w:val="19"/>
                <w:szCs w:val="19"/>
              </w:rPr>
            </w:pPr>
            <w:r w:rsidRPr="00593EEF">
              <w:rPr>
                <w:rFonts w:ascii="Arial" w:hAnsi="Arial" w:cs="Arial"/>
                <w:color w:val="000000"/>
                <w:sz w:val="19"/>
                <w:szCs w:val="19"/>
              </w:rPr>
              <w:t>-</w:t>
            </w:r>
          </w:p>
          <w:p w14:paraId="4A48F086" w14:textId="77777777" w:rsidR="00593EEF" w:rsidRPr="00593EEF" w:rsidRDefault="00593EEF" w:rsidP="00593EEF">
            <w:pPr>
              <w:jc w:val="center"/>
              <w:rPr>
                <w:rFonts w:ascii="Calibri" w:eastAsia="Times New Roman" w:hAnsi="Calibri" w:cs="Arial"/>
                <w:color w:val="000000"/>
                <w:sz w:val="19"/>
                <w:szCs w:val="19"/>
                <w:lang w:val="ro-RO" w:eastAsia="ro-RO"/>
              </w:rPr>
            </w:pPr>
          </w:p>
        </w:tc>
      </w:tr>
      <w:tr w:rsidR="00593EEF" w:rsidRPr="00593EEF" w14:paraId="5296A8E7"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1815EC84"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2</w:t>
            </w:r>
          </w:p>
        </w:tc>
        <w:tc>
          <w:tcPr>
            <w:tcW w:w="2835" w:type="dxa"/>
            <w:tcBorders>
              <w:top w:val="nil"/>
              <w:left w:val="nil"/>
              <w:bottom w:val="single" w:sz="8" w:space="0" w:color="000000"/>
              <w:right w:val="single" w:sz="8" w:space="0" w:color="000000"/>
            </w:tcBorders>
            <w:shd w:val="clear" w:color="auto" w:fill="auto"/>
            <w:vAlign w:val="center"/>
            <w:hideMark/>
          </w:tcPr>
          <w:p w14:paraId="1C1F30D6"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str. Anton Pann</w:t>
            </w:r>
          </w:p>
        </w:tc>
        <w:tc>
          <w:tcPr>
            <w:tcW w:w="1754" w:type="dxa"/>
            <w:tcBorders>
              <w:top w:val="nil"/>
              <w:left w:val="nil"/>
              <w:bottom w:val="single" w:sz="8" w:space="0" w:color="000000"/>
              <w:right w:val="single" w:sz="8" w:space="0" w:color="000000"/>
            </w:tcBorders>
            <w:shd w:val="clear" w:color="auto" w:fill="auto"/>
            <w:vAlign w:val="center"/>
            <w:hideMark/>
          </w:tcPr>
          <w:p w14:paraId="73A15403"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0F20E1DE"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7B85AEF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58A68FC8"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78DA77F6"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3</w:t>
            </w:r>
          </w:p>
        </w:tc>
        <w:tc>
          <w:tcPr>
            <w:tcW w:w="2835" w:type="dxa"/>
            <w:tcBorders>
              <w:top w:val="nil"/>
              <w:left w:val="nil"/>
              <w:bottom w:val="single" w:sz="8" w:space="0" w:color="000000"/>
              <w:right w:val="single" w:sz="8" w:space="0" w:color="000000"/>
            </w:tcBorders>
            <w:shd w:val="clear" w:color="000000" w:fill="DCE6F1"/>
            <w:vAlign w:val="center"/>
            <w:hideMark/>
          </w:tcPr>
          <w:p w14:paraId="70391498"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str. Eroilor</w:t>
            </w:r>
          </w:p>
        </w:tc>
        <w:tc>
          <w:tcPr>
            <w:tcW w:w="1754" w:type="dxa"/>
            <w:tcBorders>
              <w:top w:val="nil"/>
              <w:left w:val="nil"/>
              <w:bottom w:val="single" w:sz="8" w:space="0" w:color="000000"/>
              <w:right w:val="single" w:sz="8" w:space="0" w:color="000000"/>
            </w:tcBorders>
            <w:shd w:val="clear" w:color="000000" w:fill="DCE6F1"/>
            <w:vAlign w:val="center"/>
            <w:hideMark/>
          </w:tcPr>
          <w:p w14:paraId="58D811B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D</w:t>
            </w:r>
          </w:p>
        </w:tc>
        <w:tc>
          <w:tcPr>
            <w:tcW w:w="1701" w:type="dxa"/>
            <w:tcBorders>
              <w:top w:val="nil"/>
              <w:left w:val="nil"/>
              <w:bottom w:val="single" w:sz="8" w:space="0" w:color="000000"/>
              <w:right w:val="single" w:sz="8" w:space="0" w:color="000000"/>
            </w:tcBorders>
            <w:shd w:val="clear" w:color="000000" w:fill="DCE6F1"/>
            <w:vAlign w:val="center"/>
            <w:hideMark/>
          </w:tcPr>
          <w:p w14:paraId="742C751D"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D</w:t>
            </w:r>
          </w:p>
        </w:tc>
        <w:tc>
          <w:tcPr>
            <w:tcW w:w="1460" w:type="dxa"/>
            <w:tcBorders>
              <w:top w:val="nil"/>
              <w:left w:val="nil"/>
              <w:bottom w:val="single" w:sz="8" w:space="0" w:color="000000"/>
              <w:right w:val="single" w:sz="8" w:space="0" w:color="000000"/>
            </w:tcBorders>
            <w:shd w:val="clear" w:color="000000" w:fill="DCE6F1"/>
            <w:hideMark/>
          </w:tcPr>
          <w:p w14:paraId="6895DF5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43AD869A"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08E6D0D0"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4</w:t>
            </w:r>
          </w:p>
        </w:tc>
        <w:tc>
          <w:tcPr>
            <w:tcW w:w="2835" w:type="dxa"/>
            <w:tcBorders>
              <w:top w:val="nil"/>
              <w:left w:val="nil"/>
              <w:bottom w:val="single" w:sz="8" w:space="0" w:color="000000"/>
              <w:right w:val="single" w:sz="8" w:space="0" w:color="000000"/>
            </w:tcBorders>
            <w:shd w:val="clear" w:color="auto" w:fill="auto"/>
            <w:vAlign w:val="center"/>
            <w:hideMark/>
          </w:tcPr>
          <w:p w14:paraId="19E57748"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DC143 - str. Nicolae Iorga</w:t>
            </w:r>
          </w:p>
        </w:tc>
        <w:tc>
          <w:tcPr>
            <w:tcW w:w="1754" w:type="dxa"/>
            <w:tcBorders>
              <w:top w:val="nil"/>
              <w:left w:val="nil"/>
              <w:bottom w:val="single" w:sz="8" w:space="0" w:color="000000"/>
              <w:right w:val="single" w:sz="8" w:space="0" w:color="000000"/>
            </w:tcBorders>
            <w:shd w:val="clear" w:color="auto" w:fill="auto"/>
            <w:vAlign w:val="center"/>
            <w:hideMark/>
          </w:tcPr>
          <w:p w14:paraId="131DD615"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7AAA9DB2"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7E70AD1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754CF63B"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731198C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5</w:t>
            </w:r>
          </w:p>
        </w:tc>
        <w:tc>
          <w:tcPr>
            <w:tcW w:w="2835" w:type="dxa"/>
            <w:tcBorders>
              <w:top w:val="nil"/>
              <w:left w:val="nil"/>
              <w:bottom w:val="single" w:sz="8" w:space="0" w:color="000000"/>
              <w:right w:val="single" w:sz="8" w:space="0" w:color="000000"/>
            </w:tcBorders>
            <w:shd w:val="clear" w:color="000000" w:fill="DCE6F1"/>
            <w:vAlign w:val="center"/>
            <w:hideMark/>
          </w:tcPr>
          <w:p w14:paraId="051F44DE"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 143 – str. Mihai Viteazu</w:t>
            </w:r>
          </w:p>
        </w:tc>
        <w:tc>
          <w:tcPr>
            <w:tcW w:w="1754" w:type="dxa"/>
            <w:tcBorders>
              <w:top w:val="nil"/>
              <w:left w:val="nil"/>
              <w:bottom w:val="single" w:sz="8" w:space="0" w:color="000000"/>
              <w:right w:val="single" w:sz="8" w:space="0" w:color="000000"/>
            </w:tcBorders>
            <w:shd w:val="clear" w:color="000000" w:fill="DCE6F1"/>
            <w:vAlign w:val="center"/>
            <w:hideMark/>
          </w:tcPr>
          <w:p w14:paraId="1BA1B73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000000" w:fill="DCE6F1"/>
            <w:vAlign w:val="center"/>
            <w:hideMark/>
          </w:tcPr>
          <w:p w14:paraId="25FE862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000000" w:fill="DCE6F1"/>
            <w:hideMark/>
          </w:tcPr>
          <w:p w14:paraId="306D89D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09556E09"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248F3770"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6</w:t>
            </w:r>
          </w:p>
        </w:tc>
        <w:tc>
          <w:tcPr>
            <w:tcW w:w="2835" w:type="dxa"/>
            <w:tcBorders>
              <w:top w:val="nil"/>
              <w:left w:val="nil"/>
              <w:bottom w:val="single" w:sz="8" w:space="0" w:color="000000"/>
              <w:right w:val="single" w:sz="8" w:space="0" w:color="000000"/>
            </w:tcBorders>
            <w:shd w:val="clear" w:color="auto" w:fill="auto"/>
            <w:vAlign w:val="center"/>
            <w:hideMark/>
          </w:tcPr>
          <w:p w14:paraId="254E7CDC"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Str. Căpitan Maldăr</w:t>
            </w:r>
          </w:p>
        </w:tc>
        <w:tc>
          <w:tcPr>
            <w:tcW w:w="1754" w:type="dxa"/>
            <w:tcBorders>
              <w:top w:val="nil"/>
              <w:left w:val="nil"/>
              <w:bottom w:val="single" w:sz="8" w:space="0" w:color="000000"/>
              <w:right w:val="single" w:sz="8" w:space="0" w:color="000000"/>
            </w:tcBorders>
            <w:shd w:val="clear" w:color="auto" w:fill="auto"/>
            <w:vAlign w:val="center"/>
            <w:hideMark/>
          </w:tcPr>
          <w:p w14:paraId="4F18CE1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E</w:t>
            </w:r>
          </w:p>
        </w:tc>
        <w:tc>
          <w:tcPr>
            <w:tcW w:w="1701" w:type="dxa"/>
            <w:tcBorders>
              <w:top w:val="nil"/>
              <w:left w:val="nil"/>
              <w:bottom w:val="single" w:sz="8" w:space="0" w:color="000000"/>
              <w:right w:val="single" w:sz="8" w:space="0" w:color="000000"/>
            </w:tcBorders>
            <w:shd w:val="clear" w:color="auto" w:fill="auto"/>
            <w:vAlign w:val="center"/>
            <w:hideMark/>
          </w:tcPr>
          <w:p w14:paraId="05A78E8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C</w:t>
            </w:r>
          </w:p>
        </w:tc>
        <w:tc>
          <w:tcPr>
            <w:tcW w:w="1460" w:type="dxa"/>
            <w:tcBorders>
              <w:top w:val="nil"/>
              <w:left w:val="nil"/>
              <w:bottom w:val="single" w:sz="8" w:space="0" w:color="000000"/>
              <w:right w:val="single" w:sz="8" w:space="0" w:color="000000"/>
            </w:tcBorders>
            <w:shd w:val="clear" w:color="auto" w:fill="auto"/>
            <w:hideMark/>
          </w:tcPr>
          <w:p w14:paraId="08142ED6"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0F1D7588"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2D6AFBC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7</w:t>
            </w:r>
          </w:p>
        </w:tc>
        <w:tc>
          <w:tcPr>
            <w:tcW w:w="2835" w:type="dxa"/>
            <w:tcBorders>
              <w:top w:val="nil"/>
              <w:left w:val="nil"/>
              <w:bottom w:val="single" w:sz="8" w:space="0" w:color="000000"/>
              <w:right w:val="single" w:sz="8" w:space="0" w:color="000000"/>
            </w:tcBorders>
            <w:shd w:val="clear" w:color="000000" w:fill="DCE6F1"/>
            <w:vAlign w:val="center"/>
            <w:hideMark/>
          </w:tcPr>
          <w:p w14:paraId="7C49D715"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 139 – DN 67 (A)</w:t>
            </w:r>
          </w:p>
        </w:tc>
        <w:tc>
          <w:tcPr>
            <w:tcW w:w="1754" w:type="dxa"/>
            <w:tcBorders>
              <w:top w:val="nil"/>
              <w:left w:val="nil"/>
              <w:bottom w:val="single" w:sz="8" w:space="0" w:color="000000"/>
              <w:right w:val="single" w:sz="8" w:space="0" w:color="000000"/>
            </w:tcBorders>
            <w:shd w:val="clear" w:color="000000" w:fill="DCE6F1"/>
            <w:vAlign w:val="center"/>
            <w:hideMark/>
          </w:tcPr>
          <w:p w14:paraId="37CD4002"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000000" w:fill="DCE6F1"/>
            <w:vAlign w:val="center"/>
            <w:hideMark/>
          </w:tcPr>
          <w:p w14:paraId="581D5E7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000000" w:fill="DCE6F1"/>
            <w:hideMark/>
          </w:tcPr>
          <w:p w14:paraId="79BE2850"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5FB6AE19"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7832AE9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8</w:t>
            </w:r>
          </w:p>
        </w:tc>
        <w:tc>
          <w:tcPr>
            <w:tcW w:w="2835" w:type="dxa"/>
            <w:tcBorders>
              <w:top w:val="nil"/>
              <w:left w:val="nil"/>
              <w:bottom w:val="single" w:sz="8" w:space="0" w:color="000000"/>
              <w:right w:val="single" w:sz="8" w:space="0" w:color="000000"/>
            </w:tcBorders>
            <w:shd w:val="clear" w:color="auto" w:fill="auto"/>
            <w:vAlign w:val="center"/>
            <w:hideMark/>
          </w:tcPr>
          <w:p w14:paraId="4B616618"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 139 – DN 67 (B)</w:t>
            </w:r>
          </w:p>
        </w:tc>
        <w:tc>
          <w:tcPr>
            <w:tcW w:w="1754" w:type="dxa"/>
            <w:tcBorders>
              <w:top w:val="nil"/>
              <w:left w:val="nil"/>
              <w:bottom w:val="single" w:sz="8" w:space="0" w:color="000000"/>
              <w:right w:val="single" w:sz="8" w:space="0" w:color="000000"/>
            </w:tcBorders>
            <w:shd w:val="clear" w:color="auto" w:fill="auto"/>
            <w:vAlign w:val="center"/>
            <w:hideMark/>
          </w:tcPr>
          <w:p w14:paraId="7296953C"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auto" w:fill="auto"/>
            <w:vAlign w:val="center"/>
            <w:hideMark/>
          </w:tcPr>
          <w:p w14:paraId="15E81BEE"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D</w:t>
            </w:r>
          </w:p>
        </w:tc>
        <w:tc>
          <w:tcPr>
            <w:tcW w:w="1460" w:type="dxa"/>
            <w:tcBorders>
              <w:top w:val="nil"/>
              <w:left w:val="nil"/>
              <w:bottom w:val="single" w:sz="8" w:space="0" w:color="000000"/>
              <w:right w:val="single" w:sz="8" w:space="0" w:color="000000"/>
            </w:tcBorders>
            <w:shd w:val="clear" w:color="auto" w:fill="auto"/>
            <w:hideMark/>
          </w:tcPr>
          <w:p w14:paraId="04843A2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056CCF90"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7E41D21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9</w:t>
            </w:r>
          </w:p>
        </w:tc>
        <w:tc>
          <w:tcPr>
            <w:tcW w:w="2835" w:type="dxa"/>
            <w:tcBorders>
              <w:top w:val="nil"/>
              <w:left w:val="nil"/>
              <w:bottom w:val="single" w:sz="8" w:space="0" w:color="000000"/>
              <w:right w:val="single" w:sz="8" w:space="0" w:color="000000"/>
            </w:tcBorders>
            <w:shd w:val="clear" w:color="000000" w:fill="DCE6F1"/>
            <w:vAlign w:val="center"/>
            <w:hideMark/>
          </w:tcPr>
          <w:p w14:paraId="3E24BFFA"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Str. Zăvoiului</w:t>
            </w:r>
          </w:p>
        </w:tc>
        <w:tc>
          <w:tcPr>
            <w:tcW w:w="1754" w:type="dxa"/>
            <w:tcBorders>
              <w:top w:val="nil"/>
              <w:left w:val="nil"/>
              <w:bottom w:val="single" w:sz="8" w:space="0" w:color="000000"/>
              <w:right w:val="single" w:sz="8" w:space="0" w:color="000000"/>
            </w:tcBorders>
            <w:shd w:val="clear" w:color="000000" w:fill="DCE6F1"/>
            <w:vAlign w:val="center"/>
            <w:hideMark/>
          </w:tcPr>
          <w:p w14:paraId="22E59F95"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E</w:t>
            </w:r>
          </w:p>
        </w:tc>
        <w:tc>
          <w:tcPr>
            <w:tcW w:w="1701" w:type="dxa"/>
            <w:tcBorders>
              <w:top w:val="nil"/>
              <w:left w:val="nil"/>
              <w:bottom w:val="single" w:sz="8" w:space="0" w:color="000000"/>
              <w:right w:val="single" w:sz="8" w:space="0" w:color="000000"/>
            </w:tcBorders>
            <w:shd w:val="clear" w:color="000000" w:fill="DCE6F1"/>
            <w:vAlign w:val="center"/>
            <w:hideMark/>
          </w:tcPr>
          <w:p w14:paraId="5E27CEB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E</w:t>
            </w:r>
          </w:p>
        </w:tc>
        <w:tc>
          <w:tcPr>
            <w:tcW w:w="1460" w:type="dxa"/>
            <w:tcBorders>
              <w:top w:val="nil"/>
              <w:left w:val="nil"/>
              <w:bottom w:val="single" w:sz="8" w:space="0" w:color="000000"/>
              <w:right w:val="single" w:sz="8" w:space="0" w:color="000000"/>
            </w:tcBorders>
            <w:shd w:val="clear" w:color="000000" w:fill="DCE6F1"/>
            <w:hideMark/>
          </w:tcPr>
          <w:p w14:paraId="383286DE"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28DC56C9"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3A6383C8"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10</w:t>
            </w:r>
          </w:p>
        </w:tc>
        <w:tc>
          <w:tcPr>
            <w:tcW w:w="2835" w:type="dxa"/>
            <w:tcBorders>
              <w:top w:val="nil"/>
              <w:left w:val="nil"/>
              <w:bottom w:val="single" w:sz="8" w:space="0" w:color="000000"/>
              <w:right w:val="single" w:sz="8" w:space="0" w:color="000000"/>
            </w:tcBorders>
            <w:shd w:val="clear" w:color="auto" w:fill="auto"/>
            <w:vAlign w:val="center"/>
            <w:hideMark/>
          </w:tcPr>
          <w:p w14:paraId="16C3598A"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 xml:space="preserve"> DC 142 – str. Matei Basarab</w:t>
            </w:r>
          </w:p>
        </w:tc>
        <w:tc>
          <w:tcPr>
            <w:tcW w:w="1754" w:type="dxa"/>
            <w:tcBorders>
              <w:top w:val="nil"/>
              <w:left w:val="nil"/>
              <w:bottom w:val="single" w:sz="8" w:space="0" w:color="000000"/>
              <w:right w:val="single" w:sz="8" w:space="0" w:color="000000"/>
            </w:tcBorders>
            <w:shd w:val="clear" w:color="auto" w:fill="auto"/>
            <w:vAlign w:val="center"/>
            <w:hideMark/>
          </w:tcPr>
          <w:p w14:paraId="5F4EBA5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6A5009E0"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1B97C7E5"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7E9C0E9D"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27FA3882"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11</w:t>
            </w:r>
          </w:p>
        </w:tc>
        <w:tc>
          <w:tcPr>
            <w:tcW w:w="2835" w:type="dxa"/>
            <w:tcBorders>
              <w:top w:val="nil"/>
              <w:left w:val="nil"/>
              <w:bottom w:val="single" w:sz="8" w:space="0" w:color="000000"/>
              <w:right w:val="single" w:sz="8" w:space="0" w:color="000000"/>
            </w:tcBorders>
            <w:shd w:val="clear" w:color="000000" w:fill="DCE6F1"/>
            <w:vAlign w:val="center"/>
            <w:hideMark/>
          </w:tcPr>
          <w:p w14:paraId="4556A4C0"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George Coșbuc</w:t>
            </w:r>
          </w:p>
        </w:tc>
        <w:tc>
          <w:tcPr>
            <w:tcW w:w="1754" w:type="dxa"/>
            <w:tcBorders>
              <w:top w:val="nil"/>
              <w:left w:val="nil"/>
              <w:bottom w:val="single" w:sz="8" w:space="0" w:color="000000"/>
              <w:right w:val="single" w:sz="8" w:space="0" w:color="000000"/>
            </w:tcBorders>
            <w:shd w:val="clear" w:color="000000" w:fill="DCE6F1"/>
            <w:vAlign w:val="center"/>
            <w:hideMark/>
          </w:tcPr>
          <w:p w14:paraId="27FB2534"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C</w:t>
            </w:r>
          </w:p>
        </w:tc>
        <w:tc>
          <w:tcPr>
            <w:tcW w:w="1701" w:type="dxa"/>
            <w:tcBorders>
              <w:top w:val="nil"/>
              <w:left w:val="nil"/>
              <w:bottom w:val="single" w:sz="8" w:space="0" w:color="000000"/>
              <w:right w:val="single" w:sz="8" w:space="0" w:color="000000"/>
            </w:tcBorders>
            <w:shd w:val="clear" w:color="000000" w:fill="DCE6F1"/>
            <w:vAlign w:val="center"/>
            <w:hideMark/>
          </w:tcPr>
          <w:p w14:paraId="68CF125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D</w:t>
            </w:r>
          </w:p>
        </w:tc>
        <w:tc>
          <w:tcPr>
            <w:tcW w:w="1460" w:type="dxa"/>
            <w:tcBorders>
              <w:top w:val="nil"/>
              <w:left w:val="nil"/>
              <w:bottom w:val="single" w:sz="8" w:space="0" w:color="000000"/>
              <w:right w:val="single" w:sz="8" w:space="0" w:color="000000"/>
            </w:tcBorders>
            <w:shd w:val="clear" w:color="000000" w:fill="DCE6F1"/>
            <w:hideMark/>
          </w:tcPr>
          <w:p w14:paraId="6B001E6C"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607C5D26"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43E9A72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12</w:t>
            </w:r>
          </w:p>
        </w:tc>
        <w:tc>
          <w:tcPr>
            <w:tcW w:w="2835" w:type="dxa"/>
            <w:tcBorders>
              <w:top w:val="nil"/>
              <w:left w:val="nil"/>
              <w:bottom w:val="single" w:sz="8" w:space="0" w:color="000000"/>
              <w:right w:val="single" w:sz="8" w:space="0" w:color="000000"/>
            </w:tcBorders>
            <w:shd w:val="clear" w:color="auto" w:fill="auto"/>
            <w:vAlign w:val="center"/>
            <w:hideMark/>
          </w:tcPr>
          <w:p w14:paraId="75BD6DD5"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 143 – str. Mihai Viteazu</w:t>
            </w:r>
          </w:p>
        </w:tc>
        <w:tc>
          <w:tcPr>
            <w:tcW w:w="1754" w:type="dxa"/>
            <w:tcBorders>
              <w:top w:val="nil"/>
              <w:left w:val="nil"/>
              <w:bottom w:val="single" w:sz="8" w:space="0" w:color="000000"/>
              <w:right w:val="single" w:sz="8" w:space="0" w:color="000000"/>
            </w:tcBorders>
            <w:shd w:val="clear" w:color="auto" w:fill="auto"/>
            <w:vAlign w:val="center"/>
            <w:hideMark/>
          </w:tcPr>
          <w:p w14:paraId="7F2B8434"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437BBA9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7CB2553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45888962"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9E1F2"/>
            <w:vAlign w:val="center"/>
            <w:hideMark/>
          </w:tcPr>
          <w:p w14:paraId="1E0E54F2"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13</w:t>
            </w:r>
          </w:p>
        </w:tc>
        <w:tc>
          <w:tcPr>
            <w:tcW w:w="2835" w:type="dxa"/>
            <w:tcBorders>
              <w:top w:val="nil"/>
              <w:left w:val="nil"/>
              <w:bottom w:val="single" w:sz="8" w:space="0" w:color="000000"/>
              <w:right w:val="single" w:sz="8" w:space="0" w:color="000000"/>
            </w:tcBorders>
            <w:shd w:val="clear" w:color="000000" w:fill="D9E1F2"/>
            <w:vAlign w:val="center"/>
            <w:hideMark/>
          </w:tcPr>
          <w:p w14:paraId="26DD8F19"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 xml:space="preserve"> DN 67 – str. Stadionului</w:t>
            </w:r>
          </w:p>
        </w:tc>
        <w:tc>
          <w:tcPr>
            <w:tcW w:w="1754" w:type="dxa"/>
            <w:tcBorders>
              <w:top w:val="nil"/>
              <w:left w:val="nil"/>
              <w:bottom w:val="single" w:sz="8" w:space="0" w:color="000000"/>
              <w:right w:val="single" w:sz="8" w:space="0" w:color="000000"/>
            </w:tcBorders>
            <w:shd w:val="clear" w:color="000000" w:fill="D9E1F2"/>
            <w:vAlign w:val="center"/>
            <w:hideMark/>
          </w:tcPr>
          <w:p w14:paraId="1CC77AFD"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000000" w:fill="D9E1F2"/>
            <w:vAlign w:val="center"/>
            <w:hideMark/>
          </w:tcPr>
          <w:p w14:paraId="2BC60BA3"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000000" w:fill="D9E1F2"/>
            <w:hideMark/>
          </w:tcPr>
          <w:p w14:paraId="67B929E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0EBB4379" w14:textId="77777777" w:rsidTr="00CE76B6">
        <w:trPr>
          <w:trHeight w:hRule="exact" w:val="472"/>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220B5CF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14</w:t>
            </w:r>
          </w:p>
        </w:tc>
        <w:tc>
          <w:tcPr>
            <w:tcW w:w="2835" w:type="dxa"/>
            <w:tcBorders>
              <w:top w:val="nil"/>
              <w:left w:val="nil"/>
              <w:bottom w:val="single" w:sz="8" w:space="0" w:color="000000"/>
              <w:right w:val="single" w:sz="8" w:space="0" w:color="000000"/>
            </w:tcBorders>
            <w:shd w:val="clear" w:color="auto" w:fill="auto"/>
            <w:vAlign w:val="center"/>
            <w:hideMark/>
          </w:tcPr>
          <w:p w14:paraId="28FABDA3"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 xml:space="preserve"> DC 144 – str. spre Romanii de Sus (Stejarului)</w:t>
            </w:r>
          </w:p>
        </w:tc>
        <w:tc>
          <w:tcPr>
            <w:tcW w:w="1754" w:type="dxa"/>
            <w:tcBorders>
              <w:top w:val="nil"/>
              <w:left w:val="nil"/>
              <w:bottom w:val="single" w:sz="8" w:space="0" w:color="000000"/>
              <w:right w:val="single" w:sz="8" w:space="0" w:color="000000"/>
            </w:tcBorders>
            <w:shd w:val="clear" w:color="auto" w:fill="auto"/>
            <w:vAlign w:val="center"/>
            <w:hideMark/>
          </w:tcPr>
          <w:p w14:paraId="3649CF63"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48A5D325"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1CA2058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7D829C3B"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9E1F2"/>
            <w:vAlign w:val="center"/>
            <w:hideMark/>
          </w:tcPr>
          <w:p w14:paraId="41181F3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15</w:t>
            </w:r>
          </w:p>
        </w:tc>
        <w:tc>
          <w:tcPr>
            <w:tcW w:w="2835" w:type="dxa"/>
            <w:tcBorders>
              <w:top w:val="nil"/>
              <w:left w:val="nil"/>
              <w:bottom w:val="single" w:sz="8" w:space="0" w:color="000000"/>
              <w:right w:val="single" w:sz="8" w:space="0" w:color="000000"/>
            </w:tcBorders>
            <w:shd w:val="clear" w:color="000000" w:fill="D9E1F2"/>
            <w:vAlign w:val="center"/>
            <w:hideMark/>
          </w:tcPr>
          <w:p w14:paraId="557386C2"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DJ 669 – str. Manastirii</w:t>
            </w:r>
          </w:p>
        </w:tc>
        <w:tc>
          <w:tcPr>
            <w:tcW w:w="1754" w:type="dxa"/>
            <w:tcBorders>
              <w:top w:val="nil"/>
              <w:left w:val="nil"/>
              <w:bottom w:val="single" w:sz="8" w:space="0" w:color="000000"/>
              <w:right w:val="single" w:sz="8" w:space="0" w:color="000000"/>
            </w:tcBorders>
            <w:shd w:val="clear" w:color="000000" w:fill="D9E1F2"/>
            <w:vAlign w:val="center"/>
            <w:hideMark/>
          </w:tcPr>
          <w:p w14:paraId="4C059645"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000000" w:fill="D9E1F2"/>
            <w:vAlign w:val="center"/>
            <w:hideMark/>
          </w:tcPr>
          <w:p w14:paraId="0D62AE16"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B</w:t>
            </w:r>
          </w:p>
        </w:tc>
        <w:tc>
          <w:tcPr>
            <w:tcW w:w="1460" w:type="dxa"/>
            <w:tcBorders>
              <w:top w:val="nil"/>
              <w:left w:val="nil"/>
              <w:bottom w:val="single" w:sz="8" w:space="0" w:color="000000"/>
              <w:right w:val="single" w:sz="8" w:space="0" w:color="000000"/>
            </w:tcBorders>
            <w:shd w:val="clear" w:color="000000" w:fill="D9E1F2"/>
            <w:hideMark/>
          </w:tcPr>
          <w:p w14:paraId="1DBD2D6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7DF97BEC"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tcPr>
          <w:p w14:paraId="16B073E7"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16</w:t>
            </w:r>
          </w:p>
        </w:tc>
        <w:tc>
          <w:tcPr>
            <w:tcW w:w="2835" w:type="dxa"/>
            <w:tcBorders>
              <w:top w:val="nil"/>
              <w:left w:val="nil"/>
              <w:bottom w:val="single" w:sz="8" w:space="0" w:color="000000"/>
              <w:right w:val="single" w:sz="8" w:space="0" w:color="000000"/>
            </w:tcBorders>
            <w:shd w:val="clear" w:color="auto" w:fill="auto"/>
            <w:vAlign w:val="center"/>
          </w:tcPr>
          <w:p w14:paraId="0A5B3120" w14:textId="77777777" w:rsidR="00593EEF" w:rsidRPr="00593EEF" w:rsidRDefault="00593EEF" w:rsidP="00593EEF">
            <w:pPr>
              <w:rPr>
                <w:rFonts w:ascii="Calibri" w:hAnsi="Calibri" w:cs="Arial"/>
                <w:color w:val="000000"/>
                <w:sz w:val="19"/>
                <w:szCs w:val="19"/>
                <w:lang w:val="ro-RO"/>
              </w:rPr>
            </w:pPr>
            <w:r w:rsidRPr="00593EEF">
              <w:rPr>
                <w:rFonts w:ascii="Arial" w:hAnsi="Arial" w:cs="Arial"/>
                <w:color w:val="000000"/>
                <w:sz w:val="19"/>
                <w:szCs w:val="19"/>
              </w:rPr>
              <w:t>DN 67 – DN 65C</w:t>
            </w:r>
          </w:p>
        </w:tc>
        <w:tc>
          <w:tcPr>
            <w:tcW w:w="1754" w:type="dxa"/>
            <w:tcBorders>
              <w:top w:val="nil"/>
              <w:left w:val="nil"/>
              <w:bottom w:val="single" w:sz="8" w:space="0" w:color="000000"/>
              <w:right w:val="single" w:sz="8" w:space="0" w:color="000000"/>
            </w:tcBorders>
            <w:shd w:val="clear" w:color="auto" w:fill="auto"/>
            <w:vAlign w:val="center"/>
          </w:tcPr>
          <w:p w14:paraId="677841AF"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E</w:t>
            </w:r>
          </w:p>
        </w:tc>
        <w:tc>
          <w:tcPr>
            <w:tcW w:w="1701" w:type="dxa"/>
            <w:tcBorders>
              <w:top w:val="nil"/>
              <w:left w:val="nil"/>
              <w:bottom w:val="single" w:sz="8" w:space="0" w:color="000000"/>
              <w:right w:val="single" w:sz="8" w:space="0" w:color="000000"/>
            </w:tcBorders>
            <w:shd w:val="clear" w:color="auto" w:fill="auto"/>
            <w:vAlign w:val="center"/>
          </w:tcPr>
          <w:p w14:paraId="0B7CC519"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tcPr>
          <w:p w14:paraId="4CA2007C"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w:t>
            </w:r>
          </w:p>
        </w:tc>
      </w:tr>
      <w:tr w:rsidR="00593EEF" w:rsidRPr="00593EEF" w14:paraId="4B53C73C"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9E1F2"/>
            <w:vAlign w:val="center"/>
          </w:tcPr>
          <w:p w14:paraId="6713F5A2"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17</w:t>
            </w:r>
          </w:p>
        </w:tc>
        <w:tc>
          <w:tcPr>
            <w:tcW w:w="2835" w:type="dxa"/>
            <w:tcBorders>
              <w:top w:val="nil"/>
              <w:left w:val="nil"/>
              <w:bottom w:val="single" w:sz="8" w:space="0" w:color="000000"/>
              <w:right w:val="single" w:sz="8" w:space="0" w:color="000000"/>
            </w:tcBorders>
            <w:shd w:val="clear" w:color="000000" w:fill="D9E1F2"/>
            <w:vAlign w:val="center"/>
          </w:tcPr>
          <w:p w14:paraId="03C32D15" w14:textId="77777777" w:rsidR="00593EEF" w:rsidRPr="00593EEF" w:rsidRDefault="00593EEF" w:rsidP="00593EEF">
            <w:pPr>
              <w:rPr>
                <w:rFonts w:ascii="Calibri" w:hAnsi="Calibri" w:cs="Arial"/>
                <w:color w:val="000000"/>
                <w:sz w:val="19"/>
                <w:szCs w:val="19"/>
                <w:lang w:val="ro-RO"/>
              </w:rPr>
            </w:pPr>
            <w:r w:rsidRPr="00593EEF">
              <w:rPr>
                <w:rFonts w:ascii="Arial" w:hAnsi="Arial" w:cs="Arial"/>
                <w:color w:val="000000"/>
                <w:sz w:val="19"/>
                <w:szCs w:val="19"/>
              </w:rPr>
              <w:t>DC 139 – DN 67 (A)</w:t>
            </w:r>
          </w:p>
        </w:tc>
        <w:tc>
          <w:tcPr>
            <w:tcW w:w="1754" w:type="dxa"/>
            <w:tcBorders>
              <w:top w:val="nil"/>
              <w:left w:val="nil"/>
              <w:bottom w:val="single" w:sz="8" w:space="0" w:color="000000"/>
              <w:right w:val="single" w:sz="8" w:space="0" w:color="000000"/>
            </w:tcBorders>
            <w:shd w:val="clear" w:color="000000" w:fill="D9E1F2"/>
            <w:vAlign w:val="center"/>
          </w:tcPr>
          <w:p w14:paraId="71A54150"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D</w:t>
            </w:r>
          </w:p>
        </w:tc>
        <w:tc>
          <w:tcPr>
            <w:tcW w:w="1701" w:type="dxa"/>
            <w:tcBorders>
              <w:top w:val="nil"/>
              <w:left w:val="nil"/>
              <w:bottom w:val="single" w:sz="8" w:space="0" w:color="000000"/>
              <w:right w:val="single" w:sz="8" w:space="0" w:color="000000"/>
            </w:tcBorders>
            <w:shd w:val="clear" w:color="000000" w:fill="D9E1F2"/>
            <w:vAlign w:val="center"/>
          </w:tcPr>
          <w:p w14:paraId="6BC78D3A"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D</w:t>
            </w:r>
          </w:p>
        </w:tc>
        <w:tc>
          <w:tcPr>
            <w:tcW w:w="1460" w:type="dxa"/>
            <w:tcBorders>
              <w:top w:val="nil"/>
              <w:left w:val="nil"/>
              <w:bottom w:val="single" w:sz="8" w:space="0" w:color="000000"/>
              <w:right w:val="single" w:sz="8" w:space="0" w:color="000000"/>
            </w:tcBorders>
            <w:shd w:val="clear" w:color="000000" w:fill="D9E1F2"/>
          </w:tcPr>
          <w:p w14:paraId="6181CAF3"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w:t>
            </w:r>
          </w:p>
        </w:tc>
      </w:tr>
      <w:tr w:rsidR="00593EEF" w:rsidRPr="00593EEF" w14:paraId="35606572"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680F2568"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18</w:t>
            </w:r>
          </w:p>
        </w:tc>
        <w:tc>
          <w:tcPr>
            <w:tcW w:w="2835" w:type="dxa"/>
            <w:tcBorders>
              <w:top w:val="nil"/>
              <w:left w:val="nil"/>
              <w:bottom w:val="single" w:sz="8" w:space="0" w:color="000000"/>
              <w:right w:val="single" w:sz="8" w:space="0" w:color="000000"/>
            </w:tcBorders>
            <w:shd w:val="clear" w:color="auto" w:fill="auto"/>
            <w:vAlign w:val="center"/>
            <w:hideMark/>
          </w:tcPr>
          <w:p w14:paraId="281AF41A"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 xml:space="preserve"> DC 144 – DC 146</w:t>
            </w:r>
          </w:p>
        </w:tc>
        <w:tc>
          <w:tcPr>
            <w:tcW w:w="1754" w:type="dxa"/>
            <w:tcBorders>
              <w:top w:val="nil"/>
              <w:left w:val="nil"/>
              <w:bottom w:val="single" w:sz="8" w:space="0" w:color="000000"/>
              <w:right w:val="single" w:sz="8" w:space="0" w:color="000000"/>
            </w:tcBorders>
            <w:shd w:val="clear" w:color="auto" w:fill="auto"/>
            <w:vAlign w:val="center"/>
            <w:hideMark/>
          </w:tcPr>
          <w:p w14:paraId="2D1363C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5BE8D84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0EBE4B6E"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2A719E98"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4E209FE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19</w:t>
            </w:r>
          </w:p>
        </w:tc>
        <w:tc>
          <w:tcPr>
            <w:tcW w:w="2835" w:type="dxa"/>
            <w:tcBorders>
              <w:top w:val="nil"/>
              <w:left w:val="nil"/>
              <w:bottom w:val="single" w:sz="8" w:space="0" w:color="000000"/>
              <w:right w:val="single" w:sz="8" w:space="0" w:color="000000"/>
            </w:tcBorders>
            <w:shd w:val="clear" w:color="000000" w:fill="DCE6F1"/>
            <w:vAlign w:val="center"/>
            <w:hideMark/>
          </w:tcPr>
          <w:p w14:paraId="54A24FEE"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DJ 669 – DC 146</w:t>
            </w:r>
          </w:p>
        </w:tc>
        <w:tc>
          <w:tcPr>
            <w:tcW w:w="1754" w:type="dxa"/>
            <w:tcBorders>
              <w:top w:val="nil"/>
              <w:left w:val="nil"/>
              <w:bottom w:val="single" w:sz="8" w:space="0" w:color="000000"/>
              <w:right w:val="single" w:sz="8" w:space="0" w:color="000000"/>
            </w:tcBorders>
            <w:shd w:val="clear" w:color="000000" w:fill="DCE6F1"/>
            <w:vAlign w:val="center"/>
            <w:hideMark/>
          </w:tcPr>
          <w:p w14:paraId="71E14B74"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000000" w:fill="DCE6F1"/>
            <w:vAlign w:val="center"/>
            <w:hideMark/>
          </w:tcPr>
          <w:p w14:paraId="6B1893D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000000" w:fill="DCE6F1"/>
            <w:hideMark/>
          </w:tcPr>
          <w:p w14:paraId="28ED15F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bl>
    <w:p w14:paraId="4173BA51" w14:textId="77777777" w:rsidR="0060531A" w:rsidRPr="0060531A" w:rsidRDefault="0060531A" w:rsidP="0060531A">
      <w:pPr>
        <w:rPr>
          <w:rFonts w:ascii="Calibri" w:hAnsi="Calibri" w:cs="Times New Roman"/>
        </w:rPr>
      </w:pPr>
    </w:p>
    <w:p w14:paraId="0FBF9E41" w14:textId="418DFA8B" w:rsidR="0060531A" w:rsidRPr="0060531A" w:rsidRDefault="00593EEF" w:rsidP="0060531A">
      <w:pPr>
        <w:jc w:val="center"/>
        <w:rPr>
          <w:rFonts w:ascii="Calibri" w:hAnsi="Calibri" w:cs="Times New Roman"/>
        </w:rPr>
      </w:pPr>
      <w:r w:rsidRPr="00593EEF">
        <w:rPr>
          <w:rFonts w:ascii="Calibri" w:hAnsi="Calibri" w:cs="Times New Roman"/>
          <w:noProof/>
        </w:rPr>
        <w:lastRenderedPageBreak/>
        <w:drawing>
          <wp:inline distT="0" distB="0" distL="0" distR="0" wp14:anchorId="7ED182A8" wp14:editId="1CA6573E">
            <wp:extent cx="5810250" cy="4294533"/>
            <wp:effectExtent l="0" t="0" r="0" b="0"/>
            <wp:docPr id="227"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ine 18"/>
                    <pic:cNvPicPr>
                      <a:picLocks noChangeAspect="1" noChangeArrowheads="1"/>
                    </pic:cNvPicPr>
                  </pic:nvPicPr>
                  <pic:blipFill>
                    <a:blip r:embed="rId221" cstate="print">
                      <a:extLst>
                        <a:ext uri="{28A0092B-C50C-407E-A947-70E740481C1C}">
                          <a14:useLocalDpi xmlns:a14="http://schemas.microsoft.com/office/drawing/2010/main" val="0"/>
                        </a:ext>
                      </a:extLst>
                    </a:blip>
                    <a:stretch>
                      <a:fillRect/>
                    </a:stretch>
                  </pic:blipFill>
                  <pic:spPr bwMode="auto">
                    <a:xfrm>
                      <a:off x="0" y="0"/>
                      <a:ext cx="5830992" cy="4309864"/>
                    </a:xfrm>
                    <a:prstGeom prst="rect">
                      <a:avLst/>
                    </a:prstGeom>
                    <a:noFill/>
                    <a:ln>
                      <a:noFill/>
                    </a:ln>
                  </pic:spPr>
                </pic:pic>
              </a:graphicData>
            </a:graphic>
          </wp:inline>
        </w:drawing>
      </w:r>
    </w:p>
    <w:p w14:paraId="4526DB83" w14:textId="2C06E32F" w:rsidR="0060531A" w:rsidRPr="00593EEF" w:rsidRDefault="00BB0D72" w:rsidP="00BB0D72">
      <w:pPr>
        <w:pStyle w:val="Legend"/>
        <w:jc w:val="center"/>
        <w:rPr>
          <w:rFonts w:ascii="Arial" w:eastAsia="Arial" w:hAnsi="Arial" w:cs="Arial"/>
          <w:i w:val="0"/>
          <w:iCs w:val="0"/>
          <w:color w:val="1F497D"/>
          <w:sz w:val="22"/>
          <w:szCs w:val="22"/>
        </w:rPr>
      </w:pPr>
      <w:bookmarkStart w:id="459" w:name="_Toc68361034"/>
      <w:bookmarkStart w:id="460" w:name="_Toc140744526"/>
      <w:r w:rsidRPr="00BB0D72">
        <w:rPr>
          <w:rFonts w:ascii="Arial" w:hAnsi="Arial" w:cs="Arial"/>
          <w:sz w:val="22"/>
          <w:szCs w:val="22"/>
        </w:rPr>
        <w:t xml:space="preserve">Figura I.7. </w:t>
      </w:r>
      <w:r w:rsidRPr="00BB0D72">
        <w:rPr>
          <w:rFonts w:ascii="Arial" w:hAnsi="Arial" w:cs="Arial"/>
          <w:sz w:val="22"/>
          <w:szCs w:val="22"/>
        </w:rPr>
        <w:fldChar w:fldCharType="begin"/>
      </w:r>
      <w:r w:rsidRPr="00BB0D72">
        <w:rPr>
          <w:rFonts w:ascii="Arial" w:hAnsi="Arial" w:cs="Arial"/>
          <w:sz w:val="22"/>
          <w:szCs w:val="22"/>
        </w:rPr>
        <w:instrText xml:space="preserve"> SEQ Figura_I.7. \* ARABIC </w:instrText>
      </w:r>
      <w:r w:rsidRPr="00BB0D72">
        <w:rPr>
          <w:rFonts w:ascii="Arial" w:hAnsi="Arial" w:cs="Arial"/>
          <w:sz w:val="22"/>
          <w:szCs w:val="22"/>
        </w:rPr>
        <w:fldChar w:fldCharType="separate"/>
      </w:r>
      <w:r w:rsidR="00BB181C">
        <w:rPr>
          <w:rFonts w:ascii="Arial" w:hAnsi="Arial" w:cs="Arial"/>
          <w:noProof/>
          <w:sz w:val="22"/>
          <w:szCs w:val="22"/>
        </w:rPr>
        <w:t>1</w:t>
      </w:r>
      <w:r w:rsidRPr="00BB0D72">
        <w:rPr>
          <w:rFonts w:ascii="Arial" w:hAnsi="Arial" w:cs="Arial"/>
          <w:sz w:val="22"/>
          <w:szCs w:val="22"/>
        </w:rPr>
        <w:fldChar w:fldCharType="end"/>
      </w:r>
      <w:r w:rsidRPr="00BB0D72">
        <w:rPr>
          <w:rFonts w:ascii="Arial" w:hAnsi="Arial" w:cs="Arial"/>
          <w:sz w:val="22"/>
          <w:szCs w:val="22"/>
        </w:rPr>
        <w:t xml:space="preserve"> </w:t>
      </w:r>
      <w:r w:rsidR="0060531A" w:rsidRPr="00593EEF">
        <w:rPr>
          <w:rFonts w:ascii="Arial" w:hAnsi="Arial" w:cs="Arial"/>
          <w:i w:val="0"/>
          <w:iCs w:val="0"/>
          <w:color w:val="1F497D"/>
          <w:sz w:val="22"/>
          <w:szCs w:val="22"/>
        </w:rPr>
        <w:t xml:space="preserve">- </w:t>
      </w:r>
      <w:r w:rsidR="0060531A" w:rsidRPr="00593EEF">
        <w:rPr>
          <w:rFonts w:ascii="Arial" w:eastAsia="Arial" w:hAnsi="Arial" w:cs="Arial"/>
          <w:i w:val="0"/>
          <w:iCs w:val="0"/>
          <w:color w:val="1F497D"/>
          <w:sz w:val="22"/>
          <w:szCs w:val="22"/>
        </w:rPr>
        <w:t>Niveluri de serviciu ora de vârf AM orizont 2027 Scenariul 1</w:t>
      </w:r>
      <w:bookmarkEnd w:id="459"/>
      <w:bookmarkEnd w:id="460"/>
    </w:p>
    <w:p w14:paraId="7EBFF765" w14:textId="77777777" w:rsidR="0060531A" w:rsidRPr="0060531A" w:rsidRDefault="0060531A" w:rsidP="0060531A">
      <w:pPr>
        <w:rPr>
          <w:rFonts w:ascii="Calibri" w:hAnsi="Calibri" w:cs="Times New Roman"/>
        </w:rPr>
      </w:pPr>
    </w:p>
    <w:p w14:paraId="2582D07C" w14:textId="77777777" w:rsidR="0060531A" w:rsidRPr="0060531A" w:rsidRDefault="0060531A" w:rsidP="0060531A">
      <w:pPr>
        <w:rPr>
          <w:rFonts w:ascii="Calibri" w:hAnsi="Calibri" w:cs="Times New Roman"/>
        </w:rPr>
      </w:pPr>
    </w:p>
    <w:p w14:paraId="2684E304" w14:textId="30A694F8" w:rsidR="0060531A" w:rsidRPr="0060531A" w:rsidRDefault="00593EEF" w:rsidP="0060531A">
      <w:pPr>
        <w:jc w:val="center"/>
        <w:rPr>
          <w:rFonts w:ascii="Calibri" w:hAnsi="Calibri" w:cs="Times New Roman"/>
        </w:rPr>
      </w:pPr>
      <w:r w:rsidRPr="00593EEF">
        <w:rPr>
          <w:rFonts w:ascii="Calibri" w:eastAsia="Arial" w:hAnsi="Calibri" w:cs="Arial"/>
          <w:noProof/>
          <w:sz w:val="24"/>
        </w:rPr>
        <w:lastRenderedPageBreak/>
        <w:drawing>
          <wp:inline distT="0" distB="0" distL="0" distR="0" wp14:anchorId="01ADBF8C" wp14:editId="0199FBFC">
            <wp:extent cx="5008656" cy="3702050"/>
            <wp:effectExtent l="0" t="0" r="1905" b="0"/>
            <wp:docPr id="113"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ine 28"/>
                    <pic:cNvPicPr>
                      <a:picLocks noChangeAspect="1" noChangeArrowheads="1"/>
                    </pic:cNvPicPr>
                  </pic:nvPicPr>
                  <pic:blipFill>
                    <a:blip r:embed="rId222" cstate="print">
                      <a:extLst>
                        <a:ext uri="{28A0092B-C50C-407E-A947-70E740481C1C}">
                          <a14:useLocalDpi xmlns:a14="http://schemas.microsoft.com/office/drawing/2010/main" val="0"/>
                        </a:ext>
                      </a:extLst>
                    </a:blip>
                    <a:stretch>
                      <a:fillRect/>
                    </a:stretch>
                  </pic:blipFill>
                  <pic:spPr bwMode="auto">
                    <a:xfrm>
                      <a:off x="0" y="0"/>
                      <a:ext cx="5014131" cy="3706097"/>
                    </a:xfrm>
                    <a:prstGeom prst="rect">
                      <a:avLst/>
                    </a:prstGeom>
                    <a:noFill/>
                    <a:ln>
                      <a:noFill/>
                    </a:ln>
                  </pic:spPr>
                </pic:pic>
              </a:graphicData>
            </a:graphic>
          </wp:inline>
        </w:drawing>
      </w:r>
    </w:p>
    <w:p w14:paraId="5305CC3F" w14:textId="013309F2" w:rsidR="0060531A" w:rsidRPr="00052A28" w:rsidRDefault="00BB0D72" w:rsidP="00BB0D72">
      <w:pPr>
        <w:pStyle w:val="Legend"/>
        <w:jc w:val="center"/>
        <w:rPr>
          <w:rFonts w:ascii="Arial" w:eastAsia="Arial" w:hAnsi="Arial" w:cs="Arial"/>
          <w:i w:val="0"/>
          <w:iCs w:val="0"/>
          <w:color w:val="1F497D"/>
          <w:sz w:val="22"/>
          <w:szCs w:val="22"/>
        </w:rPr>
      </w:pPr>
      <w:bookmarkStart w:id="461" w:name="_Toc68361035"/>
      <w:bookmarkStart w:id="462" w:name="_Toc140744527"/>
      <w:r w:rsidRPr="00BB0D72">
        <w:rPr>
          <w:rFonts w:ascii="Arial" w:hAnsi="Arial" w:cs="Arial"/>
          <w:sz w:val="22"/>
          <w:szCs w:val="22"/>
        </w:rPr>
        <w:t xml:space="preserve">Figura I.7. </w:t>
      </w:r>
      <w:r w:rsidRPr="00BB0D72">
        <w:rPr>
          <w:rFonts w:ascii="Arial" w:hAnsi="Arial" w:cs="Arial"/>
          <w:sz w:val="22"/>
          <w:szCs w:val="22"/>
        </w:rPr>
        <w:fldChar w:fldCharType="begin"/>
      </w:r>
      <w:r w:rsidRPr="00BB0D72">
        <w:rPr>
          <w:rFonts w:ascii="Arial" w:hAnsi="Arial" w:cs="Arial"/>
          <w:sz w:val="22"/>
          <w:szCs w:val="22"/>
        </w:rPr>
        <w:instrText xml:space="preserve"> SEQ Figura_I.7. \* ARABIC </w:instrText>
      </w:r>
      <w:r w:rsidRPr="00BB0D72">
        <w:rPr>
          <w:rFonts w:ascii="Arial" w:hAnsi="Arial" w:cs="Arial"/>
          <w:sz w:val="22"/>
          <w:szCs w:val="22"/>
        </w:rPr>
        <w:fldChar w:fldCharType="separate"/>
      </w:r>
      <w:r w:rsidR="00BB181C">
        <w:rPr>
          <w:rFonts w:ascii="Arial" w:hAnsi="Arial" w:cs="Arial"/>
          <w:noProof/>
          <w:sz w:val="22"/>
          <w:szCs w:val="22"/>
        </w:rPr>
        <w:t>2</w:t>
      </w:r>
      <w:r w:rsidRPr="00BB0D72">
        <w:rPr>
          <w:rFonts w:ascii="Arial" w:hAnsi="Arial" w:cs="Arial"/>
          <w:sz w:val="22"/>
          <w:szCs w:val="22"/>
        </w:rPr>
        <w:fldChar w:fldCharType="end"/>
      </w:r>
      <w:r w:rsidRPr="00BB0D72">
        <w:rPr>
          <w:rFonts w:ascii="Arial" w:hAnsi="Arial" w:cs="Arial"/>
          <w:sz w:val="22"/>
          <w:szCs w:val="22"/>
        </w:rPr>
        <w:t xml:space="preserve"> </w:t>
      </w:r>
      <w:r w:rsidR="0060531A" w:rsidRPr="00593EEF">
        <w:rPr>
          <w:rFonts w:ascii="Arial" w:hAnsi="Arial" w:cs="Arial"/>
          <w:color w:val="1F497D"/>
          <w:sz w:val="22"/>
          <w:szCs w:val="22"/>
        </w:rPr>
        <w:t xml:space="preserve">- </w:t>
      </w:r>
      <w:r w:rsidR="0060531A" w:rsidRPr="00052A28">
        <w:rPr>
          <w:rFonts w:ascii="Arial" w:eastAsia="Arial" w:hAnsi="Arial" w:cs="Arial"/>
          <w:i w:val="0"/>
          <w:iCs w:val="0"/>
          <w:color w:val="1F497D"/>
          <w:sz w:val="22"/>
          <w:szCs w:val="22"/>
        </w:rPr>
        <w:t>Niveluri de serviciu ora de vârf AM orizont 2027 Scenariul 2</w:t>
      </w:r>
      <w:bookmarkEnd w:id="461"/>
      <w:bookmarkEnd w:id="462"/>
    </w:p>
    <w:p w14:paraId="207964C8" w14:textId="77777777" w:rsidR="0060531A" w:rsidRPr="0060531A" w:rsidRDefault="0060531A" w:rsidP="0060531A">
      <w:pPr>
        <w:rPr>
          <w:rFonts w:ascii="Calibri" w:hAnsi="Calibri" w:cs="Times New Roman"/>
        </w:rPr>
      </w:pPr>
    </w:p>
    <w:p w14:paraId="6C1C029A" w14:textId="77777777" w:rsidR="00A07C55" w:rsidRPr="00A07C55" w:rsidRDefault="00A07C55" w:rsidP="00A07C55"/>
    <w:p w14:paraId="099CC5C2" w14:textId="77777777" w:rsidR="004F5666" w:rsidRDefault="004F5666" w:rsidP="008F3FB4">
      <w:pPr>
        <w:pStyle w:val="Titlu4"/>
        <w:numPr>
          <w:ilvl w:val="0"/>
          <w:numId w:val="0"/>
        </w:numPr>
        <w:rPr>
          <w:rFonts w:ascii="Arial" w:hAnsi="Arial" w:cs="Arial"/>
          <w:sz w:val="22"/>
          <w:szCs w:val="22"/>
          <w:lang w:bidi="hi-IN"/>
        </w:rPr>
      </w:pPr>
      <w:r w:rsidRPr="0028563B">
        <w:rPr>
          <w:rFonts w:ascii="Arial" w:hAnsi="Arial" w:cs="Arial"/>
          <w:sz w:val="22"/>
          <w:szCs w:val="22"/>
          <w:lang w:bidi="hi-IN"/>
        </w:rPr>
        <w:t>I.7.1.1.2 Parametri ora de vârf PM orizont 2027</w:t>
      </w:r>
    </w:p>
    <w:p w14:paraId="5E5B6809" w14:textId="77777777" w:rsidR="0060531A" w:rsidRPr="0060531A" w:rsidRDefault="0060531A" w:rsidP="0060531A">
      <w:pPr>
        <w:widowControl w:val="0"/>
        <w:suppressAutoHyphens/>
        <w:spacing w:after="0" w:line="360" w:lineRule="auto"/>
        <w:rPr>
          <w:rFonts w:ascii="Arial" w:hAnsi="Arial" w:cs="Mangal"/>
          <w:kern w:val="1"/>
          <w:lang w:val="ro-RO" w:eastAsia="hi-IN" w:bidi="hi-IN"/>
        </w:rPr>
      </w:pPr>
      <w:r w:rsidRPr="0060531A">
        <w:rPr>
          <w:rFonts w:ascii="Arial" w:hAnsi="Arial" w:cs="Mangal"/>
          <w:kern w:val="1"/>
          <w:lang w:val="ro-RO" w:eastAsia="hi-IN" w:bidi="hi-IN"/>
        </w:rPr>
        <w:t>La nivel de rețea se obțin următoarele date:</w:t>
      </w:r>
    </w:p>
    <w:p w14:paraId="73B302D3" w14:textId="323AEB2F" w:rsidR="0060531A" w:rsidRPr="0040078C" w:rsidRDefault="0040078C" w:rsidP="0040078C">
      <w:pPr>
        <w:pStyle w:val="Legend"/>
        <w:jc w:val="center"/>
        <w:rPr>
          <w:rFonts w:ascii="Arial" w:hAnsi="Arial" w:cs="Arial"/>
          <w:i w:val="0"/>
          <w:iCs w:val="0"/>
          <w:color w:val="1F497D"/>
          <w:kern w:val="1"/>
          <w:sz w:val="22"/>
          <w:szCs w:val="22"/>
          <w:lang w:val="ro-RO" w:eastAsia="hi-IN" w:bidi="hi-IN"/>
        </w:rPr>
      </w:pPr>
      <w:bookmarkStart w:id="463" w:name="_Toc68361272"/>
      <w:bookmarkStart w:id="464" w:name="_Toc96463900"/>
      <w:r w:rsidRPr="0040078C">
        <w:rPr>
          <w:rFonts w:ascii="Arial" w:hAnsi="Arial" w:cs="Arial"/>
          <w:sz w:val="22"/>
          <w:szCs w:val="22"/>
        </w:rPr>
        <w:t xml:space="preserve">Tabel I.7. </w:t>
      </w:r>
      <w:r w:rsidRPr="0040078C">
        <w:rPr>
          <w:rFonts w:ascii="Arial" w:hAnsi="Arial" w:cs="Arial"/>
          <w:sz w:val="22"/>
          <w:szCs w:val="22"/>
        </w:rPr>
        <w:fldChar w:fldCharType="begin"/>
      </w:r>
      <w:r w:rsidRPr="0040078C">
        <w:rPr>
          <w:rFonts w:ascii="Arial" w:hAnsi="Arial" w:cs="Arial"/>
          <w:sz w:val="22"/>
          <w:szCs w:val="22"/>
        </w:rPr>
        <w:instrText xml:space="preserve"> SEQ Tabel_I.7. \* ARABIC </w:instrText>
      </w:r>
      <w:r w:rsidRPr="0040078C">
        <w:rPr>
          <w:rFonts w:ascii="Arial" w:hAnsi="Arial" w:cs="Arial"/>
          <w:sz w:val="22"/>
          <w:szCs w:val="22"/>
        </w:rPr>
        <w:fldChar w:fldCharType="separate"/>
      </w:r>
      <w:r w:rsidR="00BB181C">
        <w:rPr>
          <w:rFonts w:ascii="Arial" w:hAnsi="Arial" w:cs="Arial"/>
          <w:noProof/>
          <w:sz w:val="22"/>
          <w:szCs w:val="22"/>
        </w:rPr>
        <w:t>4</w:t>
      </w:r>
      <w:r w:rsidRPr="0040078C">
        <w:rPr>
          <w:rFonts w:ascii="Arial" w:hAnsi="Arial" w:cs="Arial"/>
          <w:sz w:val="22"/>
          <w:szCs w:val="22"/>
        </w:rPr>
        <w:fldChar w:fldCharType="end"/>
      </w:r>
      <w:r w:rsidRPr="0040078C">
        <w:rPr>
          <w:rFonts w:ascii="Arial" w:hAnsi="Arial" w:cs="Arial"/>
          <w:sz w:val="22"/>
          <w:szCs w:val="22"/>
        </w:rPr>
        <w:t xml:space="preserve"> </w:t>
      </w:r>
      <w:r w:rsidR="0060531A" w:rsidRPr="0040078C">
        <w:rPr>
          <w:rFonts w:ascii="Arial" w:hAnsi="Arial" w:cs="Arial"/>
          <w:color w:val="1F497D"/>
          <w:sz w:val="22"/>
          <w:szCs w:val="22"/>
        </w:rPr>
        <w:t xml:space="preserve">- </w:t>
      </w:r>
      <w:r w:rsidR="0060531A" w:rsidRPr="0040078C">
        <w:rPr>
          <w:rFonts w:ascii="Arial" w:hAnsi="Arial" w:cs="Arial"/>
          <w:i w:val="0"/>
          <w:iCs w:val="0"/>
          <w:color w:val="1F497D"/>
          <w:sz w:val="22"/>
          <w:szCs w:val="22"/>
        </w:rPr>
        <w:t>Parametri ora de vârf PM orizont 2027</w:t>
      </w:r>
      <w:bookmarkEnd w:id="463"/>
      <w:bookmarkEnd w:id="464"/>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1915"/>
        <w:gridCol w:w="1915"/>
        <w:gridCol w:w="1915"/>
      </w:tblGrid>
      <w:tr w:rsidR="00593EEF" w:rsidRPr="00593EEF" w14:paraId="61AF2F82" w14:textId="77777777" w:rsidTr="00CE76B6">
        <w:trPr>
          <w:jc w:val="center"/>
        </w:trPr>
        <w:tc>
          <w:tcPr>
            <w:tcW w:w="1250" w:type="pct"/>
            <w:shd w:val="clear" w:color="auto" w:fill="auto"/>
            <w:vAlign w:val="center"/>
          </w:tcPr>
          <w:p w14:paraId="64BD1ABB"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Parametru</w:t>
            </w:r>
          </w:p>
        </w:tc>
        <w:tc>
          <w:tcPr>
            <w:tcW w:w="1250" w:type="pct"/>
            <w:shd w:val="clear" w:color="auto" w:fill="auto"/>
            <w:vAlign w:val="center"/>
          </w:tcPr>
          <w:p w14:paraId="45B7736A"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1</w:t>
            </w:r>
          </w:p>
        </w:tc>
        <w:tc>
          <w:tcPr>
            <w:tcW w:w="1250" w:type="pct"/>
            <w:shd w:val="clear" w:color="auto" w:fill="auto"/>
            <w:vAlign w:val="center"/>
          </w:tcPr>
          <w:p w14:paraId="29D39089"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2</w:t>
            </w:r>
          </w:p>
        </w:tc>
        <w:tc>
          <w:tcPr>
            <w:tcW w:w="1250" w:type="pct"/>
            <w:shd w:val="clear" w:color="auto" w:fill="auto"/>
            <w:vAlign w:val="center"/>
          </w:tcPr>
          <w:p w14:paraId="345CA83E"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3</w:t>
            </w:r>
          </w:p>
        </w:tc>
      </w:tr>
      <w:tr w:rsidR="00593EEF" w:rsidRPr="00593EEF" w14:paraId="16194D2D" w14:textId="77777777" w:rsidTr="00CE76B6">
        <w:trPr>
          <w:jc w:val="center"/>
        </w:trPr>
        <w:tc>
          <w:tcPr>
            <w:tcW w:w="1250" w:type="pct"/>
            <w:shd w:val="clear" w:color="auto" w:fill="auto"/>
            <w:vAlign w:val="center"/>
          </w:tcPr>
          <w:p w14:paraId="18BE7807"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Viteza medie de circulație (km/h)</w:t>
            </w:r>
          </w:p>
        </w:tc>
        <w:tc>
          <w:tcPr>
            <w:tcW w:w="1250" w:type="pct"/>
            <w:shd w:val="clear" w:color="auto" w:fill="auto"/>
            <w:vAlign w:val="center"/>
          </w:tcPr>
          <w:p w14:paraId="5E0F6A4D"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29,96</w:t>
            </w:r>
          </w:p>
        </w:tc>
        <w:tc>
          <w:tcPr>
            <w:tcW w:w="1250" w:type="pct"/>
            <w:shd w:val="clear" w:color="auto" w:fill="auto"/>
            <w:vAlign w:val="center"/>
          </w:tcPr>
          <w:p w14:paraId="106DE9F0"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31,64</w:t>
            </w:r>
          </w:p>
        </w:tc>
        <w:tc>
          <w:tcPr>
            <w:tcW w:w="1250" w:type="pct"/>
            <w:shd w:val="clear" w:color="auto" w:fill="auto"/>
            <w:vAlign w:val="center"/>
          </w:tcPr>
          <w:p w14:paraId="63B4471F"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Arial"/>
                <w:color w:val="000000"/>
              </w:rPr>
              <w:t>-</w:t>
            </w:r>
          </w:p>
        </w:tc>
      </w:tr>
      <w:tr w:rsidR="00593EEF" w:rsidRPr="00593EEF" w14:paraId="753D5E3C" w14:textId="77777777" w:rsidTr="00CE76B6">
        <w:trPr>
          <w:jc w:val="center"/>
        </w:trPr>
        <w:tc>
          <w:tcPr>
            <w:tcW w:w="1250" w:type="pct"/>
            <w:shd w:val="clear" w:color="auto" w:fill="auto"/>
            <w:vAlign w:val="center"/>
          </w:tcPr>
          <w:p w14:paraId="63B273D0"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Întârzierea medie (sec)</w:t>
            </w:r>
          </w:p>
        </w:tc>
        <w:tc>
          <w:tcPr>
            <w:tcW w:w="1250" w:type="pct"/>
            <w:shd w:val="clear" w:color="auto" w:fill="auto"/>
            <w:vAlign w:val="center"/>
          </w:tcPr>
          <w:p w14:paraId="5011E2CE"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42,10</w:t>
            </w:r>
          </w:p>
        </w:tc>
        <w:tc>
          <w:tcPr>
            <w:tcW w:w="1250" w:type="pct"/>
            <w:shd w:val="clear" w:color="auto" w:fill="auto"/>
            <w:vAlign w:val="center"/>
          </w:tcPr>
          <w:p w14:paraId="5936D66C"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39,49</w:t>
            </w:r>
          </w:p>
        </w:tc>
        <w:tc>
          <w:tcPr>
            <w:tcW w:w="1250" w:type="pct"/>
            <w:shd w:val="clear" w:color="auto" w:fill="auto"/>
            <w:vAlign w:val="center"/>
          </w:tcPr>
          <w:p w14:paraId="27CCC20E"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Arial"/>
                <w:color w:val="000000"/>
              </w:rPr>
              <w:t>-</w:t>
            </w:r>
          </w:p>
        </w:tc>
      </w:tr>
      <w:tr w:rsidR="00593EEF" w:rsidRPr="00593EEF" w14:paraId="519B3F3B" w14:textId="77777777" w:rsidTr="00CE76B6">
        <w:trPr>
          <w:jc w:val="center"/>
        </w:trPr>
        <w:tc>
          <w:tcPr>
            <w:tcW w:w="1250" w:type="pct"/>
            <w:shd w:val="clear" w:color="auto" w:fill="auto"/>
            <w:vAlign w:val="center"/>
          </w:tcPr>
          <w:p w14:paraId="4E552B1E"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Consum de combustibil (litri)</w:t>
            </w:r>
          </w:p>
        </w:tc>
        <w:tc>
          <w:tcPr>
            <w:tcW w:w="1250" w:type="pct"/>
            <w:shd w:val="clear" w:color="auto" w:fill="auto"/>
            <w:vAlign w:val="center"/>
          </w:tcPr>
          <w:p w14:paraId="3463F989"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461,34</w:t>
            </w:r>
          </w:p>
        </w:tc>
        <w:tc>
          <w:tcPr>
            <w:tcW w:w="1250" w:type="pct"/>
            <w:shd w:val="clear" w:color="auto" w:fill="auto"/>
            <w:vAlign w:val="center"/>
          </w:tcPr>
          <w:p w14:paraId="7A68DC3A"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416,11</w:t>
            </w:r>
          </w:p>
        </w:tc>
        <w:tc>
          <w:tcPr>
            <w:tcW w:w="1250" w:type="pct"/>
            <w:shd w:val="clear" w:color="auto" w:fill="auto"/>
            <w:vAlign w:val="center"/>
          </w:tcPr>
          <w:p w14:paraId="23D586A5"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Arial"/>
                <w:color w:val="000000"/>
              </w:rPr>
              <w:t>-</w:t>
            </w:r>
          </w:p>
        </w:tc>
      </w:tr>
    </w:tbl>
    <w:p w14:paraId="523954D5" w14:textId="77777777" w:rsidR="0060531A" w:rsidRPr="0060531A" w:rsidRDefault="0060531A" w:rsidP="0060531A">
      <w:pPr>
        <w:widowControl w:val="0"/>
        <w:suppressAutoHyphens/>
        <w:spacing w:after="0" w:line="240" w:lineRule="auto"/>
        <w:rPr>
          <w:rFonts w:ascii="Arial" w:hAnsi="Arial" w:cs="Mangal"/>
          <w:kern w:val="1"/>
          <w:sz w:val="20"/>
          <w:szCs w:val="24"/>
          <w:lang w:val="x-none" w:eastAsia="hi-IN" w:bidi="hi-IN"/>
        </w:rPr>
      </w:pPr>
    </w:p>
    <w:p w14:paraId="7C784F0F" w14:textId="77777777" w:rsidR="0060531A" w:rsidRPr="0060531A" w:rsidRDefault="0060531A" w:rsidP="0060531A">
      <w:pPr>
        <w:widowControl w:val="0"/>
        <w:suppressAutoHyphens/>
        <w:spacing w:after="0" w:line="240" w:lineRule="auto"/>
        <w:rPr>
          <w:rFonts w:ascii="Arial" w:hAnsi="Arial" w:cs="Mangal"/>
          <w:kern w:val="1"/>
          <w:sz w:val="20"/>
          <w:szCs w:val="24"/>
          <w:lang w:val="x-none" w:eastAsia="hi-IN" w:bidi="hi-IN"/>
        </w:rPr>
      </w:pPr>
    </w:p>
    <w:p w14:paraId="2E7DF0EE" w14:textId="532FEE2B" w:rsidR="0060531A" w:rsidRPr="0060531A" w:rsidRDefault="0060531A" w:rsidP="0060531A">
      <w:pPr>
        <w:widowControl w:val="0"/>
        <w:suppressAutoHyphens/>
        <w:spacing w:after="0" w:line="276" w:lineRule="auto"/>
        <w:jc w:val="both"/>
        <w:rPr>
          <w:rFonts w:ascii="Arial" w:hAnsi="Arial" w:cs="Arial"/>
          <w:kern w:val="1"/>
          <w:lang w:val="es-ES" w:eastAsia="hi-IN" w:bidi="hi-IN"/>
        </w:rPr>
      </w:pPr>
      <w:r w:rsidRPr="0060531A">
        <w:rPr>
          <w:rFonts w:ascii="Arial" w:hAnsi="Arial" w:cs="Arial"/>
          <w:kern w:val="1"/>
          <w:lang w:val="es-ES" w:eastAsia="hi-IN" w:bidi="hi-IN"/>
        </w:rPr>
        <w:t xml:space="preserve">Analiza comparativǎ a nivelurilor de serviciu ale principalelor intersecții din </w:t>
      </w:r>
      <w:r w:rsidR="00593EEF">
        <w:rPr>
          <w:rFonts w:ascii="Arial" w:hAnsi="Arial" w:cs="Arial"/>
          <w:kern w:val="1"/>
          <w:lang w:val="es-ES" w:eastAsia="hi-IN" w:bidi="hi-IN"/>
        </w:rPr>
        <w:t>orașul Horezu</w:t>
      </w:r>
      <w:r w:rsidRPr="0060531A">
        <w:rPr>
          <w:rFonts w:ascii="Arial" w:hAnsi="Arial" w:cs="Arial"/>
          <w:kern w:val="1"/>
          <w:lang w:val="es-ES" w:eastAsia="hi-IN" w:bidi="hi-IN"/>
        </w:rPr>
        <w:t xml:space="preserve"> este prezentatǎ ȋn tabelul urmǎtor:</w:t>
      </w:r>
    </w:p>
    <w:p w14:paraId="3090A551" w14:textId="77777777" w:rsidR="0060531A" w:rsidRDefault="0060531A" w:rsidP="0060531A">
      <w:pPr>
        <w:widowControl w:val="0"/>
        <w:suppressAutoHyphens/>
        <w:spacing w:after="0" w:line="276" w:lineRule="auto"/>
        <w:jc w:val="both"/>
        <w:rPr>
          <w:rFonts w:ascii="Arial" w:hAnsi="Arial" w:cs="Arial"/>
          <w:kern w:val="1"/>
          <w:lang w:val="es-ES" w:eastAsia="hi-IN" w:bidi="hi-IN"/>
        </w:rPr>
      </w:pPr>
    </w:p>
    <w:p w14:paraId="673CEE2F" w14:textId="77777777" w:rsidR="00C36A80" w:rsidRDefault="00C36A80" w:rsidP="0060531A">
      <w:pPr>
        <w:widowControl w:val="0"/>
        <w:suppressAutoHyphens/>
        <w:spacing w:after="0" w:line="276" w:lineRule="auto"/>
        <w:jc w:val="both"/>
        <w:rPr>
          <w:rFonts w:ascii="Arial" w:hAnsi="Arial" w:cs="Arial"/>
          <w:kern w:val="1"/>
          <w:lang w:val="es-ES" w:eastAsia="hi-IN" w:bidi="hi-IN"/>
        </w:rPr>
      </w:pPr>
    </w:p>
    <w:p w14:paraId="278A6C4C" w14:textId="77777777" w:rsidR="00C36A80" w:rsidRDefault="00C36A80" w:rsidP="0060531A">
      <w:pPr>
        <w:widowControl w:val="0"/>
        <w:suppressAutoHyphens/>
        <w:spacing w:after="0" w:line="276" w:lineRule="auto"/>
        <w:jc w:val="both"/>
        <w:rPr>
          <w:rFonts w:ascii="Arial" w:hAnsi="Arial" w:cs="Arial"/>
          <w:kern w:val="1"/>
          <w:lang w:val="es-ES" w:eastAsia="hi-IN" w:bidi="hi-IN"/>
        </w:rPr>
      </w:pPr>
    </w:p>
    <w:p w14:paraId="046976AE" w14:textId="77777777" w:rsidR="00C36A80" w:rsidRPr="0060531A" w:rsidRDefault="00C36A80" w:rsidP="0060531A">
      <w:pPr>
        <w:widowControl w:val="0"/>
        <w:suppressAutoHyphens/>
        <w:spacing w:after="0" w:line="276" w:lineRule="auto"/>
        <w:jc w:val="both"/>
        <w:rPr>
          <w:rFonts w:ascii="Arial" w:hAnsi="Arial" w:cs="Arial"/>
          <w:kern w:val="1"/>
          <w:lang w:val="es-ES" w:eastAsia="hi-IN" w:bidi="hi-IN"/>
        </w:rPr>
      </w:pPr>
    </w:p>
    <w:p w14:paraId="3822D983" w14:textId="34F11146" w:rsidR="0060531A" w:rsidRPr="0060531A" w:rsidRDefault="00BB0D72" w:rsidP="0060531A">
      <w:pPr>
        <w:spacing w:after="200" w:line="240" w:lineRule="auto"/>
        <w:jc w:val="center"/>
        <w:rPr>
          <w:rFonts w:ascii="Arial" w:hAnsi="Arial" w:cs="Arial"/>
          <w:color w:val="1F497D"/>
          <w:kern w:val="1"/>
          <w:lang w:val="es-ES" w:eastAsia="hi-IN" w:bidi="hi-IN"/>
        </w:rPr>
      </w:pPr>
      <w:bookmarkStart w:id="465" w:name="_Toc68361273"/>
      <w:bookmarkStart w:id="466" w:name="_Toc96463901"/>
      <w:r w:rsidRPr="00593EEF">
        <w:rPr>
          <w:rFonts w:ascii="Arial" w:hAnsi="Arial" w:cs="Arial"/>
          <w:i/>
          <w:iCs/>
          <w:color w:val="1F497D"/>
        </w:rPr>
        <w:lastRenderedPageBreak/>
        <w:t>Tabel I.7.</w:t>
      </w:r>
      <w:r w:rsidR="0060531A" w:rsidRPr="00593EEF">
        <w:rPr>
          <w:rFonts w:ascii="Arial" w:hAnsi="Arial" w:cs="Arial"/>
          <w:i/>
          <w:iCs/>
          <w:color w:val="1F497D"/>
        </w:rPr>
        <w:t xml:space="preserve"> </w:t>
      </w:r>
      <w:r w:rsidRPr="00593EEF">
        <w:rPr>
          <w:rFonts w:ascii="Arial" w:hAnsi="Arial" w:cs="Arial"/>
          <w:i/>
          <w:iCs/>
          <w:color w:val="1F497D"/>
        </w:rPr>
        <w:fldChar w:fldCharType="begin"/>
      </w:r>
      <w:r w:rsidRPr="00593EEF">
        <w:rPr>
          <w:rFonts w:ascii="Arial" w:hAnsi="Arial" w:cs="Arial"/>
          <w:i/>
          <w:iCs/>
          <w:color w:val="1F497D"/>
        </w:rPr>
        <w:instrText xml:space="preserve"> SEQ Tabel_I.7. \* ARABIC </w:instrText>
      </w:r>
      <w:r w:rsidRPr="00593EEF">
        <w:rPr>
          <w:rFonts w:ascii="Arial" w:hAnsi="Arial" w:cs="Arial"/>
          <w:i/>
          <w:iCs/>
          <w:color w:val="1F497D"/>
        </w:rPr>
        <w:fldChar w:fldCharType="separate"/>
      </w:r>
      <w:r w:rsidR="00BB181C">
        <w:rPr>
          <w:rFonts w:ascii="Arial" w:hAnsi="Arial" w:cs="Arial"/>
          <w:i/>
          <w:iCs/>
          <w:noProof/>
          <w:color w:val="1F497D"/>
        </w:rPr>
        <w:t>5</w:t>
      </w:r>
      <w:r w:rsidRPr="00593EEF">
        <w:rPr>
          <w:rFonts w:ascii="Arial" w:hAnsi="Arial" w:cs="Arial"/>
          <w:i/>
          <w:iCs/>
          <w:color w:val="1F497D"/>
        </w:rPr>
        <w:fldChar w:fldCharType="end"/>
      </w:r>
      <w:r w:rsidR="0060531A" w:rsidRPr="00593EEF">
        <w:rPr>
          <w:rFonts w:ascii="Arial" w:hAnsi="Arial" w:cs="Arial"/>
          <w:i/>
          <w:iCs/>
          <w:color w:val="1F497D"/>
        </w:rPr>
        <w:t xml:space="preserve"> - </w:t>
      </w:r>
      <w:r w:rsidR="0060531A" w:rsidRPr="00593EEF">
        <w:rPr>
          <w:rFonts w:ascii="Arial" w:hAnsi="Arial" w:cs="Arial"/>
          <w:color w:val="1F497D"/>
        </w:rPr>
        <w:t>Niveluri de serviciu ora de vârf PM orizont 2027</w:t>
      </w:r>
      <w:bookmarkEnd w:id="465"/>
      <w:bookmarkEnd w:id="466"/>
    </w:p>
    <w:tbl>
      <w:tblPr>
        <w:tblW w:w="8733" w:type="dxa"/>
        <w:jc w:val="center"/>
        <w:tblLook w:val="04A0" w:firstRow="1" w:lastRow="0" w:firstColumn="1" w:lastColumn="0" w:noHBand="0" w:noVBand="1"/>
      </w:tblPr>
      <w:tblGrid>
        <w:gridCol w:w="983"/>
        <w:gridCol w:w="2835"/>
        <w:gridCol w:w="1754"/>
        <w:gridCol w:w="1701"/>
        <w:gridCol w:w="1460"/>
      </w:tblGrid>
      <w:tr w:rsidR="00593EEF" w:rsidRPr="00593EEF" w14:paraId="27F878EA" w14:textId="77777777" w:rsidTr="00593EEF">
        <w:trPr>
          <w:trHeight w:hRule="exact" w:val="324"/>
          <w:tblHeader/>
          <w:jc w:val="center"/>
        </w:trPr>
        <w:tc>
          <w:tcPr>
            <w:tcW w:w="983" w:type="dxa"/>
            <w:tcBorders>
              <w:top w:val="single" w:sz="8" w:space="0" w:color="000000"/>
              <w:left w:val="single" w:sz="8" w:space="0" w:color="000000"/>
              <w:bottom w:val="single" w:sz="8" w:space="0" w:color="000000"/>
              <w:right w:val="single" w:sz="8" w:space="0" w:color="000000"/>
            </w:tcBorders>
            <w:shd w:val="clear" w:color="000000" w:fill="F1F1F1"/>
            <w:hideMark/>
          </w:tcPr>
          <w:p w14:paraId="344CF379" w14:textId="77777777" w:rsidR="00593EEF" w:rsidRPr="00593EEF" w:rsidRDefault="00593EEF" w:rsidP="00593EEF">
            <w:pPr>
              <w:jc w:val="center"/>
              <w:rPr>
                <w:rFonts w:ascii="Calibri" w:eastAsia="Times New Roman" w:hAnsi="Calibri" w:cs="Arial"/>
                <w:b/>
                <w:bCs/>
                <w:color w:val="000000"/>
                <w:sz w:val="19"/>
                <w:szCs w:val="19"/>
                <w:lang w:val="ro-RO" w:eastAsia="ro-RO"/>
              </w:rPr>
            </w:pPr>
            <w:r w:rsidRPr="00593EEF">
              <w:rPr>
                <w:rFonts w:ascii="Calibri" w:hAnsi="Calibri" w:cs="Arial"/>
                <w:b/>
                <w:bCs/>
                <w:color w:val="000000"/>
                <w:sz w:val="19"/>
                <w:szCs w:val="19"/>
                <w:lang w:val="ro-RO"/>
              </w:rPr>
              <w:t>Nr.Crt</w:t>
            </w:r>
          </w:p>
        </w:tc>
        <w:tc>
          <w:tcPr>
            <w:tcW w:w="2835" w:type="dxa"/>
            <w:tcBorders>
              <w:top w:val="single" w:sz="8" w:space="0" w:color="000000"/>
              <w:left w:val="nil"/>
              <w:bottom w:val="single" w:sz="8" w:space="0" w:color="000000"/>
              <w:right w:val="single" w:sz="8" w:space="0" w:color="000000"/>
            </w:tcBorders>
            <w:shd w:val="clear" w:color="000000" w:fill="F1F1F1"/>
            <w:hideMark/>
          </w:tcPr>
          <w:p w14:paraId="072536BD" w14:textId="77777777" w:rsidR="00593EEF" w:rsidRPr="00593EEF" w:rsidRDefault="00593EEF" w:rsidP="00593EEF">
            <w:pPr>
              <w:jc w:val="center"/>
              <w:rPr>
                <w:rFonts w:ascii="Calibri" w:eastAsia="Times New Roman" w:hAnsi="Calibri" w:cs="Arial"/>
                <w:b/>
                <w:bCs/>
                <w:color w:val="000000"/>
                <w:sz w:val="19"/>
                <w:szCs w:val="19"/>
                <w:lang w:val="ro-RO" w:eastAsia="ro-RO"/>
              </w:rPr>
            </w:pPr>
            <w:r w:rsidRPr="00593EEF">
              <w:rPr>
                <w:rFonts w:ascii="Calibri" w:hAnsi="Calibri" w:cs="Arial"/>
                <w:b/>
                <w:bCs/>
                <w:color w:val="000000"/>
                <w:sz w:val="19"/>
                <w:szCs w:val="19"/>
                <w:lang w:val="ro-RO"/>
              </w:rPr>
              <w:t>Intersectie</w:t>
            </w:r>
          </w:p>
        </w:tc>
        <w:tc>
          <w:tcPr>
            <w:tcW w:w="1754" w:type="dxa"/>
            <w:tcBorders>
              <w:top w:val="single" w:sz="8" w:space="0" w:color="000000"/>
              <w:left w:val="nil"/>
              <w:bottom w:val="single" w:sz="8" w:space="0" w:color="000000"/>
              <w:right w:val="single" w:sz="8" w:space="0" w:color="000000"/>
            </w:tcBorders>
            <w:shd w:val="clear" w:color="000000" w:fill="F1F1F1"/>
            <w:hideMark/>
          </w:tcPr>
          <w:p w14:paraId="39B1929A" w14:textId="77777777" w:rsidR="00593EEF" w:rsidRPr="00593EEF" w:rsidRDefault="00593EEF" w:rsidP="00593EEF">
            <w:pPr>
              <w:jc w:val="center"/>
              <w:rPr>
                <w:rFonts w:ascii="Calibri" w:eastAsia="Times New Roman" w:hAnsi="Calibri" w:cs="Arial"/>
                <w:b/>
                <w:bCs/>
                <w:color w:val="000000"/>
                <w:sz w:val="19"/>
                <w:szCs w:val="19"/>
                <w:lang w:val="ro-RO" w:eastAsia="ro-RO"/>
              </w:rPr>
            </w:pPr>
            <w:r w:rsidRPr="00593EEF">
              <w:rPr>
                <w:rFonts w:ascii="Calibri" w:hAnsi="Calibri" w:cs="Arial"/>
                <w:b/>
                <w:bCs/>
                <w:color w:val="000000"/>
                <w:sz w:val="19"/>
                <w:szCs w:val="19"/>
                <w:lang w:val="ro-RO"/>
              </w:rPr>
              <w:t>Scenariul 1</w:t>
            </w:r>
          </w:p>
        </w:tc>
        <w:tc>
          <w:tcPr>
            <w:tcW w:w="1701" w:type="dxa"/>
            <w:tcBorders>
              <w:top w:val="single" w:sz="8" w:space="0" w:color="000000"/>
              <w:left w:val="nil"/>
              <w:bottom w:val="single" w:sz="8" w:space="0" w:color="000000"/>
              <w:right w:val="single" w:sz="8" w:space="0" w:color="000000"/>
            </w:tcBorders>
            <w:shd w:val="clear" w:color="000000" w:fill="F1F1F1"/>
            <w:hideMark/>
          </w:tcPr>
          <w:p w14:paraId="6C5202A6" w14:textId="77777777" w:rsidR="00593EEF" w:rsidRPr="00593EEF" w:rsidRDefault="00593EEF" w:rsidP="00593EEF">
            <w:pPr>
              <w:jc w:val="center"/>
              <w:rPr>
                <w:rFonts w:ascii="Calibri" w:eastAsia="Times New Roman" w:hAnsi="Calibri" w:cs="Arial"/>
                <w:b/>
                <w:bCs/>
                <w:color w:val="000000"/>
                <w:sz w:val="19"/>
                <w:szCs w:val="19"/>
                <w:lang w:val="ro-RO" w:eastAsia="ro-RO"/>
              </w:rPr>
            </w:pPr>
            <w:r w:rsidRPr="00593EEF">
              <w:rPr>
                <w:rFonts w:ascii="Calibri" w:hAnsi="Calibri" w:cs="Arial"/>
                <w:b/>
                <w:bCs/>
                <w:color w:val="000000"/>
                <w:sz w:val="19"/>
                <w:szCs w:val="19"/>
                <w:lang w:val="ro-RO"/>
              </w:rPr>
              <w:t>Scenariul 2</w:t>
            </w:r>
          </w:p>
        </w:tc>
        <w:tc>
          <w:tcPr>
            <w:tcW w:w="1460" w:type="dxa"/>
            <w:tcBorders>
              <w:top w:val="single" w:sz="8" w:space="0" w:color="000000"/>
              <w:left w:val="nil"/>
              <w:bottom w:val="single" w:sz="8" w:space="0" w:color="000000"/>
              <w:right w:val="single" w:sz="8" w:space="0" w:color="000000"/>
            </w:tcBorders>
            <w:shd w:val="clear" w:color="000000" w:fill="F1F1F1"/>
            <w:hideMark/>
          </w:tcPr>
          <w:p w14:paraId="213C78F1" w14:textId="77777777" w:rsidR="00593EEF" w:rsidRPr="00593EEF" w:rsidRDefault="00593EEF" w:rsidP="00593EEF">
            <w:pPr>
              <w:spacing w:line="240" w:lineRule="auto"/>
              <w:jc w:val="center"/>
              <w:rPr>
                <w:rFonts w:ascii="Calibri" w:eastAsia="Times New Roman" w:hAnsi="Calibri" w:cs="Arial"/>
                <w:b/>
                <w:bCs/>
                <w:color w:val="000000"/>
                <w:sz w:val="19"/>
                <w:szCs w:val="19"/>
                <w:lang w:val="ro-RO" w:eastAsia="ro-RO"/>
              </w:rPr>
            </w:pPr>
            <w:r w:rsidRPr="00593EEF">
              <w:rPr>
                <w:rFonts w:ascii="Calibri" w:hAnsi="Calibri" w:cs="Arial"/>
                <w:b/>
                <w:bCs/>
                <w:color w:val="000000"/>
                <w:sz w:val="19"/>
                <w:szCs w:val="19"/>
                <w:lang w:val="ro-RO"/>
              </w:rPr>
              <w:t>Scenariul 3</w:t>
            </w:r>
          </w:p>
        </w:tc>
      </w:tr>
      <w:tr w:rsidR="00593EEF" w:rsidRPr="00593EEF" w14:paraId="26F48126"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024367CD"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w:t>
            </w:r>
          </w:p>
        </w:tc>
        <w:tc>
          <w:tcPr>
            <w:tcW w:w="2835" w:type="dxa"/>
            <w:tcBorders>
              <w:top w:val="nil"/>
              <w:left w:val="nil"/>
              <w:bottom w:val="single" w:sz="8" w:space="0" w:color="000000"/>
              <w:right w:val="single" w:sz="8" w:space="0" w:color="000000"/>
            </w:tcBorders>
            <w:shd w:val="clear" w:color="000000" w:fill="DCE6F1"/>
            <w:vAlign w:val="center"/>
            <w:hideMark/>
          </w:tcPr>
          <w:p w14:paraId="6EF1DF30"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 67 – DJ 665 (str. Iancu Jianu)</w:t>
            </w:r>
          </w:p>
        </w:tc>
        <w:tc>
          <w:tcPr>
            <w:tcW w:w="1754" w:type="dxa"/>
            <w:tcBorders>
              <w:top w:val="nil"/>
              <w:left w:val="nil"/>
              <w:bottom w:val="single" w:sz="8" w:space="0" w:color="000000"/>
              <w:right w:val="single" w:sz="8" w:space="0" w:color="000000"/>
            </w:tcBorders>
            <w:shd w:val="clear" w:color="000000" w:fill="DCE6F1"/>
            <w:vAlign w:val="center"/>
            <w:hideMark/>
          </w:tcPr>
          <w:p w14:paraId="500C2BB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D</w:t>
            </w:r>
          </w:p>
        </w:tc>
        <w:tc>
          <w:tcPr>
            <w:tcW w:w="1701" w:type="dxa"/>
            <w:tcBorders>
              <w:top w:val="nil"/>
              <w:left w:val="nil"/>
              <w:bottom w:val="single" w:sz="8" w:space="0" w:color="000000"/>
              <w:right w:val="single" w:sz="8" w:space="0" w:color="000000"/>
            </w:tcBorders>
            <w:shd w:val="clear" w:color="000000" w:fill="DCE6F1"/>
            <w:vAlign w:val="center"/>
            <w:hideMark/>
          </w:tcPr>
          <w:p w14:paraId="7DF64FB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000000" w:fill="DCE6F1"/>
            <w:vAlign w:val="center"/>
            <w:hideMark/>
          </w:tcPr>
          <w:p w14:paraId="6D5D14D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28899921"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0D0B65F3"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2</w:t>
            </w:r>
          </w:p>
        </w:tc>
        <w:tc>
          <w:tcPr>
            <w:tcW w:w="2835" w:type="dxa"/>
            <w:tcBorders>
              <w:top w:val="nil"/>
              <w:left w:val="nil"/>
              <w:bottom w:val="single" w:sz="8" w:space="0" w:color="000000"/>
              <w:right w:val="single" w:sz="8" w:space="0" w:color="000000"/>
            </w:tcBorders>
            <w:shd w:val="clear" w:color="auto" w:fill="auto"/>
            <w:vAlign w:val="center"/>
            <w:hideMark/>
          </w:tcPr>
          <w:p w14:paraId="0952D846"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str. Anton Pann</w:t>
            </w:r>
          </w:p>
        </w:tc>
        <w:tc>
          <w:tcPr>
            <w:tcW w:w="1754" w:type="dxa"/>
            <w:tcBorders>
              <w:top w:val="nil"/>
              <w:left w:val="nil"/>
              <w:bottom w:val="single" w:sz="8" w:space="0" w:color="000000"/>
              <w:right w:val="single" w:sz="8" w:space="0" w:color="000000"/>
            </w:tcBorders>
            <w:shd w:val="clear" w:color="auto" w:fill="auto"/>
            <w:vAlign w:val="center"/>
            <w:hideMark/>
          </w:tcPr>
          <w:p w14:paraId="4A3FA35C"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066AE78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4E40D71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75EC72D9"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41C44ACC"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3</w:t>
            </w:r>
          </w:p>
        </w:tc>
        <w:tc>
          <w:tcPr>
            <w:tcW w:w="2835" w:type="dxa"/>
            <w:tcBorders>
              <w:top w:val="nil"/>
              <w:left w:val="nil"/>
              <w:bottom w:val="single" w:sz="8" w:space="0" w:color="000000"/>
              <w:right w:val="single" w:sz="8" w:space="0" w:color="000000"/>
            </w:tcBorders>
            <w:shd w:val="clear" w:color="000000" w:fill="DCE6F1"/>
            <w:vAlign w:val="center"/>
            <w:hideMark/>
          </w:tcPr>
          <w:p w14:paraId="22765CB6"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str. Eroilor</w:t>
            </w:r>
          </w:p>
        </w:tc>
        <w:tc>
          <w:tcPr>
            <w:tcW w:w="1754" w:type="dxa"/>
            <w:tcBorders>
              <w:top w:val="nil"/>
              <w:left w:val="nil"/>
              <w:bottom w:val="single" w:sz="8" w:space="0" w:color="000000"/>
              <w:right w:val="single" w:sz="8" w:space="0" w:color="000000"/>
            </w:tcBorders>
            <w:shd w:val="clear" w:color="000000" w:fill="DCE6F1"/>
            <w:vAlign w:val="center"/>
            <w:hideMark/>
          </w:tcPr>
          <w:p w14:paraId="31CF7B7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000000" w:fill="DCE6F1"/>
            <w:vAlign w:val="center"/>
            <w:hideMark/>
          </w:tcPr>
          <w:p w14:paraId="7FC0A420"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D</w:t>
            </w:r>
          </w:p>
        </w:tc>
        <w:tc>
          <w:tcPr>
            <w:tcW w:w="1460" w:type="dxa"/>
            <w:tcBorders>
              <w:top w:val="nil"/>
              <w:left w:val="nil"/>
              <w:bottom w:val="single" w:sz="8" w:space="0" w:color="000000"/>
              <w:right w:val="single" w:sz="8" w:space="0" w:color="000000"/>
            </w:tcBorders>
            <w:shd w:val="clear" w:color="000000" w:fill="DCE6F1"/>
            <w:hideMark/>
          </w:tcPr>
          <w:p w14:paraId="1C65514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4A93FEA6"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0AFEEF6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4</w:t>
            </w:r>
          </w:p>
        </w:tc>
        <w:tc>
          <w:tcPr>
            <w:tcW w:w="2835" w:type="dxa"/>
            <w:tcBorders>
              <w:top w:val="nil"/>
              <w:left w:val="nil"/>
              <w:bottom w:val="single" w:sz="8" w:space="0" w:color="000000"/>
              <w:right w:val="single" w:sz="8" w:space="0" w:color="000000"/>
            </w:tcBorders>
            <w:shd w:val="clear" w:color="auto" w:fill="auto"/>
            <w:vAlign w:val="center"/>
            <w:hideMark/>
          </w:tcPr>
          <w:p w14:paraId="71335D4B"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DC143 - str. Nicolae Iorga</w:t>
            </w:r>
          </w:p>
        </w:tc>
        <w:tc>
          <w:tcPr>
            <w:tcW w:w="1754" w:type="dxa"/>
            <w:tcBorders>
              <w:top w:val="nil"/>
              <w:left w:val="nil"/>
              <w:bottom w:val="single" w:sz="8" w:space="0" w:color="000000"/>
              <w:right w:val="single" w:sz="8" w:space="0" w:color="000000"/>
            </w:tcBorders>
            <w:shd w:val="clear" w:color="auto" w:fill="auto"/>
            <w:vAlign w:val="center"/>
            <w:hideMark/>
          </w:tcPr>
          <w:p w14:paraId="5A8EF164"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auto" w:fill="auto"/>
            <w:vAlign w:val="center"/>
            <w:hideMark/>
          </w:tcPr>
          <w:p w14:paraId="38CF7FF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0B6C08A3"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5E701CD5"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2A9D114E"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5</w:t>
            </w:r>
          </w:p>
        </w:tc>
        <w:tc>
          <w:tcPr>
            <w:tcW w:w="2835" w:type="dxa"/>
            <w:tcBorders>
              <w:top w:val="nil"/>
              <w:left w:val="nil"/>
              <w:bottom w:val="single" w:sz="8" w:space="0" w:color="000000"/>
              <w:right w:val="single" w:sz="8" w:space="0" w:color="000000"/>
            </w:tcBorders>
            <w:shd w:val="clear" w:color="000000" w:fill="DCE6F1"/>
            <w:vAlign w:val="center"/>
            <w:hideMark/>
          </w:tcPr>
          <w:p w14:paraId="66AD9F7F"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 143 – str. Mihai Viteazu</w:t>
            </w:r>
          </w:p>
        </w:tc>
        <w:tc>
          <w:tcPr>
            <w:tcW w:w="1754" w:type="dxa"/>
            <w:tcBorders>
              <w:top w:val="nil"/>
              <w:left w:val="nil"/>
              <w:bottom w:val="single" w:sz="8" w:space="0" w:color="000000"/>
              <w:right w:val="single" w:sz="8" w:space="0" w:color="000000"/>
            </w:tcBorders>
            <w:shd w:val="clear" w:color="000000" w:fill="DCE6F1"/>
            <w:vAlign w:val="center"/>
            <w:hideMark/>
          </w:tcPr>
          <w:p w14:paraId="2DCCB3E3"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000000" w:fill="DCE6F1"/>
            <w:vAlign w:val="center"/>
            <w:hideMark/>
          </w:tcPr>
          <w:p w14:paraId="211DE2C2"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000000" w:fill="DCE6F1"/>
            <w:hideMark/>
          </w:tcPr>
          <w:p w14:paraId="1290F768"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6919455A"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0E0EFF3C"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6</w:t>
            </w:r>
          </w:p>
        </w:tc>
        <w:tc>
          <w:tcPr>
            <w:tcW w:w="2835" w:type="dxa"/>
            <w:tcBorders>
              <w:top w:val="nil"/>
              <w:left w:val="nil"/>
              <w:bottom w:val="single" w:sz="8" w:space="0" w:color="000000"/>
              <w:right w:val="single" w:sz="8" w:space="0" w:color="000000"/>
            </w:tcBorders>
            <w:shd w:val="clear" w:color="auto" w:fill="auto"/>
            <w:vAlign w:val="center"/>
            <w:hideMark/>
          </w:tcPr>
          <w:p w14:paraId="70624AD4"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Str. Căpitan Maldăr</w:t>
            </w:r>
          </w:p>
        </w:tc>
        <w:tc>
          <w:tcPr>
            <w:tcW w:w="1754" w:type="dxa"/>
            <w:tcBorders>
              <w:top w:val="nil"/>
              <w:left w:val="nil"/>
              <w:bottom w:val="single" w:sz="8" w:space="0" w:color="000000"/>
              <w:right w:val="single" w:sz="8" w:space="0" w:color="000000"/>
            </w:tcBorders>
            <w:shd w:val="clear" w:color="auto" w:fill="auto"/>
            <w:vAlign w:val="center"/>
            <w:hideMark/>
          </w:tcPr>
          <w:p w14:paraId="05DDA36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auto" w:fill="auto"/>
            <w:vAlign w:val="center"/>
            <w:hideMark/>
          </w:tcPr>
          <w:p w14:paraId="22D2479D"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C</w:t>
            </w:r>
          </w:p>
        </w:tc>
        <w:tc>
          <w:tcPr>
            <w:tcW w:w="1460" w:type="dxa"/>
            <w:tcBorders>
              <w:top w:val="nil"/>
              <w:left w:val="nil"/>
              <w:bottom w:val="single" w:sz="8" w:space="0" w:color="000000"/>
              <w:right w:val="single" w:sz="8" w:space="0" w:color="000000"/>
            </w:tcBorders>
            <w:shd w:val="clear" w:color="auto" w:fill="auto"/>
            <w:hideMark/>
          </w:tcPr>
          <w:p w14:paraId="7812176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5BA6C1AE"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098673AD"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7</w:t>
            </w:r>
          </w:p>
        </w:tc>
        <w:tc>
          <w:tcPr>
            <w:tcW w:w="2835" w:type="dxa"/>
            <w:tcBorders>
              <w:top w:val="nil"/>
              <w:left w:val="nil"/>
              <w:bottom w:val="single" w:sz="8" w:space="0" w:color="000000"/>
              <w:right w:val="single" w:sz="8" w:space="0" w:color="000000"/>
            </w:tcBorders>
            <w:shd w:val="clear" w:color="000000" w:fill="DCE6F1"/>
            <w:vAlign w:val="center"/>
            <w:hideMark/>
          </w:tcPr>
          <w:p w14:paraId="06106F7F"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 139 – DN 67 (A)</w:t>
            </w:r>
          </w:p>
        </w:tc>
        <w:tc>
          <w:tcPr>
            <w:tcW w:w="1754" w:type="dxa"/>
            <w:tcBorders>
              <w:top w:val="nil"/>
              <w:left w:val="nil"/>
              <w:bottom w:val="single" w:sz="8" w:space="0" w:color="000000"/>
              <w:right w:val="single" w:sz="8" w:space="0" w:color="000000"/>
            </w:tcBorders>
            <w:shd w:val="clear" w:color="000000" w:fill="DCE6F1"/>
            <w:vAlign w:val="center"/>
            <w:hideMark/>
          </w:tcPr>
          <w:p w14:paraId="3F91FEB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D</w:t>
            </w:r>
          </w:p>
        </w:tc>
        <w:tc>
          <w:tcPr>
            <w:tcW w:w="1701" w:type="dxa"/>
            <w:tcBorders>
              <w:top w:val="nil"/>
              <w:left w:val="nil"/>
              <w:bottom w:val="single" w:sz="8" w:space="0" w:color="000000"/>
              <w:right w:val="single" w:sz="8" w:space="0" w:color="000000"/>
            </w:tcBorders>
            <w:shd w:val="clear" w:color="000000" w:fill="DCE6F1"/>
            <w:vAlign w:val="center"/>
            <w:hideMark/>
          </w:tcPr>
          <w:p w14:paraId="5EE60A1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000000" w:fill="DCE6F1"/>
            <w:hideMark/>
          </w:tcPr>
          <w:p w14:paraId="3A1F3E53"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4A965AA0"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27610DA6"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8</w:t>
            </w:r>
          </w:p>
        </w:tc>
        <w:tc>
          <w:tcPr>
            <w:tcW w:w="2835" w:type="dxa"/>
            <w:tcBorders>
              <w:top w:val="nil"/>
              <w:left w:val="nil"/>
              <w:bottom w:val="single" w:sz="8" w:space="0" w:color="000000"/>
              <w:right w:val="single" w:sz="8" w:space="0" w:color="000000"/>
            </w:tcBorders>
            <w:shd w:val="clear" w:color="auto" w:fill="auto"/>
            <w:vAlign w:val="center"/>
            <w:hideMark/>
          </w:tcPr>
          <w:p w14:paraId="51556030"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 139 – DN 67 (B)</w:t>
            </w:r>
          </w:p>
        </w:tc>
        <w:tc>
          <w:tcPr>
            <w:tcW w:w="1754" w:type="dxa"/>
            <w:tcBorders>
              <w:top w:val="nil"/>
              <w:left w:val="nil"/>
              <w:bottom w:val="single" w:sz="8" w:space="0" w:color="000000"/>
              <w:right w:val="single" w:sz="8" w:space="0" w:color="000000"/>
            </w:tcBorders>
            <w:shd w:val="clear" w:color="auto" w:fill="auto"/>
            <w:vAlign w:val="center"/>
            <w:hideMark/>
          </w:tcPr>
          <w:p w14:paraId="5357E4D5"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auto" w:fill="auto"/>
            <w:vAlign w:val="center"/>
            <w:hideMark/>
          </w:tcPr>
          <w:p w14:paraId="6DF29F96"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D</w:t>
            </w:r>
          </w:p>
        </w:tc>
        <w:tc>
          <w:tcPr>
            <w:tcW w:w="1460" w:type="dxa"/>
            <w:tcBorders>
              <w:top w:val="nil"/>
              <w:left w:val="nil"/>
              <w:bottom w:val="single" w:sz="8" w:space="0" w:color="000000"/>
              <w:right w:val="single" w:sz="8" w:space="0" w:color="000000"/>
            </w:tcBorders>
            <w:shd w:val="clear" w:color="auto" w:fill="auto"/>
            <w:hideMark/>
          </w:tcPr>
          <w:p w14:paraId="0FE1200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63496D9C"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051F7ACE"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9</w:t>
            </w:r>
          </w:p>
        </w:tc>
        <w:tc>
          <w:tcPr>
            <w:tcW w:w="2835" w:type="dxa"/>
            <w:tcBorders>
              <w:top w:val="nil"/>
              <w:left w:val="nil"/>
              <w:bottom w:val="single" w:sz="8" w:space="0" w:color="000000"/>
              <w:right w:val="single" w:sz="8" w:space="0" w:color="000000"/>
            </w:tcBorders>
            <w:shd w:val="clear" w:color="000000" w:fill="DCE6F1"/>
            <w:vAlign w:val="center"/>
            <w:hideMark/>
          </w:tcPr>
          <w:p w14:paraId="23B6D9AD"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Str. Zăvoiului</w:t>
            </w:r>
          </w:p>
        </w:tc>
        <w:tc>
          <w:tcPr>
            <w:tcW w:w="1754" w:type="dxa"/>
            <w:tcBorders>
              <w:top w:val="nil"/>
              <w:left w:val="nil"/>
              <w:bottom w:val="single" w:sz="8" w:space="0" w:color="000000"/>
              <w:right w:val="single" w:sz="8" w:space="0" w:color="000000"/>
            </w:tcBorders>
            <w:shd w:val="clear" w:color="000000" w:fill="DCE6F1"/>
            <w:vAlign w:val="center"/>
            <w:hideMark/>
          </w:tcPr>
          <w:p w14:paraId="38C9751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C</w:t>
            </w:r>
          </w:p>
        </w:tc>
        <w:tc>
          <w:tcPr>
            <w:tcW w:w="1701" w:type="dxa"/>
            <w:tcBorders>
              <w:top w:val="nil"/>
              <w:left w:val="nil"/>
              <w:bottom w:val="single" w:sz="8" w:space="0" w:color="000000"/>
              <w:right w:val="single" w:sz="8" w:space="0" w:color="000000"/>
            </w:tcBorders>
            <w:shd w:val="clear" w:color="000000" w:fill="DCE6F1"/>
            <w:vAlign w:val="center"/>
            <w:hideMark/>
          </w:tcPr>
          <w:p w14:paraId="239E233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E</w:t>
            </w:r>
          </w:p>
        </w:tc>
        <w:tc>
          <w:tcPr>
            <w:tcW w:w="1460" w:type="dxa"/>
            <w:tcBorders>
              <w:top w:val="nil"/>
              <w:left w:val="nil"/>
              <w:bottom w:val="single" w:sz="8" w:space="0" w:color="000000"/>
              <w:right w:val="single" w:sz="8" w:space="0" w:color="000000"/>
            </w:tcBorders>
            <w:shd w:val="clear" w:color="000000" w:fill="DCE6F1"/>
            <w:hideMark/>
          </w:tcPr>
          <w:p w14:paraId="04B9B460"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1E6380C7"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12FEF65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10</w:t>
            </w:r>
          </w:p>
        </w:tc>
        <w:tc>
          <w:tcPr>
            <w:tcW w:w="2835" w:type="dxa"/>
            <w:tcBorders>
              <w:top w:val="nil"/>
              <w:left w:val="nil"/>
              <w:bottom w:val="single" w:sz="8" w:space="0" w:color="000000"/>
              <w:right w:val="single" w:sz="8" w:space="0" w:color="000000"/>
            </w:tcBorders>
            <w:shd w:val="clear" w:color="auto" w:fill="auto"/>
            <w:vAlign w:val="center"/>
            <w:hideMark/>
          </w:tcPr>
          <w:p w14:paraId="5A3DBE20"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 xml:space="preserve"> DC 142 – str. Matei Basarab</w:t>
            </w:r>
          </w:p>
        </w:tc>
        <w:tc>
          <w:tcPr>
            <w:tcW w:w="1754" w:type="dxa"/>
            <w:tcBorders>
              <w:top w:val="nil"/>
              <w:left w:val="nil"/>
              <w:bottom w:val="single" w:sz="8" w:space="0" w:color="000000"/>
              <w:right w:val="single" w:sz="8" w:space="0" w:color="000000"/>
            </w:tcBorders>
            <w:shd w:val="clear" w:color="auto" w:fill="auto"/>
            <w:vAlign w:val="center"/>
            <w:hideMark/>
          </w:tcPr>
          <w:p w14:paraId="0DB3ACE4"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40FC6372"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2D7FE43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2C54E2D1"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6A5027DC"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11</w:t>
            </w:r>
          </w:p>
        </w:tc>
        <w:tc>
          <w:tcPr>
            <w:tcW w:w="2835" w:type="dxa"/>
            <w:tcBorders>
              <w:top w:val="nil"/>
              <w:left w:val="nil"/>
              <w:bottom w:val="single" w:sz="8" w:space="0" w:color="000000"/>
              <w:right w:val="single" w:sz="8" w:space="0" w:color="000000"/>
            </w:tcBorders>
            <w:shd w:val="clear" w:color="000000" w:fill="DCE6F1"/>
            <w:vAlign w:val="center"/>
            <w:hideMark/>
          </w:tcPr>
          <w:p w14:paraId="20160D66"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DN67 - George Coșbuc</w:t>
            </w:r>
          </w:p>
        </w:tc>
        <w:tc>
          <w:tcPr>
            <w:tcW w:w="1754" w:type="dxa"/>
            <w:tcBorders>
              <w:top w:val="nil"/>
              <w:left w:val="nil"/>
              <w:bottom w:val="single" w:sz="8" w:space="0" w:color="000000"/>
              <w:right w:val="single" w:sz="8" w:space="0" w:color="000000"/>
            </w:tcBorders>
            <w:shd w:val="clear" w:color="000000" w:fill="DCE6F1"/>
            <w:vAlign w:val="center"/>
            <w:hideMark/>
          </w:tcPr>
          <w:p w14:paraId="090CB9CE"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000000" w:fill="DCE6F1"/>
            <w:vAlign w:val="center"/>
            <w:hideMark/>
          </w:tcPr>
          <w:p w14:paraId="4840CCB5"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D</w:t>
            </w:r>
          </w:p>
        </w:tc>
        <w:tc>
          <w:tcPr>
            <w:tcW w:w="1460" w:type="dxa"/>
            <w:tcBorders>
              <w:top w:val="nil"/>
              <w:left w:val="nil"/>
              <w:bottom w:val="single" w:sz="8" w:space="0" w:color="000000"/>
              <w:right w:val="single" w:sz="8" w:space="0" w:color="000000"/>
            </w:tcBorders>
            <w:shd w:val="clear" w:color="000000" w:fill="DCE6F1"/>
            <w:hideMark/>
          </w:tcPr>
          <w:p w14:paraId="78FA106B"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244A8217"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4F8E2ED6"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12</w:t>
            </w:r>
          </w:p>
        </w:tc>
        <w:tc>
          <w:tcPr>
            <w:tcW w:w="2835" w:type="dxa"/>
            <w:tcBorders>
              <w:top w:val="nil"/>
              <w:left w:val="nil"/>
              <w:bottom w:val="single" w:sz="8" w:space="0" w:color="000000"/>
              <w:right w:val="single" w:sz="8" w:space="0" w:color="000000"/>
            </w:tcBorders>
            <w:shd w:val="clear" w:color="auto" w:fill="auto"/>
            <w:vAlign w:val="center"/>
            <w:hideMark/>
          </w:tcPr>
          <w:p w14:paraId="1CA7A973"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DC 143 – str. Mihai Viteazu</w:t>
            </w:r>
          </w:p>
        </w:tc>
        <w:tc>
          <w:tcPr>
            <w:tcW w:w="1754" w:type="dxa"/>
            <w:tcBorders>
              <w:top w:val="nil"/>
              <w:left w:val="nil"/>
              <w:bottom w:val="single" w:sz="8" w:space="0" w:color="000000"/>
              <w:right w:val="single" w:sz="8" w:space="0" w:color="000000"/>
            </w:tcBorders>
            <w:shd w:val="clear" w:color="auto" w:fill="auto"/>
            <w:vAlign w:val="center"/>
            <w:hideMark/>
          </w:tcPr>
          <w:p w14:paraId="671C7538"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49C9DA62"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5FCBB0CD"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434C8198"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9E1F2"/>
            <w:vAlign w:val="center"/>
            <w:hideMark/>
          </w:tcPr>
          <w:p w14:paraId="596D691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13</w:t>
            </w:r>
          </w:p>
        </w:tc>
        <w:tc>
          <w:tcPr>
            <w:tcW w:w="2835" w:type="dxa"/>
            <w:tcBorders>
              <w:top w:val="nil"/>
              <w:left w:val="nil"/>
              <w:bottom w:val="single" w:sz="8" w:space="0" w:color="000000"/>
              <w:right w:val="single" w:sz="8" w:space="0" w:color="000000"/>
            </w:tcBorders>
            <w:shd w:val="clear" w:color="000000" w:fill="D9E1F2"/>
            <w:vAlign w:val="center"/>
            <w:hideMark/>
          </w:tcPr>
          <w:p w14:paraId="5566B003"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 xml:space="preserve"> DN 67 – str. Stadionului</w:t>
            </w:r>
          </w:p>
        </w:tc>
        <w:tc>
          <w:tcPr>
            <w:tcW w:w="1754" w:type="dxa"/>
            <w:tcBorders>
              <w:top w:val="nil"/>
              <w:left w:val="nil"/>
              <w:bottom w:val="single" w:sz="8" w:space="0" w:color="000000"/>
              <w:right w:val="single" w:sz="8" w:space="0" w:color="000000"/>
            </w:tcBorders>
            <w:shd w:val="clear" w:color="000000" w:fill="D9E1F2"/>
            <w:vAlign w:val="center"/>
            <w:hideMark/>
          </w:tcPr>
          <w:p w14:paraId="5F7B568E"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B</w:t>
            </w:r>
          </w:p>
        </w:tc>
        <w:tc>
          <w:tcPr>
            <w:tcW w:w="1701" w:type="dxa"/>
            <w:tcBorders>
              <w:top w:val="nil"/>
              <w:left w:val="nil"/>
              <w:bottom w:val="single" w:sz="8" w:space="0" w:color="000000"/>
              <w:right w:val="single" w:sz="8" w:space="0" w:color="000000"/>
            </w:tcBorders>
            <w:shd w:val="clear" w:color="000000" w:fill="D9E1F2"/>
            <w:vAlign w:val="center"/>
            <w:hideMark/>
          </w:tcPr>
          <w:p w14:paraId="19B45BE8"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B</w:t>
            </w:r>
          </w:p>
        </w:tc>
        <w:tc>
          <w:tcPr>
            <w:tcW w:w="1460" w:type="dxa"/>
            <w:tcBorders>
              <w:top w:val="nil"/>
              <w:left w:val="nil"/>
              <w:bottom w:val="single" w:sz="8" w:space="0" w:color="000000"/>
              <w:right w:val="single" w:sz="8" w:space="0" w:color="000000"/>
            </w:tcBorders>
            <w:shd w:val="clear" w:color="000000" w:fill="D9E1F2"/>
            <w:hideMark/>
          </w:tcPr>
          <w:p w14:paraId="37369059"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2FD58F7A" w14:textId="77777777" w:rsidTr="00CE76B6">
        <w:trPr>
          <w:trHeight w:hRule="exact" w:val="472"/>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69148732"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14</w:t>
            </w:r>
          </w:p>
        </w:tc>
        <w:tc>
          <w:tcPr>
            <w:tcW w:w="2835" w:type="dxa"/>
            <w:tcBorders>
              <w:top w:val="nil"/>
              <w:left w:val="nil"/>
              <w:bottom w:val="single" w:sz="8" w:space="0" w:color="000000"/>
              <w:right w:val="single" w:sz="8" w:space="0" w:color="000000"/>
            </w:tcBorders>
            <w:shd w:val="clear" w:color="auto" w:fill="auto"/>
            <w:vAlign w:val="center"/>
            <w:hideMark/>
          </w:tcPr>
          <w:p w14:paraId="53938758"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 xml:space="preserve"> DC 144 – str. spre Romanii de Sus (Stejarului)</w:t>
            </w:r>
          </w:p>
        </w:tc>
        <w:tc>
          <w:tcPr>
            <w:tcW w:w="1754" w:type="dxa"/>
            <w:tcBorders>
              <w:top w:val="nil"/>
              <w:left w:val="nil"/>
              <w:bottom w:val="single" w:sz="8" w:space="0" w:color="000000"/>
              <w:right w:val="single" w:sz="8" w:space="0" w:color="000000"/>
            </w:tcBorders>
            <w:shd w:val="clear" w:color="auto" w:fill="auto"/>
            <w:vAlign w:val="center"/>
            <w:hideMark/>
          </w:tcPr>
          <w:p w14:paraId="5DBC1050"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12CAA2A2"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02CDE4F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41D2BF82"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9E1F2"/>
            <w:vAlign w:val="center"/>
            <w:hideMark/>
          </w:tcPr>
          <w:p w14:paraId="2EEE1A8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15</w:t>
            </w:r>
          </w:p>
        </w:tc>
        <w:tc>
          <w:tcPr>
            <w:tcW w:w="2835" w:type="dxa"/>
            <w:tcBorders>
              <w:top w:val="nil"/>
              <w:left w:val="nil"/>
              <w:bottom w:val="single" w:sz="8" w:space="0" w:color="000000"/>
              <w:right w:val="single" w:sz="8" w:space="0" w:color="000000"/>
            </w:tcBorders>
            <w:shd w:val="clear" w:color="000000" w:fill="D9E1F2"/>
            <w:vAlign w:val="center"/>
            <w:hideMark/>
          </w:tcPr>
          <w:p w14:paraId="7F7DA541"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DJ 669 – str. Manastirii</w:t>
            </w:r>
          </w:p>
        </w:tc>
        <w:tc>
          <w:tcPr>
            <w:tcW w:w="1754" w:type="dxa"/>
            <w:tcBorders>
              <w:top w:val="nil"/>
              <w:left w:val="nil"/>
              <w:bottom w:val="single" w:sz="8" w:space="0" w:color="000000"/>
              <w:right w:val="single" w:sz="8" w:space="0" w:color="000000"/>
            </w:tcBorders>
            <w:shd w:val="clear" w:color="000000" w:fill="D9E1F2"/>
            <w:vAlign w:val="center"/>
            <w:hideMark/>
          </w:tcPr>
          <w:p w14:paraId="1239AF7E"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000000" w:fill="D9E1F2"/>
            <w:vAlign w:val="center"/>
            <w:hideMark/>
          </w:tcPr>
          <w:p w14:paraId="4A0E386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B</w:t>
            </w:r>
          </w:p>
        </w:tc>
        <w:tc>
          <w:tcPr>
            <w:tcW w:w="1460" w:type="dxa"/>
            <w:tcBorders>
              <w:top w:val="nil"/>
              <w:left w:val="nil"/>
              <w:bottom w:val="single" w:sz="8" w:space="0" w:color="000000"/>
              <w:right w:val="single" w:sz="8" w:space="0" w:color="000000"/>
            </w:tcBorders>
            <w:shd w:val="clear" w:color="000000" w:fill="D9E1F2"/>
            <w:hideMark/>
          </w:tcPr>
          <w:p w14:paraId="1E97D4FD"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3F89F901"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tcPr>
          <w:p w14:paraId="4D09B0A6"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16</w:t>
            </w:r>
          </w:p>
        </w:tc>
        <w:tc>
          <w:tcPr>
            <w:tcW w:w="2835" w:type="dxa"/>
            <w:tcBorders>
              <w:top w:val="nil"/>
              <w:left w:val="nil"/>
              <w:bottom w:val="single" w:sz="8" w:space="0" w:color="000000"/>
              <w:right w:val="single" w:sz="8" w:space="0" w:color="000000"/>
            </w:tcBorders>
            <w:shd w:val="clear" w:color="auto" w:fill="auto"/>
            <w:vAlign w:val="center"/>
          </w:tcPr>
          <w:p w14:paraId="07CAA2A8" w14:textId="77777777" w:rsidR="00593EEF" w:rsidRPr="00593EEF" w:rsidRDefault="00593EEF" w:rsidP="00593EEF">
            <w:pPr>
              <w:rPr>
                <w:rFonts w:ascii="Calibri" w:hAnsi="Calibri" w:cs="Arial"/>
                <w:color w:val="000000"/>
                <w:sz w:val="19"/>
                <w:szCs w:val="19"/>
                <w:lang w:val="ro-RO"/>
              </w:rPr>
            </w:pPr>
            <w:r w:rsidRPr="00593EEF">
              <w:rPr>
                <w:rFonts w:ascii="Arial" w:hAnsi="Arial" w:cs="Arial"/>
                <w:color w:val="000000"/>
                <w:sz w:val="19"/>
                <w:szCs w:val="19"/>
              </w:rPr>
              <w:t>DN 67 – DN 65C</w:t>
            </w:r>
          </w:p>
        </w:tc>
        <w:tc>
          <w:tcPr>
            <w:tcW w:w="1754" w:type="dxa"/>
            <w:tcBorders>
              <w:top w:val="nil"/>
              <w:left w:val="nil"/>
              <w:bottom w:val="single" w:sz="8" w:space="0" w:color="000000"/>
              <w:right w:val="single" w:sz="8" w:space="0" w:color="000000"/>
            </w:tcBorders>
            <w:shd w:val="clear" w:color="auto" w:fill="auto"/>
            <w:vAlign w:val="center"/>
          </w:tcPr>
          <w:p w14:paraId="03CEAC0D"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auto" w:fill="auto"/>
            <w:vAlign w:val="center"/>
          </w:tcPr>
          <w:p w14:paraId="2AAB17DC"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tcPr>
          <w:p w14:paraId="00BF220D"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w:t>
            </w:r>
          </w:p>
        </w:tc>
      </w:tr>
      <w:tr w:rsidR="00593EEF" w:rsidRPr="00593EEF" w14:paraId="0D4E25DC"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9E1F2"/>
            <w:vAlign w:val="center"/>
          </w:tcPr>
          <w:p w14:paraId="2B22829E"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17</w:t>
            </w:r>
          </w:p>
        </w:tc>
        <w:tc>
          <w:tcPr>
            <w:tcW w:w="2835" w:type="dxa"/>
            <w:tcBorders>
              <w:top w:val="nil"/>
              <w:left w:val="nil"/>
              <w:bottom w:val="single" w:sz="8" w:space="0" w:color="000000"/>
              <w:right w:val="single" w:sz="8" w:space="0" w:color="000000"/>
            </w:tcBorders>
            <w:shd w:val="clear" w:color="000000" w:fill="D9E1F2"/>
            <w:vAlign w:val="center"/>
          </w:tcPr>
          <w:p w14:paraId="65F9B1E0" w14:textId="77777777" w:rsidR="00593EEF" w:rsidRPr="00593EEF" w:rsidRDefault="00593EEF" w:rsidP="00593EEF">
            <w:pPr>
              <w:rPr>
                <w:rFonts w:ascii="Calibri" w:hAnsi="Calibri" w:cs="Arial"/>
                <w:color w:val="000000"/>
                <w:sz w:val="19"/>
                <w:szCs w:val="19"/>
                <w:lang w:val="ro-RO"/>
              </w:rPr>
            </w:pPr>
            <w:r w:rsidRPr="00593EEF">
              <w:rPr>
                <w:rFonts w:ascii="Arial" w:hAnsi="Arial" w:cs="Arial"/>
                <w:color w:val="000000"/>
                <w:sz w:val="19"/>
                <w:szCs w:val="19"/>
              </w:rPr>
              <w:t>DC 139 – DN 67 (A)</w:t>
            </w:r>
          </w:p>
        </w:tc>
        <w:tc>
          <w:tcPr>
            <w:tcW w:w="1754" w:type="dxa"/>
            <w:tcBorders>
              <w:top w:val="nil"/>
              <w:left w:val="nil"/>
              <w:bottom w:val="single" w:sz="8" w:space="0" w:color="000000"/>
              <w:right w:val="single" w:sz="8" w:space="0" w:color="000000"/>
            </w:tcBorders>
            <w:shd w:val="clear" w:color="000000" w:fill="D9E1F2"/>
            <w:vAlign w:val="center"/>
          </w:tcPr>
          <w:p w14:paraId="3729CD58"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F</w:t>
            </w:r>
          </w:p>
        </w:tc>
        <w:tc>
          <w:tcPr>
            <w:tcW w:w="1701" w:type="dxa"/>
            <w:tcBorders>
              <w:top w:val="nil"/>
              <w:left w:val="nil"/>
              <w:bottom w:val="single" w:sz="8" w:space="0" w:color="000000"/>
              <w:right w:val="single" w:sz="8" w:space="0" w:color="000000"/>
            </w:tcBorders>
            <w:shd w:val="clear" w:color="000000" w:fill="D9E1F2"/>
            <w:vAlign w:val="center"/>
          </w:tcPr>
          <w:p w14:paraId="59B7832E"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E</w:t>
            </w:r>
          </w:p>
        </w:tc>
        <w:tc>
          <w:tcPr>
            <w:tcW w:w="1460" w:type="dxa"/>
            <w:tcBorders>
              <w:top w:val="nil"/>
              <w:left w:val="nil"/>
              <w:bottom w:val="single" w:sz="8" w:space="0" w:color="000000"/>
              <w:right w:val="single" w:sz="8" w:space="0" w:color="000000"/>
            </w:tcBorders>
            <w:shd w:val="clear" w:color="000000" w:fill="D9E1F2"/>
          </w:tcPr>
          <w:p w14:paraId="70307039" w14:textId="77777777" w:rsidR="00593EEF" w:rsidRPr="00593EEF" w:rsidRDefault="00593EEF" w:rsidP="00593EEF">
            <w:pPr>
              <w:jc w:val="center"/>
              <w:rPr>
                <w:rFonts w:ascii="Calibri" w:hAnsi="Calibri" w:cs="Arial"/>
                <w:color w:val="000000"/>
                <w:sz w:val="19"/>
                <w:szCs w:val="19"/>
                <w:lang w:val="ro-RO"/>
              </w:rPr>
            </w:pPr>
            <w:r w:rsidRPr="00593EEF">
              <w:rPr>
                <w:rFonts w:ascii="Arial" w:hAnsi="Arial" w:cs="Arial"/>
                <w:color w:val="000000"/>
                <w:sz w:val="19"/>
                <w:szCs w:val="19"/>
              </w:rPr>
              <w:t>-</w:t>
            </w:r>
          </w:p>
        </w:tc>
      </w:tr>
      <w:tr w:rsidR="00593EEF" w:rsidRPr="00593EEF" w14:paraId="34AFFD2C"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auto" w:fill="auto"/>
            <w:vAlign w:val="center"/>
            <w:hideMark/>
          </w:tcPr>
          <w:p w14:paraId="0A0F12C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18</w:t>
            </w:r>
          </w:p>
        </w:tc>
        <w:tc>
          <w:tcPr>
            <w:tcW w:w="2835" w:type="dxa"/>
            <w:tcBorders>
              <w:top w:val="nil"/>
              <w:left w:val="nil"/>
              <w:bottom w:val="single" w:sz="8" w:space="0" w:color="000000"/>
              <w:right w:val="single" w:sz="8" w:space="0" w:color="000000"/>
            </w:tcBorders>
            <w:shd w:val="clear" w:color="auto" w:fill="auto"/>
            <w:vAlign w:val="center"/>
            <w:hideMark/>
          </w:tcPr>
          <w:p w14:paraId="7F515747"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 xml:space="preserve"> DC 144 – DC 146</w:t>
            </w:r>
          </w:p>
        </w:tc>
        <w:tc>
          <w:tcPr>
            <w:tcW w:w="1754" w:type="dxa"/>
            <w:tcBorders>
              <w:top w:val="nil"/>
              <w:left w:val="nil"/>
              <w:bottom w:val="single" w:sz="8" w:space="0" w:color="000000"/>
              <w:right w:val="single" w:sz="8" w:space="0" w:color="000000"/>
            </w:tcBorders>
            <w:shd w:val="clear" w:color="auto" w:fill="auto"/>
            <w:vAlign w:val="center"/>
            <w:hideMark/>
          </w:tcPr>
          <w:p w14:paraId="6E8E34F4"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auto" w:fill="auto"/>
            <w:vAlign w:val="center"/>
            <w:hideMark/>
          </w:tcPr>
          <w:p w14:paraId="60925FB6"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auto" w:fill="auto"/>
            <w:hideMark/>
          </w:tcPr>
          <w:p w14:paraId="6A6EB8AF"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r w:rsidR="00593EEF" w:rsidRPr="00593EEF" w14:paraId="788F0A33" w14:textId="77777777" w:rsidTr="00CE76B6">
        <w:trPr>
          <w:trHeight w:hRule="exact" w:val="284"/>
          <w:jc w:val="center"/>
        </w:trPr>
        <w:tc>
          <w:tcPr>
            <w:tcW w:w="983" w:type="dxa"/>
            <w:tcBorders>
              <w:top w:val="nil"/>
              <w:left w:val="single" w:sz="8" w:space="0" w:color="000000"/>
              <w:bottom w:val="single" w:sz="8" w:space="0" w:color="000000"/>
              <w:right w:val="single" w:sz="8" w:space="0" w:color="000000"/>
            </w:tcBorders>
            <w:shd w:val="clear" w:color="000000" w:fill="DCE6F1"/>
            <w:vAlign w:val="center"/>
            <w:hideMark/>
          </w:tcPr>
          <w:p w14:paraId="5E90548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19</w:t>
            </w:r>
          </w:p>
        </w:tc>
        <w:tc>
          <w:tcPr>
            <w:tcW w:w="2835" w:type="dxa"/>
            <w:tcBorders>
              <w:top w:val="nil"/>
              <w:left w:val="nil"/>
              <w:bottom w:val="single" w:sz="8" w:space="0" w:color="000000"/>
              <w:right w:val="single" w:sz="8" w:space="0" w:color="000000"/>
            </w:tcBorders>
            <w:shd w:val="clear" w:color="000000" w:fill="DCE6F1"/>
            <w:vAlign w:val="center"/>
            <w:hideMark/>
          </w:tcPr>
          <w:p w14:paraId="6207AD30" w14:textId="77777777" w:rsidR="00593EEF" w:rsidRPr="00593EEF" w:rsidRDefault="00593EEF" w:rsidP="00593EEF">
            <w:pPr>
              <w:rPr>
                <w:rFonts w:ascii="Calibri" w:eastAsia="Times New Roman" w:hAnsi="Calibri" w:cs="Arial"/>
                <w:color w:val="000000"/>
                <w:sz w:val="19"/>
                <w:szCs w:val="19"/>
                <w:lang w:val="ro-RO" w:eastAsia="ro-RO"/>
              </w:rPr>
            </w:pPr>
            <w:r w:rsidRPr="00593EEF">
              <w:rPr>
                <w:rFonts w:ascii="Arial" w:hAnsi="Arial" w:cs="Arial"/>
                <w:color w:val="000000"/>
                <w:sz w:val="19"/>
                <w:szCs w:val="19"/>
              </w:rPr>
              <w:t>DJ 669 – DC 146</w:t>
            </w:r>
          </w:p>
        </w:tc>
        <w:tc>
          <w:tcPr>
            <w:tcW w:w="1754" w:type="dxa"/>
            <w:tcBorders>
              <w:top w:val="nil"/>
              <w:left w:val="nil"/>
              <w:bottom w:val="single" w:sz="8" w:space="0" w:color="000000"/>
              <w:right w:val="single" w:sz="8" w:space="0" w:color="000000"/>
            </w:tcBorders>
            <w:shd w:val="clear" w:color="000000" w:fill="DCE6F1"/>
            <w:vAlign w:val="center"/>
            <w:hideMark/>
          </w:tcPr>
          <w:p w14:paraId="5B8BE4BA"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701" w:type="dxa"/>
            <w:tcBorders>
              <w:top w:val="nil"/>
              <w:left w:val="nil"/>
              <w:bottom w:val="single" w:sz="8" w:space="0" w:color="000000"/>
              <w:right w:val="single" w:sz="8" w:space="0" w:color="000000"/>
            </w:tcBorders>
            <w:shd w:val="clear" w:color="000000" w:fill="DCE6F1"/>
            <w:vAlign w:val="center"/>
            <w:hideMark/>
          </w:tcPr>
          <w:p w14:paraId="20D288B1"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A</w:t>
            </w:r>
          </w:p>
        </w:tc>
        <w:tc>
          <w:tcPr>
            <w:tcW w:w="1460" w:type="dxa"/>
            <w:tcBorders>
              <w:top w:val="nil"/>
              <w:left w:val="nil"/>
              <w:bottom w:val="single" w:sz="8" w:space="0" w:color="000000"/>
              <w:right w:val="single" w:sz="8" w:space="0" w:color="000000"/>
            </w:tcBorders>
            <w:shd w:val="clear" w:color="000000" w:fill="DCE6F1"/>
            <w:hideMark/>
          </w:tcPr>
          <w:p w14:paraId="47D2AEF7" w14:textId="77777777" w:rsidR="00593EEF" w:rsidRPr="00593EEF" w:rsidRDefault="00593EEF" w:rsidP="00593EEF">
            <w:pPr>
              <w:jc w:val="center"/>
              <w:rPr>
                <w:rFonts w:ascii="Calibri" w:eastAsia="Times New Roman" w:hAnsi="Calibri" w:cs="Arial"/>
                <w:color w:val="000000"/>
                <w:sz w:val="19"/>
                <w:szCs w:val="19"/>
                <w:lang w:val="ro-RO" w:eastAsia="ro-RO"/>
              </w:rPr>
            </w:pPr>
            <w:r w:rsidRPr="00593EEF">
              <w:rPr>
                <w:rFonts w:ascii="Arial" w:hAnsi="Arial" w:cs="Arial"/>
                <w:color w:val="000000"/>
                <w:sz w:val="19"/>
                <w:szCs w:val="19"/>
              </w:rPr>
              <w:t>-</w:t>
            </w:r>
          </w:p>
        </w:tc>
      </w:tr>
    </w:tbl>
    <w:p w14:paraId="70646D46" w14:textId="77777777" w:rsidR="0060531A" w:rsidRPr="0060531A" w:rsidRDefault="0060531A" w:rsidP="0060531A">
      <w:pPr>
        <w:widowControl w:val="0"/>
        <w:suppressAutoHyphens/>
        <w:spacing w:after="0" w:line="240" w:lineRule="auto"/>
        <w:rPr>
          <w:rFonts w:ascii="Arial" w:hAnsi="Arial" w:cs="Mangal"/>
          <w:kern w:val="1"/>
          <w:sz w:val="20"/>
          <w:szCs w:val="24"/>
          <w:lang w:val="es-ES" w:eastAsia="hi-IN" w:bidi="hi-IN"/>
        </w:rPr>
      </w:pPr>
    </w:p>
    <w:p w14:paraId="57C0FD61" w14:textId="77777777" w:rsidR="0060531A" w:rsidRPr="0060531A" w:rsidRDefault="0060531A" w:rsidP="0060531A">
      <w:pPr>
        <w:widowControl w:val="0"/>
        <w:suppressAutoHyphens/>
        <w:spacing w:after="0" w:line="240" w:lineRule="auto"/>
        <w:rPr>
          <w:rFonts w:ascii="Arial" w:hAnsi="Arial" w:cs="Mangal"/>
          <w:kern w:val="1"/>
          <w:sz w:val="20"/>
          <w:szCs w:val="24"/>
          <w:lang w:val="es-ES" w:eastAsia="hi-IN" w:bidi="hi-IN"/>
        </w:rPr>
      </w:pPr>
    </w:p>
    <w:p w14:paraId="21C56242" w14:textId="4D7EAEBE" w:rsidR="0060531A" w:rsidRPr="0060531A" w:rsidRDefault="00593EEF" w:rsidP="0060531A">
      <w:pPr>
        <w:widowControl w:val="0"/>
        <w:suppressAutoHyphens/>
        <w:spacing w:after="0" w:line="240" w:lineRule="auto"/>
        <w:jc w:val="center"/>
        <w:rPr>
          <w:rFonts w:ascii="Arial" w:hAnsi="Arial" w:cs="Mangal"/>
          <w:kern w:val="1"/>
          <w:sz w:val="20"/>
          <w:szCs w:val="24"/>
          <w:lang w:val="es-ES" w:eastAsia="hi-IN" w:bidi="hi-IN"/>
        </w:rPr>
      </w:pPr>
      <w:r w:rsidRPr="00593EEF">
        <w:rPr>
          <w:rFonts w:ascii="Calibri" w:hAnsi="Calibri" w:cs="Times New Roman"/>
          <w:i/>
          <w:noProof/>
          <w:sz w:val="24"/>
        </w:rPr>
        <w:lastRenderedPageBreak/>
        <w:drawing>
          <wp:inline distT="0" distB="0" distL="0" distR="0" wp14:anchorId="10029993" wp14:editId="233D8109">
            <wp:extent cx="5528423" cy="4086225"/>
            <wp:effectExtent l="0" t="0" r="0" b="0"/>
            <wp:docPr id="228"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ine 19"/>
                    <pic:cNvPicPr>
                      <a:picLocks noChangeAspect="1" noChangeArrowheads="1"/>
                    </pic:cNvPicPr>
                  </pic:nvPicPr>
                  <pic:blipFill>
                    <a:blip r:embed="rId223" cstate="print">
                      <a:extLst>
                        <a:ext uri="{28A0092B-C50C-407E-A947-70E740481C1C}">
                          <a14:useLocalDpi xmlns:a14="http://schemas.microsoft.com/office/drawing/2010/main" val="0"/>
                        </a:ext>
                      </a:extLst>
                    </a:blip>
                    <a:stretch>
                      <a:fillRect/>
                    </a:stretch>
                  </pic:blipFill>
                  <pic:spPr bwMode="auto">
                    <a:xfrm>
                      <a:off x="0" y="0"/>
                      <a:ext cx="5541696" cy="4096036"/>
                    </a:xfrm>
                    <a:prstGeom prst="rect">
                      <a:avLst/>
                    </a:prstGeom>
                    <a:noFill/>
                    <a:ln>
                      <a:noFill/>
                    </a:ln>
                  </pic:spPr>
                </pic:pic>
              </a:graphicData>
            </a:graphic>
          </wp:inline>
        </w:drawing>
      </w:r>
    </w:p>
    <w:p w14:paraId="2C5746A9" w14:textId="72B06E98" w:rsidR="0060531A" w:rsidRPr="00593EEF" w:rsidRDefault="00BB0D72" w:rsidP="00BB0D72">
      <w:pPr>
        <w:pStyle w:val="Legend"/>
        <w:jc w:val="center"/>
        <w:rPr>
          <w:rFonts w:ascii="Arial" w:hAnsi="Arial" w:cs="Arial"/>
          <w:i w:val="0"/>
          <w:iCs w:val="0"/>
          <w:color w:val="1F497D"/>
          <w:sz w:val="22"/>
          <w:szCs w:val="22"/>
        </w:rPr>
      </w:pPr>
      <w:bookmarkStart w:id="467" w:name="_Toc68361036"/>
      <w:bookmarkStart w:id="468" w:name="_Toc140744528"/>
      <w:r w:rsidRPr="00BB0D72">
        <w:rPr>
          <w:rFonts w:ascii="Arial" w:hAnsi="Arial" w:cs="Arial"/>
          <w:sz w:val="22"/>
          <w:szCs w:val="22"/>
        </w:rPr>
        <w:t xml:space="preserve">Figura I.7. </w:t>
      </w:r>
      <w:r w:rsidRPr="00BB0D72">
        <w:rPr>
          <w:rFonts w:ascii="Arial" w:hAnsi="Arial" w:cs="Arial"/>
          <w:sz w:val="22"/>
          <w:szCs w:val="22"/>
        </w:rPr>
        <w:fldChar w:fldCharType="begin"/>
      </w:r>
      <w:r w:rsidRPr="00BB0D72">
        <w:rPr>
          <w:rFonts w:ascii="Arial" w:hAnsi="Arial" w:cs="Arial"/>
          <w:sz w:val="22"/>
          <w:szCs w:val="22"/>
        </w:rPr>
        <w:instrText xml:space="preserve"> SEQ Figura_I.7. \* ARABIC </w:instrText>
      </w:r>
      <w:r w:rsidRPr="00BB0D72">
        <w:rPr>
          <w:rFonts w:ascii="Arial" w:hAnsi="Arial" w:cs="Arial"/>
          <w:sz w:val="22"/>
          <w:szCs w:val="22"/>
        </w:rPr>
        <w:fldChar w:fldCharType="separate"/>
      </w:r>
      <w:r w:rsidR="00BB181C">
        <w:rPr>
          <w:rFonts w:ascii="Arial" w:hAnsi="Arial" w:cs="Arial"/>
          <w:noProof/>
          <w:sz w:val="22"/>
          <w:szCs w:val="22"/>
        </w:rPr>
        <w:t>3</w:t>
      </w:r>
      <w:r w:rsidRPr="00BB0D72">
        <w:rPr>
          <w:rFonts w:ascii="Arial" w:hAnsi="Arial" w:cs="Arial"/>
          <w:sz w:val="22"/>
          <w:szCs w:val="22"/>
        </w:rPr>
        <w:fldChar w:fldCharType="end"/>
      </w:r>
      <w:r w:rsidRPr="00BB0D72">
        <w:rPr>
          <w:rFonts w:ascii="Arial" w:hAnsi="Arial" w:cs="Arial"/>
          <w:sz w:val="22"/>
          <w:szCs w:val="22"/>
        </w:rPr>
        <w:t xml:space="preserve"> </w:t>
      </w:r>
      <w:r w:rsidR="0060531A" w:rsidRPr="00593EEF">
        <w:rPr>
          <w:rFonts w:ascii="Arial" w:hAnsi="Arial" w:cs="Arial"/>
          <w:i w:val="0"/>
          <w:iCs w:val="0"/>
          <w:color w:val="1F497D"/>
          <w:sz w:val="22"/>
          <w:szCs w:val="22"/>
        </w:rPr>
        <w:t>- Niveluri de serviciu ora de vârf PM orizont 2027 Scenariul 1</w:t>
      </w:r>
      <w:bookmarkEnd w:id="467"/>
      <w:bookmarkEnd w:id="468"/>
    </w:p>
    <w:p w14:paraId="2B3E7C37" w14:textId="6DEF27DF" w:rsidR="0060531A" w:rsidRPr="0060531A" w:rsidRDefault="00593EEF" w:rsidP="00593EEF">
      <w:pPr>
        <w:jc w:val="center"/>
        <w:rPr>
          <w:rFonts w:ascii="Calibri" w:hAnsi="Calibri" w:cs="Times New Roman"/>
        </w:rPr>
      </w:pPr>
      <w:r w:rsidRPr="00593EEF">
        <w:rPr>
          <w:rFonts w:ascii="Calibri" w:hAnsi="Calibri" w:cs="Times New Roman"/>
          <w:i/>
          <w:noProof/>
          <w:sz w:val="24"/>
        </w:rPr>
        <w:lastRenderedPageBreak/>
        <w:drawing>
          <wp:inline distT="0" distB="0" distL="0" distR="0" wp14:anchorId="0AD98CED" wp14:editId="2B99F95F">
            <wp:extent cx="5610225" cy="4146689"/>
            <wp:effectExtent l="0" t="0" r="0" b="6350"/>
            <wp:docPr id="115"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ine 29"/>
                    <pic:cNvPicPr>
                      <a:picLocks noChangeAspect="1" noChangeArrowheads="1"/>
                    </pic:cNvPicPr>
                  </pic:nvPicPr>
                  <pic:blipFill>
                    <a:blip r:embed="rId224" cstate="print">
                      <a:extLst>
                        <a:ext uri="{28A0092B-C50C-407E-A947-70E740481C1C}">
                          <a14:useLocalDpi xmlns:a14="http://schemas.microsoft.com/office/drawing/2010/main" val="0"/>
                        </a:ext>
                      </a:extLst>
                    </a:blip>
                    <a:stretch>
                      <a:fillRect/>
                    </a:stretch>
                  </pic:blipFill>
                  <pic:spPr bwMode="auto">
                    <a:xfrm>
                      <a:off x="0" y="0"/>
                      <a:ext cx="5625769" cy="4158178"/>
                    </a:xfrm>
                    <a:prstGeom prst="rect">
                      <a:avLst/>
                    </a:prstGeom>
                    <a:noFill/>
                    <a:ln>
                      <a:noFill/>
                    </a:ln>
                  </pic:spPr>
                </pic:pic>
              </a:graphicData>
            </a:graphic>
          </wp:inline>
        </w:drawing>
      </w:r>
    </w:p>
    <w:p w14:paraId="2A7C7C40" w14:textId="0DD3D394" w:rsidR="0060531A" w:rsidRPr="00593EEF" w:rsidRDefault="00BB0D72" w:rsidP="00BB0D72">
      <w:pPr>
        <w:pStyle w:val="Legend"/>
        <w:jc w:val="center"/>
        <w:rPr>
          <w:rFonts w:ascii="Arial" w:hAnsi="Arial" w:cs="Arial"/>
          <w:i w:val="0"/>
          <w:iCs w:val="0"/>
          <w:color w:val="1F497D"/>
          <w:sz w:val="22"/>
          <w:szCs w:val="22"/>
        </w:rPr>
      </w:pPr>
      <w:bookmarkStart w:id="469" w:name="_Toc68361037"/>
      <w:bookmarkStart w:id="470" w:name="_Toc140744529"/>
      <w:r w:rsidRPr="00BB0D72">
        <w:rPr>
          <w:rFonts w:ascii="Arial" w:hAnsi="Arial" w:cs="Arial"/>
          <w:sz w:val="22"/>
          <w:szCs w:val="22"/>
        </w:rPr>
        <w:t xml:space="preserve">Figura I.7. </w:t>
      </w:r>
      <w:r w:rsidRPr="00BB0D72">
        <w:rPr>
          <w:rFonts w:ascii="Arial" w:hAnsi="Arial" w:cs="Arial"/>
          <w:sz w:val="22"/>
          <w:szCs w:val="22"/>
        </w:rPr>
        <w:fldChar w:fldCharType="begin"/>
      </w:r>
      <w:r w:rsidRPr="00BB0D72">
        <w:rPr>
          <w:rFonts w:ascii="Arial" w:hAnsi="Arial" w:cs="Arial"/>
          <w:sz w:val="22"/>
          <w:szCs w:val="22"/>
        </w:rPr>
        <w:instrText xml:space="preserve"> SEQ Figura_I.7. \* ARABIC </w:instrText>
      </w:r>
      <w:r w:rsidRPr="00BB0D72">
        <w:rPr>
          <w:rFonts w:ascii="Arial" w:hAnsi="Arial" w:cs="Arial"/>
          <w:sz w:val="22"/>
          <w:szCs w:val="22"/>
        </w:rPr>
        <w:fldChar w:fldCharType="separate"/>
      </w:r>
      <w:r w:rsidR="00BB181C">
        <w:rPr>
          <w:rFonts w:ascii="Arial" w:hAnsi="Arial" w:cs="Arial"/>
          <w:noProof/>
          <w:sz w:val="22"/>
          <w:szCs w:val="22"/>
        </w:rPr>
        <w:t>4</w:t>
      </w:r>
      <w:r w:rsidRPr="00BB0D72">
        <w:rPr>
          <w:rFonts w:ascii="Arial" w:hAnsi="Arial" w:cs="Arial"/>
          <w:sz w:val="22"/>
          <w:szCs w:val="22"/>
        </w:rPr>
        <w:fldChar w:fldCharType="end"/>
      </w:r>
      <w:r w:rsidRPr="00BB0D72">
        <w:rPr>
          <w:rFonts w:ascii="Arial" w:hAnsi="Arial" w:cs="Arial"/>
          <w:sz w:val="22"/>
          <w:szCs w:val="22"/>
        </w:rPr>
        <w:t xml:space="preserve"> </w:t>
      </w:r>
      <w:r w:rsidR="0060531A" w:rsidRPr="00593EEF">
        <w:rPr>
          <w:rFonts w:ascii="Arial" w:hAnsi="Arial" w:cs="Arial"/>
          <w:i w:val="0"/>
          <w:iCs w:val="0"/>
          <w:color w:val="1F497D"/>
          <w:sz w:val="22"/>
          <w:szCs w:val="22"/>
        </w:rPr>
        <w:t>- Niveluri de serviciu ora de vârf PM orizont 2027 Scenariul 1</w:t>
      </w:r>
      <w:bookmarkEnd w:id="469"/>
      <w:bookmarkEnd w:id="470"/>
    </w:p>
    <w:p w14:paraId="04B76FD5" w14:textId="77777777" w:rsidR="0060531A" w:rsidRPr="0060531A" w:rsidRDefault="0060531A" w:rsidP="0060531A">
      <w:pPr>
        <w:rPr>
          <w:rFonts w:ascii="Calibri" w:hAnsi="Calibri" w:cs="Times New Roman"/>
        </w:rPr>
      </w:pPr>
    </w:p>
    <w:p w14:paraId="0C49E3EC" w14:textId="77777777" w:rsidR="004F5666" w:rsidRDefault="004F5666" w:rsidP="0028563B">
      <w:pPr>
        <w:pStyle w:val="Titlu4"/>
        <w:numPr>
          <w:ilvl w:val="0"/>
          <w:numId w:val="0"/>
        </w:numPr>
        <w:rPr>
          <w:rFonts w:ascii="Arial" w:hAnsi="Arial" w:cs="Arial"/>
          <w:sz w:val="22"/>
          <w:szCs w:val="22"/>
          <w:lang w:bidi="hi-IN"/>
        </w:rPr>
      </w:pPr>
      <w:r w:rsidRPr="0028563B">
        <w:rPr>
          <w:rFonts w:ascii="Arial" w:hAnsi="Arial" w:cs="Arial"/>
          <w:sz w:val="22"/>
          <w:szCs w:val="22"/>
          <w:lang w:bidi="hi-IN"/>
        </w:rPr>
        <w:t>I.7.1.1.3 Parametri 24 h orizont 2027</w:t>
      </w:r>
    </w:p>
    <w:p w14:paraId="09B9884A" w14:textId="77777777" w:rsidR="0060531A" w:rsidRPr="0060531A" w:rsidRDefault="0060531A" w:rsidP="0060531A">
      <w:pPr>
        <w:widowControl w:val="0"/>
        <w:suppressAutoHyphens/>
        <w:spacing w:after="0" w:line="360" w:lineRule="auto"/>
        <w:rPr>
          <w:rFonts w:ascii="Arial" w:hAnsi="Arial" w:cs="Mangal"/>
          <w:kern w:val="1"/>
          <w:sz w:val="24"/>
          <w:szCs w:val="24"/>
          <w:lang w:val="es-ES" w:eastAsia="hi-IN" w:bidi="hi-IN"/>
        </w:rPr>
      </w:pPr>
      <w:r w:rsidRPr="0060531A">
        <w:rPr>
          <w:rFonts w:ascii="Arial" w:hAnsi="Arial" w:cs="Mangal"/>
          <w:kern w:val="1"/>
          <w:sz w:val="24"/>
          <w:szCs w:val="24"/>
          <w:lang w:val="es-ES" w:eastAsia="hi-IN" w:bidi="hi-IN"/>
        </w:rPr>
        <w:t>La nivel de rețea se obțin următoarele date:</w:t>
      </w:r>
    </w:p>
    <w:p w14:paraId="0EA0C72B" w14:textId="77777777" w:rsidR="00BB0D72" w:rsidRPr="0060531A" w:rsidRDefault="00BB0D72" w:rsidP="0060531A">
      <w:pPr>
        <w:widowControl w:val="0"/>
        <w:suppressAutoHyphens/>
        <w:spacing w:after="0" w:line="360" w:lineRule="auto"/>
        <w:rPr>
          <w:rFonts w:ascii="Arial" w:hAnsi="Arial" w:cs="Mangal"/>
          <w:kern w:val="1"/>
          <w:sz w:val="24"/>
          <w:szCs w:val="24"/>
          <w:lang w:val="es-ES" w:eastAsia="hi-IN" w:bidi="hi-IN"/>
        </w:rPr>
      </w:pPr>
    </w:p>
    <w:p w14:paraId="490564DB" w14:textId="7947C17A" w:rsidR="0060531A" w:rsidRPr="0060531A" w:rsidRDefault="00BB0D72" w:rsidP="0060531A">
      <w:pPr>
        <w:spacing w:after="200" w:line="240" w:lineRule="auto"/>
        <w:jc w:val="center"/>
        <w:rPr>
          <w:rFonts w:ascii="Arial" w:hAnsi="Arial" w:cs="Arial"/>
          <w:color w:val="1F497D"/>
          <w:kern w:val="1"/>
          <w:lang w:val="ro-RO" w:eastAsia="hi-IN" w:bidi="hi-IN"/>
        </w:rPr>
      </w:pPr>
      <w:bookmarkStart w:id="471" w:name="_Toc68361274"/>
      <w:bookmarkStart w:id="472" w:name="_Toc96463902"/>
      <w:r>
        <w:rPr>
          <w:rFonts w:ascii="Arial" w:hAnsi="Arial" w:cs="Arial"/>
          <w:i/>
          <w:iCs/>
          <w:color w:val="1F497D"/>
        </w:rPr>
        <w:t>Tabel I.7.</w:t>
      </w:r>
      <w:r w:rsidR="0060531A" w:rsidRPr="0060531A">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6</w:t>
      </w:r>
      <w:r>
        <w:rPr>
          <w:rFonts w:ascii="Arial" w:hAnsi="Arial" w:cs="Arial"/>
          <w:i/>
          <w:iCs/>
          <w:color w:val="1F497D"/>
        </w:rPr>
        <w:fldChar w:fldCharType="end"/>
      </w:r>
      <w:r w:rsidR="0060531A" w:rsidRPr="0060531A">
        <w:rPr>
          <w:rFonts w:ascii="Arial" w:hAnsi="Arial" w:cs="Arial"/>
          <w:i/>
          <w:iCs/>
          <w:color w:val="1F497D"/>
        </w:rPr>
        <w:t xml:space="preserve"> - </w:t>
      </w:r>
      <w:r w:rsidR="0060531A" w:rsidRPr="0060531A">
        <w:rPr>
          <w:rFonts w:ascii="Arial" w:hAnsi="Arial" w:cs="Arial"/>
          <w:color w:val="1F497D"/>
        </w:rPr>
        <w:t>Analiza comparativǎ a scenariilor pentru 2027 – 24 h</w:t>
      </w:r>
      <w:bookmarkEnd w:id="471"/>
      <w:bookmarkEnd w:id="472"/>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6"/>
        <w:gridCol w:w="1915"/>
        <w:gridCol w:w="1915"/>
        <w:gridCol w:w="1915"/>
      </w:tblGrid>
      <w:tr w:rsidR="00593EEF" w:rsidRPr="00593EEF" w14:paraId="21D5D4FF" w14:textId="77777777" w:rsidTr="00CE76B6">
        <w:trPr>
          <w:jc w:val="center"/>
        </w:trPr>
        <w:tc>
          <w:tcPr>
            <w:tcW w:w="1250" w:type="pct"/>
            <w:shd w:val="clear" w:color="auto" w:fill="auto"/>
            <w:vAlign w:val="center"/>
          </w:tcPr>
          <w:p w14:paraId="3D20751F"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Parametru</w:t>
            </w:r>
          </w:p>
        </w:tc>
        <w:tc>
          <w:tcPr>
            <w:tcW w:w="1250" w:type="pct"/>
            <w:shd w:val="clear" w:color="auto" w:fill="auto"/>
            <w:vAlign w:val="center"/>
          </w:tcPr>
          <w:p w14:paraId="2139F790"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1</w:t>
            </w:r>
          </w:p>
        </w:tc>
        <w:tc>
          <w:tcPr>
            <w:tcW w:w="1250" w:type="pct"/>
            <w:shd w:val="clear" w:color="auto" w:fill="auto"/>
            <w:vAlign w:val="center"/>
          </w:tcPr>
          <w:p w14:paraId="47DB05DC"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2</w:t>
            </w:r>
          </w:p>
        </w:tc>
        <w:tc>
          <w:tcPr>
            <w:tcW w:w="1250" w:type="pct"/>
            <w:shd w:val="clear" w:color="auto" w:fill="auto"/>
            <w:vAlign w:val="center"/>
          </w:tcPr>
          <w:p w14:paraId="387CABC1"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3</w:t>
            </w:r>
          </w:p>
        </w:tc>
      </w:tr>
      <w:tr w:rsidR="00593EEF" w:rsidRPr="00593EEF" w14:paraId="19466FD4" w14:textId="77777777" w:rsidTr="00CE76B6">
        <w:trPr>
          <w:jc w:val="center"/>
        </w:trPr>
        <w:tc>
          <w:tcPr>
            <w:tcW w:w="1250" w:type="pct"/>
            <w:shd w:val="clear" w:color="auto" w:fill="auto"/>
            <w:vAlign w:val="center"/>
          </w:tcPr>
          <w:p w14:paraId="2358F1DC"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Viteza medie de circulație (km/h)</w:t>
            </w:r>
          </w:p>
        </w:tc>
        <w:tc>
          <w:tcPr>
            <w:tcW w:w="1250" w:type="pct"/>
            <w:shd w:val="clear" w:color="auto" w:fill="auto"/>
            <w:vAlign w:val="center"/>
          </w:tcPr>
          <w:p w14:paraId="264359BE"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32,72</w:t>
            </w:r>
          </w:p>
        </w:tc>
        <w:tc>
          <w:tcPr>
            <w:tcW w:w="1250" w:type="pct"/>
            <w:shd w:val="clear" w:color="auto" w:fill="auto"/>
            <w:vAlign w:val="center"/>
          </w:tcPr>
          <w:p w14:paraId="00D6992E"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34,80</w:t>
            </w:r>
          </w:p>
        </w:tc>
        <w:tc>
          <w:tcPr>
            <w:tcW w:w="1250" w:type="pct"/>
            <w:shd w:val="clear" w:color="auto" w:fill="auto"/>
            <w:vAlign w:val="center"/>
          </w:tcPr>
          <w:p w14:paraId="43BF344E"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Arial"/>
                <w:color w:val="000000"/>
              </w:rPr>
              <w:t>-</w:t>
            </w:r>
          </w:p>
        </w:tc>
      </w:tr>
      <w:tr w:rsidR="00593EEF" w:rsidRPr="00593EEF" w14:paraId="7AF97836" w14:textId="77777777" w:rsidTr="00CE76B6">
        <w:trPr>
          <w:jc w:val="center"/>
        </w:trPr>
        <w:tc>
          <w:tcPr>
            <w:tcW w:w="1250" w:type="pct"/>
            <w:shd w:val="clear" w:color="auto" w:fill="auto"/>
            <w:vAlign w:val="center"/>
          </w:tcPr>
          <w:p w14:paraId="3E3CCEA4"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Întârzierea medie (sec)</w:t>
            </w:r>
          </w:p>
        </w:tc>
        <w:tc>
          <w:tcPr>
            <w:tcW w:w="1250" w:type="pct"/>
            <w:shd w:val="clear" w:color="auto" w:fill="auto"/>
            <w:vAlign w:val="center"/>
          </w:tcPr>
          <w:p w14:paraId="3DD02D04"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21,72</w:t>
            </w:r>
          </w:p>
        </w:tc>
        <w:tc>
          <w:tcPr>
            <w:tcW w:w="1250" w:type="pct"/>
            <w:shd w:val="clear" w:color="auto" w:fill="auto"/>
            <w:vAlign w:val="center"/>
          </w:tcPr>
          <w:p w14:paraId="765BB835"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19,03</w:t>
            </w:r>
          </w:p>
        </w:tc>
        <w:tc>
          <w:tcPr>
            <w:tcW w:w="1250" w:type="pct"/>
            <w:shd w:val="clear" w:color="auto" w:fill="auto"/>
            <w:vAlign w:val="center"/>
          </w:tcPr>
          <w:p w14:paraId="37B6CD94"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Arial"/>
                <w:color w:val="000000"/>
              </w:rPr>
              <w:t>-</w:t>
            </w:r>
          </w:p>
        </w:tc>
      </w:tr>
      <w:tr w:rsidR="00593EEF" w:rsidRPr="00593EEF" w14:paraId="0EFF3377" w14:textId="77777777" w:rsidTr="00CE76B6">
        <w:trPr>
          <w:jc w:val="center"/>
        </w:trPr>
        <w:tc>
          <w:tcPr>
            <w:tcW w:w="1250" w:type="pct"/>
            <w:shd w:val="clear" w:color="auto" w:fill="auto"/>
            <w:vAlign w:val="center"/>
          </w:tcPr>
          <w:p w14:paraId="4F859A77"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Consum de combustibil (litri)</w:t>
            </w:r>
          </w:p>
        </w:tc>
        <w:tc>
          <w:tcPr>
            <w:tcW w:w="1250" w:type="pct"/>
            <w:shd w:val="clear" w:color="auto" w:fill="auto"/>
            <w:vAlign w:val="center"/>
          </w:tcPr>
          <w:p w14:paraId="5383A1F8"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4781,28</w:t>
            </w:r>
          </w:p>
        </w:tc>
        <w:tc>
          <w:tcPr>
            <w:tcW w:w="1250" w:type="pct"/>
            <w:shd w:val="clear" w:color="auto" w:fill="auto"/>
            <w:vAlign w:val="center"/>
          </w:tcPr>
          <w:p w14:paraId="7BE97FA8"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4380,10</w:t>
            </w:r>
          </w:p>
        </w:tc>
        <w:tc>
          <w:tcPr>
            <w:tcW w:w="1250" w:type="pct"/>
            <w:shd w:val="clear" w:color="auto" w:fill="auto"/>
            <w:vAlign w:val="center"/>
          </w:tcPr>
          <w:p w14:paraId="47D344B2"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Arial"/>
                <w:color w:val="000000"/>
              </w:rPr>
              <w:t>-</w:t>
            </w:r>
          </w:p>
        </w:tc>
      </w:tr>
    </w:tbl>
    <w:p w14:paraId="45A564A9" w14:textId="3878EDF8" w:rsidR="0060531A" w:rsidRDefault="0060531A" w:rsidP="0060531A">
      <w:pPr>
        <w:widowControl w:val="0"/>
        <w:suppressAutoHyphens/>
        <w:spacing w:after="0" w:line="360" w:lineRule="auto"/>
        <w:rPr>
          <w:rFonts w:ascii="Arial" w:hAnsi="Arial" w:cs="Mangal"/>
          <w:i/>
          <w:kern w:val="1"/>
          <w:sz w:val="24"/>
          <w:szCs w:val="24"/>
          <w:lang w:val="ro-RO" w:eastAsia="hi-IN" w:bidi="hi-IN"/>
        </w:rPr>
      </w:pPr>
    </w:p>
    <w:p w14:paraId="75138BF2" w14:textId="77777777" w:rsidR="004F5666" w:rsidRDefault="004F5666" w:rsidP="0028563B">
      <w:pPr>
        <w:pStyle w:val="Titlu4"/>
        <w:numPr>
          <w:ilvl w:val="0"/>
          <w:numId w:val="0"/>
        </w:numPr>
        <w:rPr>
          <w:rFonts w:ascii="Arial" w:hAnsi="Arial" w:cs="Arial"/>
          <w:sz w:val="22"/>
          <w:szCs w:val="22"/>
          <w:lang w:bidi="hi-IN"/>
        </w:rPr>
      </w:pPr>
      <w:r w:rsidRPr="0028563B">
        <w:rPr>
          <w:rFonts w:ascii="Arial" w:hAnsi="Arial" w:cs="Arial"/>
          <w:sz w:val="22"/>
          <w:szCs w:val="22"/>
          <w:lang w:bidi="hi-IN"/>
        </w:rPr>
        <w:t>I.7.1.1.4 Concluzii referitoare la anul 2027</w:t>
      </w:r>
    </w:p>
    <w:p w14:paraId="1BC4B404" w14:textId="77777777" w:rsidR="00593EEF" w:rsidRPr="00593EEF" w:rsidRDefault="00593EEF" w:rsidP="00593EEF">
      <w:pPr>
        <w:widowControl w:val="0"/>
        <w:suppressAutoHyphens/>
        <w:spacing w:after="0" w:line="276" w:lineRule="auto"/>
        <w:jc w:val="both"/>
        <w:rPr>
          <w:rFonts w:ascii="Arial" w:hAnsi="Arial" w:cs="Mangal"/>
          <w:kern w:val="1"/>
          <w:lang w:val="ro-RO" w:eastAsia="hi-IN" w:bidi="hi-IN"/>
        </w:rPr>
      </w:pPr>
      <w:r w:rsidRPr="00593EEF">
        <w:rPr>
          <w:rFonts w:ascii="Arial" w:hAnsi="Arial" w:cs="Mangal"/>
          <w:kern w:val="1"/>
          <w:lang w:val="ro-RO" w:eastAsia="hi-IN" w:bidi="hi-IN"/>
        </w:rPr>
        <w:t xml:space="preserve">În urma analizelor efectuate se observa faptul că nu există diferențe mari între cele două scenarii in privința nivelelor de serviciu, vitezelor de circulație și consumurilor de combustibili.  </w:t>
      </w:r>
      <w:r w:rsidRPr="00593EEF">
        <w:rPr>
          <w:rFonts w:ascii="Arial" w:hAnsi="Arial" w:cs="Mangal"/>
          <w:kern w:val="1"/>
          <w:lang w:val="ro-RO" w:eastAsia="hi-IN" w:bidi="hi-IN"/>
        </w:rPr>
        <w:lastRenderedPageBreak/>
        <w:t>Acest lucru se datorează faptului că în scenariul 2 cea mai mare parte a proiectelor sunt pe termen mediu sau lung.</w:t>
      </w:r>
    </w:p>
    <w:p w14:paraId="089D4EA4" w14:textId="77777777" w:rsidR="0060531A" w:rsidRPr="0060531A" w:rsidRDefault="0060531A" w:rsidP="0060531A">
      <w:pPr>
        <w:widowControl w:val="0"/>
        <w:suppressAutoHyphens/>
        <w:spacing w:after="0" w:line="240" w:lineRule="auto"/>
        <w:rPr>
          <w:rFonts w:ascii="Arial" w:hAnsi="Arial" w:cs="Mangal"/>
          <w:kern w:val="1"/>
          <w:sz w:val="20"/>
          <w:szCs w:val="24"/>
          <w:lang w:val="it-IT" w:eastAsia="hi-IN" w:bidi="hi-IN"/>
        </w:rPr>
      </w:pPr>
    </w:p>
    <w:p w14:paraId="15DEAC58" w14:textId="17EF4865" w:rsidR="0060531A" w:rsidRDefault="00BB0D72" w:rsidP="0060531A">
      <w:pPr>
        <w:spacing w:after="200" w:line="240" w:lineRule="auto"/>
        <w:jc w:val="center"/>
        <w:rPr>
          <w:rFonts w:ascii="Arial" w:hAnsi="Arial" w:cs="Arial"/>
          <w:color w:val="1F497D"/>
        </w:rPr>
      </w:pPr>
      <w:bookmarkStart w:id="473" w:name="_Toc68361275"/>
      <w:bookmarkStart w:id="474" w:name="_Toc96463903"/>
      <w:r>
        <w:rPr>
          <w:rFonts w:ascii="Arial" w:hAnsi="Arial" w:cs="Arial"/>
          <w:i/>
          <w:iCs/>
          <w:color w:val="1F497D"/>
        </w:rPr>
        <w:t>Tabel I.7.</w:t>
      </w:r>
      <w:r w:rsidR="0060531A" w:rsidRPr="0060531A">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7</w:t>
      </w:r>
      <w:r>
        <w:rPr>
          <w:rFonts w:ascii="Arial" w:hAnsi="Arial" w:cs="Arial"/>
          <w:i/>
          <w:iCs/>
          <w:color w:val="1F497D"/>
        </w:rPr>
        <w:fldChar w:fldCharType="end"/>
      </w:r>
      <w:r w:rsidR="0060531A" w:rsidRPr="0060531A">
        <w:rPr>
          <w:rFonts w:ascii="Arial" w:hAnsi="Arial" w:cs="Arial"/>
          <w:i/>
          <w:iCs/>
          <w:color w:val="1F497D"/>
        </w:rPr>
        <w:t xml:space="preserve"> </w:t>
      </w:r>
      <w:r w:rsidR="0060531A" w:rsidRPr="0060531A">
        <w:rPr>
          <w:rFonts w:ascii="Arial" w:hAnsi="Arial" w:cs="Arial"/>
          <w:color w:val="1F497D"/>
        </w:rPr>
        <w:t>- Analiza comparativǎ a scenariilor 1 și 2 pentru 2027</w:t>
      </w:r>
      <w:bookmarkEnd w:id="473"/>
      <w:bookmarkEnd w:id="474"/>
    </w:p>
    <w:tbl>
      <w:tblPr>
        <w:tblW w:w="8455" w:type="dxa"/>
        <w:jc w:val="center"/>
        <w:tblLayout w:type="fixed"/>
        <w:tblCellMar>
          <w:left w:w="0" w:type="dxa"/>
          <w:right w:w="0" w:type="dxa"/>
        </w:tblCellMar>
        <w:tblLook w:val="0000" w:firstRow="0" w:lastRow="0" w:firstColumn="0" w:lastColumn="0" w:noHBand="0" w:noVBand="0"/>
      </w:tblPr>
      <w:tblGrid>
        <w:gridCol w:w="2923"/>
        <w:gridCol w:w="922"/>
        <w:gridCol w:w="922"/>
        <w:gridCol w:w="922"/>
        <w:gridCol w:w="922"/>
        <w:gridCol w:w="922"/>
        <w:gridCol w:w="922"/>
      </w:tblGrid>
      <w:tr w:rsidR="00593EEF" w:rsidRPr="00593EEF" w14:paraId="09A70E75" w14:textId="77777777" w:rsidTr="00CE76B6">
        <w:trPr>
          <w:trHeight w:val="542"/>
          <w:jc w:val="center"/>
        </w:trPr>
        <w:tc>
          <w:tcPr>
            <w:tcW w:w="2923" w:type="dxa"/>
            <w:vMerge w:val="restart"/>
            <w:tcBorders>
              <w:top w:val="single" w:sz="3" w:space="0" w:color="000001"/>
              <w:left w:val="single" w:sz="3" w:space="0" w:color="000001"/>
            </w:tcBorders>
            <w:shd w:val="clear" w:color="auto" w:fill="D9D9D9"/>
            <w:vAlign w:val="center"/>
          </w:tcPr>
          <w:p w14:paraId="67B7E522" w14:textId="77777777" w:rsidR="00593EEF" w:rsidRPr="00593EEF" w:rsidRDefault="00593EEF" w:rsidP="00593EEF">
            <w:pPr>
              <w:widowControl w:val="0"/>
              <w:suppressAutoHyphens/>
              <w:spacing w:after="0" w:line="240" w:lineRule="auto"/>
              <w:jc w:val="center"/>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Parametru</w:t>
            </w:r>
          </w:p>
        </w:tc>
        <w:tc>
          <w:tcPr>
            <w:tcW w:w="2766" w:type="dxa"/>
            <w:gridSpan w:val="3"/>
            <w:tcBorders>
              <w:top w:val="single" w:sz="3" w:space="0" w:color="000001"/>
              <w:left w:val="single" w:sz="3" w:space="0" w:color="000001"/>
              <w:bottom w:val="single" w:sz="3" w:space="0" w:color="000001"/>
            </w:tcBorders>
            <w:shd w:val="clear" w:color="auto" w:fill="D9D9D9"/>
            <w:vAlign w:val="center"/>
          </w:tcPr>
          <w:p w14:paraId="14DE3F37" w14:textId="77777777" w:rsidR="00593EEF" w:rsidRPr="00593EEF" w:rsidRDefault="00593EEF" w:rsidP="00593EEF">
            <w:pPr>
              <w:widowControl w:val="0"/>
              <w:suppressAutoHyphens/>
              <w:spacing w:after="0" w:line="240" w:lineRule="auto"/>
              <w:jc w:val="center"/>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Scenariul 1</w:t>
            </w:r>
          </w:p>
        </w:tc>
        <w:tc>
          <w:tcPr>
            <w:tcW w:w="2766" w:type="dxa"/>
            <w:gridSpan w:val="3"/>
            <w:tcBorders>
              <w:top w:val="single" w:sz="3" w:space="0" w:color="000001"/>
              <w:left w:val="single" w:sz="3" w:space="0" w:color="000001"/>
              <w:bottom w:val="single" w:sz="3" w:space="0" w:color="000001"/>
              <w:right w:val="single" w:sz="3" w:space="0" w:color="000001"/>
            </w:tcBorders>
            <w:shd w:val="clear" w:color="auto" w:fill="D9D9D9"/>
            <w:vAlign w:val="center"/>
          </w:tcPr>
          <w:p w14:paraId="2D2BF01B" w14:textId="77777777" w:rsidR="00593EEF" w:rsidRPr="00593EEF" w:rsidRDefault="00593EEF" w:rsidP="00593EEF">
            <w:pPr>
              <w:widowControl w:val="0"/>
              <w:suppressAutoHyphens/>
              <w:spacing w:after="0" w:line="240" w:lineRule="auto"/>
              <w:jc w:val="center"/>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Scenariul 2</w:t>
            </w:r>
          </w:p>
        </w:tc>
      </w:tr>
      <w:tr w:rsidR="00593EEF" w:rsidRPr="00593EEF" w14:paraId="7B8F956E" w14:textId="77777777" w:rsidTr="00CE76B6">
        <w:trPr>
          <w:trHeight w:val="53"/>
          <w:jc w:val="center"/>
        </w:trPr>
        <w:tc>
          <w:tcPr>
            <w:tcW w:w="2923" w:type="dxa"/>
            <w:vMerge/>
            <w:tcBorders>
              <w:left w:val="single" w:sz="3" w:space="0" w:color="000001"/>
              <w:bottom w:val="single" w:sz="3" w:space="0" w:color="000001"/>
            </w:tcBorders>
            <w:shd w:val="clear" w:color="auto" w:fill="auto"/>
            <w:vAlign w:val="center"/>
          </w:tcPr>
          <w:p w14:paraId="68E25F64" w14:textId="77777777" w:rsidR="00593EEF" w:rsidRPr="00593EEF" w:rsidRDefault="00593EEF" w:rsidP="00593EEF">
            <w:pPr>
              <w:widowControl w:val="0"/>
              <w:suppressAutoHyphens/>
              <w:spacing w:after="0" w:line="240" w:lineRule="auto"/>
              <w:rPr>
                <w:rFonts w:ascii="Arial" w:hAnsi="Arial" w:cs="Arial"/>
                <w:kern w:val="1"/>
                <w:sz w:val="20"/>
                <w:szCs w:val="20"/>
                <w:lang w:val="ro-RO" w:eastAsia="hi-IN" w:bidi="hi-IN"/>
              </w:rPr>
            </w:pPr>
          </w:p>
        </w:tc>
        <w:tc>
          <w:tcPr>
            <w:tcW w:w="922" w:type="dxa"/>
            <w:tcBorders>
              <w:top w:val="single" w:sz="3" w:space="0" w:color="000001"/>
              <w:left w:val="single" w:sz="3" w:space="0" w:color="000001"/>
              <w:bottom w:val="single" w:sz="3" w:space="0" w:color="000001"/>
            </w:tcBorders>
            <w:shd w:val="clear" w:color="auto" w:fill="D9D9D9"/>
            <w:vAlign w:val="center"/>
          </w:tcPr>
          <w:p w14:paraId="4F7264B5" w14:textId="77777777" w:rsidR="00593EEF" w:rsidRPr="00593EEF" w:rsidRDefault="00593EEF" w:rsidP="00593EEF">
            <w:pPr>
              <w:widowControl w:val="0"/>
              <w:suppressAutoHyphens/>
              <w:spacing w:after="0" w:line="240" w:lineRule="auto"/>
              <w:jc w:val="center"/>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AM</w:t>
            </w:r>
          </w:p>
        </w:tc>
        <w:tc>
          <w:tcPr>
            <w:tcW w:w="922" w:type="dxa"/>
            <w:tcBorders>
              <w:top w:val="single" w:sz="3" w:space="0" w:color="000001"/>
              <w:left w:val="single" w:sz="3" w:space="0" w:color="000001"/>
              <w:bottom w:val="single" w:sz="3" w:space="0" w:color="000001"/>
            </w:tcBorders>
            <w:shd w:val="clear" w:color="auto" w:fill="D9D9D9"/>
          </w:tcPr>
          <w:p w14:paraId="728E4460" w14:textId="77777777" w:rsidR="00593EEF" w:rsidRPr="00593EEF" w:rsidRDefault="00593EEF" w:rsidP="00593EEF">
            <w:pPr>
              <w:widowControl w:val="0"/>
              <w:suppressAutoHyphens/>
              <w:spacing w:after="0" w:line="240" w:lineRule="auto"/>
              <w:jc w:val="center"/>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PM</w:t>
            </w:r>
          </w:p>
        </w:tc>
        <w:tc>
          <w:tcPr>
            <w:tcW w:w="922" w:type="dxa"/>
            <w:tcBorders>
              <w:top w:val="single" w:sz="3" w:space="0" w:color="000001"/>
              <w:left w:val="single" w:sz="3" w:space="0" w:color="000001"/>
              <w:bottom w:val="single" w:sz="3" w:space="0" w:color="000001"/>
            </w:tcBorders>
            <w:shd w:val="clear" w:color="auto" w:fill="D9D9D9"/>
          </w:tcPr>
          <w:p w14:paraId="56E201CC" w14:textId="77777777" w:rsidR="00593EEF" w:rsidRPr="00593EEF" w:rsidRDefault="00593EEF" w:rsidP="00593EEF">
            <w:pPr>
              <w:widowControl w:val="0"/>
              <w:suppressAutoHyphens/>
              <w:spacing w:after="0" w:line="240" w:lineRule="auto"/>
              <w:jc w:val="center"/>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24h</w:t>
            </w:r>
          </w:p>
        </w:tc>
        <w:tc>
          <w:tcPr>
            <w:tcW w:w="922"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376BD0BE" w14:textId="77777777" w:rsidR="00593EEF" w:rsidRPr="00593EEF" w:rsidRDefault="00593EEF" w:rsidP="00593EEF">
            <w:pPr>
              <w:widowControl w:val="0"/>
              <w:suppressAutoHyphens/>
              <w:spacing w:after="0" w:line="240" w:lineRule="auto"/>
              <w:jc w:val="center"/>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AM</w:t>
            </w:r>
          </w:p>
        </w:tc>
        <w:tc>
          <w:tcPr>
            <w:tcW w:w="922" w:type="dxa"/>
            <w:tcBorders>
              <w:top w:val="single" w:sz="3" w:space="0" w:color="000001"/>
              <w:left w:val="single" w:sz="3" w:space="0" w:color="000001"/>
              <w:bottom w:val="single" w:sz="3" w:space="0" w:color="000001"/>
              <w:right w:val="single" w:sz="3" w:space="0" w:color="000001"/>
            </w:tcBorders>
            <w:shd w:val="clear" w:color="auto" w:fill="D9D9D9"/>
          </w:tcPr>
          <w:p w14:paraId="3E33D680" w14:textId="77777777" w:rsidR="00593EEF" w:rsidRPr="00593EEF" w:rsidRDefault="00593EEF" w:rsidP="00593EEF">
            <w:pPr>
              <w:widowControl w:val="0"/>
              <w:suppressAutoHyphens/>
              <w:spacing w:after="0" w:line="240" w:lineRule="auto"/>
              <w:jc w:val="center"/>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PM</w:t>
            </w:r>
          </w:p>
        </w:tc>
        <w:tc>
          <w:tcPr>
            <w:tcW w:w="922" w:type="dxa"/>
            <w:tcBorders>
              <w:top w:val="single" w:sz="3" w:space="0" w:color="000001"/>
              <w:left w:val="single" w:sz="3" w:space="0" w:color="000001"/>
              <w:bottom w:val="single" w:sz="3" w:space="0" w:color="000001"/>
              <w:right w:val="single" w:sz="3" w:space="0" w:color="000001"/>
            </w:tcBorders>
            <w:shd w:val="clear" w:color="auto" w:fill="D9D9D9"/>
          </w:tcPr>
          <w:p w14:paraId="65B8BF4B" w14:textId="77777777" w:rsidR="00593EEF" w:rsidRPr="00593EEF" w:rsidRDefault="00593EEF" w:rsidP="00593EEF">
            <w:pPr>
              <w:widowControl w:val="0"/>
              <w:suppressAutoHyphens/>
              <w:spacing w:after="0" w:line="240" w:lineRule="auto"/>
              <w:jc w:val="center"/>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24h</w:t>
            </w:r>
          </w:p>
        </w:tc>
      </w:tr>
      <w:tr w:rsidR="00593EEF" w:rsidRPr="00593EEF" w14:paraId="057A607F" w14:textId="77777777" w:rsidTr="00CE76B6">
        <w:trPr>
          <w:trHeight w:val="53"/>
          <w:jc w:val="center"/>
        </w:trPr>
        <w:tc>
          <w:tcPr>
            <w:tcW w:w="2923" w:type="dxa"/>
            <w:tcBorders>
              <w:top w:val="single" w:sz="3" w:space="0" w:color="000001"/>
              <w:left w:val="single" w:sz="3" w:space="0" w:color="000001"/>
              <w:bottom w:val="single" w:sz="3" w:space="0" w:color="000001"/>
            </w:tcBorders>
            <w:shd w:val="clear" w:color="auto" w:fill="auto"/>
            <w:vAlign w:val="center"/>
          </w:tcPr>
          <w:p w14:paraId="4E64A076" w14:textId="77777777" w:rsidR="00593EEF" w:rsidRPr="00593EEF" w:rsidRDefault="00593EEF" w:rsidP="00593EEF">
            <w:pPr>
              <w:widowControl w:val="0"/>
              <w:suppressAutoHyphens/>
              <w:spacing w:after="0" w:line="240" w:lineRule="auto"/>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Viteza medie de circulație (km/h)</w:t>
            </w:r>
          </w:p>
        </w:tc>
        <w:tc>
          <w:tcPr>
            <w:tcW w:w="922" w:type="dxa"/>
            <w:tcBorders>
              <w:top w:val="single" w:sz="3" w:space="0" w:color="000001"/>
              <w:left w:val="single" w:sz="3" w:space="0" w:color="000001"/>
              <w:bottom w:val="single" w:sz="3" w:space="0" w:color="000001"/>
            </w:tcBorders>
            <w:shd w:val="clear" w:color="auto" w:fill="FFFFFF"/>
            <w:vAlign w:val="center"/>
          </w:tcPr>
          <w:p w14:paraId="056CA051"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29,53</w:t>
            </w:r>
          </w:p>
        </w:tc>
        <w:tc>
          <w:tcPr>
            <w:tcW w:w="922" w:type="dxa"/>
            <w:tcBorders>
              <w:top w:val="single" w:sz="3" w:space="0" w:color="000001"/>
              <w:left w:val="single" w:sz="3" w:space="0" w:color="000001"/>
              <w:bottom w:val="single" w:sz="3" w:space="0" w:color="000001"/>
            </w:tcBorders>
            <w:shd w:val="clear" w:color="auto" w:fill="FFFFFF"/>
            <w:vAlign w:val="center"/>
          </w:tcPr>
          <w:p w14:paraId="334F07E9"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29,96</w:t>
            </w:r>
          </w:p>
        </w:tc>
        <w:tc>
          <w:tcPr>
            <w:tcW w:w="922" w:type="dxa"/>
            <w:tcBorders>
              <w:top w:val="single" w:sz="3" w:space="0" w:color="000001"/>
              <w:left w:val="single" w:sz="3" w:space="0" w:color="000001"/>
              <w:bottom w:val="single" w:sz="3" w:space="0" w:color="000001"/>
            </w:tcBorders>
            <w:shd w:val="clear" w:color="auto" w:fill="FFFFFF"/>
            <w:vAlign w:val="center"/>
          </w:tcPr>
          <w:p w14:paraId="79EF503B"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32,72</w:t>
            </w:r>
          </w:p>
        </w:tc>
        <w:tc>
          <w:tcPr>
            <w:tcW w:w="922"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6CE5D86C"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31,64</w:t>
            </w:r>
          </w:p>
        </w:tc>
        <w:tc>
          <w:tcPr>
            <w:tcW w:w="922"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8ACA424"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31,64</w:t>
            </w:r>
          </w:p>
        </w:tc>
        <w:tc>
          <w:tcPr>
            <w:tcW w:w="922"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2221CB20"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34,80</w:t>
            </w:r>
          </w:p>
        </w:tc>
      </w:tr>
      <w:tr w:rsidR="00593EEF" w:rsidRPr="00593EEF" w14:paraId="768C9F58" w14:textId="77777777" w:rsidTr="00CE76B6">
        <w:trPr>
          <w:trHeight w:val="53"/>
          <w:jc w:val="center"/>
        </w:trPr>
        <w:tc>
          <w:tcPr>
            <w:tcW w:w="2923" w:type="dxa"/>
            <w:tcBorders>
              <w:top w:val="single" w:sz="3" w:space="0" w:color="000001"/>
              <w:left w:val="single" w:sz="3" w:space="0" w:color="000001"/>
              <w:bottom w:val="single" w:sz="3" w:space="0" w:color="000001"/>
            </w:tcBorders>
            <w:shd w:val="clear" w:color="auto" w:fill="auto"/>
            <w:vAlign w:val="center"/>
          </w:tcPr>
          <w:p w14:paraId="42D4A1C2" w14:textId="77777777" w:rsidR="00593EEF" w:rsidRPr="00593EEF" w:rsidRDefault="00593EEF" w:rsidP="00593EEF">
            <w:pPr>
              <w:widowControl w:val="0"/>
              <w:suppressAutoHyphens/>
              <w:spacing w:after="0" w:line="240" w:lineRule="auto"/>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Întârzierea medie (sec)</w:t>
            </w:r>
          </w:p>
        </w:tc>
        <w:tc>
          <w:tcPr>
            <w:tcW w:w="922" w:type="dxa"/>
            <w:tcBorders>
              <w:top w:val="single" w:sz="3" w:space="0" w:color="000001"/>
              <w:left w:val="single" w:sz="3" w:space="0" w:color="000001"/>
              <w:bottom w:val="single" w:sz="3" w:space="0" w:color="000001"/>
            </w:tcBorders>
            <w:shd w:val="clear" w:color="auto" w:fill="FFFFFF"/>
            <w:vAlign w:val="center"/>
          </w:tcPr>
          <w:p w14:paraId="724E5D19"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43,44</w:t>
            </w:r>
          </w:p>
        </w:tc>
        <w:tc>
          <w:tcPr>
            <w:tcW w:w="922" w:type="dxa"/>
            <w:tcBorders>
              <w:top w:val="single" w:sz="3" w:space="0" w:color="000001"/>
              <w:left w:val="single" w:sz="3" w:space="0" w:color="000001"/>
              <w:bottom w:val="single" w:sz="3" w:space="0" w:color="000001"/>
            </w:tcBorders>
            <w:shd w:val="clear" w:color="auto" w:fill="FFFFFF"/>
            <w:vAlign w:val="center"/>
          </w:tcPr>
          <w:p w14:paraId="43568F2E"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42,10</w:t>
            </w:r>
          </w:p>
        </w:tc>
        <w:tc>
          <w:tcPr>
            <w:tcW w:w="922" w:type="dxa"/>
            <w:tcBorders>
              <w:top w:val="single" w:sz="3" w:space="0" w:color="000001"/>
              <w:left w:val="single" w:sz="3" w:space="0" w:color="000001"/>
              <w:bottom w:val="single" w:sz="3" w:space="0" w:color="000001"/>
            </w:tcBorders>
            <w:shd w:val="clear" w:color="auto" w:fill="FFFFFF"/>
            <w:vAlign w:val="center"/>
          </w:tcPr>
          <w:p w14:paraId="6ABF9E5E"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21,72</w:t>
            </w:r>
          </w:p>
        </w:tc>
        <w:tc>
          <w:tcPr>
            <w:tcW w:w="922"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542B6100"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38,05</w:t>
            </w:r>
          </w:p>
        </w:tc>
        <w:tc>
          <w:tcPr>
            <w:tcW w:w="922"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1F352993"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39,49</w:t>
            </w:r>
          </w:p>
        </w:tc>
        <w:tc>
          <w:tcPr>
            <w:tcW w:w="922"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5588A772"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19,03</w:t>
            </w:r>
          </w:p>
        </w:tc>
      </w:tr>
      <w:tr w:rsidR="00593EEF" w:rsidRPr="00593EEF" w14:paraId="0D1109BD" w14:textId="77777777" w:rsidTr="00CE76B6">
        <w:trPr>
          <w:trHeight w:val="102"/>
          <w:jc w:val="center"/>
        </w:trPr>
        <w:tc>
          <w:tcPr>
            <w:tcW w:w="2923" w:type="dxa"/>
            <w:tcBorders>
              <w:top w:val="single" w:sz="3" w:space="0" w:color="000001"/>
              <w:left w:val="single" w:sz="3" w:space="0" w:color="000001"/>
              <w:bottom w:val="single" w:sz="3" w:space="0" w:color="000001"/>
            </w:tcBorders>
            <w:shd w:val="clear" w:color="auto" w:fill="auto"/>
            <w:vAlign w:val="center"/>
          </w:tcPr>
          <w:p w14:paraId="0BC9F87F" w14:textId="77777777" w:rsidR="00593EEF" w:rsidRPr="00593EEF" w:rsidRDefault="00593EEF" w:rsidP="00593EEF">
            <w:pPr>
              <w:widowControl w:val="0"/>
              <w:suppressAutoHyphens/>
              <w:spacing w:after="0" w:line="240" w:lineRule="auto"/>
              <w:rPr>
                <w:rFonts w:ascii="Arial" w:hAnsi="Arial" w:cs="Arial"/>
                <w:kern w:val="1"/>
                <w:sz w:val="20"/>
                <w:szCs w:val="20"/>
                <w:lang w:val="ro-RO" w:eastAsia="hi-IN" w:bidi="hi-IN"/>
              </w:rPr>
            </w:pPr>
            <w:r w:rsidRPr="00593EEF">
              <w:rPr>
                <w:rFonts w:ascii="Arial" w:hAnsi="Arial" w:cs="Arial"/>
                <w:kern w:val="1"/>
                <w:sz w:val="20"/>
                <w:szCs w:val="20"/>
                <w:lang w:val="ro-RO" w:eastAsia="hi-IN" w:bidi="hi-IN"/>
              </w:rPr>
              <w:t>Consum de combustibil (litri)</w:t>
            </w:r>
          </w:p>
        </w:tc>
        <w:tc>
          <w:tcPr>
            <w:tcW w:w="922" w:type="dxa"/>
            <w:tcBorders>
              <w:top w:val="single" w:sz="3" w:space="0" w:color="000001"/>
              <w:left w:val="single" w:sz="3" w:space="0" w:color="000001"/>
              <w:bottom w:val="single" w:sz="3" w:space="0" w:color="000001"/>
            </w:tcBorders>
            <w:shd w:val="clear" w:color="auto" w:fill="FFFFFF"/>
            <w:vAlign w:val="center"/>
          </w:tcPr>
          <w:p w14:paraId="5E4EC79F"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335,54</w:t>
            </w:r>
          </w:p>
        </w:tc>
        <w:tc>
          <w:tcPr>
            <w:tcW w:w="922" w:type="dxa"/>
            <w:tcBorders>
              <w:top w:val="single" w:sz="3" w:space="0" w:color="000001"/>
              <w:left w:val="single" w:sz="3" w:space="0" w:color="000001"/>
              <w:bottom w:val="single" w:sz="3" w:space="0" w:color="000001"/>
            </w:tcBorders>
            <w:shd w:val="clear" w:color="auto" w:fill="FFFFFF"/>
            <w:vAlign w:val="center"/>
          </w:tcPr>
          <w:p w14:paraId="0F4D1467"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461,34</w:t>
            </w:r>
          </w:p>
        </w:tc>
        <w:tc>
          <w:tcPr>
            <w:tcW w:w="922" w:type="dxa"/>
            <w:tcBorders>
              <w:top w:val="single" w:sz="3" w:space="0" w:color="000001"/>
              <w:left w:val="single" w:sz="3" w:space="0" w:color="000001"/>
              <w:bottom w:val="single" w:sz="3" w:space="0" w:color="000001"/>
            </w:tcBorders>
            <w:shd w:val="clear" w:color="auto" w:fill="FFFFFF"/>
            <w:vAlign w:val="center"/>
          </w:tcPr>
          <w:p w14:paraId="1B146DA4"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4781,28</w:t>
            </w:r>
          </w:p>
        </w:tc>
        <w:tc>
          <w:tcPr>
            <w:tcW w:w="922"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9BEE539"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313,90</w:t>
            </w:r>
          </w:p>
        </w:tc>
        <w:tc>
          <w:tcPr>
            <w:tcW w:w="922"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2B6CA1D6"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416,11</w:t>
            </w:r>
          </w:p>
        </w:tc>
        <w:tc>
          <w:tcPr>
            <w:tcW w:w="922"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01895867" w14:textId="77777777" w:rsidR="00593EEF" w:rsidRPr="00593EEF" w:rsidRDefault="00593EEF" w:rsidP="00593EEF">
            <w:pPr>
              <w:spacing w:after="0"/>
              <w:jc w:val="center"/>
              <w:rPr>
                <w:rFonts w:ascii="Arial" w:hAnsi="Arial" w:cs="Arial"/>
                <w:sz w:val="20"/>
                <w:szCs w:val="20"/>
                <w:highlight w:val="red"/>
                <w:lang w:val="ro-RO"/>
              </w:rPr>
            </w:pPr>
            <w:r w:rsidRPr="00593EEF">
              <w:rPr>
                <w:rFonts w:ascii="Arial" w:hAnsi="Arial" w:cs="Arial"/>
                <w:color w:val="000000"/>
                <w:sz w:val="20"/>
                <w:szCs w:val="20"/>
              </w:rPr>
              <w:t>4380,10</w:t>
            </w:r>
          </w:p>
        </w:tc>
      </w:tr>
    </w:tbl>
    <w:p w14:paraId="2FC749EC" w14:textId="77777777" w:rsidR="00593EEF" w:rsidRPr="0060531A" w:rsidRDefault="00593EEF" w:rsidP="0060531A">
      <w:pPr>
        <w:spacing w:after="200" w:line="240" w:lineRule="auto"/>
        <w:jc w:val="center"/>
        <w:rPr>
          <w:rFonts w:ascii="Arial" w:hAnsi="Arial" w:cs="Arial"/>
          <w:color w:val="1F497D"/>
          <w:kern w:val="1"/>
          <w:lang w:val="ro-RO" w:eastAsia="hi-IN" w:bidi="hi-IN"/>
        </w:rPr>
      </w:pPr>
    </w:p>
    <w:p w14:paraId="5F2079C3" w14:textId="77777777" w:rsidR="0060531A" w:rsidRPr="0060531A" w:rsidRDefault="0060531A" w:rsidP="0060531A">
      <w:pPr>
        <w:widowControl w:val="0"/>
        <w:suppressAutoHyphens/>
        <w:spacing w:after="0" w:line="240" w:lineRule="auto"/>
        <w:rPr>
          <w:rFonts w:ascii="Arial" w:hAnsi="Arial" w:cs="Mangal"/>
          <w:kern w:val="1"/>
          <w:sz w:val="20"/>
          <w:szCs w:val="20"/>
          <w:lang w:val="ro-RO" w:eastAsia="hi-IN" w:bidi="hi-IN"/>
        </w:rPr>
      </w:pPr>
    </w:p>
    <w:p w14:paraId="7BEC1CA8" w14:textId="58908B5F" w:rsidR="0060531A" w:rsidRPr="0060531A" w:rsidRDefault="00593EEF" w:rsidP="0060531A">
      <w:pPr>
        <w:tabs>
          <w:tab w:val="left" w:pos="3180"/>
        </w:tabs>
        <w:jc w:val="center"/>
        <w:rPr>
          <w:rFonts w:ascii="Arial" w:hAnsi="Arial" w:cs="Mangal"/>
          <w:sz w:val="20"/>
          <w:szCs w:val="24"/>
          <w:lang w:val="ro-RO" w:eastAsia="ro-RO"/>
        </w:rPr>
      </w:pPr>
      <w:r>
        <w:rPr>
          <w:noProof/>
        </w:rPr>
        <w:drawing>
          <wp:inline distT="0" distB="0" distL="0" distR="0" wp14:anchorId="3C3FA995" wp14:editId="71598C72">
            <wp:extent cx="4591050" cy="2686050"/>
            <wp:effectExtent l="0" t="0" r="0" b="0"/>
            <wp:docPr id="262" name="Chart 262">
              <a:extLst xmlns:a="http://schemas.openxmlformats.org/drawingml/2006/main">
                <a:ext uri="{FF2B5EF4-FFF2-40B4-BE49-F238E27FC236}">
                  <a16:creationId xmlns:a16="http://schemas.microsoft.com/office/drawing/2014/main" id="{F38E527B-7A7B-4F76-93CB-AD86B3FD80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5"/>
              </a:graphicData>
            </a:graphic>
          </wp:inline>
        </w:drawing>
      </w:r>
    </w:p>
    <w:p w14:paraId="2C144BAC" w14:textId="0D051DEB" w:rsidR="0060531A" w:rsidRPr="00BB0D72" w:rsidRDefault="00BB0D72" w:rsidP="00BB0D72">
      <w:pPr>
        <w:pStyle w:val="Legend"/>
        <w:jc w:val="center"/>
        <w:rPr>
          <w:rFonts w:ascii="Arial" w:hAnsi="Arial" w:cs="Arial"/>
          <w:color w:val="1F497D"/>
          <w:sz w:val="22"/>
          <w:szCs w:val="22"/>
        </w:rPr>
      </w:pPr>
      <w:bookmarkStart w:id="475" w:name="_Toc68361038"/>
      <w:bookmarkStart w:id="476" w:name="_Toc140744530"/>
      <w:r w:rsidRPr="00BB0D72">
        <w:rPr>
          <w:rFonts w:ascii="Arial" w:hAnsi="Arial" w:cs="Arial"/>
          <w:sz w:val="22"/>
          <w:szCs w:val="22"/>
        </w:rPr>
        <w:t xml:space="preserve">Figura I.7. </w:t>
      </w:r>
      <w:r w:rsidRPr="00593EEF">
        <w:rPr>
          <w:rFonts w:ascii="Arial" w:hAnsi="Arial" w:cs="Arial"/>
          <w:sz w:val="22"/>
          <w:szCs w:val="22"/>
        </w:rPr>
        <w:fldChar w:fldCharType="begin"/>
      </w:r>
      <w:r w:rsidRPr="00593EEF">
        <w:rPr>
          <w:rFonts w:ascii="Arial" w:hAnsi="Arial" w:cs="Arial"/>
          <w:sz w:val="22"/>
          <w:szCs w:val="22"/>
        </w:rPr>
        <w:instrText xml:space="preserve"> SEQ Figura_I.7. \* ARABIC </w:instrText>
      </w:r>
      <w:r w:rsidRPr="00593EEF">
        <w:rPr>
          <w:rFonts w:ascii="Arial" w:hAnsi="Arial" w:cs="Arial"/>
          <w:sz w:val="22"/>
          <w:szCs w:val="22"/>
        </w:rPr>
        <w:fldChar w:fldCharType="separate"/>
      </w:r>
      <w:r w:rsidR="00BB181C">
        <w:rPr>
          <w:rFonts w:ascii="Arial" w:hAnsi="Arial" w:cs="Arial"/>
          <w:noProof/>
          <w:sz w:val="22"/>
          <w:szCs w:val="22"/>
        </w:rPr>
        <w:t>5</w:t>
      </w:r>
      <w:r w:rsidRPr="00593EEF">
        <w:rPr>
          <w:rFonts w:ascii="Arial" w:hAnsi="Arial" w:cs="Arial"/>
          <w:sz w:val="22"/>
          <w:szCs w:val="22"/>
        </w:rPr>
        <w:fldChar w:fldCharType="end"/>
      </w:r>
      <w:r w:rsidRPr="00593EEF">
        <w:rPr>
          <w:rFonts w:ascii="Arial" w:hAnsi="Arial" w:cs="Arial"/>
          <w:sz w:val="22"/>
          <w:szCs w:val="22"/>
        </w:rPr>
        <w:t xml:space="preserve"> </w:t>
      </w:r>
      <w:r w:rsidR="0060531A" w:rsidRPr="00593EEF">
        <w:rPr>
          <w:rFonts w:ascii="Arial" w:hAnsi="Arial" w:cs="Arial"/>
          <w:i w:val="0"/>
          <w:iCs w:val="0"/>
          <w:color w:val="1F497D"/>
          <w:sz w:val="22"/>
          <w:szCs w:val="22"/>
        </w:rPr>
        <w:t>– Viteza medie de circulație</w:t>
      </w:r>
      <w:bookmarkEnd w:id="475"/>
      <w:bookmarkEnd w:id="476"/>
    </w:p>
    <w:p w14:paraId="21A7DC07" w14:textId="4D82B726" w:rsidR="0060531A" w:rsidRPr="0060531A" w:rsidRDefault="00593EEF" w:rsidP="0060531A">
      <w:pPr>
        <w:jc w:val="center"/>
        <w:rPr>
          <w:rFonts w:ascii="Calibri" w:hAnsi="Calibri" w:cs="Times New Roman"/>
        </w:rPr>
      </w:pPr>
      <w:r>
        <w:rPr>
          <w:noProof/>
        </w:rPr>
        <w:drawing>
          <wp:inline distT="0" distB="0" distL="0" distR="0" wp14:anchorId="2AB90778" wp14:editId="17605832">
            <wp:extent cx="4574540" cy="2413000"/>
            <wp:effectExtent l="0" t="0" r="16510" b="6350"/>
            <wp:docPr id="263" name="Chart 263">
              <a:extLst xmlns:a="http://schemas.openxmlformats.org/drawingml/2006/main">
                <a:ext uri="{FF2B5EF4-FFF2-40B4-BE49-F238E27FC236}">
                  <a16:creationId xmlns:a16="http://schemas.microsoft.com/office/drawing/2014/main" id="{0CC7EF5D-15EA-467F-B4E7-547D94E35F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p>
    <w:p w14:paraId="3FB0CA84" w14:textId="2B426C00" w:rsidR="0060531A" w:rsidRPr="00BB0D72" w:rsidRDefault="00BB0D72" w:rsidP="00BB0D72">
      <w:pPr>
        <w:pStyle w:val="Legend"/>
        <w:jc w:val="center"/>
        <w:rPr>
          <w:rFonts w:ascii="Arial" w:hAnsi="Arial" w:cs="Arial"/>
          <w:i w:val="0"/>
          <w:iCs w:val="0"/>
          <w:noProof/>
          <w:color w:val="1F497D"/>
          <w:kern w:val="1"/>
          <w:sz w:val="22"/>
          <w:szCs w:val="22"/>
          <w:lang w:val="ro-RO" w:eastAsia="ro-RO"/>
        </w:rPr>
      </w:pPr>
      <w:bookmarkStart w:id="477" w:name="_Toc68361039"/>
      <w:bookmarkStart w:id="478" w:name="_Toc140744531"/>
      <w:r w:rsidRPr="00BB0D72">
        <w:rPr>
          <w:rFonts w:ascii="Arial" w:hAnsi="Arial" w:cs="Arial"/>
          <w:sz w:val="22"/>
          <w:szCs w:val="22"/>
        </w:rPr>
        <w:t xml:space="preserve">Figura I.7. </w:t>
      </w:r>
      <w:r w:rsidRPr="00BB0D72">
        <w:rPr>
          <w:rFonts w:ascii="Arial" w:hAnsi="Arial" w:cs="Arial"/>
          <w:sz w:val="22"/>
          <w:szCs w:val="22"/>
        </w:rPr>
        <w:fldChar w:fldCharType="begin"/>
      </w:r>
      <w:r w:rsidRPr="00BB0D72">
        <w:rPr>
          <w:rFonts w:ascii="Arial" w:hAnsi="Arial" w:cs="Arial"/>
          <w:sz w:val="22"/>
          <w:szCs w:val="22"/>
        </w:rPr>
        <w:instrText xml:space="preserve"> SEQ Figura_I.7. \* ARABIC </w:instrText>
      </w:r>
      <w:r w:rsidRPr="00BB0D72">
        <w:rPr>
          <w:rFonts w:ascii="Arial" w:hAnsi="Arial" w:cs="Arial"/>
          <w:sz w:val="22"/>
          <w:szCs w:val="22"/>
        </w:rPr>
        <w:fldChar w:fldCharType="separate"/>
      </w:r>
      <w:r w:rsidR="00BB181C">
        <w:rPr>
          <w:rFonts w:ascii="Arial" w:hAnsi="Arial" w:cs="Arial"/>
          <w:noProof/>
          <w:sz w:val="22"/>
          <w:szCs w:val="22"/>
        </w:rPr>
        <w:t>6</w:t>
      </w:r>
      <w:r w:rsidRPr="00BB0D72">
        <w:rPr>
          <w:rFonts w:ascii="Arial" w:hAnsi="Arial" w:cs="Arial"/>
          <w:sz w:val="22"/>
          <w:szCs w:val="22"/>
        </w:rPr>
        <w:fldChar w:fldCharType="end"/>
      </w:r>
      <w:r w:rsidRPr="00BB0D72">
        <w:rPr>
          <w:rFonts w:ascii="Arial" w:hAnsi="Arial" w:cs="Arial"/>
          <w:sz w:val="22"/>
          <w:szCs w:val="22"/>
        </w:rPr>
        <w:t xml:space="preserve"> </w:t>
      </w:r>
      <w:r w:rsidR="0060531A" w:rsidRPr="00593EEF">
        <w:rPr>
          <w:rFonts w:ascii="Arial" w:hAnsi="Arial" w:cs="Arial"/>
          <w:i w:val="0"/>
          <w:iCs w:val="0"/>
          <w:color w:val="1F497D"/>
          <w:sz w:val="22"/>
          <w:szCs w:val="22"/>
        </w:rPr>
        <w:t>– Întârzierea medie [sec]</w:t>
      </w:r>
      <w:bookmarkEnd w:id="477"/>
      <w:bookmarkEnd w:id="478"/>
    </w:p>
    <w:p w14:paraId="0938A74E" w14:textId="77777777" w:rsidR="0060531A" w:rsidRPr="0060531A" w:rsidRDefault="0060531A" w:rsidP="0060531A">
      <w:pPr>
        <w:widowControl w:val="0"/>
        <w:suppressAutoHyphens/>
        <w:spacing w:after="0" w:line="240" w:lineRule="auto"/>
        <w:jc w:val="center"/>
        <w:rPr>
          <w:rFonts w:ascii="Arial" w:hAnsi="Arial" w:cs="Mangal"/>
          <w:kern w:val="1"/>
          <w:sz w:val="20"/>
          <w:szCs w:val="24"/>
          <w:lang w:val="it-IT" w:eastAsia="hi-IN" w:bidi="hi-IN"/>
        </w:rPr>
      </w:pPr>
    </w:p>
    <w:p w14:paraId="5D770239" w14:textId="1343217C" w:rsidR="0060531A" w:rsidRPr="0060531A" w:rsidRDefault="00593EEF" w:rsidP="0060531A">
      <w:pPr>
        <w:widowControl w:val="0"/>
        <w:suppressAutoHyphens/>
        <w:spacing w:after="0" w:line="240" w:lineRule="auto"/>
        <w:jc w:val="center"/>
        <w:rPr>
          <w:rFonts w:ascii="Arial" w:hAnsi="Arial" w:cs="Mangal"/>
          <w:kern w:val="1"/>
          <w:sz w:val="20"/>
          <w:szCs w:val="24"/>
          <w:lang w:val="it-IT" w:eastAsia="hi-IN" w:bidi="hi-IN"/>
        </w:rPr>
      </w:pPr>
      <w:r>
        <w:rPr>
          <w:noProof/>
        </w:rPr>
        <w:drawing>
          <wp:inline distT="0" distB="0" distL="0" distR="0" wp14:anchorId="11683ABC" wp14:editId="66A209F9">
            <wp:extent cx="4583610" cy="3129902"/>
            <wp:effectExtent l="0" t="0" r="7620" b="13970"/>
            <wp:docPr id="265" name="Chart 265">
              <a:extLst xmlns:a="http://schemas.openxmlformats.org/drawingml/2006/main">
                <a:ext uri="{FF2B5EF4-FFF2-40B4-BE49-F238E27FC236}">
                  <a16:creationId xmlns:a16="http://schemas.microsoft.com/office/drawing/2014/main" id="{CD00B7A8-8AE3-4799-8033-C5D9EE16A7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p>
    <w:p w14:paraId="399D28F6" w14:textId="3B47E202" w:rsidR="0060531A" w:rsidRPr="00BB0D72" w:rsidRDefault="00BB0D72" w:rsidP="00BB0D72">
      <w:pPr>
        <w:pStyle w:val="Legend"/>
        <w:jc w:val="center"/>
        <w:rPr>
          <w:rFonts w:ascii="Arial" w:hAnsi="Arial" w:cs="Arial"/>
          <w:i w:val="0"/>
          <w:iCs w:val="0"/>
          <w:color w:val="1F497D"/>
          <w:sz w:val="22"/>
          <w:szCs w:val="22"/>
        </w:rPr>
      </w:pPr>
      <w:bookmarkStart w:id="479" w:name="_Toc68361040"/>
      <w:bookmarkStart w:id="480" w:name="_Toc140744532"/>
      <w:r w:rsidRPr="00BB0D72">
        <w:rPr>
          <w:rFonts w:ascii="Arial" w:hAnsi="Arial" w:cs="Arial"/>
          <w:sz w:val="22"/>
          <w:szCs w:val="22"/>
        </w:rPr>
        <w:t xml:space="preserve">Figura I.7. </w:t>
      </w:r>
      <w:r w:rsidRPr="00BB0D72">
        <w:rPr>
          <w:rFonts w:ascii="Arial" w:hAnsi="Arial" w:cs="Arial"/>
          <w:sz w:val="22"/>
          <w:szCs w:val="22"/>
        </w:rPr>
        <w:fldChar w:fldCharType="begin"/>
      </w:r>
      <w:r w:rsidRPr="00BB0D72">
        <w:rPr>
          <w:rFonts w:ascii="Arial" w:hAnsi="Arial" w:cs="Arial"/>
          <w:sz w:val="22"/>
          <w:szCs w:val="22"/>
        </w:rPr>
        <w:instrText xml:space="preserve"> SEQ Figura_I.7. \* ARABIC </w:instrText>
      </w:r>
      <w:r w:rsidRPr="00BB0D72">
        <w:rPr>
          <w:rFonts w:ascii="Arial" w:hAnsi="Arial" w:cs="Arial"/>
          <w:sz w:val="22"/>
          <w:szCs w:val="22"/>
        </w:rPr>
        <w:fldChar w:fldCharType="separate"/>
      </w:r>
      <w:r w:rsidR="00BB181C">
        <w:rPr>
          <w:rFonts w:ascii="Arial" w:hAnsi="Arial" w:cs="Arial"/>
          <w:noProof/>
          <w:sz w:val="22"/>
          <w:szCs w:val="22"/>
        </w:rPr>
        <w:t>7</w:t>
      </w:r>
      <w:r w:rsidRPr="00BB0D72">
        <w:rPr>
          <w:rFonts w:ascii="Arial" w:hAnsi="Arial" w:cs="Arial"/>
          <w:sz w:val="22"/>
          <w:szCs w:val="22"/>
        </w:rPr>
        <w:fldChar w:fldCharType="end"/>
      </w:r>
      <w:r w:rsidRPr="00BB0D72">
        <w:rPr>
          <w:rFonts w:ascii="Arial" w:hAnsi="Arial" w:cs="Arial"/>
          <w:sz w:val="22"/>
          <w:szCs w:val="22"/>
        </w:rPr>
        <w:t xml:space="preserve"> </w:t>
      </w:r>
      <w:r w:rsidR="0060531A" w:rsidRPr="00593EEF">
        <w:rPr>
          <w:rFonts w:ascii="Arial" w:hAnsi="Arial" w:cs="Arial"/>
          <w:color w:val="1F497D"/>
          <w:sz w:val="22"/>
          <w:szCs w:val="22"/>
        </w:rPr>
        <w:t xml:space="preserve">– </w:t>
      </w:r>
      <w:r w:rsidR="0060531A" w:rsidRPr="00593EEF">
        <w:rPr>
          <w:rFonts w:ascii="Arial" w:hAnsi="Arial" w:cs="Arial"/>
          <w:i w:val="0"/>
          <w:iCs w:val="0"/>
          <w:color w:val="1F497D"/>
          <w:sz w:val="22"/>
          <w:szCs w:val="22"/>
        </w:rPr>
        <w:t>Consum combustibil [litri]</w:t>
      </w:r>
      <w:bookmarkEnd w:id="479"/>
      <w:bookmarkEnd w:id="480"/>
    </w:p>
    <w:p w14:paraId="5D39408E" w14:textId="77777777" w:rsidR="0060531A" w:rsidRPr="0060531A" w:rsidRDefault="0060531A" w:rsidP="0060531A">
      <w:pPr>
        <w:rPr>
          <w:rFonts w:ascii="Calibri" w:hAnsi="Calibri" w:cs="Times New Roman"/>
        </w:rPr>
      </w:pPr>
    </w:p>
    <w:p w14:paraId="3DEFC085" w14:textId="77777777" w:rsidR="004F5666" w:rsidRPr="0028563B" w:rsidRDefault="004F5666" w:rsidP="0028563B">
      <w:pPr>
        <w:pStyle w:val="Titlu3"/>
        <w:rPr>
          <w:rFonts w:ascii="Arial" w:hAnsi="Arial" w:cs="Arial"/>
          <w:sz w:val="24"/>
          <w:szCs w:val="24"/>
          <w:lang w:val="ro-RO"/>
        </w:rPr>
      </w:pPr>
      <w:bookmarkStart w:id="481" w:name="_Toc142039111"/>
      <w:r w:rsidRPr="0028563B">
        <w:rPr>
          <w:rFonts w:ascii="Arial" w:hAnsi="Arial" w:cs="Arial"/>
          <w:sz w:val="24"/>
          <w:szCs w:val="24"/>
          <w:lang w:val="ro-RO"/>
        </w:rPr>
        <w:t>I.7.1.2 Orizont 2035</w:t>
      </w:r>
      <w:bookmarkEnd w:id="481"/>
    </w:p>
    <w:p w14:paraId="31B9835C" w14:textId="77777777" w:rsidR="004F5666" w:rsidRDefault="004F5666" w:rsidP="0028563B">
      <w:pPr>
        <w:pStyle w:val="Titlu4"/>
        <w:numPr>
          <w:ilvl w:val="0"/>
          <w:numId w:val="0"/>
        </w:numPr>
        <w:rPr>
          <w:rFonts w:ascii="Arial" w:hAnsi="Arial" w:cs="Arial"/>
          <w:sz w:val="22"/>
          <w:szCs w:val="22"/>
          <w:lang w:bidi="hi-IN"/>
        </w:rPr>
      </w:pPr>
      <w:r w:rsidRPr="0028563B">
        <w:rPr>
          <w:rFonts w:ascii="Arial" w:hAnsi="Arial" w:cs="Arial"/>
          <w:sz w:val="22"/>
          <w:szCs w:val="22"/>
          <w:lang w:bidi="hi-IN"/>
        </w:rPr>
        <w:t>I.7.1.2.1 Parametri ora de vârf AM orizont 2035</w:t>
      </w:r>
    </w:p>
    <w:p w14:paraId="34F1407B" w14:textId="77777777" w:rsidR="0060531A" w:rsidRPr="0060531A" w:rsidRDefault="0060531A" w:rsidP="0060531A">
      <w:pPr>
        <w:widowControl w:val="0"/>
        <w:suppressAutoHyphens/>
        <w:spacing w:after="0" w:line="360" w:lineRule="auto"/>
        <w:rPr>
          <w:rFonts w:ascii="Arial" w:hAnsi="Arial" w:cs="Mangal"/>
          <w:kern w:val="1"/>
          <w:sz w:val="24"/>
          <w:szCs w:val="24"/>
          <w:lang w:val="ro-RO" w:eastAsia="hi-IN" w:bidi="hi-IN"/>
        </w:rPr>
      </w:pPr>
      <w:r w:rsidRPr="0060531A">
        <w:rPr>
          <w:rFonts w:ascii="Arial" w:hAnsi="Arial" w:cs="Mangal"/>
          <w:kern w:val="1"/>
          <w:sz w:val="24"/>
          <w:szCs w:val="24"/>
          <w:lang w:val="ro-RO" w:eastAsia="hi-IN" w:bidi="hi-IN"/>
        </w:rPr>
        <w:t>La nivel de rețea se obțin următoarele date:</w:t>
      </w:r>
    </w:p>
    <w:p w14:paraId="26438348" w14:textId="77777777" w:rsidR="0060531A" w:rsidRPr="0060531A" w:rsidRDefault="0060531A" w:rsidP="0060531A">
      <w:pPr>
        <w:widowControl w:val="0"/>
        <w:suppressAutoHyphens/>
        <w:spacing w:after="0" w:line="240" w:lineRule="auto"/>
        <w:jc w:val="center"/>
        <w:rPr>
          <w:rFonts w:ascii="Arial" w:hAnsi="Arial" w:cs="Mangal"/>
          <w:kern w:val="1"/>
          <w:sz w:val="24"/>
          <w:szCs w:val="24"/>
          <w:lang w:val="ro-RO" w:eastAsia="hi-IN" w:bidi="hi-IN"/>
        </w:rPr>
      </w:pPr>
    </w:p>
    <w:p w14:paraId="07101768" w14:textId="5E871A69" w:rsidR="0060531A" w:rsidRPr="0060531A" w:rsidRDefault="00BB0D72" w:rsidP="0060531A">
      <w:pPr>
        <w:spacing w:after="200" w:line="240" w:lineRule="auto"/>
        <w:jc w:val="center"/>
        <w:rPr>
          <w:rFonts w:ascii="Arial" w:hAnsi="Arial" w:cs="Arial"/>
          <w:color w:val="1F497D"/>
          <w:kern w:val="1"/>
          <w:lang w:val="ro-RO" w:eastAsia="hi-IN" w:bidi="hi-IN"/>
        </w:rPr>
      </w:pPr>
      <w:bookmarkStart w:id="482" w:name="_Toc68361276"/>
      <w:bookmarkStart w:id="483" w:name="_Toc96463904"/>
      <w:r>
        <w:rPr>
          <w:rFonts w:ascii="Arial" w:hAnsi="Arial" w:cs="Arial"/>
          <w:i/>
          <w:iCs/>
          <w:color w:val="1F497D"/>
        </w:rPr>
        <w:t>Tabel I.7.</w:t>
      </w:r>
      <w:r w:rsidR="0060531A" w:rsidRPr="0060531A">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8</w:t>
      </w:r>
      <w:r>
        <w:rPr>
          <w:rFonts w:ascii="Arial" w:hAnsi="Arial" w:cs="Arial"/>
          <w:i/>
          <w:iCs/>
          <w:color w:val="1F497D"/>
        </w:rPr>
        <w:fldChar w:fldCharType="end"/>
      </w:r>
      <w:r w:rsidR="0060531A" w:rsidRPr="0060531A">
        <w:rPr>
          <w:rFonts w:ascii="Arial" w:hAnsi="Arial" w:cs="Arial"/>
          <w:i/>
          <w:iCs/>
          <w:color w:val="1F497D"/>
        </w:rPr>
        <w:t xml:space="preserve"> - </w:t>
      </w:r>
      <w:r w:rsidR="0060531A" w:rsidRPr="0060531A">
        <w:rPr>
          <w:rFonts w:ascii="Arial" w:hAnsi="Arial" w:cs="Arial"/>
          <w:color w:val="1F497D"/>
        </w:rPr>
        <w:t>Parametri ora de vârf AM orizont 2035</w:t>
      </w:r>
      <w:bookmarkEnd w:id="482"/>
      <w:bookmarkEnd w:id="4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4"/>
        <w:gridCol w:w="2394"/>
        <w:gridCol w:w="2394"/>
        <w:gridCol w:w="2394"/>
      </w:tblGrid>
      <w:tr w:rsidR="00593EEF" w:rsidRPr="00593EEF" w14:paraId="068881AA" w14:textId="77777777" w:rsidTr="00CE76B6">
        <w:tc>
          <w:tcPr>
            <w:tcW w:w="1250" w:type="pct"/>
            <w:shd w:val="clear" w:color="auto" w:fill="auto"/>
            <w:vAlign w:val="center"/>
          </w:tcPr>
          <w:p w14:paraId="4D06D1ED"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Parametru</w:t>
            </w:r>
          </w:p>
        </w:tc>
        <w:tc>
          <w:tcPr>
            <w:tcW w:w="1250" w:type="pct"/>
            <w:shd w:val="clear" w:color="auto" w:fill="auto"/>
            <w:vAlign w:val="center"/>
          </w:tcPr>
          <w:p w14:paraId="19B044CC"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1</w:t>
            </w:r>
          </w:p>
        </w:tc>
        <w:tc>
          <w:tcPr>
            <w:tcW w:w="1250" w:type="pct"/>
            <w:shd w:val="clear" w:color="auto" w:fill="auto"/>
            <w:vAlign w:val="center"/>
          </w:tcPr>
          <w:p w14:paraId="1A4BF577"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2</w:t>
            </w:r>
          </w:p>
        </w:tc>
        <w:tc>
          <w:tcPr>
            <w:tcW w:w="1250" w:type="pct"/>
            <w:shd w:val="clear" w:color="auto" w:fill="auto"/>
            <w:vAlign w:val="center"/>
          </w:tcPr>
          <w:p w14:paraId="6F14A846" w14:textId="77777777" w:rsidR="00593EEF" w:rsidRPr="00593EEF" w:rsidRDefault="00593EEF" w:rsidP="00593EEF">
            <w:pPr>
              <w:widowControl w:val="0"/>
              <w:suppressAutoHyphens/>
              <w:spacing w:after="0" w:line="240" w:lineRule="auto"/>
              <w:jc w:val="center"/>
              <w:rPr>
                <w:rFonts w:ascii="Arial" w:hAnsi="Arial" w:cs="Mangal"/>
                <w:b/>
                <w:kern w:val="1"/>
                <w:lang w:val="ro-RO" w:eastAsia="hi-IN" w:bidi="hi-IN"/>
              </w:rPr>
            </w:pPr>
            <w:r w:rsidRPr="00593EEF">
              <w:rPr>
                <w:rFonts w:ascii="Arial" w:hAnsi="Arial" w:cs="Mangal"/>
                <w:b/>
                <w:kern w:val="1"/>
                <w:lang w:val="ro-RO" w:eastAsia="hi-IN" w:bidi="hi-IN"/>
              </w:rPr>
              <w:t>Scenariul 3</w:t>
            </w:r>
          </w:p>
        </w:tc>
      </w:tr>
      <w:tr w:rsidR="00593EEF" w:rsidRPr="00593EEF" w14:paraId="321478AE" w14:textId="77777777" w:rsidTr="00CE76B6">
        <w:tc>
          <w:tcPr>
            <w:tcW w:w="1250" w:type="pct"/>
            <w:shd w:val="clear" w:color="auto" w:fill="auto"/>
            <w:vAlign w:val="center"/>
          </w:tcPr>
          <w:p w14:paraId="3DE31087"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Viteza medie de circulație (km/h)</w:t>
            </w:r>
          </w:p>
        </w:tc>
        <w:tc>
          <w:tcPr>
            <w:tcW w:w="1250" w:type="pct"/>
            <w:shd w:val="clear" w:color="auto" w:fill="auto"/>
            <w:vAlign w:val="center"/>
          </w:tcPr>
          <w:p w14:paraId="4AFDE69B"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28,89</w:t>
            </w:r>
          </w:p>
        </w:tc>
        <w:tc>
          <w:tcPr>
            <w:tcW w:w="1250" w:type="pct"/>
            <w:shd w:val="clear" w:color="auto" w:fill="auto"/>
            <w:vAlign w:val="center"/>
          </w:tcPr>
          <w:p w14:paraId="0984A0CD"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31,29</w:t>
            </w:r>
          </w:p>
        </w:tc>
        <w:tc>
          <w:tcPr>
            <w:tcW w:w="1250" w:type="pct"/>
            <w:shd w:val="clear" w:color="auto" w:fill="auto"/>
            <w:vAlign w:val="center"/>
          </w:tcPr>
          <w:p w14:paraId="40199FCE"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31,30</w:t>
            </w:r>
          </w:p>
        </w:tc>
      </w:tr>
      <w:tr w:rsidR="00593EEF" w:rsidRPr="00593EEF" w14:paraId="71C10BE8" w14:textId="77777777" w:rsidTr="00CE76B6">
        <w:tc>
          <w:tcPr>
            <w:tcW w:w="1250" w:type="pct"/>
            <w:shd w:val="clear" w:color="auto" w:fill="auto"/>
            <w:vAlign w:val="center"/>
          </w:tcPr>
          <w:p w14:paraId="566672B1"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Întârzierea medie (sec)</w:t>
            </w:r>
          </w:p>
        </w:tc>
        <w:tc>
          <w:tcPr>
            <w:tcW w:w="1250" w:type="pct"/>
            <w:shd w:val="clear" w:color="auto" w:fill="auto"/>
            <w:vAlign w:val="center"/>
          </w:tcPr>
          <w:p w14:paraId="334AD515"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46,41</w:t>
            </w:r>
          </w:p>
        </w:tc>
        <w:tc>
          <w:tcPr>
            <w:tcW w:w="1250" w:type="pct"/>
            <w:shd w:val="clear" w:color="auto" w:fill="auto"/>
            <w:vAlign w:val="center"/>
          </w:tcPr>
          <w:p w14:paraId="58DD45DE"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39,70</w:t>
            </w:r>
          </w:p>
        </w:tc>
        <w:tc>
          <w:tcPr>
            <w:tcW w:w="1250" w:type="pct"/>
            <w:shd w:val="clear" w:color="auto" w:fill="auto"/>
            <w:vAlign w:val="center"/>
          </w:tcPr>
          <w:p w14:paraId="3BCE3B2D"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39,67</w:t>
            </w:r>
          </w:p>
        </w:tc>
      </w:tr>
      <w:tr w:rsidR="00593EEF" w:rsidRPr="00593EEF" w14:paraId="556DA3C0" w14:textId="77777777" w:rsidTr="00CE76B6">
        <w:tc>
          <w:tcPr>
            <w:tcW w:w="1250" w:type="pct"/>
            <w:shd w:val="clear" w:color="auto" w:fill="auto"/>
            <w:vAlign w:val="center"/>
          </w:tcPr>
          <w:p w14:paraId="15F2A5F7" w14:textId="77777777" w:rsidR="00593EEF" w:rsidRPr="00593EEF" w:rsidRDefault="00593EEF" w:rsidP="00593EEF">
            <w:pPr>
              <w:widowControl w:val="0"/>
              <w:suppressAutoHyphens/>
              <w:spacing w:after="0" w:line="240" w:lineRule="auto"/>
              <w:jc w:val="center"/>
              <w:rPr>
                <w:rFonts w:ascii="Arial" w:hAnsi="Arial" w:cs="Mangal"/>
                <w:kern w:val="1"/>
                <w:lang w:val="ro-RO" w:eastAsia="hi-IN" w:bidi="hi-IN"/>
              </w:rPr>
            </w:pPr>
            <w:r w:rsidRPr="00593EEF">
              <w:rPr>
                <w:rFonts w:ascii="Arial" w:hAnsi="Arial" w:cs="Mangal"/>
                <w:kern w:val="1"/>
                <w:lang w:val="ro-RO" w:eastAsia="hi-IN" w:bidi="hi-IN"/>
              </w:rPr>
              <w:t>Consum de combustibil (litri)</w:t>
            </w:r>
          </w:p>
        </w:tc>
        <w:tc>
          <w:tcPr>
            <w:tcW w:w="1250" w:type="pct"/>
            <w:shd w:val="clear" w:color="auto" w:fill="auto"/>
            <w:vAlign w:val="center"/>
          </w:tcPr>
          <w:p w14:paraId="18D5B0C0"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506,02</w:t>
            </w:r>
          </w:p>
        </w:tc>
        <w:tc>
          <w:tcPr>
            <w:tcW w:w="1250" w:type="pct"/>
            <w:shd w:val="clear" w:color="auto" w:fill="auto"/>
            <w:vAlign w:val="center"/>
          </w:tcPr>
          <w:p w14:paraId="58EA7C2E"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533,76</w:t>
            </w:r>
          </w:p>
        </w:tc>
        <w:tc>
          <w:tcPr>
            <w:tcW w:w="1250" w:type="pct"/>
            <w:shd w:val="clear" w:color="auto" w:fill="auto"/>
            <w:vAlign w:val="center"/>
          </w:tcPr>
          <w:p w14:paraId="36AAE706" w14:textId="77777777" w:rsidR="00593EEF" w:rsidRPr="00593EEF" w:rsidRDefault="00593EEF" w:rsidP="00593EEF">
            <w:pPr>
              <w:spacing w:after="0"/>
              <w:jc w:val="center"/>
              <w:rPr>
                <w:rFonts w:ascii="Arial" w:hAnsi="Arial" w:cs="Arial"/>
                <w:highlight w:val="red"/>
                <w:lang w:val="ro-RO"/>
              </w:rPr>
            </w:pPr>
            <w:r w:rsidRPr="00593EEF">
              <w:rPr>
                <w:rFonts w:ascii="Arial" w:hAnsi="Arial" w:cs="Arial"/>
                <w:color w:val="000000"/>
              </w:rPr>
              <w:t>513,34</w:t>
            </w:r>
          </w:p>
        </w:tc>
      </w:tr>
    </w:tbl>
    <w:p w14:paraId="18705660" w14:textId="36858DD2" w:rsidR="0060531A" w:rsidRDefault="0060531A" w:rsidP="0060531A">
      <w:pPr>
        <w:widowControl w:val="0"/>
        <w:suppressAutoHyphens/>
        <w:spacing w:after="0" w:line="240" w:lineRule="auto"/>
        <w:rPr>
          <w:rFonts w:ascii="Arial" w:hAnsi="Arial" w:cs="Mangal"/>
          <w:kern w:val="1"/>
          <w:sz w:val="20"/>
          <w:szCs w:val="24"/>
          <w:lang w:val="x-none" w:eastAsia="hi-IN" w:bidi="hi-IN"/>
        </w:rPr>
      </w:pPr>
    </w:p>
    <w:p w14:paraId="3C9E7C25" w14:textId="2B450052" w:rsidR="00CC3538" w:rsidRDefault="00CC3538" w:rsidP="00052A28">
      <w:pPr>
        <w:widowControl w:val="0"/>
        <w:suppressAutoHyphens/>
        <w:spacing w:after="0" w:line="240" w:lineRule="auto"/>
        <w:jc w:val="both"/>
        <w:rPr>
          <w:rFonts w:ascii="Arial" w:hAnsi="Arial" w:cs="Arial"/>
          <w:kern w:val="1"/>
          <w:lang w:val="ro-RO" w:eastAsia="hi-IN" w:bidi="hi-IN"/>
        </w:rPr>
      </w:pPr>
      <w:r w:rsidRPr="00CC3538">
        <w:rPr>
          <w:rFonts w:ascii="Arial" w:hAnsi="Arial" w:cs="Arial"/>
          <w:kern w:val="1"/>
          <w:lang w:val="ro-RO" w:eastAsia="hi-IN" w:bidi="hi-IN"/>
        </w:rPr>
        <w:t>Analiza comparativǎ a nivelurilor de serviciu ale principalelor intersecții din Horezu este prezentatǎ ȋn</w:t>
      </w:r>
      <w:r>
        <w:rPr>
          <w:rFonts w:ascii="Arial" w:hAnsi="Arial" w:cs="Arial"/>
          <w:kern w:val="1"/>
          <w:lang w:val="ro-RO" w:eastAsia="hi-IN" w:bidi="hi-IN"/>
        </w:rPr>
        <w:t xml:space="preserve"> continuare:</w:t>
      </w:r>
    </w:p>
    <w:p w14:paraId="4971D682" w14:textId="77777777" w:rsidR="00C36A80" w:rsidRPr="0060531A" w:rsidRDefault="00C36A80" w:rsidP="00052A28">
      <w:pPr>
        <w:widowControl w:val="0"/>
        <w:suppressAutoHyphens/>
        <w:spacing w:after="0" w:line="240" w:lineRule="auto"/>
        <w:jc w:val="both"/>
        <w:rPr>
          <w:rFonts w:ascii="Arial" w:hAnsi="Arial" w:cs="Mangal"/>
          <w:kern w:val="1"/>
          <w:sz w:val="20"/>
          <w:szCs w:val="24"/>
          <w:lang w:val="x-none" w:eastAsia="hi-IN" w:bidi="hi-IN"/>
        </w:rPr>
      </w:pPr>
    </w:p>
    <w:p w14:paraId="3F78F775" w14:textId="50F18AA7" w:rsidR="00C36A80" w:rsidRPr="00C36A80" w:rsidRDefault="00C36A80" w:rsidP="00C36A80">
      <w:pPr>
        <w:spacing w:after="200" w:line="240" w:lineRule="auto"/>
        <w:jc w:val="center"/>
        <w:rPr>
          <w:rFonts w:ascii="Arial" w:hAnsi="Arial" w:cs="Arial"/>
          <w:color w:val="1F497D"/>
          <w:kern w:val="1"/>
          <w:lang w:val="ro-RO" w:eastAsia="hi-IN" w:bidi="hi-IN"/>
        </w:rPr>
      </w:pPr>
      <w:bookmarkStart w:id="484" w:name="_Toc68361277"/>
      <w:bookmarkStart w:id="485" w:name="_Toc95132261"/>
      <w:bookmarkStart w:id="486" w:name="_Toc96463905"/>
      <w:r w:rsidRPr="00C36A80">
        <w:rPr>
          <w:rFonts w:ascii="Arial" w:hAnsi="Arial" w:cs="Arial"/>
          <w:i/>
          <w:iCs/>
          <w:color w:val="1F497D"/>
          <w:lang w:val="ro-RO"/>
        </w:rPr>
        <w:t xml:space="preserve">Tabel I.7. </w:t>
      </w:r>
      <w:r w:rsidRPr="00C36A80">
        <w:rPr>
          <w:rFonts w:ascii="Arial" w:hAnsi="Arial" w:cs="Arial"/>
          <w:i/>
          <w:iCs/>
          <w:color w:val="1F497D"/>
          <w:lang w:val="ro-RO"/>
        </w:rPr>
        <w:fldChar w:fldCharType="begin"/>
      </w:r>
      <w:r w:rsidRPr="00C36A80">
        <w:rPr>
          <w:rFonts w:ascii="Arial" w:hAnsi="Arial" w:cs="Arial"/>
          <w:i/>
          <w:iCs/>
          <w:color w:val="1F497D"/>
          <w:lang w:val="ro-RO"/>
        </w:rPr>
        <w:instrText xml:space="preserve"> SEQ Tabel_I.7. \* ARABIC </w:instrText>
      </w:r>
      <w:r w:rsidRPr="00C36A80">
        <w:rPr>
          <w:rFonts w:ascii="Arial" w:hAnsi="Arial" w:cs="Arial"/>
          <w:i/>
          <w:iCs/>
          <w:color w:val="1F497D"/>
          <w:lang w:val="ro-RO"/>
        </w:rPr>
        <w:fldChar w:fldCharType="separate"/>
      </w:r>
      <w:r w:rsidR="00BB181C">
        <w:rPr>
          <w:rFonts w:ascii="Arial" w:hAnsi="Arial" w:cs="Arial"/>
          <w:i/>
          <w:iCs/>
          <w:noProof/>
          <w:color w:val="1F497D"/>
          <w:lang w:val="ro-RO"/>
        </w:rPr>
        <w:t>9</w:t>
      </w:r>
      <w:r w:rsidRPr="00C36A80">
        <w:rPr>
          <w:rFonts w:ascii="Arial" w:hAnsi="Arial" w:cs="Arial"/>
          <w:i/>
          <w:iCs/>
          <w:color w:val="1F497D"/>
          <w:lang w:val="ro-RO"/>
        </w:rPr>
        <w:fldChar w:fldCharType="end"/>
      </w:r>
      <w:r w:rsidRPr="00C36A80">
        <w:rPr>
          <w:rFonts w:ascii="Arial" w:hAnsi="Arial" w:cs="Arial"/>
          <w:i/>
          <w:iCs/>
          <w:color w:val="1F497D"/>
          <w:lang w:val="ro-RO"/>
        </w:rPr>
        <w:t xml:space="preserve"> - </w:t>
      </w:r>
      <w:r w:rsidRPr="00C36A80">
        <w:rPr>
          <w:rFonts w:ascii="Arial" w:hAnsi="Arial" w:cs="Arial"/>
          <w:color w:val="1F497D"/>
          <w:lang w:val="ro-RO"/>
        </w:rPr>
        <w:t>Niveluri de serviciu ora de vârf AM orizont 2035</w:t>
      </w:r>
      <w:bookmarkEnd w:id="484"/>
      <w:bookmarkEnd w:id="485"/>
      <w:bookmarkEnd w:id="486"/>
    </w:p>
    <w:tbl>
      <w:tblPr>
        <w:tblW w:w="7770" w:type="dxa"/>
        <w:jc w:val="center"/>
        <w:tblLook w:val="04A0" w:firstRow="1" w:lastRow="0" w:firstColumn="1" w:lastColumn="0" w:noHBand="0" w:noVBand="1"/>
      </w:tblPr>
      <w:tblGrid>
        <w:gridCol w:w="980"/>
        <w:gridCol w:w="2949"/>
        <w:gridCol w:w="1237"/>
        <w:gridCol w:w="1308"/>
        <w:gridCol w:w="1296"/>
      </w:tblGrid>
      <w:tr w:rsidR="00C36A80" w:rsidRPr="00C36A80" w14:paraId="649AA24A" w14:textId="77777777" w:rsidTr="00C36A80">
        <w:trPr>
          <w:trHeight w:val="284"/>
          <w:tblHeader/>
          <w:jc w:val="center"/>
        </w:trPr>
        <w:tc>
          <w:tcPr>
            <w:tcW w:w="980" w:type="dxa"/>
            <w:tcBorders>
              <w:top w:val="single" w:sz="8" w:space="0" w:color="000000"/>
              <w:left w:val="single" w:sz="8" w:space="0" w:color="000000"/>
              <w:bottom w:val="single" w:sz="8" w:space="0" w:color="000000"/>
              <w:right w:val="single" w:sz="8" w:space="0" w:color="000000"/>
            </w:tcBorders>
            <w:shd w:val="clear" w:color="000000" w:fill="F1F1F1"/>
            <w:vAlign w:val="center"/>
            <w:hideMark/>
          </w:tcPr>
          <w:p w14:paraId="1EBA1FE5" w14:textId="77777777" w:rsidR="00C36A80" w:rsidRPr="00C36A80" w:rsidRDefault="00C36A80" w:rsidP="00C36A80">
            <w:pPr>
              <w:spacing w:after="0"/>
              <w:jc w:val="center"/>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Nr.Crt</w:t>
            </w:r>
          </w:p>
        </w:tc>
        <w:tc>
          <w:tcPr>
            <w:tcW w:w="2949" w:type="dxa"/>
            <w:tcBorders>
              <w:top w:val="single" w:sz="8" w:space="0" w:color="000000"/>
              <w:left w:val="nil"/>
              <w:bottom w:val="single" w:sz="8" w:space="0" w:color="000000"/>
              <w:right w:val="single" w:sz="8" w:space="0" w:color="000000"/>
            </w:tcBorders>
            <w:shd w:val="clear" w:color="000000" w:fill="F1F1F1"/>
            <w:vAlign w:val="center"/>
            <w:hideMark/>
          </w:tcPr>
          <w:p w14:paraId="6566463E" w14:textId="77777777" w:rsidR="00C36A80" w:rsidRPr="00C36A80" w:rsidRDefault="00C36A80" w:rsidP="00C36A80">
            <w:pPr>
              <w:spacing w:after="0"/>
              <w:jc w:val="right"/>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Intersectie</w:t>
            </w:r>
          </w:p>
        </w:tc>
        <w:tc>
          <w:tcPr>
            <w:tcW w:w="1237" w:type="dxa"/>
            <w:tcBorders>
              <w:top w:val="single" w:sz="8" w:space="0" w:color="000000"/>
              <w:left w:val="nil"/>
              <w:bottom w:val="single" w:sz="8" w:space="0" w:color="000000"/>
              <w:right w:val="single" w:sz="8" w:space="0" w:color="000000"/>
            </w:tcBorders>
            <w:shd w:val="clear" w:color="000000" w:fill="F1F1F1"/>
            <w:vAlign w:val="center"/>
            <w:hideMark/>
          </w:tcPr>
          <w:p w14:paraId="1FA19F41" w14:textId="77777777" w:rsidR="00C36A80" w:rsidRPr="00C36A80" w:rsidRDefault="00C36A80" w:rsidP="00C36A80">
            <w:pPr>
              <w:spacing w:after="0"/>
              <w:jc w:val="center"/>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Scenariul 1</w:t>
            </w:r>
          </w:p>
        </w:tc>
        <w:tc>
          <w:tcPr>
            <w:tcW w:w="1308" w:type="dxa"/>
            <w:tcBorders>
              <w:top w:val="single" w:sz="8" w:space="0" w:color="000000"/>
              <w:left w:val="nil"/>
              <w:bottom w:val="single" w:sz="8" w:space="0" w:color="000000"/>
              <w:right w:val="single" w:sz="8" w:space="0" w:color="000000"/>
            </w:tcBorders>
            <w:shd w:val="clear" w:color="000000" w:fill="F1F1F1"/>
            <w:vAlign w:val="center"/>
            <w:hideMark/>
          </w:tcPr>
          <w:p w14:paraId="16673537" w14:textId="77777777" w:rsidR="00C36A80" w:rsidRPr="00C36A80" w:rsidRDefault="00C36A80" w:rsidP="00C36A80">
            <w:pPr>
              <w:spacing w:after="0"/>
              <w:jc w:val="center"/>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Scenariul 2</w:t>
            </w:r>
          </w:p>
        </w:tc>
        <w:tc>
          <w:tcPr>
            <w:tcW w:w="1296" w:type="dxa"/>
            <w:tcBorders>
              <w:top w:val="single" w:sz="8" w:space="0" w:color="000000"/>
              <w:left w:val="nil"/>
              <w:bottom w:val="single" w:sz="8" w:space="0" w:color="000000"/>
              <w:right w:val="single" w:sz="8" w:space="0" w:color="000000"/>
            </w:tcBorders>
            <w:shd w:val="clear" w:color="000000" w:fill="F1F1F1"/>
            <w:vAlign w:val="center"/>
            <w:hideMark/>
          </w:tcPr>
          <w:p w14:paraId="10714617" w14:textId="77777777" w:rsidR="00C36A80" w:rsidRPr="00C36A80" w:rsidRDefault="00C36A80" w:rsidP="00C36A80">
            <w:pPr>
              <w:spacing w:after="0"/>
              <w:jc w:val="center"/>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Scenariul 3</w:t>
            </w:r>
          </w:p>
        </w:tc>
      </w:tr>
      <w:tr w:rsidR="00C36A80" w:rsidRPr="00C36A80" w14:paraId="6B5665DB"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1B50EB1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w:t>
            </w:r>
          </w:p>
        </w:tc>
        <w:tc>
          <w:tcPr>
            <w:tcW w:w="2949" w:type="dxa"/>
            <w:tcBorders>
              <w:top w:val="nil"/>
              <w:left w:val="nil"/>
              <w:bottom w:val="single" w:sz="8" w:space="0" w:color="000000"/>
              <w:right w:val="single" w:sz="8" w:space="0" w:color="000000"/>
            </w:tcBorders>
            <w:shd w:val="clear" w:color="000000" w:fill="DCE6F1"/>
            <w:vAlign w:val="center"/>
            <w:hideMark/>
          </w:tcPr>
          <w:p w14:paraId="0A57B504"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 67 – DJ 665 (str. Iancu Jianu)</w:t>
            </w:r>
          </w:p>
        </w:tc>
        <w:tc>
          <w:tcPr>
            <w:tcW w:w="1237" w:type="dxa"/>
            <w:tcBorders>
              <w:top w:val="nil"/>
              <w:left w:val="nil"/>
              <w:bottom w:val="single" w:sz="8" w:space="0" w:color="000000"/>
              <w:right w:val="single" w:sz="8" w:space="0" w:color="000000"/>
            </w:tcBorders>
            <w:shd w:val="clear" w:color="000000" w:fill="DCE6F1"/>
            <w:vAlign w:val="center"/>
            <w:hideMark/>
          </w:tcPr>
          <w:p w14:paraId="61C7FDE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C</w:t>
            </w:r>
          </w:p>
        </w:tc>
        <w:tc>
          <w:tcPr>
            <w:tcW w:w="1308" w:type="dxa"/>
            <w:tcBorders>
              <w:top w:val="nil"/>
              <w:left w:val="nil"/>
              <w:bottom w:val="single" w:sz="8" w:space="0" w:color="000000"/>
              <w:right w:val="single" w:sz="8" w:space="0" w:color="000000"/>
            </w:tcBorders>
            <w:shd w:val="clear" w:color="000000" w:fill="DCE6F1"/>
            <w:vAlign w:val="center"/>
            <w:hideMark/>
          </w:tcPr>
          <w:p w14:paraId="506410CF"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CE6F1"/>
            <w:vAlign w:val="center"/>
            <w:hideMark/>
          </w:tcPr>
          <w:p w14:paraId="29E5AE2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4EFCABB8"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6C8E6709"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2</w:t>
            </w:r>
          </w:p>
        </w:tc>
        <w:tc>
          <w:tcPr>
            <w:tcW w:w="2949" w:type="dxa"/>
            <w:tcBorders>
              <w:top w:val="nil"/>
              <w:left w:val="nil"/>
              <w:bottom w:val="single" w:sz="8" w:space="0" w:color="000000"/>
              <w:right w:val="single" w:sz="8" w:space="0" w:color="000000"/>
            </w:tcBorders>
            <w:shd w:val="clear" w:color="auto" w:fill="auto"/>
            <w:vAlign w:val="center"/>
            <w:hideMark/>
          </w:tcPr>
          <w:p w14:paraId="2E13B470"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str. Anton Pann</w:t>
            </w:r>
          </w:p>
        </w:tc>
        <w:tc>
          <w:tcPr>
            <w:tcW w:w="1237" w:type="dxa"/>
            <w:tcBorders>
              <w:top w:val="nil"/>
              <w:left w:val="nil"/>
              <w:bottom w:val="single" w:sz="8" w:space="0" w:color="000000"/>
              <w:right w:val="single" w:sz="8" w:space="0" w:color="000000"/>
            </w:tcBorders>
            <w:shd w:val="clear" w:color="auto" w:fill="auto"/>
            <w:vAlign w:val="center"/>
            <w:hideMark/>
          </w:tcPr>
          <w:p w14:paraId="44FE0361"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auto" w:fill="auto"/>
            <w:vAlign w:val="center"/>
            <w:hideMark/>
          </w:tcPr>
          <w:p w14:paraId="5FD48025"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7644F87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1CD1A684"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4E549E9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lastRenderedPageBreak/>
              <w:t>3</w:t>
            </w:r>
          </w:p>
        </w:tc>
        <w:tc>
          <w:tcPr>
            <w:tcW w:w="2949" w:type="dxa"/>
            <w:tcBorders>
              <w:top w:val="nil"/>
              <w:left w:val="nil"/>
              <w:bottom w:val="single" w:sz="8" w:space="0" w:color="000000"/>
              <w:right w:val="single" w:sz="8" w:space="0" w:color="000000"/>
            </w:tcBorders>
            <w:shd w:val="clear" w:color="000000" w:fill="DCE6F1"/>
            <w:vAlign w:val="center"/>
            <w:hideMark/>
          </w:tcPr>
          <w:p w14:paraId="1F53E9A9"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str. Eroilor</w:t>
            </w:r>
          </w:p>
        </w:tc>
        <w:tc>
          <w:tcPr>
            <w:tcW w:w="1237" w:type="dxa"/>
            <w:tcBorders>
              <w:top w:val="nil"/>
              <w:left w:val="nil"/>
              <w:bottom w:val="single" w:sz="8" w:space="0" w:color="000000"/>
              <w:right w:val="single" w:sz="8" w:space="0" w:color="000000"/>
            </w:tcBorders>
            <w:shd w:val="clear" w:color="000000" w:fill="DCE6F1"/>
            <w:vAlign w:val="center"/>
            <w:hideMark/>
          </w:tcPr>
          <w:p w14:paraId="7137A8B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c>
          <w:tcPr>
            <w:tcW w:w="1308" w:type="dxa"/>
            <w:tcBorders>
              <w:top w:val="nil"/>
              <w:left w:val="nil"/>
              <w:bottom w:val="single" w:sz="8" w:space="0" w:color="000000"/>
              <w:right w:val="single" w:sz="8" w:space="0" w:color="000000"/>
            </w:tcBorders>
            <w:shd w:val="clear" w:color="000000" w:fill="DCE6F1"/>
            <w:vAlign w:val="center"/>
            <w:hideMark/>
          </w:tcPr>
          <w:p w14:paraId="7F50A11D"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c>
          <w:tcPr>
            <w:tcW w:w="1296" w:type="dxa"/>
            <w:tcBorders>
              <w:top w:val="nil"/>
              <w:left w:val="nil"/>
              <w:bottom w:val="single" w:sz="8" w:space="0" w:color="000000"/>
              <w:right w:val="single" w:sz="8" w:space="0" w:color="000000"/>
            </w:tcBorders>
            <w:shd w:val="clear" w:color="000000" w:fill="DCE6F1"/>
            <w:vAlign w:val="center"/>
            <w:hideMark/>
          </w:tcPr>
          <w:p w14:paraId="5341C28E"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r>
      <w:tr w:rsidR="00C36A80" w:rsidRPr="00C36A80" w14:paraId="0E33DCC1"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31EDE321"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4</w:t>
            </w:r>
          </w:p>
        </w:tc>
        <w:tc>
          <w:tcPr>
            <w:tcW w:w="2949" w:type="dxa"/>
            <w:tcBorders>
              <w:top w:val="nil"/>
              <w:left w:val="nil"/>
              <w:bottom w:val="single" w:sz="8" w:space="0" w:color="000000"/>
              <w:right w:val="single" w:sz="8" w:space="0" w:color="000000"/>
            </w:tcBorders>
            <w:shd w:val="clear" w:color="auto" w:fill="auto"/>
            <w:vAlign w:val="center"/>
            <w:hideMark/>
          </w:tcPr>
          <w:p w14:paraId="0E2F4647"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DC143 - str. Nicolae Iorga</w:t>
            </w:r>
          </w:p>
        </w:tc>
        <w:tc>
          <w:tcPr>
            <w:tcW w:w="1237" w:type="dxa"/>
            <w:tcBorders>
              <w:top w:val="nil"/>
              <w:left w:val="nil"/>
              <w:bottom w:val="single" w:sz="8" w:space="0" w:color="000000"/>
              <w:right w:val="single" w:sz="8" w:space="0" w:color="000000"/>
            </w:tcBorders>
            <w:shd w:val="clear" w:color="auto" w:fill="auto"/>
            <w:vAlign w:val="center"/>
            <w:hideMark/>
          </w:tcPr>
          <w:p w14:paraId="46A7CABD"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auto" w:fill="auto"/>
            <w:vAlign w:val="center"/>
            <w:hideMark/>
          </w:tcPr>
          <w:p w14:paraId="2E19904D"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25C1931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52E0FE05"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76A888F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5</w:t>
            </w:r>
          </w:p>
        </w:tc>
        <w:tc>
          <w:tcPr>
            <w:tcW w:w="2949" w:type="dxa"/>
            <w:tcBorders>
              <w:top w:val="nil"/>
              <w:left w:val="nil"/>
              <w:bottom w:val="single" w:sz="8" w:space="0" w:color="000000"/>
              <w:right w:val="single" w:sz="8" w:space="0" w:color="000000"/>
            </w:tcBorders>
            <w:shd w:val="clear" w:color="000000" w:fill="DCE6F1"/>
            <w:vAlign w:val="center"/>
            <w:hideMark/>
          </w:tcPr>
          <w:p w14:paraId="3A9B560E"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DC 143 – str. Mihai Viteazu</w:t>
            </w:r>
          </w:p>
        </w:tc>
        <w:tc>
          <w:tcPr>
            <w:tcW w:w="1237" w:type="dxa"/>
            <w:tcBorders>
              <w:top w:val="nil"/>
              <w:left w:val="nil"/>
              <w:bottom w:val="single" w:sz="8" w:space="0" w:color="000000"/>
              <w:right w:val="single" w:sz="8" w:space="0" w:color="000000"/>
            </w:tcBorders>
            <w:shd w:val="clear" w:color="000000" w:fill="DCE6F1"/>
            <w:vAlign w:val="center"/>
            <w:hideMark/>
          </w:tcPr>
          <w:p w14:paraId="74412755"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000000" w:fill="DCE6F1"/>
            <w:vAlign w:val="center"/>
            <w:hideMark/>
          </w:tcPr>
          <w:p w14:paraId="028ED65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CE6F1"/>
            <w:vAlign w:val="center"/>
            <w:hideMark/>
          </w:tcPr>
          <w:p w14:paraId="3CC0FE1A"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32CA49AC"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1C7DD6BE"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6</w:t>
            </w:r>
          </w:p>
        </w:tc>
        <w:tc>
          <w:tcPr>
            <w:tcW w:w="2949" w:type="dxa"/>
            <w:tcBorders>
              <w:top w:val="nil"/>
              <w:left w:val="nil"/>
              <w:bottom w:val="single" w:sz="8" w:space="0" w:color="000000"/>
              <w:right w:val="single" w:sz="8" w:space="0" w:color="000000"/>
            </w:tcBorders>
            <w:shd w:val="clear" w:color="auto" w:fill="auto"/>
            <w:vAlign w:val="center"/>
            <w:hideMark/>
          </w:tcPr>
          <w:p w14:paraId="22A3F118"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Str. Căpitan Maldăr</w:t>
            </w:r>
          </w:p>
        </w:tc>
        <w:tc>
          <w:tcPr>
            <w:tcW w:w="1237" w:type="dxa"/>
            <w:tcBorders>
              <w:top w:val="nil"/>
              <w:left w:val="nil"/>
              <w:bottom w:val="single" w:sz="8" w:space="0" w:color="000000"/>
              <w:right w:val="single" w:sz="8" w:space="0" w:color="000000"/>
            </w:tcBorders>
            <w:shd w:val="clear" w:color="auto" w:fill="auto"/>
            <w:vAlign w:val="center"/>
            <w:hideMark/>
          </w:tcPr>
          <w:p w14:paraId="0664F6CC"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auto" w:fill="auto"/>
            <w:vAlign w:val="center"/>
            <w:hideMark/>
          </w:tcPr>
          <w:p w14:paraId="6A5C91C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c>
          <w:tcPr>
            <w:tcW w:w="1296" w:type="dxa"/>
            <w:tcBorders>
              <w:top w:val="nil"/>
              <w:left w:val="nil"/>
              <w:bottom w:val="single" w:sz="8" w:space="0" w:color="000000"/>
              <w:right w:val="single" w:sz="8" w:space="0" w:color="000000"/>
            </w:tcBorders>
            <w:shd w:val="clear" w:color="auto" w:fill="auto"/>
            <w:vAlign w:val="center"/>
            <w:hideMark/>
          </w:tcPr>
          <w:p w14:paraId="7C5061F1"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r>
      <w:tr w:rsidR="00C36A80" w:rsidRPr="00C36A80" w14:paraId="2782D4DC"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15790D59"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7</w:t>
            </w:r>
          </w:p>
        </w:tc>
        <w:tc>
          <w:tcPr>
            <w:tcW w:w="2949" w:type="dxa"/>
            <w:tcBorders>
              <w:top w:val="nil"/>
              <w:left w:val="nil"/>
              <w:bottom w:val="single" w:sz="8" w:space="0" w:color="000000"/>
              <w:right w:val="single" w:sz="8" w:space="0" w:color="000000"/>
            </w:tcBorders>
            <w:shd w:val="clear" w:color="000000" w:fill="DCE6F1"/>
            <w:vAlign w:val="center"/>
            <w:hideMark/>
          </w:tcPr>
          <w:p w14:paraId="6001DC35"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13 - DC 139 – DN 67 (A)</w:t>
            </w:r>
          </w:p>
        </w:tc>
        <w:tc>
          <w:tcPr>
            <w:tcW w:w="1237" w:type="dxa"/>
            <w:tcBorders>
              <w:top w:val="nil"/>
              <w:left w:val="nil"/>
              <w:bottom w:val="single" w:sz="8" w:space="0" w:color="000000"/>
              <w:right w:val="single" w:sz="8" w:space="0" w:color="000000"/>
            </w:tcBorders>
            <w:shd w:val="clear" w:color="000000" w:fill="DCE6F1"/>
            <w:vAlign w:val="center"/>
            <w:hideMark/>
          </w:tcPr>
          <w:p w14:paraId="4269C50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000000" w:fill="DCE6F1"/>
            <w:vAlign w:val="center"/>
            <w:hideMark/>
          </w:tcPr>
          <w:p w14:paraId="6EB88D55"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CE6F1"/>
            <w:vAlign w:val="center"/>
            <w:hideMark/>
          </w:tcPr>
          <w:p w14:paraId="3912F66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71424BF9"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612CCBC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8</w:t>
            </w:r>
          </w:p>
        </w:tc>
        <w:tc>
          <w:tcPr>
            <w:tcW w:w="2949" w:type="dxa"/>
            <w:tcBorders>
              <w:top w:val="nil"/>
              <w:left w:val="nil"/>
              <w:bottom w:val="single" w:sz="8" w:space="0" w:color="000000"/>
              <w:right w:val="single" w:sz="8" w:space="0" w:color="000000"/>
            </w:tcBorders>
            <w:shd w:val="clear" w:color="auto" w:fill="auto"/>
            <w:vAlign w:val="center"/>
            <w:hideMark/>
          </w:tcPr>
          <w:p w14:paraId="0E931CB7"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13 - DC 139 – DN 67 (B)</w:t>
            </w:r>
          </w:p>
        </w:tc>
        <w:tc>
          <w:tcPr>
            <w:tcW w:w="1237" w:type="dxa"/>
            <w:tcBorders>
              <w:top w:val="nil"/>
              <w:left w:val="nil"/>
              <w:bottom w:val="single" w:sz="8" w:space="0" w:color="000000"/>
              <w:right w:val="single" w:sz="8" w:space="0" w:color="000000"/>
            </w:tcBorders>
            <w:shd w:val="clear" w:color="auto" w:fill="auto"/>
            <w:vAlign w:val="center"/>
            <w:hideMark/>
          </w:tcPr>
          <w:p w14:paraId="3CC1568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auto" w:fill="auto"/>
            <w:vAlign w:val="center"/>
            <w:hideMark/>
          </w:tcPr>
          <w:p w14:paraId="6021157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c>
          <w:tcPr>
            <w:tcW w:w="1296" w:type="dxa"/>
            <w:tcBorders>
              <w:top w:val="nil"/>
              <w:left w:val="nil"/>
              <w:bottom w:val="single" w:sz="8" w:space="0" w:color="000000"/>
              <w:right w:val="single" w:sz="8" w:space="0" w:color="000000"/>
            </w:tcBorders>
            <w:shd w:val="clear" w:color="auto" w:fill="auto"/>
            <w:vAlign w:val="center"/>
            <w:hideMark/>
          </w:tcPr>
          <w:p w14:paraId="704063D1"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r>
      <w:tr w:rsidR="00C36A80" w:rsidRPr="00C36A80" w14:paraId="74F79CC3"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176983D3"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9</w:t>
            </w:r>
          </w:p>
        </w:tc>
        <w:tc>
          <w:tcPr>
            <w:tcW w:w="2949" w:type="dxa"/>
            <w:tcBorders>
              <w:top w:val="nil"/>
              <w:left w:val="nil"/>
              <w:bottom w:val="single" w:sz="8" w:space="0" w:color="000000"/>
              <w:right w:val="single" w:sz="8" w:space="0" w:color="000000"/>
            </w:tcBorders>
            <w:shd w:val="clear" w:color="000000" w:fill="DCE6F1"/>
            <w:vAlign w:val="center"/>
            <w:hideMark/>
          </w:tcPr>
          <w:p w14:paraId="45F2EC93"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Str. Zăvoiului</w:t>
            </w:r>
          </w:p>
        </w:tc>
        <w:tc>
          <w:tcPr>
            <w:tcW w:w="1237" w:type="dxa"/>
            <w:tcBorders>
              <w:top w:val="nil"/>
              <w:left w:val="nil"/>
              <w:bottom w:val="single" w:sz="8" w:space="0" w:color="000000"/>
              <w:right w:val="single" w:sz="8" w:space="0" w:color="000000"/>
            </w:tcBorders>
            <w:shd w:val="clear" w:color="000000" w:fill="DCE6F1"/>
            <w:vAlign w:val="center"/>
            <w:hideMark/>
          </w:tcPr>
          <w:p w14:paraId="136AA2B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E</w:t>
            </w:r>
          </w:p>
        </w:tc>
        <w:tc>
          <w:tcPr>
            <w:tcW w:w="1308" w:type="dxa"/>
            <w:tcBorders>
              <w:top w:val="nil"/>
              <w:left w:val="nil"/>
              <w:bottom w:val="single" w:sz="8" w:space="0" w:color="000000"/>
              <w:right w:val="single" w:sz="8" w:space="0" w:color="000000"/>
            </w:tcBorders>
            <w:shd w:val="clear" w:color="000000" w:fill="DCE6F1"/>
            <w:vAlign w:val="center"/>
            <w:hideMark/>
          </w:tcPr>
          <w:p w14:paraId="7CF0FBC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E</w:t>
            </w:r>
          </w:p>
        </w:tc>
        <w:tc>
          <w:tcPr>
            <w:tcW w:w="1296" w:type="dxa"/>
            <w:tcBorders>
              <w:top w:val="nil"/>
              <w:left w:val="nil"/>
              <w:bottom w:val="single" w:sz="8" w:space="0" w:color="000000"/>
              <w:right w:val="single" w:sz="8" w:space="0" w:color="000000"/>
            </w:tcBorders>
            <w:shd w:val="clear" w:color="000000" w:fill="DCE6F1"/>
            <w:vAlign w:val="center"/>
            <w:hideMark/>
          </w:tcPr>
          <w:p w14:paraId="43F6FA9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E</w:t>
            </w:r>
          </w:p>
        </w:tc>
      </w:tr>
      <w:tr w:rsidR="00C36A80" w:rsidRPr="00C36A80" w14:paraId="31CC69B4"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5A45C9FE"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10</w:t>
            </w:r>
          </w:p>
        </w:tc>
        <w:tc>
          <w:tcPr>
            <w:tcW w:w="2949" w:type="dxa"/>
            <w:tcBorders>
              <w:top w:val="nil"/>
              <w:left w:val="nil"/>
              <w:bottom w:val="single" w:sz="8" w:space="0" w:color="000000"/>
              <w:right w:val="single" w:sz="8" w:space="0" w:color="000000"/>
            </w:tcBorders>
            <w:shd w:val="clear" w:color="auto" w:fill="auto"/>
            <w:vAlign w:val="center"/>
            <w:hideMark/>
          </w:tcPr>
          <w:p w14:paraId="4262F781"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 xml:space="preserve"> DC 142 – str. Matei Basarab</w:t>
            </w:r>
          </w:p>
        </w:tc>
        <w:tc>
          <w:tcPr>
            <w:tcW w:w="1237" w:type="dxa"/>
            <w:tcBorders>
              <w:top w:val="nil"/>
              <w:left w:val="nil"/>
              <w:bottom w:val="single" w:sz="8" w:space="0" w:color="000000"/>
              <w:right w:val="single" w:sz="8" w:space="0" w:color="000000"/>
            </w:tcBorders>
            <w:shd w:val="clear" w:color="auto" w:fill="auto"/>
            <w:vAlign w:val="center"/>
            <w:hideMark/>
          </w:tcPr>
          <w:p w14:paraId="69BDEEB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auto" w:fill="auto"/>
            <w:vAlign w:val="center"/>
            <w:hideMark/>
          </w:tcPr>
          <w:p w14:paraId="367C076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4F34A5E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5ADED591"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09FFE461"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11</w:t>
            </w:r>
          </w:p>
        </w:tc>
        <w:tc>
          <w:tcPr>
            <w:tcW w:w="2949" w:type="dxa"/>
            <w:tcBorders>
              <w:top w:val="nil"/>
              <w:left w:val="nil"/>
              <w:bottom w:val="single" w:sz="8" w:space="0" w:color="000000"/>
              <w:right w:val="single" w:sz="8" w:space="0" w:color="000000"/>
            </w:tcBorders>
            <w:shd w:val="clear" w:color="000000" w:fill="DCE6F1"/>
            <w:vAlign w:val="center"/>
            <w:hideMark/>
          </w:tcPr>
          <w:p w14:paraId="38E90361"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George Coșbuc</w:t>
            </w:r>
          </w:p>
        </w:tc>
        <w:tc>
          <w:tcPr>
            <w:tcW w:w="1237" w:type="dxa"/>
            <w:tcBorders>
              <w:top w:val="nil"/>
              <w:left w:val="nil"/>
              <w:bottom w:val="single" w:sz="8" w:space="0" w:color="000000"/>
              <w:right w:val="single" w:sz="8" w:space="0" w:color="000000"/>
            </w:tcBorders>
            <w:shd w:val="clear" w:color="000000" w:fill="DCE6F1"/>
            <w:vAlign w:val="center"/>
            <w:hideMark/>
          </w:tcPr>
          <w:p w14:paraId="5E33652C"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c>
          <w:tcPr>
            <w:tcW w:w="1308" w:type="dxa"/>
            <w:tcBorders>
              <w:top w:val="nil"/>
              <w:left w:val="nil"/>
              <w:bottom w:val="single" w:sz="8" w:space="0" w:color="000000"/>
              <w:right w:val="single" w:sz="8" w:space="0" w:color="000000"/>
            </w:tcBorders>
            <w:shd w:val="clear" w:color="000000" w:fill="DCE6F1"/>
            <w:vAlign w:val="center"/>
            <w:hideMark/>
          </w:tcPr>
          <w:p w14:paraId="74BD270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c>
          <w:tcPr>
            <w:tcW w:w="1296" w:type="dxa"/>
            <w:tcBorders>
              <w:top w:val="nil"/>
              <w:left w:val="nil"/>
              <w:bottom w:val="single" w:sz="8" w:space="0" w:color="000000"/>
              <w:right w:val="single" w:sz="8" w:space="0" w:color="000000"/>
            </w:tcBorders>
            <w:shd w:val="clear" w:color="000000" w:fill="DCE6F1"/>
            <w:vAlign w:val="center"/>
            <w:hideMark/>
          </w:tcPr>
          <w:p w14:paraId="178EC31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r>
      <w:tr w:rsidR="00C36A80" w:rsidRPr="00C36A80" w14:paraId="6139580E"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31B40CD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12</w:t>
            </w:r>
          </w:p>
        </w:tc>
        <w:tc>
          <w:tcPr>
            <w:tcW w:w="2949" w:type="dxa"/>
            <w:tcBorders>
              <w:top w:val="nil"/>
              <w:left w:val="nil"/>
              <w:bottom w:val="single" w:sz="8" w:space="0" w:color="000000"/>
              <w:right w:val="single" w:sz="8" w:space="0" w:color="000000"/>
            </w:tcBorders>
            <w:shd w:val="clear" w:color="auto" w:fill="auto"/>
            <w:vAlign w:val="center"/>
            <w:hideMark/>
          </w:tcPr>
          <w:p w14:paraId="635C9267"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DC 143 – str. Mihai Viteazu</w:t>
            </w:r>
          </w:p>
        </w:tc>
        <w:tc>
          <w:tcPr>
            <w:tcW w:w="1237" w:type="dxa"/>
            <w:tcBorders>
              <w:top w:val="nil"/>
              <w:left w:val="nil"/>
              <w:bottom w:val="single" w:sz="8" w:space="0" w:color="000000"/>
              <w:right w:val="single" w:sz="8" w:space="0" w:color="000000"/>
            </w:tcBorders>
            <w:shd w:val="clear" w:color="auto" w:fill="auto"/>
            <w:vAlign w:val="center"/>
            <w:hideMark/>
          </w:tcPr>
          <w:p w14:paraId="7169698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auto" w:fill="auto"/>
            <w:vAlign w:val="center"/>
            <w:hideMark/>
          </w:tcPr>
          <w:p w14:paraId="7401963C"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7BED7F4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6CBDFF3F"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9E1F2"/>
            <w:vAlign w:val="center"/>
            <w:hideMark/>
          </w:tcPr>
          <w:p w14:paraId="6FF3FC0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13</w:t>
            </w:r>
          </w:p>
        </w:tc>
        <w:tc>
          <w:tcPr>
            <w:tcW w:w="2949" w:type="dxa"/>
            <w:tcBorders>
              <w:top w:val="nil"/>
              <w:left w:val="nil"/>
              <w:bottom w:val="single" w:sz="8" w:space="0" w:color="000000"/>
              <w:right w:val="single" w:sz="8" w:space="0" w:color="000000"/>
            </w:tcBorders>
            <w:shd w:val="clear" w:color="000000" w:fill="D9E1F2"/>
            <w:vAlign w:val="center"/>
            <w:hideMark/>
          </w:tcPr>
          <w:p w14:paraId="7E17BA48"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 xml:space="preserve"> DN 67 – str. Stadionului</w:t>
            </w:r>
          </w:p>
        </w:tc>
        <w:tc>
          <w:tcPr>
            <w:tcW w:w="1237" w:type="dxa"/>
            <w:tcBorders>
              <w:top w:val="nil"/>
              <w:left w:val="nil"/>
              <w:bottom w:val="single" w:sz="8" w:space="0" w:color="000000"/>
              <w:right w:val="single" w:sz="8" w:space="0" w:color="000000"/>
            </w:tcBorders>
            <w:shd w:val="clear" w:color="000000" w:fill="D9E1F2"/>
            <w:vAlign w:val="center"/>
            <w:hideMark/>
          </w:tcPr>
          <w:p w14:paraId="6F52492D"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B</w:t>
            </w:r>
          </w:p>
        </w:tc>
        <w:tc>
          <w:tcPr>
            <w:tcW w:w="1308" w:type="dxa"/>
            <w:tcBorders>
              <w:top w:val="nil"/>
              <w:left w:val="nil"/>
              <w:bottom w:val="single" w:sz="8" w:space="0" w:color="000000"/>
              <w:right w:val="single" w:sz="8" w:space="0" w:color="000000"/>
            </w:tcBorders>
            <w:shd w:val="clear" w:color="000000" w:fill="D9E1F2"/>
            <w:vAlign w:val="center"/>
            <w:hideMark/>
          </w:tcPr>
          <w:p w14:paraId="42CE284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9E1F2"/>
            <w:vAlign w:val="center"/>
            <w:hideMark/>
          </w:tcPr>
          <w:p w14:paraId="79EBF90A"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482D83CC"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4FF6159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14</w:t>
            </w:r>
          </w:p>
        </w:tc>
        <w:tc>
          <w:tcPr>
            <w:tcW w:w="2949" w:type="dxa"/>
            <w:tcBorders>
              <w:top w:val="nil"/>
              <w:left w:val="nil"/>
              <w:bottom w:val="single" w:sz="8" w:space="0" w:color="000000"/>
              <w:right w:val="single" w:sz="8" w:space="0" w:color="000000"/>
            </w:tcBorders>
            <w:shd w:val="clear" w:color="auto" w:fill="auto"/>
            <w:vAlign w:val="center"/>
            <w:hideMark/>
          </w:tcPr>
          <w:p w14:paraId="2EA70584"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 xml:space="preserve"> DC 144 – str. spre Romanii de Sus (Stejarului)</w:t>
            </w:r>
          </w:p>
        </w:tc>
        <w:tc>
          <w:tcPr>
            <w:tcW w:w="1237" w:type="dxa"/>
            <w:tcBorders>
              <w:top w:val="nil"/>
              <w:left w:val="nil"/>
              <w:bottom w:val="single" w:sz="8" w:space="0" w:color="000000"/>
              <w:right w:val="single" w:sz="8" w:space="0" w:color="000000"/>
            </w:tcBorders>
            <w:shd w:val="clear" w:color="auto" w:fill="auto"/>
            <w:vAlign w:val="center"/>
            <w:hideMark/>
          </w:tcPr>
          <w:p w14:paraId="588B739D"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auto" w:fill="auto"/>
            <w:vAlign w:val="center"/>
            <w:hideMark/>
          </w:tcPr>
          <w:p w14:paraId="78DF45FE"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288D1A0F"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7AC8B306"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9E1F2"/>
            <w:vAlign w:val="center"/>
            <w:hideMark/>
          </w:tcPr>
          <w:p w14:paraId="1525F47D"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15</w:t>
            </w:r>
          </w:p>
        </w:tc>
        <w:tc>
          <w:tcPr>
            <w:tcW w:w="2949" w:type="dxa"/>
            <w:tcBorders>
              <w:top w:val="nil"/>
              <w:left w:val="nil"/>
              <w:bottom w:val="single" w:sz="8" w:space="0" w:color="000000"/>
              <w:right w:val="single" w:sz="8" w:space="0" w:color="000000"/>
            </w:tcBorders>
            <w:shd w:val="clear" w:color="000000" w:fill="D9E1F2"/>
            <w:vAlign w:val="center"/>
            <w:hideMark/>
          </w:tcPr>
          <w:p w14:paraId="6C212EE8"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DJ 669 – str. Manastirii</w:t>
            </w:r>
          </w:p>
        </w:tc>
        <w:tc>
          <w:tcPr>
            <w:tcW w:w="1237" w:type="dxa"/>
            <w:tcBorders>
              <w:top w:val="nil"/>
              <w:left w:val="nil"/>
              <w:bottom w:val="single" w:sz="8" w:space="0" w:color="000000"/>
              <w:right w:val="single" w:sz="8" w:space="0" w:color="000000"/>
            </w:tcBorders>
            <w:shd w:val="clear" w:color="000000" w:fill="D9E1F2"/>
            <w:vAlign w:val="center"/>
            <w:hideMark/>
          </w:tcPr>
          <w:p w14:paraId="50116FC5"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B</w:t>
            </w:r>
          </w:p>
        </w:tc>
        <w:tc>
          <w:tcPr>
            <w:tcW w:w="1308" w:type="dxa"/>
            <w:tcBorders>
              <w:top w:val="nil"/>
              <w:left w:val="nil"/>
              <w:bottom w:val="single" w:sz="8" w:space="0" w:color="000000"/>
              <w:right w:val="single" w:sz="8" w:space="0" w:color="000000"/>
            </w:tcBorders>
            <w:shd w:val="clear" w:color="000000" w:fill="D9E1F2"/>
            <w:vAlign w:val="center"/>
            <w:hideMark/>
          </w:tcPr>
          <w:p w14:paraId="47F9AB3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B</w:t>
            </w:r>
          </w:p>
        </w:tc>
        <w:tc>
          <w:tcPr>
            <w:tcW w:w="1296" w:type="dxa"/>
            <w:tcBorders>
              <w:top w:val="nil"/>
              <w:left w:val="nil"/>
              <w:bottom w:val="single" w:sz="8" w:space="0" w:color="000000"/>
              <w:right w:val="single" w:sz="8" w:space="0" w:color="000000"/>
            </w:tcBorders>
            <w:shd w:val="clear" w:color="000000" w:fill="D9E1F2"/>
            <w:vAlign w:val="center"/>
            <w:hideMark/>
          </w:tcPr>
          <w:p w14:paraId="502A1DDE"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B</w:t>
            </w:r>
          </w:p>
        </w:tc>
      </w:tr>
      <w:tr w:rsidR="00C36A80" w:rsidRPr="00C36A80" w14:paraId="7B277963"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tcPr>
          <w:p w14:paraId="0088E42C"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16</w:t>
            </w:r>
          </w:p>
        </w:tc>
        <w:tc>
          <w:tcPr>
            <w:tcW w:w="2949" w:type="dxa"/>
            <w:tcBorders>
              <w:top w:val="nil"/>
              <w:left w:val="nil"/>
              <w:bottom w:val="single" w:sz="8" w:space="0" w:color="000000"/>
              <w:right w:val="single" w:sz="8" w:space="0" w:color="000000"/>
            </w:tcBorders>
            <w:shd w:val="clear" w:color="auto" w:fill="auto"/>
            <w:vAlign w:val="center"/>
          </w:tcPr>
          <w:p w14:paraId="1EA60A2F" w14:textId="77777777" w:rsidR="00C36A80" w:rsidRPr="00C36A80" w:rsidRDefault="00C36A80" w:rsidP="00C36A80">
            <w:pPr>
              <w:spacing w:after="0"/>
              <w:rPr>
                <w:rFonts w:ascii="Arial" w:hAnsi="Arial" w:cs="Arial"/>
                <w:color w:val="000000"/>
                <w:sz w:val="19"/>
                <w:szCs w:val="19"/>
              </w:rPr>
            </w:pPr>
            <w:r w:rsidRPr="00C36A80">
              <w:rPr>
                <w:rFonts w:ascii="Calibri" w:hAnsi="Calibri" w:cs="Calibri"/>
                <w:color w:val="000000"/>
              </w:rPr>
              <w:t>11 - DN 67 – DN 65C</w:t>
            </w:r>
          </w:p>
        </w:tc>
        <w:tc>
          <w:tcPr>
            <w:tcW w:w="1237" w:type="dxa"/>
            <w:tcBorders>
              <w:top w:val="nil"/>
              <w:left w:val="nil"/>
              <w:bottom w:val="single" w:sz="8" w:space="0" w:color="000000"/>
              <w:right w:val="single" w:sz="8" w:space="0" w:color="000000"/>
            </w:tcBorders>
            <w:shd w:val="clear" w:color="auto" w:fill="auto"/>
            <w:vAlign w:val="center"/>
          </w:tcPr>
          <w:p w14:paraId="62E16844"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auto" w:fill="auto"/>
            <w:vAlign w:val="center"/>
          </w:tcPr>
          <w:p w14:paraId="7C69F112"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tcPr>
          <w:p w14:paraId="07524B82"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A</w:t>
            </w:r>
          </w:p>
        </w:tc>
      </w:tr>
      <w:tr w:rsidR="00C36A80" w:rsidRPr="00C36A80" w14:paraId="3839C5A8"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9E1F2"/>
            <w:vAlign w:val="center"/>
          </w:tcPr>
          <w:p w14:paraId="3468CFE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17</w:t>
            </w:r>
          </w:p>
        </w:tc>
        <w:tc>
          <w:tcPr>
            <w:tcW w:w="2949" w:type="dxa"/>
            <w:tcBorders>
              <w:top w:val="nil"/>
              <w:left w:val="nil"/>
              <w:bottom w:val="single" w:sz="8" w:space="0" w:color="000000"/>
              <w:right w:val="single" w:sz="8" w:space="0" w:color="000000"/>
            </w:tcBorders>
            <w:shd w:val="clear" w:color="000000" w:fill="D9E1F2"/>
            <w:vAlign w:val="center"/>
          </w:tcPr>
          <w:p w14:paraId="33FC1A4C" w14:textId="77777777" w:rsidR="00C36A80" w:rsidRPr="00C36A80" w:rsidRDefault="00C36A80" w:rsidP="00C36A80">
            <w:pPr>
              <w:spacing w:after="0"/>
              <w:rPr>
                <w:rFonts w:ascii="Arial" w:hAnsi="Arial" w:cs="Arial"/>
                <w:color w:val="000000"/>
                <w:sz w:val="19"/>
                <w:szCs w:val="19"/>
              </w:rPr>
            </w:pPr>
            <w:r w:rsidRPr="00C36A80">
              <w:rPr>
                <w:rFonts w:ascii="Calibri" w:hAnsi="Calibri" w:cs="Calibri"/>
                <w:color w:val="000000"/>
              </w:rPr>
              <w:t>13 - DC 139 – DN 67 (A)</w:t>
            </w:r>
          </w:p>
        </w:tc>
        <w:tc>
          <w:tcPr>
            <w:tcW w:w="1237" w:type="dxa"/>
            <w:tcBorders>
              <w:top w:val="nil"/>
              <w:left w:val="nil"/>
              <w:bottom w:val="single" w:sz="8" w:space="0" w:color="000000"/>
              <w:right w:val="single" w:sz="8" w:space="0" w:color="000000"/>
            </w:tcBorders>
            <w:shd w:val="clear" w:color="000000" w:fill="D9E1F2"/>
            <w:vAlign w:val="center"/>
          </w:tcPr>
          <w:p w14:paraId="69899F7D"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D</w:t>
            </w:r>
          </w:p>
        </w:tc>
        <w:tc>
          <w:tcPr>
            <w:tcW w:w="1308" w:type="dxa"/>
            <w:tcBorders>
              <w:top w:val="nil"/>
              <w:left w:val="nil"/>
              <w:bottom w:val="single" w:sz="8" w:space="0" w:color="000000"/>
              <w:right w:val="single" w:sz="8" w:space="0" w:color="000000"/>
            </w:tcBorders>
            <w:shd w:val="clear" w:color="000000" w:fill="D9E1F2"/>
            <w:vAlign w:val="center"/>
          </w:tcPr>
          <w:p w14:paraId="5FB85BFE"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D</w:t>
            </w:r>
          </w:p>
        </w:tc>
        <w:tc>
          <w:tcPr>
            <w:tcW w:w="1296" w:type="dxa"/>
            <w:tcBorders>
              <w:top w:val="nil"/>
              <w:left w:val="nil"/>
              <w:bottom w:val="single" w:sz="8" w:space="0" w:color="000000"/>
              <w:right w:val="single" w:sz="8" w:space="0" w:color="000000"/>
            </w:tcBorders>
            <w:shd w:val="clear" w:color="000000" w:fill="D9E1F2"/>
            <w:vAlign w:val="center"/>
          </w:tcPr>
          <w:p w14:paraId="3EAE1A75"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D</w:t>
            </w:r>
          </w:p>
        </w:tc>
      </w:tr>
      <w:tr w:rsidR="00C36A80" w:rsidRPr="00C36A80" w14:paraId="5BD52690"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1B609EFE"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18</w:t>
            </w:r>
          </w:p>
        </w:tc>
        <w:tc>
          <w:tcPr>
            <w:tcW w:w="2949" w:type="dxa"/>
            <w:tcBorders>
              <w:top w:val="nil"/>
              <w:left w:val="nil"/>
              <w:bottom w:val="single" w:sz="8" w:space="0" w:color="000000"/>
              <w:right w:val="single" w:sz="8" w:space="0" w:color="000000"/>
            </w:tcBorders>
            <w:shd w:val="clear" w:color="auto" w:fill="auto"/>
            <w:vAlign w:val="center"/>
            <w:hideMark/>
          </w:tcPr>
          <w:p w14:paraId="64C02B65"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10 - DC 144 – DC 146</w:t>
            </w:r>
          </w:p>
        </w:tc>
        <w:tc>
          <w:tcPr>
            <w:tcW w:w="1237" w:type="dxa"/>
            <w:tcBorders>
              <w:top w:val="nil"/>
              <w:left w:val="nil"/>
              <w:bottom w:val="single" w:sz="8" w:space="0" w:color="000000"/>
              <w:right w:val="single" w:sz="8" w:space="0" w:color="000000"/>
            </w:tcBorders>
            <w:shd w:val="clear" w:color="auto" w:fill="auto"/>
            <w:vAlign w:val="center"/>
            <w:hideMark/>
          </w:tcPr>
          <w:p w14:paraId="3B4DB99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B</w:t>
            </w:r>
          </w:p>
        </w:tc>
        <w:tc>
          <w:tcPr>
            <w:tcW w:w="1308" w:type="dxa"/>
            <w:tcBorders>
              <w:top w:val="nil"/>
              <w:left w:val="nil"/>
              <w:bottom w:val="single" w:sz="8" w:space="0" w:color="000000"/>
              <w:right w:val="single" w:sz="8" w:space="0" w:color="000000"/>
            </w:tcBorders>
            <w:shd w:val="clear" w:color="auto" w:fill="auto"/>
            <w:vAlign w:val="center"/>
            <w:hideMark/>
          </w:tcPr>
          <w:p w14:paraId="2FD52E3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205AF0D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7F823097"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1B355BB3"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19</w:t>
            </w:r>
          </w:p>
        </w:tc>
        <w:tc>
          <w:tcPr>
            <w:tcW w:w="2949" w:type="dxa"/>
            <w:tcBorders>
              <w:top w:val="nil"/>
              <w:left w:val="nil"/>
              <w:bottom w:val="single" w:sz="8" w:space="0" w:color="000000"/>
              <w:right w:val="single" w:sz="8" w:space="0" w:color="000000"/>
            </w:tcBorders>
            <w:shd w:val="clear" w:color="000000" w:fill="DCE6F1"/>
            <w:vAlign w:val="center"/>
            <w:hideMark/>
          </w:tcPr>
          <w:p w14:paraId="690B9F64"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16 - DJ 669 – DC 146</w:t>
            </w:r>
          </w:p>
        </w:tc>
        <w:tc>
          <w:tcPr>
            <w:tcW w:w="1237" w:type="dxa"/>
            <w:tcBorders>
              <w:top w:val="nil"/>
              <w:left w:val="nil"/>
              <w:bottom w:val="single" w:sz="8" w:space="0" w:color="000000"/>
              <w:right w:val="single" w:sz="8" w:space="0" w:color="000000"/>
            </w:tcBorders>
            <w:shd w:val="clear" w:color="000000" w:fill="DCE6F1"/>
            <w:vAlign w:val="center"/>
            <w:hideMark/>
          </w:tcPr>
          <w:p w14:paraId="7DEEB67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000000" w:fill="DCE6F1"/>
            <w:vAlign w:val="center"/>
            <w:hideMark/>
          </w:tcPr>
          <w:p w14:paraId="49DAC5BA"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CE6F1"/>
            <w:vAlign w:val="center"/>
            <w:hideMark/>
          </w:tcPr>
          <w:p w14:paraId="68E049F5"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bl>
    <w:p w14:paraId="408F02F9" w14:textId="77777777" w:rsidR="00C36A80" w:rsidRPr="00C36A80" w:rsidRDefault="00C36A80" w:rsidP="00C36A80">
      <w:pPr>
        <w:widowControl w:val="0"/>
        <w:suppressAutoHyphens/>
        <w:spacing w:after="0" w:line="240" w:lineRule="auto"/>
        <w:rPr>
          <w:rFonts w:ascii="Arial" w:hAnsi="Arial" w:cs="Mangal"/>
          <w:kern w:val="1"/>
          <w:sz w:val="20"/>
          <w:szCs w:val="24"/>
          <w:lang w:val="ro-RO" w:eastAsia="hi-IN" w:bidi="hi-IN"/>
        </w:rPr>
      </w:pPr>
    </w:p>
    <w:p w14:paraId="28AE510E" w14:textId="0A801E1B" w:rsidR="0060531A" w:rsidRDefault="0060531A" w:rsidP="0060531A">
      <w:pPr>
        <w:widowControl w:val="0"/>
        <w:suppressAutoHyphens/>
        <w:spacing w:after="0" w:line="276" w:lineRule="auto"/>
        <w:jc w:val="both"/>
        <w:rPr>
          <w:rFonts w:ascii="Arial" w:hAnsi="Arial" w:cs="Arial"/>
          <w:kern w:val="1"/>
          <w:lang w:val="es-ES" w:eastAsia="hi-IN" w:bidi="hi-IN"/>
        </w:rPr>
      </w:pPr>
    </w:p>
    <w:p w14:paraId="700FABA7" w14:textId="5CEC5D6F" w:rsidR="003108E9" w:rsidRDefault="003108E9" w:rsidP="003108E9">
      <w:pPr>
        <w:widowControl w:val="0"/>
        <w:suppressAutoHyphens/>
        <w:spacing w:after="0" w:line="276" w:lineRule="auto"/>
        <w:jc w:val="center"/>
        <w:rPr>
          <w:rFonts w:ascii="Arial" w:hAnsi="Arial" w:cs="Arial"/>
          <w:kern w:val="1"/>
          <w:lang w:val="es-ES" w:eastAsia="hi-IN" w:bidi="hi-IN"/>
        </w:rPr>
      </w:pPr>
      <w:r w:rsidRPr="003108E9">
        <w:rPr>
          <w:rFonts w:ascii="Calibri" w:eastAsia="Arial" w:hAnsi="Calibri" w:cs="Arial"/>
          <w:noProof/>
          <w:sz w:val="24"/>
        </w:rPr>
        <w:lastRenderedPageBreak/>
        <w:drawing>
          <wp:inline distT="0" distB="0" distL="0" distR="0" wp14:anchorId="57F43E5E" wp14:editId="714771F9">
            <wp:extent cx="5670178" cy="4191000"/>
            <wp:effectExtent l="0" t="0" r="6985" b="0"/>
            <wp:docPr id="145"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ine 30"/>
                    <pic:cNvPicPr>
                      <a:picLocks noChangeAspect="1" noChangeArrowheads="1"/>
                    </pic:cNvPicPr>
                  </pic:nvPicPr>
                  <pic:blipFill>
                    <a:blip r:embed="rId228" cstate="print">
                      <a:extLst>
                        <a:ext uri="{28A0092B-C50C-407E-A947-70E740481C1C}">
                          <a14:useLocalDpi xmlns:a14="http://schemas.microsoft.com/office/drawing/2010/main" val="0"/>
                        </a:ext>
                      </a:extLst>
                    </a:blip>
                    <a:stretch>
                      <a:fillRect/>
                    </a:stretch>
                  </pic:blipFill>
                  <pic:spPr bwMode="auto">
                    <a:xfrm>
                      <a:off x="0" y="0"/>
                      <a:ext cx="5683113" cy="4200560"/>
                    </a:xfrm>
                    <a:prstGeom prst="rect">
                      <a:avLst/>
                    </a:prstGeom>
                    <a:noFill/>
                    <a:ln>
                      <a:noFill/>
                    </a:ln>
                  </pic:spPr>
                </pic:pic>
              </a:graphicData>
            </a:graphic>
          </wp:inline>
        </w:drawing>
      </w:r>
    </w:p>
    <w:p w14:paraId="72C94E74" w14:textId="25F1C4AC" w:rsidR="003108E9" w:rsidRPr="003108E9" w:rsidRDefault="003108E9" w:rsidP="003108E9">
      <w:pPr>
        <w:pStyle w:val="Legend"/>
        <w:jc w:val="center"/>
        <w:rPr>
          <w:rFonts w:ascii="Arial" w:hAnsi="Arial" w:cs="Arial"/>
          <w:i w:val="0"/>
          <w:iCs w:val="0"/>
          <w:kern w:val="1"/>
          <w:sz w:val="22"/>
          <w:szCs w:val="22"/>
          <w:lang w:val="es-ES" w:eastAsia="hi-IN" w:bidi="hi-IN"/>
        </w:rPr>
      </w:pPr>
      <w:bookmarkStart w:id="487" w:name="_Toc140744533"/>
      <w:r w:rsidRPr="003108E9">
        <w:rPr>
          <w:rFonts w:ascii="Arial" w:hAnsi="Arial" w:cs="Arial"/>
          <w:sz w:val="22"/>
          <w:szCs w:val="22"/>
        </w:rPr>
        <w:t xml:space="preserve">Figura I.7. </w:t>
      </w:r>
      <w:r w:rsidRPr="003108E9">
        <w:rPr>
          <w:rFonts w:ascii="Arial" w:hAnsi="Arial" w:cs="Arial"/>
          <w:sz w:val="22"/>
          <w:szCs w:val="22"/>
        </w:rPr>
        <w:fldChar w:fldCharType="begin"/>
      </w:r>
      <w:r w:rsidRPr="003108E9">
        <w:rPr>
          <w:rFonts w:ascii="Arial" w:hAnsi="Arial" w:cs="Arial"/>
          <w:sz w:val="22"/>
          <w:szCs w:val="22"/>
        </w:rPr>
        <w:instrText xml:space="preserve"> SEQ Figura_I.7. \* ARABIC </w:instrText>
      </w:r>
      <w:r w:rsidRPr="003108E9">
        <w:rPr>
          <w:rFonts w:ascii="Arial" w:hAnsi="Arial" w:cs="Arial"/>
          <w:sz w:val="22"/>
          <w:szCs w:val="22"/>
        </w:rPr>
        <w:fldChar w:fldCharType="separate"/>
      </w:r>
      <w:r w:rsidR="00BB181C">
        <w:rPr>
          <w:rFonts w:ascii="Arial" w:hAnsi="Arial" w:cs="Arial"/>
          <w:noProof/>
          <w:sz w:val="22"/>
          <w:szCs w:val="22"/>
        </w:rPr>
        <w:t>8</w:t>
      </w:r>
      <w:r w:rsidRPr="003108E9">
        <w:rPr>
          <w:rFonts w:ascii="Arial" w:hAnsi="Arial" w:cs="Arial"/>
          <w:sz w:val="22"/>
          <w:szCs w:val="22"/>
        </w:rPr>
        <w:fldChar w:fldCharType="end"/>
      </w:r>
      <w:r w:rsidRPr="003108E9">
        <w:rPr>
          <w:rFonts w:ascii="Arial" w:hAnsi="Arial" w:cs="Arial"/>
          <w:sz w:val="22"/>
          <w:szCs w:val="22"/>
        </w:rPr>
        <w:t xml:space="preserve"> - </w:t>
      </w:r>
      <w:r w:rsidRPr="003108E9">
        <w:rPr>
          <w:rFonts w:ascii="Arial" w:hAnsi="Arial" w:cs="Arial"/>
          <w:i w:val="0"/>
          <w:iCs w:val="0"/>
          <w:sz w:val="22"/>
          <w:szCs w:val="22"/>
        </w:rPr>
        <w:t>Niveluri de serviciu ora de vârf AM orizont 2035 Scenariul 1</w:t>
      </w:r>
      <w:bookmarkEnd w:id="487"/>
    </w:p>
    <w:p w14:paraId="3AFC60F9" w14:textId="38398547" w:rsidR="003108E9" w:rsidRDefault="003108E9" w:rsidP="0060531A">
      <w:pPr>
        <w:widowControl w:val="0"/>
        <w:suppressAutoHyphens/>
        <w:spacing w:after="0" w:line="276" w:lineRule="auto"/>
        <w:jc w:val="both"/>
        <w:rPr>
          <w:rFonts w:ascii="Arial" w:hAnsi="Arial" w:cs="Arial"/>
          <w:kern w:val="1"/>
          <w:lang w:val="es-ES" w:eastAsia="hi-IN" w:bidi="hi-IN"/>
        </w:rPr>
      </w:pPr>
      <w:r w:rsidRPr="003108E9">
        <w:rPr>
          <w:rFonts w:ascii="Calibri" w:hAnsi="Calibri" w:cs="Times New Roman"/>
          <w:noProof/>
        </w:rPr>
        <w:lastRenderedPageBreak/>
        <w:drawing>
          <wp:inline distT="0" distB="0" distL="0" distR="0" wp14:anchorId="20B5B259" wp14:editId="561D2C4E">
            <wp:extent cx="6086475" cy="4498698"/>
            <wp:effectExtent l="0" t="0" r="0" b="0"/>
            <wp:docPr id="146"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ine 31"/>
                    <pic:cNvPicPr>
                      <a:picLocks noChangeAspect="1" noChangeArrowheads="1"/>
                    </pic:cNvPicPr>
                  </pic:nvPicPr>
                  <pic:blipFill>
                    <a:blip r:embed="rId229" cstate="print">
                      <a:extLst>
                        <a:ext uri="{28A0092B-C50C-407E-A947-70E740481C1C}">
                          <a14:useLocalDpi xmlns:a14="http://schemas.microsoft.com/office/drawing/2010/main" val="0"/>
                        </a:ext>
                      </a:extLst>
                    </a:blip>
                    <a:stretch>
                      <a:fillRect/>
                    </a:stretch>
                  </pic:blipFill>
                  <pic:spPr bwMode="auto">
                    <a:xfrm>
                      <a:off x="0" y="0"/>
                      <a:ext cx="6094381" cy="4504541"/>
                    </a:xfrm>
                    <a:prstGeom prst="rect">
                      <a:avLst/>
                    </a:prstGeom>
                    <a:noFill/>
                    <a:ln>
                      <a:noFill/>
                    </a:ln>
                  </pic:spPr>
                </pic:pic>
              </a:graphicData>
            </a:graphic>
          </wp:inline>
        </w:drawing>
      </w:r>
    </w:p>
    <w:p w14:paraId="11BACDF6" w14:textId="7D33EBC7" w:rsidR="003108E9" w:rsidRDefault="003108E9" w:rsidP="003108E9">
      <w:pPr>
        <w:pStyle w:val="Legend"/>
        <w:jc w:val="center"/>
        <w:rPr>
          <w:rFonts w:ascii="Arial" w:hAnsi="Arial" w:cs="Arial"/>
          <w:i w:val="0"/>
          <w:iCs w:val="0"/>
          <w:sz w:val="22"/>
          <w:szCs w:val="22"/>
        </w:rPr>
      </w:pPr>
      <w:bookmarkStart w:id="488" w:name="_Toc140744534"/>
      <w:r w:rsidRPr="003108E9">
        <w:rPr>
          <w:rFonts w:ascii="Arial" w:hAnsi="Arial" w:cs="Arial"/>
          <w:sz w:val="22"/>
          <w:szCs w:val="22"/>
        </w:rPr>
        <w:t xml:space="preserve">Figura I.7. </w:t>
      </w:r>
      <w:r w:rsidRPr="003108E9">
        <w:rPr>
          <w:rFonts w:ascii="Arial" w:hAnsi="Arial" w:cs="Arial"/>
          <w:sz w:val="22"/>
          <w:szCs w:val="22"/>
        </w:rPr>
        <w:fldChar w:fldCharType="begin"/>
      </w:r>
      <w:r w:rsidRPr="003108E9">
        <w:rPr>
          <w:rFonts w:ascii="Arial" w:hAnsi="Arial" w:cs="Arial"/>
          <w:sz w:val="22"/>
          <w:szCs w:val="22"/>
        </w:rPr>
        <w:instrText xml:space="preserve"> SEQ Figura_I.7. \* ARABIC </w:instrText>
      </w:r>
      <w:r w:rsidRPr="003108E9">
        <w:rPr>
          <w:rFonts w:ascii="Arial" w:hAnsi="Arial" w:cs="Arial"/>
          <w:sz w:val="22"/>
          <w:szCs w:val="22"/>
        </w:rPr>
        <w:fldChar w:fldCharType="separate"/>
      </w:r>
      <w:r w:rsidR="00BB181C">
        <w:rPr>
          <w:rFonts w:ascii="Arial" w:hAnsi="Arial" w:cs="Arial"/>
          <w:noProof/>
          <w:sz w:val="22"/>
          <w:szCs w:val="22"/>
        </w:rPr>
        <w:t>9</w:t>
      </w:r>
      <w:r w:rsidRPr="003108E9">
        <w:rPr>
          <w:rFonts w:ascii="Arial" w:hAnsi="Arial" w:cs="Arial"/>
          <w:sz w:val="22"/>
          <w:szCs w:val="22"/>
        </w:rPr>
        <w:fldChar w:fldCharType="end"/>
      </w:r>
      <w:r w:rsidRPr="003108E9">
        <w:rPr>
          <w:rFonts w:ascii="Arial" w:hAnsi="Arial" w:cs="Arial"/>
          <w:sz w:val="22"/>
          <w:szCs w:val="22"/>
        </w:rPr>
        <w:t xml:space="preserve"> - </w:t>
      </w:r>
      <w:r w:rsidRPr="003108E9">
        <w:rPr>
          <w:rFonts w:ascii="Arial" w:hAnsi="Arial" w:cs="Arial"/>
          <w:i w:val="0"/>
          <w:iCs w:val="0"/>
          <w:sz w:val="22"/>
          <w:szCs w:val="22"/>
        </w:rPr>
        <w:t>Niveluri de serviciu ora de vârf AM orizont 2035 Scenariul 2</w:t>
      </w:r>
      <w:bookmarkEnd w:id="488"/>
    </w:p>
    <w:p w14:paraId="1509E4DA" w14:textId="002DE5C0" w:rsidR="003108E9" w:rsidRDefault="003108E9" w:rsidP="003108E9">
      <w:pPr>
        <w:jc w:val="center"/>
      </w:pPr>
      <w:r w:rsidRPr="003108E9">
        <w:rPr>
          <w:rFonts w:ascii="Calibri" w:hAnsi="Calibri" w:cs="Times New Roman"/>
          <w:noProof/>
        </w:rPr>
        <w:lastRenderedPageBreak/>
        <w:drawing>
          <wp:inline distT="0" distB="0" distL="0" distR="0" wp14:anchorId="44D6DE64" wp14:editId="021E6B16">
            <wp:extent cx="5008655" cy="3702050"/>
            <wp:effectExtent l="0" t="0" r="1905" b="0"/>
            <wp:docPr id="147"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ine 32"/>
                    <pic:cNvPicPr>
                      <a:picLocks noChangeAspect="1" noChangeArrowheads="1"/>
                    </pic:cNvPicPr>
                  </pic:nvPicPr>
                  <pic:blipFill>
                    <a:blip r:embed="rId230" cstate="print">
                      <a:extLst>
                        <a:ext uri="{28A0092B-C50C-407E-A947-70E740481C1C}">
                          <a14:useLocalDpi xmlns:a14="http://schemas.microsoft.com/office/drawing/2010/main" val="0"/>
                        </a:ext>
                      </a:extLst>
                    </a:blip>
                    <a:stretch>
                      <a:fillRect/>
                    </a:stretch>
                  </pic:blipFill>
                  <pic:spPr bwMode="auto">
                    <a:xfrm>
                      <a:off x="0" y="0"/>
                      <a:ext cx="5015547" cy="3707144"/>
                    </a:xfrm>
                    <a:prstGeom prst="rect">
                      <a:avLst/>
                    </a:prstGeom>
                    <a:noFill/>
                    <a:ln>
                      <a:noFill/>
                    </a:ln>
                  </pic:spPr>
                </pic:pic>
              </a:graphicData>
            </a:graphic>
          </wp:inline>
        </w:drawing>
      </w:r>
    </w:p>
    <w:p w14:paraId="7BD3B5D6" w14:textId="3A62C4CD" w:rsidR="003108E9" w:rsidRDefault="003108E9" w:rsidP="003108E9">
      <w:pPr>
        <w:pStyle w:val="Legend"/>
        <w:jc w:val="center"/>
        <w:rPr>
          <w:rFonts w:ascii="Arial" w:hAnsi="Arial" w:cs="Arial"/>
          <w:i w:val="0"/>
          <w:iCs w:val="0"/>
          <w:sz w:val="22"/>
          <w:szCs w:val="22"/>
        </w:rPr>
      </w:pPr>
      <w:bookmarkStart w:id="489" w:name="_Toc140744535"/>
      <w:r w:rsidRPr="003108E9">
        <w:rPr>
          <w:rFonts w:ascii="Arial" w:hAnsi="Arial" w:cs="Arial"/>
          <w:sz w:val="22"/>
          <w:szCs w:val="22"/>
        </w:rPr>
        <w:t xml:space="preserve">Figura I.7. </w:t>
      </w:r>
      <w:r w:rsidRPr="003108E9">
        <w:rPr>
          <w:rFonts w:ascii="Arial" w:hAnsi="Arial" w:cs="Arial"/>
          <w:sz w:val="22"/>
          <w:szCs w:val="22"/>
        </w:rPr>
        <w:fldChar w:fldCharType="begin"/>
      </w:r>
      <w:r w:rsidRPr="003108E9">
        <w:rPr>
          <w:rFonts w:ascii="Arial" w:hAnsi="Arial" w:cs="Arial"/>
          <w:sz w:val="22"/>
          <w:szCs w:val="22"/>
        </w:rPr>
        <w:instrText xml:space="preserve"> SEQ Figura_I.7. \* ARABIC </w:instrText>
      </w:r>
      <w:r w:rsidRPr="003108E9">
        <w:rPr>
          <w:rFonts w:ascii="Arial" w:hAnsi="Arial" w:cs="Arial"/>
          <w:sz w:val="22"/>
          <w:szCs w:val="22"/>
        </w:rPr>
        <w:fldChar w:fldCharType="separate"/>
      </w:r>
      <w:r w:rsidR="00BB181C">
        <w:rPr>
          <w:rFonts w:ascii="Arial" w:hAnsi="Arial" w:cs="Arial"/>
          <w:noProof/>
          <w:sz w:val="22"/>
          <w:szCs w:val="22"/>
        </w:rPr>
        <w:t>10</w:t>
      </w:r>
      <w:r w:rsidRPr="003108E9">
        <w:rPr>
          <w:rFonts w:ascii="Arial" w:hAnsi="Arial" w:cs="Arial"/>
          <w:sz w:val="22"/>
          <w:szCs w:val="22"/>
        </w:rPr>
        <w:fldChar w:fldCharType="end"/>
      </w:r>
      <w:r w:rsidRPr="003108E9">
        <w:rPr>
          <w:rFonts w:ascii="Arial" w:hAnsi="Arial" w:cs="Arial"/>
          <w:sz w:val="22"/>
          <w:szCs w:val="22"/>
        </w:rPr>
        <w:t xml:space="preserve"> -  </w:t>
      </w:r>
      <w:r w:rsidRPr="003108E9">
        <w:rPr>
          <w:rFonts w:ascii="Arial" w:hAnsi="Arial" w:cs="Arial"/>
          <w:i w:val="0"/>
          <w:iCs w:val="0"/>
          <w:sz w:val="22"/>
          <w:szCs w:val="22"/>
        </w:rPr>
        <w:t>Niveluri de serviciu ora de vârf AM orizont 2035 Scenariul 3</w:t>
      </w:r>
      <w:bookmarkEnd w:id="489"/>
    </w:p>
    <w:p w14:paraId="4198CCB7" w14:textId="1DF25AFB" w:rsidR="003108E9" w:rsidRDefault="003108E9" w:rsidP="003108E9"/>
    <w:p w14:paraId="5EB18A04" w14:textId="77777777" w:rsidR="004F5666" w:rsidRPr="0028563B" w:rsidRDefault="004F5666" w:rsidP="0028563B">
      <w:pPr>
        <w:pStyle w:val="Titlu4"/>
        <w:numPr>
          <w:ilvl w:val="0"/>
          <w:numId w:val="0"/>
        </w:numPr>
        <w:rPr>
          <w:rFonts w:ascii="Arial" w:hAnsi="Arial" w:cs="Arial"/>
          <w:sz w:val="22"/>
          <w:szCs w:val="22"/>
          <w:lang w:bidi="hi-IN"/>
        </w:rPr>
      </w:pPr>
      <w:r w:rsidRPr="0028563B">
        <w:rPr>
          <w:rFonts w:ascii="Arial" w:hAnsi="Arial" w:cs="Arial"/>
          <w:sz w:val="22"/>
          <w:szCs w:val="22"/>
          <w:lang w:bidi="hi-IN"/>
        </w:rPr>
        <w:t>I.7.1.2.2 Parametri ora de vârf PM orizont 2035</w:t>
      </w:r>
    </w:p>
    <w:p w14:paraId="5C08A88C" w14:textId="77777777" w:rsidR="0060531A" w:rsidRPr="0060531A" w:rsidRDefault="0060531A" w:rsidP="0060531A">
      <w:pPr>
        <w:widowControl w:val="0"/>
        <w:suppressAutoHyphens/>
        <w:spacing w:after="0" w:line="360" w:lineRule="auto"/>
        <w:rPr>
          <w:rFonts w:ascii="Arial" w:hAnsi="Arial" w:cs="Mangal"/>
          <w:kern w:val="1"/>
          <w:lang w:val="ro-RO" w:eastAsia="hi-IN" w:bidi="hi-IN"/>
        </w:rPr>
      </w:pPr>
      <w:r w:rsidRPr="0060531A">
        <w:rPr>
          <w:rFonts w:ascii="Arial" w:hAnsi="Arial" w:cs="Mangal"/>
          <w:kern w:val="1"/>
          <w:lang w:val="ro-RO" w:eastAsia="hi-IN" w:bidi="hi-IN"/>
        </w:rPr>
        <w:t>La nivel de rețea se obțin următoarele date:</w:t>
      </w:r>
    </w:p>
    <w:p w14:paraId="5336EEAE" w14:textId="77777777" w:rsidR="0060531A" w:rsidRPr="0060531A" w:rsidRDefault="0060531A" w:rsidP="0060531A">
      <w:pPr>
        <w:widowControl w:val="0"/>
        <w:suppressAutoHyphens/>
        <w:spacing w:after="0" w:line="360" w:lineRule="auto"/>
        <w:rPr>
          <w:rFonts w:ascii="Arial" w:hAnsi="Arial" w:cs="Mangal"/>
          <w:kern w:val="1"/>
          <w:lang w:val="ro-RO" w:eastAsia="hi-IN" w:bidi="hi-IN"/>
        </w:rPr>
      </w:pPr>
    </w:p>
    <w:p w14:paraId="7D6F71A8" w14:textId="00410D5C" w:rsidR="0060531A" w:rsidRPr="0060531A" w:rsidRDefault="00BB0D72" w:rsidP="0060531A">
      <w:pPr>
        <w:spacing w:after="200" w:line="240" w:lineRule="auto"/>
        <w:jc w:val="center"/>
        <w:rPr>
          <w:rFonts w:ascii="Arial" w:hAnsi="Arial" w:cs="Arial"/>
          <w:color w:val="1F497D"/>
          <w:kern w:val="1"/>
          <w:lang w:val="ro-RO" w:eastAsia="hi-IN" w:bidi="hi-IN"/>
        </w:rPr>
      </w:pPr>
      <w:bookmarkStart w:id="490" w:name="_Toc68361278"/>
      <w:bookmarkStart w:id="491" w:name="_Toc96463906"/>
      <w:r>
        <w:rPr>
          <w:rFonts w:ascii="Arial" w:hAnsi="Arial" w:cs="Arial"/>
          <w:i/>
          <w:iCs/>
          <w:color w:val="1F497D"/>
        </w:rPr>
        <w:t>Tabel I.7.</w:t>
      </w:r>
      <w:r w:rsidR="0060531A" w:rsidRPr="0060531A">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10</w:t>
      </w:r>
      <w:r>
        <w:rPr>
          <w:rFonts w:ascii="Arial" w:hAnsi="Arial" w:cs="Arial"/>
          <w:i/>
          <w:iCs/>
          <w:color w:val="1F497D"/>
        </w:rPr>
        <w:fldChar w:fldCharType="end"/>
      </w:r>
      <w:r w:rsidR="0060531A" w:rsidRPr="0060531A">
        <w:rPr>
          <w:rFonts w:ascii="Arial" w:hAnsi="Arial" w:cs="Arial"/>
          <w:i/>
          <w:iCs/>
          <w:color w:val="1F497D"/>
        </w:rPr>
        <w:t xml:space="preserve"> - </w:t>
      </w:r>
      <w:r w:rsidR="0060531A" w:rsidRPr="0060531A">
        <w:rPr>
          <w:rFonts w:ascii="Arial" w:hAnsi="Arial" w:cs="Arial"/>
          <w:color w:val="1F497D"/>
        </w:rPr>
        <w:t>Parametri ora de vârf PM orizont 2035</w:t>
      </w:r>
      <w:bookmarkEnd w:id="490"/>
      <w:bookmarkEnd w:id="491"/>
    </w:p>
    <w:p w14:paraId="31A339EE" w14:textId="77777777" w:rsidR="0060531A" w:rsidRPr="0060531A" w:rsidRDefault="0060531A" w:rsidP="0060531A">
      <w:pPr>
        <w:widowControl w:val="0"/>
        <w:suppressAutoHyphens/>
        <w:spacing w:after="0" w:line="240" w:lineRule="auto"/>
        <w:rPr>
          <w:rFonts w:ascii="Arial" w:hAnsi="Arial" w:cs="Mangal"/>
          <w:kern w:val="1"/>
          <w:sz w:val="20"/>
          <w:szCs w:val="24"/>
          <w:lang w:val="x-none" w:eastAsia="hi-IN" w:bidi="hi-I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4"/>
        <w:gridCol w:w="2394"/>
        <w:gridCol w:w="2394"/>
        <w:gridCol w:w="2394"/>
      </w:tblGrid>
      <w:tr w:rsidR="003108E9" w:rsidRPr="003108E9" w14:paraId="19E5719B" w14:textId="77777777" w:rsidTr="00CE76B6">
        <w:trPr>
          <w:jc w:val="center"/>
        </w:trPr>
        <w:tc>
          <w:tcPr>
            <w:tcW w:w="1250" w:type="pct"/>
            <w:shd w:val="clear" w:color="auto" w:fill="auto"/>
            <w:vAlign w:val="center"/>
          </w:tcPr>
          <w:p w14:paraId="586C8F45" w14:textId="77777777" w:rsidR="003108E9" w:rsidRPr="003108E9" w:rsidRDefault="003108E9" w:rsidP="003108E9">
            <w:pPr>
              <w:widowControl w:val="0"/>
              <w:suppressAutoHyphens/>
              <w:spacing w:after="0" w:line="240" w:lineRule="auto"/>
              <w:jc w:val="center"/>
              <w:rPr>
                <w:rFonts w:ascii="Arial" w:hAnsi="Arial" w:cs="Mangal"/>
                <w:b/>
                <w:kern w:val="1"/>
                <w:lang w:val="ro-RO" w:eastAsia="hi-IN" w:bidi="hi-IN"/>
              </w:rPr>
            </w:pPr>
            <w:r w:rsidRPr="003108E9">
              <w:rPr>
                <w:rFonts w:ascii="Arial" w:hAnsi="Arial" w:cs="Mangal"/>
                <w:b/>
                <w:kern w:val="1"/>
                <w:lang w:val="ro-RO" w:eastAsia="hi-IN" w:bidi="hi-IN"/>
              </w:rPr>
              <w:t>Parametru</w:t>
            </w:r>
          </w:p>
        </w:tc>
        <w:tc>
          <w:tcPr>
            <w:tcW w:w="1250" w:type="pct"/>
            <w:shd w:val="clear" w:color="auto" w:fill="auto"/>
            <w:vAlign w:val="center"/>
          </w:tcPr>
          <w:p w14:paraId="57C130A4" w14:textId="77777777" w:rsidR="003108E9" w:rsidRPr="003108E9" w:rsidRDefault="003108E9" w:rsidP="003108E9">
            <w:pPr>
              <w:widowControl w:val="0"/>
              <w:suppressAutoHyphens/>
              <w:spacing w:after="0" w:line="240" w:lineRule="auto"/>
              <w:jc w:val="center"/>
              <w:rPr>
                <w:rFonts w:ascii="Arial" w:hAnsi="Arial" w:cs="Mangal"/>
                <w:b/>
                <w:kern w:val="1"/>
                <w:lang w:val="ro-RO" w:eastAsia="hi-IN" w:bidi="hi-IN"/>
              </w:rPr>
            </w:pPr>
            <w:r w:rsidRPr="003108E9">
              <w:rPr>
                <w:rFonts w:ascii="Arial" w:hAnsi="Arial" w:cs="Mangal"/>
                <w:b/>
                <w:kern w:val="1"/>
                <w:lang w:val="ro-RO" w:eastAsia="hi-IN" w:bidi="hi-IN"/>
              </w:rPr>
              <w:t>Scenariul 1</w:t>
            </w:r>
          </w:p>
        </w:tc>
        <w:tc>
          <w:tcPr>
            <w:tcW w:w="1250" w:type="pct"/>
            <w:shd w:val="clear" w:color="auto" w:fill="auto"/>
            <w:vAlign w:val="center"/>
          </w:tcPr>
          <w:p w14:paraId="2973F6F8" w14:textId="77777777" w:rsidR="003108E9" w:rsidRPr="003108E9" w:rsidRDefault="003108E9" w:rsidP="003108E9">
            <w:pPr>
              <w:widowControl w:val="0"/>
              <w:suppressAutoHyphens/>
              <w:spacing w:after="0" w:line="240" w:lineRule="auto"/>
              <w:jc w:val="center"/>
              <w:rPr>
                <w:rFonts w:ascii="Arial" w:hAnsi="Arial" w:cs="Mangal"/>
                <w:b/>
                <w:kern w:val="1"/>
                <w:lang w:val="ro-RO" w:eastAsia="hi-IN" w:bidi="hi-IN"/>
              </w:rPr>
            </w:pPr>
            <w:r w:rsidRPr="003108E9">
              <w:rPr>
                <w:rFonts w:ascii="Arial" w:hAnsi="Arial" w:cs="Mangal"/>
                <w:b/>
                <w:kern w:val="1"/>
                <w:lang w:val="ro-RO" w:eastAsia="hi-IN" w:bidi="hi-IN"/>
              </w:rPr>
              <w:t>Scenariul 2</w:t>
            </w:r>
          </w:p>
        </w:tc>
        <w:tc>
          <w:tcPr>
            <w:tcW w:w="1250" w:type="pct"/>
            <w:shd w:val="clear" w:color="auto" w:fill="auto"/>
            <w:vAlign w:val="center"/>
          </w:tcPr>
          <w:p w14:paraId="60D65771" w14:textId="77777777" w:rsidR="003108E9" w:rsidRPr="003108E9" w:rsidRDefault="003108E9" w:rsidP="003108E9">
            <w:pPr>
              <w:widowControl w:val="0"/>
              <w:suppressAutoHyphens/>
              <w:spacing w:after="0" w:line="240" w:lineRule="auto"/>
              <w:jc w:val="center"/>
              <w:rPr>
                <w:rFonts w:ascii="Arial" w:hAnsi="Arial" w:cs="Mangal"/>
                <w:b/>
                <w:kern w:val="1"/>
                <w:lang w:val="ro-RO" w:eastAsia="hi-IN" w:bidi="hi-IN"/>
              </w:rPr>
            </w:pPr>
            <w:r w:rsidRPr="003108E9">
              <w:rPr>
                <w:rFonts w:ascii="Arial" w:hAnsi="Arial" w:cs="Mangal"/>
                <w:b/>
                <w:kern w:val="1"/>
                <w:lang w:val="ro-RO" w:eastAsia="hi-IN" w:bidi="hi-IN"/>
              </w:rPr>
              <w:t>Scenariul 3</w:t>
            </w:r>
          </w:p>
        </w:tc>
      </w:tr>
      <w:tr w:rsidR="003108E9" w:rsidRPr="003108E9" w14:paraId="5626B31C" w14:textId="77777777" w:rsidTr="00CE76B6">
        <w:trPr>
          <w:jc w:val="center"/>
        </w:trPr>
        <w:tc>
          <w:tcPr>
            <w:tcW w:w="1250" w:type="pct"/>
            <w:shd w:val="clear" w:color="auto" w:fill="auto"/>
            <w:vAlign w:val="center"/>
          </w:tcPr>
          <w:p w14:paraId="1243FBD6" w14:textId="77777777" w:rsidR="003108E9" w:rsidRPr="003108E9" w:rsidRDefault="003108E9" w:rsidP="003108E9">
            <w:pPr>
              <w:widowControl w:val="0"/>
              <w:suppressAutoHyphens/>
              <w:spacing w:after="0" w:line="240" w:lineRule="auto"/>
              <w:jc w:val="center"/>
              <w:rPr>
                <w:rFonts w:ascii="Arial" w:hAnsi="Arial" w:cs="Mangal"/>
                <w:kern w:val="1"/>
                <w:lang w:val="ro-RO" w:eastAsia="hi-IN" w:bidi="hi-IN"/>
              </w:rPr>
            </w:pPr>
            <w:r w:rsidRPr="003108E9">
              <w:rPr>
                <w:rFonts w:ascii="Arial" w:hAnsi="Arial" w:cs="Mangal"/>
                <w:kern w:val="1"/>
                <w:lang w:val="ro-RO" w:eastAsia="hi-IN" w:bidi="hi-IN"/>
              </w:rPr>
              <w:t>Viteza medie de circulație (km/h)</w:t>
            </w:r>
          </w:p>
        </w:tc>
        <w:tc>
          <w:tcPr>
            <w:tcW w:w="1250" w:type="pct"/>
            <w:shd w:val="clear" w:color="auto" w:fill="auto"/>
            <w:vAlign w:val="center"/>
          </w:tcPr>
          <w:p w14:paraId="552100E1" w14:textId="77777777" w:rsidR="003108E9" w:rsidRPr="003108E9" w:rsidRDefault="003108E9" w:rsidP="003108E9">
            <w:pPr>
              <w:spacing w:after="0"/>
              <w:jc w:val="center"/>
              <w:rPr>
                <w:rFonts w:ascii="Arial" w:hAnsi="Arial" w:cs="Arial"/>
                <w:highlight w:val="red"/>
                <w:lang w:val="ro-RO"/>
              </w:rPr>
            </w:pPr>
            <w:r w:rsidRPr="003108E9">
              <w:rPr>
                <w:rFonts w:ascii="Arial" w:hAnsi="Arial" w:cs="Arial"/>
                <w:color w:val="000000"/>
              </w:rPr>
              <w:t>26,50</w:t>
            </w:r>
          </w:p>
        </w:tc>
        <w:tc>
          <w:tcPr>
            <w:tcW w:w="1250" w:type="pct"/>
            <w:shd w:val="clear" w:color="auto" w:fill="auto"/>
            <w:vAlign w:val="center"/>
          </w:tcPr>
          <w:p w14:paraId="6E2BA428" w14:textId="77777777" w:rsidR="003108E9" w:rsidRPr="003108E9" w:rsidRDefault="003108E9" w:rsidP="003108E9">
            <w:pPr>
              <w:spacing w:after="0"/>
              <w:jc w:val="center"/>
              <w:rPr>
                <w:rFonts w:ascii="Arial" w:hAnsi="Arial" w:cs="Arial"/>
                <w:highlight w:val="red"/>
                <w:lang w:val="ro-RO"/>
              </w:rPr>
            </w:pPr>
            <w:r w:rsidRPr="003108E9">
              <w:rPr>
                <w:rFonts w:ascii="Arial" w:hAnsi="Arial" w:cs="Arial"/>
                <w:color w:val="000000"/>
              </w:rPr>
              <w:t>31,92</w:t>
            </w:r>
          </w:p>
        </w:tc>
        <w:tc>
          <w:tcPr>
            <w:tcW w:w="1250" w:type="pct"/>
            <w:shd w:val="clear" w:color="auto" w:fill="auto"/>
            <w:vAlign w:val="center"/>
          </w:tcPr>
          <w:p w14:paraId="1B458C5E" w14:textId="77777777" w:rsidR="003108E9" w:rsidRPr="003108E9" w:rsidRDefault="003108E9" w:rsidP="003108E9">
            <w:pPr>
              <w:spacing w:after="0"/>
              <w:jc w:val="center"/>
              <w:rPr>
                <w:rFonts w:ascii="Arial" w:hAnsi="Arial" w:cs="Arial"/>
                <w:highlight w:val="red"/>
                <w:lang w:val="ro-RO"/>
              </w:rPr>
            </w:pPr>
            <w:r w:rsidRPr="003108E9">
              <w:rPr>
                <w:rFonts w:ascii="Arial" w:hAnsi="Arial" w:cs="Arial"/>
                <w:color w:val="000000"/>
              </w:rPr>
              <w:t>31,78</w:t>
            </w:r>
          </w:p>
        </w:tc>
      </w:tr>
      <w:tr w:rsidR="003108E9" w:rsidRPr="003108E9" w14:paraId="1B6BD54B" w14:textId="77777777" w:rsidTr="00CE76B6">
        <w:trPr>
          <w:jc w:val="center"/>
        </w:trPr>
        <w:tc>
          <w:tcPr>
            <w:tcW w:w="1250" w:type="pct"/>
            <w:shd w:val="clear" w:color="auto" w:fill="auto"/>
            <w:vAlign w:val="center"/>
          </w:tcPr>
          <w:p w14:paraId="25B22585" w14:textId="77777777" w:rsidR="003108E9" w:rsidRPr="003108E9" w:rsidRDefault="003108E9" w:rsidP="003108E9">
            <w:pPr>
              <w:widowControl w:val="0"/>
              <w:suppressAutoHyphens/>
              <w:spacing w:after="0" w:line="240" w:lineRule="auto"/>
              <w:jc w:val="center"/>
              <w:rPr>
                <w:rFonts w:ascii="Arial" w:hAnsi="Arial" w:cs="Mangal"/>
                <w:kern w:val="1"/>
                <w:lang w:val="ro-RO" w:eastAsia="hi-IN" w:bidi="hi-IN"/>
              </w:rPr>
            </w:pPr>
            <w:r w:rsidRPr="003108E9">
              <w:rPr>
                <w:rFonts w:ascii="Arial" w:hAnsi="Arial" w:cs="Mangal"/>
                <w:kern w:val="1"/>
                <w:lang w:val="ro-RO" w:eastAsia="hi-IN" w:bidi="hi-IN"/>
              </w:rPr>
              <w:t>Întârzierea medie (sec)</w:t>
            </w:r>
          </w:p>
        </w:tc>
        <w:tc>
          <w:tcPr>
            <w:tcW w:w="1250" w:type="pct"/>
            <w:shd w:val="clear" w:color="auto" w:fill="auto"/>
            <w:vAlign w:val="center"/>
          </w:tcPr>
          <w:p w14:paraId="3E562BD2" w14:textId="77777777" w:rsidR="003108E9" w:rsidRPr="003108E9" w:rsidRDefault="003108E9" w:rsidP="003108E9">
            <w:pPr>
              <w:spacing w:after="0"/>
              <w:jc w:val="center"/>
              <w:rPr>
                <w:rFonts w:ascii="Arial" w:hAnsi="Arial" w:cs="Arial"/>
                <w:highlight w:val="red"/>
                <w:lang w:val="ro-RO"/>
              </w:rPr>
            </w:pPr>
            <w:r w:rsidRPr="003108E9">
              <w:rPr>
                <w:rFonts w:ascii="Arial" w:hAnsi="Arial" w:cs="Arial"/>
                <w:color w:val="000000"/>
              </w:rPr>
              <w:t>69,00</w:t>
            </w:r>
          </w:p>
        </w:tc>
        <w:tc>
          <w:tcPr>
            <w:tcW w:w="1250" w:type="pct"/>
            <w:shd w:val="clear" w:color="auto" w:fill="auto"/>
            <w:vAlign w:val="center"/>
          </w:tcPr>
          <w:p w14:paraId="0ADBDC3A" w14:textId="77777777" w:rsidR="003108E9" w:rsidRPr="003108E9" w:rsidRDefault="003108E9" w:rsidP="003108E9">
            <w:pPr>
              <w:spacing w:after="0"/>
              <w:jc w:val="center"/>
              <w:rPr>
                <w:rFonts w:ascii="Arial" w:hAnsi="Arial" w:cs="Arial"/>
                <w:highlight w:val="red"/>
                <w:lang w:val="ro-RO"/>
              </w:rPr>
            </w:pPr>
            <w:r w:rsidRPr="003108E9">
              <w:rPr>
                <w:rFonts w:ascii="Arial" w:hAnsi="Arial" w:cs="Arial"/>
                <w:color w:val="000000"/>
              </w:rPr>
              <w:t>37,78</w:t>
            </w:r>
          </w:p>
        </w:tc>
        <w:tc>
          <w:tcPr>
            <w:tcW w:w="1250" w:type="pct"/>
            <w:shd w:val="clear" w:color="auto" w:fill="auto"/>
            <w:vAlign w:val="center"/>
          </w:tcPr>
          <w:p w14:paraId="2F9C54BE" w14:textId="77777777" w:rsidR="003108E9" w:rsidRPr="003108E9" w:rsidRDefault="003108E9" w:rsidP="003108E9">
            <w:pPr>
              <w:spacing w:after="0"/>
              <w:jc w:val="center"/>
              <w:rPr>
                <w:rFonts w:ascii="Arial" w:hAnsi="Arial" w:cs="Arial"/>
                <w:highlight w:val="red"/>
                <w:lang w:val="ro-RO"/>
              </w:rPr>
            </w:pPr>
            <w:r w:rsidRPr="003108E9">
              <w:rPr>
                <w:rFonts w:ascii="Arial" w:hAnsi="Arial" w:cs="Arial"/>
                <w:color w:val="000000"/>
              </w:rPr>
              <w:t>37,98</w:t>
            </w:r>
          </w:p>
        </w:tc>
      </w:tr>
      <w:tr w:rsidR="003108E9" w:rsidRPr="003108E9" w14:paraId="28CEAE92" w14:textId="77777777" w:rsidTr="00CE76B6">
        <w:trPr>
          <w:jc w:val="center"/>
        </w:trPr>
        <w:tc>
          <w:tcPr>
            <w:tcW w:w="1250" w:type="pct"/>
            <w:shd w:val="clear" w:color="auto" w:fill="auto"/>
            <w:vAlign w:val="center"/>
          </w:tcPr>
          <w:p w14:paraId="12E250AD" w14:textId="77777777" w:rsidR="003108E9" w:rsidRPr="003108E9" w:rsidRDefault="003108E9" w:rsidP="003108E9">
            <w:pPr>
              <w:widowControl w:val="0"/>
              <w:suppressAutoHyphens/>
              <w:spacing w:after="0" w:line="240" w:lineRule="auto"/>
              <w:jc w:val="center"/>
              <w:rPr>
                <w:rFonts w:ascii="Arial" w:hAnsi="Arial" w:cs="Mangal"/>
                <w:kern w:val="1"/>
                <w:lang w:val="ro-RO" w:eastAsia="hi-IN" w:bidi="hi-IN"/>
              </w:rPr>
            </w:pPr>
            <w:r w:rsidRPr="003108E9">
              <w:rPr>
                <w:rFonts w:ascii="Arial" w:hAnsi="Arial" w:cs="Mangal"/>
                <w:kern w:val="1"/>
                <w:lang w:val="ro-RO" w:eastAsia="hi-IN" w:bidi="hi-IN"/>
              </w:rPr>
              <w:t>Consum de combustibil (litri)</w:t>
            </w:r>
          </w:p>
        </w:tc>
        <w:tc>
          <w:tcPr>
            <w:tcW w:w="1250" w:type="pct"/>
            <w:shd w:val="clear" w:color="auto" w:fill="auto"/>
            <w:vAlign w:val="center"/>
          </w:tcPr>
          <w:p w14:paraId="0F3DB9B1" w14:textId="77777777" w:rsidR="003108E9" w:rsidRPr="003108E9" w:rsidRDefault="003108E9" w:rsidP="003108E9">
            <w:pPr>
              <w:spacing w:after="0"/>
              <w:jc w:val="center"/>
              <w:rPr>
                <w:rFonts w:ascii="Arial" w:hAnsi="Arial" w:cs="Arial"/>
                <w:highlight w:val="red"/>
                <w:lang w:val="ro-RO"/>
              </w:rPr>
            </w:pPr>
            <w:r w:rsidRPr="003108E9">
              <w:rPr>
                <w:rFonts w:ascii="Arial" w:hAnsi="Arial" w:cs="Arial"/>
                <w:color w:val="000000"/>
              </w:rPr>
              <w:t>758,45</w:t>
            </w:r>
          </w:p>
        </w:tc>
        <w:tc>
          <w:tcPr>
            <w:tcW w:w="1250" w:type="pct"/>
            <w:shd w:val="clear" w:color="auto" w:fill="auto"/>
            <w:vAlign w:val="center"/>
          </w:tcPr>
          <w:p w14:paraId="4E0981A8" w14:textId="77777777" w:rsidR="003108E9" w:rsidRPr="003108E9" w:rsidRDefault="003108E9" w:rsidP="003108E9">
            <w:pPr>
              <w:spacing w:after="0"/>
              <w:jc w:val="center"/>
              <w:rPr>
                <w:rFonts w:ascii="Arial" w:hAnsi="Arial" w:cs="Arial"/>
                <w:highlight w:val="red"/>
                <w:lang w:val="ro-RO"/>
              </w:rPr>
            </w:pPr>
            <w:r w:rsidRPr="003108E9">
              <w:rPr>
                <w:rFonts w:ascii="Arial" w:hAnsi="Arial" w:cs="Arial"/>
                <w:color w:val="000000"/>
              </w:rPr>
              <w:t>533,76</w:t>
            </w:r>
          </w:p>
        </w:tc>
        <w:tc>
          <w:tcPr>
            <w:tcW w:w="1250" w:type="pct"/>
            <w:shd w:val="clear" w:color="auto" w:fill="auto"/>
            <w:vAlign w:val="center"/>
          </w:tcPr>
          <w:p w14:paraId="5DBFF960" w14:textId="77777777" w:rsidR="003108E9" w:rsidRPr="003108E9" w:rsidRDefault="003108E9" w:rsidP="003108E9">
            <w:pPr>
              <w:spacing w:after="0"/>
              <w:jc w:val="center"/>
              <w:rPr>
                <w:rFonts w:ascii="Arial" w:hAnsi="Arial" w:cs="Arial"/>
                <w:highlight w:val="red"/>
                <w:lang w:val="ro-RO"/>
              </w:rPr>
            </w:pPr>
            <w:r w:rsidRPr="003108E9">
              <w:rPr>
                <w:rFonts w:ascii="Arial" w:hAnsi="Arial" w:cs="Arial"/>
                <w:color w:val="000000"/>
              </w:rPr>
              <w:t>570,80</w:t>
            </w:r>
          </w:p>
        </w:tc>
      </w:tr>
    </w:tbl>
    <w:p w14:paraId="5DF22B96" w14:textId="77777777" w:rsidR="0060531A" w:rsidRPr="0060531A" w:rsidRDefault="0060531A" w:rsidP="0060531A">
      <w:pPr>
        <w:widowControl w:val="0"/>
        <w:suppressAutoHyphens/>
        <w:spacing w:after="0" w:line="360" w:lineRule="auto"/>
        <w:jc w:val="both"/>
        <w:rPr>
          <w:rFonts w:ascii="Arial" w:hAnsi="Arial" w:cs="Arial"/>
          <w:kern w:val="1"/>
          <w:sz w:val="24"/>
          <w:szCs w:val="24"/>
          <w:lang w:val="es-ES" w:eastAsia="hi-IN" w:bidi="hi-IN"/>
        </w:rPr>
      </w:pPr>
    </w:p>
    <w:p w14:paraId="3201B2F9" w14:textId="77777777" w:rsidR="00C36A80" w:rsidRPr="00C36A80" w:rsidRDefault="00C36A80" w:rsidP="00C36A80">
      <w:pPr>
        <w:widowControl w:val="0"/>
        <w:suppressAutoHyphens/>
        <w:spacing w:after="0" w:line="276" w:lineRule="auto"/>
        <w:jc w:val="both"/>
        <w:rPr>
          <w:rFonts w:ascii="Arial" w:hAnsi="Arial" w:cs="Arial"/>
          <w:kern w:val="1"/>
          <w:lang w:val="ro-RO" w:eastAsia="hi-IN" w:bidi="hi-IN"/>
        </w:rPr>
      </w:pPr>
      <w:r w:rsidRPr="00C36A80">
        <w:rPr>
          <w:rFonts w:ascii="Arial" w:hAnsi="Arial" w:cs="Arial"/>
          <w:kern w:val="1"/>
          <w:lang w:val="ro-RO" w:eastAsia="hi-IN" w:bidi="hi-IN"/>
        </w:rPr>
        <w:t>Analiza comparativǎ a nivelurilor de serviciu ale principalelor intersecții din Horezu este prezentatǎ ȋn tabelul urmǎtor:</w:t>
      </w:r>
    </w:p>
    <w:p w14:paraId="063BBD5F" w14:textId="77777777" w:rsidR="00C36A80" w:rsidRDefault="00C36A80" w:rsidP="00C36A80">
      <w:pPr>
        <w:spacing w:after="200" w:line="240" w:lineRule="auto"/>
        <w:jc w:val="center"/>
        <w:rPr>
          <w:rFonts w:ascii="Arial" w:hAnsi="Arial" w:cs="Mangal"/>
          <w:i/>
          <w:iCs/>
          <w:color w:val="1F497D"/>
          <w:kern w:val="1"/>
          <w:lang w:val="ro-RO" w:eastAsia="hi-IN" w:bidi="hi-IN"/>
        </w:rPr>
      </w:pPr>
    </w:p>
    <w:p w14:paraId="1EE0857B" w14:textId="77777777" w:rsidR="00C36A80" w:rsidRDefault="00C36A80" w:rsidP="00C36A80">
      <w:pPr>
        <w:spacing w:after="200" w:line="240" w:lineRule="auto"/>
        <w:jc w:val="center"/>
        <w:rPr>
          <w:rFonts w:ascii="Arial" w:hAnsi="Arial" w:cs="Mangal"/>
          <w:i/>
          <w:iCs/>
          <w:color w:val="1F497D"/>
          <w:kern w:val="1"/>
          <w:lang w:val="ro-RO" w:eastAsia="hi-IN" w:bidi="hi-IN"/>
        </w:rPr>
      </w:pPr>
    </w:p>
    <w:p w14:paraId="266D73C3" w14:textId="77777777" w:rsidR="00C36A80" w:rsidRPr="00C36A80" w:rsidRDefault="00C36A80" w:rsidP="00C36A80">
      <w:pPr>
        <w:spacing w:after="200" w:line="240" w:lineRule="auto"/>
        <w:jc w:val="center"/>
        <w:rPr>
          <w:rFonts w:ascii="Arial" w:hAnsi="Arial" w:cs="Mangal"/>
          <w:i/>
          <w:iCs/>
          <w:color w:val="1F497D"/>
          <w:kern w:val="1"/>
          <w:lang w:val="ro-RO" w:eastAsia="hi-IN" w:bidi="hi-IN"/>
        </w:rPr>
      </w:pPr>
    </w:p>
    <w:p w14:paraId="3CDCA0DB" w14:textId="415BA755" w:rsidR="00C36A80" w:rsidRPr="00C36A80" w:rsidRDefault="00C36A80" w:rsidP="00C36A80">
      <w:pPr>
        <w:tabs>
          <w:tab w:val="left" w:pos="774"/>
        </w:tabs>
        <w:spacing w:after="200" w:line="240" w:lineRule="auto"/>
        <w:jc w:val="center"/>
        <w:rPr>
          <w:rFonts w:ascii="Arial" w:hAnsi="Arial" w:cs="Arial"/>
          <w:color w:val="1F497D"/>
          <w:kern w:val="1"/>
          <w:lang w:val="ro-RO" w:eastAsia="hi-IN" w:bidi="hi-IN"/>
        </w:rPr>
      </w:pPr>
      <w:bookmarkStart w:id="492" w:name="_Toc68361279"/>
      <w:bookmarkStart w:id="493" w:name="_Toc95132263"/>
      <w:bookmarkStart w:id="494" w:name="_Toc96463907"/>
      <w:r w:rsidRPr="00C36A80">
        <w:rPr>
          <w:rFonts w:ascii="Arial" w:hAnsi="Arial" w:cs="Arial"/>
          <w:i/>
          <w:iCs/>
          <w:color w:val="1F497D"/>
          <w:lang w:val="ro-RO"/>
        </w:rPr>
        <w:lastRenderedPageBreak/>
        <w:t xml:space="preserve">Tabel I.7. </w:t>
      </w:r>
      <w:r w:rsidRPr="00C36A80">
        <w:rPr>
          <w:rFonts w:ascii="Arial" w:hAnsi="Arial" w:cs="Arial"/>
          <w:i/>
          <w:iCs/>
          <w:color w:val="1F497D"/>
          <w:lang w:val="ro-RO"/>
        </w:rPr>
        <w:fldChar w:fldCharType="begin"/>
      </w:r>
      <w:r w:rsidRPr="00C36A80">
        <w:rPr>
          <w:rFonts w:ascii="Arial" w:hAnsi="Arial" w:cs="Arial"/>
          <w:i/>
          <w:iCs/>
          <w:color w:val="1F497D"/>
          <w:lang w:val="ro-RO"/>
        </w:rPr>
        <w:instrText xml:space="preserve"> SEQ Tabel_I.7. \* ARABIC </w:instrText>
      </w:r>
      <w:r w:rsidRPr="00C36A80">
        <w:rPr>
          <w:rFonts w:ascii="Arial" w:hAnsi="Arial" w:cs="Arial"/>
          <w:i/>
          <w:iCs/>
          <w:color w:val="1F497D"/>
          <w:lang w:val="ro-RO"/>
        </w:rPr>
        <w:fldChar w:fldCharType="separate"/>
      </w:r>
      <w:r w:rsidR="00BB181C">
        <w:rPr>
          <w:rFonts w:ascii="Arial" w:hAnsi="Arial" w:cs="Arial"/>
          <w:i/>
          <w:iCs/>
          <w:noProof/>
          <w:color w:val="1F497D"/>
          <w:lang w:val="ro-RO"/>
        </w:rPr>
        <w:t>11</w:t>
      </w:r>
      <w:r w:rsidRPr="00C36A80">
        <w:rPr>
          <w:rFonts w:ascii="Arial" w:hAnsi="Arial" w:cs="Arial"/>
          <w:i/>
          <w:iCs/>
          <w:color w:val="1F497D"/>
          <w:lang w:val="ro-RO"/>
        </w:rPr>
        <w:fldChar w:fldCharType="end"/>
      </w:r>
      <w:r w:rsidRPr="00C36A80">
        <w:rPr>
          <w:rFonts w:ascii="Arial" w:hAnsi="Arial" w:cs="Arial"/>
          <w:i/>
          <w:iCs/>
          <w:color w:val="1F497D"/>
          <w:lang w:val="ro-RO"/>
        </w:rPr>
        <w:t xml:space="preserve"> - </w:t>
      </w:r>
      <w:r w:rsidRPr="00C36A80">
        <w:rPr>
          <w:rFonts w:ascii="Arial" w:hAnsi="Arial" w:cs="Arial"/>
          <w:i/>
          <w:iCs/>
          <w:color w:val="1F497D"/>
          <w:kern w:val="1"/>
          <w:lang w:val="ro-RO" w:eastAsia="hi-IN" w:bidi="hi-IN"/>
        </w:rPr>
        <w:t xml:space="preserve"> </w:t>
      </w:r>
      <w:r w:rsidRPr="00C36A80">
        <w:rPr>
          <w:rFonts w:ascii="Arial" w:hAnsi="Arial" w:cs="Arial"/>
          <w:color w:val="1F497D"/>
          <w:kern w:val="1"/>
          <w:lang w:val="ro-RO" w:eastAsia="hi-IN" w:bidi="hi-IN"/>
        </w:rPr>
        <w:t>Niveluri de serviciu ora de vârf PM orizont 2035</w:t>
      </w:r>
      <w:bookmarkEnd w:id="492"/>
      <w:bookmarkEnd w:id="493"/>
      <w:bookmarkEnd w:id="494"/>
    </w:p>
    <w:tbl>
      <w:tblPr>
        <w:tblW w:w="7770" w:type="dxa"/>
        <w:jc w:val="center"/>
        <w:tblLook w:val="04A0" w:firstRow="1" w:lastRow="0" w:firstColumn="1" w:lastColumn="0" w:noHBand="0" w:noVBand="1"/>
      </w:tblPr>
      <w:tblGrid>
        <w:gridCol w:w="980"/>
        <w:gridCol w:w="2949"/>
        <w:gridCol w:w="1237"/>
        <w:gridCol w:w="1308"/>
        <w:gridCol w:w="1296"/>
      </w:tblGrid>
      <w:tr w:rsidR="00C36A80" w:rsidRPr="00C36A80" w14:paraId="7337F993" w14:textId="77777777" w:rsidTr="00C36A80">
        <w:trPr>
          <w:trHeight w:val="284"/>
          <w:jc w:val="center"/>
        </w:trPr>
        <w:tc>
          <w:tcPr>
            <w:tcW w:w="980" w:type="dxa"/>
            <w:tcBorders>
              <w:top w:val="single" w:sz="8" w:space="0" w:color="000000"/>
              <w:left w:val="single" w:sz="8" w:space="0" w:color="000000"/>
              <w:bottom w:val="single" w:sz="8" w:space="0" w:color="000000"/>
              <w:right w:val="single" w:sz="8" w:space="0" w:color="000000"/>
            </w:tcBorders>
            <w:shd w:val="clear" w:color="000000" w:fill="F1F1F1"/>
            <w:vAlign w:val="center"/>
            <w:hideMark/>
          </w:tcPr>
          <w:p w14:paraId="7713C600" w14:textId="77777777" w:rsidR="00C36A80" w:rsidRPr="00C36A80" w:rsidRDefault="00C36A80" w:rsidP="00C36A80">
            <w:pPr>
              <w:spacing w:after="0"/>
              <w:jc w:val="center"/>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Nr.Crt</w:t>
            </w:r>
          </w:p>
        </w:tc>
        <w:tc>
          <w:tcPr>
            <w:tcW w:w="2949" w:type="dxa"/>
            <w:tcBorders>
              <w:top w:val="single" w:sz="8" w:space="0" w:color="000000"/>
              <w:left w:val="nil"/>
              <w:bottom w:val="single" w:sz="8" w:space="0" w:color="000000"/>
              <w:right w:val="single" w:sz="8" w:space="0" w:color="000000"/>
            </w:tcBorders>
            <w:shd w:val="clear" w:color="000000" w:fill="F1F1F1"/>
            <w:vAlign w:val="center"/>
            <w:hideMark/>
          </w:tcPr>
          <w:p w14:paraId="4C9FE30A" w14:textId="77777777" w:rsidR="00C36A80" w:rsidRPr="00C36A80" w:rsidRDefault="00C36A80" w:rsidP="00C36A80">
            <w:pPr>
              <w:spacing w:after="0"/>
              <w:jc w:val="right"/>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Intersectie</w:t>
            </w:r>
          </w:p>
        </w:tc>
        <w:tc>
          <w:tcPr>
            <w:tcW w:w="1237" w:type="dxa"/>
            <w:tcBorders>
              <w:top w:val="single" w:sz="8" w:space="0" w:color="000000"/>
              <w:left w:val="nil"/>
              <w:bottom w:val="single" w:sz="8" w:space="0" w:color="000000"/>
              <w:right w:val="single" w:sz="8" w:space="0" w:color="000000"/>
            </w:tcBorders>
            <w:shd w:val="clear" w:color="000000" w:fill="F1F1F1"/>
            <w:vAlign w:val="center"/>
            <w:hideMark/>
          </w:tcPr>
          <w:p w14:paraId="2CD5C5FC" w14:textId="77777777" w:rsidR="00C36A80" w:rsidRPr="00C36A80" w:rsidRDefault="00C36A80" w:rsidP="00C36A80">
            <w:pPr>
              <w:spacing w:after="0"/>
              <w:jc w:val="center"/>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Scenariul 1</w:t>
            </w:r>
          </w:p>
        </w:tc>
        <w:tc>
          <w:tcPr>
            <w:tcW w:w="1308" w:type="dxa"/>
            <w:tcBorders>
              <w:top w:val="single" w:sz="8" w:space="0" w:color="000000"/>
              <w:left w:val="nil"/>
              <w:bottom w:val="single" w:sz="8" w:space="0" w:color="000000"/>
              <w:right w:val="single" w:sz="8" w:space="0" w:color="000000"/>
            </w:tcBorders>
            <w:shd w:val="clear" w:color="000000" w:fill="F1F1F1"/>
            <w:vAlign w:val="center"/>
            <w:hideMark/>
          </w:tcPr>
          <w:p w14:paraId="201915BD" w14:textId="77777777" w:rsidR="00C36A80" w:rsidRPr="00C36A80" w:rsidRDefault="00C36A80" w:rsidP="00C36A80">
            <w:pPr>
              <w:spacing w:after="0"/>
              <w:jc w:val="center"/>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Scenariul 2</w:t>
            </w:r>
          </w:p>
        </w:tc>
        <w:tc>
          <w:tcPr>
            <w:tcW w:w="1296" w:type="dxa"/>
            <w:tcBorders>
              <w:top w:val="single" w:sz="8" w:space="0" w:color="000000"/>
              <w:left w:val="nil"/>
              <w:bottom w:val="single" w:sz="8" w:space="0" w:color="000000"/>
              <w:right w:val="single" w:sz="8" w:space="0" w:color="000000"/>
            </w:tcBorders>
            <w:shd w:val="clear" w:color="000000" w:fill="F1F1F1"/>
            <w:vAlign w:val="center"/>
            <w:hideMark/>
          </w:tcPr>
          <w:p w14:paraId="7D63A82E" w14:textId="77777777" w:rsidR="00C36A80" w:rsidRPr="00C36A80" w:rsidRDefault="00C36A80" w:rsidP="00C36A80">
            <w:pPr>
              <w:spacing w:after="0"/>
              <w:jc w:val="center"/>
              <w:rPr>
                <w:rFonts w:ascii="Calibri" w:eastAsia="Times New Roman" w:hAnsi="Calibri" w:cs="Arial"/>
                <w:b/>
                <w:bCs/>
                <w:color w:val="000000"/>
                <w:sz w:val="19"/>
                <w:szCs w:val="19"/>
                <w:lang w:val="ro-RO" w:eastAsia="ro-RO"/>
              </w:rPr>
            </w:pPr>
            <w:r w:rsidRPr="00C36A80">
              <w:rPr>
                <w:rFonts w:ascii="Calibri" w:eastAsia="Times New Roman" w:hAnsi="Calibri" w:cs="Arial"/>
                <w:b/>
                <w:bCs/>
                <w:color w:val="000000"/>
                <w:sz w:val="19"/>
                <w:szCs w:val="19"/>
                <w:lang w:val="ro-RO" w:eastAsia="ro-RO"/>
              </w:rPr>
              <w:t>Scenariul 3</w:t>
            </w:r>
          </w:p>
        </w:tc>
      </w:tr>
      <w:tr w:rsidR="00C36A80" w:rsidRPr="00C36A80" w14:paraId="31ACFC93"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456E68D3"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w:t>
            </w:r>
          </w:p>
        </w:tc>
        <w:tc>
          <w:tcPr>
            <w:tcW w:w="2949" w:type="dxa"/>
            <w:tcBorders>
              <w:top w:val="nil"/>
              <w:left w:val="nil"/>
              <w:bottom w:val="single" w:sz="8" w:space="0" w:color="000000"/>
              <w:right w:val="single" w:sz="8" w:space="0" w:color="000000"/>
            </w:tcBorders>
            <w:shd w:val="clear" w:color="000000" w:fill="DCE6F1"/>
            <w:vAlign w:val="center"/>
            <w:hideMark/>
          </w:tcPr>
          <w:p w14:paraId="37B83A33"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 67 – DJ 665 (str. Iancu Jianu)</w:t>
            </w:r>
          </w:p>
        </w:tc>
        <w:tc>
          <w:tcPr>
            <w:tcW w:w="1237" w:type="dxa"/>
            <w:tcBorders>
              <w:top w:val="nil"/>
              <w:left w:val="nil"/>
              <w:bottom w:val="single" w:sz="8" w:space="0" w:color="000000"/>
              <w:right w:val="single" w:sz="8" w:space="0" w:color="000000"/>
            </w:tcBorders>
            <w:shd w:val="clear" w:color="000000" w:fill="DCE6F1"/>
            <w:vAlign w:val="center"/>
            <w:hideMark/>
          </w:tcPr>
          <w:p w14:paraId="319D7E4F"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000000" w:fill="DCE6F1"/>
            <w:vAlign w:val="center"/>
            <w:hideMark/>
          </w:tcPr>
          <w:p w14:paraId="020376FE"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CE6F1"/>
            <w:vAlign w:val="center"/>
            <w:hideMark/>
          </w:tcPr>
          <w:p w14:paraId="59F89D0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6F066046"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5462548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2</w:t>
            </w:r>
          </w:p>
        </w:tc>
        <w:tc>
          <w:tcPr>
            <w:tcW w:w="2949" w:type="dxa"/>
            <w:tcBorders>
              <w:top w:val="nil"/>
              <w:left w:val="nil"/>
              <w:bottom w:val="single" w:sz="8" w:space="0" w:color="000000"/>
              <w:right w:val="single" w:sz="8" w:space="0" w:color="000000"/>
            </w:tcBorders>
            <w:shd w:val="clear" w:color="auto" w:fill="auto"/>
            <w:vAlign w:val="center"/>
            <w:hideMark/>
          </w:tcPr>
          <w:p w14:paraId="5B511FDF"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str. Anton Pann</w:t>
            </w:r>
          </w:p>
        </w:tc>
        <w:tc>
          <w:tcPr>
            <w:tcW w:w="1237" w:type="dxa"/>
            <w:tcBorders>
              <w:top w:val="nil"/>
              <w:left w:val="nil"/>
              <w:bottom w:val="single" w:sz="8" w:space="0" w:color="000000"/>
              <w:right w:val="single" w:sz="8" w:space="0" w:color="000000"/>
            </w:tcBorders>
            <w:shd w:val="clear" w:color="auto" w:fill="auto"/>
            <w:vAlign w:val="center"/>
            <w:hideMark/>
          </w:tcPr>
          <w:p w14:paraId="524098A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auto" w:fill="auto"/>
            <w:vAlign w:val="center"/>
            <w:hideMark/>
          </w:tcPr>
          <w:p w14:paraId="132C6AE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2A0DD08C"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2FA8AFEA"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62A8605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3</w:t>
            </w:r>
          </w:p>
        </w:tc>
        <w:tc>
          <w:tcPr>
            <w:tcW w:w="2949" w:type="dxa"/>
            <w:tcBorders>
              <w:top w:val="nil"/>
              <w:left w:val="nil"/>
              <w:bottom w:val="single" w:sz="8" w:space="0" w:color="000000"/>
              <w:right w:val="single" w:sz="8" w:space="0" w:color="000000"/>
            </w:tcBorders>
            <w:shd w:val="clear" w:color="000000" w:fill="DCE6F1"/>
            <w:vAlign w:val="center"/>
            <w:hideMark/>
          </w:tcPr>
          <w:p w14:paraId="70845CF1"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str. Eroilor</w:t>
            </w:r>
          </w:p>
        </w:tc>
        <w:tc>
          <w:tcPr>
            <w:tcW w:w="1237" w:type="dxa"/>
            <w:tcBorders>
              <w:top w:val="nil"/>
              <w:left w:val="nil"/>
              <w:bottom w:val="single" w:sz="8" w:space="0" w:color="000000"/>
              <w:right w:val="single" w:sz="8" w:space="0" w:color="000000"/>
            </w:tcBorders>
            <w:shd w:val="clear" w:color="000000" w:fill="DCE6F1"/>
            <w:vAlign w:val="center"/>
            <w:hideMark/>
          </w:tcPr>
          <w:p w14:paraId="20EE6F0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000000" w:fill="DCE6F1"/>
            <w:vAlign w:val="center"/>
            <w:hideMark/>
          </w:tcPr>
          <w:p w14:paraId="7625511A"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E</w:t>
            </w:r>
          </w:p>
        </w:tc>
        <w:tc>
          <w:tcPr>
            <w:tcW w:w="1296" w:type="dxa"/>
            <w:tcBorders>
              <w:top w:val="nil"/>
              <w:left w:val="nil"/>
              <w:bottom w:val="single" w:sz="8" w:space="0" w:color="000000"/>
              <w:right w:val="single" w:sz="8" w:space="0" w:color="000000"/>
            </w:tcBorders>
            <w:shd w:val="clear" w:color="000000" w:fill="DCE6F1"/>
            <w:vAlign w:val="center"/>
            <w:hideMark/>
          </w:tcPr>
          <w:p w14:paraId="10A5473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r>
      <w:tr w:rsidR="00C36A80" w:rsidRPr="00C36A80" w14:paraId="4218A64D"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757175AD"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4</w:t>
            </w:r>
          </w:p>
        </w:tc>
        <w:tc>
          <w:tcPr>
            <w:tcW w:w="2949" w:type="dxa"/>
            <w:tcBorders>
              <w:top w:val="nil"/>
              <w:left w:val="nil"/>
              <w:bottom w:val="single" w:sz="8" w:space="0" w:color="000000"/>
              <w:right w:val="single" w:sz="8" w:space="0" w:color="000000"/>
            </w:tcBorders>
            <w:shd w:val="clear" w:color="auto" w:fill="auto"/>
            <w:vAlign w:val="center"/>
            <w:hideMark/>
          </w:tcPr>
          <w:p w14:paraId="1CBC6D9A"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DC143 - str. Nicolae Iorga</w:t>
            </w:r>
          </w:p>
        </w:tc>
        <w:tc>
          <w:tcPr>
            <w:tcW w:w="1237" w:type="dxa"/>
            <w:tcBorders>
              <w:top w:val="nil"/>
              <w:left w:val="nil"/>
              <w:bottom w:val="single" w:sz="8" w:space="0" w:color="000000"/>
              <w:right w:val="single" w:sz="8" w:space="0" w:color="000000"/>
            </w:tcBorders>
            <w:shd w:val="clear" w:color="auto" w:fill="auto"/>
            <w:vAlign w:val="center"/>
            <w:hideMark/>
          </w:tcPr>
          <w:p w14:paraId="03C57B4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auto" w:fill="auto"/>
            <w:vAlign w:val="center"/>
            <w:hideMark/>
          </w:tcPr>
          <w:p w14:paraId="4A15F29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4709128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6134F3E7"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46B0A8F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5</w:t>
            </w:r>
          </w:p>
        </w:tc>
        <w:tc>
          <w:tcPr>
            <w:tcW w:w="2949" w:type="dxa"/>
            <w:tcBorders>
              <w:top w:val="nil"/>
              <w:left w:val="nil"/>
              <w:bottom w:val="single" w:sz="8" w:space="0" w:color="000000"/>
              <w:right w:val="single" w:sz="8" w:space="0" w:color="000000"/>
            </w:tcBorders>
            <w:shd w:val="clear" w:color="000000" w:fill="DCE6F1"/>
            <w:vAlign w:val="center"/>
            <w:hideMark/>
          </w:tcPr>
          <w:p w14:paraId="024F1980"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DC 143 – str. Mihai Viteazu</w:t>
            </w:r>
          </w:p>
        </w:tc>
        <w:tc>
          <w:tcPr>
            <w:tcW w:w="1237" w:type="dxa"/>
            <w:tcBorders>
              <w:top w:val="nil"/>
              <w:left w:val="nil"/>
              <w:bottom w:val="single" w:sz="8" w:space="0" w:color="000000"/>
              <w:right w:val="single" w:sz="8" w:space="0" w:color="000000"/>
            </w:tcBorders>
            <w:shd w:val="clear" w:color="000000" w:fill="DCE6F1"/>
            <w:vAlign w:val="center"/>
            <w:hideMark/>
          </w:tcPr>
          <w:p w14:paraId="2F91EA1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000000" w:fill="DCE6F1"/>
            <w:vAlign w:val="center"/>
            <w:hideMark/>
          </w:tcPr>
          <w:p w14:paraId="0BCE3CBE"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CE6F1"/>
            <w:vAlign w:val="center"/>
            <w:hideMark/>
          </w:tcPr>
          <w:p w14:paraId="01FCFAFA"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7447A0B9"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477DCFC5"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6</w:t>
            </w:r>
          </w:p>
        </w:tc>
        <w:tc>
          <w:tcPr>
            <w:tcW w:w="2949" w:type="dxa"/>
            <w:tcBorders>
              <w:top w:val="nil"/>
              <w:left w:val="nil"/>
              <w:bottom w:val="single" w:sz="8" w:space="0" w:color="000000"/>
              <w:right w:val="single" w:sz="8" w:space="0" w:color="000000"/>
            </w:tcBorders>
            <w:shd w:val="clear" w:color="auto" w:fill="auto"/>
            <w:vAlign w:val="center"/>
            <w:hideMark/>
          </w:tcPr>
          <w:p w14:paraId="409883CB"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Str. Căpitan Maldăr</w:t>
            </w:r>
          </w:p>
        </w:tc>
        <w:tc>
          <w:tcPr>
            <w:tcW w:w="1237" w:type="dxa"/>
            <w:tcBorders>
              <w:top w:val="nil"/>
              <w:left w:val="nil"/>
              <w:bottom w:val="single" w:sz="8" w:space="0" w:color="000000"/>
              <w:right w:val="single" w:sz="8" w:space="0" w:color="000000"/>
            </w:tcBorders>
            <w:shd w:val="clear" w:color="auto" w:fill="auto"/>
            <w:vAlign w:val="center"/>
            <w:hideMark/>
          </w:tcPr>
          <w:p w14:paraId="3604EAAC"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auto" w:fill="auto"/>
            <w:vAlign w:val="center"/>
            <w:hideMark/>
          </w:tcPr>
          <w:p w14:paraId="75AB9FD9"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C</w:t>
            </w:r>
          </w:p>
        </w:tc>
        <w:tc>
          <w:tcPr>
            <w:tcW w:w="1296" w:type="dxa"/>
            <w:tcBorders>
              <w:top w:val="nil"/>
              <w:left w:val="nil"/>
              <w:bottom w:val="single" w:sz="8" w:space="0" w:color="000000"/>
              <w:right w:val="single" w:sz="8" w:space="0" w:color="000000"/>
            </w:tcBorders>
            <w:shd w:val="clear" w:color="auto" w:fill="auto"/>
            <w:vAlign w:val="center"/>
            <w:hideMark/>
          </w:tcPr>
          <w:p w14:paraId="5420401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C</w:t>
            </w:r>
          </w:p>
        </w:tc>
      </w:tr>
      <w:tr w:rsidR="00C36A80" w:rsidRPr="00C36A80" w14:paraId="163A1366"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7AEDC86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7</w:t>
            </w:r>
          </w:p>
        </w:tc>
        <w:tc>
          <w:tcPr>
            <w:tcW w:w="2949" w:type="dxa"/>
            <w:tcBorders>
              <w:top w:val="nil"/>
              <w:left w:val="nil"/>
              <w:bottom w:val="single" w:sz="8" w:space="0" w:color="000000"/>
              <w:right w:val="single" w:sz="8" w:space="0" w:color="000000"/>
            </w:tcBorders>
            <w:shd w:val="clear" w:color="000000" w:fill="DCE6F1"/>
            <w:vAlign w:val="center"/>
            <w:hideMark/>
          </w:tcPr>
          <w:p w14:paraId="0F2DE02D"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13 - DC 139 – DN 67 (A)</w:t>
            </w:r>
          </w:p>
        </w:tc>
        <w:tc>
          <w:tcPr>
            <w:tcW w:w="1237" w:type="dxa"/>
            <w:tcBorders>
              <w:top w:val="nil"/>
              <w:left w:val="nil"/>
              <w:bottom w:val="single" w:sz="8" w:space="0" w:color="000000"/>
              <w:right w:val="single" w:sz="8" w:space="0" w:color="000000"/>
            </w:tcBorders>
            <w:shd w:val="clear" w:color="000000" w:fill="DCE6F1"/>
            <w:vAlign w:val="center"/>
            <w:hideMark/>
          </w:tcPr>
          <w:p w14:paraId="6DFDE035"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000000" w:fill="DCE6F1"/>
            <w:vAlign w:val="center"/>
            <w:hideMark/>
          </w:tcPr>
          <w:p w14:paraId="3F8F447E"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CE6F1"/>
            <w:vAlign w:val="center"/>
            <w:hideMark/>
          </w:tcPr>
          <w:p w14:paraId="76437DB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00B94BA5"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4D06DBBD"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8</w:t>
            </w:r>
          </w:p>
        </w:tc>
        <w:tc>
          <w:tcPr>
            <w:tcW w:w="2949" w:type="dxa"/>
            <w:tcBorders>
              <w:top w:val="nil"/>
              <w:left w:val="nil"/>
              <w:bottom w:val="single" w:sz="8" w:space="0" w:color="000000"/>
              <w:right w:val="single" w:sz="8" w:space="0" w:color="000000"/>
            </w:tcBorders>
            <w:shd w:val="clear" w:color="auto" w:fill="auto"/>
            <w:vAlign w:val="center"/>
            <w:hideMark/>
          </w:tcPr>
          <w:p w14:paraId="1B28B788"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13 - DC 139 – DN 67 (B)</w:t>
            </w:r>
          </w:p>
        </w:tc>
        <w:tc>
          <w:tcPr>
            <w:tcW w:w="1237" w:type="dxa"/>
            <w:tcBorders>
              <w:top w:val="nil"/>
              <w:left w:val="nil"/>
              <w:bottom w:val="single" w:sz="8" w:space="0" w:color="000000"/>
              <w:right w:val="single" w:sz="8" w:space="0" w:color="000000"/>
            </w:tcBorders>
            <w:shd w:val="clear" w:color="auto" w:fill="auto"/>
            <w:vAlign w:val="center"/>
            <w:hideMark/>
          </w:tcPr>
          <w:p w14:paraId="0415960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auto" w:fill="auto"/>
            <w:vAlign w:val="center"/>
            <w:hideMark/>
          </w:tcPr>
          <w:p w14:paraId="4B29582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c>
          <w:tcPr>
            <w:tcW w:w="1296" w:type="dxa"/>
            <w:tcBorders>
              <w:top w:val="nil"/>
              <w:left w:val="nil"/>
              <w:bottom w:val="single" w:sz="8" w:space="0" w:color="000000"/>
              <w:right w:val="single" w:sz="8" w:space="0" w:color="000000"/>
            </w:tcBorders>
            <w:shd w:val="clear" w:color="auto" w:fill="auto"/>
            <w:vAlign w:val="center"/>
            <w:hideMark/>
          </w:tcPr>
          <w:p w14:paraId="0C284A5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r>
      <w:tr w:rsidR="00C36A80" w:rsidRPr="00C36A80" w14:paraId="594D3408"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5F97B07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9</w:t>
            </w:r>
          </w:p>
        </w:tc>
        <w:tc>
          <w:tcPr>
            <w:tcW w:w="2949" w:type="dxa"/>
            <w:tcBorders>
              <w:top w:val="nil"/>
              <w:left w:val="nil"/>
              <w:bottom w:val="single" w:sz="8" w:space="0" w:color="000000"/>
              <w:right w:val="single" w:sz="8" w:space="0" w:color="000000"/>
            </w:tcBorders>
            <w:shd w:val="clear" w:color="000000" w:fill="DCE6F1"/>
            <w:vAlign w:val="center"/>
            <w:hideMark/>
          </w:tcPr>
          <w:p w14:paraId="59598F8F"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Str. Zăvoiului</w:t>
            </w:r>
          </w:p>
        </w:tc>
        <w:tc>
          <w:tcPr>
            <w:tcW w:w="1237" w:type="dxa"/>
            <w:tcBorders>
              <w:top w:val="nil"/>
              <w:left w:val="nil"/>
              <w:bottom w:val="single" w:sz="8" w:space="0" w:color="000000"/>
              <w:right w:val="single" w:sz="8" w:space="0" w:color="000000"/>
            </w:tcBorders>
            <w:shd w:val="clear" w:color="000000" w:fill="DCE6F1"/>
            <w:vAlign w:val="center"/>
            <w:hideMark/>
          </w:tcPr>
          <w:p w14:paraId="5BE54D7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c>
          <w:tcPr>
            <w:tcW w:w="1308" w:type="dxa"/>
            <w:tcBorders>
              <w:top w:val="nil"/>
              <w:left w:val="nil"/>
              <w:bottom w:val="single" w:sz="8" w:space="0" w:color="000000"/>
              <w:right w:val="single" w:sz="8" w:space="0" w:color="000000"/>
            </w:tcBorders>
            <w:shd w:val="clear" w:color="000000" w:fill="DCE6F1"/>
            <w:vAlign w:val="center"/>
            <w:hideMark/>
          </w:tcPr>
          <w:p w14:paraId="06D8E8D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E</w:t>
            </w:r>
          </w:p>
        </w:tc>
        <w:tc>
          <w:tcPr>
            <w:tcW w:w="1296" w:type="dxa"/>
            <w:tcBorders>
              <w:top w:val="nil"/>
              <w:left w:val="nil"/>
              <w:bottom w:val="single" w:sz="8" w:space="0" w:color="000000"/>
              <w:right w:val="single" w:sz="8" w:space="0" w:color="000000"/>
            </w:tcBorders>
            <w:shd w:val="clear" w:color="000000" w:fill="DCE6F1"/>
            <w:vAlign w:val="center"/>
            <w:hideMark/>
          </w:tcPr>
          <w:p w14:paraId="4A69D64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E</w:t>
            </w:r>
          </w:p>
        </w:tc>
      </w:tr>
      <w:tr w:rsidR="00C36A80" w:rsidRPr="00C36A80" w14:paraId="4DA34202"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01D20E7F"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10</w:t>
            </w:r>
          </w:p>
        </w:tc>
        <w:tc>
          <w:tcPr>
            <w:tcW w:w="2949" w:type="dxa"/>
            <w:tcBorders>
              <w:top w:val="nil"/>
              <w:left w:val="nil"/>
              <w:bottom w:val="single" w:sz="8" w:space="0" w:color="000000"/>
              <w:right w:val="single" w:sz="8" w:space="0" w:color="000000"/>
            </w:tcBorders>
            <w:shd w:val="clear" w:color="auto" w:fill="auto"/>
            <w:vAlign w:val="center"/>
            <w:hideMark/>
          </w:tcPr>
          <w:p w14:paraId="7282CDB7"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 xml:space="preserve"> DC 142 – str. Matei Basarab</w:t>
            </w:r>
          </w:p>
        </w:tc>
        <w:tc>
          <w:tcPr>
            <w:tcW w:w="1237" w:type="dxa"/>
            <w:tcBorders>
              <w:top w:val="nil"/>
              <w:left w:val="nil"/>
              <w:bottom w:val="single" w:sz="8" w:space="0" w:color="000000"/>
              <w:right w:val="single" w:sz="8" w:space="0" w:color="000000"/>
            </w:tcBorders>
            <w:shd w:val="clear" w:color="auto" w:fill="auto"/>
            <w:vAlign w:val="center"/>
            <w:hideMark/>
          </w:tcPr>
          <w:p w14:paraId="1F1ACC7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auto" w:fill="auto"/>
            <w:vAlign w:val="center"/>
            <w:hideMark/>
          </w:tcPr>
          <w:p w14:paraId="62219EE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3EDA094A"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0AD49084"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0B2836AC"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11</w:t>
            </w:r>
          </w:p>
        </w:tc>
        <w:tc>
          <w:tcPr>
            <w:tcW w:w="2949" w:type="dxa"/>
            <w:tcBorders>
              <w:top w:val="nil"/>
              <w:left w:val="nil"/>
              <w:bottom w:val="single" w:sz="8" w:space="0" w:color="000000"/>
              <w:right w:val="single" w:sz="8" w:space="0" w:color="000000"/>
            </w:tcBorders>
            <w:shd w:val="clear" w:color="000000" w:fill="DCE6F1"/>
            <w:vAlign w:val="center"/>
            <w:hideMark/>
          </w:tcPr>
          <w:p w14:paraId="20C62633"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DN67 - George Coșbuc</w:t>
            </w:r>
          </w:p>
        </w:tc>
        <w:tc>
          <w:tcPr>
            <w:tcW w:w="1237" w:type="dxa"/>
            <w:tcBorders>
              <w:top w:val="nil"/>
              <w:left w:val="nil"/>
              <w:bottom w:val="single" w:sz="8" w:space="0" w:color="000000"/>
              <w:right w:val="single" w:sz="8" w:space="0" w:color="000000"/>
            </w:tcBorders>
            <w:shd w:val="clear" w:color="000000" w:fill="DCE6F1"/>
            <w:vAlign w:val="center"/>
            <w:hideMark/>
          </w:tcPr>
          <w:p w14:paraId="6CB4317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000000" w:fill="DCE6F1"/>
            <w:vAlign w:val="center"/>
            <w:hideMark/>
          </w:tcPr>
          <w:p w14:paraId="57DA923F"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c>
          <w:tcPr>
            <w:tcW w:w="1296" w:type="dxa"/>
            <w:tcBorders>
              <w:top w:val="nil"/>
              <w:left w:val="nil"/>
              <w:bottom w:val="single" w:sz="8" w:space="0" w:color="000000"/>
              <w:right w:val="single" w:sz="8" w:space="0" w:color="000000"/>
            </w:tcBorders>
            <w:shd w:val="clear" w:color="000000" w:fill="DCE6F1"/>
            <w:vAlign w:val="center"/>
            <w:hideMark/>
          </w:tcPr>
          <w:p w14:paraId="77296A01"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D</w:t>
            </w:r>
          </w:p>
        </w:tc>
      </w:tr>
      <w:tr w:rsidR="00C36A80" w:rsidRPr="00C36A80" w14:paraId="5EA9E2A3"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17B8DE0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12</w:t>
            </w:r>
          </w:p>
        </w:tc>
        <w:tc>
          <w:tcPr>
            <w:tcW w:w="2949" w:type="dxa"/>
            <w:tcBorders>
              <w:top w:val="nil"/>
              <w:left w:val="nil"/>
              <w:bottom w:val="single" w:sz="8" w:space="0" w:color="000000"/>
              <w:right w:val="single" w:sz="8" w:space="0" w:color="000000"/>
            </w:tcBorders>
            <w:shd w:val="clear" w:color="auto" w:fill="auto"/>
            <w:vAlign w:val="center"/>
            <w:hideMark/>
          </w:tcPr>
          <w:p w14:paraId="2A29EC90"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DC 143 – str. Mihai Viteazu</w:t>
            </w:r>
          </w:p>
        </w:tc>
        <w:tc>
          <w:tcPr>
            <w:tcW w:w="1237" w:type="dxa"/>
            <w:tcBorders>
              <w:top w:val="nil"/>
              <w:left w:val="nil"/>
              <w:bottom w:val="single" w:sz="8" w:space="0" w:color="000000"/>
              <w:right w:val="single" w:sz="8" w:space="0" w:color="000000"/>
            </w:tcBorders>
            <w:shd w:val="clear" w:color="auto" w:fill="auto"/>
            <w:vAlign w:val="center"/>
            <w:hideMark/>
          </w:tcPr>
          <w:p w14:paraId="25651121"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auto" w:fill="auto"/>
            <w:vAlign w:val="center"/>
            <w:hideMark/>
          </w:tcPr>
          <w:p w14:paraId="314ED709"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389C490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54B34AEE"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9E1F2"/>
            <w:vAlign w:val="center"/>
            <w:hideMark/>
          </w:tcPr>
          <w:p w14:paraId="36686C4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13</w:t>
            </w:r>
          </w:p>
        </w:tc>
        <w:tc>
          <w:tcPr>
            <w:tcW w:w="2949" w:type="dxa"/>
            <w:tcBorders>
              <w:top w:val="nil"/>
              <w:left w:val="nil"/>
              <w:bottom w:val="single" w:sz="8" w:space="0" w:color="000000"/>
              <w:right w:val="single" w:sz="8" w:space="0" w:color="000000"/>
            </w:tcBorders>
            <w:shd w:val="clear" w:color="000000" w:fill="D9E1F2"/>
            <w:vAlign w:val="center"/>
            <w:hideMark/>
          </w:tcPr>
          <w:p w14:paraId="5F0F545B"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 xml:space="preserve"> DN 67 – str. Stadionului</w:t>
            </w:r>
          </w:p>
        </w:tc>
        <w:tc>
          <w:tcPr>
            <w:tcW w:w="1237" w:type="dxa"/>
            <w:tcBorders>
              <w:top w:val="nil"/>
              <w:left w:val="nil"/>
              <w:bottom w:val="single" w:sz="8" w:space="0" w:color="000000"/>
              <w:right w:val="single" w:sz="8" w:space="0" w:color="000000"/>
            </w:tcBorders>
            <w:shd w:val="clear" w:color="000000" w:fill="D9E1F2"/>
            <w:vAlign w:val="center"/>
            <w:hideMark/>
          </w:tcPr>
          <w:p w14:paraId="6A24227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000000" w:fill="D9E1F2"/>
            <w:vAlign w:val="center"/>
            <w:hideMark/>
          </w:tcPr>
          <w:p w14:paraId="074B0F4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9E1F2"/>
            <w:vAlign w:val="center"/>
            <w:hideMark/>
          </w:tcPr>
          <w:p w14:paraId="65965E7A"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15E18A1D"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7D4E79C7"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14</w:t>
            </w:r>
          </w:p>
        </w:tc>
        <w:tc>
          <w:tcPr>
            <w:tcW w:w="2949" w:type="dxa"/>
            <w:tcBorders>
              <w:top w:val="nil"/>
              <w:left w:val="nil"/>
              <w:bottom w:val="single" w:sz="8" w:space="0" w:color="000000"/>
              <w:right w:val="single" w:sz="8" w:space="0" w:color="000000"/>
            </w:tcBorders>
            <w:shd w:val="clear" w:color="auto" w:fill="auto"/>
            <w:vAlign w:val="center"/>
            <w:hideMark/>
          </w:tcPr>
          <w:p w14:paraId="46A2C805"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 xml:space="preserve"> DC 144 – str. spre Romanii de Sus (Stejarului)</w:t>
            </w:r>
          </w:p>
        </w:tc>
        <w:tc>
          <w:tcPr>
            <w:tcW w:w="1237" w:type="dxa"/>
            <w:tcBorders>
              <w:top w:val="nil"/>
              <w:left w:val="nil"/>
              <w:bottom w:val="single" w:sz="8" w:space="0" w:color="000000"/>
              <w:right w:val="single" w:sz="8" w:space="0" w:color="000000"/>
            </w:tcBorders>
            <w:shd w:val="clear" w:color="auto" w:fill="auto"/>
            <w:vAlign w:val="center"/>
            <w:hideMark/>
          </w:tcPr>
          <w:p w14:paraId="6DE0440D"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308" w:type="dxa"/>
            <w:tcBorders>
              <w:top w:val="nil"/>
              <w:left w:val="nil"/>
              <w:bottom w:val="single" w:sz="8" w:space="0" w:color="000000"/>
              <w:right w:val="single" w:sz="8" w:space="0" w:color="000000"/>
            </w:tcBorders>
            <w:shd w:val="clear" w:color="auto" w:fill="auto"/>
            <w:vAlign w:val="center"/>
            <w:hideMark/>
          </w:tcPr>
          <w:p w14:paraId="4F9F979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38865E6F"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056B0CC5"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9E1F2"/>
            <w:vAlign w:val="center"/>
            <w:hideMark/>
          </w:tcPr>
          <w:p w14:paraId="087C407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15</w:t>
            </w:r>
          </w:p>
        </w:tc>
        <w:tc>
          <w:tcPr>
            <w:tcW w:w="2949" w:type="dxa"/>
            <w:tcBorders>
              <w:top w:val="nil"/>
              <w:left w:val="nil"/>
              <w:bottom w:val="single" w:sz="8" w:space="0" w:color="000000"/>
              <w:right w:val="single" w:sz="8" w:space="0" w:color="000000"/>
            </w:tcBorders>
            <w:shd w:val="clear" w:color="000000" w:fill="D9E1F2"/>
            <w:vAlign w:val="center"/>
            <w:hideMark/>
          </w:tcPr>
          <w:p w14:paraId="21C11AF3"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DJ 669 – str. Manastirii</w:t>
            </w:r>
          </w:p>
        </w:tc>
        <w:tc>
          <w:tcPr>
            <w:tcW w:w="1237" w:type="dxa"/>
            <w:tcBorders>
              <w:top w:val="nil"/>
              <w:left w:val="nil"/>
              <w:bottom w:val="single" w:sz="8" w:space="0" w:color="000000"/>
              <w:right w:val="single" w:sz="8" w:space="0" w:color="000000"/>
            </w:tcBorders>
            <w:shd w:val="clear" w:color="000000" w:fill="D9E1F2"/>
            <w:vAlign w:val="center"/>
            <w:hideMark/>
          </w:tcPr>
          <w:p w14:paraId="0833A55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B</w:t>
            </w:r>
          </w:p>
        </w:tc>
        <w:tc>
          <w:tcPr>
            <w:tcW w:w="1308" w:type="dxa"/>
            <w:tcBorders>
              <w:top w:val="nil"/>
              <w:left w:val="nil"/>
              <w:bottom w:val="single" w:sz="8" w:space="0" w:color="000000"/>
              <w:right w:val="single" w:sz="8" w:space="0" w:color="000000"/>
            </w:tcBorders>
            <w:shd w:val="clear" w:color="000000" w:fill="D9E1F2"/>
            <w:vAlign w:val="center"/>
            <w:hideMark/>
          </w:tcPr>
          <w:p w14:paraId="405A8B8A"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B</w:t>
            </w:r>
          </w:p>
        </w:tc>
        <w:tc>
          <w:tcPr>
            <w:tcW w:w="1296" w:type="dxa"/>
            <w:tcBorders>
              <w:top w:val="nil"/>
              <w:left w:val="nil"/>
              <w:bottom w:val="single" w:sz="8" w:space="0" w:color="000000"/>
              <w:right w:val="single" w:sz="8" w:space="0" w:color="000000"/>
            </w:tcBorders>
            <w:shd w:val="clear" w:color="000000" w:fill="D9E1F2"/>
            <w:vAlign w:val="center"/>
            <w:hideMark/>
          </w:tcPr>
          <w:p w14:paraId="6CA808E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B</w:t>
            </w:r>
          </w:p>
        </w:tc>
      </w:tr>
      <w:tr w:rsidR="00C36A80" w:rsidRPr="00C36A80" w14:paraId="0FD63122"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tcPr>
          <w:p w14:paraId="76D59C8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16</w:t>
            </w:r>
          </w:p>
        </w:tc>
        <w:tc>
          <w:tcPr>
            <w:tcW w:w="2949" w:type="dxa"/>
            <w:tcBorders>
              <w:top w:val="nil"/>
              <w:left w:val="nil"/>
              <w:bottom w:val="single" w:sz="8" w:space="0" w:color="000000"/>
              <w:right w:val="single" w:sz="8" w:space="0" w:color="000000"/>
            </w:tcBorders>
            <w:shd w:val="clear" w:color="auto" w:fill="auto"/>
            <w:vAlign w:val="center"/>
          </w:tcPr>
          <w:p w14:paraId="7BE30BBB" w14:textId="77777777" w:rsidR="00C36A80" w:rsidRPr="00C36A80" w:rsidRDefault="00C36A80" w:rsidP="00C36A80">
            <w:pPr>
              <w:spacing w:after="0"/>
              <w:rPr>
                <w:rFonts w:ascii="Arial" w:hAnsi="Arial" w:cs="Arial"/>
                <w:color w:val="000000"/>
                <w:sz w:val="19"/>
                <w:szCs w:val="19"/>
              </w:rPr>
            </w:pPr>
            <w:r w:rsidRPr="00C36A80">
              <w:rPr>
                <w:rFonts w:ascii="Calibri" w:hAnsi="Calibri" w:cs="Calibri"/>
                <w:color w:val="000000"/>
              </w:rPr>
              <w:t>11 - DN 67 – DN 65C</w:t>
            </w:r>
          </w:p>
        </w:tc>
        <w:tc>
          <w:tcPr>
            <w:tcW w:w="1237" w:type="dxa"/>
            <w:tcBorders>
              <w:top w:val="nil"/>
              <w:left w:val="nil"/>
              <w:bottom w:val="single" w:sz="8" w:space="0" w:color="000000"/>
              <w:right w:val="single" w:sz="8" w:space="0" w:color="000000"/>
            </w:tcBorders>
            <w:shd w:val="clear" w:color="auto" w:fill="auto"/>
            <w:vAlign w:val="center"/>
          </w:tcPr>
          <w:p w14:paraId="50460EBA"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auto" w:fill="auto"/>
            <w:vAlign w:val="center"/>
          </w:tcPr>
          <w:p w14:paraId="2AAFD0E9"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tcPr>
          <w:p w14:paraId="35EE3E3B"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A</w:t>
            </w:r>
          </w:p>
        </w:tc>
      </w:tr>
      <w:tr w:rsidR="00C36A80" w:rsidRPr="00C36A80" w14:paraId="575FC16A"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9E1F2"/>
            <w:vAlign w:val="center"/>
          </w:tcPr>
          <w:p w14:paraId="272794B5"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17</w:t>
            </w:r>
          </w:p>
        </w:tc>
        <w:tc>
          <w:tcPr>
            <w:tcW w:w="2949" w:type="dxa"/>
            <w:tcBorders>
              <w:top w:val="nil"/>
              <w:left w:val="nil"/>
              <w:bottom w:val="single" w:sz="8" w:space="0" w:color="000000"/>
              <w:right w:val="single" w:sz="8" w:space="0" w:color="000000"/>
            </w:tcBorders>
            <w:shd w:val="clear" w:color="000000" w:fill="D9E1F2"/>
            <w:vAlign w:val="center"/>
          </w:tcPr>
          <w:p w14:paraId="3480B5CD" w14:textId="77777777" w:rsidR="00C36A80" w:rsidRPr="00C36A80" w:rsidRDefault="00C36A80" w:rsidP="00C36A80">
            <w:pPr>
              <w:spacing w:after="0"/>
              <w:rPr>
                <w:rFonts w:ascii="Arial" w:hAnsi="Arial" w:cs="Arial"/>
                <w:color w:val="000000"/>
                <w:sz w:val="19"/>
                <w:szCs w:val="19"/>
              </w:rPr>
            </w:pPr>
            <w:r w:rsidRPr="00C36A80">
              <w:rPr>
                <w:rFonts w:ascii="Calibri" w:hAnsi="Calibri" w:cs="Calibri"/>
                <w:color w:val="000000"/>
              </w:rPr>
              <w:t>13 - DC 139 – DN 67 (A)</w:t>
            </w:r>
          </w:p>
        </w:tc>
        <w:tc>
          <w:tcPr>
            <w:tcW w:w="1237" w:type="dxa"/>
            <w:tcBorders>
              <w:top w:val="nil"/>
              <w:left w:val="nil"/>
              <w:bottom w:val="single" w:sz="8" w:space="0" w:color="000000"/>
              <w:right w:val="single" w:sz="8" w:space="0" w:color="000000"/>
            </w:tcBorders>
            <w:shd w:val="clear" w:color="000000" w:fill="D9E1F2"/>
            <w:vAlign w:val="center"/>
          </w:tcPr>
          <w:p w14:paraId="48CB4F57"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F</w:t>
            </w:r>
          </w:p>
        </w:tc>
        <w:tc>
          <w:tcPr>
            <w:tcW w:w="1308" w:type="dxa"/>
            <w:tcBorders>
              <w:top w:val="nil"/>
              <w:left w:val="nil"/>
              <w:bottom w:val="single" w:sz="8" w:space="0" w:color="000000"/>
              <w:right w:val="single" w:sz="8" w:space="0" w:color="000000"/>
            </w:tcBorders>
            <w:shd w:val="clear" w:color="000000" w:fill="D9E1F2"/>
            <w:vAlign w:val="center"/>
          </w:tcPr>
          <w:p w14:paraId="3AAF9C97"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E</w:t>
            </w:r>
          </w:p>
        </w:tc>
        <w:tc>
          <w:tcPr>
            <w:tcW w:w="1296" w:type="dxa"/>
            <w:tcBorders>
              <w:top w:val="nil"/>
              <w:left w:val="nil"/>
              <w:bottom w:val="single" w:sz="8" w:space="0" w:color="000000"/>
              <w:right w:val="single" w:sz="8" w:space="0" w:color="000000"/>
            </w:tcBorders>
            <w:shd w:val="clear" w:color="000000" w:fill="D9E1F2"/>
            <w:vAlign w:val="center"/>
          </w:tcPr>
          <w:p w14:paraId="7E171A7A" w14:textId="77777777" w:rsidR="00C36A80" w:rsidRPr="00C36A80" w:rsidRDefault="00C36A80" w:rsidP="00C36A80">
            <w:pPr>
              <w:spacing w:after="0"/>
              <w:jc w:val="center"/>
              <w:rPr>
                <w:rFonts w:ascii="Arial" w:hAnsi="Arial" w:cs="Arial"/>
                <w:color w:val="000000"/>
                <w:sz w:val="19"/>
                <w:szCs w:val="19"/>
              </w:rPr>
            </w:pPr>
            <w:r w:rsidRPr="00C36A80">
              <w:rPr>
                <w:rFonts w:ascii="Arial" w:hAnsi="Arial" w:cs="Arial"/>
                <w:color w:val="000000"/>
                <w:sz w:val="19"/>
                <w:szCs w:val="19"/>
              </w:rPr>
              <w:t>E</w:t>
            </w:r>
          </w:p>
        </w:tc>
      </w:tr>
      <w:tr w:rsidR="00C36A80" w:rsidRPr="00C36A80" w14:paraId="2F327074"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auto" w:fill="auto"/>
            <w:vAlign w:val="center"/>
            <w:hideMark/>
          </w:tcPr>
          <w:p w14:paraId="0F8BEC88"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18</w:t>
            </w:r>
          </w:p>
        </w:tc>
        <w:tc>
          <w:tcPr>
            <w:tcW w:w="2949" w:type="dxa"/>
            <w:tcBorders>
              <w:top w:val="nil"/>
              <w:left w:val="nil"/>
              <w:bottom w:val="single" w:sz="8" w:space="0" w:color="000000"/>
              <w:right w:val="single" w:sz="8" w:space="0" w:color="000000"/>
            </w:tcBorders>
            <w:shd w:val="clear" w:color="auto" w:fill="auto"/>
            <w:vAlign w:val="center"/>
            <w:hideMark/>
          </w:tcPr>
          <w:p w14:paraId="05FDDBE6"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10 - DC 144 – DC 146</w:t>
            </w:r>
          </w:p>
        </w:tc>
        <w:tc>
          <w:tcPr>
            <w:tcW w:w="1237" w:type="dxa"/>
            <w:tcBorders>
              <w:top w:val="nil"/>
              <w:left w:val="nil"/>
              <w:bottom w:val="single" w:sz="8" w:space="0" w:color="000000"/>
              <w:right w:val="single" w:sz="8" w:space="0" w:color="000000"/>
            </w:tcBorders>
            <w:shd w:val="clear" w:color="auto" w:fill="auto"/>
            <w:vAlign w:val="center"/>
            <w:hideMark/>
          </w:tcPr>
          <w:p w14:paraId="76E9CCC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B</w:t>
            </w:r>
          </w:p>
        </w:tc>
        <w:tc>
          <w:tcPr>
            <w:tcW w:w="1308" w:type="dxa"/>
            <w:tcBorders>
              <w:top w:val="nil"/>
              <w:left w:val="nil"/>
              <w:bottom w:val="single" w:sz="8" w:space="0" w:color="000000"/>
              <w:right w:val="single" w:sz="8" w:space="0" w:color="000000"/>
            </w:tcBorders>
            <w:shd w:val="clear" w:color="auto" w:fill="auto"/>
            <w:vAlign w:val="center"/>
            <w:hideMark/>
          </w:tcPr>
          <w:p w14:paraId="02613640"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auto" w:fill="auto"/>
            <w:vAlign w:val="center"/>
            <w:hideMark/>
          </w:tcPr>
          <w:p w14:paraId="666AEDD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r w:rsidR="00C36A80" w:rsidRPr="00C36A80" w14:paraId="2852D5B7" w14:textId="77777777" w:rsidTr="00C36A80">
        <w:trPr>
          <w:trHeight w:val="284"/>
          <w:jc w:val="center"/>
        </w:trPr>
        <w:tc>
          <w:tcPr>
            <w:tcW w:w="980" w:type="dxa"/>
            <w:tcBorders>
              <w:top w:val="nil"/>
              <w:left w:val="single" w:sz="8" w:space="0" w:color="000000"/>
              <w:bottom w:val="single" w:sz="8" w:space="0" w:color="000000"/>
              <w:right w:val="single" w:sz="8" w:space="0" w:color="000000"/>
            </w:tcBorders>
            <w:shd w:val="clear" w:color="000000" w:fill="DCE6F1"/>
            <w:vAlign w:val="center"/>
            <w:hideMark/>
          </w:tcPr>
          <w:p w14:paraId="3D10D07B"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Calibri" w:eastAsia="Times New Roman" w:hAnsi="Calibri" w:cs="Arial"/>
                <w:color w:val="000000"/>
                <w:sz w:val="19"/>
                <w:szCs w:val="19"/>
                <w:lang w:val="ro-RO" w:eastAsia="ro-RO"/>
              </w:rPr>
              <w:t>19</w:t>
            </w:r>
          </w:p>
        </w:tc>
        <w:tc>
          <w:tcPr>
            <w:tcW w:w="2949" w:type="dxa"/>
            <w:tcBorders>
              <w:top w:val="nil"/>
              <w:left w:val="nil"/>
              <w:bottom w:val="single" w:sz="8" w:space="0" w:color="000000"/>
              <w:right w:val="single" w:sz="8" w:space="0" w:color="000000"/>
            </w:tcBorders>
            <w:shd w:val="clear" w:color="000000" w:fill="DCE6F1"/>
            <w:vAlign w:val="center"/>
            <w:hideMark/>
          </w:tcPr>
          <w:p w14:paraId="491ADD51" w14:textId="77777777" w:rsidR="00C36A80" w:rsidRPr="00C36A80" w:rsidRDefault="00C36A80" w:rsidP="00C36A80">
            <w:pPr>
              <w:spacing w:after="0"/>
              <w:rPr>
                <w:rFonts w:ascii="Calibri" w:eastAsia="Times New Roman" w:hAnsi="Calibri" w:cs="Arial"/>
                <w:color w:val="000000"/>
                <w:sz w:val="19"/>
                <w:szCs w:val="19"/>
                <w:lang w:val="ro-RO" w:eastAsia="ro-RO"/>
              </w:rPr>
            </w:pPr>
            <w:r w:rsidRPr="00C36A80">
              <w:rPr>
                <w:rFonts w:ascii="Calibri" w:hAnsi="Calibri" w:cs="Calibri"/>
                <w:color w:val="000000"/>
              </w:rPr>
              <w:t>16 - DJ 669 – DC 146</w:t>
            </w:r>
          </w:p>
        </w:tc>
        <w:tc>
          <w:tcPr>
            <w:tcW w:w="1237" w:type="dxa"/>
            <w:tcBorders>
              <w:top w:val="nil"/>
              <w:left w:val="nil"/>
              <w:bottom w:val="single" w:sz="8" w:space="0" w:color="000000"/>
              <w:right w:val="single" w:sz="8" w:space="0" w:color="000000"/>
            </w:tcBorders>
            <w:shd w:val="clear" w:color="000000" w:fill="DCE6F1"/>
            <w:vAlign w:val="center"/>
            <w:hideMark/>
          </w:tcPr>
          <w:p w14:paraId="26A95614"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C</w:t>
            </w:r>
          </w:p>
        </w:tc>
        <w:tc>
          <w:tcPr>
            <w:tcW w:w="1308" w:type="dxa"/>
            <w:tcBorders>
              <w:top w:val="nil"/>
              <w:left w:val="nil"/>
              <w:bottom w:val="single" w:sz="8" w:space="0" w:color="000000"/>
              <w:right w:val="single" w:sz="8" w:space="0" w:color="000000"/>
            </w:tcBorders>
            <w:shd w:val="clear" w:color="000000" w:fill="DCE6F1"/>
            <w:vAlign w:val="center"/>
            <w:hideMark/>
          </w:tcPr>
          <w:p w14:paraId="4957F516"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c>
          <w:tcPr>
            <w:tcW w:w="1296" w:type="dxa"/>
            <w:tcBorders>
              <w:top w:val="nil"/>
              <w:left w:val="nil"/>
              <w:bottom w:val="single" w:sz="8" w:space="0" w:color="000000"/>
              <w:right w:val="single" w:sz="8" w:space="0" w:color="000000"/>
            </w:tcBorders>
            <w:shd w:val="clear" w:color="000000" w:fill="DCE6F1"/>
            <w:vAlign w:val="center"/>
            <w:hideMark/>
          </w:tcPr>
          <w:p w14:paraId="4E623332" w14:textId="77777777" w:rsidR="00C36A80" w:rsidRPr="00C36A80" w:rsidRDefault="00C36A80" w:rsidP="00C36A80">
            <w:pPr>
              <w:spacing w:after="0"/>
              <w:jc w:val="center"/>
              <w:rPr>
                <w:rFonts w:ascii="Calibri" w:eastAsia="Times New Roman" w:hAnsi="Calibri" w:cs="Arial"/>
                <w:color w:val="000000"/>
                <w:sz w:val="19"/>
                <w:szCs w:val="19"/>
                <w:lang w:val="ro-RO" w:eastAsia="ro-RO"/>
              </w:rPr>
            </w:pPr>
            <w:r w:rsidRPr="00C36A80">
              <w:rPr>
                <w:rFonts w:ascii="Arial" w:hAnsi="Arial" w:cs="Arial"/>
                <w:color w:val="000000"/>
                <w:sz w:val="19"/>
                <w:szCs w:val="19"/>
              </w:rPr>
              <w:t>A</w:t>
            </w:r>
          </w:p>
        </w:tc>
      </w:tr>
    </w:tbl>
    <w:p w14:paraId="0CDD8B13" w14:textId="77777777" w:rsidR="00C36A80" w:rsidRPr="00C36A80" w:rsidRDefault="00C36A80" w:rsidP="00C36A80">
      <w:pPr>
        <w:widowControl w:val="0"/>
        <w:suppressAutoHyphens/>
        <w:spacing w:after="0" w:line="240" w:lineRule="auto"/>
        <w:rPr>
          <w:rFonts w:ascii="Arial" w:hAnsi="Arial" w:cs="Mangal"/>
          <w:kern w:val="1"/>
          <w:sz w:val="20"/>
          <w:szCs w:val="24"/>
          <w:lang w:val="ro-RO" w:eastAsia="hi-IN" w:bidi="hi-IN"/>
        </w:rPr>
      </w:pPr>
    </w:p>
    <w:p w14:paraId="2A2D1738" w14:textId="77777777" w:rsidR="00C36A80" w:rsidRPr="00C36A80" w:rsidRDefault="00C36A80" w:rsidP="00C36A80">
      <w:pPr>
        <w:widowControl w:val="0"/>
        <w:suppressAutoHyphens/>
        <w:spacing w:after="0" w:line="240" w:lineRule="auto"/>
        <w:rPr>
          <w:rFonts w:ascii="Arial" w:hAnsi="Arial" w:cs="Mangal"/>
          <w:kern w:val="1"/>
          <w:sz w:val="20"/>
          <w:szCs w:val="24"/>
          <w:lang w:val="ro-RO" w:eastAsia="hi-IN" w:bidi="hi-IN"/>
        </w:rPr>
      </w:pPr>
    </w:p>
    <w:p w14:paraId="3E2D73E1" w14:textId="77777777" w:rsidR="004F5666" w:rsidRDefault="004F5666" w:rsidP="0028563B">
      <w:pPr>
        <w:pStyle w:val="Titlu4"/>
        <w:numPr>
          <w:ilvl w:val="0"/>
          <w:numId w:val="0"/>
        </w:numPr>
        <w:rPr>
          <w:rFonts w:ascii="Arial" w:hAnsi="Arial" w:cs="Arial"/>
          <w:sz w:val="22"/>
          <w:szCs w:val="22"/>
          <w:lang w:bidi="hi-IN"/>
        </w:rPr>
      </w:pPr>
      <w:r w:rsidRPr="0028563B">
        <w:rPr>
          <w:rFonts w:ascii="Arial" w:hAnsi="Arial" w:cs="Arial"/>
          <w:sz w:val="22"/>
          <w:szCs w:val="22"/>
          <w:lang w:bidi="hi-IN"/>
        </w:rPr>
        <w:t>I.7.1.2.3 Parametri 24 h orizont 2035</w:t>
      </w:r>
    </w:p>
    <w:p w14:paraId="70C35C65" w14:textId="77777777" w:rsidR="0060531A" w:rsidRPr="0060531A" w:rsidRDefault="0060531A" w:rsidP="0060531A">
      <w:pPr>
        <w:widowControl w:val="0"/>
        <w:suppressAutoHyphens/>
        <w:spacing w:after="0" w:line="360" w:lineRule="auto"/>
        <w:rPr>
          <w:rFonts w:ascii="Arial" w:hAnsi="Arial" w:cs="Mangal"/>
          <w:kern w:val="1"/>
          <w:sz w:val="24"/>
          <w:szCs w:val="24"/>
          <w:lang w:val="es-ES" w:eastAsia="hi-IN" w:bidi="hi-IN"/>
        </w:rPr>
      </w:pPr>
      <w:r w:rsidRPr="0060531A">
        <w:rPr>
          <w:rFonts w:ascii="Arial" w:hAnsi="Arial" w:cs="Mangal"/>
          <w:kern w:val="1"/>
          <w:sz w:val="24"/>
          <w:szCs w:val="24"/>
          <w:lang w:val="es-ES" w:eastAsia="hi-IN" w:bidi="hi-IN"/>
        </w:rPr>
        <w:t>La nivel de rețea se obțin următoarele date:</w:t>
      </w:r>
    </w:p>
    <w:p w14:paraId="11BC90D8" w14:textId="77777777" w:rsidR="0060531A" w:rsidRPr="0060531A" w:rsidRDefault="0060531A" w:rsidP="0060531A">
      <w:pPr>
        <w:widowControl w:val="0"/>
        <w:suppressAutoHyphens/>
        <w:spacing w:after="0" w:line="360" w:lineRule="auto"/>
        <w:jc w:val="center"/>
        <w:rPr>
          <w:rFonts w:ascii="Arial" w:hAnsi="Arial" w:cs="Mangal"/>
          <w:kern w:val="1"/>
          <w:sz w:val="24"/>
          <w:szCs w:val="24"/>
          <w:lang w:val="ro-RO" w:eastAsia="hi-IN" w:bidi="hi-IN"/>
        </w:rPr>
      </w:pPr>
    </w:p>
    <w:p w14:paraId="0A0D7594" w14:textId="045C8BEE" w:rsidR="0060531A" w:rsidRPr="0060531A" w:rsidRDefault="00BB0D72" w:rsidP="0060531A">
      <w:pPr>
        <w:spacing w:after="200" w:line="240" w:lineRule="auto"/>
        <w:jc w:val="center"/>
        <w:rPr>
          <w:rFonts w:ascii="Arial" w:hAnsi="Arial" w:cs="Arial"/>
          <w:color w:val="1F497D"/>
          <w:kern w:val="1"/>
          <w:lang w:val="ro-RO" w:eastAsia="hi-IN" w:bidi="hi-IN"/>
        </w:rPr>
      </w:pPr>
      <w:bookmarkStart w:id="495" w:name="_Toc68361280"/>
      <w:bookmarkStart w:id="496" w:name="_Toc96463908"/>
      <w:r>
        <w:rPr>
          <w:rFonts w:ascii="Arial" w:hAnsi="Arial" w:cs="Arial"/>
          <w:i/>
          <w:iCs/>
          <w:color w:val="1F497D"/>
        </w:rPr>
        <w:t>Tabel I.7.</w:t>
      </w:r>
      <w:r w:rsidR="0060531A" w:rsidRPr="0060531A">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12</w:t>
      </w:r>
      <w:r>
        <w:rPr>
          <w:rFonts w:ascii="Arial" w:hAnsi="Arial" w:cs="Arial"/>
          <w:i/>
          <w:iCs/>
          <w:color w:val="1F497D"/>
        </w:rPr>
        <w:fldChar w:fldCharType="end"/>
      </w:r>
      <w:r w:rsidR="0060531A" w:rsidRPr="0060531A">
        <w:rPr>
          <w:rFonts w:ascii="Arial" w:hAnsi="Arial" w:cs="Arial"/>
          <w:i/>
          <w:iCs/>
          <w:color w:val="1F497D"/>
        </w:rPr>
        <w:t xml:space="preserve"> - </w:t>
      </w:r>
      <w:r w:rsidR="0060531A" w:rsidRPr="0060531A">
        <w:rPr>
          <w:rFonts w:ascii="Arial" w:hAnsi="Arial" w:cs="Arial"/>
          <w:color w:val="1F497D"/>
        </w:rPr>
        <w:t>Analiza comparativǎ a scenariilor pentru 2035 – 24 h</w:t>
      </w:r>
      <w:bookmarkEnd w:id="495"/>
      <w:bookmarkEnd w:id="496"/>
    </w:p>
    <w:tbl>
      <w:tblPr>
        <w:tblW w:w="8453" w:type="dxa"/>
        <w:jc w:val="center"/>
        <w:tblLayout w:type="fixed"/>
        <w:tblCellMar>
          <w:left w:w="0" w:type="dxa"/>
          <w:right w:w="0" w:type="dxa"/>
        </w:tblCellMar>
        <w:tblLook w:val="0000" w:firstRow="0" w:lastRow="0" w:firstColumn="0" w:lastColumn="0" w:noHBand="0" w:noVBand="0"/>
      </w:tblPr>
      <w:tblGrid>
        <w:gridCol w:w="3792"/>
        <w:gridCol w:w="1515"/>
        <w:gridCol w:w="1573"/>
        <w:gridCol w:w="1573"/>
      </w:tblGrid>
      <w:tr w:rsidR="00CC3538" w:rsidRPr="00CC3538" w14:paraId="0C5D583F" w14:textId="77777777" w:rsidTr="00CE76B6">
        <w:trPr>
          <w:trHeight w:val="542"/>
          <w:jc w:val="center"/>
        </w:trPr>
        <w:tc>
          <w:tcPr>
            <w:tcW w:w="3792" w:type="dxa"/>
            <w:tcBorders>
              <w:top w:val="single" w:sz="2" w:space="0" w:color="000001"/>
              <w:left w:val="single" w:sz="2" w:space="0" w:color="000001"/>
              <w:bottom w:val="single" w:sz="2" w:space="0" w:color="000001"/>
            </w:tcBorders>
            <w:shd w:val="clear" w:color="auto" w:fill="D9D9D9"/>
            <w:vAlign w:val="center"/>
          </w:tcPr>
          <w:p w14:paraId="1E2F734E" w14:textId="77777777" w:rsidR="00CC3538" w:rsidRPr="00CC3538" w:rsidRDefault="00CC3538" w:rsidP="00CC3538">
            <w:pPr>
              <w:widowControl w:val="0"/>
              <w:suppressAutoHyphens/>
              <w:spacing w:after="0" w:line="240" w:lineRule="auto"/>
              <w:jc w:val="center"/>
              <w:rPr>
                <w:rFonts w:ascii="Arial" w:hAnsi="Arial" w:cs="Mangal"/>
                <w:b/>
                <w:kern w:val="1"/>
                <w:lang w:val="ro-RO" w:eastAsia="hi-IN" w:bidi="hi-IN"/>
              </w:rPr>
            </w:pPr>
            <w:r w:rsidRPr="00CC3538">
              <w:rPr>
                <w:rFonts w:ascii="Arial" w:hAnsi="Arial" w:cs="Mangal"/>
                <w:b/>
                <w:kern w:val="1"/>
                <w:lang w:val="ro-RO" w:eastAsia="hi-IN" w:bidi="hi-IN"/>
              </w:rPr>
              <w:t>Parametru</w:t>
            </w:r>
          </w:p>
        </w:tc>
        <w:tc>
          <w:tcPr>
            <w:tcW w:w="1515" w:type="dxa"/>
            <w:tcBorders>
              <w:top w:val="single" w:sz="2" w:space="0" w:color="000001"/>
              <w:left w:val="single" w:sz="2" w:space="0" w:color="000001"/>
              <w:bottom w:val="single" w:sz="2" w:space="0" w:color="000001"/>
            </w:tcBorders>
            <w:shd w:val="clear" w:color="auto" w:fill="D9D9D9"/>
            <w:vAlign w:val="center"/>
          </w:tcPr>
          <w:p w14:paraId="1D674ACF" w14:textId="77777777" w:rsidR="00CC3538" w:rsidRPr="00CC3538" w:rsidRDefault="00CC3538" w:rsidP="00CC3538">
            <w:pPr>
              <w:widowControl w:val="0"/>
              <w:suppressAutoHyphens/>
              <w:spacing w:after="0" w:line="240" w:lineRule="auto"/>
              <w:jc w:val="center"/>
              <w:rPr>
                <w:rFonts w:ascii="Arial" w:hAnsi="Arial" w:cs="Mangal"/>
                <w:b/>
                <w:kern w:val="1"/>
                <w:lang w:val="ro-RO" w:eastAsia="hi-IN" w:bidi="hi-IN"/>
              </w:rPr>
            </w:pPr>
            <w:r w:rsidRPr="00CC3538">
              <w:rPr>
                <w:rFonts w:ascii="Arial" w:hAnsi="Arial" w:cs="Mangal"/>
                <w:b/>
                <w:kern w:val="1"/>
                <w:lang w:val="ro-RO" w:eastAsia="hi-IN" w:bidi="hi-IN"/>
              </w:rPr>
              <w:t>Scenariul 1</w:t>
            </w:r>
          </w:p>
        </w:tc>
        <w:tc>
          <w:tcPr>
            <w:tcW w:w="1573"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1EADA804" w14:textId="77777777" w:rsidR="00CC3538" w:rsidRPr="00CC3538" w:rsidRDefault="00CC3538" w:rsidP="00CC3538">
            <w:pPr>
              <w:widowControl w:val="0"/>
              <w:suppressAutoHyphens/>
              <w:spacing w:after="0" w:line="240" w:lineRule="auto"/>
              <w:jc w:val="center"/>
              <w:rPr>
                <w:rFonts w:ascii="Arial" w:hAnsi="Arial" w:cs="Mangal"/>
                <w:b/>
                <w:kern w:val="1"/>
                <w:lang w:val="ro-RO" w:eastAsia="hi-IN" w:bidi="hi-IN"/>
              </w:rPr>
            </w:pPr>
            <w:r w:rsidRPr="00CC3538">
              <w:rPr>
                <w:rFonts w:ascii="Arial" w:hAnsi="Arial" w:cs="Mangal"/>
                <w:b/>
                <w:kern w:val="1"/>
                <w:lang w:val="ro-RO" w:eastAsia="hi-IN" w:bidi="hi-IN"/>
              </w:rPr>
              <w:t>Scenariul 2</w:t>
            </w:r>
          </w:p>
        </w:tc>
        <w:tc>
          <w:tcPr>
            <w:tcW w:w="1573"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07135981" w14:textId="77777777" w:rsidR="00CC3538" w:rsidRPr="00CC3538" w:rsidRDefault="00CC3538" w:rsidP="00CC3538">
            <w:pPr>
              <w:widowControl w:val="0"/>
              <w:suppressAutoHyphens/>
              <w:spacing w:after="0" w:line="240" w:lineRule="auto"/>
              <w:jc w:val="center"/>
              <w:rPr>
                <w:rFonts w:ascii="Arial" w:hAnsi="Arial" w:cs="Mangal"/>
                <w:b/>
                <w:kern w:val="1"/>
                <w:lang w:val="ro-RO" w:eastAsia="hi-IN" w:bidi="hi-IN"/>
              </w:rPr>
            </w:pPr>
            <w:r w:rsidRPr="00CC3538">
              <w:rPr>
                <w:rFonts w:ascii="Arial" w:hAnsi="Arial" w:cs="Mangal"/>
                <w:b/>
                <w:kern w:val="1"/>
                <w:lang w:val="ro-RO" w:eastAsia="hi-IN" w:bidi="hi-IN"/>
              </w:rPr>
              <w:t>Scenariul 3</w:t>
            </w:r>
          </w:p>
        </w:tc>
      </w:tr>
      <w:tr w:rsidR="00CC3538" w:rsidRPr="00CC3538" w14:paraId="1B95E6CE"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740F2D12" w14:textId="77777777" w:rsidR="00CC3538" w:rsidRPr="00CC3538" w:rsidRDefault="00CC3538" w:rsidP="00CC3538">
            <w:pPr>
              <w:widowControl w:val="0"/>
              <w:suppressAutoHyphens/>
              <w:spacing w:after="0" w:line="240" w:lineRule="auto"/>
              <w:rPr>
                <w:rFonts w:ascii="Arial" w:hAnsi="Arial" w:cs="Mangal"/>
                <w:kern w:val="1"/>
                <w:lang w:val="ro-RO" w:eastAsia="hi-IN" w:bidi="hi-IN"/>
              </w:rPr>
            </w:pPr>
            <w:r w:rsidRPr="00CC3538">
              <w:rPr>
                <w:rFonts w:ascii="Arial" w:hAnsi="Arial" w:cs="Mangal"/>
                <w:kern w:val="1"/>
                <w:lang w:val="ro-RO" w:eastAsia="hi-IN" w:bidi="hi-IN"/>
              </w:rPr>
              <w:t>Viteza medie de circulație (km/h)</w:t>
            </w:r>
          </w:p>
        </w:tc>
        <w:tc>
          <w:tcPr>
            <w:tcW w:w="1515" w:type="dxa"/>
            <w:tcBorders>
              <w:top w:val="single" w:sz="2" w:space="0" w:color="000001"/>
              <w:left w:val="single" w:sz="2" w:space="0" w:color="000001"/>
              <w:bottom w:val="single" w:sz="2" w:space="0" w:color="000001"/>
            </w:tcBorders>
            <w:shd w:val="clear" w:color="auto" w:fill="FFFFFF"/>
            <w:vAlign w:val="center"/>
          </w:tcPr>
          <w:p w14:paraId="0540F09F"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rPr>
              <w:t>30,46</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275BB89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34,77</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4C52E82"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34,69</w:t>
            </w:r>
          </w:p>
        </w:tc>
      </w:tr>
      <w:tr w:rsidR="00CC3538" w:rsidRPr="00CC3538" w14:paraId="0C9C3107"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60C41B71" w14:textId="77777777" w:rsidR="00CC3538" w:rsidRPr="00CC3538" w:rsidRDefault="00CC3538" w:rsidP="00CC3538">
            <w:pPr>
              <w:widowControl w:val="0"/>
              <w:suppressAutoHyphens/>
              <w:spacing w:after="0" w:line="240" w:lineRule="auto"/>
              <w:rPr>
                <w:rFonts w:ascii="Arial" w:hAnsi="Arial" w:cs="Mangal"/>
                <w:kern w:val="1"/>
                <w:lang w:val="ro-RO" w:eastAsia="hi-IN" w:bidi="hi-IN"/>
              </w:rPr>
            </w:pPr>
            <w:r w:rsidRPr="00CC3538">
              <w:rPr>
                <w:rFonts w:ascii="Arial" w:hAnsi="Arial" w:cs="Mangal"/>
                <w:kern w:val="1"/>
                <w:lang w:val="ro-RO" w:eastAsia="hi-IN" w:bidi="hi-IN"/>
              </w:rPr>
              <w:t>Întârzierea medie (sec)</w:t>
            </w:r>
          </w:p>
        </w:tc>
        <w:tc>
          <w:tcPr>
            <w:tcW w:w="1515" w:type="dxa"/>
            <w:tcBorders>
              <w:top w:val="single" w:sz="2" w:space="0" w:color="000001"/>
              <w:left w:val="single" w:sz="2" w:space="0" w:color="000001"/>
              <w:bottom w:val="single" w:sz="2" w:space="0" w:color="000001"/>
            </w:tcBorders>
            <w:shd w:val="clear" w:color="auto" w:fill="FFFFFF"/>
            <w:vAlign w:val="center"/>
          </w:tcPr>
          <w:p w14:paraId="5E5D9724"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rPr>
              <w:t>23,21</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477C18CB"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19,85</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7ECFFFFB"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19,84</w:t>
            </w:r>
          </w:p>
        </w:tc>
      </w:tr>
      <w:tr w:rsidR="00CC3538" w:rsidRPr="00CC3538" w14:paraId="42F45F93" w14:textId="77777777" w:rsidTr="00CE76B6">
        <w:trPr>
          <w:trHeight w:val="102"/>
          <w:jc w:val="center"/>
        </w:trPr>
        <w:tc>
          <w:tcPr>
            <w:tcW w:w="3792" w:type="dxa"/>
            <w:tcBorders>
              <w:top w:val="single" w:sz="2" w:space="0" w:color="000001"/>
              <w:left w:val="single" w:sz="2" w:space="0" w:color="000001"/>
              <w:bottom w:val="single" w:sz="2" w:space="0" w:color="000001"/>
            </w:tcBorders>
            <w:vAlign w:val="center"/>
          </w:tcPr>
          <w:p w14:paraId="5F11A24C" w14:textId="77777777" w:rsidR="00CC3538" w:rsidRPr="00CC3538" w:rsidRDefault="00CC3538" w:rsidP="00CC3538">
            <w:pPr>
              <w:widowControl w:val="0"/>
              <w:suppressAutoHyphens/>
              <w:spacing w:after="0" w:line="240" w:lineRule="auto"/>
              <w:rPr>
                <w:rFonts w:ascii="Arial" w:hAnsi="Arial" w:cs="Mangal"/>
                <w:kern w:val="1"/>
                <w:lang w:val="ro-RO" w:eastAsia="hi-IN" w:bidi="hi-IN"/>
              </w:rPr>
            </w:pPr>
            <w:r w:rsidRPr="00CC3538">
              <w:rPr>
                <w:rFonts w:ascii="Arial" w:hAnsi="Arial" w:cs="Mangal"/>
                <w:kern w:val="1"/>
                <w:lang w:val="ro-RO" w:eastAsia="hi-IN" w:bidi="hi-IN"/>
              </w:rPr>
              <w:t>Consum de combustibil (litri)</w:t>
            </w:r>
          </w:p>
        </w:tc>
        <w:tc>
          <w:tcPr>
            <w:tcW w:w="1515" w:type="dxa"/>
            <w:tcBorders>
              <w:top w:val="single" w:sz="2" w:space="0" w:color="000001"/>
              <w:left w:val="single" w:sz="2" w:space="0" w:color="000001"/>
              <w:bottom w:val="single" w:sz="2" w:space="0" w:color="000001"/>
            </w:tcBorders>
            <w:shd w:val="clear" w:color="auto" w:fill="FFFFFF"/>
            <w:vAlign w:val="center"/>
          </w:tcPr>
          <w:p w14:paraId="428C25C3"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rPr>
              <w:t>7586,82</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15916FC0"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6405,08</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778DE4A"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6504,87</w:t>
            </w:r>
          </w:p>
        </w:tc>
      </w:tr>
    </w:tbl>
    <w:p w14:paraId="545977E8" w14:textId="77777777" w:rsidR="0060531A" w:rsidRPr="0060531A" w:rsidRDefault="0060531A" w:rsidP="0060531A">
      <w:pPr>
        <w:widowControl w:val="0"/>
        <w:suppressAutoHyphens/>
        <w:spacing w:after="0" w:line="360" w:lineRule="auto"/>
        <w:rPr>
          <w:rFonts w:ascii="Arial" w:hAnsi="Arial" w:cs="Mangal"/>
          <w:i/>
          <w:kern w:val="1"/>
          <w:sz w:val="24"/>
          <w:szCs w:val="24"/>
          <w:lang w:val="ro-RO" w:eastAsia="hi-IN" w:bidi="hi-IN"/>
        </w:rPr>
      </w:pPr>
    </w:p>
    <w:p w14:paraId="1F18F2D9" w14:textId="77777777" w:rsidR="004F5666" w:rsidRDefault="004F5666" w:rsidP="0028563B">
      <w:pPr>
        <w:pStyle w:val="Titlu4"/>
        <w:numPr>
          <w:ilvl w:val="0"/>
          <w:numId w:val="0"/>
        </w:numPr>
        <w:rPr>
          <w:rFonts w:ascii="Arial" w:hAnsi="Arial" w:cs="Arial"/>
          <w:sz w:val="22"/>
          <w:szCs w:val="22"/>
          <w:lang w:bidi="hi-IN"/>
        </w:rPr>
      </w:pPr>
      <w:r w:rsidRPr="0012531B">
        <w:rPr>
          <w:rFonts w:ascii="Arial" w:hAnsi="Arial" w:cs="Arial"/>
          <w:sz w:val="22"/>
          <w:szCs w:val="22"/>
          <w:lang w:bidi="hi-IN"/>
        </w:rPr>
        <w:t>I.7.1.1.4 Concluzii referitoare la anul 2035</w:t>
      </w:r>
    </w:p>
    <w:p w14:paraId="3D48C125" w14:textId="77777777" w:rsidR="00CC3538" w:rsidRPr="00CC3538" w:rsidRDefault="00CC3538" w:rsidP="00CC3538">
      <w:pPr>
        <w:widowControl w:val="0"/>
        <w:suppressAutoHyphens/>
        <w:spacing w:after="0" w:line="360" w:lineRule="auto"/>
        <w:jc w:val="both"/>
        <w:rPr>
          <w:rFonts w:ascii="Arial" w:hAnsi="Arial" w:cs="Mangal"/>
          <w:kern w:val="1"/>
          <w:lang w:val="ro-RO" w:eastAsia="hi-IN" w:bidi="hi-IN"/>
        </w:rPr>
      </w:pPr>
      <w:r w:rsidRPr="00CC3538">
        <w:rPr>
          <w:rFonts w:ascii="Arial" w:hAnsi="Arial" w:cs="Mangal"/>
          <w:kern w:val="1"/>
          <w:lang w:val="ro-RO" w:eastAsia="hi-IN" w:bidi="hi-IN"/>
        </w:rPr>
        <w:t xml:space="preserve">În urma analizelor efectuate se observă faptul că pentru scenariul 3 se obțin cele mai bune performanțe pe acest orizont de timp, în raport cu celelalte două scenarii. Acest lucru se </w:t>
      </w:r>
      <w:r w:rsidRPr="00CC3538">
        <w:rPr>
          <w:rFonts w:ascii="Arial" w:hAnsi="Arial" w:cs="Mangal"/>
          <w:kern w:val="1"/>
          <w:lang w:val="ro-RO" w:eastAsia="hi-IN" w:bidi="hi-IN"/>
        </w:rPr>
        <w:lastRenderedPageBreak/>
        <w:t>datorează faptului că în scenariul 3 sunt incluse atât proiecte pe termen scurt și mediu, cât și pe termen lung.</w:t>
      </w:r>
    </w:p>
    <w:p w14:paraId="684D3F97" w14:textId="5E5116A6" w:rsidR="00122FF9" w:rsidRPr="00122FF9" w:rsidRDefault="00BB0D72" w:rsidP="00122FF9">
      <w:pPr>
        <w:spacing w:after="200" w:line="240" w:lineRule="auto"/>
        <w:jc w:val="center"/>
        <w:rPr>
          <w:rFonts w:ascii="Arial" w:hAnsi="Arial" w:cs="Arial"/>
          <w:color w:val="1F497D"/>
          <w:kern w:val="1"/>
          <w:lang w:val="ro-RO" w:eastAsia="hi-IN" w:bidi="hi-IN"/>
        </w:rPr>
      </w:pPr>
      <w:bookmarkStart w:id="497" w:name="_Toc68361281"/>
      <w:bookmarkStart w:id="498" w:name="_Toc96463909"/>
      <w:r>
        <w:rPr>
          <w:rFonts w:ascii="Arial" w:hAnsi="Arial" w:cs="Arial"/>
          <w:i/>
          <w:iCs/>
          <w:color w:val="1F497D"/>
        </w:rPr>
        <w:t>Tabel I.7.</w:t>
      </w:r>
      <w:r w:rsidR="00122FF9" w:rsidRPr="00122FF9">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13</w:t>
      </w:r>
      <w:r>
        <w:rPr>
          <w:rFonts w:ascii="Arial" w:hAnsi="Arial" w:cs="Arial"/>
          <w:i/>
          <w:iCs/>
          <w:color w:val="1F497D"/>
        </w:rPr>
        <w:fldChar w:fldCharType="end"/>
      </w:r>
      <w:r w:rsidR="00122FF9" w:rsidRPr="00122FF9">
        <w:rPr>
          <w:rFonts w:ascii="Arial" w:hAnsi="Arial" w:cs="Arial"/>
          <w:i/>
          <w:iCs/>
          <w:color w:val="1F497D"/>
        </w:rPr>
        <w:t xml:space="preserve"> - </w:t>
      </w:r>
      <w:r w:rsidR="00122FF9" w:rsidRPr="00122FF9">
        <w:rPr>
          <w:rFonts w:ascii="Arial" w:hAnsi="Arial" w:cs="Arial"/>
          <w:color w:val="1F497D"/>
        </w:rPr>
        <w:t>Analiza comparativǎ a scenariilor 1, 2 si 3 pentru 2035</w:t>
      </w:r>
      <w:bookmarkEnd w:id="497"/>
      <w:bookmarkEnd w:id="498"/>
    </w:p>
    <w:tbl>
      <w:tblPr>
        <w:tblW w:w="9551" w:type="dxa"/>
        <w:jc w:val="center"/>
        <w:tblLayout w:type="fixed"/>
        <w:tblCellMar>
          <w:left w:w="0" w:type="dxa"/>
          <w:right w:w="0" w:type="dxa"/>
        </w:tblCellMar>
        <w:tblLook w:val="0000" w:firstRow="0" w:lastRow="0" w:firstColumn="0" w:lastColumn="0" w:noHBand="0" w:noVBand="0"/>
      </w:tblPr>
      <w:tblGrid>
        <w:gridCol w:w="2463"/>
        <w:gridCol w:w="709"/>
        <w:gridCol w:w="851"/>
        <w:gridCol w:w="850"/>
        <w:gridCol w:w="709"/>
        <w:gridCol w:w="850"/>
        <w:gridCol w:w="851"/>
        <w:gridCol w:w="850"/>
        <w:gridCol w:w="709"/>
        <w:gridCol w:w="709"/>
      </w:tblGrid>
      <w:tr w:rsidR="00CC3538" w:rsidRPr="00CC3538" w14:paraId="356B403F" w14:textId="77777777" w:rsidTr="00CE76B6">
        <w:trPr>
          <w:trHeight w:val="542"/>
          <w:jc w:val="center"/>
        </w:trPr>
        <w:tc>
          <w:tcPr>
            <w:tcW w:w="2463" w:type="dxa"/>
            <w:vMerge w:val="restart"/>
            <w:tcBorders>
              <w:top w:val="single" w:sz="3" w:space="0" w:color="000001"/>
              <w:left w:val="single" w:sz="3" w:space="0" w:color="000001"/>
            </w:tcBorders>
            <w:shd w:val="clear" w:color="auto" w:fill="D9D9D9"/>
            <w:vAlign w:val="center"/>
          </w:tcPr>
          <w:p w14:paraId="7E57977F"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Parametru</w:t>
            </w:r>
          </w:p>
        </w:tc>
        <w:tc>
          <w:tcPr>
            <w:tcW w:w="2410" w:type="dxa"/>
            <w:gridSpan w:val="3"/>
            <w:tcBorders>
              <w:top w:val="single" w:sz="3" w:space="0" w:color="000001"/>
              <w:left w:val="single" w:sz="3" w:space="0" w:color="000001"/>
              <w:bottom w:val="single" w:sz="4" w:space="0" w:color="auto"/>
              <w:right w:val="single" w:sz="3" w:space="0" w:color="000001"/>
            </w:tcBorders>
            <w:shd w:val="clear" w:color="auto" w:fill="D9D9D9"/>
            <w:vAlign w:val="center"/>
          </w:tcPr>
          <w:p w14:paraId="015BD063"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Scenariul 1</w:t>
            </w:r>
          </w:p>
        </w:tc>
        <w:tc>
          <w:tcPr>
            <w:tcW w:w="2410" w:type="dxa"/>
            <w:gridSpan w:val="3"/>
            <w:tcBorders>
              <w:top w:val="single" w:sz="3" w:space="0" w:color="000001"/>
              <w:left w:val="single" w:sz="3" w:space="0" w:color="000001"/>
              <w:bottom w:val="single" w:sz="3" w:space="0" w:color="000001"/>
            </w:tcBorders>
            <w:shd w:val="clear" w:color="auto" w:fill="D9D9D9"/>
            <w:vAlign w:val="center"/>
          </w:tcPr>
          <w:p w14:paraId="3A561326"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Scenariul 2</w:t>
            </w:r>
          </w:p>
        </w:tc>
        <w:tc>
          <w:tcPr>
            <w:tcW w:w="2268" w:type="dxa"/>
            <w:gridSpan w:val="3"/>
            <w:tcBorders>
              <w:top w:val="single" w:sz="3" w:space="0" w:color="000001"/>
              <w:left w:val="single" w:sz="3" w:space="0" w:color="000001"/>
              <w:bottom w:val="single" w:sz="3" w:space="0" w:color="000001"/>
              <w:right w:val="single" w:sz="3" w:space="0" w:color="000001"/>
            </w:tcBorders>
            <w:shd w:val="clear" w:color="auto" w:fill="D9D9D9"/>
            <w:vAlign w:val="center"/>
          </w:tcPr>
          <w:p w14:paraId="13296097"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Scenariul 3</w:t>
            </w:r>
          </w:p>
        </w:tc>
      </w:tr>
      <w:tr w:rsidR="00CC3538" w:rsidRPr="00CC3538" w14:paraId="684DA414" w14:textId="77777777" w:rsidTr="00CE76B6">
        <w:trPr>
          <w:trHeight w:val="53"/>
          <w:jc w:val="center"/>
        </w:trPr>
        <w:tc>
          <w:tcPr>
            <w:tcW w:w="2463" w:type="dxa"/>
            <w:vMerge/>
            <w:tcBorders>
              <w:left w:val="single" w:sz="3" w:space="0" w:color="000001"/>
              <w:bottom w:val="single" w:sz="3" w:space="0" w:color="000001"/>
              <w:right w:val="single" w:sz="4" w:space="0" w:color="auto"/>
            </w:tcBorders>
            <w:shd w:val="clear" w:color="auto" w:fill="auto"/>
            <w:vAlign w:val="center"/>
          </w:tcPr>
          <w:p w14:paraId="6E8C7DFC" w14:textId="77777777" w:rsidR="00CC3538" w:rsidRPr="00CC3538" w:rsidRDefault="00CC3538" w:rsidP="00CC3538">
            <w:pPr>
              <w:widowControl w:val="0"/>
              <w:suppressAutoHyphens/>
              <w:spacing w:after="0" w:line="240" w:lineRule="auto"/>
              <w:rPr>
                <w:rFonts w:ascii="Arial" w:hAnsi="Arial" w:cs="Arial"/>
                <w:kern w:val="1"/>
                <w:sz w:val="16"/>
                <w:szCs w:val="16"/>
                <w:lang w:val="ro-RO" w:eastAsia="hi-IN" w:bidi="hi-IN"/>
              </w:rPr>
            </w:pPr>
          </w:p>
        </w:tc>
        <w:tc>
          <w:tcPr>
            <w:tcW w:w="709" w:type="dxa"/>
            <w:tcBorders>
              <w:top w:val="single" w:sz="4" w:space="0" w:color="auto"/>
              <w:left w:val="single" w:sz="4" w:space="0" w:color="auto"/>
              <w:bottom w:val="single" w:sz="4" w:space="0" w:color="auto"/>
              <w:right w:val="single" w:sz="4" w:space="0" w:color="auto"/>
            </w:tcBorders>
            <w:shd w:val="clear" w:color="auto" w:fill="D9D9D9"/>
            <w:vAlign w:val="center"/>
          </w:tcPr>
          <w:p w14:paraId="1ECA293B"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AM</w:t>
            </w:r>
          </w:p>
        </w:tc>
        <w:tc>
          <w:tcPr>
            <w:tcW w:w="851" w:type="dxa"/>
            <w:tcBorders>
              <w:top w:val="single" w:sz="4" w:space="0" w:color="auto"/>
              <w:left w:val="single" w:sz="4" w:space="0" w:color="auto"/>
              <w:bottom w:val="single" w:sz="4" w:space="0" w:color="auto"/>
              <w:right w:val="single" w:sz="4" w:space="0" w:color="auto"/>
            </w:tcBorders>
            <w:shd w:val="clear" w:color="auto" w:fill="D9D9D9"/>
          </w:tcPr>
          <w:p w14:paraId="4C9C7980"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PM</w:t>
            </w:r>
          </w:p>
        </w:tc>
        <w:tc>
          <w:tcPr>
            <w:tcW w:w="850" w:type="dxa"/>
            <w:tcBorders>
              <w:top w:val="single" w:sz="4" w:space="0" w:color="auto"/>
              <w:left w:val="single" w:sz="4" w:space="0" w:color="auto"/>
              <w:bottom w:val="single" w:sz="4" w:space="0" w:color="auto"/>
              <w:right w:val="single" w:sz="4" w:space="0" w:color="auto"/>
            </w:tcBorders>
            <w:shd w:val="clear" w:color="auto" w:fill="D9D9D9"/>
          </w:tcPr>
          <w:p w14:paraId="29EDFEC4"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24h</w:t>
            </w:r>
          </w:p>
        </w:tc>
        <w:tc>
          <w:tcPr>
            <w:tcW w:w="709" w:type="dxa"/>
            <w:tcBorders>
              <w:top w:val="single" w:sz="3" w:space="0" w:color="000001"/>
              <w:left w:val="single" w:sz="4" w:space="0" w:color="auto"/>
              <w:bottom w:val="single" w:sz="3" w:space="0" w:color="000001"/>
            </w:tcBorders>
            <w:shd w:val="clear" w:color="auto" w:fill="D9D9D9"/>
            <w:vAlign w:val="center"/>
          </w:tcPr>
          <w:p w14:paraId="2A5361D2"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AM</w:t>
            </w:r>
          </w:p>
        </w:tc>
        <w:tc>
          <w:tcPr>
            <w:tcW w:w="850" w:type="dxa"/>
            <w:tcBorders>
              <w:top w:val="single" w:sz="3" w:space="0" w:color="000001"/>
              <w:left w:val="single" w:sz="3" w:space="0" w:color="000001"/>
              <w:bottom w:val="single" w:sz="3" w:space="0" w:color="000001"/>
            </w:tcBorders>
            <w:shd w:val="clear" w:color="auto" w:fill="D9D9D9"/>
          </w:tcPr>
          <w:p w14:paraId="5BDC8D1B"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PM</w:t>
            </w:r>
          </w:p>
        </w:tc>
        <w:tc>
          <w:tcPr>
            <w:tcW w:w="851" w:type="dxa"/>
            <w:tcBorders>
              <w:top w:val="single" w:sz="3" w:space="0" w:color="000001"/>
              <w:left w:val="single" w:sz="3" w:space="0" w:color="000001"/>
              <w:bottom w:val="single" w:sz="3" w:space="0" w:color="000001"/>
            </w:tcBorders>
            <w:shd w:val="clear" w:color="auto" w:fill="D9D9D9"/>
          </w:tcPr>
          <w:p w14:paraId="371E1A27"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24h</w:t>
            </w:r>
          </w:p>
        </w:tc>
        <w:tc>
          <w:tcPr>
            <w:tcW w:w="850"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18DE1FBD"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AM</w:t>
            </w:r>
          </w:p>
        </w:tc>
        <w:tc>
          <w:tcPr>
            <w:tcW w:w="709" w:type="dxa"/>
            <w:tcBorders>
              <w:top w:val="single" w:sz="3" w:space="0" w:color="000001"/>
              <w:left w:val="single" w:sz="3" w:space="0" w:color="000001"/>
              <w:bottom w:val="single" w:sz="3" w:space="0" w:color="000001"/>
              <w:right w:val="single" w:sz="3" w:space="0" w:color="000001"/>
            </w:tcBorders>
            <w:shd w:val="clear" w:color="auto" w:fill="D9D9D9"/>
          </w:tcPr>
          <w:p w14:paraId="1C7459C6"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PM</w:t>
            </w:r>
          </w:p>
        </w:tc>
        <w:tc>
          <w:tcPr>
            <w:tcW w:w="709" w:type="dxa"/>
            <w:tcBorders>
              <w:top w:val="single" w:sz="3" w:space="0" w:color="000001"/>
              <w:left w:val="single" w:sz="3" w:space="0" w:color="000001"/>
              <w:bottom w:val="single" w:sz="3" w:space="0" w:color="000001"/>
              <w:right w:val="single" w:sz="3" w:space="0" w:color="000001"/>
            </w:tcBorders>
            <w:shd w:val="clear" w:color="auto" w:fill="D9D9D9"/>
          </w:tcPr>
          <w:p w14:paraId="36A4B8AD" w14:textId="77777777" w:rsidR="00CC3538" w:rsidRPr="00CC3538" w:rsidRDefault="00CC3538" w:rsidP="00CC3538">
            <w:pPr>
              <w:widowControl w:val="0"/>
              <w:suppressAutoHyphens/>
              <w:spacing w:after="0" w:line="240" w:lineRule="auto"/>
              <w:jc w:val="center"/>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24h</w:t>
            </w:r>
          </w:p>
        </w:tc>
      </w:tr>
      <w:tr w:rsidR="00CC3538" w:rsidRPr="00CC3538" w14:paraId="0B5471CA" w14:textId="77777777" w:rsidTr="00CE76B6">
        <w:trPr>
          <w:trHeight w:val="53"/>
          <w:jc w:val="center"/>
        </w:trPr>
        <w:tc>
          <w:tcPr>
            <w:tcW w:w="2463" w:type="dxa"/>
            <w:tcBorders>
              <w:top w:val="single" w:sz="3" w:space="0" w:color="000001"/>
              <w:left w:val="single" w:sz="3" w:space="0" w:color="000001"/>
              <w:bottom w:val="single" w:sz="3" w:space="0" w:color="000001"/>
              <w:right w:val="single" w:sz="4" w:space="0" w:color="auto"/>
            </w:tcBorders>
            <w:shd w:val="clear" w:color="auto" w:fill="auto"/>
            <w:vAlign w:val="center"/>
          </w:tcPr>
          <w:p w14:paraId="059C8E4D" w14:textId="77777777" w:rsidR="00CC3538" w:rsidRPr="00CC3538" w:rsidRDefault="00CC3538" w:rsidP="00CC3538">
            <w:pPr>
              <w:widowControl w:val="0"/>
              <w:suppressAutoHyphens/>
              <w:spacing w:after="0" w:line="240" w:lineRule="auto"/>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Viteza medie de circulație (km/h)</w:t>
            </w:r>
          </w:p>
        </w:tc>
        <w:tc>
          <w:tcPr>
            <w:tcW w:w="709" w:type="dxa"/>
            <w:tcBorders>
              <w:top w:val="single" w:sz="4" w:space="0" w:color="auto"/>
              <w:left w:val="single" w:sz="4" w:space="0" w:color="auto"/>
              <w:bottom w:val="single" w:sz="4" w:space="0" w:color="auto"/>
              <w:right w:val="single" w:sz="4" w:space="0" w:color="auto"/>
            </w:tcBorders>
            <w:vAlign w:val="center"/>
          </w:tcPr>
          <w:p w14:paraId="620BDD30"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28,89</w:t>
            </w:r>
          </w:p>
        </w:tc>
        <w:tc>
          <w:tcPr>
            <w:tcW w:w="851" w:type="dxa"/>
            <w:tcBorders>
              <w:top w:val="single" w:sz="4" w:space="0" w:color="auto"/>
              <w:left w:val="single" w:sz="4" w:space="0" w:color="auto"/>
              <w:bottom w:val="single" w:sz="4" w:space="0" w:color="auto"/>
              <w:right w:val="single" w:sz="4" w:space="0" w:color="auto"/>
            </w:tcBorders>
            <w:vAlign w:val="center"/>
          </w:tcPr>
          <w:p w14:paraId="7C3163A2"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26,50</w:t>
            </w:r>
          </w:p>
        </w:tc>
        <w:tc>
          <w:tcPr>
            <w:tcW w:w="850" w:type="dxa"/>
            <w:tcBorders>
              <w:top w:val="single" w:sz="4" w:space="0" w:color="auto"/>
              <w:left w:val="single" w:sz="4" w:space="0" w:color="auto"/>
              <w:bottom w:val="single" w:sz="4" w:space="0" w:color="auto"/>
              <w:right w:val="single" w:sz="4" w:space="0" w:color="auto"/>
            </w:tcBorders>
            <w:vAlign w:val="center"/>
          </w:tcPr>
          <w:p w14:paraId="0DC83EF5"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30,46</w:t>
            </w:r>
          </w:p>
        </w:tc>
        <w:tc>
          <w:tcPr>
            <w:tcW w:w="709" w:type="dxa"/>
            <w:tcBorders>
              <w:top w:val="single" w:sz="3" w:space="0" w:color="000001"/>
              <w:left w:val="single" w:sz="4" w:space="0" w:color="auto"/>
              <w:bottom w:val="single" w:sz="3" w:space="0" w:color="000001"/>
            </w:tcBorders>
            <w:shd w:val="clear" w:color="auto" w:fill="FFFFFF"/>
            <w:vAlign w:val="center"/>
          </w:tcPr>
          <w:p w14:paraId="5623EF48"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31,29</w:t>
            </w:r>
          </w:p>
        </w:tc>
        <w:tc>
          <w:tcPr>
            <w:tcW w:w="850" w:type="dxa"/>
            <w:tcBorders>
              <w:top w:val="single" w:sz="3" w:space="0" w:color="000001"/>
              <w:left w:val="single" w:sz="3" w:space="0" w:color="000001"/>
              <w:bottom w:val="single" w:sz="3" w:space="0" w:color="000001"/>
            </w:tcBorders>
            <w:shd w:val="clear" w:color="auto" w:fill="FFFFFF"/>
            <w:vAlign w:val="center"/>
          </w:tcPr>
          <w:p w14:paraId="3B9F726D"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31,92</w:t>
            </w:r>
          </w:p>
        </w:tc>
        <w:tc>
          <w:tcPr>
            <w:tcW w:w="851" w:type="dxa"/>
            <w:tcBorders>
              <w:top w:val="single" w:sz="3" w:space="0" w:color="000001"/>
              <w:left w:val="single" w:sz="3" w:space="0" w:color="000001"/>
              <w:bottom w:val="single" w:sz="3" w:space="0" w:color="000001"/>
            </w:tcBorders>
            <w:shd w:val="clear" w:color="auto" w:fill="FFFFFF"/>
            <w:vAlign w:val="center"/>
          </w:tcPr>
          <w:p w14:paraId="6EF58E32"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34,77</w:t>
            </w:r>
          </w:p>
        </w:tc>
        <w:tc>
          <w:tcPr>
            <w:tcW w:w="850"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5D5D02C2"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31,30</w:t>
            </w:r>
          </w:p>
        </w:tc>
        <w:tc>
          <w:tcPr>
            <w:tcW w:w="709"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543FAA36"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31,78</w:t>
            </w:r>
          </w:p>
        </w:tc>
        <w:tc>
          <w:tcPr>
            <w:tcW w:w="709"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2971BC60"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34,69</w:t>
            </w:r>
          </w:p>
        </w:tc>
      </w:tr>
      <w:tr w:rsidR="00CC3538" w:rsidRPr="00CC3538" w14:paraId="13CAA7BE" w14:textId="77777777" w:rsidTr="00CE76B6">
        <w:trPr>
          <w:trHeight w:val="53"/>
          <w:jc w:val="center"/>
        </w:trPr>
        <w:tc>
          <w:tcPr>
            <w:tcW w:w="2463" w:type="dxa"/>
            <w:tcBorders>
              <w:top w:val="single" w:sz="3" w:space="0" w:color="000001"/>
              <w:left w:val="single" w:sz="3" w:space="0" w:color="000001"/>
              <w:bottom w:val="single" w:sz="3" w:space="0" w:color="000001"/>
              <w:right w:val="single" w:sz="4" w:space="0" w:color="auto"/>
            </w:tcBorders>
            <w:shd w:val="clear" w:color="auto" w:fill="auto"/>
            <w:vAlign w:val="center"/>
          </w:tcPr>
          <w:p w14:paraId="419E0DBA" w14:textId="77777777" w:rsidR="00CC3538" w:rsidRPr="00CC3538" w:rsidRDefault="00CC3538" w:rsidP="00CC3538">
            <w:pPr>
              <w:widowControl w:val="0"/>
              <w:suppressAutoHyphens/>
              <w:spacing w:after="0" w:line="240" w:lineRule="auto"/>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Întârzierea medie (sec)</w:t>
            </w:r>
          </w:p>
        </w:tc>
        <w:tc>
          <w:tcPr>
            <w:tcW w:w="709" w:type="dxa"/>
            <w:tcBorders>
              <w:top w:val="single" w:sz="4" w:space="0" w:color="auto"/>
              <w:left w:val="single" w:sz="4" w:space="0" w:color="auto"/>
              <w:bottom w:val="single" w:sz="4" w:space="0" w:color="auto"/>
              <w:right w:val="single" w:sz="4" w:space="0" w:color="auto"/>
            </w:tcBorders>
            <w:vAlign w:val="center"/>
          </w:tcPr>
          <w:p w14:paraId="67816D03"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46,41</w:t>
            </w:r>
          </w:p>
        </w:tc>
        <w:tc>
          <w:tcPr>
            <w:tcW w:w="851" w:type="dxa"/>
            <w:tcBorders>
              <w:top w:val="single" w:sz="4" w:space="0" w:color="auto"/>
              <w:left w:val="single" w:sz="4" w:space="0" w:color="auto"/>
              <w:bottom w:val="single" w:sz="4" w:space="0" w:color="auto"/>
              <w:right w:val="single" w:sz="4" w:space="0" w:color="auto"/>
            </w:tcBorders>
            <w:vAlign w:val="center"/>
          </w:tcPr>
          <w:p w14:paraId="6B400120"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69,00</w:t>
            </w:r>
          </w:p>
        </w:tc>
        <w:tc>
          <w:tcPr>
            <w:tcW w:w="850" w:type="dxa"/>
            <w:tcBorders>
              <w:top w:val="single" w:sz="4" w:space="0" w:color="auto"/>
              <w:left w:val="single" w:sz="4" w:space="0" w:color="auto"/>
              <w:bottom w:val="single" w:sz="4" w:space="0" w:color="auto"/>
              <w:right w:val="single" w:sz="4" w:space="0" w:color="auto"/>
            </w:tcBorders>
            <w:vAlign w:val="center"/>
          </w:tcPr>
          <w:p w14:paraId="11781E31"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23,21</w:t>
            </w:r>
          </w:p>
        </w:tc>
        <w:tc>
          <w:tcPr>
            <w:tcW w:w="709" w:type="dxa"/>
            <w:tcBorders>
              <w:top w:val="single" w:sz="3" w:space="0" w:color="000001"/>
              <w:left w:val="single" w:sz="4" w:space="0" w:color="auto"/>
              <w:bottom w:val="single" w:sz="3" w:space="0" w:color="000001"/>
            </w:tcBorders>
            <w:shd w:val="clear" w:color="auto" w:fill="FFFFFF"/>
            <w:vAlign w:val="center"/>
          </w:tcPr>
          <w:p w14:paraId="482AF120"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39,70</w:t>
            </w:r>
          </w:p>
        </w:tc>
        <w:tc>
          <w:tcPr>
            <w:tcW w:w="850" w:type="dxa"/>
            <w:tcBorders>
              <w:top w:val="single" w:sz="3" w:space="0" w:color="000001"/>
              <w:left w:val="single" w:sz="3" w:space="0" w:color="000001"/>
              <w:bottom w:val="single" w:sz="3" w:space="0" w:color="000001"/>
            </w:tcBorders>
            <w:shd w:val="clear" w:color="auto" w:fill="FFFFFF"/>
            <w:vAlign w:val="center"/>
          </w:tcPr>
          <w:p w14:paraId="327142BA"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37,78</w:t>
            </w:r>
          </w:p>
        </w:tc>
        <w:tc>
          <w:tcPr>
            <w:tcW w:w="851" w:type="dxa"/>
            <w:tcBorders>
              <w:top w:val="single" w:sz="3" w:space="0" w:color="000001"/>
              <w:left w:val="single" w:sz="3" w:space="0" w:color="000001"/>
              <w:bottom w:val="single" w:sz="3" w:space="0" w:color="000001"/>
            </w:tcBorders>
            <w:shd w:val="clear" w:color="auto" w:fill="FFFFFF"/>
            <w:vAlign w:val="center"/>
          </w:tcPr>
          <w:p w14:paraId="3E1994D7"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19,85</w:t>
            </w:r>
          </w:p>
        </w:tc>
        <w:tc>
          <w:tcPr>
            <w:tcW w:w="850"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66FC994"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39,67</w:t>
            </w:r>
          </w:p>
        </w:tc>
        <w:tc>
          <w:tcPr>
            <w:tcW w:w="709"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39952BED"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37,98</w:t>
            </w:r>
          </w:p>
        </w:tc>
        <w:tc>
          <w:tcPr>
            <w:tcW w:w="709"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2AC2F200"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19,84</w:t>
            </w:r>
          </w:p>
        </w:tc>
      </w:tr>
      <w:tr w:rsidR="00CC3538" w:rsidRPr="00CC3538" w14:paraId="0902C874" w14:textId="77777777" w:rsidTr="00CE76B6">
        <w:trPr>
          <w:trHeight w:val="102"/>
          <w:jc w:val="center"/>
        </w:trPr>
        <w:tc>
          <w:tcPr>
            <w:tcW w:w="2463" w:type="dxa"/>
            <w:tcBorders>
              <w:top w:val="single" w:sz="3" w:space="0" w:color="000001"/>
              <w:left w:val="single" w:sz="3" w:space="0" w:color="000001"/>
              <w:bottom w:val="single" w:sz="3" w:space="0" w:color="000001"/>
              <w:right w:val="single" w:sz="4" w:space="0" w:color="auto"/>
            </w:tcBorders>
            <w:shd w:val="clear" w:color="auto" w:fill="auto"/>
            <w:vAlign w:val="center"/>
          </w:tcPr>
          <w:p w14:paraId="6091F146" w14:textId="77777777" w:rsidR="00CC3538" w:rsidRPr="00CC3538" w:rsidRDefault="00CC3538" w:rsidP="00CC3538">
            <w:pPr>
              <w:widowControl w:val="0"/>
              <w:suppressAutoHyphens/>
              <w:spacing w:after="0" w:line="240" w:lineRule="auto"/>
              <w:rPr>
                <w:rFonts w:ascii="Arial" w:hAnsi="Arial" w:cs="Arial"/>
                <w:kern w:val="1"/>
                <w:sz w:val="16"/>
                <w:szCs w:val="16"/>
                <w:lang w:val="ro-RO" w:eastAsia="hi-IN" w:bidi="hi-IN"/>
              </w:rPr>
            </w:pPr>
            <w:r w:rsidRPr="00CC3538">
              <w:rPr>
                <w:rFonts w:ascii="Arial" w:hAnsi="Arial" w:cs="Arial"/>
                <w:kern w:val="1"/>
                <w:sz w:val="16"/>
                <w:szCs w:val="16"/>
                <w:lang w:val="ro-RO" w:eastAsia="hi-IN" w:bidi="hi-IN"/>
              </w:rPr>
              <w:t>Consum de combustibil (litri)</w:t>
            </w:r>
          </w:p>
        </w:tc>
        <w:tc>
          <w:tcPr>
            <w:tcW w:w="709" w:type="dxa"/>
            <w:tcBorders>
              <w:top w:val="single" w:sz="4" w:space="0" w:color="auto"/>
              <w:left w:val="single" w:sz="4" w:space="0" w:color="auto"/>
              <w:bottom w:val="single" w:sz="4" w:space="0" w:color="auto"/>
              <w:right w:val="single" w:sz="4" w:space="0" w:color="auto"/>
            </w:tcBorders>
            <w:vAlign w:val="center"/>
          </w:tcPr>
          <w:p w14:paraId="59E1EEAF"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506,02</w:t>
            </w:r>
          </w:p>
        </w:tc>
        <w:tc>
          <w:tcPr>
            <w:tcW w:w="851" w:type="dxa"/>
            <w:tcBorders>
              <w:top w:val="single" w:sz="4" w:space="0" w:color="auto"/>
              <w:left w:val="single" w:sz="4" w:space="0" w:color="auto"/>
              <w:bottom w:val="single" w:sz="4" w:space="0" w:color="auto"/>
              <w:right w:val="single" w:sz="4" w:space="0" w:color="auto"/>
            </w:tcBorders>
            <w:vAlign w:val="center"/>
          </w:tcPr>
          <w:p w14:paraId="4B8E8AC3"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758,45</w:t>
            </w:r>
          </w:p>
        </w:tc>
        <w:tc>
          <w:tcPr>
            <w:tcW w:w="850" w:type="dxa"/>
            <w:tcBorders>
              <w:top w:val="single" w:sz="4" w:space="0" w:color="auto"/>
              <w:left w:val="single" w:sz="4" w:space="0" w:color="auto"/>
              <w:bottom w:val="single" w:sz="4" w:space="0" w:color="auto"/>
              <w:right w:val="single" w:sz="4" w:space="0" w:color="auto"/>
            </w:tcBorders>
            <w:vAlign w:val="center"/>
          </w:tcPr>
          <w:p w14:paraId="366E36DA"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7586,82</w:t>
            </w:r>
          </w:p>
        </w:tc>
        <w:tc>
          <w:tcPr>
            <w:tcW w:w="709" w:type="dxa"/>
            <w:tcBorders>
              <w:top w:val="single" w:sz="3" w:space="0" w:color="000001"/>
              <w:left w:val="single" w:sz="4" w:space="0" w:color="auto"/>
              <w:bottom w:val="single" w:sz="3" w:space="0" w:color="000001"/>
            </w:tcBorders>
            <w:shd w:val="clear" w:color="auto" w:fill="FFFFFF"/>
            <w:vAlign w:val="center"/>
          </w:tcPr>
          <w:p w14:paraId="3D3B2522"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533,76</w:t>
            </w:r>
          </w:p>
        </w:tc>
        <w:tc>
          <w:tcPr>
            <w:tcW w:w="850" w:type="dxa"/>
            <w:tcBorders>
              <w:top w:val="single" w:sz="3" w:space="0" w:color="000001"/>
              <w:left w:val="single" w:sz="3" w:space="0" w:color="000001"/>
              <w:bottom w:val="single" w:sz="3" w:space="0" w:color="000001"/>
            </w:tcBorders>
            <w:shd w:val="clear" w:color="auto" w:fill="FFFFFF"/>
            <w:vAlign w:val="center"/>
          </w:tcPr>
          <w:p w14:paraId="210C5E53"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533,76</w:t>
            </w:r>
          </w:p>
        </w:tc>
        <w:tc>
          <w:tcPr>
            <w:tcW w:w="851" w:type="dxa"/>
            <w:tcBorders>
              <w:top w:val="single" w:sz="3" w:space="0" w:color="000001"/>
              <w:left w:val="single" w:sz="3" w:space="0" w:color="000001"/>
              <w:bottom w:val="single" w:sz="3" w:space="0" w:color="000001"/>
            </w:tcBorders>
            <w:shd w:val="clear" w:color="auto" w:fill="FFFFFF"/>
            <w:vAlign w:val="center"/>
          </w:tcPr>
          <w:p w14:paraId="728B48E0"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6405,08</w:t>
            </w:r>
          </w:p>
        </w:tc>
        <w:tc>
          <w:tcPr>
            <w:tcW w:w="850"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6477B874"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513,34</w:t>
            </w:r>
          </w:p>
        </w:tc>
        <w:tc>
          <w:tcPr>
            <w:tcW w:w="709"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5FEC1660"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570,80</w:t>
            </w:r>
          </w:p>
        </w:tc>
        <w:tc>
          <w:tcPr>
            <w:tcW w:w="709"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F2351B7" w14:textId="77777777" w:rsidR="00CC3538" w:rsidRPr="00CC3538" w:rsidRDefault="00CC3538" w:rsidP="00CC3538">
            <w:pPr>
              <w:spacing w:after="0"/>
              <w:jc w:val="center"/>
              <w:rPr>
                <w:rFonts w:ascii="Arial" w:hAnsi="Arial" w:cs="Arial"/>
                <w:sz w:val="18"/>
                <w:szCs w:val="18"/>
                <w:highlight w:val="red"/>
                <w:lang w:val="ro-RO"/>
              </w:rPr>
            </w:pPr>
            <w:r w:rsidRPr="00CC3538">
              <w:rPr>
                <w:rFonts w:ascii="Arial" w:hAnsi="Arial" w:cs="Arial"/>
                <w:color w:val="000000"/>
                <w:sz w:val="18"/>
                <w:szCs w:val="18"/>
              </w:rPr>
              <w:t>6504,87</w:t>
            </w:r>
          </w:p>
        </w:tc>
      </w:tr>
    </w:tbl>
    <w:p w14:paraId="6939BE76" w14:textId="77777777" w:rsidR="00122FF9" w:rsidRPr="00122FF9" w:rsidRDefault="00122FF9" w:rsidP="00122FF9">
      <w:pPr>
        <w:widowControl w:val="0"/>
        <w:suppressAutoHyphens/>
        <w:spacing w:after="0" w:line="360" w:lineRule="auto"/>
        <w:jc w:val="both"/>
        <w:rPr>
          <w:rFonts w:ascii="Arial" w:hAnsi="Arial" w:cs="Mangal"/>
          <w:b/>
          <w:kern w:val="1"/>
          <w:sz w:val="24"/>
          <w:szCs w:val="24"/>
          <w:lang w:val="ro-RO" w:eastAsia="hi-IN" w:bidi="hi-IN"/>
        </w:rPr>
      </w:pPr>
    </w:p>
    <w:p w14:paraId="674C9D64" w14:textId="3BA8806F" w:rsidR="00122FF9" w:rsidRPr="00122FF9" w:rsidRDefault="00CC3538" w:rsidP="00122FF9">
      <w:pPr>
        <w:widowControl w:val="0"/>
        <w:suppressAutoHyphens/>
        <w:spacing w:after="0" w:line="360" w:lineRule="auto"/>
        <w:jc w:val="center"/>
        <w:rPr>
          <w:rFonts w:ascii="Arial" w:hAnsi="Arial" w:cs="Mangal"/>
          <w:noProof/>
          <w:kern w:val="1"/>
          <w:sz w:val="20"/>
          <w:szCs w:val="24"/>
          <w:lang w:val="ro-RO" w:eastAsia="ro-RO"/>
        </w:rPr>
      </w:pPr>
      <w:r>
        <w:rPr>
          <w:noProof/>
        </w:rPr>
        <w:drawing>
          <wp:inline distT="0" distB="0" distL="0" distR="0" wp14:anchorId="4A53FC76" wp14:editId="1309286A">
            <wp:extent cx="4946650" cy="2559050"/>
            <wp:effectExtent l="0" t="0" r="6350" b="12700"/>
            <wp:docPr id="272" name="Chart 272">
              <a:extLst xmlns:a="http://schemas.openxmlformats.org/drawingml/2006/main">
                <a:ext uri="{FF2B5EF4-FFF2-40B4-BE49-F238E27FC236}">
                  <a16:creationId xmlns:a16="http://schemas.microsoft.com/office/drawing/2014/main" id="{BF90A814-CA30-4645-95F6-3702CE7711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p w14:paraId="013EEE15" w14:textId="7DDD4207" w:rsidR="00122FF9" w:rsidRPr="00122FF9" w:rsidRDefault="00122FF9" w:rsidP="00122FF9">
      <w:pPr>
        <w:widowControl w:val="0"/>
        <w:suppressAutoHyphens/>
        <w:spacing w:after="0" w:line="360" w:lineRule="auto"/>
        <w:jc w:val="center"/>
        <w:rPr>
          <w:rFonts w:ascii="Arial" w:hAnsi="Arial" w:cs="Mangal"/>
          <w:noProof/>
          <w:kern w:val="1"/>
          <w:sz w:val="20"/>
          <w:szCs w:val="24"/>
          <w:lang w:val="ro-RO" w:eastAsia="ro-RO"/>
        </w:rPr>
      </w:pPr>
    </w:p>
    <w:p w14:paraId="66404C8E" w14:textId="6608BAA2" w:rsidR="00122FF9" w:rsidRPr="005C29DA" w:rsidRDefault="005C29DA" w:rsidP="005C29DA">
      <w:pPr>
        <w:pStyle w:val="Legend"/>
        <w:jc w:val="center"/>
        <w:rPr>
          <w:rFonts w:ascii="Arial" w:hAnsi="Arial" w:cs="Arial"/>
          <w:i w:val="0"/>
          <w:iCs w:val="0"/>
          <w:noProof/>
          <w:color w:val="1F497D"/>
          <w:kern w:val="1"/>
          <w:sz w:val="22"/>
          <w:szCs w:val="22"/>
          <w:lang w:val="ro-RO" w:eastAsia="ro-RO"/>
        </w:rPr>
      </w:pPr>
      <w:bookmarkStart w:id="499" w:name="_Toc68361044"/>
      <w:bookmarkStart w:id="500" w:name="_Toc140744536"/>
      <w:r w:rsidRPr="005C29DA">
        <w:rPr>
          <w:rFonts w:ascii="Arial" w:hAnsi="Arial" w:cs="Arial"/>
          <w:sz w:val="22"/>
          <w:szCs w:val="22"/>
        </w:rPr>
        <w:t xml:space="preserve">Figura I.7. </w:t>
      </w:r>
      <w:r w:rsidRPr="005C29DA">
        <w:rPr>
          <w:rFonts w:ascii="Arial" w:hAnsi="Arial" w:cs="Arial"/>
          <w:sz w:val="22"/>
          <w:szCs w:val="22"/>
        </w:rPr>
        <w:fldChar w:fldCharType="begin"/>
      </w:r>
      <w:r w:rsidRPr="005C29DA">
        <w:rPr>
          <w:rFonts w:ascii="Arial" w:hAnsi="Arial" w:cs="Arial"/>
          <w:sz w:val="22"/>
          <w:szCs w:val="22"/>
        </w:rPr>
        <w:instrText xml:space="preserve"> SEQ Figura_I.7. \* ARABIC </w:instrText>
      </w:r>
      <w:r w:rsidRPr="005C29DA">
        <w:rPr>
          <w:rFonts w:ascii="Arial" w:hAnsi="Arial" w:cs="Arial"/>
          <w:sz w:val="22"/>
          <w:szCs w:val="22"/>
        </w:rPr>
        <w:fldChar w:fldCharType="separate"/>
      </w:r>
      <w:r w:rsidR="00BB181C">
        <w:rPr>
          <w:rFonts w:ascii="Arial" w:hAnsi="Arial" w:cs="Arial"/>
          <w:noProof/>
          <w:sz w:val="22"/>
          <w:szCs w:val="22"/>
        </w:rPr>
        <w:t>11</w:t>
      </w:r>
      <w:r w:rsidRPr="005C29DA">
        <w:rPr>
          <w:rFonts w:ascii="Arial" w:hAnsi="Arial" w:cs="Arial"/>
          <w:sz w:val="22"/>
          <w:szCs w:val="22"/>
        </w:rPr>
        <w:fldChar w:fldCharType="end"/>
      </w:r>
      <w:r w:rsidRPr="005C29DA">
        <w:rPr>
          <w:rFonts w:ascii="Arial" w:hAnsi="Arial" w:cs="Arial"/>
          <w:sz w:val="22"/>
          <w:szCs w:val="22"/>
        </w:rPr>
        <w:t xml:space="preserve"> </w:t>
      </w:r>
      <w:r w:rsidR="00122FF9" w:rsidRPr="00CC3538">
        <w:rPr>
          <w:rFonts w:ascii="Arial" w:hAnsi="Arial" w:cs="Arial"/>
          <w:color w:val="1F497D"/>
          <w:sz w:val="22"/>
          <w:szCs w:val="22"/>
        </w:rPr>
        <w:t xml:space="preserve">– </w:t>
      </w:r>
      <w:r w:rsidR="00122FF9" w:rsidRPr="00CC3538">
        <w:rPr>
          <w:rFonts w:ascii="Arial" w:hAnsi="Arial" w:cs="Arial"/>
          <w:i w:val="0"/>
          <w:iCs w:val="0"/>
          <w:color w:val="1F497D"/>
          <w:sz w:val="22"/>
          <w:szCs w:val="22"/>
        </w:rPr>
        <w:t>Viteza medie de circula</w:t>
      </w:r>
      <w:r w:rsidR="00122FF9" w:rsidRPr="00CC3538">
        <w:rPr>
          <w:rFonts w:ascii="Arial" w:hAnsi="Arial" w:cs="Arial"/>
          <w:i w:val="0"/>
          <w:iCs w:val="0"/>
          <w:color w:val="1F497D"/>
          <w:sz w:val="22"/>
          <w:szCs w:val="22"/>
          <w:lang w:val="ro-RO"/>
        </w:rPr>
        <w:t>ț</w:t>
      </w:r>
      <w:r w:rsidR="00122FF9" w:rsidRPr="00CC3538">
        <w:rPr>
          <w:rFonts w:ascii="Arial" w:hAnsi="Arial" w:cs="Arial"/>
          <w:i w:val="0"/>
          <w:iCs w:val="0"/>
          <w:color w:val="1F497D"/>
          <w:sz w:val="22"/>
          <w:szCs w:val="22"/>
        </w:rPr>
        <w:t>ie [km/h]</w:t>
      </w:r>
      <w:bookmarkEnd w:id="499"/>
      <w:bookmarkEnd w:id="500"/>
    </w:p>
    <w:p w14:paraId="4BC5D4E1" w14:textId="155C64E1" w:rsidR="00122FF9" w:rsidRPr="00122FF9" w:rsidRDefault="00CC3538" w:rsidP="00122FF9">
      <w:pPr>
        <w:widowControl w:val="0"/>
        <w:suppressAutoHyphens/>
        <w:spacing w:after="0" w:line="360" w:lineRule="auto"/>
        <w:jc w:val="center"/>
        <w:rPr>
          <w:rFonts w:ascii="Arial" w:hAnsi="Arial" w:cs="Mangal"/>
          <w:noProof/>
          <w:kern w:val="1"/>
          <w:sz w:val="20"/>
          <w:szCs w:val="24"/>
          <w:lang w:val="ro-RO" w:eastAsia="ro-RO"/>
        </w:rPr>
      </w:pPr>
      <w:r>
        <w:rPr>
          <w:noProof/>
        </w:rPr>
        <w:drawing>
          <wp:inline distT="0" distB="0" distL="0" distR="0" wp14:anchorId="1496DB77" wp14:editId="7A6E21E5">
            <wp:extent cx="4895850" cy="2508250"/>
            <wp:effectExtent l="0" t="0" r="0" b="6350"/>
            <wp:docPr id="274" name="Chart 274">
              <a:extLst xmlns:a="http://schemas.openxmlformats.org/drawingml/2006/main">
                <a:ext uri="{FF2B5EF4-FFF2-40B4-BE49-F238E27FC236}">
                  <a16:creationId xmlns:a16="http://schemas.microsoft.com/office/drawing/2014/main" id="{72C4E78C-7724-466E-8E0F-16F932D0F1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p w14:paraId="1C120473" w14:textId="38CD2F73" w:rsidR="00122FF9" w:rsidRPr="005C29DA" w:rsidRDefault="005C29DA" w:rsidP="005C29DA">
      <w:pPr>
        <w:pStyle w:val="Legend"/>
        <w:jc w:val="center"/>
        <w:rPr>
          <w:rFonts w:ascii="Arial" w:hAnsi="Arial" w:cs="Arial"/>
          <w:i w:val="0"/>
          <w:iCs w:val="0"/>
          <w:noProof/>
          <w:color w:val="1F497D"/>
          <w:kern w:val="1"/>
          <w:sz w:val="22"/>
          <w:szCs w:val="22"/>
          <w:lang w:eastAsia="ro-RO"/>
        </w:rPr>
      </w:pPr>
      <w:bookmarkStart w:id="501" w:name="_Toc68361045"/>
      <w:bookmarkStart w:id="502" w:name="_Toc140744537"/>
      <w:r w:rsidRPr="005C29DA">
        <w:rPr>
          <w:rFonts w:ascii="Arial" w:hAnsi="Arial" w:cs="Arial"/>
          <w:sz w:val="22"/>
          <w:szCs w:val="22"/>
        </w:rPr>
        <w:t xml:space="preserve">Figura I.7. </w:t>
      </w:r>
      <w:r w:rsidRPr="005C29DA">
        <w:rPr>
          <w:rFonts w:ascii="Arial" w:hAnsi="Arial" w:cs="Arial"/>
          <w:sz w:val="22"/>
          <w:szCs w:val="22"/>
        </w:rPr>
        <w:fldChar w:fldCharType="begin"/>
      </w:r>
      <w:r w:rsidRPr="005C29DA">
        <w:rPr>
          <w:rFonts w:ascii="Arial" w:hAnsi="Arial" w:cs="Arial"/>
          <w:sz w:val="22"/>
          <w:szCs w:val="22"/>
        </w:rPr>
        <w:instrText xml:space="preserve"> SEQ Figura_I.7. \* ARABIC </w:instrText>
      </w:r>
      <w:r w:rsidRPr="005C29DA">
        <w:rPr>
          <w:rFonts w:ascii="Arial" w:hAnsi="Arial" w:cs="Arial"/>
          <w:sz w:val="22"/>
          <w:szCs w:val="22"/>
        </w:rPr>
        <w:fldChar w:fldCharType="separate"/>
      </w:r>
      <w:r w:rsidR="00BB181C">
        <w:rPr>
          <w:rFonts w:ascii="Arial" w:hAnsi="Arial" w:cs="Arial"/>
          <w:noProof/>
          <w:sz w:val="22"/>
          <w:szCs w:val="22"/>
        </w:rPr>
        <w:t>12</w:t>
      </w:r>
      <w:r w:rsidRPr="005C29DA">
        <w:rPr>
          <w:rFonts w:ascii="Arial" w:hAnsi="Arial" w:cs="Arial"/>
          <w:sz w:val="22"/>
          <w:szCs w:val="22"/>
        </w:rPr>
        <w:fldChar w:fldCharType="end"/>
      </w:r>
      <w:r w:rsidRPr="005C29DA">
        <w:rPr>
          <w:rFonts w:ascii="Arial" w:hAnsi="Arial" w:cs="Arial"/>
          <w:sz w:val="22"/>
          <w:szCs w:val="22"/>
        </w:rPr>
        <w:t xml:space="preserve"> </w:t>
      </w:r>
      <w:r w:rsidR="00122FF9" w:rsidRPr="00CC3538">
        <w:rPr>
          <w:rFonts w:ascii="Arial" w:hAnsi="Arial" w:cs="Arial"/>
          <w:color w:val="1F497D"/>
          <w:sz w:val="22"/>
          <w:szCs w:val="22"/>
        </w:rPr>
        <w:t xml:space="preserve">– </w:t>
      </w:r>
      <w:r w:rsidR="00122FF9" w:rsidRPr="00CC3538">
        <w:rPr>
          <w:rFonts w:ascii="Arial" w:hAnsi="Arial" w:cs="Arial"/>
          <w:i w:val="0"/>
          <w:iCs w:val="0"/>
          <w:color w:val="1F497D"/>
          <w:sz w:val="22"/>
          <w:szCs w:val="22"/>
          <w:lang w:val="ro-RO"/>
        </w:rPr>
        <w:t xml:space="preserve">Întârzierea medie </w:t>
      </w:r>
      <w:r w:rsidR="00122FF9" w:rsidRPr="00CC3538">
        <w:rPr>
          <w:rFonts w:ascii="Arial" w:hAnsi="Arial" w:cs="Arial"/>
          <w:i w:val="0"/>
          <w:iCs w:val="0"/>
          <w:color w:val="1F497D"/>
          <w:sz w:val="22"/>
          <w:szCs w:val="22"/>
        </w:rPr>
        <w:t>[sec]</w:t>
      </w:r>
      <w:bookmarkEnd w:id="501"/>
      <w:bookmarkEnd w:id="502"/>
    </w:p>
    <w:p w14:paraId="7A416F8A" w14:textId="77777777" w:rsidR="00122FF9" w:rsidRPr="00122FF9" w:rsidRDefault="00122FF9" w:rsidP="00122FF9">
      <w:pPr>
        <w:widowControl w:val="0"/>
        <w:suppressAutoHyphens/>
        <w:spacing w:after="0" w:line="360" w:lineRule="auto"/>
        <w:jc w:val="center"/>
        <w:rPr>
          <w:rFonts w:ascii="Arial" w:hAnsi="Arial" w:cs="Mangal"/>
          <w:noProof/>
          <w:kern w:val="1"/>
          <w:sz w:val="20"/>
          <w:szCs w:val="24"/>
          <w:lang w:val="ro-RO" w:eastAsia="ro-RO"/>
        </w:rPr>
      </w:pPr>
    </w:p>
    <w:p w14:paraId="3B60F114" w14:textId="55753087" w:rsidR="00122FF9" w:rsidRPr="00122FF9" w:rsidRDefault="00CC3538" w:rsidP="00122FF9">
      <w:pPr>
        <w:widowControl w:val="0"/>
        <w:suppressAutoHyphens/>
        <w:spacing w:after="0" w:line="360" w:lineRule="auto"/>
        <w:jc w:val="center"/>
        <w:rPr>
          <w:rFonts w:ascii="Arial" w:hAnsi="Arial" w:cs="Mangal"/>
          <w:noProof/>
          <w:kern w:val="1"/>
          <w:sz w:val="20"/>
          <w:szCs w:val="24"/>
          <w:lang w:val="ro-RO" w:eastAsia="ro-RO"/>
        </w:rPr>
      </w:pPr>
      <w:r>
        <w:rPr>
          <w:noProof/>
        </w:rPr>
        <w:lastRenderedPageBreak/>
        <w:drawing>
          <wp:inline distT="0" distB="0" distL="0" distR="0" wp14:anchorId="0BD3863C" wp14:editId="4CD16172">
            <wp:extent cx="4921250" cy="2508250"/>
            <wp:effectExtent l="0" t="0" r="12700" b="6350"/>
            <wp:docPr id="275" name="Chart 275">
              <a:extLst xmlns:a="http://schemas.openxmlformats.org/drawingml/2006/main">
                <a:ext uri="{FF2B5EF4-FFF2-40B4-BE49-F238E27FC236}">
                  <a16:creationId xmlns:a16="http://schemas.microsoft.com/office/drawing/2014/main" id="{4C6B199B-5F91-40EE-9C1E-77D8859CB3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p w14:paraId="110D4E21" w14:textId="0765C937" w:rsidR="00122FF9" w:rsidRPr="005C29DA" w:rsidRDefault="005C29DA" w:rsidP="005C29DA">
      <w:pPr>
        <w:pStyle w:val="Legend"/>
        <w:jc w:val="center"/>
        <w:rPr>
          <w:rFonts w:ascii="Arial" w:hAnsi="Arial" w:cs="Arial"/>
          <w:i w:val="0"/>
          <w:iCs w:val="0"/>
          <w:color w:val="1F497D"/>
          <w:kern w:val="1"/>
          <w:sz w:val="22"/>
          <w:szCs w:val="22"/>
          <w:lang w:val="it-IT" w:eastAsia="hi-IN" w:bidi="hi-IN"/>
        </w:rPr>
      </w:pPr>
      <w:bookmarkStart w:id="503" w:name="_Toc68361046"/>
      <w:bookmarkStart w:id="504" w:name="_Toc140744538"/>
      <w:r w:rsidRPr="005C29DA">
        <w:rPr>
          <w:rFonts w:ascii="Arial" w:hAnsi="Arial" w:cs="Arial"/>
          <w:sz w:val="22"/>
          <w:szCs w:val="22"/>
        </w:rPr>
        <w:t xml:space="preserve">Figura I.7. </w:t>
      </w:r>
      <w:r w:rsidRPr="005C29DA">
        <w:rPr>
          <w:rFonts w:ascii="Arial" w:hAnsi="Arial" w:cs="Arial"/>
          <w:sz w:val="22"/>
          <w:szCs w:val="22"/>
        </w:rPr>
        <w:fldChar w:fldCharType="begin"/>
      </w:r>
      <w:r w:rsidRPr="005C29DA">
        <w:rPr>
          <w:rFonts w:ascii="Arial" w:hAnsi="Arial" w:cs="Arial"/>
          <w:sz w:val="22"/>
          <w:szCs w:val="22"/>
        </w:rPr>
        <w:instrText xml:space="preserve"> SEQ Figura_I.7. \* ARABIC </w:instrText>
      </w:r>
      <w:r w:rsidRPr="005C29DA">
        <w:rPr>
          <w:rFonts w:ascii="Arial" w:hAnsi="Arial" w:cs="Arial"/>
          <w:sz w:val="22"/>
          <w:szCs w:val="22"/>
        </w:rPr>
        <w:fldChar w:fldCharType="separate"/>
      </w:r>
      <w:r w:rsidR="00BB181C">
        <w:rPr>
          <w:rFonts w:ascii="Arial" w:hAnsi="Arial" w:cs="Arial"/>
          <w:noProof/>
          <w:sz w:val="22"/>
          <w:szCs w:val="22"/>
        </w:rPr>
        <w:t>13</w:t>
      </w:r>
      <w:r w:rsidRPr="005C29DA">
        <w:rPr>
          <w:rFonts w:ascii="Arial" w:hAnsi="Arial" w:cs="Arial"/>
          <w:sz w:val="22"/>
          <w:szCs w:val="22"/>
        </w:rPr>
        <w:fldChar w:fldCharType="end"/>
      </w:r>
      <w:r w:rsidRPr="005C29DA">
        <w:rPr>
          <w:rFonts w:ascii="Arial" w:hAnsi="Arial" w:cs="Arial"/>
          <w:sz w:val="22"/>
          <w:szCs w:val="22"/>
        </w:rPr>
        <w:t xml:space="preserve"> </w:t>
      </w:r>
      <w:r w:rsidR="00122FF9" w:rsidRPr="00CC3538">
        <w:rPr>
          <w:rFonts w:ascii="Arial" w:hAnsi="Arial" w:cs="Arial"/>
          <w:i w:val="0"/>
          <w:iCs w:val="0"/>
          <w:color w:val="1F497D"/>
          <w:sz w:val="22"/>
          <w:szCs w:val="22"/>
        </w:rPr>
        <w:t>– Consum de combustibili [litri]</w:t>
      </w:r>
      <w:bookmarkEnd w:id="503"/>
      <w:bookmarkEnd w:id="504"/>
    </w:p>
    <w:p w14:paraId="467B14DD" w14:textId="77777777" w:rsidR="00122FF9" w:rsidRPr="005C29DA" w:rsidRDefault="00122FF9" w:rsidP="005C29DA">
      <w:pPr>
        <w:jc w:val="center"/>
        <w:rPr>
          <w:rFonts w:ascii="Arial" w:hAnsi="Arial" w:cs="Arial"/>
          <w:lang w:val="ro-RO" w:eastAsia="zh-CN" w:bidi="hi-IN"/>
        </w:rPr>
      </w:pPr>
    </w:p>
    <w:p w14:paraId="7ADC4A0F" w14:textId="77777777" w:rsidR="004F5666" w:rsidRDefault="004F5666" w:rsidP="0012531B">
      <w:pPr>
        <w:pStyle w:val="Titlu4"/>
        <w:numPr>
          <w:ilvl w:val="0"/>
          <w:numId w:val="0"/>
        </w:numPr>
        <w:rPr>
          <w:rFonts w:ascii="Arial" w:hAnsi="Arial" w:cs="Arial"/>
          <w:sz w:val="22"/>
          <w:szCs w:val="22"/>
          <w:lang w:bidi="hi-IN"/>
        </w:rPr>
      </w:pPr>
      <w:r w:rsidRPr="0012531B">
        <w:rPr>
          <w:rFonts w:ascii="Arial" w:hAnsi="Arial" w:cs="Arial"/>
          <w:sz w:val="22"/>
          <w:szCs w:val="22"/>
          <w:lang w:bidi="hi-IN"/>
        </w:rPr>
        <w:t>I.7.1.2.5 Concluzii</w:t>
      </w:r>
    </w:p>
    <w:p w14:paraId="7012113D" w14:textId="77777777" w:rsidR="00122FF9" w:rsidRPr="00122FF9" w:rsidRDefault="00122FF9" w:rsidP="00122FF9">
      <w:pPr>
        <w:widowControl w:val="0"/>
        <w:suppressAutoHyphens/>
        <w:spacing w:after="0" w:line="276" w:lineRule="auto"/>
        <w:jc w:val="both"/>
        <w:rPr>
          <w:rFonts w:ascii="Arial" w:hAnsi="Arial" w:cs="Arial"/>
          <w:kern w:val="1"/>
          <w:lang w:val="ro-RO" w:eastAsia="hi-IN" w:bidi="hi-IN"/>
        </w:rPr>
      </w:pPr>
      <w:r w:rsidRPr="00122FF9">
        <w:rPr>
          <w:rFonts w:ascii="Arial" w:hAnsi="Arial" w:cs="Arial"/>
          <w:kern w:val="1"/>
          <w:lang w:val="ro-RO" w:eastAsia="hi-IN" w:bidi="hi-IN"/>
        </w:rPr>
        <w:t>În urma introducerii în modelul de transport şi simulării măsurilor şi proiectelor prevăzute în scenariile 2 şi 3 pentru cele 2 orizonturi de timp considerate (2027, respectiv 2035), valorile indicatorilor care influenţează eficienţa economică a sistemului de transport din Orasul Horezu sunt prezentate în tabelul următor:</w:t>
      </w:r>
    </w:p>
    <w:p w14:paraId="002C51AB" w14:textId="24E664BE" w:rsidR="00122FF9" w:rsidRDefault="00122FF9" w:rsidP="00122FF9">
      <w:pPr>
        <w:spacing w:after="200" w:line="240" w:lineRule="auto"/>
        <w:jc w:val="center"/>
        <w:rPr>
          <w:rFonts w:ascii="Arial" w:hAnsi="Arial" w:cs="Arial"/>
          <w:i/>
          <w:iCs/>
          <w:color w:val="1F497D"/>
        </w:rPr>
      </w:pPr>
    </w:p>
    <w:p w14:paraId="3F45AE04" w14:textId="29752EBA" w:rsidR="00122FF9" w:rsidRDefault="00BB0D72" w:rsidP="00122FF9">
      <w:pPr>
        <w:spacing w:after="0" w:line="240" w:lineRule="auto"/>
        <w:jc w:val="center"/>
        <w:rPr>
          <w:rFonts w:ascii="Arial" w:hAnsi="Arial" w:cs="Arial"/>
          <w:iCs/>
          <w:color w:val="1F497D"/>
        </w:rPr>
      </w:pPr>
      <w:bookmarkStart w:id="505" w:name="_Toc68361282"/>
      <w:bookmarkStart w:id="506" w:name="_Toc96463910"/>
      <w:r>
        <w:rPr>
          <w:rFonts w:ascii="Arial" w:hAnsi="Arial" w:cs="Arial"/>
          <w:i/>
          <w:iCs/>
          <w:color w:val="1F497D"/>
        </w:rPr>
        <w:t>Tabel I.7.</w:t>
      </w:r>
      <w:r w:rsidR="00122FF9" w:rsidRPr="00122FF9">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14</w:t>
      </w:r>
      <w:r>
        <w:rPr>
          <w:rFonts w:ascii="Arial" w:hAnsi="Arial" w:cs="Arial"/>
          <w:i/>
          <w:iCs/>
          <w:color w:val="1F497D"/>
        </w:rPr>
        <w:fldChar w:fldCharType="end"/>
      </w:r>
      <w:r w:rsidR="00122FF9" w:rsidRPr="00122FF9">
        <w:rPr>
          <w:rFonts w:ascii="Arial" w:hAnsi="Arial" w:cs="Arial"/>
          <w:i/>
          <w:iCs/>
          <w:color w:val="1F497D"/>
        </w:rPr>
        <w:t xml:space="preserve"> - </w:t>
      </w:r>
      <w:r w:rsidR="00122FF9" w:rsidRPr="00122FF9">
        <w:rPr>
          <w:rFonts w:ascii="Arial" w:hAnsi="Arial" w:cs="Arial"/>
          <w:iCs/>
          <w:color w:val="1F497D"/>
        </w:rPr>
        <w:t>Indicatorii de eficienţă economică rezultaţi din scenariile 2 şi 3 pentru orizonturile de timp 2027, respectiv 2035</w:t>
      </w:r>
      <w:bookmarkEnd w:id="505"/>
      <w:bookmarkEnd w:id="506"/>
    </w:p>
    <w:p w14:paraId="08D718D5" w14:textId="77777777" w:rsidR="00CC3538" w:rsidRPr="00122FF9" w:rsidRDefault="00CC3538" w:rsidP="00122FF9">
      <w:pPr>
        <w:spacing w:after="0" w:line="240" w:lineRule="auto"/>
        <w:jc w:val="center"/>
        <w:rPr>
          <w:rFonts w:ascii="Arial" w:hAnsi="Arial" w:cs="Arial"/>
          <w:iCs/>
          <w:color w:val="1F497D"/>
          <w:kern w:val="1"/>
          <w:lang w:val="ro-RO" w:eastAsia="hi-IN" w:bidi="hi-IN"/>
        </w:rPr>
      </w:pPr>
    </w:p>
    <w:tbl>
      <w:tblPr>
        <w:tblW w:w="10203" w:type="dxa"/>
        <w:jc w:val="center"/>
        <w:tblLayout w:type="fixed"/>
        <w:tblCellMar>
          <w:left w:w="0" w:type="dxa"/>
          <w:right w:w="0" w:type="dxa"/>
        </w:tblCellMar>
        <w:tblLook w:val="0000" w:firstRow="0" w:lastRow="0" w:firstColumn="0" w:lastColumn="0" w:noHBand="0" w:noVBand="0"/>
      </w:tblPr>
      <w:tblGrid>
        <w:gridCol w:w="3309"/>
        <w:gridCol w:w="1149"/>
        <w:gridCol w:w="1149"/>
        <w:gridCol w:w="1149"/>
        <w:gridCol w:w="1149"/>
        <w:gridCol w:w="1149"/>
        <w:gridCol w:w="1149"/>
      </w:tblGrid>
      <w:tr w:rsidR="00CC3538" w:rsidRPr="00CC3538" w14:paraId="1AAE02D1" w14:textId="77777777" w:rsidTr="00CE76B6">
        <w:trPr>
          <w:trHeight w:val="542"/>
          <w:jc w:val="center"/>
        </w:trPr>
        <w:tc>
          <w:tcPr>
            <w:tcW w:w="3309" w:type="dxa"/>
            <w:vMerge w:val="restart"/>
            <w:tcBorders>
              <w:top w:val="single" w:sz="3" w:space="0" w:color="000001"/>
              <w:left w:val="single" w:sz="3" w:space="0" w:color="000001"/>
            </w:tcBorders>
            <w:shd w:val="clear" w:color="auto" w:fill="D9D9D9"/>
            <w:vAlign w:val="center"/>
          </w:tcPr>
          <w:p w14:paraId="723E1C5A"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Parametru</w:t>
            </w:r>
          </w:p>
        </w:tc>
        <w:tc>
          <w:tcPr>
            <w:tcW w:w="3447" w:type="dxa"/>
            <w:gridSpan w:val="3"/>
            <w:tcBorders>
              <w:top w:val="single" w:sz="3" w:space="0" w:color="000001"/>
              <w:left w:val="single" w:sz="3" w:space="0" w:color="000001"/>
              <w:bottom w:val="single" w:sz="3" w:space="0" w:color="000001"/>
              <w:right w:val="single" w:sz="4" w:space="0" w:color="auto"/>
            </w:tcBorders>
            <w:shd w:val="clear" w:color="auto" w:fill="D9D9D9"/>
            <w:vAlign w:val="center"/>
          </w:tcPr>
          <w:p w14:paraId="53D2B004"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Scenariul 2</w:t>
            </w:r>
          </w:p>
        </w:tc>
        <w:tc>
          <w:tcPr>
            <w:tcW w:w="3447"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54B76517"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Scenariul 3</w:t>
            </w:r>
          </w:p>
        </w:tc>
      </w:tr>
      <w:tr w:rsidR="00CC3538" w:rsidRPr="00CC3538" w14:paraId="48F3BCC9" w14:textId="77777777" w:rsidTr="00CE76B6">
        <w:trPr>
          <w:trHeight w:val="542"/>
          <w:jc w:val="center"/>
        </w:trPr>
        <w:tc>
          <w:tcPr>
            <w:tcW w:w="3309" w:type="dxa"/>
            <w:vMerge/>
            <w:tcBorders>
              <w:top w:val="single" w:sz="3" w:space="0" w:color="000001"/>
              <w:left w:val="single" w:sz="3" w:space="0" w:color="000001"/>
              <w:right w:val="single" w:sz="4" w:space="0" w:color="auto"/>
            </w:tcBorders>
            <w:shd w:val="clear" w:color="auto" w:fill="D9D9D9"/>
            <w:vAlign w:val="center"/>
          </w:tcPr>
          <w:p w14:paraId="20AECF24"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p>
        </w:tc>
        <w:tc>
          <w:tcPr>
            <w:tcW w:w="6894"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6D4D48EE"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2027</w:t>
            </w:r>
          </w:p>
        </w:tc>
      </w:tr>
      <w:tr w:rsidR="00CC3538" w:rsidRPr="00CC3538" w14:paraId="5D55414B" w14:textId="77777777" w:rsidTr="00CE76B6">
        <w:trPr>
          <w:trHeight w:val="542"/>
          <w:jc w:val="center"/>
        </w:trPr>
        <w:tc>
          <w:tcPr>
            <w:tcW w:w="3309" w:type="dxa"/>
            <w:vMerge/>
            <w:tcBorders>
              <w:left w:val="single" w:sz="3" w:space="0" w:color="000001"/>
              <w:bottom w:val="single" w:sz="3" w:space="0" w:color="000001"/>
            </w:tcBorders>
            <w:shd w:val="clear" w:color="auto" w:fill="D9D9D9"/>
            <w:vAlign w:val="center"/>
          </w:tcPr>
          <w:p w14:paraId="499E3B44"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p>
        </w:tc>
        <w:tc>
          <w:tcPr>
            <w:tcW w:w="1149" w:type="dxa"/>
            <w:tcBorders>
              <w:top w:val="single" w:sz="3" w:space="0" w:color="000001"/>
              <w:left w:val="single" w:sz="3" w:space="0" w:color="000001"/>
              <w:bottom w:val="single" w:sz="3" w:space="0" w:color="000001"/>
            </w:tcBorders>
            <w:shd w:val="clear" w:color="auto" w:fill="D9D9D9"/>
            <w:vAlign w:val="center"/>
          </w:tcPr>
          <w:p w14:paraId="56548E25"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AM</w:t>
            </w:r>
          </w:p>
        </w:tc>
        <w:tc>
          <w:tcPr>
            <w:tcW w:w="1149"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04DE179B"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PM</w:t>
            </w:r>
          </w:p>
        </w:tc>
        <w:tc>
          <w:tcPr>
            <w:tcW w:w="1149"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573C59F1"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24 h</w:t>
            </w:r>
          </w:p>
        </w:tc>
        <w:tc>
          <w:tcPr>
            <w:tcW w:w="1149" w:type="dxa"/>
            <w:tcBorders>
              <w:top w:val="single" w:sz="3" w:space="0" w:color="000001"/>
              <w:left w:val="single" w:sz="3" w:space="0" w:color="000001"/>
              <w:bottom w:val="single" w:sz="3" w:space="0" w:color="000001"/>
              <w:right w:val="single" w:sz="4" w:space="0" w:color="auto"/>
            </w:tcBorders>
            <w:shd w:val="clear" w:color="auto" w:fill="D9D9D9"/>
            <w:vAlign w:val="center"/>
          </w:tcPr>
          <w:p w14:paraId="41535B13"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AM</w:t>
            </w: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35D9D0A7"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PM</w:t>
            </w: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00266DF7"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24 h</w:t>
            </w:r>
          </w:p>
        </w:tc>
      </w:tr>
      <w:tr w:rsidR="00CC3538" w:rsidRPr="00CC3538" w14:paraId="492569A5" w14:textId="77777777" w:rsidTr="00CE76B6">
        <w:trPr>
          <w:trHeight w:val="53"/>
          <w:jc w:val="center"/>
        </w:trPr>
        <w:tc>
          <w:tcPr>
            <w:tcW w:w="3309" w:type="dxa"/>
            <w:tcBorders>
              <w:top w:val="single" w:sz="3" w:space="0" w:color="000001"/>
              <w:left w:val="single" w:sz="3" w:space="0" w:color="000001"/>
              <w:bottom w:val="single" w:sz="3" w:space="0" w:color="000001"/>
            </w:tcBorders>
            <w:shd w:val="clear" w:color="auto" w:fill="auto"/>
            <w:vAlign w:val="center"/>
          </w:tcPr>
          <w:p w14:paraId="2AB6CCAA" w14:textId="77777777" w:rsidR="00CC3538" w:rsidRPr="00CC3538" w:rsidRDefault="00CC3538" w:rsidP="00CC3538">
            <w:pPr>
              <w:widowControl w:val="0"/>
              <w:suppressAutoHyphens/>
              <w:spacing w:after="0" w:line="240" w:lineRule="auto"/>
              <w:rPr>
                <w:rFonts w:ascii="Arial" w:hAnsi="Arial" w:cs="Arial"/>
                <w:kern w:val="1"/>
                <w:sz w:val="20"/>
                <w:szCs w:val="20"/>
                <w:lang w:val="ro-RO" w:eastAsia="hi-IN" w:bidi="hi-IN"/>
              </w:rPr>
            </w:pPr>
            <w:r w:rsidRPr="00CC3538">
              <w:rPr>
                <w:rFonts w:ascii="Arial" w:hAnsi="Arial" w:cs="Arial"/>
                <w:kern w:val="1"/>
                <w:sz w:val="20"/>
                <w:szCs w:val="20"/>
                <w:lang w:val="ro-RO" w:eastAsia="hi-IN" w:bidi="hi-IN"/>
              </w:rPr>
              <w:t>Viteza medie de circulație (km/h)</w:t>
            </w:r>
          </w:p>
        </w:tc>
        <w:tc>
          <w:tcPr>
            <w:tcW w:w="1149" w:type="dxa"/>
            <w:tcBorders>
              <w:top w:val="single" w:sz="3" w:space="0" w:color="000001"/>
              <w:left w:val="single" w:sz="3" w:space="0" w:color="000001"/>
              <w:bottom w:val="single" w:sz="3" w:space="0" w:color="000001"/>
            </w:tcBorders>
            <w:shd w:val="clear" w:color="auto" w:fill="auto"/>
            <w:vAlign w:val="center"/>
          </w:tcPr>
          <w:p w14:paraId="41D665A2"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31,64</w:t>
            </w:r>
          </w:p>
        </w:tc>
        <w:tc>
          <w:tcPr>
            <w:tcW w:w="1149" w:type="dxa"/>
            <w:tcBorders>
              <w:top w:val="single" w:sz="3" w:space="0" w:color="000001"/>
              <w:left w:val="single" w:sz="3" w:space="0" w:color="000001"/>
              <w:bottom w:val="single" w:sz="3" w:space="0" w:color="000001"/>
              <w:right w:val="single" w:sz="3" w:space="0" w:color="000001"/>
            </w:tcBorders>
            <w:vAlign w:val="center"/>
          </w:tcPr>
          <w:p w14:paraId="5905C374"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31,64</w:t>
            </w:r>
          </w:p>
        </w:tc>
        <w:tc>
          <w:tcPr>
            <w:tcW w:w="1149" w:type="dxa"/>
            <w:tcBorders>
              <w:top w:val="single" w:sz="3" w:space="0" w:color="000001"/>
              <w:left w:val="single" w:sz="3" w:space="0" w:color="000001"/>
              <w:bottom w:val="single" w:sz="3" w:space="0" w:color="000001"/>
              <w:right w:val="single" w:sz="3" w:space="0" w:color="000001"/>
            </w:tcBorders>
            <w:shd w:val="clear" w:color="auto" w:fill="auto"/>
            <w:vAlign w:val="center"/>
          </w:tcPr>
          <w:p w14:paraId="4D281D8B"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34,80</w:t>
            </w:r>
          </w:p>
        </w:tc>
        <w:tc>
          <w:tcPr>
            <w:tcW w:w="1149" w:type="dxa"/>
            <w:tcBorders>
              <w:top w:val="single" w:sz="3" w:space="0" w:color="000001"/>
              <w:left w:val="single" w:sz="3" w:space="0" w:color="000001"/>
              <w:bottom w:val="single" w:sz="3" w:space="0" w:color="000001"/>
              <w:right w:val="single" w:sz="4" w:space="0" w:color="auto"/>
            </w:tcBorders>
            <w:shd w:val="clear" w:color="auto" w:fill="D9D9D9"/>
            <w:vAlign w:val="center"/>
          </w:tcPr>
          <w:p w14:paraId="170246A0"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4D5C1588" w14:textId="77777777" w:rsidR="00CC3538" w:rsidRPr="00CC3538" w:rsidRDefault="00CC3538" w:rsidP="00CC3538">
            <w:pPr>
              <w:widowControl w:val="0"/>
              <w:suppressAutoHyphens/>
              <w:spacing w:after="0" w:line="240" w:lineRule="auto"/>
              <w:jc w:val="center"/>
              <w:rPr>
                <w:rFonts w:ascii="Arial" w:hAnsi="Arial" w:cs="Arial"/>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tcPr>
          <w:p w14:paraId="60B2DF17"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r>
      <w:tr w:rsidR="00CC3538" w:rsidRPr="00CC3538" w14:paraId="1E6F78E0" w14:textId="77777777" w:rsidTr="00CE76B6">
        <w:trPr>
          <w:trHeight w:val="53"/>
          <w:jc w:val="center"/>
        </w:trPr>
        <w:tc>
          <w:tcPr>
            <w:tcW w:w="3309" w:type="dxa"/>
            <w:tcBorders>
              <w:top w:val="single" w:sz="3" w:space="0" w:color="000001"/>
              <w:left w:val="single" w:sz="3" w:space="0" w:color="000001"/>
              <w:bottom w:val="single" w:sz="3" w:space="0" w:color="000001"/>
            </w:tcBorders>
            <w:shd w:val="clear" w:color="auto" w:fill="auto"/>
            <w:vAlign w:val="center"/>
          </w:tcPr>
          <w:p w14:paraId="3B52B52F" w14:textId="77777777" w:rsidR="00CC3538" w:rsidRPr="00CC3538" w:rsidRDefault="00CC3538" w:rsidP="00CC3538">
            <w:pPr>
              <w:widowControl w:val="0"/>
              <w:suppressAutoHyphens/>
              <w:spacing w:after="0" w:line="240" w:lineRule="auto"/>
              <w:rPr>
                <w:rFonts w:ascii="Arial" w:hAnsi="Arial" w:cs="Arial"/>
                <w:kern w:val="1"/>
                <w:sz w:val="20"/>
                <w:szCs w:val="20"/>
                <w:lang w:val="ro-RO" w:eastAsia="hi-IN" w:bidi="hi-IN"/>
              </w:rPr>
            </w:pPr>
            <w:r w:rsidRPr="00CC3538">
              <w:rPr>
                <w:rFonts w:ascii="Arial" w:hAnsi="Arial" w:cs="Arial"/>
                <w:kern w:val="1"/>
                <w:sz w:val="20"/>
                <w:szCs w:val="20"/>
                <w:lang w:val="ro-RO" w:eastAsia="hi-IN" w:bidi="hi-IN"/>
              </w:rPr>
              <w:t>Întârzierea medie (sec)</w:t>
            </w:r>
          </w:p>
        </w:tc>
        <w:tc>
          <w:tcPr>
            <w:tcW w:w="1149" w:type="dxa"/>
            <w:tcBorders>
              <w:top w:val="single" w:sz="3" w:space="0" w:color="000001"/>
              <w:left w:val="single" w:sz="3" w:space="0" w:color="000001"/>
              <w:bottom w:val="single" w:sz="3" w:space="0" w:color="000001"/>
            </w:tcBorders>
            <w:shd w:val="clear" w:color="auto" w:fill="auto"/>
            <w:vAlign w:val="center"/>
          </w:tcPr>
          <w:p w14:paraId="6EFDA888"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38,05</w:t>
            </w:r>
          </w:p>
        </w:tc>
        <w:tc>
          <w:tcPr>
            <w:tcW w:w="1149" w:type="dxa"/>
            <w:tcBorders>
              <w:top w:val="single" w:sz="3" w:space="0" w:color="000001"/>
              <w:left w:val="single" w:sz="3" w:space="0" w:color="000001"/>
              <w:bottom w:val="single" w:sz="3" w:space="0" w:color="000001"/>
              <w:right w:val="single" w:sz="3" w:space="0" w:color="000001"/>
            </w:tcBorders>
            <w:vAlign w:val="center"/>
          </w:tcPr>
          <w:p w14:paraId="14376F28"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39,49</w:t>
            </w:r>
          </w:p>
        </w:tc>
        <w:tc>
          <w:tcPr>
            <w:tcW w:w="1149" w:type="dxa"/>
            <w:tcBorders>
              <w:top w:val="single" w:sz="3" w:space="0" w:color="000001"/>
              <w:left w:val="single" w:sz="3" w:space="0" w:color="000001"/>
              <w:bottom w:val="single" w:sz="3" w:space="0" w:color="000001"/>
              <w:right w:val="single" w:sz="3" w:space="0" w:color="000001"/>
            </w:tcBorders>
            <w:shd w:val="clear" w:color="auto" w:fill="auto"/>
            <w:vAlign w:val="center"/>
          </w:tcPr>
          <w:p w14:paraId="2DB00DDA"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19,03</w:t>
            </w:r>
          </w:p>
        </w:tc>
        <w:tc>
          <w:tcPr>
            <w:tcW w:w="1149" w:type="dxa"/>
            <w:tcBorders>
              <w:top w:val="single" w:sz="3" w:space="0" w:color="000001"/>
              <w:left w:val="single" w:sz="3" w:space="0" w:color="000001"/>
              <w:bottom w:val="single" w:sz="3" w:space="0" w:color="000001"/>
              <w:right w:val="single" w:sz="4" w:space="0" w:color="auto"/>
            </w:tcBorders>
            <w:shd w:val="clear" w:color="auto" w:fill="D9D9D9"/>
            <w:vAlign w:val="center"/>
          </w:tcPr>
          <w:p w14:paraId="56102023"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43ADC48B" w14:textId="77777777" w:rsidR="00CC3538" w:rsidRPr="00CC3538" w:rsidRDefault="00CC3538" w:rsidP="00CC3538">
            <w:pPr>
              <w:widowControl w:val="0"/>
              <w:suppressAutoHyphens/>
              <w:spacing w:after="0" w:line="240" w:lineRule="auto"/>
              <w:jc w:val="center"/>
              <w:rPr>
                <w:rFonts w:ascii="Arial" w:hAnsi="Arial" w:cs="Arial"/>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tcPr>
          <w:p w14:paraId="7C59DC90"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r>
      <w:tr w:rsidR="00CC3538" w:rsidRPr="00CC3538" w14:paraId="668A150F" w14:textId="77777777" w:rsidTr="00CE76B6">
        <w:trPr>
          <w:trHeight w:val="102"/>
          <w:jc w:val="center"/>
        </w:trPr>
        <w:tc>
          <w:tcPr>
            <w:tcW w:w="3309" w:type="dxa"/>
            <w:tcBorders>
              <w:top w:val="single" w:sz="3" w:space="0" w:color="000001"/>
              <w:left w:val="single" w:sz="3" w:space="0" w:color="000001"/>
              <w:bottom w:val="single" w:sz="3" w:space="0" w:color="000001"/>
            </w:tcBorders>
            <w:shd w:val="clear" w:color="auto" w:fill="auto"/>
            <w:vAlign w:val="center"/>
          </w:tcPr>
          <w:p w14:paraId="357CE6E4" w14:textId="77777777" w:rsidR="00CC3538" w:rsidRPr="00CC3538" w:rsidRDefault="00CC3538" w:rsidP="00CC3538">
            <w:pPr>
              <w:widowControl w:val="0"/>
              <w:suppressAutoHyphens/>
              <w:spacing w:after="0" w:line="240" w:lineRule="auto"/>
              <w:rPr>
                <w:rFonts w:ascii="Arial" w:hAnsi="Arial" w:cs="Arial"/>
                <w:kern w:val="1"/>
                <w:sz w:val="20"/>
                <w:szCs w:val="20"/>
                <w:lang w:val="ro-RO" w:eastAsia="hi-IN" w:bidi="hi-IN"/>
              </w:rPr>
            </w:pPr>
            <w:r w:rsidRPr="00CC3538">
              <w:rPr>
                <w:rFonts w:ascii="Arial" w:hAnsi="Arial" w:cs="Arial"/>
                <w:kern w:val="1"/>
                <w:sz w:val="20"/>
                <w:szCs w:val="20"/>
                <w:lang w:val="ro-RO" w:eastAsia="hi-IN" w:bidi="hi-IN"/>
              </w:rPr>
              <w:t>Consum de combustibil (litri)</w:t>
            </w:r>
          </w:p>
        </w:tc>
        <w:tc>
          <w:tcPr>
            <w:tcW w:w="1149" w:type="dxa"/>
            <w:tcBorders>
              <w:top w:val="single" w:sz="3" w:space="0" w:color="000001"/>
              <w:left w:val="single" w:sz="3" w:space="0" w:color="000001"/>
              <w:bottom w:val="single" w:sz="3" w:space="0" w:color="000001"/>
            </w:tcBorders>
            <w:shd w:val="clear" w:color="auto" w:fill="auto"/>
            <w:vAlign w:val="center"/>
          </w:tcPr>
          <w:p w14:paraId="13B2978A"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313,90</w:t>
            </w:r>
          </w:p>
        </w:tc>
        <w:tc>
          <w:tcPr>
            <w:tcW w:w="1149" w:type="dxa"/>
            <w:tcBorders>
              <w:top w:val="single" w:sz="3" w:space="0" w:color="000001"/>
              <w:left w:val="single" w:sz="3" w:space="0" w:color="000001"/>
              <w:bottom w:val="single" w:sz="3" w:space="0" w:color="000001"/>
              <w:right w:val="single" w:sz="3" w:space="0" w:color="000001"/>
            </w:tcBorders>
            <w:vAlign w:val="center"/>
          </w:tcPr>
          <w:p w14:paraId="456C5363"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416,11</w:t>
            </w:r>
          </w:p>
        </w:tc>
        <w:tc>
          <w:tcPr>
            <w:tcW w:w="1149" w:type="dxa"/>
            <w:tcBorders>
              <w:top w:val="single" w:sz="3" w:space="0" w:color="000001"/>
              <w:left w:val="single" w:sz="3" w:space="0" w:color="000001"/>
              <w:bottom w:val="single" w:sz="3" w:space="0" w:color="000001"/>
              <w:right w:val="single" w:sz="3" w:space="0" w:color="000001"/>
            </w:tcBorders>
            <w:shd w:val="clear" w:color="auto" w:fill="auto"/>
            <w:vAlign w:val="center"/>
          </w:tcPr>
          <w:p w14:paraId="67C7D70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4380,10</w:t>
            </w:r>
          </w:p>
        </w:tc>
        <w:tc>
          <w:tcPr>
            <w:tcW w:w="1149" w:type="dxa"/>
            <w:tcBorders>
              <w:top w:val="single" w:sz="3" w:space="0" w:color="000001"/>
              <w:left w:val="single" w:sz="3" w:space="0" w:color="000001"/>
              <w:bottom w:val="single" w:sz="3" w:space="0" w:color="000001"/>
              <w:right w:val="single" w:sz="4" w:space="0" w:color="auto"/>
            </w:tcBorders>
            <w:shd w:val="clear" w:color="auto" w:fill="D9D9D9"/>
            <w:vAlign w:val="center"/>
          </w:tcPr>
          <w:p w14:paraId="78910E1E"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6FD78849" w14:textId="77777777" w:rsidR="00CC3538" w:rsidRPr="00CC3538" w:rsidRDefault="00CC3538" w:rsidP="00CC3538">
            <w:pPr>
              <w:widowControl w:val="0"/>
              <w:suppressAutoHyphens/>
              <w:spacing w:after="0" w:line="240" w:lineRule="auto"/>
              <w:jc w:val="center"/>
              <w:rPr>
                <w:rFonts w:ascii="Arial" w:hAnsi="Arial" w:cs="Arial"/>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tcPr>
          <w:p w14:paraId="3A944E3C"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r>
    </w:tbl>
    <w:p w14:paraId="43E5371E" w14:textId="3EE05A9A" w:rsidR="00122FF9" w:rsidRDefault="00122FF9" w:rsidP="00122FF9">
      <w:pPr>
        <w:widowControl w:val="0"/>
        <w:spacing w:after="0" w:line="240" w:lineRule="auto"/>
        <w:rPr>
          <w:rFonts w:ascii="Arial" w:eastAsia="Arial" w:hAnsi="Arial" w:cs="Arial"/>
          <w:kern w:val="1"/>
          <w:sz w:val="20"/>
          <w:szCs w:val="24"/>
          <w:lang w:val="ro-RO" w:eastAsia="hi-IN" w:bidi="hi-IN"/>
        </w:rPr>
      </w:pPr>
    </w:p>
    <w:p w14:paraId="40009AC4" w14:textId="77777777" w:rsidR="00CC3538" w:rsidRPr="00122FF9" w:rsidRDefault="00CC3538" w:rsidP="00122FF9">
      <w:pPr>
        <w:widowControl w:val="0"/>
        <w:spacing w:after="0" w:line="240" w:lineRule="auto"/>
        <w:rPr>
          <w:rFonts w:ascii="Arial" w:eastAsia="Arial" w:hAnsi="Arial" w:cs="Arial"/>
          <w:kern w:val="1"/>
          <w:sz w:val="20"/>
          <w:szCs w:val="24"/>
          <w:lang w:val="ro-RO" w:eastAsia="hi-IN" w:bidi="hi-IN"/>
        </w:rPr>
      </w:pPr>
    </w:p>
    <w:tbl>
      <w:tblPr>
        <w:tblW w:w="10250" w:type="dxa"/>
        <w:jc w:val="center"/>
        <w:tblLayout w:type="fixed"/>
        <w:tblCellMar>
          <w:left w:w="0" w:type="dxa"/>
          <w:right w:w="0" w:type="dxa"/>
        </w:tblCellMar>
        <w:tblLook w:val="0000" w:firstRow="0" w:lastRow="0" w:firstColumn="0" w:lastColumn="0" w:noHBand="0" w:noVBand="0"/>
      </w:tblPr>
      <w:tblGrid>
        <w:gridCol w:w="3309"/>
        <w:gridCol w:w="1164"/>
        <w:gridCol w:w="1164"/>
        <w:gridCol w:w="1164"/>
        <w:gridCol w:w="1164"/>
        <w:gridCol w:w="1164"/>
        <w:gridCol w:w="1121"/>
      </w:tblGrid>
      <w:tr w:rsidR="00CC3538" w:rsidRPr="00CC3538" w14:paraId="6B72FAFE" w14:textId="77777777" w:rsidTr="00CE76B6">
        <w:trPr>
          <w:trHeight w:val="542"/>
          <w:jc w:val="center"/>
        </w:trPr>
        <w:tc>
          <w:tcPr>
            <w:tcW w:w="3309" w:type="dxa"/>
            <w:vMerge w:val="restart"/>
            <w:tcBorders>
              <w:top w:val="single" w:sz="3" w:space="0" w:color="000001"/>
              <w:left w:val="single" w:sz="3" w:space="0" w:color="000001"/>
            </w:tcBorders>
            <w:shd w:val="clear" w:color="auto" w:fill="D9D9D9"/>
            <w:vAlign w:val="center"/>
          </w:tcPr>
          <w:p w14:paraId="6AEC0CE8"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Parametru</w:t>
            </w:r>
          </w:p>
        </w:tc>
        <w:tc>
          <w:tcPr>
            <w:tcW w:w="3492" w:type="dxa"/>
            <w:gridSpan w:val="3"/>
            <w:tcBorders>
              <w:top w:val="single" w:sz="3" w:space="0" w:color="000001"/>
              <w:left w:val="single" w:sz="3" w:space="0" w:color="000001"/>
              <w:bottom w:val="single" w:sz="3" w:space="0" w:color="000001"/>
              <w:right w:val="single" w:sz="4" w:space="0" w:color="auto"/>
            </w:tcBorders>
            <w:shd w:val="clear" w:color="auto" w:fill="D9D9D9"/>
            <w:vAlign w:val="center"/>
          </w:tcPr>
          <w:p w14:paraId="7CB8007C"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Scenariul 2</w:t>
            </w:r>
          </w:p>
        </w:tc>
        <w:tc>
          <w:tcPr>
            <w:tcW w:w="3449"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39F79DF1"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Scenariul 3</w:t>
            </w:r>
          </w:p>
        </w:tc>
      </w:tr>
      <w:tr w:rsidR="00CC3538" w:rsidRPr="00CC3538" w14:paraId="5CB58EB2" w14:textId="77777777" w:rsidTr="00CE76B6">
        <w:trPr>
          <w:trHeight w:val="542"/>
          <w:jc w:val="center"/>
        </w:trPr>
        <w:tc>
          <w:tcPr>
            <w:tcW w:w="3309" w:type="dxa"/>
            <w:vMerge/>
            <w:tcBorders>
              <w:top w:val="single" w:sz="3" w:space="0" w:color="000001"/>
              <w:left w:val="single" w:sz="3" w:space="0" w:color="000001"/>
              <w:right w:val="single" w:sz="4" w:space="0" w:color="auto"/>
            </w:tcBorders>
            <w:shd w:val="clear" w:color="auto" w:fill="D9D9D9"/>
            <w:vAlign w:val="center"/>
          </w:tcPr>
          <w:p w14:paraId="3513D750"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p>
        </w:tc>
        <w:tc>
          <w:tcPr>
            <w:tcW w:w="6941"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5537E769"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2035</w:t>
            </w:r>
          </w:p>
        </w:tc>
      </w:tr>
      <w:tr w:rsidR="00CC3538" w:rsidRPr="00CC3538" w14:paraId="2DA26852" w14:textId="77777777" w:rsidTr="00CE76B6">
        <w:trPr>
          <w:trHeight w:val="542"/>
          <w:jc w:val="center"/>
        </w:trPr>
        <w:tc>
          <w:tcPr>
            <w:tcW w:w="3309" w:type="dxa"/>
            <w:vMerge/>
            <w:tcBorders>
              <w:left w:val="single" w:sz="3" w:space="0" w:color="000001"/>
              <w:bottom w:val="single" w:sz="3" w:space="0" w:color="000001"/>
            </w:tcBorders>
            <w:shd w:val="clear" w:color="auto" w:fill="D9D9D9"/>
            <w:vAlign w:val="center"/>
          </w:tcPr>
          <w:p w14:paraId="3C301D8D"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p>
        </w:tc>
        <w:tc>
          <w:tcPr>
            <w:tcW w:w="1164" w:type="dxa"/>
            <w:tcBorders>
              <w:top w:val="single" w:sz="3" w:space="0" w:color="000001"/>
              <w:left w:val="single" w:sz="3" w:space="0" w:color="000001"/>
              <w:bottom w:val="single" w:sz="3" w:space="0" w:color="000001"/>
            </w:tcBorders>
            <w:shd w:val="clear" w:color="auto" w:fill="D9D9D9"/>
            <w:vAlign w:val="center"/>
          </w:tcPr>
          <w:p w14:paraId="1CEA90BA"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AM</w:t>
            </w:r>
          </w:p>
        </w:tc>
        <w:tc>
          <w:tcPr>
            <w:tcW w:w="1164"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6DBEF5A0"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PM</w:t>
            </w:r>
          </w:p>
        </w:tc>
        <w:tc>
          <w:tcPr>
            <w:tcW w:w="1164" w:type="dxa"/>
            <w:tcBorders>
              <w:top w:val="single" w:sz="3" w:space="0" w:color="000001"/>
              <w:left w:val="single" w:sz="3" w:space="0" w:color="000001"/>
              <w:bottom w:val="single" w:sz="3" w:space="0" w:color="000001"/>
              <w:right w:val="single" w:sz="4" w:space="0" w:color="auto"/>
            </w:tcBorders>
            <w:shd w:val="clear" w:color="auto" w:fill="D9D9D9"/>
            <w:vAlign w:val="center"/>
          </w:tcPr>
          <w:p w14:paraId="51E1F4F5"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24 h</w:t>
            </w:r>
          </w:p>
        </w:tc>
        <w:tc>
          <w:tcPr>
            <w:tcW w:w="1164" w:type="dxa"/>
            <w:tcBorders>
              <w:top w:val="single" w:sz="4" w:space="0" w:color="auto"/>
              <w:left w:val="single" w:sz="4" w:space="0" w:color="auto"/>
              <w:bottom w:val="single" w:sz="4" w:space="0" w:color="auto"/>
              <w:right w:val="single" w:sz="4" w:space="0" w:color="auto"/>
            </w:tcBorders>
            <w:shd w:val="clear" w:color="auto" w:fill="D9D9D9"/>
            <w:vAlign w:val="center"/>
          </w:tcPr>
          <w:p w14:paraId="647F4254"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AM</w:t>
            </w:r>
          </w:p>
        </w:tc>
        <w:tc>
          <w:tcPr>
            <w:tcW w:w="1164" w:type="dxa"/>
            <w:tcBorders>
              <w:top w:val="single" w:sz="4" w:space="0" w:color="auto"/>
              <w:left w:val="single" w:sz="4" w:space="0" w:color="auto"/>
              <w:bottom w:val="single" w:sz="4" w:space="0" w:color="auto"/>
              <w:right w:val="single" w:sz="4" w:space="0" w:color="auto"/>
            </w:tcBorders>
            <w:shd w:val="clear" w:color="auto" w:fill="D9D9D9"/>
            <w:vAlign w:val="center"/>
          </w:tcPr>
          <w:p w14:paraId="01207CDE"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PM</w:t>
            </w:r>
          </w:p>
        </w:tc>
        <w:tc>
          <w:tcPr>
            <w:tcW w:w="1121" w:type="dxa"/>
            <w:tcBorders>
              <w:top w:val="single" w:sz="4" w:space="0" w:color="auto"/>
              <w:left w:val="single" w:sz="4" w:space="0" w:color="auto"/>
              <w:bottom w:val="single" w:sz="4" w:space="0" w:color="auto"/>
              <w:right w:val="single" w:sz="4" w:space="0" w:color="auto"/>
            </w:tcBorders>
            <w:shd w:val="clear" w:color="auto" w:fill="D9D9D9"/>
            <w:vAlign w:val="center"/>
          </w:tcPr>
          <w:p w14:paraId="5662F6C9"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24 h</w:t>
            </w:r>
          </w:p>
        </w:tc>
      </w:tr>
      <w:tr w:rsidR="00CC3538" w:rsidRPr="00CC3538" w14:paraId="071633A8" w14:textId="77777777" w:rsidTr="00CE76B6">
        <w:trPr>
          <w:trHeight w:val="53"/>
          <w:jc w:val="center"/>
        </w:trPr>
        <w:tc>
          <w:tcPr>
            <w:tcW w:w="3309" w:type="dxa"/>
            <w:tcBorders>
              <w:top w:val="single" w:sz="3" w:space="0" w:color="000001"/>
              <w:left w:val="single" w:sz="3" w:space="0" w:color="000001"/>
              <w:bottom w:val="single" w:sz="3" w:space="0" w:color="000001"/>
            </w:tcBorders>
            <w:shd w:val="clear" w:color="auto" w:fill="auto"/>
            <w:vAlign w:val="center"/>
          </w:tcPr>
          <w:p w14:paraId="4A88D4ED" w14:textId="77777777" w:rsidR="00CC3538" w:rsidRPr="00CC3538" w:rsidRDefault="00CC3538" w:rsidP="00CC3538">
            <w:pPr>
              <w:widowControl w:val="0"/>
              <w:suppressAutoHyphens/>
              <w:spacing w:after="0" w:line="240" w:lineRule="auto"/>
              <w:rPr>
                <w:rFonts w:ascii="Arial" w:hAnsi="Arial" w:cs="Arial"/>
                <w:kern w:val="1"/>
                <w:sz w:val="20"/>
                <w:szCs w:val="20"/>
                <w:lang w:val="ro-RO" w:eastAsia="hi-IN" w:bidi="hi-IN"/>
              </w:rPr>
            </w:pPr>
            <w:r w:rsidRPr="00CC3538">
              <w:rPr>
                <w:rFonts w:ascii="Arial" w:hAnsi="Arial" w:cs="Arial"/>
                <w:kern w:val="1"/>
                <w:sz w:val="20"/>
                <w:szCs w:val="20"/>
                <w:lang w:val="ro-RO" w:eastAsia="hi-IN" w:bidi="hi-IN"/>
              </w:rPr>
              <w:t>Viteza medie de circulație (km/h)</w:t>
            </w:r>
          </w:p>
        </w:tc>
        <w:tc>
          <w:tcPr>
            <w:tcW w:w="1164" w:type="dxa"/>
            <w:tcBorders>
              <w:top w:val="single" w:sz="3" w:space="0" w:color="000001"/>
              <w:left w:val="single" w:sz="3" w:space="0" w:color="000001"/>
              <w:bottom w:val="single" w:sz="3" w:space="0" w:color="000001"/>
            </w:tcBorders>
            <w:shd w:val="clear" w:color="auto" w:fill="auto"/>
            <w:vAlign w:val="center"/>
          </w:tcPr>
          <w:p w14:paraId="7E5D5858"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31,29</w:t>
            </w:r>
          </w:p>
        </w:tc>
        <w:tc>
          <w:tcPr>
            <w:tcW w:w="1164" w:type="dxa"/>
            <w:tcBorders>
              <w:top w:val="single" w:sz="3" w:space="0" w:color="000001"/>
              <w:left w:val="single" w:sz="3" w:space="0" w:color="000001"/>
              <w:bottom w:val="single" w:sz="3" w:space="0" w:color="000001"/>
              <w:right w:val="single" w:sz="3" w:space="0" w:color="000001"/>
            </w:tcBorders>
            <w:vAlign w:val="center"/>
          </w:tcPr>
          <w:p w14:paraId="5E131669"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31,92</w:t>
            </w:r>
          </w:p>
        </w:tc>
        <w:tc>
          <w:tcPr>
            <w:tcW w:w="1164" w:type="dxa"/>
            <w:tcBorders>
              <w:top w:val="single" w:sz="3" w:space="0" w:color="000001"/>
              <w:left w:val="single" w:sz="3" w:space="0" w:color="000001"/>
              <w:bottom w:val="single" w:sz="3" w:space="0" w:color="000001"/>
              <w:right w:val="single" w:sz="4" w:space="0" w:color="auto"/>
            </w:tcBorders>
            <w:shd w:val="clear" w:color="auto" w:fill="auto"/>
            <w:vAlign w:val="center"/>
          </w:tcPr>
          <w:p w14:paraId="1D4FB07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34,77</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15314B14"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31,30</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1F19F830"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31,78</w:t>
            </w:r>
          </w:p>
        </w:tc>
        <w:tc>
          <w:tcPr>
            <w:tcW w:w="1121" w:type="dxa"/>
            <w:tcBorders>
              <w:top w:val="single" w:sz="4" w:space="0" w:color="auto"/>
              <w:left w:val="single" w:sz="4" w:space="0" w:color="auto"/>
              <w:bottom w:val="single" w:sz="4" w:space="0" w:color="auto"/>
              <w:right w:val="single" w:sz="4" w:space="0" w:color="auto"/>
            </w:tcBorders>
            <w:shd w:val="clear" w:color="auto" w:fill="auto"/>
            <w:vAlign w:val="center"/>
          </w:tcPr>
          <w:p w14:paraId="42530C93"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34,69</w:t>
            </w:r>
          </w:p>
        </w:tc>
      </w:tr>
      <w:tr w:rsidR="00CC3538" w:rsidRPr="00CC3538" w14:paraId="0D34F534" w14:textId="77777777" w:rsidTr="00CE76B6">
        <w:trPr>
          <w:trHeight w:val="53"/>
          <w:jc w:val="center"/>
        </w:trPr>
        <w:tc>
          <w:tcPr>
            <w:tcW w:w="3309" w:type="dxa"/>
            <w:tcBorders>
              <w:top w:val="single" w:sz="3" w:space="0" w:color="000001"/>
              <w:left w:val="single" w:sz="3" w:space="0" w:color="000001"/>
              <w:bottom w:val="single" w:sz="3" w:space="0" w:color="000001"/>
            </w:tcBorders>
            <w:shd w:val="clear" w:color="auto" w:fill="auto"/>
            <w:vAlign w:val="center"/>
          </w:tcPr>
          <w:p w14:paraId="79C855BF" w14:textId="77777777" w:rsidR="00CC3538" w:rsidRPr="00CC3538" w:rsidRDefault="00CC3538" w:rsidP="00CC3538">
            <w:pPr>
              <w:widowControl w:val="0"/>
              <w:suppressAutoHyphens/>
              <w:spacing w:after="0" w:line="240" w:lineRule="auto"/>
              <w:rPr>
                <w:rFonts w:ascii="Arial" w:hAnsi="Arial" w:cs="Arial"/>
                <w:kern w:val="1"/>
                <w:sz w:val="20"/>
                <w:szCs w:val="20"/>
                <w:lang w:val="ro-RO" w:eastAsia="hi-IN" w:bidi="hi-IN"/>
              </w:rPr>
            </w:pPr>
            <w:r w:rsidRPr="00CC3538">
              <w:rPr>
                <w:rFonts w:ascii="Arial" w:hAnsi="Arial" w:cs="Arial"/>
                <w:kern w:val="1"/>
                <w:sz w:val="20"/>
                <w:szCs w:val="20"/>
                <w:lang w:val="ro-RO" w:eastAsia="hi-IN" w:bidi="hi-IN"/>
              </w:rPr>
              <w:lastRenderedPageBreak/>
              <w:t>Întârzierea medie (sec)</w:t>
            </w:r>
          </w:p>
        </w:tc>
        <w:tc>
          <w:tcPr>
            <w:tcW w:w="1164" w:type="dxa"/>
            <w:tcBorders>
              <w:top w:val="single" w:sz="3" w:space="0" w:color="000001"/>
              <w:left w:val="single" w:sz="3" w:space="0" w:color="000001"/>
              <w:bottom w:val="single" w:sz="3" w:space="0" w:color="000001"/>
            </w:tcBorders>
            <w:shd w:val="clear" w:color="auto" w:fill="auto"/>
            <w:vAlign w:val="center"/>
          </w:tcPr>
          <w:p w14:paraId="158E768D"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39,70</w:t>
            </w:r>
          </w:p>
        </w:tc>
        <w:tc>
          <w:tcPr>
            <w:tcW w:w="1164" w:type="dxa"/>
            <w:tcBorders>
              <w:top w:val="single" w:sz="3" w:space="0" w:color="000001"/>
              <w:left w:val="single" w:sz="3" w:space="0" w:color="000001"/>
              <w:bottom w:val="single" w:sz="3" w:space="0" w:color="000001"/>
              <w:right w:val="single" w:sz="3" w:space="0" w:color="000001"/>
            </w:tcBorders>
            <w:vAlign w:val="center"/>
          </w:tcPr>
          <w:p w14:paraId="1566C3EF"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37,78</w:t>
            </w:r>
          </w:p>
        </w:tc>
        <w:tc>
          <w:tcPr>
            <w:tcW w:w="1164" w:type="dxa"/>
            <w:tcBorders>
              <w:top w:val="single" w:sz="3" w:space="0" w:color="000001"/>
              <w:left w:val="single" w:sz="3" w:space="0" w:color="000001"/>
              <w:bottom w:val="single" w:sz="3" w:space="0" w:color="000001"/>
              <w:right w:val="single" w:sz="4" w:space="0" w:color="auto"/>
            </w:tcBorders>
            <w:shd w:val="clear" w:color="auto" w:fill="auto"/>
            <w:vAlign w:val="center"/>
          </w:tcPr>
          <w:p w14:paraId="227770F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19,85</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5B35254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39,67</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20E39FBC"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37,98</w:t>
            </w:r>
          </w:p>
        </w:tc>
        <w:tc>
          <w:tcPr>
            <w:tcW w:w="1121" w:type="dxa"/>
            <w:tcBorders>
              <w:top w:val="single" w:sz="4" w:space="0" w:color="auto"/>
              <w:left w:val="single" w:sz="4" w:space="0" w:color="auto"/>
              <w:bottom w:val="single" w:sz="4" w:space="0" w:color="auto"/>
              <w:right w:val="single" w:sz="4" w:space="0" w:color="auto"/>
            </w:tcBorders>
            <w:shd w:val="clear" w:color="auto" w:fill="auto"/>
            <w:vAlign w:val="center"/>
          </w:tcPr>
          <w:p w14:paraId="5773B6B4"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19,84</w:t>
            </w:r>
          </w:p>
        </w:tc>
      </w:tr>
      <w:tr w:rsidR="00CC3538" w:rsidRPr="00CC3538" w14:paraId="759ED5D0" w14:textId="77777777" w:rsidTr="00CE76B6">
        <w:trPr>
          <w:trHeight w:val="102"/>
          <w:jc w:val="center"/>
        </w:trPr>
        <w:tc>
          <w:tcPr>
            <w:tcW w:w="3309" w:type="dxa"/>
            <w:tcBorders>
              <w:top w:val="single" w:sz="3" w:space="0" w:color="000001"/>
              <w:left w:val="single" w:sz="3" w:space="0" w:color="000001"/>
              <w:bottom w:val="single" w:sz="3" w:space="0" w:color="000001"/>
            </w:tcBorders>
            <w:shd w:val="clear" w:color="auto" w:fill="auto"/>
            <w:vAlign w:val="center"/>
          </w:tcPr>
          <w:p w14:paraId="43AF8F40" w14:textId="77777777" w:rsidR="00CC3538" w:rsidRPr="00CC3538" w:rsidRDefault="00CC3538" w:rsidP="00CC3538">
            <w:pPr>
              <w:widowControl w:val="0"/>
              <w:suppressAutoHyphens/>
              <w:spacing w:after="0" w:line="240" w:lineRule="auto"/>
              <w:rPr>
                <w:rFonts w:ascii="Arial" w:hAnsi="Arial" w:cs="Arial"/>
                <w:kern w:val="1"/>
                <w:sz w:val="20"/>
                <w:szCs w:val="20"/>
                <w:lang w:val="ro-RO" w:eastAsia="hi-IN" w:bidi="hi-IN"/>
              </w:rPr>
            </w:pPr>
            <w:r w:rsidRPr="00CC3538">
              <w:rPr>
                <w:rFonts w:ascii="Arial" w:hAnsi="Arial" w:cs="Arial"/>
                <w:kern w:val="1"/>
                <w:sz w:val="20"/>
                <w:szCs w:val="20"/>
                <w:lang w:val="ro-RO" w:eastAsia="hi-IN" w:bidi="hi-IN"/>
              </w:rPr>
              <w:t>Consum de combustibil (litri)</w:t>
            </w:r>
          </w:p>
        </w:tc>
        <w:tc>
          <w:tcPr>
            <w:tcW w:w="1164" w:type="dxa"/>
            <w:tcBorders>
              <w:top w:val="single" w:sz="3" w:space="0" w:color="000001"/>
              <w:left w:val="single" w:sz="3" w:space="0" w:color="000001"/>
              <w:bottom w:val="single" w:sz="3" w:space="0" w:color="000001"/>
            </w:tcBorders>
            <w:shd w:val="clear" w:color="auto" w:fill="auto"/>
            <w:vAlign w:val="center"/>
          </w:tcPr>
          <w:p w14:paraId="41176F6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533,76</w:t>
            </w:r>
          </w:p>
        </w:tc>
        <w:tc>
          <w:tcPr>
            <w:tcW w:w="1164" w:type="dxa"/>
            <w:tcBorders>
              <w:top w:val="single" w:sz="3" w:space="0" w:color="000001"/>
              <w:left w:val="single" w:sz="3" w:space="0" w:color="000001"/>
              <w:bottom w:val="single" w:sz="3" w:space="0" w:color="000001"/>
              <w:right w:val="single" w:sz="3" w:space="0" w:color="000001"/>
            </w:tcBorders>
            <w:vAlign w:val="center"/>
          </w:tcPr>
          <w:p w14:paraId="3B19A480"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533,76</w:t>
            </w:r>
          </w:p>
        </w:tc>
        <w:tc>
          <w:tcPr>
            <w:tcW w:w="1164" w:type="dxa"/>
            <w:tcBorders>
              <w:top w:val="single" w:sz="3" w:space="0" w:color="000001"/>
              <w:left w:val="single" w:sz="3" w:space="0" w:color="000001"/>
              <w:bottom w:val="single" w:sz="3" w:space="0" w:color="000001"/>
              <w:right w:val="single" w:sz="4" w:space="0" w:color="auto"/>
            </w:tcBorders>
            <w:shd w:val="clear" w:color="auto" w:fill="auto"/>
            <w:vAlign w:val="center"/>
          </w:tcPr>
          <w:p w14:paraId="61C8936C"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6405,08</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66CC76AA"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513,34</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4CF14F31"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570,80</w:t>
            </w:r>
          </w:p>
        </w:tc>
        <w:tc>
          <w:tcPr>
            <w:tcW w:w="1121" w:type="dxa"/>
            <w:tcBorders>
              <w:top w:val="single" w:sz="4" w:space="0" w:color="auto"/>
              <w:left w:val="single" w:sz="4" w:space="0" w:color="auto"/>
              <w:bottom w:val="single" w:sz="4" w:space="0" w:color="auto"/>
              <w:right w:val="single" w:sz="4" w:space="0" w:color="auto"/>
            </w:tcBorders>
            <w:shd w:val="clear" w:color="auto" w:fill="auto"/>
            <w:vAlign w:val="center"/>
          </w:tcPr>
          <w:p w14:paraId="6077F92B"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6504,87</w:t>
            </w:r>
          </w:p>
        </w:tc>
      </w:tr>
    </w:tbl>
    <w:p w14:paraId="2468D2EC" w14:textId="77777777" w:rsidR="00122FF9" w:rsidRPr="00122FF9" w:rsidRDefault="00122FF9" w:rsidP="00122FF9">
      <w:pPr>
        <w:rPr>
          <w:lang w:val="ro-RO" w:eastAsia="zh-CN" w:bidi="hi-IN"/>
        </w:rPr>
      </w:pPr>
    </w:p>
    <w:p w14:paraId="64705CDB" w14:textId="77777777" w:rsidR="00D70AEA" w:rsidRPr="0012531B" w:rsidRDefault="00D70AEA" w:rsidP="0012531B">
      <w:pPr>
        <w:pStyle w:val="Titlu2"/>
        <w:rPr>
          <w:rFonts w:ascii="Arial" w:hAnsi="Arial" w:cs="Arial"/>
          <w:b/>
          <w:bCs/>
          <w:color w:val="auto"/>
        </w:rPr>
      </w:pPr>
      <w:bookmarkStart w:id="507" w:name="_Toc61264922"/>
      <w:bookmarkStart w:id="508" w:name="_Toc142039112"/>
      <w:r w:rsidRPr="0012531B">
        <w:rPr>
          <w:rFonts w:ascii="Arial" w:hAnsi="Arial" w:cs="Arial"/>
          <w:b/>
          <w:bCs/>
          <w:color w:val="auto"/>
        </w:rPr>
        <w:t>I.7.2</w:t>
      </w:r>
      <w:r w:rsidR="0012531B" w:rsidRPr="0012531B">
        <w:rPr>
          <w:rFonts w:ascii="Arial" w:hAnsi="Arial" w:cs="Arial"/>
          <w:b/>
          <w:bCs/>
          <w:color w:val="auto"/>
        </w:rPr>
        <w:t xml:space="preserve"> </w:t>
      </w:r>
      <w:r w:rsidRPr="0012531B">
        <w:rPr>
          <w:rFonts w:ascii="Arial" w:hAnsi="Arial" w:cs="Arial"/>
          <w:b/>
          <w:bCs/>
          <w:color w:val="auto"/>
        </w:rPr>
        <w:t>Impactul asupra mediului</w:t>
      </w:r>
      <w:bookmarkEnd w:id="507"/>
      <w:bookmarkEnd w:id="508"/>
    </w:p>
    <w:p w14:paraId="45A73572" w14:textId="77777777" w:rsidR="00122FF9" w:rsidRPr="00122FF9" w:rsidRDefault="00122FF9" w:rsidP="00122FF9">
      <w:pPr>
        <w:suppressAutoHyphens/>
        <w:autoSpaceDE w:val="0"/>
        <w:spacing w:after="0" w:line="276" w:lineRule="auto"/>
        <w:jc w:val="both"/>
        <w:rPr>
          <w:rFonts w:ascii="Arial" w:eastAsia="Arial" w:hAnsi="Arial" w:cs="Arial"/>
          <w:color w:val="000000"/>
          <w:lang w:val="es-ES" w:eastAsia="zh-CN"/>
        </w:rPr>
      </w:pPr>
      <w:r w:rsidRPr="00122FF9">
        <w:rPr>
          <w:rFonts w:ascii="Arial" w:eastAsia="Arial" w:hAnsi="Arial" w:cs="Arial"/>
          <w:color w:val="000000"/>
          <w:lang w:val="es-ES" w:eastAsia="zh-CN"/>
        </w:rPr>
        <w:t>Pentru evaluarea impactului actual al mobilităţii din punct de vedere al mediului au fost aleşi următorii indicatori (din modelul de transport realizat):</w:t>
      </w:r>
    </w:p>
    <w:p w14:paraId="3ABA21DE" w14:textId="77777777" w:rsidR="00122FF9" w:rsidRPr="00122FF9" w:rsidRDefault="00122FF9" w:rsidP="00122FF9">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122FF9">
        <w:rPr>
          <w:rFonts w:ascii="Arial" w:eastAsia="Arial" w:hAnsi="Arial" w:cs="Arial"/>
          <w:color w:val="000000"/>
          <w:lang w:eastAsia="zh-CN"/>
        </w:rPr>
        <w:t>Emisii CO (kg);</w:t>
      </w:r>
    </w:p>
    <w:p w14:paraId="11B2181E" w14:textId="77777777" w:rsidR="00122FF9" w:rsidRPr="00122FF9" w:rsidRDefault="00122FF9" w:rsidP="00122FF9">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122FF9">
        <w:rPr>
          <w:rFonts w:ascii="Arial" w:eastAsia="Arial" w:hAnsi="Arial" w:cs="Arial"/>
          <w:color w:val="000000"/>
          <w:lang w:eastAsia="zh-CN"/>
        </w:rPr>
        <w:t>Emisii NOx (kg);</w:t>
      </w:r>
    </w:p>
    <w:p w14:paraId="785401E6" w14:textId="77777777" w:rsidR="00122FF9" w:rsidRPr="00122FF9" w:rsidRDefault="00122FF9" w:rsidP="00122FF9">
      <w:pPr>
        <w:widowControl w:val="0"/>
        <w:numPr>
          <w:ilvl w:val="0"/>
          <w:numId w:val="72"/>
        </w:numPr>
        <w:suppressAutoHyphens/>
        <w:autoSpaceDE w:val="0"/>
        <w:spacing w:after="0" w:line="276" w:lineRule="auto"/>
        <w:jc w:val="both"/>
        <w:rPr>
          <w:rFonts w:ascii="Arial" w:eastAsia="Arial" w:hAnsi="Arial" w:cs="Arial"/>
          <w:color w:val="000000"/>
          <w:lang w:eastAsia="zh-CN"/>
        </w:rPr>
      </w:pPr>
      <w:r w:rsidRPr="00122FF9">
        <w:rPr>
          <w:rFonts w:ascii="Arial" w:eastAsia="Arial" w:hAnsi="Arial" w:cs="Arial"/>
          <w:color w:val="000000"/>
          <w:lang w:eastAsia="zh-CN"/>
        </w:rPr>
        <w:t>Emisii SO</w:t>
      </w:r>
      <w:r w:rsidRPr="00122FF9">
        <w:rPr>
          <w:rFonts w:ascii="Arial" w:eastAsia="Arial" w:hAnsi="Arial" w:cs="Arial"/>
          <w:color w:val="000000"/>
          <w:vertAlign w:val="subscript"/>
          <w:lang w:eastAsia="zh-CN"/>
        </w:rPr>
        <w:t>2</w:t>
      </w:r>
      <w:r w:rsidRPr="00122FF9">
        <w:rPr>
          <w:rFonts w:ascii="Arial" w:eastAsia="Arial" w:hAnsi="Arial" w:cs="Arial"/>
          <w:color w:val="000000"/>
          <w:lang w:eastAsia="zh-CN"/>
        </w:rPr>
        <w:t>(kg).</w:t>
      </w:r>
    </w:p>
    <w:p w14:paraId="49D9CDF0" w14:textId="77777777" w:rsidR="004F5666" w:rsidRPr="004F5666" w:rsidRDefault="004F5666" w:rsidP="004F5666">
      <w:pPr>
        <w:suppressAutoHyphens/>
        <w:autoSpaceDE w:val="0"/>
        <w:spacing w:after="0" w:line="360" w:lineRule="auto"/>
        <w:jc w:val="both"/>
        <w:rPr>
          <w:rFonts w:ascii="Arial" w:eastAsia="Times New Roman" w:hAnsi="Arial" w:cs="Arial"/>
          <w:sz w:val="24"/>
          <w:szCs w:val="24"/>
          <w:lang w:eastAsia="ro-RO"/>
        </w:rPr>
      </w:pPr>
    </w:p>
    <w:p w14:paraId="43BE53EB" w14:textId="77777777" w:rsidR="004F5666" w:rsidRPr="0012531B" w:rsidRDefault="004F5666" w:rsidP="0012531B">
      <w:pPr>
        <w:pStyle w:val="Titlu3"/>
        <w:rPr>
          <w:rFonts w:ascii="Arial" w:eastAsia="Calibri" w:hAnsi="Arial" w:cs="Arial"/>
          <w:sz w:val="24"/>
          <w:szCs w:val="24"/>
        </w:rPr>
      </w:pPr>
      <w:bookmarkStart w:id="509" w:name="_Toc142039113"/>
      <w:r w:rsidRPr="0012531B">
        <w:rPr>
          <w:rFonts w:ascii="Arial" w:eastAsia="Calibri" w:hAnsi="Arial" w:cs="Arial"/>
          <w:sz w:val="24"/>
          <w:szCs w:val="24"/>
        </w:rPr>
        <w:t>I.7.2.1 Orizont 2027</w:t>
      </w:r>
      <w:bookmarkEnd w:id="509"/>
    </w:p>
    <w:p w14:paraId="77A62F24" w14:textId="77777777" w:rsidR="004F5666" w:rsidRDefault="004F5666" w:rsidP="0012531B">
      <w:pPr>
        <w:pStyle w:val="Titlu4"/>
        <w:numPr>
          <w:ilvl w:val="0"/>
          <w:numId w:val="0"/>
        </w:numPr>
        <w:rPr>
          <w:rFonts w:ascii="Arial" w:hAnsi="Arial" w:cs="Arial"/>
          <w:sz w:val="22"/>
          <w:szCs w:val="22"/>
          <w:lang w:bidi="hi-IN"/>
        </w:rPr>
      </w:pPr>
      <w:r w:rsidRPr="0012531B">
        <w:rPr>
          <w:rFonts w:ascii="Arial" w:hAnsi="Arial" w:cs="Arial"/>
          <w:sz w:val="22"/>
          <w:szCs w:val="22"/>
          <w:lang w:bidi="hi-IN"/>
        </w:rPr>
        <w:t>I.7.2.1.1 Parametri ora de vârf AM orizont 2027</w:t>
      </w:r>
    </w:p>
    <w:p w14:paraId="3D6B70F0" w14:textId="671B4814" w:rsidR="00FF1FA4" w:rsidRDefault="00FF1FA4" w:rsidP="00FF1FA4">
      <w:pPr>
        <w:widowControl w:val="0"/>
        <w:suppressAutoHyphens/>
        <w:spacing w:after="0" w:line="360" w:lineRule="auto"/>
        <w:jc w:val="both"/>
        <w:rPr>
          <w:rFonts w:ascii="Arial" w:hAnsi="Arial" w:cs="Arial"/>
          <w:kern w:val="1"/>
          <w:lang w:val="ro-RO" w:eastAsia="hi-IN" w:bidi="hi-IN"/>
        </w:rPr>
      </w:pPr>
      <w:r w:rsidRPr="00FF1FA4">
        <w:rPr>
          <w:rFonts w:ascii="Arial" w:hAnsi="Arial" w:cs="Arial"/>
          <w:kern w:val="1"/>
          <w:lang w:val="ro-RO" w:eastAsia="hi-IN" w:bidi="hi-IN"/>
        </w:rPr>
        <w:t>In urma aplicării măsurilor cuprinse în scenariile 1 şi 2, la nivel de rețea se obțin următoarele date referitoare la emisiile de monoxid de carbon, oxizi de azot şi dioxid de sulf.</w:t>
      </w:r>
    </w:p>
    <w:p w14:paraId="7D2B0FCA" w14:textId="77777777" w:rsidR="00CC3538" w:rsidRPr="00FF1FA4" w:rsidRDefault="00CC3538" w:rsidP="00FF1FA4">
      <w:pPr>
        <w:widowControl w:val="0"/>
        <w:suppressAutoHyphens/>
        <w:spacing w:after="0" w:line="360" w:lineRule="auto"/>
        <w:jc w:val="both"/>
        <w:rPr>
          <w:rFonts w:ascii="Arial" w:hAnsi="Arial" w:cs="Arial"/>
          <w:kern w:val="1"/>
          <w:lang w:val="ro-RO" w:eastAsia="hi-IN" w:bidi="hi-IN"/>
        </w:rPr>
      </w:pPr>
    </w:p>
    <w:p w14:paraId="5DD88093" w14:textId="6D40EB60" w:rsidR="00FF1FA4" w:rsidRPr="00FF1FA4" w:rsidRDefault="00BB0D72" w:rsidP="00FF1FA4">
      <w:pPr>
        <w:spacing w:after="200" w:line="240" w:lineRule="auto"/>
        <w:jc w:val="center"/>
        <w:rPr>
          <w:rFonts w:ascii="Arial" w:eastAsia="Calibri" w:hAnsi="Arial" w:cs="Arial"/>
          <w:b/>
          <w:iCs/>
          <w:color w:val="000000"/>
          <w:lang w:val="it-IT" w:eastAsia="zh-CN"/>
        </w:rPr>
      </w:pPr>
      <w:bookmarkStart w:id="510" w:name="_Toc68361283"/>
      <w:bookmarkStart w:id="511" w:name="_Toc96463911"/>
      <w:r>
        <w:rPr>
          <w:rFonts w:ascii="Arial" w:hAnsi="Arial" w:cs="Arial"/>
          <w:i/>
          <w:iCs/>
          <w:color w:val="1F497D"/>
        </w:rPr>
        <w:t>Tabel I.7.</w:t>
      </w:r>
      <w:r w:rsidR="00FF1FA4" w:rsidRPr="00FF1FA4">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15</w:t>
      </w:r>
      <w:r>
        <w:rPr>
          <w:rFonts w:ascii="Arial" w:hAnsi="Arial" w:cs="Arial"/>
          <w:i/>
          <w:iCs/>
          <w:color w:val="1F497D"/>
        </w:rPr>
        <w:fldChar w:fldCharType="end"/>
      </w:r>
      <w:r w:rsidR="00FF1FA4" w:rsidRPr="00FF1FA4">
        <w:rPr>
          <w:rFonts w:ascii="Arial" w:hAnsi="Arial" w:cs="Arial"/>
          <w:i/>
          <w:iCs/>
          <w:color w:val="1F497D"/>
        </w:rPr>
        <w:t xml:space="preserve"> - </w:t>
      </w:r>
      <w:r w:rsidR="00FF1FA4" w:rsidRPr="00FF1FA4">
        <w:rPr>
          <w:rFonts w:ascii="Arial" w:hAnsi="Arial" w:cs="Arial"/>
          <w:iCs/>
          <w:color w:val="1F497D"/>
        </w:rPr>
        <w:t>Parametri ora de vârf AM orizont 2027 – scenariile 1 şi 2</w:t>
      </w:r>
      <w:bookmarkEnd w:id="510"/>
      <w:bookmarkEnd w:id="511"/>
    </w:p>
    <w:tbl>
      <w:tblPr>
        <w:tblW w:w="0" w:type="auto"/>
        <w:jc w:val="center"/>
        <w:tblLayout w:type="fixed"/>
        <w:tblCellMar>
          <w:left w:w="0" w:type="dxa"/>
          <w:right w:w="0" w:type="dxa"/>
        </w:tblCellMar>
        <w:tblLook w:val="0000" w:firstRow="0" w:lastRow="0" w:firstColumn="0" w:lastColumn="0" w:noHBand="0" w:noVBand="0"/>
      </w:tblPr>
      <w:tblGrid>
        <w:gridCol w:w="3792"/>
        <w:gridCol w:w="1515"/>
        <w:gridCol w:w="1515"/>
        <w:gridCol w:w="1573"/>
      </w:tblGrid>
      <w:tr w:rsidR="00C36A80" w:rsidRPr="00C36A80" w14:paraId="09BBBDD3" w14:textId="77777777" w:rsidTr="00C36A80">
        <w:trPr>
          <w:trHeight w:val="542"/>
          <w:jc w:val="center"/>
        </w:trPr>
        <w:tc>
          <w:tcPr>
            <w:tcW w:w="3792" w:type="dxa"/>
            <w:tcBorders>
              <w:top w:val="single" w:sz="2" w:space="0" w:color="000001"/>
              <w:left w:val="single" w:sz="2" w:space="0" w:color="000001"/>
              <w:bottom w:val="single" w:sz="2" w:space="0" w:color="000001"/>
            </w:tcBorders>
            <w:shd w:val="clear" w:color="auto" w:fill="D9D9D9"/>
            <w:vAlign w:val="center"/>
          </w:tcPr>
          <w:p w14:paraId="13C66DCA" w14:textId="77777777" w:rsidR="00C36A80" w:rsidRPr="00C36A80" w:rsidRDefault="00C36A80" w:rsidP="00C36A80">
            <w:pPr>
              <w:widowControl w:val="0"/>
              <w:suppressAutoHyphens/>
              <w:spacing w:after="0" w:line="360" w:lineRule="auto"/>
              <w:jc w:val="center"/>
              <w:rPr>
                <w:rFonts w:ascii="Arial" w:hAnsi="Arial" w:cs="Arial"/>
                <w:b/>
                <w:color w:val="000000"/>
                <w:kern w:val="1"/>
                <w:sz w:val="20"/>
                <w:szCs w:val="24"/>
                <w:lang w:val="ro-RO" w:eastAsia="hi-IN" w:bidi="hi-IN"/>
              </w:rPr>
            </w:pPr>
            <w:r w:rsidRPr="00C36A80">
              <w:rPr>
                <w:rFonts w:ascii="Arial" w:hAnsi="Arial" w:cs="Arial"/>
                <w:b/>
                <w:color w:val="000000"/>
                <w:kern w:val="1"/>
                <w:sz w:val="20"/>
                <w:szCs w:val="24"/>
                <w:lang w:val="ro-RO" w:eastAsia="hi-IN" w:bidi="hi-IN"/>
              </w:rPr>
              <w:t>Parametru</w:t>
            </w:r>
          </w:p>
        </w:tc>
        <w:tc>
          <w:tcPr>
            <w:tcW w:w="1515"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3E6E9528" w14:textId="77777777" w:rsidR="00C36A80" w:rsidRPr="00C36A80" w:rsidRDefault="00C36A80" w:rsidP="00C36A80">
            <w:pPr>
              <w:widowControl w:val="0"/>
              <w:suppressAutoHyphens/>
              <w:spacing w:after="0" w:line="276" w:lineRule="auto"/>
              <w:jc w:val="center"/>
              <w:rPr>
                <w:rFonts w:ascii="Arial" w:hAnsi="Arial" w:cs="Arial"/>
                <w:b/>
                <w:color w:val="000000"/>
                <w:kern w:val="1"/>
                <w:sz w:val="20"/>
                <w:szCs w:val="24"/>
                <w:lang w:val="ro-RO" w:eastAsia="hi-IN" w:bidi="hi-IN"/>
              </w:rPr>
            </w:pPr>
            <w:r w:rsidRPr="00C36A80">
              <w:rPr>
                <w:rFonts w:ascii="Arial" w:hAnsi="Arial" w:cs="Arial"/>
                <w:b/>
                <w:color w:val="000000"/>
                <w:kern w:val="1"/>
                <w:sz w:val="20"/>
                <w:szCs w:val="24"/>
                <w:lang w:val="ro-RO" w:eastAsia="hi-IN" w:bidi="hi-IN"/>
              </w:rPr>
              <w:t>Scenariul 1</w:t>
            </w:r>
          </w:p>
        </w:tc>
        <w:tc>
          <w:tcPr>
            <w:tcW w:w="1515" w:type="dxa"/>
            <w:tcBorders>
              <w:top w:val="single" w:sz="2" w:space="0" w:color="000001"/>
              <w:left w:val="single" w:sz="2" w:space="0" w:color="000001"/>
              <w:bottom w:val="single" w:sz="2" w:space="0" w:color="000001"/>
            </w:tcBorders>
            <w:shd w:val="clear" w:color="auto" w:fill="D9D9D9"/>
            <w:vAlign w:val="center"/>
          </w:tcPr>
          <w:p w14:paraId="335CF0E8" w14:textId="77777777" w:rsidR="00C36A80" w:rsidRPr="00C36A80" w:rsidRDefault="00C36A80" w:rsidP="00C36A80">
            <w:pPr>
              <w:widowControl w:val="0"/>
              <w:suppressAutoHyphens/>
              <w:spacing w:after="0" w:line="276" w:lineRule="auto"/>
              <w:jc w:val="center"/>
              <w:rPr>
                <w:rFonts w:ascii="Arial" w:hAnsi="Arial" w:cs="Arial"/>
                <w:b/>
                <w:color w:val="000000"/>
                <w:kern w:val="1"/>
                <w:sz w:val="20"/>
                <w:szCs w:val="24"/>
                <w:lang w:val="ro-RO" w:eastAsia="hi-IN" w:bidi="hi-IN"/>
              </w:rPr>
            </w:pPr>
            <w:r w:rsidRPr="00C36A80">
              <w:rPr>
                <w:rFonts w:ascii="Arial" w:hAnsi="Arial" w:cs="Arial"/>
                <w:b/>
                <w:color w:val="000000"/>
                <w:kern w:val="1"/>
                <w:sz w:val="20"/>
                <w:szCs w:val="24"/>
                <w:lang w:val="ro-RO" w:eastAsia="hi-IN" w:bidi="hi-IN"/>
              </w:rPr>
              <w:t>Scenariul 2</w:t>
            </w:r>
          </w:p>
        </w:tc>
        <w:tc>
          <w:tcPr>
            <w:tcW w:w="1573"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0F92B1CD" w14:textId="77777777" w:rsidR="00C36A80" w:rsidRPr="00C36A80" w:rsidRDefault="00C36A80" w:rsidP="00C36A80">
            <w:pPr>
              <w:widowControl w:val="0"/>
              <w:suppressAutoHyphens/>
              <w:spacing w:after="0" w:line="276" w:lineRule="auto"/>
              <w:jc w:val="center"/>
              <w:rPr>
                <w:rFonts w:ascii="Arial" w:hAnsi="Arial" w:cs="Mangal"/>
                <w:kern w:val="1"/>
                <w:sz w:val="20"/>
                <w:szCs w:val="24"/>
                <w:lang w:val="ro-RO" w:eastAsia="hi-IN" w:bidi="hi-IN"/>
              </w:rPr>
            </w:pPr>
            <w:r w:rsidRPr="00C36A80">
              <w:rPr>
                <w:rFonts w:ascii="Arial" w:hAnsi="Arial" w:cs="Arial"/>
                <w:b/>
                <w:color w:val="000000"/>
                <w:kern w:val="1"/>
                <w:sz w:val="20"/>
                <w:szCs w:val="24"/>
                <w:lang w:val="ro-RO" w:eastAsia="hi-IN" w:bidi="hi-IN"/>
              </w:rPr>
              <w:t>Scenariul 3</w:t>
            </w:r>
          </w:p>
        </w:tc>
      </w:tr>
      <w:tr w:rsidR="00C36A80" w:rsidRPr="00C36A80" w14:paraId="098C1730" w14:textId="77777777" w:rsidTr="00C36A80">
        <w:trPr>
          <w:trHeight w:val="53"/>
          <w:jc w:val="center"/>
        </w:trPr>
        <w:tc>
          <w:tcPr>
            <w:tcW w:w="3792" w:type="dxa"/>
            <w:tcBorders>
              <w:top w:val="single" w:sz="2" w:space="0" w:color="000001"/>
              <w:left w:val="single" w:sz="2" w:space="0" w:color="000001"/>
              <w:bottom w:val="single" w:sz="2" w:space="0" w:color="000001"/>
            </w:tcBorders>
            <w:vAlign w:val="center"/>
          </w:tcPr>
          <w:p w14:paraId="026DEB8C" w14:textId="77777777" w:rsidR="00C36A80" w:rsidRPr="00C36A80" w:rsidRDefault="00C36A80" w:rsidP="00C36A80">
            <w:pPr>
              <w:widowControl w:val="0"/>
              <w:suppressAutoHyphens/>
              <w:spacing w:after="0" w:line="276" w:lineRule="auto"/>
              <w:jc w:val="center"/>
              <w:rPr>
                <w:rFonts w:ascii="Arial" w:hAnsi="Arial" w:cs="Arial"/>
                <w:color w:val="000000"/>
                <w:kern w:val="1"/>
                <w:sz w:val="20"/>
                <w:szCs w:val="24"/>
                <w:lang w:val="ro-RO" w:eastAsia="hi-IN" w:bidi="hi-IN"/>
              </w:rPr>
            </w:pPr>
            <w:r w:rsidRPr="00C36A80">
              <w:rPr>
                <w:rFonts w:ascii="Arial" w:hAnsi="Arial" w:cs="Arial"/>
                <w:color w:val="000000"/>
                <w:kern w:val="1"/>
                <w:sz w:val="20"/>
                <w:szCs w:val="24"/>
                <w:lang w:val="ro-RO" w:eastAsia="hi-IN" w:bidi="hi-IN"/>
              </w:rPr>
              <w:t>Emisii CO</w:t>
            </w:r>
            <w:r w:rsidRPr="00C36A80">
              <w:rPr>
                <w:rFonts w:ascii="Arial" w:hAnsi="Arial" w:cs="Arial"/>
                <w:color w:val="000000"/>
                <w:kern w:val="1"/>
                <w:sz w:val="20"/>
                <w:szCs w:val="24"/>
                <w:vertAlign w:val="subscript"/>
                <w:lang w:val="ro-RO" w:eastAsia="hi-IN" w:bidi="hi-IN"/>
              </w:rPr>
              <w:t>2</w:t>
            </w:r>
            <w:r w:rsidRPr="00C36A80">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4DF20D8F"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988,84</w:t>
            </w:r>
          </w:p>
        </w:tc>
        <w:tc>
          <w:tcPr>
            <w:tcW w:w="1515" w:type="dxa"/>
            <w:tcBorders>
              <w:top w:val="single" w:sz="2" w:space="0" w:color="000001"/>
              <w:left w:val="single" w:sz="2" w:space="0" w:color="000001"/>
              <w:bottom w:val="single" w:sz="2" w:space="0" w:color="000001"/>
            </w:tcBorders>
            <w:shd w:val="clear" w:color="auto" w:fill="FFFFFF"/>
            <w:vAlign w:val="center"/>
          </w:tcPr>
          <w:p w14:paraId="59FF0D87"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924,97</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28B6D813" w14:textId="77777777" w:rsidR="00C36A80" w:rsidRPr="00C36A80" w:rsidRDefault="00C36A80" w:rsidP="00C36A80">
            <w:pPr>
              <w:widowControl w:val="0"/>
              <w:suppressAutoHyphens/>
              <w:spacing w:after="0" w:line="240" w:lineRule="auto"/>
              <w:jc w:val="center"/>
              <w:rPr>
                <w:rFonts w:ascii="Arial" w:hAnsi="Arial" w:cs="Arial"/>
                <w:color w:val="000000"/>
                <w:kern w:val="1"/>
                <w:sz w:val="20"/>
                <w:szCs w:val="20"/>
                <w:lang w:val="ro-RO" w:eastAsia="hi-IN" w:bidi="hi-IN"/>
              </w:rPr>
            </w:pPr>
            <w:r w:rsidRPr="00C36A80">
              <w:rPr>
                <w:rFonts w:ascii="Arial" w:hAnsi="Arial" w:cs="Arial"/>
                <w:color w:val="000000"/>
                <w:kern w:val="1"/>
                <w:sz w:val="20"/>
                <w:szCs w:val="20"/>
                <w:lang w:val="ro-RO" w:eastAsia="hi-IN" w:bidi="hi-IN"/>
              </w:rPr>
              <w:t>-</w:t>
            </w:r>
          </w:p>
        </w:tc>
      </w:tr>
      <w:tr w:rsidR="00C36A80" w:rsidRPr="00C36A80" w14:paraId="1E67B832" w14:textId="77777777" w:rsidTr="00C36A80">
        <w:trPr>
          <w:trHeight w:val="53"/>
          <w:jc w:val="center"/>
        </w:trPr>
        <w:tc>
          <w:tcPr>
            <w:tcW w:w="3792" w:type="dxa"/>
            <w:tcBorders>
              <w:top w:val="single" w:sz="2" w:space="0" w:color="000001"/>
              <w:left w:val="single" w:sz="2" w:space="0" w:color="000001"/>
              <w:bottom w:val="single" w:sz="2" w:space="0" w:color="000001"/>
            </w:tcBorders>
            <w:vAlign w:val="center"/>
          </w:tcPr>
          <w:p w14:paraId="5E624E73" w14:textId="77777777" w:rsidR="00C36A80" w:rsidRPr="00C36A80" w:rsidRDefault="00C36A80" w:rsidP="00C36A80">
            <w:pPr>
              <w:widowControl w:val="0"/>
              <w:suppressAutoHyphens/>
              <w:spacing w:after="0" w:line="276" w:lineRule="auto"/>
              <w:jc w:val="center"/>
              <w:rPr>
                <w:rFonts w:ascii="Arial" w:hAnsi="Arial" w:cs="Arial"/>
                <w:color w:val="000000"/>
                <w:kern w:val="1"/>
                <w:sz w:val="20"/>
                <w:szCs w:val="24"/>
                <w:lang w:val="ro-RO" w:eastAsia="hi-IN" w:bidi="hi-IN"/>
              </w:rPr>
            </w:pPr>
            <w:r w:rsidRPr="00C36A80">
              <w:rPr>
                <w:rFonts w:ascii="Arial" w:hAnsi="Arial" w:cs="Arial"/>
                <w:color w:val="000000"/>
                <w:kern w:val="1"/>
                <w:sz w:val="20"/>
                <w:szCs w:val="24"/>
                <w:lang w:val="ro-RO" w:eastAsia="hi-IN" w:bidi="hi-IN"/>
              </w:rPr>
              <w:t>Emisii NO</w:t>
            </w:r>
            <w:r w:rsidRPr="00C36A80">
              <w:rPr>
                <w:rFonts w:ascii="Arial" w:hAnsi="Arial" w:cs="Arial"/>
                <w:color w:val="000000"/>
                <w:kern w:val="1"/>
                <w:sz w:val="20"/>
                <w:szCs w:val="24"/>
                <w:vertAlign w:val="subscript"/>
                <w:lang w:val="ro-RO" w:eastAsia="hi-IN" w:bidi="hi-IN"/>
              </w:rPr>
              <w:t>x</w:t>
            </w:r>
            <w:r w:rsidRPr="00C36A80">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7C686C96"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4,27</w:t>
            </w:r>
          </w:p>
        </w:tc>
        <w:tc>
          <w:tcPr>
            <w:tcW w:w="1515" w:type="dxa"/>
            <w:tcBorders>
              <w:top w:val="single" w:sz="2" w:space="0" w:color="000001"/>
              <w:left w:val="single" w:sz="2" w:space="0" w:color="000001"/>
              <w:bottom w:val="single" w:sz="2" w:space="0" w:color="000001"/>
            </w:tcBorders>
            <w:shd w:val="clear" w:color="auto" w:fill="FFFFFF"/>
            <w:vAlign w:val="center"/>
          </w:tcPr>
          <w:p w14:paraId="4D1ABC63"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3,97</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15BA1296" w14:textId="77777777" w:rsidR="00C36A80" w:rsidRPr="00C36A80" w:rsidRDefault="00C36A80" w:rsidP="00C36A80">
            <w:pPr>
              <w:widowControl w:val="0"/>
              <w:suppressAutoHyphens/>
              <w:spacing w:after="0" w:line="240" w:lineRule="auto"/>
              <w:jc w:val="center"/>
              <w:rPr>
                <w:rFonts w:ascii="Arial" w:hAnsi="Arial" w:cs="Arial"/>
                <w:color w:val="000000"/>
                <w:kern w:val="1"/>
                <w:sz w:val="20"/>
                <w:szCs w:val="20"/>
                <w:lang w:val="ro-RO" w:eastAsia="hi-IN" w:bidi="hi-IN"/>
              </w:rPr>
            </w:pPr>
            <w:r w:rsidRPr="00C36A80">
              <w:rPr>
                <w:rFonts w:ascii="Arial" w:hAnsi="Arial" w:cs="Arial"/>
                <w:color w:val="000000"/>
                <w:kern w:val="1"/>
                <w:sz w:val="20"/>
                <w:szCs w:val="20"/>
                <w:lang w:val="ro-RO" w:eastAsia="hi-IN" w:bidi="hi-IN"/>
              </w:rPr>
              <w:t>-</w:t>
            </w:r>
          </w:p>
        </w:tc>
      </w:tr>
      <w:tr w:rsidR="00C36A80" w:rsidRPr="00C36A80" w14:paraId="0A3E2E52" w14:textId="77777777" w:rsidTr="00C36A80">
        <w:trPr>
          <w:trHeight w:val="53"/>
          <w:jc w:val="center"/>
        </w:trPr>
        <w:tc>
          <w:tcPr>
            <w:tcW w:w="3792" w:type="dxa"/>
            <w:tcBorders>
              <w:top w:val="single" w:sz="2" w:space="0" w:color="000001"/>
              <w:left w:val="single" w:sz="2" w:space="0" w:color="000001"/>
              <w:bottom w:val="single" w:sz="2" w:space="0" w:color="000001"/>
            </w:tcBorders>
            <w:vAlign w:val="center"/>
          </w:tcPr>
          <w:p w14:paraId="0C121662" w14:textId="77777777" w:rsidR="00C36A80" w:rsidRPr="00C36A80" w:rsidRDefault="00C36A80" w:rsidP="00C36A80">
            <w:pPr>
              <w:widowControl w:val="0"/>
              <w:suppressAutoHyphens/>
              <w:spacing w:after="0" w:line="276" w:lineRule="auto"/>
              <w:jc w:val="center"/>
              <w:rPr>
                <w:rFonts w:ascii="Arial" w:hAnsi="Arial" w:cs="Arial"/>
                <w:color w:val="000000"/>
                <w:kern w:val="1"/>
                <w:sz w:val="20"/>
                <w:szCs w:val="24"/>
                <w:lang w:val="ro-RO" w:eastAsia="hi-IN" w:bidi="hi-IN"/>
              </w:rPr>
            </w:pPr>
            <w:r w:rsidRPr="00C36A80">
              <w:rPr>
                <w:rFonts w:ascii="Arial" w:hAnsi="Arial" w:cs="Arial"/>
                <w:color w:val="000000"/>
                <w:kern w:val="1"/>
                <w:sz w:val="20"/>
                <w:szCs w:val="24"/>
                <w:lang w:val="ro-RO" w:eastAsia="hi-IN" w:bidi="hi-IN"/>
              </w:rPr>
              <w:t>Emisii PM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2CF15444"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0,22</w:t>
            </w:r>
          </w:p>
        </w:tc>
        <w:tc>
          <w:tcPr>
            <w:tcW w:w="1515" w:type="dxa"/>
            <w:tcBorders>
              <w:top w:val="single" w:sz="2" w:space="0" w:color="000001"/>
              <w:left w:val="single" w:sz="2" w:space="0" w:color="000001"/>
              <w:bottom w:val="single" w:sz="2" w:space="0" w:color="000001"/>
            </w:tcBorders>
            <w:shd w:val="clear" w:color="auto" w:fill="FFFFFF"/>
            <w:vAlign w:val="center"/>
          </w:tcPr>
          <w:p w14:paraId="413A840D"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0,21</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7CE8CE45" w14:textId="77777777" w:rsidR="00C36A80" w:rsidRPr="00C36A80" w:rsidRDefault="00C36A80" w:rsidP="00C36A80">
            <w:pPr>
              <w:widowControl w:val="0"/>
              <w:suppressAutoHyphens/>
              <w:spacing w:after="0" w:line="240" w:lineRule="auto"/>
              <w:jc w:val="center"/>
              <w:rPr>
                <w:rFonts w:ascii="Arial" w:hAnsi="Arial" w:cs="Arial"/>
                <w:color w:val="000000"/>
                <w:kern w:val="1"/>
                <w:sz w:val="20"/>
                <w:szCs w:val="20"/>
                <w:lang w:val="ro-RO" w:eastAsia="hi-IN" w:bidi="hi-IN"/>
              </w:rPr>
            </w:pPr>
            <w:r w:rsidRPr="00C36A80">
              <w:rPr>
                <w:rFonts w:ascii="Arial" w:hAnsi="Arial" w:cs="Arial"/>
                <w:color w:val="000000"/>
                <w:kern w:val="1"/>
                <w:sz w:val="20"/>
                <w:szCs w:val="20"/>
                <w:lang w:val="ro-RO" w:eastAsia="hi-IN" w:bidi="hi-IN"/>
              </w:rPr>
              <w:t>-</w:t>
            </w:r>
          </w:p>
        </w:tc>
      </w:tr>
      <w:tr w:rsidR="00C36A80" w:rsidRPr="00C36A80" w14:paraId="484BE9D0" w14:textId="77777777" w:rsidTr="00C36A80">
        <w:trPr>
          <w:trHeight w:val="53"/>
          <w:jc w:val="center"/>
        </w:trPr>
        <w:tc>
          <w:tcPr>
            <w:tcW w:w="3792" w:type="dxa"/>
            <w:tcBorders>
              <w:top w:val="single" w:sz="2" w:space="0" w:color="000001"/>
              <w:left w:val="single" w:sz="2" w:space="0" w:color="000001"/>
              <w:bottom w:val="single" w:sz="2" w:space="0" w:color="000001"/>
            </w:tcBorders>
            <w:vAlign w:val="center"/>
          </w:tcPr>
          <w:p w14:paraId="0E83C002" w14:textId="77777777" w:rsidR="00C36A80" w:rsidRPr="00C36A80" w:rsidRDefault="00C36A80" w:rsidP="00C36A80">
            <w:pPr>
              <w:widowControl w:val="0"/>
              <w:suppressAutoHyphens/>
              <w:spacing w:after="0" w:line="276" w:lineRule="auto"/>
              <w:jc w:val="center"/>
              <w:rPr>
                <w:rFonts w:ascii="Arial" w:hAnsi="Arial" w:cs="Arial"/>
                <w:color w:val="000000"/>
                <w:kern w:val="1"/>
                <w:sz w:val="20"/>
                <w:szCs w:val="24"/>
                <w:lang w:val="ro-RO" w:eastAsia="hi-IN" w:bidi="hi-IN"/>
              </w:rPr>
            </w:pPr>
            <w:r w:rsidRPr="00C36A80">
              <w:rPr>
                <w:rFonts w:ascii="Arial" w:hAnsi="Arial" w:cs="Arial"/>
                <w:color w:val="000000"/>
                <w:kern w:val="1"/>
                <w:sz w:val="20"/>
                <w:szCs w:val="24"/>
                <w:lang w:val="ro-RO" w:eastAsia="hi-IN" w:bidi="hi-IN"/>
              </w:rPr>
              <w:t>Emisii HC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6F69B363"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7,35</w:t>
            </w:r>
          </w:p>
        </w:tc>
        <w:tc>
          <w:tcPr>
            <w:tcW w:w="1515" w:type="dxa"/>
            <w:tcBorders>
              <w:top w:val="single" w:sz="2" w:space="0" w:color="000001"/>
              <w:left w:val="single" w:sz="2" w:space="0" w:color="000001"/>
              <w:bottom w:val="single" w:sz="2" w:space="0" w:color="000001"/>
            </w:tcBorders>
            <w:shd w:val="clear" w:color="auto" w:fill="FFFFFF"/>
            <w:vAlign w:val="center"/>
          </w:tcPr>
          <w:p w14:paraId="4513D2AD"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5,85</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24861E7A" w14:textId="77777777" w:rsidR="00C36A80" w:rsidRPr="00C36A80" w:rsidRDefault="00C36A80" w:rsidP="00C36A80">
            <w:pPr>
              <w:widowControl w:val="0"/>
              <w:suppressAutoHyphens/>
              <w:spacing w:after="0" w:line="240" w:lineRule="auto"/>
              <w:jc w:val="center"/>
              <w:rPr>
                <w:rFonts w:ascii="Arial" w:hAnsi="Arial" w:cs="Arial"/>
                <w:color w:val="000000"/>
                <w:kern w:val="1"/>
                <w:sz w:val="20"/>
                <w:szCs w:val="20"/>
                <w:lang w:val="ro-RO" w:eastAsia="hi-IN" w:bidi="hi-IN"/>
              </w:rPr>
            </w:pPr>
          </w:p>
        </w:tc>
      </w:tr>
    </w:tbl>
    <w:p w14:paraId="03B99FE4" w14:textId="77777777" w:rsidR="00FF1FA4" w:rsidRPr="00FF1FA4" w:rsidRDefault="00FF1FA4" w:rsidP="00FF1FA4">
      <w:pPr>
        <w:rPr>
          <w:lang w:val="ro-RO" w:eastAsia="zh-CN" w:bidi="hi-IN"/>
        </w:rPr>
      </w:pPr>
    </w:p>
    <w:p w14:paraId="0337B191" w14:textId="77777777" w:rsidR="004F5666" w:rsidRDefault="004F5666" w:rsidP="0012531B">
      <w:pPr>
        <w:pStyle w:val="Titlu4"/>
        <w:numPr>
          <w:ilvl w:val="0"/>
          <w:numId w:val="0"/>
        </w:numPr>
        <w:rPr>
          <w:rFonts w:ascii="Arial" w:hAnsi="Arial" w:cs="Arial"/>
          <w:sz w:val="22"/>
          <w:szCs w:val="22"/>
          <w:lang w:bidi="hi-IN"/>
        </w:rPr>
      </w:pPr>
      <w:r w:rsidRPr="0012531B">
        <w:rPr>
          <w:rFonts w:ascii="Arial" w:hAnsi="Arial" w:cs="Arial"/>
          <w:sz w:val="22"/>
          <w:szCs w:val="22"/>
          <w:lang w:bidi="hi-IN"/>
        </w:rPr>
        <w:t>I.7.2.1.2 Parametri ora de vârf PM orizont 2027</w:t>
      </w:r>
    </w:p>
    <w:p w14:paraId="0AA3C2F3" w14:textId="77777777" w:rsidR="005D0927" w:rsidRPr="005D0927" w:rsidRDefault="005D0927" w:rsidP="005D0927">
      <w:pPr>
        <w:widowControl w:val="0"/>
        <w:suppressAutoHyphens/>
        <w:spacing w:after="0" w:line="360" w:lineRule="auto"/>
        <w:jc w:val="both"/>
        <w:rPr>
          <w:rFonts w:ascii="Arial" w:hAnsi="Arial" w:cs="Arial"/>
          <w:kern w:val="1"/>
          <w:lang w:val="it-IT" w:eastAsia="hi-IN" w:bidi="hi-IN"/>
        </w:rPr>
      </w:pPr>
      <w:r w:rsidRPr="005D0927">
        <w:rPr>
          <w:rFonts w:ascii="Arial" w:hAnsi="Arial" w:cs="Arial"/>
          <w:kern w:val="1"/>
          <w:lang w:val="it-IT" w:eastAsia="hi-IN" w:bidi="hi-IN"/>
        </w:rPr>
        <w:t xml:space="preserve">In urma aplicării măsurilor cuprinse în scenariile 1 şi 2, la nivel de rețea pentru ora de vârf de după amiază se obțin următoarele date referitoare la </w:t>
      </w:r>
      <w:r w:rsidRPr="005D0927">
        <w:rPr>
          <w:rFonts w:ascii="Arial" w:hAnsi="Arial" w:cs="Arial"/>
          <w:kern w:val="1"/>
          <w:lang w:val="ro-RO" w:eastAsia="hi-IN" w:bidi="hi-IN"/>
        </w:rPr>
        <w:t>emisiile de monoxid de carbon, oxizi de azot şi dioxid de sulf.</w:t>
      </w:r>
    </w:p>
    <w:p w14:paraId="477A8B64" w14:textId="77777777" w:rsidR="005D0927" w:rsidRPr="005D0927" w:rsidRDefault="005D0927" w:rsidP="005D0927">
      <w:pPr>
        <w:suppressAutoHyphens/>
        <w:autoSpaceDE w:val="0"/>
        <w:spacing w:after="0" w:line="360" w:lineRule="auto"/>
        <w:jc w:val="center"/>
        <w:rPr>
          <w:rFonts w:ascii="Arial" w:eastAsia="Calibri" w:hAnsi="Arial" w:cs="Arial"/>
          <w:sz w:val="24"/>
          <w:szCs w:val="24"/>
          <w:lang w:val="it-IT" w:eastAsia="zh-CN"/>
        </w:rPr>
      </w:pPr>
    </w:p>
    <w:p w14:paraId="4342651E" w14:textId="2FAF2D82" w:rsidR="005D0927" w:rsidRPr="005D0927" w:rsidRDefault="00BB0D72" w:rsidP="005D0927">
      <w:pPr>
        <w:spacing w:after="200" w:line="240" w:lineRule="auto"/>
        <w:jc w:val="center"/>
        <w:rPr>
          <w:rFonts w:ascii="Arial" w:eastAsia="Calibri" w:hAnsi="Arial" w:cs="Arial"/>
          <w:b/>
          <w:color w:val="000000"/>
          <w:lang w:val="it-IT" w:eastAsia="zh-CN"/>
        </w:rPr>
      </w:pPr>
      <w:bookmarkStart w:id="512" w:name="_Toc68361284"/>
      <w:bookmarkStart w:id="513" w:name="_Toc96463912"/>
      <w:r>
        <w:rPr>
          <w:rFonts w:ascii="Arial" w:hAnsi="Arial" w:cs="Arial"/>
          <w:i/>
          <w:iCs/>
          <w:color w:val="1F497D"/>
        </w:rPr>
        <w:t>Tabel I.7.</w:t>
      </w:r>
      <w:r w:rsidR="005D0927" w:rsidRPr="005D0927">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16</w:t>
      </w:r>
      <w:r>
        <w:rPr>
          <w:rFonts w:ascii="Arial" w:hAnsi="Arial" w:cs="Arial"/>
          <w:i/>
          <w:iCs/>
          <w:color w:val="1F497D"/>
        </w:rPr>
        <w:fldChar w:fldCharType="end"/>
      </w:r>
      <w:r w:rsidR="005D0927" w:rsidRPr="005D0927">
        <w:rPr>
          <w:rFonts w:ascii="Arial" w:hAnsi="Arial" w:cs="Arial"/>
          <w:i/>
          <w:iCs/>
          <w:color w:val="1F497D"/>
        </w:rPr>
        <w:t xml:space="preserve"> - </w:t>
      </w:r>
      <w:r w:rsidR="005D0927" w:rsidRPr="005D0927">
        <w:rPr>
          <w:rFonts w:ascii="Arial" w:hAnsi="Arial" w:cs="Arial"/>
          <w:color w:val="1F497D"/>
        </w:rPr>
        <w:t>Parametri ora de vârf PM orizont 2027 – scenariile 1 şi 2</w:t>
      </w:r>
      <w:bookmarkEnd w:id="512"/>
      <w:bookmarkEnd w:id="513"/>
    </w:p>
    <w:tbl>
      <w:tblPr>
        <w:tblW w:w="0" w:type="auto"/>
        <w:jc w:val="center"/>
        <w:tblLayout w:type="fixed"/>
        <w:tblCellMar>
          <w:left w:w="0" w:type="dxa"/>
          <w:right w:w="0" w:type="dxa"/>
        </w:tblCellMar>
        <w:tblLook w:val="0000" w:firstRow="0" w:lastRow="0" w:firstColumn="0" w:lastColumn="0" w:noHBand="0" w:noVBand="0"/>
      </w:tblPr>
      <w:tblGrid>
        <w:gridCol w:w="3792"/>
        <w:gridCol w:w="1515"/>
        <w:gridCol w:w="1515"/>
        <w:gridCol w:w="1573"/>
      </w:tblGrid>
      <w:tr w:rsidR="00C36A80" w:rsidRPr="00C36A80" w14:paraId="4DBB6D39" w14:textId="77777777" w:rsidTr="00C36A80">
        <w:trPr>
          <w:trHeight w:val="542"/>
          <w:jc w:val="center"/>
        </w:trPr>
        <w:tc>
          <w:tcPr>
            <w:tcW w:w="3792" w:type="dxa"/>
            <w:tcBorders>
              <w:top w:val="single" w:sz="2" w:space="0" w:color="000001"/>
              <w:left w:val="single" w:sz="2" w:space="0" w:color="000001"/>
              <w:bottom w:val="single" w:sz="2" w:space="0" w:color="000001"/>
            </w:tcBorders>
            <w:shd w:val="clear" w:color="auto" w:fill="D9D9D9"/>
            <w:vAlign w:val="center"/>
          </w:tcPr>
          <w:p w14:paraId="1EDD2EA5" w14:textId="77777777" w:rsidR="00C36A80" w:rsidRPr="00C36A80" w:rsidRDefault="00C36A80" w:rsidP="00C36A80">
            <w:pPr>
              <w:widowControl w:val="0"/>
              <w:suppressAutoHyphens/>
              <w:spacing w:after="0" w:line="360" w:lineRule="auto"/>
              <w:jc w:val="center"/>
              <w:rPr>
                <w:rFonts w:ascii="Arial" w:hAnsi="Arial" w:cs="Arial"/>
                <w:b/>
                <w:color w:val="000000"/>
                <w:kern w:val="1"/>
                <w:sz w:val="20"/>
                <w:szCs w:val="24"/>
                <w:lang w:val="ro-RO" w:eastAsia="hi-IN" w:bidi="hi-IN"/>
              </w:rPr>
            </w:pPr>
            <w:r w:rsidRPr="00C36A80">
              <w:rPr>
                <w:rFonts w:ascii="Arial" w:hAnsi="Arial" w:cs="Arial"/>
                <w:b/>
                <w:color w:val="000000"/>
                <w:kern w:val="1"/>
                <w:sz w:val="20"/>
                <w:szCs w:val="24"/>
                <w:lang w:val="ro-RO" w:eastAsia="hi-IN" w:bidi="hi-IN"/>
              </w:rPr>
              <w:t>Parametru</w:t>
            </w:r>
          </w:p>
        </w:tc>
        <w:tc>
          <w:tcPr>
            <w:tcW w:w="1515"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26532C7C" w14:textId="77777777" w:rsidR="00C36A80" w:rsidRPr="00C36A80" w:rsidRDefault="00C36A80" w:rsidP="00C36A80">
            <w:pPr>
              <w:widowControl w:val="0"/>
              <w:suppressAutoHyphens/>
              <w:spacing w:after="0" w:line="276" w:lineRule="auto"/>
              <w:jc w:val="center"/>
              <w:rPr>
                <w:rFonts w:ascii="Arial" w:hAnsi="Arial" w:cs="Arial"/>
                <w:b/>
                <w:color w:val="000000"/>
                <w:kern w:val="1"/>
                <w:sz w:val="20"/>
                <w:szCs w:val="24"/>
                <w:lang w:val="ro-RO" w:eastAsia="hi-IN" w:bidi="hi-IN"/>
              </w:rPr>
            </w:pPr>
            <w:r w:rsidRPr="00C36A80">
              <w:rPr>
                <w:rFonts w:ascii="Arial" w:hAnsi="Arial" w:cs="Arial"/>
                <w:b/>
                <w:color w:val="000000"/>
                <w:kern w:val="1"/>
                <w:sz w:val="20"/>
                <w:szCs w:val="24"/>
                <w:lang w:val="ro-RO" w:eastAsia="hi-IN" w:bidi="hi-IN"/>
              </w:rPr>
              <w:t>Scenariul 2</w:t>
            </w:r>
          </w:p>
        </w:tc>
        <w:tc>
          <w:tcPr>
            <w:tcW w:w="1515" w:type="dxa"/>
            <w:tcBorders>
              <w:top w:val="single" w:sz="2" w:space="0" w:color="000001"/>
              <w:left w:val="single" w:sz="2" w:space="0" w:color="000001"/>
              <w:bottom w:val="single" w:sz="2" w:space="0" w:color="000001"/>
            </w:tcBorders>
            <w:shd w:val="clear" w:color="auto" w:fill="D9D9D9"/>
            <w:vAlign w:val="center"/>
          </w:tcPr>
          <w:p w14:paraId="5FDE61E5" w14:textId="77777777" w:rsidR="00C36A80" w:rsidRPr="00C36A80" w:rsidRDefault="00C36A80" w:rsidP="00C36A80">
            <w:pPr>
              <w:widowControl w:val="0"/>
              <w:suppressAutoHyphens/>
              <w:spacing w:after="0" w:line="276" w:lineRule="auto"/>
              <w:jc w:val="center"/>
              <w:rPr>
                <w:rFonts w:ascii="Arial" w:hAnsi="Arial" w:cs="Arial"/>
                <w:b/>
                <w:color w:val="000000"/>
                <w:kern w:val="1"/>
                <w:sz w:val="20"/>
                <w:szCs w:val="24"/>
                <w:lang w:val="ro-RO" w:eastAsia="hi-IN" w:bidi="hi-IN"/>
              </w:rPr>
            </w:pPr>
            <w:r w:rsidRPr="00C36A80">
              <w:rPr>
                <w:rFonts w:ascii="Arial" w:hAnsi="Arial" w:cs="Arial"/>
                <w:b/>
                <w:color w:val="000000"/>
                <w:kern w:val="1"/>
                <w:sz w:val="20"/>
                <w:szCs w:val="24"/>
                <w:lang w:val="ro-RO" w:eastAsia="hi-IN" w:bidi="hi-IN"/>
              </w:rPr>
              <w:t>Scenariul 3</w:t>
            </w:r>
          </w:p>
        </w:tc>
        <w:tc>
          <w:tcPr>
            <w:tcW w:w="1573"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715E67A7" w14:textId="77777777" w:rsidR="00C36A80" w:rsidRPr="00C36A80" w:rsidRDefault="00C36A80" w:rsidP="00C36A80">
            <w:pPr>
              <w:widowControl w:val="0"/>
              <w:suppressAutoHyphens/>
              <w:spacing w:after="0" w:line="276" w:lineRule="auto"/>
              <w:jc w:val="center"/>
              <w:rPr>
                <w:rFonts w:ascii="Arial" w:hAnsi="Arial" w:cs="Mangal"/>
                <w:kern w:val="1"/>
                <w:sz w:val="20"/>
                <w:szCs w:val="24"/>
                <w:lang w:val="ro-RO" w:eastAsia="hi-IN" w:bidi="hi-IN"/>
              </w:rPr>
            </w:pPr>
            <w:r w:rsidRPr="00C36A80">
              <w:rPr>
                <w:rFonts w:ascii="Arial" w:hAnsi="Arial" w:cs="Arial"/>
                <w:b/>
                <w:color w:val="000000"/>
                <w:kern w:val="1"/>
                <w:sz w:val="20"/>
                <w:szCs w:val="24"/>
                <w:lang w:val="ro-RO" w:eastAsia="hi-IN" w:bidi="hi-IN"/>
              </w:rPr>
              <w:t>Scenariul 4</w:t>
            </w:r>
          </w:p>
        </w:tc>
      </w:tr>
      <w:tr w:rsidR="00C36A80" w:rsidRPr="00C36A80" w14:paraId="7DF2C79F" w14:textId="77777777" w:rsidTr="00C36A80">
        <w:trPr>
          <w:trHeight w:val="53"/>
          <w:jc w:val="center"/>
        </w:trPr>
        <w:tc>
          <w:tcPr>
            <w:tcW w:w="3792" w:type="dxa"/>
            <w:tcBorders>
              <w:top w:val="single" w:sz="2" w:space="0" w:color="000001"/>
              <w:left w:val="single" w:sz="2" w:space="0" w:color="000001"/>
              <w:bottom w:val="single" w:sz="2" w:space="0" w:color="000001"/>
            </w:tcBorders>
            <w:vAlign w:val="center"/>
          </w:tcPr>
          <w:p w14:paraId="2A5A11C7" w14:textId="77777777" w:rsidR="00C36A80" w:rsidRPr="00C36A80" w:rsidRDefault="00C36A80" w:rsidP="00C36A80">
            <w:pPr>
              <w:widowControl w:val="0"/>
              <w:suppressAutoHyphens/>
              <w:spacing w:after="0" w:line="276" w:lineRule="auto"/>
              <w:jc w:val="center"/>
              <w:rPr>
                <w:rFonts w:ascii="Arial" w:hAnsi="Arial" w:cs="Arial"/>
                <w:color w:val="000000"/>
                <w:kern w:val="1"/>
                <w:sz w:val="20"/>
                <w:szCs w:val="24"/>
                <w:lang w:val="ro-RO" w:eastAsia="hi-IN" w:bidi="hi-IN"/>
              </w:rPr>
            </w:pPr>
            <w:r w:rsidRPr="00C36A80">
              <w:rPr>
                <w:rFonts w:ascii="Arial" w:hAnsi="Arial" w:cs="Arial"/>
                <w:color w:val="000000"/>
                <w:kern w:val="1"/>
                <w:sz w:val="20"/>
                <w:szCs w:val="24"/>
                <w:lang w:val="ro-RO" w:eastAsia="hi-IN" w:bidi="hi-IN"/>
              </w:rPr>
              <w:t>Emisii CO</w:t>
            </w:r>
            <w:r w:rsidRPr="00C36A80">
              <w:rPr>
                <w:rFonts w:ascii="Arial" w:hAnsi="Arial" w:cs="Arial"/>
                <w:color w:val="000000"/>
                <w:kern w:val="1"/>
                <w:sz w:val="20"/>
                <w:szCs w:val="24"/>
                <w:vertAlign w:val="subscript"/>
                <w:lang w:val="ro-RO" w:eastAsia="hi-IN" w:bidi="hi-IN"/>
              </w:rPr>
              <w:t>2</w:t>
            </w:r>
            <w:r w:rsidRPr="00C36A80">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5C68D29D"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1358,19</w:t>
            </w:r>
          </w:p>
        </w:tc>
        <w:tc>
          <w:tcPr>
            <w:tcW w:w="1515" w:type="dxa"/>
            <w:tcBorders>
              <w:top w:val="single" w:sz="2" w:space="0" w:color="000001"/>
              <w:left w:val="single" w:sz="2" w:space="0" w:color="000001"/>
              <w:bottom w:val="single" w:sz="2" w:space="0" w:color="000001"/>
            </w:tcBorders>
            <w:shd w:val="clear" w:color="auto" w:fill="FFFFFF"/>
            <w:vAlign w:val="bottom"/>
          </w:tcPr>
          <w:p w14:paraId="3C64AA46" w14:textId="77777777" w:rsidR="00C36A80" w:rsidRPr="00C36A80" w:rsidRDefault="00C36A80" w:rsidP="00C36A80">
            <w:pPr>
              <w:spacing w:after="0"/>
              <w:jc w:val="center"/>
              <w:rPr>
                <w:rFonts w:ascii="Arial" w:hAnsi="Arial" w:cs="Arial"/>
                <w:sz w:val="20"/>
                <w:szCs w:val="20"/>
                <w:highlight w:val="red"/>
                <w:lang w:val="ro-RO"/>
              </w:rPr>
            </w:pPr>
            <w:r w:rsidRPr="00C36A80">
              <w:rPr>
                <w:rFonts w:ascii="Calibri" w:hAnsi="Calibri" w:cs="Calibri"/>
                <w:color w:val="000000"/>
              </w:rPr>
              <w:t>1224,80</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7CE52614" w14:textId="77777777" w:rsidR="00C36A80" w:rsidRPr="00C36A80" w:rsidRDefault="00C36A80" w:rsidP="00C36A80">
            <w:pPr>
              <w:widowControl w:val="0"/>
              <w:suppressAutoHyphens/>
              <w:spacing w:after="0" w:line="240" w:lineRule="auto"/>
              <w:jc w:val="center"/>
              <w:rPr>
                <w:rFonts w:ascii="Arial" w:hAnsi="Arial" w:cs="Arial"/>
                <w:color w:val="000000"/>
                <w:kern w:val="1"/>
                <w:sz w:val="20"/>
                <w:szCs w:val="20"/>
                <w:lang w:val="ro-RO" w:eastAsia="hi-IN" w:bidi="hi-IN"/>
              </w:rPr>
            </w:pPr>
            <w:r w:rsidRPr="00C36A80">
              <w:rPr>
                <w:rFonts w:ascii="Arial" w:hAnsi="Arial" w:cs="Arial"/>
                <w:color w:val="000000"/>
                <w:kern w:val="1"/>
                <w:sz w:val="20"/>
                <w:szCs w:val="20"/>
                <w:lang w:val="ro-RO" w:eastAsia="hi-IN" w:bidi="hi-IN"/>
              </w:rPr>
              <w:t>-</w:t>
            </w:r>
          </w:p>
        </w:tc>
      </w:tr>
      <w:tr w:rsidR="00C36A80" w:rsidRPr="00C36A80" w14:paraId="605D11F7" w14:textId="77777777" w:rsidTr="00C36A80">
        <w:trPr>
          <w:trHeight w:val="53"/>
          <w:jc w:val="center"/>
        </w:trPr>
        <w:tc>
          <w:tcPr>
            <w:tcW w:w="3792" w:type="dxa"/>
            <w:tcBorders>
              <w:top w:val="single" w:sz="2" w:space="0" w:color="000001"/>
              <w:left w:val="single" w:sz="2" w:space="0" w:color="000001"/>
              <w:bottom w:val="single" w:sz="2" w:space="0" w:color="000001"/>
            </w:tcBorders>
            <w:vAlign w:val="center"/>
          </w:tcPr>
          <w:p w14:paraId="65E1106D" w14:textId="77777777" w:rsidR="00C36A80" w:rsidRPr="00C36A80" w:rsidRDefault="00C36A80" w:rsidP="00C36A80">
            <w:pPr>
              <w:widowControl w:val="0"/>
              <w:suppressAutoHyphens/>
              <w:spacing w:after="0" w:line="276" w:lineRule="auto"/>
              <w:jc w:val="center"/>
              <w:rPr>
                <w:rFonts w:ascii="Arial" w:hAnsi="Arial" w:cs="Arial"/>
                <w:color w:val="000000"/>
                <w:kern w:val="1"/>
                <w:sz w:val="20"/>
                <w:szCs w:val="24"/>
                <w:lang w:val="ro-RO" w:eastAsia="hi-IN" w:bidi="hi-IN"/>
              </w:rPr>
            </w:pPr>
            <w:r w:rsidRPr="00C36A80">
              <w:rPr>
                <w:rFonts w:ascii="Arial" w:hAnsi="Arial" w:cs="Arial"/>
                <w:color w:val="000000"/>
                <w:kern w:val="1"/>
                <w:sz w:val="20"/>
                <w:szCs w:val="24"/>
                <w:lang w:val="ro-RO" w:eastAsia="hi-IN" w:bidi="hi-IN"/>
              </w:rPr>
              <w:t>Emisii NOx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6401492"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6,73</w:t>
            </w:r>
          </w:p>
        </w:tc>
        <w:tc>
          <w:tcPr>
            <w:tcW w:w="1515" w:type="dxa"/>
            <w:tcBorders>
              <w:top w:val="single" w:sz="2" w:space="0" w:color="000001"/>
              <w:left w:val="single" w:sz="2" w:space="0" w:color="000001"/>
              <w:bottom w:val="single" w:sz="2" w:space="0" w:color="000001"/>
            </w:tcBorders>
            <w:shd w:val="clear" w:color="auto" w:fill="FFFFFF"/>
            <w:vAlign w:val="bottom"/>
          </w:tcPr>
          <w:p w14:paraId="6361D8E3" w14:textId="77777777" w:rsidR="00C36A80" w:rsidRPr="00C36A80" w:rsidRDefault="00C36A80" w:rsidP="00C36A80">
            <w:pPr>
              <w:spacing w:after="0"/>
              <w:jc w:val="center"/>
              <w:rPr>
                <w:rFonts w:ascii="Arial" w:hAnsi="Arial" w:cs="Arial"/>
                <w:sz w:val="20"/>
                <w:szCs w:val="20"/>
                <w:highlight w:val="red"/>
                <w:lang w:val="ro-RO"/>
              </w:rPr>
            </w:pPr>
            <w:r w:rsidRPr="00C36A80">
              <w:rPr>
                <w:rFonts w:ascii="Calibri" w:hAnsi="Calibri" w:cs="Calibri"/>
                <w:color w:val="000000"/>
              </w:rPr>
              <w:t>6,11</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3BCA70FB" w14:textId="77777777" w:rsidR="00C36A80" w:rsidRPr="00C36A80" w:rsidRDefault="00C36A80" w:rsidP="00C36A80">
            <w:pPr>
              <w:widowControl w:val="0"/>
              <w:suppressAutoHyphens/>
              <w:spacing w:after="0" w:line="240" w:lineRule="auto"/>
              <w:jc w:val="center"/>
              <w:rPr>
                <w:rFonts w:ascii="Arial" w:hAnsi="Arial" w:cs="Arial"/>
                <w:color w:val="000000"/>
                <w:kern w:val="1"/>
                <w:sz w:val="20"/>
                <w:szCs w:val="20"/>
                <w:lang w:val="ro-RO" w:eastAsia="hi-IN" w:bidi="hi-IN"/>
              </w:rPr>
            </w:pPr>
            <w:r w:rsidRPr="00C36A80">
              <w:rPr>
                <w:rFonts w:ascii="Arial" w:hAnsi="Arial" w:cs="Arial"/>
                <w:color w:val="000000"/>
                <w:kern w:val="1"/>
                <w:sz w:val="20"/>
                <w:szCs w:val="20"/>
                <w:lang w:val="ro-RO" w:eastAsia="hi-IN" w:bidi="hi-IN"/>
              </w:rPr>
              <w:t>-</w:t>
            </w:r>
          </w:p>
        </w:tc>
      </w:tr>
      <w:tr w:rsidR="00C36A80" w:rsidRPr="00C36A80" w14:paraId="1018ECB9" w14:textId="77777777" w:rsidTr="00C36A80">
        <w:trPr>
          <w:trHeight w:val="53"/>
          <w:jc w:val="center"/>
        </w:trPr>
        <w:tc>
          <w:tcPr>
            <w:tcW w:w="3792" w:type="dxa"/>
            <w:tcBorders>
              <w:top w:val="single" w:sz="2" w:space="0" w:color="000001"/>
              <w:left w:val="single" w:sz="2" w:space="0" w:color="000001"/>
              <w:bottom w:val="single" w:sz="2" w:space="0" w:color="000001"/>
            </w:tcBorders>
            <w:vAlign w:val="center"/>
          </w:tcPr>
          <w:p w14:paraId="6D872731" w14:textId="77777777" w:rsidR="00C36A80" w:rsidRPr="00C36A80" w:rsidRDefault="00C36A80" w:rsidP="00C36A80">
            <w:pPr>
              <w:widowControl w:val="0"/>
              <w:suppressAutoHyphens/>
              <w:spacing w:after="0" w:line="276" w:lineRule="auto"/>
              <w:jc w:val="center"/>
              <w:rPr>
                <w:rFonts w:ascii="Arial" w:hAnsi="Arial" w:cs="Arial"/>
                <w:color w:val="000000"/>
                <w:kern w:val="1"/>
                <w:sz w:val="20"/>
                <w:szCs w:val="24"/>
                <w:lang w:val="ro-RO" w:eastAsia="hi-IN" w:bidi="hi-IN"/>
              </w:rPr>
            </w:pPr>
            <w:r w:rsidRPr="00C36A80">
              <w:rPr>
                <w:rFonts w:ascii="Arial" w:hAnsi="Arial" w:cs="Arial"/>
                <w:color w:val="000000"/>
                <w:kern w:val="1"/>
                <w:sz w:val="20"/>
                <w:szCs w:val="24"/>
                <w:lang w:val="ro-RO" w:eastAsia="hi-IN" w:bidi="hi-IN"/>
              </w:rPr>
              <w:t>Emisii PM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74F7634E"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0,31</w:t>
            </w:r>
          </w:p>
        </w:tc>
        <w:tc>
          <w:tcPr>
            <w:tcW w:w="1515" w:type="dxa"/>
            <w:tcBorders>
              <w:top w:val="single" w:sz="2" w:space="0" w:color="000001"/>
              <w:left w:val="single" w:sz="2" w:space="0" w:color="000001"/>
              <w:bottom w:val="single" w:sz="2" w:space="0" w:color="000001"/>
            </w:tcBorders>
            <w:shd w:val="clear" w:color="auto" w:fill="FFFFFF"/>
            <w:vAlign w:val="bottom"/>
          </w:tcPr>
          <w:p w14:paraId="51A9A5BD" w14:textId="77777777" w:rsidR="00C36A80" w:rsidRPr="00C36A80" w:rsidRDefault="00C36A80" w:rsidP="00C36A80">
            <w:pPr>
              <w:spacing w:after="0"/>
              <w:jc w:val="center"/>
              <w:rPr>
                <w:rFonts w:ascii="Arial" w:hAnsi="Arial" w:cs="Arial"/>
                <w:sz w:val="20"/>
                <w:szCs w:val="20"/>
                <w:highlight w:val="red"/>
                <w:lang w:val="ro-RO"/>
              </w:rPr>
            </w:pPr>
            <w:r w:rsidRPr="00C36A80">
              <w:rPr>
                <w:rFonts w:ascii="Calibri" w:hAnsi="Calibri" w:cs="Calibri"/>
                <w:color w:val="000000"/>
              </w:rPr>
              <w:t>0,29</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74482DFB" w14:textId="77777777" w:rsidR="00C36A80" w:rsidRPr="00C36A80" w:rsidRDefault="00C36A80" w:rsidP="00C36A80">
            <w:pPr>
              <w:widowControl w:val="0"/>
              <w:suppressAutoHyphens/>
              <w:spacing w:after="0" w:line="240" w:lineRule="auto"/>
              <w:jc w:val="center"/>
              <w:rPr>
                <w:rFonts w:ascii="Arial" w:hAnsi="Arial" w:cs="Arial"/>
                <w:color w:val="000000"/>
                <w:kern w:val="1"/>
                <w:sz w:val="20"/>
                <w:szCs w:val="20"/>
                <w:lang w:val="ro-RO" w:eastAsia="hi-IN" w:bidi="hi-IN"/>
              </w:rPr>
            </w:pPr>
            <w:r w:rsidRPr="00C36A80">
              <w:rPr>
                <w:rFonts w:ascii="Arial" w:hAnsi="Arial" w:cs="Arial"/>
                <w:color w:val="000000"/>
                <w:kern w:val="1"/>
                <w:sz w:val="20"/>
                <w:szCs w:val="20"/>
                <w:lang w:val="ro-RO" w:eastAsia="hi-IN" w:bidi="hi-IN"/>
              </w:rPr>
              <w:t>-</w:t>
            </w:r>
          </w:p>
        </w:tc>
      </w:tr>
      <w:tr w:rsidR="00C36A80" w:rsidRPr="00C36A80" w14:paraId="456CBA77" w14:textId="77777777" w:rsidTr="00C36A80">
        <w:trPr>
          <w:trHeight w:val="53"/>
          <w:jc w:val="center"/>
        </w:trPr>
        <w:tc>
          <w:tcPr>
            <w:tcW w:w="3792" w:type="dxa"/>
            <w:tcBorders>
              <w:top w:val="single" w:sz="2" w:space="0" w:color="000001"/>
              <w:left w:val="single" w:sz="2" w:space="0" w:color="000001"/>
              <w:bottom w:val="single" w:sz="2" w:space="0" w:color="000001"/>
            </w:tcBorders>
            <w:vAlign w:val="center"/>
          </w:tcPr>
          <w:p w14:paraId="273E3679" w14:textId="77777777" w:rsidR="00C36A80" w:rsidRPr="00C36A80" w:rsidRDefault="00C36A80" w:rsidP="00C36A80">
            <w:pPr>
              <w:widowControl w:val="0"/>
              <w:suppressAutoHyphens/>
              <w:spacing w:after="0" w:line="276" w:lineRule="auto"/>
              <w:jc w:val="center"/>
              <w:rPr>
                <w:rFonts w:ascii="Arial" w:hAnsi="Arial" w:cs="Arial"/>
                <w:color w:val="000000"/>
                <w:kern w:val="1"/>
                <w:sz w:val="20"/>
                <w:szCs w:val="24"/>
                <w:lang w:val="ro-RO" w:eastAsia="hi-IN" w:bidi="hi-IN"/>
              </w:rPr>
            </w:pPr>
            <w:r w:rsidRPr="00C36A80">
              <w:rPr>
                <w:rFonts w:ascii="Arial" w:hAnsi="Arial" w:cs="Arial"/>
                <w:color w:val="000000"/>
                <w:kern w:val="1"/>
                <w:sz w:val="20"/>
                <w:szCs w:val="24"/>
                <w:lang w:val="ro-RO" w:eastAsia="hi-IN" w:bidi="hi-IN"/>
              </w:rPr>
              <w:t>Emisii HC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18BC7B74" w14:textId="77777777" w:rsidR="00C36A80" w:rsidRPr="00C36A80" w:rsidRDefault="00C36A80" w:rsidP="00C36A80">
            <w:pPr>
              <w:spacing w:after="0"/>
              <w:jc w:val="center"/>
              <w:rPr>
                <w:rFonts w:ascii="Arial" w:hAnsi="Arial" w:cs="Arial"/>
                <w:sz w:val="20"/>
                <w:szCs w:val="20"/>
                <w:highlight w:val="red"/>
                <w:lang w:val="ro-RO"/>
              </w:rPr>
            </w:pPr>
            <w:r w:rsidRPr="00C36A80">
              <w:rPr>
                <w:rFonts w:ascii="Arial" w:hAnsi="Arial" w:cs="Arial"/>
                <w:color w:val="000000"/>
                <w:sz w:val="20"/>
                <w:szCs w:val="20"/>
              </w:rPr>
              <w:t>8,46</w:t>
            </w:r>
          </w:p>
        </w:tc>
        <w:tc>
          <w:tcPr>
            <w:tcW w:w="1515" w:type="dxa"/>
            <w:tcBorders>
              <w:top w:val="single" w:sz="2" w:space="0" w:color="000001"/>
              <w:left w:val="single" w:sz="2" w:space="0" w:color="000001"/>
              <w:bottom w:val="single" w:sz="2" w:space="0" w:color="000001"/>
            </w:tcBorders>
            <w:shd w:val="clear" w:color="auto" w:fill="FFFFFF"/>
            <w:vAlign w:val="bottom"/>
          </w:tcPr>
          <w:p w14:paraId="11D8CD29" w14:textId="77777777" w:rsidR="00C36A80" w:rsidRPr="00C36A80" w:rsidRDefault="00C36A80" w:rsidP="00C36A80">
            <w:pPr>
              <w:spacing w:after="0"/>
              <w:jc w:val="center"/>
              <w:rPr>
                <w:rFonts w:ascii="Arial" w:hAnsi="Arial" w:cs="Arial"/>
                <w:sz w:val="20"/>
                <w:szCs w:val="20"/>
                <w:highlight w:val="red"/>
                <w:lang w:val="ro-RO"/>
              </w:rPr>
            </w:pPr>
            <w:r w:rsidRPr="00C36A80">
              <w:rPr>
                <w:rFonts w:ascii="Calibri" w:hAnsi="Calibri" w:cs="Calibri"/>
                <w:color w:val="000000"/>
              </w:rPr>
              <w:t>6,67</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45436454" w14:textId="77777777" w:rsidR="00C36A80" w:rsidRPr="00C36A80" w:rsidRDefault="00C36A80" w:rsidP="00C36A80">
            <w:pPr>
              <w:widowControl w:val="0"/>
              <w:suppressAutoHyphens/>
              <w:spacing w:after="0" w:line="240" w:lineRule="auto"/>
              <w:jc w:val="center"/>
              <w:rPr>
                <w:rFonts w:ascii="Arial" w:hAnsi="Arial" w:cs="Arial"/>
                <w:color w:val="000000"/>
                <w:kern w:val="1"/>
                <w:sz w:val="20"/>
                <w:szCs w:val="20"/>
                <w:lang w:val="ro-RO" w:eastAsia="hi-IN" w:bidi="hi-IN"/>
              </w:rPr>
            </w:pPr>
            <w:r w:rsidRPr="00C36A80">
              <w:rPr>
                <w:rFonts w:ascii="Arial" w:hAnsi="Arial" w:cs="Arial"/>
                <w:color w:val="000000"/>
                <w:kern w:val="1"/>
                <w:sz w:val="20"/>
                <w:szCs w:val="20"/>
                <w:lang w:val="ro-RO" w:eastAsia="hi-IN" w:bidi="hi-IN"/>
              </w:rPr>
              <w:t>-</w:t>
            </w:r>
          </w:p>
        </w:tc>
      </w:tr>
    </w:tbl>
    <w:p w14:paraId="2654C73D" w14:textId="77777777" w:rsidR="005D0927" w:rsidRPr="005D0927" w:rsidRDefault="005D0927" w:rsidP="005D0927">
      <w:pPr>
        <w:widowControl w:val="0"/>
        <w:suppressAutoHyphens/>
        <w:spacing w:after="0" w:line="360" w:lineRule="auto"/>
        <w:jc w:val="both"/>
        <w:rPr>
          <w:rFonts w:ascii="Arial" w:eastAsia="Times New Roman" w:hAnsi="Arial" w:cs="Mangal"/>
          <w:kern w:val="1"/>
          <w:sz w:val="20"/>
          <w:szCs w:val="24"/>
          <w:lang w:val="it-IT" w:eastAsia="ro-RO" w:bidi="hi-IN"/>
        </w:rPr>
      </w:pPr>
    </w:p>
    <w:p w14:paraId="1D6C2F3A" w14:textId="77777777" w:rsidR="005D0927" w:rsidRPr="005D0927" w:rsidRDefault="005D0927" w:rsidP="005D0927">
      <w:pPr>
        <w:rPr>
          <w:lang w:val="ro-RO" w:eastAsia="zh-CN" w:bidi="hi-IN"/>
        </w:rPr>
      </w:pPr>
    </w:p>
    <w:p w14:paraId="5A5C8329" w14:textId="77777777" w:rsidR="004F5666" w:rsidRDefault="004F5666" w:rsidP="0012531B">
      <w:pPr>
        <w:pStyle w:val="Titlu4"/>
        <w:numPr>
          <w:ilvl w:val="0"/>
          <w:numId w:val="0"/>
        </w:numPr>
        <w:rPr>
          <w:rFonts w:ascii="Arial" w:hAnsi="Arial" w:cs="Arial"/>
          <w:sz w:val="22"/>
          <w:szCs w:val="22"/>
          <w:lang w:bidi="hi-IN"/>
        </w:rPr>
      </w:pPr>
      <w:r w:rsidRPr="0012531B">
        <w:rPr>
          <w:rFonts w:ascii="Arial" w:hAnsi="Arial" w:cs="Arial"/>
          <w:sz w:val="22"/>
          <w:szCs w:val="22"/>
          <w:lang w:bidi="hi-IN"/>
        </w:rPr>
        <w:lastRenderedPageBreak/>
        <w:t>I.7.2.1.3 Parametri 24 h orizont 2027</w:t>
      </w:r>
    </w:p>
    <w:p w14:paraId="2A20937D" w14:textId="77777777" w:rsidR="005D0927" w:rsidRPr="005D0927" w:rsidRDefault="005D0927" w:rsidP="005D0927">
      <w:pPr>
        <w:widowControl w:val="0"/>
        <w:suppressAutoHyphens/>
        <w:spacing w:after="0" w:line="360" w:lineRule="auto"/>
        <w:jc w:val="both"/>
        <w:rPr>
          <w:rFonts w:ascii="Arial" w:hAnsi="Arial" w:cs="Arial"/>
          <w:kern w:val="1"/>
          <w:lang w:val="it-IT" w:eastAsia="hi-IN" w:bidi="hi-IN"/>
        </w:rPr>
      </w:pPr>
      <w:r w:rsidRPr="005D0927">
        <w:rPr>
          <w:rFonts w:ascii="Arial" w:hAnsi="Arial" w:cs="Arial"/>
          <w:kern w:val="1"/>
          <w:lang w:val="it-IT" w:eastAsia="hi-IN" w:bidi="hi-IN"/>
        </w:rPr>
        <w:t xml:space="preserve">In urma aplicării măsurilor cuprinse în scenariile 1 şi 2, la nivel de rețea pentru 24 de ore se obțin următoarele date referitoare la </w:t>
      </w:r>
      <w:r w:rsidRPr="005D0927">
        <w:rPr>
          <w:rFonts w:ascii="Arial" w:hAnsi="Arial" w:cs="Arial"/>
          <w:kern w:val="1"/>
          <w:lang w:val="ro-RO" w:eastAsia="hi-IN" w:bidi="hi-IN"/>
        </w:rPr>
        <w:t>emisiile de monoxid de carbon, oxizi de azot şi dioxid de sulf.</w:t>
      </w:r>
    </w:p>
    <w:p w14:paraId="3EC6E2D9" w14:textId="42081283" w:rsidR="005D0927" w:rsidRPr="005D0927" w:rsidRDefault="00BB0D72" w:rsidP="005D0927">
      <w:pPr>
        <w:spacing w:after="200" w:line="240" w:lineRule="auto"/>
        <w:jc w:val="center"/>
        <w:rPr>
          <w:rFonts w:ascii="Arial" w:eastAsia="Calibri" w:hAnsi="Arial" w:cs="Arial"/>
          <w:b/>
          <w:color w:val="000000"/>
          <w:lang w:val="it-IT" w:eastAsia="zh-CN"/>
        </w:rPr>
      </w:pPr>
      <w:bookmarkStart w:id="514" w:name="_Toc68361285"/>
      <w:bookmarkStart w:id="515" w:name="_Toc96463913"/>
      <w:r>
        <w:rPr>
          <w:rFonts w:ascii="Arial" w:hAnsi="Arial" w:cs="Arial"/>
          <w:i/>
          <w:iCs/>
          <w:color w:val="1F497D"/>
        </w:rPr>
        <w:t>Tabel I.7.</w:t>
      </w:r>
      <w:r w:rsidR="005D0927" w:rsidRPr="005D0927">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17</w:t>
      </w:r>
      <w:r>
        <w:rPr>
          <w:rFonts w:ascii="Arial" w:hAnsi="Arial" w:cs="Arial"/>
          <w:i/>
          <w:iCs/>
          <w:color w:val="1F497D"/>
        </w:rPr>
        <w:fldChar w:fldCharType="end"/>
      </w:r>
      <w:r w:rsidR="005D0927" w:rsidRPr="005D0927">
        <w:rPr>
          <w:rFonts w:ascii="Arial" w:hAnsi="Arial" w:cs="Arial"/>
          <w:i/>
          <w:iCs/>
          <w:color w:val="1F497D"/>
        </w:rPr>
        <w:t xml:space="preserve"> - </w:t>
      </w:r>
      <w:r w:rsidR="005D0927" w:rsidRPr="005D0927">
        <w:rPr>
          <w:rFonts w:ascii="Arial" w:hAnsi="Arial" w:cs="Arial"/>
          <w:color w:val="1F497D"/>
        </w:rPr>
        <w:t>Parametri pentru 24h orizont 2027 – scenariile 1 şi 2</w:t>
      </w:r>
      <w:bookmarkEnd w:id="514"/>
      <w:bookmarkEnd w:id="515"/>
    </w:p>
    <w:tbl>
      <w:tblPr>
        <w:tblW w:w="0" w:type="auto"/>
        <w:jc w:val="center"/>
        <w:tblLayout w:type="fixed"/>
        <w:tblCellMar>
          <w:left w:w="0" w:type="dxa"/>
          <w:right w:w="0" w:type="dxa"/>
        </w:tblCellMar>
        <w:tblLook w:val="0000" w:firstRow="0" w:lastRow="0" w:firstColumn="0" w:lastColumn="0" w:noHBand="0" w:noVBand="0"/>
      </w:tblPr>
      <w:tblGrid>
        <w:gridCol w:w="3792"/>
        <w:gridCol w:w="1515"/>
        <w:gridCol w:w="1515"/>
        <w:gridCol w:w="1573"/>
      </w:tblGrid>
      <w:tr w:rsidR="00CC3538" w:rsidRPr="00CC3538" w14:paraId="1AD814B1" w14:textId="77777777" w:rsidTr="00CE76B6">
        <w:trPr>
          <w:trHeight w:val="542"/>
          <w:jc w:val="center"/>
        </w:trPr>
        <w:tc>
          <w:tcPr>
            <w:tcW w:w="3792" w:type="dxa"/>
            <w:tcBorders>
              <w:top w:val="single" w:sz="2" w:space="0" w:color="000001"/>
              <w:left w:val="single" w:sz="2" w:space="0" w:color="000001"/>
              <w:bottom w:val="single" w:sz="2" w:space="0" w:color="000001"/>
            </w:tcBorders>
            <w:shd w:val="clear" w:color="auto" w:fill="D9D9D9"/>
            <w:vAlign w:val="center"/>
          </w:tcPr>
          <w:p w14:paraId="5E1D0190" w14:textId="77777777" w:rsidR="00CC3538" w:rsidRPr="00CC3538" w:rsidRDefault="00CC3538" w:rsidP="00CC3538">
            <w:pPr>
              <w:widowControl w:val="0"/>
              <w:suppressAutoHyphens/>
              <w:spacing w:after="0" w:line="360"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Parametru</w:t>
            </w:r>
          </w:p>
        </w:tc>
        <w:tc>
          <w:tcPr>
            <w:tcW w:w="1515"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19D1CE9A" w14:textId="77777777" w:rsidR="00CC3538" w:rsidRPr="00CC3538" w:rsidRDefault="00CC3538" w:rsidP="00CC3538">
            <w:pPr>
              <w:widowControl w:val="0"/>
              <w:suppressAutoHyphens/>
              <w:spacing w:after="0" w:line="276"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Scenariul 1</w:t>
            </w:r>
          </w:p>
        </w:tc>
        <w:tc>
          <w:tcPr>
            <w:tcW w:w="1515" w:type="dxa"/>
            <w:tcBorders>
              <w:top w:val="single" w:sz="2" w:space="0" w:color="000001"/>
              <w:left w:val="single" w:sz="2" w:space="0" w:color="000001"/>
              <w:bottom w:val="single" w:sz="2" w:space="0" w:color="000001"/>
            </w:tcBorders>
            <w:shd w:val="clear" w:color="auto" w:fill="D9D9D9"/>
            <w:vAlign w:val="center"/>
          </w:tcPr>
          <w:p w14:paraId="20EFA2E5" w14:textId="77777777" w:rsidR="00CC3538" w:rsidRPr="00CC3538" w:rsidRDefault="00CC3538" w:rsidP="00CC3538">
            <w:pPr>
              <w:widowControl w:val="0"/>
              <w:suppressAutoHyphens/>
              <w:spacing w:after="0" w:line="276"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Scenariul 2</w:t>
            </w:r>
          </w:p>
        </w:tc>
        <w:tc>
          <w:tcPr>
            <w:tcW w:w="1573"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2448E078" w14:textId="77777777" w:rsidR="00CC3538" w:rsidRPr="00CC3538" w:rsidRDefault="00CC3538" w:rsidP="00CC3538">
            <w:pPr>
              <w:widowControl w:val="0"/>
              <w:suppressAutoHyphens/>
              <w:spacing w:after="0" w:line="276" w:lineRule="auto"/>
              <w:jc w:val="center"/>
              <w:rPr>
                <w:rFonts w:ascii="Arial" w:hAnsi="Arial" w:cs="Mangal"/>
                <w:kern w:val="1"/>
                <w:sz w:val="20"/>
                <w:szCs w:val="24"/>
                <w:lang w:val="ro-RO" w:eastAsia="hi-IN" w:bidi="hi-IN"/>
              </w:rPr>
            </w:pPr>
            <w:r w:rsidRPr="00CC3538">
              <w:rPr>
                <w:rFonts w:ascii="Arial" w:hAnsi="Arial" w:cs="Arial"/>
                <w:b/>
                <w:color w:val="000000"/>
                <w:kern w:val="1"/>
                <w:sz w:val="20"/>
                <w:szCs w:val="24"/>
                <w:lang w:val="ro-RO" w:eastAsia="hi-IN" w:bidi="hi-IN"/>
              </w:rPr>
              <w:t>Scenariul 3</w:t>
            </w:r>
          </w:p>
        </w:tc>
      </w:tr>
      <w:tr w:rsidR="00CC3538" w:rsidRPr="00CC3538" w14:paraId="68A4BAA6"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6E9E8D82"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CO</w:t>
            </w:r>
            <w:r w:rsidRPr="00CC3538">
              <w:rPr>
                <w:rFonts w:ascii="Arial" w:hAnsi="Arial" w:cs="Arial"/>
                <w:color w:val="000000"/>
                <w:kern w:val="1"/>
                <w:sz w:val="20"/>
                <w:szCs w:val="24"/>
                <w:vertAlign w:val="subscript"/>
                <w:lang w:val="ro-RO" w:eastAsia="hi-IN" w:bidi="hi-IN"/>
              </w:rPr>
              <w:t>2</w:t>
            </w:r>
            <w:r w:rsidRPr="00CC3538">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53A7B1CE"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14082,20</w:t>
            </w:r>
          </w:p>
        </w:tc>
        <w:tc>
          <w:tcPr>
            <w:tcW w:w="1515" w:type="dxa"/>
            <w:tcBorders>
              <w:top w:val="single" w:sz="2" w:space="0" w:color="000001"/>
              <w:left w:val="single" w:sz="2" w:space="0" w:color="000001"/>
              <w:bottom w:val="single" w:sz="2" w:space="0" w:color="000001"/>
            </w:tcBorders>
            <w:shd w:val="clear" w:color="auto" w:fill="FFFFFF"/>
            <w:vAlign w:val="center"/>
          </w:tcPr>
          <w:p w14:paraId="635D1628"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12898,62</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527F312"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r w:rsidRPr="00CC3538">
              <w:rPr>
                <w:rFonts w:ascii="Arial" w:hAnsi="Arial" w:cs="Arial"/>
                <w:color w:val="000000"/>
                <w:kern w:val="1"/>
                <w:sz w:val="20"/>
                <w:szCs w:val="20"/>
                <w:lang w:val="ro-RO" w:eastAsia="hi-IN" w:bidi="hi-IN"/>
              </w:rPr>
              <w:t>-</w:t>
            </w:r>
          </w:p>
        </w:tc>
      </w:tr>
      <w:tr w:rsidR="00CC3538" w:rsidRPr="00CC3538" w14:paraId="424AA2AE"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12996C97"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NO</w:t>
            </w:r>
            <w:r w:rsidRPr="00CC3538">
              <w:rPr>
                <w:rFonts w:ascii="Arial" w:hAnsi="Arial" w:cs="Arial"/>
                <w:color w:val="000000"/>
                <w:kern w:val="1"/>
                <w:sz w:val="20"/>
                <w:szCs w:val="24"/>
                <w:vertAlign w:val="subscript"/>
                <w:lang w:val="ro-RO" w:eastAsia="hi-IN" w:bidi="hi-IN"/>
              </w:rPr>
              <w:t>x</w:t>
            </w:r>
            <w:r w:rsidRPr="00CC3538">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22E7A11E"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66,01</w:t>
            </w:r>
          </w:p>
        </w:tc>
        <w:tc>
          <w:tcPr>
            <w:tcW w:w="1515" w:type="dxa"/>
            <w:tcBorders>
              <w:top w:val="single" w:sz="2" w:space="0" w:color="000001"/>
              <w:left w:val="single" w:sz="2" w:space="0" w:color="000001"/>
              <w:bottom w:val="single" w:sz="2" w:space="0" w:color="000001"/>
            </w:tcBorders>
            <w:shd w:val="clear" w:color="auto" w:fill="FFFFFF"/>
            <w:vAlign w:val="center"/>
          </w:tcPr>
          <w:p w14:paraId="2B1CC19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60,47</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93B4820"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r w:rsidRPr="00CC3538">
              <w:rPr>
                <w:rFonts w:ascii="Arial" w:hAnsi="Arial" w:cs="Arial"/>
                <w:color w:val="000000"/>
                <w:kern w:val="1"/>
                <w:sz w:val="20"/>
                <w:szCs w:val="20"/>
                <w:lang w:val="ro-RO" w:eastAsia="hi-IN" w:bidi="hi-IN"/>
              </w:rPr>
              <w:t>-</w:t>
            </w:r>
          </w:p>
        </w:tc>
      </w:tr>
      <w:tr w:rsidR="00CC3538" w:rsidRPr="00CC3538" w14:paraId="0D4A5499"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444FC9BF"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PM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43FB8ABD"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3,18</w:t>
            </w:r>
          </w:p>
        </w:tc>
        <w:tc>
          <w:tcPr>
            <w:tcW w:w="1515" w:type="dxa"/>
            <w:tcBorders>
              <w:top w:val="single" w:sz="2" w:space="0" w:color="000001"/>
              <w:left w:val="single" w:sz="2" w:space="0" w:color="000001"/>
              <w:bottom w:val="single" w:sz="2" w:space="0" w:color="000001"/>
            </w:tcBorders>
            <w:shd w:val="clear" w:color="auto" w:fill="FFFFFF"/>
            <w:vAlign w:val="center"/>
          </w:tcPr>
          <w:p w14:paraId="24065326"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2,97</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21B08E28"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r w:rsidRPr="00CC3538">
              <w:rPr>
                <w:rFonts w:ascii="Arial" w:hAnsi="Arial" w:cs="Arial"/>
                <w:color w:val="000000"/>
                <w:kern w:val="1"/>
                <w:sz w:val="20"/>
                <w:szCs w:val="20"/>
                <w:lang w:val="ro-RO" w:eastAsia="hi-IN" w:bidi="hi-IN"/>
              </w:rPr>
              <w:t>-</w:t>
            </w:r>
          </w:p>
        </w:tc>
      </w:tr>
      <w:tr w:rsidR="00CC3538" w:rsidRPr="00CC3538" w14:paraId="1CC06908"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779C30AB"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HC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3E040E13"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94,88</w:t>
            </w:r>
          </w:p>
        </w:tc>
        <w:tc>
          <w:tcPr>
            <w:tcW w:w="1515" w:type="dxa"/>
            <w:tcBorders>
              <w:top w:val="single" w:sz="2" w:space="0" w:color="000001"/>
              <w:left w:val="single" w:sz="2" w:space="0" w:color="000001"/>
              <w:bottom w:val="single" w:sz="2" w:space="0" w:color="000001"/>
            </w:tcBorders>
            <w:shd w:val="clear" w:color="auto" w:fill="FFFFFF"/>
            <w:vAlign w:val="center"/>
          </w:tcPr>
          <w:p w14:paraId="3C9CD5C8"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75,11</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67C21C31"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r w:rsidRPr="00CC3538">
              <w:rPr>
                <w:rFonts w:ascii="Arial" w:hAnsi="Arial" w:cs="Arial"/>
                <w:color w:val="000000"/>
                <w:kern w:val="1"/>
                <w:sz w:val="20"/>
                <w:szCs w:val="20"/>
                <w:lang w:val="ro-RO" w:eastAsia="hi-IN" w:bidi="hi-IN"/>
              </w:rPr>
              <w:t>-</w:t>
            </w:r>
          </w:p>
        </w:tc>
      </w:tr>
    </w:tbl>
    <w:p w14:paraId="275C6517" w14:textId="77777777" w:rsidR="005D0927" w:rsidRPr="005D0927" w:rsidRDefault="005D0927" w:rsidP="005D0927">
      <w:pPr>
        <w:suppressAutoHyphens/>
        <w:autoSpaceDE w:val="0"/>
        <w:spacing w:after="0" w:line="360" w:lineRule="auto"/>
        <w:jc w:val="both"/>
        <w:rPr>
          <w:rFonts w:ascii="Arial" w:eastAsia="Times New Roman" w:hAnsi="Arial" w:cs="Arial"/>
          <w:sz w:val="24"/>
          <w:szCs w:val="24"/>
          <w:lang w:val="it-IT" w:eastAsia="ro-RO"/>
        </w:rPr>
      </w:pPr>
    </w:p>
    <w:p w14:paraId="22F0052A" w14:textId="0E349345" w:rsidR="00CC3538" w:rsidRDefault="00CC3538" w:rsidP="00CC3538">
      <w:pPr>
        <w:suppressAutoHyphens/>
        <w:autoSpaceDE w:val="0"/>
        <w:spacing w:after="0" w:line="276" w:lineRule="auto"/>
        <w:jc w:val="both"/>
        <w:rPr>
          <w:rFonts w:ascii="Arial" w:eastAsia="Times New Roman" w:hAnsi="Arial" w:cs="Arial"/>
          <w:lang w:val="ro-RO" w:eastAsia="ro-RO"/>
        </w:rPr>
      </w:pPr>
      <w:r w:rsidRPr="00CC3538">
        <w:rPr>
          <w:rFonts w:ascii="Arial" w:eastAsia="Times New Roman" w:hAnsi="Arial" w:cs="Arial"/>
          <w:lang w:val="ro-RO" w:eastAsia="ro-RO"/>
        </w:rPr>
        <w:t>Pentru acest orizont de timp se observă că în scenariul 2 sunt valori mai scăzute ale emisiilor poluante în raport cu scenariul 1, deoarece majoritatea proiectelor (din scenariul 2) au ca orizont de timp pentru implementare anul 2027.</w:t>
      </w:r>
    </w:p>
    <w:p w14:paraId="1D121236" w14:textId="77777777" w:rsidR="00CC3538" w:rsidRPr="00CC3538" w:rsidRDefault="00CC3538" w:rsidP="00CC3538">
      <w:pPr>
        <w:suppressAutoHyphens/>
        <w:autoSpaceDE w:val="0"/>
        <w:spacing w:after="0" w:line="360" w:lineRule="auto"/>
        <w:jc w:val="both"/>
        <w:rPr>
          <w:rFonts w:ascii="Arial" w:eastAsia="Times New Roman" w:hAnsi="Arial" w:cs="Arial"/>
          <w:lang w:val="ro-RO" w:eastAsia="ro-RO"/>
        </w:rPr>
      </w:pPr>
    </w:p>
    <w:p w14:paraId="59515F48" w14:textId="77777777" w:rsidR="00CC3538" w:rsidRPr="00CC3538" w:rsidRDefault="00CC3538" w:rsidP="00CC3538">
      <w:pPr>
        <w:suppressAutoHyphens/>
        <w:autoSpaceDE w:val="0"/>
        <w:spacing w:after="0" w:line="360" w:lineRule="auto"/>
        <w:jc w:val="center"/>
        <w:rPr>
          <w:rFonts w:ascii="Arial" w:eastAsia="Times New Roman" w:hAnsi="Arial" w:cs="Arial"/>
          <w:lang w:val="ro-RO" w:eastAsia="ro-RO"/>
        </w:rPr>
      </w:pPr>
      <w:r w:rsidRPr="00CC3538">
        <w:rPr>
          <w:rFonts w:ascii="Calibri" w:hAnsi="Calibri" w:cs="Times New Roman"/>
          <w:noProof/>
        </w:rPr>
        <w:drawing>
          <wp:inline distT="0" distB="0" distL="0" distR="0" wp14:anchorId="344C4284" wp14:editId="6CA09B0A">
            <wp:extent cx="4570186" cy="2747736"/>
            <wp:effectExtent l="0" t="0" r="1905" b="14605"/>
            <wp:docPr id="276" name="Chart 276">
              <a:extLst xmlns:a="http://schemas.openxmlformats.org/drawingml/2006/main">
                <a:ext uri="{FF2B5EF4-FFF2-40B4-BE49-F238E27FC236}">
                  <a16:creationId xmlns:a16="http://schemas.microsoft.com/office/drawing/2014/main" id="{3473B8F5-4EB3-46F4-AFBC-C1E731D8C8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21C139CE" w14:textId="088C9E6D" w:rsidR="00CC3538" w:rsidRPr="00CC3538" w:rsidRDefault="00CC3538" w:rsidP="00CC3538">
      <w:pPr>
        <w:pStyle w:val="Legend"/>
        <w:jc w:val="center"/>
        <w:rPr>
          <w:rFonts w:ascii="Arial" w:eastAsia="Times New Roman" w:hAnsi="Arial" w:cs="Arial"/>
          <w:i w:val="0"/>
          <w:iCs w:val="0"/>
          <w:color w:val="1F497D"/>
          <w:sz w:val="22"/>
          <w:szCs w:val="22"/>
          <w:lang w:val="ro-RO" w:eastAsia="ro-RO"/>
        </w:rPr>
      </w:pPr>
      <w:bookmarkStart w:id="516" w:name="_Toc68361047"/>
      <w:bookmarkStart w:id="517" w:name="_Toc95132115"/>
      <w:bookmarkStart w:id="518" w:name="_Toc140744539"/>
      <w:r w:rsidRPr="00CC3538">
        <w:rPr>
          <w:rFonts w:ascii="Arial" w:hAnsi="Arial" w:cs="Arial"/>
          <w:sz w:val="22"/>
          <w:szCs w:val="22"/>
        </w:rPr>
        <w:t xml:space="preserve">Figura I.7. </w:t>
      </w:r>
      <w:r w:rsidRPr="00CC3538">
        <w:rPr>
          <w:rFonts w:ascii="Arial" w:hAnsi="Arial" w:cs="Arial"/>
          <w:sz w:val="22"/>
          <w:szCs w:val="22"/>
        </w:rPr>
        <w:fldChar w:fldCharType="begin"/>
      </w:r>
      <w:r w:rsidRPr="00CC3538">
        <w:rPr>
          <w:rFonts w:ascii="Arial" w:hAnsi="Arial" w:cs="Arial"/>
          <w:sz w:val="22"/>
          <w:szCs w:val="22"/>
        </w:rPr>
        <w:instrText xml:space="preserve"> SEQ Figura_I.7. \* ARABIC </w:instrText>
      </w:r>
      <w:r w:rsidRPr="00CC3538">
        <w:rPr>
          <w:rFonts w:ascii="Arial" w:hAnsi="Arial" w:cs="Arial"/>
          <w:sz w:val="22"/>
          <w:szCs w:val="22"/>
        </w:rPr>
        <w:fldChar w:fldCharType="separate"/>
      </w:r>
      <w:r w:rsidR="00BB181C">
        <w:rPr>
          <w:rFonts w:ascii="Arial" w:hAnsi="Arial" w:cs="Arial"/>
          <w:noProof/>
          <w:sz w:val="22"/>
          <w:szCs w:val="22"/>
        </w:rPr>
        <w:t>14</w:t>
      </w:r>
      <w:r w:rsidRPr="00CC3538">
        <w:rPr>
          <w:rFonts w:ascii="Arial" w:hAnsi="Arial" w:cs="Arial"/>
          <w:sz w:val="22"/>
          <w:szCs w:val="22"/>
        </w:rPr>
        <w:fldChar w:fldCharType="end"/>
      </w:r>
      <w:r w:rsidRPr="00CC3538">
        <w:rPr>
          <w:rFonts w:ascii="Arial" w:hAnsi="Arial" w:cs="Arial"/>
          <w:sz w:val="22"/>
          <w:szCs w:val="22"/>
        </w:rPr>
        <w:t xml:space="preserve"> </w:t>
      </w:r>
      <w:r w:rsidRPr="00CC3538">
        <w:rPr>
          <w:rFonts w:ascii="Arial" w:hAnsi="Arial" w:cs="Arial"/>
          <w:i w:val="0"/>
          <w:iCs w:val="0"/>
          <w:color w:val="1F497D"/>
          <w:sz w:val="22"/>
          <w:szCs w:val="22"/>
          <w:lang w:val="ro-RO"/>
        </w:rPr>
        <w:t>– Emisii CO</w:t>
      </w:r>
      <w:r w:rsidRPr="00CC3538">
        <w:rPr>
          <w:rFonts w:ascii="Arial" w:hAnsi="Arial" w:cs="Arial"/>
          <w:i w:val="0"/>
          <w:iCs w:val="0"/>
          <w:color w:val="1F497D"/>
          <w:sz w:val="22"/>
          <w:szCs w:val="22"/>
          <w:vertAlign w:val="subscript"/>
          <w:lang w:val="ro-RO"/>
        </w:rPr>
        <w:t>2</w:t>
      </w:r>
      <w:r w:rsidRPr="00CC3538">
        <w:rPr>
          <w:rFonts w:ascii="Arial" w:hAnsi="Arial" w:cs="Arial"/>
          <w:i w:val="0"/>
          <w:iCs w:val="0"/>
          <w:color w:val="1F497D"/>
          <w:sz w:val="22"/>
          <w:szCs w:val="22"/>
          <w:lang w:val="ro-RO"/>
        </w:rPr>
        <w:t xml:space="preserve"> [kg]</w:t>
      </w:r>
      <w:bookmarkEnd w:id="516"/>
      <w:bookmarkEnd w:id="517"/>
      <w:bookmarkEnd w:id="518"/>
    </w:p>
    <w:p w14:paraId="0CD355DA" w14:textId="77777777" w:rsidR="00CC3538" w:rsidRPr="00CC3538" w:rsidRDefault="00CC3538" w:rsidP="00CC3538">
      <w:pPr>
        <w:suppressAutoHyphens/>
        <w:autoSpaceDE w:val="0"/>
        <w:spacing w:after="0" w:line="360" w:lineRule="auto"/>
        <w:jc w:val="center"/>
        <w:rPr>
          <w:rFonts w:ascii="Arial" w:eastAsia="Times New Roman" w:hAnsi="Arial" w:cs="Arial"/>
          <w:sz w:val="24"/>
          <w:szCs w:val="24"/>
          <w:lang w:val="ro-RO" w:eastAsia="ro-RO"/>
        </w:rPr>
      </w:pPr>
    </w:p>
    <w:p w14:paraId="229140A6" w14:textId="77777777" w:rsidR="00CC3538" w:rsidRPr="00CC3538" w:rsidRDefault="00CC3538" w:rsidP="00CC3538">
      <w:pPr>
        <w:tabs>
          <w:tab w:val="left" w:pos="1560"/>
        </w:tabs>
        <w:suppressAutoHyphens/>
        <w:autoSpaceDE w:val="0"/>
        <w:spacing w:after="0" w:line="360" w:lineRule="auto"/>
        <w:rPr>
          <w:rFonts w:ascii="EUAlbertina" w:eastAsia="Calibri" w:hAnsi="EUAlbertina" w:cs="EUAlbertina"/>
          <w:noProof/>
          <w:color w:val="000000"/>
          <w:sz w:val="24"/>
          <w:szCs w:val="24"/>
          <w:lang w:val="ro-RO"/>
        </w:rPr>
      </w:pPr>
      <w:r w:rsidRPr="00CC3538">
        <w:rPr>
          <w:rFonts w:ascii="Arial" w:eastAsia="Times New Roman" w:hAnsi="Arial" w:cs="Arial"/>
          <w:sz w:val="24"/>
          <w:szCs w:val="24"/>
          <w:lang w:val="ro-RO" w:eastAsia="ro-RO"/>
        </w:rPr>
        <w:lastRenderedPageBreak/>
        <w:tab/>
      </w:r>
      <w:r w:rsidRPr="00CC3538">
        <w:rPr>
          <w:rFonts w:ascii="Calibri" w:hAnsi="Calibri" w:cs="Times New Roman"/>
          <w:noProof/>
        </w:rPr>
        <w:drawing>
          <wp:inline distT="0" distB="0" distL="0" distR="0" wp14:anchorId="6868CDB6" wp14:editId="17A89B5B">
            <wp:extent cx="4665436" cy="2877910"/>
            <wp:effectExtent l="0" t="0" r="1905" b="17780"/>
            <wp:docPr id="277" name="Chart 277">
              <a:extLst xmlns:a="http://schemas.openxmlformats.org/drawingml/2006/main">
                <a:ext uri="{FF2B5EF4-FFF2-40B4-BE49-F238E27FC236}">
                  <a16:creationId xmlns:a16="http://schemas.microsoft.com/office/drawing/2014/main" id="{66DACAA8-8E90-45E2-9405-5A409F32EA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p w14:paraId="3969D97A" w14:textId="058AB555" w:rsidR="00CC3538" w:rsidRPr="00CC3538" w:rsidRDefault="00CC3538" w:rsidP="00CC3538">
      <w:pPr>
        <w:pStyle w:val="Legend"/>
        <w:jc w:val="center"/>
        <w:rPr>
          <w:rFonts w:ascii="Arial" w:eastAsia="Calibri" w:hAnsi="Arial" w:cs="Arial"/>
          <w:i w:val="0"/>
          <w:iCs w:val="0"/>
          <w:color w:val="1F497D"/>
          <w:sz w:val="22"/>
          <w:szCs w:val="22"/>
          <w:lang w:val="ro-RO" w:eastAsia="ro-RO"/>
        </w:rPr>
      </w:pPr>
      <w:bookmarkStart w:id="519" w:name="_Toc68361048"/>
      <w:bookmarkStart w:id="520" w:name="_Toc95132116"/>
      <w:bookmarkStart w:id="521" w:name="_Toc140744540"/>
      <w:r w:rsidRPr="00CC3538">
        <w:rPr>
          <w:rFonts w:ascii="Arial" w:hAnsi="Arial" w:cs="Arial"/>
          <w:sz w:val="22"/>
          <w:szCs w:val="22"/>
        </w:rPr>
        <w:t xml:space="preserve">Figura I.7. </w:t>
      </w:r>
      <w:r w:rsidRPr="00CC3538">
        <w:rPr>
          <w:rFonts w:ascii="Arial" w:hAnsi="Arial" w:cs="Arial"/>
          <w:sz w:val="22"/>
          <w:szCs w:val="22"/>
        </w:rPr>
        <w:fldChar w:fldCharType="begin"/>
      </w:r>
      <w:r w:rsidRPr="00CC3538">
        <w:rPr>
          <w:rFonts w:ascii="Arial" w:hAnsi="Arial" w:cs="Arial"/>
          <w:sz w:val="22"/>
          <w:szCs w:val="22"/>
        </w:rPr>
        <w:instrText xml:space="preserve"> SEQ Figura_I.7. \* ARABIC </w:instrText>
      </w:r>
      <w:r w:rsidRPr="00CC3538">
        <w:rPr>
          <w:rFonts w:ascii="Arial" w:hAnsi="Arial" w:cs="Arial"/>
          <w:sz w:val="22"/>
          <w:szCs w:val="22"/>
        </w:rPr>
        <w:fldChar w:fldCharType="separate"/>
      </w:r>
      <w:r w:rsidR="00BB181C">
        <w:rPr>
          <w:rFonts w:ascii="Arial" w:hAnsi="Arial" w:cs="Arial"/>
          <w:noProof/>
          <w:sz w:val="22"/>
          <w:szCs w:val="22"/>
        </w:rPr>
        <w:t>15</w:t>
      </w:r>
      <w:r w:rsidRPr="00CC3538">
        <w:rPr>
          <w:rFonts w:ascii="Arial" w:hAnsi="Arial" w:cs="Arial"/>
          <w:sz w:val="22"/>
          <w:szCs w:val="22"/>
        </w:rPr>
        <w:fldChar w:fldCharType="end"/>
      </w:r>
      <w:r w:rsidRPr="00CC3538">
        <w:rPr>
          <w:rFonts w:ascii="Arial" w:hAnsi="Arial" w:cs="Arial"/>
          <w:sz w:val="22"/>
          <w:szCs w:val="22"/>
        </w:rPr>
        <w:t xml:space="preserve"> </w:t>
      </w:r>
      <w:r w:rsidRPr="00CC3538">
        <w:rPr>
          <w:rFonts w:ascii="Arial" w:hAnsi="Arial" w:cs="Arial"/>
          <w:color w:val="1F497D"/>
          <w:sz w:val="22"/>
          <w:szCs w:val="22"/>
          <w:lang w:val="ro-RO"/>
        </w:rPr>
        <w:t xml:space="preserve">– </w:t>
      </w:r>
      <w:r w:rsidRPr="00CC3538">
        <w:rPr>
          <w:rFonts w:ascii="Arial" w:hAnsi="Arial" w:cs="Arial"/>
          <w:i w:val="0"/>
          <w:iCs w:val="0"/>
          <w:color w:val="1F497D"/>
          <w:sz w:val="22"/>
          <w:szCs w:val="22"/>
          <w:lang w:val="ro-RO"/>
        </w:rPr>
        <w:t>Emisii NO</w:t>
      </w:r>
      <w:r w:rsidRPr="00CC3538">
        <w:rPr>
          <w:rFonts w:ascii="Arial" w:hAnsi="Arial" w:cs="Arial"/>
          <w:i w:val="0"/>
          <w:iCs w:val="0"/>
          <w:color w:val="1F497D"/>
          <w:sz w:val="22"/>
          <w:szCs w:val="22"/>
          <w:vertAlign w:val="subscript"/>
          <w:lang w:val="ro-RO"/>
        </w:rPr>
        <w:t>X</w:t>
      </w:r>
      <w:r w:rsidRPr="00CC3538">
        <w:rPr>
          <w:rFonts w:ascii="Arial" w:hAnsi="Arial" w:cs="Arial"/>
          <w:i w:val="0"/>
          <w:iCs w:val="0"/>
          <w:color w:val="1F497D"/>
          <w:sz w:val="22"/>
          <w:szCs w:val="22"/>
          <w:lang w:val="ro-RO"/>
        </w:rPr>
        <w:t xml:space="preserve"> [kg]</w:t>
      </w:r>
      <w:bookmarkEnd w:id="519"/>
      <w:bookmarkEnd w:id="520"/>
      <w:bookmarkEnd w:id="521"/>
    </w:p>
    <w:p w14:paraId="2CC8E780" w14:textId="77777777" w:rsidR="00CC3538" w:rsidRPr="00CC3538" w:rsidRDefault="00CC3538" w:rsidP="00CC3538">
      <w:pPr>
        <w:suppressAutoHyphens/>
        <w:autoSpaceDE w:val="0"/>
        <w:spacing w:after="0" w:line="360" w:lineRule="auto"/>
        <w:jc w:val="center"/>
        <w:rPr>
          <w:rFonts w:ascii="EUAlbertina" w:eastAsia="Calibri" w:hAnsi="EUAlbertina" w:cs="EUAlbertina"/>
          <w:noProof/>
          <w:color w:val="000000"/>
          <w:sz w:val="24"/>
          <w:szCs w:val="24"/>
          <w:lang w:val="ro-RO" w:eastAsia="ro-RO"/>
        </w:rPr>
      </w:pPr>
    </w:p>
    <w:p w14:paraId="3265EC99" w14:textId="77777777" w:rsidR="00CC3538" w:rsidRPr="00CC3538" w:rsidRDefault="00CC3538" w:rsidP="00CC3538">
      <w:pPr>
        <w:suppressAutoHyphens/>
        <w:autoSpaceDE w:val="0"/>
        <w:spacing w:after="0" w:line="360" w:lineRule="auto"/>
        <w:jc w:val="center"/>
        <w:rPr>
          <w:rFonts w:ascii="EUAlbertina" w:eastAsia="Calibri" w:hAnsi="EUAlbertina" w:cs="EUAlbertina"/>
          <w:noProof/>
          <w:color w:val="000000"/>
          <w:sz w:val="24"/>
          <w:szCs w:val="24"/>
          <w:lang w:val="ro-RO" w:eastAsia="ro-RO"/>
        </w:rPr>
      </w:pPr>
      <w:r w:rsidRPr="00CC3538">
        <w:rPr>
          <w:rFonts w:ascii="Calibri" w:hAnsi="Calibri" w:cs="Times New Roman"/>
          <w:noProof/>
        </w:rPr>
        <w:drawing>
          <wp:inline distT="0" distB="0" distL="0" distR="0" wp14:anchorId="3A5CBC8A" wp14:editId="12B9C2BE">
            <wp:extent cx="4579711" cy="2737304"/>
            <wp:effectExtent l="0" t="0" r="11430" b="6350"/>
            <wp:docPr id="278" name="Chart 278">
              <a:extLst xmlns:a="http://schemas.openxmlformats.org/drawingml/2006/main">
                <a:ext uri="{FF2B5EF4-FFF2-40B4-BE49-F238E27FC236}">
                  <a16:creationId xmlns:a16="http://schemas.microsoft.com/office/drawing/2014/main" id="{7FC64AAC-54F1-4E0B-94BB-4F1443594A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p w14:paraId="0B326DEC" w14:textId="088589B5" w:rsidR="00CC3538" w:rsidRPr="00CC3538" w:rsidRDefault="00CC3538" w:rsidP="00CC3538">
      <w:pPr>
        <w:spacing w:after="200" w:line="240" w:lineRule="auto"/>
        <w:jc w:val="center"/>
        <w:rPr>
          <w:rFonts w:ascii="Arial" w:eastAsia="Calibri" w:hAnsi="Arial" w:cs="Arial"/>
          <w:noProof/>
          <w:color w:val="000000"/>
          <w:lang w:val="ro-RO" w:eastAsia="ro-RO"/>
        </w:rPr>
      </w:pPr>
      <w:bookmarkStart w:id="522" w:name="_Toc68361049"/>
      <w:bookmarkStart w:id="523" w:name="_Toc95132117"/>
      <w:bookmarkStart w:id="524" w:name="_Toc140744541"/>
      <w:r w:rsidRPr="00CC3538">
        <w:rPr>
          <w:rFonts w:ascii="Arial" w:hAnsi="Arial" w:cs="Arial"/>
          <w:i/>
          <w:iCs/>
          <w:color w:val="1F497D"/>
          <w:lang w:val="ro-RO"/>
        </w:rPr>
        <w:t xml:space="preserve">Figura I.7. </w:t>
      </w:r>
      <w:r w:rsidRPr="00CC3538">
        <w:rPr>
          <w:rFonts w:ascii="Arial" w:hAnsi="Arial" w:cs="Arial"/>
          <w:i/>
          <w:iCs/>
          <w:color w:val="1F497D"/>
          <w:lang w:val="ro-RO"/>
        </w:rPr>
        <w:fldChar w:fldCharType="begin"/>
      </w:r>
      <w:r w:rsidRPr="00CC3538">
        <w:rPr>
          <w:rFonts w:ascii="Arial" w:hAnsi="Arial" w:cs="Arial"/>
          <w:i/>
          <w:iCs/>
          <w:color w:val="1F497D"/>
          <w:lang w:val="ro-RO"/>
        </w:rPr>
        <w:instrText xml:space="preserve"> SEQ Figura_I.7. \* ARABIC </w:instrText>
      </w:r>
      <w:r w:rsidRPr="00CC3538">
        <w:rPr>
          <w:rFonts w:ascii="Arial" w:hAnsi="Arial" w:cs="Arial"/>
          <w:i/>
          <w:iCs/>
          <w:color w:val="1F497D"/>
          <w:lang w:val="ro-RO"/>
        </w:rPr>
        <w:fldChar w:fldCharType="separate"/>
      </w:r>
      <w:r w:rsidR="00BB181C">
        <w:rPr>
          <w:rFonts w:ascii="Arial" w:hAnsi="Arial" w:cs="Arial"/>
          <w:i/>
          <w:iCs/>
          <w:noProof/>
          <w:color w:val="1F497D"/>
          <w:lang w:val="ro-RO"/>
        </w:rPr>
        <w:t>16</w:t>
      </w:r>
      <w:r w:rsidRPr="00CC3538">
        <w:rPr>
          <w:rFonts w:ascii="Arial" w:hAnsi="Arial" w:cs="Arial"/>
          <w:i/>
          <w:iCs/>
          <w:color w:val="1F497D"/>
          <w:lang w:val="ro-RO"/>
        </w:rPr>
        <w:fldChar w:fldCharType="end"/>
      </w:r>
      <w:r w:rsidRPr="00CC3538">
        <w:rPr>
          <w:rFonts w:ascii="Arial" w:hAnsi="Arial" w:cs="Arial"/>
          <w:i/>
          <w:iCs/>
          <w:color w:val="1F497D"/>
          <w:lang w:val="ro-RO"/>
        </w:rPr>
        <w:t xml:space="preserve"> – </w:t>
      </w:r>
      <w:r w:rsidRPr="00CC3538">
        <w:rPr>
          <w:rFonts w:ascii="Arial" w:hAnsi="Arial" w:cs="Arial"/>
          <w:color w:val="1F497D"/>
          <w:lang w:val="ro-RO"/>
        </w:rPr>
        <w:t>Emisii SO</w:t>
      </w:r>
      <w:r w:rsidRPr="00CC3538">
        <w:rPr>
          <w:rFonts w:ascii="Arial" w:hAnsi="Arial" w:cs="Arial"/>
          <w:color w:val="1F497D"/>
          <w:vertAlign w:val="subscript"/>
          <w:lang w:val="ro-RO"/>
        </w:rPr>
        <w:t xml:space="preserve">2 </w:t>
      </w:r>
      <w:r w:rsidRPr="00CC3538">
        <w:rPr>
          <w:rFonts w:ascii="Arial" w:hAnsi="Arial" w:cs="Arial"/>
          <w:color w:val="1F497D"/>
          <w:lang w:val="ro-RO"/>
        </w:rPr>
        <w:t>[kg]</w:t>
      </w:r>
      <w:bookmarkEnd w:id="522"/>
      <w:bookmarkEnd w:id="523"/>
      <w:bookmarkEnd w:id="524"/>
    </w:p>
    <w:p w14:paraId="28AF9D06" w14:textId="77777777" w:rsidR="00CC3538" w:rsidRPr="00CC3538" w:rsidRDefault="00CC3538" w:rsidP="00CC3538">
      <w:pPr>
        <w:suppressAutoHyphens/>
        <w:autoSpaceDE w:val="0"/>
        <w:spacing w:after="0" w:line="360" w:lineRule="auto"/>
        <w:jc w:val="center"/>
        <w:rPr>
          <w:rFonts w:ascii="EUAlbertina" w:eastAsia="Calibri" w:hAnsi="EUAlbertina" w:cs="EUAlbertina"/>
          <w:noProof/>
          <w:color w:val="000000"/>
          <w:sz w:val="24"/>
          <w:szCs w:val="24"/>
          <w:lang w:val="ro-RO" w:eastAsia="ro-RO"/>
        </w:rPr>
      </w:pPr>
      <w:r w:rsidRPr="00CC3538">
        <w:rPr>
          <w:rFonts w:ascii="Calibri" w:hAnsi="Calibri" w:cs="Times New Roman"/>
          <w:noProof/>
        </w:rPr>
        <w:lastRenderedPageBreak/>
        <w:drawing>
          <wp:inline distT="0" distB="0" distL="0" distR="0" wp14:anchorId="7B70A6DF" wp14:editId="2BBEAD87">
            <wp:extent cx="4662261" cy="2759529"/>
            <wp:effectExtent l="0" t="0" r="5080" b="3175"/>
            <wp:docPr id="279" name="Chart 279">
              <a:extLst xmlns:a="http://schemas.openxmlformats.org/drawingml/2006/main">
                <a:ext uri="{FF2B5EF4-FFF2-40B4-BE49-F238E27FC236}">
                  <a16:creationId xmlns:a16="http://schemas.microsoft.com/office/drawing/2014/main" id="{5676B22C-D8A9-4CCB-A662-A33AE99014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p w14:paraId="7427C20C" w14:textId="509247AB" w:rsidR="00CC3538" w:rsidRPr="00CC3538" w:rsidRDefault="00CC3538" w:rsidP="00CC3538">
      <w:pPr>
        <w:spacing w:after="200" w:line="240" w:lineRule="auto"/>
        <w:jc w:val="center"/>
        <w:rPr>
          <w:rFonts w:ascii="Arial" w:eastAsia="Times New Roman" w:hAnsi="Arial" w:cs="Arial"/>
          <w:color w:val="1F497D"/>
          <w:lang w:val="ro-RO" w:eastAsia="ro-RO"/>
        </w:rPr>
      </w:pPr>
      <w:bookmarkStart w:id="525" w:name="_Toc68361050"/>
      <w:bookmarkStart w:id="526" w:name="_Toc95132118"/>
      <w:bookmarkStart w:id="527" w:name="_Toc140744542"/>
      <w:r w:rsidRPr="00CC3538">
        <w:rPr>
          <w:rFonts w:ascii="Arial" w:hAnsi="Arial" w:cs="Arial"/>
          <w:i/>
          <w:iCs/>
          <w:color w:val="1F497D"/>
          <w:lang w:val="ro-RO"/>
        </w:rPr>
        <w:t xml:space="preserve">Figura I.7. </w:t>
      </w:r>
      <w:r w:rsidRPr="00CC3538">
        <w:rPr>
          <w:rFonts w:ascii="Arial" w:hAnsi="Arial" w:cs="Arial"/>
          <w:i/>
          <w:iCs/>
          <w:color w:val="1F497D"/>
          <w:lang w:val="ro-RO"/>
        </w:rPr>
        <w:fldChar w:fldCharType="begin"/>
      </w:r>
      <w:r w:rsidRPr="00CC3538">
        <w:rPr>
          <w:rFonts w:ascii="Arial" w:hAnsi="Arial" w:cs="Arial"/>
          <w:i/>
          <w:iCs/>
          <w:color w:val="1F497D"/>
          <w:lang w:val="ro-RO"/>
        </w:rPr>
        <w:instrText xml:space="preserve"> SEQ Figura_I.7. \* ARABIC </w:instrText>
      </w:r>
      <w:r w:rsidRPr="00CC3538">
        <w:rPr>
          <w:rFonts w:ascii="Arial" w:hAnsi="Arial" w:cs="Arial"/>
          <w:i/>
          <w:iCs/>
          <w:color w:val="1F497D"/>
          <w:lang w:val="ro-RO"/>
        </w:rPr>
        <w:fldChar w:fldCharType="separate"/>
      </w:r>
      <w:r w:rsidR="00BB181C">
        <w:rPr>
          <w:rFonts w:ascii="Arial" w:hAnsi="Arial" w:cs="Arial"/>
          <w:i/>
          <w:iCs/>
          <w:noProof/>
          <w:color w:val="1F497D"/>
          <w:lang w:val="ro-RO"/>
        </w:rPr>
        <w:t>17</w:t>
      </w:r>
      <w:r w:rsidRPr="00CC3538">
        <w:rPr>
          <w:rFonts w:ascii="Arial" w:hAnsi="Arial" w:cs="Arial"/>
          <w:i/>
          <w:iCs/>
          <w:color w:val="1F497D"/>
          <w:lang w:val="ro-RO"/>
        </w:rPr>
        <w:fldChar w:fldCharType="end"/>
      </w:r>
      <w:r w:rsidRPr="00CC3538">
        <w:rPr>
          <w:rFonts w:ascii="Arial" w:hAnsi="Arial" w:cs="Arial"/>
          <w:i/>
          <w:iCs/>
          <w:color w:val="1F497D"/>
          <w:lang w:val="ro-RO"/>
        </w:rPr>
        <w:t xml:space="preserve"> – </w:t>
      </w:r>
      <w:r w:rsidRPr="00CC3538">
        <w:rPr>
          <w:rFonts w:ascii="Arial" w:hAnsi="Arial" w:cs="Arial"/>
          <w:color w:val="1F497D"/>
          <w:lang w:val="ro-RO"/>
        </w:rPr>
        <w:t>Emisii HC [kg]</w:t>
      </w:r>
      <w:bookmarkEnd w:id="525"/>
      <w:bookmarkEnd w:id="526"/>
      <w:bookmarkEnd w:id="527"/>
    </w:p>
    <w:p w14:paraId="12027B10" w14:textId="77777777" w:rsidR="00CC3538" w:rsidRPr="00CC3538" w:rsidRDefault="00CC3538" w:rsidP="00CC3538">
      <w:pPr>
        <w:suppressAutoHyphens/>
        <w:autoSpaceDE w:val="0"/>
        <w:spacing w:after="0" w:line="276" w:lineRule="auto"/>
        <w:jc w:val="both"/>
        <w:rPr>
          <w:rFonts w:ascii="Arial" w:eastAsia="Times New Roman" w:hAnsi="Arial" w:cs="Arial"/>
          <w:lang w:val="ro-RO" w:eastAsia="ro-RO"/>
        </w:rPr>
      </w:pPr>
    </w:p>
    <w:p w14:paraId="7585FF0F" w14:textId="77777777" w:rsidR="004F5666" w:rsidRPr="0012531B" w:rsidRDefault="004F5666" w:rsidP="0012531B">
      <w:pPr>
        <w:pStyle w:val="Titlu3"/>
        <w:rPr>
          <w:rFonts w:ascii="Arial" w:eastAsia="Calibri" w:hAnsi="Arial" w:cs="Arial"/>
          <w:sz w:val="24"/>
          <w:szCs w:val="24"/>
          <w:lang w:val="it-IT"/>
        </w:rPr>
      </w:pPr>
      <w:bookmarkStart w:id="528" w:name="_Toc142039114"/>
      <w:r w:rsidRPr="0012531B">
        <w:rPr>
          <w:rFonts w:ascii="Arial" w:eastAsia="Calibri" w:hAnsi="Arial" w:cs="Arial"/>
          <w:sz w:val="24"/>
          <w:szCs w:val="24"/>
          <w:lang w:val="it-IT"/>
        </w:rPr>
        <w:t>I.7.2.2 Orizont 2035</w:t>
      </w:r>
      <w:bookmarkEnd w:id="528"/>
    </w:p>
    <w:p w14:paraId="3096E25A" w14:textId="77777777" w:rsidR="004F5666" w:rsidRDefault="004F5666" w:rsidP="0012531B">
      <w:pPr>
        <w:pStyle w:val="Titlu4"/>
        <w:numPr>
          <w:ilvl w:val="0"/>
          <w:numId w:val="0"/>
        </w:numPr>
        <w:rPr>
          <w:rFonts w:ascii="Arial" w:hAnsi="Arial" w:cs="Arial"/>
          <w:sz w:val="22"/>
          <w:szCs w:val="22"/>
          <w:lang w:bidi="hi-IN"/>
        </w:rPr>
      </w:pPr>
      <w:r w:rsidRPr="0012531B">
        <w:rPr>
          <w:rFonts w:ascii="Arial" w:hAnsi="Arial" w:cs="Arial"/>
          <w:sz w:val="22"/>
          <w:szCs w:val="22"/>
          <w:lang w:bidi="hi-IN"/>
        </w:rPr>
        <w:t>I.7.2.2.1 Parametri ora de vârf AM orizont 2035</w:t>
      </w:r>
    </w:p>
    <w:p w14:paraId="277672EF" w14:textId="77777777" w:rsidR="005D0927" w:rsidRPr="005D0927" w:rsidRDefault="005D0927" w:rsidP="00052A28">
      <w:pPr>
        <w:widowControl w:val="0"/>
        <w:suppressAutoHyphens/>
        <w:spacing w:after="0" w:line="276" w:lineRule="auto"/>
        <w:jc w:val="both"/>
        <w:rPr>
          <w:rFonts w:ascii="Arial" w:hAnsi="Arial" w:cs="Arial"/>
          <w:kern w:val="1"/>
          <w:lang w:val="it-IT" w:eastAsia="hi-IN" w:bidi="hi-IN"/>
        </w:rPr>
      </w:pPr>
      <w:r w:rsidRPr="005D0927">
        <w:rPr>
          <w:rFonts w:ascii="Arial" w:hAnsi="Arial" w:cs="Arial"/>
          <w:kern w:val="1"/>
          <w:lang w:val="it-IT" w:eastAsia="hi-IN" w:bidi="hi-IN"/>
        </w:rPr>
        <w:t>În urma aplicării măsurilor cuprinse în scenariile 1, 2 şi 3, la nivel de rețea se obțin următoarele date referitoare la emisiile de dioxid de carbon, oxizi de azot, pulberi in suspensie şi hidrocarburi.</w:t>
      </w:r>
    </w:p>
    <w:p w14:paraId="0A5C5D81" w14:textId="77777777" w:rsidR="00052A28" w:rsidRPr="005D0927" w:rsidRDefault="00052A28" w:rsidP="005D0927">
      <w:pPr>
        <w:widowControl w:val="0"/>
        <w:suppressAutoHyphens/>
        <w:spacing w:after="0" w:line="360" w:lineRule="auto"/>
        <w:jc w:val="both"/>
        <w:rPr>
          <w:rFonts w:ascii="Arial" w:hAnsi="Arial" w:cs="Arial"/>
          <w:kern w:val="1"/>
          <w:lang w:val="it-IT" w:eastAsia="hi-IN" w:bidi="hi-IN"/>
        </w:rPr>
      </w:pPr>
    </w:p>
    <w:p w14:paraId="2EEC49F1" w14:textId="07565B0D" w:rsidR="005D0927" w:rsidRPr="005D0927" w:rsidRDefault="00BB0D72" w:rsidP="005D0927">
      <w:pPr>
        <w:spacing w:after="200" w:line="240" w:lineRule="auto"/>
        <w:jc w:val="center"/>
        <w:rPr>
          <w:rFonts w:ascii="Arial" w:eastAsia="Calibri" w:hAnsi="Arial" w:cs="Arial"/>
          <w:b/>
          <w:color w:val="000000"/>
          <w:lang w:val="it-IT" w:eastAsia="zh-CN"/>
        </w:rPr>
      </w:pPr>
      <w:bookmarkStart w:id="529" w:name="_Toc68361286"/>
      <w:bookmarkStart w:id="530" w:name="_Toc96463914"/>
      <w:r>
        <w:rPr>
          <w:rFonts w:ascii="Arial" w:hAnsi="Arial" w:cs="Arial"/>
          <w:i/>
          <w:iCs/>
          <w:color w:val="1F497D"/>
        </w:rPr>
        <w:t>Tabel I.7.</w:t>
      </w:r>
      <w:r w:rsidR="005D0927" w:rsidRPr="005D0927">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18</w:t>
      </w:r>
      <w:r>
        <w:rPr>
          <w:rFonts w:ascii="Arial" w:hAnsi="Arial" w:cs="Arial"/>
          <w:i/>
          <w:iCs/>
          <w:color w:val="1F497D"/>
        </w:rPr>
        <w:fldChar w:fldCharType="end"/>
      </w:r>
      <w:r w:rsidR="005D0927" w:rsidRPr="005D0927">
        <w:rPr>
          <w:rFonts w:ascii="Arial" w:hAnsi="Arial" w:cs="Arial"/>
          <w:i/>
          <w:iCs/>
          <w:color w:val="1F497D"/>
        </w:rPr>
        <w:t xml:space="preserve"> - </w:t>
      </w:r>
      <w:r w:rsidR="005D0927" w:rsidRPr="005D0927">
        <w:rPr>
          <w:rFonts w:ascii="Arial" w:hAnsi="Arial" w:cs="Arial"/>
          <w:color w:val="1F497D"/>
        </w:rPr>
        <w:t>Parametri ora de vârf AM orizont 2035 – scenariile 1, 2 şi 3</w:t>
      </w:r>
      <w:bookmarkEnd w:id="529"/>
      <w:bookmarkEnd w:id="530"/>
    </w:p>
    <w:tbl>
      <w:tblPr>
        <w:tblW w:w="0" w:type="auto"/>
        <w:jc w:val="center"/>
        <w:tblLayout w:type="fixed"/>
        <w:tblCellMar>
          <w:left w:w="0" w:type="dxa"/>
          <w:right w:w="0" w:type="dxa"/>
        </w:tblCellMar>
        <w:tblLook w:val="0000" w:firstRow="0" w:lastRow="0" w:firstColumn="0" w:lastColumn="0" w:noHBand="0" w:noVBand="0"/>
      </w:tblPr>
      <w:tblGrid>
        <w:gridCol w:w="3792"/>
        <w:gridCol w:w="1515"/>
        <w:gridCol w:w="1515"/>
        <w:gridCol w:w="1573"/>
      </w:tblGrid>
      <w:tr w:rsidR="00CC3538" w:rsidRPr="00CC3538" w14:paraId="4ECA0C1E" w14:textId="77777777" w:rsidTr="00CE76B6">
        <w:trPr>
          <w:trHeight w:val="542"/>
          <w:jc w:val="center"/>
        </w:trPr>
        <w:tc>
          <w:tcPr>
            <w:tcW w:w="3792" w:type="dxa"/>
            <w:tcBorders>
              <w:top w:val="single" w:sz="2" w:space="0" w:color="000001"/>
              <w:left w:val="single" w:sz="2" w:space="0" w:color="000001"/>
              <w:bottom w:val="single" w:sz="2" w:space="0" w:color="000001"/>
            </w:tcBorders>
            <w:shd w:val="clear" w:color="auto" w:fill="D9D9D9"/>
            <w:vAlign w:val="center"/>
          </w:tcPr>
          <w:p w14:paraId="147EA354" w14:textId="77777777" w:rsidR="00CC3538" w:rsidRPr="00CC3538" w:rsidRDefault="00CC3538" w:rsidP="00CC3538">
            <w:pPr>
              <w:widowControl w:val="0"/>
              <w:suppressAutoHyphens/>
              <w:spacing w:after="0" w:line="360"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Parametru</w:t>
            </w:r>
          </w:p>
        </w:tc>
        <w:tc>
          <w:tcPr>
            <w:tcW w:w="1515"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594C8543" w14:textId="77777777" w:rsidR="00CC3538" w:rsidRPr="00CC3538" w:rsidRDefault="00CC3538" w:rsidP="00CC3538">
            <w:pPr>
              <w:widowControl w:val="0"/>
              <w:suppressAutoHyphens/>
              <w:spacing w:after="0" w:line="276"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Scenariul 1</w:t>
            </w:r>
          </w:p>
        </w:tc>
        <w:tc>
          <w:tcPr>
            <w:tcW w:w="1515" w:type="dxa"/>
            <w:tcBorders>
              <w:top w:val="single" w:sz="2" w:space="0" w:color="000001"/>
              <w:left w:val="single" w:sz="2" w:space="0" w:color="000001"/>
              <w:bottom w:val="single" w:sz="2" w:space="0" w:color="000001"/>
            </w:tcBorders>
            <w:shd w:val="clear" w:color="auto" w:fill="D9D9D9"/>
            <w:vAlign w:val="center"/>
          </w:tcPr>
          <w:p w14:paraId="67A13A92" w14:textId="77777777" w:rsidR="00CC3538" w:rsidRPr="00CC3538" w:rsidRDefault="00CC3538" w:rsidP="00CC3538">
            <w:pPr>
              <w:widowControl w:val="0"/>
              <w:suppressAutoHyphens/>
              <w:spacing w:after="0" w:line="276"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Scenariul 2</w:t>
            </w:r>
          </w:p>
        </w:tc>
        <w:tc>
          <w:tcPr>
            <w:tcW w:w="1573"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2F50EE13" w14:textId="77777777" w:rsidR="00CC3538" w:rsidRPr="00CC3538" w:rsidRDefault="00CC3538" w:rsidP="00CC3538">
            <w:pPr>
              <w:widowControl w:val="0"/>
              <w:suppressAutoHyphens/>
              <w:spacing w:after="0" w:line="276" w:lineRule="auto"/>
              <w:jc w:val="center"/>
              <w:rPr>
                <w:rFonts w:ascii="Arial" w:hAnsi="Arial" w:cs="Mangal"/>
                <w:kern w:val="1"/>
                <w:sz w:val="20"/>
                <w:szCs w:val="24"/>
                <w:lang w:val="ro-RO" w:eastAsia="hi-IN" w:bidi="hi-IN"/>
              </w:rPr>
            </w:pPr>
            <w:r w:rsidRPr="00CC3538">
              <w:rPr>
                <w:rFonts w:ascii="Arial" w:hAnsi="Arial" w:cs="Arial"/>
                <w:b/>
                <w:color w:val="000000"/>
                <w:kern w:val="1"/>
                <w:sz w:val="20"/>
                <w:szCs w:val="24"/>
                <w:lang w:val="ro-RO" w:eastAsia="hi-IN" w:bidi="hi-IN"/>
              </w:rPr>
              <w:t>Scenariul 3</w:t>
            </w:r>
          </w:p>
        </w:tc>
      </w:tr>
      <w:tr w:rsidR="00CC3538" w:rsidRPr="00CC3538" w14:paraId="2AFB6A1C"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383FC419"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CO</w:t>
            </w:r>
            <w:r w:rsidRPr="00CC3538">
              <w:rPr>
                <w:rFonts w:ascii="Arial" w:hAnsi="Arial" w:cs="Arial"/>
                <w:color w:val="000000"/>
                <w:kern w:val="1"/>
                <w:sz w:val="20"/>
                <w:szCs w:val="24"/>
                <w:vertAlign w:val="subscript"/>
                <w:lang w:val="ro-RO" w:eastAsia="hi-IN" w:bidi="hi-IN"/>
              </w:rPr>
              <w:t>2</w:t>
            </w:r>
            <w:r w:rsidRPr="00CC3538">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152CDD3"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1491,80</w:t>
            </w:r>
          </w:p>
        </w:tc>
        <w:tc>
          <w:tcPr>
            <w:tcW w:w="1515" w:type="dxa"/>
            <w:tcBorders>
              <w:top w:val="single" w:sz="2" w:space="0" w:color="000001"/>
              <w:left w:val="single" w:sz="2" w:space="0" w:color="000001"/>
              <w:bottom w:val="single" w:sz="2" w:space="0" w:color="000001"/>
            </w:tcBorders>
            <w:shd w:val="clear" w:color="auto" w:fill="FFFFFF"/>
            <w:vAlign w:val="bottom"/>
          </w:tcPr>
          <w:p w14:paraId="60AEC9DA"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1576,85</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2C82A4DD"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1515,91</w:t>
            </w:r>
          </w:p>
        </w:tc>
      </w:tr>
      <w:tr w:rsidR="00CC3538" w:rsidRPr="00CC3538" w14:paraId="5B89871B"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0A227404"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NO</w:t>
            </w:r>
            <w:r w:rsidRPr="00CC3538">
              <w:rPr>
                <w:rFonts w:ascii="Arial" w:hAnsi="Arial" w:cs="Arial"/>
                <w:color w:val="000000"/>
                <w:kern w:val="1"/>
                <w:sz w:val="20"/>
                <w:szCs w:val="24"/>
                <w:vertAlign w:val="subscript"/>
                <w:lang w:val="ro-RO" w:eastAsia="hi-IN" w:bidi="hi-IN"/>
              </w:rPr>
              <w:t>x</w:t>
            </w:r>
            <w:r w:rsidRPr="00CC3538">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66C967A3"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6,32</w:t>
            </w:r>
          </w:p>
        </w:tc>
        <w:tc>
          <w:tcPr>
            <w:tcW w:w="1515" w:type="dxa"/>
            <w:tcBorders>
              <w:top w:val="single" w:sz="2" w:space="0" w:color="000001"/>
              <w:left w:val="single" w:sz="2" w:space="0" w:color="000001"/>
              <w:bottom w:val="single" w:sz="2" w:space="0" w:color="000001"/>
            </w:tcBorders>
            <w:shd w:val="clear" w:color="auto" w:fill="FFFFFF"/>
            <w:vAlign w:val="bottom"/>
          </w:tcPr>
          <w:p w14:paraId="5799BC2B"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5,84</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3FD4A34D"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5,71</w:t>
            </w:r>
          </w:p>
        </w:tc>
      </w:tr>
      <w:tr w:rsidR="00CC3538" w:rsidRPr="00CC3538" w14:paraId="51C24B2C"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4610F13F"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PM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1303E0F2"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0,32</w:t>
            </w:r>
          </w:p>
        </w:tc>
        <w:tc>
          <w:tcPr>
            <w:tcW w:w="1515" w:type="dxa"/>
            <w:tcBorders>
              <w:top w:val="single" w:sz="2" w:space="0" w:color="000001"/>
              <w:left w:val="single" w:sz="2" w:space="0" w:color="000001"/>
              <w:bottom w:val="single" w:sz="2" w:space="0" w:color="000001"/>
            </w:tcBorders>
            <w:shd w:val="clear" w:color="auto" w:fill="FFFFFF"/>
            <w:vAlign w:val="bottom"/>
          </w:tcPr>
          <w:p w14:paraId="16D95C5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0,34</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2BB82077"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0,33</w:t>
            </w:r>
          </w:p>
        </w:tc>
      </w:tr>
      <w:tr w:rsidR="00CC3538" w:rsidRPr="00CC3538" w14:paraId="5BC6C988"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25CABDF0"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HC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6DE569B1"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10,68</w:t>
            </w:r>
          </w:p>
        </w:tc>
        <w:tc>
          <w:tcPr>
            <w:tcW w:w="1515" w:type="dxa"/>
            <w:tcBorders>
              <w:top w:val="single" w:sz="2" w:space="0" w:color="000001"/>
              <w:left w:val="single" w:sz="2" w:space="0" w:color="000001"/>
              <w:bottom w:val="single" w:sz="2" w:space="0" w:color="000001"/>
            </w:tcBorders>
            <w:shd w:val="clear" w:color="auto" w:fill="FFFFFF"/>
            <w:vAlign w:val="bottom"/>
          </w:tcPr>
          <w:p w14:paraId="15148C69"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9,99</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505B5B34"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9,41</w:t>
            </w:r>
          </w:p>
        </w:tc>
      </w:tr>
    </w:tbl>
    <w:p w14:paraId="729E7BB4" w14:textId="77777777" w:rsidR="005D0927" w:rsidRPr="005D0927" w:rsidRDefault="005D0927" w:rsidP="005D0927">
      <w:pPr>
        <w:suppressAutoHyphens/>
        <w:autoSpaceDE w:val="0"/>
        <w:spacing w:after="0" w:line="360" w:lineRule="auto"/>
        <w:jc w:val="both"/>
        <w:rPr>
          <w:rFonts w:ascii="Arial" w:eastAsia="Times New Roman" w:hAnsi="Arial" w:cs="Arial"/>
          <w:sz w:val="24"/>
          <w:szCs w:val="24"/>
          <w:lang w:eastAsia="ro-RO"/>
        </w:rPr>
      </w:pPr>
    </w:p>
    <w:p w14:paraId="2BE82073" w14:textId="77777777" w:rsidR="004F5666" w:rsidRPr="0012531B" w:rsidRDefault="004F5666" w:rsidP="0012531B">
      <w:pPr>
        <w:pStyle w:val="Titlu4"/>
        <w:numPr>
          <w:ilvl w:val="0"/>
          <w:numId w:val="0"/>
        </w:numPr>
        <w:rPr>
          <w:rFonts w:ascii="Arial" w:hAnsi="Arial" w:cs="Arial"/>
          <w:sz w:val="22"/>
          <w:szCs w:val="22"/>
          <w:lang w:bidi="hi-IN"/>
        </w:rPr>
      </w:pPr>
      <w:r w:rsidRPr="0012531B">
        <w:rPr>
          <w:rFonts w:ascii="Arial" w:hAnsi="Arial" w:cs="Arial"/>
          <w:sz w:val="22"/>
          <w:szCs w:val="22"/>
          <w:lang w:bidi="hi-IN"/>
        </w:rPr>
        <w:t>I.7.2.2.2 Parametri ora de vârf PM orizont 2035</w:t>
      </w:r>
    </w:p>
    <w:p w14:paraId="0331ABA8" w14:textId="77777777" w:rsidR="005D0927" w:rsidRPr="005D0927" w:rsidRDefault="005D0927" w:rsidP="005D0927">
      <w:pPr>
        <w:widowControl w:val="0"/>
        <w:suppressAutoHyphens/>
        <w:spacing w:after="0" w:line="276" w:lineRule="auto"/>
        <w:jc w:val="both"/>
        <w:rPr>
          <w:rFonts w:ascii="Arial" w:hAnsi="Arial" w:cs="Arial"/>
          <w:kern w:val="1"/>
          <w:lang w:val="it-IT" w:eastAsia="hi-IN" w:bidi="hi-IN"/>
        </w:rPr>
      </w:pPr>
      <w:r w:rsidRPr="005D0927">
        <w:rPr>
          <w:rFonts w:ascii="Arial" w:hAnsi="Arial" w:cs="Arial"/>
          <w:kern w:val="1"/>
          <w:lang w:val="it-IT" w:eastAsia="hi-IN" w:bidi="hi-IN"/>
        </w:rPr>
        <w:t>În urma aplicării măsurilor cuprinse în scenariile 1, 2 şi 3, la nivel de rețea pentru ora de vârf de după amiază se obțin următoarele date referitoare la emisiile de dioxid de carbon, oxizi de azot, pulberi în suspensie şi hidrocarburi.</w:t>
      </w:r>
    </w:p>
    <w:p w14:paraId="2392F146" w14:textId="77777777" w:rsidR="005D0927" w:rsidRDefault="005D0927" w:rsidP="005D0927">
      <w:pPr>
        <w:widowControl w:val="0"/>
        <w:suppressAutoHyphens/>
        <w:spacing w:after="0" w:line="276" w:lineRule="auto"/>
        <w:jc w:val="both"/>
        <w:rPr>
          <w:rFonts w:ascii="Arial" w:hAnsi="Arial" w:cs="Arial"/>
          <w:kern w:val="1"/>
          <w:lang w:val="it-IT" w:eastAsia="hi-IN" w:bidi="hi-IN"/>
        </w:rPr>
      </w:pPr>
    </w:p>
    <w:p w14:paraId="773A39CC" w14:textId="77777777" w:rsidR="00C36A80" w:rsidRDefault="00C36A80" w:rsidP="005D0927">
      <w:pPr>
        <w:widowControl w:val="0"/>
        <w:suppressAutoHyphens/>
        <w:spacing w:after="0" w:line="276" w:lineRule="auto"/>
        <w:jc w:val="both"/>
        <w:rPr>
          <w:rFonts w:ascii="Arial" w:hAnsi="Arial" w:cs="Arial"/>
          <w:kern w:val="1"/>
          <w:lang w:val="it-IT" w:eastAsia="hi-IN" w:bidi="hi-IN"/>
        </w:rPr>
      </w:pPr>
    </w:p>
    <w:p w14:paraId="0FC84DC2" w14:textId="77777777" w:rsidR="00C36A80" w:rsidRPr="005D0927" w:rsidRDefault="00C36A80" w:rsidP="005D0927">
      <w:pPr>
        <w:widowControl w:val="0"/>
        <w:suppressAutoHyphens/>
        <w:spacing w:after="0" w:line="276" w:lineRule="auto"/>
        <w:jc w:val="both"/>
        <w:rPr>
          <w:rFonts w:ascii="Arial" w:hAnsi="Arial" w:cs="Arial"/>
          <w:kern w:val="1"/>
          <w:lang w:val="it-IT" w:eastAsia="hi-IN" w:bidi="hi-IN"/>
        </w:rPr>
      </w:pPr>
    </w:p>
    <w:p w14:paraId="04755A29" w14:textId="77777777" w:rsidR="005D0927" w:rsidRPr="005D0927" w:rsidRDefault="005D0927" w:rsidP="005D0927">
      <w:pPr>
        <w:widowControl w:val="0"/>
        <w:suppressAutoHyphens/>
        <w:spacing w:after="0" w:line="276" w:lineRule="auto"/>
        <w:jc w:val="both"/>
        <w:rPr>
          <w:rFonts w:ascii="Arial" w:hAnsi="Arial" w:cs="Arial"/>
          <w:kern w:val="1"/>
          <w:lang w:val="it-IT" w:eastAsia="hi-IN" w:bidi="hi-IN"/>
        </w:rPr>
      </w:pPr>
    </w:p>
    <w:p w14:paraId="25107E62" w14:textId="179E4691" w:rsidR="005D0927" w:rsidRPr="005D0927" w:rsidRDefault="00BB0D72" w:rsidP="005D0927">
      <w:pPr>
        <w:spacing w:after="200" w:line="240" w:lineRule="auto"/>
        <w:jc w:val="center"/>
        <w:rPr>
          <w:rFonts w:ascii="Arial" w:eastAsia="Calibri" w:hAnsi="Arial" w:cs="Arial"/>
          <w:b/>
          <w:color w:val="000000"/>
          <w:lang w:val="it-IT" w:eastAsia="zh-CN"/>
        </w:rPr>
      </w:pPr>
      <w:bookmarkStart w:id="531" w:name="_Toc68361287"/>
      <w:bookmarkStart w:id="532" w:name="_Toc96463915"/>
      <w:r>
        <w:rPr>
          <w:rFonts w:ascii="Arial" w:hAnsi="Arial" w:cs="Arial"/>
          <w:i/>
          <w:iCs/>
          <w:color w:val="1F497D"/>
        </w:rPr>
        <w:lastRenderedPageBreak/>
        <w:t>Tabel I.7.</w:t>
      </w:r>
      <w:r w:rsidR="005D0927" w:rsidRPr="005D0927">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19</w:t>
      </w:r>
      <w:r>
        <w:rPr>
          <w:rFonts w:ascii="Arial" w:hAnsi="Arial" w:cs="Arial"/>
          <w:i/>
          <w:iCs/>
          <w:color w:val="1F497D"/>
        </w:rPr>
        <w:fldChar w:fldCharType="end"/>
      </w:r>
      <w:r w:rsidR="005D0927" w:rsidRPr="005D0927">
        <w:rPr>
          <w:rFonts w:ascii="Arial" w:hAnsi="Arial" w:cs="Arial"/>
          <w:i/>
          <w:iCs/>
          <w:color w:val="1F497D"/>
        </w:rPr>
        <w:t xml:space="preserve"> - </w:t>
      </w:r>
      <w:r w:rsidR="005D0927" w:rsidRPr="005D0927">
        <w:rPr>
          <w:rFonts w:ascii="Arial" w:hAnsi="Arial" w:cs="Arial"/>
          <w:color w:val="1F497D"/>
        </w:rPr>
        <w:t>Parametri ora de vârf PM orizont 2035 – scenariile 1, 2 şi 3</w:t>
      </w:r>
      <w:bookmarkEnd w:id="531"/>
      <w:bookmarkEnd w:id="532"/>
    </w:p>
    <w:tbl>
      <w:tblPr>
        <w:tblW w:w="0" w:type="auto"/>
        <w:jc w:val="center"/>
        <w:tblLayout w:type="fixed"/>
        <w:tblCellMar>
          <w:left w:w="0" w:type="dxa"/>
          <w:right w:w="0" w:type="dxa"/>
        </w:tblCellMar>
        <w:tblLook w:val="0000" w:firstRow="0" w:lastRow="0" w:firstColumn="0" w:lastColumn="0" w:noHBand="0" w:noVBand="0"/>
      </w:tblPr>
      <w:tblGrid>
        <w:gridCol w:w="3792"/>
        <w:gridCol w:w="1515"/>
        <w:gridCol w:w="1515"/>
        <w:gridCol w:w="1573"/>
      </w:tblGrid>
      <w:tr w:rsidR="00CC3538" w:rsidRPr="00CC3538" w14:paraId="74AF78E2" w14:textId="77777777" w:rsidTr="00CE76B6">
        <w:trPr>
          <w:trHeight w:val="542"/>
          <w:jc w:val="center"/>
        </w:trPr>
        <w:tc>
          <w:tcPr>
            <w:tcW w:w="3792" w:type="dxa"/>
            <w:tcBorders>
              <w:top w:val="single" w:sz="2" w:space="0" w:color="000001"/>
              <w:left w:val="single" w:sz="2" w:space="0" w:color="000001"/>
              <w:bottom w:val="single" w:sz="2" w:space="0" w:color="000001"/>
            </w:tcBorders>
            <w:shd w:val="clear" w:color="auto" w:fill="D9D9D9"/>
            <w:vAlign w:val="center"/>
          </w:tcPr>
          <w:p w14:paraId="44E8ECA7" w14:textId="77777777" w:rsidR="00CC3538" w:rsidRPr="00CC3538" w:rsidRDefault="00CC3538" w:rsidP="00CC3538">
            <w:pPr>
              <w:widowControl w:val="0"/>
              <w:suppressAutoHyphens/>
              <w:spacing w:after="0" w:line="360"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Parametru</w:t>
            </w:r>
          </w:p>
        </w:tc>
        <w:tc>
          <w:tcPr>
            <w:tcW w:w="1515"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36CB9038" w14:textId="77777777" w:rsidR="00CC3538" w:rsidRPr="00CC3538" w:rsidRDefault="00CC3538" w:rsidP="00CC3538">
            <w:pPr>
              <w:widowControl w:val="0"/>
              <w:suppressAutoHyphens/>
              <w:spacing w:after="0" w:line="276"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Scenariul 1</w:t>
            </w:r>
          </w:p>
        </w:tc>
        <w:tc>
          <w:tcPr>
            <w:tcW w:w="1515" w:type="dxa"/>
            <w:tcBorders>
              <w:top w:val="single" w:sz="2" w:space="0" w:color="000001"/>
              <w:left w:val="single" w:sz="2" w:space="0" w:color="000001"/>
              <w:bottom w:val="single" w:sz="2" w:space="0" w:color="000001"/>
            </w:tcBorders>
            <w:shd w:val="clear" w:color="auto" w:fill="D9D9D9"/>
            <w:vAlign w:val="center"/>
          </w:tcPr>
          <w:p w14:paraId="3A688E1C" w14:textId="77777777" w:rsidR="00CC3538" w:rsidRPr="00CC3538" w:rsidRDefault="00CC3538" w:rsidP="00CC3538">
            <w:pPr>
              <w:widowControl w:val="0"/>
              <w:suppressAutoHyphens/>
              <w:spacing w:after="0" w:line="276"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Scenariul 2</w:t>
            </w:r>
          </w:p>
        </w:tc>
        <w:tc>
          <w:tcPr>
            <w:tcW w:w="1573"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582092E0" w14:textId="77777777" w:rsidR="00CC3538" w:rsidRPr="00CC3538" w:rsidRDefault="00CC3538" w:rsidP="00CC3538">
            <w:pPr>
              <w:widowControl w:val="0"/>
              <w:suppressAutoHyphens/>
              <w:spacing w:after="0" w:line="276" w:lineRule="auto"/>
              <w:jc w:val="center"/>
              <w:rPr>
                <w:rFonts w:ascii="Arial" w:hAnsi="Arial" w:cs="Mangal"/>
                <w:kern w:val="1"/>
                <w:sz w:val="20"/>
                <w:szCs w:val="24"/>
                <w:lang w:val="ro-RO" w:eastAsia="hi-IN" w:bidi="hi-IN"/>
              </w:rPr>
            </w:pPr>
            <w:r w:rsidRPr="00CC3538">
              <w:rPr>
                <w:rFonts w:ascii="Arial" w:hAnsi="Arial" w:cs="Arial"/>
                <w:b/>
                <w:color w:val="000000"/>
                <w:kern w:val="1"/>
                <w:sz w:val="20"/>
                <w:szCs w:val="24"/>
                <w:lang w:val="ro-RO" w:eastAsia="hi-IN" w:bidi="hi-IN"/>
              </w:rPr>
              <w:t>Scenariul 3</w:t>
            </w:r>
          </w:p>
        </w:tc>
      </w:tr>
      <w:tr w:rsidR="00CC3538" w:rsidRPr="00CC3538" w14:paraId="3F20FB8B"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0ABD6A52"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CO</w:t>
            </w:r>
            <w:r w:rsidRPr="00CC3538">
              <w:rPr>
                <w:rFonts w:ascii="Arial" w:hAnsi="Arial" w:cs="Arial"/>
                <w:color w:val="000000"/>
                <w:kern w:val="1"/>
                <w:sz w:val="20"/>
                <w:szCs w:val="24"/>
                <w:vertAlign w:val="subscript"/>
                <w:lang w:val="ro-RO" w:eastAsia="hi-IN" w:bidi="hi-IN"/>
              </w:rPr>
              <w:t>2</w:t>
            </w:r>
            <w:r w:rsidRPr="00CC3538">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bottom"/>
          </w:tcPr>
          <w:p w14:paraId="1FA474C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2233,81</w:t>
            </w:r>
          </w:p>
        </w:tc>
        <w:tc>
          <w:tcPr>
            <w:tcW w:w="1515" w:type="dxa"/>
            <w:tcBorders>
              <w:top w:val="single" w:sz="2" w:space="0" w:color="000001"/>
              <w:left w:val="single" w:sz="2" w:space="0" w:color="000001"/>
              <w:bottom w:val="single" w:sz="2" w:space="0" w:color="000001"/>
            </w:tcBorders>
            <w:shd w:val="clear" w:color="auto" w:fill="FFFFFF"/>
            <w:vAlign w:val="bottom"/>
          </w:tcPr>
          <w:p w14:paraId="0320B77C" w14:textId="77777777" w:rsidR="00CC3538" w:rsidRPr="00CC3538" w:rsidRDefault="00CC3538" w:rsidP="00CC3538">
            <w:pPr>
              <w:spacing w:after="0"/>
              <w:jc w:val="center"/>
              <w:rPr>
                <w:rFonts w:ascii="Arial" w:hAnsi="Arial" w:cs="Arial"/>
                <w:sz w:val="20"/>
                <w:szCs w:val="20"/>
                <w:highlight w:val="red"/>
                <w:lang w:val="ro-RO"/>
              </w:rPr>
            </w:pPr>
            <w:r w:rsidRPr="00CC3538">
              <w:rPr>
                <w:rFonts w:ascii="Calibri" w:hAnsi="Calibri" w:cs="Calibri"/>
                <w:color w:val="000000"/>
              </w:rPr>
              <w:t>1743,00</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192BC493"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1685,69</w:t>
            </w:r>
          </w:p>
        </w:tc>
      </w:tr>
      <w:tr w:rsidR="00CC3538" w:rsidRPr="00CC3538" w14:paraId="28DF32AB"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6F5EE08E"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NO</w:t>
            </w:r>
            <w:r w:rsidRPr="00CC3538">
              <w:rPr>
                <w:rFonts w:ascii="Arial" w:hAnsi="Arial" w:cs="Arial"/>
                <w:color w:val="000000"/>
                <w:kern w:val="1"/>
                <w:sz w:val="20"/>
                <w:szCs w:val="24"/>
                <w:vertAlign w:val="subscript"/>
                <w:lang w:val="ro-RO" w:eastAsia="hi-IN" w:bidi="hi-IN"/>
              </w:rPr>
              <w:t>x</w:t>
            </w:r>
            <w:r w:rsidRPr="00CC3538">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bottom"/>
          </w:tcPr>
          <w:p w14:paraId="25D9985B"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10,61</w:t>
            </w:r>
          </w:p>
        </w:tc>
        <w:tc>
          <w:tcPr>
            <w:tcW w:w="1515" w:type="dxa"/>
            <w:tcBorders>
              <w:top w:val="single" w:sz="2" w:space="0" w:color="000001"/>
              <w:left w:val="single" w:sz="2" w:space="0" w:color="000001"/>
              <w:bottom w:val="single" w:sz="2" w:space="0" w:color="000001"/>
            </w:tcBorders>
            <w:shd w:val="clear" w:color="auto" w:fill="FFFFFF"/>
            <w:vAlign w:val="bottom"/>
          </w:tcPr>
          <w:p w14:paraId="27B69CC6" w14:textId="77777777" w:rsidR="00CC3538" w:rsidRPr="00CC3538" w:rsidRDefault="00CC3538" w:rsidP="00CC3538">
            <w:pPr>
              <w:spacing w:after="0"/>
              <w:jc w:val="center"/>
              <w:rPr>
                <w:rFonts w:ascii="Arial" w:hAnsi="Arial" w:cs="Arial"/>
                <w:sz w:val="20"/>
                <w:szCs w:val="20"/>
                <w:highlight w:val="red"/>
                <w:lang w:val="ro-RO"/>
              </w:rPr>
            </w:pPr>
            <w:r w:rsidRPr="00CC3538">
              <w:rPr>
                <w:rFonts w:ascii="Calibri" w:hAnsi="Calibri" w:cs="Calibri"/>
                <w:color w:val="000000"/>
              </w:rPr>
              <w:t>6,45</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23A916DF"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6,35</w:t>
            </w:r>
          </w:p>
        </w:tc>
      </w:tr>
      <w:tr w:rsidR="00CC3538" w:rsidRPr="00CC3538" w14:paraId="5D087D08"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15A792CE"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PM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bottom"/>
          </w:tcPr>
          <w:p w14:paraId="58B7A3A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0,49</w:t>
            </w:r>
          </w:p>
        </w:tc>
        <w:tc>
          <w:tcPr>
            <w:tcW w:w="1515" w:type="dxa"/>
            <w:tcBorders>
              <w:top w:val="single" w:sz="2" w:space="0" w:color="000001"/>
              <w:left w:val="single" w:sz="2" w:space="0" w:color="000001"/>
              <w:bottom w:val="single" w:sz="2" w:space="0" w:color="000001"/>
            </w:tcBorders>
            <w:shd w:val="clear" w:color="auto" w:fill="FFFFFF"/>
            <w:vAlign w:val="bottom"/>
          </w:tcPr>
          <w:p w14:paraId="180E2E10" w14:textId="77777777" w:rsidR="00CC3538" w:rsidRPr="00CC3538" w:rsidRDefault="00CC3538" w:rsidP="00CC3538">
            <w:pPr>
              <w:spacing w:after="0"/>
              <w:jc w:val="center"/>
              <w:rPr>
                <w:rFonts w:ascii="Arial" w:hAnsi="Arial" w:cs="Arial"/>
                <w:sz w:val="20"/>
                <w:szCs w:val="20"/>
                <w:highlight w:val="red"/>
                <w:lang w:val="ro-RO"/>
              </w:rPr>
            </w:pPr>
            <w:r w:rsidRPr="00CC3538">
              <w:rPr>
                <w:rFonts w:ascii="Calibri" w:hAnsi="Calibri" w:cs="Calibri"/>
                <w:color w:val="000000"/>
              </w:rPr>
              <w:t>0,38</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7309E0F8"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0,36</w:t>
            </w:r>
          </w:p>
        </w:tc>
      </w:tr>
      <w:tr w:rsidR="00CC3538" w:rsidRPr="00CC3538" w14:paraId="0E0939AA"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29B18E53"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HC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1BADC7A4"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12,86</w:t>
            </w:r>
          </w:p>
        </w:tc>
        <w:tc>
          <w:tcPr>
            <w:tcW w:w="1515" w:type="dxa"/>
            <w:tcBorders>
              <w:top w:val="single" w:sz="2" w:space="0" w:color="000001"/>
              <w:left w:val="single" w:sz="2" w:space="0" w:color="000001"/>
              <w:bottom w:val="single" w:sz="2" w:space="0" w:color="000001"/>
            </w:tcBorders>
            <w:shd w:val="clear" w:color="auto" w:fill="FFFFFF"/>
            <w:vAlign w:val="bottom"/>
          </w:tcPr>
          <w:p w14:paraId="74D0AEF9" w14:textId="77777777" w:rsidR="00CC3538" w:rsidRPr="00CC3538" w:rsidRDefault="00CC3538" w:rsidP="00CC3538">
            <w:pPr>
              <w:spacing w:after="0"/>
              <w:jc w:val="center"/>
              <w:rPr>
                <w:rFonts w:ascii="Arial" w:hAnsi="Arial" w:cs="Arial"/>
                <w:sz w:val="20"/>
                <w:szCs w:val="20"/>
                <w:highlight w:val="red"/>
                <w:lang w:val="ro-RO"/>
              </w:rPr>
            </w:pPr>
            <w:r w:rsidRPr="00CC3538">
              <w:rPr>
                <w:rFonts w:ascii="Calibri" w:hAnsi="Calibri" w:cs="Calibri"/>
                <w:color w:val="000000"/>
              </w:rPr>
              <w:t>10,80</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4D582D8"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10,20</w:t>
            </w:r>
          </w:p>
        </w:tc>
      </w:tr>
    </w:tbl>
    <w:p w14:paraId="4D204E98" w14:textId="77777777" w:rsidR="005D0927" w:rsidRPr="005D0927" w:rsidRDefault="005D0927" w:rsidP="005D0927">
      <w:pPr>
        <w:widowControl w:val="0"/>
        <w:suppressAutoHyphens/>
        <w:spacing w:after="0" w:line="360" w:lineRule="auto"/>
        <w:jc w:val="both"/>
        <w:rPr>
          <w:rFonts w:ascii="Arial" w:eastAsia="Times New Roman" w:hAnsi="Arial" w:cs="Mangal"/>
          <w:kern w:val="1"/>
          <w:sz w:val="20"/>
          <w:szCs w:val="24"/>
          <w:lang w:val="it-IT" w:eastAsia="ro-RO" w:bidi="hi-IN"/>
        </w:rPr>
      </w:pPr>
    </w:p>
    <w:p w14:paraId="6B740BE3" w14:textId="77777777" w:rsidR="005D0927" w:rsidRPr="005D0927" w:rsidRDefault="005D0927" w:rsidP="005D0927">
      <w:pPr>
        <w:widowControl w:val="0"/>
        <w:suppressAutoHyphens/>
        <w:spacing w:after="0" w:line="360" w:lineRule="auto"/>
        <w:jc w:val="both"/>
        <w:rPr>
          <w:rFonts w:ascii="Arial" w:eastAsia="Times New Roman" w:hAnsi="Arial" w:cs="Mangal"/>
          <w:kern w:val="1"/>
          <w:sz w:val="20"/>
          <w:szCs w:val="24"/>
          <w:lang w:val="it-IT" w:eastAsia="ro-RO" w:bidi="hi-IN"/>
        </w:rPr>
      </w:pPr>
    </w:p>
    <w:p w14:paraId="5DF8E82B" w14:textId="77777777" w:rsidR="004F5666" w:rsidRDefault="004F5666" w:rsidP="00C60706">
      <w:pPr>
        <w:pStyle w:val="Titlu4"/>
        <w:numPr>
          <w:ilvl w:val="0"/>
          <w:numId w:val="0"/>
        </w:numPr>
      </w:pPr>
      <w:r w:rsidRPr="00C60706">
        <w:t>I.7.2.2.3 Parametri 24 h orizont 2035</w:t>
      </w:r>
    </w:p>
    <w:p w14:paraId="30EF9842" w14:textId="77777777" w:rsidR="005D0927" w:rsidRPr="005D0927" w:rsidRDefault="005D0927" w:rsidP="005D0927">
      <w:pPr>
        <w:widowControl w:val="0"/>
        <w:suppressAutoHyphens/>
        <w:spacing w:after="0" w:line="276" w:lineRule="auto"/>
        <w:jc w:val="both"/>
        <w:rPr>
          <w:rFonts w:ascii="Arial" w:hAnsi="Arial" w:cs="Arial"/>
          <w:kern w:val="1"/>
          <w:lang w:val="it-IT" w:eastAsia="hi-IN" w:bidi="hi-IN"/>
        </w:rPr>
      </w:pPr>
      <w:r w:rsidRPr="005D0927">
        <w:rPr>
          <w:rFonts w:ascii="Arial" w:hAnsi="Arial" w:cs="Arial"/>
          <w:kern w:val="1"/>
          <w:lang w:val="it-IT" w:eastAsia="hi-IN" w:bidi="hi-IN"/>
        </w:rPr>
        <w:t>In urma aplicării măsurilor cuprinse în scenariile 1, 2 şi 3, la nivel de rețea pentru 24 de ore se obțin următoarele date referitoare la emisiile de dioxid de carbon, oxizi de azot, pulberi în suspensie şi hidrocarburi.</w:t>
      </w:r>
    </w:p>
    <w:p w14:paraId="72B0DF42" w14:textId="77777777" w:rsidR="005D0927" w:rsidRPr="005D0927" w:rsidRDefault="005D0927" w:rsidP="005D0927">
      <w:pPr>
        <w:widowControl w:val="0"/>
        <w:suppressAutoHyphens/>
        <w:spacing w:after="0" w:line="276" w:lineRule="auto"/>
        <w:jc w:val="both"/>
        <w:rPr>
          <w:rFonts w:ascii="Arial" w:hAnsi="Arial" w:cs="Arial"/>
          <w:kern w:val="1"/>
          <w:sz w:val="24"/>
          <w:szCs w:val="24"/>
          <w:lang w:val="it-IT" w:eastAsia="hi-IN" w:bidi="hi-IN"/>
        </w:rPr>
      </w:pPr>
    </w:p>
    <w:p w14:paraId="0671EB87" w14:textId="5B1DBB5E" w:rsidR="005D0927" w:rsidRPr="005D0927" w:rsidRDefault="00BB0D72" w:rsidP="005D0927">
      <w:pPr>
        <w:spacing w:after="200" w:line="240" w:lineRule="auto"/>
        <w:jc w:val="center"/>
        <w:rPr>
          <w:rFonts w:ascii="Arial" w:eastAsia="Calibri" w:hAnsi="Arial" w:cs="Arial"/>
          <w:b/>
          <w:iCs/>
          <w:color w:val="000000"/>
          <w:lang w:val="it-IT" w:eastAsia="zh-CN"/>
        </w:rPr>
      </w:pPr>
      <w:bookmarkStart w:id="533" w:name="_Toc68361288"/>
      <w:bookmarkStart w:id="534" w:name="_Toc96463916"/>
      <w:r>
        <w:rPr>
          <w:rFonts w:ascii="Arial" w:hAnsi="Arial" w:cs="Arial"/>
          <w:i/>
          <w:iCs/>
          <w:color w:val="1F497D"/>
        </w:rPr>
        <w:t>Tabel I.7.</w:t>
      </w:r>
      <w:r w:rsidR="005D0927" w:rsidRPr="005D0927">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20</w:t>
      </w:r>
      <w:r>
        <w:rPr>
          <w:rFonts w:ascii="Arial" w:hAnsi="Arial" w:cs="Arial"/>
          <w:i/>
          <w:iCs/>
          <w:color w:val="1F497D"/>
        </w:rPr>
        <w:fldChar w:fldCharType="end"/>
      </w:r>
      <w:r w:rsidR="005D0927" w:rsidRPr="005D0927">
        <w:rPr>
          <w:rFonts w:ascii="Arial" w:hAnsi="Arial" w:cs="Arial"/>
          <w:i/>
          <w:iCs/>
          <w:color w:val="1F497D"/>
        </w:rPr>
        <w:t xml:space="preserve"> - </w:t>
      </w:r>
      <w:r w:rsidR="005D0927" w:rsidRPr="005D0927">
        <w:rPr>
          <w:rFonts w:ascii="Arial" w:hAnsi="Arial" w:cs="Arial"/>
          <w:iCs/>
          <w:color w:val="1F497D"/>
        </w:rPr>
        <w:t>Parametri pentru 24 h orizont 2035 – scenariile 1, 2 şi 3</w:t>
      </w:r>
      <w:bookmarkEnd w:id="533"/>
      <w:bookmarkEnd w:id="534"/>
    </w:p>
    <w:tbl>
      <w:tblPr>
        <w:tblW w:w="0" w:type="auto"/>
        <w:jc w:val="center"/>
        <w:tblLayout w:type="fixed"/>
        <w:tblCellMar>
          <w:left w:w="0" w:type="dxa"/>
          <w:right w:w="0" w:type="dxa"/>
        </w:tblCellMar>
        <w:tblLook w:val="0000" w:firstRow="0" w:lastRow="0" w:firstColumn="0" w:lastColumn="0" w:noHBand="0" w:noVBand="0"/>
      </w:tblPr>
      <w:tblGrid>
        <w:gridCol w:w="3792"/>
        <w:gridCol w:w="1515"/>
        <w:gridCol w:w="1515"/>
        <w:gridCol w:w="1573"/>
      </w:tblGrid>
      <w:tr w:rsidR="00CC3538" w:rsidRPr="00CC3538" w14:paraId="6FD0C4EE" w14:textId="77777777" w:rsidTr="00CE76B6">
        <w:trPr>
          <w:trHeight w:val="542"/>
          <w:jc w:val="center"/>
        </w:trPr>
        <w:tc>
          <w:tcPr>
            <w:tcW w:w="3792" w:type="dxa"/>
            <w:tcBorders>
              <w:top w:val="single" w:sz="2" w:space="0" w:color="000001"/>
              <w:left w:val="single" w:sz="2" w:space="0" w:color="000001"/>
              <w:bottom w:val="single" w:sz="2" w:space="0" w:color="000001"/>
            </w:tcBorders>
            <w:shd w:val="clear" w:color="auto" w:fill="D9D9D9"/>
            <w:vAlign w:val="center"/>
          </w:tcPr>
          <w:p w14:paraId="0769C2DD" w14:textId="77777777" w:rsidR="00CC3538" w:rsidRPr="00CC3538" w:rsidRDefault="00CC3538" w:rsidP="00CC3538">
            <w:pPr>
              <w:widowControl w:val="0"/>
              <w:suppressAutoHyphens/>
              <w:spacing w:after="0" w:line="360"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Parametru</w:t>
            </w:r>
          </w:p>
        </w:tc>
        <w:tc>
          <w:tcPr>
            <w:tcW w:w="1515"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7F654264" w14:textId="77777777" w:rsidR="00CC3538" w:rsidRPr="00CC3538" w:rsidRDefault="00CC3538" w:rsidP="00CC3538">
            <w:pPr>
              <w:widowControl w:val="0"/>
              <w:suppressAutoHyphens/>
              <w:spacing w:after="0" w:line="276"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Scenariul 1</w:t>
            </w:r>
          </w:p>
        </w:tc>
        <w:tc>
          <w:tcPr>
            <w:tcW w:w="1515" w:type="dxa"/>
            <w:tcBorders>
              <w:top w:val="single" w:sz="2" w:space="0" w:color="000001"/>
              <w:left w:val="single" w:sz="2" w:space="0" w:color="000001"/>
              <w:bottom w:val="single" w:sz="2" w:space="0" w:color="000001"/>
            </w:tcBorders>
            <w:shd w:val="clear" w:color="auto" w:fill="D9D9D9"/>
            <w:vAlign w:val="center"/>
          </w:tcPr>
          <w:p w14:paraId="6AB0F9AD" w14:textId="77777777" w:rsidR="00CC3538" w:rsidRPr="00CC3538" w:rsidRDefault="00CC3538" w:rsidP="00CC3538">
            <w:pPr>
              <w:widowControl w:val="0"/>
              <w:suppressAutoHyphens/>
              <w:spacing w:after="0" w:line="276" w:lineRule="auto"/>
              <w:jc w:val="center"/>
              <w:rPr>
                <w:rFonts w:ascii="Arial" w:hAnsi="Arial" w:cs="Arial"/>
                <w:b/>
                <w:color w:val="000000"/>
                <w:kern w:val="1"/>
                <w:sz w:val="20"/>
                <w:szCs w:val="24"/>
                <w:lang w:val="ro-RO" w:eastAsia="hi-IN" w:bidi="hi-IN"/>
              </w:rPr>
            </w:pPr>
            <w:r w:rsidRPr="00CC3538">
              <w:rPr>
                <w:rFonts w:ascii="Arial" w:hAnsi="Arial" w:cs="Arial"/>
                <w:b/>
                <w:color w:val="000000"/>
                <w:kern w:val="1"/>
                <w:sz w:val="20"/>
                <w:szCs w:val="24"/>
                <w:lang w:val="ro-RO" w:eastAsia="hi-IN" w:bidi="hi-IN"/>
              </w:rPr>
              <w:t>Scenariul 2</w:t>
            </w:r>
          </w:p>
        </w:tc>
        <w:tc>
          <w:tcPr>
            <w:tcW w:w="1573" w:type="dxa"/>
            <w:tcBorders>
              <w:top w:val="single" w:sz="2" w:space="0" w:color="000001"/>
              <w:left w:val="single" w:sz="2" w:space="0" w:color="000001"/>
              <w:bottom w:val="single" w:sz="2" w:space="0" w:color="000001"/>
              <w:right w:val="single" w:sz="2" w:space="0" w:color="000001"/>
            </w:tcBorders>
            <w:shd w:val="clear" w:color="auto" w:fill="D9D9D9"/>
            <w:vAlign w:val="center"/>
          </w:tcPr>
          <w:p w14:paraId="22674BB9" w14:textId="77777777" w:rsidR="00CC3538" w:rsidRPr="00CC3538" w:rsidRDefault="00CC3538" w:rsidP="00CC3538">
            <w:pPr>
              <w:widowControl w:val="0"/>
              <w:suppressAutoHyphens/>
              <w:spacing w:after="0" w:line="276" w:lineRule="auto"/>
              <w:jc w:val="center"/>
              <w:rPr>
                <w:rFonts w:ascii="Arial" w:hAnsi="Arial" w:cs="Mangal"/>
                <w:kern w:val="1"/>
                <w:sz w:val="20"/>
                <w:szCs w:val="24"/>
                <w:lang w:val="ro-RO" w:eastAsia="hi-IN" w:bidi="hi-IN"/>
              </w:rPr>
            </w:pPr>
            <w:r w:rsidRPr="00CC3538">
              <w:rPr>
                <w:rFonts w:ascii="Arial" w:hAnsi="Arial" w:cs="Arial"/>
                <w:b/>
                <w:color w:val="000000"/>
                <w:kern w:val="1"/>
                <w:sz w:val="20"/>
                <w:szCs w:val="24"/>
                <w:lang w:val="ro-RO" w:eastAsia="hi-IN" w:bidi="hi-IN"/>
              </w:rPr>
              <w:t>Scenariul 3</w:t>
            </w:r>
          </w:p>
        </w:tc>
      </w:tr>
      <w:tr w:rsidR="00CC3538" w:rsidRPr="00CC3538" w14:paraId="117BCDB1"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371FDEAA"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CO</w:t>
            </w:r>
            <w:r w:rsidRPr="00CC3538">
              <w:rPr>
                <w:rFonts w:ascii="Arial" w:hAnsi="Arial" w:cs="Arial"/>
                <w:color w:val="000000"/>
                <w:kern w:val="1"/>
                <w:sz w:val="20"/>
                <w:szCs w:val="24"/>
                <w:vertAlign w:val="subscript"/>
                <w:lang w:val="ro-RO" w:eastAsia="hi-IN" w:bidi="hi-IN"/>
              </w:rPr>
              <w:t>2</w:t>
            </w:r>
            <w:r w:rsidRPr="00CC3538">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5CADF181"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22353,66</w:t>
            </w:r>
          </w:p>
        </w:tc>
        <w:tc>
          <w:tcPr>
            <w:tcW w:w="1515" w:type="dxa"/>
            <w:tcBorders>
              <w:top w:val="single" w:sz="2" w:space="0" w:color="000001"/>
              <w:left w:val="single" w:sz="2" w:space="0" w:color="000001"/>
              <w:bottom w:val="single" w:sz="2" w:space="0" w:color="000001"/>
            </w:tcBorders>
            <w:shd w:val="clear" w:color="auto" w:fill="FFFFFF"/>
            <w:vAlign w:val="center"/>
          </w:tcPr>
          <w:p w14:paraId="1816C239"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19919,14</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3C25CED0"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19209,57</w:t>
            </w:r>
          </w:p>
        </w:tc>
      </w:tr>
      <w:tr w:rsidR="00CC3538" w:rsidRPr="00CC3538" w14:paraId="080DE37C"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558EC7C1"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NO</w:t>
            </w:r>
            <w:r w:rsidRPr="00CC3538">
              <w:rPr>
                <w:rFonts w:ascii="Arial" w:hAnsi="Arial" w:cs="Arial"/>
                <w:color w:val="000000"/>
                <w:kern w:val="1"/>
                <w:sz w:val="20"/>
                <w:szCs w:val="24"/>
                <w:vertAlign w:val="subscript"/>
                <w:lang w:val="ro-RO" w:eastAsia="hi-IN" w:bidi="hi-IN"/>
              </w:rPr>
              <w:t>x</w:t>
            </w:r>
            <w:r w:rsidRPr="00CC3538">
              <w:rPr>
                <w:rFonts w:ascii="Arial" w:hAnsi="Arial" w:cs="Arial"/>
                <w:color w:val="000000"/>
                <w:kern w:val="1"/>
                <w:sz w:val="20"/>
                <w:szCs w:val="24"/>
                <w:lang w:val="ro-RO" w:eastAsia="hi-IN" w:bidi="hi-IN"/>
              </w:rPr>
              <w:t xml:space="preserve">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619229C0"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101,59</w:t>
            </w:r>
          </w:p>
        </w:tc>
        <w:tc>
          <w:tcPr>
            <w:tcW w:w="1515" w:type="dxa"/>
            <w:tcBorders>
              <w:top w:val="single" w:sz="2" w:space="0" w:color="000001"/>
              <w:left w:val="single" w:sz="2" w:space="0" w:color="000001"/>
              <w:bottom w:val="single" w:sz="2" w:space="0" w:color="000001"/>
            </w:tcBorders>
            <w:shd w:val="clear" w:color="auto" w:fill="FFFFFF"/>
            <w:vAlign w:val="center"/>
          </w:tcPr>
          <w:p w14:paraId="3F58A782"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73,69</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471EEA43"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72,35</w:t>
            </w:r>
          </w:p>
        </w:tc>
      </w:tr>
      <w:tr w:rsidR="00CC3538" w:rsidRPr="00CC3538" w14:paraId="7A266CF5"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17DCC90B"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PM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C1958EE"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4,82</w:t>
            </w:r>
          </w:p>
        </w:tc>
        <w:tc>
          <w:tcPr>
            <w:tcW w:w="1515" w:type="dxa"/>
            <w:tcBorders>
              <w:top w:val="single" w:sz="2" w:space="0" w:color="000001"/>
              <w:left w:val="single" w:sz="2" w:space="0" w:color="000001"/>
              <w:bottom w:val="single" w:sz="2" w:space="0" w:color="000001"/>
            </w:tcBorders>
            <w:shd w:val="clear" w:color="auto" w:fill="FFFFFF"/>
            <w:vAlign w:val="center"/>
          </w:tcPr>
          <w:p w14:paraId="43756333"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4,29</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96B72F9"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4,14</w:t>
            </w:r>
          </w:p>
        </w:tc>
      </w:tr>
      <w:tr w:rsidR="00CC3538" w:rsidRPr="00CC3538" w14:paraId="693829AF" w14:textId="77777777" w:rsidTr="00CE76B6">
        <w:trPr>
          <w:trHeight w:val="53"/>
          <w:jc w:val="center"/>
        </w:trPr>
        <w:tc>
          <w:tcPr>
            <w:tcW w:w="3792" w:type="dxa"/>
            <w:tcBorders>
              <w:top w:val="single" w:sz="2" w:space="0" w:color="000001"/>
              <w:left w:val="single" w:sz="2" w:space="0" w:color="000001"/>
              <w:bottom w:val="single" w:sz="2" w:space="0" w:color="000001"/>
            </w:tcBorders>
            <w:vAlign w:val="center"/>
          </w:tcPr>
          <w:p w14:paraId="2F2EDD2E" w14:textId="77777777" w:rsidR="00CC3538" w:rsidRPr="00CC3538" w:rsidRDefault="00CC3538" w:rsidP="00CC3538">
            <w:pPr>
              <w:widowControl w:val="0"/>
              <w:suppressAutoHyphens/>
              <w:spacing w:after="0" w:line="276" w:lineRule="auto"/>
              <w:jc w:val="center"/>
              <w:rPr>
                <w:rFonts w:ascii="Arial" w:hAnsi="Arial" w:cs="Arial"/>
                <w:color w:val="000000"/>
                <w:kern w:val="1"/>
                <w:sz w:val="20"/>
                <w:szCs w:val="24"/>
                <w:lang w:val="ro-RO" w:eastAsia="hi-IN" w:bidi="hi-IN"/>
              </w:rPr>
            </w:pPr>
            <w:r w:rsidRPr="00CC3538">
              <w:rPr>
                <w:rFonts w:ascii="Arial" w:hAnsi="Arial" w:cs="Arial"/>
                <w:color w:val="000000"/>
                <w:kern w:val="1"/>
                <w:sz w:val="20"/>
                <w:szCs w:val="24"/>
                <w:lang w:val="ro-RO" w:eastAsia="hi-IN" w:bidi="hi-IN"/>
              </w:rPr>
              <w:t>Emisii HC (kg)</w:t>
            </w:r>
          </w:p>
        </w:tc>
        <w:tc>
          <w:tcPr>
            <w:tcW w:w="1515"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33E7F006"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141,27</w:t>
            </w:r>
          </w:p>
        </w:tc>
        <w:tc>
          <w:tcPr>
            <w:tcW w:w="1515" w:type="dxa"/>
            <w:tcBorders>
              <w:top w:val="single" w:sz="2" w:space="0" w:color="000001"/>
              <w:left w:val="single" w:sz="2" w:space="0" w:color="000001"/>
              <w:bottom w:val="single" w:sz="2" w:space="0" w:color="000001"/>
            </w:tcBorders>
            <w:shd w:val="clear" w:color="auto" w:fill="FFFFFF"/>
            <w:vAlign w:val="center"/>
          </w:tcPr>
          <w:p w14:paraId="63EFE680"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124,75</w:t>
            </w:r>
          </w:p>
        </w:tc>
        <w:tc>
          <w:tcPr>
            <w:tcW w:w="1573" w:type="dxa"/>
            <w:tcBorders>
              <w:top w:val="single" w:sz="2" w:space="0" w:color="000001"/>
              <w:left w:val="single" w:sz="2" w:space="0" w:color="000001"/>
              <w:bottom w:val="single" w:sz="2" w:space="0" w:color="000001"/>
              <w:right w:val="single" w:sz="2" w:space="0" w:color="000001"/>
            </w:tcBorders>
            <w:shd w:val="clear" w:color="auto" w:fill="FFFFFF"/>
            <w:vAlign w:val="center"/>
          </w:tcPr>
          <w:p w14:paraId="056AB1EB" w14:textId="77777777" w:rsidR="00CC3538" w:rsidRPr="00CC3538" w:rsidRDefault="00CC3538" w:rsidP="00CC3538">
            <w:pPr>
              <w:spacing w:after="0"/>
              <w:jc w:val="center"/>
              <w:rPr>
                <w:rFonts w:ascii="Arial" w:hAnsi="Arial" w:cs="Arial"/>
                <w:color w:val="000000"/>
                <w:sz w:val="20"/>
                <w:szCs w:val="20"/>
                <w:highlight w:val="red"/>
                <w:lang w:val="ro-RO"/>
              </w:rPr>
            </w:pPr>
            <w:r w:rsidRPr="00CC3538">
              <w:rPr>
                <w:rFonts w:ascii="Arial" w:hAnsi="Arial" w:cs="Arial"/>
                <w:color w:val="000000"/>
                <w:sz w:val="20"/>
                <w:szCs w:val="20"/>
              </w:rPr>
              <w:t>117,66</w:t>
            </w:r>
          </w:p>
        </w:tc>
      </w:tr>
    </w:tbl>
    <w:p w14:paraId="0C39A7CC" w14:textId="77777777" w:rsidR="00CC3538" w:rsidRPr="00CC3538" w:rsidRDefault="00CC3538" w:rsidP="00CC3538">
      <w:pPr>
        <w:suppressAutoHyphens/>
        <w:autoSpaceDE w:val="0"/>
        <w:spacing w:after="0" w:line="360" w:lineRule="auto"/>
        <w:jc w:val="both"/>
        <w:rPr>
          <w:rFonts w:ascii="Arial" w:eastAsia="Times New Roman" w:hAnsi="Arial" w:cs="Arial"/>
          <w:sz w:val="24"/>
          <w:szCs w:val="24"/>
          <w:lang w:val="ro-RO" w:eastAsia="ro-RO"/>
        </w:rPr>
      </w:pPr>
    </w:p>
    <w:p w14:paraId="1AE6F695" w14:textId="77777777" w:rsidR="00CC3538" w:rsidRPr="00CC3538" w:rsidRDefault="00CC3538" w:rsidP="00CC3538">
      <w:pPr>
        <w:suppressAutoHyphens/>
        <w:autoSpaceDE w:val="0"/>
        <w:spacing w:after="0" w:line="360" w:lineRule="auto"/>
        <w:jc w:val="center"/>
        <w:rPr>
          <w:rFonts w:ascii="Arial" w:eastAsia="Times New Roman" w:hAnsi="Arial" w:cs="Arial"/>
          <w:sz w:val="24"/>
          <w:szCs w:val="24"/>
          <w:lang w:val="ro-RO" w:eastAsia="ro-RO"/>
        </w:rPr>
      </w:pPr>
      <w:r w:rsidRPr="00CC3538">
        <w:rPr>
          <w:rFonts w:ascii="Calibri" w:hAnsi="Calibri" w:cs="Times New Roman"/>
          <w:noProof/>
        </w:rPr>
        <w:drawing>
          <wp:inline distT="0" distB="0" distL="0" distR="0" wp14:anchorId="0E5CEE1E" wp14:editId="1E27B018">
            <wp:extent cx="4562929" cy="2746375"/>
            <wp:effectExtent l="0" t="0" r="9525" b="15875"/>
            <wp:docPr id="280" name="Chart 280">
              <a:extLst xmlns:a="http://schemas.openxmlformats.org/drawingml/2006/main">
                <a:ext uri="{FF2B5EF4-FFF2-40B4-BE49-F238E27FC236}">
                  <a16:creationId xmlns:a16="http://schemas.microsoft.com/office/drawing/2014/main" id="{8C479FA4-7AC6-4AB5-B0B2-6C1DDF3567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p w14:paraId="298E71D2" w14:textId="24A324EC" w:rsidR="00CC3538" w:rsidRPr="00CC3538" w:rsidRDefault="00CC3538" w:rsidP="00CC3538">
      <w:pPr>
        <w:pStyle w:val="Legend"/>
        <w:jc w:val="center"/>
        <w:rPr>
          <w:rFonts w:ascii="Arial" w:hAnsi="Arial" w:cs="Arial"/>
          <w:i w:val="0"/>
          <w:iCs w:val="0"/>
          <w:color w:val="1F497D"/>
          <w:kern w:val="1"/>
          <w:sz w:val="22"/>
          <w:szCs w:val="22"/>
          <w:lang w:val="ro-RO" w:eastAsia="hi-IN" w:bidi="hi-IN"/>
        </w:rPr>
      </w:pPr>
      <w:bookmarkStart w:id="535" w:name="_Toc68361051"/>
      <w:bookmarkStart w:id="536" w:name="_Toc95132119"/>
      <w:bookmarkStart w:id="537" w:name="_Toc140744543"/>
      <w:r w:rsidRPr="00CC3538">
        <w:rPr>
          <w:rFonts w:ascii="Arial" w:hAnsi="Arial" w:cs="Arial"/>
          <w:sz w:val="22"/>
          <w:szCs w:val="22"/>
        </w:rPr>
        <w:t xml:space="preserve">Figura I.7. </w:t>
      </w:r>
      <w:r w:rsidRPr="00CC3538">
        <w:rPr>
          <w:rFonts w:ascii="Arial" w:hAnsi="Arial" w:cs="Arial"/>
          <w:sz w:val="22"/>
          <w:szCs w:val="22"/>
        </w:rPr>
        <w:fldChar w:fldCharType="begin"/>
      </w:r>
      <w:r w:rsidRPr="00CC3538">
        <w:rPr>
          <w:rFonts w:ascii="Arial" w:hAnsi="Arial" w:cs="Arial"/>
          <w:sz w:val="22"/>
          <w:szCs w:val="22"/>
        </w:rPr>
        <w:instrText xml:space="preserve"> SEQ Figura_I.7. \* ARABIC </w:instrText>
      </w:r>
      <w:r w:rsidRPr="00CC3538">
        <w:rPr>
          <w:rFonts w:ascii="Arial" w:hAnsi="Arial" w:cs="Arial"/>
          <w:sz w:val="22"/>
          <w:szCs w:val="22"/>
        </w:rPr>
        <w:fldChar w:fldCharType="separate"/>
      </w:r>
      <w:r w:rsidR="00BB181C">
        <w:rPr>
          <w:rFonts w:ascii="Arial" w:hAnsi="Arial" w:cs="Arial"/>
          <w:noProof/>
          <w:sz w:val="22"/>
          <w:szCs w:val="22"/>
        </w:rPr>
        <w:t>18</w:t>
      </w:r>
      <w:r w:rsidRPr="00CC3538">
        <w:rPr>
          <w:rFonts w:ascii="Arial" w:hAnsi="Arial" w:cs="Arial"/>
          <w:sz w:val="22"/>
          <w:szCs w:val="22"/>
        </w:rPr>
        <w:fldChar w:fldCharType="end"/>
      </w:r>
      <w:r w:rsidRPr="00CC3538">
        <w:rPr>
          <w:rFonts w:ascii="Arial" w:hAnsi="Arial" w:cs="Arial"/>
          <w:sz w:val="22"/>
          <w:szCs w:val="22"/>
        </w:rPr>
        <w:t xml:space="preserve"> </w:t>
      </w:r>
      <w:r w:rsidRPr="00CC3538">
        <w:rPr>
          <w:rFonts w:ascii="Arial" w:hAnsi="Arial" w:cs="Arial"/>
          <w:i w:val="0"/>
          <w:iCs w:val="0"/>
          <w:color w:val="1F497D"/>
          <w:sz w:val="22"/>
          <w:szCs w:val="22"/>
          <w:lang w:val="ro-RO"/>
        </w:rPr>
        <w:t>– Emisii CO</w:t>
      </w:r>
      <w:r w:rsidRPr="00CC3538">
        <w:rPr>
          <w:rFonts w:ascii="Arial" w:hAnsi="Arial" w:cs="Arial"/>
          <w:i w:val="0"/>
          <w:iCs w:val="0"/>
          <w:color w:val="1F497D"/>
          <w:sz w:val="22"/>
          <w:szCs w:val="22"/>
          <w:vertAlign w:val="subscript"/>
          <w:lang w:val="ro-RO"/>
        </w:rPr>
        <w:t xml:space="preserve">2 </w:t>
      </w:r>
      <w:r w:rsidRPr="00CC3538">
        <w:rPr>
          <w:rFonts w:ascii="Arial" w:hAnsi="Arial" w:cs="Arial"/>
          <w:i w:val="0"/>
          <w:iCs w:val="0"/>
          <w:color w:val="1F497D"/>
          <w:sz w:val="22"/>
          <w:szCs w:val="22"/>
          <w:lang w:val="ro-RO"/>
        </w:rPr>
        <w:t>[kg]</w:t>
      </w:r>
      <w:bookmarkEnd w:id="535"/>
      <w:bookmarkEnd w:id="536"/>
      <w:bookmarkEnd w:id="537"/>
    </w:p>
    <w:p w14:paraId="58B147E6" w14:textId="77777777" w:rsidR="00CC3538" w:rsidRPr="00CC3538" w:rsidRDefault="00CC3538" w:rsidP="00CC3538">
      <w:pPr>
        <w:widowControl w:val="0"/>
        <w:suppressAutoHyphens/>
        <w:spacing w:after="0" w:line="276" w:lineRule="auto"/>
        <w:jc w:val="center"/>
        <w:rPr>
          <w:rFonts w:ascii="Arial" w:hAnsi="Arial" w:cs="Mangal"/>
          <w:kern w:val="1"/>
          <w:highlight w:val="yellow"/>
          <w:lang w:val="ro-RO" w:eastAsia="hi-IN" w:bidi="hi-IN"/>
        </w:rPr>
      </w:pPr>
      <w:r w:rsidRPr="00CC3538">
        <w:rPr>
          <w:rFonts w:ascii="Calibri" w:hAnsi="Calibri" w:cs="Times New Roman"/>
          <w:noProof/>
        </w:rPr>
        <w:lastRenderedPageBreak/>
        <w:drawing>
          <wp:inline distT="0" distB="0" distL="0" distR="0" wp14:anchorId="739B4F39" wp14:editId="283B3AFD">
            <wp:extent cx="4572000" cy="2734128"/>
            <wp:effectExtent l="0" t="0" r="0" b="9525"/>
            <wp:docPr id="281" name="Chart 281">
              <a:extLst xmlns:a="http://schemas.openxmlformats.org/drawingml/2006/main">
                <a:ext uri="{FF2B5EF4-FFF2-40B4-BE49-F238E27FC236}">
                  <a16:creationId xmlns:a16="http://schemas.microsoft.com/office/drawing/2014/main" id="{754D0E97-B396-4CBC-971D-B2C831A7D1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p>
    <w:p w14:paraId="24202EC1" w14:textId="169C9FD3" w:rsidR="00CC3538" w:rsidRPr="00CC3538" w:rsidRDefault="00CC3538" w:rsidP="00CC3538">
      <w:pPr>
        <w:spacing w:after="200" w:line="240" w:lineRule="auto"/>
        <w:jc w:val="center"/>
        <w:rPr>
          <w:rFonts w:ascii="Arial" w:hAnsi="Arial" w:cs="Arial"/>
          <w:color w:val="1F497D"/>
          <w:lang w:val="ro-RO"/>
        </w:rPr>
      </w:pPr>
      <w:bookmarkStart w:id="538" w:name="_Toc68361052"/>
      <w:bookmarkStart w:id="539" w:name="_Toc95132120"/>
      <w:bookmarkStart w:id="540" w:name="_Toc140744544"/>
      <w:r w:rsidRPr="00CC3538">
        <w:rPr>
          <w:rFonts w:ascii="Arial" w:hAnsi="Arial" w:cs="Arial"/>
          <w:i/>
          <w:iCs/>
          <w:color w:val="1F497D"/>
          <w:lang w:val="ro-RO"/>
        </w:rPr>
        <w:t xml:space="preserve">Figura I.7. </w:t>
      </w:r>
      <w:r w:rsidRPr="00CC3538">
        <w:rPr>
          <w:rFonts w:ascii="Arial" w:hAnsi="Arial" w:cs="Arial"/>
          <w:i/>
          <w:iCs/>
          <w:color w:val="1F497D"/>
          <w:lang w:val="ro-RO"/>
        </w:rPr>
        <w:fldChar w:fldCharType="begin"/>
      </w:r>
      <w:r w:rsidRPr="00CC3538">
        <w:rPr>
          <w:rFonts w:ascii="Arial" w:hAnsi="Arial" w:cs="Arial"/>
          <w:i/>
          <w:iCs/>
          <w:color w:val="1F497D"/>
          <w:lang w:val="ro-RO"/>
        </w:rPr>
        <w:instrText xml:space="preserve"> SEQ Figura_I.7. \* ARABIC </w:instrText>
      </w:r>
      <w:r w:rsidRPr="00CC3538">
        <w:rPr>
          <w:rFonts w:ascii="Arial" w:hAnsi="Arial" w:cs="Arial"/>
          <w:i/>
          <w:iCs/>
          <w:color w:val="1F497D"/>
          <w:lang w:val="ro-RO"/>
        </w:rPr>
        <w:fldChar w:fldCharType="separate"/>
      </w:r>
      <w:r w:rsidR="00BB181C">
        <w:rPr>
          <w:rFonts w:ascii="Arial" w:hAnsi="Arial" w:cs="Arial"/>
          <w:i/>
          <w:iCs/>
          <w:noProof/>
          <w:color w:val="1F497D"/>
          <w:lang w:val="ro-RO"/>
        </w:rPr>
        <w:t>19</w:t>
      </w:r>
      <w:r w:rsidRPr="00CC3538">
        <w:rPr>
          <w:rFonts w:ascii="Arial" w:hAnsi="Arial" w:cs="Arial"/>
          <w:i/>
          <w:iCs/>
          <w:color w:val="1F497D"/>
          <w:lang w:val="ro-RO"/>
        </w:rPr>
        <w:fldChar w:fldCharType="end"/>
      </w:r>
      <w:r w:rsidRPr="00CC3538">
        <w:rPr>
          <w:rFonts w:ascii="Arial" w:hAnsi="Arial" w:cs="Arial"/>
          <w:i/>
          <w:iCs/>
          <w:color w:val="1F497D"/>
          <w:lang w:val="ro-RO"/>
        </w:rPr>
        <w:t xml:space="preserve"> – </w:t>
      </w:r>
      <w:r w:rsidRPr="00CC3538">
        <w:rPr>
          <w:rFonts w:ascii="Arial" w:hAnsi="Arial" w:cs="Arial"/>
          <w:color w:val="1F497D"/>
          <w:lang w:val="ro-RO"/>
        </w:rPr>
        <w:t>Emisii NOx [kg]</w:t>
      </w:r>
      <w:bookmarkEnd w:id="538"/>
      <w:bookmarkEnd w:id="539"/>
      <w:bookmarkEnd w:id="540"/>
    </w:p>
    <w:p w14:paraId="01AE60AF" w14:textId="77777777" w:rsidR="00CC3538" w:rsidRPr="00CC3538" w:rsidRDefault="00CC3538" w:rsidP="00CC3538">
      <w:pPr>
        <w:rPr>
          <w:rFonts w:ascii="Calibri" w:hAnsi="Calibri" w:cs="Times New Roman"/>
          <w:highlight w:val="yellow"/>
          <w:lang w:val="ro-RO"/>
        </w:rPr>
      </w:pPr>
    </w:p>
    <w:p w14:paraId="19BFC064" w14:textId="77777777" w:rsidR="00CC3538" w:rsidRPr="00CC3538" w:rsidRDefault="00CC3538" w:rsidP="00CC3538">
      <w:pPr>
        <w:widowControl w:val="0"/>
        <w:suppressAutoHyphens/>
        <w:spacing w:after="0" w:line="276" w:lineRule="auto"/>
        <w:jc w:val="center"/>
        <w:rPr>
          <w:rFonts w:ascii="Arial" w:hAnsi="Arial" w:cs="Mangal"/>
          <w:kern w:val="1"/>
          <w:highlight w:val="yellow"/>
          <w:lang w:val="ro-RO" w:eastAsia="hi-IN" w:bidi="hi-IN"/>
        </w:rPr>
      </w:pPr>
      <w:r w:rsidRPr="00CC3538">
        <w:rPr>
          <w:rFonts w:ascii="Calibri" w:hAnsi="Calibri" w:cs="Times New Roman"/>
          <w:noProof/>
        </w:rPr>
        <w:drawing>
          <wp:inline distT="0" distB="0" distL="0" distR="0" wp14:anchorId="0352CA5D" wp14:editId="1A2A0C15">
            <wp:extent cx="4552043" cy="2745014"/>
            <wp:effectExtent l="0" t="0" r="1270" b="17780"/>
            <wp:docPr id="282" name="Chart 282">
              <a:extLst xmlns:a="http://schemas.openxmlformats.org/drawingml/2006/main">
                <a:ext uri="{FF2B5EF4-FFF2-40B4-BE49-F238E27FC236}">
                  <a16:creationId xmlns:a16="http://schemas.microsoft.com/office/drawing/2014/main" id="{D556F1CF-3A17-439C-8A5C-2CB9F248BC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0"/>
              </a:graphicData>
            </a:graphic>
          </wp:inline>
        </w:drawing>
      </w:r>
    </w:p>
    <w:p w14:paraId="6C447340" w14:textId="6A7BE178" w:rsidR="00CC3538" w:rsidRPr="00CC3538" w:rsidRDefault="00CC3538" w:rsidP="00CC3538">
      <w:pPr>
        <w:spacing w:after="200" w:line="240" w:lineRule="auto"/>
        <w:jc w:val="center"/>
        <w:rPr>
          <w:rFonts w:ascii="Arial" w:hAnsi="Arial" w:cs="Arial"/>
          <w:color w:val="1F497D"/>
          <w:kern w:val="1"/>
          <w:lang w:val="ro-RO" w:eastAsia="hi-IN" w:bidi="hi-IN"/>
        </w:rPr>
      </w:pPr>
      <w:bookmarkStart w:id="541" w:name="_Toc68361053"/>
      <w:bookmarkStart w:id="542" w:name="_Toc95132121"/>
      <w:bookmarkStart w:id="543" w:name="_Toc140744545"/>
      <w:r w:rsidRPr="00CC3538">
        <w:rPr>
          <w:rFonts w:ascii="Arial" w:hAnsi="Arial" w:cs="Arial"/>
          <w:i/>
          <w:iCs/>
          <w:color w:val="1F497D"/>
          <w:lang w:val="ro-RO"/>
        </w:rPr>
        <w:t xml:space="preserve">Figura I.7. </w:t>
      </w:r>
      <w:r w:rsidRPr="00CC3538">
        <w:rPr>
          <w:rFonts w:ascii="Arial" w:hAnsi="Arial" w:cs="Arial"/>
          <w:i/>
          <w:iCs/>
          <w:color w:val="1F497D"/>
          <w:lang w:val="ro-RO"/>
        </w:rPr>
        <w:fldChar w:fldCharType="begin"/>
      </w:r>
      <w:r w:rsidRPr="00CC3538">
        <w:rPr>
          <w:rFonts w:ascii="Arial" w:hAnsi="Arial" w:cs="Arial"/>
          <w:i/>
          <w:iCs/>
          <w:color w:val="1F497D"/>
          <w:lang w:val="ro-RO"/>
        </w:rPr>
        <w:instrText xml:space="preserve"> SEQ Figura_I.7. \* ARABIC </w:instrText>
      </w:r>
      <w:r w:rsidRPr="00CC3538">
        <w:rPr>
          <w:rFonts w:ascii="Arial" w:hAnsi="Arial" w:cs="Arial"/>
          <w:i/>
          <w:iCs/>
          <w:color w:val="1F497D"/>
          <w:lang w:val="ro-RO"/>
        </w:rPr>
        <w:fldChar w:fldCharType="separate"/>
      </w:r>
      <w:r w:rsidR="00BB181C">
        <w:rPr>
          <w:rFonts w:ascii="Arial" w:hAnsi="Arial" w:cs="Arial"/>
          <w:i/>
          <w:iCs/>
          <w:noProof/>
          <w:color w:val="1F497D"/>
          <w:lang w:val="ro-RO"/>
        </w:rPr>
        <w:t>20</w:t>
      </w:r>
      <w:r w:rsidRPr="00CC3538">
        <w:rPr>
          <w:rFonts w:ascii="Arial" w:hAnsi="Arial" w:cs="Arial"/>
          <w:i/>
          <w:iCs/>
          <w:color w:val="1F497D"/>
          <w:lang w:val="ro-RO"/>
        </w:rPr>
        <w:fldChar w:fldCharType="end"/>
      </w:r>
      <w:r w:rsidRPr="00CC3538">
        <w:rPr>
          <w:rFonts w:ascii="Arial" w:hAnsi="Arial" w:cs="Arial"/>
          <w:i/>
          <w:iCs/>
          <w:color w:val="1F497D"/>
          <w:lang w:val="ro-RO"/>
        </w:rPr>
        <w:t xml:space="preserve"> – </w:t>
      </w:r>
      <w:r w:rsidRPr="00CC3538">
        <w:rPr>
          <w:rFonts w:ascii="Arial" w:hAnsi="Arial" w:cs="Arial"/>
          <w:color w:val="1F497D"/>
          <w:lang w:val="ro-RO"/>
        </w:rPr>
        <w:t>Emisii PM [kg]</w:t>
      </w:r>
      <w:bookmarkEnd w:id="541"/>
      <w:bookmarkEnd w:id="542"/>
      <w:bookmarkEnd w:id="543"/>
    </w:p>
    <w:p w14:paraId="19065491" w14:textId="77777777" w:rsidR="00CC3538" w:rsidRPr="00CC3538" w:rsidRDefault="00CC3538" w:rsidP="00CC3538">
      <w:pPr>
        <w:widowControl w:val="0"/>
        <w:suppressAutoHyphens/>
        <w:spacing w:after="0" w:line="276" w:lineRule="auto"/>
        <w:jc w:val="center"/>
        <w:rPr>
          <w:rFonts w:ascii="Arial" w:hAnsi="Arial" w:cs="Mangal"/>
          <w:kern w:val="1"/>
          <w:highlight w:val="yellow"/>
          <w:lang w:val="ro-RO" w:eastAsia="hi-IN" w:bidi="hi-IN"/>
        </w:rPr>
      </w:pPr>
      <w:r w:rsidRPr="00CC3538">
        <w:rPr>
          <w:rFonts w:ascii="Calibri" w:hAnsi="Calibri" w:cs="Times New Roman"/>
          <w:noProof/>
        </w:rPr>
        <w:lastRenderedPageBreak/>
        <w:drawing>
          <wp:inline distT="0" distB="0" distL="0" distR="0" wp14:anchorId="5A1E413E" wp14:editId="55B9E088">
            <wp:extent cx="4572000" cy="2735490"/>
            <wp:effectExtent l="0" t="0" r="0" b="8255"/>
            <wp:docPr id="283" name="Chart 283">
              <a:extLst xmlns:a="http://schemas.openxmlformats.org/drawingml/2006/main">
                <a:ext uri="{FF2B5EF4-FFF2-40B4-BE49-F238E27FC236}">
                  <a16:creationId xmlns:a16="http://schemas.microsoft.com/office/drawing/2014/main" id="{F691CF71-D575-4C8C-9E1D-E589606BBC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p w14:paraId="22E6EAF6" w14:textId="1038107C" w:rsidR="00CC3538" w:rsidRPr="00CC3538" w:rsidRDefault="00CC3538" w:rsidP="00CC3538">
      <w:pPr>
        <w:spacing w:after="200" w:line="240" w:lineRule="auto"/>
        <w:jc w:val="center"/>
        <w:rPr>
          <w:rFonts w:ascii="Arial" w:hAnsi="Arial" w:cs="Arial"/>
          <w:color w:val="1F497D"/>
          <w:kern w:val="1"/>
          <w:lang w:val="ro-RO" w:eastAsia="hi-IN" w:bidi="hi-IN"/>
        </w:rPr>
      </w:pPr>
      <w:bookmarkStart w:id="544" w:name="_Toc68361054"/>
      <w:bookmarkStart w:id="545" w:name="_Toc95132122"/>
      <w:bookmarkStart w:id="546" w:name="_Toc140744546"/>
      <w:r w:rsidRPr="00CC3538">
        <w:rPr>
          <w:rFonts w:ascii="Arial" w:hAnsi="Arial" w:cs="Arial"/>
          <w:i/>
          <w:iCs/>
          <w:color w:val="1F497D"/>
          <w:lang w:val="ro-RO"/>
        </w:rPr>
        <w:t xml:space="preserve">Figura I.7. </w:t>
      </w:r>
      <w:r w:rsidRPr="00CC3538">
        <w:rPr>
          <w:rFonts w:ascii="Arial" w:hAnsi="Arial" w:cs="Arial"/>
          <w:i/>
          <w:iCs/>
          <w:color w:val="1F497D"/>
          <w:lang w:val="ro-RO"/>
        </w:rPr>
        <w:fldChar w:fldCharType="begin"/>
      </w:r>
      <w:r w:rsidRPr="00CC3538">
        <w:rPr>
          <w:rFonts w:ascii="Arial" w:hAnsi="Arial" w:cs="Arial"/>
          <w:i/>
          <w:iCs/>
          <w:color w:val="1F497D"/>
          <w:lang w:val="ro-RO"/>
        </w:rPr>
        <w:instrText xml:space="preserve"> SEQ Figura_I.7. \* ARABIC </w:instrText>
      </w:r>
      <w:r w:rsidRPr="00CC3538">
        <w:rPr>
          <w:rFonts w:ascii="Arial" w:hAnsi="Arial" w:cs="Arial"/>
          <w:i/>
          <w:iCs/>
          <w:color w:val="1F497D"/>
          <w:lang w:val="ro-RO"/>
        </w:rPr>
        <w:fldChar w:fldCharType="separate"/>
      </w:r>
      <w:r w:rsidR="00BB181C">
        <w:rPr>
          <w:rFonts w:ascii="Arial" w:hAnsi="Arial" w:cs="Arial"/>
          <w:i/>
          <w:iCs/>
          <w:noProof/>
          <w:color w:val="1F497D"/>
          <w:lang w:val="ro-RO"/>
        </w:rPr>
        <w:t>21</w:t>
      </w:r>
      <w:r w:rsidRPr="00CC3538">
        <w:rPr>
          <w:rFonts w:ascii="Arial" w:hAnsi="Arial" w:cs="Arial"/>
          <w:i/>
          <w:iCs/>
          <w:color w:val="1F497D"/>
          <w:lang w:val="ro-RO"/>
        </w:rPr>
        <w:fldChar w:fldCharType="end"/>
      </w:r>
      <w:r w:rsidRPr="00CC3538">
        <w:rPr>
          <w:rFonts w:ascii="Arial" w:hAnsi="Arial" w:cs="Arial"/>
          <w:i/>
          <w:iCs/>
          <w:color w:val="1F497D"/>
          <w:lang w:val="ro-RO"/>
        </w:rPr>
        <w:t xml:space="preserve"> – </w:t>
      </w:r>
      <w:r w:rsidRPr="00CC3538">
        <w:rPr>
          <w:rFonts w:ascii="Arial" w:hAnsi="Arial" w:cs="Arial"/>
          <w:color w:val="1F497D"/>
          <w:lang w:val="ro-RO"/>
        </w:rPr>
        <w:t>Emisii HC [kg]</w:t>
      </w:r>
      <w:bookmarkEnd w:id="544"/>
      <w:bookmarkEnd w:id="545"/>
      <w:bookmarkEnd w:id="546"/>
    </w:p>
    <w:p w14:paraId="0FD0A042" w14:textId="77777777" w:rsidR="00CC3538" w:rsidRPr="00CC3538" w:rsidRDefault="00CC3538" w:rsidP="00CC3538">
      <w:pPr>
        <w:widowControl w:val="0"/>
        <w:suppressAutoHyphens/>
        <w:spacing w:after="0" w:line="276" w:lineRule="auto"/>
        <w:jc w:val="both"/>
        <w:rPr>
          <w:rFonts w:ascii="Arial" w:hAnsi="Arial" w:cs="Mangal"/>
          <w:kern w:val="1"/>
          <w:highlight w:val="yellow"/>
          <w:lang w:val="ro-RO" w:eastAsia="hi-IN" w:bidi="hi-IN"/>
        </w:rPr>
      </w:pPr>
    </w:p>
    <w:p w14:paraId="51A0C2FE" w14:textId="77777777" w:rsidR="00CC3538" w:rsidRPr="00CC3538" w:rsidRDefault="00CC3538" w:rsidP="00CC3538">
      <w:pPr>
        <w:widowControl w:val="0"/>
        <w:suppressAutoHyphens/>
        <w:spacing w:after="0" w:line="276" w:lineRule="auto"/>
        <w:jc w:val="both"/>
        <w:rPr>
          <w:rFonts w:ascii="Arial" w:hAnsi="Arial" w:cs="Mangal"/>
          <w:kern w:val="1"/>
          <w:lang w:val="ro-RO" w:eastAsia="hi-IN" w:bidi="hi-IN"/>
        </w:rPr>
      </w:pPr>
      <w:r w:rsidRPr="00CC3538">
        <w:rPr>
          <w:rFonts w:ascii="Arial" w:hAnsi="Arial" w:cs="Mangal"/>
          <w:kern w:val="1"/>
          <w:lang w:val="ro-RO" w:eastAsia="hi-IN" w:bidi="hi-IN"/>
        </w:rPr>
        <w:t xml:space="preserve">Din studiul emisiilor rezultate prin implementarea scenariilor se prognozează faptul că scenariul 3 are cele mai bune performanțe pe acest orizont de timp, în raport cu celelalte două scenarii. Acest lucru se datorează faptului că în scenariul 3 sunt incluse atât proiecte pe termen scurt și mediu, cât și pe termen lung. </w:t>
      </w:r>
    </w:p>
    <w:p w14:paraId="1F655AE6" w14:textId="77777777" w:rsidR="00CC3538" w:rsidRPr="00CC3538" w:rsidRDefault="00CC3538" w:rsidP="00CC3538">
      <w:pPr>
        <w:rPr>
          <w:rFonts w:ascii="Calibri" w:hAnsi="Calibri" w:cs="Times New Roman"/>
          <w:lang w:val="ro-RO" w:eastAsia="zh-CN"/>
        </w:rPr>
      </w:pPr>
    </w:p>
    <w:p w14:paraId="326A38ED" w14:textId="77777777" w:rsidR="004F5666" w:rsidRPr="00C60706" w:rsidRDefault="004F5666" w:rsidP="00C60706">
      <w:pPr>
        <w:pStyle w:val="Titlu4"/>
        <w:numPr>
          <w:ilvl w:val="0"/>
          <w:numId w:val="0"/>
        </w:numPr>
        <w:rPr>
          <w:rFonts w:ascii="Arial" w:hAnsi="Arial" w:cs="Arial"/>
          <w:sz w:val="22"/>
          <w:szCs w:val="22"/>
        </w:rPr>
      </w:pPr>
      <w:r w:rsidRPr="0002272D">
        <w:rPr>
          <w:rFonts w:ascii="Arial" w:eastAsia="Arial" w:hAnsi="Arial" w:cs="Arial"/>
          <w:sz w:val="22"/>
          <w:szCs w:val="22"/>
        </w:rPr>
        <w:t>I.7.2.2.4 Concluzii</w:t>
      </w:r>
    </w:p>
    <w:p w14:paraId="3016986B" w14:textId="77777777" w:rsidR="005D0927" w:rsidRPr="005D0927" w:rsidRDefault="005D0927" w:rsidP="005D0927">
      <w:pPr>
        <w:widowControl w:val="0"/>
        <w:suppressAutoHyphens/>
        <w:spacing w:after="0" w:line="276" w:lineRule="auto"/>
        <w:jc w:val="both"/>
        <w:rPr>
          <w:rFonts w:ascii="Arial" w:hAnsi="Arial" w:cs="Arial"/>
          <w:kern w:val="1"/>
          <w:lang w:val="ro-RO" w:eastAsia="hi-IN" w:bidi="hi-IN"/>
        </w:rPr>
      </w:pPr>
      <w:r w:rsidRPr="005D0927">
        <w:rPr>
          <w:rFonts w:ascii="Arial" w:hAnsi="Arial" w:cs="Arial"/>
          <w:kern w:val="1"/>
          <w:lang w:val="ro-RO" w:eastAsia="hi-IN" w:bidi="hi-IN"/>
        </w:rPr>
        <w:t>În urma introducerii în modelul de transport şi simulării măsurilor şi proiectelor prevăzute în scenariile 2 şi 3 pentru cele 2 orizonturi de timp considerate (2027, respectiv 2035), valorile indicatorilor cu impact asupra mediului din Horezu sunt prezentate în tabelul următor:</w:t>
      </w:r>
    </w:p>
    <w:p w14:paraId="6DE1FCD0" w14:textId="77777777" w:rsidR="005D0927" w:rsidRPr="005D0927" w:rsidRDefault="005D0927" w:rsidP="005D0927">
      <w:pPr>
        <w:widowControl w:val="0"/>
        <w:suppressAutoHyphens/>
        <w:spacing w:after="0" w:line="360" w:lineRule="auto"/>
        <w:rPr>
          <w:rFonts w:ascii="Arial" w:eastAsia="Arial" w:hAnsi="Arial" w:cs="Arial"/>
          <w:b/>
          <w:bCs/>
          <w:kern w:val="1"/>
          <w:sz w:val="24"/>
          <w:szCs w:val="24"/>
          <w:lang w:val="ro-RO" w:eastAsia="hi-IN" w:bidi="hi-IN"/>
        </w:rPr>
      </w:pPr>
    </w:p>
    <w:p w14:paraId="11AC9D65" w14:textId="1CD4E6B5" w:rsidR="005D0927" w:rsidRPr="005D0927" w:rsidRDefault="00BB0D72" w:rsidP="005D0927">
      <w:pPr>
        <w:spacing w:after="200" w:line="240" w:lineRule="auto"/>
        <w:jc w:val="center"/>
        <w:rPr>
          <w:rFonts w:ascii="Arial" w:eastAsia="Arial" w:hAnsi="Arial" w:cs="Arial"/>
          <w:color w:val="1F497D"/>
          <w:kern w:val="1"/>
          <w:lang w:val="ro-RO" w:eastAsia="hi-IN" w:bidi="hi-IN"/>
        </w:rPr>
      </w:pPr>
      <w:bookmarkStart w:id="547" w:name="_Toc68361289"/>
      <w:bookmarkStart w:id="548" w:name="_Toc96463917"/>
      <w:r>
        <w:rPr>
          <w:rFonts w:ascii="Arial" w:hAnsi="Arial" w:cs="Arial"/>
          <w:i/>
          <w:iCs/>
          <w:color w:val="1F497D"/>
        </w:rPr>
        <w:t>Tabel I.7.</w:t>
      </w:r>
      <w:r w:rsidR="005D0927" w:rsidRPr="005D0927">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21</w:t>
      </w:r>
      <w:r>
        <w:rPr>
          <w:rFonts w:ascii="Arial" w:hAnsi="Arial" w:cs="Arial"/>
          <w:i/>
          <w:iCs/>
          <w:color w:val="1F497D"/>
        </w:rPr>
        <w:fldChar w:fldCharType="end"/>
      </w:r>
      <w:r w:rsidR="005D0927" w:rsidRPr="005D0927">
        <w:rPr>
          <w:rFonts w:ascii="Arial" w:hAnsi="Arial" w:cs="Arial"/>
          <w:i/>
          <w:iCs/>
          <w:color w:val="1F497D"/>
        </w:rPr>
        <w:t xml:space="preserve"> - </w:t>
      </w:r>
      <w:r w:rsidR="005D0927" w:rsidRPr="005D0927">
        <w:rPr>
          <w:rFonts w:ascii="Arial" w:hAnsi="Arial" w:cs="Arial"/>
          <w:color w:val="1F497D"/>
        </w:rPr>
        <w:t>Indicatorii de mediu rezultaţi din scenariile 2 şi 3 pentru orizonturile de timp 2027, respectiv 2035</w:t>
      </w:r>
      <w:bookmarkEnd w:id="547"/>
      <w:bookmarkEnd w:id="548"/>
    </w:p>
    <w:tbl>
      <w:tblPr>
        <w:tblW w:w="10203" w:type="dxa"/>
        <w:jc w:val="center"/>
        <w:tblLayout w:type="fixed"/>
        <w:tblCellMar>
          <w:left w:w="0" w:type="dxa"/>
          <w:right w:w="0" w:type="dxa"/>
        </w:tblCellMar>
        <w:tblLook w:val="0000" w:firstRow="0" w:lastRow="0" w:firstColumn="0" w:lastColumn="0" w:noHBand="0" w:noVBand="0"/>
      </w:tblPr>
      <w:tblGrid>
        <w:gridCol w:w="3309"/>
        <w:gridCol w:w="1149"/>
        <w:gridCol w:w="1149"/>
        <w:gridCol w:w="1149"/>
        <w:gridCol w:w="1149"/>
        <w:gridCol w:w="1149"/>
        <w:gridCol w:w="1149"/>
      </w:tblGrid>
      <w:tr w:rsidR="00CC3538" w:rsidRPr="00CC3538" w14:paraId="5ACB97C9" w14:textId="77777777" w:rsidTr="00CE76B6">
        <w:trPr>
          <w:trHeight w:val="542"/>
          <w:jc w:val="center"/>
        </w:trPr>
        <w:tc>
          <w:tcPr>
            <w:tcW w:w="3309" w:type="dxa"/>
            <w:vMerge w:val="restart"/>
            <w:tcBorders>
              <w:top w:val="single" w:sz="3" w:space="0" w:color="000001"/>
              <w:left w:val="single" w:sz="3" w:space="0" w:color="000001"/>
            </w:tcBorders>
            <w:shd w:val="clear" w:color="auto" w:fill="D9D9D9"/>
            <w:vAlign w:val="center"/>
          </w:tcPr>
          <w:p w14:paraId="2E2DA17E"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Parametru</w:t>
            </w:r>
          </w:p>
        </w:tc>
        <w:tc>
          <w:tcPr>
            <w:tcW w:w="3447" w:type="dxa"/>
            <w:gridSpan w:val="3"/>
            <w:tcBorders>
              <w:top w:val="single" w:sz="3" w:space="0" w:color="000001"/>
              <w:left w:val="single" w:sz="3" w:space="0" w:color="000001"/>
              <w:bottom w:val="single" w:sz="3" w:space="0" w:color="000001"/>
              <w:right w:val="single" w:sz="4" w:space="0" w:color="auto"/>
            </w:tcBorders>
            <w:shd w:val="clear" w:color="auto" w:fill="D9D9D9"/>
            <w:vAlign w:val="center"/>
          </w:tcPr>
          <w:p w14:paraId="27991B64"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Scenariul 2</w:t>
            </w:r>
          </w:p>
        </w:tc>
        <w:tc>
          <w:tcPr>
            <w:tcW w:w="3447"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37BCA325"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Scenariul 3</w:t>
            </w:r>
          </w:p>
        </w:tc>
      </w:tr>
      <w:tr w:rsidR="00CC3538" w:rsidRPr="00CC3538" w14:paraId="17B4BCD8" w14:textId="77777777" w:rsidTr="00CE76B6">
        <w:trPr>
          <w:trHeight w:val="542"/>
          <w:jc w:val="center"/>
        </w:trPr>
        <w:tc>
          <w:tcPr>
            <w:tcW w:w="3309" w:type="dxa"/>
            <w:vMerge/>
            <w:tcBorders>
              <w:top w:val="single" w:sz="3" w:space="0" w:color="000001"/>
              <w:left w:val="single" w:sz="3" w:space="0" w:color="000001"/>
              <w:right w:val="single" w:sz="4" w:space="0" w:color="auto"/>
            </w:tcBorders>
            <w:shd w:val="clear" w:color="auto" w:fill="D9D9D9"/>
            <w:vAlign w:val="center"/>
          </w:tcPr>
          <w:p w14:paraId="4F8ACF96"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p>
        </w:tc>
        <w:tc>
          <w:tcPr>
            <w:tcW w:w="6894"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1B4A97F8"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2027</w:t>
            </w:r>
          </w:p>
        </w:tc>
      </w:tr>
      <w:tr w:rsidR="00CC3538" w:rsidRPr="00CC3538" w14:paraId="1E800A18" w14:textId="77777777" w:rsidTr="00CE76B6">
        <w:trPr>
          <w:trHeight w:val="542"/>
          <w:jc w:val="center"/>
        </w:trPr>
        <w:tc>
          <w:tcPr>
            <w:tcW w:w="3309" w:type="dxa"/>
            <w:vMerge/>
            <w:tcBorders>
              <w:left w:val="single" w:sz="3" w:space="0" w:color="000001"/>
              <w:bottom w:val="single" w:sz="3" w:space="0" w:color="000001"/>
            </w:tcBorders>
            <w:shd w:val="clear" w:color="auto" w:fill="D9D9D9"/>
            <w:vAlign w:val="center"/>
          </w:tcPr>
          <w:p w14:paraId="0BBD6358"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p>
        </w:tc>
        <w:tc>
          <w:tcPr>
            <w:tcW w:w="1149" w:type="dxa"/>
            <w:tcBorders>
              <w:top w:val="single" w:sz="3" w:space="0" w:color="000001"/>
              <w:left w:val="single" w:sz="3" w:space="0" w:color="000001"/>
              <w:bottom w:val="single" w:sz="3" w:space="0" w:color="000001"/>
            </w:tcBorders>
            <w:shd w:val="clear" w:color="auto" w:fill="D9D9D9"/>
            <w:vAlign w:val="center"/>
          </w:tcPr>
          <w:p w14:paraId="7B98D545"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AM</w:t>
            </w:r>
          </w:p>
        </w:tc>
        <w:tc>
          <w:tcPr>
            <w:tcW w:w="1149"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313AC203"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PM</w:t>
            </w:r>
          </w:p>
        </w:tc>
        <w:tc>
          <w:tcPr>
            <w:tcW w:w="1149"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3631B000"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24 h</w:t>
            </w:r>
          </w:p>
        </w:tc>
        <w:tc>
          <w:tcPr>
            <w:tcW w:w="1149" w:type="dxa"/>
            <w:tcBorders>
              <w:top w:val="single" w:sz="3" w:space="0" w:color="000001"/>
              <w:left w:val="single" w:sz="3" w:space="0" w:color="000001"/>
              <w:bottom w:val="single" w:sz="3" w:space="0" w:color="000001"/>
              <w:right w:val="single" w:sz="4" w:space="0" w:color="auto"/>
            </w:tcBorders>
            <w:shd w:val="clear" w:color="auto" w:fill="D9D9D9"/>
            <w:vAlign w:val="center"/>
          </w:tcPr>
          <w:p w14:paraId="2B39D1B5"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AM</w:t>
            </w: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642EE132"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PM</w:t>
            </w: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75823033"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24 h</w:t>
            </w:r>
          </w:p>
        </w:tc>
      </w:tr>
      <w:tr w:rsidR="00CC3538" w:rsidRPr="00CC3538" w14:paraId="56396C11" w14:textId="77777777" w:rsidTr="00CE76B6">
        <w:trPr>
          <w:trHeight w:val="53"/>
          <w:jc w:val="center"/>
        </w:trPr>
        <w:tc>
          <w:tcPr>
            <w:tcW w:w="3309" w:type="dxa"/>
            <w:tcBorders>
              <w:top w:val="single" w:sz="3" w:space="0" w:color="000001"/>
              <w:left w:val="single" w:sz="3" w:space="0" w:color="000001"/>
              <w:bottom w:val="single" w:sz="3" w:space="0" w:color="000001"/>
            </w:tcBorders>
            <w:shd w:val="clear" w:color="auto" w:fill="auto"/>
            <w:vAlign w:val="center"/>
          </w:tcPr>
          <w:p w14:paraId="310FEE0C" w14:textId="77777777" w:rsidR="00CC3538" w:rsidRPr="00CC3538" w:rsidRDefault="00CC3538" w:rsidP="00CC3538">
            <w:pPr>
              <w:spacing w:after="0"/>
              <w:rPr>
                <w:rFonts w:ascii="Arial" w:hAnsi="Arial" w:cs="Arial"/>
                <w:sz w:val="20"/>
                <w:szCs w:val="20"/>
                <w:lang w:val="ro-RO"/>
              </w:rPr>
            </w:pPr>
            <w:r w:rsidRPr="00CC3538">
              <w:rPr>
                <w:rFonts w:ascii="Arial" w:hAnsi="Arial" w:cs="Arial"/>
                <w:color w:val="000000"/>
                <w:sz w:val="20"/>
                <w:szCs w:val="20"/>
                <w:lang w:val="ro-RO"/>
              </w:rPr>
              <w:t>Emisii CO</w:t>
            </w:r>
            <w:r w:rsidRPr="00CC3538">
              <w:rPr>
                <w:rFonts w:ascii="Arial" w:hAnsi="Arial" w:cs="Arial"/>
                <w:color w:val="000000"/>
                <w:sz w:val="20"/>
                <w:szCs w:val="20"/>
                <w:vertAlign w:val="subscript"/>
                <w:lang w:val="ro-RO"/>
              </w:rPr>
              <w:t>2</w:t>
            </w:r>
            <w:r w:rsidRPr="00CC3538">
              <w:rPr>
                <w:rFonts w:ascii="Arial" w:hAnsi="Arial" w:cs="Arial"/>
                <w:color w:val="000000"/>
                <w:sz w:val="20"/>
                <w:szCs w:val="20"/>
                <w:lang w:val="ro-RO"/>
              </w:rPr>
              <w:t xml:space="preserve"> (kg)</w:t>
            </w:r>
          </w:p>
        </w:tc>
        <w:tc>
          <w:tcPr>
            <w:tcW w:w="1149" w:type="dxa"/>
            <w:tcBorders>
              <w:top w:val="single" w:sz="3" w:space="0" w:color="000001"/>
              <w:left w:val="single" w:sz="3" w:space="0" w:color="000001"/>
              <w:bottom w:val="single" w:sz="3" w:space="0" w:color="000001"/>
            </w:tcBorders>
            <w:shd w:val="clear" w:color="auto" w:fill="auto"/>
            <w:vAlign w:val="center"/>
          </w:tcPr>
          <w:p w14:paraId="4B2C0618"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31,64</w:t>
            </w:r>
          </w:p>
        </w:tc>
        <w:tc>
          <w:tcPr>
            <w:tcW w:w="1149" w:type="dxa"/>
            <w:tcBorders>
              <w:top w:val="single" w:sz="3" w:space="0" w:color="000001"/>
              <w:left w:val="single" w:sz="3" w:space="0" w:color="000001"/>
              <w:bottom w:val="single" w:sz="3" w:space="0" w:color="000001"/>
              <w:right w:val="single" w:sz="3" w:space="0" w:color="000001"/>
            </w:tcBorders>
            <w:vAlign w:val="center"/>
          </w:tcPr>
          <w:p w14:paraId="72F2A859"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31,64</w:t>
            </w:r>
          </w:p>
        </w:tc>
        <w:tc>
          <w:tcPr>
            <w:tcW w:w="1149" w:type="dxa"/>
            <w:tcBorders>
              <w:top w:val="single" w:sz="3" w:space="0" w:color="000001"/>
              <w:left w:val="single" w:sz="3" w:space="0" w:color="000001"/>
              <w:bottom w:val="single" w:sz="3" w:space="0" w:color="000001"/>
              <w:right w:val="single" w:sz="3" w:space="0" w:color="000001"/>
            </w:tcBorders>
            <w:shd w:val="clear" w:color="auto" w:fill="auto"/>
            <w:vAlign w:val="center"/>
          </w:tcPr>
          <w:p w14:paraId="6231522B"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34,80</w:t>
            </w:r>
          </w:p>
        </w:tc>
        <w:tc>
          <w:tcPr>
            <w:tcW w:w="1149" w:type="dxa"/>
            <w:tcBorders>
              <w:top w:val="single" w:sz="3" w:space="0" w:color="000001"/>
              <w:left w:val="single" w:sz="3" w:space="0" w:color="000001"/>
              <w:bottom w:val="single" w:sz="3" w:space="0" w:color="000001"/>
              <w:right w:val="single" w:sz="4" w:space="0" w:color="auto"/>
            </w:tcBorders>
            <w:shd w:val="clear" w:color="auto" w:fill="D9D9D9"/>
            <w:vAlign w:val="center"/>
          </w:tcPr>
          <w:p w14:paraId="192A34EF"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033D6B3A" w14:textId="77777777" w:rsidR="00CC3538" w:rsidRPr="00CC3538" w:rsidRDefault="00CC3538" w:rsidP="00CC3538">
            <w:pPr>
              <w:widowControl w:val="0"/>
              <w:suppressAutoHyphens/>
              <w:spacing w:after="0" w:line="240" w:lineRule="auto"/>
              <w:jc w:val="center"/>
              <w:rPr>
                <w:rFonts w:ascii="Arial" w:hAnsi="Arial" w:cs="Arial"/>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tcPr>
          <w:p w14:paraId="66473E99"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r>
      <w:tr w:rsidR="00CC3538" w:rsidRPr="00CC3538" w14:paraId="38915AF5" w14:textId="77777777" w:rsidTr="00CE76B6">
        <w:trPr>
          <w:trHeight w:val="53"/>
          <w:jc w:val="center"/>
        </w:trPr>
        <w:tc>
          <w:tcPr>
            <w:tcW w:w="3309" w:type="dxa"/>
            <w:tcBorders>
              <w:top w:val="single" w:sz="3" w:space="0" w:color="000001"/>
              <w:left w:val="single" w:sz="3" w:space="0" w:color="000001"/>
              <w:bottom w:val="single" w:sz="3" w:space="0" w:color="000001"/>
            </w:tcBorders>
            <w:shd w:val="clear" w:color="auto" w:fill="auto"/>
            <w:vAlign w:val="center"/>
          </w:tcPr>
          <w:p w14:paraId="73F3BC03" w14:textId="77777777" w:rsidR="00CC3538" w:rsidRPr="00CC3538" w:rsidRDefault="00CC3538" w:rsidP="00CC3538">
            <w:pPr>
              <w:spacing w:after="0"/>
              <w:rPr>
                <w:rFonts w:ascii="Arial" w:hAnsi="Arial" w:cs="Arial"/>
                <w:sz w:val="20"/>
                <w:szCs w:val="20"/>
                <w:lang w:val="ro-RO"/>
              </w:rPr>
            </w:pPr>
            <w:r w:rsidRPr="00CC3538">
              <w:rPr>
                <w:rFonts w:ascii="Arial" w:hAnsi="Arial" w:cs="Arial"/>
                <w:color w:val="000000"/>
                <w:sz w:val="20"/>
                <w:szCs w:val="20"/>
                <w:lang w:val="ro-RO"/>
              </w:rPr>
              <w:t>Emisii NO</w:t>
            </w:r>
            <w:r w:rsidRPr="00CC3538">
              <w:rPr>
                <w:rFonts w:ascii="Arial" w:hAnsi="Arial" w:cs="Arial"/>
                <w:color w:val="000000"/>
                <w:sz w:val="20"/>
                <w:szCs w:val="20"/>
                <w:vertAlign w:val="subscript"/>
                <w:lang w:val="ro-RO"/>
              </w:rPr>
              <w:t>x</w:t>
            </w:r>
            <w:r w:rsidRPr="00CC3538">
              <w:rPr>
                <w:rFonts w:ascii="Arial" w:hAnsi="Arial" w:cs="Arial"/>
                <w:color w:val="000000"/>
                <w:sz w:val="20"/>
                <w:szCs w:val="20"/>
                <w:lang w:val="ro-RO"/>
              </w:rPr>
              <w:t xml:space="preserve"> (kg)</w:t>
            </w:r>
          </w:p>
        </w:tc>
        <w:tc>
          <w:tcPr>
            <w:tcW w:w="1149" w:type="dxa"/>
            <w:tcBorders>
              <w:top w:val="single" w:sz="3" w:space="0" w:color="000001"/>
              <w:left w:val="single" w:sz="3" w:space="0" w:color="000001"/>
              <w:bottom w:val="single" w:sz="3" w:space="0" w:color="000001"/>
            </w:tcBorders>
            <w:shd w:val="clear" w:color="auto" w:fill="auto"/>
            <w:vAlign w:val="center"/>
          </w:tcPr>
          <w:p w14:paraId="6880B83F"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38,05</w:t>
            </w:r>
          </w:p>
        </w:tc>
        <w:tc>
          <w:tcPr>
            <w:tcW w:w="1149" w:type="dxa"/>
            <w:tcBorders>
              <w:top w:val="single" w:sz="3" w:space="0" w:color="000001"/>
              <w:left w:val="single" w:sz="3" w:space="0" w:color="000001"/>
              <w:bottom w:val="single" w:sz="3" w:space="0" w:color="000001"/>
              <w:right w:val="single" w:sz="3" w:space="0" w:color="000001"/>
            </w:tcBorders>
            <w:vAlign w:val="center"/>
          </w:tcPr>
          <w:p w14:paraId="2D293E2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39,49</w:t>
            </w:r>
          </w:p>
        </w:tc>
        <w:tc>
          <w:tcPr>
            <w:tcW w:w="1149" w:type="dxa"/>
            <w:tcBorders>
              <w:top w:val="single" w:sz="3" w:space="0" w:color="000001"/>
              <w:left w:val="single" w:sz="3" w:space="0" w:color="000001"/>
              <w:bottom w:val="single" w:sz="3" w:space="0" w:color="000001"/>
              <w:right w:val="single" w:sz="3" w:space="0" w:color="000001"/>
            </w:tcBorders>
            <w:shd w:val="clear" w:color="auto" w:fill="auto"/>
            <w:vAlign w:val="center"/>
          </w:tcPr>
          <w:p w14:paraId="22421BE9"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19,03</w:t>
            </w:r>
          </w:p>
        </w:tc>
        <w:tc>
          <w:tcPr>
            <w:tcW w:w="1149" w:type="dxa"/>
            <w:tcBorders>
              <w:top w:val="single" w:sz="3" w:space="0" w:color="000001"/>
              <w:left w:val="single" w:sz="3" w:space="0" w:color="000001"/>
              <w:bottom w:val="single" w:sz="3" w:space="0" w:color="000001"/>
              <w:right w:val="single" w:sz="4" w:space="0" w:color="auto"/>
            </w:tcBorders>
            <w:shd w:val="clear" w:color="auto" w:fill="D9D9D9"/>
            <w:vAlign w:val="center"/>
          </w:tcPr>
          <w:p w14:paraId="5D3586E5"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6984E371" w14:textId="77777777" w:rsidR="00CC3538" w:rsidRPr="00CC3538" w:rsidRDefault="00CC3538" w:rsidP="00CC3538">
            <w:pPr>
              <w:widowControl w:val="0"/>
              <w:suppressAutoHyphens/>
              <w:spacing w:after="0" w:line="240" w:lineRule="auto"/>
              <w:jc w:val="center"/>
              <w:rPr>
                <w:rFonts w:ascii="Arial" w:hAnsi="Arial" w:cs="Arial"/>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tcPr>
          <w:p w14:paraId="2A16679A"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r>
      <w:tr w:rsidR="00CC3538" w:rsidRPr="00CC3538" w14:paraId="1BC43AF9" w14:textId="77777777" w:rsidTr="00CE76B6">
        <w:trPr>
          <w:trHeight w:val="102"/>
          <w:jc w:val="center"/>
        </w:trPr>
        <w:tc>
          <w:tcPr>
            <w:tcW w:w="3309" w:type="dxa"/>
            <w:tcBorders>
              <w:top w:val="single" w:sz="3" w:space="0" w:color="000001"/>
              <w:left w:val="single" w:sz="3" w:space="0" w:color="000001"/>
              <w:bottom w:val="single" w:sz="3" w:space="0" w:color="000001"/>
            </w:tcBorders>
            <w:shd w:val="clear" w:color="auto" w:fill="auto"/>
            <w:vAlign w:val="center"/>
          </w:tcPr>
          <w:p w14:paraId="3B5B44F1" w14:textId="77777777" w:rsidR="00CC3538" w:rsidRPr="00CC3538" w:rsidRDefault="00CC3538" w:rsidP="00CC3538">
            <w:pPr>
              <w:spacing w:after="0"/>
              <w:rPr>
                <w:rFonts w:ascii="Arial" w:hAnsi="Arial" w:cs="Arial"/>
                <w:sz w:val="20"/>
                <w:szCs w:val="20"/>
                <w:lang w:val="ro-RO"/>
              </w:rPr>
            </w:pPr>
            <w:r w:rsidRPr="00CC3538">
              <w:rPr>
                <w:rFonts w:ascii="Arial" w:hAnsi="Arial" w:cs="Arial"/>
                <w:color w:val="000000"/>
                <w:sz w:val="20"/>
                <w:szCs w:val="20"/>
                <w:lang w:val="ro-RO"/>
              </w:rPr>
              <w:t>Emisii PM (kg)</w:t>
            </w:r>
          </w:p>
        </w:tc>
        <w:tc>
          <w:tcPr>
            <w:tcW w:w="1149" w:type="dxa"/>
            <w:tcBorders>
              <w:top w:val="single" w:sz="3" w:space="0" w:color="000001"/>
              <w:left w:val="single" w:sz="3" w:space="0" w:color="000001"/>
              <w:bottom w:val="single" w:sz="3" w:space="0" w:color="000001"/>
            </w:tcBorders>
            <w:shd w:val="clear" w:color="auto" w:fill="auto"/>
            <w:vAlign w:val="center"/>
          </w:tcPr>
          <w:p w14:paraId="3770A68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313,90</w:t>
            </w:r>
          </w:p>
        </w:tc>
        <w:tc>
          <w:tcPr>
            <w:tcW w:w="1149" w:type="dxa"/>
            <w:tcBorders>
              <w:top w:val="single" w:sz="3" w:space="0" w:color="000001"/>
              <w:left w:val="single" w:sz="3" w:space="0" w:color="000001"/>
              <w:bottom w:val="single" w:sz="3" w:space="0" w:color="000001"/>
              <w:right w:val="single" w:sz="3" w:space="0" w:color="000001"/>
            </w:tcBorders>
            <w:vAlign w:val="center"/>
          </w:tcPr>
          <w:p w14:paraId="77B1156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416,11</w:t>
            </w:r>
          </w:p>
        </w:tc>
        <w:tc>
          <w:tcPr>
            <w:tcW w:w="1149" w:type="dxa"/>
            <w:tcBorders>
              <w:top w:val="single" w:sz="3" w:space="0" w:color="000001"/>
              <w:left w:val="single" w:sz="3" w:space="0" w:color="000001"/>
              <w:bottom w:val="single" w:sz="3" w:space="0" w:color="000001"/>
              <w:right w:val="single" w:sz="3" w:space="0" w:color="000001"/>
            </w:tcBorders>
            <w:shd w:val="clear" w:color="auto" w:fill="auto"/>
            <w:vAlign w:val="center"/>
          </w:tcPr>
          <w:p w14:paraId="5F8F0F7F"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4380,10</w:t>
            </w:r>
          </w:p>
        </w:tc>
        <w:tc>
          <w:tcPr>
            <w:tcW w:w="1149" w:type="dxa"/>
            <w:tcBorders>
              <w:top w:val="single" w:sz="3" w:space="0" w:color="000001"/>
              <w:left w:val="single" w:sz="3" w:space="0" w:color="000001"/>
              <w:bottom w:val="single" w:sz="3" w:space="0" w:color="000001"/>
              <w:right w:val="single" w:sz="4" w:space="0" w:color="auto"/>
            </w:tcBorders>
            <w:shd w:val="clear" w:color="auto" w:fill="D9D9D9"/>
            <w:vAlign w:val="center"/>
          </w:tcPr>
          <w:p w14:paraId="0E525760"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07EEC85C" w14:textId="77777777" w:rsidR="00CC3538" w:rsidRPr="00CC3538" w:rsidRDefault="00CC3538" w:rsidP="00CC3538">
            <w:pPr>
              <w:widowControl w:val="0"/>
              <w:suppressAutoHyphens/>
              <w:spacing w:after="0" w:line="240" w:lineRule="auto"/>
              <w:jc w:val="center"/>
              <w:rPr>
                <w:rFonts w:ascii="Arial" w:hAnsi="Arial" w:cs="Arial"/>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tcPr>
          <w:p w14:paraId="6E8913A9"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r>
      <w:tr w:rsidR="00CC3538" w:rsidRPr="00CC3538" w14:paraId="55E633A3" w14:textId="77777777" w:rsidTr="00CE76B6">
        <w:trPr>
          <w:trHeight w:val="102"/>
          <w:jc w:val="center"/>
        </w:trPr>
        <w:tc>
          <w:tcPr>
            <w:tcW w:w="3309" w:type="dxa"/>
            <w:tcBorders>
              <w:top w:val="single" w:sz="3" w:space="0" w:color="000001"/>
              <w:left w:val="single" w:sz="3" w:space="0" w:color="000001"/>
              <w:bottom w:val="single" w:sz="3" w:space="0" w:color="000001"/>
            </w:tcBorders>
            <w:shd w:val="clear" w:color="auto" w:fill="auto"/>
            <w:vAlign w:val="center"/>
          </w:tcPr>
          <w:p w14:paraId="5217309B" w14:textId="77777777" w:rsidR="00CC3538" w:rsidRPr="00CC3538" w:rsidRDefault="00CC3538" w:rsidP="00CC3538">
            <w:pPr>
              <w:spacing w:after="0"/>
              <w:rPr>
                <w:rFonts w:ascii="Arial" w:hAnsi="Arial" w:cs="Arial"/>
                <w:sz w:val="20"/>
                <w:szCs w:val="20"/>
                <w:lang w:val="ro-RO"/>
              </w:rPr>
            </w:pPr>
            <w:r w:rsidRPr="00CC3538">
              <w:rPr>
                <w:rFonts w:ascii="Arial" w:hAnsi="Arial" w:cs="Arial"/>
                <w:color w:val="000000"/>
                <w:sz w:val="20"/>
                <w:szCs w:val="20"/>
                <w:lang w:val="ro-RO"/>
              </w:rPr>
              <w:t>Emisii HV (kg)</w:t>
            </w:r>
          </w:p>
        </w:tc>
        <w:tc>
          <w:tcPr>
            <w:tcW w:w="1149" w:type="dxa"/>
            <w:tcBorders>
              <w:top w:val="single" w:sz="3" w:space="0" w:color="000001"/>
              <w:left w:val="single" w:sz="3" w:space="0" w:color="000001"/>
              <w:bottom w:val="single" w:sz="3" w:space="0" w:color="000001"/>
            </w:tcBorders>
            <w:shd w:val="clear" w:color="auto" w:fill="auto"/>
            <w:vAlign w:val="center"/>
          </w:tcPr>
          <w:p w14:paraId="5EB09574"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31,64</w:t>
            </w:r>
          </w:p>
        </w:tc>
        <w:tc>
          <w:tcPr>
            <w:tcW w:w="1149" w:type="dxa"/>
            <w:tcBorders>
              <w:top w:val="single" w:sz="3" w:space="0" w:color="000001"/>
              <w:left w:val="single" w:sz="3" w:space="0" w:color="000001"/>
              <w:bottom w:val="single" w:sz="3" w:space="0" w:color="000001"/>
              <w:right w:val="single" w:sz="3" w:space="0" w:color="000001"/>
            </w:tcBorders>
            <w:vAlign w:val="center"/>
          </w:tcPr>
          <w:p w14:paraId="3762799A"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31,64</w:t>
            </w:r>
          </w:p>
        </w:tc>
        <w:tc>
          <w:tcPr>
            <w:tcW w:w="1149" w:type="dxa"/>
            <w:tcBorders>
              <w:top w:val="single" w:sz="3" w:space="0" w:color="000001"/>
              <w:left w:val="single" w:sz="3" w:space="0" w:color="000001"/>
              <w:bottom w:val="single" w:sz="3" w:space="0" w:color="000001"/>
              <w:right w:val="single" w:sz="3" w:space="0" w:color="000001"/>
            </w:tcBorders>
            <w:shd w:val="clear" w:color="auto" w:fill="auto"/>
            <w:vAlign w:val="center"/>
          </w:tcPr>
          <w:p w14:paraId="57DFE974"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34,80</w:t>
            </w:r>
          </w:p>
        </w:tc>
        <w:tc>
          <w:tcPr>
            <w:tcW w:w="1149" w:type="dxa"/>
            <w:tcBorders>
              <w:top w:val="single" w:sz="3" w:space="0" w:color="000001"/>
              <w:left w:val="single" w:sz="3" w:space="0" w:color="000001"/>
              <w:bottom w:val="single" w:sz="3" w:space="0" w:color="000001"/>
              <w:right w:val="single" w:sz="4" w:space="0" w:color="auto"/>
            </w:tcBorders>
            <w:shd w:val="clear" w:color="auto" w:fill="D9D9D9"/>
            <w:vAlign w:val="center"/>
          </w:tcPr>
          <w:p w14:paraId="440BDF2E"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vAlign w:val="center"/>
          </w:tcPr>
          <w:p w14:paraId="167DD1F6" w14:textId="77777777" w:rsidR="00CC3538" w:rsidRPr="00CC3538" w:rsidRDefault="00CC3538" w:rsidP="00CC3538">
            <w:pPr>
              <w:widowControl w:val="0"/>
              <w:suppressAutoHyphens/>
              <w:spacing w:after="0" w:line="240" w:lineRule="auto"/>
              <w:jc w:val="center"/>
              <w:rPr>
                <w:rFonts w:ascii="Arial" w:hAnsi="Arial" w:cs="Arial"/>
                <w:kern w:val="1"/>
                <w:sz w:val="20"/>
                <w:szCs w:val="20"/>
                <w:lang w:val="ro-RO" w:eastAsia="hi-IN" w:bidi="hi-IN"/>
              </w:rPr>
            </w:pPr>
          </w:p>
        </w:tc>
        <w:tc>
          <w:tcPr>
            <w:tcW w:w="1149" w:type="dxa"/>
            <w:tcBorders>
              <w:top w:val="single" w:sz="4" w:space="0" w:color="auto"/>
              <w:left w:val="single" w:sz="4" w:space="0" w:color="auto"/>
              <w:bottom w:val="single" w:sz="4" w:space="0" w:color="auto"/>
              <w:right w:val="single" w:sz="4" w:space="0" w:color="auto"/>
            </w:tcBorders>
            <w:shd w:val="clear" w:color="auto" w:fill="D9D9D9"/>
          </w:tcPr>
          <w:p w14:paraId="73EC9392" w14:textId="77777777" w:rsidR="00CC3538" w:rsidRPr="00CC3538" w:rsidRDefault="00CC3538" w:rsidP="00CC3538">
            <w:pPr>
              <w:widowControl w:val="0"/>
              <w:suppressAutoHyphens/>
              <w:spacing w:after="0" w:line="240" w:lineRule="auto"/>
              <w:jc w:val="center"/>
              <w:rPr>
                <w:rFonts w:ascii="Arial" w:hAnsi="Arial" w:cs="Arial"/>
                <w:color w:val="000000"/>
                <w:kern w:val="1"/>
                <w:sz w:val="20"/>
                <w:szCs w:val="20"/>
                <w:lang w:val="ro-RO" w:eastAsia="hi-IN" w:bidi="hi-IN"/>
              </w:rPr>
            </w:pPr>
          </w:p>
        </w:tc>
      </w:tr>
    </w:tbl>
    <w:p w14:paraId="3BB599EE" w14:textId="77777777" w:rsidR="005D0927" w:rsidRDefault="005D0927" w:rsidP="005D0927">
      <w:pPr>
        <w:widowControl w:val="0"/>
        <w:suppressAutoHyphens/>
        <w:spacing w:after="0" w:line="240" w:lineRule="auto"/>
        <w:rPr>
          <w:rFonts w:ascii="Arial" w:hAnsi="Arial" w:cs="Mangal"/>
          <w:kern w:val="1"/>
          <w:sz w:val="20"/>
          <w:szCs w:val="24"/>
          <w:lang w:val="ro-RO" w:eastAsia="hi-IN" w:bidi="hi-IN"/>
        </w:rPr>
      </w:pPr>
    </w:p>
    <w:p w14:paraId="125BCEB1" w14:textId="77777777" w:rsidR="00C36A80" w:rsidRPr="005D0927" w:rsidRDefault="00C36A80" w:rsidP="005D0927">
      <w:pPr>
        <w:widowControl w:val="0"/>
        <w:suppressAutoHyphens/>
        <w:spacing w:after="0" w:line="240" w:lineRule="auto"/>
        <w:rPr>
          <w:rFonts w:ascii="Arial" w:hAnsi="Arial" w:cs="Mangal"/>
          <w:kern w:val="1"/>
          <w:sz w:val="20"/>
          <w:szCs w:val="24"/>
          <w:lang w:val="ro-RO" w:eastAsia="hi-IN" w:bidi="hi-IN"/>
        </w:rPr>
      </w:pPr>
    </w:p>
    <w:p w14:paraId="40DF12C8" w14:textId="77777777" w:rsidR="005D0927" w:rsidRPr="005D0927" w:rsidRDefault="005D0927" w:rsidP="005D0927">
      <w:pPr>
        <w:widowControl w:val="0"/>
        <w:suppressAutoHyphens/>
        <w:spacing w:after="0" w:line="240" w:lineRule="auto"/>
        <w:rPr>
          <w:rFonts w:ascii="Arial" w:hAnsi="Arial" w:cs="Mangal"/>
          <w:kern w:val="1"/>
          <w:sz w:val="20"/>
          <w:szCs w:val="24"/>
          <w:lang w:val="ro-RO" w:eastAsia="hi-IN" w:bidi="hi-IN"/>
        </w:rPr>
      </w:pPr>
    </w:p>
    <w:tbl>
      <w:tblPr>
        <w:tblW w:w="10293" w:type="dxa"/>
        <w:jc w:val="center"/>
        <w:tblLayout w:type="fixed"/>
        <w:tblCellMar>
          <w:left w:w="0" w:type="dxa"/>
          <w:right w:w="0" w:type="dxa"/>
        </w:tblCellMar>
        <w:tblLook w:val="0000" w:firstRow="0" w:lastRow="0" w:firstColumn="0" w:lastColumn="0" w:noHBand="0" w:noVBand="0"/>
      </w:tblPr>
      <w:tblGrid>
        <w:gridCol w:w="3309"/>
        <w:gridCol w:w="1164"/>
        <w:gridCol w:w="1164"/>
        <w:gridCol w:w="1164"/>
        <w:gridCol w:w="1164"/>
        <w:gridCol w:w="1164"/>
        <w:gridCol w:w="1164"/>
      </w:tblGrid>
      <w:tr w:rsidR="00CC3538" w:rsidRPr="00CC3538" w14:paraId="685F5F11" w14:textId="77777777" w:rsidTr="00CE76B6">
        <w:trPr>
          <w:trHeight w:val="542"/>
          <w:jc w:val="center"/>
        </w:trPr>
        <w:tc>
          <w:tcPr>
            <w:tcW w:w="3309" w:type="dxa"/>
            <w:vMerge w:val="restart"/>
            <w:tcBorders>
              <w:top w:val="single" w:sz="3" w:space="0" w:color="000001"/>
              <w:left w:val="single" w:sz="3" w:space="0" w:color="000001"/>
            </w:tcBorders>
            <w:shd w:val="clear" w:color="auto" w:fill="D9D9D9"/>
            <w:vAlign w:val="center"/>
          </w:tcPr>
          <w:p w14:paraId="089D3675"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lastRenderedPageBreak/>
              <w:t>Parametru</w:t>
            </w:r>
          </w:p>
        </w:tc>
        <w:tc>
          <w:tcPr>
            <w:tcW w:w="3492" w:type="dxa"/>
            <w:gridSpan w:val="3"/>
            <w:tcBorders>
              <w:top w:val="single" w:sz="3" w:space="0" w:color="000001"/>
              <w:left w:val="single" w:sz="3" w:space="0" w:color="000001"/>
              <w:bottom w:val="single" w:sz="3" w:space="0" w:color="000001"/>
              <w:right w:val="single" w:sz="4" w:space="0" w:color="auto"/>
            </w:tcBorders>
            <w:shd w:val="clear" w:color="auto" w:fill="D9D9D9"/>
            <w:vAlign w:val="center"/>
          </w:tcPr>
          <w:p w14:paraId="123ED0FE"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Scenariul 2</w:t>
            </w:r>
          </w:p>
        </w:tc>
        <w:tc>
          <w:tcPr>
            <w:tcW w:w="3492"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0EE45361"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Scenariul 3</w:t>
            </w:r>
          </w:p>
        </w:tc>
      </w:tr>
      <w:tr w:rsidR="00CC3538" w:rsidRPr="00CC3538" w14:paraId="5D4AB99A" w14:textId="77777777" w:rsidTr="00CE76B6">
        <w:trPr>
          <w:trHeight w:val="542"/>
          <w:jc w:val="center"/>
        </w:trPr>
        <w:tc>
          <w:tcPr>
            <w:tcW w:w="3309" w:type="dxa"/>
            <w:vMerge/>
            <w:tcBorders>
              <w:top w:val="single" w:sz="3" w:space="0" w:color="000001"/>
              <w:left w:val="single" w:sz="3" w:space="0" w:color="000001"/>
              <w:right w:val="single" w:sz="4" w:space="0" w:color="auto"/>
            </w:tcBorders>
            <w:shd w:val="clear" w:color="auto" w:fill="D9D9D9"/>
            <w:vAlign w:val="center"/>
          </w:tcPr>
          <w:p w14:paraId="2DCEFD2C"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p>
        </w:tc>
        <w:tc>
          <w:tcPr>
            <w:tcW w:w="6984"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78D34D55"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2035</w:t>
            </w:r>
          </w:p>
        </w:tc>
      </w:tr>
      <w:tr w:rsidR="00CC3538" w:rsidRPr="00CC3538" w14:paraId="0B238A0E" w14:textId="77777777" w:rsidTr="00CE76B6">
        <w:trPr>
          <w:trHeight w:val="542"/>
          <w:jc w:val="center"/>
        </w:trPr>
        <w:tc>
          <w:tcPr>
            <w:tcW w:w="3309" w:type="dxa"/>
            <w:vMerge/>
            <w:tcBorders>
              <w:left w:val="single" w:sz="3" w:space="0" w:color="000001"/>
              <w:bottom w:val="single" w:sz="3" w:space="0" w:color="000001"/>
            </w:tcBorders>
            <w:shd w:val="clear" w:color="auto" w:fill="D9D9D9"/>
            <w:vAlign w:val="center"/>
          </w:tcPr>
          <w:p w14:paraId="16BF2F60"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p>
        </w:tc>
        <w:tc>
          <w:tcPr>
            <w:tcW w:w="1164" w:type="dxa"/>
            <w:tcBorders>
              <w:top w:val="single" w:sz="3" w:space="0" w:color="000001"/>
              <w:left w:val="single" w:sz="3" w:space="0" w:color="000001"/>
              <w:bottom w:val="single" w:sz="3" w:space="0" w:color="000001"/>
            </w:tcBorders>
            <w:shd w:val="clear" w:color="auto" w:fill="D9D9D9"/>
            <w:vAlign w:val="center"/>
          </w:tcPr>
          <w:p w14:paraId="3F8934F7"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AM</w:t>
            </w:r>
          </w:p>
        </w:tc>
        <w:tc>
          <w:tcPr>
            <w:tcW w:w="1164"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0DC1BF53"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PM</w:t>
            </w:r>
          </w:p>
        </w:tc>
        <w:tc>
          <w:tcPr>
            <w:tcW w:w="1164" w:type="dxa"/>
            <w:tcBorders>
              <w:top w:val="single" w:sz="3" w:space="0" w:color="000001"/>
              <w:left w:val="single" w:sz="3" w:space="0" w:color="000001"/>
              <w:bottom w:val="single" w:sz="3" w:space="0" w:color="000001"/>
              <w:right w:val="single" w:sz="4" w:space="0" w:color="auto"/>
            </w:tcBorders>
            <w:shd w:val="clear" w:color="auto" w:fill="D9D9D9"/>
            <w:vAlign w:val="center"/>
          </w:tcPr>
          <w:p w14:paraId="5CD59397"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24 h</w:t>
            </w:r>
          </w:p>
        </w:tc>
        <w:tc>
          <w:tcPr>
            <w:tcW w:w="1164" w:type="dxa"/>
            <w:tcBorders>
              <w:top w:val="single" w:sz="4" w:space="0" w:color="auto"/>
              <w:left w:val="single" w:sz="4" w:space="0" w:color="auto"/>
              <w:bottom w:val="single" w:sz="4" w:space="0" w:color="auto"/>
              <w:right w:val="single" w:sz="4" w:space="0" w:color="auto"/>
            </w:tcBorders>
            <w:shd w:val="clear" w:color="auto" w:fill="D9D9D9"/>
            <w:vAlign w:val="center"/>
          </w:tcPr>
          <w:p w14:paraId="088BE9CA"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AM</w:t>
            </w:r>
          </w:p>
        </w:tc>
        <w:tc>
          <w:tcPr>
            <w:tcW w:w="1164" w:type="dxa"/>
            <w:tcBorders>
              <w:top w:val="single" w:sz="4" w:space="0" w:color="auto"/>
              <w:left w:val="single" w:sz="4" w:space="0" w:color="auto"/>
              <w:bottom w:val="single" w:sz="4" w:space="0" w:color="auto"/>
              <w:right w:val="single" w:sz="4" w:space="0" w:color="auto"/>
            </w:tcBorders>
            <w:shd w:val="clear" w:color="auto" w:fill="D9D9D9"/>
            <w:vAlign w:val="center"/>
          </w:tcPr>
          <w:p w14:paraId="7A94AD5E"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PM</w:t>
            </w:r>
          </w:p>
        </w:tc>
        <w:tc>
          <w:tcPr>
            <w:tcW w:w="1164" w:type="dxa"/>
            <w:tcBorders>
              <w:top w:val="single" w:sz="4" w:space="0" w:color="auto"/>
              <w:left w:val="single" w:sz="4" w:space="0" w:color="auto"/>
              <w:bottom w:val="single" w:sz="4" w:space="0" w:color="auto"/>
              <w:right w:val="single" w:sz="4" w:space="0" w:color="auto"/>
            </w:tcBorders>
            <w:shd w:val="clear" w:color="auto" w:fill="D9D9D9"/>
            <w:vAlign w:val="center"/>
          </w:tcPr>
          <w:p w14:paraId="34CBD7D3" w14:textId="77777777" w:rsidR="00CC3538" w:rsidRPr="00CC3538" w:rsidRDefault="00CC3538" w:rsidP="00CC3538">
            <w:pPr>
              <w:widowControl w:val="0"/>
              <w:suppressAutoHyphens/>
              <w:spacing w:after="0" w:line="360" w:lineRule="auto"/>
              <w:jc w:val="center"/>
              <w:rPr>
                <w:rFonts w:ascii="Arial" w:hAnsi="Arial" w:cs="Arial"/>
                <w:b/>
                <w:kern w:val="1"/>
                <w:sz w:val="20"/>
                <w:szCs w:val="20"/>
                <w:lang w:val="ro-RO" w:eastAsia="hi-IN" w:bidi="hi-IN"/>
              </w:rPr>
            </w:pPr>
            <w:r w:rsidRPr="00CC3538">
              <w:rPr>
                <w:rFonts w:ascii="Arial" w:hAnsi="Arial" w:cs="Arial"/>
                <w:b/>
                <w:kern w:val="1"/>
                <w:sz w:val="20"/>
                <w:szCs w:val="20"/>
                <w:lang w:val="ro-RO" w:eastAsia="hi-IN" w:bidi="hi-IN"/>
              </w:rPr>
              <w:t>24 h</w:t>
            </w:r>
          </w:p>
        </w:tc>
      </w:tr>
      <w:tr w:rsidR="00CC3538" w:rsidRPr="00CC3538" w14:paraId="4757FF0C" w14:textId="77777777" w:rsidTr="00CE76B6">
        <w:trPr>
          <w:trHeight w:val="53"/>
          <w:jc w:val="center"/>
        </w:trPr>
        <w:tc>
          <w:tcPr>
            <w:tcW w:w="3309" w:type="dxa"/>
            <w:tcBorders>
              <w:top w:val="single" w:sz="3" w:space="0" w:color="000001"/>
              <w:left w:val="single" w:sz="3" w:space="0" w:color="000001"/>
              <w:bottom w:val="single" w:sz="3" w:space="0" w:color="000001"/>
            </w:tcBorders>
            <w:shd w:val="clear" w:color="auto" w:fill="auto"/>
            <w:vAlign w:val="center"/>
          </w:tcPr>
          <w:p w14:paraId="6D73EABD" w14:textId="77777777" w:rsidR="00CC3538" w:rsidRPr="00CC3538" w:rsidRDefault="00CC3538" w:rsidP="00CC3538">
            <w:pPr>
              <w:spacing w:after="0"/>
              <w:rPr>
                <w:rFonts w:ascii="Arial" w:hAnsi="Arial" w:cs="Arial"/>
                <w:sz w:val="20"/>
                <w:szCs w:val="20"/>
                <w:lang w:val="ro-RO"/>
              </w:rPr>
            </w:pPr>
            <w:r w:rsidRPr="00CC3538">
              <w:rPr>
                <w:rFonts w:ascii="Arial" w:hAnsi="Arial" w:cs="Arial"/>
                <w:color w:val="000000"/>
                <w:sz w:val="20"/>
                <w:szCs w:val="20"/>
                <w:lang w:val="ro-RO"/>
              </w:rPr>
              <w:t>Emisii CO</w:t>
            </w:r>
            <w:r w:rsidRPr="00CC3538">
              <w:rPr>
                <w:rFonts w:ascii="Arial" w:hAnsi="Arial" w:cs="Arial"/>
                <w:color w:val="000000"/>
                <w:sz w:val="20"/>
                <w:szCs w:val="20"/>
                <w:vertAlign w:val="subscript"/>
                <w:lang w:val="ro-RO"/>
              </w:rPr>
              <w:t>2</w:t>
            </w:r>
            <w:r w:rsidRPr="00CC3538">
              <w:rPr>
                <w:rFonts w:ascii="Arial" w:hAnsi="Arial" w:cs="Arial"/>
                <w:color w:val="000000"/>
                <w:sz w:val="20"/>
                <w:szCs w:val="20"/>
                <w:lang w:val="ro-RO"/>
              </w:rPr>
              <w:t xml:space="preserve"> (kg)</w:t>
            </w:r>
          </w:p>
        </w:tc>
        <w:tc>
          <w:tcPr>
            <w:tcW w:w="1164" w:type="dxa"/>
            <w:tcBorders>
              <w:top w:val="single" w:sz="3" w:space="0" w:color="000001"/>
              <w:left w:val="single" w:sz="3" w:space="0" w:color="000001"/>
              <w:bottom w:val="single" w:sz="3" w:space="0" w:color="000001"/>
            </w:tcBorders>
            <w:shd w:val="clear" w:color="auto" w:fill="auto"/>
            <w:vAlign w:val="center"/>
          </w:tcPr>
          <w:p w14:paraId="1301429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31,29</w:t>
            </w:r>
          </w:p>
        </w:tc>
        <w:tc>
          <w:tcPr>
            <w:tcW w:w="1164" w:type="dxa"/>
            <w:tcBorders>
              <w:top w:val="single" w:sz="3" w:space="0" w:color="000001"/>
              <w:left w:val="single" w:sz="3" w:space="0" w:color="000001"/>
              <w:bottom w:val="single" w:sz="3" w:space="0" w:color="000001"/>
              <w:right w:val="single" w:sz="3" w:space="0" w:color="000001"/>
            </w:tcBorders>
            <w:vAlign w:val="center"/>
          </w:tcPr>
          <w:p w14:paraId="3264139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31,92</w:t>
            </w:r>
          </w:p>
        </w:tc>
        <w:tc>
          <w:tcPr>
            <w:tcW w:w="1164" w:type="dxa"/>
            <w:tcBorders>
              <w:top w:val="single" w:sz="3" w:space="0" w:color="000001"/>
              <w:left w:val="single" w:sz="3" w:space="0" w:color="000001"/>
              <w:bottom w:val="single" w:sz="3" w:space="0" w:color="000001"/>
              <w:right w:val="single" w:sz="4" w:space="0" w:color="auto"/>
            </w:tcBorders>
            <w:shd w:val="clear" w:color="auto" w:fill="auto"/>
            <w:vAlign w:val="center"/>
          </w:tcPr>
          <w:p w14:paraId="445049F1"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34,77</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5731845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31,30</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21AE8C4B"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31,78</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4048E3CD"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34,69</w:t>
            </w:r>
          </w:p>
        </w:tc>
      </w:tr>
      <w:tr w:rsidR="00CC3538" w:rsidRPr="00CC3538" w14:paraId="775D256E" w14:textId="77777777" w:rsidTr="00CE76B6">
        <w:trPr>
          <w:trHeight w:val="53"/>
          <w:jc w:val="center"/>
        </w:trPr>
        <w:tc>
          <w:tcPr>
            <w:tcW w:w="3309" w:type="dxa"/>
            <w:tcBorders>
              <w:top w:val="single" w:sz="3" w:space="0" w:color="000001"/>
              <w:left w:val="single" w:sz="3" w:space="0" w:color="000001"/>
              <w:bottom w:val="single" w:sz="3" w:space="0" w:color="000001"/>
            </w:tcBorders>
            <w:shd w:val="clear" w:color="auto" w:fill="auto"/>
            <w:vAlign w:val="center"/>
          </w:tcPr>
          <w:p w14:paraId="15E04574" w14:textId="77777777" w:rsidR="00CC3538" w:rsidRPr="00CC3538" w:rsidRDefault="00CC3538" w:rsidP="00CC3538">
            <w:pPr>
              <w:spacing w:after="0"/>
              <w:rPr>
                <w:rFonts w:ascii="Arial" w:hAnsi="Arial" w:cs="Arial"/>
                <w:sz w:val="20"/>
                <w:szCs w:val="20"/>
                <w:lang w:val="ro-RO"/>
              </w:rPr>
            </w:pPr>
            <w:r w:rsidRPr="00CC3538">
              <w:rPr>
                <w:rFonts w:ascii="Arial" w:hAnsi="Arial" w:cs="Arial"/>
                <w:color w:val="000000"/>
                <w:sz w:val="20"/>
                <w:szCs w:val="20"/>
                <w:lang w:val="ro-RO"/>
              </w:rPr>
              <w:t>Emisii NO</w:t>
            </w:r>
            <w:r w:rsidRPr="00CC3538">
              <w:rPr>
                <w:rFonts w:ascii="Arial" w:hAnsi="Arial" w:cs="Arial"/>
                <w:color w:val="000000"/>
                <w:sz w:val="20"/>
                <w:szCs w:val="20"/>
                <w:vertAlign w:val="subscript"/>
                <w:lang w:val="ro-RO"/>
              </w:rPr>
              <w:t>x</w:t>
            </w:r>
            <w:r w:rsidRPr="00CC3538">
              <w:rPr>
                <w:rFonts w:ascii="Arial" w:hAnsi="Arial" w:cs="Arial"/>
                <w:color w:val="000000"/>
                <w:sz w:val="20"/>
                <w:szCs w:val="20"/>
                <w:lang w:val="ro-RO"/>
              </w:rPr>
              <w:t xml:space="preserve"> (kg)</w:t>
            </w:r>
          </w:p>
        </w:tc>
        <w:tc>
          <w:tcPr>
            <w:tcW w:w="1164" w:type="dxa"/>
            <w:tcBorders>
              <w:top w:val="single" w:sz="3" w:space="0" w:color="000001"/>
              <w:left w:val="single" w:sz="3" w:space="0" w:color="000001"/>
              <w:bottom w:val="single" w:sz="3" w:space="0" w:color="000001"/>
            </w:tcBorders>
            <w:shd w:val="clear" w:color="auto" w:fill="auto"/>
            <w:vAlign w:val="center"/>
          </w:tcPr>
          <w:p w14:paraId="57D541AA"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39,70</w:t>
            </w:r>
          </w:p>
        </w:tc>
        <w:tc>
          <w:tcPr>
            <w:tcW w:w="1164" w:type="dxa"/>
            <w:tcBorders>
              <w:top w:val="single" w:sz="3" w:space="0" w:color="000001"/>
              <w:left w:val="single" w:sz="3" w:space="0" w:color="000001"/>
              <w:bottom w:val="single" w:sz="3" w:space="0" w:color="000001"/>
              <w:right w:val="single" w:sz="3" w:space="0" w:color="000001"/>
            </w:tcBorders>
            <w:vAlign w:val="center"/>
          </w:tcPr>
          <w:p w14:paraId="2B44FE63"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37,78</w:t>
            </w:r>
          </w:p>
        </w:tc>
        <w:tc>
          <w:tcPr>
            <w:tcW w:w="1164" w:type="dxa"/>
            <w:tcBorders>
              <w:top w:val="single" w:sz="3" w:space="0" w:color="000001"/>
              <w:left w:val="single" w:sz="3" w:space="0" w:color="000001"/>
              <w:bottom w:val="single" w:sz="3" w:space="0" w:color="000001"/>
              <w:right w:val="single" w:sz="4" w:space="0" w:color="auto"/>
            </w:tcBorders>
            <w:shd w:val="clear" w:color="auto" w:fill="auto"/>
            <w:vAlign w:val="center"/>
          </w:tcPr>
          <w:p w14:paraId="10DFD776"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19,85</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765985E2"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39,67</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63721BE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37,98</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2BA51681"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19,84</w:t>
            </w:r>
          </w:p>
        </w:tc>
      </w:tr>
      <w:tr w:rsidR="00CC3538" w:rsidRPr="00CC3538" w14:paraId="37237F56" w14:textId="77777777" w:rsidTr="00CE76B6">
        <w:trPr>
          <w:trHeight w:val="102"/>
          <w:jc w:val="center"/>
        </w:trPr>
        <w:tc>
          <w:tcPr>
            <w:tcW w:w="3309" w:type="dxa"/>
            <w:tcBorders>
              <w:top w:val="single" w:sz="3" w:space="0" w:color="000001"/>
              <w:left w:val="single" w:sz="3" w:space="0" w:color="000001"/>
              <w:bottom w:val="single" w:sz="3" w:space="0" w:color="000001"/>
            </w:tcBorders>
            <w:shd w:val="clear" w:color="auto" w:fill="auto"/>
            <w:vAlign w:val="center"/>
          </w:tcPr>
          <w:p w14:paraId="4B71F39B" w14:textId="77777777" w:rsidR="00CC3538" w:rsidRPr="00CC3538" w:rsidRDefault="00CC3538" w:rsidP="00CC3538">
            <w:pPr>
              <w:spacing w:after="0"/>
              <w:rPr>
                <w:rFonts w:ascii="Arial" w:hAnsi="Arial" w:cs="Arial"/>
                <w:sz w:val="20"/>
                <w:szCs w:val="20"/>
                <w:lang w:val="ro-RO"/>
              </w:rPr>
            </w:pPr>
            <w:r w:rsidRPr="00CC3538">
              <w:rPr>
                <w:rFonts w:ascii="Arial" w:hAnsi="Arial" w:cs="Arial"/>
                <w:color w:val="000000"/>
                <w:sz w:val="20"/>
                <w:szCs w:val="20"/>
                <w:lang w:val="ro-RO"/>
              </w:rPr>
              <w:t>Emisii PM (kg)</w:t>
            </w:r>
          </w:p>
        </w:tc>
        <w:tc>
          <w:tcPr>
            <w:tcW w:w="1164" w:type="dxa"/>
            <w:tcBorders>
              <w:top w:val="single" w:sz="3" w:space="0" w:color="000001"/>
              <w:left w:val="single" w:sz="3" w:space="0" w:color="000001"/>
              <w:bottom w:val="single" w:sz="3" w:space="0" w:color="000001"/>
            </w:tcBorders>
            <w:shd w:val="clear" w:color="auto" w:fill="auto"/>
            <w:vAlign w:val="center"/>
          </w:tcPr>
          <w:p w14:paraId="6D9B6AE1"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533,76</w:t>
            </w:r>
          </w:p>
        </w:tc>
        <w:tc>
          <w:tcPr>
            <w:tcW w:w="1164" w:type="dxa"/>
            <w:tcBorders>
              <w:top w:val="single" w:sz="3" w:space="0" w:color="000001"/>
              <w:left w:val="single" w:sz="3" w:space="0" w:color="000001"/>
              <w:bottom w:val="single" w:sz="3" w:space="0" w:color="000001"/>
              <w:right w:val="single" w:sz="3" w:space="0" w:color="000001"/>
            </w:tcBorders>
            <w:vAlign w:val="center"/>
          </w:tcPr>
          <w:p w14:paraId="7E603751"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533,76</w:t>
            </w:r>
          </w:p>
        </w:tc>
        <w:tc>
          <w:tcPr>
            <w:tcW w:w="1164" w:type="dxa"/>
            <w:tcBorders>
              <w:top w:val="single" w:sz="3" w:space="0" w:color="000001"/>
              <w:left w:val="single" w:sz="3" w:space="0" w:color="000001"/>
              <w:bottom w:val="single" w:sz="3" w:space="0" w:color="000001"/>
              <w:right w:val="single" w:sz="4" w:space="0" w:color="auto"/>
            </w:tcBorders>
            <w:shd w:val="clear" w:color="auto" w:fill="auto"/>
            <w:vAlign w:val="center"/>
          </w:tcPr>
          <w:p w14:paraId="4C3708C0"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6405,08</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76577DFF"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513,34</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15898E1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570,80</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591C8B94"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6504,87</w:t>
            </w:r>
          </w:p>
        </w:tc>
      </w:tr>
      <w:tr w:rsidR="00CC3538" w:rsidRPr="00CC3538" w14:paraId="6AA52183" w14:textId="77777777" w:rsidTr="00CE76B6">
        <w:trPr>
          <w:trHeight w:val="102"/>
          <w:jc w:val="center"/>
        </w:trPr>
        <w:tc>
          <w:tcPr>
            <w:tcW w:w="3309" w:type="dxa"/>
            <w:tcBorders>
              <w:top w:val="single" w:sz="3" w:space="0" w:color="000001"/>
              <w:left w:val="single" w:sz="3" w:space="0" w:color="000001"/>
              <w:bottom w:val="single" w:sz="3" w:space="0" w:color="000001"/>
            </w:tcBorders>
            <w:shd w:val="clear" w:color="auto" w:fill="auto"/>
            <w:vAlign w:val="center"/>
          </w:tcPr>
          <w:p w14:paraId="67D8E686" w14:textId="77777777" w:rsidR="00CC3538" w:rsidRPr="00CC3538" w:rsidRDefault="00CC3538" w:rsidP="00CC3538">
            <w:pPr>
              <w:spacing w:after="0"/>
              <w:rPr>
                <w:rFonts w:ascii="Arial" w:hAnsi="Arial" w:cs="Arial"/>
                <w:sz w:val="20"/>
                <w:szCs w:val="20"/>
                <w:lang w:val="ro-RO"/>
              </w:rPr>
            </w:pPr>
            <w:r w:rsidRPr="00CC3538">
              <w:rPr>
                <w:rFonts w:ascii="Arial" w:hAnsi="Arial" w:cs="Arial"/>
                <w:color w:val="000000"/>
                <w:sz w:val="20"/>
                <w:szCs w:val="20"/>
                <w:lang w:val="ro-RO"/>
              </w:rPr>
              <w:t>Emisii HV (kg)</w:t>
            </w:r>
          </w:p>
        </w:tc>
        <w:tc>
          <w:tcPr>
            <w:tcW w:w="1164" w:type="dxa"/>
            <w:tcBorders>
              <w:top w:val="single" w:sz="3" w:space="0" w:color="000001"/>
              <w:left w:val="single" w:sz="3" w:space="0" w:color="000001"/>
              <w:bottom w:val="single" w:sz="3" w:space="0" w:color="000001"/>
            </w:tcBorders>
            <w:shd w:val="clear" w:color="auto" w:fill="auto"/>
            <w:vAlign w:val="center"/>
          </w:tcPr>
          <w:p w14:paraId="07108C2F"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31,29</w:t>
            </w:r>
          </w:p>
        </w:tc>
        <w:tc>
          <w:tcPr>
            <w:tcW w:w="1164" w:type="dxa"/>
            <w:tcBorders>
              <w:top w:val="single" w:sz="3" w:space="0" w:color="000001"/>
              <w:left w:val="single" w:sz="3" w:space="0" w:color="000001"/>
              <w:bottom w:val="single" w:sz="3" w:space="0" w:color="000001"/>
              <w:right w:val="single" w:sz="3" w:space="0" w:color="000001"/>
            </w:tcBorders>
            <w:vAlign w:val="center"/>
          </w:tcPr>
          <w:p w14:paraId="20DE90F6"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31,92</w:t>
            </w:r>
          </w:p>
        </w:tc>
        <w:tc>
          <w:tcPr>
            <w:tcW w:w="1164" w:type="dxa"/>
            <w:tcBorders>
              <w:top w:val="single" w:sz="3" w:space="0" w:color="000001"/>
              <w:left w:val="single" w:sz="3" w:space="0" w:color="000001"/>
              <w:bottom w:val="single" w:sz="3" w:space="0" w:color="000001"/>
              <w:right w:val="single" w:sz="4" w:space="0" w:color="auto"/>
            </w:tcBorders>
            <w:shd w:val="clear" w:color="auto" w:fill="auto"/>
            <w:vAlign w:val="center"/>
          </w:tcPr>
          <w:p w14:paraId="156BF573"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sz w:val="20"/>
                <w:szCs w:val="20"/>
              </w:rPr>
              <w:t>34,77</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69B40C93"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31,30</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3B534E67"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31,78</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05F38795" w14:textId="77777777" w:rsidR="00CC3538" w:rsidRPr="00CC3538" w:rsidRDefault="00CC3538" w:rsidP="00CC3538">
            <w:pPr>
              <w:spacing w:after="0"/>
              <w:jc w:val="center"/>
              <w:rPr>
                <w:rFonts w:ascii="Arial" w:hAnsi="Arial" w:cs="Arial"/>
                <w:sz w:val="20"/>
                <w:szCs w:val="20"/>
                <w:highlight w:val="red"/>
                <w:lang w:val="ro-RO"/>
              </w:rPr>
            </w:pPr>
            <w:r w:rsidRPr="00CC3538">
              <w:rPr>
                <w:rFonts w:ascii="Arial" w:hAnsi="Arial" w:cs="Arial"/>
                <w:color w:val="000000"/>
              </w:rPr>
              <w:t>34,69</w:t>
            </w:r>
          </w:p>
        </w:tc>
      </w:tr>
    </w:tbl>
    <w:p w14:paraId="48E05BE5" w14:textId="77777777" w:rsidR="005D0927" w:rsidRPr="005D0927" w:rsidRDefault="005D0927" w:rsidP="005D0927">
      <w:pPr>
        <w:widowControl w:val="0"/>
        <w:suppressAutoHyphens/>
        <w:spacing w:after="0" w:line="360" w:lineRule="auto"/>
        <w:rPr>
          <w:rFonts w:ascii="Arial" w:eastAsia="Arial" w:hAnsi="Arial" w:cs="Arial"/>
          <w:b/>
          <w:bCs/>
          <w:kern w:val="1"/>
          <w:sz w:val="24"/>
          <w:szCs w:val="24"/>
          <w:lang w:val="ro-RO" w:eastAsia="hi-IN" w:bidi="hi-IN"/>
        </w:rPr>
      </w:pPr>
    </w:p>
    <w:p w14:paraId="73499CA2" w14:textId="77777777" w:rsidR="005D0927" w:rsidRPr="005D0927" w:rsidRDefault="005D0927" w:rsidP="005D0927">
      <w:pPr>
        <w:widowControl w:val="0"/>
        <w:suppressAutoHyphens/>
        <w:spacing w:after="0" w:line="360" w:lineRule="auto"/>
        <w:rPr>
          <w:rFonts w:ascii="Arial" w:eastAsia="Arial" w:hAnsi="Arial" w:cs="Arial"/>
          <w:b/>
          <w:bCs/>
          <w:kern w:val="1"/>
          <w:sz w:val="24"/>
          <w:szCs w:val="24"/>
          <w:lang w:val="ro-RO" w:eastAsia="hi-IN" w:bidi="hi-IN"/>
        </w:rPr>
      </w:pPr>
    </w:p>
    <w:p w14:paraId="3EBF8CFE" w14:textId="77777777" w:rsidR="0021475C" w:rsidRPr="00C60706" w:rsidRDefault="0021475C" w:rsidP="00C60706">
      <w:pPr>
        <w:pStyle w:val="Titlu3"/>
        <w:rPr>
          <w:rFonts w:ascii="Arial" w:hAnsi="Arial" w:cs="Arial"/>
          <w:i/>
          <w:sz w:val="24"/>
          <w:szCs w:val="24"/>
          <w:lang w:val="ro-RO"/>
        </w:rPr>
      </w:pPr>
      <w:bookmarkStart w:id="549" w:name="_Toc142039115"/>
      <w:r w:rsidRPr="00C60706">
        <w:rPr>
          <w:rFonts w:ascii="Arial" w:eastAsia="Arial" w:hAnsi="Arial" w:cs="Arial"/>
          <w:sz w:val="24"/>
          <w:szCs w:val="24"/>
          <w:lang w:val="ro-RO"/>
        </w:rPr>
        <w:t xml:space="preserve">I.7.2.3 </w:t>
      </w:r>
      <w:r w:rsidRPr="00C60706">
        <w:rPr>
          <w:rFonts w:ascii="Arial" w:hAnsi="Arial" w:cs="Arial"/>
          <w:sz w:val="24"/>
          <w:szCs w:val="24"/>
          <w:lang w:val="ro-RO"/>
        </w:rPr>
        <w:t>Evaluarea strategica de mediu</w:t>
      </w:r>
      <w:bookmarkEnd w:id="549"/>
    </w:p>
    <w:p w14:paraId="5590BBB2"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b/>
          <w:i/>
          <w:kern w:val="1"/>
          <w:lang w:val="es-ES" w:eastAsia="hi-IN" w:bidi="hi-IN"/>
        </w:rPr>
        <w:t>Pentru PLANUL propus, urmează etapa de încadrare în procedura evaluării de mediu:</w:t>
      </w:r>
    </w:p>
    <w:p w14:paraId="2C7D8A2F"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672B03D7"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b/>
          <w:i/>
          <w:kern w:val="1"/>
          <w:lang w:val="es-ES" w:eastAsia="hi-IN" w:bidi="hi-IN"/>
        </w:rPr>
        <w:t>Evaluarea Strategica de Mediu/EVALUARE DE MEDIU PENTRU PLANURI ȘI PROGRAME</w:t>
      </w:r>
      <w:r w:rsidRPr="00DC6A92">
        <w:rPr>
          <w:rFonts w:ascii="Arial" w:hAnsi="Arial" w:cs="Arial"/>
          <w:kern w:val="1"/>
          <w:lang w:val="es-ES" w:eastAsia="hi-IN" w:bidi="hi-IN"/>
        </w:rPr>
        <w:t xml:space="preserve"> (în legislatia europeana conceptul se numeste Evaluare Strategica de Mediu/ESM, iar în România a fost preluat ca Evaluare de mediu pentru planuri și programe) reprezinta un concept / instrument preluat în legislatia romaneasca prin transpunerea Directivei 2001/42/EC (SEA Directive). </w:t>
      </w:r>
    </w:p>
    <w:p w14:paraId="783F35FB"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2C06C716"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SEA/ESM este asociată cu sisteme complexe de evaluare, funcție de obiectivele sale. </w:t>
      </w:r>
    </w:p>
    <w:p w14:paraId="1B1055DC"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5CBA9B9B"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Avizul de mediu este actul de reglementare emis de autoritatea competenta pentru protecţia mediului pentru planuri şi programe (PP). </w:t>
      </w:r>
    </w:p>
    <w:p w14:paraId="7DF07C78"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0DE40EC5"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Procedura privind evaluarea de mediu se realizează în etape, după cum urmează: </w:t>
      </w:r>
    </w:p>
    <w:p w14:paraId="011742C2" w14:textId="77777777" w:rsidR="00DC6A92" w:rsidRPr="00DC6A92" w:rsidRDefault="00DC6A92" w:rsidP="00DC6A92">
      <w:pPr>
        <w:widowControl w:val="0"/>
        <w:suppressAutoHyphens/>
        <w:spacing w:after="0" w:line="276" w:lineRule="auto"/>
        <w:jc w:val="both"/>
        <w:rPr>
          <w:rFonts w:ascii="Arial" w:hAnsi="Arial" w:cs="Arial"/>
          <w:b/>
          <w:kern w:val="1"/>
          <w:lang w:val="es-ES" w:eastAsia="hi-IN" w:bidi="hi-IN"/>
        </w:rPr>
      </w:pPr>
      <w:r w:rsidRPr="00DC6A92">
        <w:rPr>
          <w:rFonts w:ascii="Arial" w:hAnsi="Arial" w:cs="Arial"/>
          <w:b/>
          <w:kern w:val="1"/>
          <w:lang w:val="es-ES" w:eastAsia="hi-IN" w:bidi="hi-IN"/>
        </w:rPr>
        <w:t xml:space="preserve">1) Etapa de încadrare a planului sau programului în procedura evaluării de mediu; </w:t>
      </w:r>
    </w:p>
    <w:p w14:paraId="7468BFE0"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2) Etapa de definitivare a proiectului de plan sau de program şi de realizare a raportului de mediu; </w:t>
      </w:r>
    </w:p>
    <w:p w14:paraId="7195E571"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3) Etapa de analiză a calităţii raportului de mediu.</w:t>
      </w:r>
    </w:p>
    <w:p w14:paraId="1E90092D"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16BCD732"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b/>
          <w:i/>
          <w:kern w:val="1"/>
          <w:lang w:val="es-ES" w:eastAsia="hi-IN" w:bidi="hi-IN"/>
        </w:rPr>
        <w:t>1. Etapa de încadrare a planului sau programului în procedura evaluării de mediu:</w:t>
      </w:r>
    </w:p>
    <w:p w14:paraId="65985674"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Titularul PP este obligat să notifice în scris autoritatea competenta pentru protecţia mediului şi să informeze publicul asupra iniţierii procesului de elaborare a PP, precum şi să pună la dispoziţia autorităţii competente pentru protecţia mediului şi publicului, pentru consultare, prima versiune a PP. </w:t>
      </w:r>
    </w:p>
    <w:p w14:paraId="2039904F"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5B61FD51"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Titularul PP publica în mass-media de două ori, la interval de 3 zile calendaristice, şi anunţă pe propria pagină de Internet elaborarea primei versiuni a PP, natura acestuia, declanşarea etapei de încadrare, locul şi orarul consultării primei versiuni a PP şi posibilitatea de a trimite în scris comentarii şi sugestii la sediul autorităţii competente pentru protecţia mediului, în termen de 15 </w:t>
      </w:r>
      <w:r w:rsidRPr="00DC6A92">
        <w:rPr>
          <w:rFonts w:ascii="Arial" w:hAnsi="Arial" w:cs="Arial"/>
          <w:kern w:val="1"/>
          <w:lang w:val="es-ES" w:eastAsia="hi-IN" w:bidi="hi-IN"/>
        </w:rPr>
        <w:lastRenderedPageBreak/>
        <w:t xml:space="preserve">zile calendaristice de la data ultimului anunţ. </w:t>
      </w:r>
    </w:p>
    <w:p w14:paraId="593FE55D"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034F11EE"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Pentru PP cu efecte semnificative asupra mediului, în termen de 10 zile calendaristice de la data primirii primei versiuni a PP, autoritatea competenta pentru protecţia mediului transmite în scris titularului PP obligativitatea efectuării evaluării de mediu. </w:t>
      </w:r>
    </w:p>
    <w:p w14:paraId="0B6F9594"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52CA187F"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Etapa de încadrare se realizează cu consultarea titularului PP, a autorităţii de sănătate publica şi a autorităţilor interesate de efectele implementării PP, în cadrul unui comitet special constituit. </w:t>
      </w:r>
    </w:p>
    <w:p w14:paraId="2E1AA6C8"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4F7D0B5D"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Titularul PP este obligat să pună la dispoziţia comitetului special constituit, spre consultare, prima versiune a PLANULUI.</w:t>
      </w:r>
    </w:p>
    <w:p w14:paraId="0B29DE48"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60412E6C"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La realizarea încadrării se ţine cont de comentariile şi propunerile primite din partea publicului şi autoritatea competenta pentru protecţia mediului ia decizia de încadrare pe baza consultărilor realizate în cadrul comitetului, în termen de 25 de zile calendaristice de la primirea notificării. </w:t>
      </w:r>
    </w:p>
    <w:p w14:paraId="3F9EBCE7"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47C1B153"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Autorităţile competente pentru protecţia mediului aduc la cunoştinţa publicului decizia motivată a etapei de încadrare, prin publicare pe pagina proprie de Internet, în termen de 3 zile calendaristice de la luarea deciziei. Decizia se publica în mass-media de către titular. </w:t>
      </w:r>
    </w:p>
    <w:p w14:paraId="6CBC9AF6"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1A91B918"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În etapa de încadrare autoritatea competenta pentru protecţia mediului anunţă pe propria pagină de internet decizia privind această etapă şi posibilitatea publicului de a face propuneri de reconsiderare a acesteia în scris, în termen de 10 zile calendaristice de la data anunţului, la sediul autorităţii competente pentru protecţia mediului. </w:t>
      </w:r>
    </w:p>
    <w:p w14:paraId="63768C95"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55FC192D"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Pe baza propunerilor justificate ale publicului autoritatea competenta pentru protecţia mediului poate reconsidera decizia privind etapa de încadrare, în cadrul consultărilor desfăşurate în comitetul special constituit, în termen de 15 zile calendaristice de la data expirării termenului prevăzut mai sus. </w:t>
      </w:r>
    </w:p>
    <w:p w14:paraId="435EC683"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25F27066"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Decizia finală, motivată, se aduce la cunoştinţă publicului în termen de 3 zile calendaristice, prin afişare pe pagina proprie de Internet. Decizia finală se publica în mass-media de către titular. </w:t>
      </w:r>
    </w:p>
    <w:p w14:paraId="60CEC69B"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77A60212"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În cazul planurilor sau proiectelor care se supun evaluării de mediu ori evaluării impactului asupra mediului, evaluarea adecvată a efectelor potenţiale asupra ariei naturale protejate este parte integrantă din acestea. </w:t>
      </w:r>
    </w:p>
    <w:p w14:paraId="36AA5D9B" w14:textId="77777777" w:rsidR="004F5666" w:rsidRPr="00C60706" w:rsidRDefault="004F5666" w:rsidP="00C60706">
      <w:pPr>
        <w:spacing w:line="276" w:lineRule="auto"/>
        <w:rPr>
          <w:lang w:val="it-IT" w:eastAsia="ro-RO"/>
        </w:rPr>
      </w:pPr>
    </w:p>
    <w:p w14:paraId="40D5E0E5" w14:textId="77777777" w:rsidR="00D70AEA" w:rsidRPr="0078369A" w:rsidRDefault="00D70AEA" w:rsidP="00C60706">
      <w:pPr>
        <w:pStyle w:val="Titlu2"/>
        <w:spacing w:line="276" w:lineRule="auto"/>
        <w:rPr>
          <w:rFonts w:ascii="Arial" w:eastAsia="Times New Roman" w:hAnsi="Arial" w:cs="Arial"/>
          <w:b/>
          <w:color w:val="auto"/>
          <w:sz w:val="22"/>
          <w:szCs w:val="22"/>
          <w:lang w:val="it-IT" w:eastAsia="ro-RO"/>
        </w:rPr>
      </w:pPr>
      <w:bookmarkStart w:id="550" w:name="_Toc61264923"/>
      <w:bookmarkStart w:id="551" w:name="_Toc142039116"/>
      <w:r w:rsidRPr="0078369A">
        <w:rPr>
          <w:rFonts w:ascii="Arial" w:eastAsia="Times New Roman" w:hAnsi="Arial" w:cs="Arial"/>
          <w:b/>
          <w:color w:val="auto"/>
          <w:sz w:val="22"/>
          <w:szCs w:val="22"/>
          <w:lang w:val="it-IT" w:eastAsia="ro-RO"/>
        </w:rPr>
        <w:t>I.7.3</w:t>
      </w:r>
      <w:r w:rsidRPr="0078369A">
        <w:rPr>
          <w:rFonts w:ascii="Arial" w:eastAsia="Times New Roman" w:hAnsi="Arial" w:cs="Arial"/>
          <w:b/>
          <w:color w:val="auto"/>
          <w:sz w:val="22"/>
          <w:szCs w:val="22"/>
          <w:lang w:val="it-IT" w:eastAsia="ro-RO"/>
        </w:rPr>
        <w:tab/>
        <w:t>Accesibilitate</w:t>
      </w:r>
      <w:bookmarkEnd w:id="550"/>
      <w:bookmarkEnd w:id="551"/>
    </w:p>
    <w:p w14:paraId="68218602"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Scopul principal al unui plan de mobilitate urbanǎ este de a asigura accesul tuturor locuitorilor la destinațiile de interes (locuri de muncǎ, educație, divertisment, comerciale etc.).</w:t>
      </w:r>
    </w:p>
    <w:p w14:paraId="691EEC3E"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6259E77B"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 xml:space="preserve">Prin mǎsurile cuprinse ȋn scenariile 2 și 3 se urmǎrește promovarea modurilor de transport alternative (mersul cu bicicleta si pe jos), precum si a transportului public și atragerea unui </w:t>
      </w:r>
      <w:r w:rsidRPr="00DC6A92">
        <w:rPr>
          <w:rFonts w:ascii="Arial" w:hAnsi="Arial" w:cs="Arial"/>
          <w:kern w:val="1"/>
          <w:lang w:val="es-ES" w:eastAsia="hi-IN" w:bidi="hi-IN"/>
        </w:rPr>
        <w:lastRenderedPageBreak/>
        <w:t>numǎr tot mai mare de cǎlǎtori, ȋn special prin descurajarea deplasǎrilor cu autovehiculul personal.</w:t>
      </w:r>
    </w:p>
    <w:p w14:paraId="2E12352C" w14:textId="77777777" w:rsidR="00DC6A92" w:rsidRPr="00DC6A92" w:rsidRDefault="00DC6A92" w:rsidP="00DC6A92">
      <w:pPr>
        <w:widowControl w:val="0"/>
        <w:suppressAutoHyphens/>
        <w:spacing w:after="0" w:line="276" w:lineRule="auto"/>
        <w:jc w:val="both"/>
        <w:rPr>
          <w:rFonts w:ascii="Arial" w:hAnsi="Arial" w:cs="Arial"/>
          <w:kern w:val="1"/>
          <w:lang w:val="es-ES" w:eastAsia="hi-IN" w:bidi="hi-IN"/>
        </w:rPr>
      </w:pPr>
    </w:p>
    <w:p w14:paraId="0B8EAA83" w14:textId="77777777" w:rsidR="00DC6A92" w:rsidRPr="00DC6A92" w:rsidRDefault="00DC6A92" w:rsidP="00DC6A92">
      <w:pPr>
        <w:widowControl w:val="0"/>
        <w:suppressAutoHyphens/>
        <w:spacing w:after="0" w:line="276" w:lineRule="auto"/>
        <w:rPr>
          <w:rFonts w:ascii="Arial" w:hAnsi="Arial" w:cs="Mangal"/>
          <w:b/>
          <w:kern w:val="1"/>
          <w:lang w:val="ro-RO" w:eastAsia="hi-IN" w:bidi="hi-IN"/>
        </w:rPr>
      </w:pPr>
      <w:r w:rsidRPr="00DC6A92">
        <w:rPr>
          <w:rFonts w:ascii="Arial" w:hAnsi="Arial" w:cs="Mangal"/>
          <w:b/>
          <w:kern w:val="1"/>
          <w:lang w:val="ro-RO" w:eastAsia="hi-IN" w:bidi="hi-IN"/>
        </w:rPr>
        <w:t>Distribuția modală a călătoriilor orizont 2027</w:t>
      </w:r>
    </w:p>
    <w:p w14:paraId="7B3008AD"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r w:rsidRPr="00DC6A92">
        <w:rPr>
          <w:rFonts w:ascii="Arial" w:hAnsi="Arial" w:cs="Arial"/>
          <w:kern w:val="1"/>
          <w:lang w:val="ro-RO" w:eastAsia="hi-IN" w:bidi="hi-IN"/>
        </w:rPr>
        <w:t>Din prelucrarea indicatorilor socio-economici descriși anterior, au rezultat următoarele distribuții modale pentru anul 2027, prezentate mai jos pe scenariile 1 și 2:</w:t>
      </w:r>
    </w:p>
    <w:p w14:paraId="7CC9D1AD" w14:textId="77777777" w:rsidR="00DC6A92" w:rsidRPr="00DC6A92" w:rsidRDefault="00DC6A92" w:rsidP="00DC6A92">
      <w:pPr>
        <w:widowControl w:val="0"/>
        <w:suppressAutoHyphens/>
        <w:spacing w:after="0" w:line="276" w:lineRule="auto"/>
        <w:jc w:val="both"/>
        <w:rPr>
          <w:rFonts w:ascii="Arial" w:hAnsi="Arial" w:cs="Arial"/>
          <w:b/>
          <w:i/>
          <w:kern w:val="1"/>
          <w:lang w:val="ro-RO" w:eastAsia="hi-IN" w:bidi="hi-IN"/>
        </w:rPr>
      </w:pPr>
    </w:p>
    <w:p w14:paraId="657DCB5D" w14:textId="4E786DB5" w:rsidR="00DC6A92" w:rsidRPr="00DC6A92" w:rsidRDefault="00CC3538" w:rsidP="00DC6A92">
      <w:pPr>
        <w:widowControl w:val="0"/>
        <w:suppressAutoHyphens/>
        <w:spacing w:after="0" w:line="360" w:lineRule="auto"/>
        <w:jc w:val="center"/>
        <w:rPr>
          <w:rFonts w:ascii="Arial" w:hAnsi="Arial" w:cs="Arial"/>
          <w:kern w:val="1"/>
          <w:sz w:val="24"/>
          <w:szCs w:val="24"/>
          <w:lang w:val="ro-RO" w:eastAsia="hi-IN" w:bidi="hi-IN"/>
        </w:rPr>
      </w:pPr>
      <w:r>
        <w:rPr>
          <w:noProof/>
        </w:rPr>
        <w:drawing>
          <wp:inline distT="0" distB="0" distL="0" distR="0" wp14:anchorId="7D159D87" wp14:editId="41495002">
            <wp:extent cx="5135563" cy="2684463"/>
            <wp:effectExtent l="0" t="0" r="8255" b="1905"/>
            <wp:docPr id="89" name="Chart 89">
              <a:extLst xmlns:a="http://schemas.openxmlformats.org/drawingml/2006/main">
                <a:ext uri="{FF2B5EF4-FFF2-40B4-BE49-F238E27FC236}">
                  <a16:creationId xmlns:a16="http://schemas.microsoft.com/office/drawing/2014/main" id="{C1B70429-4BE7-4784-BBC3-F06005319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2"/>
              </a:graphicData>
            </a:graphic>
          </wp:inline>
        </w:drawing>
      </w:r>
    </w:p>
    <w:p w14:paraId="25EF8FD2" w14:textId="039081B8" w:rsidR="00DC6A92" w:rsidRPr="00CC3538" w:rsidRDefault="005C29DA" w:rsidP="005C29DA">
      <w:pPr>
        <w:pStyle w:val="Legend"/>
        <w:jc w:val="center"/>
        <w:rPr>
          <w:rFonts w:ascii="Arial" w:hAnsi="Arial" w:cs="Arial"/>
          <w:i w:val="0"/>
          <w:iCs w:val="0"/>
          <w:color w:val="1F497D"/>
          <w:kern w:val="1"/>
          <w:sz w:val="22"/>
          <w:szCs w:val="22"/>
          <w:lang w:val="ro-RO" w:eastAsia="hi-IN" w:bidi="hi-IN"/>
        </w:rPr>
      </w:pPr>
      <w:bookmarkStart w:id="552" w:name="_Toc68361055"/>
      <w:bookmarkStart w:id="553" w:name="_Toc140744547"/>
      <w:r w:rsidRPr="005C29DA">
        <w:rPr>
          <w:rFonts w:ascii="Arial" w:hAnsi="Arial" w:cs="Arial"/>
          <w:sz w:val="22"/>
          <w:szCs w:val="22"/>
        </w:rPr>
        <w:t xml:space="preserve">Figura I.7. </w:t>
      </w:r>
      <w:r w:rsidRPr="005C29DA">
        <w:rPr>
          <w:rFonts w:ascii="Arial" w:hAnsi="Arial" w:cs="Arial"/>
          <w:sz w:val="22"/>
          <w:szCs w:val="22"/>
        </w:rPr>
        <w:fldChar w:fldCharType="begin"/>
      </w:r>
      <w:r w:rsidRPr="005C29DA">
        <w:rPr>
          <w:rFonts w:ascii="Arial" w:hAnsi="Arial" w:cs="Arial"/>
          <w:sz w:val="22"/>
          <w:szCs w:val="22"/>
        </w:rPr>
        <w:instrText xml:space="preserve"> SEQ Figura_I.7. \* ARABIC </w:instrText>
      </w:r>
      <w:r w:rsidRPr="005C29DA">
        <w:rPr>
          <w:rFonts w:ascii="Arial" w:hAnsi="Arial" w:cs="Arial"/>
          <w:sz w:val="22"/>
          <w:szCs w:val="22"/>
        </w:rPr>
        <w:fldChar w:fldCharType="separate"/>
      </w:r>
      <w:r w:rsidR="00BB181C">
        <w:rPr>
          <w:rFonts w:ascii="Arial" w:hAnsi="Arial" w:cs="Arial"/>
          <w:noProof/>
          <w:sz w:val="22"/>
          <w:szCs w:val="22"/>
        </w:rPr>
        <w:t>22</w:t>
      </w:r>
      <w:r w:rsidRPr="005C29DA">
        <w:rPr>
          <w:rFonts w:ascii="Arial" w:hAnsi="Arial" w:cs="Arial"/>
          <w:sz w:val="22"/>
          <w:szCs w:val="22"/>
        </w:rPr>
        <w:fldChar w:fldCharType="end"/>
      </w:r>
      <w:r w:rsidRPr="005C29DA">
        <w:rPr>
          <w:rFonts w:ascii="Arial" w:hAnsi="Arial" w:cs="Arial"/>
          <w:sz w:val="22"/>
          <w:szCs w:val="22"/>
        </w:rPr>
        <w:t xml:space="preserve"> </w:t>
      </w:r>
      <w:r w:rsidR="00DC6A92" w:rsidRPr="00CC3538">
        <w:rPr>
          <w:rFonts w:ascii="Arial" w:hAnsi="Arial" w:cs="Arial"/>
          <w:i w:val="0"/>
          <w:iCs w:val="0"/>
          <w:color w:val="1F497D"/>
          <w:sz w:val="22"/>
          <w:szCs w:val="22"/>
        </w:rPr>
        <w:t>– Distribuția modală a deplasărilor 2027 S1</w:t>
      </w:r>
      <w:bookmarkEnd w:id="552"/>
      <w:bookmarkEnd w:id="553"/>
    </w:p>
    <w:p w14:paraId="726D2761" w14:textId="3BDC312F" w:rsidR="00DC6A92" w:rsidRPr="00DC6A92" w:rsidRDefault="00FB373E" w:rsidP="00DC6A92">
      <w:pPr>
        <w:widowControl w:val="0"/>
        <w:suppressAutoHyphens/>
        <w:spacing w:after="0" w:line="360" w:lineRule="auto"/>
        <w:jc w:val="center"/>
        <w:rPr>
          <w:rFonts w:ascii="Arial" w:hAnsi="Arial" w:cs="Arial"/>
          <w:kern w:val="1"/>
          <w:highlight w:val="yellow"/>
          <w:lang w:val="ro-RO" w:eastAsia="hi-IN" w:bidi="hi-IN"/>
        </w:rPr>
      </w:pPr>
      <w:r>
        <w:rPr>
          <w:noProof/>
        </w:rPr>
        <w:drawing>
          <wp:inline distT="0" distB="0" distL="0" distR="0" wp14:anchorId="09579C0A" wp14:editId="0109D572">
            <wp:extent cx="4437858" cy="2724944"/>
            <wp:effectExtent l="0" t="0" r="1270" b="18415"/>
            <wp:docPr id="90" name="Chart 90">
              <a:extLst xmlns:a="http://schemas.openxmlformats.org/drawingml/2006/main">
                <a:ext uri="{FF2B5EF4-FFF2-40B4-BE49-F238E27FC236}">
                  <a16:creationId xmlns:a16="http://schemas.microsoft.com/office/drawing/2014/main" id="{573339E0-B4C4-4513-B3C4-267CFB0A90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p w14:paraId="608CA800" w14:textId="68B20AAC" w:rsidR="00DC6A92" w:rsidRPr="00FB373E" w:rsidRDefault="005C29DA" w:rsidP="005C29DA">
      <w:pPr>
        <w:pStyle w:val="Legend"/>
        <w:jc w:val="center"/>
        <w:rPr>
          <w:rFonts w:ascii="Arial" w:hAnsi="Arial" w:cs="Arial"/>
          <w:i w:val="0"/>
          <w:iCs w:val="0"/>
          <w:color w:val="1F497D"/>
          <w:kern w:val="1"/>
          <w:sz w:val="22"/>
          <w:szCs w:val="22"/>
          <w:lang w:val="ro-RO" w:eastAsia="hi-IN" w:bidi="hi-IN"/>
        </w:rPr>
      </w:pPr>
      <w:bookmarkStart w:id="554" w:name="_Toc68361056"/>
      <w:bookmarkStart w:id="555" w:name="_Toc140744548"/>
      <w:r w:rsidRPr="005C29DA">
        <w:rPr>
          <w:rFonts w:ascii="Arial" w:hAnsi="Arial" w:cs="Arial"/>
          <w:sz w:val="22"/>
          <w:szCs w:val="22"/>
        </w:rPr>
        <w:t xml:space="preserve">Figura I.7. </w:t>
      </w:r>
      <w:r w:rsidRPr="00FB373E">
        <w:rPr>
          <w:rFonts w:ascii="Arial" w:hAnsi="Arial" w:cs="Arial"/>
          <w:sz w:val="22"/>
          <w:szCs w:val="22"/>
        </w:rPr>
        <w:fldChar w:fldCharType="begin"/>
      </w:r>
      <w:r w:rsidRPr="00FB373E">
        <w:rPr>
          <w:rFonts w:ascii="Arial" w:hAnsi="Arial" w:cs="Arial"/>
          <w:sz w:val="22"/>
          <w:szCs w:val="22"/>
        </w:rPr>
        <w:instrText xml:space="preserve"> SEQ Figura_I.7. \* ARABIC </w:instrText>
      </w:r>
      <w:r w:rsidRPr="00FB373E">
        <w:rPr>
          <w:rFonts w:ascii="Arial" w:hAnsi="Arial" w:cs="Arial"/>
          <w:sz w:val="22"/>
          <w:szCs w:val="22"/>
        </w:rPr>
        <w:fldChar w:fldCharType="separate"/>
      </w:r>
      <w:r w:rsidR="00BB181C">
        <w:rPr>
          <w:rFonts w:ascii="Arial" w:hAnsi="Arial" w:cs="Arial"/>
          <w:noProof/>
          <w:sz w:val="22"/>
          <w:szCs w:val="22"/>
        </w:rPr>
        <w:t>23</w:t>
      </w:r>
      <w:r w:rsidRPr="00FB373E">
        <w:rPr>
          <w:rFonts w:ascii="Arial" w:hAnsi="Arial" w:cs="Arial"/>
          <w:sz w:val="22"/>
          <w:szCs w:val="22"/>
        </w:rPr>
        <w:fldChar w:fldCharType="end"/>
      </w:r>
      <w:r w:rsidRPr="00FB373E">
        <w:rPr>
          <w:rFonts w:ascii="Arial" w:hAnsi="Arial" w:cs="Arial"/>
          <w:sz w:val="22"/>
          <w:szCs w:val="22"/>
        </w:rPr>
        <w:t xml:space="preserve"> </w:t>
      </w:r>
      <w:r w:rsidR="00DC6A92" w:rsidRPr="00FB373E">
        <w:rPr>
          <w:rFonts w:ascii="Arial" w:hAnsi="Arial" w:cs="Arial"/>
          <w:i w:val="0"/>
          <w:iCs w:val="0"/>
          <w:color w:val="1F497D"/>
          <w:sz w:val="22"/>
          <w:szCs w:val="22"/>
        </w:rPr>
        <w:t>– Distribuția modală a deplasărilor 2027 S2</w:t>
      </w:r>
      <w:bookmarkEnd w:id="554"/>
      <w:bookmarkEnd w:id="555"/>
    </w:p>
    <w:p w14:paraId="0F15FA45" w14:textId="77777777" w:rsidR="00DC6A92" w:rsidRPr="00DC6A92" w:rsidRDefault="00DC6A92" w:rsidP="00DC6A92">
      <w:pPr>
        <w:widowControl w:val="0"/>
        <w:suppressAutoHyphens/>
        <w:spacing w:after="0" w:line="360" w:lineRule="auto"/>
        <w:jc w:val="both"/>
        <w:rPr>
          <w:rFonts w:ascii="Arial" w:hAnsi="Arial" w:cs="Arial"/>
          <w:kern w:val="1"/>
          <w:highlight w:val="yellow"/>
          <w:lang w:val="ro-RO" w:eastAsia="hi-IN" w:bidi="hi-IN"/>
        </w:rPr>
      </w:pPr>
    </w:p>
    <w:p w14:paraId="64E97A9E" w14:textId="77777777" w:rsidR="00FB373E" w:rsidRPr="00FB373E" w:rsidRDefault="00FB373E" w:rsidP="00FB373E">
      <w:pPr>
        <w:spacing w:after="0" w:line="276" w:lineRule="auto"/>
        <w:jc w:val="both"/>
        <w:rPr>
          <w:rFonts w:ascii="Arial" w:hAnsi="Arial" w:cs="Arial"/>
          <w:lang w:val="ro-RO"/>
        </w:rPr>
      </w:pPr>
      <w:bookmarkStart w:id="556" w:name="_Toc461777870"/>
      <w:r w:rsidRPr="00FB373E">
        <w:rPr>
          <w:rFonts w:ascii="Arial" w:hAnsi="Arial" w:cs="Arial"/>
          <w:lang w:val="ro-RO"/>
        </w:rPr>
        <w:lastRenderedPageBreak/>
        <w:t>Se constatǎ o crestere de 1,30% a deplasărilor pietonale și de 1% a celor cu bicicleta în detrimentul deplasărilor cu autovehiculul personal în cadrul scenariului 2 în raport cu scenariul 1. Suplimentar a fost introdus transportul public local si acesta are o cota de 18,7%.</w:t>
      </w:r>
    </w:p>
    <w:p w14:paraId="6C11EBBE" w14:textId="77777777" w:rsidR="00FB373E" w:rsidRPr="00FB373E" w:rsidRDefault="00FB373E" w:rsidP="00FB373E">
      <w:pPr>
        <w:widowControl w:val="0"/>
        <w:suppressAutoHyphens/>
        <w:spacing w:after="0" w:line="240" w:lineRule="auto"/>
        <w:rPr>
          <w:rFonts w:ascii="Arial" w:hAnsi="Arial" w:cs="Mangal"/>
          <w:kern w:val="1"/>
          <w:sz w:val="20"/>
          <w:szCs w:val="24"/>
          <w:lang w:val="ro-RO" w:eastAsia="hi-IN" w:bidi="hi-IN"/>
        </w:rPr>
      </w:pPr>
    </w:p>
    <w:p w14:paraId="068DCAE4" w14:textId="77777777" w:rsidR="00FB373E" w:rsidRPr="00FB373E" w:rsidRDefault="00FB373E" w:rsidP="00FB373E">
      <w:pPr>
        <w:widowControl w:val="0"/>
        <w:suppressAutoHyphens/>
        <w:spacing w:after="0" w:line="240" w:lineRule="auto"/>
        <w:rPr>
          <w:rFonts w:ascii="Arial" w:hAnsi="Arial" w:cs="Mangal"/>
          <w:kern w:val="1"/>
          <w:sz w:val="20"/>
          <w:szCs w:val="24"/>
          <w:lang w:val="ro-RO" w:eastAsia="hi-IN" w:bidi="hi-IN"/>
        </w:rPr>
      </w:pPr>
    </w:p>
    <w:p w14:paraId="2FD8E04A" w14:textId="77777777" w:rsidR="00DC6A92" w:rsidRPr="00DC6A92" w:rsidRDefault="00DC6A92" w:rsidP="00DC6A92">
      <w:pPr>
        <w:widowControl w:val="0"/>
        <w:suppressAutoHyphens/>
        <w:spacing w:after="0" w:line="276" w:lineRule="auto"/>
        <w:rPr>
          <w:rFonts w:ascii="Arial" w:hAnsi="Arial" w:cs="Mangal"/>
          <w:b/>
          <w:i/>
          <w:kern w:val="1"/>
          <w:lang w:val="ro-RO" w:eastAsia="hi-IN" w:bidi="hi-IN"/>
        </w:rPr>
      </w:pPr>
      <w:r w:rsidRPr="00DC6A92">
        <w:rPr>
          <w:rFonts w:ascii="Arial" w:hAnsi="Arial" w:cs="Mangal"/>
          <w:b/>
          <w:kern w:val="1"/>
          <w:lang w:val="ro-RO" w:eastAsia="hi-IN" w:bidi="hi-IN"/>
        </w:rPr>
        <w:t>Distribuția modală a călătoriilor orizont 203</w:t>
      </w:r>
      <w:bookmarkEnd w:id="556"/>
      <w:r w:rsidRPr="00DC6A92">
        <w:rPr>
          <w:rFonts w:ascii="Arial" w:hAnsi="Arial" w:cs="Mangal"/>
          <w:b/>
          <w:kern w:val="1"/>
          <w:lang w:val="ro-RO" w:eastAsia="hi-IN" w:bidi="hi-IN"/>
        </w:rPr>
        <w:t>5</w:t>
      </w:r>
    </w:p>
    <w:p w14:paraId="2E214C87"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r w:rsidRPr="00DC6A92">
        <w:rPr>
          <w:rFonts w:ascii="Arial" w:hAnsi="Arial" w:cs="Arial"/>
          <w:kern w:val="1"/>
          <w:lang w:val="ro-RO" w:eastAsia="hi-IN" w:bidi="hi-IN"/>
        </w:rPr>
        <w:t>Din prelucrarea indicatorilor socio-economici descriși anterior, au rezultat următoarele distribuții modale pentru anul 2035, prezentate mai jos pe scenariile 1, 2 și 3:</w:t>
      </w:r>
    </w:p>
    <w:p w14:paraId="4E81A21F"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p>
    <w:p w14:paraId="5E355940" w14:textId="443E4A4E" w:rsidR="00DC6A92" w:rsidRPr="00DC6A92" w:rsidRDefault="00FB373E" w:rsidP="00DC6A92">
      <w:pPr>
        <w:widowControl w:val="0"/>
        <w:suppressAutoHyphens/>
        <w:spacing w:after="0" w:line="276" w:lineRule="auto"/>
        <w:jc w:val="center"/>
        <w:rPr>
          <w:rFonts w:ascii="Arial" w:hAnsi="Arial" w:cs="Arial"/>
          <w:kern w:val="1"/>
          <w:highlight w:val="yellow"/>
          <w:lang w:val="ro-RO" w:eastAsia="hi-IN" w:bidi="hi-IN"/>
        </w:rPr>
      </w:pPr>
      <w:r>
        <w:rPr>
          <w:noProof/>
        </w:rPr>
        <w:drawing>
          <wp:inline distT="0" distB="0" distL="0" distR="0" wp14:anchorId="24B56702" wp14:editId="5E3D74F1">
            <wp:extent cx="5187949" cy="2755106"/>
            <wp:effectExtent l="0" t="0" r="13335" b="7620"/>
            <wp:docPr id="2082" name="Chart 2082">
              <a:extLst xmlns:a="http://schemas.openxmlformats.org/drawingml/2006/main">
                <a:ext uri="{FF2B5EF4-FFF2-40B4-BE49-F238E27FC236}">
                  <a16:creationId xmlns:a16="http://schemas.microsoft.com/office/drawing/2014/main" id="{753EC961-BD55-47CE-AEBF-D2C8446F82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p w14:paraId="3FADCBDC" w14:textId="7F6F3000" w:rsidR="00DC6A92" w:rsidRPr="00FB373E" w:rsidRDefault="005C29DA" w:rsidP="005C29DA">
      <w:pPr>
        <w:pStyle w:val="Legend"/>
        <w:jc w:val="center"/>
        <w:rPr>
          <w:rFonts w:ascii="Arial" w:hAnsi="Arial" w:cs="Arial"/>
          <w:i w:val="0"/>
          <w:iCs w:val="0"/>
          <w:color w:val="1F497D"/>
          <w:kern w:val="1"/>
          <w:sz w:val="22"/>
          <w:szCs w:val="22"/>
          <w:lang w:val="ro-RO" w:eastAsia="hi-IN" w:bidi="hi-IN"/>
        </w:rPr>
      </w:pPr>
      <w:bookmarkStart w:id="557" w:name="_Toc68361057"/>
      <w:bookmarkStart w:id="558" w:name="_Toc140744549"/>
      <w:r w:rsidRPr="005C29DA">
        <w:rPr>
          <w:rFonts w:ascii="Arial" w:hAnsi="Arial" w:cs="Arial"/>
          <w:sz w:val="22"/>
          <w:szCs w:val="22"/>
        </w:rPr>
        <w:t xml:space="preserve">Figura I.7. </w:t>
      </w:r>
      <w:r w:rsidRPr="005C29DA">
        <w:rPr>
          <w:rFonts w:ascii="Arial" w:hAnsi="Arial" w:cs="Arial"/>
          <w:sz w:val="22"/>
          <w:szCs w:val="22"/>
        </w:rPr>
        <w:fldChar w:fldCharType="begin"/>
      </w:r>
      <w:r w:rsidRPr="005C29DA">
        <w:rPr>
          <w:rFonts w:ascii="Arial" w:hAnsi="Arial" w:cs="Arial"/>
          <w:sz w:val="22"/>
          <w:szCs w:val="22"/>
        </w:rPr>
        <w:instrText xml:space="preserve"> SEQ Figura_I.7. \* ARABIC </w:instrText>
      </w:r>
      <w:r w:rsidRPr="005C29DA">
        <w:rPr>
          <w:rFonts w:ascii="Arial" w:hAnsi="Arial" w:cs="Arial"/>
          <w:sz w:val="22"/>
          <w:szCs w:val="22"/>
        </w:rPr>
        <w:fldChar w:fldCharType="separate"/>
      </w:r>
      <w:r w:rsidR="00BB181C">
        <w:rPr>
          <w:rFonts w:ascii="Arial" w:hAnsi="Arial" w:cs="Arial"/>
          <w:noProof/>
          <w:sz w:val="22"/>
          <w:szCs w:val="22"/>
        </w:rPr>
        <w:t>24</w:t>
      </w:r>
      <w:r w:rsidRPr="005C29DA">
        <w:rPr>
          <w:rFonts w:ascii="Arial" w:hAnsi="Arial" w:cs="Arial"/>
          <w:sz w:val="22"/>
          <w:szCs w:val="22"/>
        </w:rPr>
        <w:fldChar w:fldCharType="end"/>
      </w:r>
      <w:r w:rsidRPr="005C29DA">
        <w:rPr>
          <w:rFonts w:ascii="Arial" w:hAnsi="Arial" w:cs="Arial"/>
          <w:sz w:val="22"/>
          <w:szCs w:val="22"/>
        </w:rPr>
        <w:t xml:space="preserve"> </w:t>
      </w:r>
      <w:r w:rsidR="00DC6A92" w:rsidRPr="00FB373E">
        <w:rPr>
          <w:rFonts w:ascii="Arial" w:hAnsi="Arial" w:cs="Arial"/>
          <w:i w:val="0"/>
          <w:iCs w:val="0"/>
          <w:color w:val="1F497D"/>
          <w:sz w:val="22"/>
          <w:szCs w:val="22"/>
        </w:rPr>
        <w:t>– Distribuția modală a deplasărilor 2035 S1</w:t>
      </w:r>
      <w:bookmarkEnd w:id="557"/>
      <w:bookmarkEnd w:id="558"/>
    </w:p>
    <w:p w14:paraId="09728813" w14:textId="2574E2B2" w:rsidR="00DC6A92" w:rsidRPr="00DC6A92" w:rsidRDefault="00FB373E" w:rsidP="00DC6A92">
      <w:pPr>
        <w:widowControl w:val="0"/>
        <w:suppressAutoHyphens/>
        <w:spacing w:after="0" w:line="276" w:lineRule="auto"/>
        <w:jc w:val="center"/>
        <w:rPr>
          <w:rFonts w:ascii="Arial" w:hAnsi="Arial" w:cs="Arial"/>
          <w:kern w:val="1"/>
          <w:highlight w:val="yellow"/>
          <w:lang w:val="ro-RO" w:eastAsia="hi-IN" w:bidi="hi-IN"/>
        </w:rPr>
      </w:pPr>
      <w:r>
        <w:rPr>
          <w:noProof/>
        </w:rPr>
        <w:drawing>
          <wp:inline distT="0" distB="0" distL="0" distR="0" wp14:anchorId="102993D8" wp14:editId="26197C65">
            <wp:extent cx="4418805" cy="2748756"/>
            <wp:effectExtent l="0" t="0" r="1270" b="13970"/>
            <wp:docPr id="2083" name="Chart 2083">
              <a:extLst xmlns:a="http://schemas.openxmlformats.org/drawingml/2006/main">
                <a:ext uri="{FF2B5EF4-FFF2-40B4-BE49-F238E27FC236}">
                  <a16:creationId xmlns:a16="http://schemas.microsoft.com/office/drawing/2014/main" id="{85414CB1-4FDC-4FA9-8A28-72FD307513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p>
    <w:p w14:paraId="09DAE984" w14:textId="57566DF8" w:rsidR="00DC6A92" w:rsidRPr="00FB373E" w:rsidRDefault="005C29DA" w:rsidP="00746D20">
      <w:pPr>
        <w:pStyle w:val="Legend"/>
        <w:jc w:val="center"/>
        <w:rPr>
          <w:rFonts w:ascii="Arial" w:hAnsi="Arial" w:cs="Arial"/>
          <w:i w:val="0"/>
          <w:iCs w:val="0"/>
          <w:color w:val="1F497D"/>
          <w:kern w:val="1"/>
          <w:sz w:val="22"/>
          <w:szCs w:val="22"/>
          <w:lang w:val="ro-RO" w:eastAsia="hi-IN" w:bidi="hi-IN"/>
        </w:rPr>
      </w:pPr>
      <w:bookmarkStart w:id="559" w:name="_Toc68361058"/>
      <w:bookmarkStart w:id="560" w:name="_Toc140744550"/>
      <w:r w:rsidRPr="00746D20">
        <w:rPr>
          <w:rFonts w:ascii="Arial" w:hAnsi="Arial" w:cs="Arial"/>
          <w:sz w:val="22"/>
          <w:szCs w:val="22"/>
        </w:rPr>
        <w:t xml:space="preserve">Figura I.7. </w:t>
      </w:r>
      <w:r w:rsidRPr="00746D20">
        <w:rPr>
          <w:rFonts w:ascii="Arial" w:hAnsi="Arial" w:cs="Arial"/>
          <w:sz w:val="22"/>
          <w:szCs w:val="22"/>
        </w:rPr>
        <w:fldChar w:fldCharType="begin"/>
      </w:r>
      <w:r w:rsidRPr="00746D20">
        <w:rPr>
          <w:rFonts w:ascii="Arial" w:hAnsi="Arial" w:cs="Arial"/>
          <w:sz w:val="22"/>
          <w:szCs w:val="22"/>
        </w:rPr>
        <w:instrText xml:space="preserve"> SEQ Figura_I.7. \* ARABIC </w:instrText>
      </w:r>
      <w:r w:rsidRPr="00746D20">
        <w:rPr>
          <w:rFonts w:ascii="Arial" w:hAnsi="Arial" w:cs="Arial"/>
          <w:sz w:val="22"/>
          <w:szCs w:val="22"/>
        </w:rPr>
        <w:fldChar w:fldCharType="separate"/>
      </w:r>
      <w:r w:rsidR="00BB181C">
        <w:rPr>
          <w:rFonts w:ascii="Arial" w:hAnsi="Arial" w:cs="Arial"/>
          <w:noProof/>
          <w:sz w:val="22"/>
          <w:szCs w:val="22"/>
        </w:rPr>
        <w:t>25</w:t>
      </w:r>
      <w:r w:rsidRPr="00746D20">
        <w:rPr>
          <w:rFonts w:ascii="Arial" w:hAnsi="Arial" w:cs="Arial"/>
          <w:sz w:val="22"/>
          <w:szCs w:val="22"/>
        </w:rPr>
        <w:fldChar w:fldCharType="end"/>
      </w:r>
      <w:r w:rsidRPr="00746D20">
        <w:rPr>
          <w:rFonts w:ascii="Arial" w:hAnsi="Arial" w:cs="Arial"/>
          <w:sz w:val="22"/>
          <w:szCs w:val="22"/>
        </w:rPr>
        <w:t xml:space="preserve"> </w:t>
      </w:r>
      <w:r w:rsidR="00DC6A92" w:rsidRPr="00FB373E">
        <w:rPr>
          <w:rFonts w:ascii="Arial" w:hAnsi="Arial" w:cs="Arial"/>
          <w:color w:val="1F497D"/>
          <w:sz w:val="22"/>
          <w:szCs w:val="22"/>
        </w:rPr>
        <w:t xml:space="preserve">– </w:t>
      </w:r>
      <w:r w:rsidR="00DC6A92" w:rsidRPr="00FB373E">
        <w:rPr>
          <w:rFonts w:ascii="Arial" w:hAnsi="Arial" w:cs="Arial"/>
          <w:i w:val="0"/>
          <w:iCs w:val="0"/>
          <w:color w:val="1F497D"/>
          <w:sz w:val="22"/>
          <w:szCs w:val="22"/>
        </w:rPr>
        <w:t>Distribuția modală a deplasărilor 2035 S2</w:t>
      </w:r>
      <w:bookmarkEnd w:id="559"/>
      <w:bookmarkEnd w:id="560"/>
    </w:p>
    <w:p w14:paraId="2E3D31AA" w14:textId="257A9CED" w:rsidR="00DC6A92" w:rsidRPr="00DC6A92" w:rsidRDefault="00DC6A92" w:rsidP="00DC6A92">
      <w:pPr>
        <w:widowControl w:val="0"/>
        <w:suppressAutoHyphens/>
        <w:spacing w:after="0" w:line="276" w:lineRule="auto"/>
        <w:jc w:val="center"/>
        <w:rPr>
          <w:rFonts w:ascii="Arial" w:hAnsi="Arial" w:cs="Arial"/>
          <w:kern w:val="1"/>
          <w:highlight w:val="yellow"/>
          <w:lang w:val="ro-RO" w:eastAsia="hi-IN" w:bidi="hi-IN"/>
        </w:rPr>
      </w:pPr>
    </w:p>
    <w:p w14:paraId="7CA70FE2" w14:textId="403FEE60" w:rsidR="00DC6A92" w:rsidRPr="00DC6A92" w:rsidRDefault="00FB373E" w:rsidP="00FB373E">
      <w:pPr>
        <w:widowControl w:val="0"/>
        <w:suppressAutoHyphens/>
        <w:spacing w:after="0" w:line="276" w:lineRule="auto"/>
        <w:jc w:val="center"/>
        <w:rPr>
          <w:rFonts w:ascii="Arial" w:hAnsi="Arial" w:cs="Arial"/>
          <w:kern w:val="1"/>
          <w:highlight w:val="yellow"/>
          <w:lang w:val="ro-RO" w:eastAsia="hi-IN" w:bidi="hi-IN"/>
        </w:rPr>
      </w:pPr>
      <w:r>
        <w:rPr>
          <w:noProof/>
        </w:rPr>
        <w:lastRenderedPageBreak/>
        <w:drawing>
          <wp:inline distT="0" distB="0" distL="0" distR="0" wp14:anchorId="6FA8B6D5" wp14:editId="367B010A">
            <wp:extent cx="4552950" cy="2763837"/>
            <wp:effectExtent l="0" t="0" r="0" b="17780"/>
            <wp:docPr id="2084" name="Chart 2084">
              <a:extLst xmlns:a="http://schemas.openxmlformats.org/drawingml/2006/main">
                <a:ext uri="{FF2B5EF4-FFF2-40B4-BE49-F238E27FC236}">
                  <a16:creationId xmlns:a16="http://schemas.microsoft.com/office/drawing/2014/main" id="{096EA42E-E460-4D9D-A3E1-45F1793169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6"/>
              </a:graphicData>
            </a:graphic>
          </wp:inline>
        </w:drawing>
      </w:r>
    </w:p>
    <w:p w14:paraId="30195C18" w14:textId="7CB45B2C" w:rsidR="00DC6A92" w:rsidRPr="00FB373E" w:rsidRDefault="00746D20" w:rsidP="00746D20">
      <w:pPr>
        <w:pStyle w:val="Legend"/>
        <w:jc w:val="center"/>
        <w:rPr>
          <w:rFonts w:ascii="Arial" w:hAnsi="Arial" w:cs="Arial"/>
          <w:i w:val="0"/>
          <w:iCs w:val="0"/>
          <w:color w:val="1F497D"/>
          <w:kern w:val="1"/>
          <w:sz w:val="22"/>
          <w:szCs w:val="22"/>
          <w:lang w:val="ro-RO" w:eastAsia="hi-IN" w:bidi="hi-IN"/>
        </w:rPr>
      </w:pPr>
      <w:bookmarkStart w:id="561" w:name="_Toc68361059"/>
      <w:bookmarkStart w:id="562" w:name="_Toc140744551"/>
      <w:r w:rsidRPr="00746D20">
        <w:rPr>
          <w:rFonts w:ascii="Arial" w:hAnsi="Arial" w:cs="Arial"/>
          <w:sz w:val="22"/>
          <w:szCs w:val="22"/>
        </w:rPr>
        <w:t xml:space="preserve">Figura I.7. </w:t>
      </w:r>
      <w:r w:rsidRPr="00FB373E">
        <w:rPr>
          <w:rFonts w:ascii="Arial" w:hAnsi="Arial" w:cs="Arial"/>
          <w:sz w:val="22"/>
          <w:szCs w:val="22"/>
        </w:rPr>
        <w:fldChar w:fldCharType="begin"/>
      </w:r>
      <w:r w:rsidRPr="00FB373E">
        <w:rPr>
          <w:rFonts w:ascii="Arial" w:hAnsi="Arial" w:cs="Arial"/>
          <w:sz w:val="22"/>
          <w:szCs w:val="22"/>
        </w:rPr>
        <w:instrText xml:space="preserve"> SEQ Figura_I.7. \* ARABIC </w:instrText>
      </w:r>
      <w:r w:rsidRPr="00FB373E">
        <w:rPr>
          <w:rFonts w:ascii="Arial" w:hAnsi="Arial" w:cs="Arial"/>
          <w:sz w:val="22"/>
          <w:szCs w:val="22"/>
        </w:rPr>
        <w:fldChar w:fldCharType="separate"/>
      </w:r>
      <w:r w:rsidR="00BB181C">
        <w:rPr>
          <w:rFonts w:ascii="Arial" w:hAnsi="Arial" w:cs="Arial"/>
          <w:noProof/>
          <w:sz w:val="22"/>
          <w:szCs w:val="22"/>
        </w:rPr>
        <w:t>26</w:t>
      </w:r>
      <w:r w:rsidRPr="00FB373E">
        <w:rPr>
          <w:rFonts w:ascii="Arial" w:hAnsi="Arial" w:cs="Arial"/>
          <w:sz w:val="22"/>
          <w:szCs w:val="22"/>
        </w:rPr>
        <w:fldChar w:fldCharType="end"/>
      </w:r>
      <w:r w:rsidRPr="00FB373E">
        <w:rPr>
          <w:rFonts w:ascii="Arial" w:hAnsi="Arial" w:cs="Arial"/>
          <w:sz w:val="22"/>
          <w:szCs w:val="22"/>
        </w:rPr>
        <w:t xml:space="preserve"> </w:t>
      </w:r>
      <w:r w:rsidR="00DC6A92" w:rsidRPr="00FB373E">
        <w:rPr>
          <w:rFonts w:ascii="Arial" w:hAnsi="Arial" w:cs="Arial"/>
          <w:color w:val="1F497D"/>
          <w:sz w:val="22"/>
          <w:szCs w:val="22"/>
        </w:rPr>
        <w:t xml:space="preserve">– </w:t>
      </w:r>
      <w:r w:rsidR="00DC6A92" w:rsidRPr="00FB373E">
        <w:rPr>
          <w:rFonts w:ascii="Arial" w:hAnsi="Arial" w:cs="Arial"/>
          <w:i w:val="0"/>
          <w:iCs w:val="0"/>
          <w:color w:val="1F497D"/>
          <w:sz w:val="22"/>
          <w:szCs w:val="22"/>
        </w:rPr>
        <w:t>Distribuția modală de deplasărilor 2035 S3</w:t>
      </w:r>
      <w:bookmarkEnd w:id="561"/>
      <w:bookmarkEnd w:id="562"/>
    </w:p>
    <w:p w14:paraId="010F6B82" w14:textId="77777777" w:rsidR="00FB373E" w:rsidRPr="00FB373E" w:rsidRDefault="00FB373E" w:rsidP="00FB373E">
      <w:pPr>
        <w:widowControl w:val="0"/>
        <w:suppressAutoHyphens/>
        <w:spacing w:after="0" w:line="276" w:lineRule="auto"/>
        <w:jc w:val="both"/>
        <w:rPr>
          <w:rFonts w:ascii="Arial" w:hAnsi="Arial" w:cs="Arial"/>
          <w:kern w:val="1"/>
          <w:lang w:val="ro-RO" w:eastAsia="hi-IN" w:bidi="hi-IN"/>
        </w:rPr>
      </w:pPr>
      <w:r w:rsidRPr="00FB373E">
        <w:rPr>
          <w:rFonts w:ascii="Arial" w:hAnsi="Arial" w:cs="Arial"/>
          <w:kern w:val="1"/>
          <w:lang w:val="ro-RO" w:eastAsia="hi-IN" w:bidi="hi-IN"/>
        </w:rPr>
        <w:t>In scenariul 3 la nivelul corespunzător anului 2035 se prognozează ca deplasările cu transportul public local vor reprezenta aproape 21,77% din totalul deplasărilor din Horezu. De asemenea, se remarcǎ și scăderea numărului de deplasări cu automobilul personal cu 19% din totalul deplasărilor în raport cu scenariul 1 și cu aproape 3,8% față de scenariul 2.</w:t>
      </w:r>
    </w:p>
    <w:p w14:paraId="018C693F" w14:textId="77777777" w:rsidR="00DC6A92" w:rsidRPr="00DC6A92" w:rsidRDefault="00DC6A92" w:rsidP="00DC6A92">
      <w:pPr>
        <w:widowControl w:val="0"/>
        <w:suppressAutoHyphens/>
        <w:spacing w:after="0" w:line="276" w:lineRule="auto"/>
        <w:jc w:val="both"/>
        <w:rPr>
          <w:rFonts w:ascii="Arial" w:hAnsi="Arial" w:cs="Arial"/>
          <w:kern w:val="1"/>
          <w:sz w:val="24"/>
          <w:szCs w:val="24"/>
          <w:lang w:val="ro-RO" w:eastAsia="hi-IN" w:bidi="hi-IN"/>
        </w:rPr>
      </w:pPr>
    </w:p>
    <w:p w14:paraId="02AE4937"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r w:rsidRPr="00DC6A92">
        <w:rPr>
          <w:rFonts w:ascii="Arial" w:hAnsi="Arial" w:cs="Arial"/>
          <w:b/>
          <w:kern w:val="1"/>
          <w:lang w:val="ro-RO" w:eastAsia="hi-IN" w:bidi="hi-IN"/>
        </w:rPr>
        <w:t xml:space="preserve">Grad de acoperire – Scenariul 2 </w:t>
      </w:r>
    </w:p>
    <w:p w14:paraId="733B86B7" w14:textId="77777777" w:rsidR="00DC6A92" w:rsidRPr="00DC6A92" w:rsidRDefault="00DC6A92" w:rsidP="00DC6A92">
      <w:pPr>
        <w:widowControl w:val="0"/>
        <w:suppressAutoHyphens/>
        <w:spacing w:after="0" w:line="276" w:lineRule="auto"/>
        <w:jc w:val="both"/>
        <w:rPr>
          <w:rFonts w:ascii="Arial" w:eastAsia="Arial" w:hAnsi="Arial" w:cs="Arial"/>
          <w:kern w:val="1"/>
          <w:highlight w:val="yellow"/>
          <w:lang w:val="ro-RO" w:eastAsia="hi-IN" w:bidi="hi-IN"/>
        </w:rPr>
      </w:pPr>
      <w:r w:rsidRPr="00DC6A92">
        <w:rPr>
          <w:rFonts w:ascii="Arial" w:hAnsi="Arial" w:cs="Arial"/>
          <w:kern w:val="1"/>
          <w:lang w:val="ro-RO" w:eastAsia="hi-IN" w:bidi="hi-IN"/>
        </w:rPr>
        <w:t xml:space="preserve">În cadrul Scenariului 2, sunt prevăzute măsuri de introducere a sistemului de transport public în oras, dar si catre localitatile componente, prin reabilitarea și modernizarea arterelor de circulație din aceste zone astfel ȋncȃt sǎ poatǎ fi introdus serviciul de transport public cel puțin prin autobuze de mica și medie capacitate. </w:t>
      </w:r>
    </w:p>
    <w:p w14:paraId="4DAC079C" w14:textId="77777777" w:rsidR="00DC6A92" w:rsidRPr="00DC6A92" w:rsidRDefault="00DC6A92" w:rsidP="00DC6A92">
      <w:pPr>
        <w:widowControl w:val="0"/>
        <w:suppressAutoHyphens/>
        <w:spacing w:after="0" w:line="276" w:lineRule="auto"/>
        <w:jc w:val="both"/>
        <w:rPr>
          <w:rFonts w:ascii="Arial" w:hAnsi="Arial" w:cs="Arial"/>
          <w:kern w:val="1"/>
          <w:highlight w:val="yellow"/>
          <w:lang w:val="ro-RO" w:eastAsia="hi-IN" w:bidi="hi-IN"/>
        </w:rPr>
      </w:pPr>
    </w:p>
    <w:p w14:paraId="1E83C2DC" w14:textId="77777777" w:rsidR="00FB373E" w:rsidRPr="00FB373E" w:rsidRDefault="00FB373E" w:rsidP="00FB373E">
      <w:pPr>
        <w:widowControl w:val="0"/>
        <w:suppressAutoHyphens/>
        <w:spacing w:after="0" w:line="276" w:lineRule="auto"/>
        <w:jc w:val="both"/>
        <w:rPr>
          <w:rFonts w:ascii="Arial" w:hAnsi="Arial" w:cs="Arial"/>
          <w:kern w:val="1"/>
          <w:lang w:val="ro-RO" w:eastAsia="hi-IN" w:bidi="hi-IN"/>
        </w:rPr>
      </w:pPr>
      <w:r w:rsidRPr="00FB373E">
        <w:rPr>
          <w:rFonts w:ascii="Arial" w:hAnsi="Arial" w:cs="Arial"/>
          <w:kern w:val="1"/>
          <w:lang w:val="ro-RO" w:eastAsia="hi-IN" w:bidi="hi-IN"/>
        </w:rPr>
        <w:t xml:space="preserve">Din punct de vedere procentual, se estimează ca prin introducerea traseelor propuse, și, implicit a stațiilor de călători aferente să se obțină un grad de acoperire pentru acest mod de transport de </w:t>
      </w:r>
      <w:r w:rsidRPr="00FB373E">
        <w:rPr>
          <w:rFonts w:ascii="Arial" w:hAnsi="Arial" w:cs="Arial"/>
          <w:b/>
          <w:kern w:val="1"/>
          <w:lang w:val="ro-RO" w:eastAsia="hi-IN" w:bidi="hi-IN"/>
        </w:rPr>
        <w:t>cca. 40%</w:t>
      </w:r>
      <w:r w:rsidRPr="00FB373E">
        <w:rPr>
          <w:rFonts w:ascii="Arial" w:hAnsi="Arial" w:cs="Arial"/>
          <w:kern w:val="1"/>
          <w:lang w:val="ro-RO" w:eastAsia="hi-IN" w:bidi="hi-IN"/>
        </w:rPr>
        <w:t xml:space="preserve"> din suprafata UAT Horezu, respectiv 55 % cu referire doar la oras.</w:t>
      </w:r>
    </w:p>
    <w:p w14:paraId="10C865BE"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p>
    <w:p w14:paraId="142E5F04" w14:textId="47B7E8AB" w:rsidR="00DC6A92" w:rsidRPr="00DC6A92" w:rsidRDefault="00FB373E" w:rsidP="00FB373E">
      <w:pPr>
        <w:spacing w:after="0" w:line="276" w:lineRule="auto"/>
        <w:jc w:val="center"/>
        <w:rPr>
          <w:rFonts w:ascii="Arial" w:hAnsi="Arial" w:cs="Arial"/>
        </w:rPr>
      </w:pPr>
      <w:r w:rsidRPr="00FB373E">
        <w:rPr>
          <w:rFonts w:ascii="Calibri" w:hAnsi="Calibri" w:cs="Arial"/>
          <w:noProof/>
          <w:sz w:val="24"/>
        </w:rPr>
        <w:lastRenderedPageBreak/>
        <w:drawing>
          <wp:inline distT="0" distB="0" distL="0" distR="0" wp14:anchorId="7565CF4B" wp14:editId="5DCE7504">
            <wp:extent cx="4967070" cy="3765550"/>
            <wp:effectExtent l="0" t="0" r="5080" b="6350"/>
            <wp:docPr id="163"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ine 46"/>
                    <pic:cNvPicPr>
                      <a:picLocks noChangeAspect="1" noChangeArrowheads="1"/>
                    </pic:cNvPicPr>
                  </pic:nvPicPr>
                  <pic:blipFill>
                    <a:blip r:embed="rId247" cstate="print">
                      <a:extLst>
                        <a:ext uri="{28A0092B-C50C-407E-A947-70E740481C1C}">
                          <a14:useLocalDpi xmlns:a14="http://schemas.microsoft.com/office/drawing/2010/main" val="0"/>
                        </a:ext>
                      </a:extLst>
                    </a:blip>
                    <a:stretch>
                      <a:fillRect/>
                    </a:stretch>
                  </pic:blipFill>
                  <pic:spPr bwMode="auto">
                    <a:xfrm>
                      <a:off x="0" y="0"/>
                      <a:ext cx="4971995" cy="3769284"/>
                    </a:xfrm>
                    <a:prstGeom prst="rect">
                      <a:avLst/>
                    </a:prstGeom>
                    <a:noFill/>
                    <a:ln>
                      <a:noFill/>
                    </a:ln>
                  </pic:spPr>
                </pic:pic>
              </a:graphicData>
            </a:graphic>
          </wp:inline>
        </w:drawing>
      </w:r>
    </w:p>
    <w:p w14:paraId="51FFCEBB" w14:textId="63919B8F" w:rsidR="00DC6A92" w:rsidRPr="00DC6A92" w:rsidRDefault="00DC6A92" w:rsidP="00DC6A92">
      <w:pPr>
        <w:spacing w:after="0" w:line="276" w:lineRule="auto"/>
        <w:jc w:val="center"/>
        <w:rPr>
          <w:rFonts w:ascii="Arial" w:hAnsi="Arial" w:cs="Arial"/>
        </w:rPr>
      </w:pPr>
    </w:p>
    <w:p w14:paraId="5DAAB133" w14:textId="20C715AD" w:rsidR="00DC6A92" w:rsidRPr="00746D20" w:rsidRDefault="00746D20" w:rsidP="00746D20">
      <w:pPr>
        <w:pStyle w:val="Legend"/>
        <w:jc w:val="center"/>
        <w:rPr>
          <w:rFonts w:ascii="Arial" w:hAnsi="Arial" w:cs="Arial"/>
          <w:i w:val="0"/>
          <w:iCs w:val="0"/>
          <w:color w:val="1F497D"/>
          <w:sz w:val="22"/>
          <w:szCs w:val="22"/>
        </w:rPr>
      </w:pPr>
      <w:bookmarkStart w:id="563" w:name="_Toc68361060"/>
      <w:bookmarkStart w:id="564" w:name="_Toc140744552"/>
      <w:r w:rsidRPr="00746D20">
        <w:rPr>
          <w:rFonts w:ascii="Arial" w:hAnsi="Arial" w:cs="Arial"/>
          <w:sz w:val="22"/>
          <w:szCs w:val="22"/>
        </w:rPr>
        <w:t xml:space="preserve">Figura I.7. </w:t>
      </w:r>
      <w:r w:rsidRPr="00746D20">
        <w:rPr>
          <w:rFonts w:ascii="Arial" w:hAnsi="Arial" w:cs="Arial"/>
          <w:sz w:val="22"/>
          <w:szCs w:val="22"/>
        </w:rPr>
        <w:fldChar w:fldCharType="begin"/>
      </w:r>
      <w:r w:rsidRPr="00746D20">
        <w:rPr>
          <w:rFonts w:ascii="Arial" w:hAnsi="Arial" w:cs="Arial"/>
          <w:sz w:val="22"/>
          <w:szCs w:val="22"/>
        </w:rPr>
        <w:instrText xml:space="preserve"> SEQ Figura_I.7. \* ARABIC </w:instrText>
      </w:r>
      <w:r w:rsidRPr="00746D20">
        <w:rPr>
          <w:rFonts w:ascii="Arial" w:hAnsi="Arial" w:cs="Arial"/>
          <w:sz w:val="22"/>
          <w:szCs w:val="22"/>
        </w:rPr>
        <w:fldChar w:fldCharType="separate"/>
      </w:r>
      <w:r w:rsidR="00BB181C">
        <w:rPr>
          <w:rFonts w:ascii="Arial" w:hAnsi="Arial" w:cs="Arial"/>
          <w:noProof/>
          <w:sz w:val="22"/>
          <w:szCs w:val="22"/>
        </w:rPr>
        <w:t>27</w:t>
      </w:r>
      <w:r w:rsidRPr="00746D20">
        <w:rPr>
          <w:rFonts w:ascii="Arial" w:hAnsi="Arial" w:cs="Arial"/>
          <w:sz w:val="22"/>
          <w:szCs w:val="22"/>
        </w:rPr>
        <w:fldChar w:fldCharType="end"/>
      </w:r>
      <w:r w:rsidRPr="00746D20">
        <w:rPr>
          <w:rFonts w:ascii="Arial" w:hAnsi="Arial" w:cs="Arial"/>
          <w:sz w:val="22"/>
          <w:szCs w:val="22"/>
        </w:rPr>
        <w:t xml:space="preserve"> </w:t>
      </w:r>
      <w:r w:rsidR="00DC6A92" w:rsidRPr="00FB373E">
        <w:rPr>
          <w:rFonts w:ascii="Arial" w:hAnsi="Arial" w:cs="Arial"/>
          <w:color w:val="1F497D"/>
          <w:sz w:val="22"/>
          <w:szCs w:val="22"/>
        </w:rPr>
        <w:t xml:space="preserve">- </w:t>
      </w:r>
      <w:r w:rsidR="00DC6A92" w:rsidRPr="00FB373E">
        <w:rPr>
          <w:rFonts w:ascii="Arial" w:hAnsi="Arial" w:cs="Arial"/>
          <w:i w:val="0"/>
          <w:iCs w:val="0"/>
          <w:color w:val="1F497D"/>
          <w:sz w:val="22"/>
          <w:szCs w:val="22"/>
        </w:rPr>
        <w:t>Zonele de captare pentru Scenariul 2</w:t>
      </w:r>
      <w:bookmarkEnd w:id="563"/>
      <w:bookmarkEnd w:id="564"/>
    </w:p>
    <w:p w14:paraId="785CE67D" w14:textId="77777777" w:rsidR="00DC6A92" w:rsidRPr="00DC6A92" w:rsidRDefault="00DC6A92" w:rsidP="00DC6A92">
      <w:pPr>
        <w:widowControl w:val="0"/>
        <w:suppressAutoHyphens/>
        <w:spacing w:after="0" w:line="276" w:lineRule="auto"/>
        <w:jc w:val="both"/>
        <w:rPr>
          <w:rFonts w:ascii="Arial" w:hAnsi="Arial" w:cs="Arial"/>
          <w:kern w:val="1"/>
          <w:highlight w:val="yellow"/>
          <w:lang w:val="ro-RO" w:eastAsia="hi-IN" w:bidi="hi-IN"/>
        </w:rPr>
      </w:pPr>
    </w:p>
    <w:p w14:paraId="1F033802" w14:textId="4E0DA3A9" w:rsidR="00DC6A92" w:rsidRPr="00DC6A92" w:rsidRDefault="00FB373E" w:rsidP="00DC6A92">
      <w:pPr>
        <w:widowControl w:val="0"/>
        <w:suppressAutoHyphens/>
        <w:spacing w:after="0" w:line="276" w:lineRule="auto"/>
        <w:jc w:val="center"/>
        <w:rPr>
          <w:rFonts w:ascii="Arial" w:hAnsi="Arial" w:cs="Arial"/>
          <w:kern w:val="1"/>
          <w:lang w:val="ro-RO" w:eastAsia="hi-IN" w:bidi="hi-IN"/>
        </w:rPr>
      </w:pPr>
      <w:r w:rsidRPr="00FB373E">
        <w:rPr>
          <w:rFonts w:ascii="Calibri" w:hAnsi="Calibri" w:cs="Arial"/>
          <w:noProof/>
          <w:sz w:val="24"/>
        </w:rPr>
        <w:lastRenderedPageBreak/>
        <w:drawing>
          <wp:inline distT="0" distB="0" distL="0" distR="0" wp14:anchorId="7C4C6E1F" wp14:editId="1B299266">
            <wp:extent cx="5041900" cy="3726621"/>
            <wp:effectExtent l="0" t="0" r="6350" b="7620"/>
            <wp:docPr id="164"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ine 47"/>
                    <pic:cNvPicPr>
                      <a:picLocks noChangeAspect="1" noChangeArrowheads="1"/>
                    </pic:cNvPicPr>
                  </pic:nvPicPr>
                  <pic:blipFill>
                    <a:blip r:embed="rId248" cstate="print">
                      <a:extLst>
                        <a:ext uri="{28A0092B-C50C-407E-A947-70E740481C1C}">
                          <a14:useLocalDpi xmlns:a14="http://schemas.microsoft.com/office/drawing/2010/main" val="0"/>
                        </a:ext>
                      </a:extLst>
                    </a:blip>
                    <a:stretch>
                      <a:fillRect/>
                    </a:stretch>
                  </pic:blipFill>
                  <pic:spPr bwMode="auto">
                    <a:xfrm>
                      <a:off x="0" y="0"/>
                      <a:ext cx="5056451" cy="3737376"/>
                    </a:xfrm>
                    <a:prstGeom prst="rect">
                      <a:avLst/>
                    </a:prstGeom>
                    <a:noFill/>
                    <a:ln>
                      <a:noFill/>
                    </a:ln>
                  </pic:spPr>
                </pic:pic>
              </a:graphicData>
            </a:graphic>
          </wp:inline>
        </w:drawing>
      </w:r>
    </w:p>
    <w:p w14:paraId="59885C19" w14:textId="049E98B6" w:rsidR="00DC6A92" w:rsidRPr="0040078C" w:rsidRDefault="00746D20" w:rsidP="00746D20">
      <w:pPr>
        <w:pStyle w:val="Legend"/>
        <w:jc w:val="center"/>
        <w:rPr>
          <w:rFonts w:ascii="Arial" w:hAnsi="Arial" w:cs="Arial"/>
          <w:i w:val="0"/>
          <w:iCs w:val="0"/>
          <w:color w:val="1F497D"/>
          <w:kern w:val="1"/>
          <w:sz w:val="22"/>
          <w:szCs w:val="22"/>
          <w:lang w:val="ro-RO" w:eastAsia="hi-IN" w:bidi="hi-IN"/>
        </w:rPr>
      </w:pPr>
      <w:bookmarkStart w:id="565" w:name="_Toc68361061"/>
      <w:bookmarkStart w:id="566" w:name="_Toc140744553"/>
      <w:r w:rsidRPr="0040078C">
        <w:rPr>
          <w:rFonts w:ascii="Arial" w:hAnsi="Arial" w:cs="Arial"/>
          <w:sz w:val="22"/>
          <w:szCs w:val="22"/>
        </w:rPr>
        <w:t xml:space="preserve">Figura I.7. </w:t>
      </w:r>
      <w:r w:rsidRPr="00FB373E">
        <w:rPr>
          <w:rFonts w:ascii="Arial" w:hAnsi="Arial" w:cs="Arial"/>
          <w:sz w:val="22"/>
          <w:szCs w:val="22"/>
        </w:rPr>
        <w:fldChar w:fldCharType="begin"/>
      </w:r>
      <w:r w:rsidRPr="00FB373E">
        <w:rPr>
          <w:rFonts w:ascii="Arial" w:hAnsi="Arial" w:cs="Arial"/>
          <w:sz w:val="22"/>
          <w:szCs w:val="22"/>
        </w:rPr>
        <w:instrText xml:space="preserve"> SEQ Figura_I.7. \* ARABIC </w:instrText>
      </w:r>
      <w:r w:rsidRPr="00FB373E">
        <w:rPr>
          <w:rFonts w:ascii="Arial" w:hAnsi="Arial" w:cs="Arial"/>
          <w:sz w:val="22"/>
          <w:szCs w:val="22"/>
        </w:rPr>
        <w:fldChar w:fldCharType="separate"/>
      </w:r>
      <w:r w:rsidR="00BB181C">
        <w:rPr>
          <w:rFonts w:ascii="Arial" w:hAnsi="Arial" w:cs="Arial"/>
          <w:noProof/>
          <w:sz w:val="22"/>
          <w:szCs w:val="22"/>
        </w:rPr>
        <w:t>28</w:t>
      </w:r>
      <w:r w:rsidRPr="00FB373E">
        <w:rPr>
          <w:rFonts w:ascii="Arial" w:hAnsi="Arial" w:cs="Arial"/>
          <w:sz w:val="22"/>
          <w:szCs w:val="22"/>
        </w:rPr>
        <w:fldChar w:fldCharType="end"/>
      </w:r>
      <w:r w:rsidRPr="00FB373E">
        <w:rPr>
          <w:rFonts w:ascii="Arial" w:hAnsi="Arial" w:cs="Arial"/>
          <w:sz w:val="22"/>
          <w:szCs w:val="22"/>
        </w:rPr>
        <w:t xml:space="preserve"> </w:t>
      </w:r>
      <w:r w:rsidR="00DC6A92" w:rsidRPr="00FB373E">
        <w:rPr>
          <w:rFonts w:ascii="Arial" w:hAnsi="Arial" w:cs="Arial"/>
          <w:i w:val="0"/>
          <w:iCs w:val="0"/>
          <w:color w:val="1F497D"/>
          <w:sz w:val="22"/>
          <w:szCs w:val="22"/>
        </w:rPr>
        <w:t>- Rețeaua de transport public propusă</w:t>
      </w:r>
      <w:bookmarkEnd w:id="565"/>
      <w:bookmarkEnd w:id="566"/>
    </w:p>
    <w:p w14:paraId="0419B405" w14:textId="2C948B2E" w:rsidR="00DC6A92" w:rsidRPr="00DC6A92" w:rsidRDefault="00FB373E" w:rsidP="00DC6A92">
      <w:pPr>
        <w:widowControl w:val="0"/>
        <w:suppressAutoHyphens/>
        <w:spacing w:after="0" w:line="276" w:lineRule="auto"/>
        <w:jc w:val="center"/>
        <w:rPr>
          <w:rFonts w:ascii="Arial" w:hAnsi="Arial" w:cs="Arial"/>
          <w:kern w:val="1"/>
          <w:lang w:val="ro-RO" w:eastAsia="hi-IN" w:bidi="hi-IN"/>
        </w:rPr>
      </w:pPr>
      <w:r w:rsidRPr="00FB373E">
        <w:rPr>
          <w:rFonts w:ascii="Calibri" w:hAnsi="Calibri" w:cs="Arial"/>
          <w:noProof/>
          <w:sz w:val="24"/>
          <w:highlight w:val="yellow"/>
        </w:rPr>
        <w:drawing>
          <wp:inline distT="0" distB="0" distL="0" distR="0" wp14:anchorId="59AC4125" wp14:editId="404C15B0">
            <wp:extent cx="5100470" cy="3866681"/>
            <wp:effectExtent l="0" t="0" r="5080" b="635"/>
            <wp:docPr id="180"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ine 48"/>
                    <pic:cNvPicPr>
                      <a:picLocks noChangeAspect="1" noChangeArrowheads="1"/>
                    </pic:cNvPicPr>
                  </pic:nvPicPr>
                  <pic:blipFill>
                    <a:blip r:embed="rId249" cstate="print">
                      <a:extLst>
                        <a:ext uri="{28A0092B-C50C-407E-A947-70E740481C1C}">
                          <a14:useLocalDpi xmlns:a14="http://schemas.microsoft.com/office/drawing/2010/main" val="0"/>
                        </a:ext>
                      </a:extLst>
                    </a:blip>
                    <a:stretch>
                      <a:fillRect/>
                    </a:stretch>
                  </pic:blipFill>
                  <pic:spPr bwMode="auto">
                    <a:xfrm>
                      <a:off x="0" y="0"/>
                      <a:ext cx="5120414" cy="3881801"/>
                    </a:xfrm>
                    <a:prstGeom prst="rect">
                      <a:avLst/>
                    </a:prstGeom>
                    <a:noFill/>
                    <a:ln>
                      <a:noFill/>
                    </a:ln>
                  </pic:spPr>
                </pic:pic>
              </a:graphicData>
            </a:graphic>
          </wp:inline>
        </w:drawing>
      </w:r>
    </w:p>
    <w:p w14:paraId="691BDF28" w14:textId="0542B8E5" w:rsidR="00DC6A92" w:rsidRPr="00BE7D8E" w:rsidRDefault="00BE7D8E" w:rsidP="00BE7D8E">
      <w:pPr>
        <w:pStyle w:val="Legend"/>
        <w:jc w:val="center"/>
        <w:rPr>
          <w:rFonts w:ascii="Arial" w:hAnsi="Arial" w:cs="Arial"/>
          <w:i w:val="0"/>
          <w:iCs w:val="0"/>
          <w:color w:val="1F497D"/>
          <w:kern w:val="1"/>
          <w:sz w:val="22"/>
          <w:szCs w:val="22"/>
          <w:lang w:val="ro-RO" w:eastAsia="hi-IN" w:bidi="hi-IN"/>
        </w:rPr>
      </w:pPr>
      <w:bookmarkStart w:id="567" w:name="_Toc68361062"/>
      <w:bookmarkStart w:id="568" w:name="_Toc140744554"/>
      <w:r w:rsidRPr="00BE7D8E">
        <w:rPr>
          <w:rFonts w:ascii="Arial" w:hAnsi="Arial" w:cs="Arial"/>
          <w:sz w:val="22"/>
          <w:szCs w:val="22"/>
        </w:rPr>
        <w:t xml:space="preserve">Figura I.7. </w:t>
      </w:r>
      <w:r w:rsidRPr="00BE7D8E">
        <w:rPr>
          <w:rFonts w:ascii="Arial" w:hAnsi="Arial" w:cs="Arial"/>
          <w:sz w:val="22"/>
          <w:szCs w:val="22"/>
        </w:rPr>
        <w:fldChar w:fldCharType="begin"/>
      </w:r>
      <w:r w:rsidRPr="00BE7D8E">
        <w:rPr>
          <w:rFonts w:ascii="Arial" w:hAnsi="Arial" w:cs="Arial"/>
          <w:sz w:val="22"/>
          <w:szCs w:val="22"/>
        </w:rPr>
        <w:instrText xml:space="preserve"> SEQ Figura_I.7. \* ARABIC </w:instrText>
      </w:r>
      <w:r w:rsidRPr="00BE7D8E">
        <w:rPr>
          <w:rFonts w:ascii="Arial" w:hAnsi="Arial" w:cs="Arial"/>
          <w:sz w:val="22"/>
          <w:szCs w:val="22"/>
        </w:rPr>
        <w:fldChar w:fldCharType="separate"/>
      </w:r>
      <w:r w:rsidR="00BB181C">
        <w:rPr>
          <w:rFonts w:ascii="Arial" w:hAnsi="Arial" w:cs="Arial"/>
          <w:noProof/>
          <w:sz w:val="22"/>
          <w:szCs w:val="22"/>
        </w:rPr>
        <w:t>29</w:t>
      </w:r>
      <w:r w:rsidRPr="00BE7D8E">
        <w:rPr>
          <w:rFonts w:ascii="Arial" w:hAnsi="Arial" w:cs="Arial"/>
          <w:sz w:val="22"/>
          <w:szCs w:val="22"/>
        </w:rPr>
        <w:fldChar w:fldCharType="end"/>
      </w:r>
      <w:r w:rsidRPr="00BE7D8E">
        <w:rPr>
          <w:rFonts w:ascii="Arial" w:hAnsi="Arial" w:cs="Arial"/>
          <w:sz w:val="22"/>
          <w:szCs w:val="22"/>
        </w:rPr>
        <w:t xml:space="preserve"> </w:t>
      </w:r>
      <w:r w:rsidR="00DC6A92" w:rsidRPr="00FB373E">
        <w:rPr>
          <w:rFonts w:ascii="Arial" w:hAnsi="Arial" w:cs="Arial"/>
          <w:color w:val="1F497D"/>
          <w:sz w:val="22"/>
          <w:szCs w:val="22"/>
        </w:rPr>
        <w:t xml:space="preserve">- </w:t>
      </w:r>
      <w:r w:rsidR="00DC6A92" w:rsidRPr="00FB373E">
        <w:rPr>
          <w:rFonts w:ascii="Arial" w:hAnsi="Arial" w:cs="Arial"/>
          <w:i w:val="0"/>
          <w:iCs w:val="0"/>
          <w:color w:val="1F497D"/>
          <w:sz w:val="22"/>
          <w:szCs w:val="22"/>
        </w:rPr>
        <w:t>Rețeaua de transport public propusă - Zona centrală</w:t>
      </w:r>
      <w:bookmarkEnd w:id="567"/>
      <w:bookmarkEnd w:id="568"/>
    </w:p>
    <w:p w14:paraId="3D796448" w14:textId="77777777" w:rsidR="00DC6A92" w:rsidRPr="00DC6A92" w:rsidRDefault="00DC6A92" w:rsidP="00DC6A92">
      <w:pPr>
        <w:keepNext/>
        <w:keepLines/>
        <w:widowControl w:val="0"/>
        <w:suppressAutoHyphens/>
        <w:spacing w:after="0" w:line="276" w:lineRule="auto"/>
        <w:ind w:left="216"/>
        <w:jc w:val="both"/>
        <w:rPr>
          <w:rFonts w:ascii="Arial" w:hAnsi="Arial" w:cs="Arial"/>
          <w:kern w:val="1"/>
          <w:lang w:val="ro-RO" w:eastAsia="hi-IN" w:bidi="hi-IN"/>
        </w:rPr>
      </w:pPr>
    </w:p>
    <w:p w14:paraId="7508ED81"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r w:rsidRPr="00DC6A92">
        <w:rPr>
          <w:rFonts w:ascii="Arial" w:hAnsi="Arial" w:cs="Arial"/>
          <w:b/>
          <w:kern w:val="1"/>
          <w:lang w:val="ro-RO" w:eastAsia="hi-IN" w:bidi="hi-IN"/>
        </w:rPr>
        <w:t xml:space="preserve">Grad de acoperire – Scenariul 3 </w:t>
      </w:r>
    </w:p>
    <w:p w14:paraId="728C5569"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r w:rsidRPr="00DC6A92">
        <w:rPr>
          <w:rFonts w:ascii="Arial" w:hAnsi="Arial" w:cs="Arial"/>
          <w:kern w:val="1"/>
          <w:lang w:val="ro-RO" w:eastAsia="hi-IN" w:bidi="hi-IN"/>
        </w:rPr>
        <w:t xml:space="preserve">În cadrul Scenariului 3, în plus față de scenariile anterioare sunt prevăzute măsuri de îmbunătățire a serviciilor oferite de sistemul de transport public prin </w:t>
      </w:r>
      <w:r w:rsidRPr="00DC6A92">
        <w:rPr>
          <w:rFonts w:ascii="Arial" w:eastAsia="Calibri" w:hAnsi="Arial" w:cs="Arial"/>
          <w:color w:val="000000"/>
          <w:lang w:val="es-ES" w:eastAsia="zh-CN"/>
        </w:rPr>
        <w:t xml:space="preserve">realizarea unui website al operatorului de transport public local si unei aplicatii pentru planificarea calatoriei cu transportul public, dar si prin </w:t>
      </w:r>
      <w:r w:rsidRPr="00DC6A92">
        <w:rPr>
          <w:rFonts w:ascii="Arial" w:eastAsia="Calibri" w:hAnsi="Arial" w:cs="Arial"/>
          <w:color w:val="000000"/>
          <w:lang w:eastAsia="zh-CN"/>
        </w:rPr>
        <w:t>construirea unui centru intermodal de transport destinat interconectării transportului public local cu cel judetean şi interurban</w:t>
      </w:r>
      <w:r w:rsidRPr="00DC6A92">
        <w:rPr>
          <w:rFonts w:ascii="Arial" w:hAnsi="Arial" w:cs="Arial"/>
          <w:kern w:val="1"/>
          <w:lang w:val="ro-RO" w:eastAsia="hi-IN" w:bidi="hi-IN"/>
        </w:rPr>
        <w:t xml:space="preserve">. </w:t>
      </w:r>
    </w:p>
    <w:p w14:paraId="0CB59E8D" w14:textId="77777777" w:rsidR="00DC6A92" w:rsidRPr="00DC6A92" w:rsidRDefault="00DC6A92" w:rsidP="00DC6A92">
      <w:pPr>
        <w:widowControl w:val="0"/>
        <w:suppressAutoHyphens/>
        <w:spacing w:after="0" w:line="276" w:lineRule="auto"/>
        <w:jc w:val="both"/>
        <w:rPr>
          <w:rFonts w:ascii="Arial" w:hAnsi="Arial" w:cs="Arial"/>
          <w:kern w:val="1"/>
          <w:highlight w:val="yellow"/>
          <w:lang w:val="ro-RO" w:eastAsia="hi-IN" w:bidi="hi-IN"/>
        </w:rPr>
      </w:pPr>
    </w:p>
    <w:p w14:paraId="2E902F03"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r w:rsidRPr="00DC6A92">
        <w:rPr>
          <w:rFonts w:ascii="Arial" w:hAnsi="Arial" w:cs="Arial"/>
          <w:kern w:val="1"/>
          <w:lang w:val="ro-RO" w:eastAsia="hi-IN" w:bidi="hi-IN"/>
        </w:rPr>
        <w:t>Principalul efect al acestor măsuri este acela de a atrage si mai multi calatori catre acest mod de transport.</w:t>
      </w:r>
    </w:p>
    <w:p w14:paraId="6C684ADF" w14:textId="77777777" w:rsidR="00DC6A92" w:rsidRPr="00DC6A92" w:rsidRDefault="00DC6A92" w:rsidP="00DC6A92">
      <w:pPr>
        <w:widowControl w:val="0"/>
        <w:suppressAutoHyphens/>
        <w:spacing w:after="0" w:line="276" w:lineRule="auto"/>
        <w:jc w:val="both"/>
        <w:rPr>
          <w:rFonts w:ascii="Arial" w:hAnsi="Arial" w:cs="Arial"/>
          <w:kern w:val="1"/>
          <w:highlight w:val="yellow"/>
          <w:lang w:val="ro-RO" w:eastAsia="hi-IN" w:bidi="hi-IN"/>
        </w:rPr>
      </w:pPr>
    </w:p>
    <w:p w14:paraId="780D4378"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p>
    <w:p w14:paraId="2FE2598A" w14:textId="6057EA09" w:rsidR="00DC6A92" w:rsidRPr="00DC6A92" w:rsidRDefault="00FB373E" w:rsidP="00DC6A92">
      <w:pPr>
        <w:widowControl w:val="0"/>
        <w:suppressAutoHyphens/>
        <w:spacing w:after="0" w:line="276" w:lineRule="auto"/>
        <w:jc w:val="center"/>
        <w:rPr>
          <w:rFonts w:ascii="Arial" w:hAnsi="Arial" w:cs="Arial"/>
          <w:kern w:val="1"/>
          <w:lang w:val="ro-RO" w:eastAsia="hi-IN" w:bidi="hi-IN"/>
        </w:rPr>
      </w:pPr>
      <w:r>
        <w:rPr>
          <w:noProof/>
        </w:rPr>
        <w:drawing>
          <wp:inline distT="0" distB="0" distL="0" distR="0" wp14:anchorId="27BA472B" wp14:editId="304905AD">
            <wp:extent cx="5760720" cy="2589530"/>
            <wp:effectExtent l="0" t="0" r="11430" b="1270"/>
            <wp:docPr id="2085" name="Chart 2085">
              <a:extLst xmlns:a="http://schemas.openxmlformats.org/drawingml/2006/main">
                <a:ext uri="{FF2B5EF4-FFF2-40B4-BE49-F238E27FC236}">
                  <a16:creationId xmlns:a16="http://schemas.microsoft.com/office/drawing/2014/main" id="{FE0F0B86-58C0-49AE-87FB-95FD16584B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p>
    <w:p w14:paraId="1991E238" w14:textId="13F23BE0" w:rsidR="00DC6A92" w:rsidRPr="00BE7D8E" w:rsidRDefault="00BE7D8E" w:rsidP="00BE7D8E">
      <w:pPr>
        <w:pStyle w:val="Legend"/>
        <w:jc w:val="center"/>
        <w:rPr>
          <w:rFonts w:ascii="Arial" w:hAnsi="Arial" w:cs="Arial"/>
          <w:i w:val="0"/>
          <w:iCs w:val="0"/>
          <w:color w:val="1F497D"/>
          <w:kern w:val="1"/>
          <w:sz w:val="22"/>
          <w:szCs w:val="22"/>
          <w:lang w:val="ro-RO" w:eastAsia="hi-IN" w:bidi="hi-IN"/>
        </w:rPr>
      </w:pPr>
      <w:bookmarkStart w:id="569" w:name="_Toc68361063"/>
      <w:bookmarkStart w:id="570" w:name="_Toc140744555"/>
      <w:r w:rsidRPr="00BE7D8E">
        <w:rPr>
          <w:rFonts w:ascii="Arial" w:hAnsi="Arial" w:cs="Arial"/>
          <w:sz w:val="22"/>
          <w:szCs w:val="22"/>
        </w:rPr>
        <w:t xml:space="preserve">Figura I.7. </w:t>
      </w:r>
      <w:r w:rsidRPr="00BE7D8E">
        <w:rPr>
          <w:rFonts w:ascii="Arial" w:hAnsi="Arial" w:cs="Arial"/>
          <w:sz w:val="22"/>
          <w:szCs w:val="22"/>
        </w:rPr>
        <w:fldChar w:fldCharType="begin"/>
      </w:r>
      <w:r w:rsidRPr="00BE7D8E">
        <w:rPr>
          <w:rFonts w:ascii="Arial" w:hAnsi="Arial" w:cs="Arial"/>
          <w:sz w:val="22"/>
          <w:szCs w:val="22"/>
        </w:rPr>
        <w:instrText xml:space="preserve"> SEQ Figura_I.7. \* ARABIC </w:instrText>
      </w:r>
      <w:r w:rsidRPr="00BE7D8E">
        <w:rPr>
          <w:rFonts w:ascii="Arial" w:hAnsi="Arial" w:cs="Arial"/>
          <w:sz w:val="22"/>
          <w:szCs w:val="22"/>
        </w:rPr>
        <w:fldChar w:fldCharType="separate"/>
      </w:r>
      <w:r w:rsidR="00BB181C">
        <w:rPr>
          <w:rFonts w:ascii="Arial" w:hAnsi="Arial" w:cs="Arial"/>
          <w:noProof/>
          <w:sz w:val="22"/>
          <w:szCs w:val="22"/>
        </w:rPr>
        <w:t>30</w:t>
      </w:r>
      <w:r w:rsidRPr="00BE7D8E">
        <w:rPr>
          <w:rFonts w:ascii="Arial" w:hAnsi="Arial" w:cs="Arial"/>
          <w:sz w:val="22"/>
          <w:szCs w:val="22"/>
        </w:rPr>
        <w:fldChar w:fldCharType="end"/>
      </w:r>
      <w:r w:rsidRPr="00BE7D8E">
        <w:rPr>
          <w:rFonts w:ascii="Arial" w:hAnsi="Arial" w:cs="Arial"/>
          <w:sz w:val="22"/>
          <w:szCs w:val="22"/>
        </w:rPr>
        <w:t xml:space="preserve"> </w:t>
      </w:r>
      <w:r w:rsidR="00DC6A92" w:rsidRPr="00FB373E">
        <w:rPr>
          <w:rFonts w:ascii="Arial" w:hAnsi="Arial" w:cs="Arial"/>
          <w:color w:val="1F497D"/>
          <w:sz w:val="22"/>
          <w:szCs w:val="22"/>
        </w:rPr>
        <w:t xml:space="preserve">– </w:t>
      </w:r>
      <w:r w:rsidR="00DC6A92" w:rsidRPr="00FB373E">
        <w:rPr>
          <w:rFonts w:ascii="Arial" w:hAnsi="Arial" w:cs="Arial"/>
          <w:i w:val="0"/>
          <w:iCs w:val="0"/>
          <w:color w:val="1F497D"/>
          <w:sz w:val="22"/>
          <w:szCs w:val="22"/>
        </w:rPr>
        <w:t>Grad de acoperire transport public</w:t>
      </w:r>
      <w:bookmarkEnd w:id="569"/>
      <w:bookmarkEnd w:id="570"/>
    </w:p>
    <w:p w14:paraId="0CA04514"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r w:rsidRPr="00DC6A92">
        <w:rPr>
          <w:rFonts w:ascii="Arial" w:hAnsi="Arial" w:cs="Arial"/>
          <w:kern w:val="1"/>
          <w:lang w:val="ro-RO" w:eastAsia="hi-IN" w:bidi="hi-IN"/>
        </w:rPr>
        <w:t>Integrarea transportului public periurban celui local va asigura deplasarea cǎtre locurile de muncǎ de pe teritoriul orasului a locuitorilor din zona metropolitană contribuind astfel la creșterea mobilitǎții ȋn arealul zonei metropolitane.</w:t>
      </w:r>
    </w:p>
    <w:p w14:paraId="7B86D5B9" w14:textId="77777777" w:rsidR="00DC6A92" w:rsidRPr="00DC6A92" w:rsidRDefault="00DC6A92" w:rsidP="00DC6A92">
      <w:pPr>
        <w:widowControl w:val="0"/>
        <w:suppressAutoHyphens/>
        <w:spacing w:after="0" w:line="276" w:lineRule="auto"/>
        <w:jc w:val="both"/>
        <w:rPr>
          <w:rFonts w:ascii="Arial" w:hAnsi="Arial" w:cs="Arial"/>
          <w:kern w:val="1"/>
          <w:lang w:val="ro-RO" w:eastAsia="hi-IN" w:bidi="hi-IN"/>
        </w:rPr>
      </w:pPr>
    </w:p>
    <w:p w14:paraId="65694E3A" w14:textId="77777777" w:rsidR="00D70AEA" w:rsidRPr="00C60706" w:rsidRDefault="00D70AEA" w:rsidP="00C60706">
      <w:pPr>
        <w:pStyle w:val="Titlu2"/>
        <w:rPr>
          <w:rFonts w:ascii="Arial" w:hAnsi="Arial" w:cs="Arial"/>
          <w:b/>
          <w:bCs/>
          <w:color w:val="auto"/>
        </w:rPr>
      </w:pPr>
      <w:bookmarkStart w:id="571" w:name="_Toc61264924"/>
      <w:bookmarkStart w:id="572" w:name="_Toc142039117"/>
      <w:r w:rsidRPr="00C60706">
        <w:rPr>
          <w:rFonts w:ascii="Arial" w:hAnsi="Arial" w:cs="Arial"/>
          <w:b/>
          <w:bCs/>
          <w:color w:val="auto"/>
        </w:rPr>
        <w:t>I.7.4</w:t>
      </w:r>
      <w:r w:rsidR="00C60706" w:rsidRPr="00C60706">
        <w:rPr>
          <w:rFonts w:ascii="Arial" w:hAnsi="Arial" w:cs="Arial"/>
          <w:b/>
          <w:bCs/>
          <w:color w:val="auto"/>
        </w:rPr>
        <w:t xml:space="preserve"> </w:t>
      </w:r>
      <w:r w:rsidRPr="00C60706">
        <w:rPr>
          <w:rFonts w:ascii="Arial" w:hAnsi="Arial" w:cs="Arial"/>
          <w:b/>
          <w:bCs/>
          <w:color w:val="auto"/>
        </w:rPr>
        <w:t>Siguranța</w:t>
      </w:r>
      <w:bookmarkEnd w:id="571"/>
      <w:bookmarkEnd w:id="572"/>
      <w:r w:rsidRPr="00C60706">
        <w:rPr>
          <w:rFonts w:ascii="Arial" w:hAnsi="Arial" w:cs="Arial"/>
          <w:b/>
          <w:bCs/>
          <w:color w:val="auto"/>
        </w:rPr>
        <w:t xml:space="preserve"> </w:t>
      </w:r>
    </w:p>
    <w:p w14:paraId="13EB040E" w14:textId="77777777" w:rsidR="00DC6A92" w:rsidRPr="00DC6A92" w:rsidRDefault="00DC6A92" w:rsidP="00DC6A92">
      <w:pPr>
        <w:widowControl w:val="0"/>
        <w:autoSpaceDE w:val="0"/>
        <w:spacing w:after="0" w:line="276" w:lineRule="auto"/>
        <w:jc w:val="both"/>
        <w:rPr>
          <w:rFonts w:ascii="Arial" w:hAnsi="Arial" w:cs="Arial"/>
          <w:kern w:val="1"/>
          <w:lang w:val="ro-RO" w:eastAsia="ro-RO" w:bidi="hi-IN"/>
        </w:rPr>
      </w:pPr>
      <w:r w:rsidRPr="00DC6A92">
        <w:rPr>
          <w:rFonts w:ascii="Arial" w:hAnsi="Arial" w:cs="Arial"/>
          <w:kern w:val="1"/>
          <w:lang w:val="ro-RO" w:eastAsia="ro-RO" w:bidi="hi-IN"/>
        </w:rPr>
        <w:t>PMUD trebuie să contribuie la îmbunătățirea siguranței și securitǎții locuitorilor ȋn general și a utilizatorilor vulnerabili ai rețelei, ȋn special.</w:t>
      </w:r>
    </w:p>
    <w:p w14:paraId="3A073FAA" w14:textId="77777777" w:rsidR="00DC6A92" w:rsidRPr="00DC6A92" w:rsidRDefault="00DC6A92" w:rsidP="00DC6A92">
      <w:pPr>
        <w:widowControl w:val="0"/>
        <w:autoSpaceDE w:val="0"/>
        <w:spacing w:after="0" w:line="276" w:lineRule="auto"/>
        <w:jc w:val="both"/>
        <w:rPr>
          <w:rFonts w:ascii="Arial" w:hAnsi="Arial" w:cs="Arial"/>
          <w:kern w:val="1"/>
          <w:lang w:val="ro-RO" w:eastAsia="ro-RO" w:bidi="hi-IN"/>
        </w:rPr>
      </w:pPr>
    </w:p>
    <w:p w14:paraId="43222789" w14:textId="77777777" w:rsidR="00DC6A92" w:rsidRPr="00DC6A92" w:rsidRDefault="00DC6A92" w:rsidP="00DC6A92">
      <w:pPr>
        <w:widowControl w:val="0"/>
        <w:autoSpaceDE w:val="0"/>
        <w:spacing w:after="0" w:line="276" w:lineRule="auto"/>
        <w:jc w:val="both"/>
        <w:rPr>
          <w:rFonts w:ascii="Arial" w:hAnsi="Arial" w:cs="Arial"/>
          <w:kern w:val="1"/>
          <w:lang w:val="es-ES" w:eastAsia="ro-RO" w:bidi="hi-IN"/>
        </w:rPr>
      </w:pPr>
      <w:r w:rsidRPr="00DC6A92">
        <w:rPr>
          <w:rFonts w:ascii="Arial" w:hAnsi="Arial" w:cs="Arial"/>
          <w:kern w:val="1"/>
          <w:lang w:val="es-ES" w:eastAsia="ro-RO" w:bidi="hi-IN"/>
        </w:rPr>
        <w:t>Principalul factor care contribuie la numărul ridicat de accidente cu urmǎri grave este starea necorespunzǎtoare a infrastructurii rutiere, care include, printre altele, tipurile de acces, condițiile de trafic și facilitățile inacceptabile pentru pietoni, în special la trecerile de pietoni. Mǎsurile și proiectele propuse au rolul de a ȋmbunǎtǎți siguranța și securitatea tuturor participanților la trafic, ȋnsǎ impactul acestor îmbunătățiri este dificil de previzionat.</w:t>
      </w:r>
    </w:p>
    <w:p w14:paraId="10539740" w14:textId="77777777" w:rsidR="00DC6A92" w:rsidRPr="00DC6A92" w:rsidRDefault="00DC6A92" w:rsidP="00DC6A92">
      <w:pPr>
        <w:widowControl w:val="0"/>
        <w:autoSpaceDE w:val="0"/>
        <w:spacing w:after="0" w:line="276" w:lineRule="auto"/>
        <w:jc w:val="both"/>
        <w:rPr>
          <w:rFonts w:ascii="Arial" w:hAnsi="Arial" w:cs="Arial"/>
          <w:kern w:val="1"/>
          <w:lang w:val="es-ES" w:eastAsia="ro-RO" w:bidi="hi-IN"/>
        </w:rPr>
      </w:pPr>
    </w:p>
    <w:p w14:paraId="71DE3BFA" w14:textId="77777777" w:rsidR="00DC6A92" w:rsidRPr="00DC6A92" w:rsidRDefault="00DC6A92" w:rsidP="00DC6A92">
      <w:pPr>
        <w:widowControl w:val="0"/>
        <w:autoSpaceDE w:val="0"/>
        <w:spacing w:after="0" w:line="276" w:lineRule="auto"/>
        <w:jc w:val="both"/>
        <w:rPr>
          <w:rFonts w:ascii="Arial" w:hAnsi="Arial" w:cs="Arial"/>
          <w:kern w:val="1"/>
          <w:lang w:val="es-ES" w:eastAsia="ro-RO" w:bidi="hi-IN"/>
        </w:rPr>
      </w:pPr>
      <w:r w:rsidRPr="00DC6A92">
        <w:rPr>
          <w:rFonts w:ascii="Arial" w:hAnsi="Arial" w:cs="Arial"/>
          <w:kern w:val="1"/>
          <w:lang w:val="es-ES" w:eastAsia="ro-RO" w:bidi="hi-IN"/>
        </w:rPr>
        <w:t xml:space="preserve">Indicatorul care va oferi informații asupra eficienței mǎsurilor propuse ȋl constituie numǎrul de accidente cu urmǎri grave, care trebuie sǎ scadǎ ȋn perioada de implementare a PMUD cu un </w:t>
      </w:r>
      <w:r w:rsidRPr="00DC6A92">
        <w:rPr>
          <w:rFonts w:ascii="Arial" w:hAnsi="Arial" w:cs="Arial"/>
          <w:kern w:val="1"/>
          <w:lang w:val="es-ES" w:eastAsia="ro-RO" w:bidi="hi-IN"/>
        </w:rPr>
        <w:lastRenderedPageBreak/>
        <w:t>procent de 40-50%.</w:t>
      </w:r>
    </w:p>
    <w:p w14:paraId="75AFDBD4" w14:textId="77777777" w:rsidR="0021475C" w:rsidRPr="0021475C" w:rsidRDefault="0021475C" w:rsidP="0021475C">
      <w:pPr>
        <w:rPr>
          <w:lang w:val="it-IT" w:eastAsia="ro-RO"/>
        </w:rPr>
      </w:pPr>
    </w:p>
    <w:p w14:paraId="76915783" w14:textId="77777777" w:rsidR="00D70AEA" w:rsidRDefault="00D70AEA" w:rsidP="00C60706">
      <w:pPr>
        <w:pStyle w:val="Titlu2"/>
        <w:rPr>
          <w:rFonts w:ascii="Arial" w:hAnsi="Arial" w:cs="Arial"/>
          <w:b/>
          <w:bCs/>
          <w:color w:val="auto"/>
        </w:rPr>
      </w:pPr>
      <w:bookmarkStart w:id="573" w:name="_Toc61264925"/>
      <w:bookmarkStart w:id="574" w:name="_Toc142039118"/>
      <w:r w:rsidRPr="00C60706">
        <w:rPr>
          <w:rFonts w:ascii="Arial" w:hAnsi="Arial" w:cs="Arial"/>
          <w:b/>
          <w:bCs/>
          <w:color w:val="auto"/>
        </w:rPr>
        <w:t>I.7.5</w:t>
      </w:r>
      <w:r w:rsidR="00C60706" w:rsidRPr="00C60706">
        <w:rPr>
          <w:rFonts w:ascii="Arial" w:hAnsi="Arial" w:cs="Arial"/>
          <w:b/>
          <w:bCs/>
          <w:color w:val="auto"/>
        </w:rPr>
        <w:t xml:space="preserve"> </w:t>
      </w:r>
      <w:r w:rsidRPr="00C60706">
        <w:rPr>
          <w:rFonts w:ascii="Arial" w:hAnsi="Arial" w:cs="Arial"/>
          <w:b/>
          <w:bCs/>
          <w:color w:val="auto"/>
        </w:rPr>
        <w:t>Calitatea vieții</w:t>
      </w:r>
      <w:bookmarkEnd w:id="573"/>
      <w:bookmarkEnd w:id="574"/>
    </w:p>
    <w:p w14:paraId="40D73467" w14:textId="77777777" w:rsidR="00DC6A92" w:rsidRPr="00DC6A92" w:rsidRDefault="00DC6A92" w:rsidP="00DC6A92">
      <w:pPr>
        <w:autoSpaceDE w:val="0"/>
        <w:spacing w:after="0" w:line="276" w:lineRule="auto"/>
        <w:jc w:val="both"/>
        <w:rPr>
          <w:rFonts w:ascii="Arial" w:hAnsi="Arial" w:cs="Arial"/>
          <w:kern w:val="1"/>
          <w:lang w:val="es-ES" w:eastAsia="ro-RO" w:bidi="hi-IN"/>
        </w:rPr>
      </w:pPr>
      <w:r w:rsidRPr="00DC6A92">
        <w:rPr>
          <w:rFonts w:ascii="Arial" w:hAnsi="Arial" w:cs="Arial"/>
          <w:kern w:val="1"/>
          <w:lang w:val="es-ES" w:eastAsia="ro-RO" w:bidi="hi-IN"/>
        </w:rPr>
        <w:t>Un plan de mobilitate urbanǎ durabilǎ contribuie la îmbunătățirea atractivității și calității mediului și aspectului urban în beneficiul cetățenilor, economiei și societății în general.</w:t>
      </w:r>
    </w:p>
    <w:p w14:paraId="1B0217FB" w14:textId="77777777" w:rsidR="00DC6A92" w:rsidRPr="00DC6A92" w:rsidRDefault="00DC6A92" w:rsidP="00DC6A92">
      <w:pPr>
        <w:autoSpaceDE w:val="0"/>
        <w:spacing w:after="0" w:line="276" w:lineRule="auto"/>
        <w:jc w:val="both"/>
        <w:rPr>
          <w:rFonts w:ascii="Arial" w:hAnsi="Arial" w:cs="Arial"/>
          <w:kern w:val="1"/>
          <w:lang w:val="es-ES" w:eastAsia="ro-RO" w:bidi="hi-IN"/>
        </w:rPr>
      </w:pPr>
    </w:p>
    <w:p w14:paraId="3A5EB361" w14:textId="77777777" w:rsidR="00DC6A92" w:rsidRPr="00DC6A92" w:rsidRDefault="00DC6A92" w:rsidP="00DC6A92">
      <w:pPr>
        <w:autoSpaceDE w:val="0"/>
        <w:spacing w:after="0" w:line="276" w:lineRule="auto"/>
        <w:jc w:val="both"/>
        <w:rPr>
          <w:rFonts w:ascii="Arial" w:hAnsi="Arial" w:cs="Arial"/>
          <w:kern w:val="1"/>
          <w:lang w:val="es-ES" w:eastAsia="ro-RO" w:bidi="hi-IN"/>
        </w:rPr>
      </w:pPr>
      <w:r w:rsidRPr="00DC6A92">
        <w:rPr>
          <w:rFonts w:ascii="Arial" w:hAnsi="Arial" w:cs="Arial"/>
          <w:kern w:val="1"/>
          <w:lang w:val="es-ES" w:eastAsia="ro-RO" w:bidi="hi-IN"/>
        </w:rPr>
        <w:t>Și acest obiectiv este dificil de previzionat și depinde foarte mult de considerațiile legate de designul urban. Totuși, au fost identificate câteva probleme cheie, cea mai importanta fiind daunele produse de parcarea vehiculelor pe domeniul public. Piețele centrale și spațiile publice în aer liber s-au transformat în parcări, ȋn foarte multe cazuri o bandǎ de circulație este folositǎ pentru parcare rezultȃnd reducerea capacitǎții de circulație, iar trotuarele devin deseori locuri de parcare. Pentru rezolvarea acestei probleme au fost propuse atȃt amplasamente pentru parcǎri ȋn zonele cu grad ridicat de atragere a traficului, dar și recomandari privind interzicerea parcarii pe partea carosabila.</w:t>
      </w:r>
    </w:p>
    <w:p w14:paraId="5E1456BF" w14:textId="77777777" w:rsidR="00DC6A92" w:rsidRPr="00DC6A92" w:rsidRDefault="00DC6A92" w:rsidP="00DC6A92">
      <w:pPr>
        <w:autoSpaceDE w:val="0"/>
        <w:spacing w:after="0" w:line="276" w:lineRule="auto"/>
        <w:jc w:val="both"/>
        <w:rPr>
          <w:rFonts w:ascii="Arial" w:hAnsi="Arial" w:cs="Arial"/>
          <w:kern w:val="1"/>
          <w:lang w:val="es-ES" w:eastAsia="ro-RO" w:bidi="hi-IN"/>
        </w:rPr>
      </w:pPr>
    </w:p>
    <w:p w14:paraId="4D50B44E" w14:textId="77777777" w:rsidR="00DC6A92" w:rsidRPr="00DC6A92" w:rsidRDefault="00DC6A92" w:rsidP="00DC6A92">
      <w:pPr>
        <w:autoSpaceDE w:val="0"/>
        <w:spacing w:after="0" w:line="276" w:lineRule="auto"/>
        <w:jc w:val="both"/>
        <w:rPr>
          <w:rFonts w:ascii="Arial" w:hAnsi="Arial" w:cs="Arial"/>
          <w:kern w:val="1"/>
          <w:lang w:val="es-ES" w:eastAsia="ro-RO" w:bidi="hi-IN"/>
        </w:rPr>
      </w:pPr>
      <w:r w:rsidRPr="00DC6A92">
        <w:rPr>
          <w:rFonts w:ascii="Arial" w:hAnsi="Arial" w:cs="Arial"/>
          <w:kern w:val="1"/>
          <w:lang w:val="es-ES" w:eastAsia="ro-RO" w:bidi="hi-IN"/>
        </w:rPr>
        <w:t xml:space="preserve">O parte din mǎsurile și proiectele recomandate vizează și îmbunătățirea spațiilor pentru pietoni și bicicliști ca mod de transport urban prietenos cu mediul. </w:t>
      </w:r>
    </w:p>
    <w:p w14:paraId="2C21E2CA" w14:textId="77777777" w:rsidR="00DC6A92" w:rsidRPr="00DC6A92" w:rsidRDefault="00DC6A92" w:rsidP="00DC6A92">
      <w:pPr>
        <w:autoSpaceDE w:val="0"/>
        <w:spacing w:after="0" w:line="276" w:lineRule="auto"/>
        <w:jc w:val="both"/>
        <w:rPr>
          <w:rFonts w:ascii="Arial" w:hAnsi="Arial" w:cs="Arial"/>
          <w:kern w:val="1"/>
          <w:lang w:val="es-ES" w:eastAsia="ro-RO" w:bidi="hi-IN"/>
        </w:rPr>
      </w:pPr>
    </w:p>
    <w:p w14:paraId="2B0619AE" w14:textId="77777777" w:rsidR="00DC6A92" w:rsidRPr="00DC6A92" w:rsidRDefault="00DC6A92" w:rsidP="00DC6A92">
      <w:pPr>
        <w:autoSpaceDE w:val="0"/>
        <w:spacing w:after="0" w:line="276" w:lineRule="auto"/>
        <w:jc w:val="both"/>
        <w:rPr>
          <w:rFonts w:ascii="Arial" w:hAnsi="Arial" w:cs="Arial"/>
          <w:kern w:val="1"/>
          <w:lang w:val="es-ES" w:eastAsia="ro-RO" w:bidi="hi-IN"/>
        </w:rPr>
      </w:pPr>
      <w:r w:rsidRPr="00DC6A92">
        <w:rPr>
          <w:rFonts w:ascii="Arial" w:hAnsi="Arial" w:cs="Arial"/>
          <w:kern w:val="1"/>
          <w:lang w:val="es-ES" w:eastAsia="ro-RO" w:bidi="hi-IN"/>
        </w:rPr>
        <w:t>Un alt indicator care oferǎ informații asupra calitǎții mediului urban este reprezentat de congestia de trafic, sau, cu alte cuvinte de numărul de kilometri bandă cu nivel ridicat de aglomerare. Acest indicator compară volumul de trafic de pe artera de circulație cu capacitatea acesteia.</w:t>
      </w:r>
    </w:p>
    <w:p w14:paraId="2413E7D4" w14:textId="77777777" w:rsidR="00DC6A92" w:rsidRPr="00DC6A92" w:rsidRDefault="00DC6A92" w:rsidP="00DC6A92">
      <w:pPr>
        <w:autoSpaceDE w:val="0"/>
        <w:spacing w:after="0" w:line="360" w:lineRule="auto"/>
        <w:jc w:val="both"/>
        <w:rPr>
          <w:rFonts w:ascii="Arial" w:hAnsi="Arial" w:cs="Arial"/>
          <w:kern w:val="1"/>
          <w:sz w:val="24"/>
          <w:szCs w:val="24"/>
          <w:lang w:val="es-ES" w:eastAsia="ro-RO" w:bidi="hi-IN"/>
        </w:rPr>
      </w:pPr>
    </w:p>
    <w:p w14:paraId="2AB16BA9" w14:textId="77777777" w:rsidR="00DC6A92" w:rsidRPr="00DC6A92" w:rsidRDefault="00DC6A92" w:rsidP="00DC6A92">
      <w:pPr>
        <w:widowControl w:val="0"/>
        <w:autoSpaceDE w:val="0"/>
        <w:spacing w:after="0" w:line="276" w:lineRule="auto"/>
        <w:jc w:val="both"/>
        <w:rPr>
          <w:rFonts w:ascii="Arial" w:hAnsi="Arial" w:cs="Arial"/>
          <w:kern w:val="1"/>
          <w:lang w:val="ro-RO" w:eastAsia="hi-IN" w:bidi="hi-IN"/>
        </w:rPr>
      </w:pPr>
      <w:r w:rsidRPr="00DC6A92">
        <w:rPr>
          <w:rFonts w:ascii="Arial" w:hAnsi="Arial" w:cs="Arial"/>
          <w:kern w:val="1"/>
          <w:lang w:val="ro-RO" w:eastAsia="hi-IN" w:bidi="hi-IN"/>
        </w:rPr>
        <w:t xml:space="preserve">In urma aplicării măsurilor cuprinse în scenariile 2 şi 3, </w:t>
      </w:r>
      <w:r w:rsidRPr="00DC6A92">
        <w:rPr>
          <w:rFonts w:ascii="Arial" w:hAnsi="Arial" w:cs="Arial"/>
          <w:kern w:val="1"/>
          <w:lang w:val="ro-RO" w:eastAsia="ro-RO" w:bidi="hi-IN"/>
        </w:rPr>
        <w:t>lungimea cozilor de așteptare rezultată este prezentatǎ ȋn tabelele urmǎtoare.</w:t>
      </w:r>
    </w:p>
    <w:p w14:paraId="737BFC59" w14:textId="77777777" w:rsidR="00DC6A92" w:rsidRPr="00DC6A92" w:rsidRDefault="00DC6A92" w:rsidP="00DC6A92">
      <w:pPr>
        <w:autoSpaceDE w:val="0"/>
        <w:spacing w:after="0" w:line="276" w:lineRule="auto"/>
        <w:jc w:val="both"/>
        <w:rPr>
          <w:rFonts w:ascii="Arial" w:hAnsi="Arial" w:cs="Arial"/>
          <w:kern w:val="1"/>
          <w:lang w:val="ro-RO" w:eastAsia="ro-RO" w:bidi="hi-IN"/>
        </w:rPr>
      </w:pPr>
    </w:p>
    <w:p w14:paraId="768CC6E2" w14:textId="0C78271B" w:rsidR="00DC6A92" w:rsidRPr="00DC6A92" w:rsidRDefault="00BB0D72" w:rsidP="00DC6A92">
      <w:pPr>
        <w:spacing w:after="200" w:line="240" w:lineRule="auto"/>
        <w:jc w:val="center"/>
        <w:rPr>
          <w:rFonts w:ascii="Arial" w:hAnsi="Arial" w:cs="Arial"/>
          <w:b/>
          <w:color w:val="000000"/>
          <w:kern w:val="1"/>
          <w:lang w:val="ro-RO" w:eastAsia="hi-IN" w:bidi="hi-IN"/>
        </w:rPr>
      </w:pPr>
      <w:bookmarkStart w:id="575" w:name="_Toc68361294"/>
      <w:bookmarkStart w:id="576" w:name="_Toc96463918"/>
      <w:r>
        <w:rPr>
          <w:rFonts w:ascii="Arial" w:hAnsi="Arial" w:cs="Arial"/>
          <w:i/>
          <w:iCs/>
          <w:color w:val="1F497D"/>
        </w:rPr>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22</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hAnsi="Arial" w:cs="Arial"/>
          <w:color w:val="1F497D"/>
        </w:rPr>
        <w:t>Lungimea maximǎ a cozilor de așteptare (veh)</w:t>
      </w:r>
      <w:bookmarkEnd w:id="575"/>
      <w:bookmarkEnd w:id="576"/>
    </w:p>
    <w:tbl>
      <w:tblPr>
        <w:tblW w:w="0" w:type="auto"/>
        <w:jc w:val="center"/>
        <w:tblLayout w:type="fixed"/>
        <w:tblCellMar>
          <w:left w:w="0" w:type="dxa"/>
          <w:right w:w="0" w:type="dxa"/>
        </w:tblCellMar>
        <w:tblLook w:val="0000" w:firstRow="0" w:lastRow="0" w:firstColumn="0" w:lastColumn="0" w:noHBand="0" w:noVBand="0"/>
      </w:tblPr>
      <w:tblGrid>
        <w:gridCol w:w="1735"/>
        <w:gridCol w:w="1653"/>
        <w:gridCol w:w="1653"/>
        <w:gridCol w:w="1653"/>
        <w:gridCol w:w="1653"/>
      </w:tblGrid>
      <w:tr w:rsidR="00FB373E" w:rsidRPr="00FB373E" w14:paraId="540CE8CE" w14:textId="77777777" w:rsidTr="00CE76B6">
        <w:trPr>
          <w:trHeight w:val="542"/>
          <w:jc w:val="center"/>
        </w:trPr>
        <w:tc>
          <w:tcPr>
            <w:tcW w:w="1735" w:type="dxa"/>
            <w:vMerge w:val="restart"/>
            <w:tcBorders>
              <w:top w:val="single" w:sz="3" w:space="0" w:color="000001"/>
              <w:left w:val="single" w:sz="3" w:space="0" w:color="000001"/>
            </w:tcBorders>
            <w:shd w:val="clear" w:color="auto" w:fill="D9D9D9"/>
            <w:vAlign w:val="center"/>
          </w:tcPr>
          <w:p w14:paraId="2D55E181"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Cozi așteptare</w:t>
            </w:r>
          </w:p>
        </w:tc>
        <w:tc>
          <w:tcPr>
            <w:tcW w:w="3306" w:type="dxa"/>
            <w:gridSpan w:val="2"/>
            <w:tcBorders>
              <w:top w:val="single" w:sz="3" w:space="0" w:color="000001"/>
              <w:left w:val="single" w:sz="3" w:space="0" w:color="000001"/>
              <w:bottom w:val="single" w:sz="3" w:space="0" w:color="000001"/>
              <w:right w:val="single" w:sz="3" w:space="0" w:color="000001"/>
            </w:tcBorders>
            <w:shd w:val="clear" w:color="auto" w:fill="D9D9D9"/>
            <w:vAlign w:val="center"/>
          </w:tcPr>
          <w:p w14:paraId="52B8DFA3"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2027</w:t>
            </w:r>
          </w:p>
        </w:tc>
        <w:tc>
          <w:tcPr>
            <w:tcW w:w="3306" w:type="dxa"/>
            <w:gridSpan w:val="2"/>
            <w:tcBorders>
              <w:top w:val="single" w:sz="3" w:space="0" w:color="000001"/>
              <w:left w:val="single" w:sz="3" w:space="0" w:color="000001"/>
              <w:bottom w:val="single" w:sz="3" w:space="0" w:color="000001"/>
              <w:right w:val="single" w:sz="3" w:space="0" w:color="000001"/>
            </w:tcBorders>
            <w:shd w:val="clear" w:color="auto" w:fill="D9D9D9"/>
            <w:vAlign w:val="center"/>
          </w:tcPr>
          <w:p w14:paraId="19685EE3"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2035</w:t>
            </w:r>
          </w:p>
        </w:tc>
      </w:tr>
      <w:tr w:rsidR="00FB373E" w:rsidRPr="00FB373E" w14:paraId="665E5B40" w14:textId="77777777" w:rsidTr="00CE76B6">
        <w:trPr>
          <w:trHeight w:val="542"/>
          <w:jc w:val="center"/>
        </w:trPr>
        <w:tc>
          <w:tcPr>
            <w:tcW w:w="1735" w:type="dxa"/>
            <w:vMerge/>
            <w:tcBorders>
              <w:left w:val="single" w:sz="3" w:space="0" w:color="000001"/>
              <w:bottom w:val="single" w:sz="3" w:space="0" w:color="000001"/>
            </w:tcBorders>
            <w:shd w:val="clear" w:color="auto" w:fill="D9D9D9"/>
            <w:vAlign w:val="center"/>
          </w:tcPr>
          <w:p w14:paraId="0E4C0579"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157AB63F" w14:textId="77777777" w:rsidR="00FB373E" w:rsidRPr="00FB373E" w:rsidRDefault="00FB373E" w:rsidP="00FB373E">
            <w:pPr>
              <w:widowControl w:val="0"/>
              <w:suppressAutoHyphens/>
              <w:spacing w:after="0" w:line="276" w:lineRule="auto"/>
              <w:jc w:val="center"/>
              <w:rPr>
                <w:rFonts w:ascii="Arial" w:hAnsi="Arial" w:cs="Mangal"/>
                <w:kern w:val="1"/>
                <w:sz w:val="20"/>
                <w:szCs w:val="24"/>
                <w:lang w:val="ro-RO" w:eastAsia="hi-IN" w:bidi="hi-IN"/>
              </w:rPr>
            </w:pPr>
            <w:r w:rsidRPr="00FB373E">
              <w:rPr>
                <w:rFonts w:ascii="Arial" w:hAnsi="Arial" w:cs="Arial"/>
                <w:b/>
                <w:color w:val="000000"/>
                <w:kern w:val="1"/>
                <w:sz w:val="20"/>
                <w:szCs w:val="24"/>
                <w:lang w:val="ro-RO" w:eastAsia="hi-IN" w:bidi="hi-IN"/>
              </w:rPr>
              <w:t>Scenariul 2</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1FAE46B6"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3</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7BDB73F4" w14:textId="77777777" w:rsidR="00FB373E" w:rsidRPr="00FB373E" w:rsidRDefault="00FB373E" w:rsidP="00FB373E">
            <w:pPr>
              <w:widowControl w:val="0"/>
              <w:suppressAutoHyphens/>
              <w:spacing w:after="0" w:line="276" w:lineRule="auto"/>
              <w:jc w:val="center"/>
              <w:rPr>
                <w:rFonts w:ascii="Arial" w:hAnsi="Arial" w:cs="Mangal"/>
                <w:kern w:val="1"/>
                <w:sz w:val="20"/>
                <w:szCs w:val="24"/>
                <w:lang w:val="ro-RO" w:eastAsia="hi-IN" w:bidi="hi-IN"/>
              </w:rPr>
            </w:pPr>
            <w:r w:rsidRPr="00FB373E">
              <w:rPr>
                <w:rFonts w:ascii="Arial" w:hAnsi="Arial" w:cs="Arial"/>
                <w:b/>
                <w:color w:val="000000"/>
                <w:kern w:val="1"/>
                <w:sz w:val="20"/>
                <w:szCs w:val="24"/>
                <w:lang w:val="ro-RO" w:eastAsia="hi-IN" w:bidi="hi-IN"/>
              </w:rPr>
              <w:t>Scenariul 2</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2CFC4E8E"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3</w:t>
            </w:r>
          </w:p>
        </w:tc>
      </w:tr>
      <w:tr w:rsidR="00FB373E" w:rsidRPr="00FB373E" w14:paraId="0D3C07D1"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4CDF92E5"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AM</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38134391"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rPr>
              <w:t>2,00</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5613EC7D"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sz w:val="20"/>
                <w:szCs w:val="20"/>
                <w:lang w:val="ro-RO"/>
              </w:rPr>
              <w:t>-</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556456F1"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sz w:val="20"/>
                <w:szCs w:val="20"/>
              </w:rPr>
              <w:t>1,87</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05684C19"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sz w:val="20"/>
                <w:szCs w:val="20"/>
              </w:rPr>
              <w:t>1,65</w:t>
            </w:r>
          </w:p>
        </w:tc>
      </w:tr>
      <w:tr w:rsidR="00FB373E" w:rsidRPr="00FB373E" w14:paraId="5E10EA17"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5304A142"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PM</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3AB53FD"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rPr>
              <w:t>2,44</w:t>
            </w:r>
          </w:p>
        </w:tc>
        <w:tc>
          <w:tcPr>
            <w:tcW w:w="1653" w:type="dxa"/>
            <w:tcBorders>
              <w:top w:val="single" w:sz="3" w:space="0" w:color="000001"/>
              <w:left w:val="single" w:sz="3" w:space="0" w:color="000001"/>
              <w:bottom w:val="single" w:sz="3" w:space="0" w:color="000001"/>
              <w:right w:val="single" w:sz="3" w:space="0" w:color="000001"/>
            </w:tcBorders>
            <w:shd w:val="clear" w:color="auto" w:fill="FFFFFF"/>
          </w:tcPr>
          <w:p w14:paraId="0EC20A26"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sz w:val="20"/>
                <w:szCs w:val="20"/>
                <w:lang w:val="ro-RO"/>
              </w:rPr>
              <w:t>-</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50C0362"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sz w:val="20"/>
                <w:szCs w:val="20"/>
              </w:rPr>
              <w:t>2,26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8EAAD8D"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sz w:val="20"/>
                <w:szCs w:val="20"/>
              </w:rPr>
              <w:t>2,09</w:t>
            </w:r>
          </w:p>
        </w:tc>
      </w:tr>
      <w:tr w:rsidR="00FB373E" w:rsidRPr="00FB373E" w14:paraId="164FAE21"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49F1558A"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24 h</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A6B5929"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rPr>
              <w:t>2,44</w:t>
            </w:r>
          </w:p>
        </w:tc>
        <w:tc>
          <w:tcPr>
            <w:tcW w:w="1653" w:type="dxa"/>
            <w:tcBorders>
              <w:top w:val="single" w:sz="3" w:space="0" w:color="000001"/>
              <w:left w:val="single" w:sz="3" w:space="0" w:color="000001"/>
              <w:bottom w:val="single" w:sz="3" w:space="0" w:color="000001"/>
              <w:right w:val="single" w:sz="3" w:space="0" w:color="000001"/>
            </w:tcBorders>
            <w:shd w:val="clear" w:color="auto" w:fill="FFFFFF"/>
          </w:tcPr>
          <w:p w14:paraId="1348656B"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sz w:val="20"/>
                <w:szCs w:val="20"/>
                <w:lang w:val="ro-RO"/>
              </w:rPr>
              <w:t>-</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5B678672"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sz w:val="20"/>
                <w:szCs w:val="20"/>
              </w:rPr>
              <w:t>2,26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2D9DB5AE"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sz w:val="20"/>
                <w:szCs w:val="20"/>
              </w:rPr>
              <w:t>2,09</w:t>
            </w:r>
          </w:p>
        </w:tc>
      </w:tr>
    </w:tbl>
    <w:p w14:paraId="1BC6B1B5" w14:textId="66C29E3A" w:rsidR="00DC6A92" w:rsidRDefault="00DC6A92" w:rsidP="00DC6A92">
      <w:pPr>
        <w:suppressAutoHyphens/>
        <w:spacing w:after="0" w:line="360" w:lineRule="auto"/>
        <w:jc w:val="center"/>
        <w:rPr>
          <w:rFonts w:ascii="Arial" w:eastAsia="Times New Roman" w:hAnsi="Arial" w:cs="Arial"/>
          <w:sz w:val="24"/>
          <w:szCs w:val="24"/>
          <w:lang w:val="x-none" w:eastAsia="ro-RO"/>
        </w:rPr>
      </w:pPr>
    </w:p>
    <w:p w14:paraId="533D15C6" w14:textId="69792CB0" w:rsidR="00FB373E" w:rsidRDefault="00FB373E" w:rsidP="00DC6A92">
      <w:pPr>
        <w:suppressAutoHyphens/>
        <w:spacing w:after="0" w:line="360" w:lineRule="auto"/>
        <w:jc w:val="center"/>
        <w:rPr>
          <w:rFonts w:ascii="Arial" w:eastAsia="Times New Roman" w:hAnsi="Arial" w:cs="Arial"/>
          <w:sz w:val="24"/>
          <w:szCs w:val="24"/>
          <w:lang w:val="x-none" w:eastAsia="ro-RO"/>
        </w:rPr>
      </w:pPr>
    </w:p>
    <w:p w14:paraId="68B43B05" w14:textId="3998AEAE" w:rsidR="00FB373E" w:rsidRDefault="00FB373E" w:rsidP="00DC6A92">
      <w:pPr>
        <w:suppressAutoHyphens/>
        <w:spacing w:after="0" w:line="360" w:lineRule="auto"/>
        <w:jc w:val="center"/>
        <w:rPr>
          <w:rFonts w:ascii="Arial" w:eastAsia="Times New Roman" w:hAnsi="Arial" w:cs="Arial"/>
          <w:sz w:val="24"/>
          <w:szCs w:val="24"/>
          <w:lang w:val="x-none" w:eastAsia="ro-RO"/>
        </w:rPr>
      </w:pPr>
    </w:p>
    <w:p w14:paraId="31722AFE" w14:textId="561A4859" w:rsidR="00FB373E" w:rsidRDefault="00FB373E" w:rsidP="00DC6A92">
      <w:pPr>
        <w:suppressAutoHyphens/>
        <w:spacing w:after="0" w:line="360" w:lineRule="auto"/>
        <w:jc w:val="center"/>
        <w:rPr>
          <w:rFonts w:ascii="Arial" w:eastAsia="Times New Roman" w:hAnsi="Arial" w:cs="Arial"/>
          <w:sz w:val="24"/>
          <w:szCs w:val="24"/>
          <w:lang w:val="x-none" w:eastAsia="ro-RO"/>
        </w:rPr>
      </w:pPr>
    </w:p>
    <w:p w14:paraId="49565493" w14:textId="57B44ABA" w:rsidR="00FB373E" w:rsidRDefault="00FB373E" w:rsidP="00DC6A92">
      <w:pPr>
        <w:suppressAutoHyphens/>
        <w:spacing w:after="0" w:line="360" w:lineRule="auto"/>
        <w:jc w:val="center"/>
        <w:rPr>
          <w:rFonts w:ascii="Arial" w:eastAsia="Times New Roman" w:hAnsi="Arial" w:cs="Arial"/>
          <w:sz w:val="24"/>
          <w:szCs w:val="24"/>
          <w:lang w:val="x-none" w:eastAsia="ro-RO"/>
        </w:rPr>
      </w:pPr>
    </w:p>
    <w:p w14:paraId="3AA39CE9" w14:textId="77777777" w:rsidR="00FB373E" w:rsidRPr="00DC6A92" w:rsidRDefault="00FB373E" w:rsidP="00DC6A92">
      <w:pPr>
        <w:suppressAutoHyphens/>
        <w:spacing w:after="0" w:line="360" w:lineRule="auto"/>
        <w:jc w:val="center"/>
        <w:rPr>
          <w:rFonts w:ascii="Arial" w:eastAsia="Times New Roman" w:hAnsi="Arial" w:cs="Arial"/>
          <w:sz w:val="24"/>
          <w:szCs w:val="24"/>
          <w:lang w:val="x-none" w:eastAsia="ro-RO"/>
        </w:rPr>
      </w:pPr>
    </w:p>
    <w:p w14:paraId="309C2B52" w14:textId="1D66C55E" w:rsidR="00DC6A92" w:rsidRPr="00DC6A92" w:rsidRDefault="00BB0D72" w:rsidP="00DC6A92">
      <w:pPr>
        <w:spacing w:after="200" w:line="240" w:lineRule="auto"/>
        <w:jc w:val="center"/>
        <w:rPr>
          <w:rFonts w:ascii="Arial" w:eastAsia="Times New Roman" w:hAnsi="Arial" w:cs="Arial"/>
          <w:color w:val="1F497D"/>
          <w:lang w:val="x-none" w:eastAsia="ro-RO"/>
        </w:rPr>
      </w:pPr>
      <w:bookmarkStart w:id="577" w:name="_Toc68361295"/>
      <w:bookmarkStart w:id="578" w:name="_Toc96463919"/>
      <w:r>
        <w:rPr>
          <w:rFonts w:ascii="Arial" w:hAnsi="Arial" w:cs="Arial"/>
          <w:i/>
          <w:iCs/>
          <w:color w:val="1F497D"/>
        </w:rPr>
        <w:lastRenderedPageBreak/>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23</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hAnsi="Arial" w:cs="Arial"/>
          <w:color w:val="1F497D"/>
        </w:rPr>
        <w:t>Lungimea medie a cozilor de așteptare (veh)</w:t>
      </w:r>
      <w:bookmarkEnd w:id="577"/>
      <w:bookmarkEnd w:id="578"/>
    </w:p>
    <w:tbl>
      <w:tblPr>
        <w:tblW w:w="0" w:type="auto"/>
        <w:jc w:val="center"/>
        <w:tblLayout w:type="fixed"/>
        <w:tblCellMar>
          <w:left w:w="0" w:type="dxa"/>
          <w:right w:w="0" w:type="dxa"/>
        </w:tblCellMar>
        <w:tblLook w:val="0000" w:firstRow="0" w:lastRow="0" w:firstColumn="0" w:lastColumn="0" w:noHBand="0" w:noVBand="0"/>
      </w:tblPr>
      <w:tblGrid>
        <w:gridCol w:w="1735"/>
        <w:gridCol w:w="1653"/>
        <w:gridCol w:w="1653"/>
        <w:gridCol w:w="1653"/>
        <w:gridCol w:w="1653"/>
      </w:tblGrid>
      <w:tr w:rsidR="00FB373E" w:rsidRPr="00FB373E" w14:paraId="604AD781" w14:textId="77777777" w:rsidTr="00CE76B6">
        <w:trPr>
          <w:trHeight w:val="542"/>
          <w:jc w:val="center"/>
        </w:trPr>
        <w:tc>
          <w:tcPr>
            <w:tcW w:w="1735" w:type="dxa"/>
            <w:vMerge w:val="restart"/>
            <w:tcBorders>
              <w:top w:val="single" w:sz="3" w:space="0" w:color="000001"/>
              <w:left w:val="single" w:sz="3" w:space="0" w:color="000001"/>
            </w:tcBorders>
            <w:shd w:val="clear" w:color="auto" w:fill="D9D9D9"/>
            <w:vAlign w:val="center"/>
          </w:tcPr>
          <w:p w14:paraId="7AD7543A"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Cozi așteptare</w:t>
            </w:r>
          </w:p>
        </w:tc>
        <w:tc>
          <w:tcPr>
            <w:tcW w:w="3306" w:type="dxa"/>
            <w:gridSpan w:val="2"/>
            <w:tcBorders>
              <w:top w:val="single" w:sz="3" w:space="0" w:color="000001"/>
              <w:left w:val="single" w:sz="3" w:space="0" w:color="000001"/>
              <w:bottom w:val="single" w:sz="3" w:space="0" w:color="000001"/>
              <w:right w:val="single" w:sz="3" w:space="0" w:color="000001"/>
            </w:tcBorders>
            <w:shd w:val="clear" w:color="auto" w:fill="D9D9D9"/>
            <w:vAlign w:val="center"/>
          </w:tcPr>
          <w:p w14:paraId="31C71ECC"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2027</w:t>
            </w:r>
          </w:p>
        </w:tc>
        <w:tc>
          <w:tcPr>
            <w:tcW w:w="3306" w:type="dxa"/>
            <w:gridSpan w:val="2"/>
            <w:tcBorders>
              <w:top w:val="single" w:sz="3" w:space="0" w:color="000001"/>
              <w:left w:val="single" w:sz="3" w:space="0" w:color="000001"/>
              <w:bottom w:val="single" w:sz="3" w:space="0" w:color="000001"/>
              <w:right w:val="single" w:sz="3" w:space="0" w:color="000001"/>
            </w:tcBorders>
            <w:shd w:val="clear" w:color="auto" w:fill="D9D9D9"/>
            <w:vAlign w:val="center"/>
          </w:tcPr>
          <w:p w14:paraId="3EF536F9"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2035</w:t>
            </w:r>
          </w:p>
        </w:tc>
      </w:tr>
      <w:tr w:rsidR="00FB373E" w:rsidRPr="00FB373E" w14:paraId="0ECEB707" w14:textId="77777777" w:rsidTr="00CE76B6">
        <w:trPr>
          <w:trHeight w:val="542"/>
          <w:jc w:val="center"/>
        </w:trPr>
        <w:tc>
          <w:tcPr>
            <w:tcW w:w="1735" w:type="dxa"/>
            <w:vMerge/>
            <w:tcBorders>
              <w:left w:val="single" w:sz="3" w:space="0" w:color="000001"/>
              <w:bottom w:val="single" w:sz="3" w:space="0" w:color="000001"/>
            </w:tcBorders>
            <w:shd w:val="clear" w:color="auto" w:fill="D9D9D9"/>
            <w:vAlign w:val="center"/>
          </w:tcPr>
          <w:p w14:paraId="323A6307"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04F5E45B" w14:textId="77777777" w:rsidR="00FB373E" w:rsidRPr="00FB373E" w:rsidRDefault="00FB373E" w:rsidP="00FB373E">
            <w:pPr>
              <w:widowControl w:val="0"/>
              <w:suppressAutoHyphens/>
              <w:spacing w:after="0" w:line="276" w:lineRule="auto"/>
              <w:jc w:val="center"/>
              <w:rPr>
                <w:rFonts w:ascii="Arial" w:hAnsi="Arial" w:cs="Mangal"/>
                <w:kern w:val="1"/>
                <w:sz w:val="20"/>
                <w:szCs w:val="24"/>
                <w:lang w:val="ro-RO" w:eastAsia="hi-IN" w:bidi="hi-IN"/>
              </w:rPr>
            </w:pPr>
            <w:r w:rsidRPr="00FB373E">
              <w:rPr>
                <w:rFonts w:ascii="Arial" w:hAnsi="Arial" w:cs="Arial"/>
                <w:b/>
                <w:color w:val="000000"/>
                <w:kern w:val="1"/>
                <w:sz w:val="20"/>
                <w:szCs w:val="24"/>
                <w:lang w:val="ro-RO" w:eastAsia="hi-IN" w:bidi="hi-IN"/>
              </w:rPr>
              <w:t>Scenariul 2</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68461E3E"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3</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650330A6" w14:textId="77777777" w:rsidR="00FB373E" w:rsidRPr="00FB373E" w:rsidRDefault="00FB373E" w:rsidP="00FB373E">
            <w:pPr>
              <w:widowControl w:val="0"/>
              <w:suppressAutoHyphens/>
              <w:spacing w:after="0" w:line="276" w:lineRule="auto"/>
              <w:jc w:val="center"/>
              <w:rPr>
                <w:rFonts w:ascii="Arial" w:hAnsi="Arial" w:cs="Mangal"/>
                <w:kern w:val="1"/>
                <w:sz w:val="20"/>
                <w:szCs w:val="24"/>
                <w:lang w:val="ro-RO" w:eastAsia="hi-IN" w:bidi="hi-IN"/>
              </w:rPr>
            </w:pPr>
            <w:r w:rsidRPr="00FB373E">
              <w:rPr>
                <w:rFonts w:ascii="Arial" w:hAnsi="Arial" w:cs="Arial"/>
                <w:b/>
                <w:color w:val="000000"/>
                <w:kern w:val="1"/>
                <w:sz w:val="20"/>
                <w:szCs w:val="24"/>
                <w:lang w:val="ro-RO" w:eastAsia="hi-IN" w:bidi="hi-IN"/>
              </w:rPr>
              <w:t>Scenariul 2</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466E415F"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3</w:t>
            </w:r>
          </w:p>
        </w:tc>
      </w:tr>
      <w:tr w:rsidR="00FB373E" w:rsidRPr="00FB373E" w14:paraId="0476739B"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2B502F08"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AM</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3E29152E"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rPr>
              <w:t>0,42</w:t>
            </w:r>
          </w:p>
        </w:tc>
        <w:tc>
          <w:tcPr>
            <w:tcW w:w="1653" w:type="dxa"/>
            <w:tcBorders>
              <w:top w:val="single" w:sz="3" w:space="0" w:color="000001"/>
              <w:left w:val="single" w:sz="3" w:space="0" w:color="000001"/>
              <w:bottom w:val="single" w:sz="3" w:space="0" w:color="000001"/>
              <w:right w:val="single" w:sz="3" w:space="0" w:color="000001"/>
            </w:tcBorders>
            <w:shd w:val="clear" w:color="auto" w:fill="FFFFFF"/>
          </w:tcPr>
          <w:p w14:paraId="491E664B"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lang w:val="ro-RO"/>
              </w:rPr>
              <w:t>-</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2E472A42"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rPr>
              <w:t>0,54</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B2CE5BD"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rPr>
              <w:t>0,49</w:t>
            </w:r>
          </w:p>
        </w:tc>
      </w:tr>
      <w:tr w:rsidR="00FB373E" w:rsidRPr="00FB373E" w14:paraId="40901D33"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4F3DC32C"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PM</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0F753BDD"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rPr>
              <w:t>0,56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tcPr>
          <w:p w14:paraId="1F864EB3"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lang w:val="ro-RO"/>
              </w:rPr>
              <w:t>-</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E85F274"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rPr>
              <w:t>0,60</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3B34CA4"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rPr>
              <w:t>0,54</w:t>
            </w:r>
          </w:p>
        </w:tc>
      </w:tr>
      <w:tr w:rsidR="00FB373E" w:rsidRPr="00FB373E" w14:paraId="6686EFC8"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73BCFD79"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24 h</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345503E4" w14:textId="77777777" w:rsidR="00FB373E" w:rsidRPr="00FB373E" w:rsidRDefault="00FB373E" w:rsidP="00FB373E">
            <w:pPr>
              <w:spacing w:after="0"/>
              <w:jc w:val="center"/>
              <w:rPr>
                <w:rFonts w:ascii="Arial" w:hAnsi="Arial" w:cs="Arial"/>
                <w:sz w:val="20"/>
                <w:szCs w:val="20"/>
                <w:lang w:val="ro-RO"/>
              </w:rPr>
            </w:pPr>
            <w:r w:rsidRPr="00FB373E">
              <w:rPr>
                <w:rFonts w:ascii="Arial" w:hAnsi="Arial" w:cs="Arial"/>
              </w:rPr>
              <w:t>0,24</w:t>
            </w:r>
          </w:p>
        </w:tc>
        <w:tc>
          <w:tcPr>
            <w:tcW w:w="1653" w:type="dxa"/>
            <w:tcBorders>
              <w:top w:val="single" w:sz="3" w:space="0" w:color="000001"/>
              <w:left w:val="single" w:sz="3" w:space="0" w:color="000001"/>
              <w:bottom w:val="single" w:sz="3" w:space="0" w:color="000001"/>
              <w:right w:val="single" w:sz="3" w:space="0" w:color="000001"/>
            </w:tcBorders>
            <w:shd w:val="clear" w:color="auto" w:fill="FFFFFF"/>
          </w:tcPr>
          <w:p w14:paraId="3C832243"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lang w:val="ro-RO"/>
              </w:rPr>
              <w:t>-</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0DC6356A"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rPr>
              <w:t>0,28</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07FBEB85"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rPr>
              <w:t>0,26</w:t>
            </w:r>
          </w:p>
        </w:tc>
      </w:tr>
    </w:tbl>
    <w:p w14:paraId="008C0BC9" w14:textId="77777777" w:rsidR="00DC6A92" w:rsidRPr="00DC6A92" w:rsidRDefault="00DC6A92" w:rsidP="00DC6A92">
      <w:pPr>
        <w:suppressAutoHyphens/>
        <w:spacing w:after="0" w:line="360" w:lineRule="auto"/>
        <w:jc w:val="center"/>
        <w:rPr>
          <w:rFonts w:ascii="Arial" w:eastAsia="Times New Roman" w:hAnsi="Arial" w:cs="Arial"/>
          <w:b/>
          <w:color w:val="000000"/>
          <w:lang w:val="x-none" w:eastAsia="zh-CN"/>
        </w:rPr>
      </w:pPr>
    </w:p>
    <w:p w14:paraId="17ACDDA3" w14:textId="77777777" w:rsidR="00DC6A92" w:rsidRDefault="00DC6A92" w:rsidP="00DC6A92">
      <w:pPr>
        <w:autoSpaceDE w:val="0"/>
        <w:spacing w:after="0" w:line="276" w:lineRule="auto"/>
        <w:jc w:val="both"/>
        <w:rPr>
          <w:rFonts w:ascii="Arial" w:hAnsi="Arial" w:cs="Arial"/>
          <w:kern w:val="1"/>
          <w:lang w:val="ro-RO" w:eastAsia="ro-RO" w:bidi="hi-IN"/>
        </w:rPr>
      </w:pPr>
      <w:r w:rsidRPr="00DC6A92">
        <w:rPr>
          <w:rFonts w:ascii="Arial" w:hAnsi="Arial" w:cs="Arial"/>
          <w:kern w:val="1"/>
          <w:lang w:val="ro-RO" w:eastAsia="ro-RO" w:bidi="hi-IN"/>
        </w:rPr>
        <w:t>Analiza comparativa a lungimii cozilor de așteptare pentru diferitele scenarii este prezentatǎ ȋn tabelele urmǎtoare.</w:t>
      </w:r>
    </w:p>
    <w:p w14:paraId="5DBF71DC" w14:textId="77777777" w:rsidR="00BE7D8E" w:rsidRDefault="00BE7D8E" w:rsidP="00DC6A92">
      <w:pPr>
        <w:autoSpaceDE w:val="0"/>
        <w:spacing w:after="0" w:line="276" w:lineRule="auto"/>
        <w:jc w:val="both"/>
        <w:rPr>
          <w:rFonts w:ascii="Arial" w:hAnsi="Arial" w:cs="Arial"/>
          <w:kern w:val="1"/>
          <w:lang w:val="ro-RO" w:eastAsia="ro-RO" w:bidi="hi-IN"/>
        </w:rPr>
      </w:pPr>
    </w:p>
    <w:p w14:paraId="147FDA61" w14:textId="77777777" w:rsidR="00BE7D8E" w:rsidRPr="00DC6A92" w:rsidRDefault="00BE7D8E" w:rsidP="00DC6A92">
      <w:pPr>
        <w:autoSpaceDE w:val="0"/>
        <w:spacing w:after="0" w:line="276" w:lineRule="auto"/>
        <w:jc w:val="both"/>
        <w:rPr>
          <w:rFonts w:ascii="Arial" w:hAnsi="Arial" w:cs="Arial"/>
          <w:kern w:val="1"/>
          <w:lang w:val="ro-RO" w:eastAsia="ro-RO" w:bidi="hi-IN"/>
        </w:rPr>
      </w:pPr>
    </w:p>
    <w:p w14:paraId="07E9881E" w14:textId="317C0846" w:rsidR="00DC6A92" w:rsidRPr="00DC6A92" w:rsidRDefault="00BB0D72" w:rsidP="00DC6A92">
      <w:pPr>
        <w:spacing w:after="200" w:line="240" w:lineRule="auto"/>
        <w:jc w:val="center"/>
        <w:rPr>
          <w:rFonts w:ascii="Arial" w:hAnsi="Arial" w:cs="Arial"/>
          <w:b/>
          <w:color w:val="000000"/>
          <w:kern w:val="1"/>
          <w:lang w:val="ro-RO" w:eastAsia="hi-IN" w:bidi="hi-IN"/>
        </w:rPr>
      </w:pPr>
      <w:bookmarkStart w:id="579" w:name="_Toc68361296"/>
      <w:bookmarkStart w:id="580" w:name="_Toc96463920"/>
      <w:r>
        <w:rPr>
          <w:rFonts w:ascii="Arial" w:hAnsi="Arial" w:cs="Arial"/>
          <w:i/>
          <w:iCs/>
          <w:color w:val="1F497D"/>
        </w:rPr>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24</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hAnsi="Arial" w:cs="Arial"/>
          <w:color w:val="1F497D"/>
        </w:rPr>
        <w:t>Lungimea maximǎ a cozilor de așteptare (veh) – orizont 2027</w:t>
      </w:r>
      <w:bookmarkEnd w:id="579"/>
      <w:bookmarkEnd w:id="580"/>
    </w:p>
    <w:tbl>
      <w:tblPr>
        <w:tblW w:w="0" w:type="auto"/>
        <w:jc w:val="center"/>
        <w:tblLayout w:type="fixed"/>
        <w:tblCellMar>
          <w:left w:w="0" w:type="dxa"/>
          <w:right w:w="0" w:type="dxa"/>
        </w:tblCellMar>
        <w:tblLook w:val="0000" w:firstRow="0" w:lastRow="0" w:firstColumn="0" w:lastColumn="0" w:noHBand="0" w:noVBand="0"/>
      </w:tblPr>
      <w:tblGrid>
        <w:gridCol w:w="1735"/>
        <w:gridCol w:w="1595"/>
        <w:gridCol w:w="1653"/>
        <w:gridCol w:w="1653"/>
      </w:tblGrid>
      <w:tr w:rsidR="00FB373E" w:rsidRPr="00FB373E" w14:paraId="526A99DF" w14:textId="77777777" w:rsidTr="00CE76B6">
        <w:trPr>
          <w:trHeight w:val="542"/>
          <w:jc w:val="center"/>
        </w:trPr>
        <w:tc>
          <w:tcPr>
            <w:tcW w:w="1735" w:type="dxa"/>
            <w:tcBorders>
              <w:top w:val="single" w:sz="3" w:space="0" w:color="000001"/>
              <w:left w:val="single" w:sz="3" w:space="0" w:color="000001"/>
              <w:bottom w:val="single" w:sz="3" w:space="0" w:color="000001"/>
            </w:tcBorders>
            <w:shd w:val="clear" w:color="auto" w:fill="D9D9D9"/>
            <w:vAlign w:val="center"/>
          </w:tcPr>
          <w:p w14:paraId="65B2E081"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Cozi așteptare</w:t>
            </w:r>
          </w:p>
        </w:tc>
        <w:tc>
          <w:tcPr>
            <w:tcW w:w="1595" w:type="dxa"/>
            <w:tcBorders>
              <w:top w:val="single" w:sz="3" w:space="0" w:color="000001"/>
              <w:left w:val="single" w:sz="3" w:space="0" w:color="000001"/>
              <w:bottom w:val="single" w:sz="3" w:space="0" w:color="000001"/>
            </w:tcBorders>
            <w:shd w:val="clear" w:color="auto" w:fill="D9D9D9"/>
            <w:vAlign w:val="center"/>
          </w:tcPr>
          <w:p w14:paraId="1A5BAE06"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1</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4A2FEB01" w14:textId="77777777" w:rsidR="00FB373E" w:rsidRPr="00FB373E" w:rsidRDefault="00FB373E" w:rsidP="00FB373E">
            <w:pPr>
              <w:widowControl w:val="0"/>
              <w:suppressAutoHyphens/>
              <w:spacing w:after="0" w:line="276" w:lineRule="auto"/>
              <w:jc w:val="center"/>
              <w:rPr>
                <w:rFonts w:ascii="Arial" w:hAnsi="Arial" w:cs="Mangal"/>
                <w:kern w:val="1"/>
                <w:sz w:val="20"/>
                <w:szCs w:val="24"/>
                <w:lang w:val="ro-RO" w:eastAsia="hi-IN" w:bidi="hi-IN"/>
              </w:rPr>
            </w:pPr>
            <w:r w:rsidRPr="00FB373E">
              <w:rPr>
                <w:rFonts w:ascii="Arial" w:hAnsi="Arial" w:cs="Arial"/>
                <w:b/>
                <w:color w:val="000000"/>
                <w:kern w:val="1"/>
                <w:sz w:val="20"/>
                <w:szCs w:val="24"/>
                <w:lang w:val="ro-RO" w:eastAsia="hi-IN" w:bidi="hi-IN"/>
              </w:rPr>
              <w:t>Scenariul 2</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2B576280"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3</w:t>
            </w:r>
          </w:p>
        </w:tc>
      </w:tr>
      <w:tr w:rsidR="00FB373E" w:rsidRPr="00FB373E" w14:paraId="724A9B1E"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5E9DE3E4"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AM</w:t>
            </w:r>
          </w:p>
        </w:tc>
        <w:tc>
          <w:tcPr>
            <w:tcW w:w="1595" w:type="dxa"/>
            <w:tcBorders>
              <w:top w:val="single" w:sz="3" w:space="0" w:color="000001"/>
              <w:left w:val="single" w:sz="3" w:space="0" w:color="000001"/>
              <w:bottom w:val="single" w:sz="3" w:space="0" w:color="000001"/>
            </w:tcBorders>
            <w:shd w:val="clear" w:color="auto" w:fill="FFFFFF"/>
            <w:vAlign w:val="center"/>
          </w:tcPr>
          <w:p w14:paraId="6A3C8089"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3,61</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2E1BF863"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2,00</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bottom"/>
          </w:tcPr>
          <w:p w14:paraId="0214C808"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lang w:val="ro-RO"/>
              </w:rPr>
              <w:t>-</w:t>
            </w:r>
          </w:p>
        </w:tc>
      </w:tr>
      <w:tr w:rsidR="00FB373E" w:rsidRPr="00FB373E" w14:paraId="214C6A19"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332DC14B"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PM</w:t>
            </w:r>
          </w:p>
        </w:tc>
        <w:tc>
          <w:tcPr>
            <w:tcW w:w="1595" w:type="dxa"/>
            <w:tcBorders>
              <w:top w:val="single" w:sz="3" w:space="0" w:color="000001"/>
              <w:left w:val="single" w:sz="3" w:space="0" w:color="000001"/>
              <w:bottom w:val="single" w:sz="3" w:space="0" w:color="000001"/>
            </w:tcBorders>
            <w:shd w:val="clear" w:color="auto" w:fill="FFFFFF"/>
            <w:vAlign w:val="bottom"/>
          </w:tcPr>
          <w:p w14:paraId="7D5D1A4E"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5,13</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7C72E26"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2,44</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bottom"/>
          </w:tcPr>
          <w:p w14:paraId="2F4265E9"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lang w:val="ro-RO"/>
              </w:rPr>
              <w:t>-</w:t>
            </w:r>
          </w:p>
        </w:tc>
      </w:tr>
      <w:tr w:rsidR="00FB373E" w:rsidRPr="00FB373E" w14:paraId="30FC0F06"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0B8EFB61"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24 h</w:t>
            </w:r>
          </w:p>
        </w:tc>
        <w:tc>
          <w:tcPr>
            <w:tcW w:w="1595" w:type="dxa"/>
            <w:tcBorders>
              <w:top w:val="single" w:sz="3" w:space="0" w:color="000001"/>
              <w:left w:val="single" w:sz="3" w:space="0" w:color="000001"/>
              <w:bottom w:val="single" w:sz="3" w:space="0" w:color="000001"/>
            </w:tcBorders>
            <w:shd w:val="clear" w:color="auto" w:fill="FFFFFF"/>
            <w:vAlign w:val="center"/>
          </w:tcPr>
          <w:p w14:paraId="074E77DB"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5,13</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6858C833"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2,44</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bottom"/>
          </w:tcPr>
          <w:p w14:paraId="31053CD9"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lang w:val="ro-RO"/>
              </w:rPr>
              <w:t>-</w:t>
            </w:r>
          </w:p>
        </w:tc>
      </w:tr>
    </w:tbl>
    <w:p w14:paraId="11A9341A" w14:textId="77777777" w:rsidR="00DC6A92" w:rsidRPr="00DC6A92" w:rsidRDefault="00DC6A92" w:rsidP="00DC6A92">
      <w:pPr>
        <w:suppressAutoHyphens/>
        <w:spacing w:after="0" w:line="360" w:lineRule="auto"/>
        <w:jc w:val="center"/>
        <w:rPr>
          <w:rFonts w:ascii="Arial" w:eastAsia="Times New Roman" w:hAnsi="Arial" w:cs="Arial"/>
          <w:sz w:val="24"/>
          <w:szCs w:val="24"/>
          <w:lang w:val="x-none" w:eastAsia="ro-RO"/>
        </w:rPr>
      </w:pPr>
    </w:p>
    <w:p w14:paraId="23409307" w14:textId="1A7F2689" w:rsidR="00DC6A92" w:rsidRPr="00DC6A92" w:rsidRDefault="00BB0D72" w:rsidP="00DC6A92">
      <w:pPr>
        <w:spacing w:after="200" w:line="240" w:lineRule="auto"/>
        <w:jc w:val="center"/>
        <w:rPr>
          <w:rFonts w:ascii="Arial" w:eastAsia="Times New Roman" w:hAnsi="Arial" w:cs="Arial"/>
          <w:b/>
          <w:color w:val="000000"/>
          <w:lang w:eastAsia="zh-CN"/>
        </w:rPr>
      </w:pPr>
      <w:bookmarkStart w:id="581" w:name="_Toc68361297"/>
      <w:bookmarkStart w:id="582" w:name="_Toc96463921"/>
      <w:r>
        <w:rPr>
          <w:rFonts w:ascii="Arial" w:hAnsi="Arial" w:cs="Arial"/>
          <w:i/>
          <w:iCs/>
          <w:color w:val="1F497D"/>
        </w:rPr>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25</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eastAsia="Times New Roman" w:hAnsi="Arial" w:cs="Arial"/>
          <w:color w:val="1F497D"/>
          <w:lang w:val="x-none" w:eastAsia="ro-RO"/>
        </w:rPr>
        <w:t>Lungimea medie a cozilor de așteptare (veh) – orizont 202</w:t>
      </w:r>
      <w:r w:rsidR="00DC6A92" w:rsidRPr="00DC6A92">
        <w:rPr>
          <w:rFonts w:ascii="Arial" w:eastAsia="Times New Roman" w:hAnsi="Arial" w:cs="Arial"/>
          <w:color w:val="1F497D"/>
          <w:lang w:eastAsia="ro-RO"/>
        </w:rPr>
        <w:t>7</w:t>
      </w:r>
      <w:bookmarkEnd w:id="581"/>
      <w:bookmarkEnd w:id="582"/>
    </w:p>
    <w:tbl>
      <w:tblPr>
        <w:tblW w:w="0" w:type="auto"/>
        <w:jc w:val="center"/>
        <w:tblLayout w:type="fixed"/>
        <w:tblCellMar>
          <w:left w:w="0" w:type="dxa"/>
          <w:right w:w="0" w:type="dxa"/>
        </w:tblCellMar>
        <w:tblLook w:val="0000" w:firstRow="0" w:lastRow="0" w:firstColumn="0" w:lastColumn="0" w:noHBand="0" w:noVBand="0"/>
      </w:tblPr>
      <w:tblGrid>
        <w:gridCol w:w="1735"/>
        <w:gridCol w:w="1595"/>
        <w:gridCol w:w="1653"/>
        <w:gridCol w:w="1653"/>
      </w:tblGrid>
      <w:tr w:rsidR="00FB373E" w:rsidRPr="00FB373E" w14:paraId="73238B21" w14:textId="77777777" w:rsidTr="00CE76B6">
        <w:trPr>
          <w:trHeight w:val="542"/>
          <w:jc w:val="center"/>
        </w:trPr>
        <w:tc>
          <w:tcPr>
            <w:tcW w:w="1735" w:type="dxa"/>
            <w:tcBorders>
              <w:top w:val="single" w:sz="3" w:space="0" w:color="000001"/>
              <w:left w:val="single" w:sz="3" w:space="0" w:color="000001"/>
              <w:bottom w:val="single" w:sz="3" w:space="0" w:color="000001"/>
            </w:tcBorders>
            <w:shd w:val="clear" w:color="auto" w:fill="D9D9D9"/>
            <w:vAlign w:val="center"/>
          </w:tcPr>
          <w:p w14:paraId="7B54A8F9"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Cozi așteptare</w:t>
            </w:r>
          </w:p>
        </w:tc>
        <w:tc>
          <w:tcPr>
            <w:tcW w:w="1595" w:type="dxa"/>
            <w:tcBorders>
              <w:top w:val="single" w:sz="3" w:space="0" w:color="000001"/>
              <w:left w:val="single" w:sz="3" w:space="0" w:color="000001"/>
              <w:bottom w:val="single" w:sz="3" w:space="0" w:color="000001"/>
            </w:tcBorders>
            <w:shd w:val="clear" w:color="auto" w:fill="D9D9D9"/>
            <w:vAlign w:val="center"/>
          </w:tcPr>
          <w:p w14:paraId="79E36565"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1</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23B5C728" w14:textId="77777777" w:rsidR="00FB373E" w:rsidRPr="00FB373E" w:rsidRDefault="00FB373E" w:rsidP="00FB373E">
            <w:pPr>
              <w:widowControl w:val="0"/>
              <w:suppressAutoHyphens/>
              <w:spacing w:after="0" w:line="276" w:lineRule="auto"/>
              <w:jc w:val="center"/>
              <w:rPr>
                <w:rFonts w:ascii="Arial" w:hAnsi="Arial" w:cs="Mangal"/>
                <w:kern w:val="1"/>
                <w:sz w:val="20"/>
                <w:szCs w:val="24"/>
                <w:lang w:val="ro-RO" w:eastAsia="hi-IN" w:bidi="hi-IN"/>
              </w:rPr>
            </w:pPr>
            <w:r w:rsidRPr="00FB373E">
              <w:rPr>
                <w:rFonts w:ascii="Arial" w:hAnsi="Arial" w:cs="Arial"/>
                <w:b/>
                <w:color w:val="000000"/>
                <w:kern w:val="1"/>
                <w:sz w:val="20"/>
                <w:szCs w:val="24"/>
                <w:lang w:val="ro-RO" w:eastAsia="hi-IN" w:bidi="hi-IN"/>
              </w:rPr>
              <w:t>Scenariul 2</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0FA61FED"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3</w:t>
            </w:r>
          </w:p>
        </w:tc>
      </w:tr>
      <w:tr w:rsidR="00FB373E" w:rsidRPr="00FB373E" w14:paraId="29BC355D"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359D6E7E"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AM</w:t>
            </w:r>
          </w:p>
        </w:tc>
        <w:tc>
          <w:tcPr>
            <w:tcW w:w="1595" w:type="dxa"/>
            <w:tcBorders>
              <w:top w:val="single" w:sz="3" w:space="0" w:color="000001"/>
              <w:left w:val="single" w:sz="3" w:space="0" w:color="000001"/>
              <w:bottom w:val="single" w:sz="3" w:space="0" w:color="000001"/>
            </w:tcBorders>
            <w:shd w:val="clear" w:color="auto" w:fill="FFFFFF"/>
            <w:vAlign w:val="center"/>
          </w:tcPr>
          <w:p w14:paraId="73A4BB33"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0,46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11AE9528"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0,42</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bottom"/>
          </w:tcPr>
          <w:p w14:paraId="719CDC4C"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lang w:val="ro-RO"/>
              </w:rPr>
              <w:t>-</w:t>
            </w:r>
          </w:p>
        </w:tc>
      </w:tr>
      <w:tr w:rsidR="00FB373E" w:rsidRPr="00FB373E" w14:paraId="12EE0556"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3457FE0A"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PM</w:t>
            </w:r>
          </w:p>
        </w:tc>
        <w:tc>
          <w:tcPr>
            <w:tcW w:w="1595" w:type="dxa"/>
            <w:tcBorders>
              <w:top w:val="single" w:sz="3" w:space="0" w:color="000001"/>
              <w:left w:val="single" w:sz="3" w:space="0" w:color="000001"/>
              <w:bottom w:val="single" w:sz="3" w:space="0" w:color="000001"/>
            </w:tcBorders>
            <w:shd w:val="clear" w:color="auto" w:fill="FFFFFF"/>
            <w:vAlign w:val="bottom"/>
          </w:tcPr>
          <w:p w14:paraId="2EB98386"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0,74</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1DF786DF"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0,56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bottom"/>
          </w:tcPr>
          <w:p w14:paraId="3BFDCEA9"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lang w:val="ro-RO"/>
              </w:rPr>
              <w:t>-</w:t>
            </w:r>
          </w:p>
        </w:tc>
      </w:tr>
      <w:tr w:rsidR="00FB373E" w:rsidRPr="00FB373E" w14:paraId="080C5503"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504F62D9"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24 h</w:t>
            </w:r>
          </w:p>
        </w:tc>
        <w:tc>
          <w:tcPr>
            <w:tcW w:w="1595" w:type="dxa"/>
            <w:tcBorders>
              <w:top w:val="single" w:sz="3" w:space="0" w:color="000001"/>
              <w:left w:val="single" w:sz="3" w:space="0" w:color="000001"/>
              <w:bottom w:val="single" w:sz="3" w:space="0" w:color="000001"/>
            </w:tcBorders>
            <w:shd w:val="clear" w:color="auto" w:fill="FFFFFF"/>
            <w:vAlign w:val="center"/>
          </w:tcPr>
          <w:p w14:paraId="108FF7ED"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0,30</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E26F172" w14:textId="77777777" w:rsidR="00FB373E" w:rsidRPr="00FB373E" w:rsidRDefault="00FB373E" w:rsidP="00FB373E">
            <w:pPr>
              <w:spacing w:after="0"/>
              <w:jc w:val="center"/>
              <w:rPr>
                <w:rFonts w:ascii="Arial" w:hAnsi="Arial" w:cs="Arial"/>
                <w:sz w:val="20"/>
                <w:szCs w:val="20"/>
                <w:highlight w:val="red"/>
                <w:lang w:val="ro-RO"/>
              </w:rPr>
            </w:pPr>
            <w:r w:rsidRPr="00FB373E">
              <w:rPr>
                <w:rFonts w:ascii="Arial" w:hAnsi="Arial" w:cs="Arial"/>
              </w:rPr>
              <w:t>0,24</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bottom"/>
          </w:tcPr>
          <w:p w14:paraId="3709A504" w14:textId="77777777" w:rsidR="00FB373E" w:rsidRPr="00FB373E" w:rsidRDefault="00FB373E" w:rsidP="00FB373E">
            <w:pPr>
              <w:spacing w:after="0"/>
              <w:jc w:val="center"/>
              <w:rPr>
                <w:rFonts w:ascii="Arial" w:hAnsi="Arial" w:cs="Arial"/>
                <w:color w:val="000000"/>
                <w:sz w:val="20"/>
                <w:szCs w:val="20"/>
                <w:lang w:val="ro-RO"/>
              </w:rPr>
            </w:pPr>
            <w:r w:rsidRPr="00FB373E">
              <w:rPr>
                <w:rFonts w:ascii="Arial" w:hAnsi="Arial" w:cs="Arial"/>
                <w:color w:val="000000"/>
                <w:sz w:val="20"/>
                <w:szCs w:val="20"/>
                <w:lang w:val="ro-RO"/>
              </w:rPr>
              <w:t>-</w:t>
            </w:r>
          </w:p>
        </w:tc>
      </w:tr>
    </w:tbl>
    <w:p w14:paraId="27D6B8D4" w14:textId="77777777" w:rsidR="00DC6A92" w:rsidRPr="00DC6A92" w:rsidRDefault="00DC6A92" w:rsidP="00DC6A92">
      <w:pPr>
        <w:suppressAutoHyphens/>
        <w:spacing w:after="0" w:line="360" w:lineRule="auto"/>
        <w:jc w:val="center"/>
        <w:rPr>
          <w:rFonts w:ascii="Arial" w:eastAsia="Times New Roman" w:hAnsi="Arial" w:cs="Arial"/>
          <w:sz w:val="24"/>
          <w:szCs w:val="24"/>
          <w:lang w:val="x-none" w:eastAsia="ro-RO"/>
        </w:rPr>
      </w:pPr>
    </w:p>
    <w:p w14:paraId="5CF5FEF6" w14:textId="77777777" w:rsidR="00FB373E" w:rsidRPr="00FB373E" w:rsidRDefault="00FB373E" w:rsidP="00FB373E">
      <w:pPr>
        <w:suppressAutoHyphens/>
        <w:spacing w:after="0" w:line="276" w:lineRule="auto"/>
        <w:jc w:val="both"/>
        <w:rPr>
          <w:rFonts w:ascii="Arial" w:hAnsi="Arial" w:cs="Arial"/>
          <w:lang w:val="ro-RO" w:eastAsia="ro-RO"/>
        </w:rPr>
      </w:pPr>
      <w:r w:rsidRPr="00FB373E">
        <w:rPr>
          <w:rFonts w:ascii="Arial" w:hAnsi="Arial" w:cs="Arial"/>
          <w:lang w:val="ro-RO" w:eastAsia="ro-RO"/>
        </w:rPr>
        <w:t xml:space="preserve">Se constată reducerea lungimii maxime a cozilor de așteptare ȋn scenariul 2, orizont 2027, cu peste 24% pentru ora de vârf PM față de scenariul 1. </w:t>
      </w:r>
    </w:p>
    <w:p w14:paraId="2BFE26FF" w14:textId="77777777" w:rsidR="00DC6A92" w:rsidRPr="00DC6A92" w:rsidRDefault="00DC6A92" w:rsidP="00DC6A92">
      <w:pPr>
        <w:suppressAutoHyphens/>
        <w:spacing w:after="0" w:line="276" w:lineRule="auto"/>
        <w:jc w:val="both"/>
        <w:rPr>
          <w:rFonts w:ascii="Arial" w:eastAsia="Times New Roman" w:hAnsi="Arial" w:cs="Arial"/>
          <w:sz w:val="24"/>
          <w:szCs w:val="24"/>
          <w:lang w:val="x-none" w:eastAsia="ro-RO"/>
        </w:rPr>
      </w:pPr>
    </w:p>
    <w:p w14:paraId="502AC5E6" w14:textId="72C25981" w:rsidR="00DC6A92" w:rsidRPr="00DC6A92" w:rsidRDefault="00BB0D72" w:rsidP="00DC6A92">
      <w:pPr>
        <w:spacing w:after="200" w:line="240" w:lineRule="auto"/>
        <w:jc w:val="center"/>
        <w:rPr>
          <w:rFonts w:ascii="Arial" w:eastAsia="Times New Roman" w:hAnsi="Arial" w:cs="Arial"/>
          <w:b/>
          <w:color w:val="000000"/>
          <w:lang w:eastAsia="zh-CN"/>
        </w:rPr>
      </w:pPr>
      <w:bookmarkStart w:id="583" w:name="_Toc68361298"/>
      <w:bookmarkStart w:id="584" w:name="_Toc96463922"/>
      <w:r>
        <w:rPr>
          <w:rFonts w:ascii="Arial" w:hAnsi="Arial" w:cs="Arial"/>
          <w:i/>
          <w:iCs/>
          <w:color w:val="1F497D"/>
        </w:rPr>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26</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hAnsi="Arial" w:cs="Arial"/>
          <w:color w:val="1F497D"/>
        </w:rPr>
        <w:t>Lungimea maximǎ a cozilor de așteptare (veh) – orizont 2035</w:t>
      </w:r>
      <w:bookmarkEnd w:id="583"/>
      <w:bookmarkEnd w:id="584"/>
    </w:p>
    <w:tbl>
      <w:tblPr>
        <w:tblW w:w="0" w:type="auto"/>
        <w:jc w:val="center"/>
        <w:tblLayout w:type="fixed"/>
        <w:tblCellMar>
          <w:left w:w="0" w:type="dxa"/>
          <w:right w:w="0" w:type="dxa"/>
        </w:tblCellMar>
        <w:tblLook w:val="0000" w:firstRow="0" w:lastRow="0" w:firstColumn="0" w:lastColumn="0" w:noHBand="0" w:noVBand="0"/>
      </w:tblPr>
      <w:tblGrid>
        <w:gridCol w:w="1735"/>
        <w:gridCol w:w="1595"/>
        <w:gridCol w:w="1653"/>
        <w:gridCol w:w="1653"/>
      </w:tblGrid>
      <w:tr w:rsidR="00FB373E" w:rsidRPr="00FB373E" w14:paraId="1A4EB4FD" w14:textId="77777777" w:rsidTr="00CE76B6">
        <w:trPr>
          <w:trHeight w:val="542"/>
          <w:jc w:val="center"/>
        </w:trPr>
        <w:tc>
          <w:tcPr>
            <w:tcW w:w="1735" w:type="dxa"/>
            <w:tcBorders>
              <w:top w:val="single" w:sz="3" w:space="0" w:color="000001"/>
              <w:left w:val="single" w:sz="3" w:space="0" w:color="000001"/>
              <w:bottom w:val="single" w:sz="3" w:space="0" w:color="000001"/>
            </w:tcBorders>
            <w:shd w:val="clear" w:color="auto" w:fill="D9D9D9"/>
            <w:vAlign w:val="center"/>
          </w:tcPr>
          <w:p w14:paraId="752D5E93"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Cozi așteptare</w:t>
            </w:r>
          </w:p>
        </w:tc>
        <w:tc>
          <w:tcPr>
            <w:tcW w:w="1595" w:type="dxa"/>
            <w:tcBorders>
              <w:top w:val="single" w:sz="3" w:space="0" w:color="000001"/>
              <w:left w:val="single" w:sz="3" w:space="0" w:color="000001"/>
              <w:bottom w:val="single" w:sz="3" w:space="0" w:color="000001"/>
            </w:tcBorders>
            <w:shd w:val="clear" w:color="auto" w:fill="D9D9D9"/>
            <w:vAlign w:val="center"/>
          </w:tcPr>
          <w:p w14:paraId="689234CC"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1</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4C0058A4" w14:textId="77777777" w:rsidR="00FB373E" w:rsidRPr="00FB373E" w:rsidRDefault="00FB373E" w:rsidP="00FB373E">
            <w:pPr>
              <w:widowControl w:val="0"/>
              <w:suppressAutoHyphens/>
              <w:spacing w:after="0" w:line="276" w:lineRule="auto"/>
              <w:jc w:val="center"/>
              <w:rPr>
                <w:rFonts w:ascii="Arial" w:hAnsi="Arial" w:cs="Mangal"/>
                <w:kern w:val="1"/>
                <w:sz w:val="20"/>
                <w:szCs w:val="24"/>
                <w:lang w:val="ro-RO" w:eastAsia="hi-IN" w:bidi="hi-IN"/>
              </w:rPr>
            </w:pPr>
            <w:r w:rsidRPr="00FB373E">
              <w:rPr>
                <w:rFonts w:ascii="Arial" w:hAnsi="Arial" w:cs="Arial"/>
                <w:b/>
                <w:color w:val="000000"/>
                <w:kern w:val="1"/>
                <w:sz w:val="20"/>
                <w:szCs w:val="24"/>
                <w:lang w:val="ro-RO" w:eastAsia="hi-IN" w:bidi="hi-IN"/>
              </w:rPr>
              <w:t>Scenariul 2</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44555FF3"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3</w:t>
            </w:r>
          </w:p>
        </w:tc>
      </w:tr>
      <w:tr w:rsidR="00FB373E" w:rsidRPr="00FB373E" w14:paraId="163D146C"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5881FADE"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AM</w:t>
            </w:r>
          </w:p>
        </w:tc>
        <w:tc>
          <w:tcPr>
            <w:tcW w:w="1595" w:type="dxa"/>
            <w:tcBorders>
              <w:top w:val="single" w:sz="3" w:space="0" w:color="000001"/>
              <w:left w:val="single" w:sz="3" w:space="0" w:color="000001"/>
              <w:bottom w:val="single" w:sz="3" w:space="0" w:color="000001"/>
            </w:tcBorders>
            <w:shd w:val="clear" w:color="auto" w:fill="FFFFFF"/>
            <w:vAlign w:val="center"/>
          </w:tcPr>
          <w:p w14:paraId="0D81EFE4"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10,75</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CDCBE1E"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1,87</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B7658E5"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1,65</w:t>
            </w:r>
          </w:p>
        </w:tc>
      </w:tr>
      <w:tr w:rsidR="00FB373E" w:rsidRPr="00FB373E" w14:paraId="0B3A4CA9"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404534CC"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PM</w:t>
            </w:r>
          </w:p>
        </w:tc>
        <w:tc>
          <w:tcPr>
            <w:tcW w:w="1595" w:type="dxa"/>
            <w:tcBorders>
              <w:top w:val="single" w:sz="3" w:space="0" w:color="000001"/>
              <w:left w:val="single" w:sz="3" w:space="0" w:color="000001"/>
              <w:bottom w:val="single" w:sz="3" w:space="0" w:color="000001"/>
            </w:tcBorders>
            <w:shd w:val="clear" w:color="auto" w:fill="FFFFFF"/>
            <w:vAlign w:val="bottom"/>
          </w:tcPr>
          <w:p w14:paraId="3A074D7A"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Calibri" w:hAnsi="Calibri" w:cs="Calibri"/>
                <w:color w:val="000000"/>
              </w:rPr>
              <w:t>50,76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5341338"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2,26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9D21346"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2,09</w:t>
            </w:r>
          </w:p>
        </w:tc>
      </w:tr>
      <w:tr w:rsidR="00FB373E" w:rsidRPr="00FB373E" w14:paraId="333B4C4A"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569B95FB"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24 h</w:t>
            </w:r>
          </w:p>
        </w:tc>
        <w:tc>
          <w:tcPr>
            <w:tcW w:w="1595" w:type="dxa"/>
            <w:tcBorders>
              <w:top w:val="single" w:sz="3" w:space="0" w:color="000001"/>
              <w:left w:val="single" w:sz="3" w:space="0" w:color="000001"/>
              <w:bottom w:val="single" w:sz="3" w:space="0" w:color="000001"/>
            </w:tcBorders>
            <w:shd w:val="clear" w:color="auto" w:fill="FFFFFF"/>
            <w:vAlign w:val="center"/>
          </w:tcPr>
          <w:p w14:paraId="29D5ACEE"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50,76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0557EBC6"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2,26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18FCBF15"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2,09</w:t>
            </w:r>
          </w:p>
        </w:tc>
      </w:tr>
    </w:tbl>
    <w:p w14:paraId="6FC47731" w14:textId="715551B5" w:rsidR="00DC6A92" w:rsidRDefault="00DC6A92" w:rsidP="00DC6A92">
      <w:pPr>
        <w:suppressAutoHyphens/>
        <w:spacing w:after="0" w:line="360" w:lineRule="auto"/>
        <w:jc w:val="center"/>
        <w:rPr>
          <w:rFonts w:ascii="Arial" w:eastAsia="Times New Roman" w:hAnsi="Arial" w:cs="Arial"/>
          <w:sz w:val="24"/>
          <w:szCs w:val="24"/>
          <w:lang w:val="x-none" w:eastAsia="ro-RO"/>
        </w:rPr>
      </w:pPr>
    </w:p>
    <w:p w14:paraId="712C81B7" w14:textId="53793826" w:rsidR="00FB373E" w:rsidRDefault="00FB373E" w:rsidP="00DC6A92">
      <w:pPr>
        <w:suppressAutoHyphens/>
        <w:spacing w:after="0" w:line="360" w:lineRule="auto"/>
        <w:jc w:val="center"/>
        <w:rPr>
          <w:rFonts w:ascii="Arial" w:eastAsia="Times New Roman" w:hAnsi="Arial" w:cs="Arial"/>
          <w:sz w:val="24"/>
          <w:szCs w:val="24"/>
          <w:lang w:val="x-none" w:eastAsia="ro-RO"/>
        </w:rPr>
      </w:pPr>
    </w:p>
    <w:p w14:paraId="6C6BEE95" w14:textId="7CA6536C" w:rsidR="00FB373E" w:rsidRDefault="00FB373E" w:rsidP="00DC6A92">
      <w:pPr>
        <w:suppressAutoHyphens/>
        <w:spacing w:after="0" w:line="360" w:lineRule="auto"/>
        <w:jc w:val="center"/>
        <w:rPr>
          <w:rFonts w:ascii="Arial" w:eastAsia="Times New Roman" w:hAnsi="Arial" w:cs="Arial"/>
          <w:sz w:val="24"/>
          <w:szCs w:val="24"/>
          <w:lang w:val="x-none" w:eastAsia="ro-RO"/>
        </w:rPr>
      </w:pPr>
    </w:p>
    <w:p w14:paraId="13DB5F48" w14:textId="77777777" w:rsidR="00FB373E" w:rsidRPr="00DC6A92" w:rsidRDefault="00FB373E" w:rsidP="00DC6A92">
      <w:pPr>
        <w:suppressAutoHyphens/>
        <w:spacing w:after="0" w:line="360" w:lineRule="auto"/>
        <w:jc w:val="center"/>
        <w:rPr>
          <w:rFonts w:ascii="Arial" w:eastAsia="Times New Roman" w:hAnsi="Arial" w:cs="Arial"/>
          <w:sz w:val="24"/>
          <w:szCs w:val="24"/>
          <w:lang w:val="x-none" w:eastAsia="ro-RO"/>
        </w:rPr>
      </w:pPr>
    </w:p>
    <w:p w14:paraId="5F1D801F" w14:textId="6DEC28D0" w:rsidR="00DC6A92" w:rsidRPr="00DC6A92" w:rsidRDefault="00BB0D72" w:rsidP="00DC6A92">
      <w:pPr>
        <w:spacing w:after="200" w:line="240" w:lineRule="auto"/>
        <w:jc w:val="center"/>
        <w:rPr>
          <w:rFonts w:ascii="Arial" w:eastAsia="Times New Roman" w:hAnsi="Arial" w:cs="Arial"/>
          <w:b/>
          <w:color w:val="000000"/>
          <w:lang w:eastAsia="zh-CN"/>
        </w:rPr>
      </w:pPr>
      <w:bookmarkStart w:id="585" w:name="_Toc68361299"/>
      <w:bookmarkStart w:id="586" w:name="_Toc96463923"/>
      <w:r>
        <w:rPr>
          <w:rFonts w:ascii="Arial" w:hAnsi="Arial" w:cs="Arial"/>
          <w:i/>
          <w:iCs/>
          <w:color w:val="1F497D"/>
        </w:rPr>
        <w:lastRenderedPageBreak/>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27</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eastAsia="Times New Roman" w:hAnsi="Arial" w:cs="Arial"/>
          <w:color w:val="1F497D"/>
          <w:lang w:val="x-none" w:eastAsia="ro-RO"/>
        </w:rPr>
        <w:t>Lungimea medie a cozilor de așteptare (veh) – orizont 203</w:t>
      </w:r>
      <w:r w:rsidR="00DC6A92" w:rsidRPr="00DC6A92">
        <w:rPr>
          <w:rFonts w:ascii="Arial" w:eastAsia="Times New Roman" w:hAnsi="Arial" w:cs="Arial"/>
          <w:color w:val="1F497D"/>
          <w:lang w:eastAsia="ro-RO"/>
        </w:rPr>
        <w:t>5</w:t>
      </w:r>
      <w:bookmarkEnd w:id="585"/>
      <w:bookmarkEnd w:id="586"/>
    </w:p>
    <w:tbl>
      <w:tblPr>
        <w:tblW w:w="0" w:type="auto"/>
        <w:jc w:val="center"/>
        <w:tblLayout w:type="fixed"/>
        <w:tblCellMar>
          <w:left w:w="0" w:type="dxa"/>
          <w:right w:w="0" w:type="dxa"/>
        </w:tblCellMar>
        <w:tblLook w:val="0000" w:firstRow="0" w:lastRow="0" w:firstColumn="0" w:lastColumn="0" w:noHBand="0" w:noVBand="0"/>
      </w:tblPr>
      <w:tblGrid>
        <w:gridCol w:w="1735"/>
        <w:gridCol w:w="1595"/>
        <w:gridCol w:w="1653"/>
        <w:gridCol w:w="1653"/>
      </w:tblGrid>
      <w:tr w:rsidR="00FB373E" w:rsidRPr="00FB373E" w14:paraId="03C2F372" w14:textId="77777777" w:rsidTr="00CE76B6">
        <w:trPr>
          <w:trHeight w:val="542"/>
          <w:jc w:val="center"/>
        </w:trPr>
        <w:tc>
          <w:tcPr>
            <w:tcW w:w="1735" w:type="dxa"/>
            <w:tcBorders>
              <w:top w:val="single" w:sz="3" w:space="0" w:color="000001"/>
              <w:left w:val="single" w:sz="3" w:space="0" w:color="000001"/>
              <w:bottom w:val="single" w:sz="3" w:space="0" w:color="000001"/>
            </w:tcBorders>
            <w:shd w:val="clear" w:color="auto" w:fill="D9D9D9"/>
            <w:vAlign w:val="center"/>
          </w:tcPr>
          <w:p w14:paraId="10BF806F"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Cozi așteptare</w:t>
            </w:r>
          </w:p>
        </w:tc>
        <w:tc>
          <w:tcPr>
            <w:tcW w:w="1595" w:type="dxa"/>
            <w:tcBorders>
              <w:top w:val="single" w:sz="3" w:space="0" w:color="000001"/>
              <w:left w:val="single" w:sz="3" w:space="0" w:color="000001"/>
              <w:bottom w:val="single" w:sz="3" w:space="0" w:color="000001"/>
            </w:tcBorders>
            <w:shd w:val="clear" w:color="auto" w:fill="D9D9D9"/>
            <w:vAlign w:val="center"/>
          </w:tcPr>
          <w:p w14:paraId="1DAED6DA"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1</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57752955" w14:textId="77777777" w:rsidR="00FB373E" w:rsidRPr="00FB373E" w:rsidRDefault="00FB373E" w:rsidP="00FB373E">
            <w:pPr>
              <w:widowControl w:val="0"/>
              <w:suppressAutoHyphens/>
              <w:spacing w:after="0" w:line="276" w:lineRule="auto"/>
              <w:jc w:val="center"/>
              <w:rPr>
                <w:rFonts w:ascii="Arial" w:hAnsi="Arial" w:cs="Mangal"/>
                <w:kern w:val="1"/>
                <w:sz w:val="20"/>
                <w:szCs w:val="24"/>
                <w:lang w:val="ro-RO" w:eastAsia="hi-IN" w:bidi="hi-IN"/>
              </w:rPr>
            </w:pPr>
            <w:r w:rsidRPr="00FB373E">
              <w:rPr>
                <w:rFonts w:ascii="Arial" w:hAnsi="Arial" w:cs="Arial"/>
                <w:b/>
                <w:color w:val="000000"/>
                <w:kern w:val="1"/>
                <w:sz w:val="20"/>
                <w:szCs w:val="24"/>
                <w:lang w:val="ro-RO" w:eastAsia="hi-IN" w:bidi="hi-IN"/>
              </w:rPr>
              <w:t>Scenariul 2</w:t>
            </w:r>
          </w:p>
        </w:tc>
        <w:tc>
          <w:tcPr>
            <w:tcW w:w="1653" w:type="dxa"/>
            <w:tcBorders>
              <w:top w:val="single" w:sz="3" w:space="0" w:color="000001"/>
              <w:left w:val="single" w:sz="3" w:space="0" w:color="000001"/>
              <w:bottom w:val="single" w:sz="3" w:space="0" w:color="000001"/>
              <w:right w:val="single" w:sz="3" w:space="0" w:color="000001"/>
            </w:tcBorders>
            <w:shd w:val="clear" w:color="auto" w:fill="D9D9D9"/>
            <w:vAlign w:val="center"/>
          </w:tcPr>
          <w:p w14:paraId="44BF8E4D"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Scenariul 3</w:t>
            </w:r>
          </w:p>
        </w:tc>
      </w:tr>
      <w:tr w:rsidR="00FB373E" w:rsidRPr="00FB373E" w14:paraId="19BDC386"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69021D3A"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AM</w:t>
            </w:r>
          </w:p>
        </w:tc>
        <w:tc>
          <w:tcPr>
            <w:tcW w:w="1595" w:type="dxa"/>
            <w:tcBorders>
              <w:top w:val="single" w:sz="3" w:space="0" w:color="000001"/>
              <w:left w:val="single" w:sz="3" w:space="0" w:color="000001"/>
              <w:bottom w:val="single" w:sz="3" w:space="0" w:color="000001"/>
            </w:tcBorders>
            <w:shd w:val="clear" w:color="auto" w:fill="FFFFFF"/>
            <w:vAlign w:val="center"/>
          </w:tcPr>
          <w:p w14:paraId="1128187C"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0,99</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A3FFB6D"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0,54</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139D6F26"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0,49</w:t>
            </w:r>
          </w:p>
        </w:tc>
      </w:tr>
      <w:tr w:rsidR="00FB373E" w:rsidRPr="00FB373E" w14:paraId="7A2FA3A0"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2002A06E"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PM</w:t>
            </w:r>
          </w:p>
        </w:tc>
        <w:tc>
          <w:tcPr>
            <w:tcW w:w="1595" w:type="dxa"/>
            <w:tcBorders>
              <w:top w:val="single" w:sz="3" w:space="0" w:color="000001"/>
              <w:left w:val="single" w:sz="3" w:space="0" w:color="000001"/>
              <w:bottom w:val="single" w:sz="3" w:space="0" w:color="000001"/>
            </w:tcBorders>
            <w:shd w:val="clear" w:color="auto" w:fill="FFFFFF"/>
            <w:vAlign w:val="bottom"/>
          </w:tcPr>
          <w:p w14:paraId="1FD17102"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Calibri" w:hAnsi="Calibri" w:cs="Calibri"/>
                <w:color w:val="000000"/>
              </w:rPr>
              <w:t>2,66</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0E9136C"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0,60</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89AEAD4"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0,54</w:t>
            </w:r>
          </w:p>
        </w:tc>
      </w:tr>
      <w:tr w:rsidR="00FB373E" w:rsidRPr="00FB373E" w14:paraId="5F82AF7D" w14:textId="77777777" w:rsidTr="00CE76B6">
        <w:trPr>
          <w:trHeight w:val="53"/>
          <w:jc w:val="center"/>
        </w:trPr>
        <w:tc>
          <w:tcPr>
            <w:tcW w:w="1735" w:type="dxa"/>
            <w:tcBorders>
              <w:top w:val="single" w:sz="3" w:space="0" w:color="000001"/>
              <w:left w:val="single" w:sz="3" w:space="0" w:color="000001"/>
              <w:bottom w:val="single" w:sz="3" w:space="0" w:color="000001"/>
            </w:tcBorders>
            <w:shd w:val="clear" w:color="auto" w:fill="D9D9D9"/>
          </w:tcPr>
          <w:p w14:paraId="10A51E73" w14:textId="77777777" w:rsidR="00FB373E" w:rsidRPr="00FB373E" w:rsidRDefault="00FB373E" w:rsidP="00FB373E">
            <w:pPr>
              <w:widowControl w:val="0"/>
              <w:suppressAutoHyphens/>
              <w:spacing w:after="0" w:line="276" w:lineRule="auto"/>
              <w:jc w:val="center"/>
              <w:rPr>
                <w:rFonts w:ascii="Arial" w:hAnsi="Arial" w:cs="Arial"/>
                <w:b/>
                <w:color w:val="000000"/>
                <w:kern w:val="1"/>
                <w:sz w:val="20"/>
                <w:szCs w:val="24"/>
                <w:lang w:val="ro-RO" w:eastAsia="hi-IN" w:bidi="hi-IN"/>
              </w:rPr>
            </w:pPr>
            <w:r w:rsidRPr="00FB373E">
              <w:rPr>
                <w:rFonts w:ascii="Arial" w:hAnsi="Arial" w:cs="Arial"/>
                <w:b/>
                <w:color w:val="000000"/>
                <w:kern w:val="1"/>
                <w:sz w:val="20"/>
                <w:szCs w:val="24"/>
                <w:lang w:val="ro-RO" w:eastAsia="hi-IN" w:bidi="hi-IN"/>
              </w:rPr>
              <w:t>24 h</w:t>
            </w:r>
          </w:p>
        </w:tc>
        <w:tc>
          <w:tcPr>
            <w:tcW w:w="1595" w:type="dxa"/>
            <w:tcBorders>
              <w:top w:val="single" w:sz="3" w:space="0" w:color="000001"/>
              <w:left w:val="single" w:sz="3" w:space="0" w:color="000001"/>
              <w:bottom w:val="single" w:sz="3" w:space="0" w:color="000001"/>
            </w:tcBorders>
            <w:shd w:val="clear" w:color="auto" w:fill="FFFFFF"/>
            <w:vAlign w:val="center"/>
          </w:tcPr>
          <w:p w14:paraId="298DD5DB"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0,91</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4151EF40"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0,28</w:t>
            </w:r>
          </w:p>
        </w:tc>
        <w:tc>
          <w:tcPr>
            <w:tcW w:w="1653" w:type="dxa"/>
            <w:tcBorders>
              <w:top w:val="single" w:sz="3" w:space="0" w:color="000001"/>
              <w:left w:val="single" w:sz="3" w:space="0" w:color="000001"/>
              <w:bottom w:val="single" w:sz="3" w:space="0" w:color="000001"/>
              <w:right w:val="single" w:sz="3" w:space="0" w:color="000001"/>
            </w:tcBorders>
            <w:shd w:val="clear" w:color="auto" w:fill="FFFFFF"/>
            <w:vAlign w:val="center"/>
          </w:tcPr>
          <w:p w14:paraId="7F544908" w14:textId="77777777" w:rsidR="00FB373E" w:rsidRPr="00FB373E" w:rsidRDefault="00FB373E" w:rsidP="00FB373E">
            <w:pPr>
              <w:spacing w:after="0"/>
              <w:jc w:val="center"/>
              <w:rPr>
                <w:rFonts w:ascii="Arial" w:hAnsi="Arial" w:cs="Arial"/>
                <w:color w:val="000000"/>
                <w:sz w:val="20"/>
                <w:szCs w:val="20"/>
                <w:highlight w:val="red"/>
                <w:lang w:val="ro-RO"/>
              </w:rPr>
            </w:pPr>
            <w:r w:rsidRPr="00FB373E">
              <w:rPr>
                <w:rFonts w:ascii="Arial" w:hAnsi="Arial" w:cs="Arial"/>
                <w:color w:val="000000"/>
                <w:sz w:val="20"/>
                <w:szCs w:val="20"/>
              </w:rPr>
              <w:t>0,26</w:t>
            </w:r>
          </w:p>
        </w:tc>
      </w:tr>
    </w:tbl>
    <w:p w14:paraId="3AFF3AED" w14:textId="77777777" w:rsidR="00DC6A92" w:rsidRPr="00DC6A92" w:rsidRDefault="00DC6A92" w:rsidP="00DC6A92">
      <w:pPr>
        <w:suppressAutoHyphens/>
        <w:spacing w:after="0" w:line="360" w:lineRule="auto"/>
        <w:jc w:val="center"/>
        <w:rPr>
          <w:rFonts w:ascii="Arial" w:eastAsia="Times New Roman" w:hAnsi="Arial" w:cs="Arial"/>
          <w:sz w:val="24"/>
          <w:szCs w:val="24"/>
          <w:lang w:val="x-none" w:eastAsia="ro-RO"/>
        </w:rPr>
      </w:pPr>
    </w:p>
    <w:p w14:paraId="44B01DFC" w14:textId="77777777" w:rsidR="00FB373E" w:rsidRPr="00FB373E" w:rsidRDefault="00FB373E" w:rsidP="00FB373E">
      <w:pPr>
        <w:suppressAutoHyphens/>
        <w:spacing w:after="0" w:line="276" w:lineRule="auto"/>
        <w:jc w:val="both"/>
        <w:rPr>
          <w:rFonts w:ascii="Arial" w:eastAsia="Times New Roman" w:hAnsi="Arial" w:cs="Arial"/>
          <w:lang w:val="ro-RO" w:eastAsia="ro-RO"/>
        </w:rPr>
      </w:pPr>
      <w:r w:rsidRPr="00FB373E">
        <w:rPr>
          <w:rFonts w:ascii="Arial" w:hAnsi="Arial" w:cs="Arial"/>
          <w:lang w:val="ro-RO" w:eastAsia="ro-RO"/>
        </w:rPr>
        <w:t>Se constatǎ reducerea lungimii maxime a cozilor de așteptare ȋn scenariul 2, orizont 2035, cu circa 83% pentru ora de vȃrf AM, respectiv 96% pentru PM față de scenariul 1. În plus, dacă se aplică măsurile din scenariul 3 cozile maxime se reduc suplimentar față de S2 cu11,7% pentru AM, respectiv 7,6% pentru PM.</w:t>
      </w:r>
    </w:p>
    <w:p w14:paraId="337B1AD9" w14:textId="77777777" w:rsidR="00FB373E" w:rsidRPr="00FB373E" w:rsidRDefault="00FB373E" w:rsidP="00FB373E">
      <w:pPr>
        <w:autoSpaceDE w:val="0"/>
        <w:spacing w:after="0" w:line="360" w:lineRule="auto"/>
        <w:jc w:val="both"/>
        <w:rPr>
          <w:rFonts w:ascii="Arial" w:hAnsi="Arial" w:cs="Arial"/>
          <w:kern w:val="1"/>
          <w:lang w:val="ro-RO" w:eastAsia="ro-RO" w:bidi="hi-IN"/>
        </w:rPr>
      </w:pPr>
    </w:p>
    <w:p w14:paraId="2DD8B21B" w14:textId="77777777" w:rsidR="00DC6A92" w:rsidRPr="00DC6A92" w:rsidRDefault="00DC6A92" w:rsidP="00DC6A92">
      <w:pPr>
        <w:autoSpaceDE w:val="0"/>
        <w:spacing w:after="0" w:line="360" w:lineRule="auto"/>
        <w:jc w:val="both"/>
        <w:rPr>
          <w:rFonts w:ascii="Arial" w:hAnsi="Arial" w:cs="Arial"/>
          <w:kern w:val="1"/>
          <w:lang w:val="es-ES" w:eastAsia="ro-RO" w:bidi="hi-IN"/>
        </w:rPr>
      </w:pPr>
      <w:r w:rsidRPr="00DC6A92">
        <w:rPr>
          <w:rFonts w:ascii="Arial" w:hAnsi="Arial" w:cs="Arial"/>
          <w:kern w:val="1"/>
          <w:lang w:val="es-ES" w:eastAsia="ro-RO" w:bidi="hi-IN"/>
        </w:rPr>
        <w:br w:type="page"/>
      </w:r>
    </w:p>
    <w:p w14:paraId="6D357B44" w14:textId="77777777" w:rsidR="0021475C" w:rsidRDefault="0021475C" w:rsidP="00C60706">
      <w:pPr>
        <w:pStyle w:val="Titlu2"/>
        <w:rPr>
          <w:rFonts w:ascii="Arial" w:eastAsia="Arial" w:hAnsi="Arial" w:cs="Arial"/>
          <w:b/>
          <w:bCs/>
          <w:color w:val="auto"/>
          <w:lang w:eastAsia="ro-RO" w:bidi="hi-IN"/>
        </w:rPr>
      </w:pPr>
      <w:bookmarkStart w:id="587" w:name="_Toc491868852"/>
      <w:bookmarkStart w:id="588" w:name="_Toc499657573"/>
      <w:bookmarkStart w:id="589" w:name="_Toc142039119"/>
      <w:r w:rsidRPr="00C60706">
        <w:rPr>
          <w:rFonts w:ascii="Arial" w:eastAsia="Arial" w:hAnsi="Arial" w:cs="Arial"/>
          <w:b/>
          <w:bCs/>
          <w:color w:val="auto"/>
          <w:lang w:eastAsia="ro-RO" w:bidi="hi-IN"/>
        </w:rPr>
        <w:lastRenderedPageBreak/>
        <w:t xml:space="preserve">I.7.6 Repartizarea costurilor de investitii pe </w:t>
      </w:r>
      <w:r w:rsidR="00DC6A92">
        <w:rPr>
          <w:rFonts w:ascii="Arial" w:eastAsia="Arial" w:hAnsi="Arial" w:cs="Arial"/>
          <w:b/>
          <w:bCs/>
          <w:color w:val="auto"/>
          <w:lang w:eastAsia="ro-RO" w:bidi="hi-IN"/>
        </w:rPr>
        <w:t>scenari</w:t>
      </w:r>
      <w:bookmarkEnd w:id="587"/>
      <w:bookmarkEnd w:id="588"/>
      <w:r w:rsidR="00267545">
        <w:rPr>
          <w:rFonts w:ascii="Arial" w:eastAsia="Arial" w:hAnsi="Arial" w:cs="Arial"/>
          <w:b/>
          <w:bCs/>
          <w:color w:val="auto"/>
          <w:lang w:eastAsia="ro-RO" w:bidi="hi-IN"/>
        </w:rPr>
        <w:t>i</w:t>
      </w:r>
      <w:bookmarkEnd w:id="589"/>
    </w:p>
    <w:p w14:paraId="37C6C827" w14:textId="77777777" w:rsidR="00DC6A92" w:rsidRDefault="00DC6A92" w:rsidP="00DC6A92">
      <w:pPr>
        <w:suppressAutoHyphens/>
        <w:spacing w:after="0" w:line="276" w:lineRule="auto"/>
        <w:jc w:val="both"/>
        <w:rPr>
          <w:rFonts w:ascii="Arial" w:hAnsi="Arial" w:cs="Arial"/>
          <w:kern w:val="1"/>
          <w:lang w:val="es-ES" w:eastAsia="hi-IN" w:bidi="hi-IN"/>
        </w:rPr>
      </w:pPr>
      <w:r w:rsidRPr="00DC6A92">
        <w:rPr>
          <w:rFonts w:ascii="Arial" w:hAnsi="Arial" w:cs="Arial"/>
          <w:kern w:val="1"/>
          <w:lang w:val="es-ES" w:eastAsia="hi-IN" w:bidi="hi-IN"/>
        </w:rPr>
        <w:t>Costurile de investi</w:t>
      </w:r>
      <w:r w:rsidRPr="00DC6A92">
        <w:rPr>
          <w:rFonts w:ascii="Arial" w:hAnsi="Arial" w:cs="Arial"/>
          <w:kern w:val="1"/>
          <w:lang w:val="es-ES" w:eastAsia="ro-RO" w:bidi="hi-IN"/>
        </w:rPr>
        <w:t>ț</w:t>
      </w:r>
      <w:r w:rsidRPr="00DC6A92">
        <w:rPr>
          <w:rFonts w:ascii="Arial" w:hAnsi="Arial" w:cs="Arial"/>
          <w:kern w:val="1"/>
          <w:lang w:val="es-ES" w:eastAsia="hi-IN" w:bidi="hi-IN"/>
        </w:rPr>
        <w:t xml:space="preserve">ii pe scenarii sunt prezentate </w:t>
      </w:r>
      <w:r w:rsidRPr="00DC6A92">
        <w:rPr>
          <w:rFonts w:ascii="Arial" w:hAnsi="Arial" w:cs="Arial"/>
          <w:kern w:val="1"/>
          <w:lang w:val="es-ES" w:eastAsia="ro-RO" w:bidi="hi-IN"/>
        </w:rPr>
        <w:t>ȋn</w:t>
      </w:r>
      <w:r w:rsidRPr="00DC6A92">
        <w:rPr>
          <w:rFonts w:ascii="Arial" w:hAnsi="Arial" w:cs="Arial"/>
          <w:kern w:val="1"/>
          <w:lang w:val="es-ES" w:eastAsia="hi-IN" w:bidi="hi-IN"/>
        </w:rPr>
        <w:t xml:space="preserve"> tabelele urm</w:t>
      </w:r>
      <w:r w:rsidRPr="00DC6A92">
        <w:rPr>
          <w:rFonts w:ascii="Arial" w:hAnsi="Arial" w:cs="Arial"/>
          <w:kern w:val="1"/>
          <w:lang w:val="es-ES" w:eastAsia="ro-RO" w:bidi="hi-IN"/>
        </w:rPr>
        <w:t>ǎ</w:t>
      </w:r>
      <w:r w:rsidRPr="00DC6A92">
        <w:rPr>
          <w:rFonts w:ascii="Arial" w:hAnsi="Arial" w:cs="Arial"/>
          <w:kern w:val="1"/>
          <w:lang w:val="es-ES" w:eastAsia="hi-IN" w:bidi="hi-IN"/>
        </w:rPr>
        <w:t xml:space="preserve">toare. </w:t>
      </w:r>
    </w:p>
    <w:p w14:paraId="5FF96219" w14:textId="77777777" w:rsidR="00C92086" w:rsidRPr="00DC6A92" w:rsidRDefault="00C92086" w:rsidP="00DC6A92">
      <w:pPr>
        <w:suppressAutoHyphens/>
        <w:spacing w:after="0" w:line="276" w:lineRule="auto"/>
        <w:jc w:val="both"/>
        <w:rPr>
          <w:rFonts w:ascii="Arial" w:hAnsi="Arial" w:cs="Arial"/>
          <w:kern w:val="1"/>
          <w:lang w:val="es-ES" w:eastAsia="hi-IN" w:bidi="hi-IN"/>
        </w:rPr>
      </w:pPr>
    </w:p>
    <w:p w14:paraId="7D35426E" w14:textId="1B85CBEB" w:rsidR="00DC6A92" w:rsidRDefault="00BB0D72" w:rsidP="00DC6A92">
      <w:pPr>
        <w:spacing w:after="200" w:line="240" w:lineRule="auto"/>
        <w:jc w:val="center"/>
        <w:rPr>
          <w:rFonts w:ascii="Arial" w:hAnsi="Arial" w:cs="Arial"/>
          <w:color w:val="1F497D"/>
          <w:kern w:val="1"/>
          <w:lang w:val="es-ES" w:eastAsia="hi-IN" w:bidi="hi-IN"/>
        </w:rPr>
      </w:pPr>
      <w:bookmarkStart w:id="590" w:name="_Toc68361300"/>
      <w:bookmarkStart w:id="591" w:name="_Toc96463924"/>
      <w:r>
        <w:rPr>
          <w:rFonts w:ascii="Arial" w:hAnsi="Arial" w:cs="Arial"/>
          <w:i/>
          <w:iCs/>
          <w:color w:val="1F497D"/>
        </w:rPr>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28</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hAnsi="Arial" w:cs="Arial"/>
          <w:color w:val="1F497D"/>
          <w:kern w:val="1"/>
          <w:lang w:val="es-ES" w:eastAsia="hi-IN" w:bidi="hi-IN"/>
        </w:rPr>
        <w:t>Costuri de investi</w:t>
      </w:r>
      <w:r w:rsidR="00DC6A92" w:rsidRPr="00DC6A92">
        <w:rPr>
          <w:rFonts w:ascii="Arial" w:hAnsi="Arial" w:cs="Arial"/>
          <w:color w:val="1F497D"/>
          <w:kern w:val="1"/>
          <w:lang w:val="es-ES" w:eastAsia="ro-RO" w:bidi="hi-IN"/>
        </w:rPr>
        <w:t>ți</w:t>
      </w:r>
      <w:r w:rsidR="00DC6A92" w:rsidRPr="00DC6A92">
        <w:rPr>
          <w:rFonts w:ascii="Arial" w:hAnsi="Arial" w:cs="Arial"/>
          <w:color w:val="1F497D"/>
          <w:kern w:val="1"/>
          <w:lang w:val="es-ES" w:eastAsia="hi-IN" w:bidi="hi-IN"/>
        </w:rPr>
        <w:t>i în Scenariul 1 – “Ca p</w:t>
      </w:r>
      <w:r w:rsidR="00DC6A92" w:rsidRPr="00DC6A92">
        <w:rPr>
          <w:rFonts w:ascii="Arial" w:hAnsi="Arial" w:cs="Arial"/>
          <w:color w:val="1F497D"/>
          <w:kern w:val="1"/>
          <w:lang w:val="es-ES" w:eastAsia="ro-RO" w:bidi="hi-IN"/>
        </w:rPr>
        <w:t>ȃ</w:t>
      </w:r>
      <w:r w:rsidR="00DC6A92" w:rsidRPr="00DC6A92">
        <w:rPr>
          <w:rFonts w:ascii="Arial" w:hAnsi="Arial" w:cs="Arial"/>
          <w:color w:val="1F497D"/>
          <w:kern w:val="1"/>
          <w:lang w:val="es-ES" w:eastAsia="hi-IN" w:bidi="hi-IN"/>
        </w:rPr>
        <w:t>n</w:t>
      </w:r>
      <w:r w:rsidR="00DC6A92" w:rsidRPr="00DC6A92">
        <w:rPr>
          <w:rFonts w:ascii="Arial" w:hAnsi="Arial" w:cs="Arial"/>
          <w:color w:val="1F497D"/>
          <w:kern w:val="1"/>
          <w:lang w:val="es-ES" w:eastAsia="ro-RO" w:bidi="hi-IN"/>
        </w:rPr>
        <w:t>ǎ</w:t>
      </w:r>
      <w:r w:rsidR="00DC6A92" w:rsidRPr="00DC6A92">
        <w:rPr>
          <w:rFonts w:ascii="Arial" w:hAnsi="Arial" w:cs="Arial"/>
          <w:color w:val="1F497D"/>
          <w:kern w:val="1"/>
          <w:lang w:val="es-ES" w:eastAsia="hi-IN" w:bidi="hi-IN"/>
        </w:rPr>
        <w:t xml:space="preserve"> </w:t>
      </w:r>
      <w:r w:rsidR="00DC6A92" w:rsidRPr="00DC6A92">
        <w:rPr>
          <w:rFonts w:ascii="Arial" w:hAnsi="Arial" w:cs="Arial"/>
          <w:color w:val="1F497D"/>
          <w:kern w:val="1"/>
          <w:lang w:val="es-ES" w:eastAsia="ro-RO" w:bidi="hi-IN"/>
        </w:rPr>
        <w:t>ȋn</w:t>
      </w:r>
      <w:r w:rsidR="00DC6A92" w:rsidRPr="00DC6A92">
        <w:rPr>
          <w:rFonts w:ascii="Arial" w:hAnsi="Arial" w:cs="Arial"/>
          <w:color w:val="1F497D"/>
          <w:kern w:val="1"/>
          <w:lang w:val="es-ES" w:eastAsia="hi-IN" w:bidi="hi-IN"/>
        </w:rPr>
        <w:t xml:space="preserve"> prezent”</w:t>
      </w:r>
      <w:bookmarkEnd w:id="590"/>
      <w:bookmarkEnd w:id="591"/>
    </w:p>
    <w:tbl>
      <w:tblPr>
        <w:tblW w:w="10440"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230"/>
        <w:gridCol w:w="1552"/>
        <w:gridCol w:w="1553"/>
        <w:gridCol w:w="1552"/>
        <w:gridCol w:w="1553"/>
      </w:tblGrid>
      <w:tr w:rsidR="00C92086" w:rsidRPr="00C92086" w14:paraId="0B3B5422" w14:textId="77777777" w:rsidTr="00655DD6">
        <w:tc>
          <w:tcPr>
            <w:tcW w:w="4230" w:type="dxa"/>
            <w:vMerge w:val="restart"/>
            <w:shd w:val="clear" w:color="auto" w:fill="D9D9D9"/>
            <w:vAlign w:val="center"/>
          </w:tcPr>
          <w:p w14:paraId="7F425EA2" w14:textId="77777777" w:rsidR="00C92086" w:rsidRPr="00C92086" w:rsidRDefault="00C92086" w:rsidP="00C92086">
            <w:pPr>
              <w:suppressLineNumbers/>
              <w:suppressAutoHyphens/>
              <w:spacing w:after="0" w:line="240" w:lineRule="auto"/>
              <w:jc w:val="center"/>
              <w:rPr>
                <w:rFonts w:ascii="Arial" w:hAnsi="Arial" w:cs="Arial"/>
                <w:b/>
                <w:bCs/>
                <w:kern w:val="1"/>
                <w:sz w:val="20"/>
                <w:szCs w:val="20"/>
                <w:lang w:val="ro-RO" w:eastAsia="zh-CN" w:bidi="hi-IN"/>
              </w:rPr>
            </w:pPr>
            <w:r w:rsidRPr="00C92086">
              <w:rPr>
                <w:rFonts w:ascii="Arial" w:hAnsi="Arial" w:cs="Arial"/>
                <w:b/>
                <w:bCs/>
                <w:kern w:val="1"/>
                <w:sz w:val="20"/>
                <w:szCs w:val="20"/>
                <w:lang w:val="ro-RO" w:eastAsia="zh-CN" w:bidi="hi-IN"/>
              </w:rPr>
              <w:t>Proiect</w:t>
            </w:r>
          </w:p>
        </w:tc>
        <w:tc>
          <w:tcPr>
            <w:tcW w:w="6210" w:type="dxa"/>
            <w:gridSpan w:val="4"/>
            <w:shd w:val="clear" w:color="auto" w:fill="D9D9D9"/>
          </w:tcPr>
          <w:p w14:paraId="3035639D" w14:textId="77777777" w:rsidR="00C92086" w:rsidRPr="00C92086" w:rsidRDefault="00C92086" w:rsidP="00C92086">
            <w:pPr>
              <w:suppressLineNumbers/>
              <w:suppressAutoHyphens/>
              <w:spacing w:after="0" w:line="240" w:lineRule="auto"/>
              <w:jc w:val="center"/>
              <w:rPr>
                <w:rFonts w:ascii="Arial" w:hAnsi="Arial" w:cs="Mangal"/>
                <w:kern w:val="1"/>
                <w:sz w:val="20"/>
                <w:szCs w:val="24"/>
                <w:lang w:val="ro-RO" w:eastAsia="zh-CN" w:bidi="hi-IN"/>
              </w:rPr>
            </w:pPr>
            <w:r w:rsidRPr="00C92086">
              <w:rPr>
                <w:rFonts w:ascii="Arial" w:hAnsi="Arial" w:cs="Arial"/>
                <w:b/>
                <w:bCs/>
                <w:kern w:val="1"/>
                <w:sz w:val="20"/>
                <w:szCs w:val="20"/>
                <w:lang w:val="ro-RO" w:eastAsia="zh-CN" w:bidi="hi-IN"/>
              </w:rPr>
              <w:t>Costuri (euro)</w:t>
            </w:r>
          </w:p>
        </w:tc>
      </w:tr>
      <w:tr w:rsidR="00C92086" w:rsidRPr="00C92086" w14:paraId="1CA3659A" w14:textId="77777777" w:rsidTr="00655DD6">
        <w:tc>
          <w:tcPr>
            <w:tcW w:w="4230" w:type="dxa"/>
            <w:vMerge/>
            <w:shd w:val="clear" w:color="auto" w:fill="D9D9D9"/>
          </w:tcPr>
          <w:p w14:paraId="7E174482" w14:textId="77777777" w:rsidR="00C92086" w:rsidRPr="00C92086" w:rsidRDefault="00C92086" w:rsidP="00C92086">
            <w:pPr>
              <w:suppressLineNumbers/>
              <w:suppressAutoHyphens/>
              <w:snapToGrid w:val="0"/>
              <w:spacing w:after="0" w:line="240" w:lineRule="auto"/>
              <w:jc w:val="both"/>
              <w:rPr>
                <w:rFonts w:ascii="Arial" w:hAnsi="Arial" w:cs="Arial"/>
                <w:kern w:val="1"/>
                <w:sz w:val="20"/>
                <w:szCs w:val="20"/>
                <w:lang w:val="ro-RO" w:eastAsia="zh-CN" w:bidi="hi-IN"/>
              </w:rPr>
            </w:pPr>
          </w:p>
        </w:tc>
        <w:tc>
          <w:tcPr>
            <w:tcW w:w="1552" w:type="dxa"/>
            <w:shd w:val="clear" w:color="auto" w:fill="D9D9D9"/>
          </w:tcPr>
          <w:p w14:paraId="5DAC3D37" w14:textId="77777777" w:rsidR="00C92086" w:rsidRPr="00C92086" w:rsidRDefault="00C92086" w:rsidP="00C92086">
            <w:pPr>
              <w:suppressLineNumbers/>
              <w:suppressAutoHyphens/>
              <w:spacing w:after="0" w:line="240" w:lineRule="auto"/>
              <w:jc w:val="center"/>
              <w:rPr>
                <w:rFonts w:ascii="Arial" w:hAnsi="Arial" w:cs="Arial"/>
                <w:b/>
                <w:bCs/>
                <w:kern w:val="1"/>
                <w:sz w:val="20"/>
                <w:szCs w:val="20"/>
                <w:lang w:val="ro-RO" w:eastAsia="zh-CN" w:bidi="hi-IN"/>
              </w:rPr>
            </w:pPr>
            <w:r w:rsidRPr="00C92086">
              <w:rPr>
                <w:rFonts w:ascii="Arial" w:hAnsi="Arial" w:cs="Arial"/>
                <w:b/>
                <w:bCs/>
                <w:kern w:val="1"/>
                <w:sz w:val="20"/>
                <w:szCs w:val="20"/>
                <w:lang w:val="ro-RO" w:eastAsia="zh-CN" w:bidi="hi-IN"/>
              </w:rPr>
              <w:t>2022-2023</w:t>
            </w:r>
          </w:p>
        </w:tc>
        <w:tc>
          <w:tcPr>
            <w:tcW w:w="1553" w:type="dxa"/>
            <w:shd w:val="clear" w:color="auto" w:fill="D9D9D9"/>
          </w:tcPr>
          <w:p w14:paraId="33B548EA" w14:textId="77777777" w:rsidR="00C92086" w:rsidRPr="00C92086" w:rsidRDefault="00C92086" w:rsidP="00C92086">
            <w:pPr>
              <w:suppressLineNumbers/>
              <w:suppressAutoHyphens/>
              <w:spacing w:after="0" w:line="240" w:lineRule="auto"/>
              <w:jc w:val="center"/>
              <w:rPr>
                <w:rFonts w:ascii="Arial" w:hAnsi="Arial" w:cs="Arial"/>
                <w:b/>
                <w:bCs/>
                <w:kern w:val="1"/>
                <w:sz w:val="20"/>
                <w:szCs w:val="20"/>
                <w:lang w:val="ro-RO" w:eastAsia="zh-CN" w:bidi="hi-IN"/>
              </w:rPr>
            </w:pPr>
            <w:r w:rsidRPr="00C92086">
              <w:rPr>
                <w:rFonts w:ascii="Arial" w:hAnsi="Arial" w:cs="Arial"/>
                <w:b/>
                <w:bCs/>
                <w:kern w:val="1"/>
                <w:sz w:val="20"/>
                <w:szCs w:val="20"/>
                <w:lang w:val="ro-RO" w:eastAsia="zh-CN" w:bidi="hi-IN"/>
              </w:rPr>
              <w:t>2024-2027</w:t>
            </w:r>
          </w:p>
        </w:tc>
        <w:tc>
          <w:tcPr>
            <w:tcW w:w="1552" w:type="dxa"/>
            <w:shd w:val="clear" w:color="auto" w:fill="D9D9D9"/>
          </w:tcPr>
          <w:p w14:paraId="4CBAFBFE" w14:textId="77777777" w:rsidR="00C92086" w:rsidRPr="00C92086" w:rsidRDefault="00C92086" w:rsidP="00C92086">
            <w:pPr>
              <w:suppressLineNumbers/>
              <w:suppressAutoHyphens/>
              <w:spacing w:after="0" w:line="240" w:lineRule="auto"/>
              <w:jc w:val="center"/>
              <w:rPr>
                <w:rFonts w:ascii="Arial" w:hAnsi="Arial" w:cs="Arial"/>
                <w:b/>
                <w:bCs/>
                <w:kern w:val="1"/>
                <w:sz w:val="20"/>
                <w:szCs w:val="20"/>
                <w:lang w:val="ro-RO" w:eastAsia="zh-CN" w:bidi="hi-IN"/>
              </w:rPr>
            </w:pPr>
            <w:r w:rsidRPr="00C92086">
              <w:rPr>
                <w:rFonts w:ascii="Arial" w:hAnsi="Arial" w:cs="Arial"/>
                <w:b/>
                <w:bCs/>
                <w:kern w:val="1"/>
                <w:sz w:val="20"/>
                <w:szCs w:val="20"/>
                <w:lang w:val="ro-RO" w:eastAsia="zh-CN" w:bidi="hi-IN"/>
              </w:rPr>
              <w:t>2028-2035</w:t>
            </w:r>
          </w:p>
        </w:tc>
        <w:tc>
          <w:tcPr>
            <w:tcW w:w="1553" w:type="dxa"/>
            <w:shd w:val="clear" w:color="auto" w:fill="D9D9D9"/>
          </w:tcPr>
          <w:p w14:paraId="3C6227F3" w14:textId="77777777" w:rsidR="00C92086" w:rsidRPr="00C92086" w:rsidRDefault="00C92086" w:rsidP="00C92086">
            <w:pPr>
              <w:suppressLineNumbers/>
              <w:suppressAutoHyphens/>
              <w:spacing w:after="0" w:line="240" w:lineRule="auto"/>
              <w:jc w:val="center"/>
              <w:rPr>
                <w:rFonts w:ascii="Arial" w:hAnsi="Arial" w:cs="Mangal"/>
                <w:kern w:val="1"/>
                <w:sz w:val="20"/>
                <w:szCs w:val="24"/>
                <w:lang w:val="ro-RO" w:eastAsia="zh-CN" w:bidi="hi-IN"/>
              </w:rPr>
            </w:pPr>
            <w:r w:rsidRPr="00C92086">
              <w:rPr>
                <w:rFonts w:ascii="Arial" w:hAnsi="Arial" w:cs="Arial"/>
                <w:b/>
                <w:bCs/>
                <w:kern w:val="1"/>
                <w:sz w:val="20"/>
                <w:szCs w:val="20"/>
                <w:lang w:val="ro-RO" w:eastAsia="zh-CN" w:bidi="hi-IN"/>
              </w:rPr>
              <w:t>Total</w:t>
            </w:r>
          </w:p>
        </w:tc>
      </w:tr>
      <w:tr w:rsidR="00C92086" w:rsidRPr="00C92086" w14:paraId="555BEE8F" w14:textId="77777777" w:rsidTr="00655DD6">
        <w:tc>
          <w:tcPr>
            <w:tcW w:w="4230" w:type="dxa"/>
            <w:shd w:val="clear" w:color="auto" w:fill="auto"/>
          </w:tcPr>
          <w:p w14:paraId="437D93FF" w14:textId="77777777" w:rsidR="00C92086" w:rsidRPr="00C92086" w:rsidRDefault="00C92086" w:rsidP="00C92086">
            <w:pPr>
              <w:suppressLineNumbers/>
              <w:suppressAutoHyphens/>
              <w:spacing w:after="0" w:line="240" w:lineRule="auto"/>
              <w:ind w:left="35"/>
              <w:jc w:val="both"/>
              <w:rPr>
                <w:rFonts w:ascii="Arial" w:hAnsi="Arial" w:cs="Arial"/>
                <w:kern w:val="1"/>
                <w:sz w:val="20"/>
                <w:szCs w:val="20"/>
                <w:lang w:val="es-ES" w:eastAsia="zh-CN" w:bidi="hi-IN"/>
              </w:rPr>
            </w:pPr>
            <w:r w:rsidRPr="00C92086">
              <w:rPr>
                <w:rFonts w:ascii="Arial Narrow" w:hAnsi="Arial Narrow" w:cs="Tahoma"/>
              </w:rPr>
              <w:t>Amenajarea zonei centrale pietonale a stațiunii turistice Horezu, județul Vâlcea, în vederea consolidării identității locale și dezvoltării turismului</w:t>
            </w:r>
          </w:p>
        </w:tc>
        <w:tc>
          <w:tcPr>
            <w:tcW w:w="1552" w:type="dxa"/>
            <w:shd w:val="clear" w:color="auto" w:fill="auto"/>
          </w:tcPr>
          <w:p w14:paraId="43A36950"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1.203.020,53</w:t>
            </w:r>
          </w:p>
        </w:tc>
        <w:tc>
          <w:tcPr>
            <w:tcW w:w="1553" w:type="dxa"/>
          </w:tcPr>
          <w:p w14:paraId="6F0C0D6F"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2" w:type="dxa"/>
            <w:shd w:val="clear" w:color="auto" w:fill="auto"/>
          </w:tcPr>
          <w:p w14:paraId="3C6C4054"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3" w:type="dxa"/>
            <w:shd w:val="clear" w:color="auto" w:fill="auto"/>
          </w:tcPr>
          <w:p w14:paraId="1FECAAAA"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1.203.020,53</w:t>
            </w:r>
          </w:p>
        </w:tc>
      </w:tr>
      <w:tr w:rsidR="00C92086" w:rsidRPr="00C92086" w14:paraId="7A9F63B6" w14:textId="77777777" w:rsidTr="00655DD6">
        <w:tc>
          <w:tcPr>
            <w:tcW w:w="4230" w:type="dxa"/>
            <w:shd w:val="clear" w:color="auto" w:fill="auto"/>
          </w:tcPr>
          <w:p w14:paraId="42DBC3A2" w14:textId="77777777" w:rsidR="00C92086" w:rsidRPr="00C92086" w:rsidRDefault="00C92086" w:rsidP="00C92086">
            <w:pPr>
              <w:widowControl w:val="0"/>
              <w:suppressAutoHyphens/>
              <w:autoSpaceDE w:val="0"/>
              <w:autoSpaceDN w:val="0"/>
              <w:adjustRightInd w:val="0"/>
              <w:spacing w:after="0" w:line="240" w:lineRule="auto"/>
              <w:rPr>
                <w:rFonts w:ascii="Arial Narrow" w:eastAsia="Calibri" w:hAnsi="Arial Narrow" w:cs="Arial"/>
                <w:kern w:val="1"/>
                <w:sz w:val="20"/>
                <w:szCs w:val="20"/>
                <w:lang w:val="ro-RO" w:eastAsia="hi-IN" w:bidi="hi-IN"/>
              </w:rPr>
            </w:pPr>
            <w:r w:rsidRPr="00C92086">
              <w:rPr>
                <w:rFonts w:ascii="Arial Narrow" w:hAnsi="Arial Narrow" w:cs="Tahoma"/>
              </w:rPr>
              <w:t>Înființarea parcului de agrement și recreere “Constantin Brâncoveanu” în orașul Horezu, județul Vâlcea</w:t>
            </w:r>
          </w:p>
        </w:tc>
        <w:tc>
          <w:tcPr>
            <w:tcW w:w="1552" w:type="dxa"/>
            <w:shd w:val="clear" w:color="auto" w:fill="auto"/>
          </w:tcPr>
          <w:p w14:paraId="03ECF5F9"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2.002.987,16</w:t>
            </w:r>
          </w:p>
        </w:tc>
        <w:tc>
          <w:tcPr>
            <w:tcW w:w="1553" w:type="dxa"/>
          </w:tcPr>
          <w:p w14:paraId="34A4F5F3"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2" w:type="dxa"/>
            <w:shd w:val="clear" w:color="auto" w:fill="auto"/>
          </w:tcPr>
          <w:p w14:paraId="377C305D"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3" w:type="dxa"/>
            <w:shd w:val="clear" w:color="auto" w:fill="auto"/>
          </w:tcPr>
          <w:p w14:paraId="32582565"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2.002.987,16</w:t>
            </w:r>
          </w:p>
        </w:tc>
      </w:tr>
      <w:tr w:rsidR="00C92086" w:rsidRPr="00C92086" w14:paraId="010DBDAB" w14:textId="77777777" w:rsidTr="00655DD6">
        <w:tc>
          <w:tcPr>
            <w:tcW w:w="4230" w:type="dxa"/>
            <w:shd w:val="clear" w:color="auto" w:fill="auto"/>
          </w:tcPr>
          <w:p w14:paraId="4FC13D05" w14:textId="77777777" w:rsidR="00C92086" w:rsidRPr="00C92086" w:rsidRDefault="00C92086" w:rsidP="00C92086">
            <w:pPr>
              <w:widowControl w:val="0"/>
              <w:suppressAutoHyphens/>
              <w:autoSpaceDE w:val="0"/>
              <w:autoSpaceDN w:val="0"/>
              <w:adjustRightInd w:val="0"/>
              <w:spacing w:after="0" w:line="240" w:lineRule="auto"/>
              <w:rPr>
                <w:rFonts w:ascii="Arial Narrow" w:hAnsi="Arial Narrow" w:cs="Tahoma"/>
              </w:rPr>
            </w:pPr>
            <w:r w:rsidRPr="00C92086">
              <w:rPr>
                <w:rFonts w:ascii="Arial Narrow" w:hAnsi="Arial Narrow" w:cs="Tahoma"/>
              </w:rPr>
              <w:t>Reabilitarea, modernizarea și extinderea zonei centrale pietonale, a spațiului verde și a trotuarelor în Stațiunea Turistică Horezu, jud. Vâlcea</w:t>
            </w:r>
          </w:p>
        </w:tc>
        <w:tc>
          <w:tcPr>
            <w:tcW w:w="1552" w:type="dxa"/>
            <w:shd w:val="clear" w:color="auto" w:fill="auto"/>
          </w:tcPr>
          <w:p w14:paraId="434EC50E"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508.603,04</w:t>
            </w:r>
          </w:p>
        </w:tc>
        <w:tc>
          <w:tcPr>
            <w:tcW w:w="1553" w:type="dxa"/>
          </w:tcPr>
          <w:p w14:paraId="3FEA7491"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508.603,03</w:t>
            </w:r>
          </w:p>
        </w:tc>
        <w:tc>
          <w:tcPr>
            <w:tcW w:w="1552" w:type="dxa"/>
            <w:shd w:val="clear" w:color="auto" w:fill="auto"/>
          </w:tcPr>
          <w:p w14:paraId="2086A749"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3" w:type="dxa"/>
            <w:shd w:val="clear" w:color="auto" w:fill="auto"/>
          </w:tcPr>
          <w:p w14:paraId="68CC4F5E" w14:textId="77777777" w:rsidR="00C92086" w:rsidRPr="00C92086" w:rsidRDefault="00C92086" w:rsidP="00C92086">
            <w:pPr>
              <w:autoSpaceDE w:val="0"/>
              <w:autoSpaceDN w:val="0"/>
              <w:adjustRightInd w:val="0"/>
              <w:jc w:val="center"/>
              <w:rPr>
                <w:rFonts w:ascii="Arial Narrow" w:eastAsia="Calibri" w:hAnsi="Arial Narrow" w:cs="Arial"/>
                <w:szCs w:val="20"/>
              </w:rPr>
            </w:pPr>
            <w:r w:rsidRPr="00C92086">
              <w:rPr>
                <w:rFonts w:ascii="Arial Narrow" w:eastAsia="Calibri" w:hAnsi="Arial Narrow" w:cs="Arial"/>
                <w:szCs w:val="20"/>
              </w:rPr>
              <w:t>1.017.206,07</w:t>
            </w:r>
          </w:p>
        </w:tc>
      </w:tr>
      <w:tr w:rsidR="00C92086" w:rsidRPr="00C92086" w14:paraId="07254101" w14:textId="77777777" w:rsidTr="00655DD6">
        <w:tc>
          <w:tcPr>
            <w:tcW w:w="4230" w:type="dxa"/>
            <w:shd w:val="clear" w:color="auto" w:fill="auto"/>
          </w:tcPr>
          <w:p w14:paraId="0731E78C" w14:textId="77777777" w:rsidR="00C92086" w:rsidRPr="00C92086" w:rsidRDefault="00C92086" w:rsidP="00C92086">
            <w:pPr>
              <w:widowControl w:val="0"/>
              <w:suppressAutoHyphens/>
              <w:autoSpaceDE w:val="0"/>
              <w:autoSpaceDN w:val="0"/>
              <w:adjustRightInd w:val="0"/>
              <w:spacing w:after="0" w:line="240" w:lineRule="auto"/>
              <w:rPr>
                <w:rFonts w:ascii="Arial Narrow" w:hAnsi="Arial Narrow" w:cs="Tahoma"/>
              </w:rPr>
            </w:pPr>
            <w:r w:rsidRPr="00C92086">
              <w:rPr>
                <w:rFonts w:ascii="Arial Narrow" w:hAnsi="Arial Narrow" w:cs="Tahoma"/>
              </w:rPr>
              <w:t>Reabilitare străzi în Orașul Horezu, jud. Vâlcea: Nicolae Bălcescu, Roamni, Căpitan Maldăr, Ion Creangă, Zavoiului, Florilor, Stadionului, Parcul Industrial, Eroilor, Iancu Jianu, Anton Pann, Unirii, Olari, George Coșbuc, Moc</w:t>
            </w:r>
            <w:r>
              <w:rPr>
                <w:rFonts w:ascii="Arial Narrow" w:hAnsi="Arial Narrow" w:cs="Tahoma"/>
              </w:rPr>
              <w:t>ă</w:t>
            </w:r>
            <w:r w:rsidRPr="00C92086">
              <w:rPr>
                <w:rFonts w:ascii="Arial Narrow" w:hAnsi="Arial Narrow" w:cs="Tahoma"/>
              </w:rPr>
              <w:t>ni</w:t>
            </w:r>
            <w:r>
              <w:rPr>
                <w:rFonts w:ascii="Arial Narrow" w:hAnsi="Arial Narrow" w:cs="Tahoma"/>
              </w:rPr>
              <w:t>ț</w:t>
            </w:r>
            <w:r w:rsidRPr="00C92086">
              <w:rPr>
                <w:rFonts w:ascii="Arial Narrow" w:hAnsi="Arial Narrow" w:cs="Tahoma"/>
              </w:rPr>
              <w:t>ei, Constantin Brâncoveanu</w:t>
            </w:r>
          </w:p>
        </w:tc>
        <w:tc>
          <w:tcPr>
            <w:tcW w:w="1552" w:type="dxa"/>
            <w:shd w:val="clear" w:color="auto" w:fill="auto"/>
          </w:tcPr>
          <w:p w14:paraId="208C8F99"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1.365.039,37</w:t>
            </w:r>
          </w:p>
        </w:tc>
        <w:tc>
          <w:tcPr>
            <w:tcW w:w="1553" w:type="dxa"/>
          </w:tcPr>
          <w:p w14:paraId="4B6DA63A"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1.365.039,38</w:t>
            </w:r>
          </w:p>
        </w:tc>
        <w:tc>
          <w:tcPr>
            <w:tcW w:w="1552" w:type="dxa"/>
            <w:shd w:val="clear" w:color="auto" w:fill="auto"/>
          </w:tcPr>
          <w:p w14:paraId="488EE5C2"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3" w:type="dxa"/>
            <w:shd w:val="clear" w:color="auto" w:fill="auto"/>
          </w:tcPr>
          <w:p w14:paraId="2D112E2D" w14:textId="77777777" w:rsidR="00C92086" w:rsidRPr="00C92086" w:rsidRDefault="00C92086" w:rsidP="00C92086">
            <w:pPr>
              <w:jc w:val="center"/>
              <w:rPr>
                <w:rFonts w:ascii="Arial Narrow" w:eastAsia="Calibri" w:hAnsi="Arial Narrow" w:cs="Arial"/>
                <w:szCs w:val="20"/>
              </w:rPr>
            </w:pPr>
            <w:r w:rsidRPr="00C92086">
              <w:rPr>
                <w:rFonts w:ascii="Arial Narrow" w:eastAsia="Calibri" w:hAnsi="Arial Narrow" w:cs="Arial"/>
                <w:szCs w:val="20"/>
              </w:rPr>
              <w:t>2.730.078,75</w:t>
            </w:r>
          </w:p>
        </w:tc>
      </w:tr>
      <w:tr w:rsidR="00C92086" w:rsidRPr="00C92086" w14:paraId="6EAA8FBF" w14:textId="77777777" w:rsidTr="00655DD6">
        <w:tc>
          <w:tcPr>
            <w:tcW w:w="4230" w:type="dxa"/>
            <w:shd w:val="clear" w:color="auto" w:fill="auto"/>
          </w:tcPr>
          <w:p w14:paraId="3B3B6FDF" w14:textId="77777777" w:rsidR="00C92086" w:rsidRPr="00C92086" w:rsidRDefault="00C92086" w:rsidP="00C92086">
            <w:pPr>
              <w:widowControl w:val="0"/>
              <w:suppressAutoHyphens/>
              <w:autoSpaceDE w:val="0"/>
              <w:autoSpaceDN w:val="0"/>
              <w:adjustRightInd w:val="0"/>
              <w:spacing w:after="0" w:line="240" w:lineRule="auto"/>
              <w:rPr>
                <w:rFonts w:ascii="Arial Narrow" w:hAnsi="Arial Narrow" w:cs="Tahoma"/>
              </w:rPr>
            </w:pPr>
            <w:r w:rsidRPr="00C92086">
              <w:rPr>
                <w:rFonts w:ascii="Arial Narrow" w:hAnsi="Arial Narrow" w:cs="Tahoma"/>
              </w:rPr>
              <w:t xml:space="preserve">Reabilitare </w:t>
            </w:r>
            <w:r>
              <w:rPr>
                <w:rFonts w:ascii="Arial Narrow" w:hAnsi="Arial Narrow" w:cs="Tahoma"/>
              </w:rPr>
              <w:t>ș</w:t>
            </w:r>
            <w:r w:rsidRPr="00C92086">
              <w:rPr>
                <w:rFonts w:ascii="Arial Narrow" w:hAnsi="Arial Narrow" w:cs="Tahoma"/>
              </w:rPr>
              <w:t>i modernizare str</w:t>
            </w:r>
            <w:r>
              <w:rPr>
                <w:rFonts w:ascii="Arial Narrow" w:hAnsi="Arial Narrow" w:cs="Tahoma"/>
              </w:rPr>
              <w:t>ă</w:t>
            </w:r>
            <w:r w:rsidRPr="00C92086">
              <w:rPr>
                <w:rFonts w:ascii="Arial Narrow" w:hAnsi="Arial Narrow" w:cs="Tahoma"/>
              </w:rPr>
              <w:t xml:space="preserve">zi </w:t>
            </w:r>
            <w:r>
              <w:rPr>
                <w:rFonts w:ascii="Arial Narrow" w:hAnsi="Arial Narrow" w:cs="Tahoma"/>
              </w:rPr>
              <w:t>î</w:t>
            </w:r>
            <w:r w:rsidRPr="00C92086">
              <w:rPr>
                <w:rFonts w:ascii="Arial Narrow" w:hAnsi="Arial Narrow" w:cs="Tahoma"/>
              </w:rPr>
              <w:t>n Ora</w:t>
            </w:r>
            <w:r>
              <w:rPr>
                <w:rFonts w:ascii="Arial Narrow" w:hAnsi="Arial Narrow" w:cs="Tahoma"/>
              </w:rPr>
              <w:t>ș</w:t>
            </w:r>
            <w:r w:rsidRPr="00C92086">
              <w:rPr>
                <w:rFonts w:ascii="Arial Narrow" w:hAnsi="Arial Narrow" w:cs="Tahoma"/>
              </w:rPr>
              <w:t>ul Horezu, jud. V</w:t>
            </w:r>
            <w:r>
              <w:rPr>
                <w:rFonts w:ascii="Arial Narrow" w:hAnsi="Arial Narrow" w:cs="Tahoma"/>
              </w:rPr>
              <w:t>â</w:t>
            </w:r>
            <w:r w:rsidRPr="00C92086">
              <w:rPr>
                <w:rFonts w:ascii="Arial Narrow" w:hAnsi="Arial Narrow" w:cs="Tahoma"/>
              </w:rPr>
              <w:t>lcea: I. Gh. Duca, Ur</w:t>
            </w:r>
            <w:r w:rsidR="007F3C2B">
              <w:rPr>
                <w:rFonts w:ascii="Arial Narrow" w:hAnsi="Arial Narrow" w:cs="Tahoma"/>
              </w:rPr>
              <w:t>ș</w:t>
            </w:r>
            <w:r w:rsidRPr="00C92086">
              <w:rPr>
                <w:rFonts w:ascii="Arial Narrow" w:hAnsi="Arial Narrow" w:cs="Tahoma"/>
              </w:rPr>
              <w:t>ani, Mihai Eminescu, Al. Vlahu</w:t>
            </w:r>
            <w:r w:rsidR="007F3C2B">
              <w:rPr>
                <w:rFonts w:ascii="Arial Narrow" w:hAnsi="Arial Narrow" w:cs="Tahoma"/>
              </w:rPr>
              <w:t>ță</w:t>
            </w:r>
            <w:r w:rsidRPr="00C92086">
              <w:rPr>
                <w:rFonts w:ascii="Arial Narrow" w:hAnsi="Arial Narrow" w:cs="Tahoma"/>
              </w:rPr>
              <w:t xml:space="preserve">, Matei Basarab, 9 Mai 1877, Valea Ursului </w:t>
            </w:r>
            <w:r w:rsidR="007F3C2B">
              <w:rPr>
                <w:rFonts w:ascii="Arial Narrow" w:hAnsi="Arial Narrow" w:cs="Tahoma"/>
              </w:rPr>
              <w:t>ș</w:t>
            </w:r>
            <w:r w:rsidRPr="00C92086">
              <w:rPr>
                <w:rFonts w:ascii="Arial Narrow" w:hAnsi="Arial Narrow" w:cs="Tahoma"/>
              </w:rPr>
              <w:t>i Arice</w:t>
            </w:r>
            <w:r w:rsidR="007F3C2B">
              <w:rPr>
                <w:rFonts w:ascii="Arial Narrow" w:hAnsi="Arial Narrow" w:cs="Tahoma"/>
              </w:rPr>
              <w:t>ș</w:t>
            </w:r>
            <w:r w:rsidRPr="00C92086">
              <w:rPr>
                <w:rFonts w:ascii="Arial Narrow" w:hAnsi="Arial Narrow" w:cs="Tahoma"/>
              </w:rPr>
              <w:t>ti</w:t>
            </w:r>
          </w:p>
        </w:tc>
        <w:tc>
          <w:tcPr>
            <w:tcW w:w="1552" w:type="dxa"/>
            <w:shd w:val="clear" w:color="auto" w:fill="auto"/>
          </w:tcPr>
          <w:p w14:paraId="723F93CD"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3.738.408,51</w:t>
            </w:r>
          </w:p>
        </w:tc>
        <w:tc>
          <w:tcPr>
            <w:tcW w:w="1553" w:type="dxa"/>
          </w:tcPr>
          <w:p w14:paraId="0C161EDB"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1.869.204,26</w:t>
            </w:r>
          </w:p>
        </w:tc>
        <w:tc>
          <w:tcPr>
            <w:tcW w:w="1552" w:type="dxa"/>
            <w:shd w:val="clear" w:color="auto" w:fill="auto"/>
          </w:tcPr>
          <w:p w14:paraId="47AA62F1"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3" w:type="dxa"/>
            <w:shd w:val="clear" w:color="auto" w:fill="auto"/>
          </w:tcPr>
          <w:p w14:paraId="6EA297E8" w14:textId="77777777" w:rsidR="00C92086" w:rsidRPr="00C92086" w:rsidRDefault="00C92086" w:rsidP="00C92086">
            <w:pPr>
              <w:jc w:val="center"/>
              <w:rPr>
                <w:rFonts w:ascii="Arial Narrow" w:hAnsi="Arial Narrow" w:cs="Arial"/>
                <w:szCs w:val="20"/>
              </w:rPr>
            </w:pPr>
            <w:r w:rsidRPr="00C92086">
              <w:rPr>
                <w:rFonts w:ascii="Arial Narrow" w:hAnsi="Arial Narrow" w:cs="Arial"/>
                <w:szCs w:val="20"/>
              </w:rPr>
              <w:t>5.607.612,77</w:t>
            </w:r>
          </w:p>
        </w:tc>
      </w:tr>
      <w:tr w:rsidR="00C92086" w:rsidRPr="00C92086" w14:paraId="1F7ED559" w14:textId="77777777" w:rsidTr="00655DD6">
        <w:tc>
          <w:tcPr>
            <w:tcW w:w="4230" w:type="dxa"/>
            <w:shd w:val="clear" w:color="auto" w:fill="auto"/>
          </w:tcPr>
          <w:p w14:paraId="205984F4" w14:textId="77777777" w:rsidR="00C92086" w:rsidRPr="00C92086" w:rsidRDefault="007F3C2B" w:rsidP="00C92086">
            <w:pPr>
              <w:widowControl w:val="0"/>
              <w:suppressAutoHyphens/>
              <w:autoSpaceDE w:val="0"/>
              <w:autoSpaceDN w:val="0"/>
              <w:adjustRightInd w:val="0"/>
              <w:spacing w:after="0" w:line="240" w:lineRule="auto"/>
              <w:rPr>
                <w:rFonts w:ascii="Arial Narrow" w:hAnsi="Arial Narrow" w:cs="Tahoma"/>
              </w:rPr>
            </w:pPr>
            <w:r w:rsidRPr="007F3C2B">
              <w:rPr>
                <w:rFonts w:ascii="Arial Narrow" w:hAnsi="Arial Narrow" w:cs="Tahoma"/>
              </w:rPr>
              <w:t>Lucrări de punere în siguranță a străzii Lungă – Varfu’ lu’ Român, pe o lungime de 10 km, Orașul Horezu, Județul Vâlcea</w:t>
            </w:r>
            <w:r w:rsidR="00C92086" w:rsidRPr="00C92086">
              <w:rPr>
                <w:rFonts w:ascii="Arial Narrow" w:hAnsi="Arial Narrow" w:cs="Tahoma"/>
              </w:rPr>
              <w:t>.</w:t>
            </w:r>
          </w:p>
        </w:tc>
        <w:tc>
          <w:tcPr>
            <w:tcW w:w="1552" w:type="dxa"/>
            <w:shd w:val="clear" w:color="auto" w:fill="auto"/>
          </w:tcPr>
          <w:p w14:paraId="254E5424"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3.800.000</w:t>
            </w:r>
          </w:p>
        </w:tc>
        <w:tc>
          <w:tcPr>
            <w:tcW w:w="1553" w:type="dxa"/>
          </w:tcPr>
          <w:p w14:paraId="48FEB834"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5.700.000</w:t>
            </w:r>
          </w:p>
        </w:tc>
        <w:tc>
          <w:tcPr>
            <w:tcW w:w="1552" w:type="dxa"/>
            <w:shd w:val="clear" w:color="auto" w:fill="auto"/>
          </w:tcPr>
          <w:p w14:paraId="6EED7589"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3" w:type="dxa"/>
            <w:shd w:val="clear" w:color="auto" w:fill="auto"/>
          </w:tcPr>
          <w:p w14:paraId="26C2F006" w14:textId="77777777" w:rsidR="00C92086" w:rsidRPr="00C92086" w:rsidRDefault="00C92086" w:rsidP="00C92086">
            <w:pPr>
              <w:jc w:val="center"/>
              <w:rPr>
                <w:rFonts w:ascii="Arial Narrow" w:hAnsi="Arial Narrow" w:cs="Arial"/>
                <w:szCs w:val="20"/>
              </w:rPr>
            </w:pPr>
            <w:r w:rsidRPr="00C92086">
              <w:rPr>
                <w:rFonts w:ascii="Arial Narrow" w:hAnsi="Arial Narrow" w:cs="Arial"/>
                <w:szCs w:val="20"/>
              </w:rPr>
              <w:t>9.500.000,00</w:t>
            </w:r>
          </w:p>
        </w:tc>
      </w:tr>
      <w:tr w:rsidR="00C92086" w:rsidRPr="00C92086" w14:paraId="67FA51BF" w14:textId="77777777" w:rsidTr="00655DD6">
        <w:tc>
          <w:tcPr>
            <w:tcW w:w="4230" w:type="dxa"/>
            <w:shd w:val="clear" w:color="auto" w:fill="auto"/>
          </w:tcPr>
          <w:p w14:paraId="5FCB6F87" w14:textId="77777777" w:rsidR="00C92086" w:rsidRPr="00C92086" w:rsidRDefault="00C92086" w:rsidP="00C92086">
            <w:pPr>
              <w:widowControl w:val="0"/>
              <w:suppressAutoHyphens/>
              <w:autoSpaceDE w:val="0"/>
              <w:autoSpaceDN w:val="0"/>
              <w:adjustRightInd w:val="0"/>
              <w:spacing w:after="0" w:line="240" w:lineRule="auto"/>
              <w:rPr>
                <w:rFonts w:ascii="Arial Narrow" w:hAnsi="Arial Narrow" w:cs="Tahoma"/>
              </w:rPr>
            </w:pPr>
            <w:r w:rsidRPr="00C92086">
              <w:rPr>
                <w:rFonts w:ascii="Arial Narrow" w:hAnsi="Arial Narrow" w:cs="Times New Roman"/>
                <w:lang w:val="ro-RO"/>
              </w:rPr>
              <w:t>Construire stații de încărcare pentru vehicule electrice în orașul Horezu, jud. Valcea</w:t>
            </w:r>
          </w:p>
        </w:tc>
        <w:tc>
          <w:tcPr>
            <w:tcW w:w="1552" w:type="dxa"/>
            <w:shd w:val="clear" w:color="auto" w:fill="auto"/>
          </w:tcPr>
          <w:p w14:paraId="1A8270BA"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429.919</w:t>
            </w:r>
          </w:p>
        </w:tc>
        <w:tc>
          <w:tcPr>
            <w:tcW w:w="1553" w:type="dxa"/>
          </w:tcPr>
          <w:p w14:paraId="192B4B84"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2" w:type="dxa"/>
            <w:shd w:val="clear" w:color="auto" w:fill="auto"/>
          </w:tcPr>
          <w:p w14:paraId="2CFCC66B"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0</w:t>
            </w:r>
          </w:p>
        </w:tc>
        <w:tc>
          <w:tcPr>
            <w:tcW w:w="1553" w:type="dxa"/>
            <w:shd w:val="clear" w:color="auto" w:fill="auto"/>
          </w:tcPr>
          <w:p w14:paraId="7854CAF0" w14:textId="77777777" w:rsidR="00C92086" w:rsidRPr="00C92086" w:rsidRDefault="00C92086" w:rsidP="00C92086">
            <w:pPr>
              <w:suppressLineNumbers/>
              <w:suppressAutoHyphens/>
              <w:spacing w:after="0" w:line="240" w:lineRule="auto"/>
              <w:jc w:val="center"/>
              <w:rPr>
                <w:rFonts w:ascii="Arial" w:hAnsi="Arial" w:cs="Arial"/>
                <w:kern w:val="1"/>
                <w:sz w:val="20"/>
                <w:szCs w:val="20"/>
                <w:lang w:val="ro-RO" w:eastAsia="zh-CN" w:bidi="hi-IN"/>
              </w:rPr>
            </w:pPr>
            <w:r w:rsidRPr="00C92086">
              <w:rPr>
                <w:rFonts w:ascii="Arial" w:hAnsi="Arial" w:cs="Arial"/>
                <w:kern w:val="1"/>
                <w:sz w:val="20"/>
                <w:szCs w:val="20"/>
                <w:lang w:val="ro-RO" w:eastAsia="zh-CN" w:bidi="hi-IN"/>
              </w:rPr>
              <w:t>429.919</w:t>
            </w:r>
          </w:p>
        </w:tc>
      </w:tr>
      <w:tr w:rsidR="00C92086" w:rsidRPr="00C92086" w14:paraId="1E720E55" w14:textId="77777777" w:rsidTr="00655DD6">
        <w:tc>
          <w:tcPr>
            <w:tcW w:w="4230" w:type="dxa"/>
            <w:shd w:val="clear" w:color="auto" w:fill="D9D9D9"/>
          </w:tcPr>
          <w:p w14:paraId="091EF045" w14:textId="77777777" w:rsidR="00C92086" w:rsidRPr="00C92086" w:rsidRDefault="00C92086" w:rsidP="00C92086">
            <w:pPr>
              <w:suppressAutoHyphens/>
              <w:autoSpaceDE w:val="0"/>
              <w:spacing w:after="0" w:line="360" w:lineRule="auto"/>
              <w:jc w:val="both"/>
              <w:rPr>
                <w:rFonts w:ascii="Arial" w:eastAsia="Calibri" w:hAnsi="Arial" w:cs="Arial"/>
                <w:b/>
                <w:bCs/>
                <w:color w:val="000000"/>
                <w:sz w:val="20"/>
                <w:szCs w:val="20"/>
                <w:lang w:eastAsia="zh-CN"/>
              </w:rPr>
            </w:pPr>
            <w:r w:rsidRPr="00C92086">
              <w:rPr>
                <w:rFonts w:ascii="Arial" w:eastAsia="Arial" w:hAnsi="Arial" w:cs="Arial"/>
                <w:b/>
                <w:bCs/>
                <w:color w:val="000000"/>
                <w:sz w:val="20"/>
                <w:szCs w:val="20"/>
                <w:lang w:eastAsia="zh-CN"/>
              </w:rPr>
              <w:t>TOTAL S1</w:t>
            </w:r>
          </w:p>
        </w:tc>
        <w:tc>
          <w:tcPr>
            <w:tcW w:w="1552" w:type="dxa"/>
            <w:shd w:val="clear" w:color="auto" w:fill="D9D9D9"/>
          </w:tcPr>
          <w:p w14:paraId="02F43F6B" w14:textId="77777777" w:rsidR="00C92086" w:rsidRPr="00C92086" w:rsidRDefault="00C92086" w:rsidP="00C92086">
            <w:pPr>
              <w:suppressLineNumbers/>
              <w:suppressAutoHyphens/>
              <w:spacing w:after="0" w:line="240" w:lineRule="auto"/>
              <w:jc w:val="center"/>
              <w:rPr>
                <w:rFonts w:ascii="Arial" w:hAnsi="Arial" w:cs="Arial"/>
                <w:b/>
                <w:bCs/>
                <w:kern w:val="1"/>
                <w:sz w:val="20"/>
                <w:szCs w:val="20"/>
                <w:lang w:val="ro-RO" w:eastAsia="zh-CN" w:bidi="hi-IN"/>
              </w:rPr>
            </w:pPr>
            <w:r w:rsidRPr="00C92086">
              <w:rPr>
                <w:rFonts w:ascii="Arial" w:hAnsi="Arial" w:cs="Arial"/>
                <w:b/>
                <w:bCs/>
                <w:kern w:val="1"/>
                <w:sz w:val="20"/>
                <w:szCs w:val="20"/>
                <w:lang w:val="ro-RO" w:eastAsia="zh-CN" w:bidi="hi-IN"/>
              </w:rPr>
              <w:t>13.047.977,61</w:t>
            </w:r>
          </w:p>
        </w:tc>
        <w:tc>
          <w:tcPr>
            <w:tcW w:w="1553" w:type="dxa"/>
            <w:shd w:val="clear" w:color="auto" w:fill="D9D9D9"/>
          </w:tcPr>
          <w:p w14:paraId="6F318FC2" w14:textId="77777777" w:rsidR="00C92086" w:rsidRPr="00C92086" w:rsidRDefault="00C92086" w:rsidP="00C92086">
            <w:pPr>
              <w:suppressLineNumbers/>
              <w:suppressAutoHyphens/>
              <w:spacing w:after="0" w:line="240" w:lineRule="auto"/>
              <w:jc w:val="center"/>
              <w:rPr>
                <w:rFonts w:ascii="Arial" w:hAnsi="Arial" w:cs="Arial"/>
                <w:b/>
                <w:bCs/>
                <w:kern w:val="1"/>
                <w:sz w:val="20"/>
                <w:szCs w:val="20"/>
                <w:lang w:val="ro-RO" w:eastAsia="zh-CN" w:bidi="hi-IN"/>
              </w:rPr>
            </w:pPr>
            <w:r w:rsidRPr="00C92086">
              <w:rPr>
                <w:rFonts w:ascii="Arial" w:hAnsi="Arial" w:cs="Arial"/>
                <w:b/>
                <w:bCs/>
                <w:kern w:val="1"/>
                <w:sz w:val="20"/>
                <w:szCs w:val="20"/>
                <w:lang w:val="ro-RO" w:eastAsia="zh-CN" w:bidi="hi-IN"/>
              </w:rPr>
              <w:t>9.442.846,67</w:t>
            </w:r>
          </w:p>
        </w:tc>
        <w:tc>
          <w:tcPr>
            <w:tcW w:w="1552" w:type="dxa"/>
            <w:shd w:val="clear" w:color="auto" w:fill="D9D9D9"/>
          </w:tcPr>
          <w:p w14:paraId="5B6505E8" w14:textId="77777777" w:rsidR="00C92086" w:rsidRPr="00C92086" w:rsidRDefault="00C92086" w:rsidP="00C92086">
            <w:pPr>
              <w:suppressLineNumbers/>
              <w:suppressAutoHyphens/>
              <w:spacing w:after="0" w:line="240" w:lineRule="auto"/>
              <w:jc w:val="center"/>
              <w:rPr>
                <w:rFonts w:ascii="Arial" w:hAnsi="Arial" w:cs="Arial"/>
                <w:b/>
                <w:bCs/>
                <w:kern w:val="1"/>
                <w:sz w:val="20"/>
                <w:szCs w:val="20"/>
                <w:lang w:val="ro-RO" w:eastAsia="zh-CN" w:bidi="hi-IN"/>
              </w:rPr>
            </w:pPr>
            <w:r w:rsidRPr="00C92086">
              <w:rPr>
                <w:rFonts w:ascii="Arial" w:hAnsi="Arial" w:cs="Arial"/>
                <w:b/>
                <w:bCs/>
                <w:kern w:val="1"/>
                <w:sz w:val="20"/>
                <w:szCs w:val="20"/>
                <w:lang w:val="ro-RO" w:eastAsia="zh-CN" w:bidi="hi-IN"/>
              </w:rPr>
              <w:t>0</w:t>
            </w:r>
          </w:p>
        </w:tc>
        <w:tc>
          <w:tcPr>
            <w:tcW w:w="1553" w:type="dxa"/>
            <w:shd w:val="clear" w:color="auto" w:fill="D9D9D9"/>
          </w:tcPr>
          <w:p w14:paraId="4DA06C92" w14:textId="77777777" w:rsidR="00C92086" w:rsidRPr="00C92086" w:rsidRDefault="00C92086" w:rsidP="00C92086">
            <w:pPr>
              <w:suppressLineNumbers/>
              <w:suppressAutoHyphens/>
              <w:spacing w:after="0" w:line="240" w:lineRule="auto"/>
              <w:jc w:val="center"/>
              <w:rPr>
                <w:rFonts w:ascii="Arial" w:hAnsi="Arial" w:cs="Mangal"/>
                <w:b/>
                <w:kern w:val="1"/>
                <w:sz w:val="20"/>
                <w:szCs w:val="24"/>
                <w:lang w:val="ro-RO" w:eastAsia="zh-CN" w:bidi="hi-IN"/>
              </w:rPr>
            </w:pPr>
            <w:r w:rsidRPr="00C92086">
              <w:rPr>
                <w:rFonts w:ascii="Arial" w:hAnsi="Arial" w:cs="Mangal"/>
                <w:b/>
                <w:kern w:val="1"/>
                <w:sz w:val="20"/>
                <w:szCs w:val="24"/>
                <w:lang w:val="ro-RO" w:eastAsia="zh-CN" w:bidi="hi-IN"/>
              </w:rPr>
              <w:t>22.490.824,28</w:t>
            </w:r>
          </w:p>
        </w:tc>
      </w:tr>
    </w:tbl>
    <w:p w14:paraId="189C9EEF" w14:textId="77777777" w:rsidR="00C92086" w:rsidRPr="00DC6A92" w:rsidRDefault="00C92086" w:rsidP="00DC6A92">
      <w:pPr>
        <w:spacing w:after="200" w:line="240" w:lineRule="auto"/>
        <w:jc w:val="center"/>
        <w:rPr>
          <w:rFonts w:ascii="Arial" w:hAnsi="Arial" w:cs="Arial"/>
          <w:color w:val="1F497D"/>
          <w:kern w:val="1"/>
          <w:lang w:val="es-ES" w:eastAsia="hi-IN" w:bidi="hi-IN"/>
        </w:rPr>
      </w:pPr>
    </w:p>
    <w:p w14:paraId="4B89F850" w14:textId="77777777" w:rsidR="00DC6A92" w:rsidRPr="00DC6A92" w:rsidRDefault="00DC6A92" w:rsidP="00DC6A92">
      <w:pPr>
        <w:pageBreakBefore/>
        <w:suppressAutoHyphens/>
        <w:spacing w:after="0" w:line="240" w:lineRule="auto"/>
        <w:jc w:val="both"/>
        <w:rPr>
          <w:rFonts w:ascii="Arial" w:hAnsi="Arial" w:cs="Arial"/>
          <w:kern w:val="1"/>
          <w:sz w:val="20"/>
          <w:szCs w:val="24"/>
          <w:lang w:val="ro-RO" w:eastAsia="hi-IN" w:bidi="hi-IN"/>
        </w:rPr>
      </w:pPr>
    </w:p>
    <w:p w14:paraId="0707E577" w14:textId="6EC2E2D4" w:rsidR="00DC6A92" w:rsidRPr="00DC6A92" w:rsidRDefault="00BB0D72" w:rsidP="00DC6A92">
      <w:pPr>
        <w:spacing w:after="200" w:line="240" w:lineRule="auto"/>
        <w:jc w:val="center"/>
        <w:rPr>
          <w:rFonts w:ascii="Arial" w:hAnsi="Arial" w:cs="Arial"/>
          <w:color w:val="1F497D"/>
          <w:kern w:val="1"/>
          <w:lang w:val="es-ES" w:eastAsia="hi-IN" w:bidi="hi-IN"/>
        </w:rPr>
      </w:pPr>
      <w:bookmarkStart w:id="592" w:name="_Toc68361301"/>
      <w:bookmarkStart w:id="593" w:name="_Toc96463925"/>
      <w:r>
        <w:rPr>
          <w:rFonts w:ascii="Arial" w:hAnsi="Arial" w:cs="Arial"/>
          <w:i/>
          <w:iCs/>
          <w:color w:val="1F497D"/>
        </w:rPr>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29</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hAnsi="Arial" w:cs="Arial"/>
          <w:color w:val="1F497D"/>
          <w:kern w:val="1"/>
          <w:lang w:val="es-ES" w:eastAsia="hi-IN" w:bidi="hi-IN"/>
        </w:rPr>
        <w:t>Costuri de investi</w:t>
      </w:r>
      <w:r w:rsidR="00DC6A92" w:rsidRPr="00DC6A92">
        <w:rPr>
          <w:rFonts w:ascii="Arial" w:hAnsi="Arial" w:cs="Arial"/>
          <w:color w:val="1F497D"/>
          <w:kern w:val="1"/>
          <w:lang w:val="es-ES" w:eastAsia="ro-RO" w:bidi="hi-IN"/>
        </w:rPr>
        <w:t>ți</w:t>
      </w:r>
      <w:r w:rsidR="00DC6A92" w:rsidRPr="00DC6A92">
        <w:rPr>
          <w:rFonts w:ascii="Arial" w:hAnsi="Arial" w:cs="Arial"/>
          <w:color w:val="1F497D"/>
          <w:kern w:val="1"/>
          <w:lang w:val="es-ES" w:eastAsia="hi-IN" w:bidi="hi-IN"/>
        </w:rPr>
        <w:t>i în Scenariul 2 – “Politica minimalistă”</w:t>
      </w:r>
      <w:bookmarkEnd w:id="592"/>
      <w:bookmarkEnd w:id="593"/>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681"/>
        <w:gridCol w:w="1200"/>
        <w:gridCol w:w="1200"/>
        <w:gridCol w:w="1200"/>
        <w:gridCol w:w="1200"/>
      </w:tblGrid>
      <w:tr w:rsidR="00DC6A92" w:rsidRPr="00DC6A92" w14:paraId="48CEE490" w14:textId="77777777" w:rsidTr="00E35BEB">
        <w:trPr>
          <w:tblHeader/>
          <w:jc w:val="center"/>
        </w:trPr>
        <w:tc>
          <w:tcPr>
            <w:tcW w:w="4681" w:type="dxa"/>
            <w:vMerge w:val="restart"/>
            <w:shd w:val="clear" w:color="auto" w:fill="D9D9D9"/>
            <w:vAlign w:val="center"/>
          </w:tcPr>
          <w:p w14:paraId="54FAB5E2" w14:textId="77777777" w:rsidR="00DC6A92" w:rsidRPr="00DC6A92" w:rsidRDefault="00DC6A92" w:rsidP="00DC6A92">
            <w:pPr>
              <w:suppressLineNumbers/>
              <w:suppressAutoHyphens/>
              <w:spacing w:after="0" w:line="240" w:lineRule="auto"/>
              <w:jc w:val="center"/>
              <w:rPr>
                <w:rFonts w:ascii="Arial" w:hAnsi="Arial" w:cs="Arial"/>
                <w:b/>
                <w:bCs/>
                <w:kern w:val="1"/>
                <w:sz w:val="20"/>
                <w:szCs w:val="20"/>
                <w:lang w:val="ro-RO" w:eastAsia="zh-CN" w:bidi="hi-IN"/>
              </w:rPr>
            </w:pPr>
            <w:r w:rsidRPr="00DC6A92">
              <w:rPr>
                <w:rFonts w:ascii="Arial" w:hAnsi="Arial" w:cs="Arial"/>
                <w:b/>
                <w:bCs/>
                <w:kern w:val="1"/>
                <w:sz w:val="20"/>
                <w:szCs w:val="20"/>
                <w:lang w:val="ro-RO" w:eastAsia="zh-CN" w:bidi="hi-IN"/>
              </w:rPr>
              <w:t>Proiect</w:t>
            </w:r>
          </w:p>
        </w:tc>
        <w:tc>
          <w:tcPr>
            <w:tcW w:w="4800" w:type="dxa"/>
            <w:gridSpan w:val="4"/>
            <w:shd w:val="clear" w:color="auto" w:fill="D9D9D9"/>
          </w:tcPr>
          <w:p w14:paraId="31208D0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b/>
                <w:bCs/>
                <w:kern w:val="1"/>
                <w:sz w:val="20"/>
                <w:szCs w:val="20"/>
                <w:lang w:val="ro-RO" w:eastAsia="zh-CN" w:bidi="hi-IN"/>
              </w:rPr>
              <w:t>Costuri (euro)</w:t>
            </w:r>
          </w:p>
        </w:tc>
      </w:tr>
      <w:tr w:rsidR="00DC6A92" w:rsidRPr="00DC6A92" w14:paraId="0CDB3F50" w14:textId="77777777" w:rsidTr="00E35BEB">
        <w:trPr>
          <w:tblHeader/>
          <w:jc w:val="center"/>
        </w:trPr>
        <w:tc>
          <w:tcPr>
            <w:tcW w:w="4681" w:type="dxa"/>
            <w:vMerge/>
            <w:shd w:val="clear" w:color="auto" w:fill="D9D9D9"/>
          </w:tcPr>
          <w:p w14:paraId="442349CB" w14:textId="77777777" w:rsidR="00DC6A92" w:rsidRPr="00DC6A92" w:rsidRDefault="00DC6A92" w:rsidP="00DC6A92">
            <w:pPr>
              <w:suppressLineNumbers/>
              <w:suppressAutoHyphens/>
              <w:snapToGrid w:val="0"/>
              <w:spacing w:after="0" w:line="240" w:lineRule="auto"/>
              <w:jc w:val="both"/>
              <w:rPr>
                <w:rFonts w:ascii="Arial" w:hAnsi="Arial" w:cs="Arial"/>
                <w:kern w:val="1"/>
                <w:sz w:val="20"/>
                <w:szCs w:val="20"/>
                <w:lang w:val="ro-RO" w:eastAsia="zh-CN" w:bidi="hi-IN"/>
              </w:rPr>
            </w:pPr>
          </w:p>
        </w:tc>
        <w:tc>
          <w:tcPr>
            <w:tcW w:w="1200" w:type="dxa"/>
            <w:shd w:val="clear" w:color="auto" w:fill="D9D9D9"/>
          </w:tcPr>
          <w:p w14:paraId="18D2D6A7" w14:textId="77777777" w:rsidR="00DC6A92" w:rsidRPr="00DC6A92" w:rsidRDefault="00DC6A92" w:rsidP="00DC6A92">
            <w:pPr>
              <w:suppressLineNumbers/>
              <w:suppressAutoHyphens/>
              <w:spacing w:after="0" w:line="240" w:lineRule="auto"/>
              <w:jc w:val="center"/>
              <w:rPr>
                <w:rFonts w:ascii="Arial" w:hAnsi="Arial" w:cs="Arial"/>
                <w:b/>
                <w:bCs/>
                <w:kern w:val="1"/>
                <w:sz w:val="20"/>
                <w:szCs w:val="20"/>
                <w:lang w:val="ro-RO" w:eastAsia="zh-CN" w:bidi="hi-IN"/>
              </w:rPr>
            </w:pPr>
            <w:r w:rsidRPr="00DC6A92">
              <w:rPr>
                <w:rFonts w:ascii="Arial" w:hAnsi="Arial" w:cs="Arial"/>
                <w:b/>
                <w:bCs/>
                <w:kern w:val="1"/>
                <w:sz w:val="20"/>
                <w:szCs w:val="20"/>
                <w:lang w:val="ro-RO" w:eastAsia="zh-CN" w:bidi="hi-IN"/>
              </w:rPr>
              <w:t>2022-2023</w:t>
            </w:r>
          </w:p>
        </w:tc>
        <w:tc>
          <w:tcPr>
            <w:tcW w:w="1200" w:type="dxa"/>
            <w:shd w:val="clear" w:color="auto" w:fill="D9D9D9"/>
          </w:tcPr>
          <w:p w14:paraId="6B817957" w14:textId="77777777" w:rsidR="00DC6A92" w:rsidRPr="00DC6A92" w:rsidRDefault="00DC6A92" w:rsidP="00DC6A92">
            <w:pPr>
              <w:suppressLineNumbers/>
              <w:suppressAutoHyphens/>
              <w:spacing w:after="0" w:line="240" w:lineRule="auto"/>
              <w:jc w:val="center"/>
              <w:rPr>
                <w:rFonts w:ascii="Arial" w:hAnsi="Arial" w:cs="Arial"/>
                <w:b/>
                <w:bCs/>
                <w:kern w:val="1"/>
                <w:sz w:val="20"/>
                <w:szCs w:val="20"/>
                <w:lang w:val="ro-RO" w:eastAsia="zh-CN" w:bidi="hi-IN"/>
              </w:rPr>
            </w:pPr>
            <w:r w:rsidRPr="00DC6A92">
              <w:rPr>
                <w:rFonts w:ascii="Arial" w:hAnsi="Arial" w:cs="Arial"/>
                <w:b/>
                <w:bCs/>
                <w:kern w:val="1"/>
                <w:sz w:val="20"/>
                <w:szCs w:val="20"/>
                <w:lang w:val="ro-RO" w:eastAsia="zh-CN" w:bidi="hi-IN"/>
              </w:rPr>
              <w:t>2024-2027</w:t>
            </w:r>
          </w:p>
        </w:tc>
        <w:tc>
          <w:tcPr>
            <w:tcW w:w="1200" w:type="dxa"/>
            <w:shd w:val="clear" w:color="auto" w:fill="D9D9D9"/>
          </w:tcPr>
          <w:p w14:paraId="6118F30B" w14:textId="77777777" w:rsidR="00DC6A92" w:rsidRPr="00DC6A92" w:rsidRDefault="00DC6A92" w:rsidP="00DC6A92">
            <w:pPr>
              <w:suppressLineNumbers/>
              <w:suppressAutoHyphens/>
              <w:spacing w:after="0" w:line="240" w:lineRule="auto"/>
              <w:jc w:val="center"/>
              <w:rPr>
                <w:rFonts w:ascii="Arial" w:hAnsi="Arial" w:cs="Arial"/>
                <w:b/>
                <w:bCs/>
                <w:kern w:val="1"/>
                <w:sz w:val="20"/>
                <w:szCs w:val="20"/>
                <w:lang w:val="ro-RO" w:eastAsia="zh-CN" w:bidi="hi-IN"/>
              </w:rPr>
            </w:pPr>
            <w:r w:rsidRPr="00DC6A92">
              <w:rPr>
                <w:rFonts w:ascii="Arial" w:hAnsi="Arial" w:cs="Arial"/>
                <w:b/>
                <w:bCs/>
                <w:kern w:val="1"/>
                <w:sz w:val="20"/>
                <w:szCs w:val="20"/>
                <w:lang w:val="ro-RO" w:eastAsia="zh-CN" w:bidi="hi-IN"/>
              </w:rPr>
              <w:t>2028-2035</w:t>
            </w:r>
          </w:p>
        </w:tc>
        <w:tc>
          <w:tcPr>
            <w:tcW w:w="1200" w:type="dxa"/>
            <w:shd w:val="clear" w:color="auto" w:fill="D9D9D9"/>
          </w:tcPr>
          <w:p w14:paraId="1530D154"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b/>
                <w:bCs/>
                <w:kern w:val="1"/>
                <w:sz w:val="20"/>
                <w:szCs w:val="20"/>
                <w:lang w:val="ro-RO" w:eastAsia="zh-CN" w:bidi="hi-IN"/>
              </w:rPr>
              <w:t>Total</w:t>
            </w:r>
          </w:p>
        </w:tc>
      </w:tr>
      <w:tr w:rsidR="00DC6A92" w:rsidRPr="00DC6A92" w14:paraId="61DF2F32" w14:textId="77777777" w:rsidTr="00C735D2">
        <w:trPr>
          <w:jc w:val="center"/>
        </w:trPr>
        <w:tc>
          <w:tcPr>
            <w:tcW w:w="4681" w:type="dxa"/>
            <w:shd w:val="clear" w:color="auto" w:fill="auto"/>
          </w:tcPr>
          <w:p w14:paraId="52189197" w14:textId="77777777" w:rsidR="00DC6A92" w:rsidRPr="00DC6A92" w:rsidRDefault="00DC6A92" w:rsidP="00DC6A92">
            <w:pPr>
              <w:tabs>
                <w:tab w:val="left" w:pos="1215"/>
              </w:tabs>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I.2 = inovări în domeniul administrativ care să reducă numărul necesar de deplasări ale cetăţeanului la instituţia respectivă</w:t>
            </w:r>
          </w:p>
        </w:tc>
        <w:tc>
          <w:tcPr>
            <w:tcW w:w="1200" w:type="dxa"/>
            <w:shd w:val="clear" w:color="auto" w:fill="auto"/>
          </w:tcPr>
          <w:p w14:paraId="13962A2C"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02DC8512"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400.000</w:t>
            </w:r>
          </w:p>
        </w:tc>
        <w:tc>
          <w:tcPr>
            <w:tcW w:w="1200" w:type="dxa"/>
          </w:tcPr>
          <w:p w14:paraId="60E9C80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03AB68C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400.000</w:t>
            </w:r>
          </w:p>
        </w:tc>
      </w:tr>
      <w:tr w:rsidR="00DC6A92" w:rsidRPr="00DC6A92" w14:paraId="64187177" w14:textId="77777777" w:rsidTr="00C735D2">
        <w:trPr>
          <w:jc w:val="center"/>
        </w:trPr>
        <w:tc>
          <w:tcPr>
            <w:tcW w:w="4681" w:type="dxa"/>
            <w:shd w:val="clear" w:color="auto" w:fill="auto"/>
          </w:tcPr>
          <w:p w14:paraId="4A228501"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rPr>
              <w:t xml:space="preserve">III.1 = </w:t>
            </w:r>
            <w:r w:rsidRPr="00DC6A92">
              <w:rPr>
                <w:rFonts w:ascii="Arial" w:eastAsia="Calibri" w:hAnsi="Arial" w:cs="Arial"/>
                <w:color w:val="000000"/>
                <w:sz w:val="20"/>
                <w:szCs w:val="20"/>
              </w:rPr>
              <w:t>realizarea unei aplicaţii pentru telefonul mobil pentru achitarea contravalorii călătoriei cu transportul public</w:t>
            </w:r>
          </w:p>
        </w:tc>
        <w:tc>
          <w:tcPr>
            <w:tcW w:w="1200" w:type="dxa"/>
            <w:shd w:val="clear" w:color="auto" w:fill="auto"/>
          </w:tcPr>
          <w:p w14:paraId="29554A2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480AD5B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c>
          <w:tcPr>
            <w:tcW w:w="1200" w:type="dxa"/>
          </w:tcPr>
          <w:p w14:paraId="62B5D0FA"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741EFE8E"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r>
      <w:tr w:rsidR="00DC6A92" w:rsidRPr="00DC6A92" w14:paraId="0167F364" w14:textId="77777777" w:rsidTr="00C735D2">
        <w:trPr>
          <w:jc w:val="center"/>
        </w:trPr>
        <w:tc>
          <w:tcPr>
            <w:tcW w:w="4681" w:type="dxa"/>
            <w:shd w:val="clear" w:color="auto" w:fill="auto"/>
          </w:tcPr>
          <w:p w14:paraId="18C5C104"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rPr>
              <w:t>III.2 = realizarea unui website cu informaţii referitoare la traficul din oraş</w:t>
            </w:r>
          </w:p>
        </w:tc>
        <w:tc>
          <w:tcPr>
            <w:tcW w:w="1200" w:type="dxa"/>
            <w:shd w:val="clear" w:color="auto" w:fill="auto"/>
          </w:tcPr>
          <w:p w14:paraId="758A87AC"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E83CDCA"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c>
          <w:tcPr>
            <w:tcW w:w="1200" w:type="dxa"/>
          </w:tcPr>
          <w:p w14:paraId="017AA56A"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9287D9E"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r>
      <w:tr w:rsidR="00DC6A92" w:rsidRPr="00DC6A92" w14:paraId="5EA23890" w14:textId="77777777" w:rsidTr="00C735D2">
        <w:trPr>
          <w:jc w:val="center"/>
        </w:trPr>
        <w:tc>
          <w:tcPr>
            <w:tcW w:w="4681" w:type="dxa"/>
            <w:shd w:val="clear" w:color="auto" w:fill="auto"/>
          </w:tcPr>
          <w:p w14:paraId="0BF0EBDE" w14:textId="6D31DFC9"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Arial" w:hAnsi="Arial" w:cs="Arial"/>
                <w:color w:val="000000"/>
                <w:sz w:val="20"/>
                <w:szCs w:val="20"/>
                <w:lang w:val="es-ES" w:eastAsia="zh-CN"/>
              </w:rPr>
              <w:t xml:space="preserve">IV.1 = amenajarea unei retelei de </w:t>
            </w:r>
            <w:r w:rsidR="005B68FD">
              <w:rPr>
                <w:rFonts w:ascii="Arial" w:eastAsia="Arial" w:hAnsi="Arial" w:cs="Arial"/>
                <w:color w:val="000000"/>
                <w:sz w:val="20"/>
                <w:szCs w:val="20"/>
                <w:lang w:val="es-ES" w:eastAsia="zh-CN"/>
              </w:rPr>
              <w:t>trasee</w:t>
            </w:r>
            <w:r w:rsidRPr="00DC6A92">
              <w:rPr>
                <w:rFonts w:ascii="Arial" w:eastAsia="Arial" w:hAnsi="Arial" w:cs="Arial"/>
                <w:color w:val="000000"/>
                <w:sz w:val="20"/>
                <w:szCs w:val="20"/>
                <w:lang w:val="es-ES" w:eastAsia="zh-CN"/>
              </w:rPr>
              <w:t xml:space="preserve"> pentru biciclete</w:t>
            </w:r>
          </w:p>
        </w:tc>
        <w:tc>
          <w:tcPr>
            <w:tcW w:w="1200" w:type="dxa"/>
            <w:shd w:val="clear" w:color="auto" w:fill="auto"/>
          </w:tcPr>
          <w:p w14:paraId="34956164" w14:textId="77777777" w:rsidR="00DC6A92" w:rsidRPr="00DC6A92" w:rsidRDefault="00DC6A92" w:rsidP="00DC6A92">
            <w:pPr>
              <w:suppressLineNumbers/>
              <w:suppressAutoHyphens/>
              <w:spacing w:after="0" w:line="240" w:lineRule="auto"/>
              <w:jc w:val="center"/>
              <w:rPr>
                <w:rFonts w:ascii="Arial" w:hAnsi="Arial" w:cs="Arial"/>
                <w:kern w:val="1"/>
                <w:sz w:val="20"/>
                <w:szCs w:val="20"/>
                <w:highlight w:val="yellow"/>
                <w:lang w:val="ro-RO" w:eastAsia="zh-CN" w:bidi="hi-IN"/>
              </w:rPr>
            </w:pPr>
            <w:r w:rsidRPr="00DC6A92">
              <w:rPr>
                <w:rFonts w:ascii="Arial" w:hAnsi="Arial" w:cs="Arial"/>
                <w:kern w:val="1"/>
                <w:sz w:val="20"/>
                <w:szCs w:val="20"/>
                <w:lang w:val="ro-RO" w:eastAsia="zh-CN" w:bidi="hi-IN"/>
              </w:rPr>
              <w:t>100.000</w:t>
            </w:r>
          </w:p>
        </w:tc>
        <w:tc>
          <w:tcPr>
            <w:tcW w:w="1200" w:type="dxa"/>
            <w:shd w:val="clear" w:color="auto" w:fill="auto"/>
          </w:tcPr>
          <w:p w14:paraId="61C61214" w14:textId="77777777" w:rsidR="00DC6A92" w:rsidRPr="00DC6A92" w:rsidRDefault="00DC6A92" w:rsidP="00DC6A92">
            <w:pPr>
              <w:suppressLineNumbers/>
              <w:suppressAutoHyphens/>
              <w:spacing w:after="0" w:line="240" w:lineRule="auto"/>
              <w:jc w:val="center"/>
              <w:rPr>
                <w:rFonts w:ascii="Arial" w:hAnsi="Arial" w:cs="Arial"/>
                <w:kern w:val="1"/>
                <w:sz w:val="20"/>
                <w:szCs w:val="20"/>
                <w:highlight w:val="yellow"/>
                <w:lang w:val="ro-RO" w:eastAsia="zh-CN" w:bidi="hi-IN"/>
              </w:rPr>
            </w:pPr>
            <w:r w:rsidRPr="00DC6A92">
              <w:rPr>
                <w:rFonts w:ascii="Arial" w:hAnsi="Arial" w:cs="Arial"/>
                <w:kern w:val="1"/>
                <w:sz w:val="20"/>
                <w:szCs w:val="20"/>
                <w:lang w:val="ro-RO" w:eastAsia="zh-CN" w:bidi="hi-IN"/>
              </w:rPr>
              <w:t>730.000</w:t>
            </w:r>
          </w:p>
        </w:tc>
        <w:tc>
          <w:tcPr>
            <w:tcW w:w="1200" w:type="dxa"/>
          </w:tcPr>
          <w:p w14:paraId="06B07C2C"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3B98592F"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830.000</w:t>
            </w:r>
          </w:p>
        </w:tc>
      </w:tr>
      <w:tr w:rsidR="00DC6A92" w:rsidRPr="00DC6A92" w14:paraId="7C622118" w14:textId="77777777" w:rsidTr="00C735D2">
        <w:trPr>
          <w:jc w:val="center"/>
        </w:trPr>
        <w:tc>
          <w:tcPr>
            <w:tcW w:w="4681" w:type="dxa"/>
            <w:shd w:val="clear" w:color="auto" w:fill="auto"/>
          </w:tcPr>
          <w:p w14:paraId="1060DA03"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IV.2 = crearea de puncte pentru închirierea bicicletelor</w:t>
            </w:r>
          </w:p>
        </w:tc>
        <w:tc>
          <w:tcPr>
            <w:tcW w:w="1200" w:type="dxa"/>
            <w:shd w:val="clear" w:color="auto" w:fill="auto"/>
          </w:tcPr>
          <w:p w14:paraId="6E985591" w14:textId="77777777" w:rsidR="00DC6A92" w:rsidRPr="00DC6A92" w:rsidRDefault="00DC6A92" w:rsidP="00DC6A92">
            <w:pPr>
              <w:widowControl w:val="0"/>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65178985" w14:textId="77777777" w:rsidR="00DC6A92" w:rsidRPr="00DC6A92" w:rsidRDefault="00DC6A92" w:rsidP="00DC6A92">
            <w:pPr>
              <w:widowControl w:val="0"/>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180.000</w:t>
            </w:r>
          </w:p>
        </w:tc>
        <w:tc>
          <w:tcPr>
            <w:tcW w:w="1200" w:type="dxa"/>
          </w:tcPr>
          <w:p w14:paraId="5303983E" w14:textId="77777777" w:rsidR="00DC6A92" w:rsidRPr="00DC6A92" w:rsidRDefault="00DC6A92" w:rsidP="00DC6A92">
            <w:pPr>
              <w:widowControl w:val="0"/>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4BF47610" w14:textId="77777777" w:rsidR="00DC6A92" w:rsidRPr="00DC6A92" w:rsidRDefault="00DC6A92" w:rsidP="00DC6A92">
            <w:pPr>
              <w:widowControl w:val="0"/>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180.000</w:t>
            </w:r>
          </w:p>
        </w:tc>
      </w:tr>
      <w:tr w:rsidR="00DC6A92" w:rsidRPr="00DC6A92" w14:paraId="22FD24A9" w14:textId="77777777" w:rsidTr="00C735D2">
        <w:trPr>
          <w:jc w:val="center"/>
        </w:trPr>
        <w:tc>
          <w:tcPr>
            <w:tcW w:w="4681" w:type="dxa"/>
            <w:shd w:val="clear" w:color="auto" w:fill="auto"/>
          </w:tcPr>
          <w:p w14:paraId="5B9C9B64"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 xml:space="preserve">IV.3 = construirea de parcări pentru biciclete </w:t>
            </w:r>
          </w:p>
        </w:tc>
        <w:tc>
          <w:tcPr>
            <w:tcW w:w="1200" w:type="dxa"/>
            <w:shd w:val="clear" w:color="auto" w:fill="auto"/>
          </w:tcPr>
          <w:p w14:paraId="220226F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80.000</w:t>
            </w:r>
          </w:p>
        </w:tc>
        <w:tc>
          <w:tcPr>
            <w:tcW w:w="1200" w:type="dxa"/>
            <w:shd w:val="clear" w:color="auto" w:fill="auto"/>
          </w:tcPr>
          <w:p w14:paraId="479DB130"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100.000</w:t>
            </w:r>
          </w:p>
        </w:tc>
        <w:tc>
          <w:tcPr>
            <w:tcW w:w="1200" w:type="dxa"/>
          </w:tcPr>
          <w:p w14:paraId="07A36804"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22DA124F"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180.000</w:t>
            </w:r>
          </w:p>
        </w:tc>
      </w:tr>
      <w:tr w:rsidR="00DC6A92" w:rsidRPr="00DC6A92" w14:paraId="5424B29F" w14:textId="77777777" w:rsidTr="00C735D2">
        <w:trPr>
          <w:jc w:val="center"/>
        </w:trPr>
        <w:tc>
          <w:tcPr>
            <w:tcW w:w="4681" w:type="dxa"/>
            <w:shd w:val="clear" w:color="auto" w:fill="auto"/>
          </w:tcPr>
          <w:p w14:paraId="64743791"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IV.4 = campanii promoţionale pentru utilizarea bicicletei</w:t>
            </w:r>
          </w:p>
        </w:tc>
        <w:tc>
          <w:tcPr>
            <w:tcW w:w="1200" w:type="dxa"/>
            <w:shd w:val="clear" w:color="auto" w:fill="auto"/>
          </w:tcPr>
          <w:p w14:paraId="59849D27"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20.000</w:t>
            </w:r>
          </w:p>
        </w:tc>
        <w:tc>
          <w:tcPr>
            <w:tcW w:w="1200" w:type="dxa"/>
            <w:shd w:val="clear" w:color="auto" w:fill="auto"/>
          </w:tcPr>
          <w:p w14:paraId="4F8DB51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40.000</w:t>
            </w:r>
          </w:p>
        </w:tc>
        <w:tc>
          <w:tcPr>
            <w:tcW w:w="1200" w:type="dxa"/>
          </w:tcPr>
          <w:p w14:paraId="0A68F79E"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77F02E14"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60.000</w:t>
            </w:r>
          </w:p>
        </w:tc>
      </w:tr>
      <w:tr w:rsidR="00DC6A92" w:rsidRPr="00DC6A92" w14:paraId="2183FE01" w14:textId="77777777" w:rsidTr="00C735D2">
        <w:trPr>
          <w:jc w:val="center"/>
        </w:trPr>
        <w:tc>
          <w:tcPr>
            <w:tcW w:w="4681" w:type="dxa"/>
            <w:shd w:val="clear" w:color="auto" w:fill="auto"/>
          </w:tcPr>
          <w:p w14:paraId="1EE55342"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IV.6 = extinderea zonei pietonale</w:t>
            </w:r>
          </w:p>
        </w:tc>
        <w:tc>
          <w:tcPr>
            <w:tcW w:w="1200" w:type="dxa"/>
            <w:shd w:val="clear" w:color="auto" w:fill="auto"/>
          </w:tcPr>
          <w:p w14:paraId="5EB7C81E"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16.000</w:t>
            </w:r>
          </w:p>
        </w:tc>
        <w:tc>
          <w:tcPr>
            <w:tcW w:w="1200" w:type="dxa"/>
            <w:shd w:val="clear" w:color="auto" w:fill="auto"/>
          </w:tcPr>
          <w:p w14:paraId="4B850921"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70.000</w:t>
            </w:r>
          </w:p>
        </w:tc>
        <w:tc>
          <w:tcPr>
            <w:tcW w:w="1200" w:type="dxa"/>
          </w:tcPr>
          <w:p w14:paraId="49BC15D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4F9EFE0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86.000</w:t>
            </w:r>
          </w:p>
        </w:tc>
      </w:tr>
      <w:tr w:rsidR="00DC6A92" w:rsidRPr="00DC6A92" w14:paraId="61885E35" w14:textId="77777777" w:rsidTr="00C735D2">
        <w:trPr>
          <w:jc w:val="center"/>
        </w:trPr>
        <w:tc>
          <w:tcPr>
            <w:tcW w:w="4681" w:type="dxa"/>
            <w:shd w:val="clear" w:color="auto" w:fill="auto"/>
          </w:tcPr>
          <w:p w14:paraId="5FB42D53"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IV.7 = cresterea accesibilitatii pentru persoanele in varsta sau cele cu dizabilitati</w:t>
            </w:r>
          </w:p>
        </w:tc>
        <w:tc>
          <w:tcPr>
            <w:tcW w:w="1200" w:type="dxa"/>
            <w:shd w:val="clear" w:color="auto" w:fill="auto"/>
          </w:tcPr>
          <w:p w14:paraId="1E3BB580"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100.000</w:t>
            </w:r>
          </w:p>
        </w:tc>
        <w:tc>
          <w:tcPr>
            <w:tcW w:w="1200" w:type="dxa"/>
            <w:shd w:val="clear" w:color="auto" w:fill="auto"/>
          </w:tcPr>
          <w:p w14:paraId="73AEBC00"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400.000</w:t>
            </w:r>
          </w:p>
        </w:tc>
        <w:tc>
          <w:tcPr>
            <w:tcW w:w="1200" w:type="dxa"/>
          </w:tcPr>
          <w:p w14:paraId="116F374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72A93CA4"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500.000</w:t>
            </w:r>
          </w:p>
        </w:tc>
      </w:tr>
      <w:tr w:rsidR="00DC6A92" w:rsidRPr="00DC6A92" w14:paraId="093E0F3E" w14:textId="77777777" w:rsidTr="00C735D2">
        <w:trPr>
          <w:jc w:val="center"/>
        </w:trPr>
        <w:tc>
          <w:tcPr>
            <w:tcW w:w="4681" w:type="dxa"/>
            <w:shd w:val="clear" w:color="auto" w:fill="auto"/>
          </w:tcPr>
          <w:p w14:paraId="4792F032"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rPr>
              <w:t xml:space="preserve">V.1 = </w:t>
            </w:r>
            <w:r w:rsidRPr="00DC6A92">
              <w:rPr>
                <w:rFonts w:ascii="Arial" w:eastAsia="Calibri" w:hAnsi="Arial" w:cs="Arial"/>
                <w:color w:val="000000"/>
                <w:sz w:val="20"/>
                <w:szCs w:val="20"/>
                <w:lang w:val="es-ES" w:eastAsia="zh-CN"/>
              </w:rPr>
              <w:t>derularea unor acţiuni de popularizare referitoare la sistemele de utilizare a autoturismelor proprietate personală: car-sharing, car-pooling, bike-sharing</w:t>
            </w:r>
          </w:p>
        </w:tc>
        <w:tc>
          <w:tcPr>
            <w:tcW w:w="1200" w:type="dxa"/>
            <w:shd w:val="clear" w:color="auto" w:fill="auto"/>
          </w:tcPr>
          <w:p w14:paraId="6B1578F1"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31CD9A0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40.000</w:t>
            </w:r>
          </w:p>
        </w:tc>
        <w:tc>
          <w:tcPr>
            <w:tcW w:w="1200" w:type="dxa"/>
          </w:tcPr>
          <w:p w14:paraId="379AEEB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20.000</w:t>
            </w:r>
          </w:p>
        </w:tc>
        <w:tc>
          <w:tcPr>
            <w:tcW w:w="1200" w:type="dxa"/>
            <w:shd w:val="clear" w:color="auto" w:fill="auto"/>
          </w:tcPr>
          <w:p w14:paraId="4DC492BC"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60.000</w:t>
            </w:r>
          </w:p>
        </w:tc>
      </w:tr>
      <w:tr w:rsidR="00DC6A92" w:rsidRPr="00DC6A92" w14:paraId="013509D0" w14:textId="77777777" w:rsidTr="00C735D2">
        <w:trPr>
          <w:jc w:val="center"/>
        </w:trPr>
        <w:tc>
          <w:tcPr>
            <w:tcW w:w="4681" w:type="dxa"/>
            <w:shd w:val="clear" w:color="auto" w:fill="auto"/>
          </w:tcPr>
          <w:p w14:paraId="2CDB61F1"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rPr>
            </w:pPr>
            <w:r w:rsidRPr="00DC6A92">
              <w:rPr>
                <w:rFonts w:ascii="Arial" w:eastAsia="Calibri" w:hAnsi="Arial" w:cs="Arial"/>
                <w:color w:val="000000"/>
                <w:sz w:val="20"/>
                <w:szCs w:val="20"/>
                <w:lang w:val="es-ES" w:eastAsia="zh-CN"/>
              </w:rPr>
              <w:t>VII.1 = elaborarea unei politici de parcare pentru mobilitate urbana durabila</w:t>
            </w:r>
          </w:p>
        </w:tc>
        <w:tc>
          <w:tcPr>
            <w:tcW w:w="1200" w:type="dxa"/>
            <w:shd w:val="clear" w:color="auto" w:fill="auto"/>
          </w:tcPr>
          <w:p w14:paraId="774918AA"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100.000</w:t>
            </w:r>
          </w:p>
        </w:tc>
        <w:tc>
          <w:tcPr>
            <w:tcW w:w="1200" w:type="dxa"/>
            <w:shd w:val="clear" w:color="auto" w:fill="auto"/>
          </w:tcPr>
          <w:p w14:paraId="4A4421DA"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tcPr>
          <w:p w14:paraId="32D377D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75A97687"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100.000</w:t>
            </w:r>
          </w:p>
        </w:tc>
      </w:tr>
      <w:tr w:rsidR="00DC6A92" w:rsidRPr="00DC6A92" w14:paraId="79DC91B6" w14:textId="77777777" w:rsidTr="00C735D2">
        <w:trPr>
          <w:jc w:val="center"/>
        </w:trPr>
        <w:tc>
          <w:tcPr>
            <w:tcW w:w="4681" w:type="dxa"/>
            <w:shd w:val="clear" w:color="auto" w:fill="auto"/>
          </w:tcPr>
          <w:p w14:paraId="6AC63246" w14:textId="77777777" w:rsidR="00DC6A92" w:rsidRPr="00DC6A92" w:rsidRDefault="00DC6A92" w:rsidP="00DC6A92">
            <w:pPr>
              <w:tabs>
                <w:tab w:val="left" w:pos="990"/>
              </w:tabs>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 xml:space="preserve">VII.2 = </w:t>
            </w:r>
            <w:r w:rsidRPr="00DC6A92">
              <w:rPr>
                <w:rFonts w:ascii="Arial" w:eastAsia="Times New Roman" w:hAnsi="Arial" w:cs="Arial"/>
                <w:sz w:val="20"/>
                <w:szCs w:val="20"/>
                <w:lang w:val="x-none" w:eastAsia="zh-CN"/>
              </w:rPr>
              <w:t>introducerea sistemului de taxare a parcării</w:t>
            </w:r>
          </w:p>
        </w:tc>
        <w:tc>
          <w:tcPr>
            <w:tcW w:w="1200" w:type="dxa"/>
            <w:shd w:val="clear" w:color="auto" w:fill="auto"/>
          </w:tcPr>
          <w:p w14:paraId="50838CBC"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40.000</w:t>
            </w:r>
          </w:p>
        </w:tc>
        <w:tc>
          <w:tcPr>
            <w:tcW w:w="1200" w:type="dxa"/>
            <w:shd w:val="clear" w:color="auto" w:fill="auto"/>
          </w:tcPr>
          <w:p w14:paraId="61BADD7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40.000</w:t>
            </w:r>
          </w:p>
        </w:tc>
        <w:tc>
          <w:tcPr>
            <w:tcW w:w="1200" w:type="dxa"/>
          </w:tcPr>
          <w:p w14:paraId="58CFF267"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3C934C22"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80.000</w:t>
            </w:r>
          </w:p>
        </w:tc>
      </w:tr>
      <w:tr w:rsidR="00DC6A92" w:rsidRPr="00DC6A92" w14:paraId="50C9D9CF" w14:textId="77777777" w:rsidTr="00C735D2">
        <w:trPr>
          <w:jc w:val="center"/>
        </w:trPr>
        <w:tc>
          <w:tcPr>
            <w:tcW w:w="4681" w:type="dxa"/>
            <w:shd w:val="clear" w:color="auto" w:fill="auto"/>
          </w:tcPr>
          <w:p w14:paraId="1DCED966"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eastAsia="zh-CN"/>
              </w:rPr>
              <w:t>VII.5 = crearea unei baze de date GIS a tuturor locurilor de parcare din oras</w:t>
            </w:r>
          </w:p>
        </w:tc>
        <w:tc>
          <w:tcPr>
            <w:tcW w:w="1200" w:type="dxa"/>
            <w:shd w:val="clear" w:color="auto" w:fill="auto"/>
          </w:tcPr>
          <w:p w14:paraId="2376CF4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1FFAE3F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c>
          <w:tcPr>
            <w:tcW w:w="1200" w:type="dxa"/>
          </w:tcPr>
          <w:p w14:paraId="77080FEF"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0B582D2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r>
      <w:tr w:rsidR="00DC6A92" w:rsidRPr="00DC6A92" w14:paraId="302865E5" w14:textId="77777777" w:rsidTr="00C735D2">
        <w:trPr>
          <w:trHeight w:val="310"/>
          <w:jc w:val="center"/>
        </w:trPr>
        <w:tc>
          <w:tcPr>
            <w:tcW w:w="4681" w:type="dxa"/>
            <w:shd w:val="clear" w:color="auto" w:fill="auto"/>
          </w:tcPr>
          <w:p w14:paraId="6AB5B875" w14:textId="77777777" w:rsidR="00DC6A92" w:rsidRPr="00DC6A92" w:rsidRDefault="00DC6A92" w:rsidP="00DC6A92">
            <w:pPr>
              <w:suppressLineNumbers/>
              <w:suppressAutoHyphens/>
              <w:spacing w:after="0" w:line="240" w:lineRule="auto"/>
              <w:jc w:val="both"/>
              <w:rPr>
                <w:rFonts w:ascii="Arial" w:hAnsi="Arial" w:cs="Arial"/>
                <w:kern w:val="1"/>
                <w:sz w:val="20"/>
                <w:szCs w:val="20"/>
                <w:lang w:val="es-ES" w:eastAsia="zh-CN" w:bidi="hi-IN"/>
              </w:rPr>
            </w:pPr>
            <w:r w:rsidRPr="00DC6A92">
              <w:rPr>
                <w:rFonts w:ascii="Arial" w:eastAsia="Arial" w:hAnsi="Arial" w:cs="Arial"/>
                <w:kern w:val="1"/>
                <w:sz w:val="20"/>
                <w:szCs w:val="20"/>
                <w:lang w:val="es-ES" w:eastAsia="zh-CN" w:bidi="hi-IN"/>
              </w:rPr>
              <w:t>VIII.1 = eliminarea punctelor negre – pietoni</w:t>
            </w:r>
          </w:p>
        </w:tc>
        <w:tc>
          <w:tcPr>
            <w:tcW w:w="1200" w:type="dxa"/>
            <w:shd w:val="clear" w:color="auto" w:fill="auto"/>
          </w:tcPr>
          <w:p w14:paraId="58724DAC"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341AB247"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300.000</w:t>
            </w:r>
          </w:p>
        </w:tc>
        <w:tc>
          <w:tcPr>
            <w:tcW w:w="1200" w:type="dxa"/>
          </w:tcPr>
          <w:p w14:paraId="7F360BC1"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76DF3A2"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300.000</w:t>
            </w:r>
          </w:p>
        </w:tc>
      </w:tr>
      <w:tr w:rsidR="00DC6A92" w:rsidRPr="00DC6A92" w14:paraId="1507F4FA" w14:textId="77777777" w:rsidTr="00C735D2">
        <w:trPr>
          <w:jc w:val="center"/>
        </w:trPr>
        <w:tc>
          <w:tcPr>
            <w:tcW w:w="4681" w:type="dxa"/>
            <w:shd w:val="clear" w:color="auto" w:fill="auto"/>
          </w:tcPr>
          <w:p w14:paraId="18D9C614"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eastAsia="zh-CN"/>
              </w:rPr>
            </w:pPr>
            <w:r w:rsidRPr="00DC6A92">
              <w:rPr>
                <w:rFonts w:ascii="Arial" w:eastAsia="Arial" w:hAnsi="Arial" w:cs="Arial"/>
                <w:color w:val="000000"/>
                <w:sz w:val="20"/>
                <w:szCs w:val="20"/>
                <w:lang w:eastAsia="zh-CN"/>
              </w:rPr>
              <w:t>VIII.2 = eliminarea punctelor negre – vehicule</w:t>
            </w:r>
          </w:p>
        </w:tc>
        <w:tc>
          <w:tcPr>
            <w:tcW w:w="1200" w:type="dxa"/>
            <w:shd w:val="clear" w:color="auto" w:fill="auto"/>
          </w:tcPr>
          <w:p w14:paraId="7590B67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4BB50531"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300.000</w:t>
            </w:r>
          </w:p>
        </w:tc>
        <w:tc>
          <w:tcPr>
            <w:tcW w:w="1200" w:type="dxa"/>
          </w:tcPr>
          <w:p w14:paraId="7A94FC5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40A1AA1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300.000</w:t>
            </w:r>
          </w:p>
        </w:tc>
      </w:tr>
      <w:tr w:rsidR="00DC6A92" w:rsidRPr="00DC6A92" w14:paraId="01FA3723" w14:textId="77777777" w:rsidTr="00C735D2">
        <w:trPr>
          <w:jc w:val="center"/>
        </w:trPr>
        <w:tc>
          <w:tcPr>
            <w:tcW w:w="4681" w:type="dxa"/>
            <w:shd w:val="clear" w:color="auto" w:fill="auto"/>
          </w:tcPr>
          <w:p w14:paraId="6D4DD783"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VIII.3 = reabilitarea marcajelor şi a semnalizării pentru pietoni</w:t>
            </w:r>
          </w:p>
        </w:tc>
        <w:tc>
          <w:tcPr>
            <w:tcW w:w="1200" w:type="dxa"/>
            <w:shd w:val="clear" w:color="auto" w:fill="auto"/>
          </w:tcPr>
          <w:p w14:paraId="5E519B5F"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7BC2832B"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16.000</w:t>
            </w:r>
          </w:p>
        </w:tc>
        <w:tc>
          <w:tcPr>
            <w:tcW w:w="1200" w:type="dxa"/>
          </w:tcPr>
          <w:p w14:paraId="702F0BE5"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7E83305"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16.000</w:t>
            </w:r>
          </w:p>
        </w:tc>
      </w:tr>
      <w:tr w:rsidR="00DC6A92" w:rsidRPr="00DC6A92" w14:paraId="0E2F5F01" w14:textId="77777777" w:rsidTr="00C735D2">
        <w:trPr>
          <w:jc w:val="center"/>
        </w:trPr>
        <w:tc>
          <w:tcPr>
            <w:tcW w:w="4681" w:type="dxa"/>
            <w:shd w:val="clear" w:color="auto" w:fill="auto"/>
          </w:tcPr>
          <w:p w14:paraId="7721F7E7"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VIII.4 = amplasarea marcajelor tactile pentru persoanele cu dizabilităţi de vedere la trecerile pentru pietoni</w:t>
            </w:r>
          </w:p>
        </w:tc>
        <w:tc>
          <w:tcPr>
            <w:tcW w:w="1200" w:type="dxa"/>
            <w:shd w:val="clear" w:color="auto" w:fill="auto"/>
          </w:tcPr>
          <w:p w14:paraId="6D304FFB"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717932B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9.000</w:t>
            </w:r>
          </w:p>
        </w:tc>
        <w:tc>
          <w:tcPr>
            <w:tcW w:w="1200" w:type="dxa"/>
          </w:tcPr>
          <w:p w14:paraId="519B6AE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261D4D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9.000</w:t>
            </w:r>
          </w:p>
        </w:tc>
      </w:tr>
      <w:tr w:rsidR="00DC6A92" w:rsidRPr="00DC6A92" w14:paraId="5302A379" w14:textId="77777777" w:rsidTr="00C735D2">
        <w:trPr>
          <w:jc w:val="center"/>
        </w:trPr>
        <w:tc>
          <w:tcPr>
            <w:tcW w:w="4681" w:type="dxa"/>
            <w:shd w:val="clear" w:color="auto" w:fill="auto"/>
          </w:tcPr>
          <w:p w14:paraId="4A5C587E"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 xml:space="preserve">VIII.5 = </w:t>
            </w:r>
            <w:r w:rsidRPr="00DC6A92">
              <w:rPr>
                <w:rFonts w:ascii="Arial" w:eastAsia="Times New Roman" w:hAnsi="Arial" w:cs="Arial"/>
                <w:sz w:val="20"/>
                <w:szCs w:val="20"/>
                <w:lang w:val="x-none" w:eastAsia="zh-CN"/>
              </w:rPr>
              <w:t>amplasarea de indicatoare rutiere si realizarea de marcaje rutiere in zonele din care acestea lipsesc</w:t>
            </w:r>
          </w:p>
        </w:tc>
        <w:tc>
          <w:tcPr>
            <w:tcW w:w="1200" w:type="dxa"/>
            <w:shd w:val="clear" w:color="auto" w:fill="auto"/>
          </w:tcPr>
          <w:p w14:paraId="53BBBD47"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45.000</w:t>
            </w:r>
          </w:p>
        </w:tc>
        <w:tc>
          <w:tcPr>
            <w:tcW w:w="1200" w:type="dxa"/>
            <w:shd w:val="clear" w:color="auto" w:fill="auto"/>
          </w:tcPr>
          <w:p w14:paraId="64592F0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45.000</w:t>
            </w:r>
          </w:p>
        </w:tc>
        <w:tc>
          <w:tcPr>
            <w:tcW w:w="1200" w:type="dxa"/>
          </w:tcPr>
          <w:p w14:paraId="4C6DD80A"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2D05CFD3"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90.000</w:t>
            </w:r>
          </w:p>
        </w:tc>
      </w:tr>
      <w:tr w:rsidR="00DC6A92" w:rsidRPr="00DC6A92" w14:paraId="0135D707" w14:textId="77777777" w:rsidTr="00C735D2">
        <w:trPr>
          <w:jc w:val="center"/>
        </w:trPr>
        <w:tc>
          <w:tcPr>
            <w:tcW w:w="4681" w:type="dxa"/>
            <w:shd w:val="clear" w:color="auto" w:fill="auto"/>
          </w:tcPr>
          <w:p w14:paraId="27464049"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 xml:space="preserve">VIII.7 = mobilitate fara bariere = masuri pentru imbunatatirea accesibilitatii prin sisteme de </w:t>
            </w:r>
            <w:r w:rsidRPr="00DC6A92">
              <w:rPr>
                <w:rFonts w:ascii="Arial" w:eastAsia="Calibri" w:hAnsi="Arial" w:cs="Arial"/>
                <w:color w:val="000000"/>
                <w:sz w:val="20"/>
                <w:szCs w:val="20"/>
                <w:lang w:val="es-ES" w:eastAsia="zh-CN"/>
              </w:rPr>
              <w:lastRenderedPageBreak/>
              <w:t>orientare vizuala</w:t>
            </w:r>
          </w:p>
        </w:tc>
        <w:tc>
          <w:tcPr>
            <w:tcW w:w="1200" w:type="dxa"/>
            <w:shd w:val="clear" w:color="auto" w:fill="auto"/>
          </w:tcPr>
          <w:p w14:paraId="4D1CF681"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lastRenderedPageBreak/>
              <w:t>0</w:t>
            </w:r>
          </w:p>
        </w:tc>
        <w:tc>
          <w:tcPr>
            <w:tcW w:w="1200" w:type="dxa"/>
            <w:shd w:val="clear" w:color="auto" w:fill="auto"/>
          </w:tcPr>
          <w:p w14:paraId="6B297F5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w:t>
            </w:r>
          </w:p>
        </w:tc>
        <w:tc>
          <w:tcPr>
            <w:tcW w:w="1200" w:type="dxa"/>
          </w:tcPr>
          <w:p w14:paraId="3207FE15"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77AB49A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w:t>
            </w:r>
          </w:p>
        </w:tc>
      </w:tr>
      <w:tr w:rsidR="00DC6A92" w:rsidRPr="00DC6A92" w14:paraId="2FE7E8F2" w14:textId="77777777" w:rsidTr="00C735D2">
        <w:trPr>
          <w:jc w:val="center"/>
        </w:trPr>
        <w:tc>
          <w:tcPr>
            <w:tcW w:w="4681" w:type="dxa"/>
            <w:shd w:val="clear" w:color="auto" w:fill="auto"/>
          </w:tcPr>
          <w:p w14:paraId="0986DA20"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eastAsia="zh-CN"/>
              </w:rPr>
            </w:pPr>
            <w:r w:rsidRPr="00DC6A92">
              <w:rPr>
                <w:rFonts w:ascii="Arial" w:eastAsia="Arial" w:hAnsi="Arial" w:cs="Arial"/>
                <w:color w:val="000000"/>
                <w:sz w:val="20"/>
                <w:szCs w:val="20"/>
                <w:lang w:val="es-ES" w:eastAsia="zh-CN"/>
              </w:rPr>
              <w:t>IX</w:t>
            </w:r>
            <w:r w:rsidRPr="00DC6A92">
              <w:rPr>
                <w:rFonts w:ascii="Arial" w:eastAsia="Calibri" w:hAnsi="Arial" w:cs="Arial"/>
                <w:color w:val="000000"/>
                <w:sz w:val="20"/>
                <w:szCs w:val="20"/>
                <w:lang w:val="es-ES" w:eastAsia="zh-CN"/>
              </w:rPr>
              <w:t>.2 = reabilitarea şi modernizarea infrastructurii rutiere</w:t>
            </w:r>
          </w:p>
        </w:tc>
        <w:tc>
          <w:tcPr>
            <w:tcW w:w="1200" w:type="dxa"/>
            <w:shd w:val="clear" w:color="auto" w:fill="auto"/>
          </w:tcPr>
          <w:p w14:paraId="156AA20B"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1.400.000</w:t>
            </w:r>
          </w:p>
        </w:tc>
        <w:tc>
          <w:tcPr>
            <w:tcW w:w="1200" w:type="dxa"/>
            <w:shd w:val="clear" w:color="auto" w:fill="auto"/>
          </w:tcPr>
          <w:p w14:paraId="36D7499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13.000.000</w:t>
            </w:r>
          </w:p>
        </w:tc>
        <w:tc>
          <w:tcPr>
            <w:tcW w:w="1200" w:type="dxa"/>
          </w:tcPr>
          <w:p w14:paraId="7C2FE46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45A868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14.400.000</w:t>
            </w:r>
          </w:p>
        </w:tc>
      </w:tr>
      <w:tr w:rsidR="00DC6A92" w:rsidRPr="00DC6A92" w14:paraId="3FB04EFC" w14:textId="77777777" w:rsidTr="00C735D2">
        <w:trPr>
          <w:jc w:val="center"/>
        </w:trPr>
        <w:tc>
          <w:tcPr>
            <w:tcW w:w="4681" w:type="dxa"/>
            <w:shd w:val="clear" w:color="auto" w:fill="auto"/>
          </w:tcPr>
          <w:p w14:paraId="6EE06813" w14:textId="77777777" w:rsidR="00DC6A92" w:rsidRPr="00DC6A92" w:rsidRDefault="00DC6A92" w:rsidP="00DC6A92">
            <w:pPr>
              <w:suppressAutoHyphens/>
              <w:autoSpaceDE w:val="0"/>
              <w:spacing w:after="0" w:line="240" w:lineRule="auto"/>
              <w:jc w:val="both"/>
              <w:rPr>
                <w:rFonts w:ascii="Arial" w:eastAsia="Arial" w:hAnsi="Arial" w:cs="Arial"/>
                <w:color w:val="000000"/>
                <w:sz w:val="20"/>
                <w:szCs w:val="20"/>
                <w:lang w:val="es-ES" w:eastAsia="zh-CN"/>
              </w:rPr>
            </w:pPr>
            <w:r w:rsidRPr="00DC6A92">
              <w:rPr>
                <w:rFonts w:ascii="Arial" w:eastAsia="Times New Roman" w:hAnsi="Arial" w:cs="Arial"/>
                <w:sz w:val="20"/>
                <w:szCs w:val="20"/>
                <w:lang w:val="es-ES" w:eastAsia="zh-CN"/>
              </w:rPr>
              <w:t>IX.3 = reamenajarea intersecțiilor cu nivel de serviciu scăzut</w:t>
            </w:r>
          </w:p>
        </w:tc>
        <w:tc>
          <w:tcPr>
            <w:tcW w:w="1200" w:type="dxa"/>
            <w:shd w:val="clear" w:color="auto" w:fill="auto"/>
          </w:tcPr>
          <w:p w14:paraId="32058AC7"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300.000</w:t>
            </w:r>
          </w:p>
        </w:tc>
        <w:tc>
          <w:tcPr>
            <w:tcW w:w="1200" w:type="dxa"/>
            <w:shd w:val="clear" w:color="auto" w:fill="auto"/>
          </w:tcPr>
          <w:p w14:paraId="19A9C11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600.000</w:t>
            </w:r>
          </w:p>
        </w:tc>
        <w:tc>
          <w:tcPr>
            <w:tcW w:w="1200" w:type="dxa"/>
          </w:tcPr>
          <w:p w14:paraId="20619687"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AD8869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900.000</w:t>
            </w:r>
          </w:p>
        </w:tc>
      </w:tr>
      <w:tr w:rsidR="00DC6A92" w:rsidRPr="00DC6A92" w14:paraId="2FFD308F" w14:textId="77777777" w:rsidTr="00C735D2">
        <w:trPr>
          <w:jc w:val="center"/>
        </w:trPr>
        <w:tc>
          <w:tcPr>
            <w:tcW w:w="4681" w:type="dxa"/>
            <w:shd w:val="clear" w:color="auto" w:fill="auto"/>
          </w:tcPr>
          <w:p w14:paraId="69D2E440" w14:textId="77777777" w:rsidR="00DC6A92" w:rsidRPr="00DC6A92" w:rsidRDefault="00DC6A92" w:rsidP="00DC6A92">
            <w:pPr>
              <w:suppressAutoHyphens/>
              <w:autoSpaceDE w:val="0"/>
              <w:spacing w:after="0" w:line="240" w:lineRule="auto"/>
              <w:jc w:val="both"/>
              <w:rPr>
                <w:rFonts w:ascii="Arial" w:eastAsia="Times New Roman" w:hAnsi="Arial" w:cs="Arial"/>
                <w:sz w:val="20"/>
                <w:szCs w:val="20"/>
                <w:lang w:val="es-ES" w:eastAsia="zh-CN"/>
              </w:rPr>
            </w:pPr>
            <w:r w:rsidRPr="00DC6A92">
              <w:rPr>
                <w:rFonts w:ascii="Arial" w:eastAsia="Times New Roman" w:hAnsi="Arial" w:cs="Arial"/>
                <w:sz w:val="20"/>
                <w:szCs w:val="20"/>
                <w:lang w:eastAsia="zh-CN"/>
              </w:rPr>
              <w:t>IX.5 = realizare strapungere intre str. Zavoiului si str. Alex. Ioan Cuza</w:t>
            </w:r>
          </w:p>
        </w:tc>
        <w:tc>
          <w:tcPr>
            <w:tcW w:w="1200" w:type="dxa"/>
            <w:shd w:val="clear" w:color="auto" w:fill="auto"/>
          </w:tcPr>
          <w:p w14:paraId="5A8B48C2"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2C732EB1"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80.000</w:t>
            </w:r>
          </w:p>
        </w:tc>
        <w:tc>
          <w:tcPr>
            <w:tcW w:w="1200" w:type="dxa"/>
          </w:tcPr>
          <w:p w14:paraId="59D30B93"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106FE6F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80.000</w:t>
            </w:r>
          </w:p>
        </w:tc>
      </w:tr>
      <w:tr w:rsidR="00DC6A92" w:rsidRPr="00DC6A92" w14:paraId="1819E977" w14:textId="77777777" w:rsidTr="00C735D2">
        <w:trPr>
          <w:jc w:val="center"/>
        </w:trPr>
        <w:tc>
          <w:tcPr>
            <w:tcW w:w="4681" w:type="dxa"/>
            <w:shd w:val="clear" w:color="auto" w:fill="auto"/>
          </w:tcPr>
          <w:p w14:paraId="1F3C9DB7" w14:textId="77777777" w:rsidR="00DC6A92" w:rsidRPr="00DC6A92" w:rsidRDefault="00DC6A92" w:rsidP="00DC6A92">
            <w:pPr>
              <w:suppressAutoHyphens/>
              <w:autoSpaceDE w:val="0"/>
              <w:spacing w:after="0" w:line="240" w:lineRule="auto"/>
              <w:jc w:val="both"/>
              <w:rPr>
                <w:rFonts w:ascii="Arial" w:eastAsia="Times New Roman" w:hAnsi="Arial" w:cs="Arial"/>
                <w:sz w:val="20"/>
                <w:szCs w:val="20"/>
                <w:lang w:eastAsia="zh-CN"/>
              </w:rPr>
            </w:pPr>
            <w:r w:rsidRPr="00DC6A92">
              <w:rPr>
                <w:rFonts w:ascii="Arial" w:eastAsia="Calibri" w:hAnsi="Arial" w:cs="Arial"/>
                <w:color w:val="000000"/>
                <w:sz w:val="20"/>
                <w:szCs w:val="20"/>
                <w:lang w:val="es-ES" w:eastAsia="zh-CN"/>
              </w:rPr>
              <w:t>X.2 = amenajarea și dotarea corespunzătoare a stațiilor pentru îmbarcarea-debarcarea călătorilor</w:t>
            </w:r>
          </w:p>
        </w:tc>
        <w:tc>
          <w:tcPr>
            <w:tcW w:w="1200" w:type="dxa"/>
            <w:shd w:val="clear" w:color="auto" w:fill="auto"/>
          </w:tcPr>
          <w:p w14:paraId="737B3F0F"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1.000.000</w:t>
            </w:r>
          </w:p>
        </w:tc>
        <w:tc>
          <w:tcPr>
            <w:tcW w:w="1200" w:type="dxa"/>
            <w:shd w:val="clear" w:color="auto" w:fill="auto"/>
          </w:tcPr>
          <w:p w14:paraId="5A2F0A8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250.000</w:t>
            </w:r>
          </w:p>
        </w:tc>
        <w:tc>
          <w:tcPr>
            <w:tcW w:w="1200" w:type="dxa"/>
          </w:tcPr>
          <w:p w14:paraId="59B39C0E"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A76BC12"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1.250.000</w:t>
            </w:r>
          </w:p>
        </w:tc>
      </w:tr>
      <w:tr w:rsidR="00DC6A92" w:rsidRPr="00DC6A92" w14:paraId="5B081D15" w14:textId="77777777" w:rsidTr="00C735D2">
        <w:trPr>
          <w:jc w:val="center"/>
        </w:trPr>
        <w:tc>
          <w:tcPr>
            <w:tcW w:w="4681" w:type="dxa"/>
            <w:shd w:val="clear" w:color="auto" w:fill="auto"/>
          </w:tcPr>
          <w:p w14:paraId="351E356D"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eastAsia="zh-CN"/>
              </w:rPr>
              <w:t>X.3 = achizitia unui parc de mijloace de transport în comun cu combustibili alternativi sau electrice pentru serviciul de transport public</w:t>
            </w:r>
          </w:p>
        </w:tc>
        <w:tc>
          <w:tcPr>
            <w:tcW w:w="1200" w:type="dxa"/>
            <w:shd w:val="clear" w:color="auto" w:fill="auto"/>
          </w:tcPr>
          <w:p w14:paraId="62F45D1A"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1.200.000</w:t>
            </w:r>
          </w:p>
        </w:tc>
        <w:tc>
          <w:tcPr>
            <w:tcW w:w="1200" w:type="dxa"/>
            <w:shd w:val="clear" w:color="auto" w:fill="auto"/>
          </w:tcPr>
          <w:p w14:paraId="53A4ABB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900.000</w:t>
            </w:r>
          </w:p>
        </w:tc>
        <w:tc>
          <w:tcPr>
            <w:tcW w:w="1200" w:type="dxa"/>
          </w:tcPr>
          <w:p w14:paraId="6F5CCD05"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632197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2.100.000</w:t>
            </w:r>
          </w:p>
        </w:tc>
      </w:tr>
      <w:tr w:rsidR="00DC6A92" w:rsidRPr="00DC6A92" w14:paraId="408C655F" w14:textId="77777777" w:rsidTr="00C735D2">
        <w:trPr>
          <w:jc w:val="center"/>
        </w:trPr>
        <w:tc>
          <w:tcPr>
            <w:tcW w:w="4681" w:type="dxa"/>
            <w:shd w:val="clear" w:color="auto" w:fill="auto"/>
          </w:tcPr>
          <w:p w14:paraId="61509E92"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eastAsia="zh-CN"/>
              </w:rPr>
            </w:pPr>
            <w:r w:rsidRPr="00DC6A92">
              <w:rPr>
                <w:rFonts w:ascii="Arial" w:eastAsia="Calibri" w:hAnsi="Arial" w:cs="Arial"/>
                <w:color w:val="000000"/>
                <w:sz w:val="20"/>
                <w:szCs w:val="20"/>
                <w:lang w:val="es-ES" w:eastAsia="zh-CN"/>
              </w:rPr>
              <w:t>X.4 = construirea unei autobaze, inclusiv dotarea cu stație de alimentare cu combustibili alternativi sau stație de încărcare cu energie electrică</w:t>
            </w:r>
          </w:p>
        </w:tc>
        <w:tc>
          <w:tcPr>
            <w:tcW w:w="1200" w:type="dxa"/>
            <w:shd w:val="clear" w:color="auto" w:fill="auto"/>
          </w:tcPr>
          <w:p w14:paraId="6CE02F1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700.000</w:t>
            </w:r>
          </w:p>
        </w:tc>
        <w:tc>
          <w:tcPr>
            <w:tcW w:w="1200" w:type="dxa"/>
            <w:shd w:val="clear" w:color="auto" w:fill="auto"/>
          </w:tcPr>
          <w:p w14:paraId="6F7C50D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300.000</w:t>
            </w:r>
          </w:p>
        </w:tc>
        <w:tc>
          <w:tcPr>
            <w:tcW w:w="1200" w:type="dxa"/>
          </w:tcPr>
          <w:p w14:paraId="0F3611C3"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28542E9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1.000.000</w:t>
            </w:r>
          </w:p>
        </w:tc>
      </w:tr>
      <w:tr w:rsidR="00DC6A92" w:rsidRPr="00DC6A92" w14:paraId="038A1637" w14:textId="77777777" w:rsidTr="00C735D2">
        <w:trPr>
          <w:jc w:val="center"/>
        </w:trPr>
        <w:tc>
          <w:tcPr>
            <w:tcW w:w="4681" w:type="dxa"/>
            <w:shd w:val="clear" w:color="auto" w:fill="auto"/>
          </w:tcPr>
          <w:p w14:paraId="6519B36B"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 xml:space="preserve">X.5 = </w:t>
            </w:r>
            <w:r w:rsidRPr="00DC6A92">
              <w:rPr>
                <w:rFonts w:ascii="Arial" w:eastAsia="Calibri" w:hAnsi="Arial" w:cs="Arial"/>
                <w:color w:val="000000"/>
                <w:sz w:val="20"/>
                <w:szCs w:val="20"/>
                <w:lang w:eastAsia="zh-CN"/>
              </w:rPr>
              <w:t>elaborarea unui studiu de oportunitate pentru stabilirea  modului de organizare a serviciului de transport public local, determinarea pe baze matematice a viitoarelor trasee, a programelor de circulatie, amplasarea statiilor etc.</w:t>
            </w:r>
          </w:p>
        </w:tc>
        <w:tc>
          <w:tcPr>
            <w:tcW w:w="1200" w:type="dxa"/>
            <w:shd w:val="clear" w:color="auto" w:fill="auto"/>
          </w:tcPr>
          <w:p w14:paraId="2604FBC5"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60.000</w:t>
            </w:r>
          </w:p>
        </w:tc>
        <w:tc>
          <w:tcPr>
            <w:tcW w:w="1200" w:type="dxa"/>
            <w:shd w:val="clear" w:color="auto" w:fill="auto"/>
          </w:tcPr>
          <w:p w14:paraId="283B7DA0"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tcPr>
          <w:p w14:paraId="0D4F1A6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2EB57D06"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60.000</w:t>
            </w:r>
          </w:p>
        </w:tc>
      </w:tr>
      <w:tr w:rsidR="00DC6A92" w:rsidRPr="00DC6A92" w14:paraId="63E5B2F7" w14:textId="77777777" w:rsidTr="00DC6A92">
        <w:trPr>
          <w:jc w:val="center"/>
        </w:trPr>
        <w:tc>
          <w:tcPr>
            <w:tcW w:w="4681" w:type="dxa"/>
            <w:shd w:val="clear" w:color="auto" w:fill="BFBFBF"/>
          </w:tcPr>
          <w:p w14:paraId="6382F6F2" w14:textId="77777777" w:rsidR="00DC6A92" w:rsidRPr="00DC6A92" w:rsidRDefault="00DC6A92" w:rsidP="00DC6A92">
            <w:pPr>
              <w:suppressAutoHyphens/>
              <w:autoSpaceDE w:val="0"/>
              <w:spacing w:after="0" w:line="240" w:lineRule="auto"/>
              <w:jc w:val="both"/>
              <w:rPr>
                <w:rFonts w:ascii="Arial" w:eastAsia="Calibri" w:hAnsi="Arial" w:cs="Arial"/>
                <w:b/>
                <w:bCs/>
                <w:color w:val="000000"/>
                <w:sz w:val="20"/>
                <w:szCs w:val="20"/>
                <w:lang w:eastAsia="zh-CN"/>
              </w:rPr>
            </w:pPr>
            <w:r w:rsidRPr="00DC6A92">
              <w:rPr>
                <w:rFonts w:ascii="Arial" w:eastAsia="Arial" w:hAnsi="Arial" w:cs="Arial"/>
                <w:b/>
                <w:bCs/>
                <w:color w:val="000000"/>
                <w:sz w:val="20"/>
                <w:szCs w:val="20"/>
                <w:lang w:eastAsia="zh-CN"/>
              </w:rPr>
              <w:t>TOTAL S2</w:t>
            </w:r>
          </w:p>
        </w:tc>
        <w:tc>
          <w:tcPr>
            <w:tcW w:w="1200" w:type="dxa"/>
            <w:shd w:val="clear" w:color="auto" w:fill="BFBFBF"/>
            <w:vAlign w:val="bottom"/>
          </w:tcPr>
          <w:p w14:paraId="3248A03F" w14:textId="77777777" w:rsidR="00DC6A92" w:rsidRPr="00DC6A92" w:rsidRDefault="00DC6A92" w:rsidP="00DC6A92">
            <w:pPr>
              <w:spacing w:after="0"/>
              <w:jc w:val="center"/>
              <w:rPr>
                <w:rFonts w:ascii="Arial" w:hAnsi="Arial" w:cs="Arial"/>
                <w:b/>
                <w:bCs/>
                <w:sz w:val="20"/>
                <w:szCs w:val="20"/>
              </w:rPr>
            </w:pPr>
            <w:r w:rsidRPr="00DC6A92">
              <w:rPr>
                <w:rFonts w:ascii="Arial" w:hAnsi="Arial" w:cs="Arial"/>
                <w:b/>
                <w:bCs/>
                <w:sz w:val="20"/>
                <w:szCs w:val="20"/>
              </w:rPr>
              <w:t>5161000</w:t>
            </w:r>
          </w:p>
        </w:tc>
        <w:tc>
          <w:tcPr>
            <w:tcW w:w="1200" w:type="dxa"/>
            <w:shd w:val="clear" w:color="auto" w:fill="BFBFBF"/>
            <w:vAlign w:val="bottom"/>
          </w:tcPr>
          <w:p w14:paraId="27384DCE" w14:textId="77777777" w:rsidR="00DC6A92" w:rsidRPr="00DC6A92" w:rsidRDefault="00DC6A92" w:rsidP="00DC6A92">
            <w:pPr>
              <w:spacing w:after="0"/>
              <w:jc w:val="center"/>
              <w:rPr>
                <w:rFonts w:ascii="Arial" w:hAnsi="Arial" w:cs="Arial"/>
                <w:b/>
                <w:bCs/>
                <w:sz w:val="20"/>
                <w:szCs w:val="20"/>
              </w:rPr>
            </w:pPr>
            <w:r w:rsidRPr="00DC6A92">
              <w:rPr>
                <w:rFonts w:ascii="Arial" w:hAnsi="Arial" w:cs="Arial"/>
                <w:b/>
                <w:bCs/>
                <w:sz w:val="20"/>
                <w:szCs w:val="20"/>
              </w:rPr>
              <w:t>17960000</w:t>
            </w:r>
          </w:p>
        </w:tc>
        <w:tc>
          <w:tcPr>
            <w:tcW w:w="1200" w:type="dxa"/>
            <w:shd w:val="clear" w:color="auto" w:fill="BFBFBF"/>
            <w:vAlign w:val="bottom"/>
          </w:tcPr>
          <w:p w14:paraId="360DA52A" w14:textId="77777777" w:rsidR="00DC6A92" w:rsidRPr="00DC6A92" w:rsidRDefault="00DC6A92" w:rsidP="00DC6A92">
            <w:pPr>
              <w:spacing w:after="0"/>
              <w:jc w:val="center"/>
              <w:rPr>
                <w:rFonts w:ascii="Arial" w:hAnsi="Arial" w:cs="Arial"/>
                <w:b/>
                <w:bCs/>
                <w:sz w:val="20"/>
                <w:szCs w:val="20"/>
              </w:rPr>
            </w:pPr>
            <w:r w:rsidRPr="00DC6A92">
              <w:rPr>
                <w:rFonts w:ascii="Arial" w:hAnsi="Arial" w:cs="Arial"/>
                <w:b/>
                <w:bCs/>
                <w:sz w:val="20"/>
                <w:szCs w:val="20"/>
              </w:rPr>
              <w:t>20000</w:t>
            </w:r>
          </w:p>
        </w:tc>
        <w:tc>
          <w:tcPr>
            <w:tcW w:w="1200" w:type="dxa"/>
            <w:shd w:val="clear" w:color="auto" w:fill="BFBFBF"/>
            <w:vAlign w:val="bottom"/>
          </w:tcPr>
          <w:p w14:paraId="4486011E" w14:textId="77777777" w:rsidR="00DC6A92" w:rsidRPr="00DC6A92" w:rsidRDefault="00DC6A92" w:rsidP="00DC6A92">
            <w:pPr>
              <w:spacing w:after="0"/>
              <w:jc w:val="center"/>
              <w:rPr>
                <w:rFonts w:ascii="Arial" w:hAnsi="Arial" w:cs="Arial"/>
                <w:b/>
                <w:bCs/>
                <w:sz w:val="20"/>
                <w:szCs w:val="20"/>
              </w:rPr>
            </w:pPr>
            <w:r w:rsidRPr="00DC6A92">
              <w:rPr>
                <w:rFonts w:ascii="Arial" w:hAnsi="Arial" w:cs="Arial"/>
                <w:b/>
                <w:bCs/>
                <w:sz w:val="20"/>
                <w:szCs w:val="20"/>
              </w:rPr>
              <w:t>23141000</w:t>
            </w:r>
          </w:p>
        </w:tc>
      </w:tr>
    </w:tbl>
    <w:p w14:paraId="7E0F8A1D" w14:textId="77777777" w:rsidR="00DC6A92" w:rsidRPr="00DC6A92" w:rsidRDefault="00DC6A92" w:rsidP="00DC6A92">
      <w:pPr>
        <w:widowControl w:val="0"/>
        <w:suppressAutoHyphens/>
        <w:spacing w:after="0" w:line="240" w:lineRule="auto"/>
        <w:rPr>
          <w:rFonts w:ascii="Arial" w:hAnsi="Arial" w:cs="Mangal"/>
          <w:kern w:val="1"/>
          <w:sz w:val="20"/>
          <w:szCs w:val="24"/>
          <w:lang w:val="ro-RO" w:eastAsia="hi-IN" w:bidi="hi-IN"/>
        </w:rPr>
      </w:pPr>
    </w:p>
    <w:p w14:paraId="35327951" w14:textId="77777777" w:rsidR="00DC6A92" w:rsidRPr="00DC6A92" w:rsidRDefault="00DC6A92" w:rsidP="00DC6A92">
      <w:pPr>
        <w:spacing w:after="0" w:line="240" w:lineRule="auto"/>
        <w:rPr>
          <w:rFonts w:ascii="Arial" w:hAnsi="Arial" w:cs="Mangal"/>
          <w:kern w:val="1"/>
          <w:sz w:val="20"/>
          <w:szCs w:val="24"/>
          <w:lang w:val="ro-RO" w:eastAsia="hi-IN" w:bidi="hi-IN"/>
        </w:rPr>
      </w:pPr>
    </w:p>
    <w:p w14:paraId="6C64D8C9" w14:textId="45475F8B" w:rsidR="00DC6A92" w:rsidRPr="00DC6A92" w:rsidRDefault="00BB0D72" w:rsidP="00DC6A92">
      <w:pPr>
        <w:spacing w:after="200" w:line="240" w:lineRule="auto"/>
        <w:jc w:val="center"/>
        <w:rPr>
          <w:rFonts w:ascii="Arial" w:hAnsi="Arial" w:cs="Arial"/>
          <w:color w:val="1F497D"/>
          <w:kern w:val="1"/>
          <w:lang w:val="es-ES" w:eastAsia="hi-IN" w:bidi="hi-IN"/>
        </w:rPr>
      </w:pPr>
      <w:bookmarkStart w:id="594" w:name="_Toc68361302"/>
      <w:bookmarkStart w:id="595" w:name="_Toc96463926"/>
      <w:r>
        <w:rPr>
          <w:rFonts w:ascii="Arial" w:hAnsi="Arial" w:cs="Arial"/>
          <w:i/>
          <w:iCs/>
          <w:color w:val="1F497D"/>
        </w:rPr>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30</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hAnsi="Arial" w:cs="Arial"/>
          <w:color w:val="1F497D"/>
          <w:kern w:val="1"/>
          <w:lang w:val="es-ES" w:eastAsia="hi-IN" w:bidi="hi-IN"/>
        </w:rPr>
        <w:t>Costuri de investi</w:t>
      </w:r>
      <w:r w:rsidR="00DC6A92" w:rsidRPr="00DC6A92">
        <w:rPr>
          <w:rFonts w:ascii="Arial" w:hAnsi="Arial" w:cs="Arial"/>
          <w:color w:val="1F497D"/>
          <w:kern w:val="1"/>
          <w:lang w:val="es-ES" w:eastAsia="ro-RO" w:bidi="hi-IN"/>
        </w:rPr>
        <w:t>ți</w:t>
      </w:r>
      <w:r w:rsidR="00DC6A92" w:rsidRPr="00DC6A92">
        <w:rPr>
          <w:rFonts w:ascii="Arial" w:hAnsi="Arial" w:cs="Arial"/>
          <w:color w:val="1F497D"/>
          <w:kern w:val="1"/>
          <w:lang w:val="es-ES" w:eastAsia="hi-IN" w:bidi="hi-IN"/>
        </w:rPr>
        <w:t>i în Scenariul 3 – “Politica angajant</w:t>
      </w:r>
      <w:r w:rsidR="00DC6A92" w:rsidRPr="00DC6A92">
        <w:rPr>
          <w:rFonts w:ascii="Arial" w:hAnsi="Arial" w:cs="Arial"/>
          <w:color w:val="1F497D"/>
          <w:kern w:val="1"/>
          <w:lang w:val="es-ES" w:eastAsia="ro-RO" w:bidi="hi-IN"/>
        </w:rPr>
        <w:t>ǎ</w:t>
      </w:r>
      <w:r w:rsidR="00DC6A92" w:rsidRPr="00DC6A92">
        <w:rPr>
          <w:rFonts w:ascii="Arial" w:hAnsi="Arial" w:cs="Arial"/>
          <w:color w:val="1F497D"/>
          <w:kern w:val="1"/>
          <w:lang w:val="es-ES" w:eastAsia="hi-IN" w:bidi="hi-IN"/>
        </w:rPr>
        <w:t>”</w:t>
      </w:r>
      <w:bookmarkEnd w:id="594"/>
      <w:bookmarkEnd w:id="595"/>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681"/>
        <w:gridCol w:w="1200"/>
        <w:gridCol w:w="1200"/>
        <w:gridCol w:w="1200"/>
        <w:gridCol w:w="1200"/>
      </w:tblGrid>
      <w:tr w:rsidR="00DC6A92" w:rsidRPr="00DC6A92" w14:paraId="4E2251CE" w14:textId="77777777" w:rsidTr="00C735D2">
        <w:trPr>
          <w:jc w:val="center"/>
        </w:trPr>
        <w:tc>
          <w:tcPr>
            <w:tcW w:w="4681" w:type="dxa"/>
            <w:vMerge w:val="restart"/>
            <w:shd w:val="clear" w:color="auto" w:fill="D9D9D9"/>
            <w:vAlign w:val="center"/>
          </w:tcPr>
          <w:p w14:paraId="73DD9858" w14:textId="77777777" w:rsidR="00DC6A92" w:rsidRPr="00DC6A92" w:rsidRDefault="00DC6A92" w:rsidP="00DC6A92">
            <w:pPr>
              <w:suppressLineNumbers/>
              <w:suppressAutoHyphens/>
              <w:spacing w:after="0" w:line="240" w:lineRule="auto"/>
              <w:jc w:val="center"/>
              <w:rPr>
                <w:rFonts w:ascii="Arial" w:hAnsi="Arial" w:cs="Arial"/>
                <w:b/>
                <w:bCs/>
                <w:kern w:val="1"/>
                <w:sz w:val="20"/>
                <w:szCs w:val="20"/>
                <w:lang w:val="ro-RO" w:eastAsia="zh-CN" w:bidi="hi-IN"/>
              </w:rPr>
            </w:pPr>
            <w:r w:rsidRPr="00DC6A92">
              <w:rPr>
                <w:rFonts w:ascii="Arial" w:hAnsi="Arial" w:cs="Arial"/>
                <w:b/>
                <w:bCs/>
                <w:kern w:val="1"/>
                <w:sz w:val="20"/>
                <w:szCs w:val="20"/>
                <w:lang w:val="ro-RO" w:eastAsia="zh-CN" w:bidi="hi-IN"/>
              </w:rPr>
              <w:t>Proiect</w:t>
            </w:r>
          </w:p>
        </w:tc>
        <w:tc>
          <w:tcPr>
            <w:tcW w:w="4800" w:type="dxa"/>
            <w:gridSpan w:val="4"/>
            <w:shd w:val="clear" w:color="auto" w:fill="D9D9D9"/>
          </w:tcPr>
          <w:p w14:paraId="172A5597"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b/>
                <w:bCs/>
                <w:kern w:val="1"/>
                <w:sz w:val="20"/>
                <w:szCs w:val="20"/>
                <w:lang w:val="ro-RO" w:eastAsia="zh-CN" w:bidi="hi-IN"/>
              </w:rPr>
              <w:t>Costuri (euro)</w:t>
            </w:r>
          </w:p>
        </w:tc>
      </w:tr>
      <w:tr w:rsidR="00DC6A92" w:rsidRPr="00DC6A92" w14:paraId="3C78681C" w14:textId="77777777" w:rsidTr="00C735D2">
        <w:trPr>
          <w:jc w:val="center"/>
        </w:trPr>
        <w:tc>
          <w:tcPr>
            <w:tcW w:w="4681" w:type="dxa"/>
            <w:vMerge/>
            <w:shd w:val="clear" w:color="auto" w:fill="D9D9D9"/>
          </w:tcPr>
          <w:p w14:paraId="15A91E69" w14:textId="77777777" w:rsidR="00DC6A92" w:rsidRPr="00DC6A92" w:rsidRDefault="00DC6A92" w:rsidP="00DC6A92">
            <w:pPr>
              <w:suppressLineNumbers/>
              <w:suppressAutoHyphens/>
              <w:snapToGrid w:val="0"/>
              <w:spacing w:after="0" w:line="240" w:lineRule="auto"/>
              <w:jc w:val="both"/>
              <w:rPr>
                <w:rFonts w:ascii="Arial" w:hAnsi="Arial" w:cs="Arial"/>
                <w:kern w:val="1"/>
                <w:sz w:val="20"/>
                <w:szCs w:val="20"/>
                <w:lang w:val="ro-RO" w:eastAsia="zh-CN" w:bidi="hi-IN"/>
              </w:rPr>
            </w:pPr>
          </w:p>
        </w:tc>
        <w:tc>
          <w:tcPr>
            <w:tcW w:w="1200" w:type="dxa"/>
            <w:shd w:val="clear" w:color="auto" w:fill="D9D9D9"/>
          </w:tcPr>
          <w:p w14:paraId="14005C11" w14:textId="77777777" w:rsidR="00DC6A92" w:rsidRPr="00DC6A92" w:rsidRDefault="00DC6A92" w:rsidP="00DC6A92">
            <w:pPr>
              <w:suppressLineNumbers/>
              <w:suppressAutoHyphens/>
              <w:spacing w:after="0" w:line="240" w:lineRule="auto"/>
              <w:jc w:val="center"/>
              <w:rPr>
                <w:rFonts w:ascii="Arial" w:hAnsi="Arial" w:cs="Arial"/>
                <w:b/>
                <w:bCs/>
                <w:kern w:val="1"/>
                <w:sz w:val="20"/>
                <w:szCs w:val="20"/>
                <w:lang w:val="ro-RO" w:eastAsia="zh-CN" w:bidi="hi-IN"/>
              </w:rPr>
            </w:pPr>
            <w:r w:rsidRPr="00DC6A92">
              <w:rPr>
                <w:rFonts w:ascii="Arial" w:hAnsi="Arial" w:cs="Arial"/>
                <w:b/>
                <w:bCs/>
                <w:kern w:val="1"/>
                <w:sz w:val="20"/>
                <w:szCs w:val="20"/>
                <w:lang w:val="ro-RO" w:eastAsia="zh-CN" w:bidi="hi-IN"/>
              </w:rPr>
              <w:t>2021-2023</w:t>
            </w:r>
          </w:p>
        </w:tc>
        <w:tc>
          <w:tcPr>
            <w:tcW w:w="1200" w:type="dxa"/>
            <w:shd w:val="clear" w:color="auto" w:fill="D9D9D9"/>
          </w:tcPr>
          <w:p w14:paraId="6CD8BB4F" w14:textId="77777777" w:rsidR="00DC6A92" w:rsidRPr="00DC6A92" w:rsidRDefault="00DC6A92" w:rsidP="00DC6A92">
            <w:pPr>
              <w:suppressLineNumbers/>
              <w:suppressAutoHyphens/>
              <w:spacing w:after="0" w:line="240" w:lineRule="auto"/>
              <w:jc w:val="center"/>
              <w:rPr>
                <w:rFonts w:ascii="Arial" w:hAnsi="Arial" w:cs="Arial"/>
                <w:b/>
                <w:bCs/>
                <w:kern w:val="1"/>
                <w:sz w:val="20"/>
                <w:szCs w:val="20"/>
                <w:lang w:val="ro-RO" w:eastAsia="zh-CN" w:bidi="hi-IN"/>
              </w:rPr>
            </w:pPr>
            <w:r w:rsidRPr="00DC6A92">
              <w:rPr>
                <w:rFonts w:ascii="Arial" w:hAnsi="Arial" w:cs="Arial"/>
                <w:b/>
                <w:bCs/>
                <w:kern w:val="1"/>
                <w:sz w:val="20"/>
                <w:szCs w:val="20"/>
                <w:lang w:val="ro-RO" w:eastAsia="zh-CN" w:bidi="hi-IN"/>
              </w:rPr>
              <w:t>2024-2027</w:t>
            </w:r>
          </w:p>
        </w:tc>
        <w:tc>
          <w:tcPr>
            <w:tcW w:w="1200" w:type="dxa"/>
            <w:shd w:val="clear" w:color="auto" w:fill="D9D9D9"/>
          </w:tcPr>
          <w:p w14:paraId="5196BC4F" w14:textId="77777777" w:rsidR="00DC6A92" w:rsidRPr="00DC6A92" w:rsidRDefault="00DC6A92" w:rsidP="00DC6A92">
            <w:pPr>
              <w:suppressLineNumbers/>
              <w:suppressAutoHyphens/>
              <w:spacing w:after="0" w:line="240" w:lineRule="auto"/>
              <w:jc w:val="center"/>
              <w:rPr>
                <w:rFonts w:ascii="Arial" w:hAnsi="Arial" w:cs="Arial"/>
                <w:b/>
                <w:bCs/>
                <w:kern w:val="1"/>
                <w:sz w:val="20"/>
                <w:szCs w:val="20"/>
                <w:lang w:val="ro-RO" w:eastAsia="zh-CN" w:bidi="hi-IN"/>
              </w:rPr>
            </w:pPr>
            <w:r w:rsidRPr="00DC6A92">
              <w:rPr>
                <w:rFonts w:ascii="Arial" w:hAnsi="Arial" w:cs="Arial"/>
                <w:b/>
                <w:bCs/>
                <w:kern w:val="1"/>
                <w:sz w:val="20"/>
                <w:szCs w:val="20"/>
                <w:lang w:val="ro-RO" w:eastAsia="zh-CN" w:bidi="hi-IN"/>
              </w:rPr>
              <w:t>2028-2035</w:t>
            </w:r>
          </w:p>
        </w:tc>
        <w:tc>
          <w:tcPr>
            <w:tcW w:w="1200" w:type="dxa"/>
            <w:shd w:val="clear" w:color="auto" w:fill="D9D9D9"/>
          </w:tcPr>
          <w:p w14:paraId="1EC3113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b/>
                <w:bCs/>
                <w:kern w:val="1"/>
                <w:sz w:val="20"/>
                <w:szCs w:val="20"/>
                <w:lang w:val="ro-RO" w:eastAsia="zh-CN" w:bidi="hi-IN"/>
              </w:rPr>
              <w:t>Total</w:t>
            </w:r>
          </w:p>
        </w:tc>
      </w:tr>
      <w:tr w:rsidR="00DC6A92" w:rsidRPr="00DC6A92" w14:paraId="460A5365" w14:textId="77777777" w:rsidTr="00C735D2">
        <w:trPr>
          <w:jc w:val="center"/>
        </w:trPr>
        <w:tc>
          <w:tcPr>
            <w:tcW w:w="4681" w:type="dxa"/>
            <w:shd w:val="clear" w:color="auto" w:fill="auto"/>
          </w:tcPr>
          <w:p w14:paraId="723EE10C" w14:textId="55A2CD0D"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IV.5 = amenajarea un</w:t>
            </w:r>
            <w:r w:rsidR="005B68FD">
              <w:rPr>
                <w:rFonts w:ascii="Arial" w:eastAsia="Calibri" w:hAnsi="Arial" w:cs="Arial"/>
                <w:color w:val="000000"/>
                <w:sz w:val="20"/>
                <w:szCs w:val="20"/>
                <w:lang w:val="es-ES" w:eastAsia="zh-CN"/>
              </w:rPr>
              <w:t>u</w:t>
            </w:r>
            <w:r w:rsidRPr="00DC6A92">
              <w:rPr>
                <w:rFonts w:ascii="Arial" w:eastAsia="Calibri" w:hAnsi="Arial" w:cs="Arial"/>
                <w:color w:val="000000"/>
                <w:sz w:val="20"/>
                <w:szCs w:val="20"/>
                <w:lang w:val="es-ES" w:eastAsia="zh-CN"/>
              </w:rPr>
              <w:t xml:space="preserve">i </w:t>
            </w:r>
            <w:r w:rsidR="005B68FD">
              <w:rPr>
                <w:rFonts w:ascii="Arial" w:eastAsia="Calibri" w:hAnsi="Arial" w:cs="Arial"/>
                <w:color w:val="000000"/>
                <w:sz w:val="20"/>
                <w:szCs w:val="20"/>
                <w:lang w:val="es-ES" w:eastAsia="zh-CN"/>
              </w:rPr>
              <w:t>traseu pentru biciclete</w:t>
            </w:r>
            <w:r w:rsidRPr="00DC6A92">
              <w:rPr>
                <w:rFonts w:ascii="Arial" w:eastAsia="Calibri" w:hAnsi="Arial" w:cs="Arial"/>
                <w:color w:val="000000"/>
                <w:sz w:val="20"/>
                <w:szCs w:val="20"/>
                <w:lang w:val="es-ES" w:eastAsia="zh-CN"/>
              </w:rPr>
              <w:t xml:space="preserve"> cross-country si a un</w:t>
            </w:r>
            <w:r w:rsidR="005B68FD">
              <w:rPr>
                <w:rFonts w:ascii="Arial" w:eastAsia="Calibri" w:hAnsi="Arial" w:cs="Arial"/>
                <w:color w:val="000000"/>
                <w:sz w:val="20"/>
                <w:szCs w:val="20"/>
                <w:lang w:val="es-ES" w:eastAsia="zh-CN"/>
              </w:rPr>
              <w:t>u</w:t>
            </w:r>
            <w:r w:rsidRPr="00DC6A92">
              <w:rPr>
                <w:rFonts w:ascii="Arial" w:eastAsia="Calibri" w:hAnsi="Arial" w:cs="Arial"/>
                <w:color w:val="000000"/>
                <w:sz w:val="20"/>
                <w:szCs w:val="20"/>
                <w:lang w:val="es-ES" w:eastAsia="zh-CN"/>
              </w:rPr>
              <w:t xml:space="preserve">i </w:t>
            </w:r>
            <w:r w:rsidR="005B68FD">
              <w:rPr>
                <w:rFonts w:ascii="Arial" w:eastAsia="Calibri" w:hAnsi="Arial" w:cs="Arial"/>
                <w:color w:val="000000"/>
                <w:sz w:val="20"/>
                <w:szCs w:val="20"/>
                <w:lang w:val="es-ES" w:eastAsia="zh-CN"/>
              </w:rPr>
              <w:t>traseu</w:t>
            </w:r>
            <w:r w:rsidRPr="00DC6A92">
              <w:rPr>
                <w:rFonts w:ascii="Arial" w:eastAsia="Calibri" w:hAnsi="Arial" w:cs="Arial"/>
                <w:color w:val="000000"/>
                <w:sz w:val="20"/>
                <w:szCs w:val="20"/>
                <w:lang w:val="es-ES" w:eastAsia="zh-CN"/>
              </w:rPr>
              <w:t xml:space="preserve"> down-hill</w:t>
            </w:r>
          </w:p>
        </w:tc>
        <w:tc>
          <w:tcPr>
            <w:tcW w:w="1200" w:type="dxa"/>
            <w:shd w:val="clear" w:color="auto" w:fill="auto"/>
          </w:tcPr>
          <w:p w14:paraId="714C7242"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1CC83335"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tcPr>
          <w:p w14:paraId="47613B04"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720.000</w:t>
            </w:r>
          </w:p>
        </w:tc>
        <w:tc>
          <w:tcPr>
            <w:tcW w:w="1200" w:type="dxa"/>
            <w:shd w:val="clear" w:color="auto" w:fill="auto"/>
          </w:tcPr>
          <w:p w14:paraId="7821DC3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720.000</w:t>
            </w:r>
          </w:p>
        </w:tc>
      </w:tr>
      <w:tr w:rsidR="00DC6A92" w:rsidRPr="00DC6A92" w14:paraId="5A7D6EC4" w14:textId="77777777" w:rsidTr="00C735D2">
        <w:trPr>
          <w:jc w:val="center"/>
        </w:trPr>
        <w:tc>
          <w:tcPr>
            <w:tcW w:w="4681" w:type="dxa"/>
            <w:shd w:val="clear" w:color="auto" w:fill="auto"/>
          </w:tcPr>
          <w:p w14:paraId="152E17B2" w14:textId="77777777" w:rsidR="00DC6A92" w:rsidRPr="00DC6A92" w:rsidRDefault="00DC6A92" w:rsidP="00DC6A92">
            <w:pPr>
              <w:tabs>
                <w:tab w:val="left" w:pos="1515"/>
              </w:tabs>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IV.9 = achizitia de statii de incarcare pentru autovehiculele electrice si amplasarea acestora in principalele zone ale orasului</w:t>
            </w:r>
          </w:p>
        </w:tc>
        <w:tc>
          <w:tcPr>
            <w:tcW w:w="1200" w:type="dxa"/>
            <w:shd w:val="clear" w:color="auto" w:fill="auto"/>
          </w:tcPr>
          <w:p w14:paraId="244FBE83"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224C7FEF"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tcPr>
          <w:p w14:paraId="6BD4AD3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c>
          <w:tcPr>
            <w:tcW w:w="1200" w:type="dxa"/>
            <w:shd w:val="clear" w:color="auto" w:fill="auto"/>
          </w:tcPr>
          <w:p w14:paraId="59061C6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r>
      <w:tr w:rsidR="00DC6A92" w:rsidRPr="00DC6A92" w14:paraId="050551B0" w14:textId="77777777" w:rsidTr="00C735D2">
        <w:trPr>
          <w:jc w:val="center"/>
        </w:trPr>
        <w:tc>
          <w:tcPr>
            <w:tcW w:w="4681" w:type="dxa"/>
            <w:shd w:val="clear" w:color="auto" w:fill="auto"/>
          </w:tcPr>
          <w:p w14:paraId="190F47FF"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VII.3 = construirea de parcări de mare capacitate (supra şi subterane) si dotarea cu statii de incarcare pentru vehicule electrice</w:t>
            </w:r>
          </w:p>
        </w:tc>
        <w:tc>
          <w:tcPr>
            <w:tcW w:w="1200" w:type="dxa"/>
            <w:shd w:val="clear" w:color="auto" w:fill="auto"/>
          </w:tcPr>
          <w:p w14:paraId="7A49BF9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7A485919"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640.000</w:t>
            </w:r>
          </w:p>
        </w:tc>
        <w:tc>
          <w:tcPr>
            <w:tcW w:w="1200" w:type="dxa"/>
          </w:tcPr>
          <w:p w14:paraId="448F127C"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640.000</w:t>
            </w:r>
          </w:p>
        </w:tc>
        <w:tc>
          <w:tcPr>
            <w:tcW w:w="1200" w:type="dxa"/>
            <w:shd w:val="clear" w:color="auto" w:fill="auto"/>
          </w:tcPr>
          <w:p w14:paraId="3FC5095F"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1.280.000</w:t>
            </w:r>
          </w:p>
        </w:tc>
      </w:tr>
      <w:tr w:rsidR="00DC6A92" w:rsidRPr="00DC6A92" w14:paraId="2BE4FFDA" w14:textId="77777777" w:rsidTr="00C735D2">
        <w:trPr>
          <w:jc w:val="center"/>
        </w:trPr>
        <w:tc>
          <w:tcPr>
            <w:tcW w:w="4681" w:type="dxa"/>
            <w:shd w:val="clear" w:color="auto" w:fill="auto"/>
          </w:tcPr>
          <w:p w14:paraId="381B8E0D"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eastAsia="zh-CN"/>
              </w:rPr>
              <w:t>VII.4 = reglementarea sistemului de transport "park and ride"</w:t>
            </w:r>
          </w:p>
        </w:tc>
        <w:tc>
          <w:tcPr>
            <w:tcW w:w="1200" w:type="dxa"/>
            <w:shd w:val="clear" w:color="auto" w:fill="auto"/>
          </w:tcPr>
          <w:p w14:paraId="14255CA5"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785FEA33"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tcPr>
          <w:p w14:paraId="12A89294"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1.000.000</w:t>
            </w:r>
          </w:p>
        </w:tc>
        <w:tc>
          <w:tcPr>
            <w:tcW w:w="1200" w:type="dxa"/>
            <w:shd w:val="clear" w:color="auto" w:fill="auto"/>
          </w:tcPr>
          <w:p w14:paraId="680BE88B"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1.000.000</w:t>
            </w:r>
          </w:p>
        </w:tc>
      </w:tr>
      <w:tr w:rsidR="00DC6A92" w:rsidRPr="00DC6A92" w14:paraId="0F4E4A43" w14:textId="77777777" w:rsidTr="00C735D2">
        <w:trPr>
          <w:jc w:val="center"/>
        </w:trPr>
        <w:tc>
          <w:tcPr>
            <w:tcW w:w="4681" w:type="dxa"/>
            <w:shd w:val="clear" w:color="auto" w:fill="auto"/>
          </w:tcPr>
          <w:p w14:paraId="0B38227E" w14:textId="77777777" w:rsidR="00DC6A92" w:rsidRPr="00DC6A92" w:rsidRDefault="00DC6A92" w:rsidP="00DC6A92">
            <w:pPr>
              <w:suppressAutoHyphens/>
              <w:autoSpaceDE w:val="0"/>
              <w:spacing w:after="0" w:line="240" w:lineRule="auto"/>
              <w:jc w:val="both"/>
              <w:rPr>
                <w:rFonts w:ascii="Arial" w:eastAsia="Arial" w:hAnsi="Arial" w:cs="Arial"/>
                <w:color w:val="000000"/>
                <w:sz w:val="20"/>
                <w:szCs w:val="20"/>
                <w:lang w:val="es-ES" w:eastAsia="zh-CN"/>
              </w:rPr>
            </w:pPr>
            <w:r w:rsidRPr="00DC6A92">
              <w:rPr>
                <w:rFonts w:ascii="Arial" w:eastAsia="Calibri" w:hAnsi="Arial" w:cs="Arial"/>
                <w:sz w:val="20"/>
                <w:szCs w:val="20"/>
                <w:lang w:val="es-ES" w:eastAsia="zh-CN"/>
              </w:rPr>
              <w:t xml:space="preserve">IX.1 = </w:t>
            </w:r>
            <w:r w:rsidRPr="00DC6A92">
              <w:rPr>
                <w:rFonts w:ascii="Arial" w:eastAsia="Times New Roman" w:hAnsi="Arial" w:cs="Arial"/>
                <w:sz w:val="20"/>
                <w:szCs w:val="20"/>
                <w:lang w:val="es-ES" w:eastAsia="zh-CN"/>
              </w:rPr>
              <w:t>construirea centurii ocolitoare a oraşului</w:t>
            </w:r>
          </w:p>
        </w:tc>
        <w:tc>
          <w:tcPr>
            <w:tcW w:w="1200" w:type="dxa"/>
            <w:shd w:val="clear" w:color="auto" w:fill="auto"/>
          </w:tcPr>
          <w:p w14:paraId="038FFC84"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45D7050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2.000.000</w:t>
            </w:r>
          </w:p>
        </w:tc>
        <w:tc>
          <w:tcPr>
            <w:tcW w:w="1200" w:type="dxa"/>
          </w:tcPr>
          <w:p w14:paraId="64E8DCC5"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2.000.000</w:t>
            </w:r>
          </w:p>
        </w:tc>
        <w:tc>
          <w:tcPr>
            <w:tcW w:w="1200" w:type="dxa"/>
            <w:shd w:val="clear" w:color="auto" w:fill="auto"/>
          </w:tcPr>
          <w:p w14:paraId="546A5BBD"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4.000.000</w:t>
            </w:r>
          </w:p>
        </w:tc>
      </w:tr>
      <w:tr w:rsidR="00DC6A92" w:rsidRPr="00DC6A92" w14:paraId="5B46B62C" w14:textId="77777777" w:rsidTr="00C735D2">
        <w:trPr>
          <w:jc w:val="center"/>
        </w:trPr>
        <w:tc>
          <w:tcPr>
            <w:tcW w:w="4681" w:type="dxa"/>
            <w:shd w:val="clear" w:color="auto" w:fill="auto"/>
          </w:tcPr>
          <w:p w14:paraId="4983B5B2"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X.6 = realizarea unui website al operatorului de transport public local si unei aplicatii pentru planificarea calatoriei cu transportul public</w:t>
            </w:r>
          </w:p>
        </w:tc>
        <w:tc>
          <w:tcPr>
            <w:tcW w:w="1200" w:type="dxa"/>
            <w:shd w:val="clear" w:color="auto" w:fill="auto"/>
          </w:tcPr>
          <w:p w14:paraId="5CDE40D5"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shd w:val="clear" w:color="auto" w:fill="auto"/>
          </w:tcPr>
          <w:p w14:paraId="556A1D0B"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tcPr>
          <w:p w14:paraId="62E91DE3"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c>
          <w:tcPr>
            <w:tcW w:w="1200" w:type="dxa"/>
            <w:shd w:val="clear" w:color="auto" w:fill="auto"/>
          </w:tcPr>
          <w:p w14:paraId="242C8713"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w:t>
            </w:r>
          </w:p>
        </w:tc>
      </w:tr>
      <w:tr w:rsidR="00DC6A92" w:rsidRPr="00DC6A92" w14:paraId="6AB28A17" w14:textId="77777777" w:rsidTr="00C735D2">
        <w:trPr>
          <w:jc w:val="center"/>
        </w:trPr>
        <w:tc>
          <w:tcPr>
            <w:tcW w:w="4681" w:type="dxa"/>
            <w:shd w:val="clear" w:color="auto" w:fill="auto"/>
          </w:tcPr>
          <w:p w14:paraId="42C7A0C2" w14:textId="77777777" w:rsidR="00DC6A92" w:rsidRPr="00DC6A92" w:rsidRDefault="00DC6A92" w:rsidP="00DC6A92">
            <w:pPr>
              <w:suppressAutoHyphens/>
              <w:autoSpaceDE w:val="0"/>
              <w:spacing w:after="0" w:line="240" w:lineRule="auto"/>
              <w:jc w:val="both"/>
              <w:rPr>
                <w:rFonts w:ascii="Arial" w:eastAsia="Calibri" w:hAnsi="Arial" w:cs="Arial"/>
                <w:color w:val="000000"/>
                <w:sz w:val="20"/>
                <w:szCs w:val="20"/>
                <w:lang w:val="es-ES" w:eastAsia="zh-CN"/>
              </w:rPr>
            </w:pPr>
            <w:r w:rsidRPr="00DC6A92">
              <w:rPr>
                <w:rFonts w:ascii="Arial" w:eastAsia="Calibri" w:hAnsi="Arial" w:cs="Arial"/>
                <w:color w:val="000000"/>
                <w:sz w:val="20"/>
                <w:szCs w:val="20"/>
                <w:lang w:val="es-ES" w:eastAsia="zh-CN"/>
              </w:rPr>
              <w:t xml:space="preserve">XII.1 = </w:t>
            </w:r>
            <w:r w:rsidRPr="00DC6A92">
              <w:rPr>
                <w:rFonts w:ascii="Arial" w:eastAsia="Calibri" w:hAnsi="Arial" w:cs="Arial"/>
                <w:color w:val="000000"/>
                <w:sz w:val="20"/>
                <w:szCs w:val="20"/>
                <w:lang w:eastAsia="zh-CN"/>
              </w:rPr>
              <w:t xml:space="preserve">construirea unui centru intermodal de transport destinat interconectării transportului </w:t>
            </w:r>
            <w:r w:rsidRPr="00DC6A92">
              <w:rPr>
                <w:rFonts w:ascii="Arial" w:eastAsia="Calibri" w:hAnsi="Arial" w:cs="Arial"/>
                <w:color w:val="000000"/>
                <w:sz w:val="20"/>
                <w:szCs w:val="20"/>
                <w:lang w:eastAsia="zh-CN"/>
              </w:rPr>
              <w:lastRenderedPageBreak/>
              <w:t>public local cu cel judetean şi interurban</w:t>
            </w:r>
          </w:p>
        </w:tc>
        <w:tc>
          <w:tcPr>
            <w:tcW w:w="1200" w:type="dxa"/>
            <w:shd w:val="clear" w:color="auto" w:fill="auto"/>
          </w:tcPr>
          <w:p w14:paraId="7F6F061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lastRenderedPageBreak/>
              <w:t>0</w:t>
            </w:r>
          </w:p>
        </w:tc>
        <w:tc>
          <w:tcPr>
            <w:tcW w:w="1200" w:type="dxa"/>
            <w:shd w:val="clear" w:color="auto" w:fill="auto"/>
          </w:tcPr>
          <w:p w14:paraId="6149BBD4"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0</w:t>
            </w:r>
          </w:p>
        </w:tc>
        <w:tc>
          <w:tcPr>
            <w:tcW w:w="1200" w:type="dxa"/>
          </w:tcPr>
          <w:p w14:paraId="64B7B09F"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5.000.000</w:t>
            </w:r>
          </w:p>
        </w:tc>
        <w:tc>
          <w:tcPr>
            <w:tcW w:w="1200" w:type="dxa"/>
            <w:shd w:val="clear" w:color="auto" w:fill="auto"/>
          </w:tcPr>
          <w:p w14:paraId="75FFA038" w14:textId="77777777" w:rsidR="00DC6A92" w:rsidRPr="00DC6A92" w:rsidRDefault="00DC6A92" w:rsidP="00DC6A92">
            <w:pPr>
              <w:suppressLineNumbers/>
              <w:suppressAutoHyphens/>
              <w:spacing w:after="0" w:line="240" w:lineRule="auto"/>
              <w:jc w:val="center"/>
              <w:rPr>
                <w:rFonts w:ascii="Arial" w:hAnsi="Arial" w:cs="Arial"/>
                <w:kern w:val="1"/>
                <w:sz w:val="20"/>
                <w:szCs w:val="20"/>
                <w:lang w:val="ro-RO" w:eastAsia="zh-CN" w:bidi="hi-IN"/>
              </w:rPr>
            </w:pPr>
            <w:r w:rsidRPr="00DC6A92">
              <w:rPr>
                <w:rFonts w:ascii="Arial" w:hAnsi="Arial" w:cs="Arial"/>
                <w:kern w:val="1"/>
                <w:sz w:val="20"/>
                <w:szCs w:val="20"/>
                <w:lang w:val="ro-RO" w:eastAsia="zh-CN" w:bidi="hi-IN"/>
              </w:rPr>
              <w:t>5.000.000</w:t>
            </w:r>
          </w:p>
        </w:tc>
      </w:tr>
      <w:tr w:rsidR="00DC6A92" w:rsidRPr="00DC6A92" w14:paraId="6C158854" w14:textId="77777777" w:rsidTr="00C735D2">
        <w:trPr>
          <w:jc w:val="center"/>
        </w:trPr>
        <w:tc>
          <w:tcPr>
            <w:tcW w:w="4681" w:type="dxa"/>
            <w:shd w:val="clear" w:color="auto" w:fill="D9D9D9"/>
          </w:tcPr>
          <w:p w14:paraId="5E687709" w14:textId="77777777" w:rsidR="00DC6A92" w:rsidRPr="00DC6A92" w:rsidRDefault="00DC6A92" w:rsidP="00DC6A92">
            <w:pPr>
              <w:suppressAutoHyphens/>
              <w:autoSpaceDE w:val="0"/>
              <w:spacing w:after="0" w:line="240" w:lineRule="auto"/>
              <w:jc w:val="both"/>
              <w:rPr>
                <w:rFonts w:ascii="Arial" w:eastAsia="Calibri" w:hAnsi="Arial" w:cs="Arial"/>
                <w:b/>
                <w:bCs/>
                <w:color w:val="000000"/>
                <w:sz w:val="20"/>
                <w:szCs w:val="20"/>
                <w:lang w:eastAsia="zh-CN"/>
              </w:rPr>
            </w:pPr>
            <w:r w:rsidRPr="00DC6A92">
              <w:rPr>
                <w:rFonts w:ascii="Arial" w:eastAsia="Arial" w:hAnsi="Arial" w:cs="Arial"/>
                <w:b/>
                <w:bCs/>
                <w:color w:val="000000"/>
                <w:sz w:val="20"/>
                <w:szCs w:val="20"/>
                <w:lang w:eastAsia="zh-CN"/>
              </w:rPr>
              <w:t>TOTAL S3</w:t>
            </w:r>
          </w:p>
        </w:tc>
        <w:tc>
          <w:tcPr>
            <w:tcW w:w="1200" w:type="dxa"/>
            <w:shd w:val="clear" w:color="auto" w:fill="D9D9D9"/>
            <w:vAlign w:val="bottom"/>
          </w:tcPr>
          <w:p w14:paraId="68AB7693" w14:textId="77777777" w:rsidR="00DC6A92" w:rsidRPr="00DC6A92" w:rsidRDefault="00DC6A92" w:rsidP="00DC6A92">
            <w:pPr>
              <w:spacing w:after="0"/>
              <w:jc w:val="center"/>
              <w:rPr>
                <w:rFonts w:ascii="Arial" w:hAnsi="Arial" w:cs="Arial"/>
                <w:b/>
                <w:bCs/>
                <w:sz w:val="20"/>
                <w:szCs w:val="20"/>
              </w:rPr>
            </w:pPr>
            <w:r w:rsidRPr="00DC6A92">
              <w:rPr>
                <w:rFonts w:ascii="Arial" w:hAnsi="Arial" w:cs="Arial"/>
                <w:b/>
                <w:bCs/>
                <w:sz w:val="20"/>
                <w:szCs w:val="20"/>
              </w:rPr>
              <w:t>0</w:t>
            </w:r>
          </w:p>
        </w:tc>
        <w:tc>
          <w:tcPr>
            <w:tcW w:w="1200" w:type="dxa"/>
            <w:shd w:val="clear" w:color="auto" w:fill="D9D9D9"/>
            <w:vAlign w:val="bottom"/>
          </w:tcPr>
          <w:p w14:paraId="14F0CB3C" w14:textId="77777777" w:rsidR="00DC6A92" w:rsidRPr="00DC6A92" w:rsidRDefault="00DC6A92" w:rsidP="00DC6A92">
            <w:pPr>
              <w:spacing w:after="0"/>
              <w:jc w:val="center"/>
              <w:rPr>
                <w:rFonts w:ascii="Arial" w:hAnsi="Arial" w:cs="Arial"/>
                <w:b/>
                <w:bCs/>
                <w:sz w:val="20"/>
                <w:szCs w:val="20"/>
              </w:rPr>
            </w:pPr>
            <w:r w:rsidRPr="00DC6A92">
              <w:rPr>
                <w:rFonts w:ascii="Arial" w:hAnsi="Arial" w:cs="Arial"/>
                <w:b/>
                <w:bCs/>
                <w:sz w:val="20"/>
                <w:szCs w:val="20"/>
              </w:rPr>
              <w:t>2.640.000</w:t>
            </w:r>
          </w:p>
        </w:tc>
        <w:tc>
          <w:tcPr>
            <w:tcW w:w="1200" w:type="dxa"/>
            <w:shd w:val="clear" w:color="auto" w:fill="D9D9D9"/>
            <w:vAlign w:val="bottom"/>
          </w:tcPr>
          <w:p w14:paraId="74B16A80" w14:textId="77777777" w:rsidR="00DC6A92" w:rsidRPr="00DC6A92" w:rsidRDefault="00DC6A92" w:rsidP="00DC6A92">
            <w:pPr>
              <w:spacing w:after="0"/>
              <w:jc w:val="center"/>
              <w:rPr>
                <w:rFonts w:ascii="Arial" w:hAnsi="Arial" w:cs="Arial"/>
                <w:b/>
                <w:bCs/>
                <w:sz w:val="20"/>
                <w:szCs w:val="20"/>
              </w:rPr>
            </w:pPr>
            <w:r w:rsidRPr="00DC6A92">
              <w:rPr>
                <w:rFonts w:ascii="Arial" w:hAnsi="Arial" w:cs="Arial"/>
                <w:b/>
                <w:bCs/>
                <w:sz w:val="20"/>
                <w:szCs w:val="20"/>
              </w:rPr>
              <w:t>9.460.000</w:t>
            </w:r>
          </w:p>
        </w:tc>
        <w:tc>
          <w:tcPr>
            <w:tcW w:w="1200" w:type="dxa"/>
            <w:shd w:val="clear" w:color="auto" w:fill="D9D9D9"/>
            <w:vAlign w:val="bottom"/>
          </w:tcPr>
          <w:p w14:paraId="554FA90F" w14:textId="77777777" w:rsidR="00DC6A92" w:rsidRPr="00DC6A92" w:rsidRDefault="00DC6A92" w:rsidP="00DC6A92">
            <w:pPr>
              <w:spacing w:after="0"/>
              <w:jc w:val="center"/>
              <w:rPr>
                <w:rFonts w:ascii="Arial" w:hAnsi="Arial" w:cs="Arial"/>
                <w:b/>
                <w:bCs/>
                <w:sz w:val="20"/>
                <w:szCs w:val="20"/>
              </w:rPr>
            </w:pPr>
            <w:r w:rsidRPr="00DC6A92">
              <w:rPr>
                <w:rFonts w:ascii="Arial" w:hAnsi="Arial" w:cs="Arial"/>
                <w:b/>
                <w:bCs/>
                <w:sz w:val="20"/>
                <w:szCs w:val="20"/>
              </w:rPr>
              <w:t>12.100.000</w:t>
            </w:r>
          </w:p>
        </w:tc>
      </w:tr>
    </w:tbl>
    <w:p w14:paraId="111BDD3A" w14:textId="77777777" w:rsidR="00DC6A92" w:rsidRPr="00DC6A92" w:rsidRDefault="00DC6A92" w:rsidP="00DC6A92">
      <w:pPr>
        <w:spacing w:after="200" w:line="240" w:lineRule="auto"/>
        <w:jc w:val="center"/>
        <w:rPr>
          <w:rFonts w:ascii="Arial" w:hAnsi="Arial" w:cs="Arial"/>
          <w:i/>
          <w:iCs/>
          <w:color w:val="1F497D"/>
        </w:rPr>
      </w:pPr>
    </w:p>
    <w:p w14:paraId="7502C452" w14:textId="0126E6BA" w:rsidR="00DC6A92" w:rsidRPr="00DC6A92" w:rsidRDefault="00BB0D72" w:rsidP="00DC6A92">
      <w:pPr>
        <w:spacing w:after="200" w:line="240" w:lineRule="auto"/>
        <w:jc w:val="center"/>
        <w:rPr>
          <w:rFonts w:ascii="Arial" w:hAnsi="Arial" w:cs="Arial"/>
          <w:color w:val="1F497D"/>
          <w:kern w:val="1"/>
          <w:lang w:val="es-ES" w:eastAsia="hi-IN" w:bidi="hi-IN"/>
        </w:rPr>
      </w:pPr>
      <w:bookmarkStart w:id="596" w:name="_Toc68361303"/>
      <w:bookmarkStart w:id="597" w:name="_Toc96463927"/>
      <w:r>
        <w:rPr>
          <w:rFonts w:ascii="Arial" w:hAnsi="Arial" w:cs="Arial"/>
          <w:i/>
          <w:iCs/>
          <w:color w:val="1F497D"/>
        </w:rPr>
        <w:t>Tabel I.7.</w:t>
      </w:r>
      <w:r w:rsidR="00DC6A92" w:rsidRPr="00DC6A92">
        <w:rPr>
          <w:rFonts w:ascii="Arial" w:hAnsi="Arial" w:cs="Arial"/>
          <w:i/>
          <w:iCs/>
          <w:color w:val="1F497D"/>
        </w:rPr>
        <w:t xml:space="preserve"> </w:t>
      </w:r>
      <w:r>
        <w:rPr>
          <w:rFonts w:ascii="Arial" w:hAnsi="Arial" w:cs="Arial"/>
          <w:i/>
          <w:iCs/>
          <w:color w:val="1F497D"/>
        </w:rPr>
        <w:fldChar w:fldCharType="begin"/>
      </w:r>
      <w:r>
        <w:rPr>
          <w:rFonts w:ascii="Arial" w:hAnsi="Arial" w:cs="Arial"/>
          <w:i/>
          <w:iCs/>
          <w:color w:val="1F497D"/>
        </w:rPr>
        <w:instrText xml:space="preserve"> SEQ Tabel_I.7. \* ARABIC </w:instrText>
      </w:r>
      <w:r>
        <w:rPr>
          <w:rFonts w:ascii="Arial" w:hAnsi="Arial" w:cs="Arial"/>
          <w:i/>
          <w:iCs/>
          <w:color w:val="1F497D"/>
        </w:rPr>
        <w:fldChar w:fldCharType="separate"/>
      </w:r>
      <w:r w:rsidR="00BB181C">
        <w:rPr>
          <w:rFonts w:ascii="Arial" w:hAnsi="Arial" w:cs="Arial"/>
          <w:i/>
          <w:iCs/>
          <w:noProof/>
          <w:color w:val="1F497D"/>
        </w:rPr>
        <w:t>31</w:t>
      </w:r>
      <w:r>
        <w:rPr>
          <w:rFonts w:ascii="Arial" w:hAnsi="Arial" w:cs="Arial"/>
          <w:i/>
          <w:iCs/>
          <w:color w:val="1F497D"/>
        </w:rPr>
        <w:fldChar w:fldCharType="end"/>
      </w:r>
      <w:r w:rsidR="00DC6A92" w:rsidRPr="00DC6A92">
        <w:rPr>
          <w:rFonts w:ascii="Arial" w:hAnsi="Arial" w:cs="Arial"/>
          <w:i/>
          <w:iCs/>
          <w:color w:val="1F497D"/>
        </w:rPr>
        <w:t xml:space="preserve"> - </w:t>
      </w:r>
      <w:r w:rsidR="00DC6A92" w:rsidRPr="00DC6A92">
        <w:rPr>
          <w:rFonts w:ascii="Arial" w:hAnsi="Arial" w:cs="Arial"/>
          <w:color w:val="1F497D"/>
          <w:kern w:val="1"/>
          <w:lang w:val="es-ES" w:eastAsia="hi-IN" w:bidi="hi-IN"/>
        </w:rPr>
        <w:t>Costuri de investi</w:t>
      </w:r>
      <w:r w:rsidR="00DC6A92" w:rsidRPr="00DC6A92">
        <w:rPr>
          <w:rFonts w:ascii="Arial" w:hAnsi="Arial" w:cs="Arial"/>
          <w:color w:val="1F497D"/>
          <w:kern w:val="1"/>
          <w:lang w:val="es-ES" w:eastAsia="ro-RO" w:bidi="hi-IN"/>
        </w:rPr>
        <w:t>ți</w:t>
      </w:r>
      <w:r w:rsidR="00DC6A92" w:rsidRPr="00DC6A92">
        <w:rPr>
          <w:rFonts w:ascii="Arial" w:hAnsi="Arial" w:cs="Arial"/>
          <w:color w:val="1F497D"/>
          <w:kern w:val="1"/>
          <w:lang w:val="es-ES" w:eastAsia="hi-IN" w:bidi="hi-IN"/>
        </w:rPr>
        <w:t>i în Centralizatorul investi</w:t>
      </w:r>
      <w:r w:rsidR="00E17D82">
        <w:rPr>
          <w:rFonts w:ascii="Arial" w:hAnsi="Arial" w:cs="Arial"/>
          <w:color w:val="1F497D"/>
          <w:kern w:val="1"/>
          <w:lang w:val="es-ES" w:eastAsia="hi-IN" w:bidi="hi-IN"/>
        </w:rPr>
        <w:t>ț</w:t>
      </w:r>
      <w:r w:rsidR="00DC6A92" w:rsidRPr="00DC6A92">
        <w:rPr>
          <w:rFonts w:ascii="Arial" w:hAnsi="Arial" w:cs="Arial"/>
          <w:color w:val="1F497D"/>
          <w:kern w:val="1"/>
          <w:lang w:val="es-ES" w:eastAsia="hi-IN" w:bidi="hi-IN"/>
        </w:rPr>
        <w:t>iilor totale pe scenarii:</w:t>
      </w:r>
      <w:bookmarkEnd w:id="596"/>
      <w:bookmarkEnd w:id="597"/>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799"/>
        <w:gridCol w:w="1482"/>
        <w:gridCol w:w="1483"/>
        <w:gridCol w:w="1483"/>
        <w:gridCol w:w="1647"/>
      </w:tblGrid>
      <w:tr w:rsidR="00E17D82" w:rsidRPr="00E17D82" w14:paraId="3BD8FCB8" w14:textId="77777777" w:rsidTr="00655DD6">
        <w:trPr>
          <w:jc w:val="center"/>
        </w:trPr>
        <w:tc>
          <w:tcPr>
            <w:tcW w:w="2799" w:type="dxa"/>
            <w:vMerge w:val="restart"/>
            <w:shd w:val="clear" w:color="auto" w:fill="D9D9D9"/>
            <w:vAlign w:val="center"/>
          </w:tcPr>
          <w:p w14:paraId="06327E38" w14:textId="77777777" w:rsidR="00E17D82" w:rsidRPr="00E17D82" w:rsidRDefault="00E17D82" w:rsidP="00E17D82">
            <w:pPr>
              <w:suppressLineNumbers/>
              <w:suppressAutoHyphens/>
              <w:spacing w:after="0" w:line="240" w:lineRule="auto"/>
              <w:jc w:val="center"/>
              <w:rPr>
                <w:rFonts w:ascii="Arial" w:hAnsi="Arial" w:cs="Arial"/>
                <w:b/>
                <w:bCs/>
                <w:kern w:val="1"/>
                <w:sz w:val="20"/>
                <w:szCs w:val="20"/>
                <w:lang w:val="ro-RO" w:eastAsia="zh-CN" w:bidi="hi-IN"/>
              </w:rPr>
            </w:pPr>
            <w:r w:rsidRPr="00E17D82">
              <w:rPr>
                <w:rFonts w:ascii="Arial" w:hAnsi="Arial" w:cs="Arial"/>
                <w:b/>
                <w:bCs/>
                <w:kern w:val="1"/>
                <w:sz w:val="20"/>
                <w:szCs w:val="20"/>
                <w:lang w:val="ro-RO" w:eastAsia="zh-CN" w:bidi="hi-IN"/>
              </w:rPr>
              <w:t>Scenariu</w:t>
            </w:r>
          </w:p>
        </w:tc>
        <w:tc>
          <w:tcPr>
            <w:tcW w:w="6095" w:type="dxa"/>
            <w:gridSpan w:val="4"/>
            <w:shd w:val="clear" w:color="auto" w:fill="D9D9D9"/>
          </w:tcPr>
          <w:p w14:paraId="5A20EAB5" w14:textId="77777777" w:rsidR="00E17D82" w:rsidRPr="00E17D82" w:rsidRDefault="00E17D82" w:rsidP="00E17D82">
            <w:pPr>
              <w:suppressLineNumbers/>
              <w:suppressAutoHyphens/>
              <w:spacing w:after="0" w:line="240" w:lineRule="auto"/>
              <w:jc w:val="center"/>
              <w:rPr>
                <w:rFonts w:ascii="Arial" w:hAnsi="Arial" w:cs="Mangal"/>
                <w:kern w:val="1"/>
                <w:sz w:val="20"/>
                <w:szCs w:val="24"/>
                <w:lang w:val="ro-RO" w:eastAsia="zh-CN" w:bidi="hi-IN"/>
              </w:rPr>
            </w:pPr>
            <w:r w:rsidRPr="00E17D82">
              <w:rPr>
                <w:rFonts w:ascii="Arial" w:hAnsi="Arial" w:cs="Arial"/>
                <w:b/>
                <w:bCs/>
                <w:kern w:val="1"/>
                <w:sz w:val="20"/>
                <w:szCs w:val="20"/>
                <w:lang w:val="ro-RO" w:eastAsia="zh-CN" w:bidi="hi-IN"/>
              </w:rPr>
              <w:t>Costuri (euro)</w:t>
            </w:r>
          </w:p>
        </w:tc>
      </w:tr>
      <w:tr w:rsidR="00E17D82" w:rsidRPr="00E17D82" w14:paraId="5C9E5C68" w14:textId="77777777" w:rsidTr="00655DD6">
        <w:trPr>
          <w:jc w:val="center"/>
        </w:trPr>
        <w:tc>
          <w:tcPr>
            <w:tcW w:w="2799" w:type="dxa"/>
            <w:vMerge/>
            <w:shd w:val="clear" w:color="auto" w:fill="D9D9D9"/>
          </w:tcPr>
          <w:p w14:paraId="0E63E5F4" w14:textId="77777777" w:rsidR="00E17D82" w:rsidRPr="00E17D82" w:rsidRDefault="00E17D82" w:rsidP="00E17D82">
            <w:pPr>
              <w:suppressLineNumbers/>
              <w:suppressAutoHyphens/>
              <w:snapToGrid w:val="0"/>
              <w:spacing w:after="0" w:line="240" w:lineRule="auto"/>
              <w:jc w:val="both"/>
              <w:rPr>
                <w:rFonts w:ascii="Arial" w:hAnsi="Arial" w:cs="Arial"/>
                <w:kern w:val="1"/>
                <w:sz w:val="20"/>
                <w:szCs w:val="20"/>
                <w:lang w:val="ro-RO" w:eastAsia="zh-CN" w:bidi="hi-IN"/>
              </w:rPr>
            </w:pPr>
          </w:p>
        </w:tc>
        <w:tc>
          <w:tcPr>
            <w:tcW w:w="1482" w:type="dxa"/>
            <w:shd w:val="clear" w:color="auto" w:fill="D9D9D9"/>
          </w:tcPr>
          <w:p w14:paraId="29798394" w14:textId="77777777" w:rsidR="00E17D82" w:rsidRPr="00E17D82" w:rsidRDefault="00E17D82" w:rsidP="00E17D82">
            <w:pPr>
              <w:suppressLineNumbers/>
              <w:suppressAutoHyphens/>
              <w:spacing w:after="0" w:line="240" w:lineRule="auto"/>
              <w:jc w:val="center"/>
              <w:rPr>
                <w:rFonts w:ascii="Arial" w:hAnsi="Arial" w:cs="Arial"/>
                <w:b/>
                <w:bCs/>
                <w:kern w:val="1"/>
                <w:sz w:val="20"/>
                <w:szCs w:val="20"/>
                <w:lang w:val="ro-RO" w:eastAsia="zh-CN" w:bidi="hi-IN"/>
              </w:rPr>
            </w:pPr>
            <w:r w:rsidRPr="00E17D82">
              <w:rPr>
                <w:rFonts w:ascii="Arial" w:hAnsi="Arial" w:cs="Arial"/>
                <w:b/>
                <w:bCs/>
                <w:kern w:val="1"/>
                <w:sz w:val="20"/>
                <w:szCs w:val="20"/>
                <w:lang w:val="ro-RO" w:eastAsia="zh-CN" w:bidi="hi-IN"/>
              </w:rPr>
              <w:t>2022-2023</w:t>
            </w:r>
          </w:p>
        </w:tc>
        <w:tc>
          <w:tcPr>
            <w:tcW w:w="1483" w:type="dxa"/>
            <w:shd w:val="clear" w:color="auto" w:fill="D9D9D9"/>
          </w:tcPr>
          <w:p w14:paraId="35B9989D" w14:textId="77777777" w:rsidR="00E17D82" w:rsidRPr="00E17D82" w:rsidRDefault="00E17D82" w:rsidP="00E17D82">
            <w:pPr>
              <w:suppressLineNumbers/>
              <w:suppressAutoHyphens/>
              <w:spacing w:after="0" w:line="240" w:lineRule="auto"/>
              <w:jc w:val="center"/>
              <w:rPr>
                <w:rFonts w:ascii="Arial" w:hAnsi="Arial" w:cs="Arial"/>
                <w:b/>
                <w:bCs/>
                <w:kern w:val="1"/>
                <w:sz w:val="20"/>
                <w:szCs w:val="20"/>
                <w:lang w:val="ro-RO" w:eastAsia="zh-CN" w:bidi="hi-IN"/>
              </w:rPr>
            </w:pPr>
            <w:r w:rsidRPr="00E17D82">
              <w:rPr>
                <w:rFonts w:ascii="Arial" w:hAnsi="Arial" w:cs="Arial"/>
                <w:b/>
                <w:bCs/>
                <w:kern w:val="1"/>
                <w:sz w:val="20"/>
                <w:szCs w:val="20"/>
                <w:lang w:val="ro-RO" w:eastAsia="zh-CN" w:bidi="hi-IN"/>
              </w:rPr>
              <w:t>2024-2027</w:t>
            </w:r>
          </w:p>
        </w:tc>
        <w:tc>
          <w:tcPr>
            <w:tcW w:w="1483" w:type="dxa"/>
            <w:shd w:val="clear" w:color="auto" w:fill="D9D9D9"/>
          </w:tcPr>
          <w:p w14:paraId="2C207C54" w14:textId="77777777" w:rsidR="00E17D82" w:rsidRPr="00E17D82" w:rsidRDefault="00E17D82" w:rsidP="00E17D82">
            <w:pPr>
              <w:suppressLineNumbers/>
              <w:suppressAutoHyphens/>
              <w:spacing w:after="0" w:line="240" w:lineRule="auto"/>
              <w:jc w:val="center"/>
              <w:rPr>
                <w:rFonts w:ascii="Arial" w:hAnsi="Arial" w:cs="Arial"/>
                <w:b/>
                <w:bCs/>
                <w:kern w:val="1"/>
                <w:sz w:val="20"/>
                <w:szCs w:val="20"/>
                <w:lang w:val="ro-RO" w:eastAsia="zh-CN" w:bidi="hi-IN"/>
              </w:rPr>
            </w:pPr>
            <w:r w:rsidRPr="00E17D82">
              <w:rPr>
                <w:rFonts w:ascii="Arial" w:hAnsi="Arial" w:cs="Arial"/>
                <w:b/>
                <w:bCs/>
                <w:kern w:val="1"/>
                <w:sz w:val="20"/>
                <w:szCs w:val="20"/>
                <w:lang w:val="ro-RO" w:eastAsia="zh-CN" w:bidi="hi-IN"/>
              </w:rPr>
              <w:t>2028-2035</w:t>
            </w:r>
          </w:p>
        </w:tc>
        <w:tc>
          <w:tcPr>
            <w:tcW w:w="1647" w:type="dxa"/>
            <w:shd w:val="clear" w:color="auto" w:fill="D9D9D9"/>
          </w:tcPr>
          <w:p w14:paraId="754E6C51" w14:textId="77777777" w:rsidR="00E17D82" w:rsidRPr="00E17D82" w:rsidRDefault="00E17D82" w:rsidP="00E17D82">
            <w:pPr>
              <w:suppressLineNumbers/>
              <w:suppressAutoHyphens/>
              <w:spacing w:after="0" w:line="240" w:lineRule="auto"/>
              <w:jc w:val="center"/>
              <w:rPr>
                <w:rFonts w:ascii="Arial" w:hAnsi="Arial" w:cs="Mangal"/>
                <w:kern w:val="1"/>
                <w:sz w:val="20"/>
                <w:szCs w:val="24"/>
                <w:lang w:val="ro-RO" w:eastAsia="zh-CN" w:bidi="hi-IN"/>
              </w:rPr>
            </w:pPr>
            <w:r w:rsidRPr="00E17D82">
              <w:rPr>
                <w:rFonts w:ascii="Arial" w:hAnsi="Arial" w:cs="Arial"/>
                <w:b/>
                <w:bCs/>
                <w:kern w:val="1"/>
                <w:sz w:val="20"/>
                <w:szCs w:val="20"/>
                <w:lang w:val="ro-RO" w:eastAsia="zh-CN" w:bidi="hi-IN"/>
              </w:rPr>
              <w:t>Total</w:t>
            </w:r>
          </w:p>
        </w:tc>
      </w:tr>
      <w:tr w:rsidR="00E17D82" w:rsidRPr="00E17D82" w14:paraId="216C5238" w14:textId="77777777" w:rsidTr="00655DD6">
        <w:trPr>
          <w:jc w:val="center"/>
        </w:trPr>
        <w:tc>
          <w:tcPr>
            <w:tcW w:w="2799" w:type="dxa"/>
            <w:shd w:val="clear" w:color="auto" w:fill="auto"/>
          </w:tcPr>
          <w:p w14:paraId="424BDAB9" w14:textId="77777777" w:rsidR="00E17D82" w:rsidRPr="00E17D82" w:rsidRDefault="00E17D82" w:rsidP="00E17D82">
            <w:pPr>
              <w:suppressLineNumbers/>
              <w:suppressAutoHyphens/>
              <w:spacing w:after="0" w:line="240" w:lineRule="auto"/>
              <w:jc w:val="both"/>
              <w:rPr>
                <w:rFonts w:ascii="Arial" w:hAnsi="Arial" w:cs="Arial"/>
                <w:b/>
                <w:bCs/>
                <w:kern w:val="1"/>
                <w:sz w:val="20"/>
                <w:szCs w:val="20"/>
                <w:lang w:val="ro-RO" w:eastAsia="zh-CN" w:bidi="hi-IN"/>
              </w:rPr>
            </w:pPr>
            <w:r w:rsidRPr="00E17D82">
              <w:rPr>
                <w:rFonts w:ascii="Arial" w:hAnsi="Arial" w:cs="Arial"/>
                <w:b/>
                <w:bCs/>
                <w:kern w:val="1"/>
                <w:sz w:val="20"/>
                <w:szCs w:val="20"/>
                <w:lang w:val="ro-RO" w:eastAsia="zh-CN" w:bidi="hi-IN"/>
              </w:rPr>
              <w:t>S1 – “Ca până în prezent”</w:t>
            </w:r>
          </w:p>
        </w:tc>
        <w:tc>
          <w:tcPr>
            <w:tcW w:w="1482" w:type="dxa"/>
            <w:shd w:val="clear" w:color="auto" w:fill="auto"/>
            <w:vAlign w:val="center"/>
          </w:tcPr>
          <w:p w14:paraId="7312B5FC" w14:textId="77777777" w:rsidR="00E17D82" w:rsidRPr="00E17D82" w:rsidRDefault="00E17D82" w:rsidP="00E17D82">
            <w:pPr>
              <w:spacing w:after="0" w:line="240" w:lineRule="auto"/>
              <w:jc w:val="center"/>
              <w:rPr>
                <w:rFonts w:ascii="Arial" w:hAnsi="Arial" w:cs="Arial"/>
                <w:b/>
                <w:bCs/>
                <w:sz w:val="20"/>
                <w:szCs w:val="20"/>
              </w:rPr>
            </w:pPr>
            <w:r w:rsidRPr="00E17D82">
              <w:rPr>
                <w:rFonts w:ascii="Arial" w:hAnsi="Arial" w:cs="Arial"/>
                <w:b/>
                <w:bCs/>
                <w:sz w:val="20"/>
                <w:szCs w:val="20"/>
              </w:rPr>
              <w:t>13.047.977,61</w:t>
            </w:r>
          </w:p>
        </w:tc>
        <w:tc>
          <w:tcPr>
            <w:tcW w:w="1483" w:type="dxa"/>
            <w:shd w:val="clear" w:color="auto" w:fill="auto"/>
            <w:vAlign w:val="center"/>
          </w:tcPr>
          <w:p w14:paraId="2FDC6907" w14:textId="77777777" w:rsidR="00E17D82" w:rsidRPr="00E17D82" w:rsidRDefault="00E17D82" w:rsidP="00E17D82">
            <w:pPr>
              <w:spacing w:after="0" w:line="240" w:lineRule="auto"/>
              <w:jc w:val="center"/>
              <w:rPr>
                <w:rFonts w:ascii="Arial" w:hAnsi="Arial" w:cs="Arial"/>
                <w:b/>
                <w:bCs/>
                <w:sz w:val="20"/>
                <w:szCs w:val="20"/>
              </w:rPr>
            </w:pPr>
            <w:r w:rsidRPr="00E17D82">
              <w:rPr>
                <w:rFonts w:ascii="Arial" w:hAnsi="Arial" w:cs="Arial"/>
                <w:b/>
                <w:bCs/>
                <w:sz w:val="20"/>
                <w:szCs w:val="20"/>
              </w:rPr>
              <w:t>9.442.846,67</w:t>
            </w:r>
          </w:p>
        </w:tc>
        <w:tc>
          <w:tcPr>
            <w:tcW w:w="1483" w:type="dxa"/>
            <w:vAlign w:val="center"/>
          </w:tcPr>
          <w:p w14:paraId="35B5FB59" w14:textId="77777777" w:rsidR="00E17D82" w:rsidRPr="00E17D82" w:rsidRDefault="00E17D82" w:rsidP="00E17D82">
            <w:pPr>
              <w:spacing w:after="0" w:line="240" w:lineRule="auto"/>
              <w:jc w:val="center"/>
              <w:rPr>
                <w:rFonts w:ascii="Arial" w:hAnsi="Arial" w:cs="Arial"/>
                <w:b/>
                <w:bCs/>
                <w:sz w:val="20"/>
                <w:szCs w:val="20"/>
              </w:rPr>
            </w:pPr>
            <w:r w:rsidRPr="00E17D82">
              <w:rPr>
                <w:rFonts w:ascii="Arial" w:hAnsi="Arial" w:cs="Arial"/>
                <w:b/>
                <w:bCs/>
                <w:sz w:val="20"/>
                <w:szCs w:val="20"/>
              </w:rPr>
              <w:t>0</w:t>
            </w:r>
          </w:p>
        </w:tc>
        <w:tc>
          <w:tcPr>
            <w:tcW w:w="1647" w:type="dxa"/>
            <w:shd w:val="clear" w:color="auto" w:fill="auto"/>
            <w:vAlign w:val="center"/>
          </w:tcPr>
          <w:p w14:paraId="21785BF4" w14:textId="77777777" w:rsidR="00E17D82" w:rsidRPr="00E17D82" w:rsidRDefault="00E17D82" w:rsidP="00E17D82">
            <w:pPr>
              <w:spacing w:after="0" w:line="240" w:lineRule="auto"/>
              <w:jc w:val="center"/>
              <w:rPr>
                <w:rFonts w:ascii="Arial" w:hAnsi="Arial" w:cs="Arial"/>
                <w:b/>
                <w:bCs/>
                <w:sz w:val="20"/>
                <w:szCs w:val="20"/>
              </w:rPr>
            </w:pPr>
            <w:r w:rsidRPr="00E17D82">
              <w:rPr>
                <w:rFonts w:ascii="Arial" w:hAnsi="Arial" w:cs="Arial"/>
                <w:b/>
                <w:bCs/>
                <w:sz w:val="20"/>
                <w:szCs w:val="20"/>
              </w:rPr>
              <w:t>22.490.824,28</w:t>
            </w:r>
          </w:p>
        </w:tc>
      </w:tr>
      <w:tr w:rsidR="00E17D82" w:rsidRPr="00E17D82" w14:paraId="448C8479" w14:textId="77777777" w:rsidTr="00655DD6">
        <w:trPr>
          <w:jc w:val="center"/>
        </w:trPr>
        <w:tc>
          <w:tcPr>
            <w:tcW w:w="2799" w:type="dxa"/>
            <w:shd w:val="clear" w:color="auto" w:fill="auto"/>
          </w:tcPr>
          <w:p w14:paraId="539AF91F" w14:textId="77777777" w:rsidR="00E17D82" w:rsidRPr="00E17D82" w:rsidRDefault="00E17D82" w:rsidP="00E17D82">
            <w:pPr>
              <w:suppressAutoHyphens/>
              <w:autoSpaceDE w:val="0"/>
              <w:spacing w:after="0" w:line="360" w:lineRule="auto"/>
              <w:jc w:val="both"/>
              <w:rPr>
                <w:rFonts w:ascii="Arial" w:eastAsia="Calibri" w:hAnsi="Arial" w:cs="Arial"/>
                <w:color w:val="000000"/>
                <w:sz w:val="20"/>
                <w:szCs w:val="20"/>
                <w:lang w:eastAsia="zh-CN"/>
              </w:rPr>
            </w:pPr>
            <w:r w:rsidRPr="00E17D82">
              <w:rPr>
                <w:rFonts w:ascii="Arial" w:eastAsia="Arial" w:hAnsi="Arial" w:cs="Arial"/>
                <w:color w:val="000000"/>
                <w:sz w:val="20"/>
                <w:szCs w:val="20"/>
                <w:lang w:eastAsia="zh-CN"/>
              </w:rPr>
              <w:t>S2 – “Politica Minimalistă”</w:t>
            </w:r>
          </w:p>
        </w:tc>
        <w:tc>
          <w:tcPr>
            <w:tcW w:w="1482" w:type="dxa"/>
            <w:shd w:val="clear" w:color="auto" w:fill="auto"/>
            <w:vAlign w:val="center"/>
          </w:tcPr>
          <w:p w14:paraId="7B53FEBD" w14:textId="77777777" w:rsidR="00E17D82" w:rsidRPr="00E17D82" w:rsidRDefault="00E17D82" w:rsidP="00E17D82">
            <w:pPr>
              <w:spacing w:after="0" w:line="240" w:lineRule="auto"/>
              <w:jc w:val="center"/>
              <w:rPr>
                <w:rFonts w:ascii="Arial" w:hAnsi="Arial" w:cs="Arial"/>
                <w:sz w:val="20"/>
                <w:szCs w:val="20"/>
              </w:rPr>
            </w:pPr>
            <w:r w:rsidRPr="00E17D82">
              <w:rPr>
                <w:rFonts w:ascii="Arial" w:hAnsi="Arial" w:cs="Arial"/>
                <w:sz w:val="20"/>
                <w:szCs w:val="20"/>
              </w:rPr>
              <w:t>5.161.000</w:t>
            </w:r>
          </w:p>
        </w:tc>
        <w:tc>
          <w:tcPr>
            <w:tcW w:w="1483" w:type="dxa"/>
            <w:shd w:val="clear" w:color="auto" w:fill="auto"/>
            <w:vAlign w:val="center"/>
          </w:tcPr>
          <w:p w14:paraId="606088C0" w14:textId="77777777" w:rsidR="00E17D82" w:rsidRPr="00E17D82" w:rsidRDefault="00E17D82" w:rsidP="00E17D82">
            <w:pPr>
              <w:spacing w:after="0" w:line="240" w:lineRule="auto"/>
              <w:jc w:val="center"/>
              <w:rPr>
                <w:rFonts w:ascii="Arial" w:hAnsi="Arial" w:cs="Arial"/>
                <w:sz w:val="20"/>
                <w:szCs w:val="20"/>
              </w:rPr>
            </w:pPr>
            <w:r w:rsidRPr="00E17D82">
              <w:rPr>
                <w:rFonts w:ascii="Arial" w:hAnsi="Arial" w:cs="Arial"/>
                <w:sz w:val="20"/>
                <w:szCs w:val="20"/>
              </w:rPr>
              <w:t>17.960.000</w:t>
            </w:r>
          </w:p>
        </w:tc>
        <w:tc>
          <w:tcPr>
            <w:tcW w:w="1483" w:type="dxa"/>
            <w:vAlign w:val="center"/>
          </w:tcPr>
          <w:p w14:paraId="726B23C2" w14:textId="77777777" w:rsidR="00E17D82" w:rsidRPr="00E17D82" w:rsidRDefault="00E17D82" w:rsidP="00E17D82">
            <w:pPr>
              <w:spacing w:after="0" w:line="240" w:lineRule="auto"/>
              <w:jc w:val="center"/>
              <w:rPr>
                <w:rFonts w:ascii="Arial" w:hAnsi="Arial" w:cs="Arial"/>
                <w:sz w:val="20"/>
                <w:szCs w:val="20"/>
              </w:rPr>
            </w:pPr>
            <w:r w:rsidRPr="00E17D82">
              <w:rPr>
                <w:rFonts w:ascii="Arial" w:hAnsi="Arial" w:cs="Arial"/>
                <w:sz w:val="20"/>
                <w:szCs w:val="20"/>
              </w:rPr>
              <w:t>20.000</w:t>
            </w:r>
          </w:p>
        </w:tc>
        <w:tc>
          <w:tcPr>
            <w:tcW w:w="1647" w:type="dxa"/>
            <w:shd w:val="clear" w:color="auto" w:fill="auto"/>
            <w:vAlign w:val="center"/>
          </w:tcPr>
          <w:p w14:paraId="1347CCE7" w14:textId="77777777" w:rsidR="00E17D82" w:rsidRPr="00E17D82" w:rsidRDefault="00E17D82" w:rsidP="00E17D82">
            <w:pPr>
              <w:spacing w:after="0" w:line="240" w:lineRule="auto"/>
              <w:jc w:val="center"/>
              <w:rPr>
                <w:rFonts w:ascii="Arial" w:hAnsi="Arial" w:cs="Arial"/>
                <w:sz w:val="20"/>
                <w:szCs w:val="20"/>
              </w:rPr>
            </w:pPr>
            <w:r w:rsidRPr="00E17D82">
              <w:rPr>
                <w:rFonts w:ascii="Arial" w:hAnsi="Arial" w:cs="Arial"/>
                <w:sz w:val="20"/>
                <w:szCs w:val="20"/>
              </w:rPr>
              <w:t>23.141.000</w:t>
            </w:r>
          </w:p>
        </w:tc>
      </w:tr>
      <w:tr w:rsidR="00E17D82" w:rsidRPr="00E17D82" w14:paraId="5CDBF6AE" w14:textId="77777777" w:rsidTr="00655DD6">
        <w:trPr>
          <w:jc w:val="center"/>
        </w:trPr>
        <w:tc>
          <w:tcPr>
            <w:tcW w:w="2799" w:type="dxa"/>
            <w:shd w:val="clear" w:color="auto" w:fill="auto"/>
          </w:tcPr>
          <w:p w14:paraId="5DC2E588" w14:textId="77777777" w:rsidR="00E17D82" w:rsidRPr="00E17D82" w:rsidRDefault="00E17D82" w:rsidP="00E17D82">
            <w:pPr>
              <w:suppressAutoHyphens/>
              <w:autoSpaceDE w:val="0"/>
              <w:spacing w:after="0" w:line="360" w:lineRule="auto"/>
              <w:jc w:val="both"/>
              <w:rPr>
                <w:rFonts w:ascii="Arial" w:eastAsia="Calibri" w:hAnsi="Arial" w:cs="Arial"/>
                <w:b/>
                <w:bCs/>
                <w:color w:val="000000"/>
                <w:sz w:val="20"/>
                <w:szCs w:val="20"/>
                <w:lang w:eastAsia="zh-CN"/>
              </w:rPr>
            </w:pPr>
            <w:r w:rsidRPr="00E17D82">
              <w:rPr>
                <w:rFonts w:ascii="Arial" w:eastAsia="Arial" w:hAnsi="Arial" w:cs="Arial"/>
                <w:b/>
                <w:bCs/>
                <w:color w:val="000000"/>
                <w:sz w:val="20"/>
                <w:szCs w:val="20"/>
                <w:lang w:eastAsia="zh-CN"/>
              </w:rPr>
              <w:t>S2 (inclusiv S1)</w:t>
            </w:r>
          </w:p>
        </w:tc>
        <w:tc>
          <w:tcPr>
            <w:tcW w:w="1482" w:type="dxa"/>
            <w:shd w:val="clear" w:color="auto" w:fill="auto"/>
            <w:vAlign w:val="center"/>
          </w:tcPr>
          <w:p w14:paraId="18EC6880" w14:textId="77777777" w:rsidR="00E17D82" w:rsidRPr="00E17D82" w:rsidRDefault="00E17D82" w:rsidP="00E17D82">
            <w:pPr>
              <w:spacing w:after="0" w:line="240" w:lineRule="auto"/>
              <w:jc w:val="center"/>
              <w:rPr>
                <w:rFonts w:ascii="Arial" w:hAnsi="Arial" w:cs="Arial"/>
                <w:b/>
                <w:bCs/>
                <w:color w:val="000000"/>
                <w:sz w:val="20"/>
                <w:szCs w:val="20"/>
              </w:rPr>
            </w:pPr>
            <w:r w:rsidRPr="00E17D82">
              <w:rPr>
                <w:rFonts w:ascii="Arial" w:hAnsi="Arial" w:cs="Arial"/>
                <w:b/>
                <w:bCs/>
                <w:color w:val="000000"/>
                <w:sz w:val="20"/>
                <w:szCs w:val="20"/>
              </w:rPr>
              <w:t>18.208.978</w:t>
            </w:r>
          </w:p>
        </w:tc>
        <w:tc>
          <w:tcPr>
            <w:tcW w:w="1483" w:type="dxa"/>
            <w:shd w:val="clear" w:color="auto" w:fill="auto"/>
            <w:vAlign w:val="center"/>
          </w:tcPr>
          <w:p w14:paraId="4071C506" w14:textId="77777777" w:rsidR="00E17D82" w:rsidRPr="00E17D82" w:rsidRDefault="00E17D82" w:rsidP="00E17D82">
            <w:pPr>
              <w:spacing w:after="0" w:line="240" w:lineRule="auto"/>
              <w:jc w:val="center"/>
              <w:rPr>
                <w:rFonts w:ascii="Arial" w:hAnsi="Arial" w:cs="Arial"/>
                <w:b/>
                <w:bCs/>
                <w:color w:val="000000"/>
                <w:sz w:val="20"/>
                <w:szCs w:val="20"/>
              </w:rPr>
            </w:pPr>
            <w:r w:rsidRPr="00E17D82">
              <w:rPr>
                <w:rFonts w:ascii="Arial" w:hAnsi="Arial" w:cs="Arial"/>
                <w:b/>
                <w:bCs/>
                <w:color w:val="000000"/>
                <w:sz w:val="20"/>
                <w:szCs w:val="20"/>
              </w:rPr>
              <w:t>27.402.847</w:t>
            </w:r>
          </w:p>
        </w:tc>
        <w:tc>
          <w:tcPr>
            <w:tcW w:w="1483" w:type="dxa"/>
            <w:vAlign w:val="center"/>
          </w:tcPr>
          <w:p w14:paraId="67A05ECE" w14:textId="77777777" w:rsidR="00E17D82" w:rsidRPr="00E17D82" w:rsidRDefault="00E17D82" w:rsidP="00E17D82">
            <w:pPr>
              <w:spacing w:after="0" w:line="240" w:lineRule="auto"/>
              <w:jc w:val="center"/>
              <w:rPr>
                <w:rFonts w:ascii="Arial" w:hAnsi="Arial" w:cs="Arial"/>
                <w:b/>
                <w:bCs/>
                <w:color w:val="000000"/>
                <w:sz w:val="20"/>
                <w:szCs w:val="20"/>
              </w:rPr>
            </w:pPr>
            <w:r w:rsidRPr="00E17D82">
              <w:rPr>
                <w:rFonts w:ascii="Arial" w:hAnsi="Arial" w:cs="Arial"/>
                <w:b/>
                <w:bCs/>
                <w:color w:val="000000"/>
                <w:sz w:val="20"/>
                <w:szCs w:val="20"/>
              </w:rPr>
              <w:t>20.000</w:t>
            </w:r>
          </w:p>
        </w:tc>
        <w:tc>
          <w:tcPr>
            <w:tcW w:w="1647" w:type="dxa"/>
            <w:shd w:val="clear" w:color="auto" w:fill="auto"/>
            <w:vAlign w:val="center"/>
          </w:tcPr>
          <w:p w14:paraId="0E61E6B2" w14:textId="77777777" w:rsidR="00E17D82" w:rsidRPr="00E17D82" w:rsidRDefault="00E17D82" w:rsidP="00E17D82">
            <w:pPr>
              <w:spacing w:after="0" w:line="240" w:lineRule="auto"/>
              <w:jc w:val="center"/>
              <w:rPr>
                <w:rFonts w:ascii="Arial" w:hAnsi="Arial" w:cs="Arial"/>
                <w:b/>
                <w:bCs/>
                <w:sz w:val="20"/>
                <w:szCs w:val="20"/>
              </w:rPr>
            </w:pPr>
            <w:r w:rsidRPr="00E17D82">
              <w:rPr>
                <w:rFonts w:ascii="Arial" w:hAnsi="Arial" w:cs="Arial"/>
                <w:b/>
                <w:bCs/>
                <w:sz w:val="20"/>
                <w:szCs w:val="20"/>
              </w:rPr>
              <w:t>45.631.824</w:t>
            </w:r>
          </w:p>
        </w:tc>
      </w:tr>
      <w:tr w:rsidR="00E17D82" w:rsidRPr="00E17D82" w14:paraId="2A086B93" w14:textId="77777777" w:rsidTr="00655DD6">
        <w:trPr>
          <w:jc w:val="center"/>
        </w:trPr>
        <w:tc>
          <w:tcPr>
            <w:tcW w:w="2799" w:type="dxa"/>
            <w:shd w:val="clear" w:color="auto" w:fill="auto"/>
          </w:tcPr>
          <w:p w14:paraId="7D935E01" w14:textId="77777777" w:rsidR="00E17D82" w:rsidRPr="00E17D82" w:rsidRDefault="00E17D82" w:rsidP="00E17D82">
            <w:pPr>
              <w:suppressAutoHyphens/>
              <w:autoSpaceDE w:val="0"/>
              <w:spacing w:after="0" w:line="360" w:lineRule="auto"/>
              <w:jc w:val="both"/>
              <w:rPr>
                <w:rFonts w:ascii="Arial" w:eastAsia="Calibri" w:hAnsi="Arial" w:cs="Arial"/>
                <w:color w:val="000000"/>
                <w:sz w:val="20"/>
                <w:szCs w:val="20"/>
                <w:lang w:eastAsia="zh-CN"/>
              </w:rPr>
            </w:pPr>
            <w:r w:rsidRPr="00E17D82">
              <w:rPr>
                <w:rFonts w:ascii="Arial" w:eastAsia="Arial" w:hAnsi="Arial" w:cs="Arial"/>
                <w:color w:val="000000"/>
                <w:sz w:val="20"/>
                <w:szCs w:val="20"/>
                <w:lang w:eastAsia="zh-CN"/>
              </w:rPr>
              <w:t>S3 – “Politica angajantă”</w:t>
            </w:r>
          </w:p>
        </w:tc>
        <w:tc>
          <w:tcPr>
            <w:tcW w:w="1482" w:type="dxa"/>
            <w:shd w:val="clear" w:color="auto" w:fill="auto"/>
            <w:vAlign w:val="center"/>
          </w:tcPr>
          <w:p w14:paraId="198A42AD" w14:textId="77777777" w:rsidR="00E17D82" w:rsidRPr="00E17D82" w:rsidRDefault="00E17D82" w:rsidP="00E17D82">
            <w:pPr>
              <w:spacing w:after="0" w:line="240" w:lineRule="auto"/>
              <w:jc w:val="center"/>
              <w:rPr>
                <w:rFonts w:ascii="Arial" w:hAnsi="Arial" w:cs="Arial"/>
                <w:sz w:val="20"/>
                <w:szCs w:val="20"/>
              </w:rPr>
            </w:pPr>
            <w:r w:rsidRPr="00E17D82">
              <w:rPr>
                <w:rFonts w:ascii="Arial" w:hAnsi="Arial" w:cs="Arial"/>
                <w:sz w:val="20"/>
                <w:szCs w:val="20"/>
              </w:rPr>
              <w:t>0</w:t>
            </w:r>
          </w:p>
        </w:tc>
        <w:tc>
          <w:tcPr>
            <w:tcW w:w="1483" w:type="dxa"/>
            <w:shd w:val="clear" w:color="auto" w:fill="auto"/>
            <w:vAlign w:val="center"/>
          </w:tcPr>
          <w:p w14:paraId="682CB97E" w14:textId="77777777" w:rsidR="00E17D82" w:rsidRPr="00E17D82" w:rsidRDefault="00E17D82" w:rsidP="00E17D82">
            <w:pPr>
              <w:spacing w:after="0" w:line="240" w:lineRule="auto"/>
              <w:jc w:val="center"/>
              <w:rPr>
                <w:rFonts w:ascii="Arial" w:hAnsi="Arial" w:cs="Arial"/>
                <w:sz w:val="20"/>
                <w:szCs w:val="20"/>
              </w:rPr>
            </w:pPr>
            <w:r w:rsidRPr="00E17D82">
              <w:rPr>
                <w:rFonts w:ascii="Arial" w:hAnsi="Arial" w:cs="Arial"/>
                <w:sz w:val="20"/>
                <w:szCs w:val="20"/>
              </w:rPr>
              <w:t>2.640.000</w:t>
            </w:r>
          </w:p>
        </w:tc>
        <w:tc>
          <w:tcPr>
            <w:tcW w:w="1483" w:type="dxa"/>
            <w:vAlign w:val="center"/>
          </w:tcPr>
          <w:p w14:paraId="16D4FE07" w14:textId="77777777" w:rsidR="00E17D82" w:rsidRPr="00E17D82" w:rsidRDefault="00E17D82" w:rsidP="00E17D82">
            <w:pPr>
              <w:spacing w:after="0" w:line="240" w:lineRule="auto"/>
              <w:jc w:val="center"/>
              <w:rPr>
                <w:rFonts w:ascii="Arial" w:hAnsi="Arial" w:cs="Arial"/>
                <w:sz w:val="20"/>
                <w:szCs w:val="20"/>
              </w:rPr>
            </w:pPr>
            <w:r w:rsidRPr="00E17D82">
              <w:rPr>
                <w:rFonts w:ascii="Arial" w:hAnsi="Arial" w:cs="Arial"/>
                <w:sz w:val="20"/>
                <w:szCs w:val="20"/>
              </w:rPr>
              <w:t>9.460.000</w:t>
            </w:r>
          </w:p>
        </w:tc>
        <w:tc>
          <w:tcPr>
            <w:tcW w:w="1647" w:type="dxa"/>
            <w:shd w:val="clear" w:color="auto" w:fill="auto"/>
            <w:vAlign w:val="center"/>
          </w:tcPr>
          <w:p w14:paraId="04221190" w14:textId="77777777" w:rsidR="00E17D82" w:rsidRPr="00E17D82" w:rsidRDefault="00E17D82" w:rsidP="00E17D82">
            <w:pPr>
              <w:spacing w:after="0" w:line="240" w:lineRule="auto"/>
              <w:jc w:val="center"/>
              <w:rPr>
                <w:rFonts w:ascii="Arial" w:hAnsi="Arial" w:cs="Arial"/>
                <w:sz w:val="20"/>
                <w:szCs w:val="20"/>
              </w:rPr>
            </w:pPr>
            <w:r w:rsidRPr="00E17D82">
              <w:rPr>
                <w:rFonts w:ascii="Arial" w:hAnsi="Arial" w:cs="Arial"/>
                <w:sz w:val="20"/>
                <w:szCs w:val="20"/>
              </w:rPr>
              <w:t>12.100.000</w:t>
            </w:r>
          </w:p>
        </w:tc>
      </w:tr>
      <w:tr w:rsidR="00E17D82" w:rsidRPr="00E17D82" w14:paraId="27843CFA" w14:textId="77777777" w:rsidTr="00655DD6">
        <w:trPr>
          <w:jc w:val="center"/>
        </w:trPr>
        <w:tc>
          <w:tcPr>
            <w:tcW w:w="2799" w:type="dxa"/>
            <w:shd w:val="clear" w:color="auto" w:fill="auto"/>
          </w:tcPr>
          <w:p w14:paraId="2013AAF7" w14:textId="77777777" w:rsidR="00E17D82" w:rsidRPr="00E17D82" w:rsidRDefault="00E17D82" w:rsidP="00E17D82">
            <w:pPr>
              <w:suppressAutoHyphens/>
              <w:autoSpaceDE w:val="0"/>
              <w:spacing w:after="0" w:line="360" w:lineRule="auto"/>
              <w:jc w:val="both"/>
              <w:rPr>
                <w:rFonts w:ascii="Arial" w:eastAsia="Calibri" w:hAnsi="Arial" w:cs="Arial"/>
                <w:b/>
                <w:bCs/>
                <w:color w:val="000000"/>
                <w:sz w:val="20"/>
                <w:szCs w:val="20"/>
                <w:lang w:eastAsia="zh-CN"/>
              </w:rPr>
            </w:pPr>
            <w:r w:rsidRPr="00E17D82">
              <w:rPr>
                <w:rFonts w:ascii="Arial" w:eastAsia="Arial" w:hAnsi="Arial" w:cs="Arial"/>
                <w:b/>
                <w:bCs/>
                <w:color w:val="000000"/>
                <w:sz w:val="20"/>
                <w:szCs w:val="20"/>
                <w:lang w:eastAsia="zh-CN"/>
              </w:rPr>
              <w:t>S3 (inclusiv S1 si S2)</w:t>
            </w:r>
          </w:p>
        </w:tc>
        <w:tc>
          <w:tcPr>
            <w:tcW w:w="1482" w:type="dxa"/>
            <w:shd w:val="clear" w:color="auto" w:fill="auto"/>
            <w:vAlign w:val="center"/>
          </w:tcPr>
          <w:p w14:paraId="2D9280ED" w14:textId="77777777" w:rsidR="00E17D82" w:rsidRPr="00E17D82" w:rsidRDefault="00E17D82" w:rsidP="00E17D82">
            <w:pPr>
              <w:spacing w:after="0" w:line="240" w:lineRule="auto"/>
              <w:jc w:val="center"/>
              <w:rPr>
                <w:rFonts w:ascii="Arial" w:hAnsi="Arial" w:cs="Arial"/>
                <w:b/>
                <w:bCs/>
                <w:color w:val="000000"/>
                <w:sz w:val="20"/>
                <w:szCs w:val="20"/>
              </w:rPr>
            </w:pPr>
            <w:r w:rsidRPr="00E17D82">
              <w:rPr>
                <w:rFonts w:ascii="Arial" w:hAnsi="Arial" w:cs="Arial"/>
                <w:b/>
                <w:bCs/>
                <w:color w:val="000000"/>
                <w:sz w:val="20"/>
                <w:szCs w:val="20"/>
              </w:rPr>
              <w:t>18.208.977,61</w:t>
            </w:r>
          </w:p>
        </w:tc>
        <w:tc>
          <w:tcPr>
            <w:tcW w:w="1483" w:type="dxa"/>
            <w:shd w:val="clear" w:color="auto" w:fill="auto"/>
            <w:vAlign w:val="center"/>
          </w:tcPr>
          <w:p w14:paraId="6868CA9A" w14:textId="77777777" w:rsidR="00E17D82" w:rsidRPr="00E17D82" w:rsidRDefault="00E17D82" w:rsidP="00E17D82">
            <w:pPr>
              <w:spacing w:after="0" w:line="240" w:lineRule="auto"/>
              <w:jc w:val="center"/>
              <w:rPr>
                <w:rFonts w:ascii="Arial" w:hAnsi="Arial" w:cs="Arial"/>
                <w:b/>
                <w:bCs/>
                <w:color w:val="000000"/>
                <w:sz w:val="20"/>
                <w:szCs w:val="20"/>
              </w:rPr>
            </w:pPr>
            <w:r w:rsidRPr="00E17D82">
              <w:rPr>
                <w:rFonts w:ascii="Arial" w:hAnsi="Arial" w:cs="Arial"/>
                <w:b/>
                <w:bCs/>
                <w:color w:val="000000"/>
                <w:sz w:val="20"/>
                <w:szCs w:val="20"/>
              </w:rPr>
              <w:t>30.042.846,67</w:t>
            </w:r>
          </w:p>
        </w:tc>
        <w:tc>
          <w:tcPr>
            <w:tcW w:w="1483" w:type="dxa"/>
            <w:vAlign w:val="center"/>
          </w:tcPr>
          <w:p w14:paraId="1731733A" w14:textId="77777777" w:rsidR="00E17D82" w:rsidRPr="00E17D82" w:rsidRDefault="00E17D82" w:rsidP="00E17D82">
            <w:pPr>
              <w:spacing w:after="0" w:line="240" w:lineRule="auto"/>
              <w:jc w:val="center"/>
              <w:rPr>
                <w:rFonts w:ascii="Arial" w:hAnsi="Arial" w:cs="Arial"/>
                <w:b/>
                <w:bCs/>
                <w:color w:val="000000"/>
                <w:sz w:val="20"/>
                <w:szCs w:val="20"/>
              </w:rPr>
            </w:pPr>
            <w:r w:rsidRPr="00E17D82">
              <w:rPr>
                <w:rFonts w:ascii="Arial" w:hAnsi="Arial" w:cs="Arial"/>
                <w:b/>
                <w:bCs/>
                <w:color w:val="000000"/>
                <w:sz w:val="20"/>
                <w:szCs w:val="20"/>
              </w:rPr>
              <w:t>9.480.000,00</w:t>
            </w:r>
          </w:p>
        </w:tc>
        <w:tc>
          <w:tcPr>
            <w:tcW w:w="1647" w:type="dxa"/>
            <w:shd w:val="clear" w:color="auto" w:fill="auto"/>
            <w:vAlign w:val="center"/>
          </w:tcPr>
          <w:p w14:paraId="5F1E4685" w14:textId="77777777" w:rsidR="00E17D82" w:rsidRPr="00E17D82" w:rsidRDefault="00E17D82" w:rsidP="00E17D82">
            <w:pPr>
              <w:spacing w:after="0" w:line="240" w:lineRule="auto"/>
              <w:jc w:val="center"/>
              <w:rPr>
                <w:rFonts w:ascii="Arial" w:hAnsi="Arial" w:cs="Arial"/>
                <w:b/>
                <w:bCs/>
                <w:sz w:val="20"/>
                <w:szCs w:val="20"/>
              </w:rPr>
            </w:pPr>
            <w:r w:rsidRPr="00E17D82">
              <w:rPr>
                <w:rFonts w:ascii="Arial" w:hAnsi="Arial" w:cs="Arial"/>
                <w:b/>
                <w:bCs/>
                <w:sz w:val="20"/>
                <w:szCs w:val="20"/>
              </w:rPr>
              <w:t>57.731.824,28</w:t>
            </w:r>
          </w:p>
        </w:tc>
      </w:tr>
    </w:tbl>
    <w:p w14:paraId="17240270" w14:textId="77777777" w:rsidR="00DC6A92" w:rsidRPr="00DC6A92" w:rsidRDefault="00DC6A92" w:rsidP="00DC6A92">
      <w:pPr>
        <w:suppressAutoHyphens/>
        <w:spacing w:after="0" w:line="360" w:lineRule="auto"/>
        <w:jc w:val="both"/>
        <w:rPr>
          <w:rFonts w:ascii="Arial" w:eastAsia="Times New Roman" w:hAnsi="Arial" w:cs="Arial"/>
          <w:sz w:val="24"/>
          <w:szCs w:val="24"/>
          <w:lang w:val="x-none" w:eastAsia="ro-RO"/>
        </w:rPr>
      </w:pPr>
    </w:p>
    <w:p w14:paraId="5B7E3E54" w14:textId="77777777" w:rsidR="00DC6A92" w:rsidRDefault="00DC6A92" w:rsidP="00DC6A92">
      <w:pPr>
        <w:rPr>
          <w:lang w:eastAsia="ro-RO" w:bidi="hi-IN"/>
        </w:rPr>
      </w:pPr>
    </w:p>
    <w:p w14:paraId="152A0CD6" w14:textId="77777777" w:rsidR="00BE7D8E" w:rsidRDefault="00BE7D8E" w:rsidP="00DC6A92">
      <w:pPr>
        <w:rPr>
          <w:lang w:eastAsia="ro-RO" w:bidi="hi-IN"/>
        </w:rPr>
      </w:pPr>
    </w:p>
    <w:p w14:paraId="093B2BF0" w14:textId="77777777" w:rsidR="00BE7D8E" w:rsidRDefault="00BE7D8E" w:rsidP="00DC6A92">
      <w:pPr>
        <w:rPr>
          <w:lang w:eastAsia="ro-RO" w:bidi="hi-IN"/>
        </w:rPr>
      </w:pPr>
    </w:p>
    <w:p w14:paraId="3E114086" w14:textId="77777777" w:rsidR="00BE7D8E" w:rsidRDefault="00BE7D8E" w:rsidP="00DC6A92">
      <w:pPr>
        <w:rPr>
          <w:lang w:eastAsia="ro-RO" w:bidi="hi-IN"/>
        </w:rPr>
      </w:pPr>
    </w:p>
    <w:p w14:paraId="36E52035" w14:textId="77777777" w:rsidR="00BE7D8E" w:rsidRDefault="00BE7D8E" w:rsidP="00DC6A92">
      <w:pPr>
        <w:rPr>
          <w:lang w:eastAsia="ro-RO" w:bidi="hi-IN"/>
        </w:rPr>
      </w:pPr>
    </w:p>
    <w:p w14:paraId="0F116EB1" w14:textId="77777777" w:rsidR="00BE7D8E" w:rsidRDefault="00BE7D8E" w:rsidP="00DC6A92">
      <w:pPr>
        <w:rPr>
          <w:lang w:eastAsia="ro-RO" w:bidi="hi-IN"/>
        </w:rPr>
      </w:pPr>
    </w:p>
    <w:p w14:paraId="2AD0432F" w14:textId="77777777" w:rsidR="00BE7D8E" w:rsidRDefault="00BE7D8E" w:rsidP="00DC6A92">
      <w:pPr>
        <w:rPr>
          <w:lang w:eastAsia="ro-RO" w:bidi="hi-IN"/>
        </w:rPr>
      </w:pPr>
    </w:p>
    <w:p w14:paraId="12AE3579" w14:textId="77777777" w:rsidR="00BE7D8E" w:rsidRDefault="00BE7D8E" w:rsidP="00DC6A92">
      <w:pPr>
        <w:rPr>
          <w:lang w:eastAsia="ro-RO" w:bidi="hi-IN"/>
        </w:rPr>
      </w:pPr>
    </w:p>
    <w:p w14:paraId="40461CCD" w14:textId="77777777" w:rsidR="00BE7D8E" w:rsidRDefault="00BE7D8E" w:rsidP="00DC6A92">
      <w:pPr>
        <w:rPr>
          <w:lang w:eastAsia="ro-RO" w:bidi="hi-IN"/>
        </w:rPr>
      </w:pPr>
    </w:p>
    <w:p w14:paraId="5CCBC700" w14:textId="77777777" w:rsidR="00BE7D8E" w:rsidRDefault="00BE7D8E" w:rsidP="00DC6A92">
      <w:pPr>
        <w:rPr>
          <w:lang w:eastAsia="ro-RO" w:bidi="hi-IN"/>
        </w:rPr>
      </w:pPr>
    </w:p>
    <w:p w14:paraId="109E45BC" w14:textId="77777777" w:rsidR="00BE7D8E" w:rsidRDefault="00BE7D8E" w:rsidP="00DC6A92">
      <w:pPr>
        <w:rPr>
          <w:lang w:eastAsia="ro-RO" w:bidi="hi-IN"/>
        </w:rPr>
      </w:pPr>
    </w:p>
    <w:p w14:paraId="22E60501" w14:textId="77777777" w:rsidR="00BE7D8E" w:rsidRDefault="00BE7D8E" w:rsidP="00DC6A92">
      <w:pPr>
        <w:rPr>
          <w:lang w:eastAsia="ro-RO" w:bidi="hi-IN"/>
        </w:rPr>
      </w:pPr>
    </w:p>
    <w:p w14:paraId="6D5ACAAE" w14:textId="77777777" w:rsidR="00BE7D8E" w:rsidRDefault="00BE7D8E" w:rsidP="00DC6A92">
      <w:pPr>
        <w:rPr>
          <w:lang w:eastAsia="ro-RO" w:bidi="hi-IN"/>
        </w:rPr>
      </w:pPr>
    </w:p>
    <w:p w14:paraId="4F1E74D0" w14:textId="77777777" w:rsidR="00BE7D8E" w:rsidRDefault="00BE7D8E" w:rsidP="00DC6A92">
      <w:pPr>
        <w:rPr>
          <w:lang w:eastAsia="ro-RO" w:bidi="hi-IN"/>
        </w:rPr>
      </w:pPr>
    </w:p>
    <w:p w14:paraId="5E74364A" w14:textId="77777777" w:rsidR="00BE7D8E" w:rsidRDefault="00BE7D8E" w:rsidP="00DC6A92">
      <w:pPr>
        <w:rPr>
          <w:lang w:eastAsia="ro-RO" w:bidi="hi-IN"/>
        </w:rPr>
      </w:pPr>
    </w:p>
    <w:p w14:paraId="2B538FD9" w14:textId="77777777" w:rsidR="00BE7D8E" w:rsidRPr="00DC6A92" w:rsidRDefault="00BE7D8E" w:rsidP="00DC6A92">
      <w:pPr>
        <w:rPr>
          <w:lang w:eastAsia="ro-RO" w:bidi="hi-IN"/>
        </w:rPr>
      </w:pPr>
    </w:p>
    <w:p w14:paraId="3FC23EF0" w14:textId="77777777" w:rsidR="00365C2F" w:rsidRPr="00472B43" w:rsidRDefault="00296B1B" w:rsidP="00365C2F">
      <w:pPr>
        <w:keepNext/>
        <w:suppressAutoHyphens/>
        <w:spacing w:before="240" w:after="60" w:line="240" w:lineRule="auto"/>
        <w:outlineLvl w:val="0"/>
        <w:rPr>
          <w:rFonts w:ascii="Arial" w:eastAsia="Times New Roman" w:hAnsi="Arial" w:cs="Arial"/>
          <w:b/>
          <w:bCs/>
          <w:kern w:val="32"/>
          <w:sz w:val="28"/>
          <w:szCs w:val="28"/>
          <w:lang w:val="x-none" w:eastAsia="hi-IN" w:bidi="hi-IN"/>
        </w:rPr>
      </w:pPr>
      <w:bookmarkStart w:id="598" w:name="_Toc142039120"/>
      <w:r w:rsidRPr="00296B1B">
        <w:rPr>
          <w:noProof/>
        </w:rPr>
        <w:lastRenderedPageBreak/>
        <mc:AlternateContent>
          <mc:Choice Requires="wps">
            <w:drawing>
              <wp:anchor distT="0" distB="0" distL="114300" distR="114300" simplePos="0" relativeHeight="251676160" behindDoc="0" locked="0" layoutInCell="1" allowOverlap="1" wp14:anchorId="3C2D3F99" wp14:editId="2EED9AFD">
                <wp:simplePos x="0" y="0"/>
                <wp:positionH relativeFrom="column">
                  <wp:posOffset>5943600</wp:posOffset>
                </wp:positionH>
                <wp:positionV relativeFrom="paragraph">
                  <wp:posOffset>-181610</wp:posOffset>
                </wp:positionV>
                <wp:extent cx="1828800" cy="1828800"/>
                <wp:effectExtent l="0" t="0" r="0" b="0"/>
                <wp:wrapNone/>
                <wp:docPr id="148" name="Text Box 1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1B3F646" w14:textId="77777777" w:rsidR="00C36A80" w:rsidRPr="00BE7D8E" w:rsidRDefault="00C36A80" w:rsidP="00296B1B">
                            <w:pPr>
                              <w:pStyle w:val="Titlu1"/>
                              <w:jc w:val="center"/>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pPr>
                            <w:bookmarkStart w:id="599" w:name="_Toc142039121"/>
                            <w:r w:rsidRPr="00BE7D8E">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t>I.8</w:t>
                            </w:r>
                            <w:bookmarkEnd w:id="599"/>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C2D3F99" id="Text Box 148" o:spid="_x0000_s1090" type="#_x0000_t202" style="position:absolute;margin-left:468pt;margin-top:-14.3pt;width:2in;height:2in;z-index:251676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" filled="f" stroked="f">
                <v:textbox style="mso-fit-shape-to-text:t">
                  <w:txbxContent>
                    <w:p w14:paraId="21B3F646" w14:textId="77777777" w:rsidR="00C36A80" w:rsidRPr="00BE7D8E" w:rsidRDefault="00C36A80" w:rsidP="00296B1B">
                      <w:pPr>
                        <w:pStyle w:val="Titlu1"/>
                        <w:jc w:val="center"/>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pPr>
                      <w:bookmarkStart w:id="600" w:name="_Toc142039121"/>
                      <w:r w:rsidRPr="00BE7D8E">
                        <w:rPr>
                          <w:rFonts w:ascii="Arial" w:eastAsia="Times New Roman" w:hAnsi="Arial" w:cs="Arial"/>
                          <w:b/>
                          <w:bCs/>
                          <w:color w:val="385623" w:themeColor="accent6" w:themeShade="80"/>
                          <w:sz w:val="40"/>
                          <w:szCs w:val="40"/>
                          <w:lang w:val="ro-RO" w:eastAsia="ro-RO"/>
                          <w14:textOutline w14:w="11112" w14:cap="flat" w14:cmpd="sng" w14:algn="ctr">
                            <w14:solidFill>
                              <w14:schemeClr w14:val="accent2"/>
                            </w14:solidFill>
                            <w14:prstDash w14:val="solid"/>
                            <w14:round/>
                          </w14:textOutline>
                        </w:rPr>
                        <w:t>I.8</w:t>
                      </w:r>
                      <w:bookmarkEnd w:id="600"/>
                    </w:p>
                  </w:txbxContent>
                </v:textbox>
              </v:shape>
            </w:pict>
          </mc:Fallback>
        </mc:AlternateContent>
      </w:r>
      <w:r w:rsidR="00365C2F" w:rsidRPr="00472B43">
        <w:rPr>
          <w:rFonts w:ascii="Arial" w:eastAsia="Times New Roman" w:hAnsi="Arial" w:cs="Arial"/>
          <w:b/>
          <w:bCs/>
          <w:kern w:val="32"/>
          <w:sz w:val="28"/>
          <w:szCs w:val="28"/>
          <w:lang w:val="x-none" w:eastAsia="hi-IN" w:bidi="hi-IN"/>
        </w:rPr>
        <w:t xml:space="preserve">I.8 – </w:t>
      </w:r>
      <w:r w:rsidR="00472B43" w:rsidRPr="00472B43">
        <w:rPr>
          <w:rFonts w:ascii="Arial" w:eastAsia="Times New Roman" w:hAnsi="Arial" w:cs="Arial"/>
          <w:b/>
          <w:bCs/>
          <w:kern w:val="32"/>
          <w:sz w:val="28"/>
          <w:szCs w:val="28"/>
          <w:lang w:val="x-none" w:eastAsia="hi-IN" w:bidi="hi-IN"/>
        </w:rPr>
        <w:t>Scenariul Preferat</w:t>
      </w:r>
      <w:bookmarkEnd w:id="598"/>
    </w:p>
    <w:p w14:paraId="19F5657E" w14:textId="77777777" w:rsidR="00365C2F" w:rsidRPr="007D0E88" w:rsidRDefault="00365C2F" w:rsidP="007D0E88">
      <w:pPr>
        <w:pStyle w:val="Titlu2"/>
        <w:rPr>
          <w:rFonts w:ascii="Arial" w:eastAsia="Times New Roman" w:hAnsi="Arial" w:cs="Arial"/>
          <w:b/>
          <w:bCs/>
          <w:color w:val="auto"/>
          <w:lang w:eastAsia="ro-RO" w:bidi="hi-IN"/>
        </w:rPr>
      </w:pPr>
      <w:bookmarkStart w:id="601" w:name="_Toc461777874"/>
      <w:bookmarkStart w:id="602" w:name="_Toc491868854"/>
      <w:bookmarkStart w:id="603" w:name="_Toc499657575"/>
      <w:bookmarkStart w:id="604" w:name="_Toc142039122"/>
      <w:r w:rsidRPr="007D0E88">
        <w:rPr>
          <w:rFonts w:ascii="Arial" w:eastAsia="Times New Roman" w:hAnsi="Arial" w:cs="Arial"/>
          <w:b/>
          <w:bCs/>
          <w:color w:val="auto"/>
          <w:lang w:eastAsia="hi-IN" w:bidi="hi-IN"/>
        </w:rPr>
        <w:t>I.8.1 Scenariul preferat</w:t>
      </w:r>
      <w:bookmarkEnd w:id="601"/>
      <w:bookmarkEnd w:id="602"/>
      <w:bookmarkEnd w:id="603"/>
      <w:bookmarkEnd w:id="604"/>
    </w:p>
    <w:p w14:paraId="76434040" w14:textId="77777777" w:rsidR="00DC6A92" w:rsidRPr="00DC6A92" w:rsidRDefault="00DC6A92" w:rsidP="00DC6A92">
      <w:pPr>
        <w:suppressAutoHyphens/>
        <w:autoSpaceDE w:val="0"/>
        <w:spacing w:after="0" w:line="276" w:lineRule="auto"/>
        <w:jc w:val="both"/>
        <w:rPr>
          <w:rFonts w:ascii="Arial" w:hAnsi="Arial" w:cs="Arial"/>
          <w:kern w:val="1"/>
          <w:lang w:val="es-ES" w:eastAsia="ro-RO" w:bidi="hi-IN"/>
        </w:rPr>
      </w:pPr>
      <w:r w:rsidRPr="00DC6A92">
        <w:rPr>
          <w:rFonts w:ascii="Arial" w:hAnsi="Arial" w:cs="Arial"/>
          <w:color w:val="000000"/>
          <w:kern w:val="1"/>
          <w:lang w:val="es-ES" w:eastAsia="ro-RO" w:bidi="hi-IN"/>
        </w:rPr>
        <w:t>Pentru selectarea și prioritizarea proiectelor și măsurilor propuse în cadrul PMUD, trebuie utilizate analiza cost beneficiu și o analiză multicriterială. Costurile au fost estimate prin aplicarea unor rate unitare sau cunoașterea prețurilor pieței. Beneficiile proiectului au fost evaluate prin cercetări empirice sau prin modelul de transport. Acest lucru a fost transformat într-o analiză cost – beneficiu pe care se va baza analiza multicriterială.</w:t>
      </w:r>
    </w:p>
    <w:p w14:paraId="0D04E145" w14:textId="77777777" w:rsidR="00DC6A92" w:rsidRPr="00DC6A92" w:rsidRDefault="00DC6A92" w:rsidP="00DC6A92">
      <w:pPr>
        <w:widowControl w:val="0"/>
        <w:suppressAutoHyphens/>
        <w:autoSpaceDE w:val="0"/>
        <w:spacing w:after="0" w:line="276" w:lineRule="auto"/>
        <w:jc w:val="both"/>
        <w:rPr>
          <w:rFonts w:ascii="Arial" w:hAnsi="Arial" w:cs="Arial"/>
          <w:kern w:val="1"/>
          <w:lang w:val="es-ES" w:eastAsia="ro-RO" w:bidi="hi-IN"/>
        </w:rPr>
      </w:pPr>
    </w:p>
    <w:p w14:paraId="0F42DE06" w14:textId="77777777" w:rsidR="00DC6A92" w:rsidRPr="00DC6A92" w:rsidRDefault="00DC6A92" w:rsidP="00DC6A92">
      <w:pPr>
        <w:widowControl w:val="0"/>
        <w:suppressAutoHyphens/>
        <w:autoSpaceDE w:val="0"/>
        <w:spacing w:after="0" w:line="276" w:lineRule="auto"/>
        <w:jc w:val="both"/>
        <w:rPr>
          <w:rFonts w:ascii="Arial" w:hAnsi="Arial" w:cs="Mangal"/>
          <w:kern w:val="1"/>
          <w:lang w:val="es-ES" w:eastAsia="hi-IN" w:bidi="hi-IN"/>
        </w:rPr>
      </w:pPr>
      <w:r w:rsidRPr="00DC6A92">
        <w:rPr>
          <w:rFonts w:ascii="Arial" w:hAnsi="Arial" w:cs="Arial"/>
          <w:kern w:val="1"/>
          <w:lang w:val="es-ES" w:eastAsia="ro-RO" w:bidi="hi-IN"/>
        </w:rPr>
        <w:t>Scenariul preferat, care a fost stabilit de consultant ȋmpreunǎ cu grupul de lucru constituit la nivelul Primǎriei Horezu, este o combinație din toate scenariile și conține proiectele care au obținut la analiza multicriterialǎ un punctaj de minim 5.</w:t>
      </w:r>
    </w:p>
    <w:p w14:paraId="134C4A60" w14:textId="77777777" w:rsidR="00365C2F" w:rsidRPr="00365C2F" w:rsidRDefault="00365C2F" w:rsidP="00365C2F">
      <w:pPr>
        <w:widowControl w:val="0"/>
        <w:suppressAutoHyphens/>
        <w:spacing w:after="0" w:line="240" w:lineRule="auto"/>
        <w:rPr>
          <w:rFonts w:ascii="Arial" w:hAnsi="Arial" w:cs="Mangal"/>
          <w:kern w:val="1"/>
          <w:sz w:val="24"/>
          <w:szCs w:val="24"/>
          <w:lang w:val="es-ES" w:eastAsia="hi-IN" w:bidi="hi-IN"/>
        </w:rPr>
      </w:pPr>
    </w:p>
    <w:p w14:paraId="70CDEF35" w14:textId="77777777" w:rsidR="00365C2F" w:rsidRPr="007D0E88" w:rsidRDefault="00365C2F" w:rsidP="007D0E88">
      <w:pPr>
        <w:pStyle w:val="Titlu2"/>
        <w:rPr>
          <w:rFonts w:ascii="Arial" w:eastAsia="Times New Roman" w:hAnsi="Arial" w:cs="Arial"/>
          <w:b/>
          <w:bCs/>
          <w:color w:val="auto"/>
          <w:lang w:eastAsia="ro-RO" w:bidi="hi-IN"/>
        </w:rPr>
      </w:pPr>
      <w:bookmarkStart w:id="605" w:name="_Toc461777875"/>
      <w:bookmarkStart w:id="606" w:name="_Toc491868855"/>
      <w:bookmarkStart w:id="607" w:name="_Toc499657576"/>
      <w:bookmarkStart w:id="608" w:name="_Toc142039123"/>
      <w:r w:rsidRPr="007D0E88">
        <w:rPr>
          <w:rFonts w:ascii="Arial" w:eastAsia="Times New Roman" w:hAnsi="Arial" w:cs="Arial"/>
          <w:b/>
          <w:bCs/>
          <w:color w:val="auto"/>
          <w:lang w:eastAsia="hi-IN" w:bidi="hi-IN"/>
        </w:rPr>
        <w:t>I.8.2 Analiza multicriterialǎ pentru scenariul preferat</w:t>
      </w:r>
      <w:bookmarkEnd w:id="605"/>
      <w:bookmarkEnd w:id="606"/>
      <w:bookmarkEnd w:id="607"/>
      <w:bookmarkEnd w:id="608"/>
    </w:p>
    <w:p w14:paraId="275EB626" w14:textId="77777777" w:rsidR="004F44A8" w:rsidRPr="004F44A8" w:rsidRDefault="004F44A8" w:rsidP="004F44A8">
      <w:pPr>
        <w:suppressAutoHyphens/>
        <w:autoSpaceDE w:val="0"/>
        <w:spacing w:after="0" w:line="276" w:lineRule="auto"/>
        <w:jc w:val="both"/>
        <w:rPr>
          <w:rFonts w:ascii="Arial" w:hAnsi="Arial" w:cs="Arial"/>
          <w:kern w:val="1"/>
          <w:lang w:val="es-ES" w:eastAsia="ro-RO" w:bidi="hi-IN"/>
        </w:rPr>
      </w:pPr>
      <w:r w:rsidRPr="004F44A8">
        <w:rPr>
          <w:rFonts w:ascii="Arial" w:hAnsi="Arial" w:cs="Arial"/>
          <w:color w:val="000000"/>
          <w:kern w:val="1"/>
          <w:lang w:val="es-ES" w:eastAsia="ro-RO" w:bidi="hi-IN"/>
        </w:rPr>
        <w:t>Analiza multicriteriala (AMC) compara diferitele măsuri sau soluții în funcție de mai multe criterii sau politici, prin intermediul unor medii ponderate. Aceastǎ analizǎ ajutǎ la ierarhizarea mǎsurilor propuse și, împreunǎ cu ACB, la prioritizarea acestora.</w:t>
      </w:r>
    </w:p>
    <w:p w14:paraId="777E86E0" w14:textId="77777777" w:rsidR="004F44A8" w:rsidRPr="004F44A8" w:rsidRDefault="004F44A8" w:rsidP="004F44A8">
      <w:pPr>
        <w:suppressAutoHyphens/>
        <w:autoSpaceDE w:val="0"/>
        <w:spacing w:after="0" w:line="276" w:lineRule="auto"/>
        <w:jc w:val="both"/>
        <w:rPr>
          <w:rFonts w:ascii="Arial" w:hAnsi="Arial" w:cs="Arial"/>
          <w:kern w:val="1"/>
          <w:lang w:val="es-ES" w:eastAsia="ro-RO" w:bidi="hi-IN"/>
        </w:rPr>
      </w:pPr>
    </w:p>
    <w:p w14:paraId="4C092C9F" w14:textId="77777777" w:rsidR="004F44A8" w:rsidRPr="004F44A8" w:rsidRDefault="004F44A8" w:rsidP="004F44A8">
      <w:pPr>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Pentru elaborarea unei analize multicriteriale este necesarǎ:</w:t>
      </w:r>
    </w:p>
    <w:p w14:paraId="1701A34F" w14:textId="77777777" w:rsidR="004F44A8" w:rsidRPr="004F44A8" w:rsidRDefault="004F44A8" w:rsidP="004F44A8">
      <w:pPr>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 stabilirea unui set de criterii;</w:t>
      </w:r>
    </w:p>
    <w:p w14:paraId="34E2D57B" w14:textId="77777777" w:rsidR="004F44A8" w:rsidRPr="004F44A8" w:rsidRDefault="004F44A8" w:rsidP="004F44A8">
      <w:pPr>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 alocarea de ponderi pentru fiecare criteriu;</w:t>
      </w:r>
    </w:p>
    <w:p w14:paraId="7D24A9F8" w14:textId="77777777" w:rsidR="004F44A8" w:rsidRPr="004F44A8" w:rsidRDefault="004F44A8" w:rsidP="004F44A8">
      <w:pPr>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 stabilirea unei matrici AMC;</w:t>
      </w:r>
    </w:p>
    <w:p w14:paraId="02998A94" w14:textId="77777777" w:rsidR="004F44A8" w:rsidRPr="004F44A8" w:rsidRDefault="004F44A8" w:rsidP="004F44A8">
      <w:pPr>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 atribuirea scorului pentru fiecare criteriu;</w:t>
      </w:r>
    </w:p>
    <w:p w14:paraId="5766106D" w14:textId="77777777" w:rsidR="004F44A8" w:rsidRPr="004F44A8" w:rsidRDefault="004F44A8" w:rsidP="004F44A8">
      <w:pPr>
        <w:suppressAutoHyphens/>
        <w:autoSpaceDE w:val="0"/>
        <w:spacing w:after="0" w:line="276" w:lineRule="auto"/>
        <w:jc w:val="both"/>
        <w:rPr>
          <w:rFonts w:ascii="Arial" w:hAnsi="Arial" w:cs="Arial"/>
          <w:kern w:val="1"/>
          <w:lang w:val="es-ES" w:eastAsia="ro-RO" w:bidi="hi-IN"/>
        </w:rPr>
      </w:pPr>
      <w:r w:rsidRPr="004F44A8">
        <w:rPr>
          <w:rFonts w:ascii="Arial" w:hAnsi="Arial" w:cs="Arial"/>
          <w:color w:val="000000"/>
          <w:kern w:val="1"/>
          <w:lang w:val="es-ES" w:eastAsia="ro-RO" w:bidi="hi-IN"/>
        </w:rPr>
        <w:t>- calcularea scorului mediu pentru fiecare măsură, prin înmulţirea notei obţinute de fiecare măsură cu ponderea alocată fiecărui criteriu. Scorul final se obţine prin însumarea tuturor liniilor (indicatorilor).</w:t>
      </w:r>
    </w:p>
    <w:p w14:paraId="01911C71" w14:textId="77777777" w:rsidR="004F44A8" w:rsidRPr="004F44A8" w:rsidRDefault="004F44A8" w:rsidP="004F44A8">
      <w:pPr>
        <w:suppressAutoHyphens/>
        <w:autoSpaceDE w:val="0"/>
        <w:spacing w:after="0" w:line="276" w:lineRule="auto"/>
        <w:jc w:val="both"/>
        <w:rPr>
          <w:rFonts w:ascii="Arial" w:eastAsia="Times New Roman" w:hAnsi="Arial" w:cs="Arial"/>
          <w:lang w:val="es-ES" w:eastAsia="ro-RO"/>
        </w:rPr>
      </w:pPr>
    </w:p>
    <w:p w14:paraId="36FCC250" w14:textId="77777777" w:rsidR="004F44A8" w:rsidRPr="004F44A8" w:rsidRDefault="004F44A8" w:rsidP="004F44A8">
      <w:pPr>
        <w:suppressAutoHyphens/>
        <w:autoSpaceDE w:val="0"/>
        <w:spacing w:after="0" w:line="276" w:lineRule="auto"/>
        <w:jc w:val="both"/>
        <w:rPr>
          <w:rFonts w:ascii="Arial" w:eastAsia="Times New Roman" w:hAnsi="Arial" w:cs="Arial"/>
          <w:lang w:eastAsia="ro-RO"/>
        </w:rPr>
      </w:pPr>
      <w:r w:rsidRPr="004F44A8">
        <w:rPr>
          <w:rFonts w:ascii="Arial" w:eastAsia="Times New Roman" w:hAnsi="Arial" w:cs="Arial"/>
          <w:lang w:val="es-ES" w:eastAsia="ro-RO"/>
        </w:rPr>
        <w:t xml:space="preserve">Indicatorii de evaluare au fost prezentați ȋn tabelul I.5.6, iar analiza multicriterialǎ </w:t>
      </w:r>
      <w:r w:rsidRPr="00D45675">
        <w:rPr>
          <w:rFonts w:ascii="Arial" w:eastAsia="Times New Roman" w:hAnsi="Arial" w:cs="Arial"/>
          <w:lang w:val="es-ES" w:eastAsia="ro-RO"/>
        </w:rPr>
        <w:t>ȋn Anexa 1</w:t>
      </w:r>
      <w:r w:rsidR="00D45675" w:rsidRPr="00D45675">
        <w:rPr>
          <w:rFonts w:ascii="Arial" w:eastAsia="Times New Roman" w:hAnsi="Arial" w:cs="Arial"/>
          <w:lang w:val="es-ES" w:eastAsia="ro-RO"/>
        </w:rPr>
        <w:t>0</w:t>
      </w:r>
      <w:r w:rsidRPr="00D45675">
        <w:rPr>
          <w:rFonts w:ascii="Arial" w:eastAsia="Times New Roman" w:hAnsi="Arial" w:cs="Arial"/>
          <w:lang w:val="es-ES" w:eastAsia="ro-RO"/>
        </w:rPr>
        <w:t>.</w:t>
      </w:r>
      <w:r w:rsidRPr="004F44A8">
        <w:rPr>
          <w:rFonts w:ascii="Arial" w:eastAsia="Times New Roman" w:hAnsi="Arial" w:cs="Arial"/>
          <w:lang w:val="es-ES" w:eastAsia="ro-RO"/>
        </w:rPr>
        <w:t xml:space="preserve"> </w:t>
      </w:r>
      <w:r w:rsidRPr="004F44A8">
        <w:rPr>
          <w:rFonts w:ascii="Arial" w:eastAsia="Times New Roman" w:hAnsi="Arial" w:cs="Arial"/>
          <w:lang w:eastAsia="ro-RO"/>
        </w:rPr>
        <w:t>Conform rezultatelor obținute, au reiesit urmǎtoarele mǎsuri/proiecte care constituie scenariul preferat.</w:t>
      </w:r>
    </w:p>
    <w:p w14:paraId="19B757CC" w14:textId="77777777" w:rsidR="004F44A8" w:rsidRPr="004F44A8" w:rsidRDefault="004F44A8" w:rsidP="004F44A8">
      <w:pPr>
        <w:suppressAutoHyphens/>
        <w:autoSpaceDE w:val="0"/>
        <w:spacing w:after="0" w:line="276" w:lineRule="auto"/>
        <w:jc w:val="both"/>
        <w:rPr>
          <w:rFonts w:ascii="Arial" w:eastAsia="Times New Roman" w:hAnsi="Arial" w:cs="Arial"/>
          <w:lang w:eastAsia="ro-RO"/>
        </w:rPr>
      </w:pPr>
    </w:p>
    <w:p w14:paraId="29AFFF28" w14:textId="77777777" w:rsidR="004F44A8" w:rsidRPr="004F44A8" w:rsidRDefault="004F44A8" w:rsidP="004F44A8">
      <w:pPr>
        <w:widowControl w:val="0"/>
        <w:numPr>
          <w:ilvl w:val="0"/>
          <w:numId w:val="78"/>
        </w:numPr>
        <w:suppressAutoHyphens/>
        <w:autoSpaceDE w:val="0"/>
        <w:spacing w:after="0" w:line="276" w:lineRule="auto"/>
        <w:jc w:val="both"/>
        <w:rPr>
          <w:rFonts w:ascii="Arial" w:eastAsia="Arial" w:hAnsi="Arial" w:cs="Arial"/>
          <w:color w:val="000000"/>
          <w:lang w:val="es-ES" w:eastAsia="zh-CN"/>
        </w:rPr>
      </w:pPr>
      <w:r w:rsidRPr="004F44A8">
        <w:rPr>
          <w:rFonts w:ascii="Arial" w:eastAsia="Arial" w:hAnsi="Arial" w:cs="Arial"/>
          <w:color w:val="000000"/>
          <w:lang w:val="es-ES" w:eastAsia="zh-CN"/>
        </w:rPr>
        <w:t>I</w:t>
      </w:r>
      <w:r w:rsidRPr="004F44A8">
        <w:rPr>
          <w:rFonts w:ascii="Arial" w:eastAsia="Calibri" w:hAnsi="Arial" w:cs="Arial"/>
          <w:color w:val="000000"/>
          <w:lang w:val="es-ES" w:eastAsia="zh-CN"/>
        </w:rPr>
        <w:t>V.6 = extinderea zonei pietonale – scor AMC = 6,78.</w:t>
      </w:r>
    </w:p>
    <w:p w14:paraId="5FDC7766" w14:textId="77777777" w:rsidR="004F44A8" w:rsidRPr="004F44A8" w:rsidRDefault="004F44A8" w:rsidP="004F44A8">
      <w:pPr>
        <w:widowControl w:val="0"/>
        <w:suppressAutoHyphens/>
        <w:autoSpaceDE w:val="0"/>
        <w:spacing w:after="0" w:line="276" w:lineRule="auto"/>
        <w:ind w:left="720"/>
        <w:jc w:val="both"/>
        <w:rPr>
          <w:rFonts w:ascii="Arial" w:eastAsia="Arial" w:hAnsi="Arial" w:cs="Arial"/>
          <w:color w:val="000000"/>
          <w:lang w:val="es-ES" w:eastAsia="zh-CN"/>
        </w:rPr>
      </w:pPr>
      <w:r w:rsidRPr="004F44A8">
        <w:rPr>
          <w:rFonts w:ascii="Arial" w:eastAsia="Calibri" w:hAnsi="Arial" w:cs="Arial"/>
          <w:color w:val="000000"/>
          <w:lang w:val="es-ES" w:eastAsia="zh-CN"/>
        </w:rPr>
        <w:t xml:space="preserve">Se propune </w:t>
      </w:r>
      <w:r w:rsidRPr="004F44A8">
        <w:rPr>
          <w:rFonts w:ascii="Arial" w:eastAsia="Calibri" w:hAnsi="Arial" w:cs="Arial"/>
          <w:color w:val="000000"/>
          <w:lang w:eastAsia="zh-CN"/>
        </w:rPr>
        <w:t>extinderea zonei pietonale existente cu urmatoarele strazi:</w:t>
      </w:r>
    </w:p>
    <w:p w14:paraId="27DD640A" w14:textId="77777777" w:rsidR="004F44A8" w:rsidRPr="004F44A8" w:rsidRDefault="004F44A8" w:rsidP="004F44A8">
      <w:pPr>
        <w:numPr>
          <w:ilvl w:val="0"/>
          <w:numId w:val="72"/>
        </w:numPr>
        <w:shd w:val="clear" w:color="auto" w:fill="FFFFFF"/>
        <w:suppressAutoHyphens/>
        <w:spacing w:after="0" w:line="240" w:lineRule="auto"/>
        <w:ind w:left="1418"/>
        <w:rPr>
          <w:rFonts w:ascii="Arial" w:eastAsia="Times New Roman" w:hAnsi="Arial" w:cs="Arial"/>
          <w:lang w:val="ro-RO" w:eastAsia="ro-RO"/>
        </w:rPr>
      </w:pPr>
      <w:r w:rsidRPr="004F44A8">
        <w:rPr>
          <w:rFonts w:ascii="Arial" w:eastAsia="Times New Roman" w:hAnsi="Arial" w:cs="Arial"/>
          <w:lang w:val="ro-RO" w:eastAsia="ro-RO"/>
        </w:rPr>
        <w:t>str. Independentei;</w:t>
      </w:r>
    </w:p>
    <w:p w14:paraId="7353A141" w14:textId="77777777" w:rsidR="004F44A8" w:rsidRPr="004F44A8" w:rsidRDefault="004F44A8" w:rsidP="004F44A8">
      <w:pPr>
        <w:numPr>
          <w:ilvl w:val="0"/>
          <w:numId w:val="72"/>
        </w:numPr>
        <w:shd w:val="clear" w:color="auto" w:fill="FFFFFF"/>
        <w:suppressAutoHyphens/>
        <w:spacing w:after="0" w:line="240" w:lineRule="auto"/>
        <w:ind w:left="1418"/>
        <w:jc w:val="both"/>
        <w:rPr>
          <w:rFonts w:ascii="Arial" w:eastAsia="Times New Roman" w:hAnsi="Arial" w:cs="Arial"/>
          <w:lang w:val="ro-RO" w:eastAsia="ro-RO"/>
        </w:rPr>
      </w:pPr>
      <w:r w:rsidRPr="004F44A8">
        <w:rPr>
          <w:rFonts w:ascii="Arial" w:eastAsia="Times New Roman" w:hAnsi="Arial" w:cs="Arial"/>
          <w:lang w:val="ro-RO" w:eastAsia="ro-RO"/>
        </w:rPr>
        <w:t>str. N. Iorga, segmentul cuprins intre strazile Mircea cel Batran si Independentei;</w:t>
      </w:r>
    </w:p>
    <w:p w14:paraId="6A5E41B5" w14:textId="77777777" w:rsidR="004F44A8" w:rsidRPr="004F44A8" w:rsidRDefault="004F44A8" w:rsidP="004F44A8">
      <w:pPr>
        <w:numPr>
          <w:ilvl w:val="0"/>
          <w:numId w:val="72"/>
        </w:numPr>
        <w:shd w:val="clear" w:color="auto" w:fill="FFFFFF"/>
        <w:suppressAutoHyphens/>
        <w:spacing w:after="0" w:line="240" w:lineRule="auto"/>
        <w:ind w:left="1418"/>
        <w:jc w:val="both"/>
        <w:rPr>
          <w:rFonts w:ascii="Arial" w:eastAsia="Times New Roman" w:hAnsi="Arial" w:cs="Arial"/>
          <w:lang w:val="ro-RO" w:eastAsia="ro-RO"/>
        </w:rPr>
      </w:pPr>
      <w:r w:rsidRPr="004F44A8">
        <w:rPr>
          <w:rFonts w:ascii="Arial" w:eastAsia="Times New Roman" w:hAnsi="Arial" w:cs="Arial"/>
          <w:lang w:val="ro-RO" w:eastAsia="ro-RO"/>
        </w:rPr>
        <w:t>str. Constantin Brancoveanu, segmentul cuprins intre strazile George Cosbuc si Independentei;</w:t>
      </w:r>
    </w:p>
    <w:p w14:paraId="3D0BA9C6" w14:textId="77777777" w:rsidR="004F44A8" w:rsidRPr="004F44A8" w:rsidRDefault="004F44A8" w:rsidP="004F44A8">
      <w:pPr>
        <w:numPr>
          <w:ilvl w:val="0"/>
          <w:numId w:val="72"/>
        </w:numPr>
        <w:shd w:val="clear" w:color="auto" w:fill="FFFFFF"/>
        <w:suppressAutoHyphens/>
        <w:spacing w:after="0" w:line="240" w:lineRule="auto"/>
        <w:ind w:left="1418"/>
        <w:jc w:val="both"/>
        <w:rPr>
          <w:rFonts w:ascii="Arial" w:eastAsia="Times New Roman" w:hAnsi="Arial" w:cs="Arial"/>
          <w:lang w:val="ro-RO" w:eastAsia="ro-RO"/>
        </w:rPr>
      </w:pPr>
      <w:r w:rsidRPr="004F44A8">
        <w:rPr>
          <w:rFonts w:ascii="Arial" w:eastAsia="Times New Roman" w:hAnsi="Arial" w:cs="Arial"/>
          <w:lang w:val="ro-RO" w:eastAsia="ro-RO"/>
        </w:rPr>
        <w:t>terenul rezultat in urma demolarii cladirii Clubul Pensionarilor;</w:t>
      </w:r>
    </w:p>
    <w:p w14:paraId="037CF5CA" w14:textId="77777777" w:rsidR="004F44A8" w:rsidRPr="004F44A8" w:rsidRDefault="004F44A8" w:rsidP="004F44A8">
      <w:pPr>
        <w:numPr>
          <w:ilvl w:val="0"/>
          <w:numId w:val="72"/>
        </w:numPr>
        <w:shd w:val="clear" w:color="auto" w:fill="FFFFFF"/>
        <w:suppressAutoHyphens/>
        <w:spacing w:after="0" w:line="240" w:lineRule="auto"/>
        <w:ind w:left="1418"/>
        <w:jc w:val="both"/>
        <w:rPr>
          <w:rFonts w:ascii="Arial" w:eastAsia="Times New Roman" w:hAnsi="Arial" w:cs="Arial"/>
          <w:color w:val="222222"/>
          <w:lang w:val="ro-RO" w:eastAsia="ro-RO"/>
        </w:rPr>
      </w:pPr>
      <w:r w:rsidRPr="004F44A8">
        <w:rPr>
          <w:rFonts w:ascii="Arial" w:eastAsia="Calibri" w:hAnsi="Arial" w:cs="Arial"/>
          <w:color w:val="000000"/>
          <w:lang w:eastAsia="zh-CN"/>
        </w:rPr>
        <w:t>valorificarea malurilor râului Ursani prin crearea de promenade (pietoni + biciclisti), pe sectorul cuprins intre str. 9 Mai 1871 si str. C. Brancoveanu.</w:t>
      </w:r>
    </w:p>
    <w:p w14:paraId="6BEDE63A" w14:textId="77777777" w:rsidR="004F44A8" w:rsidRPr="004F44A8" w:rsidRDefault="004F44A8" w:rsidP="004F44A8">
      <w:pPr>
        <w:autoSpaceDE w:val="0"/>
        <w:autoSpaceDN w:val="0"/>
        <w:adjustRightInd w:val="0"/>
        <w:spacing w:after="0" w:line="276" w:lineRule="auto"/>
        <w:jc w:val="both"/>
        <w:rPr>
          <w:rFonts w:ascii="Arial" w:eastAsia="Calibri" w:hAnsi="Arial" w:cs="Arial"/>
          <w:color w:val="000000"/>
          <w:lang w:eastAsia="zh-CN"/>
        </w:rPr>
      </w:pPr>
    </w:p>
    <w:p w14:paraId="20A6207B" w14:textId="77777777" w:rsidR="004F44A8" w:rsidRPr="004F44A8" w:rsidRDefault="00CA22A1" w:rsidP="004F44A8">
      <w:pPr>
        <w:autoSpaceDE w:val="0"/>
        <w:autoSpaceDN w:val="0"/>
        <w:adjustRightInd w:val="0"/>
        <w:spacing w:after="0" w:line="276" w:lineRule="auto"/>
        <w:jc w:val="center"/>
        <w:rPr>
          <w:rFonts w:ascii="Arial" w:eastAsia="Calibri" w:hAnsi="Arial" w:cs="Arial"/>
          <w:color w:val="000000"/>
          <w:lang w:eastAsia="zh-CN"/>
        </w:rPr>
      </w:pPr>
      <w:r>
        <w:rPr>
          <w:noProof/>
        </w:rPr>
        <w:lastRenderedPageBreak/>
        <w:drawing>
          <wp:inline distT="0" distB="0" distL="0" distR="0" wp14:anchorId="6C5F9D8C" wp14:editId="2B2BE232">
            <wp:extent cx="5647674" cy="381952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654956" cy="3824450"/>
                    </a:xfrm>
                    <a:prstGeom prst="rect">
                      <a:avLst/>
                    </a:prstGeom>
                    <a:noFill/>
                    <a:ln>
                      <a:noFill/>
                    </a:ln>
                  </pic:spPr>
                </pic:pic>
              </a:graphicData>
            </a:graphic>
          </wp:inline>
        </w:drawing>
      </w:r>
    </w:p>
    <w:p w14:paraId="2038C742" w14:textId="77777777" w:rsidR="004F44A8" w:rsidRPr="004F44A8" w:rsidRDefault="004F44A8" w:rsidP="004F44A8">
      <w:pPr>
        <w:suppressAutoHyphens/>
        <w:autoSpaceDE w:val="0"/>
        <w:spacing w:after="0" w:line="276" w:lineRule="auto"/>
        <w:rPr>
          <w:rFonts w:ascii="Arial" w:eastAsia="Calibri" w:hAnsi="Arial" w:cs="Arial"/>
          <w:color w:val="000000"/>
          <w:sz w:val="18"/>
          <w:szCs w:val="18"/>
          <w:lang w:val="es-ES" w:eastAsia="zh-CN"/>
        </w:rPr>
      </w:pPr>
      <w:r w:rsidRPr="004F44A8">
        <w:rPr>
          <w:rFonts w:ascii="Arial" w:eastAsia="Calibri" w:hAnsi="Arial" w:cs="Arial"/>
          <w:color w:val="000000"/>
          <w:sz w:val="20"/>
          <w:szCs w:val="20"/>
          <w:lang w:eastAsia="zh-CN"/>
        </w:rPr>
        <w:tab/>
      </w:r>
      <w:r w:rsidRPr="004F44A8">
        <w:rPr>
          <w:rFonts w:ascii="Arial" w:eastAsia="Calibri" w:hAnsi="Arial" w:cs="Arial"/>
          <w:color w:val="000000"/>
          <w:sz w:val="20"/>
          <w:szCs w:val="20"/>
          <w:lang w:eastAsia="zh-CN"/>
        </w:rPr>
        <w:tab/>
      </w:r>
      <w:r w:rsidRPr="004F44A8">
        <w:rPr>
          <w:rFonts w:ascii="Arial" w:eastAsia="Calibri" w:hAnsi="Arial" w:cs="Arial"/>
          <w:color w:val="000000"/>
          <w:sz w:val="18"/>
          <w:szCs w:val="18"/>
          <w:lang w:val="es-ES" w:eastAsia="zh-CN"/>
        </w:rPr>
        <w:t>Sursa: Elaborator INCERTRANS SA</w:t>
      </w:r>
    </w:p>
    <w:p w14:paraId="3D40E7C6" w14:textId="7A8CCF69" w:rsidR="004F44A8" w:rsidRPr="00BE7D8E" w:rsidRDefault="00BE7D8E" w:rsidP="00BE7D8E">
      <w:pPr>
        <w:pStyle w:val="Legend"/>
        <w:jc w:val="center"/>
        <w:rPr>
          <w:rFonts w:ascii="Arial" w:eastAsia="Calibri" w:hAnsi="Arial" w:cs="Arial"/>
          <w:i w:val="0"/>
          <w:iCs w:val="0"/>
          <w:color w:val="000000"/>
          <w:sz w:val="22"/>
          <w:szCs w:val="22"/>
          <w:lang w:eastAsia="zh-CN"/>
        </w:rPr>
      </w:pPr>
      <w:bookmarkStart w:id="609" w:name="_Toc68361028"/>
      <w:bookmarkStart w:id="610" w:name="_Toc142039139"/>
      <w:r w:rsidRPr="00BE7D8E">
        <w:rPr>
          <w:rFonts w:ascii="Arial" w:hAnsi="Arial" w:cs="Arial"/>
          <w:sz w:val="22"/>
          <w:szCs w:val="22"/>
        </w:rPr>
        <w:t xml:space="preserve">Figura I.8. </w:t>
      </w:r>
      <w:r w:rsidRPr="00BE7D8E">
        <w:rPr>
          <w:rFonts w:ascii="Arial" w:hAnsi="Arial" w:cs="Arial"/>
          <w:sz w:val="22"/>
          <w:szCs w:val="22"/>
        </w:rPr>
        <w:fldChar w:fldCharType="begin"/>
      </w:r>
      <w:r w:rsidRPr="00BE7D8E">
        <w:rPr>
          <w:rFonts w:ascii="Arial" w:hAnsi="Arial" w:cs="Arial"/>
          <w:sz w:val="22"/>
          <w:szCs w:val="22"/>
        </w:rPr>
        <w:instrText xml:space="preserve"> SEQ Figura_I.8. \* ARABIC </w:instrText>
      </w:r>
      <w:r w:rsidRPr="00BE7D8E">
        <w:rPr>
          <w:rFonts w:ascii="Arial" w:hAnsi="Arial" w:cs="Arial"/>
          <w:sz w:val="22"/>
          <w:szCs w:val="22"/>
        </w:rPr>
        <w:fldChar w:fldCharType="separate"/>
      </w:r>
      <w:r w:rsidR="00BB181C">
        <w:rPr>
          <w:rFonts w:ascii="Arial" w:hAnsi="Arial" w:cs="Arial"/>
          <w:noProof/>
          <w:sz w:val="22"/>
          <w:szCs w:val="22"/>
        </w:rPr>
        <w:t>1</w:t>
      </w:r>
      <w:r w:rsidRPr="00BE7D8E">
        <w:rPr>
          <w:rFonts w:ascii="Arial" w:hAnsi="Arial" w:cs="Arial"/>
          <w:sz w:val="22"/>
          <w:szCs w:val="22"/>
        </w:rPr>
        <w:fldChar w:fldCharType="end"/>
      </w:r>
      <w:r w:rsidRPr="00BE7D8E">
        <w:rPr>
          <w:rFonts w:ascii="Arial" w:hAnsi="Arial" w:cs="Arial"/>
          <w:sz w:val="22"/>
          <w:szCs w:val="22"/>
        </w:rPr>
        <w:t xml:space="preserve"> </w:t>
      </w:r>
      <w:r w:rsidR="004F44A8" w:rsidRPr="00BE7D8E">
        <w:rPr>
          <w:rFonts w:ascii="Arial" w:hAnsi="Arial" w:cs="Arial"/>
          <w:color w:val="1F497D"/>
          <w:sz w:val="22"/>
          <w:szCs w:val="22"/>
        </w:rPr>
        <w:t xml:space="preserve">- </w:t>
      </w:r>
      <w:r w:rsidR="004F44A8" w:rsidRPr="00BE7D8E">
        <w:rPr>
          <w:rFonts w:ascii="Arial" w:hAnsi="Arial" w:cs="Arial"/>
          <w:i w:val="0"/>
          <w:iCs w:val="0"/>
          <w:color w:val="1F497D"/>
          <w:sz w:val="22"/>
          <w:szCs w:val="22"/>
        </w:rPr>
        <w:t>Zone pietonale propuse</w:t>
      </w:r>
      <w:bookmarkEnd w:id="609"/>
      <w:bookmarkEnd w:id="610"/>
    </w:p>
    <w:p w14:paraId="7E0864A0" w14:textId="77777777" w:rsidR="004F44A8" w:rsidRPr="004F44A8" w:rsidRDefault="004F44A8" w:rsidP="000C6CB8">
      <w:pPr>
        <w:numPr>
          <w:ilvl w:val="0"/>
          <w:numId w:val="122"/>
        </w:numPr>
        <w:suppressAutoHyphens/>
        <w:autoSpaceDE w:val="0"/>
        <w:spacing w:after="0" w:line="276" w:lineRule="auto"/>
        <w:jc w:val="both"/>
        <w:rPr>
          <w:rFonts w:ascii="Arial" w:eastAsia="Calibri" w:hAnsi="Arial" w:cs="Arial"/>
          <w:color w:val="000000"/>
          <w:sz w:val="24"/>
          <w:szCs w:val="24"/>
          <w:lang w:eastAsia="zh-CN"/>
        </w:rPr>
      </w:pPr>
      <w:r w:rsidRPr="004F44A8">
        <w:rPr>
          <w:rFonts w:ascii="Arial" w:eastAsia="Calibri" w:hAnsi="Arial" w:cs="Arial"/>
          <w:color w:val="000000"/>
          <w:lang w:val="ro-RO" w:eastAsia="zh-CN"/>
        </w:rPr>
        <w:t xml:space="preserve">V.3 = restrictionarea accesului vehiculelor cu masa autorizata mai mare de 7,5 t pe teritoriul orasului, dupa aparitia soselei de centura </w:t>
      </w:r>
      <w:r w:rsidRPr="004F44A8">
        <w:rPr>
          <w:rFonts w:ascii="Arial" w:eastAsia="Arial" w:hAnsi="Arial" w:cs="Arial"/>
          <w:color w:val="000000"/>
          <w:lang w:val="es-ES" w:eastAsia="zh-CN"/>
        </w:rPr>
        <w:t>– scor AMC = 6,59</w:t>
      </w:r>
      <w:r w:rsidRPr="004F44A8">
        <w:rPr>
          <w:rFonts w:ascii="Arial" w:eastAsia="Calibri" w:hAnsi="Arial" w:cs="Arial"/>
          <w:color w:val="000000"/>
          <w:lang w:val="ro-RO" w:eastAsia="zh-CN"/>
        </w:rPr>
        <w:t>.</w:t>
      </w:r>
    </w:p>
    <w:p w14:paraId="23095C31" w14:textId="77777777" w:rsidR="004F44A8" w:rsidRPr="004F44A8" w:rsidRDefault="004F44A8" w:rsidP="004F44A8">
      <w:pPr>
        <w:autoSpaceDE w:val="0"/>
        <w:spacing w:after="0"/>
        <w:jc w:val="both"/>
        <w:rPr>
          <w:rFonts w:ascii="Arial" w:eastAsia="Calibri" w:hAnsi="Arial" w:cs="Arial"/>
          <w:color w:val="000000"/>
          <w:sz w:val="24"/>
          <w:szCs w:val="24"/>
        </w:rPr>
      </w:pPr>
    </w:p>
    <w:p w14:paraId="39228643" w14:textId="3BA116CE" w:rsidR="004F44A8" w:rsidRPr="004F44A8" w:rsidRDefault="004F44A8" w:rsidP="004F44A8">
      <w:pPr>
        <w:widowControl w:val="0"/>
        <w:numPr>
          <w:ilvl w:val="0"/>
          <w:numId w:val="84"/>
        </w:numPr>
        <w:suppressAutoHyphens/>
        <w:autoSpaceDE w:val="0"/>
        <w:spacing w:after="0" w:line="276" w:lineRule="auto"/>
        <w:jc w:val="both"/>
        <w:rPr>
          <w:rFonts w:ascii="Arial" w:eastAsia="Calibri" w:hAnsi="Arial" w:cs="Arial"/>
          <w:lang w:val="es-ES" w:eastAsia="zh-CN"/>
        </w:rPr>
      </w:pPr>
      <w:r w:rsidRPr="004F44A8">
        <w:rPr>
          <w:rFonts w:ascii="Arial" w:eastAsia="Arial" w:hAnsi="Arial" w:cs="Arial"/>
          <w:color w:val="000000"/>
          <w:lang w:val="es-ES" w:eastAsia="zh-CN"/>
        </w:rPr>
        <w:t xml:space="preserve">IV.1 = amenajarea unei retelei de </w:t>
      </w:r>
      <w:r w:rsidR="005B68FD">
        <w:rPr>
          <w:rFonts w:ascii="Arial" w:eastAsia="Arial" w:hAnsi="Arial" w:cs="Arial"/>
          <w:color w:val="000000"/>
          <w:lang w:val="es-ES" w:eastAsia="zh-CN"/>
        </w:rPr>
        <w:t>trasee</w:t>
      </w:r>
      <w:r w:rsidRPr="004F44A8">
        <w:rPr>
          <w:rFonts w:ascii="Arial" w:eastAsia="Arial" w:hAnsi="Arial" w:cs="Arial"/>
          <w:color w:val="000000"/>
          <w:lang w:val="es-ES" w:eastAsia="zh-CN"/>
        </w:rPr>
        <w:t xml:space="preserve"> pentru biciclete</w:t>
      </w:r>
      <w:r w:rsidRPr="004F44A8">
        <w:rPr>
          <w:rFonts w:ascii="Arial" w:eastAsia="Calibri" w:hAnsi="Arial" w:cs="Arial"/>
          <w:lang w:val="es-ES" w:eastAsia="zh-CN"/>
        </w:rPr>
        <w:t xml:space="preserve"> – scor AMC = 6,52.</w:t>
      </w:r>
    </w:p>
    <w:p w14:paraId="7C859699" w14:textId="142DB32B" w:rsidR="004F44A8" w:rsidRPr="004F44A8" w:rsidRDefault="004F44A8" w:rsidP="004F44A8">
      <w:pPr>
        <w:widowControl w:val="0"/>
        <w:suppressAutoHyphens/>
        <w:autoSpaceDE w:val="0"/>
        <w:spacing w:after="0" w:line="276" w:lineRule="auto"/>
        <w:ind w:left="720"/>
        <w:jc w:val="both"/>
        <w:rPr>
          <w:rFonts w:ascii="Arial" w:eastAsia="Calibri" w:hAnsi="Arial" w:cs="Arial"/>
          <w:b/>
          <w:color w:val="000000"/>
          <w:lang w:val="es-ES" w:eastAsia="zh-CN"/>
        </w:rPr>
      </w:pPr>
      <w:r w:rsidRPr="004F44A8">
        <w:rPr>
          <w:rFonts w:ascii="Arial" w:eastAsia="Arial" w:hAnsi="Arial" w:cs="Arial"/>
          <w:color w:val="000000"/>
          <w:lang w:val="es-ES" w:eastAsia="zh-CN"/>
        </w:rPr>
        <w:t xml:space="preserve">Amenajarea de </w:t>
      </w:r>
      <w:r w:rsidR="005B68FD">
        <w:rPr>
          <w:rFonts w:ascii="Arial" w:eastAsia="Arial" w:hAnsi="Arial" w:cs="Arial"/>
          <w:color w:val="000000"/>
          <w:lang w:val="es-ES" w:eastAsia="zh-CN"/>
        </w:rPr>
        <w:t>trasee</w:t>
      </w:r>
      <w:r w:rsidRPr="004F44A8">
        <w:rPr>
          <w:rFonts w:ascii="Arial" w:eastAsia="Arial" w:hAnsi="Arial" w:cs="Arial"/>
          <w:color w:val="000000"/>
          <w:lang w:val="es-ES" w:eastAsia="zh-CN"/>
        </w:rPr>
        <w:t xml:space="preserve"> city-tour – </w:t>
      </w:r>
      <w:r w:rsidRPr="004F44A8">
        <w:rPr>
          <w:rFonts w:ascii="Arial" w:hAnsi="Arial" w:cs="Arial"/>
        </w:rPr>
        <w:t>pentru tururi de vizitare a imprejurimilor, cu biciclete de oras (fara schimbatoare de viteze, fara sisteme de suspensie, cu sisteme de franare normale) proprii sau inchiriate prin sistem de taxare la ora. O</w:t>
      </w:r>
      <w:r w:rsidRPr="004F44A8">
        <w:rPr>
          <w:rFonts w:ascii="Arial" w:eastAsia="Arial" w:hAnsi="Arial" w:cs="Arial"/>
          <w:color w:val="000000"/>
          <w:lang w:val="es-ES" w:eastAsia="zh-CN"/>
        </w:rPr>
        <w:t xml:space="preserve"> propunere este prezentată mai jos (16,57 km):</w:t>
      </w:r>
    </w:p>
    <w:p w14:paraId="2BEF58C1" w14:textId="77777777" w:rsidR="004F44A8" w:rsidRPr="004F44A8" w:rsidRDefault="004F44A8" w:rsidP="004F44A8">
      <w:pPr>
        <w:suppressAutoHyphens/>
        <w:autoSpaceDE w:val="0"/>
        <w:spacing w:after="0" w:line="360" w:lineRule="auto"/>
        <w:jc w:val="center"/>
        <w:rPr>
          <w:rFonts w:ascii="Arial" w:eastAsia="Calibri" w:hAnsi="Arial" w:cs="Arial"/>
          <w:b/>
          <w:color w:val="000000"/>
          <w:sz w:val="20"/>
          <w:szCs w:val="20"/>
          <w:lang w:eastAsia="zh-CN"/>
        </w:rPr>
      </w:pPr>
      <w:r w:rsidRPr="004F44A8">
        <w:rPr>
          <w:rFonts w:ascii="Calibri" w:hAnsi="Calibri" w:cs="Times New Roman"/>
          <w:noProof/>
        </w:rPr>
        <w:lastRenderedPageBreak/>
        <w:drawing>
          <wp:inline distT="0" distB="0" distL="0" distR="0" wp14:anchorId="4D916604" wp14:editId="5E0376BA">
            <wp:extent cx="3093017" cy="3835001"/>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093912" cy="3836111"/>
                    </a:xfrm>
                    <a:prstGeom prst="rect">
                      <a:avLst/>
                    </a:prstGeom>
                    <a:noFill/>
                    <a:ln>
                      <a:noFill/>
                    </a:ln>
                  </pic:spPr>
                </pic:pic>
              </a:graphicData>
            </a:graphic>
          </wp:inline>
        </w:drawing>
      </w:r>
    </w:p>
    <w:p w14:paraId="182CB09E" w14:textId="1E679C7D" w:rsidR="004F44A8" w:rsidRPr="00BE7D8E" w:rsidRDefault="00BE7D8E" w:rsidP="00BE7D8E">
      <w:pPr>
        <w:pStyle w:val="Legend"/>
        <w:jc w:val="center"/>
        <w:rPr>
          <w:rFonts w:ascii="Arial" w:eastAsia="Calibri" w:hAnsi="Arial" w:cs="Arial"/>
          <w:i w:val="0"/>
          <w:iCs w:val="0"/>
          <w:color w:val="000000"/>
          <w:lang w:eastAsia="zh-CN"/>
        </w:rPr>
      </w:pPr>
      <w:bookmarkStart w:id="611" w:name="_Toc68361029"/>
      <w:bookmarkStart w:id="612" w:name="_Toc142039140"/>
      <w:r w:rsidRPr="00BE7D8E">
        <w:rPr>
          <w:rFonts w:ascii="Arial" w:hAnsi="Arial" w:cs="Arial"/>
        </w:rPr>
        <w:t xml:space="preserve">Figura I.8. </w:t>
      </w:r>
      <w:r w:rsidRPr="00BE7D8E">
        <w:rPr>
          <w:rFonts w:ascii="Arial" w:hAnsi="Arial" w:cs="Arial"/>
        </w:rPr>
        <w:fldChar w:fldCharType="begin"/>
      </w:r>
      <w:r w:rsidRPr="00BE7D8E">
        <w:rPr>
          <w:rFonts w:ascii="Arial" w:hAnsi="Arial" w:cs="Arial"/>
        </w:rPr>
        <w:instrText xml:space="preserve"> SEQ Figura_I.8. \* ARABIC </w:instrText>
      </w:r>
      <w:r w:rsidRPr="00BE7D8E">
        <w:rPr>
          <w:rFonts w:ascii="Arial" w:hAnsi="Arial" w:cs="Arial"/>
        </w:rPr>
        <w:fldChar w:fldCharType="separate"/>
      </w:r>
      <w:r w:rsidR="00BB181C">
        <w:rPr>
          <w:rFonts w:ascii="Arial" w:hAnsi="Arial" w:cs="Arial"/>
          <w:noProof/>
        </w:rPr>
        <w:t>2</w:t>
      </w:r>
      <w:r w:rsidRPr="00BE7D8E">
        <w:rPr>
          <w:rFonts w:ascii="Arial" w:hAnsi="Arial" w:cs="Arial"/>
        </w:rPr>
        <w:fldChar w:fldCharType="end"/>
      </w:r>
      <w:r w:rsidRPr="00BE7D8E">
        <w:rPr>
          <w:rFonts w:ascii="Arial" w:hAnsi="Arial" w:cs="Arial"/>
        </w:rPr>
        <w:t xml:space="preserve"> </w:t>
      </w:r>
      <w:r w:rsidR="004F44A8" w:rsidRPr="00BE7D8E">
        <w:rPr>
          <w:rFonts w:ascii="Arial" w:hAnsi="Arial" w:cs="Arial"/>
          <w:color w:val="1F497D"/>
        </w:rPr>
        <w:t xml:space="preserve">- </w:t>
      </w:r>
      <w:r w:rsidR="004F44A8" w:rsidRPr="00BE7D8E">
        <w:rPr>
          <w:rFonts w:ascii="Arial" w:hAnsi="Arial" w:cs="Arial"/>
          <w:i w:val="0"/>
          <w:iCs w:val="0"/>
          <w:color w:val="1F497D"/>
        </w:rPr>
        <w:t xml:space="preserve">Rețea </w:t>
      </w:r>
      <w:r w:rsidR="005B68FD">
        <w:rPr>
          <w:rFonts w:ascii="Arial" w:hAnsi="Arial" w:cs="Arial"/>
          <w:i w:val="0"/>
          <w:iCs w:val="0"/>
          <w:color w:val="1F497D"/>
        </w:rPr>
        <w:t>trasee</w:t>
      </w:r>
      <w:r w:rsidR="004F44A8" w:rsidRPr="00BE7D8E">
        <w:rPr>
          <w:rFonts w:ascii="Arial" w:hAnsi="Arial" w:cs="Arial"/>
          <w:i w:val="0"/>
          <w:iCs w:val="0"/>
          <w:color w:val="1F497D"/>
        </w:rPr>
        <w:t xml:space="preserve"> </w:t>
      </w:r>
      <w:r w:rsidR="005B68FD">
        <w:rPr>
          <w:rFonts w:ascii="Arial" w:hAnsi="Arial" w:cs="Arial"/>
          <w:i w:val="0"/>
          <w:iCs w:val="0"/>
          <w:color w:val="1F497D"/>
        </w:rPr>
        <w:t>pentru</w:t>
      </w:r>
      <w:r w:rsidR="004F44A8" w:rsidRPr="00BE7D8E">
        <w:rPr>
          <w:rFonts w:ascii="Arial" w:hAnsi="Arial" w:cs="Arial"/>
          <w:i w:val="0"/>
          <w:iCs w:val="0"/>
          <w:color w:val="1F497D"/>
        </w:rPr>
        <w:t xml:space="preserve"> biciclete</w:t>
      </w:r>
      <w:bookmarkEnd w:id="611"/>
      <w:bookmarkEnd w:id="612"/>
    </w:p>
    <w:p w14:paraId="05806256" w14:textId="77777777" w:rsidR="004F44A8" w:rsidRPr="004F44A8" w:rsidRDefault="004F44A8" w:rsidP="004F44A8">
      <w:pPr>
        <w:widowControl w:val="0"/>
        <w:numPr>
          <w:ilvl w:val="0"/>
          <w:numId w:val="85"/>
        </w:numPr>
        <w:suppressAutoHyphens/>
        <w:autoSpaceDE w:val="0"/>
        <w:spacing w:after="0" w:line="276" w:lineRule="auto"/>
        <w:jc w:val="both"/>
        <w:rPr>
          <w:rFonts w:ascii="Arial" w:eastAsia="Calibri" w:hAnsi="Arial" w:cs="Arial"/>
          <w:color w:val="000000"/>
          <w:lang w:val="es-ES" w:eastAsia="zh-CN"/>
        </w:rPr>
      </w:pPr>
      <w:r w:rsidRPr="004F44A8">
        <w:rPr>
          <w:rFonts w:ascii="Arial" w:eastAsia="Arial" w:hAnsi="Arial" w:cs="Arial"/>
          <w:color w:val="000000"/>
          <w:lang w:val="es-ES" w:eastAsia="zh-CN"/>
        </w:rPr>
        <w:t>IX</w:t>
      </w:r>
      <w:r w:rsidRPr="004F44A8">
        <w:rPr>
          <w:rFonts w:ascii="Arial" w:eastAsia="Calibri" w:hAnsi="Arial" w:cs="Arial"/>
          <w:color w:val="000000"/>
          <w:lang w:val="es-ES" w:eastAsia="zh-CN"/>
        </w:rPr>
        <w:t>.2 = reabilitarea şi modernizarea infrastructurii rutiere = starea necorespunzătoare a suprafețelor rutiere impune un program de reabilitare și modernizare, în vederea creșterii siguranței rutiere, a reducerii timpilor de călătorie și a poluării, pe întreaga rețea de artere de circulație din oras – scor AMC = 6,22.</w:t>
      </w:r>
    </w:p>
    <w:p w14:paraId="294934EA" w14:textId="77777777" w:rsidR="004F44A8" w:rsidRPr="004F44A8" w:rsidRDefault="004F44A8" w:rsidP="004F44A8">
      <w:pPr>
        <w:suppressAutoHyphens/>
        <w:autoSpaceDE w:val="0"/>
        <w:spacing w:after="0" w:line="360" w:lineRule="auto"/>
        <w:rPr>
          <w:rFonts w:ascii="Arial" w:eastAsia="Calibri" w:hAnsi="Arial" w:cs="Arial"/>
          <w:color w:val="000000"/>
          <w:sz w:val="24"/>
          <w:szCs w:val="24"/>
          <w:lang w:eastAsia="zh-CN"/>
        </w:rPr>
      </w:pPr>
    </w:p>
    <w:p w14:paraId="787FCD45" w14:textId="77777777" w:rsidR="004F44A8" w:rsidRPr="004F44A8" w:rsidRDefault="004F44A8" w:rsidP="004F44A8">
      <w:pPr>
        <w:widowControl w:val="0"/>
        <w:numPr>
          <w:ilvl w:val="0"/>
          <w:numId w:val="82"/>
        </w:numPr>
        <w:suppressAutoHyphens/>
        <w:autoSpaceDE w:val="0"/>
        <w:spacing w:after="0" w:line="276" w:lineRule="auto"/>
        <w:jc w:val="both"/>
        <w:rPr>
          <w:rFonts w:ascii="Arial" w:eastAsia="Arial" w:hAnsi="Arial" w:cs="Arial"/>
          <w:color w:val="000000"/>
          <w:lang w:eastAsia="zh-CN"/>
        </w:rPr>
      </w:pPr>
      <w:r w:rsidRPr="004F44A8">
        <w:rPr>
          <w:rFonts w:ascii="Arial" w:eastAsia="Calibri" w:hAnsi="Arial" w:cs="Arial"/>
          <w:color w:val="000000"/>
          <w:lang w:eastAsia="zh-CN"/>
        </w:rPr>
        <w:t xml:space="preserve">VII.4 = reglementarea sistemului de transport "park and ride" = se poate introduce numai în urma unui </w:t>
      </w:r>
      <w:r w:rsidRPr="004F44A8">
        <w:rPr>
          <w:rFonts w:ascii="Arial" w:eastAsia="Calibri" w:hAnsi="Arial" w:cs="Arial"/>
          <w:b/>
          <w:color w:val="000000"/>
          <w:lang w:eastAsia="zh-CN"/>
        </w:rPr>
        <w:t xml:space="preserve">studiu </w:t>
      </w:r>
      <w:r w:rsidRPr="004F44A8">
        <w:rPr>
          <w:rFonts w:ascii="Arial" w:eastAsia="Calibri" w:hAnsi="Arial" w:cs="Arial"/>
          <w:color w:val="000000"/>
          <w:lang w:eastAsia="zh-CN"/>
        </w:rPr>
        <w:t>care va stabili care este perimetrul protejat (la limitele căruia se va face schimbul între autoturismul personal şi mijloacele de transport în comun), dar cel puţin la principalele penetraţii în oraş. Se recomand</w:t>
      </w:r>
      <w:r w:rsidR="008F01CD">
        <w:rPr>
          <w:rFonts w:ascii="Arial" w:eastAsia="Calibri" w:hAnsi="Arial" w:cs="Arial"/>
          <w:color w:val="000000"/>
          <w:lang w:eastAsia="zh-CN"/>
        </w:rPr>
        <w:t>ă</w:t>
      </w:r>
      <w:r w:rsidRPr="004F44A8">
        <w:rPr>
          <w:rFonts w:ascii="Arial" w:eastAsia="Calibri" w:hAnsi="Arial" w:cs="Arial"/>
          <w:color w:val="000000"/>
          <w:lang w:eastAsia="zh-CN"/>
        </w:rPr>
        <w:t xml:space="preserve"> construirea unei astfel de parc</w:t>
      </w:r>
      <w:r w:rsidR="000D2A93">
        <w:rPr>
          <w:rFonts w:ascii="Arial" w:eastAsia="Calibri" w:hAnsi="Arial" w:cs="Arial"/>
          <w:color w:val="000000"/>
          <w:lang w:eastAsia="zh-CN"/>
        </w:rPr>
        <w:t>ă</w:t>
      </w:r>
      <w:r w:rsidRPr="004F44A8">
        <w:rPr>
          <w:rFonts w:ascii="Arial" w:eastAsia="Calibri" w:hAnsi="Arial" w:cs="Arial"/>
          <w:color w:val="000000"/>
          <w:lang w:eastAsia="zh-CN"/>
        </w:rPr>
        <w:t>ri la intrarea dinspre R</w:t>
      </w:r>
      <w:r w:rsidR="000D2A93">
        <w:rPr>
          <w:rFonts w:ascii="Arial" w:eastAsia="Calibri" w:hAnsi="Arial" w:cs="Arial"/>
          <w:color w:val="000000"/>
          <w:lang w:eastAsia="zh-CN"/>
        </w:rPr>
        <w:t>â</w:t>
      </w:r>
      <w:r w:rsidRPr="004F44A8">
        <w:rPr>
          <w:rFonts w:ascii="Arial" w:eastAsia="Calibri" w:hAnsi="Arial" w:cs="Arial"/>
          <w:color w:val="000000"/>
          <w:lang w:eastAsia="zh-CN"/>
        </w:rPr>
        <w:t>mnicu V</w:t>
      </w:r>
      <w:r w:rsidR="000D2A93">
        <w:rPr>
          <w:rFonts w:ascii="Arial" w:eastAsia="Calibri" w:hAnsi="Arial" w:cs="Arial"/>
          <w:color w:val="000000"/>
          <w:lang w:eastAsia="zh-CN"/>
        </w:rPr>
        <w:t>â</w:t>
      </w:r>
      <w:r w:rsidRPr="004F44A8">
        <w:rPr>
          <w:rFonts w:ascii="Arial" w:eastAsia="Calibri" w:hAnsi="Arial" w:cs="Arial"/>
          <w:color w:val="000000"/>
          <w:lang w:eastAsia="zh-CN"/>
        </w:rPr>
        <w:t>lcea, dar numai dup</w:t>
      </w:r>
      <w:r w:rsidR="008F01CD">
        <w:rPr>
          <w:rFonts w:ascii="Arial" w:eastAsia="Calibri" w:hAnsi="Arial" w:cs="Arial"/>
          <w:color w:val="000000"/>
          <w:lang w:eastAsia="zh-CN"/>
        </w:rPr>
        <w:t>ă</w:t>
      </w:r>
      <w:r w:rsidRPr="004F44A8">
        <w:rPr>
          <w:rFonts w:ascii="Arial" w:eastAsia="Calibri" w:hAnsi="Arial" w:cs="Arial"/>
          <w:color w:val="000000"/>
          <w:lang w:eastAsia="zh-CN"/>
        </w:rPr>
        <w:t xml:space="preserve"> introducerea transportului public local </w:t>
      </w:r>
      <w:r w:rsidRPr="004F44A8">
        <w:rPr>
          <w:rFonts w:ascii="Arial" w:eastAsia="Calibri" w:hAnsi="Arial" w:cs="Arial"/>
          <w:color w:val="000000"/>
          <w:lang w:val="es-ES" w:eastAsia="zh-CN"/>
        </w:rPr>
        <w:t>– scor AMC = 6,21</w:t>
      </w:r>
      <w:r w:rsidRPr="004F44A8">
        <w:rPr>
          <w:rFonts w:ascii="Arial" w:eastAsia="Calibri" w:hAnsi="Arial" w:cs="Arial"/>
          <w:color w:val="000000"/>
          <w:lang w:eastAsia="zh-CN"/>
        </w:rPr>
        <w:t>.</w:t>
      </w:r>
    </w:p>
    <w:p w14:paraId="59F2CF38" w14:textId="77777777" w:rsidR="004F44A8" w:rsidRPr="004F44A8" w:rsidRDefault="004F44A8" w:rsidP="004F44A8">
      <w:pPr>
        <w:suppressAutoHyphens/>
        <w:autoSpaceDE w:val="0"/>
        <w:spacing w:after="0" w:line="360" w:lineRule="auto"/>
        <w:rPr>
          <w:rFonts w:ascii="Arial" w:eastAsia="Calibri" w:hAnsi="Arial" w:cs="Arial"/>
          <w:color w:val="000000"/>
          <w:sz w:val="24"/>
          <w:szCs w:val="24"/>
          <w:lang w:eastAsia="zh-CN"/>
        </w:rPr>
      </w:pPr>
    </w:p>
    <w:p w14:paraId="53047A9F" w14:textId="77777777" w:rsidR="004F44A8" w:rsidRPr="004F44A8" w:rsidRDefault="004F44A8" w:rsidP="004F44A8">
      <w:pPr>
        <w:widowControl w:val="0"/>
        <w:numPr>
          <w:ilvl w:val="0"/>
          <w:numId w:val="85"/>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 xml:space="preserve">IX.3 = reamenajarea intersecțiilor cu nivel de serviciu scăzut:  </w:t>
      </w:r>
    </w:p>
    <w:p w14:paraId="6DE11973" w14:textId="77777777" w:rsidR="004F44A8" w:rsidRPr="004F44A8" w:rsidRDefault="004F44A8" w:rsidP="004F44A8">
      <w:pPr>
        <w:suppressAutoHyphens/>
        <w:autoSpaceDE w:val="0"/>
        <w:spacing w:after="0" w:line="276" w:lineRule="auto"/>
        <w:ind w:left="1440"/>
        <w:jc w:val="both"/>
        <w:rPr>
          <w:rFonts w:ascii="Arial" w:eastAsia="Calibri" w:hAnsi="Arial" w:cs="Arial"/>
          <w:color w:val="000000"/>
          <w:lang w:val="es-ES" w:eastAsia="zh-CN"/>
        </w:rPr>
      </w:pPr>
      <w:r w:rsidRPr="004F44A8">
        <w:rPr>
          <w:rFonts w:ascii="Arial" w:eastAsia="Calibri" w:hAnsi="Arial" w:cs="Arial"/>
          <w:color w:val="000000"/>
          <w:lang w:val="es-ES" w:eastAsia="zh-CN"/>
        </w:rPr>
        <w:t>- DN 67 cu DN 65C = sens giratoriu;</w:t>
      </w:r>
    </w:p>
    <w:p w14:paraId="6F9A3BFF" w14:textId="77777777" w:rsidR="004F44A8" w:rsidRPr="004F44A8" w:rsidRDefault="004F44A8" w:rsidP="004F44A8">
      <w:pPr>
        <w:suppressAutoHyphens/>
        <w:autoSpaceDE w:val="0"/>
        <w:spacing w:after="0" w:line="276" w:lineRule="auto"/>
        <w:ind w:left="1440"/>
        <w:jc w:val="both"/>
        <w:rPr>
          <w:rFonts w:ascii="Arial" w:eastAsia="Calibri" w:hAnsi="Arial" w:cs="Arial"/>
          <w:color w:val="000000"/>
          <w:lang w:val="es-ES" w:eastAsia="zh-CN"/>
        </w:rPr>
      </w:pPr>
      <w:r w:rsidRPr="004F44A8">
        <w:rPr>
          <w:rFonts w:ascii="Arial" w:eastAsia="Calibri" w:hAnsi="Arial" w:cs="Arial"/>
          <w:color w:val="000000"/>
          <w:lang w:val="es-ES" w:eastAsia="zh-CN"/>
        </w:rPr>
        <w:t>- str. Tudor Vladimirescu cu DJ 665 = sens giratoriu;</w:t>
      </w:r>
    </w:p>
    <w:p w14:paraId="0AFCA325" w14:textId="77777777" w:rsidR="004F44A8" w:rsidRPr="004F44A8" w:rsidRDefault="004F44A8" w:rsidP="004F44A8">
      <w:pPr>
        <w:suppressAutoHyphens/>
        <w:autoSpaceDE w:val="0"/>
        <w:spacing w:after="0" w:line="276" w:lineRule="auto"/>
        <w:ind w:left="1440"/>
        <w:jc w:val="both"/>
        <w:rPr>
          <w:rFonts w:ascii="Arial" w:eastAsia="Calibri" w:hAnsi="Arial" w:cs="Arial"/>
          <w:color w:val="000000"/>
          <w:lang w:val="es-ES" w:eastAsia="zh-CN"/>
        </w:rPr>
      </w:pPr>
      <w:r w:rsidRPr="004F44A8">
        <w:rPr>
          <w:rFonts w:ascii="Arial" w:eastAsia="Calibri" w:hAnsi="Arial" w:cs="Arial"/>
          <w:color w:val="000000"/>
          <w:lang w:val="es-ES" w:eastAsia="zh-CN"/>
        </w:rPr>
        <w:t>- str. Tudor Vladimirescu cu str. 1 Decembrie si DC 139 = semaforizare;</w:t>
      </w:r>
    </w:p>
    <w:p w14:paraId="190B7F83" w14:textId="77777777" w:rsidR="004F44A8" w:rsidRPr="004F44A8" w:rsidRDefault="004F44A8" w:rsidP="004F44A8">
      <w:pPr>
        <w:suppressAutoHyphens/>
        <w:autoSpaceDE w:val="0"/>
        <w:spacing w:after="0" w:line="360" w:lineRule="auto"/>
        <w:rPr>
          <w:rFonts w:ascii="Arial" w:eastAsia="Calibri" w:hAnsi="Arial" w:cs="Arial"/>
          <w:color w:val="000000"/>
          <w:sz w:val="24"/>
          <w:szCs w:val="24"/>
          <w:lang w:eastAsia="zh-CN"/>
        </w:rPr>
      </w:pPr>
      <w:r w:rsidRPr="004F44A8">
        <w:rPr>
          <w:rFonts w:ascii="Arial" w:eastAsia="Calibri" w:hAnsi="Arial" w:cs="Arial"/>
          <w:color w:val="000000"/>
          <w:sz w:val="24"/>
          <w:szCs w:val="24"/>
          <w:lang w:eastAsia="zh-CN"/>
        </w:rPr>
        <w:tab/>
        <w:t>Scor AMC = 6,12.</w:t>
      </w:r>
    </w:p>
    <w:p w14:paraId="6927797D" w14:textId="77777777" w:rsidR="004F44A8" w:rsidRPr="004F44A8" w:rsidRDefault="004F44A8" w:rsidP="004F44A8">
      <w:pPr>
        <w:suppressAutoHyphens/>
        <w:autoSpaceDE w:val="0"/>
        <w:spacing w:after="0" w:line="360" w:lineRule="auto"/>
        <w:rPr>
          <w:rFonts w:ascii="Arial" w:eastAsia="Calibri" w:hAnsi="Arial" w:cs="Arial"/>
          <w:color w:val="000000"/>
          <w:sz w:val="24"/>
          <w:szCs w:val="24"/>
          <w:lang w:eastAsia="zh-CN"/>
        </w:rPr>
      </w:pPr>
    </w:p>
    <w:p w14:paraId="2A6C9364" w14:textId="77777777" w:rsidR="004F44A8" w:rsidRPr="004F44A8" w:rsidRDefault="004F44A8" w:rsidP="004F44A8">
      <w:pPr>
        <w:widowControl w:val="0"/>
        <w:numPr>
          <w:ilvl w:val="0"/>
          <w:numId w:val="73"/>
        </w:numPr>
        <w:suppressAutoHyphens/>
        <w:autoSpaceDE w:val="0"/>
        <w:spacing w:after="0" w:line="276" w:lineRule="auto"/>
        <w:jc w:val="both"/>
        <w:rPr>
          <w:rFonts w:ascii="Arial" w:eastAsia="Arial" w:hAnsi="Arial" w:cs="Arial"/>
          <w:color w:val="000000"/>
          <w:lang w:eastAsia="zh-CN"/>
        </w:rPr>
      </w:pPr>
      <w:r w:rsidRPr="004F44A8">
        <w:rPr>
          <w:rFonts w:ascii="Arial" w:eastAsia="Calibri" w:hAnsi="Arial" w:cs="Arial"/>
          <w:color w:val="000000"/>
          <w:lang w:eastAsia="zh-CN"/>
        </w:rPr>
        <w:t xml:space="preserve">I.3 = înfiinţarea unei structuri organizaţionale şi de planificare a activităţii de transport </w:t>
      </w:r>
      <w:r w:rsidRPr="004F44A8">
        <w:rPr>
          <w:rFonts w:ascii="Arial" w:eastAsia="Calibri" w:hAnsi="Arial" w:cs="Arial"/>
          <w:color w:val="000000"/>
          <w:lang w:eastAsia="zh-CN"/>
        </w:rPr>
        <w:lastRenderedPageBreak/>
        <w:t>public pentru Ora</w:t>
      </w:r>
      <w:r w:rsidR="000D2A93">
        <w:rPr>
          <w:rFonts w:ascii="Arial" w:eastAsia="Calibri" w:hAnsi="Arial" w:cs="Arial"/>
          <w:color w:val="000000"/>
          <w:lang w:eastAsia="zh-CN"/>
        </w:rPr>
        <w:t>ș</w:t>
      </w:r>
      <w:r w:rsidRPr="004F44A8">
        <w:rPr>
          <w:rFonts w:ascii="Arial" w:eastAsia="Calibri" w:hAnsi="Arial" w:cs="Arial"/>
          <w:color w:val="000000"/>
          <w:lang w:eastAsia="zh-CN"/>
        </w:rPr>
        <w:t xml:space="preserve">ul Horezu – scor AMC = 6,08. </w:t>
      </w:r>
    </w:p>
    <w:p w14:paraId="225F3B25" w14:textId="77777777" w:rsidR="004F44A8" w:rsidRPr="004F44A8" w:rsidRDefault="004F44A8" w:rsidP="004F44A8">
      <w:pPr>
        <w:suppressAutoHyphens/>
        <w:autoSpaceDE w:val="0"/>
        <w:spacing w:after="0" w:line="360" w:lineRule="auto"/>
        <w:rPr>
          <w:rFonts w:ascii="Arial" w:eastAsia="Calibri" w:hAnsi="Arial" w:cs="Arial"/>
          <w:color w:val="000000"/>
          <w:sz w:val="24"/>
          <w:szCs w:val="24"/>
          <w:lang w:eastAsia="zh-CN"/>
        </w:rPr>
      </w:pPr>
    </w:p>
    <w:p w14:paraId="3A6CCFC9" w14:textId="77777777" w:rsidR="004F44A8" w:rsidRPr="004F44A8" w:rsidRDefault="004F44A8" w:rsidP="004F44A8">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4F44A8">
        <w:rPr>
          <w:rFonts w:ascii="Arial" w:eastAsia="Calibri" w:hAnsi="Arial" w:cs="Arial"/>
          <w:color w:val="000000"/>
          <w:lang w:val="es-ES" w:eastAsia="zh-CN"/>
        </w:rPr>
        <w:t>X.3 = achizi</w:t>
      </w:r>
      <w:r w:rsidR="000D2A93">
        <w:rPr>
          <w:rFonts w:ascii="Arial" w:eastAsia="Calibri" w:hAnsi="Arial" w:cs="Arial"/>
          <w:color w:val="000000"/>
          <w:lang w:val="es-ES" w:eastAsia="zh-CN"/>
        </w:rPr>
        <w:t>ț</w:t>
      </w:r>
      <w:r w:rsidRPr="004F44A8">
        <w:rPr>
          <w:rFonts w:ascii="Arial" w:eastAsia="Calibri" w:hAnsi="Arial" w:cs="Arial"/>
          <w:color w:val="000000"/>
          <w:lang w:val="es-ES" w:eastAsia="zh-CN"/>
        </w:rPr>
        <w:t xml:space="preserve">ia unui parc de mijloace de transport în comun cu combustibili alternativi sau electrice pentru serviciul de transport public </w:t>
      </w:r>
      <w:r w:rsidRPr="004F44A8">
        <w:rPr>
          <w:rFonts w:ascii="Arial" w:eastAsia="Calibri" w:hAnsi="Arial" w:cs="Arial"/>
          <w:color w:val="000000"/>
          <w:lang w:eastAsia="zh-CN"/>
        </w:rPr>
        <w:t>– scor AMC = 6,07</w:t>
      </w:r>
      <w:r w:rsidRPr="004F44A8">
        <w:rPr>
          <w:rFonts w:ascii="Arial" w:eastAsia="Calibri" w:hAnsi="Arial" w:cs="Arial"/>
          <w:color w:val="000000"/>
          <w:lang w:val="es-ES" w:eastAsia="zh-CN"/>
        </w:rPr>
        <w:t>.</w:t>
      </w:r>
    </w:p>
    <w:p w14:paraId="7B6C2796" w14:textId="77777777" w:rsidR="004F44A8" w:rsidRPr="004F44A8" w:rsidRDefault="004F44A8" w:rsidP="004F44A8">
      <w:pPr>
        <w:suppressAutoHyphens/>
        <w:autoSpaceDE w:val="0"/>
        <w:spacing w:after="0" w:line="360" w:lineRule="auto"/>
        <w:rPr>
          <w:rFonts w:ascii="Arial" w:eastAsia="Calibri" w:hAnsi="Arial" w:cs="Arial"/>
          <w:color w:val="000000"/>
          <w:sz w:val="24"/>
          <w:szCs w:val="24"/>
          <w:lang w:eastAsia="zh-CN"/>
        </w:rPr>
      </w:pPr>
    </w:p>
    <w:p w14:paraId="7F378FF6" w14:textId="77777777" w:rsidR="004F44A8" w:rsidRPr="004F44A8" w:rsidRDefault="004F44A8" w:rsidP="004F44A8">
      <w:pPr>
        <w:widowControl w:val="0"/>
        <w:numPr>
          <w:ilvl w:val="0"/>
          <w:numId w:val="84"/>
        </w:numPr>
        <w:suppressAutoHyphens/>
        <w:autoSpaceDE w:val="0"/>
        <w:spacing w:after="0" w:line="276" w:lineRule="auto"/>
        <w:jc w:val="both"/>
        <w:rPr>
          <w:rFonts w:ascii="Arial" w:eastAsia="Calibri" w:hAnsi="Arial" w:cs="Arial"/>
          <w:b/>
          <w:lang w:val="es-ES" w:eastAsia="zh-CN"/>
        </w:rPr>
      </w:pPr>
      <w:r w:rsidRPr="004F44A8">
        <w:rPr>
          <w:rFonts w:ascii="Arial" w:hAnsi="Arial" w:cs="Arial"/>
          <w:lang w:val="es-ES"/>
        </w:rPr>
        <w:t xml:space="preserve">IX.1 = construirea centurii ocolitoare a oraşului = este necesară construirea inelului ocolitor care să scoată traficul de tranzit, în special traficul greu, din interiorul oraşului (studiul de fezabilitate </w:t>
      </w:r>
      <w:r w:rsidR="000D2A93">
        <w:rPr>
          <w:rFonts w:ascii="Arial" w:hAnsi="Arial" w:cs="Arial"/>
          <w:lang w:val="es-ES"/>
        </w:rPr>
        <w:t>î</w:t>
      </w:r>
      <w:r w:rsidRPr="004F44A8">
        <w:rPr>
          <w:rFonts w:ascii="Arial" w:hAnsi="Arial" w:cs="Arial"/>
          <w:lang w:val="es-ES"/>
        </w:rPr>
        <w:t xml:space="preserve">n curs de elaborare) </w:t>
      </w:r>
      <w:r w:rsidRPr="004F44A8">
        <w:rPr>
          <w:rFonts w:ascii="Arial" w:eastAsia="Calibri" w:hAnsi="Arial" w:cs="Arial"/>
          <w:color w:val="000000"/>
          <w:lang w:eastAsia="zh-CN"/>
        </w:rPr>
        <w:t>– scor AMC = 6,01.</w:t>
      </w:r>
    </w:p>
    <w:p w14:paraId="119AD4EB" w14:textId="77777777" w:rsidR="004F44A8" w:rsidRPr="004F44A8" w:rsidRDefault="004F44A8" w:rsidP="004F44A8">
      <w:pPr>
        <w:suppressAutoHyphens/>
        <w:autoSpaceDE w:val="0"/>
        <w:spacing w:after="0" w:line="360" w:lineRule="auto"/>
        <w:jc w:val="center"/>
        <w:rPr>
          <w:rFonts w:ascii="Calibri" w:hAnsi="Calibri" w:cs="Times New Roman"/>
          <w:noProof/>
          <w:lang w:val="ro-RO" w:eastAsia="ro-RO"/>
        </w:rPr>
      </w:pPr>
    </w:p>
    <w:p w14:paraId="7BE6FB48" w14:textId="77777777" w:rsidR="004F44A8" w:rsidRPr="004F44A8" w:rsidRDefault="003D3559" w:rsidP="004F44A8">
      <w:pPr>
        <w:suppressAutoHyphens/>
        <w:autoSpaceDE w:val="0"/>
        <w:spacing w:after="0" w:line="360" w:lineRule="auto"/>
        <w:jc w:val="center"/>
        <w:rPr>
          <w:rFonts w:ascii="Arial" w:eastAsia="Calibri" w:hAnsi="Arial" w:cs="Arial"/>
          <w:b/>
          <w:sz w:val="24"/>
          <w:szCs w:val="24"/>
          <w:lang w:val="es-ES" w:eastAsia="zh-CN"/>
        </w:rPr>
      </w:pPr>
      <w:r>
        <w:rPr>
          <w:noProof/>
        </w:rPr>
        <w:drawing>
          <wp:inline distT="0" distB="0" distL="0" distR="0" wp14:anchorId="45EE9E27" wp14:editId="6E361D2D">
            <wp:extent cx="5943600" cy="4681855"/>
            <wp:effectExtent l="0" t="0" r="0" b="444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943600" cy="4681855"/>
                    </a:xfrm>
                    <a:prstGeom prst="rect">
                      <a:avLst/>
                    </a:prstGeom>
                    <a:noFill/>
                    <a:ln>
                      <a:noFill/>
                    </a:ln>
                  </pic:spPr>
                </pic:pic>
              </a:graphicData>
            </a:graphic>
          </wp:inline>
        </w:drawing>
      </w:r>
    </w:p>
    <w:p w14:paraId="6742F709" w14:textId="77777777" w:rsidR="004F44A8" w:rsidRPr="004F44A8" w:rsidRDefault="004F44A8" w:rsidP="004F44A8">
      <w:pPr>
        <w:suppressAutoHyphens/>
        <w:autoSpaceDE w:val="0"/>
        <w:spacing w:after="0" w:line="360" w:lineRule="auto"/>
        <w:rPr>
          <w:rFonts w:ascii="Arial" w:eastAsia="Calibri" w:hAnsi="Arial" w:cs="Arial"/>
          <w:color w:val="000000"/>
          <w:sz w:val="20"/>
          <w:szCs w:val="20"/>
          <w:lang w:eastAsia="zh-CN"/>
        </w:rPr>
      </w:pPr>
      <w:r w:rsidRPr="004F44A8">
        <w:rPr>
          <w:rFonts w:ascii="Arial" w:eastAsia="Calibri" w:hAnsi="Arial" w:cs="Arial"/>
          <w:color w:val="000000"/>
          <w:sz w:val="20"/>
          <w:szCs w:val="20"/>
          <w:lang w:eastAsia="zh-CN"/>
        </w:rPr>
        <w:tab/>
        <w:t>Sursa: Primaria Horezu</w:t>
      </w:r>
    </w:p>
    <w:p w14:paraId="0F0BF41B" w14:textId="3A6A19F9" w:rsidR="004F44A8" w:rsidRPr="003D3559" w:rsidRDefault="00BE7D8E" w:rsidP="00BE7D8E">
      <w:pPr>
        <w:pStyle w:val="Legend"/>
        <w:jc w:val="center"/>
        <w:rPr>
          <w:rFonts w:ascii="Arial" w:eastAsia="Calibri" w:hAnsi="Arial" w:cs="Arial"/>
          <w:i w:val="0"/>
          <w:iCs w:val="0"/>
          <w:color w:val="000000"/>
          <w:sz w:val="22"/>
          <w:szCs w:val="22"/>
          <w:lang w:eastAsia="zh-CN"/>
        </w:rPr>
      </w:pPr>
      <w:bookmarkStart w:id="613" w:name="_Toc142039141"/>
      <w:r w:rsidRPr="003D3559">
        <w:rPr>
          <w:rFonts w:ascii="Arial" w:hAnsi="Arial" w:cs="Arial"/>
          <w:sz w:val="22"/>
          <w:szCs w:val="22"/>
        </w:rPr>
        <w:t xml:space="preserve">Figura I.8. </w:t>
      </w:r>
      <w:r w:rsidRPr="003D3559">
        <w:rPr>
          <w:rFonts w:ascii="Arial" w:hAnsi="Arial" w:cs="Arial"/>
          <w:sz w:val="22"/>
          <w:szCs w:val="22"/>
        </w:rPr>
        <w:fldChar w:fldCharType="begin"/>
      </w:r>
      <w:r w:rsidRPr="003D3559">
        <w:rPr>
          <w:rFonts w:ascii="Arial" w:hAnsi="Arial" w:cs="Arial"/>
          <w:sz w:val="22"/>
          <w:szCs w:val="22"/>
        </w:rPr>
        <w:instrText xml:space="preserve"> SEQ Figura_I.8. \* ARABIC </w:instrText>
      </w:r>
      <w:r w:rsidRPr="003D3559">
        <w:rPr>
          <w:rFonts w:ascii="Arial" w:hAnsi="Arial" w:cs="Arial"/>
          <w:sz w:val="22"/>
          <w:szCs w:val="22"/>
        </w:rPr>
        <w:fldChar w:fldCharType="separate"/>
      </w:r>
      <w:r w:rsidR="00BB181C">
        <w:rPr>
          <w:rFonts w:ascii="Arial" w:hAnsi="Arial" w:cs="Arial"/>
          <w:noProof/>
          <w:sz w:val="22"/>
          <w:szCs w:val="22"/>
        </w:rPr>
        <w:t>3</w:t>
      </w:r>
      <w:r w:rsidRPr="003D3559">
        <w:rPr>
          <w:rFonts w:ascii="Arial" w:hAnsi="Arial" w:cs="Arial"/>
          <w:sz w:val="22"/>
          <w:szCs w:val="22"/>
        </w:rPr>
        <w:fldChar w:fldCharType="end"/>
      </w:r>
      <w:r w:rsidRPr="003D3559">
        <w:rPr>
          <w:rFonts w:ascii="Arial" w:hAnsi="Arial" w:cs="Arial"/>
          <w:sz w:val="22"/>
          <w:szCs w:val="22"/>
        </w:rPr>
        <w:t xml:space="preserve"> </w:t>
      </w:r>
      <w:r w:rsidR="004F44A8" w:rsidRPr="003D3559">
        <w:rPr>
          <w:rFonts w:ascii="Arial" w:hAnsi="Arial" w:cs="Arial"/>
          <w:color w:val="1F497D"/>
          <w:sz w:val="22"/>
          <w:szCs w:val="22"/>
        </w:rPr>
        <w:t xml:space="preserve">- </w:t>
      </w:r>
      <w:r w:rsidR="004F44A8" w:rsidRPr="003D3559">
        <w:rPr>
          <w:rFonts w:ascii="Arial" w:hAnsi="Arial" w:cs="Arial"/>
          <w:i w:val="0"/>
          <w:iCs w:val="0"/>
          <w:color w:val="1F497D"/>
          <w:sz w:val="22"/>
          <w:szCs w:val="22"/>
        </w:rPr>
        <w:t>Centura ocolitoare Horezu</w:t>
      </w:r>
      <w:bookmarkEnd w:id="613"/>
    </w:p>
    <w:p w14:paraId="58A06F7F" w14:textId="77777777" w:rsidR="004F44A8" w:rsidRPr="004F44A8" w:rsidRDefault="004F44A8" w:rsidP="004F44A8">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4F44A8">
        <w:rPr>
          <w:rFonts w:ascii="Arial" w:eastAsia="Calibri" w:hAnsi="Arial" w:cs="Arial"/>
          <w:color w:val="000000"/>
          <w:lang w:eastAsia="zh-CN"/>
        </w:rPr>
        <w:t xml:space="preserve">X.7 = </w:t>
      </w:r>
      <w:r w:rsidR="00BE7D8E">
        <w:rPr>
          <w:rFonts w:ascii="Arial" w:eastAsia="Calibri" w:hAnsi="Arial" w:cs="Arial"/>
          <w:color w:val="000000"/>
          <w:lang w:eastAsia="zh-CN"/>
        </w:rPr>
        <w:t>î</w:t>
      </w:r>
      <w:r w:rsidRPr="004F44A8">
        <w:rPr>
          <w:rFonts w:ascii="Arial" w:eastAsia="Calibri" w:hAnsi="Arial" w:cs="Arial"/>
          <w:color w:val="000000"/>
          <w:lang w:eastAsia="zh-CN"/>
        </w:rPr>
        <w:t>nfiin</w:t>
      </w:r>
      <w:r w:rsidR="00BE7D8E">
        <w:rPr>
          <w:rFonts w:ascii="Arial" w:eastAsia="Calibri" w:hAnsi="Arial" w:cs="Arial"/>
          <w:color w:val="000000"/>
          <w:lang w:eastAsia="zh-CN"/>
        </w:rPr>
        <w:t>ț</w:t>
      </w:r>
      <w:r w:rsidRPr="004F44A8">
        <w:rPr>
          <w:rFonts w:ascii="Arial" w:eastAsia="Calibri" w:hAnsi="Arial" w:cs="Arial"/>
          <w:color w:val="000000"/>
          <w:lang w:eastAsia="zh-CN"/>
        </w:rPr>
        <w:t>area unui traseu turistic Horezu – Sta</w:t>
      </w:r>
      <w:r w:rsidR="000D2A93">
        <w:rPr>
          <w:rFonts w:ascii="Arial" w:eastAsia="Calibri" w:hAnsi="Arial" w:cs="Arial"/>
          <w:color w:val="000000"/>
          <w:lang w:eastAsia="zh-CN"/>
        </w:rPr>
        <w:t>ț</w:t>
      </w:r>
      <w:r w:rsidRPr="004F44A8">
        <w:rPr>
          <w:rFonts w:ascii="Arial" w:eastAsia="Calibri" w:hAnsi="Arial" w:cs="Arial"/>
          <w:color w:val="000000"/>
          <w:lang w:eastAsia="zh-CN"/>
        </w:rPr>
        <w:t>iunea V</w:t>
      </w:r>
      <w:r w:rsidR="00BE7D8E">
        <w:rPr>
          <w:rFonts w:ascii="Arial" w:eastAsia="Calibri" w:hAnsi="Arial" w:cs="Arial"/>
          <w:color w:val="000000"/>
          <w:lang w:eastAsia="zh-CN"/>
        </w:rPr>
        <w:t>â</w:t>
      </w:r>
      <w:r w:rsidRPr="004F44A8">
        <w:rPr>
          <w:rFonts w:ascii="Arial" w:eastAsia="Calibri" w:hAnsi="Arial" w:cs="Arial"/>
          <w:color w:val="000000"/>
          <w:lang w:eastAsia="zh-CN"/>
        </w:rPr>
        <w:t>rful lui Roman – scor AMC = 5,99.</w:t>
      </w:r>
    </w:p>
    <w:p w14:paraId="1DE2441D" w14:textId="77777777" w:rsidR="004F44A8" w:rsidRPr="004F44A8" w:rsidRDefault="004F44A8" w:rsidP="004F44A8">
      <w:pPr>
        <w:widowControl w:val="0"/>
        <w:suppressAutoHyphens/>
        <w:autoSpaceDE w:val="0"/>
        <w:spacing w:after="0" w:line="276" w:lineRule="auto"/>
        <w:jc w:val="both"/>
        <w:rPr>
          <w:rFonts w:ascii="Arial" w:eastAsia="Calibri" w:hAnsi="Arial" w:cs="Arial"/>
          <w:color w:val="000000"/>
          <w:lang w:eastAsia="zh-CN"/>
        </w:rPr>
      </w:pPr>
    </w:p>
    <w:p w14:paraId="0C5BD25F" w14:textId="77777777" w:rsidR="004F44A8" w:rsidRPr="004F44A8" w:rsidRDefault="004F44A8" w:rsidP="00FB373E">
      <w:pPr>
        <w:widowControl w:val="0"/>
        <w:suppressAutoHyphens/>
        <w:autoSpaceDE w:val="0"/>
        <w:spacing w:after="0" w:line="276" w:lineRule="auto"/>
        <w:jc w:val="center"/>
        <w:rPr>
          <w:rFonts w:ascii="Arial" w:eastAsia="Arial" w:hAnsi="Arial" w:cs="Arial"/>
          <w:color w:val="000000"/>
          <w:lang w:val="es-ES" w:eastAsia="zh-CN"/>
        </w:rPr>
      </w:pPr>
      <w:r w:rsidRPr="004F44A8">
        <w:rPr>
          <w:rFonts w:ascii="Arial" w:eastAsia="Arial" w:hAnsi="Arial" w:cs="Arial"/>
          <w:noProof/>
          <w:color w:val="000000"/>
        </w:rPr>
        <w:lastRenderedPageBreak/>
        <w:drawing>
          <wp:inline distT="0" distB="0" distL="0" distR="0" wp14:anchorId="2D0A2D7A" wp14:editId="7A7F6AF9">
            <wp:extent cx="5733415" cy="3250898"/>
            <wp:effectExtent l="0" t="0" r="635" b="6985"/>
            <wp:docPr id="196" name="Picture 196" descr="E:\Horezu\Materiale lucru\Traseu turi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Horezu\Materiale lucru\Traseu turistic.jp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33415" cy="3250898"/>
                    </a:xfrm>
                    <a:prstGeom prst="rect">
                      <a:avLst/>
                    </a:prstGeom>
                    <a:noFill/>
                    <a:ln>
                      <a:noFill/>
                    </a:ln>
                  </pic:spPr>
                </pic:pic>
              </a:graphicData>
            </a:graphic>
          </wp:inline>
        </w:drawing>
      </w:r>
    </w:p>
    <w:p w14:paraId="39A24514" w14:textId="77777777" w:rsidR="004F44A8" w:rsidRPr="004F44A8" w:rsidRDefault="004F44A8" w:rsidP="004F44A8">
      <w:pPr>
        <w:suppressAutoHyphens/>
        <w:autoSpaceDE w:val="0"/>
        <w:spacing w:after="0" w:line="360" w:lineRule="auto"/>
        <w:rPr>
          <w:rFonts w:ascii="Arial" w:eastAsia="Calibri" w:hAnsi="Arial" w:cs="Arial"/>
          <w:color w:val="000000"/>
          <w:sz w:val="20"/>
          <w:szCs w:val="20"/>
          <w:lang w:eastAsia="zh-CN"/>
        </w:rPr>
      </w:pPr>
      <w:r w:rsidRPr="004F44A8">
        <w:rPr>
          <w:rFonts w:ascii="Arial" w:eastAsia="Calibri" w:hAnsi="Arial" w:cs="Arial"/>
          <w:color w:val="000000"/>
          <w:sz w:val="20"/>
          <w:szCs w:val="20"/>
          <w:lang w:eastAsia="zh-CN"/>
        </w:rPr>
        <w:t>Sursa: Elaborator INCERTRANS SA</w:t>
      </w:r>
    </w:p>
    <w:p w14:paraId="2140DD72" w14:textId="138AB7F9" w:rsidR="004F44A8" w:rsidRPr="00BE7D8E" w:rsidRDefault="00BE7D8E" w:rsidP="00BE7D8E">
      <w:pPr>
        <w:pStyle w:val="Legend"/>
        <w:jc w:val="center"/>
        <w:rPr>
          <w:rFonts w:ascii="Arial" w:eastAsia="Calibri" w:hAnsi="Arial" w:cs="Arial"/>
          <w:i w:val="0"/>
          <w:iCs w:val="0"/>
          <w:color w:val="000000"/>
          <w:sz w:val="22"/>
          <w:szCs w:val="22"/>
          <w:lang w:eastAsia="zh-CN"/>
        </w:rPr>
      </w:pPr>
      <w:bookmarkStart w:id="614" w:name="_Toc142039142"/>
      <w:r w:rsidRPr="00BE7D8E">
        <w:rPr>
          <w:rFonts w:ascii="Arial" w:hAnsi="Arial" w:cs="Arial"/>
          <w:sz w:val="22"/>
          <w:szCs w:val="22"/>
        </w:rPr>
        <w:t xml:space="preserve">Figura I.8. </w:t>
      </w:r>
      <w:r w:rsidRPr="00BE7D8E">
        <w:rPr>
          <w:rFonts w:ascii="Arial" w:hAnsi="Arial" w:cs="Arial"/>
          <w:sz w:val="22"/>
          <w:szCs w:val="22"/>
        </w:rPr>
        <w:fldChar w:fldCharType="begin"/>
      </w:r>
      <w:r w:rsidRPr="00BE7D8E">
        <w:rPr>
          <w:rFonts w:ascii="Arial" w:hAnsi="Arial" w:cs="Arial"/>
          <w:sz w:val="22"/>
          <w:szCs w:val="22"/>
        </w:rPr>
        <w:instrText xml:space="preserve"> SEQ Figura_I.8. \* ARABIC </w:instrText>
      </w:r>
      <w:r w:rsidRPr="00BE7D8E">
        <w:rPr>
          <w:rFonts w:ascii="Arial" w:hAnsi="Arial" w:cs="Arial"/>
          <w:sz w:val="22"/>
          <w:szCs w:val="22"/>
        </w:rPr>
        <w:fldChar w:fldCharType="separate"/>
      </w:r>
      <w:r w:rsidR="00BB181C">
        <w:rPr>
          <w:rFonts w:ascii="Arial" w:hAnsi="Arial" w:cs="Arial"/>
          <w:noProof/>
          <w:sz w:val="22"/>
          <w:szCs w:val="22"/>
        </w:rPr>
        <w:t>4</w:t>
      </w:r>
      <w:r w:rsidRPr="00BE7D8E">
        <w:rPr>
          <w:rFonts w:ascii="Arial" w:hAnsi="Arial" w:cs="Arial"/>
          <w:sz w:val="22"/>
          <w:szCs w:val="22"/>
        </w:rPr>
        <w:fldChar w:fldCharType="end"/>
      </w:r>
      <w:r w:rsidRPr="00BE7D8E">
        <w:rPr>
          <w:rFonts w:ascii="Arial" w:hAnsi="Arial" w:cs="Arial"/>
          <w:sz w:val="22"/>
          <w:szCs w:val="22"/>
        </w:rPr>
        <w:t xml:space="preserve"> </w:t>
      </w:r>
      <w:r w:rsidR="004F44A8" w:rsidRPr="00BE7D8E">
        <w:rPr>
          <w:rFonts w:ascii="Arial" w:hAnsi="Arial" w:cs="Arial"/>
          <w:color w:val="1F497D"/>
          <w:sz w:val="22"/>
          <w:szCs w:val="22"/>
        </w:rPr>
        <w:t xml:space="preserve">– </w:t>
      </w:r>
      <w:r w:rsidR="004F44A8" w:rsidRPr="00BE7D8E">
        <w:rPr>
          <w:rFonts w:ascii="Arial" w:hAnsi="Arial" w:cs="Arial"/>
          <w:i w:val="0"/>
          <w:iCs w:val="0"/>
          <w:color w:val="1F497D"/>
          <w:sz w:val="22"/>
          <w:szCs w:val="22"/>
        </w:rPr>
        <w:t>Traseu turistic propus</w:t>
      </w:r>
      <w:bookmarkEnd w:id="614"/>
    </w:p>
    <w:p w14:paraId="507C1556" w14:textId="77777777" w:rsidR="004F44A8" w:rsidRPr="004F44A8" w:rsidRDefault="004F44A8" w:rsidP="004F44A8">
      <w:pPr>
        <w:widowControl w:val="0"/>
        <w:numPr>
          <w:ilvl w:val="0"/>
          <w:numId w:val="82"/>
        </w:numPr>
        <w:suppressAutoHyphens/>
        <w:autoSpaceDE w:val="0"/>
        <w:spacing w:after="0" w:line="276" w:lineRule="auto"/>
        <w:jc w:val="both"/>
        <w:rPr>
          <w:rFonts w:ascii="Arial" w:eastAsia="Arial" w:hAnsi="Arial" w:cs="Arial"/>
          <w:color w:val="000000"/>
          <w:lang w:val="es-ES" w:eastAsia="zh-CN"/>
        </w:rPr>
      </w:pPr>
      <w:r w:rsidRPr="004F44A8">
        <w:rPr>
          <w:rFonts w:ascii="Arial" w:eastAsia="Calibri" w:hAnsi="Arial" w:cs="Arial"/>
          <w:color w:val="000000"/>
          <w:lang w:val="es-ES" w:eastAsia="zh-CN"/>
        </w:rPr>
        <w:t xml:space="preserve">VII.1 = </w:t>
      </w:r>
      <w:r w:rsidR="000D2A93" w:rsidRPr="000D2A93">
        <w:rPr>
          <w:rFonts w:ascii="Arial" w:eastAsia="Calibri" w:hAnsi="Arial" w:cs="Arial"/>
          <w:color w:val="000000"/>
          <w:lang w:val="es-ES" w:eastAsia="zh-CN"/>
        </w:rPr>
        <w:t>elaborarea unei politici de parcare pentru mobilitate urbană durabilă = politică de gestionare a parcării urbane este unul dintre cele mai puternice instrumente aflate la dispoziția primăriilor pentru a influența tiparele de mobilitate urbană, pentru a controla amenajarea și utilizarea spațiului urban și, în ultimă instanță, pentru a determina calitatea vieții urbane – scor AMC = 5,68</w:t>
      </w:r>
      <w:r w:rsidRPr="004F44A8">
        <w:rPr>
          <w:rFonts w:ascii="Arial" w:eastAsia="Calibri" w:hAnsi="Arial" w:cs="Arial"/>
          <w:color w:val="000000"/>
          <w:lang w:val="es-ES" w:eastAsia="zh-CN"/>
        </w:rPr>
        <w:t xml:space="preserve">. </w:t>
      </w:r>
    </w:p>
    <w:p w14:paraId="434B638D" w14:textId="77777777" w:rsidR="004F44A8" w:rsidRPr="004F44A8" w:rsidRDefault="004F44A8" w:rsidP="004F44A8">
      <w:pPr>
        <w:suppressAutoHyphens/>
        <w:autoSpaceDE w:val="0"/>
        <w:spacing w:after="0" w:line="360" w:lineRule="auto"/>
        <w:rPr>
          <w:rFonts w:ascii="Arial" w:eastAsia="Calibri" w:hAnsi="Arial" w:cs="Arial"/>
          <w:color w:val="000000"/>
          <w:sz w:val="24"/>
          <w:szCs w:val="24"/>
          <w:lang w:eastAsia="zh-CN"/>
        </w:rPr>
      </w:pPr>
    </w:p>
    <w:p w14:paraId="3E36F3DC" w14:textId="494B1BED" w:rsidR="004F44A8" w:rsidRPr="004F44A8" w:rsidRDefault="004F44A8" w:rsidP="004F44A8">
      <w:pPr>
        <w:widowControl w:val="0"/>
        <w:numPr>
          <w:ilvl w:val="0"/>
          <w:numId w:val="85"/>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IX.4 = introducerea de sensuri unice = prin extinderea acestui sistem de organizare se pot obține beneficii atât din punct de vedere al fluenței traficului, cât și din punct de vedere al amenajărilor pentru micromobilitate (</w:t>
      </w:r>
      <w:r w:rsidR="005B68FD">
        <w:rPr>
          <w:rFonts w:ascii="Arial" w:eastAsia="Calibri" w:hAnsi="Arial" w:cs="Arial"/>
          <w:color w:val="000000"/>
          <w:lang w:val="es-ES" w:eastAsia="zh-CN"/>
        </w:rPr>
        <w:t>trasee pentru</w:t>
      </w:r>
      <w:r w:rsidRPr="004F44A8">
        <w:rPr>
          <w:rFonts w:ascii="Arial" w:eastAsia="Calibri" w:hAnsi="Arial" w:cs="Arial"/>
          <w:color w:val="000000"/>
          <w:lang w:val="es-ES" w:eastAsia="zh-CN"/>
        </w:rPr>
        <w:t xml:space="preserve"> biciclete, zone pietonale mai generoase) și nu în ultimul rând al creării de spații pentru amenajarea de parcări – scor AMC = 5,54.</w:t>
      </w:r>
    </w:p>
    <w:p w14:paraId="5D361E61" w14:textId="77777777" w:rsidR="004F44A8" w:rsidRPr="004F44A8" w:rsidRDefault="004F44A8" w:rsidP="004F44A8">
      <w:pPr>
        <w:widowControl w:val="0"/>
        <w:suppressAutoHyphens/>
        <w:autoSpaceDE w:val="0"/>
        <w:spacing w:after="0" w:line="276" w:lineRule="auto"/>
        <w:jc w:val="center"/>
        <w:rPr>
          <w:rFonts w:ascii="Arial" w:eastAsia="Calibri" w:hAnsi="Arial" w:cs="Arial"/>
          <w:color w:val="000000"/>
          <w:lang w:val="es-ES" w:eastAsia="zh-CN"/>
        </w:rPr>
      </w:pPr>
      <w:r w:rsidRPr="004F44A8">
        <w:rPr>
          <w:rFonts w:ascii="Arial" w:eastAsia="Calibri" w:hAnsi="Arial" w:cs="Arial"/>
          <w:noProof/>
          <w:color w:val="000000"/>
        </w:rPr>
        <w:lastRenderedPageBreak/>
        <w:drawing>
          <wp:inline distT="0" distB="0" distL="0" distR="0" wp14:anchorId="0537C181" wp14:editId="47072CD5">
            <wp:extent cx="5018405" cy="4220845"/>
            <wp:effectExtent l="0" t="0" r="0" b="825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018405" cy="4220845"/>
                    </a:xfrm>
                    <a:prstGeom prst="rect">
                      <a:avLst/>
                    </a:prstGeom>
                    <a:noFill/>
                    <a:ln>
                      <a:noFill/>
                    </a:ln>
                  </pic:spPr>
                </pic:pic>
              </a:graphicData>
            </a:graphic>
          </wp:inline>
        </w:drawing>
      </w:r>
    </w:p>
    <w:p w14:paraId="003858D1" w14:textId="327A825C" w:rsidR="004F44A8" w:rsidRPr="008F01CD" w:rsidRDefault="008F01CD" w:rsidP="008F01CD">
      <w:pPr>
        <w:pStyle w:val="Legend"/>
        <w:jc w:val="center"/>
        <w:rPr>
          <w:rFonts w:ascii="Arial" w:eastAsia="Calibri" w:hAnsi="Arial" w:cs="Arial"/>
          <w:color w:val="000000"/>
          <w:sz w:val="22"/>
          <w:szCs w:val="22"/>
          <w:lang w:eastAsia="zh-CN"/>
        </w:rPr>
      </w:pPr>
      <w:bookmarkStart w:id="615" w:name="_Toc142039143"/>
      <w:r w:rsidRPr="008F01CD">
        <w:rPr>
          <w:rFonts w:ascii="Arial" w:hAnsi="Arial" w:cs="Arial"/>
          <w:sz w:val="22"/>
          <w:szCs w:val="22"/>
        </w:rPr>
        <w:t xml:space="preserve">Figura I.8. </w:t>
      </w:r>
      <w:r w:rsidRPr="008F01CD">
        <w:rPr>
          <w:rFonts w:ascii="Arial" w:hAnsi="Arial" w:cs="Arial"/>
          <w:sz w:val="22"/>
          <w:szCs w:val="22"/>
        </w:rPr>
        <w:fldChar w:fldCharType="begin"/>
      </w:r>
      <w:r w:rsidRPr="008F01CD">
        <w:rPr>
          <w:rFonts w:ascii="Arial" w:hAnsi="Arial" w:cs="Arial"/>
          <w:sz w:val="22"/>
          <w:szCs w:val="22"/>
        </w:rPr>
        <w:instrText xml:space="preserve"> SEQ Figura_I.8. \* ARABIC </w:instrText>
      </w:r>
      <w:r w:rsidRPr="008F01CD">
        <w:rPr>
          <w:rFonts w:ascii="Arial" w:hAnsi="Arial" w:cs="Arial"/>
          <w:sz w:val="22"/>
          <w:szCs w:val="22"/>
        </w:rPr>
        <w:fldChar w:fldCharType="separate"/>
      </w:r>
      <w:r w:rsidR="00BB181C">
        <w:rPr>
          <w:rFonts w:ascii="Arial" w:hAnsi="Arial" w:cs="Arial"/>
          <w:noProof/>
          <w:sz w:val="22"/>
          <w:szCs w:val="22"/>
        </w:rPr>
        <w:t>5</w:t>
      </w:r>
      <w:r w:rsidRPr="008F01CD">
        <w:rPr>
          <w:rFonts w:ascii="Arial" w:hAnsi="Arial" w:cs="Arial"/>
          <w:sz w:val="22"/>
          <w:szCs w:val="22"/>
        </w:rPr>
        <w:fldChar w:fldCharType="end"/>
      </w:r>
      <w:r w:rsidRPr="008F01CD">
        <w:rPr>
          <w:rFonts w:ascii="Arial" w:hAnsi="Arial" w:cs="Arial"/>
          <w:sz w:val="22"/>
          <w:szCs w:val="22"/>
        </w:rPr>
        <w:t xml:space="preserve"> </w:t>
      </w:r>
      <w:r w:rsidR="004F44A8" w:rsidRPr="008F01CD">
        <w:rPr>
          <w:rFonts w:ascii="Arial" w:hAnsi="Arial" w:cs="Arial"/>
          <w:color w:val="1F497D"/>
          <w:sz w:val="22"/>
          <w:szCs w:val="22"/>
        </w:rPr>
        <w:t xml:space="preserve">– </w:t>
      </w:r>
      <w:r w:rsidR="004F44A8" w:rsidRPr="008F01CD">
        <w:rPr>
          <w:rFonts w:ascii="Arial" w:hAnsi="Arial" w:cs="Arial"/>
          <w:i w:val="0"/>
          <w:iCs w:val="0"/>
          <w:color w:val="1F497D"/>
          <w:sz w:val="22"/>
          <w:szCs w:val="22"/>
        </w:rPr>
        <w:t>Sensuri unice Horezu</w:t>
      </w:r>
      <w:bookmarkEnd w:id="615"/>
    </w:p>
    <w:p w14:paraId="0CB3FAC8" w14:textId="77777777" w:rsidR="004F44A8" w:rsidRPr="004F44A8" w:rsidRDefault="004F44A8" w:rsidP="004F44A8">
      <w:pPr>
        <w:widowControl w:val="0"/>
        <w:numPr>
          <w:ilvl w:val="0"/>
          <w:numId w:val="86"/>
        </w:numPr>
        <w:suppressAutoHyphens/>
        <w:autoSpaceDE w:val="0"/>
        <w:spacing w:after="0" w:line="276" w:lineRule="auto"/>
        <w:jc w:val="both"/>
        <w:rPr>
          <w:rFonts w:ascii="Arial" w:eastAsia="Arial" w:hAnsi="Arial" w:cs="Arial"/>
          <w:color w:val="000000"/>
          <w:lang w:eastAsia="zh-CN"/>
        </w:rPr>
      </w:pPr>
      <w:r w:rsidRPr="004F44A8">
        <w:rPr>
          <w:rFonts w:ascii="Arial" w:eastAsia="Arial" w:hAnsi="Arial" w:cs="Arial"/>
          <w:color w:val="000000"/>
          <w:lang w:eastAsia="zh-CN"/>
        </w:rPr>
        <w:t>X</w:t>
      </w:r>
      <w:r w:rsidRPr="004F44A8">
        <w:rPr>
          <w:rFonts w:ascii="Arial" w:eastAsia="Calibri" w:hAnsi="Arial" w:cs="Arial"/>
          <w:color w:val="000000"/>
          <w:lang w:eastAsia="zh-CN"/>
        </w:rPr>
        <w:t xml:space="preserve">.1 = </w:t>
      </w:r>
      <w:r w:rsidR="000D2A93" w:rsidRPr="000D2A93">
        <w:rPr>
          <w:rFonts w:ascii="Arial" w:eastAsia="Calibri" w:hAnsi="Arial" w:cs="Arial"/>
          <w:color w:val="000000"/>
          <w:lang w:eastAsia="zh-CN"/>
        </w:rPr>
        <w:t>introducerea sistemului de transport public local, inclusiv către localitățile componente ale orașului = în scopul reducerii ponderii utilizării autoturismului personal, trebuie oferite alternative de deplasare locuitorilor orașului. Transportul public reprezintă, pe lângă modurile alternative de transport, o soluție viabilă care să contribuie nu numai la reducerea fluxurilor de vehicule generatoare de congestii de trafic, dar și la reducerea  poluării atmosferice și fonice. O propunere de rețea de transport public este prezentată în figura următoare</w:t>
      </w:r>
      <w:r w:rsidRPr="004F44A8">
        <w:rPr>
          <w:rFonts w:ascii="Arial" w:eastAsia="Calibri" w:hAnsi="Arial" w:cs="Arial"/>
          <w:color w:val="000000"/>
          <w:lang w:eastAsia="zh-CN"/>
        </w:rPr>
        <w:t>.</w:t>
      </w:r>
    </w:p>
    <w:p w14:paraId="6FA88E9D" w14:textId="77777777" w:rsidR="004F44A8" w:rsidRPr="004F44A8" w:rsidRDefault="004F44A8" w:rsidP="004F44A8">
      <w:pPr>
        <w:widowControl w:val="0"/>
        <w:suppressAutoHyphens/>
        <w:autoSpaceDE w:val="0"/>
        <w:spacing w:after="0" w:line="276" w:lineRule="auto"/>
        <w:ind w:left="720"/>
        <w:jc w:val="both"/>
        <w:rPr>
          <w:rFonts w:ascii="Arial" w:eastAsia="Arial" w:hAnsi="Arial" w:cs="Arial"/>
          <w:color w:val="000000"/>
          <w:lang w:eastAsia="zh-CN"/>
        </w:rPr>
      </w:pPr>
      <w:r w:rsidRPr="004F44A8">
        <w:rPr>
          <w:rFonts w:ascii="Arial" w:eastAsia="Arial" w:hAnsi="Arial" w:cs="Arial"/>
          <w:color w:val="000000"/>
          <w:lang w:eastAsia="zh-CN"/>
        </w:rPr>
        <w:t>Scor AMC = 5,51.</w:t>
      </w:r>
    </w:p>
    <w:p w14:paraId="307421F3" w14:textId="77777777" w:rsidR="004F44A8" w:rsidRPr="004F44A8" w:rsidRDefault="004F44A8" w:rsidP="004F44A8">
      <w:pPr>
        <w:widowControl w:val="0"/>
        <w:suppressAutoHyphens/>
        <w:autoSpaceDE w:val="0"/>
        <w:spacing w:after="0" w:line="276" w:lineRule="auto"/>
        <w:ind w:left="720"/>
        <w:jc w:val="both"/>
        <w:rPr>
          <w:rFonts w:ascii="Arial" w:eastAsia="Arial" w:hAnsi="Arial" w:cs="Arial"/>
          <w:color w:val="000000"/>
          <w:lang w:eastAsia="zh-CN"/>
        </w:rPr>
      </w:pPr>
      <w:r w:rsidRPr="004F44A8">
        <w:rPr>
          <w:rFonts w:ascii="Arial" w:eastAsia="Arial" w:hAnsi="Arial" w:cs="Arial"/>
          <w:color w:val="000000"/>
          <w:lang w:eastAsia="zh-CN"/>
        </w:rPr>
        <w:t>Noile linii de transport public ar putea avea urm</w:t>
      </w:r>
      <w:r w:rsidR="000D2A93">
        <w:rPr>
          <w:rFonts w:ascii="Arial" w:eastAsia="Arial" w:hAnsi="Arial" w:cs="Arial"/>
          <w:color w:val="000000"/>
          <w:lang w:eastAsia="zh-CN"/>
        </w:rPr>
        <w:t>ă</w:t>
      </w:r>
      <w:r w:rsidRPr="004F44A8">
        <w:rPr>
          <w:rFonts w:ascii="Arial" w:eastAsia="Arial" w:hAnsi="Arial" w:cs="Arial"/>
          <w:color w:val="000000"/>
          <w:lang w:eastAsia="zh-CN"/>
        </w:rPr>
        <w:t>toarele trasee (insist</w:t>
      </w:r>
      <w:r w:rsidR="000D2A93">
        <w:rPr>
          <w:rFonts w:ascii="Arial" w:eastAsia="Arial" w:hAnsi="Arial" w:cs="Arial"/>
          <w:color w:val="000000"/>
          <w:lang w:eastAsia="zh-CN"/>
        </w:rPr>
        <w:t>ă</w:t>
      </w:r>
      <w:r w:rsidRPr="004F44A8">
        <w:rPr>
          <w:rFonts w:ascii="Arial" w:eastAsia="Arial" w:hAnsi="Arial" w:cs="Arial"/>
          <w:color w:val="000000"/>
          <w:lang w:eastAsia="zh-CN"/>
        </w:rPr>
        <w:t>m asupra faptului ca orice configurare a unei re</w:t>
      </w:r>
      <w:r w:rsidR="000D2A93">
        <w:rPr>
          <w:rFonts w:ascii="Arial" w:eastAsia="Arial" w:hAnsi="Arial" w:cs="Arial"/>
          <w:color w:val="000000"/>
          <w:lang w:eastAsia="zh-CN"/>
        </w:rPr>
        <w:t>ț</w:t>
      </w:r>
      <w:r w:rsidRPr="004F44A8">
        <w:rPr>
          <w:rFonts w:ascii="Arial" w:eastAsia="Arial" w:hAnsi="Arial" w:cs="Arial"/>
          <w:color w:val="000000"/>
          <w:lang w:eastAsia="zh-CN"/>
        </w:rPr>
        <w:t>ele de transport public trebuie s</w:t>
      </w:r>
      <w:r w:rsidR="000D2A93">
        <w:rPr>
          <w:rFonts w:ascii="Arial" w:eastAsia="Arial" w:hAnsi="Arial" w:cs="Arial"/>
          <w:color w:val="000000"/>
          <w:lang w:eastAsia="zh-CN"/>
        </w:rPr>
        <w:t>ă</w:t>
      </w:r>
      <w:r w:rsidRPr="004F44A8">
        <w:rPr>
          <w:rFonts w:ascii="Arial" w:eastAsia="Arial" w:hAnsi="Arial" w:cs="Arial"/>
          <w:color w:val="000000"/>
          <w:lang w:eastAsia="zh-CN"/>
        </w:rPr>
        <w:t xml:space="preserve"> aib</w:t>
      </w:r>
      <w:r w:rsidR="000D2A93">
        <w:rPr>
          <w:rFonts w:ascii="Arial" w:eastAsia="Arial" w:hAnsi="Arial" w:cs="Arial"/>
          <w:color w:val="000000"/>
          <w:lang w:eastAsia="zh-CN"/>
        </w:rPr>
        <w:t>ă</w:t>
      </w:r>
      <w:r w:rsidRPr="004F44A8">
        <w:rPr>
          <w:rFonts w:ascii="Arial" w:eastAsia="Arial" w:hAnsi="Arial" w:cs="Arial"/>
          <w:color w:val="000000"/>
          <w:lang w:eastAsia="zh-CN"/>
        </w:rPr>
        <w:t xml:space="preserve"> la baz</w:t>
      </w:r>
      <w:r w:rsidR="000D2A93">
        <w:rPr>
          <w:rFonts w:ascii="Arial" w:eastAsia="Arial" w:hAnsi="Arial" w:cs="Arial"/>
          <w:color w:val="000000"/>
          <w:lang w:eastAsia="zh-CN"/>
        </w:rPr>
        <w:t>ă</w:t>
      </w:r>
      <w:r w:rsidRPr="004F44A8">
        <w:rPr>
          <w:rFonts w:ascii="Arial" w:eastAsia="Arial" w:hAnsi="Arial" w:cs="Arial"/>
          <w:color w:val="000000"/>
          <w:lang w:eastAsia="zh-CN"/>
        </w:rPr>
        <w:t xml:space="preserve"> un studiu de specialitate – a se vedea m</w:t>
      </w:r>
      <w:r w:rsidR="000D2A93">
        <w:rPr>
          <w:rFonts w:ascii="Arial" w:eastAsia="Arial" w:hAnsi="Arial" w:cs="Arial"/>
          <w:color w:val="000000"/>
          <w:lang w:eastAsia="zh-CN"/>
        </w:rPr>
        <w:t>ă</w:t>
      </w:r>
      <w:r w:rsidRPr="004F44A8">
        <w:rPr>
          <w:rFonts w:ascii="Arial" w:eastAsia="Arial" w:hAnsi="Arial" w:cs="Arial"/>
          <w:color w:val="000000"/>
          <w:lang w:eastAsia="zh-CN"/>
        </w:rPr>
        <w:t>sura X.5):</w:t>
      </w:r>
    </w:p>
    <w:p w14:paraId="72473AD2" w14:textId="77777777" w:rsidR="004F44A8" w:rsidRPr="004F44A8" w:rsidRDefault="004F44A8" w:rsidP="000C6CB8">
      <w:pPr>
        <w:widowControl w:val="0"/>
        <w:numPr>
          <w:ilvl w:val="0"/>
          <w:numId w:val="202"/>
        </w:numPr>
        <w:suppressAutoHyphens/>
        <w:autoSpaceDE w:val="0"/>
        <w:spacing w:after="0" w:line="276" w:lineRule="auto"/>
        <w:jc w:val="both"/>
        <w:rPr>
          <w:rFonts w:ascii="Arial" w:eastAsia="Arial" w:hAnsi="Arial" w:cs="Arial"/>
          <w:color w:val="000000"/>
          <w:lang w:eastAsia="zh-CN"/>
        </w:rPr>
      </w:pPr>
      <w:r w:rsidRPr="004F44A8">
        <w:rPr>
          <w:rFonts w:ascii="Arial" w:eastAsia="Arial" w:hAnsi="Arial" w:cs="Arial"/>
          <w:color w:val="000000"/>
          <w:lang w:eastAsia="zh-CN"/>
        </w:rPr>
        <w:t>Linia 1 = Autogara – str. General Magheru – str. Tudor Vladimirescu – str. Iancu Jianu – str. 1 Decembrie – CIPO SRL</w:t>
      </w:r>
    </w:p>
    <w:p w14:paraId="31A8786F" w14:textId="77777777" w:rsidR="004F44A8" w:rsidRPr="004F44A8" w:rsidRDefault="004F44A8" w:rsidP="000C6CB8">
      <w:pPr>
        <w:widowControl w:val="0"/>
        <w:numPr>
          <w:ilvl w:val="0"/>
          <w:numId w:val="202"/>
        </w:numPr>
        <w:suppressAutoHyphens/>
        <w:autoSpaceDE w:val="0"/>
        <w:spacing w:after="0" w:line="276" w:lineRule="auto"/>
        <w:jc w:val="both"/>
        <w:rPr>
          <w:rFonts w:ascii="Arial" w:eastAsia="Arial" w:hAnsi="Arial" w:cs="Arial"/>
          <w:color w:val="000000"/>
          <w:lang w:eastAsia="zh-CN"/>
        </w:rPr>
      </w:pPr>
      <w:r w:rsidRPr="004F44A8">
        <w:rPr>
          <w:rFonts w:ascii="Arial" w:eastAsia="Arial" w:hAnsi="Arial" w:cs="Arial"/>
          <w:color w:val="000000"/>
          <w:lang w:eastAsia="zh-CN"/>
        </w:rPr>
        <w:t>Linia 2 = Ur</w:t>
      </w:r>
      <w:r w:rsidR="000D2A93">
        <w:rPr>
          <w:rFonts w:ascii="Arial" w:eastAsia="Arial" w:hAnsi="Arial" w:cs="Arial"/>
          <w:color w:val="000000"/>
          <w:lang w:eastAsia="zh-CN"/>
        </w:rPr>
        <w:t>ș</w:t>
      </w:r>
      <w:r w:rsidRPr="004F44A8">
        <w:rPr>
          <w:rFonts w:ascii="Arial" w:eastAsia="Arial" w:hAnsi="Arial" w:cs="Arial"/>
          <w:color w:val="000000"/>
          <w:lang w:eastAsia="zh-CN"/>
        </w:rPr>
        <w:t>ani – DC 142 – str. 1 Decembrie – str. Tudor Vladimirescu – str. George Co</w:t>
      </w:r>
      <w:r w:rsidR="000D2A93">
        <w:rPr>
          <w:rFonts w:ascii="Arial" w:eastAsia="Arial" w:hAnsi="Arial" w:cs="Arial"/>
          <w:color w:val="000000"/>
          <w:lang w:eastAsia="zh-CN"/>
        </w:rPr>
        <w:t>ș</w:t>
      </w:r>
      <w:r w:rsidRPr="004F44A8">
        <w:rPr>
          <w:rFonts w:ascii="Arial" w:eastAsia="Arial" w:hAnsi="Arial" w:cs="Arial"/>
          <w:color w:val="000000"/>
          <w:lang w:eastAsia="zh-CN"/>
        </w:rPr>
        <w:t>buc – str. Constantin Br</w:t>
      </w:r>
      <w:r w:rsidR="000D2A93">
        <w:rPr>
          <w:rFonts w:ascii="Arial" w:eastAsia="Arial" w:hAnsi="Arial" w:cs="Arial"/>
          <w:color w:val="000000"/>
          <w:lang w:eastAsia="zh-CN"/>
        </w:rPr>
        <w:t>â</w:t>
      </w:r>
      <w:r w:rsidRPr="004F44A8">
        <w:rPr>
          <w:rFonts w:ascii="Arial" w:eastAsia="Arial" w:hAnsi="Arial" w:cs="Arial"/>
          <w:color w:val="000000"/>
          <w:lang w:eastAsia="zh-CN"/>
        </w:rPr>
        <w:t>ncoveanu – Pia</w:t>
      </w:r>
      <w:r w:rsidR="000D2A93">
        <w:rPr>
          <w:rFonts w:ascii="Arial" w:eastAsia="Arial" w:hAnsi="Arial" w:cs="Arial"/>
          <w:color w:val="000000"/>
          <w:lang w:eastAsia="zh-CN"/>
        </w:rPr>
        <w:t>ț</w:t>
      </w:r>
      <w:r w:rsidRPr="004F44A8">
        <w:rPr>
          <w:rFonts w:ascii="Arial" w:eastAsia="Arial" w:hAnsi="Arial" w:cs="Arial"/>
          <w:color w:val="000000"/>
          <w:lang w:eastAsia="zh-CN"/>
        </w:rPr>
        <w:t>a</w:t>
      </w:r>
    </w:p>
    <w:p w14:paraId="272114C4" w14:textId="77777777" w:rsidR="004F44A8" w:rsidRPr="004F44A8" w:rsidRDefault="004F44A8" w:rsidP="000C6CB8">
      <w:pPr>
        <w:widowControl w:val="0"/>
        <w:numPr>
          <w:ilvl w:val="0"/>
          <w:numId w:val="202"/>
        </w:numPr>
        <w:suppressAutoHyphens/>
        <w:autoSpaceDE w:val="0"/>
        <w:spacing w:after="0" w:line="276" w:lineRule="auto"/>
        <w:jc w:val="both"/>
        <w:rPr>
          <w:rFonts w:ascii="Arial" w:eastAsia="Arial" w:hAnsi="Arial" w:cs="Arial"/>
          <w:color w:val="000000"/>
          <w:lang w:eastAsia="zh-CN"/>
        </w:rPr>
      </w:pPr>
      <w:r w:rsidRPr="004F44A8">
        <w:rPr>
          <w:rFonts w:ascii="Arial" w:eastAsia="Arial" w:hAnsi="Arial" w:cs="Arial"/>
          <w:color w:val="000000"/>
          <w:lang w:eastAsia="zh-CN"/>
        </w:rPr>
        <w:t>Linia 3 = T</w:t>
      </w:r>
      <w:r w:rsidR="000D2A93">
        <w:rPr>
          <w:rFonts w:ascii="Arial" w:eastAsia="Arial" w:hAnsi="Arial" w:cs="Arial"/>
          <w:color w:val="000000"/>
          <w:lang w:eastAsia="zh-CN"/>
        </w:rPr>
        <w:t>ă</w:t>
      </w:r>
      <w:r w:rsidRPr="004F44A8">
        <w:rPr>
          <w:rFonts w:ascii="Arial" w:eastAsia="Arial" w:hAnsi="Arial" w:cs="Arial"/>
          <w:color w:val="000000"/>
          <w:lang w:eastAsia="zh-CN"/>
        </w:rPr>
        <w:t>n</w:t>
      </w:r>
      <w:r w:rsidR="000D2A93">
        <w:rPr>
          <w:rFonts w:ascii="Arial" w:eastAsia="Arial" w:hAnsi="Arial" w:cs="Arial"/>
          <w:color w:val="000000"/>
          <w:lang w:eastAsia="zh-CN"/>
        </w:rPr>
        <w:t>ă</w:t>
      </w:r>
      <w:r w:rsidRPr="004F44A8">
        <w:rPr>
          <w:rFonts w:ascii="Arial" w:eastAsia="Arial" w:hAnsi="Arial" w:cs="Arial"/>
          <w:color w:val="000000"/>
          <w:lang w:eastAsia="zh-CN"/>
        </w:rPr>
        <w:t>se</w:t>
      </w:r>
      <w:r w:rsidR="000D2A93">
        <w:rPr>
          <w:rFonts w:ascii="Arial" w:eastAsia="Arial" w:hAnsi="Arial" w:cs="Arial"/>
          <w:color w:val="000000"/>
          <w:lang w:eastAsia="zh-CN"/>
        </w:rPr>
        <w:t>ș</w:t>
      </w:r>
      <w:r w:rsidRPr="004F44A8">
        <w:rPr>
          <w:rFonts w:ascii="Arial" w:eastAsia="Arial" w:hAnsi="Arial" w:cs="Arial"/>
          <w:color w:val="000000"/>
          <w:lang w:eastAsia="zh-CN"/>
        </w:rPr>
        <w:t>ti – DC 143 – str. Olari – str. Mircea cel B</w:t>
      </w:r>
      <w:r w:rsidR="000D2A93">
        <w:rPr>
          <w:rFonts w:ascii="Arial" w:eastAsia="Arial" w:hAnsi="Arial" w:cs="Arial"/>
          <w:color w:val="000000"/>
          <w:lang w:eastAsia="zh-CN"/>
        </w:rPr>
        <w:t>ă</w:t>
      </w:r>
      <w:r w:rsidRPr="004F44A8">
        <w:rPr>
          <w:rFonts w:ascii="Arial" w:eastAsia="Arial" w:hAnsi="Arial" w:cs="Arial"/>
          <w:color w:val="000000"/>
          <w:lang w:eastAsia="zh-CN"/>
        </w:rPr>
        <w:t>tr</w:t>
      </w:r>
      <w:r w:rsidR="000D2A93">
        <w:rPr>
          <w:rFonts w:ascii="Arial" w:eastAsia="Arial" w:hAnsi="Arial" w:cs="Arial"/>
          <w:color w:val="000000"/>
          <w:lang w:eastAsia="zh-CN"/>
        </w:rPr>
        <w:t>â</w:t>
      </w:r>
      <w:r w:rsidRPr="004F44A8">
        <w:rPr>
          <w:rFonts w:ascii="Arial" w:eastAsia="Arial" w:hAnsi="Arial" w:cs="Arial"/>
          <w:color w:val="000000"/>
          <w:lang w:eastAsia="zh-CN"/>
        </w:rPr>
        <w:t>n – str. Constantin Br</w:t>
      </w:r>
      <w:r w:rsidR="000D2A93">
        <w:rPr>
          <w:rFonts w:ascii="Arial" w:eastAsia="Arial" w:hAnsi="Arial" w:cs="Arial"/>
          <w:color w:val="000000"/>
          <w:lang w:eastAsia="zh-CN"/>
        </w:rPr>
        <w:t>â</w:t>
      </w:r>
      <w:r w:rsidRPr="004F44A8">
        <w:rPr>
          <w:rFonts w:ascii="Arial" w:eastAsia="Arial" w:hAnsi="Arial" w:cs="Arial"/>
          <w:color w:val="000000"/>
          <w:lang w:eastAsia="zh-CN"/>
        </w:rPr>
        <w:t>ncoveanu – str. Nicolae B</w:t>
      </w:r>
      <w:r w:rsidR="000D2A93">
        <w:rPr>
          <w:rFonts w:ascii="Arial" w:eastAsia="Arial" w:hAnsi="Arial" w:cs="Arial"/>
          <w:color w:val="000000"/>
          <w:lang w:eastAsia="zh-CN"/>
        </w:rPr>
        <w:t>ă</w:t>
      </w:r>
      <w:r w:rsidRPr="004F44A8">
        <w:rPr>
          <w:rFonts w:ascii="Arial" w:eastAsia="Arial" w:hAnsi="Arial" w:cs="Arial"/>
          <w:color w:val="000000"/>
          <w:lang w:eastAsia="zh-CN"/>
        </w:rPr>
        <w:t>lcescu – str. Gen. Magheru – Autogara</w:t>
      </w:r>
    </w:p>
    <w:p w14:paraId="3B265FE5" w14:textId="77777777" w:rsidR="004F44A8" w:rsidRPr="004F44A8" w:rsidRDefault="004F44A8" w:rsidP="000C6CB8">
      <w:pPr>
        <w:widowControl w:val="0"/>
        <w:numPr>
          <w:ilvl w:val="0"/>
          <w:numId w:val="202"/>
        </w:numPr>
        <w:suppressAutoHyphens/>
        <w:autoSpaceDE w:val="0"/>
        <w:spacing w:after="0" w:line="276" w:lineRule="auto"/>
        <w:jc w:val="both"/>
        <w:rPr>
          <w:rFonts w:ascii="Arial" w:eastAsia="Arial" w:hAnsi="Arial" w:cs="Arial"/>
          <w:color w:val="000000"/>
          <w:lang w:eastAsia="zh-CN"/>
        </w:rPr>
      </w:pPr>
      <w:r w:rsidRPr="004F44A8">
        <w:rPr>
          <w:rFonts w:ascii="Arial" w:eastAsia="Arial" w:hAnsi="Arial" w:cs="Arial"/>
          <w:color w:val="000000"/>
          <w:lang w:eastAsia="zh-CN"/>
        </w:rPr>
        <w:t>Linia 4 = Ifrime</w:t>
      </w:r>
      <w:r w:rsidR="000D2A93">
        <w:rPr>
          <w:rFonts w:ascii="Arial" w:eastAsia="Arial" w:hAnsi="Arial" w:cs="Arial"/>
          <w:color w:val="000000"/>
          <w:lang w:eastAsia="zh-CN"/>
        </w:rPr>
        <w:t>ș</w:t>
      </w:r>
      <w:r w:rsidRPr="004F44A8">
        <w:rPr>
          <w:rFonts w:ascii="Arial" w:eastAsia="Arial" w:hAnsi="Arial" w:cs="Arial"/>
          <w:color w:val="000000"/>
          <w:lang w:eastAsia="zh-CN"/>
        </w:rPr>
        <w:t>ti – DC 144 – R</w:t>
      </w:r>
      <w:r w:rsidR="000D2A93">
        <w:rPr>
          <w:rFonts w:ascii="Arial" w:eastAsia="Arial" w:hAnsi="Arial" w:cs="Arial"/>
          <w:color w:val="000000"/>
          <w:lang w:eastAsia="zh-CN"/>
        </w:rPr>
        <w:t>â</w:t>
      </w:r>
      <w:r w:rsidRPr="004F44A8">
        <w:rPr>
          <w:rFonts w:ascii="Arial" w:eastAsia="Arial" w:hAnsi="Arial" w:cs="Arial"/>
          <w:color w:val="000000"/>
          <w:lang w:eastAsia="zh-CN"/>
        </w:rPr>
        <w:t>me</w:t>
      </w:r>
      <w:r w:rsidR="000D2A93">
        <w:rPr>
          <w:rFonts w:ascii="Arial" w:eastAsia="Arial" w:hAnsi="Arial" w:cs="Arial"/>
          <w:color w:val="000000"/>
          <w:lang w:eastAsia="zh-CN"/>
        </w:rPr>
        <w:t>ș</w:t>
      </w:r>
      <w:r w:rsidRPr="004F44A8">
        <w:rPr>
          <w:rFonts w:ascii="Arial" w:eastAsia="Arial" w:hAnsi="Arial" w:cs="Arial"/>
          <w:color w:val="000000"/>
          <w:lang w:eastAsia="zh-CN"/>
        </w:rPr>
        <w:t>ti – DC 144 – str. Nicolae B</w:t>
      </w:r>
      <w:r w:rsidR="000D2A93">
        <w:rPr>
          <w:rFonts w:ascii="Arial" w:eastAsia="Arial" w:hAnsi="Arial" w:cs="Arial"/>
          <w:color w:val="000000"/>
          <w:lang w:eastAsia="zh-CN"/>
        </w:rPr>
        <w:t>ă</w:t>
      </w:r>
      <w:r w:rsidRPr="004F44A8">
        <w:rPr>
          <w:rFonts w:ascii="Arial" w:eastAsia="Arial" w:hAnsi="Arial" w:cs="Arial"/>
          <w:color w:val="000000"/>
          <w:lang w:eastAsia="zh-CN"/>
        </w:rPr>
        <w:t>lcescu – str. Tudor Vladimirescu – str. George Co</w:t>
      </w:r>
      <w:r w:rsidR="000D2A93">
        <w:rPr>
          <w:rFonts w:ascii="Arial" w:eastAsia="Arial" w:hAnsi="Arial" w:cs="Arial"/>
          <w:color w:val="000000"/>
          <w:lang w:eastAsia="zh-CN"/>
        </w:rPr>
        <w:t>ș</w:t>
      </w:r>
      <w:r w:rsidRPr="004F44A8">
        <w:rPr>
          <w:rFonts w:ascii="Arial" w:eastAsia="Arial" w:hAnsi="Arial" w:cs="Arial"/>
          <w:color w:val="000000"/>
          <w:lang w:eastAsia="zh-CN"/>
        </w:rPr>
        <w:t>buc – str. Constantin Br</w:t>
      </w:r>
      <w:r w:rsidR="000D2A93">
        <w:rPr>
          <w:rFonts w:ascii="Arial" w:eastAsia="Arial" w:hAnsi="Arial" w:cs="Arial"/>
          <w:color w:val="000000"/>
          <w:lang w:eastAsia="zh-CN"/>
        </w:rPr>
        <w:t>â</w:t>
      </w:r>
      <w:r w:rsidRPr="004F44A8">
        <w:rPr>
          <w:rFonts w:ascii="Arial" w:eastAsia="Arial" w:hAnsi="Arial" w:cs="Arial"/>
          <w:color w:val="000000"/>
          <w:lang w:eastAsia="zh-CN"/>
        </w:rPr>
        <w:t>ncoveanu – Pia</w:t>
      </w:r>
      <w:r w:rsidR="000D2A93">
        <w:rPr>
          <w:rFonts w:ascii="Arial" w:eastAsia="Arial" w:hAnsi="Arial" w:cs="Arial"/>
          <w:color w:val="000000"/>
          <w:lang w:eastAsia="zh-CN"/>
        </w:rPr>
        <w:t>ț</w:t>
      </w:r>
      <w:r w:rsidRPr="004F44A8">
        <w:rPr>
          <w:rFonts w:ascii="Arial" w:eastAsia="Arial" w:hAnsi="Arial" w:cs="Arial"/>
          <w:color w:val="000000"/>
          <w:lang w:eastAsia="zh-CN"/>
        </w:rPr>
        <w:t>a</w:t>
      </w:r>
    </w:p>
    <w:p w14:paraId="4A39B2FA" w14:textId="77777777" w:rsidR="004F44A8" w:rsidRPr="004F44A8" w:rsidRDefault="004F44A8" w:rsidP="000C6CB8">
      <w:pPr>
        <w:widowControl w:val="0"/>
        <w:numPr>
          <w:ilvl w:val="0"/>
          <w:numId w:val="202"/>
        </w:numPr>
        <w:suppressAutoHyphens/>
        <w:autoSpaceDE w:val="0"/>
        <w:spacing w:after="0" w:line="276" w:lineRule="auto"/>
        <w:jc w:val="both"/>
        <w:rPr>
          <w:rFonts w:ascii="Arial" w:eastAsia="Arial" w:hAnsi="Arial" w:cs="Arial"/>
          <w:color w:val="000000"/>
          <w:lang w:eastAsia="zh-CN"/>
        </w:rPr>
      </w:pPr>
      <w:r w:rsidRPr="004F44A8">
        <w:rPr>
          <w:rFonts w:ascii="Arial" w:eastAsia="Arial" w:hAnsi="Arial" w:cs="Arial"/>
          <w:color w:val="000000"/>
          <w:lang w:eastAsia="zh-CN"/>
        </w:rPr>
        <w:lastRenderedPageBreak/>
        <w:t>Linia 5 = Romanii de Sus – DJ 669 – Romanii de Jos – DJ 669 – DN 67 – str. Tudor Vladimirescu – Velgala</w:t>
      </w:r>
    </w:p>
    <w:p w14:paraId="2293F20B" w14:textId="77777777" w:rsidR="004F44A8" w:rsidRPr="004F44A8" w:rsidRDefault="004F44A8" w:rsidP="004F44A8">
      <w:pPr>
        <w:widowControl w:val="0"/>
        <w:autoSpaceDE w:val="0"/>
        <w:spacing w:after="0"/>
        <w:jc w:val="both"/>
        <w:rPr>
          <w:rFonts w:ascii="Arial" w:eastAsia="Arial" w:hAnsi="Arial" w:cs="Arial"/>
          <w:color w:val="000000"/>
        </w:rPr>
      </w:pPr>
    </w:p>
    <w:p w14:paraId="20B965F1" w14:textId="77777777" w:rsidR="004F44A8" w:rsidRPr="004F44A8" w:rsidRDefault="004F44A8" w:rsidP="004F44A8">
      <w:pPr>
        <w:suppressAutoHyphens/>
        <w:autoSpaceDE w:val="0"/>
        <w:spacing w:after="0" w:line="360" w:lineRule="auto"/>
        <w:jc w:val="center"/>
        <w:rPr>
          <w:rFonts w:ascii="Arial" w:eastAsia="Arial" w:hAnsi="Arial" w:cs="Arial"/>
          <w:color w:val="000000"/>
          <w:sz w:val="24"/>
          <w:szCs w:val="24"/>
          <w:lang w:eastAsia="zh-CN"/>
        </w:rPr>
      </w:pPr>
      <w:r w:rsidRPr="004F44A8">
        <w:rPr>
          <w:rFonts w:ascii="Arial" w:eastAsia="Arial" w:hAnsi="Arial" w:cs="Arial"/>
          <w:noProof/>
          <w:color w:val="000000"/>
          <w:sz w:val="24"/>
          <w:szCs w:val="24"/>
        </w:rPr>
        <w:drawing>
          <wp:inline distT="0" distB="0" distL="0" distR="0" wp14:anchorId="794FBF57" wp14:editId="036C7641">
            <wp:extent cx="5733415" cy="3250898"/>
            <wp:effectExtent l="0" t="0" r="635" b="6985"/>
            <wp:docPr id="198" name="Picture 198" descr="E:\Horezu\Materiale lucru\Retea TP prop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Horezu\Materiale lucru\Retea TP propusa.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3415" cy="3250898"/>
                    </a:xfrm>
                    <a:prstGeom prst="rect">
                      <a:avLst/>
                    </a:prstGeom>
                    <a:noFill/>
                    <a:ln>
                      <a:noFill/>
                    </a:ln>
                  </pic:spPr>
                </pic:pic>
              </a:graphicData>
            </a:graphic>
          </wp:inline>
        </w:drawing>
      </w:r>
    </w:p>
    <w:p w14:paraId="03888F25" w14:textId="77777777" w:rsidR="004F44A8" w:rsidRPr="004F44A8" w:rsidRDefault="004F44A8" w:rsidP="004F44A8">
      <w:pPr>
        <w:suppressAutoHyphens/>
        <w:autoSpaceDE w:val="0"/>
        <w:spacing w:after="0" w:line="360" w:lineRule="auto"/>
        <w:rPr>
          <w:rFonts w:ascii="Arial" w:eastAsia="Calibri" w:hAnsi="Arial" w:cs="Arial"/>
          <w:color w:val="000000"/>
          <w:sz w:val="20"/>
          <w:szCs w:val="20"/>
          <w:lang w:eastAsia="zh-CN"/>
        </w:rPr>
      </w:pPr>
      <w:r w:rsidRPr="004F44A8">
        <w:rPr>
          <w:rFonts w:ascii="Arial" w:eastAsia="Calibri" w:hAnsi="Arial" w:cs="Arial"/>
          <w:color w:val="000000"/>
          <w:sz w:val="20"/>
          <w:szCs w:val="20"/>
          <w:lang w:eastAsia="zh-CN"/>
        </w:rPr>
        <w:t>Sursa: Elaborator INCERTRANS SA</w:t>
      </w:r>
    </w:p>
    <w:p w14:paraId="28E82196" w14:textId="7A2E50F0" w:rsidR="004F44A8" w:rsidRPr="000D2A93" w:rsidRDefault="000D2A93" w:rsidP="000D2A93">
      <w:pPr>
        <w:pStyle w:val="Legend"/>
        <w:jc w:val="center"/>
        <w:rPr>
          <w:rFonts w:ascii="Arial" w:eastAsia="Calibri" w:hAnsi="Arial" w:cs="Arial"/>
          <w:i w:val="0"/>
          <w:iCs w:val="0"/>
          <w:color w:val="000000"/>
          <w:sz w:val="22"/>
          <w:szCs w:val="22"/>
          <w:lang w:eastAsia="zh-CN"/>
        </w:rPr>
      </w:pPr>
      <w:bookmarkStart w:id="616" w:name="_Toc142039144"/>
      <w:r w:rsidRPr="000D2A93">
        <w:rPr>
          <w:rFonts w:ascii="Arial" w:hAnsi="Arial" w:cs="Arial"/>
          <w:sz w:val="22"/>
          <w:szCs w:val="22"/>
        </w:rPr>
        <w:t xml:space="preserve">Figura I.8. </w:t>
      </w:r>
      <w:r w:rsidRPr="000D2A93">
        <w:rPr>
          <w:rFonts w:ascii="Arial" w:hAnsi="Arial" w:cs="Arial"/>
          <w:sz w:val="22"/>
          <w:szCs w:val="22"/>
        </w:rPr>
        <w:fldChar w:fldCharType="begin"/>
      </w:r>
      <w:r w:rsidRPr="000D2A93">
        <w:rPr>
          <w:rFonts w:ascii="Arial" w:hAnsi="Arial" w:cs="Arial"/>
          <w:sz w:val="22"/>
          <w:szCs w:val="22"/>
        </w:rPr>
        <w:instrText xml:space="preserve"> SEQ Figura_I.8. \* ARABIC </w:instrText>
      </w:r>
      <w:r w:rsidRPr="000D2A93">
        <w:rPr>
          <w:rFonts w:ascii="Arial" w:hAnsi="Arial" w:cs="Arial"/>
          <w:sz w:val="22"/>
          <w:szCs w:val="22"/>
        </w:rPr>
        <w:fldChar w:fldCharType="separate"/>
      </w:r>
      <w:r w:rsidR="00BB181C">
        <w:rPr>
          <w:rFonts w:ascii="Arial" w:hAnsi="Arial" w:cs="Arial"/>
          <w:noProof/>
          <w:sz w:val="22"/>
          <w:szCs w:val="22"/>
        </w:rPr>
        <w:t>6</w:t>
      </w:r>
      <w:r w:rsidRPr="000D2A93">
        <w:rPr>
          <w:rFonts w:ascii="Arial" w:hAnsi="Arial" w:cs="Arial"/>
          <w:sz w:val="22"/>
          <w:szCs w:val="22"/>
        </w:rPr>
        <w:fldChar w:fldCharType="end"/>
      </w:r>
      <w:r w:rsidRPr="000D2A93">
        <w:rPr>
          <w:rFonts w:ascii="Arial" w:hAnsi="Arial" w:cs="Arial"/>
          <w:sz w:val="22"/>
          <w:szCs w:val="22"/>
        </w:rPr>
        <w:t xml:space="preserve"> </w:t>
      </w:r>
      <w:r w:rsidR="004F44A8" w:rsidRPr="000D2A93">
        <w:rPr>
          <w:rFonts w:ascii="Arial" w:hAnsi="Arial" w:cs="Arial"/>
          <w:color w:val="1F497D"/>
          <w:sz w:val="22"/>
          <w:szCs w:val="22"/>
        </w:rPr>
        <w:t xml:space="preserve">- </w:t>
      </w:r>
      <w:r w:rsidR="004F44A8" w:rsidRPr="000D2A93">
        <w:rPr>
          <w:rFonts w:ascii="Arial" w:hAnsi="Arial" w:cs="Arial"/>
          <w:i w:val="0"/>
          <w:iCs w:val="0"/>
          <w:color w:val="1F497D"/>
          <w:sz w:val="22"/>
          <w:szCs w:val="22"/>
        </w:rPr>
        <w:t>Rețea de transport public propusă</w:t>
      </w:r>
      <w:bookmarkEnd w:id="616"/>
    </w:p>
    <w:p w14:paraId="6C5D323C" w14:textId="77777777" w:rsidR="004F44A8" w:rsidRPr="004F44A8" w:rsidRDefault="004F44A8" w:rsidP="004F44A8">
      <w:pPr>
        <w:suppressAutoHyphens/>
        <w:autoSpaceDE w:val="0"/>
        <w:spacing w:after="0" w:line="360" w:lineRule="auto"/>
        <w:jc w:val="center"/>
        <w:rPr>
          <w:rFonts w:ascii="Arial" w:eastAsia="Arial" w:hAnsi="Arial" w:cs="Arial"/>
          <w:color w:val="000000"/>
          <w:sz w:val="24"/>
          <w:szCs w:val="24"/>
          <w:lang w:eastAsia="zh-CN"/>
        </w:rPr>
      </w:pPr>
      <w:r w:rsidRPr="004F44A8">
        <w:rPr>
          <w:rFonts w:ascii="Arial" w:eastAsia="Arial" w:hAnsi="Arial" w:cs="Arial"/>
          <w:noProof/>
          <w:color w:val="000000"/>
          <w:sz w:val="24"/>
          <w:szCs w:val="24"/>
        </w:rPr>
        <w:drawing>
          <wp:inline distT="0" distB="0" distL="0" distR="0" wp14:anchorId="730142A6" wp14:editId="1266CC80">
            <wp:extent cx="5733415" cy="3250898"/>
            <wp:effectExtent l="0" t="0" r="635" b="6985"/>
            <wp:docPr id="199" name="Picture 199" descr="E:\Horezu\Materiale lucru\Retea TP propusa - detaliu Horez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Horezu\Materiale lucru\Retea TP propusa - detaliu Horezu.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33415" cy="3250898"/>
                    </a:xfrm>
                    <a:prstGeom prst="rect">
                      <a:avLst/>
                    </a:prstGeom>
                    <a:noFill/>
                    <a:ln>
                      <a:noFill/>
                    </a:ln>
                  </pic:spPr>
                </pic:pic>
              </a:graphicData>
            </a:graphic>
          </wp:inline>
        </w:drawing>
      </w:r>
    </w:p>
    <w:p w14:paraId="4E5D1138" w14:textId="77777777" w:rsidR="004F44A8" w:rsidRPr="004F44A8" w:rsidRDefault="004F44A8" w:rsidP="004F44A8">
      <w:pPr>
        <w:suppressAutoHyphens/>
        <w:autoSpaceDE w:val="0"/>
        <w:spacing w:after="0" w:line="360" w:lineRule="auto"/>
        <w:rPr>
          <w:rFonts w:ascii="Arial" w:eastAsia="Calibri" w:hAnsi="Arial" w:cs="Arial"/>
          <w:color w:val="000000"/>
          <w:sz w:val="20"/>
          <w:szCs w:val="20"/>
          <w:lang w:eastAsia="zh-CN"/>
        </w:rPr>
      </w:pPr>
      <w:r w:rsidRPr="004F44A8">
        <w:rPr>
          <w:rFonts w:ascii="Arial" w:eastAsia="Calibri" w:hAnsi="Arial" w:cs="Arial"/>
          <w:color w:val="000000"/>
          <w:sz w:val="20"/>
          <w:szCs w:val="20"/>
          <w:lang w:eastAsia="zh-CN"/>
        </w:rPr>
        <w:t>Sursa: Elaborator INCERTRANS SA</w:t>
      </w:r>
    </w:p>
    <w:p w14:paraId="636A810F" w14:textId="7CA02C2B" w:rsidR="004F44A8" w:rsidRPr="000D2A93" w:rsidRDefault="000D2A93" w:rsidP="000D2A93">
      <w:pPr>
        <w:pStyle w:val="Legend"/>
        <w:jc w:val="center"/>
        <w:rPr>
          <w:rFonts w:ascii="Arial" w:eastAsia="Calibri" w:hAnsi="Arial" w:cs="Arial"/>
          <w:i w:val="0"/>
          <w:iCs w:val="0"/>
          <w:color w:val="000000"/>
          <w:sz w:val="22"/>
          <w:szCs w:val="22"/>
          <w:lang w:eastAsia="zh-CN"/>
        </w:rPr>
      </w:pPr>
      <w:bookmarkStart w:id="617" w:name="_Toc142039145"/>
      <w:r w:rsidRPr="000D2A93">
        <w:rPr>
          <w:rFonts w:ascii="Arial" w:hAnsi="Arial" w:cs="Arial"/>
          <w:sz w:val="22"/>
          <w:szCs w:val="22"/>
        </w:rPr>
        <w:t xml:space="preserve">Figura I.8. </w:t>
      </w:r>
      <w:r w:rsidRPr="000D2A93">
        <w:rPr>
          <w:rFonts w:ascii="Arial" w:hAnsi="Arial" w:cs="Arial"/>
          <w:sz w:val="22"/>
          <w:szCs w:val="22"/>
        </w:rPr>
        <w:fldChar w:fldCharType="begin"/>
      </w:r>
      <w:r w:rsidRPr="000D2A93">
        <w:rPr>
          <w:rFonts w:ascii="Arial" w:hAnsi="Arial" w:cs="Arial"/>
          <w:sz w:val="22"/>
          <w:szCs w:val="22"/>
        </w:rPr>
        <w:instrText xml:space="preserve"> SEQ Figura_I.8. \* ARABIC </w:instrText>
      </w:r>
      <w:r w:rsidRPr="000D2A93">
        <w:rPr>
          <w:rFonts w:ascii="Arial" w:hAnsi="Arial" w:cs="Arial"/>
          <w:sz w:val="22"/>
          <w:szCs w:val="22"/>
        </w:rPr>
        <w:fldChar w:fldCharType="separate"/>
      </w:r>
      <w:r w:rsidR="00BB181C">
        <w:rPr>
          <w:rFonts w:ascii="Arial" w:hAnsi="Arial" w:cs="Arial"/>
          <w:noProof/>
          <w:sz w:val="22"/>
          <w:szCs w:val="22"/>
        </w:rPr>
        <w:t>7</w:t>
      </w:r>
      <w:r w:rsidRPr="000D2A93">
        <w:rPr>
          <w:rFonts w:ascii="Arial" w:hAnsi="Arial" w:cs="Arial"/>
          <w:sz w:val="22"/>
          <w:szCs w:val="22"/>
        </w:rPr>
        <w:fldChar w:fldCharType="end"/>
      </w:r>
      <w:r w:rsidRPr="000D2A93">
        <w:rPr>
          <w:rFonts w:ascii="Arial" w:hAnsi="Arial" w:cs="Arial"/>
          <w:sz w:val="22"/>
          <w:szCs w:val="22"/>
        </w:rPr>
        <w:t xml:space="preserve"> </w:t>
      </w:r>
      <w:r w:rsidR="004F44A8" w:rsidRPr="000D2A93">
        <w:rPr>
          <w:rFonts w:ascii="Arial" w:hAnsi="Arial" w:cs="Arial"/>
          <w:color w:val="1F497D"/>
          <w:sz w:val="22"/>
          <w:szCs w:val="22"/>
        </w:rPr>
        <w:t xml:space="preserve">- </w:t>
      </w:r>
      <w:r w:rsidR="004F44A8" w:rsidRPr="000D2A93">
        <w:rPr>
          <w:rFonts w:ascii="Arial" w:hAnsi="Arial" w:cs="Arial"/>
          <w:i w:val="0"/>
          <w:iCs w:val="0"/>
          <w:color w:val="1F497D"/>
          <w:sz w:val="22"/>
          <w:szCs w:val="22"/>
        </w:rPr>
        <w:t>Rețea de transport public propusă – detaliu ora</w:t>
      </w:r>
      <w:r>
        <w:rPr>
          <w:rFonts w:ascii="Arial" w:hAnsi="Arial" w:cs="Arial"/>
          <w:i w:val="0"/>
          <w:iCs w:val="0"/>
          <w:color w:val="1F497D"/>
          <w:sz w:val="22"/>
          <w:szCs w:val="22"/>
        </w:rPr>
        <w:t>ș</w:t>
      </w:r>
      <w:bookmarkEnd w:id="617"/>
    </w:p>
    <w:p w14:paraId="07E615FD" w14:textId="77777777" w:rsidR="004F44A8" w:rsidRPr="004F44A8" w:rsidRDefault="004F44A8" w:rsidP="004F44A8">
      <w:pPr>
        <w:widowControl w:val="0"/>
        <w:numPr>
          <w:ilvl w:val="0"/>
          <w:numId w:val="78"/>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lastRenderedPageBreak/>
        <w:t xml:space="preserve">X.2 = </w:t>
      </w:r>
      <w:r w:rsidRPr="004F44A8">
        <w:rPr>
          <w:rFonts w:ascii="Arial" w:hAnsi="Arial" w:cs="Arial"/>
          <w:color w:val="000000"/>
          <w:shd w:val="clear" w:color="auto" w:fill="FFFFFF"/>
        </w:rPr>
        <w:t>amenajarea și dotarea corespunzătoare a noilor stații pentru îmbarcarea-debarcarea călătorilor (și uniformizarea-personalizarea acestor puncte de contact între operator și public), inclusiv cu sisteme de informare a călătorilor în timp real</w:t>
      </w:r>
      <w:r w:rsidRPr="004F44A8">
        <w:rPr>
          <w:rFonts w:ascii="Arial" w:eastAsia="Calibri" w:hAnsi="Arial" w:cs="Arial"/>
          <w:color w:val="000000"/>
          <w:lang w:eastAsia="zh-CN"/>
        </w:rPr>
        <w:t xml:space="preserve"> – scor AMC = 5,49.</w:t>
      </w:r>
    </w:p>
    <w:p w14:paraId="20E62FDA" w14:textId="77777777" w:rsidR="004F44A8" w:rsidRPr="004F44A8" w:rsidRDefault="004F44A8" w:rsidP="004F44A8">
      <w:pPr>
        <w:suppressAutoHyphens/>
        <w:autoSpaceDE w:val="0"/>
        <w:spacing w:after="0" w:line="276" w:lineRule="auto"/>
        <w:jc w:val="both"/>
        <w:rPr>
          <w:rFonts w:ascii="Arial" w:eastAsia="Calibri" w:hAnsi="Arial" w:cs="Arial"/>
          <w:color w:val="000000"/>
          <w:lang w:eastAsia="zh-CN"/>
        </w:rPr>
      </w:pPr>
    </w:p>
    <w:p w14:paraId="39C686BA" w14:textId="3B9A25E9" w:rsidR="004F44A8" w:rsidRPr="004F44A8" w:rsidRDefault="004F44A8" w:rsidP="004F44A8">
      <w:pPr>
        <w:widowControl w:val="0"/>
        <w:numPr>
          <w:ilvl w:val="0"/>
          <w:numId w:val="88"/>
        </w:numPr>
        <w:suppressAutoHyphens/>
        <w:autoSpaceDE w:val="0"/>
        <w:autoSpaceDN w:val="0"/>
        <w:adjustRightInd w:val="0"/>
        <w:spacing w:after="0" w:line="276" w:lineRule="auto"/>
        <w:contextualSpacing/>
        <w:jc w:val="both"/>
        <w:rPr>
          <w:rFonts w:ascii="Arial" w:eastAsia="Times New Roman" w:hAnsi="Arial" w:cs="Arial"/>
          <w:lang w:val="x-none" w:eastAsia="zh-CN"/>
        </w:rPr>
      </w:pPr>
      <w:r w:rsidRPr="004F44A8">
        <w:rPr>
          <w:rFonts w:ascii="Arial" w:eastAsia="Times New Roman" w:hAnsi="Arial" w:cs="Arial"/>
          <w:lang w:val="es-ES" w:eastAsia="zh-CN"/>
        </w:rPr>
        <w:t xml:space="preserve">IV.2 = crearea de puncte pentru închirierea bicicletelor (pool bikes and bike-sharing) = </w:t>
      </w:r>
      <w:r w:rsidRPr="004F44A8">
        <w:rPr>
          <w:rFonts w:ascii="Arial" w:eastAsia="Calibri" w:hAnsi="Arial" w:cs="Arial"/>
          <w:color w:val="000000"/>
          <w:lang w:val="es-ES" w:eastAsia="zh-CN"/>
        </w:rPr>
        <w:t xml:space="preserve">o dată cu definitivarea reţelei de </w:t>
      </w:r>
      <w:r w:rsidR="005B68FD">
        <w:rPr>
          <w:rFonts w:ascii="Arial" w:eastAsia="Calibri" w:hAnsi="Arial" w:cs="Arial"/>
          <w:color w:val="000000"/>
          <w:lang w:val="es-ES" w:eastAsia="zh-CN"/>
        </w:rPr>
        <w:t>trasee</w:t>
      </w:r>
      <w:r w:rsidRPr="004F44A8">
        <w:rPr>
          <w:rFonts w:ascii="Arial" w:eastAsia="Calibri" w:hAnsi="Arial" w:cs="Arial"/>
          <w:color w:val="000000"/>
          <w:lang w:val="es-ES" w:eastAsia="zh-CN"/>
        </w:rPr>
        <w:t xml:space="preserve"> pentru biciclete se pot prevedea în punctele importante cum ar fi: Prim</w:t>
      </w:r>
      <w:r w:rsidR="000D2A93">
        <w:rPr>
          <w:rFonts w:ascii="Arial" w:eastAsia="Calibri" w:hAnsi="Arial" w:cs="Arial"/>
          <w:color w:val="000000"/>
          <w:lang w:val="es-ES" w:eastAsia="zh-CN"/>
        </w:rPr>
        <w:t>ă</w:t>
      </w:r>
      <w:r w:rsidRPr="004F44A8">
        <w:rPr>
          <w:rFonts w:ascii="Arial" w:eastAsia="Calibri" w:hAnsi="Arial" w:cs="Arial"/>
          <w:color w:val="000000"/>
          <w:lang w:val="es-ES" w:eastAsia="zh-CN"/>
        </w:rPr>
        <w:t xml:space="preserve">ria Horezu, Autogara Siva Trans, Piața, str. </w:t>
      </w:r>
      <w:r w:rsidRPr="004F44A8">
        <w:rPr>
          <w:rFonts w:ascii="Arial" w:eastAsia="Calibri" w:hAnsi="Arial" w:cs="Arial"/>
          <w:color w:val="000000"/>
          <w:lang w:eastAsia="zh-CN"/>
        </w:rPr>
        <w:t>Mircea cel B</w:t>
      </w:r>
      <w:r w:rsidR="000D2A93">
        <w:rPr>
          <w:rFonts w:ascii="Arial" w:eastAsia="Calibri" w:hAnsi="Arial" w:cs="Arial"/>
          <w:color w:val="000000"/>
          <w:lang w:eastAsia="zh-CN"/>
        </w:rPr>
        <w:t>ă</w:t>
      </w:r>
      <w:r w:rsidRPr="004F44A8">
        <w:rPr>
          <w:rFonts w:ascii="Arial" w:eastAsia="Calibri" w:hAnsi="Arial" w:cs="Arial"/>
          <w:color w:val="000000"/>
          <w:lang w:eastAsia="zh-CN"/>
        </w:rPr>
        <w:t>tr</w:t>
      </w:r>
      <w:r w:rsidR="000D2A93">
        <w:rPr>
          <w:rFonts w:ascii="Arial" w:eastAsia="Calibri" w:hAnsi="Arial" w:cs="Arial"/>
          <w:color w:val="000000"/>
          <w:lang w:eastAsia="zh-CN"/>
        </w:rPr>
        <w:t>â</w:t>
      </w:r>
      <w:r w:rsidRPr="004F44A8">
        <w:rPr>
          <w:rFonts w:ascii="Arial" w:eastAsia="Calibri" w:hAnsi="Arial" w:cs="Arial"/>
          <w:color w:val="000000"/>
          <w:lang w:eastAsia="zh-CN"/>
        </w:rPr>
        <w:t>n, P</w:t>
      </w:r>
      <w:r w:rsidRPr="004F44A8">
        <w:rPr>
          <w:rFonts w:ascii="Arial" w:hAnsi="Arial" w:cs="Arial"/>
        </w:rPr>
        <w:t>arcul de agrement si recreere “Constantin Br</w:t>
      </w:r>
      <w:r w:rsidR="004A30A5">
        <w:rPr>
          <w:rFonts w:ascii="Arial" w:hAnsi="Arial" w:cs="Arial"/>
        </w:rPr>
        <w:t>â</w:t>
      </w:r>
      <w:r w:rsidRPr="004F44A8">
        <w:rPr>
          <w:rFonts w:ascii="Arial" w:hAnsi="Arial" w:cs="Arial"/>
        </w:rPr>
        <w:t xml:space="preserve">ncoveanu”, </w:t>
      </w:r>
      <w:r w:rsidRPr="004F44A8">
        <w:rPr>
          <w:rFonts w:ascii="Arial" w:eastAsia="Calibri" w:hAnsi="Arial" w:cs="Arial"/>
          <w:color w:val="000000"/>
          <w:lang w:eastAsia="zh-CN"/>
        </w:rPr>
        <w:t>Sta</w:t>
      </w:r>
      <w:r w:rsidR="004A30A5">
        <w:rPr>
          <w:rFonts w:ascii="Arial" w:eastAsia="Calibri" w:hAnsi="Arial" w:cs="Arial"/>
          <w:color w:val="000000"/>
          <w:lang w:eastAsia="zh-CN"/>
        </w:rPr>
        <w:t>ț</w:t>
      </w:r>
      <w:r w:rsidRPr="004F44A8">
        <w:rPr>
          <w:rFonts w:ascii="Arial" w:eastAsia="Calibri" w:hAnsi="Arial" w:cs="Arial"/>
          <w:color w:val="000000"/>
          <w:lang w:eastAsia="zh-CN"/>
        </w:rPr>
        <w:t>iunea turistic</w:t>
      </w:r>
      <w:r w:rsidR="004A30A5">
        <w:rPr>
          <w:rFonts w:ascii="Arial" w:eastAsia="Calibri" w:hAnsi="Arial" w:cs="Arial"/>
          <w:color w:val="000000"/>
          <w:lang w:eastAsia="zh-CN"/>
        </w:rPr>
        <w:t>ă</w:t>
      </w:r>
      <w:r w:rsidRPr="004F44A8">
        <w:rPr>
          <w:rFonts w:ascii="Arial" w:eastAsia="Calibri" w:hAnsi="Arial" w:cs="Arial"/>
          <w:color w:val="000000"/>
          <w:lang w:eastAsia="zh-CN"/>
        </w:rPr>
        <w:t xml:space="preserve"> V</w:t>
      </w:r>
      <w:r w:rsidR="004A30A5">
        <w:rPr>
          <w:rFonts w:ascii="Arial" w:eastAsia="Calibri" w:hAnsi="Arial" w:cs="Arial"/>
          <w:color w:val="000000"/>
          <w:lang w:eastAsia="zh-CN"/>
        </w:rPr>
        <w:t>â</w:t>
      </w:r>
      <w:r w:rsidRPr="004F44A8">
        <w:rPr>
          <w:rFonts w:ascii="Arial" w:eastAsia="Calibri" w:hAnsi="Arial" w:cs="Arial"/>
          <w:color w:val="000000"/>
          <w:lang w:eastAsia="zh-CN"/>
        </w:rPr>
        <w:t>rful lui Roman etc.</w:t>
      </w:r>
      <w:r w:rsidRPr="004F44A8">
        <w:rPr>
          <w:rFonts w:ascii="Arial" w:eastAsia="Times New Roman" w:hAnsi="Arial" w:cs="Arial"/>
          <w:lang w:val="es-ES" w:eastAsia="zh-CN"/>
        </w:rPr>
        <w:t xml:space="preserve"> – scor AMC = 5,31.</w:t>
      </w:r>
    </w:p>
    <w:p w14:paraId="102B60D2" w14:textId="77777777" w:rsidR="004F44A8" w:rsidRPr="004F44A8" w:rsidRDefault="004F44A8" w:rsidP="004F44A8">
      <w:pPr>
        <w:suppressAutoHyphens/>
        <w:spacing w:after="0" w:line="276" w:lineRule="auto"/>
        <w:ind w:left="720"/>
        <w:rPr>
          <w:rFonts w:ascii="Arial" w:eastAsia="Times New Roman" w:hAnsi="Arial" w:cs="Arial"/>
          <w:lang w:val="x-none" w:eastAsia="zh-CN"/>
        </w:rPr>
      </w:pPr>
    </w:p>
    <w:p w14:paraId="6B2E0432" w14:textId="77777777" w:rsidR="004F44A8" w:rsidRPr="004F44A8" w:rsidRDefault="004F44A8" w:rsidP="004F44A8">
      <w:pPr>
        <w:widowControl w:val="0"/>
        <w:numPr>
          <w:ilvl w:val="0"/>
          <w:numId w:val="79"/>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rPr>
        <w:t>III.2 = realizarea unui website cu informaţii referitoare la traficul din oraş</w:t>
      </w:r>
      <w:r w:rsidRPr="004F44A8">
        <w:rPr>
          <w:rFonts w:ascii="Arial" w:eastAsia="Calibri" w:hAnsi="Arial" w:cs="Arial"/>
          <w:color w:val="000000"/>
          <w:lang w:val="es-ES" w:eastAsia="zh-CN"/>
        </w:rPr>
        <w:t xml:space="preserve"> – scor AMC = 5,3.</w:t>
      </w:r>
    </w:p>
    <w:p w14:paraId="5F63DCEF" w14:textId="77777777" w:rsidR="004F44A8" w:rsidRPr="004F44A8" w:rsidRDefault="004F44A8" w:rsidP="004F44A8">
      <w:pPr>
        <w:suppressAutoHyphens/>
        <w:autoSpaceDE w:val="0"/>
        <w:autoSpaceDN w:val="0"/>
        <w:adjustRightInd w:val="0"/>
        <w:spacing w:after="0" w:line="276" w:lineRule="auto"/>
        <w:contextualSpacing/>
        <w:jc w:val="both"/>
        <w:rPr>
          <w:rFonts w:ascii="Arial" w:eastAsia="Times New Roman" w:hAnsi="Arial" w:cs="Arial"/>
          <w:lang w:eastAsia="zh-CN"/>
        </w:rPr>
      </w:pPr>
      <w:r w:rsidRPr="004F44A8">
        <w:rPr>
          <w:rFonts w:ascii="Arial" w:eastAsia="Times New Roman" w:hAnsi="Arial" w:cs="Arial"/>
          <w:lang w:val="x-none" w:eastAsia="zh-CN"/>
        </w:rPr>
        <w:t xml:space="preserve"> </w:t>
      </w:r>
    </w:p>
    <w:p w14:paraId="151FB6E3" w14:textId="77777777" w:rsidR="004F44A8" w:rsidRPr="004F44A8" w:rsidRDefault="004F44A8" w:rsidP="004F44A8">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 xml:space="preserve">VIII.5 = amplasarea de indicatoare rutiere </w:t>
      </w:r>
      <w:r w:rsidR="004A30A5">
        <w:rPr>
          <w:rFonts w:ascii="Arial" w:eastAsia="Calibri" w:hAnsi="Arial" w:cs="Arial"/>
          <w:color w:val="000000"/>
          <w:lang w:val="es-ES" w:eastAsia="zh-CN"/>
        </w:rPr>
        <w:t>ș</w:t>
      </w:r>
      <w:r w:rsidRPr="004F44A8">
        <w:rPr>
          <w:rFonts w:ascii="Arial" w:eastAsia="Calibri" w:hAnsi="Arial" w:cs="Arial"/>
          <w:color w:val="000000"/>
          <w:lang w:val="es-ES" w:eastAsia="zh-CN"/>
        </w:rPr>
        <w:t xml:space="preserve">i realizarea de marcaje rutiere </w:t>
      </w:r>
      <w:r w:rsidR="004A30A5">
        <w:rPr>
          <w:rFonts w:ascii="Arial" w:eastAsia="Calibri" w:hAnsi="Arial" w:cs="Arial"/>
          <w:color w:val="000000"/>
          <w:lang w:val="es-ES" w:eastAsia="zh-CN"/>
        </w:rPr>
        <w:t>î</w:t>
      </w:r>
      <w:r w:rsidRPr="004F44A8">
        <w:rPr>
          <w:rFonts w:ascii="Arial" w:eastAsia="Calibri" w:hAnsi="Arial" w:cs="Arial"/>
          <w:color w:val="000000"/>
          <w:lang w:val="es-ES" w:eastAsia="zh-CN"/>
        </w:rPr>
        <w:t xml:space="preserve">n zonele din care acestea lipsesc </w:t>
      </w:r>
      <w:r w:rsidRPr="004F44A8">
        <w:rPr>
          <w:rFonts w:ascii="Arial" w:eastAsia="Times New Roman" w:hAnsi="Arial" w:cs="Arial"/>
          <w:lang w:val="es-ES" w:eastAsia="zh-CN"/>
        </w:rPr>
        <w:t>– scor AMC = 5,15</w:t>
      </w:r>
      <w:r w:rsidRPr="004F44A8">
        <w:rPr>
          <w:rFonts w:ascii="Arial" w:eastAsia="Calibri" w:hAnsi="Arial" w:cs="Arial"/>
          <w:color w:val="000000"/>
          <w:lang w:val="es-ES" w:eastAsia="zh-CN"/>
        </w:rPr>
        <w:t>.</w:t>
      </w:r>
    </w:p>
    <w:p w14:paraId="7CB7D1D1" w14:textId="77777777" w:rsidR="004F44A8" w:rsidRPr="004F44A8" w:rsidRDefault="004F44A8" w:rsidP="004F44A8">
      <w:pPr>
        <w:suppressAutoHyphens/>
        <w:autoSpaceDE w:val="0"/>
        <w:autoSpaceDN w:val="0"/>
        <w:adjustRightInd w:val="0"/>
        <w:spacing w:after="0" w:line="276" w:lineRule="auto"/>
        <w:contextualSpacing/>
        <w:jc w:val="both"/>
        <w:rPr>
          <w:rFonts w:ascii="Arial" w:eastAsia="Times New Roman" w:hAnsi="Arial" w:cs="Arial"/>
          <w:lang w:eastAsia="zh-CN"/>
        </w:rPr>
      </w:pPr>
    </w:p>
    <w:p w14:paraId="32F93756" w14:textId="77777777" w:rsidR="004F44A8" w:rsidRPr="004F44A8" w:rsidRDefault="004F44A8" w:rsidP="004F44A8">
      <w:pPr>
        <w:widowControl w:val="0"/>
        <w:numPr>
          <w:ilvl w:val="0"/>
          <w:numId w:val="73"/>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eastAsia="zh-CN"/>
        </w:rPr>
        <w:t xml:space="preserve">I.6 = înfiinţarea in cadrul Primariei Horezu a unei structuri organizaţionale şi de administrare a parcarilor </w:t>
      </w:r>
      <w:r w:rsidRPr="004F44A8">
        <w:rPr>
          <w:rFonts w:ascii="Arial" w:eastAsia="Times New Roman" w:hAnsi="Arial" w:cs="Arial"/>
          <w:lang w:val="es-ES" w:eastAsia="zh-CN"/>
        </w:rPr>
        <w:t>– scor AMC = 5,12</w:t>
      </w:r>
      <w:r w:rsidRPr="004F44A8">
        <w:rPr>
          <w:rFonts w:ascii="Arial" w:eastAsia="Calibri" w:hAnsi="Arial" w:cs="Arial"/>
          <w:color w:val="000000"/>
          <w:lang w:eastAsia="zh-CN"/>
        </w:rPr>
        <w:t>.</w:t>
      </w:r>
    </w:p>
    <w:p w14:paraId="1DCCB430" w14:textId="77777777" w:rsidR="004F44A8" w:rsidRPr="004F44A8" w:rsidRDefault="004F44A8" w:rsidP="004F44A8">
      <w:pPr>
        <w:suppressAutoHyphens/>
        <w:autoSpaceDE w:val="0"/>
        <w:autoSpaceDN w:val="0"/>
        <w:adjustRightInd w:val="0"/>
        <w:spacing w:after="0" w:line="276" w:lineRule="auto"/>
        <w:contextualSpacing/>
        <w:jc w:val="both"/>
        <w:rPr>
          <w:rFonts w:ascii="Arial" w:eastAsia="Times New Roman" w:hAnsi="Arial" w:cs="Arial"/>
          <w:lang w:eastAsia="zh-CN"/>
        </w:rPr>
      </w:pPr>
    </w:p>
    <w:p w14:paraId="51295606" w14:textId="77777777" w:rsidR="004F44A8" w:rsidRPr="004F44A8" w:rsidRDefault="004F44A8" w:rsidP="004F44A8">
      <w:pPr>
        <w:widowControl w:val="0"/>
        <w:numPr>
          <w:ilvl w:val="0"/>
          <w:numId w:val="79"/>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 xml:space="preserve">IV.7 = </w:t>
      </w:r>
      <w:r w:rsidR="004A30A5" w:rsidRPr="004A30A5">
        <w:rPr>
          <w:rFonts w:ascii="Arial" w:eastAsia="Calibri" w:hAnsi="Arial" w:cs="Arial"/>
          <w:color w:val="000000"/>
          <w:lang w:val="es-ES" w:eastAsia="zh-CN"/>
        </w:rPr>
        <w:t xml:space="preserve">creșterea accesibilității pentru persoanele în vârstă sau cele cu dizabilități = reabilitarea suprafețelor pietonale prin asigurarea unui pavaj neted, uniform, cu marginea pavajului scufundat, amplasarea de suprafețe tactile în zonele de traversare, dar și separarea fizică a trotuarelor prin bolarzi sau garduri de traficul rutier, în special în zona unităților de învățământ </w:t>
      </w:r>
      <w:r w:rsidRPr="004F44A8">
        <w:rPr>
          <w:rFonts w:ascii="Arial" w:eastAsia="Calibri" w:hAnsi="Arial" w:cs="Arial"/>
          <w:color w:val="000000"/>
          <w:lang w:val="es-ES" w:eastAsia="zh-CN"/>
        </w:rPr>
        <w:t>– scor AMC = 5,11.</w:t>
      </w:r>
    </w:p>
    <w:p w14:paraId="39D6140C" w14:textId="77777777" w:rsidR="004F44A8" w:rsidRPr="004F44A8" w:rsidRDefault="004F44A8" w:rsidP="004F44A8">
      <w:pPr>
        <w:suppressAutoHyphens/>
        <w:autoSpaceDE w:val="0"/>
        <w:spacing w:after="0" w:line="276" w:lineRule="auto"/>
        <w:jc w:val="both"/>
        <w:rPr>
          <w:rFonts w:ascii="Arial" w:eastAsia="Calibri" w:hAnsi="Arial" w:cs="Arial"/>
          <w:color w:val="000000"/>
          <w:lang w:val="es-ES" w:eastAsia="zh-CN"/>
        </w:rPr>
      </w:pPr>
    </w:p>
    <w:p w14:paraId="64CBF177" w14:textId="77777777" w:rsidR="004F44A8" w:rsidRPr="004F44A8" w:rsidRDefault="004F44A8" w:rsidP="004F44A8">
      <w:pPr>
        <w:widowControl w:val="0"/>
        <w:numPr>
          <w:ilvl w:val="0"/>
          <w:numId w:val="85"/>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 xml:space="preserve">IX.5 = </w:t>
      </w:r>
      <w:r w:rsidR="004A30A5" w:rsidRPr="004A30A5">
        <w:rPr>
          <w:rFonts w:ascii="Arial" w:eastAsia="Calibri" w:hAnsi="Arial" w:cs="Arial"/>
          <w:color w:val="000000"/>
          <w:lang w:val="es-ES" w:eastAsia="zh-CN"/>
        </w:rPr>
        <w:t>realizare străpungere între str. Zavoiului și str. Alex. Ioan Cuza, pentru a se putea organiza circulația în sistem de sensuri unice în zona spitalului și a se elimina blocajele care apar. Propunerea trebuie completată cu asigurarea unui al doilea acces pentru ieșirea ambulanțelor direct în str. Z</w:t>
      </w:r>
      <w:r w:rsidR="004A30A5">
        <w:rPr>
          <w:rFonts w:ascii="Arial" w:eastAsia="Calibri" w:hAnsi="Arial" w:cs="Arial"/>
          <w:color w:val="000000"/>
          <w:lang w:val="es-ES" w:eastAsia="zh-CN"/>
        </w:rPr>
        <w:t>ă</w:t>
      </w:r>
      <w:r w:rsidR="004A30A5" w:rsidRPr="004A30A5">
        <w:rPr>
          <w:rFonts w:ascii="Arial" w:eastAsia="Calibri" w:hAnsi="Arial" w:cs="Arial"/>
          <w:color w:val="000000"/>
          <w:lang w:val="es-ES" w:eastAsia="zh-CN"/>
        </w:rPr>
        <w:t xml:space="preserve">voiului </w:t>
      </w:r>
      <w:r w:rsidRPr="004F44A8">
        <w:rPr>
          <w:rFonts w:ascii="Arial" w:eastAsia="Calibri" w:hAnsi="Arial" w:cs="Arial"/>
          <w:color w:val="000000"/>
          <w:lang w:val="es-ES" w:eastAsia="zh-CN"/>
        </w:rPr>
        <w:t xml:space="preserve">– scor AMC = 5,11.  </w:t>
      </w:r>
    </w:p>
    <w:p w14:paraId="7EFB4BA7" w14:textId="77777777" w:rsidR="004F44A8" w:rsidRPr="004F44A8" w:rsidRDefault="004F44A8" w:rsidP="004F44A8">
      <w:pPr>
        <w:suppressAutoHyphens/>
        <w:autoSpaceDE w:val="0"/>
        <w:spacing w:after="0" w:line="276" w:lineRule="auto"/>
        <w:jc w:val="both"/>
        <w:rPr>
          <w:rFonts w:ascii="Arial" w:eastAsia="Calibri" w:hAnsi="Arial" w:cs="Arial"/>
          <w:color w:val="000000"/>
          <w:lang w:val="es-ES" w:eastAsia="zh-CN"/>
        </w:rPr>
      </w:pPr>
    </w:p>
    <w:p w14:paraId="09923551" w14:textId="77777777" w:rsidR="004F44A8" w:rsidRPr="004F44A8" w:rsidRDefault="004F44A8" w:rsidP="004F44A8">
      <w:pPr>
        <w:widowControl w:val="0"/>
        <w:numPr>
          <w:ilvl w:val="0"/>
          <w:numId w:val="86"/>
        </w:numPr>
        <w:suppressAutoHyphens/>
        <w:autoSpaceDE w:val="0"/>
        <w:spacing w:after="0" w:line="276" w:lineRule="auto"/>
        <w:jc w:val="both"/>
        <w:rPr>
          <w:rFonts w:ascii="Arial" w:eastAsia="Arial" w:hAnsi="Arial" w:cs="Arial"/>
          <w:color w:val="000000"/>
          <w:lang w:val="es-ES" w:eastAsia="zh-CN"/>
        </w:rPr>
      </w:pPr>
      <w:r w:rsidRPr="004F44A8">
        <w:rPr>
          <w:rFonts w:ascii="Arial" w:eastAsia="Calibri" w:hAnsi="Arial" w:cs="Arial"/>
          <w:color w:val="000000"/>
          <w:lang w:val="es-ES" w:eastAsia="zh-CN"/>
        </w:rPr>
        <w:t xml:space="preserve">IV.3 = construirea de parcări pentru biciclete = Primăria Horezu, Autogara Siva Trans, Piața, str. </w:t>
      </w:r>
      <w:r w:rsidRPr="004F44A8">
        <w:rPr>
          <w:rFonts w:ascii="Arial" w:eastAsia="Calibri" w:hAnsi="Arial" w:cs="Arial"/>
          <w:color w:val="000000"/>
          <w:lang w:eastAsia="zh-CN"/>
        </w:rPr>
        <w:t>Mircea cel Batran, P</w:t>
      </w:r>
      <w:r w:rsidRPr="004F44A8">
        <w:rPr>
          <w:rFonts w:ascii="Arial" w:hAnsi="Arial" w:cs="Arial"/>
        </w:rPr>
        <w:t>arcul de agrement si recreere “Constantin Br</w:t>
      </w:r>
      <w:r w:rsidR="000D2A93">
        <w:rPr>
          <w:rFonts w:ascii="Arial" w:hAnsi="Arial" w:cs="Arial"/>
        </w:rPr>
        <w:t>â</w:t>
      </w:r>
      <w:r w:rsidRPr="004F44A8">
        <w:rPr>
          <w:rFonts w:ascii="Arial" w:hAnsi="Arial" w:cs="Arial"/>
        </w:rPr>
        <w:t xml:space="preserve">ncoveanu”, </w:t>
      </w:r>
      <w:r w:rsidRPr="004F44A8">
        <w:rPr>
          <w:rFonts w:ascii="Arial" w:eastAsia="Calibri" w:hAnsi="Arial" w:cs="Arial"/>
          <w:color w:val="000000"/>
          <w:lang w:eastAsia="zh-CN"/>
        </w:rPr>
        <w:t>Sta</w:t>
      </w:r>
      <w:r w:rsidR="004A30A5">
        <w:rPr>
          <w:rFonts w:ascii="Arial" w:eastAsia="Calibri" w:hAnsi="Arial" w:cs="Arial"/>
          <w:color w:val="000000"/>
          <w:lang w:eastAsia="zh-CN"/>
        </w:rPr>
        <w:t>ț</w:t>
      </w:r>
      <w:r w:rsidRPr="004F44A8">
        <w:rPr>
          <w:rFonts w:ascii="Arial" w:eastAsia="Calibri" w:hAnsi="Arial" w:cs="Arial"/>
          <w:color w:val="000000"/>
          <w:lang w:eastAsia="zh-CN"/>
        </w:rPr>
        <w:t>iunea turistic</w:t>
      </w:r>
      <w:r w:rsidR="004A30A5">
        <w:rPr>
          <w:rFonts w:ascii="Arial" w:eastAsia="Calibri" w:hAnsi="Arial" w:cs="Arial"/>
          <w:color w:val="000000"/>
          <w:lang w:eastAsia="zh-CN"/>
        </w:rPr>
        <w:t>ă</w:t>
      </w:r>
      <w:r w:rsidRPr="004F44A8">
        <w:rPr>
          <w:rFonts w:ascii="Arial" w:eastAsia="Calibri" w:hAnsi="Arial" w:cs="Arial"/>
          <w:color w:val="000000"/>
          <w:lang w:eastAsia="zh-CN"/>
        </w:rPr>
        <w:t xml:space="preserve"> V</w:t>
      </w:r>
      <w:r w:rsidR="004A30A5">
        <w:rPr>
          <w:rFonts w:ascii="Arial" w:eastAsia="Calibri" w:hAnsi="Arial" w:cs="Arial"/>
          <w:color w:val="000000"/>
          <w:lang w:eastAsia="zh-CN"/>
        </w:rPr>
        <w:t>â</w:t>
      </w:r>
      <w:r w:rsidRPr="004F44A8">
        <w:rPr>
          <w:rFonts w:ascii="Arial" w:eastAsia="Calibri" w:hAnsi="Arial" w:cs="Arial"/>
          <w:color w:val="000000"/>
          <w:lang w:eastAsia="zh-CN"/>
        </w:rPr>
        <w:t>rful lui Roman</w:t>
      </w:r>
      <w:r w:rsidRPr="004F44A8">
        <w:rPr>
          <w:rFonts w:ascii="Arial" w:eastAsia="Calibri" w:hAnsi="Arial" w:cs="Arial"/>
          <w:color w:val="000000"/>
          <w:lang w:val="es-ES" w:eastAsia="zh-CN"/>
        </w:rPr>
        <w:t>, dotate cu stații de încărcare pentru bicicletele, trotinetele și alte vehicule de micromobilitate electrice – scor AMC = 5,10.</w:t>
      </w:r>
    </w:p>
    <w:p w14:paraId="49140A6A" w14:textId="77777777" w:rsidR="004F44A8" w:rsidRPr="004F44A8" w:rsidRDefault="004F44A8" w:rsidP="004F44A8">
      <w:pPr>
        <w:suppressAutoHyphens/>
        <w:autoSpaceDE w:val="0"/>
        <w:spacing w:after="0" w:line="276" w:lineRule="auto"/>
        <w:jc w:val="both"/>
        <w:rPr>
          <w:rFonts w:ascii="Arial" w:eastAsia="Calibri" w:hAnsi="Arial" w:cs="Arial"/>
          <w:color w:val="000000"/>
          <w:lang w:val="es-ES" w:eastAsia="zh-CN"/>
        </w:rPr>
      </w:pPr>
    </w:p>
    <w:p w14:paraId="20E061DF" w14:textId="77777777" w:rsidR="004F44A8" w:rsidRPr="004F44A8" w:rsidRDefault="004F44A8" w:rsidP="004F44A8">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 xml:space="preserve">VII.2 = </w:t>
      </w:r>
      <w:r w:rsidR="00503FEF" w:rsidRPr="00503FEF">
        <w:rPr>
          <w:rFonts w:ascii="Arial" w:hAnsi="Arial" w:cs="Arial"/>
          <w:lang w:val="es-ES"/>
        </w:rPr>
        <w:t>introducerea sistemului de taxare a parcării (inclusiv prin introducerea unui tip de plată progresivă pe măsura trecerii timpului, diferenţiat pe ore de vârf şi în afara orelor de vârf şi chiar pe grupuri ţintă – de exemplu pentru vehiculele electrice sau hibrid taxa poate fi mai redusă) = masura include si achizitia de automate de plata si sisteme de acces si gestiune a locurilor de parcare – scor AMC = 5,10</w:t>
      </w:r>
      <w:r w:rsidRPr="004F44A8">
        <w:rPr>
          <w:rFonts w:ascii="Arial" w:eastAsia="Calibri" w:hAnsi="Arial" w:cs="Arial"/>
          <w:color w:val="000000"/>
          <w:lang w:val="es-ES" w:eastAsia="zh-CN"/>
        </w:rPr>
        <w:t>.</w:t>
      </w:r>
    </w:p>
    <w:p w14:paraId="5B1767ED" w14:textId="77777777" w:rsidR="004F44A8" w:rsidRPr="004F44A8" w:rsidRDefault="004F44A8" w:rsidP="004F44A8">
      <w:pPr>
        <w:suppressAutoHyphens/>
        <w:autoSpaceDE w:val="0"/>
        <w:spacing w:after="0" w:line="276" w:lineRule="auto"/>
        <w:jc w:val="both"/>
        <w:rPr>
          <w:rFonts w:ascii="Arial" w:eastAsia="Calibri" w:hAnsi="Arial" w:cs="Arial"/>
          <w:color w:val="000000"/>
          <w:lang w:val="es-ES" w:eastAsia="zh-CN"/>
        </w:rPr>
      </w:pPr>
    </w:p>
    <w:p w14:paraId="2BFAC69E" w14:textId="77777777" w:rsidR="004F44A8" w:rsidRPr="004F44A8" w:rsidRDefault="004F44A8" w:rsidP="000C6CB8">
      <w:pPr>
        <w:numPr>
          <w:ilvl w:val="0"/>
          <w:numId w:val="122"/>
        </w:numPr>
        <w:suppressAutoHyphens/>
        <w:autoSpaceDE w:val="0"/>
        <w:spacing w:after="0" w:line="276" w:lineRule="auto"/>
        <w:jc w:val="both"/>
        <w:rPr>
          <w:rFonts w:ascii="Arial" w:eastAsia="Calibri" w:hAnsi="Arial" w:cs="Arial"/>
          <w:color w:val="000000"/>
          <w:lang w:val="es-ES" w:eastAsia="zh-CN"/>
        </w:rPr>
      </w:pPr>
      <w:r w:rsidRPr="004F44A8">
        <w:rPr>
          <w:rFonts w:ascii="Arial" w:eastAsia="Times New Roman" w:hAnsi="Arial" w:cs="Arial"/>
          <w:lang w:val="x-none" w:eastAsia="zh-CN"/>
        </w:rPr>
        <w:lastRenderedPageBreak/>
        <w:t xml:space="preserve">XII.1 = </w:t>
      </w:r>
      <w:r w:rsidRPr="004F44A8">
        <w:rPr>
          <w:rFonts w:ascii="Arial" w:eastAsia="Times New Roman" w:hAnsi="Arial" w:cs="Arial"/>
          <w:lang w:eastAsia="zh-CN"/>
        </w:rPr>
        <w:t>Construirea unui c</w:t>
      </w:r>
      <w:r w:rsidRPr="004F44A8">
        <w:rPr>
          <w:rFonts w:ascii="Arial" w:eastAsia="Times New Roman" w:hAnsi="Arial" w:cs="Arial"/>
          <w:lang w:val="x-none" w:eastAsia="zh-CN"/>
        </w:rPr>
        <w:t xml:space="preserve">entru intermodal de transport destinat interconectării transportului </w:t>
      </w:r>
      <w:r w:rsidRPr="004F44A8">
        <w:rPr>
          <w:rFonts w:ascii="Arial" w:eastAsia="Times New Roman" w:hAnsi="Arial" w:cs="Arial"/>
          <w:lang w:eastAsia="zh-CN"/>
        </w:rPr>
        <w:t xml:space="preserve">public local cu cel judetean </w:t>
      </w:r>
      <w:r w:rsidRPr="004F44A8">
        <w:rPr>
          <w:rFonts w:ascii="Arial" w:eastAsia="Times New Roman" w:hAnsi="Arial" w:cs="Arial"/>
          <w:lang w:val="x-none" w:eastAsia="zh-CN"/>
        </w:rPr>
        <w:t xml:space="preserve">şi interurban = construirea unui terminal intermodal în zona </w:t>
      </w:r>
      <w:r w:rsidRPr="004F44A8">
        <w:rPr>
          <w:rFonts w:ascii="Arial" w:eastAsia="Times New Roman" w:hAnsi="Arial" w:cs="Arial"/>
          <w:lang w:eastAsia="zh-CN"/>
        </w:rPr>
        <w:t>unei autog</w:t>
      </w:r>
      <w:r w:rsidR="004A30A5">
        <w:rPr>
          <w:rFonts w:ascii="Arial" w:eastAsia="Times New Roman" w:hAnsi="Arial" w:cs="Arial"/>
          <w:lang w:eastAsia="zh-CN"/>
        </w:rPr>
        <w:t>ă</w:t>
      </w:r>
      <w:r w:rsidRPr="004F44A8">
        <w:rPr>
          <w:rFonts w:ascii="Arial" w:eastAsia="Times New Roman" w:hAnsi="Arial" w:cs="Arial"/>
          <w:lang w:eastAsia="zh-CN"/>
        </w:rPr>
        <w:t xml:space="preserve">ri </w:t>
      </w:r>
      <w:r w:rsidRPr="004F44A8">
        <w:rPr>
          <w:rFonts w:ascii="Arial" w:eastAsia="Times New Roman" w:hAnsi="Arial" w:cs="Arial"/>
          <w:lang w:val="x-none" w:eastAsia="zh-CN"/>
        </w:rPr>
        <w:t xml:space="preserve">astfel încât trecerea de la sistemul </w:t>
      </w:r>
      <w:r w:rsidRPr="004F44A8">
        <w:rPr>
          <w:rFonts w:ascii="Arial" w:eastAsia="Times New Roman" w:hAnsi="Arial" w:cs="Arial"/>
          <w:lang w:eastAsia="zh-CN"/>
        </w:rPr>
        <w:t>de transport jude</w:t>
      </w:r>
      <w:r w:rsidR="004A30A5">
        <w:rPr>
          <w:rFonts w:ascii="Arial" w:eastAsia="Times New Roman" w:hAnsi="Arial" w:cs="Arial"/>
          <w:lang w:eastAsia="zh-CN"/>
        </w:rPr>
        <w:t>ț</w:t>
      </w:r>
      <w:r w:rsidRPr="004F44A8">
        <w:rPr>
          <w:rFonts w:ascii="Arial" w:eastAsia="Times New Roman" w:hAnsi="Arial" w:cs="Arial"/>
          <w:lang w:eastAsia="zh-CN"/>
        </w:rPr>
        <w:t>ean</w:t>
      </w:r>
      <w:r w:rsidRPr="004F44A8">
        <w:rPr>
          <w:rFonts w:ascii="Arial" w:eastAsia="Times New Roman" w:hAnsi="Arial" w:cs="Arial"/>
          <w:lang w:val="x-none" w:eastAsia="zh-CN"/>
        </w:rPr>
        <w:t xml:space="preserve"> la cel </w:t>
      </w:r>
      <w:r w:rsidRPr="004F44A8">
        <w:rPr>
          <w:rFonts w:ascii="Arial" w:eastAsia="Times New Roman" w:hAnsi="Arial" w:cs="Arial"/>
          <w:lang w:eastAsia="zh-CN"/>
        </w:rPr>
        <w:t>la cel local</w:t>
      </w:r>
      <w:r w:rsidRPr="004F44A8">
        <w:rPr>
          <w:rFonts w:ascii="Arial" w:eastAsia="Times New Roman" w:hAnsi="Arial" w:cs="Arial"/>
          <w:lang w:val="x-none" w:eastAsia="zh-CN"/>
        </w:rPr>
        <w:t xml:space="preserve"> sǎ constituie o acțiune de formare a unui nod intermodal de maximǎ importanțǎ</w:t>
      </w:r>
      <w:r w:rsidRPr="004F44A8">
        <w:rPr>
          <w:rFonts w:ascii="Arial" w:eastAsia="Times New Roman" w:hAnsi="Arial" w:cs="Arial"/>
          <w:lang w:eastAsia="zh-CN"/>
        </w:rPr>
        <w:t xml:space="preserve"> </w:t>
      </w:r>
      <w:r w:rsidRPr="004F44A8">
        <w:rPr>
          <w:rFonts w:ascii="Arial" w:eastAsia="Calibri" w:hAnsi="Arial" w:cs="Arial"/>
          <w:color w:val="000000"/>
          <w:lang w:val="es-ES" w:eastAsia="zh-CN"/>
        </w:rPr>
        <w:t>– scor AMC = 5,10</w:t>
      </w:r>
      <w:r w:rsidRPr="004F44A8">
        <w:rPr>
          <w:rFonts w:ascii="Arial" w:eastAsia="Times New Roman" w:hAnsi="Arial" w:cs="Arial"/>
          <w:lang w:val="x-none" w:eastAsia="zh-CN"/>
        </w:rPr>
        <w:t>.</w:t>
      </w:r>
    </w:p>
    <w:p w14:paraId="4EA254DE" w14:textId="77777777" w:rsidR="004F44A8" w:rsidRPr="004F44A8" w:rsidRDefault="004F44A8" w:rsidP="004F44A8">
      <w:pPr>
        <w:autoSpaceDE w:val="0"/>
        <w:spacing w:after="0"/>
        <w:jc w:val="both"/>
        <w:rPr>
          <w:rFonts w:ascii="Arial" w:eastAsia="Calibri" w:hAnsi="Arial" w:cs="Arial"/>
          <w:color w:val="000000"/>
          <w:lang w:val="es-ES"/>
        </w:rPr>
      </w:pPr>
    </w:p>
    <w:p w14:paraId="449EAEB3" w14:textId="77777777" w:rsidR="004F44A8" w:rsidRPr="004F44A8" w:rsidRDefault="004F44A8" w:rsidP="004F44A8">
      <w:pPr>
        <w:widowControl w:val="0"/>
        <w:numPr>
          <w:ilvl w:val="0"/>
          <w:numId w:val="88"/>
        </w:numPr>
        <w:suppressAutoHyphens/>
        <w:spacing w:after="0" w:line="276" w:lineRule="auto"/>
        <w:contextualSpacing/>
        <w:jc w:val="both"/>
        <w:rPr>
          <w:rFonts w:ascii="Arial" w:eastAsia="Times New Roman" w:hAnsi="Arial" w:cs="Arial"/>
          <w:lang w:val="x-none" w:eastAsia="zh-CN"/>
        </w:rPr>
      </w:pPr>
      <w:r w:rsidRPr="004F44A8">
        <w:rPr>
          <w:rFonts w:ascii="Arial" w:eastAsia="Times New Roman" w:hAnsi="Arial" w:cs="Arial"/>
          <w:lang w:val="x-none" w:eastAsia="zh-CN"/>
        </w:rPr>
        <w:t xml:space="preserve">XII.2 = organizarea programului de circulație susținut de operatorul de transport urban în concordanțǎ cu programul transportului </w:t>
      </w:r>
      <w:r w:rsidRPr="004F44A8">
        <w:rPr>
          <w:rFonts w:ascii="Arial" w:eastAsia="Times New Roman" w:hAnsi="Arial" w:cs="Arial"/>
          <w:lang w:eastAsia="zh-CN"/>
        </w:rPr>
        <w:t xml:space="preserve">judetean </w:t>
      </w:r>
      <w:r w:rsidR="004A30A5">
        <w:rPr>
          <w:rFonts w:ascii="Arial" w:eastAsia="Times New Roman" w:hAnsi="Arial" w:cs="Arial"/>
          <w:lang w:eastAsia="zh-CN"/>
        </w:rPr>
        <w:t>ș</w:t>
      </w:r>
      <w:r w:rsidRPr="004F44A8">
        <w:rPr>
          <w:rFonts w:ascii="Arial" w:eastAsia="Times New Roman" w:hAnsi="Arial" w:cs="Arial"/>
          <w:lang w:eastAsia="zh-CN"/>
        </w:rPr>
        <w:t xml:space="preserve">i interurban </w:t>
      </w:r>
      <w:r w:rsidRPr="004F44A8">
        <w:rPr>
          <w:rFonts w:ascii="Arial" w:eastAsia="Calibri" w:hAnsi="Arial" w:cs="Arial"/>
          <w:color w:val="000000"/>
          <w:lang w:val="es-ES" w:eastAsia="zh-CN"/>
        </w:rPr>
        <w:t>– scor AMC = 5,08</w:t>
      </w:r>
      <w:r w:rsidRPr="004F44A8">
        <w:rPr>
          <w:rFonts w:ascii="Arial" w:eastAsia="Times New Roman" w:hAnsi="Arial" w:cs="Arial"/>
          <w:lang w:eastAsia="zh-CN"/>
        </w:rPr>
        <w:t>.</w:t>
      </w:r>
    </w:p>
    <w:p w14:paraId="16A0F201" w14:textId="77777777" w:rsidR="004F44A8" w:rsidRPr="004F44A8" w:rsidRDefault="004F44A8" w:rsidP="004F44A8">
      <w:pPr>
        <w:suppressAutoHyphens/>
        <w:autoSpaceDE w:val="0"/>
        <w:spacing w:after="0" w:line="276" w:lineRule="auto"/>
        <w:jc w:val="both"/>
        <w:rPr>
          <w:rFonts w:ascii="Arial" w:eastAsia="Calibri" w:hAnsi="Arial" w:cs="Arial"/>
          <w:color w:val="000000"/>
          <w:lang w:val="es-ES" w:eastAsia="zh-CN"/>
        </w:rPr>
      </w:pPr>
    </w:p>
    <w:p w14:paraId="3770D633" w14:textId="77777777" w:rsidR="004F44A8" w:rsidRPr="004F44A8" w:rsidRDefault="004F44A8" w:rsidP="004F44A8">
      <w:pPr>
        <w:widowControl w:val="0"/>
        <w:numPr>
          <w:ilvl w:val="0"/>
          <w:numId w:val="82"/>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 xml:space="preserve">VII.3 = construirea de parcări de mare capacitate (supra şi subterane) </w:t>
      </w:r>
      <w:r w:rsidR="004A30A5">
        <w:rPr>
          <w:rFonts w:ascii="Arial" w:eastAsia="Calibri" w:hAnsi="Arial" w:cs="Arial"/>
          <w:color w:val="000000"/>
          <w:lang w:val="es-ES" w:eastAsia="zh-CN"/>
        </w:rPr>
        <w:t>ș</w:t>
      </w:r>
      <w:r w:rsidRPr="004F44A8">
        <w:rPr>
          <w:rFonts w:ascii="Arial" w:eastAsia="Calibri" w:hAnsi="Arial" w:cs="Arial"/>
          <w:color w:val="000000"/>
          <w:lang w:val="es-ES" w:eastAsia="zh-CN"/>
        </w:rPr>
        <w:t>i dotarea cu sta</w:t>
      </w:r>
      <w:r w:rsidR="004A30A5">
        <w:rPr>
          <w:rFonts w:ascii="Arial" w:eastAsia="Calibri" w:hAnsi="Arial" w:cs="Arial"/>
          <w:color w:val="000000"/>
          <w:lang w:val="es-ES" w:eastAsia="zh-CN"/>
        </w:rPr>
        <w:t>ț</w:t>
      </w:r>
      <w:r w:rsidRPr="004F44A8">
        <w:rPr>
          <w:rFonts w:ascii="Arial" w:eastAsia="Calibri" w:hAnsi="Arial" w:cs="Arial"/>
          <w:color w:val="000000"/>
          <w:lang w:val="es-ES" w:eastAsia="zh-CN"/>
        </w:rPr>
        <w:t xml:space="preserve">ii de </w:t>
      </w:r>
      <w:r w:rsidR="004A30A5">
        <w:rPr>
          <w:rFonts w:ascii="Arial" w:eastAsia="Calibri" w:hAnsi="Arial" w:cs="Arial"/>
          <w:color w:val="000000"/>
          <w:lang w:val="es-ES" w:eastAsia="zh-CN"/>
        </w:rPr>
        <w:t>î</w:t>
      </w:r>
      <w:r w:rsidRPr="004F44A8">
        <w:rPr>
          <w:rFonts w:ascii="Arial" w:eastAsia="Calibri" w:hAnsi="Arial" w:cs="Arial"/>
          <w:color w:val="000000"/>
          <w:lang w:val="es-ES" w:eastAsia="zh-CN"/>
        </w:rPr>
        <w:t>nc</w:t>
      </w:r>
      <w:r w:rsidR="004A30A5">
        <w:rPr>
          <w:rFonts w:ascii="Arial" w:eastAsia="Calibri" w:hAnsi="Arial" w:cs="Arial"/>
          <w:color w:val="000000"/>
          <w:lang w:val="es-ES" w:eastAsia="zh-CN"/>
        </w:rPr>
        <w:t>ă</w:t>
      </w:r>
      <w:r w:rsidRPr="004F44A8">
        <w:rPr>
          <w:rFonts w:ascii="Arial" w:eastAsia="Calibri" w:hAnsi="Arial" w:cs="Arial"/>
          <w:color w:val="000000"/>
          <w:lang w:val="es-ES" w:eastAsia="zh-CN"/>
        </w:rPr>
        <w:t>rcare pentru vehicule electrice = aceste parcări de mare capacitate trebuie să fie amplasate în zonele cu potenţial ridicat de atragere a călătoriilor, cum ar fi:</w:t>
      </w:r>
    </w:p>
    <w:p w14:paraId="7ED62117" w14:textId="77777777" w:rsidR="004F44A8" w:rsidRPr="004F44A8" w:rsidRDefault="004F44A8" w:rsidP="004F44A8">
      <w:pPr>
        <w:autoSpaceDE w:val="0"/>
        <w:spacing w:after="0"/>
        <w:ind w:left="709"/>
        <w:jc w:val="both"/>
        <w:rPr>
          <w:rFonts w:ascii="Arial" w:eastAsia="Calibri" w:hAnsi="Arial" w:cs="Arial"/>
          <w:color w:val="000000"/>
          <w:lang w:val="es-ES"/>
        </w:rPr>
      </w:pPr>
      <w:r w:rsidRPr="004F44A8">
        <w:rPr>
          <w:rFonts w:ascii="Arial" w:eastAsia="Calibri" w:hAnsi="Arial" w:cs="Arial"/>
          <w:color w:val="000000"/>
          <w:lang w:val="es-ES"/>
        </w:rPr>
        <w:t>- parcare suprateran</w:t>
      </w:r>
      <w:r w:rsidR="004A30A5">
        <w:rPr>
          <w:rFonts w:ascii="Arial" w:eastAsia="Calibri" w:hAnsi="Arial" w:cs="Arial"/>
          <w:color w:val="000000"/>
          <w:lang w:val="es-ES"/>
        </w:rPr>
        <w:t>ă</w:t>
      </w:r>
      <w:r w:rsidRPr="004F44A8">
        <w:rPr>
          <w:rFonts w:ascii="Arial" w:eastAsia="Calibri" w:hAnsi="Arial" w:cs="Arial"/>
          <w:color w:val="000000"/>
          <w:lang w:val="es-ES"/>
        </w:rPr>
        <w:t xml:space="preserve"> str. Tudor Vladimirescu (zona centrala);</w:t>
      </w:r>
    </w:p>
    <w:p w14:paraId="77C062E4" w14:textId="77777777" w:rsidR="004F44A8" w:rsidRPr="004F44A8" w:rsidRDefault="004F44A8" w:rsidP="004F44A8">
      <w:pPr>
        <w:autoSpaceDE w:val="0"/>
        <w:spacing w:after="0"/>
        <w:ind w:left="709"/>
        <w:jc w:val="both"/>
        <w:rPr>
          <w:rFonts w:ascii="Arial" w:eastAsia="Calibri" w:hAnsi="Arial" w:cs="Arial"/>
          <w:color w:val="000000"/>
          <w:lang w:val="es-ES"/>
        </w:rPr>
      </w:pPr>
      <w:r w:rsidRPr="004F44A8">
        <w:rPr>
          <w:rFonts w:ascii="Arial" w:eastAsia="Calibri" w:hAnsi="Arial" w:cs="Arial"/>
          <w:color w:val="000000"/>
          <w:lang w:val="es-ES"/>
        </w:rPr>
        <w:t>- parcare supraterană Piata Horezu;</w:t>
      </w:r>
    </w:p>
    <w:p w14:paraId="2A9EC8A1" w14:textId="77777777" w:rsidR="004F44A8" w:rsidRPr="004F44A8" w:rsidRDefault="004F44A8" w:rsidP="004F44A8">
      <w:pPr>
        <w:autoSpaceDE w:val="0"/>
        <w:spacing w:after="0"/>
        <w:ind w:left="709"/>
        <w:jc w:val="both"/>
        <w:rPr>
          <w:rFonts w:ascii="Arial" w:eastAsia="Calibri" w:hAnsi="Arial" w:cs="Arial"/>
          <w:color w:val="000000"/>
          <w:lang w:val="es-ES"/>
        </w:rPr>
      </w:pPr>
      <w:r w:rsidRPr="004F44A8">
        <w:rPr>
          <w:rFonts w:ascii="Arial" w:eastAsia="Calibri" w:hAnsi="Arial" w:cs="Arial"/>
          <w:color w:val="000000"/>
          <w:lang w:val="es-ES"/>
        </w:rPr>
        <w:t>- parcare supraterană zona Olari (inclusiv pentru autocare);</w:t>
      </w:r>
    </w:p>
    <w:p w14:paraId="28838F72" w14:textId="77777777" w:rsidR="004F44A8" w:rsidRPr="004F44A8" w:rsidRDefault="004F44A8" w:rsidP="004F44A8">
      <w:pPr>
        <w:autoSpaceDE w:val="0"/>
        <w:spacing w:after="0"/>
        <w:ind w:left="709"/>
        <w:jc w:val="both"/>
        <w:rPr>
          <w:rFonts w:ascii="Arial" w:eastAsia="Calibri" w:hAnsi="Arial" w:cs="Arial"/>
          <w:color w:val="000000"/>
          <w:lang w:val="es-ES"/>
        </w:rPr>
      </w:pPr>
      <w:r w:rsidRPr="004F44A8">
        <w:rPr>
          <w:rFonts w:ascii="Arial" w:eastAsia="Calibri" w:hAnsi="Arial" w:cs="Arial"/>
          <w:color w:val="000000"/>
          <w:lang w:val="es-ES"/>
        </w:rPr>
        <w:t>- parcare supraterană Sta</w:t>
      </w:r>
      <w:r w:rsidR="004A30A5">
        <w:rPr>
          <w:rFonts w:ascii="Arial" w:eastAsia="Calibri" w:hAnsi="Arial" w:cs="Arial"/>
          <w:color w:val="000000"/>
          <w:lang w:val="es-ES"/>
        </w:rPr>
        <w:t>ț</w:t>
      </w:r>
      <w:r w:rsidRPr="004F44A8">
        <w:rPr>
          <w:rFonts w:ascii="Arial" w:eastAsia="Calibri" w:hAnsi="Arial" w:cs="Arial"/>
          <w:color w:val="000000"/>
          <w:lang w:val="es-ES"/>
        </w:rPr>
        <w:t>iunea Turistica V</w:t>
      </w:r>
      <w:r w:rsidR="004A30A5">
        <w:rPr>
          <w:rFonts w:ascii="Arial" w:eastAsia="Calibri" w:hAnsi="Arial" w:cs="Arial"/>
          <w:color w:val="000000"/>
          <w:lang w:val="es-ES"/>
        </w:rPr>
        <w:t>â</w:t>
      </w:r>
      <w:r w:rsidRPr="004F44A8">
        <w:rPr>
          <w:rFonts w:ascii="Arial" w:eastAsia="Calibri" w:hAnsi="Arial" w:cs="Arial"/>
          <w:color w:val="000000"/>
          <w:lang w:val="es-ES"/>
        </w:rPr>
        <w:t>rful lui Roman;</w:t>
      </w:r>
    </w:p>
    <w:p w14:paraId="5A22E2C7" w14:textId="77777777" w:rsidR="004F44A8" w:rsidRPr="004F44A8" w:rsidRDefault="004F44A8" w:rsidP="004F44A8">
      <w:pPr>
        <w:suppressAutoHyphens/>
        <w:autoSpaceDE w:val="0"/>
        <w:spacing w:after="0" w:line="276" w:lineRule="auto"/>
        <w:ind w:left="720"/>
        <w:jc w:val="both"/>
        <w:rPr>
          <w:rFonts w:ascii="Arial" w:eastAsia="Arial" w:hAnsi="Arial" w:cs="Arial"/>
          <w:color w:val="000000"/>
          <w:lang w:val="es-ES" w:eastAsia="zh-CN"/>
        </w:rPr>
      </w:pPr>
      <w:r w:rsidRPr="004F44A8">
        <w:rPr>
          <w:rFonts w:ascii="Arial" w:eastAsia="Calibri" w:hAnsi="Arial" w:cs="Arial"/>
          <w:color w:val="000000"/>
          <w:lang w:val="es-ES" w:eastAsia="zh-CN"/>
        </w:rPr>
        <w:t>Scor AMC = 5,07.</w:t>
      </w:r>
    </w:p>
    <w:p w14:paraId="0762C862" w14:textId="77777777" w:rsidR="004F44A8" w:rsidRPr="004F44A8" w:rsidRDefault="004F44A8" w:rsidP="004F44A8">
      <w:pPr>
        <w:suppressAutoHyphens/>
        <w:autoSpaceDE w:val="0"/>
        <w:spacing w:after="0" w:line="276" w:lineRule="auto"/>
        <w:jc w:val="both"/>
        <w:rPr>
          <w:rFonts w:ascii="Arial" w:eastAsia="Calibri" w:hAnsi="Arial" w:cs="Arial"/>
          <w:color w:val="000000"/>
          <w:lang w:val="es-ES" w:eastAsia="zh-CN"/>
        </w:rPr>
      </w:pPr>
    </w:p>
    <w:p w14:paraId="73AE1424" w14:textId="77777777" w:rsidR="004F44A8" w:rsidRPr="004F44A8" w:rsidRDefault="004F44A8" w:rsidP="004F44A8">
      <w:pPr>
        <w:widowControl w:val="0"/>
        <w:numPr>
          <w:ilvl w:val="0"/>
          <w:numId w:val="86"/>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 xml:space="preserve">X.5 = </w:t>
      </w:r>
      <w:r w:rsidRPr="004F44A8">
        <w:rPr>
          <w:rFonts w:ascii="Arial" w:eastAsia="Calibri" w:hAnsi="Arial" w:cs="Arial"/>
          <w:color w:val="000000"/>
          <w:lang w:eastAsia="zh-CN"/>
        </w:rPr>
        <w:t>elaborarea unui studiu de oportunitate pentru stabilirea  modului de organizare a serviciului de transport public local, determinarea pe baze matematice a viitoarelor trasee, a programelor de circula</w:t>
      </w:r>
      <w:r w:rsidR="004A30A5">
        <w:rPr>
          <w:rFonts w:ascii="Arial" w:eastAsia="Calibri" w:hAnsi="Arial" w:cs="Arial"/>
          <w:color w:val="000000"/>
          <w:lang w:eastAsia="zh-CN"/>
        </w:rPr>
        <w:t>ț</w:t>
      </w:r>
      <w:r w:rsidRPr="004F44A8">
        <w:rPr>
          <w:rFonts w:ascii="Arial" w:eastAsia="Calibri" w:hAnsi="Arial" w:cs="Arial"/>
          <w:color w:val="000000"/>
          <w:lang w:eastAsia="zh-CN"/>
        </w:rPr>
        <w:t>ie, amplasarea sta</w:t>
      </w:r>
      <w:r w:rsidR="004A30A5">
        <w:rPr>
          <w:rFonts w:ascii="Arial" w:eastAsia="Calibri" w:hAnsi="Arial" w:cs="Arial"/>
          <w:color w:val="000000"/>
          <w:lang w:eastAsia="zh-CN"/>
        </w:rPr>
        <w:t>ț</w:t>
      </w:r>
      <w:r w:rsidRPr="004F44A8">
        <w:rPr>
          <w:rFonts w:ascii="Arial" w:eastAsia="Calibri" w:hAnsi="Arial" w:cs="Arial"/>
          <w:color w:val="000000"/>
          <w:lang w:eastAsia="zh-CN"/>
        </w:rPr>
        <w:t xml:space="preserve">iilor etc. </w:t>
      </w:r>
      <w:r w:rsidRPr="004F44A8">
        <w:rPr>
          <w:rFonts w:ascii="Arial" w:eastAsia="Calibri" w:hAnsi="Arial" w:cs="Arial"/>
          <w:color w:val="000000"/>
          <w:lang w:val="es-ES" w:eastAsia="zh-CN"/>
        </w:rPr>
        <w:t>– scor AMC = 5,07.</w:t>
      </w:r>
    </w:p>
    <w:p w14:paraId="7847A049" w14:textId="77777777" w:rsidR="004F44A8" w:rsidRPr="004F44A8" w:rsidRDefault="004F44A8" w:rsidP="004F44A8">
      <w:pPr>
        <w:suppressAutoHyphens/>
        <w:autoSpaceDE w:val="0"/>
        <w:spacing w:after="0" w:line="276" w:lineRule="auto"/>
        <w:jc w:val="both"/>
        <w:rPr>
          <w:rFonts w:ascii="Arial" w:eastAsia="Calibri" w:hAnsi="Arial" w:cs="Arial"/>
          <w:color w:val="000000"/>
          <w:lang w:val="es-ES" w:eastAsia="zh-CN"/>
        </w:rPr>
      </w:pPr>
    </w:p>
    <w:p w14:paraId="6EDD106B" w14:textId="77777777" w:rsidR="004F44A8" w:rsidRPr="004F44A8" w:rsidRDefault="004F44A8" w:rsidP="004F44A8">
      <w:pPr>
        <w:widowControl w:val="0"/>
        <w:numPr>
          <w:ilvl w:val="0"/>
          <w:numId w:val="73"/>
        </w:numPr>
        <w:suppressAutoHyphens/>
        <w:autoSpaceDE w:val="0"/>
        <w:spacing w:after="0" w:line="276" w:lineRule="auto"/>
        <w:jc w:val="both"/>
        <w:rPr>
          <w:rFonts w:ascii="Arial" w:eastAsia="Arial" w:hAnsi="Arial" w:cs="Arial"/>
          <w:color w:val="000000"/>
          <w:lang w:val="es-ES" w:eastAsia="zh-CN"/>
        </w:rPr>
      </w:pPr>
      <w:r w:rsidRPr="004F44A8">
        <w:rPr>
          <w:rFonts w:ascii="Arial" w:eastAsia="Arial" w:hAnsi="Arial" w:cs="Arial"/>
          <w:color w:val="000000"/>
          <w:lang w:val="es-ES" w:eastAsia="zh-CN"/>
        </w:rPr>
        <w:t>IV</w:t>
      </w:r>
      <w:r w:rsidRPr="004F44A8">
        <w:rPr>
          <w:rFonts w:ascii="Arial" w:eastAsia="Calibri" w:hAnsi="Arial" w:cs="Arial"/>
          <w:color w:val="000000"/>
          <w:lang w:val="es-ES" w:eastAsia="zh-CN"/>
        </w:rPr>
        <w:t xml:space="preserve">.8 = introducerea în municipiu a „zilei fără autoturisme” (lunar) = </w:t>
      </w:r>
      <w:r w:rsidRPr="004F44A8">
        <w:rPr>
          <w:rFonts w:ascii="Arial" w:eastAsia="Calibri" w:hAnsi="Arial" w:cs="Arial"/>
          <w:color w:val="000000"/>
          <w:lang w:eastAsia="zh-CN"/>
        </w:rPr>
        <w:t xml:space="preserve">pentru a limita volumele de trafic din centrul orașului, pot fi stabilite restricții de acces și o strategie clară de încurajare a rețelelor pietonale </w:t>
      </w:r>
      <w:r w:rsidR="004A30A5">
        <w:rPr>
          <w:rFonts w:ascii="Arial" w:eastAsia="Calibri" w:hAnsi="Arial" w:cs="Arial"/>
          <w:color w:val="000000"/>
          <w:lang w:eastAsia="zh-CN"/>
        </w:rPr>
        <w:t>î</w:t>
      </w:r>
      <w:r w:rsidRPr="004F44A8">
        <w:rPr>
          <w:rFonts w:ascii="Arial" w:eastAsia="Calibri" w:hAnsi="Arial" w:cs="Arial"/>
          <w:color w:val="000000"/>
          <w:lang w:eastAsia="zh-CN"/>
        </w:rPr>
        <w:t>ntr-o zi de weekend din fiecare lun</w:t>
      </w:r>
      <w:r w:rsidR="004A30A5">
        <w:rPr>
          <w:rFonts w:ascii="Arial" w:eastAsia="Calibri" w:hAnsi="Arial" w:cs="Arial"/>
          <w:color w:val="000000"/>
          <w:lang w:eastAsia="zh-CN"/>
        </w:rPr>
        <w:t>ă</w:t>
      </w:r>
      <w:r w:rsidRPr="004F44A8">
        <w:rPr>
          <w:rFonts w:ascii="Arial" w:eastAsia="Calibri" w:hAnsi="Arial" w:cs="Arial"/>
          <w:color w:val="000000"/>
          <w:lang w:eastAsia="zh-CN"/>
        </w:rPr>
        <w:t xml:space="preserve"> </w:t>
      </w:r>
      <w:r w:rsidRPr="004F44A8">
        <w:rPr>
          <w:rFonts w:ascii="Arial" w:eastAsia="Calibri" w:hAnsi="Arial" w:cs="Arial"/>
          <w:color w:val="000000"/>
          <w:lang w:val="es-ES" w:eastAsia="zh-CN"/>
        </w:rPr>
        <w:t>– scor AMC = 5,05.</w:t>
      </w:r>
    </w:p>
    <w:p w14:paraId="31CBDB79" w14:textId="77777777" w:rsidR="004F44A8" w:rsidRPr="004F44A8" w:rsidRDefault="004F44A8" w:rsidP="004F44A8">
      <w:pPr>
        <w:suppressAutoHyphens/>
        <w:autoSpaceDE w:val="0"/>
        <w:spacing w:after="0" w:line="276" w:lineRule="auto"/>
        <w:jc w:val="both"/>
        <w:rPr>
          <w:rFonts w:ascii="Arial" w:eastAsia="Arial" w:hAnsi="Arial" w:cs="Arial"/>
          <w:color w:val="000000"/>
          <w:lang w:val="es-ES" w:eastAsia="zh-CN"/>
        </w:rPr>
      </w:pPr>
    </w:p>
    <w:p w14:paraId="74AF7B82" w14:textId="1C558590" w:rsidR="004F44A8" w:rsidRPr="004F44A8" w:rsidRDefault="004F44A8" w:rsidP="004F44A8">
      <w:pPr>
        <w:widowControl w:val="0"/>
        <w:numPr>
          <w:ilvl w:val="0"/>
          <w:numId w:val="83"/>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 xml:space="preserve">V.2 = </w:t>
      </w:r>
      <w:r w:rsidR="004A30A5" w:rsidRPr="004A30A5">
        <w:rPr>
          <w:rFonts w:ascii="Arial" w:eastAsia="Calibri" w:hAnsi="Arial" w:cs="Arial"/>
          <w:color w:val="000000"/>
          <w:lang w:val="ro-RO" w:eastAsia="zh-CN"/>
        </w:rPr>
        <w:t xml:space="preserve">implementarea conceptului de zone rezidenţiale = se recomandă că într-o prima fază să se introducă pe străzile de categoria IV situate în zone cu funcțiuni de locuire, urmând a se extinde apoi și pentru alte artere de categoria a III-a care un fac parte din rețeaua rutieră semnificativă </w:t>
      </w:r>
      <w:r w:rsidRPr="004F44A8">
        <w:rPr>
          <w:rFonts w:ascii="Arial" w:eastAsia="Calibri" w:hAnsi="Arial" w:cs="Arial"/>
          <w:color w:val="000000"/>
          <w:lang w:val="es-ES" w:eastAsia="zh-CN"/>
        </w:rPr>
        <w:t>– scor AMC = 5,05.</w:t>
      </w:r>
    </w:p>
    <w:p w14:paraId="0B22202B" w14:textId="77777777" w:rsidR="004F44A8" w:rsidRPr="004F44A8" w:rsidRDefault="004F44A8" w:rsidP="004F44A8">
      <w:pPr>
        <w:suppressAutoHyphens/>
        <w:autoSpaceDE w:val="0"/>
        <w:spacing w:after="0" w:line="276" w:lineRule="auto"/>
        <w:jc w:val="both"/>
        <w:rPr>
          <w:rFonts w:ascii="Arial" w:eastAsia="Calibri" w:hAnsi="Arial" w:cs="Arial"/>
          <w:color w:val="000000"/>
          <w:lang w:val="es-ES" w:eastAsia="zh-CN"/>
        </w:rPr>
      </w:pPr>
    </w:p>
    <w:p w14:paraId="3738C180" w14:textId="77777777" w:rsidR="004F44A8" w:rsidRPr="004F44A8" w:rsidRDefault="004F44A8" w:rsidP="004F44A8">
      <w:pPr>
        <w:widowControl w:val="0"/>
        <w:numPr>
          <w:ilvl w:val="0"/>
          <w:numId w:val="83"/>
        </w:numPr>
        <w:suppressAutoHyphens/>
        <w:autoSpaceDE w:val="0"/>
        <w:spacing w:after="0" w:line="276" w:lineRule="auto"/>
        <w:jc w:val="both"/>
        <w:rPr>
          <w:rFonts w:ascii="Arial" w:eastAsia="Calibri" w:hAnsi="Arial" w:cs="Arial"/>
          <w:color w:val="000000"/>
          <w:lang w:eastAsia="zh-CN"/>
        </w:rPr>
      </w:pPr>
      <w:r w:rsidRPr="004F44A8">
        <w:rPr>
          <w:rFonts w:ascii="Arial" w:eastAsia="Calibri" w:hAnsi="Arial" w:cs="Arial"/>
          <w:color w:val="000000"/>
          <w:lang w:val="es-ES" w:eastAsia="zh-CN"/>
        </w:rPr>
        <w:t xml:space="preserve">X.6 = realizarea unui website al operatorului de transport public local </w:t>
      </w:r>
      <w:r w:rsidR="004A30A5">
        <w:rPr>
          <w:rFonts w:ascii="Arial" w:eastAsia="Calibri" w:hAnsi="Arial" w:cs="Arial"/>
          <w:color w:val="000000"/>
          <w:lang w:val="es-ES" w:eastAsia="zh-CN"/>
        </w:rPr>
        <w:t>ș</w:t>
      </w:r>
      <w:r w:rsidRPr="004F44A8">
        <w:rPr>
          <w:rFonts w:ascii="Arial" w:eastAsia="Calibri" w:hAnsi="Arial" w:cs="Arial"/>
          <w:color w:val="000000"/>
          <w:lang w:val="es-ES" w:eastAsia="zh-CN"/>
        </w:rPr>
        <w:t>i unei aplica</w:t>
      </w:r>
      <w:r w:rsidR="004A30A5">
        <w:rPr>
          <w:rFonts w:ascii="Arial" w:eastAsia="Calibri" w:hAnsi="Arial" w:cs="Arial"/>
          <w:color w:val="000000"/>
          <w:lang w:val="es-ES" w:eastAsia="zh-CN"/>
        </w:rPr>
        <w:t>ț</w:t>
      </w:r>
      <w:r w:rsidRPr="004F44A8">
        <w:rPr>
          <w:rFonts w:ascii="Arial" w:eastAsia="Calibri" w:hAnsi="Arial" w:cs="Arial"/>
          <w:color w:val="000000"/>
          <w:lang w:val="es-ES" w:eastAsia="zh-CN"/>
        </w:rPr>
        <w:t>ii pentru planificarea c</w:t>
      </w:r>
      <w:r w:rsidR="004A30A5">
        <w:rPr>
          <w:rFonts w:ascii="Arial" w:eastAsia="Calibri" w:hAnsi="Arial" w:cs="Arial"/>
          <w:color w:val="000000"/>
          <w:lang w:val="es-ES" w:eastAsia="zh-CN"/>
        </w:rPr>
        <w:t>ă</w:t>
      </w:r>
      <w:r w:rsidRPr="004F44A8">
        <w:rPr>
          <w:rFonts w:ascii="Arial" w:eastAsia="Calibri" w:hAnsi="Arial" w:cs="Arial"/>
          <w:color w:val="000000"/>
          <w:lang w:val="es-ES" w:eastAsia="zh-CN"/>
        </w:rPr>
        <w:t>l</w:t>
      </w:r>
      <w:r w:rsidR="004A30A5">
        <w:rPr>
          <w:rFonts w:ascii="Arial" w:eastAsia="Calibri" w:hAnsi="Arial" w:cs="Arial"/>
          <w:color w:val="000000"/>
          <w:lang w:val="es-ES" w:eastAsia="zh-CN"/>
        </w:rPr>
        <w:t>ă</w:t>
      </w:r>
      <w:r w:rsidRPr="004F44A8">
        <w:rPr>
          <w:rFonts w:ascii="Arial" w:eastAsia="Calibri" w:hAnsi="Arial" w:cs="Arial"/>
          <w:color w:val="000000"/>
          <w:lang w:val="es-ES" w:eastAsia="zh-CN"/>
        </w:rPr>
        <w:t>toriei cu transportul public</w:t>
      </w:r>
      <w:r w:rsidRPr="004F44A8">
        <w:rPr>
          <w:rFonts w:ascii="Arial" w:eastAsia="Calibri" w:hAnsi="Arial" w:cs="Arial"/>
          <w:color w:val="000000"/>
          <w:lang w:eastAsia="zh-CN"/>
        </w:rPr>
        <w:t xml:space="preserve"> – scor AMC = 5,04.</w:t>
      </w:r>
    </w:p>
    <w:p w14:paraId="176427F7" w14:textId="77777777" w:rsidR="004F44A8" w:rsidRPr="004F44A8" w:rsidRDefault="004F44A8" w:rsidP="004F44A8">
      <w:pPr>
        <w:suppressAutoHyphens/>
        <w:spacing w:after="200" w:line="276" w:lineRule="auto"/>
        <w:ind w:left="720"/>
        <w:rPr>
          <w:rFonts w:ascii="Arial" w:eastAsia="Times New Roman" w:hAnsi="Arial" w:cs="Arial"/>
          <w:lang w:val="x-none" w:eastAsia="zh-CN"/>
        </w:rPr>
      </w:pPr>
    </w:p>
    <w:p w14:paraId="785DE7BF" w14:textId="77777777" w:rsidR="004F44A8" w:rsidRPr="004F44A8" w:rsidRDefault="004F44A8" w:rsidP="004F44A8">
      <w:pPr>
        <w:widowControl w:val="0"/>
        <w:numPr>
          <w:ilvl w:val="0"/>
          <w:numId w:val="75"/>
        </w:numPr>
        <w:suppressAutoHyphens/>
        <w:autoSpaceDE w:val="0"/>
        <w:autoSpaceDN w:val="0"/>
        <w:adjustRightInd w:val="0"/>
        <w:spacing w:after="0" w:line="276" w:lineRule="auto"/>
        <w:contextualSpacing/>
        <w:jc w:val="both"/>
        <w:rPr>
          <w:rFonts w:ascii="Arial" w:eastAsia="Calibri" w:hAnsi="Arial" w:cs="Arial"/>
          <w:lang w:val="x-none"/>
        </w:rPr>
      </w:pPr>
      <w:r w:rsidRPr="004F44A8">
        <w:rPr>
          <w:rFonts w:ascii="Arial" w:eastAsia="Calibri" w:hAnsi="Arial" w:cs="Arial"/>
          <w:lang w:val="x-none"/>
        </w:rPr>
        <w:t>III.</w:t>
      </w:r>
      <w:r w:rsidRPr="004F44A8">
        <w:rPr>
          <w:rFonts w:ascii="Arial" w:eastAsia="Calibri" w:hAnsi="Arial" w:cs="Arial"/>
        </w:rPr>
        <w:t>1</w:t>
      </w:r>
      <w:r w:rsidRPr="004F44A8">
        <w:rPr>
          <w:rFonts w:ascii="Arial" w:eastAsia="Calibri" w:hAnsi="Arial" w:cs="Arial"/>
          <w:lang w:val="x-none"/>
        </w:rPr>
        <w:t xml:space="preserve"> = realizarea unei aplicaţii pentru telefonul mobil pentru achitarea contravalorii călătoriei cu transportul public</w:t>
      </w:r>
      <w:r w:rsidRPr="004F44A8">
        <w:rPr>
          <w:rFonts w:ascii="Arial" w:eastAsia="Calibri" w:hAnsi="Arial" w:cs="Arial"/>
        </w:rPr>
        <w:t xml:space="preserve"> </w:t>
      </w:r>
      <w:r w:rsidRPr="004F44A8">
        <w:rPr>
          <w:rFonts w:ascii="Arial" w:eastAsia="Calibri" w:hAnsi="Arial" w:cs="Arial"/>
          <w:color w:val="000000"/>
          <w:lang w:eastAsia="zh-CN"/>
        </w:rPr>
        <w:t>– scor AMC = 5,03</w:t>
      </w:r>
      <w:r w:rsidRPr="004F44A8">
        <w:rPr>
          <w:rFonts w:ascii="Arial" w:eastAsia="Calibri" w:hAnsi="Arial" w:cs="Arial"/>
          <w:lang w:val="x-none"/>
        </w:rPr>
        <w:t>.</w:t>
      </w:r>
    </w:p>
    <w:p w14:paraId="4590935B" w14:textId="77777777" w:rsidR="004F44A8" w:rsidRPr="004F44A8" w:rsidRDefault="004F44A8" w:rsidP="004F44A8">
      <w:pPr>
        <w:suppressAutoHyphens/>
        <w:autoSpaceDE w:val="0"/>
        <w:spacing w:after="0" w:line="276" w:lineRule="auto"/>
        <w:jc w:val="both"/>
        <w:rPr>
          <w:rFonts w:ascii="Arial" w:eastAsia="Calibri" w:hAnsi="Arial" w:cs="Arial"/>
          <w:color w:val="000000"/>
          <w:lang w:eastAsia="zh-CN"/>
        </w:rPr>
      </w:pPr>
    </w:p>
    <w:p w14:paraId="5671E565" w14:textId="77777777" w:rsidR="004F44A8" w:rsidRPr="004F44A8" w:rsidRDefault="004F44A8" w:rsidP="004F44A8">
      <w:pPr>
        <w:widowControl w:val="0"/>
        <w:numPr>
          <w:ilvl w:val="0"/>
          <w:numId w:val="119"/>
        </w:numPr>
        <w:suppressAutoHyphens/>
        <w:autoSpaceDE w:val="0"/>
        <w:autoSpaceDN w:val="0"/>
        <w:adjustRightInd w:val="0"/>
        <w:spacing w:after="0" w:line="276" w:lineRule="auto"/>
        <w:jc w:val="both"/>
        <w:rPr>
          <w:rFonts w:ascii="Minion Pro" w:eastAsia="Times New Roman" w:hAnsi="Minion Pro" w:cs="Minion Pro"/>
          <w:color w:val="000000"/>
          <w:lang w:val="ro-RO" w:eastAsia="ro-RO"/>
        </w:rPr>
      </w:pPr>
      <w:r w:rsidRPr="004F44A8">
        <w:rPr>
          <w:rFonts w:ascii="Arial" w:eastAsia="Arial" w:hAnsi="Arial" w:cs="Arial"/>
          <w:lang w:val="es-ES" w:eastAsia="ro-RO"/>
        </w:rPr>
        <w:t>IV.9 = achizi</w:t>
      </w:r>
      <w:r w:rsidR="004A30A5">
        <w:rPr>
          <w:rFonts w:ascii="Arial" w:eastAsia="Arial" w:hAnsi="Arial" w:cs="Arial"/>
          <w:lang w:val="es-ES" w:eastAsia="ro-RO"/>
        </w:rPr>
        <w:t>ț</w:t>
      </w:r>
      <w:r w:rsidRPr="004F44A8">
        <w:rPr>
          <w:rFonts w:ascii="Arial" w:eastAsia="Arial" w:hAnsi="Arial" w:cs="Arial"/>
          <w:lang w:val="es-ES" w:eastAsia="ro-RO"/>
        </w:rPr>
        <w:t>ia de sta</w:t>
      </w:r>
      <w:r w:rsidR="004A30A5">
        <w:rPr>
          <w:rFonts w:ascii="Arial" w:eastAsia="Arial" w:hAnsi="Arial" w:cs="Arial"/>
          <w:lang w:val="es-ES" w:eastAsia="ro-RO"/>
        </w:rPr>
        <w:t>ț</w:t>
      </w:r>
      <w:r w:rsidRPr="004F44A8">
        <w:rPr>
          <w:rFonts w:ascii="Arial" w:eastAsia="Arial" w:hAnsi="Arial" w:cs="Arial"/>
          <w:lang w:val="es-ES" w:eastAsia="ro-RO"/>
        </w:rPr>
        <w:t xml:space="preserve">ii de </w:t>
      </w:r>
      <w:r w:rsidR="004A30A5">
        <w:rPr>
          <w:rFonts w:ascii="Arial" w:eastAsia="Arial" w:hAnsi="Arial" w:cs="Arial"/>
          <w:lang w:val="es-ES" w:eastAsia="ro-RO"/>
        </w:rPr>
        <w:t>î</w:t>
      </w:r>
      <w:r w:rsidRPr="004F44A8">
        <w:rPr>
          <w:rFonts w:ascii="Arial" w:eastAsia="Arial" w:hAnsi="Arial" w:cs="Arial"/>
          <w:lang w:val="es-ES" w:eastAsia="ro-RO"/>
        </w:rPr>
        <w:t>nc</w:t>
      </w:r>
      <w:r w:rsidR="004A30A5">
        <w:rPr>
          <w:rFonts w:ascii="Arial" w:eastAsia="Arial" w:hAnsi="Arial" w:cs="Arial"/>
          <w:lang w:val="es-ES" w:eastAsia="ro-RO"/>
        </w:rPr>
        <w:t>ă</w:t>
      </w:r>
      <w:r w:rsidRPr="004F44A8">
        <w:rPr>
          <w:rFonts w:ascii="Arial" w:eastAsia="Arial" w:hAnsi="Arial" w:cs="Arial"/>
          <w:lang w:val="es-ES" w:eastAsia="ro-RO"/>
        </w:rPr>
        <w:t xml:space="preserve">rcare pentru autovehiculele electrice </w:t>
      </w:r>
      <w:r w:rsidR="004A30A5">
        <w:rPr>
          <w:rFonts w:ascii="Arial" w:eastAsia="Arial" w:hAnsi="Arial" w:cs="Arial"/>
          <w:lang w:val="es-ES" w:eastAsia="ro-RO"/>
        </w:rPr>
        <w:t>ș</w:t>
      </w:r>
      <w:r w:rsidRPr="004F44A8">
        <w:rPr>
          <w:rFonts w:ascii="Arial" w:eastAsia="Arial" w:hAnsi="Arial" w:cs="Arial"/>
          <w:lang w:val="es-ES" w:eastAsia="ro-RO"/>
        </w:rPr>
        <w:t xml:space="preserve">i amplasarea acestora </w:t>
      </w:r>
      <w:r w:rsidR="004A30A5">
        <w:rPr>
          <w:rFonts w:ascii="Arial" w:eastAsia="Arial" w:hAnsi="Arial" w:cs="Arial"/>
          <w:lang w:val="es-ES" w:eastAsia="ro-RO"/>
        </w:rPr>
        <w:t>î</w:t>
      </w:r>
      <w:r w:rsidRPr="004F44A8">
        <w:rPr>
          <w:rFonts w:ascii="Arial" w:eastAsia="Arial" w:hAnsi="Arial" w:cs="Arial"/>
          <w:lang w:val="es-ES" w:eastAsia="ro-RO"/>
        </w:rPr>
        <w:t>n principalele zone ale ora</w:t>
      </w:r>
      <w:r w:rsidR="004A30A5">
        <w:rPr>
          <w:rFonts w:ascii="Arial" w:eastAsia="Arial" w:hAnsi="Arial" w:cs="Arial"/>
          <w:lang w:val="es-ES" w:eastAsia="ro-RO"/>
        </w:rPr>
        <w:t>ș</w:t>
      </w:r>
      <w:r w:rsidRPr="004F44A8">
        <w:rPr>
          <w:rFonts w:ascii="Arial" w:eastAsia="Arial" w:hAnsi="Arial" w:cs="Arial"/>
          <w:lang w:val="es-ES" w:eastAsia="ro-RO"/>
        </w:rPr>
        <w:t xml:space="preserve">ului </w:t>
      </w:r>
      <w:r w:rsidRPr="004F44A8">
        <w:rPr>
          <w:rFonts w:ascii="Arial" w:eastAsia="Calibri" w:hAnsi="Arial" w:cs="Arial"/>
          <w:color w:val="000000"/>
          <w:lang w:eastAsia="zh-CN"/>
        </w:rPr>
        <w:t>– scor AMC = 5,03</w:t>
      </w:r>
      <w:r w:rsidRPr="004F44A8">
        <w:rPr>
          <w:rFonts w:ascii="Arial" w:eastAsia="Arial" w:hAnsi="Arial" w:cs="Arial"/>
          <w:lang w:val="es-ES" w:eastAsia="ro-RO"/>
        </w:rPr>
        <w:t>.</w:t>
      </w:r>
    </w:p>
    <w:p w14:paraId="6A7A3DA3" w14:textId="77777777" w:rsidR="004F44A8" w:rsidRPr="004F44A8" w:rsidRDefault="004F44A8" w:rsidP="004F44A8">
      <w:pPr>
        <w:suppressAutoHyphens/>
        <w:autoSpaceDE w:val="0"/>
        <w:spacing w:after="0" w:line="276" w:lineRule="auto"/>
        <w:jc w:val="both"/>
        <w:rPr>
          <w:rFonts w:ascii="Arial" w:eastAsia="Calibri" w:hAnsi="Arial" w:cs="Arial"/>
          <w:color w:val="000000"/>
          <w:lang w:eastAsia="zh-CN"/>
        </w:rPr>
      </w:pPr>
    </w:p>
    <w:p w14:paraId="6E9B9045" w14:textId="7520129C" w:rsidR="004F44A8" w:rsidRPr="004F44A8" w:rsidRDefault="004F44A8" w:rsidP="004F44A8">
      <w:pPr>
        <w:widowControl w:val="0"/>
        <w:numPr>
          <w:ilvl w:val="0"/>
          <w:numId w:val="77"/>
        </w:numPr>
        <w:suppressAutoHyphens/>
        <w:autoSpaceDE w:val="0"/>
        <w:spacing w:after="0" w:line="276" w:lineRule="auto"/>
        <w:jc w:val="both"/>
        <w:rPr>
          <w:rFonts w:ascii="Arial" w:eastAsia="Calibri" w:hAnsi="Arial" w:cs="Arial"/>
          <w:color w:val="000000"/>
          <w:lang w:val="es-ES" w:eastAsia="zh-CN"/>
        </w:rPr>
      </w:pPr>
      <w:r w:rsidRPr="004F44A8">
        <w:rPr>
          <w:rFonts w:ascii="Arial" w:eastAsia="Calibri" w:hAnsi="Arial" w:cs="Arial"/>
          <w:color w:val="000000"/>
          <w:lang w:val="es-ES" w:eastAsia="zh-CN"/>
        </w:rPr>
        <w:t xml:space="preserve">IV.5 = </w:t>
      </w:r>
      <w:r w:rsidR="004A30A5" w:rsidRPr="004A30A5">
        <w:rPr>
          <w:rFonts w:ascii="Arial" w:eastAsia="Calibri" w:hAnsi="Arial" w:cs="Arial"/>
          <w:color w:val="000000"/>
          <w:lang w:val="es-ES" w:eastAsia="zh-CN"/>
        </w:rPr>
        <w:t>amenajarea un</w:t>
      </w:r>
      <w:r w:rsidR="005B68FD">
        <w:rPr>
          <w:rFonts w:ascii="Arial" w:eastAsia="Calibri" w:hAnsi="Arial" w:cs="Arial"/>
          <w:color w:val="000000"/>
          <w:lang w:val="es-ES" w:eastAsia="zh-CN"/>
        </w:rPr>
        <w:t>u</w:t>
      </w:r>
      <w:r w:rsidR="004A30A5" w:rsidRPr="004A30A5">
        <w:rPr>
          <w:rFonts w:ascii="Arial" w:eastAsia="Calibri" w:hAnsi="Arial" w:cs="Arial"/>
          <w:color w:val="000000"/>
          <w:lang w:val="es-ES" w:eastAsia="zh-CN"/>
        </w:rPr>
        <w:t xml:space="preserve">i </w:t>
      </w:r>
      <w:r w:rsidR="005B68FD">
        <w:rPr>
          <w:rFonts w:ascii="Arial" w:eastAsia="Calibri" w:hAnsi="Arial" w:cs="Arial"/>
          <w:color w:val="000000"/>
          <w:lang w:val="es-ES" w:eastAsia="zh-CN"/>
        </w:rPr>
        <w:t>traseu pentru biciclete</w:t>
      </w:r>
      <w:r w:rsidR="004A30A5" w:rsidRPr="004A30A5">
        <w:rPr>
          <w:rFonts w:ascii="Arial" w:eastAsia="Calibri" w:hAnsi="Arial" w:cs="Arial"/>
          <w:color w:val="000000"/>
          <w:lang w:val="es-ES" w:eastAsia="zh-CN"/>
        </w:rPr>
        <w:t xml:space="preserve"> cross-country și a un</w:t>
      </w:r>
      <w:r w:rsidR="005B68FD">
        <w:rPr>
          <w:rFonts w:ascii="Arial" w:eastAsia="Calibri" w:hAnsi="Arial" w:cs="Arial"/>
          <w:color w:val="000000"/>
          <w:lang w:val="es-ES" w:eastAsia="zh-CN"/>
        </w:rPr>
        <w:t>u</w:t>
      </w:r>
      <w:r w:rsidR="004A30A5" w:rsidRPr="004A30A5">
        <w:rPr>
          <w:rFonts w:ascii="Arial" w:eastAsia="Calibri" w:hAnsi="Arial" w:cs="Arial"/>
          <w:color w:val="000000"/>
          <w:lang w:val="es-ES" w:eastAsia="zh-CN"/>
        </w:rPr>
        <w:t xml:space="preserve">i </w:t>
      </w:r>
      <w:r w:rsidR="005B68FD">
        <w:rPr>
          <w:rFonts w:ascii="Arial" w:eastAsia="Calibri" w:hAnsi="Arial" w:cs="Arial"/>
          <w:color w:val="000000"/>
          <w:lang w:val="es-ES" w:eastAsia="zh-CN"/>
        </w:rPr>
        <w:t>traseu</w:t>
      </w:r>
      <w:r w:rsidR="004A30A5" w:rsidRPr="004A30A5">
        <w:rPr>
          <w:rFonts w:ascii="Arial" w:eastAsia="Calibri" w:hAnsi="Arial" w:cs="Arial"/>
          <w:color w:val="000000"/>
          <w:lang w:val="es-ES" w:eastAsia="zh-CN"/>
        </w:rPr>
        <w:t xml:space="preserve"> down-hill.  Pentru tururi în natură, cu biciclete cross-country pentru terenuri denivelate (cu </w:t>
      </w:r>
      <w:r w:rsidR="004A30A5" w:rsidRPr="004A30A5">
        <w:rPr>
          <w:rFonts w:ascii="Arial" w:eastAsia="Calibri" w:hAnsi="Arial" w:cs="Arial"/>
          <w:color w:val="000000"/>
          <w:lang w:val="es-ES" w:eastAsia="zh-CN"/>
        </w:rPr>
        <w:lastRenderedPageBreak/>
        <w:t xml:space="preserve">schimbătoare de viteze, minim sistem de suspensie spate, cu sisteme de frânare pe disc de frână) proprii sau închiriate prin sistem de taxare la zi. </w:t>
      </w:r>
      <w:r w:rsidR="005B68FD">
        <w:rPr>
          <w:rFonts w:ascii="Arial" w:eastAsia="Calibri" w:hAnsi="Arial" w:cs="Arial"/>
          <w:color w:val="000000"/>
          <w:lang w:val="es-ES" w:eastAsia="zh-CN"/>
        </w:rPr>
        <w:t>Traseu</w:t>
      </w:r>
      <w:r w:rsidR="004A30A5" w:rsidRPr="004A30A5">
        <w:rPr>
          <w:rFonts w:ascii="Arial" w:eastAsia="Calibri" w:hAnsi="Arial" w:cs="Arial"/>
          <w:color w:val="000000"/>
          <w:lang w:val="es-ES" w:eastAsia="zh-CN"/>
        </w:rPr>
        <w:t xml:space="preserve"> amenajat pe drumul de acces între Românii de Sus (alt. 580m) și Domeniul Schiabil Vârful lui Român (alt. 1700m) are o lungime de 13 km și o diferența de nivel de 1120m. Scor AMC = 5,01</w:t>
      </w:r>
      <w:r w:rsidRPr="004F44A8">
        <w:rPr>
          <w:rFonts w:ascii="Arial" w:eastAsia="Arial" w:hAnsi="Arial" w:cs="Arial"/>
          <w:lang w:val="es-ES" w:eastAsia="ro-RO"/>
        </w:rPr>
        <w:t>.</w:t>
      </w:r>
    </w:p>
    <w:p w14:paraId="60FAA325" w14:textId="77777777" w:rsidR="004F44A8" w:rsidRPr="004F44A8" w:rsidRDefault="004F44A8" w:rsidP="004F44A8">
      <w:pPr>
        <w:widowControl w:val="0"/>
        <w:suppressAutoHyphens/>
        <w:autoSpaceDE w:val="0"/>
        <w:spacing w:after="0" w:line="276" w:lineRule="auto"/>
        <w:jc w:val="center"/>
        <w:rPr>
          <w:rFonts w:ascii="Arial" w:eastAsia="Calibri" w:hAnsi="Arial" w:cs="Arial"/>
          <w:color w:val="000000"/>
          <w:lang w:val="es-ES" w:eastAsia="zh-CN"/>
        </w:rPr>
      </w:pPr>
      <w:r w:rsidRPr="004F44A8">
        <w:rPr>
          <w:rFonts w:ascii="Calibri" w:hAnsi="Calibri" w:cs="Times New Roman"/>
          <w:noProof/>
        </w:rPr>
        <w:drawing>
          <wp:inline distT="0" distB="0" distL="0" distR="0" wp14:anchorId="0CBFF716" wp14:editId="3B76BD64">
            <wp:extent cx="3094075" cy="3733688"/>
            <wp:effectExtent l="0" t="0" r="0" b="63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094160" cy="3733791"/>
                    </a:xfrm>
                    <a:prstGeom prst="rect">
                      <a:avLst/>
                    </a:prstGeom>
                    <a:noFill/>
                    <a:ln>
                      <a:noFill/>
                    </a:ln>
                  </pic:spPr>
                </pic:pic>
              </a:graphicData>
            </a:graphic>
          </wp:inline>
        </w:drawing>
      </w:r>
    </w:p>
    <w:p w14:paraId="0A51BADB" w14:textId="0E73DC4D" w:rsidR="004F44A8" w:rsidRPr="004A30A5" w:rsidRDefault="004A30A5" w:rsidP="004A30A5">
      <w:pPr>
        <w:pStyle w:val="Legend"/>
        <w:jc w:val="center"/>
        <w:rPr>
          <w:rFonts w:ascii="Arial" w:hAnsi="Arial" w:cs="Arial"/>
          <w:i w:val="0"/>
          <w:iCs w:val="0"/>
          <w:color w:val="1F497D"/>
          <w:sz w:val="22"/>
          <w:szCs w:val="22"/>
        </w:rPr>
      </w:pPr>
      <w:bookmarkStart w:id="618" w:name="_Toc142039146"/>
      <w:r w:rsidRPr="004A30A5">
        <w:rPr>
          <w:rFonts w:ascii="Arial" w:hAnsi="Arial" w:cs="Arial"/>
          <w:sz w:val="22"/>
          <w:szCs w:val="22"/>
        </w:rPr>
        <w:t xml:space="preserve">Figura I.8. </w:t>
      </w:r>
      <w:r w:rsidRPr="004A30A5">
        <w:rPr>
          <w:rFonts w:ascii="Arial" w:hAnsi="Arial" w:cs="Arial"/>
          <w:sz w:val="22"/>
          <w:szCs w:val="22"/>
        </w:rPr>
        <w:fldChar w:fldCharType="begin"/>
      </w:r>
      <w:r w:rsidRPr="004A30A5">
        <w:rPr>
          <w:rFonts w:ascii="Arial" w:hAnsi="Arial" w:cs="Arial"/>
          <w:sz w:val="22"/>
          <w:szCs w:val="22"/>
        </w:rPr>
        <w:instrText xml:space="preserve"> SEQ Figura_I.8. \* ARABIC </w:instrText>
      </w:r>
      <w:r w:rsidRPr="004A30A5">
        <w:rPr>
          <w:rFonts w:ascii="Arial" w:hAnsi="Arial" w:cs="Arial"/>
          <w:sz w:val="22"/>
          <w:szCs w:val="22"/>
        </w:rPr>
        <w:fldChar w:fldCharType="separate"/>
      </w:r>
      <w:r w:rsidR="00BB181C">
        <w:rPr>
          <w:rFonts w:ascii="Arial" w:hAnsi="Arial" w:cs="Arial"/>
          <w:noProof/>
          <w:sz w:val="22"/>
          <w:szCs w:val="22"/>
        </w:rPr>
        <w:t>8</w:t>
      </w:r>
      <w:r w:rsidRPr="004A30A5">
        <w:rPr>
          <w:rFonts w:ascii="Arial" w:hAnsi="Arial" w:cs="Arial"/>
          <w:sz w:val="22"/>
          <w:szCs w:val="22"/>
        </w:rPr>
        <w:fldChar w:fldCharType="end"/>
      </w:r>
      <w:r w:rsidRPr="004A30A5">
        <w:rPr>
          <w:rFonts w:ascii="Arial" w:hAnsi="Arial" w:cs="Arial"/>
          <w:sz w:val="22"/>
          <w:szCs w:val="22"/>
        </w:rPr>
        <w:t xml:space="preserve"> </w:t>
      </w:r>
      <w:r w:rsidR="004F44A8" w:rsidRPr="004A30A5">
        <w:rPr>
          <w:rFonts w:ascii="Arial" w:hAnsi="Arial" w:cs="Arial"/>
          <w:color w:val="1F497D"/>
          <w:sz w:val="22"/>
          <w:szCs w:val="22"/>
        </w:rPr>
        <w:t xml:space="preserve">- </w:t>
      </w:r>
      <w:r w:rsidR="004F44A8" w:rsidRPr="004A30A5">
        <w:rPr>
          <w:rFonts w:ascii="Arial" w:hAnsi="Arial" w:cs="Arial"/>
          <w:i w:val="0"/>
          <w:iCs w:val="0"/>
          <w:color w:val="1F497D"/>
          <w:sz w:val="22"/>
          <w:szCs w:val="22"/>
        </w:rPr>
        <w:t xml:space="preserve">Rețea </w:t>
      </w:r>
      <w:r w:rsidR="005B68FD">
        <w:rPr>
          <w:rFonts w:ascii="Arial" w:hAnsi="Arial" w:cs="Arial"/>
          <w:i w:val="0"/>
          <w:iCs w:val="0"/>
          <w:color w:val="1F497D"/>
          <w:sz w:val="22"/>
          <w:szCs w:val="22"/>
        </w:rPr>
        <w:t>traseu pentru biciclete</w:t>
      </w:r>
      <w:r w:rsidR="004F44A8" w:rsidRPr="004A30A5">
        <w:rPr>
          <w:rFonts w:ascii="Arial" w:hAnsi="Arial" w:cs="Arial"/>
          <w:i w:val="0"/>
          <w:iCs w:val="0"/>
          <w:color w:val="1F497D"/>
          <w:sz w:val="22"/>
          <w:szCs w:val="22"/>
        </w:rPr>
        <w:t xml:space="preserve"> cross-country Horezu</w:t>
      </w:r>
      <w:bookmarkEnd w:id="618"/>
    </w:p>
    <w:p w14:paraId="7C7A130F" w14:textId="77777777" w:rsidR="004F44A8" w:rsidRPr="004F44A8" w:rsidRDefault="004F44A8" w:rsidP="004F44A8">
      <w:pPr>
        <w:rPr>
          <w:rFonts w:ascii="Calibri" w:hAnsi="Calibri" w:cs="Times New Roman"/>
        </w:rPr>
      </w:pPr>
    </w:p>
    <w:p w14:paraId="723A2CCB" w14:textId="0C8B1A51" w:rsidR="004F44A8" w:rsidRPr="004F44A8" w:rsidRDefault="005B68FD" w:rsidP="004F44A8">
      <w:pPr>
        <w:keepNext/>
        <w:spacing w:after="0"/>
        <w:jc w:val="both"/>
        <w:rPr>
          <w:rFonts w:ascii="Arial" w:hAnsi="Arial" w:cs="Arial"/>
        </w:rPr>
      </w:pPr>
      <w:r>
        <w:rPr>
          <w:rFonts w:ascii="Arial" w:hAnsi="Arial" w:cs="Arial"/>
          <w:b/>
        </w:rPr>
        <w:lastRenderedPageBreak/>
        <w:t>Traseu</w:t>
      </w:r>
      <w:r w:rsidR="004F44A8" w:rsidRPr="004F44A8">
        <w:rPr>
          <w:rFonts w:ascii="Arial" w:hAnsi="Arial" w:cs="Arial"/>
          <w:b/>
        </w:rPr>
        <w:t xml:space="preserve"> down-hill = </w:t>
      </w:r>
      <w:r w:rsidR="004A30A5" w:rsidRPr="004A30A5">
        <w:rPr>
          <w:rFonts w:ascii="Arial" w:hAnsi="Arial" w:cs="Arial"/>
        </w:rPr>
        <w:t>Alternativă pentru petrecerea timpului liber în perioada de vara-toamna, pentru zonele amenajate cu predilecție pentru sporturi de iarnă, pentru coborari pe piste minim amenajate în apropierea pârtiilor de ski, cu biciclete down-hill (pentru terenuri denivelate, fără schimbătoare de viteze, sisteme de suspensie față și spate, cu sisteme de frânare pe disc de frână) proprii sau închiriate prin sistem de taxare la coborâre, cartele puncte cu un număr limitat de cobor</w:t>
      </w:r>
      <w:r w:rsidR="004A30A5">
        <w:rPr>
          <w:rFonts w:ascii="Arial" w:hAnsi="Arial" w:cs="Arial"/>
        </w:rPr>
        <w:t>â</w:t>
      </w:r>
      <w:r w:rsidR="004A30A5" w:rsidRPr="004A30A5">
        <w:rPr>
          <w:rFonts w:ascii="Arial" w:hAnsi="Arial" w:cs="Arial"/>
        </w:rPr>
        <w:t xml:space="preserve">ri sau cartele de o zi. Varianta de </w:t>
      </w:r>
      <w:r>
        <w:rPr>
          <w:rFonts w:ascii="Arial" w:hAnsi="Arial" w:cs="Arial"/>
        </w:rPr>
        <w:t>traseu</w:t>
      </w:r>
      <w:r w:rsidR="004A30A5" w:rsidRPr="004A30A5">
        <w:rPr>
          <w:rFonts w:ascii="Arial" w:hAnsi="Arial" w:cs="Arial"/>
        </w:rPr>
        <w:t xml:space="preserve"> prezentată are lungimea de 1,4 km și o diferența de nivel de 80</w:t>
      </w:r>
      <w:r w:rsidR="004A30A5">
        <w:rPr>
          <w:rFonts w:ascii="Arial" w:hAnsi="Arial" w:cs="Arial"/>
        </w:rPr>
        <w:t xml:space="preserve"> </w:t>
      </w:r>
      <w:r w:rsidR="004A30A5" w:rsidRPr="004A30A5">
        <w:rPr>
          <w:rFonts w:ascii="Arial" w:hAnsi="Arial" w:cs="Arial"/>
        </w:rPr>
        <w:t>m</w:t>
      </w:r>
      <w:r w:rsidR="004F44A8" w:rsidRPr="004F44A8">
        <w:rPr>
          <w:rFonts w:ascii="Arial" w:hAnsi="Arial" w:cs="Arial"/>
        </w:rPr>
        <w:t>.</w:t>
      </w:r>
    </w:p>
    <w:p w14:paraId="3CD55BCF" w14:textId="77777777" w:rsidR="004F44A8" w:rsidRPr="004F44A8" w:rsidRDefault="004F44A8" w:rsidP="004F44A8">
      <w:pPr>
        <w:keepNext/>
        <w:spacing w:after="0"/>
        <w:jc w:val="both"/>
        <w:rPr>
          <w:rFonts w:ascii="Arial" w:hAnsi="Arial" w:cs="Arial"/>
        </w:rPr>
      </w:pPr>
    </w:p>
    <w:p w14:paraId="602FFBF9" w14:textId="77777777" w:rsidR="004F44A8" w:rsidRPr="004F44A8" w:rsidRDefault="004F44A8" w:rsidP="004F44A8">
      <w:pPr>
        <w:keepNext/>
        <w:spacing w:after="0"/>
        <w:jc w:val="center"/>
        <w:rPr>
          <w:rFonts w:ascii="Arial" w:hAnsi="Arial" w:cs="Arial"/>
        </w:rPr>
      </w:pPr>
      <w:r w:rsidRPr="004F44A8">
        <w:rPr>
          <w:rFonts w:ascii="Calibri" w:hAnsi="Calibri" w:cs="Times New Roman"/>
          <w:noProof/>
        </w:rPr>
        <w:drawing>
          <wp:inline distT="0" distB="0" distL="0" distR="0" wp14:anchorId="554C7A39" wp14:editId="71F9AED3">
            <wp:extent cx="5733415" cy="2331593"/>
            <wp:effectExtent l="0" t="0" r="63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33415" cy="2331593"/>
                    </a:xfrm>
                    <a:prstGeom prst="rect">
                      <a:avLst/>
                    </a:prstGeom>
                    <a:noFill/>
                    <a:ln>
                      <a:noFill/>
                    </a:ln>
                  </pic:spPr>
                </pic:pic>
              </a:graphicData>
            </a:graphic>
          </wp:inline>
        </w:drawing>
      </w:r>
    </w:p>
    <w:p w14:paraId="2BE26F40" w14:textId="7F1C5073" w:rsidR="004F44A8" w:rsidRPr="005C1C72" w:rsidRDefault="005C1C72" w:rsidP="005C1C72">
      <w:pPr>
        <w:pStyle w:val="Legend"/>
        <w:jc w:val="center"/>
        <w:rPr>
          <w:rFonts w:ascii="Arial" w:hAnsi="Arial" w:cs="Arial"/>
          <w:i w:val="0"/>
          <w:iCs w:val="0"/>
          <w:color w:val="1F497D"/>
          <w:sz w:val="22"/>
          <w:szCs w:val="22"/>
        </w:rPr>
      </w:pPr>
      <w:bookmarkStart w:id="619" w:name="_Toc142039147"/>
      <w:r w:rsidRPr="005C1C72">
        <w:rPr>
          <w:rFonts w:ascii="Arial" w:hAnsi="Arial" w:cs="Arial"/>
          <w:sz w:val="22"/>
          <w:szCs w:val="22"/>
        </w:rPr>
        <w:t xml:space="preserve">Figura I.8. </w:t>
      </w:r>
      <w:r w:rsidRPr="005C1C72">
        <w:rPr>
          <w:rFonts w:ascii="Arial" w:hAnsi="Arial" w:cs="Arial"/>
          <w:sz w:val="22"/>
          <w:szCs w:val="22"/>
        </w:rPr>
        <w:fldChar w:fldCharType="begin"/>
      </w:r>
      <w:r w:rsidRPr="005C1C72">
        <w:rPr>
          <w:rFonts w:ascii="Arial" w:hAnsi="Arial" w:cs="Arial"/>
          <w:sz w:val="22"/>
          <w:szCs w:val="22"/>
        </w:rPr>
        <w:instrText xml:space="preserve"> SEQ Figura_I.8. \* ARABIC </w:instrText>
      </w:r>
      <w:r w:rsidRPr="005C1C72">
        <w:rPr>
          <w:rFonts w:ascii="Arial" w:hAnsi="Arial" w:cs="Arial"/>
          <w:sz w:val="22"/>
          <w:szCs w:val="22"/>
        </w:rPr>
        <w:fldChar w:fldCharType="separate"/>
      </w:r>
      <w:r w:rsidR="00BB181C">
        <w:rPr>
          <w:rFonts w:ascii="Arial" w:hAnsi="Arial" w:cs="Arial"/>
          <w:noProof/>
          <w:sz w:val="22"/>
          <w:szCs w:val="22"/>
        </w:rPr>
        <w:t>9</w:t>
      </w:r>
      <w:r w:rsidRPr="005C1C72">
        <w:rPr>
          <w:rFonts w:ascii="Arial" w:hAnsi="Arial" w:cs="Arial"/>
          <w:sz w:val="22"/>
          <w:szCs w:val="22"/>
        </w:rPr>
        <w:fldChar w:fldCharType="end"/>
      </w:r>
      <w:r w:rsidRPr="005C1C72">
        <w:rPr>
          <w:rFonts w:ascii="Arial" w:hAnsi="Arial" w:cs="Arial"/>
          <w:sz w:val="22"/>
          <w:szCs w:val="22"/>
        </w:rPr>
        <w:t xml:space="preserve"> </w:t>
      </w:r>
      <w:r w:rsidR="004F44A8" w:rsidRPr="005C1C72">
        <w:rPr>
          <w:rFonts w:ascii="Arial" w:hAnsi="Arial" w:cs="Arial"/>
          <w:color w:val="1F497D"/>
          <w:sz w:val="22"/>
          <w:szCs w:val="22"/>
        </w:rPr>
        <w:t xml:space="preserve">– </w:t>
      </w:r>
      <w:r w:rsidR="005B68FD">
        <w:rPr>
          <w:rFonts w:ascii="Arial" w:hAnsi="Arial" w:cs="Arial"/>
          <w:i w:val="0"/>
          <w:iCs w:val="0"/>
          <w:color w:val="1F497D"/>
          <w:sz w:val="22"/>
          <w:szCs w:val="22"/>
        </w:rPr>
        <w:t>Traseu</w:t>
      </w:r>
      <w:r w:rsidR="004F44A8" w:rsidRPr="005C1C72">
        <w:rPr>
          <w:rFonts w:ascii="Arial" w:hAnsi="Arial" w:cs="Arial"/>
          <w:i w:val="0"/>
          <w:iCs w:val="0"/>
          <w:color w:val="1F497D"/>
          <w:sz w:val="22"/>
          <w:szCs w:val="22"/>
        </w:rPr>
        <w:t xml:space="preserve"> down-hill Sta</w:t>
      </w:r>
      <w:r>
        <w:rPr>
          <w:rFonts w:ascii="Arial" w:hAnsi="Arial" w:cs="Arial"/>
          <w:i w:val="0"/>
          <w:iCs w:val="0"/>
          <w:color w:val="1F497D"/>
          <w:sz w:val="22"/>
          <w:szCs w:val="22"/>
        </w:rPr>
        <w:t>ț</w:t>
      </w:r>
      <w:r w:rsidR="004F44A8" w:rsidRPr="005C1C72">
        <w:rPr>
          <w:rFonts w:ascii="Arial" w:hAnsi="Arial" w:cs="Arial"/>
          <w:i w:val="0"/>
          <w:iCs w:val="0"/>
          <w:color w:val="1F497D"/>
          <w:sz w:val="22"/>
          <w:szCs w:val="22"/>
        </w:rPr>
        <w:t>iunea turistic</w:t>
      </w:r>
      <w:r>
        <w:rPr>
          <w:rFonts w:ascii="Arial" w:hAnsi="Arial" w:cs="Arial"/>
          <w:i w:val="0"/>
          <w:iCs w:val="0"/>
          <w:color w:val="1F497D"/>
          <w:sz w:val="22"/>
          <w:szCs w:val="22"/>
        </w:rPr>
        <w:t>ă</w:t>
      </w:r>
      <w:r w:rsidR="004F44A8" w:rsidRPr="005C1C72">
        <w:rPr>
          <w:rFonts w:ascii="Arial" w:hAnsi="Arial" w:cs="Arial"/>
          <w:i w:val="0"/>
          <w:iCs w:val="0"/>
          <w:color w:val="1F497D"/>
          <w:sz w:val="22"/>
          <w:szCs w:val="22"/>
        </w:rPr>
        <w:t xml:space="preserve"> V</w:t>
      </w:r>
      <w:r>
        <w:rPr>
          <w:rFonts w:ascii="Arial" w:hAnsi="Arial" w:cs="Arial"/>
          <w:i w:val="0"/>
          <w:iCs w:val="0"/>
          <w:color w:val="1F497D"/>
          <w:sz w:val="22"/>
          <w:szCs w:val="22"/>
        </w:rPr>
        <w:t>â</w:t>
      </w:r>
      <w:r w:rsidR="004F44A8" w:rsidRPr="005C1C72">
        <w:rPr>
          <w:rFonts w:ascii="Arial" w:hAnsi="Arial" w:cs="Arial"/>
          <w:i w:val="0"/>
          <w:iCs w:val="0"/>
          <w:color w:val="1F497D"/>
          <w:sz w:val="22"/>
          <w:szCs w:val="22"/>
        </w:rPr>
        <w:t>rful lui Roman</w:t>
      </w:r>
      <w:bookmarkEnd w:id="619"/>
    </w:p>
    <w:p w14:paraId="28D2C464" w14:textId="77777777" w:rsidR="00080A3F" w:rsidRPr="00080A3F" w:rsidRDefault="00080A3F" w:rsidP="000C6CB8">
      <w:pPr>
        <w:numPr>
          <w:ilvl w:val="0"/>
          <w:numId w:val="214"/>
        </w:numPr>
        <w:shd w:val="clear" w:color="auto" w:fill="FFFFFF"/>
        <w:spacing w:before="100" w:beforeAutospacing="1" w:after="0" w:line="224" w:lineRule="atLeast"/>
        <w:ind w:left="945"/>
        <w:jc w:val="both"/>
        <w:rPr>
          <w:rFonts w:ascii="Helvetica" w:eastAsia="Times New Roman" w:hAnsi="Helvetica" w:cs="Times New Roman"/>
          <w:color w:val="000000"/>
        </w:rPr>
      </w:pPr>
      <w:r w:rsidRPr="00080A3F">
        <w:rPr>
          <w:rFonts w:ascii="Arial" w:eastAsia="Times New Roman" w:hAnsi="Arial" w:cs="Arial"/>
          <w:color w:val="000000"/>
          <w:lang w:val="es-ES"/>
        </w:rPr>
        <w:t>X.4 = construirea unei autobaze, inclusiv dotarea cu stație de alimentare cu combustibili alternativi sau stație de încărcare cu energie electrică – scor AMC = 5.</w:t>
      </w:r>
    </w:p>
    <w:p w14:paraId="38C4F783" w14:textId="77777777" w:rsidR="00080A3F" w:rsidRPr="00080A3F" w:rsidRDefault="00080A3F" w:rsidP="00080A3F">
      <w:pPr>
        <w:shd w:val="clear" w:color="auto" w:fill="FFFFFF"/>
        <w:spacing w:before="100" w:beforeAutospacing="1" w:after="0" w:line="224" w:lineRule="atLeast"/>
        <w:jc w:val="both"/>
        <w:rPr>
          <w:rFonts w:ascii="Helvetica" w:eastAsia="Times New Roman" w:hAnsi="Helvetica" w:cs="Times New Roman"/>
          <w:color w:val="222222"/>
        </w:rPr>
      </w:pPr>
      <w:r w:rsidRPr="00080A3F">
        <w:rPr>
          <w:rFonts w:ascii="Arial" w:eastAsia="Times New Roman" w:hAnsi="Arial" w:cs="Arial"/>
          <w:color w:val="000000"/>
          <w:lang w:val="es-ES"/>
        </w:rPr>
        <w:t> </w:t>
      </w:r>
      <w:r w:rsidRPr="00080A3F">
        <w:rPr>
          <w:rFonts w:ascii="Arial" w:eastAsia="Times New Roman" w:hAnsi="Arial" w:cs="Arial"/>
          <w:color w:val="222222"/>
        </w:rPr>
        <w:t>Dintre proiectele prezentate mai sus, urm</w:t>
      </w:r>
      <w:r w:rsidR="00704C6B" w:rsidRPr="00704C6B">
        <w:rPr>
          <w:rFonts w:ascii="Arial" w:eastAsia="Times New Roman" w:hAnsi="Arial" w:cs="Arial"/>
          <w:color w:val="222222"/>
        </w:rPr>
        <w:t>ă</w:t>
      </w:r>
      <w:r w:rsidRPr="00080A3F">
        <w:rPr>
          <w:rFonts w:ascii="Arial" w:eastAsia="Times New Roman" w:hAnsi="Arial" w:cs="Arial"/>
          <w:color w:val="222222"/>
        </w:rPr>
        <w:t>toarele vor intra pe lista proiectelor de rezerv</w:t>
      </w:r>
      <w:r w:rsidR="00FF6D0A">
        <w:rPr>
          <w:rFonts w:ascii="Arial" w:eastAsia="Times New Roman" w:hAnsi="Arial" w:cs="Arial"/>
          <w:color w:val="222222"/>
        </w:rPr>
        <w:t>ă</w:t>
      </w:r>
      <w:r w:rsidRPr="00080A3F">
        <w:rPr>
          <w:rFonts w:ascii="Arial" w:eastAsia="Times New Roman" w:hAnsi="Arial" w:cs="Arial"/>
          <w:color w:val="222222"/>
        </w:rPr>
        <w:t xml:space="preserve">, care vor fi implementate doar </w:t>
      </w:r>
      <w:r w:rsidR="00FF6D0A">
        <w:rPr>
          <w:rFonts w:ascii="Arial" w:eastAsia="Times New Roman" w:hAnsi="Arial" w:cs="Arial"/>
          <w:color w:val="222222"/>
        </w:rPr>
        <w:t>î</w:t>
      </w:r>
      <w:r w:rsidRPr="00080A3F">
        <w:rPr>
          <w:rFonts w:ascii="Arial" w:eastAsia="Times New Roman" w:hAnsi="Arial" w:cs="Arial"/>
          <w:color w:val="222222"/>
        </w:rPr>
        <w:t>n situa</w:t>
      </w:r>
      <w:r w:rsidR="00FF6D0A">
        <w:rPr>
          <w:rFonts w:ascii="Arial" w:eastAsia="Times New Roman" w:hAnsi="Arial" w:cs="Arial"/>
          <w:color w:val="222222"/>
        </w:rPr>
        <w:t>ț</w:t>
      </w:r>
      <w:r w:rsidRPr="00080A3F">
        <w:rPr>
          <w:rFonts w:ascii="Arial" w:eastAsia="Times New Roman" w:hAnsi="Arial" w:cs="Arial"/>
          <w:color w:val="222222"/>
        </w:rPr>
        <w:t xml:space="preserve">ia </w:t>
      </w:r>
      <w:r w:rsidR="00FF6D0A">
        <w:rPr>
          <w:rFonts w:ascii="Arial" w:eastAsia="Times New Roman" w:hAnsi="Arial" w:cs="Arial"/>
          <w:color w:val="222222"/>
        </w:rPr>
        <w:t>î</w:t>
      </w:r>
      <w:r w:rsidRPr="00080A3F">
        <w:rPr>
          <w:rFonts w:ascii="Arial" w:eastAsia="Times New Roman" w:hAnsi="Arial" w:cs="Arial"/>
          <w:color w:val="222222"/>
        </w:rPr>
        <w:t>n care se vor putea asigura sursele de finan</w:t>
      </w:r>
      <w:r w:rsidR="00FF6D0A">
        <w:rPr>
          <w:rFonts w:ascii="Arial" w:eastAsia="Times New Roman" w:hAnsi="Arial" w:cs="Arial"/>
          <w:color w:val="222222"/>
        </w:rPr>
        <w:t>ț</w:t>
      </w:r>
      <w:r w:rsidRPr="00080A3F">
        <w:rPr>
          <w:rFonts w:ascii="Arial" w:eastAsia="Times New Roman" w:hAnsi="Arial" w:cs="Arial"/>
          <w:color w:val="222222"/>
        </w:rPr>
        <w:t>are:</w:t>
      </w:r>
    </w:p>
    <w:p w14:paraId="7758257E" w14:textId="77777777" w:rsidR="00080A3F" w:rsidRPr="00080A3F" w:rsidRDefault="00080A3F" w:rsidP="000C6CB8">
      <w:pPr>
        <w:numPr>
          <w:ilvl w:val="0"/>
          <w:numId w:val="215"/>
        </w:numPr>
        <w:shd w:val="clear" w:color="auto" w:fill="FFFFFF"/>
        <w:spacing w:before="100" w:beforeAutospacing="1" w:after="0" w:line="224" w:lineRule="atLeast"/>
        <w:ind w:left="945"/>
        <w:jc w:val="both"/>
        <w:rPr>
          <w:rFonts w:ascii="Helvetica" w:eastAsia="Times New Roman" w:hAnsi="Helvetica" w:cs="Times New Roman"/>
          <w:color w:val="000000"/>
        </w:rPr>
      </w:pPr>
      <w:r w:rsidRPr="00080A3F">
        <w:rPr>
          <w:rFonts w:ascii="Arial" w:eastAsia="Times New Roman" w:hAnsi="Arial" w:cs="Arial"/>
          <w:lang w:val="x-none"/>
        </w:rPr>
        <w:t>III.</w:t>
      </w:r>
      <w:r w:rsidRPr="00080A3F">
        <w:rPr>
          <w:rFonts w:ascii="Arial" w:eastAsia="Times New Roman" w:hAnsi="Arial" w:cs="Arial"/>
        </w:rPr>
        <w:t>1</w:t>
      </w:r>
      <w:r w:rsidRPr="00080A3F">
        <w:rPr>
          <w:rFonts w:ascii="Arial" w:eastAsia="Times New Roman" w:hAnsi="Arial" w:cs="Arial"/>
          <w:lang w:val="x-none"/>
        </w:rPr>
        <w:t> = realizarea unei aplicaţii pentru telefonul mobil pentru achitarea contravalorii călătoriei cu transportul public</w:t>
      </w:r>
    </w:p>
    <w:p w14:paraId="0BA348DD" w14:textId="77777777" w:rsidR="00080A3F" w:rsidRPr="00080A3F" w:rsidRDefault="00080A3F" w:rsidP="000C6CB8">
      <w:pPr>
        <w:numPr>
          <w:ilvl w:val="0"/>
          <w:numId w:val="215"/>
        </w:numPr>
        <w:shd w:val="clear" w:color="auto" w:fill="FFFFFF"/>
        <w:spacing w:before="100" w:beforeAutospacing="1" w:after="0" w:line="224" w:lineRule="atLeast"/>
        <w:ind w:left="945"/>
        <w:jc w:val="both"/>
        <w:rPr>
          <w:rFonts w:ascii="Helvetica" w:eastAsia="Times New Roman" w:hAnsi="Helvetica" w:cs="Times New Roman"/>
          <w:color w:val="000000"/>
        </w:rPr>
      </w:pPr>
      <w:r w:rsidRPr="00080A3F">
        <w:rPr>
          <w:rFonts w:ascii="Arial" w:eastAsia="Times New Roman" w:hAnsi="Arial" w:cs="Arial"/>
          <w:color w:val="000000"/>
        </w:rPr>
        <w:t>III.2 = realizarea unui website cu informaţii referitoare la traficul din oraş</w:t>
      </w:r>
      <w:r w:rsidRPr="00080A3F">
        <w:rPr>
          <w:rFonts w:ascii="Arial" w:eastAsia="Times New Roman" w:hAnsi="Arial" w:cs="Arial"/>
          <w:color w:val="000000"/>
          <w:lang w:val="es-ES"/>
        </w:rPr>
        <w:t>.</w:t>
      </w:r>
    </w:p>
    <w:p w14:paraId="122F03F4" w14:textId="77777777" w:rsidR="00080A3F" w:rsidRPr="00080A3F" w:rsidRDefault="00080A3F" w:rsidP="000C6CB8">
      <w:pPr>
        <w:numPr>
          <w:ilvl w:val="0"/>
          <w:numId w:val="215"/>
        </w:numPr>
        <w:shd w:val="clear" w:color="auto" w:fill="FFFFFF"/>
        <w:spacing w:before="100" w:beforeAutospacing="1" w:after="0" w:line="224" w:lineRule="atLeast"/>
        <w:ind w:left="945"/>
        <w:jc w:val="both"/>
        <w:rPr>
          <w:rFonts w:ascii="Helvetica" w:eastAsia="Times New Roman" w:hAnsi="Helvetica" w:cs="Times New Roman"/>
          <w:color w:val="000000"/>
        </w:rPr>
      </w:pPr>
      <w:r w:rsidRPr="00080A3F">
        <w:rPr>
          <w:rFonts w:ascii="Arial" w:eastAsia="Times New Roman" w:hAnsi="Arial" w:cs="Arial"/>
          <w:lang w:val="es-ES"/>
        </w:rPr>
        <w:t>IV.9 = achizi</w:t>
      </w:r>
      <w:r w:rsidR="00FF6D0A">
        <w:rPr>
          <w:rFonts w:ascii="Arial" w:eastAsia="Times New Roman" w:hAnsi="Arial" w:cs="Arial"/>
          <w:lang w:val="es-ES"/>
        </w:rPr>
        <w:t>ț</w:t>
      </w:r>
      <w:r w:rsidRPr="00080A3F">
        <w:rPr>
          <w:rFonts w:ascii="Arial" w:eastAsia="Times New Roman" w:hAnsi="Arial" w:cs="Arial"/>
          <w:lang w:val="es-ES"/>
        </w:rPr>
        <w:t>ia de sta</w:t>
      </w:r>
      <w:r w:rsidR="00FF6D0A">
        <w:rPr>
          <w:rFonts w:ascii="Arial" w:eastAsia="Times New Roman" w:hAnsi="Arial" w:cs="Arial"/>
          <w:lang w:val="es-ES"/>
        </w:rPr>
        <w:t>ț</w:t>
      </w:r>
      <w:r w:rsidRPr="00080A3F">
        <w:rPr>
          <w:rFonts w:ascii="Arial" w:eastAsia="Times New Roman" w:hAnsi="Arial" w:cs="Arial"/>
          <w:lang w:val="es-ES"/>
        </w:rPr>
        <w:t xml:space="preserve">ii de </w:t>
      </w:r>
      <w:r w:rsidR="00FF6D0A">
        <w:rPr>
          <w:rFonts w:ascii="Arial" w:eastAsia="Times New Roman" w:hAnsi="Arial" w:cs="Arial"/>
          <w:lang w:val="es-ES"/>
        </w:rPr>
        <w:t>î</w:t>
      </w:r>
      <w:r w:rsidRPr="00080A3F">
        <w:rPr>
          <w:rFonts w:ascii="Arial" w:eastAsia="Times New Roman" w:hAnsi="Arial" w:cs="Arial"/>
          <w:lang w:val="es-ES"/>
        </w:rPr>
        <w:t>nc</w:t>
      </w:r>
      <w:r w:rsidR="00FF6D0A">
        <w:rPr>
          <w:rFonts w:ascii="Arial" w:eastAsia="Times New Roman" w:hAnsi="Arial" w:cs="Arial"/>
          <w:lang w:val="es-ES"/>
        </w:rPr>
        <w:t>ă</w:t>
      </w:r>
      <w:r w:rsidRPr="00080A3F">
        <w:rPr>
          <w:rFonts w:ascii="Arial" w:eastAsia="Times New Roman" w:hAnsi="Arial" w:cs="Arial"/>
          <w:lang w:val="es-ES"/>
        </w:rPr>
        <w:t xml:space="preserve">rcare pentru autovehiculele electrice </w:t>
      </w:r>
      <w:r w:rsidR="00FF6D0A">
        <w:rPr>
          <w:rFonts w:ascii="Arial" w:eastAsia="Times New Roman" w:hAnsi="Arial" w:cs="Arial"/>
          <w:lang w:val="es-ES"/>
        </w:rPr>
        <w:t>ș</w:t>
      </w:r>
      <w:r w:rsidRPr="00080A3F">
        <w:rPr>
          <w:rFonts w:ascii="Arial" w:eastAsia="Times New Roman" w:hAnsi="Arial" w:cs="Arial"/>
          <w:lang w:val="es-ES"/>
        </w:rPr>
        <w:t xml:space="preserve">i amplasarea acestora </w:t>
      </w:r>
      <w:r w:rsidR="00FF6D0A">
        <w:rPr>
          <w:rFonts w:ascii="Arial" w:eastAsia="Times New Roman" w:hAnsi="Arial" w:cs="Arial"/>
          <w:lang w:val="es-ES"/>
        </w:rPr>
        <w:t>î</w:t>
      </w:r>
      <w:r w:rsidRPr="00080A3F">
        <w:rPr>
          <w:rFonts w:ascii="Arial" w:eastAsia="Times New Roman" w:hAnsi="Arial" w:cs="Arial"/>
          <w:lang w:val="es-ES"/>
        </w:rPr>
        <w:t>n principalele zone ale ora</w:t>
      </w:r>
      <w:r w:rsidR="00FF6D0A">
        <w:rPr>
          <w:rFonts w:ascii="Arial" w:eastAsia="Times New Roman" w:hAnsi="Arial" w:cs="Arial"/>
          <w:lang w:val="es-ES"/>
        </w:rPr>
        <w:t>ș</w:t>
      </w:r>
      <w:r w:rsidRPr="00080A3F">
        <w:rPr>
          <w:rFonts w:ascii="Arial" w:eastAsia="Times New Roman" w:hAnsi="Arial" w:cs="Arial"/>
          <w:lang w:val="es-ES"/>
        </w:rPr>
        <w:t>ului</w:t>
      </w:r>
      <w:r w:rsidRPr="00080A3F">
        <w:rPr>
          <w:rFonts w:ascii="Arial" w:eastAsia="Times New Roman" w:hAnsi="Arial" w:cs="Arial"/>
          <w:color w:val="000000"/>
        </w:rPr>
        <w:t>.</w:t>
      </w:r>
    </w:p>
    <w:p w14:paraId="30B76DED" w14:textId="77777777" w:rsidR="00080A3F" w:rsidRPr="00080A3F" w:rsidRDefault="00080A3F" w:rsidP="000C6CB8">
      <w:pPr>
        <w:numPr>
          <w:ilvl w:val="0"/>
          <w:numId w:val="215"/>
        </w:numPr>
        <w:shd w:val="clear" w:color="auto" w:fill="FFFFFF"/>
        <w:spacing w:before="100" w:beforeAutospacing="1" w:after="0" w:line="224" w:lineRule="atLeast"/>
        <w:ind w:left="945"/>
        <w:jc w:val="both"/>
        <w:rPr>
          <w:rFonts w:ascii="Helvetica" w:eastAsia="Times New Roman" w:hAnsi="Helvetica" w:cs="Times New Roman"/>
          <w:color w:val="000000"/>
        </w:rPr>
      </w:pPr>
      <w:r w:rsidRPr="00080A3F">
        <w:rPr>
          <w:rFonts w:ascii="Arial" w:eastAsia="Times New Roman" w:hAnsi="Arial" w:cs="Arial"/>
          <w:color w:val="000000"/>
          <w:lang w:val="es-ES"/>
        </w:rPr>
        <w:t xml:space="preserve">X.6 = realizarea unui website al operatorului de transport public local </w:t>
      </w:r>
      <w:r w:rsidR="00FF6D0A">
        <w:rPr>
          <w:rFonts w:ascii="Arial" w:eastAsia="Times New Roman" w:hAnsi="Arial" w:cs="Arial"/>
          <w:color w:val="000000"/>
          <w:lang w:val="es-ES"/>
        </w:rPr>
        <w:t>ș</w:t>
      </w:r>
      <w:r w:rsidRPr="00080A3F">
        <w:rPr>
          <w:rFonts w:ascii="Arial" w:eastAsia="Times New Roman" w:hAnsi="Arial" w:cs="Arial"/>
          <w:color w:val="000000"/>
          <w:lang w:val="es-ES"/>
        </w:rPr>
        <w:t>i unei aplica</w:t>
      </w:r>
      <w:r w:rsidR="00FF6D0A">
        <w:rPr>
          <w:rFonts w:ascii="Arial" w:eastAsia="Times New Roman" w:hAnsi="Arial" w:cs="Arial"/>
          <w:color w:val="000000"/>
          <w:lang w:val="es-ES"/>
        </w:rPr>
        <w:t>ț</w:t>
      </w:r>
      <w:r w:rsidRPr="00080A3F">
        <w:rPr>
          <w:rFonts w:ascii="Arial" w:eastAsia="Times New Roman" w:hAnsi="Arial" w:cs="Arial"/>
          <w:color w:val="000000"/>
          <w:lang w:val="es-ES"/>
        </w:rPr>
        <w:t>ii pentru planificarea c</w:t>
      </w:r>
      <w:r w:rsidR="00FF6D0A">
        <w:rPr>
          <w:rFonts w:ascii="Arial" w:eastAsia="Times New Roman" w:hAnsi="Arial" w:cs="Arial"/>
          <w:color w:val="000000"/>
          <w:lang w:val="es-ES"/>
        </w:rPr>
        <w:t>ă</w:t>
      </w:r>
      <w:r w:rsidRPr="00080A3F">
        <w:rPr>
          <w:rFonts w:ascii="Arial" w:eastAsia="Times New Roman" w:hAnsi="Arial" w:cs="Arial"/>
          <w:color w:val="000000"/>
          <w:lang w:val="es-ES"/>
        </w:rPr>
        <w:t>l</w:t>
      </w:r>
      <w:r w:rsidR="00FF6D0A">
        <w:rPr>
          <w:rFonts w:ascii="Arial" w:eastAsia="Times New Roman" w:hAnsi="Arial" w:cs="Arial"/>
          <w:color w:val="000000"/>
          <w:lang w:val="es-ES"/>
        </w:rPr>
        <w:t>ă</w:t>
      </w:r>
      <w:r w:rsidRPr="00080A3F">
        <w:rPr>
          <w:rFonts w:ascii="Arial" w:eastAsia="Times New Roman" w:hAnsi="Arial" w:cs="Arial"/>
          <w:color w:val="000000"/>
          <w:lang w:val="es-ES"/>
        </w:rPr>
        <w:t>toriei cu transportul public.</w:t>
      </w:r>
    </w:p>
    <w:p w14:paraId="0800DF1D" w14:textId="77777777" w:rsidR="00080A3F" w:rsidRPr="00080A3F" w:rsidRDefault="00080A3F" w:rsidP="000C6CB8">
      <w:pPr>
        <w:numPr>
          <w:ilvl w:val="0"/>
          <w:numId w:val="215"/>
        </w:numPr>
        <w:shd w:val="clear" w:color="auto" w:fill="FFFFFF"/>
        <w:spacing w:before="100" w:beforeAutospacing="1" w:after="0" w:line="224" w:lineRule="atLeast"/>
        <w:ind w:left="945"/>
        <w:jc w:val="both"/>
        <w:rPr>
          <w:rFonts w:ascii="Helvetica" w:eastAsia="Times New Roman" w:hAnsi="Helvetica" w:cs="Times New Roman"/>
          <w:color w:val="222222"/>
        </w:rPr>
      </w:pPr>
      <w:r w:rsidRPr="00080A3F">
        <w:rPr>
          <w:rFonts w:ascii="Arial" w:eastAsia="Times New Roman" w:hAnsi="Arial" w:cs="Arial"/>
          <w:color w:val="222222"/>
          <w:lang w:val="x-none"/>
        </w:rPr>
        <w:t>XII.1 = </w:t>
      </w:r>
      <w:r w:rsidRPr="00080A3F">
        <w:rPr>
          <w:rFonts w:ascii="Arial" w:eastAsia="Times New Roman" w:hAnsi="Arial" w:cs="Arial"/>
          <w:color w:val="222222"/>
        </w:rPr>
        <w:t>Construirea unui c</w:t>
      </w:r>
      <w:r w:rsidRPr="00080A3F">
        <w:rPr>
          <w:rFonts w:ascii="Arial" w:eastAsia="Times New Roman" w:hAnsi="Arial" w:cs="Arial"/>
          <w:color w:val="222222"/>
          <w:lang w:val="x-none"/>
        </w:rPr>
        <w:t>entru intermodal de transport destinat interconectării transportului </w:t>
      </w:r>
      <w:r w:rsidRPr="00080A3F">
        <w:rPr>
          <w:rFonts w:ascii="Arial" w:eastAsia="Times New Roman" w:hAnsi="Arial" w:cs="Arial"/>
          <w:color w:val="222222"/>
        </w:rPr>
        <w:t>public local cu cel jude</w:t>
      </w:r>
      <w:r w:rsidR="00FF6D0A">
        <w:rPr>
          <w:rFonts w:ascii="Arial" w:eastAsia="Times New Roman" w:hAnsi="Arial" w:cs="Arial"/>
          <w:color w:val="222222"/>
        </w:rPr>
        <w:t>ț</w:t>
      </w:r>
      <w:r w:rsidRPr="00080A3F">
        <w:rPr>
          <w:rFonts w:ascii="Arial" w:eastAsia="Times New Roman" w:hAnsi="Arial" w:cs="Arial"/>
          <w:color w:val="222222"/>
        </w:rPr>
        <w:t>ean </w:t>
      </w:r>
      <w:r w:rsidRPr="00080A3F">
        <w:rPr>
          <w:rFonts w:ascii="Arial" w:eastAsia="Times New Roman" w:hAnsi="Arial" w:cs="Arial"/>
          <w:color w:val="222222"/>
          <w:lang w:val="x-none"/>
        </w:rPr>
        <w:t>şi interurban.</w:t>
      </w:r>
    </w:p>
    <w:p w14:paraId="247C0FFD" w14:textId="77777777" w:rsidR="004F44A8" w:rsidRPr="00704C6B" w:rsidRDefault="004F44A8" w:rsidP="004F44A8">
      <w:pPr>
        <w:suppressAutoHyphens/>
        <w:autoSpaceDE w:val="0"/>
        <w:spacing w:after="0" w:line="360" w:lineRule="auto"/>
        <w:jc w:val="both"/>
        <w:rPr>
          <w:rFonts w:ascii="Arial" w:eastAsia="Calibri" w:hAnsi="Arial" w:cs="Arial"/>
          <w:color w:val="000000"/>
          <w:lang w:eastAsia="zh-CN"/>
        </w:rPr>
      </w:pPr>
      <w:r w:rsidRPr="00704C6B">
        <w:rPr>
          <w:rFonts w:ascii="Arial" w:eastAsia="Calibri" w:hAnsi="Arial" w:cs="Arial"/>
          <w:color w:val="000000"/>
          <w:lang w:eastAsia="zh-CN"/>
        </w:rPr>
        <w:br w:type="page"/>
      </w:r>
    </w:p>
    <w:p w14:paraId="467E1615" w14:textId="77777777" w:rsidR="00365C2F" w:rsidRPr="007D0E88" w:rsidRDefault="00365C2F" w:rsidP="007D0E88">
      <w:pPr>
        <w:pStyle w:val="Titlu2"/>
        <w:rPr>
          <w:rFonts w:ascii="Arial" w:eastAsia="Times New Roman" w:hAnsi="Arial" w:cs="Arial"/>
          <w:b/>
          <w:bCs/>
          <w:color w:val="auto"/>
          <w:lang w:eastAsia="hi-IN" w:bidi="hi-IN"/>
        </w:rPr>
      </w:pPr>
      <w:bookmarkStart w:id="620" w:name="_Toc461777876"/>
      <w:bookmarkStart w:id="621" w:name="_Toc491868856"/>
      <w:bookmarkStart w:id="622" w:name="_Toc499657577"/>
      <w:bookmarkStart w:id="623" w:name="_Toc142039124"/>
      <w:r w:rsidRPr="007D0E88">
        <w:rPr>
          <w:rFonts w:ascii="Arial" w:eastAsia="Times New Roman" w:hAnsi="Arial" w:cs="Arial"/>
          <w:b/>
          <w:bCs/>
          <w:color w:val="auto"/>
          <w:lang w:eastAsia="hi-IN" w:bidi="hi-IN"/>
        </w:rPr>
        <w:lastRenderedPageBreak/>
        <w:t>I.8.3 Evaluarea economicǎ a scenariului preferat</w:t>
      </w:r>
      <w:bookmarkEnd w:id="620"/>
      <w:bookmarkEnd w:id="621"/>
      <w:bookmarkEnd w:id="622"/>
      <w:bookmarkEnd w:id="623"/>
    </w:p>
    <w:p w14:paraId="6E21EDCE" w14:textId="77777777" w:rsidR="004F44A8" w:rsidRPr="004F44A8" w:rsidRDefault="004F44A8" w:rsidP="004F44A8">
      <w:pPr>
        <w:widowControl w:val="0"/>
        <w:suppressAutoHyphens/>
        <w:autoSpaceDE w:val="0"/>
        <w:spacing w:after="0" w:line="276" w:lineRule="auto"/>
        <w:jc w:val="both"/>
        <w:rPr>
          <w:rFonts w:ascii="Arial" w:hAnsi="Arial" w:cs="VOELHG+HelveticaNeue"/>
          <w:color w:val="000000"/>
          <w:kern w:val="1"/>
          <w:lang w:val="ro-RO" w:eastAsia="hi-IN" w:bidi="hi-IN"/>
        </w:rPr>
      </w:pPr>
      <w:r w:rsidRPr="004F44A8">
        <w:rPr>
          <w:rFonts w:ascii="Arial" w:hAnsi="Arial" w:cs="Arial"/>
          <w:color w:val="000000"/>
          <w:kern w:val="1"/>
          <w:lang w:val="es-ES" w:eastAsia="ro-RO" w:bidi="hi-IN"/>
        </w:rPr>
        <w:t xml:space="preserve">Pentru selectarea și prioritizarea proiectelor și măsurilor propuse în cadrul PMUD, trebuie utilizate analiza cost beneficiu și o analiză multicriterială. Măsurile rămase sunt elaborate în detaliu pentru a înțelege costurile și impactul acestora. Costurile au fost estimate prin aplicarea unor rate unitare sau cunoaștere a prețurilor pieței. Beneficiile proiectului au fost evaluate prin cercetări empirice sau prin modelul de transport. Manualul privind integrarea masurilor si a pachetelor de masuri intr-un PMUD elaborat in cadrul CIVITAS 2020 recomanda, pentru a evita ACB-uri costisitoare, utilizarea unor instrumente simplificate de evaluare a impactului. Un astfel de instrument de evaluare provine din proiectul Urban Nodes si este o mix intre ACB si Analiza pe Criterii Multiple. </w:t>
      </w:r>
      <w:r w:rsidRPr="004F44A8">
        <w:rPr>
          <w:rFonts w:ascii="Arial" w:hAnsi="Arial" w:cs="VOELHG+HelveticaNeue"/>
          <w:color w:val="000000"/>
          <w:kern w:val="1"/>
          <w:lang w:val="ro-RO" w:eastAsia="hi-IN" w:bidi="hi-IN"/>
        </w:rPr>
        <w:t>Avantajul utilizării acestui instrument ușor este faptul că nu este necesară nicio altă informație statistică în afară de costul preconizat al măsurii.</w:t>
      </w:r>
    </w:p>
    <w:p w14:paraId="26ACF14C" w14:textId="77777777" w:rsidR="004F44A8" w:rsidRPr="004F44A8" w:rsidRDefault="004F44A8" w:rsidP="004F44A8">
      <w:pPr>
        <w:widowControl w:val="0"/>
        <w:suppressAutoHyphens/>
        <w:autoSpaceDE w:val="0"/>
        <w:spacing w:after="0" w:line="276" w:lineRule="auto"/>
        <w:jc w:val="both"/>
        <w:rPr>
          <w:rFonts w:ascii="Arial" w:hAnsi="Arial" w:cs="VOELHG+HelveticaNeue"/>
          <w:color w:val="000000"/>
          <w:kern w:val="1"/>
          <w:highlight w:val="yellow"/>
          <w:lang w:val="ro-RO" w:eastAsia="hi-IN" w:bidi="hi-IN"/>
        </w:rPr>
      </w:pPr>
    </w:p>
    <w:p w14:paraId="53B1B505" w14:textId="77777777" w:rsidR="004F44A8" w:rsidRPr="004F44A8" w:rsidRDefault="004F44A8" w:rsidP="004F44A8">
      <w:pPr>
        <w:widowControl w:val="0"/>
        <w:suppressAutoHyphens/>
        <w:autoSpaceDE w:val="0"/>
        <w:spacing w:after="0" w:line="276" w:lineRule="auto"/>
        <w:jc w:val="both"/>
        <w:rPr>
          <w:rFonts w:ascii="Arial" w:hAnsi="Arial" w:cs="VOELHG+HelveticaNeue"/>
          <w:color w:val="000000"/>
          <w:kern w:val="1"/>
          <w:lang w:val="ro-RO" w:eastAsia="hi-IN" w:bidi="hi-IN"/>
        </w:rPr>
      </w:pPr>
      <w:r w:rsidRPr="004F44A8">
        <w:rPr>
          <w:rFonts w:ascii="Arial" w:hAnsi="Arial" w:cs="VOELHG+HelveticaNeue"/>
          <w:color w:val="000000"/>
          <w:kern w:val="1"/>
          <w:lang w:val="ro-RO" w:eastAsia="hi-IN" w:bidi="hi-IN"/>
        </w:rPr>
        <w:t xml:space="preserve">Instrumentul are în vedere varietatea de perspective ale diferiților actori implicați în dezvoltarea rețelei de transport. Punctul său forte este acela de a combina două abordări utilizate frecvent (ACM, Analiza Criteriilor Multiple și ACB, Analiza Cost- Beneficiu) pentru a evalua impactul unei măsuri (atât cantitativ, cât și calitativ). În plus, se aplică atât măsurilor ”hard”, cât și celor ”soft” de la nivel local la nivel regional. Se introduce un set inițial de măsuri sau proiecte planificate sau în curs de desfășurare, identificate de părțile interesate ca fiind relevante pentru dezvoltarea rețelei de transport. Cu ajutorul metodologiei, poate fi identificat un pachet optim de măsuri bazate pe o problemă definită și bazate pe obiective de politici de nivel înalt. Instrumentul de evaluare a nodurilor urbane a fost dezvoltat de Panteia, împreună cu Rupprecht Consult și Pricewaterhouse Coopers Italia în proiectul Urban Nodes. </w:t>
      </w:r>
    </w:p>
    <w:p w14:paraId="637A546F" w14:textId="77777777" w:rsidR="004F44A8" w:rsidRPr="004F44A8" w:rsidRDefault="004F44A8" w:rsidP="004F44A8">
      <w:pPr>
        <w:widowControl w:val="0"/>
        <w:suppressAutoHyphens/>
        <w:autoSpaceDE w:val="0"/>
        <w:spacing w:after="0" w:line="276" w:lineRule="auto"/>
        <w:jc w:val="both"/>
        <w:rPr>
          <w:rFonts w:ascii="Arial" w:hAnsi="Arial" w:cs="VOELHG+HelveticaNeue"/>
          <w:color w:val="000000"/>
          <w:kern w:val="1"/>
          <w:lang w:val="ro-RO" w:eastAsia="hi-IN" w:bidi="hi-IN"/>
        </w:rPr>
      </w:pPr>
    </w:p>
    <w:p w14:paraId="67061B6F" w14:textId="77777777" w:rsidR="004F44A8" w:rsidRPr="004F44A8" w:rsidRDefault="004F44A8" w:rsidP="004F44A8">
      <w:pPr>
        <w:widowControl w:val="0"/>
        <w:suppressAutoHyphens/>
        <w:autoSpaceDE w:val="0"/>
        <w:spacing w:after="0" w:line="276" w:lineRule="auto"/>
        <w:jc w:val="both"/>
        <w:rPr>
          <w:rFonts w:ascii="Arial" w:hAnsi="Arial" w:cs="Arial"/>
          <w:kern w:val="1"/>
          <w:lang w:val="es-ES" w:eastAsia="ro-RO" w:bidi="hi-IN"/>
        </w:rPr>
      </w:pPr>
      <w:r w:rsidRPr="004F44A8">
        <w:rPr>
          <w:rFonts w:ascii="Arial" w:hAnsi="Arial" w:cs="VOELHG+HelveticaNeue"/>
          <w:color w:val="000000"/>
          <w:kern w:val="1"/>
          <w:lang w:val="ro-RO" w:eastAsia="hi-IN" w:bidi="hi-IN"/>
        </w:rPr>
        <w:t xml:space="preserve">Instrumentul va fi utilizat pentru evaluarea scenariilor (inclusiv a scenariului preferat), iar rezultatele analizelor sunt </w:t>
      </w:r>
      <w:r w:rsidRPr="00D45675">
        <w:rPr>
          <w:rFonts w:ascii="Arial" w:hAnsi="Arial" w:cs="VOELHG+HelveticaNeue"/>
          <w:color w:val="000000"/>
          <w:kern w:val="1"/>
          <w:lang w:val="ro-RO" w:eastAsia="hi-IN" w:bidi="hi-IN"/>
        </w:rPr>
        <w:t xml:space="preserve">prezentate </w:t>
      </w:r>
      <w:r w:rsidR="00D45675">
        <w:rPr>
          <w:rFonts w:ascii="Arial" w:hAnsi="Arial" w:cs="VOELHG+HelveticaNeue"/>
          <w:color w:val="000000"/>
          <w:kern w:val="1"/>
          <w:lang w:val="ro-RO" w:eastAsia="hi-IN" w:bidi="hi-IN"/>
        </w:rPr>
        <w:t>î</w:t>
      </w:r>
      <w:r w:rsidRPr="00D45675">
        <w:rPr>
          <w:rFonts w:ascii="Arial" w:hAnsi="Arial" w:cs="VOELHG+HelveticaNeue"/>
          <w:color w:val="000000"/>
          <w:kern w:val="1"/>
          <w:lang w:val="ro-RO" w:eastAsia="hi-IN" w:bidi="hi-IN"/>
        </w:rPr>
        <w:t>n Anexa 1</w:t>
      </w:r>
      <w:r w:rsidR="00D45675" w:rsidRPr="00D45675">
        <w:rPr>
          <w:rFonts w:ascii="Arial" w:hAnsi="Arial" w:cs="VOELHG+HelveticaNeue"/>
          <w:color w:val="000000"/>
          <w:kern w:val="1"/>
          <w:lang w:val="ro-RO" w:eastAsia="hi-IN" w:bidi="hi-IN"/>
        </w:rPr>
        <w:t>1</w:t>
      </w:r>
      <w:r w:rsidRPr="00D45675">
        <w:rPr>
          <w:rFonts w:ascii="Arial" w:hAnsi="Arial" w:cs="VOELHG+HelveticaNeue"/>
          <w:color w:val="000000"/>
          <w:kern w:val="1"/>
          <w:lang w:val="ro-RO" w:eastAsia="hi-IN" w:bidi="hi-IN"/>
        </w:rPr>
        <w:t>.</w:t>
      </w:r>
    </w:p>
    <w:p w14:paraId="70576DDA" w14:textId="77777777" w:rsidR="004F44A8" w:rsidRPr="004F44A8" w:rsidRDefault="004F44A8" w:rsidP="004F44A8">
      <w:pPr>
        <w:widowControl w:val="0"/>
        <w:suppressAutoHyphens/>
        <w:autoSpaceDE w:val="0"/>
        <w:spacing w:after="0" w:line="276" w:lineRule="auto"/>
        <w:jc w:val="both"/>
        <w:rPr>
          <w:rFonts w:ascii="Arial" w:hAnsi="Arial" w:cs="Arial"/>
          <w:kern w:val="1"/>
          <w:lang w:val="es-ES" w:eastAsia="ro-RO" w:bidi="hi-IN"/>
        </w:rPr>
      </w:pPr>
    </w:p>
    <w:p w14:paraId="651E400D" w14:textId="77777777" w:rsidR="004F44A8" w:rsidRPr="004F44A8" w:rsidRDefault="004F44A8" w:rsidP="004F44A8">
      <w:pPr>
        <w:widowControl w:val="0"/>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b/>
          <w:bCs/>
          <w:color w:val="000000"/>
          <w:kern w:val="1"/>
          <w:lang w:val="es-ES" w:eastAsia="ro-RO" w:bidi="hi-IN"/>
        </w:rPr>
        <w:t>Analiza multicriterială</w:t>
      </w:r>
    </w:p>
    <w:p w14:paraId="548C164D" w14:textId="77777777" w:rsidR="004F44A8" w:rsidRPr="004F44A8" w:rsidRDefault="004F44A8" w:rsidP="004F44A8">
      <w:pPr>
        <w:widowControl w:val="0"/>
        <w:suppressAutoHyphens/>
        <w:autoSpaceDE w:val="0"/>
        <w:spacing w:after="0" w:line="276" w:lineRule="auto"/>
        <w:jc w:val="both"/>
        <w:rPr>
          <w:rFonts w:ascii="Arial" w:hAnsi="Arial" w:cs="Arial"/>
          <w:kern w:val="1"/>
          <w:lang w:val="es-ES" w:eastAsia="ro-RO" w:bidi="hi-IN"/>
        </w:rPr>
      </w:pPr>
      <w:r w:rsidRPr="004F44A8">
        <w:rPr>
          <w:rFonts w:ascii="Arial" w:hAnsi="Arial" w:cs="Arial"/>
          <w:color w:val="000000"/>
          <w:kern w:val="1"/>
          <w:lang w:val="es-ES" w:eastAsia="ro-RO" w:bidi="hi-IN"/>
        </w:rPr>
        <w:t>Analiza multicriterială (AMC) compară diferitele măsuri sau soluții în funcție de mai multe criterii sau politici, prin intermediul unor medii ponderate. Această analiză ajută la ierarhizarea măsurilor propuse și, împreună cu ACB, la prioritizarea acestora.</w:t>
      </w:r>
    </w:p>
    <w:p w14:paraId="1D40712D" w14:textId="77777777" w:rsidR="004F44A8" w:rsidRPr="004F44A8" w:rsidRDefault="004F44A8" w:rsidP="004F44A8">
      <w:pPr>
        <w:widowControl w:val="0"/>
        <w:suppressAutoHyphens/>
        <w:autoSpaceDE w:val="0"/>
        <w:spacing w:after="0" w:line="276" w:lineRule="auto"/>
        <w:jc w:val="both"/>
        <w:rPr>
          <w:rFonts w:ascii="Arial" w:hAnsi="Arial" w:cs="Arial"/>
          <w:kern w:val="1"/>
          <w:lang w:val="es-ES" w:eastAsia="ro-RO" w:bidi="hi-IN"/>
        </w:rPr>
      </w:pPr>
    </w:p>
    <w:p w14:paraId="4C427FB9" w14:textId="77777777" w:rsidR="004F44A8" w:rsidRPr="004F44A8" w:rsidRDefault="004F44A8" w:rsidP="004F44A8">
      <w:pPr>
        <w:widowControl w:val="0"/>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Pentru elaborarea unei analize multicriteriale este necesară:</w:t>
      </w:r>
    </w:p>
    <w:p w14:paraId="2E2AB4C6" w14:textId="77777777" w:rsidR="004F44A8" w:rsidRPr="004F44A8" w:rsidRDefault="004F44A8" w:rsidP="004F44A8">
      <w:pPr>
        <w:widowControl w:val="0"/>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 stabilirea unui set de criterii;</w:t>
      </w:r>
    </w:p>
    <w:p w14:paraId="3765DE3B" w14:textId="77777777" w:rsidR="004F44A8" w:rsidRPr="004F44A8" w:rsidRDefault="004F44A8" w:rsidP="004F44A8">
      <w:pPr>
        <w:widowControl w:val="0"/>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 alocarea de ponderi pentru fiecare criteriu;</w:t>
      </w:r>
    </w:p>
    <w:p w14:paraId="5A0B5027" w14:textId="77777777" w:rsidR="004F44A8" w:rsidRPr="004F44A8" w:rsidRDefault="004F44A8" w:rsidP="004F44A8">
      <w:pPr>
        <w:widowControl w:val="0"/>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 stabilirea unei matrici AMC;</w:t>
      </w:r>
    </w:p>
    <w:p w14:paraId="7F0ED662" w14:textId="77777777" w:rsidR="004F44A8" w:rsidRPr="004F44A8" w:rsidRDefault="004F44A8" w:rsidP="004F44A8">
      <w:pPr>
        <w:widowControl w:val="0"/>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 atribuirea scorului pentru fiecare criteriu;</w:t>
      </w:r>
    </w:p>
    <w:p w14:paraId="77437538" w14:textId="77777777" w:rsidR="004F44A8" w:rsidRPr="004F44A8" w:rsidRDefault="004F44A8" w:rsidP="004F44A8">
      <w:pPr>
        <w:widowControl w:val="0"/>
        <w:suppressAutoHyphens/>
        <w:autoSpaceDE w:val="0"/>
        <w:spacing w:after="0" w:line="276" w:lineRule="auto"/>
        <w:jc w:val="both"/>
        <w:rPr>
          <w:rFonts w:ascii="Arial" w:hAnsi="Arial" w:cs="Arial"/>
          <w:color w:val="000000"/>
          <w:kern w:val="1"/>
          <w:lang w:val="es-ES" w:eastAsia="ro-RO" w:bidi="hi-IN"/>
        </w:rPr>
      </w:pPr>
      <w:r w:rsidRPr="004F44A8">
        <w:rPr>
          <w:rFonts w:ascii="Arial" w:hAnsi="Arial" w:cs="Arial"/>
          <w:color w:val="000000"/>
          <w:kern w:val="1"/>
          <w:lang w:val="es-ES" w:eastAsia="ro-RO" w:bidi="hi-IN"/>
        </w:rPr>
        <w:t>- calcularea scorului mediu pentru fiecare măsură, prin înmulţirea notei obţinute de fiecare măsură cu ponderea alocată fiecărui criteriu. Scorul final se obţine prin însumarea tuturor liniilor (indicatorilor).</w:t>
      </w:r>
    </w:p>
    <w:p w14:paraId="71F4DCDA" w14:textId="77777777" w:rsidR="004F44A8" w:rsidRPr="004F44A8" w:rsidRDefault="004F44A8" w:rsidP="004F44A8">
      <w:pPr>
        <w:widowControl w:val="0"/>
        <w:suppressAutoHyphens/>
        <w:autoSpaceDE w:val="0"/>
        <w:spacing w:after="0" w:line="276" w:lineRule="auto"/>
        <w:jc w:val="both"/>
        <w:rPr>
          <w:rFonts w:ascii="Arial" w:hAnsi="Arial" w:cs="Arial"/>
          <w:color w:val="000000"/>
          <w:kern w:val="1"/>
          <w:highlight w:val="red"/>
          <w:lang w:val="es-ES" w:eastAsia="ro-RO" w:bidi="hi-IN"/>
        </w:rPr>
      </w:pPr>
    </w:p>
    <w:p w14:paraId="59C98C9B" w14:textId="77777777" w:rsidR="004F44A8" w:rsidRPr="004F44A8" w:rsidRDefault="004F44A8" w:rsidP="004F44A8">
      <w:pPr>
        <w:widowControl w:val="0"/>
        <w:suppressAutoHyphens/>
        <w:autoSpaceDE w:val="0"/>
        <w:spacing w:after="0" w:line="276" w:lineRule="auto"/>
        <w:jc w:val="both"/>
        <w:rPr>
          <w:rFonts w:ascii="Arial" w:eastAsia="Times New Roman" w:hAnsi="Arial" w:cs="Arial"/>
          <w:kern w:val="1"/>
          <w:lang w:val="es-ES" w:eastAsia="ro-RO" w:bidi="hi-IN"/>
        </w:rPr>
      </w:pPr>
      <w:r w:rsidRPr="004F44A8">
        <w:rPr>
          <w:rFonts w:ascii="Arial" w:eastAsia="Times New Roman" w:hAnsi="Arial" w:cs="Arial"/>
          <w:kern w:val="1"/>
          <w:lang w:val="es-ES" w:eastAsia="ro-RO" w:bidi="hi-IN"/>
        </w:rPr>
        <w:t xml:space="preserve">In cadrul evaluarii masurilor si proiectelor si in vederea prioritizarii acestora, fiecarei masuri i s-a alocat o nota de la 1 la 10, in functie de impactul pe care il are asupra indicatorului respectiv, impact rezultat din modelul de transport pentru 9 din cei 11 indicatori de evaluare. </w:t>
      </w:r>
    </w:p>
    <w:p w14:paraId="2424086D" w14:textId="77777777" w:rsidR="00365C2F" w:rsidRPr="007D0E88" w:rsidRDefault="00365C2F" w:rsidP="007D0E88">
      <w:pPr>
        <w:widowControl w:val="0"/>
        <w:suppressAutoHyphens/>
        <w:autoSpaceDE w:val="0"/>
        <w:spacing w:after="0" w:line="276" w:lineRule="auto"/>
        <w:jc w:val="both"/>
        <w:rPr>
          <w:rFonts w:ascii="Arial" w:hAnsi="Arial" w:cs="Arial"/>
          <w:color w:val="000000"/>
          <w:kern w:val="1"/>
          <w:lang w:val="es-ES" w:eastAsia="ro-RO" w:bidi="hi-IN"/>
        </w:rPr>
      </w:pPr>
    </w:p>
    <w:p w14:paraId="15640994" w14:textId="77777777" w:rsidR="00365C2F" w:rsidRPr="007D0E88" w:rsidRDefault="00365C2F" w:rsidP="007D0E88">
      <w:pPr>
        <w:pStyle w:val="Titlu2"/>
        <w:rPr>
          <w:rFonts w:ascii="Arial" w:hAnsi="Arial" w:cs="Arial"/>
          <w:b/>
          <w:bCs/>
          <w:color w:val="auto"/>
        </w:rPr>
      </w:pPr>
      <w:bookmarkStart w:id="624" w:name="_Toc461777881"/>
      <w:bookmarkStart w:id="625" w:name="_Toc491868857"/>
      <w:bookmarkStart w:id="626" w:name="_Toc499657578"/>
      <w:bookmarkStart w:id="627" w:name="_Toc142039125"/>
      <w:r w:rsidRPr="007D0E88">
        <w:rPr>
          <w:rFonts w:ascii="Arial" w:hAnsi="Arial" w:cs="Arial"/>
          <w:b/>
          <w:bCs/>
          <w:color w:val="auto"/>
        </w:rPr>
        <w:lastRenderedPageBreak/>
        <w:t>I.8.4 Costuri asociate scenariului preferat</w:t>
      </w:r>
      <w:bookmarkEnd w:id="624"/>
      <w:bookmarkEnd w:id="625"/>
      <w:bookmarkEnd w:id="626"/>
      <w:bookmarkEnd w:id="627"/>
      <w:r w:rsidRPr="007D0E88">
        <w:rPr>
          <w:rFonts w:ascii="Arial" w:hAnsi="Arial" w:cs="Arial"/>
          <w:b/>
          <w:bCs/>
          <w:color w:val="auto"/>
        </w:rPr>
        <w:t xml:space="preserve"> </w:t>
      </w:r>
    </w:p>
    <w:p w14:paraId="39D02D49" w14:textId="77777777" w:rsidR="00365C2F" w:rsidRDefault="00365C2F" w:rsidP="00D70AEA">
      <w:pPr>
        <w:rPr>
          <w:rFonts w:ascii="Arial" w:eastAsia="Times New Roman" w:hAnsi="Arial" w:cs="Arial"/>
          <w:b/>
          <w:sz w:val="24"/>
          <w:szCs w:val="24"/>
          <w:lang w:val="it-IT" w:eastAsia="ro-RO"/>
        </w:rPr>
      </w:pPr>
    </w:p>
    <w:p w14:paraId="02661E0B" w14:textId="77777777" w:rsidR="004F44A8" w:rsidRPr="004F44A8" w:rsidRDefault="004F44A8" w:rsidP="004F44A8">
      <w:pPr>
        <w:widowControl w:val="0"/>
        <w:suppressAutoHyphens/>
        <w:spacing w:after="0" w:line="276" w:lineRule="auto"/>
        <w:rPr>
          <w:rFonts w:ascii="Arial" w:hAnsi="Arial" w:cs="Arial"/>
          <w:kern w:val="1"/>
          <w:sz w:val="24"/>
          <w:szCs w:val="24"/>
          <w:lang w:val="es-ES" w:eastAsia="hi-IN" w:bidi="hi-IN"/>
        </w:rPr>
      </w:pPr>
      <w:r w:rsidRPr="004F44A8">
        <w:rPr>
          <w:rFonts w:ascii="Arial" w:hAnsi="Arial" w:cs="Arial"/>
          <w:kern w:val="1"/>
          <w:sz w:val="24"/>
          <w:szCs w:val="24"/>
          <w:lang w:val="es-ES" w:eastAsia="hi-IN" w:bidi="hi-IN"/>
        </w:rPr>
        <w:t>Costurile de investiții asociate scenariului preferat sunt prezentate în tabelul următor.</w:t>
      </w:r>
    </w:p>
    <w:p w14:paraId="229B3B47" w14:textId="77777777" w:rsidR="004F44A8" w:rsidRPr="004F44A8" w:rsidRDefault="004F44A8" w:rsidP="004F44A8">
      <w:pPr>
        <w:widowControl w:val="0"/>
        <w:suppressAutoHyphens/>
        <w:spacing w:after="0" w:line="360" w:lineRule="auto"/>
        <w:jc w:val="center"/>
        <w:rPr>
          <w:rFonts w:ascii="Arial" w:hAnsi="Arial" w:cs="Arial"/>
          <w:kern w:val="1"/>
          <w:sz w:val="24"/>
          <w:szCs w:val="24"/>
          <w:lang w:val="es-ES" w:eastAsia="hi-IN" w:bidi="hi-IN"/>
        </w:rPr>
      </w:pPr>
    </w:p>
    <w:p w14:paraId="383DDDE0" w14:textId="2202B4C6" w:rsidR="004F44A8" w:rsidRPr="005C1C72" w:rsidRDefault="005C1C72" w:rsidP="005C1C72">
      <w:pPr>
        <w:pStyle w:val="Legend"/>
        <w:jc w:val="center"/>
        <w:rPr>
          <w:rFonts w:ascii="Arial" w:hAnsi="Arial" w:cs="Arial"/>
          <w:i w:val="0"/>
          <w:iCs w:val="0"/>
          <w:color w:val="1F497D"/>
          <w:kern w:val="1"/>
          <w:sz w:val="22"/>
          <w:szCs w:val="22"/>
          <w:lang w:val="es-ES" w:eastAsia="hi-IN" w:bidi="hi-IN"/>
        </w:rPr>
      </w:pPr>
      <w:bookmarkStart w:id="628" w:name="_Toc68361304"/>
      <w:bookmarkStart w:id="629" w:name="_Toc96463928"/>
      <w:r w:rsidRPr="005C1C72">
        <w:rPr>
          <w:rFonts w:ascii="Arial" w:hAnsi="Arial" w:cs="Arial"/>
          <w:sz w:val="22"/>
          <w:szCs w:val="22"/>
        </w:rPr>
        <w:t xml:space="preserve">Tabel I.8. </w:t>
      </w:r>
      <w:r w:rsidRPr="005C1C72">
        <w:rPr>
          <w:rFonts w:ascii="Arial" w:hAnsi="Arial" w:cs="Arial"/>
          <w:sz w:val="22"/>
          <w:szCs w:val="22"/>
        </w:rPr>
        <w:fldChar w:fldCharType="begin"/>
      </w:r>
      <w:r w:rsidRPr="005C1C72">
        <w:rPr>
          <w:rFonts w:ascii="Arial" w:hAnsi="Arial" w:cs="Arial"/>
          <w:sz w:val="22"/>
          <w:szCs w:val="22"/>
        </w:rPr>
        <w:instrText xml:space="preserve"> SEQ Tabel_I.8. \* ARABIC </w:instrText>
      </w:r>
      <w:r w:rsidRPr="005C1C72">
        <w:rPr>
          <w:rFonts w:ascii="Arial" w:hAnsi="Arial" w:cs="Arial"/>
          <w:sz w:val="22"/>
          <w:szCs w:val="22"/>
        </w:rPr>
        <w:fldChar w:fldCharType="separate"/>
      </w:r>
      <w:r w:rsidR="00BB181C">
        <w:rPr>
          <w:rFonts w:ascii="Arial" w:hAnsi="Arial" w:cs="Arial"/>
          <w:noProof/>
          <w:sz w:val="22"/>
          <w:szCs w:val="22"/>
        </w:rPr>
        <w:t>1</w:t>
      </w:r>
      <w:r w:rsidRPr="005C1C72">
        <w:rPr>
          <w:rFonts w:ascii="Arial" w:hAnsi="Arial" w:cs="Arial"/>
          <w:sz w:val="22"/>
          <w:szCs w:val="22"/>
        </w:rPr>
        <w:fldChar w:fldCharType="end"/>
      </w:r>
      <w:r w:rsidRPr="005C1C72">
        <w:rPr>
          <w:rFonts w:ascii="Arial" w:hAnsi="Arial" w:cs="Arial"/>
          <w:sz w:val="22"/>
          <w:szCs w:val="22"/>
        </w:rPr>
        <w:t xml:space="preserve"> </w:t>
      </w:r>
      <w:r w:rsidR="004F44A8" w:rsidRPr="005C1C72">
        <w:rPr>
          <w:rFonts w:ascii="Arial" w:hAnsi="Arial" w:cs="Arial"/>
          <w:color w:val="1F497D"/>
          <w:sz w:val="22"/>
          <w:szCs w:val="22"/>
        </w:rPr>
        <w:t xml:space="preserve">- </w:t>
      </w:r>
      <w:r w:rsidR="004F44A8" w:rsidRPr="005C1C72">
        <w:rPr>
          <w:rFonts w:ascii="Arial" w:hAnsi="Arial" w:cs="Arial"/>
          <w:i w:val="0"/>
          <w:iCs w:val="0"/>
          <w:color w:val="1F497D"/>
          <w:kern w:val="1"/>
          <w:sz w:val="22"/>
          <w:szCs w:val="22"/>
          <w:lang w:val="es-ES" w:eastAsia="hi-IN" w:bidi="hi-IN"/>
        </w:rPr>
        <w:t>Costuri de investiții asociate scenariului preferat</w:t>
      </w:r>
      <w:bookmarkEnd w:id="628"/>
      <w:bookmarkEnd w:id="629"/>
    </w:p>
    <w:p w14:paraId="3875A501" w14:textId="77777777" w:rsidR="004F44A8" w:rsidRPr="004F44A8" w:rsidRDefault="004F44A8" w:rsidP="004F44A8">
      <w:pPr>
        <w:widowControl w:val="0"/>
        <w:suppressAutoHyphens/>
        <w:spacing w:after="0" w:line="240" w:lineRule="auto"/>
        <w:rPr>
          <w:rFonts w:ascii="Arial" w:hAnsi="Arial" w:cs="Mangal"/>
          <w:kern w:val="1"/>
          <w:sz w:val="20"/>
          <w:szCs w:val="24"/>
          <w:lang w:val="es-ES" w:eastAsia="hi-IN" w:bidi="hi-IN"/>
        </w:rPr>
      </w:pPr>
    </w:p>
    <w:tbl>
      <w:tblPr>
        <w:tblW w:w="1017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580"/>
        <w:gridCol w:w="1147"/>
        <w:gridCol w:w="1148"/>
        <w:gridCol w:w="1147"/>
        <w:gridCol w:w="1148"/>
      </w:tblGrid>
      <w:tr w:rsidR="004F44A8" w:rsidRPr="004F44A8" w14:paraId="65161F83" w14:textId="77777777" w:rsidTr="00C735D2">
        <w:tc>
          <w:tcPr>
            <w:tcW w:w="5580" w:type="dxa"/>
            <w:vMerge w:val="restart"/>
            <w:shd w:val="clear" w:color="auto" w:fill="auto"/>
            <w:vAlign w:val="center"/>
          </w:tcPr>
          <w:p w14:paraId="1447EDE9" w14:textId="77777777" w:rsidR="004F44A8" w:rsidRPr="004F44A8" w:rsidRDefault="004F44A8" w:rsidP="004F44A8">
            <w:pPr>
              <w:widowControl w:val="0"/>
              <w:suppressLineNumbers/>
              <w:suppressAutoHyphens/>
              <w:spacing w:after="0" w:line="240" w:lineRule="auto"/>
              <w:jc w:val="center"/>
              <w:rPr>
                <w:rFonts w:ascii="Arial" w:hAnsi="Arial" w:cs="Arial"/>
                <w:b/>
                <w:bCs/>
                <w:kern w:val="1"/>
                <w:sz w:val="20"/>
                <w:szCs w:val="20"/>
                <w:lang w:val="ro-RO" w:eastAsia="zh-CN" w:bidi="hi-IN"/>
              </w:rPr>
            </w:pPr>
            <w:r w:rsidRPr="004F44A8">
              <w:rPr>
                <w:rFonts w:ascii="Arial" w:hAnsi="Arial" w:cs="Arial"/>
                <w:b/>
                <w:bCs/>
                <w:kern w:val="1"/>
                <w:sz w:val="20"/>
                <w:szCs w:val="20"/>
                <w:lang w:val="ro-RO" w:eastAsia="zh-CN" w:bidi="hi-IN"/>
              </w:rPr>
              <w:t>Proiect/m</w:t>
            </w:r>
            <w:r w:rsidR="005C1C72">
              <w:rPr>
                <w:rFonts w:ascii="Arial" w:hAnsi="Arial" w:cs="Arial"/>
                <w:b/>
                <w:bCs/>
                <w:kern w:val="1"/>
                <w:sz w:val="20"/>
                <w:szCs w:val="20"/>
                <w:lang w:val="ro-RO" w:eastAsia="zh-CN" w:bidi="hi-IN"/>
              </w:rPr>
              <w:t>ă</w:t>
            </w:r>
            <w:r w:rsidRPr="004F44A8">
              <w:rPr>
                <w:rFonts w:ascii="Arial" w:hAnsi="Arial" w:cs="Arial"/>
                <w:b/>
                <w:bCs/>
                <w:kern w:val="1"/>
                <w:sz w:val="20"/>
                <w:szCs w:val="20"/>
                <w:lang w:val="ro-RO" w:eastAsia="zh-CN" w:bidi="hi-IN"/>
              </w:rPr>
              <w:t>sura</w:t>
            </w:r>
          </w:p>
        </w:tc>
        <w:tc>
          <w:tcPr>
            <w:tcW w:w="4590" w:type="dxa"/>
            <w:gridSpan w:val="4"/>
            <w:shd w:val="clear" w:color="auto" w:fill="auto"/>
          </w:tcPr>
          <w:p w14:paraId="267EAF41" w14:textId="77777777" w:rsidR="004F44A8" w:rsidRPr="004F44A8" w:rsidRDefault="004F44A8" w:rsidP="004F44A8">
            <w:pPr>
              <w:widowControl w:val="0"/>
              <w:suppressLineNumbers/>
              <w:suppressAutoHyphens/>
              <w:spacing w:after="0" w:line="240" w:lineRule="auto"/>
              <w:jc w:val="center"/>
              <w:rPr>
                <w:rFonts w:ascii="Arial" w:hAnsi="Arial" w:cs="Mangal"/>
                <w:kern w:val="1"/>
                <w:sz w:val="20"/>
                <w:szCs w:val="20"/>
                <w:lang w:val="ro-RO" w:eastAsia="zh-CN" w:bidi="hi-IN"/>
              </w:rPr>
            </w:pPr>
            <w:r w:rsidRPr="004F44A8">
              <w:rPr>
                <w:rFonts w:ascii="Arial" w:hAnsi="Arial" w:cs="Arial"/>
                <w:b/>
                <w:bCs/>
                <w:kern w:val="1"/>
                <w:sz w:val="20"/>
                <w:szCs w:val="20"/>
                <w:lang w:val="ro-RO" w:eastAsia="zh-CN" w:bidi="hi-IN"/>
              </w:rPr>
              <w:t>Costuri (euro)</w:t>
            </w:r>
          </w:p>
        </w:tc>
      </w:tr>
      <w:tr w:rsidR="004F44A8" w:rsidRPr="004F44A8" w14:paraId="59E9D706" w14:textId="77777777" w:rsidTr="00C735D2">
        <w:tc>
          <w:tcPr>
            <w:tcW w:w="5580" w:type="dxa"/>
            <w:vMerge/>
            <w:shd w:val="clear" w:color="auto" w:fill="auto"/>
          </w:tcPr>
          <w:p w14:paraId="1CC3C8B2" w14:textId="77777777" w:rsidR="004F44A8" w:rsidRPr="004F44A8" w:rsidRDefault="004F44A8" w:rsidP="004F44A8">
            <w:pPr>
              <w:widowControl w:val="0"/>
              <w:suppressLineNumbers/>
              <w:suppressAutoHyphens/>
              <w:snapToGrid w:val="0"/>
              <w:spacing w:after="0" w:line="240" w:lineRule="auto"/>
              <w:jc w:val="both"/>
              <w:rPr>
                <w:rFonts w:ascii="Arial" w:hAnsi="Arial" w:cs="Arial"/>
                <w:kern w:val="1"/>
                <w:sz w:val="20"/>
                <w:szCs w:val="20"/>
                <w:lang w:val="ro-RO" w:eastAsia="zh-CN" w:bidi="hi-IN"/>
              </w:rPr>
            </w:pPr>
          </w:p>
        </w:tc>
        <w:tc>
          <w:tcPr>
            <w:tcW w:w="1147" w:type="dxa"/>
            <w:shd w:val="clear" w:color="auto" w:fill="auto"/>
          </w:tcPr>
          <w:p w14:paraId="1DF721EB" w14:textId="77777777" w:rsidR="004F44A8" w:rsidRPr="004F44A8" w:rsidRDefault="004F44A8" w:rsidP="004F44A8">
            <w:pPr>
              <w:suppressLineNumbers/>
              <w:suppressAutoHyphens/>
              <w:spacing w:after="0" w:line="240" w:lineRule="auto"/>
              <w:jc w:val="center"/>
              <w:rPr>
                <w:rFonts w:ascii="Arial" w:hAnsi="Arial" w:cs="Arial"/>
                <w:b/>
                <w:bCs/>
                <w:kern w:val="1"/>
                <w:sz w:val="20"/>
                <w:szCs w:val="20"/>
                <w:lang w:val="ro-RO" w:eastAsia="zh-CN" w:bidi="hi-IN"/>
              </w:rPr>
            </w:pPr>
            <w:r w:rsidRPr="004F44A8">
              <w:rPr>
                <w:rFonts w:ascii="Arial" w:hAnsi="Arial" w:cs="Arial"/>
                <w:b/>
                <w:bCs/>
                <w:kern w:val="1"/>
                <w:sz w:val="20"/>
                <w:szCs w:val="20"/>
                <w:lang w:val="ro-RO" w:eastAsia="zh-CN" w:bidi="hi-IN"/>
              </w:rPr>
              <w:t>2022-2023</w:t>
            </w:r>
          </w:p>
        </w:tc>
        <w:tc>
          <w:tcPr>
            <w:tcW w:w="1148" w:type="dxa"/>
            <w:shd w:val="clear" w:color="auto" w:fill="auto"/>
          </w:tcPr>
          <w:p w14:paraId="2CDCF243" w14:textId="77777777" w:rsidR="004F44A8" w:rsidRPr="004F44A8" w:rsidRDefault="004F44A8" w:rsidP="004F44A8">
            <w:pPr>
              <w:suppressLineNumbers/>
              <w:suppressAutoHyphens/>
              <w:spacing w:after="0" w:line="240" w:lineRule="auto"/>
              <w:jc w:val="center"/>
              <w:rPr>
                <w:rFonts w:ascii="Arial" w:hAnsi="Arial" w:cs="Arial"/>
                <w:b/>
                <w:bCs/>
                <w:kern w:val="1"/>
                <w:sz w:val="20"/>
                <w:szCs w:val="20"/>
                <w:lang w:val="ro-RO" w:eastAsia="zh-CN" w:bidi="hi-IN"/>
              </w:rPr>
            </w:pPr>
            <w:r w:rsidRPr="004F44A8">
              <w:rPr>
                <w:rFonts w:ascii="Arial" w:hAnsi="Arial" w:cs="Arial"/>
                <w:b/>
                <w:bCs/>
                <w:kern w:val="1"/>
                <w:sz w:val="20"/>
                <w:szCs w:val="20"/>
                <w:lang w:val="ro-RO" w:eastAsia="zh-CN" w:bidi="hi-IN"/>
              </w:rPr>
              <w:t>2024-2027</w:t>
            </w:r>
          </w:p>
        </w:tc>
        <w:tc>
          <w:tcPr>
            <w:tcW w:w="1147" w:type="dxa"/>
          </w:tcPr>
          <w:p w14:paraId="3346CF87" w14:textId="77777777" w:rsidR="004F44A8" w:rsidRPr="004F44A8" w:rsidRDefault="004F44A8" w:rsidP="004F44A8">
            <w:pPr>
              <w:suppressLineNumbers/>
              <w:suppressAutoHyphens/>
              <w:spacing w:after="0" w:line="240" w:lineRule="auto"/>
              <w:jc w:val="center"/>
              <w:rPr>
                <w:rFonts w:ascii="Arial" w:hAnsi="Arial" w:cs="Arial"/>
                <w:b/>
                <w:bCs/>
                <w:kern w:val="1"/>
                <w:sz w:val="20"/>
                <w:szCs w:val="20"/>
                <w:lang w:val="ro-RO" w:eastAsia="zh-CN" w:bidi="hi-IN"/>
              </w:rPr>
            </w:pPr>
            <w:r w:rsidRPr="004F44A8">
              <w:rPr>
                <w:rFonts w:ascii="Arial" w:hAnsi="Arial" w:cs="Arial"/>
                <w:b/>
                <w:bCs/>
                <w:kern w:val="1"/>
                <w:sz w:val="20"/>
                <w:szCs w:val="20"/>
                <w:lang w:val="ro-RO" w:eastAsia="zh-CN" w:bidi="hi-IN"/>
              </w:rPr>
              <w:t>2028-2035</w:t>
            </w:r>
          </w:p>
        </w:tc>
        <w:tc>
          <w:tcPr>
            <w:tcW w:w="1148" w:type="dxa"/>
            <w:shd w:val="clear" w:color="auto" w:fill="auto"/>
          </w:tcPr>
          <w:p w14:paraId="3E944A0E" w14:textId="77777777" w:rsidR="004F44A8" w:rsidRPr="004F44A8" w:rsidRDefault="004F44A8" w:rsidP="004F44A8">
            <w:pPr>
              <w:widowControl w:val="0"/>
              <w:suppressLineNumbers/>
              <w:suppressAutoHyphens/>
              <w:spacing w:after="0" w:line="240" w:lineRule="auto"/>
              <w:jc w:val="center"/>
              <w:rPr>
                <w:rFonts w:ascii="Arial" w:hAnsi="Arial" w:cs="Mangal"/>
                <w:kern w:val="1"/>
                <w:sz w:val="20"/>
                <w:szCs w:val="20"/>
                <w:lang w:val="ro-RO" w:eastAsia="zh-CN" w:bidi="hi-IN"/>
              </w:rPr>
            </w:pPr>
            <w:r w:rsidRPr="004F44A8">
              <w:rPr>
                <w:rFonts w:ascii="Arial" w:hAnsi="Arial" w:cs="Arial"/>
                <w:b/>
                <w:bCs/>
                <w:kern w:val="1"/>
                <w:sz w:val="20"/>
                <w:szCs w:val="20"/>
                <w:lang w:val="ro-RO" w:eastAsia="zh-CN" w:bidi="hi-IN"/>
              </w:rPr>
              <w:t>Total</w:t>
            </w:r>
          </w:p>
        </w:tc>
      </w:tr>
      <w:tr w:rsidR="004F44A8" w:rsidRPr="004F44A8" w14:paraId="655BB7EA" w14:textId="77777777" w:rsidTr="00C735D2">
        <w:trPr>
          <w:trHeight w:val="242"/>
        </w:trPr>
        <w:tc>
          <w:tcPr>
            <w:tcW w:w="5580" w:type="dxa"/>
            <w:shd w:val="clear" w:color="auto" w:fill="auto"/>
            <w:vAlign w:val="bottom"/>
          </w:tcPr>
          <w:p w14:paraId="7AEAD625" w14:textId="77777777" w:rsidR="004F44A8" w:rsidRPr="004F44A8" w:rsidRDefault="004F44A8" w:rsidP="004F44A8">
            <w:pPr>
              <w:spacing w:after="0"/>
              <w:rPr>
                <w:rFonts w:ascii="Arial" w:hAnsi="Arial" w:cs="Arial"/>
                <w:sz w:val="20"/>
                <w:szCs w:val="20"/>
              </w:rPr>
            </w:pPr>
            <w:r w:rsidRPr="004F44A8">
              <w:rPr>
                <w:rFonts w:ascii="Arial" w:hAnsi="Arial" w:cs="Arial"/>
                <w:sz w:val="20"/>
                <w:szCs w:val="20"/>
              </w:rPr>
              <w:t>IV.6 = extinderea zonei pietonale</w:t>
            </w:r>
          </w:p>
        </w:tc>
        <w:tc>
          <w:tcPr>
            <w:tcW w:w="1147" w:type="dxa"/>
            <w:shd w:val="clear" w:color="auto" w:fill="auto"/>
          </w:tcPr>
          <w:p w14:paraId="1E2648E6"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16.000</w:t>
            </w:r>
          </w:p>
        </w:tc>
        <w:tc>
          <w:tcPr>
            <w:tcW w:w="1148" w:type="dxa"/>
            <w:shd w:val="clear" w:color="auto" w:fill="auto"/>
          </w:tcPr>
          <w:p w14:paraId="3DC751FB"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70.000</w:t>
            </w:r>
          </w:p>
        </w:tc>
        <w:tc>
          <w:tcPr>
            <w:tcW w:w="1147" w:type="dxa"/>
          </w:tcPr>
          <w:p w14:paraId="22A0ED64"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12BFDBB0"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86.000</w:t>
            </w:r>
          </w:p>
        </w:tc>
      </w:tr>
      <w:tr w:rsidR="004F44A8" w:rsidRPr="004F44A8" w14:paraId="495ABAB0" w14:textId="77777777" w:rsidTr="00C735D2">
        <w:tc>
          <w:tcPr>
            <w:tcW w:w="5580" w:type="dxa"/>
            <w:shd w:val="clear" w:color="auto" w:fill="auto"/>
            <w:vAlign w:val="bottom"/>
          </w:tcPr>
          <w:p w14:paraId="0AAB8911" w14:textId="77777777" w:rsidR="004F44A8" w:rsidRPr="004F44A8" w:rsidRDefault="004F44A8" w:rsidP="004F44A8">
            <w:pPr>
              <w:spacing w:after="0"/>
              <w:rPr>
                <w:rFonts w:ascii="Arial" w:hAnsi="Arial" w:cs="Arial"/>
                <w:sz w:val="20"/>
                <w:szCs w:val="20"/>
              </w:rPr>
            </w:pPr>
            <w:r w:rsidRPr="004F44A8">
              <w:rPr>
                <w:rFonts w:ascii="Arial" w:hAnsi="Arial" w:cs="Arial"/>
                <w:sz w:val="20"/>
                <w:szCs w:val="20"/>
              </w:rPr>
              <w:t>V.3 = restrictionarea accesului vehiculelor cu masa autorizata mai mare de 7,5 t pe teritoriul orasului, dupa aparitia soselei de centura;</w:t>
            </w:r>
          </w:p>
        </w:tc>
        <w:tc>
          <w:tcPr>
            <w:tcW w:w="1147" w:type="dxa"/>
            <w:shd w:val="clear" w:color="auto" w:fill="auto"/>
            <w:vAlign w:val="center"/>
          </w:tcPr>
          <w:p w14:paraId="71B60AB8"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vAlign w:val="center"/>
          </w:tcPr>
          <w:p w14:paraId="6FC621DD"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7" w:type="dxa"/>
            <w:vAlign w:val="center"/>
          </w:tcPr>
          <w:p w14:paraId="1F0E0037"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vAlign w:val="center"/>
          </w:tcPr>
          <w:p w14:paraId="772B0B3A"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r>
      <w:tr w:rsidR="004F44A8" w:rsidRPr="004F44A8" w14:paraId="4655FA5D" w14:textId="77777777" w:rsidTr="00C735D2">
        <w:tc>
          <w:tcPr>
            <w:tcW w:w="5580" w:type="dxa"/>
            <w:shd w:val="clear" w:color="auto" w:fill="auto"/>
          </w:tcPr>
          <w:p w14:paraId="38B8CD47" w14:textId="543702F3" w:rsidR="004F44A8" w:rsidRPr="004F44A8" w:rsidRDefault="004F44A8" w:rsidP="004F44A8">
            <w:pPr>
              <w:suppressAutoHyphens/>
              <w:autoSpaceDE w:val="0"/>
              <w:spacing w:after="0" w:line="240" w:lineRule="auto"/>
              <w:jc w:val="both"/>
              <w:rPr>
                <w:rFonts w:ascii="Arial" w:eastAsia="Calibri" w:hAnsi="Arial" w:cs="Arial"/>
                <w:color w:val="000000"/>
                <w:sz w:val="20"/>
                <w:szCs w:val="20"/>
                <w:lang w:val="es-ES" w:eastAsia="zh-CN"/>
              </w:rPr>
            </w:pPr>
            <w:r w:rsidRPr="004F44A8">
              <w:rPr>
                <w:rFonts w:ascii="Arial" w:eastAsia="Arial" w:hAnsi="Arial" w:cs="Arial"/>
                <w:color w:val="000000"/>
                <w:sz w:val="20"/>
                <w:szCs w:val="20"/>
                <w:lang w:val="es-ES" w:eastAsia="zh-CN"/>
              </w:rPr>
              <w:t xml:space="preserve">IV.1 = amenajarea unei retelei de </w:t>
            </w:r>
            <w:r w:rsidR="005B68FD">
              <w:rPr>
                <w:rFonts w:ascii="Arial" w:eastAsia="Arial" w:hAnsi="Arial" w:cs="Arial"/>
                <w:color w:val="000000"/>
                <w:sz w:val="20"/>
                <w:szCs w:val="20"/>
                <w:lang w:val="es-ES" w:eastAsia="zh-CN"/>
              </w:rPr>
              <w:t>trasee</w:t>
            </w:r>
            <w:r w:rsidRPr="004F44A8">
              <w:rPr>
                <w:rFonts w:ascii="Arial" w:eastAsia="Arial" w:hAnsi="Arial" w:cs="Arial"/>
                <w:color w:val="000000"/>
                <w:sz w:val="20"/>
                <w:szCs w:val="20"/>
                <w:lang w:val="es-ES" w:eastAsia="zh-CN"/>
              </w:rPr>
              <w:t xml:space="preserve"> pentru biciclete</w:t>
            </w:r>
          </w:p>
        </w:tc>
        <w:tc>
          <w:tcPr>
            <w:tcW w:w="1147" w:type="dxa"/>
            <w:shd w:val="clear" w:color="auto" w:fill="auto"/>
          </w:tcPr>
          <w:p w14:paraId="24A7E061"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100.000</w:t>
            </w:r>
          </w:p>
        </w:tc>
        <w:tc>
          <w:tcPr>
            <w:tcW w:w="1148" w:type="dxa"/>
            <w:shd w:val="clear" w:color="auto" w:fill="auto"/>
          </w:tcPr>
          <w:p w14:paraId="5757BCEF"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730.000</w:t>
            </w:r>
          </w:p>
        </w:tc>
        <w:tc>
          <w:tcPr>
            <w:tcW w:w="1147" w:type="dxa"/>
          </w:tcPr>
          <w:p w14:paraId="5BF7F28A"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5220908B"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830.000</w:t>
            </w:r>
          </w:p>
        </w:tc>
      </w:tr>
      <w:tr w:rsidR="004F44A8" w:rsidRPr="004F44A8" w14:paraId="1840F676" w14:textId="77777777" w:rsidTr="00C735D2">
        <w:tc>
          <w:tcPr>
            <w:tcW w:w="5580" w:type="dxa"/>
            <w:shd w:val="clear" w:color="auto" w:fill="auto"/>
          </w:tcPr>
          <w:p w14:paraId="6B72A1C4" w14:textId="77777777" w:rsidR="004F44A8" w:rsidRPr="004F44A8" w:rsidRDefault="004F44A8" w:rsidP="004F44A8">
            <w:pPr>
              <w:suppressAutoHyphens/>
              <w:autoSpaceDE w:val="0"/>
              <w:spacing w:after="0" w:line="240" w:lineRule="auto"/>
              <w:jc w:val="both"/>
              <w:rPr>
                <w:rFonts w:ascii="Arial" w:eastAsia="Calibri" w:hAnsi="Arial" w:cs="Arial"/>
                <w:color w:val="000000"/>
                <w:sz w:val="20"/>
                <w:szCs w:val="20"/>
                <w:lang w:eastAsia="zh-CN"/>
              </w:rPr>
            </w:pPr>
            <w:r w:rsidRPr="004F44A8">
              <w:rPr>
                <w:rFonts w:ascii="Arial" w:eastAsia="Arial" w:hAnsi="Arial" w:cs="Arial"/>
                <w:color w:val="000000"/>
                <w:sz w:val="20"/>
                <w:szCs w:val="20"/>
                <w:lang w:val="es-ES" w:eastAsia="zh-CN"/>
              </w:rPr>
              <w:t>IX</w:t>
            </w:r>
            <w:r w:rsidRPr="004F44A8">
              <w:rPr>
                <w:rFonts w:ascii="Arial" w:eastAsia="Calibri" w:hAnsi="Arial" w:cs="Arial"/>
                <w:color w:val="000000"/>
                <w:sz w:val="20"/>
                <w:szCs w:val="20"/>
                <w:lang w:val="es-ES" w:eastAsia="zh-CN"/>
              </w:rPr>
              <w:t>.2 = reabilitarea şi modernizarea infrastructurii rutiere</w:t>
            </w:r>
          </w:p>
        </w:tc>
        <w:tc>
          <w:tcPr>
            <w:tcW w:w="1147" w:type="dxa"/>
            <w:shd w:val="clear" w:color="auto" w:fill="auto"/>
          </w:tcPr>
          <w:p w14:paraId="27B4D032"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1.400.000</w:t>
            </w:r>
          </w:p>
        </w:tc>
        <w:tc>
          <w:tcPr>
            <w:tcW w:w="1148" w:type="dxa"/>
            <w:shd w:val="clear" w:color="auto" w:fill="auto"/>
          </w:tcPr>
          <w:p w14:paraId="5EA3C888"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13.000.000</w:t>
            </w:r>
          </w:p>
        </w:tc>
        <w:tc>
          <w:tcPr>
            <w:tcW w:w="1147" w:type="dxa"/>
          </w:tcPr>
          <w:p w14:paraId="4C50F65A"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5907B894"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14.400.000</w:t>
            </w:r>
          </w:p>
        </w:tc>
      </w:tr>
      <w:tr w:rsidR="004F44A8" w:rsidRPr="004F44A8" w14:paraId="1316BD7F" w14:textId="77777777" w:rsidTr="00C735D2">
        <w:tc>
          <w:tcPr>
            <w:tcW w:w="5580" w:type="dxa"/>
            <w:shd w:val="clear" w:color="auto" w:fill="auto"/>
            <w:vAlign w:val="center"/>
          </w:tcPr>
          <w:p w14:paraId="0F3BC78A"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rPr>
              <w:t>VII.4 = reglementarea sistemului de transport "park and ride"</w:t>
            </w:r>
          </w:p>
        </w:tc>
        <w:tc>
          <w:tcPr>
            <w:tcW w:w="1147" w:type="dxa"/>
            <w:shd w:val="clear" w:color="auto" w:fill="auto"/>
            <w:vAlign w:val="center"/>
          </w:tcPr>
          <w:p w14:paraId="0362B53B"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7CCF3F78"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35C2D0C9"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1.000.000</w:t>
            </w:r>
          </w:p>
        </w:tc>
        <w:tc>
          <w:tcPr>
            <w:tcW w:w="1148" w:type="dxa"/>
            <w:shd w:val="clear" w:color="auto" w:fill="auto"/>
            <w:vAlign w:val="center"/>
          </w:tcPr>
          <w:p w14:paraId="0DD081F8"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1.000.000</w:t>
            </w:r>
          </w:p>
        </w:tc>
      </w:tr>
      <w:tr w:rsidR="004F44A8" w:rsidRPr="004F44A8" w14:paraId="74EB906A" w14:textId="77777777" w:rsidTr="00C735D2">
        <w:tc>
          <w:tcPr>
            <w:tcW w:w="5580" w:type="dxa"/>
            <w:shd w:val="clear" w:color="auto" w:fill="auto"/>
            <w:vAlign w:val="center"/>
          </w:tcPr>
          <w:p w14:paraId="6A705FAA" w14:textId="77777777" w:rsidR="004F44A8" w:rsidRPr="004F44A8" w:rsidRDefault="004F44A8" w:rsidP="004F44A8">
            <w:pPr>
              <w:spacing w:after="0"/>
              <w:jc w:val="both"/>
              <w:rPr>
                <w:rFonts w:ascii="Arial" w:hAnsi="Arial" w:cs="Arial"/>
                <w:sz w:val="20"/>
                <w:szCs w:val="20"/>
              </w:rPr>
            </w:pPr>
            <w:r w:rsidRPr="004F44A8">
              <w:rPr>
                <w:rFonts w:ascii="Arial" w:hAnsi="Arial" w:cs="Arial"/>
                <w:sz w:val="20"/>
                <w:szCs w:val="20"/>
                <w:lang w:val="es-ES"/>
              </w:rPr>
              <w:t>IX.3 = reamenajarea intersecțiilor cu nivel de serviciu scăzut</w:t>
            </w:r>
          </w:p>
        </w:tc>
        <w:tc>
          <w:tcPr>
            <w:tcW w:w="1147" w:type="dxa"/>
            <w:shd w:val="clear" w:color="auto" w:fill="auto"/>
            <w:vAlign w:val="center"/>
          </w:tcPr>
          <w:p w14:paraId="7412F53D"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300.000</w:t>
            </w:r>
          </w:p>
        </w:tc>
        <w:tc>
          <w:tcPr>
            <w:tcW w:w="1148" w:type="dxa"/>
            <w:shd w:val="clear" w:color="auto" w:fill="auto"/>
            <w:vAlign w:val="center"/>
          </w:tcPr>
          <w:p w14:paraId="1657285D"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600.000</w:t>
            </w:r>
          </w:p>
        </w:tc>
        <w:tc>
          <w:tcPr>
            <w:tcW w:w="1147" w:type="dxa"/>
            <w:vAlign w:val="center"/>
          </w:tcPr>
          <w:p w14:paraId="28B42D5C"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233CF765"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900.000</w:t>
            </w:r>
          </w:p>
        </w:tc>
      </w:tr>
      <w:tr w:rsidR="004F44A8" w:rsidRPr="004F44A8" w14:paraId="5D4EA3E6" w14:textId="77777777" w:rsidTr="00C735D2">
        <w:tc>
          <w:tcPr>
            <w:tcW w:w="5580" w:type="dxa"/>
            <w:shd w:val="clear" w:color="auto" w:fill="auto"/>
          </w:tcPr>
          <w:p w14:paraId="0C103197" w14:textId="77777777" w:rsidR="004F44A8" w:rsidRPr="004F44A8" w:rsidRDefault="004F44A8" w:rsidP="004F44A8">
            <w:pPr>
              <w:suppressAutoHyphens/>
              <w:autoSpaceDE w:val="0"/>
              <w:spacing w:after="0" w:line="240" w:lineRule="auto"/>
              <w:jc w:val="both"/>
              <w:rPr>
                <w:rFonts w:ascii="Arial" w:eastAsia="Calibri" w:hAnsi="Arial" w:cs="Arial"/>
                <w:color w:val="000000"/>
                <w:sz w:val="20"/>
                <w:szCs w:val="20"/>
                <w:lang w:val="es-ES" w:eastAsia="zh-CN"/>
              </w:rPr>
            </w:pPr>
            <w:r w:rsidRPr="004F44A8">
              <w:rPr>
                <w:rFonts w:ascii="Arial" w:eastAsia="Calibri" w:hAnsi="Arial" w:cs="Arial"/>
                <w:color w:val="000000"/>
                <w:sz w:val="20"/>
                <w:szCs w:val="20"/>
                <w:lang w:val="es-ES" w:eastAsia="zh-CN"/>
              </w:rPr>
              <w:t>I.3 = înfiinţarea unei structuri organizaţionale şi de planificare a activităţii de transport public pentru Orasul Horezu</w:t>
            </w:r>
          </w:p>
        </w:tc>
        <w:tc>
          <w:tcPr>
            <w:tcW w:w="1147" w:type="dxa"/>
            <w:shd w:val="clear" w:color="auto" w:fill="auto"/>
          </w:tcPr>
          <w:p w14:paraId="644B23BA"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31A6876A"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7" w:type="dxa"/>
          </w:tcPr>
          <w:p w14:paraId="5CA5B61D"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5C4850BF"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r>
      <w:tr w:rsidR="004F44A8" w:rsidRPr="004F44A8" w14:paraId="43FDA5C4" w14:textId="77777777" w:rsidTr="00C735D2">
        <w:tc>
          <w:tcPr>
            <w:tcW w:w="5580" w:type="dxa"/>
            <w:shd w:val="clear" w:color="auto" w:fill="auto"/>
            <w:vAlign w:val="center"/>
          </w:tcPr>
          <w:p w14:paraId="2CF299B4"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rPr>
              <w:t>X.3 = achizitia unui parc de mijloace de transport în comun cu combustibili alternativi sau electrice pentru serviciul de transport public</w:t>
            </w:r>
          </w:p>
        </w:tc>
        <w:tc>
          <w:tcPr>
            <w:tcW w:w="1147" w:type="dxa"/>
            <w:shd w:val="clear" w:color="auto" w:fill="auto"/>
            <w:vAlign w:val="center"/>
          </w:tcPr>
          <w:p w14:paraId="71FF5E7C"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1.200.000</w:t>
            </w:r>
          </w:p>
        </w:tc>
        <w:tc>
          <w:tcPr>
            <w:tcW w:w="1148" w:type="dxa"/>
            <w:shd w:val="clear" w:color="auto" w:fill="auto"/>
            <w:vAlign w:val="center"/>
          </w:tcPr>
          <w:p w14:paraId="6CD8C1EA"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900.000</w:t>
            </w:r>
          </w:p>
        </w:tc>
        <w:tc>
          <w:tcPr>
            <w:tcW w:w="1147" w:type="dxa"/>
            <w:vAlign w:val="center"/>
          </w:tcPr>
          <w:p w14:paraId="52942C69"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1978A278"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2.100.000</w:t>
            </w:r>
          </w:p>
        </w:tc>
      </w:tr>
      <w:tr w:rsidR="004F44A8" w:rsidRPr="004F44A8" w14:paraId="6FA2CFEB" w14:textId="77777777" w:rsidTr="00C735D2">
        <w:tc>
          <w:tcPr>
            <w:tcW w:w="5580" w:type="dxa"/>
            <w:shd w:val="clear" w:color="auto" w:fill="auto"/>
            <w:vAlign w:val="center"/>
          </w:tcPr>
          <w:p w14:paraId="74CD37AD" w14:textId="77777777" w:rsidR="004F44A8" w:rsidRPr="004F44A8" w:rsidRDefault="004F44A8" w:rsidP="004F44A8">
            <w:pPr>
              <w:spacing w:after="0"/>
              <w:jc w:val="both"/>
              <w:rPr>
                <w:rFonts w:ascii="Arial" w:hAnsi="Arial" w:cs="Arial"/>
                <w:sz w:val="20"/>
                <w:szCs w:val="20"/>
              </w:rPr>
            </w:pPr>
            <w:r w:rsidRPr="004F44A8">
              <w:rPr>
                <w:rFonts w:ascii="Arial" w:hAnsi="Arial" w:cs="Arial"/>
                <w:sz w:val="20"/>
                <w:szCs w:val="20"/>
                <w:lang w:val="es-ES"/>
              </w:rPr>
              <w:t>IX.1 = construirea centurii ocolitoare a oraşului</w:t>
            </w:r>
          </w:p>
        </w:tc>
        <w:tc>
          <w:tcPr>
            <w:tcW w:w="1147" w:type="dxa"/>
            <w:shd w:val="clear" w:color="auto" w:fill="auto"/>
            <w:vAlign w:val="center"/>
          </w:tcPr>
          <w:p w14:paraId="7FDDE221"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7E38F69C"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2.000.000</w:t>
            </w:r>
          </w:p>
        </w:tc>
        <w:tc>
          <w:tcPr>
            <w:tcW w:w="1147" w:type="dxa"/>
            <w:vAlign w:val="center"/>
          </w:tcPr>
          <w:p w14:paraId="6A59AACB"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2.000.000</w:t>
            </w:r>
          </w:p>
        </w:tc>
        <w:tc>
          <w:tcPr>
            <w:tcW w:w="1148" w:type="dxa"/>
            <w:shd w:val="clear" w:color="auto" w:fill="auto"/>
            <w:vAlign w:val="center"/>
          </w:tcPr>
          <w:p w14:paraId="0CFA0BC9"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4.000.000</w:t>
            </w:r>
          </w:p>
        </w:tc>
      </w:tr>
      <w:tr w:rsidR="004F44A8" w:rsidRPr="004F44A8" w14:paraId="55D8C1C6" w14:textId="77777777" w:rsidTr="00C735D2">
        <w:tc>
          <w:tcPr>
            <w:tcW w:w="5580" w:type="dxa"/>
            <w:shd w:val="clear" w:color="auto" w:fill="auto"/>
          </w:tcPr>
          <w:p w14:paraId="540F6986" w14:textId="77777777" w:rsidR="004F44A8" w:rsidRPr="004F44A8" w:rsidRDefault="004F44A8" w:rsidP="004F44A8">
            <w:pPr>
              <w:spacing w:after="0"/>
              <w:jc w:val="both"/>
              <w:rPr>
                <w:rFonts w:ascii="Arial" w:hAnsi="Arial" w:cs="Arial"/>
                <w:sz w:val="20"/>
                <w:szCs w:val="20"/>
              </w:rPr>
            </w:pPr>
            <w:r w:rsidRPr="004F44A8">
              <w:rPr>
                <w:rFonts w:ascii="Arial" w:hAnsi="Arial" w:cs="Arial"/>
                <w:sz w:val="20"/>
                <w:szCs w:val="20"/>
              </w:rPr>
              <w:t>X.7 = infiintarea unui traseu turistic Horezu – Statiunea Varful lui Roman</w:t>
            </w:r>
          </w:p>
        </w:tc>
        <w:tc>
          <w:tcPr>
            <w:tcW w:w="1147" w:type="dxa"/>
            <w:shd w:val="clear" w:color="auto" w:fill="auto"/>
            <w:vAlign w:val="center"/>
          </w:tcPr>
          <w:p w14:paraId="6E501CF5"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vAlign w:val="center"/>
          </w:tcPr>
          <w:p w14:paraId="1273D6B2"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7" w:type="dxa"/>
            <w:vAlign w:val="center"/>
          </w:tcPr>
          <w:p w14:paraId="01002F87"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vAlign w:val="center"/>
          </w:tcPr>
          <w:p w14:paraId="7F2BFEBE"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r>
      <w:tr w:rsidR="004F44A8" w:rsidRPr="004F44A8" w14:paraId="6FC37D10" w14:textId="77777777" w:rsidTr="00C735D2">
        <w:tc>
          <w:tcPr>
            <w:tcW w:w="5580" w:type="dxa"/>
            <w:shd w:val="clear" w:color="auto" w:fill="auto"/>
            <w:vAlign w:val="center"/>
          </w:tcPr>
          <w:p w14:paraId="778EACF5"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VII.1 = elaborarea unei politici de parcare pentru mobilitate urban</w:t>
            </w:r>
            <w:r w:rsidR="005C1C72">
              <w:rPr>
                <w:rFonts w:ascii="Arial" w:hAnsi="Arial" w:cs="Arial"/>
                <w:color w:val="000000"/>
                <w:sz w:val="20"/>
                <w:szCs w:val="20"/>
                <w:lang w:val="es-ES"/>
              </w:rPr>
              <w:t>ă</w:t>
            </w:r>
            <w:r w:rsidRPr="004F44A8">
              <w:rPr>
                <w:rFonts w:ascii="Arial" w:hAnsi="Arial" w:cs="Arial"/>
                <w:color w:val="000000"/>
                <w:sz w:val="20"/>
                <w:szCs w:val="20"/>
                <w:lang w:val="es-ES"/>
              </w:rPr>
              <w:t xml:space="preserve"> durabil</w:t>
            </w:r>
            <w:r w:rsidR="005C1C72">
              <w:rPr>
                <w:rFonts w:ascii="Arial" w:hAnsi="Arial" w:cs="Arial"/>
                <w:color w:val="000000"/>
                <w:sz w:val="20"/>
                <w:szCs w:val="20"/>
                <w:lang w:val="es-ES"/>
              </w:rPr>
              <w:t>ă</w:t>
            </w:r>
          </w:p>
        </w:tc>
        <w:tc>
          <w:tcPr>
            <w:tcW w:w="1147" w:type="dxa"/>
            <w:shd w:val="clear" w:color="auto" w:fill="auto"/>
            <w:vAlign w:val="center"/>
          </w:tcPr>
          <w:p w14:paraId="378E1FA7"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100.000</w:t>
            </w:r>
          </w:p>
        </w:tc>
        <w:tc>
          <w:tcPr>
            <w:tcW w:w="1148" w:type="dxa"/>
            <w:shd w:val="clear" w:color="auto" w:fill="auto"/>
            <w:vAlign w:val="center"/>
          </w:tcPr>
          <w:p w14:paraId="62610BD4"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400FACC4"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3463B27F"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100.000</w:t>
            </w:r>
          </w:p>
        </w:tc>
      </w:tr>
      <w:tr w:rsidR="004F44A8" w:rsidRPr="004F44A8" w14:paraId="42084C4B" w14:textId="77777777" w:rsidTr="00C735D2">
        <w:tc>
          <w:tcPr>
            <w:tcW w:w="5580" w:type="dxa"/>
            <w:shd w:val="clear" w:color="auto" w:fill="auto"/>
          </w:tcPr>
          <w:p w14:paraId="39A1C13B" w14:textId="77777777" w:rsidR="004F44A8" w:rsidRPr="004F44A8" w:rsidRDefault="004F44A8" w:rsidP="004F44A8">
            <w:pPr>
              <w:suppressAutoHyphens/>
              <w:autoSpaceDE w:val="0"/>
              <w:spacing w:after="0" w:line="240" w:lineRule="auto"/>
              <w:jc w:val="both"/>
              <w:rPr>
                <w:rFonts w:ascii="Arial" w:eastAsia="Calibri" w:hAnsi="Arial" w:cs="Arial"/>
                <w:color w:val="000000"/>
                <w:sz w:val="20"/>
                <w:szCs w:val="20"/>
              </w:rPr>
            </w:pPr>
            <w:r w:rsidRPr="004F44A8">
              <w:rPr>
                <w:rFonts w:ascii="Arial" w:eastAsia="Calibri" w:hAnsi="Arial" w:cs="Arial"/>
                <w:color w:val="000000"/>
                <w:sz w:val="20"/>
                <w:szCs w:val="20"/>
              </w:rPr>
              <w:t>IX.4 = introducerea de sensuri unice</w:t>
            </w:r>
          </w:p>
        </w:tc>
        <w:tc>
          <w:tcPr>
            <w:tcW w:w="1147" w:type="dxa"/>
            <w:shd w:val="clear" w:color="auto" w:fill="auto"/>
          </w:tcPr>
          <w:p w14:paraId="0D7EB600"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5118CF01"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7" w:type="dxa"/>
          </w:tcPr>
          <w:p w14:paraId="3FCA2B43"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49EA7145"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r>
      <w:tr w:rsidR="004F44A8" w:rsidRPr="004F44A8" w14:paraId="2A08916E" w14:textId="77777777" w:rsidTr="00C735D2">
        <w:tc>
          <w:tcPr>
            <w:tcW w:w="5580" w:type="dxa"/>
            <w:shd w:val="clear" w:color="auto" w:fill="auto"/>
          </w:tcPr>
          <w:p w14:paraId="5363A61F" w14:textId="77777777" w:rsidR="004F44A8" w:rsidRPr="004F44A8" w:rsidRDefault="004F44A8" w:rsidP="004F44A8">
            <w:pPr>
              <w:suppressAutoHyphens/>
              <w:autoSpaceDE w:val="0"/>
              <w:spacing w:after="0" w:line="240" w:lineRule="auto"/>
              <w:jc w:val="both"/>
              <w:rPr>
                <w:rFonts w:ascii="Arial" w:eastAsia="Calibri" w:hAnsi="Arial" w:cs="Arial"/>
                <w:color w:val="000000"/>
                <w:sz w:val="20"/>
                <w:szCs w:val="20"/>
                <w:lang w:val="es-ES" w:eastAsia="zh-CN"/>
              </w:rPr>
            </w:pPr>
            <w:r w:rsidRPr="004F44A8">
              <w:rPr>
                <w:rFonts w:ascii="Arial" w:eastAsia="Calibri" w:hAnsi="Arial" w:cs="Arial"/>
                <w:color w:val="000000"/>
                <w:sz w:val="20"/>
                <w:szCs w:val="20"/>
                <w:lang w:val="es-ES" w:eastAsia="zh-CN"/>
              </w:rPr>
              <w:t>X.1 = introducerea sistemului de transport public local, inclusiv catre localitatile componente ale orasului</w:t>
            </w:r>
          </w:p>
        </w:tc>
        <w:tc>
          <w:tcPr>
            <w:tcW w:w="1147" w:type="dxa"/>
            <w:shd w:val="clear" w:color="auto" w:fill="auto"/>
          </w:tcPr>
          <w:p w14:paraId="30E8DB0A"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7027D80F"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7" w:type="dxa"/>
          </w:tcPr>
          <w:p w14:paraId="4398B7F4"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54D5D2E6" w14:textId="77777777" w:rsidR="004F44A8" w:rsidRPr="004F44A8" w:rsidRDefault="004F44A8" w:rsidP="004F44A8">
            <w:pPr>
              <w:suppressLineNumbers/>
              <w:suppressAutoHyphens/>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r>
      <w:tr w:rsidR="004F44A8" w:rsidRPr="004F44A8" w14:paraId="0AA33050" w14:textId="77777777" w:rsidTr="00C735D2">
        <w:tc>
          <w:tcPr>
            <w:tcW w:w="5580" w:type="dxa"/>
            <w:shd w:val="clear" w:color="auto" w:fill="auto"/>
            <w:vAlign w:val="center"/>
          </w:tcPr>
          <w:p w14:paraId="25BFF491"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X.2 = amenajarea și dotarea corespunzătoare a stațiilor pentru îmbarcarea-debarcarea călătorilor</w:t>
            </w:r>
          </w:p>
        </w:tc>
        <w:tc>
          <w:tcPr>
            <w:tcW w:w="1147" w:type="dxa"/>
            <w:shd w:val="clear" w:color="auto" w:fill="auto"/>
            <w:vAlign w:val="center"/>
          </w:tcPr>
          <w:p w14:paraId="50161CB7"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1.000.000</w:t>
            </w:r>
          </w:p>
        </w:tc>
        <w:tc>
          <w:tcPr>
            <w:tcW w:w="1148" w:type="dxa"/>
            <w:shd w:val="clear" w:color="auto" w:fill="auto"/>
            <w:vAlign w:val="center"/>
          </w:tcPr>
          <w:p w14:paraId="7B58819A"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250.000</w:t>
            </w:r>
          </w:p>
        </w:tc>
        <w:tc>
          <w:tcPr>
            <w:tcW w:w="1147" w:type="dxa"/>
            <w:vAlign w:val="center"/>
          </w:tcPr>
          <w:p w14:paraId="0D70EB15"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3FF73B1A"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1.250.000</w:t>
            </w:r>
          </w:p>
        </w:tc>
      </w:tr>
      <w:tr w:rsidR="004F44A8" w:rsidRPr="004F44A8" w14:paraId="7E80E15C" w14:textId="77777777" w:rsidTr="00C735D2">
        <w:tc>
          <w:tcPr>
            <w:tcW w:w="5580" w:type="dxa"/>
            <w:shd w:val="clear" w:color="auto" w:fill="auto"/>
            <w:vAlign w:val="center"/>
          </w:tcPr>
          <w:p w14:paraId="318114B3"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IV.2 = crearea de puncte pentru închirierea bicicletelor</w:t>
            </w:r>
          </w:p>
        </w:tc>
        <w:tc>
          <w:tcPr>
            <w:tcW w:w="1147" w:type="dxa"/>
            <w:shd w:val="clear" w:color="auto" w:fill="auto"/>
            <w:vAlign w:val="center"/>
          </w:tcPr>
          <w:p w14:paraId="4003F43D"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72BDA07F"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180.000</w:t>
            </w:r>
          </w:p>
        </w:tc>
        <w:tc>
          <w:tcPr>
            <w:tcW w:w="1147" w:type="dxa"/>
            <w:vAlign w:val="center"/>
          </w:tcPr>
          <w:p w14:paraId="6FC32E41"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2DD27936"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180.000</w:t>
            </w:r>
          </w:p>
        </w:tc>
      </w:tr>
      <w:tr w:rsidR="004F44A8" w:rsidRPr="004F44A8" w14:paraId="14303DE9" w14:textId="77777777" w:rsidTr="00C735D2">
        <w:tc>
          <w:tcPr>
            <w:tcW w:w="5580" w:type="dxa"/>
            <w:shd w:val="clear" w:color="auto" w:fill="auto"/>
            <w:vAlign w:val="center"/>
          </w:tcPr>
          <w:p w14:paraId="315270F9"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III.2 = realizarea unui website cu informaţii referitoare la traficul din oraş</w:t>
            </w:r>
          </w:p>
        </w:tc>
        <w:tc>
          <w:tcPr>
            <w:tcW w:w="1147" w:type="dxa"/>
            <w:shd w:val="clear" w:color="auto" w:fill="auto"/>
            <w:vAlign w:val="center"/>
          </w:tcPr>
          <w:p w14:paraId="42C4BF52"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10EC95D7"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w:t>
            </w:r>
          </w:p>
        </w:tc>
        <w:tc>
          <w:tcPr>
            <w:tcW w:w="1147" w:type="dxa"/>
            <w:vAlign w:val="center"/>
          </w:tcPr>
          <w:p w14:paraId="5F3D25E8"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47E41617"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w:t>
            </w:r>
          </w:p>
        </w:tc>
      </w:tr>
      <w:tr w:rsidR="004F44A8" w:rsidRPr="004F44A8" w14:paraId="6B81CDCC" w14:textId="77777777" w:rsidTr="00C735D2">
        <w:tc>
          <w:tcPr>
            <w:tcW w:w="5580" w:type="dxa"/>
            <w:shd w:val="clear" w:color="auto" w:fill="auto"/>
            <w:vAlign w:val="center"/>
          </w:tcPr>
          <w:p w14:paraId="19C3C70C"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 xml:space="preserve">VIII.5 = </w:t>
            </w:r>
            <w:r w:rsidRPr="004F44A8">
              <w:rPr>
                <w:rFonts w:ascii="Arial" w:hAnsi="Arial" w:cs="Arial"/>
                <w:sz w:val="20"/>
                <w:szCs w:val="20"/>
                <w:lang w:val="es-ES"/>
              </w:rPr>
              <w:t>amplasarea de indicatoare rutiere si realizarea de marcaje rutiere in zonele din care acestea lipsesc</w:t>
            </w:r>
          </w:p>
        </w:tc>
        <w:tc>
          <w:tcPr>
            <w:tcW w:w="1147" w:type="dxa"/>
            <w:shd w:val="clear" w:color="auto" w:fill="auto"/>
            <w:vAlign w:val="center"/>
          </w:tcPr>
          <w:p w14:paraId="06B7E211"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45.000</w:t>
            </w:r>
          </w:p>
        </w:tc>
        <w:tc>
          <w:tcPr>
            <w:tcW w:w="1148" w:type="dxa"/>
            <w:shd w:val="clear" w:color="auto" w:fill="auto"/>
            <w:vAlign w:val="center"/>
          </w:tcPr>
          <w:p w14:paraId="57685D52"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45.000</w:t>
            </w:r>
          </w:p>
        </w:tc>
        <w:tc>
          <w:tcPr>
            <w:tcW w:w="1147" w:type="dxa"/>
            <w:vAlign w:val="center"/>
          </w:tcPr>
          <w:p w14:paraId="59D10700"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430680A3"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90.000</w:t>
            </w:r>
          </w:p>
        </w:tc>
      </w:tr>
      <w:tr w:rsidR="004F44A8" w:rsidRPr="004F44A8" w14:paraId="7818B6B7" w14:textId="77777777" w:rsidTr="00C735D2">
        <w:tc>
          <w:tcPr>
            <w:tcW w:w="5580" w:type="dxa"/>
            <w:shd w:val="clear" w:color="auto" w:fill="auto"/>
          </w:tcPr>
          <w:p w14:paraId="6DC0EA1E" w14:textId="77777777" w:rsidR="004F44A8" w:rsidRPr="004F44A8" w:rsidRDefault="004F44A8" w:rsidP="004F44A8">
            <w:pPr>
              <w:suppressAutoHyphens/>
              <w:autoSpaceDE w:val="0"/>
              <w:snapToGrid w:val="0"/>
              <w:spacing w:after="0" w:line="240" w:lineRule="auto"/>
              <w:jc w:val="both"/>
              <w:rPr>
                <w:rFonts w:ascii="Arial" w:eastAsia="Calibri" w:hAnsi="Arial" w:cs="Arial"/>
                <w:color w:val="000000"/>
                <w:sz w:val="20"/>
                <w:szCs w:val="20"/>
                <w:lang w:val="es-ES" w:eastAsia="zh-CN"/>
              </w:rPr>
            </w:pPr>
            <w:r w:rsidRPr="004F44A8">
              <w:rPr>
                <w:rFonts w:ascii="Arial" w:eastAsia="Calibri" w:hAnsi="Arial" w:cs="Arial"/>
                <w:color w:val="000000"/>
                <w:sz w:val="20"/>
                <w:szCs w:val="20"/>
                <w:lang w:val="es-ES" w:eastAsia="zh-CN"/>
              </w:rPr>
              <w:t>I.6 = înfiinţarea in cadrul Primariei Horezu a unei structuri organizaţionale şi de administrare a parcarilor</w:t>
            </w:r>
          </w:p>
        </w:tc>
        <w:tc>
          <w:tcPr>
            <w:tcW w:w="1147" w:type="dxa"/>
            <w:shd w:val="clear" w:color="auto" w:fill="auto"/>
          </w:tcPr>
          <w:p w14:paraId="1CE26707" w14:textId="77777777" w:rsidR="004F44A8" w:rsidRPr="004F44A8" w:rsidRDefault="004F44A8" w:rsidP="004F44A8">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8" w:type="dxa"/>
            <w:shd w:val="clear" w:color="auto" w:fill="auto"/>
          </w:tcPr>
          <w:p w14:paraId="34974133" w14:textId="77777777" w:rsidR="004F44A8" w:rsidRPr="004F44A8" w:rsidRDefault="004F44A8" w:rsidP="004F44A8">
            <w:pPr>
              <w:widowControl w:val="0"/>
              <w:suppressLineNumbers/>
              <w:suppressAutoHyphens/>
              <w:snapToGrid w:val="0"/>
              <w:spacing w:after="0" w:line="240" w:lineRule="auto"/>
              <w:jc w:val="center"/>
              <w:rPr>
                <w:rFonts w:ascii="Arial" w:hAnsi="Arial" w:cs="Arial"/>
                <w:kern w:val="1"/>
                <w:sz w:val="20"/>
                <w:szCs w:val="20"/>
                <w:lang w:val="ro-RO" w:eastAsia="zh-CN" w:bidi="hi-IN"/>
              </w:rPr>
            </w:pPr>
            <w:r w:rsidRPr="004F44A8">
              <w:rPr>
                <w:rFonts w:ascii="Arial" w:hAnsi="Arial" w:cs="Arial"/>
                <w:kern w:val="1"/>
                <w:sz w:val="20"/>
                <w:szCs w:val="20"/>
                <w:lang w:val="ro-RO" w:eastAsia="zh-CN" w:bidi="hi-IN"/>
              </w:rPr>
              <w:t>0</w:t>
            </w:r>
          </w:p>
        </w:tc>
        <w:tc>
          <w:tcPr>
            <w:tcW w:w="1147" w:type="dxa"/>
          </w:tcPr>
          <w:p w14:paraId="29AD0A36" w14:textId="77777777" w:rsidR="004F44A8" w:rsidRPr="004F44A8" w:rsidRDefault="004F44A8" w:rsidP="004F44A8">
            <w:pPr>
              <w:widowControl w:val="0"/>
              <w:suppressLineNumbers/>
              <w:suppressAutoHyphens/>
              <w:snapToGrid w:val="0"/>
              <w:spacing w:after="0" w:line="240" w:lineRule="auto"/>
              <w:jc w:val="center"/>
              <w:rPr>
                <w:rFonts w:ascii="Arial" w:hAnsi="Arial" w:cs="Mangal"/>
                <w:kern w:val="1"/>
                <w:sz w:val="20"/>
                <w:szCs w:val="20"/>
                <w:lang w:val="ro-RO" w:eastAsia="zh-CN" w:bidi="hi-IN"/>
              </w:rPr>
            </w:pPr>
            <w:r w:rsidRPr="004F44A8">
              <w:rPr>
                <w:rFonts w:ascii="Arial" w:hAnsi="Arial" w:cs="Mangal"/>
                <w:kern w:val="1"/>
                <w:sz w:val="20"/>
                <w:szCs w:val="20"/>
                <w:lang w:val="ro-RO" w:eastAsia="zh-CN" w:bidi="hi-IN"/>
              </w:rPr>
              <w:t>0</w:t>
            </w:r>
          </w:p>
        </w:tc>
        <w:tc>
          <w:tcPr>
            <w:tcW w:w="1148" w:type="dxa"/>
            <w:shd w:val="clear" w:color="auto" w:fill="auto"/>
          </w:tcPr>
          <w:p w14:paraId="6E6D746F" w14:textId="77777777" w:rsidR="004F44A8" w:rsidRPr="004F44A8" w:rsidRDefault="004F44A8" w:rsidP="004F44A8">
            <w:pPr>
              <w:widowControl w:val="0"/>
              <w:suppressLineNumbers/>
              <w:suppressAutoHyphens/>
              <w:snapToGrid w:val="0"/>
              <w:spacing w:after="0" w:line="240" w:lineRule="auto"/>
              <w:jc w:val="center"/>
              <w:rPr>
                <w:rFonts w:ascii="Arial" w:hAnsi="Arial" w:cs="Mangal"/>
                <w:kern w:val="1"/>
                <w:sz w:val="20"/>
                <w:szCs w:val="20"/>
                <w:lang w:val="ro-RO" w:eastAsia="zh-CN" w:bidi="hi-IN"/>
              </w:rPr>
            </w:pPr>
            <w:r w:rsidRPr="004F44A8">
              <w:rPr>
                <w:rFonts w:ascii="Arial" w:hAnsi="Arial" w:cs="Mangal"/>
                <w:kern w:val="1"/>
                <w:sz w:val="20"/>
                <w:szCs w:val="20"/>
                <w:lang w:val="ro-RO" w:eastAsia="zh-CN" w:bidi="hi-IN"/>
              </w:rPr>
              <w:t>0</w:t>
            </w:r>
          </w:p>
        </w:tc>
      </w:tr>
      <w:tr w:rsidR="004F44A8" w:rsidRPr="004F44A8" w14:paraId="54359235" w14:textId="77777777" w:rsidTr="00C735D2">
        <w:tc>
          <w:tcPr>
            <w:tcW w:w="5580" w:type="dxa"/>
            <w:shd w:val="clear" w:color="auto" w:fill="auto"/>
            <w:vAlign w:val="center"/>
          </w:tcPr>
          <w:p w14:paraId="67267600"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IV.7 = cre</w:t>
            </w:r>
            <w:r w:rsidR="005C1C72">
              <w:rPr>
                <w:rFonts w:ascii="Arial" w:hAnsi="Arial" w:cs="Arial"/>
                <w:color w:val="000000"/>
                <w:sz w:val="20"/>
                <w:szCs w:val="20"/>
                <w:lang w:val="es-ES"/>
              </w:rPr>
              <w:t>ș</w:t>
            </w:r>
            <w:r w:rsidRPr="004F44A8">
              <w:rPr>
                <w:rFonts w:ascii="Arial" w:hAnsi="Arial" w:cs="Arial"/>
                <w:color w:val="000000"/>
                <w:sz w:val="20"/>
                <w:szCs w:val="20"/>
                <w:lang w:val="es-ES"/>
              </w:rPr>
              <w:t>terea accesibilit</w:t>
            </w:r>
            <w:r w:rsidR="005C1C72">
              <w:rPr>
                <w:rFonts w:ascii="Arial" w:hAnsi="Arial" w:cs="Arial"/>
                <w:color w:val="000000"/>
                <w:sz w:val="20"/>
                <w:szCs w:val="20"/>
                <w:lang w:val="es-ES"/>
              </w:rPr>
              <w:t>ăț</w:t>
            </w:r>
            <w:r w:rsidRPr="004F44A8">
              <w:rPr>
                <w:rFonts w:ascii="Arial" w:hAnsi="Arial" w:cs="Arial"/>
                <w:color w:val="000000"/>
                <w:sz w:val="20"/>
                <w:szCs w:val="20"/>
                <w:lang w:val="es-ES"/>
              </w:rPr>
              <w:t xml:space="preserve">ii pentru persoanele </w:t>
            </w:r>
            <w:r w:rsidR="005C1C72">
              <w:rPr>
                <w:rFonts w:ascii="Arial" w:hAnsi="Arial" w:cs="Arial"/>
                <w:color w:val="000000"/>
                <w:sz w:val="20"/>
                <w:szCs w:val="20"/>
                <w:lang w:val="es-ES"/>
              </w:rPr>
              <w:t>î</w:t>
            </w:r>
            <w:r w:rsidRPr="004F44A8">
              <w:rPr>
                <w:rFonts w:ascii="Arial" w:hAnsi="Arial" w:cs="Arial"/>
                <w:color w:val="000000"/>
                <w:sz w:val="20"/>
                <w:szCs w:val="20"/>
                <w:lang w:val="es-ES"/>
              </w:rPr>
              <w:t>n v</w:t>
            </w:r>
            <w:r w:rsidR="005C1C72">
              <w:rPr>
                <w:rFonts w:ascii="Arial" w:hAnsi="Arial" w:cs="Arial"/>
                <w:color w:val="000000"/>
                <w:sz w:val="20"/>
                <w:szCs w:val="20"/>
                <w:lang w:val="es-ES"/>
              </w:rPr>
              <w:t>â</w:t>
            </w:r>
            <w:r w:rsidRPr="004F44A8">
              <w:rPr>
                <w:rFonts w:ascii="Arial" w:hAnsi="Arial" w:cs="Arial"/>
                <w:color w:val="000000"/>
                <w:sz w:val="20"/>
                <w:szCs w:val="20"/>
                <w:lang w:val="es-ES"/>
              </w:rPr>
              <w:t>rst</w:t>
            </w:r>
            <w:r w:rsidR="005C1C72">
              <w:rPr>
                <w:rFonts w:ascii="Arial" w:hAnsi="Arial" w:cs="Arial"/>
                <w:color w:val="000000"/>
                <w:sz w:val="20"/>
                <w:szCs w:val="20"/>
                <w:lang w:val="es-ES"/>
              </w:rPr>
              <w:t>ă</w:t>
            </w:r>
            <w:r w:rsidRPr="004F44A8">
              <w:rPr>
                <w:rFonts w:ascii="Arial" w:hAnsi="Arial" w:cs="Arial"/>
                <w:color w:val="000000"/>
                <w:sz w:val="20"/>
                <w:szCs w:val="20"/>
                <w:lang w:val="es-ES"/>
              </w:rPr>
              <w:t xml:space="preserve"> sau </w:t>
            </w:r>
            <w:r w:rsidRPr="004F44A8">
              <w:rPr>
                <w:rFonts w:ascii="Arial" w:hAnsi="Arial" w:cs="Arial"/>
                <w:color w:val="000000"/>
                <w:sz w:val="20"/>
                <w:szCs w:val="20"/>
                <w:lang w:val="es-ES"/>
              </w:rPr>
              <w:lastRenderedPageBreak/>
              <w:t>cele cu dizabilit</w:t>
            </w:r>
            <w:r w:rsidR="005C1C72">
              <w:rPr>
                <w:rFonts w:ascii="Arial" w:hAnsi="Arial" w:cs="Arial"/>
                <w:color w:val="000000"/>
                <w:sz w:val="20"/>
                <w:szCs w:val="20"/>
                <w:lang w:val="es-ES"/>
              </w:rPr>
              <w:t>ăț</w:t>
            </w:r>
            <w:r w:rsidRPr="004F44A8">
              <w:rPr>
                <w:rFonts w:ascii="Arial" w:hAnsi="Arial" w:cs="Arial"/>
                <w:color w:val="000000"/>
                <w:sz w:val="20"/>
                <w:szCs w:val="20"/>
                <w:lang w:val="es-ES"/>
              </w:rPr>
              <w:t>i</w:t>
            </w:r>
          </w:p>
        </w:tc>
        <w:tc>
          <w:tcPr>
            <w:tcW w:w="1147" w:type="dxa"/>
            <w:shd w:val="clear" w:color="auto" w:fill="auto"/>
            <w:vAlign w:val="center"/>
          </w:tcPr>
          <w:p w14:paraId="4989D104"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lastRenderedPageBreak/>
              <w:t>100.000</w:t>
            </w:r>
          </w:p>
        </w:tc>
        <w:tc>
          <w:tcPr>
            <w:tcW w:w="1148" w:type="dxa"/>
            <w:shd w:val="clear" w:color="auto" w:fill="auto"/>
            <w:vAlign w:val="center"/>
          </w:tcPr>
          <w:p w14:paraId="47245953"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400.000</w:t>
            </w:r>
          </w:p>
        </w:tc>
        <w:tc>
          <w:tcPr>
            <w:tcW w:w="1147" w:type="dxa"/>
            <w:vAlign w:val="center"/>
          </w:tcPr>
          <w:p w14:paraId="58839AF2"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4BDC0EEE"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500.000</w:t>
            </w:r>
          </w:p>
        </w:tc>
      </w:tr>
      <w:tr w:rsidR="004F44A8" w:rsidRPr="004F44A8" w14:paraId="0BAD9916" w14:textId="77777777" w:rsidTr="00C735D2">
        <w:tc>
          <w:tcPr>
            <w:tcW w:w="5580" w:type="dxa"/>
            <w:shd w:val="clear" w:color="auto" w:fill="auto"/>
            <w:vAlign w:val="center"/>
          </w:tcPr>
          <w:p w14:paraId="2636DB9D" w14:textId="77777777" w:rsidR="004F44A8" w:rsidRPr="004F44A8" w:rsidRDefault="004F44A8" w:rsidP="004F44A8">
            <w:pPr>
              <w:spacing w:after="0"/>
              <w:jc w:val="both"/>
              <w:rPr>
                <w:rFonts w:ascii="Arial" w:hAnsi="Arial" w:cs="Arial"/>
                <w:sz w:val="20"/>
                <w:szCs w:val="20"/>
              </w:rPr>
            </w:pPr>
            <w:r w:rsidRPr="004F44A8">
              <w:rPr>
                <w:rFonts w:ascii="Arial" w:hAnsi="Arial" w:cs="Arial"/>
                <w:sz w:val="20"/>
                <w:szCs w:val="20"/>
              </w:rPr>
              <w:t>IX.5 = realizare str</w:t>
            </w:r>
            <w:r w:rsidR="005C1C72">
              <w:rPr>
                <w:rFonts w:ascii="Arial" w:hAnsi="Arial" w:cs="Arial"/>
                <w:sz w:val="20"/>
                <w:szCs w:val="20"/>
              </w:rPr>
              <w:t>ă</w:t>
            </w:r>
            <w:r w:rsidRPr="004F44A8">
              <w:rPr>
                <w:rFonts w:ascii="Arial" w:hAnsi="Arial" w:cs="Arial"/>
                <w:sz w:val="20"/>
                <w:szCs w:val="20"/>
              </w:rPr>
              <w:t xml:space="preserve">pungere </w:t>
            </w:r>
            <w:r w:rsidR="005C1C72">
              <w:rPr>
                <w:rFonts w:ascii="Arial" w:hAnsi="Arial" w:cs="Arial"/>
                <w:sz w:val="20"/>
                <w:szCs w:val="20"/>
              </w:rPr>
              <w:t>î</w:t>
            </w:r>
            <w:r w:rsidRPr="004F44A8">
              <w:rPr>
                <w:rFonts w:ascii="Arial" w:hAnsi="Arial" w:cs="Arial"/>
                <w:sz w:val="20"/>
                <w:szCs w:val="20"/>
              </w:rPr>
              <w:t>ntre str. Z</w:t>
            </w:r>
            <w:r w:rsidR="005C1C72">
              <w:rPr>
                <w:rFonts w:ascii="Arial" w:hAnsi="Arial" w:cs="Arial"/>
                <w:sz w:val="20"/>
                <w:szCs w:val="20"/>
              </w:rPr>
              <w:t>ă</w:t>
            </w:r>
            <w:r w:rsidRPr="004F44A8">
              <w:rPr>
                <w:rFonts w:ascii="Arial" w:hAnsi="Arial" w:cs="Arial"/>
                <w:sz w:val="20"/>
                <w:szCs w:val="20"/>
              </w:rPr>
              <w:t xml:space="preserve">voiului </w:t>
            </w:r>
            <w:r w:rsidR="005C1C72">
              <w:rPr>
                <w:rFonts w:ascii="Arial" w:hAnsi="Arial" w:cs="Arial"/>
                <w:sz w:val="20"/>
                <w:szCs w:val="20"/>
              </w:rPr>
              <w:t>ș</w:t>
            </w:r>
            <w:r w:rsidRPr="004F44A8">
              <w:rPr>
                <w:rFonts w:ascii="Arial" w:hAnsi="Arial" w:cs="Arial"/>
                <w:sz w:val="20"/>
                <w:szCs w:val="20"/>
              </w:rPr>
              <w:t>i str. Alex. Ioan Cuza</w:t>
            </w:r>
          </w:p>
        </w:tc>
        <w:tc>
          <w:tcPr>
            <w:tcW w:w="1147" w:type="dxa"/>
            <w:shd w:val="clear" w:color="auto" w:fill="auto"/>
            <w:vAlign w:val="center"/>
          </w:tcPr>
          <w:p w14:paraId="2193E024"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410A9135"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80.000</w:t>
            </w:r>
          </w:p>
        </w:tc>
        <w:tc>
          <w:tcPr>
            <w:tcW w:w="1147" w:type="dxa"/>
            <w:vAlign w:val="center"/>
          </w:tcPr>
          <w:p w14:paraId="4D7166B6"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127E2066"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80.000</w:t>
            </w:r>
          </w:p>
        </w:tc>
      </w:tr>
      <w:tr w:rsidR="004F44A8" w:rsidRPr="004F44A8" w14:paraId="73E62A4A" w14:textId="77777777" w:rsidTr="00C735D2">
        <w:tc>
          <w:tcPr>
            <w:tcW w:w="5580" w:type="dxa"/>
            <w:shd w:val="clear" w:color="auto" w:fill="auto"/>
            <w:vAlign w:val="center"/>
          </w:tcPr>
          <w:p w14:paraId="1DD6A508"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 xml:space="preserve">IV.3 = construirea de parcări pentru biciclete </w:t>
            </w:r>
          </w:p>
        </w:tc>
        <w:tc>
          <w:tcPr>
            <w:tcW w:w="1147" w:type="dxa"/>
            <w:shd w:val="clear" w:color="auto" w:fill="auto"/>
            <w:vAlign w:val="center"/>
          </w:tcPr>
          <w:p w14:paraId="4E85D4AF"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80.000</w:t>
            </w:r>
          </w:p>
        </w:tc>
        <w:tc>
          <w:tcPr>
            <w:tcW w:w="1148" w:type="dxa"/>
            <w:shd w:val="clear" w:color="auto" w:fill="auto"/>
            <w:vAlign w:val="center"/>
          </w:tcPr>
          <w:p w14:paraId="7F3D20ED"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100.000</w:t>
            </w:r>
          </w:p>
        </w:tc>
        <w:tc>
          <w:tcPr>
            <w:tcW w:w="1147" w:type="dxa"/>
            <w:vAlign w:val="center"/>
          </w:tcPr>
          <w:p w14:paraId="67251EC1"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1619B94B"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180.000</w:t>
            </w:r>
          </w:p>
        </w:tc>
      </w:tr>
      <w:tr w:rsidR="004F44A8" w:rsidRPr="004F44A8" w14:paraId="5BA587F9" w14:textId="77777777" w:rsidTr="00C735D2">
        <w:tc>
          <w:tcPr>
            <w:tcW w:w="5580" w:type="dxa"/>
            <w:shd w:val="clear" w:color="auto" w:fill="auto"/>
            <w:vAlign w:val="center"/>
          </w:tcPr>
          <w:p w14:paraId="5FF153FD"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 xml:space="preserve">VII.2 = </w:t>
            </w:r>
            <w:r w:rsidRPr="004F44A8">
              <w:rPr>
                <w:rFonts w:ascii="Arial" w:hAnsi="Arial" w:cs="Arial"/>
                <w:sz w:val="20"/>
                <w:szCs w:val="20"/>
                <w:lang w:val="es-ES"/>
              </w:rPr>
              <w:t>introducerea sistemului de taxare a parcării</w:t>
            </w:r>
          </w:p>
        </w:tc>
        <w:tc>
          <w:tcPr>
            <w:tcW w:w="1147" w:type="dxa"/>
            <w:shd w:val="clear" w:color="auto" w:fill="auto"/>
            <w:vAlign w:val="center"/>
          </w:tcPr>
          <w:p w14:paraId="482FFB88"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40.000</w:t>
            </w:r>
          </w:p>
        </w:tc>
        <w:tc>
          <w:tcPr>
            <w:tcW w:w="1148" w:type="dxa"/>
            <w:shd w:val="clear" w:color="auto" w:fill="auto"/>
            <w:vAlign w:val="center"/>
          </w:tcPr>
          <w:p w14:paraId="73D17C73"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40.000</w:t>
            </w:r>
          </w:p>
        </w:tc>
        <w:tc>
          <w:tcPr>
            <w:tcW w:w="1147" w:type="dxa"/>
            <w:vAlign w:val="center"/>
          </w:tcPr>
          <w:p w14:paraId="46A04522"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0D88FED9"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80.000</w:t>
            </w:r>
          </w:p>
        </w:tc>
      </w:tr>
      <w:tr w:rsidR="004F44A8" w:rsidRPr="004F44A8" w14:paraId="34B5024B" w14:textId="77777777" w:rsidTr="00C735D2">
        <w:tc>
          <w:tcPr>
            <w:tcW w:w="5580" w:type="dxa"/>
            <w:shd w:val="clear" w:color="auto" w:fill="auto"/>
            <w:vAlign w:val="center"/>
          </w:tcPr>
          <w:p w14:paraId="785E3DAF"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XII.1 = construirea unui centru intermodal de transport destinat interconectării transportului public local cu cel judetean şi interurban</w:t>
            </w:r>
          </w:p>
        </w:tc>
        <w:tc>
          <w:tcPr>
            <w:tcW w:w="1147" w:type="dxa"/>
            <w:shd w:val="clear" w:color="auto" w:fill="auto"/>
            <w:vAlign w:val="center"/>
          </w:tcPr>
          <w:p w14:paraId="527167CC"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63A7D573"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38B47C89"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5.000.000</w:t>
            </w:r>
          </w:p>
        </w:tc>
        <w:tc>
          <w:tcPr>
            <w:tcW w:w="1148" w:type="dxa"/>
            <w:shd w:val="clear" w:color="auto" w:fill="auto"/>
            <w:vAlign w:val="center"/>
          </w:tcPr>
          <w:p w14:paraId="7F1A72DA"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5.000.000</w:t>
            </w:r>
          </w:p>
        </w:tc>
      </w:tr>
      <w:tr w:rsidR="004F44A8" w:rsidRPr="004F44A8" w14:paraId="3F3797D2" w14:textId="77777777" w:rsidTr="00C735D2">
        <w:tc>
          <w:tcPr>
            <w:tcW w:w="5580" w:type="dxa"/>
            <w:shd w:val="clear" w:color="auto" w:fill="auto"/>
            <w:vAlign w:val="center"/>
          </w:tcPr>
          <w:p w14:paraId="1F25BCB5" w14:textId="77777777" w:rsidR="004F44A8" w:rsidRPr="004F44A8" w:rsidRDefault="004F44A8" w:rsidP="004F44A8">
            <w:pPr>
              <w:spacing w:after="0"/>
              <w:jc w:val="both"/>
              <w:rPr>
                <w:rFonts w:ascii="Arial" w:hAnsi="Arial" w:cs="Arial"/>
                <w:color w:val="000000"/>
                <w:sz w:val="20"/>
                <w:szCs w:val="20"/>
                <w:lang w:val="es-ES"/>
              </w:rPr>
            </w:pPr>
            <w:r w:rsidRPr="004F44A8">
              <w:rPr>
                <w:rFonts w:ascii="Arial" w:hAnsi="Arial" w:cs="Arial"/>
                <w:color w:val="000000"/>
                <w:sz w:val="20"/>
                <w:szCs w:val="20"/>
                <w:lang w:val="es-ES"/>
              </w:rPr>
              <w:t>XII.2 = organizarea programului de circulație susținut de operatorul de transport urban în concordanț</w:t>
            </w:r>
            <w:r w:rsidR="005C1C72">
              <w:rPr>
                <w:rFonts w:ascii="Arial" w:hAnsi="Arial" w:cs="Arial"/>
                <w:color w:val="000000"/>
                <w:sz w:val="20"/>
                <w:szCs w:val="20"/>
                <w:lang w:val="es-ES"/>
              </w:rPr>
              <w:t>ă</w:t>
            </w:r>
            <w:r w:rsidRPr="004F44A8">
              <w:rPr>
                <w:rFonts w:ascii="Arial" w:hAnsi="Arial" w:cs="Arial"/>
                <w:color w:val="000000"/>
                <w:sz w:val="20"/>
                <w:szCs w:val="20"/>
                <w:lang w:val="es-ES"/>
              </w:rPr>
              <w:t xml:space="preserve"> cu programul transportului jude</w:t>
            </w:r>
            <w:r w:rsidR="005C1C72">
              <w:rPr>
                <w:rFonts w:ascii="Arial" w:hAnsi="Arial" w:cs="Arial"/>
                <w:color w:val="000000"/>
                <w:sz w:val="20"/>
                <w:szCs w:val="20"/>
                <w:lang w:val="es-ES"/>
              </w:rPr>
              <w:t>ț</w:t>
            </w:r>
            <w:r w:rsidRPr="004F44A8">
              <w:rPr>
                <w:rFonts w:ascii="Arial" w:hAnsi="Arial" w:cs="Arial"/>
                <w:color w:val="000000"/>
                <w:sz w:val="20"/>
                <w:szCs w:val="20"/>
                <w:lang w:val="es-ES"/>
              </w:rPr>
              <w:t xml:space="preserve">ean </w:t>
            </w:r>
            <w:r w:rsidR="005C1C72">
              <w:rPr>
                <w:rFonts w:ascii="Arial" w:hAnsi="Arial" w:cs="Arial"/>
                <w:color w:val="000000"/>
                <w:sz w:val="20"/>
                <w:szCs w:val="20"/>
                <w:lang w:val="es-ES"/>
              </w:rPr>
              <w:t>ș</w:t>
            </w:r>
            <w:r w:rsidRPr="004F44A8">
              <w:rPr>
                <w:rFonts w:ascii="Arial" w:hAnsi="Arial" w:cs="Arial"/>
                <w:color w:val="000000"/>
                <w:sz w:val="20"/>
                <w:szCs w:val="20"/>
                <w:lang w:val="es-ES"/>
              </w:rPr>
              <w:t>i interurban</w:t>
            </w:r>
          </w:p>
        </w:tc>
        <w:tc>
          <w:tcPr>
            <w:tcW w:w="1147" w:type="dxa"/>
            <w:shd w:val="clear" w:color="auto" w:fill="auto"/>
            <w:vAlign w:val="center"/>
          </w:tcPr>
          <w:p w14:paraId="05C52DD8"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787C72E2"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595049E0"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782F074A"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r>
      <w:tr w:rsidR="004F44A8" w:rsidRPr="004F44A8" w14:paraId="7C136D1E" w14:textId="77777777" w:rsidTr="00C735D2">
        <w:tc>
          <w:tcPr>
            <w:tcW w:w="5580" w:type="dxa"/>
            <w:shd w:val="clear" w:color="auto" w:fill="auto"/>
            <w:vAlign w:val="center"/>
          </w:tcPr>
          <w:p w14:paraId="52C82988"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 xml:space="preserve">VII.3 = construirea de parcări de mare capacitate (supra şi subterane) si dotarea cu statii de </w:t>
            </w:r>
            <w:r w:rsidR="005C1C72">
              <w:rPr>
                <w:rFonts w:ascii="Arial" w:hAnsi="Arial" w:cs="Arial"/>
                <w:color w:val="000000"/>
                <w:sz w:val="20"/>
                <w:szCs w:val="20"/>
                <w:lang w:val="es-ES"/>
              </w:rPr>
              <w:t>î</w:t>
            </w:r>
            <w:r w:rsidRPr="004F44A8">
              <w:rPr>
                <w:rFonts w:ascii="Arial" w:hAnsi="Arial" w:cs="Arial"/>
                <w:color w:val="000000"/>
                <w:sz w:val="20"/>
                <w:szCs w:val="20"/>
                <w:lang w:val="es-ES"/>
              </w:rPr>
              <w:t>nc</w:t>
            </w:r>
            <w:r w:rsidR="005C1C72">
              <w:rPr>
                <w:rFonts w:ascii="Arial" w:hAnsi="Arial" w:cs="Arial"/>
                <w:color w:val="000000"/>
                <w:sz w:val="20"/>
                <w:szCs w:val="20"/>
                <w:lang w:val="es-ES"/>
              </w:rPr>
              <w:t>ă</w:t>
            </w:r>
            <w:r w:rsidRPr="004F44A8">
              <w:rPr>
                <w:rFonts w:ascii="Arial" w:hAnsi="Arial" w:cs="Arial"/>
                <w:color w:val="000000"/>
                <w:sz w:val="20"/>
                <w:szCs w:val="20"/>
                <w:lang w:val="es-ES"/>
              </w:rPr>
              <w:t>rcare pentru vehicule electrice</w:t>
            </w:r>
          </w:p>
        </w:tc>
        <w:tc>
          <w:tcPr>
            <w:tcW w:w="1147" w:type="dxa"/>
            <w:shd w:val="clear" w:color="auto" w:fill="auto"/>
            <w:vAlign w:val="center"/>
          </w:tcPr>
          <w:p w14:paraId="63EE22DE"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41BC7E08"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640.000</w:t>
            </w:r>
          </w:p>
        </w:tc>
        <w:tc>
          <w:tcPr>
            <w:tcW w:w="1147" w:type="dxa"/>
            <w:vAlign w:val="center"/>
          </w:tcPr>
          <w:p w14:paraId="773BDB82"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640.000</w:t>
            </w:r>
          </w:p>
        </w:tc>
        <w:tc>
          <w:tcPr>
            <w:tcW w:w="1148" w:type="dxa"/>
            <w:shd w:val="clear" w:color="auto" w:fill="auto"/>
            <w:vAlign w:val="center"/>
          </w:tcPr>
          <w:p w14:paraId="4E610BED"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1.280.000</w:t>
            </w:r>
          </w:p>
        </w:tc>
      </w:tr>
      <w:tr w:rsidR="004F44A8" w:rsidRPr="004F44A8" w14:paraId="74ADEBC8" w14:textId="77777777" w:rsidTr="00C735D2">
        <w:tc>
          <w:tcPr>
            <w:tcW w:w="5580" w:type="dxa"/>
            <w:shd w:val="clear" w:color="auto" w:fill="auto"/>
            <w:vAlign w:val="center"/>
          </w:tcPr>
          <w:p w14:paraId="104E18EE"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X.5 = elaborarea unui studiu de oportunitate pentru stabilirea  modului de organizare a serviciului de transport public local, determinarea pe baze matematice a viitoarelor trasee, a programelor de circulatie, amplasarea sta</w:t>
            </w:r>
            <w:r w:rsidR="005C1C72">
              <w:rPr>
                <w:rFonts w:ascii="Arial" w:hAnsi="Arial" w:cs="Arial"/>
                <w:color w:val="000000"/>
                <w:sz w:val="20"/>
                <w:szCs w:val="20"/>
                <w:lang w:val="es-ES"/>
              </w:rPr>
              <w:t>ț</w:t>
            </w:r>
            <w:r w:rsidRPr="004F44A8">
              <w:rPr>
                <w:rFonts w:ascii="Arial" w:hAnsi="Arial" w:cs="Arial"/>
                <w:color w:val="000000"/>
                <w:sz w:val="20"/>
                <w:szCs w:val="20"/>
                <w:lang w:val="es-ES"/>
              </w:rPr>
              <w:t>iilor etc.</w:t>
            </w:r>
          </w:p>
        </w:tc>
        <w:tc>
          <w:tcPr>
            <w:tcW w:w="1147" w:type="dxa"/>
            <w:shd w:val="clear" w:color="auto" w:fill="auto"/>
            <w:vAlign w:val="center"/>
          </w:tcPr>
          <w:p w14:paraId="1F1F0DD9"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60.000</w:t>
            </w:r>
          </w:p>
        </w:tc>
        <w:tc>
          <w:tcPr>
            <w:tcW w:w="1148" w:type="dxa"/>
            <w:shd w:val="clear" w:color="auto" w:fill="auto"/>
            <w:vAlign w:val="center"/>
          </w:tcPr>
          <w:p w14:paraId="0562F7D5"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40CA4A1F"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2B8A5364"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60.000</w:t>
            </w:r>
          </w:p>
        </w:tc>
      </w:tr>
      <w:tr w:rsidR="004F44A8" w:rsidRPr="004F44A8" w14:paraId="3C4E3C5A" w14:textId="77777777" w:rsidTr="00C735D2">
        <w:tc>
          <w:tcPr>
            <w:tcW w:w="5580" w:type="dxa"/>
            <w:shd w:val="clear" w:color="auto" w:fill="auto"/>
            <w:vAlign w:val="center"/>
          </w:tcPr>
          <w:p w14:paraId="4F3B4A4C" w14:textId="77777777" w:rsidR="004F44A8" w:rsidRPr="004F44A8" w:rsidRDefault="004F44A8" w:rsidP="004F44A8">
            <w:pPr>
              <w:spacing w:after="0"/>
              <w:jc w:val="both"/>
              <w:rPr>
                <w:rFonts w:ascii="Arial" w:hAnsi="Arial" w:cs="Arial"/>
                <w:color w:val="000000"/>
                <w:sz w:val="20"/>
                <w:szCs w:val="20"/>
                <w:lang w:val="es-ES"/>
              </w:rPr>
            </w:pPr>
            <w:r w:rsidRPr="004F44A8">
              <w:rPr>
                <w:rFonts w:ascii="Arial" w:hAnsi="Arial" w:cs="Arial"/>
                <w:color w:val="000000"/>
                <w:sz w:val="20"/>
                <w:szCs w:val="20"/>
                <w:lang w:val="es-ES"/>
              </w:rPr>
              <w:t>IV.8 = introducerea în municipiu a „zilei fără autoturisme” (lunar)</w:t>
            </w:r>
          </w:p>
        </w:tc>
        <w:tc>
          <w:tcPr>
            <w:tcW w:w="1147" w:type="dxa"/>
            <w:shd w:val="clear" w:color="auto" w:fill="auto"/>
            <w:vAlign w:val="center"/>
          </w:tcPr>
          <w:p w14:paraId="309E1C27"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3CAAD624"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00E5F1FB"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1080E7ED"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r>
      <w:tr w:rsidR="004F44A8" w:rsidRPr="004F44A8" w14:paraId="6FD37FED" w14:textId="77777777" w:rsidTr="00C735D2">
        <w:tc>
          <w:tcPr>
            <w:tcW w:w="5580" w:type="dxa"/>
            <w:shd w:val="clear" w:color="auto" w:fill="auto"/>
            <w:vAlign w:val="center"/>
          </w:tcPr>
          <w:p w14:paraId="206E1217" w14:textId="77777777" w:rsidR="004F44A8" w:rsidRPr="004F44A8" w:rsidRDefault="004F44A8" w:rsidP="004F44A8">
            <w:pPr>
              <w:spacing w:after="0"/>
              <w:jc w:val="both"/>
              <w:rPr>
                <w:rFonts w:ascii="Arial" w:hAnsi="Arial" w:cs="Arial"/>
                <w:color w:val="000000"/>
                <w:sz w:val="20"/>
                <w:szCs w:val="20"/>
                <w:lang w:val="es-ES"/>
              </w:rPr>
            </w:pPr>
            <w:r w:rsidRPr="004F44A8">
              <w:rPr>
                <w:rFonts w:ascii="Arial" w:hAnsi="Arial" w:cs="Arial"/>
                <w:color w:val="000000"/>
                <w:sz w:val="20"/>
                <w:szCs w:val="20"/>
                <w:lang w:val="es-ES"/>
              </w:rPr>
              <w:t>V.2 = implementarea conceptului de zone rezidenţiale</w:t>
            </w:r>
          </w:p>
        </w:tc>
        <w:tc>
          <w:tcPr>
            <w:tcW w:w="1147" w:type="dxa"/>
            <w:shd w:val="clear" w:color="auto" w:fill="auto"/>
            <w:vAlign w:val="center"/>
          </w:tcPr>
          <w:p w14:paraId="39B8BFCB"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7FA29480"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1B27F6D3"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6734CE19"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r>
      <w:tr w:rsidR="004F44A8" w:rsidRPr="004F44A8" w14:paraId="3C3BD7B9" w14:textId="77777777" w:rsidTr="00C735D2">
        <w:tc>
          <w:tcPr>
            <w:tcW w:w="5580" w:type="dxa"/>
            <w:shd w:val="clear" w:color="auto" w:fill="auto"/>
            <w:vAlign w:val="center"/>
          </w:tcPr>
          <w:p w14:paraId="1FDFA80D"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 xml:space="preserve">X.6 = realizarea unui website al operatorului de transport public local </w:t>
            </w:r>
            <w:r w:rsidR="005C1C72">
              <w:rPr>
                <w:rFonts w:ascii="Arial" w:hAnsi="Arial" w:cs="Arial"/>
                <w:color w:val="000000"/>
                <w:sz w:val="20"/>
                <w:szCs w:val="20"/>
                <w:lang w:val="es-ES"/>
              </w:rPr>
              <w:t>ș</w:t>
            </w:r>
            <w:r w:rsidRPr="004F44A8">
              <w:rPr>
                <w:rFonts w:ascii="Arial" w:hAnsi="Arial" w:cs="Arial"/>
                <w:color w:val="000000"/>
                <w:sz w:val="20"/>
                <w:szCs w:val="20"/>
                <w:lang w:val="es-ES"/>
              </w:rPr>
              <w:t>i unei aplica</w:t>
            </w:r>
            <w:r w:rsidR="005C1C72">
              <w:rPr>
                <w:rFonts w:ascii="Arial" w:hAnsi="Arial" w:cs="Arial"/>
                <w:color w:val="000000"/>
                <w:sz w:val="20"/>
                <w:szCs w:val="20"/>
                <w:lang w:val="es-ES"/>
              </w:rPr>
              <w:t>ț</w:t>
            </w:r>
            <w:r w:rsidRPr="004F44A8">
              <w:rPr>
                <w:rFonts w:ascii="Arial" w:hAnsi="Arial" w:cs="Arial"/>
                <w:color w:val="000000"/>
                <w:sz w:val="20"/>
                <w:szCs w:val="20"/>
                <w:lang w:val="es-ES"/>
              </w:rPr>
              <w:t>ii pentru planificarea c</w:t>
            </w:r>
            <w:r w:rsidR="005C1C72">
              <w:rPr>
                <w:rFonts w:ascii="Arial" w:hAnsi="Arial" w:cs="Arial"/>
                <w:color w:val="000000"/>
                <w:sz w:val="20"/>
                <w:szCs w:val="20"/>
                <w:lang w:val="es-ES"/>
              </w:rPr>
              <w:t>ă</w:t>
            </w:r>
            <w:r w:rsidRPr="004F44A8">
              <w:rPr>
                <w:rFonts w:ascii="Arial" w:hAnsi="Arial" w:cs="Arial"/>
                <w:color w:val="000000"/>
                <w:sz w:val="20"/>
                <w:szCs w:val="20"/>
                <w:lang w:val="es-ES"/>
              </w:rPr>
              <w:t>l</w:t>
            </w:r>
            <w:r w:rsidR="005C1C72">
              <w:rPr>
                <w:rFonts w:ascii="Arial" w:hAnsi="Arial" w:cs="Arial"/>
                <w:color w:val="000000"/>
                <w:sz w:val="20"/>
                <w:szCs w:val="20"/>
                <w:lang w:val="es-ES"/>
              </w:rPr>
              <w:t>ă</w:t>
            </w:r>
            <w:r w:rsidRPr="004F44A8">
              <w:rPr>
                <w:rFonts w:ascii="Arial" w:hAnsi="Arial" w:cs="Arial"/>
                <w:color w:val="000000"/>
                <w:sz w:val="20"/>
                <w:szCs w:val="20"/>
                <w:lang w:val="es-ES"/>
              </w:rPr>
              <w:t>toriei cu transportul public</w:t>
            </w:r>
          </w:p>
        </w:tc>
        <w:tc>
          <w:tcPr>
            <w:tcW w:w="1147" w:type="dxa"/>
            <w:shd w:val="clear" w:color="auto" w:fill="auto"/>
            <w:vAlign w:val="center"/>
          </w:tcPr>
          <w:p w14:paraId="623EC56D"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1D28C41C"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3FF83406"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w:t>
            </w:r>
          </w:p>
        </w:tc>
        <w:tc>
          <w:tcPr>
            <w:tcW w:w="1148" w:type="dxa"/>
            <w:shd w:val="clear" w:color="auto" w:fill="auto"/>
            <w:vAlign w:val="center"/>
          </w:tcPr>
          <w:p w14:paraId="2FF09975"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w:t>
            </w:r>
          </w:p>
        </w:tc>
      </w:tr>
      <w:tr w:rsidR="004F44A8" w:rsidRPr="004F44A8" w14:paraId="0328EEAA" w14:textId="77777777" w:rsidTr="00C735D2">
        <w:tc>
          <w:tcPr>
            <w:tcW w:w="5580" w:type="dxa"/>
            <w:shd w:val="clear" w:color="auto" w:fill="auto"/>
            <w:vAlign w:val="center"/>
          </w:tcPr>
          <w:p w14:paraId="5ECFB337"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III.1 = realizarea unei aplicaţii pentru telefonul mobil pentru achitarea contravalorii călătoriei cu transportul public</w:t>
            </w:r>
          </w:p>
        </w:tc>
        <w:tc>
          <w:tcPr>
            <w:tcW w:w="1147" w:type="dxa"/>
            <w:shd w:val="clear" w:color="auto" w:fill="auto"/>
            <w:vAlign w:val="center"/>
          </w:tcPr>
          <w:p w14:paraId="611B2B1B"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6A519AC0"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w:t>
            </w:r>
          </w:p>
        </w:tc>
        <w:tc>
          <w:tcPr>
            <w:tcW w:w="1147" w:type="dxa"/>
            <w:vAlign w:val="center"/>
          </w:tcPr>
          <w:p w14:paraId="57AA9FD3"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47C246F5"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w:t>
            </w:r>
          </w:p>
        </w:tc>
      </w:tr>
      <w:tr w:rsidR="004F44A8" w:rsidRPr="004F44A8" w14:paraId="6B1D7839" w14:textId="77777777" w:rsidTr="00C735D2">
        <w:tc>
          <w:tcPr>
            <w:tcW w:w="5580" w:type="dxa"/>
            <w:shd w:val="clear" w:color="auto" w:fill="auto"/>
            <w:vAlign w:val="center"/>
          </w:tcPr>
          <w:p w14:paraId="54589213"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IV.9 = achizi</w:t>
            </w:r>
            <w:r w:rsidR="005C1C72">
              <w:rPr>
                <w:rFonts w:ascii="Arial" w:hAnsi="Arial" w:cs="Arial"/>
                <w:color w:val="000000"/>
                <w:sz w:val="20"/>
                <w:szCs w:val="20"/>
                <w:lang w:val="es-ES"/>
              </w:rPr>
              <w:t>ț</w:t>
            </w:r>
            <w:r w:rsidRPr="004F44A8">
              <w:rPr>
                <w:rFonts w:ascii="Arial" w:hAnsi="Arial" w:cs="Arial"/>
                <w:color w:val="000000"/>
                <w:sz w:val="20"/>
                <w:szCs w:val="20"/>
                <w:lang w:val="es-ES"/>
              </w:rPr>
              <w:t>ia de sta</w:t>
            </w:r>
            <w:r w:rsidR="005C1C72">
              <w:rPr>
                <w:rFonts w:ascii="Arial" w:hAnsi="Arial" w:cs="Arial"/>
                <w:color w:val="000000"/>
                <w:sz w:val="20"/>
                <w:szCs w:val="20"/>
                <w:lang w:val="es-ES"/>
              </w:rPr>
              <w:t>ț</w:t>
            </w:r>
            <w:r w:rsidRPr="004F44A8">
              <w:rPr>
                <w:rFonts w:ascii="Arial" w:hAnsi="Arial" w:cs="Arial"/>
                <w:color w:val="000000"/>
                <w:sz w:val="20"/>
                <w:szCs w:val="20"/>
                <w:lang w:val="es-ES"/>
              </w:rPr>
              <w:t xml:space="preserve">ii de </w:t>
            </w:r>
            <w:r w:rsidR="005C1C72">
              <w:rPr>
                <w:rFonts w:ascii="Arial" w:hAnsi="Arial" w:cs="Arial"/>
                <w:color w:val="000000"/>
                <w:sz w:val="20"/>
                <w:szCs w:val="20"/>
                <w:lang w:val="es-ES"/>
              </w:rPr>
              <w:t>î</w:t>
            </w:r>
            <w:r w:rsidRPr="004F44A8">
              <w:rPr>
                <w:rFonts w:ascii="Arial" w:hAnsi="Arial" w:cs="Arial"/>
                <w:color w:val="000000"/>
                <w:sz w:val="20"/>
                <w:szCs w:val="20"/>
                <w:lang w:val="es-ES"/>
              </w:rPr>
              <w:t>nc</w:t>
            </w:r>
            <w:r w:rsidR="005C1C72">
              <w:rPr>
                <w:rFonts w:ascii="Arial" w:hAnsi="Arial" w:cs="Arial"/>
                <w:color w:val="000000"/>
                <w:sz w:val="20"/>
                <w:szCs w:val="20"/>
                <w:lang w:val="es-ES"/>
              </w:rPr>
              <w:t>ă</w:t>
            </w:r>
            <w:r w:rsidRPr="004F44A8">
              <w:rPr>
                <w:rFonts w:ascii="Arial" w:hAnsi="Arial" w:cs="Arial"/>
                <w:color w:val="000000"/>
                <w:sz w:val="20"/>
                <w:szCs w:val="20"/>
                <w:lang w:val="es-ES"/>
              </w:rPr>
              <w:t xml:space="preserve">rcare pentru autovehiculele electrice </w:t>
            </w:r>
            <w:r w:rsidR="005C1C72">
              <w:rPr>
                <w:rFonts w:ascii="Arial" w:hAnsi="Arial" w:cs="Arial"/>
                <w:color w:val="000000"/>
                <w:sz w:val="20"/>
                <w:szCs w:val="20"/>
                <w:lang w:val="es-ES"/>
              </w:rPr>
              <w:t>ș</w:t>
            </w:r>
            <w:r w:rsidRPr="004F44A8">
              <w:rPr>
                <w:rFonts w:ascii="Arial" w:hAnsi="Arial" w:cs="Arial"/>
                <w:color w:val="000000"/>
                <w:sz w:val="20"/>
                <w:szCs w:val="20"/>
                <w:lang w:val="es-ES"/>
              </w:rPr>
              <w:t xml:space="preserve">i amplasarea acestora </w:t>
            </w:r>
            <w:r w:rsidR="005C1C72">
              <w:rPr>
                <w:rFonts w:ascii="Arial" w:hAnsi="Arial" w:cs="Arial"/>
                <w:color w:val="000000"/>
                <w:sz w:val="20"/>
                <w:szCs w:val="20"/>
                <w:lang w:val="es-ES"/>
              </w:rPr>
              <w:t>î</w:t>
            </w:r>
            <w:r w:rsidRPr="004F44A8">
              <w:rPr>
                <w:rFonts w:ascii="Arial" w:hAnsi="Arial" w:cs="Arial"/>
                <w:color w:val="000000"/>
                <w:sz w:val="20"/>
                <w:szCs w:val="20"/>
                <w:lang w:val="es-ES"/>
              </w:rPr>
              <w:t>n principalele zone ale ora</w:t>
            </w:r>
            <w:r w:rsidR="005C1C72">
              <w:rPr>
                <w:rFonts w:ascii="Arial" w:hAnsi="Arial" w:cs="Arial"/>
                <w:color w:val="000000"/>
                <w:sz w:val="20"/>
                <w:szCs w:val="20"/>
                <w:lang w:val="es-ES"/>
              </w:rPr>
              <w:t>ș</w:t>
            </w:r>
            <w:r w:rsidRPr="004F44A8">
              <w:rPr>
                <w:rFonts w:ascii="Arial" w:hAnsi="Arial" w:cs="Arial"/>
                <w:color w:val="000000"/>
                <w:sz w:val="20"/>
                <w:szCs w:val="20"/>
                <w:lang w:val="es-ES"/>
              </w:rPr>
              <w:t>ului</w:t>
            </w:r>
          </w:p>
        </w:tc>
        <w:tc>
          <w:tcPr>
            <w:tcW w:w="1147" w:type="dxa"/>
            <w:shd w:val="clear" w:color="auto" w:fill="auto"/>
            <w:vAlign w:val="center"/>
          </w:tcPr>
          <w:p w14:paraId="64E8C416"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50B76106"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261205A3"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w:t>
            </w:r>
          </w:p>
        </w:tc>
        <w:tc>
          <w:tcPr>
            <w:tcW w:w="1148" w:type="dxa"/>
            <w:shd w:val="clear" w:color="auto" w:fill="auto"/>
            <w:vAlign w:val="center"/>
          </w:tcPr>
          <w:p w14:paraId="1C6F0B9E"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50.000</w:t>
            </w:r>
          </w:p>
        </w:tc>
      </w:tr>
      <w:tr w:rsidR="004F44A8" w:rsidRPr="004F44A8" w14:paraId="16F02EB1" w14:textId="77777777" w:rsidTr="00C735D2">
        <w:tc>
          <w:tcPr>
            <w:tcW w:w="5580" w:type="dxa"/>
            <w:shd w:val="clear" w:color="auto" w:fill="auto"/>
            <w:vAlign w:val="center"/>
          </w:tcPr>
          <w:p w14:paraId="649A1C04" w14:textId="6EF67693"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IV.5 = amenajarea un</w:t>
            </w:r>
            <w:r w:rsidR="005B68FD">
              <w:rPr>
                <w:rFonts w:ascii="Arial" w:hAnsi="Arial" w:cs="Arial"/>
                <w:color w:val="000000"/>
                <w:sz w:val="20"/>
                <w:szCs w:val="20"/>
                <w:lang w:val="es-ES"/>
              </w:rPr>
              <w:t>u</w:t>
            </w:r>
            <w:r w:rsidRPr="004F44A8">
              <w:rPr>
                <w:rFonts w:ascii="Arial" w:hAnsi="Arial" w:cs="Arial"/>
                <w:color w:val="000000"/>
                <w:sz w:val="20"/>
                <w:szCs w:val="20"/>
                <w:lang w:val="es-ES"/>
              </w:rPr>
              <w:t xml:space="preserve">i </w:t>
            </w:r>
            <w:r w:rsidR="005B68FD">
              <w:rPr>
                <w:rFonts w:ascii="Arial" w:hAnsi="Arial" w:cs="Arial"/>
                <w:color w:val="000000"/>
                <w:sz w:val="20"/>
                <w:szCs w:val="20"/>
                <w:lang w:val="es-ES"/>
              </w:rPr>
              <w:t>traseu pentru biciclete</w:t>
            </w:r>
            <w:r w:rsidRPr="004F44A8">
              <w:rPr>
                <w:rFonts w:ascii="Arial" w:hAnsi="Arial" w:cs="Arial"/>
                <w:color w:val="000000"/>
                <w:sz w:val="20"/>
                <w:szCs w:val="20"/>
                <w:lang w:val="es-ES"/>
              </w:rPr>
              <w:t xml:space="preserve"> cross-country </w:t>
            </w:r>
            <w:r w:rsidR="005C1C72">
              <w:rPr>
                <w:rFonts w:ascii="Arial" w:hAnsi="Arial" w:cs="Arial"/>
                <w:color w:val="000000"/>
                <w:sz w:val="20"/>
                <w:szCs w:val="20"/>
                <w:lang w:val="es-ES"/>
              </w:rPr>
              <w:t>ș</w:t>
            </w:r>
            <w:r w:rsidRPr="004F44A8">
              <w:rPr>
                <w:rFonts w:ascii="Arial" w:hAnsi="Arial" w:cs="Arial"/>
                <w:color w:val="000000"/>
                <w:sz w:val="20"/>
                <w:szCs w:val="20"/>
                <w:lang w:val="es-ES"/>
              </w:rPr>
              <w:t>i a un</w:t>
            </w:r>
            <w:r w:rsidR="005B68FD">
              <w:rPr>
                <w:rFonts w:ascii="Arial" w:hAnsi="Arial" w:cs="Arial"/>
                <w:color w:val="000000"/>
                <w:sz w:val="20"/>
                <w:szCs w:val="20"/>
                <w:lang w:val="es-ES"/>
              </w:rPr>
              <w:t>u</w:t>
            </w:r>
            <w:r w:rsidRPr="004F44A8">
              <w:rPr>
                <w:rFonts w:ascii="Arial" w:hAnsi="Arial" w:cs="Arial"/>
                <w:color w:val="000000"/>
                <w:sz w:val="20"/>
                <w:szCs w:val="20"/>
                <w:lang w:val="es-ES"/>
              </w:rPr>
              <w:t xml:space="preserve">i </w:t>
            </w:r>
            <w:r w:rsidR="005B68FD">
              <w:rPr>
                <w:rFonts w:ascii="Arial" w:hAnsi="Arial" w:cs="Arial"/>
                <w:color w:val="000000"/>
                <w:sz w:val="20"/>
                <w:szCs w:val="20"/>
                <w:lang w:val="es-ES"/>
              </w:rPr>
              <w:t>traseu</w:t>
            </w:r>
            <w:r w:rsidRPr="004F44A8">
              <w:rPr>
                <w:rFonts w:ascii="Arial" w:hAnsi="Arial" w:cs="Arial"/>
                <w:color w:val="000000"/>
                <w:sz w:val="20"/>
                <w:szCs w:val="20"/>
                <w:lang w:val="es-ES"/>
              </w:rPr>
              <w:t xml:space="preserve"> down-hill</w:t>
            </w:r>
          </w:p>
        </w:tc>
        <w:tc>
          <w:tcPr>
            <w:tcW w:w="1147" w:type="dxa"/>
            <w:shd w:val="clear" w:color="auto" w:fill="auto"/>
            <w:vAlign w:val="center"/>
          </w:tcPr>
          <w:p w14:paraId="0731A24B"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162BCCBF"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7" w:type="dxa"/>
            <w:vAlign w:val="center"/>
          </w:tcPr>
          <w:p w14:paraId="295A8964"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720.000</w:t>
            </w:r>
          </w:p>
        </w:tc>
        <w:tc>
          <w:tcPr>
            <w:tcW w:w="1148" w:type="dxa"/>
            <w:shd w:val="clear" w:color="auto" w:fill="auto"/>
            <w:vAlign w:val="center"/>
          </w:tcPr>
          <w:p w14:paraId="1155782E"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720.000</w:t>
            </w:r>
          </w:p>
        </w:tc>
      </w:tr>
      <w:tr w:rsidR="004F44A8" w:rsidRPr="004F44A8" w14:paraId="3BBFB9D8" w14:textId="77777777" w:rsidTr="00C735D2">
        <w:tc>
          <w:tcPr>
            <w:tcW w:w="5580" w:type="dxa"/>
            <w:shd w:val="clear" w:color="auto" w:fill="auto"/>
            <w:vAlign w:val="center"/>
          </w:tcPr>
          <w:p w14:paraId="173BF5B3" w14:textId="77777777" w:rsidR="004F44A8" w:rsidRPr="004F44A8" w:rsidRDefault="004F44A8" w:rsidP="004F44A8">
            <w:pPr>
              <w:spacing w:after="0"/>
              <w:jc w:val="both"/>
              <w:rPr>
                <w:rFonts w:ascii="Arial" w:hAnsi="Arial" w:cs="Arial"/>
                <w:color w:val="000000"/>
                <w:sz w:val="20"/>
                <w:szCs w:val="20"/>
              </w:rPr>
            </w:pPr>
            <w:r w:rsidRPr="004F44A8">
              <w:rPr>
                <w:rFonts w:ascii="Arial" w:hAnsi="Arial" w:cs="Arial"/>
                <w:color w:val="000000"/>
                <w:sz w:val="20"/>
                <w:szCs w:val="20"/>
                <w:lang w:val="es-ES"/>
              </w:rPr>
              <w:t>X.4 = construirea unei autobaze, inclusiv dotarea cu stație de alimentare cu combustibili alternativi sau stație de încărcare cu energie electrică</w:t>
            </w:r>
          </w:p>
        </w:tc>
        <w:tc>
          <w:tcPr>
            <w:tcW w:w="1147" w:type="dxa"/>
            <w:shd w:val="clear" w:color="auto" w:fill="auto"/>
            <w:vAlign w:val="center"/>
          </w:tcPr>
          <w:p w14:paraId="724D8CBF"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700.000</w:t>
            </w:r>
          </w:p>
        </w:tc>
        <w:tc>
          <w:tcPr>
            <w:tcW w:w="1148" w:type="dxa"/>
            <w:shd w:val="clear" w:color="auto" w:fill="auto"/>
            <w:vAlign w:val="center"/>
          </w:tcPr>
          <w:p w14:paraId="241D687C"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300.000</w:t>
            </w:r>
          </w:p>
        </w:tc>
        <w:tc>
          <w:tcPr>
            <w:tcW w:w="1147" w:type="dxa"/>
            <w:vAlign w:val="center"/>
          </w:tcPr>
          <w:p w14:paraId="173E2282"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0</w:t>
            </w:r>
          </w:p>
        </w:tc>
        <w:tc>
          <w:tcPr>
            <w:tcW w:w="1148" w:type="dxa"/>
            <w:shd w:val="clear" w:color="auto" w:fill="auto"/>
            <w:vAlign w:val="center"/>
          </w:tcPr>
          <w:p w14:paraId="45BE9750"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1.000.000</w:t>
            </w:r>
          </w:p>
        </w:tc>
      </w:tr>
      <w:tr w:rsidR="004F44A8" w:rsidRPr="004F44A8" w14:paraId="39B1A82D" w14:textId="77777777" w:rsidTr="004F44A8">
        <w:tc>
          <w:tcPr>
            <w:tcW w:w="5580" w:type="dxa"/>
            <w:shd w:val="clear" w:color="auto" w:fill="BFBFBF"/>
          </w:tcPr>
          <w:p w14:paraId="45496EE2" w14:textId="77777777" w:rsidR="004F44A8" w:rsidRPr="004F44A8" w:rsidRDefault="004F44A8" w:rsidP="004F44A8">
            <w:pPr>
              <w:suppressAutoHyphens/>
              <w:autoSpaceDE w:val="0"/>
              <w:spacing w:after="0" w:line="240" w:lineRule="auto"/>
              <w:jc w:val="both"/>
              <w:rPr>
                <w:rFonts w:ascii="Arial" w:eastAsia="Calibri" w:hAnsi="Arial" w:cs="Arial"/>
                <w:b/>
                <w:bCs/>
                <w:color w:val="000000"/>
                <w:sz w:val="20"/>
                <w:szCs w:val="20"/>
                <w:lang w:eastAsia="zh-CN"/>
              </w:rPr>
            </w:pPr>
            <w:r w:rsidRPr="004F44A8">
              <w:rPr>
                <w:rFonts w:ascii="Arial" w:eastAsia="Arial" w:hAnsi="Arial" w:cs="Arial"/>
                <w:b/>
                <w:bCs/>
                <w:color w:val="000000"/>
                <w:sz w:val="20"/>
                <w:szCs w:val="20"/>
                <w:lang w:eastAsia="zh-CN"/>
              </w:rPr>
              <w:t>TOTAL COSTURI DE INVESTI</w:t>
            </w:r>
            <w:r w:rsidR="005C1C72">
              <w:rPr>
                <w:rFonts w:ascii="Arial" w:eastAsia="Arial" w:hAnsi="Arial" w:cs="Arial"/>
                <w:b/>
                <w:bCs/>
                <w:color w:val="000000"/>
                <w:sz w:val="20"/>
                <w:szCs w:val="20"/>
                <w:lang w:eastAsia="zh-CN"/>
              </w:rPr>
              <w:t>Ț</w:t>
            </w:r>
            <w:r w:rsidRPr="004F44A8">
              <w:rPr>
                <w:rFonts w:ascii="Arial" w:eastAsia="Arial" w:hAnsi="Arial" w:cs="Arial"/>
                <w:b/>
                <w:bCs/>
                <w:color w:val="000000"/>
                <w:sz w:val="20"/>
                <w:szCs w:val="20"/>
                <w:lang w:eastAsia="zh-CN"/>
              </w:rPr>
              <w:t>II</w:t>
            </w:r>
          </w:p>
        </w:tc>
        <w:tc>
          <w:tcPr>
            <w:tcW w:w="1147" w:type="dxa"/>
            <w:shd w:val="clear" w:color="auto" w:fill="BFBFBF"/>
            <w:vAlign w:val="center"/>
          </w:tcPr>
          <w:p w14:paraId="2D2F9EA8" w14:textId="77777777" w:rsidR="004F44A8" w:rsidRPr="004F44A8" w:rsidRDefault="004F44A8" w:rsidP="004F44A8">
            <w:pPr>
              <w:spacing w:after="0"/>
              <w:jc w:val="center"/>
              <w:rPr>
                <w:rFonts w:ascii="Arial" w:hAnsi="Arial" w:cs="Arial"/>
                <w:b/>
                <w:bCs/>
                <w:sz w:val="20"/>
                <w:szCs w:val="20"/>
              </w:rPr>
            </w:pPr>
            <w:r w:rsidRPr="004F44A8">
              <w:rPr>
                <w:rFonts w:ascii="Arial" w:hAnsi="Arial" w:cs="Arial"/>
                <w:b/>
                <w:bCs/>
                <w:sz w:val="20"/>
                <w:szCs w:val="20"/>
              </w:rPr>
              <w:t>5.141.000</w:t>
            </w:r>
          </w:p>
        </w:tc>
        <w:tc>
          <w:tcPr>
            <w:tcW w:w="1148" w:type="dxa"/>
            <w:shd w:val="clear" w:color="auto" w:fill="BFBFBF"/>
            <w:vAlign w:val="center"/>
          </w:tcPr>
          <w:p w14:paraId="16E6629C" w14:textId="77777777" w:rsidR="004F44A8" w:rsidRPr="004F44A8" w:rsidRDefault="004F44A8" w:rsidP="004F44A8">
            <w:pPr>
              <w:spacing w:after="0"/>
              <w:jc w:val="center"/>
              <w:rPr>
                <w:rFonts w:ascii="Arial" w:hAnsi="Arial" w:cs="Arial"/>
                <w:b/>
                <w:bCs/>
                <w:sz w:val="20"/>
                <w:szCs w:val="20"/>
              </w:rPr>
            </w:pPr>
            <w:r w:rsidRPr="004F44A8">
              <w:rPr>
                <w:rFonts w:ascii="Arial" w:hAnsi="Arial" w:cs="Arial"/>
                <w:b/>
                <w:bCs/>
                <w:sz w:val="20"/>
                <w:szCs w:val="20"/>
              </w:rPr>
              <w:t>19.435.000</w:t>
            </w:r>
          </w:p>
        </w:tc>
        <w:tc>
          <w:tcPr>
            <w:tcW w:w="1147" w:type="dxa"/>
            <w:shd w:val="clear" w:color="auto" w:fill="BFBFBF"/>
            <w:vAlign w:val="center"/>
          </w:tcPr>
          <w:p w14:paraId="1F61AA67" w14:textId="77777777" w:rsidR="004F44A8" w:rsidRPr="004F44A8" w:rsidRDefault="004F44A8" w:rsidP="004F44A8">
            <w:pPr>
              <w:spacing w:after="0"/>
              <w:jc w:val="center"/>
              <w:rPr>
                <w:rFonts w:ascii="Arial" w:hAnsi="Arial" w:cs="Arial"/>
                <w:b/>
                <w:bCs/>
                <w:sz w:val="20"/>
                <w:szCs w:val="20"/>
              </w:rPr>
            </w:pPr>
            <w:r w:rsidRPr="004F44A8">
              <w:rPr>
                <w:rFonts w:ascii="Arial" w:hAnsi="Arial" w:cs="Arial"/>
                <w:b/>
                <w:bCs/>
                <w:sz w:val="20"/>
                <w:szCs w:val="20"/>
              </w:rPr>
              <w:t>9.460.000</w:t>
            </w:r>
          </w:p>
        </w:tc>
        <w:tc>
          <w:tcPr>
            <w:tcW w:w="1148" w:type="dxa"/>
            <w:shd w:val="clear" w:color="auto" w:fill="BFBFBF"/>
            <w:vAlign w:val="center"/>
          </w:tcPr>
          <w:p w14:paraId="00D2FFF2" w14:textId="77777777" w:rsidR="004F44A8" w:rsidRPr="004F44A8" w:rsidRDefault="004F44A8" w:rsidP="004F44A8">
            <w:pPr>
              <w:spacing w:after="0"/>
              <w:jc w:val="center"/>
              <w:rPr>
                <w:rFonts w:ascii="Arial" w:hAnsi="Arial" w:cs="Arial"/>
                <w:b/>
                <w:bCs/>
                <w:sz w:val="20"/>
                <w:szCs w:val="20"/>
              </w:rPr>
            </w:pPr>
            <w:r w:rsidRPr="004F44A8">
              <w:rPr>
                <w:rFonts w:ascii="Arial" w:hAnsi="Arial" w:cs="Arial"/>
                <w:b/>
                <w:bCs/>
                <w:sz w:val="20"/>
                <w:szCs w:val="20"/>
              </w:rPr>
              <w:t>34.036.000</w:t>
            </w:r>
          </w:p>
        </w:tc>
      </w:tr>
      <w:tr w:rsidR="004F44A8" w:rsidRPr="004F44A8" w14:paraId="7533D04A" w14:textId="77777777" w:rsidTr="004F44A8">
        <w:tc>
          <w:tcPr>
            <w:tcW w:w="5580" w:type="dxa"/>
            <w:shd w:val="clear" w:color="auto" w:fill="BFBFBF"/>
          </w:tcPr>
          <w:p w14:paraId="6F8DA834" w14:textId="77777777" w:rsidR="004F44A8" w:rsidRPr="004F44A8" w:rsidRDefault="004F44A8" w:rsidP="004F44A8">
            <w:pPr>
              <w:suppressAutoHyphens/>
              <w:autoSpaceDE w:val="0"/>
              <w:spacing w:after="0" w:line="240" w:lineRule="auto"/>
              <w:jc w:val="both"/>
              <w:rPr>
                <w:rFonts w:ascii="Arial" w:eastAsia="Calibri" w:hAnsi="Arial" w:cs="Arial"/>
                <w:b/>
                <w:bCs/>
                <w:color w:val="000000"/>
                <w:sz w:val="20"/>
                <w:szCs w:val="20"/>
                <w:lang w:val="es-ES" w:eastAsia="zh-CN"/>
              </w:rPr>
            </w:pPr>
            <w:r w:rsidRPr="004F44A8">
              <w:rPr>
                <w:rFonts w:ascii="Arial" w:eastAsia="Arial" w:hAnsi="Arial" w:cs="Arial"/>
                <w:b/>
                <w:bCs/>
                <w:color w:val="000000"/>
                <w:sz w:val="20"/>
                <w:szCs w:val="20"/>
                <w:lang w:val="es-ES" w:eastAsia="zh-CN"/>
              </w:rPr>
              <w:t>COSTURI DE INVESTITII MEDII PE AN</w:t>
            </w:r>
          </w:p>
        </w:tc>
        <w:tc>
          <w:tcPr>
            <w:tcW w:w="1147" w:type="dxa"/>
            <w:shd w:val="clear" w:color="auto" w:fill="BFBFBF"/>
            <w:vAlign w:val="center"/>
          </w:tcPr>
          <w:p w14:paraId="287AC0BD" w14:textId="77777777" w:rsidR="004F44A8" w:rsidRPr="004F44A8" w:rsidRDefault="004F44A8" w:rsidP="004F44A8">
            <w:pPr>
              <w:spacing w:after="0"/>
              <w:jc w:val="center"/>
              <w:rPr>
                <w:rFonts w:ascii="Arial" w:hAnsi="Arial" w:cs="Arial"/>
                <w:b/>
                <w:bCs/>
                <w:sz w:val="20"/>
                <w:szCs w:val="20"/>
              </w:rPr>
            </w:pPr>
            <w:r w:rsidRPr="004F44A8">
              <w:rPr>
                <w:rFonts w:ascii="Arial" w:hAnsi="Arial" w:cs="Arial"/>
                <w:b/>
                <w:bCs/>
                <w:sz w:val="20"/>
                <w:szCs w:val="20"/>
              </w:rPr>
              <w:t>2.570.500</w:t>
            </w:r>
          </w:p>
        </w:tc>
        <w:tc>
          <w:tcPr>
            <w:tcW w:w="1148" w:type="dxa"/>
            <w:shd w:val="clear" w:color="auto" w:fill="BFBFBF"/>
            <w:vAlign w:val="center"/>
          </w:tcPr>
          <w:p w14:paraId="0840D13B" w14:textId="77777777" w:rsidR="004F44A8" w:rsidRPr="004F44A8" w:rsidRDefault="004F44A8" w:rsidP="004F44A8">
            <w:pPr>
              <w:spacing w:after="0"/>
              <w:jc w:val="center"/>
              <w:rPr>
                <w:rFonts w:ascii="Arial" w:hAnsi="Arial" w:cs="Arial"/>
                <w:b/>
                <w:bCs/>
                <w:sz w:val="20"/>
                <w:szCs w:val="20"/>
              </w:rPr>
            </w:pPr>
            <w:r w:rsidRPr="004F44A8">
              <w:rPr>
                <w:rFonts w:ascii="Arial" w:hAnsi="Arial" w:cs="Arial"/>
                <w:b/>
                <w:bCs/>
                <w:sz w:val="20"/>
                <w:szCs w:val="20"/>
              </w:rPr>
              <w:t>4.858.750</w:t>
            </w:r>
          </w:p>
        </w:tc>
        <w:tc>
          <w:tcPr>
            <w:tcW w:w="1147" w:type="dxa"/>
            <w:shd w:val="clear" w:color="auto" w:fill="BFBFBF"/>
            <w:vAlign w:val="center"/>
          </w:tcPr>
          <w:p w14:paraId="39A76B3F" w14:textId="77777777" w:rsidR="004F44A8" w:rsidRPr="004F44A8" w:rsidRDefault="004F44A8" w:rsidP="004F44A8">
            <w:pPr>
              <w:spacing w:after="0"/>
              <w:jc w:val="center"/>
              <w:rPr>
                <w:rFonts w:ascii="Arial" w:hAnsi="Arial" w:cs="Arial"/>
                <w:b/>
                <w:bCs/>
                <w:sz w:val="20"/>
                <w:szCs w:val="20"/>
              </w:rPr>
            </w:pPr>
            <w:r w:rsidRPr="004F44A8">
              <w:rPr>
                <w:rFonts w:ascii="Arial" w:hAnsi="Arial" w:cs="Arial"/>
                <w:b/>
                <w:bCs/>
                <w:sz w:val="20"/>
                <w:szCs w:val="20"/>
              </w:rPr>
              <w:t>1.182.500</w:t>
            </w:r>
          </w:p>
        </w:tc>
        <w:tc>
          <w:tcPr>
            <w:tcW w:w="1148" w:type="dxa"/>
            <w:shd w:val="clear" w:color="auto" w:fill="BFBFBF"/>
            <w:vAlign w:val="center"/>
          </w:tcPr>
          <w:p w14:paraId="66CA2D2C" w14:textId="77777777" w:rsidR="004F44A8" w:rsidRPr="004F44A8" w:rsidRDefault="004F44A8" w:rsidP="004F44A8">
            <w:pPr>
              <w:spacing w:after="0"/>
              <w:jc w:val="center"/>
              <w:rPr>
                <w:rFonts w:ascii="Arial" w:hAnsi="Arial" w:cs="Arial"/>
                <w:sz w:val="20"/>
                <w:szCs w:val="20"/>
              </w:rPr>
            </w:pPr>
            <w:r w:rsidRPr="004F44A8">
              <w:rPr>
                <w:rFonts w:ascii="Arial" w:hAnsi="Arial" w:cs="Arial"/>
                <w:sz w:val="20"/>
                <w:szCs w:val="20"/>
              </w:rPr>
              <w:t>-</w:t>
            </w:r>
          </w:p>
        </w:tc>
      </w:tr>
    </w:tbl>
    <w:p w14:paraId="5FCAA8E2" w14:textId="77777777" w:rsidR="004F44A8" w:rsidRDefault="004F44A8" w:rsidP="00D70AEA">
      <w:pPr>
        <w:rPr>
          <w:rFonts w:ascii="Arial" w:eastAsia="Times New Roman" w:hAnsi="Arial" w:cs="Arial"/>
          <w:b/>
          <w:sz w:val="24"/>
          <w:szCs w:val="24"/>
          <w:lang w:val="it-IT" w:eastAsia="ro-RO"/>
        </w:rPr>
        <w:sectPr w:rsidR="004F44A8" w:rsidSect="004F5666">
          <w:pgSz w:w="12240" w:h="15840"/>
          <w:pgMar w:top="720" w:right="1440" w:bottom="1440" w:left="1440" w:header="706" w:footer="720" w:gutter="0"/>
          <w:cols w:space="720"/>
          <w:titlePg/>
          <w:docGrid w:linePitch="360"/>
        </w:sectPr>
      </w:pPr>
    </w:p>
    <w:p w14:paraId="7CBDC5A2" w14:textId="77777777" w:rsidR="00365C2F" w:rsidRPr="007D0E88" w:rsidRDefault="00365C2F" w:rsidP="007D0E88">
      <w:pPr>
        <w:pStyle w:val="Titlu2"/>
        <w:rPr>
          <w:rFonts w:ascii="Arial" w:eastAsia="Times New Roman" w:hAnsi="Arial" w:cs="Arial"/>
          <w:b/>
          <w:bCs/>
          <w:color w:val="auto"/>
          <w:lang w:eastAsia="hi-IN" w:bidi="hi-IN"/>
        </w:rPr>
      </w:pPr>
      <w:bookmarkStart w:id="630" w:name="_Toc461777882"/>
      <w:bookmarkStart w:id="631" w:name="_Toc491868858"/>
      <w:bookmarkStart w:id="632" w:name="_Toc499657579"/>
      <w:bookmarkStart w:id="633" w:name="_Toc142039126"/>
      <w:r w:rsidRPr="007D0E88">
        <w:rPr>
          <w:rFonts w:ascii="Arial" w:eastAsia="Times New Roman" w:hAnsi="Arial" w:cs="Arial"/>
          <w:b/>
          <w:bCs/>
          <w:color w:val="auto"/>
          <w:lang w:eastAsia="hi-IN" w:bidi="hi-IN"/>
        </w:rPr>
        <w:lastRenderedPageBreak/>
        <w:t>I.8.5 Estimarea bugetului necesar</w:t>
      </w:r>
      <w:bookmarkEnd w:id="630"/>
      <w:bookmarkEnd w:id="631"/>
      <w:bookmarkEnd w:id="632"/>
      <w:bookmarkEnd w:id="633"/>
    </w:p>
    <w:p w14:paraId="1753C866" w14:textId="233CBA6B" w:rsidR="00365C2F" w:rsidRPr="005C1C72" w:rsidRDefault="005C1C72" w:rsidP="005C1C72">
      <w:pPr>
        <w:pStyle w:val="Legend"/>
        <w:jc w:val="center"/>
        <w:rPr>
          <w:rFonts w:ascii="Arial" w:hAnsi="Arial" w:cs="Arial"/>
          <w:i w:val="0"/>
          <w:iCs w:val="0"/>
          <w:kern w:val="1"/>
          <w:sz w:val="22"/>
          <w:szCs w:val="22"/>
          <w:lang w:val="ro-RO" w:eastAsia="hi-IN" w:bidi="hi-IN"/>
        </w:rPr>
      </w:pPr>
      <w:bookmarkStart w:id="634" w:name="_Toc68361306"/>
      <w:bookmarkStart w:id="635" w:name="_Toc96463929"/>
      <w:r w:rsidRPr="005C1C72">
        <w:rPr>
          <w:rFonts w:ascii="Arial" w:hAnsi="Arial" w:cs="Arial"/>
          <w:sz w:val="22"/>
          <w:szCs w:val="22"/>
        </w:rPr>
        <w:t xml:space="preserve">Tabel I.8. </w:t>
      </w:r>
      <w:r w:rsidRPr="005C1C72">
        <w:rPr>
          <w:rFonts w:ascii="Arial" w:hAnsi="Arial" w:cs="Arial"/>
          <w:sz w:val="22"/>
          <w:szCs w:val="22"/>
        </w:rPr>
        <w:fldChar w:fldCharType="begin"/>
      </w:r>
      <w:r w:rsidRPr="005C1C72">
        <w:rPr>
          <w:rFonts w:ascii="Arial" w:hAnsi="Arial" w:cs="Arial"/>
          <w:sz w:val="22"/>
          <w:szCs w:val="22"/>
        </w:rPr>
        <w:instrText xml:space="preserve"> SEQ Tabel_I.8. \* ARABIC </w:instrText>
      </w:r>
      <w:r w:rsidRPr="005C1C72">
        <w:rPr>
          <w:rFonts w:ascii="Arial" w:hAnsi="Arial" w:cs="Arial"/>
          <w:sz w:val="22"/>
          <w:szCs w:val="22"/>
        </w:rPr>
        <w:fldChar w:fldCharType="separate"/>
      </w:r>
      <w:r w:rsidR="00BB181C">
        <w:rPr>
          <w:rFonts w:ascii="Arial" w:hAnsi="Arial" w:cs="Arial"/>
          <w:noProof/>
          <w:sz w:val="22"/>
          <w:szCs w:val="22"/>
        </w:rPr>
        <w:t>2</w:t>
      </w:r>
      <w:r w:rsidRPr="005C1C72">
        <w:rPr>
          <w:rFonts w:ascii="Arial" w:hAnsi="Arial" w:cs="Arial"/>
          <w:sz w:val="22"/>
          <w:szCs w:val="22"/>
        </w:rPr>
        <w:fldChar w:fldCharType="end"/>
      </w:r>
      <w:r w:rsidRPr="005C1C72">
        <w:rPr>
          <w:rFonts w:ascii="Arial" w:hAnsi="Arial" w:cs="Arial"/>
          <w:sz w:val="22"/>
          <w:szCs w:val="22"/>
        </w:rPr>
        <w:t xml:space="preserve"> </w:t>
      </w:r>
      <w:r w:rsidR="007D0E88" w:rsidRPr="005C1C72">
        <w:rPr>
          <w:rFonts w:ascii="Arial" w:hAnsi="Arial" w:cs="Arial"/>
          <w:sz w:val="22"/>
          <w:szCs w:val="22"/>
        </w:rPr>
        <w:t xml:space="preserve">- </w:t>
      </w:r>
      <w:r w:rsidR="00365C2F" w:rsidRPr="005C1C72">
        <w:rPr>
          <w:rFonts w:ascii="Arial" w:hAnsi="Arial" w:cs="Arial"/>
          <w:i w:val="0"/>
          <w:iCs w:val="0"/>
          <w:kern w:val="1"/>
          <w:sz w:val="22"/>
          <w:szCs w:val="22"/>
          <w:lang w:val="ro-RO" w:eastAsia="hi-IN" w:bidi="hi-IN"/>
        </w:rPr>
        <w:t>Bugetarea măsurilor propuse</w:t>
      </w:r>
      <w:bookmarkEnd w:id="634"/>
      <w:bookmarkEnd w:id="635"/>
    </w:p>
    <w:p w14:paraId="043B9DF1" w14:textId="77777777" w:rsidR="00365C2F" w:rsidRPr="00365C2F" w:rsidRDefault="00365C2F" w:rsidP="00365C2F">
      <w:pPr>
        <w:suppressAutoHyphens/>
        <w:spacing w:after="0" w:line="360" w:lineRule="auto"/>
        <w:jc w:val="right"/>
        <w:rPr>
          <w:rFonts w:ascii="Arial" w:hAnsi="Arial" w:cs="Arial"/>
          <w:b/>
          <w:bCs/>
          <w:kern w:val="1"/>
          <w:sz w:val="16"/>
          <w:szCs w:val="16"/>
          <w:lang w:val="ro-RO" w:eastAsia="hi-IN" w:bidi="hi-IN"/>
        </w:rPr>
      </w:pPr>
      <w:r w:rsidRPr="00365C2F">
        <w:rPr>
          <w:rFonts w:ascii="Arial" w:hAnsi="Arial" w:cs="Arial"/>
          <w:kern w:val="1"/>
          <w:sz w:val="20"/>
          <w:szCs w:val="20"/>
          <w:lang w:val="ro-RO" w:eastAsia="hi-IN" w:bidi="hi-IN"/>
        </w:rPr>
        <w:t xml:space="preserve">- mii euro - </w:t>
      </w:r>
    </w:p>
    <w:tbl>
      <w:tblPr>
        <w:tblW w:w="13560" w:type="dxa"/>
        <w:tblInd w:w="93" w:type="dxa"/>
        <w:tblLook w:val="04A0" w:firstRow="1" w:lastRow="0" w:firstColumn="1" w:lastColumn="0" w:noHBand="0" w:noVBand="1"/>
      </w:tblPr>
      <w:tblGrid>
        <w:gridCol w:w="880"/>
        <w:gridCol w:w="760"/>
        <w:gridCol w:w="760"/>
        <w:gridCol w:w="760"/>
        <w:gridCol w:w="760"/>
        <w:gridCol w:w="760"/>
        <w:gridCol w:w="760"/>
        <w:gridCol w:w="760"/>
        <w:gridCol w:w="760"/>
        <w:gridCol w:w="760"/>
        <w:gridCol w:w="760"/>
        <w:gridCol w:w="760"/>
        <w:gridCol w:w="760"/>
        <w:gridCol w:w="760"/>
        <w:gridCol w:w="760"/>
        <w:gridCol w:w="820"/>
        <w:gridCol w:w="1220"/>
      </w:tblGrid>
      <w:tr w:rsidR="004F44A8" w:rsidRPr="004F44A8" w14:paraId="543EFB2E" w14:textId="77777777" w:rsidTr="00C735D2">
        <w:trPr>
          <w:trHeight w:val="465"/>
        </w:trPr>
        <w:tc>
          <w:tcPr>
            <w:tcW w:w="880" w:type="dxa"/>
            <w:tcBorders>
              <w:top w:val="single" w:sz="8" w:space="0" w:color="auto"/>
              <w:left w:val="single" w:sz="8" w:space="0" w:color="auto"/>
              <w:bottom w:val="single" w:sz="8" w:space="0" w:color="auto"/>
              <w:right w:val="single" w:sz="4" w:space="0" w:color="auto"/>
            </w:tcBorders>
            <w:shd w:val="clear" w:color="000000" w:fill="D9D9D9"/>
            <w:vAlign w:val="center"/>
            <w:hideMark/>
          </w:tcPr>
          <w:p w14:paraId="7E26D275"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Cod masura</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3264BD47"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2022</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5DBE207D"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2023</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61F13120"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2024</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7CF69108"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2025</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1A26DC24"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2026</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5FD80AD9"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2027</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7E250264"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2028</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6CD9B52E"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2029</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7708937A"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2030</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1F0EB392"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2031</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120BB272"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2032</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65C9810D"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2033</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7E68AE0E"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2034</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10EA433A"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2035</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0621D088"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Cost masura</w:t>
            </w:r>
          </w:p>
        </w:tc>
        <w:tc>
          <w:tcPr>
            <w:tcW w:w="1220" w:type="dxa"/>
            <w:tcBorders>
              <w:top w:val="single" w:sz="8" w:space="0" w:color="auto"/>
              <w:left w:val="nil"/>
              <w:bottom w:val="single" w:sz="8" w:space="0" w:color="auto"/>
              <w:right w:val="single" w:sz="8" w:space="0" w:color="auto"/>
            </w:tcBorders>
            <w:shd w:val="clear" w:color="000000" w:fill="D9D9D9"/>
            <w:vAlign w:val="center"/>
            <w:hideMark/>
          </w:tcPr>
          <w:p w14:paraId="5A499752"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Surse de finantare</w:t>
            </w:r>
          </w:p>
        </w:tc>
      </w:tr>
      <w:tr w:rsidR="004F44A8" w:rsidRPr="004F44A8" w14:paraId="0F9EC025" w14:textId="77777777" w:rsidTr="00C735D2">
        <w:trPr>
          <w:trHeight w:val="525"/>
        </w:trPr>
        <w:tc>
          <w:tcPr>
            <w:tcW w:w="880" w:type="dxa"/>
            <w:tcBorders>
              <w:top w:val="nil"/>
              <w:left w:val="single" w:sz="8" w:space="0" w:color="auto"/>
              <w:bottom w:val="single" w:sz="4" w:space="0" w:color="auto"/>
              <w:right w:val="nil"/>
            </w:tcBorders>
            <w:shd w:val="clear" w:color="000000" w:fill="D9D9D9"/>
            <w:noWrap/>
            <w:vAlign w:val="center"/>
            <w:hideMark/>
          </w:tcPr>
          <w:p w14:paraId="0F36FE1D" w14:textId="77777777" w:rsidR="004F44A8" w:rsidRPr="004F44A8" w:rsidRDefault="004F44A8" w:rsidP="004F44A8">
            <w:pPr>
              <w:spacing w:after="0" w:line="240" w:lineRule="auto"/>
              <w:jc w:val="center"/>
              <w:rPr>
                <w:rFonts w:ascii="Arial" w:eastAsia="Times New Roman" w:hAnsi="Arial" w:cs="Arial"/>
                <w:sz w:val="20"/>
                <w:szCs w:val="20"/>
                <w:lang w:val="ro-RO" w:eastAsia="ro-RO"/>
              </w:rPr>
            </w:pPr>
            <w:r w:rsidRPr="004F44A8">
              <w:rPr>
                <w:rFonts w:ascii="Arial" w:eastAsia="Times New Roman" w:hAnsi="Arial" w:cs="Arial"/>
                <w:sz w:val="20"/>
                <w:szCs w:val="20"/>
                <w:lang w:val="ro-RO" w:eastAsia="ro-RO"/>
              </w:rPr>
              <w:t>IV.6</w:t>
            </w:r>
          </w:p>
        </w:tc>
        <w:tc>
          <w:tcPr>
            <w:tcW w:w="760" w:type="dxa"/>
            <w:tcBorders>
              <w:top w:val="nil"/>
              <w:left w:val="single" w:sz="8" w:space="0" w:color="auto"/>
              <w:bottom w:val="single" w:sz="4" w:space="0" w:color="auto"/>
              <w:right w:val="single" w:sz="4" w:space="0" w:color="auto"/>
            </w:tcBorders>
            <w:shd w:val="clear" w:color="000000" w:fill="FFFF00"/>
            <w:vAlign w:val="center"/>
            <w:hideMark/>
          </w:tcPr>
          <w:p w14:paraId="4BBF4F5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6</w:t>
            </w:r>
          </w:p>
        </w:tc>
        <w:tc>
          <w:tcPr>
            <w:tcW w:w="760" w:type="dxa"/>
            <w:tcBorders>
              <w:top w:val="nil"/>
              <w:left w:val="nil"/>
              <w:bottom w:val="single" w:sz="4" w:space="0" w:color="auto"/>
              <w:right w:val="single" w:sz="4" w:space="0" w:color="auto"/>
            </w:tcBorders>
            <w:shd w:val="clear" w:color="000000" w:fill="FFFF00"/>
            <w:vAlign w:val="center"/>
            <w:hideMark/>
          </w:tcPr>
          <w:p w14:paraId="0552936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w:t>
            </w:r>
          </w:p>
        </w:tc>
        <w:tc>
          <w:tcPr>
            <w:tcW w:w="760" w:type="dxa"/>
            <w:tcBorders>
              <w:top w:val="nil"/>
              <w:left w:val="nil"/>
              <w:bottom w:val="single" w:sz="4" w:space="0" w:color="auto"/>
              <w:right w:val="single" w:sz="4" w:space="0" w:color="auto"/>
            </w:tcBorders>
            <w:shd w:val="clear" w:color="000000" w:fill="FFFF00"/>
            <w:vAlign w:val="center"/>
            <w:hideMark/>
          </w:tcPr>
          <w:p w14:paraId="4BEE442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35</w:t>
            </w:r>
          </w:p>
        </w:tc>
        <w:tc>
          <w:tcPr>
            <w:tcW w:w="760" w:type="dxa"/>
            <w:tcBorders>
              <w:top w:val="nil"/>
              <w:left w:val="nil"/>
              <w:bottom w:val="single" w:sz="4" w:space="0" w:color="auto"/>
              <w:right w:val="single" w:sz="4" w:space="0" w:color="auto"/>
            </w:tcBorders>
            <w:shd w:val="clear" w:color="000000" w:fill="FFFF00"/>
            <w:vAlign w:val="center"/>
            <w:hideMark/>
          </w:tcPr>
          <w:p w14:paraId="0EB9E65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35</w:t>
            </w:r>
          </w:p>
        </w:tc>
        <w:tc>
          <w:tcPr>
            <w:tcW w:w="760" w:type="dxa"/>
            <w:tcBorders>
              <w:top w:val="nil"/>
              <w:left w:val="nil"/>
              <w:bottom w:val="single" w:sz="4" w:space="0" w:color="auto"/>
              <w:right w:val="single" w:sz="4" w:space="0" w:color="auto"/>
            </w:tcBorders>
            <w:shd w:val="clear" w:color="auto" w:fill="auto"/>
            <w:vAlign w:val="center"/>
            <w:hideMark/>
          </w:tcPr>
          <w:p w14:paraId="0CC72ED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05DAD2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34C874F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93C836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718A8F9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BB3670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C8442F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90B072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171F41A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2527A57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7D03F70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86</w:t>
            </w:r>
          </w:p>
        </w:tc>
        <w:tc>
          <w:tcPr>
            <w:tcW w:w="1220" w:type="dxa"/>
            <w:tcBorders>
              <w:top w:val="nil"/>
              <w:left w:val="nil"/>
              <w:bottom w:val="single" w:sz="4" w:space="0" w:color="auto"/>
              <w:right w:val="single" w:sz="8" w:space="0" w:color="auto"/>
            </w:tcBorders>
            <w:shd w:val="clear" w:color="000000" w:fill="D9D9D9"/>
            <w:vAlign w:val="center"/>
            <w:hideMark/>
          </w:tcPr>
          <w:p w14:paraId="1C29EE1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2956B2AE"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583E073C" w14:textId="77777777" w:rsidR="004F44A8" w:rsidRPr="004F44A8" w:rsidRDefault="004F44A8" w:rsidP="004F44A8">
            <w:pPr>
              <w:spacing w:after="0" w:line="240" w:lineRule="auto"/>
              <w:jc w:val="center"/>
              <w:rPr>
                <w:rFonts w:ascii="Arial" w:eastAsia="Times New Roman" w:hAnsi="Arial" w:cs="Arial"/>
                <w:sz w:val="20"/>
                <w:szCs w:val="20"/>
                <w:lang w:val="ro-RO" w:eastAsia="ro-RO"/>
              </w:rPr>
            </w:pPr>
            <w:r w:rsidRPr="004F44A8">
              <w:rPr>
                <w:rFonts w:ascii="Arial" w:eastAsia="Times New Roman" w:hAnsi="Arial" w:cs="Arial"/>
                <w:sz w:val="20"/>
                <w:szCs w:val="20"/>
                <w:lang w:val="ro-RO" w:eastAsia="ro-RO"/>
              </w:rPr>
              <w:t>V.3</w:t>
            </w:r>
          </w:p>
        </w:tc>
        <w:tc>
          <w:tcPr>
            <w:tcW w:w="760" w:type="dxa"/>
            <w:tcBorders>
              <w:top w:val="nil"/>
              <w:left w:val="single" w:sz="8" w:space="0" w:color="auto"/>
              <w:bottom w:val="single" w:sz="4" w:space="0" w:color="auto"/>
              <w:right w:val="single" w:sz="4" w:space="0" w:color="auto"/>
            </w:tcBorders>
            <w:shd w:val="clear" w:color="auto" w:fill="auto"/>
            <w:vAlign w:val="center"/>
            <w:hideMark/>
          </w:tcPr>
          <w:p w14:paraId="5EA860B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7C921C3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C5294B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71F5B9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9096B0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295C983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048E65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7B9D92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vAlign w:val="center"/>
            <w:hideMark/>
          </w:tcPr>
          <w:p w14:paraId="5FCC411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39EA420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AF51B7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82B217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9AF6A2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2987720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4C2DF13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0</w:t>
            </w:r>
          </w:p>
        </w:tc>
        <w:tc>
          <w:tcPr>
            <w:tcW w:w="1220" w:type="dxa"/>
            <w:tcBorders>
              <w:top w:val="nil"/>
              <w:left w:val="nil"/>
              <w:bottom w:val="single" w:sz="4" w:space="0" w:color="auto"/>
              <w:right w:val="single" w:sz="8" w:space="0" w:color="auto"/>
            </w:tcBorders>
            <w:shd w:val="clear" w:color="000000" w:fill="D9D9D9"/>
            <w:vAlign w:val="center"/>
            <w:hideMark/>
          </w:tcPr>
          <w:p w14:paraId="198BF58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w:t>
            </w:r>
          </w:p>
        </w:tc>
      </w:tr>
      <w:tr w:rsidR="004F44A8" w:rsidRPr="004F44A8" w14:paraId="553D32ED" w14:textId="77777777" w:rsidTr="00C735D2">
        <w:trPr>
          <w:trHeight w:val="540"/>
        </w:trPr>
        <w:tc>
          <w:tcPr>
            <w:tcW w:w="880" w:type="dxa"/>
            <w:tcBorders>
              <w:top w:val="nil"/>
              <w:left w:val="single" w:sz="8" w:space="0" w:color="auto"/>
              <w:bottom w:val="single" w:sz="4" w:space="0" w:color="auto"/>
              <w:right w:val="nil"/>
            </w:tcBorders>
            <w:shd w:val="clear" w:color="000000" w:fill="D9D9D9"/>
            <w:noWrap/>
            <w:vAlign w:val="center"/>
            <w:hideMark/>
          </w:tcPr>
          <w:p w14:paraId="7E117BFF" w14:textId="77777777" w:rsidR="004F44A8" w:rsidRPr="004F44A8" w:rsidRDefault="004F44A8" w:rsidP="004F44A8">
            <w:pPr>
              <w:spacing w:after="0" w:line="240" w:lineRule="auto"/>
              <w:jc w:val="center"/>
              <w:rPr>
                <w:rFonts w:ascii="Arial" w:eastAsia="Times New Roman" w:hAnsi="Arial" w:cs="Arial"/>
                <w:sz w:val="20"/>
                <w:szCs w:val="20"/>
                <w:lang w:val="ro-RO" w:eastAsia="ro-RO"/>
              </w:rPr>
            </w:pPr>
            <w:r w:rsidRPr="004F44A8">
              <w:rPr>
                <w:rFonts w:ascii="Arial" w:eastAsia="Times New Roman" w:hAnsi="Arial" w:cs="Arial"/>
                <w:sz w:val="20"/>
                <w:szCs w:val="20"/>
                <w:lang w:val="ro-RO" w:eastAsia="ro-RO"/>
              </w:rPr>
              <w:t>IV.1</w:t>
            </w:r>
          </w:p>
        </w:tc>
        <w:tc>
          <w:tcPr>
            <w:tcW w:w="760" w:type="dxa"/>
            <w:tcBorders>
              <w:top w:val="nil"/>
              <w:left w:val="single" w:sz="8" w:space="0" w:color="auto"/>
              <w:bottom w:val="single" w:sz="4" w:space="0" w:color="auto"/>
              <w:right w:val="single" w:sz="4" w:space="0" w:color="auto"/>
            </w:tcBorders>
            <w:shd w:val="clear" w:color="000000" w:fill="FFFF00"/>
            <w:vAlign w:val="center"/>
            <w:hideMark/>
          </w:tcPr>
          <w:p w14:paraId="7FCEEE1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760" w:type="dxa"/>
            <w:tcBorders>
              <w:top w:val="nil"/>
              <w:left w:val="nil"/>
              <w:bottom w:val="single" w:sz="4" w:space="0" w:color="auto"/>
              <w:right w:val="single" w:sz="4" w:space="0" w:color="auto"/>
            </w:tcBorders>
            <w:shd w:val="clear" w:color="000000" w:fill="FFFF00"/>
            <w:vAlign w:val="center"/>
            <w:hideMark/>
          </w:tcPr>
          <w:p w14:paraId="40906CA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760" w:type="dxa"/>
            <w:tcBorders>
              <w:top w:val="nil"/>
              <w:left w:val="nil"/>
              <w:bottom w:val="single" w:sz="4" w:space="0" w:color="auto"/>
              <w:right w:val="single" w:sz="4" w:space="0" w:color="auto"/>
            </w:tcBorders>
            <w:shd w:val="clear" w:color="000000" w:fill="FFFF00"/>
            <w:vAlign w:val="center"/>
            <w:hideMark/>
          </w:tcPr>
          <w:p w14:paraId="7FA41D9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200</w:t>
            </w:r>
          </w:p>
        </w:tc>
        <w:tc>
          <w:tcPr>
            <w:tcW w:w="760" w:type="dxa"/>
            <w:tcBorders>
              <w:top w:val="nil"/>
              <w:left w:val="nil"/>
              <w:bottom w:val="single" w:sz="4" w:space="0" w:color="auto"/>
              <w:right w:val="single" w:sz="4" w:space="0" w:color="auto"/>
            </w:tcBorders>
            <w:shd w:val="clear" w:color="000000" w:fill="FFFF00"/>
            <w:vAlign w:val="center"/>
            <w:hideMark/>
          </w:tcPr>
          <w:p w14:paraId="561070D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200</w:t>
            </w:r>
          </w:p>
        </w:tc>
        <w:tc>
          <w:tcPr>
            <w:tcW w:w="760" w:type="dxa"/>
            <w:tcBorders>
              <w:top w:val="nil"/>
              <w:left w:val="nil"/>
              <w:bottom w:val="single" w:sz="4" w:space="0" w:color="auto"/>
              <w:right w:val="single" w:sz="4" w:space="0" w:color="auto"/>
            </w:tcBorders>
            <w:shd w:val="clear" w:color="000000" w:fill="FFFF00"/>
            <w:vAlign w:val="center"/>
            <w:hideMark/>
          </w:tcPr>
          <w:p w14:paraId="4FC6B8E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200</w:t>
            </w:r>
          </w:p>
        </w:tc>
        <w:tc>
          <w:tcPr>
            <w:tcW w:w="760" w:type="dxa"/>
            <w:tcBorders>
              <w:top w:val="nil"/>
              <w:left w:val="nil"/>
              <w:bottom w:val="single" w:sz="4" w:space="0" w:color="auto"/>
              <w:right w:val="single" w:sz="4" w:space="0" w:color="auto"/>
            </w:tcBorders>
            <w:shd w:val="clear" w:color="000000" w:fill="FFFF00"/>
            <w:vAlign w:val="center"/>
            <w:hideMark/>
          </w:tcPr>
          <w:p w14:paraId="15B0885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130</w:t>
            </w:r>
          </w:p>
        </w:tc>
        <w:tc>
          <w:tcPr>
            <w:tcW w:w="760" w:type="dxa"/>
            <w:tcBorders>
              <w:top w:val="nil"/>
              <w:left w:val="nil"/>
              <w:bottom w:val="single" w:sz="4" w:space="0" w:color="auto"/>
              <w:right w:val="single" w:sz="4" w:space="0" w:color="auto"/>
            </w:tcBorders>
            <w:shd w:val="clear" w:color="auto" w:fill="auto"/>
            <w:vAlign w:val="center"/>
            <w:hideMark/>
          </w:tcPr>
          <w:p w14:paraId="306AD58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D8DB1A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FE4E37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AF7A5A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99B95F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10D526C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C3E934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7A456C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26A2815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830</w:t>
            </w:r>
          </w:p>
        </w:tc>
        <w:tc>
          <w:tcPr>
            <w:tcW w:w="1220" w:type="dxa"/>
            <w:tcBorders>
              <w:top w:val="nil"/>
              <w:left w:val="nil"/>
              <w:bottom w:val="single" w:sz="4" w:space="0" w:color="auto"/>
              <w:right w:val="single" w:sz="8" w:space="0" w:color="auto"/>
            </w:tcBorders>
            <w:shd w:val="clear" w:color="000000" w:fill="D9D9D9"/>
            <w:vAlign w:val="center"/>
            <w:hideMark/>
          </w:tcPr>
          <w:p w14:paraId="4348A70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03013AA8" w14:textId="77777777" w:rsidTr="00C735D2">
        <w:trPr>
          <w:trHeight w:val="900"/>
        </w:trPr>
        <w:tc>
          <w:tcPr>
            <w:tcW w:w="880" w:type="dxa"/>
            <w:tcBorders>
              <w:top w:val="nil"/>
              <w:left w:val="single" w:sz="8" w:space="0" w:color="auto"/>
              <w:bottom w:val="single" w:sz="4" w:space="0" w:color="auto"/>
              <w:right w:val="nil"/>
            </w:tcBorders>
            <w:shd w:val="clear" w:color="000000" w:fill="D9D9D9"/>
            <w:noWrap/>
            <w:vAlign w:val="center"/>
            <w:hideMark/>
          </w:tcPr>
          <w:p w14:paraId="27D79773" w14:textId="77777777" w:rsidR="004F44A8" w:rsidRPr="004F44A8" w:rsidRDefault="004F44A8" w:rsidP="004F44A8">
            <w:pPr>
              <w:spacing w:after="0" w:line="240" w:lineRule="auto"/>
              <w:jc w:val="center"/>
              <w:rPr>
                <w:rFonts w:ascii="Arial" w:eastAsia="Times New Roman" w:hAnsi="Arial" w:cs="Arial"/>
                <w:sz w:val="20"/>
                <w:szCs w:val="20"/>
                <w:lang w:val="ro-RO" w:eastAsia="ro-RO"/>
              </w:rPr>
            </w:pPr>
            <w:r w:rsidRPr="004F44A8">
              <w:rPr>
                <w:rFonts w:ascii="Arial" w:eastAsia="Times New Roman" w:hAnsi="Arial" w:cs="Arial"/>
                <w:sz w:val="20"/>
                <w:szCs w:val="20"/>
                <w:lang w:val="ro-RO" w:eastAsia="ro-RO"/>
              </w:rPr>
              <w:t>IX.2</w:t>
            </w:r>
          </w:p>
        </w:tc>
        <w:tc>
          <w:tcPr>
            <w:tcW w:w="760" w:type="dxa"/>
            <w:tcBorders>
              <w:top w:val="nil"/>
              <w:left w:val="single" w:sz="8" w:space="0" w:color="auto"/>
              <w:bottom w:val="single" w:sz="4" w:space="0" w:color="auto"/>
              <w:right w:val="single" w:sz="4" w:space="0" w:color="auto"/>
            </w:tcBorders>
            <w:shd w:val="clear" w:color="000000" w:fill="FFFF00"/>
            <w:vAlign w:val="center"/>
            <w:hideMark/>
          </w:tcPr>
          <w:p w14:paraId="14D9D91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400</w:t>
            </w:r>
          </w:p>
        </w:tc>
        <w:tc>
          <w:tcPr>
            <w:tcW w:w="760" w:type="dxa"/>
            <w:tcBorders>
              <w:top w:val="nil"/>
              <w:left w:val="nil"/>
              <w:bottom w:val="single" w:sz="4" w:space="0" w:color="auto"/>
              <w:right w:val="single" w:sz="4" w:space="0" w:color="auto"/>
            </w:tcBorders>
            <w:shd w:val="clear" w:color="000000" w:fill="FFFF00"/>
            <w:vAlign w:val="center"/>
            <w:hideMark/>
          </w:tcPr>
          <w:p w14:paraId="046A17A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1000</w:t>
            </w:r>
          </w:p>
        </w:tc>
        <w:tc>
          <w:tcPr>
            <w:tcW w:w="760" w:type="dxa"/>
            <w:tcBorders>
              <w:top w:val="nil"/>
              <w:left w:val="nil"/>
              <w:bottom w:val="single" w:sz="4" w:space="0" w:color="auto"/>
              <w:right w:val="single" w:sz="4" w:space="0" w:color="auto"/>
            </w:tcBorders>
            <w:shd w:val="clear" w:color="000000" w:fill="FFFF00"/>
            <w:vAlign w:val="center"/>
            <w:hideMark/>
          </w:tcPr>
          <w:p w14:paraId="751B3D4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4000</w:t>
            </w:r>
          </w:p>
        </w:tc>
        <w:tc>
          <w:tcPr>
            <w:tcW w:w="760" w:type="dxa"/>
            <w:tcBorders>
              <w:top w:val="nil"/>
              <w:left w:val="nil"/>
              <w:bottom w:val="single" w:sz="4" w:space="0" w:color="auto"/>
              <w:right w:val="single" w:sz="4" w:space="0" w:color="auto"/>
            </w:tcBorders>
            <w:shd w:val="clear" w:color="000000" w:fill="FFFF00"/>
            <w:vAlign w:val="center"/>
            <w:hideMark/>
          </w:tcPr>
          <w:p w14:paraId="3109FF0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4000</w:t>
            </w:r>
          </w:p>
        </w:tc>
        <w:tc>
          <w:tcPr>
            <w:tcW w:w="760" w:type="dxa"/>
            <w:tcBorders>
              <w:top w:val="nil"/>
              <w:left w:val="nil"/>
              <w:bottom w:val="single" w:sz="4" w:space="0" w:color="auto"/>
              <w:right w:val="single" w:sz="4" w:space="0" w:color="auto"/>
            </w:tcBorders>
            <w:shd w:val="clear" w:color="000000" w:fill="FFFF00"/>
            <w:vAlign w:val="center"/>
            <w:hideMark/>
          </w:tcPr>
          <w:p w14:paraId="678927F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4000</w:t>
            </w:r>
          </w:p>
        </w:tc>
        <w:tc>
          <w:tcPr>
            <w:tcW w:w="760" w:type="dxa"/>
            <w:tcBorders>
              <w:top w:val="nil"/>
              <w:left w:val="nil"/>
              <w:bottom w:val="single" w:sz="4" w:space="0" w:color="auto"/>
              <w:right w:val="single" w:sz="4" w:space="0" w:color="auto"/>
            </w:tcBorders>
            <w:shd w:val="clear" w:color="000000" w:fill="FFFF00"/>
            <w:vAlign w:val="center"/>
            <w:hideMark/>
          </w:tcPr>
          <w:p w14:paraId="13CF6E6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1000</w:t>
            </w:r>
          </w:p>
        </w:tc>
        <w:tc>
          <w:tcPr>
            <w:tcW w:w="760" w:type="dxa"/>
            <w:tcBorders>
              <w:top w:val="nil"/>
              <w:left w:val="nil"/>
              <w:bottom w:val="single" w:sz="4" w:space="0" w:color="auto"/>
              <w:right w:val="single" w:sz="4" w:space="0" w:color="auto"/>
            </w:tcBorders>
            <w:shd w:val="clear" w:color="auto" w:fill="auto"/>
            <w:vAlign w:val="center"/>
            <w:hideMark/>
          </w:tcPr>
          <w:p w14:paraId="17CB0AF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37032E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25E3A0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3E45A5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7A6B4A0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103906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0C7E9E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10643F8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70E4B98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14400</w:t>
            </w:r>
          </w:p>
        </w:tc>
        <w:tc>
          <w:tcPr>
            <w:tcW w:w="1220" w:type="dxa"/>
            <w:tcBorders>
              <w:top w:val="nil"/>
              <w:left w:val="nil"/>
              <w:bottom w:val="single" w:sz="4" w:space="0" w:color="auto"/>
              <w:right w:val="single" w:sz="8" w:space="0" w:color="auto"/>
            </w:tcBorders>
            <w:shd w:val="clear" w:color="000000" w:fill="D9D9D9"/>
            <w:vAlign w:val="center"/>
            <w:hideMark/>
          </w:tcPr>
          <w:p w14:paraId="11AF093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PNDL       Fonduri europene Buget local</w:t>
            </w:r>
          </w:p>
        </w:tc>
      </w:tr>
      <w:tr w:rsidR="004F44A8" w:rsidRPr="004F44A8" w14:paraId="5144B71B" w14:textId="77777777" w:rsidTr="00C735D2">
        <w:trPr>
          <w:trHeight w:val="675"/>
        </w:trPr>
        <w:tc>
          <w:tcPr>
            <w:tcW w:w="880" w:type="dxa"/>
            <w:tcBorders>
              <w:top w:val="nil"/>
              <w:left w:val="single" w:sz="8" w:space="0" w:color="auto"/>
              <w:bottom w:val="single" w:sz="4" w:space="0" w:color="auto"/>
              <w:right w:val="nil"/>
            </w:tcBorders>
            <w:shd w:val="clear" w:color="000000" w:fill="D9D9D9"/>
            <w:noWrap/>
            <w:vAlign w:val="center"/>
            <w:hideMark/>
          </w:tcPr>
          <w:p w14:paraId="6133F0EF" w14:textId="77777777" w:rsidR="004F44A8" w:rsidRPr="004F44A8" w:rsidRDefault="004F44A8" w:rsidP="004F44A8">
            <w:pPr>
              <w:spacing w:after="0" w:line="240" w:lineRule="auto"/>
              <w:jc w:val="center"/>
              <w:rPr>
                <w:rFonts w:ascii="Arial" w:eastAsia="Times New Roman" w:hAnsi="Arial" w:cs="Arial"/>
                <w:sz w:val="20"/>
                <w:szCs w:val="20"/>
                <w:lang w:val="ro-RO" w:eastAsia="ro-RO"/>
              </w:rPr>
            </w:pPr>
            <w:r w:rsidRPr="004F44A8">
              <w:rPr>
                <w:rFonts w:ascii="Arial" w:eastAsia="Times New Roman" w:hAnsi="Arial" w:cs="Arial"/>
                <w:sz w:val="20"/>
                <w:szCs w:val="20"/>
                <w:lang w:val="ro-RO" w:eastAsia="ro-RO"/>
              </w:rPr>
              <w:t>VII.4</w:t>
            </w:r>
          </w:p>
        </w:tc>
        <w:tc>
          <w:tcPr>
            <w:tcW w:w="760" w:type="dxa"/>
            <w:tcBorders>
              <w:top w:val="nil"/>
              <w:left w:val="single" w:sz="8" w:space="0" w:color="auto"/>
              <w:bottom w:val="single" w:sz="4" w:space="0" w:color="auto"/>
              <w:right w:val="single" w:sz="4" w:space="0" w:color="auto"/>
            </w:tcBorders>
            <w:shd w:val="clear" w:color="auto" w:fill="auto"/>
            <w:vAlign w:val="center"/>
            <w:hideMark/>
          </w:tcPr>
          <w:p w14:paraId="20AED99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EDF563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8FC6C2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6CEEAA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B0D604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2B34ADC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vAlign w:val="center"/>
            <w:hideMark/>
          </w:tcPr>
          <w:p w14:paraId="1EFADD5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500</w:t>
            </w:r>
          </w:p>
        </w:tc>
        <w:tc>
          <w:tcPr>
            <w:tcW w:w="760" w:type="dxa"/>
            <w:tcBorders>
              <w:top w:val="nil"/>
              <w:left w:val="nil"/>
              <w:bottom w:val="single" w:sz="4" w:space="0" w:color="auto"/>
              <w:right w:val="single" w:sz="4" w:space="0" w:color="auto"/>
            </w:tcBorders>
            <w:shd w:val="clear" w:color="000000" w:fill="FFFF00"/>
            <w:vAlign w:val="center"/>
            <w:hideMark/>
          </w:tcPr>
          <w:p w14:paraId="190B3C9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500</w:t>
            </w:r>
          </w:p>
        </w:tc>
        <w:tc>
          <w:tcPr>
            <w:tcW w:w="760" w:type="dxa"/>
            <w:tcBorders>
              <w:top w:val="nil"/>
              <w:left w:val="nil"/>
              <w:bottom w:val="single" w:sz="4" w:space="0" w:color="auto"/>
              <w:right w:val="single" w:sz="4" w:space="0" w:color="auto"/>
            </w:tcBorders>
            <w:shd w:val="clear" w:color="auto" w:fill="auto"/>
            <w:vAlign w:val="center"/>
            <w:hideMark/>
          </w:tcPr>
          <w:p w14:paraId="5F200D5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BADEF4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AC10A4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2AB401F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6BC0EB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78E305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74E2597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1000</w:t>
            </w:r>
          </w:p>
        </w:tc>
        <w:tc>
          <w:tcPr>
            <w:tcW w:w="1220" w:type="dxa"/>
            <w:tcBorders>
              <w:top w:val="nil"/>
              <w:left w:val="nil"/>
              <w:bottom w:val="single" w:sz="4" w:space="0" w:color="auto"/>
              <w:right w:val="single" w:sz="8" w:space="0" w:color="auto"/>
            </w:tcBorders>
            <w:shd w:val="clear" w:color="000000" w:fill="D9D9D9"/>
            <w:vAlign w:val="center"/>
            <w:hideMark/>
          </w:tcPr>
          <w:p w14:paraId="2A8F29D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Fonduri europene Buget local</w:t>
            </w:r>
          </w:p>
        </w:tc>
      </w:tr>
      <w:tr w:rsidR="004F44A8" w:rsidRPr="004F44A8" w14:paraId="4ACA1D6F"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543161C5" w14:textId="77777777" w:rsidR="004F44A8" w:rsidRPr="004F44A8" w:rsidRDefault="004F44A8" w:rsidP="004F44A8">
            <w:pPr>
              <w:spacing w:after="0" w:line="240" w:lineRule="auto"/>
              <w:jc w:val="center"/>
              <w:rPr>
                <w:rFonts w:ascii="Arial" w:eastAsia="Times New Roman" w:hAnsi="Arial" w:cs="Arial"/>
                <w:sz w:val="20"/>
                <w:szCs w:val="20"/>
                <w:lang w:val="ro-RO" w:eastAsia="ro-RO"/>
              </w:rPr>
            </w:pPr>
            <w:r w:rsidRPr="004F44A8">
              <w:rPr>
                <w:rFonts w:ascii="Arial" w:eastAsia="Times New Roman" w:hAnsi="Arial" w:cs="Arial"/>
                <w:sz w:val="20"/>
                <w:szCs w:val="20"/>
                <w:lang w:val="ro-RO" w:eastAsia="ro-RO"/>
              </w:rPr>
              <w:t>IX.3</w:t>
            </w:r>
          </w:p>
        </w:tc>
        <w:tc>
          <w:tcPr>
            <w:tcW w:w="760" w:type="dxa"/>
            <w:tcBorders>
              <w:top w:val="nil"/>
              <w:left w:val="single" w:sz="8" w:space="0" w:color="auto"/>
              <w:bottom w:val="single" w:sz="4" w:space="0" w:color="auto"/>
              <w:right w:val="single" w:sz="4" w:space="0" w:color="auto"/>
            </w:tcBorders>
            <w:shd w:val="clear" w:color="auto" w:fill="auto"/>
            <w:vAlign w:val="center"/>
            <w:hideMark/>
          </w:tcPr>
          <w:p w14:paraId="0580B00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vAlign w:val="center"/>
            <w:hideMark/>
          </w:tcPr>
          <w:p w14:paraId="34EE319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300</w:t>
            </w:r>
          </w:p>
        </w:tc>
        <w:tc>
          <w:tcPr>
            <w:tcW w:w="760" w:type="dxa"/>
            <w:tcBorders>
              <w:top w:val="nil"/>
              <w:left w:val="nil"/>
              <w:bottom w:val="single" w:sz="4" w:space="0" w:color="auto"/>
              <w:right w:val="single" w:sz="4" w:space="0" w:color="auto"/>
            </w:tcBorders>
            <w:shd w:val="clear" w:color="000000" w:fill="FFFF00"/>
            <w:vAlign w:val="center"/>
            <w:hideMark/>
          </w:tcPr>
          <w:p w14:paraId="30F081E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300</w:t>
            </w:r>
          </w:p>
        </w:tc>
        <w:tc>
          <w:tcPr>
            <w:tcW w:w="760" w:type="dxa"/>
            <w:tcBorders>
              <w:top w:val="nil"/>
              <w:left w:val="nil"/>
              <w:bottom w:val="single" w:sz="4" w:space="0" w:color="auto"/>
              <w:right w:val="single" w:sz="4" w:space="0" w:color="auto"/>
            </w:tcBorders>
            <w:shd w:val="clear" w:color="000000" w:fill="FFFF00"/>
            <w:vAlign w:val="center"/>
            <w:hideMark/>
          </w:tcPr>
          <w:p w14:paraId="15B39EC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300</w:t>
            </w:r>
          </w:p>
        </w:tc>
        <w:tc>
          <w:tcPr>
            <w:tcW w:w="760" w:type="dxa"/>
            <w:tcBorders>
              <w:top w:val="nil"/>
              <w:left w:val="nil"/>
              <w:bottom w:val="single" w:sz="4" w:space="0" w:color="auto"/>
              <w:right w:val="single" w:sz="4" w:space="0" w:color="auto"/>
            </w:tcBorders>
            <w:shd w:val="clear" w:color="auto" w:fill="auto"/>
            <w:vAlign w:val="center"/>
            <w:hideMark/>
          </w:tcPr>
          <w:p w14:paraId="26DE424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37A19AC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4DBB76D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2BCC13C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4F2010D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1C33B80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727411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7F95F8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4D1C8A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7F0AB07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582189B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900</w:t>
            </w:r>
          </w:p>
        </w:tc>
        <w:tc>
          <w:tcPr>
            <w:tcW w:w="1220" w:type="dxa"/>
            <w:tcBorders>
              <w:top w:val="nil"/>
              <w:left w:val="nil"/>
              <w:bottom w:val="single" w:sz="4" w:space="0" w:color="auto"/>
              <w:right w:val="single" w:sz="8" w:space="0" w:color="auto"/>
            </w:tcBorders>
            <w:shd w:val="clear" w:color="000000" w:fill="D9D9D9"/>
            <w:vAlign w:val="center"/>
            <w:hideMark/>
          </w:tcPr>
          <w:p w14:paraId="19AE323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Buget local</w:t>
            </w:r>
          </w:p>
        </w:tc>
      </w:tr>
      <w:tr w:rsidR="004F44A8" w:rsidRPr="004F44A8" w14:paraId="471DD6DE"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46D80BE8" w14:textId="77777777" w:rsidR="004F44A8" w:rsidRPr="004F44A8" w:rsidRDefault="004F44A8" w:rsidP="004F44A8">
            <w:pPr>
              <w:spacing w:after="0" w:line="240" w:lineRule="auto"/>
              <w:jc w:val="center"/>
              <w:rPr>
                <w:rFonts w:ascii="Arial" w:eastAsia="Times New Roman" w:hAnsi="Arial" w:cs="Arial"/>
                <w:sz w:val="20"/>
                <w:szCs w:val="20"/>
                <w:lang w:val="ro-RO" w:eastAsia="ro-RO"/>
              </w:rPr>
            </w:pPr>
            <w:r w:rsidRPr="004F44A8">
              <w:rPr>
                <w:rFonts w:ascii="Arial" w:eastAsia="Times New Roman" w:hAnsi="Arial" w:cs="Arial"/>
                <w:sz w:val="20"/>
                <w:szCs w:val="20"/>
                <w:lang w:val="ro-RO" w:eastAsia="ro-RO"/>
              </w:rPr>
              <w:t>I.3</w:t>
            </w:r>
          </w:p>
        </w:tc>
        <w:tc>
          <w:tcPr>
            <w:tcW w:w="760" w:type="dxa"/>
            <w:tcBorders>
              <w:top w:val="nil"/>
              <w:left w:val="single" w:sz="8" w:space="0" w:color="auto"/>
              <w:bottom w:val="single" w:sz="4" w:space="0" w:color="auto"/>
              <w:right w:val="single" w:sz="4" w:space="0" w:color="auto"/>
            </w:tcBorders>
            <w:shd w:val="clear" w:color="000000" w:fill="FFFF00"/>
            <w:vAlign w:val="center"/>
            <w:hideMark/>
          </w:tcPr>
          <w:p w14:paraId="694DA24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257D70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EE057A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F90233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37A31A7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73B374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05C35AE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32843DA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163DACF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5721919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3DDC26F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41D010B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661E631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vAlign w:val="center"/>
            <w:hideMark/>
          </w:tcPr>
          <w:p w14:paraId="36CD74E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030A973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0</w:t>
            </w:r>
          </w:p>
        </w:tc>
        <w:tc>
          <w:tcPr>
            <w:tcW w:w="1220" w:type="dxa"/>
            <w:tcBorders>
              <w:top w:val="nil"/>
              <w:left w:val="nil"/>
              <w:bottom w:val="single" w:sz="4" w:space="0" w:color="auto"/>
              <w:right w:val="single" w:sz="8" w:space="0" w:color="auto"/>
            </w:tcBorders>
            <w:shd w:val="clear" w:color="000000" w:fill="D9D9D9"/>
            <w:vAlign w:val="center"/>
            <w:hideMark/>
          </w:tcPr>
          <w:p w14:paraId="4856DB0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w:t>
            </w:r>
          </w:p>
        </w:tc>
      </w:tr>
      <w:tr w:rsidR="004F44A8" w:rsidRPr="004F44A8" w14:paraId="02B401A5" w14:textId="77777777" w:rsidTr="00C735D2">
        <w:trPr>
          <w:trHeight w:val="495"/>
        </w:trPr>
        <w:tc>
          <w:tcPr>
            <w:tcW w:w="880" w:type="dxa"/>
            <w:tcBorders>
              <w:top w:val="nil"/>
              <w:left w:val="single" w:sz="8" w:space="0" w:color="auto"/>
              <w:bottom w:val="single" w:sz="4" w:space="0" w:color="auto"/>
              <w:right w:val="nil"/>
            </w:tcBorders>
            <w:shd w:val="clear" w:color="000000" w:fill="D9D9D9"/>
            <w:noWrap/>
            <w:vAlign w:val="center"/>
            <w:hideMark/>
          </w:tcPr>
          <w:p w14:paraId="5EC8D106" w14:textId="77777777" w:rsidR="004F44A8" w:rsidRPr="004F44A8" w:rsidRDefault="004F44A8" w:rsidP="004F44A8">
            <w:pPr>
              <w:spacing w:after="0" w:line="240" w:lineRule="auto"/>
              <w:jc w:val="center"/>
              <w:rPr>
                <w:rFonts w:ascii="Arial" w:eastAsia="Times New Roman" w:hAnsi="Arial" w:cs="Arial"/>
                <w:sz w:val="20"/>
                <w:szCs w:val="20"/>
                <w:lang w:val="ro-RO" w:eastAsia="ro-RO"/>
              </w:rPr>
            </w:pPr>
            <w:r w:rsidRPr="004F44A8">
              <w:rPr>
                <w:rFonts w:ascii="Arial" w:eastAsia="Times New Roman" w:hAnsi="Arial" w:cs="Arial"/>
                <w:sz w:val="20"/>
                <w:szCs w:val="20"/>
                <w:lang w:val="ro-RO" w:eastAsia="ro-RO"/>
              </w:rPr>
              <w:t>X.3</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907ACD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167FAAC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1200</w:t>
            </w:r>
          </w:p>
        </w:tc>
        <w:tc>
          <w:tcPr>
            <w:tcW w:w="760" w:type="dxa"/>
            <w:tcBorders>
              <w:top w:val="nil"/>
              <w:left w:val="nil"/>
              <w:bottom w:val="single" w:sz="4" w:space="0" w:color="auto"/>
              <w:right w:val="single" w:sz="4" w:space="0" w:color="auto"/>
            </w:tcBorders>
            <w:shd w:val="clear" w:color="000000" w:fill="FFFF00"/>
            <w:noWrap/>
            <w:vAlign w:val="center"/>
            <w:hideMark/>
          </w:tcPr>
          <w:p w14:paraId="3AC6430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900</w:t>
            </w:r>
          </w:p>
        </w:tc>
        <w:tc>
          <w:tcPr>
            <w:tcW w:w="760" w:type="dxa"/>
            <w:tcBorders>
              <w:top w:val="nil"/>
              <w:left w:val="nil"/>
              <w:bottom w:val="single" w:sz="4" w:space="0" w:color="auto"/>
              <w:right w:val="single" w:sz="4" w:space="0" w:color="auto"/>
            </w:tcBorders>
            <w:shd w:val="clear" w:color="auto" w:fill="auto"/>
            <w:noWrap/>
            <w:vAlign w:val="center"/>
            <w:hideMark/>
          </w:tcPr>
          <w:p w14:paraId="6305E44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413E40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A2048D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3967D6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F568FF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6DE00F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DD82F2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9964EE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65CC17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F75CC4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52A19B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4B29EA4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2100</w:t>
            </w:r>
          </w:p>
        </w:tc>
        <w:tc>
          <w:tcPr>
            <w:tcW w:w="1220" w:type="dxa"/>
            <w:tcBorders>
              <w:top w:val="nil"/>
              <w:left w:val="nil"/>
              <w:bottom w:val="single" w:sz="4" w:space="0" w:color="auto"/>
              <w:right w:val="single" w:sz="8" w:space="0" w:color="auto"/>
            </w:tcBorders>
            <w:shd w:val="clear" w:color="000000" w:fill="D9D9D9"/>
            <w:vAlign w:val="center"/>
            <w:hideMark/>
          </w:tcPr>
          <w:p w14:paraId="220DB3B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4949EF53"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4EAFD71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IX.1</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ADB06B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F9C786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0C4324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1C8C6D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4E81478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1000</w:t>
            </w:r>
          </w:p>
        </w:tc>
        <w:tc>
          <w:tcPr>
            <w:tcW w:w="760" w:type="dxa"/>
            <w:tcBorders>
              <w:top w:val="nil"/>
              <w:left w:val="nil"/>
              <w:bottom w:val="single" w:sz="4" w:space="0" w:color="auto"/>
              <w:right w:val="single" w:sz="4" w:space="0" w:color="auto"/>
            </w:tcBorders>
            <w:shd w:val="clear" w:color="000000" w:fill="FFFF00"/>
            <w:noWrap/>
            <w:vAlign w:val="center"/>
            <w:hideMark/>
          </w:tcPr>
          <w:p w14:paraId="50A0DD1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1000</w:t>
            </w:r>
          </w:p>
        </w:tc>
        <w:tc>
          <w:tcPr>
            <w:tcW w:w="760" w:type="dxa"/>
            <w:tcBorders>
              <w:top w:val="nil"/>
              <w:left w:val="nil"/>
              <w:bottom w:val="single" w:sz="4" w:space="0" w:color="auto"/>
              <w:right w:val="single" w:sz="4" w:space="0" w:color="auto"/>
            </w:tcBorders>
            <w:shd w:val="clear" w:color="000000" w:fill="FFFF00"/>
            <w:noWrap/>
            <w:vAlign w:val="center"/>
            <w:hideMark/>
          </w:tcPr>
          <w:p w14:paraId="464E317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2000</w:t>
            </w:r>
          </w:p>
        </w:tc>
        <w:tc>
          <w:tcPr>
            <w:tcW w:w="760" w:type="dxa"/>
            <w:tcBorders>
              <w:top w:val="nil"/>
              <w:left w:val="nil"/>
              <w:bottom w:val="single" w:sz="4" w:space="0" w:color="auto"/>
              <w:right w:val="single" w:sz="4" w:space="0" w:color="auto"/>
            </w:tcBorders>
            <w:shd w:val="clear" w:color="auto" w:fill="auto"/>
            <w:noWrap/>
            <w:vAlign w:val="center"/>
            <w:hideMark/>
          </w:tcPr>
          <w:p w14:paraId="40CC7CF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FE30EA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4B637B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D837A7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7FDCFB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F15967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A39180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3B5CDB5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4000</w:t>
            </w:r>
          </w:p>
        </w:tc>
        <w:tc>
          <w:tcPr>
            <w:tcW w:w="1220" w:type="dxa"/>
            <w:tcBorders>
              <w:top w:val="nil"/>
              <w:left w:val="nil"/>
              <w:bottom w:val="single" w:sz="4" w:space="0" w:color="auto"/>
              <w:right w:val="single" w:sz="8" w:space="0" w:color="auto"/>
            </w:tcBorders>
            <w:shd w:val="clear" w:color="000000" w:fill="D9D9D9"/>
            <w:noWrap/>
            <w:vAlign w:val="center"/>
            <w:hideMark/>
          </w:tcPr>
          <w:p w14:paraId="7457043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CNAIR</w:t>
            </w:r>
          </w:p>
        </w:tc>
      </w:tr>
      <w:tr w:rsidR="004F44A8" w:rsidRPr="004F44A8" w14:paraId="654D88F6"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346F1D4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X.7</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25C38D6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A157DD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58A7D6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2CF8898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5C15FC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6843DA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A3EA3E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023E75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C6F7E9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C58AD0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0F3435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F6AE08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234944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6293DB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27323C4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0</w:t>
            </w:r>
          </w:p>
        </w:tc>
        <w:tc>
          <w:tcPr>
            <w:tcW w:w="1220" w:type="dxa"/>
            <w:tcBorders>
              <w:top w:val="nil"/>
              <w:left w:val="nil"/>
              <w:bottom w:val="single" w:sz="4" w:space="0" w:color="auto"/>
              <w:right w:val="single" w:sz="8" w:space="0" w:color="auto"/>
            </w:tcBorders>
            <w:shd w:val="clear" w:color="000000" w:fill="D9D9D9"/>
            <w:noWrap/>
            <w:vAlign w:val="center"/>
            <w:hideMark/>
          </w:tcPr>
          <w:p w14:paraId="4D3E2CE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w:t>
            </w:r>
          </w:p>
        </w:tc>
      </w:tr>
      <w:tr w:rsidR="004F44A8" w:rsidRPr="004F44A8" w14:paraId="3B880D01" w14:textId="77777777" w:rsidTr="00C735D2">
        <w:trPr>
          <w:trHeight w:val="555"/>
        </w:trPr>
        <w:tc>
          <w:tcPr>
            <w:tcW w:w="880" w:type="dxa"/>
            <w:tcBorders>
              <w:top w:val="nil"/>
              <w:left w:val="single" w:sz="8" w:space="0" w:color="auto"/>
              <w:bottom w:val="single" w:sz="4" w:space="0" w:color="auto"/>
              <w:right w:val="nil"/>
            </w:tcBorders>
            <w:shd w:val="clear" w:color="000000" w:fill="D9D9D9"/>
            <w:noWrap/>
            <w:vAlign w:val="center"/>
            <w:hideMark/>
          </w:tcPr>
          <w:p w14:paraId="6A8C268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VII.1</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DAFB94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7962B7C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w:t>
            </w:r>
          </w:p>
        </w:tc>
        <w:tc>
          <w:tcPr>
            <w:tcW w:w="760" w:type="dxa"/>
            <w:tcBorders>
              <w:top w:val="nil"/>
              <w:left w:val="nil"/>
              <w:bottom w:val="single" w:sz="4" w:space="0" w:color="auto"/>
              <w:right w:val="single" w:sz="4" w:space="0" w:color="auto"/>
            </w:tcBorders>
            <w:shd w:val="clear" w:color="auto" w:fill="auto"/>
            <w:noWrap/>
            <w:vAlign w:val="center"/>
            <w:hideMark/>
          </w:tcPr>
          <w:p w14:paraId="5B30F38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FFA8E4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A3121A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9E4877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F2EAA5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C4A977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4A1765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146A83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EB075C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2A298A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2C60ED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3347F6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600939A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w:t>
            </w:r>
          </w:p>
        </w:tc>
        <w:tc>
          <w:tcPr>
            <w:tcW w:w="1220" w:type="dxa"/>
            <w:tcBorders>
              <w:top w:val="nil"/>
              <w:left w:val="nil"/>
              <w:bottom w:val="single" w:sz="4" w:space="0" w:color="auto"/>
              <w:right w:val="single" w:sz="8" w:space="0" w:color="auto"/>
            </w:tcBorders>
            <w:shd w:val="clear" w:color="000000" w:fill="D9D9D9"/>
            <w:vAlign w:val="center"/>
            <w:hideMark/>
          </w:tcPr>
          <w:p w14:paraId="5CF4EF2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6979F9BE"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6D67A4A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IX.4</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3C25350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7A6F04A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1012A21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5DFEB3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A4EBD8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9C987C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36AF62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971D84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F824EB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511B9A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40C6EA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BFE940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080A3D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21A086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5BC24CE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0</w:t>
            </w:r>
          </w:p>
        </w:tc>
        <w:tc>
          <w:tcPr>
            <w:tcW w:w="1220" w:type="dxa"/>
            <w:tcBorders>
              <w:top w:val="nil"/>
              <w:left w:val="nil"/>
              <w:bottom w:val="single" w:sz="4" w:space="0" w:color="auto"/>
              <w:right w:val="single" w:sz="8" w:space="0" w:color="auto"/>
            </w:tcBorders>
            <w:shd w:val="clear" w:color="000000" w:fill="D9D9D9"/>
            <w:noWrap/>
            <w:vAlign w:val="center"/>
            <w:hideMark/>
          </w:tcPr>
          <w:p w14:paraId="480E590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w:t>
            </w:r>
          </w:p>
        </w:tc>
      </w:tr>
      <w:tr w:rsidR="004F44A8" w:rsidRPr="004F44A8" w14:paraId="368C6012"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076EE19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X.1</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3D02E9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49882E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09E2407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7CFF4B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FEAED8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2A691C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B34762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6A5D31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29F1AA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CCE4CA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15FE0F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6470B7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E8FF85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4365A0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34296CA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0</w:t>
            </w:r>
          </w:p>
        </w:tc>
        <w:tc>
          <w:tcPr>
            <w:tcW w:w="1220" w:type="dxa"/>
            <w:tcBorders>
              <w:top w:val="nil"/>
              <w:left w:val="nil"/>
              <w:bottom w:val="single" w:sz="4" w:space="0" w:color="auto"/>
              <w:right w:val="single" w:sz="8" w:space="0" w:color="auto"/>
            </w:tcBorders>
            <w:shd w:val="clear" w:color="000000" w:fill="D9D9D9"/>
            <w:noWrap/>
            <w:vAlign w:val="center"/>
            <w:hideMark/>
          </w:tcPr>
          <w:p w14:paraId="343A2AE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w:t>
            </w:r>
          </w:p>
        </w:tc>
      </w:tr>
      <w:tr w:rsidR="004F44A8" w:rsidRPr="004F44A8" w14:paraId="3DA48229" w14:textId="77777777" w:rsidTr="00C735D2">
        <w:trPr>
          <w:trHeight w:val="525"/>
        </w:trPr>
        <w:tc>
          <w:tcPr>
            <w:tcW w:w="880" w:type="dxa"/>
            <w:tcBorders>
              <w:top w:val="nil"/>
              <w:left w:val="single" w:sz="8" w:space="0" w:color="auto"/>
              <w:bottom w:val="single" w:sz="4" w:space="0" w:color="auto"/>
              <w:right w:val="nil"/>
            </w:tcBorders>
            <w:shd w:val="clear" w:color="000000" w:fill="D9D9D9"/>
            <w:noWrap/>
            <w:vAlign w:val="center"/>
            <w:hideMark/>
          </w:tcPr>
          <w:p w14:paraId="424E53F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X.2</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1F7811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1F1F69A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1000</w:t>
            </w:r>
          </w:p>
        </w:tc>
        <w:tc>
          <w:tcPr>
            <w:tcW w:w="760" w:type="dxa"/>
            <w:tcBorders>
              <w:top w:val="nil"/>
              <w:left w:val="nil"/>
              <w:bottom w:val="single" w:sz="4" w:space="0" w:color="auto"/>
              <w:right w:val="single" w:sz="4" w:space="0" w:color="auto"/>
            </w:tcBorders>
            <w:shd w:val="clear" w:color="000000" w:fill="FFFF00"/>
            <w:noWrap/>
            <w:vAlign w:val="center"/>
            <w:hideMark/>
          </w:tcPr>
          <w:p w14:paraId="1325FF6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250</w:t>
            </w:r>
          </w:p>
        </w:tc>
        <w:tc>
          <w:tcPr>
            <w:tcW w:w="760" w:type="dxa"/>
            <w:tcBorders>
              <w:top w:val="nil"/>
              <w:left w:val="nil"/>
              <w:bottom w:val="single" w:sz="4" w:space="0" w:color="auto"/>
              <w:right w:val="single" w:sz="4" w:space="0" w:color="auto"/>
            </w:tcBorders>
            <w:shd w:val="clear" w:color="auto" w:fill="auto"/>
            <w:noWrap/>
            <w:vAlign w:val="center"/>
            <w:hideMark/>
          </w:tcPr>
          <w:p w14:paraId="33C38E9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042534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B82BB5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15ACB8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33E033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D0DDEF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82EC9D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6016A4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F583D8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73E36C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8C8EB2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7EF2161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1250</w:t>
            </w:r>
          </w:p>
        </w:tc>
        <w:tc>
          <w:tcPr>
            <w:tcW w:w="1220" w:type="dxa"/>
            <w:tcBorders>
              <w:top w:val="nil"/>
              <w:left w:val="nil"/>
              <w:bottom w:val="single" w:sz="4" w:space="0" w:color="auto"/>
              <w:right w:val="single" w:sz="8" w:space="0" w:color="auto"/>
            </w:tcBorders>
            <w:shd w:val="clear" w:color="000000" w:fill="D9D9D9"/>
            <w:vAlign w:val="center"/>
            <w:hideMark/>
          </w:tcPr>
          <w:p w14:paraId="2846C29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1C306CD2" w14:textId="77777777" w:rsidTr="00C735D2">
        <w:trPr>
          <w:trHeight w:val="570"/>
        </w:trPr>
        <w:tc>
          <w:tcPr>
            <w:tcW w:w="880" w:type="dxa"/>
            <w:tcBorders>
              <w:top w:val="nil"/>
              <w:left w:val="single" w:sz="8" w:space="0" w:color="auto"/>
              <w:bottom w:val="single" w:sz="4" w:space="0" w:color="auto"/>
              <w:right w:val="nil"/>
            </w:tcBorders>
            <w:shd w:val="clear" w:color="000000" w:fill="D9D9D9"/>
            <w:noWrap/>
            <w:vAlign w:val="center"/>
            <w:hideMark/>
          </w:tcPr>
          <w:p w14:paraId="6B222E2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IV.2</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952083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B1191F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6C19EA8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90</w:t>
            </w:r>
          </w:p>
        </w:tc>
        <w:tc>
          <w:tcPr>
            <w:tcW w:w="760" w:type="dxa"/>
            <w:tcBorders>
              <w:top w:val="nil"/>
              <w:left w:val="nil"/>
              <w:bottom w:val="single" w:sz="4" w:space="0" w:color="auto"/>
              <w:right w:val="single" w:sz="4" w:space="0" w:color="auto"/>
            </w:tcBorders>
            <w:shd w:val="clear" w:color="000000" w:fill="FFFF00"/>
            <w:noWrap/>
            <w:vAlign w:val="center"/>
            <w:hideMark/>
          </w:tcPr>
          <w:p w14:paraId="39480F0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90</w:t>
            </w:r>
          </w:p>
        </w:tc>
        <w:tc>
          <w:tcPr>
            <w:tcW w:w="760" w:type="dxa"/>
            <w:tcBorders>
              <w:top w:val="nil"/>
              <w:left w:val="nil"/>
              <w:bottom w:val="single" w:sz="4" w:space="0" w:color="auto"/>
              <w:right w:val="single" w:sz="4" w:space="0" w:color="auto"/>
            </w:tcBorders>
            <w:shd w:val="clear" w:color="auto" w:fill="auto"/>
            <w:noWrap/>
            <w:vAlign w:val="center"/>
            <w:hideMark/>
          </w:tcPr>
          <w:p w14:paraId="1C76018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625341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C4B477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F01919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A3B6D9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4E890A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9030D9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52E5F4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F09404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0F4448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75F4D8B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180</w:t>
            </w:r>
          </w:p>
        </w:tc>
        <w:tc>
          <w:tcPr>
            <w:tcW w:w="1220" w:type="dxa"/>
            <w:tcBorders>
              <w:top w:val="nil"/>
              <w:left w:val="nil"/>
              <w:bottom w:val="single" w:sz="4" w:space="0" w:color="auto"/>
              <w:right w:val="single" w:sz="8" w:space="0" w:color="auto"/>
            </w:tcBorders>
            <w:shd w:val="clear" w:color="000000" w:fill="D9D9D9"/>
            <w:vAlign w:val="center"/>
            <w:hideMark/>
          </w:tcPr>
          <w:p w14:paraId="4D2B964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43F475F8" w14:textId="77777777" w:rsidTr="00C735D2">
        <w:trPr>
          <w:trHeight w:val="525"/>
        </w:trPr>
        <w:tc>
          <w:tcPr>
            <w:tcW w:w="880" w:type="dxa"/>
            <w:tcBorders>
              <w:top w:val="nil"/>
              <w:left w:val="single" w:sz="8" w:space="0" w:color="auto"/>
              <w:bottom w:val="single" w:sz="4" w:space="0" w:color="auto"/>
              <w:right w:val="nil"/>
            </w:tcBorders>
            <w:shd w:val="clear" w:color="000000" w:fill="D9D9D9"/>
            <w:noWrap/>
            <w:vAlign w:val="center"/>
            <w:hideMark/>
          </w:tcPr>
          <w:p w14:paraId="08CB7E0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III.2</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1AE557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811934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54C6EA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03DD55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2F2D0D0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760" w:type="dxa"/>
            <w:tcBorders>
              <w:top w:val="nil"/>
              <w:left w:val="nil"/>
              <w:bottom w:val="single" w:sz="4" w:space="0" w:color="auto"/>
              <w:right w:val="single" w:sz="4" w:space="0" w:color="auto"/>
            </w:tcBorders>
            <w:shd w:val="clear" w:color="auto" w:fill="auto"/>
            <w:noWrap/>
            <w:vAlign w:val="center"/>
            <w:hideMark/>
          </w:tcPr>
          <w:p w14:paraId="6E5A349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59F62C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E9D973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EBE8C1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F11454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49B25A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F0083B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1C9A34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F88A8B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28BC4AF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1220" w:type="dxa"/>
            <w:tcBorders>
              <w:top w:val="nil"/>
              <w:left w:val="nil"/>
              <w:bottom w:val="single" w:sz="4" w:space="0" w:color="auto"/>
              <w:right w:val="single" w:sz="8" w:space="0" w:color="auto"/>
            </w:tcBorders>
            <w:shd w:val="clear" w:color="000000" w:fill="D9D9D9"/>
            <w:vAlign w:val="center"/>
            <w:hideMark/>
          </w:tcPr>
          <w:p w14:paraId="5A95E80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1DEA8451"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145E81D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VIII.5</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8A8BBC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4C396A0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45</w:t>
            </w:r>
          </w:p>
        </w:tc>
        <w:tc>
          <w:tcPr>
            <w:tcW w:w="760" w:type="dxa"/>
            <w:tcBorders>
              <w:top w:val="nil"/>
              <w:left w:val="nil"/>
              <w:bottom w:val="single" w:sz="4" w:space="0" w:color="auto"/>
              <w:right w:val="single" w:sz="4" w:space="0" w:color="auto"/>
            </w:tcBorders>
            <w:shd w:val="clear" w:color="000000" w:fill="FFFF00"/>
            <w:noWrap/>
            <w:vAlign w:val="center"/>
            <w:hideMark/>
          </w:tcPr>
          <w:p w14:paraId="51A4B3F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45</w:t>
            </w:r>
          </w:p>
        </w:tc>
        <w:tc>
          <w:tcPr>
            <w:tcW w:w="760" w:type="dxa"/>
            <w:tcBorders>
              <w:top w:val="nil"/>
              <w:left w:val="nil"/>
              <w:bottom w:val="single" w:sz="4" w:space="0" w:color="auto"/>
              <w:right w:val="single" w:sz="4" w:space="0" w:color="auto"/>
            </w:tcBorders>
            <w:shd w:val="clear" w:color="auto" w:fill="auto"/>
            <w:noWrap/>
            <w:vAlign w:val="center"/>
            <w:hideMark/>
          </w:tcPr>
          <w:p w14:paraId="369880B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38DD31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2E86D4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9B4242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EDC390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18465E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F456C9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56490E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E1723D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8C5CA1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6E7956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3D5C36B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90</w:t>
            </w:r>
          </w:p>
        </w:tc>
        <w:tc>
          <w:tcPr>
            <w:tcW w:w="1220" w:type="dxa"/>
            <w:tcBorders>
              <w:top w:val="nil"/>
              <w:left w:val="nil"/>
              <w:bottom w:val="single" w:sz="4" w:space="0" w:color="auto"/>
              <w:right w:val="single" w:sz="8" w:space="0" w:color="auto"/>
            </w:tcBorders>
            <w:shd w:val="clear" w:color="000000" w:fill="D9D9D9"/>
            <w:noWrap/>
            <w:vAlign w:val="center"/>
            <w:hideMark/>
          </w:tcPr>
          <w:p w14:paraId="15ACB6B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Buget local</w:t>
            </w:r>
          </w:p>
        </w:tc>
      </w:tr>
      <w:tr w:rsidR="004F44A8" w:rsidRPr="004F44A8" w14:paraId="219D9D77"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48E2D83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lastRenderedPageBreak/>
              <w:t>I.6</w:t>
            </w:r>
          </w:p>
        </w:tc>
        <w:tc>
          <w:tcPr>
            <w:tcW w:w="760" w:type="dxa"/>
            <w:tcBorders>
              <w:top w:val="nil"/>
              <w:left w:val="single" w:sz="8" w:space="0" w:color="auto"/>
              <w:bottom w:val="single" w:sz="4" w:space="0" w:color="auto"/>
              <w:right w:val="single" w:sz="4" w:space="0" w:color="auto"/>
            </w:tcBorders>
            <w:shd w:val="clear" w:color="000000" w:fill="FFFF00"/>
            <w:noWrap/>
            <w:vAlign w:val="center"/>
            <w:hideMark/>
          </w:tcPr>
          <w:p w14:paraId="418E7A9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20107C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C946E3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554A5F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B6FF63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145244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48E57A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3C60FB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055BC2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4208B8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F96501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48BD1E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30090A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7BAAC5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6F73471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0</w:t>
            </w:r>
          </w:p>
        </w:tc>
        <w:tc>
          <w:tcPr>
            <w:tcW w:w="1220" w:type="dxa"/>
            <w:tcBorders>
              <w:top w:val="nil"/>
              <w:left w:val="nil"/>
              <w:bottom w:val="single" w:sz="4" w:space="0" w:color="auto"/>
              <w:right w:val="single" w:sz="8" w:space="0" w:color="auto"/>
            </w:tcBorders>
            <w:shd w:val="clear" w:color="000000" w:fill="D9D9D9"/>
            <w:noWrap/>
            <w:vAlign w:val="center"/>
            <w:hideMark/>
          </w:tcPr>
          <w:p w14:paraId="347C5A3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w:t>
            </w:r>
          </w:p>
        </w:tc>
      </w:tr>
      <w:tr w:rsidR="004F44A8" w:rsidRPr="004F44A8" w14:paraId="523BCAFD" w14:textId="77777777" w:rsidTr="00C735D2">
        <w:trPr>
          <w:trHeight w:val="525"/>
        </w:trPr>
        <w:tc>
          <w:tcPr>
            <w:tcW w:w="880" w:type="dxa"/>
            <w:tcBorders>
              <w:top w:val="nil"/>
              <w:left w:val="single" w:sz="8" w:space="0" w:color="auto"/>
              <w:bottom w:val="single" w:sz="4" w:space="0" w:color="auto"/>
              <w:right w:val="nil"/>
            </w:tcBorders>
            <w:shd w:val="clear" w:color="000000" w:fill="D9D9D9"/>
            <w:noWrap/>
            <w:vAlign w:val="center"/>
            <w:hideMark/>
          </w:tcPr>
          <w:p w14:paraId="36AE9B8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IV.7</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63912D7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538AC4A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w:t>
            </w:r>
          </w:p>
        </w:tc>
        <w:tc>
          <w:tcPr>
            <w:tcW w:w="760" w:type="dxa"/>
            <w:tcBorders>
              <w:top w:val="nil"/>
              <w:left w:val="nil"/>
              <w:bottom w:val="single" w:sz="4" w:space="0" w:color="auto"/>
              <w:right w:val="single" w:sz="4" w:space="0" w:color="auto"/>
            </w:tcBorders>
            <w:shd w:val="clear" w:color="000000" w:fill="FFFF00"/>
            <w:noWrap/>
            <w:vAlign w:val="center"/>
            <w:hideMark/>
          </w:tcPr>
          <w:p w14:paraId="0DA786B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w:t>
            </w:r>
          </w:p>
        </w:tc>
        <w:tc>
          <w:tcPr>
            <w:tcW w:w="760" w:type="dxa"/>
            <w:tcBorders>
              <w:top w:val="nil"/>
              <w:left w:val="nil"/>
              <w:bottom w:val="single" w:sz="4" w:space="0" w:color="auto"/>
              <w:right w:val="single" w:sz="4" w:space="0" w:color="auto"/>
            </w:tcBorders>
            <w:shd w:val="clear" w:color="000000" w:fill="FFFF00"/>
            <w:noWrap/>
            <w:vAlign w:val="center"/>
            <w:hideMark/>
          </w:tcPr>
          <w:p w14:paraId="6EE74BC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w:t>
            </w:r>
          </w:p>
        </w:tc>
        <w:tc>
          <w:tcPr>
            <w:tcW w:w="760" w:type="dxa"/>
            <w:tcBorders>
              <w:top w:val="nil"/>
              <w:left w:val="nil"/>
              <w:bottom w:val="single" w:sz="4" w:space="0" w:color="auto"/>
              <w:right w:val="single" w:sz="4" w:space="0" w:color="auto"/>
            </w:tcBorders>
            <w:shd w:val="clear" w:color="000000" w:fill="FFFF00"/>
            <w:noWrap/>
            <w:vAlign w:val="center"/>
            <w:hideMark/>
          </w:tcPr>
          <w:p w14:paraId="3A54025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w:t>
            </w:r>
          </w:p>
        </w:tc>
        <w:tc>
          <w:tcPr>
            <w:tcW w:w="760" w:type="dxa"/>
            <w:tcBorders>
              <w:top w:val="nil"/>
              <w:left w:val="nil"/>
              <w:bottom w:val="single" w:sz="4" w:space="0" w:color="auto"/>
              <w:right w:val="single" w:sz="4" w:space="0" w:color="auto"/>
            </w:tcBorders>
            <w:shd w:val="clear" w:color="000000" w:fill="FFFF00"/>
            <w:noWrap/>
            <w:vAlign w:val="center"/>
            <w:hideMark/>
          </w:tcPr>
          <w:p w14:paraId="43E9A73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w:t>
            </w:r>
          </w:p>
        </w:tc>
        <w:tc>
          <w:tcPr>
            <w:tcW w:w="760" w:type="dxa"/>
            <w:tcBorders>
              <w:top w:val="nil"/>
              <w:left w:val="nil"/>
              <w:bottom w:val="single" w:sz="4" w:space="0" w:color="auto"/>
              <w:right w:val="single" w:sz="4" w:space="0" w:color="auto"/>
            </w:tcBorders>
            <w:shd w:val="clear" w:color="auto" w:fill="auto"/>
            <w:noWrap/>
            <w:vAlign w:val="center"/>
            <w:hideMark/>
          </w:tcPr>
          <w:p w14:paraId="75C1590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58220A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C2BE49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AEE201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C530AD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8D4DD1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9335BA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250FA4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179D538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500</w:t>
            </w:r>
          </w:p>
        </w:tc>
        <w:tc>
          <w:tcPr>
            <w:tcW w:w="1220" w:type="dxa"/>
            <w:tcBorders>
              <w:top w:val="nil"/>
              <w:left w:val="nil"/>
              <w:bottom w:val="single" w:sz="4" w:space="0" w:color="auto"/>
              <w:right w:val="single" w:sz="8" w:space="0" w:color="auto"/>
            </w:tcBorders>
            <w:shd w:val="clear" w:color="000000" w:fill="D9D9D9"/>
            <w:vAlign w:val="center"/>
            <w:hideMark/>
          </w:tcPr>
          <w:p w14:paraId="09991EB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72EDBA7A"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5AE71F7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IX.5</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6FAE934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75531D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3A64A76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80</w:t>
            </w:r>
          </w:p>
        </w:tc>
        <w:tc>
          <w:tcPr>
            <w:tcW w:w="760" w:type="dxa"/>
            <w:tcBorders>
              <w:top w:val="nil"/>
              <w:left w:val="nil"/>
              <w:bottom w:val="single" w:sz="4" w:space="0" w:color="auto"/>
              <w:right w:val="single" w:sz="4" w:space="0" w:color="auto"/>
            </w:tcBorders>
            <w:shd w:val="clear" w:color="auto" w:fill="auto"/>
            <w:noWrap/>
            <w:vAlign w:val="center"/>
            <w:hideMark/>
          </w:tcPr>
          <w:p w14:paraId="4276955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A4B5D8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84EFB3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9089FF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AEE5E1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59B6BA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67D7EF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77DBF4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E1EC01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CBBCA8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B569D3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04D991C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80</w:t>
            </w:r>
          </w:p>
        </w:tc>
        <w:tc>
          <w:tcPr>
            <w:tcW w:w="1220" w:type="dxa"/>
            <w:tcBorders>
              <w:top w:val="nil"/>
              <w:left w:val="nil"/>
              <w:bottom w:val="single" w:sz="4" w:space="0" w:color="auto"/>
              <w:right w:val="single" w:sz="8" w:space="0" w:color="auto"/>
            </w:tcBorders>
            <w:shd w:val="clear" w:color="000000" w:fill="D9D9D9"/>
            <w:noWrap/>
            <w:vAlign w:val="center"/>
            <w:hideMark/>
          </w:tcPr>
          <w:p w14:paraId="29BA80D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Buget local</w:t>
            </w:r>
          </w:p>
        </w:tc>
      </w:tr>
      <w:tr w:rsidR="004F44A8" w:rsidRPr="004F44A8" w14:paraId="37B44A05" w14:textId="77777777" w:rsidTr="00C735D2">
        <w:trPr>
          <w:trHeight w:val="540"/>
        </w:trPr>
        <w:tc>
          <w:tcPr>
            <w:tcW w:w="880" w:type="dxa"/>
            <w:tcBorders>
              <w:top w:val="nil"/>
              <w:left w:val="single" w:sz="8" w:space="0" w:color="auto"/>
              <w:bottom w:val="single" w:sz="4" w:space="0" w:color="auto"/>
              <w:right w:val="nil"/>
            </w:tcBorders>
            <w:shd w:val="clear" w:color="000000" w:fill="D9D9D9"/>
            <w:noWrap/>
            <w:vAlign w:val="center"/>
            <w:hideMark/>
          </w:tcPr>
          <w:p w14:paraId="2517DC9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IV.3</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F7794C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499482E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80</w:t>
            </w:r>
          </w:p>
        </w:tc>
        <w:tc>
          <w:tcPr>
            <w:tcW w:w="760" w:type="dxa"/>
            <w:tcBorders>
              <w:top w:val="nil"/>
              <w:left w:val="nil"/>
              <w:bottom w:val="single" w:sz="4" w:space="0" w:color="auto"/>
              <w:right w:val="single" w:sz="4" w:space="0" w:color="auto"/>
            </w:tcBorders>
            <w:shd w:val="clear" w:color="000000" w:fill="FFFF00"/>
            <w:noWrap/>
            <w:vAlign w:val="center"/>
            <w:hideMark/>
          </w:tcPr>
          <w:p w14:paraId="616E5FC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760" w:type="dxa"/>
            <w:tcBorders>
              <w:top w:val="nil"/>
              <w:left w:val="nil"/>
              <w:bottom w:val="single" w:sz="4" w:space="0" w:color="auto"/>
              <w:right w:val="single" w:sz="4" w:space="0" w:color="auto"/>
            </w:tcBorders>
            <w:shd w:val="clear" w:color="000000" w:fill="FFFF00"/>
            <w:noWrap/>
            <w:vAlign w:val="center"/>
            <w:hideMark/>
          </w:tcPr>
          <w:p w14:paraId="625D7EA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760" w:type="dxa"/>
            <w:tcBorders>
              <w:top w:val="nil"/>
              <w:left w:val="nil"/>
              <w:bottom w:val="single" w:sz="4" w:space="0" w:color="auto"/>
              <w:right w:val="single" w:sz="4" w:space="0" w:color="auto"/>
            </w:tcBorders>
            <w:shd w:val="clear" w:color="auto" w:fill="auto"/>
            <w:noWrap/>
            <w:vAlign w:val="center"/>
            <w:hideMark/>
          </w:tcPr>
          <w:p w14:paraId="37CFD3C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AFD869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B201E6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A3B11F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72CDB3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EE2A67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818389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440804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986FCB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A98C94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026F4EE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180</w:t>
            </w:r>
          </w:p>
        </w:tc>
        <w:tc>
          <w:tcPr>
            <w:tcW w:w="1220" w:type="dxa"/>
            <w:tcBorders>
              <w:top w:val="nil"/>
              <w:left w:val="nil"/>
              <w:bottom w:val="single" w:sz="4" w:space="0" w:color="auto"/>
              <w:right w:val="single" w:sz="8" w:space="0" w:color="auto"/>
            </w:tcBorders>
            <w:shd w:val="clear" w:color="000000" w:fill="D9D9D9"/>
            <w:vAlign w:val="center"/>
            <w:hideMark/>
          </w:tcPr>
          <w:p w14:paraId="033231F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23C489F6" w14:textId="77777777" w:rsidTr="00C735D2">
        <w:trPr>
          <w:trHeight w:val="540"/>
        </w:trPr>
        <w:tc>
          <w:tcPr>
            <w:tcW w:w="880" w:type="dxa"/>
            <w:tcBorders>
              <w:top w:val="nil"/>
              <w:left w:val="single" w:sz="8" w:space="0" w:color="auto"/>
              <w:bottom w:val="single" w:sz="4" w:space="0" w:color="auto"/>
              <w:right w:val="nil"/>
            </w:tcBorders>
            <w:shd w:val="clear" w:color="000000" w:fill="D9D9D9"/>
            <w:noWrap/>
            <w:vAlign w:val="center"/>
            <w:hideMark/>
          </w:tcPr>
          <w:p w14:paraId="1A88788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VII.2</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083C52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5A2E5BC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40</w:t>
            </w:r>
          </w:p>
        </w:tc>
        <w:tc>
          <w:tcPr>
            <w:tcW w:w="760" w:type="dxa"/>
            <w:tcBorders>
              <w:top w:val="nil"/>
              <w:left w:val="nil"/>
              <w:bottom w:val="single" w:sz="4" w:space="0" w:color="auto"/>
              <w:right w:val="single" w:sz="4" w:space="0" w:color="auto"/>
            </w:tcBorders>
            <w:shd w:val="clear" w:color="000000" w:fill="FFFF00"/>
            <w:noWrap/>
            <w:vAlign w:val="center"/>
            <w:hideMark/>
          </w:tcPr>
          <w:p w14:paraId="3F83C48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40</w:t>
            </w:r>
          </w:p>
        </w:tc>
        <w:tc>
          <w:tcPr>
            <w:tcW w:w="760" w:type="dxa"/>
            <w:tcBorders>
              <w:top w:val="nil"/>
              <w:left w:val="nil"/>
              <w:bottom w:val="single" w:sz="4" w:space="0" w:color="auto"/>
              <w:right w:val="single" w:sz="4" w:space="0" w:color="auto"/>
            </w:tcBorders>
            <w:shd w:val="clear" w:color="auto" w:fill="auto"/>
            <w:noWrap/>
            <w:vAlign w:val="center"/>
            <w:hideMark/>
          </w:tcPr>
          <w:p w14:paraId="3D16345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7E2151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750E5E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58FDB9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AE88E3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6A5BE9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F8C4C3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454B2C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05B12D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0EEDC3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683B5B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55DE6E0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80</w:t>
            </w:r>
          </w:p>
        </w:tc>
        <w:tc>
          <w:tcPr>
            <w:tcW w:w="1220" w:type="dxa"/>
            <w:tcBorders>
              <w:top w:val="nil"/>
              <w:left w:val="nil"/>
              <w:bottom w:val="single" w:sz="4" w:space="0" w:color="auto"/>
              <w:right w:val="single" w:sz="8" w:space="0" w:color="auto"/>
            </w:tcBorders>
            <w:shd w:val="clear" w:color="000000" w:fill="D9D9D9"/>
            <w:vAlign w:val="center"/>
            <w:hideMark/>
          </w:tcPr>
          <w:p w14:paraId="512F6F1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27B9F8A9" w14:textId="77777777" w:rsidTr="00C735D2">
        <w:trPr>
          <w:trHeight w:val="675"/>
        </w:trPr>
        <w:tc>
          <w:tcPr>
            <w:tcW w:w="880" w:type="dxa"/>
            <w:tcBorders>
              <w:top w:val="nil"/>
              <w:left w:val="single" w:sz="8" w:space="0" w:color="auto"/>
              <w:bottom w:val="single" w:sz="4" w:space="0" w:color="auto"/>
              <w:right w:val="nil"/>
            </w:tcBorders>
            <w:shd w:val="clear" w:color="000000" w:fill="D9D9D9"/>
            <w:noWrap/>
            <w:vAlign w:val="center"/>
            <w:hideMark/>
          </w:tcPr>
          <w:p w14:paraId="45ED715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XII.1</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12201A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0A7395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A4FA33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C360C7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088F8A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1B7630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35EC6E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1601711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2000</w:t>
            </w:r>
          </w:p>
        </w:tc>
        <w:tc>
          <w:tcPr>
            <w:tcW w:w="760" w:type="dxa"/>
            <w:tcBorders>
              <w:top w:val="nil"/>
              <w:left w:val="nil"/>
              <w:bottom w:val="single" w:sz="4" w:space="0" w:color="auto"/>
              <w:right w:val="single" w:sz="4" w:space="0" w:color="auto"/>
            </w:tcBorders>
            <w:shd w:val="clear" w:color="000000" w:fill="FFFF00"/>
            <w:noWrap/>
            <w:vAlign w:val="center"/>
            <w:hideMark/>
          </w:tcPr>
          <w:p w14:paraId="505BB8B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2000</w:t>
            </w:r>
          </w:p>
        </w:tc>
        <w:tc>
          <w:tcPr>
            <w:tcW w:w="760" w:type="dxa"/>
            <w:tcBorders>
              <w:top w:val="nil"/>
              <w:left w:val="nil"/>
              <w:bottom w:val="single" w:sz="4" w:space="0" w:color="auto"/>
              <w:right w:val="single" w:sz="4" w:space="0" w:color="auto"/>
            </w:tcBorders>
            <w:shd w:val="clear" w:color="000000" w:fill="FFFF00"/>
            <w:noWrap/>
            <w:vAlign w:val="center"/>
            <w:hideMark/>
          </w:tcPr>
          <w:p w14:paraId="69C979D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1000</w:t>
            </w:r>
          </w:p>
        </w:tc>
        <w:tc>
          <w:tcPr>
            <w:tcW w:w="760" w:type="dxa"/>
            <w:tcBorders>
              <w:top w:val="nil"/>
              <w:left w:val="nil"/>
              <w:bottom w:val="single" w:sz="4" w:space="0" w:color="auto"/>
              <w:right w:val="single" w:sz="4" w:space="0" w:color="auto"/>
            </w:tcBorders>
            <w:shd w:val="clear" w:color="auto" w:fill="auto"/>
            <w:noWrap/>
            <w:vAlign w:val="center"/>
            <w:hideMark/>
          </w:tcPr>
          <w:p w14:paraId="71547D5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158F74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D12364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EB92E7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4137671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5000</w:t>
            </w:r>
          </w:p>
        </w:tc>
        <w:tc>
          <w:tcPr>
            <w:tcW w:w="1220" w:type="dxa"/>
            <w:tcBorders>
              <w:top w:val="nil"/>
              <w:left w:val="nil"/>
              <w:bottom w:val="single" w:sz="4" w:space="0" w:color="auto"/>
              <w:right w:val="single" w:sz="8" w:space="0" w:color="auto"/>
            </w:tcBorders>
            <w:shd w:val="clear" w:color="000000" w:fill="D9D9D9"/>
            <w:vAlign w:val="center"/>
            <w:hideMark/>
          </w:tcPr>
          <w:p w14:paraId="0579ABA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Fonduri europene Buget local</w:t>
            </w:r>
          </w:p>
        </w:tc>
      </w:tr>
      <w:tr w:rsidR="004F44A8" w:rsidRPr="004F44A8" w14:paraId="6C5D71B9"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2485359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XII.2</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25651B8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2DCC1D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5A04FB6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C2D249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AE07E1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152AAD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B70326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A4A536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06ED3C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6BEB9E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DEEB97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A4F0A2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545BC9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F616DF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77C34BA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0</w:t>
            </w:r>
          </w:p>
        </w:tc>
        <w:tc>
          <w:tcPr>
            <w:tcW w:w="1220" w:type="dxa"/>
            <w:tcBorders>
              <w:top w:val="nil"/>
              <w:left w:val="nil"/>
              <w:bottom w:val="single" w:sz="4" w:space="0" w:color="auto"/>
              <w:right w:val="single" w:sz="8" w:space="0" w:color="auto"/>
            </w:tcBorders>
            <w:shd w:val="clear" w:color="000000" w:fill="D9D9D9"/>
            <w:noWrap/>
            <w:vAlign w:val="center"/>
            <w:hideMark/>
          </w:tcPr>
          <w:p w14:paraId="1A3B349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w:t>
            </w:r>
          </w:p>
        </w:tc>
      </w:tr>
      <w:tr w:rsidR="004F44A8" w:rsidRPr="004F44A8" w14:paraId="17437EAB" w14:textId="77777777" w:rsidTr="00C735D2">
        <w:trPr>
          <w:trHeight w:val="675"/>
        </w:trPr>
        <w:tc>
          <w:tcPr>
            <w:tcW w:w="880" w:type="dxa"/>
            <w:tcBorders>
              <w:top w:val="nil"/>
              <w:left w:val="single" w:sz="8" w:space="0" w:color="auto"/>
              <w:bottom w:val="single" w:sz="4" w:space="0" w:color="auto"/>
              <w:right w:val="nil"/>
            </w:tcBorders>
            <w:shd w:val="clear" w:color="000000" w:fill="D9D9D9"/>
            <w:noWrap/>
            <w:vAlign w:val="center"/>
            <w:hideMark/>
          </w:tcPr>
          <w:p w14:paraId="57E0C37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VII.3</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64B860D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068B89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C7DEBB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25C9BA0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w:t>
            </w:r>
          </w:p>
        </w:tc>
        <w:tc>
          <w:tcPr>
            <w:tcW w:w="760" w:type="dxa"/>
            <w:tcBorders>
              <w:top w:val="nil"/>
              <w:left w:val="nil"/>
              <w:bottom w:val="single" w:sz="4" w:space="0" w:color="auto"/>
              <w:right w:val="single" w:sz="4" w:space="0" w:color="auto"/>
            </w:tcBorders>
            <w:shd w:val="clear" w:color="000000" w:fill="FFFF00"/>
            <w:noWrap/>
            <w:vAlign w:val="center"/>
            <w:hideMark/>
          </w:tcPr>
          <w:p w14:paraId="46F28ED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270</w:t>
            </w:r>
          </w:p>
        </w:tc>
        <w:tc>
          <w:tcPr>
            <w:tcW w:w="760" w:type="dxa"/>
            <w:tcBorders>
              <w:top w:val="nil"/>
              <w:left w:val="nil"/>
              <w:bottom w:val="single" w:sz="4" w:space="0" w:color="auto"/>
              <w:right w:val="single" w:sz="4" w:space="0" w:color="auto"/>
            </w:tcBorders>
            <w:shd w:val="clear" w:color="000000" w:fill="FFFF00"/>
            <w:noWrap/>
            <w:vAlign w:val="center"/>
            <w:hideMark/>
          </w:tcPr>
          <w:p w14:paraId="625F727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270</w:t>
            </w:r>
          </w:p>
        </w:tc>
        <w:tc>
          <w:tcPr>
            <w:tcW w:w="760" w:type="dxa"/>
            <w:tcBorders>
              <w:top w:val="nil"/>
              <w:left w:val="nil"/>
              <w:bottom w:val="single" w:sz="4" w:space="0" w:color="auto"/>
              <w:right w:val="single" w:sz="4" w:space="0" w:color="auto"/>
            </w:tcBorders>
            <w:shd w:val="clear" w:color="000000" w:fill="FFFF00"/>
            <w:noWrap/>
            <w:vAlign w:val="center"/>
            <w:hideMark/>
          </w:tcPr>
          <w:p w14:paraId="02B7830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270</w:t>
            </w:r>
          </w:p>
        </w:tc>
        <w:tc>
          <w:tcPr>
            <w:tcW w:w="760" w:type="dxa"/>
            <w:tcBorders>
              <w:top w:val="nil"/>
              <w:left w:val="nil"/>
              <w:bottom w:val="single" w:sz="4" w:space="0" w:color="auto"/>
              <w:right w:val="single" w:sz="4" w:space="0" w:color="auto"/>
            </w:tcBorders>
            <w:shd w:val="clear" w:color="000000" w:fill="FFFF00"/>
            <w:noWrap/>
            <w:vAlign w:val="center"/>
            <w:hideMark/>
          </w:tcPr>
          <w:p w14:paraId="552A225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270</w:t>
            </w:r>
          </w:p>
        </w:tc>
        <w:tc>
          <w:tcPr>
            <w:tcW w:w="760" w:type="dxa"/>
            <w:tcBorders>
              <w:top w:val="nil"/>
              <w:left w:val="nil"/>
              <w:bottom w:val="single" w:sz="4" w:space="0" w:color="auto"/>
              <w:right w:val="single" w:sz="4" w:space="0" w:color="auto"/>
            </w:tcBorders>
            <w:shd w:val="clear" w:color="000000" w:fill="FFFF00"/>
            <w:noWrap/>
            <w:vAlign w:val="center"/>
            <w:hideMark/>
          </w:tcPr>
          <w:p w14:paraId="4C74676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w:t>
            </w:r>
          </w:p>
        </w:tc>
        <w:tc>
          <w:tcPr>
            <w:tcW w:w="760" w:type="dxa"/>
            <w:tcBorders>
              <w:top w:val="nil"/>
              <w:left w:val="nil"/>
              <w:bottom w:val="single" w:sz="4" w:space="0" w:color="auto"/>
              <w:right w:val="single" w:sz="4" w:space="0" w:color="auto"/>
            </w:tcBorders>
            <w:shd w:val="clear" w:color="auto" w:fill="auto"/>
            <w:noWrap/>
            <w:vAlign w:val="center"/>
            <w:hideMark/>
          </w:tcPr>
          <w:p w14:paraId="28AFDEA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DFE107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6C9ECD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B8EA3B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A2C114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57A0A50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1280</w:t>
            </w:r>
          </w:p>
        </w:tc>
        <w:tc>
          <w:tcPr>
            <w:tcW w:w="1220" w:type="dxa"/>
            <w:tcBorders>
              <w:top w:val="nil"/>
              <w:left w:val="nil"/>
              <w:bottom w:val="single" w:sz="4" w:space="0" w:color="auto"/>
              <w:right w:val="single" w:sz="8" w:space="0" w:color="auto"/>
            </w:tcBorders>
            <w:shd w:val="clear" w:color="000000" w:fill="D9D9D9"/>
            <w:vAlign w:val="center"/>
            <w:hideMark/>
          </w:tcPr>
          <w:p w14:paraId="48E86A5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Fonduri europene Buget local</w:t>
            </w:r>
          </w:p>
        </w:tc>
      </w:tr>
      <w:tr w:rsidR="004F44A8" w:rsidRPr="004F44A8" w14:paraId="00E06043" w14:textId="77777777" w:rsidTr="00C735D2">
        <w:trPr>
          <w:trHeight w:val="525"/>
        </w:trPr>
        <w:tc>
          <w:tcPr>
            <w:tcW w:w="880" w:type="dxa"/>
            <w:tcBorders>
              <w:top w:val="nil"/>
              <w:left w:val="single" w:sz="8" w:space="0" w:color="auto"/>
              <w:bottom w:val="single" w:sz="4" w:space="0" w:color="auto"/>
              <w:right w:val="nil"/>
            </w:tcBorders>
            <w:shd w:val="clear" w:color="000000" w:fill="D9D9D9"/>
            <w:noWrap/>
            <w:vAlign w:val="center"/>
            <w:hideMark/>
          </w:tcPr>
          <w:p w14:paraId="135F266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X.5</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4515E2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0095564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60</w:t>
            </w:r>
          </w:p>
        </w:tc>
        <w:tc>
          <w:tcPr>
            <w:tcW w:w="760" w:type="dxa"/>
            <w:tcBorders>
              <w:top w:val="nil"/>
              <w:left w:val="nil"/>
              <w:bottom w:val="single" w:sz="4" w:space="0" w:color="auto"/>
              <w:right w:val="single" w:sz="4" w:space="0" w:color="auto"/>
            </w:tcBorders>
            <w:shd w:val="clear" w:color="auto" w:fill="auto"/>
            <w:noWrap/>
            <w:vAlign w:val="center"/>
            <w:hideMark/>
          </w:tcPr>
          <w:p w14:paraId="7C1CD64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9549FB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E7FC03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5FCDEC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0FA92D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7E01E3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BF320B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93A909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6CA3D7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7A59A3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719CD2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3DF37B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6569415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60</w:t>
            </w:r>
          </w:p>
        </w:tc>
        <w:tc>
          <w:tcPr>
            <w:tcW w:w="1220" w:type="dxa"/>
            <w:tcBorders>
              <w:top w:val="nil"/>
              <w:left w:val="nil"/>
              <w:bottom w:val="single" w:sz="4" w:space="0" w:color="auto"/>
              <w:right w:val="single" w:sz="8" w:space="0" w:color="auto"/>
            </w:tcBorders>
            <w:shd w:val="clear" w:color="000000" w:fill="D9D9D9"/>
            <w:vAlign w:val="center"/>
            <w:hideMark/>
          </w:tcPr>
          <w:p w14:paraId="11FBB87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03A3FA0B"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3AD9923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IV.8</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7CAA0A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381B16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17ED57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9D0206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077F80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572A12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99DE82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09E011D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419074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F38DBA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3504E3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AD49F9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9FC46D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E377DC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61E2026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0</w:t>
            </w:r>
          </w:p>
        </w:tc>
        <w:tc>
          <w:tcPr>
            <w:tcW w:w="1220" w:type="dxa"/>
            <w:tcBorders>
              <w:top w:val="nil"/>
              <w:left w:val="nil"/>
              <w:bottom w:val="single" w:sz="4" w:space="0" w:color="auto"/>
              <w:right w:val="single" w:sz="8" w:space="0" w:color="auto"/>
            </w:tcBorders>
            <w:shd w:val="clear" w:color="000000" w:fill="D9D9D9"/>
            <w:noWrap/>
            <w:vAlign w:val="center"/>
            <w:hideMark/>
          </w:tcPr>
          <w:p w14:paraId="3684119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w:t>
            </w:r>
          </w:p>
        </w:tc>
      </w:tr>
      <w:tr w:rsidR="004F44A8" w:rsidRPr="004F44A8" w14:paraId="540125D6" w14:textId="77777777" w:rsidTr="00C735D2">
        <w:trPr>
          <w:trHeight w:val="255"/>
        </w:trPr>
        <w:tc>
          <w:tcPr>
            <w:tcW w:w="880" w:type="dxa"/>
            <w:tcBorders>
              <w:top w:val="nil"/>
              <w:left w:val="single" w:sz="8" w:space="0" w:color="auto"/>
              <w:bottom w:val="single" w:sz="4" w:space="0" w:color="auto"/>
              <w:right w:val="nil"/>
            </w:tcBorders>
            <w:shd w:val="clear" w:color="000000" w:fill="D9D9D9"/>
            <w:noWrap/>
            <w:vAlign w:val="center"/>
            <w:hideMark/>
          </w:tcPr>
          <w:p w14:paraId="44BC3B3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V.2</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438377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BB4E0E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525678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6702271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8A3B21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AF50B4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5BE8F9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A9763C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CDCA86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8357E1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732154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7686E5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C5CBB2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C844A3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0A20F12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0</w:t>
            </w:r>
          </w:p>
        </w:tc>
        <w:tc>
          <w:tcPr>
            <w:tcW w:w="1220" w:type="dxa"/>
            <w:tcBorders>
              <w:top w:val="nil"/>
              <w:left w:val="nil"/>
              <w:bottom w:val="single" w:sz="4" w:space="0" w:color="auto"/>
              <w:right w:val="single" w:sz="8" w:space="0" w:color="auto"/>
            </w:tcBorders>
            <w:shd w:val="clear" w:color="000000" w:fill="D9D9D9"/>
            <w:noWrap/>
            <w:vAlign w:val="center"/>
            <w:hideMark/>
          </w:tcPr>
          <w:p w14:paraId="2CD0740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w:t>
            </w:r>
          </w:p>
        </w:tc>
      </w:tr>
      <w:tr w:rsidR="004F44A8" w:rsidRPr="004F44A8" w14:paraId="5C6E65D3" w14:textId="77777777" w:rsidTr="00C735D2">
        <w:trPr>
          <w:trHeight w:val="675"/>
        </w:trPr>
        <w:tc>
          <w:tcPr>
            <w:tcW w:w="880" w:type="dxa"/>
            <w:tcBorders>
              <w:top w:val="nil"/>
              <w:left w:val="single" w:sz="8" w:space="0" w:color="auto"/>
              <w:bottom w:val="single" w:sz="4" w:space="0" w:color="auto"/>
              <w:right w:val="nil"/>
            </w:tcBorders>
            <w:shd w:val="clear" w:color="000000" w:fill="D9D9D9"/>
            <w:noWrap/>
            <w:vAlign w:val="center"/>
            <w:hideMark/>
          </w:tcPr>
          <w:p w14:paraId="4B155A0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X.6</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D2BD63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5C52E9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898CB9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8C83CC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4D1342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8C99D8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49ADC93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760" w:type="dxa"/>
            <w:tcBorders>
              <w:top w:val="nil"/>
              <w:left w:val="nil"/>
              <w:bottom w:val="single" w:sz="4" w:space="0" w:color="auto"/>
              <w:right w:val="single" w:sz="4" w:space="0" w:color="auto"/>
            </w:tcBorders>
            <w:shd w:val="clear" w:color="auto" w:fill="auto"/>
            <w:noWrap/>
            <w:vAlign w:val="center"/>
            <w:hideMark/>
          </w:tcPr>
          <w:p w14:paraId="2B0E310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A7AD94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5EDE0B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1D3A71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FBE4E4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2CD349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0566491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400EA37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1220" w:type="dxa"/>
            <w:tcBorders>
              <w:top w:val="nil"/>
              <w:left w:val="nil"/>
              <w:bottom w:val="single" w:sz="4" w:space="0" w:color="auto"/>
              <w:right w:val="single" w:sz="8" w:space="0" w:color="auto"/>
            </w:tcBorders>
            <w:shd w:val="clear" w:color="000000" w:fill="D9D9D9"/>
            <w:vAlign w:val="center"/>
            <w:hideMark/>
          </w:tcPr>
          <w:p w14:paraId="0CA2CBB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Fonduri europene Buget local</w:t>
            </w:r>
          </w:p>
        </w:tc>
      </w:tr>
      <w:tr w:rsidR="004F44A8" w:rsidRPr="004F44A8" w14:paraId="71E233AC" w14:textId="77777777" w:rsidTr="00C735D2">
        <w:trPr>
          <w:trHeight w:val="510"/>
        </w:trPr>
        <w:tc>
          <w:tcPr>
            <w:tcW w:w="880" w:type="dxa"/>
            <w:tcBorders>
              <w:top w:val="nil"/>
              <w:left w:val="single" w:sz="8" w:space="0" w:color="auto"/>
              <w:bottom w:val="single" w:sz="4" w:space="0" w:color="auto"/>
              <w:right w:val="nil"/>
            </w:tcBorders>
            <w:shd w:val="clear" w:color="000000" w:fill="D9D9D9"/>
            <w:noWrap/>
            <w:vAlign w:val="center"/>
            <w:hideMark/>
          </w:tcPr>
          <w:p w14:paraId="124545E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III.1</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697076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B04EB5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6C637E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D5BB97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72E7D41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760" w:type="dxa"/>
            <w:tcBorders>
              <w:top w:val="nil"/>
              <w:left w:val="nil"/>
              <w:bottom w:val="single" w:sz="4" w:space="0" w:color="auto"/>
              <w:right w:val="single" w:sz="4" w:space="0" w:color="auto"/>
            </w:tcBorders>
            <w:shd w:val="clear" w:color="auto" w:fill="auto"/>
            <w:noWrap/>
            <w:vAlign w:val="center"/>
            <w:hideMark/>
          </w:tcPr>
          <w:p w14:paraId="42BF5A2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1F1889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A12ED1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31D6C9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ADB6DF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F1579E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5F2C4C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D74A83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F6530B9"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480B09A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1220" w:type="dxa"/>
            <w:tcBorders>
              <w:top w:val="nil"/>
              <w:left w:val="nil"/>
              <w:bottom w:val="single" w:sz="4" w:space="0" w:color="auto"/>
              <w:right w:val="single" w:sz="8" w:space="0" w:color="auto"/>
            </w:tcBorders>
            <w:shd w:val="clear" w:color="000000" w:fill="D9D9D9"/>
            <w:vAlign w:val="center"/>
            <w:hideMark/>
          </w:tcPr>
          <w:p w14:paraId="6A7DA9A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673774E9" w14:textId="77777777" w:rsidTr="00C735D2">
        <w:trPr>
          <w:trHeight w:val="900"/>
        </w:trPr>
        <w:tc>
          <w:tcPr>
            <w:tcW w:w="880" w:type="dxa"/>
            <w:tcBorders>
              <w:top w:val="nil"/>
              <w:left w:val="single" w:sz="8" w:space="0" w:color="auto"/>
              <w:bottom w:val="single" w:sz="4" w:space="0" w:color="auto"/>
              <w:right w:val="nil"/>
            </w:tcBorders>
            <w:shd w:val="clear" w:color="000000" w:fill="D9D9D9"/>
            <w:noWrap/>
            <w:vAlign w:val="center"/>
            <w:hideMark/>
          </w:tcPr>
          <w:p w14:paraId="0DE53CA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IV.9</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2E55A7F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271996E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BBE220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82B929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AA4CD2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F603B5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39D2874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760" w:type="dxa"/>
            <w:tcBorders>
              <w:top w:val="nil"/>
              <w:left w:val="nil"/>
              <w:bottom w:val="single" w:sz="4" w:space="0" w:color="auto"/>
              <w:right w:val="single" w:sz="4" w:space="0" w:color="auto"/>
            </w:tcBorders>
            <w:shd w:val="clear" w:color="auto" w:fill="auto"/>
            <w:noWrap/>
            <w:vAlign w:val="center"/>
            <w:hideMark/>
          </w:tcPr>
          <w:p w14:paraId="5C9D5C0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BDF73B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6664BA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D7042C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6BE4CE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D98B20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5F373CA"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27ADE8C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50</w:t>
            </w:r>
          </w:p>
        </w:tc>
        <w:tc>
          <w:tcPr>
            <w:tcW w:w="1220" w:type="dxa"/>
            <w:tcBorders>
              <w:top w:val="nil"/>
              <w:left w:val="nil"/>
              <w:bottom w:val="single" w:sz="4" w:space="0" w:color="auto"/>
              <w:right w:val="single" w:sz="8" w:space="0" w:color="auto"/>
            </w:tcBorders>
            <w:shd w:val="clear" w:color="000000" w:fill="D9D9D9"/>
            <w:vAlign w:val="center"/>
            <w:hideMark/>
          </w:tcPr>
          <w:p w14:paraId="55C7A5F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PNDL       Fonduri europene Buget local</w:t>
            </w:r>
          </w:p>
        </w:tc>
      </w:tr>
      <w:tr w:rsidR="004F44A8" w:rsidRPr="004F44A8" w14:paraId="09EDB120" w14:textId="77777777" w:rsidTr="00C735D2">
        <w:trPr>
          <w:trHeight w:val="675"/>
        </w:trPr>
        <w:tc>
          <w:tcPr>
            <w:tcW w:w="880" w:type="dxa"/>
            <w:tcBorders>
              <w:top w:val="nil"/>
              <w:left w:val="single" w:sz="8" w:space="0" w:color="auto"/>
              <w:bottom w:val="single" w:sz="4" w:space="0" w:color="auto"/>
              <w:right w:val="nil"/>
            </w:tcBorders>
            <w:shd w:val="clear" w:color="000000" w:fill="D9D9D9"/>
            <w:noWrap/>
            <w:vAlign w:val="center"/>
            <w:hideMark/>
          </w:tcPr>
          <w:p w14:paraId="558CE99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IV.5</w:t>
            </w:r>
          </w:p>
        </w:tc>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9EACCC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FBED69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73B591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7AD49E77"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9D02B6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21DBEB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000000" w:fill="FFFF00"/>
            <w:noWrap/>
            <w:vAlign w:val="center"/>
            <w:hideMark/>
          </w:tcPr>
          <w:p w14:paraId="5A2B854B"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360</w:t>
            </w:r>
          </w:p>
        </w:tc>
        <w:tc>
          <w:tcPr>
            <w:tcW w:w="760" w:type="dxa"/>
            <w:tcBorders>
              <w:top w:val="nil"/>
              <w:left w:val="nil"/>
              <w:bottom w:val="single" w:sz="4" w:space="0" w:color="auto"/>
              <w:right w:val="single" w:sz="4" w:space="0" w:color="auto"/>
            </w:tcBorders>
            <w:shd w:val="clear" w:color="000000" w:fill="FFFF00"/>
            <w:noWrap/>
            <w:vAlign w:val="center"/>
            <w:hideMark/>
          </w:tcPr>
          <w:p w14:paraId="52A57B4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360</w:t>
            </w:r>
          </w:p>
        </w:tc>
        <w:tc>
          <w:tcPr>
            <w:tcW w:w="760" w:type="dxa"/>
            <w:tcBorders>
              <w:top w:val="nil"/>
              <w:left w:val="nil"/>
              <w:bottom w:val="single" w:sz="4" w:space="0" w:color="auto"/>
              <w:right w:val="single" w:sz="4" w:space="0" w:color="auto"/>
            </w:tcBorders>
            <w:shd w:val="clear" w:color="auto" w:fill="auto"/>
            <w:noWrap/>
            <w:vAlign w:val="center"/>
            <w:hideMark/>
          </w:tcPr>
          <w:p w14:paraId="3176C48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345F6828"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4B2BA7F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64D6811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1424616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4" w:space="0" w:color="auto"/>
              <w:right w:val="single" w:sz="4" w:space="0" w:color="auto"/>
            </w:tcBorders>
            <w:shd w:val="clear" w:color="auto" w:fill="auto"/>
            <w:noWrap/>
            <w:vAlign w:val="center"/>
            <w:hideMark/>
          </w:tcPr>
          <w:p w14:paraId="52BA39EF"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4" w:space="0" w:color="auto"/>
              <w:right w:val="single" w:sz="8" w:space="0" w:color="auto"/>
            </w:tcBorders>
            <w:shd w:val="clear" w:color="000000" w:fill="92D050"/>
            <w:vAlign w:val="center"/>
            <w:hideMark/>
          </w:tcPr>
          <w:p w14:paraId="4D4D6D8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720</w:t>
            </w:r>
          </w:p>
        </w:tc>
        <w:tc>
          <w:tcPr>
            <w:tcW w:w="1220" w:type="dxa"/>
            <w:tcBorders>
              <w:top w:val="nil"/>
              <w:left w:val="nil"/>
              <w:bottom w:val="single" w:sz="4" w:space="0" w:color="auto"/>
              <w:right w:val="single" w:sz="8" w:space="0" w:color="auto"/>
            </w:tcBorders>
            <w:shd w:val="clear" w:color="000000" w:fill="D9D9D9"/>
            <w:vAlign w:val="center"/>
            <w:hideMark/>
          </w:tcPr>
          <w:p w14:paraId="2E6F968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Fonduri europene Buget local</w:t>
            </w:r>
          </w:p>
        </w:tc>
      </w:tr>
      <w:tr w:rsidR="004F44A8" w:rsidRPr="004F44A8" w14:paraId="0E450BA1" w14:textId="77777777" w:rsidTr="00C735D2">
        <w:trPr>
          <w:trHeight w:val="495"/>
        </w:trPr>
        <w:tc>
          <w:tcPr>
            <w:tcW w:w="880" w:type="dxa"/>
            <w:tcBorders>
              <w:top w:val="nil"/>
              <w:left w:val="single" w:sz="8" w:space="0" w:color="auto"/>
              <w:bottom w:val="nil"/>
              <w:right w:val="nil"/>
            </w:tcBorders>
            <w:shd w:val="clear" w:color="000000" w:fill="D9D9D9"/>
            <w:noWrap/>
            <w:vAlign w:val="center"/>
            <w:hideMark/>
          </w:tcPr>
          <w:p w14:paraId="7EB0DF6E"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X.4</w:t>
            </w:r>
          </w:p>
        </w:tc>
        <w:tc>
          <w:tcPr>
            <w:tcW w:w="760" w:type="dxa"/>
            <w:tcBorders>
              <w:top w:val="nil"/>
              <w:left w:val="single" w:sz="8" w:space="0" w:color="auto"/>
              <w:bottom w:val="single" w:sz="8" w:space="0" w:color="auto"/>
              <w:right w:val="single" w:sz="4" w:space="0" w:color="auto"/>
            </w:tcBorders>
            <w:shd w:val="clear" w:color="auto" w:fill="auto"/>
            <w:noWrap/>
            <w:vAlign w:val="center"/>
            <w:hideMark/>
          </w:tcPr>
          <w:p w14:paraId="627871C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000000" w:fill="FFFF00"/>
            <w:noWrap/>
            <w:vAlign w:val="center"/>
            <w:hideMark/>
          </w:tcPr>
          <w:p w14:paraId="41B0B71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700</w:t>
            </w:r>
          </w:p>
        </w:tc>
        <w:tc>
          <w:tcPr>
            <w:tcW w:w="760" w:type="dxa"/>
            <w:tcBorders>
              <w:top w:val="nil"/>
              <w:left w:val="nil"/>
              <w:bottom w:val="single" w:sz="8" w:space="0" w:color="auto"/>
              <w:right w:val="single" w:sz="4" w:space="0" w:color="auto"/>
            </w:tcBorders>
            <w:shd w:val="clear" w:color="000000" w:fill="FFFF00"/>
            <w:noWrap/>
            <w:vAlign w:val="center"/>
            <w:hideMark/>
          </w:tcPr>
          <w:p w14:paraId="336C5C6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300</w:t>
            </w:r>
          </w:p>
        </w:tc>
        <w:tc>
          <w:tcPr>
            <w:tcW w:w="760" w:type="dxa"/>
            <w:tcBorders>
              <w:top w:val="nil"/>
              <w:left w:val="nil"/>
              <w:bottom w:val="single" w:sz="8" w:space="0" w:color="auto"/>
              <w:right w:val="single" w:sz="4" w:space="0" w:color="auto"/>
            </w:tcBorders>
            <w:shd w:val="clear" w:color="auto" w:fill="auto"/>
            <w:noWrap/>
            <w:vAlign w:val="center"/>
            <w:hideMark/>
          </w:tcPr>
          <w:p w14:paraId="5F22732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47A76EF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7D57BEA2"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2A3937B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701AA8C3"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49C93FC5"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48A0370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456B751C"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46789926"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1B9828D0"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760" w:type="dxa"/>
            <w:tcBorders>
              <w:top w:val="nil"/>
              <w:left w:val="nil"/>
              <w:bottom w:val="single" w:sz="8" w:space="0" w:color="auto"/>
              <w:right w:val="single" w:sz="4" w:space="0" w:color="auto"/>
            </w:tcBorders>
            <w:shd w:val="clear" w:color="auto" w:fill="auto"/>
            <w:noWrap/>
            <w:vAlign w:val="center"/>
            <w:hideMark/>
          </w:tcPr>
          <w:p w14:paraId="37627D84"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 </w:t>
            </w:r>
          </w:p>
        </w:tc>
        <w:tc>
          <w:tcPr>
            <w:tcW w:w="820" w:type="dxa"/>
            <w:tcBorders>
              <w:top w:val="nil"/>
              <w:left w:val="nil"/>
              <w:bottom w:val="single" w:sz="8" w:space="0" w:color="auto"/>
              <w:right w:val="single" w:sz="8" w:space="0" w:color="auto"/>
            </w:tcBorders>
            <w:shd w:val="clear" w:color="000000" w:fill="92D050"/>
            <w:vAlign w:val="center"/>
            <w:hideMark/>
          </w:tcPr>
          <w:p w14:paraId="58761581"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1000</w:t>
            </w:r>
          </w:p>
        </w:tc>
        <w:tc>
          <w:tcPr>
            <w:tcW w:w="1220" w:type="dxa"/>
            <w:tcBorders>
              <w:top w:val="nil"/>
              <w:left w:val="nil"/>
              <w:bottom w:val="single" w:sz="4" w:space="0" w:color="auto"/>
              <w:right w:val="single" w:sz="8" w:space="0" w:color="auto"/>
            </w:tcBorders>
            <w:shd w:val="clear" w:color="000000" w:fill="D9D9D9"/>
            <w:vAlign w:val="center"/>
            <w:hideMark/>
          </w:tcPr>
          <w:p w14:paraId="4523ECED" w14:textId="77777777" w:rsidR="004F44A8" w:rsidRPr="004F44A8" w:rsidRDefault="004F44A8" w:rsidP="004F44A8">
            <w:pPr>
              <w:spacing w:after="0" w:line="240" w:lineRule="auto"/>
              <w:jc w:val="center"/>
              <w:rPr>
                <w:rFonts w:ascii="Arial" w:eastAsia="Times New Roman" w:hAnsi="Arial" w:cs="Arial"/>
                <w:sz w:val="16"/>
                <w:szCs w:val="16"/>
                <w:lang w:val="ro-RO" w:eastAsia="ro-RO"/>
              </w:rPr>
            </w:pPr>
            <w:r w:rsidRPr="004F44A8">
              <w:rPr>
                <w:rFonts w:ascii="Arial" w:eastAsia="Times New Roman" w:hAnsi="Arial" w:cs="Arial"/>
                <w:sz w:val="16"/>
                <w:szCs w:val="16"/>
                <w:lang w:val="ro-RO" w:eastAsia="ro-RO"/>
              </w:rPr>
              <w:t>POR 2021-2027 Buget local</w:t>
            </w:r>
          </w:p>
        </w:tc>
      </w:tr>
      <w:tr w:rsidR="004F44A8" w:rsidRPr="004F44A8" w14:paraId="73170DBA" w14:textId="77777777" w:rsidTr="00C735D2">
        <w:trPr>
          <w:trHeight w:val="270"/>
        </w:trPr>
        <w:tc>
          <w:tcPr>
            <w:tcW w:w="880" w:type="dxa"/>
            <w:tcBorders>
              <w:top w:val="single" w:sz="8" w:space="0" w:color="auto"/>
              <w:left w:val="single" w:sz="8" w:space="0" w:color="auto"/>
              <w:bottom w:val="single" w:sz="8" w:space="0" w:color="auto"/>
              <w:right w:val="single" w:sz="4" w:space="0" w:color="auto"/>
            </w:tcBorders>
            <w:shd w:val="clear" w:color="000000" w:fill="92D050"/>
            <w:noWrap/>
            <w:vAlign w:val="center"/>
            <w:hideMark/>
          </w:tcPr>
          <w:p w14:paraId="09DBD690"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TOTAL</w:t>
            </w:r>
          </w:p>
        </w:tc>
        <w:tc>
          <w:tcPr>
            <w:tcW w:w="760" w:type="dxa"/>
            <w:tcBorders>
              <w:top w:val="nil"/>
              <w:left w:val="nil"/>
              <w:bottom w:val="single" w:sz="8" w:space="0" w:color="auto"/>
              <w:right w:val="single" w:sz="4" w:space="0" w:color="auto"/>
            </w:tcBorders>
            <w:shd w:val="clear" w:color="000000" w:fill="92D050"/>
            <w:noWrap/>
            <w:vAlign w:val="bottom"/>
            <w:hideMark/>
          </w:tcPr>
          <w:p w14:paraId="51C31932"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456</w:t>
            </w:r>
          </w:p>
        </w:tc>
        <w:tc>
          <w:tcPr>
            <w:tcW w:w="760" w:type="dxa"/>
            <w:tcBorders>
              <w:top w:val="nil"/>
              <w:left w:val="nil"/>
              <w:bottom w:val="single" w:sz="8" w:space="0" w:color="auto"/>
              <w:right w:val="single" w:sz="4" w:space="0" w:color="auto"/>
            </w:tcBorders>
            <w:shd w:val="clear" w:color="000000" w:fill="92D050"/>
            <w:noWrap/>
            <w:vAlign w:val="bottom"/>
            <w:hideMark/>
          </w:tcPr>
          <w:p w14:paraId="44AA668F"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4685</w:t>
            </w:r>
          </w:p>
        </w:tc>
        <w:tc>
          <w:tcPr>
            <w:tcW w:w="760" w:type="dxa"/>
            <w:tcBorders>
              <w:top w:val="nil"/>
              <w:left w:val="nil"/>
              <w:bottom w:val="single" w:sz="8" w:space="0" w:color="auto"/>
              <w:right w:val="single" w:sz="4" w:space="0" w:color="auto"/>
            </w:tcBorders>
            <w:shd w:val="clear" w:color="000000" w:fill="92D050"/>
            <w:noWrap/>
            <w:vAlign w:val="bottom"/>
            <w:hideMark/>
          </w:tcPr>
          <w:p w14:paraId="582D5C28"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6390</w:t>
            </w:r>
          </w:p>
        </w:tc>
        <w:tc>
          <w:tcPr>
            <w:tcW w:w="760" w:type="dxa"/>
            <w:tcBorders>
              <w:top w:val="nil"/>
              <w:left w:val="nil"/>
              <w:bottom w:val="single" w:sz="8" w:space="0" w:color="auto"/>
              <w:right w:val="single" w:sz="4" w:space="0" w:color="auto"/>
            </w:tcBorders>
            <w:shd w:val="clear" w:color="000000" w:fill="92D050"/>
            <w:noWrap/>
            <w:vAlign w:val="bottom"/>
            <w:hideMark/>
          </w:tcPr>
          <w:p w14:paraId="5F354D0F"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4875</w:t>
            </w:r>
          </w:p>
        </w:tc>
        <w:tc>
          <w:tcPr>
            <w:tcW w:w="760" w:type="dxa"/>
            <w:tcBorders>
              <w:top w:val="nil"/>
              <w:left w:val="nil"/>
              <w:bottom w:val="single" w:sz="8" w:space="0" w:color="auto"/>
              <w:right w:val="single" w:sz="4" w:space="0" w:color="auto"/>
            </w:tcBorders>
            <w:shd w:val="clear" w:color="000000" w:fill="92D050"/>
            <w:noWrap/>
            <w:vAlign w:val="bottom"/>
            <w:hideMark/>
          </w:tcPr>
          <w:p w14:paraId="1ADA332F"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5670</w:t>
            </w:r>
          </w:p>
        </w:tc>
        <w:tc>
          <w:tcPr>
            <w:tcW w:w="760" w:type="dxa"/>
            <w:tcBorders>
              <w:top w:val="nil"/>
              <w:left w:val="nil"/>
              <w:bottom w:val="single" w:sz="8" w:space="0" w:color="auto"/>
              <w:right w:val="single" w:sz="4" w:space="0" w:color="auto"/>
            </w:tcBorders>
            <w:shd w:val="clear" w:color="000000" w:fill="92D050"/>
            <w:noWrap/>
            <w:vAlign w:val="bottom"/>
            <w:hideMark/>
          </w:tcPr>
          <w:p w14:paraId="3FEA59C8"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2500</w:t>
            </w:r>
          </w:p>
        </w:tc>
        <w:tc>
          <w:tcPr>
            <w:tcW w:w="760" w:type="dxa"/>
            <w:tcBorders>
              <w:top w:val="nil"/>
              <w:left w:val="nil"/>
              <w:bottom w:val="single" w:sz="8" w:space="0" w:color="auto"/>
              <w:right w:val="single" w:sz="4" w:space="0" w:color="auto"/>
            </w:tcBorders>
            <w:shd w:val="clear" w:color="000000" w:fill="92D050"/>
            <w:noWrap/>
            <w:vAlign w:val="bottom"/>
            <w:hideMark/>
          </w:tcPr>
          <w:p w14:paraId="1C8320FB"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3230</w:t>
            </w:r>
          </w:p>
        </w:tc>
        <w:tc>
          <w:tcPr>
            <w:tcW w:w="760" w:type="dxa"/>
            <w:tcBorders>
              <w:top w:val="nil"/>
              <w:left w:val="nil"/>
              <w:bottom w:val="single" w:sz="8" w:space="0" w:color="auto"/>
              <w:right w:val="single" w:sz="4" w:space="0" w:color="auto"/>
            </w:tcBorders>
            <w:shd w:val="clear" w:color="000000" w:fill="92D050"/>
            <w:noWrap/>
            <w:vAlign w:val="bottom"/>
            <w:hideMark/>
          </w:tcPr>
          <w:p w14:paraId="6D94F00F"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3130</w:t>
            </w:r>
          </w:p>
        </w:tc>
        <w:tc>
          <w:tcPr>
            <w:tcW w:w="760" w:type="dxa"/>
            <w:tcBorders>
              <w:top w:val="nil"/>
              <w:left w:val="nil"/>
              <w:bottom w:val="single" w:sz="8" w:space="0" w:color="auto"/>
              <w:right w:val="single" w:sz="4" w:space="0" w:color="auto"/>
            </w:tcBorders>
            <w:shd w:val="clear" w:color="000000" w:fill="92D050"/>
            <w:noWrap/>
            <w:vAlign w:val="bottom"/>
            <w:hideMark/>
          </w:tcPr>
          <w:p w14:paraId="05CA561B"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2100</w:t>
            </w:r>
          </w:p>
        </w:tc>
        <w:tc>
          <w:tcPr>
            <w:tcW w:w="760" w:type="dxa"/>
            <w:tcBorders>
              <w:top w:val="nil"/>
              <w:left w:val="nil"/>
              <w:bottom w:val="single" w:sz="8" w:space="0" w:color="auto"/>
              <w:right w:val="single" w:sz="4" w:space="0" w:color="auto"/>
            </w:tcBorders>
            <w:shd w:val="clear" w:color="000000" w:fill="92D050"/>
            <w:noWrap/>
            <w:vAlign w:val="bottom"/>
            <w:hideMark/>
          </w:tcPr>
          <w:p w14:paraId="3E55F797"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1000</w:t>
            </w:r>
          </w:p>
        </w:tc>
        <w:tc>
          <w:tcPr>
            <w:tcW w:w="760" w:type="dxa"/>
            <w:tcBorders>
              <w:top w:val="nil"/>
              <w:left w:val="nil"/>
              <w:bottom w:val="single" w:sz="8" w:space="0" w:color="auto"/>
              <w:right w:val="single" w:sz="4" w:space="0" w:color="auto"/>
            </w:tcBorders>
            <w:shd w:val="clear" w:color="000000" w:fill="92D050"/>
            <w:noWrap/>
            <w:vAlign w:val="bottom"/>
            <w:hideMark/>
          </w:tcPr>
          <w:p w14:paraId="03083506"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0</w:t>
            </w:r>
          </w:p>
        </w:tc>
        <w:tc>
          <w:tcPr>
            <w:tcW w:w="760" w:type="dxa"/>
            <w:tcBorders>
              <w:top w:val="nil"/>
              <w:left w:val="nil"/>
              <w:bottom w:val="single" w:sz="8" w:space="0" w:color="auto"/>
              <w:right w:val="single" w:sz="4" w:space="0" w:color="auto"/>
            </w:tcBorders>
            <w:shd w:val="clear" w:color="000000" w:fill="92D050"/>
            <w:noWrap/>
            <w:vAlign w:val="bottom"/>
            <w:hideMark/>
          </w:tcPr>
          <w:p w14:paraId="6CE6E07F"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0</w:t>
            </w:r>
          </w:p>
        </w:tc>
        <w:tc>
          <w:tcPr>
            <w:tcW w:w="760" w:type="dxa"/>
            <w:tcBorders>
              <w:top w:val="nil"/>
              <w:left w:val="nil"/>
              <w:bottom w:val="single" w:sz="8" w:space="0" w:color="auto"/>
              <w:right w:val="single" w:sz="4" w:space="0" w:color="auto"/>
            </w:tcBorders>
            <w:shd w:val="clear" w:color="000000" w:fill="92D050"/>
            <w:noWrap/>
            <w:vAlign w:val="bottom"/>
            <w:hideMark/>
          </w:tcPr>
          <w:p w14:paraId="703F669E"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0</w:t>
            </w:r>
          </w:p>
        </w:tc>
        <w:tc>
          <w:tcPr>
            <w:tcW w:w="760" w:type="dxa"/>
            <w:tcBorders>
              <w:top w:val="nil"/>
              <w:left w:val="nil"/>
              <w:bottom w:val="single" w:sz="8" w:space="0" w:color="auto"/>
              <w:right w:val="single" w:sz="4" w:space="0" w:color="auto"/>
            </w:tcBorders>
            <w:shd w:val="clear" w:color="000000" w:fill="92D050"/>
            <w:noWrap/>
            <w:vAlign w:val="bottom"/>
            <w:hideMark/>
          </w:tcPr>
          <w:p w14:paraId="4B509D54"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0</w:t>
            </w:r>
          </w:p>
        </w:tc>
        <w:tc>
          <w:tcPr>
            <w:tcW w:w="820" w:type="dxa"/>
            <w:tcBorders>
              <w:top w:val="nil"/>
              <w:left w:val="nil"/>
              <w:bottom w:val="single" w:sz="8" w:space="0" w:color="auto"/>
              <w:right w:val="nil"/>
            </w:tcBorders>
            <w:shd w:val="clear" w:color="000000" w:fill="92D050"/>
            <w:noWrap/>
            <w:vAlign w:val="bottom"/>
            <w:hideMark/>
          </w:tcPr>
          <w:p w14:paraId="6EB088F0"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34036</w:t>
            </w:r>
          </w:p>
        </w:tc>
        <w:tc>
          <w:tcPr>
            <w:tcW w:w="1220" w:type="dxa"/>
            <w:tcBorders>
              <w:top w:val="single" w:sz="8" w:space="0" w:color="auto"/>
              <w:left w:val="single" w:sz="8" w:space="0" w:color="auto"/>
              <w:bottom w:val="single" w:sz="8" w:space="0" w:color="auto"/>
              <w:right w:val="single" w:sz="8" w:space="0" w:color="auto"/>
            </w:tcBorders>
            <w:shd w:val="clear" w:color="000000" w:fill="92D050"/>
            <w:noWrap/>
            <w:vAlign w:val="center"/>
            <w:hideMark/>
          </w:tcPr>
          <w:p w14:paraId="05824ED6" w14:textId="77777777" w:rsidR="004F44A8" w:rsidRPr="004F44A8" w:rsidRDefault="004F44A8" w:rsidP="004F44A8">
            <w:pPr>
              <w:spacing w:after="0" w:line="240" w:lineRule="auto"/>
              <w:jc w:val="center"/>
              <w:rPr>
                <w:rFonts w:ascii="Arial" w:eastAsia="Times New Roman" w:hAnsi="Arial" w:cs="Arial"/>
                <w:b/>
                <w:bCs/>
                <w:sz w:val="16"/>
                <w:szCs w:val="16"/>
                <w:lang w:val="ro-RO" w:eastAsia="ro-RO"/>
              </w:rPr>
            </w:pPr>
            <w:r w:rsidRPr="004F44A8">
              <w:rPr>
                <w:rFonts w:ascii="Arial" w:eastAsia="Times New Roman" w:hAnsi="Arial" w:cs="Arial"/>
                <w:b/>
                <w:bCs/>
                <w:sz w:val="16"/>
                <w:szCs w:val="16"/>
                <w:lang w:val="ro-RO" w:eastAsia="ro-RO"/>
              </w:rPr>
              <w:t> </w:t>
            </w:r>
          </w:p>
        </w:tc>
      </w:tr>
    </w:tbl>
    <w:p w14:paraId="56769C4B" w14:textId="77777777" w:rsidR="00D81E18" w:rsidRDefault="00D81E18" w:rsidP="00D81E18">
      <w:pPr>
        <w:tabs>
          <w:tab w:val="left" w:pos="2580"/>
        </w:tabs>
        <w:rPr>
          <w:rFonts w:ascii="Arial" w:eastAsia="Times New Roman" w:hAnsi="Arial" w:cs="Arial"/>
          <w:b/>
          <w:sz w:val="24"/>
          <w:szCs w:val="24"/>
          <w:lang w:val="it-IT" w:eastAsia="ro-RO"/>
        </w:rPr>
        <w:sectPr w:rsidR="00D81E18" w:rsidSect="00365C2F">
          <w:pgSz w:w="15840" w:h="12240" w:orient="landscape"/>
          <w:pgMar w:top="1440" w:right="720" w:bottom="1440" w:left="1440" w:header="706" w:footer="720" w:gutter="0"/>
          <w:cols w:space="720"/>
          <w:titlePg/>
          <w:docGrid w:linePitch="360"/>
        </w:sectPr>
      </w:pPr>
      <w:r>
        <w:rPr>
          <w:rFonts w:ascii="Arial" w:eastAsia="Times New Roman" w:hAnsi="Arial" w:cs="Arial"/>
          <w:b/>
          <w:sz w:val="24"/>
          <w:szCs w:val="24"/>
          <w:lang w:val="it-IT" w:eastAsia="ro-RO"/>
        </w:rPr>
        <w:tab/>
      </w:r>
    </w:p>
    <w:p w14:paraId="1F56CFAD" w14:textId="77777777" w:rsidR="00365C2F" w:rsidRPr="007D0E88" w:rsidRDefault="00365C2F" w:rsidP="00365C2F">
      <w:pPr>
        <w:suppressAutoHyphens/>
        <w:autoSpaceDE w:val="0"/>
        <w:spacing w:after="0" w:line="360" w:lineRule="auto"/>
        <w:jc w:val="both"/>
        <w:rPr>
          <w:rFonts w:ascii="Arial" w:eastAsia="Calibri" w:hAnsi="Arial" w:cs="Arial"/>
          <w:b/>
          <w:color w:val="000000"/>
          <w:lang w:eastAsia="zh-CN"/>
        </w:rPr>
      </w:pPr>
      <w:r w:rsidRPr="007D0E88">
        <w:rPr>
          <w:rFonts w:ascii="Arial" w:eastAsia="Calibri" w:hAnsi="Arial" w:cs="Arial"/>
          <w:b/>
          <w:bCs/>
          <w:color w:val="000000"/>
          <w:lang w:eastAsia="zh-CN"/>
        </w:rPr>
        <w:lastRenderedPageBreak/>
        <w:t>Anvelopa financiar</w:t>
      </w:r>
      <w:r w:rsidRPr="007D0E88">
        <w:rPr>
          <w:rFonts w:ascii="Arial" w:eastAsia="Calibri" w:hAnsi="Arial" w:cs="Arial"/>
          <w:b/>
          <w:color w:val="000000"/>
          <w:lang w:eastAsia="zh-CN"/>
        </w:rPr>
        <w:t>ă</w:t>
      </w:r>
    </w:p>
    <w:p w14:paraId="6069DEF0" w14:textId="77777777" w:rsidR="00365C2F" w:rsidRPr="008F5B8D" w:rsidRDefault="00365C2F" w:rsidP="00365C2F">
      <w:pPr>
        <w:suppressAutoHyphens/>
        <w:autoSpaceDE w:val="0"/>
        <w:spacing w:after="0" w:line="360" w:lineRule="auto"/>
        <w:jc w:val="both"/>
        <w:rPr>
          <w:rFonts w:ascii="Arial" w:eastAsia="Calibri" w:hAnsi="Arial" w:cs="Arial"/>
          <w:color w:val="000000"/>
          <w:lang w:eastAsia="zh-CN"/>
        </w:rPr>
      </w:pPr>
    </w:p>
    <w:p w14:paraId="589A74C7" w14:textId="1B0D89E8" w:rsidR="00365C2F" w:rsidRPr="005C1C72" w:rsidRDefault="005C1C72" w:rsidP="005C1C72">
      <w:pPr>
        <w:pStyle w:val="Legend"/>
        <w:jc w:val="center"/>
        <w:rPr>
          <w:rFonts w:ascii="Arial" w:hAnsi="Arial" w:cs="Arial"/>
          <w:i w:val="0"/>
          <w:iCs w:val="0"/>
          <w:kern w:val="1"/>
          <w:sz w:val="22"/>
          <w:szCs w:val="22"/>
          <w:lang w:val="ro-RO" w:eastAsia="hi-IN" w:bidi="hi-IN"/>
        </w:rPr>
      </w:pPr>
      <w:bookmarkStart w:id="636" w:name="_Toc68361307"/>
      <w:bookmarkStart w:id="637" w:name="_Toc96463930"/>
      <w:r w:rsidRPr="005C1C72">
        <w:rPr>
          <w:rFonts w:ascii="Arial" w:hAnsi="Arial" w:cs="Arial"/>
          <w:sz w:val="22"/>
          <w:szCs w:val="22"/>
        </w:rPr>
        <w:t xml:space="preserve">Tabel I.8. </w:t>
      </w:r>
      <w:r w:rsidRPr="005C1C72">
        <w:rPr>
          <w:rFonts w:ascii="Arial" w:hAnsi="Arial" w:cs="Arial"/>
          <w:sz w:val="22"/>
          <w:szCs w:val="22"/>
        </w:rPr>
        <w:fldChar w:fldCharType="begin"/>
      </w:r>
      <w:r w:rsidRPr="005C1C72">
        <w:rPr>
          <w:rFonts w:ascii="Arial" w:hAnsi="Arial" w:cs="Arial"/>
          <w:sz w:val="22"/>
          <w:szCs w:val="22"/>
        </w:rPr>
        <w:instrText xml:space="preserve"> SEQ Tabel_I.8. \* ARABIC </w:instrText>
      </w:r>
      <w:r w:rsidRPr="005C1C72">
        <w:rPr>
          <w:rFonts w:ascii="Arial" w:hAnsi="Arial" w:cs="Arial"/>
          <w:sz w:val="22"/>
          <w:szCs w:val="22"/>
        </w:rPr>
        <w:fldChar w:fldCharType="separate"/>
      </w:r>
      <w:r w:rsidR="00BB181C">
        <w:rPr>
          <w:rFonts w:ascii="Arial" w:hAnsi="Arial" w:cs="Arial"/>
          <w:noProof/>
          <w:sz w:val="22"/>
          <w:szCs w:val="22"/>
        </w:rPr>
        <w:t>3</w:t>
      </w:r>
      <w:r w:rsidRPr="005C1C72">
        <w:rPr>
          <w:rFonts w:ascii="Arial" w:hAnsi="Arial" w:cs="Arial"/>
          <w:sz w:val="22"/>
          <w:szCs w:val="22"/>
        </w:rPr>
        <w:fldChar w:fldCharType="end"/>
      </w:r>
      <w:r w:rsidRPr="005C1C72">
        <w:rPr>
          <w:rFonts w:ascii="Arial" w:hAnsi="Arial" w:cs="Arial"/>
          <w:sz w:val="22"/>
          <w:szCs w:val="22"/>
        </w:rPr>
        <w:t xml:space="preserve"> </w:t>
      </w:r>
      <w:r w:rsidR="007D0E88" w:rsidRPr="005C1C72">
        <w:rPr>
          <w:rFonts w:ascii="Arial" w:hAnsi="Arial" w:cs="Arial"/>
          <w:sz w:val="22"/>
          <w:szCs w:val="22"/>
        </w:rPr>
        <w:t xml:space="preserve">- </w:t>
      </w:r>
      <w:r w:rsidR="007D0E88" w:rsidRPr="005C1C72">
        <w:rPr>
          <w:rFonts w:ascii="Arial" w:hAnsi="Arial" w:cs="Arial"/>
          <w:i w:val="0"/>
          <w:iCs w:val="0"/>
          <w:sz w:val="22"/>
          <w:szCs w:val="22"/>
        </w:rPr>
        <w:t>Estimarea bugetului pe surse de finanțare și ani</w:t>
      </w:r>
      <w:bookmarkEnd w:id="636"/>
      <w:bookmarkEnd w:id="637"/>
    </w:p>
    <w:tbl>
      <w:tblPr>
        <w:tblW w:w="5906" w:type="dxa"/>
        <w:jc w:val="center"/>
        <w:tblLook w:val="04A0" w:firstRow="1" w:lastRow="0" w:firstColumn="1" w:lastColumn="0" w:noHBand="0" w:noVBand="1"/>
      </w:tblPr>
      <w:tblGrid>
        <w:gridCol w:w="1827"/>
        <w:gridCol w:w="958"/>
        <w:gridCol w:w="1201"/>
        <w:gridCol w:w="939"/>
        <w:gridCol w:w="981"/>
      </w:tblGrid>
      <w:tr w:rsidR="00FB20C9" w:rsidRPr="00FB20C9" w14:paraId="2E5FA714" w14:textId="77777777" w:rsidTr="00FB20C9">
        <w:trPr>
          <w:trHeight w:val="525"/>
          <w:jc w:val="center"/>
        </w:trPr>
        <w:tc>
          <w:tcPr>
            <w:tcW w:w="1827" w:type="dxa"/>
            <w:tcBorders>
              <w:top w:val="single" w:sz="8" w:space="0" w:color="auto"/>
              <w:left w:val="single" w:sz="8" w:space="0" w:color="auto"/>
              <w:bottom w:val="single" w:sz="8" w:space="0" w:color="auto"/>
              <w:right w:val="single" w:sz="4" w:space="0" w:color="auto"/>
            </w:tcBorders>
            <w:shd w:val="clear" w:color="000000" w:fill="D9D9D9"/>
            <w:vAlign w:val="center"/>
            <w:hideMark/>
          </w:tcPr>
          <w:p w14:paraId="387EDD18"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 </w:t>
            </w:r>
          </w:p>
        </w:tc>
        <w:tc>
          <w:tcPr>
            <w:tcW w:w="958" w:type="dxa"/>
            <w:tcBorders>
              <w:top w:val="single" w:sz="8" w:space="0" w:color="auto"/>
              <w:left w:val="nil"/>
              <w:bottom w:val="single" w:sz="8" w:space="0" w:color="auto"/>
              <w:right w:val="single" w:sz="4" w:space="0" w:color="auto"/>
            </w:tcBorders>
            <w:shd w:val="clear" w:color="000000" w:fill="D9D9D9"/>
            <w:vAlign w:val="center"/>
            <w:hideMark/>
          </w:tcPr>
          <w:p w14:paraId="75F4C3A6" w14:textId="77777777" w:rsidR="00FB20C9" w:rsidRPr="00FB20C9" w:rsidRDefault="00FB20C9" w:rsidP="00FB20C9">
            <w:pPr>
              <w:spacing w:after="0" w:line="240" w:lineRule="auto"/>
              <w:jc w:val="center"/>
              <w:rPr>
                <w:rFonts w:ascii="Arial" w:eastAsia="Times New Roman" w:hAnsi="Arial" w:cs="Arial"/>
                <w:b/>
                <w:bCs/>
                <w:color w:val="000000"/>
                <w:sz w:val="20"/>
                <w:szCs w:val="20"/>
                <w:lang w:val="ro-RO" w:eastAsia="ro-RO"/>
              </w:rPr>
            </w:pPr>
            <w:r w:rsidRPr="00FB20C9">
              <w:rPr>
                <w:rFonts w:ascii="Arial" w:eastAsia="Times New Roman" w:hAnsi="Arial" w:cs="Arial"/>
                <w:b/>
                <w:bCs/>
                <w:color w:val="000000"/>
                <w:sz w:val="20"/>
                <w:szCs w:val="20"/>
                <w:lang w:val="ro-RO" w:eastAsia="ro-RO"/>
              </w:rPr>
              <w:t>Buget local</w:t>
            </w:r>
          </w:p>
        </w:tc>
        <w:tc>
          <w:tcPr>
            <w:tcW w:w="1201" w:type="dxa"/>
            <w:tcBorders>
              <w:top w:val="single" w:sz="8" w:space="0" w:color="auto"/>
              <w:left w:val="nil"/>
              <w:bottom w:val="single" w:sz="8" w:space="0" w:color="auto"/>
              <w:right w:val="single" w:sz="4" w:space="0" w:color="auto"/>
            </w:tcBorders>
            <w:shd w:val="clear" w:color="000000" w:fill="D9D9D9"/>
            <w:vAlign w:val="center"/>
            <w:hideMark/>
          </w:tcPr>
          <w:p w14:paraId="4A02A0A7" w14:textId="77777777" w:rsidR="00FB20C9" w:rsidRPr="00FB20C9" w:rsidRDefault="00FB20C9" w:rsidP="00FB20C9">
            <w:pPr>
              <w:spacing w:after="0" w:line="240" w:lineRule="auto"/>
              <w:jc w:val="center"/>
              <w:rPr>
                <w:rFonts w:ascii="Arial" w:eastAsia="Times New Roman" w:hAnsi="Arial" w:cs="Arial"/>
                <w:b/>
                <w:bCs/>
                <w:color w:val="000000"/>
                <w:sz w:val="20"/>
                <w:szCs w:val="20"/>
                <w:lang w:val="ro-RO" w:eastAsia="ro-RO"/>
              </w:rPr>
            </w:pPr>
            <w:r w:rsidRPr="00FB20C9">
              <w:rPr>
                <w:rFonts w:ascii="Arial" w:eastAsia="Times New Roman" w:hAnsi="Arial" w:cs="Arial"/>
                <w:b/>
                <w:bCs/>
                <w:color w:val="000000"/>
                <w:sz w:val="20"/>
                <w:szCs w:val="20"/>
                <w:lang w:val="ro-RO" w:eastAsia="ro-RO"/>
              </w:rPr>
              <w:t>POR    2021-2027</w:t>
            </w:r>
          </w:p>
        </w:tc>
        <w:tc>
          <w:tcPr>
            <w:tcW w:w="939" w:type="dxa"/>
            <w:tcBorders>
              <w:top w:val="single" w:sz="8" w:space="0" w:color="auto"/>
              <w:left w:val="nil"/>
              <w:bottom w:val="single" w:sz="8" w:space="0" w:color="auto"/>
              <w:right w:val="single" w:sz="4" w:space="0" w:color="auto"/>
            </w:tcBorders>
            <w:shd w:val="clear" w:color="000000" w:fill="D9D9D9"/>
            <w:vAlign w:val="center"/>
            <w:hideMark/>
          </w:tcPr>
          <w:p w14:paraId="61DA0F7E" w14:textId="77777777" w:rsidR="00FB20C9" w:rsidRPr="00FB20C9" w:rsidRDefault="00FB20C9" w:rsidP="00FB20C9">
            <w:pPr>
              <w:spacing w:after="0" w:line="240" w:lineRule="auto"/>
              <w:jc w:val="center"/>
              <w:rPr>
                <w:rFonts w:ascii="Arial" w:eastAsia="Times New Roman" w:hAnsi="Arial" w:cs="Arial"/>
                <w:b/>
                <w:bCs/>
                <w:color w:val="000000"/>
                <w:sz w:val="20"/>
                <w:szCs w:val="20"/>
                <w:lang w:val="ro-RO" w:eastAsia="ro-RO"/>
              </w:rPr>
            </w:pPr>
            <w:r w:rsidRPr="00FB20C9">
              <w:rPr>
                <w:rFonts w:ascii="Arial" w:eastAsia="Times New Roman" w:hAnsi="Arial" w:cs="Arial"/>
                <w:b/>
                <w:bCs/>
                <w:color w:val="000000"/>
                <w:sz w:val="20"/>
                <w:szCs w:val="20"/>
                <w:lang w:val="ro-RO" w:eastAsia="ro-RO"/>
              </w:rPr>
              <w:t>Alte surse</w:t>
            </w:r>
          </w:p>
        </w:tc>
        <w:tc>
          <w:tcPr>
            <w:tcW w:w="981" w:type="dxa"/>
            <w:tcBorders>
              <w:top w:val="single" w:sz="8" w:space="0" w:color="auto"/>
              <w:left w:val="nil"/>
              <w:bottom w:val="single" w:sz="8" w:space="0" w:color="auto"/>
              <w:right w:val="single" w:sz="8" w:space="0" w:color="auto"/>
            </w:tcBorders>
            <w:shd w:val="clear" w:color="000000" w:fill="D9D9D9"/>
            <w:vAlign w:val="center"/>
            <w:hideMark/>
          </w:tcPr>
          <w:p w14:paraId="0591330A" w14:textId="77777777" w:rsidR="00FB20C9" w:rsidRPr="00FB20C9" w:rsidRDefault="00FB20C9" w:rsidP="00FB20C9">
            <w:pPr>
              <w:spacing w:after="0" w:line="240" w:lineRule="auto"/>
              <w:jc w:val="center"/>
              <w:rPr>
                <w:rFonts w:ascii="Arial" w:eastAsia="Times New Roman" w:hAnsi="Arial" w:cs="Arial"/>
                <w:b/>
                <w:bCs/>
                <w:color w:val="000000"/>
                <w:sz w:val="20"/>
                <w:szCs w:val="20"/>
                <w:lang w:val="ro-RO" w:eastAsia="ro-RO"/>
              </w:rPr>
            </w:pPr>
            <w:r w:rsidRPr="00FB20C9">
              <w:rPr>
                <w:rFonts w:ascii="Arial" w:eastAsia="Times New Roman" w:hAnsi="Arial" w:cs="Arial"/>
                <w:b/>
                <w:bCs/>
                <w:color w:val="000000"/>
                <w:sz w:val="20"/>
                <w:szCs w:val="20"/>
                <w:lang w:val="ro-RO" w:eastAsia="ro-RO"/>
              </w:rPr>
              <w:t>Total</w:t>
            </w:r>
          </w:p>
        </w:tc>
      </w:tr>
      <w:tr w:rsidR="00FB20C9" w:rsidRPr="00FB20C9" w14:paraId="5C5B2D9E"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269976B2"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2022</w:t>
            </w:r>
          </w:p>
        </w:tc>
        <w:tc>
          <w:tcPr>
            <w:tcW w:w="958" w:type="dxa"/>
            <w:tcBorders>
              <w:top w:val="nil"/>
              <w:left w:val="nil"/>
              <w:bottom w:val="single" w:sz="4" w:space="0" w:color="auto"/>
              <w:right w:val="single" w:sz="4" w:space="0" w:color="auto"/>
            </w:tcBorders>
            <w:shd w:val="clear" w:color="auto" w:fill="auto"/>
            <w:vAlign w:val="center"/>
            <w:hideMark/>
          </w:tcPr>
          <w:p w14:paraId="686B48A1"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81,12</w:t>
            </w:r>
          </w:p>
        </w:tc>
        <w:tc>
          <w:tcPr>
            <w:tcW w:w="1201" w:type="dxa"/>
            <w:tcBorders>
              <w:top w:val="nil"/>
              <w:left w:val="nil"/>
              <w:bottom w:val="single" w:sz="4" w:space="0" w:color="auto"/>
              <w:right w:val="single" w:sz="4" w:space="0" w:color="auto"/>
            </w:tcBorders>
            <w:shd w:val="clear" w:color="auto" w:fill="auto"/>
            <w:vAlign w:val="center"/>
            <w:hideMark/>
          </w:tcPr>
          <w:p w14:paraId="76CE2AA4"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54,88</w:t>
            </w:r>
          </w:p>
        </w:tc>
        <w:tc>
          <w:tcPr>
            <w:tcW w:w="939" w:type="dxa"/>
            <w:tcBorders>
              <w:top w:val="nil"/>
              <w:left w:val="nil"/>
              <w:bottom w:val="single" w:sz="4" w:space="0" w:color="auto"/>
              <w:right w:val="single" w:sz="4" w:space="0" w:color="auto"/>
            </w:tcBorders>
            <w:shd w:val="clear" w:color="auto" w:fill="auto"/>
            <w:vAlign w:val="center"/>
            <w:hideMark/>
          </w:tcPr>
          <w:p w14:paraId="5E46D3D5"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320</w:t>
            </w:r>
          </w:p>
        </w:tc>
        <w:tc>
          <w:tcPr>
            <w:tcW w:w="981" w:type="dxa"/>
            <w:tcBorders>
              <w:top w:val="nil"/>
              <w:left w:val="nil"/>
              <w:bottom w:val="single" w:sz="4" w:space="0" w:color="auto"/>
              <w:right w:val="single" w:sz="8" w:space="0" w:color="auto"/>
            </w:tcBorders>
            <w:shd w:val="clear" w:color="auto" w:fill="auto"/>
            <w:vAlign w:val="center"/>
            <w:hideMark/>
          </w:tcPr>
          <w:p w14:paraId="5E396EC4"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456</w:t>
            </w:r>
          </w:p>
        </w:tc>
      </w:tr>
      <w:tr w:rsidR="00FB20C9" w:rsidRPr="00FB20C9" w14:paraId="59204D62" w14:textId="77777777" w:rsidTr="00FB20C9">
        <w:trPr>
          <w:trHeight w:val="315"/>
          <w:jc w:val="center"/>
        </w:trPr>
        <w:tc>
          <w:tcPr>
            <w:tcW w:w="1827" w:type="dxa"/>
            <w:tcBorders>
              <w:top w:val="nil"/>
              <w:left w:val="single" w:sz="8" w:space="0" w:color="auto"/>
              <w:bottom w:val="nil"/>
              <w:right w:val="single" w:sz="8" w:space="0" w:color="auto"/>
            </w:tcBorders>
            <w:shd w:val="clear" w:color="auto" w:fill="auto"/>
            <w:vAlign w:val="center"/>
            <w:hideMark/>
          </w:tcPr>
          <w:p w14:paraId="30F1ED20"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2023</w:t>
            </w:r>
          </w:p>
        </w:tc>
        <w:tc>
          <w:tcPr>
            <w:tcW w:w="958" w:type="dxa"/>
            <w:tcBorders>
              <w:top w:val="nil"/>
              <w:left w:val="nil"/>
              <w:bottom w:val="nil"/>
              <w:right w:val="single" w:sz="4" w:space="0" w:color="auto"/>
            </w:tcBorders>
            <w:shd w:val="clear" w:color="auto" w:fill="auto"/>
            <w:vAlign w:val="center"/>
            <w:hideMark/>
          </w:tcPr>
          <w:p w14:paraId="4C22BF96"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611,8</w:t>
            </w:r>
          </w:p>
        </w:tc>
        <w:tc>
          <w:tcPr>
            <w:tcW w:w="1201" w:type="dxa"/>
            <w:tcBorders>
              <w:top w:val="nil"/>
              <w:left w:val="nil"/>
              <w:bottom w:val="nil"/>
              <w:right w:val="single" w:sz="4" w:space="0" w:color="auto"/>
            </w:tcBorders>
            <w:shd w:val="clear" w:color="auto" w:fill="auto"/>
            <w:vAlign w:val="center"/>
            <w:hideMark/>
          </w:tcPr>
          <w:p w14:paraId="6C1CCAF6"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3273,2</w:t>
            </w:r>
          </w:p>
        </w:tc>
        <w:tc>
          <w:tcPr>
            <w:tcW w:w="939" w:type="dxa"/>
            <w:tcBorders>
              <w:top w:val="nil"/>
              <w:left w:val="nil"/>
              <w:bottom w:val="nil"/>
              <w:right w:val="single" w:sz="4" w:space="0" w:color="auto"/>
            </w:tcBorders>
            <w:shd w:val="clear" w:color="auto" w:fill="auto"/>
            <w:vAlign w:val="center"/>
            <w:hideMark/>
          </w:tcPr>
          <w:p w14:paraId="27A327AB"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800</w:t>
            </w:r>
          </w:p>
        </w:tc>
        <w:tc>
          <w:tcPr>
            <w:tcW w:w="981" w:type="dxa"/>
            <w:tcBorders>
              <w:top w:val="nil"/>
              <w:left w:val="nil"/>
              <w:bottom w:val="nil"/>
              <w:right w:val="single" w:sz="8" w:space="0" w:color="auto"/>
            </w:tcBorders>
            <w:shd w:val="clear" w:color="auto" w:fill="auto"/>
            <w:vAlign w:val="center"/>
            <w:hideMark/>
          </w:tcPr>
          <w:p w14:paraId="39359EF7"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4685</w:t>
            </w:r>
          </w:p>
        </w:tc>
      </w:tr>
      <w:tr w:rsidR="00FB20C9" w:rsidRPr="00FB20C9" w14:paraId="0558ACBF" w14:textId="77777777" w:rsidTr="00FB20C9">
        <w:trPr>
          <w:trHeight w:val="315"/>
          <w:jc w:val="center"/>
        </w:trPr>
        <w:tc>
          <w:tcPr>
            <w:tcW w:w="1827" w:type="dxa"/>
            <w:tcBorders>
              <w:top w:val="single" w:sz="8" w:space="0" w:color="auto"/>
              <w:left w:val="single" w:sz="8" w:space="0" w:color="auto"/>
              <w:bottom w:val="single" w:sz="8" w:space="0" w:color="auto"/>
              <w:right w:val="single" w:sz="8" w:space="0" w:color="auto"/>
            </w:tcBorders>
            <w:shd w:val="clear" w:color="000000" w:fill="FFC000"/>
            <w:vAlign w:val="center"/>
            <w:hideMark/>
          </w:tcPr>
          <w:p w14:paraId="474598C5" w14:textId="77777777" w:rsidR="00FB20C9" w:rsidRPr="00FB20C9" w:rsidRDefault="00FB20C9" w:rsidP="00FB20C9">
            <w:pPr>
              <w:spacing w:after="0" w:line="240" w:lineRule="auto"/>
              <w:jc w:val="both"/>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Total 2022-2023</w:t>
            </w:r>
          </w:p>
        </w:tc>
        <w:tc>
          <w:tcPr>
            <w:tcW w:w="958" w:type="dxa"/>
            <w:tcBorders>
              <w:top w:val="single" w:sz="8" w:space="0" w:color="auto"/>
              <w:left w:val="nil"/>
              <w:bottom w:val="single" w:sz="8" w:space="0" w:color="auto"/>
              <w:right w:val="single" w:sz="4" w:space="0" w:color="auto"/>
            </w:tcBorders>
            <w:shd w:val="clear" w:color="000000" w:fill="FFC000"/>
            <w:vAlign w:val="center"/>
            <w:hideMark/>
          </w:tcPr>
          <w:p w14:paraId="5402942F"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692,92</w:t>
            </w:r>
          </w:p>
        </w:tc>
        <w:tc>
          <w:tcPr>
            <w:tcW w:w="1201" w:type="dxa"/>
            <w:tcBorders>
              <w:top w:val="single" w:sz="8" w:space="0" w:color="auto"/>
              <w:left w:val="nil"/>
              <w:bottom w:val="single" w:sz="8" w:space="0" w:color="auto"/>
              <w:right w:val="single" w:sz="4" w:space="0" w:color="auto"/>
            </w:tcBorders>
            <w:shd w:val="clear" w:color="000000" w:fill="FFC000"/>
            <w:vAlign w:val="center"/>
            <w:hideMark/>
          </w:tcPr>
          <w:p w14:paraId="01FBA805"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3328,08</w:t>
            </w:r>
          </w:p>
        </w:tc>
        <w:tc>
          <w:tcPr>
            <w:tcW w:w="939" w:type="dxa"/>
            <w:tcBorders>
              <w:top w:val="single" w:sz="8" w:space="0" w:color="auto"/>
              <w:left w:val="nil"/>
              <w:bottom w:val="single" w:sz="8" w:space="0" w:color="auto"/>
              <w:right w:val="single" w:sz="4" w:space="0" w:color="auto"/>
            </w:tcBorders>
            <w:shd w:val="clear" w:color="000000" w:fill="FFC000"/>
            <w:vAlign w:val="center"/>
            <w:hideMark/>
          </w:tcPr>
          <w:p w14:paraId="2E696C3C"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1120</w:t>
            </w:r>
          </w:p>
        </w:tc>
        <w:tc>
          <w:tcPr>
            <w:tcW w:w="981" w:type="dxa"/>
            <w:tcBorders>
              <w:top w:val="single" w:sz="8" w:space="0" w:color="auto"/>
              <w:left w:val="nil"/>
              <w:bottom w:val="single" w:sz="8" w:space="0" w:color="auto"/>
              <w:right w:val="single" w:sz="8" w:space="0" w:color="auto"/>
            </w:tcBorders>
            <w:shd w:val="clear" w:color="000000" w:fill="FFC000"/>
            <w:vAlign w:val="center"/>
            <w:hideMark/>
          </w:tcPr>
          <w:p w14:paraId="1D69F7EB"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5141</w:t>
            </w:r>
          </w:p>
        </w:tc>
      </w:tr>
      <w:tr w:rsidR="00FB20C9" w:rsidRPr="00FB20C9" w14:paraId="096D98A7"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35E7BB9B"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2024</w:t>
            </w:r>
          </w:p>
        </w:tc>
        <w:tc>
          <w:tcPr>
            <w:tcW w:w="958" w:type="dxa"/>
            <w:tcBorders>
              <w:top w:val="nil"/>
              <w:left w:val="nil"/>
              <w:bottom w:val="single" w:sz="4" w:space="0" w:color="auto"/>
              <w:right w:val="single" w:sz="4" w:space="0" w:color="auto"/>
            </w:tcBorders>
            <w:shd w:val="clear" w:color="auto" w:fill="auto"/>
            <w:vAlign w:val="center"/>
            <w:hideMark/>
          </w:tcPr>
          <w:p w14:paraId="16150732"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1264,3</w:t>
            </w:r>
          </w:p>
        </w:tc>
        <w:tc>
          <w:tcPr>
            <w:tcW w:w="1201" w:type="dxa"/>
            <w:tcBorders>
              <w:top w:val="nil"/>
              <w:left w:val="nil"/>
              <w:bottom w:val="single" w:sz="4" w:space="0" w:color="auto"/>
              <w:right w:val="single" w:sz="4" w:space="0" w:color="auto"/>
            </w:tcBorders>
            <w:shd w:val="clear" w:color="auto" w:fill="auto"/>
            <w:vAlign w:val="center"/>
            <w:hideMark/>
          </w:tcPr>
          <w:p w14:paraId="3FC1D37E"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1925,7</w:t>
            </w:r>
          </w:p>
        </w:tc>
        <w:tc>
          <w:tcPr>
            <w:tcW w:w="939" w:type="dxa"/>
            <w:tcBorders>
              <w:top w:val="nil"/>
              <w:left w:val="nil"/>
              <w:bottom w:val="single" w:sz="4" w:space="0" w:color="auto"/>
              <w:right w:val="single" w:sz="4" w:space="0" w:color="auto"/>
            </w:tcBorders>
            <w:shd w:val="clear" w:color="auto" w:fill="auto"/>
            <w:vAlign w:val="center"/>
            <w:hideMark/>
          </w:tcPr>
          <w:p w14:paraId="09DB69CF"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3200</w:t>
            </w:r>
          </w:p>
        </w:tc>
        <w:tc>
          <w:tcPr>
            <w:tcW w:w="981" w:type="dxa"/>
            <w:tcBorders>
              <w:top w:val="nil"/>
              <w:left w:val="nil"/>
              <w:bottom w:val="single" w:sz="4" w:space="0" w:color="auto"/>
              <w:right w:val="single" w:sz="8" w:space="0" w:color="auto"/>
            </w:tcBorders>
            <w:shd w:val="clear" w:color="auto" w:fill="auto"/>
            <w:vAlign w:val="center"/>
            <w:hideMark/>
          </w:tcPr>
          <w:p w14:paraId="4176E64B"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6390</w:t>
            </w:r>
          </w:p>
        </w:tc>
      </w:tr>
      <w:tr w:rsidR="00FB20C9" w:rsidRPr="00FB20C9" w14:paraId="2AA36DC1"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4C85E422"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2025</w:t>
            </w:r>
          </w:p>
        </w:tc>
        <w:tc>
          <w:tcPr>
            <w:tcW w:w="958" w:type="dxa"/>
            <w:tcBorders>
              <w:top w:val="nil"/>
              <w:left w:val="nil"/>
              <w:bottom w:val="single" w:sz="4" w:space="0" w:color="auto"/>
              <w:right w:val="single" w:sz="4" w:space="0" w:color="auto"/>
            </w:tcBorders>
            <w:shd w:val="clear" w:color="auto" w:fill="auto"/>
            <w:vAlign w:val="center"/>
            <w:hideMark/>
          </w:tcPr>
          <w:p w14:paraId="478DBF4C"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1111,5</w:t>
            </w:r>
          </w:p>
        </w:tc>
        <w:tc>
          <w:tcPr>
            <w:tcW w:w="1201" w:type="dxa"/>
            <w:tcBorders>
              <w:top w:val="nil"/>
              <w:left w:val="nil"/>
              <w:bottom w:val="single" w:sz="4" w:space="0" w:color="auto"/>
              <w:right w:val="single" w:sz="4" w:space="0" w:color="auto"/>
            </w:tcBorders>
            <w:shd w:val="clear" w:color="auto" w:fill="auto"/>
            <w:vAlign w:val="center"/>
            <w:hideMark/>
          </w:tcPr>
          <w:p w14:paraId="23F0A35F"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465,5</w:t>
            </w:r>
          </w:p>
        </w:tc>
        <w:tc>
          <w:tcPr>
            <w:tcW w:w="939" w:type="dxa"/>
            <w:tcBorders>
              <w:top w:val="nil"/>
              <w:left w:val="nil"/>
              <w:bottom w:val="single" w:sz="4" w:space="0" w:color="auto"/>
              <w:right w:val="single" w:sz="4" w:space="0" w:color="auto"/>
            </w:tcBorders>
            <w:shd w:val="clear" w:color="auto" w:fill="auto"/>
            <w:vAlign w:val="center"/>
            <w:hideMark/>
          </w:tcPr>
          <w:p w14:paraId="61B84867"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3298</w:t>
            </w:r>
          </w:p>
        </w:tc>
        <w:tc>
          <w:tcPr>
            <w:tcW w:w="981" w:type="dxa"/>
            <w:tcBorders>
              <w:top w:val="nil"/>
              <w:left w:val="nil"/>
              <w:bottom w:val="single" w:sz="4" w:space="0" w:color="auto"/>
              <w:right w:val="single" w:sz="8" w:space="0" w:color="auto"/>
            </w:tcBorders>
            <w:shd w:val="clear" w:color="auto" w:fill="auto"/>
            <w:vAlign w:val="center"/>
            <w:hideMark/>
          </w:tcPr>
          <w:p w14:paraId="75BE8FE6"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4875</w:t>
            </w:r>
          </w:p>
        </w:tc>
      </w:tr>
      <w:tr w:rsidR="00FB20C9" w:rsidRPr="00FB20C9" w14:paraId="2EF45E47"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5AB6610D"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2026</w:t>
            </w:r>
          </w:p>
        </w:tc>
        <w:tc>
          <w:tcPr>
            <w:tcW w:w="958" w:type="dxa"/>
            <w:tcBorders>
              <w:top w:val="nil"/>
              <w:left w:val="nil"/>
              <w:bottom w:val="single" w:sz="4" w:space="0" w:color="auto"/>
              <w:right w:val="single" w:sz="4" w:space="0" w:color="auto"/>
            </w:tcBorders>
            <w:shd w:val="clear" w:color="auto" w:fill="auto"/>
            <w:vAlign w:val="center"/>
            <w:hideMark/>
          </w:tcPr>
          <w:p w14:paraId="21B604B2"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813,4</w:t>
            </w:r>
          </w:p>
        </w:tc>
        <w:tc>
          <w:tcPr>
            <w:tcW w:w="1201" w:type="dxa"/>
            <w:tcBorders>
              <w:top w:val="nil"/>
              <w:left w:val="nil"/>
              <w:bottom w:val="single" w:sz="4" w:space="0" w:color="auto"/>
              <w:right w:val="single" w:sz="4" w:space="0" w:color="auto"/>
            </w:tcBorders>
            <w:shd w:val="clear" w:color="auto" w:fill="auto"/>
            <w:vAlign w:val="center"/>
            <w:hideMark/>
          </w:tcPr>
          <w:p w14:paraId="5EDED364"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392</w:t>
            </w:r>
          </w:p>
        </w:tc>
        <w:tc>
          <w:tcPr>
            <w:tcW w:w="939" w:type="dxa"/>
            <w:tcBorders>
              <w:top w:val="nil"/>
              <w:left w:val="nil"/>
              <w:bottom w:val="single" w:sz="4" w:space="0" w:color="auto"/>
              <w:right w:val="single" w:sz="4" w:space="0" w:color="auto"/>
            </w:tcBorders>
            <w:shd w:val="clear" w:color="auto" w:fill="auto"/>
            <w:vAlign w:val="center"/>
            <w:hideMark/>
          </w:tcPr>
          <w:p w14:paraId="25607C0C"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4464,6</w:t>
            </w:r>
          </w:p>
        </w:tc>
        <w:tc>
          <w:tcPr>
            <w:tcW w:w="981" w:type="dxa"/>
            <w:tcBorders>
              <w:top w:val="nil"/>
              <w:left w:val="nil"/>
              <w:bottom w:val="single" w:sz="4" w:space="0" w:color="auto"/>
              <w:right w:val="single" w:sz="8" w:space="0" w:color="auto"/>
            </w:tcBorders>
            <w:shd w:val="clear" w:color="auto" w:fill="auto"/>
            <w:vAlign w:val="center"/>
            <w:hideMark/>
          </w:tcPr>
          <w:p w14:paraId="01838E3D"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5670</w:t>
            </w:r>
          </w:p>
        </w:tc>
      </w:tr>
      <w:tr w:rsidR="00FB20C9" w:rsidRPr="00FB20C9" w14:paraId="5FEE98D1" w14:textId="77777777" w:rsidTr="00FB20C9">
        <w:trPr>
          <w:trHeight w:val="315"/>
          <w:jc w:val="center"/>
        </w:trPr>
        <w:tc>
          <w:tcPr>
            <w:tcW w:w="1827" w:type="dxa"/>
            <w:tcBorders>
              <w:top w:val="nil"/>
              <w:left w:val="single" w:sz="8" w:space="0" w:color="auto"/>
              <w:bottom w:val="nil"/>
              <w:right w:val="single" w:sz="8" w:space="0" w:color="auto"/>
            </w:tcBorders>
            <w:shd w:val="clear" w:color="auto" w:fill="auto"/>
            <w:vAlign w:val="center"/>
            <w:hideMark/>
          </w:tcPr>
          <w:p w14:paraId="6FD19266"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2027</w:t>
            </w:r>
          </w:p>
        </w:tc>
        <w:tc>
          <w:tcPr>
            <w:tcW w:w="958" w:type="dxa"/>
            <w:tcBorders>
              <w:top w:val="nil"/>
              <w:left w:val="nil"/>
              <w:bottom w:val="nil"/>
              <w:right w:val="single" w:sz="4" w:space="0" w:color="auto"/>
            </w:tcBorders>
            <w:shd w:val="clear" w:color="auto" w:fill="auto"/>
            <w:vAlign w:val="center"/>
            <w:hideMark/>
          </w:tcPr>
          <w:p w14:paraId="55EA38C5"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210</w:t>
            </w:r>
          </w:p>
        </w:tc>
        <w:tc>
          <w:tcPr>
            <w:tcW w:w="1201" w:type="dxa"/>
            <w:tcBorders>
              <w:top w:val="nil"/>
              <w:left w:val="nil"/>
              <w:bottom w:val="nil"/>
              <w:right w:val="single" w:sz="4" w:space="0" w:color="auto"/>
            </w:tcBorders>
            <w:shd w:val="clear" w:color="auto" w:fill="auto"/>
            <w:vAlign w:val="center"/>
            <w:hideMark/>
          </w:tcPr>
          <w:p w14:paraId="1590BA68"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225,4</w:t>
            </w:r>
          </w:p>
        </w:tc>
        <w:tc>
          <w:tcPr>
            <w:tcW w:w="939" w:type="dxa"/>
            <w:tcBorders>
              <w:top w:val="nil"/>
              <w:left w:val="nil"/>
              <w:bottom w:val="nil"/>
              <w:right w:val="single" w:sz="4" w:space="0" w:color="auto"/>
            </w:tcBorders>
            <w:shd w:val="clear" w:color="auto" w:fill="auto"/>
            <w:vAlign w:val="center"/>
            <w:hideMark/>
          </w:tcPr>
          <w:p w14:paraId="6C4BDD47"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2064,6</w:t>
            </w:r>
          </w:p>
        </w:tc>
        <w:tc>
          <w:tcPr>
            <w:tcW w:w="981" w:type="dxa"/>
            <w:tcBorders>
              <w:top w:val="nil"/>
              <w:left w:val="nil"/>
              <w:bottom w:val="nil"/>
              <w:right w:val="single" w:sz="8" w:space="0" w:color="auto"/>
            </w:tcBorders>
            <w:shd w:val="clear" w:color="auto" w:fill="auto"/>
            <w:vAlign w:val="center"/>
            <w:hideMark/>
          </w:tcPr>
          <w:p w14:paraId="3574E128"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2500</w:t>
            </w:r>
          </w:p>
        </w:tc>
      </w:tr>
      <w:tr w:rsidR="00FB20C9" w:rsidRPr="00FB20C9" w14:paraId="4F9255A1" w14:textId="77777777" w:rsidTr="00FB20C9">
        <w:trPr>
          <w:trHeight w:val="315"/>
          <w:jc w:val="center"/>
        </w:trPr>
        <w:tc>
          <w:tcPr>
            <w:tcW w:w="1827" w:type="dxa"/>
            <w:tcBorders>
              <w:top w:val="single" w:sz="8" w:space="0" w:color="auto"/>
              <w:left w:val="single" w:sz="8" w:space="0" w:color="auto"/>
              <w:bottom w:val="single" w:sz="8" w:space="0" w:color="auto"/>
              <w:right w:val="single" w:sz="8" w:space="0" w:color="auto"/>
            </w:tcBorders>
            <w:shd w:val="clear" w:color="000000" w:fill="FFC000"/>
            <w:vAlign w:val="center"/>
            <w:hideMark/>
          </w:tcPr>
          <w:p w14:paraId="5F69693C" w14:textId="77777777" w:rsidR="00FB20C9" w:rsidRPr="00FB20C9" w:rsidRDefault="00FB20C9" w:rsidP="00FB20C9">
            <w:pPr>
              <w:spacing w:after="0" w:line="240" w:lineRule="auto"/>
              <w:jc w:val="both"/>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Total 2024-2027</w:t>
            </w:r>
          </w:p>
        </w:tc>
        <w:tc>
          <w:tcPr>
            <w:tcW w:w="958" w:type="dxa"/>
            <w:tcBorders>
              <w:top w:val="single" w:sz="8" w:space="0" w:color="auto"/>
              <w:left w:val="nil"/>
              <w:bottom w:val="single" w:sz="8" w:space="0" w:color="auto"/>
              <w:right w:val="single" w:sz="4" w:space="0" w:color="auto"/>
            </w:tcBorders>
            <w:shd w:val="clear" w:color="000000" w:fill="FFC000"/>
            <w:vAlign w:val="center"/>
            <w:hideMark/>
          </w:tcPr>
          <w:p w14:paraId="69F6FE6F"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3399,2</w:t>
            </w:r>
          </w:p>
        </w:tc>
        <w:tc>
          <w:tcPr>
            <w:tcW w:w="1201" w:type="dxa"/>
            <w:tcBorders>
              <w:top w:val="single" w:sz="8" w:space="0" w:color="auto"/>
              <w:left w:val="nil"/>
              <w:bottom w:val="single" w:sz="8" w:space="0" w:color="auto"/>
              <w:right w:val="single" w:sz="4" w:space="0" w:color="auto"/>
            </w:tcBorders>
            <w:shd w:val="clear" w:color="000000" w:fill="FFC000"/>
            <w:vAlign w:val="center"/>
            <w:hideMark/>
          </w:tcPr>
          <w:p w14:paraId="438BC7C8"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3008,6</w:t>
            </w:r>
          </w:p>
        </w:tc>
        <w:tc>
          <w:tcPr>
            <w:tcW w:w="939" w:type="dxa"/>
            <w:tcBorders>
              <w:top w:val="single" w:sz="8" w:space="0" w:color="auto"/>
              <w:left w:val="nil"/>
              <w:bottom w:val="single" w:sz="8" w:space="0" w:color="auto"/>
              <w:right w:val="single" w:sz="4" w:space="0" w:color="auto"/>
            </w:tcBorders>
            <w:shd w:val="clear" w:color="000000" w:fill="FFC000"/>
            <w:vAlign w:val="center"/>
            <w:hideMark/>
          </w:tcPr>
          <w:p w14:paraId="647C2D3A"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13027,2</w:t>
            </w:r>
          </w:p>
        </w:tc>
        <w:tc>
          <w:tcPr>
            <w:tcW w:w="981" w:type="dxa"/>
            <w:tcBorders>
              <w:top w:val="single" w:sz="8" w:space="0" w:color="auto"/>
              <w:left w:val="nil"/>
              <w:bottom w:val="single" w:sz="8" w:space="0" w:color="auto"/>
              <w:right w:val="single" w:sz="8" w:space="0" w:color="auto"/>
            </w:tcBorders>
            <w:shd w:val="clear" w:color="000000" w:fill="FFC000"/>
            <w:vAlign w:val="center"/>
            <w:hideMark/>
          </w:tcPr>
          <w:p w14:paraId="0AE007A7"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19435</w:t>
            </w:r>
          </w:p>
        </w:tc>
      </w:tr>
      <w:tr w:rsidR="00FB20C9" w:rsidRPr="00FB20C9" w14:paraId="7757FAD6"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3BEBD1AA"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2028</w:t>
            </w:r>
          </w:p>
        </w:tc>
        <w:tc>
          <w:tcPr>
            <w:tcW w:w="958" w:type="dxa"/>
            <w:tcBorders>
              <w:top w:val="nil"/>
              <w:left w:val="nil"/>
              <w:bottom w:val="single" w:sz="4" w:space="0" w:color="auto"/>
              <w:right w:val="single" w:sz="4" w:space="0" w:color="auto"/>
            </w:tcBorders>
            <w:shd w:val="clear" w:color="auto" w:fill="auto"/>
            <w:vAlign w:val="center"/>
            <w:hideMark/>
          </w:tcPr>
          <w:p w14:paraId="60D727DE"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98,4</w:t>
            </w:r>
          </w:p>
        </w:tc>
        <w:tc>
          <w:tcPr>
            <w:tcW w:w="1201" w:type="dxa"/>
            <w:tcBorders>
              <w:top w:val="nil"/>
              <w:left w:val="nil"/>
              <w:bottom w:val="single" w:sz="4" w:space="0" w:color="auto"/>
              <w:right w:val="single" w:sz="4" w:space="0" w:color="auto"/>
            </w:tcBorders>
            <w:shd w:val="clear" w:color="auto" w:fill="auto"/>
            <w:vAlign w:val="center"/>
            <w:hideMark/>
          </w:tcPr>
          <w:p w14:paraId="392169EF"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39" w:type="dxa"/>
            <w:tcBorders>
              <w:top w:val="nil"/>
              <w:left w:val="nil"/>
              <w:bottom w:val="single" w:sz="4" w:space="0" w:color="auto"/>
              <w:right w:val="single" w:sz="4" w:space="0" w:color="auto"/>
            </w:tcBorders>
            <w:shd w:val="clear" w:color="auto" w:fill="auto"/>
            <w:vAlign w:val="center"/>
            <w:hideMark/>
          </w:tcPr>
          <w:p w14:paraId="51E9BA15"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3131,6</w:t>
            </w:r>
          </w:p>
        </w:tc>
        <w:tc>
          <w:tcPr>
            <w:tcW w:w="981" w:type="dxa"/>
            <w:tcBorders>
              <w:top w:val="nil"/>
              <w:left w:val="nil"/>
              <w:bottom w:val="single" w:sz="4" w:space="0" w:color="auto"/>
              <w:right w:val="single" w:sz="8" w:space="0" w:color="auto"/>
            </w:tcBorders>
            <w:shd w:val="clear" w:color="auto" w:fill="auto"/>
            <w:vAlign w:val="center"/>
            <w:hideMark/>
          </w:tcPr>
          <w:p w14:paraId="0E94A3AE"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3230</w:t>
            </w:r>
          </w:p>
        </w:tc>
      </w:tr>
      <w:tr w:rsidR="00FB20C9" w:rsidRPr="00FB20C9" w14:paraId="18E54891"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053EDF87"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2029</w:t>
            </w:r>
          </w:p>
        </w:tc>
        <w:tc>
          <w:tcPr>
            <w:tcW w:w="958" w:type="dxa"/>
            <w:tcBorders>
              <w:top w:val="nil"/>
              <w:left w:val="nil"/>
              <w:bottom w:val="single" w:sz="4" w:space="0" w:color="auto"/>
              <w:right w:val="single" w:sz="4" w:space="0" w:color="auto"/>
            </w:tcBorders>
            <w:shd w:val="clear" w:color="auto" w:fill="auto"/>
            <w:vAlign w:val="center"/>
            <w:hideMark/>
          </w:tcPr>
          <w:p w14:paraId="5811F437"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127,4</w:t>
            </w:r>
          </w:p>
        </w:tc>
        <w:tc>
          <w:tcPr>
            <w:tcW w:w="1201" w:type="dxa"/>
            <w:tcBorders>
              <w:top w:val="nil"/>
              <w:left w:val="nil"/>
              <w:bottom w:val="single" w:sz="4" w:space="0" w:color="auto"/>
              <w:right w:val="single" w:sz="4" w:space="0" w:color="auto"/>
            </w:tcBorders>
            <w:shd w:val="clear" w:color="auto" w:fill="auto"/>
            <w:vAlign w:val="center"/>
            <w:hideMark/>
          </w:tcPr>
          <w:p w14:paraId="43D2C855"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39" w:type="dxa"/>
            <w:tcBorders>
              <w:top w:val="nil"/>
              <w:left w:val="nil"/>
              <w:bottom w:val="single" w:sz="4" w:space="0" w:color="auto"/>
              <w:right w:val="single" w:sz="4" w:space="0" w:color="auto"/>
            </w:tcBorders>
            <w:shd w:val="clear" w:color="auto" w:fill="auto"/>
            <w:vAlign w:val="center"/>
            <w:hideMark/>
          </w:tcPr>
          <w:p w14:paraId="085C435E"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3002,6</w:t>
            </w:r>
          </w:p>
        </w:tc>
        <w:tc>
          <w:tcPr>
            <w:tcW w:w="981" w:type="dxa"/>
            <w:tcBorders>
              <w:top w:val="nil"/>
              <w:left w:val="nil"/>
              <w:bottom w:val="single" w:sz="4" w:space="0" w:color="auto"/>
              <w:right w:val="single" w:sz="8" w:space="0" w:color="auto"/>
            </w:tcBorders>
            <w:shd w:val="clear" w:color="auto" w:fill="auto"/>
            <w:vAlign w:val="center"/>
            <w:hideMark/>
          </w:tcPr>
          <w:p w14:paraId="5691227F"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3130</w:t>
            </w:r>
          </w:p>
        </w:tc>
      </w:tr>
      <w:tr w:rsidR="00FB20C9" w:rsidRPr="00FB20C9" w14:paraId="01711DC3"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2F1DA1C4"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2030</w:t>
            </w:r>
          </w:p>
        </w:tc>
        <w:tc>
          <w:tcPr>
            <w:tcW w:w="958" w:type="dxa"/>
            <w:tcBorders>
              <w:top w:val="nil"/>
              <w:left w:val="nil"/>
              <w:bottom w:val="single" w:sz="4" w:space="0" w:color="auto"/>
              <w:right w:val="single" w:sz="4" w:space="0" w:color="auto"/>
            </w:tcBorders>
            <w:shd w:val="clear" w:color="auto" w:fill="auto"/>
            <w:vAlign w:val="center"/>
            <w:hideMark/>
          </w:tcPr>
          <w:p w14:paraId="1ED3B3CC"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42</w:t>
            </w:r>
          </w:p>
        </w:tc>
        <w:tc>
          <w:tcPr>
            <w:tcW w:w="1201" w:type="dxa"/>
            <w:tcBorders>
              <w:top w:val="nil"/>
              <w:left w:val="nil"/>
              <w:bottom w:val="single" w:sz="4" w:space="0" w:color="auto"/>
              <w:right w:val="single" w:sz="4" w:space="0" w:color="auto"/>
            </w:tcBorders>
            <w:shd w:val="clear" w:color="auto" w:fill="auto"/>
            <w:vAlign w:val="center"/>
            <w:hideMark/>
          </w:tcPr>
          <w:p w14:paraId="3AA5598C"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39" w:type="dxa"/>
            <w:tcBorders>
              <w:top w:val="nil"/>
              <w:left w:val="nil"/>
              <w:bottom w:val="single" w:sz="4" w:space="0" w:color="auto"/>
              <w:right w:val="single" w:sz="4" w:space="0" w:color="auto"/>
            </w:tcBorders>
            <w:shd w:val="clear" w:color="auto" w:fill="auto"/>
            <w:vAlign w:val="center"/>
            <w:hideMark/>
          </w:tcPr>
          <w:p w14:paraId="746931CA"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2058</w:t>
            </w:r>
          </w:p>
        </w:tc>
        <w:tc>
          <w:tcPr>
            <w:tcW w:w="981" w:type="dxa"/>
            <w:tcBorders>
              <w:top w:val="nil"/>
              <w:left w:val="nil"/>
              <w:bottom w:val="single" w:sz="4" w:space="0" w:color="auto"/>
              <w:right w:val="single" w:sz="8" w:space="0" w:color="auto"/>
            </w:tcBorders>
            <w:shd w:val="clear" w:color="auto" w:fill="auto"/>
            <w:vAlign w:val="center"/>
            <w:hideMark/>
          </w:tcPr>
          <w:p w14:paraId="02A7FBBC"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2100</w:t>
            </w:r>
          </w:p>
        </w:tc>
      </w:tr>
      <w:tr w:rsidR="00FB20C9" w:rsidRPr="00FB20C9" w14:paraId="4BC32D53"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6B8F79BD"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2031</w:t>
            </w:r>
          </w:p>
        </w:tc>
        <w:tc>
          <w:tcPr>
            <w:tcW w:w="958" w:type="dxa"/>
            <w:tcBorders>
              <w:top w:val="nil"/>
              <w:left w:val="nil"/>
              <w:bottom w:val="single" w:sz="4" w:space="0" w:color="auto"/>
              <w:right w:val="single" w:sz="4" w:space="0" w:color="auto"/>
            </w:tcBorders>
            <w:shd w:val="clear" w:color="auto" w:fill="auto"/>
            <w:vAlign w:val="center"/>
            <w:hideMark/>
          </w:tcPr>
          <w:p w14:paraId="7A3E2576"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w:t>
            </w:r>
          </w:p>
        </w:tc>
        <w:tc>
          <w:tcPr>
            <w:tcW w:w="1201" w:type="dxa"/>
            <w:tcBorders>
              <w:top w:val="nil"/>
              <w:left w:val="nil"/>
              <w:bottom w:val="single" w:sz="4" w:space="0" w:color="auto"/>
              <w:right w:val="single" w:sz="4" w:space="0" w:color="auto"/>
            </w:tcBorders>
            <w:shd w:val="clear" w:color="auto" w:fill="auto"/>
            <w:vAlign w:val="center"/>
            <w:hideMark/>
          </w:tcPr>
          <w:p w14:paraId="3D301CEC"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39" w:type="dxa"/>
            <w:tcBorders>
              <w:top w:val="nil"/>
              <w:left w:val="nil"/>
              <w:bottom w:val="single" w:sz="4" w:space="0" w:color="auto"/>
              <w:right w:val="single" w:sz="4" w:space="0" w:color="auto"/>
            </w:tcBorders>
            <w:shd w:val="clear" w:color="auto" w:fill="auto"/>
            <w:vAlign w:val="center"/>
            <w:hideMark/>
          </w:tcPr>
          <w:p w14:paraId="79D269B7"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980</w:t>
            </w:r>
          </w:p>
        </w:tc>
        <w:tc>
          <w:tcPr>
            <w:tcW w:w="981" w:type="dxa"/>
            <w:tcBorders>
              <w:top w:val="nil"/>
              <w:left w:val="nil"/>
              <w:bottom w:val="single" w:sz="4" w:space="0" w:color="auto"/>
              <w:right w:val="single" w:sz="8" w:space="0" w:color="auto"/>
            </w:tcBorders>
            <w:shd w:val="clear" w:color="auto" w:fill="auto"/>
            <w:vAlign w:val="center"/>
            <w:hideMark/>
          </w:tcPr>
          <w:p w14:paraId="182E8579"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1000</w:t>
            </w:r>
          </w:p>
        </w:tc>
      </w:tr>
      <w:tr w:rsidR="00FB20C9" w:rsidRPr="00FB20C9" w14:paraId="483C074C"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19AEB61A"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2032</w:t>
            </w:r>
          </w:p>
        </w:tc>
        <w:tc>
          <w:tcPr>
            <w:tcW w:w="958" w:type="dxa"/>
            <w:tcBorders>
              <w:top w:val="nil"/>
              <w:left w:val="nil"/>
              <w:bottom w:val="single" w:sz="4" w:space="0" w:color="auto"/>
              <w:right w:val="single" w:sz="4" w:space="0" w:color="auto"/>
            </w:tcBorders>
            <w:shd w:val="clear" w:color="auto" w:fill="auto"/>
            <w:vAlign w:val="center"/>
            <w:hideMark/>
          </w:tcPr>
          <w:p w14:paraId="5E8CBAF7"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1201" w:type="dxa"/>
            <w:tcBorders>
              <w:top w:val="nil"/>
              <w:left w:val="nil"/>
              <w:bottom w:val="single" w:sz="4" w:space="0" w:color="auto"/>
              <w:right w:val="single" w:sz="4" w:space="0" w:color="auto"/>
            </w:tcBorders>
            <w:shd w:val="clear" w:color="auto" w:fill="auto"/>
            <w:vAlign w:val="center"/>
            <w:hideMark/>
          </w:tcPr>
          <w:p w14:paraId="57ED866C"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39" w:type="dxa"/>
            <w:tcBorders>
              <w:top w:val="nil"/>
              <w:left w:val="nil"/>
              <w:bottom w:val="single" w:sz="4" w:space="0" w:color="auto"/>
              <w:right w:val="single" w:sz="4" w:space="0" w:color="auto"/>
            </w:tcBorders>
            <w:shd w:val="clear" w:color="auto" w:fill="auto"/>
            <w:vAlign w:val="center"/>
            <w:hideMark/>
          </w:tcPr>
          <w:p w14:paraId="4E4ABE44"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81" w:type="dxa"/>
            <w:tcBorders>
              <w:top w:val="nil"/>
              <w:left w:val="nil"/>
              <w:bottom w:val="single" w:sz="4" w:space="0" w:color="auto"/>
              <w:right w:val="single" w:sz="8" w:space="0" w:color="auto"/>
            </w:tcBorders>
            <w:shd w:val="clear" w:color="auto" w:fill="auto"/>
            <w:vAlign w:val="center"/>
            <w:hideMark/>
          </w:tcPr>
          <w:p w14:paraId="24721929"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r>
      <w:tr w:rsidR="00FB20C9" w:rsidRPr="00FB20C9" w14:paraId="4AF11BF7"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41F0BA70"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2033</w:t>
            </w:r>
          </w:p>
        </w:tc>
        <w:tc>
          <w:tcPr>
            <w:tcW w:w="958" w:type="dxa"/>
            <w:tcBorders>
              <w:top w:val="nil"/>
              <w:left w:val="nil"/>
              <w:bottom w:val="single" w:sz="4" w:space="0" w:color="auto"/>
              <w:right w:val="single" w:sz="4" w:space="0" w:color="auto"/>
            </w:tcBorders>
            <w:shd w:val="clear" w:color="auto" w:fill="auto"/>
            <w:vAlign w:val="center"/>
            <w:hideMark/>
          </w:tcPr>
          <w:p w14:paraId="4B2D2DA2"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1201" w:type="dxa"/>
            <w:tcBorders>
              <w:top w:val="nil"/>
              <w:left w:val="nil"/>
              <w:bottom w:val="single" w:sz="4" w:space="0" w:color="auto"/>
              <w:right w:val="single" w:sz="4" w:space="0" w:color="auto"/>
            </w:tcBorders>
            <w:shd w:val="clear" w:color="auto" w:fill="auto"/>
            <w:vAlign w:val="center"/>
            <w:hideMark/>
          </w:tcPr>
          <w:p w14:paraId="1F3C7C9D"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39" w:type="dxa"/>
            <w:tcBorders>
              <w:top w:val="nil"/>
              <w:left w:val="nil"/>
              <w:bottom w:val="single" w:sz="4" w:space="0" w:color="auto"/>
              <w:right w:val="single" w:sz="4" w:space="0" w:color="auto"/>
            </w:tcBorders>
            <w:shd w:val="clear" w:color="auto" w:fill="auto"/>
            <w:vAlign w:val="center"/>
            <w:hideMark/>
          </w:tcPr>
          <w:p w14:paraId="6E8567ED"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81" w:type="dxa"/>
            <w:tcBorders>
              <w:top w:val="nil"/>
              <w:left w:val="nil"/>
              <w:bottom w:val="single" w:sz="4" w:space="0" w:color="auto"/>
              <w:right w:val="single" w:sz="8" w:space="0" w:color="auto"/>
            </w:tcBorders>
            <w:shd w:val="clear" w:color="auto" w:fill="auto"/>
            <w:vAlign w:val="center"/>
            <w:hideMark/>
          </w:tcPr>
          <w:p w14:paraId="0EF0E796"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r>
      <w:tr w:rsidR="00FB20C9" w:rsidRPr="00FB20C9" w14:paraId="35BDFEA5" w14:textId="77777777" w:rsidTr="00FB20C9">
        <w:trPr>
          <w:trHeight w:val="300"/>
          <w:jc w:val="center"/>
        </w:trPr>
        <w:tc>
          <w:tcPr>
            <w:tcW w:w="1827" w:type="dxa"/>
            <w:tcBorders>
              <w:top w:val="nil"/>
              <w:left w:val="single" w:sz="8" w:space="0" w:color="auto"/>
              <w:bottom w:val="single" w:sz="4" w:space="0" w:color="auto"/>
              <w:right w:val="single" w:sz="8" w:space="0" w:color="auto"/>
            </w:tcBorders>
            <w:shd w:val="clear" w:color="auto" w:fill="auto"/>
            <w:vAlign w:val="center"/>
            <w:hideMark/>
          </w:tcPr>
          <w:p w14:paraId="1ECAAE98"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2034</w:t>
            </w:r>
          </w:p>
        </w:tc>
        <w:tc>
          <w:tcPr>
            <w:tcW w:w="958" w:type="dxa"/>
            <w:tcBorders>
              <w:top w:val="nil"/>
              <w:left w:val="nil"/>
              <w:bottom w:val="single" w:sz="4" w:space="0" w:color="auto"/>
              <w:right w:val="single" w:sz="4" w:space="0" w:color="auto"/>
            </w:tcBorders>
            <w:shd w:val="clear" w:color="auto" w:fill="auto"/>
            <w:vAlign w:val="center"/>
            <w:hideMark/>
          </w:tcPr>
          <w:p w14:paraId="6098CB38"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1201" w:type="dxa"/>
            <w:tcBorders>
              <w:top w:val="nil"/>
              <w:left w:val="nil"/>
              <w:bottom w:val="single" w:sz="4" w:space="0" w:color="auto"/>
              <w:right w:val="single" w:sz="4" w:space="0" w:color="auto"/>
            </w:tcBorders>
            <w:shd w:val="clear" w:color="auto" w:fill="auto"/>
            <w:vAlign w:val="center"/>
            <w:hideMark/>
          </w:tcPr>
          <w:p w14:paraId="60B9008E"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39" w:type="dxa"/>
            <w:tcBorders>
              <w:top w:val="nil"/>
              <w:left w:val="nil"/>
              <w:bottom w:val="single" w:sz="4" w:space="0" w:color="auto"/>
              <w:right w:val="single" w:sz="4" w:space="0" w:color="auto"/>
            </w:tcBorders>
            <w:shd w:val="clear" w:color="auto" w:fill="auto"/>
            <w:vAlign w:val="center"/>
            <w:hideMark/>
          </w:tcPr>
          <w:p w14:paraId="34571FED"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81" w:type="dxa"/>
            <w:tcBorders>
              <w:top w:val="nil"/>
              <w:left w:val="nil"/>
              <w:bottom w:val="single" w:sz="4" w:space="0" w:color="auto"/>
              <w:right w:val="single" w:sz="8" w:space="0" w:color="auto"/>
            </w:tcBorders>
            <w:shd w:val="clear" w:color="auto" w:fill="auto"/>
            <w:vAlign w:val="center"/>
            <w:hideMark/>
          </w:tcPr>
          <w:p w14:paraId="0D70A6DC"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r>
      <w:tr w:rsidR="00FB20C9" w:rsidRPr="00FB20C9" w14:paraId="49670A2B" w14:textId="77777777" w:rsidTr="00FB20C9">
        <w:trPr>
          <w:trHeight w:val="315"/>
          <w:jc w:val="center"/>
        </w:trPr>
        <w:tc>
          <w:tcPr>
            <w:tcW w:w="1827" w:type="dxa"/>
            <w:tcBorders>
              <w:top w:val="nil"/>
              <w:left w:val="single" w:sz="8" w:space="0" w:color="auto"/>
              <w:bottom w:val="nil"/>
              <w:right w:val="single" w:sz="8" w:space="0" w:color="auto"/>
            </w:tcBorders>
            <w:shd w:val="clear" w:color="auto" w:fill="auto"/>
            <w:vAlign w:val="center"/>
            <w:hideMark/>
          </w:tcPr>
          <w:p w14:paraId="54DEC6AC" w14:textId="77777777" w:rsidR="00FB20C9" w:rsidRPr="00FB20C9" w:rsidRDefault="00FB20C9" w:rsidP="00FB20C9">
            <w:pPr>
              <w:spacing w:after="0" w:line="240" w:lineRule="auto"/>
              <w:jc w:val="both"/>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2035</w:t>
            </w:r>
          </w:p>
        </w:tc>
        <w:tc>
          <w:tcPr>
            <w:tcW w:w="958" w:type="dxa"/>
            <w:tcBorders>
              <w:top w:val="nil"/>
              <w:left w:val="nil"/>
              <w:bottom w:val="nil"/>
              <w:right w:val="single" w:sz="4" w:space="0" w:color="auto"/>
            </w:tcBorders>
            <w:shd w:val="clear" w:color="auto" w:fill="auto"/>
            <w:vAlign w:val="center"/>
            <w:hideMark/>
          </w:tcPr>
          <w:p w14:paraId="0178A04F"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1201" w:type="dxa"/>
            <w:tcBorders>
              <w:top w:val="nil"/>
              <w:left w:val="nil"/>
              <w:bottom w:val="nil"/>
              <w:right w:val="single" w:sz="4" w:space="0" w:color="auto"/>
            </w:tcBorders>
            <w:shd w:val="clear" w:color="auto" w:fill="auto"/>
            <w:vAlign w:val="center"/>
            <w:hideMark/>
          </w:tcPr>
          <w:p w14:paraId="0BAAB8CA"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39" w:type="dxa"/>
            <w:tcBorders>
              <w:top w:val="nil"/>
              <w:left w:val="nil"/>
              <w:bottom w:val="nil"/>
              <w:right w:val="single" w:sz="4" w:space="0" w:color="auto"/>
            </w:tcBorders>
            <w:shd w:val="clear" w:color="auto" w:fill="auto"/>
            <w:vAlign w:val="center"/>
            <w:hideMark/>
          </w:tcPr>
          <w:p w14:paraId="2F7FD8CE"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c>
          <w:tcPr>
            <w:tcW w:w="981" w:type="dxa"/>
            <w:tcBorders>
              <w:top w:val="nil"/>
              <w:left w:val="nil"/>
              <w:bottom w:val="nil"/>
              <w:right w:val="single" w:sz="8" w:space="0" w:color="auto"/>
            </w:tcBorders>
            <w:shd w:val="clear" w:color="auto" w:fill="auto"/>
            <w:vAlign w:val="center"/>
            <w:hideMark/>
          </w:tcPr>
          <w:p w14:paraId="56AD1763" w14:textId="77777777" w:rsidR="00FB20C9" w:rsidRPr="00FB20C9" w:rsidRDefault="00FB20C9" w:rsidP="00FB20C9">
            <w:pPr>
              <w:spacing w:after="0" w:line="240" w:lineRule="auto"/>
              <w:jc w:val="center"/>
              <w:rPr>
                <w:rFonts w:ascii="Arial" w:eastAsia="Times New Roman" w:hAnsi="Arial" w:cs="Arial"/>
                <w:color w:val="000000"/>
                <w:sz w:val="20"/>
                <w:szCs w:val="20"/>
                <w:lang w:val="ro-RO" w:eastAsia="ro-RO"/>
              </w:rPr>
            </w:pPr>
            <w:r w:rsidRPr="00FB20C9">
              <w:rPr>
                <w:rFonts w:ascii="Arial" w:eastAsia="Times New Roman" w:hAnsi="Arial" w:cs="Arial"/>
                <w:color w:val="000000"/>
                <w:sz w:val="20"/>
                <w:szCs w:val="20"/>
                <w:lang w:val="ro-RO" w:eastAsia="ro-RO"/>
              </w:rPr>
              <w:t>0</w:t>
            </w:r>
          </w:p>
        </w:tc>
      </w:tr>
      <w:tr w:rsidR="00FB20C9" w:rsidRPr="00FB20C9" w14:paraId="3F400A49" w14:textId="77777777" w:rsidTr="00FB20C9">
        <w:trPr>
          <w:trHeight w:val="315"/>
          <w:jc w:val="center"/>
        </w:trPr>
        <w:tc>
          <w:tcPr>
            <w:tcW w:w="1827" w:type="dxa"/>
            <w:tcBorders>
              <w:top w:val="single" w:sz="8" w:space="0" w:color="auto"/>
              <w:left w:val="single" w:sz="8" w:space="0" w:color="auto"/>
              <w:bottom w:val="single" w:sz="8" w:space="0" w:color="auto"/>
              <w:right w:val="single" w:sz="8" w:space="0" w:color="auto"/>
            </w:tcBorders>
            <w:shd w:val="clear" w:color="000000" w:fill="FFC000"/>
            <w:vAlign w:val="center"/>
            <w:hideMark/>
          </w:tcPr>
          <w:p w14:paraId="10FDE3A6" w14:textId="77777777" w:rsidR="00FB20C9" w:rsidRPr="00FB20C9" w:rsidRDefault="00FB20C9" w:rsidP="00FB20C9">
            <w:pPr>
              <w:spacing w:after="0" w:line="240" w:lineRule="auto"/>
              <w:jc w:val="both"/>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Total 2028- 2035</w:t>
            </w:r>
          </w:p>
        </w:tc>
        <w:tc>
          <w:tcPr>
            <w:tcW w:w="958" w:type="dxa"/>
            <w:tcBorders>
              <w:top w:val="single" w:sz="8" w:space="0" w:color="auto"/>
              <w:left w:val="nil"/>
              <w:bottom w:val="single" w:sz="8" w:space="0" w:color="auto"/>
              <w:right w:val="single" w:sz="4" w:space="0" w:color="auto"/>
            </w:tcBorders>
            <w:shd w:val="clear" w:color="000000" w:fill="FFC000"/>
            <w:vAlign w:val="center"/>
            <w:hideMark/>
          </w:tcPr>
          <w:p w14:paraId="77130A7A"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287,8</w:t>
            </w:r>
          </w:p>
        </w:tc>
        <w:tc>
          <w:tcPr>
            <w:tcW w:w="1201" w:type="dxa"/>
            <w:tcBorders>
              <w:top w:val="single" w:sz="8" w:space="0" w:color="auto"/>
              <w:left w:val="nil"/>
              <w:bottom w:val="single" w:sz="8" w:space="0" w:color="auto"/>
              <w:right w:val="single" w:sz="4" w:space="0" w:color="auto"/>
            </w:tcBorders>
            <w:shd w:val="clear" w:color="000000" w:fill="FFC000"/>
            <w:vAlign w:val="center"/>
            <w:hideMark/>
          </w:tcPr>
          <w:p w14:paraId="3085ECD9"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0</w:t>
            </w:r>
          </w:p>
        </w:tc>
        <w:tc>
          <w:tcPr>
            <w:tcW w:w="939" w:type="dxa"/>
            <w:tcBorders>
              <w:top w:val="single" w:sz="8" w:space="0" w:color="auto"/>
              <w:left w:val="nil"/>
              <w:bottom w:val="single" w:sz="8" w:space="0" w:color="auto"/>
              <w:right w:val="single" w:sz="4" w:space="0" w:color="auto"/>
            </w:tcBorders>
            <w:shd w:val="clear" w:color="000000" w:fill="FFC000"/>
            <w:vAlign w:val="center"/>
            <w:hideMark/>
          </w:tcPr>
          <w:p w14:paraId="1CDC047F"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9172,2</w:t>
            </w:r>
          </w:p>
        </w:tc>
        <w:tc>
          <w:tcPr>
            <w:tcW w:w="981" w:type="dxa"/>
            <w:tcBorders>
              <w:top w:val="single" w:sz="8" w:space="0" w:color="auto"/>
              <w:left w:val="nil"/>
              <w:bottom w:val="single" w:sz="8" w:space="0" w:color="auto"/>
              <w:right w:val="single" w:sz="8" w:space="0" w:color="auto"/>
            </w:tcBorders>
            <w:shd w:val="clear" w:color="000000" w:fill="FFC000"/>
            <w:vAlign w:val="center"/>
            <w:hideMark/>
          </w:tcPr>
          <w:p w14:paraId="3FA53070" w14:textId="77777777" w:rsidR="00FB20C9" w:rsidRPr="00FB20C9" w:rsidRDefault="00FB20C9" w:rsidP="00FB20C9">
            <w:pPr>
              <w:spacing w:after="0" w:line="240" w:lineRule="auto"/>
              <w:jc w:val="center"/>
              <w:rPr>
                <w:rFonts w:ascii="Arial" w:eastAsia="Times New Roman" w:hAnsi="Arial" w:cs="Arial"/>
                <w:i/>
                <w:iCs/>
                <w:color w:val="000000"/>
                <w:sz w:val="20"/>
                <w:szCs w:val="20"/>
                <w:lang w:val="ro-RO" w:eastAsia="ro-RO"/>
              </w:rPr>
            </w:pPr>
            <w:r w:rsidRPr="00FB20C9">
              <w:rPr>
                <w:rFonts w:ascii="Arial" w:eastAsia="Times New Roman" w:hAnsi="Arial" w:cs="Arial"/>
                <w:i/>
                <w:iCs/>
                <w:color w:val="000000"/>
                <w:sz w:val="20"/>
                <w:szCs w:val="20"/>
                <w:lang w:val="ro-RO" w:eastAsia="ro-RO"/>
              </w:rPr>
              <w:t>9460</w:t>
            </w:r>
          </w:p>
        </w:tc>
      </w:tr>
      <w:tr w:rsidR="00FB20C9" w:rsidRPr="00FB20C9" w14:paraId="395AF671" w14:textId="77777777" w:rsidTr="00FB20C9">
        <w:trPr>
          <w:trHeight w:val="525"/>
          <w:jc w:val="center"/>
        </w:trPr>
        <w:tc>
          <w:tcPr>
            <w:tcW w:w="1827" w:type="dxa"/>
            <w:tcBorders>
              <w:top w:val="nil"/>
              <w:left w:val="single" w:sz="8" w:space="0" w:color="auto"/>
              <w:bottom w:val="single" w:sz="8" w:space="0" w:color="auto"/>
              <w:right w:val="single" w:sz="4" w:space="0" w:color="auto"/>
            </w:tcBorders>
            <w:shd w:val="clear" w:color="000000" w:fill="92D050"/>
            <w:vAlign w:val="center"/>
            <w:hideMark/>
          </w:tcPr>
          <w:p w14:paraId="16D764F2" w14:textId="77777777" w:rsidR="00FB20C9" w:rsidRPr="00FB20C9" w:rsidRDefault="00FB20C9" w:rsidP="00FB20C9">
            <w:pPr>
              <w:spacing w:after="0" w:line="240" w:lineRule="auto"/>
              <w:jc w:val="both"/>
              <w:rPr>
                <w:rFonts w:ascii="Arial" w:eastAsia="Times New Roman" w:hAnsi="Arial" w:cs="Arial"/>
                <w:b/>
                <w:bCs/>
                <w:color w:val="000000"/>
                <w:sz w:val="20"/>
                <w:szCs w:val="20"/>
                <w:lang w:val="ro-RO" w:eastAsia="ro-RO"/>
              </w:rPr>
            </w:pPr>
            <w:r w:rsidRPr="00FB20C9">
              <w:rPr>
                <w:rFonts w:ascii="Arial" w:eastAsia="Times New Roman" w:hAnsi="Arial" w:cs="Arial"/>
                <w:b/>
                <w:bCs/>
                <w:color w:val="000000"/>
                <w:sz w:val="20"/>
                <w:szCs w:val="20"/>
                <w:lang w:val="ro-RO" w:eastAsia="ro-RO"/>
              </w:rPr>
              <w:t>Total 2022 - 2035</w:t>
            </w:r>
          </w:p>
        </w:tc>
        <w:tc>
          <w:tcPr>
            <w:tcW w:w="958" w:type="dxa"/>
            <w:tcBorders>
              <w:top w:val="nil"/>
              <w:left w:val="nil"/>
              <w:bottom w:val="single" w:sz="8" w:space="0" w:color="auto"/>
              <w:right w:val="single" w:sz="4" w:space="0" w:color="auto"/>
            </w:tcBorders>
            <w:shd w:val="clear" w:color="000000" w:fill="92D050"/>
            <w:vAlign w:val="center"/>
            <w:hideMark/>
          </w:tcPr>
          <w:p w14:paraId="604843E5" w14:textId="77777777" w:rsidR="00FB20C9" w:rsidRPr="00FB20C9" w:rsidRDefault="00FB20C9" w:rsidP="00FB20C9">
            <w:pPr>
              <w:spacing w:after="0" w:line="240" w:lineRule="auto"/>
              <w:jc w:val="center"/>
              <w:rPr>
                <w:rFonts w:ascii="Arial" w:eastAsia="Times New Roman" w:hAnsi="Arial" w:cs="Arial"/>
                <w:b/>
                <w:bCs/>
                <w:color w:val="000000"/>
                <w:sz w:val="20"/>
                <w:szCs w:val="20"/>
                <w:lang w:val="ro-RO" w:eastAsia="ro-RO"/>
              </w:rPr>
            </w:pPr>
            <w:r w:rsidRPr="00FB20C9">
              <w:rPr>
                <w:rFonts w:ascii="Arial" w:eastAsia="Times New Roman" w:hAnsi="Arial" w:cs="Arial"/>
                <w:b/>
                <w:bCs/>
                <w:color w:val="000000"/>
                <w:sz w:val="20"/>
                <w:szCs w:val="20"/>
                <w:lang w:val="ro-RO" w:eastAsia="ro-RO"/>
              </w:rPr>
              <w:t>4379,92</w:t>
            </w:r>
          </w:p>
        </w:tc>
        <w:tc>
          <w:tcPr>
            <w:tcW w:w="1201" w:type="dxa"/>
            <w:tcBorders>
              <w:top w:val="nil"/>
              <w:left w:val="nil"/>
              <w:bottom w:val="single" w:sz="8" w:space="0" w:color="auto"/>
              <w:right w:val="single" w:sz="4" w:space="0" w:color="auto"/>
            </w:tcBorders>
            <w:shd w:val="clear" w:color="000000" w:fill="92D050"/>
            <w:vAlign w:val="center"/>
            <w:hideMark/>
          </w:tcPr>
          <w:p w14:paraId="4F6199EF" w14:textId="77777777" w:rsidR="00FB20C9" w:rsidRPr="00FB20C9" w:rsidRDefault="00FB20C9" w:rsidP="00FB20C9">
            <w:pPr>
              <w:spacing w:after="0" w:line="240" w:lineRule="auto"/>
              <w:jc w:val="center"/>
              <w:rPr>
                <w:rFonts w:ascii="Arial" w:eastAsia="Times New Roman" w:hAnsi="Arial" w:cs="Arial"/>
                <w:b/>
                <w:bCs/>
                <w:color w:val="000000"/>
                <w:sz w:val="20"/>
                <w:szCs w:val="20"/>
                <w:lang w:val="ro-RO" w:eastAsia="ro-RO"/>
              </w:rPr>
            </w:pPr>
            <w:r w:rsidRPr="00FB20C9">
              <w:rPr>
                <w:rFonts w:ascii="Arial" w:eastAsia="Times New Roman" w:hAnsi="Arial" w:cs="Arial"/>
                <w:b/>
                <w:bCs/>
                <w:color w:val="000000"/>
                <w:sz w:val="20"/>
                <w:szCs w:val="20"/>
                <w:lang w:val="ro-RO" w:eastAsia="ro-RO"/>
              </w:rPr>
              <w:t>6336,68</w:t>
            </w:r>
          </w:p>
        </w:tc>
        <w:tc>
          <w:tcPr>
            <w:tcW w:w="939" w:type="dxa"/>
            <w:tcBorders>
              <w:top w:val="nil"/>
              <w:left w:val="nil"/>
              <w:bottom w:val="single" w:sz="8" w:space="0" w:color="auto"/>
              <w:right w:val="single" w:sz="4" w:space="0" w:color="auto"/>
            </w:tcBorders>
            <w:shd w:val="clear" w:color="000000" w:fill="92D050"/>
            <w:vAlign w:val="center"/>
            <w:hideMark/>
          </w:tcPr>
          <w:p w14:paraId="6E5B3552" w14:textId="77777777" w:rsidR="00FB20C9" w:rsidRPr="00FB20C9" w:rsidRDefault="00FB20C9" w:rsidP="00FB20C9">
            <w:pPr>
              <w:spacing w:after="0" w:line="240" w:lineRule="auto"/>
              <w:jc w:val="center"/>
              <w:rPr>
                <w:rFonts w:ascii="Arial" w:eastAsia="Times New Roman" w:hAnsi="Arial" w:cs="Arial"/>
                <w:b/>
                <w:bCs/>
                <w:color w:val="000000"/>
                <w:sz w:val="20"/>
                <w:szCs w:val="20"/>
                <w:lang w:val="ro-RO" w:eastAsia="ro-RO"/>
              </w:rPr>
            </w:pPr>
            <w:r w:rsidRPr="00FB20C9">
              <w:rPr>
                <w:rFonts w:ascii="Arial" w:eastAsia="Times New Roman" w:hAnsi="Arial" w:cs="Arial"/>
                <w:b/>
                <w:bCs/>
                <w:color w:val="000000"/>
                <w:sz w:val="20"/>
                <w:szCs w:val="20"/>
                <w:lang w:val="ro-RO" w:eastAsia="ro-RO"/>
              </w:rPr>
              <w:t>23319,4</w:t>
            </w:r>
          </w:p>
        </w:tc>
        <w:tc>
          <w:tcPr>
            <w:tcW w:w="981" w:type="dxa"/>
            <w:tcBorders>
              <w:top w:val="nil"/>
              <w:left w:val="nil"/>
              <w:bottom w:val="single" w:sz="8" w:space="0" w:color="auto"/>
              <w:right w:val="single" w:sz="8" w:space="0" w:color="auto"/>
            </w:tcBorders>
            <w:shd w:val="clear" w:color="000000" w:fill="92D050"/>
            <w:vAlign w:val="center"/>
            <w:hideMark/>
          </w:tcPr>
          <w:p w14:paraId="3C198047" w14:textId="77777777" w:rsidR="00FB20C9" w:rsidRPr="00FB20C9" w:rsidRDefault="00FB20C9" w:rsidP="00FB20C9">
            <w:pPr>
              <w:spacing w:after="0" w:line="240" w:lineRule="auto"/>
              <w:jc w:val="center"/>
              <w:rPr>
                <w:rFonts w:ascii="Arial" w:eastAsia="Times New Roman" w:hAnsi="Arial" w:cs="Arial"/>
                <w:b/>
                <w:bCs/>
                <w:color w:val="000000"/>
                <w:sz w:val="20"/>
                <w:szCs w:val="20"/>
                <w:lang w:val="ro-RO" w:eastAsia="ro-RO"/>
              </w:rPr>
            </w:pPr>
            <w:r w:rsidRPr="00FB20C9">
              <w:rPr>
                <w:rFonts w:ascii="Arial" w:eastAsia="Times New Roman" w:hAnsi="Arial" w:cs="Arial"/>
                <w:b/>
                <w:bCs/>
                <w:color w:val="000000"/>
                <w:sz w:val="20"/>
                <w:szCs w:val="20"/>
                <w:lang w:val="ro-RO" w:eastAsia="ro-RO"/>
              </w:rPr>
              <w:t>34036</w:t>
            </w:r>
          </w:p>
        </w:tc>
      </w:tr>
    </w:tbl>
    <w:p w14:paraId="71AD0DF0" w14:textId="77777777" w:rsidR="00365C2F" w:rsidRPr="00365C2F" w:rsidRDefault="00365C2F" w:rsidP="00365C2F">
      <w:pPr>
        <w:suppressAutoHyphens/>
        <w:autoSpaceDE w:val="0"/>
        <w:spacing w:after="0" w:line="360" w:lineRule="auto"/>
        <w:jc w:val="both"/>
        <w:rPr>
          <w:rFonts w:ascii="Arial" w:eastAsia="Calibri" w:hAnsi="Arial" w:cs="Arial"/>
          <w:color w:val="000000"/>
          <w:sz w:val="24"/>
          <w:szCs w:val="24"/>
          <w:lang w:eastAsia="zh-CN"/>
        </w:rPr>
      </w:pPr>
    </w:p>
    <w:p w14:paraId="16FC9591" w14:textId="77777777" w:rsidR="00365C2F" w:rsidRDefault="00365C2F" w:rsidP="007D0E88">
      <w:pPr>
        <w:pStyle w:val="Titlu2"/>
        <w:rPr>
          <w:rFonts w:ascii="Arial" w:eastAsia="Times New Roman" w:hAnsi="Arial" w:cs="Arial"/>
          <w:b/>
          <w:bCs/>
          <w:color w:val="auto"/>
          <w:lang w:eastAsia="hi-IN" w:bidi="hi-IN"/>
        </w:rPr>
      </w:pPr>
      <w:bookmarkStart w:id="638" w:name="_Toc461777883"/>
      <w:bookmarkStart w:id="639" w:name="_Toc491868859"/>
      <w:bookmarkStart w:id="640" w:name="_Toc499657580"/>
      <w:bookmarkStart w:id="641" w:name="_Toc142039127"/>
      <w:r w:rsidRPr="007D0E88">
        <w:rPr>
          <w:rFonts w:ascii="Arial" w:eastAsia="Times New Roman" w:hAnsi="Arial" w:cs="Arial"/>
          <w:b/>
          <w:bCs/>
          <w:color w:val="auto"/>
          <w:lang w:eastAsia="hi-IN" w:bidi="hi-IN"/>
        </w:rPr>
        <w:t>I.8.6 Impactul scenariului preferat</w:t>
      </w:r>
      <w:bookmarkEnd w:id="638"/>
      <w:bookmarkEnd w:id="639"/>
      <w:bookmarkEnd w:id="640"/>
      <w:bookmarkEnd w:id="641"/>
    </w:p>
    <w:p w14:paraId="7302AC5F" w14:textId="34C89229" w:rsidR="004F44A8" w:rsidRDefault="004F44A8" w:rsidP="004F44A8">
      <w:pPr>
        <w:widowControl w:val="0"/>
        <w:suppressAutoHyphens/>
        <w:spacing w:after="0" w:line="276" w:lineRule="auto"/>
        <w:jc w:val="both"/>
        <w:rPr>
          <w:rFonts w:ascii="Arial" w:hAnsi="Arial" w:cs="Arial"/>
          <w:kern w:val="1"/>
          <w:lang w:val="ro-RO" w:eastAsia="hi-IN" w:bidi="hi-IN"/>
        </w:rPr>
      </w:pPr>
      <w:r w:rsidRPr="004F44A8">
        <w:rPr>
          <w:rFonts w:ascii="Arial" w:hAnsi="Arial" w:cs="Arial"/>
          <w:kern w:val="1"/>
          <w:lang w:val="ro-RO" w:eastAsia="hi-IN" w:bidi="hi-IN"/>
        </w:rPr>
        <w:t xml:space="preserve">Pentru a vedea impactul scenariului preferat, s-a comparat scenariul „Ca până acum” la nivelul anului 2035 cu rezultatele obţinute pentru scenariul preferat, la nivelul aceluiaşi an. </w:t>
      </w:r>
    </w:p>
    <w:p w14:paraId="0D9BF22F" w14:textId="77777777" w:rsidR="00846562" w:rsidRDefault="00846562" w:rsidP="004F44A8">
      <w:pPr>
        <w:widowControl w:val="0"/>
        <w:suppressAutoHyphens/>
        <w:spacing w:after="0" w:line="276" w:lineRule="auto"/>
        <w:jc w:val="both"/>
        <w:rPr>
          <w:rFonts w:ascii="Arial" w:hAnsi="Arial" w:cs="Arial"/>
          <w:kern w:val="1"/>
          <w:lang w:val="ro-RO" w:eastAsia="hi-IN" w:bidi="hi-IN"/>
        </w:rPr>
      </w:pPr>
    </w:p>
    <w:p w14:paraId="0C74B7F4"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r w:rsidRPr="00846562">
        <w:rPr>
          <w:rFonts w:ascii="Arial" w:hAnsi="Arial" w:cs="Arial"/>
          <w:kern w:val="1"/>
          <w:lang w:val="ro-RO" w:eastAsia="hi-IN" w:bidi="hi-IN"/>
        </w:rPr>
        <w:t>În următoarele „Planșe diferență” sunt evidențiate zonele/străzile unde volumul traficului a crescut (trafic „atras”) si zonele/străzile unde au scăzut valorile de trafic (trafic „deviat”). Acesta planșă reprezintă „diferența” dintre volumul traficului din scenariul preferat și volumul din scenariul 1, pentru fiecare link in parte.</w:t>
      </w:r>
    </w:p>
    <w:p w14:paraId="74C1C09D"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p>
    <w:p w14:paraId="480730FC"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r w:rsidRPr="00846562">
        <w:rPr>
          <w:rFonts w:ascii="Arial" w:hAnsi="Arial" w:cs="Arial"/>
          <w:noProof/>
          <w:kern w:val="1"/>
        </w:rPr>
        <w:lastRenderedPageBreak/>
        <w:drawing>
          <wp:inline distT="0" distB="0" distL="0" distR="0" wp14:anchorId="165E0759" wp14:editId="304CAB4A">
            <wp:extent cx="5760720" cy="43675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5760720" cy="4367530"/>
                    </a:xfrm>
                    <a:prstGeom prst="rect">
                      <a:avLst/>
                    </a:prstGeom>
                  </pic:spPr>
                </pic:pic>
              </a:graphicData>
            </a:graphic>
          </wp:inline>
        </w:drawing>
      </w:r>
    </w:p>
    <w:p w14:paraId="56EF0764"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p>
    <w:p w14:paraId="2AFB6AFC" w14:textId="0B5F73AB" w:rsidR="00846562" w:rsidRPr="00846562" w:rsidRDefault="00846562" w:rsidP="00846562">
      <w:pPr>
        <w:pStyle w:val="Legend"/>
        <w:jc w:val="center"/>
        <w:rPr>
          <w:rFonts w:ascii="Arial" w:hAnsi="Arial" w:cs="Arial"/>
          <w:color w:val="1F497D"/>
          <w:kern w:val="1"/>
          <w:sz w:val="22"/>
          <w:szCs w:val="22"/>
          <w:lang w:val="ro-RO" w:eastAsia="hi-IN" w:bidi="hi-IN"/>
        </w:rPr>
      </w:pPr>
      <w:bookmarkStart w:id="642" w:name="_Toc142039148"/>
      <w:r w:rsidRPr="00846562">
        <w:rPr>
          <w:rFonts w:ascii="Arial" w:hAnsi="Arial" w:cs="Arial"/>
          <w:sz w:val="22"/>
          <w:szCs w:val="22"/>
        </w:rPr>
        <w:t xml:space="preserve">Figura I.8. </w:t>
      </w:r>
      <w:r w:rsidRPr="00846562">
        <w:rPr>
          <w:rFonts w:ascii="Arial" w:hAnsi="Arial" w:cs="Arial"/>
          <w:sz w:val="22"/>
          <w:szCs w:val="22"/>
        </w:rPr>
        <w:fldChar w:fldCharType="begin"/>
      </w:r>
      <w:r w:rsidRPr="00846562">
        <w:rPr>
          <w:rFonts w:ascii="Arial" w:hAnsi="Arial" w:cs="Arial"/>
          <w:sz w:val="22"/>
          <w:szCs w:val="22"/>
        </w:rPr>
        <w:instrText xml:space="preserve"> SEQ Figura_I.8. \* ARABIC </w:instrText>
      </w:r>
      <w:r w:rsidRPr="00846562">
        <w:rPr>
          <w:rFonts w:ascii="Arial" w:hAnsi="Arial" w:cs="Arial"/>
          <w:sz w:val="22"/>
          <w:szCs w:val="22"/>
        </w:rPr>
        <w:fldChar w:fldCharType="separate"/>
      </w:r>
      <w:r w:rsidR="00BB181C">
        <w:rPr>
          <w:rFonts w:ascii="Arial" w:hAnsi="Arial" w:cs="Arial"/>
          <w:noProof/>
          <w:sz w:val="22"/>
          <w:szCs w:val="22"/>
        </w:rPr>
        <w:t>10</w:t>
      </w:r>
      <w:r w:rsidRPr="00846562">
        <w:rPr>
          <w:rFonts w:ascii="Arial" w:hAnsi="Arial" w:cs="Arial"/>
          <w:sz w:val="22"/>
          <w:szCs w:val="22"/>
        </w:rPr>
        <w:fldChar w:fldCharType="end"/>
      </w:r>
      <w:r w:rsidRPr="00846562">
        <w:rPr>
          <w:rFonts w:ascii="Arial" w:hAnsi="Arial" w:cs="Arial"/>
          <w:sz w:val="22"/>
          <w:szCs w:val="22"/>
        </w:rPr>
        <w:t xml:space="preserve"> </w:t>
      </w:r>
      <w:r w:rsidRPr="00846562">
        <w:rPr>
          <w:rFonts w:ascii="Arial" w:hAnsi="Arial" w:cs="Arial"/>
          <w:color w:val="1F497D"/>
          <w:sz w:val="22"/>
          <w:szCs w:val="22"/>
          <w:lang w:val="ro-RO"/>
        </w:rPr>
        <w:t xml:space="preserve">– </w:t>
      </w:r>
      <w:r w:rsidRPr="00846562">
        <w:rPr>
          <w:rFonts w:ascii="Arial" w:hAnsi="Arial" w:cs="Arial"/>
          <w:i w:val="0"/>
          <w:color w:val="1F497D"/>
          <w:sz w:val="22"/>
          <w:szCs w:val="22"/>
          <w:lang w:val="ro-RO"/>
        </w:rPr>
        <w:t>Planșă diferență Scenariul 4 vs Scenariul 1 PM 2035  - Zona centrală</w:t>
      </w:r>
      <w:bookmarkEnd w:id="642"/>
    </w:p>
    <w:p w14:paraId="5B7DC400"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r w:rsidRPr="00846562">
        <w:rPr>
          <w:rFonts w:ascii="Arial" w:hAnsi="Arial" w:cs="Arial"/>
          <w:kern w:val="1"/>
          <w:lang w:val="ro-RO" w:eastAsia="hi-IN" w:bidi="hi-IN"/>
        </w:rPr>
        <w:t>Cu verde sunt reprezentate link-urile care in scenariul preferat au valori de trafic mai mic decât in scenariul 1. Pe link-uri sunt reprezentate numeric cu semnul „-” valorile de trafic „deviat”. Se observă că în aceasta situație se află toată zona centrală a Orașului Horezu.</w:t>
      </w:r>
    </w:p>
    <w:p w14:paraId="02D52539"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p>
    <w:p w14:paraId="46019A6D"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r w:rsidRPr="00846562">
        <w:rPr>
          <w:rFonts w:ascii="Arial" w:hAnsi="Arial" w:cs="Arial"/>
          <w:kern w:val="1"/>
          <w:lang w:val="ro-RO" w:eastAsia="hi-IN" w:bidi="hi-IN"/>
        </w:rPr>
        <w:t>Cu roșu sunt reprezentate link-urile care in scenariul preferat au valori de trafic mai mari decât cele din scenariul 1. In aceasta situație se regăsește Centura ocolitoare deoarece ea nu exista in scenariul 1, deci avea trafic echivalent 0, si acum are un anumit volum de trafic „atras”.</w:t>
      </w:r>
    </w:p>
    <w:p w14:paraId="468E3392"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p>
    <w:p w14:paraId="585D4F10"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p>
    <w:p w14:paraId="0EAF0FA7"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r w:rsidRPr="00846562">
        <w:rPr>
          <w:rFonts w:ascii="Arial" w:hAnsi="Arial" w:cs="Arial"/>
          <w:noProof/>
          <w:kern w:val="1"/>
        </w:rPr>
        <w:lastRenderedPageBreak/>
        <w:drawing>
          <wp:inline distT="0" distB="0" distL="0" distR="0" wp14:anchorId="0853F414" wp14:editId="17C74D9A">
            <wp:extent cx="5760720" cy="436753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5760720" cy="4367530"/>
                    </a:xfrm>
                    <a:prstGeom prst="rect">
                      <a:avLst/>
                    </a:prstGeom>
                  </pic:spPr>
                </pic:pic>
              </a:graphicData>
            </a:graphic>
          </wp:inline>
        </w:drawing>
      </w:r>
    </w:p>
    <w:p w14:paraId="6CF8304A"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p>
    <w:p w14:paraId="086170AF" w14:textId="4B954E86" w:rsidR="00846562" w:rsidRPr="00846562" w:rsidRDefault="00846562" w:rsidP="00846562">
      <w:pPr>
        <w:pStyle w:val="Legend"/>
        <w:jc w:val="center"/>
        <w:rPr>
          <w:rFonts w:ascii="Arial" w:hAnsi="Arial" w:cs="Arial"/>
          <w:color w:val="1F497D"/>
          <w:kern w:val="1"/>
          <w:sz w:val="22"/>
          <w:szCs w:val="22"/>
          <w:lang w:val="ro-RO" w:eastAsia="hi-IN" w:bidi="hi-IN"/>
        </w:rPr>
      </w:pPr>
      <w:bookmarkStart w:id="643" w:name="_Toc142039149"/>
      <w:r w:rsidRPr="00846562">
        <w:rPr>
          <w:rFonts w:ascii="Arial" w:hAnsi="Arial" w:cs="Arial"/>
          <w:sz w:val="22"/>
          <w:szCs w:val="22"/>
        </w:rPr>
        <w:t xml:space="preserve">Figura I.8. </w:t>
      </w:r>
      <w:r w:rsidRPr="00846562">
        <w:rPr>
          <w:rFonts w:ascii="Arial" w:hAnsi="Arial" w:cs="Arial"/>
          <w:sz w:val="22"/>
          <w:szCs w:val="22"/>
        </w:rPr>
        <w:fldChar w:fldCharType="begin"/>
      </w:r>
      <w:r w:rsidRPr="00846562">
        <w:rPr>
          <w:rFonts w:ascii="Arial" w:hAnsi="Arial" w:cs="Arial"/>
          <w:sz w:val="22"/>
          <w:szCs w:val="22"/>
        </w:rPr>
        <w:instrText xml:space="preserve"> SEQ Figura_I.8. \* ARABIC </w:instrText>
      </w:r>
      <w:r w:rsidRPr="00846562">
        <w:rPr>
          <w:rFonts w:ascii="Arial" w:hAnsi="Arial" w:cs="Arial"/>
          <w:sz w:val="22"/>
          <w:szCs w:val="22"/>
        </w:rPr>
        <w:fldChar w:fldCharType="separate"/>
      </w:r>
      <w:r w:rsidR="00BB181C">
        <w:rPr>
          <w:rFonts w:ascii="Arial" w:hAnsi="Arial" w:cs="Arial"/>
          <w:noProof/>
          <w:sz w:val="22"/>
          <w:szCs w:val="22"/>
        </w:rPr>
        <w:t>11</w:t>
      </w:r>
      <w:r w:rsidRPr="00846562">
        <w:rPr>
          <w:rFonts w:ascii="Arial" w:hAnsi="Arial" w:cs="Arial"/>
          <w:sz w:val="22"/>
          <w:szCs w:val="22"/>
        </w:rPr>
        <w:fldChar w:fldCharType="end"/>
      </w:r>
      <w:r w:rsidRPr="00846562">
        <w:rPr>
          <w:rFonts w:ascii="Arial" w:hAnsi="Arial" w:cs="Arial"/>
          <w:sz w:val="22"/>
          <w:szCs w:val="22"/>
        </w:rPr>
        <w:t xml:space="preserve"> </w:t>
      </w:r>
      <w:r w:rsidRPr="00846562">
        <w:rPr>
          <w:rFonts w:ascii="Arial" w:hAnsi="Arial" w:cs="Arial"/>
          <w:color w:val="1F497D"/>
          <w:sz w:val="22"/>
          <w:szCs w:val="22"/>
          <w:lang w:val="ro-RO"/>
        </w:rPr>
        <w:t xml:space="preserve">– </w:t>
      </w:r>
      <w:r w:rsidRPr="00846562">
        <w:rPr>
          <w:rFonts w:ascii="Arial" w:hAnsi="Arial" w:cs="Arial"/>
          <w:i w:val="0"/>
          <w:color w:val="1F497D"/>
          <w:sz w:val="22"/>
          <w:szCs w:val="22"/>
          <w:lang w:val="ro-RO"/>
        </w:rPr>
        <w:t>Planșă diferență Scenariul 4 vs Scenariul 1 PM 2035 – vedere de ansamblu</w:t>
      </w:r>
      <w:bookmarkEnd w:id="643"/>
    </w:p>
    <w:p w14:paraId="1D2CAF56"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p>
    <w:p w14:paraId="564F2DD7"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r w:rsidRPr="00846562">
        <w:rPr>
          <w:rFonts w:ascii="Arial" w:hAnsi="Arial" w:cs="Arial"/>
          <w:kern w:val="1"/>
          <w:lang w:val="ro-RO" w:eastAsia="hi-IN" w:bidi="hi-IN"/>
        </w:rPr>
        <w:t>În aceiași situație de volum de trafic mai mare (trafic „atras”) este și drumul către Stațiunea turistică către care fluxurile de trafic din Scenariul preferat sunt mult mai mari decât în scenariul 1.</w:t>
      </w:r>
    </w:p>
    <w:p w14:paraId="369E6267"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p>
    <w:p w14:paraId="7531E653" w14:textId="77777777" w:rsidR="00846562" w:rsidRPr="00846562" w:rsidRDefault="00846562" w:rsidP="00846562">
      <w:pPr>
        <w:widowControl w:val="0"/>
        <w:suppressAutoHyphens/>
        <w:spacing w:after="0" w:line="276" w:lineRule="auto"/>
        <w:jc w:val="both"/>
        <w:rPr>
          <w:rFonts w:ascii="Arial" w:hAnsi="Arial" w:cs="Arial"/>
          <w:kern w:val="1"/>
          <w:lang w:val="ro-RO" w:eastAsia="hi-IN" w:bidi="hi-IN"/>
        </w:rPr>
      </w:pPr>
      <w:r w:rsidRPr="00846562">
        <w:rPr>
          <w:rFonts w:ascii="Arial" w:hAnsi="Arial" w:cs="Arial"/>
          <w:kern w:val="1"/>
          <w:lang w:val="ro-RO" w:eastAsia="hi-IN" w:bidi="hi-IN"/>
        </w:rPr>
        <w:t>Impactul scenariului preferat este relevat în tabelele urmatoare:</w:t>
      </w:r>
    </w:p>
    <w:p w14:paraId="5CE0BB57" w14:textId="77777777" w:rsidR="00846562" w:rsidRPr="004F44A8" w:rsidRDefault="00846562" w:rsidP="004F44A8">
      <w:pPr>
        <w:widowControl w:val="0"/>
        <w:suppressAutoHyphens/>
        <w:spacing w:after="0" w:line="276" w:lineRule="auto"/>
        <w:jc w:val="both"/>
        <w:rPr>
          <w:rFonts w:ascii="Arial" w:hAnsi="Arial" w:cs="Arial"/>
          <w:kern w:val="1"/>
          <w:lang w:val="ro-RO" w:eastAsia="hi-IN" w:bidi="hi-IN"/>
        </w:rPr>
      </w:pPr>
    </w:p>
    <w:p w14:paraId="16E50EDB" w14:textId="542E11B9" w:rsidR="004F44A8" w:rsidRPr="005C1C72" w:rsidRDefault="005C1C72" w:rsidP="005C1C72">
      <w:pPr>
        <w:pStyle w:val="Legend"/>
        <w:jc w:val="center"/>
        <w:rPr>
          <w:rFonts w:ascii="Arial" w:eastAsia="Times New Roman" w:hAnsi="Arial" w:cs="Arial"/>
          <w:i w:val="0"/>
          <w:iCs w:val="0"/>
          <w:color w:val="1F497D"/>
          <w:kern w:val="1"/>
          <w:sz w:val="22"/>
          <w:szCs w:val="22"/>
          <w:lang w:val="it-IT" w:eastAsia="hi-IN" w:bidi="hi-IN"/>
        </w:rPr>
      </w:pPr>
      <w:bookmarkStart w:id="644" w:name="_Toc68361308"/>
      <w:bookmarkStart w:id="645" w:name="_Toc96463931"/>
      <w:r w:rsidRPr="005C1C72">
        <w:rPr>
          <w:rFonts w:ascii="Arial" w:hAnsi="Arial" w:cs="Arial"/>
          <w:sz w:val="22"/>
          <w:szCs w:val="22"/>
        </w:rPr>
        <w:t xml:space="preserve">Tabel I.8. </w:t>
      </w:r>
      <w:r w:rsidRPr="005C1C72">
        <w:rPr>
          <w:rFonts w:ascii="Arial" w:hAnsi="Arial" w:cs="Arial"/>
          <w:sz w:val="22"/>
          <w:szCs w:val="22"/>
        </w:rPr>
        <w:fldChar w:fldCharType="begin"/>
      </w:r>
      <w:r w:rsidRPr="005C1C72">
        <w:rPr>
          <w:rFonts w:ascii="Arial" w:hAnsi="Arial" w:cs="Arial"/>
          <w:sz w:val="22"/>
          <w:szCs w:val="22"/>
        </w:rPr>
        <w:instrText xml:space="preserve"> SEQ Tabel_I.8. \* ARABIC </w:instrText>
      </w:r>
      <w:r w:rsidRPr="005C1C72">
        <w:rPr>
          <w:rFonts w:ascii="Arial" w:hAnsi="Arial" w:cs="Arial"/>
          <w:sz w:val="22"/>
          <w:szCs w:val="22"/>
        </w:rPr>
        <w:fldChar w:fldCharType="separate"/>
      </w:r>
      <w:r w:rsidR="00BB181C">
        <w:rPr>
          <w:rFonts w:ascii="Arial" w:hAnsi="Arial" w:cs="Arial"/>
          <w:noProof/>
          <w:sz w:val="22"/>
          <w:szCs w:val="22"/>
        </w:rPr>
        <w:t>4</w:t>
      </w:r>
      <w:r w:rsidRPr="005C1C72">
        <w:rPr>
          <w:rFonts w:ascii="Arial" w:hAnsi="Arial" w:cs="Arial"/>
          <w:sz w:val="22"/>
          <w:szCs w:val="22"/>
        </w:rPr>
        <w:fldChar w:fldCharType="end"/>
      </w:r>
      <w:r w:rsidRPr="005C1C72">
        <w:rPr>
          <w:rFonts w:ascii="Arial" w:hAnsi="Arial" w:cs="Arial"/>
          <w:sz w:val="22"/>
          <w:szCs w:val="22"/>
        </w:rPr>
        <w:t xml:space="preserve"> </w:t>
      </w:r>
      <w:r w:rsidR="004F44A8" w:rsidRPr="005C1C72">
        <w:rPr>
          <w:rFonts w:ascii="Arial" w:hAnsi="Arial" w:cs="Arial"/>
          <w:color w:val="1F497D"/>
          <w:sz w:val="22"/>
          <w:szCs w:val="22"/>
        </w:rPr>
        <w:t xml:space="preserve">- </w:t>
      </w:r>
      <w:r w:rsidR="004F44A8" w:rsidRPr="005C1C72">
        <w:rPr>
          <w:rFonts w:ascii="Arial" w:hAnsi="Arial" w:cs="Arial"/>
          <w:i w:val="0"/>
          <w:iCs w:val="0"/>
          <w:color w:val="1F497D"/>
          <w:sz w:val="22"/>
          <w:szCs w:val="22"/>
        </w:rPr>
        <w:t>Impactul scenariului preferat – ora de vârf AM</w:t>
      </w:r>
      <w:bookmarkEnd w:id="644"/>
      <w:bookmarkEnd w:id="645"/>
    </w:p>
    <w:tbl>
      <w:tblPr>
        <w:tblW w:w="9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43"/>
        <w:gridCol w:w="3043"/>
        <w:gridCol w:w="3043"/>
      </w:tblGrid>
      <w:tr w:rsidR="00052A28" w:rsidRPr="00052A28" w14:paraId="418429EA" w14:textId="77777777" w:rsidTr="00CE76B6">
        <w:trPr>
          <w:trHeight w:val="93"/>
          <w:jc w:val="center"/>
        </w:trPr>
        <w:tc>
          <w:tcPr>
            <w:tcW w:w="3043" w:type="dxa"/>
            <w:shd w:val="clear" w:color="auto" w:fill="D9D9D9"/>
          </w:tcPr>
          <w:p w14:paraId="708B3A5A" w14:textId="77777777" w:rsidR="00052A28" w:rsidRPr="00052A28" w:rsidRDefault="00052A28" w:rsidP="00052A28">
            <w:pPr>
              <w:widowControl w:val="0"/>
              <w:suppressAutoHyphens/>
              <w:spacing w:after="0" w:line="276" w:lineRule="auto"/>
              <w:jc w:val="center"/>
              <w:rPr>
                <w:rFonts w:ascii="Arial" w:hAnsi="Arial" w:cs="Arial"/>
                <w:b/>
                <w:color w:val="000000"/>
                <w:kern w:val="1"/>
                <w:sz w:val="20"/>
                <w:szCs w:val="24"/>
                <w:lang w:val="ro-RO" w:eastAsia="zh-CN" w:bidi="hi-IN"/>
              </w:rPr>
            </w:pPr>
            <w:r w:rsidRPr="00052A28">
              <w:rPr>
                <w:rFonts w:ascii="Arial" w:hAnsi="Arial" w:cs="Arial"/>
                <w:b/>
                <w:color w:val="000000"/>
                <w:kern w:val="1"/>
                <w:sz w:val="20"/>
                <w:szCs w:val="24"/>
                <w:lang w:val="ro-RO" w:eastAsia="zh-CN" w:bidi="hi-IN"/>
              </w:rPr>
              <w:t xml:space="preserve">Indicator </w:t>
            </w:r>
          </w:p>
        </w:tc>
        <w:tc>
          <w:tcPr>
            <w:tcW w:w="3043" w:type="dxa"/>
            <w:shd w:val="clear" w:color="auto" w:fill="D9D9D9"/>
          </w:tcPr>
          <w:p w14:paraId="284A7892" w14:textId="77777777" w:rsidR="00052A28" w:rsidRPr="00052A28" w:rsidRDefault="00052A28" w:rsidP="00052A28">
            <w:pPr>
              <w:widowControl w:val="0"/>
              <w:suppressAutoHyphens/>
              <w:spacing w:after="0" w:line="276" w:lineRule="auto"/>
              <w:jc w:val="center"/>
              <w:rPr>
                <w:rFonts w:ascii="Arial" w:hAnsi="Arial" w:cs="Arial"/>
                <w:b/>
                <w:color w:val="000000"/>
                <w:kern w:val="1"/>
                <w:sz w:val="20"/>
                <w:szCs w:val="24"/>
                <w:lang w:val="ro-RO" w:eastAsia="zh-CN" w:bidi="hi-IN"/>
              </w:rPr>
            </w:pPr>
            <w:r w:rsidRPr="00052A28">
              <w:rPr>
                <w:rFonts w:ascii="Arial" w:hAnsi="Arial" w:cs="Arial"/>
                <w:b/>
                <w:color w:val="000000"/>
                <w:kern w:val="1"/>
                <w:sz w:val="20"/>
                <w:szCs w:val="24"/>
                <w:lang w:val="ro-RO" w:eastAsia="zh-CN" w:bidi="hi-IN"/>
              </w:rPr>
              <w:t>Scenariul „</w:t>
            </w:r>
            <w:r w:rsidRPr="00052A28">
              <w:rPr>
                <w:rFonts w:ascii="Arial" w:hAnsi="Arial" w:cs="Arial"/>
                <w:b/>
                <w:bCs/>
                <w:kern w:val="1"/>
                <w:sz w:val="20"/>
                <w:szCs w:val="24"/>
                <w:lang w:val="ro-RO" w:eastAsia="hi-IN" w:bidi="hi-IN"/>
              </w:rPr>
              <w:t xml:space="preserve"> ca până în prezent</w:t>
            </w:r>
            <w:r w:rsidRPr="00052A28">
              <w:rPr>
                <w:rFonts w:ascii="Arial" w:hAnsi="Arial" w:cs="Arial"/>
                <w:b/>
                <w:color w:val="000000"/>
                <w:kern w:val="1"/>
                <w:sz w:val="20"/>
                <w:szCs w:val="24"/>
                <w:lang w:val="ro-RO" w:eastAsia="zh-CN" w:bidi="hi-IN"/>
              </w:rPr>
              <w:t xml:space="preserve">” </w:t>
            </w:r>
          </w:p>
        </w:tc>
        <w:tc>
          <w:tcPr>
            <w:tcW w:w="3043" w:type="dxa"/>
            <w:shd w:val="clear" w:color="auto" w:fill="D9D9D9"/>
          </w:tcPr>
          <w:p w14:paraId="4C0045D7" w14:textId="77777777" w:rsidR="00052A28" w:rsidRPr="00052A28" w:rsidRDefault="00052A28" w:rsidP="00052A28">
            <w:pPr>
              <w:widowControl w:val="0"/>
              <w:suppressAutoHyphens/>
              <w:spacing w:after="0" w:line="276" w:lineRule="auto"/>
              <w:jc w:val="center"/>
              <w:rPr>
                <w:rFonts w:ascii="Arial" w:hAnsi="Arial" w:cs="Arial"/>
                <w:b/>
                <w:color w:val="000000"/>
                <w:kern w:val="1"/>
                <w:sz w:val="20"/>
                <w:szCs w:val="24"/>
                <w:lang w:val="ro-RO" w:eastAsia="zh-CN" w:bidi="hi-IN"/>
              </w:rPr>
            </w:pPr>
            <w:r w:rsidRPr="00052A28">
              <w:rPr>
                <w:rFonts w:ascii="Arial" w:hAnsi="Arial" w:cs="Arial"/>
                <w:b/>
                <w:color w:val="000000"/>
                <w:kern w:val="1"/>
                <w:sz w:val="20"/>
                <w:szCs w:val="24"/>
                <w:lang w:val="ro-RO" w:eastAsia="zh-CN" w:bidi="hi-IN"/>
              </w:rPr>
              <w:t xml:space="preserve">Scenariul preferat </w:t>
            </w:r>
          </w:p>
        </w:tc>
      </w:tr>
      <w:tr w:rsidR="00052A28" w:rsidRPr="00052A28" w14:paraId="36F27196" w14:textId="77777777" w:rsidTr="00CE76B6">
        <w:trPr>
          <w:trHeight w:val="93"/>
          <w:jc w:val="center"/>
        </w:trPr>
        <w:tc>
          <w:tcPr>
            <w:tcW w:w="3043" w:type="dxa"/>
            <w:shd w:val="clear" w:color="auto" w:fill="D9D9D9"/>
          </w:tcPr>
          <w:p w14:paraId="0648C390"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Viteza medie pe rețea (km/h) </w:t>
            </w:r>
          </w:p>
        </w:tc>
        <w:tc>
          <w:tcPr>
            <w:tcW w:w="3043" w:type="dxa"/>
            <w:vAlign w:val="center"/>
          </w:tcPr>
          <w:p w14:paraId="30831EB7" w14:textId="77777777" w:rsidR="00052A28" w:rsidRPr="00052A28" w:rsidRDefault="00052A28" w:rsidP="00052A28">
            <w:pPr>
              <w:spacing w:after="0"/>
              <w:jc w:val="center"/>
              <w:rPr>
                <w:rFonts w:ascii="Arial" w:eastAsia="Times New Roman" w:hAnsi="Arial" w:cs="Arial"/>
                <w:color w:val="00B050"/>
                <w:sz w:val="20"/>
                <w:szCs w:val="20"/>
                <w:highlight w:val="red"/>
                <w:lang w:val="ro-RO" w:eastAsia="ro-RO"/>
              </w:rPr>
            </w:pPr>
            <w:r w:rsidRPr="00052A28">
              <w:rPr>
                <w:rFonts w:ascii="Arial" w:hAnsi="Arial" w:cs="Arial"/>
                <w:color w:val="000000"/>
              </w:rPr>
              <w:t>28,89</w:t>
            </w:r>
          </w:p>
        </w:tc>
        <w:tc>
          <w:tcPr>
            <w:tcW w:w="3043" w:type="dxa"/>
            <w:vAlign w:val="center"/>
          </w:tcPr>
          <w:p w14:paraId="313E1D2F"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31,38</w:t>
            </w:r>
          </w:p>
        </w:tc>
      </w:tr>
      <w:tr w:rsidR="00052A28" w:rsidRPr="00052A28" w14:paraId="6D8269D1" w14:textId="77777777" w:rsidTr="00CE76B6">
        <w:trPr>
          <w:trHeight w:val="93"/>
          <w:jc w:val="center"/>
        </w:trPr>
        <w:tc>
          <w:tcPr>
            <w:tcW w:w="3043" w:type="dxa"/>
            <w:shd w:val="clear" w:color="auto" w:fill="D9D9D9"/>
          </w:tcPr>
          <w:p w14:paraId="0DFC5559"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Intarzierea medie pe rețea (s) </w:t>
            </w:r>
          </w:p>
        </w:tc>
        <w:tc>
          <w:tcPr>
            <w:tcW w:w="3043" w:type="dxa"/>
            <w:vAlign w:val="center"/>
          </w:tcPr>
          <w:p w14:paraId="2462E03F" w14:textId="77777777" w:rsidR="00052A28" w:rsidRPr="00052A28" w:rsidRDefault="00052A28" w:rsidP="00052A28">
            <w:pPr>
              <w:spacing w:after="0"/>
              <w:jc w:val="center"/>
              <w:rPr>
                <w:rFonts w:ascii="Arial" w:eastAsia="Times New Roman" w:hAnsi="Arial" w:cs="Arial"/>
                <w:b/>
                <w:bCs/>
                <w:color w:val="FF0000"/>
                <w:sz w:val="20"/>
                <w:szCs w:val="20"/>
                <w:highlight w:val="red"/>
                <w:lang w:val="ro-RO" w:eastAsia="ro-RO"/>
              </w:rPr>
            </w:pPr>
            <w:r w:rsidRPr="00052A28">
              <w:rPr>
                <w:rFonts w:ascii="Arial" w:hAnsi="Arial" w:cs="Arial"/>
                <w:color w:val="000000"/>
              </w:rPr>
              <w:t>46,41</w:t>
            </w:r>
          </w:p>
        </w:tc>
        <w:tc>
          <w:tcPr>
            <w:tcW w:w="3043" w:type="dxa"/>
            <w:vAlign w:val="center"/>
          </w:tcPr>
          <w:p w14:paraId="00418B1C"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39,34</w:t>
            </w:r>
          </w:p>
        </w:tc>
      </w:tr>
      <w:tr w:rsidR="00052A28" w:rsidRPr="00052A28" w14:paraId="62772594" w14:textId="77777777" w:rsidTr="00CE76B6">
        <w:trPr>
          <w:trHeight w:val="93"/>
          <w:jc w:val="center"/>
        </w:trPr>
        <w:tc>
          <w:tcPr>
            <w:tcW w:w="3043" w:type="dxa"/>
            <w:shd w:val="clear" w:color="auto" w:fill="D9D9D9"/>
          </w:tcPr>
          <w:p w14:paraId="3F225D0E"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Consumul de combustibil (l) </w:t>
            </w:r>
          </w:p>
        </w:tc>
        <w:tc>
          <w:tcPr>
            <w:tcW w:w="3043" w:type="dxa"/>
            <w:vAlign w:val="center"/>
          </w:tcPr>
          <w:p w14:paraId="2458BA21"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506,02</w:t>
            </w:r>
          </w:p>
        </w:tc>
        <w:tc>
          <w:tcPr>
            <w:tcW w:w="3043" w:type="dxa"/>
            <w:vAlign w:val="center"/>
          </w:tcPr>
          <w:p w14:paraId="7AE947DF"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519,52</w:t>
            </w:r>
          </w:p>
        </w:tc>
      </w:tr>
      <w:tr w:rsidR="00052A28" w:rsidRPr="00052A28" w14:paraId="48A93EE3" w14:textId="77777777" w:rsidTr="00CE76B6">
        <w:trPr>
          <w:trHeight w:val="93"/>
          <w:jc w:val="center"/>
        </w:trPr>
        <w:tc>
          <w:tcPr>
            <w:tcW w:w="3043" w:type="dxa"/>
            <w:shd w:val="clear" w:color="auto" w:fill="D9D9D9"/>
            <w:vAlign w:val="center"/>
          </w:tcPr>
          <w:p w14:paraId="0FE98A71"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CO</w:t>
            </w:r>
            <w:r w:rsidRPr="00052A28">
              <w:rPr>
                <w:rFonts w:ascii="Arial" w:hAnsi="Arial" w:cs="Arial"/>
                <w:color w:val="000000"/>
                <w:sz w:val="20"/>
                <w:szCs w:val="20"/>
                <w:vertAlign w:val="subscript"/>
                <w:lang w:val="ro-RO"/>
              </w:rPr>
              <w:t>2</w:t>
            </w:r>
            <w:r w:rsidRPr="00052A28">
              <w:rPr>
                <w:rFonts w:ascii="Arial" w:hAnsi="Arial" w:cs="Arial"/>
                <w:color w:val="000000"/>
                <w:sz w:val="20"/>
                <w:szCs w:val="20"/>
                <w:lang w:val="ro-RO"/>
              </w:rPr>
              <w:t xml:space="preserve"> (kg)</w:t>
            </w:r>
          </w:p>
        </w:tc>
        <w:tc>
          <w:tcPr>
            <w:tcW w:w="3043" w:type="dxa"/>
            <w:vAlign w:val="center"/>
          </w:tcPr>
          <w:p w14:paraId="0D70C534"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1491,80</w:t>
            </w:r>
          </w:p>
        </w:tc>
        <w:tc>
          <w:tcPr>
            <w:tcW w:w="3043" w:type="dxa"/>
            <w:vAlign w:val="center"/>
          </w:tcPr>
          <w:p w14:paraId="3A4A1F8D"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1534,45</w:t>
            </w:r>
          </w:p>
        </w:tc>
      </w:tr>
      <w:tr w:rsidR="00052A28" w:rsidRPr="00052A28" w14:paraId="1D61AAD2" w14:textId="77777777" w:rsidTr="00CE76B6">
        <w:trPr>
          <w:trHeight w:val="93"/>
          <w:jc w:val="center"/>
        </w:trPr>
        <w:tc>
          <w:tcPr>
            <w:tcW w:w="3043" w:type="dxa"/>
            <w:shd w:val="clear" w:color="auto" w:fill="D9D9D9"/>
            <w:vAlign w:val="center"/>
          </w:tcPr>
          <w:p w14:paraId="1FDE5C10"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NO</w:t>
            </w:r>
            <w:r w:rsidRPr="00052A28">
              <w:rPr>
                <w:rFonts w:ascii="Arial" w:hAnsi="Arial" w:cs="Arial"/>
                <w:color w:val="000000"/>
                <w:sz w:val="20"/>
                <w:szCs w:val="20"/>
                <w:vertAlign w:val="subscript"/>
                <w:lang w:val="ro-RO"/>
              </w:rPr>
              <w:t>x</w:t>
            </w:r>
            <w:r w:rsidRPr="00052A28">
              <w:rPr>
                <w:rFonts w:ascii="Arial" w:hAnsi="Arial" w:cs="Arial"/>
                <w:color w:val="000000"/>
                <w:sz w:val="20"/>
                <w:szCs w:val="20"/>
                <w:lang w:val="ro-RO"/>
              </w:rPr>
              <w:t xml:space="preserve"> (kg)</w:t>
            </w:r>
          </w:p>
        </w:tc>
        <w:tc>
          <w:tcPr>
            <w:tcW w:w="3043" w:type="dxa"/>
            <w:vAlign w:val="center"/>
          </w:tcPr>
          <w:p w14:paraId="307EA43C"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6,32</w:t>
            </w:r>
          </w:p>
        </w:tc>
        <w:tc>
          <w:tcPr>
            <w:tcW w:w="3043" w:type="dxa"/>
            <w:vAlign w:val="center"/>
          </w:tcPr>
          <w:p w14:paraId="056F6426"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5,74</w:t>
            </w:r>
          </w:p>
        </w:tc>
      </w:tr>
      <w:tr w:rsidR="00052A28" w:rsidRPr="00052A28" w14:paraId="7C662C42" w14:textId="77777777" w:rsidTr="00CE76B6">
        <w:trPr>
          <w:trHeight w:val="93"/>
          <w:jc w:val="center"/>
        </w:trPr>
        <w:tc>
          <w:tcPr>
            <w:tcW w:w="3043" w:type="dxa"/>
            <w:shd w:val="clear" w:color="auto" w:fill="D9D9D9"/>
            <w:vAlign w:val="center"/>
          </w:tcPr>
          <w:p w14:paraId="46E309CA"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PM (kg)</w:t>
            </w:r>
          </w:p>
        </w:tc>
        <w:tc>
          <w:tcPr>
            <w:tcW w:w="3043" w:type="dxa"/>
            <w:vAlign w:val="center"/>
          </w:tcPr>
          <w:p w14:paraId="0EFB5983"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0,32</w:t>
            </w:r>
          </w:p>
        </w:tc>
        <w:tc>
          <w:tcPr>
            <w:tcW w:w="3043" w:type="dxa"/>
            <w:vAlign w:val="center"/>
          </w:tcPr>
          <w:p w14:paraId="5BA5A2DF"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0,33</w:t>
            </w:r>
          </w:p>
        </w:tc>
      </w:tr>
      <w:tr w:rsidR="00052A28" w:rsidRPr="00052A28" w14:paraId="0F1D157D" w14:textId="77777777" w:rsidTr="00CE76B6">
        <w:trPr>
          <w:trHeight w:val="93"/>
          <w:jc w:val="center"/>
        </w:trPr>
        <w:tc>
          <w:tcPr>
            <w:tcW w:w="3043" w:type="dxa"/>
            <w:shd w:val="clear" w:color="auto" w:fill="D9D9D9"/>
            <w:vAlign w:val="center"/>
          </w:tcPr>
          <w:p w14:paraId="76BCEBB7"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HC (kg)</w:t>
            </w:r>
          </w:p>
        </w:tc>
        <w:tc>
          <w:tcPr>
            <w:tcW w:w="3043" w:type="dxa"/>
            <w:vAlign w:val="center"/>
          </w:tcPr>
          <w:p w14:paraId="48ABC28B"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10,68</w:t>
            </w:r>
          </w:p>
        </w:tc>
        <w:tc>
          <w:tcPr>
            <w:tcW w:w="3043" w:type="dxa"/>
            <w:vAlign w:val="center"/>
          </w:tcPr>
          <w:p w14:paraId="00531A1A"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9,59</w:t>
            </w:r>
          </w:p>
        </w:tc>
      </w:tr>
    </w:tbl>
    <w:p w14:paraId="5C88CD2C" w14:textId="77777777" w:rsidR="004F44A8" w:rsidRPr="004F44A8" w:rsidRDefault="004F44A8" w:rsidP="004F44A8">
      <w:pPr>
        <w:widowControl w:val="0"/>
        <w:suppressAutoHyphens/>
        <w:spacing w:after="0" w:line="240" w:lineRule="auto"/>
        <w:rPr>
          <w:rFonts w:ascii="Arial" w:hAnsi="Arial" w:cs="Mangal"/>
          <w:kern w:val="1"/>
          <w:sz w:val="20"/>
          <w:szCs w:val="24"/>
          <w:lang w:val="it-IT" w:eastAsia="hi-IN" w:bidi="hi-IN"/>
        </w:rPr>
      </w:pPr>
    </w:p>
    <w:p w14:paraId="33F4B451" w14:textId="77777777" w:rsidR="00052A28" w:rsidRPr="00052A28" w:rsidRDefault="00052A28" w:rsidP="00052A28">
      <w:pPr>
        <w:autoSpaceDE w:val="0"/>
        <w:autoSpaceDN w:val="0"/>
        <w:adjustRightInd w:val="0"/>
        <w:spacing w:after="0" w:line="276" w:lineRule="auto"/>
        <w:jc w:val="both"/>
        <w:rPr>
          <w:rFonts w:ascii="Arial" w:eastAsia="Times New Roman" w:hAnsi="Arial" w:cs="Arial"/>
          <w:color w:val="000000"/>
          <w:lang w:val="ro-RO"/>
        </w:rPr>
      </w:pPr>
      <w:r w:rsidRPr="00052A28">
        <w:rPr>
          <w:rFonts w:ascii="Arial" w:eastAsia="Times New Roman" w:hAnsi="Arial" w:cs="Arial"/>
          <w:color w:val="000000"/>
          <w:lang w:val="ro-RO"/>
        </w:rPr>
        <w:t xml:space="preserve">După cum se poate observa, se constată o îmbunătățire substanțială a tuturor indicatorilor relevanţi: </w:t>
      </w:r>
    </w:p>
    <w:p w14:paraId="4DB6665C" w14:textId="77777777" w:rsidR="00052A28" w:rsidRPr="00052A28" w:rsidRDefault="00052A28" w:rsidP="00052A28">
      <w:pPr>
        <w:numPr>
          <w:ilvl w:val="0"/>
          <w:numId w:val="188"/>
        </w:numPr>
        <w:suppressAutoHyphens/>
        <w:autoSpaceDE w:val="0"/>
        <w:autoSpaceDN w:val="0"/>
        <w:adjustRightInd w:val="0"/>
        <w:spacing w:after="0" w:line="276" w:lineRule="auto"/>
        <w:jc w:val="both"/>
        <w:rPr>
          <w:rFonts w:ascii="Arial" w:eastAsia="Times New Roman" w:hAnsi="Arial" w:cs="Arial"/>
          <w:color w:val="000000"/>
          <w:lang w:val="ro-RO" w:eastAsia="zh-CN"/>
        </w:rPr>
      </w:pPr>
      <w:r w:rsidRPr="00052A28">
        <w:rPr>
          <w:rFonts w:ascii="Arial" w:eastAsia="Times New Roman" w:hAnsi="Arial" w:cs="Arial"/>
          <w:color w:val="000000"/>
          <w:lang w:val="ro-RO" w:eastAsia="zh-CN"/>
        </w:rPr>
        <w:t xml:space="preserve">creștere </w:t>
      </w:r>
      <w:r w:rsidRPr="00052A28">
        <w:rPr>
          <w:rFonts w:ascii="Arial" w:eastAsia="Times New Roman" w:hAnsi="Arial" w:cs="Arial"/>
          <w:color w:val="000000"/>
          <w:lang w:val="ro-RO"/>
        </w:rPr>
        <w:t>cu aproape 9% a vitezei medii de deplasare in AM</w:t>
      </w:r>
      <w:r w:rsidRPr="00052A28">
        <w:rPr>
          <w:rFonts w:ascii="Arial" w:eastAsia="Times New Roman" w:hAnsi="Arial" w:cs="Arial"/>
          <w:color w:val="000000"/>
          <w:lang w:val="ro-RO" w:eastAsia="zh-CN"/>
        </w:rPr>
        <w:t xml:space="preserve">; </w:t>
      </w:r>
    </w:p>
    <w:p w14:paraId="6981B694" w14:textId="77777777" w:rsidR="00052A28" w:rsidRPr="00052A28" w:rsidRDefault="00052A28" w:rsidP="00052A28">
      <w:pPr>
        <w:numPr>
          <w:ilvl w:val="0"/>
          <w:numId w:val="188"/>
        </w:numPr>
        <w:suppressAutoHyphens/>
        <w:autoSpaceDE w:val="0"/>
        <w:autoSpaceDN w:val="0"/>
        <w:adjustRightInd w:val="0"/>
        <w:spacing w:after="0" w:line="276" w:lineRule="auto"/>
        <w:jc w:val="both"/>
        <w:rPr>
          <w:rFonts w:ascii="Arial" w:eastAsia="Times New Roman" w:hAnsi="Arial" w:cs="Arial"/>
          <w:color w:val="000000"/>
          <w:lang w:val="ro-RO" w:eastAsia="zh-CN"/>
        </w:rPr>
      </w:pPr>
      <w:r w:rsidRPr="00052A28">
        <w:rPr>
          <w:rFonts w:ascii="Arial" w:eastAsia="Times New Roman" w:hAnsi="Arial" w:cs="Arial"/>
          <w:color w:val="000000"/>
          <w:lang w:val="ro-RO" w:eastAsia="zh-CN"/>
        </w:rPr>
        <w:t xml:space="preserve">reducere a întârzierii medii pe rețea cu peste 15%; </w:t>
      </w:r>
    </w:p>
    <w:p w14:paraId="30463FD5" w14:textId="77777777" w:rsidR="00052A28" w:rsidRPr="00052A28" w:rsidRDefault="00052A28" w:rsidP="00052A28">
      <w:pPr>
        <w:numPr>
          <w:ilvl w:val="0"/>
          <w:numId w:val="188"/>
        </w:numPr>
        <w:suppressAutoHyphens/>
        <w:autoSpaceDE w:val="0"/>
        <w:autoSpaceDN w:val="0"/>
        <w:adjustRightInd w:val="0"/>
        <w:spacing w:after="0" w:line="276" w:lineRule="auto"/>
        <w:contextualSpacing/>
        <w:jc w:val="both"/>
        <w:rPr>
          <w:rFonts w:ascii="Arial" w:eastAsia="Calibri" w:hAnsi="Arial" w:cs="Arial"/>
          <w:b/>
          <w:lang w:val="ro-RO" w:eastAsia="zh-CN"/>
        </w:rPr>
      </w:pPr>
      <w:r w:rsidRPr="00052A28">
        <w:rPr>
          <w:rFonts w:ascii="Arial" w:eastAsia="Times New Roman" w:hAnsi="Arial" w:cs="Arial"/>
          <w:color w:val="000000"/>
          <w:lang w:val="ro-RO" w:eastAsia="zh-CN"/>
        </w:rPr>
        <w:t>reducere a emisiilor de noxe cu circa 9-10%.</w:t>
      </w:r>
    </w:p>
    <w:p w14:paraId="0733F804" w14:textId="77777777" w:rsidR="004F44A8" w:rsidRPr="004F44A8" w:rsidRDefault="004F44A8" w:rsidP="004F44A8">
      <w:pPr>
        <w:widowControl w:val="0"/>
        <w:suppressAutoHyphens/>
        <w:spacing w:after="0" w:line="240" w:lineRule="auto"/>
        <w:rPr>
          <w:rFonts w:ascii="Arial" w:hAnsi="Arial" w:cs="Mangal"/>
          <w:kern w:val="1"/>
          <w:sz w:val="20"/>
          <w:szCs w:val="24"/>
          <w:lang w:val="ro-RO" w:eastAsia="hi-IN" w:bidi="hi-IN"/>
        </w:rPr>
      </w:pPr>
    </w:p>
    <w:p w14:paraId="4FDD97C0" w14:textId="3336680E" w:rsidR="004F44A8" w:rsidRPr="005C1C72" w:rsidRDefault="005C1C72" w:rsidP="005C1C72">
      <w:pPr>
        <w:pStyle w:val="Legend"/>
        <w:jc w:val="center"/>
        <w:rPr>
          <w:rFonts w:ascii="Arial" w:eastAsia="Times New Roman" w:hAnsi="Arial" w:cs="Arial"/>
          <w:i w:val="0"/>
          <w:iCs w:val="0"/>
          <w:color w:val="1F497D"/>
          <w:kern w:val="1"/>
          <w:sz w:val="22"/>
          <w:szCs w:val="22"/>
          <w:lang w:val="it-IT" w:eastAsia="hi-IN" w:bidi="hi-IN"/>
        </w:rPr>
      </w:pPr>
      <w:bookmarkStart w:id="646" w:name="_Toc68361309"/>
      <w:bookmarkStart w:id="647" w:name="_Toc96463932"/>
      <w:r w:rsidRPr="005C1C72">
        <w:rPr>
          <w:rFonts w:ascii="Arial" w:hAnsi="Arial" w:cs="Arial"/>
          <w:sz w:val="22"/>
          <w:szCs w:val="22"/>
        </w:rPr>
        <w:t xml:space="preserve">Tabel I.8. </w:t>
      </w:r>
      <w:r w:rsidRPr="005C1C72">
        <w:rPr>
          <w:rFonts w:ascii="Arial" w:hAnsi="Arial" w:cs="Arial"/>
          <w:sz w:val="22"/>
          <w:szCs w:val="22"/>
        </w:rPr>
        <w:fldChar w:fldCharType="begin"/>
      </w:r>
      <w:r w:rsidRPr="005C1C72">
        <w:rPr>
          <w:rFonts w:ascii="Arial" w:hAnsi="Arial" w:cs="Arial"/>
          <w:sz w:val="22"/>
          <w:szCs w:val="22"/>
        </w:rPr>
        <w:instrText xml:space="preserve"> SEQ Tabel_I.8. \* ARABIC </w:instrText>
      </w:r>
      <w:r w:rsidRPr="005C1C72">
        <w:rPr>
          <w:rFonts w:ascii="Arial" w:hAnsi="Arial" w:cs="Arial"/>
          <w:sz w:val="22"/>
          <w:szCs w:val="22"/>
        </w:rPr>
        <w:fldChar w:fldCharType="separate"/>
      </w:r>
      <w:r w:rsidR="00BB181C">
        <w:rPr>
          <w:rFonts w:ascii="Arial" w:hAnsi="Arial" w:cs="Arial"/>
          <w:noProof/>
          <w:sz w:val="22"/>
          <w:szCs w:val="22"/>
        </w:rPr>
        <w:t>5</w:t>
      </w:r>
      <w:r w:rsidRPr="005C1C72">
        <w:rPr>
          <w:rFonts w:ascii="Arial" w:hAnsi="Arial" w:cs="Arial"/>
          <w:sz w:val="22"/>
          <w:szCs w:val="22"/>
        </w:rPr>
        <w:fldChar w:fldCharType="end"/>
      </w:r>
      <w:r w:rsidRPr="005C1C72">
        <w:rPr>
          <w:rFonts w:ascii="Arial" w:hAnsi="Arial" w:cs="Arial"/>
          <w:sz w:val="22"/>
          <w:szCs w:val="22"/>
        </w:rPr>
        <w:t xml:space="preserve"> </w:t>
      </w:r>
      <w:r w:rsidR="004F44A8" w:rsidRPr="005C1C72">
        <w:rPr>
          <w:rFonts w:ascii="Arial" w:hAnsi="Arial" w:cs="Arial"/>
          <w:color w:val="1F497D"/>
          <w:sz w:val="22"/>
          <w:szCs w:val="22"/>
        </w:rPr>
        <w:t xml:space="preserve">- </w:t>
      </w:r>
      <w:r w:rsidR="004F44A8" w:rsidRPr="005C1C72">
        <w:rPr>
          <w:rFonts w:ascii="Arial" w:hAnsi="Arial" w:cs="Arial"/>
          <w:i w:val="0"/>
          <w:iCs w:val="0"/>
          <w:color w:val="1F497D"/>
          <w:sz w:val="22"/>
          <w:szCs w:val="22"/>
        </w:rPr>
        <w:t>Impactul scenariului preferat – ora de vârf PM</w:t>
      </w:r>
      <w:bookmarkEnd w:id="646"/>
      <w:bookmarkEnd w:id="647"/>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3043"/>
        <w:gridCol w:w="3043"/>
      </w:tblGrid>
      <w:tr w:rsidR="00052A28" w:rsidRPr="00052A28" w14:paraId="536382DF" w14:textId="77777777" w:rsidTr="00CE76B6">
        <w:trPr>
          <w:trHeight w:val="93"/>
          <w:jc w:val="center"/>
        </w:trPr>
        <w:tc>
          <w:tcPr>
            <w:tcW w:w="3256" w:type="dxa"/>
            <w:shd w:val="clear" w:color="auto" w:fill="D9D9D9"/>
          </w:tcPr>
          <w:p w14:paraId="62589517" w14:textId="77777777" w:rsidR="00052A28" w:rsidRPr="00052A28" w:rsidRDefault="00052A28" w:rsidP="00052A28">
            <w:pPr>
              <w:widowControl w:val="0"/>
              <w:suppressAutoHyphens/>
              <w:spacing w:after="0" w:line="276" w:lineRule="auto"/>
              <w:jc w:val="center"/>
              <w:rPr>
                <w:rFonts w:ascii="Arial" w:hAnsi="Arial" w:cs="Arial"/>
                <w:b/>
                <w:color w:val="000000"/>
                <w:kern w:val="1"/>
                <w:sz w:val="20"/>
                <w:szCs w:val="24"/>
                <w:lang w:val="ro-RO" w:eastAsia="zh-CN" w:bidi="hi-IN"/>
              </w:rPr>
            </w:pPr>
            <w:r w:rsidRPr="00052A28">
              <w:rPr>
                <w:rFonts w:ascii="Arial" w:hAnsi="Arial" w:cs="Arial"/>
                <w:b/>
                <w:color w:val="000000"/>
                <w:kern w:val="1"/>
                <w:sz w:val="20"/>
                <w:szCs w:val="24"/>
                <w:lang w:val="ro-RO" w:eastAsia="zh-CN" w:bidi="hi-IN"/>
              </w:rPr>
              <w:t xml:space="preserve">Indicator </w:t>
            </w:r>
          </w:p>
        </w:tc>
        <w:tc>
          <w:tcPr>
            <w:tcW w:w="3043" w:type="dxa"/>
            <w:shd w:val="clear" w:color="auto" w:fill="D9D9D9"/>
          </w:tcPr>
          <w:p w14:paraId="7B5C8FE2" w14:textId="77777777" w:rsidR="00052A28" w:rsidRPr="00052A28" w:rsidRDefault="00052A28" w:rsidP="00052A28">
            <w:pPr>
              <w:widowControl w:val="0"/>
              <w:suppressAutoHyphens/>
              <w:spacing w:after="0" w:line="276" w:lineRule="auto"/>
              <w:jc w:val="center"/>
              <w:rPr>
                <w:rFonts w:ascii="Arial" w:hAnsi="Arial" w:cs="Arial"/>
                <w:b/>
                <w:color w:val="000000"/>
                <w:kern w:val="1"/>
                <w:sz w:val="20"/>
                <w:szCs w:val="24"/>
                <w:lang w:val="ro-RO" w:eastAsia="zh-CN" w:bidi="hi-IN"/>
              </w:rPr>
            </w:pPr>
            <w:r w:rsidRPr="00052A28">
              <w:rPr>
                <w:rFonts w:ascii="Arial" w:hAnsi="Arial" w:cs="Arial"/>
                <w:b/>
                <w:color w:val="000000"/>
                <w:kern w:val="1"/>
                <w:sz w:val="20"/>
                <w:szCs w:val="24"/>
                <w:lang w:val="ro-RO" w:eastAsia="zh-CN" w:bidi="hi-IN"/>
              </w:rPr>
              <w:t>Scenariul „</w:t>
            </w:r>
            <w:r w:rsidRPr="00052A28">
              <w:rPr>
                <w:rFonts w:ascii="Arial" w:hAnsi="Arial" w:cs="Arial"/>
                <w:b/>
                <w:bCs/>
                <w:kern w:val="1"/>
                <w:sz w:val="20"/>
                <w:szCs w:val="24"/>
                <w:lang w:val="ro-RO" w:eastAsia="hi-IN" w:bidi="hi-IN"/>
              </w:rPr>
              <w:t xml:space="preserve"> ca până în prezent</w:t>
            </w:r>
            <w:r w:rsidRPr="00052A28">
              <w:rPr>
                <w:rFonts w:ascii="Arial" w:hAnsi="Arial" w:cs="Arial"/>
                <w:b/>
                <w:color w:val="000000"/>
                <w:kern w:val="1"/>
                <w:sz w:val="20"/>
                <w:szCs w:val="24"/>
                <w:lang w:val="ro-RO" w:eastAsia="zh-CN" w:bidi="hi-IN"/>
              </w:rPr>
              <w:t xml:space="preserve">” </w:t>
            </w:r>
          </w:p>
        </w:tc>
        <w:tc>
          <w:tcPr>
            <w:tcW w:w="3043" w:type="dxa"/>
            <w:shd w:val="clear" w:color="auto" w:fill="D9D9D9"/>
          </w:tcPr>
          <w:p w14:paraId="2908D86C" w14:textId="77777777" w:rsidR="00052A28" w:rsidRPr="00052A28" w:rsidRDefault="00052A28" w:rsidP="00052A28">
            <w:pPr>
              <w:widowControl w:val="0"/>
              <w:suppressAutoHyphens/>
              <w:spacing w:after="0" w:line="276" w:lineRule="auto"/>
              <w:jc w:val="center"/>
              <w:rPr>
                <w:rFonts w:ascii="Arial" w:hAnsi="Arial" w:cs="Arial"/>
                <w:b/>
                <w:color w:val="000000"/>
                <w:kern w:val="1"/>
                <w:sz w:val="20"/>
                <w:szCs w:val="24"/>
                <w:lang w:val="ro-RO" w:eastAsia="zh-CN" w:bidi="hi-IN"/>
              </w:rPr>
            </w:pPr>
            <w:r w:rsidRPr="00052A28">
              <w:rPr>
                <w:rFonts w:ascii="Arial" w:hAnsi="Arial" w:cs="Arial"/>
                <w:b/>
                <w:color w:val="000000"/>
                <w:kern w:val="1"/>
                <w:sz w:val="20"/>
                <w:szCs w:val="24"/>
                <w:lang w:val="ro-RO" w:eastAsia="zh-CN" w:bidi="hi-IN"/>
              </w:rPr>
              <w:t xml:space="preserve">Scenariul preferat </w:t>
            </w:r>
          </w:p>
        </w:tc>
      </w:tr>
      <w:tr w:rsidR="00052A28" w:rsidRPr="00052A28" w14:paraId="50738511" w14:textId="77777777" w:rsidTr="00CE76B6">
        <w:trPr>
          <w:trHeight w:val="93"/>
          <w:jc w:val="center"/>
        </w:trPr>
        <w:tc>
          <w:tcPr>
            <w:tcW w:w="3256" w:type="dxa"/>
            <w:shd w:val="clear" w:color="auto" w:fill="D9D9D9"/>
          </w:tcPr>
          <w:p w14:paraId="2BA08479" w14:textId="77777777" w:rsidR="00052A28" w:rsidRPr="00052A28" w:rsidRDefault="00052A28" w:rsidP="00052A28">
            <w:pPr>
              <w:widowControl w:val="0"/>
              <w:suppressAutoHyphens/>
              <w:spacing w:after="0" w:line="276" w:lineRule="auto"/>
              <w:jc w:val="center"/>
              <w:rPr>
                <w:rFonts w:ascii="Arial" w:hAnsi="Arial" w:cs="Arial"/>
                <w:b/>
                <w:color w:val="000000"/>
                <w:kern w:val="1"/>
                <w:sz w:val="20"/>
                <w:szCs w:val="24"/>
                <w:lang w:val="ro-RO" w:eastAsia="zh-CN" w:bidi="hi-IN"/>
              </w:rPr>
            </w:pPr>
            <w:r w:rsidRPr="00052A28">
              <w:rPr>
                <w:rFonts w:ascii="Arial" w:hAnsi="Arial" w:cs="Arial"/>
                <w:color w:val="000000"/>
                <w:sz w:val="20"/>
                <w:szCs w:val="20"/>
                <w:lang w:val="ro-RO" w:eastAsia="zh-CN"/>
              </w:rPr>
              <w:t>Viteza medie de circulație (km/h)</w:t>
            </w:r>
          </w:p>
        </w:tc>
        <w:tc>
          <w:tcPr>
            <w:tcW w:w="3043" w:type="dxa"/>
            <w:shd w:val="clear" w:color="auto" w:fill="auto"/>
            <w:vAlign w:val="center"/>
          </w:tcPr>
          <w:p w14:paraId="4806D92B" w14:textId="77777777" w:rsidR="00052A28" w:rsidRPr="00052A28" w:rsidRDefault="00052A28" w:rsidP="00052A28">
            <w:pPr>
              <w:widowControl w:val="0"/>
              <w:suppressAutoHyphens/>
              <w:spacing w:after="0" w:line="276" w:lineRule="auto"/>
              <w:jc w:val="center"/>
              <w:rPr>
                <w:rFonts w:ascii="Arial" w:hAnsi="Arial" w:cs="Arial"/>
                <w:b/>
                <w:color w:val="000000"/>
                <w:kern w:val="1"/>
                <w:sz w:val="20"/>
                <w:szCs w:val="24"/>
                <w:lang w:val="ro-RO" w:eastAsia="zh-CN" w:bidi="hi-IN"/>
              </w:rPr>
            </w:pPr>
            <w:r w:rsidRPr="00052A28">
              <w:rPr>
                <w:rFonts w:ascii="Arial" w:hAnsi="Arial" w:cs="Arial"/>
                <w:color w:val="000000"/>
              </w:rPr>
              <w:t>26,50</w:t>
            </w:r>
          </w:p>
        </w:tc>
        <w:tc>
          <w:tcPr>
            <w:tcW w:w="3043" w:type="dxa"/>
            <w:shd w:val="clear" w:color="auto" w:fill="auto"/>
            <w:vAlign w:val="center"/>
          </w:tcPr>
          <w:p w14:paraId="49C61DD6" w14:textId="77777777" w:rsidR="00052A28" w:rsidRPr="00052A28" w:rsidRDefault="00052A28" w:rsidP="00052A28">
            <w:pPr>
              <w:widowControl w:val="0"/>
              <w:suppressAutoHyphens/>
              <w:spacing w:after="0" w:line="276" w:lineRule="auto"/>
              <w:jc w:val="center"/>
              <w:rPr>
                <w:rFonts w:ascii="Arial" w:hAnsi="Arial" w:cs="Arial"/>
                <w:b/>
                <w:color w:val="000000"/>
                <w:kern w:val="1"/>
                <w:sz w:val="20"/>
                <w:szCs w:val="24"/>
                <w:lang w:val="ro-RO" w:eastAsia="zh-CN" w:bidi="hi-IN"/>
              </w:rPr>
            </w:pPr>
            <w:r w:rsidRPr="00052A28">
              <w:rPr>
                <w:rFonts w:ascii="Arial" w:hAnsi="Arial" w:cs="Arial"/>
                <w:color w:val="000000"/>
              </w:rPr>
              <w:t>31,91</w:t>
            </w:r>
          </w:p>
        </w:tc>
      </w:tr>
      <w:tr w:rsidR="00052A28" w:rsidRPr="00052A28" w14:paraId="49DA6464" w14:textId="77777777" w:rsidTr="00CE76B6">
        <w:trPr>
          <w:trHeight w:val="93"/>
          <w:jc w:val="center"/>
        </w:trPr>
        <w:tc>
          <w:tcPr>
            <w:tcW w:w="3256" w:type="dxa"/>
            <w:shd w:val="clear" w:color="auto" w:fill="D9D9D9"/>
          </w:tcPr>
          <w:p w14:paraId="7AC4AD59"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Intarzierea medie pe rețea (s) </w:t>
            </w:r>
          </w:p>
        </w:tc>
        <w:tc>
          <w:tcPr>
            <w:tcW w:w="3043" w:type="dxa"/>
            <w:vAlign w:val="center"/>
          </w:tcPr>
          <w:p w14:paraId="663B16CE" w14:textId="77777777" w:rsidR="00052A28" w:rsidRPr="00052A28" w:rsidRDefault="00052A28" w:rsidP="00052A28">
            <w:pPr>
              <w:spacing w:after="0"/>
              <w:jc w:val="center"/>
              <w:rPr>
                <w:rFonts w:ascii="Arial" w:eastAsia="Times New Roman" w:hAnsi="Arial" w:cs="Arial"/>
                <w:b/>
                <w:bCs/>
                <w:color w:val="FF0000"/>
                <w:sz w:val="20"/>
                <w:szCs w:val="20"/>
                <w:highlight w:val="red"/>
                <w:lang w:val="ro-RO" w:eastAsia="ro-RO"/>
              </w:rPr>
            </w:pPr>
            <w:r w:rsidRPr="00052A28">
              <w:rPr>
                <w:rFonts w:ascii="Arial" w:hAnsi="Arial" w:cs="Arial"/>
                <w:color w:val="000000"/>
              </w:rPr>
              <w:t>69,00</w:t>
            </w:r>
          </w:p>
        </w:tc>
        <w:tc>
          <w:tcPr>
            <w:tcW w:w="3043" w:type="dxa"/>
            <w:vAlign w:val="center"/>
          </w:tcPr>
          <w:p w14:paraId="03E6D733"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37,69</w:t>
            </w:r>
          </w:p>
        </w:tc>
      </w:tr>
      <w:tr w:rsidR="00052A28" w:rsidRPr="00052A28" w14:paraId="3C0D8CA3" w14:textId="77777777" w:rsidTr="00CE76B6">
        <w:trPr>
          <w:trHeight w:val="93"/>
          <w:jc w:val="center"/>
        </w:trPr>
        <w:tc>
          <w:tcPr>
            <w:tcW w:w="3256" w:type="dxa"/>
            <w:shd w:val="clear" w:color="auto" w:fill="D9D9D9"/>
          </w:tcPr>
          <w:p w14:paraId="5A4A3841"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Consumul de combustibil (l) </w:t>
            </w:r>
          </w:p>
        </w:tc>
        <w:tc>
          <w:tcPr>
            <w:tcW w:w="3043" w:type="dxa"/>
            <w:vAlign w:val="center"/>
          </w:tcPr>
          <w:p w14:paraId="6C5CECFA"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758,45</w:t>
            </w:r>
          </w:p>
        </w:tc>
        <w:tc>
          <w:tcPr>
            <w:tcW w:w="3043" w:type="dxa"/>
            <w:vAlign w:val="center"/>
          </w:tcPr>
          <w:p w14:paraId="43FC2B15"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575,56</w:t>
            </w:r>
          </w:p>
        </w:tc>
      </w:tr>
      <w:tr w:rsidR="00052A28" w:rsidRPr="00052A28" w14:paraId="43AF9CB7" w14:textId="77777777" w:rsidTr="00CE76B6">
        <w:trPr>
          <w:trHeight w:val="93"/>
          <w:jc w:val="center"/>
        </w:trPr>
        <w:tc>
          <w:tcPr>
            <w:tcW w:w="3256" w:type="dxa"/>
            <w:shd w:val="clear" w:color="auto" w:fill="D9D9D9"/>
            <w:vAlign w:val="center"/>
          </w:tcPr>
          <w:p w14:paraId="6ED9120B"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CO</w:t>
            </w:r>
            <w:r w:rsidRPr="00052A28">
              <w:rPr>
                <w:rFonts w:ascii="Arial" w:hAnsi="Arial" w:cs="Arial"/>
                <w:color w:val="000000"/>
                <w:sz w:val="20"/>
                <w:szCs w:val="20"/>
                <w:vertAlign w:val="subscript"/>
                <w:lang w:val="ro-RO"/>
              </w:rPr>
              <w:t>2</w:t>
            </w:r>
            <w:r w:rsidRPr="00052A28">
              <w:rPr>
                <w:rFonts w:ascii="Arial" w:hAnsi="Arial" w:cs="Arial"/>
                <w:color w:val="000000"/>
                <w:sz w:val="20"/>
                <w:szCs w:val="20"/>
                <w:lang w:val="ro-RO"/>
              </w:rPr>
              <w:t xml:space="preserve"> (kg)</w:t>
            </w:r>
          </w:p>
        </w:tc>
        <w:tc>
          <w:tcPr>
            <w:tcW w:w="3043" w:type="dxa"/>
            <w:vAlign w:val="bottom"/>
          </w:tcPr>
          <w:p w14:paraId="18961F1E"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2233,81</w:t>
            </w:r>
          </w:p>
        </w:tc>
        <w:tc>
          <w:tcPr>
            <w:tcW w:w="3043" w:type="dxa"/>
            <w:vAlign w:val="center"/>
          </w:tcPr>
          <w:p w14:paraId="523483C2"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1700,05</w:t>
            </w:r>
          </w:p>
        </w:tc>
      </w:tr>
      <w:tr w:rsidR="00052A28" w:rsidRPr="00052A28" w14:paraId="72114CEA" w14:textId="77777777" w:rsidTr="00CE76B6">
        <w:trPr>
          <w:trHeight w:val="93"/>
          <w:jc w:val="center"/>
        </w:trPr>
        <w:tc>
          <w:tcPr>
            <w:tcW w:w="3256" w:type="dxa"/>
            <w:shd w:val="clear" w:color="auto" w:fill="D9D9D9"/>
            <w:vAlign w:val="center"/>
          </w:tcPr>
          <w:p w14:paraId="431C0042"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NO</w:t>
            </w:r>
            <w:r w:rsidRPr="00052A28">
              <w:rPr>
                <w:rFonts w:ascii="Arial" w:hAnsi="Arial" w:cs="Arial"/>
                <w:color w:val="000000"/>
                <w:sz w:val="20"/>
                <w:szCs w:val="20"/>
                <w:vertAlign w:val="subscript"/>
                <w:lang w:val="ro-RO"/>
              </w:rPr>
              <w:t>x</w:t>
            </w:r>
            <w:r w:rsidRPr="00052A28">
              <w:rPr>
                <w:rFonts w:ascii="Arial" w:hAnsi="Arial" w:cs="Arial"/>
                <w:color w:val="000000"/>
                <w:sz w:val="20"/>
                <w:szCs w:val="20"/>
                <w:lang w:val="ro-RO"/>
              </w:rPr>
              <w:t xml:space="preserve"> (kg)</w:t>
            </w:r>
          </w:p>
        </w:tc>
        <w:tc>
          <w:tcPr>
            <w:tcW w:w="3043" w:type="dxa"/>
            <w:vAlign w:val="bottom"/>
          </w:tcPr>
          <w:p w14:paraId="2442AD69"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10,61</w:t>
            </w:r>
          </w:p>
        </w:tc>
        <w:tc>
          <w:tcPr>
            <w:tcW w:w="3043" w:type="dxa"/>
            <w:vAlign w:val="center"/>
          </w:tcPr>
          <w:p w14:paraId="2D0348EC"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6,35</w:t>
            </w:r>
          </w:p>
        </w:tc>
      </w:tr>
      <w:tr w:rsidR="00052A28" w:rsidRPr="00052A28" w14:paraId="3DAC69B9" w14:textId="77777777" w:rsidTr="00CE76B6">
        <w:trPr>
          <w:trHeight w:val="93"/>
          <w:jc w:val="center"/>
        </w:trPr>
        <w:tc>
          <w:tcPr>
            <w:tcW w:w="3256" w:type="dxa"/>
            <w:shd w:val="clear" w:color="auto" w:fill="D9D9D9"/>
            <w:vAlign w:val="center"/>
          </w:tcPr>
          <w:p w14:paraId="1CC09C47"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PM (kg)</w:t>
            </w:r>
          </w:p>
        </w:tc>
        <w:tc>
          <w:tcPr>
            <w:tcW w:w="3043" w:type="dxa"/>
            <w:vAlign w:val="bottom"/>
          </w:tcPr>
          <w:p w14:paraId="24381F98"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0,49</w:t>
            </w:r>
          </w:p>
        </w:tc>
        <w:tc>
          <w:tcPr>
            <w:tcW w:w="3043" w:type="dxa"/>
            <w:vAlign w:val="center"/>
          </w:tcPr>
          <w:p w14:paraId="1820CEDB"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0,37</w:t>
            </w:r>
          </w:p>
        </w:tc>
      </w:tr>
      <w:tr w:rsidR="00052A28" w:rsidRPr="00052A28" w14:paraId="2370245F" w14:textId="77777777" w:rsidTr="00CE76B6">
        <w:trPr>
          <w:trHeight w:val="93"/>
          <w:jc w:val="center"/>
        </w:trPr>
        <w:tc>
          <w:tcPr>
            <w:tcW w:w="3256" w:type="dxa"/>
            <w:shd w:val="clear" w:color="auto" w:fill="D9D9D9"/>
            <w:vAlign w:val="center"/>
          </w:tcPr>
          <w:p w14:paraId="1A60A099"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HC (kg)</w:t>
            </w:r>
          </w:p>
        </w:tc>
        <w:tc>
          <w:tcPr>
            <w:tcW w:w="3043" w:type="dxa"/>
            <w:vAlign w:val="center"/>
          </w:tcPr>
          <w:p w14:paraId="07FDBE84"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12,86</w:t>
            </w:r>
          </w:p>
        </w:tc>
        <w:tc>
          <w:tcPr>
            <w:tcW w:w="3043" w:type="dxa"/>
            <w:vAlign w:val="center"/>
          </w:tcPr>
          <w:p w14:paraId="2C827285"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10,38</w:t>
            </w:r>
          </w:p>
        </w:tc>
      </w:tr>
    </w:tbl>
    <w:p w14:paraId="7629590F" w14:textId="77777777" w:rsidR="004F44A8" w:rsidRPr="004F44A8" w:rsidRDefault="004F44A8" w:rsidP="004F44A8">
      <w:pPr>
        <w:widowControl w:val="0"/>
        <w:suppressAutoHyphens/>
        <w:spacing w:after="0" w:line="240" w:lineRule="auto"/>
        <w:rPr>
          <w:rFonts w:ascii="Arial" w:hAnsi="Arial" w:cs="Mangal"/>
          <w:kern w:val="1"/>
          <w:sz w:val="20"/>
          <w:szCs w:val="24"/>
          <w:lang w:val="ro-RO" w:eastAsia="hi-IN" w:bidi="hi-IN"/>
        </w:rPr>
      </w:pPr>
    </w:p>
    <w:p w14:paraId="598A6FE4" w14:textId="77777777" w:rsidR="00052A28" w:rsidRPr="00052A28" w:rsidRDefault="00052A28" w:rsidP="00052A28">
      <w:pPr>
        <w:autoSpaceDE w:val="0"/>
        <w:autoSpaceDN w:val="0"/>
        <w:adjustRightInd w:val="0"/>
        <w:spacing w:after="0" w:line="276" w:lineRule="auto"/>
        <w:jc w:val="both"/>
        <w:rPr>
          <w:rFonts w:ascii="Arial" w:eastAsia="Times New Roman" w:hAnsi="Arial" w:cs="Arial"/>
          <w:color w:val="000000"/>
          <w:lang w:val="ro-RO"/>
        </w:rPr>
      </w:pPr>
      <w:r w:rsidRPr="00052A28">
        <w:rPr>
          <w:rFonts w:ascii="Arial" w:eastAsia="Times New Roman" w:hAnsi="Arial" w:cs="Arial"/>
          <w:color w:val="000000"/>
          <w:lang w:val="ro-RO"/>
        </w:rPr>
        <w:t xml:space="preserve">După cum se poate observa, se constată o îmbunătăţire substanţială a tuturor indicatorilor relevanţi: </w:t>
      </w:r>
    </w:p>
    <w:p w14:paraId="2EF36D2C" w14:textId="77777777" w:rsidR="00052A28" w:rsidRPr="00052A28" w:rsidRDefault="00052A28" w:rsidP="00052A28">
      <w:pPr>
        <w:numPr>
          <w:ilvl w:val="0"/>
          <w:numId w:val="189"/>
        </w:numPr>
        <w:suppressAutoHyphens/>
        <w:autoSpaceDE w:val="0"/>
        <w:autoSpaceDN w:val="0"/>
        <w:adjustRightInd w:val="0"/>
        <w:spacing w:after="0" w:line="276" w:lineRule="auto"/>
        <w:jc w:val="both"/>
        <w:rPr>
          <w:rFonts w:ascii="Arial" w:eastAsia="Times New Roman" w:hAnsi="Arial" w:cs="Arial"/>
          <w:color w:val="000000"/>
          <w:lang w:val="ro-RO" w:eastAsia="zh-CN"/>
        </w:rPr>
      </w:pPr>
      <w:r w:rsidRPr="00052A28">
        <w:rPr>
          <w:rFonts w:ascii="Arial" w:eastAsia="Times New Roman" w:hAnsi="Arial" w:cs="Arial"/>
          <w:color w:val="000000"/>
          <w:lang w:val="ro-RO"/>
        </w:rPr>
        <w:t>creștere cu aproape 20% a vitezei medii de deplasare în PM</w:t>
      </w:r>
      <w:r w:rsidRPr="00052A28">
        <w:rPr>
          <w:rFonts w:ascii="Arial" w:eastAsia="Times New Roman" w:hAnsi="Arial" w:cs="Arial"/>
          <w:color w:val="000000"/>
          <w:lang w:val="ro-RO" w:eastAsia="zh-CN"/>
        </w:rPr>
        <w:t xml:space="preserve">; </w:t>
      </w:r>
    </w:p>
    <w:p w14:paraId="4BB007AD" w14:textId="77777777" w:rsidR="00052A28" w:rsidRPr="00052A28" w:rsidRDefault="00052A28" w:rsidP="00052A28">
      <w:pPr>
        <w:numPr>
          <w:ilvl w:val="0"/>
          <w:numId w:val="189"/>
        </w:numPr>
        <w:suppressAutoHyphens/>
        <w:autoSpaceDE w:val="0"/>
        <w:autoSpaceDN w:val="0"/>
        <w:adjustRightInd w:val="0"/>
        <w:spacing w:after="0" w:line="276" w:lineRule="auto"/>
        <w:jc w:val="both"/>
        <w:rPr>
          <w:rFonts w:ascii="Arial" w:eastAsia="Times New Roman" w:hAnsi="Arial" w:cs="Arial"/>
          <w:color w:val="000000"/>
          <w:lang w:val="ro-RO" w:eastAsia="zh-CN"/>
        </w:rPr>
      </w:pPr>
      <w:r w:rsidRPr="00052A28">
        <w:rPr>
          <w:rFonts w:ascii="Arial" w:eastAsia="Times New Roman" w:hAnsi="Arial" w:cs="Arial"/>
          <w:color w:val="000000"/>
          <w:lang w:val="ro-RO" w:eastAsia="zh-CN"/>
        </w:rPr>
        <w:t xml:space="preserve">reducere a întârzierii medii pe rețea cu aproximativ 49 %; </w:t>
      </w:r>
    </w:p>
    <w:p w14:paraId="3B2357C2" w14:textId="77777777" w:rsidR="00052A28" w:rsidRPr="00052A28" w:rsidRDefault="00052A28" w:rsidP="00052A28">
      <w:pPr>
        <w:numPr>
          <w:ilvl w:val="0"/>
          <w:numId w:val="189"/>
        </w:numPr>
        <w:suppressAutoHyphens/>
        <w:autoSpaceDE w:val="0"/>
        <w:autoSpaceDN w:val="0"/>
        <w:adjustRightInd w:val="0"/>
        <w:spacing w:after="0" w:line="276" w:lineRule="auto"/>
        <w:contextualSpacing/>
        <w:jc w:val="both"/>
        <w:rPr>
          <w:rFonts w:ascii="Arial" w:eastAsia="Calibri" w:hAnsi="Arial" w:cs="Arial"/>
          <w:b/>
          <w:lang w:val="ro-RO" w:eastAsia="zh-CN"/>
        </w:rPr>
      </w:pPr>
      <w:r w:rsidRPr="00052A28">
        <w:rPr>
          <w:rFonts w:ascii="Arial" w:eastAsia="Times New Roman" w:hAnsi="Arial" w:cs="Arial"/>
          <w:color w:val="000000"/>
          <w:lang w:val="ro-RO" w:eastAsia="zh-CN"/>
        </w:rPr>
        <w:t>reducere a emisiilor de noxe cu circa 20-40%.</w:t>
      </w:r>
    </w:p>
    <w:p w14:paraId="7EC465E2" w14:textId="77777777" w:rsidR="004F44A8" w:rsidRPr="004F44A8" w:rsidRDefault="004F44A8" w:rsidP="004F44A8">
      <w:pPr>
        <w:rPr>
          <w:rFonts w:ascii="Arial" w:eastAsia="Times New Roman" w:hAnsi="Arial" w:cs="Arial"/>
          <w:lang w:val="x-none" w:eastAsia="ro-RO"/>
        </w:rPr>
      </w:pPr>
    </w:p>
    <w:p w14:paraId="4F859200" w14:textId="3F9D2C14" w:rsidR="004F44A8" w:rsidRPr="006A1446" w:rsidRDefault="005C1C72" w:rsidP="006A1446">
      <w:pPr>
        <w:pStyle w:val="Legend"/>
        <w:jc w:val="center"/>
        <w:rPr>
          <w:rFonts w:ascii="Arial" w:eastAsia="Times New Roman" w:hAnsi="Arial" w:cs="Arial"/>
          <w:color w:val="1F497D"/>
          <w:kern w:val="1"/>
          <w:sz w:val="22"/>
          <w:szCs w:val="22"/>
          <w:lang w:val="it-IT" w:eastAsia="hi-IN" w:bidi="hi-IN"/>
        </w:rPr>
      </w:pPr>
      <w:bookmarkStart w:id="648" w:name="_Toc68361310"/>
      <w:bookmarkStart w:id="649" w:name="_Toc96463933"/>
      <w:r w:rsidRPr="006A1446">
        <w:rPr>
          <w:rFonts w:ascii="Arial" w:hAnsi="Arial" w:cs="Arial"/>
          <w:sz w:val="22"/>
          <w:szCs w:val="22"/>
        </w:rPr>
        <w:t xml:space="preserve">Tabel I.8. </w:t>
      </w:r>
      <w:r w:rsidRPr="006A1446">
        <w:rPr>
          <w:rFonts w:ascii="Arial" w:hAnsi="Arial" w:cs="Arial"/>
          <w:sz w:val="22"/>
          <w:szCs w:val="22"/>
        </w:rPr>
        <w:fldChar w:fldCharType="begin"/>
      </w:r>
      <w:r w:rsidRPr="006A1446">
        <w:rPr>
          <w:rFonts w:ascii="Arial" w:hAnsi="Arial" w:cs="Arial"/>
          <w:sz w:val="22"/>
          <w:szCs w:val="22"/>
        </w:rPr>
        <w:instrText xml:space="preserve"> SEQ Tabel_I.8. \* ARABIC </w:instrText>
      </w:r>
      <w:r w:rsidRPr="006A1446">
        <w:rPr>
          <w:rFonts w:ascii="Arial" w:hAnsi="Arial" w:cs="Arial"/>
          <w:sz w:val="22"/>
          <w:szCs w:val="22"/>
        </w:rPr>
        <w:fldChar w:fldCharType="separate"/>
      </w:r>
      <w:r w:rsidR="00BB181C">
        <w:rPr>
          <w:rFonts w:ascii="Arial" w:hAnsi="Arial" w:cs="Arial"/>
          <w:noProof/>
          <w:sz w:val="22"/>
          <w:szCs w:val="22"/>
        </w:rPr>
        <w:t>6</w:t>
      </w:r>
      <w:r w:rsidRPr="006A1446">
        <w:rPr>
          <w:rFonts w:ascii="Arial" w:hAnsi="Arial" w:cs="Arial"/>
          <w:sz w:val="22"/>
          <w:szCs w:val="22"/>
        </w:rPr>
        <w:fldChar w:fldCharType="end"/>
      </w:r>
      <w:r w:rsidRPr="006A1446">
        <w:rPr>
          <w:rFonts w:ascii="Arial" w:hAnsi="Arial" w:cs="Arial"/>
          <w:sz w:val="22"/>
          <w:szCs w:val="22"/>
        </w:rPr>
        <w:t xml:space="preserve"> </w:t>
      </w:r>
      <w:r w:rsidR="004F44A8" w:rsidRPr="006A1446">
        <w:rPr>
          <w:rFonts w:ascii="Arial" w:hAnsi="Arial" w:cs="Arial"/>
          <w:color w:val="1F497D"/>
          <w:sz w:val="22"/>
          <w:szCs w:val="22"/>
        </w:rPr>
        <w:t xml:space="preserve">- </w:t>
      </w:r>
      <w:r w:rsidR="004F44A8" w:rsidRPr="006A1446">
        <w:rPr>
          <w:rFonts w:ascii="Arial" w:hAnsi="Arial" w:cs="Arial"/>
          <w:i w:val="0"/>
          <w:iCs w:val="0"/>
          <w:color w:val="1F497D"/>
          <w:sz w:val="22"/>
          <w:szCs w:val="22"/>
        </w:rPr>
        <w:t>Impactul scenariului preferat – 24h</w:t>
      </w:r>
      <w:bookmarkEnd w:id="648"/>
      <w:bookmarkEnd w:id="649"/>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3043"/>
        <w:gridCol w:w="3043"/>
      </w:tblGrid>
      <w:tr w:rsidR="00052A28" w:rsidRPr="00052A28" w14:paraId="3DE4C865" w14:textId="77777777" w:rsidTr="00CE76B6">
        <w:trPr>
          <w:trHeight w:val="93"/>
          <w:jc w:val="center"/>
        </w:trPr>
        <w:tc>
          <w:tcPr>
            <w:tcW w:w="3256" w:type="dxa"/>
            <w:shd w:val="clear" w:color="auto" w:fill="D9D9D9"/>
          </w:tcPr>
          <w:p w14:paraId="40B6A4ED" w14:textId="77777777" w:rsidR="00052A28" w:rsidRPr="00052A28" w:rsidRDefault="00052A28" w:rsidP="00052A28">
            <w:pPr>
              <w:spacing w:after="0" w:line="276" w:lineRule="auto"/>
              <w:jc w:val="center"/>
              <w:rPr>
                <w:rFonts w:ascii="Arial" w:hAnsi="Arial" w:cs="Arial"/>
                <w:b/>
                <w:color w:val="000000"/>
                <w:sz w:val="20"/>
                <w:szCs w:val="20"/>
                <w:lang w:val="ro-RO" w:eastAsia="zh-CN"/>
              </w:rPr>
            </w:pPr>
            <w:r w:rsidRPr="00052A28">
              <w:rPr>
                <w:rFonts w:ascii="Arial" w:hAnsi="Arial" w:cs="Arial"/>
                <w:b/>
                <w:color w:val="000000"/>
                <w:sz w:val="20"/>
                <w:szCs w:val="20"/>
                <w:lang w:val="ro-RO" w:eastAsia="zh-CN"/>
              </w:rPr>
              <w:t xml:space="preserve">Indicator </w:t>
            </w:r>
          </w:p>
        </w:tc>
        <w:tc>
          <w:tcPr>
            <w:tcW w:w="3043" w:type="dxa"/>
            <w:shd w:val="clear" w:color="auto" w:fill="D9D9D9"/>
          </w:tcPr>
          <w:p w14:paraId="39E1FA1B" w14:textId="77777777" w:rsidR="00052A28" w:rsidRPr="00052A28" w:rsidRDefault="00052A28" w:rsidP="00052A28">
            <w:pPr>
              <w:spacing w:after="0" w:line="276" w:lineRule="auto"/>
              <w:jc w:val="center"/>
              <w:rPr>
                <w:rFonts w:ascii="Arial" w:hAnsi="Arial" w:cs="Arial"/>
                <w:b/>
                <w:color w:val="000000"/>
                <w:sz w:val="20"/>
                <w:szCs w:val="20"/>
                <w:lang w:val="ro-RO" w:eastAsia="zh-CN"/>
              </w:rPr>
            </w:pPr>
            <w:r w:rsidRPr="00052A28">
              <w:rPr>
                <w:rFonts w:ascii="Arial" w:hAnsi="Arial" w:cs="Arial"/>
                <w:b/>
                <w:color w:val="000000"/>
                <w:sz w:val="20"/>
                <w:szCs w:val="20"/>
                <w:lang w:val="ro-RO" w:eastAsia="zh-CN"/>
              </w:rPr>
              <w:t>Scenariul „</w:t>
            </w:r>
            <w:r w:rsidRPr="00052A28">
              <w:rPr>
                <w:rFonts w:ascii="Arial" w:hAnsi="Arial" w:cs="Arial"/>
                <w:b/>
                <w:bCs/>
                <w:sz w:val="20"/>
                <w:szCs w:val="20"/>
                <w:lang w:val="ro-RO"/>
              </w:rPr>
              <w:t xml:space="preserve"> ca până în prezent</w:t>
            </w:r>
            <w:r w:rsidRPr="00052A28">
              <w:rPr>
                <w:rFonts w:ascii="Arial" w:hAnsi="Arial" w:cs="Arial"/>
                <w:b/>
                <w:color w:val="000000"/>
                <w:sz w:val="20"/>
                <w:szCs w:val="20"/>
                <w:lang w:val="ro-RO" w:eastAsia="zh-CN"/>
              </w:rPr>
              <w:t xml:space="preserve">” </w:t>
            </w:r>
          </w:p>
        </w:tc>
        <w:tc>
          <w:tcPr>
            <w:tcW w:w="3043" w:type="dxa"/>
            <w:shd w:val="clear" w:color="auto" w:fill="D9D9D9"/>
          </w:tcPr>
          <w:p w14:paraId="2D44A7C4" w14:textId="77777777" w:rsidR="00052A28" w:rsidRPr="00052A28" w:rsidRDefault="00052A28" w:rsidP="00052A28">
            <w:pPr>
              <w:spacing w:after="0" w:line="276" w:lineRule="auto"/>
              <w:jc w:val="center"/>
              <w:rPr>
                <w:rFonts w:ascii="Arial" w:hAnsi="Arial" w:cs="Arial"/>
                <w:b/>
                <w:color w:val="000000"/>
                <w:sz w:val="20"/>
                <w:szCs w:val="20"/>
                <w:lang w:val="ro-RO" w:eastAsia="zh-CN"/>
              </w:rPr>
            </w:pPr>
            <w:r w:rsidRPr="00052A28">
              <w:rPr>
                <w:rFonts w:ascii="Arial" w:hAnsi="Arial" w:cs="Arial"/>
                <w:b/>
                <w:color w:val="000000"/>
                <w:sz w:val="20"/>
                <w:szCs w:val="20"/>
                <w:lang w:val="ro-RO" w:eastAsia="zh-CN"/>
              </w:rPr>
              <w:t xml:space="preserve">Scenariul preferat </w:t>
            </w:r>
          </w:p>
        </w:tc>
      </w:tr>
      <w:tr w:rsidR="00052A28" w:rsidRPr="00052A28" w14:paraId="40FC7985" w14:textId="77777777" w:rsidTr="00CE76B6">
        <w:trPr>
          <w:trHeight w:val="93"/>
          <w:jc w:val="center"/>
        </w:trPr>
        <w:tc>
          <w:tcPr>
            <w:tcW w:w="3256" w:type="dxa"/>
            <w:shd w:val="clear" w:color="auto" w:fill="D9D9D9"/>
            <w:vAlign w:val="center"/>
          </w:tcPr>
          <w:p w14:paraId="0CE89B65"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Ponderea transportului public (%) </w:t>
            </w:r>
          </w:p>
        </w:tc>
        <w:tc>
          <w:tcPr>
            <w:tcW w:w="3043" w:type="dxa"/>
            <w:vAlign w:val="center"/>
          </w:tcPr>
          <w:p w14:paraId="529E16DB"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sz w:val="20"/>
                <w:szCs w:val="20"/>
                <w:lang w:val="ro-RO" w:eastAsia="zh-CN"/>
              </w:rPr>
              <w:t>0 %</w:t>
            </w:r>
          </w:p>
        </w:tc>
        <w:tc>
          <w:tcPr>
            <w:tcW w:w="3043" w:type="dxa"/>
            <w:vAlign w:val="center"/>
          </w:tcPr>
          <w:p w14:paraId="15DFACFF"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21,0%</w:t>
            </w:r>
          </w:p>
        </w:tc>
      </w:tr>
      <w:tr w:rsidR="00052A28" w:rsidRPr="00052A28" w14:paraId="7A533BF1" w14:textId="77777777" w:rsidTr="00CE76B6">
        <w:trPr>
          <w:trHeight w:val="93"/>
          <w:jc w:val="center"/>
        </w:trPr>
        <w:tc>
          <w:tcPr>
            <w:tcW w:w="3256" w:type="dxa"/>
            <w:shd w:val="clear" w:color="auto" w:fill="D9D9D9"/>
            <w:vAlign w:val="center"/>
          </w:tcPr>
          <w:p w14:paraId="30CEB6B6"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Pondere transport cu bicicleta (%)</w:t>
            </w:r>
          </w:p>
        </w:tc>
        <w:tc>
          <w:tcPr>
            <w:tcW w:w="3043" w:type="dxa"/>
            <w:vAlign w:val="center"/>
          </w:tcPr>
          <w:p w14:paraId="05444454"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sz w:val="20"/>
                <w:szCs w:val="20"/>
                <w:lang w:val="ro-RO" w:eastAsia="zh-CN"/>
              </w:rPr>
              <w:t>0,6%</w:t>
            </w:r>
          </w:p>
        </w:tc>
        <w:tc>
          <w:tcPr>
            <w:tcW w:w="3043" w:type="dxa"/>
            <w:vAlign w:val="center"/>
          </w:tcPr>
          <w:p w14:paraId="26FE06AF"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1,8%</w:t>
            </w:r>
          </w:p>
        </w:tc>
      </w:tr>
      <w:tr w:rsidR="00052A28" w:rsidRPr="00052A28" w14:paraId="5A475C31" w14:textId="77777777" w:rsidTr="00CE76B6">
        <w:trPr>
          <w:trHeight w:val="93"/>
          <w:jc w:val="center"/>
        </w:trPr>
        <w:tc>
          <w:tcPr>
            <w:tcW w:w="3256" w:type="dxa"/>
            <w:shd w:val="clear" w:color="auto" w:fill="D9D9D9"/>
            <w:vAlign w:val="center"/>
          </w:tcPr>
          <w:p w14:paraId="662F7A9E"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Ponderea transport pietonal (%) </w:t>
            </w:r>
          </w:p>
        </w:tc>
        <w:tc>
          <w:tcPr>
            <w:tcW w:w="3043" w:type="dxa"/>
            <w:vAlign w:val="center"/>
          </w:tcPr>
          <w:p w14:paraId="467FF928"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sz w:val="20"/>
                <w:szCs w:val="20"/>
                <w:lang w:val="ro-RO"/>
              </w:rPr>
              <w:t>18,3%</w:t>
            </w:r>
          </w:p>
        </w:tc>
        <w:tc>
          <w:tcPr>
            <w:tcW w:w="3043" w:type="dxa"/>
            <w:vAlign w:val="center"/>
          </w:tcPr>
          <w:p w14:paraId="368653BD"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rPr>
              <w:t>18,8%</w:t>
            </w:r>
          </w:p>
        </w:tc>
      </w:tr>
      <w:tr w:rsidR="00052A28" w:rsidRPr="00052A28" w14:paraId="380C70DF" w14:textId="77777777" w:rsidTr="00CE76B6">
        <w:trPr>
          <w:trHeight w:val="93"/>
          <w:jc w:val="center"/>
        </w:trPr>
        <w:tc>
          <w:tcPr>
            <w:tcW w:w="3256" w:type="dxa"/>
            <w:shd w:val="clear" w:color="auto" w:fill="D9D9D9"/>
            <w:vAlign w:val="center"/>
          </w:tcPr>
          <w:p w14:paraId="7EA8982B"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Ponderea transportului cu autoturismul personal (%) </w:t>
            </w:r>
          </w:p>
        </w:tc>
        <w:tc>
          <w:tcPr>
            <w:tcW w:w="3043" w:type="dxa"/>
            <w:vAlign w:val="center"/>
          </w:tcPr>
          <w:p w14:paraId="24E297B1"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sz w:val="20"/>
                <w:szCs w:val="20"/>
                <w:lang w:val="ro-RO"/>
              </w:rPr>
              <w:t>55,9%</w:t>
            </w:r>
          </w:p>
        </w:tc>
        <w:tc>
          <w:tcPr>
            <w:tcW w:w="3043" w:type="dxa"/>
            <w:vAlign w:val="center"/>
          </w:tcPr>
          <w:p w14:paraId="23E234B3"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rPr>
              <w:t>37,9%</w:t>
            </w:r>
          </w:p>
        </w:tc>
      </w:tr>
      <w:tr w:rsidR="00052A28" w:rsidRPr="00052A28" w14:paraId="3D58AB61" w14:textId="77777777" w:rsidTr="00CE76B6">
        <w:trPr>
          <w:trHeight w:val="93"/>
          <w:jc w:val="center"/>
        </w:trPr>
        <w:tc>
          <w:tcPr>
            <w:tcW w:w="3256" w:type="dxa"/>
            <w:shd w:val="clear" w:color="auto" w:fill="D9D9D9"/>
          </w:tcPr>
          <w:p w14:paraId="5052FD8B"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Viteza medie pe rețea (km/h) </w:t>
            </w:r>
          </w:p>
        </w:tc>
        <w:tc>
          <w:tcPr>
            <w:tcW w:w="3043" w:type="dxa"/>
            <w:vAlign w:val="center"/>
          </w:tcPr>
          <w:p w14:paraId="1AD591DE"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30,46</w:t>
            </w:r>
          </w:p>
        </w:tc>
        <w:tc>
          <w:tcPr>
            <w:tcW w:w="3043" w:type="dxa"/>
            <w:vAlign w:val="center"/>
          </w:tcPr>
          <w:p w14:paraId="0E49B95C"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34,81</w:t>
            </w:r>
          </w:p>
        </w:tc>
      </w:tr>
      <w:tr w:rsidR="00052A28" w:rsidRPr="00052A28" w14:paraId="6467E45E" w14:textId="77777777" w:rsidTr="00CE76B6">
        <w:trPr>
          <w:trHeight w:val="93"/>
          <w:jc w:val="center"/>
        </w:trPr>
        <w:tc>
          <w:tcPr>
            <w:tcW w:w="3256" w:type="dxa"/>
            <w:shd w:val="clear" w:color="auto" w:fill="D9D9D9"/>
          </w:tcPr>
          <w:p w14:paraId="0DB3817B"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Intarzierea medie pe rețea (s) </w:t>
            </w:r>
          </w:p>
        </w:tc>
        <w:tc>
          <w:tcPr>
            <w:tcW w:w="3043" w:type="dxa"/>
            <w:vAlign w:val="center"/>
          </w:tcPr>
          <w:p w14:paraId="3A7B0BF9"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23,21</w:t>
            </w:r>
          </w:p>
        </w:tc>
        <w:tc>
          <w:tcPr>
            <w:tcW w:w="3043" w:type="dxa"/>
            <w:vAlign w:val="center"/>
          </w:tcPr>
          <w:p w14:paraId="1D872374"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19,67</w:t>
            </w:r>
          </w:p>
        </w:tc>
      </w:tr>
      <w:tr w:rsidR="00052A28" w:rsidRPr="00052A28" w14:paraId="4450A92A" w14:textId="77777777" w:rsidTr="00CE76B6">
        <w:trPr>
          <w:trHeight w:val="93"/>
          <w:jc w:val="center"/>
        </w:trPr>
        <w:tc>
          <w:tcPr>
            <w:tcW w:w="3256" w:type="dxa"/>
            <w:shd w:val="clear" w:color="auto" w:fill="D9D9D9"/>
          </w:tcPr>
          <w:p w14:paraId="00B0D214" w14:textId="77777777" w:rsidR="00052A28" w:rsidRPr="00052A28" w:rsidRDefault="00052A28" w:rsidP="00052A28">
            <w:pPr>
              <w:spacing w:after="0"/>
              <w:jc w:val="center"/>
              <w:rPr>
                <w:rFonts w:ascii="Arial" w:hAnsi="Arial" w:cs="Arial"/>
                <w:color w:val="000000"/>
                <w:sz w:val="20"/>
                <w:szCs w:val="20"/>
                <w:lang w:val="ro-RO" w:eastAsia="zh-CN"/>
              </w:rPr>
            </w:pPr>
            <w:r w:rsidRPr="00052A28">
              <w:rPr>
                <w:rFonts w:ascii="Arial" w:hAnsi="Arial" w:cs="Arial"/>
                <w:color w:val="000000"/>
                <w:sz w:val="20"/>
                <w:szCs w:val="20"/>
                <w:lang w:val="ro-RO" w:eastAsia="zh-CN"/>
              </w:rPr>
              <w:t xml:space="preserve">Consumul de combustibil (l) </w:t>
            </w:r>
          </w:p>
        </w:tc>
        <w:tc>
          <w:tcPr>
            <w:tcW w:w="3043" w:type="dxa"/>
            <w:vAlign w:val="center"/>
          </w:tcPr>
          <w:p w14:paraId="1A77FA45"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7586,82</w:t>
            </w:r>
          </w:p>
        </w:tc>
        <w:tc>
          <w:tcPr>
            <w:tcW w:w="3043" w:type="dxa"/>
            <w:vAlign w:val="center"/>
          </w:tcPr>
          <w:p w14:paraId="07C8FAF8" w14:textId="77777777" w:rsidR="00052A28" w:rsidRPr="00052A28" w:rsidRDefault="00052A28" w:rsidP="00052A28">
            <w:pPr>
              <w:spacing w:after="0"/>
              <w:jc w:val="center"/>
              <w:rPr>
                <w:rFonts w:ascii="Arial" w:hAnsi="Arial" w:cs="Arial"/>
                <w:color w:val="000000"/>
                <w:sz w:val="20"/>
                <w:szCs w:val="20"/>
                <w:highlight w:val="red"/>
                <w:lang w:val="ro-RO" w:eastAsia="zh-CN"/>
              </w:rPr>
            </w:pPr>
            <w:r w:rsidRPr="00052A28">
              <w:rPr>
                <w:rFonts w:ascii="Arial" w:hAnsi="Arial" w:cs="Arial"/>
                <w:color w:val="000000"/>
              </w:rPr>
              <w:t>6570,46</w:t>
            </w:r>
          </w:p>
        </w:tc>
      </w:tr>
      <w:tr w:rsidR="00052A28" w:rsidRPr="00052A28" w14:paraId="4882A9CA" w14:textId="77777777" w:rsidTr="00CE76B6">
        <w:trPr>
          <w:trHeight w:val="93"/>
          <w:jc w:val="center"/>
        </w:trPr>
        <w:tc>
          <w:tcPr>
            <w:tcW w:w="3256" w:type="dxa"/>
            <w:shd w:val="clear" w:color="auto" w:fill="D9D9D9"/>
            <w:vAlign w:val="center"/>
          </w:tcPr>
          <w:p w14:paraId="657680C4"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CO</w:t>
            </w:r>
            <w:r w:rsidRPr="00052A28">
              <w:rPr>
                <w:rFonts w:ascii="Arial" w:hAnsi="Arial" w:cs="Arial"/>
                <w:color w:val="000000"/>
                <w:sz w:val="20"/>
                <w:szCs w:val="20"/>
                <w:vertAlign w:val="subscript"/>
                <w:lang w:val="ro-RO"/>
              </w:rPr>
              <w:t>2</w:t>
            </w:r>
            <w:r w:rsidRPr="00052A28">
              <w:rPr>
                <w:rFonts w:ascii="Arial" w:hAnsi="Arial" w:cs="Arial"/>
                <w:color w:val="000000"/>
                <w:sz w:val="20"/>
                <w:szCs w:val="20"/>
                <w:lang w:val="ro-RO"/>
              </w:rPr>
              <w:t xml:space="preserve"> (kg)</w:t>
            </w:r>
          </w:p>
        </w:tc>
        <w:tc>
          <w:tcPr>
            <w:tcW w:w="3043" w:type="dxa"/>
            <w:vAlign w:val="center"/>
          </w:tcPr>
          <w:p w14:paraId="0E36D2E5"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22353,66</w:t>
            </w:r>
          </w:p>
        </w:tc>
        <w:tc>
          <w:tcPr>
            <w:tcW w:w="3043" w:type="dxa"/>
            <w:vAlign w:val="center"/>
          </w:tcPr>
          <w:p w14:paraId="6845600C"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19406,98</w:t>
            </w:r>
          </w:p>
        </w:tc>
      </w:tr>
      <w:tr w:rsidR="00052A28" w:rsidRPr="00052A28" w14:paraId="4B31FF9B" w14:textId="77777777" w:rsidTr="00CE76B6">
        <w:trPr>
          <w:trHeight w:val="93"/>
          <w:jc w:val="center"/>
        </w:trPr>
        <w:tc>
          <w:tcPr>
            <w:tcW w:w="3256" w:type="dxa"/>
            <w:shd w:val="clear" w:color="auto" w:fill="D9D9D9"/>
            <w:vAlign w:val="center"/>
          </w:tcPr>
          <w:p w14:paraId="57B886C5"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NO</w:t>
            </w:r>
            <w:r w:rsidRPr="00052A28">
              <w:rPr>
                <w:rFonts w:ascii="Arial" w:hAnsi="Arial" w:cs="Arial"/>
                <w:color w:val="000000"/>
                <w:sz w:val="20"/>
                <w:szCs w:val="20"/>
                <w:vertAlign w:val="subscript"/>
                <w:lang w:val="ro-RO"/>
              </w:rPr>
              <w:t>x</w:t>
            </w:r>
            <w:r w:rsidRPr="00052A28">
              <w:rPr>
                <w:rFonts w:ascii="Arial" w:hAnsi="Arial" w:cs="Arial"/>
                <w:color w:val="000000"/>
                <w:sz w:val="20"/>
                <w:szCs w:val="20"/>
                <w:lang w:val="ro-RO"/>
              </w:rPr>
              <w:t xml:space="preserve"> (kg)</w:t>
            </w:r>
          </w:p>
        </w:tc>
        <w:tc>
          <w:tcPr>
            <w:tcW w:w="3043" w:type="dxa"/>
            <w:vAlign w:val="center"/>
          </w:tcPr>
          <w:p w14:paraId="5D170BFB"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101,59</w:t>
            </w:r>
          </w:p>
        </w:tc>
        <w:tc>
          <w:tcPr>
            <w:tcW w:w="3043" w:type="dxa"/>
            <w:vAlign w:val="center"/>
          </w:tcPr>
          <w:p w14:paraId="583382E9"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72,56</w:t>
            </w:r>
          </w:p>
        </w:tc>
      </w:tr>
      <w:tr w:rsidR="00052A28" w:rsidRPr="00052A28" w14:paraId="32759478" w14:textId="77777777" w:rsidTr="00CE76B6">
        <w:trPr>
          <w:trHeight w:val="93"/>
          <w:jc w:val="center"/>
        </w:trPr>
        <w:tc>
          <w:tcPr>
            <w:tcW w:w="3256" w:type="dxa"/>
            <w:shd w:val="clear" w:color="auto" w:fill="D9D9D9"/>
            <w:vAlign w:val="center"/>
          </w:tcPr>
          <w:p w14:paraId="5827CAC7"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PM (kg)</w:t>
            </w:r>
          </w:p>
        </w:tc>
        <w:tc>
          <w:tcPr>
            <w:tcW w:w="3043" w:type="dxa"/>
            <w:vAlign w:val="center"/>
          </w:tcPr>
          <w:p w14:paraId="099B1C99"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4,82</w:t>
            </w:r>
          </w:p>
        </w:tc>
        <w:tc>
          <w:tcPr>
            <w:tcW w:w="3043" w:type="dxa"/>
            <w:vAlign w:val="center"/>
          </w:tcPr>
          <w:p w14:paraId="1EA4C711"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4,18</w:t>
            </w:r>
          </w:p>
        </w:tc>
      </w:tr>
      <w:tr w:rsidR="00052A28" w:rsidRPr="00052A28" w14:paraId="51C1E760" w14:textId="77777777" w:rsidTr="00CE76B6">
        <w:trPr>
          <w:trHeight w:val="93"/>
          <w:jc w:val="center"/>
        </w:trPr>
        <w:tc>
          <w:tcPr>
            <w:tcW w:w="3256" w:type="dxa"/>
            <w:shd w:val="clear" w:color="auto" w:fill="D9D9D9"/>
            <w:vAlign w:val="center"/>
          </w:tcPr>
          <w:p w14:paraId="63CD8965" w14:textId="77777777" w:rsidR="00052A28" w:rsidRPr="00052A28" w:rsidRDefault="00052A28" w:rsidP="00052A28">
            <w:pPr>
              <w:spacing w:after="0" w:line="276" w:lineRule="auto"/>
              <w:jc w:val="center"/>
              <w:rPr>
                <w:rFonts w:ascii="Arial" w:hAnsi="Arial" w:cs="Arial"/>
                <w:color w:val="000000"/>
                <w:sz w:val="20"/>
                <w:szCs w:val="20"/>
                <w:lang w:val="ro-RO"/>
              </w:rPr>
            </w:pPr>
            <w:r w:rsidRPr="00052A28">
              <w:rPr>
                <w:rFonts w:ascii="Arial" w:hAnsi="Arial" w:cs="Arial"/>
                <w:color w:val="000000"/>
                <w:sz w:val="20"/>
                <w:szCs w:val="20"/>
                <w:lang w:val="ro-RO"/>
              </w:rPr>
              <w:t>Emisii HC (kg)</w:t>
            </w:r>
          </w:p>
        </w:tc>
        <w:tc>
          <w:tcPr>
            <w:tcW w:w="3043" w:type="dxa"/>
            <w:vAlign w:val="center"/>
          </w:tcPr>
          <w:p w14:paraId="5F1CE4AC"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141,27</w:t>
            </w:r>
          </w:p>
        </w:tc>
        <w:tc>
          <w:tcPr>
            <w:tcW w:w="3043" w:type="dxa"/>
            <w:vAlign w:val="center"/>
          </w:tcPr>
          <w:p w14:paraId="727D736C" w14:textId="77777777" w:rsidR="00052A28" w:rsidRPr="00052A28" w:rsidRDefault="00052A28" w:rsidP="00052A28">
            <w:pPr>
              <w:spacing w:after="0"/>
              <w:jc w:val="center"/>
              <w:rPr>
                <w:rFonts w:ascii="Arial" w:hAnsi="Arial" w:cs="Arial"/>
                <w:sz w:val="20"/>
                <w:szCs w:val="20"/>
                <w:highlight w:val="red"/>
                <w:lang w:val="ro-RO"/>
              </w:rPr>
            </w:pPr>
            <w:r w:rsidRPr="00052A28">
              <w:rPr>
                <w:rFonts w:ascii="Arial" w:hAnsi="Arial" w:cs="Arial"/>
                <w:color w:val="000000"/>
                <w:sz w:val="20"/>
                <w:szCs w:val="20"/>
              </w:rPr>
              <w:t>119,80</w:t>
            </w:r>
          </w:p>
        </w:tc>
      </w:tr>
    </w:tbl>
    <w:p w14:paraId="3972FB8D" w14:textId="77777777" w:rsidR="004F44A8" w:rsidRPr="004F44A8" w:rsidRDefault="004F44A8" w:rsidP="004F44A8">
      <w:pPr>
        <w:widowControl w:val="0"/>
        <w:suppressAutoHyphens/>
        <w:spacing w:after="0" w:line="240" w:lineRule="auto"/>
        <w:rPr>
          <w:rFonts w:ascii="Arial" w:hAnsi="Arial" w:cs="Mangal"/>
          <w:kern w:val="1"/>
          <w:sz w:val="20"/>
          <w:szCs w:val="24"/>
          <w:lang w:val="it-IT" w:eastAsia="hi-IN" w:bidi="hi-IN"/>
        </w:rPr>
      </w:pPr>
    </w:p>
    <w:p w14:paraId="0B29226C" w14:textId="77777777" w:rsidR="004F44A8" w:rsidRPr="004F44A8" w:rsidRDefault="004F44A8" w:rsidP="004F44A8">
      <w:pPr>
        <w:widowControl w:val="0"/>
        <w:suppressAutoHyphens/>
        <w:spacing w:after="0" w:line="240" w:lineRule="auto"/>
        <w:rPr>
          <w:rFonts w:ascii="Arial" w:hAnsi="Arial" w:cs="Mangal"/>
          <w:kern w:val="1"/>
          <w:sz w:val="20"/>
          <w:szCs w:val="24"/>
          <w:lang w:val="ro-RO" w:eastAsia="hi-IN" w:bidi="hi-IN"/>
        </w:rPr>
      </w:pPr>
    </w:p>
    <w:p w14:paraId="178A466C" w14:textId="77777777" w:rsidR="00052A28" w:rsidRPr="00052A28" w:rsidRDefault="00052A28" w:rsidP="00052A28">
      <w:pPr>
        <w:autoSpaceDE w:val="0"/>
        <w:autoSpaceDN w:val="0"/>
        <w:adjustRightInd w:val="0"/>
        <w:spacing w:after="0" w:line="276" w:lineRule="auto"/>
        <w:jc w:val="both"/>
        <w:rPr>
          <w:rFonts w:ascii="Arial" w:eastAsia="Times New Roman" w:hAnsi="Arial" w:cs="Arial"/>
          <w:color w:val="000000"/>
          <w:lang w:val="ro-RO"/>
        </w:rPr>
      </w:pPr>
      <w:r w:rsidRPr="00052A28">
        <w:rPr>
          <w:rFonts w:ascii="Arial" w:eastAsia="Times New Roman" w:hAnsi="Arial" w:cs="Arial"/>
          <w:color w:val="000000"/>
          <w:lang w:val="ro-RO"/>
        </w:rPr>
        <w:t xml:space="preserve">După cum se poate observa, se constată o îmbunătățire substanțială a tuturor indicatorilor relevanți: </w:t>
      </w:r>
    </w:p>
    <w:p w14:paraId="2EBC6504" w14:textId="77777777" w:rsidR="00052A28" w:rsidRPr="00052A28" w:rsidRDefault="00052A28" w:rsidP="00052A28">
      <w:pPr>
        <w:numPr>
          <w:ilvl w:val="0"/>
          <w:numId w:val="190"/>
        </w:numPr>
        <w:suppressAutoHyphens/>
        <w:autoSpaceDE w:val="0"/>
        <w:autoSpaceDN w:val="0"/>
        <w:adjustRightInd w:val="0"/>
        <w:spacing w:after="0" w:line="276" w:lineRule="auto"/>
        <w:jc w:val="both"/>
        <w:rPr>
          <w:rFonts w:ascii="Arial" w:eastAsia="Times New Roman" w:hAnsi="Arial" w:cs="Arial"/>
          <w:color w:val="000000"/>
          <w:lang w:val="ro-RO" w:eastAsia="zh-CN"/>
        </w:rPr>
      </w:pPr>
      <w:r w:rsidRPr="00052A28">
        <w:rPr>
          <w:rFonts w:ascii="Arial" w:eastAsia="Times New Roman" w:hAnsi="Arial" w:cs="Arial"/>
          <w:color w:val="000000"/>
          <w:lang w:val="ro-RO" w:eastAsia="zh-CN"/>
        </w:rPr>
        <w:t xml:space="preserve">creștere a ponderii transportului public; </w:t>
      </w:r>
    </w:p>
    <w:p w14:paraId="0C7C24BF" w14:textId="77777777" w:rsidR="00052A28" w:rsidRPr="00052A28" w:rsidRDefault="00052A28" w:rsidP="00052A28">
      <w:pPr>
        <w:numPr>
          <w:ilvl w:val="0"/>
          <w:numId w:val="190"/>
        </w:numPr>
        <w:autoSpaceDE w:val="0"/>
        <w:autoSpaceDN w:val="0"/>
        <w:adjustRightInd w:val="0"/>
        <w:spacing w:after="0" w:line="276" w:lineRule="auto"/>
        <w:jc w:val="both"/>
        <w:rPr>
          <w:rFonts w:ascii="Arial" w:eastAsia="Times New Roman" w:hAnsi="Arial" w:cs="Arial"/>
          <w:color w:val="000000"/>
          <w:lang w:val="ro-RO"/>
        </w:rPr>
      </w:pPr>
      <w:r w:rsidRPr="00052A28">
        <w:rPr>
          <w:rFonts w:ascii="Arial" w:eastAsia="Times New Roman" w:hAnsi="Arial" w:cs="Arial"/>
          <w:color w:val="000000"/>
          <w:lang w:val="ro-RO"/>
        </w:rPr>
        <w:t>creștere cu 1,2% a ponderii transportului cu bicicleta;</w:t>
      </w:r>
    </w:p>
    <w:p w14:paraId="119A6225" w14:textId="77777777" w:rsidR="00052A28" w:rsidRPr="00052A28" w:rsidRDefault="00052A28" w:rsidP="00052A28">
      <w:pPr>
        <w:numPr>
          <w:ilvl w:val="0"/>
          <w:numId w:val="190"/>
        </w:numPr>
        <w:autoSpaceDE w:val="0"/>
        <w:autoSpaceDN w:val="0"/>
        <w:adjustRightInd w:val="0"/>
        <w:spacing w:after="0" w:line="276" w:lineRule="auto"/>
        <w:jc w:val="both"/>
        <w:rPr>
          <w:rFonts w:ascii="Arial" w:hAnsi="Arial" w:cs="Arial"/>
          <w:color w:val="000000"/>
          <w:kern w:val="1"/>
          <w:lang w:val="ro-RO" w:bidi="hi-IN"/>
        </w:rPr>
      </w:pPr>
      <w:r w:rsidRPr="00052A28">
        <w:rPr>
          <w:rFonts w:ascii="Arial" w:eastAsia="Times New Roman" w:hAnsi="Arial" w:cs="Arial"/>
          <w:color w:val="000000"/>
          <w:lang w:val="ro-RO"/>
        </w:rPr>
        <w:lastRenderedPageBreak/>
        <w:t>creștere cu 0,5% a ponderii transportului pietonal;</w:t>
      </w:r>
    </w:p>
    <w:p w14:paraId="6AB3E61A" w14:textId="77777777" w:rsidR="00052A28" w:rsidRPr="00052A28" w:rsidRDefault="00052A28" w:rsidP="00052A28">
      <w:pPr>
        <w:numPr>
          <w:ilvl w:val="0"/>
          <w:numId w:val="190"/>
        </w:numPr>
        <w:autoSpaceDE w:val="0"/>
        <w:autoSpaceDN w:val="0"/>
        <w:adjustRightInd w:val="0"/>
        <w:spacing w:after="0" w:line="276" w:lineRule="auto"/>
        <w:jc w:val="both"/>
        <w:rPr>
          <w:rFonts w:ascii="Arial" w:hAnsi="Arial" w:cs="Arial"/>
          <w:color w:val="000000"/>
          <w:kern w:val="1"/>
          <w:lang w:val="ro-RO" w:bidi="hi-IN"/>
        </w:rPr>
      </w:pPr>
      <w:r w:rsidRPr="00052A28">
        <w:rPr>
          <w:rFonts w:ascii="Arial" w:eastAsia="Times New Roman" w:hAnsi="Arial" w:cs="Arial"/>
          <w:color w:val="000000"/>
          <w:lang w:val="ro-RO"/>
        </w:rPr>
        <w:t>scădere cu 18% a ponderii transportului cu autoturismul personal;</w:t>
      </w:r>
    </w:p>
    <w:p w14:paraId="128F6A49" w14:textId="77777777" w:rsidR="00052A28" w:rsidRPr="00052A28" w:rsidRDefault="00052A28" w:rsidP="00052A28">
      <w:pPr>
        <w:numPr>
          <w:ilvl w:val="0"/>
          <w:numId w:val="190"/>
        </w:numPr>
        <w:autoSpaceDE w:val="0"/>
        <w:autoSpaceDN w:val="0"/>
        <w:adjustRightInd w:val="0"/>
        <w:spacing w:after="0" w:line="276" w:lineRule="auto"/>
        <w:jc w:val="both"/>
        <w:rPr>
          <w:rFonts w:ascii="Arial" w:eastAsia="Times New Roman" w:hAnsi="Arial" w:cs="Arial"/>
          <w:color w:val="000000"/>
          <w:lang w:val="ro-RO"/>
        </w:rPr>
      </w:pPr>
      <w:r w:rsidRPr="00052A28">
        <w:rPr>
          <w:rFonts w:ascii="Arial" w:eastAsia="Times New Roman" w:hAnsi="Arial" w:cs="Arial"/>
          <w:color w:val="000000"/>
          <w:lang w:val="ro-RO"/>
        </w:rPr>
        <w:t xml:space="preserve">creștere cu aproape 14% a vitezei medii de deplasare; </w:t>
      </w:r>
    </w:p>
    <w:p w14:paraId="22ED2925" w14:textId="77777777" w:rsidR="00052A28" w:rsidRPr="00052A28" w:rsidRDefault="00052A28" w:rsidP="00052A28">
      <w:pPr>
        <w:numPr>
          <w:ilvl w:val="0"/>
          <w:numId w:val="190"/>
        </w:numPr>
        <w:autoSpaceDE w:val="0"/>
        <w:autoSpaceDN w:val="0"/>
        <w:adjustRightInd w:val="0"/>
        <w:spacing w:after="0" w:line="276" w:lineRule="auto"/>
        <w:jc w:val="both"/>
        <w:rPr>
          <w:rFonts w:ascii="Arial" w:eastAsia="Times New Roman" w:hAnsi="Arial" w:cs="Arial"/>
          <w:color w:val="000000"/>
          <w:lang w:val="ro-RO"/>
        </w:rPr>
      </w:pPr>
      <w:r w:rsidRPr="00052A28">
        <w:rPr>
          <w:rFonts w:ascii="Arial" w:eastAsia="Times New Roman" w:hAnsi="Arial" w:cs="Arial"/>
          <w:color w:val="000000"/>
          <w:lang w:val="ro-RO"/>
        </w:rPr>
        <w:t xml:space="preserve">reducere a întârzierii medii pe rețea cu peste 15%; </w:t>
      </w:r>
    </w:p>
    <w:p w14:paraId="7F5033E0" w14:textId="77777777" w:rsidR="00052A28" w:rsidRPr="00052A28" w:rsidRDefault="00052A28" w:rsidP="00052A28">
      <w:pPr>
        <w:numPr>
          <w:ilvl w:val="0"/>
          <w:numId w:val="190"/>
        </w:numPr>
        <w:suppressAutoHyphens/>
        <w:autoSpaceDE w:val="0"/>
        <w:autoSpaceDN w:val="0"/>
        <w:adjustRightInd w:val="0"/>
        <w:spacing w:after="0" w:line="276" w:lineRule="auto"/>
        <w:contextualSpacing/>
        <w:jc w:val="both"/>
        <w:rPr>
          <w:rFonts w:ascii="Arial" w:eastAsia="Calibri" w:hAnsi="Arial" w:cs="Arial"/>
          <w:b/>
          <w:lang w:val="ro-RO" w:eastAsia="zh-CN"/>
        </w:rPr>
      </w:pPr>
      <w:r w:rsidRPr="00052A28">
        <w:rPr>
          <w:rFonts w:ascii="Arial" w:eastAsia="Times New Roman" w:hAnsi="Arial" w:cs="Arial"/>
          <w:color w:val="000000"/>
          <w:lang w:val="ro-RO"/>
        </w:rPr>
        <w:t>reducere a emisiilor de noxe cu circa 15-30%.</w:t>
      </w:r>
    </w:p>
    <w:p w14:paraId="334DE5FF" w14:textId="77777777" w:rsidR="004F44A8" w:rsidRPr="004F44A8" w:rsidRDefault="004F44A8" w:rsidP="004F44A8">
      <w:pPr>
        <w:rPr>
          <w:rFonts w:ascii="Calibri" w:hAnsi="Calibri" w:cs="Times New Roman"/>
        </w:rPr>
      </w:pPr>
    </w:p>
    <w:p w14:paraId="4E7D44C6" w14:textId="76A9C957" w:rsidR="004F44A8" w:rsidRPr="004F44A8" w:rsidRDefault="004F44A8" w:rsidP="004F44A8">
      <w:pPr>
        <w:rPr>
          <w:lang w:eastAsia="hi-IN" w:bidi="hi-IN"/>
        </w:rPr>
      </w:pPr>
    </w:p>
    <w:sectPr w:rsidR="004F44A8" w:rsidRPr="004F44A8" w:rsidSect="00D81E18">
      <w:pgSz w:w="12240" w:h="15840"/>
      <w:pgMar w:top="720" w:right="1440" w:bottom="1440" w:left="1440" w:header="706"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F61D2F" w14:textId="77777777" w:rsidR="00001DD7" w:rsidRDefault="00001DD7" w:rsidP="00B761C5">
      <w:pPr>
        <w:spacing w:after="0" w:line="240" w:lineRule="auto"/>
      </w:pPr>
      <w:r>
        <w:separator/>
      </w:r>
    </w:p>
  </w:endnote>
  <w:endnote w:type="continuationSeparator" w:id="0">
    <w:p w14:paraId="76D610F1" w14:textId="77777777" w:rsidR="00001DD7" w:rsidRDefault="00001DD7" w:rsidP="00B761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4002EFF" w:usb1="C2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EUAlbertina">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inion Pro">
    <w:altName w:val="Times New Roman"/>
    <w:panose1 w:val="00000000000000000000"/>
    <w:charset w:val="EE"/>
    <w:family w:val="roman"/>
    <w:notTrueType/>
    <w:pitch w:val="default"/>
    <w:sig w:usb0="00000001"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NJ Font">
    <w:altName w:val="Arial"/>
    <w:panose1 w:val="00000000000000000000"/>
    <w:charset w:val="00"/>
    <w:family w:val="swiss"/>
    <w:notTrueType/>
    <w:pitch w:val="default"/>
    <w:sig w:usb0="00000003" w:usb1="00000000" w:usb2="00000000" w:usb3="00000000" w:csb0="00000001" w:csb1="00000000"/>
  </w:font>
  <w:font w:name="Arial Bold">
    <w:panose1 w:val="020B07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Wingdings-Regular">
    <w:altName w:val="Times New Roman"/>
    <w:charset w:val="00"/>
    <w:family w:val="roman"/>
    <w:pitch w:val="variable"/>
  </w:font>
  <w:font w:name="0">
    <w:altName w:val="Times New Roman"/>
    <w:charset w:val="00"/>
    <w:family w:val="roman"/>
    <w:pitch w:val="variable"/>
  </w:font>
  <w:font w:name="CIDFont+F1">
    <w:altName w:val="MS Mincho"/>
    <w:panose1 w:val="00000000000000000000"/>
    <w:charset w:val="80"/>
    <w:family w:val="auto"/>
    <w:notTrueType/>
    <w:pitch w:val="default"/>
    <w:sig w:usb0="00000001" w:usb1="08070000" w:usb2="00000010" w:usb3="00000000" w:csb0="00020000" w:csb1="00000000"/>
  </w:font>
  <w:font w:name="VOELHG+HelveticaNeue">
    <w:altName w:val="Helvetica Neue"/>
    <w:panose1 w:val="00000000000000000000"/>
    <w:charset w:val="EE"/>
    <w:family w:val="swiss"/>
    <w:notTrueType/>
    <w:pitch w:val="default"/>
    <w:sig w:usb0="00000007" w:usb1="00000000" w:usb2="00000000" w:usb3="00000000" w:csb0="00000003"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435DA" w14:textId="77777777" w:rsidR="00C36A80" w:rsidRDefault="00000000" w:rsidP="006E3537">
    <w:pPr>
      <w:pStyle w:val="Subsol"/>
      <w:tabs>
        <w:tab w:val="clear" w:pos="4680"/>
        <w:tab w:val="clear" w:pos="9360"/>
        <w:tab w:val="center" w:pos="4826"/>
      </w:tabs>
    </w:pPr>
    <w:sdt>
      <w:sdtPr>
        <w:id w:val="-860120073"/>
        <w:docPartObj>
          <w:docPartGallery w:val="Page Numbers (Bottom of Page)"/>
          <w:docPartUnique/>
        </w:docPartObj>
      </w:sdtPr>
      <w:sdtContent>
        <w:r w:rsidR="00C36A80">
          <w:rPr>
            <w:noProof/>
          </w:rPr>
          <mc:AlternateContent>
            <mc:Choice Requires="wps">
              <w:drawing>
                <wp:anchor distT="0" distB="0" distL="114300" distR="114300" simplePos="0" relativeHeight="251661312" behindDoc="0" locked="0" layoutInCell="1" allowOverlap="1" wp14:anchorId="29C86B28" wp14:editId="08C3A94A">
                  <wp:simplePos x="0" y="0"/>
                  <wp:positionH relativeFrom="rightMargin">
                    <wp:align>center</wp:align>
                  </wp:positionH>
                  <wp:positionV relativeFrom="bottomMargin">
                    <wp:align>center</wp:align>
                  </wp:positionV>
                  <wp:extent cx="565785" cy="191770"/>
                  <wp:effectExtent l="0" t="0" r="0" b="0"/>
                  <wp:wrapNone/>
                  <wp:docPr id="248" name="Rectangle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5B0256FB" w14:textId="77777777" w:rsidR="00C36A80" w:rsidRPr="00C07F97" w:rsidRDefault="00C36A80">
                              <w:pPr>
                                <w:pBdr>
                                  <w:top w:val="single" w:sz="4" w:space="1" w:color="7F7F7F" w:themeColor="background1" w:themeShade="7F"/>
                                </w:pBdr>
                                <w:jc w:val="center"/>
                                <w:rPr>
                                  <w:color w:val="385623" w:themeColor="accent6" w:themeShade="80"/>
                                </w:rPr>
                              </w:pPr>
                              <w:r w:rsidRPr="00C07F97">
                                <w:rPr>
                                  <w:color w:val="385623" w:themeColor="accent6" w:themeShade="80"/>
                                </w:rPr>
                                <w:fldChar w:fldCharType="begin"/>
                              </w:r>
                              <w:r w:rsidRPr="00C07F97">
                                <w:rPr>
                                  <w:color w:val="385623" w:themeColor="accent6" w:themeShade="80"/>
                                </w:rPr>
                                <w:instrText xml:space="preserve"> PAGE   \* MERGEFORMAT </w:instrText>
                              </w:r>
                              <w:r w:rsidRPr="00C07F97">
                                <w:rPr>
                                  <w:color w:val="385623" w:themeColor="accent6" w:themeShade="80"/>
                                </w:rPr>
                                <w:fldChar w:fldCharType="separate"/>
                              </w:r>
                              <w:r w:rsidR="00846562">
                                <w:rPr>
                                  <w:noProof/>
                                  <w:color w:val="385623" w:themeColor="accent6" w:themeShade="80"/>
                                </w:rPr>
                                <w:t>19</w:t>
                              </w:r>
                              <w:r w:rsidRPr="00C07F97">
                                <w:rPr>
                                  <w:noProof/>
                                  <w:color w:val="385623" w:themeColor="accent6" w:themeShade="80"/>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29C86B28" id="Rectangle 248" o:spid="_x0000_s1091" style="position:absolute;margin-left:0;margin-top:0;width:44.55pt;height:15.1pt;rotation:180;flip:x;z-index:251661312;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" filled="f" fillcolor="#c0504d" stroked="f" strokecolor="#5c83b4" strokeweight="2.25pt">
                  <v:textbox inset=",0,,0">
                    <w:txbxContent>
                      <w:p w14:paraId="5B0256FB" w14:textId="77777777" w:rsidR="00C36A80" w:rsidRPr="00C07F97" w:rsidRDefault="00C36A80">
                        <w:pPr>
                          <w:pBdr>
                            <w:top w:val="single" w:sz="4" w:space="1" w:color="7F7F7F" w:themeColor="background1" w:themeShade="7F"/>
                          </w:pBdr>
                          <w:jc w:val="center"/>
                          <w:rPr>
                            <w:color w:val="385623" w:themeColor="accent6" w:themeShade="80"/>
                          </w:rPr>
                        </w:pPr>
                        <w:r w:rsidRPr="00C07F97">
                          <w:rPr>
                            <w:color w:val="385623" w:themeColor="accent6" w:themeShade="80"/>
                          </w:rPr>
                          <w:fldChar w:fldCharType="begin"/>
                        </w:r>
                        <w:r w:rsidRPr="00C07F97">
                          <w:rPr>
                            <w:color w:val="385623" w:themeColor="accent6" w:themeShade="80"/>
                          </w:rPr>
                          <w:instrText xml:space="preserve"> PAGE   \* MERGEFORMAT </w:instrText>
                        </w:r>
                        <w:r w:rsidRPr="00C07F97">
                          <w:rPr>
                            <w:color w:val="385623" w:themeColor="accent6" w:themeShade="80"/>
                          </w:rPr>
                          <w:fldChar w:fldCharType="separate"/>
                        </w:r>
                        <w:r w:rsidR="00846562">
                          <w:rPr>
                            <w:noProof/>
                            <w:color w:val="385623" w:themeColor="accent6" w:themeShade="80"/>
                          </w:rPr>
                          <w:t>19</w:t>
                        </w:r>
                        <w:r w:rsidRPr="00C07F97">
                          <w:rPr>
                            <w:noProof/>
                            <w:color w:val="385623" w:themeColor="accent6" w:themeShade="80"/>
                          </w:rPr>
                          <w:fldChar w:fldCharType="end"/>
                        </w:r>
                      </w:p>
                    </w:txbxContent>
                  </v:textbox>
                  <w10:wrap anchorx="margin" anchory="margin"/>
                </v:rect>
              </w:pict>
            </mc:Fallback>
          </mc:AlternateContent>
        </w:r>
      </w:sdtContent>
    </w:sdt>
    <w:r w:rsidR="00C36A80">
      <w:tab/>
    </w:r>
    <w:r w:rsidR="00C36A80">
      <w:rPr>
        <w:noProof/>
      </w:rPr>
      <w:drawing>
        <wp:inline distT="0" distB="0" distL="0" distR="0" wp14:anchorId="5542217F" wp14:editId="650BE604">
          <wp:extent cx="475615" cy="567055"/>
          <wp:effectExtent l="0" t="0" r="635" b="444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615" cy="567055"/>
                  </a:xfrm>
                  <a:prstGeom prst="rect">
                    <a:avLst/>
                  </a:prstGeom>
                  <a:noFill/>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AD798" w14:textId="77777777" w:rsidR="00C36A80" w:rsidRDefault="00C36A80" w:rsidP="00242C40">
    <w:pPr>
      <w:pStyle w:val="Subsol"/>
      <w:tabs>
        <w:tab w:val="center" w:pos="4827"/>
        <w:tab w:val="left" w:pos="5803"/>
      </w:tabs>
    </w:pP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0602B"/>
        <w:sz w:val="18"/>
        <w:szCs w:val="18"/>
      </w:rPr>
      <w:id w:val="-1971592239"/>
      <w:docPartObj>
        <w:docPartGallery w:val="Page Numbers (Bottom of Page)"/>
        <w:docPartUnique/>
      </w:docPartObj>
    </w:sdtPr>
    <w:sdtContent>
      <w:p w14:paraId="5CB9C197" w14:textId="77777777" w:rsidR="00C36A80" w:rsidRPr="00C25449" w:rsidRDefault="00C36A80" w:rsidP="00242C40">
        <w:pPr>
          <w:pStyle w:val="Subsol"/>
          <w:jc w:val="center"/>
          <w:rPr>
            <w:color w:val="00602B"/>
            <w:sz w:val="18"/>
            <w:szCs w:val="18"/>
          </w:rPr>
        </w:pPr>
        <w:r w:rsidRPr="00D412F2">
          <w:rPr>
            <w:noProof/>
            <w:color w:val="00602B"/>
            <w:sz w:val="18"/>
            <w:szCs w:val="18"/>
          </w:rPr>
          <mc:AlternateContent>
            <mc:Choice Requires="wps">
              <w:drawing>
                <wp:anchor distT="0" distB="0" distL="114300" distR="114300" simplePos="0" relativeHeight="251669504" behindDoc="0" locked="0" layoutInCell="1" allowOverlap="1" wp14:anchorId="14842257" wp14:editId="2C2612E3">
                  <wp:simplePos x="0" y="0"/>
                  <wp:positionH relativeFrom="rightMargin">
                    <wp:align>center</wp:align>
                  </wp:positionH>
                  <wp:positionV relativeFrom="bottomMargin">
                    <wp:align>center</wp:align>
                  </wp:positionV>
                  <wp:extent cx="565785" cy="191770"/>
                  <wp:effectExtent l="0" t="0" r="0" b="0"/>
                  <wp:wrapNone/>
                  <wp:docPr id="108"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565CEAF1" w14:textId="77777777" w:rsidR="00C36A80" w:rsidRPr="00E731FF" w:rsidRDefault="00C36A80" w:rsidP="00E731FF">
                              <w:pPr>
                                <w:pBdr>
                                  <w:top w:val="single" w:sz="4" w:space="1" w:color="7F7F7F"/>
                                </w:pBdr>
                                <w:jc w:val="center"/>
                                <w:rPr>
                                  <w:color w:val="C0504D"/>
                                </w:rPr>
                              </w:pPr>
                              <w:r w:rsidRPr="00E731FF">
                                <w:fldChar w:fldCharType="begin"/>
                              </w:r>
                              <w:r>
                                <w:instrText xml:space="preserve"> PAGE   \* MERGEFORMAT </w:instrText>
                              </w:r>
                              <w:r w:rsidRPr="00E731FF">
                                <w:fldChar w:fldCharType="separate"/>
                              </w:r>
                              <w:r w:rsidR="00846562" w:rsidRPr="00846562">
                                <w:rPr>
                                  <w:noProof/>
                                  <w:color w:val="C0504D"/>
                                </w:rPr>
                                <w:t>218</w:t>
                              </w:r>
                              <w:r w:rsidRPr="00E731FF">
                                <w:rPr>
                                  <w:noProof/>
                                  <w:color w:val="C0504D"/>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14842257" id="Rectangle 108" o:spid="_x0000_s1092" style="position:absolute;left:0;text-align:left;margin-left:0;margin-top:0;width:44.55pt;height:15.1pt;rotation:180;flip:x;z-index:25166950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" filled="f" fillcolor="#c0504d" stroked="f" strokecolor="#5c83b4" strokeweight="2.25pt">
                  <v:textbox inset=",0,,0">
                    <w:txbxContent>
                      <w:p w14:paraId="565CEAF1" w14:textId="77777777" w:rsidR="00C36A80" w:rsidRPr="00E731FF" w:rsidRDefault="00C36A80" w:rsidP="00E731FF">
                        <w:pPr>
                          <w:pBdr>
                            <w:top w:val="single" w:sz="4" w:space="1" w:color="7F7F7F"/>
                          </w:pBdr>
                          <w:jc w:val="center"/>
                          <w:rPr>
                            <w:color w:val="C0504D"/>
                          </w:rPr>
                        </w:pPr>
                        <w:r w:rsidRPr="00E731FF">
                          <w:fldChar w:fldCharType="begin"/>
                        </w:r>
                        <w:r>
                          <w:instrText xml:space="preserve"> PAGE   \* MERGEFORMAT </w:instrText>
                        </w:r>
                        <w:r w:rsidRPr="00E731FF">
                          <w:fldChar w:fldCharType="separate"/>
                        </w:r>
                        <w:r w:rsidR="00846562" w:rsidRPr="00846562">
                          <w:rPr>
                            <w:noProof/>
                            <w:color w:val="C0504D"/>
                          </w:rPr>
                          <w:t>218</w:t>
                        </w:r>
                        <w:r w:rsidRPr="00E731FF">
                          <w:rPr>
                            <w:noProof/>
                            <w:color w:val="C0504D"/>
                          </w:rPr>
                          <w:fldChar w:fldCharType="end"/>
                        </w:r>
                      </w:p>
                    </w:txbxContent>
                  </v:textbox>
                  <w10:wrap anchorx="margin" anchory="margin"/>
                </v:rect>
              </w:pict>
            </mc:Fallback>
          </mc:AlternateContent>
        </w:r>
        <w:r>
          <w:rPr>
            <w:noProof/>
          </w:rPr>
          <w:drawing>
            <wp:inline distT="0" distB="0" distL="0" distR="0" wp14:anchorId="4BAF598B" wp14:editId="210B037D">
              <wp:extent cx="475615" cy="567055"/>
              <wp:effectExtent l="0" t="0" r="635" b="4445"/>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615" cy="567055"/>
                      </a:xfrm>
                      <a:prstGeom prst="rect">
                        <a:avLst/>
                      </a:prstGeom>
                      <a:noFill/>
                    </pic:spPr>
                  </pic:pic>
                </a:graphicData>
              </a:graphic>
            </wp:inline>
          </w:drawing>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4BF66" w14:textId="77777777" w:rsidR="00C36A80" w:rsidRPr="00920C24" w:rsidRDefault="00000000" w:rsidP="00920C24">
    <w:pPr>
      <w:pStyle w:val="Subsol"/>
      <w:tabs>
        <w:tab w:val="clear" w:pos="4680"/>
        <w:tab w:val="clear" w:pos="9360"/>
        <w:tab w:val="left" w:pos="1875"/>
      </w:tabs>
      <w:jc w:val="center"/>
      <w:rPr>
        <w:rFonts w:ascii="Arial Narrow" w:hAnsi="Arial Narrow"/>
        <w:b/>
        <w:bCs/>
        <w:color w:val="5C2A08"/>
        <w:sz w:val="20"/>
        <w:szCs w:val="20"/>
      </w:rPr>
    </w:pPr>
    <w:sdt>
      <w:sdtPr>
        <w:rPr>
          <w:rFonts w:ascii="Arial Narrow" w:hAnsi="Arial Narrow"/>
          <w:b/>
          <w:bCs/>
          <w:color w:val="5C2A08"/>
          <w:sz w:val="20"/>
          <w:szCs w:val="20"/>
        </w:rPr>
        <w:id w:val="1686864687"/>
        <w:docPartObj>
          <w:docPartGallery w:val="Page Numbers (Bottom of Page)"/>
          <w:docPartUnique/>
        </w:docPartObj>
      </w:sdtPr>
      <w:sdtContent>
        <w:r w:rsidR="00C36A80" w:rsidRPr="00FC5E9A">
          <w:rPr>
            <w:rFonts w:ascii="Arial Narrow" w:hAnsi="Arial Narrow"/>
            <w:b/>
            <w:bCs/>
            <w:noProof/>
            <w:color w:val="5C2A08"/>
            <w:sz w:val="20"/>
            <w:szCs w:val="20"/>
          </w:rPr>
          <mc:AlternateContent>
            <mc:Choice Requires="wps">
              <w:drawing>
                <wp:anchor distT="0" distB="0" distL="114300" distR="114300" simplePos="0" relativeHeight="251648000" behindDoc="0" locked="0" layoutInCell="1" allowOverlap="1" wp14:anchorId="647A1CAF" wp14:editId="3BAB50CC">
                  <wp:simplePos x="0" y="0"/>
                  <wp:positionH relativeFrom="rightMargin">
                    <wp:align>center</wp:align>
                  </wp:positionH>
                  <wp:positionV relativeFrom="bottomMargin">
                    <wp:align>center</wp:align>
                  </wp:positionV>
                  <wp:extent cx="565785" cy="191770"/>
                  <wp:effectExtent l="0" t="0" r="0" b="0"/>
                  <wp:wrapNone/>
                  <wp:docPr id="247"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3D6DACB3" w14:textId="77777777" w:rsidR="00C36A80" w:rsidRPr="00504D4E" w:rsidRDefault="00C36A80" w:rsidP="00504D4E">
                              <w:pPr>
                                <w:pBdr>
                                  <w:top w:val="single" w:sz="4" w:space="1" w:color="7F7F7F"/>
                                </w:pBdr>
                                <w:jc w:val="center"/>
                                <w:rPr>
                                  <w:color w:val="C0504D"/>
                                </w:rPr>
                              </w:pPr>
                              <w:r w:rsidRPr="00504D4E">
                                <w:fldChar w:fldCharType="begin"/>
                              </w:r>
                              <w:r>
                                <w:instrText xml:space="preserve"> PAGE   \* MERGEFORMAT </w:instrText>
                              </w:r>
                              <w:r w:rsidRPr="00504D4E">
                                <w:fldChar w:fldCharType="separate"/>
                              </w:r>
                              <w:r w:rsidR="00846562" w:rsidRPr="00846562">
                                <w:rPr>
                                  <w:noProof/>
                                  <w:color w:val="C0504D"/>
                                </w:rPr>
                                <w:t>334</w:t>
                              </w:r>
                              <w:r w:rsidRPr="00504D4E">
                                <w:rPr>
                                  <w:noProof/>
                                  <w:color w:val="C0504D"/>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647A1CAF" id="Rectangle 247" o:spid="_x0000_s1093" style="position:absolute;left:0;text-align:left;margin-left:0;margin-top:0;width:44.55pt;height:15.1pt;rotation:180;flip:x;z-index:251648000;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" filled="f" fillcolor="#c0504d" stroked="f" strokecolor="#5c83b4" strokeweight="2.25pt">
                  <v:textbox inset=",0,,0">
                    <w:txbxContent>
                      <w:p w14:paraId="3D6DACB3" w14:textId="77777777" w:rsidR="00C36A80" w:rsidRPr="00504D4E" w:rsidRDefault="00C36A80" w:rsidP="00504D4E">
                        <w:pPr>
                          <w:pBdr>
                            <w:top w:val="single" w:sz="4" w:space="1" w:color="7F7F7F"/>
                          </w:pBdr>
                          <w:jc w:val="center"/>
                          <w:rPr>
                            <w:color w:val="C0504D"/>
                          </w:rPr>
                        </w:pPr>
                        <w:r w:rsidRPr="00504D4E">
                          <w:fldChar w:fldCharType="begin"/>
                        </w:r>
                        <w:r>
                          <w:instrText xml:space="preserve"> PAGE   \* MERGEFORMAT </w:instrText>
                        </w:r>
                        <w:r w:rsidRPr="00504D4E">
                          <w:fldChar w:fldCharType="separate"/>
                        </w:r>
                        <w:r w:rsidR="00846562" w:rsidRPr="00846562">
                          <w:rPr>
                            <w:noProof/>
                            <w:color w:val="C0504D"/>
                          </w:rPr>
                          <w:t>334</w:t>
                        </w:r>
                        <w:r w:rsidRPr="00504D4E">
                          <w:rPr>
                            <w:noProof/>
                            <w:color w:val="C0504D"/>
                          </w:rPr>
                          <w:fldChar w:fldCharType="end"/>
                        </w:r>
                      </w:p>
                    </w:txbxContent>
                  </v:textbox>
                  <w10:wrap anchorx="margin" anchory="margin"/>
                </v:rect>
              </w:pict>
            </mc:Fallback>
          </mc:AlternateContent>
        </w:r>
      </w:sdtContent>
    </w:sdt>
    <w:r w:rsidR="00C36A80">
      <w:rPr>
        <w:noProof/>
      </w:rPr>
      <w:drawing>
        <wp:inline distT="0" distB="0" distL="0" distR="0" wp14:anchorId="3647792D" wp14:editId="6F008FBB">
          <wp:extent cx="475615" cy="567055"/>
          <wp:effectExtent l="0" t="0" r="635" b="444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615" cy="56705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434B87" w14:textId="77777777" w:rsidR="00001DD7" w:rsidRDefault="00001DD7" w:rsidP="00B761C5">
      <w:pPr>
        <w:spacing w:after="0" w:line="240" w:lineRule="auto"/>
      </w:pPr>
      <w:r>
        <w:separator/>
      </w:r>
    </w:p>
  </w:footnote>
  <w:footnote w:type="continuationSeparator" w:id="0">
    <w:p w14:paraId="7425AB64" w14:textId="77777777" w:rsidR="00001DD7" w:rsidRDefault="00001DD7" w:rsidP="00B761C5">
      <w:pPr>
        <w:spacing w:after="0" w:line="240" w:lineRule="auto"/>
      </w:pPr>
      <w:r>
        <w:continuationSeparator/>
      </w:r>
    </w:p>
  </w:footnote>
  <w:footnote w:id="1">
    <w:p w14:paraId="4FCAE2BD" w14:textId="23C7B41F" w:rsidR="008974A3" w:rsidRPr="008974A3" w:rsidRDefault="008974A3">
      <w:pPr>
        <w:pStyle w:val="Textnotdesubsol"/>
        <w:rPr>
          <w:lang w:val="ro-RO"/>
        </w:rPr>
      </w:pPr>
      <w:r>
        <w:rPr>
          <w:rStyle w:val="Referinnotdesubsol"/>
        </w:rPr>
        <w:footnoteRef/>
      </w:r>
      <w:r>
        <w:t xml:space="preserve"> </w:t>
      </w:r>
      <w:hyperlink r:id="rId1" w:history="1">
        <w:r w:rsidR="00BA35B3" w:rsidRPr="006F5BC1">
          <w:rPr>
            <w:rStyle w:val="Hyperlink"/>
          </w:rPr>
          <w:t>https://commission.europa.eu/strategy-and-policy/sustainable-development-goals/eu-and-united-nations-common-goals-sustainable-future_ro</w:t>
        </w:r>
      </w:hyperlink>
      <w:r w:rsidR="00BA35B3">
        <w:t xml:space="preserve"> </w:t>
      </w:r>
    </w:p>
  </w:footnote>
  <w:footnote w:id="2">
    <w:p w14:paraId="57154CD1" w14:textId="6F0A96A3" w:rsidR="0093594A" w:rsidRPr="0093594A" w:rsidRDefault="0093594A">
      <w:pPr>
        <w:pStyle w:val="Textnotdesubsol"/>
        <w:rPr>
          <w:lang w:val="ro-RO"/>
        </w:rPr>
      </w:pPr>
      <w:r>
        <w:rPr>
          <w:rStyle w:val="Referinnotdesubsol"/>
        </w:rPr>
        <w:footnoteRef/>
      </w:r>
      <w:r>
        <w:t xml:space="preserve"> </w:t>
      </w:r>
      <w:hyperlink r:id="rId2" w:history="1">
        <w:r w:rsidR="00BA35B3" w:rsidRPr="006F5BC1">
          <w:rPr>
            <w:rStyle w:val="Hyperlink"/>
          </w:rPr>
          <w:t>https://habitat3.org/</w:t>
        </w:r>
      </w:hyperlink>
      <w:r w:rsidR="00BA35B3">
        <w:t xml:space="preserve"> </w:t>
      </w:r>
    </w:p>
  </w:footnote>
  <w:footnote w:id="3">
    <w:p w14:paraId="5C561813" w14:textId="600F4738" w:rsidR="0093594A" w:rsidRPr="0093594A" w:rsidRDefault="0093594A">
      <w:pPr>
        <w:pStyle w:val="Textnotdesubsol"/>
        <w:rPr>
          <w:lang w:val="ro-RO"/>
        </w:rPr>
      </w:pPr>
      <w:r>
        <w:rPr>
          <w:rStyle w:val="Referinnotdesubsol"/>
        </w:rPr>
        <w:footnoteRef/>
      </w:r>
      <w:r>
        <w:t xml:space="preserve"> </w:t>
      </w:r>
      <w:hyperlink r:id="rId3" w:history="1">
        <w:r w:rsidR="00BA35B3" w:rsidRPr="006F5BC1">
          <w:rPr>
            <w:rStyle w:val="Hyperlink"/>
          </w:rPr>
          <w:t>https://eur-lex.europa.eu/legal-content/RO/ALL/?uri=CELEX:52007DC0551</w:t>
        </w:r>
      </w:hyperlink>
      <w:r w:rsidR="00BA35B3">
        <w:t xml:space="preserve"> </w:t>
      </w:r>
    </w:p>
  </w:footnote>
  <w:footnote w:id="4">
    <w:p w14:paraId="3D43FBDA" w14:textId="08C87AF8" w:rsidR="001D0800" w:rsidRPr="001D0800" w:rsidRDefault="001D0800">
      <w:pPr>
        <w:pStyle w:val="Textnotdesubsol"/>
        <w:rPr>
          <w:lang w:val="ro-RO"/>
        </w:rPr>
      </w:pPr>
      <w:r>
        <w:rPr>
          <w:rStyle w:val="Referinnotdesubsol"/>
        </w:rPr>
        <w:footnoteRef/>
      </w:r>
      <w:r>
        <w:t xml:space="preserve"> </w:t>
      </w:r>
      <w:hyperlink r:id="rId4" w:history="1">
        <w:r w:rsidR="00BA35B3" w:rsidRPr="006F5BC1">
          <w:rPr>
            <w:rStyle w:val="Hyperlink"/>
          </w:rPr>
          <w:t>https://sumps-up.eu/fileadmin/user_upload/Tools_and_Resources/Publications_and_reports/Guidelines/SUMP%20Guidelines%202019_RO_web_compressed_med.pdf</w:t>
        </w:r>
      </w:hyperlink>
      <w:r w:rsidR="00BA35B3">
        <w:t xml:space="preserve"> </w:t>
      </w:r>
    </w:p>
  </w:footnote>
  <w:footnote w:id="5">
    <w:p w14:paraId="1BB5A622" w14:textId="54E7E876" w:rsidR="00D6687B" w:rsidRPr="00D6687B" w:rsidRDefault="00D6687B">
      <w:pPr>
        <w:pStyle w:val="Textnotdesubsol"/>
        <w:rPr>
          <w:lang w:val="ro-RO"/>
        </w:rPr>
      </w:pPr>
      <w:r>
        <w:rPr>
          <w:rStyle w:val="Referinnotdesubsol"/>
        </w:rPr>
        <w:footnoteRef/>
      </w:r>
      <w:r>
        <w:t xml:space="preserve"> </w:t>
      </w:r>
      <w:hyperlink r:id="rId5" w:history="1">
        <w:r w:rsidR="00BA35B3" w:rsidRPr="006F5BC1">
          <w:rPr>
            <w:rStyle w:val="Hyperlink"/>
          </w:rPr>
          <w:t>http://www.anpm.ro/ro/dezvoltare-durabila</w:t>
        </w:r>
      </w:hyperlink>
      <w:r w:rsidR="00BA35B3">
        <w:t xml:space="preserve"> </w:t>
      </w:r>
    </w:p>
  </w:footnote>
  <w:footnote w:id="6">
    <w:p w14:paraId="17C868C7" w14:textId="1C196E5C" w:rsidR="00D6687B" w:rsidRPr="00D6687B" w:rsidRDefault="00D6687B">
      <w:pPr>
        <w:pStyle w:val="Textnotdesubsol"/>
        <w:rPr>
          <w:lang w:val="ro-RO"/>
        </w:rPr>
      </w:pPr>
      <w:r>
        <w:rPr>
          <w:rStyle w:val="Referinnotdesubsol"/>
        </w:rPr>
        <w:footnoteRef/>
      </w:r>
      <w:r>
        <w:t xml:space="preserve"> </w:t>
      </w:r>
      <w:hyperlink r:id="rId6" w:history="1">
        <w:r w:rsidR="00BA35B3" w:rsidRPr="006F5BC1">
          <w:rPr>
            <w:rStyle w:val="Hyperlink"/>
          </w:rPr>
          <w:t>https://www.consilium.europa.eu/ro/policies/climate-change/paris-agreement/</w:t>
        </w:r>
      </w:hyperlink>
      <w:r w:rsidR="00BA35B3">
        <w:t xml:space="preserve"> </w:t>
      </w:r>
    </w:p>
  </w:footnote>
  <w:footnote w:id="7">
    <w:p w14:paraId="50669B55" w14:textId="553FA77C" w:rsidR="00D6687B" w:rsidRPr="00D6687B" w:rsidRDefault="00D6687B">
      <w:pPr>
        <w:pStyle w:val="Textnotdesubsol"/>
        <w:rPr>
          <w:lang w:val="ro-RO"/>
        </w:rPr>
      </w:pPr>
      <w:r>
        <w:rPr>
          <w:rStyle w:val="Referinnotdesubsol"/>
        </w:rPr>
        <w:footnoteRef/>
      </w:r>
      <w:r>
        <w:t xml:space="preserve"> </w:t>
      </w:r>
      <w:hyperlink r:id="rId7" w:history="1">
        <w:r w:rsidR="00BA35B3" w:rsidRPr="006F5BC1">
          <w:rPr>
            <w:rStyle w:val="Hyperlink"/>
          </w:rPr>
          <w:t>https://commission.europa.eu/strategy-and-policy/priorities-2019-2024/european-green-deal_ro</w:t>
        </w:r>
      </w:hyperlink>
      <w:r w:rsidR="00BA35B3">
        <w:t xml:space="preserve"> </w:t>
      </w:r>
    </w:p>
  </w:footnote>
  <w:footnote w:id="8">
    <w:p w14:paraId="7EEF545D" w14:textId="38D5CE96" w:rsidR="00D6687B" w:rsidRPr="00D6687B" w:rsidRDefault="00D6687B">
      <w:pPr>
        <w:pStyle w:val="Textnotdesubsol"/>
        <w:rPr>
          <w:lang w:val="ro-RO"/>
        </w:rPr>
      </w:pPr>
      <w:r>
        <w:rPr>
          <w:rStyle w:val="Referinnotdesubsol"/>
        </w:rPr>
        <w:footnoteRef/>
      </w:r>
      <w:r>
        <w:t xml:space="preserve"> </w:t>
      </w:r>
      <w:hyperlink r:id="rId8" w:history="1">
        <w:r w:rsidR="00BA35B3" w:rsidRPr="006F5BC1">
          <w:rPr>
            <w:rStyle w:val="Hyperlink"/>
          </w:rPr>
          <w:t>https://www.consilium.europa.eu/en/policies/green-deal/fit-for-55-the-eu-plan-for-a-green-transition/</w:t>
        </w:r>
      </w:hyperlink>
      <w:r w:rsidR="00BA35B3">
        <w:t xml:space="preserve"> </w:t>
      </w:r>
    </w:p>
  </w:footnote>
  <w:footnote w:id="9">
    <w:p w14:paraId="4CC2CD56" w14:textId="77777777" w:rsidR="00C36A80" w:rsidRDefault="00C36A80" w:rsidP="00D70AEA">
      <w:pPr>
        <w:pStyle w:val="Textnotdesubsol"/>
        <w:spacing w:after="200"/>
        <w:jc w:val="both"/>
      </w:pPr>
      <w:r>
        <w:rPr>
          <w:rStyle w:val="FootnoteCharacters"/>
          <w:rFonts w:ascii="MS Mincho" w:hAnsi="MS Mincho"/>
        </w:rPr>
        <w:footnoteRef/>
      </w:r>
      <w:r w:rsidRPr="00574767">
        <w:rPr>
          <w:rFonts w:ascii="Times New Roman" w:eastAsia="Times New Roman" w:hAnsi="Times New Roman" w:cs="Times New Roman"/>
          <w:lang w:val="es-ES"/>
        </w:rPr>
        <w:t xml:space="preserve"> </w:t>
      </w:r>
      <w:r>
        <w:rPr>
          <w:rFonts w:ascii="Times New Roman" w:hAnsi="Times New Roman" w:cs="Times New Roman"/>
        </w:rPr>
        <w:t xml:space="preserve">Afirmația este sinonimǎ cu adevǎrul cǎ nici un fel de </w:t>
      </w:r>
      <w:r>
        <w:rPr>
          <w:rFonts w:ascii="Times New Roman" w:hAnsi="Times New Roman" w:cs="Times New Roman"/>
          <w:b/>
        </w:rPr>
        <w:t>mǎsuri luate la același nivel al suprafeței orașului</w:t>
      </w:r>
      <w:r>
        <w:rPr>
          <w:rFonts w:ascii="Times New Roman" w:hAnsi="Times New Roman" w:cs="Times New Roman"/>
        </w:rPr>
        <w:t xml:space="preserve"> nu pot elimina congestia la care se supun entitǎțile care se deplaseazǎ cǎtre un </w:t>
      </w:r>
      <w:r>
        <w:rPr>
          <w:rFonts w:cs="Calibri"/>
        </w:rPr>
        <w:t>“</w:t>
      </w:r>
      <w:r>
        <w:rPr>
          <w:rFonts w:ascii="Times New Roman" w:hAnsi="Times New Roman" w:cs="Times New Roman"/>
        </w:rPr>
        <w:t>centru</w:t>
      </w:r>
      <w:r>
        <w:rPr>
          <w:rFonts w:cs="Calibri"/>
        </w:rPr>
        <w:t>”</w:t>
      </w:r>
      <w:r>
        <w:rPr>
          <w:rFonts w:ascii="Times New Roman" w:hAnsi="Times New Roman" w:cs="Times New Roman"/>
        </w:rPr>
        <w:t xml:space="preserve"> constituit prin artere de tip radial.    </w:t>
      </w:r>
    </w:p>
  </w:footnote>
  <w:footnote w:id="10">
    <w:p w14:paraId="1D261FFF" w14:textId="260EC9ED" w:rsidR="00D6687B" w:rsidRPr="00D6687B" w:rsidRDefault="00D6687B">
      <w:pPr>
        <w:pStyle w:val="Textnotdesubsol"/>
        <w:rPr>
          <w:lang w:val="ro-RO"/>
        </w:rPr>
      </w:pPr>
      <w:r>
        <w:rPr>
          <w:rStyle w:val="Referinnotdesubsol"/>
        </w:rPr>
        <w:footnoteRef/>
      </w:r>
      <w:r>
        <w:t xml:space="preserve"> </w:t>
      </w:r>
      <w:hyperlink r:id="rId9" w:history="1">
        <w:r w:rsidRPr="003928A4">
          <w:rPr>
            <w:rStyle w:val="Hyperlink"/>
          </w:rPr>
          <w:t>https://geografie.ubbcluj.ro/ccau/doc_cadru/SDSC.pdf</w:t>
        </w:r>
      </w:hyperlink>
      <w:r>
        <w:t xml:space="preserve"> </w:t>
      </w:r>
    </w:p>
  </w:footnote>
  <w:footnote w:id="11">
    <w:p w14:paraId="3CE1265A" w14:textId="3FB9BCD8" w:rsidR="00D6687B" w:rsidRPr="00D6687B" w:rsidRDefault="00D6687B">
      <w:pPr>
        <w:pStyle w:val="Textnotdesubsol"/>
        <w:rPr>
          <w:lang w:val="ro-RO"/>
        </w:rPr>
      </w:pPr>
      <w:r>
        <w:rPr>
          <w:rStyle w:val="Referinnotdesubsol"/>
        </w:rPr>
        <w:footnoteRef/>
      </w:r>
      <w:r>
        <w:t xml:space="preserve"> </w:t>
      </w:r>
      <w:hyperlink r:id="rId10" w:history="1">
        <w:r w:rsidRPr="003928A4">
          <w:rPr>
            <w:rStyle w:val="Hyperlink"/>
          </w:rPr>
          <w:t>https://rm.coe.int/168070018b</w:t>
        </w:r>
      </w:hyperlink>
      <w:r>
        <w:t xml:space="preserve"> </w:t>
      </w:r>
    </w:p>
  </w:footnote>
  <w:footnote w:id="12">
    <w:p w14:paraId="4BAE2B75" w14:textId="75E29A52" w:rsidR="00D6687B" w:rsidRPr="00D6687B" w:rsidRDefault="00D6687B">
      <w:pPr>
        <w:pStyle w:val="Textnotdesubsol"/>
        <w:rPr>
          <w:lang w:val="ro-RO"/>
        </w:rPr>
      </w:pPr>
      <w:r>
        <w:rPr>
          <w:rStyle w:val="Referinnotdesubsol"/>
        </w:rPr>
        <w:footnoteRef/>
      </w:r>
      <w:r>
        <w:t xml:space="preserve"> </w:t>
      </w:r>
      <w:hyperlink r:id="rId11" w:history="1">
        <w:r w:rsidR="00634D7A" w:rsidRPr="003928A4">
          <w:rPr>
            <w:rStyle w:val="Hyperlink"/>
          </w:rPr>
          <w:t>https://www.mdlpa.ro/pages/sdtr</w:t>
        </w:r>
      </w:hyperlink>
      <w:r w:rsidR="00634D7A">
        <w:t xml:space="preserve"> </w:t>
      </w:r>
    </w:p>
  </w:footnote>
  <w:footnote w:id="13">
    <w:p w14:paraId="0E923852" w14:textId="4140DCF6" w:rsidR="00D6687B" w:rsidRPr="00D6687B" w:rsidRDefault="00D6687B">
      <w:pPr>
        <w:pStyle w:val="Textnotdesubsol"/>
        <w:rPr>
          <w:lang w:val="ro-RO"/>
        </w:rPr>
      </w:pPr>
      <w:r>
        <w:rPr>
          <w:rStyle w:val="Referinnotdesubsol"/>
        </w:rPr>
        <w:footnoteRef/>
      </w:r>
      <w:r>
        <w:t xml:space="preserve"> </w:t>
      </w:r>
      <w:hyperlink r:id="rId12" w:history="1">
        <w:r w:rsidRPr="003928A4">
          <w:rPr>
            <w:rStyle w:val="Hyperlink"/>
          </w:rPr>
          <w:t>https://ec.europa.eu/eurostat/statistics-explained/index.php?title=Living_conditions_in_Europe_-_poverty_and_social_exclusion&amp;oldid=584082</w:t>
        </w:r>
      </w:hyperlink>
      <w:r>
        <w:t xml:space="preserve"> </w:t>
      </w:r>
    </w:p>
  </w:footnote>
  <w:footnote w:id="14">
    <w:p w14:paraId="43D57FAB" w14:textId="564BF8B5" w:rsidR="002E569B" w:rsidRPr="002E569B" w:rsidRDefault="002E569B">
      <w:pPr>
        <w:pStyle w:val="Textnotdesubsol"/>
        <w:rPr>
          <w:lang w:val="ro-RO"/>
        </w:rPr>
      </w:pPr>
      <w:r>
        <w:rPr>
          <w:rStyle w:val="Referinnotdesubsol"/>
        </w:rPr>
        <w:footnoteRef/>
      </w:r>
      <w:r>
        <w:t xml:space="preserve"> </w:t>
      </w:r>
      <w:hyperlink r:id="rId13" w:history="1">
        <w:r w:rsidRPr="003928A4">
          <w:rPr>
            <w:rStyle w:val="Hyperlink"/>
          </w:rPr>
          <w:t>http://www.mmediu.ro/articol/planul-de-amenajare-a-teritoriului-national-patn-sectiunea-iv/1517</w:t>
        </w:r>
      </w:hyperlink>
      <w:r>
        <w:t xml:space="preserve"> </w:t>
      </w:r>
    </w:p>
  </w:footnote>
  <w:footnote w:id="15">
    <w:p w14:paraId="4BD1A822" w14:textId="67A355EF" w:rsidR="00B646E2" w:rsidRPr="00B646E2" w:rsidRDefault="00B646E2">
      <w:pPr>
        <w:pStyle w:val="Textnotdesubsol"/>
        <w:rPr>
          <w:lang w:val="ro-RO"/>
        </w:rPr>
      </w:pPr>
      <w:r>
        <w:rPr>
          <w:rStyle w:val="Referinnotdesubsol"/>
        </w:rPr>
        <w:footnoteRef/>
      </w:r>
      <w:r>
        <w:t xml:space="preserve"> </w:t>
      </w:r>
      <w:hyperlink r:id="rId14" w:history="1">
        <w:r w:rsidRPr="00E40F8F">
          <w:rPr>
            <w:rStyle w:val="Hyperlink"/>
          </w:rPr>
          <w:t>http://www.cjvalcea.ro/index.php/urbanism-si-amenajarea-teritoriului/plan-de-amenajare-a-teritoriului-judetean-valcea-partea-1</w:t>
        </w:r>
      </w:hyperlink>
      <w:r>
        <w:t xml:space="preserve"> </w:t>
      </w:r>
    </w:p>
  </w:footnote>
  <w:footnote w:id="16">
    <w:p w14:paraId="684C370E" w14:textId="77777777" w:rsidR="00C36A80" w:rsidRPr="00E95708" w:rsidRDefault="00C36A80">
      <w:pPr>
        <w:pStyle w:val="Textnotdesubsol"/>
        <w:rPr>
          <w:lang w:val="ro-RO"/>
        </w:rPr>
      </w:pPr>
      <w:r>
        <w:rPr>
          <w:rStyle w:val="Referinnotdesubsol"/>
        </w:rPr>
        <w:footnoteRef/>
      </w:r>
      <w:r>
        <w:t xml:space="preserve"> PATJ Vâlcea Partea 1, 2020</w:t>
      </w:r>
    </w:p>
  </w:footnote>
  <w:footnote w:id="17">
    <w:p w14:paraId="14C1C5BB" w14:textId="01CB0428" w:rsidR="00B646E2" w:rsidRPr="00B646E2" w:rsidRDefault="00B646E2">
      <w:pPr>
        <w:pStyle w:val="Textnotdesubsol"/>
        <w:rPr>
          <w:lang w:val="ro-RO"/>
        </w:rPr>
      </w:pPr>
      <w:r>
        <w:rPr>
          <w:rStyle w:val="Referinnotdesubsol"/>
        </w:rPr>
        <w:footnoteRef/>
      </w:r>
      <w:r>
        <w:t xml:space="preserve"> </w:t>
      </w:r>
      <w:hyperlink r:id="rId15" w:history="1">
        <w:r w:rsidRPr="00E40F8F">
          <w:rPr>
            <w:rStyle w:val="Hyperlink"/>
          </w:rPr>
          <w:t>https://commission.europa.eu/strategy-and-policy/sustainable-development-goals/eu-and-united-nations-common-goals-sustainable-future_ro</w:t>
        </w:r>
      </w:hyperlink>
      <w:r>
        <w:t xml:space="preserve"> </w:t>
      </w:r>
    </w:p>
  </w:footnote>
  <w:footnote w:id="18">
    <w:p w14:paraId="731AE265" w14:textId="54986374" w:rsidR="00B646E2" w:rsidRPr="00B646E2" w:rsidRDefault="00B646E2">
      <w:pPr>
        <w:pStyle w:val="Textnotdesubsol"/>
        <w:rPr>
          <w:lang w:val="ro-RO"/>
        </w:rPr>
      </w:pPr>
      <w:r>
        <w:rPr>
          <w:rStyle w:val="Referinnotdesubsol"/>
        </w:rPr>
        <w:footnoteRef/>
      </w:r>
      <w:r>
        <w:t xml:space="preserve"> </w:t>
      </w:r>
      <w:hyperlink r:id="rId16" w:history="1">
        <w:r w:rsidR="008210AB" w:rsidRPr="00E40F8F">
          <w:rPr>
            <w:rStyle w:val="Hyperlink"/>
          </w:rPr>
          <w:t>https://eur-lex.europa.eu/legal-content/RO/TXT/?uri=COM%3A2016%3A739%3AFIN</w:t>
        </w:r>
      </w:hyperlink>
      <w:r w:rsidR="008210AB">
        <w:t xml:space="preserve"> </w:t>
      </w:r>
    </w:p>
  </w:footnote>
  <w:footnote w:id="19">
    <w:p w14:paraId="0886EB31" w14:textId="0B7B628D" w:rsidR="008210AB" w:rsidRPr="008210AB" w:rsidRDefault="008210AB">
      <w:pPr>
        <w:pStyle w:val="Textnotdesubsol"/>
        <w:rPr>
          <w:lang w:val="ro-RO"/>
        </w:rPr>
      </w:pPr>
      <w:r>
        <w:rPr>
          <w:rStyle w:val="Referinnotdesubsol"/>
        </w:rPr>
        <w:footnoteRef/>
      </w:r>
      <w:r>
        <w:t xml:space="preserve"> </w:t>
      </w:r>
      <w:hyperlink r:id="rId17" w:history="1">
        <w:r w:rsidRPr="00E40F8F">
          <w:rPr>
            <w:rStyle w:val="Hyperlink"/>
          </w:rPr>
          <w:t>https://commission.europa.eu/publications/sustainable-europe-2030_ro</w:t>
        </w:r>
      </w:hyperlink>
      <w:r>
        <w:t xml:space="preserve"> </w:t>
      </w:r>
    </w:p>
  </w:footnote>
  <w:footnote w:id="20">
    <w:p w14:paraId="0002AC0B" w14:textId="6ED35625" w:rsidR="00332115" w:rsidRPr="00332115" w:rsidRDefault="00332115">
      <w:pPr>
        <w:pStyle w:val="Textnotdesubsol"/>
        <w:rPr>
          <w:lang w:val="ro-RO"/>
        </w:rPr>
      </w:pPr>
      <w:r>
        <w:rPr>
          <w:rStyle w:val="Referinnotdesubsol"/>
        </w:rPr>
        <w:footnoteRef/>
      </w:r>
      <w:r>
        <w:t xml:space="preserve"> </w:t>
      </w:r>
      <w:hyperlink r:id="rId18" w:history="1">
        <w:r w:rsidRPr="00E40F8F">
          <w:rPr>
            <w:rStyle w:val="Hyperlink"/>
          </w:rPr>
          <w:t>https://www.consilium.europa.eu/ro/policies/green-deal/</w:t>
        </w:r>
      </w:hyperlink>
      <w:r>
        <w:t xml:space="preserve"> </w:t>
      </w:r>
    </w:p>
  </w:footnote>
  <w:footnote w:id="21">
    <w:p w14:paraId="09E245F7" w14:textId="7ED75736" w:rsidR="00332115" w:rsidRPr="00332115" w:rsidRDefault="00332115">
      <w:pPr>
        <w:pStyle w:val="Textnotdesubsol"/>
        <w:rPr>
          <w:lang w:val="ro-RO"/>
        </w:rPr>
      </w:pPr>
      <w:r>
        <w:rPr>
          <w:rStyle w:val="Referinnotdesubsol"/>
        </w:rPr>
        <w:footnoteRef/>
      </w:r>
      <w:r>
        <w:t xml:space="preserve"> </w:t>
      </w:r>
      <w:hyperlink r:id="rId19" w:history="1">
        <w:r w:rsidRPr="00E40F8F">
          <w:rPr>
            <w:rStyle w:val="Hyperlink"/>
          </w:rPr>
          <w:t>https://www.consilium.europa.eu/ro/press/press-releases/2021/06/03/sustainable-and-smart-mobility-strategy-council-adopts-conclusions/</w:t>
        </w:r>
      </w:hyperlink>
      <w:r>
        <w:t xml:space="preserve"> </w:t>
      </w:r>
    </w:p>
  </w:footnote>
  <w:footnote w:id="22">
    <w:p w14:paraId="413BFFF3" w14:textId="32E72B83" w:rsidR="00332115" w:rsidRPr="00332115" w:rsidRDefault="00332115">
      <w:pPr>
        <w:pStyle w:val="Textnotdesubsol"/>
        <w:rPr>
          <w:lang w:val="ro-RO"/>
        </w:rPr>
      </w:pPr>
      <w:r>
        <w:rPr>
          <w:rStyle w:val="Referinnotdesubsol"/>
        </w:rPr>
        <w:footnoteRef/>
      </w:r>
      <w:r>
        <w:t xml:space="preserve"> </w:t>
      </w:r>
      <w:hyperlink r:id="rId20" w:history="1">
        <w:r w:rsidRPr="00E40F8F">
          <w:rPr>
            <w:rStyle w:val="Hyperlink"/>
          </w:rPr>
          <w:t>https://climate.ec.europa.eu/eu-action/european-green-deal/european-climate-law_ro</w:t>
        </w:r>
      </w:hyperlink>
      <w:r>
        <w:t xml:space="preserve"> </w:t>
      </w:r>
    </w:p>
  </w:footnote>
  <w:footnote w:id="23">
    <w:p w14:paraId="488E0BD8" w14:textId="0A7A245A" w:rsidR="00451B2F" w:rsidRPr="00451B2F" w:rsidRDefault="00451B2F">
      <w:pPr>
        <w:pStyle w:val="Textnotdesubsol"/>
        <w:rPr>
          <w:lang w:val="ro-RO"/>
        </w:rPr>
      </w:pPr>
      <w:r>
        <w:rPr>
          <w:rStyle w:val="Referinnotdesubsol"/>
        </w:rPr>
        <w:footnoteRef/>
      </w:r>
      <w:r>
        <w:t xml:space="preserve"> </w:t>
      </w:r>
      <w:hyperlink r:id="rId21" w:history="1">
        <w:r w:rsidRPr="00E40F8F">
          <w:rPr>
            <w:rStyle w:val="Hyperlink"/>
          </w:rPr>
          <w:t>https://www.europarl.europa.eu/doceo/document/TA-9-2021-0407_RO.html</w:t>
        </w:r>
      </w:hyperlink>
      <w:r>
        <w:t xml:space="preserve"> </w:t>
      </w:r>
    </w:p>
  </w:footnote>
  <w:footnote w:id="24">
    <w:p w14:paraId="0B4B3546" w14:textId="419A0681" w:rsidR="00451B2F" w:rsidRPr="00451B2F" w:rsidRDefault="00451B2F">
      <w:pPr>
        <w:pStyle w:val="Textnotdesubsol"/>
        <w:rPr>
          <w:lang w:val="ro-RO"/>
        </w:rPr>
      </w:pPr>
      <w:r>
        <w:rPr>
          <w:rStyle w:val="Referinnotdesubsol"/>
        </w:rPr>
        <w:footnoteRef/>
      </w:r>
      <w:r>
        <w:t xml:space="preserve"> </w:t>
      </w:r>
      <w:hyperlink r:id="rId22" w:history="1">
        <w:r w:rsidRPr="00E40F8F">
          <w:rPr>
            <w:rStyle w:val="Hyperlink"/>
          </w:rPr>
          <w:t>https://eur-lex.europa.eu/legal-content/RO/TXT/?uri=CELEX%3A52018DC0293</w:t>
        </w:r>
      </w:hyperlink>
      <w:r>
        <w:t xml:space="preserve"> </w:t>
      </w:r>
    </w:p>
  </w:footnote>
  <w:footnote w:id="25">
    <w:p w14:paraId="1AC11147" w14:textId="50276396" w:rsidR="00451B2F" w:rsidRPr="00451B2F" w:rsidRDefault="00451B2F">
      <w:pPr>
        <w:pStyle w:val="Textnotdesubsol"/>
        <w:rPr>
          <w:lang w:val="ro-RO"/>
        </w:rPr>
      </w:pPr>
      <w:r>
        <w:rPr>
          <w:rStyle w:val="Referinnotdesubsol"/>
        </w:rPr>
        <w:footnoteRef/>
      </w:r>
      <w:r>
        <w:t xml:space="preserve"> </w:t>
      </w:r>
      <w:hyperlink r:id="rId23" w:history="1">
        <w:r w:rsidRPr="00E40F8F">
          <w:rPr>
            <w:rStyle w:val="Hyperlink"/>
          </w:rPr>
          <w:t>https://eur-lex.europa.eu/legal-content/RO/TXT/PDF/?uri=CELEX:32013R1301</w:t>
        </w:r>
      </w:hyperlink>
      <w:r>
        <w:t xml:space="preserve"> </w:t>
      </w:r>
    </w:p>
  </w:footnote>
  <w:footnote w:id="26">
    <w:p w14:paraId="4EE8F39E" w14:textId="77777777" w:rsidR="00C36A80" w:rsidRPr="00B6406B" w:rsidRDefault="00C36A80" w:rsidP="00B6406B">
      <w:pPr>
        <w:pStyle w:val="Textnotdesubsol"/>
        <w:jc w:val="both"/>
        <w:rPr>
          <w:lang w:val="ro-RO"/>
        </w:rPr>
      </w:pPr>
      <w:r>
        <w:rPr>
          <w:rStyle w:val="Referinnotdesubsol"/>
        </w:rPr>
        <w:footnoteRef/>
      </w:r>
      <w:r>
        <w:t xml:space="preserve"> Obiectivul general al mecanismului este să promoveze coeziunea economică, socială și teritorială a Uniunii prin îmbunătățirea rezilienței, a nivelului de pregătire pentru situații de criză, a capacității de adaptare și a potențialului de creștere ale statelor membre, prin atenuarea impactului social și economic al crizei în cauză, în special asupra femeilor, prin contribuția la punerea în aplicare a pilonului european al drepturilor sociale, prin sprijinirea tranziției verzi, prin contribuția la realizarea obiectivelor privind clima ale Uniunii pentru 2030 stabilite la articolul 2 punctul 11 din Regulamentul (UE) 2018/1999 și prin respectarea obiectivului UE de realizare a neutralității climatice până în 2050, precum și a tranziției digitale, contribuind astfel la convergența economică și socială ascendentă, restabilind și promovând creșterea durabilă și integrarea economiilor Uniunii, încurajând crearea de locuri de muncă de înaltă calitate, contribuind la autonomia strategică a Uniunii alături de o economie deschisă și creând valoare adăugată europeană</w:t>
      </w:r>
    </w:p>
  </w:footnote>
  <w:footnote w:id="27">
    <w:p w14:paraId="567D625C" w14:textId="4F46F409" w:rsidR="0045183F" w:rsidRPr="0045183F" w:rsidRDefault="0045183F">
      <w:pPr>
        <w:pStyle w:val="Textnotdesubsol"/>
        <w:rPr>
          <w:lang w:val="ro-RO"/>
        </w:rPr>
      </w:pPr>
      <w:r>
        <w:rPr>
          <w:rStyle w:val="Referinnotdesubsol"/>
        </w:rPr>
        <w:footnoteRef/>
      </w:r>
      <w:r>
        <w:t xml:space="preserve"> </w:t>
      </w:r>
      <w:hyperlink r:id="rId24" w:history="1">
        <w:r w:rsidRPr="00E40F8F">
          <w:rPr>
            <w:rStyle w:val="Hyperlink"/>
          </w:rPr>
          <w:t>https://dezvoltaredurabila.gov.ro/strategia-nationala-pentru-dezvoltarea-durabila-a-romaniei-2030-i</w:t>
        </w:r>
      </w:hyperlink>
      <w:r>
        <w:t xml:space="preserve"> </w:t>
      </w:r>
    </w:p>
  </w:footnote>
  <w:footnote w:id="28">
    <w:p w14:paraId="3AD28681" w14:textId="711AB62A" w:rsidR="0045183F" w:rsidRPr="0045183F" w:rsidRDefault="0045183F">
      <w:pPr>
        <w:pStyle w:val="Textnotdesubsol"/>
        <w:rPr>
          <w:lang w:val="ro-RO"/>
        </w:rPr>
      </w:pPr>
      <w:r>
        <w:rPr>
          <w:rStyle w:val="Referinnotdesubsol"/>
        </w:rPr>
        <w:footnoteRef/>
      </w:r>
      <w:r>
        <w:t xml:space="preserve"> </w:t>
      </w:r>
      <w:hyperlink r:id="rId25" w:history="1">
        <w:r w:rsidRPr="00E40F8F">
          <w:rPr>
            <w:rStyle w:val="Hyperlink"/>
          </w:rPr>
          <w:t>https://strategia.cndd.ro/docs/sndd10.ro.pdf</w:t>
        </w:r>
      </w:hyperlink>
      <w:r>
        <w:t xml:space="preserve"> </w:t>
      </w:r>
    </w:p>
  </w:footnote>
  <w:footnote w:id="29">
    <w:p w14:paraId="06F8F183" w14:textId="7DD9AD6C" w:rsidR="0045183F" w:rsidRPr="0045183F" w:rsidRDefault="0045183F">
      <w:pPr>
        <w:pStyle w:val="Textnotdesubsol"/>
        <w:rPr>
          <w:lang w:val="ro-RO"/>
        </w:rPr>
      </w:pPr>
      <w:r>
        <w:rPr>
          <w:rStyle w:val="Referinnotdesubsol"/>
        </w:rPr>
        <w:footnoteRef/>
      </w:r>
      <w:r>
        <w:t xml:space="preserve"> </w:t>
      </w:r>
      <w:hyperlink r:id="rId26" w:history="1">
        <w:r w:rsidRPr="00E40F8F">
          <w:rPr>
            <w:rStyle w:val="Hyperlink"/>
          </w:rPr>
          <w:t>https://www.mt.ro/web14/documente/strategie/strategii_sectoriale/strategie_dezvoltare_durabila_noua_ultima_forma.pdf</w:t>
        </w:r>
      </w:hyperlink>
      <w:r>
        <w:t xml:space="preserve"> </w:t>
      </w:r>
    </w:p>
  </w:footnote>
  <w:footnote w:id="30">
    <w:p w14:paraId="1CFC328E" w14:textId="374A6F9E" w:rsidR="0045183F" w:rsidRPr="0045183F" w:rsidRDefault="0045183F">
      <w:pPr>
        <w:pStyle w:val="Textnotdesubsol"/>
        <w:rPr>
          <w:lang w:val="ro-RO"/>
        </w:rPr>
      </w:pPr>
      <w:r>
        <w:rPr>
          <w:rStyle w:val="Referinnotdesubsol"/>
        </w:rPr>
        <w:footnoteRef/>
      </w:r>
      <w:r>
        <w:t xml:space="preserve"> </w:t>
      </w:r>
      <w:hyperlink r:id="rId27" w:history="1">
        <w:r w:rsidRPr="00E40F8F">
          <w:rPr>
            <w:rStyle w:val="Hyperlink"/>
          </w:rPr>
          <w:t>https://energie.gov.ro/transparenta-decizionala/strategia-energetica-a-romaniei-2019-2030-cu-perspectiva-anului-2050/</w:t>
        </w:r>
      </w:hyperlink>
      <w:r>
        <w:t xml:space="preserve"> </w:t>
      </w:r>
    </w:p>
  </w:footnote>
  <w:footnote w:id="31">
    <w:p w14:paraId="61786A04" w14:textId="38D06B5C" w:rsidR="0045183F" w:rsidRPr="0045183F" w:rsidRDefault="0045183F">
      <w:pPr>
        <w:pStyle w:val="Textnotdesubsol"/>
        <w:rPr>
          <w:lang w:val="ro-RO"/>
        </w:rPr>
      </w:pPr>
      <w:r>
        <w:rPr>
          <w:rStyle w:val="Referinnotdesubsol"/>
        </w:rPr>
        <w:footnoteRef/>
      </w:r>
      <w:r>
        <w:t xml:space="preserve"> </w:t>
      </w:r>
      <w:hyperlink r:id="rId28" w:history="1">
        <w:r w:rsidRPr="00E40F8F">
          <w:rPr>
            <w:rStyle w:val="Hyperlink"/>
          </w:rPr>
          <w:t>https://www.mt.ro/web14/documente/strategie/mpgt/23072015/Master%20Planul%20General%20de%20Transport_iulie_2015_vol%20I.pdf</w:t>
        </w:r>
      </w:hyperlink>
      <w:r>
        <w:t xml:space="preserve"> </w:t>
      </w:r>
    </w:p>
  </w:footnote>
  <w:footnote w:id="32">
    <w:p w14:paraId="03131DCF" w14:textId="36E6CD25" w:rsidR="001F7343" w:rsidRPr="001F7343" w:rsidRDefault="001F7343">
      <w:pPr>
        <w:pStyle w:val="Textnotdesubsol"/>
        <w:rPr>
          <w:lang w:val="ro-RO"/>
        </w:rPr>
      </w:pPr>
      <w:r>
        <w:rPr>
          <w:rStyle w:val="Referinnotdesubsol"/>
        </w:rPr>
        <w:footnoteRef/>
      </w:r>
      <w:r>
        <w:t xml:space="preserve"> </w:t>
      </w:r>
      <w:hyperlink r:id="rId29" w:history="1">
        <w:r w:rsidRPr="00D96CB9">
          <w:rPr>
            <w:rStyle w:val="Hyperlink"/>
            <w:lang w:val="ro-RO"/>
          </w:rPr>
          <w:t>www.orasul-horezu.ro</w:t>
        </w:r>
      </w:hyperlink>
      <w:r>
        <w:rPr>
          <w:lang w:val="ro-RO"/>
        </w:rPr>
        <w:t xml:space="preserve"> sectiunea primăria-rapoarte și strategii</w:t>
      </w:r>
    </w:p>
  </w:footnote>
  <w:footnote w:id="33">
    <w:p w14:paraId="36FBE309" w14:textId="3EC14702" w:rsidR="0055750B" w:rsidRPr="0055750B" w:rsidRDefault="0055750B">
      <w:pPr>
        <w:pStyle w:val="Textnotdesubsol"/>
        <w:rPr>
          <w:lang w:val="ro-RO"/>
        </w:rPr>
      </w:pPr>
      <w:r>
        <w:rPr>
          <w:rStyle w:val="Referinnotdesubsol"/>
        </w:rPr>
        <w:footnoteRef/>
      </w:r>
      <w:r>
        <w:t xml:space="preserve"> </w:t>
      </w:r>
      <w:hyperlink r:id="rId30" w:history="1">
        <w:r w:rsidRPr="00D96CB9">
          <w:rPr>
            <w:rStyle w:val="Hyperlink"/>
            <w:lang w:val="ro-RO"/>
          </w:rPr>
          <w:t>www.cjvalcea.ro</w:t>
        </w:r>
      </w:hyperlink>
      <w:r>
        <w:rPr>
          <w:lang w:val="ro-RO"/>
        </w:rPr>
        <w:t xml:space="preserve"> secțiunea noi programe și strategii</w:t>
      </w:r>
    </w:p>
  </w:footnote>
  <w:footnote w:id="34">
    <w:p w14:paraId="59D6E4F1" w14:textId="77777777" w:rsidR="00C36A80" w:rsidRPr="004D7269" w:rsidRDefault="00C36A80" w:rsidP="003D42C5">
      <w:pPr>
        <w:pStyle w:val="Textnotdesubsol"/>
        <w:jc w:val="both"/>
        <w:rPr>
          <w:sz w:val="18"/>
          <w:lang w:val="ro-RO"/>
        </w:rPr>
      </w:pPr>
      <w:r>
        <w:rPr>
          <w:rStyle w:val="Referinnotdesubsol"/>
        </w:rPr>
        <w:footnoteRef/>
      </w:r>
      <w:r>
        <w:t xml:space="preserve"> </w:t>
      </w:r>
      <w:r w:rsidRPr="004D7269">
        <w:rPr>
          <w:sz w:val="18"/>
        </w:rPr>
        <w:t xml:space="preserve">Populatia după domiciliu la data de 1 </w:t>
      </w:r>
      <w:r>
        <w:rPr>
          <w:sz w:val="18"/>
        </w:rPr>
        <w:t>ianuarie</w:t>
      </w:r>
      <w:r w:rsidRPr="004D7269">
        <w:rPr>
          <w:sz w:val="18"/>
        </w:rPr>
        <w:t xml:space="preserve"> a anului de referință reprezintă numărul persoanelor cu cetățenie română și domiciliu pe teritoriul României, delimitat după criterii administrativ-teritoriale. Domiciliul persoanei este adresa la care această declara că are locuința principala, trecută în actul de identitate (CI, BI), așa cum este luată în evidență organelor administrative ale statului. În stabilirea valorii acestui indicator nu se ține cont de reședința obișnuită, de perioada și/sau motivul absenței de la domiciliu.</w:t>
      </w:r>
    </w:p>
  </w:footnote>
  <w:footnote w:id="35">
    <w:p w14:paraId="2419C4A6" w14:textId="77777777" w:rsidR="00C36A80" w:rsidRPr="003D42C5" w:rsidRDefault="00C36A80">
      <w:pPr>
        <w:pStyle w:val="Textnotdesubsol"/>
        <w:rPr>
          <w:lang w:val="ro-RO"/>
        </w:rPr>
      </w:pPr>
      <w:r>
        <w:rPr>
          <w:rStyle w:val="Referinnotdesubsol"/>
        </w:rPr>
        <w:footnoteRef/>
      </w:r>
      <w:r>
        <w:t xml:space="preserve"> </w:t>
      </w:r>
      <w:r w:rsidRPr="003D42C5">
        <w:t xml:space="preserve">Legenda: ':' - date lipsa; 'c' - date confidentiale; 9999,00 - normal - date definitive; </w:t>
      </w:r>
      <w:r w:rsidRPr="003D42C5">
        <w:rPr>
          <w:b/>
          <w:u w:val="single"/>
        </w:rPr>
        <w:t>9999,00</w:t>
      </w:r>
      <w:r w:rsidRPr="003D42C5">
        <w:t xml:space="preserve"> - ingrosat subliniat - date semidefinitive; </w:t>
      </w:r>
      <w:r w:rsidRPr="003D42C5">
        <w:rPr>
          <w:b/>
        </w:rPr>
        <w:t>9999,00</w:t>
      </w:r>
      <w:r w:rsidRPr="003D42C5">
        <w:t xml:space="preserve"> - ingrosat - date revizuite; </w:t>
      </w:r>
      <w:r w:rsidRPr="003D42C5">
        <w:rPr>
          <w:u w:val="single"/>
        </w:rPr>
        <w:t>9999,00</w:t>
      </w:r>
      <w:r w:rsidRPr="003D42C5">
        <w:t xml:space="preserve"> - subliniat - date provizorii </w:t>
      </w:r>
    </w:p>
  </w:footnote>
  <w:footnote w:id="36">
    <w:p w14:paraId="0B99D8A5" w14:textId="77777777" w:rsidR="00C36A80" w:rsidRDefault="00C36A80" w:rsidP="00337AAA">
      <w:pPr>
        <w:pStyle w:val="Textnotdesubsol"/>
      </w:pPr>
      <w:r>
        <w:rPr>
          <w:rStyle w:val="Referinnotdesubsol"/>
        </w:rPr>
        <w:footnoteRef/>
      </w:r>
      <w:r>
        <w:t xml:space="preserve"> Directiva 2014/94/UE privind instalarea infrastructurii pentru combustibili alternativi.</w:t>
      </w:r>
    </w:p>
  </w:footnote>
  <w:footnote w:id="37">
    <w:p w14:paraId="2818D83B" w14:textId="77777777" w:rsidR="00C36A80" w:rsidRPr="002655D2" w:rsidRDefault="00C36A80" w:rsidP="00E230D0">
      <w:pPr>
        <w:pStyle w:val="Textnotdesubsol"/>
        <w:rPr>
          <w:lang w:val="fr-FR"/>
        </w:rPr>
      </w:pPr>
      <w:r>
        <w:rPr>
          <w:rStyle w:val="Referinnotdesubsol"/>
        </w:rPr>
        <w:footnoteRef/>
      </w:r>
      <w:r w:rsidRPr="002655D2">
        <w:rPr>
          <w:lang w:val="fr-FR"/>
        </w:rPr>
        <w:t xml:space="preserve"> Raportul de activitate 20</w:t>
      </w:r>
      <w:r>
        <w:rPr>
          <w:lang w:val="fr-FR"/>
        </w:rPr>
        <w:t>20</w:t>
      </w:r>
      <w:r w:rsidRPr="002655D2">
        <w:rPr>
          <w:lang w:val="fr-FR"/>
        </w:rPr>
        <w:t xml:space="preserve"> elaborat de Agenția pentru Protectia Mediului </w:t>
      </w:r>
      <w:r>
        <w:rPr>
          <w:lang w:val="fr-FR"/>
        </w:rPr>
        <w:t>Vâlcea</w:t>
      </w:r>
      <w:r w:rsidRPr="002655D2">
        <w:rPr>
          <w:lang w:val="fr-FR"/>
        </w:rPr>
        <w:t>.</w:t>
      </w:r>
    </w:p>
  </w:footnote>
  <w:footnote w:id="38">
    <w:p w14:paraId="5C2C224E" w14:textId="77777777" w:rsidR="00C36A80" w:rsidRPr="00574767" w:rsidRDefault="00C36A80" w:rsidP="00426696">
      <w:pPr>
        <w:rPr>
          <w:lang w:val="es-ES"/>
        </w:rPr>
      </w:pPr>
      <w:r>
        <w:rPr>
          <w:rStyle w:val="FootnoteCharacters"/>
        </w:rPr>
        <w:footnoteRef/>
      </w:r>
      <w:r w:rsidRPr="00574767">
        <w:rPr>
          <w:rFonts w:eastAsia="Arial" w:cs="Arial"/>
          <w:color w:val="000000"/>
          <w:sz w:val="16"/>
          <w:szCs w:val="16"/>
          <w:lang w:val="es-ES"/>
        </w:rPr>
        <w:t xml:space="preserve">  </w:t>
      </w:r>
      <w:r w:rsidRPr="00574767">
        <w:rPr>
          <w:rFonts w:cs="Arial"/>
          <w:color w:val="000000"/>
          <w:sz w:val="16"/>
          <w:szCs w:val="16"/>
          <w:lang w:val="es-ES"/>
        </w:rPr>
        <w:t xml:space="preserve">Adicǎ de un sistem care înglobeazǎ și deplasǎrile în comun și deplasǎrile individuale motorizate și nemotorizate și deci, și deplasǎrile pe jos, </w:t>
      </w:r>
      <w:r>
        <w:rPr>
          <w:rFonts w:cs="Arial"/>
          <w:color w:val="000000"/>
          <w:sz w:val="16"/>
          <w:szCs w:val="16"/>
          <w:lang w:val="es-ES"/>
        </w:rPr>
        <w:t>i</w:t>
      </w:r>
      <w:r w:rsidRPr="00574767">
        <w:rPr>
          <w:rFonts w:cs="Arial"/>
          <w:color w:val="000000"/>
          <w:sz w:val="16"/>
          <w:szCs w:val="16"/>
          <w:lang w:val="es-ES"/>
        </w:rPr>
        <w:t xml:space="preserve">ar din altǎ perspectivǎ un sistem de transport care ține cont și de generarea cǎlǎtoriilor și de cǎlǎtoriile de tranzit și de cǎlǎtoriile atrase, iar din </w:t>
      </w:r>
      <w:r>
        <w:rPr>
          <w:rFonts w:cs="Arial"/>
          <w:color w:val="000000"/>
          <w:sz w:val="16"/>
          <w:szCs w:val="16"/>
          <w:lang w:val="es-ES"/>
        </w:rPr>
        <w:t>a</w:t>
      </w:r>
      <w:r w:rsidRPr="00574767">
        <w:rPr>
          <w:rFonts w:cs="Arial"/>
          <w:color w:val="000000"/>
          <w:sz w:val="16"/>
          <w:szCs w:val="16"/>
          <w:lang w:val="es-ES"/>
        </w:rPr>
        <w:t>ltǎ perspectivǎ și de cǎlǎtoriile de scurt parcurs, de cǎlǎtoriile periurbane și de cǎlǎtoriile interurbane sau dintr-o ultimǎ perspectivǎ de cǎlǎtoriile</w:t>
      </w:r>
      <w:r>
        <w:rPr>
          <w:rFonts w:cs="Arial"/>
          <w:color w:val="000000"/>
          <w:sz w:val="16"/>
          <w:szCs w:val="16"/>
          <w:lang w:val="es-ES"/>
        </w:rPr>
        <w:t xml:space="preserve"> </w:t>
      </w:r>
      <w:r w:rsidRPr="00574767">
        <w:rPr>
          <w:rFonts w:cs="Arial"/>
          <w:color w:val="000000"/>
          <w:sz w:val="16"/>
          <w:szCs w:val="16"/>
          <w:lang w:val="es-ES"/>
        </w:rPr>
        <w:t xml:space="preserve">în interesul serviciului fațǎ de cǎlǎtoriile în interes personal sau pentru agrement, etc.  </w:t>
      </w:r>
    </w:p>
    <w:p w14:paraId="242CE021" w14:textId="77777777" w:rsidR="00C36A80" w:rsidRDefault="00C36A80" w:rsidP="00426696">
      <w:pPr>
        <w:pStyle w:val="Textnotdesubsol"/>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3FEFD" w14:textId="2E3250EF" w:rsidR="00C36A80" w:rsidRPr="00EB5F81" w:rsidRDefault="00C36A80" w:rsidP="00E54DF9">
    <w:pPr>
      <w:pStyle w:val="Antet"/>
      <w:jc w:val="center"/>
      <w:rPr>
        <w:rFonts w:ascii="Arial Narrow" w:hAnsi="Arial Narrow"/>
        <w:b/>
        <w:bCs/>
        <w:color w:val="385623" w:themeColor="accent6" w:themeShade="80"/>
        <w:sz w:val="16"/>
        <w:szCs w:val="16"/>
      </w:rPr>
    </w:pPr>
    <w:r w:rsidRPr="00EB5F81">
      <w:rPr>
        <w:rFonts w:ascii="Arial Narrow" w:hAnsi="Arial Narrow"/>
        <w:b/>
        <w:bCs/>
        <w:color w:val="385623" w:themeColor="accent6" w:themeShade="80"/>
        <w:sz w:val="16"/>
        <w:szCs w:val="16"/>
      </w:rPr>
      <w:t>PLANUL DE MOBILITATE URBANĂ DURABILĂ AL ORAȘULUI HOREZU 202</w:t>
    </w:r>
    <w:r w:rsidR="001F7343">
      <w:rPr>
        <w:rFonts w:ascii="Arial Narrow" w:hAnsi="Arial Narrow"/>
        <w:b/>
        <w:bCs/>
        <w:color w:val="385623" w:themeColor="accent6" w:themeShade="80"/>
        <w:sz w:val="16"/>
        <w:szCs w:val="16"/>
      </w:rPr>
      <w:t>3</w:t>
    </w:r>
    <w:r w:rsidRPr="00EB5F81">
      <w:rPr>
        <w:rFonts w:ascii="Arial Narrow" w:hAnsi="Arial Narrow"/>
        <w:b/>
        <w:bCs/>
        <w:color w:val="385623" w:themeColor="accent6" w:themeShade="80"/>
        <w:sz w:val="16"/>
        <w:szCs w:val="16"/>
      </w:rPr>
      <w:t>-20</w:t>
    </w:r>
    <w:r w:rsidR="001F7343">
      <w:rPr>
        <w:rFonts w:ascii="Arial Narrow" w:hAnsi="Arial Narrow"/>
        <w:b/>
        <w:bCs/>
        <w:color w:val="385623" w:themeColor="accent6" w:themeShade="80"/>
        <w:sz w:val="16"/>
        <w:szCs w:val="16"/>
      </w:rPr>
      <w:t>30</w:t>
    </w:r>
    <w:r w:rsidRPr="00EB5F81">
      <w:rPr>
        <w:rFonts w:ascii="Arial Narrow" w:hAnsi="Arial Narrow"/>
        <w:b/>
        <w:bCs/>
        <w:color w:val="385623" w:themeColor="accent6" w:themeShade="80"/>
        <w:sz w:val="16"/>
        <w:szCs w:val="16"/>
      </w:rPr>
      <w:t xml:space="preserve"> – I COMPONENTA DE NIVEL STRATEGIC</w:t>
    </w:r>
  </w:p>
  <w:p w14:paraId="6E2A246C" w14:textId="77777777" w:rsidR="00C36A80" w:rsidRPr="00C017DB" w:rsidRDefault="00C36A80" w:rsidP="00E54DF9">
    <w:pPr>
      <w:pStyle w:val="Antet"/>
      <w:jc w:val="center"/>
      <w:rPr>
        <w:b/>
        <w:bCs/>
        <w:sz w:val="18"/>
        <w:szCs w:val="18"/>
      </w:rPr>
    </w:pPr>
    <w:r>
      <w:rPr>
        <w:rFonts w:ascii="Arial Narrow" w:hAnsi="Arial Narrow"/>
        <w:b/>
        <w:bCs/>
        <w:color w:val="5C2A08"/>
        <w:sz w:val="20"/>
        <w:szCs w:val="20"/>
      </w:rPr>
      <w:t xml:space="preserve">        </w:t>
    </w:r>
    <w:r>
      <w:rPr>
        <w:rFonts w:ascii="Arial Narrow" w:hAnsi="Arial Narrow"/>
        <w:b/>
        <w:bCs/>
        <w:color w:val="5C2A08"/>
        <w:sz w:val="20"/>
        <w:szCs w:val="20"/>
      </w:rPr>
      <w:tab/>
    </w:r>
    <w:r>
      <w:rPr>
        <w:rFonts w:ascii="Arial Narrow" w:hAnsi="Arial Narrow"/>
        <w:b/>
        <w:bCs/>
        <w:color w:val="5C2A08"/>
        <w:sz w:val="20"/>
        <w:szCs w:val="20"/>
      </w:rPr>
      <w:tab/>
    </w:r>
    <w:r w:rsidRPr="00920C24">
      <w:rPr>
        <w:rFonts w:ascii="Arial Narrow" w:hAnsi="Arial Narrow"/>
        <w:b/>
        <w:bCs/>
        <w:noProof/>
        <w:color w:val="5C2A08"/>
        <w:sz w:val="20"/>
        <w:szCs w:val="20"/>
      </w:rPr>
      <mc:AlternateContent>
        <mc:Choice Requires="wps">
          <w:drawing>
            <wp:anchor distT="0" distB="0" distL="114300" distR="114300" simplePos="0" relativeHeight="251665408" behindDoc="0" locked="0" layoutInCell="1" allowOverlap="1" wp14:anchorId="65A933C9" wp14:editId="2734A5C6">
              <wp:simplePos x="0" y="0"/>
              <wp:positionH relativeFrom="margin">
                <wp:align>center</wp:align>
              </wp:positionH>
              <wp:positionV relativeFrom="paragraph">
                <wp:posOffset>32740</wp:posOffset>
              </wp:positionV>
              <wp:extent cx="6229350" cy="9525"/>
              <wp:effectExtent l="0" t="0" r="19050" b="28575"/>
              <wp:wrapNone/>
              <wp:docPr id="11" name="Straight Connector 11"/>
              <wp:cNvGraphicFramePr/>
              <a:graphic xmlns:a="http://schemas.openxmlformats.org/drawingml/2006/main">
                <a:graphicData uri="http://schemas.microsoft.com/office/word/2010/wordprocessingShape">
                  <wps:wsp>
                    <wps:cNvCnPr/>
                    <wps:spPr>
                      <a:xfrm flipV="1">
                        <a:off x="0" y="0"/>
                        <a:ext cx="6229350" cy="95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1438A98" id="Straight Connector 11" o:spid="_x0000_s1026" style="position:absolute;flip:y;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2.6pt" to="490.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" strokecolor="windowText" strokeweight="1.5pt">
              <v:stroke joinstyle="miter"/>
              <w10:wrap anchorx="margin"/>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A46B7" w14:textId="415CA754" w:rsidR="00C36A80" w:rsidRPr="00FC2D87" w:rsidRDefault="00C36A80" w:rsidP="00620BC5">
    <w:pPr>
      <w:pStyle w:val="Antet"/>
      <w:jc w:val="center"/>
      <w:rPr>
        <w:rFonts w:ascii="Arial Narrow" w:hAnsi="Arial Narrow"/>
        <w:b/>
        <w:bCs/>
        <w:color w:val="5C2A08"/>
        <w:sz w:val="16"/>
        <w:szCs w:val="16"/>
      </w:rPr>
    </w:pPr>
    <w:r>
      <w:rPr>
        <w:rFonts w:ascii="Arial Narrow" w:hAnsi="Arial Narrow"/>
        <w:b/>
        <w:bCs/>
        <w:color w:val="5C2A08"/>
        <w:sz w:val="16"/>
        <w:szCs w:val="16"/>
      </w:rPr>
      <w:t>PLANUL DE MOBILITATE URBANĂ DURABILĂ</w:t>
    </w:r>
    <w:r w:rsidRPr="00FC2D87">
      <w:rPr>
        <w:rFonts w:ascii="Arial Narrow" w:hAnsi="Arial Narrow"/>
        <w:b/>
        <w:bCs/>
        <w:color w:val="5C2A08"/>
        <w:sz w:val="16"/>
        <w:szCs w:val="16"/>
      </w:rPr>
      <w:t xml:space="preserve"> A</w:t>
    </w:r>
    <w:r>
      <w:rPr>
        <w:rFonts w:ascii="Arial Narrow" w:hAnsi="Arial Narrow"/>
        <w:b/>
        <w:bCs/>
        <w:color w:val="5C2A08"/>
        <w:sz w:val="16"/>
        <w:szCs w:val="16"/>
      </w:rPr>
      <w:t>L</w:t>
    </w:r>
    <w:r w:rsidRPr="00FC2D87">
      <w:rPr>
        <w:rFonts w:ascii="Arial Narrow" w:hAnsi="Arial Narrow"/>
        <w:b/>
        <w:bCs/>
        <w:color w:val="5C2A08"/>
        <w:sz w:val="16"/>
        <w:szCs w:val="16"/>
      </w:rPr>
      <w:t xml:space="preserve"> </w:t>
    </w:r>
    <w:r>
      <w:rPr>
        <w:rFonts w:ascii="Arial Narrow" w:hAnsi="Arial Narrow"/>
        <w:b/>
        <w:bCs/>
        <w:color w:val="5C2A08"/>
        <w:sz w:val="16"/>
        <w:szCs w:val="16"/>
      </w:rPr>
      <w:t>ORAŞULUI HOREZU 202</w:t>
    </w:r>
    <w:r w:rsidR="008179BA">
      <w:rPr>
        <w:rFonts w:ascii="Arial Narrow" w:hAnsi="Arial Narrow"/>
        <w:b/>
        <w:bCs/>
        <w:color w:val="5C2A08"/>
        <w:sz w:val="16"/>
        <w:szCs w:val="16"/>
      </w:rPr>
      <w:t>3</w:t>
    </w:r>
    <w:r w:rsidRPr="00FC2D87">
      <w:rPr>
        <w:rFonts w:ascii="Arial Narrow" w:hAnsi="Arial Narrow"/>
        <w:b/>
        <w:bCs/>
        <w:color w:val="5C2A08"/>
        <w:sz w:val="16"/>
        <w:szCs w:val="16"/>
      </w:rPr>
      <w:t>-20</w:t>
    </w:r>
    <w:r w:rsidR="008179BA">
      <w:rPr>
        <w:rFonts w:ascii="Arial Narrow" w:hAnsi="Arial Narrow"/>
        <w:b/>
        <w:bCs/>
        <w:color w:val="5C2A08"/>
        <w:sz w:val="16"/>
        <w:szCs w:val="16"/>
      </w:rPr>
      <w:t>30</w:t>
    </w:r>
    <w:r w:rsidRPr="00FC2D87">
      <w:rPr>
        <w:rFonts w:ascii="Arial Narrow" w:hAnsi="Arial Narrow"/>
        <w:b/>
        <w:bCs/>
        <w:color w:val="5C2A08"/>
        <w:sz w:val="16"/>
        <w:szCs w:val="16"/>
      </w:rPr>
      <w:t xml:space="preserve"> – </w:t>
    </w:r>
    <w:r>
      <w:rPr>
        <w:rFonts w:ascii="Arial Narrow" w:hAnsi="Arial Narrow"/>
        <w:b/>
        <w:bCs/>
        <w:color w:val="5C2A08"/>
        <w:sz w:val="16"/>
        <w:szCs w:val="16"/>
      </w:rPr>
      <w:t>I COMPONENTA DE NIVEL STRATEGIC</w:t>
    </w:r>
  </w:p>
  <w:p w14:paraId="6417A1E3" w14:textId="77777777" w:rsidR="00C36A80" w:rsidRPr="00C017DB" w:rsidRDefault="00C36A80" w:rsidP="00903A19">
    <w:pPr>
      <w:pStyle w:val="Antet"/>
      <w:jc w:val="center"/>
      <w:rPr>
        <w:b/>
        <w:bCs/>
        <w:sz w:val="18"/>
        <w:szCs w:val="18"/>
      </w:rPr>
    </w:pPr>
    <w:r>
      <w:rPr>
        <w:rFonts w:ascii="Arial Narrow" w:hAnsi="Arial Narrow"/>
        <w:b/>
        <w:bCs/>
        <w:color w:val="5C2A08"/>
        <w:sz w:val="20"/>
        <w:szCs w:val="20"/>
      </w:rPr>
      <w:t xml:space="preserve">        </w:t>
    </w:r>
    <w:r>
      <w:rPr>
        <w:rFonts w:ascii="Arial Narrow" w:hAnsi="Arial Narrow"/>
        <w:b/>
        <w:bCs/>
        <w:color w:val="5C2A08"/>
        <w:sz w:val="20"/>
        <w:szCs w:val="20"/>
      </w:rPr>
      <w:tab/>
    </w:r>
    <w:r>
      <w:rPr>
        <w:rFonts w:ascii="Arial Narrow" w:hAnsi="Arial Narrow"/>
        <w:b/>
        <w:bCs/>
        <w:color w:val="5C2A08"/>
        <w:sz w:val="20"/>
        <w:szCs w:val="20"/>
      </w:rPr>
      <w:tab/>
    </w:r>
    <w:r w:rsidRPr="00920C24">
      <w:rPr>
        <w:rFonts w:ascii="Arial Narrow" w:hAnsi="Arial Narrow"/>
        <w:b/>
        <w:bCs/>
        <w:noProof/>
        <w:color w:val="5C2A08"/>
        <w:sz w:val="20"/>
        <w:szCs w:val="20"/>
      </w:rPr>
      <mc:AlternateContent>
        <mc:Choice Requires="wps">
          <w:drawing>
            <wp:anchor distT="0" distB="0" distL="114300" distR="114300" simplePos="0" relativeHeight="251651072" behindDoc="0" locked="0" layoutInCell="1" allowOverlap="1" wp14:anchorId="3E918BA8" wp14:editId="70A77D2D">
              <wp:simplePos x="0" y="0"/>
              <wp:positionH relativeFrom="margin">
                <wp:align>center</wp:align>
              </wp:positionH>
              <wp:positionV relativeFrom="paragraph">
                <wp:posOffset>32740</wp:posOffset>
              </wp:positionV>
              <wp:extent cx="6229350" cy="9525"/>
              <wp:effectExtent l="0" t="0" r="19050" b="28575"/>
              <wp:wrapNone/>
              <wp:docPr id="110" name="Straight Connector 110"/>
              <wp:cNvGraphicFramePr/>
              <a:graphic xmlns:a="http://schemas.openxmlformats.org/drawingml/2006/main">
                <a:graphicData uri="http://schemas.microsoft.com/office/word/2010/wordprocessingShape">
                  <wps:wsp>
                    <wps:cNvCnPr/>
                    <wps:spPr>
                      <a:xfrm flipV="1">
                        <a:off x="0" y="0"/>
                        <a:ext cx="6229350" cy="95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D4E300E" id="Straight Connector 110" o:spid="_x0000_s1026" style="position:absolute;flip:y;z-index:2516510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2.6pt" to="490.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" strokecolor="windowText" strokeweight="1.5pt">
              <v:stroke joinstyle="miter"/>
              <w10:wrap anchorx="margin"/>
            </v:line>
          </w:pict>
        </mc:Fallback>
      </mc:AlternateContent>
    </w:r>
  </w:p>
  <w:p w14:paraId="79AA5F46" w14:textId="77777777" w:rsidR="00C36A80" w:rsidRPr="004F5666" w:rsidRDefault="00C36A80" w:rsidP="004F5666">
    <w:pPr>
      <w:pStyle w:val="Ante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83BD4" w14:textId="091EEAE4" w:rsidR="00C36A80" w:rsidRPr="00FC2D87" w:rsidRDefault="00C36A80" w:rsidP="00971732">
    <w:pPr>
      <w:pStyle w:val="Antet"/>
      <w:jc w:val="center"/>
      <w:rPr>
        <w:rFonts w:ascii="Arial Narrow" w:hAnsi="Arial Narrow"/>
        <w:b/>
        <w:bCs/>
        <w:color w:val="5C2A08"/>
        <w:sz w:val="16"/>
        <w:szCs w:val="16"/>
      </w:rPr>
    </w:pPr>
    <w:r>
      <w:rPr>
        <w:rFonts w:ascii="Arial Narrow" w:hAnsi="Arial Narrow"/>
        <w:b/>
        <w:bCs/>
        <w:color w:val="5C2A08"/>
        <w:sz w:val="16"/>
        <w:szCs w:val="16"/>
      </w:rPr>
      <w:t>PLANUL DE MOBILITATE URBANĂ DURABILĂ</w:t>
    </w:r>
    <w:r w:rsidRPr="00FC2D87">
      <w:rPr>
        <w:rFonts w:ascii="Arial Narrow" w:hAnsi="Arial Narrow"/>
        <w:b/>
        <w:bCs/>
        <w:color w:val="5C2A08"/>
        <w:sz w:val="16"/>
        <w:szCs w:val="16"/>
      </w:rPr>
      <w:t xml:space="preserve"> A</w:t>
    </w:r>
    <w:r>
      <w:rPr>
        <w:rFonts w:ascii="Arial Narrow" w:hAnsi="Arial Narrow"/>
        <w:b/>
        <w:bCs/>
        <w:color w:val="5C2A08"/>
        <w:sz w:val="16"/>
        <w:szCs w:val="16"/>
      </w:rPr>
      <w:t>L</w:t>
    </w:r>
    <w:r w:rsidRPr="00FC2D87">
      <w:rPr>
        <w:rFonts w:ascii="Arial Narrow" w:hAnsi="Arial Narrow"/>
        <w:b/>
        <w:bCs/>
        <w:color w:val="5C2A08"/>
        <w:sz w:val="16"/>
        <w:szCs w:val="16"/>
      </w:rPr>
      <w:t xml:space="preserve"> </w:t>
    </w:r>
    <w:r>
      <w:rPr>
        <w:rFonts w:ascii="Arial Narrow" w:hAnsi="Arial Narrow"/>
        <w:b/>
        <w:bCs/>
        <w:color w:val="5C2A08"/>
        <w:sz w:val="16"/>
        <w:szCs w:val="16"/>
      </w:rPr>
      <w:t>ORAŞULUI HOREZU 202</w:t>
    </w:r>
    <w:r w:rsidR="008179BA">
      <w:rPr>
        <w:rFonts w:ascii="Arial Narrow" w:hAnsi="Arial Narrow"/>
        <w:b/>
        <w:bCs/>
        <w:color w:val="5C2A08"/>
        <w:sz w:val="16"/>
        <w:szCs w:val="16"/>
      </w:rPr>
      <w:t>3</w:t>
    </w:r>
    <w:r w:rsidRPr="00FC2D87">
      <w:rPr>
        <w:rFonts w:ascii="Arial Narrow" w:hAnsi="Arial Narrow"/>
        <w:b/>
        <w:bCs/>
        <w:color w:val="5C2A08"/>
        <w:sz w:val="16"/>
        <w:szCs w:val="16"/>
      </w:rPr>
      <w:t>-20</w:t>
    </w:r>
    <w:r w:rsidR="008179BA">
      <w:rPr>
        <w:rFonts w:ascii="Arial Narrow" w:hAnsi="Arial Narrow"/>
        <w:b/>
        <w:bCs/>
        <w:color w:val="5C2A08"/>
        <w:sz w:val="16"/>
        <w:szCs w:val="16"/>
      </w:rPr>
      <w:t>30</w:t>
    </w:r>
    <w:r w:rsidRPr="00FC2D87">
      <w:rPr>
        <w:rFonts w:ascii="Arial Narrow" w:hAnsi="Arial Narrow"/>
        <w:b/>
        <w:bCs/>
        <w:color w:val="5C2A08"/>
        <w:sz w:val="16"/>
        <w:szCs w:val="16"/>
      </w:rPr>
      <w:t xml:space="preserve"> – </w:t>
    </w:r>
    <w:r>
      <w:rPr>
        <w:rFonts w:ascii="Arial Narrow" w:hAnsi="Arial Narrow"/>
        <w:b/>
        <w:bCs/>
        <w:color w:val="5C2A08"/>
        <w:sz w:val="16"/>
        <w:szCs w:val="16"/>
      </w:rPr>
      <w:t>I COMPONENTA DE NIVEL STRATEGIC</w:t>
    </w:r>
  </w:p>
  <w:p w14:paraId="789BEE75" w14:textId="77777777" w:rsidR="00C36A80" w:rsidRPr="00C017DB" w:rsidRDefault="00C36A80" w:rsidP="00971732">
    <w:pPr>
      <w:pStyle w:val="Antet"/>
      <w:jc w:val="center"/>
      <w:rPr>
        <w:b/>
        <w:bCs/>
        <w:sz w:val="18"/>
        <w:szCs w:val="18"/>
      </w:rPr>
    </w:pPr>
    <w:r>
      <w:rPr>
        <w:rFonts w:ascii="Arial Narrow" w:hAnsi="Arial Narrow"/>
        <w:b/>
        <w:bCs/>
        <w:color w:val="5C2A08"/>
        <w:sz w:val="20"/>
        <w:szCs w:val="20"/>
      </w:rPr>
      <w:t xml:space="preserve">        </w:t>
    </w:r>
    <w:r>
      <w:rPr>
        <w:rFonts w:ascii="Arial Narrow" w:hAnsi="Arial Narrow"/>
        <w:b/>
        <w:bCs/>
        <w:color w:val="5C2A08"/>
        <w:sz w:val="20"/>
        <w:szCs w:val="20"/>
      </w:rPr>
      <w:tab/>
    </w:r>
    <w:r>
      <w:rPr>
        <w:rFonts w:ascii="Arial Narrow" w:hAnsi="Arial Narrow"/>
        <w:b/>
        <w:bCs/>
        <w:color w:val="5C2A08"/>
        <w:sz w:val="20"/>
        <w:szCs w:val="20"/>
      </w:rPr>
      <w:tab/>
    </w:r>
    <w:r w:rsidRPr="00FC5E9A">
      <w:rPr>
        <w:rFonts w:ascii="Arial Narrow" w:hAnsi="Arial Narrow"/>
        <w:b/>
        <w:bCs/>
        <w:noProof/>
        <w:color w:val="5C2A08"/>
        <w:sz w:val="20"/>
        <w:szCs w:val="20"/>
      </w:rPr>
      <mc:AlternateContent>
        <mc:Choice Requires="wps">
          <w:drawing>
            <wp:anchor distT="0" distB="0" distL="114300" distR="114300" simplePos="0" relativeHeight="251657216" behindDoc="0" locked="0" layoutInCell="1" allowOverlap="1" wp14:anchorId="0396F7B7" wp14:editId="51A9E7D8">
              <wp:simplePos x="0" y="0"/>
              <wp:positionH relativeFrom="rightMargin">
                <wp:posOffset>-5733415</wp:posOffset>
              </wp:positionH>
              <wp:positionV relativeFrom="bottomMargin">
                <wp:posOffset>-9210675</wp:posOffset>
              </wp:positionV>
              <wp:extent cx="565785" cy="191770"/>
              <wp:effectExtent l="0" t="0" r="0" b="0"/>
              <wp:wrapNone/>
              <wp:docPr id="97"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6379BB58" w14:textId="77777777" w:rsidR="00C36A80" w:rsidRPr="00504D4E" w:rsidRDefault="00C36A80" w:rsidP="00504D4E">
                          <w:pPr>
                            <w:pBdr>
                              <w:top w:val="single" w:sz="4" w:space="1" w:color="7F7F7F"/>
                            </w:pBdr>
                            <w:jc w:val="center"/>
                            <w:rPr>
                              <w:color w:val="C0504D"/>
                            </w:rPr>
                          </w:pPr>
                          <w:r w:rsidRPr="00504D4E">
                            <w:fldChar w:fldCharType="begin"/>
                          </w:r>
                          <w:r>
                            <w:instrText xml:space="preserve"> PAGE   \* MERGEFORMAT </w:instrText>
                          </w:r>
                          <w:r w:rsidRPr="00504D4E">
                            <w:fldChar w:fldCharType="separate"/>
                          </w:r>
                          <w:r w:rsidR="00846562" w:rsidRPr="00846562">
                            <w:rPr>
                              <w:noProof/>
                              <w:color w:val="C0504D"/>
                            </w:rPr>
                            <w:t>331</w:t>
                          </w:r>
                          <w:r w:rsidRPr="00504D4E">
                            <w:rPr>
                              <w:noProof/>
                              <w:color w:val="C0504D"/>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0396F7B7" id="Rectangle 97" o:spid="_x0000_s1094" style="position:absolute;left:0;text-align:left;margin-left:-451.45pt;margin-top:-725.25pt;width:44.55pt;height:15.1pt;rotation:180;flip:x;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" filled="f" fillcolor="#c0504d" stroked="f" strokecolor="#5c83b4" strokeweight="2.25pt">
              <v:textbox inset=",0,,0">
                <w:txbxContent>
                  <w:p w14:paraId="6379BB58" w14:textId="77777777" w:rsidR="00C36A80" w:rsidRPr="00504D4E" w:rsidRDefault="00C36A80" w:rsidP="00504D4E">
                    <w:pPr>
                      <w:pBdr>
                        <w:top w:val="single" w:sz="4" w:space="1" w:color="7F7F7F"/>
                      </w:pBdr>
                      <w:jc w:val="center"/>
                      <w:rPr>
                        <w:color w:val="C0504D"/>
                      </w:rPr>
                    </w:pPr>
                    <w:r w:rsidRPr="00504D4E">
                      <w:fldChar w:fldCharType="begin"/>
                    </w:r>
                    <w:r>
                      <w:instrText xml:space="preserve"> PAGE   \* MERGEFORMAT </w:instrText>
                    </w:r>
                    <w:r w:rsidRPr="00504D4E">
                      <w:fldChar w:fldCharType="separate"/>
                    </w:r>
                    <w:r w:rsidR="00846562" w:rsidRPr="00846562">
                      <w:rPr>
                        <w:noProof/>
                        <w:color w:val="C0504D"/>
                      </w:rPr>
                      <w:t>331</w:t>
                    </w:r>
                    <w:r w:rsidRPr="00504D4E">
                      <w:rPr>
                        <w:noProof/>
                        <w:color w:val="C0504D"/>
                      </w:rPr>
                      <w:fldChar w:fldCharType="end"/>
                    </w:r>
                  </w:p>
                </w:txbxContent>
              </v:textbox>
              <w10:wrap anchorx="margin" anchory="margin"/>
            </v:rect>
          </w:pict>
        </mc:Fallback>
      </mc:AlternateContent>
    </w:r>
    <w:r w:rsidRPr="00920C24">
      <w:rPr>
        <w:rFonts w:ascii="Arial Narrow" w:hAnsi="Arial Narrow"/>
        <w:b/>
        <w:bCs/>
        <w:noProof/>
        <w:color w:val="5C2A08"/>
        <w:sz w:val="20"/>
        <w:szCs w:val="20"/>
      </w:rPr>
      <mc:AlternateContent>
        <mc:Choice Requires="wps">
          <w:drawing>
            <wp:anchor distT="0" distB="0" distL="114300" distR="114300" simplePos="0" relativeHeight="251654144" behindDoc="0" locked="0" layoutInCell="1" allowOverlap="1" wp14:anchorId="7E30246E" wp14:editId="17F27D6F">
              <wp:simplePos x="0" y="0"/>
              <wp:positionH relativeFrom="margin">
                <wp:align>center</wp:align>
              </wp:positionH>
              <wp:positionV relativeFrom="paragraph">
                <wp:posOffset>32740</wp:posOffset>
              </wp:positionV>
              <wp:extent cx="6229350" cy="9525"/>
              <wp:effectExtent l="0" t="0" r="19050" b="28575"/>
              <wp:wrapNone/>
              <wp:docPr id="96" name="Straight Connector 96"/>
              <wp:cNvGraphicFramePr/>
              <a:graphic xmlns:a="http://schemas.openxmlformats.org/drawingml/2006/main">
                <a:graphicData uri="http://schemas.microsoft.com/office/word/2010/wordprocessingShape">
                  <wps:wsp>
                    <wps:cNvCnPr/>
                    <wps:spPr>
                      <a:xfrm flipV="1">
                        <a:off x="0" y="0"/>
                        <a:ext cx="6229350" cy="95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5222E" id="Straight Connector 96" o:spid="_x0000_s1026" style="position:absolute;flip:y;z-index:2516541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2.6pt" to="490.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" strokecolor="windowText" strokeweight="1.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1.25pt;height:11.25pt" o:bullet="t">
        <v:imagedata r:id="rId1" o:title="msoDFAB"/>
      </v:shape>
    </w:pict>
  </w:numPicBullet>
  <w:abstractNum w:abstractNumId="0" w15:restartNumberingAfterBreak="0">
    <w:nsid w:val="FFFFFF89"/>
    <w:multiLevelType w:val="singleLevel"/>
    <w:tmpl w:val="6F6C1F10"/>
    <w:lvl w:ilvl="0">
      <w:start w:val="1"/>
      <w:numFmt w:val="bullet"/>
      <w:pStyle w:val="Listcumarcatori"/>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name w:val="WW8Num5"/>
    <w:lvl w:ilvl="0">
      <w:start w:val="1"/>
      <w:numFmt w:val="upperRoman"/>
      <w:lvlText w:val="%1."/>
      <w:lvlJc w:val="left"/>
      <w:pPr>
        <w:tabs>
          <w:tab w:val="num" w:pos="720"/>
        </w:tabs>
        <w:ind w:left="0" w:firstLine="0"/>
      </w:pPr>
      <w:rPr>
        <w:rFonts w:ascii="Times New Roman" w:eastAsia="Times New Roman" w:hAnsi="Times New Roman" w:cs="Times New Roman"/>
        <w:b/>
        <w:bCs/>
        <w:kern w:val="1"/>
        <w:sz w:val="24"/>
        <w:szCs w:val="24"/>
        <w:lang w:val="ro-RO" w:eastAsia="zh-CN" w:bidi="ar-SA"/>
      </w:rPr>
    </w:lvl>
    <w:lvl w:ilvl="1">
      <w:start w:val="1"/>
      <w:numFmt w:val="lowerLetter"/>
      <w:lvlText w:val="%2."/>
      <w:lvlJc w:val="left"/>
      <w:pPr>
        <w:tabs>
          <w:tab w:val="num" w:pos="1440"/>
        </w:tabs>
        <w:ind w:left="1440" w:hanging="360"/>
      </w:pPr>
      <w:rPr>
        <w:rFonts w:ascii="Times New Roman" w:eastAsia="Times New Roman" w:hAnsi="Times New Roman" w:cs="Times New Roman"/>
        <w:b/>
        <w:bCs/>
        <w:kern w:val="1"/>
        <w:sz w:val="24"/>
        <w:szCs w:val="24"/>
        <w:lang w:val="ro-RO" w:eastAsia="zh-CN" w:bidi="ar-SA"/>
      </w:rPr>
    </w:lvl>
    <w:lvl w:ilvl="2">
      <w:start w:val="1"/>
      <w:numFmt w:val="lowerRoman"/>
      <w:lvlText w:val="%3."/>
      <w:lvlJc w:val="right"/>
      <w:pPr>
        <w:tabs>
          <w:tab w:val="num" w:pos="2160"/>
        </w:tabs>
        <w:ind w:left="2160" w:hanging="180"/>
      </w:pPr>
      <w:rPr>
        <w:rFonts w:ascii="Times New Roman" w:eastAsia="Times New Roman" w:hAnsi="Times New Roman" w:cs="Times New Roman"/>
        <w:b/>
        <w:bCs/>
        <w:kern w:val="1"/>
        <w:sz w:val="24"/>
        <w:szCs w:val="24"/>
        <w:lang w:val="ro-RO" w:eastAsia="zh-CN" w:bidi="ar-SA"/>
      </w:rPr>
    </w:lvl>
    <w:lvl w:ilvl="3">
      <w:start w:val="1"/>
      <w:numFmt w:val="decimal"/>
      <w:lvlText w:val="%4."/>
      <w:lvlJc w:val="left"/>
      <w:pPr>
        <w:tabs>
          <w:tab w:val="num" w:pos="2880"/>
        </w:tabs>
        <w:ind w:left="2880" w:hanging="360"/>
      </w:pPr>
      <w:rPr>
        <w:rFonts w:ascii="Times New Roman" w:eastAsia="Times New Roman" w:hAnsi="Times New Roman" w:cs="Times New Roman"/>
        <w:b/>
        <w:bCs/>
        <w:kern w:val="1"/>
        <w:sz w:val="24"/>
        <w:szCs w:val="24"/>
        <w:lang w:val="ro-RO" w:eastAsia="zh-CN" w:bidi="ar-SA"/>
      </w:rPr>
    </w:lvl>
    <w:lvl w:ilvl="4">
      <w:start w:val="1"/>
      <w:numFmt w:val="lowerLetter"/>
      <w:lvlText w:val="%5."/>
      <w:lvlJc w:val="left"/>
      <w:pPr>
        <w:tabs>
          <w:tab w:val="num" w:pos="3600"/>
        </w:tabs>
        <w:ind w:left="3600" w:hanging="360"/>
      </w:pPr>
      <w:rPr>
        <w:rFonts w:ascii="Times New Roman" w:eastAsia="Times New Roman" w:hAnsi="Times New Roman" w:cs="Times New Roman"/>
        <w:b/>
        <w:bCs/>
        <w:kern w:val="1"/>
        <w:sz w:val="24"/>
        <w:szCs w:val="24"/>
        <w:lang w:val="ro-RO" w:eastAsia="zh-CN" w:bidi="ar-SA"/>
      </w:rPr>
    </w:lvl>
    <w:lvl w:ilvl="5">
      <w:start w:val="1"/>
      <w:numFmt w:val="lowerRoman"/>
      <w:lvlText w:val="%6."/>
      <w:lvlJc w:val="right"/>
      <w:pPr>
        <w:tabs>
          <w:tab w:val="num" w:pos="4320"/>
        </w:tabs>
        <w:ind w:left="4320" w:hanging="180"/>
      </w:pPr>
      <w:rPr>
        <w:rFonts w:ascii="Times New Roman" w:eastAsia="Times New Roman" w:hAnsi="Times New Roman" w:cs="Times New Roman"/>
        <w:b/>
        <w:bCs/>
        <w:kern w:val="1"/>
        <w:sz w:val="24"/>
        <w:szCs w:val="24"/>
        <w:lang w:val="ro-RO" w:eastAsia="zh-CN" w:bidi="ar-SA"/>
      </w:rPr>
    </w:lvl>
    <w:lvl w:ilvl="6">
      <w:start w:val="1"/>
      <w:numFmt w:val="decimal"/>
      <w:lvlText w:val="%7."/>
      <w:lvlJc w:val="left"/>
      <w:pPr>
        <w:tabs>
          <w:tab w:val="num" w:pos="5040"/>
        </w:tabs>
        <w:ind w:left="5040" w:hanging="360"/>
      </w:pPr>
      <w:rPr>
        <w:rFonts w:ascii="Times New Roman" w:eastAsia="Times New Roman" w:hAnsi="Times New Roman" w:cs="Times New Roman"/>
        <w:b/>
        <w:bCs/>
        <w:kern w:val="1"/>
        <w:sz w:val="24"/>
        <w:szCs w:val="24"/>
        <w:lang w:val="ro-RO" w:eastAsia="zh-CN" w:bidi="ar-SA"/>
      </w:rPr>
    </w:lvl>
    <w:lvl w:ilvl="7">
      <w:start w:val="1"/>
      <w:numFmt w:val="lowerLetter"/>
      <w:lvlText w:val="%8."/>
      <w:lvlJc w:val="left"/>
      <w:pPr>
        <w:tabs>
          <w:tab w:val="num" w:pos="5760"/>
        </w:tabs>
        <w:ind w:left="5760" w:hanging="360"/>
      </w:pPr>
      <w:rPr>
        <w:rFonts w:ascii="Times New Roman" w:eastAsia="Times New Roman" w:hAnsi="Times New Roman" w:cs="Times New Roman"/>
        <w:b/>
        <w:bCs/>
        <w:kern w:val="1"/>
        <w:sz w:val="24"/>
        <w:szCs w:val="24"/>
        <w:lang w:val="ro-RO" w:eastAsia="zh-CN" w:bidi="ar-SA"/>
      </w:rPr>
    </w:lvl>
    <w:lvl w:ilvl="8">
      <w:start w:val="1"/>
      <w:numFmt w:val="lowerRoman"/>
      <w:lvlText w:val="%9."/>
      <w:lvlJc w:val="right"/>
      <w:pPr>
        <w:tabs>
          <w:tab w:val="num" w:pos="6480"/>
        </w:tabs>
        <w:ind w:left="6480" w:hanging="180"/>
      </w:pPr>
      <w:rPr>
        <w:rFonts w:ascii="Times New Roman" w:eastAsia="Times New Roman" w:hAnsi="Times New Roman" w:cs="Times New Roman"/>
        <w:b/>
        <w:bCs/>
        <w:kern w:val="1"/>
        <w:sz w:val="24"/>
        <w:szCs w:val="24"/>
        <w:lang w:val="ro-RO" w:eastAsia="zh-CN" w:bidi="ar-SA"/>
      </w:rPr>
    </w:lvl>
  </w:abstractNum>
  <w:abstractNum w:abstractNumId="2" w15:restartNumberingAfterBreak="0">
    <w:nsid w:val="00000003"/>
    <w:multiLevelType w:val="multilevel"/>
    <w:tmpl w:val="00000003"/>
    <w:name w:val="WW8Num6"/>
    <w:lvl w:ilvl="0">
      <w:start w:val="1"/>
      <w:numFmt w:val="bullet"/>
      <w:lvlText w:val="·"/>
      <w:lvlJc w:val="left"/>
      <w:pPr>
        <w:tabs>
          <w:tab w:val="num" w:pos="720"/>
        </w:tabs>
        <w:ind w:left="720" w:hanging="360"/>
      </w:pPr>
      <w:rPr>
        <w:rFonts w:ascii="Symbol" w:hAnsi="Symbol" w:cs="Symbol"/>
        <w:color w:val="000000"/>
        <w:kern w:val="1"/>
        <w:sz w:val="24"/>
        <w:szCs w:val="24"/>
        <w:lang w:val="ro-RO" w:eastAsia="zh-CN" w:bidi="ar-SA"/>
      </w:rPr>
    </w:lvl>
    <w:lvl w:ilvl="1">
      <w:start w:val="1"/>
      <w:numFmt w:val="bullet"/>
      <w:lvlText w:val="o"/>
      <w:lvlJc w:val="left"/>
      <w:pPr>
        <w:tabs>
          <w:tab w:val="num" w:pos="1440"/>
        </w:tabs>
        <w:ind w:left="1440" w:hanging="360"/>
      </w:pPr>
      <w:rPr>
        <w:rFonts w:ascii="Courier New" w:hAnsi="Courier New" w:cs="Courier New"/>
        <w:sz w:val="24"/>
        <w:szCs w:val="24"/>
      </w:rPr>
    </w:lvl>
    <w:lvl w:ilvl="2">
      <w:start w:val="1"/>
      <w:numFmt w:val="bullet"/>
      <w:lvlText w:val="§"/>
      <w:lvlJc w:val="left"/>
      <w:pPr>
        <w:tabs>
          <w:tab w:val="num" w:pos="2160"/>
        </w:tabs>
        <w:ind w:left="2160" w:hanging="360"/>
      </w:pPr>
      <w:rPr>
        <w:rFonts w:ascii="Wingdings" w:hAnsi="Wingdings" w:cs="Wingdings"/>
        <w:sz w:val="24"/>
        <w:szCs w:val="24"/>
      </w:rPr>
    </w:lvl>
    <w:lvl w:ilvl="3">
      <w:start w:val="1"/>
      <w:numFmt w:val="bullet"/>
      <w:lvlText w:val="·"/>
      <w:lvlJc w:val="left"/>
      <w:pPr>
        <w:tabs>
          <w:tab w:val="num" w:pos="2880"/>
        </w:tabs>
        <w:ind w:left="2880" w:hanging="360"/>
      </w:pPr>
      <w:rPr>
        <w:rFonts w:ascii="Symbol" w:hAnsi="Symbol" w:cs="Symbol"/>
        <w:sz w:val="24"/>
        <w:szCs w:val="24"/>
      </w:rPr>
    </w:lvl>
    <w:lvl w:ilvl="4">
      <w:start w:val="1"/>
      <w:numFmt w:val="bullet"/>
      <w:lvlText w:val="o"/>
      <w:lvlJc w:val="left"/>
      <w:pPr>
        <w:tabs>
          <w:tab w:val="num" w:pos="3600"/>
        </w:tabs>
        <w:ind w:left="3600" w:hanging="360"/>
      </w:pPr>
      <w:rPr>
        <w:rFonts w:ascii="Courier New" w:hAnsi="Courier New" w:cs="Courier New"/>
        <w:sz w:val="24"/>
        <w:szCs w:val="24"/>
      </w:rPr>
    </w:lvl>
    <w:lvl w:ilvl="5">
      <w:start w:val="1"/>
      <w:numFmt w:val="bullet"/>
      <w:lvlText w:val="§"/>
      <w:lvlJc w:val="left"/>
      <w:pPr>
        <w:tabs>
          <w:tab w:val="num" w:pos="4320"/>
        </w:tabs>
        <w:ind w:left="4320" w:hanging="360"/>
      </w:pPr>
      <w:rPr>
        <w:rFonts w:ascii="Wingdings" w:hAnsi="Wingdings" w:cs="Wingdings"/>
        <w:sz w:val="24"/>
        <w:szCs w:val="24"/>
      </w:rPr>
    </w:lvl>
    <w:lvl w:ilvl="6">
      <w:start w:val="1"/>
      <w:numFmt w:val="bullet"/>
      <w:lvlText w:val="·"/>
      <w:lvlJc w:val="left"/>
      <w:pPr>
        <w:tabs>
          <w:tab w:val="num" w:pos="5040"/>
        </w:tabs>
        <w:ind w:left="5040" w:hanging="360"/>
      </w:pPr>
      <w:rPr>
        <w:rFonts w:ascii="Symbol" w:hAnsi="Symbol" w:cs="Symbol"/>
        <w:sz w:val="24"/>
        <w:szCs w:val="24"/>
      </w:rPr>
    </w:lvl>
    <w:lvl w:ilvl="7">
      <w:start w:val="1"/>
      <w:numFmt w:val="bullet"/>
      <w:lvlText w:val="o"/>
      <w:lvlJc w:val="left"/>
      <w:pPr>
        <w:tabs>
          <w:tab w:val="num" w:pos="5760"/>
        </w:tabs>
        <w:ind w:left="5760" w:hanging="360"/>
      </w:pPr>
      <w:rPr>
        <w:rFonts w:ascii="Courier New" w:hAnsi="Courier New" w:cs="Courier New"/>
        <w:sz w:val="24"/>
        <w:szCs w:val="24"/>
      </w:rPr>
    </w:lvl>
    <w:lvl w:ilvl="8">
      <w:start w:val="1"/>
      <w:numFmt w:val="bullet"/>
      <w:lvlText w:val="§"/>
      <w:lvlJc w:val="left"/>
      <w:pPr>
        <w:tabs>
          <w:tab w:val="num" w:pos="6480"/>
        </w:tabs>
        <w:ind w:left="6480" w:hanging="360"/>
      </w:pPr>
      <w:rPr>
        <w:rFonts w:ascii="Wingdings" w:hAnsi="Wingdings" w:cs="Wingdings"/>
        <w:sz w:val="24"/>
        <w:szCs w:val="24"/>
      </w:rPr>
    </w:lvl>
  </w:abstractNum>
  <w:abstractNum w:abstractNumId="3" w15:restartNumberingAfterBreak="0">
    <w:nsid w:val="00000004"/>
    <w:multiLevelType w:val="singleLevel"/>
    <w:tmpl w:val="00000004"/>
    <w:name w:val="WW8Num12"/>
    <w:lvl w:ilvl="0">
      <w:start w:val="1"/>
      <w:numFmt w:val="bullet"/>
      <w:lvlText w:val=""/>
      <w:lvlJc w:val="left"/>
      <w:pPr>
        <w:tabs>
          <w:tab w:val="num" w:pos="0"/>
        </w:tabs>
        <w:ind w:left="720" w:hanging="360"/>
      </w:pPr>
      <w:rPr>
        <w:rFonts w:ascii="Symbol" w:hAnsi="Symbol" w:cs="Symbol" w:hint="default"/>
        <w:sz w:val="24"/>
      </w:rPr>
    </w:lvl>
  </w:abstractNum>
  <w:abstractNum w:abstractNumId="4" w15:restartNumberingAfterBreak="0">
    <w:nsid w:val="00000005"/>
    <w:multiLevelType w:val="singleLevel"/>
    <w:tmpl w:val="00000005"/>
    <w:name w:val="WW8Num13"/>
    <w:lvl w:ilvl="0">
      <w:start w:val="1"/>
      <w:numFmt w:val="bullet"/>
      <w:lvlText w:val=""/>
      <w:lvlJc w:val="left"/>
      <w:pPr>
        <w:tabs>
          <w:tab w:val="num" w:pos="0"/>
        </w:tabs>
        <w:ind w:left="720" w:hanging="360"/>
      </w:pPr>
      <w:rPr>
        <w:rFonts w:ascii="Symbol" w:hAnsi="Symbol" w:cs="Symbol" w:hint="default"/>
        <w:sz w:val="24"/>
        <w:lang w:val="ro-RO"/>
      </w:rPr>
    </w:lvl>
  </w:abstractNum>
  <w:abstractNum w:abstractNumId="5" w15:restartNumberingAfterBreak="0">
    <w:nsid w:val="00000006"/>
    <w:multiLevelType w:val="singleLevel"/>
    <w:tmpl w:val="00000006"/>
    <w:name w:val="WW8Num18"/>
    <w:lvl w:ilvl="0">
      <w:start w:val="1"/>
      <w:numFmt w:val="bullet"/>
      <w:lvlText w:val=""/>
      <w:lvlJc w:val="left"/>
      <w:pPr>
        <w:tabs>
          <w:tab w:val="num" w:pos="0"/>
        </w:tabs>
        <w:ind w:left="720" w:hanging="360"/>
      </w:pPr>
      <w:rPr>
        <w:rFonts w:ascii="Symbol" w:hAnsi="Symbol" w:cs="Symbol" w:hint="default"/>
        <w:sz w:val="24"/>
      </w:rPr>
    </w:lvl>
  </w:abstractNum>
  <w:abstractNum w:abstractNumId="6" w15:restartNumberingAfterBreak="0">
    <w:nsid w:val="00000007"/>
    <w:multiLevelType w:val="singleLevel"/>
    <w:tmpl w:val="00000007"/>
    <w:name w:val="WW8Num19"/>
    <w:lvl w:ilvl="0">
      <w:start w:val="1"/>
      <w:numFmt w:val="bullet"/>
      <w:lvlText w:val=""/>
      <w:lvlJc w:val="left"/>
      <w:pPr>
        <w:tabs>
          <w:tab w:val="num" w:pos="0"/>
        </w:tabs>
        <w:ind w:left="720" w:hanging="360"/>
      </w:pPr>
      <w:rPr>
        <w:rFonts w:ascii="Symbol" w:hAnsi="Symbol" w:cs="Symbol" w:hint="default"/>
        <w:sz w:val="24"/>
      </w:rPr>
    </w:lvl>
  </w:abstractNum>
  <w:abstractNum w:abstractNumId="7" w15:restartNumberingAfterBreak="0">
    <w:nsid w:val="00000008"/>
    <w:multiLevelType w:val="singleLevel"/>
    <w:tmpl w:val="00000008"/>
    <w:name w:val="WW8Num20"/>
    <w:lvl w:ilvl="0">
      <w:start w:val="1"/>
      <w:numFmt w:val="bullet"/>
      <w:lvlText w:val=""/>
      <w:lvlJc w:val="left"/>
      <w:pPr>
        <w:tabs>
          <w:tab w:val="num" w:pos="0"/>
        </w:tabs>
        <w:ind w:left="720" w:hanging="360"/>
      </w:pPr>
      <w:rPr>
        <w:rFonts w:ascii="Symbol" w:hAnsi="Symbol" w:cs="Symbol" w:hint="default"/>
      </w:rPr>
    </w:lvl>
  </w:abstractNum>
  <w:abstractNum w:abstractNumId="8" w15:restartNumberingAfterBreak="0">
    <w:nsid w:val="00000009"/>
    <w:multiLevelType w:val="singleLevel"/>
    <w:tmpl w:val="00000009"/>
    <w:name w:val="WW8Num23"/>
    <w:lvl w:ilvl="0">
      <w:start w:val="1"/>
      <w:numFmt w:val="bullet"/>
      <w:lvlText w:val=""/>
      <w:lvlJc w:val="left"/>
      <w:pPr>
        <w:tabs>
          <w:tab w:val="num" w:pos="0"/>
        </w:tabs>
        <w:ind w:left="720" w:hanging="360"/>
      </w:pPr>
      <w:rPr>
        <w:rFonts w:ascii="Symbol" w:hAnsi="Symbol" w:cs="Symbol" w:hint="default"/>
      </w:rPr>
    </w:lvl>
  </w:abstractNum>
  <w:abstractNum w:abstractNumId="9" w15:restartNumberingAfterBreak="0">
    <w:nsid w:val="0000000A"/>
    <w:multiLevelType w:val="singleLevel"/>
    <w:tmpl w:val="0000000A"/>
    <w:name w:val="WW8Num27"/>
    <w:lvl w:ilvl="0">
      <w:start w:val="1"/>
      <w:numFmt w:val="bullet"/>
      <w:lvlText w:val=""/>
      <w:lvlJc w:val="left"/>
      <w:pPr>
        <w:tabs>
          <w:tab w:val="num" w:pos="0"/>
        </w:tabs>
        <w:ind w:left="780" w:hanging="360"/>
      </w:pPr>
      <w:rPr>
        <w:rFonts w:ascii="Symbol" w:hAnsi="Symbol" w:cs="Symbol" w:hint="default"/>
        <w:sz w:val="24"/>
      </w:rPr>
    </w:lvl>
  </w:abstractNum>
  <w:abstractNum w:abstractNumId="10" w15:restartNumberingAfterBreak="0">
    <w:nsid w:val="0000000B"/>
    <w:multiLevelType w:val="singleLevel"/>
    <w:tmpl w:val="0000000B"/>
    <w:name w:val="WW8Num28"/>
    <w:lvl w:ilvl="0">
      <w:start w:val="1"/>
      <w:numFmt w:val="bullet"/>
      <w:lvlText w:val=""/>
      <w:lvlJc w:val="left"/>
      <w:pPr>
        <w:tabs>
          <w:tab w:val="num" w:pos="0"/>
        </w:tabs>
        <w:ind w:left="720" w:hanging="360"/>
      </w:pPr>
      <w:rPr>
        <w:rFonts w:ascii="Symbol" w:hAnsi="Symbol" w:cs="Symbol" w:hint="default"/>
        <w:sz w:val="24"/>
      </w:rPr>
    </w:lvl>
  </w:abstractNum>
  <w:abstractNum w:abstractNumId="11" w15:restartNumberingAfterBreak="0">
    <w:nsid w:val="0000000C"/>
    <w:multiLevelType w:val="singleLevel"/>
    <w:tmpl w:val="0000000C"/>
    <w:name w:val="WW8Num30"/>
    <w:lvl w:ilvl="0">
      <w:start w:val="1"/>
      <w:numFmt w:val="bullet"/>
      <w:lvlText w:val=""/>
      <w:lvlJc w:val="left"/>
      <w:pPr>
        <w:tabs>
          <w:tab w:val="num" w:pos="567"/>
        </w:tabs>
        <w:ind w:left="720" w:hanging="360"/>
      </w:pPr>
      <w:rPr>
        <w:rFonts w:ascii="Symbol" w:hAnsi="Symbol" w:cs="Symbol" w:hint="default"/>
        <w:sz w:val="24"/>
        <w:lang w:val="ro-RO"/>
      </w:rPr>
    </w:lvl>
  </w:abstractNum>
  <w:abstractNum w:abstractNumId="12" w15:restartNumberingAfterBreak="0">
    <w:nsid w:val="0000000D"/>
    <w:multiLevelType w:val="singleLevel"/>
    <w:tmpl w:val="0000000D"/>
    <w:name w:val="WW8Num33"/>
    <w:lvl w:ilvl="0">
      <w:start w:val="1"/>
      <w:numFmt w:val="bullet"/>
      <w:lvlText w:val=""/>
      <w:lvlJc w:val="left"/>
      <w:pPr>
        <w:tabs>
          <w:tab w:val="num" w:pos="0"/>
        </w:tabs>
        <w:ind w:left="720" w:hanging="360"/>
      </w:pPr>
      <w:rPr>
        <w:rFonts w:ascii="Symbol" w:hAnsi="Symbol" w:cs="Symbol" w:hint="default"/>
        <w:sz w:val="24"/>
      </w:rPr>
    </w:lvl>
  </w:abstractNum>
  <w:abstractNum w:abstractNumId="13" w15:restartNumberingAfterBreak="0">
    <w:nsid w:val="00000015"/>
    <w:multiLevelType w:val="singleLevel"/>
    <w:tmpl w:val="00000015"/>
    <w:name w:val="WW8Num21"/>
    <w:lvl w:ilvl="0">
      <w:start w:val="1"/>
      <w:numFmt w:val="bullet"/>
      <w:lvlText w:val=""/>
      <w:lvlJc w:val="left"/>
      <w:pPr>
        <w:tabs>
          <w:tab w:val="num" w:pos="0"/>
        </w:tabs>
        <w:ind w:left="720" w:hanging="360"/>
      </w:pPr>
      <w:rPr>
        <w:rFonts w:ascii="Symbol" w:hAnsi="Symbol" w:cs="Symbol"/>
        <w:kern w:val="1"/>
        <w:sz w:val="24"/>
        <w:szCs w:val="24"/>
        <w:lang w:val="ro-RO"/>
      </w:rPr>
    </w:lvl>
  </w:abstractNum>
  <w:abstractNum w:abstractNumId="14" w15:restartNumberingAfterBreak="0">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color w:val="000000"/>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5" w15:restartNumberingAfterBreak="0">
    <w:nsid w:val="0000002B"/>
    <w:multiLevelType w:val="multilevel"/>
    <w:tmpl w:val="0000002B"/>
    <w:name w:val="WW8Num43"/>
    <w:lvl w:ilvl="0">
      <w:start w:val="1"/>
      <w:numFmt w:val="bullet"/>
      <w:lvlText w:val=""/>
      <w:lvlJc w:val="left"/>
      <w:pPr>
        <w:tabs>
          <w:tab w:val="num" w:pos="720"/>
        </w:tabs>
        <w:ind w:left="720" w:hanging="360"/>
      </w:pPr>
      <w:rPr>
        <w:rFonts w:ascii="Wingdings" w:hAnsi="Wingdings" w:cs="OpenSymbol"/>
        <w:color w:val="000000"/>
        <w:sz w:val="28"/>
        <w:szCs w:val="28"/>
        <w:shd w:val="clear" w:color="auto" w:fill="auto"/>
      </w:rPr>
    </w:lvl>
    <w:lvl w:ilvl="1">
      <w:start w:val="1"/>
      <w:numFmt w:val="bullet"/>
      <w:lvlText w:val=""/>
      <w:lvlJc w:val="left"/>
      <w:pPr>
        <w:tabs>
          <w:tab w:val="num" w:pos="1080"/>
        </w:tabs>
        <w:ind w:left="1080" w:hanging="360"/>
      </w:pPr>
      <w:rPr>
        <w:rFonts w:ascii="Wingdings" w:hAnsi="Wingdings" w:cs="OpenSymbol"/>
        <w:color w:val="000000"/>
        <w:sz w:val="28"/>
        <w:szCs w:val="28"/>
        <w:shd w:val="clear" w:color="auto" w:fill="auto"/>
      </w:rPr>
    </w:lvl>
    <w:lvl w:ilvl="2">
      <w:start w:val="1"/>
      <w:numFmt w:val="bullet"/>
      <w:lvlText w:val=""/>
      <w:lvlJc w:val="left"/>
      <w:pPr>
        <w:tabs>
          <w:tab w:val="num" w:pos="1440"/>
        </w:tabs>
        <w:ind w:left="1440" w:hanging="360"/>
      </w:pPr>
      <w:rPr>
        <w:rFonts w:ascii="Wingdings" w:hAnsi="Wingdings" w:cs="OpenSymbol"/>
        <w:color w:val="000000"/>
        <w:sz w:val="28"/>
        <w:szCs w:val="28"/>
        <w:shd w:val="clear" w:color="auto" w:fill="auto"/>
      </w:rPr>
    </w:lvl>
    <w:lvl w:ilvl="3">
      <w:start w:val="1"/>
      <w:numFmt w:val="bullet"/>
      <w:lvlText w:val=""/>
      <w:lvlJc w:val="left"/>
      <w:pPr>
        <w:tabs>
          <w:tab w:val="num" w:pos="1800"/>
        </w:tabs>
        <w:ind w:left="1800" w:hanging="360"/>
      </w:pPr>
      <w:rPr>
        <w:rFonts w:ascii="Wingdings" w:hAnsi="Wingdings" w:cs="OpenSymbol"/>
        <w:color w:val="000000"/>
        <w:sz w:val="28"/>
        <w:szCs w:val="28"/>
        <w:shd w:val="clear" w:color="auto" w:fill="auto"/>
      </w:rPr>
    </w:lvl>
    <w:lvl w:ilvl="4">
      <w:start w:val="1"/>
      <w:numFmt w:val="bullet"/>
      <w:lvlText w:val=""/>
      <w:lvlJc w:val="left"/>
      <w:pPr>
        <w:tabs>
          <w:tab w:val="num" w:pos="2160"/>
        </w:tabs>
        <w:ind w:left="2160" w:hanging="360"/>
      </w:pPr>
      <w:rPr>
        <w:rFonts w:ascii="Wingdings" w:hAnsi="Wingdings" w:cs="OpenSymbol"/>
        <w:color w:val="000000"/>
        <w:sz w:val="28"/>
        <w:szCs w:val="28"/>
        <w:shd w:val="clear" w:color="auto" w:fill="auto"/>
      </w:rPr>
    </w:lvl>
    <w:lvl w:ilvl="5">
      <w:start w:val="1"/>
      <w:numFmt w:val="bullet"/>
      <w:lvlText w:val=""/>
      <w:lvlJc w:val="left"/>
      <w:pPr>
        <w:tabs>
          <w:tab w:val="num" w:pos="2520"/>
        </w:tabs>
        <w:ind w:left="2520" w:hanging="360"/>
      </w:pPr>
      <w:rPr>
        <w:rFonts w:ascii="Wingdings" w:hAnsi="Wingdings" w:cs="OpenSymbol"/>
        <w:color w:val="000000"/>
        <w:sz w:val="28"/>
        <w:szCs w:val="28"/>
        <w:shd w:val="clear" w:color="auto" w:fill="auto"/>
      </w:rPr>
    </w:lvl>
    <w:lvl w:ilvl="6">
      <w:start w:val="1"/>
      <w:numFmt w:val="bullet"/>
      <w:lvlText w:val=""/>
      <w:lvlJc w:val="left"/>
      <w:pPr>
        <w:tabs>
          <w:tab w:val="num" w:pos="2880"/>
        </w:tabs>
        <w:ind w:left="2880" w:hanging="360"/>
      </w:pPr>
      <w:rPr>
        <w:rFonts w:ascii="Wingdings" w:hAnsi="Wingdings" w:cs="OpenSymbol"/>
        <w:color w:val="000000"/>
        <w:sz w:val="28"/>
        <w:szCs w:val="28"/>
        <w:shd w:val="clear" w:color="auto" w:fill="auto"/>
      </w:rPr>
    </w:lvl>
    <w:lvl w:ilvl="7">
      <w:start w:val="1"/>
      <w:numFmt w:val="bullet"/>
      <w:lvlText w:val=""/>
      <w:lvlJc w:val="left"/>
      <w:pPr>
        <w:tabs>
          <w:tab w:val="num" w:pos="3240"/>
        </w:tabs>
        <w:ind w:left="3240" w:hanging="360"/>
      </w:pPr>
      <w:rPr>
        <w:rFonts w:ascii="Wingdings" w:hAnsi="Wingdings" w:cs="OpenSymbol"/>
        <w:color w:val="000000"/>
        <w:sz w:val="28"/>
        <w:szCs w:val="28"/>
        <w:shd w:val="clear" w:color="auto" w:fill="auto"/>
      </w:rPr>
    </w:lvl>
    <w:lvl w:ilvl="8">
      <w:start w:val="1"/>
      <w:numFmt w:val="bullet"/>
      <w:lvlText w:val=""/>
      <w:lvlJc w:val="left"/>
      <w:pPr>
        <w:tabs>
          <w:tab w:val="num" w:pos="3600"/>
        </w:tabs>
        <w:ind w:left="3600" w:hanging="360"/>
      </w:pPr>
      <w:rPr>
        <w:rFonts w:ascii="Wingdings" w:hAnsi="Wingdings" w:cs="OpenSymbol"/>
        <w:color w:val="000000"/>
        <w:sz w:val="28"/>
        <w:szCs w:val="28"/>
        <w:shd w:val="clear" w:color="auto" w:fill="auto"/>
      </w:rPr>
    </w:lvl>
  </w:abstractNum>
  <w:abstractNum w:abstractNumId="16" w15:restartNumberingAfterBreak="0">
    <w:nsid w:val="0000002C"/>
    <w:multiLevelType w:val="multilevel"/>
    <w:tmpl w:val="0000002C"/>
    <w:name w:val="WW8Num44"/>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17" w15:restartNumberingAfterBreak="0">
    <w:nsid w:val="0000002D"/>
    <w:multiLevelType w:val="multilevel"/>
    <w:tmpl w:val="0000002D"/>
    <w:name w:val="WW8Num45"/>
    <w:lvl w:ilvl="0">
      <w:start w:val="1"/>
      <w:numFmt w:val="bullet"/>
      <w:lvlText w:val=""/>
      <w:lvlJc w:val="left"/>
      <w:pPr>
        <w:tabs>
          <w:tab w:val="num" w:pos="720"/>
        </w:tabs>
        <w:ind w:left="720" w:hanging="360"/>
      </w:pPr>
      <w:rPr>
        <w:rFonts w:ascii="Wingdings" w:hAnsi="Wingdings" w:cs="OpenSymbol"/>
        <w:color w:val="000000"/>
        <w:sz w:val="28"/>
        <w:szCs w:val="28"/>
      </w:rPr>
    </w:lvl>
    <w:lvl w:ilvl="1">
      <w:start w:val="1"/>
      <w:numFmt w:val="bullet"/>
      <w:lvlText w:val=""/>
      <w:lvlJc w:val="left"/>
      <w:pPr>
        <w:tabs>
          <w:tab w:val="num" w:pos="1080"/>
        </w:tabs>
        <w:ind w:left="1080" w:hanging="360"/>
      </w:pPr>
      <w:rPr>
        <w:rFonts w:ascii="Wingdings" w:hAnsi="Wingdings" w:cs="OpenSymbol"/>
        <w:color w:val="000000"/>
        <w:sz w:val="28"/>
        <w:szCs w:val="28"/>
      </w:rPr>
    </w:lvl>
    <w:lvl w:ilvl="2">
      <w:start w:val="1"/>
      <w:numFmt w:val="bullet"/>
      <w:lvlText w:val=""/>
      <w:lvlJc w:val="left"/>
      <w:pPr>
        <w:tabs>
          <w:tab w:val="num" w:pos="1440"/>
        </w:tabs>
        <w:ind w:left="1440" w:hanging="360"/>
      </w:pPr>
      <w:rPr>
        <w:rFonts w:ascii="Wingdings" w:hAnsi="Wingdings" w:cs="OpenSymbol"/>
        <w:color w:val="000000"/>
        <w:sz w:val="28"/>
        <w:szCs w:val="28"/>
      </w:rPr>
    </w:lvl>
    <w:lvl w:ilvl="3">
      <w:start w:val="1"/>
      <w:numFmt w:val="bullet"/>
      <w:lvlText w:val=""/>
      <w:lvlJc w:val="left"/>
      <w:pPr>
        <w:tabs>
          <w:tab w:val="num" w:pos="1800"/>
        </w:tabs>
        <w:ind w:left="1800" w:hanging="360"/>
      </w:pPr>
      <w:rPr>
        <w:rFonts w:ascii="Wingdings" w:hAnsi="Wingdings" w:cs="OpenSymbol"/>
        <w:color w:val="000000"/>
        <w:sz w:val="28"/>
        <w:szCs w:val="28"/>
      </w:rPr>
    </w:lvl>
    <w:lvl w:ilvl="4">
      <w:start w:val="1"/>
      <w:numFmt w:val="bullet"/>
      <w:lvlText w:val=""/>
      <w:lvlJc w:val="left"/>
      <w:pPr>
        <w:tabs>
          <w:tab w:val="num" w:pos="2160"/>
        </w:tabs>
        <w:ind w:left="2160" w:hanging="360"/>
      </w:pPr>
      <w:rPr>
        <w:rFonts w:ascii="Wingdings" w:hAnsi="Wingdings" w:cs="OpenSymbol"/>
        <w:color w:val="000000"/>
        <w:sz w:val="28"/>
        <w:szCs w:val="28"/>
      </w:rPr>
    </w:lvl>
    <w:lvl w:ilvl="5">
      <w:start w:val="1"/>
      <w:numFmt w:val="bullet"/>
      <w:lvlText w:val=""/>
      <w:lvlJc w:val="left"/>
      <w:pPr>
        <w:tabs>
          <w:tab w:val="num" w:pos="2520"/>
        </w:tabs>
        <w:ind w:left="2520" w:hanging="360"/>
      </w:pPr>
      <w:rPr>
        <w:rFonts w:ascii="Wingdings" w:hAnsi="Wingdings" w:cs="OpenSymbol"/>
        <w:color w:val="000000"/>
        <w:sz w:val="28"/>
        <w:szCs w:val="28"/>
      </w:rPr>
    </w:lvl>
    <w:lvl w:ilvl="6">
      <w:start w:val="1"/>
      <w:numFmt w:val="bullet"/>
      <w:lvlText w:val=""/>
      <w:lvlJc w:val="left"/>
      <w:pPr>
        <w:tabs>
          <w:tab w:val="num" w:pos="2880"/>
        </w:tabs>
        <w:ind w:left="2880" w:hanging="360"/>
      </w:pPr>
      <w:rPr>
        <w:rFonts w:ascii="Wingdings" w:hAnsi="Wingdings" w:cs="OpenSymbol"/>
        <w:color w:val="000000"/>
        <w:sz w:val="28"/>
        <w:szCs w:val="28"/>
      </w:rPr>
    </w:lvl>
    <w:lvl w:ilvl="7">
      <w:start w:val="1"/>
      <w:numFmt w:val="bullet"/>
      <w:lvlText w:val=""/>
      <w:lvlJc w:val="left"/>
      <w:pPr>
        <w:tabs>
          <w:tab w:val="num" w:pos="3240"/>
        </w:tabs>
        <w:ind w:left="3240" w:hanging="360"/>
      </w:pPr>
      <w:rPr>
        <w:rFonts w:ascii="Wingdings" w:hAnsi="Wingdings" w:cs="OpenSymbol"/>
        <w:color w:val="000000"/>
        <w:sz w:val="28"/>
        <w:szCs w:val="28"/>
      </w:rPr>
    </w:lvl>
    <w:lvl w:ilvl="8">
      <w:start w:val="1"/>
      <w:numFmt w:val="bullet"/>
      <w:lvlText w:val=""/>
      <w:lvlJc w:val="left"/>
      <w:pPr>
        <w:tabs>
          <w:tab w:val="num" w:pos="3600"/>
        </w:tabs>
        <w:ind w:left="3600" w:hanging="360"/>
      </w:pPr>
      <w:rPr>
        <w:rFonts w:ascii="Wingdings" w:hAnsi="Wingdings" w:cs="OpenSymbol"/>
        <w:color w:val="000000"/>
        <w:sz w:val="28"/>
        <w:szCs w:val="28"/>
      </w:rPr>
    </w:lvl>
  </w:abstractNum>
  <w:abstractNum w:abstractNumId="18" w15:restartNumberingAfterBreak="0">
    <w:nsid w:val="0000002E"/>
    <w:multiLevelType w:val="singleLevel"/>
    <w:tmpl w:val="0000002E"/>
    <w:name w:val="WW8Num46"/>
    <w:lvl w:ilvl="0">
      <w:start w:val="1"/>
      <w:numFmt w:val="bullet"/>
      <w:lvlText w:val=""/>
      <w:lvlJc w:val="left"/>
      <w:pPr>
        <w:tabs>
          <w:tab w:val="num" w:pos="0"/>
        </w:tabs>
        <w:ind w:left="720" w:hanging="360"/>
      </w:pPr>
      <w:rPr>
        <w:rFonts w:ascii="Symbol" w:hAnsi="Symbol" w:cs="Symbol"/>
        <w:sz w:val="28"/>
        <w:szCs w:val="28"/>
      </w:rPr>
    </w:lvl>
  </w:abstractNum>
  <w:abstractNum w:abstractNumId="19" w15:restartNumberingAfterBreak="0">
    <w:nsid w:val="0000002F"/>
    <w:multiLevelType w:val="singleLevel"/>
    <w:tmpl w:val="0000002F"/>
    <w:name w:val="WW8Num47"/>
    <w:lvl w:ilvl="0">
      <w:start w:val="1"/>
      <w:numFmt w:val="bullet"/>
      <w:lvlText w:val=""/>
      <w:lvlJc w:val="left"/>
      <w:pPr>
        <w:tabs>
          <w:tab w:val="num" w:pos="0"/>
        </w:tabs>
        <w:ind w:left="1980" w:hanging="360"/>
      </w:pPr>
      <w:rPr>
        <w:rFonts w:ascii="Wingdings" w:hAnsi="Wingdings" w:cs="Symbol"/>
        <w:color w:val="000000"/>
      </w:rPr>
    </w:lvl>
  </w:abstractNum>
  <w:abstractNum w:abstractNumId="20" w15:restartNumberingAfterBreak="0">
    <w:nsid w:val="00000030"/>
    <w:multiLevelType w:val="singleLevel"/>
    <w:tmpl w:val="00000030"/>
    <w:name w:val="WW8Num48"/>
    <w:lvl w:ilvl="0">
      <w:start w:val="1"/>
      <w:numFmt w:val="bullet"/>
      <w:lvlText w:val=""/>
      <w:lvlJc w:val="left"/>
      <w:pPr>
        <w:tabs>
          <w:tab w:val="num" w:pos="0"/>
        </w:tabs>
        <w:ind w:left="1440" w:hanging="360"/>
      </w:pPr>
      <w:rPr>
        <w:rFonts w:ascii="Wingdings" w:hAnsi="Wingdings" w:cs="Symbol"/>
        <w:color w:val="000000"/>
      </w:rPr>
    </w:lvl>
  </w:abstractNum>
  <w:abstractNum w:abstractNumId="21" w15:restartNumberingAfterBreak="0">
    <w:nsid w:val="00000031"/>
    <w:multiLevelType w:val="singleLevel"/>
    <w:tmpl w:val="00000031"/>
    <w:name w:val="WW8Num49"/>
    <w:lvl w:ilvl="0">
      <w:start w:val="1"/>
      <w:numFmt w:val="bullet"/>
      <w:lvlText w:val=""/>
      <w:lvlJc w:val="left"/>
      <w:pPr>
        <w:tabs>
          <w:tab w:val="num" w:pos="0"/>
        </w:tabs>
        <w:ind w:left="720" w:hanging="360"/>
      </w:pPr>
      <w:rPr>
        <w:rFonts w:ascii="Symbol" w:hAnsi="Symbol" w:cs="Symbol"/>
        <w:sz w:val="28"/>
        <w:szCs w:val="28"/>
      </w:rPr>
    </w:lvl>
  </w:abstractNum>
  <w:abstractNum w:abstractNumId="22" w15:restartNumberingAfterBreak="0">
    <w:nsid w:val="00000032"/>
    <w:multiLevelType w:val="singleLevel"/>
    <w:tmpl w:val="00000032"/>
    <w:name w:val="WW8Num50"/>
    <w:lvl w:ilvl="0">
      <w:start w:val="1"/>
      <w:numFmt w:val="bullet"/>
      <w:lvlText w:val=""/>
      <w:lvlJc w:val="left"/>
      <w:pPr>
        <w:tabs>
          <w:tab w:val="num" w:pos="0"/>
        </w:tabs>
        <w:ind w:left="1980" w:hanging="360"/>
      </w:pPr>
      <w:rPr>
        <w:rFonts w:ascii="Wingdings" w:hAnsi="Wingdings" w:cs="Symbol"/>
        <w:color w:val="000000"/>
      </w:rPr>
    </w:lvl>
  </w:abstractNum>
  <w:abstractNum w:abstractNumId="23" w15:restartNumberingAfterBreak="0">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color w:val="000000"/>
        <w:sz w:val="28"/>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sz w:val="28"/>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sz w:val="28"/>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15:restartNumberingAfterBreak="0">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color w:val="000000"/>
        <w:sz w:val="28"/>
        <w:szCs w:val="28"/>
        <w:lang w:eastAsia="ro-RO"/>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sz w:val="28"/>
        <w:szCs w:val="28"/>
        <w:lang w:eastAsia="ro-RO"/>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sz w:val="28"/>
        <w:szCs w:val="28"/>
        <w:lang w:eastAsia="ro-RO"/>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15:restartNumberingAfterBreak="0">
    <w:nsid w:val="00000037"/>
    <w:multiLevelType w:val="multilevel"/>
    <w:tmpl w:val="00000037"/>
    <w:name w:val="WW8Num55"/>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26" w15:restartNumberingAfterBreak="0">
    <w:nsid w:val="00000038"/>
    <w:multiLevelType w:val="multilevel"/>
    <w:tmpl w:val="00000038"/>
    <w:name w:val="WW8Num5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7" w15:restartNumberingAfterBreak="0">
    <w:nsid w:val="00000039"/>
    <w:multiLevelType w:val="multilevel"/>
    <w:tmpl w:val="00000039"/>
    <w:name w:val="WW8Num5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28" w15:restartNumberingAfterBreak="0">
    <w:nsid w:val="0000003A"/>
    <w:multiLevelType w:val="multilevel"/>
    <w:tmpl w:val="0000003A"/>
    <w:name w:val="WW8Num58"/>
    <w:lvl w:ilvl="0">
      <w:start w:val="1"/>
      <w:numFmt w:val="bullet"/>
      <w:lvlText w:val=""/>
      <w:lvlJc w:val="left"/>
      <w:pPr>
        <w:tabs>
          <w:tab w:val="num" w:pos="720"/>
        </w:tabs>
        <w:ind w:left="720" w:hanging="360"/>
      </w:pPr>
      <w:rPr>
        <w:rFonts w:ascii="Symbol" w:hAnsi="Symbol" w:cs="OpenSymbol"/>
        <w:color w:val="000000"/>
        <w:sz w:val="24"/>
        <w:szCs w:val="24"/>
      </w:rPr>
    </w:lvl>
    <w:lvl w:ilvl="1">
      <w:start w:val="1"/>
      <w:numFmt w:val="bullet"/>
      <w:lvlText w:val=""/>
      <w:lvlJc w:val="left"/>
      <w:pPr>
        <w:tabs>
          <w:tab w:val="num" w:pos="1080"/>
        </w:tabs>
        <w:ind w:left="1080" w:hanging="360"/>
      </w:pPr>
      <w:rPr>
        <w:rFonts w:ascii="Symbol" w:hAnsi="Symbol" w:cs="OpenSymbol"/>
        <w:color w:val="000000"/>
        <w:sz w:val="24"/>
        <w:szCs w:val="24"/>
      </w:rPr>
    </w:lvl>
    <w:lvl w:ilvl="2">
      <w:start w:val="1"/>
      <w:numFmt w:val="bullet"/>
      <w:lvlText w:val=""/>
      <w:lvlJc w:val="left"/>
      <w:pPr>
        <w:tabs>
          <w:tab w:val="num" w:pos="1440"/>
        </w:tabs>
        <w:ind w:left="1440" w:hanging="360"/>
      </w:pPr>
      <w:rPr>
        <w:rFonts w:ascii="Symbol" w:hAnsi="Symbol" w:cs="OpenSymbol"/>
        <w:color w:val="000000"/>
        <w:sz w:val="24"/>
        <w:szCs w:val="24"/>
      </w:rPr>
    </w:lvl>
    <w:lvl w:ilvl="3">
      <w:start w:val="1"/>
      <w:numFmt w:val="bullet"/>
      <w:lvlText w:val=""/>
      <w:lvlJc w:val="left"/>
      <w:pPr>
        <w:tabs>
          <w:tab w:val="num" w:pos="1800"/>
        </w:tabs>
        <w:ind w:left="1800" w:hanging="360"/>
      </w:pPr>
      <w:rPr>
        <w:rFonts w:ascii="Symbol" w:hAnsi="Symbol" w:cs="OpenSymbol"/>
        <w:color w:val="000000"/>
        <w:sz w:val="24"/>
        <w:szCs w:val="24"/>
      </w:rPr>
    </w:lvl>
    <w:lvl w:ilvl="4">
      <w:start w:val="1"/>
      <w:numFmt w:val="bullet"/>
      <w:lvlText w:val=""/>
      <w:lvlJc w:val="left"/>
      <w:pPr>
        <w:tabs>
          <w:tab w:val="num" w:pos="2160"/>
        </w:tabs>
        <w:ind w:left="2160" w:hanging="360"/>
      </w:pPr>
      <w:rPr>
        <w:rFonts w:ascii="Symbol" w:hAnsi="Symbol" w:cs="OpenSymbol"/>
        <w:color w:val="000000"/>
        <w:sz w:val="24"/>
        <w:szCs w:val="24"/>
      </w:rPr>
    </w:lvl>
    <w:lvl w:ilvl="5">
      <w:start w:val="1"/>
      <w:numFmt w:val="bullet"/>
      <w:lvlText w:val=""/>
      <w:lvlJc w:val="left"/>
      <w:pPr>
        <w:tabs>
          <w:tab w:val="num" w:pos="2520"/>
        </w:tabs>
        <w:ind w:left="2520" w:hanging="360"/>
      </w:pPr>
      <w:rPr>
        <w:rFonts w:ascii="Symbol" w:hAnsi="Symbol" w:cs="OpenSymbol"/>
        <w:color w:val="000000"/>
        <w:sz w:val="24"/>
        <w:szCs w:val="24"/>
      </w:rPr>
    </w:lvl>
    <w:lvl w:ilvl="6">
      <w:start w:val="1"/>
      <w:numFmt w:val="bullet"/>
      <w:lvlText w:val=""/>
      <w:lvlJc w:val="left"/>
      <w:pPr>
        <w:tabs>
          <w:tab w:val="num" w:pos="2880"/>
        </w:tabs>
        <w:ind w:left="2880" w:hanging="360"/>
      </w:pPr>
      <w:rPr>
        <w:rFonts w:ascii="Symbol" w:hAnsi="Symbol" w:cs="OpenSymbol"/>
        <w:color w:val="000000"/>
        <w:sz w:val="24"/>
        <w:szCs w:val="24"/>
      </w:rPr>
    </w:lvl>
    <w:lvl w:ilvl="7">
      <w:start w:val="1"/>
      <w:numFmt w:val="bullet"/>
      <w:lvlText w:val=""/>
      <w:lvlJc w:val="left"/>
      <w:pPr>
        <w:tabs>
          <w:tab w:val="num" w:pos="3240"/>
        </w:tabs>
        <w:ind w:left="3240" w:hanging="360"/>
      </w:pPr>
      <w:rPr>
        <w:rFonts w:ascii="Symbol" w:hAnsi="Symbol" w:cs="OpenSymbol"/>
        <w:color w:val="000000"/>
        <w:sz w:val="24"/>
        <w:szCs w:val="24"/>
      </w:rPr>
    </w:lvl>
    <w:lvl w:ilvl="8">
      <w:start w:val="1"/>
      <w:numFmt w:val="bullet"/>
      <w:lvlText w:val=""/>
      <w:lvlJc w:val="left"/>
      <w:pPr>
        <w:tabs>
          <w:tab w:val="num" w:pos="3600"/>
        </w:tabs>
        <w:ind w:left="3600" w:hanging="360"/>
      </w:pPr>
      <w:rPr>
        <w:rFonts w:ascii="Symbol" w:hAnsi="Symbol" w:cs="OpenSymbol"/>
        <w:color w:val="000000"/>
        <w:sz w:val="24"/>
        <w:szCs w:val="24"/>
      </w:rPr>
    </w:lvl>
  </w:abstractNum>
  <w:abstractNum w:abstractNumId="29" w15:restartNumberingAfterBreak="0">
    <w:nsid w:val="0000003B"/>
    <w:multiLevelType w:val="multilevel"/>
    <w:tmpl w:val="0000003B"/>
    <w:name w:val="WW8Num59"/>
    <w:lvl w:ilvl="0">
      <w:start w:val="1"/>
      <w:numFmt w:val="bullet"/>
      <w:lvlText w:val=""/>
      <w:lvlJc w:val="left"/>
      <w:pPr>
        <w:tabs>
          <w:tab w:val="num" w:pos="720"/>
        </w:tabs>
        <w:ind w:left="720" w:hanging="360"/>
      </w:pPr>
      <w:rPr>
        <w:rFonts w:ascii="Wingdings" w:hAnsi="Wingdings" w:cs="OpenSymbol"/>
        <w:strike w:val="0"/>
        <w:dstrike w:val="0"/>
        <w:color w:val="000000"/>
        <w:sz w:val="24"/>
        <w:szCs w:val="24"/>
      </w:rPr>
    </w:lvl>
    <w:lvl w:ilvl="1">
      <w:start w:val="1"/>
      <w:numFmt w:val="bullet"/>
      <w:lvlText w:val=""/>
      <w:lvlJc w:val="left"/>
      <w:pPr>
        <w:tabs>
          <w:tab w:val="num" w:pos="1080"/>
        </w:tabs>
        <w:ind w:left="1080" w:hanging="360"/>
      </w:pPr>
      <w:rPr>
        <w:rFonts w:ascii="Wingdings" w:hAnsi="Wingdings" w:cs="OpenSymbol"/>
        <w:strike w:val="0"/>
        <w:dstrike w:val="0"/>
        <w:color w:val="000000"/>
        <w:sz w:val="24"/>
        <w:szCs w:val="24"/>
      </w:rPr>
    </w:lvl>
    <w:lvl w:ilvl="2">
      <w:start w:val="1"/>
      <w:numFmt w:val="bullet"/>
      <w:lvlText w:val=""/>
      <w:lvlJc w:val="left"/>
      <w:pPr>
        <w:tabs>
          <w:tab w:val="num" w:pos="1440"/>
        </w:tabs>
        <w:ind w:left="1440" w:hanging="360"/>
      </w:pPr>
      <w:rPr>
        <w:rFonts w:ascii="Wingdings" w:hAnsi="Wingdings" w:cs="OpenSymbol"/>
        <w:strike w:val="0"/>
        <w:dstrike w:val="0"/>
        <w:color w:val="000000"/>
        <w:sz w:val="24"/>
        <w:szCs w:val="24"/>
      </w:rPr>
    </w:lvl>
    <w:lvl w:ilvl="3">
      <w:start w:val="1"/>
      <w:numFmt w:val="bullet"/>
      <w:lvlText w:val=""/>
      <w:lvlJc w:val="left"/>
      <w:pPr>
        <w:tabs>
          <w:tab w:val="num" w:pos="1800"/>
        </w:tabs>
        <w:ind w:left="1800" w:hanging="360"/>
      </w:pPr>
      <w:rPr>
        <w:rFonts w:ascii="Wingdings" w:hAnsi="Wingdings" w:cs="OpenSymbol"/>
        <w:strike w:val="0"/>
        <w:dstrike w:val="0"/>
        <w:color w:val="000000"/>
        <w:sz w:val="24"/>
        <w:szCs w:val="24"/>
      </w:rPr>
    </w:lvl>
    <w:lvl w:ilvl="4">
      <w:start w:val="1"/>
      <w:numFmt w:val="bullet"/>
      <w:lvlText w:val=""/>
      <w:lvlJc w:val="left"/>
      <w:pPr>
        <w:tabs>
          <w:tab w:val="num" w:pos="2160"/>
        </w:tabs>
        <w:ind w:left="2160" w:hanging="360"/>
      </w:pPr>
      <w:rPr>
        <w:rFonts w:ascii="Wingdings" w:hAnsi="Wingdings" w:cs="OpenSymbol"/>
        <w:strike w:val="0"/>
        <w:dstrike w:val="0"/>
        <w:color w:val="000000"/>
        <w:sz w:val="24"/>
        <w:szCs w:val="24"/>
      </w:rPr>
    </w:lvl>
    <w:lvl w:ilvl="5">
      <w:start w:val="1"/>
      <w:numFmt w:val="bullet"/>
      <w:lvlText w:val=""/>
      <w:lvlJc w:val="left"/>
      <w:pPr>
        <w:tabs>
          <w:tab w:val="num" w:pos="2520"/>
        </w:tabs>
        <w:ind w:left="2520" w:hanging="360"/>
      </w:pPr>
      <w:rPr>
        <w:rFonts w:ascii="Wingdings" w:hAnsi="Wingdings" w:cs="OpenSymbol"/>
        <w:strike w:val="0"/>
        <w:dstrike w:val="0"/>
        <w:color w:val="000000"/>
        <w:sz w:val="24"/>
        <w:szCs w:val="24"/>
      </w:rPr>
    </w:lvl>
    <w:lvl w:ilvl="6">
      <w:start w:val="1"/>
      <w:numFmt w:val="bullet"/>
      <w:lvlText w:val=""/>
      <w:lvlJc w:val="left"/>
      <w:pPr>
        <w:tabs>
          <w:tab w:val="num" w:pos="2880"/>
        </w:tabs>
        <w:ind w:left="2880" w:hanging="360"/>
      </w:pPr>
      <w:rPr>
        <w:rFonts w:ascii="Wingdings" w:hAnsi="Wingdings" w:cs="OpenSymbol"/>
        <w:strike w:val="0"/>
        <w:dstrike w:val="0"/>
        <w:color w:val="000000"/>
        <w:sz w:val="24"/>
        <w:szCs w:val="24"/>
      </w:rPr>
    </w:lvl>
    <w:lvl w:ilvl="7">
      <w:start w:val="1"/>
      <w:numFmt w:val="bullet"/>
      <w:lvlText w:val=""/>
      <w:lvlJc w:val="left"/>
      <w:pPr>
        <w:tabs>
          <w:tab w:val="num" w:pos="3240"/>
        </w:tabs>
        <w:ind w:left="3240" w:hanging="360"/>
      </w:pPr>
      <w:rPr>
        <w:rFonts w:ascii="Wingdings" w:hAnsi="Wingdings" w:cs="OpenSymbol"/>
        <w:strike w:val="0"/>
        <w:dstrike w:val="0"/>
        <w:color w:val="000000"/>
        <w:sz w:val="24"/>
        <w:szCs w:val="24"/>
      </w:rPr>
    </w:lvl>
    <w:lvl w:ilvl="8">
      <w:start w:val="1"/>
      <w:numFmt w:val="bullet"/>
      <w:lvlText w:val=""/>
      <w:lvlJc w:val="left"/>
      <w:pPr>
        <w:tabs>
          <w:tab w:val="num" w:pos="3600"/>
        </w:tabs>
        <w:ind w:left="3600" w:hanging="360"/>
      </w:pPr>
      <w:rPr>
        <w:rFonts w:ascii="Wingdings" w:hAnsi="Wingdings" w:cs="OpenSymbol"/>
        <w:strike w:val="0"/>
        <w:dstrike w:val="0"/>
        <w:color w:val="000000"/>
        <w:sz w:val="24"/>
        <w:szCs w:val="24"/>
      </w:rPr>
    </w:lvl>
  </w:abstractNum>
  <w:abstractNum w:abstractNumId="30" w15:restartNumberingAfterBreak="0">
    <w:nsid w:val="0000003D"/>
    <w:multiLevelType w:val="multilevel"/>
    <w:tmpl w:val="0000003D"/>
    <w:name w:val="WW8Num61"/>
    <w:lvl w:ilvl="0">
      <w:start w:val="1"/>
      <w:numFmt w:val="bullet"/>
      <w:lvlText w:val=""/>
      <w:lvlJc w:val="left"/>
      <w:pPr>
        <w:tabs>
          <w:tab w:val="num" w:pos="720"/>
        </w:tabs>
        <w:ind w:left="720" w:hanging="360"/>
      </w:pPr>
      <w:rPr>
        <w:rFonts w:ascii="Wingdings" w:hAnsi="Wingdings" w:cs="OpenSymbol"/>
        <w:strike w:val="0"/>
        <w:dstrike w:val="0"/>
        <w:color w:val="000000"/>
        <w:sz w:val="24"/>
        <w:szCs w:val="24"/>
      </w:rPr>
    </w:lvl>
    <w:lvl w:ilvl="1">
      <w:start w:val="1"/>
      <w:numFmt w:val="bullet"/>
      <w:lvlText w:val=""/>
      <w:lvlJc w:val="left"/>
      <w:pPr>
        <w:tabs>
          <w:tab w:val="num" w:pos="1080"/>
        </w:tabs>
        <w:ind w:left="1080" w:hanging="360"/>
      </w:pPr>
      <w:rPr>
        <w:rFonts w:ascii="Wingdings" w:hAnsi="Wingdings" w:cs="OpenSymbol"/>
        <w:strike w:val="0"/>
        <w:dstrike w:val="0"/>
        <w:color w:val="000000"/>
        <w:sz w:val="24"/>
        <w:szCs w:val="24"/>
      </w:rPr>
    </w:lvl>
    <w:lvl w:ilvl="2">
      <w:start w:val="1"/>
      <w:numFmt w:val="bullet"/>
      <w:lvlText w:val=""/>
      <w:lvlJc w:val="left"/>
      <w:pPr>
        <w:tabs>
          <w:tab w:val="num" w:pos="1440"/>
        </w:tabs>
        <w:ind w:left="1440" w:hanging="360"/>
      </w:pPr>
      <w:rPr>
        <w:rFonts w:ascii="Wingdings" w:hAnsi="Wingdings" w:cs="OpenSymbol"/>
        <w:strike w:val="0"/>
        <w:dstrike w:val="0"/>
        <w:color w:val="000000"/>
        <w:sz w:val="24"/>
        <w:szCs w:val="24"/>
      </w:rPr>
    </w:lvl>
    <w:lvl w:ilvl="3">
      <w:start w:val="1"/>
      <w:numFmt w:val="bullet"/>
      <w:lvlText w:val=""/>
      <w:lvlJc w:val="left"/>
      <w:pPr>
        <w:tabs>
          <w:tab w:val="num" w:pos="1800"/>
        </w:tabs>
        <w:ind w:left="1800" w:hanging="360"/>
      </w:pPr>
      <w:rPr>
        <w:rFonts w:ascii="Wingdings" w:hAnsi="Wingdings" w:cs="OpenSymbol"/>
        <w:strike w:val="0"/>
        <w:dstrike w:val="0"/>
        <w:color w:val="000000"/>
        <w:sz w:val="24"/>
        <w:szCs w:val="24"/>
      </w:rPr>
    </w:lvl>
    <w:lvl w:ilvl="4">
      <w:start w:val="1"/>
      <w:numFmt w:val="bullet"/>
      <w:lvlText w:val=""/>
      <w:lvlJc w:val="left"/>
      <w:pPr>
        <w:tabs>
          <w:tab w:val="num" w:pos="2160"/>
        </w:tabs>
        <w:ind w:left="2160" w:hanging="360"/>
      </w:pPr>
      <w:rPr>
        <w:rFonts w:ascii="Wingdings" w:hAnsi="Wingdings" w:cs="OpenSymbol"/>
        <w:strike w:val="0"/>
        <w:dstrike w:val="0"/>
        <w:color w:val="000000"/>
        <w:sz w:val="24"/>
        <w:szCs w:val="24"/>
      </w:rPr>
    </w:lvl>
    <w:lvl w:ilvl="5">
      <w:start w:val="1"/>
      <w:numFmt w:val="bullet"/>
      <w:lvlText w:val=""/>
      <w:lvlJc w:val="left"/>
      <w:pPr>
        <w:tabs>
          <w:tab w:val="num" w:pos="2520"/>
        </w:tabs>
        <w:ind w:left="2520" w:hanging="360"/>
      </w:pPr>
      <w:rPr>
        <w:rFonts w:ascii="Wingdings" w:hAnsi="Wingdings" w:cs="OpenSymbol"/>
        <w:strike w:val="0"/>
        <w:dstrike w:val="0"/>
        <w:color w:val="000000"/>
        <w:sz w:val="24"/>
        <w:szCs w:val="24"/>
      </w:rPr>
    </w:lvl>
    <w:lvl w:ilvl="6">
      <w:start w:val="1"/>
      <w:numFmt w:val="bullet"/>
      <w:lvlText w:val=""/>
      <w:lvlJc w:val="left"/>
      <w:pPr>
        <w:tabs>
          <w:tab w:val="num" w:pos="2880"/>
        </w:tabs>
        <w:ind w:left="2880" w:hanging="360"/>
      </w:pPr>
      <w:rPr>
        <w:rFonts w:ascii="Wingdings" w:hAnsi="Wingdings" w:cs="OpenSymbol"/>
        <w:strike w:val="0"/>
        <w:dstrike w:val="0"/>
        <w:color w:val="000000"/>
        <w:sz w:val="24"/>
        <w:szCs w:val="24"/>
      </w:rPr>
    </w:lvl>
    <w:lvl w:ilvl="7">
      <w:start w:val="1"/>
      <w:numFmt w:val="bullet"/>
      <w:lvlText w:val=""/>
      <w:lvlJc w:val="left"/>
      <w:pPr>
        <w:tabs>
          <w:tab w:val="num" w:pos="3240"/>
        </w:tabs>
        <w:ind w:left="3240" w:hanging="360"/>
      </w:pPr>
      <w:rPr>
        <w:rFonts w:ascii="Wingdings" w:hAnsi="Wingdings" w:cs="OpenSymbol"/>
        <w:strike w:val="0"/>
        <w:dstrike w:val="0"/>
        <w:color w:val="000000"/>
        <w:sz w:val="24"/>
        <w:szCs w:val="24"/>
      </w:rPr>
    </w:lvl>
    <w:lvl w:ilvl="8">
      <w:start w:val="1"/>
      <w:numFmt w:val="bullet"/>
      <w:lvlText w:val=""/>
      <w:lvlJc w:val="left"/>
      <w:pPr>
        <w:tabs>
          <w:tab w:val="num" w:pos="3600"/>
        </w:tabs>
        <w:ind w:left="3600" w:hanging="360"/>
      </w:pPr>
      <w:rPr>
        <w:rFonts w:ascii="Wingdings" w:hAnsi="Wingdings" w:cs="OpenSymbol"/>
        <w:strike w:val="0"/>
        <w:dstrike w:val="0"/>
        <w:color w:val="000000"/>
        <w:sz w:val="24"/>
        <w:szCs w:val="24"/>
      </w:rPr>
    </w:lvl>
  </w:abstractNum>
  <w:abstractNum w:abstractNumId="31" w15:restartNumberingAfterBreak="0">
    <w:nsid w:val="0000003E"/>
    <w:multiLevelType w:val="multilevel"/>
    <w:tmpl w:val="0000003E"/>
    <w:name w:val="WW8Num62"/>
    <w:lvl w:ilvl="0">
      <w:start w:val="1"/>
      <w:numFmt w:val="bullet"/>
      <w:lvlText w:val=""/>
      <w:lvlJc w:val="left"/>
      <w:pPr>
        <w:tabs>
          <w:tab w:val="num" w:pos="720"/>
        </w:tabs>
        <w:ind w:left="720" w:hanging="360"/>
      </w:pPr>
      <w:rPr>
        <w:rFonts w:ascii="Wingdings" w:hAnsi="Wingdings" w:cs="OpenSymbol"/>
        <w:strike w:val="0"/>
        <w:dstrike w:val="0"/>
        <w:color w:val="000000"/>
        <w:sz w:val="24"/>
        <w:szCs w:val="24"/>
      </w:rPr>
    </w:lvl>
    <w:lvl w:ilvl="1">
      <w:start w:val="1"/>
      <w:numFmt w:val="bullet"/>
      <w:lvlText w:val=""/>
      <w:lvlJc w:val="left"/>
      <w:pPr>
        <w:tabs>
          <w:tab w:val="num" w:pos="1080"/>
        </w:tabs>
        <w:ind w:left="1080" w:hanging="360"/>
      </w:pPr>
      <w:rPr>
        <w:rFonts w:ascii="Wingdings" w:hAnsi="Wingdings" w:cs="OpenSymbol"/>
        <w:strike w:val="0"/>
        <w:dstrike w:val="0"/>
        <w:color w:val="000000"/>
        <w:sz w:val="24"/>
        <w:szCs w:val="24"/>
      </w:rPr>
    </w:lvl>
    <w:lvl w:ilvl="2">
      <w:start w:val="1"/>
      <w:numFmt w:val="bullet"/>
      <w:lvlText w:val=""/>
      <w:lvlJc w:val="left"/>
      <w:pPr>
        <w:tabs>
          <w:tab w:val="num" w:pos="1440"/>
        </w:tabs>
        <w:ind w:left="1440" w:hanging="360"/>
      </w:pPr>
      <w:rPr>
        <w:rFonts w:ascii="Wingdings" w:hAnsi="Wingdings" w:cs="OpenSymbol"/>
        <w:strike w:val="0"/>
        <w:dstrike w:val="0"/>
        <w:color w:val="000000"/>
        <w:sz w:val="24"/>
        <w:szCs w:val="24"/>
      </w:rPr>
    </w:lvl>
    <w:lvl w:ilvl="3">
      <w:start w:val="1"/>
      <w:numFmt w:val="bullet"/>
      <w:lvlText w:val=""/>
      <w:lvlJc w:val="left"/>
      <w:pPr>
        <w:tabs>
          <w:tab w:val="num" w:pos="1800"/>
        </w:tabs>
        <w:ind w:left="1800" w:hanging="360"/>
      </w:pPr>
      <w:rPr>
        <w:rFonts w:ascii="Wingdings" w:hAnsi="Wingdings" w:cs="OpenSymbol"/>
        <w:strike w:val="0"/>
        <w:dstrike w:val="0"/>
        <w:color w:val="000000"/>
        <w:sz w:val="24"/>
        <w:szCs w:val="24"/>
      </w:rPr>
    </w:lvl>
    <w:lvl w:ilvl="4">
      <w:start w:val="1"/>
      <w:numFmt w:val="bullet"/>
      <w:lvlText w:val=""/>
      <w:lvlJc w:val="left"/>
      <w:pPr>
        <w:tabs>
          <w:tab w:val="num" w:pos="2160"/>
        </w:tabs>
        <w:ind w:left="2160" w:hanging="360"/>
      </w:pPr>
      <w:rPr>
        <w:rFonts w:ascii="Wingdings" w:hAnsi="Wingdings" w:cs="OpenSymbol"/>
        <w:strike w:val="0"/>
        <w:dstrike w:val="0"/>
        <w:color w:val="000000"/>
        <w:sz w:val="24"/>
        <w:szCs w:val="24"/>
      </w:rPr>
    </w:lvl>
    <w:lvl w:ilvl="5">
      <w:start w:val="1"/>
      <w:numFmt w:val="bullet"/>
      <w:lvlText w:val=""/>
      <w:lvlJc w:val="left"/>
      <w:pPr>
        <w:tabs>
          <w:tab w:val="num" w:pos="2520"/>
        </w:tabs>
        <w:ind w:left="2520" w:hanging="360"/>
      </w:pPr>
      <w:rPr>
        <w:rFonts w:ascii="Wingdings" w:hAnsi="Wingdings" w:cs="OpenSymbol"/>
        <w:strike w:val="0"/>
        <w:dstrike w:val="0"/>
        <w:color w:val="000000"/>
        <w:sz w:val="24"/>
        <w:szCs w:val="24"/>
      </w:rPr>
    </w:lvl>
    <w:lvl w:ilvl="6">
      <w:start w:val="1"/>
      <w:numFmt w:val="bullet"/>
      <w:lvlText w:val=""/>
      <w:lvlJc w:val="left"/>
      <w:pPr>
        <w:tabs>
          <w:tab w:val="num" w:pos="2880"/>
        </w:tabs>
        <w:ind w:left="2880" w:hanging="360"/>
      </w:pPr>
      <w:rPr>
        <w:rFonts w:ascii="Wingdings" w:hAnsi="Wingdings" w:cs="OpenSymbol"/>
        <w:strike w:val="0"/>
        <w:dstrike w:val="0"/>
        <w:color w:val="000000"/>
        <w:sz w:val="24"/>
        <w:szCs w:val="24"/>
      </w:rPr>
    </w:lvl>
    <w:lvl w:ilvl="7">
      <w:start w:val="1"/>
      <w:numFmt w:val="bullet"/>
      <w:lvlText w:val=""/>
      <w:lvlJc w:val="left"/>
      <w:pPr>
        <w:tabs>
          <w:tab w:val="num" w:pos="3240"/>
        </w:tabs>
        <w:ind w:left="3240" w:hanging="360"/>
      </w:pPr>
      <w:rPr>
        <w:rFonts w:ascii="Wingdings" w:hAnsi="Wingdings" w:cs="OpenSymbol"/>
        <w:strike w:val="0"/>
        <w:dstrike w:val="0"/>
        <w:color w:val="000000"/>
        <w:sz w:val="24"/>
        <w:szCs w:val="24"/>
      </w:rPr>
    </w:lvl>
    <w:lvl w:ilvl="8">
      <w:start w:val="1"/>
      <w:numFmt w:val="bullet"/>
      <w:lvlText w:val=""/>
      <w:lvlJc w:val="left"/>
      <w:pPr>
        <w:tabs>
          <w:tab w:val="num" w:pos="3600"/>
        </w:tabs>
        <w:ind w:left="3600" w:hanging="360"/>
      </w:pPr>
      <w:rPr>
        <w:rFonts w:ascii="Wingdings" w:hAnsi="Wingdings" w:cs="OpenSymbol"/>
        <w:strike w:val="0"/>
        <w:dstrike w:val="0"/>
        <w:color w:val="000000"/>
        <w:sz w:val="24"/>
        <w:szCs w:val="24"/>
      </w:rPr>
    </w:lvl>
  </w:abstractNum>
  <w:abstractNum w:abstractNumId="32" w15:restartNumberingAfterBreak="0">
    <w:nsid w:val="0000003F"/>
    <w:multiLevelType w:val="multilevel"/>
    <w:tmpl w:val="0000003F"/>
    <w:name w:val="WW8Num63"/>
    <w:lvl w:ilvl="0">
      <w:start w:val="1"/>
      <w:numFmt w:val="bullet"/>
      <w:lvlText w:val=""/>
      <w:lvlJc w:val="left"/>
      <w:pPr>
        <w:tabs>
          <w:tab w:val="num" w:pos="720"/>
        </w:tabs>
        <w:ind w:left="720" w:hanging="360"/>
      </w:pPr>
      <w:rPr>
        <w:rFonts w:ascii="Wingdings" w:hAnsi="Wingdings" w:cs="OpenSymbol"/>
        <w:strike w:val="0"/>
        <w:dstrike w:val="0"/>
        <w:color w:val="000000"/>
        <w:sz w:val="24"/>
        <w:szCs w:val="24"/>
      </w:rPr>
    </w:lvl>
    <w:lvl w:ilvl="1">
      <w:start w:val="1"/>
      <w:numFmt w:val="bullet"/>
      <w:lvlText w:val=""/>
      <w:lvlJc w:val="left"/>
      <w:pPr>
        <w:tabs>
          <w:tab w:val="num" w:pos="1080"/>
        </w:tabs>
        <w:ind w:left="1080" w:hanging="360"/>
      </w:pPr>
      <w:rPr>
        <w:rFonts w:ascii="Wingdings" w:hAnsi="Wingdings" w:cs="OpenSymbol"/>
        <w:strike w:val="0"/>
        <w:dstrike w:val="0"/>
        <w:color w:val="000000"/>
        <w:sz w:val="24"/>
        <w:szCs w:val="24"/>
      </w:rPr>
    </w:lvl>
    <w:lvl w:ilvl="2">
      <w:start w:val="1"/>
      <w:numFmt w:val="bullet"/>
      <w:lvlText w:val=""/>
      <w:lvlJc w:val="left"/>
      <w:pPr>
        <w:tabs>
          <w:tab w:val="num" w:pos="1440"/>
        </w:tabs>
        <w:ind w:left="1440" w:hanging="360"/>
      </w:pPr>
      <w:rPr>
        <w:rFonts w:ascii="Wingdings" w:hAnsi="Wingdings" w:cs="OpenSymbol"/>
        <w:strike w:val="0"/>
        <w:dstrike w:val="0"/>
        <w:color w:val="000000"/>
        <w:sz w:val="24"/>
        <w:szCs w:val="24"/>
      </w:rPr>
    </w:lvl>
    <w:lvl w:ilvl="3">
      <w:start w:val="1"/>
      <w:numFmt w:val="bullet"/>
      <w:lvlText w:val=""/>
      <w:lvlJc w:val="left"/>
      <w:pPr>
        <w:tabs>
          <w:tab w:val="num" w:pos="1800"/>
        </w:tabs>
        <w:ind w:left="1800" w:hanging="360"/>
      </w:pPr>
      <w:rPr>
        <w:rFonts w:ascii="Wingdings" w:hAnsi="Wingdings" w:cs="OpenSymbol"/>
        <w:strike w:val="0"/>
        <w:dstrike w:val="0"/>
        <w:color w:val="000000"/>
        <w:sz w:val="24"/>
        <w:szCs w:val="24"/>
      </w:rPr>
    </w:lvl>
    <w:lvl w:ilvl="4">
      <w:start w:val="1"/>
      <w:numFmt w:val="bullet"/>
      <w:lvlText w:val=""/>
      <w:lvlJc w:val="left"/>
      <w:pPr>
        <w:tabs>
          <w:tab w:val="num" w:pos="2160"/>
        </w:tabs>
        <w:ind w:left="2160" w:hanging="360"/>
      </w:pPr>
      <w:rPr>
        <w:rFonts w:ascii="Wingdings" w:hAnsi="Wingdings" w:cs="OpenSymbol"/>
        <w:strike w:val="0"/>
        <w:dstrike w:val="0"/>
        <w:color w:val="000000"/>
        <w:sz w:val="24"/>
        <w:szCs w:val="24"/>
      </w:rPr>
    </w:lvl>
    <w:lvl w:ilvl="5">
      <w:start w:val="1"/>
      <w:numFmt w:val="bullet"/>
      <w:lvlText w:val=""/>
      <w:lvlJc w:val="left"/>
      <w:pPr>
        <w:tabs>
          <w:tab w:val="num" w:pos="2520"/>
        </w:tabs>
        <w:ind w:left="2520" w:hanging="360"/>
      </w:pPr>
      <w:rPr>
        <w:rFonts w:ascii="Wingdings" w:hAnsi="Wingdings" w:cs="OpenSymbol"/>
        <w:strike w:val="0"/>
        <w:dstrike w:val="0"/>
        <w:color w:val="000000"/>
        <w:sz w:val="24"/>
        <w:szCs w:val="24"/>
      </w:rPr>
    </w:lvl>
    <w:lvl w:ilvl="6">
      <w:start w:val="1"/>
      <w:numFmt w:val="bullet"/>
      <w:lvlText w:val=""/>
      <w:lvlJc w:val="left"/>
      <w:pPr>
        <w:tabs>
          <w:tab w:val="num" w:pos="2880"/>
        </w:tabs>
        <w:ind w:left="2880" w:hanging="360"/>
      </w:pPr>
      <w:rPr>
        <w:rFonts w:ascii="Wingdings" w:hAnsi="Wingdings" w:cs="OpenSymbol"/>
        <w:strike w:val="0"/>
        <w:dstrike w:val="0"/>
        <w:color w:val="000000"/>
        <w:sz w:val="24"/>
        <w:szCs w:val="24"/>
      </w:rPr>
    </w:lvl>
    <w:lvl w:ilvl="7">
      <w:start w:val="1"/>
      <w:numFmt w:val="bullet"/>
      <w:lvlText w:val=""/>
      <w:lvlJc w:val="left"/>
      <w:pPr>
        <w:tabs>
          <w:tab w:val="num" w:pos="3240"/>
        </w:tabs>
        <w:ind w:left="3240" w:hanging="360"/>
      </w:pPr>
      <w:rPr>
        <w:rFonts w:ascii="Wingdings" w:hAnsi="Wingdings" w:cs="OpenSymbol"/>
        <w:strike w:val="0"/>
        <w:dstrike w:val="0"/>
        <w:color w:val="000000"/>
        <w:sz w:val="24"/>
        <w:szCs w:val="24"/>
      </w:rPr>
    </w:lvl>
    <w:lvl w:ilvl="8">
      <w:start w:val="1"/>
      <w:numFmt w:val="bullet"/>
      <w:lvlText w:val=""/>
      <w:lvlJc w:val="left"/>
      <w:pPr>
        <w:tabs>
          <w:tab w:val="num" w:pos="3600"/>
        </w:tabs>
        <w:ind w:left="3600" w:hanging="360"/>
      </w:pPr>
      <w:rPr>
        <w:rFonts w:ascii="Wingdings" w:hAnsi="Wingdings" w:cs="OpenSymbol"/>
        <w:strike w:val="0"/>
        <w:dstrike w:val="0"/>
        <w:color w:val="000000"/>
        <w:sz w:val="24"/>
        <w:szCs w:val="24"/>
      </w:rPr>
    </w:lvl>
  </w:abstractNum>
  <w:abstractNum w:abstractNumId="33" w15:restartNumberingAfterBreak="0">
    <w:nsid w:val="00000040"/>
    <w:multiLevelType w:val="multilevel"/>
    <w:tmpl w:val="00000040"/>
    <w:name w:val="WW8Num6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4" w15:restartNumberingAfterBreak="0">
    <w:nsid w:val="00000041"/>
    <w:multiLevelType w:val="multilevel"/>
    <w:tmpl w:val="00000041"/>
    <w:name w:val="WW8Num6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5" w15:restartNumberingAfterBreak="0">
    <w:nsid w:val="00000042"/>
    <w:multiLevelType w:val="multilevel"/>
    <w:tmpl w:val="00000042"/>
    <w:name w:val="WW8Num6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6" w15:restartNumberingAfterBreak="0">
    <w:nsid w:val="00000043"/>
    <w:multiLevelType w:val="multilevel"/>
    <w:tmpl w:val="00000043"/>
    <w:name w:val="WW8Num6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7" w15:restartNumberingAfterBreak="0">
    <w:nsid w:val="00000044"/>
    <w:multiLevelType w:val="multilevel"/>
    <w:tmpl w:val="00000044"/>
    <w:name w:val="WW8Num68"/>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38" w15:restartNumberingAfterBreak="0">
    <w:nsid w:val="00000045"/>
    <w:multiLevelType w:val="multilevel"/>
    <w:tmpl w:val="00000045"/>
    <w:name w:val="WW8Num6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9" w15:restartNumberingAfterBreak="0">
    <w:nsid w:val="00000046"/>
    <w:multiLevelType w:val="multilevel"/>
    <w:tmpl w:val="00000046"/>
    <w:name w:val="WW8Num7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0" w15:restartNumberingAfterBreak="0">
    <w:nsid w:val="00000047"/>
    <w:multiLevelType w:val="multilevel"/>
    <w:tmpl w:val="00000047"/>
    <w:name w:val="WW8Num71"/>
    <w:lvl w:ilvl="0">
      <w:start w:val="1"/>
      <w:numFmt w:val="bullet"/>
      <w:lvlText w:val=""/>
      <w:lvlJc w:val="left"/>
      <w:pPr>
        <w:tabs>
          <w:tab w:val="num" w:pos="720"/>
        </w:tabs>
        <w:ind w:left="720" w:hanging="360"/>
      </w:pPr>
      <w:rPr>
        <w:rFonts w:ascii="Symbol" w:hAnsi="Symbol" w:cs="OpenSymbol"/>
        <w:color w:val="000000"/>
        <w:sz w:val="24"/>
        <w:szCs w:val="24"/>
      </w:rPr>
    </w:lvl>
    <w:lvl w:ilvl="1">
      <w:start w:val="1"/>
      <w:numFmt w:val="bullet"/>
      <w:lvlText w:val=""/>
      <w:lvlJc w:val="left"/>
      <w:pPr>
        <w:tabs>
          <w:tab w:val="num" w:pos="1080"/>
        </w:tabs>
        <w:ind w:left="1080" w:hanging="360"/>
      </w:pPr>
      <w:rPr>
        <w:rFonts w:ascii="Symbol" w:hAnsi="Symbol" w:cs="OpenSymbol"/>
        <w:color w:val="000000"/>
        <w:sz w:val="24"/>
        <w:szCs w:val="24"/>
      </w:rPr>
    </w:lvl>
    <w:lvl w:ilvl="2">
      <w:start w:val="1"/>
      <w:numFmt w:val="bullet"/>
      <w:lvlText w:val=""/>
      <w:lvlJc w:val="left"/>
      <w:pPr>
        <w:tabs>
          <w:tab w:val="num" w:pos="1440"/>
        </w:tabs>
        <w:ind w:left="1440" w:hanging="360"/>
      </w:pPr>
      <w:rPr>
        <w:rFonts w:ascii="Symbol" w:hAnsi="Symbol" w:cs="OpenSymbol"/>
        <w:color w:val="000000"/>
        <w:sz w:val="24"/>
        <w:szCs w:val="24"/>
      </w:rPr>
    </w:lvl>
    <w:lvl w:ilvl="3">
      <w:start w:val="1"/>
      <w:numFmt w:val="bullet"/>
      <w:lvlText w:val=""/>
      <w:lvlJc w:val="left"/>
      <w:pPr>
        <w:tabs>
          <w:tab w:val="num" w:pos="1800"/>
        </w:tabs>
        <w:ind w:left="1800" w:hanging="360"/>
      </w:pPr>
      <w:rPr>
        <w:rFonts w:ascii="Symbol" w:hAnsi="Symbol" w:cs="OpenSymbol"/>
        <w:color w:val="000000"/>
        <w:sz w:val="24"/>
        <w:szCs w:val="24"/>
      </w:rPr>
    </w:lvl>
    <w:lvl w:ilvl="4">
      <w:start w:val="1"/>
      <w:numFmt w:val="bullet"/>
      <w:lvlText w:val=""/>
      <w:lvlJc w:val="left"/>
      <w:pPr>
        <w:tabs>
          <w:tab w:val="num" w:pos="2160"/>
        </w:tabs>
        <w:ind w:left="2160" w:hanging="360"/>
      </w:pPr>
      <w:rPr>
        <w:rFonts w:ascii="Symbol" w:hAnsi="Symbol" w:cs="OpenSymbol"/>
        <w:color w:val="000000"/>
        <w:sz w:val="24"/>
        <w:szCs w:val="24"/>
      </w:rPr>
    </w:lvl>
    <w:lvl w:ilvl="5">
      <w:start w:val="1"/>
      <w:numFmt w:val="bullet"/>
      <w:lvlText w:val=""/>
      <w:lvlJc w:val="left"/>
      <w:pPr>
        <w:tabs>
          <w:tab w:val="num" w:pos="2520"/>
        </w:tabs>
        <w:ind w:left="2520" w:hanging="360"/>
      </w:pPr>
      <w:rPr>
        <w:rFonts w:ascii="Symbol" w:hAnsi="Symbol" w:cs="OpenSymbol"/>
        <w:color w:val="000000"/>
        <w:sz w:val="24"/>
        <w:szCs w:val="24"/>
      </w:rPr>
    </w:lvl>
    <w:lvl w:ilvl="6">
      <w:start w:val="1"/>
      <w:numFmt w:val="bullet"/>
      <w:lvlText w:val=""/>
      <w:lvlJc w:val="left"/>
      <w:pPr>
        <w:tabs>
          <w:tab w:val="num" w:pos="2880"/>
        </w:tabs>
        <w:ind w:left="2880" w:hanging="360"/>
      </w:pPr>
      <w:rPr>
        <w:rFonts w:ascii="Symbol" w:hAnsi="Symbol" w:cs="OpenSymbol"/>
        <w:color w:val="000000"/>
        <w:sz w:val="24"/>
        <w:szCs w:val="24"/>
      </w:rPr>
    </w:lvl>
    <w:lvl w:ilvl="7">
      <w:start w:val="1"/>
      <w:numFmt w:val="bullet"/>
      <w:lvlText w:val=""/>
      <w:lvlJc w:val="left"/>
      <w:pPr>
        <w:tabs>
          <w:tab w:val="num" w:pos="3240"/>
        </w:tabs>
        <w:ind w:left="3240" w:hanging="360"/>
      </w:pPr>
      <w:rPr>
        <w:rFonts w:ascii="Symbol" w:hAnsi="Symbol" w:cs="OpenSymbol"/>
        <w:color w:val="000000"/>
        <w:sz w:val="24"/>
        <w:szCs w:val="24"/>
      </w:rPr>
    </w:lvl>
    <w:lvl w:ilvl="8">
      <w:start w:val="1"/>
      <w:numFmt w:val="bullet"/>
      <w:lvlText w:val=""/>
      <w:lvlJc w:val="left"/>
      <w:pPr>
        <w:tabs>
          <w:tab w:val="num" w:pos="3600"/>
        </w:tabs>
        <w:ind w:left="3600" w:hanging="360"/>
      </w:pPr>
      <w:rPr>
        <w:rFonts w:ascii="Symbol" w:hAnsi="Symbol" w:cs="OpenSymbol"/>
        <w:color w:val="000000"/>
        <w:sz w:val="24"/>
        <w:szCs w:val="24"/>
      </w:rPr>
    </w:lvl>
  </w:abstractNum>
  <w:abstractNum w:abstractNumId="41" w15:restartNumberingAfterBreak="0">
    <w:nsid w:val="00000048"/>
    <w:multiLevelType w:val="multilevel"/>
    <w:tmpl w:val="00000048"/>
    <w:name w:val="WW8Num72"/>
    <w:lvl w:ilvl="0">
      <w:start w:val="1"/>
      <w:numFmt w:val="bullet"/>
      <w:lvlText w:val=""/>
      <w:lvlJc w:val="left"/>
      <w:pPr>
        <w:tabs>
          <w:tab w:val="num" w:pos="720"/>
        </w:tabs>
        <w:ind w:left="720" w:hanging="360"/>
      </w:pPr>
      <w:rPr>
        <w:rFonts w:ascii="Wingdings" w:hAnsi="Wingdings" w:cs="OpenSymbol"/>
        <w:strike w:val="0"/>
        <w:dstrike w:val="0"/>
        <w:color w:val="000000"/>
        <w:sz w:val="24"/>
        <w:szCs w:val="24"/>
      </w:rPr>
    </w:lvl>
    <w:lvl w:ilvl="1">
      <w:start w:val="1"/>
      <w:numFmt w:val="bullet"/>
      <w:lvlText w:val=""/>
      <w:lvlJc w:val="left"/>
      <w:pPr>
        <w:tabs>
          <w:tab w:val="num" w:pos="1080"/>
        </w:tabs>
        <w:ind w:left="1080" w:hanging="360"/>
      </w:pPr>
      <w:rPr>
        <w:rFonts w:ascii="Wingdings" w:hAnsi="Wingdings" w:cs="OpenSymbol"/>
        <w:strike w:val="0"/>
        <w:dstrike w:val="0"/>
        <w:color w:val="000000"/>
        <w:sz w:val="24"/>
        <w:szCs w:val="24"/>
      </w:rPr>
    </w:lvl>
    <w:lvl w:ilvl="2">
      <w:start w:val="1"/>
      <w:numFmt w:val="bullet"/>
      <w:lvlText w:val=""/>
      <w:lvlJc w:val="left"/>
      <w:pPr>
        <w:tabs>
          <w:tab w:val="num" w:pos="1440"/>
        </w:tabs>
        <w:ind w:left="1440" w:hanging="360"/>
      </w:pPr>
      <w:rPr>
        <w:rFonts w:ascii="Wingdings" w:hAnsi="Wingdings" w:cs="OpenSymbol"/>
        <w:strike w:val="0"/>
        <w:dstrike w:val="0"/>
        <w:color w:val="000000"/>
        <w:sz w:val="24"/>
        <w:szCs w:val="24"/>
      </w:rPr>
    </w:lvl>
    <w:lvl w:ilvl="3">
      <w:start w:val="1"/>
      <w:numFmt w:val="bullet"/>
      <w:lvlText w:val=""/>
      <w:lvlJc w:val="left"/>
      <w:pPr>
        <w:tabs>
          <w:tab w:val="num" w:pos="1800"/>
        </w:tabs>
        <w:ind w:left="1800" w:hanging="360"/>
      </w:pPr>
      <w:rPr>
        <w:rFonts w:ascii="Wingdings" w:hAnsi="Wingdings" w:cs="OpenSymbol"/>
        <w:strike w:val="0"/>
        <w:dstrike w:val="0"/>
        <w:color w:val="000000"/>
        <w:sz w:val="24"/>
        <w:szCs w:val="24"/>
      </w:rPr>
    </w:lvl>
    <w:lvl w:ilvl="4">
      <w:start w:val="1"/>
      <w:numFmt w:val="bullet"/>
      <w:lvlText w:val=""/>
      <w:lvlJc w:val="left"/>
      <w:pPr>
        <w:tabs>
          <w:tab w:val="num" w:pos="2160"/>
        </w:tabs>
        <w:ind w:left="2160" w:hanging="360"/>
      </w:pPr>
      <w:rPr>
        <w:rFonts w:ascii="Wingdings" w:hAnsi="Wingdings" w:cs="OpenSymbol"/>
        <w:strike w:val="0"/>
        <w:dstrike w:val="0"/>
        <w:color w:val="000000"/>
        <w:sz w:val="24"/>
        <w:szCs w:val="24"/>
      </w:rPr>
    </w:lvl>
    <w:lvl w:ilvl="5">
      <w:start w:val="1"/>
      <w:numFmt w:val="bullet"/>
      <w:lvlText w:val=""/>
      <w:lvlJc w:val="left"/>
      <w:pPr>
        <w:tabs>
          <w:tab w:val="num" w:pos="2520"/>
        </w:tabs>
        <w:ind w:left="2520" w:hanging="360"/>
      </w:pPr>
      <w:rPr>
        <w:rFonts w:ascii="Wingdings" w:hAnsi="Wingdings" w:cs="OpenSymbol"/>
        <w:strike w:val="0"/>
        <w:dstrike w:val="0"/>
        <w:color w:val="000000"/>
        <w:sz w:val="24"/>
        <w:szCs w:val="24"/>
      </w:rPr>
    </w:lvl>
    <w:lvl w:ilvl="6">
      <w:start w:val="1"/>
      <w:numFmt w:val="bullet"/>
      <w:lvlText w:val=""/>
      <w:lvlJc w:val="left"/>
      <w:pPr>
        <w:tabs>
          <w:tab w:val="num" w:pos="2880"/>
        </w:tabs>
        <w:ind w:left="2880" w:hanging="360"/>
      </w:pPr>
      <w:rPr>
        <w:rFonts w:ascii="Wingdings" w:hAnsi="Wingdings" w:cs="OpenSymbol"/>
        <w:strike w:val="0"/>
        <w:dstrike w:val="0"/>
        <w:color w:val="000000"/>
        <w:sz w:val="24"/>
        <w:szCs w:val="24"/>
      </w:rPr>
    </w:lvl>
    <w:lvl w:ilvl="7">
      <w:start w:val="1"/>
      <w:numFmt w:val="bullet"/>
      <w:lvlText w:val=""/>
      <w:lvlJc w:val="left"/>
      <w:pPr>
        <w:tabs>
          <w:tab w:val="num" w:pos="3240"/>
        </w:tabs>
        <w:ind w:left="3240" w:hanging="360"/>
      </w:pPr>
      <w:rPr>
        <w:rFonts w:ascii="Wingdings" w:hAnsi="Wingdings" w:cs="OpenSymbol"/>
        <w:strike w:val="0"/>
        <w:dstrike w:val="0"/>
        <w:color w:val="000000"/>
        <w:sz w:val="24"/>
        <w:szCs w:val="24"/>
      </w:rPr>
    </w:lvl>
    <w:lvl w:ilvl="8">
      <w:start w:val="1"/>
      <w:numFmt w:val="bullet"/>
      <w:lvlText w:val=""/>
      <w:lvlJc w:val="left"/>
      <w:pPr>
        <w:tabs>
          <w:tab w:val="num" w:pos="3600"/>
        </w:tabs>
        <w:ind w:left="3600" w:hanging="360"/>
      </w:pPr>
      <w:rPr>
        <w:rFonts w:ascii="Wingdings" w:hAnsi="Wingdings" w:cs="OpenSymbol"/>
        <w:strike w:val="0"/>
        <w:dstrike w:val="0"/>
        <w:color w:val="000000"/>
        <w:sz w:val="24"/>
        <w:szCs w:val="24"/>
      </w:rPr>
    </w:lvl>
  </w:abstractNum>
  <w:abstractNum w:abstractNumId="42" w15:restartNumberingAfterBreak="0">
    <w:nsid w:val="0000004B"/>
    <w:multiLevelType w:val="multilevel"/>
    <w:tmpl w:val="0000004B"/>
    <w:name w:val="WW8Num75"/>
    <w:lvl w:ilvl="0">
      <w:numFmt w:val="bullet"/>
      <w:lvlText w:val="·"/>
      <w:lvlJc w:val="left"/>
      <w:pPr>
        <w:tabs>
          <w:tab w:val="num" w:pos="0"/>
        </w:tabs>
        <w:ind w:left="720" w:hanging="360"/>
      </w:pPr>
      <w:rPr>
        <w:rFonts w:ascii="Symbol" w:hAnsi="Symbol" w:cs="Symbol"/>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3" w15:restartNumberingAfterBreak="0">
    <w:nsid w:val="0000004C"/>
    <w:multiLevelType w:val="multilevel"/>
    <w:tmpl w:val="0000004C"/>
    <w:name w:val="WW8Num76"/>
    <w:lvl w:ilvl="0">
      <w:start w:val="1"/>
      <w:numFmt w:val="bullet"/>
      <w:lvlText w:val=""/>
      <w:lvlJc w:val="left"/>
      <w:pPr>
        <w:tabs>
          <w:tab w:val="num" w:pos="720"/>
        </w:tabs>
        <w:ind w:left="720" w:hanging="360"/>
      </w:pPr>
      <w:rPr>
        <w:rFonts w:ascii="Wingdings" w:hAnsi="Wingdings" w:cs="OpenSymbol"/>
        <w:lang w:eastAsia="ro-RO"/>
      </w:rPr>
    </w:lvl>
    <w:lvl w:ilvl="1">
      <w:start w:val="1"/>
      <w:numFmt w:val="bullet"/>
      <w:lvlText w:val=""/>
      <w:lvlJc w:val="left"/>
      <w:pPr>
        <w:tabs>
          <w:tab w:val="num" w:pos="1080"/>
        </w:tabs>
        <w:ind w:left="1080" w:hanging="360"/>
      </w:pPr>
      <w:rPr>
        <w:rFonts w:ascii="Wingdings" w:hAnsi="Wingdings" w:cs="OpenSymbol"/>
        <w:lang w:eastAsia="ro-RO"/>
      </w:rPr>
    </w:lvl>
    <w:lvl w:ilvl="2">
      <w:start w:val="1"/>
      <w:numFmt w:val="bullet"/>
      <w:lvlText w:val=""/>
      <w:lvlJc w:val="left"/>
      <w:pPr>
        <w:tabs>
          <w:tab w:val="num" w:pos="1440"/>
        </w:tabs>
        <w:ind w:left="1440" w:hanging="360"/>
      </w:pPr>
      <w:rPr>
        <w:rFonts w:ascii="Wingdings" w:hAnsi="Wingdings" w:cs="OpenSymbol"/>
        <w:lang w:eastAsia="ro-RO"/>
      </w:rPr>
    </w:lvl>
    <w:lvl w:ilvl="3">
      <w:start w:val="1"/>
      <w:numFmt w:val="bullet"/>
      <w:lvlText w:val=""/>
      <w:lvlJc w:val="left"/>
      <w:pPr>
        <w:tabs>
          <w:tab w:val="num" w:pos="1800"/>
        </w:tabs>
        <w:ind w:left="1800" w:hanging="360"/>
      </w:pPr>
      <w:rPr>
        <w:rFonts w:ascii="Wingdings" w:hAnsi="Wingdings" w:cs="OpenSymbol"/>
        <w:lang w:eastAsia="ro-RO"/>
      </w:rPr>
    </w:lvl>
    <w:lvl w:ilvl="4">
      <w:start w:val="1"/>
      <w:numFmt w:val="bullet"/>
      <w:lvlText w:val=""/>
      <w:lvlJc w:val="left"/>
      <w:pPr>
        <w:tabs>
          <w:tab w:val="num" w:pos="2160"/>
        </w:tabs>
        <w:ind w:left="2160" w:hanging="360"/>
      </w:pPr>
      <w:rPr>
        <w:rFonts w:ascii="Wingdings" w:hAnsi="Wingdings" w:cs="OpenSymbol"/>
        <w:lang w:eastAsia="ro-RO"/>
      </w:rPr>
    </w:lvl>
    <w:lvl w:ilvl="5">
      <w:start w:val="1"/>
      <w:numFmt w:val="bullet"/>
      <w:lvlText w:val=""/>
      <w:lvlJc w:val="left"/>
      <w:pPr>
        <w:tabs>
          <w:tab w:val="num" w:pos="2520"/>
        </w:tabs>
        <w:ind w:left="2520" w:hanging="360"/>
      </w:pPr>
      <w:rPr>
        <w:rFonts w:ascii="Wingdings" w:hAnsi="Wingdings" w:cs="OpenSymbol"/>
        <w:lang w:eastAsia="ro-RO"/>
      </w:rPr>
    </w:lvl>
    <w:lvl w:ilvl="6">
      <w:start w:val="1"/>
      <w:numFmt w:val="bullet"/>
      <w:lvlText w:val=""/>
      <w:lvlJc w:val="left"/>
      <w:pPr>
        <w:tabs>
          <w:tab w:val="num" w:pos="2880"/>
        </w:tabs>
        <w:ind w:left="2880" w:hanging="360"/>
      </w:pPr>
      <w:rPr>
        <w:rFonts w:ascii="Wingdings" w:hAnsi="Wingdings" w:cs="OpenSymbol"/>
        <w:lang w:eastAsia="ro-RO"/>
      </w:rPr>
    </w:lvl>
    <w:lvl w:ilvl="7">
      <w:start w:val="1"/>
      <w:numFmt w:val="bullet"/>
      <w:lvlText w:val=""/>
      <w:lvlJc w:val="left"/>
      <w:pPr>
        <w:tabs>
          <w:tab w:val="num" w:pos="3240"/>
        </w:tabs>
        <w:ind w:left="3240" w:hanging="360"/>
      </w:pPr>
      <w:rPr>
        <w:rFonts w:ascii="Wingdings" w:hAnsi="Wingdings" w:cs="OpenSymbol"/>
        <w:lang w:eastAsia="ro-RO"/>
      </w:rPr>
    </w:lvl>
    <w:lvl w:ilvl="8">
      <w:start w:val="1"/>
      <w:numFmt w:val="bullet"/>
      <w:lvlText w:val=""/>
      <w:lvlJc w:val="left"/>
      <w:pPr>
        <w:tabs>
          <w:tab w:val="num" w:pos="3600"/>
        </w:tabs>
        <w:ind w:left="3600" w:hanging="360"/>
      </w:pPr>
      <w:rPr>
        <w:rFonts w:ascii="Wingdings" w:hAnsi="Wingdings" w:cs="OpenSymbol"/>
        <w:lang w:eastAsia="ro-RO"/>
      </w:rPr>
    </w:lvl>
  </w:abstractNum>
  <w:abstractNum w:abstractNumId="44" w15:restartNumberingAfterBreak="0">
    <w:nsid w:val="0000004D"/>
    <w:multiLevelType w:val="multilevel"/>
    <w:tmpl w:val="0000004D"/>
    <w:name w:val="WW8Num77"/>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45" w15:restartNumberingAfterBreak="0">
    <w:nsid w:val="0000004E"/>
    <w:multiLevelType w:val="multilevel"/>
    <w:tmpl w:val="0000004E"/>
    <w:name w:val="WW8Num78"/>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46" w15:restartNumberingAfterBreak="0">
    <w:nsid w:val="0000004F"/>
    <w:multiLevelType w:val="multilevel"/>
    <w:tmpl w:val="0000004F"/>
    <w:name w:val="WW8Num79"/>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47" w15:restartNumberingAfterBreak="0">
    <w:nsid w:val="00000050"/>
    <w:multiLevelType w:val="multilevel"/>
    <w:tmpl w:val="00000050"/>
    <w:name w:val="WW8Num80"/>
    <w:lvl w:ilvl="0">
      <w:start w:val="1"/>
      <w:numFmt w:val="bullet"/>
      <w:lvlText w:val=""/>
      <w:lvlJc w:val="left"/>
      <w:pPr>
        <w:tabs>
          <w:tab w:val="num" w:pos="720"/>
        </w:tabs>
        <w:ind w:left="720" w:hanging="360"/>
      </w:pPr>
      <w:rPr>
        <w:rFonts w:ascii="Wingdings" w:hAnsi="Wingdings" w:cs="OpenSymbol"/>
        <w:strike w:val="0"/>
        <w:dstrike w:val="0"/>
        <w:color w:val="000000"/>
        <w:sz w:val="24"/>
        <w:szCs w:val="24"/>
      </w:rPr>
    </w:lvl>
    <w:lvl w:ilvl="1">
      <w:start w:val="1"/>
      <w:numFmt w:val="bullet"/>
      <w:lvlText w:val=""/>
      <w:lvlJc w:val="left"/>
      <w:pPr>
        <w:tabs>
          <w:tab w:val="num" w:pos="1080"/>
        </w:tabs>
        <w:ind w:left="1080" w:hanging="360"/>
      </w:pPr>
      <w:rPr>
        <w:rFonts w:ascii="Wingdings" w:hAnsi="Wingdings" w:cs="OpenSymbol"/>
        <w:strike w:val="0"/>
        <w:dstrike w:val="0"/>
        <w:color w:val="000000"/>
        <w:sz w:val="24"/>
        <w:szCs w:val="24"/>
      </w:rPr>
    </w:lvl>
    <w:lvl w:ilvl="2">
      <w:start w:val="1"/>
      <w:numFmt w:val="bullet"/>
      <w:lvlText w:val=""/>
      <w:lvlJc w:val="left"/>
      <w:pPr>
        <w:tabs>
          <w:tab w:val="num" w:pos="1440"/>
        </w:tabs>
        <w:ind w:left="1440" w:hanging="360"/>
      </w:pPr>
      <w:rPr>
        <w:rFonts w:ascii="Wingdings" w:hAnsi="Wingdings" w:cs="OpenSymbol"/>
        <w:strike w:val="0"/>
        <w:dstrike w:val="0"/>
        <w:color w:val="000000"/>
        <w:sz w:val="24"/>
        <w:szCs w:val="24"/>
      </w:rPr>
    </w:lvl>
    <w:lvl w:ilvl="3">
      <w:start w:val="1"/>
      <w:numFmt w:val="bullet"/>
      <w:lvlText w:val=""/>
      <w:lvlJc w:val="left"/>
      <w:pPr>
        <w:tabs>
          <w:tab w:val="num" w:pos="1800"/>
        </w:tabs>
        <w:ind w:left="1800" w:hanging="360"/>
      </w:pPr>
      <w:rPr>
        <w:rFonts w:ascii="Wingdings" w:hAnsi="Wingdings" w:cs="OpenSymbol"/>
        <w:strike w:val="0"/>
        <w:dstrike w:val="0"/>
        <w:color w:val="000000"/>
        <w:sz w:val="24"/>
        <w:szCs w:val="24"/>
      </w:rPr>
    </w:lvl>
    <w:lvl w:ilvl="4">
      <w:start w:val="1"/>
      <w:numFmt w:val="bullet"/>
      <w:lvlText w:val=""/>
      <w:lvlJc w:val="left"/>
      <w:pPr>
        <w:tabs>
          <w:tab w:val="num" w:pos="2160"/>
        </w:tabs>
        <w:ind w:left="2160" w:hanging="360"/>
      </w:pPr>
      <w:rPr>
        <w:rFonts w:ascii="Wingdings" w:hAnsi="Wingdings" w:cs="OpenSymbol"/>
        <w:strike w:val="0"/>
        <w:dstrike w:val="0"/>
        <w:color w:val="000000"/>
        <w:sz w:val="24"/>
        <w:szCs w:val="24"/>
      </w:rPr>
    </w:lvl>
    <w:lvl w:ilvl="5">
      <w:start w:val="1"/>
      <w:numFmt w:val="bullet"/>
      <w:lvlText w:val=""/>
      <w:lvlJc w:val="left"/>
      <w:pPr>
        <w:tabs>
          <w:tab w:val="num" w:pos="2520"/>
        </w:tabs>
        <w:ind w:left="2520" w:hanging="360"/>
      </w:pPr>
      <w:rPr>
        <w:rFonts w:ascii="Wingdings" w:hAnsi="Wingdings" w:cs="OpenSymbol"/>
        <w:strike w:val="0"/>
        <w:dstrike w:val="0"/>
        <w:color w:val="000000"/>
        <w:sz w:val="24"/>
        <w:szCs w:val="24"/>
      </w:rPr>
    </w:lvl>
    <w:lvl w:ilvl="6">
      <w:start w:val="1"/>
      <w:numFmt w:val="bullet"/>
      <w:lvlText w:val=""/>
      <w:lvlJc w:val="left"/>
      <w:pPr>
        <w:tabs>
          <w:tab w:val="num" w:pos="2880"/>
        </w:tabs>
        <w:ind w:left="2880" w:hanging="360"/>
      </w:pPr>
      <w:rPr>
        <w:rFonts w:ascii="Wingdings" w:hAnsi="Wingdings" w:cs="OpenSymbol"/>
        <w:strike w:val="0"/>
        <w:dstrike w:val="0"/>
        <w:color w:val="000000"/>
        <w:sz w:val="24"/>
        <w:szCs w:val="24"/>
      </w:rPr>
    </w:lvl>
    <w:lvl w:ilvl="7">
      <w:start w:val="1"/>
      <w:numFmt w:val="bullet"/>
      <w:lvlText w:val=""/>
      <w:lvlJc w:val="left"/>
      <w:pPr>
        <w:tabs>
          <w:tab w:val="num" w:pos="3240"/>
        </w:tabs>
        <w:ind w:left="3240" w:hanging="360"/>
      </w:pPr>
      <w:rPr>
        <w:rFonts w:ascii="Wingdings" w:hAnsi="Wingdings" w:cs="OpenSymbol"/>
        <w:strike w:val="0"/>
        <w:dstrike w:val="0"/>
        <w:color w:val="000000"/>
        <w:sz w:val="24"/>
        <w:szCs w:val="24"/>
      </w:rPr>
    </w:lvl>
    <w:lvl w:ilvl="8">
      <w:start w:val="1"/>
      <w:numFmt w:val="bullet"/>
      <w:lvlText w:val=""/>
      <w:lvlJc w:val="left"/>
      <w:pPr>
        <w:tabs>
          <w:tab w:val="num" w:pos="3600"/>
        </w:tabs>
        <w:ind w:left="3600" w:hanging="360"/>
      </w:pPr>
      <w:rPr>
        <w:rFonts w:ascii="Wingdings" w:hAnsi="Wingdings" w:cs="OpenSymbol"/>
        <w:strike w:val="0"/>
        <w:dstrike w:val="0"/>
        <w:color w:val="000000"/>
        <w:sz w:val="24"/>
        <w:szCs w:val="24"/>
      </w:rPr>
    </w:lvl>
  </w:abstractNum>
  <w:abstractNum w:abstractNumId="48" w15:restartNumberingAfterBreak="0">
    <w:nsid w:val="00000051"/>
    <w:multiLevelType w:val="multilevel"/>
    <w:tmpl w:val="00000051"/>
    <w:name w:val="WW8Num81"/>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49" w15:restartNumberingAfterBreak="0">
    <w:nsid w:val="00000052"/>
    <w:multiLevelType w:val="multilevel"/>
    <w:tmpl w:val="00000052"/>
    <w:name w:val="WW8Num82"/>
    <w:lvl w:ilvl="0">
      <w:start w:val="1"/>
      <w:numFmt w:val="bullet"/>
      <w:lvlText w:val=""/>
      <w:lvlJc w:val="left"/>
      <w:pPr>
        <w:tabs>
          <w:tab w:val="num" w:pos="720"/>
        </w:tabs>
        <w:ind w:left="720" w:hanging="360"/>
      </w:pPr>
      <w:rPr>
        <w:rFonts w:ascii="Symbol" w:hAnsi="Symbol" w:cs="OpenSymbol"/>
        <w:color w:val="000000"/>
        <w:sz w:val="24"/>
        <w:szCs w:val="24"/>
      </w:rPr>
    </w:lvl>
    <w:lvl w:ilvl="1">
      <w:start w:val="1"/>
      <w:numFmt w:val="bullet"/>
      <w:lvlText w:val=""/>
      <w:lvlJc w:val="left"/>
      <w:pPr>
        <w:tabs>
          <w:tab w:val="num" w:pos="1080"/>
        </w:tabs>
        <w:ind w:left="1080" w:hanging="360"/>
      </w:pPr>
      <w:rPr>
        <w:rFonts w:ascii="Symbol" w:hAnsi="Symbol" w:cs="OpenSymbol"/>
        <w:color w:val="000000"/>
        <w:sz w:val="24"/>
        <w:szCs w:val="24"/>
      </w:rPr>
    </w:lvl>
    <w:lvl w:ilvl="2">
      <w:start w:val="1"/>
      <w:numFmt w:val="bullet"/>
      <w:lvlText w:val=""/>
      <w:lvlJc w:val="left"/>
      <w:pPr>
        <w:tabs>
          <w:tab w:val="num" w:pos="1440"/>
        </w:tabs>
        <w:ind w:left="1440" w:hanging="360"/>
      </w:pPr>
      <w:rPr>
        <w:rFonts w:ascii="Symbol" w:hAnsi="Symbol" w:cs="OpenSymbol"/>
        <w:color w:val="000000"/>
        <w:sz w:val="24"/>
        <w:szCs w:val="24"/>
      </w:rPr>
    </w:lvl>
    <w:lvl w:ilvl="3">
      <w:start w:val="1"/>
      <w:numFmt w:val="bullet"/>
      <w:lvlText w:val=""/>
      <w:lvlJc w:val="left"/>
      <w:pPr>
        <w:tabs>
          <w:tab w:val="num" w:pos="1800"/>
        </w:tabs>
        <w:ind w:left="1800" w:hanging="360"/>
      </w:pPr>
      <w:rPr>
        <w:rFonts w:ascii="Symbol" w:hAnsi="Symbol" w:cs="OpenSymbol"/>
        <w:color w:val="000000"/>
        <w:sz w:val="24"/>
        <w:szCs w:val="24"/>
      </w:rPr>
    </w:lvl>
    <w:lvl w:ilvl="4">
      <w:start w:val="1"/>
      <w:numFmt w:val="bullet"/>
      <w:lvlText w:val=""/>
      <w:lvlJc w:val="left"/>
      <w:pPr>
        <w:tabs>
          <w:tab w:val="num" w:pos="2160"/>
        </w:tabs>
        <w:ind w:left="2160" w:hanging="360"/>
      </w:pPr>
      <w:rPr>
        <w:rFonts w:ascii="Symbol" w:hAnsi="Symbol" w:cs="OpenSymbol"/>
        <w:color w:val="000000"/>
        <w:sz w:val="24"/>
        <w:szCs w:val="24"/>
      </w:rPr>
    </w:lvl>
    <w:lvl w:ilvl="5">
      <w:start w:val="1"/>
      <w:numFmt w:val="bullet"/>
      <w:lvlText w:val=""/>
      <w:lvlJc w:val="left"/>
      <w:pPr>
        <w:tabs>
          <w:tab w:val="num" w:pos="2520"/>
        </w:tabs>
        <w:ind w:left="2520" w:hanging="360"/>
      </w:pPr>
      <w:rPr>
        <w:rFonts w:ascii="Symbol" w:hAnsi="Symbol" w:cs="OpenSymbol"/>
        <w:color w:val="000000"/>
        <w:sz w:val="24"/>
        <w:szCs w:val="24"/>
      </w:rPr>
    </w:lvl>
    <w:lvl w:ilvl="6">
      <w:start w:val="1"/>
      <w:numFmt w:val="bullet"/>
      <w:lvlText w:val=""/>
      <w:lvlJc w:val="left"/>
      <w:pPr>
        <w:tabs>
          <w:tab w:val="num" w:pos="2880"/>
        </w:tabs>
        <w:ind w:left="2880" w:hanging="360"/>
      </w:pPr>
      <w:rPr>
        <w:rFonts w:ascii="Symbol" w:hAnsi="Symbol" w:cs="OpenSymbol"/>
        <w:color w:val="000000"/>
        <w:sz w:val="24"/>
        <w:szCs w:val="24"/>
      </w:rPr>
    </w:lvl>
    <w:lvl w:ilvl="7">
      <w:start w:val="1"/>
      <w:numFmt w:val="bullet"/>
      <w:lvlText w:val=""/>
      <w:lvlJc w:val="left"/>
      <w:pPr>
        <w:tabs>
          <w:tab w:val="num" w:pos="3240"/>
        </w:tabs>
        <w:ind w:left="3240" w:hanging="360"/>
      </w:pPr>
      <w:rPr>
        <w:rFonts w:ascii="Symbol" w:hAnsi="Symbol" w:cs="OpenSymbol"/>
        <w:color w:val="000000"/>
        <w:sz w:val="24"/>
        <w:szCs w:val="24"/>
      </w:rPr>
    </w:lvl>
    <w:lvl w:ilvl="8">
      <w:start w:val="1"/>
      <w:numFmt w:val="bullet"/>
      <w:lvlText w:val=""/>
      <w:lvlJc w:val="left"/>
      <w:pPr>
        <w:tabs>
          <w:tab w:val="num" w:pos="3600"/>
        </w:tabs>
        <w:ind w:left="3600" w:hanging="360"/>
      </w:pPr>
      <w:rPr>
        <w:rFonts w:ascii="Symbol" w:hAnsi="Symbol" w:cs="OpenSymbol"/>
        <w:color w:val="000000"/>
        <w:sz w:val="24"/>
        <w:szCs w:val="24"/>
      </w:rPr>
    </w:lvl>
  </w:abstractNum>
  <w:abstractNum w:abstractNumId="50" w15:restartNumberingAfterBreak="0">
    <w:nsid w:val="00000053"/>
    <w:multiLevelType w:val="multilevel"/>
    <w:tmpl w:val="00000053"/>
    <w:name w:val="WW8Num83"/>
    <w:lvl w:ilvl="0">
      <w:start w:val="1"/>
      <w:numFmt w:val="bullet"/>
      <w:lvlText w:val=""/>
      <w:lvlJc w:val="left"/>
      <w:pPr>
        <w:tabs>
          <w:tab w:val="num" w:pos="720"/>
        </w:tabs>
        <w:ind w:left="720" w:hanging="360"/>
      </w:pPr>
      <w:rPr>
        <w:rFonts w:ascii="Symbol" w:hAnsi="Symbol" w:cs="OpenSymbol"/>
        <w:color w:val="000000"/>
        <w:sz w:val="24"/>
        <w:szCs w:val="24"/>
      </w:rPr>
    </w:lvl>
    <w:lvl w:ilvl="1">
      <w:start w:val="1"/>
      <w:numFmt w:val="bullet"/>
      <w:lvlText w:val=""/>
      <w:lvlJc w:val="left"/>
      <w:pPr>
        <w:tabs>
          <w:tab w:val="num" w:pos="1080"/>
        </w:tabs>
        <w:ind w:left="1080" w:hanging="360"/>
      </w:pPr>
      <w:rPr>
        <w:rFonts w:ascii="Symbol" w:hAnsi="Symbol" w:cs="OpenSymbol"/>
        <w:color w:val="000000"/>
        <w:sz w:val="24"/>
        <w:szCs w:val="24"/>
      </w:rPr>
    </w:lvl>
    <w:lvl w:ilvl="2">
      <w:start w:val="1"/>
      <w:numFmt w:val="bullet"/>
      <w:lvlText w:val=""/>
      <w:lvlJc w:val="left"/>
      <w:pPr>
        <w:tabs>
          <w:tab w:val="num" w:pos="1440"/>
        </w:tabs>
        <w:ind w:left="1440" w:hanging="360"/>
      </w:pPr>
      <w:rPr>
        <w:rFonts w:ascii="Symbol" w:hAnsi="Symbol" w:cs="OpenSymbol"/>
        <w:color w:val="000000"/>
        <w:sz w:val="24"/>
        <w:szCs w:val="24"/>
      </w:rPr>
    </w:lvl>
    <w:lvl w:ilvl="3">
      <w:start w:val="1"/>
      <w:numFmt w:val="bullet"/>
      <w:lvlText w:val=""/>
      <w:lvlJc w:val="left"/>
      <w:pPr>
        <w:tabs>
          <w:tab w:val="num" w:pos="1800"/>
        </w:tabs>
        <w:ind w:left="1800" w:hanging="360"/>
      </w:pPr>
      <w:rPr>
        <w:rFonts w:ascii="Symbol" w:hAnsi="Symbol" w:cs="OpenSymbol"/>
        <w:color w:val="000000"/>
        <w:sz w:val="24"/>
        <w:szCs w:val="24"/>
      </w:rPr>
    </w:lvl>
    <w:lvl w:ilvl="4">
      <w:start w:val="1"/>
      <w:numFmt w:val="bullet"/>
      <w:lvlText w:val=""/>
      <w:lvlJc w:val="left"/>
      <w:pPr>
        <w:tabs>
          <w:tab w:val="num" w:pos="2160"/>
        </w:tabs>
        <w:ind w:left="2160" w:hanging="360"/>
      </w:pPr>
      <w:rPr>
        <w:rFonts w:ascii="Symbol" w:hAnsi="Symbol" w:cs="OpenSymbol"/>
        <w:color w:val="000000"/>
        <w:sz w:val="24"/>
        <w:szCs w:val="24"/>
      </w:rPr>
    </w:lvl>
    <w:lvl w:ilvl="5">
      <w:start w:val="1"/>
      <w:numFmt w:val="bullet"/>
      <w:lvlText w:val=""/>
      <w:lvlJc w:val="left"/>
      <w:pPr>
        <w:tabs>
          <w:tab w:val="num" w:pos="2520"/>
        </w:tabs>
        <w:ind w:left="2520" w:hanging="360"/>
      </w:pPr>
      <w:rPr>
        <w:rFonts w:ascii="Symbol" w:hAnsi="Symbol" w:cs="OpenSymbol"/>
        <w:color w:val="000000"/>
        <w:sz w:val="24"/>
        <w:szCs w:val="24"/>
      </w:rPr>
    </w:lvl>
    <w:lvl w:ilvl="6">
      <w:start w:val="1"/>
      <w:numFmt w:val="bullet"/>
      <w:lvlText w:val=""/>
      <w:lvlJc w:val="left"/>
      <w:pPr>
        <w:tabs>
          <w:tab w:val="num" w:pos="2880"/>
        </w:tabs>
        <w:ind w:left="2880" w:hanging="360"/>
      </w:pPr>
      <w:rPr>
        <w:rFonts w:ascii="Symbol" w:hAnsi="Symbol" w:cs="OpenSymbol"/>
        <w:color w:val="000000"/>
        <w:sz w:val="24"/>
        <w:szCs w:val="24"/>
      </w:rPr>
    </w:lvl>
    <w:lvl w:ilvl="7">
      <w:start w:val="1"/>
      <w:numFmt w:val="bullet"/>
      <w:lvlText w:val=""/>
      <w:lvlJc w:val="left"/>
      <w:pPr>
        <w:tabs>
          <w:tab w:val="num" w:pos="3240"/>
        </w:tabs>
        <w:ind w:left="3240" w:hanging="360"/>
      </w:pPr>
      <w:rPr>
        <w:rFonts w:ascii="Symbol" w:hAnsi="Symbol" w:cs="OpenSymbol"/>
        <w:color w:val="000000"/>
        <w:sz w:val="24"/>
        <w:szCs w:val="24"/>
      </w:rPr>
    </w:lvl>
    <w:lvl w:ilvl="8">
      <w:start w:val="1"/>
      <w:numFmt w:val="bullet"/>
      <w:lvlText w:val=""/>
      <w:lvlJc w:val="left"/>
      <w:pPr>
        <w:tabs>
          <w:tab w:val="num" w:pos="3600"/>
        </w:tabs>
        <w:ind w:left="3600" w:hanging="360"/>
      </w:pPr>
      <w:rPr>
        <w:rFonts w:ascii="Symbol" w:hAnsi="Symbol" w:cs="OpenSymbol"/>
        <w:color w:val="000000"/>
        <w:sz w:val="24"/>
        <w:szCs w:val="24"/>
      </w:rPr>
    </w:lvl>
  </w:abstractNum>
  <w:abstractNum w:abstractNumId="51" w15:restartNumberingAfterBreak="0">
    <w:nsid w:val="00000054"/>
    <w:multiLevelType w:val="multilevel"/>
    <w:tmpl w:val="00000054"/>
    <w:name w:val="WW8Num84"/>
    <w:lvl w:ilvl="0">
      <w:start w:val="1"/>
      <w:numFmt w:val="bullet"/>
      <w:lvlText w:val=""/>
      <w:lvlJc w:val="left"/>
      <w:pPr>
        <w:tabs>
          <w:tab w:val="num" w:pos="720"/>
        </w:tabs>
        <w:ind w:left="720" w:hanging="360"/>
      </w:pPr>
      <w:rPr>
        <w:rFonts w:ascii="Symbol" w:hAnsi="Symbol" w:cs="OpenSymbol"/>
        <w:strike w:val="0"/>
        <w:dstrike w:val="0"/>
        <w:color w:val="000000"/>
        <w:sz w:val="24"/>
        <w:szCs w:val="24"/>
      </w:rPr>
    </w:lvl>
    <w:lvl w:ilvl="1">
      <w:start w:val="1"/>
      <w:numFmt w:val="bullet"/>
      <w:lvlText w:val=""/>
      <w:lvlJc w:val="left"/>
      <w:pPr>
        <w:tabs>
          <w:tab w:val="num" w:pos="1080"/>
        </w:tabs>
        <w:ind w:left="1080" w:hanging="360"/>
      </w:pPr>
      <w:rPr>
        <w:rFonts w:ascii="Symbol" w:hAnsi="Symbol" w:cs="OpenSymbol"/>
        <w:strike w:val="0"/>
        <w:dstrike w:val="0"/>
        <w:color w:val="000000"/>
        <w:sz w:val="24"/>
        <w:szCs w:val="24"/>
      </w:rPr>
    </w:lvl>
    <w:lvl w:ilvl="2">
      <w:start w:val="1"/>
      <w:numFmt w:val="bullet"/>
      <w:lvlText w:val=""/>
      <w:lvlJc w:val="left"/>
      <w:pPr>
        <w:tabs>
          <w:tab w:val="num" w:pos="1440"/>
        </w:tabs>
        <w:ind w:left="1440" w:hanging="360"/>
      </w:pPr>
      <w:rPr>
        <w:rFonts w:ascii="Symbol" w:hAnsi="Symbol" w:cs="OpenSymbol"/>
        <w:strike w:val="0"/>
        <w:dstrike w:val="0"/>
        <w:color w:val="000000"/>
        <w:sz w:val="24"/>
        <w:szCs w:val="24"/>
      </w:rPr>
    </w:lvl>
    <w:lvl w:ilvl="3">
      <w:start w:val="1"/>
      <w:numFmt w:val="bullet"/>
      <w:lvlText w:val=""/>
      <w:lvlJc w:val="left"/>
      <w:pPr>
        <w:tabs>
          <w:tab w:val="num" w:pos="1800"/>
        </w:tabs>
        <w:ind w:left="1800" w:hanging="360"/>
      </w:pPr>
      <w:rPr>
        <w:rFonts w:ascii="Symbol" w:hAnsi="Symbol" w:cs="OpenSymbol"/>
        <w:strike w:val="0"/>
        <w:dstrike w:val="0"/>
        <w:color w:val="000000"/>
        <w:sz w:val="24"/>
        <w:szCs w:val="24"/>
      </w:rPr>
    </w:lvl>
    <w:lvl w:ilvl="4">
      <w:start w:val="1"/>
      <w:numFmt w:val="bullet"/>
      <w:lvlText w:val=""/>
      <w:lvlJc w:val="left"/>
      <w:pPr>
        <w:tabs>
          <w:tab w:val="num" w:pos="2160"/>
        </w:tabs>
        <w:ind w:left="2160" w:hanging="360"/>
      </w:pPr>
      <w:rPr>
        <w:rFonts w:ascii="Symbol" w:hAnsi="Symbol" w:cs="OpenSymbol"/>
        <w:strike w:val="0"/>
        <w:dstrike w:val="0"/>
        <w:color w:val="000000"/>
        <w:sz w:val="24"/>
        <w:szCs w:val="24"/>
      </w:rPr>
    </w:lvl>
    <w:lvl w:ilvl="5">
      <w:start w:val="1"/>
      <w:numFmt w:val="bullet"/>
      <w:lvlText w:val=""/>
      <w:lvlJc w:val="left"/>
      <w:pPr>
        <w:tabs>
          <w:tab w:val="num" w:pos="2520"/>
        </w:tabs>
        <w:ind w:left="2520" w:hanging="360"/>
      </w:pPr>
      <w:rPr>
        <w:rFonts w:ascii="Symbol" w:hAnsi="Symbol" w:cs="OpenSymbol"/>
        <w:strike w:val="0"/>
        <w:dstrike w:val="0"/>
        <w:color w:val="000000"/>
        <w:sz w:val="24"/>
        <w:szCs w:val="24"/>
      </w:rPr>
    </w:lvl>
    <w:lvl w:ilvl="6">
      <w:start w:val="1"/>
      <w:numFmt w:val="bullet"/>
      <w:lvlText w:val=""/>
      <w:lvlJc w:val="left"/>
      <w:pPr>
        <w:tabs>
          <w:tab w:val="num" w:pos="2880"/>
        </w:tabs>
        <w:ind w:left="2880" w:hanging="360"/>
      </w:pPr>
      <w:rPr>
        <w:rFonts w:ascii="Symbol" w:hAnsi="Symbol" w:cs="OpenSymbol"/>
        <w:strike w:val="0"/>
        <w:dstrike w:val="0"/>
        <w:color w:val="000000"/>
        <w:sz w:val="24"/>
        <w:szCs w:val="24"/>
      </w:rPr>
    </w:lvl>
    <w:lvl w:ilvl="7">
      <w:start w:val="1"/>
      <w:numFmt w:val="bullet"/>
      <w:lvlText w:val=""/>
      <w:lvlJc w:val="left"/>
      <w:pPr>
        <w:tabs>
          <w:tab w:val="num" w:pos="3240"/>
        </w:tabs>
        <w:ind w:left="3240" w:hanging="360"/>
      </w:pPr>
      <w:rPr>
        <w:rFonts w:ascii="Symbol" w:hAnsi="Symbol" w:cs="OpenSymbol"/>
        <w:strike w:val="0"/>
        <w:dstrike w:val="0"/>
        <w:color w:val="000000"/>
        <w:sz w:val="24"/>
        <w:szCs w:val="24"/>
      </w:rPr>
    </w:lvl>
    <w:lvl w:ilvl="8">
      <w:start w:val="1"/>
      <w:numFmt w:val="bullet"/>
      <w:lvlText w:val=""/>
      <w:lvlJc w:val="left"/>
      <w:pPr>
        <w:tabs>
          <w:tab w:val="num" w:pos="3600"/>
        </w:tabs>
        <w:ind w:left="3600" w:hanging="360"/>
      </w:pPr>
      <w:rPr>
        <w:rFonts w:ascii="Symbol" w:hAnsi="Symbol" w:cs="OpenSymbol"/>
        <w:strike w:val="0"/>
        <w:dstrike w:val="0"/>
        <w:color w:val="000000"/>
        <w:sz w:val="24"/>
        <w:szCs w:val="24"/>
      </w:rPr>
    </w:lvl>
  </w:abstractNum>
  <w:abstractNum w:abstractNumId="52" w15:restartNumberingAfterBreak="0">
    <w:nsid w:val="00000056"/>
    <w:multiLevelType w:val="multilevel"/>
    <w:tmpl w:val="00000056"/>
    <w:name w:val="WW8Num86"/>
    <w:lvl w:ilvl="0">
      <w:start w:val="1"/>
      <w:numFmt w:val="bullet"/>
      <w:lvlText w:val=""/>
      <w:lvlJc w:val="left"/>
      <w:pPr>
        <w:tabs>
          <w:tab w:val="num" w:pos="720"/>
        </w:tabs>
        <w:ind w:left="720" w:hanging="360"/>
      </w:pPr>
      <w:rPr>
        <w:rFonts w:ascii="Wingdings" w:hAnsi="Wingdings" w:cs="OpenSymbol"/>
        <w:color w:val="auto"/>
      </w:rPr>
    </w:lvl>
    <w:lvl w:ilvl="1">
      <w:start w:val="1"/>
      <w:numFmt w:val="bullet"/>
      <w:lvlText w:val=""/>
      <w:lvlJc w:val="left"/>
      <w:pPr>
        <w:tabs>
          <w:tab w:val="num" w:pos="1080"/>
        </w:tabs>
        <w:ind w:left="1080" w:hanging="360"/>
      </w:pPr>
      <w:rPr>
        <w:rFonts w:ascii="Wingdings" w:hAnsi="Wingdings" w:cs="OpenSymbol"/>
        <w:color w:val="auto"/>
      </w:rPr>
    </w:lvl>
    <w:lvl w:ilvl="2">
      <w:start w:val="1"/>
      <w:numFmt w:val="bullet"/>
      <w:lvlText w:val=""/>
      <w:lvlJc w:val="left"/>
      <w:pPr>
        <w:tabs>
          <w:tab w:val="num" w:pos="1440"/>
        </w:tabs>
        <w:ind w:left="1440" w:hanging="360"/>
      </w:pPr>
      <w:rPr>
        <w:rFonts w:ascii="Wingdings" w:hAnsi="Wingdings" w:cs="OpenSymbol"/>
        <w:color w:val="auto"/>
      </w:rPr>
    </w:lvl>
    <w:lvl w:ilvl="3">
      <w:start w:val="1"/>
      <w:numFmt w:val="bullet"/>
      <w:lvlText w:val=""/>
      <w:lvlJc w:val="left"/>
      <w:pPr>
        <w:tabs>
          <w:tab w:val="num" w:pos="1800"/>
        </w:tabs>
        <w:ind w:left="1800" w:hanging="360"/>
      </w:pPr>
      <w:rPr>
        <w:rFonts w:ascii="Wingdings" w:hAnsi="Wingdings" w:cs="OpenSymbol"/>
        <w:color w:val="auto"/>
      </w:rPr>
    </w:lvl>
    <w:lvl w:ilvl="4">
      <w:start w:val="1"/>
      <w:numFmt w:val="bullet"/>
      <w:lvlText w:val=""/>
      <w:lvlJc w:val="left"/>
      <w:pPr>
        <w:tabs>
          <w:tab w:val="num" w:pos="2160"/>
        </w:tabs>
        <w:ind w:left="2160" w:hanging="360"/>
      </w:pPr>
      <w:rPr>
        <w:rFonts w:ascii="Wingdings" w:hAnsi="Wingdings" w:cs="OpenSymbol"/>
        <w:color w:val="auto"/>
      </w:rPr>
    </w:lvl>
    <w:lvl w:ilvl="5">
      <w:start w:val="1"/>
      <w:numFmt w:val="bullet"/>
      <w:lvlText w:val=""/>
      <w:lvlJc w:val="left"/>
      <w:pPr>
        <w:tabs>
          <w:tab w:val="num" w:pos="2520"/>
        </w:tabs>
        <w:ind w:left="2520" w:hanging="360"/>
      </w:pPr>
      <w:rPr>
        <w:rFonts w:ascii="Wingdings" w:hAnsi="Wingdings" w:cs="OpenSymbol"/>
        <w:color w:val="auto"/>
      </w:rPr>
    </w:lvl>
    <w:lvl w:ilvl="6">
      <w:start w:val="1"/>
      <w:numFmt w:val="bullet"/>
      <w:lvlText w:val=""/>
      <w:lvlJc w:val="left"/>
      <w:pPr>
        <w:tabs>
          <w:tab w:val="num" w:pos="2880"/>
        </w:tabs>
        <w:ind w:left="2880" w:hanging="360"/>
      </w:pPr>
      <w:rPr>
        <w:rFonts w:ascii="Wingdings" w:hAnsi="Wingdings" w:cs="OpenSymbol"/>
        <w:color w:val="auto"/>
      </w:rPr>
    </w:lvl>
    <w:lvl w:ilvl="7">
      <w:start w:val="1"/>
      <w:numFmt w:val="bullet"/>
      <w:lvlText w:val=""/>
      <w:lvlJc w:val="left"/>
      <w:pPr>
        <w:tabs>
          <w:tab w:val="num" w:pos="3240"/>
        </w:tabs>
        <w:ind w:left="3240" w:hanging="360"/>
      </w:pPr>
      <w:rPr>
        <w:rFonts w:ascii="Wingdings" w:hAnsi="Wingdings" w:cs="OpenSymbol"/>
        <w:color w:val="auto"/>
      </w:rPr>
    </w:lvl>
    <w:lvl w:ilvl="8">
      <w:start w:val="1"/>
      <w:numFmt w:val="bullet"/>
      <w:lvlText w:val=""/>
      <w:lvlJc w:val="left"/>
      <w:pPr>
        <w:tabs>
          <w:tab w:val="num" w:pos="3600"/>
        </w:tabs>
        <w:ind w:left="3600" w:hanging="360"/>
      </w:pPr>
      <w:rPr>
        <w:rFonts w:ascii="Wingdings" w:hAnsi="Wingdings" w:cs="OpenSymbol"/>
        <w:color w:val="auto"/>
      </w:rPr>
    </w:lvl>
  </w:abstractNum>
  <w:abstractNum w:abstractNumId="53" w15:restartNumberingAfterBreak="0">
    <w:nsid w:val="00000057"/>
    <w:multiLevelType w:val="multilevel"/>
    <w:tmpl w:val="00000057"/>
    <w:name w:val="WW8Num87"/>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54" w15:restartNumberingAfterBreak="0">
    <w:nsid w:val="0000005A"/>
    <w:multiLevelType w:val="singleLevel"/>
    <w:tmpl w:val="0000005A"/>
    <w:name w:val="WW8Num90"/>
    <w:lvl w:ilvl="0">
      <w:numFmt w:val="bullet"/>
      <w:pStyle w:val="Titlu4"/>
      <w:lvlText w:val="-"/>
      <w:lvlJc w:val="left"/>
      <w:pPr>
        <w:tabs>
          <w:tab w:val="num" w:pos="0"/>
        </w:tabs>
        <w:ind w:left="720" w:hanging="360"/>
      </w:pPr>
      <w:rPr>
        <w:rFonts w:ascii="Calibri" w:hAnsi="Calibri" w:cs="Courier" w:hint="default"/>
      </w:rPr>
    </w:lvl>
  </w:abstractNum>
  <w:abstractNum w:abstractNumId="55" w15:restartNumberingAfterBreak="0">
    <w:nsid w:val="0000005B"/>
    <w:multiLevelType w:val="multilevel"/>
    <w:tmpl w:val="0000005B"/>
    <w:name w:val="WW8Num91"/>
    <w:lvl w:ilvl="0">
      <w:start w:val="1"/>
      <w:numFmt w:val="bullet"/>
      <w:lvlText w:val=""/>
      <w:lvlJc w:val="left"/>
      <w:pPr>
        <w:tabs>
          <w:tab w:val="num" w:pos="0"/>
        </w:tabs>
        <w:ind w:left="720" w:hanging="360"/>
      </w:pPr>
      <w:rPr>
        <w:rFonts w:ascii="Wingdings" w:hAnsi="Wingdings" w:cs="Symbol"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6" w15:restartNumberingAfterBreak="0">
    <w:nsid w:val="0000005C"/>
    <w:multiLevelType w:val="singleLevel"/>
    <w:tmpl w:val="0000005C"/>
    <w:name w:val="WW8Num92"/>
    <w:lvl w:ilvl="0">
      <w:numFmt w:val="bullet"/>
      <w:lvlText w:val="-"/>
      <w:lvlJc w:val="left"/>
      <w:pPr>
        <w:tabs>
          <w:tab w:val="num" w:pos="0"/>
        </w:tabs>
        <w:ind w:left="720" w:hanging="360"/>
      </w:pPr>
      <w:rPr>
        <w:rFonts w:ascii="Calibri" w:hAnsi="Calibri" w:cs="Times New Roman" w:hint="default"/>
      </w:rPr>
    </w:lvl>
  </w:abstractNum>
  <w:abstractNum w:abstractNumId="57" w15:restartNumberingAfterBreak="0">
    <w:nsid w:val="0000005E"/>
    <w:multiLevelType w:val="multilevel"/>
    <w:tmpl w:val="0000005E"/>
    <w:name w:val="WW8Num94"/>
    <w:lvl w:ilvl="0">
      <w:start w:val="1"/>
      <w:numFmt w:val="bullet"/>
      <w:lvlText w:val=""/>
      <w:lvlJc w:val="left"/>
      <w:pPr>
        <w:tabs>
          <w:tab w:val="num" w:pos="0"/>
        </w:tabs>
        <w:ind w:left="720" w:hanging="360"/>
      </w:pPr>
      <w:rPr>
        <w:rFonts w:ascii="Wingdings" w:hAnsi="Wingdings" w:cs="Symbol"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8" w15:restartNumberingAfterBreak="0">
    <w:nsid w:val="0000005F"/>
    <w:multiLevelType w:val="multilevel"/>
    <w:tmpl w:val="0000005F"/>
    <w:name w:val="WW8Num95"/>
    <w:lvl w:ilvl="0">
      <w:start w:val="1"/>
      <w:numFmt w:val="bullet"/>
      <w:lvlText w:val=""/>
      <w:lvlJc w:val="left"/>
      <w:pPr>
        <w:tabs>
          <w:tab w:val="num" w:pos="0"/>
        </w:tabs>
        <w:ind w:left="720" w:hanging="360"/>
      </w:pPr>
      <w:rPr>
        <w:rFonts w:ascii="Wingdings" w:hAnsi="Wingdings" w:cs="Symbol"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9" w15:restartNumberingAfterBreak="0">
    <w:nsid w:val="00000066"/>
    <w:multiLevelType w:val="multilevel"/>
    <w:tmpl w:val="00000066"/>
    <w:name w:val="WW8Num102"/>
    <w:lvl w:ilvl="0">
      <w:start w:val="1"/>
      <w:numFmt w:val="bullet"/>
      <w:lvlText w:val=""/>
      <w:lvlJc w:val="left"/>
      <w:pPr>
        <w:tabs>
          <w:tab w:val="num" w:pos="0"/>
        </w:tabs>
        <w:ind w:left="720" w:hanging="360"/>
      </w:pPr>
      <w:rPr>
        <w:rFonts w:ascii="Wingdings" w:hAnsi="Wingdings" w:cs="Symbol"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0" w15:restartNumberingAfterBreak="0">
    <w:nsid w:val="00000067"/>
    <w:multiLevelType w:val="multilevel"/>
    <w:tmpl w:val="00000067"/>
    <w:name w:val="WW8Num103"/>
    <w:lvl w:ilvl="0">
      <w:numFmt w:val="bullet"/>
      <w:lvlText w:val="-"/>
      <w:lvlJc w:val="left"/>
      <w:pPr>
        <w:tabs>
          <w:tab w:val="num" w:pos="0"/>
        </w:tabs>
        <w:ind w:left="720" w:hanging="360"/>
      </w:pPr>
      <w:rPr>
        <w:rFonts w:ascii="Calibri" w:hAnsi="Calibri" w:cs="Courier" w:hint="default"/>
      </w:rPr>
    </w:lvl>
    <w:lvl w:ilvl="1">
      <w:start w:va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Calibri" w:hAnsi="Calibri"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1" w15:restartNumberingAfterBreak="0">
    <w:nsid w:val="00000068"/>
    <w:multiLevelType w:val="singleLevel"/>
    <w:tmpl w:val="00000068"/>
    <w:name w:val="WW8Num104"/>
    <w:lvl w:ilvl="0">
      <w:start w:val="1"/>
      <w:numFmt w:val="decimal"/>
      <w:lvlText w:val="%1."/>
      <w:lvlJc w:val="left"/>
      <w:pPr>
        <w:tabs>
          <w:tab w:val="num" w:pos="0"/>
        </w:tabs>
        <w:ind w:left="720" w:hanging="360"/>
      </w:pPr>
      <w:rPr>
        <w:rFonts w:hint="default"/>
      </w:rPr>
    </w:lvl>
  </w:abstractNum>
  <w:abstractNum w:abstractNumId="62" w15:restartNumberingAfterBreak="0">
    <w:nsid w:val="0000006E"/>
    <w:multiLevelType w:val="singleLevel"/>
    <w:tmpl w:val="0000006E"/>
    <w:name w:val="WW8Num110"/>
    <w:lvl w:ilvl="0">
      <w:start w:val="1"/>
      <w:numFmt w:val="bullet"/>
      <w:lvlText w:val=""/>
      <w:lvlJc w:val="left"/>
      <w:pPr>
        <w:tabs>
          <w:tab w:val="num" w:pos="0"/>
        </w:tabs>
        <w:ind w:left="2160" w:hanging="360"/>
      </w:pPr>
      <w:rPr>
        <w:rFonts w:ascii="Wingdings" w:hAnsi="Wingdings" w:cs="Wingdings" w:hint="default"/>
      </w:rPr>
    </w:lvl>
  </w:abstractNum>
  <w:abstractNum w:abstractNumId="63" w15:restartNumberingAfterBreak="0">
    <w:nsid w:val="00000073"/>
    <w:multiLevelType w:val="singleLevel"/>
    <w:tmpl w:val="00000073"/>
    <w:name w:val="WW8Num115"/>
    <w:lvl w:ilvl="0">
      <w:numFmt w:val="bullet"/>
      <w:lvlText w:val="-"/>
      <w:lvlJc w:val="left"/>
      <w:pPr>
        <w:tabs>
          <w:tab w:val="num" w:pos="0"/>
        </w:tabs>
        <w:ind w:left="720" w:hanging="360"/>
      </w:pPr>
      <w:rPr>
        <w:rFonts w:ascii="Calibri" w:hAnsi="Calibri" w:cs="Courier" w:hint="default"/>
        <w:sz w:val="24"/>
        <w:szCs w:val="24"/>
      </w:rPr>
    </w:lvl>
  </w:abstractNum>
  <w:abstractNum w:abstractNumId="64" w15:restartNumberingAfterBreak="0">
    <w:nsid w:val="00000074"/>
    <w:multiLevelType w:val="multilevel"/>
    <w:tmpl w:val="00000074"/>
    <w:name w:val="WW8Num116"/>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65" w15:restartNumberingAfterBreak="0">
    <w:nsid w:val="00000076"/>
    <w:multiLevelType w:val="singleLevel"/>
    <w:tmpl w:val="00000076"/>
    <w:name w:val="WW8Num117"/>
    <w:lvl w:ilvl="0">
      <w:start w:val="1"/>
      <w:numFmt w:val="bullet"/>
      <w:lvlText w:val=""/>
      <w:lvlJc w:val="left"/>
      <w:pPr>
        <w:tabs>
          <w:tab w:val="num" w:pos="360"/>
        </w:tabs>
        <w:ind w:left="360" w:hanging="360"/>
      </w:pPr>
      <w:rPr>
        <w:rFonts w:ascii="Symbol" w:hAnsi="Symbol" w:cs="Symbol"/>
      </w:rPr>
    </w:lvl>
  </w:abstractNum>
  <w:abstractNum w:abstractNumId="66" w15:restartNumberingAfterBreak="0">
    <w:nsid w:val="0000009D"/>
    <w:multiLevelType w:val="singleLevel"/>
    <w:tmpl w:val="0000009D"/>
    <w:name w:val="WW8Num157"/>
    <w:lvl w:ilvl="0">
      <w:start w:val="1"/>
      <w:numFmt w:val="bullet"/>
      <w:lvlText w:val=""/>
      <w:lvlJc w:val="left"/>
      <w:pPr>
        <w:tabs>
          <w:tab w:val="num" w:pos="0"/>
        </w:tabs>
        <w:ind w:left="720" w:hanging="360"/>
      </w:pPr>
      <w:rPr>
        <w:rFonts w:ascii="Symbol" w:hAnsi="Symbol" w:cs="Symbol"/>
      </w:rPr>
    </w:lvl>
  </w:abstractNum>
  <w:abstractNum w:abstractNumId="67"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Symbol" w:hAnsi="Symbol" w:cs="Symbol"/>
      </w:rPr>
    </w:lvl>
  </w:abstractNum>
  <w:abstractNum w:abstractNumId="68" w15:restartNumberingAfterBreak="0">
    <w:nsid w:val="000000BD"/>
    <w:multiLevelType w:val="singleLevel"/>
    <w:tmpl w:val="000000BD"/>
    <w:name w:val="WW8Num189"/>
    <w:lvl w:ilvl="0">
      <w:start w:val="1"/>
      <w:numFmt w:val="bullet"/>
      <w:lvlText w:val=""/>
      <w:lvlJc w:val="left"/>
      <w:pPr>
        <w:tabs>
          <w:tab w:val="num" w:pos="0"/>
        </w:tabs>
        <w:ind w:left="720" w:hanging="360"/>
      </w:pPr>
      <w:rPr>
        <w:rFonts w:ascii="Symbol" w:hAnsi="Symbol" w:cs="Symbol"/>
      </w:rPr>
    </w:lvl>
  </w:abstractNum>
  <w:abstractNum w:abstractNumId="69" w15:restartNumberingAfterBreak="0">
    <w:nsid w:val="000000D0"/>
    <w:multiLevelType w:val="singleLevel"/>
    <w:tmpl w:val="000000D0"/>
    <w:name w:val="WW8Num208"/>
    <w:lvl w:ilvl="0">
      <w:start w:val="1"/>
      <w:numFmt w:val="bullet"/>
      <w:lvlText w:val=""/>
      <w:lvlJc w:val="left"/>
      <w:pPr>
        <w:tabs>
          <w:tab w:val="num" w:pos="360"/>
        </w:tabs>
        <w:ind w:left="360" w:hanging="360"/>
      </w:pPr>
      <w:rPr>
        <w:rFonts w:ascii="Symbol" w:hAnsi="Symbol" w:cs="Symbol"/>
      </w:rPr>
    </w:lvl>
  </w:abstractNum>
  <w:abstractNum w:abstractNumId="70" w15:restartNumberingAfterBreak="0">
    <w:nsid w:val="000000E1"/>
    <w:multiLevelType w:val="singleLevel"/>
    <w:tmpl w:val="000000E1"/>
    <w:name w:val="WW8Num225"/>
    <w:lvl w:ilvl="0">
      <w:start w:val="1"/>
      <w:numFmt w:val="bullet"/>
      <w:lvlText w:val=""/>
      <w:lvlJc w:val="left"/>
      <w:pPr>
        <w:tabs>
          <w:tab w:val="num" w:pos="360"/>
        </w:tabs>
        <w:ind w:left="360" w:hanging="360"/>
      </w:pPr>
      <w:rPr>
        <w:rFonts w:ascii="Symbol" w:hAnsi="Symbol" w:cs="Symbol"/>
      </w:rPr>
    </w:lvl>
  </w:abstractNum>
  <w:abstractNum w:abstractNumId="71" w15:restartNumberingAfterBreak="0">
    <w:nsid w:val="000000E3"/>
    <w:multiLevelType w:val="singleLevel"/>
    <w:tmpl w:val="000000E3"/>
    <w:name w:val="WW8Num227"/>
    <w:lvl w:ilvl="0">
      <w:start w:val="1"/>
      <w:numFmt w:val="bullet"/>
      <w:lvlText w:val=""/>
      <w:lvlJc w:val="left"/>
      <w:pPr>
        <w:tabs>
          <w:tab w:val="num" w:pos="360"/>
        </w:tabs>
        <w:ind w:left="360" w:hanging="360"/>
      </w:pPr>
      <w:rPr>
        <w:rFonts w:ascii="Symbol" w:hAnsi="Symbol" w:cs="Symbol"/>
      </w:rPr>
    </w:lvl>
  </w:abstractNum>
  <w:abstractNum w:abstractNumId="72" w15:restartNumberingAfterBreak="0">
    <w:nsid w:val="000000E4"/>
    <w:multiLevelType w:val="singleLevel"/>
    <w:tmpl w:val="000000E4"/>
    <w:name w:val="WW8Num228"/>
    <w:lvl w:ilvl="0">
      <w:start w:val="1"/>
      <w:numFmt w:val="bullet"/>
      <w:lvlText w:val=""/>
      <w:lvlJc w:val="left"/>
      <w:pPr>
        <w:tabs>
          <w:tab w:val="num" w:pos="360"/>
        </w:tabs>
        <w:ind w:left="360" w:hanging="360"/>
      </w:pPr>
      <w:rPr>
        <w:rFonts w:ascii="Symbol" w:hAnsi="Symbol" w:cs="Symbol"/>
      </w:rPr>
    </w:lvl>
  </w:abstractNum>
  <w:abstractNum w:abstractNumId="73" w15:restartNumberingAfterBreak="0">
    <w:nsid w:val="000000FE"/>
    <w:multiLevelType w:val="singleLevel"/>
    <w:tmpl w:val="000000FE"/>
    <w:name w:val="WW8Num254"/>
    <w:lvl w:ilvl="0">
      <w:start w:val="1"/>
      <w:numFmt w:val="bullet"/>
      <w:lvlText w:val=""/>
      <w:lvlJc w:val="left"/>
      <w:pPr>
        <w:tabs>
          <w:tab w:val="num" w:pos="360"/>
        </w:tabs>
        <w:ind w:left="360" w:hanging="360"/>
      </w:pPr>
      <w:rPr>
        <w:rFonts w:ascii="Symbol" w:hAnsi="Symbol" w:cs="Symbol"/>
      </w:rPr>
    </w:lvl>
  </w:abstractNum>
  <w:abstractNum w:abstractNumId="74" w15:restartNumberingAfterBreak="0">
    <w:nsid w:val="00000106"/>
    <w:multiLevelType w:val="singleLevel"/>
    <w:tmpl w:val="00000106"/>
    <w:name w:val="WW8Num262"/>
    <w:lvl w:ilvl="0">
      <w:start w:val="1"/>
      <w:numFmt w:val="bullet"/>
      <w:lvlText w:val=""/>
      <w:lvlJc w:val="left"/>
      <w:pPr>
        <w:tabs>
          <w:tab w:val="num" w:pos="360"/>
        </w:tabs>
        <w:ind w:left="360" w:hanging="360"/>
      </w:pPr>
      <w:rPr>
        <w:rFonts w:ascii="Symbol" w:hAnsi="Symbol" w:cs="Symbol"/>
      </w:rPr>
    </w:lvl>
  </w:abstractNum>
  <w:abstractNum w:abstractNumId="75" w15:restartNumberingAfterBreak="0">
    <w:nsid w:val="0000013C"/>
    <w:multiLevelType w:val="singleLevel"/>
    <w:tmpl w:val="0000013C"/>
    <w:name w:val="WW8Num317"/>
    <w:lvl w:ilvl="0">
      <w:start w:val="1"/>
      <w:numFmt w:val="bullet"/>
      <w:lvlText w:val=""/>
      <w:lvlJc w:val="left"/>
      <w:pPr>
        <w:tabs>
          <w:tab w:val="num" w:pos="0"/>
        </w:tabs>
        <w:ind w:left="720" w:hanging="360"/>
      </w:pPr>
      <w:rPr>
        <w:rFonts w:ascii="Symbol" w:hAnsi="Symbol" w:cs="Symbol"/>
      </w:rPr>
    </w:lvl>
  </w:abstractNum>
  <w:abstractNum w:abstractNumId="76" w15:restartNumberingAfterBreak="0">
    <w:nsid w:val="0059063B"/>
    <w:multiLevelType w:val="hybridMultilevel"/>
    <w:tmpl w:val="45B2101C"/>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01E8513C"/>
    <w:multiLevelType w:val="hybridMultilevel"/>
    <w:tmpl w:val="3C9A7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029A6D13"/>
    <w:multiLevelType w:val="hybridMultilevel"/>
    <w:tmpl w:val="7396E37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03144B36"/>
    <w:multiLevelType w:val="hybridMultilevel"/>
    <w:tmpl w:val="25D85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03726E0A"/>
    <w:multiLevelType w:val="hybridMultilevel"/>
    <w:tmpl w:val="A1CC8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03CE1B1E"/>
    <w:multiLevelType w:val="hybridMultilevel"/>
    <w:tmpl w:val="E7D0B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04294BEE"/>
    <w:multiLevelType w:val="hybridMultilevel"/>
    <w:tmpl w:val="7396C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04A276F2"/>
    <w:multiLevelType w:val="hybridMultilevel"/>
    <w:tmpl w:val="C8FAAC64"/>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04DB676D"/>
    <w:multiLevelType w:val="hybridMultilevel"/>
    <w:tmpl w:val="07B63C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05F8395C"/>
    <w:multiLevelType w:val="hybridMultilevel"/>
    <w:tmpl w:val="6888B0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075E5E86"/>
    <w:multiLevelType w:val="hybridMultilevel"/>
    <w:tmpl w:val="2A5ED62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07EF1AB0"/>
    <w:multiLevelType w:val="hybridMultilevel"/>
    <w:tmpl w:val="F72CE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08DD3BB4"/>
    <w:multiLevelType w:val="hybridMultilevel"/>
    <w:tmpl w:val="72D00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091E0406"/>
    <w:multiLevelType w:val="hybridMultilevel"/>
    <w:tmpl w:val="19346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09273BA6"/>
    <w:multiLevelType w:val="hybridMultilevel"/>
    <w:tmpl w:val="07A20B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15:restartNumberingAfterBreak="0">
    <w:nsid w:val="0A3E12C7"/>
    <w:multiLevelType w:val="hybridMultilevel"/>
    <w:tmpl w:val="03A895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0B336332"/>
    <w:multiLevelType w:val="hybridMultilevel"/>
    <w:tmpl w:val="3CEEF682"/>
    <w:lvl w:ilvl="0" w:tplc="2DB4BF94">
      <w:start w:val="8"/>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0C5D7B5A"/>
    <w:multiLevelType w:val="hybridMultilevel"/>
    <w:tmpl w:val="8CE0F0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9115C0"/>
    <w:multiLevelType w:val="hybridMultilevel"/>
    <w:tmpl w:val="5A42F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4453EB2"/>
    <w:multiLevelType w:val="hybridMultilevel"/>
    <w:tmpl w:val="164497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14EE18B7"/>
    <w:multiLevelType w:val="hybridMultilevel"/>
    <w:tmpl w:val="8E642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150C33E6"/>
    <w:multiLevelType w:val="hybridMultilevel"/>
    <w:tmpl w:val="7368E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61842D2"/>
    <w:multiLevelType w:val="hybridMultilevel"/>
    <w:tmpl w:val="85766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166A1115"/>
    <w:multiLevelType w:val="hybridMultilevel"/>
    <w:tmpl w:val="6CDCA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16ED4703"/>
    <w:multiLevelType w:val="hybridMultilevel"/>
    <w:tmpl w:val="7CC65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18163140"/>
    <w:multiLevelType w:val="hybridMultilevel"/>
    <w:tmpl w:val="45FEB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19145399"/>
    <w:multiLevelType w:val="hybridMultilevel"/>
    <w:tmpl w:val="5CDCEB7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19A221A9"/>
    <w:multiLevelType w:val="hybridMultilevel"/>
    <w:tmpl w:val="2BBC2E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C547CAE"/>
    <w:multiLevelType w:val="hybridMultilevel"/>
    <w:tmpl w:val="5660FAD0"/>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05" w15:restartNumberingAfterBreak="0">
    <w:nsid w:val="1CD95673"/>
    <w:multiLevelType w:val="hybridMultilevel"/>
    <w:tmpl w:val="D2127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1DAB5705"/>
    <w:multiLevelType w:val="hybridMultilevel"/>
    <w:tmpl w:val="5C268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EB070BC"/>
    <w:multiLevelType w:val="hybridMultilevel"/>
    <w:tmpl w:val="526A1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F8D135D"/>
    <w:multiLevelType w:val="hybridMultilevel"/>
    <w:tmpl w:val="08505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FE95B23"/>
    <w:multiLevelType w:val="hybridMultilevel"/>
    <w:tmpl w:val="083E8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1660859"/>
    <w:multiLevelType w:val="hybridMultilevel"/>
    <w:tmpl w:val="DE608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1921227"/>
    <w:multiLevelType w:val="hybridMultilevel"/>
    <w:tmpl w:val="3C1E9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2100768"/>
    <w:multiLevelType w:val="hybridMultilevel"/>
    <w:tmpl w:val="80804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3DB492B"/>
    <w:multiLevelType w:val="hybridMultilevel"/>
    <w:tmpl w:val="8BE2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3FA5958"/>
    <w:multiLevelType w:val="hybridMultilevel"/>
    <w:tmpl w:val="9CE45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40E6C55"/>
    <w:multiLevelType w:val="hybridMultilevel"/>
    <w:tmpl w:val="B9464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4231173"/>
    <w:multiLevelType w:val="hybridMultilevel"/>
    <w:tmpl w:val="3E78D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4561EC8"/>
    <w:multiLevelType w:val="hybridMultilevel"/>
    <w:tmpl w:val="1F127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4D77A03"/>
    <w:multiLevelType w:val="hybridMultilevel"/>
    <w:tmpl w:val="A962A4D4"/>
    <w:lvl w:ilvl="0" w:tplc="F0546BCA">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5B26723"/>
    <w:multiLevelType w:val="hybridMultilevel"/>
    <w:tmpl w:val="F96896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80B783E"/>
    <w:multiLevelType w:val="hybridMultilevel"/>
    <w:tmpl w:val="54C6A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8E46310"/>
    <w:multiLevelType w:val="hybridMultilevel"/>
    <w:tmpl w:val="B54E0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8E51D90"/>
    <w:multiLevelType w:val="hybridMultilevel"/>
    <w:tmpl w:val="A6A47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9025F95"/>
    <w:multiLevelType w:val="hybridMultilevel"/>
    <w:tmpl w:val="5BDC7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9100F44"/>
    <w:multiLevelType w:val="hybridMultilevel"/>
    <w:tmpl w:val="F4027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9611AB1"/>
    <w:multiLevelType w:val="hybridMultilevel"/>
    <w:tmpl w:val="44BAF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9F13C5E"/>
    <w:multiLevelType w:val="hybridMultilevel"/>
    <w:tmpl w:val="6374CD6A"/>
    <w:lvl w:ilvl="0" w:tplc="4022B74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 w15:restartNumberingAfterBreak="0">
    <w:nsid w:val="2A441B7B"/>
    <w:multiLevelType w:val="hybridMultilevel"/>
    <w:tmpl w:val="D4A0A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A6B1773"/>
    <w:multiLevelType w:val="hybridMultilevel"/>
    <w:tmpl w:val="97587546"/>
    <w:lvl w:ilvl="0" w:tplc="1CB6E658">
      <w:start w:val="2"/>
      <w:numFmt w:val="bullet"/>
      <w:lvlText w:val="-"/>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2B274504"/>
    <w:multiLevelType w:val="hybridMultilevel"/>
    <w:tmpl w:val="C2AA8184"/>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B70155A"/>
    <w:multiLevelType w:val="hybridMultilevel"/>
    <w:tmpl w:val="B7282A32"/>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CEF779B"/>
    <w:multiLevelType w:val="hybridMultilevel"/>
    <w:tmpl w:val="2E3AB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D775834"/>
    <w:multiLevelType w:val="hybridMultilevel"/>
    <w:tmpl w:val="2AD815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3" w15:restartNumberingAfterBreak="0">
    <w:nsid w:val="2F31228A"/>
    <w:multiLevelType w:val="hybridMultilevel"/>
    <w:tmpl w:val="5B206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2FBB4997"/>
    <w:multiLevelType w:val="hybridMultilevel"/>
    <w:tmpl w:val="CCC42048"/>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5" w15:restartNumberingAfterBreak="0">
    <w:nsid w:val="2FFA3395"/>
    <w:multiLevelType w:val="hybridMultilevel"/>
    <w:tmpl w:val="6B123206"/>
    <w:lvl w:ilvl="0" w:tplc="89E81C7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0CE7ED5"/>
    <w:multiLevelType w:val="hybridMultilevel"/>
    <w:tmpl w:val="077A0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14A231B"/>
    <w:multiLevelType w:val="hybridMultilevel"/>
    <w:tmpl w:val="EF424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2896680"/>
    <w:multiLevelType w:val="hybridMultilevel"/>
    <w:tmpl w:val="316438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32BB6DBF"/>
    <w:multiLevelType w:val="hybridMultilevel"/>
    <w:tmpl w:val="07FA7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2CB5B27"/>
    <w:multiLevelType w:val="hybridMultilevel"/>
    <w:tmpl w:val="18E8DA6E"/>
    <w:lvl w:ilvl="0" w:tplc="04090001">
      <w:start w:val="1"/>
      <w:numFmt w:val="bullet"/>
      <w:lvlText w:val=""/>
      <w:lvlJc w:val="left"/>
      <w:pPr>
        <w:ind w:left="720" w:hanging="360"/>
      </w:pPr>
      <w:rPr>
        <w:rFonts w:ascii="Symbol" w:hAnsi="Symbol" w:hint="default"/>
      </w:rPr>
    </w:lvl>
    <w:lvl w:ilvl="1" w:tplc="46FCAF6A">
      <w:start w:val="1"/>
      <w:numFmt w:val="bullet"/>
      <w:lvlText w:val="•"/>
      <w:lvlJc w:val="left"/>
      <w:pPr>
        <w:ind w:left="1440" w:hanging="360"/>
      </w:pPr>
      <w:rPr>
        <w:rFonts w:ascii="Arial" w:eastAsia="Arial"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38361C4"/>
    <w:multiLevelType w:val="hybridMultilevel"/>
    <w:tmpl w:val="B3D8D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48F068E"/>
    <w:multiLevelType w:val="hybridMultilevel"/>
    <w:tmpl w:val="3C60B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4A56AFF"/>
    <w:multiLevelType w:val="hybridMultilevel"/>
    <w:tmpl w:val="1E96C3DC"/>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44" w15:restartNumberingAfterBreak="0">
    <w:nsid w:val="35762BEE"/>
    <w:multiLevelType w:val="hybridMultilevel"/>
    <w:tmpl w:val="A8DA3EF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5B5174C"/>
    <w:multiLevelType w:val="hybridMultilevel"/>
    <w:tmpl w:val="55949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69818FD"/>
    <w:multiLevelType w:val="hybridMultilevel"/>
    <w:tmpl w:val="93BCF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6AE77A4"/>
    <w:multiLevelType w:val="hybridMultilevel"/>
    <w:tmpl w:val="53404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81C3F5B"/>
    <w:multiLevelType w:val="hybridMultilevel"/>
    <w:tmpl w:val="AD7E5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8B70262"/>
    <w:multiLevelType w:val="hybridMultilevel"/>
    <w:tmpl w:val="D084F5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8D874F6"/>
    <w:multiLevelType w:val="hybridMultilevel"/>
    <w:tmpl w:val="C4EE6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98678E5"/>
    <w:multiLevelType w:val="hybridMultilevel"/>
    <w:tmpl w:val="56F0926C"/>
    <w:lvl w:ilvl="0" w:tplc="4022B740">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2" w15:restartNumberingAfterBreak="0">
    <w:nsid w:val="39955948"/>
    <w:multiLevelType w:val="hybridMultilevel"/>
    <w:tmpl w:val="AB2A1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9D60365"/>
    <w:multiLevelType w:val="hybridMultilevel"/>
    <w:tmpl w:val="B1860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A157A46"/>
    <w:multiLevelType w:val="hybridMultilevel"/>
    <w:tmpl w:val="90A81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3AA166D6"/>
    <w:multiLevelType w:val="hybridMultilevel"/>
    <w:tmpl w:val="EF285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3AED4B14"/>
    <w:multiLevelType w:val="hybridMultilevel"/>
    <w:tmpl w:val="1DA0DF72"/>
    <w:lvl w:ilvl="0" w:tplc="02F849FE">
      <w:start w:val="1"/>
      <w:numFmt w:val="decimal"/>
      <w:lvlText w:val="%1)"/>
      <w:lvlJc w:val="left"/>
      <w:pPr>
        <w:ind w:left="1260" w:hanging="360"/>
      </w:pPr>
      <w:rPr>
        <w:rFonts w:hint="default"/>
      </w:rPr>
    </w:lvl>
    <w:lvl w:ilvl="1" w:tplc="04180019" w:tentative="1">
      <w:start w:val="1"/>
      <w:numFmt w:val="lowerLetter"/>
      <w:lvlText w:val="%2."/>
      <w:lvlJc w:val="left"/>
      <w:pPr>
        <w:ind w:left="1980" w:hanging="360"/>
      </w:pPr>
    </w:lvl>
    <w:lvl w:ilvl="2" w:tplc="0418001B" w:tentative="1">
      <w:start w:val="1"/>
      <w:numFmt w:val="lowerRoman"/>
      <w:lvlText w:val="%3."/>
      <w:lvlJc w:val="right"/>
      <w:pPr>
        <w:ind w:left="2700" w:hanging="180"/>
      </w:pPr>
    </w:lvl>
    <w:lvl w:ilvl="3" w:tplc="0418000F" w:tentative="1">
      <w:start w:val="1"/>
      <w:numFmt w:val="decimal"/>
      <w:lvlText w:val="%4."/>
      <w:lvlJc w:val="left"/>
      <w:pPr>
        <w:ind w:left="3420" w:hanging="360"/>
      </w:pPr>
    </w:lvl>
    <w:lvl w:ilvl="4" w:tplc="04180019" w:tentative="1">
      <w:start w:val="1"/>
      <w:numFmt w:val="lowerLetter"/>
      <w:lvlText w:val="%5."/>
      <w:lvlJc w:val="left"/>
      <w:pPr>
        <w:ind w:left="4140" w:hanging="360"/>
      </w:pPr>
    </w:lvl>
    <w:lvl w:ilvl="5" w:tplc="0418001B" w:tentative="1">
      <w:start w:val="1"/>
      <w:numFmt w:val="lowerRoman"/>
      <w:lvlText w:val="%6."/>
      <w:lvlJc w:val="right"/>
      <w:pPr>
        <w:ind w:left="4860" w:hanging="180"/>
      </w:pPr>
    </w:lvl>
    <w:lvl w:ilvl="6" w:tplc="0418000F" w:tentative="1">
      <w:start w:val="1"/>
      <w:numFmt w:val="decimal"/>
      <w:lvlText w:val="%7."/>
      <w:lvlJc w:val="left"/>
      <w:pPr>
        <w:ind w:left="5580" w:hanging="360"/>
      </w:pPr>
    </w:lvl>
    <w:lvl w:ilvl="7" w:tplc="04180019" w:tentative="1">
      <w:start w:val="1"/>
      <w:numFmt w:val="lowerLetter"/>
      <w:lvlText w:val="%8."/>
      <w:lvlJc w:val="left"/>
      <w:pPr>
        <w:ind w:left="6300" w:hanging="360"/>
      </w:pPr>
    </w:lvl>
    <w:lvl w:ilvl="8" w:tplc="0418001B" w:tentative="1">
      <w:start w:val="1"/>
      <w:numFmt w:val="lowerRoman"/>
      <w:lvlText w:val="%9."/>
      <w:lvlJc w:val="right"/>
      <w:pPr>
        <w:ind w:left="7020" w:hanging="180"/>
      </w:pPr>
    </w:lvl>
  </w:abstractNum>
  <w:abstractNum w:abstractNumId="157" w15:restartNumberingAfterBreak="0">
    <w:nsid w:val="3BD924A3"/>
    <w:multiLevelType w:val="hybridMultilevel"/>
    <w:tmpl w:val="946C9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BDA63E6"/>
    <w:multiLevelType w:val="hybridMultilevel"/>
    <w:tmpl w:val="7E90E78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BEC01CB"/>
    <w:multiLevelType w:val="multilevel"/>
    <w:tmpl w:val="007CFD7C"/>
    <w:lvl w:ilvl="0">
      <w:numFmt w:val="bullet"/>
      <w:lvlText w:val="-"/>
      <w:lvlJc w:val="left"/>
      <w:pPr>
        <w:tabs>
          <w:tab w:val="num" w:pos="0"/>
        </w:tabs>
        <w:ind w:left="720" w:hanging="360"/>
      </w:pPr>
      <w:rPr>
        <w:rFonts w:ascii="Calibri" w:hAnsi="Calibri" w:cs="Courier" w:hint="default"/>
      </w:rPr>
    </w:lvl>
    <w:lvl w:ilvl="1">
      <w:start w:val="1"/>
      <w:numFmt w:val="bullet"/>
      <w:lvlText w:val=""/>
      <w:lvlJc w:val="left"/>
      <w:pPr>
        <w:tabs>
          <w:tab w:val="num" w:pos="0"/>
        </w:tabs>
        <w:ind w:left="1440" w:hanging="360"/>
      </w:pPr>
      <w:rPr>
        <w:rFonts w:ascii="Symbol" w:hAnsi="Symbol" w:hint="default"/>
      </w:rPr>
    </w:lvl>
    <w:lvl w:ilvl="2">
      <w:numFmt w:val="bullet"/>
      <w:lvlText w:val="•"/>
      <w:lvlJc w:val="left"/>
      <w:pPr>
        <w:tabs>
          <w:tab w:val="num" w:pos="0"/>
        </w:tabs>
        <w:ind w:left="2160" w:hanging="360"/>
      </w:pPr>
      <w:rPr>
        <w:rFonts w:ascii="Calibri" w:hAnsi="Calibri"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0" w15:restartNumberingAfterBreak="0">
    <w:nsid w:val="3BFD249B"/>
    <w:multiLevelType w:val="hybridMultilevel"/>
    <w:tmpl w:val="D1D44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C7755E4"/>
    <w:multiLevelType w:val="hybridMultilevel"/>
    <w:tmpl w:val="9A08A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F0F632D"/>
    <w:multiLevelType w:val="hybridMultilevel"/>
    <w:tmpl w:val="00FC1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0EE1970"/>
    <w:multiLevelType w:val="hybridMultilevel"/>
    <w:tmpl w:val="3FEC9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0FF490B"/>
    <w:multiLevelType w:val="hybridMultilevel"/>
    <w:tmpl w:val="C41E4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136730F"/>
    <w:multiLevelType w:val="hybridMultilevel"/>
    <w:tmpl w:val="CA1AE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278385C"/>
    <w:multiLevelType w:val="hybridMultilevel"/>
    <w:tmpl w:val="C464BA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429B6F76"/>
    <w:multiLevelType w:val="hybridMultilevel"/>
    <w:tmpl w:val="97007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3472D7A"/>
    <w:multiLevelType w:val="hybridMultilevel"/>
    <w:tmpl w:val="A07EA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35C6EE4"/>
    <w:multiLevelType w:val="hybridMultilevel"/>
    <w:tmpl w:val="01B03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3915869"/>
    <w:multiLevelType w:val="hybridMultilevel"/>
    <w:tmpl w:val="EEE42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3D046F1"/>
    <w:multiLevelType w:val="multilevel"/>
    <w:tmpl w:val="8AC6431E"/>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Calibri" w:hAnsi="Calibri"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2" w15:restartNumberingAfterBreak="0">
    <w:nsid w:val="443C6B5E"/>
    <w:multiLevelType w:val="hybridMultilevel"/>
    <w:tmpl w:val="3050E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56D361A"/>
    <w:multiLevelType w:val="hybridMultilevel"/>
    <w:tmpl w:val="9D2C2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45FC1721"/>
    <w:multiLevelType w:val="hybridMultilevel"/>
    <w:tmpl w:val="14AED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68C3C39"/>
    <w:multiLevelType w:val="hybridMultilevel"/>
    <w:tmpl w:val="ACD880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6" w15:restartNumberingAfterBreak="0">
    <w:nsid w:val="46F44D86"/>
    <w:multiLevelType w:val="hybridMultilevel"/>
    <w:tmpl w:val="8EB065D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47665E2B"/>
    <w:multiLevelType w:val="hybridMultilevel"/>
    <w:tmpl w:val="E766C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478632D7"/>
    <w:multiLevelType w:val="hybridMultilevel"/>
    <w:tmpl w:val="5A34F6C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48412F98"/>
    <w:multiLevelType w:val="hybridMultilevel"/>
    <w:tmpl w:val="264C7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492027A8"/>
    <w:multiLevelType w:val="hybridMultilevel"/>
    <w:tmpl w:val="00669B20"/>
    <w:lvl w:ilvl="0" w:tplc="4022B740">
      <w:numFmt w:val="bullet"/>
      <w:lvlText w:val="-"/>
      <w:lvlJc w:val="left"/>
      <w:pPr>
        <w:ind w:left="99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49B32F32"/>
    <w:multiLevelType w:val="hybridMultilevel"/>
    <w:tmpl w:val="BEF8A86A"/>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A376F30"/>
    <w:multiLevelType w:val="hybridMultilevel"/>
    <w:tmpl w:val="EA52CA10"/>
    <w:lvl w:ilvl="0" w:tplc="6F66071C">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4B2F1AE4"/>
    <w:multiLevelType w:val="hybridMultilevel"/>
    <w:tmpl w:val="863E68BC"/>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4BE37BF8"/>
    <w:multiLevelType w:val="hybridMultilevel"/>
    <w:tmpl w:val="627E0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4BE95EAD"/>
    <w:multiLevelType w:val="hybridMultilevel"/>
    <w:tmpl w:val="A9F495F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4C8C5D7F"/>
    <w:multiLevelType w:val="hybridMultilevel"/>
    <w:tmpl w:val="7A34B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4D4502A5"/>
    <w:multiLevelType w:val="hybridMultilevel"/>
    <w:tmpl w:val="55CC0DE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4D8F3453"/>
    <w:multiLevelType w:val="hybridMultilevel"/>
    <w:tmpl w:val="06BE1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DFB662A"/>
    <w:multiLevelType w:val="hybridMultilevel"/>
    <w:tmpl w:val="2C24B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4E5B32B0"/>
    <w:multiLevelType w:val="hybridMultilevel"/>
    <w:tmpl w:val="7630A77E"/>
    <w:lvl w:ilvl="0" w:tplc="00000008">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4F9833E6"/>
    <w:multiLevelType w:val="hybridMultilevel"/>
    <w:tmpl w:val="57D26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1EA4150"/>
    <w:multiLevelType w:val="hybridMultilevel"/>
    <w:tmpl w:val="9E9AF5F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52E306D0"/>
    <w:multiLevelType w:val="hybridMultilevel"/>
    <w:tmpl w:val="0B3C5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3302043"/>
    <w:multiLevelType w:val="hybridMultilevel"/>
    <w:tmpl w:val="129E9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3F34B44"/>
    <w:multiLevelType w:val="hybridMultilevel"/>
    <w:tmpl w:val="18C0E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541F017C"/>
    <w:multiLevelType w:val="hybridMultilevel"/>
    <w:tmpl w:val="2C8A3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438210A"/>
    <w:multiLevelType w:val="hybridMultilevel"/>
    <w:tmpl w:val="845AE9B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4632CFB"/>
    <w:multiLevelType w:val="hybridMultilevel"/>
    <w:tmpl w:val="ADE83A4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9" w15:restartNumberingAfterBreak="0">
    <w:nsid w:val="546E4B08"/>
    <w:multiLevelType w:val="hybridMultilevel"/>
    <w:tmpl w:val="74F67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74A7A77"/>
    <w:multiLevelType w:val="hybridMultilevel"/>
    <w:tmpl w:val="E488E85C"/>
    <w:lvl w:ilvl="0" w:tplc="4022B74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1" w15:restartNumberingAfterBreak="0">
    <w:nsid w:val="57910C86"/>
    <w:multiLevelType w:val="hybridMultilevel"/>
    <w:tmpl w:val="54AA6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7FF2514"/>
    <w:multiLevelType w:val="hybridMultilevel"/>
    <w:tmpl w:val="6EA2D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03" w15:restartNumberingAfterBreak="0">
    <w:nsid w:val="58335C3B"/>
    <w:multiLevelType w:val="hybridMultilevel"/>
    <w:tmpl w:val="18E46804"/>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59960592"/>
    <w:multiLevelType w:val="hybridMultilevel"/>
    <w:tmpl w:val="DAD81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A3748DC"/>
    <w:multiLevelType w:val="hybridMultilevel"/>
    <w:tmpl w:val="B2C24D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6" w15:restartNumberingAfterBreak="0">
    <w:nsid w:val="5A9D0873"/>
    <w:multiLevelType w:val="hybridMultilevel"/>
    <w:tmpl w:val="AA1C9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5B2A18ED"/>
    <w:multiLevelType w:val="hybridMultilevel"/>
    <w:tmpl w:val="F8686F88"/>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5B5924CA"/>
    <w:multiLevelType w:val="hybridMultilevel"/>
    <w:tmpl w:val="4936168A"/>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09" w15:restartNumberingAfterBreak="0">
    <w:nsid w:val="5C003B61"/>
    <w:multiLevelType w:val="hybridMultilevel"/>
    <w:tmpl w:val="7F1AAC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0" w15:restartNumberingAfterBreak="0">
    <w:nsid w:val="5D8D2A09"/>
    <w:multiLevelType w:val="hybridMultilevel"/>
    <w:tmpl w:val="AE347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5DE15BD3"/>
    <w:multiLevelType w:val="hybridMultilevel"/>
    <w:tmpl w:val="EF00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5F6C0672"/>
    <w:multiLevelType w:val="hybridMultilevel"/>
    <w:tmpl w:val="048A6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5F906DB9"/>
    <w:multiLevelType w:val="multilevel"/>
    <w:tmpl w:val="38C8A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4" w15:restartNumberingAfterBreak="0">
    <w:nsid w:val="5F98068F"/>
    <w:multiLevelType w:val="hybridMultilevel"/>
    <w:tmpl w:val="76505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60C94EAA"/>
    <w:multiLevelType w:val="hybridMultilevel"/>
    <w:tmpl w:val="1F043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627D3170"/>
    <w:multiLevelType w:val="hybridMultilevel"/>
    <w:tmpl w:val="AB1E1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627F7B3F"/>
    <w:multiLevelType w:val="hybridMultilevel"/>
    <w:tmpl w:val="0B1CB588"/>
    <w:lvl w:ilvl="0" w:tplc="685622B6">
      <w:start w:val="1"/>
      <w:numFmt w:val="decimal"/>
      <w:pStyle w:val="ListDash"/>
      <w:lvlText w:val="%1."/>
      <w:lvlJc w:val="left"/>
      <w:pPr>
        <w:ind w:left="720" w:hanging="360"/>
      </w:pPr>
      <w:rPr>
        <w:rFonts w:hint="default"/>
        <w:sz w:val="28"/>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8" w15:restartNumberingAfterBreak="0">
    <w:nsid w:val="62BE50EE"/>
    <w:multiLevelType w:val="hybridMultilevel"/>
    <w:tmpl w:val="FFB21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2FC3B4A"/>
    <w:multiLevelType w:val="hybridMultilevel"/>
    <w:tmpl w:val="F21EF45C"/>
    <w:lvl w:ilvl="0" w:tplc="685622B6">
      <w:start w:val="1"/>
      <w:numFmt w:val="bullet"/>
      <w:lvlText w:val=""/>
      <w:lvlJc w:val="left"/>
      <w:pPr>
        <w:ind w:left="720" w:hanging="360"/>
      </w:pPr>
      <w:rPr>
        <w:rFonts w:ascii="Symbol" w:hAnsi="Symbol" w:hint="default"/>
      </w:rPr>
    </w:lvl>
    <w:lvl w:ilvl="1" w:tplc="04180019" w:tentative="1">
      <w:start w:val="1"/>
      <w:numFmt w:val="bullet"/>
      <w:lvlText w:val="o"/>
      <w:lvlJc w:val="left"/>
      <w:pPr>
        <w:ind w:left="1440" w:hanging="360"/>
      </w:pPr>
      <w:rPr>
        <w:rFonts w:ascii="Courier New" w:hAnsi="Courier New" w:cs="Courier New" w:hint="default"/>
      </w:rPr>
    </w:lvl>
    <w:lvl w:ilvl="2" w:tplc="0418001B" w:tentative="1">
      <w:start w:val="1"/>
      <w:numFmt w:val="bullet"/>
      <w:lvlText w:val=""/>
      <w:lvlJc w:val="left"/>
      <w:pPr>
        <w:ind w:left="2160" w:hanging="360"/>
      </w:pPr>
      <w:rPr>
        <w:rFonts w:ascii="Wingdings" w:hAnsi="Wingdings" w:hint="default"/>
      </w:rPr>
    </w:lvl>
    <w:lvl w:ilvl="3" w:tplc="0418000F" w:tentative="1">
      <w:start w:val="1"/>
      <w:numFmt w:val="bullet"/>
      <w:lvlText w:val=""/>
      <w:lvlJc w:val="left"/>
      <w:pPr>
        <w:ind w:left="2880" w:hanging="360"/>
      </w:pPr>
      <w:rPr>
        <w:rFonts w:ascii="Symbol" w:hAnsi="Symbol" w:hint="default"/>
      </w:rPr>
    </w:lvl>
    <w:lvl w:ilvl="4" w:tplc="04180019" w:tentative="1">
      <w:start w:val="1"/>
      <w:numFmt w:val="bullet"/>
      <w:lvlText w:val="o"/>
      <w:lvlJc w:val="left"/>
      <w:pPr>
        <w:ind w:left="3600" w:hanging="360"/>
      </w:pPr>
      <w:rPr>
        <w:rFonts w:ascii="Courier New" w:hAnsi="Courier New" w:cs="Courier New" w:hint="default"/>
      </w:rPr>
    </w:lvl>
    <w:lvl w:ilvl="5" w:tplc="0418001B" w:tentative="1">
      <w:start w:val="1"/>
      <w:numFmt w:val="bullet"/>
      <w:lvlText w:val=""/>
      <w:lvlJc w:val="left"/>
      <w:pPr>
        <w:ind w:left="4320" w:hanging="360"/>
      </w:pPr>
      <w:rPr>
        <w:rFonts w:ascii="Wingdings" w:hAnsi="Wingdings" w:hint="default"/>
      </w:rPr>
    </w:lvl>
    <w:lvl w:ilvl="6" w:tplc="0418000F" w:tentative="1">
      <w:start w:val="1"/>
      <w:numFmt w:val="bullet"/>
      <w:lvlText w:val=""/>
      <w:lvlJc w:val="left"/>
      <w:pPr>
        <w:ind w:left="5040" w:hanging="360"/>
      </w:pPr>
      <w:rPr>
        <w:rFonts w:ascii="Symbol" w:hAnsi="Symbol" w:hint="default"/>
      </w:rPr>
    </w:lvl>
    <w:lvl w:ilvl="7" w:tplc="04180019" w:tentative="1">
      <w:start w:val="1"/>
      <w:numFmt w:val="bullet"/>
      <w:lvlText w:val="o"/>
      <w:lvlJc w:val="left"/>
      <w:pPr>
        <w:ind w:left="5760" w:hanging="360"/>
      </w:pPr>
      <w:rPr>
        <w:rFonts w:ascii="Courier New" w:hAnsi="Courier New" w:cs="Courier New" w:hint="default"/>
      </w:rPr>
    </w:lvl>
    <w:lvl w:ilvl="8" w:tplc="0418001B" w:tentative="1">
      <w:start w:val="1"/>
      <w:numFmt w:val="bullet"/>
      <w:lvlText w:val=""/>
      <w:lvlJc w:val="left"/>
      <w:pPr>
        <w:ind w:left="6480" w:hanging="360"/>
      </w:pPr>
      <w:rPr>
        <w:rFonts w:ascii="Wingdings" w:hAnsi="Wingdings" w:hint="default"/>
      </w:rPr>
    </w:lvl>
  </w:abstractNum>
  <w:abstractNum w:abstractNumId="220" w15:restartNumberingAfterBreak="0">
    <w:nsid w:val="63003C70"/>
    <w:multiLevelType w:val="hybridMultilevel"/>
    <w:tmpl w:val="9EBC2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4491E44"/>
    <w:multiLevelType w:val="hybridMultilevel"/>
    <w:tmpl w:val="7CCACFEC"/>
    <w:lvl w:ilvl="0" w:tplc="04090001">
      <w:start w:val="1"/>
      <w:numFmt w:val="bullet"/>
      <w:lvlText w:val=""/>
      <w:lvlJc w:val="left"/>
      <w:pPr>
        <w:ind w:left="99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2" w15:restartNumberingAfterBreak="0">
    <w:nsid w:val="651112C9"/>
    <w:multiLevelType w:val="hybridMultilevel"/>
    <w:tmpl w:val="A9B64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653E360B"/>
    <w:multiLevelType w:val="hybridMultilevel"/>
    <w:tmpl w:val="F886BD50"/>
    <w:lvl w:ilvl="0" w:tplc="4022B74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4" w15:restartNumberingAfterBreak="0">
    <w:nsid w:val="6702018C"/>
    <w:multiLevelType w:val="hybridMultilevel"/>
    <w:tmpl w:val="F46C7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688055B9"/>
    <w:multiLevelType w:val="hybridMultilevel"/>
    <w:tmpl w:val="D876CD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68D74E15"/>
    <w:multiLevelType w:val="hybridMultilevel"/>
    <w:tmpl w:val="7EE47B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8FF5F7D"/>
    <w:multiLevelType w:val="hybridMultilevel"/>
    <w:tmpl w:val="269ED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692F6F71"/>
    <w:multiLevelType w:val="multilevel"/>
    <w:tmpl w:val="2DE27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9" w15:restartNumberingAfterBreak="0">
    <w:nsid w:val="69D60077"/>
    <w:multiLevelType w:val="hybridMultilevel"/>
    <w:tmpl w:val="B24EC864"/>
    <w:lvl w:ilvl="0" w:tplc="0409000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AD36249"/>
    <w:multiLevelType w:val="hybridMultilevel"/>
    <w:tmpl w:val="E45A0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C193F44"/>
    <w:multiLevelType w:val="hybridMultilevel"/>
    <w:tmpl w:val="9B488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6CE6710F"/>
    <w:multiLevelType w:val="hybridMultilevel"/>
    <w:tmpl w:val="C02C0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6D371706"/>
    <w:multiLevelType w:val="hybridMultilevel"/>
    <w:tmpl w:val="80F8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6DD251DA"/>
    <w:multiLevelType w:val="hybridMultilevel"/>
    <w:tmpl w:val="62F48D90"/>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235" w15:restartNumberingAfterBreak="0">
    <w:nsid w:val="6E0B586D"/>
    <w:multiLevelType w:val="hybridMultilevel"/>
    <w:tmpl w:val="272E9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6ED1161D"/>
    <w:multiLevelType w:val="hybridMultilevel"/>
    <w:tmpl w:val="0CAECF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7" w15:restartNumberingAfterBreak="0">
    <w:nsid w:val="6FB24C98"/>
    <w:multiLevelType w:val="hybridMultilevel"/>
    <w:tmpl w:val="39FE4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6FD92ADD"/>
    <w:multiLevelType w:val="hybridMultilevel"/>
    <w:tmpl w:val="28E2CBB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70762C34"/>
    <w:multiLevelType w:val="hybridMultilevel"/>
    <w:tmpl w:val="248A4132"/>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0E30501"/>
    <w:multiLevelType w:val="hybridMultilevel"/>
    <w:tmpl w:val="39664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718A119A"/>
    <w:multiLevelType w:val="hybridMultilevel"/>
    <w:tmpl w:val="E5C43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71A76A0B"/>
    <w:multiLevelType w:val="hybridMultilevel"/>
    <w:tmpl w:val="71960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1E40A89"/>
    <w:multiLevelType w:val="hybridMultilevel"/>
    <w:tmpl w:val="D08C2D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722E1372"/>
    <w:multiLevelType w:val="hybridMultilevel"/>
    <w:tmpl w:val="73BE9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725579B5"/>
    <w:multiLevelType w:val="hybridMultilevel"/>
    <w:tmpl w:val="B1C2D14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72D22477"/>
    <w:multiLevelType w:val="hybridMultilevel"/>
    <w:tmpl w:val="6A64F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73031342"/>
    <w:multiLevelType w:val="hybridMultilevel"/>
    <w:tmpl w:val="EBDE26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8" w15:restartNumberingAfterBreak="0">
    <w:nsid w:val="73D80567"/>
    <w:multiLevelType w:val="hybridMultilevel"/>
    <w:tmpl w:val="060E9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741069FB"/>
    <w:multiLevelType w:val="hybridMultilevel"/>
    <w:tmpl w:val="7908B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755C282D"/>
    <w:multiLevelType w:val="hybridMultilevel"/>
    <w:tmpl w:val="EF58A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75AD4097"/>
    <w:multiLevelType w:val="hybridMultilevel"/>
    <w:tmpl w:val="B576F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75F63223"/>
    <w:multiLevelType w:val="hybridMultilevel"/>
    <w:tmpl w:val="2E586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76A31A2E"/>
    <w:multiLevelType w:val="hybridMultilevel"/>
    <w:tmpl w:val="029A2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76B2532D"/>
    <w:multiLevelType w:val="hybridMultilevel"/>
    <w:tmpl w:val="3A183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76F26E4E"/>
    <w:multiLevelType w:val="hybridMultilevel"/>
    <w:tmpl w:val="0EB0F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781615D"/>
    <w:multiLevelType w:val="hybridMultilevel"/>
    <w:tmpl w:val="8A94D02E"/>
    <w:lvl w:ilvl="0" w:tplc="4022B74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79127720"/>
    <w:multiLevelType w:val="hybridMultilevel"/>
    <w:tmpl w:val="B1C20BE6"/>
    <w:lvl w:ilvl="0" w:tplc="9576599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9F32966"/>
    <w:multiLevelType w:val="hybridMultilevel"/>
    <w:tmpl w:val="E4F29B5E"/>
    <w:lvl w:ilvl="0" w:tplc="04180009">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59" w15:restartNumberingAfterBreak="0">
    <w:nsid w:val="7A3B0881"/>
    <w:multiLevelType w:val="hybridMultilevel"/>
    <w:tmpl w:val="F3466A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CDF4FA3"/>
    <w:multiLevelType w:val="hybridMultilevel"/>
    <w:tmpl w:val="B6100BFC"/>
    <w:lvl w:ilvl="0" w:tplc="00000073">
      <w:numFmt w:val="bullet"/>
      <w:lvlText w:val="-"/>
      <w:lvlJc w:val="left"/>
      <w:pPr>
        <w:ind w:left="720" w:hanging="360"/>
      </w:pPr>
      <w:rPr>
        <w:rFonts w:ascii="Calibri" w:hAnsi="Calibri" w:cs="Courier"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7DD707DD"/>
    <w:multiLevelType w:val="hybridMultilevel"/>
    <w:tmpl w:val="A364E5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7DD762AE"/>
    <w:multiLevelType w:val="hybridMultilevel"/>
    <w:tmpl w:val="E78EE674"/>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63" w15:restartNumberingAfterBreak="0">
    <w:nsid w:val="7F077E3F"/>
    <w:multiLevelType w:val="hybridMultilevel"/>
    <w:tmpl w:val="12968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7F7922AA"/>
    <w:multiLevelType w:val="hybridMultilevel"/>
    <w:tmpl w:val="A08EE9BA"/>
    <w:lvl w:ilvl="0" w:tplc="04090005">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1173447">
    <w:abstractNumId w:val="190"/>
  </w:num>
  <w:num w:numId="2" w16cid:durableId="300623930">
    <w:abstractNumId w:val="217"/>
  </w:num>
  <w:num w:numId="3" w16cid:durableId="454297255">
    <w:abstractNumId w:val="54"/>
  </w:num>
  <w:num w:numId="4" w16cid:durableId="669258685">
    <w:abstractNumId w:val="176"/>
  </w:num>
  <w:num w:numId="5" w16cid:durableId="1438866558">
    <w:abstractNumId w:val="8"/>
  </w:num>
  <w:num w:numId="6" w16cid:durableId="1281038163">
    <w:abstractNumId w:val="130"/>
  </w:num>
  <w:num w:numId="7" w16cid:durableId="1725519615">
    <w:abstractNumId w:val="191"/>
  </w:num>
  <w:num w:numId="8" w16cid:durableId="665599599">
    <w:abstractNumId w:val="125"/>
  </w:num>
  <w:num w:numId="9" w16cid:durableId="1628659022">
    <w:abstractNumId w:val="65"/>
  </w:num>
  <w:num w:numId="10" w16cid:durableId="2096441756">
    <w:abstractNumId w:val="66"/>
  </w:num>
  <w:num w:numId="11" w16cid:durableId="1122921370">
    <w:abstractNumId w:val="67"/>
  </w:num>
  <w:num w:numId="12" w16cid:durableId="154804373">
    <w:abstractNumId w:val="68"/>
  </w:num>
  <w:num w:numId="13" w16cid:durableId="1609122492">
    <w:abstractNumId w:val="69"/>
  </w:num>
  <w:num w:numId="14" w16cid:durableId="534585546">
    <w:abstractNumId w:val="71"/>
  </w:num>
  <w:num w:numId="15" w16cid:durableId="1773238282">
    <w:abstractNumId w:val="72"/>
  </w:num>
  <w:num w:numId="16" w16cid:durableId="569003420">
    <w:abstractNumId w:val="74"/>
  </w:num>
  <w:num w:numId="17" w16cid:durableId="205487277">
    <w:abstractNumId w:val="75"/>
  </w:num>
  <w:num w:numId="18" w16cid:durableId="1093747277">
    <w:abstractNumId w:val="120"/>
  </w:num>
  <w:num w:numId="19" w16cid:durableId="1588224454">
    <w:abstractNumId w:val="91"/>
  </w:num>
  <w:num w:numId="20" w16cid:durableId="1272132774">
    <w:abstractNumId w:val="84"/>
  </w:num>
  <w:num w:numId="21" w16cid:durableId="193664210">
    <w:abstractNumId w:val="238"/>
  </w:num>
  <w:num w:numId="22" w16cid:durableId="1287733958">
    <w:abstractNumId w:val="230"/>
  </w:num>
  <w:num w:numId="23" w16cid:durableId="1873221498">
    <w:abstractNumId w:val="189"/>
  </w:num>
  <w:num w:numId="24" w16cid:durableId="1538155092">
    <w:abstractNumId w:val="261"/>
  </w:num>
  <w:num w:numId="25" w16cid:durableId="159734855">
    <w:abstractNumId w:val="259"/>
  </w:num>
  <w:num w:numId="26" w16cid:durableId="2054110862">
    <w:abstractNumId w:val="225"/>
  </w:num>
  <w:num w:numId="27" w16cid:durableId="1605454842">
    <w:abstractNumId w:val="95"/>
  </w:num>
  <w:num w:numId="28" w16cid:durableId="766735878">
    <w:abstractNumId w:val="236"/>
  </w:num>
  <w:num w:numId="29" w16cid:durableId="1032725821">
    <w:abstractNumId w:val="247"/>
  </w:num>
  <w:num w:numId="30" w16cid:durableId="1335954740">
    <w:abstractNumId w:val="126"/>
  </w:num>
  <w:num w:numId="31" w16cid:durableId="549807472">
    <w:abstractNumId w:val="200"/>
  </w:num>
  <w:num w:numId="32" w16cid:durableId="233323862">
    <w:abstractNumId w:val="223"/>
  </w:num>
  <w:num w:numId="33" w16cid:durableId="1409840505">
    <w:abstractNumId w:val="151"/>
  </w:num>
  <w:num w:numId="34" w16cid:durableId="547767113">
    <w:abstractNumId w:val="243"/>
  </w:num>
  <w:num w:numId="35" w16cid:durableId="152988280">
    <w:abstractNumId w:val="197"/>
  </w:num>
  <w:num w:numId="36" w16cid:durableId="990328788">
    <w:abstractNumId w:val="226"/>
  </w:num>
  <w:num w:numId="37" w16cid:durableId="820730586">
    <w:abstractNumId w:val="144"/>
  </w:num>
  <w:num w:numId="38" w16cid:durableId="827283699">
    <w:abstractNumId w:val="76"/>
  </w:num>
  <w:num w:numId="39" w16cid:durableId="1953125385">
    <w:abstractNumId w:val="239"/>
  </w:num>
  <w:num w:numId="40" w16cid:durableId="205652083">
    <w:abstractNumId w:val="86"/>
  </w:num>
  <w:num w:numId="41" w16cid:durableId="892542672">
    <w:abstractNumId w:val="203"/>
  </w:num>
  <w:num w:numId="42" w16cid:durableId="231623247">
    <w:abstractNumId w:val="123"/>
  </w:num>
  <w:num w:numId="43" w16cid:durableId="473068071">
    <w:abstractNumId w:val="83"/>
  </w:num>
  <w:num w:numId="44" w16cid:durableId="171653595">
    <w:abstractNumId w:val="183"/>
  </w:num>
  <w:num w:numId="45" w16cid:durableId="1122922759">
    <w:abstractNumId w:val="192"/>
  </w:num>
  <w:num w:numId="46" w16cid:durableId="1939409696">
    <w:abstractNumId w:val="180"/>
  </w:num>
  <w:num w:numId="47" w16cid:durableId="940065585">
    <w:abstractNumId w:val="162"/>
  </w:num>
  <w:num w:numId="48" w16cid:durableId="137455355">
    <w:abstractNumId w:val="256"/>
  </w:num>
  <w:num w:numId="49" w16cid:durableId="1735271708">
    <w:abstractNumId w:val="181"/>
  </w:num>
  <w:num w:numId="50" w16cid:durableId="426662360">
    <w:abstractNumId w:val="129"/>
  </w:num>
  <w:num w:numId="51" w16cid:durableId="1163930591">
    <w:abstractNumId w:val="207"/>
  </w:num>
  <w:num w:numId="52" w16cid:durableId="1354770245">
    <w:abstractNumId w:val="201"/>
  </w:num>
  <w:num w:numId="53" w16cid:durableId="1798065794">
    <w:abstractNumId w:val="251"/>
  </w:num>
  <w:num w:numId="54" w16cid:durableId="1487352945">
    <w:abstractNumId w:val="118"/>
  </w:num>
  <w:num w:numId="55" w16cid:durableId="1754351781">
    <w:abstractNumId w:val="60"/>
  </w:num>
  <w:num w:numId="56" w16cid:durableId="705132195">
    <w:abstractNumId w:val="92"/>
  </w:num>
  <w:num w:numId="57" w16cid:durableId="1378163406">
    <w:abstractNumId w:val="18"/>
  </w:num>
  <w:num w:numId="58" w16cid:durableId="1923292417">
    <w:abstractNumId w:val="21"/>
  </w:num>
  <w:num w:numId="59" w16cid:durableId="1205480947">
    <w:abstractNumId w:val="22"/>
  </w:num>
  <w:num w:numId="60" w16cid:durableId="311913658">
    <w:abstractNumId w:val="20"/>
  </w:num>
  <w:num w:numId="61" w16cid:durableId="1473019359">
    <w:abstractNumId w:val="23"/>
  </w:num>
  <w:num w:numId="62" w16cid:durableId="1289505084">
    <w:abstractNumId w:val="24"/>
  </w:num>
  <w:num w:numId="63" w16cid:durableId="1400901652">
    <w:abstractNumId w:val="42"/>
  </w:num>
  <w:num w:numId="64" w16cid:durableId="1023870297">
    <w:abstractNumId w:val="55"/>
  </w:num>
  <w:num w:numId="65" w16cid:durableId="2039164423">
    <w:abstractNumId w:val="57"/>
  </w:num>
  <w:num w:numId="66" w16cid:durableId="1054081120">
    <w:abstractNumId w:val="58"/>
  </w:num>
  <w:num w:numId="67" w16cid:durableId="1382973428">
    <w:abstractNumId w:val="62"/>
  </w:num>
  <w:num w:numId="68" w16cid:durableId="2057076467">
    <w:abstractNumId w:val="229"/>
  </w:num>
  <w:num w:numId="69" w16cid:durableId="1649672647">
    <w:abstractNumId w:val="134"/>
  </w:num>
  <w:num w:numId="70" w16cid:durableId="1208107770">
    <w:abstractNumId w:val="143"/>
  </w:num>
  <w:num w:numId="71" w16cid:durableId="1224952565">
    <w:abstractNumId w:val="104"/>
  </w:num>
  <w:num w:numId="72" w16cid:durableId="1777822554">
    <w:abstractNumId w:val="63"/>
  </w:num>
  <w:num w:numId="73" w16cid:durableId="940651471">
    <w:abstractNumId w:val="105"/>
  </w:num>
  <w:num w:numId="74" w16cid:durableId="717554770">
    <w:abstractNumId w:val="121"/>
  </w:num>
  <w:num w:numId="75" w16cid:durableId="840436188">
    <w:abstractNumId w:val="160"/>
  </w:num>
  <w:num w:numId="76" w16cid:durableId="1387534646">
    <w:abstractNumId w:val="194"/>
  </w:num>
  <w:num w:numId="77" w16cid:durableId="17590395">
    <w:abstractNumId w:val="233"/>
  </w:num>
  <w:num w:numId="78" w16cid:durableId="204949890">
    <w:abstractNumId w:val="264"/>
  </w:num>
  <w:num w:numId="79" w16cid:durableId="810907357">
    <w:abstractNumId w:val="115"/>
  </w:num>
  <w:num w:numId="80" w16cid:durableId="1712144216">
    <w:abstractNumId w:val="219"/>
  </w:num>
  <w:num w:numId="81" w16cid:durableId="74475694">
    <w:abstractNumId w:val="257"/>
  </w:num>
  <w:num w:numId="82" w16cid:durableId="712121906">
    <w:abstractNumId w:val="232"/>
  </w:num>
  <w:num w:numId="83" w16cid:durableId="1293173015">
    <w:abstractNumId w:val="110"/>
  </w:num>
  <w:num w:numId="84" w16cid:durableId="342361778">
    <w:abstractNumId w:val="124"/>
  </w:num>
  <w:num w:numId="85" w16cid:durableId="1447047160">
    <w:abstractNumId w:val="131"/>
  </w:num>
  <w:num w:numId="86" w16cid:durableId="1097098369">
    <w:abstractNumId w:val="108"/>
  </w:num>
  <w:num w:numId="87" w16cid:durableId="1620185142">
    <w:abstractNumId w:val="249"/>
  </w:num>
  <w:num w:numId="88" w16cid:durableId="674920371">
    <w:abstractNumId w:val="116"/>
  </w:num>
  <w:num w:numId="89" w16cid:durableId="631522615">
    <w:abstractNumId w:val="127"/>
  </w:num>
  <w:num w:numId="90" w16cid:durableId="622922143">
    <w:abstractNumId w:val="149"/>
  </w:num>
  <w:num w:numId="91" w16cid:durableId="1044141995">
    <w:abstractNumId w:val="199"/>
  </w:num>
  <w:num w:numId="92" w16cid:durableId="2037807129">
    <w:abstractNumId w:val="188"/>
  </w:num>
  <w:num w:numId="93" w16cid:durableId="354624107">
    <w:abstractNumId w:val="117"/>
  </w:num>
  <w:num w:numId="94" w16cid:durableId="990988776">
    <w:abstractNumId w:val="169"/>
  </w:num>
  <w:num w:numId="95" w16cid:durableId="1084499792">
    <w:abstractNumId w:val="220"/>
  </w:num>
  <w:num w:numId="96" w16cid:durableId="1804344470">
    <w:abstractNumId w:val="157"/>
  </w:num>
  <w:num w:numId="97" w16cid:durableId="1735471750">
    <w:abstractNumId w:val="248"/>
  </w:num>
  <w:num w:numId="98" w16cid:durableId="1583029571">
    <w:abstractNumId w:val="97"/>
  </w:num>
  <w:num w:numId="99" w16cid:durableId="1653827881">
    <w:abstractNumId w:val="237"/>
  </w:num>
  <w:num w:numId="100" w16cid:durableId="638613372">
    <w:abstractNumId w:val="82"/>
  </w:num>
  <w:num w:numId="101" w16cid:durableId="1601596893">
    <w:abstractNumId w:val="141"/>
  </w:num>
  <w:num w:numId="102" w16cid:durableId="1452087062">
    <w:abstractNumId w:val="146"/>
  </w:num>
  <w:num w:numId="103" w16cid:durableId="1127311368">
    <w:abstractNumId w:val="155"/>
  </w:num>
  <w:num w:numId="104" w16cid:durableId="775905984">
    <w:abstractNumId w:val="231"/>
  </w:num>
  <w:num w:numId="105" w16cid:durableId="989480450">
    <w:abstractNumId w:val="80"/>
  </w:num>
  <w:num w:numId="106" w16cid:durableId="784228994">
    <w:abstractNumId w:val="163"/>
  </w:num>
  <w:num w:numId="107" w16cid:durableId="1939098673">
    <w:abstractNumId w:val="177"/>
  </w:num>
  <w:num w:numId="108" w16cid:durableId="662318579">
    <w:abstractNumId w:val="140"/>
  </w:num>
  <w:num w:numId="109" w16cid:durableId="1503355925">
    <w:abstractNumId w:val="227"/>
  </w:num>
  <w:num w:numId="110" w16cid:durableId="1422989229">
    <w:abstractNumId w:val="186"/>
  </w:num>
  <w:num w:numId="111" w16cid:durableId="743602221">
    <w:abstractNumId w:val="0"/>
  </w:num>
  <w:num w:numId="112" w16cid:durableId="1692367172">
    <w:abstractNumId w:val="128"/>
  </w:num>
  <w:num w:numId="113" w16cid:durableId="404303541">
    <w:abstractNumId w:val="78"/>
  </w:num>
  <w:num w:numId="114" w16cid:durableId="1850024810">
    <w:abstractNumId w:val="204"/>
  </w:num>
  <w:num w:numId="115" w16cid:durableId="1653367958">
    <w:abstractNumId w:val="111"/>
  </w:num>
  <w:num w:numId="116" w16cid:durableId="204680802">
    <w:abstractNumId w:val="4"/>
  </w:num>
  <w:num w:numId="117" w16cid:durableId="694844989">
    <w:abstractNumId w:val="56"/>
  </w:num>
  <w:num w:numId="118" w16cid:durableId="1976637207">
    <w:abstractNumId w:val="262"/>
  </w:num>
  <w:num w:numId="119" w16cid:durableId="830947525">
    <w:abstractNumId w:val="175"/>
  </w:num>
  <w:num w:numId="120" w16cid:durableId="1780947758">
    <w:abstractNumId w:val="132"/>
  </w:num>
  <w:num w:numId="121" w16cid:durableId="1351951880">
    <w:abstractNumId w:val="166"/>
  </w:num>
  <w:num w:numId="122" w16cid:durableId="560286461">
    <w:abstractNumId w:val="198"/>
  </w:num>
  <w:num w:numId="123" w16cid:durableId="2014674831">
    <w:abstractNumId w:val="93"/>
  </w:num>
  <w:num w:numId="124" w16cid:durableId="693530701">
    <w:abstractNumId w:val="112"/>
  </w:num>
  <w:num w:numId="125" w16cid:durableId="125709399">
    <w:abstractNumId w:val="139"/>
  </w:num>
  <w:num w:numId="126" w16cid:durableId="2141535747">
    <w:abstractNumId w:val="109"/>
  </w:num>
  <w:num w:numId="127" w16cid:durableId="83964050">
    <w:abstractNumId w:val="255"/>
  </w:num>
  <w:num w:numId="128" w16cid:durableId="2017926592">
    <w:abstractNumId w:val="172"/>
  </w:num>
  <w:num w:numId="129" w16cid:durableId="1543665864">
    <w:abstractNumId w:val="260"/>
  </w:num>
  <w:num w:numId="130" w16cid:durableId="1133791016">
    <w:abstractNumId w:val="137"/>
  </w:num>
  <w:num w:numId="131" w16cid:durableId="977799568">
    <w:abstractNumId w:val="171"/>
  </w:num>
  <w:num w:numId="132" w16cid:durableId="32732334">
    <w:abstractNumId w:val="87"/>
  </w:num>
  <w:num w:numId="133" w16cid:durableId="589779228">
    <w:abstractNumId w:val="179"/>
  </w:num>
  <w:num w:numId="134" w16cid:durableId="1892111959">
    <w:abstractNumId w:val="148"/>
  </w:num>
  <w:num w:numId="135" w16cid:durableId="1582179504">
    <w:abstractNumId w:val="211"/>
  </w:num>
  <w:num w:numId="136" w16cid:durableId="2026520611">
    <w:abstractNumId w:val="161"/>
  </w:num>
  <w:num w:numId="137" w16cid:durableId="2126998850">
    <w:abstractNumId w:val="241"/>
  </w:num>
  <w:num w:numId="138" w16cid:durableId="1207061243">
    <w:abstractNumId w:val="153"/>
  </w:num>
  <w:num w:numId="139" w16cid:durableId="1699774069">
    <w:abstractNumId w:val="252"/>
  </w:num>
  <w:num w:numId="140" w16cid:durableId="4721029">
    <w:abstractNumId w:val="184"/>
  </w:num>
  <w:num w:numId="141" w16cid:durableId="1482574870">
    <w:abstractNumId w:val="222"/>
  </w:num>
  <w:num w:numId="142" w16cid:durableId="825124870">
    <w:abstractNumId w:val="215"/>
  </w:num>
  <w:num w:numId="143" w16cid:durableId="1395927810">
    <w:abstractNumId w:val="242"/>
  </w:num>
  <w:num w:numId="144" w16cid:durableId="1885676479">
    <w:abstractNumId w:val="210"/>
  </w:num>
  <w:num w:numId="145" w16cid:durableId="1235117653">
    <w:abstractNumId w:val="103"/>
  </w:num>
  <w:num w:numId="146" w16cid:durableId="1125809732">
    <w:abstractNumId w:val="178"/>
  </w:num>
  <w:num w:numId="147" w16cid:durableId="306588480">
    <w:abstractNumId w:val="167"/>
  </w:num>
  <w:num w:numId="148" w16cid:durableId="898904667">
    <w:abstractNumId w:val="114"/>
  </w:num>
  <w:num w:numId="149" w16cid:durableId="500202933">
    <w:abstractNumId w:val="164"/>
  </w:num>
  <w:num w:numId="150" w16cid:durableId="1925335445">
    <w:abstractNumId w:val="234"/>
  </w:num>
  <w:num w:numId="151" w16cid:durableId="1212617885">
    <w:abstractNumId w:val="218"/>
  </w:num>
  <w:num w:numId="152" w16cid:durableId="202639264">
    <w:abstractNumId w:val="90"/>
  </w:num>
  <w:num w:numId="153" w16cid:durableId="1010838027">
    <w:abstractNumId w:val="142"/>
  </w:num>
  <w:num w:numId="154" w16cid:durableId="1569605594">
    <w:abstractNumId w:val="145"/>
  </w:num>
  <w:num w:numId="155" w16cid:durableId="22481307">
    <w:abstractNumId w:val="216"/>
  </w:num>
  <w:num w:numId="156" w16cid:durableId="1777289958">
    <w:abstractNumId w:val="133"/>
  </w:num>
  <w:num w:numId="157" w16cid:durableId="1333069595">
    <w:abstractNumId w:val="165"/>
  </w:num>
  <w:num w:numId="158" w16cid:durableId="328489044">
    <w:abstractNumId w:val="240"/>
  </w:num>
  <w:num w:numId="159" w16cid:durableId="769160865">
    <w:abstractNumId w:val="206"/>
  </w:num>
  <w:num w:numId="160" w16cid:durableId="1451972499">
    <w:abstractNumId w:val="185"/>
  </w:num>
  <w:num w:numId="161" w16cid:durableId="471757219">
    <w:abstractNumId w:val="246"/>
  </w:num>
  <w:num w:numId="162" w16cid:durableId="872889413">
    <w:abstractNumId w:val="174"/>
  </w:num>
  <w:num w:numId="163" w16cid:durableId="1439369712">
    <w:abstractNumId w:val="89"/>
  </w:num>
  <w:num w:numId="164" w16cid:durableId="2070304917">
    <w:abstractNumId w:val="263"/>
  </w:num>
  <w:num w:numId="165" w16cid:durableId="1861118645">
    <w:abstractNumId w:val="122"/>
  </w:num>
  <w:num w:numId="166" w16cid:durableId="1030036985">
    <w:abstractNumId w:val="96"/>
  </w:num>
  <w:num w:numId="167" w16cid:durableId="603609354">
    <w:abstractNumId w:val="100"/>
  </w:num>
  <w:num w:numId="168" w16cid:durableId="1601378451">
    <w:abstractNumId w:val="85"/>
  </w:num>
  <w:num w:numId="169" w16cid:durableId="1833058701">
    <w:abstractNumId w:val="159"/>
  </w:num>
  <w:num w:numId="170" w16cid:durableId="1561331737">
    <w:abstractNumId w:val="94"/>
  </w:num>
  <w:num w:numId="171" w16cid:durableId="1938753893">
    <w:abstractNumId w:val="77"/>
  </w:num>
  <w:num w:numId="172" w16cid:durableId="1158569043">
    <w:abstractNumId w:val="202"/>
  </w:num>
  <w:num w:numId="173" w16cid:durableId="1336688516">
    <w:abstractNumId w:val="212"/>
  </w:num>
  <w:num w:numId="174" w16cid:durableId="1663585461">
    <w:abstractNumId w:val="81"/>
  </w:num>
  <w:num w:numId="175" w16cid:durableId="691883461">
    <w:abstractNumId w:val="173"/>
  </w:num>
  <w:num w:numId="176" w16cid:durableId="65036775">
    <w:abstractNumId w:val="214"/>
  </w:num>
  <w:num w:numId="177" w16cid:durableId="149057329">
    <w:abstractNumId w:val="152"/>
  </w:num>
  <w:num w:numId="178" w16cid:durableId="1103456297">
    <w:abstractNumId w:val="195"/>
  </w:num>
  <w:num w:numId="179" w16cid:durableId="663050783">
    <w:abstractNumId w:val="135"/>
  </w:num>
  <w:num w:numId="180" w16cid:durableId="1652365277">
    <w:abstractNumId w:val="113"/>
  </w:num>
  <w:num w:numId="181" w16cid:durableId="1388145767">
    <w:abstractNumId w:val="224"/>
  </w:num>
  <w:num w:numId="182" w16cid:durableId="1397582817">
    <w:abstractNumId w:val="196"/>
  </w:num>
  <w:num w:numId="183" w16cid:durableId="304627232">
    <w:abstractNumId w:val="235"/>
  </w:num>
  <w:num w:numId="184" w16cid:durableId="715660198">
    <w:abstractNumId w:val="88"/>
  </w:num>
  <w:num w:numId="185" w16cid:durableId="128866929">
    <w:abstractNumId w:val="79"/>
  </w:num>
  <w:num w:numId="186" w16cid:durableId="607201003">
    <w:abstractNumId w:val="250"/>
  </w:num>
  <w:num w:numId="187" w16cid:durableId="164055587">
    <w:abstractNumId w:val="107"/>
  </w:num>
  <w:num w:numId="188" w16cid:durableId="913003759">
    <w:abstractNumId w:val="245"/>
  </w:num>
  <w:num w:numId="189" w16cid:durableId="1963419928">
    <w:abstractNumId w:val="158"/>
  </w:num>
  <w:num w:numId="190" w16cid:durableId="1226837097">
    <w:abstractNumId w:val="119"/>
  </w:num>
  <w:num w:numId="191" w16cid:durableId="499586824">
    <w:abstractNumId w:val="168"/>
  </w:num>
  <w:num w:numId="192" w16cid:durableId="1309163470">
    <w:abstractNumId w:val="182"/>
  </w:num>
  <w:num w:numId="193" w16cid:durableId="1265382102">
    <w:abstractNumId w:val="253"/>
  </w:num>
  <w:num w:numId="194" w16cid:durableId="482889140">
    <w:abstractNumId w:val="98"/>
  </w:num>
  <w:num w:numId="195" w16cid:durableId="1576206367">
    <w:abstractNumId w:val="154"/>
  </w:num>
  <w:num w:numId="196" w16cid:durableId="1197742804">
    <w:abstractNumId w:val="99"/>
  </w:num>
  <w:num w:numId="197" w16cid:durableId="1398747215">
    <w:abstractNumId w:val="150"/>
  </w:num>
  <w:num w:numId="198" w16cid:durableId="1272250871">
    <w:abstractNumId w:val="244"/>
  </w:num>
  <w:num w:numId="199" w16cid:durableId="132255850">
    <w:abstractNumId w:val="187"/>
  </w:num>
  <w:num w:numId="200" w16cid:durableId="1944409721">
    <w:abstractNumId w:val="208"/>
  </w:num>
  <w:num w:numId="201" w16cid:durableId="900137862">
    <w:abstractNumId w:val="156"/>
  </w:num>
  <w:num w:numId="202" w16cid:durableId="1055932396">
    <w:abstractNumId w:val="258"/>
  </w:num>
  <w:num w:numId="203" w16cid:durableId="1674649741">
    <w:abstractNumId w:val="106"/>
  </w:num>
  <w:num w:numId="204" w16cid:durableId="1425765519">
    <w:abstractNumId w:val="101"/>
  </w:num>
  <w:num w:numId="205" w16cid:durableId="628556244">
    <w:abstractNumId w:val="193"/>
  </w:num>
  <w:num w:numId="206" w16cid:durableId="793327756">
    <w:abstractNumId w:val="254"/>
  </w:num>
  <w:num w:numId="207" w16cid:durableId="354234365">
    <w:abstractNumId w:val="170"/>
  </w:num>
  <w:num w:numId="208" w16cid:durableId="143812442">
    <w:abstractNumId w:val="147"/>
  </w:num>
  <w:num w:numId="209" w16cid:durableId="2001500747">
    <w:abstractNumId w:val="136"/>
  </w:num>
  <w:num w:numId="210" w16cid:durableId="1783719985">
    <w:abstractNumId w:val="102"/>
  </w:num>
  <w:num w:numId="211" w16cid:durableId="1576478130">
    <w:abstractNumId w:val="209"/>
  </w:num>
  <w:num w:numId="212" w16cid:durableId="403986985">
    <w:abstractNumId w:val="205"/>
  </w:num>
  <w:num w:numId="213" w16cid:durableId="2079208035">
    <w:abstractNumId w:val="138"/>
  </w:num>
  <w:num w:numId="214" w16cid:durableId="894662370">
    <w:abstractNumId w:val="228"/>
  </w:num>
  <w:num w:numId="215" w16cid:durableId="2001536929">
    <w:abstractNumId w:val="213"/>
  </w:num>
  <w:num w:numId="216" w16cid:durableId="206265312">
    <w:abstractNumId w:val="221"/>
  </w:num>
  <w:numIdMacAtCleanup w:val="2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45C1D"/>
    <w:rsid w:val="00001A70"/>
    <w:rsid w:val="00001DD7"/>
    <w:rsid w:val="00003131"/>
    <w:rsid w:val="0000360D"/>
    <w:rsid w:val="0001072E"/>
    <w:rsid w:val="00011BA9"/>
    <w:rsid w:val="00012B64"/>
    <w:rsid w:val="00013331"/>
    <w:rsid w:val="00017B28"/>
    <w:rsid w:val="00021561"/>
    <w:rsid w:val="00021F1D"/>
    <w:rsid w:val="0002272D"/>
    <w:rsid w:val="00023A09"/>
    <w:rsid w:val="00024020"/>
    <w:rsid w:val="00033AD1"/>
    <w:rsid w:val="0003407C"/>
    <w:rsid w:val="000359B4"/>
    <w:rsid w:val="000365D6"/>
    <w:rsid w:val="000413CA"/>
    <w:rsid w:val="00046939"/>
    <w:rsid w:val="00047672"/>
    <w:rsid w:val="00052A28"/>
    <w:rsid w:val="00052DF0"/>
    <w:rsid w:val="00054731"/>
    <w:rsid w:val="0005530E"/>
    <w:rsid w:val="00055B76"/>
    <w:rsid w:val="00056E48"/>
    <w:rsid w:val="000621A1"/>
    <w:rsid w:val="00063DCF"/>
    <w:rsid w:val="0006560F"/>
    <w:rsid w:val="000674EF"/>
    <w:rsid w:val="00073D9C"/>
    <w:rsid w:val="00073F5F"/>
    <w:rsid w:val="00075A5C"/>
    <w:rsid w:val="00075EEE"/>
    <w:rsid w:val="000760B2"/>
    <w:rsid w:val="00080A3F"/>
    <w:rsid w:val="00082B10"/>
    <w:rsid w:val="00082E8F"/>
    <w:rsid w:val="0008393C"/>
    <w:rsid w:val="0008423D"/>
    <w:rsid w:val="00084DC4"/>
    <w:rsid w:val="00085FC6"/>
    <w:rsid w:val="00092410"/>
    <w:rsid w:val="00094DCB"/>
    <w:rsid w:val="00094EE5"/>
    <w:rsid w:val="00094F25"/>
    <w:rsid w:val="000958DA"/>
    <w:rsid w:val="00095B0D"/>
    <w:rsid w:val="00096676"/>
    <w:rsid w:val="00096A56"/>
    <w:rsid w:val="000A1DF8"/>
    <w:rsid w:val="000A5845"/>
    <w:rsid w:val="000A7EE2"/>
    <w:rsid w:val="000B1E7C"/>
    <w:rsid w:val="000B3868"/>
    <w:rsid w:val="000B6B15"/>
    <w:rsid w:val="000B7841"/>
    <w:rsid w:val="000C4C6F"/>
    <w:rsid w:val="000C546C"/>
    <w:rsid w:val="000C57CA"/>
    <w:rsid w:val="000C5B2B"/>
    <w:rsid w:val="000C65D0"/>
    <w:rsid w:val="000C6CB8"/>
    <w:rsid w:val="000C72A6"/>
    <w:rsid w:val="000C7CA7"/>
    <w:rsid w:val="000D0298"/>
    <w:rsid w:val="000D2A93"/>
    <w:rsid w:val="000D2C03"/>
    <w:rsid w:val="000E3303"/>
    <w:rsid w:val="000E5CCC"/>
    <w:rsid w:val="000E767B"/>
    <w:rsid w:val="000F2BF1"/>
    <w:rsid w:val="000F449F"/>
    <w:rsid w:val="00101422"/>
    <w:rsid w:val="00102727"/>
    <w:rsid w:val="00102B77"/>
    <w:rsid w:val="0011563C"/>
    <w:rsid w:val="001164BF"/>
    <w:rsid w:val="00120E6D"/>
    <w:rsid w:val="0012256D"/>
    <w:rsid w:val="00122FF9"/>
    <w:rsid w:val="0012531B"/>
    <w:rsid w:val="00126B15"/>
    <w:rsid w:val="0013133F"/>
    <w:rsid w:val="001336BB"/>
    <w:rsid w:val="00134C10"/>
    <w:rsid w:val="00136C18"/>
    <w:rsid w:val="00137150"/>
    <w:rsid w:val="0013721C"/>
    <w:rsid w:val="0014066C"/>
    <w:rsid w:val="00142DD9"/>
    <w:rsid w:val="00143231"/>
    <w:rsid w:val="001472E6"/>
    <w:rsid w:val="00152F00"/>
    <w:rsid w:val="00153BFD"/>
    <w:rsid w:val="00154CAF"/>
    <w:rsid w:val="00154D40"/>
    <w:rsid w:val="001561DE"/>
    <w:rsid w:val="00156E8D"/>
    <w:rsid w:val="001600A6"/>
    <w:rsid w:val="001600AB"/>
    <w:rsid w:val="00160B6E"/>
    <w:rsid w:val="00163704"/>
    <w:rsid w:val="00165CF9"/>
    <w:rsid w:val="0016675E"/>
    <w:rsid w:val="00167B7E"/>
    <w:rsid w:val="001712DE"/>
    <w:rsid w:val="001715C5"/>
    <w:rsid w:val="0017277B"/>
    <w:rsid w:val="001751A4"/>
    <w:rsid w:val="0017641F"/>
    <w:rsid w:val="001811B9"/>
    <w:rsid w:val="00182281"/>
    <w:rsid w:val="00182968"/>
    <w:rsid w:val="00193E19"/>
    <w:rsid w:val="0019422B"/>
    <w:rsid w:val="00195677"/>
    <w:rsid w:val="001A3AC1"/>
    <w:rsid w:val="001A40E3"/>
    <w:rsid w:val="001B01F7"/>
    <w:rsid w:val="001B04D9"/>
    <w:rsid w:val="001B0C7D"/>
    <w:rsid w:val="001B45CE"/>
    <w:rsid w:val="001B4800"/>
    <w:rsid w:val="001B56C2"/>
    <w:rsid w:val="001C0C35"/>
    <w:rsid w:val="001C44B3"/>
    <w:rsid w:val="001C5279"/>
    <w:rsid w:val="001C7C07"/>
    <w:rsid w:val="001D00D6"/>
    <w:rsid w:val="001D0800"/>
    <w:rsid w:val="001D16EA"/>
    <w:rsid w:val="001D2129"/>
    <w:rsid w:val="001D2FBE"/>
    <w:rsid w:val="001E0243"/>
    <w:rsid w:val="001E0EDD"/>
    <w:rsid w:val="001E5D1D"/>
    <w:rsid w:val="001E6C4C"/>
    <w:rsid w:val="001F3024"/>
    <w:rsid w:val="001F6AE2"/>
    <w:rsid w:val="001F7343"/>
    <w:rsid w:val="002004EF"/>
    <w:rsid w:val="00205E1D"/>
    <w:rsid w:val="0021475C"/>
    <w:rsid w:val="0021620E"/>
    <w:rsid w:val="002174CE"/>
    <w:rsid w:val="00220113"/>
    <w:rsid w:val="0022048B"/>
    <w:rsid w:val="00224338"/>
    <w:rsid w:val="0022523A"/>
    <w:rsid w:val="00225492"/>
    <w:rsid w:val="002273CE"/>
    <w:rsid w:val="00232613"/>
    <w:rsid w:val="0023427E"/>
    <w:rsid w:val="00236E01"/>
    <w:rsid w:val="00240B38"/>
    <w:rsid w:val="00242C40"/>
    <w:rsid w:val="00243ACD"/>
    <w:rsid w:val="00244DED"/>
    <w:rsid w:val="00245EF4"/>
    <w:rsid w:val="002473AB"/>
    <w:rsid w:val="00251064"/>
    <w:rsid w:val="002538CB"/>
    <w:rsid w:val="002542E9"/>
    <w:rsid w:val="00257FC5"/>
    <w:rsid w:val="00263D0F"/>
    <w:rsid w:val="002646B5"/>
    <w:rsid w:val="0026602C"/>
    <w:rsid w:val="00267545"/>
    <w:rsid w:val="00270CB7"/>
    <w:rsid w:val="00272D92"/>
    <w:rsid w:val="00273FB4"/>
    <w:rsid w:val="00274326"/>
    <w:rsid w:val="00280787"/>
    <w:rsid w:val="002808A1"/>
    <w:rsid w:val="00283A05"/>
    <w:rsid w:val="0028563B"/>
    <w:rsid w:val="0029156F"/>
    <w:rsid w:val="002933F4"/>
    <w:rsid w:val="00296294"/>
    <w:rsid w:val="00296B1B"/>
    <w:rsid w:val="00296C9C"/>
    <w:rsid w:val="002A30BC"/>
    <w:rsid w:val="002A3835"/>
    <w:rsid w:val="002B20CD"/>
    <w:rsid w:val="002B342A"/>
    <w:rsid w:val="002B3B29"/>
    <w:rsid w:val="002B4E4F"/>
    <w:rsid w:val="002C16E6"/>
    <w:rsid w:val="002C25E1"/>
    <w:rsid w:val="002C4A82"/>
    <w:rsid w:val="002C5338"/>
    <w:rsid w:val="002D0272"/>
    <w:rsid w:val="002D624B"/>
    <w:rsid w:val="002D6FDC"/>
    <w:rsid w:val="002E569B"/>
    <w:rsid w:val="002F161D"/>
    <w:rsid w:val="002F5A3E"/>
    <w:rsid w:val="002F73F2"/>
    <w:rsid w:val="00300320"/>
    <w:rsid w:val="0030279D"/>
    <w:rsid w:val="00302B71"/>
    <w:rsid w:val="003108E9"/>
    <w:rsid w:val="003164E3"/>
    <w:rsid w:val="00317CFE"/>
    <w:rsid w:val="00321667"/>
    <w:rsid w:val="00325E0B"/>
    <w:rsid w:val="00326E18"/>
    <w:rsid w:val="00332115"/>
    <w:rsid w:val="0033293A"/>
    <w:rsid w:val="00337AAA"/>
    <w:rsid w:val="00337CCE"/>
    <w:rsid w:val="00340BCF"/>
    <w:rsid w:val="00341903"/>
    <w:rsid w:val="003430C5"/>
    <w:rsid w:val="00346102"/>
    <w:rsid w:val="003466CA"/>
    <w:rsid w:val="00347747"/>
    <w:rsid w:val="0035184F"/>
    <w:rsid w:val="00351C47"/>
    <w:rsid w:val="00354B2F"/>
    <w:rsid w:val="00357807"/>
    <w:rsid w:val="00357856"/>
    <w:rsid w:val="00361646"/>
    <w:rsid w:val="0036208C"/>
    <w:rsid w:val="00362A51"/>
    <w:rsid w:val="00365C2F"/>
    <w:rsid w:val="003661AC"/>
    <w:rsid w:val="00374C37"/>
    <w:rsid w:val="003876D5"/>
    <w:rsid w:val="0039371D"/>
    <w:rsid w:val="00393D1E"/>
    <w:rsid w:val="003B21C2"/>
    <w:rsid w:val="003B3E24"/>
    <w:rsid w:val="003B5241"/>
    <w:rsid w:val="003B5917"/>
    <w:rsid w:val="003B5F37"/>
    <w:rsid w:val="003B60F3"/>
    <w:rsid w:val="003C0724"/>
    <w:rsid w:val="003C1975"/>
    <w:rsid w:val="003C33E4"/>
    <w:rsid w:val="003C4128"/>
    <w:rsid w:val="003D036F"/>
    <w:rsid w:val="003D1C59"/>
    <w:rsid w:val="003D319E"/>
    <w:rsid w:val="003D3204"/>
    <w:rsid w:val="003D3559"/>
    <w:rsid w:val="003D42C5"/>
    <w:rsid w:val="003D554D"/>
    <w:rsid w:val="003E2AB0"/>
    <w:rsid w:val="003E323F"/>
    <w:rsid w:val="003E3A37"/>
    <w:rsid w:val="003E42F2"/>
    <w:rsid w:val="003E6BC2"/>
    <w:rsid w:val="003E6CBC"/>
    <w:rsid w:val="003F160D"/>
    <w:rsid w:val="003F5271"/>
    <w:rsid w:val="003F60EF"/>
    <w:rsid w:val="003F6406"/>
    <w:rsid w:val="004006EE"/>
    <w:rsid w:val="0040078C"/>
    <w:rsid w:val="00400C28"/>
    <w:rsid w:val="00401035"/>
    <w:rsid w:val="004048EF"/>
    <w:rsid w:val="00406685"/>
    <w:rsid w:val="004079DB"/>
    <w:rsid w:val="00410593"/>
    <w:rsid w:val="004105EC"/>
    <w:rsid w:val="00411ECD"/>
    <w:rsid w:val="00412281"/>
    <w:rsid w:val="00416142"/>
    <w:rsid w:val="0042088B"/>
    <w:rsid w:val="00420BD0"/>
    <w:rsid w:val="004216BA"/>
    <w:rsid w:val="00422EF2"/>
    <w:rsid w:val="00425B6C"/>
    <w:rsid w:val="00426696"/>
    <w:rsid w:val="00430095"/>
    <w:rsid w:val="00431567"/>
    <w:rsid w:val="004317D0"/>
    <w:rsid w:val="00432B5D"/>
    <w:rsid w:val="00437AC6"/>
    <w:rsid w:val="0044232B"/>
    <w:rsid w:val="00446B83"/>
    <w:rsid w:val="0044754E"/>
    <w:rsid w:val="0045183F"/>
    <w:rsid w:val="00451B2F"/>
    <w:rsid w:val="00457A04"/>
    <w:rsid w:val="00457BA7"/>
    <w:rsid w:val="00464393"/>
    <w:rsid w:val="00470E92"/>
    <w:rsid w:val="00472412"/>
    <w:rsid w:val="00472B43"/>
    <w:rsid w:val="00472F34"/>
    <w:rsid w:val="00475C35"/>
    <w:rsid w:val="00475CC1"/>
    <w:rsid w:val="00476D90"/>
    <w:rsid w:val="00481168"/>
    <w:rsid w:val="00481A14"/>
    <w:rsid w:val="00482069"/>
    <w:rsid w:val="00482D76"/>
    <w:rsid w:val="00483C9F"/>
    <w:rsid w:val="00483F37"/>
    <w:rsid w:val="0048433C"/>
    <w:rsid w:val="004879BE"/>
    <w:rsid w:val="00487B4B"/>
    <w:rsid w:val="0049379B"/>
    <w:rsid w:val="00495B1E"/>
    <w:rsid w:val="004A1776"/>
    <w:rsid w:val="004A30A5"/>
    <w:rsid w:val="004B1A95"/>
    <w:rsid w:val="004B211F"/>
    <w:rsid w:val="004B7FD8"/>
    <w:rsid w:val="004C15AA"/>
    <w:rsid w:val="004C1D28"/>
    <w:rsid w:val="004C1DEC"/>
    <w:rsid w:val="004C6240"/>
    <w:rsid w:val="004C7175"/>
    <w:rsid w:val="004D4294"/>
    <w:rsid w:val="004D5580"/>
    <w:rsid w:val="004D7269"/>
    <w:rsid w:val="004E14B7"/>
    <w:rsid w:val="004E2725"/>
    <w:rsid w:val="004E437F"/>
    <w:rsid w:val="004F44A8"/>
    <w:rsid w:val="004F5666"/>
    <w:rsid w:val="004F6345"/>
    <w:rsid w:val="00500972"/>
    <w:rsid w:val="00501A22"/>
    <w:rsid w:val="00503FEF"/>
    <w:rsid w:val="005045B3"/>
    <w:rsid w:val="00504B30"/>
    <w:rsid w:val="00504D4E"/>
    <w:rsid w:val="00512059"/>
    <w:rsid w:val="00512C0E"/>
    <w:rsid w:val="0051470C"/>
    <w:rsid w:val="00517960"/>
    <w:rsid w:val="00526BA6"/>
    <w:rsid w:val="00533A12"/>
    <w:rsid w:val="00534B9E"/>
    <w:rsid w:val="00536A6C"/>
    <w:rsid w:val="00537880"/>
    <w:rsid w:val="00537B0A"/>
    <w:rsid w:val="005411D7"/>
    <w:rsid w:val="00541EC9"/>
    <w:rsid w:val="0054214E"/>
    <w:rsid w:val="00550B4E"/>
    <w:rsid w:val="00550B5E"/>
    <w:rsid w:val="00550BDD"/>
    <w:rsid w:val="005512E5"/>
    <w:rsid w:val="00552E4D"/>
    <w:rsid w:val="00556B9F"/>
    <w:rsid w:val="00556C7D"/>
    <w:rsid w:val="0055750B"/>
    <w:rsid w:val="00560508"/>
    <w:rsid w:val="005648C1"/>
    <w:rsid w:val="00570A5B"/>
    <w:rsid w:val="00571F53"/>
    <w:rsid w:val="00573AAE"/>
    <w:rsid w:val="00575552"/>
    <w:rsid w:val="00576D58"/>
    <w:rsid w:val="00587BA8"/>
    <w:rsid w:val="005911A2"/>
    <w:rsid w:val="0059181A"/>
    <w:rsid w:val="00593EEF"/>
    <w:rsid w:val="00595B48"/>
    <w:rsid w:val="005978E5"/>
    <w:rsid w:val="005A21E0"/>
    <w:rsid w:val="005A73BC"/>
    <w:rsid w:val="005A7F3A"/>
    <w:rsid w:val="005B370F"/>
    <w:rsid w:val="005B608A"/>
    <w:rsid w:val="005B68FD"/>
    <w:rsid w:val="005C13C5"/>
    <w:rsid w:val="005C1C72"/>
    <w:rsid w:val="005C29DA"/>
    <w:rsid w:val="005C3C43"/>
    <w:rsid w:val="005C6917"/>
    <w:rsid w:val="005D0927"/>
    <w:rsid w:val="005D2A36"/>
    <w:rsid w:val="005D4AAE"/>
    <w:rsid w:val="005D4B85"/>
    <w:rsid w:val="005E000E"/>
    <w:rsid w:val="005E5B32"/>
    <w:rsid w:val="005F1FF8"/>
    <w:rsid w:val="005F7BB0"/>
    <w:rsid w:val="006011EB"/>
    <w:rsid w:val="00604E63"/>
    <w:rsid w:val="0060531A"/>
    <w:rsid w:val="00615EC1"/>
    <w:rsid w:val="006161F5"/>
    <w:rsid w:val="00620BC5"/>
    <w:rsid w:val="006219EE"/>
    <w:rsid w:val="00621AA9"/>
    <w:rsid w:val="00621F1C"/>
    <w:rsid w:val="0062376F"/>
    <w:rsid w:val="00634D7A"/>
    <w:rsid w:val="00637A40"/>
    <w:rsid w:val="00644B82"/>
    <w:rsid w:val="006504B4"/>
    <w:rsid w:val="00653961"/>
    <w:rsid w:val="00655DD6"/>
    <w:rsid w:val="00657219"/>
    <w:rsid w:val="00664266"/>
    <w:rsid w:val="00667A83"/>
    <w:rsid w:val="00672712"/>
    <w:rsid w:val="006764E0"/>
    <w:rsid w:val="0067655A"/>
    <w:rsid w:val="00677FF5"/>
    <w:rsid w:val="00680A7C"/>
    <w:rsid w:val="006817E5"/>
    <w:rsid w:val="00682848"/>
    <w:rsid w:val="00687F6B"/>
    <w:rsid w:val="00691917"/>
    <w:rsid w:val="00691E12"/>
    <w:rsid w:val="006922D0"/>
    <w:rsid w:val="0069572B"/>
    <w:rsid w:val="00695D3D"/>
    <w:rsid w:val="006966A0"/>
    <w:rsid w:val="006A1446"/>
    <w:rsid w:val="006A2B46"/>
    <w:rsid w:val="006A30AB"/>
    <w:rsid w:val="006A35E9"/>
    <w:rsid w:val="006A5FA0"/>
    <w:rsid w:val="006A62CE"/>
    <w:rsid w:val="006B2402"/>
    <w:rsid w:val="006B3457"/>
    <w:rsid w:val="006B3510"/>
    <w:rsid w:val="006B3525"/>
    <w:rsid w:val="006B4187"/>
    <w:rsid w:val="006B613A"/>
    <w:rsid w:val="006C211E"/>
    <w:rsid w:val="006D095F"/>
    <w:rsid w:val="006D1048"/>
    <w:rsid w:val="006D4CD6"/>
    <w:rsid w:val="006D4DC5"/>
    <w:rsid w:val="006D4DD2"/>
    <w:rsid w:val="006E163D"/>
    <w:rsid w:val="006E1CE6"/>
    <w:rsid w:val="006E2128"/>
    <w:rsid w:val="006E2ED6"/>
    <w:rsid w:val="006E3537"/>
    <w:rsid w:val="006E73F9"/>
    <w:rsid w:val="006E7579"/>
    <w:rsid w:val="006F1C98"/>
    <w:rsid w:val="006F2DE6"/>
    <w:rsid w:val="006F4070"/>
    <w:rsid w:val="006F539D"/>
    <w:rsid w:val="006F6072"/>
    <w:rsid w:val="006F66E1"/>
    <w:rsid w:val="00701EC8"/>
    <w:rsid w:val="007040A9"/>
    <w:rsid w:val="007047BC"/>
    <w:rsid w:val="00704C6B"/>
    <w:rsid w:val="00705AFD"/>
    <w:rsid w:val="00707B70"/>
    <w:rsid w:val="00713B65"/>
    <w:rsid w:val="0072012F"/>
    <w:rsid w:val="00723B46"/>
    <w:rsid w:val="007246F5"/>
    <w:rsid w:val="00726442"/>
    <w:rsid w:val="00727FDF"/>
    <w:rsid w:val="00730F8D"/>
    <w:rsid w:val="0073171D"/>
    <w:rsid w:val="007356A7"/>
    <w:rsid w:val="00736BAF"/>
    <w:rsid w:val="00736F7D"/>
    <w:rsid w:val="00737917"/>
    <w:rsid w:val="00737A11"/>
    <w:rsid w:val="00741462"/>
    <w:rsid w:val="007437EF"/>
    <w:rsid w:val="00745869"/>
    <w:rsid w:val="00745C70"/>
    <w:rsid w:val="007467C4"/>
    <w:rsid w:val="00746D20"/>
    <w:rsid w:val="00752CA3"/>
    <w:rsid w:val="007547E0"/>
    <w:rsid w:val="007644BF"/>
    <w:rsid w:val="00767876"/>
    <w:rsid w:val="00770D30"/>
    <w:rsid w:val="007714D5"/>
    <w:rsid w:val="00772CEE"/>
    <w:rsid w:val="00774C94"/>
    <w:rsid w:val="00775D54"/>
    <w:rsid w:val="0078369A"/>
    <w:rsid w:val="007861B3"/>
    <w:rsid w:val="007871D9"/>
    <w:rsid w:val="00787861"/>
    <w:rsid w:val="00792038"/>
    <w:rsid w:val="00796220"/>
    <w:rsid w:val="007978E6"/>
    <w:rsid w:val="007A515F"/>
    <w:rsid w:val="007A6D00"/>
    <w:rsid w:val="007A73C2"/>
    <w:rsid w:val="007A7792"/>
    <w:rsid w:val="007B4C14"/>
    <w:rsid w:val="007B526F"/>
    <w:rsid w:val="007B577D"/>
    <w:rsid w:val="007B7857"/>
    <w:rsid w:val="007C0D58"/>
    <w:rsid w:val="007C13AE"/>
    <w:rsid w:val="007C224E"/>
    <w:rsid w:val="007C539E"/>
    <w:rsid w:val="007C544E"/>
    <w:rsid w:val="007D0E88"/>
    <w:rsid w:val="007D5772"/>
    <w:rsid w:val="007E2A8A"/>
    <w:rsid w:val="007E2E64"/>
    <w:rsid w:val="007E4EC6"/>
    <w:rsid w:val="007E605B"/>
    <w:rsid w:val="007E7572"/>
    <w:rsid w:val="007F3C2B"/>
    <w:rsid w:val="007F4ECC"/>
    <w:rsid w:val="007F69D0"/>
    <w:rsid w:val="007F746D"/>
    <w:rsid w:val="00800AAF"/>
    <w:rsid w:val="0080417A"/>
    <w:rsid w:val="00812516"/>
    <w:rsid w:val="0081394B"/>
    <w:rsid w:val="008157E4"/>
    <w:rsid w:val="008179BA"/>
    <w:rsid w:val="008210AB"/>
    <w:rsid w:val="00831DE6"/>
    <w:rsid w:val="008373B6"/>
    <w:rsid w:val="00837729"/>
    <w:rsid w:val="0084184E"/>
    <w:rsid w:val="008425E2"/>
    <w:rsid w:val="008428FD"/>
    <w:rsid w:val="00845ECB"/>
    <w:rsid w:val="00846562"/>
    <w:rsid w:val="0085198B"/>
    <w:rsid w:val="008530B7"/>
    <w:rsid w:val="00853AFF"/>
    <w:rsid w:val="00854A17"/>
    <w:rsid w:val="00854FC3"/>
    <w:rsid w:val="008579E3"/>
    <w:rsid w:val="00861005"/>
    <w:rsid w:val="00863866"/>
    <w:rsid w:val="008649F6"/>
    <w:rsid w:val="00865B66"/>
    <w:rsid w:val="0087593E"/>
    <w:rsid w:val="00877F34"/>
    <w:rsid w:val="008825D8"/>
    <w:rsid w:val="00883ED6"/>
    <w:rsid w:val="00885CC3"/>
    <w:rsid w:val="00887626"/>
    <w:rsid w:val="00887CA6"/>
    <w:rsid w:val="00895845"/>
    <w:rsid w:val="008960F0"/>
    <w:rsid w:val="008969BE"/>
    <w:rsid w:val="008974A3"/>
    <w:rsid w:val="008A05D6"/>
    <w:rsid w:val="008A1AFB"/>
    <w:rsid w:val="008A2C02"/>
    <w:rsid w:val="008A445A"/>
    <w:rsid w:val="008A5157"/>
    <w:rsid w:val="008A53FC"/>
    <w:rsid w:val="008A693F"/>
    <w:rsid w:val="008A736A"/>
    <w:rsid w:val="008B1233"/>
    <w:rsid w:val="008B1C34"/>
    <w:rsid w:val="008B7511"/>
    <w:rsid w:val="008C3FB2"/>
    <w:rsid w:val="008D273F"/>
    <w:rsid w:val="008D3F8F"/>
    <w:rsid w:val="008D728E"/>
    <w:rsid w:val="008E0A85"/>
    <w:rsid w:val="008F01CD"/>
    <w:rsid w:val="008F08C9"/>
    <w:rsid w:val="008F22F2"/>
    <w:rsid w:val="008F2735"/>
    <w:rsid w:val="008F28FC"/>
    <w:rsid w:val="008F3FB4"/>
    <w:rsid w:val="008F5B8D"/>
    <w:rsid w:val="00900832"/>
    <w:rsid w:val="00903A19"/>
    <w:rsid w:val="00905329"/>
    <w:rsid w:val="00915B45"/>
    <w:rsid w:val="009161F0"/>
    <w:rsid w:val="00917194"/>
    <w:rsid w:val="00920C24"/>
    <w:rsid w:val="00920F4A"/>
    <w:rsid w:val="0092148A"/>
    <w:rsid w:val="0092504A"/>
    <w:rsid w:val="00931B9E"/>
    <w:rsid w:val="00931C3B"/>
    <w:rsid w:val="009326CF"/>
    <w:rsid w:val="0093594A"/>
    <w:rsid w:val="009372CD"/>
    <w:rsid w:val="00941B57"/>
    <w:rsid w:val="00945F84"/>
    <w:rsid w:val="00946E0A"/>
    <w:rsid w:val="0095136B"/>
    <w:rsid w:val="009546D2"/>
    <w:rsid w:val="0095542F"/>
    <w:rsid w:val="00960A66"/>
    <w:rsid w:val="00966376"/>
    <w:rsid w:val="009714F4"/>
    <w:rsid w:val="00971732"/>
    <w:rsid w:val="009722A4"/>
    <w:rsid w:val="0097648D"/>
    <w:rsid w:val="00977904"/>
    <w:rsid w:val="00981172"/>
    <w:rsid w:val="009831CD"/>
    <w:rsid w:val="009835BA"/>
    <w:rsid w:val="00995EF1"/>
    <w:rsid w:val="009970D6"/>
    <w:rsid w:val="009A263F"/>
    <w:rsid w:val="009A6248"/>
    <w:rsid w:val="009A7217"/>
    <w:rsid w:val="009B3F16"/>
    <w:rsid w:val="009B4A20"/>
    <w:rsid w:val="009B553E"/>
    <w:rsid w:val="009B5752"/>
    <w:rsid w:val="009B5BAE"/>
    <w:rsid w:val="009C02C1"/>
    <w:rsid w:val="009C46AE"/>
    <w:rsid w:val="009C59FE"/>
    <w:rsid w:val="009C6E78"/>
    <w:rsid w:val="009D1186"/>
    <w:rsid w:val="009D1260"/>
    <w:rsid w:val="009D67F6"/>
    <w:rsid w:val="009E05DF"/>
    <w:rsid w:val="009E1928"/>
    <w:rsid w:val="009E260D"/>
    <w:rsid w:val="009E424B"/>
    <w:rsid w:val="009F44F4"/>
    <w:rsid w:val="00A02098"/>
    <w:rsid w:val="00A038E7"/>
    <w:rsid w:val="00A0726C"/>
    <w:rsid w:val="00A07C55"/>
    <w:rsid w:val="00A1048D"/>
    <w:rsid w:val="00A11338"/>
    <w:rsid w:val="00A138C9"/>
    <w:rsid w:val="00A14170"/>
    <w:rsid w:val="00A15D7C"/>
    <w:rsid w:val="00A202DF"/>
    <w:rsid w:val="00A21AA2"/>
    <w:rsid w:val="00A22811"/>
    <w:rsid w:val="00A24C48"/>
    <w:rsid w:val="00A25679"/>
    <w:rsid w:val="00A258C9"/>
    <w:rsid w:val="00A27348"/>
    <w:rsid w:val="00A30FD8"/>
    <w:rsid w:val="00A31042"/>
    <w:rsid w:val="00A32027"/>
    <w:rsid w:val="00A406D6"/>
    <w:rsid w:val="00A41EF5"/>
    <w:rsid w:val="00A423CC"/>
    <w:rsid w:val="00A43A45"/>
    <w:rsid w:val="00A44313"/>
    <w:rsid w:val="00A44E3B"/>
    <w:rsid w:val="00A46299"/>
    <w:rsid w:val="00A46DBF"/>
    <w:rsid w:val="00A47CC4"/>
    <w:rsid w:val="00A53672"/>
    <w:rsid w:val="00A545BB"/>
    <w:rsid w:val="00A60936"/>
    <w:rsid w:val="00A60D21"/>
    <w:rsid w:val="00A67543"/>
    <w:rsid w:val="00A705B4"/>
    <w:rsid w:val="00A75303"/>
    <w:rsid w:val="00A76A65"/>
    <w:rsid w:val="00A76FB8"/>
    <w:rsid w:val="00A80A6A"/>
    <w:rsid w:val="00A81FA1"/>
    <w:rsid w:val="00A84858"/>
    <w:rsid w:val="00A8565D"/>
    <w:rsid w:val="00A921DD"/>
    <w:rsid w:val="00AA12E9"/>
    <w:rsid w:val="00AA156A"/>
    <w:rsid w:val="00AA2A05"/>
    <w:rsid w:val="00AA2C1B"/>
    <w:rsid w:val="00AA5711"/>
    <w:rsid w:val="00AB5704"/>
    <w:rsid w:val="00AC2297"/>
    <w:rsid w:val="00AC752E"/>
    <w:rsid w:val="00AD1662"/>
    <w:rsid w:val="00AD1B50"/>
    <w:rsid w:val="00AE0ABB"/>
    <w:rsid w:val="00AE194E"/>
    <w:rsid w:val="00AE246C"/>
    <w:rsid w:val="00AE329B"/>
    <w:rsid w:val="00AE36ED"/>
    <w:rsid w:val="00AF2805"/>
    <w:rsid w:val="00AF5678"/>
    <w:rsid w:val="00B00B34"/>
    <w:rsid w:val="00B02385"/>
    <w:rsid w:val="00B02C73"/>
    <w:rsid w:val="00B0319E"/>
    <w:rsid w:val="00B061F7"/>
    <w:rsid w:val="00B079FA"/>
    <w:rsid w:val="00B13E6C"/>
    <w:rsid w:val="00B22483"/>
    <w:rsid w:val="00B22D09"/>
    <w:rsid w:val="00B3018D"/>
    <w:rsid w:val="00B30F6A"/>
    <w:rsid w:val="00B31FCC"/>
    <w:rsid w:val="00B32388"/>
    <w:rsid w:val="00B40E4A"/>
    <w:rsid w:val="00B41651"/>
    <w:rsid w:val="00B41ED8"/>
    <w:rsid w:val="00B4238D"/>
    <w:rsid w:val="00B474D3"/>
    <w:rsid w:val="00B5193E"/>
    <w:rsid w:val="00B56016"/>
    <w:rsid w:val="00B61971"/>
    <w:rsid w:val="00B61B61"/>
    <w:rsid w:val="00B61E4F"/>
    <w:rsid w:val="00B6406B"/>
    <w:rsid w:val="00B646E2"/>
    <w:rsid w:val="00B7279F"/>
    <w:rsid w:val="00B727FE"/>
    <w:rsid w:val="00B74070"/>
    <w:rsid w:val="00B7548F"/>
    <w:rsid w:val="00B758E1"/>
    <w:rsid w:val="00B761C5"/>
    <w:rsid w:val="00B85B22"/>
    <w:rsid w:val="00B86AB7"/>
    <w:rsid w:val="00B9079A"/>
    <w:rsid w:val="00B91D01"/>
    <w:rsid w:val="00BA181E"/>
    <w:rsid w:val="00BA2C29"/>
    <w:rsid w:val="00BA3054"/>
    <w:rsid w:val="00BA35B3"/>
    <w:rsid w:val="00BA794B"/>
    <w:rsid w:val="00BB0D72"/>
    <w:rsid w:val="00BB181C"/>
    <w:rsid w:val="00BB3030"/>
    <w:rsid w:val="00BB4C75"/>
    <w:rsid w:val="00BB5673"/>
    <w:rsid w:val="00BB753F"/>
    <w:rsid w:val="00BD2468"/>
    <w:rsid w:val="00BD3A3B"/>
    <w:rsid w:val="00BD64B9"/>
    <w:rsid w:val="00BE177D"/>
    <w:rsid w:val="00BE2F5A"/>
    <w:rsid w:val="00BE4D18"/>
    <w:rsid w:val="00BE6704"/>
    <w:rsid w:val="00BE6DA4"/>
    <w:rsid w:val="00BE78FD"/>
    <w:rsid w:val="00BE7D8E"/>
    <w:rsid w:val="00BF292E"/>
    <w:rsid w:val="00BF2FBE"/>
    <w:rsid w:val="00BF3E42"/>
    <w:rsid w:val="00BF3EE4"/>
    <w:rsid w:val="00C0076D"/>
    <w:rsid w:val="00C017DB"/>
    <w:rsid w:val="00C07B44"/>
    <w:rsid w:val="00C07F97"/>
    <w:rsid w:val="00C11B1E"/>
    <w:rsid w:val="00C14C07"/>
    <w:rsid w:val="00C234E0"/>
    <w:rsid w:val="00C26F95"/>
    <w:rsid w:val="00C279B3"/>
    <w:rsid w:val="00C3285C"/>
    <w:rsid w:val="00C34866"/>
    <w:rsid w:val="00C35BA4"/>
    <w:rsid w:val="00C36A80"/>
    <w:rsid w:val="00C37E83"/>
    <w:rsid w:val="00C410A5"/>
    <w:rsid w:val="00C41C92"/>
    <w:rsid w:val="00C424BB"/>
    <w:rsid w:val="00C432BD"/>
    <w:rsid w:val="00C456B3"/>
    <w:rsid w:val="00C45C1D"/>
    <w:rsid w:val="00C520C5"/>
    <w:rsid w:val="00C52C01"/>
    <w:rsid w:val="00C52F1A"/>
    <w:rsid w:val="00C53D77"/>
    <w:rsid w:val="00C54049"/>
    <w:rsid w:val="00C54BE4"/>
    <w:rsid w:val="00C54F96"/>
    <w:rsid w:val="00C5649E"/>
    <w:rsid w:val="00C566CF"/>
    <w:rsid w:val="00C566D2"/>
    <w:rsid w:val="00C57787"/>
    <w:rsid w:val="00C60706"/>
    <w:rsid w:val="00C71921"/>
    <w:rsid w:val="00C7357F"/>
    <w:rsid w:val="00C735D2"/>
    <w:rsid w:val="00C736F9"/>
    <w:rsid w:val="00C769D7"/>
    <w:rsid w:val="00C80FE9"/>
    <w:rsid w:val="00C829F0"/>
    <w:rsid w:val="00C90B97"/>
    <w:rsid w:val="00C92086"/>
    <w:rsid w:val="00C95463"/>
    <w:rsid w:val="00C958AD"/>
    <w:rsid w:val="00CA0B5E"/>
    <w:rsid w:val="00CA22A1"/>
    <w:rsid w:val="00CA2471"/>
    <w:rsid w:val="00CA4C82"/>
    <w:rsid w:val="00CA61A4"/>
    <w:rsid w:val="00CA6878"/>
    <w:rsid w:val="00CA7FE7"/>
    <w:rsid w:val="00CB16D8"/>
    <w:rsid w:val="00CB4EFD"/>
    <w:rsid w:val="00CC0188"/>
    <w:rsid w:val="00CC08A0"/>
    <w:rsid w:val="00CC3421"/>
    <w:rsid w:val="00CC3538"/>
    <w:rsid w:val="00CC48BB"/>
    <w:rsid w:val="00CC58A1"/>
    <w:rsid w:val="00CC6B73"/>
    <w:rsid w:val="00CC6E9C"/>
    <w:rsid w:val="00CD09EA"/>
    <w:rsid w:val="00CD1DCA"/>
    <w:rsid w:val="00CD309F"/>
    <w:rsid w:val="00CD510F"/>
    <w:rsid w:val="00CD54DA"/>
    <w:rsid w:val="00CD57B5"/>
    <w:rsid w:val="00CD695B"/>
    <w:rsid w:val="00CE0301"/>
    <w:rsid w:val="00CE1562"/>
    <w:rsid w:val="00CE210F"/>
    <w:rsid w:val="00CE2AC5"/>
    <w:rsid w:val="00CE52E0"/>
    <w:rsid w:val="00CE76B6"/>
    <w:rsid w:val="00CF245D"/>
    <w:rsid w:val="00CF3EAF"/>
    <w:rsid w:val="00D04927"/>
    <w:rsid w:val="00D11981"/>
    <w:rsid w:val="00D11E38"/>
    <w:rsid w:val="00D15C24"/>
    <w:rsid w:val="00D17961"/>
    <w:rsid w:val="00D17A1E"/>
    <w:rsid w:val="00D20510"/>
    <w:rsid w:val="00D2512E"/>
    <w:rsid w:val="00D25971"/>
    <w:rsid w:val="00D273E9"/>
    <w:rsid w:val="00D27E7C"/>
    <w:rsid w:val="00D30601"/>
    <w:rsid w:val="00D364D7"/>
    <w:rsid w:val="00D400B0"/>
    <w:rsid w:val="00D40133"/>
    <w:rsid w:val="00D412F2"/>
    <w:rsid w:val="00D42F78"/>
    <w:rsid w:val="00D45675"/>
    <w:rsid w:val="00D456ED"/>
    <w:rsid w:val="00D4582F"/>
    <w:rsid w:val="00D460A6"/>
    <w:rsid w:val="00D53B34"/>
    <w:rsid w:val="00D54320"/>
    <w:rsid w:val="00D54C6C"/>
    <w:rsid w:val="00D55BD8"/>
    <w:rsid w:val="00D6124B"/>
    <w:rsid w:val="00D64CC5"/>
    <w:rsid w:val="00D6687B"/>
    <w:rsid w:val="00D70AEA"/>
    <w:rsid w:val="00D70BAE"/>
    <w:rsid w:val="00D713D5"/>
    <w:rsid w:val="00D750F3"/>
    <w:rsid w:val="00D750F5"/>
    <w:rsid w:val="00D805CA"/>
    <w:rsid w:val="00D81E18"/>
    <w:rsid w:val="00D87E0F"/>
    <w:rsid w:val="00D92224"/>
    <w:rsid w:val="00D949F4"/>
    <w:rsid w:val="00D94A7D"/>
    <w:rsid w:val="00DA2A4A"/>
    <w:rsid w:val="00DA33DD"/>
    <w:rsid w:val="00DA3B93"/>
    <w:rsid w:val="00DA6279"/>
    <w:rsid w:val="00DB07E6"/>
    <w:rsid w:val="00DC6A92"/>
    <w:rsid w:val="00DD1956"/>
    <w:rsid w:val="00DD2A56"/>
    <w:rsid w:val="00DE199F"/>
    <w:rsid w:val="00DE2741"/>
    <w:rsid w:val="00DE29F4"/>
    <w:rsid w:val="00DE4288"/>
    <w:rsid w:val="00DE503D"/>
    <w:rsid w:val="00DE6394"/>
    <w:rsid w:val="00DE64F4"/>
    <w:rsid w:val="00DF1398"/>
    <w:rsid w:val="00DF3610"/>
    <w:rsid w:val="00DF44FD"/>
    <w:rsid w:val="00DF45AA"/>
    <w:rsid w:val="00DF7B44"/>
    <w:rsid w:val="00E05D0B"/>
    <w:rsid w:val="00E07456"/>
    <w:rsid w:val="00E07677"/>
    <w:rsid w:val="00E12BB2"/>
    <w:rsid w:val="00E149D0"/>
    <w:rsid w:val="00E16796"/>
    <w:rsid w:val="00E16FE1"/>
    <w:rsid w:val="00E17D82"/>
    <w:rsid w:val="00E17FE3"/>
    <w:rsid w:val="00E20840"/>
    <w:rsid w:val="00E230D0"/>
    <w:rsid w:val="00E2709A"/>
    <w:rsid w:val="00E35BEB"/>
    <w:rsid w:val="00E36A36"/>
    <w:rsid w:val="00E377DF"/>
    <w:rsid w:val="00E378D8"/>
    <w:rsid w:val="00E40230"/>
    <w:rsid w:val="00E41005"/>
    <w:rsid w:val="00E426F3"/>
    <w:rsid w:val="00E44D1F"/>
    <w:rsid w:val="00E4574D"/>
    <w:rsid w:val="00E5190D"/>
    <w:rsid w:val="00E51E7C"/>
    <w:rsid w:val="00E54DF9"/>
    <w:rsid w:val="00E612B3"/>
    <w:rsid w:val="00E63068"/>
    <w:rsid w:val="00E66CFB"/>
    <w:rsid w:val="00E731FF"/>
    <w:rsid w:val="00E76C39"/>
    <w:rsid w:val="00E8015D"/>
    <w:rsid w:val="00E80393"/>
    <w:rsid w:val="00E80E80"/>
    <w:rsid w:val="00E8701F"/>
    <w:rsid w:val="00E87B81"/>
    <w:rsid w:val="00E95708"/>
    <w:rsid w:val="00E96071"/>
    <w:rsid w:val="00EA1F65"/>
    <w:rsid w:val="00EA24D2"/>
    <w:rsid w:val="00EA79B2"/>
    <w:rsid w:val="00EB4D34"/>
    <w:rsid w:val="00EB4D8A"/>
    <w:rsid w:val="00EB5F81"/>
    <w:rsid w:val="00EB603F"/>
    <w:rsid w:val="00EB6F71"/>
    <w:rsid w:val="00EB7ECE"/>
    <w:rsid w:val="00EC0ED3"/>
    <w:rsid w:val="00EC18B5"/>
    <w:rsid w:val="00EC2132"/>
    <w:rsid w:val="00ED134A"/>
    <w:rsid w:val="00ED18F5"/>
    <w:rsid w:val="00ED1BAD"/>
    <w:rsid w:val="00ED369F"/>
    <w:rsid w:val="00ED7F8F"/>
    <w:rsid w:val="00EE01E7"/>
    <w:rsid w:val="00EE0F28"/>
    <w:rsid w:val="00EE1090"/>
    <w:rsid w:val="00EE29BA"/>
    <w:rsid w:val="00EE56F4"/>
    <w:rsid w:val="00EE6C3B"/>
    <w:rsid w:val="00EE70C1"/>
    <w:rsid w:val="00EF402B"/>
    <w:rsid w:val="00EF59AE"/>
    <w:rsid w:val="00F00557"/>
    <w:rsid w:val="00F1421A"/>
    <w:rsid w:val="00F14C85"/>
    <w:rsid w:val="00F14FC5"/>
    <w:rsid w:val="00F17679"/>
    <w:rsid w:val="00F30DF7"/>
    <w:rsid w:val="00F3259C"/>
    <w:rsid w:val="00F33330"/>
    <w:rsid w:val="00F404A4"/>
    <w:rsid w:val="00F43111"/>
    <w:rsid w:val="00F434B2"/>
    <w:rsid w:val="00F44804"/>
    <w:rsid w:val="00F461B3"/>
    <w:rsid w:val="00F52748"/>
    <w:rsid w:val="00F559AF"/>
    <w:rsid w:val="00F6202D"/>
    <w:rsid w:val="00F65676"/>
    <w:rsid w:val="00F657B5"/>
    <w:rsid w:val="00F764A6"/>
    <w:rsid w:val="00F8297E"/>
    <w:rsid w:val="00F829E1"/>
    <w:rsid w:val="00F82BFD"/>
    <w:rsid w:val="00F8401D"/>
    <w:rsid w:val="00F86708"/>
    <w:rsid w:val="00F907EF"/>
    <w:rsid w:val="00F92A5C"/>
    <w:rsid w:val="00F94240"/>
    <w:rsid w:val="00F9565F"/>
    <w:rsid w:val="00F96A1C"/>
    <w:rsid w:val="00FA1141"/>
    <w:rsid w:val="00FA21CA"/>
    <w:rsid w:val="00FA24B8"/>
    <w:rsid w:val="00FA2CF0"/>
    <w:rsid w:val="00FA3868"/>
    <w:rsid w:val="00FA5E39"/>
    <w:rsid w:val="00FA763F"/>
    <w:rsid w:val="00FB1E55"/>
    <w:rsid w:val="00FB20C9"/>
    <w:rsid w:val="00FB34DC"/>
    <w:rsid w:val="00FB351F"/>
    <w:rsid w:val="00FB373E"/>
    <w:rsid w:val="00FC2D32"/>
    <w:rsid w:val="00FC2D87"/>
    <w:rsid w:val="00FC330D"/>
    <w:rsid w:val="00FC3883"/>
    <w:rsid w:val="00FC3A91"/>
    <w:rsid w:val="00FC5E9A"/>
    <w:rsid w:val="00FD5243"/>
    <w:rsid w:val="00FE1373"/>
    <w:rsid w:val="00FE2951"/>
    <w:rsid w:val="00FE2A42"/>
    <w:rsid w:val="00FF0C68"/>
    <w:rsid w:val="00FF1FA4"/>
    <w:rsid w:val="00FF312C"/>
    <w:rsid w:val="00FF5336"/>
    <w:rsid w:val="00FF62BD"/>
    <w:rsid w:val="00FF6D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19F50D"/>
  <w15:docId w15:val="{D334D0ED-070E-4D14-9C2C-21C337F94F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qFormat/>
    <w:rsid w:val="00B727F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lu2">
    <w:name w:val="heading 2"/>
    <w:basedOn w:val="Normal"/>
    <w:next w:val="Normal"/>
    <w:link w:val="Titlu2Caracter"/>
    <w:unhideWhenUsed/>
    <w:qFormat/>
    <w:rsid w:val="00B727F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itlu3">
    <w:name w:val="heading 3"/>
    <w:basedOn w:val="Normal"/>
    <w:next w:val="Normal"/>
    <w:link w:val="Titlu3Caracter"/>
    <w:uiPriority w:val="9"/>
    <w:unhideWhenUsed/>
    <w:qFormat/>
    <w:rsid w:val="00541EC9"/>
    <w:pPr>
      <w:keepNext/>
      <w:widowControl w:val="0"/>
      <w:suppressAutoHyphens/>
      <w:spacing w:before="240" w:after="60" w:line="240" w:lineRule="auto"/>
      <w:outlineLvl w:val="2"/>
    </w:pPr>
    <w:rPr>
      <w:rFonts w:ascii="Cambria" w:eastAsia="Times New Roman" w:hAnsi="Cambria" w:cs="Mangal"/>
      <w:b/>
      <w:bCs/>
      <w:kern w:val="1"/>
      <w:sz w:val="26"/>
      <w:szCs w:val="23"/>
      <w:lang w:eastAsia="zh-CN" w:bidi="hi-IN"/>
    </w:rPr>
  </w:style>
  <w:style w:type="paragraph" w:styleId="Titlu4">
    <w:name w:val="heading 4"/>
    <w:basedOn w:val="Normal"/>
    <w:next w:val="Normal"/>
    <w:link w:val="Titlu4Caracter"/>
    <w:qFormat/>
    <w:rsid w:val="00541EC9"/>
    <w:pPr>
      <w:keepNext/>
      <w:numPr>
        <w:numId w:val="3"/>
      </w:numPr>
      <w:suppressAutoHyphens/>
      <w:spacing w:before="240" w:after="60" w:line="240" w:lineRule="auto"/>
      <w:outlineLvl w:val="3"/>
    </w:pPr>
    <w:rPr>
      <w:rFonts w:ascii="Calibri" w:eastAsia="Times New Roman" w:hAnsi="Calibri" w:cs="Calibri"/>
      <w:b/>
      <w:bCs/>
      <w:sz w:val="28"/>
      <w:szCs w:val="28"/>
      <w:lang w:val="ro-RO" w:eastAsia="zh-CN"/>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B727FE"/>
    <w:rPr>
      <w:rFonts w:asciiTheme="majorHAnsi" w:eastAsiaTheme="majorEastAsia" w:hAnsiTheme="majorHAnsi" w:cstheme="majorBidi"/>
      <w:color w:val="2E74B5" w:themeColor="accent1" w:themeShade="BF"/>
      <w:sz w:val="32"/>
      <w:szCs w:val="32"/>
    </w:rPr>
  </w:style>
  <w:style w:type="character" w:customStyle="1" w:styleId="Titlu2Caracter">
    <w:name w:val="Titlu 2 Caracter"/>
    <w:basedOn w:val="Fontdeparagrafimplicit"/>
    <w:link w:val="Titlu2"/>
    <w:rsid w:val="00B727FE"/>
    <w:rPr>
      <w:rFonts w:asciiTheme="majorHAnsi" w:eastAsiaTheme="majorEastAsia" w:hAnsiTheme="majorHAnsi" w:cstheme="majorBidi"/>
      <w:color w:val="2E74B5" w:themeColor="accent1" w:themeShade="BF"/>
      <w:sz w:val="26"/>
      <w:szCs w:val="26"/>
    </w:rPr>
  </w:style>
  <w:style w:type="paragraph" w:styleId="Titlucuprins">
    <w:name w:val="TOC Heading"/>
    <w:basedOn w:val="Titlu1"/>
    <w:next w:val="Normal"/>
    <w:unhideWhenUsed/>
    <w:qFormat/>
    <w:rsid w:val="00B761C5"/>
    <w:pPr>
      <w:outlineLvl w:val="9"/>
    </w:pPr>
  </w:style>
  <w:style w:type="paragraph" w:styleId="Cuprins1">
    <w:name w:val="toc 1"/>
    <w:basedOn w:val="Normal"/>
    <w:next w:val="Normal"/>
    <w:autoRedefine/>
    <w:uiPriority w:val="39"/>
    <w:unhideWhenUsed/>
    <w:rsid w:val="00B761C5"/>
    <w:pPr>
      <w:spacing w:after="100"/>
    </w:pPr>
  </w:style>
  <w:style w:type="paragraph" w:styleId="Cuprins2">
    <w:name w:val="toc 2"/>
    <w:basedOn w:val="Normal"/>
    <w:next w:val="Normal"/>
    <w:autoRedefine/>
    <w:uiPriority w:val="39"/>
    <w:unhideWhenUsed/>
    <w:rsid w:val="00B761C5"/>
    <w:pPr>
      <w:spacing w:after="100"/>
      <w:ind w:left="220"/>
    </w:pPr>
  </w:style>
  <w:style w:type="character" w:styleId="Hyperlink">
    <w:name w:val="Hyperlink"/>
    <w:basedOn w:val="Fontdeparagrafimplicit"/>
    <w:uiPriority w:val="99"/>
    <w:unhideWhenUsed/>
    <w:rsid w:val="00B761C5"/>
    <w:rPr>
      <w:color w:val="0563C1" w:themeColor="hyperlink"/>
      <w:u w:val="single"/>
    </w:rPr>
  </w:style>
  <w:style w:type="paragraph" w:styleId="Antet">
    <w:name w:val="header"/>
    <w:basedOn w:val="Normal"/>
    <w:link w:val="AntetCaracter"/>
    <w:unhideWhenUsed/>
    <w:rsid w:val="00B761C5"/>
    <w:pPr>
      <w:tabs>
        <w:tab w:val="center" w:pos="4680"/>
        <w:tab w:val="right" w:pos="9360"/>
      </w:tabs>
      <w:spacing w:after="0" w:line="240" w:lineRule="auto"/>
    </w:pPr>
  </w:style>
  <w:style w:type="character" w:customStyle="1" w:styleId="AntetCaracter">
    <w:name w:val="Antet Caracter"/>
    <w:basedOn w:val="Fontdeparagrafimplicit"/>
    <w:link w:val="Antet"/>
    <w:rsid w:val="00B761C5"/>
  </w:style>
  <w:style w:type="paragraph" w:styleId="Subsol">
    <w:name w:val="footer"/>
    <w:basedOn w:val="Normal"/>
    <w:link w:val="SubsolCaracter"/>
    <w:unhideWhenUsed/>
    <w:rsid w:val="00B761C5"/>
    <w:pPr>
      <w:tabs>
        <w:tab w:val="center" w:pos="4680"/>
        <w:tab w:val="right" w:pos="9360"/>
      </w:tabs>
      <w:spacing w:after="0" w:line="240" w:lineRule="auto"/>
    </w:pPr>
  </w:style>
  <w:style w:type="character" w:customStyle="1" w:styleId="SubsolCaracter">
    <w:name w:val="Subsol Caracter"/>
    <w:basedOn w:val="Fontdeparagrafimplicit"/>
    <w:link w:val="Subsol"/>
    <w:rsid w:val="00B761C5"/>
  </w:style>
  <w:style w:type="table" w:styleId="Tabelgril">
    <w:name w:val="Table Grid"/>
    <w:basedOn w:val="TabelNormal"/>
    <w:uiPriority w:val="59"/>
    <w:rsid w:val="009E05D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egend">
    <w:name w:val="caption"/>
    <w:aliases w:val="Char,Figura,Caption Figura,Figuri"/>
    <w:basedOn w:val="Normal"/>
    <w:next w:val="Normal"/>
    <w:link w:val="LegendCaracter"/>
    <w:uiPriority w:val="35"/>
    <w:unhideWhenUsed/>
    <w:qFormat/>
    <w:rsid w:val="009E05DF"/>
    <w:pPr>
      <w:spacing w:after="200" w:line="240" w:lineRule="auto"/>
    </w:pPr>
    <w:rPr>
      <w:i/>
      <w:iCs/>
      <w:color w:val="44546A" w:themeColor="text2"/>
      <w:sz w:val="18"/>
      <w:szCs w:val="18"/>
    </w:rPr>
  </w:style>
  <w:style w:type="character" w:customStyle="1" w:styleId="Titlu3Caracter">
    <w:name w:val="Titlu 3 Caracter"/>
    <w:basedOn w:val="Fontdeparagrafimplicit"/>
    <w:link w:val="Titlu3"/>
    <w:uiPriority w:val="9"/>
    <w:rsid w:val="00541EC9"/>
    <w:rPr>
      <w:rFonts w:ascii="Cambria" w:eastAsia="Times New Roman" w:hAnsi="Cambria" w:cs="Mangal"/>
      <w:b/>
      <w:bCs/>
      <w:kern w:val="1"/>
      <w:sz w:val="26"/>
      <w:szCs w:val="23"/>
      <w:lang w:eastAsia="zh-CN" w:bidi="hi-IN"/>
    </w:rPr>
  </w:style>
  <w:style w:type="character" w:customStyle="1" w:styleId="Titlu4Caracter">
    <w:name w:val="Titlu 4 Caracter"/>
    <w:basedOn w:val="Fontdeparagrafimplicit"/>
    <w:link w:val="Titlu4"/>
    <w:rsid w:val="00541EC9"/>
    <w:rPr>
      <w:rFonts w:ascii="Calibri" w:eastAsia="Times New Roman" w:hAnsi="Calibri" w:cs="Calibri"/>
      <w:b/>
      <w:bCs/>
      <w:sz w:val="28"/>
      <w:szCs w:val="28"/>
      <w:lang w:val="ro-RO" w:eastAsia="zh-CN"/>
    </w:rPr>
  </w:style>
  <w:style w:type="numbering" w:customStyle="1" w:styleId="NoList1">
    <w:name w:val="No List1"/>
    <w:next w:val="FrListare"/>
    <w:uiPriority w:val="99"/>
    <w:semiHidden/>
    <w:unhideWhenUsed/>
    <w:rsid w:val="00541EC9"/>
  </w:style>
  <w:style w:type="character" w:customStyle="1" w:styleId="WW8Num1z0">
    <w:name w:val="WW8Num1z0"/>
    <w:rsid w:val="00541EC9"/>
    <w:rPr>
      <w:rFonts w:ascii="Times New Roman" w:hAnsi="Times New Roman" w:cs="Times New Roman" w:hint="default"/>
    </w:rPr>
  </w:style>
  <w:style w:type="character" w:customStyle="1" w:styleId="WW8Num2z0">
    <w:name w:val="WW8Num2z0"/>
    <w:rsid w:val="00541EC9"/>
    <w:rPr>
      <w:rFonts w:ascii="Symbol" w:hAnsi="Symbol" w:cs="Symbol"/>
    </w:rPr>
  </w:style>
  <w:style w:type="character" w:customStyle="1" w:styleId="WW8Num3z0">
    <w:name w:val="WW8Num3z0"/>
    <w:rsid w:val="00541EC9"/>
    <w:rPr>
      <w:rFonts w:ascii="Wingdings" w:hAnsi="Wingdings" w:cs="Wingdings" w:hint="default"/>
    </w:rPr>
  </w:style>
  <w:style w:type="character" w:customStyle="1" w:styleId="WW8Num4z0">
    <w:name w:val="WW8Num4z0"/>
    <w:rsid w:val="00541EC9"/>
    <w:rPr>
      <w:rFonts w:ascii="Symbol" w:hAnsi="Symbol" w:cs="Symbol" w:hint="default"/>
    </w:rPr>
  </w:style>
  <w:style w:type="character" w:customStyle="1" w:styleId="WW8Num4z1">
    <w:name w:val="WW8Num4z1"/>
    <w:rsid w:val="00541EC9"/>
    <w:rPr>
      <w:rFonts w:ascii="Courier New" w:hAnsi="Courier New" w:cs="Courier New" w:hint="default"/>
      <w:sz w:val="28"/>
      <w:szCs w:val="28"/>
      <w:lang w:val="fr-FR"/>
    </w:rPr>
  </w:style>
  <w:style w:type="character" w:customStyle="1" w:styleId="WW8Num4z2">
    <w:name w:val="WW8Num4z2"/>
    <w:rsid w:val="00541EC9"/>
    <w:rPr>
      <w:rFonts w:ascii="Wingdings" w:hAnsi="Wingdings" w:cs="Wingdings" w:hint="default"/>
    </w:rPr>
  </w:style>
  <w:style w:type="character" w:customStyle="1" w:styleId="WW8Num5z0">
    <w:name w:val="WW8Num5z0"/>
    <w:rsid w:val="00541EC9"/>
    <w:rPr>
      <w:rFonts w:ascii="Times New Roman" w:eastAsia="Times New Roman" w:hAnsi="Times New Roman" w:cs="Times New Roman"/>
      <w:b/>
      <w:bCs/>
      <w:kern w:val="1"/>
      <w:sz w:val="24"/>
      <w:szCs w:val="24"/>
      <w:lang w:val="ro-RO" w:eastAsia="zh-CN" w:bidi="ar-SA"/>
    </w:rPr>
  </w:style>
  <w:style w:type="character" w:customStyle="1" w:styleId="WW8Num6z0">
    <w:name w:val="WW8Num6z0"/>
    <w:rsid w:val="00541EC9"/>
    <w:rPr>
      <w:rFonts w:ascii="Symbol" w:eastAsia="Times New Roman" w:hAnsi="Symbol" w:cs="Symbol"/>
      <w:color w:val="000000"/>
      <w:kern w:val="1"/>
      <w:sz w:val="24"/>
      <w:szCs w:val="24"/>
      <w:lang w:val="ro-RO" w:eastAsia="zh-CN" w:bidi="ar-SA"/>
    </w:rPr>
  </w:style>
  <w:style w:type="character" w:customStyle="1" w:styleId="WW8Num6z1">
    <w:name w:val="WW8Num6z1"/>
    <w:rsid w:val="00541EC9"/>
    <w:rPr>
      <w:rFonts w:ascii="Courier New" w:hAnsi="Courier New" w:cs="Courier New"/>
      <w:sz w:val="24"/>
      <w:szCs w:val="24"/>
    </w:rPr>
  </w:style>
  <w:style w:type="character" w:customStyle="1" w:styleId="WW8Num6z2">
    <w:name w:val="WW8Num6z2"/>
    <w:rsid w:val="00541EC9"/>
    <w:rPr>
      <w:rFonts w:ascii="Wingdings" w:hAnsi="Wingdings" w:cs="Wingdings"/>
      <w:sz w:val="24"/>
      <w:szCs w:val="24"/>
    </w:rPr>
  </w:style>
  <w:style w:type="character" w:customStyle="1" w:styleId="WW8Num6z3">
    <w:name w:val="WW8Num6z3"/>
    <w:rsid w:val="00541EC9"/>
    <w:rPr>
      <w:rFonts w:ascii="Symbol" w:hAnsi="Symbol" w:cs="Symbol"/>
      <w:sz w:val="24"/>
      <w:szCs w:val="24"/>
    </w:rPr>
  </w:style>
  <w:style w:type="character" w:customStyle="1" w:styleId="WW8Num7z0">
    <w:name w:val="WW8Num7z0"/>
    <w:rsid w:val="00541EC9"/>
    <w:rPr>
      <w:rFonts w:ascii="Symbol" w:hAnsi="Symbol" w:cs="OpenSymbol"/>
    </w:rPr>
  </w:style>
  <w:style w:type="character" w:customStyle="1" w:styleId="WW8Num7z1">
    <w:name w:val="WW8Num7z1"/>
    <w:rsid w:val="00541EC9"/>
    <w:rPr>
      <w:rFonts w:ascii="OpenSymbol" w:hAnsi="OpenSymbol" w:cs="OpenSymbol"/>
    </w:rPr>
  </w:style>
  <w:style w:type="character" w:customStyle="1" w:styleId="WW8Num8z0">
    <w:name w:val="WW8Num8z0"/>
    <w:rsid w:val="00541EC9"/>
    <w:rPr>
      <w:rFonts w:ascii="Wingdings" w:hAnsi="Wingdings" w:cs="OpenSymbol"/>
      <w:color w:val="auto"/>
      <w:sz w:val="24"/>
      <w:szCs w:val="24"/>
    </w:rPr>
  </w:style>
  <w:style w:type="character" w:customStyle="1" w:styleId="WW8Num9z0">
    <w:name w:val="WW8Num9z0"/>
    <w:rsid w:val="00541EC9"/>
    <w:rPr>
      <w:rFonts w:ascii="Symbol" w:hAnsi="Symbol" w:cs="OpenSymbol"/>
      <w:sz w:val="24"/>
      <w:szCs w:val="24"/>
    </w:rPr>
  </w:style>
  <w:style w:type="character" w:customStyle="1" w:styleId="WW8Num10z0">
    <w:name w:val="WW8Num10z0"/>
    <w:rsid w:val="00541EC9"/>
    <w:rPr>
      <w:rFonts w:ascii="Arial" w:eastAsia="SimSun" w:hAnsi="Arial" w:cs="Arial" w:hint="default"/>
    </w:rPr>
  </w:style>
  <w:style w:type="character" w:customStyle="1" w:styleId="WW8Num10z1">
    <w:name w:val="WW8Num10z1"/>
    <w:rsid w:val="00541EC9"/>
    <w:rPr>
      <w:rFonts w:ascii="Courier New" w:hAnsi="Courier New" w:cs="Courier New" w:hint="default"/>
    </w:rPr>
  </w:style>
  <w:style w:type="character" w:customStyle="1" w:styleId="WW8Num10z2">
    <w:name w:val="WW8Num10z2"/>
    <w:rsid w:val="00541EC9"/>
    <w:rPr>
      <w:rFonts w:ascii="Wingdings" w:hAnsi="Wingdings" w:cs="Wingdings" w:hint="default"/>
    </w:rPr>
  </w:style>
  <w:style w:type="character" w:customStyle="1" w:styleId="WW8Num10z3">
    <w:name w:val="WW8Num10z3"/>
    <w:rsid w:val="00541EC9"/>
    <w:rPr>
      <w:rFonts w:ascii="Symbol" w:hAnsi="Symbol" w:cs="Symbol" w:hint="default"/>
    </w:rPr>
  </w:style>
  <w:style w:type="character" w:customStyle="1" w:styleId="WW8Num11z0">
    <w:name w:val="WW8Num11z0"/>
    <w:rsid w:val="00541EC9"/>
    <w:rPr>
      <w:rFonts w:ascii="Symbol" w:hAnsi="Symbol" w:cs="Symbol" w:hint="default"/>
    </w:rPr>
  </w:style>
  <w:style w:type="character" w:customStyle="1" w:styleId="WW8Num11z1">
    <w:name w:val="WW8Num11z1"/>
    <w:rsid w:val="00541EC9"/>
    <w:rPr>
      <w:rFonts w:ascii="Courier New" w:hAnsi="Courier New" w:cs="Courier New" w:hint="default"/>
    </w:rPr>
  </w:style>
  <w:style w:type="character" w:customStyle="1" w:styleId="WW8Num11z2">
    <w:name w:val="WW8Num11z2"/>
    <w:rsid w:val="00541EC9"/>
    <w:rPr>
      <w:rFonts w:ascii="Wingdings" w:hAnsi="Wingdings" w:cs="Wingdings" w:hint="default"/>
    </w:rPr>
  </w:style>
  <w:style w:type="character" w:customStyle="1" w:styleId="WW8Num12z0">
    <w:name w:val="WW8Num12z0"/>
    <w:rsid w:val="00541EC9"/>
    <w:rPr>
      <w:rFonts w:ascii="Symbol" w:hAnsi="Symbol" w:cs="Symbol" w:hint="default"/>
      <w:sz w:val="24"/>
    </w:rPr>
  </w:style>
  <w:style w:type="character" w:customStyle="1" w:styleId="WW8Num12z1">
    <w:name w:val="WW8Num12z1"/>
    <w:rsid w:val="00541EC9"/>
    <w:rPr>
      <w:rFonts w:ascii="Courier New" w:hAnsi="Courier New" w:cs="Courier New" w:hint="default"/>
    </w:rPr>
  </w:style>
  <w:style w:type="character" w:customStyle="1" w:styleId="WW8Num12z2">
    <w:name w:val="WW8Num12z2"/>
    <w:rsid w:val="00541EC9"/>
    <w:rPr>
      <w:rFonts w:ascii="Wingdings" w:hAnsi="Wingdings" w:cs="Wingdings" w:hint="default"/>
    </w:rPr>
  </w:style>
  <w:style w:type="character" w:customStyle="1" w:styleId="WW8Num13z0">
    <w:name w:val="WW8Num13z0"/>
    <w:rsid w:val="00541EC9"/>
    <w:rPr>
      <w:rFonts w:ascii="Symbol" w:hAnsi="Symbol" w:cs="Symbol" w:hint="default"/>
      <w:sz w:val="24"/>
      <w:lang w:val="ro-RO"/>
    </w:rPr>
  </w:style>
  <w:style w:type="character" w:customStyle="1" w:styleId="WW8Num13z1">
    <w:name w:val="WW8Num13z1"/>
    <w:rsid w:val="00541EC9"/>
    <w:rPr>
      <w:rFonts w:ascii="Courier New" w:hAnsi="Courier New" w:cs="Courier New" w:hint="default"/>
    </w:rPr>
  </w:style>
  <w:style w:type="character" w:customStyle="1" w:styleId="WW8Num13z2">
    <w:name w:val="WW8Num13z2"/>
    <w:rsid w:val="00541EC9"/>
    <w:rPr>
      <w:rFonts w:ascii="Wingdings" w:hAnsi="Wingdings" w:cs="Wingdings" w:hint="default"/>
    </w:rPr>
  </w:style>
  <w:style w:type="character" w:customStyle="1" w:styleId="WW8Num14z0">
    <w:name w:val="WW8Num14z0"/>
    <w:rsid w:val="00541EC9"/>
    <w:rPr>
      <w:rFonts w:ascii="Symbol" w:hAnsi="Symbol" w:cs="Symbol" w:hint="default"/>
    </w:rPr>
  </w:style>
  <w:style w:type="character" w:customStyle="1" w:styleId="WW8Num14z1">
    <w:name w:val="WW8Num14z1"/>
    <w:rsid w:val="00541EC9"/>
    <w:rPr>
      <w:rFonts w:ascii="Courier New" w:hAnsi="Courier New" w:cs="Courier New" w:hint="default"/>
    </w:rPr>
  </w:style>
  <w:style w:type="character" w:customStyle="1" w:styleId="WW8Num14z2">
    <w:name w:val="WW8Num14z2"/>
    <w:rsid w:val="00541EC9"/>
    <w:rPr>
      <w:rFonts w:ascii="Wingdings" w:hAnsi="Wingdings" w:cs="Wingdings" w:hint="default"/>
    </w:rPr>
  </w:style>
  <w:style w:type="character" w:customStyle="1" w:styleId="WW8Num15z0">
    <w:name w:val="WW8Num15z0"/>
    <w:rsid w:val="00541EC9"/>
    <w:rPr>
      <w:rFonts w:ascii="Symbol" w:hAnsi="Symbol" w:cs="Symbol" w:hint="default"/>
    </w:rPr>
  </w:style>
  <w:style w:type="character" w:customStyle="1" w:styleId="WW8Num15z1">
    <w:name w:val="WW8Num15z1"/>
    <w:rsid w:val="00541EC9"/>
    <w:rPr>
      <w:rFonts w:ascii="Courier New" w:hAnsi="Courier New" w:cs="Courier New" w:hint="default"/>
    </w:rPr>
  </w:style>
  <w:style w:type="character" w:customStyle="1" w:styleId="WW8Num15z2">
    <w:name w:val="WW8Num15z2"/>
    <w:rsid w:val="00541EC9"/>
    <w:rPr>
      <w:rFonts w:ascii="Wingdings" w:hAnsi="Wingdings" w:cs="Wingdings" w:hint="default"/>
    </w:rPr>
  </w:style>
  <w:style w:type="character" w:customStyle="1" w:styleId="WW8Num16z0">
    <w:name w:val="WW8Num16z0"/>
    <w:rsid w:val="00541EC9"/>
    <w:rPr>
      <w:rFonts w:hint="default"/>
    </w:rPr>
  </w:style>
  <w:style w:type="character" w:customStyle="1" w:styleId="WW8Num17z0">
    <w:name w:val="WW8Num17z0"/>
    <w:rsid w:val="00541EC9"/>
    <w:rPr>
      <w:rFonts w:ascii="Arial" w:eastAsia="SimSun" w:hAnsi="Arial" w:cs="Arial" w:hint="default"/>
    </w:rPr>
  </w:style>
  <w:style w:type="character" w:customStyle="1" w:styleId="WW8Num17z1">
    <w:name w:val="WW8Num17z1"/>
    <w:rsid w:val="00541EC9"/>
    <w:rPr>
      <w:rFonts w:ascii="Courier New" w:hAnsi="Courier New" w:cs="Courier New" w:hint="default"/>
    </w:rPr>
  </w:style>
  <w:style w:type="character" w:customStyle="1" w:styleId="WW8Num17z2">
    <w:name w:val="WW8Num17z2"/>
    <w:rsid w:val="00541EC9"/>
    <w:rPr>
      <w:rFonts w:ascii="Wingdings" w:hAnsi="Wingdings" w:cs="Wingdings" w:hint="default"/>
    </w:rPr>
  </w:style>
  <w:style w:type="character" w:customStyle="1" w:styleId="WW8Num17z3">
    <w:name w:val="WW8Num17z3"/>
    <w:rsid w:val="00541EC9"/>
    <w:rPr>
      <w:rFonts w:ascii="Symbol" w:hAnsi="Symbol" w:cs="Symbol" w:hint="default"/>
    </w:rPr>
  </w:style>
  <w:style w:type="character" w:customStyle="1" w:styleId="WW8Num18z0">
    <w:name w:val="WW8Num18z0"/>
    <w:rsid w:val="00541EC9"/>
    <w:rPr>
      <w:rFonts w:ascii="Symbol" w:hAnsi="Symbol" w:cs="Symbol" w:hint="default"/>
      <w:sz w:val="24"/>
    </w:rPr>
  </w:style>
  <w:style w:type="character" w:customStyle="1" w:styleId="WW8Num18z1">
    <w:name w:val="WW8Num18z1"/>
    <w:rsid w:val="00541EC9"/>
    <w:rPr>
      <w:rFonts w:ascii="Courier New" w:hAnsi="Courier New" w:cs="Courier New" w:hint="default"/>
    </w:rPr>
  </w:style>
  <w:style w:type="character" w:customStyle="1" w:styleId="WW8Num18z2">
    <w:name w:val="WW8Num18z2"/>
    <w:rsid w:val="00541EC9"/>
    <w:rPr>
      <w:rFonts w:ascii="Wingdings" w:hAnsi="Wingdings" w:cs="Wingdings" w:hint="default"/>
    </w:rPr>
  </w:style>
  <w:style w:type="character" w:customStyle="1" w:styleId="WW8Num19z0">
    <w:name w:val="WW8Num19z0"/>
    <w:rsid w:val="00541EC9"/>
    <w:rPr>
      <w:rFonts w:ascii="Symbol" w:hAnsi="Symbol" w:cs="Symbol" w:hint="default"/>
      <w:sz w:val="24"/>
    </w:rPr>
  </w:style>
  <w:style w:type="character" w:customStyle="1" w:styleId="WW8Num19z1">
    <w:name w:val="WW8Num19z1"/>
    <w:rsid w:val="00541EC9"/>
    <w:rPr>
      <w:rFonts w:ascii="Courier New" w:hAnsi="Courier New" w:cs="Courier New" w:hint="default"/>
    </w:rPr>
  </w:style>
  <w:style w:type="character" w:customStyle="1" w:styleId="WW8Num19z2">
    <w:name w:val="WW8Num19z2"/>
    <w:rsid w:val="00541EC9"/>
    <w:rPr>
      <w:rFonts w:ascii="Wingdings" w:hAnsi="Wingdings" w:cs="Wingdings" w:hint="default"/>
    </w:rPr>
  </w:style>
  <w:style w:type="character" w:customStyle="1" w:styleId="WW8Num20z0">
    <w:name w:val="WW8Num20z0"/>
    <w:rsid w:val="00541EC9"/>
    <w:rPr>
      <w:rFonts w:ascii="Symbol" w:hAnsi="Symbol" w:cs="Symbol" w:hint="default"/>
    </w:rPr>
  </w:style>
  <w:style w:type="character" w:customStyle="1" w:styleId="WW8Num20z1">
    <w:name w:val="WW8Num20z1"/>
    <w:rsid w:val="00541EC9"/>
    <w:rPr>
      <w:rFonts w:ascii="Courier New" w:hAnsi="Courier New" w:cs="Courier New" w:hint="default"/>
    </w:rPr>
  </w:style>
  <w:style w:type="character" w:customStyle="1" w:styleId="WW8Num20z2">
    <w:name w:val="WW8Num20z2"/>
    <w:rsid w:val="00541EC9"/>
    <w:rPr>
      <w:rFonts w:ascii="Wingdings" w:hAnsi="Wingdings" w:cs="Wingdings" w:hint="default"/>
    </w:rPr>
  </w:style>
  <w:style w:type="character" w:customStyle="1" w:styleId="WW8Num21z0">
    <w:name w:val="WW8Num21z0"/>
    <w:rsid w:val="00541EC9"/>
    <w:rPr>
      <w:rFonts w:hint="default"/>
    </w:rPr>
  </w:style>
  <w:style w:type="character" w:customStyle="1" w:styleId="WW8Num22z0">
    <w:name w:val="WW8Num22z0"/>
    <w:rsid w:val="00541EC9"/>
    <w:rPr>
      <w:rFonts w:ascii="Symbol" w:hAnsi="Symbol" w:cs="Symbol" w:hint="default"/>
    </w:rPr>
  </w:style>
  <w:style w:type="character" w:customStyle="1" w:styleId="WW8Num22z1">
    <w:name w:val="WW8Num22z1"/>
    <w:rsid w:val="00541EC9"/>
    <w:rPr>
      <w:rFonts w:ascii="Courier New" w:hAnsi="Courier New" w:cs="Courier New" w:hint="default"/>
    </w:rPr>
  </w:style>
  <w:style w:type="character" w:customStyle="1" w:styleId="WW8Num22z2">
    <w:name w:val="WW8Num22z2"/>
    <w:rsid w:val="00541EC9"/>
    <w:rPr>
      <w:rFonts w:ascii="Wingdings" w:hAnsi="Wingdings" w:cs="Wingdings" w:hint="default"/>
    </w:rPr>
  </w:style>
  <w:style w:type="character" w:customStyle="1" w:styleId="WW8Num23z0">
    <w:name w:val="WW8Num23z0"/>
    <w:rsid w:val="00541EC9"/>
    <w:rPr>
      <w:rFonts w:ascii="Symbol" w:hAnsi="Symbol" w:cs="Symbol" w:hint="default"/>
    </w:rPr>
  </w:style>
  <w:style w:type="character" w:customStyle="1" w:styleId="WW8Num23z1">
    <w:name w:val="WW8Num23z1"/>
    <w:rsid w:val="00541EC9"/>
    <w:rPr>
      <w:rFonts w:ascii="Courier New" w:hAnsi="Courier New" w:cs="Courier New" w:hint="default"/>
    </w:rPr>
  </w:style>
  <w:style w:type="character" w:customStyle="1" w:styleId="WW8Num23z2">
    <w:name w:val="WW8Num23z2"/>
    <w:rsid w:val="00541EC9"/>
    <w:rPr>
      <w:rFonts w:ascii="Wingdings" w:hAnsi="Wingdings" w:cs="Wingdings" w:hint="default"/>
    </w:rPr>
  </w:style>
  <w:style w:type="character" w:customStyle="1" w:styleId="WW8Num24z0">
    <w:name w:val="WW8Num24z0"/>
    <w:rsid w:val="00541EC9"/>
    <w:rPr>
      <w:rFonts w:ascii="Arial" w:eastAsia="SimSun" w:hAnsi="Arial" w:cs="Arial" w:hint="default"/>
    </w:rPr>
  </w:style>
  <w:style w:type="character" w:customStyle="1" w:styleId="WW8Num24z1">
    <w:name w:val="WW8Num24z1"/>
    <w:rsid w:val="00541EC9"/>
    <w:rPr>
      <w:rFonts w:ascii="Courier New" w:hAnsi="Courier New" w:cs="Courier New" w:hint="default"/>
    </w:rPr>
  </w:style>
  <w:style w:type="character" w:customStyle="1" w:styleId="WW8Num24z2">
    <w:name w:val="WW8Num24z2"/>
    <w:rsid w:val="00541EC9"/>
    <w:rPr>
      <w:rFonts w:ascii="Wingdings" w:hAnsi="Wingdings" w:cs="Wingdings" w:hint="default"/>
    </w:rPr>
  </w:style>
  <w:style w:type="character" w:customStyle="1" w:styleId="WW8Num24z3">
    <w:name w:val="WW8Num24z3"/>
    <w:rsid w:val="00541EC9"/>
    <w:rPr>
      <w:rFonts w:ascii="Symbol" w:hAnsi="Symbol" w:cs="Symbol" w:hint="default"/>
    </w:rPr>
  </w:style>
  <w:style w:type="character" w:customStyle="1" w:styleId="WW8Num25z0">
    <w:name w:val="WW8Num25z0"/>
    <w:rsid w:val="00541EC9"/>
    <w:rPr>
      <w:rFonts w:ascii="Arial" w:eastAsia="Times New Roman" w:hAnsi="Arial" w:cs="Arial" w:hint="default"/>
    </w:rPr>
  </w:style>
  <w:style w:type="character" w:customStyle="1" w:styleId="WW8Num25z1">
    <w:name w:val="WW8Num25z1"/>
    <w:rsid w:val="00541EC9"/>
    <w:rPr>
      <w:rFonts w:ascii="Courier New" w:hAnsi="Courier New" w:cs="Courier New" w:hint="default"/>
    </w:rPr>
  </w:style>
  <w:style w:type="character" w:customStyle="1" w:styleId="WW8Num25z2">
    <w:name w:val="WW8Num25z2"/>
    <w:rsid w:val="00541EC9"/>
    <w:rPr>
      <w:rFonts w:ascii="Wingdings" w:hAnsi="Wingdings" w:cs="Wingdings" w:hint="default"/>
    </w:rPr>
  </w:style>
  <w:style w:type="character" w:customStyle="1" w:styleId="WW8Num25z3">
    <w:name w:val="WW8Num25z3"/>
    <w:rsid w:val="00541EC9"/>
    <w:rPr>
      <w:rFonts w:ascii="Symbol" w:hAnsi="Symbol" w:cs="Symbol" w:hint="default"/>
    </w:rPr>
  </w:style>
  <w:style w:type="character" w:customStyle="1" w:styleId="WW8Num26z0">
    <w:name w:val="WW8Num26z0"/>
    <w:rsid w:val="00541EC9"/>
    <w:rPr>
      <w:rFonts w:ascii="Symbol" w:hAnsi="Symbol" w:cs="Symbol" w:hint="default"/>
    </w:rPr>
  </w:style>
  <w:style w:type="character" w:customStyle="1" w:styleId="WW8Num26z1">
    <w:name w:val="WW8Num26z1"/>
    <w:rsid w:val="00541EC9"/>
    <w:rPr>
      <w:rFonts w:ascii="Courier New" w:hAnsi="Courier New" w:cs="Courier New" w:hint="default"/>
    </w:rPr>
  </w:style>
  <w:style w:type="character" w:customStyle="1" w:styleId="WW8Num26z2">
    <w:name w:val="WW8Num26z2"/>
    <w:rsid w:val="00541EC9"/>
    <w:rPr>
      <w:rFonts w:ascii="Wingdings" w:hAnsi="Wingdings" w:cs="Wingdings" w:hint="default"/>
    </w:rPr>
  </w:style>
  <w:style w:type="character" w:customStyle="1" w:styleId="WW8Num27z0">
    <w:name w:val="WW8Num27z0"/>
    <w:rsid w:val="00541EC9"/>
    <w:rPr>
      <w:rFonts w:ascii="Symbol" w:hAnsi="Symbol" w:cs="Symbol" w:hint="default"/>
      <w:sz w:val="24"/>
    </w:rPr>
  </w:style>
  <w:style w:type="character" w:customStyle="1" w:styleId="WW8Num27z1">
    <w:name w:val="WW8Num27z1"/>
    <w:rsid w:val="00541EC9"/>
    <w:rPr>
      <w:rFonts w:ascii="Courier New" w:hAnsi="Courier New" w:cs="Courier New" w:hint="default"/>
    </w:rPr>
  </w:style>
  <w:style w:type="character" w:customStyle="1" w:styleId="WW8Num27z2">
    <w:name w:val="WW8Num27z2"/>
    <w:rsid w:val="00541EC9"/>
    <w:rPr>
      <w:rFonts w:ascii="Wingdings" w:hAnsi="Wingdings" w:cs="Wingdings" w:hint="default"/>
    </w:rPr>
  </w:style>
  <w:style w:type="character" w:customStyle="1" w:styleId="WW8Num28z0">
    <w:name w:val="WW8Num28z0"/>
    <w:rsid w:val="00541EC9"/>
    <w:rPr>
      <w:rFonts w:ascii="Symbol" w:hAnsi="Symbol" w:cs="Symbol" w:hint="default"/>
      <w:sz w:val="24"/>
    </w:rPr>
  </w:style>
  <w:style w:type="character" w:customStyle="1" w:styleId="WW8Num28z1">
    <w:name w:val="WW8Num28z1"/>
    <w:rsid w:val="00541EC9"/>
    <w:rPr>
      <w:rFonts w:ascii="Courier New" w:hAnsi="Courier New" w:cs="Courier New" w:hint="default"/>
    </w:rPr>
  </w:style>
  <w:style w:type="character" w:customStyle="1" w:styleId="WW8Num28z2">
    <w:name w:val="WW8Num28z2"/>
    <w:rsid w:val="00541EC9"/>
    <w:rPr>
      <w:rFonts w:ascii="Wingdings" w:hAnsi="Wingdings" w:cs="Wingdings" w:hint="default"/>
    </w:rPr>
  </w:style>
  <w:style w:type="character" w:customStyle="1" w:styleId="WW8Num29z0">
    <w:name w:val="WW8Num29z0"/>
    <w:rsid w:val="00541EC9"/>
    <w:rPr>
      <w:rFonts w:ascii="Arial" w:eastAsia="SimSun" w:hAnsi="Arial" w:cs="Arial" w:hint="default"/>
    </w:rPr>
  </w:style>
  <w:style w:type="character" w:customStyle="1" w:styleId="WW8Num29z1">
    <w:name w:val="WW8Num29z1"/>
    <w:rsid w:val="00541EC9"/>
    <w:rPr>
      <w:rFonts w:ascii="Courier New" w:hAnsi="Courier New" w:cs="Courier New" w:hint="default"/>
    </w:rPr>
  </w:style>
  <w:style w:type="character" w:customStyle="1" w:styleId="WW8Num29z2">
    <w:name w:val="WW8Num29z2"/>
    <w:rsid w:val="00541EC9"/>
    <w:rPr>
      <w:rFonts w:ascii="Wingdings" w:hAnsi="Wingdings" w:cs="Wingdings" w:hint="default"/>
    </w:rPr>
  </w:style>
  <w:style w:type="character" w:customStyle="1" w:styleId="WW8Num29z3">
    <w:name w:val="WW8Num29z3"/>
    <w:rsid w:val="00541EC9"/>
    <w:rPr>
      <w:rFonts w:ascii="Symbol" w:hAnsi="Symbol" w:cs="Symbol" w:hint="default"/>
    </w:rPr>
  </w:style>
  <w:style w:type="character" w:customStyle="1" w:styleId="WW8Num30z0">
    <w:name w:val="WW8Num30z0"/>
    <w:rsid w:val="00541EC9"/>
    <w:rPr>
      <w:rFonts w:ascii="Symbol" w:hAnsi="Symbol" w:cs="Symbol" w:hint="default"/>
      <w:sz w:val="24"/>
      <w:lang w:val="ro-RO"/>
    </w:rPr>
  </w:style>
  <w:style w:type="character" w:customStyle="1" w:styleId="WW8Num30z1">
    <w:name w:val="WW8Num30z1"/>
    <w:rsid w:val="00541EC9"/>
    <w:rPr>
      <w:rFonts w:ascii="Courier New" w:hAnsi="Courier New" w:cs="Courier New" w:hint="default"/>
    </w:rPr>
  </w:style>
  <w:style w:type="character" w:customStyle="1" w:styleId="WW8Num30z2">
    <w:name w:val="WW8Num30z2"/>
    <w:rsid w:val="00541EC9"/>
    <w:rPr>
      <w:rFonts w:ascii="Wingdings" w:hAnsi="Wingdings" w:cs="Wingdings" w:hint="default"/>
    </w:rPr>
  </w:style>
  <w:style w:type="character" w:customStyle="1" w:styleId="WW8Num31z0">
    <w:name w:val="WW8Num31z0"/>
    <w:rsid w:val="00541EC9"/>
    <w:rPr>
      <w:rFonts w:hint="default"/>
    </w:rPr>
  </w:style>
  <w:style w:type="character" w:customStyle="1" w:styleId="WW8Num32z0">
    <w:name w:val="WW8Num32z0"/>
    <w:rsid w:val="00541EC9"/>
    <w:rPr>
      <w:rFonts w:ascii="Symbol" w:hAnsi="Symbol" w:cs="Symbol" w:hint="default"/>
    </w:rPr>
  </w:style>
  <w:style w:type="character" w:customStyle="1" w:styleId="WW8Num32z1">
    <w:name w:val="WW8Num32z1"/>
    <w:rsid w:val="00541EC9"/>
    <w:rPr>
      <w:rFonts w:ascii="Courier New" w:hAnsi="Courier New" w:cs="Courier New" w:hint="default"/>
    </w:rPr>
  </w:style>
  <w:style w:type="character" w:customStyle="1" w:styleId="WW8Num32z2">
    <w:name w:val="WW8Num32z2"/>
    <w:rsid w:val="00541EC9"/>
    <w:rPr>
      <w:rFonts w:ascii="Wingdings" w:hAnsi="Wingdings" w:cs="Wingdings" w:hint="default"/>
    </w:rPr>
  </w:style>
  <w:style w:type="character" w:customStyle="1" w:styleId="WW8Num33z0">
    <w:name w:val="WW8Num33z0"/>
    <w:rsid w:val="00541EC9"/>
    <w:rPr>
      <w:rFonts w:ascii="Symbol" w:hAnsi="Symbol" w:cs="Symbol" w:hint="default"/>
      <w:sz w:val="24"/>
    </w:rPr>
  </w:style>
  <w:style w:type="character" w:customStyle="1" w:styleId="WW8Num33z1">
    <w:name w:val="WW8Num33z1"/>
    <w:rsid w:val="00541EC9"/>
    <w:rPr>
      <w:rFonts w:ascii="Courier New" w:hAnsi="Courier New" w:cs="Courier New" w:hint="default"/>
    </w:rPr>
  </w:style>
  <w:style w:type="character" w:customStyle="1" w:styleId="WW8Num33z2">
    <w:name w:val="WW8Num33z2"/>
    <w:rsid w:val="00541EC9"/>
    <w:rPr>
      <w:rFonts w:ascii="Wingdings" w:hAnsi="Wingdings" w:cs="Wingdings" w:hint="default"/>
    </w:rPr>
  </w:style>
  <w:style w:type="character" w:styleId="Robust">
    <w:name w:val="Strong"/>
    <w:uiPriority w:val="22"/>
    <w:qFormat/>
    <w:rsid w:val="00541EC9"/>
    <w:rPr>
      <w:b/>
      <w:bCs/>
    </w:rPr>
  </w:style>
  <w:style w:type="character" w:customStyle="1" w:styleId="apple-converted-space">
    <w:name w:val="apple-converted-space"/>
    <w:rsid w:val="00541EC9"/>
  </w:style>
  <w:style w:type="character" w:customStyle="1" w:styleId="BalloonTextChar">
    <w:name w:val="Balloon Text Char"/>
    <w:uiPriority w:val="99"/>
    <w:rsid w:val="00541EC9"/>
    <w:rPr>
      <w:rFonts w:ascii="Tahoma" w:eastAsia="SimSun" w:hAnsi="Tahoma" w:cs="Mangal"/>
      <w:kern w:val="1"/>
      <w:sz w:val="16"/>
      <w:szCs w:val="14"/>
      <w:lang w:bidi="hi-IN"/>
    </w:rPr>
  </w:style>
  <w:style w:type="character" w:customStyle="1" w:styleId="EndnoteTextChar">
    <w:name w:val="Endnote Text Char"/>
    <w:rsid w:val="00541EC9"/>
    <w:rPr>
      <w:rFonts w:ascii="Arial" w:eastAsia="SimSun" w:hAnsi="Arial" w:cs="Mangal"/>
      <w:kern w:val="1"/>
      <w:szCs w:val="18"/>
      <w:lang w:bidi="hi-IN"/>
    </w:rPr>
  </w:style>
  <w:style w:type="character" w:customStyle="1" w:styleId="EndnoteCharacters">
    <w:name w:val="Endnote Characters"/>
    <w:rsid w:val="00541EC9"/>
    <w:rPr>
      <w:vertAlign w:val="superscript"/>
    </w:rPr>
  </w:style>
  <w:style w:type="character" w:customStyle="1" w:styleId="FootnoteTextChar">
    <w:name w:val="Footnote Text Char"/>
    <w:aliases w:val="Fußnotentextf Char,Fußnotentextr Char,stile 1 Char,Footnote Char,Footnote1 Char,Footnote2 Char,Footnote3 Char,Footnote4 Char,Footnote5 Char,Footnote6 Char,Footnote7 Char,Footnote8 Char,Footnote9 Char,Footnote10 Char,Footnote11 Char"/>
    <w:uiPriority w:val="99"/>
    <w:rsid w:val="00541EC9"/>
    <w:rPr>
      <w:rFonts w:ascii="Arial" w:eastAsia="SimSun" w:hAnsi="Arial" w:cs="Mangal"/>
      <w:kern w:val="1"/>
      <w:szCs w:val="18"/>
      <w:lang w:bidi="hi-IN"/>
    </w:rPr>
  </w:style>
  <w:style w:type="character" w:customStyle="1" w:styleId="FootnoteCharacters">
    <w:name w:val="Footnote Characters"/>
    <w:rsid w:val="00541EC9"/>
    <w:rPr>
      <w:vertAlign w:val="superscript"/>
    </w:rPr>
  </w:style>
  <w:style w:type="character" w:customStyle="1" w:styleId="IndexLink">
    <w:name w:val="Index Link"/>
    <w:rsid w:val="00541EC9"/>
  </w:style>
  <w:style w:type="character" w:styleId="Referinnotdesubsol">
    <w:name w:val="footnote reference"/>
    <w:aliases w:val="-E Fußnotenzeichen,Heading 6 Char1,number,Footnote reference number,Footnote symbol,note TESI,SUPERS,Footnote Reference Superscript,stylish,Odwołanie przypisu,Times 10 Point,Exposant 3 Point,Voetnootverwijzing"/>
    <w:link w:val="FootnotesymbolCarZchn"/>
    <w:qFormat/>
    <w:rsid w:val="00541EC9"/>
    <w:rPr>
      <w:vertAlign w:val="superscript"/>
    </w:rPr>
  </w:style>
  <w:style w:type="character" w:styleId="Referinnotdefinal">
    <w:name w:val="endnote reference"/>
    <w:rsid w:val="00541EC9"/>
    <w:rPr>
      <w:vertAlign w:val="superscript"/>
    </w:rPr>
  </w:style>
  <w:style w:type="paragraph" w:customStyle="1" w:styleId="Heading">
    <w:name w:val="Heading"/>
    <w:basedOn w:val="Normal"/>
    <w:next w:val="Corptext"/>
    <w:rsid w:val="00541EC9"/>
    <w:pPr>
      <w:keepNext/>
      <w:widowControl w:val="0"/>
      <w:suppressAutoHyphens/>
      <w:spacing w:before="240" w:after="120" w:line="240" w:lineRule="auto"/>
    </w:pPr>
    <w:rPr>
      <w:rFonts w:ascii="Arial" w:eastAsia="Microsoft YaHei" w:hAnsi="Arial" w:cs="Mangal"/>
      <w:kern w:val="1"/>
      <w:sz w:val="28"/>
      <w:szCs w:val="28"/>
      <w:lang w:eastAsia="zh-CN" w:bidi="hi-IN"/>
    </w:rPr>
  </w:style>
  <w:style w:type="paragraph" w:styleId="Corptext">
    <w:name w:val="Body Text"/>
    <w:basedOn w:val="Normal"/>
    <w:link w:val="CorptextCaracter"/>
    <w:rsid w:val="00541EC9"/>
    <w:pPr>
      <w:widowControl w:val="0"/>
      <w:suppressAutoHyphens/>
      <w:spacing w:after="120" w:line="240" w:lineRule="auto"/>
    </w:pPr>
    <w:rPr>
      <w:rFonts w:ascii="Arial" w:hAnsi="Arial" w:cs="Mangal"/>
      <w:kern w:val="1"/>
      <w:sz w:val="20"/>
      <w:szCs w:val="24"/>
      <w:lang w:eastAsia="zh-CN" w:bidi="hi-IN"/>
    </w:rPr>
  </w:style>
  <w:style w:type="character" w:customStyle="1" w:styleId="CorptextCaracter">
    <w:name w:val="Corp text Caracter"/>
    <w:basedOn w:val="Fontdeparagrafimplicit"/>
    <w:link w:val="Corptext"/>
    <w:rsid w:val="00541EC9"/>
    <w:rPr>
      <w:rFonts w:ascii="Arial" w:eastAsia="SimSun" w:hAnsi="Arial" w:cs="Mangal"/>
      <w:kern w:val="1"/>
      <w:sz w:val="20"/>
      <w:szCs w:val="24"/>
      <w:lang w:eastAsia="zh-CN" w:bidi="hi-IN"/>
    </w:rPr>
  </w:style>
  <w:style w:type="paragraph" w:styleId="List">
    <w:name w:val="List"/>
    <w:basedOn w:val="Corptext"/>
    <w:rsid w:val="00541EC9"/>
    <w:rPr>
      <w:sz w:val="24"/>
    </w:rPr>
  </w:style>
  <w:style w:type="paragraph" w:customStyle="1" w:styleId="Index">
    <w:name w:val="Index"/>
    <w:basedOn w:val="Normal"/>
    <w:rsid w:val="00541EC9"/>
    <w:pPr>
      <w:widowControl w:val="0"/>
      <w:suppressLineNumbers/>
      <w:suppressAutoHyphens/>
      <w:spacing w:after="0" w:line="240" w:lineRule="auto"/>
    </w:pPr>
    <w:rPr>
      <w:rFonts w:ascii="Arial" w:hAnsi="Arial" w:cs="Mangal"/>
      <w:kern w:val="1"/>
      <w:sz w:val="24"/>
      <w:szCs w:val="24"/>
      <w:lang w:eastAsia="zh-CN" w:bidi="hi-IN"/>
    </w:rPr>
  </w:style>
  <w:style w:type="paragraph" w:styleId="TextnBalon">
    <w:name w:val="Balloon Text"/>
    <w:basedOn w:val="Normal"/>
    <w:link w:val="TextnBalonCaracter"/>
    <w:uiPriority w:val="99"/>
    <w:rsid w:val="00541EC9"/>
    <w:pPr>
      <w:widowControl w:val="0"/>
      <w:suppressAutoHyphens/>
      <w:spacing w:after="0" w:line="240" w:lineRule="auto"/>
    </w:pPr>
    <w:rPr>
      <w:rFonts w:ascii="Tahoma" w:hAnsi="Tahoma" w:cs="Tahoma"/>
      <w:kern w:val="1"/>
      <w:sz w:val="16"/>
      <w:szCs w:val="14"/>
      <w:lang w:eastAsia="zh-CN" w:bidi="hi-IN"/>
    </w:rPr>
  </w:style>
  <w:style w:type="character" w:customStyle="1" w:styleId="TextnBalonCaracter">
    <w:name w:val="Text în Balon Caracter"/>
    <w:basedOn w:val="Fontdeparagrafimplicit"/>
    <w:link w:val="TextnBalon"/>
    <w:uiPriority w:val="99"/>
    <w:rsid w:val="00541EC9"/>
    <w:rPr>
      <w:rFonts w:ascii="Tahoma" w:eastAsia="SimSun" w:hAnsi="Tahoma" w:cs="Tahoma"/>
      <w:kern w:val="1"/>
      <w:sz w:val="16"/>
      <w:szCs w:val="14"/>
      <w:lang w:eastAsia="zh-CN" w:bidi="hi-IN"/>
    </w:rPr>
  </w:style>
  <w:style w:type="paragraph" w:styleId="Textnotdefinal">
    <w:name w:val="endnote text"/>
    <w:basedOn w:val="Normal"/>
    <w:link w:val="TextnotdefinalCaracter"/>
    <w:rsid w:val="00541EC9"/>
    <w:pPr>
      <w:widowControl w:val="0"/>
      <w:suppressAutoHyphens/>
      <w:spacing w:after="0" w:line="240" w:lineRule="auto"/>
    </w:pPr>
    <w:rPr>
      <w:rFonts w:ascii="Arial" w:hAnsi="Arial" w:cs="Mangal"/>
      <w:kern w:val="1"/>
      <w:sz w:val="20"/>
      <w:szCs w:val="18"/>
      <w:lang w:eastAsia="zh-CN" w:bidi="hi-IN"/>
    </w:rPr>
  </w:style>
  <w:style w:type="character" w:customStyle="1" w:styleId="TextnotdefinalCaracter">
    <w:name w:val="Text notă de final Caracter"/>
    <w:basedOn w:val="Fontdeparagrafimplicit"/>
    <w:link w:val="Textnotdefinal"/>
    <w:rsid w:val="00541EC9"/>
    <w:rPr>
      <w:rFonts w:ascii="Arial" w:eastAsia="SimSun" w:hAnsi="Arial" w:cs="Mangal"/>
      <w:kern w:val="1"/>
      <w:sz w:val="20"/>
      <w:szCs w:val="18"/>
      <w:lang w:eastAsia="zh-CN" w:bidi="hi-IN"/>
    </w:rPr>
  </w:style>
  <w:style w:type="paragraph" w:styleId="Textnotdesubsol">
    <w:name w:val="footnote text"/>
    <w:aliases w:val="Fußnotentextf,Fußnotentextr,stile 1,Footnote,Footnote1,Footnote2,Footnote3,Footnote4,Footnote5,Footnote6,Footnote7,Footnote8,Footnote9,Footnote10,Footnote11,Footnote21,Footnote31,Footnote41,Footnote51,Footnote61,Footnote71,fn,f"/>
    <w:basedOn w:val="Normal"/>
    <w:link w:val="TextnotdesubsolCaracter"/>
    <w:uiPriority w:val="99"/>
    <w:qFormat/>
    <w:rsid w:val="00541EC9"/>
    <w:pPr>
      <w:widowControl w:val="0"/>
      <w:suppressAutoHyphens/>
      <w:spacing w:after="0" w:line="240" w:lineRule="auto"/>
    </w:pPr>
    <w:rPr>
      <w:rFonts w:ascii="Arial" w:hAnsi="Arial" w:cs="Mangal"/>
      <w:kern w:val="1"/>
      <w:sz w:val="20"/>
      <w:szCs w:val="18"/>
      <w:lang w:eastAsia="zh-CN" w:bidi="hi-IN"/>
    </w:rPr>
  </w:style>
  <w:style w:type="character" w:customStyle="1" w:styleId="TextnotdesubsolCaracter">
    <w:name w:val="Text notă de subsol Caracter"/>
    <w:aliases w:val="Fußnotentextf Caracter,Fußnotentextr Caracter,stile 1 Caracter,Footnote Caracter,Footnote1 Caracter,Footnote2 Caracter,Footnote3 Caracter,Footnote4 Caracter,Footnote5 Caracter,Footnote6 Caracter,Footnote7 Caracter,f Caracter"/>
    <w:basedOn w:val="Fontdeparagrafimplicit"/>
    <w:link w:val="Textnotdesubsol"/>
    <w:uiPriority w:val="99"/>
    <w:rsid w:val="00541EC9"/>
    <w:rPr>
      <w:rFonts w:ascii="Arial" w:eastAsia="SimSun" w:hAnsi="Arial" w:cs="Mangal"/>
      <w:kern w:val="1"/>
      <w:sz w:val="20"/>
      <w:szCs w:val="18"/>
      <w:lang w:eastAsia="zh-CN" w:bidi="hi-IN"/>
    </w:rPr>
  </w:style>
  <w:style w:type="paragraph" w:customStyle="1" w:styleId="TableContents">
    <w:name w:val="Table Contents"/>
    <w:basedOn w:val="Normal"/>
    <w:rsid w:val="00541EC9"/>
    <w:pPr>
      <w:widowControl w:val="0"/>
      <w:suppressLineNumbers/>
      <w:suppressAutoHyphens/>
      <w:spacing w:after="0" w:line="240" w:lineRule="auto"/>
    </w:pPr>
    <w:rPr>
      <w:rFonts w:ascii="Arial" w:hAnsi="Arial" w:cs="Mangal"/>
      <w:kern w:val="1"/>
      <w:sz w:val="20"/>
      <w:szCs w:val="24"/>
      <w:lang w:eastAsia="zh-CN" w:bidi="hi-IN"/>
    </w:rPr>
  </w:style>
  <w:style w:type="paragraph" w:customStyle="1" w:styleId="TableHeading">
    <w:name w:val="Table Heading"/>
    <w:basedOn w:val="TableContents"/>
    <w:rsid w:val="00541EC9"/>
    <w:pPr>
      <w:jc w:val="center"/>
    </w:pPr>
    <w:rPr>
      <w:b/>
      <w:bCs/>
    </w:rPr>
  </w:style>
  <w:style w:type="paragraph" w:styleId="NormalWeb">
    <w:name w:val="Normal (Web)"/>
    <w:basedOn w:val="Normal"/>
    <w:uiPriority w:val="99"/>
    <w:semiHidden/>
    <w:unhideWhenUsed/>
    <w:rsid w:val="00541EC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541EC9"/>
    <w:pPr>
      <w:suppressAutoHyphens/>
      <w:autoSpaceDE w:val="0"/>
      <w:spacing w:after="0" w:line="240" w:lineRule="auto"/>
    </w:pPr>
    <w:rPr>
      <w:rFonts w:ascii="EUAlbertina" w:eastAsia="Calibri" w:hAnsi="EUAlbertina" w:cs="EUAlbertina"/>
      <w:color w:val="000000"/>
      <w:sz w:val="24"/>
      <w:szCs w:val="24"/>
      <w:lang w:eastAsia="zh-CN"/>
    </w:rPr>
  </w:style>
  <w:style w:type="paragraph" w:styleId="Frspaiere">
    <w:name w:val="No Spacing"/>
    <w:qFormat/>
    <w:rsid w:val="00541EC9"/>
    <w:pPr>
      <w:suppressAutoHyphens/>
      <w:spacing w:after="0" w:line="240" w:lineRule="auto"/>
    </w:pPr>
    <w:rPr>
      <w:rFonts w:ascii="Calibri" w:eastAsia="Calibri" w:hAnsi="Calibri" w:cs="Calibri"/>
      <w:lang w:eastAsia="zh-CN"/>
    </w:rPr>
  </w:style>
  <w:style w:type="character" w:customStyle="1" w:styleId="FontStyle88">
    <w:name w:val="Font Style88"/>
    <w:rsid w:val="00541EC9"/>
    <w:rPr>
      <w:rFonts w:ascii="Bookman Old Style" w:eastAsia="MS Mincho" w:hAnsi="Bookman Old Style" w:cs="Bookman Old Style"/>
      <w:color w:val="000000"/>
      <w:sz w:val="22"/>
      <w:szCs w:val="22"/>
      <w:lang w:val="en-GB" w:eastAsia="ja-JP" w:bidi="ar-SA"/>
    </w:rPr>
  </w:style>
  <w:style w:type="paragraph" w:customStyle="1" w:styleId="WW-DefaultStyle">
    <w:name w:val="WW-Default Style"/>
    <w:rsid w:val="00541EC9"/>
    <w:pPr>
      <w:widowControl w:val="0"/>
      <w:suppressAutoHyphens/>
      <w:spacing w:after="200" w:line="276" w:lineRule="auto"/>
    </w:pPr>
    <w:rPr>
      <w:rFonts w:ascii="Times New Roman" w:hAnsi="Times New Roman" w:cs="Mangal"/>
      <w:sz w:val="24"/>
      <w:szCs w:val="24"/>
      <w:lang w:eastAsia="zh-CN" w:bidi="hi-IN"/>
    </w:rPr>
  </w:style>
  <w:style w:type="paragraph" w:styleId="Cuprins3">
    <w:name w:val="toc 3"/>
    <w:basedOn w:val="Normal"/>
    <w:next w:val="Normal"/>
    <w:autoRedefine/>
    <w:uiPriority w:val="39"/>
    <w:unhideWhenUsed/>
    <w:rsid w:val="00541EC9"/>
    <w:pPr>
      <w:widowControl w:val="0"/>
      <w:suppressAutoHyphens/>
      <w:spacing w:after="0" w:line="240" w:lineRule="auto"/>
      <w:ind w:left="400"/>
    </w:pPr>
    <w:rPr>
      <w:rFonts w:ascii="Arial" w:hAnsi="Arial" w:cs="Mangal"/>
      <w:kern w:val="1"/>
      <w:sz w:val="20"/>
      <w:szCs w:val="24"/>
      <w:lang w:eastAsia="zh-CN" w:bidi="hi-IN"/>
    </w:rPr>
  </w:style>
  <w:style w:type="paragraph" w:styleId="Listparagraf">
    <w:name w:val="List Paragraph"/>
    <w:aliases w:val="List_Paragraph,Multilevel para_II,List Paragraph2,Normal bullet 2,Akapit z listą BS,Outlines a.b.c.,Akapit z lista BS,Appendix_llevel1"/>
    <w:basedOn w:val="Normal"/>
    <w:link w:val="ListparagrafCaracter"/>
    <w:uiPriority w:val="34"/>
    <w:qFormat/>
    <w:rsid w:val="00541EC9"/>
    <w:pPr>
      <w:suppressAutoHyphens/>
      <w:spacing w:after="200" w:line="276" w:lineRule="auto"/>
      <w:ind w:left="720"/>
    </w:pPr>
    <w:rPr>
      <w:rFonts w:ascii="Calibri" w:eastAsia="Times New Roman" w:hAnsi="Calibri" w:cs="Calibri"/>
      <w:lang w:eastAsia="zh-CN"/>
    </w:rPr>
  </w:style>
  <w:style w:type="character" w:customStyle="1" w:styleId="a">
    <w:name w:val="a"/>
    <w:rsid w:val="00541EC9"/>
  </w:style>
  <w:style w:type="character" w:customStyle="1" w:styleId="l6">
    <w:name w:val="l6"/>
    <w:rsid w:val="00541EC9"/>
  </w:style>
  <w:style w:type="paragraph" w:customStyle="1" w:styleId="CharCharCaracterCaracter">
    <w:name w:val="Char Char Caracter Caracter"/>
    <w:basedOn w:val="Normal"/>
    <w:rsid w:val="00541EC9"/>
    <w:pPr>
      <w:spacing w:after="0" w:line="240" w:lineRule="auto"/>
    </w:pPr>
    <w:rPr>
      <w:rFonts w:ascii="Times New Roman" w:eastAsia="Times New Roman" w:hAnsi="Times New Roman" w:cs="Times New Roman"/>
      <w:sz w:val="24"/>
      <w:szCs w:val="24"/>
      <w:lang w:val="pl-PL" w:eastAsia="pl-PL"/>
    </w:rPr>
  </w:style>
  <w:style w:type="character" w:customStyle="1" w:styleId="WW-FootnoteCharacters">
    <w:name w:val="WW-Footnote Characters"/>
    <w:rsid w:val="00541EC9"/>
    <w:rPr>
      <w:vertAlign w:val="superscript"/>
    </w:rPr>
  </w:style>
  <w:style w:type="paragraph" w:customStyle="1" w:styleId="ListDash">
    <w:name w:val="List Dash"/>
    <w:basedOn w:val="Normal"/>
    <w:rsid w:val="00541EC9"/>
    <w:pPr>
      <w:numPr>
        <w:numId w:val="2"/>
      </w:numPr>
      <w:spacing w:after="240" w:line="240" w:lineRule="auto"/>
      <w:jc w:val="both"/>
    </w:pPr>
    <w:rPr>
      <w:rFonts w:ascii="Times New Roman" w:eastAsia="Times New Roman" w:hAnsi="Times New Roman" w:cs="Times New Roman"/>
      <w:sz w:val="24"/>
      <w:szCs w:val="20"/>
      <w:lang w:val="en-GB"/>
    </w:rPr>
  </w:style>
  <w:style w:type="character" w:customStyle="1" w:styleId="l">
    <w:name w:val="l"/>
    <w:basedOn w:val="Fontdeparagrafimplicit"/>
    <w:rsid w:val="00541EC9"/>
  </w:style>
  <w:style w:type="character" w:customStyle="1" w:styleId="WW-FootnoteReference">
    <w:name w:val="WW-Footnote Reference"/>
    <w:rsid w:val="00541EC9"/>
    <w:rPr>
      <w:vertAlign w:val="superscript"/>
    </w:rPr>
  </w:style>
  <w:style w:type="paragraph" w:customStyle="1" w:styleId="Table">
    <w:name w:val="Table"/>
    <w:basedOn w:val="Normal"/>
    <w:autoRedefine/>
    <w:qFormat/>
    <w:rsid w:val="00541EC9"/>
    <w:pPr>
      <w:spacing w:after="0" w:line="240" w:lineRule="auto"/>
    </w:pPr>
    <w:rPr>
      <w:rFonts w:ascii="Calibri" w:eastAsia="Calibri" w:hAnsi="Calibri" w:cs="Calibri"/>
      <w:sz w:val="18"/>
      <w:szCs w:val="18"/>
    </w:rPr>
  </w:style>
  <w:style w:type="character" w:customStyle="1" w:styleId="WW8Num75z6">
    <w:name w:val="WW8Num75z6"/>
    <w:rsid w:val="00541EC9"/>
  </w:style>
  <w:style w:type="character" w:customStyle="1" w:styleId="A7">
    <w:name w:val="A7"/>
    <w:uiPriority w:val="99"/>
    <w:rsid w:val="00541EC9"/>
    <w:rPr>
      <w:rFonts w:cs="Minion Pro"/>
      <w:color w:val="000000"/>
      <w:sz w:val="18"/>
      <w:szCs w:val="18"/>
    </w:rPr>
  </w:style>
  <w:style w:type="paragraph" w:styleId="Tabeldefiguri">
    <w:name w:val="table of figures"/>
    <w:basedOn w:val="Normal"/>
    <w:next w:val="Normal"/>
    <w:uiPriority w:val="99"/>
    <w:unhideWhenUsed/>
    <w:rsid w:val="00787861"/>
    <w:pPr>
      <w:spacing w:after="0"/>
    </w:pPr>
  </w:style>
  <w:style w:type="table" w:customStyle="1" w:styleId="GridTable5Dark-Accent21">
    <w:name w:val="Grid Table 5 Dark - Accent 21"/>
    <w:basedOn w:val="TabelNormal"/>
    <w:uiPriority w:val="50"/>
    <w:rsid w:val="00B13E6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ListTable3-Accent21">
    <w:name w:val="List Table 3 - Accent 21"/>
    <w:basedOn w:val="TabelNormal"/>
    <w:uiPriority w:val="48"/>
    <w:rsid w:val="00CC6E9C"/>
    <w:pPr>
      <w:spacing w:after="0"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GridTable1Light-Accent21">
    <w:name w:val="Grid Table 1 Light - Accent 21"/>
    <w:basedOn w:val="TabelNormal"/>
    <w:uiPriority w:val="46"/>
    <w:rsid w:val="00CC6E9C"/>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elNormal"/>
    <w:uiPriority w:val="46"/>
    <w:rsid w:val="00D25971"/>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4-Accent41">
    <w:name w:val="Grid Table 4 - Accent 41"/>
    <w:basedOn w:val="TabelNormal"/>
    <w:uiPriority w:val="49"/>
    <w:rsid w:val="00D25971"/>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4-Accent21">
    <w:name w:val="Grid Table 4 - Accent 21"/>
    <w:basedOn w:val="TabelNormal"/>
    <w:uiPriority w:val="49"/>
    <w:rsid w:val="00D25971"/>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3-Accent21">
    <w:name w:val="Grid Table 3 - Accent 21"/>
    <w:basedOn w:val="TabelNormal"/>
    <w:uiPriority w:val="48"/>
    <w:rsid w:val="00D25971"/>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numbering" w:customStyle="1" w:styleId="NoList2">
    <w:name w:val="No List2"/>
    <w:next w:val="FrListare"/>
    <w:uiPriority w:val="99"/>
    <w:semiHidden/>
    <w:unhideWhenUsed/>
    <w:rsid w:val="00D70AEA"/>
  </w:style>
  <w:style w:type="character" w:customStyle="1" w:styleId="BodyText1">
    <w:name w:val="Body Text1"/>
    <w:basedOn w:val="Fontdeparagrafimplicit"/>
    <w:rsid w:val="00D70AEA"/>
    <w:rPr>
      <w:rFonts w:ascii="Arial Narrow" w:eastAsia="Arial Narrow" w:hAnsi="Arial Narrow" w:cs="Arial Narrow"/>
      <w:b w:val="0"/>
      <w:bCs w:val="0"/>
      <w:i w:val="0"/>
      <w:iCs w:val="0"/>
      <w:smallCaps w:val="0"/>
      <w:strike w:val="0"/>
      <w:color w:val="000000"/>
      <w:spacing w:val="0"/>
      <w:w w:val="100"/>
      <w:position w:val="0"/>
      <w:sz w:val="22"/>
      <w:szCs w:val="22"/>
      <w:u w:val="none"/>
      <w:shd w:val="clear" w:color="auto" w:fill="FFFFFF"/>
      <w:lang w:val="ro-RO"/>
    </w:rPr>
  </w:style>
  <w:style w:type="paragraph" w:customStyle="1" w:styleId="BodyText3">
    <w:name w:val="Body Text3"/>
    <w:basedOn w:val="Normal"/>
    <w:rsid w:val="00D70AEA"/>
    <w:pPr>
      <w:widowControl w:val="0"/>
      <w:shd w:val="clear" w:color="auto" w:fill="FFFFFF"/>
      <w:spacing w:after="0" w:line="248" w:lineRule="exact"/>
      <w:jc w:val="both"/>
    </w:pPr>
    <w:rPr>
      <w:rFonts w:ascii="Arial Narrow" w:eastAsia="Arial Narrow" w:hAnsi="Arial Narrow" w:cs="Arial Narrow"/>
      <w:color w:val="000000"/>
      <w:lang w:val="ro-RO"/>
    </w:rPr>
  </w:style>
  <w:style w:type="table" w:customStyle="1" w:styleId="TableGrid1">
    <w:name w:val="Table Grid1"/>
    <w:basedOn w:val="TabelNormal"/>
    <w:next w:val="Tabelgril"/>
    <w:uiPriority w:val="39"/>
    <w:rsid w:val="00D70AEA"/>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
    <w:name w:val="Emphasis"/>
    <w:basedOn w:val="Fontdeparagrafimplicit"/>
    <w:uiPriority w:val="20"/>
    <w:qFormat/>
    <w:rsid w:val="00D70AEA"/>
    <w:rPr>
      <w:i/>
      <w:iCs/>
    </w:rPr>
  </w:style>
  <w:style w:type="numbering" w:customStyle="1" w:styleId="NoList3">
    <w:name w:val="No List3"/>
    <w:next w:val="FrListare"/>
    <w:uiPriority w:val="99"/>
    <w:semiHidden/>
    <w:unhideWhenUsed/>
    <w:rsid w:val="00DE4288"/>
  </w:style>
  <w:style w:type="table" w:customStyle="1" w:styleId="TableGrid2">
    <w:name w:val="Table Grid2"/>
    <w:basedOn w:val="TabelNormal"/>
    <w:next w:val="Tabelgril"/>
    <w:uiPriority w:val="59"/>
    <w:rsid w:val="00DE428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Umbriredeculoaredeschis-Accentuare3">
    <w:name w:val="Light Shading Accent 3"/>
    <w:basedOn w:val="TabelNormal"/>
    <w:uiPriority w:val="60"/>
    <w:rsid w:val="00DE4288"/>
    <w:pPr>
      <w:spacing w:after="0" w:line="240" w:lineRule="auto"/>
    </w:pPr>
    <w:rPr>
      <w:rFonts w:ascii="Times New Roman" w:eastAsia="Times New Roman" w:hAnsi="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ListparagrafCaracter">
    <w:name w:val="Listă paragraf Caracter"/>
    <w:aliases w:val="List_Paragraph Caracter,Multilevel para_II Caracter,List Paragraph2 Caracter,Normal bullet 2 Caracter,Akapit z listą BS Caracter,Outlines a.b.c. Caracter,Akapit z lista BS Caracter,Appendix_llevel1 Caracter"/>
    <w:link w:val="Listparagraf"/>
    <w:uiPriority w:val="34"/>
    <w:rsid w:val="00DE4288"/>
    <w:rPr>
      <w:rFonts w:ascii="Calibri" w:eastAsia="Times New Roman" w:hAnsi="Calibri" w:cs="Calibri"/>
      <w:lang w:eastAsia="zh-CN"/>
    </w:rPr>
  </w:style>
  <w:style w:type="paragraph" w:styleId="Listcumarcatori">
    <w:name w:val="List Bullet"/>
    <w:basedOn w:val="Normal"/>
    <w:link w:val="ListcumarcatoriCaracter"/>
    <w:rsid w:val="00DE4288"/>
    <w:pPr>
      <w:numPr>
        <w:numId w:val="111"/>
      </w:numPr>
      <w:tabs>
        <w:tab w:val="clear" w:pos="360"/>
      </w:tabs>
      <w:spacing w:after="120" w:line="240" w:lineRule="auto"/>
    </w:pPr>
    <w:rPr>
      <w:rFonts w:ascii="Arial" w:eastAsia="Times New Roman" w:hAnsi="Arial" w:cs="Times New Roman"/>
      <w:sz w:val="20"/>
      <w:szCs w:val="20"/>
      <w:lang w:val="ro-RO"/>
    </w:rPr>
  </w:style>
  <w:style w:type="character" w:customStyle="1" w:styleId="ListcumarcatoriCaracter">
    <w:name w:val="Listă cu marcatori Caracter"/>
    <w:link w:val="Listcumarcatori"/>
    <w:locked/>
    <w:rsid w:val="00DE4288"/>
    <w:rPr>
      <w:rFonts w:ascii="Arial" w:eastAsia="Times New Roman" w:hAnsi="Arial" w:cs="Times New Roman"/>
      <w:sz w:val="20"/>
      <w:szCs w:val="20"/>
      <w:lang w:val="ro-RO"/>
    </w:rPr>
  </w:style>
  <w:style w:type="paragraph" w:customStyle="1" w:styleId="Pa54">
    <w:name w:val="Pa54"/>
    <w:basedOn w:val="Normal"/>
    <w:next w:val="Normal"/>
    <w:rsid w:val="00DE4288"/>
    <w:pPr>
      <w:autoSpaceDE w:val="0"/>
      <w:autoSpaceDN w:val="0"/>
      <w:adjustRightInd w:val="0"/>
      <w:spacing w:after="0" w:line="221" w:lineRule="atLeast"/>
    </w:pPr>
    <w:rPr>
      <w:rFonts w:ascii="NJ Font" w:eastAsia="Times New Roman" w:hAnsi="NJ Font" w:cs="Times New Roman"/>
      <w:sz w:val="24"/>
      <w:szCs w:val="24"/>
      <w:lang w:val="ro-RO"/>
    </w:rPr>
  </w:style>
  <w:style w:type="character" w:customStyle="1" w:styleId="A12">
    <w:name w:val="A12"/>
    <w:rsid w:val="00DE4288"/>
    <w:rPr>
      <w:rFonts w:cs="NJ Font"/>
      <w:color w:val="000000"/>
      <w:sz w:val="18"/>
      <w:szCs w:val="18"/>
    </w:rPr>
  </w:style>
  <w:style w:type="paragraph" w:customStyle="1" w:styleId="Frecventa">
    <w:name w:val="Frecventa"/>
    <w:basedOn w:val="Normal"/>
    <w:next w:val="Normal"/>
    <w:rsid w:val="00DE4288"/>
    <w:pPr>
      <w:shd w:val="clear" w:color="auto" w:fill="FFCC99"/>
      <w:tabs>
        <w:tab w:val="left" w:pos="340"/>
      </w:tabs>
      <w:spacing w:after="100" w:line="240" w:lineRule="auto"/>
      <w:ind w:left="284" w:right="284"/>
      <w:jc w:val="both"/>
    </w:pPr>
    <w:rPr>
      <w:rFonts w:ascii="Arial Bold" w:eastAsia="Times New Roman" w:hAnsi="Arial Bold" w:cs="Times New Roman"/>
      <w:b/>
      <w:szCs w:val="24"/>
      <w:lang w:val="en-GB"/>
    </w:rPr>
  </w:style>
  <w:style w:type="character" w:customStyle="1" w:styleId="ln2tparagraf">
    <w:name w:val="ln2tparagraf"/>
    <w:rsid w:val="00DE4288"/>
    <w:rPr>
      <w:rFonts w:cs="Times New Roman"/>
    </w:rPr>
  </w:style>
  <w:style w:type="character" w:customStyle="1" w:styleId="LegendCaracter">
    <w:name w:val="Legendă Caracter"/>
    <w:aliases w:val="Char Caracter,Figura Caracter,Caption Figura Caracter,Figuri Caracter"/>
    <w:link w:val="Legend"/>
    <w:uiPriority w:val="35"/>
    <w:locked/>
    <w:rsid w:val="00DE4288"/>
    <w:rPr>
      <w:i/>
      <w:iCs/>
      <w:color w:val="44546A" w:themeColor="text2"/>
      <w:sz w:val="18"/>
      <w:szCs w:val="18"/>
    </w:rPr>
  </w:style>
  <w:style w:type="paragraph" w:customStyle="1" w:styleId="table0">
    <w:name w:val="table0"/>
    <w:basedOn w:val="Normal"/>
    <w:rsid w:val="00DE4288"/>
    <w:pPr>
      <w:spacing w:before="100" w:beforeAutospacing="1" w:after="100" w:afterAutospacing="1" w:line="240" w:lineRule="auto"/>
    </w:pPr>
    <w:rPr>
      <w:rFonts w:ascii="Times New Roman" w:eastAsia="Times New Roman" w:hAnsi="Times New Roman" w:cs="Times New Roman"/>
      <w:sz w:val="24"/>
      <w:szCs w:val="24"/>
      <w:lang w:val="ro-RO"/>
    </w:rPr>
  </w:style>
  <w:style w:type="character" w:styleId="Numrdepagin">
    <w:name w:val="page number"/>
    <w:rsid w:val="00DE4288"/>
  </w:style>
  <w:style w:type="paragraph" w:styleId="Textsimplu">
    <w:name w:val="Plain Text"/>
    <w:basedOn w:val="Normal"/>
    <w:link w:val="TextsimpluCaracter"/>
    <w:unhideWhenUsed/>
    <w:rsid w:val="00DE4288"/>
    <w:pPr>
      <w:spacing w:after="0" w:line="240" w:lineRule="auto"/>
    </w:pPr>
    <w:rPr>
      <w:rFonts w:ascii="Courier New" w:eastAsia="Times New Roman" w:hAnsi="Courier New" w:cs="Times New Roman"/>
      <w:sz w:val="20"/>
      <w:szCs w:val="20"/>
      <w:lang w:val="ro-RO" w:eastAsia="ro-RO"/>
    </w:rPr>
  </w:style>
  <w:style w:type="character" w:customStyle="1" w:styleId="TextsimpluCaracter">
    <w:name w:val="Text simplu Caracter"/>
    <w:basedOn w:val="Fontdeparagrafimplicit"/>
    <w:link w:val="Textsimplu"/>
    <w:rsid w:val="00DE4288"/>
    <w:rPr>
      <w:rFonts w:ascii="Courier New" w:eastAsia="Times New Roman" w:hAnsi="Courier New" w:cs="Times New Roman"/>
      <w:sz w:val="20"/>
      <w:szCs w:val="20"/>
      <w:lang w:val="ro-RO" w:eastAsia="ro-RO"/>
    </w:rPr>
  </w:style>
  <w:style w:type="paragraph" w:customStyle="1" w:styleId="Text2">
    <w:name w:val="Text 2"/>
    <w:basedOn w:val="Normal"/>
    <w:uiPriority w:val="90"/>
    <w:qFormat/>
    <w:rsid w:val="00DE4288"/>
    <w:pPr>
      <w:spacing w:after="240" w:line="240" w:lineRule="auto"/>
      <w:ind w:left="1202"/>
      <w:jc w:val="both"/>
    </w:pPr>
    <w:rPr>
      <w:rFonts w:ascii="Times New Roman" w:eastAsia="Times New Roman" w:hAnsi="Times New Roman" w:cs="Times New Roman"/>
      <w:sz w:val="24"/>
      <w:szCs w:val="20"/>
      <w:lang w:val="ro-RO" w:eastAsia="en-GB"/>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link w:val="Referinnotdesubsol"/>
    <w:rsid w:val="00DE4288"/>
    <w:pPr>
      <w:spacing w:line="240" w:lineRule="exact"/>
      <w:jc w:val="both"/>
    </w:pPr>
    <w:rPr>
      <w:vertAlign w:val="superscript"/>
    </w:rPr>
  </w:style>
  <w:style w:type="paragraph" w:customStyle="1" w:styleId="Question">
    <w:name w:val="Question"/>
    <w:basedOn w:val="Normal"/>
    <w:qFormat/>
    <w:rsid w:val="00DE4288"/>
    <w:pPr>
      <w:spacing w:after="240" w:line="240" w:lineRule="auto"/>
    </w:pPr>
    <w:rPr>
      <w:rFonts w:ascii="Times New Roman" w:eastAsia="Times New Roman" w:hAnsi="Times New Roman" w:cs="Times New Roman"/>
      <w:b/>
      <w:snapToGrid w:val="0"/>
      <w:sz w:val="20"/>
      <w:szCs w:val="24"/>
      <w:lang w:val="ro-RO" w:eastAsia="en-GB"/>
    </w:rPr>
  </w:style>
  <w:style w:type="paragraph" w:customStyle="1" w:styleId="Pa0">
    <w:name w:val="Pa0"/>
    <w:basedOn w:val="Default"/>
    <w:next w:val="Default"/>
    <w:uiPriority w:val="99"/>
    <w:rsid w:val="00DE4288"/>
    <w:pPr>
      <w:suppressAutoHyphens w:val="0"/>
      <w:autoSpaceDN w:val="0"/>
      <w:adjustRightInd w:val="0"/>
      <w:spacing w:line="241" w:lineRule="atLeast"/>
    </w:pPr>
    <w:rPr>
      <w:rFonts w:ascii="Minion Pro" w:eastAsia="Times New Roman" w:hAnsi="Minion Pro" w:cs="Times New Roman"/>
      <w:color w:val="auto"/>
      <w:lang w:val="ro-RO" w:eastAsia="ro-RO"/>
    </w:rPr>
  </w:style>
  <w:style w:type="numbering" w:customStyle="1" w:styleId="NoList4">
    <w:name w:val="No List4"/>
    <w:next w:val="FrListare"/>
    <w:uiPriority w:val="99"/>
    <w:semiHidden/>
    <w:unhideWhenUsed/>
    <w:rsid w:val="00556B9F"/>
  </w:style>
  <w:style w:type="table" w:customStyle="1" w:styleId="TableGrid3">
    <w:name w:val="Table Grid3"/>
    <w:basedOn w:val="TabelNormal"/>
    <w:next w:val="Tabelgril"/>
    <w:uiPriority w:val="59"/>
    <w:rsid w:val="00556B9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1">
    <w:name w:val="Light Shading - Accent 31"/>
    <w:basedOn w:val="TabelNormal"/>
    <w:next w:val="Umbriredeculoaredeschis-Accentuare3"/>
    <w:uiPriority w:val="60"/>
    <w:rsid w:val="00556B9F"/>
    <w:pPr>
      <w:spacing w:after="0" w:line="240" w:lineRule="auto"/>
    </w:pPr>
    <w:rPr>
      <w:rFonts w:ascii="Times New Roman" w:eastAsia="Times New Roman" w:hAnsi="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Table4-Accent21">
    <w:name w:val="List Table 4 - Accent 21"/>
    <w:basedOn w:val="TabelNormal"/>
    <w:uiPriority w:val="49"/>
    <w:rsid w:val="00DA3B93"/>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Fontdeparagrafimplicit"/>
    <w:uiPriority w:val="99"/>
    <w:semiHidden/>
    <w:unhideWhenUsed/>
    <w:rsid w:val="007C544E"/>
    <w:rPr>
      <w:color w:val="605E5C"/>
      <w:shd w:val="clear" w:color="auto" w:fill="E1DFDD"/>
    </w:rPr>
  </w:style>
  <w:style w:type="character" w:styleId="Referincomentariu">
    <w:name w:val="annotation reference"/>
    <w:basedOn w:val="Fontdeparagrafimplicit"/>
    <w:uiPriority w:val="99"/>
    <w:semiHidden/>
    <w:unhideWhenUsed/>
    <w:rsid w:val="00063DCF"/>
    <w:rPr>
      <w:sz w:val="16"/>
      <w:szCs w:val="16"/>
    </w:rPr>
  </w:style>
  <w:style w:type="paragraph" w:styleId="Textcomentariu">
    <w:name w:val="annotation text"/>
    <w:basedOn w:val="Normal"/>
    <w:link w:val="TextcomentariuCaracter"/>
    <w:uiPriority w:val="99"/>
    <w:semiHidden/>
    <w:unhideWhenUsed/>
    <w:rsid w:val="00063DCF"/>
    <w:pPr>
      <w:widowControl w:val="0"/>
      <w:suppressAutoHyphens/>
      <w:spacing w:after="0" w:line="240" w:lineRule="auto"/>
    </w:pPr>
    <w:rPr>
      <w:rFonts w:ascii="Arial" w:hAnsi="Arial" w:cs="Mangal"/>
      <w:kern w:val="1"/>
      <w:sz w:val="20"/>
      <w:szCs w:val="18"/>
      <w:lang w:val="ro-RO" w:eastAsia="hi-IN" w:bidi="hi-IN"/>
    </w:rPr>
  </w:style>
  <w:style w:type="character" w:customStyle="1" w:styleId="TextcomentariuCaracter">
    <w:name w:val="Text comentariu Caracter"/>
    <w:basedOn w:val="Fontdeparagrafimplicit"/>
    <w:link w:val="Textcomentariu"/>
    <w:uiPriority w:val="99"/>
    <w:semiHidden/>
    <w:rsid w:val="00063DCF"/>
    <w:rPr>
      <w:rFonts w:ascii="Arial" w:hAnsi="Arial" w:cs="Mangal"/>
      <w:kern w:val="1"/>
      <w:sz w:val="20"/>
      <w:szCs w:val="18"/>
      <w:lang w:val="ro-RO" w:eastAsia="hi-IN" w:bidi="hi-IN"/>
    </w:rPr>
  </w:style>
  <w:style w:type="numbering" w:customStyle="1" w:styleId="NoList5">
    <w:name w:val="No List5"/>
    <w:next w:val="FrListare"/>
    <w:uiPriority w:val="99"/>
    <w:semiHidden/>
    <w:unhideWhenUsed/>
    <w:rsid w:val="00063DCF"/>
  </w:style>
  <w:style w:type="table" w:customStyle="1" w:styleId="TableGrid4">
    <w:name w:val="Table Grid4"/>
    <w:basedOn w:val="TabelNormal"/>
    <w:next w:val="Tabelgril"/>
    <w:uiPriority w:val="59"/>
    <w:rsid w:val="00063DCF"/>
    <w:pPr>
      <w:spacing w:after="0"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2">
    <w:name w:val="Light Shading - Accent 32"/>
    <w:basedOn w:val="TabelNormal"/>
    <w:next w:val="Umbriredeculoaredeschis-Accentuare3"/>
    <w:uiPriority w:val="60"/>
    <w:rsid w:val="00063DCF"/>
    <w:pPr>
      <w:spacing w:after="0" w:line="240" w:lineRule="auto"/>
    </w:pPr>
    <w:rPr>
      <w:rFonts w:ascii="Times New Roman" w:eastAsia="Times New Roman" w:hAnsi="Times New Roman" w:cs="Times New Roman"/>
      <w:color w:val="76923C"/>
      <w:sz w:val="20"/>
      <w:szCs w:val="20"/>
      <w:lang w:val="ro-RO" w:eastAsia="ro-RO"/>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styleId="SubiectComentariu">
    <w:name w:val="annotation subject"/>
    <w:basedOn w:val="Textcomentariu"/>
    <w:next w:val="Textcomentariu"/>
    <w:link w:val="SubiectComentariuCaracter"/>
    <w:uiPriority w:val="99"/>
    <w:semiHidden/>
    <w:unhideWhenUsed/>
    <w:rsid w:val="00063DCF"/>
    <w:rPr>
      <w:b/>
      <w:bCs/>
    </w:rPr>
  </w:style>
  <w:style w:type="character" w:customStyle="1" w:styleId="SubiectComentariuCaracter">
    <w:name w:val="Subiect Comentariu Caracter"/>
    <w:basedOn w:val="TextcomentariuCaracter"/>
    <w:link w:val="SubiectComentariu"/>
    <w:uiPriority w:val="99"/>
    <w:semiHidden/>
    <w:rsid w:val="00063DCF"/>
    <w:rPr>
      <w:rFonts w:ascii="Arial" w:hAnsi="Arial" w:cs="Mangal"/>
      <w:b/>
      <w:bCs/>
      <w:kern w:val="1"/>
      <w:sz w:val="20"/>
      <w:szCs w:val="18"/>
      <w:lang w:val="ro-RO" w:eastAsia="hi-IN" w:bidi="hi-IN"/>
    </w:rPr>
  </w:style>
  <w:style w:type="table" w:customStyle="1" w:styleId="GridTable6Colorful-Accent41">
    <w:name w:val="Grid Table 6 Colorful - Accent 41"/>
    <w:basedOn w:val="TabelNormal"/>
    <w:uiPriority w:val="51"/>
    <w:rsid w:val="00481168"/>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eGrid5">
    <w:name w:val="Table Grid5"/>
    <w:basedOn w:val="TabelNormal"/>
    <w:next w:val="Tabelgril"/>
    <w:uiPriority w:val="59"/>
    <w:rsid w:val="00EF402B"/>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FrListare"/>
    <w:uiPriority w:val="99"/>
    <w:semiHidden/>
    <w:unhideWhenUsed/>
    <w:rsid w:val="006F66E1"/>
  </w:style>
  <w:style w:type="table" w:customStyle="1" w:styleId="TableGrid6">
    <w:name w:val="Table Grid6"/>
    <w:basedOn w:val="TabelNormal"/>
    <w:next w:val="Tabelgril"/>
    <w:uiPriority w:val="59"/>
    <w:rsid w:val="006F66E1"/>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FrListare"/>
    <w:uiPriority w:val="99"/>
    <w:semiHidden/>
    <w:unhideWhenUsed/>
    <w:rsid w:val="006F66E1"/>
  </w:style>
  <w:style w:type="table" w:customStyle="1" w:styleId="GridTable5Dark-Accent211">
    <w:name w:val="Grid Table 5 Dark - Accent 211"/>
    <w:basedOn w:val="TabelNormal"/>
    <w:uiPriority w:val="50"/>
    <w:rsid w:val="006F66E1"/>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DBDB"/>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0504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0504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0504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0504D"/>
      </w:tcPr>
    </w:tblStylePr>
    <w:tblStylePr w:type="band1Vert">
      <w:tblPr/>
      <w:tcPr>
        <w:shd w:val="clear" w:color="auto" w:fill="E5B8B7"/>
      </w:tcPr>
    </w:tblStylePr>
    <w:tblStylePr w:type="band1Horz">
      <w:tblPr/>
      <w:tcPr>
        <w:shd w:val="clear" w:color="auto" w:fill="E5B8B7"/>
      </w:tcPr>
    </w:tblStylePr>
  </w:style>
  <w:style w:type="table" w:customStyle="1" w:styleId="ListTable3-Accent211">
    <w:name w:val="List Table 3 - Accent 211"/>
    <w:basedOn w:val="TabelNormal"/>
    <w:uiPriority w:val="48"/>
    <w:rsid w:val="006F66E1"/>
    <w:pPr>
      <w:spacing w:after="0" w:line="240" w:lineRule="auto"/>
    </w:pPr>
    <w:tblPr>
      <w:tblStyleRowBandSize w:val="1"/>
      <w:tblStyleColBandSize w:val="1"/>
      <w:tblBorders>
        <w:top w:val="single" w:sz="4" w:space="0" w:color="C0504D"/>
        <w:left w:val="single" w:sz="4" w:space="0" w:color="C0504D"/>
        <w:bottom w:val="single" w:sz="4" w:space="0" w:color="C0504D"/>
        <w:right w:val="single" w:sz="4" w:space="0" w:color="C0504D"/>
      </w:tblBorders>
    </w:tblPr>
    <w:tblStylePr w:type="firstRow">
      <w:rPr>
        <w:b/>
        <w:bCs/>
        <w:color w:val="FFFFFF"/>
      </w:rPr>
      <w:tblPr/>
      <w:tcPr>
        <w:shd w:val="clear" w:color="auto" w:fill="C0504D"/>
      </w:tcPr>
    </w:tblStylePr>
    <w:tblStylePr w:type="lastRow">
      <w:rPr>
        <w:b/>
        <w:bCs/>
      </w:rPr>
      <w:tblPr/>
      <w:tcPr>
        <w:tcBorders>
          <w:top w:val="double" w:sz="4" w:space="0" w:color="C0504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C0504D"/>
          <w:right w:val="single" w:sz="4" w:space="0" w:color="C0504D"/>
        </w:tcBorders>
      </w:tcPr>
    </w:tblStylePr>
    <w:tblStylePr w:type="band1Horz">
      <w:tblPr/>
      <w:tcPr>
        <w:tcBorders>
          <w:top w:val="single" w:sz="4" w:space="0" w:color="C0504D"/>
          <w:bottom w:val="single" w:sz="4" w:space="0" w:color="C0504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left w:val="nil"/>
        </w:tcBorders>
      </w:tcPr>
    </w:tblStylePr>
    <w:tblStylePr w:type="swCell">
      <w:tblPr/>
      <w:tcPr>
        <w:tcBorders>
          <w:top w:val="double" w:sz="4" w:space="0" w:color="C0504D"/>
          <w:right w:val="nil"/>
        </w:tcBorders>
      </w:tcPr>
    </w:tblStylePr>
  </w:style>
  <w:style w:type="table" w:customStyle="1" w:styleId="GridTable1Light-Accent211">
    <w:name w:val="Grid Table 1 Light - Accent 211"/>
    <w:basedOn w:val="TabelNormal"/>
    <w:uiPriority w:val="46"/>
    <w:rsid w:val="006F66E1"/>
    <w:pPr>
      <w:spacing w:after="0" w:line="240" w:lineRule="auto"/>
    </w:p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Pr>
    <w:tblStylePr w:type="firstRow">
      <w:rPr>
        <w:b/>
        <w:bCs/>
      </w:rPr>
      <w:tblPr/>
      <w:tcPr>
        <w:tcBorders>
          <w:bottom w:val="single" w:sz="12" w:space="0" w:color="D99594"/>
        </w:tcBorders>
      </w:tcPr>
    </w:tblStylePr>
    <w:tblStylePr w:type="lastRow">
      <w:rPr>
        <w:b/>
        <w:bCs/>
      </w:rPr>
      <w:tblPr/>
      <w:tcPr>
        <w:tcBorders>
          <w:top w:val="double" w:sz="2" w:space="0" w:color="D99594"/>
        </w:tcBorders>
      </w:tcPr>
    </w:tblStylePr>
    <w:tblStylePr w:type="firstCol">
      <w:rPr>
        <w:b/>
        <w:bCs/>
      </w:rPr>
    </w:tblStylePr>
    <w:tblStylePr w:type="lastCol">
      <w:rPr>
        <w:b/>
        <w:bCs/>
      </w:rPr>
    </w:tblStylePr>
  </w:style>
  <w:style w:type="table" w:customStyle="1" w:styleId="GridTable1Light-Accent411">
    <w:name w:val="Grid Table 1 Light - Accent 411"/>
    <w:basedOn w:val="TabelNormal"/>
    <w:uiPriority w:val="46"/>
    <w:rsid w:val="006F66E1"/>
    <w:pPr>
      <w:spacing w:after="0" w:line="240" w:lineRule="auto"/>
    </w:p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Pr>
    <w:tblStylePr w:type="firstRow">
      <w:rPr>
        <w:b/>
        <w:bCs/>
      </w:rPr>
      <w:tblPr/>
      <w:tcPr>
        <w:tcBorders>
          <w:bottom w:val="single" w:sz="12" w:space="0" w:color="B2A1C7"/>
        </w:tcBorders>
      </w:tcPr>
    </w:tblStylePr>
    <w:tblStylePr w:type="lastRow">
      <w:rPr>
        <w:b/>
        <w:bCs/>
      </w:rPr>
      <w:tblPr/>
      <w:tcPr>
        <w:tcBorders>
          <w:top w:val="double" w:sz="2" w:space="0" w:color="B2A1C7"/>
        </w:tcBorders>
      </w:tcPr>
    </w:tblStylePr>
    <w:tblStylePr w:type="firstCol">
      <w:rPr>
        <w:b/>
        <w:bCs/>
      </w:rPr>
    </w:tblStylePr>
    <w:tblStylePr w:type="lastCol">
      <w:rPr>
        <w:b/>
        <w:bCs/>
      </w:rPr>
    </w:tblStylePr>
  </w:style>
  <w:style w:type="table" w:customStyle="1" w:styleId="GridTable4-Accent411">
    <w:name w:val="Grid Table 4 - Accent 411"/>
    <w:basedOn w:val="TabelNormal"/>
    <w:uiPriority w:val="49"/>
    <w:rsid w:val="006F66E1"/>
    <w:pPr>
      <w:spacing w:after="0" w:line="240" w:lineRule="auto"/>
    </w:p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4-Accent211">
    <w:name w:val="Grid Table 4 - Accent 211"/>
    <w:basedOn w:val="TabelNormal"/>
    <w:uiPriority w:val="49"/>
    <w:rsid w:val="006F66E1"/>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3-Accent211">
    <w:name w:val="Grid Table 3 - Accent 211"/>
    <w:basedOn w:val="TabelNormal"/>
    <w:uiPriority w:val="48"/>
    <w:rsid w:val="006F66E1"/>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2DBDB"/>
      </w:tcPr>
    </w:tblStylePr>
    <w:tblStylePr w:type="band1Horz">
      <w:tblPr/>
      <w:tcPr>
        <w:shd w:val="clear" w:color="auto" w:fill="F2DBDB"/>
      </w:tcPr>
    </w:tblStylePr>
    <w:tblStylePr w:type="neCell">
      <w:tblPr/>
      <w:tcPr>
        <w:tcBorders>
          <w:bottom w:val="single" w:sz="4" w:space="0" w:color="D99594"/>
        </w:tcBorders>
      </w:tcPr>
    </w:tblStylePr>
    <w:tblStylePr w:type="nwCell">
      <w:tblPr/>
      <w:tcPr>
        <w:tcBorders>
          <w:bottom w:val="single" w:sz="4" w:space="0" w:color="D99594"/>
        </w:tcBorders>
      </w:tcPr>
    </w:tblStylePr>
    <w:tblStylePr w:type="seCell">
      <w:tblPr/>
      <w:tcPr>
        <w:tcBorders>
          <w:top w:val="single" w:sz="4" w:space="0" w:color="D99594"/>
        </w:tcBorders>
      </w:tcPr>
    </w:tblStylePr>
    <w:tblStylePr w:type="swCell">
      <w:tblPr/>
      <w:tcPr>
        <w:tcBorders>
          <w:top w:val="single" w:sz="4" w:space="0" w:color="D99594"/>
        </w:tcBorders>
      </w:tcPr>
    </w:tblStylePr>
  </w:style>
  <w:style w:type="numbering" w:customStyle="1" w:styleId="NoList21">
    <w:name w:val="No List21"/>
    <w:next w:val="FrListare"/>
    <w:uiPriority w:val="99"/>
    <w:semiHidden/>
    <w:unhideWhenUsed/>
    <w:rsid w:val="006F66E1"/>
  </w:style>
  <w:style w:type="table" w:customStyle="1" w:styleId="TableGrid11">
    <w:name w:val="Table Grid11"/>
    <w:basedOn w:val="TabelNormal"/>
    <w:next w:val="Tabelgril"/>
    <w:uiPriority w:val="39"/>
    <w:rsid w:val="006F66E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FrListare"/>
    <w:uiPriority w:val="99"/>
    <w:semiHidden/>
    <w:unhideWhenUsed/>
    <w:rsid w:val="006F66E1"/>
  </w:style>
  <w:style w:type="table" w:customStyle="1" w:styleId="TableGrid21">
    <w:name w:val="Table Grid21"/>
    <w:basedOn w:val="TabelNormal"/>
    <w:next w:val="Tabelgril"/>
    <w:uiPriority w:val="59"/>
    <w:rsid w:val="006F66E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3">
    <w:name w:val="Light Shading - Accent 33"/>
    <w:basedOn w:val="TabelNormal"/>
    <w:next w:val="Umbriredeculoaredeschis-Accentuare3"/>
    <w:uiPriority w:val="60"/>
    <w:rsid w:val="006F66E1"/>
    <w:pPr>
      <w:spacing w:after="0" w:line="240" w:lineRule="auto"/>
    </w:pPr>
    <w:rPr>
      <w:rFonts w:ascii="Times New Roman" w:eastAsia="Times New Roman" w:hAnsi="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41">
    <w:name w:val="No List41"/>
    <w:next w:val="FrListare"/>
    <w:uiPriority w:val="99"/>
    <w:semiHidden/>
    <w:unhideWhenUsed/>
    <w:rsid w:val="006F66E1"/>
  </w:style>
  <w:style w:type="table" w:customStyle="1" w:styleId="TableGrid31">
    <w:name w:val="Table Grid31"/>
    <w:basedOn w:val="TabelNormal"/>
    <w:next w:val="Tabelgril"/>
    <w:uiPriority w:val="59"/>
    <w:rsid w:val="006F66E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11">
    <w:name w:val="Light Shading - Accent 311"/>
    <w:basedOn w:val="TabelNormal"/>
    <w:next w:val="Umbriredeculoaredeschis-Accentuare3"/>
    <w:uiPriority w:val="60"/>
    <w:rsid w:val="006F66E1"/>
    <w:pPr>
      <w:spacing w:after="0" w:line="240" w:lineRule="auto"/>
    </w:pPr>
    <w:rPr>
      <w:rFonts w:ascii="Times New Roman" w:eastAsia="Times New Roman" w:hAnsi="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Table4-Accent211">
    <w:name w:val="List Table 4 - Accent 211"/>
    <w:basedOn w:val="TabelNormal"/>
    <w:uiPriority w:val="49"/>
    <w:rsid w:val="006F66E1"/>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tcBorders>
        <w:shd w:val="clear" w:color="auto" w:fill="C0504D"/>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numbering" w:customStyle="1" w:styleId="NoList51">
    <w:name w:val="No List51"/>
    <w:next w:val="FrListare"/>
    <w:uiPriority w:val="99"/>
    <w:semiHidden/>
    <w:unhideWhenUsed/>
    <w:rsid w:val="006F66E1"/>
  </w:style>
  <w:style w:type="table" w:customStyle="1" w:styleId="TableGrid41">
    <w:name w:val="Table Grid41"/>
    <w:basedOn w:val="TabelNormal"/>
    <w:next w:val="Tabelgril"/>
    <w:uiPriority w:val="59"/>
    <w:rsid w:val="006F66E1"/>
    <w:pPr>
      <w:spacing w:after="0"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21">
    <w:name w:val="Light Shading - Accent 321"/>
    <w:basedOn w:val="TabelNormal"/>
    <w:next w:val="Umbriredeculoaredeschis-Accentuare3"/>
    <w:uiPriority w:val="60"/>
    <w:rsid w:val="006F66E1"/>
    <w:pPr>
      <w:spacing w:after="0" w:line="240" w:lineRule="auto"/>
    </w:pPr>
    <w:rPr>
      <w:rFonts w:ascii="Times New Roman" w:eastAsia="Times New Roman" w:hAnsi="Times New Roman" w:cs="Times New Roman"/>
      <w:color w:val="76923C"/>
      <w:sz w:val="20"/>
      <w:szCs w:val="20"/>
      <w:lang w:val="ro-RO" w:eastAsia="ro-RO"/>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GridTable6Colorful-Accent411">
    <w:name w:val="Grid Table 6 Colorful - Accent 411"/>
    <w:basedOn w:val="TabelNormal"/>
    <w:uiPriority w:val="51"/>
    <w:rsid w:val="006F66E1"/>
    <w:pPr>
      <w:spacing w:after="0" w:line="240" w:lineRule="auto"/>
    </w:pPr>
    <w:rPr>
      <w:color w:val="5F497A"/>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bottom w:val="single" w:sz="12" w:space="0" w:color="B2A1C7"/>
        </w:tcBorders>
      </w:tcPr>
    </w:tblStylePr>
    <w:tblStylePr w:type="lastRow">
      <w:rPr>
        <w:b/>
        <w:bCs/>
      </w:rPr>
      <w:tblPr/>
      <w:tcPr>
        <w:tcBorders>
          <w:top w:val="double" w:sz="4" w:space="0" w:color="B2A1C7"/>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PlainTable21">
    <w:name w:val="Plain Table 21"/>
    <w:basedOn w:val="TabelNormal"/>
    <w:uiPriority w:val="42"/>
    <w:rsid w:val="002646B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ListTable4-Accent212">
    <w:name w:val="List Table 4 - Accent 212"/>
    <w:basedOn w:val="TabelNormal"/>
    <w:uiPriority w:val="49"/>
    <w:rsid w:val="0073171D"/>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tcBorders>
        <w:shd w:val="clear" w:color="auto" w:fill="C0504D"/>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ListTable4-Accent213">
    <w:name w:val="List Table 4 - Accent 213"/>
    <w:basedOn w:val="TabelNormal"/>
    <w:uiPriority w:val="49"/>
    <w:rsid w:val="00337AAA"/>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tcBorders>
        <w:shd w:val="clear" w:color="auto" w:fill="C0504D"/>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4-Accent212">
    <w:name w:val="Grid Table 4 - Accent 212"/>
    <w:basedOn w:val="TabelNormal"/>
    <w:uiPriority w:val="49"/>
    <w:rsid w:val="00FF62BD"/>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1Light-Accent61">
    <w:name w:val="Grid Table 1 Light - Accent 61"/>
    <w:basedOn w:val="TabelNormal"/>
    <w:uiPriority w:val="46"/>
    <w:rsid w:val="003C1975"/>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ListTable4-Accent214">
    <w:name w:val="List Table 4 - Accent 214"/>
    <w:basedOn w:val="TabelNormal"/>
    <w:uiPriority w:val="49"/>
    <w:rsid w:val="00B86AB7"/>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tcBorders>
        <w:shd w:val="clear" w:color="auto" w:fill="C0504D"/>
      </w:tcPr>
    </w:tblStylePr>
    <w:tblStylePr w:type="lastRow">
      <w:rPr>
        <w:b/>
        <w:bCs/>
      </w:rPr>
      <w:tblPr/>
      <w:tcPr>
        <w:tcBorders>
          <w:top w:val="doub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character" w:styleId="MeniuneNerezolvat">
    <w:name w:val="Unresolved Mention"/>
    <w:basedOn w:val="Fontdeparagrafimplicit"/>
    <w:uiPriority w:val="99"/>
    <w:semiHidden/>
    <w:unhideWhenUsed/>
    <w:rsid w:val="00D6687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193004">
      <w:bodyDiv w:val="1"/>
      <w:marLeft w:val="0"/>
      <w:marRight w:val="0"/>
      <w:marTop w:val="0"/>
      <w:marBottom w:val="0"/>
      <w:divBdr>
        <w:top w:val="none" w:sz="0" w:space="0" w:color="auto"/>
        <w:left w:val="none" w:sz="0" w:space="0" w:color="auto"/>
        <w:bottom w:val="none" w:sz="0" w:space="0" w:color="auto"/>
        <w:right w:val="none" w:sz="0" w:space="0" w:color="auto"/>
      </w:divBdr>
    </w:div>
    <w:div w:id="55860764">
      <w:bodyDiv w:val="1"/>
      <w:marLeft w:val="0"/>
      <w:marRight w:val="0"/>
      <w:marTop w:val="0"/>
      <w:marBottom w:val="0"/>
      <w:divBdr>
        <w:top w:val="none" w:sz="0" w:space="0" w:color="auto"/>
        <w:left w:val="none" w:sz="0" w:space="0" w:color="auto"/>
        <w:bottom w:val="none" w:sz="0" w:space="0" w:color="auto"/>
        <w:right w:val="none" w:sz="0" w:space="0" w:color="auto"/>
      </w:divBdr>
    </w:div>
    <w:div w:id="87578978">
      <w:bodyDiv w:val="1"/>
      <w:marLeft w:val="0"/>
      <w:marRight w:val="0"/>
      <w:marTop w:val="0"/>
      <w:marBottom w:val="0"/>
      <w:divBdr>
        <w:top w:val="none" w:sz="0" w:space="0" w:color="auto"/>
        <w:left w:val="none" w:sz="0" w:space="0" w:color="auto"/>
        <w:bottom w:val="none" w:sz="0" w:space="0" w:color="auto"/>
        <w:right w:val="none" w:sz="0" w:space="0" w:color="auto"/>
      </w:divBdr>
    </w:div>
    <w:div w:id="115029479">
      <w:bodyDiv w:val="1"/>
      <w:marLeft w:val="0"/>
      <w:marRight w:val="0"/>
      <w:marTop w:val="0"/>
      <w:marBottom w:val="0"/>
      <w:divBdr>
        <w:top w:val="none" w:sz="0" w:space="0" w:color="auto"/>
        <w:left w:val="none" w:sz="0" w:space="0" w:color="auto"/>
        <w:bottom w:val="none" w:sz="0" w:space="0" w:color="auto"/>
        <w:right w:val="none" w:sz="0" w:space="0" w:color="auto"/>
      </w:divBdr>
    </w:div>
    <w:div w:id="264728176">
      <w:bodyDiv w:val="1"/>
      <w:marLeft w:val="0"/>
      <w:marRight w:val="0"/>
      <w:marTop w:val="0"/>
      <w:marBottom w:val="0"/>
      <w:divBdr>
        <w:top w:val="none" w:sz="0" w:space="0" w:color="auto"/>
        <w:left w:val="none" w:sz="0" w:space="0" w:color="auto"/>
        <w:bottom w:val="none" w:sz="0" w:space="0" w:color="auto"/>
        <w:right w:val="none" w:sz="0" w:space="0" w:color="auto"/>
      </w:divBdr>
    </w:div>
    <w:div w:id="294406482">
      <w:bodyDiv w:val="1"/>
      <w:marLeft w:val="0"/>
      <w:marRight w:val="0"/>
      <w:marTop w:val="0"/>
      <w:marBottom w:val="0"/>
      <w:divBdr>
        <w:top w:val="none" w:sz="0" w:space="0" w:color="auto"/>
        <w:left w:val="none" w:sz="0" w:space="0" w:color="auto"/>
        <w:bottom w:val="none" w:sz="0" w:space="0" w:color="auto"/>
        <w:right w:val="none" w:sz="0" w:space="0" w:color="auto"/>
      </w:divBdr>
    </w:div>
    <w:div w:id="304162033">
      <w:bodyDiv w:val="1"/>
      <w:marLeft w:val="0"/>
      <w:marRight w:val="0"/>
      <w:marTop w:val="0"/>
      <w:marBottom w:val="0"/>
      <w:divBdr>
        <w:top w:val="none" w:sz="0" w:space="0" w:color="auto"/>
        <w:left w:val="none" w:sz="0" w:space="0" w:color="auto"/>
        <w:bottom w:val="none" w:sz="0" w:space="0" w:color="auto"/>
        <w:right w:val="none" w:sz="0" w:space="0" w:color="auto"/>
      </w:divBdr>
    </w:div>
    <w:div w:id="310135848">
      <w:bodyDiv w:val="1"/>
      <w:marLeft w:val="0"/>
      <w:marRight w:val="0"/>
      <w:marTop w:val="0"/>
      <w:marBottom w:val="0"/>
      <w:divBdr>
        <w:top w:val="none" w:sz="0" w:space="0" w:color="auto"/>
        <w:left w:val="none" w:sz="0" w:space="0" w:color="auto"/>
        <w:bottom w:val="none" w:sz="0" w:space="0" w:color="auto"/>
        <w:right w:val="none" w:sz="0" w:space="0" w:color="auto"/>
      </w:divBdr>
      <w:divsChild>
        <w:div w:id="128477065">
          <w:marLeft w:val="0"/>
          <w:marRight w:val="0"/>
          <w:marTop w:val="0"/>
          <w:marBottom w:val="0"/>
          <w:divBdr>
            <w:top w:val="none" w:sz="0" w:space="0" w:color="auto"/>
            <w:left w:val="none" w:sz="0" w:space="0" w:color="auto"/>
            <w:bottom w:val="none" w:sz="0" w:space="0" w:color="auto"/>
            <w:right w:val="none" w:sz="0" w:space="0" w:color="auto"/>
          </w:divBdr>
          <w:divsChild>
            <w:div w:id="1160542487">
              <w:marLeft w:val="0"/>
              <w:marRight w:val="0"/>
              <w:marTop w:val="0"/>
              <w:marBottom w:val="0"/>
              <w:divBdr>
                <w:top w:val="none" w:sz="0" w:space="0" w:color="auto"/>
                <w:left w:val="none" w:sz="0" w:space="0" w:color="auto"/>
                <w:bottom w:val="none" w:sz="0" w:space="0" w:color="auto"/>
                <w:right w:val="none" w:sz="0" w:space="0" w:color="auto"/>
              </w:divBdr>
              <w:divsChild>
                <w:div w:id="256181776">
                  <w:marLeft w:val="0"/>
                  <w:marRight w:val="0"/>
                  <w:marTop w:val="0"/>
                  <w:marBottom w:val="0"/>
                  <w:divBdr>
                    <w:top w:val="none" w:sz="0" w:space="0" w:color="auto"/>
                    <w:left w:val="none" w:sz="0" w:space="0" w:color="auto"/>
                    <w:bottom w:val="none" w:sz="0" w:space="0" w:color="auto"/>
                    <w:right w:val="none" w:sz="0" w:space="0" w:color="auto"/>
                  </w:divBdr>
                </w:div>
                <w:div w:id="1909413485">
                  <w:marLeft w:val="0"/>
                  <w:marRight w:val="0"/>
                  <w:marTop w:val="0"/>
                  <w:marBottom w:val="0"/>
                  <w:divBdr>
                    <w:top w:val="none" w:sz="0" w:space="0" w:color="auto"/>
                    <w:left w:val="none" w:sz="0" w:space="0" w:color="auto"/>
                    <w:bottom w:val="none" w:sz="0" w:space="0" w:color="auto"/>
                    <w:right w:val="none" w:sz="0" w:space="0" w:color="auto"/>
                  </w:divBdr>
                  <w:divsChild>
                    <w:div w:id="714702032">
                      <w:marLeft w:val="0"/>
                      <w:marRight w:val="0"/>
                      <w:marTop w:val="0"/>
                      <w:marBottom w:val="0"/>
                      <w:divBdr>
                        <w:top w:val="none" w:sz="0" w:space="0" w:color="auto"/>
                        <w:left w:val="none" w:sz="0" w:space="0" w:color="auto"/>
                        <w:bottom w:val="none" w:sz="0" w:space="0" w:color="auto"/>
                        <w:right w:val="none" w:sz="0" w:space="0" w:color="auto"/>
                      </w:divBdr>
                    </w:div>
                    <w:div w:id="1983080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255457">
          <w:marLeft w:val="0"/>
          <w:marRight w:val="0"/>
          <w:marTop w:val="0"/>
          <w:marBottom w:val="0"/>
          <w:divBdr>
            <w:top w:val="none" w:sz="0" w:space="0" w:color="auto"/>
            <w:left w:val="none" w:sz="0" w:space="0" w:color="auto"/>
            <w:bottom w:val="none" w:sz="0" w:space="0" w:color="auto"/>
            <w:right w:val="none" w:sz="0" w:space="0" w:color="auto"/>
          </w:divBdr>
          <w:divsChild>
            <w:div w:id="2076588403">
              <w:marLeft w:val="0"/>
              <w:marRight w:val="0"/>
              <w:marTop w:val="0"/>
              <w:marBottom w:val="0"/>
              <w:divBdr>
                <w:top w:val="none" w:sz="0" w:space="0" w:color="auto"/>
                <w:left w:val="none" w:sz="0" w:space="0" w:color="auto"/>
                <w:bottom w:val="none" w:sz="0" w:space="0" w:color="auto"/>
                <w:right w:val="none" w:sz="0" w:space="0" w:color="auto"/>
              </w:divBdr>
              <w:divsChild>
                <w:div w:id="959260748">
                  <w:marLeft w:val="0"/>
                  <w:marRight w:val="0"/>
                  <w:marTop w:val="0"/>
                  <w:marBottom w:val="0"/>
                  <w:divBdr>
                    <w:top w:val="none" w:sz="0" w:space="0" w:color="auto"/>
                    <w:left w:val="none" w:sz="0" w:space="0" w:color="auto"/>
                    <w:bottom w:val="none" w:sz="0" w:space="0" w:color="auto"/>
                    <w:right w:val="none" w:sz="0" w:space="0" w:color="auto"/>
                  </w:divBdr>
                </w:div>
                <w:div w:id="1998266203">
                  <w:marLeft w:val="0"/>
                  <w:marRight w:val="0"/>
                  <w:marTop w:val="0"/>
                  <w:marBottom w:val="0"/>
                  <w:divBdr>
                    <w:top w:val="none" w:sz="0" w:space="0" w:color="auto"/>
                    <w:left w:val="none" w:sz="0" w:space="0" w:color="auto"/>
                    <w:bottom w:val="none" w:sz="0" w:space="0" w:color="auto"/>
                    <w:right w:val="none" w:sz="0" w:space="0" w:color="auto"/>
                  </w:divBdr>
                  <w:divsChild>
                    <w:div w:id="54744386">
                      <w:marLeft w:val="0"/>
                      <w:marRight w:val="0"/>
                      <w:marTop w:val="0"/>
                      <w:marBottom w:val="0"/>
                      <w:divBdr>
                        <w:top w:val="none" w:sz="0" w:space="0" w:color="auto"/>
                        <w:left w:val="none" w:sz="0" w:space="0" w:color="auto"/>
                        <w:bottom w:val="none" w:sz="0" w:space="0" w:color="auto"/>
                        <w:right w:val="none" w:sz="0" w:space="0" w:color="auto"/>
                      </w:divBdr>
                    </w:div>
                    <w:div w:id="74680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1273550">
          <w:marLeft w:val="0"/>
          <w:marRight w:val="0"/>
          <w:marTop w:val="0"/>
          <w:marBottom w:val="0"/>
          <w:divBdr>
            <w:top w:val="none" w:sz="0" w:space="0" w:color="auto"/>
            <w:left w:val="none" w:sz="0" w:space="0" w:color="auto"/>
            <w:bottom w:val="none" w:sz="0" w:space="0" w:color="auto"/>
            <w:right w:val="none" w:sz="0" w:space="0" w:color="auto"/>
          </w:divBdr>
          <w:divsChild>
            <w:div w:id="1025403540">
              <w:marLeft w:val="0"/>
              <w:marRight w:val="0"/>
              <w:marTop w:val="0"/>
              <w:marBottom w:val="0"/>
              <w:divBdr>
                <w:top w:val="none" w:sz="0" w:space="0" w:color="auto"/>
                <w:left w:val="none" w:sz="0" w:space="0" w:color="auto"/>
                <w:bottom w:val="none" w:sz="0" w:space="0" w:color="auto"/>
                <w:right w:val="none" w:sz="0" w:space="0" w:color="auto"/>
              </w:divBdr>
              <w:divsChild>
                <w:div w:id="546988505">
                  <w:marLeft w:val="0"/>
                  <w:marRight w:val="0"/>
                  <w:marTop w:val="0"/>
                  <w:marBottom w:val="0"/>
                  <w:divBdr>
                    <w:top w:val="none" w:sz="0" w:space="0" w:color="auto"/>
                    <w:left w:val="none" w:sz="0" w:space="0" w:color="auto"/>
                    <w:bottom w:val="none" w:sz="0" w:space="0" w:color="auto"/>
                    <w:right w:val="none" w:sz="0" w:space="0" w:color="auto"/>
                  </w:divBdr>
                </w:div>
                <w:div w:id="2069957654">
                  <w:marLeft w:val="0"/>
                  <w:marRight w:val="0"/>
                  <w:marTop w:val="0"/>
                  <w:marBottom w:val="0"/>
                  <w:divBdr>
                    <w:top w:val="none" w:sz="0" w:space="0" w:color="auto"/>
                    <w:left w:val="none" w:sz="0" w:space="0" w:color="auto"/>
                    <w:bottom w:val="none" w:sz="0" w:space="0" w:color="auto"/>
                    <w:right w:val="none" w:sz="0" w:space="0" w:color="auto"/>
                  </w:divBdr>
                  <w:divsChild>
                    <w:div w:id="679161370">
                      <w:marLeft w:val="0"/>
                      <w:marRight w:val="0"/>
                      <w:marTop w:val="0"/>
                      <w:marBottom w:val="0"/>
                      <w:divBdr>
                        <w:top w:val="none" w:sz="0" w:space="0" w:color="auto"/>
                        <w:left w:val="none" w:sz="0" w:space="0" w:color="auto"/>
                        <w:bottom w:val="none" w:sz="0" w:space="0" w:color="auto"/>
                        <w:right w:val="none" w:sz="0" w:space="0" w:color="auto"/>
                      </w:divBdr>
                    </w:div>
                    <w:div w:id="813763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9302963">
          <w:marLeft w:val="0"/>
          <w:marRight w:val="0"/>
          <w:marTop w:val="0"/>
          <w:marBottom w:val="0"/>
          <w:divBdr>
            <w:top w:val="none" w:sz="0" w:space="0" w:color="auto"/>
            <w:left w:val="none" w:sz="0" w:space="0" w:color="auto"/>
            <w:bottom w:val="none" w:sz="0" w:space="0" w:color="auto"/>
            <w:right w:val="none" w:sz="0" w:space="0" w:color="auto"/>
          </w:divBdr>
          <w:divsChild>
            <w:div w:id="354424315">
              <w:marLeft w:val="0"/>
              <w:marRight w:val="0"/>
              <w:marTop w:val="0"/>
              <w:marBottom w:val="0"/>
              <w:divBdr>
                <w:top w:val="none" w:sz="0" w:space="0" w:color="auto"/>
                <w:left w:val="none" w:sz="0" w:space="0" w:color="auto"/>
                <w:bottom w:val="none" w:sz="0" w:space="0" w:color="auto"/>
                <w:right w:val="none" w:sz="0" w:space="0" w:color="auto"/>
              </w:divBdr>
              <w:divsChild>
                <w:div w:id="378407855">
                  <w:marLeft w:val="0"/>
                  <w:marRight w:val="0"/>
                  <w:marTop w:val="0"/>
                  <w:marBottom w:val="0"/>
                  <w:divBdr>
                    <w:top w:val="none" w:sz="0" w:space="0" w:color="auto"/>
                    <w:left w:val="none" w:sz="0" w:space="0" w:color="auto"/>
                    <w:bottom w:val="none" w:sz="0" w:space="0" w:color="auto"/>
                    <w:right w:val="none" w:sz="0" w:space="0" w:color="auto"/>
                  </w:divBdr>
                </w:div>
                <w:div w:id="956989126">
                  <w:marLeft w:val="0"/>
                  <w:marRight w:val="0"/>
                  <w:marTop w:val="0"/>
                  <w:marBottom w:val="0"/>
                  <w:divBdr>
                    <w:top w:val="none" w:sz="0" w:space="0" w:color="auto"/>
                    <w:left w:val="none" w:sz="0" w:space="0" w:color="auto"/>
                    <w:bottom w:val="none" w:sz="0" w:space="0" w:color="auto"/>
                    <w:right w:val="none" w:sz="0" w:space="0" w:color="auto"/>
                  </w:divBdr>
                  <w:divsChild>
                    <w:div w:id="1048339981">
                      <w:marLeft w:val="0"/>
                      <w:marRight w:val="0"/>
                      <w:marTop w:val="0"/>
                      <w:marBottom w:val="0"/>
                      <w:divBdr>
                        <w:top w:val="none" w:sz="0" w:space="0" w:color="auto"/>
                        <w:left w:val="none" w:sz="0" w:space="0" w:color="auto"/>
                        <w:bottom w:val="none" w:sz="0" w:space="0" w:color="auto"/>
                        <w:right w:val="none" w:sz="0" w:space="0" w:color="auto"/>
                      </w:divBdr>
                    </w:div>
                    <w:div w:id="207993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645260">
          <w:marLeft w:val="0"/>
          <w:marRight w:val="0"/>
          <w:marTop w:val="0"/>
          <w:marBottom w:val="0"/>
          <w:divBdr>
            <w:top w:val="none" w:sz="0" w:space="0" w:color="auto"/>
            <w:left w:val="none" w:sz="0" w:space="0" w:color="auto"/>
            <w:bottom w:val="none" w:sz="0" w:space="0" w:color="auto"/>
            <w:right w:val="none" w:sz="0" w:space="0" w:color="auto"/>
          </w:divBdr>
          <w:divsChild>
            <w:div w:id="1786997389">
              <w:marLeft w:val="0"/>
              <w:marRight w:val="0"/>
              <w:marTop w:val="0"/>
              <w:marBottom w:val="0"/>
              <w:divBdr>
                <w:top w:val="none" w:sz="0" w:space="0" w:color="auto"/>
                <w:left w:val="none" w:sz="0" w:space="0" w:color="auto"/>
                <w:bottom w:val="none" w:sz="0" w:space="0" w:color="auto"/>
                <w:right w:val="none" w:sz="0" w:space="0" w:color="auto"/>
              </w:divBdr>
              <w:divsChild>
                <w:div w:id="146023573">
                  <w:marLeft w:val="0"/>
                  <w:marRight w:val="0"/>
                  <w:marTop w:val="0"/>
                  <w:marBottom w:val="0"/>
                  <w:divBdr>
                    <w:top w:val="none" w:sz="0" w:space="0" w:color="auto"/>
                    <w:left w:val="none" w:sz="0" w:space="0" w:color="auto"/>
                    <w:bottom w:val="none" w:sz="0" w:space="0" w:color="auto"/>
                    <w:right w:val="none" w:sz="0" w:space="0" w:color="auto"/>
                  </w:divBdr>
                  <w:divsChild>
                    <w:div w:id="1089616157">
                      <w:marLeft w:val="0"/>
                      <w:marRight w:val="0"/>
                      <w:marTop w:val="0"/>
                      <w:marBottom w:val="0"/>
                      <w:divBdr>
                        <w:top w:val="none" w:sz="0" w:space="0" w:color="auto"/>
                        <w:left w:val="none" w:sz="0" w:space="0" w:color="auto"/>
                        <w:bottom w:val="none" w:sz="0" w:space="0" w:color="auto"/>
                        <w:right w:val="none" w:sz="0" w:space="0" w:color="auto"/>
                      </w:divBdr>
                    </w:div>
                    <w:div w:id="1168864685">
                      <w:marLeft w:val="0"/>
                      <w:marRight w:val="0"/>
                      <w:marTop w:val="0"/>
                      <w:marBottom w:val="0"/>
                      <w:divBdr>
                        <w:top w:val="none" w:sz="0" w:space="0" w:color="auto"/>
                        <w:left w:val="none" w:sz="0" w:space="0" w:color="auto"/>
                        <w:bottom w:val="none" w:sz="0" w:space="0" w:color="auto"/>
                        <w:right w:val="none" w:sz="0" w:space="0" w:color="auto"/>
                      </w:divBdr>
                    </w:div>
                  </w:divsChild>
                </w:div>
                <w:div w:id="2075004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23428">
          <w:marLeft w:val="0"/>
          <w:marRight w:val="0"/>
          <w:marTop w:val="0"/>
          <w:marBottom w:val="0"/>
          <w:divBdr>
            <w:top w:val="none" w:sz="0" w:space="0" w:color="auto"/>
            <w:left w:val="none" w:sz="0" w:space="0" w:color="auto"/>
            <w:bottom w:val="none" w:sz="0" w:space="0" w:color="auto"/>
            <w:right w:val="none" w:sz="0" w:space="0" w:color="auto"/>
          </w:divBdr>
        </w:div>
      </w:divsChild>
    </w:div>
    <w:div w:id="327831050">
      <w:bodyDiv w:val="1"/>
      <w:marLeft w:val="0"/>
      <w:marRight w:val="0"/>
      <w:marTop w:val="0"/>
      <w:marBottom w:val="0"/>
      <w:divBdr>
        <w:top w:val="none" w:sz="0" w:space="0" w:color="auto"/>
        <w:left w:val="none" w:sz="0" w:space="0" w:color="auto"/>
        <w:bottom w:val="none" w:sz="0" w:space="0" w:color="auto"/>
        <w:right w:val="none" w:sz="0" w:space="0" w:color="auto"/>
      </w:divBdr>
    </w:div>
    <w:div w:id="387925889">
      <w:bodyDiv w:val="1"/>
      <w:marLeft w:val="0"/>
      <w:marRight w:val="0"/>
      <w:marTop w:val="0"/>
      <w:marBottom w:val="0"/>
      <w:divBdr>
        <w:top w:val="none" w:sz="0" w:space="0" w:color="auto"/>
        <w:left w:val="none" w:sz="0" w:space="0" w:color="auto"/>
        <w:bottom w:val="none" w:sz="0" w:space="0" w:color="auto"/>
        <w:right w:val="none" w:sz="0" w:space="0" w:color="auto"/>
      </w:divBdr>
    </w:div>
    <w:div w:id="401876197">
      <w:bodyDiv w:val="1"/>
      <w:marLeft w:val="0"/>
      <w:marRight w:val="0"/>
      <w:marTop w:val="0"/>
      <w:marBottom w:val="0"/>
      <w:divBdr>
        <w:top w:val="none" w:sz="0" w:space="0" w:color="auto"/>
        <w:left w:val="none" w:sz="0" w:space="0" w:color="auto"/>
        <w:bottom w:val="none" w:sz="0" w:space="0" w:color="auto"/>
        <w:right w:val="none" w:sz="0" w:space="0" w:color="auto"/>
      </w:divBdr>
    </w:div>
    <w:div w:id="414940305">
      <w:bodyDiv w:val="1"/>
      <w:marLeft w:val="0"/>
      <w:marRight w:val="0"/>
      <w:marTop w:val="0"/>
      <w:marBottom w:val="0"/>
      <w:divBdr>
        <w:top w:val="none" w:sz="0" w:space="0" w:color="auto"/>
        <w:left w:val="none" w:sz="0" w:space="0" w:color="auto"/>
        <w:bottom w:val="none" w:sz="0" w:space="0" w:color="auto"/>
        <w:right w:val="none" w:sz="0" w:space="0" w:color="auto"/>
      </w:divBdr>
    </w:div>
    <w:div w:id="531572828">
      <w:bodyDiv w:val="1"/>
      <w:marLeft w:val="0"/>
      <w:marRight w:val="0"/>
      <w:marTop w:val="0"/>
      <w:marBottom w:val="0"/>
      <w:divBdr>
        <w:top w:val="none" w:sz="0" w:space="0" w:color="auto"/>
        <w:left w:val="none" w:sz="0" w:space="0" w:color="auto"/>
        <w:bottom w:val="none" w:sz="0" w:space="0" w:color="auto"/>
        <w:right w:val="none" w:sz="0" w:space="0" w:color="auto"/>
      </w:divBdr>
    </w:div>
    <w:div w:id="791939804">
      <w:bodyDiv w:val="1"/>
      <w:marLeft w:val="0"/>
      <w:marRight w:val="0"/>
      <w:marTop w:val="0"/>
      <w:marBottom w:val="0"/>
      <w:divBdr>
        <w:top w:val="none" w:sz="0" w:space="0" w:color="auto"/>
        <w:left w:val="none" w:sz="0" w:space="0" w:color="auto"/>
        <w:bottom w:val="none" w:sz="0" w:space="0" w:color="auto"/>
        <w:right w:val="none" w:sz="0" w:space="0" w:color="auto"/>
      </w:divBdr>
    </w:div>
    <w:div w:id="808864890">
      <w:bodyDiv w:val="1"/>
      <w:marLeft w:val="0"/>
      <w:marRight w:val="0"/>
      <w:marTop w:val="0"/>
      <w:marBottom w:val="0"/>
      <w:divBdr>
        <w:top w:val="none" w:sz="0" w:space="0" w:color="auto"/>
        <w:left w:val="none" w:sz="0" w:space="0" w:color="auto"/>
        <w:bottom w:val="none" w:sz="0" w:space="0" w:color="auto"/>
        <w:right w:val="none" w:sz="0" w:space="0" w:color="auto"/>
      </w:divBdr>
    </w:div>
    <w:div w:id="911815067">
      <w:bodyDiv w:val="1"/>
      <w:marLeft w:val="0"/>
      <w:marRight w:val="0"/>
      <w:marTop w:val="0"/>
      <w:marBottom w:val="0"/>
      <w:divBdr>
        <w:top w:val="none" w:sz="0" w:space="0" w:color="auto"/>
        <w:left w:val="none" w:sz="0" w:space="0" w:color="auto"/>
        <w:bottom w:val="none" w:sz="0" w:space="0" w:color="auto"/>
        <w:right w:val="none" w:sz="0" w:space="0" w:color="auto"/>
      </w:divBdr>
    </w:div>
    <w:div w:id="998267731">
      <w:bodyDiv w:val="1"/>
      <w:marLeft w:val="0"/>
      <w:marRight w:val="0"/>
      <w:marTop w:val="0"/>
      <w:marBottom w:val="0"/>
      <w:divBdr>
        <w:top w:val="none" w:sz="0" w:space="0" w:color="auto"/>
        <w:left w:val="none" w:sz="0" w:space="0" w:color="auto"/>
        <w:bottom w:val="none" w:sz="0" w:space="0" w:color="auto"/>
        <w:right w:val="none" w:sz="0" w:space="0" w:color="auto"/>
      </w:divBdr>
      <w:divsChild>
        <w:div w:id="2365095">
          <w:marLeft w:val="0"/>
          <w:marRight w:val="0"/>
          <w:marTop w:val="0"/>
          <w:marBottom w:val="0"/>
          <w:divBdr>
            <w:top w:val="none" w:sz="0" w:space="0" w:color="auto"/>
            <w:left w:val="none" w:sz="0" w:space="0" w:color="auto"/>
            <w:bottom w:val="none" w:sz="0" w:space="0" w:color="auto"/>
            <w:right w:val="none" w:sz="0" w:space="0" w:color="auto"/>
          </w:divBdr>
        </w:div>
        <w:div w:id="400640670">
          <w:marLeft w:val="0"/>
          <w:marRight w:val="0"/>
          <w:marTop w:val="0"/>
          <w:marBottom w:val="0"/>
          <w:divBdr>
            <w:top w:val="none" w:sz="0" w:space="0" w:color="auto"/>
            <w:left w:val="none" w:sz="0" w:space="0" w:color="auto"/>
            <w:bottom w:val="none" w:sz="0" w:space="0" w:color="auto"/>
            <w:right w:val="none" w:sz="0" w:space="0" w:color="auto"/>
          </w:divBdr>
        </w:div>
      </w:divsChild>
    </w:div>
    <w:div w:id="1003893212">
      <w:bodyDiv w:val="1"/>
      <w:marLeft w:val="0"/>
      <w:marRight w:val="0"/>
      <w:marTop w:val="0"/>
      <w:marBottom w:val="0"/>
      <w:divBdr>
        <w:top w:val="none" w:sz="0" w:space="0" w:color="auto"/>
        <w:left w:val="none" w:sz="0" w:space="0" w:color="auto"/>
        <w:bottom w:val="none" w:sz="0" w:space="0" w:color="auto"/>
        <w:right w:val="none" w:sz="0" w:space="0" w:color="auto"/>
      </w:divBdr>
    </w:div>
    <w:div w:id="1067189378">
      <w:bodyDiv w:val="1"/>
      <w:marLeft w:val="0"/>
      <w:marRight w:val="0"/>
      <w:marTop w:val="0"/>
      <w:marBottom w:val="0"/>
      <w:divBdr>
        <w:top w:val="none" w:sz="0" w:space="0" w:color="auto"/>
        <w:left w:val="none" w:sz="0" w:space="0" w:color="auto"/>
        <w:bottom w:val="none" w:sz="0" w:space="0" w:color="auto"/>
        <w:right w:val="none" w:sz="0" w:space="0" w:color="auto"/>
      </w:divBdr>
    </w:div>
    <w:div w:id="1174299128">
      <w:bodyDiv w:val="1"/>
      <w:marLeft w:val="0"/>
      <w:marRight w:val="0"/>
      <w:marTop w:val="0"/>
      <w:marBottom w:val="0"/>
      <w:divBdr>
        <w:top w:val="none" w:sz="0" w:space="0" w:color="auto"/>
        <w:left w:val="none" w:sz="0" w:space="0" w:color="auto"/>
        <w:bottom w:val="none" w:sz="0" w:space="0" w:color="auto"/>
        <w:right w:val="none" w:sz="0" w:space="0" w:color="auto"/>
      </w:divBdr>
    </w:div>
    <w:div w:id="1200900207">
      <w:bodyDiv w:val="1"/>
      <w:marLeft w:val="0"/>
      <w:marRight w:val="0"/>
      <w:marTop w:val="0"/>
      <w:marBottom w:val="0"/>
      <w:divBdr>
        <w:top w:val="none" w:sz="0" w:space="0" w:color="auto"/>
        <w:left w:val="none" w:sz="0" w:space="0" w:color="auto"/>
        <w:bottom w:val="none" w:sz="0" w:space="0" w:color="auto"/>
        <w:right w:val="none" w:sz="0" w:space="0" w:color="auto"/>
      </w:divBdr>
    </w:div>
    <w:div w:id="1284848574">
      <w:bodyDiv w:val="1"/>
      <w:marLeft w:val="0"/>
      <w:marRight w:val="0"/>
      <w:marTop w:val="0"/>
      <w:marBottom w:val="0"/>
      <w:divBdr>
        <w:top w:val="none" w:sz="0" w:space="0" w:color="auto"/>
        <w:left w:val="none" w:sz="0" w:space="0" w:color="auto"/>
        <w:bottom w:val="none" w:sz="0" w:space="0" w:color="auto"/>
        <w:right w:val="none" w:sz="0" w:space="0" w:color="auto"/>
      </w:divBdr>
      <w:divsChild>
        <w:div w:id="373894984">
          <w:marLeft w:val="0"/>
          <w:marRight w:val="0"/>
          <w:marTop w:val="0"/>
          <w:marBottom w:val="0"/>
          <w:divBdr>
            <w:top w:val="none" w:sz="0" w:space="0" w:color="auto"/>
            <w:left w:val="none" w:sz="0" w:space="0" w:color="auto"/>
            <w:bottom w:val="none" w:sz="0" w:space="0" w:color="auto"/>
            <w:right w:val="none" w:sz="0" w:space="0" w:color="auto"/>
          </w:divBdr>
          <w:divsChild>
            <w:div w:id="463081737">
              <w:marLeft w:val="0"/>
              <w:marRight w:val="0"/>
              <w:marTop w:val="0"/>
              <w:marBottom w:val="0"/>
              <w:divBdr>
                <w:top w:val="none" w:sz="0" w:space="0" w:color="auto"/>
                <w:left w:val="none" w:sz="0" w:space="0" w:color="auto"/>
                <w:bottom w:val="none" w:sz="0" w:space="0" w:color="auto"/>
                <w:right w:val="none" w:sz="0" w:space="0" w:color="auto"/>
              </w:divBdr>
              <w:divsChild>
                <w:div w:id="485634175">
                  <w:marLeft w:val="0"/>
                  <w:marRight w:val="0"/>
                  <w:marTop w:val="0"/>
                  <w:marBottom w:val="0"/>
                  <w:divBdr>
                    <w:top w:val="none" w:sz="0" w:space="0" w:color="auto"/>
                    <w:left w:val="none" w:sz="0" w:space="0" w:color="auto"/>
                    <w:bottom w:val="none" w:sz="0" w:space="0" w:color="auto"/>
                    <w:right w:val="none" w:sz="0" w:space="0" w:color="auto"/>
                  </w:divBdr>
                  <w:divsChild>
                    <w:div w:id="1231380120">
                      <w:marLeft w:val="0"/>
                      <w:marRight w:val="0"/>
                      <w:marTop w:val="0"/>
                      <w:marBottom w:val="0"/>
                      <w:divBdr>
                        <w:top w:val="none" w:sz="0" w:space="0" w:color="auto"/>
                        <w:left w:val="none" w:sz="0" w:space="0" w:color="auto"/>
                        <w:bottom w:val="none" w:sz="0" w:space="0" w:color="auto"/>
                        <w:right w:val="none" w:sz="0" w:space="0" w:color="auto"/>
                      </w:divBdr>
                    </w:div>
                    <w:div w:id="2018531962">
                      <w:marLeft w:val="0"/>
                      <w:marRight w:val="0"/>
                      <w:marTop w:val="0"/>
                      <w:marBottom w:val="0"/>
                      <w:divBdr>
                        <w:top w:val="none" w:sz="0" w:space="0" w:color="auto"/>
                        <w:left w:val="none" w:sz="0" w:space="0" w:color="auto"/>
                        <w:bottom w:val="none" w:sz="0" w:space="0" w:color="auto"/>
                        <w:right w:val="none" w:sz="0" w:space="0" w:color="auto"/>
                      </w:divBdr>
                    </w:div>
                  </w:divsChild>
                </w:div>
                <w:div w:id="155006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090705">
          <w:marLeft w:val="0"/>
          <w:marRight w:val="0"/>
          <w:marTop w:val="0"/>
          <w:marBottom w:val="0"/>
          <w:divBdr>
            <w:top w:val="none" w:sz="0" w:space="0" w:color="auto"/>
            <w:left w:val="none" w:sz="0" w:space="0" w:color="auto"/>
            <w:bottom w:val="none" w:sz="0" w:space="0" w:color="auto"/>
            <w:right w:val="none" w:sz="0" w:space="0" w:color="auto"/>
          </w:divBdr>
          <w:divsChild>
            <w:div w:id="1170296071">
              <w:marLeft w:val="0"/>
              <w:marRight w:val="0"/>
              <w:marTop w:val="0"/>
              <w:marBottom w:val="0"/>
              <w:divBdr>
                <w:top w:val="none" w:sz="0" w:space="0" w:color="auto"/>
                <w:left w:val="none" w:sz="0" w:space="0" w:color="auto"/>
                <w:bottom w:val="none" w:sz="0" w:space="0" w:color="auto"/>
                <w:right w:val="none" w:sz="0" w:space="0" w:color="auto"/>
              </w:divBdr>
              <w:divsChild>
                <w:div w:id="1504588738">
                  <w:marLeft w:val="0"/>
                  <w:marRight w:val="0"/>
                  <w:marTop w:val="0"/>
                  <w:marBottom w:val="0"/>
                  <w:divBdr>
                    <w:top w:val="none" w:sz="0" w:space="0" w:color="auto"/>
                    <w:left w:val="none" w:sz="0" w:space="0" w:color="auto"/>
                    <w:bottom w:val="none" w:sz="0" w:space="0" w:color="auto"/>
                    <w:right w:val="none" w:sz="0" w:space="0" w:color="auto"/>
                  </w:divBdr>
                </w:div>
                <w:div w:id="2046322533">
                  <w:marLeft w:val="0"/>
                  <w:marRight w:val="0"/>
                  <w:marTop w:val="0"/>
                  <w:marBottom w:val="0"/>
                  <w:divBdr>
                    <w:top w:val="none" w:sz="0" w:space="0" w:color="auto"/>
                    <w:left w:val="none" w:sz="0" w:space="0" w:color="auto"/>
                    <w:bottom w:val="none" w:sz="0" w:space="0" w:color="auto"/>
                    <w:right w:val="none" w:sz="0" w:space="0" w:color="auto"/>
                  </w:divBdr>
                  <w:divsChild>
                    <w:div w:id="473913114">
                      <w:marLeft w:val="0"/>
                      <w:marRight w:val="0"/>
                      <w:marTop w:val="0"/>
                      <w:marBottom w:val="0"/>
                      <w:divBdr>
                        <w:top w:val="none" w:sz="0" w:space="0" w:color="auto"/>
                        <w:left w:val="none" w:sz="0" w:space="0" w:color="auto"/>
                        <w:bottom w:val="none" w:sz="0" w:space="0" w:color="auto"/>
                        <w:right w:val="none" w:sz="0" w:space="0" w:color="auto"/>
                      </w:divBdr>
                    </w:div>
                    <w:div w:id="1906406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998694">
          <w:marLeft w:val="0"/>
          <w:marRight w:val="0"/>
          <w:marTop w:val="0"/>
          <w:marBottom w:val="0"/>
          <w:divBdr>
            <w:top w:val="none" w:sz="0" w:space="0" w:color="auto"/>
            <w:left w:val="none" w:sz="0" w:space="0" w:color="auto"/>
            <w:bottom w:val="none" w:sz="0" w:space="0" w:color="auto"/>
            <w:right w:val="none" w:sz="0" w:space="0" w:color="auto"/>
          </w:divBdr>
        </w:div>
        <w:div w:id="698701502">
          <w:marLeft w:val="0"/>
          <w:marRight w:val="0"/>
          <w:marTop w:val="0"/>
          <w:marBottom w:val="0"/>
          <w:divBdr>
            <w:top w:val="none" w:sz="0" w:space="0" w:color="auto"/>
            <w:left w:val="none" w:sz="0" w:space="0" w:color="auto"/>
            <w:bottom w:val="none" w:sz="0" w:space="0" w:color="auto"/>
            <w:right w:val="none" w:sz="0" w:space="0" w:color="auto"/>
          </w:divBdr>
          <w:divsChild>
            <w:div w:id="536285213">
              <w:marLeft w:val="0"/>
              <w:marRight w:val="0"/>
              <w:marTop w:val="0"/>
              <w:marBottom w:val="0"/>
              <w:divBdr>
                <w:top w:val="none" w:sz="0" w:space="0" w:color="auto"/>
                <w:left w:val="none" w:sz="0" w:space="0" w:color="auto"/>
                <w:bottom w:val="none" w:sz="0" w:space="0" w:color="auto"/>
                <w:right w:val="none" w:sz="0" w:space="0" w:color="auto"/>
              </w:divBdr>
              <w:divsChild>
                <w:div w:id="1748721394">
                  <w:marLeft w:val="0"/>
                  <w:marRight w:val="0"/>
                  <w:marTop w:val="0"/>
                  <w:marBottom w:val="0"/>
                  <w:divBdr>
                    <w:top w:val="none" w:sz="0" w:space="0" w:color="auto"/>
                    <w:left w:val="none" w:sz="0" w:space="0" w:color="auto"/>
                    <w:bottom w:val="none" w:sz="0" w:space="0" w:color="auto"/>
                    <w:right w:val="none" w:sz="0" w:space="0" w:color="auto"/>
                  </w:divBdr>
                  <w:divsChild>
                    <w:div w:id="1561012460">
                      <w:marLeft w:val="0"/>
                      <w:marRight w:val="0"/>
                      <w:marTop w:val="0"/>
                      <w:marBottom w:val="0"/>
                      <w:divBdr>
                        <w:top w:val="none" w:sz="0" w:space="0" w:color="auto"/>
                        <w:left w:val="none" w:sz="0" w:space="0" w:color="auto"/>
                        <w:bottom w:val="none" w:sz="0" w:space="0" w:color="auto"/>
                        <w:right w:val="none" w:sz="0" w:space="0" w:color="auto"/>
                      </w:divBdr>
                    </w:div>
                    <w:div w:id="2069641497">
                      <w:marLeft w:val="0"/>
                      <w:marRight w:val="0"/>
                      <w:marTop w:val="0"/>
                      <w:marBottom w:val="0"/>
                      <w:divBdr>
                        <w:top w:val="none" w:sz="0" w:space="0" w:color="auto"/>
                        <w:left w:val="none" w:sz="0" w:space="0" w:color="auto"/>
                        <w:bottom w:val="none" w:sz="0" w:space="0" w:color="auto"/>
                        <w:right w:val="none" w:sz="0" w:space="0" w:color="auto"/>
                      </w:divBdr>
                    </w:div>
                  </w:divsChild>
                </w:div>
                <w:div w:id="175835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725744">
          <w:marLeft w:val="0"/>
          <w:marRight w:val="0"/>
          <w:marTop w:val="0"/>
          <w:marBottom w:val="0"/>
          <w:divBdr>
            <w:top w:val="none" w:sz="0" w:space="0" w:color="auto"/>
            <w:left w:val="none" w:sz="0" w:space="0" w:color="auto"/>
            <w:bottom w:val="none" w:sz="0" w:space="0" w:color="auto"/>
            <w:right w:val="none" w:sz="0" w:space="0" w:color="auto"/>
          </w:divBdr>
          <w:divsChild>
            <w:div w:id="1697195455">
              <w:marLeft w:val="0"/>
              <w:marRight w:val="0"/>
              <w:marTop w:val="0"/>
              <w:marBottom w:val="0"/>
              <w:divBdr>
                <w:top w:val="none" w:sz="0" w:space="0" w:color="auto"/>
                <w:left w:val="none" w:sz="0" w:space="0" w:color="auto"/>
                <w:bottom w:val="none" w:sz="0" w:space="0" w:color="auto"/>
                <w:right w:val="none" w:sz="0" w:space="0" w:color="auto"/>
              </w:divBdr>
              <w:divsChild>
                <w:div w:id="1410537796">
                  <w:marLeft w:val="0"/>
                  <w:marRight w:val="0"/>
                  <w:marTop w:val="0"/>
                  <w:marBottom w:val="0"/>
                  <w:divBdr>
                    <w:top w:val="none" w:sz="0" w:space="0" w:color="auto"/>
                    <w:left w:val="none" w:sz="0" w:space="0" w:color="auto"/>
                    <w:bottom w:val="none" w:sz="0" w:space="0" w:color="auto"/>
                    <w:right w:val="none" w:sz="0" w:space="0" w:color="auto"/>
                  </w:divBdr>
                  <w:divsChild>
                    <w:div w:id="785973736">
                      <w:marLeft w:val="0"/>
                      <w:marRight w:val="0"/>
                      <w:marTop w:val="0"/>
                      <w:marBottom w:val="0"/>
                      <w:divBdr>
                        <w:top w:val="none" w:sz="0" w:space="0" w:color="auto"/>
                        <w:left w:val="none" w:sz="0" w:space="0" w:color="auto"/>
                        <w:bottom w:val="none" w:sz="0" w:space="0" w:color="auto"/>
                        <w:right w:val="none" w:sz="0" w:space="0" w:color="auto"/>
                      </w:divBdr>
                    </w:div>
                    <w:div w:id="1161315855">
                      <w:marLeft w:val="0"/>
                      <w:marRight w:val="0"/>
                      <w:marTop w:val="0"/>
                      <w:marBottom w:val="0"/>
                      <w:divBdr>
                        <w:top w:val="none" w:sz="0" w:space="0" w:color="auto"/>
                        <w:left w:val="none" w:sz="0" w:space="0" w:color="auto"/>
                        <w:bottom w:val="none" w:sz="0" w:space="0" w:color="auto"/>
                        <w:right w:val="none" w:sz="0" w:space="0" w:color="auto"/>
                      </w:divBdr>
                    </w:div>
                  </w:divsChild>
                </w:div>
                <w:div w:id="205273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128691">
          <w:marLeft w:val="0"/>
          <w:marRight w:val="0"/>
          <w:marTop w:val="0"/>
          <w:marBottom w:val="0"/>
          <w:divBdr>
            <w:top w:val="none" w:sz="0" w:space="0" w:color="auto"/>
            <w:left w:val="none" w:sz="0" w:space="0" w:color="auto"/>
            <w:bottom w:val="none" w:sz="0" w:space="0" w:color="auto"/>
            <w:right w:val="none" w:sz="0" w:space="0" w:color="auto"/>
          </w:divBdr>
          <w:divsChild>
            <w:div w:id="550993170">
              <w:marLeft w:val="0"/>
              <w:marRight w:val="0"/>
              <w:marTop w:val="0"/>
              <w:marBottom w:val="0"/>
              <w:divBdr>
                <w:top w:val="none" w:sz="0" w:space="0" w:color="auto"/>
                <w:left w:val="none" w:sz="0" w:space="0" w:color="auto"/>
                <w:bottom w:val="none" w:sz="0" w:space="0" w:color="auto"/>
                <w:right w:val="none" w:sz="0" w:space="0" w:color="auto"/>
              </w:divBdr>
              <w:divsChild>
                <w:div w:id="1302689614">
                  <w:marLeft w:val="0"/>
                  <w:marRight w:val="0"/>
                  <w:marTop w:val="0"/>
                  <w:marBottom w:val="0"/>
                  <w:divBdr>
                    <w:top w:val="none" w:sz="0" w:space="0" w:color="auto"/>
                    <w:left w:val="none" w:sz="0" w:space="0" w:color="auto"/>
                    <w:bottom w:val="none" w:sz="0" w:space="0" w:color="auto"/>
                    <w:right w:val="none" w:sz="0" w:space="0" w:color="auto"/>
                  </w:divBdr>
                </w:div>
                <w:div w:id="1556430887">
                  <w:marLeft w:val="0"/>
                  <w:marRight w:val="0"/>
                  <w:marTop w:val="0"/>
                  <w:marBottom w:val="0"/>
                  <w:divBdr>
                    <w:top w:val="none" w:sz="0" w:space="0" w:color="auto"/>
                    <w:left w:val="none" w:sz="0" w:space="0" w:color="auto"/>
                    <w:bottom w:val="none" w:sz="0" w:space="0" w:color="auto"/>
                    <w:right w:val="none" w:sz="0" w:space="0" w:color="auto"/>
                  </w:divBdr>
                  <w:divsChild>
                    <w:div w:id="1033849630">
                      <w:marLeft w:val="0"/>
                      <w:marRight w:val="0"/>
                      <w:marTop w:val="0"/>
                      <w:marBottom w:val="0"/>
                      <w:divBdr>
                        <w:top w:val="none" w:sz="0" w:space="0" w:color="auto"/>
                        <w:left w:val="none" w:sz="0" w:space="0" w:color="auto"/>
                        <w:bottom w:val="none" w:sz="0" w:space="0" w:color="auto"/>
                        <w:right w:val="none" w:sz="0" w:space="0" w:color="auto"/>
                      </w:divBdr>
                    </w:div>
                    <w:div w:id="125786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9799280">
      <w:bodyDiv w:val="1"/>
      <w:marLeft w:val="0"/>
      <w:marRight w:val="0"/>
      <w:marTop w:val="0"/>
      <w:marBottom w:val="0"/>
      <w:divBdr>
        <w:top w:val="none" w:sz="0" w:space="0" w:color="auto"/>
        <w:left w:val="none" w:sz="0" w:space="0" w:color="auto"/>
        <w:bottom w:val="none" w:sz="0" w:space="0" w:color="auto"/>
        <w:right w:val="none" w:sz="0" w:space="0" w:color="auto"/>
      </w:divBdr>
      <w:divsChild>
        <w:div w:id="971784198">
          <w:marLeft w:val="0"/>
          <w:marRight w:val="0"/>
          <w:marTop w:val="0"/>
          <w:marBottom w:val="0"/>
          <w:divBdr>
            <w:top w:val="none" w:sz="0" w:space="0" w:color="auto"/>
            <w:left w:val="none" w:sz="0" w:space="0" w:color="auto"/>
            <w:bottom w:val="none" w:sz="0" w:space="0" w:color="auto"/>
            <w:right w:val="none" w:sz="0" w:space="0" w:color="auto"/>
          </w:divBdr>
        </w:div>
        <w:div w:id="1292322752">
          <w:marLeft w:val="0"/>
          <w:marRight w:val="0"/>
          <w:marTop w:val="0"/>
          <w:marBottom w:val="0"/>
          <w:divBdr>
            <w:top w:val="none" w:sz="0" w:space="0" w:color="auto"/>
            <w:left w:val="none" w:sz="0" w:space="0" w:color="auto"/>
            <w:bottom w:val="none" w:sz="0" w:space="0" w:color="auto"/>
            <w:right w:val="none" w:sz="0" w:space="0" w:color="auto"/>
          </w:divBdr>
        </w:div>
      </w:divsChild>
    </w:div>
    <w:div w:id="1302540521">
      <w:bodyDiv w:val="1"/>
      <w:marLeft w:val="0"/>
      <w:marRight w:val="0"/>
      <w:marTop w:val="0"/>
      <w:marBottom w:val="0"/>
      <w:divBdr>
        <w:top w:val="none" w:sz="0" w:space="0" w:color="auto"/>
        <w:left w:val="none" w:sz="0" w:space="0" w:color="auto"/>
        <w:bottom w:val="none" w:sz="0" w:space="0" w:color="auto"/>
        <w:right w:val="none" w:sz="0" w:space="0" w:color="auto"/>
      </w:divBdr>
    </w:div>
    <w:div w:id="1416242796">
      <w:bodyDiv w:val="1"/>
      <w:marLeft w:val="0"/>
      <w:marRight w:val="0"/>
      <w:marTop w:val="0"/>
      <w:marBottom w:val="0"/>
      <w:divBdr>
        <w:top w:val="none" w:sz="0" w:space="0" w:color="auto"/>
        <w:left w:val="none" w:sz="0" w:space="0" w:color="auto"/>
        <w:bottom w:val="none" w:sz="0" w:space="0" w:color="auto"/>
        <w:right w:val="none" w:sz="0" w:space="0" w:color="auto"/>
      </w:divBdr>
    </w:div>
    <w:div w:id="1670520799">
      <w:bodyDiv w:val="1"/>
      <w:marLeft w:val="0"/>
      <w:marRight w:val="0"/>
      <w:marTop w:val="0"/>
      <w:marBottom w:val="0"/>
      <w:divBdr>
        <w:top w:val="none" w:sz="0" w:space="0" w:color="auto"/>
        <w:left w:val="none" w:sz="0" w:space="0" w:color="auto"/>
        <w:bottom w:val="none" w:sz="0" w:space="0" w:color="auto"/>
        <w:right w:val="none" w:sz="0" w:space="0" w:color="auto"/>
      </w:divBdr>
    </w:div>
    <w:div w:id="1823035257">
      <w:bodyDiv w:val="1"/>
      <w:marLeft w:val="0"/>
      <w:marRight w:val="0"/>
      <w:marTop w:val="0"/>
      <w:marBottom w:val="0"/>
      <w:divBdr>
        <w:top w:val="none" w:sz="0" w:space="0" w:color="auto"/>
        <w:left w:val="none" w:sz="0" w:space="0" w:color="auto"/>
        <w:bottom w:val="none" w:sz="0" w:space="0" w:color="auto"/>
        <w:right w:val="none" w:sz="0" w:space="0" w:color="auto"/>
      </w:divBdr>
    </w:div>
    <w:div w:id="1870024615">
      <w:bodyDiv w:val="1"/>
      <w:marLeft w:val="0"/>
      <w:marRight w:val="0"/>
      <w:marTop w:val="0"/>
      <w:marBottom w:val="0"/>
      <w:divBdr>
        <w:top w:val="none" w:sz="0" w:space="0" w:color="auto"/>
        <w:left w:val="none" w:sz="0" w:space="0" w:color="auto"/>
        <w:bottom w:val="none" w:sz="0" w:space="0" w:color="auto"/>
        <w:right w:val="none" w:sz="0" w:space="0" w:color="auto"/>
      </w:divBdr>
      <w:divsChild>
        <w:div w:id="1175265916">
          <w:marLeft w:val="0"/>
          <w:marRight w:val="0"/>
          <w:marTop w:val="0"/>
          <w:marBottom w:val="0"/>
          <w:divBdr>
            <w:top w:val="none" w:sz="0" w:space="0" w:color="auto"/>
            <w:left w:val="none" w:sz="0" w:space="0" w:color="auto"/>
            <w:bottom w:val="none" w:sz="0" w:space="0" w:color="auto"/>
            <w:right w:val="none" w:sz="0" w:space="0" w:color="auto"/>
          </w:divBdr>
        </w:div>
        <w:div w:id="1882280347">
          <w:marLeft w:val="0"/>
          <w:marRight w:val="0"/>
          <w:marTop w:val="0"/>
          <w:marBottom w:val="0"/>
          <w:divBdr>
            <w:top w:val="none" w:sz="0" w:space="0" w:color="auto"/>
            <w:left w:val="none" w:sz="0" w:space="0" w:color="auto"/>
            <w:bottom w:val="none" w:sz="0" w:space="0" w:color="auto"/>
            <w:right w:val="none" w:sz="0" w:space="0" w:color="auto"/>
          </w:divBdr>
        </w:div>
      </w:divsChild>
    </w:div>
    <w:div w:id="1885360802">
      <w:bodyDiv w:val="1"/>
      <w:marLeft w:val="0"/>
      <w:marRight w:val="0"/>
      <w:marTop w:val="0"/>
      <w:marBottom w:val="0"/>
      <w:divBdr>
        <w:top w:val="none" w:sz="0" w:space="0" w:color="auto"/>
        <w:left w:val="none" w:sz="0" w:space="0" w:color="auto"/>
        <w:bottom w:val="none" w:sz="0" w:space="0" w:color="auto"/>
        <w:right w:val="none" w:sz="0" w:space="0" w:color="auto"/>
      </w:divBdr>
    </w:div>
    <w:div w:id="1940717837">
      <w:bodyDiv w:val="1"/>
      <w:marLeft w:val="0"/>
      <w:marRight w:val="0"/>
      <w:marTop w:val="0"/>
      <w:marBottom w:val="0"/>
      <w:divBdr>
        <w:top w:val="none" w:sz="0" w:space="0" w:color="auto"/>
        <w:left w:val="none" w:sz="0" w:space="0" w:color="auto"/>
        <w:bottom w:val="none" w:sz="0" w:space="0" w:color="auto"/>
        <w:right w:val="none" w:sz="0" w:space="0" w:color="auto"/>
      </w:divBdr>
    </w:div>
    <w:div w:id="2079934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19.xml"/><Relationship Id="rId21" Type="http://schemas.openxmlformats.org/officeDocument/2006/relationships/hyperlink" Target="file:///E:\INCERTRANS\Horezu\PMUD%20Horezu_05.2022_final\PMUD%20Horezu_05.2022_final\Modificat_avizare\Varianta_2_2023\COMPONENTA%20I_08.2023.docx" TargetMode="External"/><Relationship Id="rId42" Type="http://schemas.openxmlformats.org/officeDocument/2006/relationships/image" Target="media/image21.png"/><Relationship Id="rId63" Type="http://schemas.openxmlformats.org/officeDocument/2006/relationships/image" Target="media/image32.png"/><Relationship Id="rId84" Type="http://schemas.openxmlformats.org/officeDocument/2006/relationships/image" Target="media/image50.png"/><Relationship Id="rId138" Type="http://schemas.openxmlformats.org/officeDocument/2006/relationships/image" Target="media/image82.jpeg"/><Relationship Id="rId159" Type="http://schemas.openxmlformats.org/officeDocument/2006/relationships/image" Target="media/image103.svg"/><Relationship Id="rId170" Type="http://schemas.openxmlformats.org/officeDocument/2006/relationships/image" Target="media/image114.jpeg"/><Relationship Id="rId191" Type="http://schemas.openxmlformats.org/officeDocument/2006/relationships/image" Target="media/image133.wmf"/><Relationship Id="rId205" Type="http://schemas.openxmlformats.org/officeDocument/2006/relationships/image" Target="media/image139.png"/><Relationship Id="rId226" Type="http://schemas.openxmlformats.org/officeDocument/2006/relationships/chart" Target="charts/chart34.xml"/><Relationship Id="rId247" Type="http://schemas.openxmlformats.org/officeDocument/2006/relationships/image" Target="media/image159.jpeg"/><Relationship Id="rId107" Type="http://schemas.openxmlformats.org/officeDocument/2006/relationships/chart" Target="charts/chart9.xml"/><Relationship Id="rId11" Type="http://schemas.openxmlformats.org/officeDocument/2006/relationships/image" Target="media/image4.png"/><Relationship Id="rId32" Type="http://schemas.openxmlformats.org/officeDocument/2006/relationships/image" Target="media/image13.png"/><Relationship Id="rId53" Type="http://schemas.openxmlformats.org/officeDocument/2006/relationships/hyperlink" Target="http://statistici.insse.ro/" TargetMode="External"/><Relationship Id="rId74" Type="http://schemas.openxmlformats.org/officeDocument/2006/relationships/image" Target="media/image43.jpeg"/><Relationship Id="rId128" Type="http://schemas.openxmlformats.org/officeDocument/2006/relationships/chart" Target="charts/chart22.xml"/><Relationship Id="rId149" Type="http://schemas.openxmlformats.org/officeDocument/2006/relationships/image" Target="media/image93.svg"/><Relationship Id="rId5" Type="http://schemas.openxmlformats.org/officeDocument/2006/relationships/webSettings" Target="webSettings.xml"/><Relationship Id="rId95" Type="http://schemas.openxmlformats.org/officeDocument/2006/relationships/image" Target="media/image61.jpeg"/><Relationship Id="rId160" Type="http://schemas.openxmlformats.org/officeDocument/2006/relationships/image" Target="media/image104.png"/><Relationship Id="rId181" Type="http://schemas.openxmlformats.org/officeDocument/2006/relationships/image" Target="media/image123.png"/><Relationship Id="rId216" Type="http://schemas.openxmlformats.org/officeDocument/2006/relationships/image" Target="media/image150.jpeg"/><Relationship Id="rId237" Type="http://schemas.openxmlformats.org/officeDocument/2006/relationships/chart" Target="charts/chart42.xml"/><Relationship Id="rId22" Type="http://schemas.openxmlformats.org/officeDocument/2006/relationships/image" Target="media/image6.png"/><Relationship Id="rId43" Type="http://schemas.openxmlformats.org/officeDocument/2006/relationships/chart" Target="charts/chart1.xml"/><Relationship Id="rId64" Type="http://schemas.openxmlformats.org/officeDocument/2006/relationships/image" Target="media/image33.png"/><Relationship Id="rId118" Type="http://schemas.openxmlformats.org/officeDocument/2006/relationships/chart" Target="charts/chart20.xml"/><Relationship Id="rId139" Type="http://schemas.openxmlformats.org/officeDocument/2006/relationships/image" Target="media/image83.jpeg"/><Relationship Id="rId85" Type="http://schemas.openxmlformats.org/officeDocument/2006/relationships/image" Target="media/image51.png"/><Relationship Id="rId150" Type="http://schemas.openxmlformats.org/officeDocument/2006/relationships/image" Target="media/image94.png"/><Relationship Id="rId171" Type="http://schemas.openxmlformats.org/officeDocument/2006/relationships/header" Target="header1.xml"/><Relationship Id="rId192" Type="http://schemas.openxmlformats.org/officeDocument/2006/relationships/oleObject" Target="embeddings/oleObject15.bin"/><Relationship Id="rId206" Type="http://schemas.openxmlformats.org/officeDocument/2006/relationships/image" Target="media/image140.png"/><Relationship Id="rId227" Type="http://schemas.openxmlformats.org/officeDocument/2006/relationships/chart" Target="charts/chart35.xml"/><Relationship Id="rId248" Type="http://schemas.openxmlformats.org/officeDocument/2006/relationships/image" Target="media/image160.jpeg"/><Relationship Id="rId12" Type="http://schemas.openxmlformats.org/officeDocument/2006/relationships/image" Target="media/image5.jpeg"/><Relationship Id="rId33" Type="http://schemas.openxmlformats.org/officeDocument/2006/relationships/image" Target="media/image14.jpeg"/><Relationship Id="rId108" Type="http://schemas.openxmlformats.org/officeDocument/2006/relationships/chart" Target="charts/chart10.xml"/><Relationship Id="rId129" Type="http://schemas.openxmlformats.org/officeDocument/2006/relationships/chart" Target="charts/chart23.xml"/><Relationship Id="rId54" Type="http://schemas.openxmlformats.org/officeDocument/2006/relationships/hyperlink" Target="http://statistici.insse.ro/" TargetMode="External"/><Relationship Id="rId75" Type="http://schemas.openxmlformats.org/officeDocument/2006/relationships/image" Target="media/image44.png"/><Relationship Id="rId96" Type="http://schemas.openxmlformats.org/officeDocument/2006/relationships/image" Target="media/image62.jpeg"/><Relationship Id="rId140" Type="http://schemas.openxmlformats.org/officeDocument/2006/relationships/image" Target="media/image84.png"/><Relationship Id="rId161" Type="http://schemas.openxmlformats.org/officeDocument/2006/relationships/image" Target="media/image105.svg"/><Relationship Id="rId182" Type="http://schemas.openxmlformats.org/officeDocument/2006/relationships/image" Target="media/image124.png"/><Relationship Id="rId217" Type="http://schemas.openxmlformats.org/officeDocument/2006/relationships/image" Target="media/image151.jpeg"/><Relationship Id="rId6" Type="http://schemas.openxmlformats.org/officeDocument/2006/relationships/footnotes" Target="footnotes.xml"/><Relationship Id="rId238" Type="http://schemas.openxmlformats.org/officeDocument/2006/relationships/chart" Target="charts/chart43.xml"/><Relationship Id="rId23" Type="http://schemas.openxmlformats.org/officeDocument/2006/relationships/image" Target="media/image7.png"/><Relationship Id="rId119" Type="http://schemas.openxmlformats.org/officeDocument/2006/relationships/image" Target="media/image70.jpeg"/><Relationship Id="rId44" Type="http://schemas.openxmlformats.org/officeDocument/2006/relationships/hyperlink" Target="http://statistici.insse.ro" TargetMode="External"/><Relationship Id="rId65" Type="http://schemas.openxmlformats.org/officeDocument/2006/relationships/image" Target="media/image34.png"/><Relationship Id="rId86" Type="http://schemas.openxmlformats.org/officeDocument/2006/relationships/image" Target="media/image52.jpeg"/><Relationship Id="rId130" Type="http://schemas.openxmlformats.org/officeDocument/2006/relationships/chart" Target="charts/chart24.xml"/><Relationship Id="rId151" Type="http://schemas.openxmlformats.org/officeDocument/2006/relationships/image" Target="media/image95.svg"/><Relationship Id="rId172" Type="http://schemas.openxmlformats.org/officeDocument/2006/relationships/footer" Target="footer1.xml"/><Relationship Id="rId193" Type="http://schemas.openxmlformats.org/officeDocument/2006/relationships/oleObject" Target="embeddings/oleObject16.bin"/><Relationship Id="rId207" Type="http://schemas.openxmlformats.org/officeDocument/2006/relationships/image" Target="media/image141.png"/><Relationship Id="rId228" Type="http://schemas.openxmlformats.org/officeDocument/2006/relationships/image" Target="media/image156.jpeg"/><Relationship Id="rId249" Type="http://schemas.openxmlformats.org/officeDocument/2006/relationships/image" Target="media/image161.jpeg"/><Relationship Id="rId13" Type="http://schemas.openxmlformats.org/officeDocument/2006/relationships/hyperlink" Target="file:///E:\INCERTRANS\Horezu\PMUD%20Horezu_05.2022_final\PMUD%20Horezu_05.2022_final\Modificat_avizare\Varianta_2_2023\COMPONENTA%20I_08.2023.docx" TargetMode="External"/><Relationship Id="rId109" Type="http://schemas.openxmlformats.org/officeDocument/2006/relationships/chart" Target="charts/chart11.xml"/><Relationship Id="rId34" Type="http://schemas.openxmlformats.org/officeDocument/2006/relationships/image" Target="media/image15.png"/><Relationship Id="rId55" Type="http://schemas.openxmlformats.org/officeDocument/2006/relationships/image" Target="media/image24.emf"/><Relationship Id="rId76" Type="http://schemas.openxmlformats.org/officeDocument/2006/relationships/image" Target="media/image45.jpeg"/><Relationship Id="rId97" Type="http://schemas.openxmlformats.org/officeDocument/2006/relationships/image" Target="media/image63.jpeg"/><Relationship Id="rId120" Type="http://schemas.openxmlformats.org/officeDocument/2006/relationships/image" Target="media/image71.jpeg"/><Relationship Id="rId141" Type="http://schemas.openxmlformats.org/officeDocument/2006/relationships/image" Target="media/image85.svg"/><Relationship Id="rId7" Type="http://schemas.openxmlformats.org/officeDocument/2006/relationships/endnotes" Target="endnotes.xml"/><Relationship Id="rId162" Type="http://schemas.openxmlformats.org/officeDocument/2006/relationships/image" Target="media/image106.png"/><Relationship Id="rId183" Type="http://schemas.openxmlformats.org/officeDocument/2006/relationships/image" Target="media/image125.png"/><Relationship Id="rId218" Type="http://schemas.openxmlformats.org/officeDocument/2006/relationships/header" Target="header2.xml"/><Relationship Id="rId239" Type="http://schemas.openxmlformats.org/officeDocument/2006/relationships/chart" Target="charts/chart44.xml"/><Relationship Id="rId250" Type="http://schemas.openxmlformats.org/officeDocument/2006/relationships/chart" Target="charts/chart52.xml"/><Relationship Id="rId24" Type="http://schemas.openxmlformats.org/officeDocument/2006/relationships/image" Target="media/image8.wmf"/><Relationship Id="rId45" Type="http://schemas.openxmlformats.org/officeDocument/2006/relationships/chart" Target="charts/chart2.xml"/><Relationship Id="rId66" Type="http://schemas.openxmlformats.org/officeDocument/2006/relationships/image" Target="media/image35.png"/><Relationship Id="rId87" Type="http://schemas.openxmlformats.org/officeDocument/2006/relationships/image" Target="media/image53.png"/><Relationship Id="rId110" Type="http://schemas.openxmlformats.org/officeDocument/2006/relationships/chart" Target="charts/chart12.xml"/><Relationship Id="rId131" Type="http://schemas.openxmlformats.org/officeDocument/2006/relationships/chart" Target="charts/chart25.xml"/><Relationship Id="rId152" Type="http://schemas.openxmlformats.org/officeDocument/2006/relationships/image" Target="media/image96.png"/><Relationship Id="rId173" Type="http://schemas.openxmlformats.org/officeDocument/2006/relationships/footer" Target="footer2.xml"/><Relationship Id="rId194" Type="http://schemas.openxmlformats.org/officeDocument/2006/relationships/image" Target="media/image134.jpeg"/><Relationship Id="rId208" Type="http://schemas.openxmlformats.org/officeDocument/2006/relationships/image" Target="media/image142.png"/><Relationship Id="rId229" Type="http://schemas.openxmlformats.org/officeDocument/2006/relationships/image" Target="media/image157.jpeg"/><Relationship Id="rId240" Type="http://schemas.openxmlformats.org/officeDocument/2006/relationships/chart" Target="charts/chart45.xml"/><Relationship Id="rId14" Type="http://schemas.openxmlformats.org/officeDocument/2006/relationships/hyperlink" Target="file:///E:\INCERTRANS\Horezu\PMUD%20Horezu_05.2022_final\PMUD%20Horezu_05.2022_final\Modificat_avizare\Varianta_2_2023\COMPONENTA%20I_08.2023.docx" TargetMode="External"/><Relationship Id="rId35" Type="http://schemas.openxmlformats.org/officeDocument/2006/relationships/image" Target="media/image16.png"/><Relationship Id="rId56" Type="http://schemas.openxmlformats.org/officeDocument/2006/relationships/image" Target="media/image25.png"/><Relationship Id="rId77" Type="http://schemas.openxmlformats.org/officeDocument/2006/relationships/image" Target="media/image46.jpeg"/><Relationship Id="rId100" Type="http://schemas.openxmlformats.org/officeDocument/2006/relationships/image" Target="media/image66.jpeg"/><Relationship Id="rId8" Type="http://schemas.openxmlformats.org/officeDocument/2006/relationships/image" Target="media/image2.jpeg"/><Relationship Id="rId98" Type="http://schemas.openxmlformats.org/officeDocument/2006/relationships/image" Target="media/image64.jpeg"/><Relationship Id="rId121" Type="http://schemas.openxmlformats.org/officeDocument/2006/relationships/image" Target="media/image72.jpeg"/><Relationship Id="rId142" Type="http://schemas.openxmlformats.org/officeDocument/2006/relationships/image" Target="media/image86.png"/><Relationship Id="rId163" Type="http://schemas.openxmlformats.org/officeDocument/2006/relationships/image" Target="media/image107.svg"/><Relationship Id="rId184" Type="http://schemas.openxmlformats.org/officeDocument/2006/relationships/image" Target="media/image126.png"/><Relationship Id="rId219" Type="http://schemas.openxmlformats.org/officeDocument/2006/relationships/footer" Target="footer4.xml"/><Relationship Id="rId230" Type="http://schemas.openxmlformats.org/officeDocument/2006/relationships/image" Target="media/image158.jpeg"/><Relationship Id="rId251" Type="http://schemas.openxmlformats.org/officeDocument/2006/relationships/image" Target="media/image162.jpeg"/><Relationship Id="rId25" Type="http://schemas.openxmlformats.org/officeDocument/2006/relationships/oleObject" Target="embeddings/oleObject1.bin"/><Relationship Id="rId46" Type="http://schemas.openxmlformats.org/officeDocument/2006/relationships/chart" Target="charts/chart3.xml"/><Relationship Id="rId67" Type="http://schemas.openxmlformats.org/officeDocument/2006/relationships/image" Target="media/image36.png"/><Relationship Id="rId88" Type="http://schemas.openxmlformats.org/officeDocument/2006/relationships/image" Target="media/image54.png"/><Relationship Id="rId111" Type="http://schemas.openxmlformats.org/officeDocument/2006/relationships/chart" Target="charts/chart13.xml"/><Relationship Id="rId132" Type="http://schemas.openxmlformats.org/officeDocument/2006/relationships/image" Target="media/image78.jpeg"/><Relationship Id="rId153" Type="http://schemas.openxmlformats.org/officeDocument/2006/relationships/image" Target="media/image97.svg"/><Relationship Id="rId174" Type="http://schemas.openxmlformats.org/officeDocument/2006/relationships/image" Target="media/image116.jpeg"/><Relationship Id="rId195" Type="http://schemas.openxmlformats.org/officeDocument/2006/relationships/image" Target="media/image135.jpeg"/><Relationship Id="rId209" Type="http://schemas.openxmlformats.org/officeDocument/2006/relationships/image" Target="media/image143.png"/><Relationship Id="rId220" Type="http://schemas.openxmlformats.org/officeDocument/2006/relationships/header" Target="header3.xml"/><Relationship Id="rId241" Type="http://schemas.openxmlformats.org/officeDocument/2006/relationships/chart" Target="charts/chart46.xml"/><Relationship Id="rId15" Type="http://schemas.openxmlformats.org/officeDocument/2006/relationships/hyperlink" Target="file:///E:\INCERTRANS\Horezu\PMUD%20Horezu_05.2022_final\PMUD%20Horezu_05.2022_final\Modificat_avizare\Varianta_2_2023\COMPONENTA%20I_08.2023.docx" TargetMode="External"/><Relationship Id="rId36" Type="http://schemas.openxmlformats.org/officeDocument/2006/relationships/image" Target="media/image17.png"/><Relationship Id="rId57" Type="http://schemas.openxmlformats.org/officeDocument/2006/relationships/image" Target="media/image26.png"/><Relationship Id="rId78" Type="http://schemas.openxmlformats.org/officeDocument/2006/relationships/image" Target="media/image47.jpeg"/><Relationship Id="rId99" Type="http://schemas.openxmlformats.org/officeDocument/2006/relationships/image" Target="media/image65.jpeg"/><Relationship Id="rId101" Type="http://schemas.openxmlformats.org/officeDocument/2006/relationships/image" Target="media/image67.jpeg"/><Relationship Id="rId122" Type="http://schemas.openxmlformats.org/officeDocument/2006/relationships/image" Target="media/image73.jpeg"/><Relationship Id="rId143" Type="http://schemas.openxmlformats.org/officeDocument/2006/relationships/image" Target="media/image87.svg"/><Relationship Id="rId164" Type="http://schemas.openxmlformats.org/officeDocument/2006/relationships/image" Target="media/image108.png"/><Relationship Id="rId185" Type="http://schemas.openxmlformats.org/officeDocument/2006/relationships/image" Target="media/image127.png"/><Relationship Id="rId9" Type="http://schemas.openxmlformats.org/officeDocument/2006/relationships/image" Target="media/image3.png"/><Relationship Id="rId210" Type="http://schemas.openxmlformats.org/officeDocument/2006/relationships/image" Target="media/image144.png"/><Relationship Id="rId26" Type="http://schemas.openxmlformats.org/officeDocument/2006/relationships/image" Target="media/image9.wmf"/><Relationship Id="rId231" Type="http://schemas.openxmlformats.org/officeDocument/2006/relationships/chart" Target="charts/chart36.xml"/><Relationship Id="rId252" Type="http://schemas.openxmlformats.org/officeDocument/2006/relationships/image" Target="media/image163.jpeg"/><Relationship Id="rId47" Type="http://schemas.openxmlformats.org/officeDocument/2006/relationships/chart" Target="charts/chart4.xml"/><Relationship Id="rId68" Type="http://schemas.openxmlformats.org/officeDocument/2006/relationships/image" Target="media/image37.png"/><Relationship Id="rId89" Type="http://schemas.openxmlformats.org/officeDocument/2006/relationships/image" Target="media/image55.png"/><Relationship Id="rId112" Type="http://schemas.openxmlformats.org/officeDocument/2006/relationships/chart" Target="charts/chart14.xml"/><Relationship Id="rId133" Type="http://schemas.openxmlformats.org/officeDocument/2006/relationships/image" Target="media/image79.jpeg"/><Relationship Id="rId154" Type="http://schemas.openxmlformats.org/officeDocument/2006/relationships/image" Target="media/image98.jpeg"/><Relationship Id="rId175" Type="http://schemas.openxmlformats.org/officeDocument/2006/relationships/image" Target="media/image117.emf"/><Relationship Id="rId196" Type="http://schemas.openxmlformats.org/officeDocument/2006/relationships/chart" Target="charts/chart28.xml"/><Relationship Id="rId200" Type="http://schemas.openxmlformats.org/officeDocument/2006/relationships/chart" Target="charts/chart32.xml"/><Relationship Id="rId16" Type="http://schemas.openxmlformats.org/officeDocument/2006/relationships/hyperlink" Target="file:///E:\INCERTRANS\Horezu\PMUD%20Horezu_05.2022_final\PMUD%20Horezu_05.2022_final\Modificat_avizare\Varianta_2_2023\COMPONENTA%20I_08.2023.docx" TargetMode="External"/><Relationship Id="rId221" Type="http://schemas.openxmlformats.org/officeDocument/2006/relationships/image" Target="media/image152.jpeg"/><Relationship Id="rId242" Type="http://schemas.openxmlformats.org/officeDocument/2006/relationships/chart" Target="charts/chart47.xml"/><Relationship Id="rId37" Type="http://schemas.openxmlformats.org/officeDocument/2006/relationships/image" Target="media/image18.png"/><Relationship Id="rId58" Type="http://schemas.openxmlformats.org/officeDocument/2006/relationships/image" Target="media/image27.png"/><Relationship Id="rId79" Type="http://schemas.openxmlformats.org/officeDocument/2006/relationships/image" Target="media/image48.jpeg"/><Relationship Id="rId102" Type="http://schemas.openxmlformats.org/officeDocument/2006/relationships/image" Target="media/image68.jpg"/><Relationship Id="rId123" Type="http://schemas.openxmlformats.org/officeDocument/2006/relationships/chart" Target="charts/chart21.xml"/><Relationship Id="rId144" Type="http://schemas.openxmlformats.org/officeDocument/2006/relationships/image" Target="media/image88.png"/><Relationship Id="rId90" Type="http://schemas.openxmlformats.org/officeDocument/2006/relationships/image" Target="media/image56.png"/><Relationship Id="rId165" Type="http://schemas.openxmlformats.org/officeDocument/2006/relationships/image" Target="media/image109.svg"/><Relationship Id="rId186" Type="http://schemas.openxmlformats.org/officeDocument/2006/relationships/image" Target="media/image128.png"/><Relationship Id="rId211" Type="http://schemas.openxmlformats.org/officeDocument/2006/relationships/image" Target="media/image145.png"/><Relationship Id="rId232" Type="http://schemas.openxmlformats.org/officeDocument/2006/relationships/chart" Target="charts/chart37.xml"/><Relationship Id="rId253" Type="http://schemas.openxmlformats.org/officeDocument/2006/relationships/fontTable" Target="fontTable.xml"/><Relationship Id="rId27" Type="http://schemas.openxmlformats.org/officeDocument/2006/relationships/oleObject" Target="embeddings/oleObject2.bin"/><Relationship Id="rId48" Type="http://schemas.openxmlformats.org/officeDocument/2006/relationships/image" Target="media/image22.png"/><Relationship Id="rId69" Type="http://schemas.openxmlformats.org/officeDocument/2006/relationships/image" Target="media/image38.png"/><Relationship Id="rId113" Type="http://schemas.openxmlformats.org/officeDocument/2006/relationships/chart" Target="charts/chart15.xml"/><Relationship Id="rId134" Type="http://schemas.openxmlformats.org/officeDocument/2006/relationships/image" Target="media/image80.jpeg"/><Relationship Id="rId80" Type="http://schemas.openxmlformats.org/officeDocument/2006/relationships/hyperlink" Target="http://lege5.ro/Gratuit/gi3danzwga/ordonanta-nr-27-2011-privind-transporturile-rutiere" TargetMode="External"/><Relationship Id="rId155" Type="http://schemas.openxmlformats.org/officeDocument/2006/relationships/image" Target="media/image99.jpeg"/><Relationship Id="rId176" Type="http://schemas.openxmlformats.org/officeDocument/2006/relationships/image" Target="media/image118.png"/><Relationship Id="rId197" Type="http://schemas.openxmlformats.org/officeDocument/2006/relationships/chart" Target="charts/chart29.xml"/><Relationship Id="rId201" Type="http://schemas.openxmlformats.org/officeDocument/2006/relationships/image" Target="media/image136.emf"/><Relationship Id="rId222" Type="http://schemas.openxmlformats.org/officeDocument/2006/relationships/image" Target="media/image153.jpeg"/><Relationship Id="rId243" Type="http://schemas.openxmlformats.org/officeDocument/2006/relationships/chart" Target="charts/chart48.xml"/><Relationship Id="rId17" Type="http://schemas.openxmlformats.org/officeDocument/2006/relationships/hyperlink" Target="file:///E:\INCERTRANS\Horezu\PMUD%20Horezu_05.2022_final\PMUD%20Horezu_05.2022_final\Modificat_avizare\Varianta_2_2023\COMPONENTA%20I_08.2023.docx" TargetMode="External"/><Relationship Id="rId38" Type="http://schemas.openxmlformats.org/officeDocument/2006/relationships/hyperlink" Target="https://www.europarl.europa.eu/doceo/document/A-9-2020-0267_RO.html" TargetMode="External"/><Relationship Id="rId59" Type="http://schemas.openxmlformats.org/officeDocument/2006/relationships/image" Target="media/image28.png"/><Relationship Id="rId103" Type="http://schemas.openxmlformats.org/officeDocument/2006/relationships/image" Target="media/image69.emf"/><Relationship Id="rId124" Type="http://schemas.openxmlformats.org/officeDocument/2006/relationships/image" Target="media/image74.jpeg"/><Relationship Id="rId70" Type="http://schemas.openxmlformats.org/officeDocument/2006/relationships/image" Target="media/image39.png"/><Relationship Id="rId91" Type="http://schemas.openxmlformats.org/officeDocument/2006/relationships/image" Target="media/image57.jpeg"/><Relationship Id="rId145" Type="http://schemas.openxmlformats.org/officeDocument/2006/relationships/image" Target="media/image89.svg"/><Relationship Id="rId166" Type="http://schemas.openxmlformats.org/officeDocument/2006/relationships/image" Target="media/image110.png"/><Relationship Id="rId187" Type="http://schemas.openxmlformats.org/officeDocument/2006/relationships/image" Target="media/image129.png"/><Relationship Id="rId1" Type="http://schemas.openxmlformats.org/officeDocument/2006/relationships/customXml" Target="../customXml/item1.xml"/><Relationship Id="rId212" Type="http://schemas.openxmlformats.org/officeDocument/2006/relationships/image" Target="media/image146.png"/><Relationship Id="rId233" Type="http://schemas.openxmlformats.org/officeDocument/2006/relationships/chart" Target="charts/chart38.xml"/><Relationship Id="rId254" Type="http://schemas.openxmlformats.org/officeDocument/2006/relationships/theme" Target="theme/theme1.xml"/><Relationship Id="rId28" Type="http://schemas.openxmlformats.org/officeDocument/2006/relationships/image" Target="media/image10.jpeg"/><Relationship Id="rId49" Type="http://schemas.openxmlformats.org/officeDocument/2006/relationships/image" Target="media/image23.png"/><Relationship Id="rId114" Type="http://schemas.openxmlformats.org/officeDocument/2006/relationships/chart" Target="charts/chart16.xml"/><Relationship Id="rId60" Type="http://schemas.openxmlformats.org/officeDocument/2006/relationships/image" Target="media/image29.png"/><Relationship Id="rId81" Type="http://schemas.openxmlformats.org/officeDocument/2006/relationships/hyperlink" Target="http://lege5.ro/Gratuit/gi3dimzxhe/ordinul-nr-980-2011-pentru-aprobarea-normelor-metodologice-privind-aplicarea-prevederilor-referitoare-la-organizarea-si-efectuarea-transporturilor-rutiere-si-a-activitatilor-conexe-acestora-stabilite-" TargetMode="External"/><Relationship Id="rId135" Type="http://schemas.openxmlformats.org/officeDocument/2006/relationships/image" Target="media/image81.jpeg"/><Relationship Id="rId156" Type="http://schemas.openxmlformats.org/officeDocument/2006/relationships/image" Target="media/image100.png"/><Relationship Id="rId177" Type="http://schemas.openxmlformats.org/officeDocument/2006/relationships/image" Target="media/image119.png"/><Relationship Id="rId198" Type="http://schemas.openxmlformats.org/officeDocument/2006/relationships/chart" Target="charts/chart30.xml"/><Relationship Id="rId202" Type="http://schemas.openxmlformats.org/officeDocument/2006/relationships/footer" Target="footer3.xml"/><Relationship Id="rId223" Type="http://schemas.openxmlformats.org/officeDocument/2006/relationships/image" Target="media/image154.jpeg"/><Relationship Id="rId244" Type="http://schemas.openxmlformats.org/officeDocument/2006/relationships/chart" Target="charts/chart49.xml"/><Relationship Id="rId18" Type="http://schemas.openxmlformats.org/officeDocument/2006/relationships/hyperlink" Target="file:///E:\INCERTRANS\Horezu\PMUD%20Horezu_05.2022_final\PMUD%20Horezu_05.2022_final\Modificat_avizare\Varianta_2_2023\COMPONENTA%20I_08.2023.docx" TargetMode="External"/><Relationship Id="rId39" Type="http://schemas.openxmlformats.org/officeDocument/2006/relationships/hyperlink" Target="https://ro.wikipedia.org/wiki/Horezu" TargetMode="External"/><Relationship Id="rId50" Type="http://schemas.openxmlformats.org/officeDocument/2006/relationships/hyperlink" Target="http://statistici.insse.ro/" TargetMode="External"/><Relationship Id="rId104" Type="http://schemas.openxmlformats.org/officeDocument/2006/relationships/chart" Target="charts/chart6.xml"/><Relationship Id="rId125" Type="http://schemas.openxmlformats.org/officeDocument/2006/relationships/image" Target="media/image75.jpeg"/><Relationship Id="rId146" Type="http://schemas.openxmlformats.org/officeDocument/2006/relationships/image" Target="media/image90.png"/><Relationship Id="rId167" Type="http://schemas.openxmlformats.org/officeDocument/2006/relationships/image" Target="media/image111.svg"/><Relationship Id="rId188" Type="http://schemas.openxmlformats.org/officeDocument/2006/relationships/image" Target="media/image130.png"/><Relationship Id="rId71" Type="http://schemas.openxmlformats.org/officeDocument/2006/relationships/image" Target="media/image40.png"/><Relationship Id="rId92" Type="http://schemas.openxmlformats.org/officeDocument/2006/relationships/image" Target="media/image58.png"/><Relationship Id="rId213" Type="http://schemas.openxmlformats.org/officeDocument/2006/relationships/image" Target="media/image147.jpeg"/><Relationship Id="rId234" Type="http://schemas.openxmlformats.org/officeDocument/2006/relationships/chart" Target="charts/chart39.xml"/><Relationship Id="rId2" Type="http://schemas.openxmlformats.org/officeDocument/2006/relationships/numbering" Target="numbering.xml"/><Relationship Id="rId29" Type="http://schemas.openxmlformats.org/officeDocument/2006/relationships/image" Target="media/image11.wmf"/><Relationship Id="rId40" Type="http://schemas.openxmlformats.org/officeDocument/2006/relationships/image" Target="media/image19.jpeg"/><Relationship Id="rId115" Type="http://schemas.openxmlformats.org/officeDocument/2006/relationships/chart" Target="charts/chart17.xml"/><Relationship Id="rId136" Type="http://schemas.openxmlformats.org/officeDocument/2006/relationships/chart" Target="charts/chart26.xml"/><Relationship Id="rId157" Type="http://schemas.openxmlformats.org/officeDocument/2006/relationships/image" Target="media/image101.svg"/><Relationship Id="rId178" Type="http://schemas.openxmlformats.org/officeDocument/2006/relationships/image" Target="media/image120.png"/><Relationship Id="rId61" Type="http://schemas.openxmlformats.org/officeDocument/2006/relationships/image" Target="media/image30.png"/><Relationship Id="rId82" Type="http://schemas.openxmlformats.org/officeDocument/2006/relationships/chart" Target="charts/chart5.xml"/><Relationship Id="rId199" Type="http://schemas.openxmlformats.org/officeDocument/2006/relationships/chart" Target="charts/chart31.xml"/><Relationship Id="rId203" Type="http://schemas.openxmlformats.org/officeDocument/2006/relationships/image" Target="media/image137.png"/><Relationship Id="rId19" Type="http://schemas.openxmlformats.org/officeDocument/2006/relationships/hyperlink" Target="file:///E:\INCERTRANS\Horezu\PMUD%20Horezu_05.2022_final\PMUD%20Horezu_05.2022_final\Modificat_avizare\Varianta_2_2023\COMPONENTA%20I_08.2023.docx" TargetMode="External"/><Relationship Id="rId224" Type="http://schemas.openxmlformats.org/officeDocument/2006/relationships/image" Target="media/image155.jpeg"/><Relationship Id="rId245" Type="http://schemas.openxmlformats.org/officeDocument/2006/relationships/chart" Target="charts/chart50.xml"/><Relationship Id="rId30" Type="http://schemas.openxmlformats.org/officeDocument/2006/relationships/oleObject" Target="embeddings/oleObject3.bin"/><Relationship Id="rId105" Type="http://schemas.openxmlformats.org/officeDocument/2006/relationships/chart" Target="charts/chart7.xml"/><Relationship Id="rId126" Type="http://schemas.openxmlformats.org/officeDocument/2006/relationships/image" Target="media/image76.png"/><Relationship Id="rId147" Type="http://schemas.openxmlformats.org/officeDocument/2006/relationships/image" Target="media/image91.svg"/><Relationship Id="rId168" Type="http://schemas.openxmlformats.org/officeDocument/2006/relationships/image" Target="media/image112.png"/><Relationship Id="rId51" Type="http://schemas.openxmlformats.org/officeDocument/2006/relationships/hyperlink" Target="http://statistici.insse.ro/" TargetMode="External"/><Relationship Id="rId72" Type="http://schemas.openxmlformats.org/officeDocument/2006/relationships/image" Target="media/image41.png"/><Relationship Id="rId93" Type="http://schemas.openxmlformats.org/officeDocument/2006/relationships/image" Target="media/image59.jpeg"/><Relationship Id="rId189" Type="http://schemas.openxmlformats.org/officeDocument/2006/relationships/image" Target="media/image131.png"/><Relationship Id="rId3" Type="http://schemas.openxmlformats.org/officeDocument/2006/relationships/styles" Target="styles.xml"/><Relationship Id="rId214" Type="http://schemas.openxmlformats.org/officeDocument/2006/relationships/image" Target="media/image148.emf"/><Relationship Id="rId235" Type="http://schemas.openxmlformats.org/officeDocument/2006/relationships/chart" Target="charts/chart40.xml"/><Relationship Id="rId116" Type="http://schemas.openxmlformats.org/officeDocument/2006/relationships/chart" Target="charts/chart18.xml"/><Relationship Id="rId137" Type="http://schemas.openxmlformats.org/officeDocument/2006/relationships/chart" Target="charts/chart27.xml"/><Relationship Id="rId158" Type="http://schemas.openxmlformats.org/officeDocument/2006/relationships/image" Target="media/image102.png"/><Relationship Id="rId20" Type="http://schemas.openxmlformats.org/officeDocument/2006/relationships/hyperlink" Target="file:///E:\INCERTRANS\Horezu\PMUD%20Horezu_05.2022_final\PMUD%20Horezu_05.2022_final\Modificat_avizare\Varianta_2_2023\COMPONENTA%20I_08.2023.docx" TargetMode="External"/><Relationship Id="rId41" Type="http://schemas.openxmlformats.org/officeDocument/2006/relationships/image" Target="media/image20.jpeg"/><Relationship Id="rId62" Type="http://schemas.openxmlformats.org/officeDocument/2006/relationships/image" Target="media/image31.jpeg"/><Relationship Id="rId83" Type="http://schemas.openxmlformats.org/officeDocument/2006/relationships/image" Target="media/image49.png"/><Relationship Id="rId179" Type="http://schemas.openxmlformats.org/officeDocument/2006/relationships/image" Target="media/image121.png"/><Relationship Id="rId190" Type="http://schemas.openxmlformats.org/officeDocument/2006/relationships/image" Target="media/image132.png"/><Relationship Id="rId204" Type="http://schemas.openxmlformats.org/officeDocument/2006/relationships/image" Target="media/image138.png"/><Relationship Id="rId225" Type="http://schemas.openxmlformats.org/officeDocument/2006/relationships/chart" Target="charts/chart33.xml"/><Relationship Id="rId246" Type="http://schemas.openxmlformats.org/officeDocument/2006/relationships/chart" Target="charts/chart51.xml"/><Relationship Id="rId106" Type="http://schemas.openxmlformats.org/officeDocument/2006/relationships/chart" Target="charts/chart8.xml"/><Relationship Id="rId127" Type="http://schemas.openxmlformats.org/officeDocument/2006/relationships/image" Target="media/image77.wmf"/><Relationship Id="rId10" Type="http://schemas.openxmlformats.org/officeDocument/2006/relationships/hyperlink" Target="mailto:incertrans@incertrans.ro" TargetMode="External"/><Relationship Id="rId31" Type="http://schemas.openxmlformats.org/officeDocument/2006/relationships/image" Target="media/image12.jpeg"/><Relationship Id="rId52" Type="http://schemas.openxmlformats.org/officeDocument/2006/relationships/hyperlink" Target="http://statistici.insse.ro/" TargetMode="External"/><Relationship Id="rId73" Type="http://schemas.openxmlformats.org/officeDocument/2006/relationships/image" Target="media/image42.jpeg"/><Relationship Id="rId94" Type="http://schemas.openxmlformats.org/officeDocument/2006/relationships/image" Target="media/image60.jpeg"/><Relationship Id="rId148" Type="http://schemas.openxmlformats.org/officeDocument/2006/relationships/image" Target="media/image92.png"/><Relationship Id="rId169" Type="http://schemas.openxmlformats.org/officeDocument/2006/relationships/image" Target="media/image113.svg"/><Relationship Id="rId4" Type="http://schemas.openxmlformats.org/officeDocument/2006/relationships/settings" Target="settings.xml"/><Relationship Id="rId180" Type="http://schemas.openxmlformats.org/officeDocument/2006/relationships/image" Target="media/image122.png"/><Relationship Id="rId215" Type="http://schemas.openxmlformats.org/officeDocument/2006/relationships/image" Target="media/image149.jpeg"/><Relationship Id="rId236" Type="http://schemas.openxmlformats.org/officeDocument/2006/relationships/chart" Target="charts/chart41.xml"/></Relationships>
</file>

<file path=word/_rels/footer1.xml.rels><?xml version="1.0" encoding="UTF-8" standalone="yes"?>
<Relationships xmlns="http://schemas.openxmlformats.org/package/2006/relationships"><Relationship Id="rId1" Type="http://schemas.openxmlformats.org/officeDocument/2006/relationships/image" Target="media/image115.png"/></Relationships>
</file>

<file path=word/_rels/footer3.xml.rels><?xml version="1.0" encoding="UTF-8" standalone="yes"?>
<Relationships xmlns="http://schemas.openxmlformats.org/package/2006/relationships"><Relationship Id="rId1" Type="http://schemas.openxmlformats.org/officeDocument/2006/relationships/image" Target="media/image115.png"/></Relationships>
</file>

<file path=word/_rels/footer4.xml.rels><?xml version="1.0" encoding="UTF-8" standalone="yes"?>
<Relationships xmlns="http://schemas.openxmlformats.org/package/2006/relationships"><Relationship Id="rId1" Type="http://schemas.openxmlformats.org/officeDocument/2006/relationships/image" Target="media/image115.png"/></Relationships>
</file>

<file path=word/_rels/footnotes.xml.rels><?xml version="1.0" encoding="UTF-8" standalone="yes"?>
<Relationships xmlns="http://schemas.openxmlformats.org/package/2006/relationships"><Relationship Id="rId8" Type="http://schemas.openxmlformats.org/officeDocument/2006/relationships/hyperlink" Target="https://www.consilium.europa.eu/en/policies/green-deal/fit-for-55-the-eu-plan-for-a-green-transition/" TargetMode="External"/><Relationship Id="rId13" Type="http://schemas.openxmlformats.org/officeDocument/2006/relationships/hyperlink" Target="http://www.mmediu.ro/articol/planul-de-amenajare-a-teritoriului-national-patn-sectiunea-iv/1517" TargetMode="External"/><Relationship Id="rId18" Type="http://schemas.openxmlformats.org/officeDocument/2006/relationships/hyperlink" Target="https://www.consilium.europa.eu/ro/policies/green-deal/" TargetMode="External"/><Relationship Id="rId26" Type="http://schemas.openxmlformats.org/officeDocument/2006/relationships/hyperlink" Target="https://www.mt.ro/web14/documente/strategie/strategii_sectoriale/strategie_dezvoltare_durabila_noua_ultima_forma.pdf" TargetMode="External"/><Relationship Id="rId3" Type="http://schemas.openxmlformats.org/officeDocument/2006/relationships/hyperlink" Target="https://eur-lex.europa.eu/legal-content/RO/ALL/?uri=CELEX:52007DC0551" TargetMode="External"/><Relationship Id="rId21" Type="http://schemas.openxmlformats.org/officeDocument/2006/relationships/hyperlink" Target="https://www.europarl.europa.eu/doceo/document/TA-9-2021-0407_RO.html" TargetMode="External"/><Relationship Id="rId7" Type="http://schemas.openxmlformats.org/officeDocument/2006/relationships/hyperlink" Target="https://commission.europa.eu/strategy-and-policy/priorities-2019-2024/european-green-deal_ro" TargetMode="External"/><Relationship Id="rId12" Type="http://schemas.openxmlformats.org/officeDocument/2006/relationships/hyperlink" Target="https://ec.europa.eu/eurostat/statistics-explained/index.php?title=Living_conditions_in_Europe_-_poverty_and_social_exclusion&amp;oldid=584082" TargetMode="External"/><Relationship Id="rId17" Type="http://schemas.openxmlformats.org/officeDocument/2006/relationships/hyperlink" Target="https://commission.europa.eu/publications/sustainable-europe-2030_ro" TargetMode="External"/><Relationship Id="rId25" Type="http://schemas.openxmlformats.org/officeDocument/2006/relationships/hyperlink" Target="https://strategia.cndd.ro/docs/sndd10.ro.pdf" TargetMode="External"/><Relationship Id="rId2" Type="http://schemas.openxmlformats.org/officeDocument/2006/relationships/hyperlink" Target="https://habitat3.org/" TargetMode="External"/><Relationship Id="rId16" Type="http://schemas.openxmlformats.org/officeDocument/2006/relationships/hyperlink" Target="https://eur-lex.europa.eu/legal-content/RO/TXT/?uri=COM%3A2016%3A739%3AFIN" TargetMode="External"/><Relationship Id="rId20" Type="http://schemas.openxmlformats.org/officeDocument/2006/relationships/hyperlink" Target="https://climate.ec.europa.eu/eu-action/european-green-deal/european-climate-law_ro" TargetMode="External"/><Relationship Id="rId29" Type="http://schemas.openxmlformats.org/officeDocument/2006/relationships/hyperlink" Target="http://www.orasul-horezu.ro" TargetMode="External"/><Relationship Id="rId1" Type="http://schemas.openxmlformats.org/officeDocument/2006/relationships/hyperlink" Target="https://commission.europa.eu/strategy-and-policy/sustainable-development-goals/eu-and-united-nations-common-goals-sustainable-future_ro" TargetMode="External"/><Relationship Id="rId6" Type="http://schemas.openxmlformats.org/officeDocument/2006/relationships/hyperlink" Target="https://www.consilium.europa.eu/ro/policies/climate-change/paris-agreement/" TargetMode="External"/><Relationship Id="rId11" Type="http://schemas.openxmlformats.org/officeDocument/2006/relationships/hyperlink" Target="https://www.mdlpa.ro/pages/sdtr" TargetMode="External"/><Relationship Id="rId24" Type="http://schemas.openxmlformats.org/officeDocument/2006/relationships/hyperlink" Target="https://dezvoltaredurabila.gov.ro/strategia-nationala-pentru-dezvoltarea-durabila-a-romaniei-2030-i" TargetMode="External"/><Relationship Id="rId5" Type="http://schemas.openxmlformats.org/officeDocument/2006/relationships/hyperlink" Target="http://www.anpm.ro/ro/dezvoltare-durabila" TargetMode="External"/><Relationship Id="rId15" Type="http://schemas.openxmlformats.org/officeDocument/2006/relationships/hyperlink" Target="https://commission.europa.eu/strategy-and-policy/sustainable-development-goals/eu-and-united-nations-common-goals-sustainable-future_ro" TargetMode="External"/><Relationship Id="rId23" Type="http://schemas.openxmlformats.org/officeDocument/2006/relationships/hyperlink" Target="https://eur-lex.europa.eu/legal-content/RO/TXT/PDF/?uri=CELEX:32013R1301" TargetMode="External"/><Relationship Id="rId28" Type="http://schemas.openxmlformats.org/officeDocument/2006/relationships/hyperlink" Target="https://www.mt.ro/web14/documente/strategie/mpgt/23072015/Master%20Planul%20General%20de%20Transport_iulie_2015_vol%20I.pdf" TargetMode="External"/><Relationship Id="rId10" Type="http://schemas.openxmlformats.org/officeDocument/2006/relationships/hyperlink" Target="https://rm.coe.int/168070018b" TargetMode="External"/><Relationship Id="rId19" Type="http://schemas.openxmlformats.org/officeDocument/2006/relationships/hyperlink" Target="https://www.consilium.europa.eu/ro/press/press-releases/2021/06/03/sustainable-and-smart-mobility-strategy-council-adopts-conclusions/" TargetMode="External"/><Relationship Id="rId4" Type="http://schemas.openxmlformats.org/officeDocument/2006/relationships/hyperlink" Target="https://sumps-up.eu/fileadmin/user_upload/Tools_and_Resources/Publications_and_reports/Guidelines/SUMP%20Guidelines%202019_RO_web_compressed_med.pdf" TargetMode="External"/><Relationship Id="rId9" Type="http://schemas.openxmlformats.org/officeDocument/2006/relationships/hyperlink" Target="https://geografie.ubbcluj.ro/ccau/doc_cadru/SDSC.pdf" TargetMode="External"/><Relationship Id="rId14" Type="http://schemas.openxmlformats.org/officeDocument/2006/relationships/hyperlink" Target="http://www.cjvalcea.ro/index.php/urbanism-si-amenajarea-teritoriului/plan-de-amenajare-a-teritoriului-judetean-valcea-partea-1" TargetMode="External"/><Relationship Id="rId22" Type="http://schemas.openxmlformats.org/officeDocument/2006/relationships/hyperlink" Target="https://eur-lex.europa.eu/legal-content/RO/TXT/?uri=CELEX%3A52018DC0293" TargetMode="External"/><Relationship Id="rId27" Type="http://schemas.openxmlformats.org/officeDocument/2006/relationships/hyperlink" Target="https://energie.gov.ro/transparenta-decizionala/strategia-energetica-a-romaniei-2019-2030-cu-perspectiva-anului-2050/" TargetMode="External"/><Relationship Id="rId30" Type="http://schemas.openxmlformats.org/officeDocument/2006/relationships/hyperlink" Target="http://www.cjvalcea.ro"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embeddings/oleObject8.bin"/></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embeddings/oleObject9.bin"/></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embeddings/oleObject10.bin"/></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embeddings/oleObject11.bin"/></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embeddings/oleObject12.bin"/></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8.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9.xlsx"/></Relationships>
</file>

<file path=word/charts/_rels/chart21.xml.rels><?xml version="1.0" encoding="UTF-8" standalone="yes"?>
<Relationships xmlns="http://schemas.openxmlformats.org/package/2006/relationships"><Relationship Id="rId1" Type="http://schemas.openxmlformats.org/officeDocument/2006/relationships/oleObject" Target="file:///\\DESKTOP-IQ4TCIB\ELSOL%20X\X\ELSOL_X%20Drive\Proiecte%20in%20derulare\2021_PMUD%20Horezu\Parametrii%20Model%202021%20Sc0_final_v1.2_cu%20parametrii%20calculati.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ESKTOP-IQ4TCIB\ELSOL%20X\X\ELSOL_X%20Drive\Proiecte%20in%20derulare\2021_PMUD%20Horezu\Partea%20scrisa_ELSOL_feb2021\Report_AfterTFF_PM%20CAR_BIKE_BUS_HGV_1530-1630_prelucrat.xls"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ESKTOP-IQ4TCIB\ELSOL%20X\X\ELSOL_X%20Drive\Proiecte%20in%20derulare\2021_PMUD%20Horezu\Partea%20scrisa_ELSOL_feb2021\Report_AfterTFF_PM%20CAR_BIKE_BUS_HGV_1530-1630_prelucrat.xls"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ESKTOP-IQ4TCIB\ELSOL%20X\X\ELSOL_X%20Drive\Proiecte%20in%20derulare\2021_PMUD%20Horezu\Partea%20scrisa_ELSOL_feb2021\Report_AfterTFF_PM%20CAR_BIKE_BUS_HGV_1530-1630_prelucrat.xls"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ESKTOP-IQ4TCIB\ELSOL%20X\X\ELSOL_X%20Drive\Proiecte%20in%20derulare\2021_PMUD%20Horezu\Partea%20scrisa_ELSOL_feb2021\Report_AfterTFF_PM%20CAR_BIKE_BUS_HGV_1530-1630_prelucrat.xls"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embeddings/oleObject13.bin"/></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embeddings/oleObject14.bin"/></Relationships>
</file>

<file path=word/charts/_rels/chart28.xml.rels><?xml version="1.0" encoding="UTF-8" standalone="yes"?>
<Relationships xmlns="http://schemas.openxmlformats.org/package/2006/relationships"><Relationship Id="rId2" Type="http://schemas.openxmlformats.org/officeDocument/2006/relationships/oleObject" Target="file:///E:\Horezu\Materiale%20lucru\Accidente_politie.xlsx" TargetMode="External"/><Relationship Id="rId1" Type="http://schemas.openxmlformats.org/officeDocument/2006/relationships/themeOverride" Target="../theme/themeOverride23.xml"/></Relationships>
</file>

<file path=word/charts/_rels/chart29.xml.rels><?xml version="1.0" encoding="UTF-8" standalone="yes"?>
<Relationships xmlns="http://schemas.openxmlformats.org/package/2006/relationships"><Relationship Id="rId2" Type="http://schemas.openxmlformats.org/officeDocument/2006/relationships/oleObject" Target="file:///E:\Horezu\Materiale%20lucru\Accidente_politie.xlsx" TargetMode="External"/><Relationship Id="rId1" Type="http://schemas.openxmlformats.org/officeDocument/2006/relationships/themeOverride" Target="../theme/themeOverride24.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2" Type="http://schemas.openxmlformats.org/officeDocument/2006/relationships/oleObject" Target="file:///E:\Horezu\Materiale%20lucru\Accidente_politie.xlsx" TargetMode="External"/><Relationship Id="rId1" Type="http://schemas.openxmlformats.org/officeDocument/2006/relationships/themeOverride" Target="../theme/themeOverride25.xml"/></Relationships>
</file>

<file path=word/charts/_rels/chart31.xml.rels><?xml version="1.0" encoding="UTF-8" standalone="yes"?>
<Relationships xmlns="http://schemas.openxmlformats.org/package/2006/relationships"><Relationship Id="rId2" Type="http://schemas.openxmlformats.org/officeDocument/2006/relationships/oleObject" Target="file:///E:\Horezu\Materiale%20lucru\Irina\accidente%20Horezu.xlsx" TargetMode="External"/><Relationship Id="rId1" Type="http://schemas.openxmlformats.org/officeDocument/2006/relationships/themeOverride" Target="../theme/themeOverride26.xml"/></Relationships>
</file>

<file path=word/charts/_rels/chart32.xml.rels><?xml version="1.0" encoding="UTF-8" standalone="yes"?>
<Relationships xmlns="http://schemas.openxmlformats.org/package/2006/relationships"><Relationship Id="rId2" Type="http://schemas.openxmlformats.org/officeDocument/2006/relationships/oleObject" Target="file:///E:\Horezu\Materiale%20lucru\Irina\accidente%20Horezu.xlsx" TargetMode="External"/><Relationship Id="rId1" Type="http://schemas.openxmlformats.org/officeDocument/2006/relationships/themeOverride" Target="../theme/themeOverride27.xm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embeddings/oleObject17.bin"/></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embeddings/oleObject18.bin"/></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embeddings/oleObject19.bin"/></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embeddings/oleObject20.bin"/></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embeddings/oleObject21.bin"/></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embeddings/oleObject22.bin"/></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DESKTOP-IQ4TCIB\ELSOL%20X\X\ELSOL_X%20Drive\Proiecte%20in%20derulare\2021_PMUD%20Horezu\Parametrii%20Model%202021%20Sc0_final_v1.5_cu%20parametrii%20calculati.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DESKTOP-IQ4TCIB\ELSOL%20X\X\ELSOL_X%20Drive\Proiecte%20in%20derulare\2021_PMUD%20Horezu\Parametrii%20Model%202021%20Sc0_final_v1.5_cu%20parametrii%20calculati.xlsx" TargetMode="Externa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DESKTOP-IQ4TCIB\ELSOL%20X\X\ELSOL_X%20Drive\Proiecte%20in%20derulare\2021_PMUD%20Horezu\Parametrii%20Model%202021%20Sc0_final_v1.5_cu%20parametrii%20calculati.xlsx" TargetMode="External"/></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file:///\\DESKTOP-IQ4TCIB\ELSOL%20X\X\ELSOL_X%20Drive\Proiecte%20in%20derulare\2021_PMUD%20Horezu\Parametrii%20Model%202021%20Sc0_final_v1.5_cu%20parametrii%20calculati.xlsx" TargetMode="Externa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oleObject" Target="file:///\\DESKTOP-IQ4TCIB\ELSOL%20X\X\ELSOL_X%20Drive\Proiecte%20in%20derulare\2021_PMUD%20Horezu\Parametrii%20Model%202021%20Sc0_final_v1.5_cu%20parametrii%20calculati.xlsx" TargetMode="Externa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file:///\\DESKTOP-IQ4TCIB\ELSOL%20X\X\ELSOL_X%20Drive\Proiecte%20in%20derulare\2021_PMUD%20Horezu\Parametrii%20Model%202021%20Sc0_final_v1.5_cu%20parametrii%20calculati.xlsx" TargetMode="External"/></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file:///\\DESKTOP-IQ4TCIB\ELSOL%20X\X\ELSOL_X%20Drive\Proiecte%20in%20derulare\2021_PMUD%20Horezu\Parametrii%20Model%202021%20Sc0_final_v1.5_cu%20parametrii%20calculati.xlsx" TargetMode="External"/></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oleObject" Target="file:///\\DESKTOP-IQ4TCIB\ELSOL%20X\X\ELSOL_X%20Drive\Proiecte%20in%20derulare\2021_PMUD%20Horezu\Parametrii%20Model%202021%20Sc0_final_v1.5_cu%20parametrii%20calculati.xlsx" TargetMode="Externa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oleObject" Target="../embeddings/oleObject23.bin"/></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oleObject" Target="../embeddings/oleObject24.bin"/></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44.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oleObject" Target="../embeddings/oleObject25.bin"/></Relationships>
</file>

<file path=word/charts/_rels/chart5.xml.rels><?xml version="1.0" encoding="UTF-8" standalone="yes"?>
<Relationships xmlns="http://schemas.openxmlformats.org/package/2006/relationships"><Relationship Id="rId2" Type="http://schemas.openxmlformats.org/officeDocument/2006/relationships/oleObject" Target="file:///E:\Horezu\Materiale%20lucru\exportPivot_TRN137A.csv" TargetMode="External"/><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45.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oleObject" Target="../embeddings/oleObject26.bin"/></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46.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oleObject" Target="../embeddings/oleObject27.bin"/></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oleObject" Target="../embeddings/oleObject28.bin"/></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embeddings/oleObject4.bin"/></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embeddings/oleObject5.bin"/></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embeddings/oleObject6.bin"/></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2DDB-4A75-958F-F7EE60618202}"/>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2DDB-4A75-958F-F7EE606182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2DDB-4A75-958F-F7EE60618202}"/>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2DDB-4A75-958F-F7EE60618202}"/>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2DDB-4A75-958F-F7EE60618202}"/>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2DDB-4A75-958F-F7EE60618202}"/>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D-2DDB-4A75-958F-F7EE60618202}"/>
              </c:ext>
            </c:extLst>
          </c:dPt>
          <c:dLbls>
            <c:dLbl>
              <c:idx val="3"/>
              <c:layout>
                <c:manualLayout>
                  <c:x val="4.0187882764654417E-2"/>
                  <c:y val="5.001093613298338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DDB-4A75-958F-F7EE60618202}"/>
                </c:ext>
              </c:extLst>
            </c:dLbl>
            <c:dLbl>
              <c:idx val="4"/>
              <c:layout>
                <c:manualLayout>
                  <c:x val="1.0287182852143481E-2"/>
                  <c:y val="3.9119641294838144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DDB-4A75-958F-F7EE60618202}"/>
                </c:ext>
              </c:extLst>
            </c:dLbl>
            <c:dLbl>
              <c:idx val="5"/>
              <c:layout>
                <c:manualLayout>
                  <c:x val="-9.1953193350831144E-3"/>
                  <c:y val="4.1579542140565758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DDB-4A75-958F-F7EE60618202}"/>
                </c:ext>
              </c:extLst>
            </c:dLbl>
            <c:dLbl>
              <c:idx val="6"/>
              <c:layout>
                <c:manualLayout>
                  <c:x val="0.1113698391011036"/>
                  <c:y val="1.5757562497198879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DDB-4A75-958F-F7EE60618202}"/>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1"/>
            <c:showCatName val="1"/>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Sheet1!$J$5:$J$11</c:f>
              <c:strCache>
                <c:ptCount val="7"/>
                <c:pt idx="0">
                  <c:v>Horezu</c:v>
                </c:pt>
                <c:pt idx="1">
                  <c:v>Romanii de Jos</c:v>
                </c:pt>
                <c:pt idx="2">
                  <c:v>Romanii de Sus</c:v>
                </c:pt>
                <c:pt idx="3">
                  <c:v>Râmeşti</c:v>
                </c:pt>
                <c:pt idx="4">
                  <c:v>Ifrimeşti</c:v>
                </c:pt>
                <c:pt idx="5">
                  <c:v>Urşani</c:v>
                </c:pt>
                <c:pt idx="6">
                  <c:v>Tănăseşti</c:v>
                </c:pt>
              </c:strCache>
            </c:strRef>
          </c:cat>
          <c:val>
            <c:numRef>
              <c:f>Sheet1!$K$5:$K$11</c:f>
              <c:numCache>
                <c:formatCode>General</c:formatCode>
                <c:ptCount val="7"/>
                <c:pt idx="0">
                  <c:v>3794</c:v>
                </c:pt>
                <c:pt idx="1">
                  <c:v>793</c:v>
                </c:pt>
                <c:pt idx="2">
                  <c:v>1039</c:v>
                </c:pt>
                <c:pt idx="3">
                  <c:v>291</c:v>
                </c:pt>
                <c:pt idx="4">
                  <c:v>200</c:v>
                </c:pt>
                <c:pt idx="5">
                  <c:v>491</c:v>
                </c:pt>
                <c:pt idx="6">
                  <c:v>198</c:v>
                </c:pt>
              </c:numCache>
            </c:numRef>
          </c:val>
          <c:extLst>
            <c:ext xmlns:c16="http://schemas.microsoft.com/office/drawing/2014/chart" uri="{C3380CC4-5D6E-409C-BE32-E72D297353CC}">
              <c16:uniqueId val="{0000000E-2DDB-4A75-958F-F7EE606182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31CB-4FAD-8797-2EEE095C2C0C}"/>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31CB-4FAD-8797-2EEE095C2C0C}"/>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31CB-4FAD-8797-2EEE095C2C0C}"/>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31CB-4FAD-8797-2EEE095C2C0C}"/>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31CB-4FAD-8797-2EEE095C2C0C}"/>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31CB-4FAD-8797-2EEE095C2C0C}"/>
              </c:ext>
            </c:extLst>
          </c:dPt>
          <c:dLbls>
            <c:dLbl>
              <c:idx val="0"/>
              <c:layout>
                <c:manualLayout>
                  <c:x val="0.17046587926509185"/>
                  <c:y val="3.3081802274715654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1CB-4FAD-8797-2EEE095C2C0C}"/>
                </c:ext>
              </c:extLst>
            </c:dLbl>
            <c:dLbl>
              <c:idx val="1"/>
              <c:layout>
                <c:manualLayout>
                  <c:x val="-0.18604855643044618"/>
                  <c:y val="0.1908621318168562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1CB-4FAD-8797-2EEE095C2C0C}"/>
                </c:ext>
              </c:extLst>
            </c:dLbl>
            <c:dLbl>
              <c:idx val="2"/>
              <c:layout>
                <c:manualLayout>
                  <c:x val="-0.16052012248468941"/>
                  <c:y val="-0.1688105132691747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31CB-4FAD-8797-2EEE095C2C0C}"/>
                </c:ext>
              </c:extLst>
            </c:dLbl>
            <c:dLbl>
              <c:idx val="3"/>
              <c:layout>
                <c:manualLayout>
                  <c:x val="0.12806211723534558"/>
                  <c:y val="-0.112302785068533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31CB-4FAD-8797-2EEE095C2C0C}"/>
                </c:ext>
              </c:extLst>
            </c:dLbl>
            <c:dLbl>
              <c:idx val="4"/>
              <c:layout>
                <c:manualLayout>
                  <c:x val="3.103937007874015E-2"/>
                  <c:y val="8.227836103820353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31CB-4FAD-8797-2EEE095C2C0C}"/>
                </c:ext>
              </c:extLst>
            </c:dLbl>
            <c:dLbl>
              <c:idx val="5"/>
              <c:layout>
                <c:manualLayout>
                  <c:x val="2.1775371828521434E-2"/>
                  <c:y val="6.124526100904053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31CB-4FAD-8797-2EEE095C2C0C}"/>
                </c:ext>
              </c:extLst>
            </c:dLbl>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[PrelucrariOD.xlsx]Foaie2!$AI$1:$AI$6</c:f>
              <c:strCache>
                <c:ptCount val="6"/>
                <c:pt idx="0">
                  <c:v>sub 1.400 lei</c:v>
                </c:pt>
                <c:pt idx="1">
                  <c:v>1.400 lei - 2.000 lei</c:v>
                </c:pt>
                <c:pt idx="2">
                  <c:v>2.001 lei - 3.000 lei</c:v>
                </c:pt>
                <c:pt idx="3">
                  <c:v>3.001 lei - 5.000 lei</c:v>
                </c:pt>
                <c:pt idx="4">
                  <c:v>5.001 lei - 8.000 lei</c:v>
                </c:pt>
                <c:pt idx="5">
                  <c:v>peste 8.000 lei</c:v>
                </c:pt>
              </c:strCache>
            </c:strRef>
          </c:cat>
          <c:val>
            <c:numRef>
              <c:f>[PrelucrariOD.xlsx]Foaie2!$AJ$1:$AJ$6</c:f>
              <c:numCache>
                <c:formatCode>General</c:formatCode>
                <c:ptCount val="6"/>
                <c:pt idx="0">
                  <c:v>11</c:v>
                </c:pt>
                <c:pt idx="1">
                  <c:v>41</c:v>
                </c:pt>
                <c:pt idx="2">
                  <c:v>52</c:v>
                </c:pt>
                <c:pt idx="3">
                  <c:v>53</c:v>
                </c:pt>
                <c:pt idx="4">
                  <c:v>24</c:v>
                </c:pt>
                <c:pt idx="5">
                  <c:v>7</c:v>
                </c:pt>
              </c:numCache>
            </c:numRef>
          </c:val>
          <c:extLst>
            <c:ext xmlns:c16="http://schemas.microsoft.com/office/drawing/2014/chart" uri="{C3380CC4-5D6E-409C-BE32-E72D297353CC}">
              <c16:uniqueId val="{0000000C-31CB-4FAD-8797-2EEE095C2C0C}"/>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301E-46F8-8F1D-0103B66EC6BC}"/>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301E-46F8-8F1D-0103B66EC6BC}"/>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301E-46F8-8F1D-0103B66EC6BC}"/>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301E-46F8-8F1D-0103B66EC6BC}"/>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301E-46F8-8F1D-0103B66EC6BC}"/>
              </c:ext>
            </c:extLst>
          </c:dPt>
          <c:dLbls>
            <c:dLbl>
              <c:idx val="0"/>
              <c:layout>
                <c:manualLayout>
                  <c:x val="-3.9877077865266841E-2"/>
                  <c:y val="7.8556794983960329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01E-46F8-8F1D-0103B66EC6BC}"/>
                </c:ext>
              </c:extLst>
            </c:dLbl>
            <c:dLbl>
              <c:idx val="3"/>
              <c:layout>
                <c:manualLayout>
                  <c:x val="6.1944881889763777E-2"/>
                  <c:y val="0.10041484397783611"/>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301E-46F8-8F1D-0103B66EC6BC}"/>
                </c:ext>
              </c:extLst>
            </c:dLbl>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[PrelucrariOD.xlsx]Foaie2!$AN$4:$AN$8</c:f>
              <c:strCache>
                <c:ptCount val="5"/>
                <c:pt idx="0">
                  <c:v>Gospodărie fără angajaţi</c:v>
                </c:pt>
                <c:pt idx="1">
                  <c:v>Gospodărie cu 1 angajat</c:v>
                </c:pt>
                <c:pt idx="2">
                  <c:v>Gospodărie cu 2 angajaţi</c:v>
                </c:pt>
                <c:pt idx="3">
                  <c:v>Gospodărie cu 3 angajaţi</c:v>
                </c:pt>
                <c:pt idx="4">
                  <c:v>Gospodărie cu 4 angajaţi</c:v>
                </c:pt>
              </c:strCache>
            </c:strRef>
          </c:cat>
          <c:val>
            <c:numRef>
              <c:f>[PrelucrariOD.xlsx]Foaie2!$AO$4:$AO$8</c:f>
              <c:numCache>
                <c:formatCode>General</c:formatCode>
                <c:ptCount val="5"/>
                <c:pt idx="0">
                  <c:v>13</c:v>
                </c:pt>
                <c:pt idx="1">
                  <c:v>63</c:v>
                </c:pt>
                <c:pt idx="2">
                  <c:v>96</c:v>
                </c:pt>
                <c:pt idx="3">
                  <c:v>16</c:v>
                </c:pt>
                <c:pt idx="4">
                  <c:v>6</c:v>
                </c:pt>
              </c:numCache>
            </c:numRef>
          </c:val>
          <c:extLst>
            <c:ext xmlns:c16="http://schemas.microsoft.com/office/drawing/2014/chart" uri="{C3380CC4-5D6E-409C-BE32-E72D297353CC}">
              <c16:uniqueId val="{0000000A-301E-46F8-8F1D-0103B66EC6BC}"/>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4F6-4123-B099-083B2FE667BF}"/>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4F6-4123-B099-083B2FE667BF}"/>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4F6-4123-B099-083B2FE667BF}"/>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4F6-4123-B099-083B2FE667BF}"/>
              </c:ext>
            </c:extLst>
          </c:dPt>
          <c:dLbls>
            <c:dLbl>
              <c:idx val="1"/>
              <c:layout>
                <c:manualLayout>
                  <c:x val="6.7874234470691158E-2"/>
                  <c:y val="0.14463728492271796"/>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4F6-4123-B099-083B2FE667BF}"/>
                </c:ext>
              </c:extLst>
            </c:dLbl>
            <c:dLbl>
              <c:idx val="3"/>
              <c:layout>
                <c:manualLayout>
                  <c:x val="2.8665791776027995E-2"/>
                  <c:y val="4.1845290172061551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4F6-4123-B099-083B2FE667BF}"/>
                </c:ext>
              </c:extLst>
            </c:dLbl>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[PrelucrariOD.xlsx]Foaie2!$AT$1:$AT$4</c:f>
              <c:strCache>
                <c:ptCount val="4"/>
                <c:pt idx="0">
                  <c:v>Gospodării fără persoane şomere</c:v>
                </c:pt>
                <c:pt idx="1">
                  <c:v>Gospodării cu 1 persoană şomeră</c:v>
                </c:pt>
                <c:pt idx="2">
                  <c:v>Gospodării cu 2 persoane şomere</c:v>
                </c:pt>
                <c:pt idx="3">
                  <c:v>Gospodării cu 3 persoane şomere</c:v>
                </c:pt>
              </c:strCache>
            </c:strRef>
          </c:cat>
          <c:val>
            <c:numRef>
              <c:f>[PrelucrariOD.xlsx]Foaie2!$AU$1:$AU$4</c:f>
              <c:numCache>
                <c:formatCode>General</c:formatCode>
                <c:ptCount val="4"/>
                <c:pt idx="0">
                  <c:v>164</c:v>
                </c:pt>
                <c:pt idx="1">
                  <c:v>26</c:v>
                </c:pt>
                <c:pt idx="2">
                  <c:v>3</c:v>
                </c:pt>
                <c:pt idx="3">
                  <c:v>1</c:v>
                </c:pt>
              </c:numCache>
            </c:numRef>
          </c:val>
          <c:extLst>
            <c:ext xmlns:c16="http://schemas.microsoft.com/office/drawing/2014/chart" uri="{C3380CC4-5D6E-409C-BE32-E72D297353CC}">
              <c16:uniqueId val="{00000008-D4F6-4123-B099-083B2FE667BF}"/>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823-4584-A277-7816FD415642}"/>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823-4584-A277-7816FD41564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823-4584-A277-7816FD415642}"/>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823-4584-A277-7816FD415642}"/>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823-4584-A277-7816FD415642}"/>
              </c:ext>
            </c:extLst>
          </c:dPt>
          <c:dLbls>
            <c:dLbl>
              <c:idx val="3"/>
              <c:layout>
                <c:manualLayout>
                  <c:x val="-0.10066951006124238"/>
                  <c:y val="1.9061679790026214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823-4584-A277-7816FD415642}"/>
                </c:ext>
              </c:extLst>
            </c:dLbl>
            <c:dLbl>
              <c:idx val="4"/>
              <c:layout>
                <c:manualLayout>
                  <c:x val="4.2430227471566051E-2"/>
                  <c:y val="4.2731116943715338E-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823-4584-A277-7816FD415642}"/>
                </c:ext>
              </c:extLst>
            </c:dLbl>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[PrelucrariOD.xlsx]Foaie2!$AY$1:$AY$5</c:f>
              <c:strCache>
                <c:ptCount val="5"/>
                <c:pt idx="0">
                  <c:v>Gospodării fără şcolari</c:v>
                </c:pt>
                <c:pt idx="1">
                  <c:v>Gospodării cu 1 şcolar</c:v>
                </c:pt>
                <c:pt idx="2">
                  <c:v>Gospodării cu 2 şcolari</c:v>
                </c:pt>
                <c:pt idx="3">
                  <c:v>Gospodării cu 3 şcolari</c:v>
                </c:pt>
                <c:pt idx="4">
                  <c:v>Gospodării cu 4 şcolari</c:v>
                </c:pt>
              </c:strCache>
            </c:strRef>
          </c:cat>
          <c:val>
            <c:numRef>
              <c:f>[PrelucrariOD.xlsx]Foaie2!$AZ$1:$AZ$5</c:f>
              <c:numCache>
                <c:formatCode>General</c:formatCode>
                <c:ptCount val="5"/>
                <c:pt idx="0">
                  <c:v>73</c:v>
                </c:pt>
                <c:pt idx="1">
                  <c:v>63</c:v>
                </c:pt>
                <c:pt idx="2">
                  <c:v>51</c:v>
                </c:pt>
                <c:pt idx="3">
                  <c:v>5</c:v>
                </c:pt>
                <c:pt idx="4">
                  <c:v>2</c:v>
                </c:pt>
              </c:numCache>
            </c:numRef>
          </c:val>
          <c:extLst>
            <c:ext xmlns:c16="http://schemas.microsoft.com/office/drawing/2014/chart" uri="{C3380CC4-5D6E-409C-BE32-E72D297353CC}">
              <c16:uniqueId val="{0000000A-C823-4584-A277-7816FD41564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05A-4B42-A5FC-6B6FA8309DFE}"/>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05A-4B42-A5FC-6B6FA8309DFE}"/>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05A-4B42-A5FC-6B6FA8309DFE}"/>
              </c:ext>
            </c:extLst>
          </c:dPt>
          <c:dLbls>
            <c:dLbl>
              <c:idx val="0"/>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0"/>
              <c:showSerName val="0"/>
              <c:showPercent val="1"/>
              <c:showBubbleSize val="0"/>
              <c:extLst>
                <c:ext xmlns:c16="http://schemas.microsoft.com/office/drawing/2014/chart" uri="{C3380CC4-5D6E-409C-BE32-E72D297353CC}">
                  <c16:uniqueId val="{00000001-D05A-4B42-A5FC-6B6FA8309DFE}"/>
                </c:ext>
              </c:extLst>
            </c:dLbl>
            <c:dLbl>
              <c:idx val="1"/>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0"/>
              <c:showSerName val="0"/>
              <c:showPercent val="1"/>
              <c:showBubbleSize val="0"/>
              <c:extLst>
                <c:ext xmlns:c16="http://schemas.microsoft.com/office/drawing/2014/chart" uri="{C3380CC4-5D6E-409C-BE32-E72D297353CC}">
                  <c16:uniqueId val="{00000003-D05A-4B42-A5FC-6B6FA8309DFE}"/>
                </c:ext>
              </c:extLst>
            </c:dLbl>
            <c:dLbl>
              <c:idx val="2"/>
              <c:layout>
                <c:manualLayout>
                  <c:x val="8.214348206474191E-2"/>
                  <c:y val="0.25081109652960043"/>
                </c:manualLayout>
              </c:layout>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05A-4B42-A5FC-6B6FA8309DFE}"/>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[PrelucrariOD.xlsx]Foaie2!$BE$1:$BE$3</c:f>
              <c:strCache>
                <c:ptCount val="3"/>
                <c:pt idx="0">
                  <c:v>Gospodării fără persoane pensionare</c:v>
                </c:pt>
                <c:pt idx="1">
                  <c:v>Gospodării cu 1 persoană pensionară</c:v>
                </c:pt>
                <c:pt idx="2">
                  <c:v>Gospodării cu 2 persoane pensionare</c:v>
                </c:pt>
              </c:strCache>
            </c:strRef>
          </c:cat>
          <c:val>
            <c:numRef>
              <c:f>[PrelucrariOD.xlsx]Foaie2!$BF$1:$BF$3</c:f>
              <c:numCache>
                <c:formatCode>General</c:formatCode>
                <c:ptCount val="3"/>
                <c:pt idx="0">
                  <c:v>132</c:v>
                </c:pt>
                <c:pt idx="1">
                  <c:v>43</c:v>
                </c:pt>
                <c:pt idx="2">
                  <c:v>19</c:v>
                </c:pt>
              </c:numCache>
            </c:numRef>
          </c:val>
          <c:extLst>
            <c:ext xmlns:c16="http://schemas.microsoft.com/office/drawing/2014/chart" uri="{C3380CC4-5D6E-409C-BE32-E72D297353CC}">
              <c16:uniqueId val="{00000006-D05A-4B42-A5FC-6B6FA8309DFE}"/>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cat>
            <c:strRef>
              <c:f>Foaie2!$BR$1:$BR$8</c:f>
              <c:strCache>
                <c:ptCount val="8"/>
                <c:pt idx="0">
                  <c:v>Fără deplasări la locul de muncă</c:v>
                </c:pt>
                <c:pt idx="1">
                  <c:v>1 deplasare săptămânală</c:v>
                </c:pt>
                <c:pt idx="2">
                  <c:v>2 deplasări săptămânale</c:v>
                </c:pt>
                <c:pt idx="3">
                  <c:v>3 deplasări săptămânale</c:v>
                </c:pt>
                <c:pt idx="4">
                  <c:v>4 deplasări săptămânale</c:v>
                </c:pt>
                <c:pt idx="5">
                  <c:v>5 deplasări săptămânale</c:v>
                </c:pt>
                <c:pt idx="6">
                  <c:v>6 deplasări săptămânale</c:v>
                </c:pt>
                <c:pt idx="7">
                  <c:v>7 deplasări săptămânale</c:v>
                </c:pt>
              </c:strCache>
            </c:strRef>
          </c:cat>
          <c:val>
            <c:numRef>
              <c:f>Foaie2!$BS$1:$BS$8</c:f>
              <c:numCache>
                <c:formatCode>General</c:formatCode>
                <c:ptCount val="8"/>
                <c:pt idx="0">
                  <c:v>19</c:v>
                </c:pt>
                <c:pt idx="1">
                  <c:v>1</c:v>
                </c:pt>
                <c:pt idx="2">
                  <c:v>1</c:v>
                </c:pt>
                <c:pt idx="3">
                  <c:v>1</c:v>
                </c:pt>
                <c:pt idx="4">
                  <c:v>6</c:v>
                </c:pt>
                <c:pt idx="5">
                  <c:v>130</c:v>
                </c:pt>
                <c:pt idx="6">
                  <c:v>14</c:v>
                </c:pt>
                <c:pt idx="7">
                  <c:v>22</c:v>
                </c:pt>
              </c:numCache>
            </c:numRef>
          </c:val>
          <c:extLst>
            <c:ext xmlns:c16="http://schemas.microsoft.com/office/drawing/2014/chart" uri="{C3380CC4-5D6E-409C-BE32-E72D297353CC}">
              <c16:uniqueId val="{00000000-D1FF-4B88-AEE5-794AA3CE705A}"/>
            </c:ext>
          </c:extLst>
        </c:ser>
        <c:dLbls>
          <c:showLegendKey val="0"/>
          <c:showVal val="0"/>
          <c:showCatName val="0"/>
          <c:showSerName val="0"/>
          <c:showPercent val="0"/>
          <c:showBubbleSize val="0"/>
        </c:dLbls>
        <c:gapWidth val="219"/>
        <c:overlap val="-27"/>
        <c:axId val="732023088"/>
        <c:axId val="732023648"/>
      </c:barChart>
      <c:catAx>
        <c:axId val="732023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2023648"/>
        <c:crosses val="autoZero"/>
        <c:auto val="1"/>
        <c:lblAlgn val="ctr"/>
        <c:lblOffset val="100"/>
        <c:noMultiLvlLbl val="0"/>
      </c:catAx>
      <c:valAx>
        <c:axId val="732023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20230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23D-4AA5-A0D2-9B27B398298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23D-4AA5-A0D2-9B27B398298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23D-4AA5-A0D2-9B27B3982981}"/>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23D-4AA5-A0D2-9B27B3982981}"/>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23D-4AA5-A0D2-9B27B3982981}"/>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23D-4AA5-A0D2-9B27B3982981}"/>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D-C23D-4AA5-A0D2-9B27B3982981}"/>
              </c:ext>
            </c:extLst>
          </c:dPt>
          <c:dLbls>
            <c:dLbl>
              <c:idx val="4"/>
              <c:layout>
                <c:manualLayout>
                  <c:x val="1.5812554680664923E-2"/>
                  <c:y val="-2.625801983085447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23D-4AA5-A0D2-9B27B3982981}"/>
                </c:ext>
              </c:extLst>
            </c:dLbl>
            <c:dLbl>
              <c:idx val="5"/>
              <c:layout>
                <c:manualLayout>
                  <c:x val="1.6945538057742782E-2"/>
                  <c:y val="-5.9080635753864102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23D-4AA5-A0D2-9B27B3982981}"/>
                </c:ext>
              </c:extLst>
            </c:dLbl>
            <c:dLbl>
              <c:idx val="6"/>
              <c:layout>
                <c:manualLayout>
                  <c:x val="0.10105621172353453"/>
                  <c:y val="4.528762029746282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C23D-4AA5-A0D2-9B27B3982981}"/>
                </c:ext>
              </c:extLst>
            </c:dLbl>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Foaie2!$BZ$12:$BZ$18</c:f>
              <c:strCache>
                <c:ptCount val="7"/>
                <c:pt idx="0">
                  <c:v>Autoturism personal</c:v>
                </c:pt>
                <c:pt idx="1">
                  <c:v>Pietonal</c:v>
                </c:pt>
                <c:pt idx="2">
                  <c:v>Autobuz</c:v>
                </c:pt>
                <c:pt idx="3">
                  <c:v>Microbuz</c:v>
                </c:pt>
                <c:pt idx="4">
                  <c:v>Bicicletă</c:v>
                </c:pt>
                <c:pt idx="5">
                  <c:v>Taxi</c:v>
                </c:pt>
                <c:pt idx="6">
                  <c:v>Multimodal</c:v>
                </c:pt>
              </c:strCache>
            </c:strRef>
          </c:cat>
          <c:val>
            <c:numRef>
              <c:f>Foaie2!$CA$12:$CA$18</c:f>
              <c:numCache>
                <c:formatCode>General</c:formatCode>
                <c:ptCount val="7"/>
                <c:pt idx="0">
                  <c:v>84</c:v>
                </c:pt>
                <c:pt idx="1">
                  <c:v>28</c:v>
                </c:pt>
                <c:pt idx="2">
                  <c:v>26</c:v>
                </c:pt>
                <c:pt idx="3">
                  <c:v>10</c:v>
                </c:pt>
                <c:pt idx="4">
                  <c:v>2</c:v>
                </c:pt>
                <c:pt idx="5">
                  <c:v>16</c:v>
                </c:pt>
                <c:pt idx="6">
                  <c:v>21</c:v>
                </c:pt>
              </c:numCache>
            </c:numRef>
          </c:val>
          <c:extLst>
            <c:ext xmlns:c16="http://schemas.microsoft.com/office/drawing/2014/chart" uri="{C3380CC4-5D6E-409C-BE32-E72D297353CC}">
              <c16:uniqueId val="{0000000E-C23D-4AA5-A0D2-9B27B398298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cat>
            <c:strRef>
              <c:f>Foaie2!$CL$1:$CL$10</c:f>
              <c:strCache>
                <c:ptCount val="10"/>
                <c:pt idx="0">
                  <c:v>1 deplasare săptămânală</c:v>
                </c:pt>
                <c:pt idx="1">
                  <c:v>2 deplasări săptămânale</c:v>
                </c:pt>
                <c:pt idx="2">
                  <c:v>3 deplasări săptămânale</c:v>
                </c:pt>
                <c:pt idx="3">
                  <c:v>4 deplasări săptămânale</c:v>
                </c:pt>
                <c:pt idx="4">
                  <c:v>5 deplasări săptămânale</c:v>
                </c:pt>
                <c:pt idx="5">
                  <c:v>6 deplasări săptămânale</c:v>
                </c:pt>
                <c:pt idx="6">
                  <c:v>7 deplasări săptămânale</c:v>
                </c:pt>
                <c:pt idx="7">
                  <c:v>8 deplasări săptămânale</c:v>
                </c:pt>
                <c:pt idx="8">
                  <c:v>10 deplasări săptămânale</c:v>
                </c:pt>
                <c:pt idx="9">
                  <c:v>14 deplasări săptămânale</c:v>
                </c:pt>
              </c:strCache>
            </c:strRef>
          </c:cat>
          <c:val>
            <c:numRef>
              <c:f>Foaie2!$CM$1:$CM$10</c:f>
              <c:numCache>
                <c:formatCode>General</c:formatCode>
                <c:ptCount val="10"/>
                <c:pt idx="0">
                  <c:v>28</c:v>
                </c:pt>
                <c:pt idx="1">
                  <c:v>41</c:v>
                </c:pt>
                <c:pt idx="2">
                  <c:v>18</c:v>
                </c:pt>
                <c:pt idx="3">
                  <c:v>8</c:v>
                </c:pt>
                <c:pt idx="4">
                  <c:v>22</c:v>
                </c:pt>
                <c:pt idx="5">
                  <c:v>5</c:v>
                </c:pt>
                <c:pt idx="6">
                  <c:v>15</c:v>
                </c:pt>
                <c:pt idx="7">
                  <c:v>1</c:v>
                </c:pt>
                <c:pt idx="8">
                  <c:v>2</c:v>
                </c:pt>
                <c:pt idx="9">
                  <c:v>1</c:v>
                </c:pt>
              </c:numCache>
            </c:numRef>
          </c:val>
          <c:extLst>
            <c:ext xmlns:c16="http://schemas.microsoft.com/office/drawing/2014/chart" uri="{C3380CC4-5D6E-409C-BE32-E72D297353CC}">
              <c16:uniqueId val="{00000000-ECB6-4526-B4DB-F97F7AEBA2AE}"/>
            </c:ext>
          </c:extLst>
        </c:ser>
        <c:dLbls>
          <c:showLegendKey val="0"/>
          <c:showVal val="0"/>
          <c:showCatName val="0"/>
          <c:showSerName val="0"/>
          <c:showPercent val="0"/>
          <c:showBubbleSize val="0"/>
        </c:dLbls>
        <c:gapWidth val="219"/>
        <c:overlap val="-27"/>
        <c:axId val="732027568"/>
        <c:axId val="732028128"/>
      </c:barChart>
      <c:catAx>
        <c:axId val="732027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2028128"/>
        <c:crosses val="autoZero"/>
        <c:auto val="1"/>
        <c:lblAlgn val="ctr"/>
        <c:lblOffset val="100"/>
        <c:noMultiLvlLbl val="0"/>
      </c:catAx>
      <c:valAx>
        <c:axId val="73202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20275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9A03-498A-B15B-E89F9FBB0AF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9A03-498A-B15B-E89F9FBB0AF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9A03-498A-B15B-E89F9FBB0AF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9A03-498A-B15B-E89F9FBB0AF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9A03-498A-B15B-E89F9FBB0AF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9A03-498A-B15B-E89F9FBB0AF8}"/>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D-9A03-498A-B15B-E89F9FBB0AF8}"/>
              </c:ext>
            </c:extLst>
          </c:dPt>
          <c:dLbls>
            <c:dLbl>
              <c:idx val="3"/>
              <c:layout>
                <c:manualLayout>
                  <c:x val="2.3475503062117061E-3"/>
                  <c:y val="7.39716389617964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A03-498A-B15B-E89F9FBB0AF8}"/>
                </c:ext>
              </c:extLst>
            </c:dLbl>
            <c:dLbl>
              <c:idx val="4"/>
              <c:layout>
                <c:manualLayout>
                  <c:x val="1.1277340332458271E-3"/>
                  <c:y val="-4.18828375619714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9A03-498A-B15B-E89F9FBB0AF8}"/>
                </c:ext>
              </c:extLst>
            </c:dLbl>
            <c:dLbl>
              <c:idx val="5"/>
              <c:layout>
                <c:manualLayout>
                  <c:x val="-5.8202099737532922E-3"/>
                  <c:y val="-0.1117873286672499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9A03-498A-B15B-E89F9FBB0AF8}"/>
                </c:ext>
              </c:extLst>
            </c:dLbl>
            <c:dLbl>
              <c:idx val="6"/>
              <c:layout>
                <c:manualLayout>
                  <c:x val="0.13993985126859143"/>
                  <c:y val="0.1751552930883639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9A03-498A-B15B-E89F9FBB0AF8}"/>
                </c:ext>
              </c:extLst>
            </c:dLbl>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Foaie2!$CR$1:$CR$7</c:f>
              <c:strCache>
                <c:ptCount val="7"/>
                <c:pt idx="0">
                  <c:v>Autoturism personal</c:v>
                </c:pt>
                <c:pt idx="1">
                  <c:v>Pietonal</c:v>
                </c:pt>
                <c:pt idx="2">
                  <c:v>Autobuz</c:v>
                </c:pt>
                <c:pt idx="3">
                  <c:v>Microbuz</c:v>
                </c:pt>
                <c:pt idx="4">
                  <c:v>Bicicletă</c:v>
                </c:pt>
                <c:pt idx="5">
                  <c:v>Taxi</c:v>
                </c:pt>
                <c:pt idx="6">
                  <c:v>Multimodal</c:v>
                </c:pt>
              </c:strCache>
            </c:strRef>
          </c:cat>
          <c:val>
            <c:numRef>
              <c:f>Foaie2!$CS$1:$CS$7</c:f>
              <c:numCache>
                <c:formatCode>General</c:formatCode>
                <c:ptCount val="7"/>
                <c:pt idx="0">
                  <c:v>87</c:v>
                </c:pt>
                <c:pt idx="1">
                  <c:v>24</c:v>
                </c:pt>
                <c:pt idx="2">
                  <c:v>8</c:v>
                </c:pt>
                <c:pt idx="3">
                  <c:v>2</c:v>
                </c:pt>
                <c:pt idx="4">
                  <c:v>1</c:v>
                </c:pt>
                <c:pt idx="5">
                  <c:v>5</c:v>
                </c:pt>
                <c:pt idx="6">
                  <c:v>29</c:v>
                </c:pt>
              </c:numCache>
            </c:numRef>
          </c:val>
          <c:extLst>
            <c:ext xmlns:c16="http://schemas.microsoft.com/office/drawing/2014/chart" uri="{C3380CC4-5D6E-409C-BE32-E72D297353CC}">
              <c16:uniqueId val="{0000000E-9A03-498A-B15B-E89F9FBB0AF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cat>
            <c:strRef>
              <c:f>Foaie2!$DB$1:$DB$8</c:f>
              <c:strCache>
                <c:ptCount val="8"/>
                <c:pt idx="0">
                  <c:v>1 deplasare săptămânală</c:v>
                </c:pt>
                <c:pt idx="1">
                  <c:v>2 deplasări săptămânale</c:v>
                </c:pt>
                <c:pt idx="2">
                  <c:v>3 deplasări săptămânale</c:v>
                </c:pt>
                <c:pt idx="3">
                  <c:v>4 deplasări săptămânale</c:v>
                </c:pt>
                <c:pt idx="4">
                  <c:v>5 deplasări săptămânale</c:v>
                </c:pt>
                <c:pt idx="5">
                  <c:v>6 deplasări săptămânale</c:v>
                </c:pt>
                <c:pt idx="6">
                  <c:v>7 deplasări săptămânale</c:v>
                </c:pt>
                <c:pt idx="7">
                  <c:v>8 deplasări săptămânale</c:v>
                </c:pt>
              </c:strCache>
            </c:strRef>
          </c:cat>
          <c:val>
            <c:numRef>
              <c:f>Foaie2!$DC$1:$DC$8</c:f>
              <c:numCache>
                <c:formatCode>General</c:formatCode>
                <c:ptCount val="8"/>
                <c:pt idx="0">
                  <c:v>49</c:v>
                </c:pt>
                <c:pt idx="1">
                  <c:v>23</c:v>
                </c:pt>
                <c:pt idx="2">
                  <c:v>7</c:v>
                </c:pt>
                <c:pt idx="3">
                  <c:v>9</c:v>
                </c:pt>
                <c:pt idx="4">
                  <c:v>10</c:v>
                </c:pt>
                <c:pt idx="5">
                  <c:v>1</c:v>
                </c:pt>
                <c:pt idx="6">
                  <c:v>1</c:v>
                </c:pt>
                <c:pt idx="7">
                  <c:v>1</c:v>
                </c:pt>
              </c:numCache>
            </c:numRef>
          </c:val>
          <c:extLst>
            <c:ext xmlns:c16="http://schemas.microsoft.com/office/drawing/2014/chart" uri="{C3380CC4-5D6E-409C-BE32-E72D297353CC}">
              <c16:uniqueId val="{00000000-61E2-43A0-B647-4F81BB0BE8CB}"/>
            </c:ext>
          </c:extLst>
        </c:ser>
        <c:dLbls>
          <c:showLegendKey val="0"/>
          <c:showVal val="0"/>
          <c:showCatName val="0"/>
          <c:showSerName val="0"/>
          <c:showPercent val="0"/>
          <c:showBubbleSize val="0"/>
        </c:dLbls>
        <c:gapWidth val="219"/>
        <c:overlap val="-27"/>
        <c:axId val="732181024"/>
        <c:axId val="732181584"/>
      </c:barChart>
      <c:catAx>
        <c:axId val="732181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2181584"/>
        <c:crosses val="autoZero"/>
        <c:auto val="1"/>
        <c:lblAlgn val="ctr"/>
        <c:lblOffset val="100"/>
        <c:noMultiLvlLbl val="0"/>
      </c:catAx>
      <c:valAx>
        <c:axId val="732181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21810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a:latin typeface="Arial" panose="020B0604020202020204" pitchFamily="34" charset="0"/>
                <a:cs typeface="Arial" panose="020B0604020202020204" pitchFamily="34" charset="0"/>
              </a:rPr>
              <a:t>Evolu</a:t>
            </a:r>
            <a:r>
              <a:rPr lang="ro-RO" sz="1000" b="1">
                <a:latin typeface="Arial" panose="020B0604020202020204" pitchFamily="34" charset="0"/>
                <a:cs typeface="Arial" panose="020B0604020202020204" pitchFamily="34" charset="0"/>
              </a:rPr>
              <a:t>ţia</a:t>
            </a:r>
            <a:r>
              <a:rPr lang="ro-RO" sz="1000" b="1" baseline="0">
                <a:latin typeface="Arial" panose="020B0604020202020204" pitchFamily="34" charset="0"/>
                <a:cs typeface="Arial" panose="020B0604020202020204" pitchFamily="34" charset="0"/>
              </a:rPr>
              <a:t> populaţiei oraşului Horezu în perioda 2012-2021</a:t>
            </a:r>
            <a:endParaRPr lang="en-US" sz="10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lineChart>
        <c:grouping val="standard"/>
        <c:varyColors val="0"/>
        <c:ser>
          <c:idx val="0"/>
          <c:order val="0"/>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'Populatie 1 ian'!$E$3:$N$3</c:f>
              <c:strCache>
                <c:ptCount val="10"/>
                <c:pt idx="0">
                  <c:v>Anul 2012</c:v>
                </c:pt>
                <c:pt idx="1">
                  <c:v>Anul 2013</c:v>
                </c:pt>
                <c:pt idx="2">
                  <c:v>Anul 2014</c:v>
                </c:pt>
                <c:pt idx="3">
                  <c:v>Anul 2015</c:v>
                </c:pt>
                <c:pt idx="4">
                  <c:v>Anul 2016</c:v>
                </c:pt>
                <c:pt idx="5">
                  <c:v>Anul 2017</c:v>
                </c:pt>
                <c:pt idx="6">
                  <c:v>Anul 2018</c:v>
                </c:pt>
                <c:pt idx="7">
                  <c:v>Anul 2019</c:v>
                </c:pt>
                <c:pt idx="8">
                  <c:v>Anul 2020</c:v>
                </c:pt>
                <c:pt idx="9">
                  <c:v>Anul 2021</c:v>
                </c:pt>
              </c:strCache>
            </c:strRef>
          </c:cat>
          <c:val>
            <c:numRef>
              <c:f>'Populatie 1 ian'!$E$4:$N$4</c:f>
              <c:numCache>
                <c:formatCode>General</c:formatCode>
                <c:ptCount val="10"/>
                <c:pt idx="0">
                  <c:v>7275</c:v>
                </c:pt>
                <c:pt idx="1">
                  <c:v>7184</c:v>
                </c:pt>
                <c:pt idx="2">
                  <c:v>7133</c:v>
                </c:pt>
                <c:pt idx="3">
                  <c:v>7098</c:v>
                </c:pt>
                <c:pt idx="4">
                  <c:v>7024</c:v>
                </c:pt>
                <c:pt idx="5">
                  <c:v>6980</c:v>
                </c:pt>
                <c:pt idx="6">
                  <c:v>6953</c:v>
                </c:pt>
                <c:pt idx="7">
                  <c:v>6912</c:v>
                </c:pt>
                <c:pt idx="8">
                  <c:v>6878</c:v>
                </c:pt>
                <c:pt idx="9">
                  <c:v>6806</c:v>
                </c:pt>
              </c:numCache>
            </c:numRef>
          </c:val>
          <c:smooth val="0"/>
          <c:extLst>
            <c:ext xmlns:c16="http://schemas.microsoft.com/office/drawing/2014/chart" uri="{C3380CC4-5D6E-409C-BE32-E72D297353CC}">
              <c16:uniqueId val="{00000000-A80D-4553-8D8D-28E61206C98E}"/>
            </c:ext>
          </c:extLst>
        </c:ser>
        <c:dLbls>
          <c:showLegendKey val="0"/>
          <c:showVal val="0"/>
          <c:showCatName val="0"/>
          <c:showSerName val="0"/>
          <c:showPercent val="0"/>
          <c:showBubbleSize val="0"/>
        </c:dLbls>
        <c:smooth val="0"/>
        <c:axId val="427707840"/>
        <c:axId val="617084592"/>
      </c:lineChart>
      <c:catAx>
        <c:axId val="427707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17084592"/>
        <c:crosses val="autoZero"/>
        <c:auto val="1"/>
        <c:lblAlgn val="ctr"/>
        <c:lblOffset val="100"/>
        <c:noMultiLvlLbl val="0"/>
      </c:catAx>
      <c:valAx>
        <c:axId val="617084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277078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489-4E41-9F94-8A4AD53B6F66}"/>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489-4E41-9F94-8A4AD53B6F66}"/>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489-4E41-9F94-8A4AD53B6F66}"/>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489-4E41-9F94-8A4AD53B6F66}"/>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489-4E41-9F94-8A4AD53B6F66}"/>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489-4E41-9F94-8A4AD53B6F66}"/>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D-C489-4E41-9F94-8A4AD53B6F66}"/>
              </c:ext>
            </c:extLst>
          </c:dPt>
          <c:dLbls>
            <c:dLbl>
              <c:idx val="3"/>
              <c:layout>
                <c:manualLayout>
                  <c:x val="2.0282152230971049E-3"/>
                  <c:y val="1.316309419655876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489-4E41-9F94-8A4AD53B6F66}"/>
                </c:ext>
              </c:extLst>
            </c:dLbl>
            <c:dLbl>
              <c:idx val="4"/>
              <c:layout>
                <c:manualLayout>
                  <c:x val="-1.7913385826774159E-4"/>
                  <c:y val="-2.9481991834354081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489-4E41-9F94-8A4AD53B6F66}"/>
                </c:ext>
              </c:extLst>
            </c:dLbl>
            <c:dLbl>
              <c:idx val="5"/>
              <c:layout>
                <c:manualLayout>
                  <c:x val="-1.1989938757655296E-2"/>
                  <c:y val="-0.1205380577427821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489-4E41-9F94-8A4AD53B6F66}"/>
                </c:ext>
              </c:extLst>
            </c:dLbl>
            <c:dLbl>
              <c:idx val="6"/>
              <c:layout>
                <c:manualLayout>
                  <c:x val="0.12919291338582678"/>
                  <c:y val="0.17019466316710408"/>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C489-4E41-9F94-8A4AD53B6F66}"/>
                </c:ext>
              </c:extLst>
            </c:dLbl>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Foaie2!$DH$1:$DH$7</c:f>
              <c:strCache>
                <c:ptCount val="7"/>
                <c:pt idx="0">
                  <c:v>Autoturism personal</c:v>
                </c:pt>
                <c:pt idx="1">
                  <c:v>Pietonal</c:v>
                </c:pt>
                <c:pt idx="2">
                  <c:v>Autobuz</c:v>
                </c:pt>
                <c:pt idx="3">
                  <c:v>Bicicletă</c:v>
                </c:pt>
                <c:pt idx="4">
                  <c:v>Motoretă</c:v>
                </c:pt>
                <c:pt idx="5">
                  <c:v>Taxi</c:v>
                </c:pt>
                <c:pt idx="6">
                  <c:v>Multimodal</c:v>
                </c:pt>
              </c:strCache>
            </c:strRef>
          </c:cat>
          <c:val>
            <c:numRef>
              <c:f>Foaie2!$DI$1:$DI$7</c:f>
              <c:numCache>
                <c:formatCode>General</c:formatCode>
                <c:ptCount val="7"/>
                <c:pt idx="0">
                  <c:v>62</c:v>
                </c:pt>
                <c:pt idx="1">
                  <c:v>12</c:v>
                </c:pt>
                <c:pt idx="2">
                  <c:v>9</c:v>
                </c:pt>
                <c:pt idx="3">
                  <c:v>3</c:v>
                </c:pt>
                <c:pt idx="4">
                  <c:v>1</c:v>
                </c:pt>
                <c:pt idx="5">
                  <c:v>4</c:v>
                </c:pt>
                <c:pt idx="6">
                  <c:v>19</c:v>
                </c:pt>
              </c:numCache>
            </c:numRef>
          </c:val>
          <c:extLst>
            <c:ext xmlns:c16="http://schemas.microsoft.com/office/drawing/2014/chart" uri="{C3380CC4-5D6E-409C-BE32-E72D297353CC}">
              <c16:uniqueId val="{0000000E-C489-4E41-9F94-8A4AD53B6F66}"/>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baseline="0">
                <a:effectLst/>
              </a:rPr>
              <a:t>Repartitia modal</a:t>
            </a:r>
            <a:r>
              <a:rPr lang="ro-RO" sz="1400" b="0" i="0" baseline="0">
                <a:effectLst/>
              </a:rPr>
              <a:t>ă</a:t>
            </a:r>
            <a:r>
              <a:rPr lang="en-US" sz="1400" b="0" i="0" baseline="0">
                <a:effectLst/>
              </a:rPr>
              <a:t> a deplas</a:t>
            </a:r>
            <a:r>
              <a:rPr lang="ro-RO" sz="1400" b="0" i="0" baseline="0">
                <a:effectLst/>
              </a:rPr>
              <a:t>ă</a:t>
            </a:r>
            <a:r>
              <a:rPr lang="en-US" sz="1400" b="0" i="0" baseline="0">
                <a:effectLst/>
              </a:rPr>
              <a:t>rilor </a:t>
            </a:r>
          </a:p>
          <a:p>
            <a:pPr>
              <a:defRPr sz="1400" b="0" i="0" u="none" strike="noStrike" kern="1200" spc="0" baseline="0">
                <a:solidFill>
                  <a:schemeClr val="tx1">
                    <a:lumMod val="65000"/>
                    <a:lumOff val="35000"/>
                  </a:schemeClr>
                </a:solidFill>
                <a:latin typeface="+mn-lt"/>
                <a:ea typeface="+mn-ea"/>
                <a:cs typeface="+mn-cs"/>
              </a:defRPr>
            </a:pPr>
            <a:r>
              <a:rPr lang="en-US" sz="1400" b="0" i="0" baseline="0">
                <a:effectLst/>
              </a:rPr>
              <a:t>Orasul Horezu 2021</a:t>
            </a:r>
          </a:p>
        </c:rich>
      </c:tx>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cat>
            <c:strRef>
              <c:f>('Calcule scenarii'!$N$61:$N$62,'Calcule scenarii'!$N$64:$N$65)</c:f>
              <c:strCache>
                <c:ptCount val="4"/>
                <c:pt idx="0">
                  <c:v>cu transport interurban
autobuz/microbuz</c:v>
                </c:pt>
                <c:pt idx="1">
                  <c:v>cu auto personal / taxi</c:v>
                </c:pt>
                <c:pt idx="2">
                  <c:v>cu bicicleta</c:v>
                </c:pt>
                <c:pt idx="3">
                  <c:v>pietonal</c:v>
                </c:pt>
              </c:strCache>
              <c:extLst/>
            </c:strRef>
          </c:cat>
          <c:val>
            <c:numRef>
              <c:f>('Calcule scenarii'!$O$61:$O$62,'Calcule scenarii'!$O$64:$O$65)</c:f>
              <c:numCache>
                <c:formatCode>0</c:formatCode>
                <c:ptCount val="4"/>
                <c:pt idx="0">
                  <c:v>9381.2869200000005</c:v>
                </c:pt>
                <c:pt idx="1">
                  <c:v>20326.059906000002</c:v>
                </c:pt>
                <c:pt idx="2">
                  <c:v>220.02272399999998</c:v>
                </c:pt>
                <c:pt idx="3">
                  <c:v>6792</c:v>
                </c:pt>
              </c:numCache>
              <c:extLst/>
            </c:numRef>
          </c:val>
          <c:extLst>
            <c:ext xmlns:c16="http://schemas.microsoft.com/office/drawing/2014/chart" uri="{C3380CC4-5D6E-409C-BE32-E72D297353CC}">
              <c16:uniqueId val="{00000000-EF67-4F43-A6BE-582F5CC6255F}"/>
            </c:ext>
          </c:extLst>
        </c:ser>
        <c:dLbls>
          <c:showLegendKey val="0"/>
          <c:showVal val="0"/>
          <c:showCatName val="0"/>
          <c:showSerName val="0"/>
          <c:showPercent val="0"/>
          <c:showBubbleSize val="0"/>
        </c:dLbls>
        <c:gapWidth val="219"/>
        <c:axId val="748964192"/>
        <c:axId val="748964752"/>
      </c:barChart>
      <c:catAx>
        <c:axId val="748964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48964752"/>
        <c:crosses val="autoZero"/>
        <c:auto val="1"/>
        <c:lblAlgn val="ctr"/>
        <c:lblOffset val="100"/>
        <c:noMultiLvlLbl val="0"/>
      </c:catAx>
      <c:valAx>
        <c:axId val="7489647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4896419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a:t>Link: COUNT_PM_CARS|Volume-TSys [veh] (CAR,AP)</a:t>
            </a:r>
          </a:p>
        </c:rich>
      </c:tx>
      <c:overlay val="0"/>
    </c:title>
    <c:autoTitleDeleted val="0"/>
    <c:plotArea>
      <c:layout/>
      <c:scatterChart>
        <c:scatterStyle val="lineMarker"/>
        <c:varyColors val="0"/>
        <c:ser>
          <c:idx val="0"/>
          <c:order val="0"/>
          <c:tx>
            <c:v>Census</c:v>
          </c:tx>
          <c:spPr>
            <a:ln w="19050">
              <a:noFill/>
            </a:ln>
          </c:spPr>
          <c:marker>
            <c:spPr>
              <a:solidFill>
                <a:srgbClr val="006400"/>
              </a:solidFill>
              <a:ln/>
            </c:spPr>
          </c:marker>
          <c:trendline>
            <c:trendlineType val="linear"/>
            <c:dispRSqr val="1"/>
            <c:dispEq val="1"/>
            <c:trendlineLbl>
              <c:layout>
                <c:manualLayout>
                  <c:x val="-0.10165380577427821"/>
                  <c:y val="-2.3489063867016623E-2"/>
                </c:manualLayout>
              </c:layout>
              <c:numFmt formatCode="General" sourceLinked="0"/>
            </c:trendlineLbl>
          </c:trendline>
          <c:xVal>
            <c:numRef>
              <c:f>COUNT_PM_CAR!$E$3:$E$91</c:f>
              <c:numCache>
                <c:formatCode>General</c:formatCode>
                <c:ptCount val="89"/>
                <c:pt idx="0">
                  <c:v>93</c:v>
                </c:pt>
                <c:pt idx="1">
                  <c:v>98</c:v>
                </c:pt>
                <c:pt idx="2">
                  <c:v>85</c:v>
                </c:pt>
                <c:pt idx="3">
                  <c:v>9</c:v>
                </c:pt>
                <c:pt idx="4">
                  <c:v>16</c:v>
                </c:pt>
                <c:pt idx="5">
                  <c:v>107</c:v>
                </c:pt>
                <c:pt idx="6">
                  <c:v>102</c:v>
                </c:pt>
                <c:pt idx="7">
                  <c:v>26</c:v>
                </c:pt>
                <c:pt idx="8">
                  <c:v>6</c:v>
                </c:pt>
                <c:pt idx="9">
                  <c:v>1</c:v>
                </c:pt>
                <c:pt idx="10">
                  <c:v>3</c:v>
                </c:pt>
                <c:pt idx="11">
                  <c:v>26</c:v>
                </c:pt>
                <c:pt idx="12">
                  <c:v>21</c:v>
                </c:pt>
                <c:pt idx="13">
                  <c:v>2</c:v>
                </c:pt>
                <c:pt idx="14">
                  <c:v>3</c:v>
                </c:pt>
                <c:pt idx="15">
                  <c:v>11</c:v>
                </c:pt>
                <c:pt idx="16">
                  <c:v>13</c:v>
                </c:pt>
                <c:pt idx="17">
                  <c:v>330</c:v>
                </c:pt>
                <c:pt idx="18">
                  <c:v>260</c:v>
                </c:pt>
                <c:pt idx="19">
                  <c:v>314</c:v>
                </c:pt>
                <c:pt idx="20">
                  <c:v>279</c:v>
                </c:pt>
                <c:pt idx="21">
                  <c:v>89</c:v>
                </c:pt>
                <c:pt idx="22">
                  <c:v>118</c:v>
                </c:pt>
                <c:pt idx="23">
                  <c:v>260</c:v>
                </c:pt>
                <c:pt idx="24">
                  <c:v>205</c:v>
                </c:pt>
                <c:pt idx="25">
                  <c:v>377</c:v>
                </c:pt>
                <c:pt idx="26">
                  <c:v>440</c:v>
                </c:pt>
                <c:pt idx="27">
                  <c:v>149</c:v>
                </c:pt>
                <c:pt idx="28">
                  <c:v>208</c:v>
                </c:pt>
                <c:pt idx="29">
                  <c:v>21</c:v>
                </c:pt>
                <c:pt idx="30">
                  <c:v>31</c:v>
                </c:pt>
                <c:pt idx="31">
                  <c:v>322</c:v>
                </c:pt>
                <c:pt idx="32">
                  <c:v>417</c:v>
                </c:pt>
                <c:pt idx="33">
                  <c:v>71</c:v>
                </c:pt>
                <c:pt idx="34">
                  <c:v>80</c:v>
                </c:pt>
                <c:pt idx="35">
                  <c:v>46</c:v>
                </c:pt>
                <c:pt idx="36">
                  <c:v>56</c:v>
                </c:pt>
                <c:pt idx="37">
                  <c:v>25</c:v>
                </c:pt>
                <c:pt idx="38">
                  <c:v>29</c:v>
                </c:pt>
                <c:pt idx="39">
                  <c:v>22</c:v>
                </c:pt>
                <c:pt idx="40">
                  <c:v>26</c:v>
                </c:pt>
                <c:pt idx="41">
                  <c:v>2</c:v>
                </c:pt>
                <c:pt idx="42">
                  <c:v>37</c:v>
                </c:pt>
                <c:pt idx="43">
                  <c:v>198</c:v>
                </c:pt>
                <c:pt idx="44">
                  <c:v>129</c:v>
                </c:pt>
                <c:pt idx="45">
                  <c:v>426</c:v>
                </c:pt>
                <c:pt idx="46">
                  <c:v>431</c:v>
                </c:pt>
                <c:pt idx="47">
                  <c:v>78</c:v>
                </c:pt>
                <c:pt idx="48">
                  <c:v>61</c:v>
                </c:pt>
                <c:pt idx="49">
                  <c:v>94</c:v>
                </c:pt>
                <c:pt idx="50">
                  <c:v>129</c:v>
                </c:pt>
                <c:pt idx="51">
                  <c:v>52</c:v>
                </c:pt>
                <c:pt idx="52">
                  <c:v>80</c:v>
                </c:pt>
                <c:pt idx="53">
                  <c:v>26</c:v>
                </c:pt>
                <c:pt idx="54">
                  <c:v>25</c:v>
                </c:pt>
                <c:pt idx="55">
                  <c:v>80</c:v>
                </c:pt>
                <c:pt idx="56">
                  <c:v>44</c:v>
                </c:pt>
                <c:pt idx="57">
                  <c:v>75</c:v>
                </c:pt>
                <c:pt idx="58">
                  <c:v>133</c:v>
                </c:pt>
                <c:pt idx="59">
                  <c:v>14</c:v>
                </c:pt>
                <c:pt idx="60">
                  <c:v>16</c:v>
                </c:pt>
                <c:pt idx="61">
                  <c:v>398</c:v>
                </c:pt>
                <c:pt idx="62">
                  <c:v>411</c:v>
                </c:pt>
                <c:pt idx="63">
                  <c:v>19</c:v>
                </c:pt>
                <c:pt idx="64">
                  <c:v>31</c:v>
                </c:pt>
                <c:pt idx="65">
                  <c:v>125</c:v>
                </c:pt>
                <c:pt idx="66">
                  <c:v>76</c:v>
                </c:pt>
                <c:pt idx="67">
                  <c:v>82</c:v>
                </c:pt>
                <c:pt idx="68">
                  <c:v>95</c:v>
                </c:pt>
                <c:pt idx="69">
                  <c:v>73</c:v>
                </c:pt>
                <c:pt idx="70">
                  <c:v>106</c:v>
                </c:pt>
                <c:pt idx="71">
                  <c:v>55</c:v>
                </c:pt>
                <c:pt idx="72">
                  <c:v>29</c:v>
                </c:pt>
                <c:pt idx="73">
                  <c:v>46</c:v>
                </c:pt>
                <c:pt idx="74">
                  <c:v>36</c:v>
                </c:pt>
                <c:pt idx="75">
                  <c:v>81</c:v>
                </c:pt>
                <c:pt idx="76">
                  <c:v>70</c:v>
                </c:pt>
                <c:pt idx="77">
                  <c:v>85</c:v>
                </c:pt>
                <c:pt idx="78">
                  <c:v>91</c:v>
                </c:pt>
                <c:pt idx="79">
                  <c:v>62</c:v>
                </c:pt>
                <c:pt idx="80">
                  <c:v>85</c:v>
                </c:pt>
                <c:pt idx="81">
                  <c:v>471</c:v>
                </c:pt>
                <c:pt idx="82">
                  <c:v>450</c:v>
                </c:pt>
                <c:pt idx="83">
                  <c:v>440</c:v>
                </c:pt>
                <c:pt idx="84">
                  <c:v>462</c:v>
                </c:pt>
                <c:pt idx="85">
                  <c:v>400</c:v>
                </c:pt>
                <c:pt idx="86">
                  <c:v>431</c:v>
                </c:pt>
                <c:pt idx="87">
                  <c:v>71</c:v>
                </c:pt>
                <c:pt idx="88">
                  <c:v>105</c:v>
                </c:pt>
              </c:numCache>
            </c:numRef>
          </c:xVal>
          <c:yVal>
            <c:numRef>
              <c:f>COUNT_PM_CAR!$D$3:$D$91</c:f>
              <c:numCache>
                <c:formatCode>General</c:formatCode>
                <c:ptCount val="89"/>
                <c:pt idx="0">
                  <c:v>86</c:v>
                </c:pt>
                <c:pt idx="1">
                  <c:v>83</c:v>
                </c:pt>
                <c:pt idx="2">
                  <c:v>111</c:v>
                </c:pt>
                <c:pt idx="3">
                  <c:v>16</c:v>
                </c:pt>
                <c:pt idx="4">
                  <c:v>16</c:v>
                </c:pt>
                <c:pt idx="5">
                  <c:v>132</c:v>
                </c:pt>
                <c:pt idx="6">
                  <c:v>161</c:v>
                </c:pt>
                <c:pt idx="7">
                  <c:v>35</c:v>
                </c:pt>
                <c:pt idx="8">
                  <c:v>21</c:v>
                </c:pt>
                <c:pt idx="9">
                  <c:v>5</c:v>
                </c:pt>
                <c:pt idx="10">
                  <c:v>3</c:v>
                </c:pt>
                <c:pt idx="11">
                  <c:v>18</c:v>
                </c:pt>
                <c:pt idx="12">
                  <c:v>19</c:v>
                </c:pt>
                <c:pt idx="13">
                  <c:v>3</c:v>
                </c:pt>
                <c:pt idx="14">
                  <c:v>4</c:v>
                </c:pt>
                <c:pt idx="15">
                  <c:v>11</c:v>
                </c:pt>
                <c:pt idx="16">
                  <c:v>10</c:v>
                </c:pt>
                <c:pt idx="17">
                  <c:v>294</c:v>
                </c:pt>
                <c:pt idx="18">
                  <c:v>231</c:v>
                </c:pt>
                <c:pt idx="19">
                  <c:v>292</c:v>
                </c:pt>
                <c:pt idx="20">
                  <c:v>263</c:v>
                </c:pt>
                <c:pt idx="21">
                  <c:v>84</c:v>
                </c:pt>
                <c:pt idx="22">
                  <c:v>113</c:v>
                </c:pt>
                <c:pt idx="23">
                  <c:v>265</c:v>
                </c:pt>
                <c:pt idx="24">
                  <c:v>207</c:v>
                </c:pt>
                <c:pt idx="25">
                  <c:v>388</c:v>
                </c:pt>
                <c:pt idx="26">
                  <c:v>483</c:v>
                </c:pt>
                <c:pt idx="27">
                  <c:v>116</c:v>
                </c:pt>
                <c:pt idx="28">
                  <c:v>187</c:v>
                </c:pt>
                <c:pt idx="29">
                  <c:v>23</c:v>
                </c:pt>
                <c:pt idx="30">
                  <c:v>33</c:v>
                </c:pt>
                <c:pt idx="31">
                  <c:v>294</c:v>
                </c:pt>
                <c:pt idx="32">
                  <c:v>398</c:v>
                </c:pt>
                <c:pt idx="33">
                  <c:v>69</c:v>
                </c:pt>
                <c:pt idx="34">
                  <c:v>74</c:v>
                </c:pt>
                <c:pt idx="35">
                  <c:v>51</c:v>
                </c:pt>
                <c:pt idx="36">
                  <c:v>61</c:v>
                </c:pt>
                <c:pt idx="37">
                  <c:v>21</c:v>
                </c:pt>
                <c:pt idx="38">
                  <c:v>24</c:v>
                </c:pt>
                <c:pt idx="39">
                  <c:v>16</c:v>
                </c:pt>
                <c:pt idx="40">
                  <c:v>29</c:v>
                </c:pt>
                <c:pt idx="41">
                  <c:v>17</c:v>
                </c:pt>
                <c:pt idx="42">
                  <c:v>51</c:v>
                </c:pt>
                <c:pt idx="43">
                  <c:v>189</c:v>
                </c:pt>
                <c:pt idx="44">
                  <c:v>127</c:v>
                </c:pt>
                <c:pt idx="45">
                  <c:v>379</c:v>
                </c:pt>
                <c:pt idx="46">
                  <c:v>410</c:v>
                </c:pt>
                <c:pt idx="47">
                  <c:v>73</c:v>
                </c:pt>
                <c:pt idx="48">
                  <c:v>70</c:v>
                </c:pt>
                <c:pt idx="49">
                  <c:v>93</c:v>
                </c:pt>
                <c:pt idx="50">
                  <c:v>124</c:v>
                </c:pt>
                <c:pt idx="51">
                  <c:v>53</c:v>
                </c:pt>
                <c:pt idx="52">
                  <c:v>53</c:v>
                </c:pt>
                <c:pt idx="53">
                  <c:v>31</c:v>
                </c:pt>
                <c:pt idx="54">
                  <c:v>30</c:v>
                </c:pt>
                <c:pt idx="55">
                  <c:v>49</c:v>
                </c:pt>
                <c:pt idx="56">
                  <c:v>45</c:v>
                </c:pt>
                <c:pt idx="57">
                  <c:v>76</c:v>
                </c:pt>
                <c:pt idx="58">
                  <c:v>97</c:v>
                </c:pt>
                <c:pt idx="59">
                  <c:v>9</c:v>
                </c:pt>
                <c:pt idx="60">
                  <c:v>9</c:v>
                </c:pt>
                <c:pt idx="61">
                  <c:v>395</c:v>
                </c:pt>
                <c:pt idx="62">
                  <c:v>408</c:v>
                </c:pt>
                <c:pt idx="63">
                  <c:v>22</c:v>
                </c:pt>
                <c:pt idx="64">
                  <c:v>30</c:v>
                </c:pt>
                <c:pt idx="65">
                  <c:v>136</c:v>
                </c:pt>
                <c:pt idx="66">
                  <c:v>107</c:v>
                </c:pt>
                <c:pt idx="67">
                  <c:v>79</c:v>
                </c:pt>
                <c:pt idx="68">
                  <c:v>99</c:v>
                </c:pt>
                <c:pt idx="69">
                  <c:v>83</c:v>
                </c:pt>
                <c:pt idx="70">
                  <c:v>101</c:v>
                </c:pt>
                <c:pt idx="71">
                  <c:v>30</c:v>
                </c:pt>
                <c:pt idx="72">
                  <c:v>31</c:v>
                </c:pt>
                <c:pt idx="73">
                  <c:v>45</c:v>
                </c:pt>
                <c:pt idx="74">
                  <c:v>36</c:v>
                </c:pt>
                <c:pt idx="75">
                  <c:v>89</c:v>
                </c:pt>
                <c:pt idx="76">
                  <c:v>79</c:v>
                </c:pt>
                <c:pt idx="77">
                  <c:v>94</c:v>
                </c:pt>
                <c:pt idx="78">
                  <c:v>86</c:v>
                </c:pt>
                <c:pt idx="79">
                  <c:v>65</c:v>
                </c:pt>
                <c:pt idx="80">
                  <c:v>73</c:v>
                </c:pt>
                <c:pt idx="81">
                  <c:v>453</c:v>
                </c:pt>
                <c:pt idx="82">
                  <c:v>408</c:v>
                </c:pt>
                <c:pt idx="83">
                  <c:v>421</c:v>
                </c:pt>
                <c:pt idx="84">
                  <c:v>437</c:v>
                </c:pt>
                <c:pt idx="85">
                  <c:v>394</c:v>
                </c:pt>
                <c:pt idx="86">
                  <c:v>446</c:v>
                </c:pt>
                <c:pt idx="87">
                  <c:v>73</c:v>
                </c:pt>
                <c:pt idx="88">
                  <c:v>116</c:v>
                </c:pt>
              </c:numCache>
            </c:numRef>
          </c:yVal>
          <c:smooth val="0"/>
          <c:extLst>
            <c:ext xmlns:c16="http://schemas.microsoft.com/office/drawing/2014/chart" uri="{C3380CC4-5D6E-409C-BE32-E72D297353CC}">
              <c16:uniqueId val="{00000001-D474-4E40-AB71-1DAE300F5D8C}"/>
            </c:ext>
          </c:extLst>
        </c:ser>
        <c:dLbls>
          <c:showLegendKey val="0"/>
          <c:showVal val="0"/>
          <c:showCatName val="0"/>
          <c:showSerName val="0"/>
          <c:showPercent val="0"/>
          <c:showBubbleSize val="0"/>
        </c:dLbls>
        <c:axId val="748966992"/>
        <c:axId val="748967552"/>
      </c:scatterChart>
      <c:valAx>
        <c:axId val="748966992"/>
        <c:scaling>
          <c:orientation val="minMax"/>
        </c:scaling>
        <c:delete val="0"/>
        <c:axPos val="b"/>
        <c:title>
          <c:tx>
            <c:rich>
              <a:bodyPr/>
              <a:lstStyle/>
              <a:p>
                <a:pPr>
                  <a:defRPr/>
                </a:pPr>
                <a:r>
                  <a:rPr lang="en-US"/>
                  <a:t>Model</a:t>
                </a:r>
              </a:p>
            </c:rich>
          </c:tx>
          <c:overlay val="0"/>
        </c:title>
        <c:numFmt formatCode="General" sourceLinked="1"/>
        <c:majorTickMark val="out"/>
        <c:minorTickMark val="none"/>
        <c:tickLblPos val="nextTo"/>
        <c:crossAx val="748967552"/>
        <c:crosses val="autoZero"/>
        <c:crossBetween val="midCat"/>
      </c:valAx>
      <c:valAx>
        <c:axId val="748967552"/>
        <c:scaling>
          <c:orientation val="minMax"/>
        </c:scaling>
        <c:delete val="0"/>
        <c:axPos val="l"/>
        <c:majorGridlines/>
        <c:title>
          <c:tx>
            <c:rich>
              <a:bodyPr/>
              <a:lstStyle/>
              <a:p>
                <a:pPr>
                  <a:defRPr/>
                </a:pPr>
                <a:r>
                  <a:rPr lang="en-US"/>
                  <a:t>Census</a:t>
                </a:r>
              </a:p>
            </c:rich>
          </c:tx>
          <c:overlay val="0"/>
        </c:title>
        <c:numFmt formatCode="General" sourceLinked="1"/>
        <c:majorTickMark val="out"/>
        <c:minorTickMark val="none"/>
        <c:tickLblPos val="nextTo"/>
        <c:crossAx val="748966992"/>
        <c:crosses val="autoZero"/>
        <c:crossBetween val="midCat"/>
      </c:valAx>
    </c:plotArea>
    <c:plotVisOnly val="1"/>
    <c:dispBlanksAs val="span"/>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a:t>Link: COUNT_PM_CARS|Volume-TSys [veh] (CAR,AP)</a:t>
            </a:r>
          </a:p>
        </c:rich>
      </c:tx>
      <c:overlay val="0"/>
    </c:title>
    <c:autoTitleDeleted val="0"/>
    <c:plotArea>
      <c:layout/>
      <c:barChart>
        <c:barDir val="col"/>
        <c:grouping val="clustered"/>
        <c:varyColors val="0"/>
        <c:ser>
          <c:idx val="0"/>
          <c:order val="0"/>
          <c:tx>
            <c:v>Census</c:v>
          </c:tx>
          <c:spPr>
            <a:solidFill>
              <a:srgbClr val="5082BE"/>
            </a:solidFill>
            <a:ln>
              <a:solidFill>
                <a:srgbClr val="5082BE"/>
              </a:solidFill>
            </a:ln>
          </c:spPr>
          <c:invertIfNegative val="0"/>
          <c:cat>
            <c:strRef>
              <c:f>COUNT_PM_CAR!$C$3:$C$91</c:f>
              <c:strCache>
                <c:ptCount val="89"/>
                <c:pt idx="0">
                  <c:v>13 - DC 139 – DN 67 (A)</c:v>
                </c:pt>
                <c:pt idx="1">
                  <c:v>13 - DC 139 – DN 67 (A)</c:v>
                </c:pt>
                <c:pt idx="2">
                  <c:v>13 - DC 139 – DN 67 (B)</c:v>
                </c:pt>
                <c:pt idx="3">
                  <c:v>8 - DC 142 – str. Matei Basarab</c:v>
                </c:pt>
                <c:pt idx="4">
                  <c:v>8 - DC 142 – str. Matei Basarab</c:v>
                </c:pt>
                <c:pt idx="5">
                  <c:v>14 - DC 146 – str. Mircea cel Batran</c:v>
                </c:pt>
                <c:pt idx="6">
                  <c:v>14 - DC 146 – str. Mircea cel Batran</c:v>
                </c:pt>
                <c:pt idx="7">
                  <c:v>9 - DC 143 – str. Mihai Viteazu</c:v>
                </c:pt>
                <c:pt idx="8">
                  <c:v>14 - DC 146 – str. Mircea cel Batran</c:v>
                </c:pt>
                <c:pt idx="9">
                  <c:v>5 - DC 142 – str. Alex. Vlahuta</c:v>
                </c:pt>
                <c:pt idx="10">
                  <c:v>5 - DC 142 – str. Alex. Vlahuta</c:v>
                </c:pt>
                <c:pt idx="11">
                  <c:v>7 - DC 144 – str. spre Romanii de Sus (Stejarului)</c:v>
                </c:pt>
                <c:pt idx="12">
                  <c:v>7 - DC 144 – str. spre Romanii de Sus (Stejarului)</c:v>
                </c:pt>
                <c:pt idx="13">
                  <c:v>6 - DC 143 – str. Stirbei Voda</c:v>
                </c:pt>
                <c:pt idx="14">
                  <c:v>6 - DC 143 – str. Stirbei Voda</c:v>
                </c:pt>
                <c:pt idx="15">
                  <c:v>7 - DC 144 – str. spre Romanii de Sus (Stejarului)</c:v>
                </c:pt>
                <c:pt idx="16">
                  <c:v>7 - DC 144 – str. spre Romanii de Sus (Stejarului)</c:v>
                </c:pt>
                <c:pt idx="17">
                  <c:v>15 - DN 67 – str. Stadionului</c:v>
                </c:pt>
                <c:pt idx="18">
                  <c:v>15 - DN 67 – str. Stadionului</c:v>
                </c:pt>
                <c:pt idx="19">
                  <c:v>15 - DN 67 – str. Stadionului</c:v>
                </c:pt>
                <c:pt idx="20">
                  <c:v>15 - DN 67 – str. Stadionului</c:v>
                </c:pt>
                <c:pt idx="21">
                  <c:v>8 - DC 142 – str. Matei Basarab</c:v>
                </c:pt>
                <c:pt idx="22">
                  <c:v>8 - DC 142 – str. Matei Basarab</c:v>
                </c:pt>
                <c:pt idx="23">
                  <c:v>4 - DJ 665 (Vaideeni)</c:v>
                </c:pt>
                <c:pt idx="24">
                  <c:v>4 - DJ 665 (Vaideeni)</c:v>
                </c:pt>
                <c:pt idx="25">
                  <c:v>13 - DC 139 – DN 67 (B)</c:v>
                </c:pt>
                <c:pt idx="26">
                  <c:v>13 - DC 139 – DN 67 (B)</c:v>
                </c:pt>
                <c:pt idx="27">
                  <c:v>14 - DC 146 – str. Mircea cel Batran</c:v>
                </c:pt>
                <c:pt idx="28">
                  <c:v>14 - DC 146 – str. Mircea cel Batran</c:v>
                </c:pt>
                <c:pt idx="30">
                  <c:v>5 - DC 142 – str. Alex. Vlahuta</c:v>
                </c:pt>
                <c:pt idx="31">
                  <c:v>13 - DC 139 – DN 67 (A)</c:v>
                </c:pt>
                <c:pt idx="32">
                  <c:v>13 - DC 139 – DN 67 (A)</c:v>
                </c:pt>
                <c:pt idx="33">
                  <c:v>16 - DJ 669 – DC 146</c:v>
                </c:pt>
                <c:pt idx="34">
                  <c:v>16 - DJ 669 – DC 146</c:v>
                </c:pt>
                <c:pt idx="35">
                  <c:v>17 - DJ 669 – str. Manastirii</c:v>
                </c:pt>
                <c:pt idx="36">
                  <c:v>17 - DJ 669 – str. Manastirii</c:v>
                </c:pt>
                <c:pt idx="37">
                  <c:v>6 - DC 143 – str. Stirbei Voda</c:v>
                </c:pt>
                <c:pt idx="38">
                  <c:v>6 - DC 143 – str. Stirbei Voda</c:v>
                </c:pt>
                <c:pt idx="39">
                  <c:v>6 - DC 143 – str. Stirbei Voda</c:v>
                </c:pt>
                <c:pt idx="40">
                  <c:v>6 - DC 143 – str. Stirbei Voda</c:v>
                </c:pt>
                <c:pt idx="41">
                  <c:v>15 - DN 67 – str. Stadionului</c:v>
                </c:pt>
                <c:pt idx="42">
                  <c:v>15 - DN 67 – str. Stadionului</c:v>
                </c:pt>
                <c:pt idx="43">
                  <c:v>13 - DC 139 – DN 67 (A)</c:v>
                </c:pt>
                <c:pt idx="44">
                  <c:v>13 - DC 139 – DN 67 (A)</c:v>
                </c:pt>
                <c:pt idx="45">
                  <c:v>11 - DN 67 – DN 65C</c:v>
                </c:pt>
                <c:pt idx="46">
                  <c:v>11 - DN 67 – DN 65C</c:v>
                </c:pt>
                <c:pt idx="47">
                  <c:v>9 - DC 143 – str. Mihai Viteazu</c:v>
                </c:pt>
                <c:pt idx="48">
                  <c:v>9 - DC 143 – str. Mihai Viteazu</c:v>
                </c:pt>
                <c:pt idx="49">
                  <c:v>8 - DC 142 – str. Matei Basarab</c:v>
                </c:pt>
                <c:pt idx="50">
                  <c:v>8 - DC 142 – str. Matei Basarab</c:v>
                </c:pt>
                <c:pt idx="51">
                  <c:v>10 - DC 144 – DC 146</c:v>
                </c:pt>
                <c:pt idx="52">
                  <c:v>10 - DC 144 – DC 146</c:v>
                </c:pt>
                <c:pt idx="53">
                  <c:v>17 - DJ 669 – str. Manastirii</c:v>
                </c:pt>
                <c:pt idx="54">
                  <c:v>17 - DJ 669 – str. Manastirii</c:v>
                </c:pt>
                <c:pt idx="55">
                  <c:v>16 - DJ 669 – DC 146</c:v>
                </c:pt>
                <c:pt idx="56">
                  <c:v>16 - DJ 669 – DC 146</c:v>
                </c:pt>
                <c:pt idx="57">
                  <c:v>14 - DC 146 – str. Mircea cel Batran</c:v>
                </c:pt>
                <c:pt idx="58">
                  <c:v>14 - DC 146 – str. Mircea cel Batran</c:v>
                </c:pt>
                <c:pt idx="59">
                  <c:v>7 - DC 144 – str. spre Romanii de Sus (Stejarului)</c:v>
                </c:pt>
                <c:pt idx="60">
                  <c:v>7 - DC 144 – str. spre Romanii de Sus (Stejarului)</c:v>
                </c:pt>
                <c:pt idx="61">
                  <c:v>1 - DN 67 dinspre Rm. Valcea</c:v>
                </c:pt>
                <c:pt idx="62">
                  <c:v>1 - DN 67 dinspre Rm. Valcea</c:v>
                </c:pt>
                <c:pt idx="63">
                  <c:v>5 - DC 142 – str. Alex. Vlahuta</c:v>
                </c:pt>
                <c:pt idx="64">
                  <c:v>5 - DC 142 – str. Alex. Vlahuta</c:v>
                </c:pt>
                <c:pt idx="65">
                  <c:v>11 - DN 67 – DN 65C</c:v>
                </c:pt>
                <c:pt idx="66">
                  <c:v>11 - DN 67 – DN 65C</c:v>
                </c:pt>
                <c:pt idx="67">
                  <c:v>9 - DC 143 – str. Mihai Viteazu</c:v>
                </c:pt>
                <c:pt idx="68">
                  <c:v>9 - DC 143 – str. Mihai Viteazu</c:v>
                </c:pt>
                <c:pt idx="69">
                  <c:v>10 - DC 144 – DC 146</c:v>
                </c:pt>
                <c:pt idx="70">
                  <c:v>10 - DC 144 – DC 146</c:v>
                </c:pt>
                <c:pt idx="71">
                  <c:v>16 - DJ 669 – DC 146</c:v>
                </c:pt>
                <c:pt idx="72">
                  <c:v>16 - DJ 669 – DC 146</c:v>
                </c:pt>
                <c:pt idx="73">
                  <c:v>17 - DJ 669 – str. Manastirii</c:v>
                </c:pt>
                <c:pt idx="74">
                  <c:v>17 - DJ 669 – str. Manastirii</c:v>
                </c:pt>
                <c:pt idx="75">
                  <c:v>10 - DC 144 – DC 146</c:v>
                </c:pt>
                <c:pt idx="76">
                  <c:v>10 - DC 144 – DC 146</c:v>
                </c:pt>
                <c:pt idx="77">
                  <c:v>10 - DC 144 – DC 146</c:v>
                </c:pt>
                <c:pt idx="78">
                  <c:v>10 - DC 144 – DC 146</c:v>
                </c:pt>
                <c:pt idx="79">
                  <c:v>11 - DN 67 – DN 65C</c:v>
                </c:pt>
                <c:pt idx="80">
                  <c:v>11 - DN 67 – DN 65C</c:v>
                </c:pt>
                <c:pt idx="81">
                  <c:v>13 - DC 139 – DN 67 (A)</c:v>
                </c:pt>
                <c:pt idx="82">
                  <c:v>13 - DC 139 – DN 67 (A)</c:v>
                </c:pt>
                <c:pt idx="83">
                  <c:v>13 - DC 139 – DN 67 (B)</c:v>
                </c:pt>
                <c:pt idx="84">
                  <c:v>13 - DC 139 – DN 67 (B)</c:v>
                </c:pt>
                <c:pt idx="85">
                  <c:v>11 - DN 67 – DN 65C</c:v>
                </c:pt>
                <c:pt idx="86">
                  <c:v>11 - DN 67 – DN 65C</c:v>
                </c:pt>
                <c:pt idx="87">
                  <c:v>3 - DN 65C</c:v>
                </c:pt>
                <c:pt idx="88">
                  <c:v>3 - DN 65C</c:v>
                </c:pt>
              </c:strCache>
            </c:strRef>
          </c:cat>
          <c:val>
            <c:numRef>
              <c:f>COUNT_PM_CAR!$D$3:$D$91</c:f>
              <c:numCache>
                <c:formatCode>General</c:formatCode>
                <c:ptCount val="89"/>
                <c:pt idx="0">
                  <c:v>86</c:v>
                </c:pt>
                <c:pt idx="1">
                  <c:v>83</c:v>
                </c:pt>
                <c:pt idx="2">
                  <c:v>111</c:v>
                </c:pt>
                <c:pt idx="3">
                  <c:v>16</c:v>
                </c:pt>
                <c:pt idx="4">
                  <c:v>16</c:v>
                </c:pt>
                <c:pt idx="5">
                  <c:v>132</c:v>
                </c:pt>
                <c:pt idx="6">
                  <c:v>161</c:v>
                </c:pt>
                <c:pt idx="7">
                  <c:v>35</c:v>
                </c:pt>
                <c:pt idx="8">
                  <c:v>21</c:v>
                </c:pt>
                <c:pt idx="9">
                  <c:v>5</c:v>
                </c:pt>
                <c:pt idx="10">
                  <c:v>3</c:v>
                </c:pt>
                <c:pt idx="11">
                  <c:v>18</c:v>
                </c:pt>
                <c:pt idx="12">
                  <c:v>19</c:v>
                </c:pt>
                <c:pt idx="13">
                  <c:v>3</c:v>
                </c:pt>
                <c:pt idx="14">
                  <c:v>4</c:v>
                </c:pt>
                <c:pt idx="15">
                  <c:v>11</c:v>
                </c:pt>
                <c:pt idx="16">
                  <c:v>10</c:v>
                </c:pt>
                <c:pt idx="17">
                  <c:v>294</c:v>
                </c:pt>
                <c:pt idx="18">
                  <c:v>231</c:v>
                </c:pt>
                <c:pt idx="19">
                  <c:v>292</c:v>
                </c:pt>
                <c:pt idx="20">
                  <c:v>263</c:v>
                </c:pt>
                <c:pt idx="21">
                  <c:v>84</c:v>
                </c:pt>
                <c:pt idx="22">
                  <c:v>113</c:v>
                </c:pt>
                <c:pt idx="23">
                  <c:v>265</c:v>
                </c:pt>
                <c:pt idx="24">
                  <c:v>207</c:v>
                </c:pt>
                <c:pt idx="25">
                  <c:v>388</c:v>
                </c:pt>
                <c:pt idx="26">
                  <c:v>483</c:v>
                </c:pt>
                <c:pt idx="27">
                  <c:v>116</c:v>
                </c:pt>
                <c:pt idx="28">
                  <c:v>187</c:v>
                </c:pt>
                <c:pt idx="29">
                  <c:v>23</c:v>
                </c:pt>
                <c:pt idx="30">
                  <c:v>33</c:v>
                </c:pt>
                <c:pt idx="31">
                  <c:v>294</c:v>
                </c:pt>
                <c:pt idx="32">
                  <c:v>398</c:v>
                </c:pt>
                <c:pt idx="33">
                  <c:v>69</c:v>
                </c:pt>
                <c:pt idx="34">
                  <c:v>74</c:v>
                </c:pt>
                <c:pt idx="35">
                  <c:v>51</c:v>
                </c:pt>
                <c:pt idx="36">
                  <c:v>61</c:v>
                </c:pt>
                <c:pt idx="37">
                  <c:v>21</c:v>
                </c:pt>
                <c:pt idx="38">
                  <c:v>24</c:v>
                </c:pt>
                <c:pt idx="39">
                  <c:v>16</c:v>
                </c:pt>
                <c:pt idx="40">
                  <c:v>29</c:v>
                </c:pt>
                <c:pt idx="41">
                  <c:v>17</c:v>
                </c:pt>
                <c:pt idx="42">
                  <c:v>51</c:v>
                </c:pt>
                <c:pt idx="43">
                  <c:v>189</c:v>
                </c:pt>
                <c:pt idx="44">
                  <c:v>127</c:v>
                </c:pt>
                <c:pt idx="45">
                  <c:v>379</c:v>
                </c:pt>
                <c:pt idx="46">
                  <c:v>410</c:v>
                </c:pt>
                <c:pt idx="47">
                  <c:v>73</c:v>
                </c:pt>
                <c:pt idx="48">
                  <c:v>70</c:v>
                </c:pt>
                <c:pt idx="49">
                  <c:v>93</c:v>
                </c:pt>
                <c:pt idx="50">
                  <c:v>124</c:v>
                </c:pt>
                <c:pt idx="51">
                  <c:v>53</c:v>
                </c:pt>
                <c:pt idx="52">
                  <c:v>53</c:v>
                </c:pt>
                <c:pt idx="53">
                  <c:v>31</c:v>
                </c:pt>
                <c:pt idx="54">
                  <c:v>30</c:v>
                </c:pt>
                <c:pt idx="55">
                  <c:v>49</c:v>
                </c:pt>
                <c:pt idx="56">
                  <c:v>45</c:v>
                </c:pt>
                <c:pt idx="57">
                  <c:v>76</c:v>
                </c:pt>
                <c:pt idx="58">
                  <c:v>97</c:v>
                </c:pt>
                <c:pt idx="59">
                  <c:v>9</c:v>
                </c:pt>
                <c:pt idx="60">
                  <c:v>9</c:v>
                </c:pt>
                <c:pt idx="61">
                  <c:v>395</c:v>
                </c:pt>
                <c:pt idx="62">
                  <c:v>408</c:v>
                </c:pt>
                <c:pt idx="63">
                  <c:v>22</c:v>
                </c:pt>
                <c:pt idx="64">
                  <c:v>30</c:v>
                </c:pt>
                <c:pt idx="65">
                  <c:v>136</c:v>
                </c:pt>
                <c:pt idx="66">
                  <c:v>107</c:v>
                </c:pt>
                <c:pt idx="67">
                  <c:v>79</c:v>
                </c:pt>
                <c:pt idx="68">
                  <c:v>99</c:v>
                </c:pt>
                <c:pt idx="69">
                  <c:v>83</c:v>
                </c:pt>
                <c:pt idx="70">
                  <c:v>101</c:v>
                </c:pt>
                <c:pt idx="71">
                  <c:v>30</c:v>
                </c:pt>
                <c:pt idx="72">
                  <c:v>31</c:v>
                </c:pt>
                <c:pt idx="73">
                  <c:v>45</c:v>
                </c:pt>
                <c:pt idx="74">
                  <c:v>36</c:v>
                </c:pt>
                <c:pt idx="75">
                  <c:v>89</c:v>
                </c:pt>
                <c:pt idx="76">
                  <c:v>79</c:v>
                </c:pt>
                <c:pt idx="77">
                  <c:v>94</c:v>
                </c:pt>
                <c:pt idx="78">
                  <c:v>86</c:v>
                </c:pt>
                <c:pt idx="79">
                  <c:v>65</c:v>
                </c:pt>
                <c:pt idx="80">
                  <c:v>73</c:v>
                </c:pt>
                <c:pt idx="81">
                  <c:v>453</c:v>
                </c:pt>
                <c:pt idx="82">
                  <c:v>408</c:v>
                </c:pt>
                <c:pt idx="83">
                  <c:v>421</c:v>
                </c:pt>
                <c:pt idx="84">
                  <c:v>437</c:v>
                </c:pt>
                <c:pt idx="85">
                  <c:v>394</c:v>
                </c:pt>
                <c:pt idx="86">
                  <c:v>446</c:v>
                </c:pt>
                <c:pt idx="87">
                  <c:v>73</c:v>
                </c:pt>
                <c:pt idx="88">
                  <c:v>116</c:v>
                </c:pt>
              </c:numCache>
            </c:numRef>
          </c:val>
          <c:extLst>
            <c:ext xmlns:c16="http://schemas.microsoft.com/office/drawing/2014/chart" uri="{C3380CC4-5D6E-409C-BE32-E72D297353CC}">
              <c16:uniqueId val="{00000000-D56D-4199-A340-AF5E092C1F7D}"/>
            </c:ext>
          </c:extLst>
        </c:ser>
        <c:ser>
          <c:idx val="1"/>
          <c:order val="1"/>
          <c:tx>
            <c:v>Model</c:v>
          </c:tx>
          <c:spPr>
            <a:solidFill>
              <a:srgbClr val="D2503C"/>
            </a:solidFill>
            <a:ln>
              <a:solidFill>
                <a:srgbClr val="D2503C"/>
              </a:solidFill>
            </a:ln>
          </c:spPr>
          <c:invertIfNegative val="0"/>
          <c:cat>
            <c:strRef>
              <c:f>COUNT_PM_CAR!$C$3:$C$91</c:f>
              <c:strCache>
                <c:ptCount val="89"/>
                <c:pt idx="0">
                  <c:v>13 - DC 139 – DN 67 (A)</c:v>
                </c:pt>
                <c:pt idx="1">
                  <c:v>13 - DC 139 – DN 67 (A)</c:v>
                </c:pt>
                <c:pt idx="2">
                  <c:v>13 - DC 139 – DN 67 (B)</c:v>
                </c:pt>
                <c:pt idx="3">
                  <c:v>8 - DC 142 – str. Matei Basarab</c:v>
                </c:pt>
                <c:pt idx="4">
                  <c:v>8 - DC 142 – str. Matei Basarab</c:v>
                </c:pt>
                <c:pt idx="5">
                  <c:v>14 - DC 146 – str. Mircea cel Batran</c:v>
                </c:pt>
                <c:pt idx="6">
                  <c:v>14 - DC 146 – str. Mircea cel Batran</c:v>
                </c:pt>
                <c:pt idx="7">
                  <c:v>9 - DC 143 – str. Mihai Viteazu</c:v>
                </c:pt>
                <c:pt idx="8">
                  <c:v>14 - DC 146 – str. Mircea cel Batran</c:v>
                </c:pt>
                <c:pt idx="9">
                  <c:v>5 - DC 142 – str. Alex. Vlahuta</c:v>
                </c:pt>
                <c:pt idx="10">
                  <c:v>5 - DC 142 – str. Alex. Vlahuta</c:v>
                </c:pt>
                <c:pt idx="11">
                  <c:v>7 - DC 144 – str. spre Romanii de Sus (Stejarului)</c:v>
                </c:pt>
                <c:pt idx="12">
                  <c:v>7 - DC 144 – str. spre Romanii de Sus (Stejarului)</c:v>
                </c:pt>
                <c:pt idx="13">
                  <c:v>6 - DC 143 – str. Stirbei Voda</c:v>
                </c:pt>
                <c:pt idx="14">
                  <c:v>6 - DC 143 – str. Stirbei Voda</c:v>
                </c:pt>
                <c:pt idx="15">
                  <c:v>7 - DC 144 – str. spre Romanii de Sus (Stejarului)</c:v>
                </c:pt>
                <c:pt idx="16">
                  <c:v>7 - DC 144 – str. spre Romanii de Sus (Stejarului)</c:v>
                </c:pt>
                <c:pt idx="17">
                  <c:v>15 - DN 67 – str. Stadionului</c:v>
                </c:pt>
                <c:pt idx="18">
                  <c:v>15 - DN 67 – str. Stadionului</c:v>
                </c:pt>
                <c:pt idx="19">
                  <c:v>15 - DN 67 – str. Stadionului</c:v>
                </c:pt>
                <c:pt idx="20">
                  <c:v>15 - DN 67 – str. Stadionului</c:v>
                </c:pt>
                <c:pt idx="21">
                  <c:v>8 - DC 142 – str. Matei Basarab</c:v>
                </c:pt>
                <c:pt idx="22">
                  <c:v>8 - DC 142 – str. Matei Basarab</c:v>
                </c:pt>
                <c:pt idx="23">
                  <c:v>4 - DJ 665 (Vaideeni)</c:v>
                </c:pt>
                <c:pt idx="24">
                  <c:v>4 - DJ 665 (Vaideeni)</c:v>
                </c:pt>
                <c:pt idx="25">
                  <c:v>13 - DC 139 – DN 67 (B)</c:v>
                </c:pt>
                <c:pt idx="26">
                  <c:v>13 - DC 139 – DN 67 (B)</c:v>
                </c:pt>
                <c:pt idx="27">
                  <c:v>14 - DC 146 – str. Mircea cel Batran</c:v>
                </c:pt>
                <c:pt idx="28">
                  <c:v>14 - DC 146 – str. Mircea cel Batran</c:v>
                </c:pt>
                <c:pt idx="30">
                  <c:v>5 - DC 142 – str. Alex. Vlahuta</c:v>
                </c:pt>
                <c:pt idx="31">
                  <c:v>13 - DC 139 – DN 67 (A)</c:v>
                </c:pt>
                <c:pt idx="32">
                  <c:v>13 - DC 139 – DN 67 (A)</c:v>
                </c:pt>
                <c:pt idx="33">
                  <c:v>16 - DJ 669 – DC 146</c:v>
                </c:pt>
                <c:pt idx="34">
                  <c:v>16 - DJ 669 – DC 146</c:v>
                </c:pt>
                <c:pt idx="35">
                  <c:v>17 - DJ 669 – str. Manastirii</c:v>
                </c:pt>
                <c:pt idx="36">
                  <c:v>17 - DJ 669 – str. Manastirii</c:v>
                </c:pt>
                <c:pt idx="37">
                  <c:v>6 - DC 143 – str. Stirbei Voda</c:v>
                </c:pt>
                <c:pt idx="38">
                  <c:v>6 - DC 143 – str. Stirbei Voda</c:v>
                </c:pt>
                <c:pt idx="39">
                  <c:v>6 - DC 143 – str. Stirbei Voda</c:v>
                </c:pt>
                <c:pt idx="40">
                  <c:v>6 - DC 143 – str. Stirbei Voda</c:v>
                </c:pt>
                <c:pt idx="41">
                  <c:v>15 - DN 67 – str. Stadionului</c:v>
                </c:pt>
                <c:pt idx="42">
                  <c:v>15 - DN 67 – str. Stadionului</c:v>
                </c:pt>
                <c:pt idx="43">
                  <c:v>13 - DC 139 – DN 67 (A)</c:v>
                </c:pt>
                <c:pt idx="44">
                  <c:v>13 - DC 139 – DN 67 (A)</c:v>
                </c:pt>
                <c:pt idx="45">
                  <c:v>11 - DN 67 – DN 65C</c:v>
                </c:pt>
                <c:pt idx="46">
                  <c:v>11 - DN 67 – DN 65C</c:v>
                </c:pt>
                <c:pt idx="47">
                  <c:v>9 - DC 143 – str. Mihai Viteazu</c:v>
                </c:pt>
                <c:pt idx="48">
                  <c:v>9 - DC 143 – str. Mihai Viteazu</c:v>
                </c:pt>
                <c:pt idx="49">
                  <c:v>8 - DC 142 – str. Matei Basarab</c:v>
                </c:pt>
                <c:pt idx="50">
                  <c:v>8 - DC 142 – str. Matei Basarab</c:v>
                </c:pt>
                <c:pt idx="51">
                  <c:v>10 - DC 144 – DC 146</c:v>
                </c:pt>
                <c:pt idx="52">
                  <c:v>10 - DC 144 – DC 146</c:v>
                </c:pt>
                <c:pt idx="53">
                  <c:v>17 - DJ 669 – str. Manastirii</c:v>
                </c:pt>
                <c:pt idx="54">
                  <c:v>17 - DJ 669 – str. Manastirii</c:v>
                </c:pt>
                <c:pt idx="55">
                  <c:v>16 - DJ 669 – DC 146</c:v>
                </c:pt>
                <c:pt idx="56">
                  <c:v>16 - DJ 669 – DC 146</c:v>
                </c:pt>
                <c:pt idx="57">
                  <c:v>14 - DC 146 – str. Mircea cel Batran</c:v>
                </c:pt>
                <c:pt idx="58">
                  <c:v>14 - DC 146 – str. Mircea cel Batran</c:v>
                </c:pt>
                <c:pt idx="59">
                  <c:v>7 - DC 144 – str. spre Romanii de Sus (Stejarului)</c:v>
                </c:pt>
                <c:pt idx="60">
                  <c:v>7 - DC 144 – str. spre Romanii de Sus (Stejarului)</c:v>
                </c:pt>
                <c:pt idx="61">
                  <c:v>1 - DN 67 dinspre Rm. Valcea</c:v>
                </c:pt>
                <c:pt idx="62">
                  <c:v>1 - DN 67 dinspre Rm. Valcea</c:v>
                </c:pt>
                <c:pt idx="63">
                  <c:v>5 - DC 142 – str. Alex. Vlahuta</c:v>
                </c:pt>
                <c:pt idx="64">
                  <c:v>5 - DC 142 – str. Alex. Vlahuta</c:v>
                </c:pt>
                <c:pt idx="65">
                  <c:v>11 - DN 67 – DN 65C</c:v>
                </c:pt>
                <c:pt idx="66">
                  <c:v>11 - DN 67 – DN 65C</c:v>
                </c:pt>
                <c:pt idx="67">
                  <c:v>9 - DC 143 – str. Mihai Viteazu</c:v>
                </c:pt>
                <c:pt idx="68">
                  <c:v>9 - DC 143 – str. Mihai Viteazu</c:v>
                </c:pt>
                <c:pt idx="69">
                  <c:v>10 - DC 144 – DC 146</c:v>
                </c:pt>
                <c:pt idx="70">
                  <c:v>10 - DC 144 – DC 146</c:v>
                </c:pt>
                <c:pt idx="71">
                  <c:v>16 - DJ 669 – DC 146</c:v>
                </c:pt>
                <c:pt idx="72">
                  <c:v>16 - DJ 669 – DC 146</c:v>
                </c:pt>
                <c:pt idx="73">
                  <c:v>17 - DJ 669 – str. Manastirii</c:v>
                </c:pt>
                <c:pt idx="74">
                  <c:v>17 - DJ 669 – str. Manastirii</c:v>
                </c:pt>
                <c:pt idx="75">
                  <c:v>10 - DC 144 – DC 146</c:v>
                </c:pt>
                <c:pt idx="76">
                  <c:v>10 - DC 144 – DC 146</c:v>
                </c:pt>
                <c:pt idx="77">
                  <c:v>10 - DC 144 – DC 146</c:v>
                </c:pt>
                <c:pt idx="78">
                  <c:v>10 - DC 144 – DC 146</c:v>
                </c:pt>
                <c:pt idx="79">
                  <c:v>11 - DN 67 – DN 65C</c:v>
                </c:pt>
                <c:pt idx="80">
                  <c:v>11 - DN 67 – DN 65C</c:v>
                </c:pt>
                <c:pt idx="81">
                  <c:v>13 - DC 139 – DN 67 (A)</c:v>
                </c:pt>
                <c:pt idx="82">
                  <c:v>13 - DC 139 – DN 67 (A)</c:v>
                </c:pt>
                <c:pt idx="83">
                  <c:v>13 - DC 139 – DN 67 (B)</c:v>
                </c:pt>
                <c:pt idx="84">
                  <c:v>13 - DC 139 – DN 67 (B)</c:v>
                </c:pt>
                <c:pt idx="85">
                  <c:v>11 - DN 67 – DN 65C</c:v>
                </c:pt>
                <c:pt idx="86">
                  <c:v>11 - DN 67 – DN 65C</c:v>
                </c:pt>
                <c:pt idx="87">
                  <c:v>3 - DN 65C</c:v>
                </c:pt>
                <c:pt idx="88">
                  <c:v>3 - DN 65C</c:v>
                </c:pt>
              </c:strCache>
            </c:strRef>
          </c:cat>
          <c:val>
            <c:numRef>
              <c:f>COUNT_PM_CAR!$E$3:$E$91</c:f>
              <c:numCache>
                <c:formatCode>General</c:formatCode>
                <c:ptCount val="89"/>
                <c:pt idx="0">
                  <c:v>93</c:v>
                </c:pt>
                <c:pt idx="1">
                  <c:v>98</c:v>
                </c:pt>
                <c:pt idx="2">
                  <c:v>85</c:v>
                </c:pt>
                <c:pt idx="3">
                  <c:v>9</c:v>
                </c:pt>
                <c:pt idx="4">
                  <c:v>16</c:v>
                </c:pt>
                <c:pt idx="5">
                  <c:v>107</c:v>
                </c:pt>
                <c:pt idx="6">
                  <c:v>102</c:v>
                </c:pt>
                <c:pt idx="7">
                  <c:v>26</c:v>
                </c:pt>
                <c:pt idx="8">
                  <c:v>6</c:v>
                </c:pt>
                <c:pt idx="9">
                  <c:v>1</c:v>
                </c:pt>
                <c:pt idx="10">
                  <c:v>3</c:v>
                </c:pt>
                <c:pt idx="11">
                  <c:v>26</c:v>
                </c:pt>
                <c:pt idx="12">
                  <c:v>21</c:v>
                </c:pt>
                <c:pt idx="13">
                  <c:v>2</c:v>
                </c:pt>
                <c:pt idx="14">
                  <c:v>3</c:v>
                </c:pt>
                <c:pt idx="15">
                  <c:v>11</c:v>
                </c:pt>
                <c:pt idx="16">
                  <c:v>13</c:v>
                </c:pt>
                <c:pt idx="17">
                  <c:v>330</c:v>
                </c:pt>
                <c:pt idx="18">
                  <c:v>260</c:v>
                </c:pt>
                <c:pt idx="19">
                  <c:v>314</c:v>
                </c:pt>
                <c:pt idx="20">
                  <c:v>279</c:v>
                </c:pt>
                <c:pt idx="21">
                  <c:v>89</c:v>
                </c:pt>
                <c:pt idx="22">
                  <c:v>118</c:v>
                </c:pt>
                <c:pt idx="23">
                  <c:v>260</c:v>
                </c:pt>
                <c:pt idx="24">
                  <c:v>205</c:v>
                </c:pt>
                <c:pt idx="25">
                  <c:v>377</c:v>
                </c:pt>
                <c:pt idx="26">
                  <c:v>440</c:v>
                </c:pt>
                <c:pt idx="27">
                  <c:v>149</c:v>
                </c:pt>
                <c:pt idx="28">
                  <c:v>208</c:v>
                </c:pt>
                <c:pt idx="29">
                  <c:v>21</c:v>
                </c:pt>
                <c:pt idx="30">
                  <c:v>31</c:v>
                </c:pt>
                <c:pt idx="31">
                  <c:v>322</c:v>
                </c:pt>
                <c:pt idx="32">
                  <c:v>417</c:v>
                </c:pt>
                <c:pt idx="33">
                  <c:v>71</c:v>
                </c:pt>
                <c:pt idx="34">
                  <c:v>80</c:v>
                </c:pt>
                <c:pt idx="35">
                  <c:v>46</c:v>
                </c:pt>
                <c:pt idx="36">
                  <c:v>56</c:v>
                </c:pt>
                <c:pt idx="37">
                  <c:v>25</c:v>
                </c:pt>
                <c:pt idx="38">
                  <c:v>29</c:v>
                </c:pt>
                <c:pt idx="39">
                  <c:v>22</c:v>
                </c:pt>
                <c:pt idx="40">
                  <c:v>26</c:v>
                </c:pt>
                <c:pt idx="41">
                  <c:v>2</c:v>
                </c:pt>
                <c:pt idx="42">
                  <c:v>37</c:v>
                </c:pt>
                <c:pt idx="43">
                  <c:v>198</c:v>
                </c:pt>
                <c:pt idx="44">
                  <c:v>129</c:v>
                </c:pt>
                <c:pt idx="45">
                  <c:v>426</c:v>
                </c:pt>
                <c:pt idx="46">
                  <c:v>431</c:v>
                </c:pt>
                <c:pt idx="47">
                  <c:v>78</c:v>
                </c:pt>
                <c:pt idx="48">
                  <c:v>61</c:v>
                </c:pt>
                <c:pt idx="49">
                  <c:v>94</c:v>
                </c:pt>
                <c:pt idx="50">
                  <c:v>129</c:v>
                </c:pt>
                <c:pt idx="51">
                  <c:v>52</c:v>
                </c:pt>
                <c:pt idx="52">
                  <c:v>80</c:v>
                </c:pt>
                <c:pt idx="53">
                  <c:v>26</c:v>
                </c:pt>
                <c:pt idx="54">
                  <c:v>25</c:v>
                </c:pt>
                <c:pt idx="55">
                  <c:v>80</c:v>
                </c:pt>
                <c:pt idx="56">
                  <c:v>44</c:v>
                </c:pt>
                <c:pt idx="57">
                  <c:v>75</c:v>
                </c:pt>
                <c:pt idx="58">
                  <c:v>133</c:v>
                </c:pt>
                <c:pt idx="59">
                  <c:v>14</c:v>
                </c:pt>
                <c:pt idx="60">
                  <c:v>16</c:v>
                </c:pt>
                <c:pt idx="61">
                  <c:v>398</c:v>
                </c:pt>
                <c:pt idx="62">
                  <c:v>411</c:v>
                </c:pt>
                <c:pt idx="63">
                  <c:v>19</c:v>
                </c:pt>
                <c:pt idx="64">
                  <c:v>31</c:v>
                </c:pt>
                <c:pt idx="65">
                  <c:v>125</c:v>
                </c:pt>
                <c:pt idx="66">
                  <c:v>76</c:v>
                </c:pt>
                <c:pt idx="67">
                  <c:v>82</c:v>
                </c:pt>
                <c:pt idx="68">
                  <c:v>95</c:v>
                </c:pt>
                <c:pt idx="69">
                  <c:v>73</c:v>
                </c:pt>
                <c:pt idx="70">
                  <c:v>106</c:v>
                </c:pt>
                <c:pt idx="71">
                  <c:v>55</c:v>
                </c:pt>
                <c:pt idx="72">
                  <c:v>29</c:v>
                </c:pt>
                <c:pt idx="73">
                  <c:v>46</c:v>
                </c:pt>
                <c:pt idx="74">
                  <c:v>36</c:v>
                </c:pt>
                <c:pt idx="75">
                  <c:v>81</c:v>
                </c:pt>
                <c:pt idx="76">
                  <c:v>70</c:v>
                </c:pt>
                <c:pt idx="77">
                  <c:v>85</c:v>
                </c:pt>
                <c:pt idx="78">
                  <c:v>91</c:v>
                </c:pt>
                <c:pt idx="79">
                  <c:v>62</c:v>
                </c:pt>
                <c:pt idx="80">
                  <c:v>85</c:v>
                </c:pt>
                <c:pt idx="81">
                  <c:v>471</c:v>
                </c:pt>
                <c:pt idx="82">
                  <c:v>450</c:v>
                </c:pt>
                <c:pt idx="83">
                  <c:v>440</c:v>
                </c:pt>
                <c:pt idx="84">
                  <c:v>462</c:v>
                </c:pt>
                <c:pt idx="85">
                  <c:v>400</c:v>
                </c:pt>
                <c:pt idx="86">
                  <c:v>431</c:v>
                </c:pt>
                <c:pt idx="87">
                  <c:v>71</c:v>
                </c:pt>
                <c:pt idx="88">
                  <c:v>105</c:v>
                </c:pt>
              </c:numCache>
            </c:numRef>
          </c:val>
          <c:extLst>
            <c:ext xmlns:c16="http://schemas.microsoft.com/office/drawing/2014/chart" uri="{C3380CC4-5D6E-409C-BE32-E72D297353CC}">
              <c16:uniqueId val="{00000001-D56D-4199-A340-AF5E092C1F7D}"/>
            </c:ext>
          </c:extLst>
        </c:ser>
        <c:dLbls>
          <c:showLegendKey val="0"/>
          <c:showVal val="0"/>
          <c:showCatName val="0"/>
          <c:showSerName val="0"/>
          <c:showPercent val="0"/>
          <c:showBubbleSize val="0"/>
        </c:dLbls>
        <c:gapWidth val="150"/>
        <c:axId val="748970352"/>
        <c:axId val="748970912"/>
      </c:barChart>
      <c:catAx>
        <c:axId val="748970352"/>
        <c:scaling>
          <c:orientation val="minMax"/>
        </c:scaling>
        <c:delete val="0"/>
        <c:axPos val="b"/>
        <c:numFmt formatCode="General" sourceLinked="1"/>
        <c:majorTickMark val="out"/>
        <c:minorTickMark val="none"/>
        <c:tickLblPos val="nextTo"/>
        <c:crossAx val="748970912"/>
        <c:crosses val="autoZero"/>
        <c:auto val="1"/>
        <c:lblAlgn val="ctr"/>
        <c:lblOffset val="100"/>
        <c:noMultiLvlLbl val="0"/>
      </c:catAx>
      <c:valAx>
        <c:axId val="748970912"/>
        <c:scaling>
          <c:orientation val="minMax"/>
        </c:scaling>
        <c:delete val="0"/>
        <c:axPos val="l"/>
        <c:majorGridlines/>
        <c:numFmt formatCode="General" sourceLinked="1"/>
        <c:majorTickMark val="out"/>
        <c:minorTickMark val="none"/>
        <c:tickLblPos val="nextTo"/>
        <c:crossAx val="748970352"/>
        <c:crosses val="autoZero"/>
        <c:crossBetween val="between"/>
      </c:valAx>
    </c:plotArea>
    <c:legend>
      <c:legendPos val="r"/>
      <c:overlay val="0"/>
    </c:legend>
    <c:plotVisOnly val="1"/>
    <c:dispBlanksAs val="span"/>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a:t>Link: COUNT_PM_HGV|Volume-TSys [veh] (HGV,AP)</a:t>
            </a:r>
          </a:p>
        </c:rich>
      </c:tx>
      <c:overlay val="0"/>
    </c:title>
    <c:autoTitleDeleted val="0"/>
    <c:plotArea>
      <c:layout/>
      <c:scatterChart>
        <c:scatterStyle val="lineMarker"/>
        <c:varyColors val="0"/>
        <c:ser>
          <c:idx val="0"/>
          <c:order val="0"/>
          <c:tx>
            <c:v>Census</c:v>
          </c:tx>
          <c:spPr>
            <a:ln w="19050">
              <a:noFill/>
            </a:ln>
          </c:spPr>
          <c:marker>
            <c:spPr>
              <a:solidFill>
                <a:srgbClr val="006400"/>
              </a:solidFill>
              <a:ln/>
            </c:spPr>
          </c:marker>
          <c:trendline>
            <c:trendlineType val="linear"/>
            <c:dispRSqr val="1"/>
            <c:dispEq val="1"/>
            <c:trendlineLbl>
              <c:layout>
                <c:manualLayout>
                  <c:x val="-0.15152572178477691"/>
                  <c:y val="-6.3347331583552061E-2"/>
                </c:manualLayout>
              </c:layout>
              <c:numFmt formatCode="General" sourceLinked="0"/>
            </c:trendlineLbl>
          </c:trendline>
          <c:xVal>
            <c:numRef>
              <c:f>COUNT_PM_HGV!$E$3:$E$43</c:f>
              <c:numCache>
                <c:formatCode>General</c:formatCode>
                <c:ptCount val="41"/>
                <c:pt idx="0">
                  <c:v>1</c:v>
                </c:pt>
                <c:pt idx="1">
                  <c:v>2</c:v>
                </c:pt>
                <c:pt idx="2">
                  <c:v>2</c:v>
                </c:pt>
                <c:pt idx="3">
                  <c:v>2</c:v>
                </c:pt>
                <c:pt idx="4">
                  <c:v>22</c:v>
                </c:pt>
                <c:pt idx="5">
                  <c:v>16</c:v>
                </c:pt>
                <c:pt idx="6">
                  <c:v>21</c:v>
                </c:pt>
                <c:pt idx="7">
                  <c:v>19</c:v>
                </c:pt>
                <c:pt idx="8">
                  <c:v>1</c:v>
                </c:pt>
                <c:pt idx="9">
                  <c:v>3</c:v>
                </c:pt>
                <c:pt idx="10">
                  <c:v>19</c:v>
                </c:pt>
                <c:pt idx="11">
                  <c:v>16</c:v>
                </c:pt>
                <c:pt idx="12">
                  <c:v>17</c:v>
                </c:pt>
                <c:pt idx="13">
                  <c:v>22</c:v>
                </c:pt>
                <c:pt idx="14">
                  <c:v>1</c:v>
                </c:pt>
                <c:pt idx="15">
                  <c:v>22</c:v>
                </c:pt>
                <c:pt idx="16">
                  <c:v>17</c:v>
                </c:pt>
                <c:pt idx="17">
                  <c:v>4</c:v>
                </c:pt>
                <c:pt idx="18">
                  <c:v>4</c:v>
                </c:pt>
                <c:pt idx="19">
                  <c:v>1</c:v>
                </c:pt>
                <c:pt idx="20">
                  <c:v>5</c:v>
                </c:pt>
                <c:pt idx="21">
                  <c:v>1</c:v>
                </c:pt>
                <c:pt idx="22">
                  <c:v>28</c:v>
                </c:pt>
                <c:pt idx="23">
                  <c:v>18</c:v>
                </c:pt>
                <c:pt idx="24">
                  <c:v>1</c:v>
                </c:pt>
                <c:pt idx="25">
                  <c:v>3</c:v>
                </c:pt>
                <c:pt idx="26">
                  <c:v>1</c:v>
                </c:pt>
                <c:pt idx="27">
                  <c:v>27</c:v>
                </c:pt>
                <c:pt idx="28">
                  <c:v>18</c:v>
                </c:pt>
                <c:pt idx="29">
                  <c:v>6</c:v>
                </c:pt>
                <c:pt idx="30">
                  <c:v>3</c:v>
                </c:pt>
                <c:pt idx="31">
                  <c:v>4</c:v>
                </c:pt>
                <c:pt idx="32">
                  <c:v>3</c:v>
                </c:pt>
                <c:pt idx="33">
                  <c:v>17</c:v>
                </c:pt>
                <c:pt idx="34">
                  <c:v>22</c:v>
                </c:pt>
                <c:pt idx="35">
                  <c:v>22</c:v>
                </c:pt>
                <c:pt idx="36">
                  <c:v>17</c:v>
                </c:pt>
                <c:pt idx="37">
                  <c:v>27</c:v>
                </c:pt>
                <c:pt idx="38">
                  <c:v>17</c:v>
                </c:pt>
                <c:pt idx="39">
                  <c:v>2</c:v>
                </c:pt>
                <c:pt idx="40">
                  <c:v>4</c:v>
                </c:pt>
              </c:numCache>
            </c:numRef>
          </c:xVal>
          <c:yVal>
            <c:numRef>
              <c:f>COUNT_PM_HGV!$D$3:$D$43</c:f>
              <c:numCache>
                <c:formatCode>General</c:formatCode>
                <c:ptCount val="41"/>
                <c:pt idx="0">
                  <c:v>2</c:v>
                </c:pt>
                <c:pt idx="1">
                  <c:v>2</c:v>
                </c:pt>
                <c:pt idx="2">
                  <c:v>2</c:v>
                </c:pt>
                <c:pt idx="3">
                  <c:v>3</c:v>
                </c:pt>
                <c:pt idx="4">
                  <c:v>21</c:v>
                </c:pt>
                <c:pt idx="5">
                  <c:v>17</c:v>
                </c:pt>
                <c:pt idx="6">
                  <c:v>21</c:v>
                </c:pt>
                <c:pt idx="7">
                  <c:v>18</c:v>
                </c:pt>
                <c:pt idx="8">
                  <c:v>1</c:v>
                </c:pt>
                <c:pt idx="9">
                  <c:v>1</c:v>
                </c:pt>
                <c:pt idx="10">
                  <c:v>19</c:v>
                </c:pt>
                <c:pt idx="11">
                  <c:v>16</c:v>
                </c:pt>
                <c:pt idx="12">
                  <c:v>19</c:v>
                </c:pt>
                <c:pt idx="13">
                  <c:v>23</c:v>
                </c:pt>
                <c:pt idx="14">
                  <c:v>2</c:v>
                </c:pt>
                <c:pt idx="15">
                  <c:v>23</c:v>
                </c:pt>
                <c:pt idx="16">
                  <c:v>17</c:v>
                </c:pt>
                <c:pt idx="17">
                  <c:v>4</c:v>
                </c:pt>
                <c:pt idx="18">
                  <c:v>3</c:v>
                </c:pt>
                <c:pt idx="19">
                  <c:v>1</c:v>
                </c:pt>
                <c:pt idx="20">
                  <c:v>2</c:v>
                </c:pt>
                <c:pt idx="21">
                  <c:v>1</c:v>
                </c:pt>
                <c:pt idx="22">
                  <c:v>26</c:v>
                </c:pt>
                <c:pt idx="23">
                  <c:v>19</c:v>
                </c:pt>
                <c:pt idx="24">
                  <c:v>1</c:v>
                </c:pt>
                <c:pt idx="25">
                  <c:v>1</c:v>
                </c:pt>
                <c:pt idx="26">
                  <c:v>1</c:v>
                </c:pt>
                <c:pt idx="27">
                  <c:v>26</c:v>
                </c:pt>
                <c:pt idx="28">
                  <c:v>17</c:v>
                </c:pt>
                <c:pt idx="29">
                  <c:v>3</c:v>
                </c:pt>
                <c:pt idx="30">
                  <c:v>2</c:v>
                </c:pt>
                <c:pt idx="31">
                  <c:v>4</c:v>
                </c:pt>
                <c:pt idx="32">
                  <c:v>3</c:v>
                </c:pt>
                <c:pt idx="33">
                  <c:v>18</c:v>
                </c:pt>
                <c:pt idx="34">
                  <c:v>23</c:v>
                </c:pt>
                <c:pt idx="35">
                  <c:v>23</c:v>
                </c:pt>
                <c:pt idx="36">
                  <c:v>19</c:v>
                </c:pt>
                <c:pt idx="37">
                  <c:v>26</c:v>
                </c:pt>
                <c:pt idx="38">
                  <c:v>20</c:v>
                </c:pt>
                <c:pt idx="39">
                  <c:v>2</c:v>
                </c:pt>
                <c:pt idx="40">
                  <c:v>5</c:v>
                </c:pt>
              </c:numCache>
            </c:numRef>
          </c:yVal>
          <c:smooth val="0"/>
          <c:extLst>
            <c:ext xmlns:c16="http://schemas.microsoft.com/office/drawing/2014/chart" uri="{C3380CC4-5D6E-409C-BE32-E72D297353CC}">
              <c16:uniqueId val="{00000001-51D0-443A-A730-F1B18E0F74EA}"/>
            </c:ext>
          </c:extLst>
        </c:ser>
        <c:dLbls>
          <c:showLegendKey val="0"/>
          <c:showVal val="0"/>
          <c:showCatName val="0"/>
          <c:showSerName val="0"/>
          <c:showPercent val="0"/>
          <c:showBubbleSize val="0"/>
        </c:dLbls>
        <c:axId val="630718192"/>
        <c:axId val="630718752"/>
      </c:scatterChart>
      <c:valAx>
        <c:axId val="630718192"/>
        <c:scaling>
          <c:orientation val="minMax"/>
        </c:scaling>
        <c:delete val="0"/>
        <c:axPos val="b"/>
        <c:title>
          <c:tx>
            <c:rich>
              <a:bodyPr/>
              <a:lstStyle/>
              <a:p>
                <a:pPr>
                  <a:defRPr/>
                </a:pPr>
                <a:r>
                  <a:rPr lang="en-US"/>
                  <a:t>Model</a:t>
                </a:r>
              </a:p>
            </c:rich>
          </c:tx>
          <c:overlay val="0"/>
        </c:title>
        <c:numFmt formatCode="General" sourceLinked="1"/>
        <c:majorTickMark val="out"/>
        <c:minorTickMark val="none"/>
        <c:tickLblPos val="nextTo"/>
        <c:crossAx val="630718752"/>
        <c:crosses val="autoZero"/>
        <c:crossBetween val="midCat"/>
      </c:valAx>
      <c:valAx>
        <c:axId val="630718752"/>
        <c:scaling>
          <c:orientation val="minMax"/>
        </c:scaling>
        <c:delete val="0"/>
        <c:axPos val="l"/>
        <c:majorGridlines/>
        <c:title>
          <c:tx>
            <c:rich>
              <a:bodyPr/>
              <a:lstStyle/>
              <a:p>
                <a:pPr>
                  <a:defRPr/>
                </a:pPr>
                <a:r>
                  <a:rPr lang="en-US"/>
                  <a:t>Census</a:t>
                </a:r>
              </a:p>
            </c:rich>
          </c:tx>
          <c:overlay val="0"/>
        </c:title>
        <c:numFmt formatCode="General" sourceLinked="1"/>
        <c:majorTickMark val="out"/>
        <c:minorTickMark val="none"/>
        <c:tickLblPos val="nextTo"/>
        <c:crossAx val="630718192"/>
        <c:crosses val="autoZero"/>
        <c:crossBetween val="midCat"/>
      </c:valAx>
    </c:plotArea>
    <c:plotVisOnly val="1"/>
    <c:dispBlanksAs val="span"/>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a:t>Link: COUNT_PM_HGV|Volume-TSys [veh] (HGV,AP)</a:t>
            </a:r>
          </a:p>
        </c:rich>
      </c:tx>
      <c:overlay val="0"/>
    </c:title>
    <c:autoTitleDeleted val="0"/>
    <c:plotArea>
      <c:layout/>
      <c:barChart>
        <c:barDir val="col"/>
        <c:grouping val="clustered"/>
        <c:varyColors val="0"/>
        <c:ser>
          <c:idx val="0"/>
          <c:order val="0"/>
          <c:tx>
            <c:v>Census</c:v>
          </c:tx>
          <c:spPr>
            <a:solidFill>
              <a:srgbClr val="5082BE"/>
            </a:solidFill>
            <a:ln>
              <a:solidFill>
                <a:srgbClr val="5082BE"/>
              </a:solidFill>
            </a:ln>
          </c:spPr>
          <c:invertIfNegative val="0"/>
          <c:cat>
            <c:strRef>
              <c:f>COUNT_PM_HGV!$C$3:$C$43</c:f>
              <c:strCache>
                <c:ptCount val="41"/>
                <c:pt idx="0">
                  <c:v>7 - DC 144 – str. spre Romanii de Sus (Stejarului)</c:v>
                </c:pt>
                <c:pt idx="1">
                  <c:v>7 - DC 144 – str. spre Romanii de Sus (Stejarului)</c:v>
                </c:pt>
                <c:pt idx="2">
                  <c:v>7 - DC 144 – str. spre Romanii de Sus (Stejarului)</c:v>
                </c:pt>
                <c:pt idx="3">
                  <c:v>7 - DC 144 – str. spre Romanii de Sus (Stejarului)</c:v>
                </c:pt>
                <c:pt idx="4">
                  <c:v>15 - DN 67 – str. Stadionului</c:v>
                </c:pt>
                <c:pt idx="5">
                  <c:v>15 - DN 67 – str. Stadionului</c:v>
                </c:pt>
                <c:pt idx="6">
                  <c:v>15 - DN 67 – str. Stadionului</c:v>
                </c:pt>
                <c:pt idx="7">
                  <c:v>15 - DN 67 – str. Stadionului</c:v>
                </c:pt>
                <c:pt idx="8">
                  <c:v>8 - DC 142 – str. Matei Basarab</c:v>
                </c:pt>
                <c:pt idx="9">
                  <c:v>8 - DC 142 – str. Matei Basarab</c:v>
                </c:pt>
                <c:pt idx="10">
                  <c:v>4 - DJ 665 (Vaideeni)</c:v>
                </c:pt>
                <c:pt idx="11">
                  <c:v>4 - DJ 665 (Vaideeni)</c:v>
                </c:pt>
                <c:pt idx="12">
                  <c:v>13 - DC 139 – DN 67 (B)</c:v>
                </c:pt>
                <c:pt idx="13">
                  <c:v>13 - DC 139 – DN 67 (B)</c:v>
                </c:pt>
                <c:pt idx="14">
                  <c:v>14 - DC 146 – str. Mircea cel Batran</c:v>
                </c:pt>
                <c:pt idx="15">
                  <c:v>13 - DC 139 – DN 67 (A)</c:v>
                </c:pt>
                <c:pt idx="16">
                  <c:v>13 - DC 139 – DN 67 (A)</c:v>
                </c:pt>
                <c:pt idx="17">
                  <c:v>16 - DJ 669 – DC 146</c:v>
                </c:pt>
                <c:pt idx="18">
                  <c:v>17 - DJ 669 – str. Manastirii</c:v>
                </c:pt>
                <c:pt idx="19">
                  <c:v>15 - DN 67 – str. Stadionului</c:v>
                </c:pt>
                <c:pt idx="20">
                  <c:v>15 - DN 67 – str. Stadionului</c:v>
                </c:pt>
                <c:pt idx="21">
                  <c:v>13 - DC 139 – DN 67 (A)</c:v>
                </c:pt>
                <c:pt idx="22">
                  <c:v>11 - DN 67 – DN 65C</c:v>
                </c:pt>
                <c:pt idx="23">
                  <c:v>11 - DN 67 – DN 65C</c:v>
                </c:pt>
                <c:pt idx="24">
                  <c:v>8 - DC 142 – str. Matei Basarab</c:v>
                </c:pt>
                <c:pt idx="25">
                  <c:v>8 - DC 142 – str. Matei Basarab</c:v>
                </c:pt>
                <c:pt idx="26">
                  <c:v>14 - DC 146 – str. Mircea cel Batran</c:v>
                </c:pt>
                <c:pt idx="27">
                  <c:v>1 - DN 67 dinspre Rm. Valcea</c:v>
                </c:pt>
                <c:pt idx="28">
                  <c:v>1 - DN 67 dinspre Rm. Valcea</c:v>
                </c:pt>
                <c:pt idx="29">
                  <c:v>11 - DN 67 – DN 65C</c:v>
                </c:pt>
                <c:pt idx="30">
                  <c:v>11 - DN 67 – DN 65C</c:v>
                </c:pt>
                <c:pt idx="31">
                  <c:v>16 - DJ 669 – DC 146</c:v>
                </c:pt>
                <c:pt idx="32">
                  <c:v>17 - DJ 669 – str. Manastirii</c:v>
                </c:pt>
                <c:pt idx="33">
                  <c:v>13 - DC 139 – DN 67 (A)</c:v>
                </c:pt>
                <c:pt idx="34">
                  <c:v>13 - DC 139 – DN 67 (A)</c:v>
                </c:pt>
                <c:pt idx="35">
                  <c:v>13 - DC 139 – DN 67 (B)</c:v>
                </c:pt>
                <c:pt idx="36">
                  <c:v>13 - DC 139 – DN 67 (B)</c:v>
                </c:pt>
                <c:pt idx="37">
                  <c:v>11 - DN 67 – DN 65C</c:v>
                </c:pt>
                <c:pt idx="38">
                  <c:v>11 - DN 67 – DN 65C</c:v>
                </c:pt>
                <c:pt idx="39">
                  <c:v>3 - DN 65C</c:v>
                </c:pt>
                <c:pt idx="40">
                  <c:v>3 - DN 65C</c:v>
                </c:pt>
              </c:strCache>
            </c:strRef>
          </c:cat>
          <c:val>
            <c:numRef>
              <c:f>COUNT_PM_HGV!$D$3:$D$43</c:f>
              <c:numCache>
                <c:formatCode>General</c:formatCode>
                <c:ptCount val="41"/>
                <c:pt idx="0">
                  <c:v>2</c:v>
                </c:pt>
                <c:pt idx="1">
                  <c:v>2</c:v>
                </c:pt>
                <c:pt idx="2">
                  <c:v>2</c:v>
                </c:pt>
                <c:pt idx="3">
                  <c:v>3</c:v>
                </c:pt>
                <c:pt idx="4">
                  <c:v>21</c:v>
                </c:pt>
                <c:pt idx="5">
                  <c:v>17</c:v>
                </c:pt>
                <c:pt idx="6">
                  <c:v>21</c:v>
                </c:pt>
                <c:pt idx="7">
                  <c:v>18</c:v>
                </c:pt>
                <c:pt idx="8">
                  <c:v>1</c:v>
                </c:pt>
                <c:pt idx="9">
                  <c:v>1</c:v>
                </c:pt>
                <c:pt idx="10">
                  <c:v>19</c:v>
                </c:pt>
                <c:pt idx="11">
                  <c:v>16</c:v>
                </c:pt>
                <c:pt idx="12">
                  <c:v>19</c:v>
                </c:pt>
                <c:pt idx="13">
                  <c:v>23</c:v>
                </c:pt>
                <c:pt idx="14">
                  <c:v>2</c:v>
                </c:pt>
                <c:pt idx="15">
                  <c:v>23</c:v>
                </c:pt>
                <c:pt idx="16">
                  <c:v>17</c:v>
                </c:pt>
                <c:pt idx="17">
                  <c:v>4</c:v>
                </c:pt>
                <c:pt idx="18">
                  <c:v>3</c:v>
                </c:pt>
                <c:pt idx="19">
                  <c:v>1</c:v>
                </c:pt>
                <c:pt idx="20">
                  <c:v>2</c:v>
                </c:pt>
                <c:pt idx="21">
                  <c:v>1</c:v>
                </c:pt>
                <c:pt idx="22">
                  <c:v>26</c:v>
                </c:pt>
                <c:pt idx="23">
                  <c:v>19</c:v>
                </c:pt>
                <c:pt idx="24">
                  <c:v>1</c:v>
                </c:pt>
                <c:pt idx="25">
                  <c:v>1</c:v>
                </c:pt>
                <c:pt idx="26">
                  <c:v>1</c:v>
                </c:pt>
                <c:pt idx="27">
                  <c:v>26</c:v>
                </c:pt>
                <c:pt idx="28">
                  <c:v>17</c:v>
                </c:pt>
                <c:pt idx="29">
                  <c:v>3</c:v>
                </c:pt>
                <c:pt idx="30">
                  <c:v>2</c:v>
                </c:pt>
                <c:pt idx="31">
                  <c:v>4</c:v>
                </c:pt>
                <c:pt idx="32">
                  <c:v>3</c:v>
                </c:pt>
                <c:pt idx="33">
                  <c:v>18</c:v>
                </c:pt>
                <c:pt idx="34">
                  <c:v>23</c:v>
                </c:pt>
                <c:pt idx="35">
                  <c:v>23</c:v>
                </c:pt>
                <c:pt idx="36">
                  <c:v>19</c:v>
                </c:pt>
                <c:pt idx="37">
                  <c:v>26</c:v>
                </c:pt>
                <c:pt idx="38">
                  <c:v>20</c:v>
                </c:pt>
                <c:pt idx="39">
                  <c:v>2</c:v>
                </c:pt>
                <c:pt idx="40">
                  <c:v>5</c:v>
                </c:pt>
              </c:numCache>
            </c:numRef>
          </c:val>
          <c:extLst>
            <c:ext xmlns:c16="http://schemas.microsoft.com/office/drawing/2014/chart" uri="{C3380CC4-5D6E-409C-BE32-E72D297353CC}">
              <c16:uniqueId val="{00000000-F946-4682-85E4-7AF84A87B7AC}"/>
            </c:ext>
          </c:extLst>
        </c:ser>
        <c:ser>
          <c:idx val="1"/>
          <c:order val="1"/>
          <c:tx>
            <c:v>Model</c:v>
          </c:tx>
          <c:spPr>
            <a:solidFill>
              <a:srgbClr val="D2503C"/>
            </a:solidFill>
            <a:ln>
              <a:solidFill>
                <a:srgbClr val="D2503C"/>
              </a:solidFill>
            </a:ln>
          </c:spPr>
          <c:invertIfNegative val="0"/>
          <c:cat>
            <c:strRef>
              <c:f>COUNT_PM_HGV!$C$3:$C$43</c:f>
              <c:strCache>
                <c:ptCount val="41"/>
                <c:pt idx="0">
                  <c:v>7 - DC 144 – str. spre Romanii de Sus (Stejarului)</c:v>
                </c:pt>
                <c:pt idx="1">
                  <c:v>7 - DC 144 – str. spre Romanii de Sus (Stejarului)</c:v>
                </c:pt>
                <c:pt idx="2">
                  <c:v>7 - DC 144 – str. spre Romanii de Sus (Stejarului)</c:v>
                </c:pt>
                <c:pt idx="3">
                  <c:v>7 - DC 144 – str. spre Romanii de Sus (Stejarului)</c:v>
                </c:pt>
                <c:pt idx="4">
                  <c:v>15 - DN 67 – str. Stadionului</c:v>
                </c:pt>
                <c:pt idx="5">
                  <c:v>15 - DN 67 – str. Stadionului</c:v>
                </c:pt>
                <c:pt idx="6">
                  <c:v>15 - DN 67 – str. Stadionului</c:v>
                </c:pt>
                <c:pt idx="7">
                  <c:v>15 - DN 67 – str. Stadionului</c:v>
                </c:pt>
                <c:pt idx="8">
                  <c:v>8 - DC 142 – str. Matei Basarab</c:v>
                </c:pt>
                <c:pt idx="9">
                  <c:v>8 - DC 142 – str. Matei Basarab</c:v>
                </c:pt>
                <c:pt idx="10">
                  <c:v>4 - DJ 665 (Vaideeni)</c:v>
                </c:pt>
                <c:pt idx="11">
                  <c:v>4 - DJ 665 (Vaideeni)</c:v>
                </c:pt>
                <c:pt idx="12">
                  <c:v>13 - DC 139 – DN 67 (B)</c:v>
                </c:pt>
                <c:pt idx="13">
                  <c:v>13 - DC 139 – DN 67 (B)</c:v>
                </c:pt>
                <c:pt idx="14">
                  <c:v>14 - DC 146 – str. Mircea cel Batran</c:v>
                </c:pt>
                <c:pt idx="15">
                  <c:v>13 - DC 139 – DN 67 (A)</c:v>
                </c:pt>
                <c:pt idx="16">
                  <c:v>13 - DC 139 – DN 67 (A)</c:v>
                </c:pt>
                <c:pt idx="17">
                  <c:v>16 - DJ 669 – DC 146</c:v>
                </c:pt>
                <c:pt idx="18">
                  <c:v>17 - DJ 669 – str. Manastirii</c:v>
                </c:pt>
                <c:pt idx="19">
                  <c:v>15 - DN 67 – str. Stadionului</c:v>
                </c:pt>
                <c:pt idx="20">
                  <c:v>15 - DN 67 – str. Stadionului</c:v>
                </c:pt>
                <c:pt idx="21">
                  <c:v>13 - DC 139 – DN 67 (A)</c:v>
                </c:pt>
                <c:pt idx="22">
                  <c:v>11 - DN 67 – DN 65C</c:v>
                </c:pt>
                <c:pt idx="23">
                  <c:v>11 - DN 67 – DN 65C</c:v>
                </c:pt>
                <c:pt idx="24">
                  <c:v>8 - DC 142 – str. Matei Basarab</c:v>
                </c:pt>
                <c:pt idx="25">
                  <c:v>8 - DC 142 – str. Matei Basarab</c:v>
                </c:pt>
                <c:pt idx="26">
                  <c:v>14 - DC 146 – str. Mircea cel Batran</c:v>
                </c:pt>
                <c:pt idx="27">
                  <c:v>1 - DN 67 dinspre Rm. Valcea</c:v>
                </c:pt>
                <c:pt idx="28">
                  <c:v>1 - DN 67 dinspre Rm. Valcea</c:v>
                </c:pt>
                <c:pt idx="29">
                  <c:v>11 - DN 67 – DN 65C</c:v>
                </c:pt>
                <c:pt idx="30">
                  <c:v>11 - DN 67 – DN 65C</c:v>
                </c:pt>
                <c:pt idx="31">
                  <c:v>16 - DJ 669 – DC 146</c:v>
                </c:pt>
                <c:pt idx="32">
                  <c:v>17 - DJ 669 – str. Manastirii</c:v>
                </c:pt>
                <c:pt idx="33">
                  <c:v>13 - DC 139 – DN 67 (A)</c:v>
                </c:pt>
                <c:pt idx="34">
                  <c:v>13 - DC 139 – DN 67 (A)</c:v>
                </c:pt>
                <c:pt idx="35">
                  <c:v>13 - DC 139 – DN 67 (B)</c:v>
                </c:pt>
                <c:pt idx="36">
                  <c:v>13 - DC 139 – DN 67 (B)</c:v>
                </c:pt>
                <c:pt idx="37">
                  <c:v>11 - DN 67 – DN 65C</c:v>
                </c:pt>
                <c:pt idx="38">
                  <c:v>11 - DN 67 – DN 65C</c:v>
                </c:pt>
                <c:pt idx="39">
                  <c:v>3 - DN 65C</c:v>
                </c:pt>
                <c:pt idx="40">
                  <c:v>3 - DN 65C</c:v>
                </c:pt>
              </c:strCache>
            </c:strRef>
          </c:cat>
          <c:val>
            <c:numRef>
              <c:f>COUNT_PM_HGV!$E$3:$E$43</c:f>
              <c:numCache>
                <c:formatCode>General</c:formatCode>
                <c:ptCount val="41"/>
                <c:pt idx="0">
                  <c:v>1</c:v>
                </c:pt>
                <c:pt idx="1">
                  <c:v>2</c:v>
                </c:pt>
                <c:pt idx="2">
                  <c:v>2</c:v>
                </c:pt>
                <c:pt idx="3">
                  <c:v>2</c:v>
                </c:pt>
                <c:pt idx="4">
                  <c:v>22</c:v>
                </c:pt>
                <c:pt idx="5">
                  <c:v>16</c:v>
                </c:pt>
                <c:pt idx="6">
                  <c:v>21</c:v>
                </c:pt>
                <c:pt idx="7">
                  <c:v>19</c:v>
                </c:pt>
                <c:pt idx="8">
                  <c:v>1</c:v>
                </c:pt>
                <c:pt idx="9">
                  <c:v>3</c:v>
                </c:pt>
                <c:pt idx="10">
                  <c:v>19</c:v>
                </c:pt>
                <c:pt idx="11">
                  <c:v>16</c:v>
                </c:pt>
                <c:pt idx="12">
                  <c:v>17</c:v>
                </c:pt>
                <c:pt idx="13">
                  <c:v>22</c:v>
                </c:pt>
                <c:pt idx="14">
                  <c:v>1</c:v>
                </c:pt>
                <c:pt idx="15">
                  <c:v>22</c:v>
                </c:pt>
                <c:pt idx="16">
                  <c:v>17</c:v>
                </c:pt>
                <c:pt idx="17">
                  <c:v>4</c:v>
                </c:pt>
                <c:pt idx="18">
                  <c:v>4</c:v>
                </c:pt>
                <c:pt idx="19">
                  <c:v>1</c:v>
                </c:pt>
                <c:pt idx="20">
                  <c:v>5</c:v>
                </c:pt>
                <c:pt idx="21">
                  <c:v>1</c:v>
                </c:pt>
                <c:pt idx="22">
                  <c:v>28</c:v>
                </c:pt>
                <c:pt idx="23">
                  <c:v>18</c:v>
                </c:pt>
                <c:pt idx="24">
                  <c:v>1</c:v>
                </c:pt>
                <c:pt idx="25">
                  <c:v>3</c:v>
                </c:pt>
                <c:pt idx="26">
                  <c:v>1</c:v>
                </c:pt>
                <c:pt idx="27">
                  <c:v>27</c:v>
                </c:pt>
                <c:pt idx="28">
                  <c:v>18</c:v>
                </c:pt>
                <c:pt idx="29">
                  <c:v>6</c:v>
                </c:pt>
                <c:pt idx="30">
                  <c:v>3</c:v>
                </c:pt>
                <c:pt idx="31">
                  <c:v>4</c:v>
                </c:pt>
                <c:pt idx="32">
                  <c:v>3</c:v>
                </c:pt>
                <c:pt idx="33">
                  <c:v>17</c:v>
                </c:pt>
                <c:pt idx="34">
                  <c:v>22</c:v>
                </c:pt>
                <c:pt idx="35">
                  <c:v>22</c:v>
                </c:pt>
                <c:pt idx="36">
                  <c:v>17</c:v>
                </c:pt>
                <c:pt idx="37">
                  <c:v>27</c:v>
                </c:pt>
                <c:pt idx="38">
                  <c:v>17</c:v>
                </c:pt>
                <c:pt idx="39">
                  <c:v>2</c:v>
                </c:pt>
                <c:pt idx="40">
                  <c:v>4</c:v>
                </c:pt>
              </c:numCache>
            </c:numRef>
          </c:val>
          <c:extLst>
            <c:ext xmlns:c16="http://schemas.microsoft.com/office/drawing/2014/chart" uri="{C3380CC4-5D6E-409C-BE32-E72D297353CC}">
              <c16:uniqueId val="{00000001-F946-4682-85E4-7AF84A87B7AC}"/>
            </c:ext>
          </c:extLst>
        </c:ser>
        <c:dLbls>
          <c:showLegendKey val="0"/>
          <c:showVal val="0"/>
          <c:showCatName val="0"/>
          <c:showSerName val="0"/>
          <c:showPercent val="0"/>
          <c:showBubbleSize val="0"/>
        </c:dLbls>
        <c:gapWidth val="150"/>
        <c:axId val="630721552"/>
        <c:axId val="630722112"/>
      </c:barChart>
      <c:catAx>
        <c:axId val="630721552"/>
        <c:scaling>
          <c:orientation val="minMax"/>
        </c:scaling>
        <c:delete val="0"/>
        <c:axPos val="b"/>
        <c:numFmt formatCode="General" sourceLinked="1"/>
        <c:majorTickMark val="out"/>
        <c:minorTickMark val="none"/>
        <c:tickLblPos val="nextTo"/>
        <c:crossAx val="630722112"/>
        <c:crosses val="autoZero"/>
        <c:auto val="1"/>
        <c:lblAlgn val="ctr"/>
        <c:lblOffset val="100"/>
        <c:noMultiLvlLbl val="0"/>
      </c:catAx>
      <c:valAx>
        <c:axId val="630722112"/>
        <c:scaling>
          <c:orientation val="minMax"/>
        </c:scaling>
        <c:delete val="0"/>
        <c:axPos val="l"/>
        <c:majorGridlines/>
        <c:numFmt formatCode="General" sourceLinked="1"/>
        <c:majorTickMark val="out"/>
        <c:minorTickMark val="none"/>
        <c:tickLblPos val="nextTo"/>
        <c:crossAx val="630721552"/>
        <c:crosses val="autoZero"/>
        <c:crossBetween val="between"/>
      </c:valAx>
    </c:plotArea>
    <c:legend>
      <c:legendPos val="r"/>
      <c:overlay val="0"/>
    </c:legend>
    <c:plotVisOnly val="1"/>
    <c:dispBlanksAs val="span"/>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'Comparatie 2021'!$B$14</c:f>
              <c:strCache>
                <c:ptCount val="1"/>
                <c:pt idx="0">
                  <c:v>AM</c:v>
                </c:pt>
              </c:strCache>
            </c:strRef>
          </c:tx>
          <c:spPr>
            <a:solidFill>
              <a:schemeClr val="accent1"/>
            </a:solidFill>
            <a:ln>
              <a:noFill/>
            </a:ln>
            <a:effectLst/>
            <a:sp3d/>
          </c:spPr>
          <c:invertIfNegative val="0"/>
          <c:cat>
            <c:strRef>
              <c:f>'Comparatie 2021'!$A$15:$A$17</c:f>
              <c:strCache>
                <c:ptCount val="3"/>
                <c:pt idx="0">
                  <c:v>Viteza medie (km/h)</c:v>
                </c:pt>
                <c:pt idx="1">
                  <c:v>Intarziere medie (s/km)</c:v>
                </c:pt>
                <c:pt idx="2">
                  <c:v>Consum carburant (zeci litri)</c:v>
                </c:pt>
              </c:strCache>
            </c:strRef>
          </c:cat>
          <c:val>
            <c:numRef>
              <c:f>'Comparatie 2021'!$B$15:$B$17</c:f>
              <c:numCache>
                <c:formatCode>0.00</c:formatCode>
                <c:ptCount val="3"/>
                <c:pt idx="0">
                  <c:v>28.99</c:v>
                </c:pt>
                <c:pt idx="1">
                  <c:v>42.84</c:v>
                </c:pt>
                <c:pt idx="2">
                  <c:v>25.6297664107</c:v>
                </c:pt>
              </c:numCache>
            </c:numRef>
          </c:val>
          <c:extLst>
            <c:ext xmlns:c16="http://schemas.microsoft.com/office/drawing/2014/chart" uri="{C3380CC4-5D6E-409C-BE32-E72D297353CC}">
              <c16:uniqueId val="{00000000-8191-4EE9-B17F-44F6D911313C}"/>
            </c:ext>
          </c:extLst>
        </c:ser>
        <c:ser>
          <c:idx val="1"/>
          <c:order val="1"/>
          <c:tx>
            <c:strRef>
              <c:f>'Comparatie 2021'!$C$14</c:f>
              <c:strCache>
                <c:ptCount val="1"/>
                <c:pt idx="0">
                  <c:v>PM</c:v>
                </c:pt>
              </c:strCache>
            </c:strRef>
          </c:tx>
          <c:spPr>
            <a:solidFill>
              <a:schemeClr val="accent2"/>
            </a:solidFill>
            <a:ln>
              <a:noFill/>
            </a:ln>
            <a:effectLst/>
            <a:sp3d/>
          </c:spPr>
          <c:invertIfNegative val="0"/>
          <c:cat>
            <c:strRef>
              <c:f>'Comparatie 2021'!$A$15:$A$17</c:f>
              <c:strCache>
                <c:ptCount val="3"/>
                <c:pt idx="0">
                  <c:v>Viteza medie (km/h)</c:v>
                </c:pt>
                <c:pt idx="1">
                  <c:v>Intarziere medie (s/km)</c:v>
                </c:pt>
                <c:pt idx="2">
                  <c:v>Consum carburant (zeci litri)</c:v>
                </c:pt>
              </c:strCache>
            </c:strRef>
          </c:cat>
          <c:val>
            <c:numRef>
              <c:f>'Comparatie 2021'!$C$15:$C$17</c:f>
              <c:numCache>
                <c:formatCode>0.00</c:formatCode>
                <c:ptCount val="3"/>
                <c:pt idx="0">
                  <c:v>29.22</c:v>
                </c:pt>
                <c:pt idx="1">
                  <c:v>40.479999999999997</c:v>
                </c:pt>
                <c:pt idx="2">
                  <c:v>34.976552080300003</c:v>
                </c:pt>
              </c:numCache>
            </c:numRef>
          </c:val>
          <c:extLst>
            <c:ext xmlns:c16="http://schemas.microsoft.com/office/drawing/2014/chart" uri="{C3380CC4-5D6E-409C-BE32-E72D297353CC}">
              <c16:uniqueId val="{00000001-8191-4EE9-B17F-44F6D911313C}"/>
            </c:ext>
          </c:extLst>
        </c:ser>
        <c:dLbls>
          <c:showLegendKey val="0"/>
          <c:showVal val="0"/>
          <c:showCatName val="0"/>
          <c:showSerName val="0"/>
          <c:showPercent val="0"/>
          <c:showBubbleSize val="0"/>
        </c:dLbls>
        <c:gapWidth val="150"/>
        <c:shape val="box"/>
        <c:axId val="731873376"/>
        <c:axId val="731873936"/>
        <c:axId val="0"/>
      </c:bar3DChart>
      <c:catAx>
        <c:axId val="7318733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1873936"/>
        <c:crosses val="autoZero"/>
        <c:auto val="1"/>
        <c:lblAlgn val="ctr"/>
        <c:lblOffset val="100"/>
        <c:noMultiLvlLbl val="0"/>
      </c:catAx>
      <c:valAx>
        <c:axId val="7318739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187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'Comparatie 2021'!$B$2</c:f>
              <c:strCache>
                <c:ptCount val="1"/>
                <c:pt idx="0">
                  <c:v>AM</c:v>
                </c:pt>
              </c:strCache>
            </c:strRef>
          </c:tx>
          <c:spPr>
            <a:solidFill>
              <a:schemeClr val="accent1"/>
            </a:solidFill>
            <a:ln>
              <a:noFill/>
            </a:ln>
            <a:effectLst/>
            <a:sp3d/>
          </c:spPr>
          <c:invertIfNegative val="0"/>
          <c:cat>
            <c:strRef>
              <c:f>'Comparatie 2021'!$A$3:$A$6</c:f>
              <c:strCache>
                <c:ptCount val="4"/>
                <c:pt idx="0">
                  <c:v>CO2 (t)</c:v>
                </c:pt>
                <c:pt idx="1">
                  <c:v>NOx (kg)</c:v>
                </c:pt>
                <c:pt idx="2">
                  <c:v>PM (kg)</c:v>
                </c:pt>
                <c:pt idx="3">
                  <c:v>HC (kg)</c:v>
                </c:pt>
              </c:strCache>
            </c:strRef>
          </c:cat>
          <c:val>
            <c:numRef>
              <c:f>'Comparatie 2021'!$B$3:$B$6</c:f>
              <c:numCache>
                <c:formatCode>#,##0.00</c:formatCode>
                <c:ptCount val="4"/>
                <c:pt idx="0">
                  <c:v>0.75511712583900004</c:v>
                </c:pt>
                <c:pt idx="1">
                  <c:v>3.29108446</c:v>
                </c:pt>
                <c:pt idx="2">
                  <c:v>0.16681058799999998</c:v>
                </c:pt>
                <c:pt idx="3">
                  <c:v>5.6331797349999997</c:v>
                </c:pt>
              </c:numCache>
            </c:numRef>
          </c:val>
          <c:extLst>
            <c:ext xmlns:c16="http://schemas.microsoft.com/office/drawing/2014/chart" uri="{C3380CC4-5D6E-409C-BE32-E72D297353CC}">
              <c16:uniqueId val="{00000000-ACB1-4AC5-AF88-D5B88C789083}"/>
            </c:ext>
          </c:extLst>
        </c:ser>
        <c:ser>
          <c:idx val="1"/>
          <c:order val="1"/>
          <c:tx>
            <c:strRef>
              <c:f>'Comparatie 2021'!$C$2</c:f>
              <c:strCache>
                <c:ptCount val="1"/>
                <c:pt idx="0">
                  <c:v>PM</c:v>
                </c:pt>
              </c:strCache>
            </c:strRef>
          </c:tx>
          <c:spPr>
            <a:solidFill>
              <a:schemeClr val="accent2"/>
            </a:solidFill>
            <a:ln>
              <a:noFill/>
            </a:ln>
            <a:effectLst/>
            <a:sp3d/>
          </c:spPr>
          <c:invertIfNegative val="0"/>
          <c:cat>
            <c:strRef>
              <c:f>'Comparatie 2021'!$A$3:$A$6</c:f>
              <c:strCache>
                <c:ptCount val="4"/>
                <c:pt idx="0">
                  <c:v>CO2 (t)</c:v>
                </c:pt>
                <c:pt idx="1">
                  <c:v>NOx (kg)</c:v>
                </c:pt>
                <c:pt idx="2">
                  <c:v>PM (kg)</c:v>
                </c:pt>
                <c:pt idx="3">
                  <c:v>HC (kg)</c:v>
                </c:pt>
              </c:strCache>
            </c:strRef>
          </c:cat>
          <c:val>
            <c:numRef>
              <c:f>'Comparatie 2021'!$C$3:$C$6</c:f>
              <c:numCache>
                <c:formatCode>0.00</c:formatCode>
                <c:ptCount val="4"/>
                <c:pt idx="0">
                  <c:v>1.0294439356289999</c:v>
                </c:pt>
                <c:pt idx="1">
                  <c:v>5.1552413530000001</c:v>
                </c:pt>
                <c:pt idx="2">
                  <c:v>0.24411198099999998</c:v>
                </c:pt>
                <c:pt idx="3">
                  <c:v>6.487487958</c:v>
                </c:pt>
              </c:numCache>
            </c:numRef>
          </c:val>
          <c:extLst>
            <c:ext xmlns:c16="http://schemas.microsoft.com/office/drawing/2014/chart" uri="{C3380CC4-5D6E-409C-BE32-E72D297353CC}">
              <c16:uniqueId val="{00000001-ACB1-4AC5-AF88-D5B88C789083}"/>
            </c:ext>
          </c:extLst>
        </c:ser>
        <c:dLbls>
          <c:showLegendKey val="0"/>
          <c:showVal val="0"/>
          <c:showCatName val="0"/>
          <c:showSerName val="0"/>
          <c:showPercent val="0"/>
          <c:showBubbleSize val="0"/>
        </c:dLbls>
        <c:gapWidth val="150"/>
        <c:shape val="box"/>
        <c:axId val="731876736"/>
        <c:axId val="731877296"/>
        <c:axId val="0"/>
      </c:bar3DChart>
      <c:catAx>
        <c:axId val="7318767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1877296"/>
        <c:crosses val="autoZero"/>
        <c:auto val="1"/>
        <c:lblAlgn val="ctr"/>
        <c:lblOffset val="100"/>
        <c:noMultiLvlLbl val="0"/>
      </c:catAx>
      <c:valAx>
        <c:axId val="7318772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1876736"/>
        <c:crosses val="autoZero"/>
        <c:crossBetween val="between"/>
      </c:valAx>
      <c:spPr>
        <a:noFill/>
        <a:ln>
          <a:noFill/>
        </a:ln>
        <a:effectLst/>
      </c:spPr>
    </c:plotArea>
    <c:legend>
      <c:legendPos val="b"/>
      <c:layout>
        <c:manualLayout>
          <c:xMode val="edge"/>
          <c:yMode val="edge"/>
          <c:x val="0.44162817147856509"/>
          <c:y val="0.88020778652668419"/>
          <c:w val="0.15281627296587927"/>
          <c:h val="7.812554680664918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a:t>Numar accidente rutiere 2018-2021</a:t>
            </a:r>
            <a:endParaRPr lang="ro-RO" sz="1200"/>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Numar accidente</c:v>
          </c:tx>
          <c:invertIfNegative val="0"/>
          <c:cat>
            <c:numRef>
              <c:f>Sheet1!$A$1:$A$4</c:f>
              <c:numCache>
                <c:formatCode>General</c:formatCode>
                <c:ptCount val="4"/>
                <c:pt idx="0">
                  <c:v>2018</c:v>
                </c:pt>
                <c:pt idx="1">
                  <c:v>2019</c:v>
                </c:pt>
                <c:pt idx="2">
                  <c:v>2020</c:v>
                </c:pt>
                <c:pt idx="3">
                  <c:v>2021</c:v>
                </c:pt>
              </c:numCache>
            </c:numRef>
          </c:cat>
          <c:val>
            <c:numRef>
              <c:f>Sheet1!$D$1:$D$4</c:f>
              <c:numCache>
                <c:formatCode>General</c:formatCode>
                <c:ptCount val="4"/>
                <c:pt idx="0">
                  <c:v>72</c:v>
                </c:pt>
                <c:pt idx="1">
                  <c:v>82</c:v>
                </c:pt>
                <c:pt idx="2">
                  <c:v>75</c:v>
                </c:pt>
                <c:pt idx="3">
                  <c:v>84</c:v>
                </c:pt>
              </c:numCache>
            </c:numRef>
          </c:val>
          <c:extLst>
            <c:ext xmlns:c16="http://schemas.microsoft.com/office/drawing/2014/chart" uri="{C3380CC4-5D6E-409C-BE32-E72D297353CC}">
              <c16:uniqueId val="{00000000-877B-4034-9392-21E9A5828EB9}"/>
            </c:ext>
          </c:extLst>
        </c:ser>
        <c:dLbls>
          <c:showLegendKey val="0"/>
          <c:showVal val="0"/>
          <c:showCatName val="0"/>
          <c:showSerName val="0"/>
          <c:showPercent val="0"/>
          <c:showBubbleSize val="0"/>
        </c:dLbls>
        <c:gapWidth val="150"/>
        <c:shape val="box"/>
        <c:axId val="731879536"/>
        <c:axId val="731880096"/>
        <c:axId val="0"/>
      </c:bar3DChart>
      <c:catAx>
        <c:axId val="731879536"/>
        <c:scaling>
          <c:orientation val="minMax"/>
        </c:scaling>
        <c:delete val="0"/>
        <c:axPos val="b"/>
        <c:numFmt formatCode="General" sourceLinked="1"/>
        <c:majorTickMark val="none"/>
        <c:minorTickMark val="none"/>
        <c:tickLblPos val="nextTo"/>
        <c:crossAx val="731880096"/>
        <c:crosses val="autoZero"/>
        <c:auto val="1"/>
        <c:lblAlgn val="ctr"/>
        <c:lblOffset val="100"/>
        <c:noMultiLvlLbl val="0"/>
      </c:catAx>
      <c:valAx>
        <c:axId val="731880096"/>
        <c:scaling>
          <c:orientation val="minMax"/>
        </c:scaling>
        <c:delete val="0"/>
        <c:axPos val="l"/>
        <c:majorGridlines/>
        <c:numFmt formatCode="General" sourceLinked="1"/>
        <c:majorTickMark val="none"/>
        <c:minorTickMark val="none"/>
        <c:tickLblPos val="nextTo"/>
        <c:crossAx val="731879536"/>
        <c:crosses val="autoZero"/>
        <c:crossBetween val="between"/>
      </c:valAx>
    </c:plotArea>
    <c:legend>
      <c:legendPos val="r"/>
      <c:overlay val="0"/>
    </c:legend>
    <c:plotVisOnly val="1"/>
    <c:dispBlanksAs val="gap"/>
    <c:showDLblsOverMax val="0"/>
  </c:chart>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a:pPr>
            <a:r>
              <a:rPr lang="en-US" sz="1200"/>
              <a:t>Numar accidente rutiere cu victime omenesti</a:t>
            </a:r>
            <a:endParaRPr lang="ro-RO" sz="1200"/>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Numar accidente</c:v>
          </c:tx>
          <c:invertIfNegative val="0"/>
          <c:cat>
            <c:numRef>
              <c:f>Sheet1!$A$1:$A$4</c:f>
              <c:numCache>
                <c:formatCode>General</c:formatCode>
                <c:ptCount val="4"/>
                <c:pt idx="0">
                  <c:v>2018</c:v>
                </c:pt>
                <c:pt idx="1">
                  <c:v>2019</c:v>
                </c:pt>
                <c:pt idx="2">
                  <c:v>2020</c:v>
                </c:pt>
                <c:pt idx="3">
                  <c:v>2021</c:v>
                </c:pt>
              </c:numCache>
            </c:numRef>
          </c:cat>
          <c:val>
            <c:numRef>
              <c:f>Sheet1!$B$1:$B$4</c:f>
              <c:numCache>
                <c:formatCode>General</c:formatCode>
                <c:ptCount val="4"/>
                <c:pt idx="0">
                  <c:v>7</c:v>
                </c:pt>
                <c:pt idx="1">
                  <c:v>11</c:v>
                </c:pt>
                <c:pt idx="2">
                  <c:v>9</c:v>
                </c:pt>
                <c:pt idx="3">
                  <c:v>11</c:v>
                </c:pt>
              </c:numCache>
            </c:numRef>
          </c:val>
          <c:extLst>
            <c:ext xmlns:c16="http://schemas.microsoft.com/office/drawing/2014/chart" uri="{C3380CC4-5D6E-409C-BE32-E72D297353CC}">
              <c16:uniqueId val="{00000000-F322-468F-A431-57658D3DBCED}"/>
            </c:ext>
          </c:extLst>
        </c:ser>
        <c:dLbls>
          <c:showLegendKey val="0"/>
          <c:showVal val="0"/>
          <c:showCatName val="0"/>
          <c:showSerName val="0"/>
          <c:showPercent val="0"/>
          <c:showBubbleSize val="0"/>
        </c:dLbls>
        <c:gapWidth val="150"/>
        <c:shape val="box"/>
        <c:axId val="416490080"/>
        <c:axId val="416490640"/>
        <c:axId val="0"/>
      </c:bar3DChart>
      <c:catAx>
        <c:axId val="416490080"/>
        <c:scaling>
          <c:orientation val="minMax"/>
        </c:scaling>
        <c:delete val="0"/>
        <c:axPos val="b"/>
        <c:numFmt formatCode="General" sourceLinked="1"/>
        <c:majorTickMark val="none"/>
        <c:minorTickMark val="none"/>
        <c:tickLblPos val="nextTo"/>
        <c:crossAx val="416490640"/>
        <c:crosses val="autoZero"/>
        <c:auto val="1"/>
        <c:lblAlgn val="ctr"/>
        <c:lblOffset val="100"/>
        <c:noMultiLvlLbl val="0"/>
      </c:catAx>
      <c:valAx>
        <c:axId val="416490640"/>
        <c:scaling>
          <c:orientation val="minMax"/>
        </c:scaling>
        <c:delete val="0"/>
        <c:axPos val="l"/>
        <c:majorGridlines/>
        <c:numFmt formatCode="General" sourceLinked="1"/>
        <c:majorTickMark val="none"/>
        <c:minorTickMark val="none"/>
        <c:tickLblPos val="nextTo"/>
        <c:crossAx val="416490080"/>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cat>
            <c:strRef>
              <c:f>Sheet1!$C$2:$C$19</c:f>
              <c:strCache>
                <c:ptCount val="18"/>
                <c:pt idx="0">
                  <c:v>0- 4 ani</c:v>
                </c:pt>
                <c:pt idx="1">
                  <c:v>5- 9 ani</c:v>
                </c:pt>
                <c:pt idx="2">
                  <c:v>10-14 ani</c:v>
                </c:pt>
                <c:pt idx="3">
                  <c:v>15-19 ani</c:v>
                </c:pt>
                <c:pt idx="4">
                  <c:v>20-24 ani</c:v>
                </c:pt>
                <c:pt idx="5">
                  <c:v>25-29 ani</c:v>
                </c:pt>
                <c:pt idx="6">
                  <c:v>30-34 ani</c:v>
                </c:pt>
                <c:pt idx="7">
                  <c:v>35-39 ani</c:v>
                </c:pt>
                <c:pt idx="8">
                  <c:v>40-44 ani</c:v>
                </c:pt>
                <c:pt idx="9">
                  <c:v>45-49 ani</c:v>
                </c:pt>
                <c:pt idx="10">
                  <c:v>50-54 ani</c:v>
                </c:pt>
                <c:pt idx="11">
                  <c:v>55-59 ani</c:v>
                </c:pt>
                <c:pt idx="12">
                  <c:v>60-64 ani</c:v>
                </c:pt>
                <c:pt idx="13">
                  <c:v>65-69 ani</c:v>
                </c:pt>
                <c:pt idx="14">
                  <c:v>70-74 ani</c:v>
                </c:pt>
                <c:pt idx="15">
                  <c:v>75-79 ani</c:v>
                </c:pt>
                <c:pt idx="16">
                  <c:v>80-84 ani</c:v>
                </c:pt>
                <c:pt idx="17">
                  <c:v>85 ani si peste</c:v>
                </c:pt>
              </c:strCache>
            </c:strRef>
          </c:cat>
          <c:val>
            <c:numRef>
              <c:f>Sheet1!$D$2:$D$19</c:f>
              <c:numCache>
                <c:formatCode>General</c:formatCode>
                <c:ptCount val="18"/>
                <c:pt idx="0">
                  <c:v>265</c:v>
                </c:pt>
                <c:pt idx="1">
                  <c:v>286</c:v>
                </c:pt>
                <c:pt idx="2">
                  <c:v>331</c:v>
                </c:pt>
                <c:pt idx="3">
                  <c:v>387</c:v>
                </c:pt>
                <c:pt idx="4">
                  <c:v>327</c:v>
                </c:pt>
                <c:pt idx="5">
                  <c:v>394</c:v>
                </c:pt>
                <c:pt idx="6">
                  <c:v>525</c:v>
                </c:pt>
                <c:pt idx="7">
                  <c:v>426</c:v>
                </c:pt>
                <c:pt idx="8">
                  <c:v>507</c:v>
                </c:pt>
                <c:pt idx="9">
                  <c:v>528</c:v>
                </c:pt>
                <c:pt idx="10">
                  <c:v>601</c:v>
                </c:pt>
                <c:pt idx="11">
                  <c:v>479</c:v>
                </c:pt>
                <c:pt idx="12">
                  <c:v>461</c:v>
                </c:pt>
                <c:pt idx="13">
                  <c:v>396</c:v>
                </c:pt>
                <c:pt idx="14">
                  <c:v>328</c:v>
                </c:pt>
                <c:pt idx="15">
                  <c:v>207</c:v>
                </c:pt>
                <c:pt idx="16">
                  <c:v>185</c:v>
                </c:pt>
                <c:pt idx="17">
                  <c:v>173</c:v>
                </c:pt>
              </c:numCache>
            </c:numRef>
          </c:val>
          <c:extLst>
            <c:ext xmlns:c16="http://schemas.microsoft.com/office/drawing/2014/chart" uri="{C3380CC4-5D6E-409C-BE32-E72D297353CC}">
              <c16:uniqueId val="{00000000-599A-4350-855D-8B1F4CCCE3D5}"/>
            </c:ext>
          </c:extLst>
        </c:ser>
        <c:dLbls>
          <c:showLegendKey val="0"/>
          <c:showVal val="0"/>
          <c:showCatName val="0"/>
          <c:showSerName val="0"/>
          <c:showPercent val="0"/>
          <c:showBubbleSize val="0"/>
        </c:dLbls>
        <c:gapWidth val="219"/>
        <c:overlap val="-27"/>
        <c:axId val="434725104"/>
        <c:axId val="434725664"/>
      </c:barChart>
      <c:catAx>
        <c:axId val="434725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4725664"/>
        <c:crosses val="autoZero"/>
        <c:auto val="1"/>
        <c:lblAlgn val="ctr"/>
        <c:lblOffset val="100"/>
        <c:noMultiLvlLbl val="0"/>
      </c:catAx>
      <c:valAx>
        <c:axId val="4347256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347251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a:lstStyle/>
          <a:p>
            <a:pPr>
              <a:defRPr/>
            </a:pPr>
            <a:r>
              <a:rPr lang="en-US" sz="1400"/>
              <a:t>Numar accidente rutiere cu</a:t>
            </a:r>
            <a:r>
              <a:rPr lang="en-US" sz="1400" baseline="0"/>
              <a:t> pagube materiale</a:t>
            </a:r>
            <a:endParaRPr lang="ro-RO" sz="1400"/>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Numar accidente</c:v>
          </c:tx>
          <c:invertIfNegative val="0"/>
          <c:cat>
            <c:numRef>
              <c:f>Sheet1!$A$1:$A$4</c:f>
              <c:numCache>
                <c:formatCode>General</c:formatCode>
                <c:ptCount val="4"/>
                <c:pt idx="0">
                  <c:v>2018</c:v>
                </c:pt>
                <c:pt idx="1">
                  <c:v>2019</c:v>
                </c:pt>
                <c:pt idx="2">
                  <c:v>2020</c:v>
                </c:pt>
                <c:pt idx="3">
                  <c:v>2021</c:v>
                </c:pt>
              </c:numCache>
            </c:numRef>
          </c:cat>
          <c:val>
            <c:numRef>
              <c:f>Sheet1!$C$1:$C$4</c:f>
              <c:numCache>
                <c:formatCode>General</c:formatCode>
                <c:ptCount val="4"/>
                <c:pt idx="0">
                  <c:v>65</c:v>
                </c:pt>
                <c:pt idx="1">
                  <c:v>71</c:v>
                </c:pt>
                <c:pt idx="2">
                  <c:v>66</c:v>
                </c:pt>
                <c:pt idx="3">
                  <c:v>73</c:v>
                </c:pt>
              </c:numCache>
            </c:numRef>
          </c:val>
          <c:extLst>
            <c:ext xmlns:c16="http://schemas.microsoft.com/office/drawing/2014/chart" uri="{C3380CC4-5D6E-409C-BE32-E72D297353CC}">
              <c16:uniqueId val="{00000000-1C8C-406D-A414-331F1FB0A6D0}"/>
            </c:ext>
          </c:extLst>
        </c:ser>
        <c:dLbls>
          <c:showLegendKey val="0"/>
          <c:showVal val="0"/>
          <c:showCatName val="0"/>
          <c:showSerName val="0"/>
          <c:showPercent val="0"/>
          <c:showBubbleSize val="0"/>
        </c:dLbls>
        <c:gapWidth val="150"/>
        <c:shape val="box"/>
        <c:axId val="416492880"/>
        <c:axId val="416493440"/>
        <c:axId val="0"/>
      </c:bar3DChart>
      <c:catAx>
        <c:axId val="416492880"/>
        <c:scaling>
          <c:orientation val="minMax"/>
        </c:scaling>
        <c:delete val="0"/>
        <c:axPos val="b"/>
        <c:numFmt formatCode="General" sourceLinked="1"/>
        <c:majorTickMark val="none"/>
        <c:minorTickMark val="none"/>
        <c:tickLblPos val="nextTo"/>
        <c:crossAx val="416493440"/>
        <c:crosses val="autoZero"/>
        <c:auto val="1"/>
        <c:lblAlgn val="ctr"/>
        <c:lblOffset val="100"/>
        <c:noMultiLvlLbl val="0"/>
      </c:catAx>
      <c:valAx>
        <c:axId val="416493440"/>
        <c:scaling>
          <c:orientation val="minMax"/>
        </c:scaling>
        <c:delete val="0"/>
        <c:axPos val="l"/>
        <c:majorGridlines/>
        <c:numFmt formatCode="General" sourceLinked="1"/>
        <c:majorTickMark val="none"/>
        <c:minorTickMark val="none"/>
        <c:tickLblPos val="nextTo"/>
        <c:crossAx val="416492880"/>
        <c:crosses val="autoZero"/>
        <c:crossBetween val="between"/>
      </c:valAx>
    </c:plotArea>
    <c:legend>
      <c:legendPos val="r"/>
      <c:overlay val="0"/>
    </c:legend>
    <c:plotVisOnly val="1"/>
    <c:dispBlanksAs val="gap"/>
    <c:showDLblsOverMax val="0"/>
  </c:chart>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400"/>
              <a:t>Cauze producere accidente</a:t>
            </a:r>
            <a:endParaRPr lang="ro-RO" sz="1400"/>
          </a:p>
        </c:rich>
      </c:tx>
      <c:layout>
        <c:manualLayout>
          <c:xMode val="edge"/>
          <c:yMode val="edge"/>
          <c:x val="4.1902668416447929E-2"/>
          <c:y val="3.1098153547133137E-2"/>
        </c:manualLayout>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Cauze!$I$2:$S$2</c:f>
              <c:strCache>
                <c:ptCount val="11"/>
                <c:pt idx="0">
                  <c:v>abateri biciclişti</c:v>
                </c:pt>
                <c:pt idx="1">
                  <c:v>alte preocupări de natură a distrage atenţia</c:v>
                </c:pt>
                <c:pt idx="2">
                  <c:v>conducere fără permis</c:v>
                </c:pt>
                <c:pt idx="3">
                  <c:v>neacordare prioritate pietoni</c:v>
                </c:pt>
                <c:pt idx="4">
                  <c:v>neacordare prioritate vehicule</c:v>
                </c:pt>
                <c:pt idx="5">
                  <c:v>neasigurare la schimbarea direcţiei de mers</c:v>
                </c:pt>
                <c:pt idx="6">
                  <c:v>neasigurare mers înapoi</c:v>
                </c:pt>
                <c:pt idx="7">
                  <c:v>nerespectare distanţă între vehicule</c:v>
                </c:pt>
                <c:pt idx="8">
                  <c:v>oprie, staţionare neregulamentară</c:v>
                </c:pt>
                <c:pt idx="9">
                  <c:v>traversare neregulamentară pietoni</c:v>
                </c:pt>
                <c:pt idx="10">
                  <c:v>viteza neadaptată la condiţiile de drum</c:v>
                </c:pt>
              </c:strCache>
            </c:strRef>
          </c:cat>
          <c:val>
            <c:numRef>
              <c:f>Cauze!$I$3:$S$3</c:f>
              <c:numCache>
                <c:formatCode>General</c:formatCode>
                <c:ptCount val="11"/>
                <c:pt idx="0">
                  <c:v>7</c:v>
                </c:pt>
                <c:pt idx="1">
                  <c:v>1</c:v>
                </c:pt>
                <c:pt idx="2">
                  <c:v>1</c:v>
                </c:pt>
                <c:pt idx="3">
                  <c:v>2</c:v>
                </c:pt>
                <c:pt idx="4">
                  <c:v>9</c:v>
                </c:pt>
                <c:pt idx="5">
                  <c:v>4</c:v>
                </c:pt>
                <c:pt idx="6">
                  <c:v>2</c:v>
                </c:pt>
                <c:pt idx="7">
                  <c:v>5</c:v>
                </c:pt>
                <c:pt idx="8">
                  <c:v>1</c:v>
                </c:pt>
                <c:pt idx="9">
                  <c:v>3</c:v>
                </c:pt>
                <c:pt idx="10">
                  <c:v>4</c:v>
                </c:pt>
              </c:numCache>
            </c:numRef>
          </c:val>
          <c:extLst>
            <c:ext xmlns:c16="http://schemas.microsoft.com/office/drawing/2014/chart" uri="{C3380CC4-5D6E-409C-BE32-E72D297353CC}">
              <c16:uniqueId val="{00000000-942F-49A2-ABF6-DE5C153E3792}"/>
            </c:ext>
          </c:extLst>
        </c:ser>
        <c:dLbls>
          <c:showLegendKey val="0"/>
          <c:showVal val="0"/>
          <c:showCatName val="0"/>
          <c:showSerName val="0"/>
          <c:showPercent val="1"/>
          <c:showBubbleSize val="0"/>
          <c:showLeaderLines val="1"/>
        </c:dLbls>
      </c:pie3DChart>
    </c:plotArea>
    <c:legend>
      <c:legendPos val="r"/>
      <c:layout>
        <c:manualLayout>
          <c:xMode val="edge"/>
          <c:yMode val="edge"/>
          <c:x val="0.64166666666666672"/>
          <c:y val="0.11830076073837602"/>
          <c:w val="0.34166666666666667"/>
          <c:h val="0.85681588407099529"/>
        </c:manualLayout>
      </c:layout>
      <c:overlay val="0"/>
      <c:txPr>
        <a:bodyPr/>
        <a:lstStyle/>
        <a:p>
          <a:pPr>
            <a:defRPr sz="800"/>
          </a:pPr>
          <a:endParaRPr lang="ro-RO"/>
        </a:p>
      </c:txPr>
    </c:legend>
    <c:plotVisOnly val="1"/>
    <c:dispBlanksAs val="gap"/>
    <c:showDLblsOverMax val="0"/>
  </c:chart>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400"/>
              <a:t>Arterele de circulatie cu risc mare de producere a accidentelor</a:t>
            </a:r>
            <a:endParaRPr lang="ro-RO" sz="1400"/>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0"/>
            <c:showCatName val="1"/>
            <c:showSerName val="0"/>
            <c:showPercent val="0"/>
            <c:showBubbleSize val="0"/>
            <c:showLeaderLines val="1"/>
            <c:extLst>
              <c:ext xmlns:c15="http://schemas.microsoft.com/office/drawing/2012/chart" uri="{CE6537A1-D6FC-4f65-9D91-7224C49458BB}"/>
            </c:extLst>
          </c:dLbls>
          <c:cat>
            <c:strRef>
              <c:f>(Loc!$J$2;Loc!$N$2:$P$2)</c:f>
              <c:strCache>
                <c:ptCount val="4"/>
                <c:pt idx="0">
                  <c:v>DC 139</c:v>
                </c:pt>
                <c:pt idx="1">
                  <c:v>DJ 665</c:v>
                </c:pt>
                <c:pt idx="2">
                  <c:v>DJ 669</c:v>
                </c:pt>
                <c:pt idx="3">
                  <c:v>DN 67</c:v>
                </c:pt>
              </c:strCache>
            </c:strRef>
          </c:cat>
          <c:val>
            <c:numRef>
              <c:f>(Loc!$J$3;Loc!$N$3:$P$3)</c:f>
              <c:numCache>
                <c:formatCode>General</c:formatCode>
                <c:ptCount val="4"/>
                <c:pt idx="0">
                  <c:v>4</c:v>
                </c:pt>
                <c:pt idx="1">
                  <c:v>5</c:v>
                </c:pt>
                <c:pt idx="2">
                  <c:v>5</c:v>
                </c:pt>
                <c:pt idx="3">
                  <c:v>14</c:v>
                </c:pt>
              </c:numCache>
            </c:numRef>
          </c:val>
          <c:extLst>
            <c:ext xmlns:c16="http://schemas.microsoft.com/office/drawing/2014/chart" uri="{C3380CC4-5D6E-409C-BE32-E72D297353CC}">
              <c16:uniqueId val="{00000000-FC68-40C6-BAE9-F0B3C7FD1B30}"/>
            </c:ext>
          </c:extLst>
        </c:ser>
        <c:dLbls>
          <c:showLegendKey val="0"/>
          <c:showVal val="0"/>
          <c:showCatName val="1"/>
          <c:showSerName val="0"/>
          <c:showPercent val="0"/>
          <c:showBubbleSize val="0"/>
          <c:showLeaderLines val="1"/>
        </c:dLbls>
      </c:pie3DChart>
    </c:plotArea>
    <c:plotVisOnly val="1"/>
    <c:dispBlanksAs val="gap"/>
    <c:showDLblsOverMax val="0"/>
  </c:chart>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Viteza medie de circulație (km/h)</a:t>
            </a:r>
          </a:p>
        </c:rich>
      </c:tx>
      <c:layout>
        <c:manualLayout>
          <c:xMode val="edge"/>
          <c:yMode val="edge"/>
          <c:x val="0.26456233595800521"/>
          <c:y val="4.629629629629629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2027'!$N$19</c:f>
              <c:strCache>
                <c:ptCount val="1"/>
                <c:pt idx="0">
                  <c:v>S1</c:v>
                </c:pt>
              </c:strCache>
            </c:strRef>
          </c:tx>
          <c:spPr>
            <a:solidFill>
              <a:schemeClr val="accent1"/>
            </a:solidFill>
            <a:ln>
              <a:noFill/>
            </a:ln>
            <a:effectLst/>
            <a:sp3d/>
          </c:spPr>
          <c:invertIfNegative val="0"/>
          <c:cat>
            <c:strRef>
              <c:f>' Scenarii 2027'!$O$18:$Q$18</c:f>
              <c:strCache>
                <c:ptCount val="3"/>
                <c:pt idx="0">
                  <c:v>AM</c:v>
                </c:pt>
                <c:pt idx="1">
                  <c:v>PM</c:v>
                </c:pt>
                <c:pt idx="2">
                  <c:v>24h</c:v>
                </c:pt>
              </c:strCache>
            </c:strRef>
          </c:cat>
          <c:val>
            <c:numRef>
              <c:f>' Scenarii 2027'!$O$19:$Q$19</c:f>
              <c:numCache>
                <c:formatCode>0.00</c:formatCode>
                <c:ptCount val="3"/>
                <c:pt idx="0">
                  <c:v>29.53</c:v>
                </c:pt>
                <c:pt idx="1">
                  <c:v>29.96</c:v>
                </c:pt>
                <c:pt idx="2">
                  <c:v>32.719500000000004</c:v>
                </c:pt>
              </c:numCache>
            </c:numRef>
          </c:val>
          <c:extLst>
            <c:ext xmlns:c16="http://schemas.microsoft.com/office/drawing/2014/chart" uri="{C3380CC4-5D6E-409C-BE32-E72D297353CC}">
              <c16:uniqueId val="{00000000-FA05-46FF-ABE0-5BB70454B686}"/>
            </c:ext>
          </c:extLst>
        </c:ser>
        <c:ser>
          <c:idx val="1"/>
          <c:order val="1"/>
          <c:tx>
            <c:strRef>
              <c:f>' Scenarii 2027'!$N$20</c:f>
              <c:strCache>
                <c:ptCount val="1"/>
                <c:pt idx="0">
                  <c:v>S2</c:v>
                </c:pt>
              </c:strCache>
            </c:strRef>
          </c:tx>
          <c:spPr>
            <a:solidFill>
              <a:schemeClr val="accent2"/>
            </a:solidFill>
            <a:ln>
              <a:noFill/>
            </a:ln>
            <a:effectLst/>
            <a:sp3d/>
          </c:spPr>
          <c:invertIfNegative val="0"/>
          <c:cat>
            <c:strRef>
              <c:f>' Scenarii 2027'!$O$18:$Q$18</c:f>
              <c:strCache>
                <c:ptCount val="3"/>
                <c:pt idx="0">
                  <c:v>AM</c:v>
                </c:pt>
                <c:pt idx="1">
                  <c:v>PM</c:v>
                </c:pt>
                <c:pt idx="2">
                  <c:v>24h</c:v>
                </c:pt>
              </c:strCache>
            </c:strRef>
          </c:cat>
          <c:val>
            <c:numRef>
              <c:f>' Scenarii 2027'!$O$20:$Q$20</c:f>
              <c:numCache>
                <c:formatCode>0.00</c:formatCode>
                <c:ptCount val="3"/>
                <c:pt idx="0">
                  <c:v>31.64</c:v>
                </c:pt>
                <c:pt idx="1">
                  <c:v>31.64</c:v>
                </c:pt>
                <c:pt idx="2">
                  <c:v>34.804000000000002</c:v>
                </c:pt>
              </c:numCache>
            </c:numRef>
          </c:val>
          <c:extLst>
            <c:ext xmlns:c16="http://schemas.microsoft.com/office/drawing/2014/chart" uri="{C3380CC4-5D6E-409C-BE32-E72D297353CC}">
              <c16:uniqueId val="{00000001-FA05-46FF-ABE0-5BB70454B686}"/>
            </c:ext>
          </c:extLst>
        </c:ser>
        <c:dLbls>
          <c:showLegendKey val="0"/>
          <c:showVal val="0"/>
          <c:showCatName val="0"/>
          <c:showSerName val="0"/>
          <c:showPercent val="0"/>
          <c:showBubbleSize val="0"/>
        </c:dLbls>
        <c:gapWidth val="150"/>
        <c:shape val="box"/>
        <c:axId val="629492016"/>
        <c:axId val="629492576"/>
        <c:axId val="0"/>
      </c:bar3DChart>
      <c:catAx>
        <c:axId val="6294920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492576"/>
        <c:crosses val="autoZero"/>
        <c:auto val="1"/>
        <c:lblAlgn val="ctr"/>
        <c:lblOffset val="100"/>
        <c:noMultiLvlLbl val="0"/>
      </c:catAx>
      <c:valAx>
        <c:axId val="6294925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492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Întârzierea medie (sec)</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2027'!$N$26</c:f>
              <c:strCache>
                <c:ptCount val="1"/>
                <c:pt idx="0">
                  <c:v>S1</c:v>
                </c:pt>
              </c:strCache>
            </c:strRef>
          </c:tx>
          <c:spPr>
            <a:solidFill>
              <a:schemeClr val="accent1"/>
            </a:solidFill>
            <a:ln>
              <a:noFill/>
            </a:ln>
            <a:effectLst/>
            <a:sp3d/>
          </c:spPr>
          <c:invertIfNegative val="0"/>
          <c:cat>
            <c:strRef>
              <c:f>' Scenarii 2027'!$O$25:$Q$25</c:f>
              <c:strCache>
                <c:ptCount val="3"/>
                <c:pt idx="0">
                  <c:v>AM</c:v>
                </c:pt>
                <c:pt idx="1">
                  <c:v>PM</c:v>
                </c:pt>
                <c:pt idx="2">
                  <c:v>24h</c:v>
                </c:pt>
              </c:strCache>
            </c:strRef>
          </c:cat>
          <c:val>
            <c:numRef>
              <c:f>' Scenarii 2027'!$O$26:$Q$26</c:f>
              <c:numCache>
                <c:formatCode>0.00</c:formatCode>
                <c:ptCount val="3"/>
                <c:pt idx="0">
                  <c:v>43.44</c:v>
                </c:pt>
                <c:pt idx="1">
                  <c:v>42.1</c:v>
                </c:pt>
                <c:pt idx="2">
                  <c:v>21.72</c:v>
                </c:pt>
              </c:numCache>
            </c:numRef>
          </c:val>
          <c:extLst>
            <c:ext xmlns:c16="http://schemas.microsoft.com/office/drawing/2014/chart" uri="{C3380CC4-5D6E-409C-BE32-E72D297353CC}">
              <c16:uniqueId val="{00000000-84EC-4FEA-8DAC-4DE17A5250FB}"/>
            </c:ext>
          </c:extLst>
        </c:ser>
        <c:ser>
          <c:idx val="1"/>
          <c:order val="1"/>
          <c:tx>
            <c:strRef>
              <c:f>' Scenarii 2027'!$N$27</c:f>
              <c:strCache>
                <c:ptCount val="1"/>
                <c:pt idx="0">
                  <c:v>S2</c:v>
                </c:pt>
              </c:strCache>
            </c:strRef>
          </c:tx>
          <c:spPr>
            <a:solidFill>
              <a:schemeClr val="accent2"/>
            </a:solidFill>
            <a:ln>
              <a:noFill/>
            </a:ln>
            <a:effectLst/>
            <a:sp3d/>
          </c:spPr>
          <c:invertIfNegative val="0"/>
          <c:cat>
            <c:strRef>
              <c:f>' Scenarii 2027'!$O$25:$Q$25</c:f>
              <c:strCache>
                <c:ptCount val="3"/>
                <c:pt idx="0">
                  <c:v>AM</c:v>
                </c:pt>
                <c:pt idx="1">
                  <c:v>PM</c:v>
                </c:pt>
                <c:pt idx="2">
                  <c:v>24h</c:v>
                </c:pt>
              </c:strCache>
            </c:strRef>
          </c:cat>
          <c:val>
            <c:numRef>
              <c:f>' Scenarii 2027'!$O$27:$Q$27</c:f>
              <c:numCache>
                <c:formatCode>0.00</c:formatCode>
                <c:ptCount val="3"/>
                <c:pt idx="0">
                  <c:v>38.049999999999997</c:v>
                </c:pt>
                <c:pt idx="1">
                  <c:v>39.49</c:v>
                </c:pt>
                <c:pt idx="2">
                  <c:v>19.024999999999999</c:v>
                </c:pt>
              </c:numCache>
            </c:numRef>
          </c:val>
          <c:extLst>
            <c:ext xmlns:c16="http://schemas.microsoft.com/office/drawing/2014/chart" uri="{C3380CC4-5D6E-409C-BE32-E72D297353CC}">
              <c16:uniqueId val="{00000001-84EC-4FEA-8DAC-4DE17A5250FB}"/>
            </c:ext>
          </c:extLst>
        </c:ser>
        <c:dLbls>
          <c:showLegendKey val="0"/>
          <c:showVal val="0"/>
          <c:showCatName val="0"/>
          <c:showSerName val="0"/>
          <c:showPercent val="0"/>
          <c:showBubbleSize val="0"/>
        </c:dLbls>
        <c:gapWidth val="150"/>
        <c:shape val="box"/>
        <c:axId val="629495376"/>
        <c:axId val="629495936"/>
        <c:axId val="0"/>
      </c:bar3DChart>
      <c:catAx>
        <c:axId val="6294953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495936"/>
        <c:crosses val="autoZero"/>
        <c:auto val="1"/>
        <c:lblAlgn val="ctr"/>
        <c:lblOffset val="100"/>
        <c:noMultiLvlLbl val="0"/>
      </c:catAx>
      <c:valAx>
        <c:axId val="6294959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495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Consum de combustibil (litri)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2027'!$N$33</c:f>
              <c:strCache>
                <c:ptCount val="1"/>
                <c:pt idx="0">
                  <c:v>S1</c:v>
                </c:pt>
              </c:strCache>
            </c:strRef>
          </c:tx>
          <c:spPr>
            <a:solidFill>
              <a:schemeClr val="accent1"/>
            </a:solidFill>
            <a:ln>
              <a:noFill/>
            </a:ln>
            <a:effectLst/>
            <a:sp3d/>
          </c:spPr>
          <c:invertIfNegative val="0"/>
          <c:cat>
            <c:strRef>
              <c:f>' Scenarii 2027'!$O$32:$Q$32</c:f>
              <c:strCache>
                <c:ptCount val="3"/>
                <c:pt idx="0">
                  <c:v>AM</c:v>
                </c:pt>
                <c:pt idx="1">
                  <c:v>PM</c:v>
                </c:pt>
                <c:pt idx="2">
                  <c:v>24h</c:v>
                </c:pt>
              </c:strCache>
            </c:strRef>
          </c:cat>
          <c:val>
            <c:numRef>
              <c:f>' Scenarii 2027'!$O$33:$Q$33</c:f>
              <c:numCache>
                <c:formatCode>0.00</c:formatCode>
                <c:ptCount val="3"/>
                <c:pt idx="0">
                  <c:v>335.54338099400002</c:v>
                </c:pt>
                <c:pt idx="1">
                  <c:v>461.33637252099999</c:v>
                </c:pt>
                <c:pt idx="2">
                  <c:v>4781.2785210900001</c:v>
                </c:pt>
              </c:numCache>
            </c:numRef>
          </c:val>
          <c:extLst>
            <c:ext xmlns:c16="http://schemas.microsoft.com/office/drawing/2014/chart" uri="{C3380CC4-5D6E-409C-BE32-E72D297353CC}">
              <c16:uniqueId val="{00000000-81F8-4927-B1D8-C1D0094D04BB}"/>
            </c:ext>
          </c:extLst>
        </c:ser>
        <c:ser>
          <c:idx val="1"/>
          <c:order val="1"/>
          <c:tx>
            <c:strRef>
              <c:f>' Scenarii 2027'!$N$34</c:f>
              <c:strCache>
                <c:ptCount val="1"/>
                <c:pt idx="0">
                  <c:v>S2</c:v>
                </c:pt>
              </c:strCache>
            </c:strRef>
          </c:tx>
          <c:spPr>
            <a:solidFill>
              <a:schemeClr val="accent2"/>
            </a:solidFill>
            <a:ln>
              <a:noFill/>
            </a:ln>
            <a:effectLst/>
            <a:sp3d/>
          </c:spPr>
          <c:invertIfNegative val="0"/>
          <c:cat>
            <c:strRef>
              <c:f>' Scenarii 2027'!$O$32:$Q$32</c:f>
              <c:strCache>
                <c:ptCount val="3"/>
                <c:pt idx="0">
                  <c:v>AM</c:v>
                </c:pt>
                <c:pt idx="1">
                  <c:v>PM</c:v>
                </c:pt>
                <c:pt idx="2">
                  <c:v>24h</c:v>
                </c:pt>
              </c:strCache>
            </c:strRef>
          </c:cat>
          <c:val>
            <c:numRef>
              <c:f>' Scenarii 2027'!$O$34:$Q$34</c:f>
              <c:numCache>
                <c:formatCode>0.00</c:formatCode>
                <c:ptCount val="3"/>
                <c:pt idx="0">
                  <c:v>313.90219637899997</c:v>
                </c:pt>
                <c:pt idx="1">
                  <c:v>416.11436173800001</c:v>
                </c:pt>
                <c:pt idx="2">
                  <c:v>4380.0993487019996</c:v>
                </c:pt>
              </c:numCache>
            </c:numRef>
          </c:val>
          <c:extLst>
            <c:ext xmlns:c16="http://schemas.microsoft.com/office/drawing/2014/chart" uri="{C3380CC4-5D6E-409C-BE32-E72D297353CC}">
              <c16:uniqueId val="{00000001-81F8-4927-B1D8-C1D0094D04BB}"/>
            </c:ext>
          </c:extLst>
        </c:ser>
        <c:dLbls>
          <c:showLegendKey val="0"/>
          <c:showVal val="0"/>
          <c:showCatName val="0"/>
          <c:showSerName val="0"/>
          <c:showPercent val="0"/>
          <c:showBubbleSize val="0"/>
        </c:dLbls>
        <c:gapWidth val="150"/>
        <c:shape val="box"/>
        <c:axId val="738374208"/>
        <c:axId val="738374768"/>
        <c:axId val="0"/>
      </c:bar3DChart>
      <c:catAx>
        <c:axId val="7383742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8374768"/>
        <c:crosses val="autoZero"/>
        <c:auto val="1"/>
        <c:lblAlgn val="ctr"/>
        <c:lblOffset val="100"/>
        <c:noMultiLvlLbl val="0"/>
      </c:catAx>
      <c:valAx>
        <c:axId val="73837476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8374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Viteza medie de circulație (km/h)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2035'!$N$18</c:f>
              <c:strCache>
                <c:ptCount val="1"/>
                <c:pt idx="0">
                  <c:v>S1</c:v>
                </c:pt>
              </c:strCache>
            </c:strRef>
          </c:tx>
          <c:spPr>
            <a:solidFill>
              <a:schemeClr val="accent1"/>
            </a:solidFill>
            <a:ln>
              <a:noFill/>
            </a:ln>
            <a:effectLst/>
            <a:sp3d/>
          </c:spPr>
          <c:invertIfNegative val="0"/>
          <c:cat>
            <c:strRef>
              <c:f>' Scenarii 2035'!$O$17:$Q$17</c:f>
              <c:strCache>
                <c:ptCount val="3"/>
                <c:pt idx="0">
                  <c:v>AM</c:v>
                </c:pt>
                <c:pt idx="1">
                  <c:v>PM</c:v>
                </c:pt>
                <c:pt idx="2">
                  <c:v>24h</c:v>
                </c:pt>
              </c:strCache>
            </c:strRef>
          </c:cat>
          <c:val>
            <c:numRef>
              <c:f>' Scenarii 2035'!$O$18:$Q$18</c:f>
              <c:numCache>
                <c:formatCode>0.00</c:formatCode>
                <c:ptCount val="3"/>
                <c:pt idx="0">
                  <c:v>28.89</c:v>
                </c:pt>
                <c:pt idx="1">
                  <c:v>26.5</c:v>
                </c:pt>
                <c:pt idx="2">
                  <c:v>30.464500000000001</c:v>
                </c:pt>
              </c:numCache>
            </c:numRef>
          </c:val>
          <c:extLst>
            <c:ext xmlns:c16="http://schemas.microsoft.com/office/drawing/2014/chart" uri="{C3380CC4-5D6E-409C-BE32-E72D297353CC}">
              <c16:uniqueId val="{00000000-ACA4-4D8F-9809-888BC69F5057}"/>
            </c:ext>
          </c:extLst>
        </c:ser>
        <c:ser>
          <c:idx val="1"/>
          <c:order val="1"/>
          <c:tx>
            <c:strRef>
              <c:f>' Scenarii 2035'!$N$19</c:f>
              <c:strCache>
                <c:ptCount val="1"/>
                <c:pt idx="0">
                  <c:v>S2</c:v>
                </c:pt>
              </c:strCache>
            </c:strRef>
          </c:tx>
          <c:spPr>
            <a:solidFill>
              <a:schemeClr val="accent2"/>
            </a:solidFill>
            <a:ln>
              <a:noFill/>
            </a:ln>
            <a:effectLst/>
            <a:sp3d/>
          </c:spPr>
          <c:invertIfNegative val="0"/>
          <c:cat>
            <c:strRef>
              <c:f>' Scenarii 2035'!$O$17:$Q$17</c:f>
              <c:strCache>
                <c:ptCount val="3"/>
                <c:pt idx="0">
                  <c:v>AM</c:v>
                </c:pt>
                <c:pt idx="1">
                  <c:v>PM</c:v>
                </c:pt>
                <c:pt idx="2">
                  <c:v>24h</c:v>
                </c:pt>
              </c:strCache>
            </c:strRef>
          </c:cat>
          <c:val>
            <c:numRef>
              <c:f>' Scenarii 2035'!$O$19:$Q$19</c:f>
              <c:numCache>
                <c:formatCode>0.00</c:formatCode>
                <c:ptCount val="3"/>
                <c:pt idx="0">
                  <c:v>31.29</c:v>
                </c:pt>
                <c:pt idx="1">
                  <c:v>31.92</c:v>
                </c:pt>
                <c:pt idx="2">
                  <c:v>34.765500000000003</c:v>
                </c:pt>
              </c:numCache>
            </c:numRef>
          </c:val>
          <c:extLst>
            <c:ext xmlns:c16="http://schemas.microsoft.com/office/drawing/2014/chart" uri="{C3380CC4-5D6E-409C-BE32-E72D297353CC}">
              <c16:uniqueId val="{00000001-ACA4-4D8F-9809-888BC69F5057}"/>
            </c:ext>
          </c:extLst>
        </c:ser>
        <c:ser>
          <c:idx val="2"/>
          <c:order val="2"/>
          <c:tx>
            <c:strRef>
              <c:f>' Scenarii 2035'!$N$20</c:f>
              <c:strCache>
                <c:ptCount val="1"/>
                <c:pt idx="0">
                  <c:v>S3</c:v>
                </c:pt>
              </c:strCache>
            </c:strRef>
          </c:tx>
          <c:spPr>
            <a:solidFill>
              <a:schemeClr val="accent3"/>
            </a:solidFill>
            <a:ln>
              <a:noFill/>
            </a:ln>
            <a:effectLst/>
            <a:sp3d/>
          </c:spPr>
          <c:invertIfNegative val="0"/>
          <c:cat>
            <c:strRef>
              <c:f>' Scenarii 2035'!$O$17:$Q$17</c:f>
              <c:strCache>
                <c:ptCount val="3"/>
                <c:pt idx="0">
                  <c:v>AM</c:v>
                </c:pt>
                <c:pt idx="1">
                  <c:v>PM</c:v>
                </c:pt>
                <c:pt idx="2">
                  <c:v>24h</c:v>
                </c:pt>
              </c:strCache>
            </c:strRef>
          </c:cat>
          <c:val>
            <c:numRef>
              <c:f>' Scenarii 2035'!$O$20:$Q$20</c:f>
              <c:numCache>
                <c:formatCode>General</c:formatCode>
                <c:ptCount val="3"/>
                <c:pt idx="0">
                  <c:v>31.3</c:v>
                </c:pt>
                <c:pt idx="1">
                  <c:v>31.78</c:v>
                </c:pt>
                <c:pt idx="2" formatCode="0.00">
                  <c:v>34.694000000000003</c:v>
                </c:pt>
              </c:numCache>
            </c:numRef>
          </c:val>
          <c:extLst>
            <c:ext xmlns:c16="http://schemas.microsoft.com/office/drawing/2014/chart" uri="{C3380CC4-5D6E-409C-BE32-E72D297353CC}">
              <c16:uniqueId val="{00000002-ACA4-4D8F-9809-888BC69F5057}"/>
            </c:ext>
          </c:extLst>
        </c:ser>
        <c:dLbls>
          <c:showLegendKey val="0"/>
          <c:showVal val="0"/>
          <c:showCatName val="0"/>
          <c:showSerName val="0"/>
          <c:showPercent val="0"/>
          <c:showBubbleSize val="0"/>
        </c:dLbls>
        <c:gapWidth val="150"/>
        <c:shape val="box"/>
        <c:axId val="738378128"/>
        <c:axId val="738378688"/>
        <c:axId val="0"/>
      </c:bar3DChart>
      <c:catAx>
        <c:axId val="7383781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8378688"/>
        <c:crosses val="autoZero"/>
        <c:auto val="1"/>
        <c:lblAlgn val="ctr"/>
        <c:lblOffset val="100"/>
        <c:noMultiLvlLbl val="0"/>
      </c:catAx>
      <c:valAx>
        <c:axId val="7383786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8378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Întârzierea medie (sec)</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2035'!$N$24</c:f>
              <c:strCache>
                <c:ptCount val="1"/>
                <c:pt idx="0">
                  <c:v>S1</c:v>
                </c:pt>
              </c:strCache>
            </c:strRef>
          </c:tx>
          <c:spPr>
            <a:solidFill>
              <a:schemeClr val="accent1"/>
            </a:solidFill>
            <a:ln>
              <a:noFill/>
            </a:ln>
            <a:effectLst/>
            <a:sp3d/>
          </c:spPr>
          <c:invertIfNegative val="0"/>
          <c:cat>
            <c:strRef>
              <c:f>' Scenarii 2035'!$O$23:$Q$23</c:f>
              <c:strCache>
                <c:ptCount val="3"/>
                <c:pt idx="0">
                  <c:v>AM</c:v>
                </c:pt>
                <c:pt idx="1">
                  <c:v>PM</c:v>
                </c:pt>
                <c:pt idx="2">
                  <c:v>24h</c:v>
                </c:pt>
              </c:strCache>
            </c:strRef>
          </c:cat>
          <c:val>
            <c:numRef>
              <c:f>' Scenarii 2035'!$O$24:$Q$24</c:f>
              <c:numCache>
                <c:formatCode>0.00</c:formatCode>
                <c:ptCount val="3"/>
                <c:pt idx="0">
                  <c:v>46.41</c:v>
                </c:pt>
                <c:pt idx="1">
                  <c:v>69</c:v>
                </c:pt>
                <c:pt idx="2">
                  <c:v>23.204999999999998</c:v>
                </c:pt>
              </c:numCache>
            </c:numRef>
          </c:val>
          <c:extLst>
            <c:ext xmlns:c16="http://schemas.microsoft.com/office/drawing/2014/chart" uri="{C3380CC4-5D6E-409C-BE32-E72D297353CC}">
              <c16:uniqueId val="{00000000-C83B-46F9-8FF7-4F9E60D8646A}"/>
            </c:ext>
          </c:extLst>
        </c:ser>
        <c:ser>
          <c:idx val="1"/>
          <c:order val="1"/>
          <c:tx>
            <c:strRef>
              <c:f>' Scenarii 2035'!$N$25</c:f>
              <c:strCache>
                <c:ptCount val="1"/>
                <c:pt idx="0">
                  <c:v>S2</c:v>
                </c:pt>
              </c:strCache>
            </c:strRef>
          </c:tx>
          <c:spPr>
            <a:solidFill>
              <a:schemeClr val="accent2"/>
            </a:solidFill>
            <a:ln>
              <a:noFill/>
            </a:ln>
            <a:effectLst/>
            <a:sp3d/>
          </c:spPr>
          <c:invertIfNegative val="0"/>
          <c:cat>
            <c:strRef>
              <c:f>' Scenarii 2035'!$O$23:$Q$23</c:f>
              <c:strCache>
                <c:ptCount val="3"/>
                <c:pt idx="0">
                  <c:v>AM</c:v>
                </c:pt>
                <c:pt idx="1">
                  <c:v>PM</c:v>
                </c:pt>
                <c:pt idx="2">
                  <c:v>24h</c:v>
                </c:pt>
              </c:strCache>
            </c:strRef>
          </c:cat>
          <c:val>
            <c:numRef>
              <c:f>' Scenarii 2035'!$O$25:$Q$25</c:f>
              <c:numCache>
                <c:formatCode>0.00</c:formatCode>
                <c:ptCount val="3"/>
                <c:pt idx="0">
                  <c:v>39.700000000000003</c:v>
                </c:pt>
                <c:pt idx="1">
                  <c:v>37.78</c:v>
                </c:pt>
                <c:pt idx="2">
                  <c:v>19.850000000000001</c:v>
                </c:pt>
              </c:numCache>
            </c:numRef>
          </c:val>
          <c:extLst>
            <c:ext xmlns:c16="http://schemas.microsoft.com/office/drawing/2014/chart" uri="{C3380CC4-5D6E-409C-BE32-E72D297353CC}">
              <c16:uniqueId val="{00000001-C83B-46F9-8FF7-4F9E60D8646A}"/>
            </c:ext>
          </c:extLst>
        </c:ser>
        <c:ser>
          <c:idx val="2"/>
          <c:order val="2"/>
          <c:tx>
            <c:strRef>
              <c:f>' Scenarii 2035'!$N$26</c:f>
              <c:strCache>
                <c:ptCount val="1"/>
                <c:pt idx="0">
                  <c:v>S3</c:v>
                </c:pt>
              </c:strCache>
            </c:strRef>
          </c:tx>
          <c:spPr>
            <a:solidFill>
              <a:schemeClr val="accent3"/>
            </a:solidFill>
            <a:ln>
              <a:noFill/>
            </a:ln>
            <a:effectLst/>
            <a:sp3d/>
          </c:spPr>
          <c:invertIfNegative val="0"/>
          <c:cat>
            <c:strRef>
              <c:f>' Scenarii 2035'!$O$23:$Q$23</c:f>
              <c:strCache>
                <c:ptCount val="3"/>
                <c:pt idx="0">
                  <c:v>AM</c:v>
                </c:pt>
                <c:pt idx="1">
                  <c:v>PM</c:v>
                </c:pt>
                <c:pt idx="2">
                  <c:v>24h</c:v>
                </c:pt>
              </c:strCache>
            </c:strRef>
          </c:cat>
          <c:val>
            <c:numRef>
              <c:f>' Scenarii 2035'!$O$26:$Q$26</c:f>
              <c:numCache>
                <c:formatCode>General</c:formatCode>
                <c:ptCount val="3"/>
                <c:pt idx="0">
                  <c:v>39.67</c:v>
                </c:pt>
                <c:pt idx="1">
                  <c:v>37.979999999999997</c:v>
                </c:pt>
                <c:pt idx="2" formatCode="0.00">
                  <c:v>19.835000000000001</c:v>
                </c:pt>
              </c:numCache>
            </c:numRef>
          </c:val>
          <c:extLst>
            <c:ext xmlns:c16="http://schemas.microsoft.com/office/drawing/2014/chart" uri="{C3380CC4-5D6E-409C-BE32-E72D297353CC}">
              <c16:uniqueId val="{00000002-C83B-46F9-8FF7-4F9E60D8646A}"/>
            </c:ext>
          </c:extLst>
        </c:ser>
        <c:dLbls>
          <c:showLegendKey val="0"/>
          <c:showVal val="0"/>
          <c:showCatName val="0"/>
          <c:showSerName val="0"/>
          <c:showPercent val="0"/>
          <c:showBubbleSize val="0"/>
        </c:dLbls>
        <c:gapWidth val="150"/>
        <c:shape val="box"/>
        <c:axId val="738382048"/>
        <c:axId val="738382608"/>
        <c:axId val="0"/>
      </c:bar3DChart>
      <c:catAx>
        <c:axId val="7383820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8382608"/>
        <c:crosses val="autoZero"/>
        <c:auto val="1"/>
        <c:lblAlgn val="ctr"/>
        <c:lblOffset val="100"/>
        <c:noMultiLvlLbl val="0"/>
      </c:catAx>
      <c:valAx>
        <c:axId val="7383826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8382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Consum de combustibil (litri)</a:t>
            </a:r>
          </a:p>
        </c:rich>
      </c:tx>
      <c:layout>
        <c:manualLayout>
          <c:xMode val="edge"/>
          <c:yMode val="edge"/>
          <c:x val="0.26480583880186376"/>
          <c:y val="4.136748107520058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2035'!$N$30</c:f>
              <c:strCache>
                <c:ptCount val="1"/>
                <c:pt idx="0">
                  <c:v>S1</c:v>
                </c:pt>
              </c:strCache>
            </c:strRef>
          </c:tx>
          <c:spPr>
            <a:solidFill>
              <a:schemeClr val="accent1"/>
            </a:solidFill>
            <a:ln>
              <a:noFill/>
            </a:ln>
            <a:effectLst/>
            <a:sp3d/>
          </c:spPr>
          <c:invertIfNegative val="0"/>
          <c:cat>
            <c:strRef>
              <c:f>' Scenarii 2035'!$O$29:$Q$29</c:f>
              <c:strCache>
                <c:ptCount val="3"/>
                <c:pt idx="0">
                  <c:v>AM</c:v>
                </c:pt>
                <c:pt idx="1">
                  <c:v>PM</c:v>
                </c:pt>
                <c:pt idx="2">
                  <c:v>24h</c:v>
                </c:pt>
              </c:strCache>
            </c:strRef>
          </c:cat>
          <c:val>
            <c:numRef>
              <c:f>' Scenarii 2035'!$O$30:$Q$30</c:f>
              <c:numCache>
                <c:formatCode>0.00</c:formatCode>
                <c:ptCount val="3"/>
                <c:pt idx="0">
                  <c:v>506.01975117799998</c:v>
                </c:pt>
                <c:pt idx="1">
                  <c:v>758.450497907</c:v>
                </c:pt>
                <c:pt idx="2">
                  <c:v>7586.8214945099999</c:v>
                </c:pt>
              </c:numCache>
            </c:numRef>
          </c:val>
          <c:extLst>
            <c:ext xmlns:c16="http://schemas.microsoft.com/office/drawing/2014/chart" uri="{C3380CC4-5D6E-409C-BE32-E72D297353CC}">
              <c16:uniqueId val="{00000000-5F80-4121-B7A8-F269B59CDFAE}"/>
            </c:ext>
          </c:extLst>
        </c:ser>
        <c:ser>
          <c:idx val="1"/>
          <c:order val="1"/>
          <c:tx>
            <c:strRef>
              <c:f>' Scenarii 2035'!$N$31</c:f>
              <c:strCache>
                <c:ptCount val="1"/>
                <c:pt idx="0">
                  <c:v>S2</c:v>
                </c:pt>
              </c:strCache>
            </c:strRef>
          </c:tx>
          <c:spPr>
            <a:solidFill>
              <a:schemeClr val="accent2"/>
            </a:solidFill>
            <a:ln>
              <a:noFill/>
            </a:ln>
            <a:effectLst/>
            <a:sp3d/>
          </c:spPr>
          <c:invertIfNegative val="0"/>
          <c:cat>
            <c:strRef>
              <c:f>' Scenarii 2035'!$O$29:$Q$29</c:f>
              <c:strCache>
                <c:ptCount val="3"/>
                <c:pt idx="0">
                  <c:v>AM</c:v>
                </c:pt>
                <c:pt idx="1">
                  <c:v>PM</c:v>
                </c:pt>
                <c:pt idx="2">
                  <c:v>24h</c:v>
                </c:pt>
              </c:strCache>
            </c:strRef>
          </c:cat>
          <c:val>
            <c:numRef>
              <c:f>' Scenarii 2035'!$O$31:$Q$31</c:f>
              <c:numCache>
                <c:formatCode>0.00</c:formatCode>
                <c:ptCount val="3"/>
                <c:pt idx="0">
                  <c:v>533.75636274500005</c:v>
                </c:pt>
                <c:pt idx="1">
                  <c:v>533.75636274500005</c:v>
                </c:pt>
                <c:pt idx="2">
                  <c:v>6405.076352940001</c:v>
                </c:pt>
              </c:numCache>
            </c:numRef>
          </c:val>
          <c:extLst>
            <c:ext xmlns:c16="http://schemas.microsoft.com/office/drawing/2014/chart" uri="{C3380CC4-5D6E-409C-BE32-E72D297353CC}">
              <c16:uniqueId val="{00000001-5F80-4121-B7A8-F269B59CDFAE}"/>
            </c:ext>
          </c:extLst>
        </c:ser>
        <c:ser>
          <c:idx val="2"/>
          <c:order val="2"/>
          <c:tx>
            <c:strRef>
              <c:f>' Scenarii 2035'!$N$32</c:f>
              <c:strCache>
                <c:ptCount val="1"/>
                <c:pt idx="0">
                  <c:v>S3</c:v>
                </c:pt>
              </c:strCache>
            </c:strRef>
          </c:tx>
          <c:spPr>
            <a:solidFill>
              <a:schemeClr val="accent3"/>
            </a:solidFill>
            <a:ln>
              <a:noFill/>
            </a:ln>
            <a:effectLst/>
            <a:sp3d/>
          </c:spPr>
          <c:invertIfNegative val="0"/>
          <c:cat>
            <c:strRef>
              <c:f>' Scenarii 2035'!$O$29:$Q$29</c:f>
              <c:strCache>
                <c:ptCount val="3"/>
                <c:pt idx="0">
                  <c:v>AM</c:v>
                </c:pt>
                <c:pt idx="1">
                  <c:v>PM</c:v>
                </c:pt>
                <c:pt idx="2">
                  <c:v>24h</c:v>
                </c:pt>
              </c:strCache>
            </c:strRef>
          </c:cat>
          <c:val>
            <c:numRef>
              <c:f>' Scenarii 2035'!$O$32:$Q$32</c:f>
              <c:numCache>
                <c:formatCode>General</c:formatCode>
                <c:ptCount val="3"/>
                <c:pt idx="0">
                  <c:v>513.34028686499994</c:v>
                </c:pt>
                <c:pt idx="1">
                  <c:v>570.80439494699999</c:v>
                </c:pt>
                <c:pt idx="2" formatCode="0.00">
                  <c:v>6504.8680908719989</c:v>
                </c:pt>
              </c:numCache>
            </c:numRef>
          </c:val>
          <c:extLst>
            <c:ext xmlns:c16="http://schemas.microsoft.com/office/drawing/2014/chart" uri="{C3380CC4-5D6E-409C-BE32-E72D297353CC}">
              <c16:uniqueId val="{00000002-5F80-4121-B7A8-F269B59CDFAE}"/>
            </c:ext>
          </c:extLst>
        </c:ser>
        <c:dLbls>
          <c:showLegendKey val="0"/>
          <c:showVal val="0"/>
          <c:showCatName val="0"/>
          <c:showSerName val="0"/>
          <c:showPercent val="0"/>
          <c:showBubbleSize val="0"/>
        </c:dLbls>
        <c:gapWidth val="150"/>
        <c:shape val="box"/>
        <c:axId val="738385968"/>
        <c:axId val="738386528"/>
        <c:axId val="0"/>
      </c:bar3DChart>
      <c:catAx>
        <c:axId val="7383859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8386528"/>
        <c:crosses val="autoZero"/>
        <c:auto val="1"/>
        <c:lblAlgn val="ctr"/>
        <c:lblOffset val="100"/>
        <c:noMultiLvlLbl val="0"/>
      </c:catAx>
      <c:valAx>
        <c:axId val="7383865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738385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Emisii CO</a:t>
            </a:r>
            <a:r>
              <a:rPr lang="en-US" baseline="-25000"/>
              <a:t>2</a:t>
            </a:r>
            <a:r>
              <a:rPr lang="ro-RO"/>
              <a:t> (kg)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2027'!$N$53</c:f>
              <c:strCache>
                <c:ptCount val="1"/>
                <c:pt idx="0">
                  <c:v>S1</c:v>
                </c:pt>
              </c:strCache>
            </c:strRef>
          </c:tx>
          <c:spPr>
            <a:solidFill>
              <a:schemeClr val="accent1"/>
            </a:solidFill>
            <a:ln>
              <a:noFill/>
            </a:ln>
            <a:effectLst/>
            <a:sp3d/>
          </c:spPr>
          <c:invertIfNegative val="0"/>
          <c:cat>
            <c:strRef>
              <c:f>' Scenarii 2027'!$O$52:$Q$52</c:f>
              <c:strCache>
                <c:ptCount val="3"/>
                <c:pt idx="0">
                  <c:v>AM</c:v>
                </c:pt>
                <c:pt idx="1">
                  <c:v>PM</c:v>
                </c:pt>
                <c:pt idx="2">
                  <c:v>24h</c:v>
                </c:pt>
              </c:strCache>
            </c:strRef>
          </c:cat>
          <c:val>
            <c:numRef>
              <c:f>' Scenarii 2027'!$O$53:$Q$53</c:f>
              <c:numCache>
                <c:formatCode>0.00</c:formatCode>
                <c:ptCount val="3"/>
                <c:pt idx="0">
                  <c:v>988.83985963400005</c:v>
                </c:pt>
                <c:pt idx="1">
                  <c:v>1358.1935974089999</c:v>
                </c:pt>
                <c:pt idx="2">
                  <c:v>14082.200742257999</c:v>
                </c:pt>
              </c:numCache>
            </c:numRef>
          </c:val>
          <c:extLst>
            <c:ext xmlns:c16="http://schemas.microsoft.com/office/drawing/2014/chart" uri="{C3380CC4-5D6E-409C-BE32-E72D297353CC}">
              <c16:uniqueId val="{00000000-FC93-43B5-BB90-48BF4E051A5F}"/>
            </c:ext>
          </c:extLst>
        </c:ser>
        <c:ser>
          <c:idx val="1"/>
          <c:order val="1"/>
          <c:tx>
            <c:strRef>
              <c:f>' Scenarii 2027'!$N$54</c:f>
              <c:strCache>
                <c:ptCount val="1"/>
                <c:pt idx="0">
                  <c:v>S2</c:v>
                </c:pt>
              </c:strCache>
            </c:strRef>
          </c:tx>
          <c:spPr>
            <a:solidFill>
              <a:schemeClr val="accent2"/>
            </a:solidFill>
            <a:ln>
              <a:noFill/>
            </a:ln>
            <a:effectLst/>
            <a:sp3d/>
          </c:spPr>
          <c:invertIfNegative val="0"/>
          <c:cat>
            <c:strRef>
              <c:f>' Scenarii 2027'!$O$52:$Q$52</c:f>
              <c:strCache>
                <c:ptCount val="3"/>
                <c:pt idx="0">
                  <c:v>AM</c:v>
                </c:pt>
                <c:pt idx="1">
                  <c:v>PM</c:v>
                </c:pt>
                <c:pt idx="2">
                  <c:v>24h</c:v>
                </c:pt>
              </c:strCache>
            </c:strRef>
          </c:cat>
          <c:val>
            <c:numRef>
              <c:f>' Scenarii 2027'!$O$54:$Q$54</c:f>
              <c:numCache>
                <c:formatCode>0.00</c:formatCode>
                <c:ptCount val="3"/>
                <c:pt idx="0">
                  <c:v>924.97048069499999</c:v>
                </c:pt>
                <c:pt idx="1">
                  <c:v>1224.7996763269998</c:v>
                </c:pt>
                <c:pt idx="2">
                  <c:v>12898.620942131998</c:v>
                </c:pt>
              </c:numCache>
            </c:numRef>
          </c:val>
          <c:extLst>
            <c:ext xmlns:c16="http://schemas.microsoft.com/office/drawing/2014/chart" uri="{C3380CC4-5D6E-409C-BE32-E72D297353CC}">
              <c16:uniqueId val="{00000001-FC93-43B5-BB90-48BF4E051A5F}"/>
            </c:ext>
          </c:extLst>
        </c:ser>
        <c:dLbls>
          <c:showLegendKey val="0"/>
          <c:showVal val="0"/>
          <c:showCatName val="0"/>
          <c:showSerName val="0"/>
          <c:showPercent val="0"/>
          <c:showBubbleSize val="0"/>
        </c:dLbls>
        <c:gapWidth val="150"/>
        <c:shape val="box"/>
        <c:axId val="631877072"/>
        <c:axId val="631877632"/>
        <c:axId val="0"/>
      </c:bar3DChart>
      <c:catAx>
        <c:axId val="6318770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77632"/>
        <c:crosses val="autoZero"/>
        <c:auto val="1"/>
        <c:lblAlgn val="ctr"/>
        <c:lblOffset val="100"/>
        <c:noMultiLvlLbl val="0"/>
      </c:catAx>
      <c:valAx>
        <c:axId val="6318776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77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'Populatie grupe de varsta 10 an'!$E$3</c:f>
              <c:strCache>
                <c:ptCount val="1"/>
                <c:pt idx="0">
                  <c:v>Anul 2012</c:v>
                </c:pt>
              </c:strCache>
            </c:strRef>
          </c:tx>
          <c:spPr>
            <a:solidFill>
              <a:schemeClr val="accent1"/>
            </a:solidFill>
            <a:ln>
              <a:noFill/>
            </a:ln>
            <a:effectLst/>
          </c:spPr>
          <c:invertIfNegative val="0"/>
          <c:val>
            <c:numRef>
              <c:f>'Populatie grupe de varsta 10 an'!$E$4:$E$21</c:f>
              <c:numCache>
                <c:formatCode>General</c:formatCode>
                <c:ptCount val="18"/>
                <c:pt idx="0">
                  <c:v>334</c:v>
                </c:pt>
                <c:pt idx="1">
                  <c:v>381</c:v>
                </c:pt>
                <c:pt idx="2">
                  <c:v>366</c:v>
                </c:pt>
                <c:pt idx="3">
                  <c:v>392</c:v>
                </c:pt>
                <c:pt idx="4">
                  <c:v>624</c:v>
                </c:pt>
                <c:pt idx="5">
                  <c:v>540</c:v>
                </c:pt>
                <c:pt idx="6">
                  <c:v>498</c:v>
                </c:pt>
                <c:pt idx="7">
                  <c:v>528</c:v>
                </c:pt>
                <c:pt idx="8">
                  <c:v>673</c:v>
                </c:pt>
                <c:pt idx="9">
                  <c:v>482</c:v>
                </c:pt>
                <c:pt idx="10">
                  <c:v>523</c:v>
                </c:pt>
                <c:pt idx="11">
                  <c:v>455</c:v>
                </c:pt>
                <c:pt idx="12">
                  <c:v>418</c:v>
                </c:pt>
                <c:pt idx="13">
                  <c:v>279</c:v>
                </c:pt>
                <c:pt idx="14">
                  <c:v>286</c:v>
                </c:pt>
                <c:pt idx="15">
                  <c:v>247</c:v>
                </c:pt>
                <c:pt idx="16">
                  <c:v>158</c:v>
                </c:pt>
                <c:pt idx="17">
                  <c:v>91</c:v>
                </c:pt>
              </c:numCache>
            </c:numRef>
          </c:val>
          <c:extLst>
            <c:ext xmlns:c16="http://schemas.microsoft.com/office/drawing/2014/chart" uri="{C3380CC4-5D6E-409C-BE32-E72D297353CC}">
              <c16:uniqueId val="{00000000-4944-480C-A072-70C7866241FD}"/>
            </c:ext>
          </c:extLst>
        </c:ser>
        <c:ser>
          <c:idx val="1"/>
          <c:order val="1"/>
          <c:tx>
            <c:strRef>
              <c:f>'Populatie grupe de varsta 10 an'!$F$3</c:f>
              <c:strCache>
                <c:ptCount val="1"/>
                <c:pt idx="0">
                  <c:v>Anul 2013</c:v>
                </c:pt>
              </c:strCache>
            </c:strRef>
          </c:tx>
          <c:spPr>
            <a:solidFill>
              <a:schemeClr val="accent2"/>
            </a:solidFill>
            <a:ln>
              <a:noFill/>
            </a:ln>
            <a:effectLst/>
          </c:spPr>
          <c:invertIfNegative val="0"/>
          <c:val>
            <c:numRef>
              <c:f>'Populatie grupe de varsta 10 an'!$F$4:$F$21</c:f>
              <c:numCache>
                <c:formatCode>General</c:formatCode>
                <c:ptCount val="18"/>
                <c:pt idx="0">
                  <c:v>304</c:v>
                </c:pt>
                <c:pt idx="1">
                  <c:v>361</c:v>
                </c:pt>
                <c:pt idx="2">
                  <c:v>375</c:v>
                </c:pt>
                <c:pt idx="3">
                  <c:v>368</c:v>
                </c:pt>
                <c:pt idx="4">
                  <c:v>567</c:v>
                </c:pt>
                <c:pt idx="5">
                  <c:v>541</c:v>
                </c:pt>
                <c:pt idx="6">
                  <c:v>506</c:v>
                </c:pt>
                <c:pt idx="7">
                  <c:v>524</c:v>
                </c:pt>
                <c:pt idx="8">
                  <c:v>599</c:v>
                </c:pt>
                <c:pt idx="9">
                  <c:v>562</c:v>
                </c:pt>
                <c:pt idx="10">
                  <c:v>520</c:v>
                </c:pt>
                <c:pt idx="11">
                  <c:v>459</c:v>
                </c:pt>
                <c:pt idx="12">
                  <c:v>432</c:v>
                </c:pt>
                <c:pt idx="13">
                  <c:v>291</c:v>
                </c:pt>
                <c:pt idx="14">
                  <c:v>266</c:v>
                </c:pt>
                <c:pt idx="15">
                  <c:v>238</c:v>
                </c:pt>
                <c:pt idx="16">
                  <c:v>168</c:v>
                </c:pt>
                <c:pt idx="17">
                  <c:v>103</c:v>
                </c:pt>
              </c:numCache>
            </c:numRef>
          </c:val>
          <c:extLst>
            <c:ext xmlns:c16="http://schemas.microsoft.com/office/drawing/2014/chart" uri="{C3380CC4-5D6E-409C-BE32-E72D297353CC}">
              <c16:uniqueId val="{00000001-4944-480C-A072-70C7866241FD}"/>
            </c:ext>
          </c:extLst>
        </c:ser>
        <c:ser>
          <c:idx val="2"/>
          <c:order val="2"/>
          <c:tx>
            <c:strRef>
              <c:f>'Populatie grupe de varsta 10 an'!$G$3</c:f>
              <c:strCache>
                <c:ptCount val="1"/>
                <c:pt idx="0">
                  <c:v>Anul 2014</c:v>
                </c:pt>
              </c:strCache>
            </c:strRef>
          </c:tx>
          <c:spPr>
            <a:solidFill>
              <a:schemeClr val="accent3"/>
            </a:solidFill>
            <a:ln>
              <a:noFill/>
            </a:ln>
            <a:effectLst/>
          </c:spPr>
          <c:invertIfNegative val="0"/>
          <c:val>
            <c:numRef>
              <c:f>'Populatie grupe de varsta 10 an'!$G$4:$G$21</c:f>
              <c:numCache>
                <c:formatCode>General</c:formatCode>
                <c:ptCount val="18"/>
                <c:pt idx="0">
                  <c:v>301</c:v>
                </c:pt>
                <c:pt idx="1">
                  <c:v>341</c:v>
                </c:pt>
                <c:pt idx="2">
                  <c:v>388</c:v>
                </c:pt>
                <c:pt idx="3">
                  <c:v>343</c:v>
                </c:pt>
                <c:pt idx="4">
                  <c:v>535</c:v>
                </c:pt>
                <c:pt idx="5">
                  <c:v>541</c:v>
                </c:pt>
                <c:pt idx="6">
                  <c:v>501</c:v>
                </c:pt>
                <c:pt idx="7">
                  <c:v>526</c:v>
                </c:pt>
                <c:pt idx="8">
                  <c:v>547</c:v>
                </c:pt>
                <c:pt idx="9">
                  <c:v>593</c:v>
                </c:pt>
                <c:pt idx="10">
                  <c:v>522</c:v>
                </c:pt>
                <c:pt idx="11">
                  <c:v>469</c:v>
                </c:pt>
                <c:pt idx="12">
                  <c:v>446</c:v>
                </c:pt>
                <c:pt idx="13">
                  <c:v>299</c:v>
                </c:pt>
                <c:pt idx="14">
                  <c:v>257</c:v>
                </c:pt>
                <c:pt idx="15">
                  <c:v>239</c:v>
                </c:pt>
                <c:pt idx="16">
                  <c:v>168</c:v>
                </c:pt>
                <c:pt idx="17">
                  <c:v>117</c:v>
                </c:pt>
              </c:numCache>
            </c:numRef>
          </c:val>
          <c:extLst>
            <c:ext xmlns:c16="http://schemas.microsoft.com/office/drawing/2014/chart" uri="{C3380CC4-5D6E-409C-BE32-E72D297353CC}">
              <c16:uniqueId val="{00000002-4944-480C-A072-70C7866241FD}"/>
            </c:ext>
          </c:extLst>
        </c:ser>
        <c:ser>
          <c:idx val="3"/>
          <c:order val="3"/>
          <c:tx>
            <c:strRef>
              <c:f>'Populatie grupe de varsta 10 an'!$H$3</c:f>
              <c:strCache>
                <c:ptCount val="1"/>
                <c:pt idx="0">
                  <c:v>Anul 2015</c:v>
                </c:pt>
              </c:strCache>
            </c:strRef>
          </c:tx>
          <c:spPr>
            <a:solidFill>
              <a:schemeClr val="accent4"/>
            </a:solidFill>
            <a:ln>
              <a:noFill/>
            </a:ln>
            <a:effectLst/>
          </c:spPr>
          <c:invertIfNegative val="0"/>
          <c:val>
            <c:numRef>
              <c:f>'Populatie grupe de varsta 10 an'!$H$4:$H$21</c:f>
              <c:numCache>
                <c:formatCode>General</c:formatCode>
                <c:ptCount val="18"/>
                <c:pt idx="0">
                  <c:v>293</c:v>
                </c:pt>
                <c:pt idx="1">
                  <c:v>350</c:v>
                </c:pt>
                <c:pt idx="2">
                  <c:v>387</c:v>
                </c:pt>
                <c:pt idx="3">
                  <c:v>324</c:v>
                </c:pt>
                <c:pt idx="4">
                  <c:v>486</c:v>
                </c:pt>
                <c:pt idx="5">
                  <c:v>575</c:v>
                </c:pt>
                <c:pt idx="6">
                  <c:v>452</c:v>
                </c:pt>
                <c:pt idx="7">
                  <c:v>529</c:v>
                </c:pt>
                <c:pt idx="8">
                  <c:v>537</c:v>
                </c:pt>
                <c:pt idx="9">
                  <c:v>612</c:v>
                </c:pt>
                <c:pt idx="10">
                  <c:v>518</c:v>
                </c:pt>
                <c:pt idx="11">
                  <c:v>497</c:v>
                </c:pt>
                <c:pt idx="12">
                  <c:v>421</c:v>
                </c:pt>
                <c:pt idx="13">
                  <c:v>334</c:v>
                </c:pt>
                <c:pt idx="14">
                  <c:v>250</c:v>
                </c:pt>
                <c:pt idx="15">
                  <c:v>248</c:v>
                </c:pt>
                <c:pt idx="16">
                  <c:v>170</c:v>
                </c:pt>
                <c:pt idx="17">
                  <c:v>115</c:v>
                </c:pt>
              </c:numCache>
            </c:numRef>
          </c:val>
          <c:extLst>
            <c:ext xmlns:c16="http://schemas.microsoft.com/office/drawing/2014/chart" uri="{C3380CC4-5D6E-409C-BE32-E72D297353CC}">
              <c16:uniqueId val="{00000003-4944-480C-A072-70C7866241FD}"/>
            </c:ext>
          </c:extLst>
        </c:ser>
        <c:ser>
          <c:idx val="4"/>
          <c:order val="4"/>
          <c:tx>
            <c:strRef>
              <c:f>'Populatie grupe de varsta 10 an'!$I$3</c:f>
              <c:strCache>
                <c:ptCount val="1"/>
                <c:pt idx="0">
                  <c:v>Anul 2016</c:v>
                </c:pt>
              </c:strCache>
            </c:strRef>
          </c:tx>
          <c:spPr>
            <a:solidFill>
              <a:schemeClr val="accent5"/>
            </a:solidFill>
            <a:ln>
              <a:noFill/>
            </a:ln>
            <a:effectLst/>
          </c:spPr>
          <c:invertIfNegative val="0"/>
          <c:val>
            <c:numRef>
              <c:f>'Populatie grupe de varsta 10 an'!$I$4:$I$21</c:f>
              <c:numCache>
                <c:formatCode>General</c:formatCode>
                <c:ptCount val="18"/>
                <c:pt idx="0">
                  <c:v>290</c:v>
                </c:pt>
                <c:pt idx="1">
                  <c:v>331</c:v>
                </c:pt>
                <c:pt idx="2">
                  <c:v>372</c:v>
                </c:pt>
                <c:pt idx="3">
                  <c:v>328</c:v>
                </c:pt>
                <c:pt idx="4">
                  <c:v>428</c:v>
                </c:pt>
                <c:pt idx="5">
                  <c:v>582</c:v>
                </c:pt>
                <c:pt idx="6">
                  <c:v>450</c:v>
                </c:pt>
                <c:pt idx="7">
                  <c:v>509</c:v>
                </c:pt>
                <c:pt idx="8">
                  <c:v>536</c:v>
                </c:pt>
                <c:pt idx="9">
                  <c:v>620</c:v>
                </c:pt>
                <c:pt idx="10">
                  <c:v>509</c:v>
                </c:pt>
                <c:pt idx="11">
                  <c:v>487</c:v>
                </c:pt>
                <c:pt idx="12">
                  <c:v>425</c:v>
                </c:pt>
                <c:pt idx="13">
                  <c:v>378</c:v>
                </c:pt>
                <c:pt idx="14">
                  <c:v>236</c:v>
                </c:pt>
                <c:pt idx="15">
                  <c:v>246</c:v>
                </c:pt>
                <c:pt idx="16">
                  <c:v>180</c:v>
                </c:pt>
                <c:pt idx="17">
                  <c:v>117</c:v>
                </c:pt>
              </c:numCache>
            </c:numRef>
          </c:val>
          <c:extLst>
            <c:ext xmlns:c16="http://schemas.microsoft.com/office/drawing/2014/chart" uri="{C3380CC4-5D6E-409C-BE32-E72D297353CC}">
              <c16:uniqueId val="{00000004-4944-480C-A072-70C7866241FD}"/>
            </c:ext>
          </c:extLst>
        </c:ser>
        <c:ser>
          <c:idx val="5"/>
          <c:order val="5"/>
          <c:tx>
            <c:strRef>
              <c:f>'Populatie grupe de varsta 10 an'!$J$3</c:f>
              <c:strCache>
                <c:ptCount val="1"/>
                <c:pt idx="0">
                  <c:v>Anul 2017</c:v>
                </c:pt>
              </c:strCache>
            </c:strRef>
          </c:tx>
          <c:spPr>
            <a:solidFill>
              <a:schemeClr val="accent6"/>
            </a:solidFill>
            <a:ln>
              <a:noFill/>
            </a:ln>
            <a:effectLst/>
          </c:spPr>
          <c:invertIfNegative val="0"/>
          <c:val>
            <c:numRef>
              <c:f>'Populatie grupe de varsta 10 an'!$J$4:$J$21</c:f>
              <c:numCache>
                <c:formatCode>General</c:formatCode>
                <c:ptCount val="18"/>
                <c:pt idx="0">
                  <c:v>281</c:v>
                </c:pt>
                <c:pt idx="1">
                  <c:v>321</c:v>
                </c:pt>
                <c:pt idx="2">
                  <c:v>362</c:v>
                </c:pt>
                <c:pt idx="3">
                  <c:v>338</c:v>
                </c:pt>
                <c:pt idx="4">
                  <c:v>400</c:v>
                </c:pt>
                <c:pt idx="5">
                  <c:v>554</c:v>
                </c:pt>
                <c:pt idx="6">
                  <c:v>475</c:v>
                </c:pt>
                <c:pt idx="7">
                  <c:v>483</c:v>
                </c:pt>
                <c:pt idx="8">
                  <c:v>525</c:v>
                </c:pt>
                <c:pt idx="9">
                  <c:v>650</c:v>
                </c:pt>
                <c:pt idx="10">
                  <c:v>478</c:v>
                </c:pt>
                <c:pt idx="11">
                  <c:v>501</c:v>
                </c:pt>
                <c:pt idx="12">
                  <c:v>423</c:v>
                </c:pt>
                <c:pt idx="13">
                  <c:v>386</c:v>
                </c:pt>
                <c:pt idx="14">
                  <c:v>253</c:v>
                </c:pt>
                <c:pt idx="15">
                  <c:v>232</c:v>
                </c:pt>
                <c:pt idx="16">
                  <c:v>190</c:v>
                </c:pt>
                <c:pt idx="17">
                  <c:v>128</c:v>
                </c:pt>
              </c:numCache>
            </c:numRef>
          </c:val>
          <c:extLst>
            <c:ext xmlns:c16="http://schemas.microsoft.com/office/drawing/2014/chart" uri="{C3380CC4-5D6E-409C-BE32-E72D297353CC}">
              <c16:uniqueId val="{00000005-4944-480C-A072-70C7866241FD}"/>
            </c:ext>
          </c:extLst>
        </c:ser>
        <c:ser>
          <c:idx val="6"/>
          <c:order val="6"/>
          <c:tx>
            <c:strRef>
              <c:f>'Populatie grupe de varsta 10 an'!$K$3</c:f>
              <c:strCache>
                <c:ptCount val="1"/>
                <c:pt idx="0">
                  <c:v>Anul 2018</c:v>
                </c:pt>
              </c:strCache>
            </c:strRef>
          </c:tx>
          <c:spPr>
            <a:solidFill>
              <a:schemeClr val="accent1">
                <a:lumMod val="60000"/>
              </a:schemeClr>
            </a:solidFill>
            <a:ln>
              <a:noFill/>
            </a:ln>
            <a:effectLst/>
          </c:spPr>
          <c:invertIfNegative val="0"/>
          <c:val>
            <c:numRef>
              <c:f>'Populatie grupe de varsta 10 an'!$K$4:$K$21</c:f>
              <c:numCache>
                <c:formatCode>General</c:formatCode>
                <c:ptCount val="18"/>
                <c:pt idx="0">
                  <c:v>289</c:v>
                </c:pt>
                <c:pt idx="1">
                  <c:v>304</c:v>
                </c:pt>
                <c:pt idx="2">
                  <c:v>352</c:v>
                </c:pt>
                <c:pt idx="3">
                  <c:v>354</c:v>
                </c:pt>
                <c:pt idx="4">
                  <c:v>360</c:v>
                </c:pt>
                <c:pt idx="5">
                  <c:v>525</c:v>
                </c:pt>
                <c:pt idx="6">
                  <c:v>485</c:v>
                </c:pt>
                <c:pt idx="7">
                  <c:v>491</c:v>
                </c:pt>
                <c:pt idx="8">
                  <c:v>519</c:v>
                </c:pt>
                <c:pt idx="9">
                  <c:v>579</c:v>
                </c:pt>
                <c:pt idx="10">
                  <c:v>550</c:v>
                </c:pt>
                <c:pt idx="11">
                  <c:v>507</c:v>
                </c:pt>
                <c:pt idx="12">
                  <c:v>431</c:v>
                </c:pt>
                <c:pt idx="13">
                  <c:v>400</c:v>
                </c:pt>
                <c:pt idx="14">
                  <c:v>261</c:v>
                </c:pt>
                <c:pt idx="15">
                  <c:v>225</c:v>
                </c:pt>
                <c:pt idx="16">
                  <c:v>184</c:v>
                </c:pt>
                <c:pt idx="17">
                  <c:v>137</c:v>
                </c:pt>
              </c:numCache>
            </c:numRef>
          </c:val>
          <c:extLst>
            <c:ext xmlns:c16="http://schemas.microsoft.com/office/drawing/2014/chart" uri="{C3380CC4-5D6E-409C-BE32-E72D297353CC}">
              <c16:uniqueId val="{00000006-4944-480C-A072-70C7866241FD}"/>
            </c:ext>
          </c:extLst>
        </c:ser>
        <c:ser>
          <c:idx val="7"/>
          <c:order val="7"/>
          <c:tx>
            <c:strRef>
              <c:f>'Populatie grupe de varsta 10 an'!$L$3</c:f>
              <c:strCache>
                <c:ptCount val="1"/>
                <c:pt idx="0">
                  <c:v>Anul 2019</c:v>
                </c:pt>
              </c:strCache>
            </c:strRef>
          </c:tx>
          <c:spPr>
            <a:solidFill>
              <a:schemeClr val="accent2">
                <a:lumMod val="60000"/>
              </a:schemeClr>
            </a:solidFill>
            <a:ln>
              <a:noFill/>
            </a:ln>
            <a:effectLst/>
          </c:spPr>
          <c:invertIfNegative val="0"/>
          <c:val>
            <c:numRef>
              <c:f>'Populatie grupe de varsta 10 an'!$L$4:$L$21</c:f>
              <c:numCache>
                <c:formatCode>General</c:formatCode>
                <c:ptCount val="18"/>
                <c:pt idx="0">
                  <c:v>281</c:v>
                </c:pt>
                <c:pt idx="1">
                  <c:v>301</c:v>
                </c:pt>
                <c:pt idx="2">
                  <c:v>334</c:v>
                </c:pt>
                <c:pt idx="3">
                  <c:v>377</c:v>
                </c:pt>
                <c:pt idx="4">
                  <c:v>346</c:v>
                </c:pt>
                <c:pt idx="5">
                  <c:v>495</c:v>
                </c:pt>
                <c:pt idx="6">
                  <c:v>483</c:v>
                </c:pt>
                <c:pt idx="7">
                  <c:v>467</c:v>
                </c:pt>
                <c:pt idx="8">
                  <c:v>525</c:v>
                </c:pt>
                <c:pt idx="9">
                  <c:v>547</c:v>
                </c:pt>
                <c:pt idx="10">
                  <c:v>568</c:v>
                </c:pt>
                <c:pt idx="11">
                  <c:v>504</c:v>
                </c:pt>
                <c:pt idx="12">
                  <c:v>444</c:v>
                </c:pt>
                <c:pt idx="13">
                  <c:v>410</c:v>
                </c:pt>
                <c:pt idx="14">
                  <c:v>271</c:v>
                </c:pt>
                <c:pt idx="15">
                  <c:v>213</c:v>
                </c:pt>
                <c:pt idx="16">
                  <c:v>186</c:v>
                </c:pt>
                <c:pt idx="17">
                  <c:v>160</c:v>
                </c:pt>
              </c:numCache>
            </c:numRef>
          </c:val>
          <c:extLst>
            <c:ext xmlns:c16="http://schemas.microsoft.com/office/drawing/2014/chart" uri="{C3380CC4-5D6E-409C-BE32-E72D297353CC}">
              <c16:uniqueId val="{00000007-4944-480C-A072-70C7866241FD}"/>
            </c:ext>
          </c:extLst>
        </c:ser>
        <c:ser>
          <c:idx val="8"/>
          <c:order val="8"/>
          <c:tx>
            <c:strRef>
              <c:f>'Populatie grupe de varsta 10 an'!$M$3</c:f>
              <c:strCache>
                <c:ptCount val="1"/>
                <c:pt idx="0">
                  <c:v>Anul 2020</c:v>
                </c:pt>
              </c:strCache>
            </c:strRef>
          </c:tx>
          <c:spPr>
            <a:solidFill>
              <a:schemeClr val="accent3">
                <a:lumMod val="60000"/>
              </a:schemeClr>
            </a:solidFill>
            <a:ln>
              <a:noFill/>
            </a:ln>
            <a:effectLst/>
          </c:spPr>
          <c:invertIfNegative val="0"/>
          <c:val>
            <c:numRef>
              <c:f>'Populatie grupe de varsta 10 an'!$M$4:$M$21</c:f>
              <c:numCache>
                <c:formatCode>General</c:formatCode>
                <c:ptCount val="18"/>
                <c:pt idx="0">
                  <c:v>272</c:v>
                </c:pt>
                <c:pt idx="1">
                  <c:v>293</c:v>
                </c:pt>
                <c:pt idx="2">
                  <c:v>342</c:v>
                </c:pt>
                <c:pt idx="3">
                  <c:v>383</c:v>
                </c:pt>
                <c:pt idx="4">
                  <c:v>329</c:v>
                </c:pt>
                <c:pt idx="5">
                  <c:v>442</c:v>
                </c:pt>
                <c:pt idx="6">
                  <c:v>529</c:v>
                </c:pt>
                <c:pt idx="7">
                  <c:v>426</c:v>
                </c:pt>
                <c:pt idx="8">
                  <c:v>521</c:v>
                </c:pt>
                <c:pt idx="9">
                  <c:v>530</c:v>
                </c:pt>
                <c:pt idx="10">
                  <c:v>598</c:v>
                </c:pt>
                <c:pt idx="11">
                  <c:v>493</c:v>
                </c:pt>
                <c:pt idx="12">
                  <c:v>454</c:v>
                </c:pt>
                <c:pt idx="13">
                  <c:v>395</c:v>
                </c:pt>
                <c:pt idx="14">
                  <c:v>298</c:v>
                </c:pt>
                <c:pt idx="15">
                  <c:v>218</c:v>
                </c:pt>
                <c:pt idx="16">
                  <c:v>190</c:v>
                </c:pt>
                <c:pt idx="17">
                  <c:v>165</c:v>
                </c:pt>
              </c:numCache>
            </c:numRef>
          </c:val>
          <c:extLst>
            <c:ext xmlns:c16="http://schemas.microsoft.com/office/drawing/2014/chart" uri="{C3380CC4-5D6E-409C-BE32-E72D297353CC}">
              <c16:uniqueId val="{00000008-4944-480C-A072-70C7866241FD}"/>
            </c:ext>
          </c:extLst>
        </c:ser>
        <c:ser>
          <c:idx val="9"/>
          <c:order val="9"/>
          <c:tx>
            <c:strRef>
              <c:f>'Populatie grupe de varsta 10 an'!$N$3</c:f>
              <c:strCache>
                <c:ptCount val="1"/>
                <c:pt idx="0">
                  <c:v>Anul 2021</c:v>
                </c:pt>
              </c:strCache>
            </c:strRef>
          </c:tx>
          <c:spPr>
            <a:solidFill>
              <a:schemeClr val="accent4">
                <a:lumMod val="60000"/>
              </a:schemeClr>
            </a:solidFill>
            <a:ln>
              <a:noFill/>
            </a:ln>
            <a:effectLst/>
          </c:spPr>
          <c:invertIfNegative val="0"/>
          <c:val>
            <c:numRef>
              <c:f>'Populatie grupe de varsta 10 an'!$N$4:$N$21</c:f>
              <c:numCache>
                <c:formatCode>General</c:formatCode>
                <c:ptCount val="18"/>
                <c:pt idx="0">
                  <c:v>265</c:v>
                </c:pt>
                <c:pt idx="1">
                  <c:v>286</c:v>
                </c:pt>
                <c:pt idx="2">
                  <c:v>331</c:v>
                </c:pt>
                <c:pt idx="3">
                  <c:v>387</c:v>
                </c:pt>
                <c:pt idx="4">
                  <c:v>327</c:v>
                </c:pt>
                <c:pt idx="5">
                  <c:v>394</c:v>
                </c:pt>
                <c:pt idx="6">
                  <c:v>525</c:v>
                </c:pt>
                <c:pt idx="7">
                  <c:v>426</c:v>
                </c:pt>
                <c:pt idx="8">
                  <c:v>507</c:v>
                </c:pt>
                <c:pt idx="9">
                  <c:v>528</c:v>
                </c:pt>
                <c:pt idx="10">
                  <c:v>601</c:v>
                </c:pt>
                <c:pt idx="11">
                  <c:v>479</c:v>
                </c:pt>
                <c:pt idx="12">
                  <c:v>461</c:v>
                </c:pt>
                <c:pt idx="13">
                  <c:v>396</c:v>
                </c:pt>
                <c:pt idx="14">
                  <c:v>328</c:v>
                </c:pt>
                <c:pt idx="15">
                  <c:v>207</c:v>
                </c:pt>
                <c:pt idx="16">
                  <c:v>185</c:v>
                </c:pt>
                <c:pt idx="17">
                  <c:v>173</c:v>
                </c:pt>
              </c:numCache>
            </c:numRef>
          </c:val>
          <c:extLst>
            <c:ext xmlns:c16="http://schemas.microsoft.com/office/drawing/2014/chart" uri="{C3380CC4-5D6E-409C-BE32-E72D297353CC}">
              <c16:uniqueId val="{00000009-4944-480C-A072-70C7866241FD}"/>
            </c:ext>
          </c:extLst>
        </c:ser>
        <c:dLbls>
          <c:showLegendKey val="0"/>
          <c:showVal val="0"/>
          <c:showCatName val="0"/>
          <c:showSerName val="0"/>
          <c:showPercent val="0"/>
          <c:showBubbleSize val="0"/>
        </c:dLbls>
        <c:gapWidth val="150"/>
        <c:overlap val="100"/>
        <c:axId val="513042128"/>
        <c:axId val="513042688"/>
      </c:barChart>
      <c:catAx>
        <c:axId val="513042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513042688"/>
        <c:crosses val="autoZero"/>
        <c:auto val="1"/>
        <c:lblAlgn val="ctr"/>
        <c:lblOffset val="100"/>
        <c:noMultiLvlLbl val="0"/>
      </c:catAx>
      <c:valAx>
        <c:axId val="513042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513042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Emisii NOx (kg)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2027'!$N$59</c:f>
              <c:strCache>
                <c:ptCount val="1"/>
                <c:pt idx="0">
                  <c:v>S1</c:v>
                </c:pt>
              </c:strCache>
            </c:strRef>
          </c:tx>
          <c:spPr>
            <a:solidFill>
              <a:schemeClr val="accent1"/>
            </a:solidFill>
            <a:ln>
              <a:noFill/>
            </a:ln>
            <a:effectLst/>
            <a:sp3d/>
          </c:spPr>
          <c:invertIfNegative val="0"/>
          <c:cat>
            <c:strRef>
              <c:f>' Scenarii 2027'!$O$58:$Q$58</c:f>
              <c:strCache>
                <c:ptCount val="3"/>
                <c:pt idx="0">
                  <c:v>AM</c:v>
                </c:pt>
                <c:pt idx="1">
                  <c:v>PM</c:v>
                </c:pt>
                <c:pt idx="2">
                  <c:v>24h</c:v>
                </c:pt>
              </c:strCache>
            </c:strRef>
          </c:cat>
          <c:val>
            <c:numRef>
              <c:f>' Scenarii 2027'!$O$59:$Q$59</c:f>
              <c:numCache>
                <c:formatCode>0.00</c:formatCode>
                <c:ptCount val="3"/>
                <c:pt idx="0">
                  <c:v>4.2733029120000001</c:v>
                </c:pt>
                <c:pt idx="1">
                  <c:v>6.728376022</c:v>
                </c:pt>
                <c:pt idx="2">
                  <c:v>66.010073604000013</c:v>
                </c:pt>
              </c:numCache>
            </c:numRef>
          </c:val>
          <c:extLst>
            <c:ext xmlns:c16="http://schemas.microsoft.com/office/drawing/2014/chart" uri="{C3380CC4-5D6E-409C-BE32-E72D297353CC}">
              <c16:uniqueId val="{00000000-7F35-4D2C-986E-38C13AEB138E}"/>
            </c:ext>
          </c:extLst>
        </c:ser>
        <c:ser>
          <c:idx val="1"/>
          <c:order val="1"/>
          <c:tx>
            <c:strRef>
              <c:f>' Scenarii 2027'!$N$60</c:f>
              <c:strCache>
                <c:ptCount val="1"/>
                <c:pt idx="0">
                  <c:v>S2</c:v>
                </c:pt>
              </c:strCache>
            </c:strRef>
          </c:tx>
          <c:spPr>
            <a:solidFill>
              <a:schemeClr val="accent2"/>
            </a:solidFill>
            <a:ln>
              <a:noFill/>
            </a:ln>
            <a:effectLst/>
            <a:sp3d/>
          </c:spPr>
          <c:invertIfNegative val="0"/>
          <c:cat>
            <c:strRef>
              <c:f>' Scenarii 2027'!$O$58:$Q$58</c:f>
              <c:strCache>
                <c:ptCount val="3"/>
                <c:pt idx="0">
                  <c:v>AM</c:v>
                </c:pt>
                <c:pt idx="1">
                  <c:v>PM</c:v>
                </c:pt>
                <c:pt idx="2">
                  <c:v>24h</c:v>
                </c:pt>
              </c:strCache>
            </c:strRef>
          </c:cat>
          <c:val>
            <c:numRef>
              <c:f>' Scenarii 2027'!$O$60:$Q$60</c:f>
              <c:numCache>
                <c:formatCode>0.00</c:formatCode>
                <c:ptCount val="3"/>
                <c:pt idx="0">
                  <c:v>3.9708700749999997</c:v>
                </c:pt>
                <c:pt idx="1">
                  <c:v>6.1077805060000001</c:v>
                </c:pt>
                <c:pt idx="2">
                  <c:v>60.471903486000002</c:v>
                </c:pt>
              </c:numCache>
            </c:numRef>
          </c:val>
          <c:extLst>
            <c:ext xmlns:c16="http://schemas.microsoft.com/office/drawing/2014/chart" uri="{C3380CC4-5D6E-409C-BE32-E72D297353CC}">
              <c16:uniqueId val="{00000001-7F35-4D2C-986E-38C13AEB138E}"/>
            </c:ext>
          </c:extLst>
        </c:ser>
        <c:dLbls>
          <c:showLegendKey val="0"/>
          <c:showVal val="0"/>
          <c:showCatName val="0"/>
          <c:showSerName val="0"/>
          <c:showPercent val="0"/>
          <c:showBubbleSize val="0"/>
        </c:dLbls>
        <c:gapWidth val="150"/>
        <c:shape val="box"/>
        <c:axId val="631880432"/>
        <c:axId val="631880992"/>
        <c:axId val="0"/>
      </c:bar3DChart>
      <c:catAx>
        <c:axId val="6318804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80992"/>
        <c:crosses val="autoZero"/>
        <c:auto val="1"/>
        <c:lblAlgn val="ctr"/>
        <c:lblOffset val="100"/>
        <c:noMultiLvlLbl val="0"/>
      </c:catAx>
      <c:valAx>
        <c:axId val="631880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80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Emisii PM (kg)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2027'!$N$65</c:f>
              <c:strCache>
                <c:ptCount val="1"/>
                <c:pt idx="0">
                  <c:v>S1</c:v>
                </c:pt>
              </c:strCache>
            </c:strRef>
          </c:tx>
          <c:spPr>
            <a:solidFill>
              <a:schemeClr val="accent1"/>
            </a:solidFill>
            <a:ln>
              <a:noFill/>
            </a:ln>
            <a:effectLst/>
            <a:sp3d/>
          </c:spPr>
          <c:invertIfNegative val="0"/>
          <c:cat>
            <c:strRef>
              <c:f>' Scenarii 2027'!$O$64:$Q$64</c:f>
              <c:strCache>
                <c:ptCount val="3"/>
                <c:pt idx="0">
                  <c:v>AM</c:v>
                </c:pt>
                <c:pt idx="1">
                  <c:v>PM</c:v>
                </c:pt>
                <c:pt idx="2">
                  <c:v>24h</c:v>
                </c:pt>
              </c:strCache>
            </c:strRef>
          </c:cat>
          <c:val>
            <c:numRef>
              <c:f>' Scenarii 2027'!$O$65:$Q$65</c:f>
              <c:numCache>
                <c:formatCode>0.00</c:formatCode>
                <c:ptCount val="3"/>
                <c:pt idx="0">
                  <c:v>0.21594825300000001</c:v>
                </c:pt>
                <c:pt idx="1">
                  <c:v>0.313517775</c:v>
                </c:pt>
                <c:pt idx="2">
                  <c:v>3.1767961680000001</c:v>
                </c:pt>
              </c:numCache>
            </c:numRef>
          </c:val>
          <c:extLst>
            <c:ext xmlns:c16="http://schemas.microsoft.com/office/drawing/2014/chart" uri="{C3380CC4-5D6E-409C-BE32-E72D297353CC}">
              <c16:uniqueId val="{00000000-FCCC-4439-8AB6-ABA628BD17AB}"/>
            </c:ext>
          </c:extLst>
        </c:ser>
        <c:ser>
          <c:idx val="1"/>
          <c:order val="1"/>
          <c:tx>
            <c:strRef>
              <c:f>' Scenarii 2027'!$N$66</c:f>
              <c:strCache>
                <c:ptCount val="1"/>
                <c:pt idx="0">
                  <c:v>S2</c:v>
                </c:pt>
              </c:strCache>
            </c:strRef>
          </c:tx>
          <c:spPr>
            <a:solidFill>
              <a:schemeClr val="accent2"/>
            </a:solidFill>
            <a:ln>
              <a:noFill/>
            </a:ln>
            <a:effectLst/>
            <a:sp3d/>
          </c:spPr>
          <c:invertIfNegative val="0"/>
          <c:cat>
            <c:strRef>
              <c:f>' Scenarii 2027'!$O$64:$Q$64</c:f>
              <c:strCache>
                <c:ptCount val="3"/>
                <c:pt idx="0">
                  <c:v>AM</c:v>
                </c:pt>
                <c:pt idx="1">
                  <c:v>PM</c:v>
                </c:pt>
                <c:pt idx="2">
                  <c:v>24h</c:v>
                </c:pt>
              </c:strCache>
            </c:strRef>
          </c:cat>
          <c:val>
            <c:numRef>
              <c:f>' Scenarii 2027'!$O$66:$Q$66</c:f>
              <c:numCache>
                <c:formatCode>0.00</c:formatCode>
                <c:ptCount val="3"/>
                <c:pt idx="0">
                  <c:v>0.20536317099999998</c:v>
                </c:pt>
                <c:pt idx="1">
                  <c:v>0.29041753999999997</c:v>
                </c:pt>
                <c:pt idx="2">
                  <c:v>2.9746842659999997</c:v>
                </c:pt>
              </c:numCache>
            </c:numRef>
          </c:val>
          <c:extLst>
            <c:ext xmlns:c16="http://schemas.microsoft.com/office/drawing/2014/chart" uri="{C3380CC4-5D6E-409C-BE32-E72D297353CC}">
              <c16:uniqueId val="{00000001-FCCC-4439-8AB6-ABA628BD17AB}"/>
            </c:ext>
          </c:extLst>
        </c:ser>
        <c:dLbls>
          <c:showLegendKey val="0"/>
          <c:showVal val="0"/>
          <c:showCatName val="0"/>
          <c:showSerName val="0"/>
          <c:showPercent val="0"/>
          <c:showBubbleSize val="0"/>
        </c:dLbls>
        <c:gapWidth val="150"/>
        <c:shape val="box"/>
        <c:axId val="631883792"/>
        <c:axId val="631884352"/>
        <c:axId val="0"/>
      </c:bar3DChart>
      <c:catAx>
        <c:axId val="6318837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84352"/>
        <c:crosses val="autoZero"/>
        <c:auto val="1"/>
        <c:lblAlgn val="ctr"/>
        <c:lblOffset val="100"/>
        <c:noMultiLvlLbl val="0"/>
      </c:catAx>
      <c:valAx>
        <c:axId val="6318843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837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Emisii HC (kg)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2027'!$N$73</c:f>
              <c:strCache>
                <c:ptCount val="1"/>
                <c:pt idx="0">
                  <c:v>S1</c:v>
                </c:pt>
              </c:strCache>
            </c:strRef>
          </c:tx>
          <c:spPr>
            <a:solidFill>
              <a:schemeClr val="accent1"/>
            </a:solidFill>
            <a:ln>
              <a:noFill/>
            </a:ln>
            <a:effectLst/>
            <a:sp3d/>
          </c:spPr>
          <c:invertIfNegative val="0"/>
          <c:cat>
            <c:strRef>
              <c:f>' Scenarii 2027'!$O$72:$Q$72</c:f>
              <c:strCache>
                <c:ptCount val="3"/>
                <c:pt idx="0">
                  <c:v>AM</c:v>
                </c:pt>
                <c:pt idx="1">
                  <c:v>PM</c:v>
                </c:pt>
                <c:pt idx="2">
                  <c:v>24h</c:v>
                </c:pt>
              </c:strCache>
            </c:strRef>
          </c:cat>
          <c:val>
            <c:numRef>
              <c:f>' Scenarii 2027'!$O$73:$Q$73</c:f>
              <c:numCache>
                <c:formatCode>0.000</c:formatCode>
                <c:ptCount val="3"/>
                <c:pt idx="0">
                  <c:v>7.3507728109999997</c:v>
                </c:pt>
                <c:pt idx="1">
                  <c:v>8.4624738720000003</c:v>
                </c:pt>
                <c:pt idx="2">
                  <c:v>94.879480097999988</c:v>
                </c:pt>
              </c:numCache>
            </c:numRef>
          </c:val>
          <c:extLst>
            <c:ext xmlns:c16="http://schemas.microsoft.com/office/drawing/2014/chart" uri="{C3380CC4-5D6E-409C-BE32-E72D297353CC}">
              <c16:uniqueId val="{00000000-E491-4152-BFC6-6CF325B14232}"/>
            </c:ext>
          </c:extLst>
        </c:ser>
        <c:ser>
          <c:idx val="1"/>
          <c:order val="1"/>
          <c:tx>
            <c:strRef>
              <c:f>' Scenarii 2027'!$N$74</c:f>
              <c:strCache>
                <c:ptCount val="1"/>
                <c:pt idx="0">
                  <c:v>S2</c:v>
                </c:pt>
              </c:strCache>
            </c:strRef>
          </c:tx>
          <c:spPr>
            <a:solidFill>
              <a:schemeClr val="accent2"/>
            </a:solidFill>
            <a:ln>
              <a:noFill/>
            </a:ln>
            <a:effectLst/>
            <a:sp3d/>
          </c:spPr>
          <c:invertIfNegative val="0"/>
          <c:cat>
            <c:strRef>
              <c:f>' Scenarii 2027'!$O$72:$Q$72</c:f>
              <c:strCache>
                <c:ptCount val="3"/>
                <c:pt idx="0">
                  <c:v>AM</c:v>
                </c:pt>
                <c:pt idx="1">
                  <c:v>PM</c:v>
                </c:pt>
                <c:pt idx="2">
                  <c:v>24h</c:v>
                </c:pt>
              </c:strCache>
            </c:strRef>
          </c:cat>
          <c:val>
            <c:numRef>
              <c:f>' Scenarii 2027'!$O$74:$Q$74</c:f>
              <c:numCache>
                <c:formatCode>0.000</c:formatCode>
                <c:ptCount val="3"/>
                <c:pt idx="0" formatCode="0.0000">
                  <c:v>5.8481618090000005</c:v>
                </c:pt>
                <c:pt idx="1">
                  <c:v>6.67036271</c:v>
                </c:pt>
                <c:pt idx="2">
                  <c:v>75.111147114000005</c:v>
                </c:pt>
              </c:numCache>
            </c:numRef>
          </c:val>
          <c:extLst>
            <c:ext xmlns:c16="http://schemas.microsoft.com/office/drawing/2014/chart" uri="{C3380CC4-5D6E-409C-BE32-E72D297353CC}">
              <c16:uniqueId val="{00000001-E491-4152-BFC6-6CF325B14232}"/>
            </c:ext>
          </c:extLst>
        </c:ser>
        <c:dLbls>
          <c:showLegendKey val="0"/>
          <c:showVal val="0"/>
          <c:showCatName val="0"/>
          <c:showSerName val="0"/>
          <c:showPercent val="0"/>
          <c:showBubbleSize val="0"/>
        </c:dLbls>
        <c:gapWidth val="150"/>
        <c:shape val="box"/>
        <c:axId val="631887152"/>
        <c:axId val="631887712"/>
        <c:axId val="0"/>
      </c:bar3DChart>
      <c:catAx>
        <c:axId val="6318871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87712"/>
        <c:crosses val="autoZero"/>
        <c:auto val="1"/>
        <c:lblAlgn val="ctr"/>
        <c:lblOffset val="100"/>
        <c:noMultiLvlLbl val="0"/>
      </c:catAx>
      <c:valAx>
        <c:axId val="631887712"/>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87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Emisii CO (kg)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2035'!$N$53</c:f>
              <c:strCache>
                <c:ptCount val="1"/>
                <c:pt idx="0">
                  <c:v>S1</c:v>
                </c:pt>
              </c:strCache>
            </c:strRef>
          </c:tx>
          <c:spPr>
            <a:solidFill>
              <a:schemeClr val="accent1"/>
            </a:solidFill>
            <a:ln>
              <a:noFill/>
            </a:ln>
            <a:effectLst/>
            <a:sp3d/>
          </c:spPr>
          <c:invertIfNegative val="0"/>
          <c:cat>
            <c:strRef>
              <c:f>' Scenarii 2035'!$O$52:$Q$52</c:f>
              <c:strCache>
                <c:ptCount val="3"/>
                <c:pt idx="0">
                  <c:v>AM</c:v>
                </c:pt>
                <c:pt idx="1">
                  <c:v>PM</c:v>
                </c:pt>
                <c:pt idx="2">
                  <c:v>24h</c:v>
                </c:pt>
              </c:strCache>
            </c:strRef>
          </c:cat>
          <c:val>
            <c:numRef>
              <c:f>' Scenarii 2035'!$O$53:$Q$53</c:f>
              <c:numCache>
                <c:formatCode>0.00</c:formatCode>
                <c:ptCount val="3"/>
                <c:pt idx="0">
                  <c:v>1491.8022107549998</c:v>
                </c:pt>
                <c:pt idx="1">
                  <c:v>2233.8071518669999</c:v>
                </c:pt>
                <c:pt idx="2">
                  <c:v>22353.656175732001</c:v>
                </c:pt>
              </c:numCache>
            </c:numRef>
          </c:val>
          <c:extLst>
            <c:ext xmlns:c16="http://schemas.microsoft.com/office/drawing/2014/chart" uri="{C3380CC4-5D6E-409C-BE32-E72D297353CC}">
              <c16:uniqueId val="{00000000-B7DC-4D51-A2F7-8D7E4D26AB22}"/>
            </c:ext>
          </c:extLst>
        </c:ser>
        <c:ser>
          <c:idx val="1"/>
          <c:order val="1"/>
          <c:tx>
            <c:strRef>
              <c:f>' Scenarii 2035'!$N$54</c:f>
              <c:strCache>
                <c:ptCount val="1"/>
                <c:pt idx="0">
                  <c:v>S2</c:v>
                </c:pt>
              </c:strCache>
            </c:strRef>
          </c:tx>
          <c:spPr>
            <a:solidFill>
              <a:schemeClr val="accent2"/>
            </a:solidFill>
            <a:ln>
              <a:noFill/>
            </a:ln>
            <a:effectLst/>
            <a:sp3d/>
          </c:spPr>
          <c:invertIfNegative val="0"/>
          <c:cat>
            <c:strRef>
              <c:f>' Scenarii 2035'!$O$52:$Q$52</c:f>
              <c:strCache>
                <c:ptCount val="3"/>
                <c:pt idx="0">
                  <c:v>AM</c:v>
                </c:pt>
                <c:pt idx="1">
                  <c:v>PM</c:v>
                </c:pt>
                <c:pt idx="2">
                  <c:v>24h</c:v>
                </c:pt>
              </c:strCache>
            </c:strRef>
          </c:cat>
          <c:val>
            <c:numRef>
              <c:f>' Scenarii 2035'!$O$54:$Q$54</c:f>
              <c:numCache>
                <c:formatCode>0.00</c:formatCode>
                <c:ptCount val="3"/>
                <c:pt idx="0">
                  <c:v>1576.8533780720002</c:v>
                </c:pt>
                <c:pt idx="1">
                  <c:v>1743.003678801</c:v>
                </c:pt>
                <c:pt idx="2">
                  <c:v>19919.142341238003</c:v>
                </c:pt>
              </c:numCache>
            </c:numRef>
          </c:val>
          <c:extLst>
            <c:ext xmlns:c16="http://schemas.microsoft.com/office/drawing/2014/chart" uri="{C3380CC4-5D6E-409C-BE32-E72D297353CC}">
              <c16:uniqueId val="{00000001-B7DC-4D51-A2F7-8D7E4D26AB22}"/>
            </c:ext>
          </c:extLst>
        </c:ser>
        <c:ser>
          <c:idx val="2"/>
          <c:order val="2"/>
          <c:tx>
            <c:strRef>
              <c:f>' Scenarii 2035'!$N$55</c:f>
              <c:strCache>
                <c:ptCount val="1"/>
                <c:pt idx="0">
                  <c:v>S3</c:v>
                </c:pt>
              </c:strCache>
            </c:strRef>
          </c:tx>
          <c:spPr>
            <a:solidFill>
              <a:schemeClr val="accent3"/>
            </a:solidFill>
            <a:ln>
              <a:noFill/>
            </a:ln>
            <a:effectLst/>
            <a:sp3d/>
          </c:spPr>
          <c:invertIfNegative val="0"/>
          <c:cat>
            <c:strRef>
              <c:f>' Scenarii 2035'!$O$52:$Q$52</c:f>
              <c:strCache>
                <c:ptCount val="3"/>
                <c:pt idx="0">
                  <c:v>AM</c:v>
                </c:pt>
                <c:pt idx="1">
                  <c:v>PM</c:v>
                </c:pt>
                <c:pt idx="2">
                  <c:v>24h</c:v>
                </c:pt>
              </c:strCache>
            </c:strRef>
          </c:cat>
          <c:val>
            <c:numRef>
              <c:f>' Scenarii 2035'!$O$55:$Q$55</c:f>
              <c:numCache>
                <c:formatCode>0.00</c:formatCode>
                <c:ptCount val="3"/>
                <c:pt idx="0">
                  <c:v>1515.9059367080001</c:v>
                </c:pt>
                <c:pt idx="1">
                  <c:v>1685.6884085260001</c:v>
                </c:pt>
                <c:pt idx="2">
                  <c:v>19209.566071404002</c:v>
                </c:pt>
              </c:numCache>
            </c:numRef>
          </c:val>
          <c:extLst>
            <c:ext xmlns:c16="http://schemas.microsoft.com/office/drawing/2014/chart" uri="{C3380CC4-5D6E-409C-BE32-E72D297353CC}">
              <c16:uniqueId val="{00000002-B7DC-4D51-A2F7-8D7E4D26AB22}"/>
            </c:ext>
          </c:extLst>
        </c:ser>
        <c:dLbls>
          <c:showLegendKey val="0"/>
          <c:showVal val="0"/>
          <c:showCatName val="0"/>
          <c:showSerName val="0"/>
          <c:showPercent val="0"/>
          <c:showBubbleSize val="0"/>
        </c:dLbls>
        <c:gapWidth val="150"/>
        <c:shape val="box"/>
        <c:axId val="631891072"/>
        <c:axId val="631891632"/>
        <c:axId val="0"/>
      </c:bar3DChart>
      <c:catAx>
        <c:axId val="6318910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91632"/>
        <c:crosses val="autoZero"/>
        <c:auto val="1"/>
        <c:lblAlgn val="ctr"/>
        <c:lblOffset val="100"/>
        <c:noMultiLvlLbl val="0"/>
      </c:catAx>
      <c:valAx>
        <c:axId val="6318916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31891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Emisii NOx (kg)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2035'!$N$59</c:f>
              <c:strCache>
                <c:ptCount val="1"/>
                <c:pt idx="0">
                  <c:v>S1</c:v>
                </c:pt>
              </c:strCache>
            </c:strRef>
          </c:tx>
          <c:spPr>
            <a:solidFill>
              <a:schemeClr val="accent1"/>
            </a:solidFill>
            <a:ln>
              <a:noFill/>
            </a:ln>
            <a:effectLst/>
            <a:sp3d/>
          </c:spPr>
          <c:invertIfNegative val="0"/>
          <c:cat>
            <c:strRef>
              <c:f>' Scenarii 2035'!$O$58:$Q$58</c:f>
              <c:strCache>
                <c:ptCount val="3"/>
                <c:pt idx="0">
                  <c:v>AM</c:v>
                </c:pt>
                <c:pt idx="1">
                  <c:v>PM</c:v>
                </c:pt>
                <c:pt idx="2">
                  <c:v>24h</c:v>
                </c:pt>
              </c:strCache>
            </c:strRef>
          </c:cat>
          <c:val>
            <c:numRef>
              <c:f>' Scenarii 2035'!$O$59:$Q$59</c:f>
              <c:numCache>
                <c:formatCode>0.00</c:formatCode>
                <c:ptCount val="3"/>
                <c:pt idx="0">
                  <c:v>6.3207932849999997</c:v>
                </c:pt>
                <c:pt idx="1">
                  <c:v>10.610642366</c:v>
                </c:pt>
                <c:pt idx="2">
                  <c:v>101.58861390600001</c:v>
                </c:pt>
              </c:numCache>
            </c:numRef>
          </c:val>
          <c:extLst>
            <c:ext xmlns:c16="http://schemas.microsoft.com/office/drawing/2014/chart" uri="{C3380CC4-5D6E-409C-BE32-E72D297353CC}">
              <c16:uniqueId val="{00000000-AB9E-47A5-9F9C-4137355C302C}"/>
            </c:ext>
          </c:extLst>
        </c:ser>
        <c:ser>
          <c:idx val="1"/>
          <c:order val="1"/>
          <c:tx>
            <c:strRef>
              <c:f>' Scenarii 2035'!$N$60</c:f>
              <c:strCache>
                <c:ptCount val="1"/>
                <c:pt idx="0">
                  <c:v>S2</c:v>
                </c:pt>
              </c:strCache>
            </c:strRef>
          </c:tx>
          <c:spPr>
            <a:solidFill>
              <a:schemeClr val="accent2"/>
            </a:solidFill>
            <a:ln>
              <a:noFill/>
            </a:ln>
            <a:effectLst/>
            <a:sp3d/>
          </c:spPr>
          <c:invertIfNegative val="0"/>
          <c:cat>
            <c:strRef>
              <c:f>' Scenarii 2035'!$O$58:$Q$58</c:f>
              <c:strCache>
                <c:ptCount val="3"/>
                <c:pt idx="0">
                  <c:v>AM</c:v>
                </c:pt>
                <c:pt idx="1">
                  <c:v>PM</c:v>
                </c:pt>
                <c:pt idx="2">
                  <c:v>24h</c:v>
                </c:pt>
              </c:strCache>
            </c:strRef>
          </c:cat>
          <c:val>
            <c:numRef>
              <c:f>' Scenarii 2035'!$O$60:$Q$60</c:f>
              <c:numCache>
                <c:formatCode>0.00</c:formatCode>
                <c:ptCount val="3"/>
                <c:pt idx="0">
                  <c:v>5.8367426779999994</c:v>
                </c:pt>
                <c:pt idx="1">
                  <c:v>6.4451048399999999</c:v>
                </c:pt>
                <c:pt idx="2">
                  <c:v>73.691085107999996</c:v>
                </c:pt>
              </c:numCache>
            </c:numRef>
          </c:val>
          <c:extLst>
            <c:ext xmlns:c16="http://schemas.microsoft.com/office/drawing/2014/chart" uri="{C3380CC4-5D6E-409C-BE32-E72D297353CC}">
              <c16:uniqueId val="{00000001-AB9E-47A5-9F9C-4137355C302C}"/>
            </c:ext>
          </c:extLst>
        </c:ser>
        <c:ser>
          <c:idx val="2"/>
          <c:order val="2"/>
          <c:tx>
            <c:strRef>
              <c:f>' Scenarii 2035'!$N$61</c:f>
              <c:strCache>
                <c:ptCount val="1"/>
                <c:pt idx="0">
                  <c:v>S3</c:v>
                </c:pt>
              </c:strCache>
            </c:strRef>
          </c:tx>
          <c:spPr>
            <a:solidFill>
              <a:schemeClr val="accent3"/>
            </a:solidFill>
            <a:ln>
              <a:noFill/>
            </a:ln>
            <a:effectLst/>
            <a:sp3d/>
          </c:spPr>
          <c:invertIfNegative val="0"/>
          <c:cat>
            <c:strRef>
              <c:f>' Scenarii 2035'!$O$58:$Q$58</c:f>
              <c:strCache>
                <c:ptCount val="3"/>
                <c:pt idx="0">
                  <c:v>AM</c:v>
                </c:pt>
                <c:pt idx="1">
                  <c:v>PM</c:v>
                </c:pt>
                <c:pt idx="2">
                  <c:v>24h</c:v>
                </c:pt>
              </c:strCache>
            </c:strRef>
          </c:cat>
          <c:val>
            <c:numRef>
              <c:f>' Scenarii 2035'!$O$61:$Q$61</c:f>
              <c:numCache>
                <c:formatCode>0.00</c:formatCode>
                <c:ptCount val="3"/>
                <c:pt idx="0">
                  <c:v>5.7082721460000005</c:v>
                </c:pt>
                <c:pt idx="1">
                  <c:v>6.3499788910000001</c:v>
                </c:pt>
                <c:pt idx="2">
                  <c:v>72.349506222000002</c:v>
                </c:pt>
              </c:numCache>
            </c:numRef>
          </c:val>
          <c:extLst>
            <c:ext xmlns:c16="http://schemas.microsoft.com/office/drawing/2014/chart" uri="{C3380CC4-5D6E-409C-BE32-E72D297353CC}">
              <c16:uniqueId val="{00000002-AB9E-47A5-9F9C-4137355C302C}"/>
            </c:ext>
          </c:extLst>
        </c:ser>
        <c:dLbls>
          <c:showLegendKey val="0"/>
          <c:showVal val="0"/>
          <c:showCatName val="0"/>
          <c:showSerName val="0"/>
          <c:showPercent val="0"/>
          <c:showBubbleSize val="0"/>
        </c:dLbls>
        <c:gapWidth val="150"/>
        <c:shape val="box"/>
        <c:axId val="629671712"/>
        <c:axId val="629672272"/>
        <c:axId val="0"/>
      </c:bar3DChart>
      <c:catAx>
        <c:axId val="6296717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672272"/>
        <c:crosses val="autoZero"/>
        <c:auto val="1"/>
        <c:lblAlgn val="ctr"/>
        <c:lblOffset val="100"/>
        <c:noMultiLvlLbl val="0"/>
      </c:catAx>
      <c:valAx>
        <c:axId val="6296722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67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Emisii PM (kg)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2035'!$N$65</c:f>
              <c:strCache>
                <c:ptCount val="1"/>
                <c:pt idx="0">
                  <c:v>S1</c:v>
                </c:pt>
              </c:strCache>
            </c:strRef>
          </c:tx>
          <c:spPr>
            <a:solidFill>
              <a:schemeClr val="accent1"/>
            </a:solidFill>
            <a:ln>
              <a:noFill/>
            </a:ln>
            <a:effectLst/>
            <a:sp3d/>
          </c:spPr>
          <c:invertIfNegative val="0"/>
          <c:cat>
            <c:strRef>
              <c:f>' Scenarii 2035'!$O$64:$Q$64</c:f>
              <c:strCache>
                <c:ptCount val="3"/>
                <c:pt idx="0">
                  <c:v>AM</c:v>
                </c:pt>
                <c:pt idx="1">
                  <c:v>PM</c:v>
                </c:pt>
                <c:pt idx="2">
                  <c:v>24h</c:v>
                </c:pt>
              </c:strCache>
            </c:strRef>
          </c:cat>
          <c:val>
            <c:numRef>
              <c:f>' Scenarii 2035'!$O$65:$Q$65</c:f>
              <c:numCache>
                <c:formatCode>0.00</c:formatCode>
                <c:ptCount val="3"/>
                <c:pt idx="0">
                  <c:v>0.317626719</c:v>
                </c:pt>
                <c:pt idx="1">
                  <c:v>0.48610827000000001</c:v>
                </c:pt>
                <c:pt idx="2">
                  <c:v>4.8224099340000004</c:v>
                </c:pt>
              </c:numCache>
            </c:numRef>
          </c:val>
          <c:extLst>
            <c:ext xmlns:c16="http://schemas.microsoft.com/office/drawing/2014/chart" uri="{C3380CC4-5D6E-409C-BE32-E72D297353CC}">
              <c16:uniqueId val="{00000000-624C-424D-9CE3-1C5ECFE093B5}"/>
            </c:ext>
          </c:extLst>
        </c:ser>
        <c:ser>
          <c:idx val="1"/>
          <c:order val="1"/>
          <c:tx>
            <c:strRef>
              <c:f>' Scenarii 2035'!$N$66</c:f>
              <c:strCache>
                <c:ptCount val="1"/>
                <c:pt idx="0">
                  <c:v>S2</c:v>
                </c:pt>
              </c:strCache>
            </c:strRef>
          </c:tx>
          <c:spPr>
            <a:solidFill>
              <a:schemeClr val="accent2"/>
            </a:solidFill>
            <a:ln>
              <a:noFill/>
            </a:ln>
            <a:effectLst/>
            <a:sp3d/>
          </c:spPr>
          <c:invertIfNegative val="0"/>
          <c:cat>
            <c:strRef>
              <c:f>' Scenarii 2035'!$O$64:$Q$64</c:f>
              <c:strCache>
                <c:ptCount val="3"/>
                <c:pt idx="0">
                  <c:v>AM</c:v>
                </c:pt>
                <c:pt idx="1">
                  <c:v>PM</c:v>
                </c:pt>
                <c:pt idx="2">
                  <c:v>24h</c:v>
                </c:pt>
              </c:strCache>
            </c:strRef>
          </c:cat>
          <c:val>
            <c:numRef>
              <c:f>' Scenarii 2035'!$O$66:$Q$66</c:f>
              <c:numCache>
                <c:formatCode>0.00</c:formatCode>
                <c:ptCount val="3"/>
                <c:pt idx="0">
                  <c:v>0.33902861699999998</c:v>
                </c:pt>
                <c:pt idx="1">
                  <c:v>0.37593176899999997</c:v>
                </c:pt>
                <c:pt idx="2">
                  <c:v>4.289762316</c:v>
                </c:pt>
              </c:numCache>
            </c:numRef>
          </c:val>
          <c:extLst>
            <c:ext xmlns:c16="http://schemas.microsoft.com/office/drawing/2014/chart" uri="{C3380CC4-5D6E-409C-BE32-E72D297353CC}">
              <c16:uniqueId val="{00000001-624C-424D-9CE3-1C5ECFE093B5}"/>
            </c:ext>
          </c:extLst>
        </c:ser>
        <c:ser>
          <c:idx val="2"/>
          <c:order val="2"/>
          <c:tx>
            <c:strRef>
              <c:f>' Scenarii 2035'!$N$67</c:f>
              <c:strCache>
                <c:ptCount val="1"/>
                <c:pt idx="0">
                  <c:v>S3</c:v>
                </c:pt>
              </c:strCache>
            </c:strRef>
          </c:tx>
          <c:spPr>
            <a:solidFill>
              <a:schemeClr val="accent3"/>
            </a:solidFill>
            <a:ln>
              <a:noFill/>
            </a:ln>
            <a:effectLst/>
            <a:sp3d/>
          </c:spPr>
          <c:invertIfNegative val="0"/>
          <c:cat>
            <c:strRef>
              <c:f>' Scenarii 2035'!$O$64:$Q$64</c:f>
              <c:strCache>
                <c:ptCount val="3"/>
                <c:pt idx="0">
                  <c:v>AM</c:v>
                </c:pt>
                <c:pt idx="1">
                  <c:v>PM</c:v>
                </c:pt>
                <c:pt idx="2">
                  <c:v>24h</c:v>
                </c:pt>
              </c:strCache>
            </c:strRef>
          </c:cat>
          <c:val>
            <c:numRef>
              <c:f>' Scenarii 2035'!$O$67:$Q$67</c:f>
              <c:numCache>
                <c:formatCode>0.00</c:formatCode>
                <c:ptCount val="3"/>
                <c:pt idx="0">
                  <c:v>0.32655885699999998</c:v>
                </c:pt>
                <c:pt idx="1">
                  <c:v>0.363513315</c:v>
                </c:pt>
                <c:pt idx="2">
                  <c:v>4.1404330320000007</c:v>
                </c:pt>
              </c:numCache>
            </c:numRef>
          </c:val>
          <c:extLst>
            <c:ext xmlns:c16="http://schemas.microsoft.com/office/drawing/2014/chart" uri="{C3380CC4-5D6E-409C-BE32-E72D297353CC}">
              <c16:uniqueId val="{00000002-624C-424D-9CE3-1C5ECFE093B5}"/>
            </c:ext>
          </c:extLst>
        </c:ser>
        <c:dLbls>
          <c:showLegendKey val="0"/>
          <c:showVal val="0"/>
          <c:showCatName val="0"/>
          <c:showSerName val="0"/>
          <c:showPercent val="0"/>
          <c:showBubbleSize val="0"/>
        </c:dLbls>
        <c:gapWidth val="150"/>
        <c:shape val="box"/>
        <c:axId val="629675632"/>
        <c:axId val="629676192"/>
        <c:axId val="0"/>
      </c:bar3DChart>
      <c:catAx>
        <c:axId val="6296756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676192"/>
        <c:crosses val="autoZero"/>
        <c:auto val="1"/>
        <c:lblAlgn val="ctr"/>
        <c:lblOffset val="100"/>
        <c:noMultiLvlLbl val="0"/>
      </c:catAx>
      <c:valAx>
        <c:axId val="6296761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675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Emisii HC (kg)</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 Scenarii 2035'!$N$73</c:f>
              <c:strCache>
                <c:ptCount val="1"/>
                <c:pt idx="0">
                  <c:v>S1</c:v>
                </c:pt>
              </c:strCache>
            </c:strRef>
          </c:tx>
          <c:spPr>
            <a:solidFill>
              <a:schemeClr val="accent1"/>
            </a:solidFill>
            <a:ln>
              <a:noFill/>
            </a:ln>
            <a:effectLst/>
            <a:sp3d/>
          </c:spPr>
          <c:invertIfNegative val="0"/>
          <c:cat>
            <c:strRef>
              <c:f>' Scenarii 2035'!$O$72:$Q$72</c:f>
              <c:strCache>
                <c:ptCount val="3"/>
                <c:pt idx="0">
                  <c:v>AM</c:v>
                </c:pt>
                <c:pt idx="1">
                  <c:v>PM</c:v>
                </c:pt>
                <c:pt idx="2">
                  <c:v>24h</c:v>
                </c:pt>
              </c:strCache>
            </c:strRef>
          </c:cat>
          <c:val>
            <c:numRef>
              <c:f>' Scenarii 2035'!$O$73:$Q$73</c:f>
              <c:numCache>
                <c:formatCode>0.00</c:formatCode>
                <c:ptCount val="3"/>
                <c:pt idx="0">
                  <c:v>10.680581903</c:v>
                </c:pt>
                <c:pt idx="1">
                  <c:v>12.863884432999999</c:v>
                </c:pt>
                <c:pt idx="2">
                  <c:v>141.266798016</c:v>
                </c:pt>
              </c:numCache>
            </c:numRef>
          </c:val>
          <c:extLst>
            <c:ext xmlns:c16="http://schemas.microsoft.com/office/drawing/2014/chart" uri="{C3380CC4-5D6E-409C-BE32-E72D297353CC}">
              <c16:uniqueId val="{00000000-61B6-4358-9F94-6A6A9C9EDF44}"/>
            </c:ext>
          </c:extLst>
        </c:ser>
        <c:ser>
          <c:idx val="1"/>
          <c:order val="1"/>
          <c:tx>
            <c:strRef>
              <c:f>' Scenarii 2035'!$N$74</c:f>
              <c:strCache>
                <c:ptCount val="1"/>
                <c:pt idx="0">
                  <c:v>S2</c:v>
                </c:pt>
              </c:strCache>
            </c:strRef>
          </c:tx>
          <c:spPr>
            <a:solidFill>
              <a:schemeClr val="accent2"/>
            </a:solidFill>
            <a:ln>
              <a:noFill/>
            </a:ln>
            <a:effectLst/>
            <a:sp3d/>
          </c:spPr>
          <c:invertIfNegative val="0"/>
          <c:cat>
            <c:strRef>
              <c:f>' Scenarii 2035'!$O$72:$Q$72</c:f>
              <c:strCache>
                <c:ptCount val="3"/>
                <c:pt idx="0">
                  <c:v>AM</c:v>
                </c:pt>
                <c:pt idx="1">
                  <c:v>PM</c:v>
                </c:pt>
                <c:pt idx="2">
                  <c:v>24h</c:v>
                </c:pt>
              </c:strCache>
            </c:strRef>
          </c:cat>
          <c:val>
            <c:numRef>
              <c:f>' Scenarii 2035'!$O$74:$Q$74</c:f>
              <c:numCache>
                <c:formatCode>0.00</c:formatCode>
                <c:ptCount val="3"/>
                <c:pt idx="0">
                  <c:v>9.9903422400000004</c:v>
                </c:pt>
                <c:pt idx="1">
                  <c:v>10.801309228000001</c:v>
                </c:pt>
                <c:pt idx="2">
                  <c:v>124.74990880800001</c:v>
                </c:pt>
              </c:numCache>
            </c:numRef>
          </c:val>
          <c:extLst>
            <c:ext xmlns:c16="http://schemas.microsoft.com/office/drawing/2014/chart" uri="{C3380CC4-5D6E-409C-BE32-E72D297353CC}">
              <c16:uniqueId val="{00000001-61B6-4358-9F94-6A6A9C9EDF44}"/>
            </c:ext>
          </c:extLst>
        </c:ser>
        <c:ser>
          <c:idx val="2"/>
          <c:order val="2"/>
          <c:tx>
            <c:strRef>
              <c:f>' Scenarii 2035'!$N$75</c:f>
              <c:strCache>
                <c:ptCount val="1"/>
                <c:pt idx="0">
                  <c:v>S3</c:v>
                </c:pt>
              </c:strCache>
            </c:strRef>
          </c:tx>
          <c:spPr>
            <a:solidFill>
              <a:schemeClr val="accent3"/>
            </a:solidFill>
            <a:ln>
              <a:noFill/>
            </a:ln>
            <a:effectLst/>
            <a:sp3d/>
          </c:spPr>
          <c:invertIfNegative val="0"/>
          <c:cat>
            <c:strRef>
              <c:f>' Scenarii 2035'!$O$72:$Q$72</c:f>
              <c:strCache>
                <c:ptCount val="3"/>
                <c:pt idx="0">
                  <c:v>AM</c:v>
                </c:pt>
                <c:pt idx="1">
                  <c:v>PM</c:v>
                </c:pt>
                <c:pt idx="2">
                  <c:v>24h</c:v>
                </c:pt>
              </c:strCache>
            </c:strRef>
          </c:cat>
          <c:val>
            <c:numRef>
              <c:f>' Scenarii 2035'!$O$75:$Q$75</c:f>
              <c:numCache>
                <c:formatCode>0.00</c:formatCode>
                <c:ptCount val="3"/>
                <c:pt idx="0">
                  <c:v>9.411907995</c:v>
                </c:pt>
                <c:pt idx="1">
                  <c:v>10.198446326999999</c:v>
                </c:pt>
                <c:pt idx="2">
                  <c:v>117.662125932</c:v>
                </c:pt>
              </c:numCache>
            </c:numRef>
          </c:val>
          <c:extLst>
            <c:ext xmlns:c16="http://schemas.microsoft.com/office/drawing/2014/chart" uri="{C3380CC4-5D6E-409C-BE32-E72D297353CC}">
              <c16:uniqueId val="{00000002-61B6-4358-9F94-6A6A9C9EDF44}"/>
            </c:ext>
          </c:extLst>
        </c:ser>
        <c:dLbls>
          <c:showLegendKey val="0"/>
          <c:showVal val="0"/>
          <c:showCatName val="0"/>
          <c:showSerName val="0"/>
          <c:showPercent val="0"/>
          <c:showBubbleSize val="0"/>
        </c:dLbls>
        <c:gapWidth val="150"/>
        <c:shape val="box"/>
        <c:axId val="629679552"/>
        <c:axId val="629680112"/>
        <c:axId val="0"/>
      </c:bar3DChart>
      <c:catAx>
        <c:axId val="6296795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680112"/>
        <c:crosses val="autoZero"/>
        <c:auto val="1"/>
        <c:lblAlgn val="ctr"/>
        <c:lblOffset val="100"/>
        <c:noMultiLvlLbl val="0"/>
      </c:catAx>
      <c:valAx>
        <c:axId val="6296801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629679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Distributia modala a deplasarilor 2027 S</a:t>
            </a:r>
            <a:r>
              <a:rPr lang="en-US"/>
              <a:t>1 PM</a:t>
            </a:r>
            <a:endParaRPr lang="ro-R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48A-40F2-A872-F841A56257F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48A-40F2-A872-F841A56257F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48A-40F2-A872-F841A56257F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48A-40F2-A872-F841A56257F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E48A-40F2-A872-F841A56257F6}"/>
              </c:ext>
            </c:extLst>
          </c:dPt>
          <c:dLbls>
            <c:dLbl>
              <c:idx val="4"/>
              <c:delete val="1"/>
              <c:extLst>
                <c:ext xmlns:c15="http://schemas.microsoft.com/office/drawing/2012/chart" uri="{CE6537A1-D6FC-4f65-9D91-7224C49458BB}"/>
                <c:ext xmlns:c16="http://schemas.microsoft.com/office/drawing/2014/chart" uri="{C3380CC4-5D6E-409C-BE32-E72D297353CC}">
                  <c16:uniqueId val="{00000009-E48A-40F2-A872-F841A56257F6}"/>
                </c:ext>
              </c:extLst>
            </c:dLbl>
            <c:numFmt formatCode="0.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o-RO"/>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'Calcule scenarii'!$R$31:$R$35</c:f>
              <c:strCache>
                <c:ptCount val="5"/>
                <c:pt idx="0">
                  <c:v>Autoturism personal</c:v>
                </c:pt>
                <c:pt idx="1">
                  <c:v>Biciclete</c:v>
                </c:pt>
                <c:pt idx="2">
                  <c:v>Pietonal</c:v>
                </c:pt>
                <c:pt idx="3">
                  <c:v>Transport Public Interurban</c:v>
                </c:pt>
                <c:pt idx="4">
                  <c:v>Transport Public local</c:v>
                </c:pt>
              </c:strCache>
            </c:strRef>
          </c:cat>
          <c:val>
            <c:numRef>
              <c:f>'Calcule scenarii'!$S$31:$S$35</c:f>
              <c:numCache>
                <c:formatCode>0.0%</c:formatCode>
                <c:ptCount val="5"/>
                <c:pt idx="0">
                  <c:v>0.55347490752948469</c:v>
                </c:pt>
                <c:pt idx="1">
                  <c:v>6.1294366527122413E-3</c:v>
                </c:pt>
                <c:pt idx="2">
                  <c:v>0.18494492239642521</c:v>
                </c:pt>
                <c:pt idx="3">
                  <c:v>0.25545073342137792</c:v>
                </c:pt>
                <c:pt idx="4">
                  <c:v>0</c:v>
                </c:pt>
              </c:numCache>
            </c:numRef>
          </c:val>
          <c:extLst>
            <c:ext xmlns:c16="http://schemas.microsoft.com/office/drawing/2014/chart" uri="{C3380CC4-5D6E-409C-BE32-E72D297353CC}">
              <c16:uniqueId val="{0000000A-E48A-40F2-A872-F841A56257F6}"/>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a:t>Distributia modala a deplasarilor 2027 S2</a:t>
            </a:r>
            <a:r>
              <a:rPr lang="en-US"/>
              <a:t> PM</a:t>
            </a:r>
            <a:endParaRPr lang="ro-R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239-429E-9093-D44FA7D03C3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239-429E-9093-D44FA7D03C3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239-429E-9093-D44FA7D03C3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239-429E-9093-D44FA7D03C3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239-429E-9093-D44FA7D03C36}"/>
              </c:ext>
            </c:extLst>
          </c:dPt>
          <c:dLbls>
            <c:numFmt formatCode="0.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o-RO"/>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'Calcule scenarii'!$AC$31:$AC$35</c:f>
              <c:strCache>
                <c:ptCount val="5"/>
                <c:pt idx="0">
                  <c:v>Autoturism personal</c:v>
                </c:pt>
                <c:pt idx="1">
                  <c:v>Biciclete</c:v>
                </c:pt>
                <c:pt idx="2">
                  <c:v>Pietonal</c:v>
                </c:pt>
                <c:pt idx="3">
                  <c:v>Transport Public Interurban</c:v>
                </c:pt>
                <c:pt idx="4">
                  <c:v>Transport Public local</c:v>
                </c:pt>
              </c:strCache>
            </c:strRef>
          </c:cat>
          <c:val>
            <c:numRef>
              <c:f>'Calcule scenarii'!$AD$31:$AD$35</c:f>
              <c:numCache>
                <c:formatCode>0.0%</c:formatCode>
                <c:ptCount val="5"/>
                <c:pt idx="0">
                  <c:v>0.3675668473121857</c:v>
                </c:pt>
                <c:pt idx="1">
                  <c:v>1.3719954507818537E-2</c:v>
                </c:pt>
                <c:pt idx="2">
                  <c:v>0.19764671129142841</c:v>
                </c:pt>
                <c:pt idx="3">
                  <c:v>0.23399552087573117</c:v>
                </c:pt>
                <c:pt idx="4">
                  <c:v>0.1870709660128361</c:v>
                </c:pt>
              </c:numCache>
            </c:numRef>
          </c:val>
          <c:extLst>
            <c:ext xmlns:c16="http://schemas.microsoft.com/office/drawing/2014/chart" uri="{C3380CC4-5D6E-409C-BE32-E72D297353CC}">
              <c16:uniqueId val="{0000000A-A239-429E-9093-D44FA7D03C36}"/>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sz="1400" b="0" i="0" baseline="0">
                <a:effectLst/>
              </a:rPr>
              <a:t>Distributia modala a deplasarilor 20</a:t>
            </a:r>
            <a:r>
              <a:rPr lang="en-US" sz="1400" b="0" i="0" baseline="0">
                <a:effectLst/>
              </a:rPr>
              <a:t>35</a:t>
            </a:r>
            <a:r>
              <a:rPr lang="ro-RO" sz="1400" b="0" i="0" baseline="0">
                <a:effectLst/>
              </a:rPr>
              <a:t> S</a:t>
            </a:r>
            <a:r>
              <a:rPr lang="en-US" sz="1400" b="0" i="0" baseline="0">
                <a:effectLst/>
              </a:rPr>
              <a:t>1 PM</a:t>
            </a:r>
            <a:endParaRPr lang="ro-RO" sz="11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0BE-414F-92D6-3E06862ACCA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0BE-414F-92D6-3E06862ACCA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0BE-414F-92D6-3E06862ACCA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0BE-414F-92D6-3E06862ACCA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0BE-414F-92D6-3E06862ACCA0}"/>
              </c:ext>
            </c:extLst>
          </c:dPt>
          <c:dLbls>
            <c:dLbl>
              <c:idx val="4"/>
              <c:delete val="1"/>
              <c:extLst>
                <c:ext xmlns:c15="http://schemas.microsoft.com/office/drawing/2012/chart" uri="{CE6537A1-D6FC-4f65-9D91-7224C49458BB}"/>
                <c:ext xmlns:c16="http://schemas.microsoft.com/office/drawing/2014/chart" uri="{C3380CC4-5D6E-409C-BE32-E72D297353CC}">
                  <c16:uniqueId val="{00000009-C0BE-414F-92D6-3E06862ACCA0}"/>
                </c:ext>
              </c:extLst>
            </c:dLbl>
            <c:numFmt formatCode="0.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o-RO"/>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'Calcule scenarii'!$R$47:$R$51</c:f>
              <c:strCache>
                <c:ptCount val="5"/>
                <c:pt idx="0">
                  <c:v>Autoturism personal</c:v>
                </c:pt>
                <c:pt idx="1">
                  <c:v>Biciclete</c:v>
                </c:pt>
                <c:pt idx="2">
                  <c:v>Pietonal</c:v>
                </c:pt>
                <c:pt idx="3">
                  <c:v>Transport Public Interurban</c:v>
                </c:pt>
                <c:pt idx="4">
                  <c:v>Transport Public local</c:v>
                </c:pt>
              </c:strCache>
            </c:strRef>
          </c:cat>
          <c:val>
            <c:numRef>
              <c:f>'Calcule scenarii'!$S$47:$S$51</c:f>
              <c:numCache>
                <c:formatCode>0.0%</c:formatCode>
                <c:ptCount val="5"/>
                <c:pt idx="0">
                  <c:v>0.55875604084186881</c:v>
                </c:pt>
                <c:pt idx="1">
                  <c:v>6.3113166939914745E-3</c:v>
                </c:pt>
                <c:pt idx="2">
                  <c:v>0.18265072042736238</c:v>
                </c:pt>
                <c:pt idx="3">
                  <c:v>0.25228192203677735</c:v>
                </c:pt>
                <c:pt idx="4">
                  <c:v>0</c:v>
                </c:pt>
              </c:numCache>
            </c:numRef>
          </c:val>
          <c:extLst>
            <c:ext xmlns:c16="http://schemas.microsoft.com/office/drawing/2014/chart" uri="{C3380CC4-5D6E-409C-BE32-E72D297353CC}">
              <c16:uniqueId val="{0000000A-C0BE-414F-92D6-3E06862ACCA0}"/>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200"/>
              <a:t>Distribu</a:t>
            </a:r>
            <a:r>
              <a:rPr lang="ro-RO" sz="1200"/>
              <a:t>ţ</a:t>
            </a:r>
            <a:r>
              <a:rPr lang="en-US" sz="1200"/>
              <a:t>ia m</a:t>
            </a:r>
            <a:r>
              <a:rPr lang="ro-RO" sz="1200"/>
              <a:t>ă</a:t>
            </a:r>
            <a:r>
              <a:rPr lang="en-US" sz="1200"/>
              <a:t>rfurilor transportate pe moduri de transport</a:t>
            </a:r>
            <a:endParaRPr lang="ro-RO" sz="1200"/>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exportPivot_TRN137A!$A$2:$A$7</c:f>
              <c:strCache>
                <c:ptCount val="6"/>
                <c:pt idx="0">
                  <c:v>Transport feroviar</c:v>
                </c:pt>
                <c:pt idx="1">
                  <c:v>Transport rutier</c:v>
                </c:pt>
                <c:pt idx="2">
                  <c:v>Transport pe cai navigabile interioare</c:v>
                </c:pt>
                <c:pt idx="3">
                  <c:v>Transport maritim</c:v>
                </c:pt>
                <c:pt idx="4">
                  <c:v>Transport aerian</c:v>
                </c:pt>
                <c:pt idx="5">
                  <c:v>Conducte petroliere magistrale</c:v>
                </c:pt>
              </c:strCache>
            </c:strRef>
          </c:cat>
          <c:val>
            <c:numRef>
              <c:f>exportPivot_TRN137A!$B$2:$B$7</c:f>
              <c:numCache>
                <c:formatCode>General</c:formatCode>
                <c:ptCount val="6"/>
                <c:pt idx="0">
                  <c:v>49671</c:v>
                </c:pt>
                <c:pt idx="1">
                  <c:v>266523</c:v>
                </c:pt>
                <c:pt idx="2">
                  <c:v>30518</c:v>
                </c:pt>
                <c:pt idx="3">
                  <c:v>47220</c:v>
                </c:pt>
                <c:pt idx="4">
                  <c:v>40</c:v>
                </c:pt>
                <c:pt idx="5">
                  <c:v>6410</c:v>
                </c:pt>
              </c:numCache>
            </c:numRef>
          </c:val>
          <c:extLst>
            <c:ext xmlns:c16="http://schemas.microsoft.com/office/drawing/2014/chart" uri="{C3380CC4-5D6E-409C-BE32-E72D297353CC}">
              <c16:uniqueId val="{00000000-4201-4305-B52B-7213BB4CAF70}"/>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sz="1400" b="0" i="0" baseline="0">
                <a:effectLst/>
              </a:rPr>
              <a:t>Distributia modala a deplasarilor 20</a:t>
            </a:r>
            <a:r>
              <a:rPr lang="en-US" sz="1400" b="0" i="0" baseline="0">
                <a:effectLst/>
              </a:rPr>
              <a:t>35</a:t>
            </a:r>
            <a:r>
              <a:rPr lang="ro-RO" sz="1400" b="0" i="0" baseline="0">
                <a:effectLst/>
              </a:rPr>
              <a:t> S</a:t>
            </a:r>
            <a:r>
              <a:rPr lang="en-US" sz="1400" b="0" i="0" baseline="0">
                <a:effectLst/>
              </a:rPr>
              <a:t>2 PM</a:t>
            </a:r>
            <a:endParaRPr lang="ro-RO" sz="11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D47-4CBC-ADBA-A967DB1C44E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D47-4CBC-ADBA-A967DB1C44E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D47-4CBC-ADBA-A967DB1C44E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D47-4CBC-ADBA-A967DB1C44E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D47-4CBC-ADBA-A967DB1C44E5}"/>
              </c:ext>
            </c:extLst>
          </c:dPt>
          <c:dLbls>
            <c:numFmt formatCode="0.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o-RO"/>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'Calcule scenarii'!$AC$47:$AC$51</c:f>
              <c:strCache>
                <c:ptCount val="5"/>
                <c:pt idx="0">
                  <c:v>Autoturism personal</c:v>
                </c:pt>
                <c:pt idx="1">
                  <c:v>Biciclete</c:v>
                </c:pt>
                <c:pt idx="2">
                  <c:v>Pietonal</c:v>
                </c:pt>
                <c:pt idx="3">
                  <c:v>Transport Public Interurban</c:v>
                </c:pt>
                <c:pt idx="4">
                  <c:v>Transport Public local</c:v>
                </c:pt>
              </c:strCache>
            </c:strRef>
          </c:cat>
          <c:val>
            <c:numRef>
              <c:f>'Calcule scenarii'!$AD$47:$AD$51</c:f>
              <c:numCache>
                <c:formatCode>0.00%</c:formatCode>
                <c:ptCount val="5"/>
                <c:pt idx="0">
                  <c:v>0.40755125139618203</c:v>
                </c:pt>
                <c:pt idx="1">
                  <c:v>1.6339275771629858E-2</c:v>
                </c:pt>
                <c:pt idx="2">
                  <c:v>0.1916666443759954</c:v>
                </c:pt>
                <c:pt idx="3">
                  <c:v>0.20621459303123874</c:v>
                </c:pt>
                <c:pt idx="4">
                  <c:v>0.17822823542495389</c:v>
                </c:pt>
              </c:numCache>
            </c:numRef>
          </c:val>
          <c:extLst>
            <c:ext xmlns:c16="http://schemas.microsoft.com/office/drawing/2014/chart" uri="{C3380CC4-5D6E-409C-BE32-E72D297353CC}">
              <c16:uniqueId val="{0000000A-2D47-4CBC-ADBA-A967DB1C44E5}"/>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sz="1400" b="0" i="0" baseline="0">
                <a:effectLst/>
              </a:rPr>
              <a:t>Distributia modala a deplasarilor 20</a:t>
            </a:r>
            <a:r>
              <a:rPr lang="en-US" sz="1400" b="0" i="0" baseline="0">
                <a:effectLst/>
              </a:rPr>
              <a:t>35</a:t>
            </a:r>
            <a:r>
              <a:rPr lang="ro-RO" sz="1400" b="0" i="0" baseline="0">
                <a:effectLst/>
              </a:rPr>
              <a:t> S</a:t>
            </a:r>
            <a:r>
              <a:rPr lang="en-US" sz="1400" b="0" i="0" baseline="0">
                <a:effectLst/>
              </a:rPr>
              <a:t>3 PM</a:t>
            </a:r>
            <a:endParaRPr lang="ro-RO" sz="11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B7F-468C-ABFF-0CAC5FF3A82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B7F-468C-ABFF-0CAC5FF3A82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B7F-468C-ABFF-0CAC5FF3A82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B7F-468C-ABFF-0CAC5FF3A82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B7F-468C-ABFF-0CAC5FF3A821}"/>
              </c:ext>
            </c:extLst>
          </c:dPt>
          <c:dLbls>
            <c:numFmt formatCode="0.00%" sourceLinked="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o-RO"/>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'Calcule scenarii'!$AM$47:$AM$51</c:f>
              <c:strCache>
                <c:ptCount val="5"/>
                <c:pt idx="0">
                  <c:v>Autoturism personal</c:v>
                </c:pt>
                <c:pt idx="1">
                  <c:v>Biciclete</c:v>
                </c:pt>
                <c:pt idx="2">
                  <c:v>Pietonal</c:v>
                </c:pt>
                <c:pt idx="3">
                  <c:v>Transport Public Interurban</c:v>
                </c:pt>
                <c:pt idx="4">
                  <c:v>Transport Public local</c:v>
                </c:pt>
              </c:strCache>
            </c:strRef>
          </c:cat>
          <c:val>
            <c:numRef>
              <c:f>'Calcule scenarii'!$AN$47:$AN$51</c:f>
              <c:numCache>
                <c:formatCode>0.00%</c:formatCode>
                <c:ptCount val="5"/>
                <c:pt idx="0">
                  <c:v>0.36880261925222796</c:v>
                </c:pt>
                <c:pt idx="1">
                  <c:v>1.9162385378724278E-2</c:v>
                </c:pt>
                <c:pt idx="2">
                  <c:v>0.1873190992424954</c:v>
                </c:pt>
                <c:pt idx="3">
                  <c:v>0.20698400654768009</c:v>
                </c:pt>
                <c:pt idx="4">
                  <c:v>0.2177318895788723</c:v>
                </c:pt>
              </c:numCache>
            </c:numRef>
          </c:val>
          <c:extLst>
            <c:ext xmlns:c16="http://schemas.microsoft.com/office/drawing/2014/chart" uri="{C3380CC4-5D6E-409C-BE32-E72D297353CC}">
              <c16:uniqueId val="{0000000A-8B7F-468C-ABFF-0CAC5FF3A821}"/>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0" i="0" u="none" strike="noStrike" kern="1200" cap="none" spc="50" baseline="0">
                <a:solidFill>
                  <a:schemeClr val="tx1">
                    <a:lumMod val="65000"/>
                    <a:lumOff val="35000"/>
                  </a:schemeClr>
                </a:solidFill>
                <a:latin typeface="+mn-lt"/>
                <a:ea typeface="+mn-ea"/>
                <a:cs typeface="+mn-cs"/>
              </a:defRPr>
            </a:pPr>
            <a:r>
              <a:rPr lang="en-US"/>
              <a:t>Grad de acoperire transport</a:t>
            </a:r>
            <a:r>
              <a:rPr lang="en-US" baseline="0"/>
              <a:t> public</a:t>
            </a:r>
            <a:endParaRPr lang="en-US"/>
          </a:p>
        </c:rich>
      </c:tx>
      <c:overlay val="0"/>
      <c:spPr>
        <a:noFill/>
        <a:ln>
          <a:noFill/>
        </a:ln>
        <a:effectLst/>
      </c:spPr>
      <c:txPr>
        <a:bodyPr rot="0" spcFirstLastPara="1" vertOverflow="ellipsis" vert="horz" wrap="square" anchor="ctr" anchorCtr="1"/>
        <a:lstStyle/>
        <a:p>
          <a:pPr>
            <a:defRPr sz="1600" b="0" i="0" u="none" strike="noStrike" kern="1200" cap="none" spc="50" baseline="0">
              <a:solidFill>
                <a:schemeClr val="tx1">
                  <a:lumMod val="65000"/>
                  <a:lumOff val="35000"/>
                </a:schemeClr>
              </a:solidFill>
              <a:latin typeface="+mn-lt"/>
              <a:ea typeface="+mn-ea"/>
              <a:cs typeface="+mn-cs"/>
            </a:defRPr>
          </a:pPr>
          <a:endParaRPr lang="ro-RO"/>
        </a:p>
      </c:txPr>
    </c:title>
    <c:autoTitleDeleted val="0"/>
    <c:view3D>
      <c:rotX val="15"/>
      <c:rotY val="20"/>
      <c:depthPercent val="100"/>
      <c:rAngAx val="1"/>
    </c:view3D>
    <c:floor>
      <c:thickness val="0"/>
      <c:spPr>
        <a:solidFill>
          <a:schemeClr val="lt1">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solidFill>
                <a:schemeClr val="accent1">
                  <a:lumMod val="75000"/>
                </a:schemeClr>
              </a:solidFill>
            </a:ln>
            <a:effectLst/>
            <a:scene3d>
              <a:camera prst="orthographicFront"/>
              <a:lightRig rig="threePt" dir="t"/>
            </a:scene3d>
            <a:sp3d prstMaterial="translucentPowder">
              <a:contourClr>
                <a:schemeClr val="accent1">
                  <a:lumMod val="75000"/>
                </a:schemeClr>
              </a:contourClr>
            </a:sp3d>
          </c:spPr>
          <c:invertIfNegative val="0"/>
          <c:cat>
            <c:numRef>
              <c:f>'Calcule scenarii'!$C$63:$F$63</c:f>
              <c:numCache>
                <c:formatCode>General</c:formatCode>
                <c:ptCount val="4"/>
                <c:pt idx="0">
                  <c:v>2021</c:v>
                </c:pt>
                <c:pt idx="1">
                  <c:v>2023</c:v>
                </c:pt>
                <c:pt idx="2">
                  <c:v>2027</c:v>
                </c:pt>
                <c:pt idx="3">
                  <c:v>2035</c:v>
                </c:pt>
              </c:numCache>
            </c:numRef>
          </c:cat>
          <c:val>
            <c:numRef>
              <c:f>'Calcule scenarii'!$C$64:$F$64</c:f>
              <c:numCache>
                <c:formatCode>General</c:formatCode>
                <c:ptCount val="4"/>
                <c:pt idx="0">
                  <c:v>0</c:v>
                </c:pt>
                <c:pt idx="1">
                  <c:v>0</c:v>
                </c:pt>
                <c:pt idx="2">
                  <c:v>40</c:v>
                </c:pt>
                <c:pt idx="3">
                  <c:v>55</c:v>
                </c:pt>
              </c:numCache>
            </c:numRef>
          </c:val>
          <c:extLst>
            <c:ext xmlns:c16="http://schemas.microsoft.com/office/drawing/2014/chart" uri="{C3380CC4-5D6E-409C-BE32-E72D297353CC}">
              <c16:uniqueId val="{00000000-F52C-4A09-B560-65727B6EB775}"/>
            </c:ext>
          </c:extLst>
        </c:ser>
        <c:dLbls>
          <c:showLegendKey val="0"/>
          <c:showVal val="0"/>
          <c:showCatName val="0"/>
          <c:showSerName val="0"/>
          <c:showPercent val="0"/>
          <c:showBubbleSize val="0"/>
        </c:dLbls>
        <c:gapWidth val="150"/>
        <c:shape val="box"/>
        <c:axId val="732228816"/>
        <c:axId val="732229376"/>
        <c:axId val="0"/>
      </c:bar3DChart>
      <c:catAx>
        <c:axId val="7322288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ro-RO"/>
          </a:p>
        </c:txPr>
        <c:crossAx val="732229376"/>
        <c:crosses val="autoZero"/>
        <c:auto val="1"/>
        <c:lblAlgn val="ctr"/>
        <c:lblOffset val="100"/>
        <c:noMultiLvlLbl val="0"/>
      </c:catAx>
      <c:valAx>
        <c:axId val="732229376"/>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ro-RO"/>
          </a:p>
        </c:txPr>
        <c:crossAx val="7322288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0D4-4EBA-953C-0042E12752B6}"/>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0D4-4EBA-953C-0042E12752B6}"/>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0D4-4EBA-953C-0042E12752B6}"/>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0D4-4EBA-953C-0042E12752B6}"/>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0D4-4EBA-953C-0042E12752B6}"/>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0D4-4EBA-953C-0042E12752B6}"/>
              </c:ext>
            </c:extLst>
          </c:dPt>
          <c:dLbls>
            <c:dLbl>
              <c:idx val="2"/>
              <c:layout>
                <c:manualLayout>
                  <c:x val="-1.0253062117235345E-2"/>
                  <c:y val="-4.663531641878098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0D4-4EBA-953C-0042E12752B6}"/>
                </c:ext>
              </c:extLst>
            </c:dLbl>
            <c:dLbl>
              <c:idx val="3"/>
              <c:layout>
                <c:manualLayout>
                  <c:x val="0.12411767279090109"/>
                  <c:y val="-0.168448891805191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0D4-4EBA-953C-0042E12752B6}"/>
                </c:ext>
              </c:extLst>
            </c:dLbl>
            <c:dLbl>
              <c:idx val="4"/>
              <c:layout>
                <c:manualLayout>
                  <c:x val="0.12837882764654418"/>
                  <c:y val="0.12997630504520269"/>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0D4-4EBA-953C-0042E12752B6}"/>
                </c:ext>
              </c:extLst>
            </c:dLbl>
            <c:dLbl>
              <c:idx val="5"/>
              <c:layout>
                <c:manualLayout>
                  <c:x val="2.5207786526684163E-3"/>
                  <c:y val="4.353054826480025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0D4-4EBA-953C-0042E12752B6}"/>
                </c:ext>
              </c:extLst>
            </c:dLbl>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[PrelucrariOD.xlsx]Foaie2!$K$2:$K$7</c:f>
              <c:strCache>
                <c:ptCount val="6"/>
                <c:pt idx="0">
                  <c:v>15-17 ani</c:v>
                </c:pt>
                <c:pt idx="1">
                  <c:v>18-27 ani</c:v>
                </c:pt>
                <c:pt idx="2">
                  <c:v>28-37 ani</c:v>
                </c:pt>
                <c:pt idx="3">
                  <c:v>38-47 ani</c:v>
                </c:pt>
                <c:pt idx="4">
                  <c:v>48-57 ani</c:v>
                </c:pt>
                <c:pt idx="5">
                  <c:v>58-67 ani</c:v>
                </c:pt>
              </c:strCache>
            </c:strRef>
          </c:cat>
          <c:val>
            <c:numRef>
              <c:f>[PrelucrariOD.xlsx]Foaie2!$L$2:$L$7</c:f>
              <c:numCache>
                <c:formatCode>General</c:formatCode>
                <c:ptCount val="6"/>
                <c:pt idx="0">
                  <c:v>69</c:v>
                </c:pt>
                <c:pt idx="1">
                  <c:v>13</c:v>
                </c:pt>
                <c:pt idx="2">
                  <c:v>26</c:v>
                </c:pt>
                <c:pt idx="3">
                  <c:v>33</c:v>
                </c:pt>
                <c:pt idx="4">
                  <c:v>36</c:v>
                </c:pt>
                <c:pt idx="5">
                  <c:v>15</c:v>
                </c:pt>
              </c:numCache>
            </c:numRef>
          </c:val>
          <c:extLst>
            <c:ext xmlns:c16="http://schemas.microsoft.com/office/drawing/2014/chart" uri="{C3380CC4-5D6E-409C-BE32-E72D297353CC}">
              <c16:uniqueId val="{0000000C-C0D4-4EBA-953C-0042E12752B6}"/>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cat>
            <c:strRef>
              <c:f>[PrelucrariOD.xlsx]Foaie2!$P$2:$P$8</c:f>
              <c:strCache>
                <c:ptCount val="7"/>
                <c:pt idx="0">
                  <c:v>1 membru</c:v>
                </c:pt>
                <c:pt idx="1">
                  <c:v>2 membri</c:v>
                </c:pt>
                <c:pt idx="2">
                  <c:v>3 membri</c:v>
                </c:pt>
                <c:pt idx="3">
                  <c:v>4 membri</c:v>
                </c:pt>
                <c:pt idx="4">
                  <c:v>5 membri</c:v>
                </c:pt>
                <c:pt idx="5">
                  <c:v>6 membri</c:v>
                </c:pt>
                <c:pt idx="6">
                  <c:v>7 membri</c:v>
                </c:pt>
              </c:strCache>
            </c:strRef>
          </c:cat>
          <c:val>
            <c:numRef>
              <c:f>[PrelucrariOD.xlsx]Foaie2!$Q$2:$Q$8</c:f>
              <c:numCache>
                <c:formatCode>General</c:formatCode>
                <c:ptCount val="7"/>
                <c:pt idx="0">
                  <c:v>6</c:v>
                </c:pt>
                <c:pt idx="1">
                  <c:v>36</c:v>
                </c:pt>
                <c:pt idx="2">
                  <c:v>40</c:v>
                </c:pt>
                <c:pt idx="3">
                  <c:v>71</c:v>
                </c:pt>
                <c:pt idx="4">
                  <c:v>27</c:v>
                </c:pt>
                <c:pt idx="5">
                  <c:v>9</c:v>
                </c:pt>
                <c:pt idx="6">
                  <c:v>3</c:v>
                </c:pt>
              </c:numCache>
            </c:numRef>
          </c:val>
          <c:extLst>
            <c:ext xmlns:c16="http://schemas.microsoft.com/office/drawing/2014/chart" uri="{C3380CC4-5D6E-409C-BE32-E72D297353CC}">
              <c16:uniqueId val="{00000000-7ED6-40FA-B8EE-182B21FAF142}"/>
            </c:ext>
          </c:extLst>
        </c:ser>
        <c:dLbls>
          <c:showLegendKey val="0"/>
          <c:showVal val="0"/>
          <c:showCatName val="0"/>
          <c:showSerName val="0"/>
          <c:showPercent val="0"/>
          <c:showBubbleSize val="0"/>
        </c:dLbls>
        <c:gapWidth val="100"/>
        <c:overlap val="-24"/>
        <c:axId val="417109456"/>
        <c:axId val="438691056"/>
      </c:barChart>
      <c:catAx>
        <c:axId val="417109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ro-RO"/>
          </a:p>
        </c:txPr>
        <c:crossAx val="438691056"/>
        <c:crosses val="autoZero"/>
        <c:auto val="1"/>
        <c:lblAlgn val="ctr"/>
        <c:lblOffset val="100"/>
        <c:noMultiLvlLbl val="0"/>
      </c:catAx>
      <c:valAx>
        <c:axId val="438691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ro-RO"/>
          </a:p>
        </c:txPr>
        <c:crossAx val="4171094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509-4A75-9CD1-D959500859BA}"/>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509-4A75-9CD1-D959500859BA}"/>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F509-4A75-9CD1-D959500859BA}"/>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F509-4A75-9CD1-D959500859BA}"/>
              </c:ext>
            </c:extLst>
          </c:dPt>
          <c:dLbls>
            <c:dLbl>
              <c:idx val="2"/>
              <c:layout>
                <c:manualLayout>
                  <c:x val="5.5286964129483814E-2"/>
                  <c:y val="0.10339202391367744"/>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509-4A75-9CD1-D959500859BA}"/>
                </c:ext>
              </c:extLst>
            </c:dLbl>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[PrelucrariOD.xlsx]Foaie2!$V$1:$V$4</c:f>
              <c:strCache>
                <c:ptCount val="4"/>
                <c:pt idx="0">
                  <c:v>1 autoturism</c:v>
                </c:pt>
                <c:pt idx="1">
                  <c:v>2 autoturisme</c:v>
                </c:pt>
                <c:pt idx="2">
                  <c:v>3 autoturisme</c:v>
                </c:pt>
                <c:pt idx="3">
                  <c:v>4 autoturisme</c:v>
                </c:pt>
              </c:strCache>
            </c:strRef>
          </c:cat>
          <c:val>
            <c:numRef>
              <c:f>[PrelucrariOD.xlsx]Foaie2!$W$1:$W$4</c:f>
              <c:numCache>
                <c:formatCode>General</c:formatCode>
                <c:ptCount val="4"/>
                <c:pt idx="0">
                  <c:v>87</c:v>
                </c:pt>
                <c:pt idx="1">
                  <c:v>46</c:v>
                </c:pt>
                <c:pt idx="2">
                  <c:v>10</c:v>
                </c:pt>
                <c:pt idx="3">
                  <c:v>5</c:v>
                </c:pt>
              </c:numCache>
            </c:numRef>
          </c:val>
          <c:extLst>
            <c:ext xmlns:c16="http://schemas.microsoft.com/office/drawing/2014/chart" uri="{C3380CC4-5D6E-409C-BE32-E72D297353CC}">
              <c16:uniqueId val="{00000008-F509-4A75-9CD1-D959500859BA}"/>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B31E-4373-ADC4-4F4D9FB30EC9}"/>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B31E-4373-ADC4-4F4D9FB30EC9}"/>
              </c:ext>
            </c:extLst>
          </c:dPt>
          <c:dLbls>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o-R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[PrelucrariOD.xlsx]Foaie2!$AB$2:$AB$3</c:f>
              <c:strCache>
                <c:ptCount val="2"/>
                <c:pt idx="0">
                  <c:v>Deţin carnet de conducere</c:v>
                </c:pt>
                <c:pt idx="1">
                  <c:v>Nu deţin carnet de conducere</c:v>
                </c:pt>
              </c:strCache>
            </c:strRef>
          </c:cat>
          <c:val>
            <c:numRef>
              <c:f>[PrelucrariOD.xlsx]Foaie2!$AC$2:$AC$3</c:f>
              <c:numCache>
                <c:formatCode>General</c:formatCode>
                <c:ptCount val="2"/>
                <c:pt idx="0">
                  <c:v>78</c:v>
                </c:pt>
                <c:pt idx="1">
                  <c:v>100</c:v>
                </c:pt>
              </c:numCache>
            </c:numRef>
          </c:val>
          <c:extLst>
            <c:ext xmlns:c16="http://schemas.microsoft.com/office/drawing/2014/chart" uri="{C3380CC4-5D6E-409C-BE32-E72D297353CC}">
              <c16:uniqueId val="{00000004-B31E-4373-ADC4-4F4D9FB30EC9}"/>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o-RO"/>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o-RO"/>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92">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lumMod val="75000"/>
          </a:schemeClr>
        </a:solidFill>
      </a:ln>
    </cs:spPr>
  </cs:dataPoint>
  <cs:dataPoint3D>
    <cs:lnRef idx="0">
      <cs:styleClr val="auto"/>
    </cs:lnRef>
    <cs:fillRef idx="0">
      <cs:styleClr val="auto"/>
    </cs:fillRef>
    <cs:effectRef idx="0"/>
    <cs:fontRef idx="minor">
      <a:schemeClr val="tx1"/>
    </cs:fontRef>
    <cs:spPr>
      <a:solidFill>
        <a:schemeClr val="phClr"/>
      </a:solidFill>
      <a:ln>
        <a:solidFill>
          <a:schemeClr val="phClr">
            <a:lumMod val="75000"/>
          </a:schemeClr>
        </a:solidFill>
      </a:ln>
      <a:scene3d>
        <a:camera prst="orthographicFront"/>
        <a:lightRig rig="threePt" dir="t"/>
      </a:scene3d>
      <a:sp3d prstMaterial="translucentPowder"/>
    </cs:spPr>
  </cs:dataPoint3D>
  <cs:dataPointLine>
    <cs:lnRef idx="0">
      <cs:styleClr val="auto"/>
    </cs:lnRef>
    <cs:fillRef idx="0"/>
    <cs:effectRef idx="0"/>
    <cs:fontRef idx="minor">
      <a:schemeClr val="tx1"/>
    </cs:fontRef>
    <cs:spPr>
      <a:ln w="28575" cap="rnd">
        <a:solidFill>
          <a:schemeClr val="phClr">
            <a:alpha val="70000"/>
          </a:schemeClr>
        </a:solidFill>
        <a:round/>
      </a:ln>
    </cs:spPr>
  </cs:dataPointLine>
  <cs:dataPointMarker>
    <cs:lnRef idx="0">
      <cs:styleClr val="auto"/>
    </cs:lnRef>
    <cs:fillRef idx="0">
      <cs:styleClr val="auto"/>
    </cs:fillRef>
    <cs:effectRef idx="0"/>
    <cs:fontRef idx="minor">
      <a:schemeClr val="dk1"/>
    </cs:fontRef>
    <cs:spPr>
      <a:solidFill>
        <a:schemeClr val="phClr">
          <a:alpha val="70000"/>
        </a:schemeClr>
      </a:solidFill>
      <a:ln>
        <a:solidFill>
          <a:schemeClr val="phClr">
            <a:lumMod val="7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tx1"/>
    </cs:fontRef>
    <cs:spPr>
      <a:solidFill>
        <a:schemeClr val="lt1">
          <a:alpha val="27000"/>
        </a:schemeClr>
      </a:solidFill>
      <a:sp3d/>
    </cs:spPr>
  </cs:floor>
  <cs:gridlineMajor>
    <cs:lnRef idx="0"/>
    <cs:fillRef idx="0"/>
    <cs:effectRef idx="0"/>
    <cs:fontRef idx="minor">
      <a:schemeClr val="tx1"/>
    </cs:fontRef>
    <cs:spPr>
      <a:ln w="9525" cap="flat" cmpd="sng" algn="ctr">
        <a:solidFill>
          <a:schemeClr val="tx1">
            <a:lumMod val="5000"/>
            <a:lumOff val="95000"/>
          </a:schemeClr>
        </a:solidFill>
        <a:round/>
      </a:ln>
    </cs:spPr>
  </cs:gridlineMajor>
  <cs:gridlineMinor>
    <cs:lnRef idx="0"/>
    <cs:fillRef idx="0"/>
    <cs:effectRef idx="0"/>
    <cs:fontRef idx="minor">
      <a:schemeClr val="tx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0" kern="1200" cap="none" spc="5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tx1"/>
    </cs:fontRef>
    <cs:spPr>
      <a:sp3d/>
    </cs:spPr>
  </cs:wall>
</cs:chartStyle>
</file>

<file path=word/charts/style5.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4EB5AC-B4E4-4C3F-9E22-85D29D0DB2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11298</TotalTime>
  <Pages>337</Pages>
  <Words>94501</Words>
  <Characters>548108</Characters>
  <Application>Microsoft Office Word</Application>
  <DocSecurity>0</DocSecurity>
  <Lines>4567</Lines>
  <Paragraphs>1282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641327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BLUE</dc:creator>
  <cp:keywords/>
  <dc:description/>
  <cp:lastModifiedBy>Luigino Szecsy</cp:lastModifiedBy>
  <cp:revision>53</cp:revision>
  <cp:lastPrinted>2023-08-04T08:01:00Z</cp:lastPrinted>
  <dcterms:created xsi:type="dcterms:W3CDTF">2021-03-01T09:30:00Z</dcterms:created>
  <dcterms:modified xsi:type="dcterms:W3CDTF">2023-08-04T08:02:00Z</dcterms:modified>
</cp:coreProperties>
</file>